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17"/>
        </w:rPr>
      </w:pPr>
    </w:p>
    <w:p>
      <w:pPr>
        <w:pStyle w:val="BodyText"/>
        <w:ind w:left="1865"/>
        <w:rPr>
          <w:rFonts w:ascii="Times New Roman"/>
        </w:rPr>
      </w:pPr>
      <w:r>
        <w:rPr>
          <w:rFonts w:ascii="Times New Roman"/>
        </w:rPr>
        <w:drawing>
          <wp:inline distT="0" distB="0" distL="0" distR="0">
            <wp:extent cx="1494102" cy="574071"/>
            <wp:effectExtent l="0" t="0" r="0" b="0"/>
            <wp:docPr id="1" name="image3.jpeg"/>
            <wp:cNvGraphicFramePr>
              <a:graphicFrameLocks noChangeAspect="1"/>
            </wp:cNvGraphicFramePr>
            <a:graphic>
              <a:graphicData uri="http://schemas.openxmlformats.org/drawingml/2006/picture">
                <pic:pic>
                  <pic:nvPicPr>
                    <pic:cNvPr id="2" name="image3.jpeg"/>
                    <pic:cNvPicPr/>
                  </pic:nvPicPr>
                  <pic:blipFill>
                    <a:blip r:embed="rId6" cstate="print"/>
                    <a:stretch>
                      <a:fillRect/>
                    </a:stretch>
                  </pic:blipFill>
                  <pic:spPr>
                    <a:xfrm>
                      <a:off x="0" y="0"/>
                      <a:ext cx="1494102" cy="574071"/>
                    </a:xfrm>
                    <a:prstGeom prst="rect">
                      <a:avLst/>
                    </a:prstGeom>
                  </pic:spPr>
                </pic:pic>
              </a:graphicData>
            </a:graphic>
          </wp:inline>
        </w:drawing>
      </w:r>
      <w:r>
        <w:rPr>
          <w:rFonts w:ascii="Times New Roman"/>
        </w:rPr>
      </w:r>
    </w:p>
    <w:p>
      <w:pPr>
        <w:pStyle w:val="BodyText"/>
        <w:spacing w:before="5"/>
        <w:rPr>
          <w:rFonts w:ascii="Times New Roman"/>
          <w:sz w:val="27"/>
        </w:rPr>
      </w:pPr>
      <w:r>
        <w:rPr/>
        <w:drawing>
          <wp:anchor distT="0" distB="0" distL="0" distR="0" allowOverlap="1" layoutInCell="1" locked="0" behindDoc="0" simplePos="0" relativeHeight="0">
            <wp:simplePos x="0" y="0"/>
            <wp:positionH relativeFrom="page">
              <wp:posOffset>1673569</wp:posOffset>
            </wp:positionH>
            <wp:positionV relativeFrom="paragraph">
              <wp:posOffset>225365</wp:posOffset>
            </wp:positionV>
            <wp:extent cx="5251135" cy="1917382"/>
            <wp:effectExtent l="0" t="0" r="0" b="0"/>
            <wp:wrapTopAndBottom/>
            <wp:docPr id="3" name="image4.png"/>
            <wp:cNvGraphicFramePr>
              <a:graphicFrameLocks noChangeAspect="1"/>
            </wp:cNvGraphicFramePr>
            <a:graphic>
              <a:graphicData uri="http://schemas.openxmlformats.org/drawingml/2006/picture">
                <pic:pic>
                  <pic:nvPicPr>
                    <pic:cNvPr id="4" name="image4.png"/>
                    <pic:cNvPicPr/>
                  </pic:nvPicPr>
                  <pic:blipFill>
                    <a:blip r:embed="rId7" cstate="print"/>
                    <a:stretch>
                      <a:fillRect/>
                    </a:stretch>
                  </pic:blipFill>
                  <pic:spPr>
                    <a:xfrm>
                      <a:off x="0" y="0"/>
                      <a:ext cx="5251135" cy="1917382"/>
                    </a:xfrm>
                    <a:prstGeom prst="rect">
                      <a:avLst/>
                    </a:prstGeom>
                  </pic:spPr>
                </pic:pic>
              </a:graphicData>
            </a:graphic>
          </wp:anchor>
        </w:drawing>
      </w:r>
    </w:p>
    <w:p>
      <w:pPr>
        <w:pStyle w:val="BodyText"/>
        <w:spacing w:before="2"/>
        <w:rPr>
          <w:rFonts w:ascii="Times New Roman"/>
          <w:sz w:val="22"/>
        </w:rPr>
      </w:pPr>
    </w:p>
    <w:p>
      <w:pPr>
        <w:tabs>
          <w:tab w:pos="4339" w:val="left" w:leader="none"/>
          <w:tab w:pos="5041" w:val="left" w:leader="none"/>
          <w:tab w:pos="5712" w:val="left" w:leader="none"/>
          <w:tab w:pos="7192" w:val="left" w:leader="none"/>
          <w:tab w:pos="8814" w:val="left" w:leader="none"/>
          <w:tab w:pos="9514" w:val="left" w:leader="none"/>
        </w:tabs>
        <w:spacing w:line="244" w:lineRule="auto" w:before="38"/>
        <w:ind w:left="1916" w:right="510" w:firstLine="0"/>
        <w:jc w:val="left"/>
        <w:rPr>
          <w:b/>
          <w:sz w:val="33"/>
        </w:rPr>
      </w:pPr>
      <w:r>
        <w:rPr>
          <w:b/>
          <w:color w:val="585858"/>
          <w:sz w:val="33"/>
        </w:rPr>
        <w:t>FISCALIZACIÓN</w:t>
        <w:tab/>
        <w:t>DE</w:t>
        <w:tab/>
        <w:t>LA</w:t>
        <w:tab/>
        <w:t>CUENTA</w:t>
        <w:tab/>
        <w:t>GENERAL</w:t>
        <w:tab/>
        <w:t>DE</w:t>
        <w:tab/>
      </w:r>
      <w:r>
        <w:rPr>
          <w:b/>
          <w:color w:val="585858"/>
          <w:spacing w:val="-6"/>
          <w:sz w:val="33"/>
        </w:rPr>
        <w:t>LA </w:t>
      </w:r>
      <w:r>
        <w:rPr>
          <w:b/>
          <w:color w:val="585858"/>
          <w:sz w:val="33"/>
        </w:rPr>
        <w:t>COMUNIDAD AUTÓNOMA DE CANARIAS, EJERCICIO</w:t>
      </w:r>
      <w:r>
        <w:rPr>
          <w:b/>
          <w:color w:val="585858"/>
          <w:spacing w:val="12"/>
          <w:sz w:val="33"/>
        </w:rPr>
        <w:t> </w:t>
      </w:r>
      <w:r>
        <w:rPr>
          <w:b/>
          <w:color w:val="585858"/>
          <w:sz w:val="33"/>
        </w:rPr>
        <w:t>2022</w:t>
      </w:r>
    </w:p>
    <w:p>
      <w:pPr>
        <w:pStyle w:val="BodyText"/>
        <w:rPr>
          <w:b/>
          <w:sz w:val="34"/>
        </w:rPr>
      </w:pPr>
    </w:p>
    <w:p>
      <w:pPr>
        <w:pStyle w:val="BodyText"/>
        <w:spacing w:before="9"/>
        <w:rPr>
          <w:b/>
          <w:sz w:val="42"/>
        </w:rPr>
      </w:pPr>
    </w:p>
    <w:p>
      <w:pPr>
        <w:spacing w:before="0"/>
        <w:ind w:left="1916" w:right="0" w:firstLine="0"/>
        <w:jc w:val="left"/>
        <w:rPr>
          <w:sz w:val="30"/>
        </w:rPr>
      </w:pPr>
      <w:r>
        <w:rPr>
          <w:color w:val="585858"/>
          <w:sz w:val="30"/>
        </w:rPr>
        <w:t>28 DE DICIEMBRE DE 2023</w:t>
      </w:r>
    </w:p>
    <w:p>
      <w:pPr>
        <w:pStyle w:val="BodyText"/>
        <w:spacing w:before="2"/>
        <w:rPr>
          <w:sz w:val="12"/>
        </w:rPr>
      </w:pPr>
      <w:r>
        <w:rPr/>
        <w:pict>
          <v:shape style="position:absolute;margin-left:133.834412pt;margin-top:10.059695pt;width:413.65pt;height:.1pt;mso-position-horizontal-relative:page;mso-position-vertical-relative:paragraph;z-index:-251657216;mso-wrap-distance-left:0;mso-wrap-distance-right:0" coordorigin="2677,201" coordsize="8273,0" path="m2677,201l10949,201e" filled="false" stroked="true" strokeweight="1.259570pt" strokecolor="#99cccc">
            <v:path arrowok="t"/>
            <v:stroke dashstyl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8"/>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70"/>
        <w:gridCol w:w="1676"/>
        <w:gridCol w:w="1490"/>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70" w:type="dxa"/>
          </w:tcPr>
          <w:p>
            <w:pPr>
              <w:pStyle w:val="TableParagraph"/>
              <w:spacing w:before="28"/>
              <w:ind w:left="60"/>
              <w:rPr>
                <w:rFonts w:ascii="Arial" w:hAnsi="Arial"/>
                <w:sz w:val="11"/>
              </w:rPr>
            </w:pPr>
            <w:r>
              <w:rPr>
                <w:rFonts w:ascii="Arial" w:hAnsi="Arial"/>
                <w:sz w:val="11"/>
              </w:rPr>
              <w:t>PEDRO PACHECO GONZÁLEZ - Presidente</w:t>
            </w:r>
          </w:p>
        </w:tc>
        <w:tc>
          <w:tcPr>
            <w:tcW w:w="1676" w:type="dxa"/>
          </w:tcPr>
          <w:p>
            <w:pPr>
              <w:pStyle w:val="TableParagraph"/>
              <w:spacing w:before="28"/>
              <w:ind w:left="59"/>
              <w:rPr>
                <w:rFonts w:ascii="Arial"/>
                <w:sz w:val="11"/>
              </w:rPr>
            </w:pPr>
            <w:r>
              <w:rPr>
                <w:rFonts w:ascii="Arial"/>
                <w:sz w:val="11"/>
              </w:rPr>
              <w:t>Fecha: 29-12-2023 10:26:53</w:t>
            </w:r>
          </w:p>
        </w:tc>
        <w:tc>
          <w:tcPr>
            <w:tcW w:w="1490" w:type="dxa"/>
            <w:vMerge w:val="restart"/>
          </w:tcPr>
          <w:p>
            <w:pPr>
              <w:pStyle w:val="TableParagraph"/>
              <w:spacing w:before="9"/>
              <w:rPr>
                <w:sz w:val="9"/>
              </w:rPr>
            </w:pPr>
          </w:p>
          <w:p>
            <w:pPr>
              <w:pStyle w:val="TableParagraph"/>
              <w:ind w:left="324"/>
              <w:rPr>
                <w:sz w:val="20"/>
              </w:rPr>
            </w:pPr>
            <w:r>
              <w:rPr>
                <w:sz w:val="20"/>
              </w:rPr>
              <w:drawing>
                <wp:inline distT="0" distB="0" distL="0" distR="0">
                  <wp:extent cx="514350" cy="514350"/>
                  <wp:effectExtent l="0" t="0" r="0" b="0"/>
                  <wp:docPr id="5" name="image5.png"/>
                  <wp:cNvGraphicFramePr>
                    <a:graphicFrameLocks noChangeAspect="1"/>
                  </wp:cNvGraphicFramePr>
                  <a:graphic>
                    <a:graphicData uri="http://schemas.openxmlformats.org/drawingml/2006/picture">
                      <pic:pic>
                        <pic:nvPicPr>
                          <pic:cNvPr id="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70" w:type="dxa"/>
          </w:tcPr>
          <w:p>
            <w:pPr>
              <w:pStyle w:val="TableParagraph"/>
              <w:spacing w:before="28"/>
              <w:ind w:left="60"/>
              <w:rPr>
                <w:rFonts w:ascii="Arial" w:hAnsi="Arial"/>
                <w:sz w:val="11"/>
              </w:rPr>
            </w:pPr>
            <w:r>
              <w:rPr>
                <w:rFonts w:ascii="Arial" w:hAnsi="Arial"/>
                <w:sz w:val="11"/>
              </w:rPr>
              <w:t>SALIDA - Nº: 2023-001719</w:t>
            </w:r>
          </w:p>
        </w:tc>
        <w:tc>
          <w:tcPr>
            <w:tcW w:w="1676" w:type="dxa"/>
          </w:tcPr>
          <w:p>
            <w:pPr>
              <w:pStyle w:val="TableParagraph"/>
              <w:spacing w:before="28"/>
              <w:ind w:left="59"/>
              <w:rPr>
                <w:rFonts w:ascii="Arial"/>
                <w:sz w:val="11"/>
              </w:rPr>
            </w:pPr>
            <w:r>
              <w:rPr>
                <w:rFonts w:ascii="Arial"/>
                <w:sz w:val="11"/>
              </w:rPr>
              <w:t>Fecha: 29-12-2023 11:10</w:t>
            </w:r>
          </w:p>
        </w:tc>
        <w:tc>
          <w:tcPr>
            <w:tcW w:w="1490" w:type="dxa"/>
            <w:vMerge/>
            <w:tcBorders>
              <w:top w:val="nil"/>
            </w:tcBorders>
          </w:tcPr>
          <w:p>
            <w:pPr>
              <w:rPr>
                <w:sz w:val="2"/>
                <w:szCs w:val="2"/>
              </w:rPr>
            </w:pPr>
          </w:p>
        </w:tc>
      </w:tr>
      <w:tr>
        <w:trPr>
          <w:trHeight w:val="473" w:hRule="atLeast"/>
        </w:trPr>
        <w:tc>
          <w:tcPr>
            <w:tcW w:w="8663" w:type="dxa"/>
            <w:gridSpan w:val="3"/>
          </w:tcPr>
          <w:p>
            <w:pPr>
              <w:pStyle w:val="TableParagraph"/>
              <w:spacing w:line="352" w:lineRule="auto" w:before="78"/>
              <w:ind w:left="1350" w:right="644"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90" w:type="dxa"/>
            <w:vMerge/>
            <w:tcBorders>
              <w:top w:val="nil"/>
            </w:tcBorders>
          </w:tcPr>
          <w:p>
            <w:pPr>
              <w:rPr>
                <w:sz w:val="2"/>
                <w:szCs w:val="2"/>
              </w:rPr>
            </w:pPr>
          </w:p>
        </w:tc>
      </w:tr>
      <w:tr>
        <w:trPr>
          <w:trHeight w:val="199" w:hRule="atLeast"/>
        </w:trPr>
        <w:tc>
          <w:tcPr>
            <w:tcW w:w="8663" w:type="dxa"/>
            <w:gridSpan w:val="3"/>
          </w:tcPr>
          <w:p>
            <w:pPr>
              <w:pStyle w:val="TableParagraph"/>
              <w:tabs>
                <w:tab w:pos="4666" w:val="left" w:leader="none"/>
                <w:tab w:pos="5929"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1/247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90" w:type="dxa"/>
            <w:vMerge/>
            <w:tcBorders>
              <w:top w:val="nil"/>
            </w:tcBorders>
          </w:tcPr>
          <w:p>
            <w:pPr>
              <w:rPr>
                <w:sz w:val="2"/>
                <w:szCs w:val="2"/>
              </w:rPr>
            </w:pPr>
          </w:p>
        </w:tc>
      </w:tr>
    </w:tbl>
    <w:p>
      <w:pPr>
        <w:spacing w:after="0"/>
        <w:rPr>
          <w:sz w:val="2"/>
          <w:szCs w:val="2"/>
        </w:rPr>
        <w:sectPr>
          <w:footerReference w:type="default" r:id="rId5"/>
          <w:type w:val="continuous"/>
          <w:pgSz w:w="11900" w:h="16840"/>
          <w:pgMar w:footer="926" w:top="1600" w:bottom="1120" w:left="760" w:right="760"/>
        </w:sectPr>
      </w:pPr>
    </w:p>
    <w:p>
      <w:pPr>
        <w:pStyle w:val="BodyText"/>
        <w:ind w:left="2095"/>
      </w:pPr>
      <w:r>
        <w:rPr/>
        <w:drawing>
          <wp:inline distT="0" distB="0" distL="0" distR="0">
            <wp:extent cx="1296525" cy="468629"/>
            <wp:effectExtent l="0" t="0" r="0" b="0"/>
            <wp:docPr id="7" name="image6.jpeg"/>
            <wp:cNvGraphicFramePr>
              <a:graphicFrameLocks noChangeAspect="1"/>
            </wp:cNvGraphicFramePr>
            <a:graphic>
              <a:graphicData uri="http://schemas.openxmlformats.org/drawingml/2006/picture">
                <pic:pic>
                  <pic:nvPicPr>
                    <pic:cNvPr id="8" name="image6.jpeg"/>
                    <pic:cNvPicPr/>
                  </pic:nvPicPr>
                  <pic:blipFill>
                    <a:blip r:embed="rId9" cstate="print"/>
                    <a:stretch>
                      <a:fillRect/>
                    </a:stretch>
                  </pic:blipFill>
                  <pic:spPr>
                    <a:xfrm>
                      <a:off x="0" y="0"/>
                      <a:ext cx="1296525" cy="468629"/>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5"/>
        </w:rPr>
      </w:pPr>
    </w:p>
    <w:p>
      <w:pPr>
        <w:pStyle w:val="BodyText"/>
        <w:spacing w:line="242" w:lineRule="auto" w:before="61"/>
        <w:ind w:left="2095" w:right="1135" w:firstLine="605"/>
        <w:jc w:val="both"/>
      </w:pPr>
      <w:r>
        <w:rPr/>
        <w:t>El Pleno de la Audiencia de Cuentas de Canarias, en el ejercicio de la función fiscalizadora establecida en el artículo 5.1 de la Ley 4/1989, de 2 de mayo, y a tenor de lo previsto en el artículo 18 de la misma disposición y concordantes del Reglamento de Organización y Funcionamiento, ha aprobado, en su sesión de 28 de diciembre de 2023, el Informe de Fiscalización de la Cuenta General de la Comunidad Autónoma de Canarias,</w:t>
      </w:r>
      <w:r>
        <w:rPr>
          <w:spacing w:val="-4"/>
        </w:rPr>
        <w:t> </w:t>
      </w:r>
      <w:r>
        <w:rPr/>
        <w:t>ejercicio</w:t>
      </w:r>
      <w:r>
        <w:rPr>
          <w:spacing w:val="-3"/>
        </w:rPr>
        <w:t> </w:t>
      </w:r>
      <w:r>
        <w:rPr/>
        <w:t>2022.</w:t>
      </w:r>
      <w:r>
        <w:rPr>
          <w:spacing w:val="-6"/>
        </w:rPr>
        <w:t> </w:t>
      </w:r>
      <w:r>
        <w:rPr/>
        <w:t>Asimismo,</w:t>
      </w:r>
      <w:r>
        <w:rPr>
          <w:spacing w:val="-3"/>
        </w:rPr>
        <w:t> </w:t>
      </w:r>
      <w:r>
        <w:rPr/>
        <w:t>de</w:t>
      </w:r>
      <w:r>
        <w:rPr>
          <w:spacing w:val="-3"/>
        </w:rPr>
        <w:t> </w:t>
      </w:r>
      <w:r>
        <w:rPr/>
        <w:t>acuerdo</w:t>
      </w:r>
      <w:r>
        <w:rPr>
          <w:spacing w:val="-2"/>
        </w:rPr>
        <w:t> </w:t>
      </w:r>
      <w:r>
        <w:rPr/>
        <w:t>con</w:t>
      </w:r>
      <w:r>
        <w:rPr>
          <w:spacing w:val="-3"/>
        </w:rPr>
        <w:t> </w:t>
      </w:r>
      <w:r>
        <w:rPr/>
        <w:t>lo</w:t>
      </w:r>
      <w:r>
        <w:rPr>
          <w:spacing w:val="-5"/>
        </w:rPr>
        <w:t> </w:t>
      </w:r>
      <w:r>
        <w:rPr/>
        <w:t>previsto</w:t>
      </w:r>
      <w:r>
        <w:rPr>
          <w:spacing w:val="-3"/>
        </w:rPr>
        <w:t> </w:t>
      </w:r>
      <w:r>
        <w:rPr/>
        <w:t>en</w:t>
      </w:r>
      <w:r>
        <w:rPr>
          <w:spacing w:val="-3"/>
        </w:rPr>
        <w:t> </w:t>
      </w:r>
      <w:r>
        <w:rPr/>
        <w:t>el</w:t>
      </w:r>
      <w:r>
        <w:rPr>
          <w:spacing w:val="-5"/>
        </w:rPr>
        <w:t> </w:t>
      </w:r>
      <w:r>
        <w:rPr/>
        <w:t>artículo 19</w:t>
      </w:r>
      <w:r>
        <w:rPr>
          <w:spacing w:val="-4"/>
        </w:rPr>
        <w:t> </w:t>
      </w:r>
      <w:r>
        <w:rPr/>
        <w:t>de</w:t>
      </w:r>
      <w:r>
        <w:rPr>
          <w:spacing w:val="-5"/>
        </w:rPr>
        <w:t> </w:t>
      </w:r>
      <w:r>
        <w:rPr/>
        <w:t>la</w:t>
      </w:r>
      <w:r>
        <w:rPr>
          <w:spacing w:val="-3"/>
        </w:rPr>
        <w:t> </w:t>
      </w:r>
      <w:r>
        <w:rPr/>
        <w:t>Ley 4/1989, ha acordado su elevación al Parlamento de Canarias y su remisión al Tribunal de</w:t>
      </w:r>
      <w:r>
        <w:rPr>
          <w:spacing w:val="-4"/>
        </w:rPr>
        <w:t> </w:t>
      </w:r>
      <w:r>
        <w:rPr/>
        <w:t>Cuentas</w:t>
      </w:r>
      <w:r>
        <w:rPr>
          <w:spacing w:val="-3"/>
        </w:rPr>
        <w:t> </w:t>
      </w:r>
      <w:r>
        <w:rPr/>
        <w:t>y</w:t>
      </w:r>
      <w:r>
        <w:rPr>
          <w:spacing w:val="-4"/>
        </w:rPr>
        <w:t> </w:t>
      </w:r>
      <w:r>
        <w:rPr/>
        <w:t>a</w:t>
      </w:r>
      <w:r>
        <w:rPr>
          <w:spacing w:val="-6"/>
        </w:rPr>
        <w:t> </w:t>
      </w:r>
      <w:r>
        <w:rPr/>
        <w:t>la</w:t>
      </w:r>
      <w:r>
        <w:rPr>
          <w:spacing w:val="-3"/>
        </w:rPr>
        <w:t> </w:t>
      </w:r>
      <w:r>
        <w:rPr/>
        <w:t>Intervención</w:t>
      </w:r>
      <w:r>
        <w:rPr>
          <w:spacing w:val="-2"/>
        </w:rPr>
        <w:t> </w:t>
      </w:r>
      <w:r>
        <w:rPr/>
        <w:t>General</w:t>
      </w:r>
      <w:r>
        <w:rPr>
          <w:spacing w:val="-3"/>
        </w:rPr>
        <w:t> </w:t>
      </w:r>
      <w:r>
        <w:rPr/>
        <w:t>de</w:t>
      </w:r>
      <w:r>
        <w:rPr>
          <w:spacing w:val="-4"/>
        </w:rPr>
        <w:t> </w:t>
      </w:r>
      <w:r>
        <w:rPr/>
        <w:t>la</w:t>
      </w:r>
      <w:r>
        <w:rPr>
          <w:spacing w:val="-5"/>
        </w:rPr>
        <w:t> </w:t>
      </w:r>
      <w:r>
        <w:rPr/>
        <w:t>Administración</w:t>
      </w:r>
      <w:r>
        <w:rPr>
          <w:spacing w:val="-5"/>
        </w:rPr>
        <w:t> </w:t>
      </w:r>
      <w:r>
        <w:rPr/>
        <w:t>de</w:t>
      </w:r>
      <w:r>
        <w:rPr>
          <w:spacing w:val="-3"/>
        </w:rPr>
        <w:t> </w:t>
      </w:r>
      <w:r>
        <w:rPr/>
        <w:t>la</w:t>
      </w:r>
      <w:r>
        <w:rPr>
          <w:spacing w:val="-6"/>
        </w:rPr>
        <w:t> </w:t>
      </w:r>
      <w:r>
        <w:rPr/>
        <w:t>Comunidad</w:t>
      </w:r>
      <w:r>
        <w:rPr>
          <w:spacing w:val="-2"/>
        </w:rPr>
        <w:t> </w:t>
      </w:r>
      <w:r>
        <w:rPr/>
        <w:t>Autónoma de</w:t>
      </w:r>
      <w:r>
        <w:rPr>
          <w:spacing w:val="1"/>
        </w:rPr>
        <w:t> </w:t>
      </w:r>
      <w:r>
        <w:rPr/>
        <w:t>Canarias.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8"/>
        <w:gridCol w:w="5869"/>
        <w:gridCol w:w="1677"/>
        <w:gridCol w:w="1491"/>
      </w:tblGrid>
      <w:tr>
        <w:trPr>
          <w:trHeight w:val="186" w:hRule="atLeast"/>
        </w:trPr>
        <w:tc>
          <w:tcPr>
            <w:tcW w:w="1118" w:type="dxa"/>
            <w:shd w:val="clear" w:color="auto" w:fill="F0F0F0"/>
          </w:tcPr>
          <w:p>
            <w:pPr>
              <w:pStyle w:val="TableParagraph"/>
              <w:spacing w:before="28"/>
              <w:ind w:right="202"/>
              <w:jc w:val="right"/>
              <w:rPr>
                <w:rFonts w:ascii="Arial"/>
                <w:b/>
                <w:sz w:val="11"/>
              </w:rPr>
            </w:pPr>
            <w:r>
              <w:rPr>
                <w:rFonts w:ascii="Arial"/>
                <w:b/>
                <w:sz w:val="11"/>
              </w:rPr>
              <w:t>Firmado por:</w:t>
            </w:r>
          </w:p>
        </w:tc>
        <w:tc>
          <w:tcPr>
            <w:tcW w:w="5869" w:type="dxa"/>
          </w:tcPr>
          <w:p>
            <w:pPr>
              <w:pStyle w:val="TableParagraph"/>
              <w:spacing w:before="28"/>
              <w:ind w:left="60"/>
              <w:rPr>
                <w:rFonts w:ascii="Arial" w:hAnsi="Arial"/>
                <w:sz w:val="11"/>
              </w:rPr>
            </w:pPr>
            <w:r>
              <w:rPr>
                <w:rFonts w:ascii="Arial" w:hAnsi="Arial"/>
                <w:sz w:val="11"/>
              </w:rPr>
              <w:t>PEDRO PACHECO GONZÁLEZ - Presidente</w:t>
            </w:r>
          </w:p>
        </w:tc>
        <w:tc>
          <w:tcPr>
            <w:tcW w:w="1677" w:type="dxa"/>
          </w:tcPr>
          <w:p>
            <w:pPr>
              <w:pStyle w:val="TableParagraph"/>
              <w:spacing w:before="28"/>
              <w:ind w:left="60"/>
              <w:rPr>
                <w:rFonts w:ascii="Arial"/>
                <w:sz w:val="11"/>
              </w:rPr>
            </w:pPr>
            <w:r>
              <w:rPr>
                <w:rFonts w:ascii="Arial"/>
                <w:sz w:val="11"/>
              </w:rPr>
              <w:t>Fecha: 29-12-2023 10:26:53</w:t>
            </w:r>
          </w:p>
        </w:tc>
        <w:tc>
          <w:tcPr>
            <w:tcW w:w="1491" w:type="dxa"/>
            <w:vMerge w:val="restart"/>
          </w:tcPr>
          <w:p>
            <w:pPr>
              <w:pStyle w:val="TableParagraph"/>
              <w:spacing w:before="9"/>
              <w:rPr>
                <w:sz w:val="9"/>
              </w:rPr>
            </w:pPr>
          </w:p>
          <w:p>
            <w:pPr>
              <w:pStyle w:val="TableParagraph"/>
              <w:ind w:left="326"/>
              <w:rPr>
                <w:sz w:val="20"/>
              </w:rPr>
            </w:pPr>
            <w:r>
              <w:rPr>
                <w:sz w:val="20"/>
              </w:rPr>
              <w:drawing>
                <wp:inline distT="0" distB="0" distL="0" distR="0">
                  <wp:extent cx="514350" cy="514350"/>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8" w:type="dxa"/>
            <w:shd w:val="clear" w:color="auto" w:fill="F0F0F0"/>
          </w:tcPr>
          <w:p>
            <w:pPr>
              <w:pStyle w:val="TableParagraph"/>
              <w:spacing w:before="28"/>
              <w:ind w:right="155"/>
              <w:jc w:val="right"/>
              <w:rPr>
                <w:rFonts w:ascii="Arial"/>
                <w:b/>
                <w:sz w:val="11"/>
              </w:rPr>
            </w:pPr>
            <w:r>
              <w:rPr>
                <w:rFonts w:ascii="Arial"/>
                <w:b/>
                <w:sz w:val="11"/>
              </w:rPr>
              <w:t>Registrado en:</w:t>
            </w:r>
          </w:p>
        </w:tc>
        <w:tc>
          <w:tcPr>
            <w:tcW w:w="5869" w:type="dxa"/>
          </w:tcPr>
          <w:p>
            <w:pPr>
              <w:pStyle w:val="TableParagraph"/>
              <w:spacing w:before="28"/>
              <w:ind w:left="60"/>
              <w:rPr>
                <w:rFonts w:ascii="Arial" w:hAnsi="Arial"/>
                <w:sz w:val="11"/>
              </w:rPr>
            </w:pPr>
            <w:r>
              <w:rPr>
                <w:rFonts w:ascii="Arial" w:hAnsi="Arial"/>
                <w:sz w:val="11"/>
              </w:rPr>
              <w:t>SALIDA - Nº: 2023-001719</w:t>
            </w:r>
          </w:p>
        </w:tc>
        <w:tc>
          <w:tcPr>
            <w:tcW w:w="1677" w:type="dxa"/>
          </w:tcPr>
          <w:p>
            <w:pPr>
              <w:pStyle w:val="TableParagraph"/>
              <w:spacing w:before="28"/>
              <w:ind w:left="60"/>
              <w:rPr>
                <w:rFonts w:ascii="Arial"/>
                <w:sz w:val="11"/>
              </w:rPr>
            </w:pPr>
            <w:r>
              <w:rPr>
                <w:rFonts w:ascii="Arial"/>
                <w:sz w:val="11"/>
              </w:rPr>
              <w:t>Fecha: 29-12-2023 11:10</w:t>
            </w:r>
          </w:p>
        </w:tc>
        <w:tc>
          <w:tcPr>
            <w:tcW w:w="1491" w:type="dxa"/>
            <w:vMerge/>
            <w:tcBorders>
              <w:top w:val="nil"/>
            </w:tcBorders>
          </w:tcPr>
          <w:p>
            <w:pPr>
              <w:rPr>
                <w:sz w:val="2"/>
                <w:szCs w:val="2"/>
              </w:rPr>
            </w:pPr>
          </w:p>
        </w:tc>
      </w:tr>
      <w:tr>
        <w:trPr>
          <w:trHeight w:val="474" w:hRule="atLeast"/>
        </w:trPr>
        <w:tc>
          <w:tcPr>
            <w:tcW w:w="8664" w:type="dxa"/>
            <w:gridSpan w:val="3"/>
          </w:tcPr>
          <w:p>
            <w:pPr>
              <w:pStyle w:val="TableParagraph"/>
              <w:spacing w:line="352" w:lineRule="auto" w:before="78"/>
              <w:ind w:left="1349" w:right="646"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91" w:type="dxa"/>
            <w:vMerge/>
            <w:tcBorders>
              <w:top w:val="nil"/>
            </w:tcBorders>
          </w:tcPr>
          <w:p>
            <w:pPr>
              <w:rPr>
                <w:sz w:val="2"/>
                <w:szCs w:val="2"/>
              </w:rPr>
            </w:pPr>
          </w:p>
        </w:tc>
      </w:tr>
      <w:tr>
        <w:trPr>
          <w:trHeight w:val="199" w:hRule="atLeast"/>
        </w:trPr>
        <w:tc>
          <w:tcPr>
            <w:tcW w:w="8664" w:type="dxa"/>
            <w:gridSpan w:val="3"/>
          </w:tcPr>
          <w:p>
            <w:pPr>
              <w:pStyle w:val="TableParagraph"/>
              <w:tabs>
                <w:tab w:pos="4667" w:val="left" w:leader="none"/>
                <w:tab w:pos="5929" w:val="left" w:leader="none"/>
              </w:tabs>
              <w:spacing w:before="31"/>
              <w:ind w:left="55"/>
              <w:rPr>
                <w:rFonts w:ascii="Arial" w:hAnsi="Arial"/>
                <w:sz w:val="11"/>
              </w:rPr>
            </w:pPr>
            <w:r>
              <w:rPr>
                <w:rFonts w:ascii="Arial" w:hAnsi="Arial"/>
                <w:sz w:val="11"/>
              </w:rPr>
              <w:t>Fecha de sellado electrónico:</w:t>
            </w:r>
            <w:r>
              <w:rPr>
                <w:rFonts w:ascii="Arial" w:hAnsi="Arial"/>
                <w:spacing w:val="21"/>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2/247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2"/>
                <w:sz w:val="11"/>
              </w:rPr>
              <w:t> </w:t>
            </w:r>
            <w:r>
              <w:rPr>
                <w:rFonts w:ascii="Arial" w:hAnsi="Arial"/>
                <w:sz w:val="11"/>
              </w:rPr>
              <w:t>11:14:25</w:t>
            </w:r>
          </w:p>
        </w:tc>
        <w:tc>
          <w:tcPr>
            <w:tcW w:w="1491" w:type="dxa"/>
            <w:vMerge/>
            <w:tcBorders>
              <w:top w:val="nil"/>
            </w:tcBorders>
          </w:tcPr>
          <w:p>
            <w:pPr>
              <w:rPr>
                <w:sz w:val="2"/>
                <w:szCs w:val="2"/>
              </w:rPr>
            </w:pPr>
          </w:p>
        </w:tc>
      </w:tr>
    </w:tbl>
    <w:p>
      <w:pPr>
        <w:spacing w:after="0"/>
        <w:rPr>
          <w:sz w:val="2"/>
          <w:szCs w:val="2"/>
        </w:rPr>
        <w:sectPr>
          <w:pgSz w:w="11900" w:h="16840"/>
          <w:pgMar w:header="0" w:footer="926" w:top="1340" w:bottom="1120" w:left="760" w:right="760"/>
        </w:sectPr>
      </w:pPr>
    </w:p>
    <w:p>
      <w:pPr>
        <w:pStyle w:val="BodyText"/>
        <w:spacing w:before="10"/>
        <w:rPr>
          <w:sz w:val="12"/>
        </w:rPr>
      </w:pPr>
    </w:p>
    <w:tbl>
      <w:tblPr>
        <w:tblW w:w="0" w:type="auto"/>
        <w:jc w:val="left"/>
        <w:tblInd w:w="2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154"/>
      </w:tblGrid>
      <w:tr>
        <w:trPr>
          <w:trHeight w:val="725" w:hRule="atLeast"/>
        </w:trPr>
        <w:tc>
          <w:tcPr>
            <w:tcW w:w="7154" w:type="dxa"/>
          </w:tcPr>
          <w:p>
            <w:pPr>
              <w:pStyle w:val="TableParagraph"/>
              <w:spacing w:before="60"/>
              <w:ind w:left="582" w:hanging="123"/>
              <w:rPr>
                <w:b/>
                <w:sz w:val="25"/>
              </w:rPr>
            </w:pPr>
            <w:r>
              <w:rPr>
                <w:b/>
                <w:sz w:val="25"/>
              </w:rPr>
              <w:t>INFORME DE FISCALIZACIÓN DE LA CUENTA GENERAL DE LA COMUNIDAD AUTÓNOMA DE CANARIAS, EJERCICIO 2022</w:t>
            </w:r>
          </w:p>
        </w:tc>
      </w:tr>
    </w:tbl>
    <w:p>
      <w:pPr>
        <w:pStyle w:val="BodyText"/>
        <w:spacing w:before="1"/>
      </w:pPr>
    </w:p>
    <w:p>
      <w:pPr>
        <w:spacing w:before="53"/>
        <w:ind w:left="952" w:right="0" w:firstLine="0"/>
        <w:jc w:val="center"/>
        <w:rPr>
          <w:b/>
          <w:sz w:val="26"/>
        </w:rPr>
      </w:pPr>
      <w:r>
        <w:rPr>
          <w:b/>
          <w:w w:val="105"/>
          <w:sz w:val="26"/>
        </w:rPr>
        <w:t>ÍNDICE:</w:t>
      </w:r>
    </w:p>
    <w:p>
      <w:pPr>
        <w:pStyle w:val="Heading1"/>
        <w:tabs>
          <w:tab w:pos="9117" w:val="left" w:leader="dot"/>
        </w:tabs>
        <w:spacing w:before="331"/>
        <w:ind w:left="2096"/>
        <w:jc w:val="left"/>
      </w:pPr>
      <w:r>
        <w:rPr/>
        <w:t>ABREVIATURAS, SIGLAS</w:t>
      </w:r>
      <w:r>
        <w:rPr>
          <w:spacing w:val="2"/>
        </w:rPr>
        <w:t> </w:t>
      </w:r>
      <w:r>
        <w:rPr/>
        <w:t>Y</w:t>
      </w:r>
      <w:r>
        <w:rPr>
          <w:spacing w:val="3"/>
        </w:rPr>
        <w:t> </w:t>
      </w:r>
      <w:r>
        <w:rPr/>
        <w:t>ACRÓNIMOS</w:t>
        <w:tab/>
        <w:t>6</w:t>
      </w:r>
    </w:p>
    <w:p>
      <w:pPr>
        <w:pStyle w:val="Heading1"/>
        <w:numPr>
          <w:ilvl w:val="0"/>
          <w:numId w:val="1"/>
        </w:numPr>
        <w:tabs>
          <w:tab w:pos="2452" w:val="left" w:leader="none"/>
          <w:tab w:pos="2453" w:val="left" w:leader="none"/>
          <w:tab w:pos="9122" w:val="left" w:leader="dot"/>
        </w:tabs>
        <w:spacing w:line="240" w:lineRule="auto" w:before="203" w:after="0"/>
        <w:ind w:left="2453" w:right="0" w:hanging="357"/>
        <w:jc w:val="left"/>
      </w:pPr>
      <w:r>
        <w:rPr/>
        <w:t>INTRODUCCIÓN</w:t>
        <w:tab/>
        <w:t>9</w:t>
      </w:r>
    </w:p>
    <w:p>
      <w:pPr>
        <w:pStyle w:val="ListParagraph"/>
        <w:numPr>
          <w:ilvl w:val="1"/>
          <w:numId w:val="1"/>
        </w:numPr>
        <w:tabs>
          <w:tab w:pos="2928" w:val="left" w:leader="none"/>
          <w:tab w:pos="2929" w:val="left" w:leader="none"/>
          <w:tab w:pos="9122" w:val="left" w:leader="dot"/>
        </w:tabs>
        <w:spacing w:line="240" w:lineRule="auto" w:before="103" w:after="0"/>
        <w:ind w:left="2928" w:right="0" w:hanging="648"/>
        <w:jc w:val="left"/>
        <w:rPr>
          <w:sz w:val="20"/>
        </w:rPr>
      </w:pPr>
      <w:r>
        <w:rPr>
          <w:sz w:val="20"/>
        </w:rPr>
        <w:t>Justificación</w:t>
        <w:tab/>
        <w:t>9</w:t>
      </w:r>
    </w:p>
    <w:p>
      <w:pPr>
        <w:pStyle w:val="ListParagraph"/>
        <w:numPr>
          <w:ilvl w:val="1"/>
          <w:numId w:val="1"/>
        </w:numPr>
        <w:tabs>
          <w:tab w:pos="2928" w:val="left" w:leader="none"/>
          <w:tab w:pos="2929" w:val="left" w:leader="none"/>
          <w:tab w:pos="9122" w:val="left" w:leader="dot"/>
        </w:tabs>
        <w:spacing w:line="240" w:lineRule="auto" w:before="104" w:after="0"/>
        <w:ind w:left="2928" w:right="0" w:hanging="648"/>
        <w:jc w:val="left"/>
        <w:rPr>
          <w:sz w:val="20"/>
        </w:rPr>
      </w:pPr>
      <w:r>
        <w:rPr>
          <w:sz w:val="20"/>
        </w:rPr>
        <w:t>Objetivos.</w:t>
        <w:tab/>
        <w:t>9</w:t>
      </w:r>
    </w:p>
    <w:p>
      <w:pPr>
        <w:pStyle w:val="ListParagraph"/>
        <w:numPr>
          <w:ilvl w:val="1"/>
          <w:numId w:val="1"/>
        </w:numPr>
        <w:tabs>
          <w:tab w:pos="2928" w:val="left" w:leader="none"/>
          <w:tab w:pos="2929" w:val="left" w:leader="none"/>
          <w:tab w:pos="9122" w:val="left" w:leader="dot"/>
        </w:tabs>
        <w:spacing w:line="240" w:lineRule="auto" w:before="103" w:after="0"/>
        <w:ind w:left="2928" w:right="0" w:hanging="648"/>
        <w:jc w:val="left"/>
        <w:rPr>
          <w:sz w:val="20"/>
        </w:rPr>
      </w:pPr>
      <w:r>
        <w:rPr>
          <w:sz w:val="20"/>
        </w:rPr>
        <w:t>Alcance.</w:t>
        <w:tab/>
        <w:t>9</w:t>
      </w:r>
    </w:p>
    <w:p>
      <w:pPr>
        <w:pStyle w:val="ListParagraph"/>
        <w:numPr>
          <w:ilvl w:val="2"/>
          <w:numId w:val="1"/>
        </w:numPr>
        <w:tabs>
          <w:tab w:pos="3287" w:val="left" w:leader="none"/>
          <w:tab w:pos="3288" w:val="left" w:leader="none"/>
          <w:tab w:pos="8297" w:val="left" w:leader="dot"/>
        </w:tabs>
        <w:spacing w:line="240" w:lineRule="auto" w:before="102" w:after="0"/>
        <w:ind w:left="3287" w:right="0" w:hanging="829"/>
        <w:jc w:val="left"/>
        <w:rPr>
          <w:sz w:val="20"/>
        </w:rPr>
      </w:pPr>
      <w:r>
        <w:rPr>
          <w:sz w:val="20"/>
        </w:rPr>
        <w:t>Ámbito</w:t>
      </w:r>
      <w:r>
        <w:rPr>
          <w:spacing w:val="2"/>
          <w:sz w:val="20"/>
        </w:rPr>
        <w:t> </w:t>
      </w:r>
      <w:r>
        <w:rPr>
          <w:sz w:val="20"/>
        </w:rPr>
        <w:t>subjetivo.</w:t>
        <w:tab/>
        <w:t>9</w:t>
      </w:r>
    </w:p>
    <w:p>
      <w:pPr>
        <w:pStyle w:val="ListParagraph"/>
        <w:numPr>
          <w:ilvl w:val="2"/>
          <w:numId w:val="1"/>
        </w:numPr>
        <w:tabs>
          <w:tab w:pos="3287" w:val="left" w:leader="none"/>
          <w:tab w:pos="3288" w:val="left" w:leader="none"/>
          <w:tab w:pos="8297" w:val="left" w:leader="dot"/>
        </w:tabs>
        <w:spacing w:line="240" w:lineRule="auto" w:before="121" w:after="0"/>
        <w:ind w:left="3287" w:right="0" w:hanging="829"/>
        <w:jc w:val="left"/>
        <w:rPr>
          <w:sz w:val="20"/>
        </w:rPr>
      </w:pPr>
      <w:r>
        <w:rPr>
          <w:sz w:val="20"/>
        </w:rPr>
        <w:t>Ámbito</w:t>
      </w:r>
      <w:r>
        <w:rPr>
          <w:spacing w:val="2"/>
          <w:sz w:val="20"/>
        </w:rPr>
        <w:t> </w:t>
      </w:r>
      <w:r>
        <w:rPr>
          <w:sz w:val="20"/>
        </w:rPr>
        <w:t>objetivo.</w:t>
        <w:tab/>
        <w:t>9</w:t>
      </w:r>
    </w:p>
    <w:p>
      <w:pPr>
        <w:pStyle w:val="ListParagraph"/>
        <w:numPr>
          <w:ilvl w:val="2"/>
          <w:numId w:val="1"/>
        </w:numPr>
        <w:tabs>
          <w:tab w:pos="3287" w:val="left" w:leader="none"/>
          <w:tab w:pos="3288" w:val="left" w:leader="none"/>
          <w:tab w:pos="8197" w:val="left" w:leader="dot"/>
        </w:tabs>
        <w:spacing w:line="240" w:lineRule="auto" w:before="122" w:after="0"/>
        <w:ind w:left="3287" w:right="0" w:hanging="829"/>
        <w:jc w:val="left"/>
        <w:rPr>
          <w:sz w:val="20"/>
        </w:rPr>
      </w:pPr>
      <w:r>
        <w:rPr>
          <w:sz w:val="20"/>
        </w:rPr>
        <w:t>Ámbito</w:t>
      </w:r>
      <w:r>
        <w:rPr>
          <w:spacing w:val="4"/>
          <w:sz w:val="20"/>
        </w:rPr>
        <w:t> </w:t>
      </w:r>
      <w:r>
        <w:rPr>
          <w:sz w:val="20"/>
        </w:rPr>
        <w:t>temporal</w:t>
        <w:tab/>
        <w:t>10</w:t>
      </w:r>
    </w:p>
    <w:p>
      <w:pPr>
        <w:pStyle w:val="ListParagraph"/>
        <w:numPr>
          <w:ilvl w:val="1"/>
          <w:numId w:val="1"/>
        </w:numPr>
        <w:tabs>
          <w:tab w:pos="2928" w:val="left" w:leader="none"/>
          <w:tab w:pos="2929" w:val="left" w:leader="none"/>
          <w:tab w:pos="9021" w:val="left" w:leader="dot"/>
        </w:tabs>
        <w:spacing w:line="240" w:lineRule="auto" w:before="123" w:after="0"/>
        <w:ind w:left="2928" w:right="0" w:hanging="648"/>
        <w:jc w:val="left"/>
        <w:rPr>
          <w:sz w:val="20"/>
        </w:rPr>
      </w:pPr>
      <w:r>
        <w:rPr>
          <w:sz w:val="20"/>
        </w:rPr>
        <w:t>Limitación</w:t>
      </w:r>
      <w:r>
        <w:rPr>
          <w:spacing w:val="1"/>
          <w:sz w:val="20"/>
        </w:rPr>
        <w:t> </w:t>
      </w:r>
      <w:r>
        <w:rPr>
          <w:sz w:val="20"/>
        </w:rPr>
        <w:t>al</w:t>
      </w:r>
      <w:r>
        <w:rPr>
          <w:spacing w:val="2"/>
          <w:sz w:val="20"/>
        </w:rPr>
        <w:t> </w:t>
      </w:r>
      <w:r>
        <w:rPr>
          <w:sz w:val="20"/>
        </w:rPr>
        <w:t>alcance.</w:t>
        <w:tab/>
        <w:t>10</w:t>
      </w:r>
    </w:p>
    <w:p>
      <w:pPr>
        <w:pStyle w:val="ListParagraph"/>
        <w:numPr>
          <w:ilvl w:val="1"/>
          <w:numId w:val="1"/>
        </w:numPr>
        <w:tabs>
          <w:tab w:pos="2928" w:val="left" w:leader="none"/>
          <w:tab w:pos="2929" w:val="left" w:leader="none"/>
          <w:tab w:pos="9021" w:val="left" w:leader="dot"/>
        </w:tabs>
        <w:spacing w:line="240" w:lineRule="auto" w:before="102" w:after="0"/>
        <w:ind w:left="2928" w:right="0" w:hanging="648"/>
        <w:jc w:val="left"/>
        <w:rPr>
          <w:sz w:val="20"/>
        </w:rPr>
      </w:pPr>
      <w:r>
        <w:rPr>
          <w:sz w:val="20"/>
        </w:rPr>
        <w:t>Otras</w:t>
      </w:r>
      <w:r>
        <w:rPr>
          <w:spacing w:val="2"/>
          <w:sz w:val="20"/>
        </w:rPr>
        <w:t> </w:t>
      </w:r>
      <w:r>
        <w:rPr>
          <w:sz w:val="20"/>
        </w:rPr>
        <w:t>cuestiones.</w:t>
        <w:tab/>
        <w:t>10</w:t>
      </w:r>
    </w:p>
    <w:p>
      <w:pPr>
        <w:pStyle w:val="ListParagraph"/>
        <w:numPr>
          <w:ilvl w:val="1"/>
          <w:numId w:val="1"/>
        </w:numPr>
        <w:tabs>
          <w:tab w:pos="2928" w:val="left" w:leader="none"/>
          <w:tab w:pos="2929" w:val="left" w:leader="none"/>
          <w:tab w:pos="9021" w:val="left" w:leader="dot"/>
        </w:tabs>
        <w:spacing w:line="240" w:lineRule="auto" w:before="103" w:after="0"/>
        <w:ind w:left="2928" w:right="0" w:hanging="648"/>
        <w:jc w:val="left"/>
        <w:rPr>
          <w:sz w:val="20"/>
        </w:rPr>
      </w:pPr>
      <w:r>
        <w:rPr>
          <w:sz w:val="20"/>
        </w:rPr>
        <w:t>Párrafos</w:t>
      </w:r>
      <w:r>
        <w:rPr>
          <w:spacing w:val="2"/>
          <w:sz w:val="20"/>
        </w:rPr>
        <w:t> </w:t>
      </w:r>
      <w:r>
        <w:rPr>
          <w:sz w:val="20"/>
        </w:rPr>
        <w:t>de</w:t>
      </w:r>
      <w:r>
        <w:rPr>
          <w:spacing w:val="2"/>
          <w:sz w:val="20"/>
        </w:rPr>
        <w:t> </w:t>
      </w:r>
      <w:r>
        <w:rPr>
          <w:sz w:val="20"/>
        </w:rPr>
        <w:t>responsabilidad</w:t>
        <w:tab/>
        <w:t>11</w:t>
      </w:r>
    </w:p>
    <w:p>
      <w:pPr>
        <w:pStyle w:val="ListParagraph"/>
        <w:numPr>
          <w:ilvl w:val="2"/>
          <w:numId w:val="1"/>
        </w:numPr>
        <w:tabs>
          <w:tab w:pos="3287" w:val="left" w:leader="none"/>
          <w:tab w:pos="3288" w:val="left" w:leader="none"/>
          <w:tab w:pos="8197" w:val="left" w:leader="dot"/>
        </w:tabs>
        <w:spacing w:line="240" w:lineRule="auto" w:before="102" w:after="0"/>
        <w:ind w:left="3287" w:right="0" w:hanging="829"/>
        <w:jc w:val="left"/>
        <w:rPr>
          <w:sz w:val="20"/>
        </w:rPr>
      </w:pPr>
      <w:r>
        <w:rPr>
          <w:sz w:val="20"/>
        </w:rPr>
        <w:t>Responsabilidad de la Audiencia de Cuentas</w:t>
      </w:r>
      <w:r>
        <w:rPr>
          <w:spacing w:val="8"/>
          <w:sz w:val="20"/>
        </w:rPr>
        <w:t> </w:t>
      </w:r>
      <w:r>
        <w:rPr>
          <w:sz w:val="20"/>
        </w:rPr>
        <w:t>de</w:t>
      </w:r>
      <w:r>
        <w:rPr>
          <w:spacing w:val="3"/>
          <w:sz w:val="20"/>
        </w:rPr>
        <w:t> </w:t>
      </w:r>
      <w:r>
        <w:rPr>
          <w:sz w:val="20"/>
        </w:rPr>
        <w:t>Canarias.</w:t>
        <w:tab/>
        <w:t>11</w:t>
      </w:r>
    </w:p>
    <w:p>
      <w:pPr>
        <w:pStyle w:val="ListParagraph"/>
        <w:numPr>
          <w:ilvl w:val="2"/>
          <w:numId w:val="1"/>
        </w:numPr>
        <w:tabs>
          <w:tab w:pos="3287" w:val="left" w:leader="none"/>
          <w:tab w:pos="3288" w:val="left" w:leader="none"/>
          <w:tab w:pos="8197" w:val="left" w:leader="dot"/>
        </w:tabs>
        <w:spacing w:line="261" w:lineRule="auto" w:before="123" w:after="0"/>
        <w:ind w:left="3287" w:right="1971" w:hanging="829"/>
        <w:jc w:val="left"/>
        <w:rPr>
          <w:sz w:val="20"/>
        </w:rPr>
      </w:pPr>
      <w:r>
        <w:rPr>
          <w:sz w:val="20"/>
        </w:rPr>
        <w:t>Responsabilidad de la IGCAC en relación con la Cuenta General rendida</w:t>
        <w:tab/>
      </w:r>
      <w:r>
        <w:rPr>
          <w:spacing w:val="-7"/>
          <w:sz w:val="20"/>
        </w:rPr>
        <w:t>11</w:t>
      </w:r>
    </w:p>
    <w:p>
      <w:pPr>
        <w:pStyle w:val="ListParagraph"/>
        <w:numPr>
          <w:ilvl w:val="1"/>
          <w:numId w:val="1"/>
        </w:numPr>
        <w:tabs>
          <w:tab w:pos="2928" w:val="left" w:leader="none"/>
          <w:tab w:pos="2929" w:val="left" w:leader="none"/>
          <w:tab w:pos="9021" w:val="left" w:leader="dot"/>
        </w:tabs>
        <w:spacing w:line="240" w:lineRule="auto" w:before="99" w:after="0"/>
        <w:ind w:left="2928" w:right="0" w:hanging="648"/>
        <w:jc w:val="left"/>
        <w:rPr>
          <w:sz w:val="20"/>
        </w:rPr>
      </w:pPr>
      <w:r>
        <w:rPr>
          <w:sz w:val="20"/>
        </w:rPr>
        <w:t>Marco jurídico presupuestario</w:t>
      </w:r>
      <w:r>
        <w:rPr>
          <w:spacing w:val="6"/>
          <w:sz w:val="20"/>
        </w:rPr>
        <w:t> </w:t>
      </w:r>
      <w:r>
        <w:rPr>
          <w:sz w:val="20"/>
        </w:rPr>
        <w:t>y</w:t>
      </w:r>
      <w:r>
        <w:rPr>
          <w:spacing w:val="2"/>
          <w:sz w:val="20"/>
        </w:rPr>
        <w:t> </w:t>
      </w:r>
      <w:r>
        <w:rPr>
          <w:sz w:val="20"/>
        </w:rPr>
        <w:t>contable.</w:t>
        <w:tab/>
        <w:t>12</w:t>
      </w:r>
    </w:p>
    <w:p>
      <w:pPr>
        <w:pStyle w:val="Heading1"/>
        <w:numPr>
          <w:ilvl w:val="0"/>
          <w:numId w:val="1"/>
        </w:numPr>
        <w:tabs>
          <w:tab w:pos="2452" w:val="left" w:leader="none"/>
          <w:tab w:pos="2453" w:val="left" w:leader="none"/>
          <w:tab w:pos="9021" w:val="left" w:leader="dot"/>
        </w:tabs>
        <w:spacing w:line="240" w:lineRule="auto" w:before="203" w:after="0"/>
        <w:ind w:left="2453" w:right="0" w:hanging="357"/>
        <w:jc w:val="left"/>
      </w:pPr>
      <w:r>
        <w:rPr/>
        <w:t>ANÁLISIS DEL CONTENIDO Y ESTRUCTURA DE LA</w:t>
      </w:r>
      <w:r>
        <w:rPr>
          <w:spacing w:val="11"/>
        </w:rPr>
        <w:t> </w:t>
      </w:r>
      <w:r>
        <w:rPr/>
        <w:t>CUENTA</w:t>
      </w:r>
      <w:r>
        <w:rPr>
          <w:spacing w:val="1"/>
        </w:rPr>
        <w:t> </w:t>
      </w:r>
      <w:r>
        <w:rPr/>
        <w:t>GENERAL</w:t>
        <w:tab/>
        <w:t>15</w:t>
      </w:r>
    </w:p>
    <w:p>
      <w:pPr>
        <w:pStyle w:val="Heading1"/>
        <w:numPr>
          <w:ilvl w:val="0"/>
          <w:numId w:val="1"/>
        </w:numPr>
        <w:tabs>
          <w:tab w:pos="2452" w:val="left" w:leader="none"/>
          <w:tab w:pos="2453" w:val="left" w:leader="none"/>
          <w:tab w:pos="9021" w:val="left" w:leader="dot"/>
        </w:tabs>
        <w:spacing w:line="240" w:lineRule="auto" w:before="203" w:after="0"/>
        <w:ind w:left="2453" w:right="0" w:hanging="357"/>
        <w:jc w:val="left"/>
      </w:pPr>
      <w:r>
        <w:rPr/>
        <w:t>ANÁLISIS DEL</w:t>
      </w:r>
      <w:r>
        <w:rPr>
          <w:spacing w:val="3"/>
        </w:rPr>
        <w:t> </w:t>
      </w:r>
      <w:r>
        <w:rPr/>
        <w:t>CONTROL INTERNO</w:t>
        <w:tab/>
        <w:t>17</w:t>
      </w:r>
    </w:p>
    <w:p>
      <w:pPr>
        <w:pStyle w:val="ListParagraph"/>
        <w:numPr>
          <w:ilvl w:val="1"/>
          <w:numId w:val="1"/>
        </w:numPr>
        <w:tabs>
          <w:tab w:pos="2928" w:val="left" w:leader="none"/>
          <w:tab w:pos="2929" w:val="left" w:leader="none"/>
          <w:tab w:pos="9021" w:val="left" w:leader="dot"/>
        </w:tabs>
        <w:spacing w:line="240" w:lineRule="auto" w:before="102" w:after="0"/>
        <w:ind w:left="2928" w:right="0" w:hanging="648"/>
        <w:jc w:val="left"/>
        <w:rPr>
          <w:sz w:val="20"/>
        </w:rPr>
      </w:pPr>
      <w:r>
        <w:rPr>
          <w:sz w:val="20"/>
        </w:rPr>
        <w:t>Perspectiva</w:t>
      </w:r>
      <w:r>
        <w:rPr>
          <w:spacing w:val="1"/>
          <w:sz w:val="20"/>
        </w:rPr>
        <w:t> </w:t>
      </w:r>
      <w:r>
        <w:rPr>
          <w:sz w:val="20"/>
        </w:rPr>
        <w:t>de</w:t>
      </w:r>
      <w:r>
        <w:rPr>
          <w:spacing w:val="3"/>
          <w:sz w:val="20"/>
        </w:rPr>
        <w:t> </w:t>
      </w:r>
      <w:r>
        <w:rPr>
          <w:sz w:val="20"/>
        </w:rPr>
        <w:t>legalidad</w:t>
        <w:tab/>
        <w:t>19</w:t>
      </w:r>
    </w:p>
    <w:p>
      <w:pPr>
        <w:pStyle w:val="ListParagraph"/>
        <w:numPr>
          <w:ilvl w:val="2"/>
          <w:numId w:val="1"/>
        </w:numPr>
        <w:tabs>
          <w:tab w:pos="3287" w:val="left" w:leader="none"/>
          <w:tab w:pos="3288" w:val="left" w:leader="none"/>
          <w:tab w:pos="8197" w:val="left" w:leader="dot"/>
        </w:tabs>
        <w:spacing w:line="240" w:lineRule="auto" w:before="105" w:after="0"/>
        <w:ind w:left="3287" w:right="0" w:hanging="829"/>
        <w:jc w:val="left"/>
        <w:rPr>
          <w:sz w:val="20"/>
        </w:rPr>
      </w:pPr>
      <w:r>
        <w:rPr>
          <w:sz w:val="20"/>
        </w:rPr>
        <w:t>Área de</w:t>
      </w:r>
      <w:r>
        <w:rPr>
          <w:spacing w:val="3"/>
          <w:sz w:val="20"/>
        </w:rPr>
        <w:t> </w:t>
      </w:r>
      <w:r>
        <w:rPr>
          <w:sz w:val="20"/>
        </w:rPr>
        <w:t>recursos</w:t>
      </w:r>
      <w:r>
        <w:rPr>
          <w:spacing w:val="-1"/>
          <w:sz w:val="20"/>
        </w:rPr>
        <w:t> </w:t>
      </w:r>
      <w:r>
        <w:rPr>
          <w:sz w:val="20"/>
        </w:rPr>
        <w:t>humanos</w:t>
        <w:tab/>
        <w:t>19</w:t>
      </w:r>
    </w:p>
    <w:p>
      <w:pPr>
        <w:pStyle w:val="ListParagraph"/>
        <w:numPr>
          <w:ilvl w:val="2"/>
          <w:numId w:val="1"/>
        </w:numPr>
        <w:tabs>
          <w:tab w:pos="3287" w:val="left" w:leader="none"/>
          <w:tab w:pos="3288" w:val="left" w:leader="none"/>
          <w:tab w:pos="8197" w:val="left" w:leader="dot"/>
        </w:tabs>
        <w:spacing w:line="240" w:lineRule="auto" w:before="121" w:after="0"/>
        <w:ind w:left="3287" w:right="0" w:hanging="829"/>
        <w:jc w:val="left"/>
        <w:rPr>
          <w:sz w:val="20"/>
        </w:rPr>
      </w:pPr>
      <w:r>
        <w:rPr>
          <w:sz w:val="20"/>
        </w:rPr>
        <w:t>Área de</w:t>
      </w:r>
      <w:r>
        <w:rPr>
          <w:spacing w:val="3"/>
          <w:sz w:val="20"/>
        </w:rPr>
        <w:t> </w:t>
      </w:r>
      <w:r>
        <w:rPr>
          <w:sz w:val="20"/>
        </w:rPr>
        <w:t>otros</w:t>
      </w:r>
      <w:r>
        <w:rPr>
          <w:spacing w:val="-1"/>
          <w:sz w:val="20"/>
        </w:rPr>
        <w:t> </w:t>
      </w:r>
      <w:r>
        <w:rPr>
          <w:sz w:val="20"/>
        </w:rPr>
        <w:t>gastos.</w:t>
        <w:tab/>
        <w:t>20</w:t>
      </w:r>
    </w:p>
    <w:p>
      <w:pPr>
        <w:pStyle w:val="ListParagraph"/>
        <w:numPr>
          <w:ilvl w:val="1"/>
          <w:numId w:val="1"/>
        </w:numPr>
        <w:tabs>
          <w:tab w:pos="2928" w:val="left" w:leader="none"/>
          <w:tab w:pos="2929" w:val="left" w:leader="none"/>
          <w:tab w:pos="9021" w:val="left" w:leader="dot"/>
        </w:tabs>
        <w:spacing w:line="240" w:lineRule="auto" w:before="123" w:after="0"/>
        <w:ind w:left="2928" w:right="0" w:hanging="648"/>
        <w:jc w:val="left"/>
        <w:rPr>
          <w:sz w:val="20"/>
        </w:rPr>
      </w:pPr>
      <w:r>
        <w:rPr>
          <w:sz w:val="20"/>
        </w:rPr>
        <w:t>Perspectiva del</w:t>
      </w:r>
      <w:r>
        <w:rPr>
          <w:spacing w:val="2"/>
          <w:sz w:val="20"/>
        </w:rPr>
        <w:t> </w:t>
      </w:r>
      <w:r>
        <w:rPr>
          <w:sz w:val="20"/>
        </w:rPr>
        <w:t>ciudadano.</w:t>
        <w:tab/>
        <w:t>24</w:t>
      </w:r>
    </w:p>
    <w:p>
      <w:pPr>
        <w:pStyle w:val="Heading1"/>
        <w:numPr>
          <w:ilvl w:val="0"/>
          <w:numId w:val="1"/>
        </w:numPr>
        <w:tabs>
          <w:tab w:pos="2452" w:val="left" w:leader="none"/>
          <w:tab w:pos="2453" w:val="left" w:leader="none"/>
          <w:tab w:pos="9021" w:val="left" w:leader="dot"/>
        </w:tabs>
        <w:spacing w:line="240" w:lineRule="auto" w:before="203" w:after="0"/>
        <w:ind w:left="2453" w:right="0" w:hanging="357"/>
        <w:jc w:val="left"/>
      </w:pPr>
      <w:r>
        <w:rPr/>
        <w:t>SECTOR PÚBLICO CON</w:t>
      </w:r>
      <w:r>
        <w:rPr>
          <w:spacing w:val="5"/>
        </w:rPr>
        <w:t> </w:t>
      </w:r>
      <w:r>
        <w:rPr/>
        <w:t>PRESUPUESTO</w:t>
      </w:r>
      <w:r>
        <w:rPr>
          <w:spacing w:val="2"/>
        </w:rPr>
        <w:t> </w:t>
      </w:r>
      <w:r>
        <w:rPr/>
        <w:t>LIMITATIVO</w:t>
        <w:tab/>
        <w:t>26</w:t>
      </w:r>
    </w:p>
    <w:p>
      <w:pPr>
        <w:pStyle w:val="BodyText"/>
        <w:spacing w:before="177"/>
        <w:ind w:left="7995"/>
        <w:jc w:val="center"/>
      </w:pPr>
      <w:r>
        <w:rPr>
          <w:w w:val="100"/>
        </w:rPr>
        <w:t>1</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3" name="image5.png"/>
                  <wp:cNvGraphicFramePr>
                    <a:graphicFrameLocks noChangeAspect="1"/>
                  </wp:cNvGraphicFramePr>
                  <a:graphic>
                    <a:graphicData uri="http://schemas.openxmlformats.org/drawingml/2006/picture">
                      <pic:pic>
                        <pic:nvPicPr>
                          <pic:cNvPr id="1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65"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headerReference w:type="default" r:id="rId10"/>
          <w:footerReference w:type="default" r:id="rId11"/>
          <w:pgSz w:w="11900" w:h="16840"/>
          <w:pgMar w:header="859" w:footer="926" w:top="1760" w:bottom="1120" w:left="760" w:right="760"/>
        </w:sectPr>
      </w:pPr>
    </w:p>
    <w:p>
      <w:pPr>
        <w:pStyle w:val="BodyText"/>
        <w:spacing w:before="2"/>
        <w:rPr>
          <w:b/>
          <w:sz w:val="9"/>
        </w:rPr>
      </w:pPr>
    </w:p>
    <w:p>
      <w:pPr>
        <w:pStyle w:val="ListParagraph"/>
        <w:numPr>
          <w:ilvl w:val="1"/>
          <w:numId w:val="1"/>
        </w:numPr>
        <w:tabs>
          <w:tab w:pos="2928" w:val="left" w:leader="none"/>
          <w:tab w:pos="2929" w:val="left" w:leader="none"/>
          <w:tab w:pos="9021" w:val="left" w:leader="dot"/>
        </w:tabs>
        <w:spacing w:line="240" w:lineRule="auto" w:before="61" w:after="0"/>
        <w:ind w:left="2928" w:right="1150" w:hanging="647"/>
        <w:jc w:val="left"/>
        <w:rPr>
          <w:sz w:val="20"/>
        </w:rPr>
      </w:pPr>
      <w:r>
        <w:rPr>
          <w:sz w:val="20"/>
        </w:rPr>
        <w:t>Análisis de magnitudes agregadas y consolidadas del Sector Público Autonómico con</w:t>
      </w:r>
      <w:r>
        <w:rPr>
          <w:spacing w:val="4"/>
          <w:sz w:val="20"/>
        </w:rPr>
        <w:t> </w:t>
      </w:r>
      <w:r>
        <w:rPr>
          <w:sz w:val="20"/>
        </w:rPr>
        <w:t>presupuesto</w:t>
      </w:r>
      <w:r>
        <w:rPr>
          <w:spacing w:val="1"/>
          <w:sz w:val="20"/>
        </w:rPr>
        <w:t> </w:t>
      </w:r>
      <w:r>
        <w:rPr>
          <w:sz w:val="20"/>
        </w:rPr>
        <w:t>limitativo.</w:t>
        <w:tab/>
      </w:r>
      <w:r>
        <w:rPr>
          <w:spacing w:val="-8"/>
          <w:sz w:val="20"/>
        </w:rPr>
        <w:t>26</w:t>
      </w:r>
    </w:p>
    <w:p>
      <w:pPr>
        <w:pStyle w:val="ListParagraph"/>
        <w:numPr>
          <w:ilvl w:val="2"/>
          <w:numId w:val="1"/>
        </w:numPr>
        <w:tabs>
          <w:tab w:pos="3287" w:val="left" w:leader="none"/>
          <w:tab w:pos="3288" w:val="left" w:leader="none"/>
          <w:tab w:pos="8197" w:val="left" w:leader="dot"/>
        </w:tabs>
        <w:spacing w:line="240" w:lineRule="auto" w:before="104" w:after="0"/>
        <w:ind w:left="3287" w:right="0" w:hanging="829"/>
        <w:jc w:val="left"/>
        <w:rPr>
          <w:sz w:val="20"/>
        </w:rPr>
      </w:pPr>
      <w:r>
        <w:rPr>
          <w:sz w:val="20"/>
        </w:rPr>
        <w:t>Evolución de los gastos consolidados</w:t>
      </w:r>
      <w:r>
        <w:rPr>
          <w:spacing w:val="4"/>
          <w:sz w:val="20"/>
        </w:rPr>
        <w:t> </w:t>
      </w:r>
      <w:r>
        <w:rPr>
          <w:sz w:val="20"/>
        </w:rPr>
        <w:t>por capítulos.</w:t>
        <w:tab/>
        <w:t>27</w:t>
      </w:r>
    </w:p>
    <w:p>
      <w:pPr>
        <w:pStyle w:val="ListParagraph"/>
        <w:numPr>
          <w:ilvl w:val="2"/>
          <w:numId w:val="1"/>
        </w:numPr>
        <w:tabs>
          <w:tab w:pos="3287" w:val="left" w:leader="none"/>
          <w:tab w:pos="3288" w:val="left" w:leader="none"/>
          <w:tab w:pos="8197" w:val="left" w:leader="dot"/>
        </w:tabs>
        <w:spacing w:line="240" w:lineRule="auto" w:before="123" w:after="0"/>
        <w:ind w:left="3287" w:right="0" w:hanging="829"/>
        <w:jc w:val="left"/>
        <w:rPr>
          <w:sz w:val="20"/>
        </w:rPr>
      </w:pPr>
      <w:r>
        <w:rPr>
          <w:sz w:val="20"/>
        </w:rPr>
        <w:t>Evolución del gasto territorializado</w:t>
      </w:r>
      <w:r>
        <w:rPr>
          <w:spacing w:val="6"/>
          <w:sz w:val="20"/>
        </w:rPr>
        <w:t> </w:t>
      </w:r>
      <w:r>
        <w:rPr>
          <w:sz w:val="20"/>
        </w:rPr>
        <w:t>por</w:t>
      </w:r>
      <w:r>
        <w:rPr>
          <w:spacing w:val="1"/>
          <w:sz w:val="20"/>
        </w:rPr>
        <w:t> </w:t>
      </w:r>
      <w:r>
        <w:rPr>
          <w:sz w:val="20"/>
        </w:rPr>
        <w:t>islas.</w:t>
        <w:tab/>
        <w:t>29</w:t>
      </w:r>
    </w:p>
    <w:p>
      <w:pPr>
        <w:pStyle w:val="ListParagraph"/>
        <w:numPr>
          <w:ilvl w:val="2"/>
          <w:numId w:val="1"/>
        </w:numPr>
        <w:tabs>
          <w:tab w:pos="3287" w:val="left" w:leader="none"/>
          <w:tab w:pos="3288" w:val="left" w:leader="none"/>
          <w:tab w:pos="8197" w:val="left" w:leader="dot"/>
        </w:tabs>
        <w:spacing w:line="240" w:lineRule="auto" w:before="123" w:after="0"/>
        <w:ind w:left="3287" w:right="0" w:hanging="829"/>
        <w:jc w:val="left"/>
        <w:rPr>
          <w:sz w:val="20"/>
        </w:rPr>
      </w:pPr>
      <w:r>
        <w:rPr>
          <w:sz w:val="20"/>
        </w:rPr>
        <w:t>Evolución de los</w:t>
      </w:r>
      <w:r>
        <w:rPr>
          <w:spacing w:val="4"/>
          <w:sz w:val="20"/>
        </w:rPr>
        <w:t> </w:t>
      </w:r>
      <w:r>
        <w:rPr>
          <w:sz w:val="20"/>
        </w:rPr>
        <w:t>ingresos consolidados.</w:t>
        <w:tab/>
        <w:t>31</w:t>
      </w:r>
    </w:p>
    <w:p>
      <w:pPr>
        <w:pStyle w:val="ListParagraph"/>
        <w:numPr>
          <w:ilvl w:val="1"/>
          <w:numId w:val="1"/>
        </w:numPr>
        <w:tabs>
          <w:tab w:pos="2928" w:val="left" w:leader="none"/>
          <w:tab w:pos="2929" w:val="left" w:leader="none"/>
          <w:tab w:pos="9021" w:val="left" w:leader="dot"/>
        </w:tabs>
        <w:spacing w:line="240" w:lineRule="auto" w:before="120" w:after="0"/>
        <w:ind w:left="2928" w:right="0" w:hanging="648"/>
        <w:jc w:val="left"/>
        <w:rPr>
          <w:sz w:val="20"/>
        </w:rPr>
      </w:pPr>
      <w:r>
        <w:rPr>
          <w:sz w:val="20"/>
        </w:rPr>
        <w:t>Administración Pública de la Comunidad Autónoma</w:t>
      </w:r>
      <w:r>
        <w:rPr>
          <w:spacing w:val="13"/>
          <w:sz w:val="20"/>
        </w:rPr>
        <w:t> </w:t>
      </w:r>
      <w:r>
        <w:rPr>
          <w:sz w:val="20"/>
        </w:rPr>
        <w:t>de Canarias.</w:t>
        <w:tab/>
        <w:t>32</w:t>
      </w:r>
    </w:p>
    <w:p>
      <w:pPr>
        <w:pStyle w:val="ListParagraph"/>
        <w:numPr>
          <w:ilvl w:val="2"/>
          <w:numId w:val="1"/>
        </w:numPr>
        <w:tabs>
          <w:tab w:pos="3287" w:val="left" w:leader="none"/>
          <w:tab w:pos="3288" w:val="left" w:leader="none"/>
          <w:tab w:pos="8197" w:val="left" w:leader="dot"/>
        </w:tabs>
        <w:spacing w:line="240" w:lineRule="auto" w:before="103" w:after="0"/>
        <w:ind w:left="3287" w:right="0" w:hanging="829"/>
        <w:jc w:val="left"/>
        <w:rPr>
          <w:sz w:val="20"/>
        </w:rPr>
      </w:pPr>
      <w:r>
        <w:rPr>
          <w:sz w:val="20"/>
        </w:rPr>
        <w:t>Balance y cuenta de resultados</w:t>
      </w:r>
      <w:r>
        <w:rPr>
          <w:spacing w:val="10"/>
          <w:sz w:val="20"/>
        </w:rPr>
        <w:t> </w:t>
      </w:r>
      <w:r>
        <w:rPr>
          <w:sz w:val="20"/>
        </w:rPr>
        <w:t>económico</w:t>
      </w:r>
      <w:r>
        <w:rPr>
          <w:spacing w:val="1"/>
          <w:sz w:val="20"/>
        </w:rPr>
        <w:t> </w:t>
      </w:r>
      <w:r>
        <w:rPr>
          <w:sz w:val="20"/>
        </w:rPr>
        <w:t>patrimonial.</w:t>
        <w:tab/>
        <w:t>32</w:t>
      </w:r>
    </w:p>
    <w:p>
      <w:pPr>
        <w:pStyle w:val="ListParagraph"/>
        <w:numPr>
          <w:ilvl w:val="2"/>
          <w:numId w:val="1"/>
        </w:numPr>
        <w:tabs>
          <w:tab w:pos="3287" w:val="left" w:leader="none"/>
          <w:tab w:pos="3288" w:val="left" w:leader="none"/>
          <w:tab w:pos="8197" w:val="left" w:leader="dot"/>
        </w:tabs>
        <w:spacing w:line="240" w:lineRule="auto" w:before="123" w:after="0"/>
        <w:ind w:left="3287" w:right="0" w:hanging="829"/>
        <w:jc w:val="left"/>
        <w:rPr>
          <w:sz w:val="20"/>
        </w:rPr>
      </w:pPr>
      <w:r>
        <w:rPr>
          <w:sz w:val="20"/>
        </w:rPr>
        <w:t>Resultado</w:t>
      </w:r>
      <w:r>
        <w:rPr>
          <w:spacing w:val="2"/>
          <w:sz w:val="20"/>
        </w:rPr>
        <w:t> </w:t>
      </w:r>
      <w:r>
        <w:rPr>
          <w:sz w:val="20"/>
        </w:rPr>
        <w:t>presupuestario.</w:t>
        <w:tab/>
        <w:t>34</w:t>
      </w:r>
    </w:p>
    <w:p>
      <w:pPr>
        <w:pStyle w:val="ListParagraph"/>
        <w:numPr>
          <w:ilvl w:val="2"/>
          <w:numId w:val="1"/>
        </w:numPr>
        <w:tabs>
          <w:tab w:pos="3287" w:val="left" w:leader="none"/>
          <w:tab w:pos="3288" w:val="left" w:leader="none"/>
          <w:tab w:pos="8197" w:val="left" w:leader="dot"/>
        </w:tabs>
        <w:spacing w:line="240" w:lineRule="auto" w:before="122" w:after="0"/>
        <w:ind w:left="3287" w:right="0" w:hanging="829"/>
        <w:jc w:val="left"/>
        <w:rPr>
          <w:sz w:val="20"/>
        </w:rPr>
      </w:pPr>
      <w:r>
        <w:rPr>
          <w:sz w:val="20"/>
        </w:rPr>
        <w:t>Remanente</w:t>
      </w:r>
      <w:r>
        <w:rPr>
          <w:spacing w:val="2"/>
          <w:sz w:val="20"/>
        </w:rPr>
        <w:t> </w:t>
      </w:r>
      <w:r>
        <w:rPr>
          <w:sz w:val="20"/>
        </w:rPr>
        <w:t>de</w:t>
      </w:r>
      <w:r>
        <w:rPr>
          <w:spacing w:val="2"/>
          <w:sz w:val="20"/>
        </w:rPr>
        <w:t> </w:t>
      </w:r>
      <w:r>
        <w:rPr>
          <w:sz w:val="20"/>
        </w:rPr>
        <w:t>Tesorería.</w:t>
        <w:tab/>
        <w:t>35</w:t>
      </w:r>
    </w:p>
    <w:p>
      <w:pPr>
        <w:pStyle w:val="ListParagraph"/>
        <w:numPr>
          <w:ilvl w:val="2"/>
          <w:numId w:val="1"/>
        </w:numPr>
        <w:tabs>
          <w:tab w:pos="3287" w:val="left" w:leader="none"/>
          <w:tab w:pos="3288" w:val="left" w:leader="none"/>
          <w:tab w:pos="8197" w:val="left" w:leader="dot"/>
        </w:tabs>
        <w:spacing w:line="240" w:lineRule="auto" w:before="123" w:after="0"/>
        <w:ind w:left="3287" w:right="0" w:hanging="829"/>
        <w:jc w:val="left"/>
        <w:rPr>
          <w:sz w:val="20"/>
        </w:rPr>
      </w:pPr>
      <w:r>
        <w:rPr>
          <w:sz w:val="20"/>
        </w:rPr>
        <w:t>Ejecución de las</w:t>
      </w:r>
      <w:r>
        <w:rPr>
          <w:spacing w:val="3"/>
          <w:sz w:val="20"/>
        </w:rPr>
        <w:t> </w:t>
      </w:r>
      <w:r>
        <w:rPr>
          <w:sz w:val="20"/>
        </w:rPr>
        <w:t>políticas públicas.</w:t>
        <w:tab/>
        <w:t>37</w:t>
      </w:r>
    </w:p>
    <w:p>
      <w:pPr>
        <w:pStyle w:val="ListParagraph"/>
        <w:numPr>
          <w:ilvl w:val="2"/>
          <w:numId w:val="1"/>
        </w:numPr>
        <w:tabs>
          <w:tab w:pos="3287" w:val="left" w:leader="none"/>
          <w:tab w:pos="3288" w:val="left" w:leader="none"/>
          <w:tab w:pos="8197" w:val="left" w:leader="dot"/>
        </w:tabs>
        <w:spacing w:line="240" w:lineRule="auto" w:before="121" w:after="0"/>
        <w:ind w:left="3287" w:right="0" w:hanging="829"/>
        <w:jc w:val="left"/>
        <w:rPr>
          <w:sz w:val="20"/>
        </w:rPr>
      </w:pPr>
      <w:r>
        <w:rPr>
          <w:sz w:val="20"/>
        </w:rPr>
        <w:t>Operaciones</w:t>
      </w:r>
      <w:r>
        <w:rPr>
          <w:spacing w:val="1"/>
          <w:sz w:val="20"/>
        </w:rPr>
        <w:t> </w:t>
      </w:r>
      <w:r>
        <w:rPr>
          <w:sz w:val="20"/>
        </w:rPr>
        <w:t>extrapresupuestarias.</w:t>
        <w:tab/>
        <w:t>39</w:t>
      </w:r>
    </w:p>
    <w:p>
      <w:pPr>
        <w:pStyle w:val="ListParagraph"/>
        <w:numPr>
          <w:ilvl w:val="2"/>
          <w:numId w:val="1"/>
        </w:numPr>
        <w:tabs>
          <w:tab w:pos="3287" w:val="left" w:leader="none"/>
          <w:tab w:pos="3288" w:val="left" w:leader="none"/>
          <w:tab w:pos="8197" w:val="left" w:leader="dot"/>
        </w:tabs>
        <w:spacing w:line="240" w:lineRule="auto" w:before="122" w:after="0"/>
        <w:ind w:left="3287" w:right="0" w:hanging="829"/>
        <w:jc w:val="left"/>
        <w:rPr>
          <w:sz w:val="20"/>
        </w:rPr>
      </w:pPr>
      <w:r>
        <w:rPr>
          <w:sz w:val="20"/>
        </w:rPr>
        <w:t>Estado de Tesorería.</w:t>
        <w:tab/>
        <w:t>40</w:t>
      </w:r>
    </w:p>
    <w:p>
      <w:pPr>
        <w:pStyle w:val="ListParagraph"/>
        <w:numPr>
          <w:ilvl w:val="2"/>
          <w:numId w:val="1"/>
        </w:numPr>
        <w:tabs>
          <w:tab w:pos="3287" w:val="left" w:leader="none"/>
          <w:tab w:pos="3288" w:val="left" w:leader="none"/>
          <w:tab w:pos="8197" w:val="left" w:leader="dot"/>
        </w:tabs>
        <w:spacing w:line="240" w:lineRule="auto" w:before="123" w:after="0"/>
        <w:ind w:left="3287" w:right="0" w:hanging="829"/>
        <w:jc w:val="left"/>
        <w:rPr>
          <w:sz w:val="20"/>
        </w:rPr>
      </w:pPr>
      <w:r>
        <w:rPr>
          <w:sz w:val="20"/>
        </w:rPr>
        <w:t>Modificaciones de</w:t>
      </w:r>
      <w:r>
        <w:rPr>
          <w:spacing w:val="1"/>
          <w:sz w:val="20"/>
        </w:rPr>
        <w:t> </w:t>
      </w:r>
      <w:r>
        <w:rPr>
          <w:sz w:val="20"/>
        </w:rPr>
        <w:t>crédito.</w:t>
        <w:tab/>
        <w:t>41</w:t>
      </w:r>
    </w:p>
    <w:p>
      <w:pPr>
        <w:pStyle w:val="ListParagraph"/>
        <w:numPr>
          <w:ilvl w:val="2"/>
          <w:numId w:val="1"/>
        </w:numPr>
        <w:tabs>
          <w:tab w:pos="3287" w:val="left" w:leader="none"/>
          <w:tab w:pos="3288" w:val="left" w:leader="none"/>
          <w:tab w:pos="8197" w:val="left" w:leader="dot"/>
        </w:tabs>
        <w:spacing w:line="240" w:lineRule="auto" w:before="122" w:after="0"/>
        <w:ind w:left="3287" w:right="0" w:hanging="829"/>
        <w:jc w:val="left"/>
        <w:rPr>
          <w:sz w:val="20"/>
        </w:rPr>
      </w:pPr>
      <w:r>
        <w:rPr>
          <w:sz w:val="20"/>
        </w:rPr>
        <w:t>Liquidación del presupuesto</w:t>
      </w:r>
      <w:r>
        <w:rPr>
          <w:spacing w:val="2"/>
          <w:sz w:val="20"/>
        </w:rPr>
        <w:t> </w:t>
      </w:r>
      <w:r>
        <w:rPr>
          <w:sz w:val="20"/>
        </w:rPr>
        <w:t>de</w:t>
      </w:r>
      <w:r>
        <w:rPr>
          <w:spacing w:val="2"/>
          <w:sz w:val="20"/>
        </w:rPr>
        <w:t> </w:t>
      </w:r>
      <w:r>
        <w:rPr>
          <w:sz w:val="20"/>
        </w:rPr>
        <w:t>ingresos.</w:t>
        <w:tab/>
        <w:t>42</w:t>
      </w:r>
    </w:p>
    <w:p>
      <w:pPr>
        <w:pStyle w:val="ListParagraph"/>
        <w:numPr>
          <w:ilvl w:val="2"/>
          <w:numId w:val="1"/>
        </w:numPr>
        <w:tabs>
          <w:tab w:pos="3287" w:val="left" w:leader="none"/>
          <w:tab w:pos="3288" w:val="left" w:leader="none"/>
          <w:tab w:pos="8197" w:val="left" w:leader="dot"/>
        </w:tabs>
        <w:spacing w:line="240" w:lineRule="auto" w:before="121" w:after="0"/>
        <w:ind w:left="3287" w:right="0" w:hanging="829"/>
        <w:jc w:val="left"/>
        <w:rPr>
          <w:sz w:val="20"/>
        </w:rPr>
      </w:pPr>
      <w:r>
        <w:rPr>
          <w:sz w:val="20"/>
        </w:rPr>
        <w:t>Liquidación del presupuesto</w:t>
      </w:r>
      <w:r>
        <w:rPr>
          <w:spacing w:val="1"/>
          <w:sz w:val="20"/>
        </w:rPr>
        <w:t> </w:t>
      </w:r>
      <w:r>
        <w:rPr>
          <w:sz w:val="20"/>
        </w:rPr>
        <w:t>de</w:t>
      </w:r>
      <w:r>
        <w:rPr>
          <w:spacing w:val="2"/>
          <w:sz w:val="20"/>
        </w:rPr>
        <w:t> </w:t>
      </w:r>
      <w:r>
        <w:rPr>
          <w:sz w:val="20"/>
        </w:rPr>
        <w:t>gastos.</w:t>
        <w:tab/>
        <w:t>49</w:t>
      </w:r>
    </w:p>
    <w:p>
      <w:pPr>
        <w:pStyle w:val="ListParagraph"/>
        <w:numPr>
          <w:ilvl w:val="2"/>
          <w:numId w:val="1"/>
        </w:numPr>
        <w:tabs>
          <w:tab w:pos="3287" w:val="left" w:leader="none"/>
          <w:tab w:pos="3288" w:val="left" w:leader="none"/>
          <w:tab w:pos="8197" w:val="left" w:leader="dot"/>
        </w:tabs>
        <w:spacing w:line="240" w:lineRule="auto" w:before="122" w:after="0"/>
        <w:ind w:left="3287" w:right="0" w:hanging="829"/>
        <w:jc w:val="left"/>
        <w:rPr>
          <w:sz w:val="20"/>
        </w:rPr>
      </w:pPr>
      <w:r>
        <w:rPr>
          <w:sz w:val="20"/>
        </w:rPr>
        <w:t>Contratación</w:t>
        <w:tab/>
        <w:t>59</w:t>
      </w:r>
    </w:p>
    <w:p>
      <w:pPr>
        <w:pStyle w:val="ListParagraph"/>
        <w:numPr>
          <w:ilvl w:val="2"/>
          <w:numId w:val="1"/>
        </w:numPr>
        <w:tabs>
          <w:tab w:pos="3288" w:val="left" w:leader="none"/>
          <w:tab w:pos="8197" w:val="left" w:leader="dot"/>
        </w:tabs>
        <w:spacing w:line="240" w:lineRule="auto" w:before="123" w:after="0"/>
        <w:ind w:left="3287" w:right="0" w:hanging="829"/>
        <w:jc w:val="both"/>
        <w:rPr>
          <w:sz w:val="20"/>
        </w:rPr>
      </w:pPr>
      <w:r>
        <w:rPr>
          <w:sz w:val="20"/>
        </w:rPr>
        <w:t>Subvenciones pendientes de</w:t>
      </w:r>
      <w:r>
        <w:rPr>
          <w:spacing w:val="2"/>
          <w:sz w:val="20"/>
        </w:rPr>
        <w:t> </w:t>
      </w:r>
      <w:r>
        <w:rPr>
          <w:sz w:val="20"/>
        </w:rPr>
        <w:t>justificar.</w:t>
        <w:tab/>
        <w:t>62</w:t>
      </w:r>
    </w:p>
    <w:p>
      <w:pPr>
        <w:pStyle w:val="ListParagraph"/>
        <w:numPr>
          <w:ilvl w:val="2"/>
          <w:numId w:val="1"/>
        </w:numPr>
        <w:tabs>
          <w:tab w:pos="3288" w:val="left" w:leader="none"/>
          <w:tab w:pos="8197" w:val="left" w:leader="dot"/>
        </w:tabs>
        <w:spacing w:line="261" w:lineRule="auto" w:before="121" w:after="0"/>
        <w:ind w:left="3287" w:right="1974" w:hanging="829"/>
        <w:jc w:val="both"/>
        <w:rPr>
          <w:sz w:val="20"/>
        </w:rPr>
      </w:pPr>
      <w:r>
        <w:rPr>
          <w:sz w:val="20"/>
        </w:rPr>
        <w:t>Cumplimiento de Disposiciones Adicionales de la Ley 6/2021, de 28 de diciembre, de Presupuestos Generales de la Comunidad Autónoma de Canarias</w:t>
      </w:r>
      <w:r>
        <w:rPr>
          <w:spacing w:val="7"/>
          <w:sz w:val="20"/>
        </w:rPr>
        <w:t> </w:t>
      </w:r>
      <w:r>
        <w:rPr>
          <w:sz w:val="20"/>
        </w:rPr>
        <w:t>para</w:t>
      </w:r>
      <w:r>
        <w:rPr>
          <w:spacing w:val="2"/>
          <w:sz w:val="20"/>
        </w:rPr>
        <w:t> </w:t>
      </w:r>
      <w:r>
        <w:rPr>
          <w:sz w:val="20"/>
        </w:rPr>
        <w:t>2022</w:t>
        <w:tab/>
      </w:r>
      <w:r>
        <w:rPr>
          <w:spacing w:val="-8"/>
          <w:sz w:val="20"/>
        </w:rPr>
        <w:t>63</w:t>
      </w:r>
    </w:p>
    <w:p>
      <w:pPr>
        <w:pStyle w:val="ListParagraph"/>
        <w:numPr>
          <w:ilvl w:val="1"/>
          <w:numId w:val="1"/>
        </w:numPr>
        <w:tabs>
          <w:tab w:pos="2928" w:val="left" w:leader="none"/>
          <w:tab w:pos="2929" w:val="left" w:leader="none"/>
        </w:tabs>
        <w:spacing w:line="240" w:lineRule="auto" w:before="100" w:after="0"/>
        <w:ind w:left="2928" w:right="0" w:hanging="648"/>
        <w:jc w:val="left"/>
        <w:rPr>
          <w:sz w:val="20"/>
        </w:rPr>
      </w:pPr>
      <w:r>
        <w:rPr>
          <w:sz w:val="20"/>
        </w:rPr>
        <w:t>ORGANISMOS AUTÓNOMOS Y OTRAS ENTIDADES PÚBLICAS</w:t>
      </w:r>
      <w:r>
        <w:rPr>
          <w:spacing w:val="1"/>
          <w:sz w:val="20"/>
        </w:rPr>
        <w:t> </w:t>
      </w:r>
      <w:r>
        <w:rPr>
          <w:sz w:val="20"/>
        </w:rPr>
        <w:t>DEPENDIENTES.</w:t>
      </w:r>
    </w:p>
    <w:p>
      <w:pPr>
        <w:pStyle w:val="BodyText"/>
        <w:spacing w:before="2"/>
        <w:ind w:left="2962"/>
      </w:pPr>
      <w:r>
        <w:rPr/>
        <w:t>........................................................................................................................66</w:t>
      </w:r>
    </w:p>
    <w:p>
      <w:pPr>
        <w:pStyle w:val="ListParagraph"/>
        <w:numPr>
          <w:ilvl w:val="2"/>
          <w:numId w:val="1"/>
        </w:numPr>
        <w:tabs>
          <w:tab w:pos="3287" w:val="left" w:leader="none"/>
          <w:tab w:pos="3288" w:val="left" w:leader="none"/>
          <w:tab w:pos="8197" w:val="left" w:leader="dot"/>
        </w:tabs>
        <w:spacing w:line="240" w:lineRule="auto" w:before="102" w:after="0"/>
        <w:ind w:left="3287" w:right="0" w:hanging="829"/>
        <w:jc w:val="left"/>
        <w:rPr>
          <w:sz w:val="20"/>
        </w:rPr>
      </w:pPr>
      <w:r>
        <w:rPr>
          <w:sz w:val="20"/>
        </w:rPr>
        <w:t>Cuentas</w:t>
      </w:r>
      <w:r>
        <w:rPr>
          <w:spacing w:val="1"/>
          <w:sz w:val="20"/>
        </w:rPr>
        <w:t> </w:t>
      </w:r>
      <w:r>
        <w:rPr>
          <w:sz w:val="20"/>
        </w:rPr>
        <w:t>Anuales.</w:t>
        <w:tab/>
        <w:t>66</w:t>
      </w:r>
    </w:p>
    <w:p>
      <w:pPr>
        <w:pStyle w:val="ListParagraph"/>
        <w:numPr>
          <w:ilvl w:val="2"/>
          <w:numId w:val="1"/>
        </w:numPr>
        <w:tabs>
          <w:tab w:pos="3287" w:val="left" w:leader="none"/>
          <w:tab w:pos="3288" w:val="left" w:leader="none"/>
          <w:tab w:pos="8197" w:val="left" w:leader="dot"/>
        </w:tabs>
        <w:spacing w:line="240" w:lineRule="auto" w:before="123" w:after="0"/>
        <w:ind w:left="3287" w:right="0" w:hanging="829"/>
        <w:jc w:val="left"/>
        <w:rPr>
          <w:sz w:val="20"/>
        </w:rPr>
      </w:pPr>
      <w:r>
        <w:rPr>
          <w:sz w:val="20"/>
        </w:rPr>
        <w:t>Ingresos.</w:t>
        <w:tab/>
        <w:t>77</w:t>
      </w:r>
    </w:p>
    <w:p>
      <w:pPr>
        <w:pStyle w:val="ListParagraph"/>
        <w:numPr>
          <w:ilvl w:val="2"/>
          <w:numId w:val="1"/>
        </w:numPr>
        <w:tabs>
          <w:tab w:pos="3287" w:val="left" w:leader="none"/>
          <w:tab w:pos="3288" w:val="left" w:leader="none"/>
          <w:tab w:pos="8197" w:val="left" w:leader="dot"/>
        </w:tabs>
        <w:spacing w:line="240" w:lineRule="auto" w:before="121" w:after="0"/>
        <w:ind w:left="3287" w:right="0" w:hanging="829"/>
        <w:jc w:val="left"/>
        <w:rPr>
          <w:sz w:val="20"/>
        </w:rPr>
      </w:pPr>
      <w:r>
        <w:rPr>
          <w:sz w:val="20"/>
        </w:rPr>
        <w:t>Gastos.</w:t>
        <w:tab/>
        <w:t>79</w:t>
      </w:r>
    </w:p>
    <w:p>
      <w:pPr>
        <w:pStyle w:val="ListParagraph"/>
        <w:numPr>
          <w:ilvl w:val="2"/>
          <w:numId w:val="1"/>
        </w:numPr>
        <w:tabs>
          <w:tab w:pos="3287" w:val="left" w:leader="none"/>
          <w:tab w:pos="3288" w:val="left" w:leader="none"/>
          <w:tab w:pos="8197" w:val="left" w:leader="dot"/>
        </w:tabs>
        <w:spacing w:line="240" w:lineRule="auto" w:before="123" w:after="0"/>
        <w:ind w:left="3287" w:right="0" w:hanging="829"/>
        <w:jc w:val="left"/>
        <w:rPr>
          <w:sz w:val="20"/>
        </w:rPr>
      </w:pPr>
      <w:r>
        <w:rPr>
          <w:sz w:val="20"/>
        </w:rPr>
        <w:t>Balance.</w:t>
        <w:tab/>
        <w:t>82</w:t>
      </w:r>
    </w:p>
    <w:p>
      <w:pPr>
        <w:pStyle w:val="ListParagraph"/>
        <w:numPr>
          <w:ilvl w:val="2"/>
          <w:numId w:val="1"/>
        </w:numPr>
        <w:tabs>
          <w:tab w:pos="3287" w:val="left" w:leader="none"/>
          <w:tab w:pos="3288" w:val="left" w:leader="none"/>
          <w:tab w:pos="8197" w:val="left" w:leader="dot"/>
        </w:tabs>
        <w:spacing w:line="240" w:lineRule="auto" w:before="122" w:after="0"/>
        <w:ind w:left="3287" w:right="0" w:hanging="829"/>
        <w:jc w:val="left"/>
        <w:rPr>
          <w:sz w:val="20"/>
        </w:rPr>
      </w:pPr>
      <w:r>
        <w:rPr>
          <w:sz w:val="20"/>
        </w:rPr>
        <w:t>Contratación</w:t>
        <w:tab/>
        <w:t>85</w:t>
      </w:r>
    </w:p>
    <w:p>
      <w:pPr>
        <w:pStyle w:val="ListParagraph"/>
        <w:numPr>
          <w:ilvl w:val="1"/>
          <w:numId w:val="1"/>
        </w:numPr>
        <w:tabs>
          <w:tab w:pos="2928" w:val="left" w:leader="none"/>
          <w:tab w:pos="2929" w:val="left" w:leader="none"/>
          <w:tab w:pos="9021" w:val="left" w:leader="dot"/>
        </w:tabs>
        <w:spacing w:line="240" w:lineRule="auto" w:before="123" w:after="0"/>
        <w:ind w:left="2928" w:right="0" w:hanging="648"/>
        <w:jc w:val="left"/>
        <w:rPr>
          <w:sz w:val="20"/>
        </w:rPr>
      </w:pPr>
      <w:r>
        <w:rPr>
          <w:sz w:val="20"/>
        </w:rPr>
        <w:t>SERVICIO CANARIO DE</w:t>
      </w:r>
      <w:r>
        <w:rPr>
          <w:spacing w:val="3"/>
          <w:sz w:val="20"/>
        </w:rPr>
        <w:t> </w:t>
      </w:r>
      <w:r>
        <w:rPr>
          <w:sz w:val="20"/>
        </w:rPr>
        <w:t>LA</w:t>
      </w:r>
      <w:r>
        <w:rPr>
          <w:spacing w:val="2"/>
          <w:sz w:val="20"/>
        </w:rPr>
        <w:t> </w:t>
      </w:r>
      <w:r>
        <w:rPr>
          <w:sz w:val="20"/>
        </w:rPr>
        <w:t>SALUD</w:t>
        <w:tab/>
        <w:t>90</w:t>
      </w:r>
    </w:p>
    <w:p>
      <w:pPr>
        <w:pStyle w:val="BodyText"/>
        <w:spacing w:before="239"/>
        <w:ind w:left="7995"/>
        <w:jc w:val="center"/>
      </w:pPr>
      <w:r>
        <w:rPr>
          <w:w w:val="100"/>
        </w:rPr>
        <w:t>2</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5" name="image5.png"/>
                  <wp:cNvGraphicFramePr>
                    <a:graphicFrameLocks noChangeAspect="1"/>
                  </wp:cNvGraphicFramePr>
                  <a:graphic>
                    <a:graphicData uri="http://schemas.openxmlformats.org/drawingml/2006/picture">
                      <pic:pic>
                        <pic:nvPicPr>
                          <pic:cNvPr id="1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65"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sdt>
      <w:sdtPr>
        <w:docPartObj>
          <w:docPartGallery w:val="Table of Contents"/>
          <w:docPartUnique/>
        </w:docPartObj>
      </w:sdtPr>
      <w:sdtEndPr/>
      <w:sdtContent>
        <w:p>
          <w:pPr>
            <w:pStyle w:val="TOC3"/>
            <w:numPr>
              <w:ilvl w:val="2"/>
              <w:numId w:val="1"/>
            </w:numPr>
            <w:tabs>
              <w:tab w:pos="3287" w:val="left" w:leader="none"/>
              <w:tab w:pos="3288" w:val="left" w:leader="none"/>
              <w:tab w:pos="8197" w:val="left" w:leader="dot"/>
            </w:tabs>
            <w:spacing w:line="240" w:lineRule="auto" w:before="61" w:after="0"/>
            <w:ind w:left="3287" w:right="0" w:hanging="829"/>
            <w:jc w:val="left"/>
          </w:pPr>
          <w:hyperlink w:history="true" w:anchor="_TOC_250021">
            <w:r>
              <w:rPr/>
              <w:t>Organización</w:t>
              <w:tab/>
              <w:t>90</w:t>
            </w:r>
          </w:hyperlink>
        </w:p>
        <w:p>
          <w:pPr>
            <w:pStyle w:val="TOC3"/>
            <w:numPr>
              <w:ilvl w:val="2"/>
              <w:numId w:val="1"/>
            </w:numPr>
            <w:tabs>
              <w:tab w:pos="3287" w:val="left" w:leader="none"/>
              <w:tab w:pos="3288" w:val="left" w:leader="none"/>
              <w:tab w:pos="8197" w:val="left" w:leader="dot"/>
            </w:tabs>
            <w:spacing w:line="240" w:lineRule="auto" w:before="123" w:after="0"/>
            <w:ind w:left="3287" w:right="0" w:hanging="829"/>
            <w:jc w:val="left"/>
          </w:pPr>
          <w:hyperlink w:history="true" w:anchor="_TOC_250020">
            <w:r>
              <w:rPr/>
              <w:t>Cuentas</w:t>
            </w:r>
            <w:r>
              <w:rPr>
                <w:spacing w:val="1"/>
              </w:rPr>
              <w:t> </w:t>
            </w:r>
            <w:r>
              <w:rPr/>
              <w:t>Anuales.</w:t>
              <w:tab/>
              <w:t>91</w:t>
            </w:r>
          </w:hyperlink>
        </w:p>
        <w:p>
          <w:pPr>
            <w:pStyle w:val="TOC3"/>
            <w:numPr>
              <w:ilvl w:val="2"/>
              <w:numId w:val="1"/>
            </w:numPr>
            <w:tabs>
              <w:tab w:pos="3287" w:val="left" w:leader="none"/>
              <w:tab w:pos="3288" w:val="left" w:leader="none"/>
              <w:tab w:pos="8094" w:val="left" w:leader="dot"/>
            </w:tabs>
            <w:spacing w:line="240" w:lineRule="auto" w:before="120" w:after="0"/>
            <w:ind w:left="3287" w:right="0" w:hanging="829"/>
            <w:jc w:val="left"/>
          </w:pPr>
          <w:hyperlink w:history="true" w:anchor="_TOC_250019">
            <w:r>
              <w:rPr/>
              <w:t>Contratación</w:t>
              <w:tab/>
              <w:t>103</w:t>
            </w:r>
          </w:hyperlink>
        </w:p>
        <w:p>
          <w:pPr>
            <w:pStyle w:val="TOC1"/>
            <w:numPr>
              <w:ilvl w:val="0"/>
              <w:numId w:val="1"/>
            </w:numPr>
            <w:tabs>
              <w:tab w:pos="2452" w:val="left" w:leader="none"/>
              <w:tab w:pos="2453" w:val="left" w:leader="none"/>
              <w:tab w:pos="8918" w:val="left" w:leader="dot"/>
            </w:tabs>
            <w:spacing w:line="240" w:lineRule="auto" w:before="224" w:after="0"/>
            <w:ind w:left="2453" w:right="0" w:hanging="357"/>
            <w:jc w:val="left"/>
          </w:pPr>
          <w:hyperlink w:history="true" w:anchor="_TOC_250018">
            <w:r>
              <w:rPr/>
              <w:t>ENTES CON</w:t>
            </w:r>
            <w:r>
              <w:rPr>
                <w:spacing w:val="3"/>
              </w:rPr>
              <w:t> </w:t>
            </w:r>
            <w:r>
              <w:rPr/>
              <w:t>PRESUPUESTO</w:t>
            </w:r>
            <w:r>
              <w:rPr>
                <w:spacing w:val="2"/>
              </w:rPr>
              <w:t> </w:t>
            </w:r>
            <w:r>
              <w:rPr/>
              <w:t>ESTIMATIVO</w:t>
              <w:tab/>
              <w:t>109</w:t>
            </w:r>
          </w:hyperlink>
        </w:p>
        <w:p>
          <w:pPr>
            <w:pStyle w:val="TOC2"/>
            <w:numPr>
              <w:ilvl w:val="1"/>
              <w:numId w:val="1"/>
            </w:numPr>
            <w:tabs>
              <w:tab w:pos="2928" w:val="left" w:leader="none"/>
              <w:tab w:pos="2929" w:val="left" w:leader="none"/>
              <w:tab w:pos="8918" w:val="left" w:leader="dot"/>
            </w:tabs>
            <w:spacing w:line="240" w:lineRule="auto" w:before="102" w:after="0"/>
            <w:ind w:left="2928" w:right="0" w:hanging="648"/>
            <w:jc w:val="left"/>
          </w:pPr>
          <w:hyperlink w:history="true" w:anchor="_TOC_250017">
            <w:r>
              <w:rPr/>
              <w:t>Composición</w:t>
              <w:tab/>
              <w:t>109</w:t>
            </w:r>
          </w:hyperlink>
        </w:p>
        <w:p>
          <w:pPr>
            <w:pStyle w:val="TOC3"/>
            <w:numPr>
              <w:ilvl w:val="2"/>
              <w:numId w:val="1"/>
            </w:numPr>
            <w:tabs>
              <w:tab w:pos="3287" w:val="left" w:leader="none"/>
              <w:tab w:pos="3288" w:val="left" w:leader="none"/>
              <w:tab w:pos="8094" w:val="left" w:leader="dot"/>
            </w:tabs>
            <w:spacing w:line="240" w:lineRule="auto" w:before="103" w:after="0"/>
            <w:ind w:left="3287" w:right="0" w:hanging="829"/>
            <w:jc w:val="left"/>
          </w:pPr>
          <w:hyperlink w:history="true" w:anchor="_TOC_250016">
            <w:r>
              <w:rPr/>
              <w:t>Descripción de</w:t>
            </w:r>
            <w:r>
              <w:rPr>
                <w:spacing w:val="3"/>
              </w:rPr>
              <w:t> </w:t>
            </w:r>
            <w:r>
              <w:rPr/>
              <w:t>la</w:t>
            </w:r>
            <w:r>
              <w:rPr>
                <w:spacing w:val="3"/>
              </w:rPr>
              <w:t> </w:t>
            </w:r>
            <w:r>
              <w:rPr/>
              <w:t>composición</w:t>
              <w:tab/>
              <w:t>109</w:t>
            </w:r>
          </w:hyperlink>
        </w:p>
        <w:p>
          <w:pPr>
            <w:pStyle w:val="TOC3"/>
            <w:numPr>
              <w:ilvl w:val="2"/>
              <w:numId w:val="1"/>
            </w:numPr>
            <w:tabs>
              <w:tab w:pos="3287" w:val="left" w:leader="none"/>
              <w:tab w:pos="3288" w:val="left" w:leader="none"/>
              <w:tab w:pos="8094" w:val="left" w:leader="dot"/>
            </w:tabs>
            <w:spacing w:line="240" w:lineRule="auto" w:before="122" w:after="0"/>
            <w:ind w:left="3287" w:right="0" w:hanging="829"/>
            <w:jc w:val="left"/>
          </w:pPr>
          <w:hyperlink w:history="true" w:anchor="_TOC_250015">
            <w:r>
              <w:rPr/>
              <w:t>Informes de</w:t>
            </w:r>
            <w:r>
              <w:rPr>
                <w:spacing w:val="1"/>
              </w:rPr>
              <w:t> </w:t>
            </w:r>
            <w:r>
              <w:rPr/>
              <w:t>auditoría.</w:t>
              <w:tab/>
              <w:t>110</w:t>
            </w:r>
          </w:hyperlink>
        </w:p>
        <w:p>
          <w:pPr>
            <w:pStyle w:val="TOC3"/>
            <w:numPr>
              <w:ilvl w:val="2"/>
              <w:numId w:val="1"/>
            </w:numPr>
            <w:tabs>
              <w:tab w:pos="3287" w:val="left" w:leader="none"/>
              <w:tab w:pos="3288" w:val="left" w:leader="none"/>
              <w:tab w:pos="8094" w:val="left" w:leader="dot"/>
            </w:tabs>
            <w:spacing w:line="261" w:lineRule="auto" w:before="123" w:after="0"/>
            <w:ind w:left="3287" w:right="1975" w:hanging="829"/>
            <w:jc w:val="left"/>
          </w:pPr>
          <w:hyperlink w:history="true" w:anchor="_TOC_250014">
            <w:r>
              <w:rPr/>
              <w:t>Cumplimiento de otros Informes obligatorios y Acuerdos de Gobierno.</w:t>
              <w:tab/>
            </w:r>
            <w:r>
              <w:rPr>
                <w:spacing w:val="-6"/>
              </w:rPr>
              <w:t>111</w:t>
            </w:r>
          </w:hyperlink>
        </w:p>
        <w:p>
          <w:pPr>
            <w:pStyle w:val="TOC3"/>
            <w:numPr>
              <w:ilvl w:val="2"/>
              <w:numId w:val="1"/>
            </w:numPr>
            <w:tabs>
              <w:tab w:pos="3287" w:val="left" w:leader="none"/>
              <w:tab w:pos="3288" w:val="left" w:leader="none"/>
              <w:tab w:pos="8094" w:val="left" w:leader="dot"/>
            </w:tabs>
            <w:spacing w:line="240" w:lineRule="auto" w:before="99" w:after="0"/>
            <w:ind w:left="3287" w:right="0" w:hanging="829"/>
            <w:jc w:val="left"/>
          </w:pPr>
          <w:r>
            <w:rPr/>
            <w:t>Cuentas</w:t>
          </w:r>
          <w:r>
            <w:rPr>
              <w:spacing w:val="2"/>
            </w:rPr>
            <w:t> </w:t>
          </w:r>
          <w:r>
            <w:rPr/>
            <w:t>Anuales</w:t>
            <w:tab/>
            <w:t>113</w:t>
          </w:r>
        </w:p>
        <w:p>
          <w:pPr>
            <w:pStyle w:val="TOC3"/>
            <w:numPr>
              <w:ilvl w:val="2"/>
              <w:numId w:val="1"/>
            </w:numPr>
            <w:tabs>
              <w:tab w:pos="3287" w:val="left" w:leader="none"/>
              <w:tab w:pos="3288" w:val="left" w:leader="none"/>
              <w:tab w:pos="8094" w:val="left" w:leader="dot"/>
            </w:tabs>
            <w:spacing w:line="240" w:lineRule="auto" w:before="122" w:after="0"/>
            <w:ind w:left="3287" w:right="0" w:hanging="829"/>
            <w:jc w:val="left"/>
          </w:pPr>
          <w:hyperlink w:history="true" w:anchor="_TOC_250013">
            <w:r>
              <w:rPr/>
              <w:t>Cumplimiento de los plazos de pago</w:t>
            </w:r>
            <w:r>
              <w:rPr>
                <w:spacing w:val="8"/>
              </w:rPr>
              <w:t> </w:t>
            </w:r>
            <w:r>
              <w:rPr/>
              <w:t>a proveedores</w:t>
              <w:tab/>
              <w:t>117</w:t>
            </w:r>
          </w:hyperlink>
        </w:p>
        <w:p>
          <w:pPr>
            <w:pStyle w:val="TOC3"/>
            <w:numPr>
              <w:ilvl w:val="2"/>
              <w:numId w:val="1"/>
            </w:numPr>
            <w:tabs>
              <w:tab w:pos="3287" w:val="left" w:leader="none"/>
              <w:tab w:pos="3288" w:val="left" w:leader="none"/>
              <w:tab w:pos="8094" w:val="left" w:leader="dot"/>
            </w:tabs>
            <w:spacing w:line="240" w:lineRule="auto" w:before="123" w:after="0"/>
            <w:ind w:left="3287" w:right="0" w:hanging="829"/>
            <w:jc w:val="left"/>
          </w:pPr>
          <w:hyperlink w:history="true" w:anchor="_TOC_250012">
            <w:r>
              <w:rPr/>
              <w:t>Personal.</w:t>
              <w:tab/>
              <w:t>118</w:t>
            </w:r>
          </w:hyperlink>
        </w:p>
        <w:p>
          <w:pPr>
            <w:pStyle w:val="TOC3"/>
            <w:numPr>
              <w:ilvl w:val="2"/>
              <w:numId w:val="1"/>
            </w:numPr>
            <w:tabs>
              <w:tab w:pos="3287" w:val="left" w:leader="none"/>
              <w:tab w:pos="3288" w:val="left" w:leader="none"/>
              <w:tab w:pos="8094" w:val="left" w:leader="dot"/>
            </w:tabs>
            <w:spacing w:line="240" w:lineRule="auto" w:before="121" w:after="0"/>
            <w:ind w:left="3287" w:right="0" w:hanging="829"/>
            <w:jc w:val="left"/>
          </w:pPr>
          <w:hyperlink w:history="true" w:anchor="_TOC_250011">
            <w:r>
              <w:rPr/>
              <w:t>Objetivos de</w:t>
            </w:r>
            <w:r>
              <w:rPr>
                <w:spacing w:val="1"/>
              </w:rPr>
              <w:t> </w:t>
            </w:r>
            <w:r>
              <w:rPr/>
              <w:t>actividad</w:t>
              <w:tab/>
              <w:t>124</w:t>
            </w:r>
          </w:hyperlink>
        </w:p>
        <w:p>
          <w:pPr>
            <w:pStyle w:val="TOC2"/>
            <w:numPr>
              <w:ilvl w:val="1"/>
              <w:numId w:val="1"/>
            </w:numPr>
            <w:tabs>
              <w:tab w:pos="2928" w:val="left" w:leader="none"/>
              <w:tab w:pos="2929" w:val="left" w:leader="none"/>
              <w:tab w:pos="8918" w:val="left" w:leader="dot"/>
            </w:tabs>
            <w:spacing w:line="240" w:lineRule="auto" w:before="122" w:after="0"/>
            <w:ind w:left="2928" w:right="0" w:hanging="648"/>
            <w:jc w:val="left"/>
          </w:pPr>
          <w:hyperlink w:history="true" w:anchor="_TOC_250010">
            <w:r>
              <w:rPr/>
              <w:t>Deuda del Sector Público con</w:t>
            </w:r>
            <w:r>
              <w:rPr>
                <w:spacing w:val="7"/>
              </w:rPr>
              <w:t> </w:t>
            </w:r>
            <w:r>
              <w:rPr/>
              <w:t>Presupuesto</w:t>
            </w:r>
            <w:r>
              <w:rPr>
                <w:spacing w:val="1"/>
              </w:rPr>
              <w:t> </w:t>
            </w:r>
            <w:r>
              <w:rPr/>
              <w:t>Estimativo.</w:t>
              <w:tab/>
              <w:t>126</w:t>
            </w:r>
          </w:hyperlink>
        </w:p>
        <w:p>
          <w:pPr>
            <w:pStyle w:val="TOC2"/>
            <w:numPr>
              <w:ilvl w:val="1"/>
              <w:numId w:val="1"/>
            </w:numPr>
            <w:tabs>
              <w:tab w:pos="2928" w:val="left" w:leader="none"/>
              <w:tab w:pos="2929" w:val="left" w:leader="none"/>
              <w:tab w:pos="8918" w:val="left" w:leader="dot"/>
            </w:tabs>
            <w:spacing w:line="240" w:lineRule="auto" w:before="103" w:after="0"/>
            <w:ind w:left="2928" w:right="0" w:hanging="648"/>
            <w:jc w:val="left"/>
          </w:pPr>
          <w:hyperlink w:history="true" w:anchor="_TOC_250009">
            <w:r>
              <w:rPr/>
              <w:t>Fundaciones.</w:t>
              <w:tab/>
              <w:t>128</w:t>
            </w:r>
          </w:hyperlink>
        </w:p>
        <w:p>
          <w:pPr>
            <w:pStyle w:val="TOC3"/>
            <w:numPr>
              <w:ilvl w:val="2"/>
              <w:numId w:val="1"/>
            </w:numPr>
            <w:tabs>
              <w:tab w:pos="3287" w:val="left" w:leader="none"/>
              <w:tab w:pos="3288" w:val="left" w:leader="none"/>
              <w:tab w:pos="8094" w:val="left" w:leader="dot"/>
            </w:tabs>
            <w:spacing w:line="240" w:lineRule="auto" w:before="102" w:after="0"/>
            <w:ind w:left="3287" w:right="0" w:hanging="829"/>
            <w:jc w:val="left"/>
          </w:pPr>
          <w:hyperlink w:history="true" w:anchor="_TOC_250008">
            <w:r>
              <w:rPr/>
              <w:t>Rendición</w:t>
              <w:tab/>
              <w:t>128</w:t>
            </w:r>
          </w:hyperlink>
        </w:p>
        <w:p>
          <w:pPr>
            <w:pStyle w:val="TOC3"/>
            <w:numPr>
              <w:ilvl w:val="2"/>
              <w:numId w:val="1"/>
            </w:numPr>
            <w:tabs>
              <w:tab w:pos="3287" w:val="left" w:leader="none"/>
              <w:tab w:pos="3288" w:val="left" w:leader="none"/>
              <w:tab w:pos="8094" w:val="left" w:leader="dot"/>
            </w:tabs>
            <w:spacing w:line="240" w:lineRule="auto" w:before="123" w:after="0"/>
            <w:ind w:left="3287" w:right="0" w:hanging="829"/>
            <w:jc w:val="left"/>
          </w:pPr>
          <w:hyperlink w:history="true" w:anchor="_TOC_250007">
            <w:r>
              <w:rPr/>
              <w:t>Cuentas</w:t>
            </w:r>
            <w:r>
              <w:rPr>
                <w:spacing w:val="1"/>
              </w:rPr>
              <w:t> </w:t>
            </w:r>
            <w:r>
              <w:rPr/>
              <w:t>Anuales.</w:t>
              <w:tab/>
              <w:t>128</w:t>
            </w:r>
          </w:hyperlink>
        </w:p>
        <w:p>
          <w:pPr>
            <w:pStyle w:val="TOC3"/>
            <w:numPr>
              <w:ilvl w:val="2"/>
              <w:numId w:val="1"/>
            </w:numPr>
            <w:tabs>
              <w:tab w:pos="3287" w:val="left" w:leader="none"/>
              <w:tab w:pos="3288" w:val="left" w:leader="none"/>
              <w:tab w:pos="8094" w:val="left" w:leader="dot"/>
            </w:tabs>
            <w:spacing w:line="240" w:lineRule="auto" w:before="123" w:after="0"/>
            <w:ind w:left="3287" w:right="0" w:hanging="829"/>
            <w:jc w:val="left"/>
          </w:pPr>
          <w:r>
            <w:rPr/>
            <w:t>Cumplimiento de los plazos</w:t>
          </w:r>
          <w:r>
            <w:rPr>
              <w:spacing w:val="5"/>
            </w:rPr>
            <w:t> </w:t>
          </w:r>
          <w:r>
            <w:rPr/>
            <w:t>de</w:t>
          </w:r>
          <w:r>
            <w:rPr>
              <w:spacing w:val="1"/>
            </w:rPr>
            <w:t> </w:t>
          </w:r>
          <w:r>
            <w:rPr/>
            <w:t>pago</w:t>
            <w:tab/>
            <w:t>132</w:t>
          </w:r>
        </w:p>
        <w:p>
          <w:pPr>
            <w:pStyle w:val="TOC3"/>
            <w:numPr>
              <w:ilvl w:val="2"/>
              <w:numId w:val="1"/>
            </w:numPr>
            <w:tabs>
              <w:tab w:pos="3288" w:val="left" w:leader="none"/>
              <w:tab w:pos="8094" w:val="left" w:leader="dot"/>
            </w:tabs>
            <w:spacing w:line="240" w:lineRule="auto" w:before="122" w:after="0"/>
            <w:ind w:left="3287" w:right="0" w:hanging="829"/>
            <w:jc w:val="both"/>
          </w:pPr>
          <w:hyperlink w:history="true" w:anchor="_TOC_250006">
            <w:r>
              <w:rPr/>
              <w:t>Personal.</w:t>
              <w:tab/>
              <w:t>132</w:t>
            </w:r>
          </w:hyperlink>
        </w:p>
        <w:p>
          <w:pPr>
            <w:pStyle w:val="TOC3"/>
            <w:numPr>
              <w:ilvl w:val="2"/>
              <w:numId w:val="1"/>
            </w:numPr>
            <w:tabs>
              <w:tab w:pos="3288" w:val="left" w:leader="none"/>
              <w:tab w:pos="8094" w:val="left" w:leader="dot"/>
            </w:tabs>
            <w:spacing w:line="240" w:lineRule="auto" w:before="121" w:after="0"/>
            <w:ind w:left="3287" w:right="0" w:hanging="829"/>
            <w:jc w:val="both"/>
          </w:pPr>
          <w:hyperlink w:history="true" w:anchor="_TOC_250005">
            <w:r>
              <w:rPr/>
              <w:t>Objetivos de</w:t>
            </w:r>
            <w:r>
              <w:rPr>
                <w:spacing w:val="1"/>
              </w:rPr>
              <w:t> </w:t>
            </w:r>
            <w:r>
              <w:rPr/>
              <w:t>actividad</w:t>
              <w:tab/>
              <w:t>136</w:t>
            </w:r>
          </w:hyperlink>
        </w:p>
        <w:p>
          <w:pPr>
            <w:pStyle w:val="TOC3"/>
            <w:numPr>
              <w:ilvl w:val="2"/>
              <w:numId w:val="1"/>
            </w:numPr>
            <w:tabs>
              <w:tab w:pos="3288" w:val="left" w:leader="none"/>
              <w:tab w:pos="8094" w:val="left" w:leader="dot"/>
            </w:tabs>
            <w:spacing w:line="261" w:lineRule="auto" w:before="122" w:after="0"/>
            <w:ind w:left="3287" w:right="1974" w:hanging="829"/>
            <w:jc w:val="both"/>
          </w:pPr>
          <w:hyperlink w:history="true" w:anchor="_TOC_250004">
            <w:r>
              <w:rPr/>
              <w:t>Cumplimiento de las obligaciones de remisión de información y documentación de contratos, convenios y encargos a medios propios.</w:t>
              <w:tab/>
            </w:r>
            <w:r>
              <w:rPr>
                <w:spacing w:val="-5"/>
              </w:rPr>
              <w:t>137</w:t>
            </w:r>
          </w:hyperlink>
        </w:p>
        <w:p>
          <w:pPr>
            <w:pStyle w:val="TOC1"/>
            <w:numPr>
              <w:ilvl w:val="0"/>
              <w:numId w:val="1"/>
            </w:numPr>
            <w:tabs>
              <w:tab w:pos="2452" w:val="left" w:leader="none"/>
              <w:tab w:pos="2453" w:val="left" w:leader="none"/>
              <w:tab w:pos="8918" w:val="left" w:leader="dot"/>
            </w:tabs>
            <w:spacing w:line="240" w:lineRule="auto" w:before="200" w:after="0"/>
            <w:ind w:left="2453" w:right="0" w:hanging="357"/>
            <w:jc w:val="left"/>
          </w:pPr>
          <w:hyperlink w:history="true" w:anchor="_TOC_250003">
            <w:r>
              <w:rPr/>
              <w:t>FONDOS CARENTES DE</w:t>
            </w:r>
            <w:r>
              <w:rPr>
                <w:spacing w:val="6"/>
              </w:rPr>
              <w:t> </w:t>
            </w:r>
            <w:r>
              <w:rPr/>
              <w:t>PERSONALIDAD</w:t>
            </w:r>
            <w:r>
              <w:rPr>
                <w:spacing w:val="1"/>
              </w:rPr>
              <w:t> </w:t>
            </w:r>
            <w:r>
              <w:rPr/>
              <w:t>JURÍDICA</w:t>
              <w:tab/>
              <w:t>139</w:t>
            </w:r>
          </w:hyperlink>
        </w:p>
        <w:p>
          <w:pPr>
            <w:pStyle w:val="TOC1"/>
            <w:numPr>
              <w:ilvl w:val="0"/>
              <w:numId w:val="1"/>
            </w:numPr>
            <w:tabs>
              <w:tab w:pos="2452" w:val="left" w:leader="none"/>
              <w:tab w:pos="2453" w:val="left" w:leader="none"/>
              <w:tab w:pos="8918" w:val="left" w:leader="dot"/>
            </w:tabs>
            <w:spacing w:line="240" w:lineRule="auto" w:before="203" w:after="0"/>
            <w:ind w:left="2453" w:right="0" w:hanging="357"/>
            <w:jc w:val="left"/>
          </w:pPr>
          <w:hyperlink w:history="true" w:anchor="_TOC_250002">
            <w:r>
              <w:rPr/>
              <w:t>OPERACIONES</w:t>
            </w:r>
            <w:r>
              <w:rPr>
                <w:spacing w:val="1"/>
              </w:rPr>
              <w:t> </w:t>
            </w:r>
            <w:r>
              <w:rPr/>
              <w:t>FINANCIERAS</w:t>
              <w:tab/>
              <w:t>145</w:t>
            </w:r>
          </w:hyperlink>
        </w:p>
        <w:p>
          <w:pPr>
            <w:pStyle w:val="TOC2"/>
            <w:numPr>
              <w:ilvl w:val="1"/>
              <w:numId w:val="1"/>
            </w:numPr>
            <w:tabs>
              <w:tab w:pos="2928" w:val="left" w:leader="none"/>
              <w:tab w:pos="2929" w:val="left" w:leader="none"/>
              <w:tab w:pos="8918" w:val="left" w:leader="dot"/>
            </w:tabs>
            <w:spacing w:line="240" w:lineRule="auto" w:before="103" w:after="0"/>
            <w:ind w:left="2928" w:right="0" w:hanging="648"/>
            <w:jc w:val="left"/>
          </w:pPr>
          <w:hyperlink w:history="true" w:anchor="_TOC_250001">
            <w:r>
              <w:rPr/>
              <w:t>Estabilidad presupuestaria y</w:t>
            </w:r>
            <w:r>
              <w:rPr>
                <w:spacing w:val="4"/>
              </w:rPr>
              <w:t> </w:t>
            </w:r>
            <w:r>
              <w:rPr/>
              <w:t>Sostenibilidad</w:t>
            </w:r>
            <w:r>
              <w:rPr>
                <w:spacing w:val="3"/>
              </w:rPr>
              <w:t> </w:t>
            </w:r>
            <w:r>
              <w:rPr/>
              <w:t>Financiera.</w:t>
              <w:tab/>
              <w:t>145</w:t>
            </w:r>
          </w:hyperlink>
        </w:p>
        <w:p>
          <w:pPr>
            <w:pStyle w:val="TOC2"/>
            <w:numPr>
              <w:ilvl w:val="1"/>
              <w:numId w:val="1"/>
            </w:numPr>
            <w:tabs>
              <w:tab w:pos="2928" w:val="left" w:leader="none"/>
              <w:tab w:pos="2929" w:val="left" w:leader="none"/>
              <w:tab w:pos="8918" w:val="left" w:leader="dot"/>
            </w:tabs>
            <w:spacing w:line="240" w:lineRule="auto" w:before="102" w:after="0"/>
            <w:ind w:left="2928" w:right="0" w:hanging="648"/>
            <w:jc w:val="left"/>
          </w:pPr>
          <w:hyperlink w:history="true" w:anchor="_TOC_250000">
            <w:r>
              <w:rPr/>
              <w:t>Deuda</w:t>
            </w:r>
            <w:r>
              <w:rPr>
                <w:spacing w:val="2"/>
              </w:rPr>
              <w:t> </w:t>
            </w:r>
            <w:r>
              <w:rPr/>
              <w:t>Pública.</w:t>
              <w:tab/>
              <w:t>146</w:t>
            </w:r>
          </w:hyperlink>
        </w:p>
      </w:sdtContent>
    </w:sdt>
    <w:p>
      <w:pPr>
        <w:pStyle w:val="BodyText"/>
        <w:spacing w:before="244"/>
        <w:ind w:left="7995"/>
        <w:jc w:val="center"/>
      </w:pPr>
      <w:r>
        <w:rPr>
          <w:w w:val="100"/>
        </w:rPr>
        <w:t>3</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7" name="image5.png"/>
                  <wp:cNvGraphicFramePr>
                    <a:graphicFrameLocks noChangeAspect="1"/>
                  </wp:cNvGraphicFramePr>
                  <a:graphic>
                    <a:graphicData uri="http://schemas.openxmlformats.org/drawingml/2006/picture">
                      <pic:pic>
                        <pic:nvPicPr>
                          <pic:cNvPr id="1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65"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2"/>
          <w:numId w:val="1"/>
        </w:numPr>
        <w:tabs>
          <w:tab w:pos="3287" w:val="left" w:leader="none"/>
          <w:tab w:pos="3288" w:val="left" w:leader="none"/>
          <w:tab w:pos="8402" w:val="right" w:leader="dot"/>
        </w:tabs>
        <w:spacing w:line="240" w:lineRule="auto" w:before="61" w:after="0"/>
        <w:ind w:left="3287" w:right="0" w:hanging="829"/>
        <w:jc w:val="left"/>
        <w:rPr>
          <w:sz w:val="20"/>
        </w:rPr>
      </w:pPr>
      <w:r>
        <w:rPr>
          <w:sz w:val="20"/>
        </w:rPr>
        <w:t>Situación y movimientos de</w:t>
      </w:r>
      <w:r>
        <w:rPr>
          <w:spacing w:val="1"/>
          <w:sz w:val="20"/>
        </w:rPr>
        <w:t> </w:t>
      </w:r>
      <w:r>
        <w:rPr>
          <w:sz w:val="20"/>
        </w:rPr>
        <w:t>las deudas.</w:t>
        <w:tab/>
        <w:t>146</w:t>
      </w:r>
    </w:p>
    <w:p>
      <w:pPr>
        <w:pStyle w:val="ListParagraph"/>
        <w:numPr>
          <w:ilvl w:val="2"/>
          <w:numId w:val="1"/>
        </w:numPr>
        <w:tabs>
          <w:tab w:pos="3287" w:val="left" w:leader="none"/>
          <w:tab w:pos="3288" w:val="left" w:leader="none"/>
          <w:tab w:pos="8402" w:val="right" w:leader="dot"/>
        </w:tabs>
        <w:spacing w:line="240" w:lineRule="auto" w:before="123" w:after="0"/>
        <w:ind w:left="3287" w:right="0" w:hanging="829"/>
        <w:jc w:val="left"/>
        <w:rPr>
          <w:sz w:val="20"/>
        </w:rPr>
      </w:pPr>
      <w:r>
        <w:rPr>
          <w:sz w:val="20"/>
        </w:rPr>
        <w:t>Deuda no computable como</w:t>
      </w:r>
      <w:r>
        <w:rPr>
          <w:spacing w:val="5"/>
          <w:sz w:val="20"/>
        </w:rPr>
        <w:t> </w:t>
      </w:r>
      <w:r>
        <w:rPr>
          <w:sz w:val="20"/>
        </w:rPr>
        <w:t>deuda</w:t>
      </w:r>
      <w:r>
        <w:rPr>
          <w:spacing w:val="-1"/>
          <w:sz w:val="20"/>
        </w:rPr>
        <w:t> </w:t>
      </w:r>
      <w:r>
        <w:rPr>
          <w:sz w:val="20"/>
        </w:rPr>
        <w:t>pública.</w:t>
        <w:tab/>
        <w:t>148</w:t>
      </w:r>
    </w:p>
    <w:p>
      <w:pPr>
        <w:pStyle w:val="ListParagraph"/>
        <w:numPr>
          <w:ilvl w:val="2"/>
          <w:numId w:val="1"/>
        </w:numPr>
        <w:tabs>
          <w:tab w:pos="3287" w:val="left" w:leader="none"/>
          <w:tab w:pos="3288" w:val="left" w:leader="none"/>
          <w:tab w:pos="8402" w:val="right" w:leader="dot"/>
        </w:tabs>
        <w:spacing w:line="240" w:lineRule="auto" w:before="120" w:after="0"/>
        <w:ind w:left="3287" w:right="0" w:hanging="829"/>
        <w:jc w:val="left"/>
        <w:rPr>
          <w:sz w:val="20"/>
        </w:rPr>
      </w:pPr>
      <w:r>
        <w:rPr>
          <w:sz w:val="20"/>
        </w:rPr>
        <w:t>Amortizaciones</w:t>
      </w:r>
      <w:r>
        <w:rPr>
          <w:spacing w:val="1"/>
          <w:sz w:val="20"/>
        </w:rPr>
        <w:t> </w:t>
      </w:r>
      <w:r>
        <w:rPr>
          <w:sz w:val="20"/>
        </w:rPr>
        <w:t>financieras.</w:t>
        <w:tab/>
        <w:t>148</w:t>
      </w:r>
    </w:p>
    <w:p>
      <w:pPr>
        <w:pStyle w:val="ListParagraph"/>
        <w:numPr>
          <w:ilvl w:val="2"/>
          <w:numId w:val="1"/>
        </w:numPr>
        <w:tabs>
          <w:tab w:pos="3287" w:val="left" w:leader="none"/>
          <w:tab w:pos="3288" w:val="left" w:leader="none"/>
          <w:tab w:pos="8402" w:val="right" w:leader="dot"/>
        </w:tabs>
        <w:spacing w:line="240" w:lineRule="auto" w:before="123" w:after="0"/>
        <w:ind w:left="3287" w:right="0" w:hanging="829"/>
        <w:jc w:val="left"/>
        <w:rPr>
          <w:sz w:val="20"/>
        </w:rPr>
      </w:pPr>
      <w:r>
        <w:rPr>
          <w:sz w:val="20"/>
        </w:rPr>
        <w:t>Intereses.</w:t>
        <w:tab/>
        <w:t>149</w:t>
      </w:r>
    </w:p>
    <w:p>
      <w:pPr>
        <w:pStyle w:val="ListParagraph"/>
        <w:numPr>
          <w:ilvl w:val="1"/>
          <w:numId w:val="1"/>
        </w:numPr>
        <w:tabs>
          <w:tab w:pos="2928" w:val="left" w:leader="none"/>
          <w:tab w:pos="2929" w:val="left" w:leader="none"/>
          <w:tab w:pos="9227" w:val="right" w:leader="dot"/>
        </w:tabs>
        <w:spacing w:line="240" w:lineRule="auto" w:before="123" w:after="0"/>
        <w:ind w:left="2928" w:right="0" w:hanging="648"/>
        <w:jc w:val="left"/>
        <w:rPr>
          <w:sz w:val="20"/>
        </w:rPr>
      </w:pPr>
      <w:r>
        <w:rPr>
          <w:sz w:val="20"/>
        </w:rPr>
        <w:t>Sostenibilidad</w:t>
      </w:r>
      <w:r>
        <w:rPr>
          <w:spacing w:val="3"/>
          <w:sz w:val="20"/>
        </w:rPr>
        <w:t> </w:t>
      </w:r>
      <w:r>
        <w:rPr>
          <w:sz w:val="20"/>
        </w:rPr>
        <w:t>Financiera</w:t>
        <w:tab/>
        <w:t>150</w:t>
      </w:r>
    </w:p>
    <w:p>
      <w:pPr>
        <w:pStyle w:val="ListParagraph"/>
        <w:numPr>
          <w:ilvl w:val="1"/>
          <w:numId w:val="1"/>
        </w:numPr>
        <w:tabs>
          <w:tab w:pos="2928" w:val="left" w:leader="none"/>
          <w:tab w:pos="2929" w:val="left" w:leader="none"/>
          <w:tab w:pos="9227" w:val="right" w:leader="dot"/>
        </w:tabs>
        <w:spacing w:line="240" w:lineRule="auto" w:before="102" w:after="0"/>
        <w:ind w:left="2928" w:right="0" w:hanging="648"/>
        <w:jc w:val="left"/>
        <w:rPr>
          <w:sz w:val="20"/>
        </w:rPr>
      </w:pPr>
      <w:r>
        <w:rPr>
          <w:sz w:val="20"/>
        </w:rPr>
        <w:t>Avales.</w:t>
        <w:tab/>
        <w:t>151</w:t>
      </w:r>
    </w:p>
    <w:p>
      <w:pPr>
        <w:pStyle w:val="ListParagraph"/>
        <w:numPr>
          <w:ilvl w:val="1"/>
          <w:numId w:val="1"/>
        </w:numPr>
        <w:tabs>
          <w:tab w:pos="2928" w:val="left" w:leader="none"/>
          <w:tab w:pos="2929" w:val="left" w:leader="none"/>
          <w:tab w:pos="9227" w:val="right" w:leader="dot"/>
        </w:tabs>
        <w:spacing w:line="240" w:lineRule="auto" w:before="103" w:after="0"/>
        <w:ind w:left="2928" w:right="0" w:hanging="648"/>
        <w:jc w:val="left"/>
        <w:rPr>
          <w:sz w:val="20"/>
        </w:rPr>
      </w:pPr>
      <w:r>
        <w:rPr>
          <w:sz w:val="20"/>
        </w:rPr>
        <w:t>Activos Financieros a</w:t>
      </w:r>
      <w:r>
        <w:rPr>
          <w:spacing w:val="1"/>
          <w:sz w:val="20"/>
        </w:rPr>
        <w:t> </w:t>
      </w:r>
      <w:r>
        <w:rPr>
          <w:sz w:val="20"/>
        </w:rPr>
        <w:t>largo</w:t>
      </w:r>
      <w:r>
        <w:rPr>
          <w:spacing w:val="1"/>
          <w:sz w:val="20"/>
        </w:rPr>
        <w:t> </w:t>
      </w:r>
      <w:r>
        <w:rPr>
          <w:sz w:val="20"/>
        </w:rPr>
        <w:t>plazo</w:t>
        <w:tab/>
        <w:t>152</w:t>
      </w:r>
    </w:p>
    <w:p>
      <w:pPr>
        <w:pStyle w:val="ListParagraph"/>
        <w:numPr>
          <w:ilvl w:val="1"/>
          <w:numId w:val="1"/>
        </w:numPr>
        <w:tabs>
          <w:tab w:pos="2928" w:val="left" w:leader="none"/>
          <w:tab w:pos="2929" w:val="left" w:leader="none"/>
          <w:tab w:pos="9227" w:val="right" w:leader="dot"/>
        </w:tabs>
        <w:spacing w:line="240" w:lineRule="auto" w:before="102" w:after="0"/>
        <w:ind w:left="2928" w:right="0" w:hanging="648"/>
        <w:jc w:val="left"/>
        <w:rPr>
          <w:sz w:val="20"/>
        </w:rPr>
      </w:pPr>
      <w:r>
        <w:rPr>
          <w:sz w:val="20"/>
        </w:rPr>
        <w:t>Convenio</w:t>
      </w:r>
      <w:r>
        <w:rPr>
          <w:spacing w:val="-1"/>
          <w:sz w:val="20"/>
        </w:rPr>
        <w:t> </w:t>
      </w:r>
      <w:r>
        <w:rPr>
          <w:sz w:val="20"/>
        </w:rPr>
        <w:t>de</w:t>
      </w:r>
      <w:r>
        <w:rPr>
          <w:spacing w:val="-1"/>
          <w:sz w:val="20"/>
        </w:rPr>
        <w:t> </w:t>
      </w:r>
      <w:r>
        <w:rPr>
          <w:sz w:val="20"/>
        </w:rPr>
        <w:t>carreteras.</w:t>
        <w:tab/>
        <w:t>154</w:t>
      </w:r>
    </w:p>
    <w:p>
      <w:pPr>
        <w:pStyle w:val="Heading1"/>
        <w:numPr>
          <w:ilvl w:val="0"/>
          <w:numId w:val="1"/>
        </w:numPr>
        <w:tabs>
          <w:tab w:pos="2452" w:val="left" w:leader="none"/>
          <w:tab w:pos="2453" w:val="left" w:leader="none"/>
          <w:tab w:pos="9227" w:val="right" w:leader="dot"/>
        </w:tabs>
        <w:spacing w:line="240" w:lineRule="auto" w:before="204" w:after="0"/>
        <w:ind w:left="2453" w:right="0" w:hanging="357"/>
        <w:jc w:val="left"/>
      </w:pPr>
      <w:r>
        <w:rPr/>
        <w:t>TRÁMITE</w:t>
      </w:r>
      <w:r>
        <w:rPr>
          <w:spacing w:val="-1"/>
        </w:rPr>
        <w:t> </w:t>
      </w:r>
      <w:r>
        <w:rPr/>
        <w:t>DE</w:t>
      </w:r>
      <w:r>
        <w:rPr>
          <w:spacing w:val="-1"/>
        </w:rPr>
        <w:t> </w:t>
      </w:r>
      <w:r>
        <w:rPr/>
        <w:t>ALEGACIONES</w:t>
        <w:tab/>
        <w:t>155</w:t>
      </w:r>
    </w:p>
    <w:p>
      <w:pPr>
        <w:pStyle w:val="Heading1"/>
        <w:numPr>
          <w:ilvl w:val="0"/>
          <w:numId w:val="1"/>
        </w:numPr>
        <w:tabs>
          <w:tab w:pos="2452" w:val="left" w:leader="none"/>
          <w:tab w:pos="2453" w:val="left" w:leader="none"/>
          <w:tab w:pos="9227" w:val="right" w:leader="dot"/>
        </w:tabs>
        <w:spacing w:line="240" w:lineRule="auto" w:before="203" w:after="0"/>
        <w:ind w:left="2453" w:right="0" w:hanging="357"/>
        <w:jc w:val="left"/>
      </w:pPr>
      <w:r>
        <w:rPr/>
        <w:t>CONCLUSIONES Y</w:t>
      </w:r>
      <w:r>
        <w:rPr>
          <w:spacing w:val="1"/>
        </w:rPr>
        <w:t> </w:t>
      </w:r>
      <w:r>
        <w:rPr/>
        <w:t>RECOMENDACIONES</w:t>
        <w:tab/>
        <w:t>156</w:t>
      </w:r>
    </w:p>
    <w:p>
      <w:pPr>
        <w:pStyle w:val="ListParagraph"/>
        <w:numPr>
          <w:ilvl w:val="1"/>
          <w:numId w:val="1"/>
        </w:numPr>
        <w:tabs>
          <w:tab w:pos="2928" w:val="left" w:leader="none"/>
          <w:tab w:pos="2929" w:val="left" w:leader="none"/>
          <w:tab w:pos="9227" w:val="right" w:leader="dot"/>
        </w:tabs>
        <w:spacing w:line="240" w:lineRule="auto" w:before="102" w:after="0"/>
        <w:ind w:left="2928" w:right="0" w:hanging="648"/>
        <w:jc w:val="left"/>
        <w:rPr>
          <w:sz w:val="20"/>
        </w:rPr>
      </w:pPr>
      <w:r>
        <w:rPr>
          <w:sz w:val="20"/>
        </w:rPr>
        <w:t>Declaración definitiva sobre la</w:t>
      </w:r>
      <w:r>
        <w:rPr>
          <w:spacing w:val="1"/>
          <w:sz w:val="20"/>
        </w:rPr>
        <w:t> </w:t>
      </w:r>
      <w:r>
        <w:rPr>
          <w:sz w:val="20"/>
        </w:rPr>
        <w:t>Cuenta</w:t>
      </w:r>
      <w:r>
        <w:rPr>
          <w:spacing w:val="-1"/>
          <w:sz w:val="20"/>
        </w:rPr>
        <w:t> </w:t>
      </w:r>
      <w:r>
        <w:rPr>
          <w:sz w:val="20"/>
        </w:rPr>
        <w:t>General.</w:t>
        <w:tab/>
        <w:t>156</w:t>
      </w:r>
    </w:p>
    <w:p>
      <w:pPr>
        <w:pStyle w:val="ListParagraph"/>
        <w:numPr>
          <w:ilvl w:val="1"/>
          <w:numId w:val="1"/>
        </w:numPr>
        <w:tabs>
          <w:tab w:pos="2928" w:val="left" w:leader="none"/>
          <w:tab w:pos="2929" w:val="left" w:leader="none"/>
          <w:tab w:pos="9227" w:val="right" w:leader="dot"/>
        </w:tabs>
        <w:spacing w:line="240" w:lineRule="auto" w:before="103" w:after="0"/>
        <w:ind w:left="2928" w:right="0" w:hanging="648"/>
        <w:jc w:val="left"/>
        <w:rPr>
          <w:sz w:val="20"/>
        </w:rPr>
      </w:pPr>
      <w:r>
        <w:rPr>
          <w:sz w:val="20"/>
        </w:rPr>
        <w:t>Conclusiones.</w:t>
        <w:tab/>
        <w:t>156</w:t>
      </w:r>
    </w:p>
    <w:p>
      <w:pPr>
        <w:pStyle w:val="ListParagraph"/>
        <w:numPr>
          <w:ilvl w:val="1"/>
          <w:numId w:val="1"/>
        </w:numPr>
        <w:tabs>
          <w:tab w:pos="2928" w:val="left" w:leader="none"/>
          <w:tab w:pos="2929" w:val="left" w:leader="none"/>
          <w:tab w:pos="9227" w:val="right" w:leader="dot"/>
        </w:tabs>
        <w:spacing w:line="240" w:lineRule="auto" w:before="102" w:after="0"/>
        <w:ind w:left="2928" w:right="0" w:hanging="648"/>
        <w:jc w:val="left"/>
        <w:rPr>
          <w:sz w:val="20"/>
        </w:rPr>
      </w:pPr>
      <w:r>
        <w:rPr>
          <w:sz w:val="20"/>
        </w:rPr>
        <w:t>Recomendaciones.</w:t>
        <w:tab/>
        <w:t>164</w:t>
      </w:r>
    </w:p>
    <w:p>
      <w:pPr>
        <w:pStyle w:val="ListParagraph"/>
        <w:numPr>
          <w:ilvl w:val="2"/>
          <w:numId w:val="1"/>
        </w:numPr>
        <w:tabs>
          <w:tab w:pos="3287" w:val="left" w:leader="none"/>
          <w:tab w:pos="3288" w:val="left" w:leader="none"/>
          <w:tab w:pos="8402" w:val="right" w:leader="dot"/>
        </w:tabs>
        <w:spacing w:line="240" w:lineRule="auto" w:before="105" w:after="0"/>
        <w:ind w:left="3287" w:right="0" w:hanging="829"/>
        <w:jc w:val="left"/>
        <w:rPr>
          <w:sz w:val="20"/>
        </w:rPr>
      </w:pPr>
      <w:r>
        <w:rPr>
          <w:sz w:val="20"/>
        </w:rPr>
        <w:t>Recomendaciones que mantienen su vigencia.</w:t>
        <w:tab/>
        <w:t>165</w:t>
      </w:r>
    </w:p>
    <w:p>
      <w:pPr>
        <w:pStyle w:val="Heading1"/>
        <w:numPr>
          <w:ilvl w:val="0"/>
          <w:numId w:val="1"/>
        </w:numPr>
        <w:tabs>
          <w:tab w:pos="2453" w:val="left" w:leader="none"/>
          <w:tab w:pos="9227" w:val="right" w:leader="dot"/>
        </w:tabs>
        <w:spacing w:line="240" w:lineRule="auto" w:before="221" w:after="0"/>
        <w:ind w:left="2453" w:right="0" w:hanging="357"/>
        <w:jc w:val="left"/>
      </w:pPr>
      <w:r>
        <w:rPr/>
        <w:t>ANEXOS</w:t>
        <w:tab/>
        <w:t>167</w:t>
      </w:r>
    </w:p>
    <w:p>
      <w:pPr>
        <w:pStyle w:val="ListParagraph"/>
        <w:numPr>
          <w:ilvl w:val="1"/>
          <w:numId w:val="1"/>
        </w:numPr>
        <w:tabs>
          <w:tab w:pos="2928" w:val="left" w:leader="none"/>
          <w:tab w:pos="2929" w:val="left" w:leader="none"/>
        </w:tabs>
        <w:spacing w:line="240" w:lineRule="auto" w:before="103" w:after="0"/>
        <w:ind w:left="2928" w:right="0" w:hanging="648"/>
        <w:jc w:val="left"/>
        <w:rPr>
          <w:sz w:val="20"/>
        </w:rPr>
      </w:pPr>
      <w:r>
        <w:rPr>
          <w:sz w:val="20"/>
        </w:rPr>
        <w:t>Anexo I. Relación de documentos no remitidos o recibidos fuera de</w:t>
      </w:r>
      <w:r>
        <w:rPr>
          <w:spacing w:val="-3"/>
          <w:sz w:val="20"/>
        </w:rPr>
        <w:t> </w:t>
      </w:r>
      <w:r>
        <w:rPr>
          <w:sz w:val="20"/>
        </w:rPr>
        <w:t>plazo.</w:t>
      </w:r>
    </w:p>
    <w:p>
      <w:pPr>
        <w:pStyle w:val="BodyText"/>
        <w:spacing w:before="1"/>
        <w:ind w:right="1150"/>
        <w:jc w:val="right"/>
      </w:pPr>
      <w:r>
        <w:rPr>
          <w:spacing w:val="-1"/>
        </w:rPr>
        <w:t>......................................................................................................................168</w:t>
      </w:r>
    </w:p>
    <w:p>
      <w:pPr>
        <w:pStyle w:val="ListParagraph"/>
        <w:numPr>
          <w:ilvl w:val="1"/>
          <w:numId w:val="1"/>
        </w:numPr>
        <w:tabs>
          <w:tab w:pos="646" w:val="left" w:leader="none"/>
          <w:tab w:pos="2929" w:val="left" w:leader="none"/>
        </w:tabs>
        <w:spacing w:line="240" w:lineRule="auto" w:before="105" w:after="0"/>
        <w:ind w:left="2928" w:right="1161" w:hanging="2929"/>
        <w:jc w:val="right"/>
        <w:rPr>
          <w:sz w:val="20"/>
        </w:rPr>
      </w:pPr>
      <w:r>
        <w:rPr>
          <w:sz w:val="20"/>
        </w:rPr>
        <w:t>Anexo II. Derechos pendientes de cobros presupuestarios ejercicio</w:t>
      </w:r>
      <w:r>
        <w:rPr>
          <w:spacing w:val="19"/>
          <w:sz w:val="20"/>
        </w:rPr>
        <w:t> </w:t>
      </w:r>
      <w:r>
        <w:rPr>
          <w:sz w:val="20"/>
        </w:rPr>
        <w:t>corriente.</w:t>
      </w:r>
    </w:p>
    <w:p>
      <w:pPr>
        <w:pStyle w:val="BodyText"/>
        <w:spacing w:before="2"/>
        <w:ind w:right="1150"/>
        <w:jc w:val="right"/>
      </w:pPr>
      <w:r>
        <w:rPr>
          <w:spacing w:val="-1"/>
        </w:rPr>
        <w:t>......................................................................................................................169</w:t>
      </w:r>
    </w:p>
    <w:p>
      <w:pPr>
        <w:pStyle w:val="ListParagraph"/>
        <w:numPr>
          <w:ilvl w:val="1"/>
          <w:numId w:val="1"/>
        </w:numPr>
        <w:tabs>
          <w:tab w:pos="2928" w:val="left" w:leader="none"/>
          <w:tab w:pos="2929" w:val="left" w:leader="none"/>
          <w:tab w:pos="9227" w:val="right" w:leader="dot"/>
        </w:tabs>
        <w:spacing w:line="240" w:lineRule="auto" w:before="102" w:after="0"/>
        <w:ind w:left="2928" w:right="1150" w:hanging="647"/>
        <w:jc w:val="left"/>
        <w:rPr>
          <w:sz w:val="20"/>
        </w:rPr>
      </w:pPr>
      <w:r>
        <w:rPr>
          <w:sz w:val="20"/>
        </w:rPr>
        <w:t>Anexo III. Pendientes de cobros presupuestario capítulos I a III de presupuesto corriente y cerrado y por estado de la deuda, voluntaria y ejecutiva.</w:t>
        <w:tab/>
        <w:t>170</w:t>
      </w:r>
    </w:p>
    <w:p>
      <w:pPr>
        <w:pStyle w:val="ListParagraph"/>
        <w:numPr>
          <w:ilvl w:val="1"/>
          <w:numId w:val="1"/>
        </w:numPr>
        <w:tabs>
          <w:tab w:pos="2928" w:val="left" w:leader="none"/>
          <w:tab w:pos="2929" w:val="left" w:leader="none"/>
          <w:tab w:pos="9227" w:val="right" w:leader="dot"/>
        </w:tabs>
        <w:spacing w:line="240" w:lineRule="auto" w:before="106" w:after="0"/>
        <w:ind w:left="2928" w:right="1150" w:hanging="647"/>
        <w:jc w:val="left"/>
        <w:rPr>
          <w:sz w:val="20"/>
        </w:rPr>
      </w:pPr>
      <w:r>
        <w:rPr>
          <w:sz w:val="20"/>
        </w:rPr>
        <w:t>Anexo IV. Pendientes de cobros de ejercicios cerrados en fase voluntaria PICCAC/ MAGIN Y</w:t>
      </w:r>
      <w:r>
        <w:rPr>
          <w:spacing w:val="1"/>
          <w:sz w:val="20"/>
        </w:rPr>
        <w:t> </w:t>
      </w:r>
      <w:r>
        <w:rPr>
          <w:sz w:val="20"/>
        </w:rPr>
        <w:t>SEFLOGIC (I).</w:t>
        <w:tab/>
        <w:t>173</w:t>
      </w:r>
    </w:p>
    <w:p>
      <w:pPr>
        <w:pStyle w:val="ListParagraph"/>
        <w:numPr>
          <w:ilvl w:val="1"/>
          <w:numId w:val="1"/>
        </w:numPr>
        <w:tabs>
          <w:tab w:pos="2928" w:val="left" w:leader="none"/>
          <w:tab w:pos="2929" w:val="left" w:leader="none"/>
          <w:tab w:pos="9227" w:val="right" w:leader="dot"/>
        </w:tabs>
        <w:spacing w:line="242" w:lineRule="auto" w:before="104" w:after="0"/>
        <w:ind w:left="2928" w:right="1150" w:hanging="647"/>
        <w:jc w:val="left"/>
        <w:rPr>
          <w:sz w:val="20"/>
        </w:rPr>
      </w:pPr>
      <w:r>
        <w:rPr>
          <w:sz w:val="20"/>
        </w:rPr>
        <w:t>Anexo V. Pendientes de cobros del área REF, separado IGIC y resto de conceptos, por sistemas de origen y por estado de la deuda, voluntaria y ejecutiva.</w:t>
        <w:tab/>
        <w:t>176</w:t>
      </w:r>
    </w:p>
    <w:p>
      <w:pPr>
        <w:pStyle w:val="ListParagraph"/>
        <w:numPr>
          <w:ilvl w:val="1"/>
          <w:numId w:val="1"/>
        </w:numPr>
        <w:tabs>
          <w:tab w:pos="2928" w:val="left" w:leader="none"/>
          <w:tab w:pos="2929" w:val="left" w:leader="none"/>
          <w:tab w:pos="9227" w:val="right" w:leader="dot"/>
        </w:tabs>
        <w:spacing w:line="240" w:lineRule="auto" w:before="99" w:after="0"/>
        <w:ind w:left="2928" w:right="1150" w:hanging="647"/>
        <w:jc w:val="left"/>
        <w:rPr>
          <w:sz w:val="20"/>
        </w:rPr>
      </w:pPr>
      <w:r>
        <w:rPr>
          <w:sz w:val="20"/>
        </w:rPr>
        <w:t>Anexo VI. Punto 3 del 2.2.6. Modificaciones presupuestarias de ingresos por subconcepto.</w:t>
        <w:tab/>
        <w:t>178</w:t>
      </w:r>
    </w:p>
    <w:p>
      <w:pPr>
        <w:pStyle w:val="BodyText"/>
        <w:spacing w:before="328"/>
        <w:ind w:left="7995"/>
        <w:jc w:val="center"/>
      </w:pPr>
      <w:r>
        <w:rPr>
          <w:w w:val="100"/>
        </w:rPr>
        <w:t>4</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9" name="image5.png"/>
                  <wp:cNvGraphicFramePr>
                    <a:graphicFrameLocks noChangeAspect="1"/>
                  </wp:cNvGraphicFramePr>
                  <a:graphic>
                    <a:graphicData uri="http://schemas.openxmlformats.org/drawingml/2006/picture">
                      <pic:pic>
                        <pic:nvPicPr>
                          <pic:cNvPr id="2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65"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1"/>
          <w:numId w:val="1"/>
        </w:numPr>
        <w:tabs>
          <w:tab w:pos="2928" w:val="left" w:leader="none"/>
          <w:tab w:pos="2929" w:val="left" w:leader="none"/>
          <w:tab w:pos="8918" w:val="left" w:leader="dot"/>
        </w:tabs>
        <w:spacing w:line="240" w:lineRule="auto" w:before="61" w:after="0"/>
        <w:ind w:left="2928" w:right="0" w:hanging="648"/>
        <w:jc w:val="left"/>
        <w:rPr>
          <w:sz w:val="20"/>
        </w:rPr>
      </w:pPr>
      <w:r>
        <w:rPr>
          <w:sz w:val="20"/>
        </w:rPr>
        <w:t>Anexo VII. Resultado Presupuestario Ajustado 2022 OOAA</w:t>
      </w:r>
      <w:r>
        <w:rPr>
          <w:spacing w:val="14"/>
          <w:sz w:val="20"/>
        </w:rPr>
        <w:t> </w:t>
      </w:r>
      <w:r>
        <w:rPr>
          <w:sz w:val="20"/>
        </w:rPr>
        <w:t>y EEPP</w:t>
        <w:tab/>
        <w:t>182</w:t>
      </w:r>
    </w:p>
    <w:p>
      <w:pPr>
        <w:pStyle w:val="ListParagraph"/>
        <w:numPr>
          <w:ilvl w:val="1"/>
          <w:numId w:val="1"/>
        </w:numPr>
        <w:tabs>
          <w:tab w:pos="2928" w:val="left" w:leader="none"/>
          <w:tab w:pos="2929" w:val="left" w:leader="none"/>
          <w:tab w:pos="8918" w:val="left" w:leader="dot"/>
        </w:tabs>
        <w:spacing w:line="240" w:lineRule="auto" w:before="103" w:after="0"/>
        <w:ind w:left="2928" w:right="0" w:hanging="648"/>
        <w:jc w:val="left"/>
        <w:rPr>
          <w:sz w:val="20"/>
        </w:rPr>
      </w:pPr>
      <w:r>
        <w:rPr>
          <w:sz w:val="20"/>
        </w:rPr>
        <w:t>Anexo VIII. Remanente Tesorería 2022 OOAA</w:t>
      </w:r>
      <w:r>
        <w:rPr>
          <w:spacing w:val="12"/>
          <w:sz w:val="20"/>
        </w:rPr>
        <w:t> </w:t>
      </w:r>
      <w:r>
        <w:rPr>
          <w:sz w:val="20"/>
        </w:rPr>
        <w:t>y EEPP</w:t>
        <w:tab/>
        <w:t>183</w:t>
      </w:r>
    </w:p>
    <w:p>
      <w:pPr>
        <w:pStyle w:val="ListParagraph"/>
        <w:numPr>
          <w:ilvl w:val="1"/>
          <w:numId w:val="1"/>
        </w:numPr>
        <w:tabs>
          <w:tab w:pos="2928" w:val="left" w:leader="none"/>
          <w:tab w:pos="2929" w:val="left" w:leader="none"/>
          <w:tab w:pos="8918" w:val="left" w:leader="dot"/>
        </w:tabs>
        <w:spacing w:line="240" w:lineRule="auto" w:before="102" w:after="0"/>
        <w:ind w:left="2928" w:right="0" w:hanging="648"/>
        <w:jc w:val="left"/>
        <w:rPr>
          <w:sz w:val="20"/>
        </w:rPr>
      </w:pPr>
      <w:r>
        <w:rPr>
          <w:sz w:val="20"/>
        </w:rPr>
        <w:t>Anexo IX. Balance agregado OOAA y</w:t>
      </w:r>
      <w:r>
        <w:rPr>
          <w:spacing w:val="12"/>
          <w:sz w:val="20"/>
        </w:rPr>
        <w:t> </w:t>
      </w:r>
      <w:r>
        <w:rPr>
          <w:sz w:val="20"/>
        </w:rPr>
        <w:t>EEPP</w:t>
      </w:r>
      <w:r>
        <w:rPr>
          <w:spacing w:val="2"/>
          <w:sz w:val="20"/>
        </w:rPr>
        <w:t> </w:t>
      </w:r>
      <w:r>
        <w:rPr>
          <w:sz w:val="20"/>
        </w:rPr>
        <w:t>2022</w:t>
        <w:tab/>
        <w:t>184</w:t>
      </w:r>
    </w:p>
    <w:p>
      <w:pPr>
        <w:pStyle w:val="ListParagraph"/>
        <w:numPr>
          <w:ilvl w:val="1"/>
          <w:numId w:val="1"/>
        </w:numPr>
        <w:tabs>
          <w:tab w:pos="2929" w:val="left" w:leader="none"/>
        </w:tabs>
        <w:spacing w:line="240" w:lineRule="auto" w:before="103" w:after="0"/>
        <w:ind w:left="2928" w:right="0" w:hanging="648"/>
        <w:jc w:val="left"/>
        <w:rPr>
          <w:sz w:val="20"/>
        </w:rPr>
      </w:pPr>
      <w:r>
        <w:rPr>
          <w:sz w:val="20"/>
        </w:rPr>
        <w:t>Anexo X. Obligaciones reconocidas por los OOAA y EEPP por programa</w:t>
      </w:r>
      <w:r>
        <w:rPr>
          <w:spacing w:val="3"/>
          <w:sz w:val="20"/>
        </w:rPr>
        <w:t> </w:t>
      </w:r>
      <w:r>
        <w:rPr>
          <w:sz w:val="20"/>
        </w:rPr>
        <w:t>2022.</w:t>
      </w:r>
    </w:p>
    <w:p>
      <w:pPr>
        <w:pStyle w:val="BodyText"/>
        <w:spacing w:before="1"/>
        <w:ind w:left="2962"/>
      </w:pPr>
      <w:r>
        <w:rPr/>
        <w:t>......................................................................................................................186</w:t>
      </w:r>
    </w:p>
    <w:p>
      <w:pPr>
        <w:pStyle w:val="ListParagraph"/>
        <w:numPr>
          <w:ilvl w:val="1"/>
          <w:numId w:val="1"/>
        </w:numPr>
        <w:tabs>
          <w:tab w:pos="2929" w:val="left" w:leader="none"/>
          <w:tab w:pos="8918" w:val="left" w:leader="dot"/>
        </w:tabs>
        <w:spacing w:line="240" w:lineRule="auto" w:before="103" w:after="0"/>
        <w:ind w:left="2928" w:right="1150" w:hanging="647"/>
        <w:jc w:val="left"/>
        <w:rPr>
          <w:sz w:val="20"/>
        </w:rPr>
      </w:pPr>
      <w:r>
        <w:rPr>
          <w:sz w:val="20"/>
        </w:rPr>
        <w:t>Anexo XI. Comparación de la información de relaciones anuales Contratos con la obtenida de</w:t>
      </w:r>
      <w:r>
        <w:rPr>
          <w:spacing w:val="3"/>
          <w:sz w:val="20"/>
        </w:rPr>
        <w:t> </w:t>
      </w:r>
      <w:r>
        <w:rPr>
          <w:sz w:val="20"/>
        </w:rPr>
        <w:t>RECO</w:t>
      </w:r>
      <w:r>
        <w:rPr>
          <w:spacing w:val="-2"/>
          <w:sz w:val="20"/>
        </w:rPr>
        <w:t> </w:t>
      </w:r>
      <w:r>
        <w:rPr>
          <w:sz w:val="20"/>
        </w:rPr>
        <w:t>(SEFLogic).</w:t>
        <w:tab/>
      </w:r>
      <w:r>
        <w:rPr>
          <w:spacing w:val="-5"/>
          <w:sz w:val="20"/>
        </w:rPr>
        <w:t>188</w:t>
      </w:r>
    </w:p>
    <w:p>
      <w:pPr>
        <w:pStyle w:val="ListParagraph"/>
        <w:numPr>
          <w:ilvl w:val="1"/>
          <w:numId w:val="1"/>
        </w:numPr>
        <w:tabs>
          <w:tab w:pos="2929" w:val="left" w:leader="none"/>
          <w:tab w:pos="8918" w:val="left" w:leader="dot"/>
        </w:tabs>
        <w:spacing w:line="240" w:lineRule="auto" w:before="104" w:after="0"/>
        <w:ind w:left="2928" w:right="0" w:hanging="648"/>
        <w:jc w:val="left"/>
        <w:rPr>
          <w:sz w:val="20"/>
        </w:rPr>
      </w:pPr>
      <w:r>
        <w:rPr>
          <w:sz w:val="20"/>
        </w:rPr>
        <w:t>Anexo XII. Incidencias de las relaciones anuales</w:t>
      </w:r>
      <w:r>
        <w:rPr>
          <w:spacing w:val="12"/>
          <w:sz w:val="20"/>
        </w:rPr>
        <w:t> </w:t>
      </w:r>
      <w:r>
        <w:rPr>
          <w:sz w:val="20"/>
        </w:rPr>
        <w:t>de</w:t>
      </w:r>
      <w:r>
        <w:rPr>
          <w:spacing w:val="3"/>
          <w:sz w:val="20"/>
        </w:rPr>
        <w:t> </w:t>
      </w:r>
      <w:r>
        <w:rPr>
          <w:sz w:val="20"/>
        </w:rPr>
        <w:t>contratos.</w:t>
        <w:tab/>
        <w:t>189</w:t>
      </w:r>
    </w:p>
    <w:p>
      <w:pPr>
        <w:pStyle w:val="ListParagraph"/>
        <w:numPr>
          <w:ilvl w:val="1"/>
          <w:numId w:val="1"/>
        </w:numPr>
        <w:tabs>
          <w:tab w:pos="2929" w:val="left" w:leader="none"/>
          <w:tab w:pos="8918" w:val="left" w:leader="dot"/>
        </w:tabs>
        <w:spacing w:line="240" w:lineRule="auto" w:before="105" w:after="0"/>
        <w:ind w:left="2928" w:right="0" w:hanging="648"/>
        <w:jc w:val="left"/>
        <w:rPr>
          <w:sz w:val="20"/>
        </w:rPr>
      </w:pPr>
      <w:r>
        <w:rPr>
          <w:sz w:val="20"/>
        </w:rPr>
        <w:t>Anexo</w:t>
      </w:r>
      <w:r>
        <w:rPr>
          <w:spacing w:val="2"/>
          <w:sz w:val="20"/>
        </w:rPr>
        <w:t> </w:t>
      </w:r>
      <w:r>
        <w:rPr>
          <w:sz w:val="20"/>
        </w:rPr>
        <w:t>XIII.</w:t>
      </w:r>
      <w:r>
        <w:rPr>
          <w:spacing w:val="13"/>
          <w:sz w:val="20"/>
        </w:rPr>
        <w:t> </w:t>
      </w:r>
      <w:r>
        <w:rPr>
          <w:sz w:val="20"/>
        </w:rPr>
        <w:t>Obras.</w:t>
        <w:tab/>
        <w:t>190</w:t>
      </w:r>
    </w:p>
    <w:p>
      <w:pPr>
        <w:pStyle w:val="ListParagraph"/>
        <w:numPr>
          <w:ilvl w:val="1"/>
          <w:numId w:val="1"/>
        </w:numPr>
        <w:tabs>
          <w:tab w:pos="2929" w:val="left" w:leader="none"/>
          <w:tab w:pos="8918" w:val="left" w:leader="dot"/>
        </w:tabs>
        <w:spacing w:line="240" w:lineRule="auto" w:before="102" w:after="0"/>
        <w:ind w:left="2928" w:right="1150" w:hanging="647"/>
        <w:jc w:val="left"/>
        <w:rPr>
          <w:sz w:val="20"/>
        </w:rPr>
      </w:pPr>
      <w:r>
        <w:rPr>
          <w:sz w:val="20"/>
        </w:rPr>
        <w:t>Anexo XIV. Balance de situación y cuenta de pérdidas y ganancias de sociedades mercantiles y entidades</w:t>
      </w:r>
      <w:r>
        <w:rPr>
          <w:spacing w:val="5"/>
          <w:sz w:val="20"/>
        </w:rPr>
        <w:t> </w:t>
      </w:r>
      <w:r>
        <w:rPr>
          <w:sz w:val="20"/>
        </w:rPr>
        <w:t>públicas</w:t>
      </w:r>
      <w:r>
        <w:rPr>
          <w:spacing w:val="2"/>
          <w:sz w:val="20"/>
        </w:rPr>
        <w:t> </w:t>
      </w:r>
      <w:r>
        <w:rPr>
          <w:sz w:val="20"/>
        </w:rPr>
        <w:t>empresariales.</w:t>
        <w:tab/>
      </w:r>
      <w:r>
        <w:rPr>
          <w:spacing w:val="-5"/>
          <w:sz w:val="20"/>
        </w:rPr>
        <w:t>192</w:t>
      </w:r>
    </w:p>
    <w:p>
      <w:pPr>
        <w:pStyle w:val="ListParagraph"/>
        <w:numPr>
          <w:ilvl w:val="1"/>
          <w:numId w:val="1"/>
        </w:numPr>
        <w:tabs>
          <w:tab w:pos="2929" w:val="left" w:leader="none"/>
          <w:tab w:pos="8918" w:val="left" w:leader="dot"/>
        </w:tabs>
        <w:spacing w:line="240" w:lineRule="auto" w:before="104" w:after="0"/>
        <w:ind w:left="2928" w:right="0" w:hanging="648"/>
        <w:jc w:val="left"/>
        <w:rPr>
          <w:sz w:val="20"/>
        </w:rPr>
      </w:pPr>
      <w:r>
        <w:rPr>
          <w:sz w:val="20"/>
        </w:rPr>
        <w:t>Anexo XV. Balance de situación</w:t>
      </w:r>
      <w:r>
        <w:rPr>
          <w:spacing w:val="10"/>
          <w:sz w:val="20"/>
        </w:rPr>
        <w:t> </w:t>
      </w:r>
      <w:r>
        <w:rPr>
          <w:sz w:val="20"/>
        </w:rPr>
        <w:t>por</w:t>
      </w:r>
      <w:r>
        <w:rPr>
          <w:spacing w:val="1"/>
          <w:sz w:val="20"/>
        </w:rPr>
        <w:t> </w:t>
      </w:r>
      <w:r>
        <w:rPr>
          <w:sz w:val="20"/>
        </w:rPr>
        <w:t>fundaciones.</w:t>
        <w:tab/>
        <w:t>198</w:t>
      </w:r>
    </w:p>
    <w:p>
      <w:pPr>
        <w:pStyle w:val="ListParagraph"/>
        <w:numPr>
          <w:ilvl w:val="1"/>
          <w:numId w:val="1"/>
        </w:numPr>
        <w:tabs>
          <w:tab w:pos="2929" w:val="left" w:leader="none"/>
          <w:tab w:pos="8918" w:val="left" w:leader="dot"/>
        </w:tabs>
        <w:spacing w:line="240" w:lineRule="auto" w:before="103" w:after="0"/>
        <w:ind w:left="2928" w:right="0" w:hanging="648"/>
        <w:jc w:val="left"/>
        <w:rPr>
          <w:sz w:val="20"/>
        </w:rPr>
      </w:pPr>
      <w:r>
        <w:rPr>
          <w:sz w:val="20"/>
        </w:rPr>
        <w:t>Anexo XVI. Cuenta de resultados por</w:t>
      </w:r>
      <w:r>
        <w:rPr>
          <w:spacing w:val="8"/>
          <w:sz w:val="20"/>
        </w:rPr>
        <w:t> </w:t>
      </w:r>
      <w:r>
        <w:rPr>
          <w:sz w:val="20"/>
        </w:rPr>
        <w:t>fundaciones</w:t>
      </w:r>
      <w:r>
        <w:rPr>
          <w:spacing w:val="1"/>
          <w:sz w:val="20"/>
        </w:rPr>
        <w:t> </w:t>
      </w:r>
      <w:r>
        <w:rPr>
          <w:sz w:val="20"/>
        </w:rPr>
        <w:t>2022</w:t>
        <w:tab/>
        <w:t>200</w:t>
      </w:r>
    </w:p>
    <w:p>
      <w:pPr>
        <w:pStyle w:val="ListParagraph"/>
        <w:numPr>
          <w:ilvl w:val="1"/>
          <w:numId w:val="1"/>
        </w:numPr>
        <w:tabs>
          <w:tab w:pos="2929" w:val="left" w:leader="none"/>
          <w:tab w:pos="8918" w:val="left" w:leader="dot"/>
        </w:tabs>
        <w:spacing w:line="240" w:lineRule="auto" w:before="102" w:after="0"/>
        <w:ind w:left="2928" w:right="1150" w:hanging="647"/>
        <w:jc w:val="left"/>
        <w:rPr>
          <w:sz w:val="20"/>
        </w:rPr>
      </w:pPr>
      <w:r>
        <w:rPr>
          <w:sz w:val="20"/>
        </w:rPr>
        <w:t>Anexo XVII. Fundaciones adscritas a una Consejería, Organismo Autónomo o Ente</w:t>
      </w:r>
      <w:r>
        <w:rPr>
          <w:spacing w:val="-1"/>
          <w:sz w:val="20"/>
        </w:rPr>
        <w:t> </w:t>
      </w:r>
      <w:r>
        <w:rPr>
          <w:sz w:val="20"/>
        </w:rPr>
        <w:t>Público.</w:t>
        <w:tab/>
      </w:r>
      <w:r>
        <w:rPr>
          <w:spacing w:val="-5"/>
          <w:sz w:val="20"/>
        </w:rPr>
        <w:t>202</w:t>
      </w:r>
    </w:p>
    <w:p>
      <w:pPr>
        <w:pStyle w:val="ListParagraph"/>
        <w:numPr>
          <w:ilvl w:val="1"/>
          <w:numId w:val="1"/>
        </w:numPr>
        <w:tabs>
          <w:tab w:pos="2929" w:val="left" w:leader="none"/>
          <w:tab w:pos="8918" w:val="left" w:leader="dot"/>
        </w:tabs>
        <w:spacing w:line="240" w:lineRule="auto" w:before="104" w:after="0"/>
        <w:ind w:left="2928" w:right="1150" w:hanging="647"/>
        <w:jc w:val="left"/>
        <w:rPr>
          <w:sz w:val="20"/>
        </w:rPr>
      </w:pPr>
      <w:r>
        <w:rPr>
          <w:sz w:val="20"/>
        </w:rPr>
        <w:t>Anexo XVIII. Incidencias de las relaciones anuales de contratos de las fundaciones.</w:t>
        <w:tab/>
      </w:r>
      <w:r>
        <w:rPr>
          <w:spacing w:val="-5"/>
          <w:sz w:val="20"/>
        </w:rPr>
        <w:t>203</w:t>
      </w:r>
    </w:p>
    <w:p>
      <w:pPr>
        <w:pStyle w:val="ListParagraph"/>
        <w:numPr>
          <w:ilvl w:val="1"/>
          <w:numId w:val="1"/>
        </w:numPr>
        <w:tabs>
          <w:tab w:pos="2929" w:val="left" w:leader="none"/>
          <w:tab w:pos="8918" w:val="left" w:leader="dot"/>
        </w:tabs>
        <w:spacing w:line="240" w:lineRule="auto" w:before="105" w:after="0"/>
        <w:ind w:left="2928" w:right="0" w:hanging="648"/>
        <w:jc w:val="left"/>
        <w:rPr>
          <w:sz w:val="20"/>
        </w:rPr>
      </w:pPr>
      <w:r>
        <w:rPr>
          <w:sz w:val="20"/>
        </w:rPr>
        <w:t>Contestación a</w:t>
      </w:r>
      <w:r>
        <w:rPr>
          <w:spacing w:val="4"/>
          <w:sz w:val="20"/>
        </w:rPr>
        <w:t> </w:t>
      </w:r>
      <w:r>
        <w:rPr>
          <w:sz w:val="20"/>
        </w:rPr>
        <w:t>las</w:t>
      </w:r>
      <w:r>
        <w:rPr>
          <w:spacing w:val="3"/>
          <w:sz w:val="20"/>
        </w:rPr>
        <w:t> </w:t>
      </w:r>
      <w:r>
        <w:rPr>
          <w:sz w:val="20"/>
        </w:rPr>
        <w:t>alegaciones.</w:t>
        <w:tab/>
        <w:t>204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7"/>
        </w:rPr>
      </w:pPr>
    </w:p>
    <w:p>
      <w:pPr>
        <w:pStyle w:val="BodyText"/>
        <w:ind w:left="7995"/>
        <w:jc w:val="center"/>
      </w:pPr>
      <w:r>
        <w:rPr>
          <w:w w:val="100"/>
        </w:rPr>
        <w:t>5</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1" name="image5.png"/>
                  <wp:cNvGraphicFramePr>
                    <a:graphicFrameLocks noChangeAspect="1"/>
                  </wp:cNvGraphicFramePr>
                  <a:graphic>
                    <a:graphicData uri="http://schemas.openxmlformats.org/drawingml/2006/picture">
                      <pic:pic>
                        <pic:nvPicPr>
                          <pic:cNvPr id="2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65"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5"/>
        <w:rPr>
          <w:b/>
          <w:sz w:val="10"/>
        </w:rPr>
      </w:pPr>
    </w:p>
    <w:p>
      <w:pPr>
        <w:spacing w:before="53"/>
        <w:ind w:left="3501" w:right="0" w:firstLine="0"/>
        <w:jc w:val="left"/>
        <w:rPr>
          <w:b/>
          <w:sz w:val="26"/>
        </w:rPr>
      </w:pPr>
      <w:r>
        <w:rPr>
          <w:b/>
          <w:color w:val="53A1B9"/>
          <w:w w:val="105"/>
          <w:sz w:val="26"/>
        </w:rPr>
        <w:t>ABREVIATURAS, SIGLAS Y ACRÓNIMOS</w:t>
      </w:r>
    </w:p>
    <w:p>
      <w:pPr>
        <w:pStyle w:val="BodyText"/>
        <w:tabs>
          <w:tab w:pos="3370" w:val="left" w:leader="none"/>
        </w:tabs>
        <w:spacing w:before="206"/>
        <w:ind w:left="2154"/>
      </w:pPr>
      <w:r>
        <w:rPr/>
        <w:t>AAPP</w:t>
        <w:tab/>
        <w:t>Administraciones</w:t>
      </w:r>
      <w:r>
        <w:rPr>
          <w:spacing w:val="1"/>
        </w:rPr>
        <w:t> </w:t>
      </w:r>
      <w:r>
        <w:rPr/>
        <w:t>Públicas</w:t>
      </w:r>
    </w:p>
    <w:p>
      <w:pPr>
        <w:pStyle w:val="BodyText"/>
        <w:tabs>
          <w:tab w:pos="3370" w:val="left" w:leader="none"/>
        </w:tabs>
        <w:spacing w:before="1"/>
        <w:ind w:left="2154"/>
      </w:pPr>
      <w:r>
        <w:rPr/>
        <w:t>ACC</w:t>
        <w:tab/>
        <w:t>Audiencia de Cuentas de</w:t>
      </w:r>
      <w:r>
        <w:rPr>
          <w:spacing w:val="1"/>
        </w:rPr>
        <w:t> </w:t>
      </w:r>
      <w:r>
        <w:rPr/>
        <w:t>Canarias</w:t>
      </w:r>
    </w:p>
    <w:p>
      <w:pPr>
        <w:pStyle w:val="BodyText"/>
        <w:tabs>
          <w:tab w:pos="3370" w:val="left" w:leader="none"/>
        </w:tabs>
        <w:spacing w:before="2"/>
        <w:ind w:left="2154"/>
      </w:pPr>
      <w:r>
        <w:rPr/>
        <w:t>ACCUEE</w:t>
        <w:tab/>
        <w:t>Agencia Canaria de la Calidad Universitaria y Evaluación</w:t>
      </w:r>
      <w:r>
        <w:rPr>
          <w:spacing w:val="8"/>
        </w:rPr>
        <w:t> </w:t>
      </w:r>
      <w:r>
        <w:rPr/>
        <w:t>Educativa</w:t>
      </w:r>
    </w:p>
    <w:p>
      <w:pPr>
        <w:spacing w:after="0"/>
        <w:sectPr>
          <w:pgSz w:w="11900" w:h="16840"/>
          <w:pgMar w:header="859" w:footer="926" w:top="1760" w:bottom="1120" w:left="760" w:right="760"/>
        </w:sectPr>
      </w:pPr>
    </w:p>
    <w:p>
      <w:pPr>
        <w:pStyle w:val="BodyText"/>
        <w:spacing w:before="2"/>
        <w:ind w:left="1596"/>
        <w:jc w:val="right"/>
      </w:pPr>
      <w:r>
        <w:rPr/>
        <w:t>ACCIÓN SOCIAL</w:t>
      </w:r>
    </w:p>
    <w:p>
      <w:pPr>
        <w:pStyle w:val="BodyText"/>
        <w:spacing w:before="2"/>
        <w:ind w:left="531"/>
      </w:pPr>
      <w:r>
        <w:rPr/>
        <w:br w:type="column"/>
      </w:r>
      <w:r>
        <w:rPr/>
        <w:t>Fundación Tutelar Canaria para la Acción Social, M.P.</w:t>
      </w:r>
    </w:p>
    <w:p>
      <w:pPr>
        <w:spacing w:after="0"/>
        <w:sectPr>
          <w:type w:val="continuous"/>
          <w:pgSz w:w="11900" w:h="16840"/>
          <w:pgMar w:top="1600" w:bottom="1120" w:left="760" w:right="760"/>
          <w:cols w:num="2" w:equalWidth="0">
            <w:col w:w="2799" w:space="40"/>
            <w:col w:w="7541"/>
          </w:cols>
        </w:sectPr>
      </w:pPr>
    </w:p>
    <w:p>
      <w:pPr>
        <w:pStyle w:val="BodyText"/>
        <w:tabs>
          <w:tab w:pos="3370" w:val="left" w:leader="none"/>
        </w:tabs>
        <w:spacing w:before="3"/>
        <w:ind w:left="2154" w:right="2597"/>
      </w:pPr>
      <w:r>
        <w:rPr/>
        <w:t>APMN</w:t>
        <w:tab/>
        <w:t>Agencia Canaria de Protección del Medio Natural AIEM</w:t>
        <w:tab/>
        <w:t>Arbitrio sobre Importaciones y Entrega de</w:t>
      </w:r>
      <w:r>
        <w:rPr>
          <w:spacing w:val="10"/>
        </w:rPr>
        <w:t> </w:t>
      </w:r>
      <w:r>
        <w:rPr/>
        <w:t>Mercancías</w:t>
      </w:r>
    </w:p>
    <w:p>
      <w:pPr>
        <w:pStyle w:val="BodyText"/>
        <w:tabs>
          <w:tab w:pos="3370" w:val="left" w:leader="none"/>
        </w:tabs>
        <w:spacing w:line="242" w:lineRule="auto" w:before="4"/>
        <w:ind w:left="2154" w:right="1800"/>
      </w:pPr>
      <w:r>
        <w:rPr/>
        <w:t>APCAC</w:t>
        <w:tab/>
        <w:t>Administración Pública de la Comunidad Autónoma de Canarias Art.</w:t>
        <w:tab/>
        <w:t>Artículo</w:t>
      </w:r>
    </w:p>
    <w:p>
      <w:pPr>
        <w:spacing w:after="0" w:line="242" w:lineRule="auto"/>
        <w:sectPr>
          <w:type w:val="continuous"/>
          <w:pgSz w:w="11900" w:h="16840"/>
          <w:pgMar w:top="1600" w:bottom="1120" w:left="760" w:right="760"/>
        </w:sectPr>
      </w:pPr>
    </w:p>
    <w:p>
      <w:pPr>
        <w:pStyle w:val="BodyText"/>
        <w:ind w:left="2154" w:right="-14"/>
      </w:pPr>
      <w:r>
        <w:rPr/>
        <w:t>ASISTA CANARIA</w:t>
      </w:r>
    </w:p>
    <w:p>
      <w:pPr>
        <w:pStyle w:val="BodyText"/>
        <w:spacing w:line="243" w:lineRule="exact"/>
        <w:ind w:left="428"/>
      </w:pPr>
      <w:r>
        <w:rPr/>
        <w:br w:type="column"/>
      </w:r>
      <w:r>
        <w:rPr/>
        <w:t>Asistencia Integral Tributaria, S.A.</w:t>
      </w:r>
    </w:p>
    <w:p>
      <w:pPr>
        <w:spacing w:after="0" w:line="243" w:lineRule="exact"/>
        <w:sectPr>
          <w:type w:val="continuous"/>
          <w:pgSz w:w="11900" w:h="16840"/>
          <w:pgMar w:top="1600" w:bottom="1120" w:left="760" w:right="760"/>
          <w:cols w:num="2" w:equalWidth="0">
            <w:col w:w="2902" w:space="40"/>
            <w:col w:w="7438"/>
          </w:cols>
        </w:sectPr>
      </w:pPr>
    </w:p>
    <w:p>
      <w:pPr>
        <w:pStyle w:val="BodyText"/>
        <w:tabs>
          <w:tab w:pos="3370" w:val="left" w:leader="none"/>
        </w:tabs>
        <w:spacing w:before="4"/>
        <w:ind w:left="2154"/>
      </w:pPr>
      <w:r>
        <w:rPr/>
        <w:t>ATC</w:t>
        <w:tab/>
        <w:t>Agencia Tributaria</w:t>
      </w:r>
      <w:r>
        <w:rPr>
          <w:spacing w:val="8"/>
        </w:rPr>
        <w:t> </w:t>
      </w:r>
      <w:r>
        <w:rPr/>
        <w:t>Canaria</w:t>
      </w:r>
    </w:p>
    <w:p>
      <w:pPr>
        <w:pStyle w:val="BodyText"/>
        <w:tabs>
          <w:tab w:pos="3370" w:val="left" w:leader="none"/>
        </w:tabs>
        <w:spacing w:before="2"/>
        <w:ind w:left="2154"/>
      </w:pPr>
      <w:r>
        <w:rPr/>
        <w:t>BOC</w:t>
        <w:tab/>
        <w:t>Boletín Oficial de</w:t>
      </w:r>
      <w:r>
        <w:rPr>
          <w:spacing w:val="5"/>
        </w:rPr>
        <w:t> </w:t>
      </w:r>
      <w:r>
        <w:rPr/>
        <w:t>Canarias</w:t>
      </w:r>
    </w:p>
    <w:p>
      <w:pPr>
        <w:pStyle w:val="BodyText"/>
        <w:tabs>
          <w:tab w:pos="3370" w:val="left" w:leader="none"/>
        </w:tabs>
        <w:spacing w:before="1"/>
        <w:ind w:left="2154"/>
      </w:pPr>
      <w:r>
        <w:rPr/>
        <w:t>CAC</w:t>
        <w:tab/>
        <w:t>Comunidad Autónoma de Canarias</w:t>
      </w:r>
    </w:p>
    <w:p>
      <w:pPr>
        <w:pStyle w:val="BodyText"/>
        <w:tabs>
          <w:tab w:pos="3370" w:val="left" w:leader="none"/>
        </w:tabs>
        <w:spacing w:before="2"/>
        <w:ind w:left="2154"/>
      </w:pPr>
      <w:r>
        <w:rPr/>
        <w:t>CCAA</w:t>
        <w:tab/>
        <w:t>Comunidades</w:t>
      </w:r>
      <w:r>
        <w:rPr>
          <w:spacing w:val="5"/>
        </w:rPr>
        <w:t> </w:t>
      </w:r>
      <w:r>
        <w:rPr/>
        <w:t>Autónomas</w:t>
      </w:r>
    </w:p>
    <w:p>
      <w:pPr>
        <w:pStyle w:val="BodyText"/>
        <w:tabs>
          <w:tab w:pos="3370" w:val="left" w:leader="none"/>
        </w:tabs>
        <w:spacing w:before="2"/>
        <w:ind w:left="2154"/>
      </w:pPr>
      <w:r>
        <w:rPr/>
        <w:t>CCB</w:t>
        <w:tab/>
        <w:t>Canarias Congress</w:t>
      </w:r>
      <w:r>
        <w:rPr>
          <w:spacing w:val="10"/>
        </w:rPr>
        <w:t> </w:t>
      </w:r>
      <w:r>
        <w:rPr/>
        <w:t>Bureau</w:t>
      </w:r>
    </w:p>
    <w:p>
      <w:pPr>
        <w:pStyle w:val="BodyText"/>
        <w:tabs>
          <w:tab w:pos="3370" w:val="left" w:leader="none"/>
        </w:tabs>
        <w:spacing w:before="1"/>
        <w:ind w:left="2154"/>
      </w:pPr>
      <w:r>
        <w:rPr/>
        <w:t>CCLL</w:t>
        <w:tab/>
        <w:t>Corporaciones</w:t>
      </w:r>
      <w:r>
        <w:rPr>
          <w:spacing w:val="1"/>
        </w:rPr>
        <w:t> </w:t>
      </w:r>
      <w:r>
        <w:rPr/>
        <w:t>Locales</w:t>
      </w:r>
    </w:p>
    <w:p>
      <w:pPr>
        <w:pStyle w:val="BodyText"/>
        <w:tabs>
          <w:tab w:pos="3370" w:val="left" w:leader="none"/>
        </w:tabs>
        <w:spacing w:before="2"/>
        <w:ind w:left="2154"/>
      </w:pPr>
      <w:r>
        <w:rPr/>
        <w:t>CES</w:t>
        <w:tab/>
        <w:t>Consejo Económico y Social</w:t>
      </w:r>
    </w:p>
    <w:p>
      <w:pPr>
        <w:pStyle w:val="BodyText"/>
        <w:tabs>
          <w:tab w:pos="3370" w:val="left" w:leader="none"/>
        </w:tabs>
        <w:spacing w:before="2"/>
        <w:ind w:left="2154"/>
      </w:pPr>
      <w:r>
        <w:rPr/>
        <w:t>CFP</w:t>
        <w:tab/>
        <w:t>Control Financiero</w:t>
      </w:r>
      <w:r>
        <w:rPr>
          <w:spacing w:val="-2"/>
        </w:rPr>
        <w:t> </w:t>
      </w:r>
      <w:r>
        <w:rPr/>
        <w:t>Permanente</w:t>
      </w:r>
    </w:p>
    <w:p>
      <w:pPr>
        <w:pStyle w:val="BodyText"/>
        <w:tabs>
          <w:tab w:pos="3370" w:val="left" w:leader="none"/>
        </w:tabs>
        <w:spacing w:before="1"/>
        <w:ind w:left="2154"/>
      </w:pPr>
      <w:r>
        <w:rPr/>
        <w:t>CR</w:t>
        <w:tab/>
        <w:t>Consorcio El Rincón</w:t>
      </w:r>
    </w:p>
    <w:p>
      <w:pPr>
        <w:pStyle w:val="BodyText"/>
        <w:tabs>
          <w:tab w:pos="3370" w:val="left" w:leader="none"/>
        </w:tabs>
        <w:spacing w:before="2"/>
        <w:ind w:left="2154"/>
      </w:pPr>
      <w:r>
        <w:rPr/>
        <w:t>DGPP</w:t>
        <w:tab/>
        <w:t>Dirección General de Planificación y</w:t>
      </w:r>
      <w:r>
        <w:rPr>
          <w:spacing w:val="4"/>
        </w:rPr>
        <w:t> </w:t>
      </w:r>
      <w:r>
        <w:rPr/>
        <w:t>Presupuesto</w:t>
      </w:r>
    </w:p>
    <w:p>
      <w:pPr>
        <w:pStyle w:val="BodyText"/>
        <w:tabs>
          <w:tab w:pos="3370" w:val="left" w:leader="none"/>
        </w:tabs>
        <w:spacing w:before="2"/>
        <w:ind w:left="2154"/>
      </w:pPr>
      <w:r>
        <w:rPr/>
        <w:t>€</w:t>
        <w:tab/>
        <w:t>Euro</w:t>
      </w:r>
    </w:p>
    <w:p>
      <w:pPr>
        <w:pStyle w:val="BodyText"/>
        <w:tabs>
          <w:tab w:pos="3370" w:val="left" w:leader="none"/>
        </w:tabs>
        <w:spacing w:before="2"/>
        <w:ind w:left="2154"/>
      </w:pPr>
      <w:r>
        <w:rPr/>
        <w:t>EEPP</w:t>
        <w:tab/>
        <w:t>Entidades</w:t>
      </w:r>
      <w:r>
        <w:rPr>
          <w:spacing w:val="-1"/>
        </w:rPr>
        <w:t> </w:t>
      </w:r>
      <w:r>
        <w:rPr/>
        <w:t>Públicas</w:t>
      </w:r>
    </w:p>
    <w:p>
      <w:pPr>
        <w:pStyle w:val="BodyText"/>
        <w:tabs>
          <w:tab w:pos="3370" w:val="left" w:leader="none"/>
        </w:tabs>
        <w:spacing w:before="2"/>
        <w:ind w:left="2154" w:right="2702"/>
      </w:pPr>
      <w:r>
        <w:rPr/>
        <w:t>ESSSCAN</w:t>
        <w:tab/>
        <w:t>Escuela de Servicios Sanitarios y Sociales de Canarias FDCAN</w:t>
        <w:tab/>
        <w:t>Fondo de Desarrollo de</w:t>
      </w:r>
      <w:r>
        <w:rPr>
          <w:spacing w:val="1"/>
        </w:rPr>
        <w:t> </w:t>
      </w:r>
      <w:r>
        <w:rPr/>
        <w:t>Canarias</w:t>
      </w:r>
    </w:p>
    <w:p>
      <w:pPr>
        <w:pStyle w:val="BodyText"/>
        <w:tabs>
          <w:tab w:pos="3370" w:val="left" w:leader="none"/>
        </w:tabs>
        <w:spacing w:before="5"/>
        <w:ind w:left="2154" w:right="3426"/>
      </w:pPr>
      <w:r>
        <w:rPr/>
        <w:t>FEADER</w:t>
        <w:tab/>
        <w:t>Fondo Europeo Agrícola de Desarrollo Rural FEDER</w:t>
        <w:tab/>
        <w:t>Fondo Europeo de Desarrollo Regional FEP/IFOP</w:t>
        <w:tab/>
        <w:t>Fondo Europeo de</w:t>
      </w:r>
      <w:r>
        <w:rPr>
          <w:spacing w:val="-2"/>
        </w:rPr>
        <w:t> </w:t>
      </w:r>
      <w:r>
        <w:rPr/>
        <w:t>Pesca</w:t>
      </w:r>
    </w:p>
    <w:p>
      <w:pPr>
        <w:pStyle w:val="BodyText"/>
        <w:tabs>
          <w:tab w:pos="3370" w:val="left" w:leader="none"/>
        </w:tabs>
        <w:spacing w:before="5"/>
        <w:ind w:left="2154"/>
      </w:pPr>
      <w:r>
        <w:rPr/>
        <w:t>FFF</w:t>
        <w:tab/>
        <w:t>Fondo de facilidad</w:t>
      </w:r>
      <w:r>
        <w:rPr>
          <w:spacing w:val="-1"/>
        </w:rPr>
        <w:t> </w:t>
      </w:r>
      <w:r>
        <w:rPr/>
        <w:t>financiera</w:t>
      </w:r>
    </w:p>
    <w:p>
      <w:pPr>
        <w:pStyle w:val="BodyText"/>
        <w:tabs>
          <w:tab w:pos="3370" w:val="left" w:leader="none"/>
        </w:tabs>
        <w:spacing w:before="2"/>
        <w:ind w:left="2154"/>
      </w:pPr>
      <w:r>
        <w:rPr/>
        <w:t>FGSPF</w:t>
        <w:tab/>
        <w:t>Fondo de Garantía de Servicios Públicos</w:t>
      </w:r>
      <w:r>
        <w:rPr>
          <w:spacing w:val="3"/>
        </w:rPr>
        <w:t> </w:t>
      </w:r>
      <w:r>
        <w:rPr/>
        <w:t>Fundamentales</w:t>
      </w:r>
    </w:p>
    <w:p>
      <w:pPr>
        <w:pStyle w:val="BodyText"/>
        <w:tabs>
          <w:tab w:pos="3370" w:val="left" w:leader="none"/>
        </w:tabs>
        <w:spacing w:before="1"/>
        <w:ind w:left="2154" w:right="1622"/>
      </w:pPr>
      <w:r>
        <w:rPr/>
        <w:t>FIISC</w:t>
        <w:tab/>
        <w:t>Fundación Canaria Instituto de Investigación Sanitaria de Canarias FLA</w:t>
        <w:tab/>
        <w:t>Fondo de Liquidez Autonómico</w:t>
      </w:r>
    </w:p>
    <w:p>
      <w:pPr>
        <w:pStyle w:val="BodyText"/>
        <w:tabs>
          <w:tab w:pos="3370" w:val="left" w:leader="none"/>
        </w:tabs>
        <w:spacing w:before="4"/>
        <w:ind w:left="3370" w:right="1201" w:hanging="1216"/>
      </w:pPr>
      <w:r>
        <w:rPr/>
        <w:t>FONDO</w:t>
      </w:r>
      <w:r>
        <w:rPr>
          <w:spacing w:val="1"/>
        </w:rPr>
        <w:t> </w:t>
      </w:r>
      <w:r>
        <w:rPr/>
        <w:t>I+D</w:t>
        <w:tab/>
        <w:t>Fondo Préstamos para la Financiación de Proyectos de Investigación y Desarrollo asociados a la Red de Parques</w:t>
      </w:r>
      <w:r>
        <w:rPr>
          <w:spacing w:val="1"/>
        </w:rPr>
        <w:t> </w:t>
      </w:r>
      <w:r>
        <w:rPr/>
        <w:t>Tecnológicos</w:t>
      </w:r>
    </w:p>
    <w:p>
      <w:pPr>
        <w:pStyle w:val="BodyText"/>
        <w:tabs>
          <w:tab w:pos="3370" w:val="left" w:leader="none"/>
        </w:tabs>
        <w:spacing w:before="4"/>
        <w:ind w:left="2154"/>
      </w:pPr>
      <w:r>
        <w:rPr/>
        <w:t>FSE</w:t>
        <w:tab/>
        <w:t>Fondo Social</w:t>
      </w:r>
      <w:r>
        <w:rPr>
          <w:spacing w:val="-2"/>
        </w:rPr>
        <w:t> </w:t>
      </w:r>
      <w:r>
        <w:rPr/>
        <w:t>Europeo</w:t>
      </w:r>
    </w:p>
    <w:p>
      <w:pPr>
        <w:pStyle w:val="BodyText"/>
        <w:tabs>
          <w:tab w:pos="3370" w:val="left" w:leader="none"/>
        </w:tabs>
        <w:spacing w:before="1"/>
        <w:ind w:left="2154" w:right="3356"/>
      </w:pPr>
      <w:r>
        <w:rPr/>
        <w:t>FUCAEX</w:t>
        <w:tab/>
        <w:t>Fundación Canaria para la Acción Exterior FUNCANIS</w:t>
        <w:tab/>
        <w:t>Fundación Canaria de Investigación</w:t>
      </w:r>
      <w:r>
        <w:rPr>
          <w:spacing w:val="12"/>
        </w:rPr>
        <w:t> </w:t>
      </w:r>
      <w:r>
        <w:rPr/>
        <w:t>Sanitaria</w:t>
      </w:r>
    </w:p>
    <w:p>
      <w:pPr>
        <w:pStyle w:val="BodyText"/>
        <w:spacing w:before="2"/>
        <w:rPr>
          <w:sz w:val="15"/>
        </w:rPr>
      </w:pPr>
    </w:p>
    <w:p>
      <w:pPr>
        <w:pStyle w:val="BodyText"/>
        <w:spacing w:before="60"/>
        <w:ind w:left="7995"/>
        <w:jc w:val="center"/>
      </w:pPr>
      <w:r>
        <w:rPr>
          <w:w w:val="100"/>
        </w:rPr>
        <w:t>6</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3" name="image5.png"/>
                  <wp:cNvGraphicFramePr>
                    <a:graphicFrameLocks noChangeAspect="1"/>
                  </wp:cNvGraphicFramePr>
                  <a:graphic>
                    <a:graphicData uri="http://schemas.openxmlformats.org/drawingml/2006/picture">
                      <pic:pic>
                        <pic:nvPicPr>
                          <pic:cNvPr id="2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65"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2"/>
        <w:rPr>
          <w:b/>
          <w:sz w:val="9"/>
        </w:rPr>
      </w:pPr>
    </w:p>
    <w:p>
      <w:pPr>
        <w:pStyle w:val="BodyText"/>
        <w:tabs>
          <w:tab w:pos="3370" w:val="left" w:leader="none"/>
        </w:tabs>
        <w:spacing w:before="61"/>
        <w:ind w:left="2154"/>
      </w:pPr>
      <w:r>
        <w:rPr/>
        <w:t>FUNCATRA</w:t>
        <w:tab/>
        <w:t>Fundación Canaria para el Fomento del</w:t>
      </w:r>
      <w:r>
        <w:rPr>
          <w:spacing w:val="1"/>
        </w:rPr>
        <w:t> </w:t>
      </w:r>
      <w:r>
        <w:rPr/>
        <w:t>Trabajo</w:t>
      </w:r>
    </w:p>
    <w:p>
      <w:pPr>
        <w:pStyle w:val="BodyText"/>
        <w:tabs>
          <w:tab w:pos="3370" w:val="left" w:leader="none"/>
        </w:tabs>
        <w:spacing w:before="2"/>
        <w:ind w:left="2154" w:right="1636"/>
      </w:pPr>
      <w:r>
        <w:rPr/>
        <w:t>GESPLAN</w:t>
        <w:tab/>
        <w:t>Gestión Y Planeamiento Territorial Y Medioambiental, S.A. GESPROTUR</w:t>
        <w:tab/>
        <w:t>Gestión de proyectos y estudios turísticos en Canarias, S.A.U.M.P. GESTUR</w:t>
        <w:tab/>
        <w:t>Gestión Urbanística</w:t>
      </w:r>
    </w:p>
    <w:p>
      <w:pPr>
        <w:pStyle w:val="BodyText"/>
        <w:tabs>
          <w:tab w:pos="3370" w:val="left" w:leader="none"/>
        </w:tabs>
        <w:spacing w:before="5"/>
        <w:ind w:left="2154" w:right="3624"/>
      </w:pPr>
      <w:r>
        <w:rPr/>
        <w:t>GMR</w:t>
        <w:tab/>
        <w:t>Gestión del Medio Rural de Canarias, S.A. GRAFCAN</w:t>
        <w:tab/>
        <w:t>Cartografía de Canarias,</w:t>
      </w:r>
      <w:r>
        <w:rPr>
          <w:spacing w:val="-1"/>
        </w:rPr>
        <w:t> </w:t>
      </w:r>
      <w:r>
        <w:rPr/>
        <w:t>S.A.</w:t>
      </w:r>
    </w:p>
    <w:p>
      <w:pPr>
        <w:pStyle w:val="BodyText"/>
        <w:tabs>
          <w:tab w:pos="3370" w:val="left" w:leader="none"/>
        </w:tabs>
        <w:spacing w:before="3"/>
        <w:ind w:left="2154"/>
      </w:pPr>
      <w:r>
        <w:rPr/>
        <w:t>GRECASA</w:t>
        <w:tab/>
        <w:t>Gestión Recaudatoria de Canarias,</w:t>
      </w:r>
      <w:r>
        <w:rPr>
          <w:spacing w:val="-1"/>
        </w:rPr>
        <w:t> </w:t>
      </w:r>
      <w:r>
        <w:rPr/>
        <w:t>S.A.</w:t>
      </w:r>
    </w:p>
    <w:p>
      <w:pPr>
        <w:pStyle w:val="BodyText"/>
        <w:tabs>
          <w:tab w:pos="3370" w:val="left" w:leader="none"/>
        </w:tabs>
        <w:spacing w:line="244" w:lineRule="auto" w:before="2"/>
        <w:ind w:left="2154" w:right="1863"/>
      </w:pPr>
      <w:r>
        <w:rPr/>
        <w:t>GSC</w:t>
        <w:tab/>
        <w:t>Gestión de Servicios para la Salud y Seguridad en Canarias, S.A. HECANSA</w:t>
        <w:tab/>
        <w:t>Hoteles Escuela de Canarias,</w:t>
      </w:r>
      <w:r>
        <w:rPr>
          <w:spacing w:val="1"/>
        </w:rPr>
        <w:t> </w:t>
      </w:r>
      <w:r>
        <w:rPr/>
        <w:t>S.A.</w:t>
      </w:r>
    </w:p>
    <w:p>
      <w:pPr>
        <w:pStyle w:val="BodyText"/>
        <w:tabs>
          <w:tab w:pos="3370" w:val="left" w:leader="none"/>
        </w:tabs>
        <w:spacing w:line="242" w:lineRule="auto"/>
        <w:ind w:left="2154" w:right="3396"/>
      </w:pPr>
      <w:r>
        <w:rPr/>
        <w:t>ICDC</w:t>
        <w:tab/>
        <w:t>Instituto Canario de Desarrollo Cultural, S.A. ICAP</w:t>
        <w:tab/>
        <w:t>Instituto Canario de Administración Pública ICAVI</w:t>
        <w:tab/>
        <w:t>Instituto Canario de la</w:t>
      </w:r>
      <w:r>
        <w:rPr>
          <w:spacing w:val="2"/>
        </w:rPr>
        <w:t> </w:t>
      </w:r>
      <w:r>
        <w:rPr/>
        <w:t>Vivienda</w:t>
      </w:r>
    </w:p>
    <w:p>
      <w:pPr>
        <w:pStyle w:val="BodyText"/>
        <w:tabs>
          <w:tab w:pos="3370" w:val="left" w:leader="none"/>
        </w:tabs>
        <w:spacing w:line="242" w:lineRule="exact"/>
        <w:ind w:left="2154"/>
      </w:pPr>
      <w:r>
        <w:rPr/>
        <w:t>ICCA</w:t>
        <w:tab/>
        <w:t>Instituto Canario de Calidad</w:t>
      </w:r>
      <w:r>
        <w:rPr>
          <w:spacing w:val="1"/>
        </w:rPr>
        <w:t> </w:t>
      </w:r>
      <w:r>
        <w:rPr/>
        <w:t>Agroalimentaria</w:t>
      </w:r>
    </w:p>
    <w:p>
      <w:pPr>
        <w:pStyle w:val="BodyText"/>
        <w:tabs>
          <w:tab w:pos="3370" w:val="left" w:leader="none"/>
        </w:tabs>
        <w:ind w:left="2154" w:right="2831"/>
      </w:pPr>
      <w:r>
        <w:rPr/>
        <w:t>ICHH</w:t>
        <w:tab/>
        <w:t>Instituto Canario de Hemodonación y Hemoterapia ICI</w:t>
        <w:tab/>
        <w:t>Instituto Canario de</w:t>
      </w:r>
      <w:r>
        <w:rPr>
          <w:spacing w:val="1"/>
        </w:rPr>
        <w:t> </w:t>
      </w:r>
      <w:r>
        <w:rPr/>
        <w:t>Igualdad</w:t>
      </w:r>
    </w:p>
    <w:p>
      <w:pPr>
        <w:pStyle w:val="BodyText"/>
        <w:tabs>
          <w:tab w:pos="3370" w:val="left" w:leader="none"/>
        </w:tabs>
        <w:spacing w:before="1"/>
        <w:ind w:left="2154" w:right="3367"/>
      </w:pPr>
      <w:r>
        <w:rPr/>
        <w:t>ICIA</w:t>
        <w:tab/>
        <w:t>Instituto Canario de Investigaciones Agrarias IDEO</w:t>
        <w:tab/>
        <w:t>Fundación Canaria de Juventud</w:t>
      </w:r>
      <w:r>
        <w:rPr>
          <w:spacing w:val="3"/>
        </w:rPr>
        <w:t> </w:t>
      </w:r>
      <w:r>
        <w:rPr/>
        <w:t>IDEO</w:t>
      </w:r>
    </w:p>
    <w:p>
      <w:pPr>
        <w:pStyle w:val="BodyText"/>
        <w:tabs>
          <w:tab w:pos="3370" w:val="left" w:leader="none"/>
        </w:tabs>
        <w:spacing w:before="3"/>
        <w:ind w:left="2154" w:right="1946"/>
      </w:pPr>
      <w:r>
        <w:rPr/>
        <w:t>IGCAC</w:t>
        <w:tab/>
        <w:t>Intervención General de la Comunidad Autónoma de Canarias IGAE</w:t>
        <w:tab/>
        <w:t>Intervención General de la Administración del</w:t>
      </w:r>
      <w:r>
        <w:rPr>
          <w:spacing w:val="2"/>
        </w:rPr>
        <w:t> </w:t>
      </w:r>
      <w:r>
        <w:rPr/>
        <w:t>Estado</w:t>
      </w:r>
    </w:p>
    <w:p>
      <w:pPr>
        <w:pStyle w:val="BodyText"/>
        <w:tabs>
          <w:tab w:pos="3370" w:val="left" w:leader="none"/>
        </w:tabs>
        <w:spacing w:before="4"/>
        <w:ind w:left="2154"/>
      </w:pPr>
      <w:r>
        <w:rPr/>
        <w:t>IGIC</w:t>
        <w:tab/>
        <w:t>Impuesto General Indirecto</w:t>
      </w:r>
      <w:r>
        <w:rPr>
          <w:spacing w:val="1"/>
        </w:rPr>
        <w:t> </w:t>
      </w:r>
      <w:r>
        <w:rPr/>
        <w:t>Canario</w:t>
      </w:r>
    </w:p>
    <w:p>
      <w:pPr>
        <w:pStyle w:val="BodyText"/>
        <w:spacing w:before="1"/>
        <w:ind w:left="3370" w:right="1800" w:hanging="1216"/>
      </w:pPr>
      <w:r>
        <w:rPr/>
        <w:t>INNOVACIÓN Fondo Préstamos y Garantías para la Promoción de Proyectos Empresariales de Innovación</w:t>
      </w:r>
    </w:p>
    <w:p>
      <w:pPr>
        <w:pStyle w:val="BodyText"/>
        <w:tabs>
          <w:tab w:pos="3370" w:val="left" w:leader="none"/>
        </w:tabs>
        <w:spacing w:before="6"/>
        <w:ind w:left="2154"/>
      </w:pPr>
      <w:r>
        <w:rPr/>
        <w:t>IPE</w:t>
        <w:tab/>
        <w:t>Instrumento de planificación estratégica</w:t>
      </w:r>
    </w:p>
    <w:p>
      <w:pPr>
        <w:pStyle w:val="BodyText"/>
        <w:tabs>
          <w:tab w:pos="3370" w:val="left" w:leader="none"/>
        </w:tabs>
        <w:spacing w:before="2"/>
        <w:ind w:left="2154" w:right="3134"/>
      </w:pPr>
      <w:r>
        <w:rPr/>
        <w:t>IRPF</w:t>
        <w:tab/>
        <w:t>Impuesto sobre la Renta de las Personas Físicas ISD</w:t>
        <w:tab/>
        <w:t>Impuesto de Sucesiones y</w:t>
      </w:r>
      <w:r>
        <w:rPr>
          <w:spacing w:val="1"/>
        </w:rPr>
        <w:t> </w:t>
      </w:r>
      <w:r>
        <w:rPr/>
        <w:t>Donaciones</w:t>
      </w:r>
    </w:p>
    <w:p>
      <w:pPr>
        <w:pStyle w:val="BodyText"/>
        <w:tabs>
          <w:tab w:pos="3370" w:val="left" w:leader="none"/>
        </w:tabs>
        <w:spacing w:before="3"/>
        <w:ind w:left="2154"/>
      </w:pPr>
      <w:r>
        <w:rPr/>
        <w:t>ISTAC</w:t>
        <w:tab/>
        <w:t>Instituto Canario de</w:t>
      </w:r>
      <w:r>
        <w:rPr>
          <w:spacing w:val="1"/>
        </w:rPr>
        <w:t> </w:t>
      </w:r>
      <w:r>
        <w:rPr/>
        <w:t>Estadística</w:t>
      </w:r>
    </w:p>
    <w:p>
      <w:pPr>
        <w:pStyle w:val="BodyText"/>
        <w:tabs>
          <w:tab w:pos="3370" w:val="left" w:leader="none"/>
        </w:tabs>
        <w:spacing w:before="2"/>
        <w:ind w:left="2154" w:right="3880"/>
      </w:pPr>
      <w:r>
        <w:rPr/>
        <w:t>ITC</w:t>
        <w:tab/>
        <w:t>Instituto Tecnológico de Canarias, S.A. JEREMIE</w:t>
        <w:tab/>
        <w:t>Fondo Jeremie Canarias</w:t>
      </w:r>
    </w:p>
    <w:p>
      <w:pPr>
        <w:pStyle w:val="BodyText"/>
        <w:tabs>
          <w:tab w:pos="3370" w:val="left" w:leader="none"/>
        </w:tabs>
        <w:spacing w:before="3"/>
        <w:ind w:left="2154"/>
      </w:pPr>
      <w:r>
        <w:rPr/>
        <w:t>LCSP</w:t>
        <w:tab/>
        <w:t>Ley de Contratos del Sector</w:t>
      </w:r>
      <w:r>
        <w:rPr>
          <w:spacing w:val="-2"/>
        </w:rPr>
        <w:t> </w:t>
      </w:r>
      <w:r>
        <w:rPr/>
        <w:t>Público</w:t>
      </w:r>
    </w:p>
    <w:p>
      <w:pPr>
        <w:pStyle w:val="BodyText"/>
        <w:tabs>
          <w:tab w:pos="3370" w:val="left" w:leader="none"/>
        </w:tabs>
        <w:spacing w:before="2"/>
        <w:ind w:left="2154"/>
      </w:pPr>
      <w:r>
        <w:rPr/>
        <w:t>LENGUA</w:t>
        <w:tab/>
        <w:t>Fundación Canaria Academia Canaria de la</w:t>
      </w:r>
      <w:r>
        <w:rPr>
          <w:spacing w:val="1"/>
        </w:rPr>
        <w:t> </w:t>
      </w:r>
      <w:r>
        <w:rPr/>
        <w:t>Lengua</w:t>
      </w:r>
    </w:p>
    <w:p>
      <w:pPr>
        <w:pStyle w:val="BodyText"/>
        <w:tabs>
          <w:tab w:pos="3370" w:val="left" w:leader="none"/>
        </w:tabs>
        <w:spacing w:before="2"/>
        <w:ind w:left="2154" w:right="1704"/>
      </w:pPr>
      <w:r>
        <w:rPr/>
        <w:t>LHPC</w:t>
        <w:tab/>
        <w:t>Ley de Hacienda Pública de la Comunidad Autónoma de Canarias LPA</w:t>
        <w:tab/>
        <w:t>Las Palmas</w:t>
      </w:r>
    </w:p>
    <w:p>
      <w:pPr>
        <w:pStyle w:val="BodyText"/>
        <w:tabs>
          <w:tab w:pos="3370" w:val="left" w:leader="none"/>
        </w:tabs>
        <w:spacing w:before="3"/>
        <w:ind w:left="2154" w:right="1717"/>
      </w:pPr>
      <w:r>
        <w:rPr/>
        <w:t>LPGCAC</w:t>
        <w:tab/>
        <w:t>Ley de Presupuesto General de la Comunidad Autónoma Canaria MRR</w:t>
        <w:tab/>
        <w:t>Mecanismo de Recuperación y</w:t>
      </w:r>
      <w:r>
        <w:rPr>
          <w:spacing w:val="1"/>
        </w:rPr>
        <w:t> </w:t>
      </w:r>
      <w:r>
        <w:rPr/>
        <w:t>Resiliencia</w:t>
      </w:r>
    </w:p>
    <w:p>
      <w:pPr>
        <w:pStyle w:val="BodyText"/>
        <w:tabs>
          <w:tab w:pos="3370" w:val="left" w:leader="none"/>
        </w:tabs>
        <w:spacing w:before="4"/>
        <w:ind w:left="3370" w:right="1201" w:hanging="1216"/>
      </w:pPr>
      <w:r>
        <w:rPr/>
        <w:t>MUSEO</w:t>
        <w:tab/>
        <w:t>Fundación</w:t>
      </w:r>
      <w:r>
        <w:rPr>
          <w:spacing w:val="-5"/>
        </w:rPr>
        <w:t> </w:t>
      </w:r>
      <w:r>
        <w:rPr/>
        <w:t>Canaria</w:t>
      </w:r>
      <w:r>
        <w:rPr>
          <w:spacing w:val="-7"/>
        </w:rPr>
        <w:t> </w:t>
      </w:r>
      <w:r>
        <w:rPr/>
        <w:t>Museo</w:t>
      </w:r>
      <w:r>
        <w:rPr>
          <w:spacing w:val="-5"/>
        </w:rPr>
        <w:t> </w:t>
      </w:r>
      <w:r>
        <w:rPr/>
        <w:t>de</w:t>
      </w:r>
      <w:r>
        <w:rPr>
          <w:spacing w:val="-6"/>
        </w:rPr>
        <w:t> </w:t>
      </w:r>
      <w:r>
        <w:rPr/>
        <w:t>la</w:t>
      </w:r>
      <w:r>
        <w:rPr>
          <w:spacing w:val="-5"/>
        </w:rPr>
        <w:t> </w:t>
      </w:r>
      <w:r>
        <w:rPr/>
        <w:t>Ciencia</w:t>
      </w:r>
      <w:r>
        <w:rPr>
          <w:spacing w:val="-5"/>
        </w:rPr>
        <w:t> </w:t>
      </w:r>
      <w:r>
        <w:rPr/>
        <w:t>y</w:t>
      </w:r>
      <w:r>
        <w:rPr>
          <w:spacing w:val="-6"/>
        </w:rPr>
        <w:t> </w:t>
      </w:r>
      <w:r>
        <w:rPr/>
        <w:t>la</w:t>
      </w:r>
      <w:r>
        <w:rPr>
          <w:spacing w:val="-6"/>
        </w:rPr>
        <w:t> </w:t>
      </w:r>
      <w:r>
        <w:rPr/>
        <w:t>Tecnología</w:t>
      </w:r>
      <w:r>
        <w:rPr>
          <w:spacing w:val="-5"/>
        </w:rPr>
        <w:t> </w:t>
      </w:r>
      <w:r>
        <w:rPr/>
        <w:t>de</w:t>
      </w:r>
      <w:r>
        <w:rPr>
          <w:spacing w:val="-5"/>
        </w:rPr>
        <w:t> </w:t>
      </w:r>
      <w:r>
        <w:rPr/>
        <w:t>Las</w:t>
      </w:r>
      <w:r>
        <w:rPr>
          <w:spacing w:val="-7"/>
        </w:rPr>
        <w:t> </w:t>
      </w:r>
      <w:r>
        <w:rPr/>
        <w:t>Palmas</w:t>
      </w:r>
      <w:r>
        <w:rPr>
          <w:spacing w:val="-7"/>
        </w:rPr>
        <w:t> </w:t>
      </w:r>
      <w:r>
        <w:rPr/>
        <w:t>de Gran</w:t>
      </w:r>
      <w:r>
        <w:rPr>
          <w:spacing w:val="1"/>
        </w:rPr>
        <w:t> </w:t>
      </w:r>
      <w:r>
        <w:rPr/>
        <w:t>Canaria</w:t>
      </w:r>
    </w:p>
    <w:p>
      <w:pPr>
        <w:pStyle w:val="BodyText"/>
        <w:tabs>
          <w:tab w:pos="3370" w:val="left" w:leader="none"/>
        </w:tabs>
        <w:spacing w:before="5"/>
        <w:ind w:left="2154"/>
      </w:pPr>
      <w:r>
        <w:rPr/>
        <w:t>Nº</w:t>
        <w:tab/>
        <w:t>Número</w:t>
      </w:r>
    </w:p>
    <w:p>
      <w:pPr>
        <w:pStyle w:val="BodyText"/>
        <w:tabs>
          <w:tab w:pos="3370" w:val="left" w:leader="none"/>
        </w:tabs>
        <w:spacing w:before="2"/>
        <w:ind w:left="2154"/>
      </w:pPr>
      <w:r>
        <w:rPr/>
        <w:t>OOAA</w:t>
        <w:tab/>
        <w:t>Organismos Autónomos</w:t>
      </w:r>
    </w:p>
    <w:p>
      <w:pPr>
        <w:pStyle w:val="BodyText"/>
        <w:tabs>
          <w:tab w:pos="3370" w:val="left" w:leader="none"/>
        </w:tabs>
        <w:spacing w:before="2"/>
        <w:ind w:left="2154"/>
      </w:pPr>
      <w:r>
        <w:rPr/>
        <w:t>PEP</w:t>
        <w:tab/>
        <w:t>Proyecto de ejecución</w:t>
      </w:r>
      <w:r>
        <w:rPr>
          <w:spacing w:val="-2"/>
        </w:rPr>
        <w:t> </w:t>
      </w:r>
      <w:r>
        <w:rPr/>
        <w:t>presupuestaria</w:t>
      </w:r>
    </w:p>
    <w:p>
      <w:pPr>
        <w:pStyle w:val="BodyText"/>
        <w:tabs>
          <w:tab w:pos="3370" w:val="left" w:leader="none"/>
        </w:tabs>
        <w:spacing w:before="1"/>
        <w:ind w:left="2154"/>
      </w:pPr>
      <w:r>
        <w:rPr/>
        <w:t>PIB</w:t>
        <w:tab/>
        <w:t>Producto Interior Bruto</w:t>
      </w:r>
    </w:p>
    <w:p>
      <w:pPr>
        <w:pStyle w:val="BodyText"/>
        <w:spacing w:before="34"/>
        <w:ind w:left="7995"/>
        <w:jc w:val="center"/>
      </w:pPr>
      <w:r>
        <w:rPr>
          <w:w w:val="100"/>
        </w:rPr>
        <w:t>7</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5" name="image5.png"/>
                  <wp:cNvGraphicFramePr>
                    <a:graphicFrameLocks noChangeAspect="1"/>
                  </wp:cNvGraphicFramePr>
                  <a:graphic>
                    <a:graphicData uri="http://schemas.openxmlformats.org/drawingml/2006/picture">
                      <pic:pic>
                        <pic:nvPicPr>
                          <pic:cNvPr id="2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65"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tabs>
          <w:tab w:pos="3370" w:val="left" w:leader="none"/>
        </w:tabs>
        <w:spacing w:before="61"/>
        <w:ind w:left="2154" w:right="1402"/>
      </w:pPr>
      <w:r>
        <w:rPr/>
        <w:t>PICCAC</w:t>
        <w:tab/>
        <w:t>Plan Informático y Contable de la Comunidad Autónoma de Canarias PMMT</w:t>
        <w:tab/>
        <w:t>Proyecto Monumental Montaña de Tindaya,</w:t>
      </w:r>
      <w:r>
        <w:rPr>
          <w:spacing w:val="-3"/>
        </w:rPr>
        <w:t> </w:t>
      </w:r>
      <w:r>
        <w:rPr/>
        <w:t>S.A.</w:t>
      </w:r>
    </w:p>
    <w:p>
      <w:pPr>
        <w:pStyle w:val="BodyText"/>
        <w:tabs>
          <w:tab w:pos="3370" w:val="left" w:leader="none"/>
        </w:tabs>
        <w:spacing w:before="4"/>
        <w:ind w:left="2154"/>
      </w:pPr>
      <w:r>
        <w:rPr/>
        <w:t>PMP</w:t>
        <w:tab/>
        <w:t>Período Medio de</w:t>
      </w:r>
      <w:r>
        <w:rPr>
          <w:spacing w:val="1"/>
        </w:rPr>
        <w:t> </w:t>
      </w:r>
      <w:r>
        <w:rPr/>
        <w:t>Pago</w:t>
      </w:r>
    </w:p>
    <w:p>
      <w:pPr>
        <w:pStyle w:val="BodyText"/>
        <w:tabs>
          <w:tab w:pos="3370" w:val="left" w:leader="none"/>
        </w:tabs>
        <w:spacing w:before="1"/>
        <w:ind w:left="2154" w:right="2738"/>
      </w:pPr>
      <w:r>
        <w:rPr/>
        <w:t>PNASP</w:t>
        <w:tab/>
        <w:t>Principios y Normas de Auditorías del Sector Público PROEXCA</w:t>
        <w:tab/>
        <w:t>Sociedad Canaria de Fomento Económico, S.A. PROMOTUR</w:t>
        <w:tab/>
        <w:t>PROMOTUR Turismo Canarias,</w:t>
      </w:r>
      <w:r>
        <w:rPr>
          <w:spacing w:val="-1"/>
        </w:rPr>
        <w:t> </w:t>
      </w:r>
      <w:r>
        <w:rPr/>
        <w:t>S.A.</w:t>
      </w:r>
    </w:p>
    <w:p>
      <w:pPr>
        <w:pStyle w:val="BodyText"/>
        <w:tabs>
          <w:tab w:pos="3370" w:val="left" w:leader="none"/>
        </w:tabs>
        <w:spacing w:before="5"/>
        <w:ind w:left="2154"/>
      </w:pPr>
      <w:r>
        <w:rPr/>
        <w:t>PUERTOS</w:t>
        <w:tab/>
        <w:t>Puertos</w:t>
      </w:r>
      <w:r>
        <w:rPr>
          <w:spacing w:val="1"/>
        </w:rPr>
        <w:t> </w:t>
      </w:r>
      <w:r>
        <w:rPr/>
        <w:t>Canarios</w:t>
      </w:r>
    </w:p>
    <w:p>
      <w:pPr>
        <w:pStyle w:val="BodyText"/>
        <w:tabs>
          <w:tab w:pos="3370" w:val="left" w:leader="none"/>
        </w:tabs>
        <w:spacing w:line="244" w:lineRule="auto" w:before="2"/>
        <w:ind w:left="2154" w:right="4389"/>
      </w:pPr>
      <w:r>
        <w:rPr/>
        <w:t>PYMES</w:t>
        <w:tab/>
        <w:t>Pequeñas y Medianas Empresas RECO</w:t>
        <w:tab/>
        <w:t>Registro de contratos</w:t>
      </w:r>
    </w:p>
    <w:p>
      <w:pPr>
        <w:pStyle w:val="BodyText"/>
        <w:tabs>
          <w:tab w:pos="3370" w:val="left" w:leader="none"/>
        </w:tabs>
        <w:spacing w:line="240" w:lineRule="exact"/>
        <w:ind w:left="2154"/>
      </w:pPr>
      <w:r>
        <w:rPr/>
        <w:t>REF</w:t>
        <w:tab/>
        <w:t>Régimen Económico y Fiscal</w:t>
      </w:r>
    </w:p>
    <w:p>
      <w:pPr>
        <w:pStyle w:val="BodyText"/>
        <w:tabs>
          <w:tab w:pos="3370" w:val="left" w:leader="none"/>
        </w:tabs>
        <w:spacing w:before="2"/>
        <w:ind w:left="2154" w:right="2485"/>
      </w:pPr>
      <w:r>
        <w:rPr/>
        <w:t>ROFIG</w:t>
        <w:tab/>
        <w:t>Reglamento de organización y funcionamiento de la IG. RPC</w:t>
        <w:tab/>
        <w:t>Radio Pública de Canarias,</w:t>
      </w:r>
      <w:r>
        <w:rPr>
          <w:spacing w:val="-1"/>
        </w:rPr>
        <w:t> </w:t>
      </w:r>
      <w:r>
        <w:rPr/>
        <w:t>S.A.</w:t>
      </w:r>
    </w:p>
    <w:p>
      <w:pPr>
        <w:pStyle w:val="BodyText"/>
        <w:tabs>
          <w:tab w:pos="3370" w:val="left" w:leader="none"/>
        </w:tabs>
        <w:spacing w:before="4"/>
        <w:ind w:left="2154"/>
      </w:pPr>
      <w:r>
        <w:rPr/>
        <w:t>RTVC</w:t>
        <w:tab/>
        <w:t>Radiotelevisión Canaria</w:t>
      </w:r>
    </w:p>
    <w:p>
      <w:pPr>
        <w:pStyle w:val="BodyText"/>
        <w:tabs>
          <w:tab w:pos="3370" w:val="left" w:leader="none"/>
        </w:tabs>
        <w:spacing w:before="1"/>
        <w:ind w:left="2154"/>
      </w:pPr>
      <w:r>
        <w:rPr/>
        <w:t>S.A.</w:t>
        <w:tab/>
        <w:t>Sociedad Anónima</w:t>
      </w:r>
    </w:p>
    <w:p>
      <w:pPr>
        <w:pStyle w:val="ListParagraph"/>
        <w:numPr>
          <w:ilvl w:val="1"/>
          <w:numId w:val="2"/>
        </w:numPr>
        <w:tabs>
          <w:tab w:pos="3370" w:val="left" w:leader="none"/>
          <w:tab w:pos="3371" w:val="left" w:leader="none"/>
        </w:tabs>
        <w:spacing w:line="240" w:lineRule="auto" w:before="2" w:after="0"/>
        <w:ind w:left="3370" w:right="0" w:hanging="1217"/>
        <w:jc w:val="left"/>
        <w:rPr>
          <w:sz w:val="20"/>
        </w:rPr>
      </w:pPr>
      <w:r>
        <w:rPr>
          <w:sz w:val="20"/>
        </w:rPr>
        <w:t>Sociedad Limitada</w:t>
      </w:r>
    </w:p>
    <w:p>
      <w:pPr>
        <w:spacing w:after="0" w:line="240" w:lineRule="auto"/>
        <w:jc w:val="left"/>
        <w:rPr>
          <w:sz w:val="20"/>
        </w:rPr>
        <w:sectPr>
          <w:pgSz w:w="11900" w:h="16840"/>
          <w:pgMar w:header="859" w:footer="926" w:top="1760" w:bottom="1120" w:left="760" w:right="760"/>
        </w:sectPr>
      </w:pPr>
    </w:p>
    <w:p>
      <w:pPr>
        <w:pStyle w:val="BodyText"/>
        <w:spacing w:before="2"/>
        <w:ind w:left="2154" w:right="-13"/>
      </w:pPr>
      <w:r>
        <w:rPr/>
        <w:t>SAGRADA FAMILIA</w:t>
      </w:r>
    </w:p>
    <w:p>
      <w:pPr>
        <w:pStyle w:val="BodyText"/>
        <w:spacing w:before="2"/>
        <w:ind w:left="372"/>
      </w:pPr>
      <w:r>
        <w:rPr/>
        <w:br w:type="column"/>
      </w:r>
      <w:r>
        <w:rPr/>
        <w:t>Fundación Canaria Sagrada Familia</w:t>
      </w:r>
    </w:p>
    <w:p>
      <w:pPr>
        <w:spacing w:after="0"/>
        <w:sectPr>
          <w:type w:val="continuous"/>
          <w:pgSz w:w="11900" w:h="16840"/>
          <w:pgMar w:top="1600" w:bottom="1120" w:left="760" w:right="760"/>
          <w:cols w:num="2" w:equalWidth="0">
            <w:col w:w="2958" w:space="40"/>
            <w:col w:w="7382"/>
          </w:cols>
        </w:sectPr>
      </w:pPr>
    </w:p>
    <w:p>
      <w:pPr>
        <w:pStyle w:val="BodyText"/>
        <w:tabs>
          <w:tab w:pos="3370" w:val="left" w:leader="none"/>
        </w:tabs>
        <w:spacing w:before="3"/>
        <w:ind w:left="2154" w:right="1341"/>
      </w:pPr>
      <w:r>
        <w:rPr/>
        <w:t>SATURNO</w:t>
        <w:tab/>
        <w:t>Sociedad Anónima de Promoción del Turismo, Naturaleza y Ocio, S.A. SCE</w:t>
        <w:tab/>
        <w:t>Servicio Canario de</w:t>
      </w:r>
      <w:r>
        <w:rPr>
          <w:spacing w:val="1"/>
        </w:rPr>
        <w:t> </w:t>
      </w:r>
      <w:r>
        <w:rPr/>
        <w:t>Empleo.</w:t>
      </w:r>
    </w:p>
    <w:p>
      <w:pPr>
        <w:pStyle w:val="BodyText"/>
        <w:tabs>
          <w:tab w:pos="3370" w:val="left" w:leader="none"/>
        </w:tabs>
        <w:spacing w:before="4"/>
        <w:ind w:left="2154"/>
      </w:pPr>
      <w:r>
        <w:rPr/>
        <w:t>SCS</w:t>
        <w:tab/>
        <w:t>Servicio Canario de la</w:t>
      </w:r>
      <w:r>
        <w:rPr>
          <w:spacing w:val="7"/>
        </w:rPr>
        <w:t> </w:t>
      </w:r>
      <w:r>
        <w:rPr/>
        <w:t>Salud</w:t>
      </w:r>
    </w:p>
    <w:p>
      <w:pPr>
        <w:pStyle w:val="BodyText"/>
        <w:tabs>
          <w:tab w:pos="3370" w:val="left" w:leader="none"/>
        </w:tabs>
        <w:spacing w:before="1"/>
        <w:ind w:left="2154"/>
      </w:pPr>
      <w:r>
        <w:rPr/>
        <w:t>SEC</w:t>
        <w:tab/>
        <w:t>Sistema Europeo de Cuentas</w:t>
      </w:r>
      <w:r>
        <w:rPr>
          <w:spacing w:val="-1"/>
        </w:rPr>
        <w:t> </w:t>
      </w:r>
      <w:r>
        <w:rPr/>
        <w:t>2010</w:t>
      </w:r>
    </w:p>
    <w:p>
      <w:pPr>
        <w:pStyle w:val="BodyText"/>
        <w:tabs>
          <w:tab w:pos="3370" w:val="left" w:leader="none"/>
        </w:tabs>
        <w:spacing w:line="244" w:lineRule="auto" w:before="2"/>
        <w:ind w:left="3370" w:right="1800" w:hanging="1216"/>
      </w:pPr>
      <w:r>
        <w:rPr/>
        <w:t>SEFLogiC</w:t>
        <w:tab/>
        <w:t>Sistema de información económico-financiera y logística de la Comunidad Autónoma de</w:t>
      </w:r>
      <w:r>
        <w:rPr>
          <w:spacing w:val="1"/>
        </w:rPr>
        <w:t> </w:t>
      </w:r>
      <w:r>
        <w:rPr/>
        <w:t>Canarias</w:t>
      </w:r>
    </w:p>
    <w:p>
      <w:pPr>
        <w:pStyle w:val="BodyText"/>
        <w:tabs>
          <w:tab w:pos="3370" w:val="left" w:leader="none"/>
        </w:tabs>
        <w:spacing w:line="240" w:lineRule="exact"/>
        <w:ind w:left="2154"/>
      </w:pPr>
      <w:r>
        <w:rPr/>
        <w:t>SGR</w:t>
        <w:tab/>
        <w:t>Sociedad de Garantía</w:t>
      </w:r>
      <w:r>
        <w:rPr>
          <w:spacing w:val="-2"/>
        </w:rPr>
        <w:t> </w:t>
      </w:r>
      <w:r>
        <w:rPr/>
        <w:t>Recíproca</w:t>
      </w:r>
    </w:p>
    <w:p>
      <w:pPr>
        <w:pStyle w:val="BodyText"/>
        <w:tabs>
          <w:tab w:pos="3370" w:val="left" w:leader="none"/>
        </w:tabs>
        <w:spacing w:before="2"/>
        <w:ind w:left="2154" w:right="2425"/>
      </w:pPr>
      <w:r>
        <w:rPr/>
        <w:t>SODECAN</w:t>
        <w:tab/>
        <w:t>Sociedad para el Desarrollo Económico de Canarias, S.A. SSMM</w:t>
        <w:tab/>
        <w:t>Sociedades</w:t>
      </w:r>
      <w:r>
        <w:rPr>
          <w:spacing w:val="1"/>
        </w:rPr>
        <w:t> </w:t>
      </w:r>
      <w:r>
        <w:rPr/>
        <w:t>Mercantiles</w:t>
      </w:r>
    </w:p>
    <w:p>
      <w:pPr>
        <w:pStyle w:val="BodyText"/>
        <w:tabs>
          <w:tab w:pos="3370" w:val="left" w:leader="none"/>
        </w:tabs>
        <w:spacing w:before="3"/>
        <w:ind w:left="2154"/>
      </w:pPr>
      <w:r>
        <w:rPr/>
        <w:t>TFE</w:t>
        <w:tab/>
        <w:t>Tenerife</w:t>
      </w:r>
    </w:p>
    <w:p>
      <w:pPr>
        <w:pStyle w:val="BodyText"/>
        <w:tabs>
          <w:tab w:pos="3370" w:val="left" w:leader="none"/>
        </w:tabs>
        <w:spacing w:before="2"/>
        <w:ind w:left="2154" w:right="4150"/>
      </w:pPr>
      <w:r>
        <w:rPr/>
        <w:t>TVPC</w:t>
        <w:tab/>
        <w:t>Televisión Pública de Canarias, S.A. UE</w:t>
        <w:tab/>
        <w:t>Unión Europea</w:t>
      </w:r>
    </w:p>
    <w:p>
      <w:pPr>
        <w:pStyle w:val="BodyText"/>
        <w:tabs>
          <w:tab w:pos="3370" w:val="left" w:leader="none"/>
        </w:tabs>
        <w:spacing w:before="3"/>
        <w:ind w:left="2154"/>
      </w:pPr>
      <w:r>
        <w:rPr/>
        <w:t>UTE</w:t>
        <w:tab/>
        <w:t>Unión Temporal de</w:t>
      </w:r>
      <w:r>
        <w:rPr>
          <w:spacing w:val="-2"/>
        </w:rPr>
        <w:t> </w:t>
      </w:r>
      <w:r>
        <w:rPr/>
        <w:t>Empresas</w:t>
      </w:r>
    </w:p>
    <w:p>
      <w:pPr>
        <w:pStyle w:val="BodyText"/>
        <w:tabs>
          <w:tab w:pos="3370" w:val="left" w:leader="none"/>
        </w:tabs>
        <w:spacing w:before="2"/>
        <w:ind w:left="2154"/>
      </w:pPr>
      <w:r>
        <w:rPr/>
        <w:t>VISOCAN</w:t>
        <w:tab/>
        <w:t>Viviendas Sociales e Infraestructura de Canarias,</w:t>
      </w:r>
      <w:r>
        <w:rPr>
          <w:spacing w:val="-6"/>
        </w:rPr>
        <w:t> </w:t>
      </w:r>
      <w:r>
        <w:rPr/>
        <w:t>S.A.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9"/>
        </w:rPr>
      </w:pPr>
    </w:p>
    <w:p>
      <w:pPr>
        <w:pStyle w:val="BodyText"/>
        <w:spacing w:before="61"/>
        <w:ind w:left="7995"/>
        <w:jc w:val="center"/>
      </w:pPr>
      <w:r>
        <w:rPr>
          <w:w w:val="100"/>
        </w:rPr>
        <w:t>8</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7" name="image5.png"/>
                  <wp:cNvGraphicFramePr>
                    <a:graphicFrameLocks noChangeAspect="1"/>
                  </wp:cNvGraphicFramePr>
                  <a:graphic>
                    <a:graphicData uri="http://schemas.openxmlformats.org/drawingml/2006/picture">
                      <pic:pic>
                        <pic:nvPicPr>
                          <pic:cNvPr id="2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10/247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2"/>
        <w:rPr>
          <w:b/>
          <w:sz w:val="9"/>
        </w:rPr>
      </w:pPr>
    </w:p>
    <w:p>
      <w:pPr>
        <w:tabs>
          <w:tab w:pos="5184" w:val="left" w:leader="none"/>
        </w:tabs>
        <w:spacing w:before="61"/>
        <w:ind w:left="4821" w:right="0" w:firstLine="0"/>
        <w:jc w:val="left"/>
        <w:rPr>
          <w:b/>
          <w:sz w:val="20"/>
        </w:rPr>
      </w:pPr>
      <w:r>
        <w:rPr>
          <w:b/>
          <w:color w:val="53A1B9"/>
          <w:sz w:val="20"/>
        </w:rPr>
        <w:t>1</w:t>
        <w:tab/>
        <w:t>INTRODUCCIÓN</w:t>
      </w:r>
    </w:p>
    <w:p>
      <w:pPr>
        <w:pStyle w:val="BodyText"/>
        <w:spacing w:before="8"/>
        <w:rPr>
          <w:b/>
          <w:sz w:val="11"/>
        </w:rPr>
      </w:pPr>
    </w:p>
    <w:p>
      <w:pPr>
        <w:pStyle w:val="ListParagraph"/>
        <w:numPr>
          <w:ilvl w:val="1"/>
          <w:numId w:val="3"/>
        </w:numPr>
        <w:tabs>
          <w:tab w:pos="2579" w:val="left" w:leader="none"/>
          <w:tab w:pos="2580" w:val="left" w:leader="none"/>
        </w:tabs>
        <w:spacing w:line="240" w:lineRule="auto" w:before="61" w:after="0"/>
        <w:ind w:left="2579" w:right="0" w:hanging="484"/>
        <w:jc w:val="left"/>
        <w:rPr>
          <w:b/>
          <w:sz w:val="20"/>
        </w:rPr>
      </w:pPr>
      <w:r>
        <w:rPr>
          <w:b/>
          <w:color w:val="53A1B9"/>
          <w:sz w:val="20"/>
        </w:rPr>
        <w:t>Justificación.</w:t>
      </w:r>
    </w:p>
    <w:p>
      <w:pPr>
        <w:pStyle w:val="BodyText"/>
        <w:spacing w:before="8"/>
        <w:rPr>
          <w:b/>
          <w:sz w:val="16"/>
        </w:rPr>
      </w:pPr>
    </w:p>
    <w:p>
      <w:pPr>
        <w:pStyle w:val="BodyText"/>
        <w:spacing w:line="242" w:lineRule="auto"/>
        <w:ind w:left="2096" w:right="1138" w:firstLine="594"/>
        <w:jc w:val="both"/>
      </w:pPr>
      <w:r>
        <w:rPr/>
        <w:t>En virtud de lo dispuesto en el Art. 1 de la Ley 4/1989, de 2 de mayo, a la Audiencia de Cuentas de Canarias le corresponde la fiscalización externa de la gestión económica, financiera y contable del sector público de la Comunidad Autónoma de Canarias (en adelante CAC). El examen y la comprobación de la Cuenta General de la CAC se realizan por delegación del Parlamento de Canarias, en aplicación de lo establecido en el Art. 59.2 del Estatuto de Autonomía, y que el Art. 11 de Ley 4/1989 reproduce. En el Programa de Actuaciones de la Audiencia de Cuentas para el ejercicio 2023, aprobado por el Pleno en sesión extraordinaria celebrada el 28 de diciembre de 2022, se incluye la “Fiscalización de la Cuenta General de la CAC, ejercicio 2022".</w:t>
      </w:r>
    </w:p>
    <w:p>
      <w:pPr>
        <w:pStyle w:val="BodyText"/>
        <w:spacing w:before="2"/>
        <w:rPr>
          <w:sz w:val="16"/>
        </w:rPr>
      </w:pPr>
    </w:p>
    <w:p>
      <w:pPr>
        <w:pStyle w:val="Heading1"/>
        <w:numPr>
          <w:ilvl w:val="1"/>
          <w:numId w:val="3"/>
        </w:numPr>
        <w:tabs>
          <w:tab w:pos="2579" w:val="left" w:leader="none"/>
          <w:tab w:pos="2580" w:val="left" w:leader="none"/>
        </w:tabs>
        <w:spacing w:line="240" w:lineRule="auto" w:before="0" w:after="0"/>
        <w:ind w:left="2579" w:right="0" w:hanging="484"/>
        <w:jc w:val="left"/>
      </w:pPr>
      <w:r>
        <w:rPr>
          <w:color w:val="53A1B9"/>
        </w:rPr>
        <w:t>Objetivos.</w:t>
      </w:r>
    </w:p>
    <w:p>
      <w:pPr>
        <w:pStyle w:val="BodyText"/>
        <w:spacing w:before="8"/>
        <w:rPr>
          <w:b/>
          <w:sz w:val="16"/>
        </w:rPr>
      </w:pPr>
    </w:p>
    <w:p>
      <w:pPr>
        <w:pStyle w:val="BodyText"/>
        <w:spacing w:line="242" w:lineRule="auto"/>
        <w:ind w:left="2096" w:right="1140" w:firstLine="594"/>
        <w:jc w:val="both"/>
      </w:pPr>
      <w:r>
        <w:rPr/>
        <w:t>El objetivo es emitir una declaración definitiva sobre la Cuenta General correspondiente al ejercicio 2022, con el fin de expresar una opinión sobre si ésta se ha rendido en el plazo que establece la Ley de Hacienda Pública Canaria (en adelante, LHPC), la adecuación de su estructura y contenido a la normativa que la regula, su coherencia interna respecto a las cuentas y estados que la integran y si su elaboración es conforme a la legalidad que le resulta aplicable. Asimismo, contiene un análisis general desde la perspectiva económico-financiera y, particularmente, de las entidades instrumentales de la Administración de la Comunidad Autónoma, así como del cumplimiento de los compromisos de estabilidad presupuestaria y de la claridad de la información económica, financiera y presupuestaria.</w:t>
      </w:r>
    </w:p>
    <w:p>
      <w:pPr>
        <w:pStyle w:val="BodyText"/>
        <w:spacing w:before="1"/>
        <w:rPr>
          <w:sz w:val="16"/>
        </w:rPr>
      </w:pPr>
    </w:p>
    <w:p>
      <w:pPr>
        <w:pStyle w:val="Heading1"/>
        <w:numPr>
          <w:ilvl w:val="1"/>
          <w:numId w:val="3"/>
        </w:numPr>
        <w:tabs>
          <w:tab w:pos="2579" w:val="left" w:leader="none"/>
          <w:tab w:pos="2580" w:val="left" w:leader="none"/>
        </w:tabs>
        <w:spacing w:line="240" w:lineRule="auto" w:before="0" w:after="0"/>
        <w:ind w:left="2579" w:right="0" w:hanging="484"/>
        <w:jc w:val="left"/>
      </w:pPr>
      <w:r>
        <w:rPr>
          <w:color w:val="53A1B9"/>
        </w:rPr>
        <w:t>Alcance.</w:t>
      </w:r>
    </w:p>
    <w:p>
      <w:pPr>
        <w:pStyle w:val="BodyText"/>
        <w:spacing w:before="8"/>
        <w:rPr>
          <w:b/>
          <w:sz w:val="16"/>
        </w:rPr>
      </w:pPr>
    </w:p>
    <w:p>
      <w:pPr>
        <w:pStyle w:val="ListParagraph"/>
        <w:numPr>
          <w:ilvl w:val="2"/>
          <w:numId w:val="3"/>
        </w:numPr>
        <w:tabs>
          <w:tab w:pos="2691" w:val="left" w:leader="none"/>
        </w:tabs>
        <w:spacing w:line="240" w:lineRule="auto" w:before="0" w:after="0"/>
        <w:ind w:left="2690" w:right="0" w:hanging="605"/>
        <w:jc w:val="left"/>
        <w:rPr>
          <w:b/>
          <w:sz w:val="20"/>
        </w:rPr>
      </w:pPr>
      <w:r>
        <w:rPr>
          <w:b/>
          <w:color w:val="53A1B9"/>
          <w:sz w:val="20"/>
        </w:rPr>
        <w:t>Ámbito</w:t>
      </w:r>
      <w:r>
        <w:rPr>
          <w:b/>
          <w:color w:val="53A1B9"/>
          <w:spacing w:val="-1"/>
          <w:sz w:val="20"/>
        </w:rPr>
        <w:t> </w:t>
      </w:r>
      <w:r>
        <w:rPr>
          <w:b/>
          <w:color w:val="53A1B9"/>
          <w:sz w:val="20"/>
        </w:rPr>
        <w:t>subjetivo.</w:t>
      </w:r>
    </w:p>
    <w:p>
      <w:pPr>
        <w:pStyle w:val="BodyText"/>
        <w:spacing w:before="8"/>
        <w:rPr>
          <w:b/>
          <w:sz w:val="16"/>
        </w:rPr>
      </w:pPr>
    </w:p>
    <w:p>
      <w:pPr>
        <w:pStyle w:val="BodyText"/>
        <w:ind w:left="2096" w:right="1139" w:firstLine="594"/>
        <w:jc w:val="both"/>
      </w:pPr>
      <w:r>
        <w:rPr/>
        <w:t>El ámbito subjetivo de la fiscalización está constituido por el Sector Público autonómico, de acuerdo con la definición recogida en el Art. 2 de la Ley 11/2006, de 11 de diciembre, de la Hacienda Pública Canaria.</w:t>
      </w:r>
    </w:p>
    <w:p>
      <w:pPr>
        <w:pStyle w:val="BodyText"/>
        <w:spacing w:before="11"/>
        <w:rPr>
          <w:sz w:val="16"/>
        </w:rPr>
      </w:pPr>
    </w:p>
    <w:p>
      <w:pPr>
        <w:pStyle w:val="Heading1"/>
        <w:numPr>
          <w:ilvl w:val="2"/>
          <w:numId w:val="3"/>
        </w:numPr>
        <w:tabs>
          <w:tab w:pos="2691" w:val="left" w:leader="none"/>
        </w:tabs>
        <w:spacing w:line="240" w:lineRule="auto" w:before="0" w:after="0"/>
        <w:ind w:left="2690" w:right="0" w:hanging="595"/>
        <w:jc w:val="left"/>
      </w:pPr>
      <w:r>
        <w:rPr>
          <w:color w:val="53A1B9"/>
        </w:rPr>
        <w:t>Ámbito</w:t>
      </w:r>
      <w:r>
        <w:rPr>
          <w:color w:val="53A1B9"/>
          <w:spacing w:val="1"/>
        </w:rPr>
        <w:t> </w:t>
      </w:r>
      <w:r>
        <w:rPr>
          <w:color w:val="53A1B9"/>
        </w:rPr>
        <w:t>objetivo.</w:t>
      </w:r>
    </w:p>
    <w:p>
      <w:pPr>
        <w:pStyle w:val="BodyText"/>
        <w:spacing w:before="8"/>
        <w:rPr>
          <w:b/>
          <w:sz w:val="16"/>
        </w:rPr>
      </w:pPr>
    </w:p>
    <w:p>
      <w:pPr>
        <w:pStyle w:val="BodyText"/>
        <w:ind w:left="2690"/>
      </w:pPr>
      <w:r>
        <w:rPr/>
        <w:t>El examen ha comprendido el siguiente alcance:</w:t>
      </w:r>
    </w:p>
    <w:p>
      <w:pPr>
        <w:pStyle w:val="BodyText"/>
        <w:spacing w:before="8"/>
        <w:rPr>
          <w:sz w:val="16"/>
        </w:rPr>
      </w:pPr>
    </w:p>
    <w:p>
      <w:pPr>
        <w:pStyle w:val="ListParagraph"/>
        <w:numPr>
          <w:ilvl w:val="3"/>
          <w:numId w:val="3"/>
        </w:numPr>
        <w:tabs>
          <w:tab w:pos="2701" w:val="left" w:leader="none"/>
        </w:tabs>
        <w:spacing w:line="240" w:lineRule="auto" w:before="0" w:after="0"/>
        <w:ind w:left="2700" w:right="1144" w:hanging="303"/>
        <w:jc w:val="left"/>
        <w:rPr>
          <w:sz w:val="20"/>
        </w:rPr>
      </w:pPr>
      <w:r>
        <w:rPr>
          <w:sz w:val="20"/>
        </w:rPr>
        <w:t>Verificar que la Cuenta General se ha rendido respetando las normas que le son de aplicación respecto a plazo, estructura, contenido y</w:t>
      </w:r>
      <w:r>
        <w:rPr>
          <w:spacing w:val="5"/>
          <w:sz w:val="20"/>
        </w:rPr>
        <w:t> </w:t>
      </w:r>
      <w:r>
        <w:rPr>
          <w:sz w:val="20"/>
        </w:rPr>
        <w:t>aprobación.</w:t>
      </w:r>
    </w:p>
    <w:p>
      <w:pPr>
        <w:pStyle w:val="BodyText"/>
        <w:spacing w:before="4"/>
        <w:rPr>
          <w:sz w:val="14"/>
        </w:rPr>
      </w:pPr>
    </w:p>
    <w:p>
      <w:pPr>
        <w:pStyle w:val="BodyText"/>
        <w:spacing w:before="61"/>
        <w:ind w:left="7995"/>
        <w:jc w:val="center"/>
      </w:pPr>
      <w:r>
        <w:rPr>
          <w:w w:val="100"/>
        </w:rPr>
        <w:t>9</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9" name="image5.png"/>
                  <wp:cNvGraphicFramePr>
                    <a:graphicFrameLocks noChangeAspect="1"/>
                  </wp:cNvGraphicFramePr>
                  <a:graphic>
                    <a:graphicData uri="http://schemas.openxmlformats.org/drawingml/2006/picture">
                      <pic:pic>
                        <pic:nvPicPr>
                          <pic:cNvPr id="3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11/247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3"/>
          <w:numId w:val="3"/>
        </w:numPr>
        <w:tabs>
          <w:tab w:pos="2701" w:val="left" w:leader="none"/>
        </w:tabs>
        <w:spacing w:line="240" w:lineRule="auto" w:before="61" w:after="0"/>
        <w:ind w:left="2700" w:right="1138" w:hanging="303"/>
        <w:jc w:val="both"/>
        <w:rPr>
          <w:sz w:val="20"/>
        </w:rPr>
      </w:pPr>
      <w:r>
        <w:rPr>
          <w:sz w:val="20"/>
        </w:rPr>
        <w:t>Analizar la consistencia de la Cuenta General de la CAC y analizar la coherencia interna de los distintos estados que la</w:t>
      </w:r>
      <w:r>
        <w:rPr>
          <w:spacing w:val="-1"/>
          <w:sz w:val="20"/>
        </w:rPr>
        <w:t> </w:t>
      </w:r>
      <w:r>
        <w:rPr>
          <w:sz w:val="20"/>
        </w:rPr>
        <w:t>conforman.</w:t>
      </w:r>
    </w:p>
    <w:p>
      <w:pPr>
        <w:pStyle w:val="ListParagraph"/>
        <w:numPr>
          <w:ilvl w:val="3"/>
          <w:numId w:val="3"/>
        </w:numPr>
        <w:tabs>
          <w:tab w:pos="2701" w:val="left" w:leader="none"/>
        </w:tabs>
        <w:spacing w:line="240" w:lineRule="auto" w:before="4" w:after="0"/>
        <w:ind w:left="2700" w:right="1142" w:hanging="303"/>
        <w:jc w:val="both"/>
        <w:rPr>
          <w:sz w:val="20"/>
        </w:rPr>
      </w:pPr>
      <w:r>
        <w:rPr>
          <w:sz w:val="20"/>
        </w:rPr>
        <w:t>Analizar la situación económico-financiera y presupuestaria del sector público integrado en el ámbito de la Cuenta</w:t>
      </w:r>
      <w:r>
        <w:rPr>
          <w:spacing w:val="3"/>
          <w:sz w:val="20"/>
        </w:rPr>
        <w:t> </w:t>
      </w:r>
      <w:r>
        <w:rPr>
          <w:sz w:val="20"/>
        </w:rPr>
        <w:t>General.</w:t>
      </w:r>
    </w:p>
    <w:p>
      <w:pPr>
        <w:pStyle w:val="ListParagraph"/>
        <w:numPr>
          <w:ilvl w:val="3"/>
          <w:numId w:val="3"/>
        </w:numPr>
        <w:tabs>
          <w:tab w:pos="2701" w:val="left" w:leader="none"/>
        </w:tabs>
        <w:spacing w:line="240" w:lineRule="auto" w:before="3" w:after="0"/>
        <w:ind w:left="2700" w:right="1140" w:hanging="303"/>
        <w:jc w:val="both"/>
        <w:rPr>
          <w:sz w:val="20"/>
        </w:rPr>
      </w:pPr>
      <w:r>
        <w:rPr>
          <w:sz w:val="20"/>
        </w:rPr>
        <w:t>Verificar el cumplimiento de las diferentes disposiciones que se incluyen en la LPGCAC para 2022, que puedan afectar en la formación y rendición de la Cuenta General.</w:t>
      </w:r>
    </w:p>
    <w:p>
      <w:pPr>
        <w:pStyle w:val="ListParagraph"/>
        <w:numPr>
          <w:ilvl w:val="3"/>
          <w:numId w:val="3"/>
        </w:numPr>
        <w:tabs>
          <w:tab w:pos="2701" w:val="left" w:leader="none"/>
        </w:tabs>
        <w:spacing w:line="244" w:lineRule="auto" w:before="5" w:after="0"/>
        <w:ind w:left="2700" w:right="1144" w:hanging="303"/>
        <w:jc w:val="both"/>
        <w:rPr>
          <w:sz w:val="20"/>
        </w:rPr>
      </w:pPr>
      <w:r>
        <w:rPr>
          <w:sz w:val="20"/>
        </w:rPr>
        <w:t>Analizar las magnitudes presupuestarias, económicas y financieras más relevantes de los estados que integran la Cuenta General de la</w:t>
      </w:r>
      <w:r>
        <w:rPr>
          <w:spacing w:val="6"/>
          <w:sz w:val="20"/>
        </w:rPr>
        <w:t> </w:t>
      </w:r>
      <w:r>
        <w:rPr>
          <w:sz w:val="20"/>
        </w:rPr>
        <w:t>CAC.</w:t>
      </w:r>
    </w:p>
    <w:p>
      <w:pPr>
        <w:pStyle w:val="ListParagraph"/>
        <w:numPr>
          <w:ilvl w:val="3"/>
          <w:numId w:val="3"/>
        </w:numPr>
        <w:tabs>
          <w:tab w:pos="2701" w:val="left" w:leader="none"/>
        </w:tabs>
        <w:spacing w:line="242" w:lineRule="auto" w:before="0" w:after="0"/>
        <w:ind w:left="2700" w:right="1142" w:hanging="303"/>
        <w:jc w:val="both"/>
        <w:rPr>
          <w:sz w:val="20"/>
        </w:rPr>
      </w:pPr>
      <w:r>
        <w:rPr>
          <w:sz w:val="20"/>
        </w:rPr>
        <w:t>Analizar los aspectos y variables más relevantes de las cuentas anuales de los entes instrumentales.</w:t>
      </w:r>
    </w:p>
    <w:p>
      <w:pPr>
        <w:pStyle w:val="ListParagraph"/>
        <w:numPr>
          <w:ilvl w:val="3"/>
          <w:numId w:val="3"/>
        </w:numPr>
        <w:tabs>
          <w:tab w:pos="2701" w:val="left" w:leader="none"/>
        </w:tabs>
        <w:spacing w:line="240" w:lineRule="auto" w:before="0" w:after="0"/>
        <w:ind w:left="2700" w:right="1142" w:hanging="303"/>
        <w:jc w:val="both"/>
        <w:rPr>
          <w:sz w:val="20"/>
        </w:rPr>
      </w:pPr>
      <w:r>
        <w:rPr>
          <w:sz w:val="20"/>
        </w:rPr>
        <w:t>Comprobación de que la Cuenta General de la CAC es conforme con la Orden de 21 de diciembre de 2018, de la Consejería de Hacienda, por la que se aprueba el Plan General de Contabilidad Pública de la Comunidad Autónoma de</w:t>
      </w:r>
      <w:r>
        <w:rPr>
          <w:spacing w:val="17"/>
          <w:sz w:val="20"/>
        </w:rPr>
        <w:t> </w:t>
      </w:r>
      <w:r>
        <w:rPr>
          <w:sz w:val="20"/>
        </w:rPr>
        <w:t>Canarias.</w:t>
      </w:r>
    </w:p>
    <w:p>
      <w:pPr>
        <w:pStyle w:val="BodyText"/>
        <w:spacing w:before="6"/>
        <w:rPr>
          <w:sz w:val="16"/>
        </w:rPr>
      </w:pPr>
    </w:p>
    <w:p>
      <w:pPr>
        <w:pStyle w:val="ListParagraph"/>
        <w:numPr>
          <w:ilvl w:val="2"/>
          <w:numId w:val="3"/>
        </w:numPr>
        <w:tabs>
          <w:tab w:pos="2691" w:val="left" w:leader="none"/>
        </w:tabs>
        <w:spacing w:line="240" w:lineRule="auto" w:before="0" w:after="0"/>
        <w:ind w:left="2690" w:right="0" w:hanging="605"/>
        <w:jc w:val="left"/>
        <w:rPr>
          <w:b/>
          <w:sz w:val="20"/>
        </w:rPr>
      </w:pPr>
      <w:r>
        <w:rPr>
          <w:b/>
          <w:color w:val="53A1B9"/>
          <w:sz w:val="20"/>
        </w:rPr>
        <w:t>Ámbito</w:t>
      </w:r>
      <w:r>
        <w:rPr>
          <w:b/>
          <w:color w:val="53A1B9"/>
          <w:spacing w:val="1"/>
          <w:sz w:val="20"/>
        </w:rPr>
        <w:t> </w:t>
      </w:r>
      <w:r>
        <w:rPr>
          <w:b/>
          <w:color w:val="53A1B9"/>
          <w:sz w:val="18"/>
        </w:rPr>
        <w:t>temporal</w:t>
      </w:r>
      <w:r>
        <w:rPr>
          <w:b/>
          <w:color w:val="53A1B9"/>
          <w:sz w:val="20"/>
        </w:rPr>
        <w:t>.</w:t>
      </w:r>
    </w:p>
    <w:p>
      <w:pPr>
        <w:pStyle w:val="BodyText"/>
        <w:spacing w:before="8"/>
        <w:rPr>
          <w:b/>
          <w:sz w:val="16"/>
        </w:rPr>
      </w:pPr>
    </w:p>
    <w:p>
      <w:pPr>
        <w:pStyle w:val="BodyText"/>
        <w:ind w:left="2096" w:right="1137" w:firstLine="594"/>
        <w:jc w:val="both"/>
        <w:rPr>
          <w:sz w:val="18"/>
        </w:rPr>
      </w:pPr>
      <w:r>
        <w:rPr/>
        <w:t>El trabajo realizado se ha referido al ejercicio 2022, sin perjuicio de la comprobación de aquellos hechos anteriores y posteriores que fueron necesarios para llevar a cabo una adecuada </w:t>
      </w:r>
      <w:r>
        <w:rPr>
          <w:sz w:val="18"/>
        </w:rPr>
        <w:t>fiscalización.</w:t>
      </w:r>
    </w:p>
    <w:p>
      <w:pPr>
        <w:pStyle w:val="BodyText"/>
        <w:spacing w:before="11"/>
        <w:rPr>
          <w:sz w:val="16"/>
        </w:rPr>
      </w:pPr>
    </w:p>
    <w:p>
      <w:pPr>
        <w:pStyle w:val="BodyText"/>
        <w:ind w:left="2690"/>
      </w:pPr>
      <w:r>
        <w:rPr/>
        <w:t>El trabajo de campo finalizó el 15 de octubre 2023.</w:t>
      </w:r>
    </w:p>
    <w:p>
      <w:pPr>
        <w:pStyle w:val="BodyText"/>
        <w:spacing w:before="8"/>
        <w:rPr>
          <w:sz w:val="16"/>
        </w:rPr>
      </w:pPr>
    </w:p>
    <w:p>
      <w:pPr>
        <w:pStyle w:val="Heading1"/>
        <w:numPr>
          <w:ilvl w:val="1"/>
          <w:numId w:val="3"/>
        </w:numPr>
        <w:tabs>
          <w:tab w:pos="2579" w:val="left" w:leader="none"/>
          <w:tab w:pos="2580" w:val="left" w:leader="none"/>
        </w:tabs>
        <w:spacing w:line="240" w:lineRule="auto" w:before="0" w:after="0"/>
        <w:ind w:left="2579" w:right="0" w:hanging="484"/>
        <w:jc w:val="left"/>
      </w:pPr>
      <w:r>
        <w:rPr>
          <w:color w:val="53A1B9"/>
        </w:rPr>
        <w:t>Limitación al</w:t>
      </w:r>
      <w:r>
        <w:rPr>
          <w:color w:val="53A1B9"/>
          <w:spacing w:val="3"/>
        </w:rPr>
        <w:t> </w:t>
      </w:r>
      <w:r>
        <w:rPr>
          <w:color w:val="53A1B9"/>
        </w:rPr>
        <w:t>alcance.</w:t>
      </w:r>
    </w:p>
    <w:p>
      <w:pPr>
        <w:pStyle w:val="BodyText"/>
        <w:spacing w:before="8"/>
        <w:rPr>
          <w:b/>
          <w:sz w:val="16"/>
        </w:rPr>
      </w:pPr>
    </w:p>
    <w:p>
      <w:pPr>
        <w:pStyle w:val="BodyText"/>
        <w:spacing w:line="242" w:lineRule="auto"/>
        <w:ind w:left="2096" w:right="1144" w:firstLine="594"/>
        <w:jc w:val="both"/>
      </w:pPr>
      <w:r>
        <w:rPr/>
        <w:t>Las cuentas del Instituto Canario de Igualdad y del Consorcio el Rincón no han sido rendidas hasta la fecha, motivo por el cual no se han podido incluir en la presente fiscalización.</w:t>
      </w:r>
    </w:p>
    <w:p>
      <w:pPr>
        <w:pStyle w:val="BodyText"/>
        <w:spacing w:before="6"/>
        <w:rPr>
          <w:sz w:val="16"/>
        </w:rPr>
      </w:pPr>
    </w:p>
    <w:p>
      <w:pPr>
        <w:pStyle w:val="Heading1"/>
        <w:numPr>
          <w:ilvl w:val="1"/>
          <w:numId w:val="3"/>
        </w:numPr>
        <w:tabs>
          <w:tab w:pos="2579" w:val="left" w:leader="none"/>
          <w:tab w:pos="2580" w:val="left" w:leader="none"/>
        </w:tabs>
        <w:spacing w:line="240" w:lineRule="auto" w:before="0" w:after="0"/>
        <w:ind w:left="2579" w:right="0" w:hanging="484"/>
        <w:jc w:val="left"/>
      </w:pPr>
      <w:r>
        <w:rPr>
          <w:color w:val="53A1B9"/>
        </w:rPr>
        <w:t>Otras</w:t>
      </w:r>
      <w:r>
        <w:rPr>
          <w:color w:val="53A1B9"/>
          <w:spacing w:val="5"/>
        </w:rPr>
        <w:t> </w:t>
      </w:r>
      <w:r>
        <w:rPr>
          <w:color w:val="53A1B9"/>
        </w:rPr>
        <w:t>cuestiones.</w:t>
      </w:r>
    </w:p>
    <w:p>
      <w:pPr>
        <w:pStyle w:val="BodyText"/>
        <w:spacing w:before="8"/>
        <w:rPr>
          <w:b/>
          <w:sz w:val="16"/>
        </w:rPr>
      </w:pPr>
    </w:p>
    <w:p>
      <w:pPr>
        <w:pStyle w:val="BodyText"/>
        <w:spacing w:line="242" w:lineRule="auto"/>
        <w:ind w:left="2096" w:right="1138" w:firstLine="594"/>
        <w:jc w:val="both"/>
      </w:pPr>
      <w:r>
        <w:rPr/>
        <w:t>Es preciso destacar que la elaboración de este informe requiere solicitar un gran volumen de información adicional a la que proporciona la propia Cuenta General. En el anexo I figura un cuadro que detalla las peticiones de información tramitadas y los tiempos de respuesta a las mismas. Como se observa, se han producido muchas respuestas fuera de plazo y otras no atendidas dentro del periodo de ejecución del trabajo de campo, recogido en el apartado de alcance temporal. Ello ha ocasionado dificultades en la ejecución del programa de trabajo de la fiscalización, pues la conclusión y rigor de las comprobaciones y verificaciones se dilatan en exceso y/o dificultan el análisis completo de la cuestión</w:t>
      </w:r>
      <w:r>
        <w:rPr>
          <w:spacing w:val="3"/>
        </w:rPr>
        <w:t> </w:t>
      </w:r>
      <w:r>
        <w:rPr/>
        <w:t>fiscalizada.</w:t>
      </w:r>
    </w:p>
    <w:p>
      <w:pPr>
        <w:pStyle w:val="BodyText"/>
        <w:spacing w:before="9"/>
        <w:rPr>
          <w:sz w:val="22"/>
        </w:rPr>
      </w:pPr>
    </w:p>
    <w:p>
      <w:pPr>
        <w:pStyle w:val="BodyText"/>
        <w:spacing w:before="61"/>
        <w:ind w:left="7897"/>
        <w:jc w:val="center"/>
      </w:pPr>
      <w:r>
        <w:rPr/>
        <w:t>10</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31" name="image5.png"/>
                  <wp:cNvGraphicFramePr>
                    <a:graphicFrameLocks noChangeAspect="1"/>
                  </wp:cNvGraphicFramePr>
                  <a:graphic>
                    <a:graphicData uri="http://schemas.openxmlformats.org/drawingml/2006/picture">
                      <pic:pic>
                        <pic:nvPicPr>
                          <pic:cNvPr id="3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12/247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1"/>
          <w:numId w:val="3"/>
        </w:numPr>
        <w:tabs>
          <w:tab w:pos="2579" w:val="left" w:leader="none"/>
          <w:tab w:pos="2580" w:val="left" w:leader="none"/>
        </w:tabs>
        <w:spacing w:line="240" w:lineRule="auto" w:before="61" w:after="0"/>
        <w:ind w:left="2579" w:right="0" w:hanging="484"/>
        <w:jc w:val="left"/>
        <w:rPr>
          <w:b/>
          <w:sz w:val="20"/>
        </w:rPr>
      </w:pPr>
      <w:r>
        <w:rPr>
          <w:b/>
          <w:color w:val="53A1B9"/>
          <w:sz w:val="20"/>
        </w:rPr>
        <w:t>Párrafos de</w:t>
      </w:r>
      <w:r>
        <w:rPr>
          <w:b/>
          <w:color w:val="53A1B9"/>
          <w:spacing w:val="-1"/>
          <w:sz w:val="20"/>
        </w:rPr>
        <w:t> </w:t>
      </w:r>
      <w:r>
        <w:rPr>
          <w:b/>
          <w:color w:val="53A1B9"/>
          <w:sz w:val="20"/>
        </w:rPr>
        <w:t>responsabilidad.</w:t>
      </w:r>
    </w:p>
    <w:p>
      <w:pPr>
        <w:pStyle w:val="BodyText"/>
        <w:spacing w:before="8"/>
        <w:rPr>
          <w:b/>
          <w:sz w:val="16"/>
        </w:rPr>
      </w:pPr>
    </w:p>
    <w:p>
      <w:pPr>
        <w:pStyle w:val="ListParagraph"/>
        <w:numPr>
          <w:ilvl w:val="2"/>
          <w:numId w:val="3"/>
        </w:numPr>
        <w:tabs>
          <w:tab w:pos="2691" w:val="left" w:leader="none"/>
        </w:tabs>
        <w:spacing w:line="240" w:lineRule="auto" w:before="0" w:after="0"/>
        <w:ind w:left="2690" w:right="0" w:hanging="605"/>
        <w:jc w:val="left"/>
        <w:rPr>
          <w:b/>
          <w:sz w:val="20"/>
        </w:rPr>
      </w:pPr>
      <w:r>
        <w:rPr>
          <w:b/>
          <w:color w:val="53A1B9"/>
          <w:sz w:val="20"/>
        </w:rPr>
        <w:t>Responsabilidad de la Audiencia de Cuentas de</w:t>
      </w:r>
      <w:r>
        <w:rPr>
          <w:b/>
          <w:color w:val="53A1B9"/>
          <w:spacing w:val="-1"/>
          <w:sz w:val="20"/>
        </w:rPr>
        <w:t> </w:t>
      </w:r>
      <w:r>
        <w:rPr>
          <w:b/>
          <w:color w:val="53A1B9"/>
          <w:sz w:val="20"/>
        </w:rPr>
        <w:t>Canarias.</w:t>
      </w:r>
    </w:p>
    <w:p>
      <w:pPr>
        <w:pStyle w:val="BodyText"/>
        <w:spacing w:before="8"/>
        <w:rPr>
          <w:b/>
          <w:sz w:val="16"/>
        </w:rPr>
      </w:pPr>
    </w:p>
    <w:p>
      <w:pPr>
        <w:pStyle w:val="BodyText"/>
        <w:spacing w:line="242" w:lineRule="auto"/>
        <w:ind w:left="2096" w:right="1136" w:firstLine="594"/>
        <w:jc w:val="both"/>
      </w:pPr>
      <w:r>
        <w:rPr/>
        <w:t>La responsabilidad de la Audiencia de Cuentas de Canarias es expresar una declaración sobre la Cuenta General de la CAC correspondiente al ejercicio 2022 y, en su caso, formular conclusiones sobre la adecuación a la legalidad de las operaciones revisadas, con el alcance delimitado por los objetivos generales, el ámbito subjetivo, objetivo y temporal. Para ello, esta actuación se ha llevado a cabo de conformidad con los Principios fundamentales de fiscalización del sector público, así como, por la propia instrucción reguladora de la Audiencia de Cuentas de Canarias para los procedimientos de</w:t>
      </w:r>
      <w:r>
        <w:rPr>
          <w:spacing w:val="-7"/>
        </w:rPr>
        <w:t> </w:t>
      </w:r>
      <w:r>
        <w:rPr/>
        <w:t>fiscalización.</w:t>
      </w:r>
      <w:r>
        <w:rPr>
          <w:spacing w:val="-10"/>
        </w:rPr>
        <w:t> </w:t>
      </w:r>
      <w:r>
        <w:rPr/>
        <w:t>Dicha</w:t>
      </w:r>
      <w:r>
        <w:rPr>
          <w:spacing w:val="-9"/>
        </w:rPr>
        <w:t> </w:t>
      </w:r>
      <w:r>
        <w:rPr/>
        <w:t>normativa</w:t>
      </w:r>
      <w:r>
        <w:rPr>
          <w:spacing w:val="-7"/>
        </w:rPr>
        <w:t> </w:t>
      </w:r>
      <w:r>
        <w:rPr/>
        <w:t>exige</w:t>
      </w:r>
      <w:r>
        <w:rPr>
          <w:spacing w:val="-6"/>
        </w:rPr>
        <w:t> </w:t>
      </w:r>
      <w:r>
        <w:rPr/>
        <w:t>cumplir</w:t>
      </w:r>
      <w:r>
        <w:rPr>
          <w:spacing w:val="-9"/>
        </w:rPr>
        <w:t> </w:t>
      </w:r>
      <w:r>
        <w:rPr/>
        <w:t>con</w:t>
      </w:r>
      <w:r>
        <w:rPr>
          <w:spacing w:val="-7"/>
        </w:rPr>
        <w:t> </w:t>
      </w:r>
      <w:r>
        <w:rPr/>
        <w:t>los</w:t>
      </w:r>
      <w:r>
        <w:rPr>
          <w:spacing w:val="-6"/>
        </w:rPr>
        <w:t> </w:t>
      </w:r>
      <w:r>
        <w:rPr/>
        <w:t>requerimientos</w:t>
      </w:r>
      <w:r>
        <w:rPr>
          <w:spacing w:val="-7"/>
        </w:rPr>
        <w:t> </w:t>
      </w:r>
      <w:r>
        <w:rPr/>
        <w:t>de</w:t>
      </w:r>
      <w:r>
        <w:rPr>
          <w:spacing w:val="-9"/>
        </w:rPr>
        <w:t> </w:t>
      </w:r>
      <w:r>
        <w:rPr/>
        <w:t>ética,</w:t>
      </w:r>
      <w:r>
        <w:rPr>
          <w:spacing w:val="-7"/>
        </w:rPr>
        <w:t> </w:t>
      </w:r>
      <w:r>
        <w:rPr/>
        <w:t>así</w:t>
      </w:r>
      <w:r>
        <w:rPr>
          <w:spacing w:val="-6"/>
        </w:rPr>
        <w:t> </w:t>
      </w:r>
      <w:r>
        <w:rPr/>
        <w:t>como planificar y ejecutar los trabajos con el fin de obtener una seguridad razonable de que los estados financieros están libres de incorrecciones materiales. Una fiscalización requiere la aplicación de procedimientos para obtener evidencia de auditoría sobre los importes y la información revelada en las cuentas fiscalizadas. Los procedimientos seleccionados dependen del juicio del auditor, incluida la valoración de los riesgos de incorrección material en las cuentas anuales, debida a fraude o error. Al efectuar dichas valoraciones del riesgo, se ha tenido en cuenta el control interno, relevante para la formulación de las cuentas, con el fin de diseñar los procedimientos fiscalizadores que sean adecuados en función de las circunstancias. Una fiscalización también incluye la evaluación de la adecuación de las políticas contables aplicadas y de la razonabilidad de las estimaciones contables realizadas, así como la evaluación de la presentación de las cuentas anuales tomadas en su conjunto. En el ámbito de la fiscalización de cumplimiento, la revisión se limitó básicamente a la aplicación de procedimientos analíticos y actividades de indagación, por lo que nuestra conclusión proporciona solo una</w:t>
      </w:r>
      <w:r>
        <w:rPr>
          <w:spacing w:val="-6"/>
        </w:rPr>
        <w:t> </w:t>
      </w:r>
      <w:r>
        <w:rPr/>
        <w:t>seguridad</w:t>
      </w:r>
      <w:r>
        <w:rPr>
          <w:spacing w:val="-3"/>
        </w:rPr>
        <w:t> </w:t>
      </w:r>
      <w:r>
        <w:rPr/>
        <w:t>razonada,</w:t>
      </w:r>
      <w:r>
        <w:rPr>
          <w:spacing w:val="-7"/>
        </w:rPr>
        <w:t> </w:t>
      </w:r>
      <w:r>
        <w:rPr/>
        <w:t>acorde</w:t>
      </w:r>
      <w:r>
        <w:rPr>
          <w:spacing w:val="-5"/>
        </w:rPr>
        <w:t> </w:t>
      </w:r>
      <w:r>
        <w:rPr/>
        <w:t>con</w:t>
      </w:r>
      <w:r>
        <w:rPr>
          <w:spacing w:val="-4"/>
        </w:rPr>
        <w:t> </w:t>
      </w:r>
      <w:r>
        <w:rPr/>
        <w:t>el</w:t>
      </w:r>
      <w:r>
        <w:rPr>
          <w:spacing w:val="-5"/>
        </w:rPr>
        <w:t> </w:t>
      </w:r>
      <w:r>
        <w:rPr/>
        <w:t>trabajo</w:t>
      </w:r>
      <w:r>
        <w:rPr>
          <w:spacing w:val="-3"/>
        </w:rPr>
        <w:t> </w:t>
      </w:r>
      <w:r>
        <w:rPr/>
        <w:t>realizado.</w:t>
      </w:r>
      <w:r>
        <w:rPr>
          <w:spacing w:val="-5"/>
        </w:rPr>
        <w:t> </w:t>
      </w:r>
      <w:r>
        <w:rPr/>
        <w:t>Consideramos</w:t>
      </w:r>
      <w:r>
        <w:rPr>
          <w:spacing w:val="-5"/>
        </w:rPr>
        <w:t> </w:t>
      </w:r>
      <w:r>
        <w:rPr/>
        <w:t>que</w:t>
      </w:r>
      <w:r>
        <w:rPr>
          <w:spacing w:val="-3"/>
        </w:rPr>
        <w:t> </w:t>
      </w:r>
      <w:r>
        <w:rPr/>
        <w:t>la</w:t>
      </w:r>
      <w:r>
        <w:rPr>
          <w:spacing w:val="-5"/>
        </w:rPr>
        <w:t> </w:t>
      </w:r>
      <w:r>
        <w:rPr/>
        <w:t>evidencia de auditoría que hemos obtenido proporciona una base suficiente y adecuada para formular nuestra</w:t>
      </w:r>
      <w:r>
        <w:rPr>
          <w:spacing w:val="-2"/>
        </w:rPr>
        <w:t> </w:t>
      </w:r>
      <w:r>
        <w:rPr/>
        <w:t>declaración.</w:t>
      </w:r>
    </w:p>
    <w:p>
      <w:pPr>
        <w:pStyle w:val="BodyText"/>
        <w:spacing w:before="4"/>
        <w:rPr>
          <w:sz w:val="15"/>
        </w:rPr>
      </w:pPr>
    </w:p>
    <w:p>
      <w:pPr>
        <w:pStyle w:val="Heading1"/>
        <w:numPr>
          <w:ilvl w:val="2"/>
          <w:numId w:val="3"/>
        </w:numPr>
        <w:tabs>
          <w:tab w:pos="2691" w:val="left" w:leader="none"/>
        </w:tabs>
        <w:spacing w:line="240" w:lineRule="auto" w:before="1" w:after="0"/>
        <w:ind w:left="2690" w:right="0" w:hanging="605"/>
        <w:jc w:val="left"/>
      </w:pPr>
      <w:r>
        <w:rPr>
          <w:color w:val="53A1B9"/>
        </w:rPr>
        <w:t>Responsabilidad de la IGCAC en relación con la Cuenta General</w:t>
      </w:r>
      <w:r>
        <w:rPr>
          <w:color w:val="53A1B9"/>
          <w:spacing w:val="1"/>
        </w:rPr>
        <w:t> </w:t>
      </w:r>
      <w:r>
        <w:rPr>
          <w:color w:val="53A1B9"/>
        </w:rPr>
        <w:t>rendida.</w:t>
      </w:r>
    </w:p>
    <w:p>
      <w:pPr>
        <w:pStyle w:val="BodyText"/>
        <w:spacing w:before="7"/>
        <w:rPr>
          <w:b/>
          <w:sz w:val="16"/>
        </w:rPr>
      </w:pPr>
    </w:p>
    <w:p>
      <w:pPr>
        <w:pStyle w:val="BodyText"/>
        <w:spacing w:line="242" w:lineRule="auto" w:before="1"/>
        <w:ind w:left="2096" w:right="1142" w:firstLine="594"/>
        <w:jc w:val="both"/>
      </w:pPr>
      <w:r>
        <w:rPr/>
        <w:t>La</w:t>
      </w:r>
      <w:r>
        <w:rPr>
          <w:spacing w:val="-6"/>
        </w:rPr>
        <w:t> </w:t>
      </w:r>
      <w:r>
        <w:rPr/>
        <w:t>IGCAC</w:t>
      </w:r>
      <w:r>
        <w:rPr>
          <w:spacing w:val="-6"/>
        </w:rPr>
        <w:t> </w:t>
      </w:r>
      <w:r>
        <w:rPr/>
        <w:t>tiene</w:t>
      </w:r>
      <w:r>
        <w:rPr>
          <w:spacing w:val="-8"/>
        </w:rPr>
        <w:t> </w:t>
      </w:r>
      <w:r>
        <w:rPr/>
        <w:t>la</w:t>
      </w:r>
      <w:r>
        <w:rPr>
          <w:spacing w:val="-5"/>
        </w:rPr>
        <w:t> </w:t>
      </w:r>
      <w:r>
        <w:rPr/>
        <w:t>responsabilidad</w:t>
      </w:r>
      <w:r>
        <w:rPr>
          <w:spacing w:val="-8"/>
        </w:rPr>
        <w:t> </w:t>
      </w:r>
      <w:r>
        <w:rPr/>
        <w:t>de</w:t>
      </w:r>
      <w:r>
        <w:rPr>
          <w:spacing w:val="-7"/>
        </w:rPr>
        <w:t> </w:t>
      </w:r>
      <w:r>
        <w:rPr/>
        <w:t>elaborar</w:t>
      </w:r>
      <w:r>
        <w:rPr>
          <w:spacing w:val="-7"/>
        </w:rPr>
        <w:t> </w:t>
      </w:r>
      <w:r>
        <w:rPr/>
        <w:t>la</w:t>
      </w:r>
      <w:r>
        <w:rPr>
          <w:spacing w:val="-6"/>
        </w:rPr>
        <w:t> </w:t>
      </w:r>
      <w:r>
        <w:rPr/>
        <w:t>Cuenta</w:t>
      </w:r>
      <w:r>
        <w:rPr>
          <w:spacing w:val="-7"/>
        </w:rPr>
        <w:t> </w:t>
      </w:r>
      <w:r>
        <w:rPr/>
        <w:t>General</w:t>
      </w:r>
      <w:r>
        <w:rPr>
          <w:spacing w:val="-8"/>
        </w:rPr>
        <w:t> </w:t>
      </w:r>
      <w:r>
        <w:rPr/>
        <w:t>correspondiente al ejercicio 2022, de forma que exprese la imagen fiel del patrimonio, de la situación financiera, de la ejecución del presupuesto y de los resultados, de conformidad con el marco que se identifica en el documento de estructura, contenido y otros aspectos de interés que se acompaña dentro del apartado de presentación de la cuenta general, y del control interno que consideren necesario para permitir la preparación de cuentas libres de incorrección material, debida a fraude o error. Asimismo, será responsable de proporcionar aquella  información de  la que  tenga  conocimiento  y que sea </w:t>
      </w:r>
      <w:r>
        <w:rPr>
          <w:spacing w:val="15"/>
        </w:rPr>
        <w:t> </w:t>
      </w:r>
      <w:r>
        <w:rPr/>
        <w:t>relevante</w:t>
      </w:r>
    </w:p>
    <w:p>
      <w:pPr>
        <w:pStyle w:val="BodyText"/>
        <w:spacing w:before="10"/>
        <w:rPr>
          <w:sz w:val="11"/>
        </w:rPr>
      </w:pPr>
    </w:p>
    <w:p>
      <w:pPr>
        <w:pStyle w:val="BodyText"/>
        <w:spacing w:before="61"/>
        <w:ind w:left="7897"/>
        <w:jc w:val="center"/>
      </w:pPr>
      <w:r>
        <w:rPr/>
        <w:t>11</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33" name="image5.png"/>
                  <wp:cNvGraphicFramePr>
                    <a:graphicFrameLocks noChangeAspect="1"/>
                  </wp:cNvGraphicFramePr>
                  <a:graphic>
                    <a:graphicData uri="http://schemas.openxmlformats.org/drawingml/2006/picture">
                      <pic:pic>
                        <pic:nvPicPr>
                          <pic:cNvPr id="3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13/247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right="1139"/>
        <w:jc w:val="both"/>
      </w:pPr>
      <w:r>
        <w:rPr/>
        <w:t>para la preparación de los estados financieros. Las mencionadas cuentas anuales fueron elaboradas por la IGCAC y presentadas a esta Institución con fecha de 22 de junio de 2023, y deberá ser en los mismos términos remitida al Tribunal de Cuentas. Considerando la estructura y contenido de la Cuenta General y que las entidades integrantes del sector público, de acuerdo con el Art. 115 y 116 de la LHPC, rendirán a la Audiencia de Cuentas de Canarias y al Tribunal de Cuentas, por el conducto de la IGCAC, es de mención la responsabilidad que, en materia de información contable, asumen todos los cuentadantes de acuerdo con el Art. 121 de la citada</w:t>
      </w:r>
      <w:r>
        <w:rPr>
          <w:spacing w:val="9"/>
        </w:rPr>
        <w:t> </w:t>
      </w:r>
      <w:r>
        <w:rPr/>
        <w:t>Ley.</w:t>
      </w:r>
    </w:p>
    <w:p>
      <w:pPr>
        <w:pStyle w:val="BodyText"/>
        <w:spacing w:before="10"/>
        <w:rPr>
          <w:sz w:val="17"/>
        </w:rPr>
      </w:pPr>
    </w:p>
    <w:p>
      <w:pPr>
        <w:pStyle w:val="Heading1"/>
        <w:numPr>
          <w:ilvl w:val="1"/>
          <w:numId w:val="3"/>
        </w:numPr>
        <w:tabs>
          <w:tab w:pos="2579" w:val="left" w:leader="none"/>
          <w:tab w:pos="2580" w:val="left" w:leader="none"/>
        </w:tabs>
        <w:spacing w:line="240" w:lineRule="auto" w:before="0" w:after="0"/>
        <w:ind w:left="2579" w:right="0" w:hanging="484"/>
        <w:jc w:val="left"/>
      </w:pPr>
      <w:r>
        <w:rPr>
          <w:color w:val="53A1B9"/>
        </w:rPr>
        <w:t>Marco jurídico presupuestario y contable.</w:t>
      </w:r>
    </w:p>
    <w:p>
      <w:pPr>
        <w:pStyle w:val="BodyText"/>
        <w:spacing w:before="8"/>
        <w:rPr>
          <w:b/>
          <w:sz w:val="16"/>
        </w:rPr>
      </w:pPr>
    </w:p>
    <w:p>
      <w:pPr>
        <w:spacing w:before="0"/>
        <w:ind w:left="2096" w:right="0" w:firstLine="0"/>
        <w:jc w:val="both"/>
        <w:rPr>
          <w:i/>
          <w:sz w:val="20"/>
        </w:rPr>
      </w:pPr>
      <w:r>
        <w:rPr>
          <w:i/>
          <w:sz w:val="20"/>
        </w:rPr>
        <w:t>Normativa Estatal:</w:t>
      </w:r>
    </w:p>
    <w:p>
      <w:pPr>
        <w:pStyle w:val="BodyText"/>
        <w:spacing w:before="8"/>
        <w:rPr>
          <w:i/>
          <w:sz w:val="16"/>
        </w:rPr>
      </w:pPr>
    </w:p>
    <w:p>
      <w:pPr>
        <w:pStyle w:val="ListParagraph"/>
        <w:numPr>
          <w:ilvl w:val="0"/>
          <w:numId w:val="4"/>
        </w:numPr>
        <w:tabs>
          <w:tab w:pos="2700" w:val="left" w:leader="none"/>
          <w:tab w:pos="2701" w:val="left" w:leader="none"/>
        </w:tabs>
        <w:spacing w:line="240" w:lineRule="auto" w:before="0" w:after="0"/>
        <w:ind w:left="2700" w:right="1143" w:hanging="303"/>
        <w:jc w:val="left"/>
        <w:rPr>
          <w:sz w:val="20"/>
        </w:rPr>
      </w:pPr>
      <w:r>
        <w:rPr>
          <w:sz w:val="20"/>
        </w:rPr>
        <w:t>Ley Orgánica 2/2012, de 27 de abril, de estabilidad presupuestaria y sostenibilidad</w:t>
      </w:r>
      <w:r>
        <w:rPr>
          <w:spacing w:val="-1"/>
          <w:sz w:val="20"/>
        </w:rPr>
        <w:t> </w:t>
      </w:r>
      <w:r>
        <w:rPr>
          <w:sz w:val="20"/>
        </w:rPr>
        <w:t>financiera.</w:t>
      </w:r>
    </w:p>
    <w:p>
      <w:pPr>
        <w:pStyle w:val="ListParagraph"/>
        <w:numPr>
          <w:ilvl w:val="0"/>
          <w:numId w:val="4"/>
        </w:numPr>
        <w:tabs>
          <w:tab w:pos="2700" w:val="left" w:leader="none"/>
          <w:tab w:pos="2701" w:val="left" w:leader="none"/>
        </w:tabs>
        <w:spacing w:line="240" w:lineRule="auto" w:before="3" w:after="0"/>
        <w:ind w:left="2700" w:right="0" w:hanging="303"/>
        <w:jc w:val="left"/>
        <w:rPr>
          <w:sz w:val="20"/>
        </w:rPr>
      </w:pPr>
      <w:r>
        <w:rPr>
          <w:sz w:val="20"/>
        </w:rPr>
        <w:t>Ley 50/2002, de 26 de diciembre, de</w:t>
      </w:r>
      <w:r>
        <w:rPr>
          <w:spacing w:val="-2"/>
          <w:sz w:val="20"/>
        </w:rPr>
        <w:t> </w:t>
      </w:r>
      <w:r>
        <w:rPr>
          <w:sz w:val="20"/>
        </w:rPr>
        <w:t>Fundaciones.</w:t>
      </w:r>
    </w:p>
    <w:p>
      <w:pPr>
        <w:pStyle w:val="ListParagraph"/>
        <w:numPr>
          <w:ilvl w:val="0"/>
          <w:numId w:val="4"/>
        </w:numPr>
        <w:tabs>
          <w:tab w:pos="2700" w:val="left" w:leader="none"/>
          <w:tab w:pos="2701" w:val="left" w:leader="none"/>
        </w:tabs>
        <w:spacing w:line="240" w:lineRule="auto" w:before="2" w:after="0"/>
        <w:ind w:left="2700" w:right="0" w:hanging="303"/>
        <w:jc w:val="left"/>
        <w:rPr>
          <w:sz w:val="20"/>
        </w:rPr>
      </w:pPr>
      <w:r>
        <w:rPr>
          <w:sz w:val="20"/>
        </w:rPr>
        <w:t>Ley 38/2003, de 17 de noviembre, General de</w:t>
      </w:r>
      <w:r>
        <w:rPr>
          <w:spacing w:val="1"/>
          <w:sz w:val="20"/>
        </w:rPr>
        <w:t> </w:t>
      </w:r>
      <w:r>
        <w:rPr>
          <w:sz w:val="20"/>
        </w:rPr>
        <w:t>Subvenciones.</w:t>
      </w:r>
    </w:p>
    <w:p>
      <w:pPr>
        <w:pStyle w:val="ListParagraph"/>
        <w:numPr>
          <w:ilvl w:val="0"/>
          <w:numId w:val="4"/>
        </w:numPr>
        <w:tabs>
          <w:tab w:pos="2700" w:val="left" w:leader="none"/>
          <w:tab w:pos="2701" w:val="left" w:leader="none"/>
        </w:tabs>
        <w:spacing w:line="240" w:lineRule="auto" w:before="2" w:after="0"/>
        <w:ind w:left="2700" w:right="0" w:hanging="303"/>
        <w:jc w:val="left"/>
        <w:rPr>
          <w:sz w:val="20"/>
        </w:rPr>
      </w:pPr>
      <w:r>
        <w:rPr>
          <w:sz w:val="20"/>
        </w:rPr>
        <w:t>Ley 47/2003, de 26 de noviembre, General</w:t>
      </w:r>
      <w:r>
        <w:rPr>
          <w:spacing w:val="-1"/>
          <w:sz w:val="20"/>
        </w:rPr>
        <w:t> </w:t>
      </w:r>
      <w:r>
        <w:rPr>
          <w:sz w:val="20"/>
        </w:rPr>
        <w:t>Presupuestaria.</w:t>
      </w:r>
    </w:p>
    <w:p>
      <w:pPr>
        <w:pStyle w:val="ListParagraph"/>
        <w:numPr>
          <w:ilvl w:val="0"/>
          <w:numId w:val="4"/>
        </w:numPr>
        <w:tabs>
          <w:tab w:pos="2701" w:val="left" w:leader="none"/>
        </w:tabs>
        <w:spacing w:line="240" w:lineRule="auto" w:before="2" w:after="0"/>
        <w:ind w:left="2700" w:right="1144" w:hanging="303"/>
        <w:jc w:val="both"/>
        <w:rPr>
          <w:sz w:val="20"/>
        </w:rPr>
      </w:pPr>
      <w:r>
        <w:rPr>
          <w:sz w:val="20"/>
        </w:rPr>
        <w:t>Ley 22/2009, de 18 de diciembre, por la que se regula el sistema de financiación de las Comunidad Autónomas y Ciudades con Estatuto de Autonomía y se modifican determinadas normas</w:t>
      </w:r>
      <w:r>
        <w:rPr>
          <w:spacing w:val="-3"/>
          <w:sz w:val="20"/>
        </w:rPr>
        <w:t> </w:t>
      </w:r>
      <w:r>
        <w:rPr>
          <w:sz w:val="20"/>
        </w:rPr>
        <w:t>tributarias.</w:t>
      </w:r>
    </w:p>
    <w:p>
      <w:pPr>
        <w:pStyle w:val="ListParagraph"/>
        <w:numPr>
          <w:ilvl w:val="0"/>
          <w:numId w:val="4"/>
        </w:numPr>
        <w:tabs>
          <w:tab w:pos="2701" w:val="left" w:leader="none"/>
        </w:tabs>
        <w:spacing w:line="240" w:lineRule="auto" w:before="5" w:after="0"/>
        <w:ind w:left="2700" w:right="0" w:hanging="303"/>
        <w:jc w:val="both"/>
        <w:rPr>
          <w:sz w:val="20"/>
        </w:rPr>
      </w:pPr>
      <w:r>
        <w:rPr>
          <w:sz w:val="20"/>
        </w:rPr>
        <w:t>Ley 9/2017, de 8 de noviembre, de Contratos del Sector</w:t>
      </w:r>
      <w:r>
        <w:rPr>
          <w:spacing w:val="-5"/>
          <w:sz w:val="20"/>
        </w:rPr>
        <w:t> </w:t>
      </w:r>
      <w:r>
        <w:rPr>
          <w:sz w:val="20"/>
        </w:rPr>
        <w:t>Público.</w:t>
      </w:r>
    </w:p>
    <w:p>
      <w:pPr>
        <w:pStyle w:val="ListParagraph"/>
        <w:numPr>
          <w:ilvl w:val="0"/>
          <w:numId w:val="4"/>
        </w:numPr>
        <w:tabs>
          <w:tab w:pos="2700" w:val="left" w:leader="none"/>
          <w:tab w:pos="2701" w:val="left" w:leader="none"/>
        </w:tabs>
        <w:spacing w:line="242" w:lineRule="auto" w:before="1" w:after="0"/>
        <w:ind w:left="2700" w:right="1143" w:hanging="303"/>
        <w:jc w:val="left"/>
        <w:rPr>
          <w:sz w:val="20"/>
        </w:rPr>
      </w:pPr>
      <w:r>
        <w:rPr>
          <w:sz w:val="20"/>
        </w:rPr>
        <w:t>Ley 22/2021, de 28 de diciembre, de Presupuestos Generales del Estado para 2022.</w:t>
      </w:r>
    </w:p>
    <w:p>
      <w:pPr>
        <w:pStyle w:val="ListParagraph"/>
        <w:numPr>
          <w:ilvl w:val="0"/>
          <w:numId w:val="4"/>
        </w:numPr>
        <w:tabs>
          <w:tab w:pos="2700" w:val="left" w:leader="none"/>
          <w:tab w:pos="2701" w:val="left" w:leader="none"/>
        </w:tabs>
        <w:spacing w:line="244" w:lineRule="auto" w:before="0" w:after="0"/>
        <w:ind w:left="2700" w:right="1142" w:hanging="303"/>
        <w:jc w:val="left"/>
        <w:rPr>
          <w:sz w:val="20"/>
        </w:rPr>
      </w:pPr>
      <w:r>
        <w:rPr>
          <w:sz w:val="20"/>
        </w:rPr>
        <w:t>Real Decreto 1098/2001, de 12 de octubre, por el que se aprueba el</w:t>
      </w:r>
      <w:r>
        <w:rPr>
          <w:spacing w:val="-30"/>
          <w:sz w:val="20"/>
        </w:rPr>
        <w:t> </w:t>
      </w:r>
      <w:r>
        <w:rPr>
          <w:sz w:val="20"/>
        </w:rPr>
        <w:t>Reglamento general de la Ley de Contratos de las Administraciones</w:t>
      </w:r>
      <w:r>
        <w:rPr>
          <w:spacing w:val="1"/>
          <w:sz w:val="20"/>
        </w:rPr>
        <w:t> </w:t>
      </w:r>
      <w:r>
        <w:rPr>
          <w:sz w:val="20"/>
        </w:rPr>
        <w:t>Públicas.</w:t>
      </w:r>
    </w:p>
    <w:p>
      <w:pPr>
        <w:pStyle w:val="ListParagraph"/>
        <w:numPr>
          <w:ilvl w:val="0"/>
          <w:numId w:val="4"/>
        </w:numPr>
        <w:tabs>
          <w:tab w:pos="2700" w:val="left" w:leader="none"/>
          <w:tab w:pos="2701" w:val="left" w:leader="none"/>
        </w:tabs>
        <w:spacing w:line="242" w:lineRule="auto" w:before="0" w:after="0"/>
        <w:ind w:left="2700" w:right="1145" w:hanging="303"/>
        <w:jc w:val="left"/>
        <w:rPr>
          <w:sz w:val="20"/>
        </w:rPr>
      </w:pPr>
      <w:r>
        <w:rPr>
          <w:sz w:val="20"/>
        </w:rPr>
        <w:t>Real Decreto 887/2006, de 21 de julio, por el que se aprueba el Reglamento de la Ley 38/2003, de 17 de noviembre, General de</w:t>
      </w:r>
      <w:r>
        <w:rPr>
          <w:spacing w:val="1"/>
          <w:sz w:val="20"/>
        </w:rPr>
        <w:t> </w:t>
      </w:r>
      <w:r>
        <w:rPr>
          <w:sz w:val="20"/>
        </w:rPr>
        <w:t>Subvenciones.</w:t>
      </w:r>
    </w:p>
    <w:p>
      <w:pPr>
        <w:pStyle w:val="ListParagraph"/>
        <w:numPr>
          <w:ilvl w:val="0"/>
          <w:numId w:val="4"/>
        </w:numPr>
        <w:tabs>
          <w:tab w:pos="2701" w:val="left" w:leader="none"/>
        </w:tabs>
        <w:spacing w:line="240" w:lineRule="auto" w:before="0" w:after="0"/>
        <w:ind w:left="2700" w:right="1142" w:hanging="303"/>
        <w:jc w:val="both"/>
        <w:rPr>
          <w:sz w:val="20"/>
        </w:rPr>
      </w:pPr>
      <w:r>
        <w:rPr>
          <w:sz w:val="20"/>
        </w:rPr>
        <w:t>Real Decreto 1514/2007, de 16 de noviembre, por el que se aprueba el Plan General de</w:t>
      </w:r>
      <w:r>
        <w:rPr>
          <w:spacing w:val="-2"/>
          <w:sz w:val="20"/>
        </w:rPr>
        <w:t> </w:t>
      </w:r>
      <w:r>
        <w:rPr>
          <w:sz w:val="20"/>
        </w:rPr>
        <w:t>Contabilidad.</w:t>
      </w:r>
    </w:p>
    <w:p>
      <w:pPr>
        <w:pStyle w:val="ListParagraph"/>
        <w:numPr>
          <w:ilvl w:val="0"/>
          <w:numId w:val="4"/>
        </w:numPr>
        <w:tabs>
          <w:tab w:pos="2701" w:val="left" w:leader="none"/>
        </w:tabs>
        <w:spacing w:line="240" w:lineRule="auto" w:before="0" w:after="0"/>
        <w:ind w:left="2700" w:right="1139" w:hanging="303"/>
        <w:jc w:val="both"/>
        <w:rPr>
          <w:sz w:val="20"/>
        </w:rPr>
      </w:pPr>
      <w:r>
        <w:rPr>
          <w:sz w:val="20"/>
        </w:rPr>
        <w:t>Real Decreto 1515/2007, de 16 de noviembre, por el que se aprueba el Plan General de Contabilidad de Pequeñas y Medianas Empresas y los criterios contables específicos para</w:t>
      </w:r>
      <w:r>
        <w:rPr>
          <w:spacing w:val="1"/>
          <w:sz w:val="20"/>
        </w:rPr>
        <w:t> </w:t>
      </w:r>
      <w:r>
        <w:rPr>
          <w:sz w:val="20"/>
        </w:rPr>
        <w:t>microempresas.</w:t>
      </w:r>
    </w:p>
    <w:p>
      <w:pPr>
        <w:pStyle w:val="ListParagraph"/>
        <w:numPr>
          <w:ilvl w:val="0"/>
          <w:numId w:val="4"/>
        </w:numPr>
        <w:tabs>
          <w:tab w:pos="2701" w:val="left" w:leader="none"/>
        </w:tabs>
        <w:spacing w:line="240" w:lineRule="auto" w:before="2" w:after="0"/>
        <w:ind w:left="2700" w:right="1144" w:hanging="303"/>
        <w:jc w:val="both"/>
        <w:rPr>
          <w:sz w:val="20"/>
        </w:rPr>
      </w:pPr>
      <w:r>
        <w:rPr>
          <w:sz w:val="20"/>
        </w:rPr>
        <w:t>Real Decreto legislativo 1/2010, de 2 de julio, por el que se aprueba el Texto Refundido de la Ley de Sociedades de</w:t>
      </w:r>
      <w:r>
        <w:rPr>
          <w:spacing w:val="2"/>
          <w:sz w:val="20"/>
        </w:rPr>
        <w:t> </w:t>
      </w:r>
      <w:r>
        <w:rPr>
          <w:sz w:val="20"/>
        </w:rPr>
        <w:t>Capital.</w:t>
      </w:r>
    </w:p>
    <w:p>
      <w:pPr>
        <w:pStyle w:val="ListParagraph"/>
        <w:numPr>
          <w:ilvl w:val="0"/>
          <w:numId w:val="4"/>
        </w:numPr>
        <w:tabs>
          <w:tab w:pos="2701" w:val="left" w:leader="none"/>
        </w:tabs>
        <w:spacing w:line="240" w:lineRule="auto" w:before="4" w:after="0"/>
        <w:ind w:left="2700" w:right="1142" w:hanging="303"/>
        <w:jc w:val="both"/>
        <w:rPr>
          <w:sz w:val="20"/>
        </w:rPr>
      </w:pPr>
      <w:r>
        <w:rPr>
          <w:sz w:val="20"/>
        </w:rPr>
        <w:t>Real Decreto 1491/2011, de 24 de octubre, por el que se aprueban las normas de adaptación del Plan General de Contabilidad a las entidades sin fines lucrativos y el modelo de plan de actuación de las entidades sin fines</w:t>
      </w:r>
      <w:r>
        <w:rPr>
          <w:spacing w:val="22"/>
          <w:sz w:val="20"/>
        </w:rPr>
        <w:t> </w:t>
      </w:r>
      <w:r>
        <w:rPr>
          <w:sz w:val="20"/>
        </w:rPr>
        <w:t>lucrativos.</w:t>
      </w:r>
    </w:p>
    <w:p>
      <w:pPr>
        <w:pStyle w:val="ListParagraph"/>
        <w:numPr>
          <w:ilvl w:val="0"/>
          <w:numId w:val="4"/>
        </w:numPr>
        <w:tabs>
          <w:tab w:pos="2701" w:val="left" w:leader="none"/>
        </w:tabs>
        <w:spacing w:line="244" w:lineRule="auto" w:before="5" w:after="0"/>
        <w:ind w:left="2700" w:right="1143" w:hanging="303"/>
        <w:jc w:val="both"/>
        <w:rPr>
          <w:sz w:val="20"/>
        </w:rPr>
      </w:pPr>
      <w:r>
        <w:rPr>
          <w:sz w:val="20"/>
        </w:rPr>
        <w:t>Real Decreto 602/2016, de 2 de diciembre, por el que se modifican el Plan General</w:t>
      </w:r>
      <w:r>
        <w:rPr>
          <w:spacing w:val="33"/>
          <w:sz w:val="20"/>
        </w:rPr>
        <w:t> </w:t>
      </w:r>
      <w:r>
        <w:rPr>
          <w:sz w:val="20"/>
        </w:rPr>
        <w:t>de</w:t>
      </w:r>
      <w:r>
        <w:rPr>
          <w:spacing w:val="35"/>
          <w:sz w:val="20"/>
        </w:rPr>
        <w:t> </w:t>
      </w:r>
      <w:r>
        <w:rPr>
          <w:sz w:val="20"/>
        </w:rPr>
        <w:t>Contabilidad</w:t>
      </w:r>
      <w:r>
        <w:rPr>
          <w:spacing w:val="35"/>
          <w:sz w:val="20"/>
        </w:rPr>
        <w:t> </w:t>
      </w:r>
      <w:r>
        <w:rPr>
          <w:sz w:val="20"/>
        </w:rPr>
        <w:t>aprobado</w:t>
      </w:r>
      <w:r>
        <w:rPr>
          <w:spacing w:val="35"/>
          <w:sz w:val="20"/>
        </w:rPr>
        <w:t> </w:t>
      </w:r>
      <w:r>
        <w:rPr>
          <w:sz w:val="20"/>
        </w:rPr>
        <w:t>por</w:t>
      </w:r>
      <w:r>
        <w:rPr>
          <w:spacing w:val="35"/>
          <w:sz w:val="20"/>
        </w:rPr>
        <w:t> </w:t>
      </w:r>
      <w:r>
        <w:rPr>
          <w:sz w:val="20"/>
        </w:rPr>
        <w:t>el</w:t>
      </w:r>
      <w:r>
        <w:rPr>
          <w:spacing w:val="34"/>
          <w:sz w:val="20"/>
        </w:rPr>
        <w:t> </w:t>
      </w:r>
      <w:r>
        <w:rPr>
          <w:sz w:val="20"/>
        </w:rPr>
        <w:t>Real</w:t>
      </w:r>
      <w:r>
        <w:rPr>
          <w:spacing w:val="32"/>
          <w:sz w:val="20"/>
        </w:rPr>
        <w:t> </w:t>
      </w:r>
      <w:r>
        <w:rPr>
          <w:sz w:val="20"/>
        </w:rPr>
        <w:t>Decreto</w:t>
      </w:r>
      <w:r>
        <w:rPr>
          <w:spacing w:val="35"/>
          <w:sz w:val="20"/>
        </w:rPr>
        <w:t> </w:t>
      </w:r>
      <w:r>
        <w:rPr>
          <w:sz w:val="20"/>
        </w:rPr>
        <w:t>1514/2007,</w:t>
      </w:r>
      <w:r>
        <w:rPr>
          <w:spacing w:val="34"/>
          <w:sz w:val="20"/>
        </w:rPr>
        <w:t> </w:t>
      </w:r>
      <w:r>
        <w:rPr>
          <w:sz w:val="20"/>
        </w:rPr>
        <w:t>de</w:t>
      </w:r>
      <w:r>
        <w:rPr>
          <w:spacing w:val="33"/>
          <w:sz w:val="20"/>
        </w:rPr>
        <w:t> </w:t>
      </w:r>
      <w:r>
        <w:rPr>
          <w:sz w:val="20"/>
        </w:rPr>
        <w:t>16</w:t>
      </w:r>
      <w:r>
        <w:rPr>
          <w:spacing w:val="37"/>
          <w:sz w:val="20"/>
        </w:rPr>
        <w:t> </w:t>
      </w:r>
      <w:r>
        <w:rPr>
          <w:sz w:val="20"/>
        </w:rPr>
        <w:t>de</w:t>
      </w:r>
    </w:p>
    <w:p>
      <w:pPr>
        <w:pStyle w:val="BodyText"/>
        <w:spacing w:before="2"/>
        <w:rPr>
          <w:sz w:val="8"/>
        </w:rPr>
      </w:pPr>
    </w:p>
    <w:p>
      <w:pPr>
        <w:pStyle w:val="BodyText"/>
        <w:spacing w:before="61"/>
        <w:ind w:left="7897"/>
        <w:jc w:val="center"/>
      </w:pPr>
      <w:r>
        <w:rPr/>
        <w:t>12</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35" name="image5.png"/>
                  <wp:cNvGraphicFramePr>
                    <a:graphicFrameLocks noChangeAspect="1"/>
                  </wp:cNvGraphicFramePr>
                  <a:graphic>
                    <a:graphicData uri="http://schemas.openxmlformats.org/drawingml/2006/picture">
                      <pic:pic>
                        <pic:nvPicPr>
                          <pic:cNvPr id="3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14/247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700" w:right="1138"/>
        <w:jc w:val="both"/>
      </w:pPr>
      <w:r>
        <w:rPr/>
        <w:t>noviembre; el Plan General de Contabilidad de Pequeñas y Medianas Empresas aprobado por el Real Decreto 1515/2007, de 16 de noviembre; las Normas para la Formulación de Cuentas Anuales Consolidadas aprobadas por el Real Decreto 1159/2010, de 17 de septiembre; y las Normas de Adaptación del Plan General de</w:t>
      </w:r>
      <w:r>
        <w:rPr>
          <w:spacing w:val="-5"/>
        </w:rPr>
        <w:t> </w:t>
      </w:r>
      <w:r>
        <w:rPr/>
        <w:t>Contabilidad</w:t>
      </w:r>
      <w:r>
        <w:rPr>
          <w:spacing w:val="-5"/>
        </w:rPr>
        <w:t> </w:t>
      </w:r>
      <w:r>
        <w:rPr/>
        <w:t>a</w:t>
      </w:r>
      <w:r>
        <w:rPr>
          <w:spacing w:val="-5"/>
        </w:rPr>
        <w:t> </w:t>
      </w:r>
      <w:r>
        <w:rPr/>
        <w:t>las</w:t>
      </w:r>
      <w:r>
        <w:rPr>
          <w:spacing w:val="-7"/>
        </w:rPr>
        <w:t> </w:t>
      </w:r>
      <w:r>
        <w:rPr/>
        <w:t>entidades</w:t>
      </w:r>
      <w:r>
        <w:rPr>
          <w:spacing w:val="-5"/>
        </w:rPr>
        <w:t> </w:t>
      </w:r>
      <w:r>
        <w:rPr/>
        <w:t>sin</w:t>
      </w:r>
      <w:r>
        <w:rPr>
          <w:spacing w:val="-8"/>
        </w:rPr>
        <w:t> </w:t>
      </w:r>
      <w:r>
        <w:rPr/>
        <w:t>fines</w:t>
      </w:r>
      <w:r>
        <w:rPr>
          <w:spacing w:val="-5"/>
        </w:rPr>
        <w:t> </w:t>
      </w:r>
      <w:r>
        <w:rPr/>
        <w:t>lucrativos</w:t>
      </w:r>
      <w:r>
        <w:rPr>
          <w:spacing w:val="-9"/>
        </w:rPr>
        <w:t> </w:t>
      </w:r>
      <w:r>
        <w:rPr/>
        <w:t>aprobadas</w:t>
      </w:r>
      <w:r>
        <w:rPr>
          <w:spacing w:val="-7"/>
        </w:rPr>
        <w:t> </w:t>
      </w:r>
      <w:r>
        <w:rPr/>
        <w:t>por</w:t>
      </w:r>
      <w:r>
        <w:rPr>
          <w:spacing w:val="-7"/>
        </w:rPr>
        <w:t> </w:t>
      </w:r>
      <w:r>
        <w:rPr/>
        <w:t>el</w:t>
      </w:r>
      <w:r>
        <w:rPr>
          <w:spacing w:val="-5"/>
        </w:rPr>
        <w:t> </w:t>
      </w:r>
      <w:r>
        <w:rPr/>
        <w:t>Real</w:t>
      </w:r>
      <w:r>
        <w:rPr>
          <w:spacing w:val="-7"/>
        </w:rPr>
        <w:t> </w:t>
      </w:r>
      <w:r>
        <w:rPr/>
        <w:t>Decreto 1491/2011, de 24 de</w:t>
      </w:r>
      <w:r>
        <w:rPr>
          <w:spacing w:val="-3"/>
        </w:rPr>
        <w:t> </w:t>
      </w:r>
      <w:r>
        <w:rPr/>
        <w:t>octubre.</w:t>
      </w:r>
    </w:p>
    <w:p>
      <w:pPr>
        <w:pStyle w:val="ListParagraph"/>
        <w:numPr>
          <w:ilvl w:val="0"/>
          <w:numId w:val="4"/>
        </w:numPr>
        <w:tabs>
          <w:tab w:pos="2701" w:val="left" w:leader="none"/>
        </w:tabs>
        <w:spacing w:line="240" w:lineRule="auto" w:before="10" w:after="0"/>
        <w:ind w:left="2700" w:right="1142" w:hanging="303"/>
        <w:jc w:val="both"/>
        <w:rPr>
          <w:sz w:val="20"/>
        </w:rPr>
      </w:pPr>
      <w:r>
        <w:rPr>
          <w:sz w:val="20"/>
        </w:rPr>
        <w:t>Orden EHA/1037/2010, de 13 de abril, del Ministerio de Economía y Hacienda, por la que se aprueba el Plan General de Contabilidad</w:t>
      </w:r>
      <w:r>
        <w:rPr>
          <w:spacing w:val="3"/>
          <w:sz w:val="20"/>
        </w:rPr>
        <w:t> </w:t>
      </w:r>
      <w:r>
        <w:rPr>
          <w:sz w:val="20"/>
        </w:rPr>
        <w:t>Pública.</w:t>
      </w:r>
    </w:p>
    <w:p>
      <w:pPr>
        <w:pStyle w:val="ListParagraph"/>
        <w:numPr>
          <w:ilvl w:val="0"/>
          <w:numId w:val="4"/>
        </w:numPr>
        <w:tabs>
          <w:tab w:pos="2701" w:val="left" w:leader="none"/>
        </w:tabs>
        <w:spacing w:line="242" w:lineRule="auto" w:before="6" w:after="0"/>
        <w:ind w:left="2700" w:right="1140" w:hanging="303"/>
        <w:jc w:val="both"/>
        <w:rPr>
          <w:sz w:val="20"/>
        </w:rPr>
      </w:pPr>
      <w:r>
        <w:rPr>
          <w:sz w:val="20"/>
        </w:rPr>
        <w:t>Resolución de 1 de julio de 2011 de la Intervención General de la Administración del Estado, que aprueba las normas contables para los Fondos carentes de personalidad jurídica referidos en el Art. 2.2 de la Ley General Presupuestaria y al registro de las operaciones de tales fondos en las entidades aportantes del sector</w:t>
      </w:r>
      <w:r>
        <w:rPr>
          <w:spacing w:val="-1"/>
          <w:sz w:val="20"/>
        </w:rPr>
        <w:t> </w:t>
      </w:r>
      <w:r>
        <w:rPr>
          <w:sz w:val="20"/>
        </w:rPr>
        <w:t>público.</w:t>
      </w:r>
    </w:p>
    <w:p>
      <w:pPr>
        <w:pStyle w:val="ListParagraph"/>
        <w:numPr>
          <w:ilvl w:val="0"/>
          <w:numId w:val="4"/>
        </w:numPr>
        <w:tabs>
          <w:tab w:pos="2701" w:val="left" w:leader="none"/>
        </w:tabs>
        <w:spacing w:line="242" w:lineRule="auto" w:before="0" w:after="0"/>
        <w:ind w:left="2700" w:right="1137" w:hanging="303"/>
        <w:jc w:val="both"/>
        <w:rPr>
          <w:sz w:val="20"/>
        </w:rPr>
      </w:pPr>
      <w:r>
        <w:rPr>
          <w:sz w:val="20"/>
        </w:rPr>
        <w:t>Resolución de 28 de julio de 2011, de la Intervención General de la Administración del Estado, por la que se aprueba la adaptación del Plan General de</w:t>
      </w:r>
      <w:r>
        <w:rPr>
          <w:spacing w:val="-6"/>
          <w:sz w:val="20"/>
        </w:rPr>
        <w:t> </w:t>
      </w:r>
      <w:r>
        <w:rPr>
          <w:sz w:val="20"/>
        </w:rPr>
        <w:t>Contabilidad</w:t>
      </w:r>
      <w:r>
        <w:rPr>
          <w:spacing w:val="-7"/>
          <w:sz w:val="20"/>
        </w:rPr>
        <w:t> </w:t>
      </w:r>
      <w:r>
        <w:rPr>
          <w:sz w:val="20"/>
        </w:rPr>
        <w:t>Pública</w:t>
      </w:r>
      <w:r>
        <w:rPr>
          <w:spacing w:val="-6"/>
          <w:sz w:val="20"/>
        </w:rPr>
        <w:t> </w:t>
      </w:r>
      <w:r>
        <w:rPr>
          <w:sz w:val="20"/>
        </w:rPr>
        <w:t>para</w:t>
      </w:r>
      <w:r>
        <w:rPr>
          <w:spacing w:val="-5"/>
          <w:sz w:val="20"/>
        </w:rPr>
        <w:t> </w:t>
      </w:r>
      <w:r>
        <w:rPr>
          <w:sz w:val="20"/>
        </w:rPr>
        <w:t>los</w:t>
      </w:r>
      <w:r>
        <w:rPr>
          <w:spacing w:val="-8"/>
          <w:sz w:val="20"/>
        </w:rPr>
        <w:t> </w:t>
      </w:r>
      <w:r>
        <w:rPr>
          <w:sz w:val="20"/>
        </w:rPr>
        <w:t>Entes</w:t>
      </w:r>
      <w:r>
        <w:rPr>
          <w:spacing w:val="-6"/>
          <w:sz w:val="20"/>
        </w:rPr>
        <w:t> </w:t>
      </w:r>
      <w:r>
        <w:rPr>
          <w:sz w:val="20"/>
        </w:rPr>
        <w:t>Públicos</w:t>
      </w:r>
      <w:r>
        <w:rPr>
          <w:spacing w:val="-5"/>
          <w:sz w:val="20"/>
        </w:rPr>
        <w:t> </w:t>
      </w:r>
      <w:r>
        <w:rPr>
          <w:sz w:val="20"/>
        </w:rPr>
        <w:t>cuyo</w:t>
      </w:r>
      <w:r>
        <w:rPr>
          <w:spacing w:val="-6"/>
          <w:sz w:val="20"/>
        </w:rPr>
        <w:t> </w:t>
      </w:r>
      <w:r>
        <w:rPr>
          <w:sz w:val="20"/>
        </w:rPr>
        <w:t>presupuesto</w:t>
      </w:r>
      <w:r>
        <w:rPr>
          <w:spacing w:val="-7"/>
          <w:sz w:val="20"/>
        </w:rPr>
        <w:t> </w:t>
      </w:r>
      <w:r>
        <w:rPr>
          <w:sz w:val="20"/>
        </w:rPr>
        <w:t>de</w:t>
      </w:r>
      <w:r>
        <w:rPr>
          <w:spacing w:val="-6"/>
          <w:sz w:val="20"/>
        </w:rPr>
        <w:t> </w:t>
      </w:r>
      <w:r>
        <w:rPr>
          <w:sz w:val="20"/>
        </w:rPr>
        <w:t>gastos</w:t>
      </w:r>
      <w:r>
        <w:rPr>
          <w:spacing w:val="-7"/>
          <w:sz w:val="20"/>
        </w:rPr>
        <w:t> </w:t>
      </w:r>
      <w:r>
        <w:rPr>
          <w:sz w:val="20"/>
        </w:rPr>
        <w:t>tiene carácter</w:t>
      </w:r>
      <w:r>
        <w:rPr>
          <w:spacing w:val="1"/>
          <w:sz w:val="20"/>
        </w:rPr>
        <w:t> </w:t>
      </w:r>
      <w:r>
        <w:rPr>
          <w:sz w:val="20"/>
        </w:rPr>
        <w:t>estimativo.</w:t>
      </w:r>
    </w:p>
    <w:p>
      <w:pPr>
        <w:pStyle w:val="BodyText"/>
        <w:rPr>
          <w:sz w:val="16"/>
        </w:rPr>
      </w:pPr>
    </w:p>
    <w:p>
      <w:pPr>
        <w:spacing w:before="0"/>
        <w:ind w:left="2142" w:right="0" w:firstLine="0"/>
        <w:jc w:val="left"/>
        <w:rPr>
          <w:i/>
          <w:sz w:val="20"/>
        </w:rPr>
      </w:pPr>
      <w:r>
        <w:rPr>
          <w:i/>
          <w:sz w:val="20"/>
        </w:rPr>
        <w:t>Normativa Autonómica:</w:t>
      </w:r>
    </w:p>
    <w:p>
      <w:pPr>
        <w:pStyle w:val="BodyText"/>
        <w:spacing w:before="8"/>
        <w:rPr>
          <w:i/>
          <w:sz w:val="16"/>
        </w:rPr>
      </w:pPr>
    </w:p>
    <w:p>
      <w:pPr>
        <w:pStyle w:val="ListParagraph"/>
        <w:numPr>
          <w:ilvl w:val="0"/>
          <w:numId w:val="4"/>
        </w:numPr>
        <w:tabs>
          <w:tab w:pos="2700" w:val="left" w:leader="none"/>
          <w:tab w:pos="2701" w:val="left" w:leader="none"/>
        </w:tabs>
        <w:spacing w:line="240" w:lineRule="auto" w:before="0" w:after="0"/>
        <w:ind w:left="2700" w:right="0" w:hanging="303"/>
        <w:jc w:val="left"/>
        <w:rPr>
          <w:sz w:val="20"/>
        </w:rPr>
      </w:pPr>
      <w:r>
        <w:rPr>
          <w:sz w:val="20"/>
        </w:rPr>
        <w:t>Ley 2/1998, de 6 de abril, de Fundaciones</w:t>
      </w:r>
      <w:r>
        <w:rPr>
          <w:spacing w:val="-2"/>
          <w:sz w:val="20"/>
        </w:rPr>
        <w:t> </w:t>
      </w:r>
      <w:r>
        <w:rPr>
          <w:sz w:val="20"/>
        </w:rPr>
        <w:t>Canarias.</w:t>
      </w:r>
    </w:p>
    <w:p>
      <w:pPr>
        <w:pStyle w:val="ListParagraph"/>
        <w:numPr>
          <w:ilvl w:val="0"/>
          <w:numId w:val="4"/>
        </w:numPr>
        <w:tabs>
          <w:tab w:pos="2700" w:val="left" w:leader="none"/>
          <w:tab w:pos="2701" w:val="left" w:leader="none"/>
        </w:tabs>
        <w:spacing w:line="240" w:lineRule="auto" w:before="1" w:after="0"/>
        <w:ind w:left="2700" w:right="1145" w:hanging="303"/>
        <w:jc w:val="left"/>
        <w:rPr>
          <w:sz w:val="20"/>
        </w:rPr>
      </w:pPr>
      <w:r>
        <w:rPr>
          <w:sz w:val="20"/>
        </w:rPr>
        <w:t>Ley 9/2003, de 3 de abril, de Medidas Tributarias y de Financiación de las Haciendas Territoriales de</w:t>
      </w:r>
      <w:r>
        <w:rPr>
          <w:spacing w:val="1"/>
          <w:sz w:val="20"/>
        </w:rPr>
        <w:t> </w:t>
      </w:r>
      <w:r>
        <w:rPr>
          <w:sz w:val="20"/>
        </w:rPr>
        <w:t>Canarias.</w:t>
      </w:r>
    </w:p>
    <w:p>
      <w:pPr>
        <w:pStyle w:val="ListParagraph"/>
        <w:numPr>
          <w:ilvl w:val="0"/>
          <w:numId w:val="4"/>
        </w:numPr>
        <w:tabs>
          <w:tab w:pos="2700" w:val="left" w:leader="none"/>
          <w:tab w:pos="2701" w:val="left" w:leader="none"/>
        </w:tabs>
        <w:spacing w:line="240" w:lineRule="auto" w:before="4" w:after="0"/>
        <w:ind w:left="2700" w:right="0" w:hanging="303"/>
        <w:jc w:val="left"/>
        <w:rPr>
          <w:sz w:val="20"/>
        </w:rPr>
      </w:pPr>
      <w:r>
        <w:rPr>
          <w:sz w:val="20"/>
        </w:rPr>
        <w:t>Ley 11/2006, de 11 de diciembre, de la Hacienda Pública Canaria.</w:t>
      </w:r>
    </w:p>
    <w:p>
      <w:pPr>
        <w:pStyle w:val="ListParagraph"/>
        <w:numPr>
          <w:ilvl w:val="0"/>
          <w:numId w:val="4"/>
        </w:numPr>
        <w:tabs>
          <w:tab w:pos="2701" w:val="left" w:leader="none"/>
        </w:tabs>
        <w:spacing w:line="240" w:lineRule="auto" w:before="4" w:after="0"/>
        <w:ind w:left="2700" w:right="1142" w:hanging="303"/>
        <w:jc w:val="both"/>
        <w:rPr>
          <w:sz w:val="20"/>
        </w:rPr>
      </w:pPr>
      <w:r>
        <w:rPr>
          <w:sz w:val="20"/>
        </w:rPr>
        <w:t>Ley 4/2021, de 2 de agosto, para la agilización administrativa y la planificación, gestión y control de los fondos procedentes del instrumento europeo de recuperación denominado «Next Generation EU», en el ámbito de la</w:t>
      </w:r>
      <w:r>
        <w:rPr>
          <w:spacing w:val="13"/>
          <w:sz w:val="20"/>
        </w:rPr>
        <w:t> </w:t>
      </w:r>
      <w:r>
        <w:rPr>
          <w:sz w:val="20"/>
        </w:rPr>
        <w:t>CAC.</w:t>
      </w:r>
    </w:p>
    <w:p>
      <w:pPr>
        <w:pStyle w:val="ListParagraph"/>
        <w:numPr>
          <w:ilvl w:val="0"/>
          <w:numId w:val="4"/>
        </w:numPr>
        <w:tabs>
          <w:tab w:pos="2701" w:val="left" w:leader="none"/>
        </w:tabs>
        <w:spacing w:line="240" w:lineRule="auto" w:before="5" w:after="0"/>
        <w:ind w:left="2700" w:right="0" w:hanging="303"/>
        <w:jc w:val="both"/>
        <w:rPr>
          <w:sz w:val="20"/>
        </w:rPr>
      </w:pPr>
      <w:r>
        <w:rPr>
          <w:sz w:val="20"/>
        </w:rPr>
        <w:t>Ley 6/2021, de 28 diciembre, de Presupuestos Generales de la CAC para</w:t>
      </w:r>
      <w:r>
        <w:rPr>
          <w:spacing w:val="8"/>
          <w:sz w:val="20"/>
        </w:rPr>
        <w:t> </w:t>
      </w:r>
      <w:r>
        <w:rPr>
          <w:sz w:val="20"/>
        </w:rPr>
        <w:t>2022.</w:t>
      </w:r>
    </w:p>
    <w:p>
      <w:pPr>
        <w:pStyle w:val="ListParagraph"/>
        <w:numPr>
          <w:ilvl w:val="0"/>
          <w:numId w:val="4"/>
        </w:numPr>
        <w:tabs>
          <w:tab w:pos="2701" w:val="left" w:leader="none"/>
        </w:tabs>
        <w:spacing w:line="240" w:lineRule="auto" w:before="2" w:after="0"/>
        <w:ind w:left="2700" w:right="0" w:hanging="303"/>
        <w:jc w:val="both"/>
        <w:rPr>
          <w:sz w:val="20"/>
        </w:rPr>
      </w:pPr>
      <w:r>
        <w:rPr>
          <w:sz w:val="20"/>
        </w:rPr>
        <w:t>Decreto 36/2009, de 31 de marzo, por el que se establece el régimen general</w:t>
      </w:r>
      <w:r>
        <w:rPr>
          <w:spacing w:val="-17"/>
          <w:sz w:val="20"/>
        </w:rPr>
        <w:t> </w:t>
      </w:r>
      <w:r>
        <w:rPr>
          <w:sz w:val="20"/>
        </w:rPr>
        <w:t>de</w:t>
      </w:r>
    </w:p>
    <w:p>
      <w:pPr>
        <w:pStyle w:val="ListParagraph"/>
        <w:numPr>
          <w:ilvl w:val="0"/>
          <w:numId w:val="4"/>
        </w:numPr>
        <w:tabs>
          <w:tab w:pos="2701" w:val="left" w:leader="none"/>
        </w:tabs>
        <w:spacing w:line="240" w:lineRule="auto" w:before="1" w:after="0"/>
        <w:ind w:left="2700" w:right="0" w:hanging="303"/>
        <w:jc w:val="both"/>
        <w:rPr>
          <w:sz w:val="20"/>
        </w:rPr>
      </w:pPr>
      <w:r>
        <w:rPr>
          <w:sz w:val="20"/>
        </w:rPr>
        <w:t>subvenciones de la</w:t>
      </w:r>
      <w:r>
        <w:rPr>
          <w:spacing w:val="2"/>
          <w:sz w:val="20"/>
        </w:rPr>
        <w:t> </w:t>
      </w:r>
      <w:r>
        <w:rPr>
          <w:sz w:val="20"/>
        </w:rPr>
        <w:t>CAC.</w:t>
      </w:r>
    </w:p>
    <w:p>
      <w:pPr>
        <w:pStyle w:val="ListParagraph"/>
        <w:numPr>
          <w:ilvl w:val="0"/>
          <w:numId w:val="4"/>
        </w:numPr>
        <w:tabs>
          <w:tab w:pos="2700" w:val="left" w:leader="none"/>
          <w:tab w:pos="2701" w:val="left" w:leader="none"/>
        </w:tabs>
        <w:spacing w:line="240" w:lineRule="auto" w:before="2" w:after="0"/>
        <w:ind w:left="2700" w:right="1142" w:hanging="303"/>
        <w:jc w:val="left"/>
        <w:rPr>
          <w:sz w:val="20"/>
        </w:rPr>
      </w:pPr>
      <w:r>
        <w:rPr>
          <w:sz w:val="20"/>
        </w:rPr>
        <w:t>Decreto 76/2015, 7 mayo, por el que se aprueba el Reglamento de Organización y Funcionamiento de la Intervención General de la</w:t>
      </w:r>
      <w:r>
        <w:rPr>
          <w:spacing w:val="6"/>
          <w:sz w:val="20"/>
        </w:rPr>
        <w:t> </w:t>
      </w:r>
      <w:r>
        <w:rPr>
          <w:sz w:val="20"/>
        </w:rPr>
        <w:t>CAC.</w:t>
      </w:r>
    </w:p>
    <w:p>
      <w:pPr>
        <w:pStyle w:val="ListParagraph"/>
        <w:numPr>
          <w:ilvl w:val="0"/>
          <w:numId w:val="4"/>
        </w:numPr>
        <w:tabs>
          <w:tab w:pos="2700" w:val="left" w:leader="none"/>
          <w:tab w:pos="2701" w:val="left" w:leader="none"/>
        </w:tabs>
        <w:spacing w:line="240" w:lineRule="auto" w:before="3" w:after="0"/>
        <w:ind w:left="2700" w:right="1141" w:hanging="303"/>
        <w:jc w:val="left"/>
        <w:rPr>
          <w:sz w:val="20"/>
        </w:rPr>
      </w:pPr>
      <w:r>
        <w:rPr>
          <w:sz w:val="20"/>
        </w:rPr>
        <w:t>Decreto 119/2019, de 16 de julio, del Presidente, por el que se determinan el número, denominación y competencias de las</w:t>
      </w:r>
      <w:r>
        <w:rPr>
          <w:spacing w:val="-1"/>
          <w:sz w:val="20"/>
        </w:rPr>
        <w:t> </w:t>
      </w:r>
      <w:r>
        <w:rPr>
          <w:sz w:val="20"/>
        </w:rPr>
        <w:t>Consejerías.</w:t>
      </w:r>
    </w:p>
    <w:p>
      <w:pPr>
        <w:pStyle w:val="ListParagraph"/>
        <w:numPr>
          <w:ilvl w:val="0"/>
          <w:numId w:val="4"/>
        </w:numPr>
        <w:tabs>
          <w:tab w:pos="2700" w:val="left" w:leader="none"/>
          <w:tab w:pos="2701" w:val="left" w:leader="none"/>
        </w:tabs>
        <w:spacing w:line="242" w:lineRule="auto" w:before="4" w:after="0"/>
        <w:ind w:left="2700" w:right="1144" w:hanging="303"/>
        <w:jc w:val="left"/>
        <w:rPr>
          <w:sz w:val="20"/>
        </w:rPr>
      </w:pPr>
      <w:r>
        <w:rPr>
          <w:sz w:val="20"/>
        </w:rPr>
        <w:t>Orden de 21 de diciembre de 2018, por la que se aprueba el Plan General de Contabilidad Pública de la</w:t>
      </w:r>
      <w:r>
        <w:rPr>
          <w:spacing w:val="2"/>
          <w:sz w:val="20"/>
        </w:rPr>
        <w:t> </w:t>
      </w:r>
      <w:r>
        <w:rPr>
          <w:sz w:val="20"/>
        </w:rPr>
        <w:t>CAC.</w:t>
      </w:r>
    </w:p>
    <w:p>
      <w:pPr>
        <w:pStyle w:val="ListParagraph"/>
        <w:numPr>
          <w:ilvl w:val="0"/>
          <w:numId w:val="4"/>
        </w:numPr>
        <w:tabs>
          <w:tab w:pos="2700" w:val="left" w:leader="none"/>
          <w:tab w:pos="2701" w:val="left" w:leader="none"/>
        </w:tabs>
        <w:spacing w:line="240" w:lineRule="auto" w:before="0" w:after="0"/>
        <w:ind w:left="2700" w:right="1144" w:hanging="303"/>
        <w:jc w:val="left"/>
        <w:rPr>
          <w:sz w:val="20"/>
        </w:rPr>
      </w:pPr>
      <w:r>
        <w:rPr>
          <w:sz w:val="20"/>
        </w:rPr>
        <w:t>Orden de 22 de marzo de 2021, por la que se regula la rendición de cuentas por las entidades del sector público autonómico con presupuesto</w:t>
      </w:r>
      <w:r>
        <w:rPr>
          <w:spacing w:val="5"/>
          <w:sz w:val="20"/>
        </w:rPr>
        <w:t> </w:t>
      </w:r>
      <w:r>
        <w:rPr>
          <w:sz w:val="20"/>
        </w:rPr>
        <w:t>limitativo.</w:t>
      </w:r>
    </w:p>
    <w:p>
      <w:pPr>
        <w:pStyle w:val="ListParagraph"/>
        <w:numPr>
          <w:ilvl w:val="0"/>
          <w:numId w:val="4"/>
        </w:numPr>
        <w:tabs>
          <w:tab w:pos="2700" w:val="left" w:leader="none"/>
          <w:tab w:pos="2701" w:val="left" w:leader="none"/>
        </w:tabs>
        <w:spacing w:line="240" w:lineRule="auto" w:before="4" w:after="0"/>
        <w:ind w:left="2700" w:right="1143" w:hanging="303"/>
        <w:jc w:val="left"/>
        <w:rPr>
          <w:sz w:val="20"/>
        </w:rPr>
      </w:pPr>
      <w:r>
        <w:rPr>
          <w:sz w:val="20"/>
        </w:rPr>
        <w:t>Orden de 1 de junio de 2015, de la Consejería de Economía, Hacienda y Seguridad, por la que se regula la rendición de cuentas por los entes</w:t>
      </w:r>
      <w:r>
        <w:rPr>
          <w:spacing w:val="43"/>
          <w:sz w:val="20"/>
        </w:rPr>
        <w:t> </w:t>
      </w:r>
      <w:r>
        <w:rPr>
          <w:sz w:val="20"/>
        </w:rPr>
        <w:t>con</w:t>
      </w:r>
    </w:p>
    <w:p>
      <w:pPr>
        <w:pStyle w:val="BodyText"/>
        <w:spacing w:before="124"/>
        <w:ind w:right="1136"/>
        <w:jc w:val="right"/>
      </w:pPr>
      <w:r>
        <w:rPr/>
        <w:t>13</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37" name="image5.png"/>
                  <wp:cNvGraphicFramePr>
                    <a:graphicFrameLocks noChangeAspect="1"/>
                  </wp:cNvGraphicFramePr>
                  <a:graphic>
                    <a:graphicData uri="http://schemas.openxmlformats.org/drawingml/2006/picture">
                      <pic:pic>
                        <pic:nvPicPr>
                          <pic:cNvPr id="3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15/247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700" w:right="1143"/>
        <w:jc w:val="both"/>
      </w:pPr>
      <w:r>
        <w:rPr/>
        <w:t>presupuesto estimativo y fondos carentes de personalidad jurídica del sector público autonómico.</w:t>
      </w:r>
    </w:p>
    <w:p>
      <w:pPr>
        <w:pStyle w:val="ListParagraph"/>
        <w:numPr>
          <w:ilvl w:val="0"/>
          <w:numId w:val="4"/>
        </w:numPr>
        <w:tabs>
          <w:tab w:pos="2701" w:val="left" w:leader="none"/>
        </w:tabs>
        <w:spacing w:line="242" w:lineRule="auto" w:before="4" w:after="0"/>
        <w:ind w:left="2700" w:right="1139" w:hanging="303"/>
        <w:jc w:val="both"/>
        <w:rPr>
          <w:sz w:val="20"/>
        </w:rPr>
      </w:pPr>
      <w:r>
        <w:rPr>
          <w:sz w:val="20"/>
        </w:rPr>
        <w:t>Resolución de 30 de noviembre de 2018, del Presidente, por la que se hace público el acuerdo de la Institución que aprueba la Instrucción relativa a la remisión</w:t>
      </w:r>
      <w:r>
        <w:rPr>
          <w:spacing w:val="-6"/>
          <w:sz w:val="20"/>
        </w:rPr>
        <w:t> </w:t>
      </w:r>
      <w:r>
        <w:rPr>
          <w:sz w:val="20"/>
        </w:rPr>
        <w:t>telemática</w:t>
      </w:r>
      <w:r>
        <w:rPr>
          <w:spacing w:val="-5"/>
          <w:sz w:val="20"/>
        </w:rPr>
        <w:t> </w:t>
      </w:r>
      <w:r>
        <w:rPr>
          <w:sz w:val="20"/>
        </w:rPr>
        <w:t>a</w:t>
      </w:r>
      <w:r>
        <w:rPr>
          <w:spacing w:val="-4"/>
          <w:sz w:val="20"/>
        </w:rPr>
        <w:t> </w:t>
      </w:r>
      <w:r>
        <w:rPr>
          <w:sz w:val="20"/>
        </w:rPr>
        <w:t>la</w:t>
      </w:r>
      <w:r>
        <w:rPr>
          <w:spacing w:val="-7"/>
          <w:sz w:val="20"/>
        </w:rPr>
        <w:t> </w:t>
      </w:r>
      <w:r>
        <w:rPr>
          <w:sz w:val="20"/>
        </w:rPr>
        <w:t>Audiencia</w:t>
      </w:r>
      <w:r>
        <w:rPr>
          <w:spacing w:val="-5"/>
          <w:sz w:val="20"/>
        </w:rPr>
        <w:t> </w:t>
      </w:r>
      <w:r>
        <w:rPr>
          <w:sz w:val="20"/>
        </w:rPr>
        <w:t>de</w:t>
      </w:r>
      <w:r>
        <w:rPr>
          <w:spacing w:val="-4"/>
          <w:sz w:val="20"/>
        </w:rPr>
        <w:t> </w:t>
      </w:r>
      <w:r>
        <w:rPr>
          <w:sz w:val="20"/>
        </w:rPr>
        <w:t>Cuentas</w:t>
      </w:r>
      <w:r>
        <w:rPr>
          <w:spacing w:val="-5"/>
          <w:sz w:val="20"/>
        </w:rPr>
        <w:t> </w:t>
      </w:r>
      <w:r>
        <w:rPr>
          <w:sz w:val="20"/>
        </w:rPr>
        <w:t>de</w:t>
      </w:r>
      <w:r>
        <w:rPr>
          <w:spacing w:val="-7"/>
          <w:sz w:val="20"/>
        </w:rPr>
        <w:t> </w:t>
      </w:r>
      <w:r>
        <w:rPr>
          <w:sz w:val="20"/>
        </w:rPr>
        <w:t>Canarias</w:t>
      </w:r>
      <w:r>
        <w:rPr>
          <w:spacing w:val="-6"/>
          <w:sz w:val="20"/>
        </w:rPr>
        <w:t> </w:t>
      </w:r>
      <w:r>
        <w:rPr>
          <w:sz w:val="20"/>
        </w:rPr>
        <w:t>de</w:t>
      </w:r>
      <w:r>
        <w:rPr>
          <w:spacing w:val="-4"/>
          <w:sz w:val="20"/>
        </w:rPr>
        <w:t> </w:t>
      </w:r>
      <w:r>
        <w:rPr>
          <w:sz w:val="20"/>
        </w:rPr>
        <w:t>los</w:t>
      </w:r>
      <w:r>
        <w:rPr>
          <w:spacing w:val="-5"/>
          <w:sz w:val="20"/>
        </w:rPr>
        <w:t> </w:t>
      </w:r>
      <w:r>
        <w:rPr>
          <w:sz w:val="20"/>
        </w:rPr>
        <w:t>extractos</w:t>
      </w:r>
      <w:r>
        <w:rPr>
          <w:spacing w:val="-7"/>
          <w:sz w:val="20"/>
        </w:rPr>
        <w:t> </w:t>
      </w:r>
      <w:r>
        <w:rPr>
          <w:sz w:val="20"/>
        </w:rPr>
        <w:t>de</w:t>
      </w:r>
      <w:r>
        <w:rPr>
          <w:spacing w:val="-4"/>
          <w:sz w:val="20"/>
        </w:rPr>
        <w:t> </w:t>
      </w:r>
      <w:r>
        <w:rPr>
          <w:sz w:val="20"/>
        </w:rPr>
        <w:t>los expedientes de contratación y convenios y de las relaciones anuales de los contratos, convenios y encargos a medios propios personificados celebrados por las entidades del Sector Público Autonómico de la CAC al amparo de la Ley 9/2017, de 8 de noviembre, de Contratos del Sector</w:t>
      </w:r>
      <w:r>
        <w:rPr>
          <w:spacing w:val="5"/>
          <w:sz w:val="20"/>
        </w:rPr>
        <w:t> </w:t>
      </w:r>
      <w:r>
        <w:rPr>
          <w:sz w:val="20"/>
        </w:rPr>
        <w:t>Público.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2"/>
        </w:rPr>
      </w:pPr>
    </w:p>
    <w:p>
      <w:pPr>
        <w:pStyle w:val="BodyText"/>
        <w:spacing w:before="61"/>
        <w:ind w:left="7897"/>
        <w:jc w:val="center"/>
      </w:pPr>
      <w:r>
        <w:rPr/>
        <w:t>14</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39" name="image5.png"/>
                  <wp:cNvGraphicFramePr>
                    <a:graphicFrameLocks noChangeAspect="1"/>
                  </wp:cNvGraphicFramePr>
                  <a:graphic>
                    <a:graphicData uri="http://schemas.openxmlformats.org/drawingml/2006/picture">
                      <pic:pic>
                        <pic:nvPicPr>
                          <pic:cNvPr id="4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16/247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tabs>
          <w:tab w:pos="3059" w:val="left" w:leader="none"/>
        </w:tabs>
        <w:spacing w:before="61"/>
        <w:ind w:left="2696" w:right="0" w:firstLine="0"/>
        <w:jc w:val="left"/>
        <w:rPr>
          <w:b/>
          <w:sz w:val="20"/>
        </w:rPr>
      </w:pPr>
      <w:r>
        <w:rPr>
          <w:b/>
          <w:color w:val="53A1B9"/>
          <w:sz w:val="20"/>
        </w:rPr>
        <w:t>2</w:t>
        <w:tab/>
        <w:t>ANÁLISIS DEL CONTENIDO Y ESTRUCTURA DE LA CUENTA</w:t>
      </w:r>
      <w:r>
        <w:rPr>
          <w:b/>
          <w:color w:val="53A1B9"/>
          <w:spacing w:val="1"/>
          <w:sz w:val="20"/>
        </w:rPr>
        <w:t> </w:t>
      </w:r>
      <w:r>
        <w:rPr>
          <w:b/>
          <w:color w:val="53A1B9"/>
          <w:sz w:val="20"/>
        </w:rPr>
        <w:t>GENERAL</w:t>
      </w:r>
    </w:p>
    <w:p>
      <w:pPr>
        <w:pStyle w:val="BodyText"/>
        <w:spacing w:before="8"/>
        <w:rPr>
          <w:b/>
          <w:sz w:val="16"/>
        </w:rPr>
      </w:pPr>
    </w:p>
    <w:p>
      <w:pPr>
        <w:pStyle w:val="BodyText"/>
        <w:ind w:left="2096" w:right="1045" w:firstLine="604"/>
      </w:pPr>
      <w:r>
        <w:rPr/>
        <w:t>El Art. 117 de la Ley 11/2006, de 11 de diciembre, de la Hacienda Pública Canaria, establece el contenido de la Cuenta General de la Comunidad Autónoma, señalando:</w:t>
      </w:r>
    </w:p>
    <w:p>
      <w:pPr>
        <w:pStyle w:val="BodyText"/>
        <w:spacing w:before="10"/>
        <w:rPr>
          <w:sz w:val="16"/>
        </w:rPr>
      </w:pPr>
    </w:p>
    <w:p>
      <w:pPr>
        <w:spacing w:before="0"/>
        <w:ind w:left="2700" w:right="0" w:firstLine="0"/>
        <w:jc w:val="left"/>
        <w:rPr>
          <w:i/>
          <w:sz w:val="20"/>
        </w:rPr>
      </w:pPr>
      <w:r>
        <w:rPr>
          <w:i/>
          <w:sz w:val="20"/>
        </w:rPr>
        <w:t>“1. La Cuenta General de la Comunidad Autónoma contendrá los siguientes</w:t>
      </w:r>
    </w:p>
    <w:p>
      <w:pPr>
        <w:spacing w:before="1"/>
        <w:ind w:left="2096" w:right="0" w:firstLine="0"/>
        <w:jc w:val="left"/>
        <w:rPr>
          <w:i/>
          <w:sz w:val="20"/>
        </w:rPr>
      </w:pPr>
      <w:r>
        <w:rPr>
          <w:i/>
          <w:sz w:val="20"/>
        </w:rPr>
        <w:t>documentos:</w:t>
      </w:r>
    </w:p>
    <w:p>
      <w:pPr>
        <w:pStyle w:val="BodyText"/>
        <w:spacing w:before="8"/>
        <w:rPr>
          <w:i/>
          <w:sz w:val="16"/>
        </w:rPr>
      </w:pPr>
    </w:p>
    <w:p>
      <w:pPr>
        <w:pStyle w:val="ListParagraph"/>
        <w:numPr>
          <w:ilvl w:val="2"/>
          <w:numId w:val="2"/>
        </w:numPr>
        <w:tabs>
          <w:tab w:pos="2701" w:val="left" w:leader="none"/>
        </w:tabs>
        <w:spacing w:line="240" w:lineRule="auto" w:before="0" w:after="0"/>
        <w:ind w:left="2700" w:right="1144" w:hanging="303"/>
        <w:jc w:val="both"/>
        <w:rPr>
          <w:i/>
          <w:sz w:val="20"/>
        </w:rPr>
      </w:pPr>
      <w:r>
        <w:rPr>
          <w:i/>
          <w:sz w:val="20"/>
        </w:rPr>
        <w:t>Cuenta</w:t>
      </w:r>
      <w:r>
        <w:rPr>
          <w:i/>
          <w:spacing w:val="-8"/>
          <w:sz w:val="20"/>
        </w:rPr>
        <w:t> </w:t>
      </w:r>
      <w:r>
        <w:rPr>
          <w:i/>
          <w:sz w:val="20"/>
        </w:rPr>
        <w:t>General</w:t>
      </w:r>
      <w:r>
        <w:rPr>
          <w:i/>
          <w:spacing w:val="-7"/>
          <w:sz w:val="20"/>
        </w:rPr>
        <w:t> </w:t>
      </w:r>
      <w:r>
        <w:rPr>
          <w:i/>
          <w:sz w:val="20"/>
        </w:rPr>
        <w:t>de</w:t>
      </w:r>
      <w:r>
        <w:rPr>
          <w:i/>
          <w:spacing w:val="-7"/>
          <w:sz w:val="20"/>
        </w:rPr>
        <w:t> </w:t>
      </w:r>
      <w:r>
        <w:rPr>
          <w:i/>
          <w:sz w:val="20"/>
        </w:rPr>
        <w:t>los</w:t>
      </w:r>
      <w:r>
        <w:rPr>
          <w:i/>
          <w:spacing w:val="-7"/>
          <w:sz w:val="20"/>
        </w:rPr>
        <w:t> </w:t>
      </w:r>
      <w:r>
        <w:rPr>
          <w:i/>
          <w:sz w:val="20"/>
        </w:rPr>
        <w:t>entes</w:t>
      </w:r>
      <w:r>
        <w:rPr>
          <w:i/>
          <w:spacing w:val="-6"/>
          <w:sz w:val="20"/>
        </w:rPr>
        <w:t> </w:t>
      </w:r>
      <w:r>
        <w:rPr>
          <w:i/>
          <w:sz w:val="20"/>
        </w:rPr>
        <w:t>con</w:t>
      </w:r>
      <w:r>
        <w:rPr>
          <w:i/>
          <w:spacing w:val="-8"/>
          <w:sz w:val="20"/>
        </w:rPr>
        <w:t> </w:t>
      </w:r>
      <w:r>
        <w:rPr>
          <w:i/>
          <w:sz w:val="20"/>
        </w:rPr>
        <w:t>presupuesto</w:t>
      </w:r>
      <w:r>
        <w:rPr>
          <w:i/>
          <w:spacing w:val="-8"/>
          <w:sz w:val="20"/>
        </w:rPr>
        <w:t> </w:t>
      </w:r>
      <w:r>
        <w:rPr>
          <w:i/>
          <w:sz w:val="20"/>
        </w:rPr>
        <w:t>limitativo,</w:t>
      </w:r>
      <w:r>
        <w:rPr>
          <w:i/>
          <w:spacing w:val="-7"/>
          <w:sz w:val="20"/>
        </w:rPr>
        <w:t> </w:t>
      </w:r>
      <w:r>
        <w:rPr>
          <w:i/>
          <w:sz w:val="20"/>
        </w:rPr>
        <w:t>que</w:t>
      </w:r>
      <w:r>
        <w:rPr>
          <w:i/>
          <w:spacing w:val="-7"/>
          <w:sz w:val="20"/>
        </w:rPr>
        <w:t> </w:t>
      </w:r>
      <w:r>
        <w:rPr>
          <w:i/>
          <w:sz w:val="20"/>
        </w:rPr>
        <w:t>se</w:t>
      </w:r>
      <w:r>
        <w:rPr>
          <w:i/>
          <w:spacing w:val="-6"/>
          <w:sz w:val="20"/>
        </w:rPr>
        <w:t> </w:t>
      </w:r>
      <w:r>
        <w:rPr>
          <w:i/>
          <w:sz w:val="20"/>
        </w:rPr>
        <w:t>formará</w:t>
      </w:r>
      <w:r>
        <w:rPr>
          <w:i/>
          <w:spacing w:val="-7"/>
          <w:sz w:val="20"/>
        </w:rPr>
        <w:t> </w:t>
      </w:r>
      <w:r>
        <w:rPr>
          <w:i/>
          <w:sz w:val="20"/>
        </w:rPr>
        <w:t>mediante </w:t>
      </w:r>
      <w:r>
        <w:rPr>
          <w:i/>
          <w:sz w:val="20"/>
        </w:rPr>
        <w:t>la agregación o consolidación de las cuentas de dichas</w:t>
      </w:r>
      <w:r>
        <w:rPr>
          <w:i/>
          <w:spacing w:val="8"/>
          <w:sz w:val="20"/>
        </w:rPr>
        <w:t> </w:t>
      </w:r>
      <w:r>
        <w:rPr>
          <w:i/>
          <w:sz w:val="20"/>
        </w:rPr>
        <w:t>entidades.</w:t>
      </w:r>
    </w:p>
    <w:p>
      <w:pPr>
        <w:pStyle w:val="ListParagraph"/>
        <w:numPr>
          <w:ilvl w:val="2"/>
          <w:numId w:val="2"/>
        </w:numPr>
        <w:tabs>
          <w:tab w:pos="2701" w:val="left" w:leader="none"/>
        </w:tabs>
        <w:spacing w:line="242" w:lineRule="auto" w:before="4" w:after="0"/>
        <w:ind w:left="2700" w:right="1138" w:hanging="303"/>
        <w:jc w:val="both"/>
        <w:rPr>
          <w:i/>
          <w:sz w:val="20"/>
        </w:rPr>
      </w:pPr>
      <w:r>
        <w:rPr>
          <w:i/>
          <w:sz w:val="20"/>
        </w:rPr>
        <w:t>Cuenta</w:t>
      </w:r>
      <w:r>
        <w:rPr>
          <w:i/>
          <w:spacing w:val="-5"/>
          <w:sz w:val="20"/>
        </w:rPr>
        <w:t> </w:t>
      </w:r>
      <w:r>
        <w:rPr>
          <w:i/>
          <w:sz w:val="20"/>
        </w:rPr>
        <w:t>General</w:t>
      </w:r>
      <w:r>
        <w:rPr>
          <w:i/>
          <w:spacing w:val="-3"/>
          <w:sz w:val="20"/>
        </w:rPr>
        <w:t> </w:t>
      </w:r>
      <w:r>
        <w:rPr>
          <w:i/>
          <w:sz w:val="20"/>
        </w:rPr>
        <w:t>de</w:t>
      </w:r>
      <w:r>
        <w:rPr>
          <w:i/>
          <w:spacing w:val="-3"/>
          <w:sz w:val="20"/>
        </w:rPr>
        <w:t> </w:t>
      </w:r>
      <w:r>
        <w:rPr>
          <w:i/>
          <w:sz w:val="20"/>
        </w:rPr>
        <w:t>los</w:t>
      </w:r>
      <w:r>
        <w:rPr>
          <w:i/>
          <w:spacing w:val="-5"/>
          <w:sz w:val="20"/>
        </w:rPr>
        <w:t> </w:t>
      </w:r>
      <w:r>
        <w:rPr>
          <w:i/>
          <w:sz w:val="20"/>
        </w:rPr>
        <w:t>entes</w:t>
      </w:r>
      <w:r>
        <w:rPr>
          <w:i/>
          <w:spacing w:val="-6"/>
          <w:sz w:val="20"/>
        </w:rPr>
        <w:t> </w:t>
      </w:r>
      <w:r>
        <w:rPr>
          <w:i/>
          <w:sz w:val="20"/>
        </w:rPr>
        <w:t>con</w:t>
      </w:r>
      <w:r>
        <w:rPr>
          <w:i/>
          <w:spacing w:val="-4"/>
          <w:sz w:val="20"/>
        </w:rPr>
        <w:t> </w:t>
      </w:r>
      <w:r>
        <w:rPr>
          <w:i/>
          <w:sz w:val="20"/>
        </w:rPr>
        <w:t>presupuesto</w:t>
      </w:r>
      <w:r>
        <w:rPr>
          <w:i/>
          <w:spacing w:val="-4"/>
          <w:sz w:val="20"/>
        </w:rPr>
        <w:t> </w:t>
      </w:r>
      <w:r>
        <w:rPr>
          <w:i/>
          <w:sz w:val="20"/>
        </w:rPr>
        <w:t>estimativo,</w:t>
      </w:r>
      <w:r>
        <w:rPr>
          <w:i/>
          <w:spacing w:val="-3"/>
          <w:sz w:val="20"/>
        </w:rPr>
        <w:t> </w:t>
      </w:r>
      <w:r>
        <w:rPr>
          <w:i/>
          <w:sz w:val="20"/>
        </w:rPr>
        <w:t>excepto</w:t>
      </w:r>
      <w:r>
        <w:rPr>
          <w:i/>
          <w:spacing w:val="-5"/>
          <w:sz w:val="20"/>
        </w:rPr>
        <w:t> </w:t>
      </w:r>
      <w:r>
        <w:rPr>
          <w:i/>
          <w:sz w:val="20"/>
        </w:rPr>
        <w:t>las</w:t>
      </w:r>
      <w:r>
        <w:rPr>
          <w:i/>
          <w:spacing w:val="-4"/>
          <w:sz w:val="20"/>
        </w:rPr>
        <w:t> </w:t>
      </w:r>
      <w:r>
        <w:rPr>
          <w:i/>
          <w:sz w:val="20"/>
        </w:rPr>
        <w:t>fundaciones </w:t>
      </w:r>
      <w:r>
        <w:rPr>
          <w:i/>
          <w:sz w:val="20"/>
        </w:rPr>
        <w:t>públicas, que se formará mediante la agregación o consolidación de las cuentas de las entidades que deben aplicar los principios de contabilidad recogidos en el Plan General de Contabilidad de la empresa española, así como en sus adaptaciones y disposiciones que lo</w:t>
      </w:r>
      <w:r>
        <w:rPr>
          <w:i/>
          <w:spacing w:val="5"/>
          <w:sz w:val="20"/>
        </w:rPr>
        <w:t> </w:t>
      </w:r>
      <w:r>
        <w:rPr>
          <w:i/>
          <w:sz w:val="20"/>
        </w:rPr>
        <w:t>desarrollen.</w:t>
      </w:r>
    </w:p>
    <w:p>
      <w:pPr>
        <w:pStyle w:val="ListParagraph"/>
        <w:numPr>
          <w:ilvl w:val="2"/>
          <w:numId w:val="2"/>
        </w:numPr>
        <w:tabs>
          <w:tab w:pos="2701" w:val="left" w:leader="none"/>
        </w:tabs>
        <w:spacing w:line="240" w:lineRule="auto" w:before="0" w:after="0"/>
        <w:ind w:left="2700" w:right="1141" w:hanging="303"/>
        <w:jc w:val="both"/>
        <w:rPr>
          <w:i/>
          <w:sz w:val="20"/>
        </w:rPr>
      </w:pPr>
      <w:r>
        <w:rPr>
          <w:i/>
          <w:sz w:val="20"/>
        </w:rPr>
        <w:t>Cuenta General de fundaciones públicas, que se formará mediante la agregación </w:t>
      </w:r>
      <w:r>
        <w:rPr>
          <w:i/>
          <w:sz w:val="20"/>
        </w:rPr>
        <w:t>o consolidación de las cuentas de las entidades que deben aplicar los principios de contabilidad recogidos en la normativa contable relativa a entidades sin fines lucrativos.</w:t>
      </w:r>
    </w:p>
    <w:p>
      <w:pPr>
        <w:pStyle w:val="ListParagraph"/>
        <w:numPr>
          <w:ilvl w:val="2"/>
          <w:numId w:val="2"/>
        </w:numPr>
        <w:tabs>
          <w:tab w:pos="2701" w:val="left" w:leader="none"/>
        </w:tabs>
        <w:spacing w:line="240" w:lineRule="auto" w:before="5" w:after="0"/>
        <w:ind w:left="2700" w:right="1139" w:hanging="303"/>
        <w:jc w:val="both"/>
        <w:rPr>
          <w:i/>
          <w:sz w:val="20"/>
        </w:rPr>
      </w:pPr>
      <w:r>
        <w:rPr>
          <w:i/>
          <w:sz w:val="20"/>
        </w:rPr>
        <w:t>Cuenta de los fondos carentes de personalidad jurídica a que se refiere el Art. 2.2 </w:t>
      </w:r>
      <w:r>
        <w:rPr>
          <w:i/>
          <w:sz w:val="20"/>
        </w:rPr>
        <w:t>de esta</w:t>
      </w:r>
      <w:r>
        <w:rPr>
          <w:i/>
          <w:spacing w:val="1"/>
          <w:sz w:val="20"/>
        </w:rPr>
        <w:t> </w:t>
      </w:r>
      <w:r>
        <w:rPr>
          <w:i/>
          <w:sz w:val="20"/>
        </w:rPr>
        <w:t>ley.</w:t>
      </w:r>
    </w:p>
    <w:p>
      <w:pPr>
        <w:pStyle w:val="ListParagraph"/>
        <w:numPr>
          <w:ilvl w:val="2"/>
          <w:numId w:val="2"/>
        </w:numPr>
        <w:tabs>
          <w:tab w:pos="2701" w:val="left" w:leader="none"/>
        </w:tabs>
        <w:spacing w:line="240" w:lineRule="auto" w:before="4" w:after="0"/>
        <w:ind w:left="2700" w:right="1136" w:hanging="303"/>
        <w:jc w:val="both"/>
        <w:rPr>
          <w:i/>
          <w:sz w:val="20"/>
        </w:rPr>
      </w:pPr>
      <w:r>
        <w:rPr>
          <w:i/>
          <w:sz w:val="20"/>
        </w:rPr>
        <w:t>Memoria que completará, ampliará y comentará la información contenida en los </w:t>
      </w:r>
      <w:r>
        <w:rPr>
          <w:i/>
          <w:sz w:val="20"/>
        </w:rPr>
        <w:t>anteriores</w:t>
      </w:r>
      <w:r>
        <w:rPr>
          <w:i/>
          <w:spacing w:val="1"/>
          <w:sz w:val="20"/>
        </w:rPr>
        <w:t> </w:t>
      </w:r>
      <w:r>
        <w:rPr>
          <w:i/>
          <w:sz w:val="20"/>
        </w:rPr>
        <w:t>documentos.</w:t>
      </w:r>
    </w:p>
    <w:p>
      <w:pPr>
        <w:pStyle w:val="BodyText"/>
        <w:spacing w:before="9"/>
        <w:rPr>
          <w:i/>
          <w:sz w:val="16"/>
        </w:rPr>
      </w:pPr>
    </w:p>
    <w:p>
      <w:pPr>
        <w:pStyle w:val="ListParagraph"/>
        <w:numPr>
          <w:ilvl w:val="3"/>
          <w:numId w:val="2"/>
        </w:numPr>
        <w:tabs>
          <w:tab w:pos="2959" w:val="left" w:leader="none"/>
        </w:tabs>
        <w:spacing w:line="240" w:lineRule="auto" w:before="1" w:after="0"/>
        <w:ind w:left="2096" w:right="1143" w:firstLine="650"/>
        <w:jc w:val="left"/>
        <w:rPr>
          <w:i/>
          <w:sz w:val="20"/>
        </w:rPr>
      </w:pPr>
      <w:r>
        <w:rPr>
          <w:i/>
          <w:sz w:val="20"/>
        </w:rPr>
        <w:t>Asimismo, se adjuntará a la Cuenta General de la Comunidad Autónoma de </w:t>
      </w:r>
      <w:r>
        <w:rPr>
          <w:i/>
          <w:sz w:val="20"/>
        </w:rPr>
        <w:t>cada ejercicio las cuentas de las universidades públicas</w:t>
      </w:r>
      <w:r>
        <w:rPr>
          <w:i/>
          <w:spacing w:val="8"/>
          <w:sz w:val="20"/>
        </w:rPr>
        <w:t> </w:t>
      </w:r>
      <w:r>
        <w:rPr>
          <w:i/>
          <w:sz w:val="20"/>
        </w:rPr>
        <w:t>canarias.</w:t>
      </w:r>
    </w:p>
    <w:p>
      <w:pPr>
        <w:pStyle w:val="BodyText"/>
        <w:spacing w:before="11"/>
        <w:rPr>
          <w:i/>
          <w:sz w:val="11"/>
        </w:rPr>
      </w:pPr>
    </w:p>
    <w:p>
      <w:pPr>
        <w:pStyle w:val="ListParagraph"/>
        <w:numPr>
          <w:ilvl w:val="3"/>
          <w:numId w:val="2"/>
        </w:numPr>
        <w:tabs>
          <w:tab w:pos="2987" w:val="left" w:leader="none"/>
        </w:tabs>
        <w:spacing w:line="240" w:lineRule="auto" w:before="61" w:after="0"/>
        <w:ind w:left="2986" w:right="0" w:hanging="240"/>
        <w:jc w:val="left"/>
        <w:rPr>
          <w:i/>
          <w:sz w:val="20"/>
        </w:rPr>
      </w:pPr>
      <w:r>
        <w:rPr>
          <w:i/>
          <w:sz w:val="20"/>
        </w:rPr>
        <w:t>La Cuenta General de la Comunidad Autónoma suministrará</w:t>
      </w:r>
      <w:r>
        <w:rPr>
          <w:i/>
          <w:spacing w:val="14"/>
          <w:sz w:val="20"/>
        </w:rPr>
        <w:t> </w:t>
      </w:r>
      <w:r>
        <w:rPr>
          <w:i/>
          <w:sz w:val="20"/>
        </w:rPr>
        <w:t>información</w:t>
      </w:r>
    </w:p>
    <w:p>
      <w:pPr>
        <w:spacing w:before="2"/>
        <w:ind w:left="2096" w:right="0" w:firstLine="0"/>
        <w:jc w:val="left"/>
        <w:rPr>
          <w:i/>
          <w:sz w:val="20"/>
        </w:rPr>
      </w:pPr>
      <w:r>
        <w:rPr>
          <w:i/>
          <w:sz w:val="20"/>
        </w:rPr>
        <w:t>sobre:</w:t>
      </w:r>
    </w:p>
    <w:p>
      <w:pPr>
        <w:pStyle w:val="BodyText"/>
        <w:spacing w:before="8"/>
        <w:rPr>
          <w:i/>
          <w:sz w:val="11"/>
        </w:rPr>
      </w:pPr>
    </w:p>
    <w:p>
      <w:pPr>
        <w:pStyle w:val="ListParagraph"/>
        <w:numPr>
          <w:ilvl w:val="0"/>
          <w:numId w:val="5"/>
        </w:numPr>
        <w:tabs>
          <w:tab w:pos="2701" w:val="left" w:leader="none"/>
        </w:tabs>
        <w:spacing w:line="240" w:lineRule="auto" w:before="61" w:after="0"/>
        <w:ind w:left="2700" w:right="0" w:hanging="303"/>
        <w:jc w:val="left"/>
        <w:rPr>
          <w:i/>
          <w:sz w:val="20"/>
        </w:rPr>
      </w:pPr>
      <w:r>
        <w:rPr>
          <w:i/>
          <w:sz w:val="20"/>
        </w:rPr>
        <w:t>La situación económica, financiera y patrimonial del sector</w:t>
      </w:r>
      <w:r>
        <w:rPr>
          <w:i/>
          <w:spacing w:val="5"/>
          <w:sz w:val="20"/>
        </w:rPr>
        <w:t> </w:t>
      </w:r>
      <w:r>
        <w:rPr>
          <w:i/>
          <w:sz w:val="20"/>
        </w:rPr>
        <w:t>público.</w:t>
      </w:r>
    </w:p>
    <w:p>
      <w:pPr>
        <w:pStyle w:val="ListParagraph"/>
        <w:numPr>
          <w:ilvl w:val="0"/>
          <w:numId w:val="5"/>
        </w:numPr>
        <w:tabs>
          <w:tab w:pos="2701" w:val="left" w:leader="none"/>
        </w:tabs>
        <w:spacing w:line="240" w:lineRule="auto" w:before="1" w:after="0"/>
        <w:ind w:left="2700" w:right="0" w:hanging="303"/>
        <w:jc w:val="left"/>
        <w:rPr>
          <w:i/>
          <w:sz w:val="20"/>
        </w:rPr>
      </w:pPr>
      <w:r>
        <w:rPr>
          <w:i/>
          <w:sz w:val="20"/>
        </w:rPr>
        <w:t>Los resultados económico-patrimoniales del</w:t>
      </w:r>
      <w:r>
        <w:rPr>
          <w:i/>
          <w:spacing w:val="4"/>
          <w:sz w:val="20"/>
        </w:rPr>
        <w:t> </w:t>
      </w:r>
      <w:r>
        <w:rPr>
          <w:i/>
          <w:sz w:val="20"/>
        </w:rPr>
        <w:t>ejercicio.</w:t>
      </w:r>
    </w:p>
    <w:p>
      <w:pPr>
        <w:pStyle w:val="ListParagraph"/>
        <w:numPr>
          <w:ilvl w:val="0"/>
          <w:numId w:val="5"/>
        </w:numPr>
        <w:tabs>
          <w:tab w:pos="2701" w:val="left" w:leader="none"/>
        </w:tabs>
        <w:spacing w:line="240" w:lineRule="auto" w:before="2" w:after="0"/>
        <w:ind w:left="2700" w:right="1142" w:hanging="303"/>
        <w:jc w:val="left"/>
        <w:rPr>
          <w:i/>
          <w:sz w:val="20"/>
        </w:rPr>
      </w:pPr>
      <w:r>
        <w:rPr>
          <w:i/>
          <w:sz w:val="20"/>
        </w:rPr>
        <w:t>La</w:t>
      </w:r>
      <w:r>
        <w:rPr>
          <w:i/>
          <w:spacing w:val="-6"/>
          <w:sz w:val="20"/>
        </w:rPr>
        <w:t> </w:t>
      </w:r>
      <w:r>
        <w:rPr>
          <w:i/>
          <w:sz w:val="20"/>
        </w:rPr>
        <w:t>ejecución</w:t>
      </w:r>
      <w:r>
        <w:rPr>
          <w:i/>
          <w:spacing w:val="-6"/>
          <w:sz w:val="20"/>
        </w:rPr>
        <w:t> </w:t>
      </w:r>
      <w:r>
        <w:rPr>
          <w:i/>
          <w:sz w:val="20"/>
        </w:rPr>
        <w:t>y</w:t>
      </w:r>
      <w:r>
        <w:rPr>
          <w:i/>
          <w:spacing w:val="-5"/>
          <w:sz w:val="20"/>
        </w:rPr>
        <w:t> </w:t>
      </w:r>
      <w:r>
        <w:rPr>
          <w:i/>
          <w:sz w:val="20"/>
        </w:rPr>
        <w:t>liquidación</w:t>
      </w:r>
      <w:r>
        <w:rPr>
          <w:i/>
          <w:spacing w:val="-4"/>
          <w:sz w:val="20"/>
        </w:rPr>
        <w:t> </w:t>
      </w:r>
      <w:r>
        <w:rPr>
          <w:i/>
          <w:sz w:val="20"/>
        </w:rPr>
        <w:t>de</w:t>
      </w:r>
      <w:r>
        <w:rPr>
          <w:i/>
          <w:spacing w:val="-4"/>
          <w:sz w:val="20"/>
        </w:rPr>
        <w:t> </w:t>
      </w:r>
      <w:r>
        <w:rPr>
          <w:i/>
          <w:sz w:val="20"/>
        </w:rPr>
        <w:t>los</w:t>
      </w:r>
      <w:r>
        <w:rPr>
          <w:i/>
          <w:spacing w:val="-5"/>
          <w:sz w:val="20"/>
        </w:rPr>
        <w:t> </w:t>
      </w:r>
      <w:r>
        <w:rPr>
          <w:i/>
          <w:sz w:val="20"/>
        </w:rPr>
        <w:t>presupuestos,</w:t>
      </w:r>
      <w:r>
        <w:rPr>
          <w:i/>
          <w:spacing w:val="-5"/>
          <w:sz w:val="20"/>
        </w:rPr>
        <w:t> </w:t>
      </w:r>
      <w:r>
        <w:rPr>
          <w:i/>
          <w:sz w:val="20"/>
        </w:rPr>
        <w:t>desagregado</w:t>
      </w:r>
      <w:r>
        <w:rPr>
          <w:i/>
          <w:spacing w:val="-4"/>
          <w:sz w:val="20"/>
        </w:rPr>
        <w:t> </w:t>
      </w:r>
      <w:r>
        <w:rPr>
          <w:i/>
          <w:sz w:val="20"/>
        </w:rPr>
        <w:t>en</w:t>
      </w:r>
      <w:r>
        <w:rPr>
          <w:i/>
          <w:spacing w:val="-5"/>
          <w:sz w:val="20"/>
        </w:rPr>
        <w:t> </w:t>
      </w:r>
      <w:r>
        <w:rPr>
          <w:i/>
          <w:sz w:val="20"/>
        </w:rPr>
        <w:t>las</w:t>
      </w:r>
      <w:r>
        <w:rPr>
          <w:i/>
          <w:spacing w:val="-5"/>
          <w:sz w:val="20"/>
        </w:rPr>
        <w:t> </w:t>
      </w:r>
      <w:r>
        <w:rPr>
          <w:i/>
          <w:sz w:val="20"/>
        </w:rPr>
        <w:t>clasificaciones </w:t>
      </w:r>
      <w:r>
        <w:rPr>
          <w:i/>
          <w:sz w:val="20"/>
        </w:rPr>
        <w:t>de las estructuras presupuestarias de ingresos y</w:t>
      </w:r>
      <w:r>
        <w:rPr>
          <w:i/>
          <w:spacing w:val="8"/>
          <w:sz w:val="20"/>
        </w:rPr>
        <w:t> </w:t>
      </w:r>
      <w:r>
        <w:rPr>
          <w:i/>
          <w:sz w:val="20"/>
        </w:rPr>
        <w:t>gastos.</w:t>
      </w:r>
    </w:p>
    <w:p>
      <w:pPr>
        <w:pStyle w:val="ListParagraph"/>
        <w:numPr>
          <w:ilvl w:val="0"/>
          <w:numId w:val="5"/>
        </w:numPr>
        <w:tabs>
          <w:tab w:pos="2701" w:val="left" w:leader="none"/>
        </w:tabs>
        <w:spacing w:line="240" w:lineRule="auto" w:before="4" w:after="0"/>
        <w:ind w:left="2700" w:right="0" w:hanging="303"/>
        <w:jc w:val="left"/>
        <w:rPr>
          <w:i/>
          <w:sz w:val="20"/>
        </w:rPr>
      </w:pPr>
      <w:r>
        <w:rPr>
          <w:i/>
          <w:sz w:val="20"/>
        </w:rPr>
        <w:t>La Deuda Pública.</w:t>
      </w:r>
    </w:p>
    <w:p>
      <w:pPr>
        <w:pStyle w:val="ListParagraph"/>
        <w:numPr>
          <w:ilvl w:val="0"/>
          <w:numId w:val="5"/>
        </w:numPr>
        <w:tabs>
          <w:tab w:pos="2701" w:val="left" w:leader="none"/>
        </w:tabs>
        <w:spacing w:line="240" w:lineRule="auto" w:before="1" w:after="0"/>
        <w:ind w:left="2700" w:right="0" w:hanging="303"/>
        <w:jc w:val="left"/>
        <w:rPr>
          <w:i/>
          <w:sz w:val="20"/>
        </w:rPr>
      </w:pPr>
      <w:r>
        <w:rPr>
          <w:i/>
          <w:sz w:val="20"/>
        </w:rPr>
        <w:t>Los avales</w:t>
      </w:r>
      <w:r>
        <w:rPr>
          <w:i/>
          <w:spacing w:val="2"/>
          <w:sz w:val="20"/>
        </w:rPr>
        <w:t> </w:t>
      </w:r>
      <w:r>
        <w:rPr>
          <w:i/>
          <w:sz w:val="20"/>
        </w:rPr>
        <w:t>concedidos.</w:t>
      </w:r>
    </w:p>
    <w:p>
      <w:pPr>
        <w:pStyle w:val="ListParagraph"/>
        <w:numPr>
          <w:ilvl w:val="0"/>
          <w:numId w:val="5"/>
        </w:numPr>
        <w:tabs>
          <w:tab w:pos="2701" w:val="left" w:leader="none"/>
        </w:tabs>
        <w:spacing w:line="240" w:lineRule="auto" w:before="2" w:after="0"/>
        <w:ind w:left="2700" w:right="0" w:hanging="303"/>
        <w:jc w:val="left"/>
        <w:rPr>
          <w:i/>
          <w:sz w:val="20"/>
        </w:rPr>
      </w:pPr>
      <w:r>
        <w:rPr>
          <w:i/>
          <w:sz w:val="20"/>
        </w:rPr>
        <w:t>Distribución territorializada del</w:t>
      </w:r>
      <w:r>
        <w:rPr>
          <w:i/>
          <w:spacing w:val="1"/>
          <w:sz w:val="20"/>
        </w:rPr>
        <w:t> </w:t>
      </w:r>
      <w:r>
        <w:rPr>
          <w:i/>
          <w:sz w:val="20"/>
        </w:rPr>
        <w:t>gasto.”</w:t>
      </w:r>
    </w:p>
    <w:p>
      <w:pPr>
        <w:pStyle w:val="BodyText"/>
        <w:spacing w:before="8"/>
        <w:rPr>
          <w:i/>
          <w:sz w:val="16"/>
        </w:rPr>
      </w:pPr>
    </w:p>
    <w:p>
      <w:pPr>
        <w:pStyle w:val="BodyText"/>
        <w:ind w:left="2096" w:right="1136" w:firstLine="604"/>
        <w:jc w:val="both"/>
      </w:pPr>
      <w:r>
        <w:rPr/>
        <w:t>La Cuenta General correspondiente al ejercicio 2022 fue rendida en plazo el día 22 de junio de 2023. La misma contiene todos los documentos relacionados en el Art. 117 transcrito.</w:t>
      </w:r>
    </w:p>
    <w:p>
      <w:pPr>
        <w:pStyle w:val="BodyText"/>
        <w:spacing w:before="104"/>
        <w:ind w:left="7897"/>
        <w:jc w:val="center"/>
      </w:pPr>
      <w:r>
        <w:rPr/>
        <w:t>15</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41" name="image5.png"/>
                  <wp:cNvGraphicFramePr>
                    <a:graphicFrameLocks noChangeAspect="1"/>
                  </wp:cNvGraphicFramePr>
                  <a:graphic>
                    <a:graphicData uri="http://schemas.openxmlformats.org/drawingml/2006/picture">
                      <pic:pic>
                        <pic:nvPicPr>
                          <pic:cNvPr id="4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17/247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right="1139" w:firstLine="604"/>
        <w:jc w:val="both"/>
      </w:pPr>
      <w:r>
        <w:rPr/>
        <w:t>Por otro lado, el PGCPCAC, aprobado por Orden de la Consejería de Hacienda de 21 de diciembre de 2018, establece el contenido de las cuentas anuales, señalando que las mismas deben contener diversos estados contables que informan sobre la situación económica y patrimonial del sujeto contable, además de los estados de liquidación de los presupuestos de ingresos y gastos.</w:t>
      </w:r>
    </w:p>
    <w:p>
      <w:pPr>
        <w:pStyle w:val="BodyText"/>
        <w:spacing w:before="3"/>
        <w:rPr>
          <w:sz w:val="17"/>
        </w:rPr>
      </w:pPr>
    </w:p>
    <w:p>
      <w:pPr>
        <w:pStyle w:val="BodyText"/>
        <w:ind w:left="2096" w:right="1141" w:firstLine="604"/>
        <w:jc w:val="both"/>
      </w:pPr>
      <w:r>
        <w:rPr/>
        <w:t>La Cuenta rendida contiene todos los estados e informes exigidos por el artículo 117</w:t>
      </w:r>
      <w:r>
        <w:rPr>
          <w:spacing w:val="-10"/>
        </w:rPr>
        <w:t> </w:t>
      </w:r>
      <w:r>
        <w:rPr/>
        <w:t>de</w:t>
      </w:r>
      <w:r>
        <w:rPr>
          <w:spacing w:val="-9"/>
        </w:rPr>
        <w:t> </w:t>
      </w:r>
      <w:r>
        <w:rPr/>
        <w:t>Ley</w:t>
      </w:r>
      <w:r>
        <w:rPr>
          <w:spacing w:val="-10"/>
        </w:rPr>
        <w:t> </w:t>
      </w:r>
      <w:r>
        <w:rPr/>
        <w:t>11/2006,</w:t>
      </w:r>
      <w:r>
        <w:rPr>
          <w:spacing w:val="-9"/>
        </w:rPr>
        <w:t> </w:t>
      </w:r>
      <w:r>
        <w:rPr/>
        <w:t>de</w:t>
      </w:r>
      <w:r>
        <w:rPr>
          <w:spacing w:val="-9"/>
        </w:rPr>
        <w:t> </w:t>
      </w:r>
      <w:r>
        <w:rPr/>
        <w:t>11</w:t>
      </w:r>
      <w:r>
        <w:rPr>
          <w:spacing w:val="-10"/>
        </w:rPr>
        <w:t> </w:t>
      </w:r>
      <w:r>
        <w:rPr/>
        <w:t>de</w:t>
      </w:r>
      <w:r>
        <w:rPr>
          <w:spacing w:val="-11"/>
        </w:rPr>
        <w:t> </w:t>
      </w:r>
      <w:r>
        <w:rPr/>
        <w:t>diciembre,</w:t>
      </w:r>
      <w:r>
        <w:rPr>
          <w:spacing w:val="-9"/>
        </w:rPr>
        <w:t> </w:t>
      </w:r>
      <w:r>
        <w:rPr/>
        <w:t>de</w:t>
      </w:r>
      <w:r>
        <w:rPr>
          <w:spacing w:val="-9"/>
        </w:rPr>
        <w:t> </w:t>
      </w:r>
      <w:r>
        <w:rPr/>
        <w:t>la</w:t>
      </w:r>
      <w:r>
        <w:rPr>
          <w:spacing w:val="-9"/>
        </w:rPr>
        <w:t> </w:t>
      </w:r>
      <w:r>
        <w:rPr/>
        <w:t>Hacienda</w:t>
      </w:r>
      <w:r>
        <w:rPr>
          <w:spacing w:val="-12"/>
        </w:rPr>
        <w:t> </w:t>
      </w:r>
      <w:r>
        <w:rPr/>
        <w:t>Pública</w:t>
      </w:r>
      <w:r>
        <w:rPr>
          <w:spacing w:val="-9"/>
        </w:rPr>
        <w:t> </w:t>
      </w:r>
      <w:r>
        <w:rPr/>
        <w:t>Canaria</w:t>
      </w:r>
      <w:r>
        <w:rPr>
          <w:spacing w:val="-11"/>
        </w:rPr>
        <w:t> </w:t>
      </w:r>
      <w:r>
        <w:rPr/>
        <w:t>de</w:t>
      </w:r>
      <w:r>
        <w:rPr>
          <w:spacing w:val="-9"/>
        </w:rPr>
        <w:t> </w:t>
      </w:r>
      <w:r>
        <w:rPr/>
        <w:t>la</w:t>
      </w:r>
      <w:r>
        <w:rPr>
          <w:spacing w:val="-10"/>
        </w:rPr>
        <w:t> </w:t>
      </w:r>
      <w:r>
        <w:rPr/>
        <w:t>Comunidad Autónoma de Canarias, y por el Plan General de Contabilidad Pública de la</w:t>
      </w:r>
      <w:r>
        <w:rPr>
          <w:spacing w:val="7"/>
        </w:rPr>
        <w:t> </w:t>
      </w:r>
      <w:r>
        <w:rPr/>
        <w:t>CAC.</w:t>
      </w:r>
    </w:p>
    <w:p>
      <w:pPr>
        <w:pStyle w:val="BodyText"/>
        <w:spacing w:before="1"/>
        <w:rPr>
          <w:sz w:val="17"/>
        </w:rPr>
      </w:pPr>
    </w:p>
    <w:p>
      <w:pPr>
        <w:pStyle w:val="BodyText"/>
        <w:spacing w:line="242" w:lineRule="auto"/>
        <w:ind w:left="2096" w:right="1139" w:firstLine="604"/>
        <w:jc w:val="both"/>
      </w:pPr>
      <w:r>
        <w:rPr/>
        <w:t>En</w:t>
      </w:r>
      <w:r>
        <w:rPr>
          <w:spacing w:val="-3"/>
        </w:rPr>
        <w:t> </w:t>
      </w:r>
      <w:r>
        <w:rPr/>
        <w:t>este</w:t>
      </w:r>
      <w:r>
        <w:rPr>
          <w:spacing w:val="-6"/>
        </w:rPr>
        <w:t> </w:t>
      </w:r>
      <w:r>
        <w:rPr/>
        <w:t>punto</w:t>
      </w:r>
      <w:r>
        <w:rPr>
          <w:spacing w:val="-6"/>
        </w:rPr>
        <w:t> </w:t>
      </w:r>
      <w:r>
        <w:rPr/>
        <w:t>es</w:t>
      </w:r>
      <w:r>
        <w:rPr>
          <w:spacing w:val="-6"/>
        </w:rPr>
        <w:t> </w:t>
      </w:r>
      <w:r>
        <w:rPr/>
        <w:t>necesario</w:t>
      </w:r>
      <w:r>
        <w:rPr>
          <w:spacing w:val="-4"/>
        </w:rPr>
        <w:t> </w:t>
      </w:r>
      <w:r>
        <w:rPr/>
        <w:t>señalar</w:t>
      </w:r>
      <w:r>
        <w:rPr>
          <w:spacing w:val="-3"/>
        </w:rPr>
        <w:t> </w:t>
      </w:r>
      <w:r>
        <w:rPr/>
        <w:t>la</w:t>
      </w:r>
      <w:r>
        <w:rPr>
          <w:spacing w:val="-6"/>
        </w:rPr>
        <w:t> </w:t>
      </w:r>
      <w:r>
        <w:rPr/>
        <w:t>letra</w:t>
      </w:r>
      <w:r>
        <w:rPr>
          <w:spacing w:val="-4"/>
        </w:rPr>
        <w:t> </w:t>
      </w:r>
      <w:r>
        <w:rPr/>
        <w:t>c)</w:t>
      </w:r>
      <w:r>
        <w:rPr>
          <w:spacing w:val="-5"/>
        </w:rPr>
        <w:t> </w:t>
      </w:r>
      <w:r>
        <w:rPr/>
        <w:t>del</w:t>
      </w:r>
      <w:r>
        <w:rPr>
          <w:spacing w:val="-6"/>
        </w:rPr>
        <w:t> </w:t>
      </w:r>
      <w:r>
        <w:rPr/>
        <w:t>apartado</w:t>
      </w:r>
      <w:r>
        <w:rPr>
          <w:spacing w:val="-6"/>
        </w:rPr>
        <w:t> </w:t>
      </w:r>
      <w:r>
        <w:rPr/>
        <w:t>3</w:t>
      </w:r>
      <w:r>
        <w:rPr>
          <w:spacing w:val="-6"/>
        </w:rPr>
        <w:t> </w:t>
      </w:r>
      <w:r>
        <w:rPr/>
        <w:t>del Art.</w:t>
      </w:r>
      <w:r>
        <w:rPr>
          <w:spacing w:val="-5"/>
        </w:rPr>
        <w:t> </w:t>
      </w:r>
      <w:r>
        <w:rPr/>
        <w:t>117</w:t>
      </w:r>
      <w:r>
        <w:rPr>
          <w:spacing w:val="-5"/>
        </w:rPr>
        <w:t> </w:t>
      </w:r>
      <w:r>
        <w:rPr/>
        <w:t>de</w:t>
      </w:r>
      <w:r>
        <w:rPr>
          <w:spacing w:val="-8"/>
        </w:rPr>
        <w:t> </w:t>
      </w:r>
      <w:r>
        <w:rPr/>
        <w:t>la</w:t>
      </w:r>
      <w:r>
        <w:rPr>
          <w:spacing w:val="-4"/>
        </w:rPr>
        <w:t> </w:t>
      </w:r>
      <w:r>
        <w:rPr/>
        <w:t>Ley LHPC 11/2006, que señala que los informes referidos a la ejecución y liquidación del presupuesto deben desagregarse en las clasificaciones de las estructuras presupuestarias de ingresos y</w:t>
      </w:r>
      <w:r>
        <w:rPr>
          <w:spacing w:val="-2"/>
        </w:rPr>
        <w:t> </w:t>
      </w:r>
      <w:r>
        <w:rPr/>
        <w:t>gastos.</w:t>
      </w:r>
    </w:p>
    <w:p>
      <w:pPr>
        <w:pStyle w:val="BodyText"/>
        <w:spacing w:before="3"/>
        <w:rPr>
          <w:sz w:val="16"/>
        </w:rPr>
      </w:pPr>
    </w:p>
    <w:p>
      <w:pPr>
        <w:pStyle w:val="BodyText"/>
        <w:spacing w:before="1"/>
        <w:ind w:left="2096" w:right="1141" w:firstLine="604"/>
        <w:jc w:val="both"/>
      </w:pPr>
      <w:r>
        <w:rPr/>
        <w:t>Se observa que diversos estados de la liquidación del presupuesto de gastos (ejecución, modificaciones de crédito, ampliaciones sin cobertura, etc.) no presentan la exigida desagregación, sino que se relacionan diversas clasificaciones económicas sin poder determinar a qué estructura orgánica y funcional pertenecen. Ello resta claridad a</w:t>
      </w:r>
      <w:r>
        <w:rPr>
          <w:spacing w:val="-6"/>
        </w:rPr>
        <w:t> </w:t>
      </w:r>
      <w:r>
        <w:rPr/>
        <w:t>las</w:t>
      </w:r>
      <w:r>
        <w:rPr>
          <w:spacing w:val="-7"/>
        </w:rPr>
        <w:t> </w:t>
      </w:r>
      <w:r>
        <w:rPr/>
        <w:t>cuentas</w:t>
      </w:r>
      <w:r>
        <w:rPr>
          <w:spacing w:val="-8"/>
        </w:rPr>
        <w:t> </w:t>
      </w:r>
      <w:r>
        <w:rPr/>
        <w:t>anuales,</w:t>
      </w:r>
      <w:r>
        <w:rPr>
          <w:spacing w:val="-7"/>
        </w:rPr>
        <w:t> </w:t>
      </w:r>
      <w:r>
        <w:rPr/>
        <w:t>siendo</w:t>
      </w:r>
      <w:r>
        <w:rPr>
          <w:spacing w:val="-7"/>
        </w:rPr>
        <w:t> </w:t>
      </w:r>
      <w:r>
        <w:rPr/>
        <w:t>este</w:t>
      </w:r>
      <w:r>
        <w:rPr>
          <w:spacing w:val="-8"/>
        </w:rPr>
        <w:t> </w:t>
      </w:r>
      <w:r>
        <w:rPr/>
        <w:t>un</w:t>
      </w:r>
      <w:r>
        <w:rPr>
          <w:spacing w:val="-6"/>
        </w:rPr>
        <w:t> </w:t>
      </w:r>
      <w:r>
        <w:rPr/>
        <w:t>requisito</w:t>
      </w:r>
      <w:r>
        <w:rPr>
          <w:spacing w:val="-8"/>
        </w:rPr>
        <w:t> </w:t>
      </w:r>
      <w:r>
        <w:rPr/>
        <w:t>que</w:t>
      </w:r>
      <w:r>
        <w:rPr>
          <w:spacing w:val="-5"/>
        </w:rPr>
        <w:t> </w:t>
      </w:r>
      <w:r>
        <w:rPr/>
        <w:t>el</w:t>
      </w:r>
      <w:r>
        <w:rPr>
          <w:spacing w:val="-8"/>
        </w:rPr>
        <w:t> </w:t>
      </w:r>
      <w:r>
        <w:rPr/>
        <w:t>Plan</w:t>
      </w:r>
      <w:r>
        <w:rPr>
          <w:spacing w:val="-8"/>
        </w:rPr>
        <w:t> </w:t>
      </w:r>
      <w:r>
        <w:rPr/>
        <w:t>exige</w:t>
      </w:r>
      <w:r>
        <w:rPr>
          <w:spacing w:val="-6"/>
        </w:rPr>
        <w:t> </w:t>
      </w:r>
      <w:r>
        <w:rPr/>
        <w:t>a</w:t>
      </w:r>
      <w:r>
        <w:rPr>
          <w:spacing w:val="-8"/>
        </w:rPr>
        <w:t> </w:t>
      </w:r>
      <w:r>
        <w:rPr/>
        <w:t>la</w:t>
      </w:r>
      <w:r>
        <w:rPr>
          <w:spacing w:val="-5"/>
        </w:rPr>
        <w:t> </w:t>
      </w:r>
      <w:r>
        <w:rPr/>
        <w:t>información</w:t>
      </w:r>
      <w:r>
        <w:rPr>
          <w:spacing w:val="-5"/>
        </w:rPr>
        <w:t> </w:t>
      </w:r>
      <w:r>
        <w:rPr/>
        <w:t>a</w:t>
      </w:r>
      <w:r>
        <w:rPr>
          <w:spacing w:val="-6"/>
        </w:rPr>
        <w:t> </w:t>
      </w:r>
      <w:r>
        <w:rPr/>
        <w:t>incluir en las cuentas anuales. (Tercera parte del Plan: Cuentas Anuales). A</w:t>
      </w:r>
      <w:r>
        <w:rPr>
          <w:spacing w:val="3"/>
        </w:rPr>
        <w:t> </w:t>
      </w:r>
      <w:r>
        <w:rPr/>
        <w:t>saber:</w:t>
      </w:r>
    </w:p>
    <w:p>
      <w:pPr>
        <w:pStyle w:val="BodyText"/>
        <w:spacing w:before="3"/>
        <w:rPr>
          <w:sz w:val="17"/>
        </w:rPr>
      </w:pPr>
    </w:p>
    <w:p>
      <w:pPr>
        <w:spacing w:line="242" w:lineRule="auto" w:before="1"/>
        <w:ind w:left="2096" w:right="1139" w:firstLine="604"/>
        <w:jc w:val="both"/>
        <w:rPr>
          <w:i/>
          <w:sz w:val="20"/>
        </w:rPr>
      </w:pPr>
      <w:r>
        <w:rPr>
          <w:sz w:val="20"/>
        </w:rPr>
        <w:t>“La información incluida en las </w:t>
      </w:r>
      <w:r>
        <w:rPr>
          <w:i/>
          <w:sz w:val="20"/>
        </w:rPr>
        <w:t>cuentas anuales debe cumplir los requisitos o </w:t>
      </w:r>
      <w:r>
        <w:rPr>
          <w:i/>
          <w:sz w:val="20"/>
        </w:rPr>
        <w:t>características siguientes:</w:t>
      </w:r>
    </w:p>
    <w:p>
      <w:pPr>
        <w:pStyle w:val="BodyText"/>
        <w:spacing w:before="5"/>
        <w:rPr>
          <w:i/>
          <w:sz w:val="16"/>
        </w:rPr>
      </w:pPr>
    </w:p>
    <w:p>
      <w:pPr>
        <w:spacing w:line="242" w:lineRule="auto" w:before="0"/>
        <w:ind w:left="2096" w:right="1143" w:firstLine="0"/>
        <w:jc w:val="both"/>
        <w:rPr>
          <w:i/>
          <w:sz w:val="20"/>
        </w:rPr>
      </w:pPr>
      <w:r>
        <w:rPr>
          <w:i/>
          <w:sz w:val="20"/>
        </w:rPr>
        <w:t>Claridad. La información es clara cuando los destinatarios de la misma, partiendo de un </w:t>
      </w:r>
      <w:r>
        <w:rPr>
          <w:i/>
          <w:sz w:val="20"/>
        </w:rPr>
        <w:t>conocimiento razonable de las actividades de la entidad y del entorno en el que opera, pueden comprender su significado.“</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8"/>
        <w:rPr>
          <w:i/>
          <w:sz w:val="17"/>
        </w:rPr>
      </w:pPr>
    </w:p>
    <w:p>
      <w:pPr>
        <w:pStyle w:val="BodyText"/>
        <w:spacing w:before="61"/>
        <w:ind w:left="7897"/>
        <w:jc w:val="center"/>
      </w:pPr>
      <w:r>
        <w:rPr/>
        <w:t>16</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43" name="image5.png"/>
                  <wp:cNvGraphicFramePr>
                    <a:graphicFrameLocks noChangeAspect="1"/>
                  </wp:cNvGraphicFramePr>
                  <a:graphic>
                    <a:graphicData uri="http://schemas.openxmlformats.org/drawingml/2006/picture">
                      <pic:pic>
                        <pic:nvPicPr>
                          <pic:cNvPr id="4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18/247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tabs>
          <w:tab w:pos="4456" w:val="left" w:leader="none"/>
        </w:tabs>
        <w:spacing w:before="61"/>
        <w:ind w:left="4093" w:right="0" w:firstLine="0"/>
        <w:jc w:val="left"/>
        <w:rPr>
          <w:b/>
          <w:sz w:val="20"/>
        </w:rPr>
      </w:pPr>
      <w:r>
        <w:rPr>
          <w:b/>
          <w:color w:val="53A1B9"/>
          <w:sz w:val="20"/>
        </w:rPr>
        <w:t>3</w:t>
        <w:tab/>
        <w:t>ANÁLISIS DEL CONTROL</w:t>
      </w:r>
      <w:r>
        <w:rPr>
          <w:b/>
          <w:color w:val="53A1B9"/>
          <w:spacing w:val="-3"/>
          <w:sz w:val="20"/>
        </w:rPr>
        <w:t> </w:t>
      </w:r>
      <w:r>
        <w:rPr>
          <w:b/>
          <w:color w:val="53A1B9"/>
          <w:sz w:val="20"/>
        </w:rPr>
        <w:t>INTERNO</w:t>
      </w:r>
    </w:p>
    <w:p>
      <w:pPr>
        <w:pStyle w:val="BodyText"/>
        <w:spacing w:before="8"/>
        <w:rPr>
          <w:b/>
          <w:sz w:val="16"/>
        </w:rPr>
      </w:pPr>
    </w:p>
    <w:p>
      <w:pPr>
        <w:pStyle w:val="BodyText"/>
        <w:ind w:left="2096" w:right="1139" w:firstLine="594"/>
        <w:jc w:val="both"/>
      </w:pPr>
      <w:r>
        <w:rPr/>
        <w:t>El control interno de la Administración Pública de la Comunidad Autónoma de Canarias (en adelante APCAC) se lleva a cabo mediante las modalidades de: función interventora, control financiero permanente (en adelante CFP) y auditoría pública, bien de forma exclusiva o bien de forma combinada.</w:t>
      </w:r>
    </w:p>
    <w:p>
      <w:pPr>
        <w:pStyle w:val="BodyText"/>
        <w:spacing w:before="1"/>
        <w:rPr>
          <w:sz w:val="17"/>
        </w:rPr>
      </w:pPr>
    </w:p>
    <w:p>
      <w:pPr>
        <w:pStyle w:val="BodyText"/>
        <w:ind w:left="2096" w:right="1140" w:firstLine="594"/>
        <w:jc w:val="both"/>
      </w:pPr>
      <w:r>
        <w:rPr/>
        <w:t>La modalidad de </w:t>
      </w:r>
      <w:r>
        <w:rPr>
          <w:u w:val="single"/>
        </w:rPr>
        <w:t>función interventora</w:t>
      </w:r>
      <w:r>
        <w:rPr/>
        <w:t>, de carácter preventivo y obstativo, tiene como objetivo garantizar, respecto de los entes del sector público limitativo, que los actos</w:t>
      </w:r>
      <w:r>
        <w:rPr>
          <w:spacing w:val="-4"/>
        </w:rPr>
        <w:t> </w:t>
      </w:r>
      <w:r>
        <w:rPr/>
        <w:t>con</w:t>
      </w:r>
      <w:r>
        <w:rPr>
          <w:spacing w:val="-5"/>
        </w:rPr>
        <w:t> </w:t>
      </w:r>
      <w:r>
        <w:rPr/>
        <w:t>incidencia</w:t>
      </w:r>
      <w:r>
        <w:rPr>
          <w:spacing w:val="-6"/>
        </w:rPr>
        <w:t> </w:t>
      </w:r>
      <w:r>
        <w:rPr/>
        <w:t>económica</w:t>
      </w:r>
      <w:r>
        <w:rPr>
          <w:spacing w:val="-3"/>
        </w:rPr>
        <w:t> </w:t>
      </w:r>
      <w:r>
        <w:rPr/>
        <w:t>se</w:t>
      </w:r>
      <w:r>
        <w:rPr>
          <w:spacing w:val="-6"/>
        </w:rPr>
        <w:t> </w:t>
      </w:r>
      <w:r>
        <w:rPr/>
        <w:t>ajustan</w:t>
      </w:r>
      <w:r>
        <w:rPr>
          <w:spacing w:val="-5"/>
        </w:rPr>
        <w:t> </w:t>
      </w:r>
      <w:r>
        <w:rPr/>
        <w:t>a</w:t>
      </w:r>
      <w:r>
        <w:rPr>
          <w:spacing w:val="-6"/>
        </w:rPr>
        <w:t> </w:t>
      </w:r>
      <w:r>
        <w:rPr/>
        <w:t>las</w:t>
      </w:r>
      <w:r>
        <w:rPr>
          <w:spacing w:val="-5"/>
        </w:rPr>
        <w:t> </w:t>
      </w:r>
      <w:r>
        <w:rPr/>
        <w:t>disposiciones</w:t>
      </w:r>
      <w:r>
        <w:rPr>
          <w:spacing w:val="-6"/>
        </w:rPr>
        <w:t> </w:t>
      </w:r>
      <w:r>
        <w:rPr/>
        <w:t>que</w:t>
      </w:r>
      <w:r>
        <w:rPr>
          <w:spacing w:val="-4"/>
        </w:rPr>
        <w:t> </w:t>
      </w:r>
      <w:r>
        <w:rPr/>
        <w:t>les</w:t>
      </w:r>
      <w:r>
        <w:rPr>
          <w:spacing w:val="-4"/>
        </w:rPr>
        <w:t> </w:t>
      </w:r>
      <w:r>
        <w:rPr/>
        <w:t>sean</w:t>
      </w:r>
      <w:r>
        <w:rPr>
          <w:spacing w:val="-5"/>
        </w:rPr>
        <w:t> </w:t>
      </w:r>
      <w:r>
        <w:rPr/>
        <w:t>de</w:t>
      </w:r>
      <w:r>
        <w:rPr>
          <w:spacing w:val="-4"/>
        </w:rPr>
        <w:t> </w:t>
      </w:r>
      <w:r>
        <w:rPr/>
        <w:t>aplicación.</w:t>
      </w:r>
    </w:p>
    <w:p>
      <w:pPr>
        <w:pStyle w:val="BodyText"/>
        <w:spacing w:before="1"/>
        <w:rPr>
          <w:sz w:val="17"/>
        </w:rPr>
      </w:pPr>
    </w:p>
    <w:p>
      <w:pPr>
        <w:pStyle w:val="BodyText"/>
        <w:spacing w:before="1"/>
        <w:ind w:left="2096" w:right="1143" w:firstLine="594"/>
        <w:jc w:val="both"/>
      </w:pPr>
      <w:r>
        <w:rPr/>
        <w:t>Dicha modalidad se aplica conforme al Acuerdo de Gobierno de 20 de enero de 2022 (modificado por acuerdos de 5 de mayo y 9 de junio), en los actos de aprobación de determinados gastos, convocatorias de subvenciones y sus modificaciones, gastos con financiación de la UE y justificación de algunos gastos imputados al cap. IV y al VII.</w:t>
      </w:r>
    </w:p>
    <w:p>
      <w:pPr>
        <w:pStyle w:val="BodyText"/>
        <w:rPr>
          <w:sz w:val="17"/>
        </w:rPr>
      </w:pPr>
    </w:p>
    <w:p>
      <w:pPr>
        <w:pStyle w:val="BodyText"/>
        <w:ind w:left="2096" w:right="1140" w:firstLine="594"/>
        <w:jc w:val="both"/>
      </w:pPr>
      <w:r>
        <w:rPr/>
        <w:t>En informe de 14 de julio de 2023, la IGCAC señala los siguientes expedientes sometidos a función interventora, durante el ejercicio 2022:</w:t>
      </w:r>
    </w:p>
    <w:p>
      <w:pPr>
        <w:pStyle w:val="BodyText"/>
      </w:pPr>
    </w:p>
    <w:tbl>
      <w:tblPr>
        <w:tblW w:w="0" w:type="auto"/>
        <w:jc w:val="left"/>
        <w:tblInd w:w="2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7"/>
        <w:gridCol w:w="1008"/>
        <w:gridCol w:w="571"/>
      </w:tblGrid>
      <w:tr>
        <w:trPr>
          <w:trHeight w:val="285" w:hRule="atLeast"/>
        </w:trPr>
        <w:tc>
          <w:tcPr>
            <w:tcW w:w="5017" w:type="dxa"/>
          </w:tcPr>
          <w:p>
            <w:pPr>
              <w:pStyle w:val="TableParagraph"/>
              <w:spacing w:line="205" w:lineRule="exact"/>
              <w:ind w:left="50"/>
              <w:rPr>
                <w:sz w:val="20"/>
              </w:rPr>
            </w:pPr>
            <w:r>
              <w:rPr>
                <w:sz w:val="20"/>
              </w:rPr>
              <w:t>1. Contratos</w:t>
            </w:r>
          </w:p>
        </w:tc>
        <w:tc>
          <w:tcPr>
            <w:tcW w:w="1008" w:type="dxa"/>
          </w:tcPr>
          <w:p>
            <w:pPr>
              <w:pStyle w:val="TableParagraph"/>
              <w:spacing w:line="205" w:lineRule="exact"/>
              <w:ind w:right="313"/>
              <w:jc w:val="right"/>
              <w:rPr>
                <w:sz w:val="20"/>
              </w:rPr>
            </w:pPr>
            <w:r>
              <w:rPr>
                <w:sz w:val="20"/>
              </w:rPr>
              <w:t>426</w:t>
            </w:r>
          </w:p>
        </w:tc>
        <w:tc>
          <w:tcPr>
            <w:tcW w:w="571" w:type="dxa"/>
          </w:tcPr>
          <w:p>
            <w:pPr>
              <w:pStyle w:val="TableParagraph"/>
              <w:rPr>
                <w:rFonts w:ascii="Times New Roman"/>
                <w:sz w:val="16"/>
              </w:rPr>
            </w:pPr>
          </w:p>
        </w:tc>
      </w:tr>
      <w:tr>
        <w:trPr>
          <w:trHeight w:val="368" w:hRule="atLeast"/>
        </w:trPr>
        <w:tc>
          <w:tcPr>
            <w:tcW w:w="5017" w:type="dxa"/>
          </w:tcPr>
          <w:p>
            <w:pPr>
              <w:pStyle w:val="TableParagraph"/>
              <w:spacing w:before="44"/>
              <w:ind w:left="50"/>
              <w:rPr>
                <w:sz w:val="20"/>
              </w:rPr>
            </w:pPr>
            <w:r>
              <w:rPr>
                <w:sz w:val="20"/>
              </w:rPr>
              <w:t>2. Contratos (REACT-EU)</w:t>
            </w:r>
          </w:p>
        </w:tc>
        <w:tc>
          <w:tcPr>
            <w:tcW w:w="1008" w:type="dxa"/>
          </w:tcPr>
          <w:p>
            <w:pPr>
              <w:pStyle w:val="TableParagraph"/>
              <w:spacing w:before="44"/>
              <w:ind w:right="313"/>
              <w:jc w:val="right"/>
              <w:rPr>
                <w:sz w:val="20"/>
              </w:rPr>
            </w:pPr>
            <w:r>
              <w:rPr>
                <w:sz w:val="20"/>
              </w:rPr>
              <w:t>11</w:t>
            </w:r>
          </w:p>
        </w:tc>
        <w:tc>
          <w:tcPr>
            <w:tcW w:w="571" w:type="dxa"/>
          </w:tcPr>
          <w:p>
            <w:pPr>
              <w:pStyle w:val="TableParagraph"/>
              <w:rPr>
                <w:rFonts w:ascii="Times New Roman"/>
                <w:sz w:val="16"/>
              </w:rPr>
            </w:pPr>
          </w:p>
        </w:tc>
      </w:tr>
      <w:tr>
        <w:trPr>
          <w:trHeight w:val="368" w:hRule="atLeast"/>
        </w:trPr>
        <w:tc>
          <w:tcPr>
            <w:tcW w:w="5017" w:type="dxa"/>
          </w:tcPr>
          <w:p>
            <w:pPr>
              <w:pStyle w:val="TableParagraph"/>
              <w:spacing w:before="44"/>
              <w:ind w:left="50"/>
              <w:rPr>
                <w:sz w:val="20"/>
              </w:rPr>
            </w:pPr>
            <w:r>
              <w:rPr>
                <w:sz w:val="20"/>
              </w:rPr>
              <w:t>3. Contratos (IER)</w:t>
            </w:r>
          </w:p>
        </w:tc>
        <w:tc>
          <w:tcPr>
            <w:tcW w:w="1008" w:type="dxa"/>
          </w:tcPr>
          <w:p>
            <w:pPr>
              <w:pStyle w:val="TableParagraph"/>
              <w:spacing w:before="44"/>
              <w:ind w:right="313"/>
              <w:jc w:val="right"/>
              <w:rPr>
                <w:sz w:val="20"/>
              </w:rPr>
            </w:pPr>
            <w:r>
              <w:rPr>
                <w:sz w:val="20"/>
              </w:rPr>
              <w:t>36</w:t>
            </w:r>
          </w:p>
        </w:tc>
        <w:tc>
          <w:tcPr>
            <w:tcW w:w="571" w:type="dxa"/>
          </w:tcPr>
          <w:p>
            <w:pPr>
              <w:pStyle w:val="TableParagraph"/>
              <w:rPr>
                <w:rFonts w:ascii="Times New Roman"/>
                <w:sz w:val="16"/>
              </w:rPr>
            </w:pPr>
          </w:p>
        </w:tc>
      </w:tr>
      <w:tr>
        <w:trPr>
          <w:trHeight w:val="368" w:hRule="atLeast"/>
        </w:trPr>
        <w:tc>
          <w:tcPr>
            <w:tcW w:w="5017" w:type="dxa"/>
          </w:tcPr>
          <w:p>
            <w:pPr>
              <w:pStyle w:val="TableParagraph"/>
              <w:spacing w:before="44"/>
              <w:ind w:left="50"/>
              <w:rPr>
                <w:sz w:val="20"/>
              </w:rPr>
            </w:pPr>
            <w:r>
              <w:rPr>
                <w:sz w:val="20"/>
              </w:rPr>
              <w:t>4. Contratos (PRTR)</w:t>
            </w:r>
          </w:p>
        </w:tc>
        <w:tc>
          <w:tcPr>
            <w:tcW w:w="1008" w:type="dxa"/>
          </w:tcPr>
          <w:p>
            <w:pPr>
              <w:pStyle w:val="TableParagraph"/>
              <w:spacing w:before="44"/>
              <w:ind w:right="313"/>
              <w:jc w:val="right"/>
              <w:rPr>
                <w:sz w:val="20"/>
              </w:rPr>
            </w:pPr>
            <w:r>
              <w:rPr>
                <w:sz w:val="20"/>
              </w:rPr>
              <w:t>68</w:t>
            </w:r>
          </w:p>
        </w:tc>
        <w:tc>
          <w:tcPr>
            <w:tcW w:w="571" w:type="dxa"/>
          </w:tcPr>
          <w:p>
            <w:pPr>
              <w:pStyle w:val="TableParagraph"/>
              <w:rPr>
                <w:rFonts w:ascii="Times New Roman"/>
                <w:sz w:val="16"/>
              </w:rPr>
            </w:pPr>
          </w:p>
        </w:tc>
      </w:tr>
      <w:tr>
        <w:trPr>
          <w:trHeight w:val="369" w:hRule="atLeast"/>
        </w:trPr>
        <w:tc>
          <w:tcPr>
            <w:tcW w:w="5017" w:type="dxa"/>
          </w:tcPr>
          <w:p>
            <w:pPr>
              <w:pStyle w:val="TableParagraph"/>
              <w:spacing w:before="44"/>
              <w:ind w:left="50"/>
              <w:rPr>
                <w:sz w:val="20"/>
              </w:rPr>
            </w:pPr>
            <w:r>
              <w:rPr>
                <w:sz w:val="20"/>
              </w:rPr>
              <w:t>5. Encomiendas de gestión</w:t>
            </w:r>
          </w:p>
        </w:tc>
        <w:tc>
          <w:tcPr>
            <w:tcW w:w="1008" w:type="dxa"/>
          </w:tcPr>
          <w:p>
            <w:pPr>
              <w:pStyle w:val="TableParagraph"/>
              <w:spacing w:before="44"/>
              <w:ind w:right="314"/>
              <w:jc w:val="right"/>
              <w:rPr>
                <w:sz w:val="20"/>
              </w:rPr>
            </w:pPr>
            <w:r>
              <w:rPr>
                <w:w w:val="100"/>
                <w:sz w:val="20"/>
              </w:rPr>
              <w:t>5</w:t>
            </w:r>
          </w:p>
        </w:tc>
        <w:tc>
          <w:tcPr>
            <w:tcW w:w="571" w:type="dxa"/>
          </w:tcPr>
          <w:p>
            <w:pPr>
              <w:pStyle w:val="TableParagraph"/>
              <w:rPr>
                <w:rFonts w:ascii="Times New Roman"/>
                <w:sz w:val="16"/>
              </w:rPr>
            </w:pPr>
          </w:p>
        </w:tc>
      </w:tr>
      <w:tr>
        <w:trPr>
          <w:trHeight w:val="369" w:hRule="atLeast"/>
        </w:trPr>
        <w:tc>
          <w:tcPr>
            <w:tcW w:w="5017" w:type="dxa"/>
          </w:tcPr>
          <w:p>
            <w:pPr>
              <w:pStyle w:val="TableParagraph"/>
              <w:spacing w:before="45"/>
              <w:ind w:left="50"/>
              <w:rPr>
                <w:sz w:val="20"/>
              </w:rPr>
            </w:pPr>
            <w:r>
              <w:rPr>
                <w:sz w:val="20"/>
              </w:rPr>
              <w:t>6. Encargos a medios propios</w:t>
            </w:r>
          </w:p>
        </w:tc>
        <w:tc>
          <w:tcPr>
            <w:tcW w:w="1008" w:type="dxa"/>
          </w:tcPr>
          <w:p>
            <w:pPr>
              <w:pStyle w:val="TableParagraph"/>
              <w:spacing w:before="45"/>
              <w:ind w:right="313"/>
              <w:jc w:val="right"/>
              <w:rPr>
                <w:sz w:val="20"/>
              </w:rPr>
            </w:pPr>
            <w:r>
              <w:rPr>
                <w:sz w:val="20"/>
              </w:rPr>
              <w:t>101</w:t>
            </w:r>
          </w:p>
        </w:tc>
        <w:tc>
          <w:tcPr>
            <w:tcW w:w="571" w:type="dxa"/>
          </w:tcPr>
          <w:p>
            <w:pPr>
              <w:pStyle w:val="TableParagraph"/>
              <w:rPr>
                <w:rFonts w:ascii="Times New Roman"/>
                <w:sz w:val="16"/>
              </w:rPr>
            </w:pPr>
          </w:p>
        </w:tc>
      </w:tr>
      <w:tr>
        <w:trPr>
          <w:trHeight w:val="368" w:hRule="atLeast"/>
        </w:trPr>
        <w:tc>
          <w:tcPr>
            <w:tcW w:w="5017" w:type="dxa"/>
          </w:tcPr>
          <w:p>
            <w:pPr>
              <w:pStyle w:val="TableParagraph"/>
              <w:spacing w:before="44"/>
              <w:ind w:left="50"/>
              <w:rPr>
                <w:sz w:val="20"/>
              </w:rPr>
            </w:pPr>
            <w:r>
              <w:rPr>
                <w:sz w:val="20"/>
              </w:rPr>
              <w:t>7. Encargos a medios propios (Next Generation EU)</w:t>
            </w:r>
          </w:p>
        </w:tc>
        <w:tc>
          <w:tcPr>
            <w:tcW w:w="1008" w:type="dxa"/>
          </w:tcPr>
          <w:p>
            <w:pPr>
              <w:pStyle w:val="TableParagraph"/>
              <w:spacing w:before="44"/>
              <w:ind w:right="313"/>
              <w:jc w:val="right"/>
              <w:rPr>
                <w:sz w:val="20"/>
              </w:rPr>
            </w:pPr>
            <w:r>
              <w:rPr>
                <w:sz w:val="20"/>
              </w:rPr>
              <w:t>19</w:t>
            </w:r>
          </w:p>
        </w:tc>
        <w:tc>
          <w:tcPr>
            <w:tcW w:w="571" w:type="dxa"/>
          </w:tcPr>
          <w:p>
            <w:pPr>
              <w:pStyle w:val="TableParagraph"/>
              <w:rPr>
                <w:rFonts w:ascii="Times New Roman"/>
                <w:sz w:val="16"/>
              </w:rPr>
            </w:pPr>
          </w:p>
        </w:tc>
      </w:tr>
      <w:tr>
        <w:trPr>
          <w:trHeight w:val="368" w:hRule="atLeast"/>
        </w:trPr>
        <w:tc>
          <w:tcPr>
            <w:tcW w:w="5017" w:type="dxa"/>
          </w:tcPr>
          <w:p>
            <w:pPr>
              <w:pStyle w:val="TableParagraph"/>
              <w:spacing w:before="44"/>
              <w:ind w:left="50"/>
              <w:rPr>
                <w:sz w:val="20"/>
              </w:rPr>
            </w:pPr>
            <w:r>
              <w:rPr>
                <w:sz w:val="20"/>
              </w:rPr>
              <w:t>8. Patrimoniales</w:t>
            </w:r>
          </w:p>
        </w:tc>
        <w:tc>
          <w:tcPr>
            <w:tcW w:w="1008" w:type="dxa"/>
          </w:tcPr>
          <w:p>
            <w:pPr>
              <w:pStyle w:val="TableParagraph"/>
              <w:spacing w:before="44"/>
              <w:ind w:right="313"/>
              <w:jc w:val="right"/>
              <w:rPr>
                <w:sz w:val="20"/>
              </w:rPr>
            </w:pPr>
            <w:r>
              <w:rPr>
                <w:sz w:val="20"/>
              </w:rPr>
              <w:t>19</w:t>
            </w:r>
          </w:p>
        </w:tc>
        <w:tc>
          <w:tcPr>
            <w:tcW w:w="571" w:type="dxa"/>
          </w:tcPr>
          <w:p>
            <w:pPr>
              <w:pStyle w:val="TableParagraph"/>
              <w:rPr>
                <w:rFonts w:ascii="Times New Roman"/>
                <w:sz w:val="16"/>
              </w:rPr>
            </w:pPr>
          </w:p>
        </w:tc>
      </w:tr>
      <w:tr>
        <w:trPr>
          <w:trHeight w:val="368" w:hRule="atLeast"/>
        </w:trPr>
        <w:tc>
          <w:tcPr>
            <w:tcW w:w="5017" w:type="dxa"/>
          </w:tcPr>
          <w:p>
            <w:pPr>
              <w:pStyle w:val="TableParagraph"/>
              <w:spacing w:before="44"/>
              <w:ind w:left="50"/>
              <w:rPr>
                <w:sz w:val="20"/>
              </w:rPr>
            </w:pPr>
            <w:r>
              <w:rPr>
                <w:sz w:val="20"/>
              </w:rPr>
              <w:t>9. Aportaciones dinerarias</w:t>
            </w:r>
          </w:p>
        </w:tc>
        <w:tc>
          <w:tcPr>
            <w:tcW w:w="1008" w:type="dxa"/>
          </w:tcPr>
          <w:p>
            <w:pPr>
              <w:pStyle w:val="TableParagraph"/>
              <w:spacing w:before="44"/>
              <w:ind w:right="313"/>
              <w:jc w:val="right"/>
              <w:rPr>
                <w:sz w:val="20"/>
              </w:rPr>
            </w:pPr>
            <w:r>
              <w:rPr>
                <w:sz w:val="20"/>
              </w:rPr>
              <w:t>41</w:t>
            </w:r>
          </w:p>
        </w:tc>
        <w:tc>
          <w:tcPr>
            <w:tcW w:w="571" w:type="dxa"/>
          </w:tcPr>
          <w:p>
            <w:pPr>
              <w:pStyle w:val="TableParagraph"/>
              <w:rPr>
                <w:rFonts w:ascii="Times New Roman"/>
                <w:sz w:val="16"/>
              </w:rPr>
            </w:pPr>
          </w:p>
        </w:tc>
      </w:tr>
      <w:tr>
        <w:trPr>
          <w:trHeight w:val="368" w:hRule="atLeast"/>
        </w:trPr>
        <w:tc>
          <w:tcPr>
            <w:tcW w:w="5017" w:type="dxa"/>
          </w:tcPr>
          <w:p>
            <w:pPr>
              <w:pStyle w:val="TableParagraph"/>
              <w:spacing w:before="44"/>
              <w:ind w:left="50"/>
              <w:rPr>
                <w:sz w:val="20"/>
              </w:rPr>
            </w:pPr>
            <w:r>
              <w:rPr>
                <w:sz w:val="20"/>
              </w:rPr>
              <w:t>10. Aportaciones dinerarias con financiación UE (no IER)</w:t>
            </w:r>
          </w:p>
        </w:tc>
        <w:tc>
          <w:tcPr>
            <w:tcW w:w="1008" w:type="dxa"/>
          </w:tcPr>
          <w:p>
            <w:pPr>
              <w:pStyle w:val="TableParagraph"/>
              <w:spacing w:before="44"/>
              <w:ind w:right="316"/>
              <w:jc w:val="right"/>
              <w:rPr>
                <w:sz w:val="20"/>
              </w:rPr>
            </w:pPr>
            <w:r>
              <w:rPr>
                <w:w w:val="100"/>
                <w:sz w:val="20"/>
              </w:rPr>
              <w:t>9</w:t>
            </w:r>
          </w:p>
        </w:tc>
        <w:tc>
          <w:tcPr>
            <w:tcW w:w="571" w:type="dxa"/>
          </w:tcPr>
          <w:p>
            <w:pPr>
              <w:pStyle w:val="TableParagraph"/>
              <w:rPr>
                <w:rFonts w:ascii="Times New Roman"/>
                <w:sz w:val="16"/>
              </w:rPr>
            </w:pPr>
          </w:p>
        </w:tc>
      </w:tr>
      <w:tr>
        <w:trPr>
          <w:trHeight w:val="369" w:hRule="atLeast"/>
        </w:trPr>
        <w:tc>
          <w:tcPr>
            <w:tcW w:w="5017" w:type="dxa"/>
          </w:tcPr>
          <w:p>
            <w:pPr>
              <w:pStyle w:val="TableParagraph"/>
              <w:spacing w:before="44"/>
              <w:ind w:left="50"/>
              <w:rPr>
                <w:sz w:val="20"/>
              </w:rPr>
            </w:pPr>
            <w:r>
              <w:rPr>
                <w:sz w:val="20"/>
              </w:rPr>
              <w:t>11. Justificaciones (Gastos Caps. IV y VII)</w:t>
            </w:r>
          </w:p>
        </w:tc>
        <w:tc>
          <w:tcPr>
            <w:tcW w:w="1008" w:type="dxa"/>
          </w:tcPr>
          <w:p>
            <w:pPr>
              <w:pStyle w:val="TableParagraph"/>
              <w:spacing w:before="44"/>
              <w:ind w:right="313"/>
              <w:jc w:val="right"/>
              <w:rPr>
                <w:sz w:val="20"/>
              </w:rPr>
            </w:pPr>
            <w:r>
              <w:rPr>
                <w:sz w:val="20"/>
              </w:rPr>
              <w:t>356</w:t>
            </w:r>
          </w:p>
        </w:tc>
        <w:tc>
          <w:tcPr>
            <w:tcW w:w="571" w:type="dxa"/>
          </w:tcPr>
          <w:p>
            <w:pPr>
              <w:pStyle w:val="TableParagraph"/>
              <w:rPr>
                <w:rFonts w:ascii="Times New Roman"/>
                <w:sz w:val="16"/>
              </w:rPr>
            </w:pPr>
          </w:p>
        </w:tc>
      </w:tr>
      <w:tr>
        <w:trPr>
          <w:trHeight w:val="369" w:hRule="atLeast"/>
        </w:trPr>
        <w:tc>
          <w:tcPr>
            <w:tcW w:w="5017" w:type="dxa"/>
          </w:tcPr>
          <w:p>
            <w:pPr>
              <w:pStyle w:val="TableParagraph"/>
              <w:spacing w:before="44"/>
              <w:ind w:left="50"/>
              <w:rPr>
                <w:sz w:val="20"/>
              </w:rPr>
            </w:pPr>
            <w:r>
              <w:rPr>
                <w:sz w:val="20"/>
              </w:rPr>
              <w:t>12. Subvenciones Directas</w:t>
            </w:r>
          </w:p>
        </w:tc>
        <w:tc>
          <w:tcPr>
            <w:tcW w:w="1008" w:type="dxa"/>
          </w:tcPr>
          <w:p>
            <w:pPr>
              <w:pStyle w:val="TableParagraph"/>
              <w:spacing w:before="44"/>
              <w:ind w:right="313"/>
              <w:jc w:val="right"/>
              <w:rPr>
                <w:sz w:val="20"/>
              </w:rPr>
            </w:pPr>
            <w:r>
              <w:rPr>
                <w:sz w:val="20"/>
              </w:rPr>
              <w:t>328</w:t>
            </w:r>
          </w:p>
        </w:tc>
        <w:tc>
          <w:tcPr>
            <w:tcW w:w="571" w:type="dxa"/>
          </w:tcPr>
          <w:p>
            <w:pPr>
              <w:pStyle w:val="TableParagraph"/>
              <w:rPr>
                <w:rFonts w:ascii="Times New Roman"/>
                <w:sz w:val="16"/>
              </w:rPr>
            </w:pPr>
          </w:p>
        </w:tc>
      </w:tr>
      <w:tr>
        <w:trPr>
          <w:trHeight w:val="368" w:hRule="atLeast"/>
        </w:trPr>
        <w:tc>
          <w:tcPr>
            <w:tcW w:w="5017" w:type="dxa"/>
          </w:tcPr>
          <w:p>
            <w:pPr>
              <w:pStyle w:val="TableParagraph"/>
              <w:spacing w:before="44"/>
              <w:ind w:left="50"/>
              <w:rPr>
                <w:sz w:val="20"/>
              </w:rPr>
            </w:pPr>
            <w:r>
              <w:rPr>
                <w:sz w:val="20"/>
              </w:rPr>
              <w:t>13. Bases Reguladoras y Modificaciones</w:t>
            </w:r>
          </w:p>
        </w:tc>
        <w:tc>
          <w:tcPr>
            <w:tcW w:w="1008" w:type="dxa"/>
          </w:tcPr>
          <w:p>
            <w:pPr>
              <w:pStyle w:val="TableParagraph"/>
              <w:spacing w:before="44"/>
              <w:ind w:right="313"/>
              <w:jc w:val="right"/>
              <w:rPr>
                <w:sz w:val="20"/>
              </w:rPr>
            </w:pPr>
            <w:r>
              <w:rPr>
                <w:sz w:val="20"/>
              </w:rPr>
              <w:t>30</w:t>
            </w:r>
          </w:p>
        </w:tc>
        <w:tc>
          <w:tcPr>
            <w:tcW w:w="571" w:type="dxa"/>
          </w:tcPr>
          <w:p>
            <w:pPr>
              <w:pStyle w:val="TableParagraph"/>
              <w:rPr>
                <w:rFonts w:ascii="Times New Roman"/>
                <w:sz w:val="16"/>
              </w:rPr>
            </w:pPr>
          </w:p>
        </w:tc>
      </w:tr>
      <w:tr>
        <w:trPr>
          <w:trHeight w:val="496" w:hRule="atLeast"/>
        </w:trPr>
        <w:tc>
          <w:tcPr>
            <w:tcW w:w="5017" w:type="dxa"/>
          </w:tcPr>
          <w:p>
            <w:pPr>
              <w:pStyle w:val="TableParagraph"/>
              <w:spacing w:before="44"/>
              <w:ind w:left="50"/>
              <w:rPr>
                <w:sz w:val="20"/>
              </w:rPr>
            </w:pPr>
            <w:r>
              <w:rPr>
                <w:sz w:val="20"/>
              </w:rPr>
              <w:t>14. Convocatorias</w:t>
            </w:r>
          </w:p>
        </w:tc>
        <w:tc>
          <w:tcPr>
            <w:tcW w:w="1008" w:type="dxa"/>
          </w:tcPr>
          <w:p>
            <w:pPr>
              <w:pStyle w:val="TableParagraph"/>
              <w:spacing w:before="44"/>
              <w:ind w:right="313"/>
              <w:jc w:val="right"/>
              <w:rPr>
                <w:sz w:val="20"/>
              </w:rPr>
            </w:pPr>
            <w:r>
              <w:rPr>
                <w:sz w:val="20"/>
              </w:rPr>
              <w:t>188</w:t>
            </w:r>
          </w:p>
        </w:tc>
        <w:tc>
          <w:tcPr>
            <w:tcW w:w="571" w:type="dxa"/>
          </w:tcPr>
          <w:p>
            <w:pPr>
              <w:pStyle w:val="TableParagraph"/>
              <w:rPr>
                <w:rFonts w:ascii="Times New Roman"/>
                <w:sz w:val="16"/>
              </w:rPr>
            </w:pPr>
          </w:p>
        </w:tc>
      </w:tr>
      <w:tr>
        <w:trPr>
          <w:trHeight w:val="658" w:hRule="atLeast"/>
        </w:trPr>
        <w:tc>
          <w:tcPr>
            <w:tcW w:w="5017" w:type="dxa"/>
          </w:tcPr>
          <w:p>
            <w:pPr>
              <w:pStyle w:val="TableParagraph"/>
              <w:rPr>
                <w:sz w:val="20"/>
              </w:rPr>
            </w:pPr>
          </w:p>
          <w:p>
            <w:pPr>
              <w:pStyle w:val="TableParagraph"/>
              <w:spacing w:line="221" w:lineRule="exact" w:before="174"/>
              <w:ind w:left="2497"/>
              <w:rPr>
                <w:b/>
                <w:sz w:val="20"/>
              </w:rPr>
            </w:pPr>
            <w:r>
              <w:rPr>
                <w:b/>
                <w:sz w:val="20"/>
                <w:u w:val="single"/>
              </w:rPr>
              <w:t>CA-001-2023</w:t>
            </w:r>
          </w:p>
        </w:tc>
        <w:tc>
          <w:tcPr>
            <w:tcW w:w="1008" w:type="dxa"/>
          </w:tcPr>
          <w:p>
            <w:pPr>
              <w:pStyle w:val="TableParagraph"/>
              <w:rPr>
                <w:rFonts w:ascii="Times New Roman"/>
                <w:sz w:val="16"/>
              </w:rPr>
            </w:pPr>
          </w:p>
        </w:tc>
        <w:tc>
          <w:tcPr>
            <w:tcW w:w="571" w:type="dxa"/>
          </w:tcPr>
          <w:p>
            <w:pPr>
              <w:pStyle w:val="TableParagraph"/>
              <w:spacing w:before="172"/>
              <w:ind w:left="315"/>
              <w:rPr>
                <w:sz w:val="20"/>
              </w:rPr>
            </w:pPr>
            <w:r>
              <w:rPr>
                <w:sz w:val="20"/>
              </w:rPr>
              <w:t>17</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sz w:val="9"/>
              </w:rPr>
            </w:pPr>
          </w:p>
          <w:p>
            <w:pPr>
              <w:pStyle w:val="TableParagraph"/>
              <w:ind w:left="324"/>
              <w:rPr>
                <w:sz w:val="20"/>
              </w:rPr>
            </w:pPr>
            <w:r>
              <w:rPr>
                <w:sz w:val="20"/>
              </w:rPr>
              <w:drawing>
                <wp:inline distT="0" distB="0" distL="0" distR="0">
                  <wp:extent cx="514349" cy="514350"/>
                  <wp:effectExtent l="0" t="0" r="0" b="0"/>
                  <wp:docPr id="45" name="image5.png"/>
                  <wp:cNvGraphicFramePr>
                    <a:graphicFrameLocks noChangeAspect="1"/>
                  </wp:cNvGraphicFramePr>
                  <a:graphic>
                    <a:graphicData uri="http://schemas.openxmlformats.org/drawingml/2006/picture">
                      <pic:pic>
                        <pic:nvPicPr>
                          <pic:cNvPr id="4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19/247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5"/>
        <w:rPr>
          <w:sz w:val="17"/>
        </w:rPr>
      </w:pPr>
    </w:p>
    <w:tbl>
      <w:tblPr>
        <w:tblW w:w="0" w:type="auto"/>
        <w:jc w:val="left"/>
        <w:tblInd w:w="2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3"/>
        <w:gridCol w:w="1158"/>
      </w:tblGrid>
      <w:tr>
        <w:trPr>
          <w:trHeight w:val="285" w:hRule="atLeast"/>
        </w:trPr>
        <w:tc>
          <w:tcPr>
            <w:tcW w:w="4483" w:type="dxa"/>
          </w:tcPr>
          <w:p>
            <w:pPr>
              <w:pStyle w:val="TableParagraph"/>
              <w:spacing w:line="205" w:lineRule="exact"/>
              <w:ind w:left="50"/>
              <w:rPr>
                <w:sz w:val="20"/>
              </w:rPr>
            </w:pPr>
            <w:r>
              <w:rPr>
                <w:sz w:val="20"/>
              </w:rPr>
              <w:t>15. Bases con Convocatoria</w:t>
            </w:r>
          </w:p>
        </w:tc>
        <w:tc>
          <w:tcPr>
            <w:tcW w:w="1158" w:type="dxa"/>
          </w:tcPr>
          <w:p>
            <w:pPr>
              <w:pStyle w:val="TableParagraph"/>
              <w:spacing w:line="205" w:lineRule="exact"/>
              <w:ind w:right="48"/>
              <w:jc w:val="right"/>
              <w:rPr>
                <w:sz w:val="20"/>
              </w:rPr>
            </w:pPr>
            <w:r>
              <w:rPr>
                <w:sz w:val="20"/>
              </w:rPr>
              <w:t>37</w:t>
            </w:r>
          </w:p>
        </w:tc>
      </w:tr>
      <w:tr>
        <w:trPr>
          <w:trHeight w:val="368" w:hRule="atLeast"/>
        </w:trPr>
        <w:tc>
          <w:tcPr>
            <w:tcW w:w="4483" w:type="dxa"/>
          </w:tcPr>
          <w:p>
            <w:pPr>
              <w:pStyle w:val="TableParagraph"/>
              <w:spacing w:before="44"/>
              <w:ind w:left="50"/>
              <w:rPr>
                <w:sz w:val="20"/>
              </w:rPr>
            </w:pPr>
            <w:r>
              <w:rPr>
                <w:sz w:val="20"/>
              </w:rPr>
              <w:t>16. Ayudas de Emergencia Volcán La Palma</w:t>
            </w:r>
          </w:p>
        </w:tc>
        <w:tc>
          <w:tcPr>
            <w:tcW w:w="1158" w:type="dxa"/>
          </w:tcPr>
          <w:p>
            <w:pPr>
              <w:pStyle w:val="TableParagraph"/>
              <w:spacing w:before="44"/>
              <w:ind w:right="50"/>
              <w:jc w:val="right"/>
              <w:rPr>
                <w:sz w:val="20"/>
              </w:rPr>
            </w:pPr>
            <w:r>
              <w:rPr>
                <w:w w:val="100"/>
                <w:sz w:val="20"/>
              </w:rPr>
              <w:t>8</w:t>
            </w:r>
          </w:p>
        </w:tc>
      </w:tr>
      <w:tr>
        <w:trPr>
          <w:trHeight w:val="368" w:hRule="atLeast"/>
        </w:trPr>
        <w:tc>
          <w:tcPr>
            <w:tcW w:w="4483" w:type="dxa"/>
          </w:tcPr>
          <w:p>
            <w:pPr>
              <w:pStyle w:val="TableParagraph"/>
              <w:spacing w:before="44"/>
              <w:ind w:left="50"/>
              <w:rPr>
                <w:sz w:val="20"/>
              </w:rPr>
            </w:pPr>
            <w:r>
              <w:rPr>
                <w:sz w:val="20"/>
              </w:rPr>
              <w:t>17. Subvenciones (IER)</w:t>
            </w:r>
          </w:p>
        </w:tc>
        <w:tc>
          <w:tcPr>
            <w:tcW w:w="1158" w:type="dxa"/>
          </w:tcPr>
          <w:p>
            <w:pPr>
              <w:pStyle w:val="TableParagraph"/>
              <w:spacing w:before="44"/>
              <w:ind w:right="48"/>
              <w:jc w:val="right"/>
              <w:rPr>
                <w:sz w:val="20"/>
              </w:rPr>
            </w:pPr>
            <w:r>
              <w:rPr>
                <w:sz w:val="20"/>
              </w:rPr>
              <w:t>19</w:t>
            </w:r>
          </w:p>
        </w:tc>
      </w:tr>
      <w:tr>
        <w:trPr>
          <w:trHeight w:val="368" w:hRule="atLeast"/>
        </w:trPr>
        <w:tc>
          <w:tcPr>
            <w:tcW w:w="4483" w:type="dxa"/>
          </w:tcPr>
          <w:p>
            <w:pPr>
              <w:pStyle w:val="TableParagraph"/>
              <w:spacing w:before="44"/>
              <w:ind w:left="50"/>
              <w:rPr>
                <w:sz w:val="20"/>
              </w:rPr>
            </w:pPr>
            <w:r>
              <w:rPr>
                <w:sz w:val="20"/>
              </w:rPr>
              <w:t>18. Subvenciones en Concurrencia (PRTR)</w:t>
            </w:r>
          </w:p>
        </w:tc>
        <w:tc>
          <w:tcPr>
            <w:tcW w:w="1158" w:type="dxa"/>
          </w:tcPr>
          <w:p>
            <w:pPr>
              <w:pStyle w:val="TableParagraph"/>
              <w:spacing w:before="44"/>
              <w:ind w:right="48"/>
              <w:jc w:val="right"/>
              <w:rPr>
                <w:sz w:val="20"/>
              </w:rPr>
            </w:pPr>
            <w:r>
              <w:rPr>
                <w:sz w:val="20"/>
              </w:rPr>
              <w:t>26</w:t>
            </w:r>
          </w:p>
        </w:tc>
      </w:tr>
      <w:tr>
        <w:trPr>
          <w:trHeight w:val="369" w:hRule="atLeast"/>
        </w:trPr>
        <w:tc>
          <w:tcPr>
            <w:tcW w:w="4483" w:type="dxa"/>
          </w:tcPr>
          <w:p>
            <w:pPr>
              <w:pStyle w:val="TableParagraph"/>
              <w:spacing w:before="44"/>
              <w:ind w:left="50"/>
              <w:rPr>
                <w:sz w:val="20"/>
              </w:rPr>
            </w:pPr>
            <w:r>
              <w:rPr>
                <w:sz w:val="20"/>
              </w:rPr>
              <w:t>19. Subvenciones directas (PRTR)</w:t>
            </w:r>
          </w:p>
        </w:tc>
        <w:tc>
          <w:tcPr>
            <w:tcW w:w="1158" w:type="dxa"/>
          </w:tcPr>
          <w:p>
            <w:pPr>
              <w:pStyle w:val="TableParagraph"/>
              <w:spacing w:before="44"/>
              <w:ind w:right="48"/>
              <w:jc w:val="right"/>
              <w:rPr>
                <w:sz w:val="20"/>
              </w:rPr>
            </w:pPr>
            <w:r>
              <w:rPr>
                <w:sz w:val="20"/>
              </w:rPr>
              <w:t>26</w:t>
            </w:r>
          </w:p>
        </w:tc>
      </w:tr>
      <w:tr>
        <w:trPr>
          <w:trHeight w:val="369" w:hRule="atLeast"/>
        </w:trPr>
        <w:tc>
          <w:tcPr>
            <w:tcW w:w="4483" w:type="dxa"/>
          </w:tcPr>
          <w:p>
            <w:pPr>
              <w:pStyle w:val="TableParagraph"/>
              <w:spacing w:before="45"/>
              <w:ind w:left="50"/>
              <w:rPr>
                <w:sz w:val="20"/>
              </w:rPr>
            </w:pPr>
            <w:r>
              <w:rPr>
                <w:sz w:val="20"/>
              </w:rPr>
              <w:t>20. Aportaciones Dinerarias (PRTR)</w:t>
            </w:r>
          </w:p>
        </w:tc>
        <w:tc>
          <w:tcPr>
            <w:tcW w:w="1158" w:type="dxa"/>
          </w:tcPr>
          <w:p>
            <w:pPr>
              <w:pStyle w:val="TableParagraph"/>
              <w:spacing w:before="45"/>
              <w:ind w:right="48"/>
              <w:jc w:val="right"/>
              <w:rPr>
                <w:sz w:val="20"/>
              </w:rPr>
            </w:pPr>
            <w:r>
              <w:rPr>
                <w:sz w:val="20"/>
              </w:rPr>
              <w:t>12</w:t>
            </w:r>
          </w:p>
        </w:tc>
      </w:tr>
      <w:tr>
        <w:trPr>
          <w:trHeight w:val="369" w:hRule="atLeast"/>
        </w:trPr>
        <w:tc>
          <w:tcPr>
            <w:tcW w:w="4483" w:type="dxa"/>
          </w:tcPr>
          <w:p>
            <w:pPr>
              <w:pStyle w:val="TableParagraph"/>
              <w:spacing w:before="44"/>
              <w:ind w:left="50"/>
              <w:rPr>
                <w:sz w:val="20"/>
              </w:rPr>
            </w:pPr>
            <w:r>
              <w:rPr>
                <w:sz w:val="20"/>
              </w:rPr>
              <w:t>21. Convenios</w:t>
            </w:r>
          </w:p>
        </w:tc>
        <w:tc>
          <w:tcPr>
            <w:tcW w:w="1158" w:type="dxa"/>
          </w:tcPr>
          <w:p>
            <w:pPr>
              <w:pStyle w:val="TableParagraph"/>
              <w:spacing w:before="44"/>
              <w:ind w:right="48"/>
              <w:jc w:val="right"/>
              <w:rPr>
                <w:sz w:val="20"/>
              </w:rPr>
            </w:pPr>
            <w:r>
              <w:rPr>
                <w:sz w:val="20"/>
              </w:rPr>
              <w:t>49</w:t>
            </w:r>
          </w:p>
        </w:tc>
      </w:tr>
      <w:tr>
        <w:trPr>
          <w:trHeight w:val="285" w:hRule="atLeast"/>
        </w:trPr>
        <w:tc>
          <w:tcPr>
            <w:tcW w:w="4483" w:type="dxa"/>
          </w:tcPr>
          <w:p>
            <w:pPr>
              <w:pStyle w:val="TableParagraph"/>
              <w:spacing w:line="221" w:lineRule="exact" w:before="44"/>
              <w:ind w:left="50"/>
              <w:rPr>
                <w:sz w:val="20"/>
              </w:rPr>
            </w:pPr>
            <w:r>
              <w:rPr>
                <w:sz w:val="20"/>
              </w:rPr>
              <w:t>22. Omisiones de fiscalización</w:t>
            </w:r>
          </w:p>
        </w:tc>
        <w:tc>
          <w:tcPr>
            <w:tcW w:w="1158" w:type="dxa"/>
          </w:tcPr>
          <w:p>
            <w:pPr>
              <w:pStyle w:val="TableParagraph"/>
              <w:spacing w:line="221" w:lineRule="exact" w:before="44"/>
              <w:ind w:right="50"/>
              <w:jc w:val="right"/>
              <w:rPr>
                <w:sz w:val="20"/>
              </w:rPr>
            </w:pPr>
            <w:r>
              <w:rPr>
                <w:w w:val="100"/>
                <w:sz w:val="20"/>
              </w:rPr>
              <w:t>6</w:t>
            </w:r>
          </w:p>
        </w:tc>
      </w:tr>
    </w:tbl>
    <w:p>
      <w:pPr>
        <w:pStyle w:val="BodyText"/>
        <w:rPr>
          <w:sz w:val="22"/>
        </w:rPr>
      </w:pPr>
    </w:p>
    <w:p>
      <w:pPr>
        <w:pStyle w:val="BodyText"/>
        <w:spacing w:before="61"/>
        <w:ind w:left="2096" w:right="1142" w:firstLine="594"/>
        <w:jc w:val="both"/>
      </w:pPr>
      <w:r>
        <w:rPr/>
        <w:t>La modalidad de control financiero permanente se aplica sobre el conjunto de actos de contenido económico referentes a gastos de personal y, en las restantes tipologías no exceptuadas de su aplicación por el Acuerdo de Gobierno anteriormente citado, plasmándose los resultados en los informes anuales emitidos por las intervenciones delegadas y/o los servicios centrales de la IGCAC.</w:t>
      </w:r>
    </w:p>
    <w:p>
      <w:pPr>
        <w:pStyle w:val="BodyText"/>
        <w:spacing w:before="2"/>
        <w:rPr>
          <w:sz w:val="17"/>
        </w:rPr>
      </w:pPr>
    </w:p>
    <w:p>
      <w:pPr>
        <w:pStyle w:val="BodyText"/>
        <w:ind w:left="2096" w:right="1141" w:firstLine="594"/>
        <w:jc w:val="both"/>
      </w:pPr>
      <w:r>
        <w:rPr/>
        <w:t>De conformidad con lo establecido en el Art. 41 del ROFIG, antes del 1 de mayo se remitirá el informe provisional, al Consejero o Consejera del departamento, estableciendo la unidad de control el plazo para formular las alegaciones por el órgano gestor, transcurrido el cual se emitirá el informe definitivo.</w:t>
      </w:r>
    </w:p>
    <w:p>
      <w:pPr>
        <w:pStyle w:val="BodyText"/>
        <w:spacing w:before="1"/>
        <w:rPr>
          <w:sz w:val="17"/>
        </w:rPr>
      </w:pPr>
    </w:p>
    <w:p>
      <w:pPr>
        <w:pStyle w:val="BodyText"/>
        <w:ind w:left="2690"/>
      </w:pPr>
      <w:r>
        <w:rPr/>
        <w:t>No obstante todos los informes definitivos, salvo los relativos a “otros gastos”,</w:t>
      </w:r>
    </w:p>
    <w:p>
      <w:pPr>
        <w:pStyle w:val="BodyText"/>
        <w:spacing w:before="4"/>
        <w:ind w:left="2096"/>
        <w:jc w:val="both"/>
      </w:pPr>
      <w:r>
        <w:rPr/>
        <w:t>correspondiente a contratación de obras y a las consejerías de:</w:t>
      </w:r>
    </w:p>
    <w:p>
      <w:pPr>
        <w:pStyle w:val="BodyText"/>
        <w:spacing w:before="7"/>
        <w:rPr>
          <w:sz w:val="16"/>
        </w:rPr>
      </w:pPr>
    </w:p>
    <w:p>
      <w:pPr>
        <w:pStyle w:val="ListParagraph"/>
        <w:numPr>
          <w:ilvl w:val="0"/>
          <w:numId w:val="6"/>
        </w:numPr>
        <w:tabs>
          <w:tab w:pos="2700" w:val="left" w:leader="none"/>
          <w:tab w:pos="2701" w:val="left" w:leader="none"/>
        </w:tabs>
        <w:spacing w:line="240" w:lineRule="auto" w:before="0" w:after="0"/>
        <w:ind w:left="2700" w:right="0" w:hanging="303"/>
        <w:jc w:val="left"/>
        <w:rPr>
          <w:i/>
          <w:sz w:val="20"/>
        </w:rPr>
      </w:pPr>
      <w:r>
        <w:rPr>
          <w:i/>
          <w:sz w:val="20"/>
        </w:rPr>
        <w:t>Sanidad</w:t>
      </w:r>
    </w:p>
    <w:p>
      <w:pPr>
        <w:pStyle w:val="ListParagraph"/>
        <w:numPr>
          <w:ilvl w:val="0"/>
          <w:numId w:val="6"/>
        </w:numPr>
        <w:tabs>
          <w:tab w:pos="2700" w:val="left" w:leader="none"/>
          <w:tab w:pos="2701" w:val="left" w:leader="none"/>
        </w:tabs>
        <w:spacing w:line="240" w:lineRule="auto" w:before="1" w:after="0"/>
        <w:ind w:left="2700" w:right="0" w:hanging="303"/>
        <w:jc w:val="left"/>
        <w:rPr>
          <w:i/>
          <w:sz w:val="20"/>
        </w:rPr>
      </w:pPr>
      <w:r>
        <w:rPr>
          <w:i/>
          <w:sz w:val="20"/>
        </w:rPr>
        <w:t>Educación, Universidades, Cultura y</w:t>
      </w:r>
      <w:r>
        <w:rPr>
          <w:i/>
          <w:spacing w:val="2"/>
          <w:sz w:val="20"/>
        </w:rPr>
        <w:t> </w:t>
      </w:r>
      <w:r>
        <w:rPr>
          <w:i/>
          <w:sz w:val="20"/>
        </w:rPr>
        <w:t>Deportes</w:t>
      </w:r>
    </w:p>
    <w:p>
      <w:pPr>
        <w:pStyle w:val="ListParagraph"/>
        <w:numPr>
          <w:ilvl w:val="0"/>
          <w:numId w:val="6"/>
        </w:numPr>
        <w:tabs>
          <w:tab w:pos="2700" w:val="left" w:leader="none"/>
          <w:tab w:pos="2701" w:val="left" w:leader="none"/>
        </w:tabs>
        <w:spacing w:line="240" w:lineRule="auto" w:before="1" w:after="0"/>
        <w:ind w:left="2700" w:right="0" w:hanging="303"/>
        <w:jc w:val="left"/>
        <w:rPr>
          <w:i/>
          <w:sz w:val="20"/>
        </w:rPr>
      </w:pPr>
      <w:r>
        <w:rPr>
          <w:i/>
          <w:sz w:val="20"/>
        </w:rPr>
        <w:t>Turismo industria y</w:t>
      </w:r>
      <w:r>
        <w:rPr>
          <w:i/>
          <w:spacing w:val="1"/>
          <w:sz w:val="20"/>
        </w:rPr>
        <w:t> </w:t>
      </w:r>
      <w:r>
        <w:rPr>
          <w:i/>
          <w:sz w:val="20"/>
        </w:rPr>
        <w:t>comercio</w:t>
      </w:r>
    </w:p>
    <w:p>
      <w:pPr>
        <w:pStyle w:val="ListParagraph"/>
        <w:numPr>
          <w:ilvl w:val="0"/>
          <w:numId w:val="6"/>
        </w:numPr>
        <w:tabs>
          <w:tab w:pos="2694" w:val="left" w:leader="none"/>
          <w:tab w:pos="2695" w:val="left" w:leader="none"/>
        </w:tabs>
        <w:spacing w:line="240" w:lineRule="auto" w:before="6" w:after="0"/>
        <w:ind w:left="2694" w:right="0" w:hanging="299"/>
        <w:jc w:val="left"/>
        <w:rPr>
          <w:i/>
          <w:sz w:val="20"/>
        </w:rPr>
      </w:pPr>
      <w:r>
        <w:rPr>
          <w:i/>
          <w:sz w:val="20"/>
        </w:rPr>
        <w:t>Transición Ecológica, lucha contra el cambio climático y planificación</w:t>
      </w:r>
      <w:r>
        <w:rPr>
          <w:i/>
          <w:spacing w:val="5"/>
          <w:sz w:val="20"/>
        </w:rPr>
        <w:t> </w:t>
      </w:r>
      <w:r>
        <w:rPr>
          <w:i/>
          <w:sz w:val="20"/>
        </w:rPr>
        <w:t>territorial</w:t>
      </w:r>
    </w:p>
    <w:p>
      <w:pPr>
        <w:spacing w:line="242" w:lineRule="auto" w:before="201"/>
        <w:ind w:left="2096" w:right="1141" w:firstLine="46"/>
        <w:jc w:val="both"/>
        <w:rPr>
          <w:i/>
          <w:sz w:val="20"/>
        </w:rPr>
      </w:pPr>
      <w:r>
        <w:rPr>
          <w:i/>
          <w:sz w:val="20"/>
        </w:rPr>
        <w:t>fueron emitidos fuera del plazo máximo, considerando lo dispuesto en el art 41 del </w:t>
      </w:r>
      <w:r>
        <w:rPr>
          <w:i/>
          <w:sz w:val="20"/>
        </w:rPr>
        <w:t>ROFIG, la Norma Técnica para el desarrollo de las actuaciones de control financiero permanente en el área de gastos de los sujetos del sector público con presupuesto limitativo y la Resolución de la Intervención General 298/2023 de 26 de abril”.</w:t>
      </w:r>
    </w:p>
    <w:p>
      <w:pPr>
        <w:pStyle w:val="BodyText"/>
        <w:rPr>
          <w:i/>
        </w:rPr>
      </w:pPr>
    </w:p>
    <w:p>
      <w:pPr>
        <w:pStyle w:val="BodyText"/>
        <w:rPr>
          <w:i/>
        </w:rPr>
      </w:pPr>
    </w:p>
    <w:p>
      <w:pPr>
        <w:pStyle w:val="BodyText"/>
        <w:rPr>
          <w:i/>
        </w:rPr>
      </w:pPr>
    </w:p>
    <w:p>
      <w:pPr>
        <w:pStyle w:val="BodyText"/>
        <w:rPr>
          <w:i/>
        </w:rPr>
      </w:pPr>
    </w:p>
    <w:p>
      <w:pPr>
        <w:pStyle w:val="BodyText"/>
        <w:spacing w:before="10"/>
        <w:rPr>
          <w:i/>
          <w:sz w:val="17"/>
        </w:rPr>
      </w:pPr>
    </w:p>
    <w:p>
      <w:pPr>
        <w:pStyle w:val="BodyText"/>
        <w:ind w:left="7897"/>
        <w:jc w:val="center"/>
      </w:pPr>
      <w:r>
        <w:rPr/>
        <w:t>18</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47" name="image5.png"/>
                  <wp:cNvGraphicFramePr>
                    <a:graphicFrameLocks noChangeAspect="1"/>
                  </wp:cNvGraphicFramePr>
                  <a:graphic>
                    <a:graphicData uri="http://schemas.openxmlformats.org/drawingml/2006/picture">
                      <pic:pic>
                        <pic:nvPicPr>
                          <pic:cNvPr id="4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20/247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rPr>
          <w:b/>
          <w:sz w:val="14"/>
        </w:rPr>
      </w:pPr>
    </w:p>
    <w:p>
      <w:pPr>
        <w:pStyle w:val="BodyText"/>
        <w:ind w:left="2804"/>
      </w:pPr>
      <w:r>
        <w:rPr/>
        <w:pict>
          <v:group style="width:285.8pt;height:19.25pt;mso-position-horizontal-relative:char;mso-position-vertical-relative:line" coordorigin="0,0" coordsize="5716,385">
            <v:rect style="position:absolute;left:3690;top:8;width:1073;height:369" filled="true" fillcolor="#deeaf6" stroked="false">
              <v:fill type="solid"/>
            </v:rect>
            <v:rect style="position:absolute;left:3781;top:8;width:892;height:186" filled="true" fillcolor="#deeaf6" stroked="false">
              <v:fill type="solid"/>
            </v:rect>
            <v:rect style="position:absolute;left:3781;top:193;width:892;height:184" filled="true" fillcolor="#deeaf6" stroked="false">
              <v:fill type="solid"/>
            </v:rect>
            <v:rect style="position:absolute;left:4762;top:8;width:954;height:369" filled="true" fillcolor="#deeaf6" stroked="false">
              <v:fill type="solid"/>
            </v:rect>
            <v:rect style="position:absolute;left:4853;top:8;width:772;height:186" filled="true" fillcolor="#deeaf6" stroked="false">
              <v:fill type="solid"/>
            </v:rect>
            <v:rect style="position:absolute;left:4853;top:193;width:772;height:184" filled="true" fillcolor="#deeaf6" stroked="false">
              <v:fill type="solid"/>
            </v:rect>
            <v:line style="position:absolute" from="3690,4" to="4763,4" stroked="true" strokeweight=".403006pt" strokecolor="#000000">
              <v:stroke dashstyle="solid"/>
            </v:line>
            <v:rect style="position:absolute;left:4762;top:0;width:9;height:9" filled="true" fillcolor="#000000" stroked="false">
              <v:fill type="solid"/>
            </v:rect>
            <v:line style="position:absolute" from="4771,4" to="5714,4" stroked="true" strokeweight=".403006pt" strokecolor="#000000">
              <v:stroke dashstyle="solid"/>
            </v:line>
            <v:line style="position:absolute" from="0,381" to="3690,381" stroked="true" strokeweight=".403006pt" strokecolor="#000000">
              <v:stroke dashstyle="solid"/>
            </v:line>
            <v:shape style="position:absolute;left:5036;top:39;width:421;height:335" type="#_x0000_t202" filled="false" stroked="false">
              <v:textbox inset="0,0,0,0">
                <w:txbxContent>
                  <w:p>
                    <w:pPr>
                      <w:spacing w:line="154" w:lineRule="exact" w:before="0"/>
                      <w:ind w:left="26" w:right="0" w:firstLine="0"/>
                      <w:jc w:val="left"/>
                      <w:rPr>
                        <w:b/>
                        <w:sz w:val="15"/>
                      </w:rPr>
                    </w:pPr>
                    <w:r>
                      <w:rPr>
                        <w:b/>
                        <w:sz w:val="15"/>
                      </w:rPr>
                      <w:t>Otros</w:t>
                    </w:r>
                  </w:p>
                  <w:p>
                    <w:pPr>
                      <w:spacing w:line="181" w:lineRule="exact" w:before="0"/>
                      <w:ind w:left="0" w:right="0" w:firstLine="0"/>
                      <w:jc w:val="left"/>
                      <w:rPr>
                        <w:b/>
                        <w:sz w:val="15"/>
                      </w:rPr>
                    </w:pPr>
                    <w:r>
                      <w:rPr>
                        <w:b/>
                        <w:sz w:val="15"/>
                      </w:rPr>
                      <w:t>gastos</w:t>
                    </w:r>
                  </w:p>
                </w:txbxContent>
              </v:textbox>
              <w10:wrap type="none"/>
            </v:shape>
            <v:shape style="position:absolute;left:3934;top:39;width:600;height:335" type="#_x0000_t202" filled="false" stroked="false">
              <v:textbox inset="0,0,0,0">
                <w:txbxContent>
                  <w:p>
                    <w:pPr>
                      <w:spacing w:line="154" w:lineRule="exact" w:before="0"/>
                      <w:ind w:left="12" w:right="0" w:firstLine="0"/>
                      <w:jc w:val="left"/>
                      <w:rPr>
                        <w:b/>
                        <w:sz w:val="15"/>
                      </w:rPr>
                    </w:pPr>
                    <w:r>
                      <w:rPr>
                        <w:b/>
                        <w:sz w:val="15"/>
                      </w:rPr>
                      <w:t>Recursos</w:t>
                    </w:r>
                  </w:p>
                  <w:p>
                    <w:pPr>
                      <w:spacing w:line="181" w:lineRule="exact" w:before="0"/>
                      <w:ind w:left="0" w:right="0" w:firstLine="0"/>
                      <w:jc w:val="left"/>
                      <w:rPr>
                        <w:b/>
                        <w:sz w:val="15"/>
                      </w:rPr>
                    </w:pPr>
                    <w:r>
                      <w:rPr>
                        <w:b/>
                        <w:sz w:val="15"/>
                      </w:rPr>
                      <w:t>humanos</w:t>
                    </w:r>
                  </w:p>
                </w:txbxContent>
              </v:textbox>
              <w10:wrap type="none"/>
            </v:shape>
          </v:group>
        </w:pict>
      </w:r>
      <w:r>
        <w:rPr/>
      </w:r>
    </w:p>
    <w:p>
      <w:pPr>
        <w:tabs>
          <w:tab w:pos="6786" w:val="left" w:leader="none"/>
          <w:tab w:pos="7798" w:val="left" w:leader="none"/>
        </w:tabs>
        <w:spacing w:line="154" w:lineRule="exact" w:before="0"/>
        <w:ind w:left="2900" w:right="0" w:firstLine="0"/>
        <w:jc w:val="left"/>
        <w:rPr>
          <w:sz w:val="15"/>
        </w:rPr>
      </w:pPr>
      <w:r>
        <w:rPr>
          <w:sz w:val="15"/>
        </w:rPr>
        <w:t>Presidencia del Gobierno</w:t>
        <w:tab/>
        <w:t>30/8/23</w:t>
        <w:tab/>
        <w:t>19/9/23</w:t>
      </w:r>
    </w:p>
    <w:p>
      <w:pPr>
        <w:tabs>
          <w:tab w:pos="6786" w:val="left" w:leader="none"/>
          <w:tab w:pos="7798" w:val="left" w:leader="none"/>
        </w:tabs>
        <w:spacing w:before="2"/>
        <w:ind w:left="2900" w:right="0" w:firstLine="0"/>
        <w:jc w:val="left"/>
        <w:rPr>
          <w:sz w:val="15"/>
        </w:rPr>
      </w:pPr>
      <w:r>
        <w:rPr>
          <w:sz w:val="15"/>
        </w:rPr>
        <w:t>C. de Hacienda, Presupuestos y</w:t>
      </w:r>
      <w:r>
        <w:rPr>
          <w:spacing w:val="5"/>
          <w:sz w:val="15"/>
        </w:rPr>
        <w:t> </w:t>
      </w:r>
      <w:r>
        <w:rPr>
          <w:sz w:val="15"/>
        </w:rPr>
        <w:t>Asuntos Europeos.</w:t>
        <w:tab/>
        <w:t>30/8/23</w:t>
        <w:tab/>
        <w:t>12/9/23</w:t>
      </w:r>
    </w:p>
    <w:p>
      <w:pPr>
        <w:tabs>
          <w:tab w:pos="6786" w:val="left" w:leader="none"/>
          <w:tab w:pos="7798" w:val="left" w:leader="none"/>
        </w:tabs>
        <w:spacing w:before="0"/>
        <w:ind w:left="2900" w:right="0" w:firstLine="0"/>
        <w:jc w:val="left"/>
        <w:rPr>
          <w:sz w:val="15"/>
        </w:rPr>
      </w:pPr>
      <w:r>
        <w:rPr>
          <w:sz w:val="15"/>
        </w:rPr>
        <w:t>C. de Administraciones Públicas, Justicia</w:t>
      </w:r>
      <w:r>
        <w:rPr>
          <w:spacing w:val="1"/>
          <w:sz w:val="15"/>
        </w:rPr>
        <w:t> </w:t>
      </w:r>
      <w:r>
        <w:rPr>
          <w:sz w:val="15"/>
        </w:rPr>
        <w:t>y</w:t>
      </w:r>
      <w:r>
        <w:rPr>
          <w:spacing w:val="1"/>
          <w:sz w:val="15"/>
        </w:rPr>
        <w:t> </w:t>
      </w:r>
      <w:r>
        <w:rPr>
          <w:sz w:val="15"/>
        </w:rPr>
        <w:t>Seguridad.</w:t>
        <w:tab/>
        <w:t>30/8/23</w:t>
        <w:tab/>
        <w:t>10/8/23</w:t>
      </w:r>
    </w:p>
    <w:p>
      <w:pPr>
        <w:tabs>
          <w:tab w:pos="6786" w:val="left" w:leader="none"/>
          <w:tab w:pos="7798" w:val="left" w:leader="none"/>
        </w:tabs>
        <w:spacing w:before="3"/>
        <w:ind w:left="2900" w:right="0" w:firstLine="0"/>
        <w:jc w:val="left"/>
        <w:rPr>
          <w:sz w:val="15"/>
        </w:rPr>
      </w:pPr>
      <w:r>
        <w:rPr>
          <w:sz w:val="15"/>
        </w:rPr>
        <w:t>C. de Derechos Sociales, Igualdad, Diversidad</w:t>
      </w:r>
      <w:r>
        <w:rPr>
          <w:spacing w:val="2"/>
          <w:sz w:val="15"/>
        </w:rPr>
        <w:t> </w:t>
      </w:r>
      <w:r>
        <w:rPr>
          <w:sz w:val="15"/>
        </w:rPr>
        <w:t>y</w:t>
      </w:r>
      <w:r>
        <w:rPr>
          <w:spacing w:val="1"/>
          <w:sz w:val="15"/>
        </w:rPr>
        <w:t> </w:t>
      </w:r>
      <w:r>
        <w:rPr>
          <w:sz w:val="15"/>
        </w:rPr>
        <w:t>Juventud.</w:t>
        <w:tab/>
        <w:t>30/8/23</w:t>
        <w:tab/>
        <w:t>12/9/23</w:t>
      </w:r>
    </w:p>
    <w:p>
      <w:pPr>
        <w:tabs>
          <w:tab w:pos="6636" w:val="left" w:leader="none"/>
          <w:tab w:pos="7798" w:val="left" w:leader="none"/>
        </w:tabs>
        <w:spacing w:before="0"/>
        <w:ind w:left="2900" w:right="0" w:firstLine="0"/>
        <w:jc w:val="left"/>
        <w:rPr>
          <w:sz w:val="15"/>
        </w:rPr>
      </w:pPr>
      <w:r>
        <w:rPr>
          <w:sz w:val="15"/>
        </w:rPr>
        <w:t>C. de</w:t>
      </w:r>
      <w:r>
        <w:rPr>
          <w:spacing w:val="-1"/>
          <w:sz w:val="15"/>
        </w:rPr>
        <w:t> </w:t>
      </w:r>
      <w:r>
        <w:rPr>
          <w:sz w:val="15"/>
        </w:rPr>
        <w:t>Sanidad.</w:t>
        <w:tab/>
        <w:t>NO</w:t>
      </w:r>
      <w:r>
        <w:rPr>
          <w:spacing w:val="1"/>
          <w:sz w:val="15"/>
        </w:rPr>
        <w:t> </w:t>
      </w:r>
      <w:r>
        <w:rPr>
          <w:sz w:val="15"/>
        </w:rPr>
        <w:t>SE</w:t>
      </w:r>
      <w:r>
        <w:rPr>
          <w:spacing w:val="1"/>
          <w:sz w:val="15"/>
        </w:rPr>
        <w:t> </w:t>
      </w:r>
      <w:r>
        <w:rPr>
          <w:sz w:val="15"/>
        </w:rPr>
        <w:t>EMITE</w:t>
        <w:tab/>
        <w:t>14/7/23</w:t>
      </w:r>
    </w:p>
    <w:p>
      <w:pPr>
        <w:tabs>
          <w:tab w:pos="6786" w:val="left" w:leader="none"/>
          <w:tab w:pos="7798" w:val="left" w:leader="none"/>
        </w:tabs>
        <w:spacing w:before="2"/>
        <w:ind w:left="2900" w:right="0" w:firstLine="0"/>
        <w:jc w:val="left"/>
        <w:rPr>
          <w:sz w:val="15"/>
        </w:rPr>
      </w:pPr>
      <w:r>
        <w:rPr>
          <w:sz w:val="15"/>
        </w:rPr>
        <w:t>C. de Educación, Universidades, Cultura y</w:t>
      </w:r>
      <w:r>
        <w:rPr>
          <w:spacing w:val="1"/>
          <w:sz w:val="15"/>
        </w:rPr>
        <w:t> </w:t>
      </w:r>
      <w:r>
        <w:rPr>
          <w:sz w:val="15"/>
        </w:rPr>
        <w:t>Deportes.</w:t>
        <w:tab/>
        <w:t>30/8/23</w:t>
        <w:tab/>
        <w:t>28/7/23</w:t>
      </w:r>
    </w:p>
    <w:p>
      <w:pPr>
        <w:tabs>
          <w:tab w:pos="6786" w:val="left" w:leader="none"/>
          <w:tab w:pos="7798" w:val="left" w:leader="none"/>
        </w:tabs>
        <w:spacing w:before="0"/>
        <w:ind w:left="2900" w:right="0" w:firstLine="0"/>
        <w:jc w:val="left"/>
        <w:rPr>
          <w:sz w:val="15"/>
        </w:rPr>
      </w:pPr>
      <w:r>
        <w:rPr>
          <w:sz w:val="15"/>
        </w:rPr>
        <w:t>C. de Economía, Conocimiento</w:t>
      </w:r>
      <w:r>
        <w:rPr>
          <w:spacing w:val="1"/>
          <w:sz w:val="15"/>
        </w:rPr>
        <w:t> </w:t>
      </w:r>
      <w:r>
        <w:rPr>
          <w:sz w:val="15"/>
        </w:rPr>
        <w:t>y</w:t>
      </w:r>
      <w:r>
        <w:rPr>
          <w:spacing w:val="1"/>
          <w:sz w:val="15"/>
        </w:rPr>
        <w:t> </w:t>
      </w:r>
      <w:r>
        <w:rPr>
          <w:sz w:val="15"/>
        </w:rPr>
        <w:t>Empleo.</w:t>
        <w:tab/>
        <w:t>30/8/23</w:t>
        <w:tab/>
        <w:t>19/9/23</w:t>
      </w:r>
    </w:p>
    <w:p>
      <w:pPr>
        <w:tabs>
          <w:tab w:pos="6786" w:val="left" w:leader="none"/>
          <w:tab w:pos="7798" w:val="left" w:leader="none"/>
        </w:tabs>
        <w:spacing w:before="3"/>
        <w:ind w:left="2900" w:right="0" w:firstLine="0"/>
        <w:jc w:val="left"/>
        <w:rPr>
          <w:sz w:val="15"/>
        </w:rPr>
      </w:pPr>
      <w:r>
        <w:rPr>
          <w:sz w:val="15"/>
        </w:rPr>
        <w:t>C. de Agricultura, Ganadería</w:t>
      </w:r>
      <w:r>
        <w:rPr>
          <w:spacing w:val="3"/>
          <w:sz w:val="15"/>
        </w:rPr>
        <w:t> </w:t>
      </w:r>
      <w:r>
        <w:rPr>
          <w:sz w:val="15"/>
        </w:rPr>
        <w:t>y</w:t>
      </w:r>
      <w:r>
        <w:rPr>
          <w:spacing w:val="1"/>
          <w:sz w:val="15"/>
        </w:rPr>
        <w:t> </w:t>
      </w:r>
      <w:r>
        <w:rPr>
          <w:sz w:val="15"/>
        </w:rPr>
        <w:t>Pesca.</w:t>
        <w:tab/>
        <w:t>30/8/23</w:t>
        <w:tab/>
        <w:t>29/8/23</w:t>
      </w:r>
    </w:p>
    <w:p>
      <w:pPr>
        <w:tabs>
          <w:tab w:pos="6786" w:val="left" w:leader="none"/>
          <w:tab w:pos="7798" w:val="left" w:leader="none"/>
        </w:tabs>
        <w:spacing w:before="0"/>
        <w:ind w:left="2900" w:right="0" w:firstLine="0"/>
        <w:jc w:val="left"/>
        <w:rPr>
          <w:sz w:val="15"/>
        </w:rPr>
      </w:pPr>
      <w:r>
        <w:rPr>
          <w:sz w:val="15"/>
        </w:rPr>
        <w:t>C. de Turismo, Industria</w:t>
      </w:r>
      <w:r>
        <w:rPr>
          <w:spacing w:val="2"/>
          <w:sz w:val="15"/>
        </w:rPr>
        <w:t> </w:t>
      </w:r>
      <w:r>
        <w:rPr>
          <w:sz w:val="15"/>
        </w:rPr>
        <w:t>y</w:t>
      </w:r>
      <w:r>
        <w:rPr>
          <w:spacing w:val="1"/>
          <w:sz w:val="15"/>
        </w:rPr>
        <w:t> </w:t>
      </w:r>
      <w:r>
        <w:rPr>
          <w:sz w:val="15"/>
        </w:rPr>
        <w:t>Comercio.</w:t>
        <w:tab/>
        <w:t>30/8/23</w:t>
        <w:tab/>
        <w:t>31/7/23</w:t>
      </w:r>
    </w:p>
    <w:p>
      <w:pPr>
        <w:tabs>
          <w:tab w:pos="6786" w:val="left" w:leader="none"/>
          <w:tab w:pos="7836" w:val="left" w:leader="none"/>
        </w:tabs>
        <w:spacing w:before="2"/>
        <w:ind w:left="2900" w:right="0" w:firstLine="0"/>
        <w:jc w:val="left"/>
        <w:rPr>
          <w:sz w:val="15"/>
        </w:rPr>
      </w:pPr>
      <w:r>
        <w:rPr>
          <w:sz w:val="15"/>
        </w:rPr>
        <w:t>C. de Obras Públicas, Transportes</w:t>
      </w:r>
      <w:r>
        <w:rPr>
          <w:spacing w:val="3"/>
          <w:sz w:val="15"/>
        </w:rPr>
        <w:t> </w:t>
      </w:r>
      <w:r>
        <w:rPr>
          <w:sz w:val="15"/>
        </w:rPr>
        <w:t>y</w:t>
      </w:r>
      <w:r>
        <w:rPr>
          <w:spacing w:val="1"/>
          <w:sz w:val="15"/>
        </w:rPr>
        <w:t> </w:t>
      </w:r>
      <w:r>
        <w:rPr>
          <w:sz w:val="15"/>
        </w:rPr>
        <w:t>Vivienda.</w:t>
        <w:tab/>
        <w:t>30/8/23</w:t>
        <w:tab/>
        <w:t>5/9/23</w:t>
      </w:r>
    </w:p>
    <w:p>
      <w:pPr>
        <w:spacing w:after="0"/>
        <w:jc w:val="left"/>
        <w:rPr>
          <w:sz w:val="15"/>
        </w:rPr>
        <w:sectPr>
          <w:pgSz w:w="11900" w:h="16840"/>
          <w:pgMar w:header="859" w:footer="926" w:top="1760" w:bottom="1120" w:left="760" w:right="760"/>
        </w:sectPr>
      </w:pPr>
    </w:p>
    <w:p>
      <w:pPr>
        <w:spacing w:before="2"/>
        <w:ind w:left="2900" w:right="0" w:firstLine="0"/>
        <w:jc w:val="left"/>
        <w:rPr>
          <w:sz w:val="15"/>
        </w:rPr>
      </w:pPr>
      <w:r>
        <w:rPr>
          <w:sz w:val="15"/>
        </w:rPr>
        <w:t>C. de Transición Ecológica, Lucha contra el Cambio Climático y Planificación Territorial</w:t>
      </w:r>
    </w:p>
    <w:p>
      <w:pPr>
        <w:tabs>
          <w:tab w:pos="1772" w:val="left" w:leader="none"/>
        </w:tabs>
        <w:spacing w:before="2"/>
        <w:ind w:left="760" w:right="0" w:firstLine="0"/>
        <w:jc w:val="left"/>
        <w:rPr>
          <w:sz w:val="15"/>
        </w:rPr>
      </w:pPr>
      <w:r>
        <w:rPr/>
        <w:br w:type="column"/>
      </w:r>
      <w:r>
        <w:rPr>
          <w:sz w:val="15"/>
        </w:rPr>
        <w:t>30/8/23</w:t>
        <w:tab/>
        <w:t>18/7/23</w:t>
      </w:r>
    </w:p>
    <w:p>
      <w:pPr>
        <w:spacing w:after="0"/>
        <w:jc w:val="left"/>
        <w:rPr>
          <w:sz w:val="15"/>
        </w:rPr>
        <w:sectPr>
          <w:type w:val="continuous"/>
          <w:pgSz w:w="11900" w:h="16840"/>
          <w:pgMar w:top="1600" w:bottom="1120" w:left="760" w:right="760"/>
          <w:cols w:num="2" w:equalWidth="0">
            <w:col w:w="5986" w:space="40"/>
            <w:col w:w="4354"/>
          </w:cols>
        </w:sectPr>
      </w:pPr>
    </w:p>
    <w:p>
      <w:pPr>
        <w:tabs>
          <w:tab w:pos="4919" w:val="left" w:leader="none"/>
          <w:tab w:pos="5715" w:val="left" w:leader="none"/>
        </w:tabs>
        <w:spacing w:before="3"/>
        <w:ind w:left="876" w:right="0" w:firstLine="0"/>
        <w:jc w:val="center"/>
        <w:rPr>
          <w:sz w:val="15"/>
        </w:rPr>
      </w:pPr>
      <w:r>
        <w:rPr>
          <w:sz w:val="15"/>
        </w:rPr>
        <w:t>Contratación</w:t>
      </w:r>
      <w:r>
        <w:rPr>
          <w:spacing w:val="-1"/>
          <w:sz w:val="15"/>
        </w:rPr>
        <w:t> </w:t>
      </w:r>
      <w:r>
        <w:rPr>
          <w:sz w:val="15"/>
        </w:rPr>
        <w:t>de obras</w:t>
        <w:tab/>
        <w:t>----</w:t>
        <w:tab/>
        <w:t>No consta</w:t>
      </w:r>
    </w:p>
    <w:p>
      <w:pPr>
        <w:tabs>
          <w:tab w:pos="6022" w:val="left" w:leader="none"/>
          <w:tab w:pos="6667" w:val="left" w:leader="none"/>
        </w:tabs>
        <w:spacing w:before="1"/>
        <w:ind w:left="941" w:right="0" w:firstLine="0"/>
        <w:jc w:val="center"/>
        <w:rPr>
          <w:sz w:val="15"/>
        </w:rPr>
      </w:pPr>
      <w:r>
        <w:rPr>
          <w:w w:val="100"/>
          <w:sz w:val="15"/>
          <w:u w:val="single"/>
        </w:rPr>
        <w:t> </w:t>
      </w:r>
      <w:r>
        <w:rPr>
          <w:sz w:val="15"/>
          <w:u w:val="single"/>
        </w:rPr>
        <w:tab/>
        <w:t>fecha</w:t>
        <w:tab/>
      </w:r>
    </w:p>
    <w:p>
      <w:pPr>
        <w:pStyle w:val="BodyText"/>
        <w:spacing w:before="3"/>
        <w:rPr>
          <w:sz w:val="12"/>
        </w:rPr>
      </w:pPr>
    </w:p>
    <w:p>
      <w:pPr>
        <w:pStyle w:val="BodyText"/>
        <w:spacing w:line="242" w:lineRule="auto" w:before="61"/>
        <w:ind w:left="2096" w:right="1139" w:firstLine="594"/>
        <w:jc w:val="both"/>
      </w:pPr>
      <w:r>
        <w:rPr/>
        <w:t>Si bien esta modalidad de control tiene como objetivos ofrecer una visión global del grado en que la gestión se ajusta a los principios de legalidad, eficacia, eficiencia, calidad y demás de buena gestión, estructurándose para ello en las perspectivas de: procesos, capital humano, legalidad, financiera y ciudadano, las revisiones se llevan a cabo fundamentalmente en la verificación del cumplimiento de la legalidad.</w:t>
      </w:r>
    </w:p>
    <w:p>
      <w:pPr>
        <w:pStyle w:val="BodyText"/>
        <w:spacing w:before="4"/>
        <w:rPr>
          <w:sz w:val="16"/>
        </w:rPr>
      </w:pPr>
    </w:p>
    <w:p>
      <w:pPr>
        <w:pStyle w:val="Heading1"/>
        <w:numPr>
          <w:ilvl w:val="1"/>
          <w:numId w:val="7"/>
        </w:numPr>
        <w:tabs>
          <w:tab w:pos="2579" w:val="left" w:leader="none"/>
          <w:tab w:pos="2580" w:val="left" w:leader="none"/>
        </w:tabs>
        <w:spacing w:line="240" w:lineRule="auto" w:before="0" w:after="0"/>
        <w:ind w:left="2579" w:right="0" w:hanging="484"/>
        <w:jc w:val="left"/>
      </w:pPr>
      <w:r>
        <w:rPr>
          <w:color w:val="53A1B9"/>
        </w:rPr>
        <w:t>Perspectiva de</w:t>
      </w:r>
      <w:r>
        <w:rPr>
          <w:color w:val="53A1B9"/>
          <w:spacing w:val="1"/>
        </w:rPr>
        <w:t> </w:t>
      </w:r>
      <w:r>
        <w:rPr>
          <w:color w:val="53A1B9"/>
        </w:rPr>
        <w:t>legalidad.</w:t>
      </w:r>
    </w:p>
    <w:p>
      <w:pPr>
        <w:pStyle w:val="BodyText"/>
        <w:spacing w:before="8"/>
        <w:rPr>
          <w:b/>
          <w:sz w:val="16"/>
        </w:rPr>
      </w:pPr>
    </w:p>
    <w:p>
      <w:pPr>
        <w:pStyle w:val="BodyText"/>
        <w:ind w:left="2690"/>
      </w:pPr>
      <w:r>
        <w:rPr/>
        <w:t>Por razón de la especialidad material se divide en control financiero permanente</w:t>
      </w:r>
    </w:p>
    <w:p>
      <w:pPr>
        <w:pStyle w:val="BodyText"/>
        <w:spacing w:before="2"/>
        <w:ind w:left="2096"/>
        <w:jc w:val="both"/>
      </w:pPr>
      <w:r>
        <w:rPr/>
        <w:t>de recursos humanos y de “otros gastos”.</w:t>
      </w:r>
    </w:p>
    <w:p>
      <w:pPr>
        <w:pStyle w:val="BodyText"/>
        <w:spacing w:before="8"/>
        <w:rPr>
          <w:sz w:val="16"/>
        </w:rPr>
      </w:pPr>
    </w:p>
    <w:p>
      <w:pPr>
        <w:pStyle w:val="Heading1"/>
        <w:numPr>
          <w:ilvl w:val="2"/>
          <w:numId w:val="7"/>
        </w:numPr>
        <w:tabs>
          <w:tab w:pos="2572" w:val="left" w:leader="none"/>
        </w:tabs>
        <w:spacing w:line="240" w:lineRule="auto" w:before="0" w:after="0"/>
        <w:ind w:left="2571" w:right="0" w:hanging="476"/>
        <w:jc w:val="left"/>
      </w:pPr>
      <w:r>
        <w:rPr>
          <w:color w:val="53A1B9"/>
        </w:rPr>
        <w:t>Área de recursos</w:t>
      </w:r>
      <w:r>
        <w:rPr>
          <w:color w:val="53A1B9"/>
          <w:spacing w:val="-1"/>
        </w:rPr>
        <w:t> </w:t>
      </w:r>
      <w:r>
        <w:rPr>
          <w:color w:val="53A1B9"/>
        </w:rPr>
        <w:t>humanos.</w:t>
      </w:r>
    </w:p>
    <w:p>
      <w:pPr>
        <w:pStyle w:val="BodyText"/>
        <w:spacing w:before="8"/>
        <w:rPr>
          <w:b/>
          <w:sz w:val="16"/>
        </w:rPr>
      </w:pPr>
    </w:p>
    <w:p>
      <w:pPr>
        <w:pStyle w:val="ListParagraph"/>
        <w:numPr>
          <w:ilvl w:val="0"/>
          <w:numId w:val="8"/>
        </w:numPr>
        <w:tabs>
          <w:tab w:pos="2397" w:val="left" w:leader="none"/>
        </w:tabs>
        <w:spacing w:line="240" w:lineRule="auto" w:before="0" w:after="0"/>
        <w:ind w:left="2396" w:right="1136" w:hanging="301"/>
        <w:jc w:val="both"/>
        <w:rPr>
          <w:sz w:val="20"/>
        </w:rPr>
      </w:pPr>
      <w:r>
        <w:rPr>
          <w:sz w:val="20"/>
        </w:rPr>
        <w:t>El siguiente cuadro recoge, por Departamentos del Gobierno de Canarias, los datos de cobertura (porcentaje de puestos de trabajo ocupados respecto al total de puestos en la RPT), temporalidad</w:t>
      </w:r>
      <w:r>
        <w:rPr>
          <w:position w:val="7"/>
          <w:sz w:val="13"/>
        </w:rPr>
        <w:t>1 </w:t>
      </w:r>
      <w:r>
        <w:rPr>
          <w:sz w:val="20"/>
        </w:rPr>
        <w:t>y media de edad relativa de los efectivos disponibles:</w:t>
      </w:r>
    </w:p>
    <w:p>
      <w:pPr>
        <w:pStyle w:val="BodyText"/>
        <w:rPr>
          <w:sz w:val="17"/>
        </w:rPr>
      </w:pPr>
    </w:p>
    <w:tbl>
      <w:tblPr>
        <w:tblW w:w="0" w:type="auto"/>
        <w:jc w:val="left"/>
        <w:tblInd w:w="2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9"/>
        <w:gridCol w:w="1152"/>
        <w:gridCol w:w="856"/>
        <w:gridCol w:w="1283"/>
        <w:gridCol w:w="857"/>
      </w:tblGrid>
      <w:tr>
        <w:trPr>
          <w:trHeight w:val="327" w:hRule="atLeast"/>
        </w:trPr>
        <w:tc>
          <w:tcPr>
            <w:tcW w:w="1729" w:type="dxa"/>
          </w:tcPr>
          <w:p>
            <w:pPr>
              <w:pStyle w:val="TableParagraph"/>
              <w:rPr>
                <w:rFonts w:ascii="Times New Roman"/>
                <w:sz w:val="14"/>
              </w:rPr>
            </w:pPr>
          </w:p>
        </w:tc>
        <w:tc>
          <w:tcPr>
            <w:tcW w:w="1152" w:type="dxa"/>
            <w:tcBorders>
              <w:top w:val="single" w:sz="4" w:space="0" w:color="000000"/>
            </w:tcBorders>
            <w:shd w:val="clear" w:color="auto" w:fill="DEEAF6"/>
          </w:tcPr>
          <w:p>
            <w:pPr>
              <w:pStyle w:val="TableParagraph"/>
              <w:tabs>
                <w:tab w:pos="1017" w:val="left" w:leader="none"/>
              </w:tabs>
              <w:spacing w:before="85"/>
              <w:ind w:left="401" w:right="-87"/>
              <w:rPr>
                <w:b/>
                <w:sz w:val="13"/>
              </w:rPr>
            </w:pPr>
            <w:r>
              <w:rPr>
                <w:b/>
                <w:w w:val="105"/>
                <w:sz w:val="13"/>
              </w:rPr>
              <w:t>Totales</w:t>
              <w:tab/>
            </w:r>
            <w:r>
              <w:rPr>
                <w:b/>
                <w:spacing w:val="-4"/>
                <w:w w:val="105"/>
                <w:sz w:val="13"/>
              </w:rPr>
              <w:t>Pue</w:t>
            </w:r>
          </w:p>
        </w:tc>
        <w:tc>
          <w:tcPr>
            <w:tcW w:w="856" w:type="dxa"/>
            <w:tcBorders>
              <w:top w:val="single" w:sz="4" w:space="0" w:color="000000"/>
            </w:tcBorders>
            <w:shd w:val="clear" w:color="auto" w:fill="DEEAF6"/>
          </w:tcPr>
          <w:p>
            <w:pPr>
              <w:pStyle w:val="TableParagraph"/>
              <w:spacing w:before="85"/>
              <w:ind w:left="77"/>
              <w:rPr>
                <w:b/>
                <w:sz w:val="13"/>
              </w:rPr>
            </w:pPr>
            <w:r>
              <w:rPr>
                <w:b/>
                <w:w w:val="105"/>
                <w:sz w:val="13"/>
              </w:rPr>
              <w:t>stos en RPT</w:t>
            </w:r>
          </w:p>
        </w:tc>
        <w:tc>
          <w:tcPr>
            <w:tcW w:w="1283" w:type="dxa"/>
            <w:tcBorders>
              <w:top w:val="single" w:sz="4" w:space="0" w:color="000000"/>
            </w:tcBorders>
            <w:shd w:val="clear" w:color="auto" w:fill="DEEAF6"/>
          </w:tcPr>
          <w:p>
            <w:pPr>
              <w:pStyle w:val="TableParagraph"/>
              <w:spacing w:before="2"/>
              <w:ind w:left="228" w:right="242"/>
              <w:jc w:val="center"/>
              <w:rPr>
                <w:b/>
                <w:sz w:val="13"/>
              </w:rPr>
            </w:pPr>
            <w:r>
              <w:rPr>
                <w:b/>
                <w:w w:val="105"/>
                <w:sz w:val="13"/>
              </w:rPr>
              <w:t>Tasa de</w:t>
            </w:r>
          </w:p>
          <w:p>
            <w:pPr>
              <w:pStyle w:val="TableParagraph"/>
              <w:spacing w:line="140" w:lineRule="exact" w:before="6"/>
              <w:ind w:left="228" w:right="243"/>
              <w:jc w:val="center"/>
              <w:rPr>
                <w:b/>
                <w:sz w:val="13"/>
              </w:rPr>
            </w:pPr>
            <w:r>
              <w:rPr>
                <w:b/>
                <w:w w:val="105"/>
                <w:sz w:val="13"/>
              </w:rPr>
              <w:t>temporalidad</w:t>
            </w:r>
          </w:p>
        </w:tc>
        <w:tc>
          <w:tcPr>
            <w:tcW w:w="857" w:type="dxa"/>
            <w:tcBorders>
              <w:top w:val="single" w:sz="4" w:space="0" w:color="000000"/>
            </w:tcBorders>
            <w:shd w:val="clear" w:color="auto" w:fill="DEEAF6"/>
          </w:tcPr>
          <w:p>
            <w:pPr>
              <w:pStyle w:val="TableParagraph"/>
              <w:spacing w:before="2"/>
              <w:ind w:left="125" w:right="157"/>
              <w:jc w:val="center"/>
              <w:rPr>
                <w:b/>
                <w:sz w:val="13"/>
              </w:rPr>
            </w:pPr>
            <w:r>
              <w:rPr>
                <w:b/>
                <w:w w:val="105"/>
                <w:sz w:val="13"/>
              </w:rPr>
              <w:t>Media de</w:t>
            </w:r>
          </w:p>
          <w:p>
            <w:pPr>
              <w:pStyle w:val="TableParagraph"/>
              <w:spacing w:line="140" w:lineRule="exact" w:before="6"/>
              <w:ind w:left="125" w:right="155"/>
              <w:jc w:val="center"/>
              <w:rPr>
                <w:b/>
                <w:sz w:val="13"/>
              </w:rPr>
            </w:pPr>
            <w:r>
              <w:rPr>
                <w:b/>
                <w:w w:val="105"/>
                <w:sz w:val="13"/>
              </w:rPr>
              <w:t>edad</w:t>
            </w:r>
          </w:p>
        </w:tc>
      </w:tr>
      <w:tr>
        <w:trPr>
          <w:trHeight w:val="175" w:hRule="atLeast"/>
        </w:trPr>
        <w:tc>
          <w:tcPr>
            <w:tcW w:w="1729" w:type="dxa"/>
          </w:tcPr>
          <w:p>
            <w:pPr>
              <w:pStyle w:val="TableParagraph"/>
              <w:spacing w:line="153" w:lineRule="exact" w:before="3"/>
              <w:ind w:left="120"/>
              <w:rPr>
                <w:sz w:val="13"/>
              </w:rPr>
            </w:pPr>
            <w:r>
              <w:rPr>
                <w:w w:val="105"/>
                <w:sz w:val="13"/>
              </w:rPr>
              <w:t>Presidencia</w:t>
            </w:r>
          </w:p>
        </w:tc>
        <w:tc>
          <w:tcPr>
            <w:tcW w:w="1152" w:type="dxa"/>
          </w:tcPr>
          <w:p>
            <w:pPr>
              <w:pStyle w:val="TableParagraph"/>
              <w:spacing w:line="153" w:lineRule="exact" w:before="3"/>
              <w:ind w:left="527" w:right="377"/>
              <w:jc w:val="center"/>
              <w:rPr>
                <w:sz w:val="13"/>
              </w:rPr>
            </w:pPr>
            <w:r>
              <w:rPr>
                <w:w w:val="105"/>
                <w:sz w:val="13"/>
              </w:rPr>
              <w:t>155</w:t>
            </w:r>
          </w:p>
        </w:tc>
        <w:tc>
          <w:tcPr>
            <w:tcW w:w="856" w:type="dxa"/>
          </w:tcPr>
          <w:p>
            <w:pPr>
              <w:pStyle w:val="TableParagraph"/>
              <w:spacing w:line="153" w:lineRule="exact" w:before="3"/>
              <w:ind w:left="397"/>
              <w:rPr>
                <w:sz w:val="13"/>
              </w:rPr>
            </w:pPr>
            <w:r>
              <w:rPr>
                <w:w w:val="105"/>
                <w:sz w:val="13"/>
              </w:rPr>
              <w:t>178</w:t>
            </w:r>
          </w:p>
        </w:tc>
        <w:tc>
          <w:tcPr>
            <w:tcW w:w="1283" w:type="dxa"/>
          </w:tcPr>
          <w:p>
            <w:pPr>
              <w:pStyle w:val="TableParagraph"/>
              <w:spacing w:line="153" w:lineRule="exact" w:before="3"/>
              <w:ind w:right="346"/>
              <w:jc w:val="right"/>
              <w:rPr>
                <w:sz w:val="13"/>
              </w:rPr>
            </w:pPr>
            <w:r>
              <w:rPr>
                <w:sz w:val="13"/>
              </w:rPr>
              <w:t>17,20%</w:t>
            </w:r>
          </w:p>
        </w:tc>
        <w:tc>
          <w:tcPr>
            <w:tcW w:w="857" w:type="dxa"/>
          </w:tcPr>
          <w:p>
            <w:pPr>
              <w:pStyle w:val="TableParagraph"/>
              <w:spacing w:line="153" w:lineRule="exact" w:before="3"/>
              <w:ind w:right="230"/>
              <w:jc w:val="right"/>
              <w:rPr>
                <w:sz w:val="13"/>
              </w:rPr>
            </w:pPr>
            <w:r>
              <w:rPr>
                <w:sz w:val="13"/>
              </w:rPr>
              <w:t>56,63</w:t>
            </w:r>
          </w:p>
        </w:tc>
      </w:tr>
      <w:tr>
        <w:trPr>
          <w:trHeight w:val="164" w:hRule="atLeast"/>
        </w:trPr>
        <w:tc>
          <w:tcPr>
            <w:tcW w:w="1729" w:type="dxa"/>
          </w:tcPr>
          <w:p>
            <w:pPr>
              <w:pStyle w:val="TableParagraph"/>
              <w:spacing w:line="144" w:lineRule="exact"/>
              <w:ind w:left="120"/>
              <w:rPr>
                <w:sz w:val="13"/>
              </w:rPr>
            </w:pPr>
            <w:r>
              <w:rPr>
                <w:w w:val="105"/>
                <w:sz w:val="13"/>
              </w:rPr>
              <w:t>AAPP</w:t>
            </w:r>
          </w:p>
        </w:tc>
        <w:tc>
          <w:tcPr>
            <w:tcW w:w="1152" w:type="dxa"/>
          </w:tcPr>
          <w:p>
            <w:pPr>
              <w:pStyle w:val="TableParagraph"/>
              <w:spacing w:line="144" w:lineRule="exact"/>
              <w:ind w:left="527" w:right="377"/>
              <w:jc w:val="center"/>
              <w:rPr>
                <w:sz w:val="13"/>
              </w:rPr>
            </w:pPr>
            <w:r>
              <w:rPr>
                <w:w w:val="105"/>
                <w:sz w:val="13"/>
              </w:rPr>
              <w:t>595</w:t>
            </w:r>
          </w:p>
        </w:tc>
        <w:tc>
          <w:tcPr>
            <w:tcW w:w="856" w:type="dxa"/>
          </w:tcPr>
          <w:p>
            <w:pPr>
              <w:pStyle w:val="TableParagraph"/>
              <w:spacing w:line="144" w:lineRule="exact"/>
              <w:ind w:left="397"/>
              <w:rPr>
                <w:sz w:val="13"/>
              </w:rPr>
            </w:pPr>
            <w:r>
              <w:rPr>
                <w:w w:val="105"/>
                <w:sz w:val="13"/>
              </w:rPr>
              <w:t>680</w:t>
            </w:r>
          </w:p>
        </w:tc>
        <w:tc>
          <w:tcPr>
            <w:tcW w:w="1283" w:type="dxa"/>
          </w:tcPr>
          <w:p>
            <w:pPr>
              <w:pStyle w:val="TableParagraph"/>
              <w:spacing w:line="144" w:lineRule="exact"/>
              <w:ind w:right="346"/>
              <w:jc w:val="right"/>
              <w:rPr>
                <w:sz w:val="13"/>
              </w:rPr>
            </w:pPr>
            <w:r>
              <w:rPr>
                <w:sz w:val="13"/>
              </w:rPr>
              <w:t>34,26%</w:t>
            </w:r>
          </w:p>
        </w:tc>
        <w:tc>
          <w:tcPr>
            <w:tcW w:w="857" w:type="dxa"/>
          </w:tcPr>
          <w:p>
            <w:pPr>
              <w:pStyle w:val="TableParagraph"/>
              <w:spacing w:line="144" w:lineRule="exact"/>
              <w:ind w:right="230"/>
              <w:jc w:val="right"/>
              <w:rPr>
                <w:sz w:val="13"/>
              </w:rPr>
            </w:pPr>
            <w:r>
              <w:rPr>
                <w:sz w:val="13"/>
              </w:rPr>
              <w:t>53,29</w:t>
            </w:r>
          </w:p>
        </w:tc>
      </w:tr>
      <w:tr>
        <w:trPr>
          <w:trHeight w:val="163" w:hRule="atLeast"/>
        </w:trPr>
        <w:tc>
          <w:tcPr>
            <w:tcW w:w="1729" w:type="dxa"/>
          </w:tcPr>
          <w:p>
            <w:pPr>
              <w:pStyle w:val="TableParagraph"/>
              <w:spacing w:line="143" w:lineRule="exact"/>
              <w:ind w:left="120"/>
              <w:rPr>
                <w:sz w:val="13"/>
              </w:rPr>
            </w:pPr>
            <w:r>
              <w:rPr>
                <w:w w:val="105"/>
                <w:sz w:val="13"/>
              </w:rPr>
              <w:t>Hacienda</w:t>
            </w:r>
          </w:p>
        </w:tc>
        <w:tc>
          <w:tcPr>
            <w:tcW w:w="1152" w:type="dxa"/>
          </w:tcPr>
          <w:p>
            <w:pPr>
              <w:pStyle w:val="TableParagraph"/>
              <w:spacing w:line="143" w:lineRule="exact"/>
              <w:ind w:left="527" w:right="377"/>
              <w:jc w:val="center"/>
              <w:rPr>
                <w:sz w:val="13"/>
              </w:rPr>
            </w:pPr>
            <w:r>
              <w:rPr>
                <w:w w:val="105"/>
                <w:sz w:val="13"/>
              </w:rPr>
              <w:t>534</w:t>
            </w:r>
          </w:p>
        </w:tc>
        <w:tc>
          <w:tcPr>
            <w:tcW w:w="856" w:type="dxa"/>
          </w:tcPr>
          <w:p>
            <w:pPr>
              <w:pStyle w:val="TableParagraph"/>
              <w:spacing w:line="143" w:lineRule="exact"/>
              <w:ind w:left="397"/>
              <w:rPr>
                <w:sz w:val="13"/>
              </w:rPr>
            </w:pPr>
            <w:r>
              <w:rPr>
                <w:w w:val="105"/>
                <w:sz w:val="13"/>
              </w:rPr>
              <w:t>731</w:t>
            </w:r>
          </w:p>
        </w:tc>
        <w:tc>
          <w:tcPr>
            <w:tcW w:w="1283" w:type="dxa"/>
          </w:tcPr>
          <w:p>
            <w:pPr>
              <w:pStyle w:val="TableParagraph"/>
              <w:spacing w:line="143" w:lineRule="exact"/>
              <w:ind w:right="346"/>
              <w:jc w:val="right"/>
              <w:rPr>
                <w:sz w:val="13"/>
              </w:rPr>
            </w:pPr>
            <w:r>
              <w:rPr>
                <w:sz w:val="13"/>
              </w:rPr>
              <w:t>29,56%</w:t>
            </w:r>
          </w:p>
        </w:tc>
        <w:tc>
          <w:tcPr>
            <w:tcW w:w="857" w:type="dxa"/>
          </w:tcPr>
          <w:p>
            <w:pPr>
              <w:pStyle w:val="TableParagraph"/>
              <w:spacing w:line="143" w:lineRule="exact"/>
              <w:ind w:right="230"/>
              <w:jc w:val="right"/>
              <w:rPr>
                <w:sz w:val="13"/>
              </w:rPr>
            </w:pPr>
            <w:r>
              <w:rPr>
                <w:sz w:val="13"/>
              </w:rPr>
              <w:t>53,49</w:t>
            </w:r>
          </w:p>
        </w:tc>
      </w:tr>
      <w:tr>
        <w:trPr>
          <w:trHeight w:val="164" w:hRule="atLeast"/>
        </w:trPr>
        <w:tc>
          <w:tcPr>
            <w:tcW w:w="1729" w:type="dxa"/>
          </w:tcPr>
          <w:p>
            <w:pPr>
              <w:pStyle w:val="TableParagraph"/>
              <w:spacing w:line="144" w:lineRule="exact"/>
              <w:ind w:left="120"/>
              <w:rPr>
                <w:sz w:val="13"/>
              </w:rPr>
            </w:pPr>
            <w:r>
              <w:rPr>
                <w:w w:val="105"/>
                <w:sz w:val="13"/>
              </w:rPr>
              <w:t>OOPP</w:t>
            </w:r>
          </w:p>
        </w:tc>
        <w:tc>
          <w:tcPr>
            <w:tcW w:w="1152" w:type="dxa"/>
          </w:tcPr>
          <w:p>
            <w:pPr>
              <w:pStyle w:val="TableParagraph"/>
              <w:spacing w:line="144" w:lineRule="exact"/>
              <w:ind w:left="527" w:right="377"/>
              <w:jc w:val="center"/>
              <w:rPr>
                <w:sz w:val="13"/>
              </w:rPr>
            </w:pPr>
            <w:r>
              <w:rPr>
                <w:w w:val="105"/>
                <w:sz w:val="13"/>
              </w:rPr>
              <w:t>232</w:t>
            </w:r>
          </w:p>
        </w:tc>
        <w:tc>
          <w:tcPr>
            <w:tcW w:w="856" w:type="dxa"/>
          </w:tcPr>
          <w:p>
            <w:pPr>
              <w:pStyle w:val="TableParagraph"/>
              <w:spacing w:line="144" w:lineRule="exact"/>
              <w:ind w:left="397"/>
              <w:rPr>
                <w:sz w:val="13"/>
              </w:rPr>
            </w:pPr>
            <w:r>
              <w:rPr>
                <w:w w:val="105"/>
                <w:sz w:val="13"/>
              </w:rPr>
              <w:t>339</w:t>
            </w:r>
          </w:p>
        </w:tc>
        <w:tc>
          <w:tcPr>
            <w:tcW w:w="1283" w:type="dxa"/>
          </w:tcPr>
          <w:p>
            <w:pPr>
              <w:pStyle w:val="TableParagraph"/>
              <w:spacing w:line="144" w:lineRule="exact"/>
              <w:ind w:right="346"/>
              <w:jc w:val="right"/>
              <w:rPr>
                <w:sz w:val="13"/>
              </w:rPr>
            </w:pPr>
            <w:r>
              <w:rPr>
                <w:sz w:val="13"/>
              </w:rPr>
              <w:t>30,36%</w:t>
            </w:r>
          </w:p>
        </w:tc>
        <w:tc>
          <w:tcPr>
            <w:tcW w:w="857" w:type="dxa"/>
          </w:tcPr>
          <w:p>
            <w:pPr>
              <w:pStyle w:val="TableParagraph"/>
              <w:spacing w:line="144" w:lineRule="exact"/>
              <w:ind w:right="230"/>
              <w:jc w:val="right"/>
              <w:rPr>
                <w:sz w:val="13"/>
              </w:rPr>
            </w:pPr>
            <w:r>
              <w:rPr>
                <w:sz w:val="13"/>
              </w:rPr>
              <w:t>54,04</w:t>
            </w:r>
          </w:p>
        </w:tc>
      </w:tr>
      <w:tr>
        <w:trPr>
          <w:trHeight w:val="164" w:hRule="atLeast"/>
        </w:trPr>
        <w:tc>
          <w:tcPr>
            <w:tcW w:w="1729" w:type="dxa"/>
          </w:tcPr>
          <w:p>
            <w:pPr>
              <w:pStyle w:val="TableParagraph"/>
              <w:spacing w:line="144" w:lineRule="exact"/>
              <w:ind w:left="120"/>
              <w:rPr>
                <w:sz w:val="13"/>
              </w:rPr>
            </w:pPr>
            <w:r>
              <w:rPr>
                <w:w w:val="105"/>
                <w:sz w:val="13"/>
              </w:rPr>
              <w:t>29Transición</w:t>
            </w:r>
          </w:p>
        </w:tc>
        <w:tc>
          <w:tcPr>
            <w:tcW w:w="1152" w:type="dxa"/>
          </w:tcPr>
          <w:p>
            <w:pPr>
              <w:pStyle w:val="TableParagraph"/>
              <w:spacing w:line="144" w:lineRule="exact"/>
              <w:ind w:left="527" w:right="377"/>
              <w:jc w:val="center"/>
              <w:rPr>
                <w:sz w:val="13"/>
              </w:rPr>
            </w:pPr>
            <w:r>
              <w:rPr>
                <w:w w:val="105"/>
                <w:sz w:val="13"/>
              </w:rPr>
              <w:t>424</w:t>
            </w:r>
          </w:p>
        </w:tc>
        <w:tc>
          <w:tcPr>
            <w:tcW w:w="856" w:type="dxa"/>
          </w:tcPr>
          <w:p>
            <w:pPr>
              <w:pStyle w:val="TableParagraph"/>
              <w:spacing w:line="144" w:lineRule="exact"/>
              <w:ind w:left="397"/>
              <w:rPr>
                <w:sz w:val="13"/>
              </w:rPr>
            </w:pPr>
            <w:r>
              <w:rPr>
                <w:w w:val="105"/>
                <w:sz w:val="13"/>
              </w:rPr>
              <w:t>529</w:t>
            </w:r>
          </w:p>
        </w:tc>
        <w:tc>
          <w:tcPr>
            <w:tcW w:w="1283" w:type="dxa"/>
          </w:tcPr>
          <w:p>
            <w:pPr>
              <w:pStyle w:val="TableParagraph"/>
              <w:spacing w:line="144" w:lineRule="exact"/>
              <w:ind w:right="346"/>
              <w:jc w:val="right"/>
              <w:rPr>
                <w:sz w:val="13"/>
              </w:rPr>
            </w:pPr>
            <w:r>
              <w:rPr>
                <w:sz w:val="13"/>
              </w:rPr>
              <w:t>38,44%</w:t>
            </w:r>
          </w:p>
        </w:tc>
        <w:tc>
          <w:tcPr>
            <w:tcW w:w="857" w:type="dxa"/>
          </w:tcPr>
          <w:p>
            <w:pPr>
              <w:pStyle w:val="TableParagraph"/>
              <w:spacing w:line="144" w:lineRule="exact"/>
              <w:ind w:right="230"/>
              <w:jc w:val="right"/>
              <w:rPr>
                <w:sz w:val="13"/>
              </w:rPr>
            </w:pPr>
            <w:r>
              <w:rPr>
                <w:sz w:val="13"/>
              </w:rPr>
              <w:t>52,82</w:t>
            </w:r>
          </w:p>
        </w:tc>
      </w:tr>
      <w:tr>
        <w:trPr>
          <w:trHeight w:val="163" w:hRule="atLeast"/>
        </w:trPr>
        <w:tc>
          <w:tcPr>
            <w:tcW w:w="1729" w:type="dxa"/>
          </w:tcPr>
          <w:p>
            <w:pPr>
              <w:pStyle w:val="TableParagraph"/>
              <w:spacing w:line="143" w:lineRule="exact"/>
              <w:ind w:left="120"/>
              <w:rPr>
                <w:sz w:val="13"/>
              </w:rPr>
            </w:pPr>
            <w:r>
              <w:rPr>
                <w:w w:val="105"/>
                <w:sz w:val="13"/>
              </w:rPr>
              <w:t>Agricultura</w:t>
            </w:r>
          </w:p>
        </w:tc>
        <w:tc>
          <w:tcPr>
            <w:tcW w:w="1152" w:type="dxa"/>
          </w:tcPr>
          <w:p>
            <w:pPr>
              <w:pStyle w:val="TableParagraph"/>
              <w:spacing w:line="143" w:lineRule="exact"/>
              <w:ind w:left="527" w:right="377"/>
              <w:jc w:val="center"/>
              <w:rPr>
                <w:sz w:val="13"/>
              </w:rPr>
            </w:pPr>
            <w:r>
              <w:rPr>
                <w:w w:val="105"/>
                <w:sz w:val="13"/>
              </w:rPr>
              <w:t>564</w:t>
            </w:r>
          </w:p>
        </w:tc>
        <w:tc>
          <w:tcPr>
            <w:tcW w:w="856" w:type="dxa"/>
          </w:tcPr>
          <w:p>
            <w:pPr>
              <w:pStyle w:val="TableParagraph"/>
              <w:spacing w:line="143" w:lineRule="exact"/>
              <w:ind w:left="397"/>
              <w:rPr>
                <w:sz w:val="13"/>
              </w:rPr>
            </w:pPr>
            <w:r>
              <w:rPr>
                <w:w w:val="105"/>
                <w:sz w:val="13"/>
              </w:rPr>
              <w:t>681</w:t>
            </w:r>
          </w:p>
        </w:tc>
        <w:tc>
          <w:tcPr>
            <w:tcW w:w="1283" w:type="dxa"/>
          </w:tcPr>
          <w:p>
            <w:pPr>
              <w:pStyle w:val="TableParagraph"/>
              <w:spacing w:line="143" w:lineRule="exact"/>
              <w:ind w:right="346"/>
              <w:jc w:val="right"/>
              <w:rPr>
                <w:sz w:val="13"/>
              </w:rPr>
            </w:pPr>
            <w:r>
              <w:rPr>
                <w:sz w:val="13"/>
              </w:rPr>
              <w:t>49,27%</w:t>
            </w:r>
          </w:p>
        </w:tc>
        <w:tc>
          <w:tcPr>
            <w:tcW w:w="857" w:type="dxa"/>
          </w:tcPr>
          <w:p>
            <w:pPr>
              <w:pStyle w:val="TableParagraph"/>
              <w:spacing w:line="143" w:lineRule="exact"/>
              <w:ind w:right="230"/>
              <w:jc w:val="right"/>
              <w:rPr>
                <w:sz w:val="13"/>
              </w:rPr>
            </w:pPr>
            <w:r>
              <w:rPr>
                <w:sz w:val="13"/>
              </w:rPr>
              <w:t>51,11</w:t>
            </w:r>
          </w:p>
        </w:tc>
      </w:tr>
      <w:tr>
        <w:trPr>
          <w:trHeight w:val="149" w:hRule="atLeast"/>
        </w:trPr>
        <w:tc>
          <w:tcPr>
            <w:tcW w:w="1729" w:type="dxa"/>
          </w:tcPr>
          <w:p>
            <w:pPr>
              <w:pStyle w:val="TableParagraph"/>
              <w:tabs>
                <w:tab w:pos="1728" w:val="left" w:leader="none"/>
              </w:tabs>
              <w:spacing w:line="129" w:lineRule="exact"/>
              <w:ind w:left="50"/>
              <w:rPr>
                <w:sz w:val="13"/>
              </w:rPr>
            </w:pPr>
            <w:r>
              <w:rPr>
                <w:w w:val="103"/>
                <w:sz w:val="13"/>
                <w:u w:val="single"/>
              </w:rPr>
              <w:t> </w:t>
            </w:r>
            <w:r>
              <w:rPr>
                <w:spacing w:val="10"/>
                <w:sz w:val="13"/>
                <w:u w:val="single"/>
              </w:rPr>
              <w:t> </w:t>
            </w:r>
            <w:r>
              <w:rPr>
                <w:w w:val="105"/>
                <w:sz w:val="13"/>
                <w:u w:val="single"/>
              </w:rPr>
              <w:t>Economía</w:t>
            </w:r>
            <w:r>
              <w:rPr>
                <w:sz w:val="13"/>
                <w:u w:val="single"/>
              </w:rPr>
              <w:tab/>
            </w:r>
          </w:p>
        </w:tc>
        <w:tc>
          <w:tcPr>
            <w:tcW w:w="1152" w:type="dxa"/>
          </w:tcPr>
          <w:p>
            <w:pPr>
              <w:pStyle w:val="TableParagraph"/>
              <w:spacing w:line="129" w:lineRule="exact"/>
              <w:ind w:left="527" w:right="377"/>
              <w:jc w:val="center"/>
              <w:rPr>
                <w:sz w:val="13"/>
              </w:rPr>
            </w:pPr>
            <w:r>
              <w:rPr>
                <w:w w:val="105"/>
                <w:sz w:val="13"/>
              </w:rPr>
              <w:t>239</w:t>
            </w:r>
          </w:p>
        </w:tc>
        <w:tc>
          <w:tcPr>
            <w:tcW w:w="856" w:type="dxa"/>
          </w:tcPr>
          <w:p>
            <w:pPr>
              <w:pStyle w:val="TableParagraph"/>
              <w:spacing w:line="129" w:lineRule="exact"/>
              <w:ind w:left="397"/>
              <w:rPr>
                <w:sz w:val="13"/>
              </w:rPr>
            </w:pPr>
            <w:r>
              <w:rPr>
                <w:w w:val="105"/>
                <w:sz w:val="13"/>
              </w:rPr>
              <w:t>326</w:t>
            </w:r>
          </w:p>
        </w:tc>
        <w:tc>
          <w:tcPr>
            <w:tcW w:w="1283" w:type="dxa"/>
          </w:tcPr>
          <w:p>
            <w:pPr>
              <w:pStyle w:val="TableParagraph"/>
              <w:spacing w:line="129" w:lineRule="exact"/>
              <w:ind w:right="346"/>
              <w:jc w:val="right"/>
              <w:rPr>
                <w:sz w:val="13"/>
              </w:rPr>
            </w:pPr>
            <w:r>
              <w:rPr>
                <w:sz w:val="13"/>
              </w:rPr>
              <w:t>24,78%</w:t>
            </w:r>
          </w:p>
        </w:tc>
        <w:tc>
          <w:tcPr>
            <w:tcW w:w="857" w:type="dxa"/>
          </w:tcPr>
          <w:p>
            <w:pPr>
              <w:pStyle w:val="TableParagraph"/>
              <w:spacing w:line="129" w:lineRule="exact"/>
              <w:ind w:right="230"/>
              <w:jc w:val="right"/>
              <w:rPr>
                <w:sz w:val="13"/>
              </w:rPr>
            </w:pPr>
            <w:r>
              <w:rPr>
                <w:sz w:val="13"/>
              </w:rPr>
              <w:t>52,2</w:t>
            </w:r>
          </w:p>
        </w:tc>
      </w:tr>
    </w:tbl>
    <w:p>
      <w:pPr>
        <w:pStyle w:val="BodyText"/>
        <w:rPr>
          <w:sz w:val="21"/>
        </w:rPr>
      </w:pPr>
      <w:r>
        <w:rPr/>
        <w:pict>
          <v:shape style="position:absolute;margin-left:142.816818pt;margin-top:15.137913pt;width:120.95pt;height:.1pt;mso-position-horizontal-relative:page;mso-position-vertical-relative:paragraph;z-index:-251653120;mso-wrap-distance-left:0;mso-wrap-distance-right:0" coordorigin="2856,303" coordsize="2419,0" path="m2856,303l5275,303e" filled="false" stroked="true" strokeweight=".604535pt" strokecolor="#000000">
            <v:path arrowok="t"/>
            <v:stroke dashstyle="solid"/>
            <w10:wrap type="topAndBottom"/>
          </v:shape>
        </w:pict>
      </w:r>
    </w:p>
    <w:p>
      <w:pPr>
        <w:spacing w:line="252" w:lineRule="auto" w:before="49"/>
        <w:ind w:left="2096" w:right="1142" w:firstLine="0"/>
        <w:jc w:val="both"/>
        <w:rPr>
          <w:sz w:val="16"/>
        </w:rPr>
      </w:pPr>
      <w:r>
        <w:rPr>
          <w:w w:val="105"/>
          <w:position w:val="6"/>
          <w:sz w:val="11"/>
        </w:rPr>
        <w:t>1</w:t>
      </w:r>
      <w:r>
        <w:rPr>
          <w:spacing w:val="7"/>
          <w:w w:val="105"/>
          <w:position w:val="6"/>
          <w:sz w:val="11"/>
        </w:rPr>
        <w:t> </w:t>
      </w:r>
      <w:r>
        <w:rPr>
          <w:w w:val="105"/>
          <w:sz w:val="16"/>
        </w:rPr>
        <w:t>Se</w:t>
      </w:r>
      <w:r>
        <w:rPr>
          <w:spacing w:val="-5"/>
          <w:w w:val="105"/>
          <w:sz w:val="16"/>
        </w:rPr>
        <w:t> </w:t>
      </w:r>
      <w:r>
        <w:rPr>
          <w:w w:val="105"/>
          <w:sz w:val="16"/>
        </w:rPr>
        <w:t>incluye</w:t>
      </w:r>
      <w:r>
        <w:rPr>
          <w:spacing w:val="-3"/>
          <w:w w:val="105"/>
          <w:sz w:val="16"/>
        </w:rPr>
        <w:t> </w:t>
      </w:r>
      <w:r>
        <w:rPr>
          <w:w w:val="105"/>
          <w:sz w:val="16"/>
        </w:rPr>
        <w:t>en</w:t>
      </w:r>
      <w:r>
        <w:rPr>
          <w:spacing w:val="-3"/>
          <w:w w:val="105"/>
          <w:sz w:val="16"/>
        </w:rPr>
        <w:t> </w:t>
      </w:r>
      <w:r>
        <w:rPr>
          <w:w w:val="105"/>
          <w:sz w:val="16"/>
        </w:rPr>
        <w:t>el</w:t>
      </w:r>
      <w:r>
        <w:rPr>
          <w:spacing w:val="-4"/>
          <w:w w:val="105"/>
          <w:sz w:val="16"/>
        </w:rPr>
        <w:t> </w:t>
      </w:r>
      <w:r>
        <w:rPr>
          <w:w w:val="105"/>
          <w:sz w:val="16"/>
        </w:rPr>
        <w:t>colectivo</w:t>
      </w:r>
      <w:r>
        <w:rPr>
          <w:spacing w:val="-4"/>
          <w:w w:val="105"/>
          <w:sz w:val="16"/>
        </w:rPr>
        <w:t> </w:t>
      </w:r>
      <w:r>
        <w:rPr>
          <w:w w:val="105"/>
          <w:sz w:val="16"/>
        </w:rPr>
        <w:t>de</w:t>
      </w:r>
      <w:r>
        <w:rPr>
          <w:spacing w:val="-4"/>
          <w:w w:val="105"/>
          <w:sz w:val="16"/>
        </w:rPr>
        <w:t> </w:t>
      </w:r>
      <w:r>
        <w:rPr>
          <w:w w:val="105"/>
          <w:sz w:val="16"/>
        </w:rPr>
        <w:t>trabajadores</w:t>
      </w:r>
      <w:r>
        <w:rPr>
          <w:spacing w:val="-3"/>
          <w:w w:val="105"/>
          <w:sz w:val="16"/>
        </w:rPr>
        <w:t> </w:t>
      </w:r>
      <w:r>
        <w:rPr>
          <w:w w:val="105"/>
          <w:sz w:val="16"/>
        </w:rPr>
        <w:t>con</w:t>
      </w:r>
      <w:r>
        <w:rPr>
          <w:spacing w:val="-3"/>
          <w:w w:val="105"/>
          <w:sz w:val="16"/>
        </w:rPr>
        <w:t> </w:t>
      </w:r>
      <w:r>
        <w:rPr>
          <w:w w:val="105"/>
          <w:sz w:val="16"/>
        </w:rPr>
        <w:t>vínculo</w:t>
      </w:r>
      <w:r>
        <w:rPr>
          <w:spacing w:val="-3"/>
          <w:w w:val="105"/>
          <w:sz w:val="16"/>
        </w:rPr>
        <w:t> </w:t>
      </w:r>
      <w:r>
        <w:rPr>
          <w:w w:val="105"/>
          <w:sz w:val="16"/>
        </w:rPr>
        <w:t>temporal</w:t>
      </w:r>
      <w:r>
        <w:rPr>
          <w:spacing w:val="-4"/>
          <w:w w:val="105"/>
          <w:sz w:val="16"/>
        </w:rPr>
        <w:t> </w:t>
      </w:r>
      <w:r>
        <w:rPr>
          <w:w w:val="105"/>
          <w:sz w:val="16"/>
        </w:rPr>
        <w:t>a</w:t>
      </w:r>
      <w:r>
        <w:rPr>
          <w:spacing w:val="-3"/>
          <w:w w:val="105"/>
          <w:sz w:val="16"/>
        </w:rPr>
        <w:t> </w:t>
      </w:r>
      <w:r>
        <w:rPr>
          <w:w w:val="105"/>
          <w:sz w:val="16"/>
        </w:rPr>
        <w:t>los</w:t>
      </w:r>
      <w:r>
        <w:rPr>
          <w:spacing w:val="-3"/>
          <w:w w:val="105"/>
          <w:sz w:val="16"/>
        </w:rPr>
        <w:t> </w:t>
      </w:r>
      <w:r>
        <w:rPr>
          <w:w w:val="105"/>
          <w:sz w:val="16"/>
        </w:rPr>
        <w:t>funcionarios</w:t>
      </w:r>
      <w:r>
        <w:rPr>
          <w:spacing w:val="-3"/>
          <w:w w:val="105"/>
          <w:sz w:val="16"/>
        </w:rPr>
        <w:t> </w:t>
      </w:r>
      <w:r>
        <w:rPr>
          <w:w w:val="105"/>
          <w:sz w:val="16"/>
        </w:rPr>
        <w:t>interinos</w:t>
      </w:r>
      <w:r>
        <w:rPr>
          <w:spacing w:val="-2"/>
          <w:w w:val="105"/>
          <w:sz w:val="16"/>
        </w:rPr>
        <w:t> </w:t>
      </w:r>
      <w:r>
        <w:rPr>
          <w:w w:val="105"/>
          <w:sz w:val="16"/>
        </w:rPr>
        <w:t>y</w:t>
      </w:r>
      <w:r>
        <w:rPr>
          <w:spacing w:val="-4"/>
          <w:w w:val="105"/>
          <w:sz w:val="16"/>
        </w:rPr>
        <w:t> </w:t>
      </w:r>
      <w:r>
        <w:rPr>
          <w:w w:val="105"/>
          <w:sz w:val="16"/>
        </w:rPr>
        <w:t>al</w:t>
      </w:r>
      <w:r>
        <w:rPr>
          <w:spacing w:val="-4"/>
          <w:w w:val="105"/>
          <w:sz w:val="16"/>
        </w:rPr>
        <w:t> </w:t>
      </w:r>
      <w:r>
        <w:rPr>
          <w:w w:val="105"/>
          <w:sz w:val="16"/>
        </w:rPr>
        <w:t>personal laboral temporal y se excluye a los altos cargos y personal eventual y al personal contratado con cargo al Capítulo VI del presupuesto de</w:t>
      </w:r>
      <w:r>
        <w:rPr>
          <w:spacing w:val="-3"/>
          <w:w w:val="105"/>
          <w:sz w:val="16"/>
        </w:rPr>
        <w:t> </w:t>
      </w:r>
      <w:r>
        <w:rPr>
          <w:w w:val="105"/>
          <w:sz w:val="16"/>
        </w:rPr>
        <w:t>gastos.</w:t>
      </w:r>
    </w:p>
    <w:p>
      <w:pPr>
        <w:pStyle w:val="BodyText"/>
        <w:spacing w:line="238" w:lineRule="exact"/>
        <w:ind w:left="7897"/>
        <w:jc w:val="center"/>
      </w:pPr>
      <w:r>
        <w:rPr/>
        <w:t>19</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49" name="image5.png"/>
                  <wp:cNvGraphicFramePr>
                    <a:graphicFrameLocks noChangeAspect="1"/>
                  </wp:cNvGraphicFramePr>
                  <a:graphic>
                    <a:graphicData uri="http://schemas.openxmlformats.org/drawingml/2006/picture">
                      <pic:pic>
                        <pic:nvPicPr>
                          <pic:cNvPr id="5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21/247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5"/>
        <w:rPr>
          <w:b/>
          <w:sz w:val="14"/>
        </w:rPr>
      </w:pPr>
    </w:p>
    <w:tbl>
      <w:tblPr>
        <w:tblW w:w="0" w:type="auto"/>
        <w:jc w:val="left"/>
        <w:tblInd w:w="2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8"/>
        <w:gridCol w:w="1100"/>
        <w:gridCol w:w="907"/>
        <w:gridCol w:w="1220"/>
        <w:gridCol w:w="919"/>
      </w:tblGrid>
      <w:tr>
        <w:trPr>
          <w:trHeight w:val="294" w:hRule="atLeast"/>
        </w:trPr>
        <w:tc>
          <w:tcPr>
            <w:tcW w:w="4885" w:type="dxa"/>
            <w:gridSpan w:val="4"/>
          </w:tcPr>
          <w:p>
            <w:pPr>
              <w:pStyle w:val="TableParagraph"/>
              <w:tabs>
                <w:tab w:pos="2676" w:val="left" w:leader="none"/>
                <w:tab w:pos="4087" w:val="left" w:leader="none"/>
              </w:tabs>
              <w:spacing w:line="201" w:lineRule="exact" w:before="10"/>
              <w:ind w:left="2059"/>
              <w:rPr>
                <w:b/>
                <w:sz w:val="13"/>
              </w:rPr>
            </w:pPr>
            <w:r>
              <w:rPr>
                <w:b/>
                <w:w w:val="105"/>
                <w:sz w:val="13"/>
              </w:rPr>
              <w:t>Totales</w:t>
              <w:tab/>
              <w:t>Puestos</w:t>
            </w:r>
            <w:r>
              <w:rPr>
                <w:b/>
                <w:spacing w:val="-4"/>
                <w:w w:val="105"/>
                <w:sz w:val="13"/>
              </w:rPr>
              <w:t> </w:t>
            </w:r>
            <w:r>
              <w:rPr>
                <w:b/>
                <w:w w:val="105"/>
                <w:sz w:val="13"/>
              </w:rPr>
              <w:t>en</w:t>
            </w:r>
            <w:r>
              <w:rPr>
                <w:b/>
                <w:spacing w:val="-3"/>
                <w:w w:val="105"/>
                <w:sz w:val="13"/>
              </w:rPr>
              <w:t> </w:t>
            </w:r>
            <w:r>
              <w:rPr>
                <w:b/>
                <w:w w:val="105"/>
                <w:sz w:val="13"/>
              </w:rPr>
              <w:t>RPT</w:t>
              <w:tab/>
            </w:r>
            <w:r>
              <w:rPr>
                <w:b/>
                <w:w w:val="105"/>
                <w:position w:val="8"/>
                <w:sz w:val="13"/>
              </w:rPr>
              <w:t>Tasa</w:t>
            </w:r>
            <w:r>
              <w:rPr>
                <w:b/>
                <w:spacing w:val="-2"/>
                <w:w w:val="105"/>
                <w:position w:val="8"/>
                <w:sz w:val="13"/>
              </w:rPr>
              <w:t> </w:t>
            </w:r>
            <w:r>
              <w:rPr>
                <w:b/>
                <w:w w:val="105"/>
                <w:position w:val="8"/>
                <w:sz w:val="13"/>
              </w:rPr>
              <w:t>de</w:t>
            </w:r>
          </w:p>
          <w:p>
            <w:pPr>
              <w:pStyle w:val="TableParagraph"/>
              <w:spacing w:line="64" w:lineRule="exact"/>
              <w:ind w:right="204"/>
              <w:jc w:val="right"/>
              <w:rPr>
                <w:b/>
                <w:sz w:val="13"/>
              </w:rPr>
            </w:pPr>
            <w:r>
              <w:rPr>
                <w:b/>
                <w:sz w:val="13"/>
              </w:rPr>
              <w:t>temporalidad</w:t>
            </w:r>
          </w:p>
        </w:tc>
        <w:tc>
          <w:tcPr>
            <w:tcW w:w="919" w:type="dxa"/>
            <w:shd w:val="clear" w:color="auto" w:fill="DEEAF6"/>
          </w:tcPr>
          <w:p>
            <w:pPr>
              <w:pStyle w:val="TableParagraph"/>
              <w:spacing w:line="160" w:lineRule="atLeast" w:before="6"/>
              <w:ind w:left="336" w:hanging="125"/>
              <w:rPr>
                <w:b/>
                <w:sz w:val="13"/>
              </w:rPr>
            </w:pPr>
            <w:r>
              <w:rPr>
                <w:b/>
                <w:w w:val="105"/>
                <w:sz w:val="13"/>
              </w:rPr>
              <w:t>Media de edad</w:t>
            </w:r>
          </w:p>
        </w:tc>
      </w:tr>
      <w:tr>
        <w:trPr>
          <w:trHeight w:val="18" w:hRule="atLeast"/>
        </w:trPr>
        <w:tc>
          <w:tcPr>
            <w:tcW w:w="1658" w:type="dxa"/>
          </w:tcPr>
          <w:p>
            <w:pPr>
              <w:pStyle w:val="TableParagraph"/>
              <w:rPr>
                <w:rFonts w:ascii="Times New Roman"/>
                <w:sz w:val="2"/>
              </w:rPr>
            </w:pPr>
          </w:p>
        </w:tc>
        <w:tc>
          <w:tcPr>
            <w:tcW w:w="1100" w:type="dxa"/>
          </w:tcPr>
          <w:p>
            <w:pPr>
              <w:pStyle w:val="TableParagraph"/>
              <w:rPr>
                <w:rFonts w:ascii="Times New Roman"/>
                <w:sz w:val="2"/>
              </w:rPr>
            </w:pPr>
          </w:p>
        </w:tc>
        <w:tc>
          <w:tcPr>
            <w:tcW w:w="907" w:type="dxa"/>
          </w:tcPr>
          <w:p>
            <w:pPr>
              <w:pStyle w:val="TableParagraph"/>
              <w:rPr>
                <w:rFonts w:ascii="Times New Roman"/>
                <w:sz w:val="2"/>
              </w:rPr>
            </w:pPr>
          </w:p>
        </w:tc>
        <w:tc>
          <w:tcPr>
            <w:tcW w:w="1220" w:type="dxa"/>
          </w:tcPr>
          <w:p>
            <w:pPr>
              <w:pStyle w:val="TableParagraph"/>
              <w:rPr>
                <w:rFonts w:ascii="Times New Roman"/>
                <w:sz w:val="2"/>
              </w:rPr>
            </w:pPr>
          </w:p>
        </w:tc>
        <w:tc>
          <w:tcPr>
            <w:tcW w:w="919" w:type="dxa"/>
          </w:tcPr>
          <w:p>
            <w:pPr>
              <w:pStyle w:val="TableParagraph"/>
              <w:rPr>
                <w:rFonts w:ascii="Times New Roman"/>
                <w:sz w:val="2"/>
              </w:rPr>
            </w:pPr>
          </w:p>
        </w:tc>
      </w:tr>
      <w:tr>
        <w:trPr>
          <w:trHeight w:val="158" w:hRule="atLeast"/>
        </w:trPr>
        <w:tc>
          <w:tcPr>
            <w:tcW w:w="1658" w:type="dxa"/>
          </w:tcPr>
          <w:p>
            <w:pPr>
              <w:pStyle w:val="TableParagraph"/>
              <w:spacing w:line="138" w:lineRule="exact"/>
              <w:ind w:left="50"/>
              <w:rPr>
                <w:sz w:val="13"/>
              </w:rPr>
            </w:pPr>
            <w:r>
              <w:rPr>
                <w:w w:val="105"/>
                <w:sz w:val="13"/>
              </w:rPr>
              <w:t>Turismo</w:t>
            </w:r>
          </w:p>
        </w:tc>
        <w:tc>
          <w:tcPr>
            <w:tcW w:w="1100" w:type="dxa"/>
          </w:tcPr>
          <w:p>
            <w:pPr>
              <w:pStyle w:val="TableParagraph"/>
              <w:spacing w:line="138" w:lineRule="exact"/>
              <w:ind w:left="423" w:right="220"/>
              <w:jc w:val="center"/>
              <w:rPr>
                <w:sz w:val="13"/>
              </w:rPr>
            </w:pPr>
            <w:r>
              <w:rPr>
                <w:w w:val="105"/>
                <w:sz w:val="13"/>
              </w:rPr>
              <w:t>291</w:t>
            </w:r>
          </w:p>
        </w:tc>
        <w:tc>
          <w:tcPr>
            <w:tcW w:w="907" w:type="dxa"/>
          </w:tcPr>
          <w:p>
            <w:pPr>
              <w:pStyle w:val="TableParagraph"/>
              <w:spacing w:line="138" w:lineRule="exact"/>
              <w:ind w:right="249"/>
              <w:jc w:val="right"/>
              <w:rPr>
                <w:sz w:val="13"/>
              </w:rPr>
            </w:pPr>
            <w:r>
              <w:rPr>
                <w:sz w:val="13"/>
              </w:rPr>
              <w:t>375</w:t>
            </w:r>
          </w:p>
        </w:tc>
        <w:tc>
          <w:tcPr>
            <w:tcW w:w="1220" w:type="dxa"/>
          </w:tcPr>
          <w:p>
            <w:pPr>
              <w:pStyle w:val="TableParagraph"/>
              <w:spacing w:line="138" w:lineRule="exact"/>
              <w:ind w:right="282"/>
              <w:jc w:val="right"/>
              <w:rPr>
                <w:sz w:val="13"/>
              </w:rPr>
            </w:pPr>
            <w:r>
              <w:rPr>
                <w:sz w:val="13"/>
              </w:rPr>
              <w:t>20,07%</w:t>
            </w:r>
          </w:p>
        </w:tc>
        <w:tc>
          <w:tcPr>
            <w:tcW w:w="919" w:type="dxa"/>
          </w:tcPr>
          <w:p>
            <w:pPr>
              <w:pStyle w:val="TableParagraph"/>
              <w:spacing w:line="138" w:lineRule="exact"/>
              <w:ind w:right="227"/>
              <w:jc w:val="right"/>
              <w:rPr>
                <w:sz w:val="13"/>
              </w:rPr>
            </w:pPr>
            <w:r>
              <w:rPr>
                <w:sz w:val="13"/>
              </w:rPr>
              <w:t>53,84</w:t>
            </w:r>
          </w:p>
        </w:tc>
      </w:tr>
      <w:tr>
        <w:trPr>
          <w:trHeight w:val="164" w:hRule="atLeast"/>
        </w:trPr>
        <w:tc>
          <w:tcPr>
            <w:tcW w:w="1658" w:type="dxa"/>
          </w:tcPr>
          <w:p>
            <w:pPr>
              <w:pStyle w:val="TableParagraph"/>
              <w:spacing w:line="144" w:lineRule="exact"/>
              <w:ind w:left="50"/>
              <w:rPr>
                <w:sz w:val="13"/>
              </w:rPr>
            </w:pPr>
            <w:r>
              <w:rPr>
                <w:w w:val="105"/>
                <w:sz w:val="13"/>
              </w:rPr>
              <w:t>Educación no docente*</w:t>
            </w:r>
          </w:p>
        </w:tc>
        <w:tc>
          <w:tcPr>
            <w:tcW w:w="1100" w:type="dxa"/>
          </w:tcPr>
          <w:p>
            <w:pPr>
              <w:pStyle w:val="TableParagraph"/>
              <w:spacing w:line="144" w:lineRule="exact"/>
              <w:ind w:left="423" w:right="324"/>
              <w:jc w:val="center"/>
              <w:rPr>
                <w:sz w:val="13"/>
              </w:rPr>
            </w:pPr>
            <w:r>
              <w:rPr>
                <w:w w:val="105"/>
                <w:sz w:val="13"/>
              </w:rPr>
              <w:t>4.998</w:t>
            </w:r>
          </w:p>
        </w:tc>
        <w:tc>
          <w:tcPr>
            <w:tcW w:w="907" w:type="dxa"/>
          </w:tcPr>
          <w:p>
            <w:pPr>
              <w:pStyle w:val="TableParagraph"/>
              <w:spacing w:line="144" w:lineRule="exact"/>
              <w:ind w:right="249"/>
              <w:jc w:val="right"/>
              <w:rPr>
                <w:sz w:val="13"/>
              </w:rPr>
            </w:pPr>
            <w:r>
              <w:rPr>
                <w:sz w:val="13"/>
              </w:rPr>
              <w:t>4.928</w:t>
            </w:r>
          </w:p>
        </w:tc>
        <w:tc>
          <w:tcPr>
            <w:tcW w:w="1220" w:type="dxa"/>
          </w:tcPr>
          <w:p>
            <w:pPr>
              <w:pStyle w:val="TableParagraph"/>
              <w:spacing w:line="144" w:lineRule="exact"/>
              <w:ind w:right="282"/>
              <w:jc w:val="right"/>
              <w:rPr>
                <w:sz w:val="13"/>
              </w:rPr>
            </w:pPr>
            <w:r>
              <w:rPr>
                <w:sz w:val="13"/>
              </w:rPr>
              <w:t>68,37%</w:t>
            </w:r>
          </w:p>
        </w:tc>
        <w:tc>
          <w:tcPr>
            <w:tcW w:w="919" w:type="dxa"/>
          </w:tcPr>
          <w:p>
            <w:pPr>
              <w:pStyle w:val="TableParagraph"/>
              <w:spacing w:line="144" w:lineRule="exact"/>
              <w:ind w:right="227"/>
              <w:jc w:val="right"/>
              <w:rPr>
                <w:sz w:val="13"/>
              </w:rPr>
            </w:pPr>
            <w:r>
              <w:rPr>
                <w:sz w:val="13"/>
              </w:rPr>
              <w:t>54,46</w:t>
            </w:r>
          </w:p>
        </w:tc>
      </w:tr>
      <w:tr>
        <w:trPr>
          <w:trHeight w:val="150" w:hRule="atLeast"/>
        </w:trPr>
        <w:tc>
          <w:tcPr>
            <w:tcW w:w="1658" w:type="dxa"/>
          </w:tcPr>
          <w:p>
            <w:pPr>
              <w:pStyle w:val="TableParagraph"/>
              <w:spacing w:line="130" w:lineRule="exact"/>
              <w:ind w:left="50"/>
              <w:rPr>
                <w:sz w:val="13"/>
              </w:rPr>
            </w:pPr>
            <w:r>
              <w:rPr>
                <w:w w:val="105"/>
                <w:sz w:val="13"/>
              </w:rPr>
              <w:t>Derechos sociales*</w:t>
            </w:r>
          </w:p>
        </w:tc>
        <w:tc>
          <w:tcPr>
            <w:tcW w:w="1100" w:type="dxa"/>
          </w:tcPr>
          <w:p>
            <w:pPr>
              <w:pStyle w:val="TableParagraph"/>
              <w:spacing w:line="130" w:lineRule="exact"/>
              <w:ind w:left="423" w:right="324"/>
              <w:jc w:val="center"/>
              <w:rPr>
                <w:sz w:val="13"/>
              </w:rPr>
            </w:pPr>
            <w:r>
              <w:rPr>
                <w:w w:val="105"/>
                <w:sz w:val="13"/>
              </w:rPr>
              <w:t>1.324</w:t>
            </w:r>
          </w:p>
        </w:tc>
        <w:tc>
          <w:tcPr>
            <w:tcW w:w="907" w:type="dxa"/>
          </w:tcPr>
          <w:p>
            <w:pPr>
              <w:pStyle w:val="TableParagraph"/>
              <w:spacing w:line="130" w:lineRule="exact"/>
              <w:ind w:right="249"/>
              <w:jc w:val="right"/>
              <w:rPr>
                <w:sz w:val="13"/>
              </w:rPr>
            </w:pPr>
            <w:r>
              <w:rPr>
                <w:sz w:val="13"/>
              </w:rPr>
              <w:t>1.081</w:t>
            </w:r>
          </w:p>
        </w:tc>
        <w:tc>
          <w:tcPr>
            <w:tcW w:w="1220" w:type="dxa"/>
          </w:tcPr>
          <w:p>
            <w:pPr>
              <w:pStyle w:val="TableParagraph"/>
              <w:spacing w:line="130" w:lineRule="exact"/>
              <w:ind w:right="282"/>
              <w:jc w:val="right"/>
              <w:rPr>
                <w:sz w:val="13"/>
              </w:rPr>
            </w:pPr>
            <w:r>
              <w:rPr>
                <w:sz w:val="13"/>
              </w:rPr>
              <w:t>66,84%</w:t>
            </w:r>
          </w:p>
        </w:tc>
        <w:tc>
          <w:tcPr>
            <w:tcW w:w="919" w:type="dxa"/>
          </w:tcPr>
          <w:p>
            <w:pPr>
              <w:pStyle w:val="TableParagraph"/>
              <w:spacing w:line="130" w:lineRule="exact"/>
              <w:ind w:right="227"/>
              <w:jc w:val="right"/>
              <w:rPr>
                <w:sz w:val="13"/>
              </w:rPr>
            </w:pPr>
            <w:r>
              <w:rPr>
                <w:sz w:val="13"/>
              </w:rPr>
              <w:t>50,55</w:t>
            </w:r>
          </w:p>
        </w:tc>
      </w:tr>
    </w:tbl>
    <w:p>
      <w:pPr>
        <w:tabs>
          <w:tab w:pos="3390" w:val="left" w:leader="none"/>
          <w:tab w:pos="4869" w:val="left" w:leader="none"/>
          <w:tab w:pos="5871" w:val="left" w:leader="none"/>
          <w:tab w:pos="8459" w:val="left" w:leader="none"/>
        </w:tabs>
        <w:spacing w:before="5"/>
        <w:ind w:left="2747" w:right="0" w:firstLine="0"/>
        <w:jc w:val="left"/>
        <w:rPr>
          <w:b/>
          <w:sz w:val="13"/>
        </w:rPr>
      </w:pPr>
      <w:r>
        <w:rPr/>
        <w:pict>
          <v:group style="position:absolute;margin-left:259.310852pt;margin-top:-41.317322pt;width:207.5pt;height:16.850pt;mso-position-horizontal-relative:page;mso-position-vertical-relative:paragraph;z-index:-323165184" coordorigin="5186,-826" coordsize="4150,337">
            <v:shape style="position:absolute;left:5186;top:-819;width:4150;height:329" coordorigin="5186,-818" coordsize="4150,329" path="m8445,-818l8387,-818,7268,-818,7210,-818,6051,-818,6051,-818,5186,-818,5186,-490,6051,-490,6051,-490,7210,-490,7268,-490,8387,-490,8445,-490,8445,-818m9336,-818l9278,-818,8504,-818,8445,-818,8445,-490,8504,-490,9278,-490,9336,-490,9336,-818e" filled="true" fillcolor="#deeaf6" stroked="false">
              <v:path arrowok="t"/>
              <v:fill type="solid"/>
            </v:shape>
            <v:line style="position:absolute" from="5186,-822" to="6051,-822" stroked="true" strokeweight=".403006pt" strokecolor="#000000">
              <v:stroke dashstyle="solid"/>
            </v:line>
            <v:rect style="position:absolute;left:6051;top:-827;width:9;height:9" filled="true" fillcolor="#000000" stroked="false">
              <v:fill type="solid"/>
            </v:rect>
            <v:line style="position:absolute" from="6059,-822" to="7210,-822" stroked="true" strokeweight=".403006pt" strokecolor="#000000">
              <v:stroke dashstyle="solid"/>
            </v:line>
            <v:rect style="position:absolute;left:7209;top:-827;width:9;height:9" filled="true" fillcolor="#000000" stroked="false">
              <v:fill type="solid"/>
            </v:rect>
            <v:line style="position:absolute" from="7218,-822" to="8445,-822" stroked="true" strokeweight=".403006pt" strokecolor="#000000">
              <v:stroke dashstyle="solid"/>
            </v:line>
            <v:rect style="position:absolute;left:8445;top:-827;width:9;height:9" filled="true" fillcolor="#000000" stroked="false">
              <v:fill type="solid"/>
            </v:rect>
            <v:line style="position:absolute" from="8453,-822" to="9336,-822" stroked="true" strokeweight=".403006pt" strokecolor="#000000">
              <v:stroke dashstyle="solid"/>
            </v:line>
            <w10:wrap type="none"/>
          </v:group>
        </w:pict>
      </w:r>
      <w:r>
        <w:rPr>
          <w:b/>
          <w:w w:val="103"/>
          <w:sz w:val="13"/>
          <w:u w:val="single"/>
        </w:rPr>
        <w:t> </w:t>
      </w:r>
      <w:r>
        <w:rPr>
          <w:b/>
          <w:sz w:val="13"/>
          <w:u w:val="single"/>
        </w:rPr>
        <w:tab/>
      </w:r>
      <w:r>
        <w:rPr>
          <w:b/>
          <w:w w:val="105"/>
          <w:sz w:val="13"/>
          <w:u w:val="single"/>
        </w:rPr>
        <w:t>Totales</w:t>
        <w:tab/>
        <w:t>9.356</w:t>
        <w:tab/>
        <w:t>9.848</w:t>
      </w:r>
      <w:r>
        <w:rPr>
          <w:b/>
          <w:sz w:val="13"/>
          <w:u w:val="single"/>
        </w:rPr>
        <w:tab/>
      </w:r>
    </w:p>
    <w:p>
      <w:pPr>
        <w:spacing w:line="247" w:lineRule="auto" w:before="23"/>
        <w:ind w:left="2698" w:right="1067" w:firstLine="0"/>
        <w:jc w:val="left"/>
        <w:rPr>
          <w:sz w:val="13"/>
        </w:rPr>
      </w:pPr>
      <w:r>
        <w:rPr>
          <w:w w:val="105"/>
          <w:sz w:val="13"/>
        </w:rPr>
        <w:t>*</w:t>
      </w:r>
      <w:r>
        <w:rPr>
          <w:spacing w:val="-9"/>
          <w:w w:val="105"/>
          <w:sz w:val="13"/>
        </w:rPr>
        <w:t> </w:t>
      </w:r>
      <w:r>
        <w:rPr>
          <w:w w:val="105"/>
          <w:sz w:val="13"/>
        </w:rPr>
        <w:t>En</w:t>
      </w:r>
      <w:r>
        <w:rPr>
          <w:spacing w:val="-8"/>
          <w:w w:val="105"/>
          <w:sz w:val="13"/>
        </w:rPr>
        <w:t> </w:t>
      </w:r>
      <w:r>
        <w:rPr>
          <w:w w:val="105"/>
          <w:sz w:val="13"/>
        </w:rPr>
        <w:t>estos</w:t>
      </w:r>
      <w:r>
        <w:rPr>
          <w:spacing w:val="-8"/>
          <w:w w:val="105"/>
          <w:sz w:val="13"/>
        </w:rPr>
        <w:t> </w:t>
      </w:r>
      <w:r>
        <w:rPr>
          <w:w w:val="105"/>
          <w:sz w:val="13"/>
        </w:rPr>
        <w:t>departamentos</w:t>
      </w:r>
      <w:r>
        <w:rPr>
          <w:spacing w:val="-9"/>
          <w:w w:val="105"/>
          <w:sz w:val="13"/>
        </w:rPr>
        <w:t> </w:t>
      </w:r>
      <w:r>
        <w:rPr>
          <w:w w:val="105"/>
          <w:sz w:val="13"/>
        </w:rPr>
        <w:t>existen</w:t>
      </w:r>
      <w:r>
        <w:rPr>
          <w:spacing w:val="-9"/>
          <w:w w:val="105"/>
          <w:sz w:val="13"/>
        </w:rPr>
        <w:t> </w:t>
      </w:r>
      <w:r>
        <w:rPr>
          <w:w w:val="105"/>
          <w:sz w:val="13"/>
        </w:rPr>
        <w:t>puestos</w:t>
      </w:r>
      <w:r>
        <w:rPr>
          <w:spacing w:val="-8"/>
          <w:w w:val="105"/>
          <w:sz w:val="13"/>
        </w:rPr>
        <w:t> </w:t>
      </w:r>
      <w:r>
        <w:rPr>
          <w:w w:val="105"/>
          <w:sz w:val="13"/>
        </w:rPr>
        <w:t>de</w:t>
      </w:r>
      <w:r>
        <w:rPr>
          <w:spacing w:val="-9"/>
          <w:w w:val="105"/>
          <w:sz w:val="13"/>
        </w:rPr>
        <w:t> </w:t>
      </w:r>
      <w:r>
        <w:rPr>
          <w:w w:val="105"/>
          <w:sz w:val="13"/>
        </w:rPr>
        <w:t>trabajos</w:t>
      </w:r>
      <w:r>
        <w:rPr>
          <w:spacing w:val="-9"/>
          <w:w w:val="105"/>
          <w:sz w:val="13"/>
        </w:rPr>
        <w:t> </w:t>
      </w:r>
      <w:r>
        <w:rPr>
          <w:w w:val="105"/>
          <w:sz w:val="13"/>
        </w:rPr>
        <w:t>ocupados</w:t>
      </w:r>
      <w:r>
        <w:rPr>
          <w:spacing w:val="-8"/>
          <w:w w:val="105"/>
          <w:sz w:val="13"/>
        </w:rPr>
        <w:t> </w:t>
      </w:r>
      <w:r>
        <w:rPr>
          <w:w w:val="105"/>
          <w:sz w:val="13"/>
        </w:rPr>
        <w:t>por</w:t>
      </w:r>
      <w:r>
        <w:rPr>
          <w:spacing w:val="-9"/>
          <w:w w:val="105"/>
          <w:sz w:val="13"/>
        </w:rPr>
        <w:t> </w:t>
      </w:r>
      <w:r>
        <w:rPr>
          <w:w w:val="105"/>
          <w:sz w:val="13"/>
        </w:rPr>
        <w:t>personal</w:t>
      </w:r>
      <w:r>
        <w:rPr>
          <w:spacing w:val="-9"/>
          <w:w w:val="105"/>
          <w:sz w:val="13"/>
        </w:rPr>
        <w:t> </w:t>
      </w:r>
      <w:r>
        <w:rPr>
          <w:w w:val="105"/>
          <w:sz w:val="13"/>
        </w:rPr>
        <w:t>laboral</w:t>
      </w:r>
      <w:r>
        <w:rPr>
          <w:spacing w:val="-8"/>
          <w:w w:val="105"/>
          <w:sz w:val="13"/>
        </w:rPr>
        <w:t> </w:t>
      </w:r>
      <w:r>
        <w:rPr>
          <w:w w:val="105"/>
          <w:sz w:val="13"/>
        </w:rPr>
        <w:t>temporal;</w:t>
      </w:r>
      <w:r>
        <w:rPr>
          <w:spacing w:val="-9"/>
          <w:w w:val="105"/>
          <w:sz w:val="13"/>
        </w:rPr>
        <w:t> </w:t>
      </w:r>
      <w:r>
        <w:rPr>
          <w:w w:val="105"/>
          <w:sz w:val="13"/>
        </w:rPr>
        <w:t>razón</w:t>
      </w:r>
      <w:r>
        <w:rPr>
          <w:spacing w:val="-8"/>
          <w:w w:val="105"/>
          <w:sz w:val="13"/>
        </w:rPr>
        <w:t> </w:t>
      </w:r>
      <w:r>
        <w:rPr>
          <w:w w:val="105"/>
          <w:sz w:val="13"/>
        </w:rPr>
        <w:t>por</w:t>
      </w:r>
      <w:r>
        <w:rPr>
          <w:spacing w:val="-9"/>
          <w:w w:val="105"/>
          <w:sz w:val="13"/>
        </w:rPr>
        <w:t> </w:t>
      </w:r>
      <w:r>
        <w:rPr>
          <w:w w:val="105"/>
          <w:sz w:val="13"/>
        </w:rPr>
        <w:t>la</w:t>
      </w:r>
      <w:r>
        <w:rPr>
          <w:spacing w:val="-8"/>
          <w:w w:val="105"/>
          <w:sz w:val="13"/>
        </w:rPr>
        <w:t> </w:t>
      </w:r>
      <w:r>
        <w:rPr>
          <w:w w:val="105"/>
          <w:sz w:val="13"/>
        </w:rPr>
        <w:t>cual</w:t>
      </w:r>
      <w:r>
        <w:rPr>
          <w:spacing w:val="-9"/>
          <w:w w:val="105"/>
          <w:sz w:val="13"/>
        </w:rPr>
        <w:t> </w:t>
      </w:r>
      <w:r>
        <w:rPr>
          <w:w w:val="105"/>
          <w:sz w:val="13"/>
        </w:rPr>
        <w:t>el</w:t>
      </w:r>
      <w:r>
        <w:rPr>
          <w:spacing w:val="-9"/>
          <w:w w:val="105"/>
          <w:sz w:val="13"/>
        </w:rPr>
        <w:t> </w:t>
      </w:r>
      <w:r>
        <w:rPr>
          <w:w w:val="105"/>
          <w:sz w:val="13"/>
        </w:rPr>
        <w:t>total de efectivos es superior al de la</w:t>
      </w:r>
      <w:r>
        <w:rPr>
          <w:spacing w:val="-9"/>
          <w:w w:val="105"/>
          <w:sz w:val="13"/>
        </w:rPr>
        <w:t> </w:t>
      </w:r>
      <w:r>
        <w:rPr>
          <w:w w:val="105"/>
          <w:sz w:val="13"/>
        </w:rPr>
        <w:t>RPT.</w:t>
      </w:r>
    </w:p>
    <w:p>
      <w:pPr>
        <w:pStyle w:val="BodyText"/>
        <w:spacing w:before="5"/>
        <w:rPr>
          <w:sz w:val="16"/>
        </w:rPr>
      </w:pPr>
    </w:p>
    <w:p>
      <w:pPr>
        <w:pStyle w:val="ListParagraph"/>
        <w:numPr>
          <w:ilvl w:val="0"/>
          <w:numId w:val="8"/>
        </w:numPr>
        <w:tabs>
          <w:tab w:pos="2397" w:val="left" w:leader="none"/>
        </w:tabs>
        <w:spacing w:line="240" w:lineRule="auto" w:before="1" w:after="0"/>
        <w:ind w:left="2396" w:right="1140" w:hanging="301"/>
        <w:jc w:val="both"/>
        <w:rPr>
          <w:sz w:val="20"/>
        </w:rPr>
      </w:pPr>
      <w:r>
        <w:rPr>
          <w:sz w:val="20"/>
        </w:rPr>
        <w:t>En estos gastos son objeto de verificación las actuaciones establecidas en las Resoluciones dictadas por la IGCAC</w:t>
      </w:r>
      <w:r>
        <w:rPr>
          <w:position w:val="7"/>
          <w:sz w:val="13"/>
        </w:rPr>
        <w:t>2</w:t>
      </w:r>
      <w:r>
        <w:rPr>
          <w:sz w:val="20"/>
        </w:rPr>
        <w:t>, destacando, según los informes emitidos, lo siguiente:</w:t>
      </w:r>
    </w:p>
    <w:p>
      <w:pPr>
        <w:pStyle w:val="BodyText"/>
        <w:spacing w:before="8"/>
        <w:rPr>
          <w:sz w:val="16"/>
        </w:rPr>
      </w:pPr>
    </w:p>
    <w:p>
      <w:pPr>
        <w:pStyle w:val="ListParagraph"/>
        <w:numPr>
          <w:ilvl w:val="1"/>
          <w:numId w:val="8"/>
        </w:numPr>
        <w:tabs>
          <w:tab w:pos="2691" w:val="left" w:leader="none"/>
        </w:tabs>
        <w:spacing w:line="240" w:lineRule="auto" w:before="0" w:after="0"/>
        <w:ind w:left="2690" w:right="0" w:hanging="236"/>
        <w:jc w:val="both"/>
        <w:rPr>
          <w:sz w:val="20"/>
        </w:rPr>
      </w:pPr>
      <w:r>
        <w:rPr>
          <w:sz w:val="20"/>
        </w:rPr>
        <w:t>Ausencia de control en los correspondientes a la Consejería de Sanidad.</w:t>
      </w:r>
    </w:p>
    <w:p>
      <w:pPr>
        <w:pStyle w:val="ListParagraph"/>
        <w:numPr>
          <w:ilvl w:val="1"/>
          <w:numId w:val="8"/>
        </w:numPr>
        <w:tabs>
          <w:tab w:pos="2691" w:val="left" w:leader="none"/>
        </w:tabs>
        <w:spacing w:line="240" w:lineRule="auto" w:before="2" w:after="0"/>
        <w:ind w:left="2690" w:right="1141" w:hanging="236"/>
        <w:jc w:val="both"/>
        <w:rPr>
          <w:sz w:val="20"/>
        </w:rPr>
      </w:pPr>
      <w:r>
        <w:rPr>
          <w:sz w:val="20"/>
        </w:rPr>
        <w:t>Limitaciones en la realización del control en la Consejería de Administraciones Públicas, Justicia y Seguridad; Turismo, Industria y Comercio; Educación, Universidades, Cultura y Deportes (Personal No Docente) y Derechos Sociales, Igualdad, Diversidad y</w:t>
      </w:r>
      <w:r>
        <w:rPr>
          <w:spacing w:val="-1"/>
          <w:sz w:val="20"/>
        </w:rPr>
        <w:t> </w:t>
      </w:r>
      <w:r>
        <w:rPr>
          <w:sz w:val="20"/>
        </w:rPr>
        <w:t>Juventud.</w:t>
      </w:r>
    </w:p>
    <w:p>
      <w:pPr>
        <w:pStyle w:val="ListParagraph"/>
        <w:numPr>
          <w:ilvl w:val="1"/>
          <w:numId w:val="8"/>
        </w:numPr>
        <w:tabs>
          <w:tab w:pos="2691" w:val="left" w:leader="none"/>
        </w:tabs>
        <w:spacing w:line="240" w:lineRule="auto" w:before="7" w:after="0"/>
        <w:ind w:left="2690" w:right="1143" w:hanging="236"/>
        <w:jc w:val="both"/>
        <w:rPr>
          <w:sz w:val="20"/>
        </w:rPr>
      </w:pPr>
      <w:r>
        <w:rPr>
          <w:sz w:val="20"/>
        </w:rPr>
        <w:t>Decremento de efectivos en diferentes departamentos, resaltándose la disminución de 347 efectivos de personal no docente, en la Consejería de Educación, Universidades, Cultura y</w:t>
      </w:r>
      <w:r>
        <w:rPr>
          <w:spacing w:val="-2"/>
          <w:sz w:val="20"/>
        </w:rPr>
        <w:t> </w:t>
      </w:r>
      <w:r>
        <w:rPr>
          <w:sz w:val="20"/>
        </w:rPr>
        <w:t>Deportes.</w:t>
      </w:r>
    </w:p>
    <w:p>
      <w:pPr>
        <w:pStyle w:val="BodyText"/>
        <w:spacing w:before="11"/>
        <w:rPr>
          <w:sz w:val="16"/>
        </w:rPr>
      </w:pPr>
    </w:p>
    <w:p>
      <w:pPr>
        <w:pStyle w:val="Heading1"/>
        <w:numPr>
          <w:ilvl w:val="2"/>
          <w:numId w:val="7"/>
        </w:numPr>
        <w:tabs>
          <w:tab w:pos="2691" w:val="left" w:leader="none"/>
        </w:tabs>
        <w:spacing w:line="240" w:lineRule="auto" w:before="0" w:after="0"/>
        <w:ind w:left="2690" w:right="0" w:hanging="605"/>
        <w:jc w:val="left"/>
      </w:pPr>
      <w:r>
        <w:rPr>
          <w:color w:val="53A1B9"/>
        </w:rPr>
        <w:t>Área de otros</w:t>
      </w:r>
      <w:r>
        <w:rPr>
          <w:color w:val="53A1B9"/>
          <w:spacing w:val="-1"/>
        </w:rPr>
        <w:t> </w:t>
      </w:r>
      <w:r>
        <w:rPr>
          <w:color w:val="53A1B9"/>
        </w:rPr>
        <w:t>gastos.</w:t>
      </w:r>
    </w:p>
    <w:p>
      <w:pPr>
        <w:pStyle w:val="BodyText"/>
        <w:spacing w:before="7"/>
        <w:rPr>
          <w:b/>
          <w:sz w:val="16"/>
        </w:rPr>
      </w:pPr>
    </w:p>
    <w:p>
      <w:pPr>
        <w:pStyle w:val="BodyText"/>
        <w:spacing w:before="1"/>
        <w:ind w:left="2096" w:right="1136" w:firstLine="594"/>
        <w:jc w:val="both"/>
      </w:pPr>
      <w:r>
        <w:rPr/>
        <w:t>En el caso de gastos distintos a los de personal, la realización del control financiero permanente se sujeta a lo establecido en las Resoluciones de la IGCAC</w:t>
      </w:r>
      <w:r>
        <w:rPr>
          <w:position w:val="7"/>
          <w:sz w:val="13"/>
        </w:rPr>
        <w:t>3</w:t>
      </w:r>
      <w:r>
        <w:rPr/>
        <w:t>, seleccionadas conforme a lo especificado en las mismas:</w:t>
      </w:r>
    </w:p>
    <w:p>
      <w:pPr>
        <w:pStyle w:val="BodyText"/>
        <w:spacing w:before="10"/>
        <w:rPr>
          <w:sz w:val="16"/>
        </w:rPr>
      </w:pPr>
    </w:p>
    <w:p>
      <w:pPr>
        <w:pStyle w:val="ListParagraph"/>
        <w:numPr>
          <w:ilvl w:val="3"/>
          <w:numId w:val="7"/>
        </w:numPr>
        <w:tabs>
          <w:tab w:pos="2691" w:val="left" w:leader="none"/>
        </w:tabs>
        <w:spacing w:line="240" w:lineRule="auto" w:before="0" w:after="0"/>
        <w:ind w:left="2690" w:right="1142" w:hanging="236"/>
        <w:jc w:val="both"/>
        <w:rPr>
          <w:sz w:val="20"/>
        </w:rPr>
      </w:pPr>
      <w:r>
        <w:rPr>
          <w:sz w:val="20"/>
        </w:rPr>
        <w:t>Por operaciones contables: Seleccionándose un porcentaje de operaciones con carácter bimestral. En este caso la muestra seleccionada podrá incrementarse o minorarse por la Intervención delegada, en base a su juicio</w:t>
      </w:r>
      <w:r>
        <w:rPr>
          <w:spacing w:val="7"/>
          <w:sz w:val="20"/>
        </w:rPr>
        <w:t> </w:t>
      </w:r>
      <w:r>
        <w:rPr>
          <w:sz w:val="20"/>
        </w:rPr>
        <w:t>profesional.</w:t>
      </w:r>
    </w:p>
    <w:p>
      <w:pPr>
        <w:pStyle w:val="ListParagraph"/>
        <w:numPr>
          <w:ilvl w:val="3"/>
          <w:numId w:val="7"/>
        </w:numPr>
        <w:tabs>
          <w:tab w:pos="2691" w:val="left" w:leader="none"/>
        </w:tabs>
        <w:spacing w:line="240" w:lineRule="auto" w:before="2" w:after="0"/>
        <w:ind w:left="2690" w:right="1137" w:hanging="236"/>
        <w:jc w:val="both"/>
        <w:rPr>
          <w:sz w:val="20"/>
        </w:rPr>
      </w:pPr>
      <w:r>
        <w:rPr>
          <w:sz w:val="20"/>
        </w:rPr>
        <w:t>Otras actuaciones especificadas en la Resolución 186/2022</w:t>
      </w:r>
      <w:r>
        <w:rPr>
          <w:position w:val="7"/>
          <w:sz w:val="13"/>
        </w:rPr>
        <w:t>4 </w:t>
      </w:r>
      <w:r>
        <w:rPr>
          <w:sz w:val="20"/>
        </w:rPr>
        <w:t>. La selección de las actuaciones</w:t>
      </w:r>
      <w:r>
        <w:rPr>
          <w:spacing w:val="37"/>
          <w:sz w:val="20"/>
        </w:rPr>
        <w:t> </w:t>
      </w:r>
      <w:r>
        <w:rPr>
          <w:sz w:val="20"/>
        </w:rPr>
        <w:t>objeto</w:t>
      </w:r>
      <w:r>
        <w:rPr>
          <w:spacing w:val="37"/>
          <w:sz w:val="20"/>
        </w:rPr>
        <w:t> </w:t>
      </w:r>
      <w:r>
        <w:rPr>
          <w:sz w:val="20"/>
        </w:rPr>
        <w:t>de</w:t>
      </w:r>
      <w:r>
        <w:rPr>
          <w:spacing w:val="38"/>
          <w:sz w:val="20"/>
        </w:rPr>
        <w:t> </w:t>
      </w:r>
      <w:r>
        <w:rPr>
          <w:sz w:val="20"/>
        </w:rPr>
        <w:t>revisión</w:t>
      </w:r>
      <w:r>
        <w:rPr>
          <w:spacing w:val="38"/>
          <w:sz w:val="20"/>
        </w:rPr>
        <w:t> </w:t>
      </w:r>
      <w:r>
        <w:rPr>
          <w:sz w:val="20"/>
        </w:rPr>
        <w:t>se</w:t>
      </w:r>
      <w:r>
        <w:rPr>
          <w:spacing w:val="36"/>
          <w:sz w:val="20"/>
        </w:rPr>
        <w:t> </w:t>
      </w:r>
      <w:r>
        <w:rPr>
          <w:sz w:val="20"/>
        </w:rPr>
        <w:t>lleva</w:t>
      </w:r>
      <w:r>
        <w:rPr>
          <w:spacing w:val="37"/>
          <w:sz w:val="20"/>
        </w:rPr>
        <w:t> </w:t>
      </w:r>
      <w:r>
        <w:rPr>
          <w:sz w:val="20"/>
        </w:rPr>
        <w:t>a</w:t>
      </w:r>
      <w:r>
        <w:rPr>
          <w:spacing w:val="36"/>
          <w:sz w:val="20"/>
        </w:rPr>
        <w:t> </w:t>
      </w:r>
      <w:r>
        <w:rPr>
          <w:sz w:val="20"/>
        </w:rPr>
        <w:t>cabo</w:t>
      </w:r>
      <w:r>
        <w:rPr>
          <w:spacing w:val="33"/>
          <w:sz w:val="20"/>
        </w:rPr>
        <w:t> </w:t>
      </w:r>
      <w:r>
        <w:rPr>
          <w:sz w:val="20"/>
        </w:rPr>
        <w:t>por</w:t>
      </w:r>
      <w:r>
        <w:rPr>
          <w:spacing w:val="38"/>
          <w:sz w:val="20"/>
        </w:rPr>
        <w:t> </w:t>
      </w:r>
      <w:r>
        <w:rPr>
          <w:sz w:val="20"/>
        </w:rPr>
        <w:t>la</w:t>
      </w:r>
      <w:r>
        <w:rPr>
          <w:spacing w:val="35"/>
          <w:sz w:val="20"/>
        </w:rPr>
        <w:t> </w:t>
      </w:r>
      <w:r>
        <w:rPr>
          <w:sz w:val="20"/>
        </w:rPr>
        <w:t>Intervención</w:t>
      </w:r>
      <w:r>
        <w:rPr>
          <w:spacing w:val="35"/>
          <w:sz w:val="20"/>
        </w:rPr>
        <w:t> </w:t>
      </w:r>
      <w:r>
        <w:rPr>
          <w:sz w:val="20"/>
        </w:rPr>
        <w:t>delegada,</w:t>
      </w:r>
    </w:p>
    <w:p>
      <w:pPr>
        <w:pStyle w:val="BodyText"/>
        <w:spacing w:before="10"/>
        <w:rPr>
          <w:sz w:val="17"/>
        </w:rPr>
      </w:pPr>
      <w:r>
        <w:rPr/>
        <w:pict>
          <v:shape style="position:absolute;margin-left:142.816818pt;margin-top:13.215255pt;width:120.95pt;height:.1pt;mso-position-horizontal-relative:page;mso-position-vertical-relative:paragraph;z-index:-251652096;mso-wrap-distance-left:0;mso-wrap-distance-right:0" coordorigin="2856,264" coordsize="2419,0" path="m2856,264l5275,264e" filled="false" stroked="true" strokeweight=".604484pt" strokecolor="#000000">
            <v:path arrowok="t"/>
            <v:stroke dashstyle="solid"/>
            <w10:wrap type="topAndBottom"/>
          </v:shape>
        </w:pict>
      </w:r>
    </w:p>
    <w:p>
      <w:pPr>
        <w:spacing w:line="252" w:lineRule="auto" w:before="49"/>
        <w:ind w:left="2096" w:right="1045" w:firstLine="0"/>
        <w:jc w:val="left"/>
        <w:rPr>
          <w:sz w:val="16"/>
        </w:rPr>
      </w:pPr>
      <w:r>
        <w:rPr>
          <w:w w:val="105"/>
          <w:position w:val="6"/>
          <w:sz w:val="11"/>
        </w:rPr>
        <w:t>2 </w:t>
      </w:r>
      <w:r>
        <w:rPr>
          <w:w w:val="105"/>
          <w:sz w:val="16"/>
        </w:rPr>
        <w:t>Resolución 173/2002 de la IGCAC, por la que se aprueba el plan anual de control financiero permanente de gastos, ingresos, tesorería y deuda correspondiente al ejercicio 2022.</w:t>
      </w:r>
    </w:p>
    <w:p>
      <w:pPr>
        <w:spacing w:line="252" w:lineRule="auto" w:before="1"/>
        <w:ind w:left="2096" w:right="1045" w:firstLine="0"/>
        <w:jc w:val="left"/>
        <w:rPr>
          <w:sz w:val="16"/>
        </w:rPr>
      </w:pPr>
      <w:r>
        <w:rPr>
          <w:w w:val="105"/>
          <w:sz w:val="16"/>
        </w:rPr>
        <w:t>Resolución 188/2022 de la IGCAC, por la que se dictan instrucciones para la planificación y realización del control financiero permanente en el área de gastos de personal, en el ejercicio 2022.</w:t>
      </w:r>
    </w:p>
    <w:p>
      <w:pPr>
        <w:spacing w:line="195" w:lineRule="exact" w:before="0"/>
        <w:ind w:left="2096" w:right="0" w:firstLine="0"/>
        <w:jc w:val="left"/>
        <w:rPr>
          <w:sz w:val="16"/>
        </w:rPr>
      </w:pPr>
      <w:r>
        <w:rPr>
          <w:w w:val="105"/>
          <w:position w:val="6"/>
          <w:sz w:val="11"/>
        </w:rPr>
        <w:t>3 </w:t>
      </w:r>
      <w:r>
        <w:rPr>
          <w:w w:val="105"/>
          <w:sz w:val="16"/>
        </w:rPr>
        <w:t>Resolución 186/2022 de la IGCAC, por la que se dictan instrucciones para la planificación y realización</w:t>
      </w:r>
    </w:p>
    <w:p>
      <w:pPr>
        <w:spacing w:before="10"/>
        <w:ind w:left="2096" w:right="0" w:firstLine="0"/>
        <w:jc w:val="left"/>
        <w:rPr>
          <w:sz w:val="16"/>
        </w:rPr>
      </w:pPr>
      <w:r>
        <w:rPr>
          <w:w w:val="105"/>
          <w:sz w:val="16"/>
        </w:rPr>
        <w:t>del control financiero permanente en el área de gastos, en el ejercicio 2022.</w:t>
      </w:r>
    </w:p>
    <w:p>
      <w:pPr>
        <w:spacing w:line="252" w:lineRule="auto" w:before="10"/>
        <w:ind w:left="2096" w:right="1201" w:firstLine="0"/>
        <w:jc w:val="left"/>
        <w:rPr>
          <w:sz w:val="16"/>
        </w:rPr>
      </w:pPr>
      <w:r>
        <w:rPr>
          <w:w w:val="105"/>
          <w:sz w:val="16"/>
        </w:rPr>
        <w:t>Resolución 327/2022 de la IGCAC, por la que se dictan instrucciones para el muestreo en el ámbito del control financiero permanente, en el ejercicio 2022.</w:t>
      </w:r>
    </w:p>
    <w:p>
      <w:pPr>
        <w:spacing w:line="252" w:lineRule="auto" w:before="0"/>
        <w:ind w:left="2096" w:right="1045" w:firstLine="0"/>
        <w:jc w:val="left"/>
        <w:rPr>
          <w:sz w:val="16"/>
        </w:rPr>
      </w:pPr>
      <w:r>
        <w:rPr>
          <w:w w:val="105"/>
          <w:sz w:val="16"/>
        </w:rPr>
        <w:t>Resolución 173/2022 de la IGCAC, por la que se aprueba el plan anual de control financiero permanente de gastos, ingresos, tesorería y deuda correspondiente al ejercicio 2022.</w:t>
      </w:r>
    </w:p>
    <w:p>
      <w:pPr>
        <w:spacing w:line="196" w:lineRule="exact" w:before="0"/>
        <w:ind w:left="2096" w:right="0" w:firstLine="0"/>
        <w:jc w:val="left"/>
        <w:rPr>
          <w:sz w:val="16"/>
        </w:rPr>
      </w:pPr>
      <w:r>
        <w:rPr>
          <w:w w:val="105"/>
          <w:position w:val="6"/>
          <w:sz w:val="11"/>
        </w:rPr>
        <w:t>4 </w:t>
      </w:r>
      <w:r>
        <w:rPr>
          <w:w w:val="105"/>
          <w:sz w:val="16"/>
        </w:rPr>
        <w:t>Subvenciones tramitadas por Entidad Colaborador.</w:t>
      </w:r>
    </w:p>
    <w:p>
      <w:pPr>
        <w:pStyle w:val="BodyText"/>
        <w:spacing w:before="1"/>
        <w:ind w:left="7897"/>
        <w:jc w:val="center"/>
      </w:pPr>
      <w:r>
        <w:rPr/>
        <w:t>20</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51" name="image5.png"/>
                  <wp:cNvGraphicFramePr>
                    <a:graphicFrameLocks noChangeAspect="1"/>
                  </wp:cNvGraphicFramePr>
                  <a:graphic>
                    <a:graphicData uri="http://schemas.openxmlformats.org/drawingml/2006/picture">
                      <pic:pic>
                        <pic:nvPicPr>
                          <pic:cNvPr id="5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22/247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690" w:right="1201"/>
      </w:pPr>
      <w:r>
        <w:rPr/>
        <w:t>atendiendo a su juicio profesional para determinar bien la población, bien el porcentaje a revisar.</w:t>
      </w:r>
    </w:p>
    <w:p>
      <w:pPr>
        <w:pStyle w:val="BodyText"/>
        <w:spacing w:before="10"/>
        <w:rPr>
          <w:sz w:val="16"/>
        </w:rPr>
      </w:pPr>
    </w:p>
    <w:p>
      <w:pPr>
        <w:pStyle w:val="BodyText"/>
        <w:ind w:left="2096" w:right="1142" w:firstLine="594"/>
        <w:jc w:val="both"/>
      </w:pPr>
      <w:r>
        <w:rPr/>
        <w:t>Las diferentes Resoluciones de la IGCAC por la que se dictan instrucciones para la realización del control financiero permanente y del muestreo a aplicar, establecen que para la determinación de las operaciones y actuaciones a verificar, se considerará el juicio profesional y el análisis de riesgo realizado por la persona titular de la unidad fiscalizadora.</w:t>
      </w:r>
    </w:p>
    <w:p>
      <w:pPr>
        <w:pStyle w:val="BodyText"/>
        <w:spacing w:before="2"/>
        <w:rPr>
          <w:sz w:val="17"/>
        </w:rPr>
      </w:pPr>
    </w:p>
    <w:p>
      <w:pPr>
        <w:pStyle w:val="BodyText"/>
        <w:spacing w:line="244" w:lineRule="auto"/>
        <w:ind w:left="2096" w:right="1145" w:firstLine="594"/>
        <w:jc w:val="both"/>
      </w:pPr>
      <w:r>
        <w:rPr/>
        <w:t>Del análisis de los informes de CFP en el área de otros gastos, se subraya lo siguiente:</w:t>
      </w:r>
    </w:p>
    <w:p>
      <w:pPr>
        <w:pStyle w:val="BodyText"/>
        <w:spacing w:before="2"/>
        <w:rPr>
          <w:sz w:val="16"/>
        </w:rPr>
      </w:pPr>
    </w:p>
    <w:p>
      <w:pPr>
        <w:pStyle w:val="ListParagraph"/>
        <w:numPr>
          <w:ilvl w:val="3"/>
          <w:numId w:val="7"/>
        </w:numPr>
        <w:tabs>
          <w:tab w:pos="2691" w:val="left" w:leader="none"/>
        </w:tabs>
        <w:spacing w:line="240" w:lineRule="auto" w:before="1" w:after="0"/>
        <w:ind w:left="2690" w:right="1142" w:hanging="236"/>
        <w:jc w:val="both"/>
        <w:rPr>
          <w:sz w:val="20"/>
        </w:rPr>
      </w:pPr>
      <w:r>
        <w:rPr>
          <w:sz w:val="20"/>
        </w:rPr>
        <w:t>No constan los criterios seguidos por la unidad fiscalizadora para determinar las áreas de riesgo y las actuaciones a</w:t>
      </w:r>
      <w:r>
        <w:rPr>
          <w:spacing w:val="2"/>
          <w:sz w:val="20"/>
        </w:rPr>
        <w:t> </w:t>
      </w:r>
      <w:r>
        <w:rPr>
          <w:sz w:val="20"/>
        </w:rPr>
        <w:t>revisar.</w:t>
      </w:r>
    </w:p>
    <w:p>
      <w:pPr>
        <w:pStyle w:val="ListParagraph"/>
        <w:numPr>
          <w:ilvl w:val="3"/>
          <w:numId w:val="7"/>
        </w:numPr>
        <w:tabs>
          <w:tab w:pos="2691" w:val="left" w:leader="none"/>
        </w:tabs>
        <w:spacing w:line="240" w:lineRule="auto" w:before="3" w:after="0"/>
        <w:ind w:left="2690" w:right="1144" w:hanging="236"/>
        <w:jc w:val="both"/>
        <w:rPr>
          <w:sz w:val="20"/>
        </w:rPr>
      </w:pPr>
      <w:r>
        <w:rPr>
          <w:sz w:val="20"/>
        </w:rPr>
        <w:t>No se abordan actuaciones incluidas en el Plan anual por carecer de medios personales suficientes.</w:t>
      </w:r>
    </w:p>
    <w:p>
      <w:pPr>
        <w:pStyle w:val="ListParagraph"/>
        <w:numPr>
          <w:ilvl w:val="3"/>
          <w:numId w:val="7"/>
        </w:numPr>
        <w:tabs>
          <w:tab w:pos="2691" w:val="left" w:leader="none"/>
        </w:tabs>
        <w:spacing w:line="240" w:lineRule="auto" w:before="3" w:after="0"/>
        <w:ind w:left="2690" w:right="1143" w:hanging="236"/>
        <w:jc w:val="both"/>
        <w:rPr>
          <w:sz w:val="20"/>
        </w:rPr>
      </w:pPr>
      <w:r>
        <w:rPr>
          <w:sz w:val="20"/>
        </w:rPr>
        <w:t>No se recoge en los informes, si la Intervención ha procedido a modificar el número de operaciones resultantes de la selección</w:t>
      </w:r>
      <w:r>
        <w:rPr>
          <w:spacing w:val="5"/>
          <w:sz w:val="20"/>
        </w:rPr>
        <w:t> </w:t>
      </w:r>
      <w:r>
        <w:rPr>
          <w:sz w:val="20"/>
        </w:rPr>
        <w:t>efectuada.</w:t>
      </w:r>
    </w:p>
    <w:p>
      <w:pPr>
        <w:pStyle w:val="ListParagraph"/>
        <w:numPr>
          <w:ilvl w:val="3"/>
          <w:numId w:val="7"/>
        </w:numPr>
        <w:tabs>
          <w:tab w:pos="2691" w:val="left" w:leader="none"/>
        </w:tabs>
        <w:spacing w:line="240" w:lineRule="auto" w:before="4" w:after="0"/>
        <w:ind w:left="2690" w:right="1143" w:hanging="236"/>
        <w:jc w:val="both"/>
        <w:rPr>
          <w:sz w:val="20"/>
        </w:rPr>
      </w:pPr>
      <w:r>
        <w:rPr/>
        <w:pict>
          <v:group style="position:absolute;margin-left:146.746124pt;margin-top:59.392036pt;width:349.3pt;height:.45pt;mso-position-horizontal-relative:page;mso-position-vertical-relative:paragraph;z-index:251670528" coordorigin="2935,1188" coordsize="6986,9">
            <v:line style="position:absolute" from="2935,1192" to="4958,1192" stroked="true" strokeweight=".403015pt" strokecolor="#000000">
              <v:stroke dashstyle="solid"/>
            </v:line>
            <v:rect style="position:absolute;left:4958;top:1187;width:9;height:9" filled="true" fillcolor="#000000" stroked="false">
              <v:fill type="solid"/>
            </v:rect>
            <v:line style="position:absolute" from="4967,1192" to="6873,1192" stroked="true" strokeweight=".403015pt" strokecolor="#000000">
              <v:stroke dashstyle="solid"/>
            </v:line>
            <v:rect style="position:absolute;left:6873;top:1187;width:9;height:9" filled="true" fillcolor="#000000" stroked="false">
              <v:fill type="solid"/>
            </v:rect>
            <v:line style="position:absolute" from="6881,1192" to="7879,1192" stroked="true" strokeweight=".403015pt" strokecolor="#000000">
              <v:stroke dashstyle="solid"/>
            </v:line>
            <v:rect style="position:absolute;left:7879;top:1187;width:9;height:9" filled="true" fillcolor="#000000" stroked="false">
              <v:fill type="solid"/>
            </v:rect>
            <v:line style="position:absolute" from="7887,1192" to="8885,1192" stroked="true" strokeweight=".403015pt" strokecolor="#000000">
              <v:stroke dashstyle="solid"/>
            </v:line>
            <v:rect style="position:absolute;left:8884;top:1187;width:9;height:9" filled="true" fillcolor="#000000" stroked="false">
              <v:fill type="solid"/>
            </v:rect>
            <v:line style="position:absolute" from="8893,1192" to="9921,1192" stroked="true" strokeweight=".403015pt" strokecolor="#000000">
              <v:stroke dashstyle="solid"/>
            </v:line>
            <w10:wrap type="none"/>
          </v:group>
        </w:pict>
      </w:r>
      <w:r>
        <w:rPr>
          <w:sz w:val="20"/>
        </w:rPr>
        <w:t>Escaso número de actuaciones seleccionadas sobre operaciones contables, detallándose</w:t>
      </w:r>
      <w:r>
        <w:rPr>
          <w:spacing w:val="-8"/>
          <w:sz w:val="20"/>
        </w:rPr>
        <w:t> </w:t>
      </w:r>
      <w:r>
        <w:rPr>
          <w:sz w:val="20"/>
        </w:rPr>
        <w:t>a</w:t>
      </w:r>
      <w:r>
        <w:rPr>
          <w:spacing w:val="-7"/>
          <w:sz w:val="20"/>
        </w:rPr>
        <w:t> </w:t>
      </w:r>
      <w:r>
        <w:rPr>
          <w:sz w:val="20"/>
        </w:rPr>
        <w:t>continuación</w:t>
      </w:r>
      <w:r>
        <w:rPr>
          <w:spacing w:val="-6"/>
          <w:sz w:val="20"/>
        </w:rPr>
        <w:t> </w:t>
      </w:r>
      <w:r>
        <w:rPr>
          <w:sz w:val="20"/>
        </w:rPr>
        <w:t>las</w:t>
      </w:r>
      <w:r>
        <w:rPr>
          <w:spacing w:val="-8"/>
          <w:sz w:val="20"/>
        </w:rPr>
        <w:t> </w:t>
      </w:r>
      <w:r>
        <w:rPr>
          <w:sz w:val="20"/>
        </w:rPr>
        <w:t>correspondientes</w:t>
      </w:r>
      <w:r>
        <w:rPr>
          <w:spacing w:val="-9"/>
          <w:sz w:val="20"/>
        </w:rPr>
        <w:t> </w:t>
      </w:r>
      <w:r>
        <w:rPr>
          <w:sz w:val="20"/>
        </w:rPr>
        <w:t>a</w:t>
      </w:r>
      <w:r>
        <w:rPr>
          <w:spacing w:val="-8"/>
          <w:sz w:val="20"/>
        </w:rPr>
        <w:t> </w:t>
      </w:r>
      <w:r>
        <w:rPr>
          <w:sz w:val="20"/>
        </w:rPr>
        <w:t>contratación</w:t>
      </w:r>
      <w:r>
        <w:rPr>
          <w:spacing w:val="-7"/>
          <w:sz w:val="20"/>
        </w:rPr>
        <w:t> </w:t>
      </w:r>
      <w:r>
        <w:rPr>
          <w:sz w:val="20"/>
        </w:rPr>
        <w:t>y</w:t>
      </w:r>
      <w:r>
        <w:rPr>
          <w:spacing w:val="-8"/>
          <w:sz w:val="20"/>
        </w:rPr>
        <w:t> </w:t>
      </w:r>
      <w:r>
        <w:rPr>
          <w:sz w:val="20"/>
        </w:rPr>
        <w:t>subvenciones, por</w:t>
      </w:r>
      <w:r>
        <w:rPr>
          <w:spacing w:val="-5"/>
          <w:sz w:val="20"/>
        </w:rPr>
        <w:t> </w:t>
      </w:r>
      <w:r>
        <w:rPr>
          <w:sz w:val="20"/>
        </w:rPr>
        <w:t>corresponderse</w:t>
      </w:r>
      <w:r>
        <w:rPr>
          <w:spacing w:val="-4"/>
          <w:sz w:val="20"/>
        </w:rPr>
        <w:t> </w:t>
      </w:r>
      <w:r>
        <w:rPr>
          <w:sz w:val="20"/>
        </w:rPr>
        <w:t>a</w:t>
      </w:r>
      <w:r>
        <w:rPr>
          <w:spacing w:val="-4"/>
          <w:sz w:val="20"/>
        </w:rPr>
        <w:t> </w:t>
      </w:r>
      <w:r>
        <w:rPr>
          <w:sz w:val="20"/>
        </w:rPr>
        <w:t>áreas</w:t>
      </w:r>
      <w:r>
        <w:rPr>
          <w:spacing w:val="-4"/>
          <w:sz w:val="20"/>
        </w:rPr>
        <w:t> </w:t>
      </w:r>
      <w:r>
        <w:rPr>
          <w:sz w:val="20"/>
        </w:rPr>
        <w:t>con</w:t>
      </w:r>
      <w:r>
        <w:rPr>
          <w:spacing w:val="-3"/>
          <w:sz w:val="20"/>
        </w:rPr>
        <w:t> </w:t>
      </w:r>
      <w:r>
        <w:rPr>
          <w:sz w:val="20"/>
        </w:rPr>
        <w:t>gran</w:t>
      </w:r>
      <w:r>
        <w:rPr>
          <w:spacing w:val="-3"/>
          <w:sz w:val="20"/>
        </w:rPr>
        <w:t> </w:t>
      </w:r>
      <w:r>
        <w:rPr>
          <w:sz w:val="20"/>
        </w:rPr>
        <w:t>incidencia</w:t>
      </w:r>
      <w:r>
        <w:rPr>
          <w:spacing w:val="-4"/>
          <w:sz w:val="20"/>
        </w:rPr>
        <w:t> </w:t>
      </w:r>
      <w:r>
        <w:rPr>
          <w:sz w:val="20"/>
        </w:rPr>
        <w:t>en</w:t>
      </w:r>
      <w:r>
        <w:rPr>
          <w:spacing w:val="-5"/>
          <w:sz w:val="20"/>
        </w:rPr>
        <w:t> </w:t>
      </w:r>
      <w:r>
        <w:rPr>
          <w:sz w:val="20"/>
        </w:rPr>
        <w:t>la</w:t>
      </w:r>
      <w:r>
        <w:rPr>
          <w:spacing w:val="-4"/>
          <w:sz w:val="20"/>
        </w:rPr>
        <w:t> </w:t>
      </w:r>
      <w:r>
        <w:rPr>
          <w:sz w:val="20"/>
        </w:rPr>
        <w:t>consecución</w:t>
      </w:r>
      <w:r>
        <w:rPr>
          <w:spacing w:val="-6"/>
          <w:sz w:val="20"/>
        </w:rPr>
        <w:t> </w:t>
      </w:r>
      <w:r>
        <w:rPr>
          <w:sz w:val="20"/>
        </w:rPr>
        <w:t>de</w:t>
      </w:r>
      <w:r>
        <w:rPr>
          <w:spacing w:val="-4"/>
          <w:sz w:val="20"/>
        </w:rPr>
        <w:t> </w:t>
      </w:r>
      <w:r>
        <w:rPr>
          <w:sz w:val="20"/>
        </w:rPr>
        <w:t>las</w:t>
      </w:r>
      <w:r>
        <w:rPr>
          <w:spacing w:val="-4"/>
          <w:sz w:val="20"/>
        </w:rPr>
        <w:t> </w:t>
      </w:r>
      <w:r>
        <w:rPr>
          <w:sz w:val="20"/>
        </w:rPr>
        <w:t>políticas públicas y a las que se destina un porcentaje importante del gasto</w:t>
      </w:r>
      <w:r>
        <w:rPr>
          <w:spacing w:val="7"/>
          <w:sz w:val="20"/>
        </w:rPr>
        <w:t> </w:t>
      </w:r>
      <w:r>
        <w:rPr>
          <w:sz w:val="20"/>
        </w:rPr>
        <w:t>público.</w:t>
      </w:r>
    </w:p>
    <w:p>
      <w:pPr>
        <w:pStyle w:val="BodyText"/>
        <w:spacing w:before="8"/>
        <w:rPr>
          <w:sz w:val="15"/>
        </w:rPr>
      </w:pPr>
      <w:r>
        <w:rPr/>
        <w:pict>
          <v:shape style="position:absolute;margin-left:146.746124pt;margin-top:10.772172pt;width:349.3pt;height:21.5pt;mso-position-horizontal-relative:page;mso-position-vertical-relative:paragraph;z-index:-251650048;mso-wrap-distance-left:0;mso-wrap-distance-right:0" type="#_x0000_t202" filled="true" fillcolor="#deeaf6" stroked="false">
            <v:textbox inset="0,0,0,0">
              <w:txbxContent>
                <w:p>
                  <w:pPr>
                    <w:tabs>
                      <w:tab w:pos="2704" w:val="left" w:leader="none"/>
                      <w:tab w:pos="4268" w:val="left" w:leader="none"/>
                      <w:tab w:pos="5268" w:val="left" w:leader="none"/>
                      <w:tab w:pos="6249" w:val="left" w:leader="none"/>
                    </w:tabs>
                    <w:spacing w:before="123"/>
                    <w:ind w:left="582" w:right="0" w:firstLine="0"/>
                    <w:jc w:val="left"/>
                    <w:rPr>
                      <w:b/>
                      <w:sz w:val="15"/>
                    </w:rPr>
                  </w:pPr>
                  <w:r>
                    <w:rPr>
                      <w:b/>
                      <w:sz w:val="15"/>
                    </w:rPr>
                    <w:t>Área material</w:t>
                    <w:tab/>
                    <w:t>Materia</w:t>
                  </w:r>
                  <w:r>
                    <w:rPr>
                      <w:b/>
                      <w:position w:val="4"/>
                      <w:sz w:val="10"/>
                    </w:rPr>
                    <w:t>5</w:t>
                    <w:tab/>
                  </w:r>
                  <w:r>
                    <w:rPr>
                      <w:b/>
                      <w:sz w:val="15"/>
                    </w:rPr>
                    <w:t>Población</w:t>
                    <w:tab/>
                    <w:t>Revisadas</w:t>
                    <w:tab/>
                    <w:t>Porcentaje</w:t>
                  </w:r>
                </w:p>
              </w:txbxContent>
            </v:textbox>
            <v:fill type="solid"/>
            <w10:wrap type="topAndBottom"/>
          </v:shape>
        </w:pict>
      </w:r>
    </w:p>
    <w:p>
      <w:pPr>
        <w:pStyle w:val="BodyText"/>
        <w:spacing w:line="20" w:lineRule="exact"/>
        <w:ind w:left="2169"/>
        <w:rPr>
          <w:sz w:val="2"/>
        </w:rPr>
      </w:pPr>
      <w:r>
        <w:rPr>
          <w:sz w:val="2"/>
        </w:rPr>
        <w:pict>
          <v:group style="width:349.3pt;height:.45pt;mso-position-horizontal-relative:char;mso-position-vertical-relative:line" coordorigin="0,0" coordsize="6986,9">
            <v:line style="position:absolute" from="0,4" to="2023,4" stroked="true" strokeweight=".403015pt" strokecolor="#000000">
              <v:stroke dashstyle="solid"/>
            </v:line>
            <v:rect style="position:absolute;left:2023;top:0;width:9;height:9" filled="true" fillcolor="#000000" stroked="false">
              <v:fill type="solid"/>
            </v:rect>
            <v:line style="position:absolute" from="2032,4" to="3938,4" stroked="true" strokeweight=".403015pt" strokecolor="#000000">
              <v:stroke dashstyle="solid"/>
            </v:line>
            <v:rect style="position:absolute;left:3938;top:0;width:9;height:9" filled="true" fillcolor="#000000" stroked="false">
              <v:fill type="solid"/>
            </v:rect>
            <v:line style="position:absolute" from="3946,4" to="4944,4" stroked="true" strokeweight=".403015pt" strokecolor="#000000">
              <v:stroke dashstyle="solid"/>
            </v:line>
            <v:rect style="position:absolute;left:4944;top:0;width:9;height:9" filled="true" fillcolor="#000000" stroked="false">
              <v:fill type="solid"/>
            </v:rect>
            <v:line style="position:absolute" from="4952,4" to="5950,4" stroked="true" strokeweight=".403015pt" strokecolor="#000000">
              <v:stroke dashstyle="solid"/>
            </v:line>
            <v:rect style="position:absolute;left:5949;top:0;width:9;height:9" filled="true" fillcolor="#000000" stroked="false">
              <v:fill type="solid"/>
            </v:rect>
            <v:line style="position:absolute" from="5958,4" to="6986,4" stroked="true" strokeweight=".403015pt" strokecolor="#000000">
              <v:stroke dashstyle="solid"/>
            </v:line>
          </v:group>
        </w:pict>
      </w:r>
      <w:r>
        <w:rPr>
          <w:sz w:val="2"/>
        </w:rPr>
      </w:r>
    </w:p>
    <w:p>
      <w:pPr>
        <w:tabs>
          <w:tab w:pos="4508" w:val="left" w:leader="none"/>
          <w:tab w:pos="6788" w:val="left" w:leader="none"/>
          <w:tab w:pos="7860" w:val="left" w:leader="none"/>
          <w:tab w:pos="8700" w:val="left" w:leader="none"/>
        </w:tabs>
        <w:spacing w:before="12"/>
        <w:ind w:left="2233" w:right="0" w:firstLine="0"/>
        <w:jc w:val="left"/>
        <w:rPr>
          <w:sz w:val="13"/>
        </w:rPr>
      </w:pPr>
      <w:r>
        <w:rPr>
          <w:w w:val="105"/>
          <w:sz w:val="13"/>
        </w:rPr>
        <w:t>TODOS</w:t>
      </w:r>
      <w:r>
        <w:rPr>
          <w:spacing w:val="-7"/>
          <w:w w:val="105"/>
          <w:sz w:val="13"/>
        </w:rPr>
        <w:t> </w:t>
      </w:r>
      <w:r>
        <w:rPr>
          <w:w w:val="105"/>
          <w:sz w:val="13"/>
        </w:rPr>
        <w:t>LOS</w:t>
      </w:r>
      <w:r>
        <w:rPr>
          <w:spacing w:val="-7"/>
          <w:w w:val="105"/>
          <w:sz w:val="13"/>
        </w:rPr>
        <w:t> </w:t>
      </w:r>
      <w:r>
        <w:rPr>
          <w:w w:val="105"/>
          <w:sz w:val="13"/>
        </w:rPr>
        <w:t>DEPARTAMENTOS</w:t>
        <w:tab/>
        <w:t>CONTRATACIÓN</w:t>
      </w:r>
      <w:r>
        <w:rPr>
          <w:spacing w:val="-7"/>
          <w:w w:val="105"/>
          <w:sz w:val="13"/>
        </w:rPr>
        <w:t> </w:t>
      </w:r>
      <w:r>
        <w:rPr>
          <w:w w:val="105"/>
          <w:sz w:val="13"/>
        </w:rPr>
        <w:t>OBRAS</w:t>
        <w:tab/>
        <w:t>2865</w:t>
        <w:tab/>
        <w:t>626</w:t>
        <w:tab/>
      </w:r>
      <w:r>
        <w:rPr>
          <w:w w:val="105"/>
          <w:position w:val="-3"/>
          <w:sz w:val="13"/>
        </w:rPr>
        <w:t>21,85%</w:t>
      </w:r>
    </w:p>
    <w:p>
      <w:pPr>
        <w:pStyle w:val="BodyText"/>
        <w:spacing w:line="20" w:lineRule="exact"/>
        <w:ind w:left="2169"/>
        <w:rPr>
          <w:sz w:val="2"/>
        </w:rPr>
      </w:pPr>
      <w:r>
        <w:rPr>
          <w:sz w:val="2"/>
        </w:rPr>
        <w:pict>
          <v:group style="width:349.3pt;height:.45pt;mso-position-horizontal-relative:char;mso-position-vertical-relative:line" coordorigin="0,0" coordsize="6986,9">
            <v:line style="position:absolute" from="0,4" to="2023,4" stroked="true" strokeweight=".403015pt" strokecolor="#000000">
              <v:stroke dashstyle="solid"/>
            </v:line>
            <v:rect style="position:absolute;left:2023;top:0;width:9;height:9" filled="true" fillcolor="#000000" stroked="false">
              <v:fill type="solid"/>
            </v:rect>
            <v:line style="position:absolute" from="2032,4" to="3938,4" stroked="true" strokeweight=".403015pt" strokecolor="#000000">
              <v:stroke dashstyle="solid"/>
            </v:line>
            <v:rect style="position:absolute;left:3938;top:0;width:9;height:9" filled="true" fillcolor="#000000" stroked="false">
              <v:fill type="solid"/>
            </v:rect>
            <v:line style="position:absolute" from="3946,4" to="4944,4" stroked="true" strokeweight=".403015pt" strokecolor="#000000">
              <v:stroke dashstyle="solid"/>
            </v:line>
            <v:rect style="position:absolute;left:4944;top:0;width:9;height:9" filled="true" fillcolor="#000000" stroked="false">
              <v:fill type="solid"/>
            </v:rect>
            <v:line style="position:absolute" from="4952,4" to="5950,4" stroked="true" strokeweight=".403015pt" strokecolor="#000000">
              <v:stroke dashstyle="solid"/>
            </v:line>
            <v:rect style="position:absolute;left:5949;top:0;width:9;height:9" filled="true" fillcolor="#000000" stroked="false">
              <v:fill type="solid"/>
            </v:rect>
            <v:line style="position:absolute" from="5958,4" to="6986,4" stroked="true" strokeweight=".403015pt" strokecolor="#000000">
              <v:stroke dashstyle="solid"/>
            </v:line>
          </v:group>
        </w:pict>
      </w:r>
      <w:r>
        <w:rPr>
          <w:sz w:val="2"/>
        </w:rPr>
      </w:r>
    </w:p>
    <w:p>
      <w:pPr>
        <w:spacing w:after="0" w:line="20" w:lineRule="exact"/>
        <w:rPr>
          <w:sz w:val="2"/>
        </w:rPr>
        <w:sectPr>
          <w:pgSz w:w="11900" w:h="16840"/>
          <w:pgMar w:header="859" w:footer="926" w:top="1760" w:bottom="1120" w:left="760" w:right="760"/>
        </w:sectPr>
      </w:pPr>
    </w:p>
    <w:p>
      <w:pPr>
        <w:spacing w:before="70"/>
        <w:ind w:left="2233" w:right="0" w:firstLine="0"/>
        <w:jc w:val="left"/>
        <w:rPr>
          <w:sz w:val="13"/>
        </w:rPr>
      </w:pPr>
      <w:r>
        <w:rPr>
          <w:sz w:val="13"/>
        </w:rPr>
        <w:t>EDUCACIÓN, UNIVERSIDADES,</w:t>
      </w:r>
    </w:p>
    <w:p>
      <w:pPr>
        <w:tabs>
          <w:tab w:pos="785" w:val="left" w:leader="none"/>
          <w:tab w:pos="2863" w:val="left" w:leader="none"/>
          <w:tab w:pos="3936" w:val="left" w:leader="none"/>
          <w:tab w:pos="4843" w:val="left" w:leader="none"/>
        </w:tabs>
        <w:spacing w:before="29"/>
        <w:ind w:left="273" w:right="0" w:firstLine="0"/>
        <w:jc w:val="left"/>
        <w:rPr>
          <w:sz w:val="13"/>
        </w:rPr>
      </w:pPr>
      <w:r>
        <w:rPr/>
        <w:br w:type="column"/>
      </w:r>
      <w:r>
        <w:rPr>
          <w:w w:val="103"/>
          <w:sz w:val="13"/>
          <w:u w:val="single"/>
        </w:rPr>
        <w:t> </w:t>
      </w:r>
      <w:r>
        <w:rPr>
          <w:sz w:val="13"/>
          <w:u w:val="single"/>
        </w:rPr>
        <w:tab/>
      </w:r>
      <w:r>
        <w:rPr>
          <w:w w:val="105"/>
          <w:sz w:val="13"/>
          <w:u w:val="single"/>
        </w:rPr>
        <w:t>CONTRATACIÓN</w:t>
        <w:tab/>
        <w:t>6568</w:t>
        <w:tab/>
        <w:t>157</w:t>
        <w:tab/>
      </w:r>
      <w:r>
        <w:rPr>
          <w:w w:val="105"/>
          <w:position w:val="-3"/>
          <w:sz w:val="13"/>
          <w:u w:val="single"/>
        </w:rPr>
        <w:t>2,39%</w:t>
      </w:r>
      <w:r>
        <w:rPr>
          <w:spacing w:val="-2"/>
          <w:position w:val="-3"/>
          <w:sz w:val="13"/>
          <w:u w:val="single"/>
        </w:rPr>
        <w:t> </w:t>
      </w:r>
    </w:p>
    <w:p>
      <w:pPr>
        <w:spacing w:after="0"/>
        <w:jc w:val="left"/>
        <w:rPr>
          <w:sz w:val="13"/>
        </w:rPr>
        <w:sectPr>
          <w:type w:val="continuous"/>
          <w:pgSz w:w="11900" w:h="16840"/>
          <w:pgMar w:top="1600" w:bottom="1120" w:left="760" w:right="760"/>
          <w:cols w:num="2" w:equalWidth="0">
            <w:col w:w="3885" w:space="40"/>
            <w:col w:w="6455"/>
          </w:cols>
        </w:sectPr>
      </w:pPr>
    </w:p>
    <w:p>
      <w:pPr>
        <w:pStyle w:val="BodyText"/>
        <w:spacing w:before="8"/>
        <w:rPr>
          <w:sz w:val="5"/>
        </w:rPr>
      </w:pPr>
    </w:p>
    <w:tbl>
      <w:tblPr>
        <w:tblW w:w="0" w:type="auto"/>
        <w:jc w:val="left"/>
        <w:tblInd w:w="2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9"/>
        <w:gridCol w:w="1302"/>
        <w:gridCol w:w="922"/>
        <w:gridCol w:w="746"/>
      </w:tblGrid>
      <w:tr>
        <w:trPr>
          <w:trHeight w:val="174" w:hRule="atLeast"/>
        </w:trPr>
        <w:tc>
          <w:tcPr>
            <w:tcW w:w="4019" w:type="dxa"/>
            <w:tcBorders>
              <w:bottom w:val="single" w:sz="4" w:space="0" w:color="000000"/>
            </w:tcBorders>
          </w:tcPr>
          <w:p>
            <w:pPr>
              <w:pStyle w:val="TableParagraph"/>
              <w:tabs>
                <w:tab w:pos="2493" w:val="left" w:leader="none"/>
              </w:tabs>
              <w:spacing w:line="117" w:lineRule="auto"/>
              <w:ind w:right="605"/>
              <w:jc w:val="right"/>
              <w:rPr>
                <w:sz w:val="13"/>
              </w:rPr>
            </w:pPr>
            <w:r>
              <w:rPr>
                <w:w w:val="105"/>
                <w:sz w:val="13"/>
              </w:rPr>
              <w:t>CULTURA</w:t>
            </w:r>
            <w:r>
              <w:rPr>
                <w:spacing w:val="-5"/>
                <w:w w:val="105"/>
                <w:sz w:val="13"/>
              </w:rPr>
              <w:t> </w:t>
            </w:r>
            <w:r>
              <w:rPr>
                <w:w w:val="105"/>
                <w:sz w:val="13"/>
              </w:rPr>
              <w:t>Y</w:t>
            </w:r>
            <w:r>
              <w:rPr>
                <w:spacing w:val="-5"/>
                <w:w w:val="105"/>
                <w:sz w:val="13"/>
              </w:rPr>
              <w:t> </w:t>
            </w:r>
            <w:r>
              <w:rPr>
                <w:w w:val="105"/>
                <w:sz w:val="13"/>
              </w:rPr>
              <w:t>DEPORTES.</w:t>
              <w:tab/>
            </w:r>
            <w:r>
              <w:rPr>
                <w:spacing w:val="-1"/>
                <w:position w:val="-3"/>
                <w:sz w:val="13"/>
              </w:rPr>
              <w:t>SUBVENCIONES</w:t>
            </w:r>
          </w:p>
        </w:tc>
        <w:tc>
          <w:tcPr>
            <w:tcW w:w="1302" w:type="dxa"/>
            <w:tcBorders>
              <w:bottom w:val="single" w:sz="4" w:space="0" w:color="000000"/>
            </w:tcBorders>
          </w:tcPr>
          <w:p>
            <w:pPr>
              <w:pStyle w:val="TableParagraph"/>
              <w:spacing w:line="136" w:lineRule="exact"/>
              <w:ind w:right="431"/>
              <w:jc w:val="right"/>
              <w:rPr>
                <w:sz w:val="13"/>
              </w:rPr>
            </w:pPr>
            <w:r>
              <w:rPr>
                <w:sz w:val="13"/>
              </w:rPr>
              <w:t>8186</w:t>
            </w:r>
          </w:p>
        </w:tc>
        <w:tc>
          <w:tcPr>
            <w:tcW w:w="922" w:type="dxa"/>
            <w:tcBorders>
              <w:bottom w:val="single" w:sz="4" w:space="0" w:color="000000"/>
            </w:tcBorders>
          </w:tcPr>
          <w:p>
            <w:pPr>
              <w:pStyle w:val="TableParagraph"/>
              <w:spacing w:line="136" w:lineRule="exact"/>
              <w:ind w:right="351"/>
              <w:jc w:val="right"/>
              <w:rPr>
                <w:sz w:val="13"/>
              </w:rPr>
            </w:pPr>
            <w:r>
              <w:rPr>
                <w:w w:val="103"/>
                <w:sz w:val="13"/>
              </w:rPr>
              <w:t>6</w:t>
            </w:r>
          </w:p>
        </w:tc>
        <w:tc>
          <w:tcPr>
            <w:tcW w:w="746" w:type="dxa"/>
            <w:tcBorders>
              <w:bottom w:val="single" w:sz="4" w:space="0" w:color="000000"/>
            </w:tcBorders>
          </w:tcPr>
          <w:p>
            <w:pPr>
              <w:pStyle w:val="TableParagraph"/>
              <w:spacing w:line="139" w:lineRule="exact" w:before="15"/>
              <w:ind w:right="58"/>
              <w:jc w:val="right"/>
              <w:rPr>
                <w:sz w:val="13"/>
              </w:rPr>
            </w:pPr>
            <w:r>
              <w:rPr>
                <w:sz w:val="13"/>
              </w:rPr>
              <w:t>0,07%</w:t>
            </w:r>
          </w:p>
        </w:tc>
      </w:tr>
      <w:tr>
        <w:trPr>
          <w:trHeight w:val="237" w:hRule="atLeast"/>
        </w:trPr>
        <w:tc>
          <w:tcPr>
            <w:tcW w:w="4019" w:type="dxa"/>
            <w:tcBorders>
              <w:top w:val="single" w:sz="4" w:space="0" w:color="000000"/>
              <w:bottom w:val="single" w:sz="4" w:space="0" w:color="000000"/>
            </w:tcBorders>
          </w:tcPr>
          <w:p>
            <w:pPr>
              <w:pStyle w:val="TableParagraph"/>
              <w:spacing w:before="40"/>
              <w:ind w:right="593"/>
              <w:jc w:val="right"/>
              <w:rPr>
                <w:sz w:val="13"/>
              </w:rPr>
            </w:pPr>
            <w:r>
              <w:rPr>
                <w:sz w:val="13"/>
              </w:rPr>
              <w:t>CONTRATACIÓN</w:t>
            </w:r>
          </w:p>
        </w:tc>
        <w:tc>
          <w:tcPr>
            <w:tcW w:w="1302" w:type="dxa"/>
            <w:tcBorders>
              <w:top w:val="single" w:sz="4" w:space="0" w:color="000000"/>
              <w:bottom w:val="single" w:sz="4" w:space="0" w:color="000000"/>
            </w:tcBorders>
          </w:tcPr>
          <w:p>
            <w:pPr>
              <w:pStyle w:val="TableParagraph"/>
              <w:spacing w:before="40"/>
              <w:ind w:right="431"/>
              <w:jc w:val="right"/>
              <w:rPr>
                <w:sz w:val="13"/>
              </w:rPr>
            </w:pPr>
            <w:r>
              <w:rPr>
                <w:sz w:val="13"/>
              </w:rPr>
              <w:t>1983</w:t>
            </w:r>
          </w:p>
        </w:tc>
        <w:tc>
          <w:tcPr>
            <w:tcW w:w="922" w:type="dxa"/>
            <w:tcBorders>
              <w:top w:val="single" w:sz="4" w:space="0" w:color="000000"/>
              <w:bottom w:val="single" w:sz="4" w:space="0" w:color="000000"/>
            </w:tcBorders>
          </w:tcPr>
          <w:p>
            <w:pPr>
              <w:pStyle w:val="TableParagraph"/>
              <w:spacing w:before="40"/>
              <w:ind w:right="351"/>
              <w:jc w:val="right"/>
              <w:rPr>
                <w:sz w:val="13"/>
              </w:rPr>
            </w:pPr>
            <w:r>
              <w:rPr>
                <w:sz w:val="13"/>
              </w:rPr>
              <w:t>58</w:t>
            </w:r>
          </w:p>
        </w:tc>
        <w:tc>
          <w:tcPr>
            <w:tcW w:w="746" w:type="dxa"/>
            <w:tcBorders>
              <w:top w:val="single" w:sz="4" w:space="0" w:color="000000"/>
              <w:bottom w:val="single" w:sz="4" w:space="0" w:color="000000"/>
            </w:tcBorders>
          </w:tcPr>
          <w:p>
            <w:pPr>
              <w:pStyle w:val="TableParagraph"/>
              <w:spacing w:line="141" w:lineRule="exact" w:before="76"/>
              <w:ind w:right="58"/>
              <w:jc w:val="right"/>
              <w:rPr>
                <w:sz w:val="13"/>
              </w:rPr>
            </w:pPr>
            <w:r>
              <w:rPr>
                <w:sz w:val="13"/>
              </w:rPr>
              <w:t>2,92%</w:t>
            </w:r>
          </w:p>
        </w:tc>
      </w:tr>
    </w:tbl>
    <w:p>
      <w:pPr>
        <w:pStyle w:val="BodyText"/>
        <w:spacing w:before="7"/>
        <w:rPr>
          <w:sz w:val="12"/>
        </w:rPr>
      </w:pPr>
      <w:r>
        <w:rPr/>
        <w:pict>
          <v:shape style="position:absolute;margin-left:142.816818pt;margin-top:9.988776pt;width:120.95pt;height:.1pt;mso-position-horizontal-relative:page;mso-position-vertical-relative:paragraph;z-index:-251646976;mso-wrap-distance-left:0;mso-wrap-distance-right:0" coordorigin="2856,200" coordsize="2419,0" path="m2856,200l5275,200e" filled="false" stroked="true" strokeweight=".604484pt" strokecolor="#000000">
            <v:path arrowok="t"/>
            <v:stroke dashstyle="solid"/>
            <w10:wrap type="topAndBottom"/>
          </v:shape>
        </w:pict>
      </w:r>
    </w:p>
    <w:p>
      <w:pPr>
        <w:spacing w:before="63"/>
        <w:ind w:left="2096" w:right="0" w:firstLine="0"/>
        <w:jc w:val="left"/>
        <w:rPr>
          <w:sz w:val="16"/>
        </w:rPr>
      </w:pPr>
      <w:r>
        <w:rPr>
          <w:w w:val="105"/>
          <w:sz w:val="16"/>
        </w:rPr>
        <w:t>Expedientes de subvenciones abonadas anticipadamente.</w:t>
      </w:r>
    </w:p>
    <w:p>
      <w:pPr>
        <w:spacing w:line="249" w:lineRule="auto" w:before="10"/>
        <w:ind w:left="2096" w:right="1800" w:firstLine="0"/>
        <w:jc w:val="left"/>
        <w:rPr>
          <w:sz w:val="16"/>
        </w:rPr>
      </w:pPr>
      <w:r>
        <w:rPr>
          <w:w w:val="105"/>
          <w:sz w:val="16"/>
        </w:rPr>
        <w:t>Análisis de la ejecución presupuestaria de los créditos asignados en el Capítulo I Fraccionamiento de contratos menores.</w:t>
      </w:r>
    </w:p>
    <w:p>
      <w:pPr>
        <w:spacing w:before="3"/>
        <w:ind w:left="2096" w:right="0" w:firstLine="0"/>
        <w:jc w:val="left"/>
        <w:rPr>
          <w:sz w:val="16"/>
        </w:rPr>
      </w:pPr>
      <w:r>
        <w:rPr>
          <w:w w:val="105"/>
          <w:sz w:val="16"/>
        </w:rPr>
        <w:t>Comprobaciones materiales.</w:t>
      </w:r>
    </w:p>
    <w:p>
      <w:pPr>
        <w:spacing w:line="252" w:lineRule="auto" w:before="10"/>
        <w:ind w:left="2096" w:right="1141" w:firstLine="0"/>
        <w:jc w:val="left"/>
        <w:rPr>
          <w:sz w:val="16"/>
        </w:rPr>
      </w:pPr>
      <w:r>
        <w:rPr>
          <w:w w:val="105"/>
          <w:sz w:val="16"/>
        </w:rPr>
        <w:t>Transferencias finalistas del Estado, derivadas de las Leyes de Presupuestos Generales del Estado para el año 2021 y 2022.</w:t>
      </w:r>
    </w:p>
    <w:p>
      <w:pPr>
        <w:spacing w:line="252" w:lineRule="auto" w:before="0"/>
        <w:ind w:left="2096" w:right="1800" w:firstLine="0"/>
        <w:jc w:val="left"/>
        <w:rPr>
          <w:sz w:val="16"/>
        </w:rPr>
      </w:pPr>
      <w:r>
        <w:rPr>
          <w:w w:val="105"/>
          <w:sz w:val="16"/>
        </w:rPr>
        <w:t>Subvenciones y aportaciones dinerarias pendientes de justificar y/o de exigencia de reintegro. Contratación Estratégica.</w:t>
      </w:r>
    </w:p>
    <w:p>
      <w:pPr>
        <w:spacing w:line="252" w:lineRule="auto" w:before="1"/>
        <w:ind w:left="2096" w:right="1201" w:firstLine="0"/>
        <w:jc w:val="left"/>
        <w:rPr>
          <w:sz w:val="16"/>
        </w:rPr>
      </w:pPr>
      <w:r>
        <w:rPr>
          <w:w w:val="105"/>
          <w:sz w:val="16"/>
        </w:rPr>
        <w:t>Otras actuaciones de control vinculadas al área de gastos de personal no imputadas contablemente al capítulo l del Presupuesto de Gastos.</w:t>
      </w:r>
    </w:p>
    <w:p>
      <w:pPr>
        <w:spacing w:line="193" w:lineRule="exact" w:before="0"/>
        <w:ind w:left="2096" w:right="0" w:firstLine="0"/>
        <w:jc w:val="left"/>
        <w:rPr>
          <w:sz w:val="16"/>
        </w:rPr>
      </w:pPr>
      <w:r>
        <w:rPr>
          <w:w w:val="105"/>
          <w:sz w:val="16"/>
        </w:rPr>
        <w:t>Prestaciones sociales.</w:t>
      </w:r>
    </w:p>
    <w:p>
      <w:pPr>
        <w:spacing w:line="252" w:lineRule="auto" w:before="0"/>
        <w:ind w:left="2096" w:right="510" w:firstLine="0"/>
        <w:jc w:val="left"/>
        <w:rPr>
          <w:sz w:val="16"/>
        </w:rPr>
      </w:pPr>
      <w:r>
        <w:rPr>
          <w:w w:val="105"/>
          <w:position w:val="6"/>
          <w:sz w:val="11"/>
        </w:rPr>
        <w:t>5 </w:t>
      </w:r>
      <w:r>
        <w:rPr>
          <w:w w:val="105"/>
          <w:sz w:val="16"/>
        </w:rPr>
        <w:t>No se han considerado incluidas en las subvenciones, las operaciones correspondientes a aportaciones dinerarias.</w:t>
      </w:r>
    </w:p>
    <w:p>
      <w:pPr>
        <w:pStyle w:val="BodyText"/>
        <w:spacing w:line="236" w:lineRule="exact"/>
        <w:ind w:left="7897"/>
        <w:jc w:val="center"/>
      </w:pPr>
      <w:r>
        <w:rPr/>
        <w:t>21</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53" name="image5.png"/>
                  <wp:cNvGraphicFramePr>
                    <a:graphicFrameLocks noChangeAspect="1"/>
                  </wp:cNvGraphicFramePr>
                  <a:graphic>
                    <a:graphicData uri="http://schemas.openxmlformats.org/drawingml/2006/picture">
                      <pic:pic>
                        <pic:nvPicPr>
                          <pic:cNvPr id="5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23/247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rPr>
          <w:b/>
          <w:sz w:val="14"/>
        </w:rPr>
      </w:pPr>
    </w:p>
    <w:p>
      <w:pPr>
        <w:pStyle w:val="BodyText"/>
        <w:spacing w:line="20" w:lineRule="exact"/>
        <w:ind w:left="2169"/>
        <w:rPr>
          <w:sz w:val="2"/>
        </w:rPr>
      </w:pPr>
      <w:r>
        <w:rPr>
          <w:sz w:val="2"/>
        </w:rPr>
        <w:pict>
          <v:group style="width:349.3pt;height:.45pt;mso-position-horizontal-relative:char;mso-position-vertical-relative:line" coordorigin="0,0" coordsize="6986,9">
            <v:line style="position:absolute" from="0,4" to="2023,4" stroked="true" strokeweight=".403006pt" strokecolor="#000000">
              <v:stroke dashstyle="solid"/>
            </v:line>
            <v:rect style="position:absolute;left:2023;top:0;width:9;height:9" filled="true" fillcolor="#000000" stroked="false">
              <v:fill type="solid"/>
            </v:rect>
            <v:line style="position:absolute" from="2032,4" to="3938,4" stroked="true" strokeweight=".403006pt" strokecolor="#000000">
              <v:stroke dashstyle="solid"/>
            </v:line>
            <v:rect style="position:absolute;left:3938;top:0;width:9;height:9" filled="true" fillcolor="#000000" stroked="false">
              <v:fill type="solid"/>
            </v:rect>
            <v:line style="position:absolute" from="3946,4" to="4944,4" stroked="true" strokeweight=".403006pt" strokecolor="#000000">
              <v:stroke dashstyle="solid"/>
            </v:line>
            <v:rect style="position:absolute;left:4944;top:0;width:9;height:9" filled="true" fillcolor="#000000" stroked="false">
              <v:fill type="solid"/>
            </v:rect>
            <v:line style="position:absolute" from="4952,4" to="5950,4" stroked="true" strokeweight=".403006pt" strokecolor="#000000">
              <v:stroke dashstyle="solid"/>
            </v:line>
            <v:rect style="position:absolute;left:5949;top:0;width:9;height:9" filled="true" fillcolor="#000000" stroked="false">
              <v:fill type="solid"/>
            </v:rect>
            <v:line style="position:absolute" from="5958,4" to="6986,4" stroked="true" strokeweight=".403006pt" strokecolor="#000000">
              <v:stroke dashstyle="solid"/>
            </v:line>
          </v:group>
        </w:pict>
      </w:r>
      <w:r>
        <w:rPr>
          <w:sz w:val="2"/>
        </w:rPr>
      </w:r>
    </w:p>
    <w:p>
      <w:pPr>
        <w:spacing w:after="0" w:line="20" w:lineRule="exact"/>
        <w:rPr>
          <w:sz w:val="2"/>
        </w:rPr>
        <w:sectPr>
          <w:pgSz w:w="11900" w:h="16840"/>
          <w:pgMar w:header="859" w:footer="926" w:top="1760" w:bottom="1120" w:left="760" w:right="760"/>
        </w:sectPr>
      </w:pPr>
    </w:p>
    <w:p>
      <w:pPr>
        <w:spacing w:line="247" w:lineRule="auto" w:before="0"/>
        <w:ind w:left="2233" w:right="-11" w:firstLine="0"/>
        <w:jc w:val="left"/>
        <w:rPr>
          <w:sz w:val="13"/>
        </w:rPr>
      </w:pPr>
      <w:r>
        <w:rPr/>
        <w:pict>
          <v:group style="position:absolute;margin-left:146.746124pt;margin-top:24.424995pt;width:349.3pt;height:.45pt;mso-position-horizontal-relative:page;mso-position-vertical-relative:paragraph;z-index:251674624" coordorigin="2935,488" coordsize="6986,9">
            <v:line style="position:absolute" from="2935,493" to="4958,493" stroked="true" strokeweight=".403006pt" strokecolor="#000000">
              <v:stroke dashstyle="solid"/>
            </v:line>
            <v:rect style="position:absolute;left:4958;top:488;width:9;height:9" filled="true" fillcolor="#000000" stroked="false">
              <v:fill type="solid"/>
            </v:rect>
            <v:line style="position:absolute" from="4967,493" to="6873,493" stroked="true" strokeweight=".403006pt" strokecolor="#000000">
              <v:stroke dashstyle="solid"/>
            </v:line>
            <v:rect style="position:absolute;left:6873;top:488;width:9;height:9" filled="true" fillcolor="#000000" stroked="false">
              <v:fill type="solid"/>
            </v:rect>
            <v:line style="position:absolute" from="6881,493" to="7879,493" stroked="true" strokeweight=".403006pt" strokecolor="#000000">
              <v:stroke dashstyle="solid"/>
            </v:line>
            <v:rect style="position:absolute;left:7879;top:488;width:9;height:9" filled="true" fillcolor="#000000" stroked="false">
              <v:fill type="solid"/>
            </v:rect>
            <v:line style="position:absolute" from="7887,493" to="8885,493" stroked="true" strokeweight=".403006pt" strokecolor="#000000">
              <v:stroke dashstyle="solid"/>
            </v:line>
            <v:rect style="position:absolute;left:8884;top:488;width:9;height:9" filled="true" fillcolor="#000000" stroked="false">
              <v:fill type="solid"/>
            </v:rect>
            <v:line style="position:absolute" from="8893,493" to="9921,493" stroked="true" strokeweight=".403006pt" strokecolor="#000000">
              <v:stroke dashstyle="solid"/>
            </v:line>
            <w10:wrap type="none"/>
          </v:group>
        </w:pict>
      </w:r>
      <w:r>
        <w:rPr>
          <w:w w:val="105"/>
          <w:sz w:val="13"/>
        </w:rPr>
        <w:t>TRANSICIÓN ECOLÓGICA, LUCHA CONTRA</w:t>
      </w:r>
      <w:r>
        <w:rPr>
          <w:spacing w:val="-9"/>
          <w:w w:val="105"/>
          <w:sz w:val="13"/>
        </w:rPr>
        <w:t> </w:t>
      </w:r>
      <w:r>
        <w:rPr>
          <w:w w:val="105"/>
          <w:sz w:val="13"/>
        </w:rPr>
        <w:t>EL</w:t>
      </w:r>
      <w:r>
        <w:rPr>
          <w:spacing w:val="-10"/>
          <w:w w:val="105"/>
          <w:sz w:val="13"/>
        </w:rPr>
        <w:t> </w:t>
      </w:r>
      <w:r>
        <w:rPr>
          <w:w w:val="105"/>
          <w:sz w:val="13"/>
        </w:rPr>
        <w:t>CAMBIO</w:t>
      </w:r>
      <w:r>
        <w:rPr>
          <w:spacing w:val="-9"/>
          <w:w w:val="105"/>
          <w:sz w:val="13"/>
        </w:rPr>
        <w:t> </w:t>
      </w:r>
      <w:r>
        <w:rPr>
          <w:w w:val="105"/>
          <w:sz w:val="13"/>
        </w:rPr>
        <w:t>CLIMÁTICO</w:t>
      </w:r>
      <w:r>
        <w:rPr>
          <w:spacing w:val="-9"/>
          <w:w w:val="105"/>
          <w:sz w:val="13"/>
        </w:rPr>
        <w:t> </w:t>
      </w:r>
      <w:r>
        <w:rPr>
          <w:w w:val="105"/>
          <w:sz w:val="13"/>
        </w:rPr>
        <w:t>Y PLANIFICACIÓN</w:t>
      </w:r>
      <w:r>
        <w:rPr>
          <w:spacing w:val="-6"/>
          <w:w w:val="105"/>
          <w:sz w:val="13"/>
        </w:rPr>
        <w:t> </w:t>
      </w:r>
      <w:r>
        <w:rPr>
          <w:w w:val="105"/>
          <w:sz w:val="13"/>
        </w:rPr>
        <w:t>TERRITORIAL.</w:t>
      </w:r>
    </w:p>
    <w:p>
      <w:pPr>
        <w:tabs>
          <w:tab w:pos="2666" w:val="left" w:leader="none"/>
          <w:tab w:pos="3942" w:val="right" w:leader="none"/>
        </w:tabs>
        <w:spacing w:before="157"/>
        <w:ind w:left="604" w:right="0" w:firstLine="0"/>
        <w:jc w:val="left"/>
        <w:rPr>
          <w:sz w:val="13"/>
        </w:rPr>
      </w:pPr>
      <w:r>
        <w:rPr/>
        <w:br w:type="column"/>
      </w:r>
      <w:r>
        <w:rPr>
          <w:w w:val="105"/>
          <w:sz w:val="13"/>
        </w:rPr>
        <w:t>SUBVENCIONES</w:t>
        <w:tab/>
        <w:t>4244</w:t>
        <w:tab/>
        <w:t>22</w:t>
      </w:r>
    </w:p>
    <w:p>
      <w:pPr>
        <w:spacing w:before="320"/>
        <w:ind w:left="663" w:right="0" w:firstLine="0"/>
        <w:jc w:val="left"/>
        <w:rPr>
          <w:sz w:val="13"/>
        </w:rPr>
      </w:pPr>
      <w:r>
        <w:rPr/>
        <w:br w:type="column"/>
      </w:r>
      <w:r>
        <w:rPr>
          <w:w w:val="105"/>
          <w:sz w:val="13"/>
        </w:rPr>
        <w:t>0,52%</w:t>
      </w:r>
    </w:p>
    <w:p>
      <w:pPr>
        <w:spacing w:after="0"/>
        <w:jc w:val="left"/>
        <w:rPr>
          <w:sz w:val="13"/>
        </w:rPr>
        <w:sectPr>
          <w:type w:val="continuous"/>
          <w:pgSz w:w="11900" w:h="16840"/>
          <w:pgMar w:top="1600" w:bottom="1120" w:left="760" w:right="760"/>
          <w:cols w:num="3" w:equalWidth="0">
            <w:col w:w="4082" w:space="40"/>
            <w:col w:w="3943" w:space="39"/>
            <w:col w:w="2276"/>
          </w:cols>
        </w:sectPr>
      </w:pPr>
    </w:p>
    <w:p>
      <w:pPr>
        <w:spacing w:line="247" w:lineRule="auto" w:before="82"/>
        <w:ind w:left="2233" w:right="0" w:firstLine="0"/>
        <w:jc w:val="left"/>
        <w:rPr>
          <w:sz w:val="13"/>
        </w:rPr>
      </w:pPr>
      <w:r>
        <w:rPr>
          <w:w w:val="105"/>
          <w:sz w:val="13"/>
        </w:rPr>
        <w:t>TURISMO, INDUSTRIA Y COMERCIO.</w:t>
      </w:r>
    </w:p>
    <w:p>
      <w:pPr>
        <w:pStyle w:val="BodyText"/>
        <w:spacing w:before="3"/>
      </w:pPr>
    </w:p>
    <w:p>
      <w:pPr>
        <w:spacing w:before="0"/>
        <w:ind w:left="2233" w:right="0" w:firstLine="0"/>
        <w:jc w:val="left"/>
        <w:rPr>
          <w:sz w:val="13"/>
        </w:rPr>
      </w:pPr>
      <w:r>
        <w:rPr>
          <w:w w:val="105"/>
          <w:sz w:val="13"/>
        </w:rPr>
        <w:t>SANIDAD</w:t>
      </w:r>
    </w:p>
    <w:p>
      <w:pPr>
        <w:pStyle w:val="BodyText"/>
        <w:spacing w:before="10"/>
      </w:pPr>
    </w:p>
    <w:p>
      <w:pPr>
        <w:spacing w:line="247" w:lineRule="auto" w:before="0"/>
        <w:ind w:left="2233" w:right="0" w:firstLine="0"/>
        <w:jc w:val="left"/>
        <w:rPr>
          <w:sz w:val="13"/>
        </w:rPr>
      </w:pPr>
      <w:r>
        <w:rPr>
          <w:w w:val="105"/>
          <w:sz w:val="13"/>
        </w:rPr>
        <w:t>AGRICULTURA, GANADERÍA Y PESCA.</w:t>
      </w:r>
    </w:p>
    <w:p>
      <w:pPr>
        <w:pStyle w:val="BodyText"/>
        <w:spacing w:before="8"/>
        <w:rPr>
          <w:sz w:val="13"/>
        </w:rPr>
      </w:pPr>
    </w:p>
    <w:p>
      <w:pPr>
        <w:spacing w:line="247" w:lineRule="auto" w:before="0"/>
        <w:ind w:left="2233" w:right="0" w:firstLine="0"/>
        <w:jc w:val="left"/>
        <w:rPr>
          <w:sz w:val="13"/>
        </w:rPr>
      </w:pPr>
      <w:r>
        <w:rPr>
          <w:sz w:val="13"/>
        </w:rPr>
        <w:t>ADMINISTRACIONES PÚBLICAS, </w:t>
      </w:r>
      <w:r>
        <w:rPr>
          <w:w w:val="105"/>
          <w:sz w:val="13"/>
        </w:rPr>
        <w:t>JUSTICIA Y SEGURIDAD.</w:t>
      </w:r>
    </w:p>
    <w:p>
      <w:pPr>
        <w:pStyle w:val="BodyText"/>
        <w:spacing w:before="9"/>
        <w:rPr>
          <w:sz w:val="13"/>
        </w:rPr>
      </w:pPr>
    </w:p>
    <w:p>
      <w:pPr>
        <w:spacing w:line="247" w:lineRule="auto" w:before="0"/>
        <w:ind w:left="2233" w:right="0" w:firstLine="0"/>
        <w:jc w:val="left"/>
        <w:rPr>
          <w:sz w:val="13"/>
        </w:rPr>
      </w:pPr>
      <w:r>
        <w:rPr>
          <w:w w:val="105"/>
          <w:sz w:val="13"/>
        </w:rPr>
        <w:t>HACIENDA, PRESUPUESTOS Y ASUNTOS EUROPEOS.</w:t>
      </w:r>
    </w:p>
    <w:p>
      <w:pPr>
        <w:pStyle w:val="BodyText"/>
        <w:spacing w:before="8"/>
        <w:rPr>
          <w:sz w:val="13"/>
        </w:rPr>
      </w:pPr>
    </w:p>
    <w:p>
      <w:pPr>
        <w:spacing w:line="247" w:lineRule="auto" w:before="0"/>
        <w:ind w:left="2233" w:right="-8" w:firstLine="30"/>
        <w:jc w:val="left"/>
        <w:rPr>
          <w:sz w:val="13"/>
        </w:rPr>
      </w:pPr>
      <w:r>
        <w:rPr>
          <w:w w:val="105"/>
          <w:sz w:val="13"/>
        </w:rPr>
        <w:t>ECONOMÍA,</w:t>
      </w:r>
      <w:r>
        <w:rPr>
          <w:spacing w:val="-14"/>
          <w:w w:val="105"/>
          <w:sz w:val="13"/>
        </w:rPr>
        <w:t> </w:t>
      </w:r>
      <w:r>
        <w:rPr>
          <w:w w:val="105"/>
          <w:sz w:val="13"/>
        </w:rPr>
        <w:t>CONOCIMIENTO</w:t>
      </w:r>
      <w:r>
        <w:rPr>
          <w:spacing w:val="-13"/>
          <w:w w:val="105"/>
          <w:sz w:val="13"/>
        </w:rPr>
        <w:t> </w:t>
      </w:r>
      <w:r>
        <w:rPr>
          <w:spacing w:val="-12"/>
          <w:w w:val="105"/>
          <w:sz w:val="13"/>
        </w:rPr>
        <w:t>Y </w:t>
      </w:r>
      <w:r>
        <w:rPr>
          <w:w w:val="105"/>
          <w:sz w:val="13"/>
        </w:rPr>
        <w:t>EMPLEO.</w:t>
      </w:r>
    </w:p>
    <w:p>
      <w:pPr>
        <w:tabs>
          <w:tab w:pos="511" w:val="left" w:leader="none"/>
          <w:tab w:pos="2658" w:val="left" w:leader="none"/>
          <w:tab w:pos="3662" w:val="left" w:leader="none"/>
          <w:tab w:pos="4502" w:val="left" w:leader="none"/>
        </w:tabs>
        <w:spacing w:before="40"/>
        <w:ind w:left="0" w:right="1217" w:firstLine="0"/>
        <w:jc w:val="right"/>
        <w:rPr>
          <w:sz w:val="13"/>
        </w:rPr>
      </w:pPr>
      <w:r>
        <w:rPr/>
        <w:br w:type="column"/>
      </w:r>
      <w:r>
        <w:rPr>
          <w:w w:val="103"/>
          <w:sz w:val="13"/>
          <w:u w:val="single"/>
        </w:rPr>
        <w:t> </w:t>
      </w:r>
      <w:r>
        <w:rPr>
          <w:sz w:val="13"/>
          <w:u w:val="single"/>
        </w:rPr>
        <w:tab/>
      </w:r>
      <w:r>
        <w:rPr>
          <w:w w:val="105"/>
          <w:sz w:val="13"/>
          <w:u w:val="single"/>
        </w:rPr>
        <w:t>CONTRATACIÓN</w:t>
        <w:tab/>
        <w:t>965</w:t>
        <w:tab/>
        <w:t>110</w:t>
        <w:tab/>
      </w:r>
      <w:r>
        <w:rPr>
          <w:spacing w:val="-1"/>
          <w:position w:val="-3"/>
          <w:sz w:val="13"/>
          <w:u w:val="single"/>
        </w:rPr>
        <w:t>11,40%</w:t>
      </w:r>
      <w:r>
        <w:rPr>
          <w:spacing w:val="-2"/>
          <w:position w:val="-3"/>
          <w:sz w:val="13"/>
          <w:u w:val="single"/>
        </w:rPr>
        <w:t> </w:t>
      </w:r>
    </w:p>
    <w:p>
      <w:pPr>
        <w:tabs>
          <w:tab w:pos="2130" w:val="left" w:leader="none"/>
          <w:tab w:pos="3200" w:val="left" w:leader="none"/>
          <w:tab w:pos="4041" w:val="left" w:leader="none"/>
        </w:tabs>
        <w:spacing w:before="47"/>
        <w:ind w:left="0" w:right="1274" w:firstLine="0"/>
        <w:jc w:val="right"/>
        <w:rPr>
          <w:sz w:val="13"/>
        </w:rPr>
      </w:pPr>
      <w:r>
        <w:rPr/>
        <w:pict>
          <v:group style="position:absolute;margin-left:146.746124pt;margin-top:12.266754pt;width:349.3pt;height:.45pt;mso-position-horizontal-relative:page;mso-position-vertical-relative:paragraph;z-index:251675648" coordorigin="2935,245" coordsize="6986,9">
            <v:line style="position:absolute" from="2935,249" to="4958,249" stroked="true" strokeweight=".403006pt" strokecolor="#000000">
              <v:stroke dashstyle="solid"/>
            </v:line>
            <v:rect style="position:absolute;left:4958;top:245;width:9;height:9" filled="true" fillcolor="#000000" stroked="false">
              <v:fill type="solid"/>
            </v:rect>
            <v:line style="position:absolute" from="4967,249" to="6873,249" stroked="true" strokeweight=".403006pt" strokecolor="#000000">
              <v:stroke dashstyle="solid"/>
            </v:line>
            <v:rect style="position:absolute;left:6873;top:245;width:9;height:9" filled="true" fillcolor="#000000" stroked="false">
              <v:fill type="solid"/>
            </v:rect>
            <v:line style="position:absolute" from="6881,249" to="7879,249" stroked="true" strokeweight=".403006pt" strokecolor="#000000">
              <v:stroke dashstyle="solid"/>
            </v:line>
            <v:rect style="position:absolute;left:7879;top:245;width:9;height:9" filled="true" fillcolor="#000000" stroked="false">
              <v:fill type="solid"/>
            </v:rect>
            <v:line style="position:absolute" from="7887,249" to="8885,249" stroked="true" strokeweight=".403006pt" strokecolor="#000000">
              <v:stroke dashstyle="solid"/>
            </v:line>
            <v:rect style="position:absolute;left:8884;top:245;width:9;height:9" filled="true" fillcolor="#000000" stroked="false">
              <v:fill type="solid"/>
            </v:rect>
            <v:line style="position:absolute" from="8893,249" to="9921,249" stroked="true" strokeweight=".403006pt" strokecolor="#000000">
              <v:stroke dashstyle="solid"/>
            </v:line>
            <w10:wrap type="none"/>
          </v:group>
        </w:pict>
      </w:r>
      <w:r>
        <w:rPr>
          <w:w w:val="105"/>
          <w:sz w:val="13"/>
        </w:rPr>
        <w:t>SUBVENCIONES</w:t>
        <w:tab/>
        <w:t>508</w:t>
        <w:tab/>
        <w:t>17</w:t>
        <w:tab/>
      </w:r>
      <w:r>
        <w:rPr>
          <w:position w:val="-3"/>
          <w:sz w:val="13"/>
        </w:rPr>
        <w:t>3,35%</w:t>
      </w:r>
    </w:p>
    <w:p>
      <w:pPr>
        <w:tabs>
          <w:tab w:pos="511" w:val="left" w:leader="none"/>
          <w:tab w:pos="2658" w:val="left" w:leader="none"/>
          <w:tab w:pos="3662" w:val="left" w:leader="none"/>
          <w:tab w:pos="4502" w:val="left" w:leader="none"/>
        </w:tabs>
        <w:spacing w:before="49"/>
        <w:ind w:left="0" w:right="1217" w:firstLine="0"/>
        <w:jc w:val="right"/>
        <w:rPr>
          <w:sz w:val="13"/>
        </w:rPr>
      </w:pPr>
      <w:r>
        <w:rPr>
          <w:w w:val="103"/>
          <w:sz w:val="13"/>
          <w:u w:val="single"/>
        </w:rPr>
        <w:t> </w:t>
      </w:r>
      <w:r>
        <w:rPr>
          <w:sz w:val="13"/>
          <w:u w:val="single"/>
        </w:rPr>
        <w:tab/>
      </w:r>
      <w:r>
        <w:rPr>
          <w:w w:val="105"/>
          <w:sz w:val="13"/>
          <w:u w:val="single"/>
        </w:rPr>
        <w:t>CONTRATACIÓN</w:t>
        <w:tab/>
        <w:t>220</w:t>
        <w:tab/>
        <w:t>117</w:t>
        <w:tab/>
      </w:r>
      <w:r>
        <w:rPr>
          <w:spacing w:val="-1"/>
          <w:position w:val="-3"/>
          <w:sz w:val="13"/>
          <w:u w:val="single"/>
        </w:rPr>
        <w:t>53,18%</w:t>
      </w:r>
      <w:r>
        <w:rPr>
          <w:spacing w:val="-2"/>
          <w:position w:val="-3"/>
          <w:sz w:val="13"/>
          <w:u w:val="single"/>
        </w:rPr>
        <w:t> </w:t>
      </w:r>
    </w:p>
    <w:p>
      <w:pPr>
        <w:tabs>
          <w:tab w:pos="2197" w:val="left" w:leader="none"/>
          <w:tab w:pos="3269" w:val="left" w:leader="none"/>
          <w:tab w:pos="3974" w:val="left" w:leader="none"/>
        </w:tabs>
        <w:spacing w:before="47"/>
        <w:ind w:left="0" w:right="1274" w:firstLine="0"/>
        <w:jc w:val="right"/>
        <w:rPr>
          <w:sz w:val="13"/>
        </w:rPr>
      </w:pPr>
      <w:r>
        <w:rPr/>
        <w:pict>
          <v:group style="position:absolute;margin-left:146.746124pt;margin-top:12.266752pt;width:349.3pt;height:.45pt;mso-position-horizontal-relative:page;mso-position-vertical-relative:paragraph;z-index:251676672" coordorigin="2935,245" coordsize="6986,9">
            <v:line style="position:absolute" from="2935,249" to="4958,249" stroked="true" strokeweight=".403006pt" strokecolor="#000000">
              <v:stroke dashstyle="solid"/>
            </v:line>
            <v:rect style="position:absolute;left:4958;top:245;width:9;height:9" filled="true" fillcolor="#000000" stroked="false">
              <v:fill type="solid"/>
            </v:rect>
            <v:line style="position:absolute" from="4967,249" to="6873,249" stroked="true" strokeweight=".403006pt" strokecolor="#000000">
              <v:stroke dashstyle="solid"/>
            </v:line>
            <v:rect style="position:absolute;left:6873;top:245;width:9;height:9" filled="true" fillcolor="#000000" stroked="false">
              <v:fill type="solid"/>
            </v:rect>
            <v:line style="position:absolute" from="6881,249" to="7879,249" stroked="true" strokeweight=".403006pt" strokecolor="#000000">
              <v:stroke dashstyle="solid"/>
            </v:line>
            <v:rect style="position:absolute;left:7879;top:245;width:9;height:9" filled="true" fillcolor="#000000" stroked="false">
              <v:fill type="solid"/>
            </v:rect>
            <v:line style="position:absolute" from="7887,249" to="8885,249" stroked="true" strokeweight=".403006pt" strokecolor="#000000">
              <v:stroke dashstyle="solid"/>
            </v:line>
            <v:rect style="position:absolute;left:8884;top:245;width:9;height:9" filled="true" fillcolor="#000000" stroked="false">
              <v:fill type="solid"/>
            </v:rect>
            <v:line style="position:absolute" from="8893,249" to="9921,249" stroked="true" strokeweight=".403006pt" strokecolor="#000000">
              <v:stroke dashstyle="solid"/>
            </v:line>
            <w10:wrap type="none"/>
          </v:group>
        </w:pict>
      </w:r>
      <w:r>
        <w:rPr>
          <w:w w:val="105"/>
          <w:sz w:val="13"/>
        </w:rPr>
        <w:t>SUBVENCIONES</w:t>
        <w:tab/>
        <w:t>10</w:t>
        <w:tab/>
        <w:t>4</w:t>
        <w:tab/>
      </w:r>
      <w:r>
        <w:rPr>
          <w:spacing w:val="-1"/>
          <w:position w:val="-3"/>
          <w:sz w:val="13"/>
        </w:rPr>
        <w:t>40,00%</w:t>
      </w:r>
    </w:p>
    <w:p>
      <w:pPr>
        <w:tabs>
          <w:tab w:pos="511" w:val="left" w:leader="none"/>
          <w:tab w:pos="2589" w:val="left" w:leader="none"/>
          <w:tab w:pos="3662" w:val="left" w:leader="none"/>
          <w:tab w:pos="4569" w:val="left" w:leader="none"/>
        </w:tabs>
        <w:spacing w:before="49"/>
        <w:ind w:left="0" w:right="1217" w:firstLine="0"/>
        <w:jc w:val="right"/>
        <w:rPr>
          <w:sz w:val="13"/>
        </w:rPr>
      </w:pPr>
      <w:r>
        <w:rPr>
          <w:w w:val="103"/>
          <w:sz w:val="13"/>
          <w:u w:val="single"/>
        </w:rPr>
        <w:t> </w:t>
      </w:r>
      <w:r>
        <w:rPr>
          <w:sz w:val="13"/>
          <w:u w:val="single"/>
        </w:rPr>
        <w:tab/>
      </w:r>
      <w:r>
        <w:rPr>
          <w:w w:val="105"/>
          <w:sz w:val="13"/>
          <w:u w:val="single"/>
        </w:rPr>
        <w:t>CONTRATACIÓN</w:t>
        <w:tab/>
        <w:t>1625</w:t>
        <w:tab/>
        <w:t>101</w:t>
        <w:tab/>
      </w:r>
      <w:r>
        <w:rPr>
          <w:position w:val="-3"/>
          <w:sz w:val="13"/>
          <w:u w:val="single"/>
        </w:rPr>
        <w:t>6,22%</w:t>
      </w:r>
      <w:r>
        <w:rPr>
          <w:spacing w:val="-2"/>
          <w:position w:val="-3"/>
          <w:sz w:val="13"/>
          <w:u w:val="single"/>
        </w:rPr>
        <w:t> </w:t>
      </w:r>
    </w:p>
    <w:p>
      <w:pPr>
        <w:tabs>
          <w:tab w:pos="2061" w:val="left" w:leader="none"/>
          <w:tab w:pos="3200" w:val="left" w:leader="none"/>
          <w:tab w:pos="4041" w:val="left" w:leader="none"/>
        </w:tabs>
        <w:spacing w:before="47"/>
        <w:ind w:left="0" w:right="1274" w:firstLine="0"/>
        <w:jc w:val="right"/>
        <w:rPr>
          <w:sz w:val="13"/>
        </w:rPr>
      </w:pPr>
      <w:r>
        <w:rPr/>
        <w:pict>
          <v:group style="position:absolute;margin-left:146.746124pt;margin-top:12.26675pt;width:349.3pt;height:.45pt;mso-position-horizontal-relative:page;mso-position-vertical-relative:paragraph;z-index:251677696" coordorigin="2935,245" coordsize="6986,9">
            <v:line style="position:absolute" from="2935,249" to="4958,249" stroked="true" strokeweight=".403006pt" strokecolor="#000000">
              <v:stroke dashstyle="solid"/>
            </v:line>
            <v:rect style="position:absolute;left:4958;top:245;width:9;height:9" filled="true" fillcolor="#000000" stroked="false">
              <v:fill type="solid"/>
            </v:rect>
            <v:line style="position:absolute" from="4967,249" to="6873,249" stroked="true" strokeweight=".403006pt" strokecolor="#000000">
              <v:stroke dashstyle="solid"/>
            </v:line>
            <v:rect style="position:absolute;left:6873;top:245;width:9;height:9" filled="true" fillcolor="#000000" stroked="false">
              <v:fill type="solid"/>
            </v:rect>
            <v:line style="position:absolute" from="6881,249" to="7879,249" stroked="true" strokeweight=".403006pt" strokecolor="#000000">
              <v:stroke dashstyle="solid"/>
            </v:line>
            <v:rect style="position:absolute;left:7879;top:245;width:9;height:9" filled="true" fillcolor="#000000" stroked="false">
              <v:fill type="solid"/>
            </v:rect>
            <v:line style="position:absolute" from="7887,249" to="8885,249" stroked="true" strokeweight=".403006pt" strokecolor="#000000">
              <v:stroke dashstyle="solid"/>
            </v:line>
            <v:rect style="position:absolute;left:8884;top:245;width:9;height:9" filled="true" fillcolor="#000000" stroked="false">
              <v:fill type="solid"/>
            </v:rect>
            <v:line style="position:absolute" from="8893,249" to="9921,249" stroked="true" strokeweight=".403006pt" strokecolor="#000000">
              <v:stroke dashstyle="solid"/>
            </v:line>
            <w10:wrap type="none"/>
          </v:group>
        </w:pict>
      </w:r>
      <w:r>
        <w:rPr>
          <w:w w:val="105"/>
          <w:sz w:val="13"/>
        </w:rPr>
        <w:t>SUBVENCIONES</w:t>
        <w:tab/>
        <w:t>2741</w:t>
        <w:tab/>
        <w:t>83</w:t>
        <w:tab/>
      </w:r>
      <w:r>
        <w:rPr>
          <w:position w:val="-3"/>
          <w:sz w:val="13"/>
        </w:rPr>
        <w:t>3,03%</w:t>
      </w:r>
    </w:p>
    <w:p>
      <w:pPr>
        <w:tabs>
          <w:tab w:pos="511" w:val="left" w:leader="none"/>
          <w:tab w:pos="2589" w:val="left" w:leader="none"/>
          <w:tab w:pos="3662" w:val="left" w:leader="none"/>
          <w:tab w:pos="4569" w:val="left" w:leader="none"/>
        </w:tabs>
        <w:spacing w:before="49"/>
        <w:ind w:left="0" w:right="1217" w:firstLine="0"/>
        <w:jc w:val="right"/>
        <w:rPr>
          <w:sz w:val="13"/>
        </w:rPr>
      </w:pPr>
      <w:r>
        <w:rPr>
          <w:w w:val="103"/>
          <w:sz w:val="13"/>
          <w:u w:val="single"/>
        </w:rPr>
        <w:t> </w:t>
      </w:r>
      <w:r>
        <w:rPr>
          <w:sz w:val="13"/>
          <w:u w:val="single"/>
        </w:rPr>
        <w:tab/>
      </w:r>
      <w:r>
        <w:rPr>
          <w:w w:val="105"/>
          <w:sz w:val="13"/>
          <w:u w:val="single"/>
        </w:rPr>
        <w:t>CONTRATACIÓN</w:t>
        <w:tab/>
        <w:t>6553</w:t>
        <w:tab/>
        <w:t>378</w:t>
        <w:tab/>
      </w:r>
      <w:r>
        <w:rPr>
          <w:position w:val="-3"/>
          <w:sz w:val="13"/>
          <w:u w:val="single"/>
        </w:rPr>
        <w:t>5,77%</w:t>
      </w:r>
      <w:r>
        <w:rPr>
          <w:spacing w:val="-2"/>
          <w:position w:val="-3"/>
          <w:sz w:val="13"/>
          <w:u w:val="single"/>
        </w:rPr>
        <w:t> </w:t>
      </w:r>
    </w:p>
    <w:p>
      <w:pPr>
        <w:tabs>
          <w:tab w:pos="2130" w:val="left" w:leader="none"/>
          <w:tab w:pos="3200" w:val="left" w:leader="none"/>
          <w:tab w:pos="4041" w:val="left" w:leader="none"/>
        </w:tabs>
        <w:spacing w:before="48"/>
        <w:ind w:left="0" w:right="1274" w:firstLine="0"/>
        <w:jc w:val="right"/>
        <w:rPr>
          <w:sz w:val="13"/>
        </w:rPr>
      </w:pPr>
      <w:r>
        <w:rPr/>
        <w:pict>
          <v:group style="position:absolute;margin-left:146.746124pt;margin-top:12.31674pt;width:349.3pt;height:.45pt;mso-position-horizontal-relative:page;mso-position-vertical-relative:paragraph;z-index:251678720" coordorigin="2935,246" coordsize="6986,9">
            <v:line style="position:absolute" from="2935,250" to="4958,250" stroked="true" strokeweight=".403015pt" strokecolor="#000000">
              <v:stroke dashstyle="solid"/>
            </v:line>
            <v:rect style="position:absolute;left:4958;top:246;width:9;height:9" filled="true" fillcolor="#000000" stroked="false">
              <v:fill type="solid"/>
            </v:rect>
            <v:line style="position:absolute" from="4967,250" to="6873,250" stroked="true" strokeweight=".403015pt" strokecolor="#000000">
              <v:stroke dashstyle="solid"/>
            </v:line>
            <v:rect style="position:absolute;left:6873;top:246;width:9;height:9" filled="true" fillcolor="#000000" stroked="false">
              <v:fill type="solid"/>
            </v:rect>
            <v:line style="position:absolute" from="6881,250" to="7879,250" stroked="true" strokeweight=".403015pt" strokecolor="#000000">
              <v:stroke dashstyle="solid"/>
            </v:line>
            <v:rect style="position:absolute;left:7879;top:246;width:9;height:9" filled="true" fillcolor="#000000" stroked="false">
              <v:fill type="solid"/>
            </v:rect>
            <v:line style="position:absolute" from="7887,250" to="8885,250" stroked="true" strokeweight=".403015pt" strokecolor="#000000">
              <v:stroke dashstyle="solid"/>
            </v:line>
            <v:rect style="position:absolute;left:8884;top:246;width:9;height:9" filled="true" fillcolor="#000000" stroked="false">
              <v:fill type="solid"/>
            </v:rect>
            <v:line style="position:absolute" from="8893,250" to="9921,250" stroked="true" strokeweight=".403015pt" strokecolor="#000000">
              <v:stroke dashstyle="solid"/>
            </v:line>
            <w10:wrap type="none"/>
          </v:group>
        </w:pict>
      </w:r>
      <w:r>
        <w:rPr>
          <w:w w:val="105"/>
          <w:sz w:val="13"/>
        </w:rPr>
        <w:t>SUBVENCIONES</w:t>
        <w:tab/>
        <w:t>109</w:t>
        <w:tab/>
        <w:t>10</w:t>
        <w:tab/>
      </w:r>
      <w:r>
        <w:rPr>
          <w:position w:val="-3"/>
          <w:sz w:val="13"/>
        </w:rPr>
        <w:t>9,17%</w:t>
      </w:r>
    </w:p>
    <w:p>
      <w:pPr>
        <w:tabs>
          <w:tab w:pos="511" w:val="left" w:leader="none"/>
          <w:tab w:pos="2589" w:val="left" w:leader="none"/>
          <w:tab w:pos="3662" w:val="left" w:leader="none"/>
          <w:tab w:pos="4569" w:val="left" w:leader="none"/>
        </w:tabs>
        <w:spacing w:before="49"/>
        <w:ind w:left="0" w:right="1217" w:firstLine="0"/>
        <w:jc w:val="right"/>
        <w:rPr>
          <w:sz w:val="13"/>
        </w:rPr>
      </w:pPr>
      <w:r>
        <w:rPr>
          <w:w w:val="103"/>
          <w:sz w:val="13"/>
          <w:u w:val="single"/>
        </w:rPr>
        <w:t> </w:t>
      </w:r>
      <w:r>
        <w:rPr>
          <w:sz w:val="13"/>
          <w:u w:val="single"/>
        </w:rPr>
        <w:tab/>
      </w:r>
      <w:r>
        <w:rPr>
          <w:w w:val="105"/>
          <w:sz w:val="13"/>
          <w:u w:val="single"/>
        </w:rPr>
        <w:t>CONTRATACIÓN</w:t>
        <w:tab/>
        <w:t>2598</w:t>
        <w:tab/>
        <w:t>183</w:t>
        <w:tab/>
      </w:r>
      <w:r>
        <w:rPr>
          <w:position w:val="-3"/>
          <w:sz w:val="13"/>
          <w:u w:val="single"/>
        </w:rPr>
        <w:t>7,04%</w:t>
      </w:r>
      <w:r>
        <w:rPr>
          <w:spacing w:val="-2"/>
          <w:position w:val="-3"/>
          <w:sz w:val="13"/>
          <w:u w:val="single"/>
        </w:rPr>
        <w:t> </w:t>
      </w:r>
    </w:p>
    <w:p>
      <w:pPr>
        <w:tabs>
          <w:tab w:pos="2197" w:val="left" w:leader="none"/>
          <w:tab w:pos="3269" w:val="left" w:leader="none"/>
          <w:tab w:pos="3974" w:val="left" w:leader="none"/>
        </w:tabs>
        <w:spacing w:before="47"/>
        <w:ind w:left="0" w:right="1274" w:firstLine="0"/>
        <w:jc w:val="right"/>
        <w:rPr>
          <w:sz w:val="13"/>
        </w:rPr>
      </w:pPr>
      <w:r>
        <w:rPr/>
        <w:pict>
          <v:group style="position:absolute;margin-left:146.746124pt;margin-top:12.266805pt;width:349.3pt;height:.45pt;mso-position-horizontal-relative:page;mso-position-vertical-relative:paragraph;z-index:251679744" coordorigin="2935,245" coordsize="6986,9">
            <v:line style="position:absolute" from="2935,249" to="4958,249" stroked="true" strokeweight=".40299pt" strokecolor="#000000">
              <v:stroke dashstyle="solid"/>
            </v:line>
            <v:rect style="position:absolute;left:4958;top:245;width:9;height:9" filled="true" fillcolor="#000000" stroked="false">
              <v:fill type="solid"/>
            </v:rect>
            <v:line style="position:absolute" from="4967,249" to="6873,249" stroked="true" strokeweight=".40299pt" strokecolor="#000000">
              <v:stroke dashstyle="solid"/>
            </v:line>
            <v:rect style="position:absolute;left:6873;top:245;width:9;height:9" filled="true" fillcolor="#000000" stroked="false">
              <v:fill type="solid"/>
            </v:rect>
            <v:line style="position:absolute" from="6881,249" to="7879,249" stroked="true" strokeweight=".40299pt" strokecolor="#000000">
              <v:stroke dashstyle="solid"/>
            </v:line>
            <v:rect style="position:absolute;left:7879;top:245;width:9;height:9" filled="true" fillcolor="#000000" stroked="false">
              <v:fill type="solid"/>
            </v:rect>
            <v:line style="position:absolute" from="7887,249" to="8885,249" stroked="true" strokeweight=".40299pt" strokecolor="#000000">
              <v:stroke dashstyle="solid"/>
            </v:line>
            <v:rect style="position:absolute;left:8884;top:245;width:9;height:9" filled="true" fillcolor="#000000" stroked="false">
              <v:fill type="solid"/>
            </v:rect>
            <v:line style="position:absolute" from="8893,249" to="9921,249" stroked="true" strokeweight=".40299pt" strokecolor="#000000">
              <v:stroke dashstyle="solid"/>
            </v:line>
            <w10:wrap type="none"/>
          </v:group>
        </w:pict>
      </w:r>
      <w:r>
        <w:rPr>
          <w:w w:val="105"/>
          <w:sz w:val="13"/>
        </w:rPr>
        <w:t>SUBVENCIONES</w:t>
        <w:tab/>
        <w:t>32</w:t>
        <w:tab/>
        <w:t>5</w:t>
        <w:tab/>
      </w:r>
      <w:r>
        <w:rPr>
          <w:spacing w:val="-1"/>
          <w:position w:val="-3"/>
          <w:sz w:val="13"/>
        </w:rPr>
        <w:t>15,63%</w:t>
      </w:r>
    </w:p>
    <w:p>
      <w:pPr>
        <w:tabs>
          <w:tab w:pos="511" w:val="left" w:leader="none"/>
          <w:tab w:pos="2589" w:val="left" w:leader="none"/>
          <w:tab w:pos="3728" w:val="left" w:leader="none"/>
          <w:tab w:pos="4569" w:val="left" w:leader="none"/>
        </w:tabs>
        <w:spacing w:before="50"/>
        <w:ind w:left="0" w:right="1217" w:firstLine="0"/>
        <w:jc w:val="right"/>
        <w:rPr>
          <w:sz w:val="13"/>
        </w:rPr>
      </w:pPr>
      <w:r>
        <w:rPr>
          <w:w w:val="103"/>
          <w:sz w:val="13"/>
          <w:u w:val="single"/>
        </w:rPr>
        <w:t> </w:t>
      </w:r>
      <w:r>
        <w:rPr>
          <w:sz w:val="13"/>
          <w:u w:val="single"/>
        </w:rPr>
        <w:tab/>
      </w:r>
      <w:r>
        <w:rPr>
          <w:w w:val="105"/>
          <w:sz w:val="13"/>
          <w:u w:val="single"/>
        </w:rPr>
        <w:t>CONTRATACIÓN</w:t>
        <w:tab/>
        <w:t>1315</w:t>
        <w:tab/>
        <w:t>46</w:t>
        <w:tab/>
      </w:r>
      <w:r>
        <w:rPr>
          <w:position w:val="-3"/>
          <w:sz w:val="13"/>
          <w:u w:val="single"/>
        </w:rPr>
        <w:t>3,50%</w:t>
      </w:r>
      <w:r>
        <w:rPr>
          <w:spacing w:val="-2"/>
          <w:position w:val="-3"/>
          <w:sz w:val="13"/>
          <w:u w:val="single"/>
        </w:rPr>
        <w:t> </w:t>
      </w:r>
    </w:p>
    <w:p>
      <w:pPr>
        <w:tabs>
          <w:tab w:pos="2061" w:val="left" w:leader="none"/>
          <w:tab w:pos="3200" w:val="left" w:leader="none"/>
          <w:tab w:pos="4041" w:val="left" w:leader="none"/>
        </w:tabs>
        <w:spacing w:before="47"/>
        <w:ind w:left="0" w:right="1274" w:firstLine="0"/>
        <w:jc w:val="right"/>
        <w:rPr>
          <w:sz w:val="13"/>
        </w:rPr>
      </w:pPr>
      <w:r>
        <w:rPr>
          <w:w w:val="105"/>
          <w:sz w:val="13"/>
        </w:rPr>
        <w:t>SUBVENCIONES</w:t>
        <w:tab/>
        <w:t>2515</w:t>
        <w:tab/>
        <w:t>49</w:t>
        <w:tab/>
      </w:r>
      <w:r>
        <w:rPr>
          <w:position w:val="-3"/>
          <w:sz w:val="13"/>
        </w:rPr>
        <w:t>1,95%</w:t>
      </w:r>
    </w:p>
    <w:p>
      <w:pPr>
        <w:spacing w:after="0"/>
        <w:jc w:val="right"/>
        <w:rPr>
          <w:sz w:val="13"/>
        </w:rPr>
        <w:sectPr>
          <w:type w:val="continuous"/>
          <w:pgSz w:w="11900" w:h="16840"/>
          <w:pgMar w:top="1600" w:bottom="1120" w:left="760" w:right="760"/>
          <w:cols w:num="2" w:equalWidth="0">
            <w:col w:w="3949" w:space="40"/>
            <w:col w:w="6391"/>
          </w:cols>
        </w:sectPr>
      </w:pPr>
    </w:p>
    <w:p>
      <w:pPr>
        <w:pStyle w:val="BodyText"/>
        <w:spacing w:line="20" w:lineRule="exact"/>
        <w:ind w:left="2169"/>
        <w:rPr>
          <w:sz w:val="2"/>
        </w:rPr>
      </w:pPr>
      <w:r>
        <w:rPr>
          <w:sz w:val="2"/>
        </w:rPr>
        <w:pict>
          <v:group style="width:349.3pt;height:.45pt;mso-position-horizontal-relative:char;mso-position-vertical-relative:line" coordorigin="0,0" coordsize="6986,9">
            <v:line style="position:absolute" from="0,4" to="2023,4" stroked="true" strokeweight=".403015pt" strokecolor="#000000">
              <v:stroke dashstyle="solid"/>
            </v:line>
            <v:rect style="position:absolute;left:2023;top:0;width:9;height:9" filled="true" fillcolor="#000000" stroked="false">
              <v:fill type="solid"/>
            </v:rect>
            <v:line style="position:absolute" from="2032,4" to="3938,4" stroked="true" strokeweight=".403015pt" strokecolor="#000000">
              <v:stroke dashstyle="solid"/>
            </v:line>
            <v:rect style="position:absolute;left:3938;top:0;width:9;height:9" filled="true" fillcolor="#000000" stroked="false">
              <v:fill type="solid"/>
            </v:rect>
            <v:line style="position:absolute" from="3946,4" to="4944,4" stroked="true" strokeweight=".403015pt" strokecolor="#000000">
              <v:stroke dashstyle="solid"/>
            </v:line>
            <v:rect style="position:absolute;left:4944;top:0;width:9;height:9" filled="true" fillcolor="#000000" stroked="false">
              <v:fill type="solid"/>
            </v:rect>
            <v:line style="position:absolute" from="4952,4" to="5950,4" stroked="true" strokeweight=".403015pt" strokecolor="#000000">
              <v:stroke dashstyle="solid"/>
            </v:line>
            <v:rect style="position:absolute;left:5949;top:0;width:9;height:9" filled="true" fillcolor="#000000" stroked="false">
              <v:fill type="solid"/>
            </v:rect>
            <v:line style="position:absolute" from="5958,4" to="6986,4" stroked="true" strokeweight=".403015pt" strokecolor="#000000">
              <v:stroke dashstyle="solid"/>
            </v:line>
          </v:group>
        </w:pict>
      </w:r>
      <w:r>
        <w:rPr>
          <w:sz w:val="2"/>
        </w:rPr>
      </w:r>
    </w:p>
    <w:p>
      <w:pPr>
        <w:tabs>
          <w:tab w:pos="4710" w:val="left" w:leader="none"/>
          <w:tab w:pos="6857" w:val="left" w:leader="none"/>
          <w:tab w:pos="7927" w:val="left" w:leader="none"/>
          <w:tab w:pos="8767" w:val="left" w:leader="none"/>
        </w:tabs>
        <w:spacing w:before="31"/>
        <w:ind w:left="2233" w:right="0" w:firstLine="0"/>
        <w:jc w:val="left"/>
        <w:rPr>
          <w:sz w:val="13"/>
        </w:rPr>
      </w:pPr>
      <w:r>
        <w:rPr>
          <w:w w:val="105"/>
          <w:sz w:val="13"/>
        </w:rPr>
        <w:t>OBRAS PÚBLICAS,</w:t>
      </w:r>
      <w:r>
        <w:rPr>
          <w:spacing w:val="-15"/>
          <w:w w:val="105"/>
          <w:sz w:val="13"/>
        </w:rPr>
        <w:t> </w:t>
      </w:r>
      <w:r>
        <w:rPr>
          <w:w w:val="105"/>
          <w:sz w:val="13"/>
        </w:rPr>
        <w:t>TRANSPORTES</w:t>
      </w:r>
      <w:r>
        <w:rPr>
          <w:spacing w:val="-6"/>
          <w:w w:val="105"/>
          <w:sz w:val="13"/>
        </w:rPr>
        <w:t> </w:t>
      </w:r>
      <w:r>
        <w:rPr>
          <w:w w:val="105"/>
          <w:sz w:val="13"/>
        </w:rPr>
        <w:t>Y</w:t>
      </w:r>
      <w:r>
        <w:rPr>
          <w:w w:val="105"/>
          <w:position w:val="4"/>
          <w:sz w:val="13"/>
          <w:u w:val="single"/>
        </w:rPr>
        <w:t> </w:t>
        <w:tab/>
        <w:t>CONTRATACIÓN</w:t>
        <w:tab/>
        <w:t>714</w:t>
        <w:tab/>
        <w:t>34</w:t>
        <w:tab/>
      </w:r>
      <w:r>
        <w:rPr>
          <w:w w:val="105"/>
          <w:position w:val="1"/>
          <w:sz w:val="13"/>
          <w:u w:val="single"/>
        </w:rPr>
        <w:t>4,76%</w:t>
      </w:r>
      <w:r>
        <w:rPr>
          <w:spacing w:val="-2"/>
          <w:position w:val="1"/>
          <w:sz w:val="13"/>
          <w:u w:val="single"/>
        </w:rPr>
        <w:t> </w:t>
      </w:r>
    </w:p>
    <w:p>
      <w:pPr>
        <w:spacing w:after="0"/>
        <w:jc w:val="left"/>
        <w:rPr>
          <w:sz w:val="13"/>
        </w:rPr>
        <w:sectPr>
          <w:type w:val="continuous"/>
          <w:pgSz w:w="11900" w:h="16840"/>
          <w:pgMar w:top="1600" w:bottom="1120" w:left="760" w:right="760"/>
        </w:sectPr>
      </w:pPr>
    </w:p>
    <w:p>
      <w:pPr>
        <w:spacing w:before="5"/>
        <w:ind w:left="2233" w:right="0" w:firstLine="0"/>
        <w:jc w:val="left"/>
        <w:rPr>
          <w:sz w:val="13"/>
        </w:rPr>
      </w:pPr>
      <w:r>
        <w:rPr/>
        <w:pict>
          <v:group style="position:absolute;margin-left:146.746124pt;margin-top:12.18179pt;width:349.3pt;height:.45pt;mso-position-horizontal-relative:page;mso-position-vertical-relative:paragraph;z-index:251680768" coordorigin="2935,244" coordsize="6986,9">
            <v:line style="position:absolute" from="2935,248" to="4958,248" stroked="true" strokeweight=".403015pt" strokecolor="#000000">
              <v:stroke dashstyle="solid"/>
            </v:line>
            <v:rect style="position:absolute;left:4958;top:243;width:9;height:9" filled="true" fillcolor="#000000" stroked="false">
              <v:fill type="solid"/>
            </v:rect>
            <v:line style="position:absolute" from="4967,248" to="6873,248" stroked="true" strokeweight=".403015pt" strokecolor="#000000">
              <v:stroke dashstyle="solid"/>
            </v:line>
            <v:rect style="position:absolute;left:6873;top:243;width:9;height:9" filled="true" fillcolor="#000000" stroked="false">
              <v:fill type="solid"/>
            </v:rect>
            <v:line style="position:absolute" from="6881,248" to="7879,248" stroked="true" strokeweight=".403015pt" strokecolor="#000000">
              <v:stroke dashstyle="solid"/>
            </v:line>
            <v:rect style="position:absolute;left:7879;top:243;width:9;height:9" filled="true" fillcolor="#000000" stroked="false">
              <v:fill type="solid"/>
            </v:rect>
            <v:line style="position:absolute" from="7887,248" to="8885,248" stroked="true" strokeweight=".403015pt" strokecolor="#000000">
              <v:stroke dashstyle="solid"/>
            </v:line>
            <v:rect style="position:absolute;left:8884;top:243;width:9;height:9" filled="true" fillcolor="#000000" stroked="false">
              <v:fill type="solid"/>
            </v:rect>
            <v:line style="position:absolute" from="8893,248" to="9921,248" stroked="true" strokeweight=".403015pt" strokecolor="#000000">
              <v:stroke dashstyle="solid"/>
            </v:line>
            <w10:wrap type="none"/>
          </v:group>
        </w:pict>
      </w:r>
      <w:r>
        <w:rPr>
          <w:w w:val="105"/>
          <w:sz w:val="13"/>
        </w:rPr>
        <w:t>VIVIENDA</w:t>
      </w:r>
    </w:p>
    <w:p>
      <w:pPr>
        <w:pStyle w:val="BodyText"/>
        <w:rPr>
          <w:sz w:val="14"/>
        </w:rPr>
      </w:pPr>
    </w:p>
    <w:p>
      <w:pPr>
        <w:spacing w:line="247" w:lineRule="auto" w:before="1"/>
        <w:ind w:left="2233" w:right="-15" w:firstLine="0"/>
        <w:jc w:val="left"/>
        <w:rPr>
          <w:sz w:val="13"/>
        </w:rPr>
      </w:pPr>
      <w:r>
        <w:rPr/>
        <w:pict>
          <v:group style="position:absolute;margin-left:146.746124pt;margin-top:20.142677pt;width:349.3pt;height:.45pt;mso-position-horizontal-relative:page;mso-position-vertical-relative:paragraph;z-index:251681792" coordorigin="2935,403" coordsize="6986,9">
            <v:line style="position:absolute" from="2935,407" to="4958,407" stroked="true" strokeweight=".403015pt" strokecolor="#000000">
              <v:stroke dashstyle="solid"/>
            </v:line>
            <v:rect style="position:absolute;left:4958;top:402;width:9;height:9" filled="true" fillcolor="#000000" stroked="false">
              <v:fill type="solid"/>
            </v:rect>
            <v:line style="position:absolute" from="4967,407" to="6873,407" stroked="true" strokeweight=".403015pt" strokecolor="#000000">
              <v:stroke dashstyle="solid"/>
            </v:line>
            <v:rect style="position:absolute;left:6873;top:402;width:9;height:9" filled="true" fillcolor="#000000" stroked="false">
              <v:fill type="solid"/>
            </v:rect>
            <v:line style="position:absolute" from="6881,407" to="7879,407" stroked="true" strokeweight=".403015pt" strokecolor="#000000">
              <v:stroke dashstyle="solid"/>
            </v:line>
            <v:rect style="position:absolute;left:7879;top:402;width:9;height:9" filled="true" fillcolor="#000000" stroked="false">
              <v:fill type="solid"/>
            </v:rect>
            <v:line style="position:absolute" from="7887,407" to="8885,407" stroked="true" strokeweight=".403015pt" strokecolor="#000000">
              <v:stroke dashstyle="solid"/>
            </v:line>
            <v:rect style="position:absolute;left:8884;top:402;width:9;height:9" filled="true" fillcolor="#000000" stroked="false">
              <v:fill type="solid"/>
            </v:rect>
            <v:line style="position:absolute" from="8893,407" to="9921,407" stroked="true" strokeweight=".403015pt" strokecolor="#000000">
              <v:stroke dashstyle="solid"/>
            </v:line>
            <w10:wrap type="none"/>
          </v:group>
        </w:pict>
      </w:r>
      <w:r>
        <w:rPr>
          <w:w w:val="105"/>
          <w:sz w:val="13"/>
        </w:rPr>
        <w:t>DERECHOS</w:t>
      </w:r>
      <w:r>
        <w:rPr>
          <w:spacing w:val="-17"/>
          <w:w w:val="105"/>
          <w:sz w:val="13"/>
        </w:rPr>
        <w:t> </w:t>
      </w:r>
      <w:r>
        <w:rPr>
          <w:w w:val="105"/>
          <w:sz w:val="13"/>
        </w:rPr>
        <w:t>SOCIALES,</w:t>
      </w:r>
      <w:r>
        <w:rPr>
          <w:spacing w:val="-17"/>
          <w:w w:val="105"/>
          <w:sz w:val="13"/>
        </w:rPr>
        <w:t> </w:t>
      </w:r>
      <w:r>
        <w:rPr>
          <w:w w:val="105"/>
          <w:sz w:val="13"/>
        </w:rPr>
        <w:t>IGUALDAD, DIVERSIDAD Y</w:t>
      </w:r>
      <w:r>
        <w:rPr>
          <w:spacing w:val="-6"/>
          <w:w w:val="105"/>
          <w:sz w:val="13"/>
        </w:rPr>
        <w:t> </w:t>
      </w:r>
      <w:r>
        <w:rPr>
          <w:w w:val="105"/>
          <w:sz w:val="13"/>
        </w:rPr>
        <w:t>JUVENTUD.</w:t>
      </w:r>
    </w:p>
    <w:p>
      <w:pPr>
        <w:pStyle w:val="BodyText"/>
        <w:spacing w:before="3"/>
      </w:pPr>
    </w:p>
    <w:p>
      <w:pPr>
        <w:spacing w:before="0"/>
        <w:ind w:left="2233" w:right="0" w:firstLine="0"/>
        <w:jc w:val="left"/>
        <w:rPr>
          <w:sz w:val="13"/>
        </w:rPr>
      </w:pPr>
      <w:r>
        <w:rPr>
          <w:w w:val="105"/>
          <w:sz w:val="13"/>
        </w:rPr>
        <w:t>PRESIDENCIA</w:t>
      </w:r>
    </w:p>
    <w:p>
      <w:pPr>
        <w:tabs>
          <w:tab w:pos="2130" w:val="left" w:leader="none"/>
          <w:tab w:pos="3200" w:val="left" w:leader="none"/>
          <w:tab w:pos="3974" w:val="left" w:leader="none"/>
        </w:tabs>
        <w:spacing w:before="45"/>
        <w:ind w:left="0" w:right="1274" w:firstLine="0"/>
        <w:jc w:val="right"/>
        <w:rPr>
          <w:sz w:val="13"/>
        </w:rPr>
      </w:pPr>
      <w:r>
        <w:rPr/>
        <w:br w:type="column"/>
      </w:r>
      <w:r>
        <w:rPr>
          <w:w w:val="105"/>
          <w:sz w:val="13"/>
        </w:rPr>
        <w:t>SUBVENCIONES</w:t>
        <w:tab/>
        <w:t>113</w:t>
        <w:tab/>
        <w:t>29</w:t>
        <w:tab/>
      </w:r>
      <w:r>
        <w:rPr>
          <w:spacing w:val="-1"/>
          <w:position w:val="-3"/>
          <w:sz w:val="13"/>
        </w:rPr>
        <w:t>25,66%</w:t>
      </w:r>
    </w:p>
    <w:p>
      <w:pPr>
        <w:tabs>
          <w:tab w:pos="511" w:val="left" w:leader="none"/>
          <w:tab w:pos="2589" w:val="left" w:leader="none"/>
          <w:tab w:pos="3662" w:val="left" w:leader="none"/>
          <w:tab w:pos="4569" w:val="left" w:leader="none"/>
        </w:tabs>
        <w:spacing w:before="49"/>
        <w:ind w:left="0" w:right="1217" w:firstLine="0"/>
        <w:jc w:val="right"/>
        <w:rPr>
          <w:sz w:val="13"/>
        </w:rPr>
      </w:pPr>
      <w:r>
        <w:rPr>
          <w:w w:val="103"/>
          <w:sz w:val="13"/>
          <w:u w:val="single"/>
        </w:rPr>
        <w:t> </w:t>
      </w:r>
      <w:r>
        <w:rPr>
          <w:sz w:val="13"/>
          <w:u w:val="single"/>
        </w:rPr>
        <w:tab/>
      </w:r>
      <w:r>
        <w:rPr>
          <w:w w:val="105"/>
          <w:sz w:val="13"/>
          <w:u w:val="single"/>
        </w:rPr>
        <w:t>CONTRATACIÓN</w:t>
        <w:tab/>
        <w:t>4937</w:t>
        <w:tab/>
        <w:t>255</w:t>
        <w:tab/>
      </w:r>
      <w:r>
        <w:rPr>
          <w:position w:val="-3"/>
          <w:sz w:val="13"/>
          <w:u w:val="single"/>
        </w:rPr>
        <w:t>5,17%</w:t>
      </w:r>
      <w:r>
        <w:rPr>
          <w:spacing w:val="-2"/>
          <w:position w:val="-3"/>
          <w:sz w:val="13"/>
          <w:u w:val="single"/>
        </w:rPr>
        <w:t> </w:t>
      </w:r>
    </w:p>
    <w:p>
      <w:pPr>
        <w:tabs>
          <w:tab w:pos="2061" w:val="left" w:leader="none"/>
          <w:tab w:pos="3200" w:val="left" w:leader="none"/>
          <w:tab w:pos="4041" w:val="left" w:leader="none"/>
        </w:tabs>
        <w:spacing w:before="47"/>
        <w:ind w:left="0" w:right="1274" w:firstLine="0"/>
        <w:jc w:val="right"/>
        <w:rPr>
          <w:sz w:val="13"/>
        </w:rPr>
      </w:pPr>
      <w:r>
        <w:rPr>
          <w:w w:val="105"/>
          <w:sz w:val="13"/>
        </w:rPr>
        <w:t>SUBVENCIONES</w:t>
        <w:tab/>
        <w:t>1566</w:t>
        <w:tab/>
        <w:t>55</w:t>
        <w:tab/>
      </w:r>
      <w:r>
        <w:rPr>
          <w:position w:val="-3"/>
          <w:sz w:val="13"/>
        </w:rPr>
        <w:t>3,51%</w:t>
      </w:r>
    </w:p>
    <w:p>
      <w:pPr>
        <w:tabs>
          <w:tab w:pos="511" w:val="left" w:leader="none"/>
          <w:tab w:pos="2589" w:val="left" w:leader="none"/>
          <w:tab w:pos="3662" w:val="left" w:leader="none"/>
          <w:tab w:pos="4569" w:val="left" w:leader="none"/>
        </w:tabs>
        <w:spacing w:before="49"/>
        <w:ind w:left="0" w:right="1217" w:firstLine="0"/>
        <w:jc w:val="right"/>
        <w:rPr>
          <w:sz w:val="13"/>
        </w:rPr>
      </w:pPr>
      <w:r>
        <w:rPr>
          <w:w w:val="103"/>
          <w:sz w:val="13"/>
          <w:u w:val="single"/>
        </w:rPr>
        <w:t> </w:t>
      </w:r>
      <w:r>
        <w:rPr>
          <w:sz w:val="13"/>
          <w:u w:val="single"/>
        </w:rPr>
        <w:tab/>
      </w:r>
      <w:r>
        <w:rPr>
          <w:w w:val="105"/>
          <w:sz w:val="13"/>
          <w:u w:val="single"/>
        </w:rPr>
        <w:t>CONTRATACIÓN</w:t>
        <w:tab/>
        <w:t>1585</w:t>
        <w:tab/>
        <w:t>147</w:t>
        <w:tab/>
      </w:r>
      <w:r>
        <w:rPr>
          <w:position w:val="-3"/>
          <w:sz w:val="13"/>
          <w:u w:val="single"/>
        </w:rPr>
        <w:t>9,27%</w:t>
      </w:r>
      <w:r>
        <w:rPr>
          <w:spacing w:val="-2"/>
          <w:position w:val="-3"/>
          <w:sz w:val="13"/>
          <w:u w:val="single"/>
        </w:rPr>
        <w:t> </w:t>
      </w:r>
    </w:p>
    <w:p>
      <w:pPr>
        <w:tabs>
          <w:tab w:pos="2061" w:val="left" w:leader="none"/>
          <w:tab w:pos="3200" w:val="left" w:leader="none"/>
          <w:tab w:pos="4041" w:val="left" w:leader="none"/>
        </w:tabs>
        <w:spacing w:before="48"/>
        <w:ind w:left="0" w:right="1274" w:firstLine="0"/>
        <w:jc w:val="right"/>
        <w:rPr>
          <w:sz w:val="13"/>
        </w:rPr>
      </w:pPr>
      <w:r>
        <w:rPr>
          <w:w w:val="105"/>
          <w:sz w:val="13"/>
        </w:rPr>
        <w:t>SUBVENCIONES</w:t>
        <w:tab/>
        <w:t>1011</w:t>
        <w:tab/>
        <w:t>64</w:t>
        <w:tab/>
      </w:r>
      <w:r>
        <w:rPr>
          <w:position w:val="-3"/>
          <w:sz w:val="13"/>
        </w:rPr>
        <w:t>6,33%</w:t>
      </w:r>
    </w:p>
    <w:p>
      <w:pPr>
        <w:spacing w:after="0"/>
        <w:jc w:val="right"/>
        <w:rPr>
          <w:sz w:val="13"/>
        </w:rPr>
        <w:sectPr>
          <w:type w:val="continuous"/>
          <w:pgSz w:w="11900" w:h="16840"/>
          <w:pgMar w:top="1600" w:bottom="1120" w:left="760" w:right="760"/>
          <w:cols w:num="2" w:equalWidth="0">
            <w:col w:w="4054" w:space="40"/>
            <w:col w:w="6286"/>
          </w:cols>
        </w:sectPr>
      </w:pPr>
    </w:p>
    <w:p>
      <w:pPr>
        <w:pStyle w:val="BodyText"/>
        <w:spacing w:line="20" w:lineRule="exact"/>
        <w:ind w:left="2169"/>
        <w:rPr>
          <w:sz w:val="2"/>
        </w:rPr>
      </w:pPr>
      <w:r>
        <w:rPr>
          <w:sz w:val="2"/>
        </w:rPr>
        <w:pict>
          <v:group style="width:349.3pt;height:.45pt;mso-position-horizontal-relative:char;mso-position-vertical-relative:line" coordorigin="0,0" coordsize="6986,9">
            <v:line style="position:absolute" from="0,4" to="2023,4" stroked="true" strokeweight=".40299pt" strokecolor="#000000">
              <v:stroke dashstyle="solid"/>
            </v:line>
            <v:rect style="position:absolute;left:2023;top:0;width:9;height:9" filled="true" fillcolor="#000000" stroked="false">
              <v:fill type="solid"/>
            </v:rect>
            <v:line style="position:absolute" from="2032,4" to="3938,4" stroked="true" strokeweight=".40299pt" strokecolor="#000000">
              <v:stroke dashstyle="solid"/>
            </v:line>
            <v:rect style="position:absolute;left:3938;top:0;width:9;height:9" filled="true" fillcolor="#000000" stroked="false">
              <v:fill type="solid"/>
            </v:rect>
            <v:line style="position:absolute" from="3946,4" to="4944,4" stroked="true" strokeweight=".40299pt" strokecolor="#000000">
              <v:stroke dashstyle="solid"/>
            </v:line>
            <v:rect style="position:absolute;left:4944;top:0;width:9;height:9" filled="true" fillcolor="#000000" stroked="false">
              <v:fill type="solid"/>
            </v:rect>
            <v:line style="position:absolute" from="4952,4" to="5950,4" stroked="true" strokeweight=".40299pt" strokecolor="#000000">
              <v:stroke dashstyle="solid"/>
            </v:line>
            <v:rect style="position:absolute;left:5949;top:0;width:9;height:9" filled="true" fillcolor="#000000" stroked="false">
              <v:fill type="solid"/>
            </v:rect>
            <v:line style="position:absolute" from="5958,4" to="6986,4" stroked="true" strokeweight=".40299pt" strokecolor="#000000">
              <v:stroke dashstyle="solid"/>
            </v:line>
          </v:group>
        </w:pict>
      </w:r>
      <w:r>
        <w:rPr>
          <w:sz w:val="2"/>
        </w:rPr>
      </w:r>
    </w:p>
    <w:p>
      <w:pPr>
        <w:pStyle w:val="BodyText"/>
        <w:spacing w:before="7"/>
        <w:rPr>
          <w:sz w:val="10"/>
        </w:rPr>
      </w:pPr>
    </w:p>
    <w:p>
      <w:pPr>
        <w:pStyle w:val="BodyText"/>
        <w:spacing w:line="242" w:lineRule="auto" w:before="61"/>
        <w:ind w:left="2096" w:right="1139" w:firstLine="594"/>
        <w:jc w:val="both"/>
      </w:pPr>
      <w:r>
        <w:rPr/>
        <w:t>Asimismo, y por la importancia cuantitativa del número de operaciones tramitadas, cabe destacar que, en la Consejería de Agricultura, Ganadería y Pesca de 544 operaciones correspondientes a encargos a medios propios, fueron objeto de revisión 20 y en la Consejería de Derechos Sociales, Igualdad, Diversidad y Juventud, de 347 operaciones relativas a convenios se revisó una.</w:t>
      </w:r>
    </w:p>
    <w:p>
      <w:pPr>
        <w:pStyle w:val="BodyText"/>
        <w:spacing w:before="4"/>
        <w:rPr>
          <w:sz w:val="16"/>
        </w:rPr>
      </w:pPr>
    </w:p>
    <w:p>
      <w:pPr>
        <w:pStyle w:val="BodyText"/>
        <w:spacing w:before="1"/>
        <w:ind w:left="2096" w:right="1142" w:firstLine="594"/>
        <w:jc w:val="both"/>
      </w:pPr>
      <w:r>
        <w:rPr/>
        <w:t>Por otro lado, señalar la limitación que existe en cuanto a conocer el porcentaje de crédito objeto de revisión, al no constar en los informes los importes de crédito correspondiente al total de operaciones y al de las revisadas.</w:t>
      </w:r>
    </w:p>
    <w:p>
      <w:pPr>
        <w:pStyle w:val="BodyText"/>
        <w:spacing w:before="11"/>
        <w:rPr>
          <w:sz w:val="16"/>
        </w:rPr>
      </w:pPr>
    </w:p>
    <w:p>
      <w:pPr>
        <w:pStyle w:val="BodyText"/>
        <w:ind w:left="2096" w:right="1144" w:firstLine="594"/>
        <w:jc w:val="both"/>
      </w:pPr>
      <w:r>
        <w:rPr/>
        <w:t>Atendiendo a la naturaleza de las deficiencias señaladas en los informes de CFP y del general de función interventora, hay que</w:t>
      </w:r>
      <w:r>
        <w:rPr>
          <w:spacing w:val="-1"/>
        </w:rPr>
        <w:t> </w:t>
      </w:r>
      <w:r>
        <w:rPr/>
        <w:t>destacar:</w:t>
      </w:r>
    </w:p>
    <w:p>
      <w:pPr>
        <w:pStyle w:val="BodyText"/>
        <w:spacing w:before="10"/>
        <w:rPr>
          <w:sz w:val="11"/>
        </w:rPr>
      </w:pPr>
    </w:p>
    <w:p>
      <w:pPr>
        <w:pStyle w:val="ListParagraph"/>
        <w:numPr>
          <w:ilvl w:val="0"/>
          <w:numId w:val="9"/>
        </w:numPr>
        <w:tabs>
          <w:tab w:pos="2690" w:val="left" w:leader="none"/>
          <w:tab w:pos="2691" w:val="left" w:leader="none"/>
        </w:tabs>
        <w:spacing w:line="240" w:lineRule="auto" w:before="60" w:after="0"/>
        <w:ind w:left="2690" w:right="0" w:hanging="357"/>
        <w:jc w:val="left"/>
        <w:rPr>
          <w:sz w:val="20"/>
        </w:rPr>
      </w:pPr>
      <w:r>
        <w:rPr>
          <w:sz w:val="20"/>
        </w:rPr>
        <w:t>Contratación administrativa</w:t>
      </w:r>
    </w:p>
    <w:p>
      <w:pPr>
        <w:pStyle w:val="ListParagraph"/>
        <w:numPr>
          <w:ilvl w:val="1"/>
          <w:numId w:val="9"/>
        </w:numPr>
        <w:tabs>
          <w:tab w:pos="3285" w:val="left" w:leader="none"/>
          <w:tab w:pos="3286" w:val="left" w:leader="none"/>
        </w:tabs>
        <w:spacing w:line="240" w:lineRule="auto" w:before="103" w:after="0"/>
        <w:ind w:left="3285" w:right="0" w:hanging="596"/>
        <w:jc w:val="left"/>
        <w:rPr>
          <w:sz w:val="20"/>
        </w:rPr>
      </w:pPr>
      <w:r>
        <w:rPr>
          <w:sz w:val="20"/>
        </w:rPr>
        <w:t>Falta de planificación de la actividad</w:t>
      </w:r>
      <w:r>
        <w:rPr>
          <w:spacing w:val="-2"/>
          <w:sz w:val="20"/>
        </w:rPr>
        <w:t> </w:t>
      </w:r>
      <w:r>
        <w:rPr>
          <w:sz w:val="20"/>
        </w:rPr>
        <w:t>contractual</w:t>
      </w:r>
    </w:p>
    <w:p>
      <w:pPr>
        <w:pStyle w:val="ListParagraph"/>
        <w:numPr>
          <w:ilvl w:val="1"/>
          <w:numId w:val="9"/>
        </w:numPr>
        <w:tabs>
          <w:tab w:pos="3285" w:val="left" w:leader="none"/>
          <w:tab w:pos="3286" w:val="left" w:leader="none"/>
        </w:tabs>
        <w:spacing w:line="240" w:lineRule="auto" w:before="103" w:after="0"/>
        <w:ind w:left="3285" w:right="0" w:hanging="596"/>
        <w:jc w:val="left"/>
        <w:rPr>
          <w:sz w:val="20"/>
        </w:rPr>
      </w:pPr>
      <w:r>
        <w:rPr>
          <w:sz w:val="20"/>
        </w:rPr>
        <w:t>Deficiencias</w:t>
      </w:r>
      <w:r>
        <w:rPr>
          <w:spacing w:val="1"/>
          <w:sz w:val="20"/>
        </w:rPr>
        <w:t> </w:t>
      </w:r>
      <w:r>
        <w:rPr>
          <w:sz w:val="20"/>
        </w:rPr>
        <w:t>en:</w:t>
      </w:r>
    </w:p>
    <w:p>
      <w:pPr>
        <w:pStyle w:val="ListParagraph"/>
        <w:numPr>
          <w:ilvl w:val="2"/>
          <w:numId w:val="9"/>
        </w:numPr>
        <w:tabs>
          <w:tab w:pos="3926" w:val="left" w:leader="none"/>
          <w:tab w:pos="3927" w:val="left" w:leader="none"/>
        </w:tabs>
        <w:spacing w:line="240" w:lineRule="auto" w:before="102" w:after="0"/>
        <w:ind w:left="3926" w:right="0" w:hanging="997"/>
        <w:jc w:val="left"/>
        <w:rPr>
          <w:sz w:val="20"/>
        </w:rPr>
      </w:pPr>
      <w:r>
        <w:rPr>
          <w:sz w:val="20"/>
        </w:rPr>
        <w:t>Tramitación del</w:t>
      </w:r>
      <w:r>
        <w:rPr>
          <w:spacing w:val="-1"/>
          <w:sz w:val="20"/>
        </w:rPr>
        <w:t> </w:t>
      </w:r>
      <w:r>
        <w:rPr>
          <w:sz w:val="20"/>
        </w:rPr>
        <w:t>procedimiento</w:t>
      </w:r>
    </w:p>
    <w:p>
      <w:pPr>
        <w:pStyle w:val="ListParagraph"/>
        <w:numPr>
          <w:ilvl w:val="2"/>
          <w:numId w:val="9"/>
        </w:numPr>
        <w:tabs>
          <w:tab w:pos="3880" w:val="left" w:leader="none"/>
          <w:tab w:pos="3881" w:val="left" w:leader="none"/>
        </w:tabs>
        <w:spacing w:line="240" w:lineRule="auto" w:before="103" w:after="0"/>
        <w:ind w:left="3880" w:right="0" w:hanging="951"/>
        <w:jc w:val="left"/>
        <w:rPr>
          <w:sz w:val="20"/>
        </w:rPr>
      </w:pPr>
      <w:r>
        <w:rPr>
          <w:sz w:val="20"/>
        </w:rPr>
        <w:t>Criterios de solvencia</w:t>
      </w:r>
    </w:p>
    <w:p>
      <w:pPr>
        <w:pStyle w:val="BodyText"/>
        <w:spacing w:before="24"/>
        <w:ind w:left="9035"/>
      </w:pPr>
      <w:r>
        <w:rPr/>
        <w:t>22</w:t>
      </w:r>
    </w:p>
    <w:p>
      <w:pPr>
        <w:pStyle w:val="Heading1"/>
        <w:spacing w:before="1"/>
        <w:ind w:left="5192"/>
        <w:jc w:val="left"/>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55" name="image5.png"/>
                  <wp:cNvGraphicFramePr>
                    <a:graphicFrameLocks noChangeAspect="1"/>
                  </wp:cNvGraphicFramePr>
                  <a:graphic>
                    <a:graphicData uri="http://schemas.openxmlformats.org/drawingml/2006/picture">
                      <pic:pic>
                        <pic:nvPicPr>
                          <pic:cNvPr id="5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24/247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2"/>
        <w:rPr>
          <w:b/>
          <w:sz w:val="9"/>
        </w:rPr>
      </w:pPr>
    </w:p>
    <w:p>
      <w:pPr>
        <w:pStyle w:val="ListParagraph"/>
        <w:numPr>
          <w:ilvl w:val="2"/>
          <w:numId w:val="9"/>
        </w:numPr>
        <w:tabs>
          <w:tab w:pos="3880" w:val="left" w:leader="none"/>
          <w:tab w:pos="3881" w:val="left" w:leader="none"/>
        </w:tabs>
        <w:spacing w:line="240" w:lineRule="auto" w:before="61" w:after="0"/>
        <w:ind w:left="3880" w:right="0" w:hanging="951"/>
        <w:jc w:val="left"/>
        <w:rPr>
          <w:sz w:val="20"/>
        </w:rPr>
      </w:pPr>
      <w:r>
        <w:rPr>
          <w:sz w:val="20"/>
        </w:rPr>
        <w:t>PCAP</w:t>
      </w:r>
    </w:p>
    <w:p>
      <w:pPr>
        <w:pStyle w:val="ListParagraph"/>
        <w:numPr>
          <w:ilvl w:val="2"/>
          <w:numId w:val="9"/>
        </w:numPr>
        <w:tabs>
          <w:tab w:pos="3880" w:val="left" w:leader="none"/>
          <w:tab w:pos="3881" w:val="left" w:leader="none"/>
        </w:tabs>
        <w:spacing w:line="240" w:lineRule="auto" w:before="103" w:after="0"/>
        <w:ind w:left="3880" w:right="0" w:hanging="951"/>
        <w:jc w:val="left"/>
        <w:rPr>
          <w:sz w:val="20"/>
        </w:rPr>
      </w:pPr>
      <w:r>
        <w:rPr>
          <w:sz w:val="20"/>
        </w:rPr>
        <w:t>Criterios de</w:t>
      </w:r>
      <w:r>
        <w:rPr>
          <w:spacing w:val="-2"/>
          <w:sz w:val="20"/>
        </w:rPr>
        <w:t> </w:t>
      </w:r>
      <w:r>
        <w:rPr>
          <w:sz w:val="20"/>
        </w:rPr>
        <w:t>adjudicación</w:t>
      </w:r>
    </w:p>
    <w:p>
      <w:pPr>
        <w:pStyle w:val="ListParagraph"/>
        <w:numPr>
          <w:ilvl w:val="2"/>
          <w:numId w:val="9"/>
        </w:numPr>
        <w:tabs>
          <w:tab w:pos="3880" w:val="left" w:leader="none"/>
          <w:tab w:pos="3881" w:val="left" w:leader="none"/>
        </w:tabs>
        <w:spacing w:line="240" w:lineRule="auto" w:before="102" w:after="0"/>
        <w:ind w:left="3880" w:right="0" w:hanging="951"/>
        <w:jc w:val="left"/>
        <w:rPr>
          <w:sz w:val="20"/>
        </w:rPr>
      </w:pPr>
      <w:r>
        <w:rPr>
          <w:sz w:val="20"/>
        </w:rPr>
        <w:t>Ofertas</w:t>
      </w:r>
      <w:r>
        <w:rPr>
          <w:spacing w:val="-2"/>
          <w:sz w:val="20"/>
        </w:rPr>
        <w:t> </w:t>
      </w:r>
      <w:r>
        <w:rPr>
          <w:sz w:val="20"/>
        </w:rPr>
        <w:t>presentadas</w:t>
      </w:r>
    </w:p>
    <w:p>
      <w:pPr>
        <w:pStyle w:val="ListParagraph"/>
        <w:numPr>
          <w:ilvl w:val="1"/>
          <w:numId w:val="9"/>
        </w:numPr>
        <w:tabs>
          <w:tab w:pos="3287" w:val="left" w:leader="none"/>
          <w:tab w:pos="3288" w:val="left" w:leader="none"/>
        </w:tabs>
        <w:spacing w:line="240" w:lineRule="auto" w:before="103" w:after="0"/>
        <w:ind w:left="3287" w:right="0" w:hanging="598"/>
        <w:jc w:val="left"/>
        <w:rPr>
          <w:sz w:val="20"/>
        </w:rPr>
      </w:pPr>
      <w:r>
        <w:rPr>
          <w:sz w:val="20"/>
        </w:rPr>
        <w:t>Utilización incorrecta de la contratación menor</w:t>
      </w:r>
    </w:p>
    <w:p>
      <w:pPr>
        <w:pStyle w:val="ListParagraph"/>
        <w:numPr>
          <w:ilvl w:val="0"/>
          <w:numId w:val="9"/>
        </w:numPr>
        <w:tabs>
          <w:tab w:pos="2690" w:val="left" w:leader="none"/>
          <w:tab w:pos="2691" w:val="left" w:leader="none"/>
        </w:tabs>
        <w:spacing w:line="240" w:lineRule="auto" w:before="102" w:after="0"/>
        <w:ind w:left="2690" w:right="1143" w:hanging="357"/>
        <w:jc w:val="left"/>
        <w:rPr>
          <w:sz w:val="20"/>
        </w:rPr>
      </w:pPr>
      <w:r>
        <w:rPr>
          <w:sz w:val="20"/>
        </w:rPr>
        <w:t>Contratación patrimonial. Inexistencia de acreditación de crédito adecuado y suficiente</w:t>
      </w:r>
    </w:p>
    <w:p>
      <w:pPr>
        <w:pStyle w:val="ListParagraph"/>
        <w:numPr>
          <w:ilvl w:val="0"/>
          <w:numId w:val="9"/>
        </w:numPr>
        <w:tabs>
          <w:tab w:pos="2690" w:val="left" w:leader="none"/>
          <w:tab w:pos="2691" w:val="left" w:leader="none"/>
        </w:tabs>
        <w:spacing w:line="240" w:lineRule="auto" w:before="104" w:after="0"/>
        <w:ind w:left="2690" w:right="0" w:hanging="357"/>
        <w:jc w:val="left"/>
        <w:rPr>
          <w:sz w:val="20"/>
        </w:rPr>
      </w:pPr>
      <w:r>
        <w:rPr>
          <w:sz w:val="20"/>
        </w:rPr>
        <w:t>Encargos a medios propios</w:t>
      </w:r>
    </w:p>
    <w:p>
      <w:pPr>
        <w:pStyle w:val="ListParagraph"/>
        <w:numPr>
          <w:ilvl w:val="1"/>
          <w:numId w:val="9"/>
        </w:numPr>
        <w:tabs>
          <w:tab w:pos="3287" w:val="left" w:leader="none"/>
          <w:tab w:pos="3288" w:val="left" w:leader="none"/>
        </w:tabs>
        <w:spacing w:line="244" w:lineRule="auto" w:before="103" w:after="0"/>
        <w:ind w:left="3287" w:right="1141" w:hanging="597"/>
        <w:jc w:val="left"/>
        <w:rPr>
          <w:sz w:val="20"/>
        </w:rPr>
      </w:pPr>
      <w:r>
        <w:rPr>
          <w:sz w:val="20"/>
        </w:rPr>
        <w:t>Justificación del encargo por falta de medios, no por ser más eficiente y eficaz que la contratación</w:t>
      </w:r>
      <w:r>
        <w:rPr>
          <w:spacing w:val="1"/>
          <w:sz w:val="20"/>
        </w:rPr>
        <w:t> </w:t>
      </w:r>
      <w:r>
        <w:rPr>
          <w:sz w:val="20"/>
        </w:rPr>
        <w:t>pública</w:t>
      </w:r>
    </w:p>
    <w:p>
      <w:pPr>
        <w:pStyle w:val="ListParagraph"/>
        <w:numPr>
          <w:ilvl w:val="1"/>
          <w:numId w:val="9"/>
        </w:numPr>
        <w:tabs>
          <w:tab w:pos="3285" w:val="left" w:leader="none"/>
          <w:tab w:pos="3286" w:val="left" w:leader="none"/>
        </w:tabs>
        <w:spacing w:line="240" w:lineRule="auto" w:before="97" w:after="0"/>
        <w:ind w:left="3285" w:right="0" w:hanging="596"/>
        <w:jc w:val="left"/>
        <w:rPr>
          <w:sz w:val="20"/>
        </w:rPr>
      </w:pPr>
      <w:r>
        <w:rPr>
          <w:sz w:val="20"/>
        </w:rPr>
        <w:t>Ausencia del presupuesto de las actuaciones a</w:t>
      </w:r>
      <w:r>
        <w:rPr>
          <w:spacing w:val="16"/>
          <w:sz w:val="20"/>
        </w:rPr>
        <w:t> </w:t>
      </w:r>
      <w:r>
        <w:rPr>
          <w:sz w:val="20"/>
        </w:rPr>
        <w:t>realizar</w:t>
      </w:r>
    </w:p>
    <w:p>
      <w:pPr>
        <w:pStyle w:val="ListParagraph"/>
        <w:numPr>
          <w:ilvl w:val="1"/>
          <w:numId w:val="9"/>
        </w:numPr>
        <w:tabs>
          <w:tab w:pos="3285" w:val="left" w:leader="none"/>
          <w:tab w:pos="3286" w:val="left" w:leader="none"/>
        </w:tabs>
        <w:spacing w:line="240" w:lineRule="auto" w:before="102" w:after="0"/>
        <w:ind w:left="3285" w:right="0" w:hanging="596"/>
        <w:jc w:val="left"/>
        <w:rPr>
          <w:sz w:val="20"/>
        </w:rPr>
      </w:pPr>
      <w:r>
        <w:rPr>
          <w:sz w:val="20"/>
        </w:rPr>
        <w:t>Encargo de prestaciones no recogidas en el objeto</w:t>
      </w:r>
      <w:r>
        <w:rPr>
          <w:spacing w:val="-2"/>
          <w:sz w:val="20"/>
        </w:rPr>
        <w:t> </w:t>
      </w:r>
      <w:r>
        <w:rPr>
          <w:sz w:val="20"/>
        </w:rPr>
        <w:t>social</w:t>
      </w:r>
    </w:p>
    <w:p>
      <w:pPr>
        <w:pStyle w:val="ListParagraph"/>
        <w:numPr>
          <w:ilvl w:val="0"/>
          <w:numId w:val="9"/>
        </w:numPr>
        <w:tabs>
          <w:tab w:pos="2690" w:val="left" w:leader="none"/>
          <w:tab w:pos="2691" w:val="left" w:leader="none"/>
        </w:tabs>
        <w:spacing w:line="240" w:lineRule="auto" w:before="102" w:after="0"/>
        <w:ind w:left="2690" w:right="0" w:hanging="357"/>
        <w:jc w:val="left"/>
        <w:rPr>
          <w:sz w:val="20"/>
        </w:rPr>
      </w:pPr>
      <w:r>
        <w:rPr>
          <w:sz w:val="20"/>
        </w:rPr>
        <w:t>Subvenciones y aportaciones</w:t>
      </w:r>
      <w:r>
        <w:rPr>
          <w:spacing w:val="-2"/>
          <w:sz w:val="20"/>
        </w:rPr>
        <w:t> </w:t>
      </w:r>
      <w:r>
        <w:rPr>
          <w:sz w:val="20"/>
        </w:rPr>
        <w:t>dinerarias</w:t>
      </w:r>
    </w:p>
    <w:p>
      <w:pPr>
        <w:pStyle w:val="ListParagraph"/>
        <w:numPr>
          <w:ilvl w:val="1"/>
          <w:numId w:val="9"/>
        </w:numPr>
        <w:tabs>
          <w:tab w:pos="3288" w:val="left" w:leader="none"/>
        </w:tabs>
        <w:spacing w:line="240" w:lineRule="auto" w:before="103" w:after="0"/>
        <w:ind w:left="3287" w:right="1141" w:hanging="597"/>
        <w:jc w:val="both"/>
        <w:rPr>
          <w:sz w:val="20"/>
        </w:rPr>
      </w:pPr>
      <w:r>
        <w:rPr>
          <w:sz w:val="20"/>
        </w:rPr>
        <w:t>Injustificada utilización del procedimiento excepcional de concesión directa</w:t>
      </w:r>
    </w:p>
    <w:p>
      <w:pPr>
        <w:pStyle w:val="ListParagraph"/>
        <w:numPr>
          <w:ilvl w:val="1"/>
          <w:numId w:val="9"/>
        </w:numPr>
        <w:tabs>
          <w:tab w:pos="3288" w:val="left" w:leader="none"/>
        </w:tabs>
        <w:spacing w:line="240" w:lineRule="auto" w:before="104" w:after="0"/>
        <w:ind w:left="3287" w:right="1141" w:hanging="597"/>
        <w:jc w:val="both"/>
        <w:rPr>
          <w:sz w:val="20"/>
        </w:rPr>
      </w:pPr>
      <w:r>
        <w:rPr>
          <w:sz w:val="20"/>
        </w:rPr>
        <w:t>Convocatoria con omisión del contenido mínimo establecido en el Decreto</w:t>
      </w:r>
      <w:r>
        <w:rPr>
          <w:spacing w:val="1"/>
          <w:sz w:val="20"/>
        </w:rPr>
        <w:t> </w:t>
      </w:r>
      <w:r>
        <w:rPr>
          <w:sz w:val="20"/>
        </w:rPr>
        <w:t>36/2009</w:t>
      </w:r>
    </w:p>
    <w:p>
      <w:pPr>
        <w:pStyle w:val="ListParagraph"/>
        <w:numPr>
          <w:ilvl w:val="1"/>
          <w:numId w:val="9"/>
        </w:numPr>
        <w:tabs>
          <w:tab w:pos="3288" w:val="left" w:leader="none"/>
        </w:tabs>
        <w:spacing w:line="242" w:lineRule="auto" w:before="104" w:after="0"/>
        <w:ind w:left="3287" w:right="1136" w:hanging="597"/>
        <w:jc w:val="both"/>
        <w:rPr>
          <w:sz w:val="20"/>
        </w:rPr>
      </w:pPr>
      <w:r>
        <w:rPr>
          <w:sz w:val="20"/>
        </w:rPr>
        <w:t>Deficiencias en el plazo de justificación en ayudas sujetas al Decreto-ley 14/2021</w:t>
      </w:r>
    </w:p>
    <w:p>
      <w:pPr>
        <w:pStyle w:val="ListParagraph"/>
        <w:numPr>
          <w:ilvl w:val="1"/>
          <w:numId w:val="9"/>
        </w:numPr>
        <w:tabs>
          <w:tab w:pos="3288" w:val="left" w:leader="none"/>
        </w:tabs>
        <w:spacing w:line="240" w:lineRule="auto" w:before="100" w:after="0"/>
        <w:ind w:left="3287" w:right="1141" w:hanging="597"/>
        <w:jc w:val="both"/>
        <w:rPr>
          <w:sz w:val="20"/>
        </w:rPr>
      </w:pPr>
      <w:r>
        <w:rPr>
          <w:sz w:val="20"/>
        </w:rPr>
        <w:t>Ausencia del instrumento de planificación de Planificación Estratégica para la gestión de proyectos financiados con fondos “Next Generation EU”</w:t>
      </w:r>
    </w:p>
    <w:p>
      <w:pPr>
        <w:pStyle w:val="ListParagraph"/>
        <w:numPr>
          <w:ilvl w:val="0"/>
          <w:numId w:val="9"/>
        </w:numPr>
        <w:tabs>
          <w:tab w:pos="2691" w:val="left" w:leader="none"/>
        </w:tabs>
        <w:spacing w:line="240" w:lineRule="auto" w:before="106" w:after="0"/>
        <w:ind w:left="2690" w:right="0" w:hanging="357"/>
        <w:jc w:val="both"/>
        <w:rPr>
          <w:sz w:val="20"/>
        </w:rPr>
      </w:pPr>
      <w:r>
        <w:rPr>
          <w:sz w:val="20"/>
        </w:rPr>
        <w:t>Convenios</w:t>
      </w:r>
    </w:p>
    <w:p>
      <w:pPr>
        <w:pStyle w:val="ListParagraph"/>
        <w:numPr>
          <w:ilvl w:val="1"/>
          <w:numId w:val="9"/>
        </w:numPr>
        <w:tabs>
          <w:tab w:pos="3288" w:val="left" w:leader="none"/>
        </w:tabs>
        <w:spacing w:line="240" w:lineRule="auto" w:before="104" w:after="0"/>
        <w:ind w:left="3287" w:right="1143" w:hanging="597"/>
        <w:jc w:val="both"/>
        <w:rPr>
          <w:sz w:val="20"/>
        </w:rPr>
      </w:pPr>
      <w:r>
        <w:rPr>
          <w:sz w:val="20"/>
        </w:rPr>
        <w:t>Recurrente omisión de la autorización del Gobierno y, en su caso, del Pleno de la</w:t>
      </w:r>
      <w:r>
        <w:rPr>
          <w:spacing w:val="-1"/>
          <w:sz w:val="20"/>
        </w:rPr>
        <w:t> </w:t>
      </w:r>
      <w:r>
        <w:rPr>
          <w:sz w:val="20"/>
        </w:rPr>
        <w:t>Corporación</w:t>
      </w:r>
    </w:p>
    <w:p>
      <w:pPr>
        <w:pStyle w:val="ListParagraph"/>
        <w:numPr>
          <w:ilvl w:val="0"/>
          <w:numId w:val="9"/>
        </w:numPr>
        <w:tabs>
          <w:tab w:pos="2691" w:val="left" w:leader="none"/>
        </w:tabs>
        <w:spacing w:line="240" w:lineRule="auto" w:before="104" w:after="0"/>
        <w:ind w:left="2690" w:right="0" w:hanging="357"/>
        <w:jc w:val="both"/>
        <w:rPr>
          <w:sz w:val="20"/>
        </w:rPr>
      </w:pPr>
      <w:r>
        <w:rPr>
          <w:sz w:val="20"/>
        </w:rPr>
        <w:t>Nulidades</w:t>
      </w:r>
    </w:p>
    <w:p>
      <w:pPr>
        <w:pStyle w:val="ListParagraph"/>
        <w:numPr>
          <w:ilvl w:val="1"/>
          <w:numId w:val="9"/>
        </w:numPr>
        <w:tabs>
          <w:tab w:pos="3288" w:val="left" w:leader="none"/>
        </w:tabs>
        <w:spacing w:line="240" w:lineRule="auto" w:before="103" w:after="0"/>
        <w:ind w:left="3287" w:right="1139" w:hanging="597"/>
        <w:jc w:val="both"/>
        <w:rPr>
          <w:sz w:val="20"/>
        </w:rPr>
      </w:pPr>
      <w:r>
        <w:rPr>
          <w:sz w:val="20"/>
        </w:rPr>
        <w:t>Abono de rutas de transporte escolar sin tramitación de procedimiento administrativo</w:t>
      </w:r>
    </w:p>
    <w:p>
      <w:pPr>
        <w:pStyle w:val="ListParagraph"/>
        <w:numPr>
          <w:ilvl w:val="1"/>
          <w:numId w:val="9"/>
        </w:numPr>
        <w:tabs>
          <w:tab w:pos="3288" w:val="left" w:leader="none"/>
        </w:tabs>
        <w:spacing w:line="240" w:lineRule="auto" w:before="104" w:after="0"/>
        <w:ind w:left="3287" w:right="1141" w:hanging="597"/>
        <w:jc w:val="both"/>
        <w:rPr>
          <w:sz w:val="20"/>
        </w:rPr>
      </w:pPr>
      <w:r>
        <w:rPr>
          <w:sz w:val="20"/>
        </w:rPr>
        <w:t>Variación de rutas contratadas no se procede a la modificación del contrato</w:t>
      </w:r>
    </w:p>
    <w:p>
      <w:pPr>
        <w:pStyle w:val="ListParagraph"/>
        <w:numPr>
          <w:ilvl w:val="1"/>
          <w:numId w:val="9"/>
        </w:numPr>
        <w:tabs>
          <w:tab w:pos="3288" w:val="left" w:leader="none"/>
        </w:tabs>
        <w:spacing w:line="240" w:lineRule="auto" w:before="104" w:after="0"/>
        <w:ind w:left="3287" w:right="1139" w:hanging="597"/>
        <w:jc w:val="both"/>
        <w:rPr>
          <w:sz w:val="20"/>
        </w:rPr>
      </w:pPr>
      <w:r>
        <w:rPr>
          <w:sz w:val="20"/>
        </w:rPr>
        <w:t>Importante incremento en la Consejería de Transición Ecológica, Lucha contra</w:t>
      </w:r>
      <w:r>
        <w:rPr>
          <w:spacing w:val="-6"/>
          <w:sz w:val="20"/>
        </w:rPr>
        <w:t> </w:t>
      </w:r>
      <w:r>
        <w:rPr>
          <w:sz w:val="20"/>
        </w:rPr>
        <w:t>el</w:t>
      </w:r>
      <w:r>
        <w:rPr>
          <w:spacing w:val="-3"/>
          <w:sz w:val="20"/>
        </w:rPr>
        <w:t> </w:t>
      </w:r>
      <w:r>
        <w:rPr>
          <w:sz w:val="20"/>
        </w:rPr>
        <w:t>Cambio</w:t>
      </w:r>
      <w:r>
        <w:rPr>
          <w:spacing w:val="-3"/>
          <w:sz w:val="20"/>
        </w:rPr>
        <w:t> </w:t>
      </w:r>
      <w:r>
        <w:rPr>
          <w:sz w:val="20"/>
        </w:rPr>
        <w:t>Climático</w:t>
      </w:r>
      <w:r>
        <w:rPr>
          <w:spacing w:val="-4"/>
          <w:sz w:val="20"/>
        </w:rPr>
        <w:t> </w:t>
      </w:r>
      <w:r>
        <w:rPr>
          <w:sz w:val="20"/>
        </w:rPr>
        <w:t>y</w:t>
      </w:r>
      <w:r>
        <w:rPr>
          <w:spacing w:val="-4"/>
          <w:sz w:val="20"/>
        </w:rPr>
        <w:t> </w:t>
      </w:r>
      <w:r>
        <w:rPr>
          <w:sz w:val="20"/>
        </w:rPr>
        <w:t>Planificación</w:t>
      </w:r>
      <w:r>
        <w:rPr>
          <w:spacing w:val="-2"/>
          <w:sz w:val="20"/>
        </w:rPr>
        <w:t> </w:t>
      </w:r>
      <w:r>
        <w:rPr>
          <w:sz w:val="20"/>
        </w:rPr>
        <w:t>Territorial</w:t>
      </w:r>
      <w:r>
        <w:rPr>
          <w:spacing w:val="-3"/>
          <w:sz w:val="20"/>
        </w:rPr>
        <w:t> </w:t>
      </w:r>
      <w:r>
        <w:rPr>
          <w:sz w:val="20"/>
        </w:rPr>
        <w:t>y</w:t>
      </w:r>
      <w:r>
        <w:rPr>
          <w:spacing w:val="-5"/>
          <w:sz w:val="20"/>
        </w:rPr>
        <w:t> </w:t>
      </w:r>
      <w:r>
        <w:rPr>
          <w:sz w:val="20"/>
        </w:rPr>
        <w:t>en</w:t>
      </w:r>
      <w:r>
        <w:rPr>
          <w:spacing w:val="-2"/>
          <w:sz w:val="20"/>
        </w:rPr>
        <w:t> </w:t>
      </w:r>
      <w:r>
        <w:rPr>
          <w:sz w:val="20"/>
        </w:rPr>
        <w:t>la</w:t>
      </w:r>
      <w:r>
        <w:rPr>
          <w:spacing w:val="-3"/>
          <w:sz w:val="20"/>
        </w:rPr>
        <w:t> </w:t>
      </w:r>
      <w:r>
        <w:rPr>
          <w:sz w:val="20"/>
        </w:rPr>
        <w:t>Consejería</w:t>
      </w:r>
      <w:r>
        <w:rPr>
          <w:spacing w:val="-5"/>
          <w:sz w:val="20"/>
        </w:rPr>
        <w:t> </w:t>
      </w:r>
      <w:r>
        <w:rPr>
          <w:sz w:val="20"/>
        </w:rPr>
        <w:t>de Derechos</w:t>
      </w:r>
      <w:r>
        <w:rPr>
          <w:spacing w:val="16"/>
          <w:sz w:val="20"/>
        </w:rPr>
        <w:t> </w:t>
      </w:r>
      <w:r>
        <w:rPr>
          <w:sz w:val="20"/>
        </w:rPr>
        <w:t>Sociales,</w:t>
      </w:r>
      <w:r>
        <w:rPr>
          <w:spacing w:val="16"/>
          <w:sz w:val="20"/>
        </w:rPr>
        <w:t> </w:t>
      </w:r>
      <w:r>
        <w:rPr>
          <w:sz w:val="20"/>
        </w:rPr>
        <w:t>Igualdad,</w:t>
      </w:r>
      <w:r>
        <w:rPr>
          <w:spacing w:val="14"/>
          <w:sz w:val="20"/>
        </w:rPr>
        <w:t> </w:t>
      </w:r>
      <w:r>
        <w:rPr>
          <w:sz w:val="20"/>
        </w:rPr>
        <w:t>Diversidad</w:t>
      </w:r>
      <w:r>
        <w:rPr>
          <w:spacing w:val="17"/>
          <w:sz w:val="20"/>
        </w:rPr>
        <w:t> </w:t>
      </w:r>
      <w:r>
        <w:rPr>
          <w:sz w:val="20"/>
        </w:rPr>
        <w:t>y</w:t>
      </w:r>
      <w:r>
        <w:rPr>
          <w:spacing w:val="15"/>
          <w:sz w:val="20"/>
        </w:rPr>
        <w:t> </w:t>
      </w:r>
      <w:r>
        <w:rPr>
          <w:sz w:val="20"/>
        </w:rPr>
        <w:t>Juventud.</w:t>
      </w:r>
      <w:r>
        <w:rPr>
          <w:spacing w:val="16"/>
          <w:sz w:val="20"/>
        </w:rPr>
        <w:t> </w:t>
      </w:r>
      <w:r>
        <w:rPr>
          <w:sz w:val="20"/>
        </w:rPr>
        <w:t>así</w:t>
      </w:r>
      <w:r>
        <w:rPr>
          <w:spacing w:val="16"/>
          <w:sz w:val="20"/>
        </w:rPr>
        <w:t> </w:t>
      </w:r>
      <w:r>
        <w:rPr>
          <w:sz w:val="20"/>
        </w:rPr>
        <w:t>como</w:t>
      </w:r>
      <w:r>
        <w:rPr>
          <w:spacing w:val="15"/>
          <w:sz w:val="20"/>
        </w:rPr>
        <w:t> </w:t>
      </w:r>
      <w:r>
        <w:rPr>
          <w:sz w:val="20"/>
        </w:rPr>
        <w:t>en</w:t>
      </w:r>
      <w:r>
        <w:rPr>
          <w:spacing w:val="17"/>
          <w:sz w:val="20"/>
        </w:rPr>
        <w:t> </w:t>
      </w:r>
      <w:r>
        <w:rPr>
          <w:sz w:val="20"/>
        </w:rPr>
        <w:t>la</w:t>
      </w:r>
    </w:p>
    <w:p>
      <w:pPr>
        <w:pStyle w:val="BodyText"/>
        <w:spacing w:before="92"/>
        <w:ind w:right="1136"/>
        <w:jc w:val="right"/>
      </w:pPr>
      <w:r>
        <w:rPr/>
        <w:t>23</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57" name="image5.png"/>
                  <wp:cNvGraphicFramePr>
                    <a:graphicFrameLocks noChangeAspect="1"/>
                  </wp:cNvGraphicFramePr>
                  <a:graphic>
                    <a:graphicData uri="http://schemas.openxmlformats.org/drawingml/2006/picture">
                      <pic:pic>
                        <pic:nvPicPr>
                          <pic:cNvPr id="5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25/247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3287"/>
        <w:jc w:val="both"/>
      </w:pPr>
      <w:r>
        <w:rPr/>
        <w:t>Dirección General de Relaciones con la Administración de Justicia</w:t>
      </w:r>
    </w:p>
    <w:p>
      <w:pPr>
        <w:pStyle w:val="ListParagraph"/>
        <w:numPr>
          <w:ilvl w:val="1"/>
          <w:numId w:val="9"/>
        </w:numPr>
        <w:tabs>
          <w:tab w:pos="3288" w:val="left" w:leader="none"/>
        </w:tabs>
        <w:spacing w:line="240" w:lineRule="auto" w:before="103" w:after="0"/>
        <w:ind w:left="3287" w:right="1139" w:hanging="597"/>
        <w:jc w:val="both"/>
        <w:rPr>
          <w:sz w:val="20"/>
        </w:rPr>
      </w:pPr>
      <w:r>
        <w:rPr>
          <w:sz w:val="20"/>
        </w:rPr>
        <w:t>Abono de prestaciones en concepto de vigilancia y limpieza en la Consejería de Educación, Universidades, Cultura y Deportes y en la Dirección General de Patrimonio y Contratación, sin tramitación de procedimiento de contratación</w:t>
      </w:r>
    </w:p>
    <w:p>
      <w:pPr>
        <w:pStyle w:val="BodyText"/>
        <w:rPr>
          <w:sz w:val="17"/>
        </w:rPr>
      </w:pPr>
    </w:p>
    <w:p>
      <w:pPr>
        <w:pStyle w:val="BodyText"/>
        <w:spacing w:line="242" w:lineRule="auto"/>
        <w:ind w:left="2096" w:right="1140" w:firstLine="594"/>
        <w:jc w:val="both"/>
      </w:pPr>
      <w:r>
        <w:rPr/>
        <w:t>Si bien en la modalidad de función interventora las deficiencias provocan la paralización del procedimiento hasta su subsanación, en el control financiero permanente las deficiencias se recogen en el Plan de medidas a implementar en el ejercicio siguiente, los cuales, como se pone de manifiesto en los informes anuales, son cumplidos parcialmente.</w:t>
      </w:r>
    </w:p>
    <w:p>
      <w:pPr>
        <w:pStyle w:val="BodyText"/>
        <w:spacing w:before="5"/>
        <w:rPr>
          <w:sz w:val="16"/>
        </w:rPr>
      </w:pPr>
    </w:p>
    <w:p>
      <w:pPr>
        <w:pStyle w:val="Heading1"/>
        <w:numPr>
          <w:ilvl w:val="1"/>
          <w:numId w:val="7"/>
        </w:numPr>
        <w:tabs>
          <w:tab w:pos="2579" w:val="left" w:leader="none"/>
          <w:tab w:pos="2580" w:val="left" w:leader="none"/>
        </w:tabs>
        <w:spacing w:line="240" w:lineRule="auto" w:before="0" w:after="0"/>
        <w:ind w:left="2579" w:right="0" w:hanging="484"/>
        <w:jc w:val="left"/>
      </w:pPr>
      <w:r>
        <w:rPr>
          <w:color w:val="53A1B9"/>
        </w:rPr>
        <w:t>Perspectiva del</w:t>
      </w:r>
      <w:r>
        <w:rPr>
          <w:color w:val="53A1B9"/>
          <w:spacing w:val="-2"/>
        </w:rPr>
        <w:t> </w:t>
      </w:r>
      <w:r>
        <w:rPr>
          <w:color w:val="53A1B9"/>
        </w:rPr>
        <w:t>ciudadano.</w:t>
      </w:r>
    </w:p>
    <w:p>
      <w:pPr>
        <w:pStyle w:val="BodyText"/>
        <w:spacing w:before="8"/>
        <w:rPr>
          <w:b/>
          <w:sz w:val="16"/>
        </w:rPr>
      </w:pPr>
    </w:p>
    <w:p>
      <w:pPr>
        <w:pStyle w:val="BodyText"/>
        <w:ind w:left="2096" w:right="1144" w:firstLine="594"/>
        <w:jc w:val="both"/>
      </w:pPr>
      <w:r>
        <w:rPr/>
        <w:t>El órgano de control interno lleva a cabo la comprobación material del gasto, rindiendo información al Gobierno de los resultados obtenidos en la comprobación de obras.</w:t>
      </w:r>
    </w:p>
    <w:p>
      <w:pPr>
        <w:pStyle w:val="BodyText"/>
        <w:spacing w:before="8"/>
        <w:rPr>
          <w:sz w:val="16"/>
        </w:rPr>
      </w:pPr>
    </w:p>
    <w:p>
      <w:pPr>
        <w:pStyle w:val="BodyText"/>
        <w:ind w:left="2096" w:right="1138" w:firstLine="594"/>
        <w:jc w:val="both"/>
      </w:pPr>
      <w:r>
        <w:rPr/>
        <w:t>Conforme a lo establecido por el Gobierno</w:t>
      </w:r>
      <w:r>
        <w:rPr>
          <w:position w:val="7"/>
          <w:sz w:val="13"/>
        </w:rPr>
        <w:t>6 </w:t>
      </w:r>
      <w:r>
        <w:rPr/>
        <w:t>y en base a las Resoluciones de la IGCAC</w:t>
      </w:r>
      <w:r>
        <w:rPr>
          <w:position w:val="7"/>
          <w:sz w:val="13"/>
        </w:rPr>
        <w:t>7 </w:t>
      </w:r>
      <w:r>
        <w:rPr/>
        <w:t>, el 14 de abril de 2023 el órgano de control interno emite informe en el que pone</w:t>
      </w:r>
      <w:r>
        <w:rPr>
          <w:spacing w:val="-7"/>
        </w:rPr>
        <w:t> </w:t>
      </w:r>
      <w:r>
        <w:rPr/>
        <w:t>de</w:t>
      </w:r>
      <w:r>
        <w:rPr>
          <w:spacing w:val="-5"/>
        </w:rPr>
        <w:t> </w:t>
      </w:r>
      <w:r>
        <w:rPr/>
        <w:t>manifiesto,</w:t>
      </w:r>
      <w:r>
        <w:rPr>
          <w:spacing w:val="-7"/>
        </w:rPr>
        <w:t> </w:t>
      </w:r>
      <w:r>
        <w:rPr/>
        <w:t>tanto</w:t>
      </w:r>
      <w:r>
        <w:rPr>
          <w:spacing w:val="-5"/>
        </w:rPr>
        <w:t> </w:t>
      </w:r>
      <w:r>
        <w:rPr/>
        <w:t>las</w:t>
      </w:r>
      <w:r>
        <w:rPr>
          <w:spacing w:val="-5"/>
        </w:rPr>
        <w:t> </w:t>
      </w:r>
      <w:r>
        <w:rPr/>
        <w:t>limitaciones</w:t>
      </w:r>
      <w:r>
        <w:rPr>
          <w:spacing w:val="-5"/>
        </w:rPr>
        <w:t> </w:t>
      </w:r>
      <w:r>
        <w:rPr/>
        <w:t>al</w:t>
      </w:r>
      <w:r>
        <w:rPr>
          <w:spacing w:val="-5"/>
        </w:rPr>
        <w:t> </w:t>
      </w:r>
      <w:r>
        <w:rPr/>
        <w:t>desarrollo</w:t>
      </w:r>
      <w:r>
        <w:rPr>
          <w:spacing w:val="-4"/>
        </w:rPr>
        <w:t> </w:t>
      </w:r>
      <w:r>
        <w:rPr/>
        <w:t>de</w:t>
      </w:r>
      <w:r>
        <w:rPr>
          <w:spacing w:val="-5"/>
        </w:rPr>
        <w:t> </w:t>
      </w:r>
      <w:r>
        <w:rPr/>
        <w:t>las</w:t>
      </w:r>
      <w:r>
        <w:rPr>
          <w:spacing w:val="-5"/>
        </w:rPr>
        <w:t> </w:t>
      </w:r>
      <w:r>
        <w:rPr/>
        <w:t>funciones</w:t>
      </w:r>
      <w:r>
        <w:rPr>
          <w:spacing w:val="-7"/>
        </w:rPr>
        <w:t> </w:t>
      </w:r>
      <w:r>
        <w:rPr/>
        <w:t>de</w:t>
      </w:r>
      <w:r>
        <w:rPr>
          <w:spacing w:val="-7"/>
        </w:rPr>
        <w:t> </w:t>
      </w:r>
      <w:r>
        <w:rPr/>
        <w:t>control</w:t>
      </w:r>
      <w:r>
        <w:rPr>
          <w:spacing w:val="-5"/>
        </w:rPr>
        <w:t> </w:t>
      </w:r>
      <w:r>
        <w:rPr/>
        <w:t>como las deficiencias generalizadas detectadas y recoge la situación, a 31 de diciembre de 2022,</w:t>
      </w:r>
      <w:r>
        <w:rPr>
          <w:spacing w:val="-6"/>
        </w:rPr>
        <w:t> </w:t>
      </w:r>
      <w:r>
        <w:rPr/>
        <w:t>de</w:t>
      </w:r>
      <w:r>
        <w:rPr>
          <w:spacing w:val="-5"/>
        </w:rPr>
        <w:t> </w:t>
      </w:r>
      <w:r>
        <w:rPr/>
        <w:t>337</w:t>
      </w:r>
      <w:r>
        <w:rPr>
          <w:spacing w:val="-3"/>
        </w:rPr>
        <w:t> </w:t>
      </w:r>
      <w:r>
        <w:rPr/>
        <w:t>actuaciones</w:t>
      </w:r>
      <w:r>
        <w:rPr>
          <w:spacing w:val="-4"/>
        </w:rPr>
        <w:t> </w:t>
      </w:r>
      <w:r>
        <w:rPr/>
        <w:t>abiertas,</w:t>
      </w:r>
      <w:r>
        <w:rPr>
          <w:spacing w:val="-4"/>
        </w:rPr>
        <w:t> </w:t>
      </w:r>
      <w:r>
        <w:rPr/>
        <w:t>en</w:t>
      </w:r>
      <w:r>
        <w:rPr>
          <w:spacing w:val="-3"/>
        </w:rPr>
        <w:t> </w:t>
      </w:r>
      <w:r>
        <w:rPr/>
        <w:t>las</w:t>
      </w:r>
      <w:r>
        <w:rPr>
          <w:spacing w:val="-5"/>
        </w:rPr>
        <w:t> </w:t>
      </w:r>
      <w:r>
        <w:rPr/>
        <w:t>que</w:t>
      </w:r>
      <w:r>
        <w:rPr>
          <w:spacing w:val="-3"/>
        </w:rPr>
        <w:t> </w:t>
      </w:r>
      <w:r>
        <w:rPr/>
        <w:t>se</w:t>
      </w:r>
      <w:r>
        <w:rPr>
          <w:spacing w:val="-6"/>
        </w:rPr>
        <w:t> </w:t>
      </w:r>
      <w:r>
        <w:rPr/>
        <w:t>incluyen</w:t>
      </w:r>
      <w:r>
        <w:rPr>
          <w:spacing w:val="-5"/>
        </w:rPr>
        <w:t> </w:t>
      </w:r>
      <w:r>
        <w:rPr/>
        <w:t>las</w:t>
      </w:r>
      <w:r>
        <w:rPr>
          <w:spacing w:val="-3"/>
        </w:rPr>
        <w:t> </w:t>
      </w:r>
      <w:r>
        <w:rPr/>
        <w:t>iniciadas</w:t>
      </w:r>
      <w:r>
        <w:rPr>
          <w:spacing w:val="-5"/>
        </w:rPr>
        <w:t> </w:t>
      </w:r>
      <w:r>
        <w:rPr/>
        <w:t>desde</w:t>
      </w:r>
      <w:r>
        <w:rPr>
          <w:spacing w:val="-4"/>
        </w:rPr>
        <w:t> </w:t>
      </w:r>
      <w:r>
        <w:rPr/>
        <w:t>el</w:t>
      </w:r>
      <w:r>
        <w:rPr>
          <w:spacing w:val="-5"/>
        </w:rPr>
        <w:t> </w:t>
      </w:r>
      <w:r>
        <w:rPr/>
        <w:t>año</w:t>
      </w:r>
      <w:r>
        <w:rPr>
          <w:spacing w:val="-3"/>
        </w:rPr>
        <w:t> </w:t>
      </w:r>
      <w:r>
        <w:rPr/>
        <w:t>2008 y que a la fecha de emisión del informe no habían sido subsanadas por los órganos gestores.</w:t>
      </w:r>
    </w:p>
    <w:p>
      <w:pPr>
        <w:pStyle w:val="BodyText"/>
        <w:spacing w:before="3"/>
        <w:rPr>
          <w:sz w:val="17"/>
        </w:rPr>
      </w:pPr>
    </w:p>
    <w:p>
      <w:pPr>
        <w:pStyle w:val="BodyText"/>
        <w:spacing w:line="242" w:lineRule="auto"/>
        <w:ind w:left="2096" w:right="1141" w:firstLine="594"/>
        <w:jc w:val="both"/>
      </w:pPr>
      <w:r>
        <w:rPr/>
        <w:pict>
          <v:shape style="position:absolute;margin-left:142.816818pt;margin-top:93.346786pt;width:120.95pt;height:.1pt;mso-position-horizontal-relative:page;mso-position-vertical-relative:paragraph;z-index:-251633664;mso-wrap-distance-left:0;mso-wrap-distance-right:0" coordorigin="2856,1867" coordsize="2419,0" path="m2856,1867l5275,1867e" filled="false" stroked="true" strokeweight=".604535pt" strokecolor="#000000">
            <v:path arrowok="t"/>
            <v:stroke dashstyle="solid"/>
            <w10:wrap type="topAndBottom"/>
          </v:shape>
        </w:pict>
      </w:r>
      <w:r>
        <w:rPr/>
        <w:t>Como ya se ha manifestado en anteriores fiscalizaciones, en dicho informe se ponen de manifiesto una serie de actuaciones incorrectas que pudieran tener un efecto negativo para la Administración de la CAC, referidas no solo a la demora relativa a la comprobación y resolución de incidencias, sino también con relación a la ejecución de la obra en si misma (cumplimiento de la norma en la redacción de proyectos, plazos de ejecución, modificaciones de contratos, entre otras). No obstante, y si bien el informe de</w:t>
      </w:r>
      <w:r>
        <w:rPr>
          <w:spacing w:val="-4"/>
        </w:rPr>
        <w:t> </w:t>
      </w:r>
      <w:r>
        <w:rPr/>
        <w:t>la</w:t>
      </w:r>
      <w:r>
        <w:rPr>
          <w:spacing w:val="-3"/>
        </w:rPr>
        <w:t> </w:t>
      </w:r>
      <w:r>
        <w:rPr/>
        <w:t>IGCAC</w:t>
      </w:r>
      <w:r>
        <w:rPr>
          <w:spacing w:val="-4"/>
        </w:rPr>
        <w:t> </w:t>
      </w:r>
      <w:r>
        <w:rPr/>
        <w:t>no</w:t>
      </w:r>
      <w:r>
        <w:rPr>
          <w:spacing w:val="-3"/>
        </w:rPr>
        <w:t> </w:t>
      </w:r>
      <w:r>
        <w:rPr/>
        <w:t>recoge</w:t>
      </w:r>
      <w:r>
        <w:rPr>
          <w:spacing w:val="-4"/>
        </w:rPr>
        <w:t> </w:t>
      </w:r>
      <w:r>
        <w:rPr/>
        <w:t>la</w:t>
      </w:r>
      <w:r>
        <w:rPr>
          <w:spacing w:val="-3"/>
        </w:rPr>
        <w:t> </w:t>
      </w:r>
      <w:r>
        <w:rPr/>
        <w:t>información</w:t>
      </w:r>
      <w:r>
        <w:rPr>
          <w:spacing w:val="-2"/>
        </w:rPr>
        <w:t> </w:t>
      </w:r>
      <w:r>
        <w:rPr/>
        <w:t>correspondiente</w:t>
      </w:r>
      <w:r>
        <w:rPr>
          <w:spacing w:val="-6"/>
        </w:rPr>
        <w:t> </w:t>
      </w:r>
      <w:r>
        <w:rPr/>
        <w:t>a</w:t>
      </w:r>
      <w:r>
        <w:rPr>
          <w:spacing w:val="-3"/>
        </w:rPr>
        <w:t> </w:t>
      </w:r>
      <w:r>
        <w:rPr/>
        <w:t>las</w:t>
      </w:r>
      <w:r>
        <w:rPr>
          <w:spacing w:val="-4"/>
        </w:rPr>
        <w:t> </w:t>
      </w:r>
      <w:r>
        <w:rPr/>
        <w:t>que</w:t>
      </w:r>
      <w:r>
        <w:rPr>
          <w:spacing w:val="-5"/>
        </w:rPr>
        <w:t> </w:t>
      </w:r>
      <w:r>
        <w:rPr/>
        <w:t>fueron</w:t>
      </w:r>
      <w:r>
        <w:rPr>
          <w:spacing w:val="-5"/>
        </w:rPr>
        <w:t> </w:t>
      </w:r>
      <w:r>
        <w:rPr/>
        <w:t>dadas</w:t>
      </w:r>
      <w:r>
        <w:rPr>
          <w:spacing w:val="-3"/>
        </w:rPr>
        <w:t> </w:t>
      </w:r>
      <w:r>
        <w:rPr/>
        <w:t>de</w:t>
      </w:r>
      <w:r>
        <w:rPr>
          <w:spacing w:val="-5"/>
        </w:rPr>
        <w:t> </w:t>
      </w:r>
      <w:r>
        <w:rPr/>
        <w:t>baja</w:t>
      </w:r>
      <w:r>
        <w:rPr>
          <w:spacing w:val="-4"/>
        </w:rPr>
        <w:t> </w:t>
      </w:r>
      <w:r>
        <w:rPr/>
        <w:t>en</w:t>
      </w:r>
    </w:p>
    <w:p>
      <w:pPr>
        <w:spacing w:line="252" w:lineRule="auto" w:before="51"/>
        <w:ind w:left="2096" w:right="1141" w:firstLine="0"/>
        <w:jc w:val="both"/>
        <w:rPr>
          <w:sz w:val="16"/>
        </w:rPr>
      </w:pPr>
      <w:r>
        <w:rPr>
          <w:w w:val="105"/>
          <w:position w:val="6"/>
          <w:sz w:val="11"/>
        </w:rPr>
        <w:t>6 </w:t>
      </w:r>
      <w:r>
        <w:rPr>
          <w:w w:val="105"/>
          <w:sz w:val="16"/>
        </w:rPr>
        <w:t>Acuerdo de Gobierno de 20 de enero de 2022, por el que se suspende durante el ejercicio 2022, para determinadas actuaciones los acuerdos de Gobierno por los que se sustituyó la función interventora por el control financiero permanente y se prorrogan en dicho ejercicio las medidas de seguimiento sobre la ejecución del presupuesto de gastos del sector público con presupuesto limitativo para contribuir a su racionalización y al cumplimiento del objetivo de estabilidad presupuestaria. (Consejería de Hacienda, Presupuestos y Asuntos Europeos).</w:t>
      </w:r>
    </w:p>
    <w:p>
      <w:pPr>
        <w:spacing w:line="195" w:lineRule="exact" w:before="0"/>
        <w:ind w:left="2096" w:right="0" w:firstLine="0"/>
        <w:jc w:val="both"/>
        <w:rPr>
          <w:sz w:val="16"/>
        </w:rPr>
      </w:pPr>
      <w:r>
        <w:rPr>
          <w:w w:val="105"/>
          <w:position w:val="6"/>
          <w:sz w:val="11"/>
        </w:rPr>
        <w:t>7 </w:t>
      </w:r>
      <w:r>
        <w:rPr>
          <w:w w:val="105"/>
          <w:sz w:val="16"/>
        </w:rPr>
        <w:t>Resoluciones de 29 de marzo de 2016 y de 18 de julio de 2022, para el desarrollo de la función de</w:t>
      </w:r>
    </w:p>
    <w:p>
      <w:pPr>
        <w:spacing w:before="10"/>
        <w:ind w:left="2096" w:right="0" w:firstLine="0"/>
        <w:jc w:val="both"/>
        <w:rPr>
          <w:sz w:val="16"/>
        </w:rPr>
      </w:pPr>
      <w:r>
        <w:rPr>
          <w:w w:val="105"/>
          <w:sz w:val="16"/>
        </w:rPr>
        <w:t>comprobación material del gasto.</w:t>
      </w:r>
    </w:p>
    <w:p>
      <w:pPr>
        <w:pStyle w:val="BodyText"/>
        <w:spacing w:before="2"/>
        <w:ind w:left="7897"/>
        <w:jc w:val="center"/>
      </w:pPr>
      <w:r>
        <w:rPr/>
        <w:t>24</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59" name="image5.png"/>
                  <wp:cNvGraphicFramePr>
                    <a:graphicFrameLocks noChangeAspect="1"/>
                  </wp:cNvGraphicFramePr>
                  <a:graphic>
                    <a:graphicData uri="http://schemas.openxmlformats.org/drawingml/2006/picture">
                      <pic:pic>
                        <pic:nvPicPr>
                          <pic:cNvPr id="6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26/247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right="1138"/>
        <w:jc w:val="both"/>
      </w:pPr>
      <w:r>
        <w:rPr/>
        <w:t>el año 2022, a solicitud de la ACC el órgano de control interno remite listado en el que se detallan 136 actuaciones, por importe de 411,9 millones de €, especificándose como causa de baja:</w:t>
      </w:r>
    </w:p>
    <w:p>
      <w:pPr>
        <w:pStyle w:val="BodyText"/>
        <w:spacing w:before="10" w:after="1"/>
        <w:rPr>
          <w:sz w:val="16"/>
        </w:rPr>
      </w:pPr>
    </w:p>
    <w:tbl>
      <w:tblPr>
        <w:tblW w:w="0" w:type="auto"/>
        <w:jc w:val="left"/>
        <w:tblInd w:w="2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97"/>
        <w:gridCol w:w="951"/>
        <w:gridCol w:w="1191"/>
      </w:tblGrid>
      <w:tr>
        <w:trPr>
          <w:trHeight w:val="366" w:hRule="atLeast"/>
        </w:trPr>
        <w:tc>
          <w:tcPr>
            <w:tcW w:w="4997" w:type="dxa"/>
            <w:shd w:val="clear" w:color="auto" w:fill="DEEAF6"/>
          </w:tcPr>
          <w:p>
            <w:pPr>
              <w:pStyle w:val="TableParagraph"/>
              <w:spacing w:before="94"/>
              <w:ind w:left="1929" w:right="1923"/>
              <w:jc w:val="center"/>
              <w:rPr>
                <w:b/>
                <w:sz w:val="15"/>
              </w:rPr>
            </w:pPr>
            <w:r>
              <w:rPr>
                <w:b/>
                <w:color w:val="1A1A1A"/>
                <w:sz w:val="15"/>
              </w:rPr>
              <w:t>Motivos de cierre</w:t>
            </w:r>
          </w:p>
        </w:tc>
        <w:tc>
          <w:tcPr>
            <w:tcW w:w="951" w:type="dxa"/>
            <w:shd w:val="clear" w:color="auto" w:fill="DEEAF6"/>
          </w:tcPr>
          <w:p>
            <w:pPr>
              <w:pStyle w:val="TableParagraph"/>
              <w:spacing w:line="180" w:lineRule="atLeast" w:before="1"/>
              <w:ind w:left="93" w:right="71" w:firstLine="298"/>
              <w:rPr>
                <w:b/>
                <w:sz w:val="15"/>
              </w:rPr>
            </w:pPr>
            <w:r>
              <w:rPr>
                <w:b/>
                <w:color w:val="1A1A1A"/>
                <w:sz w:val="15"/>
              </w:rPr>
              <w:t>Nº Actuaciones</w:t>
            </w:r>
          </w:p>
        </w:tc>
        <w:tc>
          <w:tcPr>
            <w:tcW w:w="1191" w:type="dxa"/>
            <w:shd w:val="clear" w:color="auto" w:fill="DEEAF6"/>
          </w:tcPr>
          <w:p>
            <w:pPr>
              <w:pStyle w:val="TableParagraph"/>
              <w:spacing w:before="94"/>
              <w:ind w:left="339"/>
              <w:rPr>
                <w:b/>
                <w:sz w:val="15"/>
              </w:rPr>
            </w:pPr>
            <w:r>
              <w:rPr>
                <w:b/>
                <w:color w:val="1A1A1A"/>
                <w:sz w:val="15"/>
              </w:rPr>
              <w:t>Importe</w:t>
            </w:r>
          </w:p>
        </w:tc>
      </w:tr>
      <w:tr>
        <w:trPr>
          <w:trHeight w:val="268" w:hRule="atLeast"/>
        </w:trPr>
        <w:tc>
          <w:tcPr>
            <w:tcW w:w="4997" w:type="dxa"/>
          </w:tcPr>
          <w:p>
            <w:pPr>
              <w:pStyle w:val="TableParagraph"/>
              <w:spacing w:before="43"/>
              <w:ind w:left="89"/>
              <w:rPr>
                <w:sz w:val="15"/>
              </w:rPr>
            </w:pPr>
            <w:r>
              <w:rPr>
                <w:sz w:val="15"/>
              </w:rPr>
              <w:t>Archivo actuaciones por parte del Tribunal de Cuentas</w:t>
            </w:r>
          </w:p>
        </w:tc>
        <w:tc>
          <w:tcPr>
            <w:tcW w:w="951" w:type="dxa"/>
          </w:tcPr>
          <w:p>
            <w:pPr>
              <w:pStyle w:val="TableParagraph"/>
              <w:spacing w:before="43"/>
              <w:ind w:left="7"/>
              <w:jc w:val="center"/>
              <w:rPr>
                <w:sz w:val="15"/>
              </w:rPr>
            </w:pPr>
            <w:r>
              <w:rPr>
                <w:color w:val="1A1A1A"/>
                <w:w w:val="100"/>
                <w:sz w:val="15"/>
              </w:rPr>
              <w:t>1</w:t>
            </w:r>
          </w:p>
        </w:tc>
        <w:tc>
          <w:tcPr>
            <w:tcW w:w="1191" w:type="dxa"/>
          </w:tcPr>
          <w:p>
            <w:pPr>
              <w:pStyle w:val="TableParagraph"/>
              <w:spacing w:before="43"/>
              <w:ind w:right="79"/>
              <w:jc w:val="right"/>
              <w:rPr>
                <w:sz w:val="15"/>
              </w:rPr>
            </w:pPr>
            <w:r>
              <w:rPr>
                <w:sz w:val="15"/>
              </w:rPr>
              <w:t>1.723.921,59</w:t>
            </w:r>
          </w:p>
        </w:tc>
      </w:tr>
      <w:tr>
        <w:trPr>
          <w:trHeight w:val="344" w:hRule="atLeast"/>
        </w:trPr>
        <w:tc>
          <w:tcPr>
            <w:tcW w:w="4997" w:type="dxa"/>
          </w:tcPr>
          <w:p>
            <w:pPr>
              <w:pStyle w:val="TableParagraph"/>
              <w:spacing w:before="82"/>
              <w:ind w:left="89"/>
              <w:rPr>
                <w:sz w:val="15"/>
              </w:rPr>
            </w:pPr>
            <w:r>
              <w:rPr>
                <w:sz w:val="15"/>
              </w:rPr>
              <w:t>Comunicación de las deficiencias al órgano competente</w:t>
            </w:r>
          </w:p>
        </w:tc>
        <w:tc>
          <w:tcPr>
            <w:tcW w:w="951" w:type="dxa"/>
          </w:tcPr>
          <w:p>
            <w:pPr>
              <w:pStyle w:val="TableParagraph"/>
              <w:spacing w:before="82"/>
              <w:ind w:left="7"/>
              <w:jc w:val="center"/>
              <w:rPr>
                <w:sz w:val="15"/>
              </w:rPr>
            </w:pPr>
            <w:r>
              <w:rPr>
                <w:color w:val="1A1A1A"/>
                <w:w w:val="100"/>
                <w:sz w:val="15"/>
              </w:rPr>
              <w:t>5</w:t>
            </w:r>
          </w:p>
        </w:tc>
        <w:tc>
          <w:tcPr>
            <w:tcW w:w="1191" w:type="dxa"/>
          </w:tcPr>
          <w:p>
            <w:pPr>
              <w:pStyle w:val="TableParagraph"/>
              <w:spacing w:before="82"/>
              <w:ind w:right="80"/>
              <w:jc w:val="right"/>
              <w:rPr>
                <w:sz w:val="15"/>
              </w:rPr>
            </w:pPr>
            <w:r>
              <w:rPr>
                <w:sz w:val="15"/>
              </w:rPr>
              <w:t>989.122,94</w:t>
            </w:r>
          </w:p>
        </w:tc>
      </w:tr>
      <w:tr>
        <w:trPr>
          <w:trHeight w:val="225" w:hRule="atLeast"/>
        </w:trPr>
        <w:tc>
          <w:tcPr>
            <w:tcW w:w="4997" w:type="dxa"/>
          </w:tcPr>
          <w:p>
            <w:pPr>
              <w:pStyle w:val="TableParagraph"/>
              <w:spacing w:before="21"/>
              <w:ind w:left="89"/>
              <w:rPr>
                <w:sz w:val="15"/>
              </w:rPr>
            </w:pPr>
            <w:r>
              <w:rPr>
                <w:sz w:val="15"/>
              </w:rPr>
              <w:t>La CG no aporta la documentación para poder hacer la comprobación material</w:t>
            </w:r>
          </w:p>
        </w:tc>
        <w:tc>
          <w:tcPr>
            <w:tcW w:w="951" w:type="dxa"/>
          </w:tcPr>
          <w:p>
            <w:pPr>
              <w:pStyle w:val="TableParagraph"/>
              <w:spacing w:before="21"/>
              <w:ind w:left="7"/>
              <w:jc w:val="center"/>
              <w:rPr>
                <w:sz w:val="15"/>
              </w:rPr>
            </w:pPr>
            <w:r>
              <w:rPr>
                <w:w w:val="100"/>
                <w:sz w:val="15"/>
              </w:rPr>
              <w:t>5</w:t>
            </w:r>
          </w:p>
        </w:tc>
        <w:tc>
          <w:tcPr>
            <w:tcW w:w="1191" w:type="dxa"/>
          </w:tcPr>
          <w:p>
            <w:pPr>
              <w:pStyle w:val="TableParagraph"/>
              <w:spacing w:before="21"/>
              <w:ind w:right="79"/>
              <w:jc w:val="right"/>
              <w:rPr>
                <w:sz w:val="15"/>
              </w:rPr>
            </w:pPr>
            <w:r>
              <w:rPr>
                <w:sz w:val="15"/>
              </w:rPr>
              <w:t>4.420.737,90</w:t>
            </w:r>
          </w:p>
        </w:tc>
      </w:tr>
      <w:tr>
        <w:trPr>
          <w:trHeight w:val="231" w:hRule="atLeast"/>
        </w:trPr>
        <w:tc>
          <w:tcPr>
            <w:tcW w:w="4997" w:type="dxa"/>
          </w:tcPr>
          <w:p>
            <w:pPr>
              <w:pStyle w:val="TableParagraph"/>
              <w:spacing w:before="25"/>
              <w:ind w:left="89"/>
              <w:rPr>
                <w:sz w:val="15"/>
              </w:rPr>
            </w:pPr>
            <w:r>
              <w:rPr>
                <w:sz w:val="15"/>
              </w:rPr>
              <w:t>Existe otra actuación posterior abierta para esta inversión</w:t>
            </w:r>
          </w:p>
        </w:tc>
        <w:tc>
          <w:tcPr>
            <w:tcW w:w="951" w:type="dxa"/>
          </w:tcPr>
          <w:p>
            <w:pPr>
              <w:pStyle w:val="TableParagraph"/>
              <w:spacing w:before="25"/>
              <w:ind w:left="314" w:right="307"/>
              <w:jc w:val="center"/>
              <w:rPr>
                <w:sz w:val="15"/>
              </w:rPr>
            </w:pPr>
            <w:r>
              <w:rPr>
                <w:sz w:val="15"/>
              </w:rPr>
              <w:t>38</w:t>
            </w:r>
          </w:p>
        </w:tc>
        <w:tc>
          <w:tcPr>
            <w:tcW w:w="1191" w:type="dxa"/>
          </w:tcPr>
          <w:p>
            <w:pPr>
              <w:pStyle w:val="TableParagraph"/>
              <w:spacing w:before="25"/>
              <w:ind w:right="80"/>
              <w:jc w:val="right"/>
              <w:rPr>
                <w:sz w:val="15"/>
              </w:rPr>
            </w:pPr>
            <w:r>
              <w:rPr>
                <w:sz w:val="15"/>
              </w:rPr>
              <w:t>95.817.386,07</w:t>
            </w:r>
          </w:p>
        </w:tc>
      </w:tr>
      <w:tr>
        <w:trPr>
          <w:trHeight w:val="367" w:hRule="atLeast"/>
        </w:trPr>
        <w:tc>
          <w:tcPr>
            <w:tcW w:w="4997" w:type="dxa"/>
          </w:tcPr>
          <w:p>
            <w:pPr>
              <w:pStyle w:val="TableParagraph"/>
              <w:spacing w:line="180" w:lineRule="atLeast" w:before="1"/>
              <w:ind w:left="89" w:right="122"/>
              <w:rPr>
                <w:sz w:val="15"/>
              </w:rPr>
            </w:pPr>
            <w:r>
              <w:rPr>
                <w:sz w:val="15"/>
              </w:rPr>
              <w:t>No procede hacer ningún requerimiento al centro gestor en la actualidad por la naturaleza de la inversión</w:t>
            </w:r>
          </w:p>
        </w:tc>
        <w:tc>
          <w:tcPr>
            <w:tcW w:w="951" w:type="dxa"/>
          </w:tcPr>
          <w:p>
            <w:pPr>
              <w:pStyle w:val="TableParagraph"/>
              <w:spacing w:before="92"/>
              <w:ind w:left="7"/>
              <w:jc w:val="center"/>
              <w:rPr>
                <w:sz w:val="15"/>
              </w:rPr>
            </w:pPr>
            <w:r>
              <w:rPr>
                <w:color w:val="1A1A1A"/>
                <w:w w:val="100"/>
                <w:sz w:val="15"/>
              </w:rPr>
              <w:t>1</w:t>
            </w:r>
          </w:p>
        </w:tc>
        <w:tc>
          <w:tcPr>
            <w:tcW w:w="1191" w:type="dxa"/>
          </w:tcPr>
          <w:p>
            <w:pPr>
              <w:pStyle w:val="TableParagraph"/>
              <w:spacing w:before="92"/>
              <w:ind w:right="80"/>
              <w:jc w:val="right"/>
              <w:rPr>
                <w:sz w:val="15"/>
              </w:rPr>
            </w:pPr>
            <w:r>
              <w:rPr>
                <w:sz w:val="15"/>
              </w:rPr>
              <w:t>962.480,27</w:t>
            </w:r>
          </w:p>
        </w:tc>
      </w:tr>
      <w:tr>
        <w:trPr>
          <w:trHeight w:val="552" w:hRule="atLeast"/>
        </w:trPr>
        <w:tc>
          <w:tcPr>
            <w:tcW w:w="4997" w:type="dxa"/>
          </w:tcPr>
          <w:p>
            <w:pPr>
              <w:pStyle w:val="TableParagraph"/>
              <w:spacing w:before="1"/>
              <w:ind w:left="89"/>
              <w:rPr>
                <w:sz w:val="15"/>
              </w:rPr>
            </w:pPr>
            <w:r>
              <w:rPr>
                <w:sz w:val="15"/>
              </w:rPr>
              <w:t>No procede hacer ningún requerimiento al centro gestor ya que el procedimiento de reintegro que propusimos se inició con tal retraso que</w:t>
            </w:r>
          </w:p>
          <w:p>
            <w:pPr>
              <w:pStyle w:val="TableParagraph"/>
              <w:spacing w:line="162" w:lineRule="exact" w:before="3"/>
              <w:ind w:left="89"/>
              <w:rPr>
                <w:sz w:val="15"/>
              </w:rPr>
            </w:pPr>
            <w:r>
              <w:rPr>
                <w:sz w:val="15"/>
              </w:rPr>
              <w:t>había prescrito el derecho a reclamar el pago indebido al contratista</w:t>
            </w:r>
          </w:p>
        </w:tc>
        <w:tc>
          <w:tcPr>
            <w:tcW w:w="951" w:type="dxa"/>
          </w:tcPr>
          <w:p>
            <w:pPr>
              <w:pStyle w:val="TableParagraph"/>
              <w:spacing w:before="1"/>
              <w:rPr>
                <w:sz w:val="15"/>
              </w:rPr>
            </w:pPr>
          </w:p>
          <w:p>
            <w:pPr>
              <w:pStyle w:val="TableParagraph"/>
              <w:ind w:left="7"/>
              <w:jc w:val="center"/>
              <w:rPr>
                <w:sz w:val="15"/>
              </w:rPr>
            </w:pPr>
            <w:r>
              <w:rPr>
                <w:color w:val="1A1A1A"/>
                <w:w w:val="100"/>
                <w:sz w:val="15"/>
              </w:rPr>
              <w:t>1</w:t>
            </w:r>
          </w:p>
        </w:tc>
        <w:tc>
          <w:tcPr>
            <w:tcW w:w="1191" w:type="dxa"/>
          </w:tcPr>
          <w:p>
            <w:pPr>
              <w:pStyle w:val="TableParagraph"/>
              <w:spacing w:before="1"/>
              <w:rPr>
                <w:sz w:val="15"/>
              </w:rPr>
            </w:pPr>
          </w:p>
          <w:p>
            <w:pPr>
              <w:pStyle w:val="TableParagraph"/>
              <w:ind w:right="80"/>
              <w:jc w:val="right"/>
              <w:rPr>
                <w:sz w:val="15"/>
              </w:rPr>
            </w:pPr>
            <w:r>
              <w:rPr>
                <w:sz w:val="15"/>
              </w:rPr>
              <w:t>295.149,44</w:t>
            </w:r>
          </w:p>
        </w:tc>
      </w:tr>
      <w:tr>
        <w:trPr>
          <w:trHeight w:val="735" w:hRule="atLeast"/>
        </w:trPr>
        <w:tc>
          <w:tcPr>
            <w:tcW w:w="4997" w:type="dxa"/>
          </w:tcPr>
          <w:p>
            <w:pPr>
              <w:pStyle w:val="TableParagraph"/>
              <w:spacing w:line="242" w:lineRule="auto" w:before="1"/>
              <w:ind w:left="89" w:right="127"/>
              <w:rPr>
                <w:sz w:val="15"/>
              </w:rPr>
            </w:pPr>
            <w:r>
              <w:rPr>
                <w:sz w:val="15"/>
              </w:rPr>
              <w:t>No procede hacer ningún requerimiento al centro gestor ya que, por el tiempo transcurrido, si aportara documentación que permitiera cuantificar un daño al tesoro público, el derecho de la hacienda pública para solicitar</w:t>
            </w:r>
            <w:r>
              <w:rPr>
                <w:spacing w:val="3"/>
                <w:sz w:val="15"/>
              </w:rPr>
              <w:t> </w:t>
            </w:r>
            <w:r>
              <w:rPr>
                <w:sz w:val="15"/>
              </w:rPr>
              <w:t>el</w:t>
            </w:r>
          </w:p>
          <w:p>
            <w:pPr>
              <w:pStyle w:val="TableParagraph"/>
              <w:spacing w:line="159" w:lineRule="exact"/>
              <w:ind w:left="89"/>
              <w:rPr>
                <w:sz w:val="15"/>
              </w:rPr>
            </w:pPr>
            <w:r>
              <w:rPr>
                <w:sz w:val="15"/>
              </w:rPr>
              <w:t>reintegro estaría prescrito</w:t>
            </w:r>
          </w:p>
        </w:tc>
        <w:tc>
          <w:tcPr>
            <w:tcW w:w="951" w:type="dxa"/>
          </w:tcPr>
          <w:p>
            <w:pPr>
              <w:pStyle w:val="TableParagraph"/>
              <w:rPr>
                <w:sz w:val="14"/>
              </w:rPr>
            </w:pPr>
          </w:p>
          <w:p>
            <w:pPr>
              <w:pStyle w:val="TableParagraph"/>
              <w:spacing w:before="106"/>
              <w:ind w:left="314" w:right="307"/>
              <w:jc w:val="center"/>
              <w:rPr>
                <w:sz w:val="15"/>
              </w:rPr>
            </w:pPr>
            <w:r>
              <w:rPr>
                <w:color w:val="1A1A1A"/>
                <w:sz w:val="15"/>
              </w:rPr>
              <w:t>30</w:t>
            </w:r>
          </w:p>
        </w:tc>
        <w:tc>
          <w:tcPr>
            <w:tcW w:w="1191" w:type="dxa"/>
          </w:tcPr>
          <w:p>
            <w:pPr>
              <w:pStyle w:val="TableParagraph"/>
              <w:rPr>
                <w:sz w:val="14"/>
              </w:rPr>
            </w:pPr>
          </w:p>
          <w:p>
            <w:pPr>
              <w:pStyle w:val="TableParagraph"/>
              <w:spacing w:before="106"/>
              <w:ind w:right="80"/>
              <w:jc w:val="right"/>
              <w:rPr>
                <w:sz w:val="15"/>
              </w:rPr>
            </w:pPr>
            <w:r>
              <w:rPr>
                <w:sz w:val="15"/>
              </w:rPr>
              <w:t>58.096.780,10</w:t>
            </w:r>
          </w:p>
        </w:tc>
      </w:tr>
      <w:tr>
        <w:trPr>
          <w:trHeight w:val="368" w:hRule="atLeast"/>
        </w:trPr>
        <w:tc>
          <w:tcPr>
            <w:tcW w:w="4997" w:type="dxa"/>
          </w:tcPr>
          <w:p>
            <w:pPr>
              <w:pStyle w:val="TableParagraph"/>
              <w:spacing w:before="1"/>
              <w:ind w:left="89"/>
              <w:rPr>
                <w:sz w:val="15"/>
              </w:rPr>
            </w:pPr>
            <w:r>
              <w:rPr>
                <w:sz w:val="15"/>
              </w:rPr>
              <w:t>No procede hacer ningún requerimiento al centro gestor. No existen indicios</w:t>
            </w:r>
          </w:p>
          <w:p>
            <w:pPr>
              <w:pStyle w:val="TableParagraph"/>
              <w:spacing w:line="162" w:lineRule="exact" w:before="2"/>
              <w:ind w:left="89"/>
              <w:rPr>
                <w:sz w:val="15"/>
              </w:rPr>
            </w:pPr>
            <w:r>
              <w:rPr>
                <w:sz w:val="15"/>
              </w:rPr>
              <w:t>de quebranto al tesoro público</w:t>
            </w:r>
          </w:p>
        </w:tc>
        <w:tc>
          <w:tcPr>
            <w:tcW w:w="951" w:type="dxa"/>
          </w:tcPr>
          <w:p>
            <w:pPr>
              <w:pStyle w:val="TableParagraph"/>
              <w:spacing w:before="94"/>
              <w:ind w:left="7"/>
              <w:jc w:val="center"/>
              <w:rPr>
                <w:sz w:val="15"/>
              </w:rPr>
            </w:pPr>
            <w:r>
              <w:rPr>
                <w:color w:val="1A1A1A"/>
                <w:w w:val="100"/>
                <w:sz w:val="15"/>
              </w:rPr>
              <w:t>7</w:t>
            </w:r>
          </w:p>
        </w:tc>
        <w:tc>
          <w:tcPr>
            <w:tcW w:w="1191" w:type="dxa"/>
          </w:tcPr>
          <w:p>
            <w:pPr>
              <w:pStyle w:val="TableParagraph"/>
              <w:spacing w:before="94"/>
              <w:ind w:right="80"/>
              <w:jc w:val="right"/>
              <w:rPr>
                <w:sz w:val="15"/>
              </w:rPr>
            </w:pPr>
            <w:r>
              <w:rPr>
                <w:sz w:val="15"/>
              </w:rPr>
              <w:t>54.266.098,70</w:t>
            </w:r>
          </w:p>
        </w:tc>
      </w:tr>
      <w:tr>
        <w:trPr>
          <w:trHeight w:val="550" w:hRule="atLeast"/>
        </w:trPr>
        <w:tc>
          <w:tcPr>
            <w:tcW w:w="4997" w:type="dxa"/>
          </w:tcPr>
          <w:p>
            <w:pPr>
              <w:pStyle w:val="TableParagraph"/>
              <w:spacing w:line="182" w:lineRule="exact"/>
              <w:ind w:left="89"/>
              <w:rPr>
                <w:sz w:val="15"/>
              </w:rPr>
            </w:pPr>
            <w:r>
              <w:rPr>
                <w:sz w:val="15"/>
              </w:rPr>
              <w:t>No procede hacer ningún requerimiento al centro gestor. Las deficiencias del</w:t>
            </w:r>
          </w:p>
          <w:p>
            <w:pPr>
              <w:pStyle w:val="TableParagraph"/>
              <w:spacing w:line="180" w:lineRule="atLeast" w:before="2"/>
              <w:ind w:left="89" w:right="44"/>
              <w:rPr>
                <w:sz w:val="15"/>
              </w:rPr>
            </w:pPr>
            <w:r>
              <w:rPr>
                <w:sz w:val="15"/>
              </w:rPr>
              <w:t>expediente eran de carácter procedimental y no existen indicios de quebranto al Tesoro Público</w:t>
            </w:r>
          </w:p>
        </w:tc>
        <w:tc>
          <w:tcPr>
            <w:tcW w:w="951" w:type="dxa"/>
          </w:tcPr>
          <w:p>
            <w:pPr>
              <w:pStyle w:val="TableParagraph"/>
              <w:spacing w:before="1"/>
              <w:rPr>
                <w:sz w:val="15"/>
              </w:rPr>
            </w:pPr>
          </w:p>
          <w:p>
            <w:pPr>
              <w:pStyle w:val="TableParagraph"/>
              <w:ind w:left="7"/>
              <w:jc w:val="center"/>
              <w:rPr>
                <w:sz w:val="15"/>
              </w:rPr>
            </w:pPr>
            <w:r>
              <w:rPr>
                <w:color w:val="1A1A1A"/>
                <w:w w:val="100"/>
                <w:sz w:val="15"/>
              </w:rPr>
              <w:t>3</w:t>
            </w:r>
          </w:p>
        </w:tc>
        <w:tc>
          <w:tcPr>
            <w:tcW w:w="1191" w:type="dxa"/>
          </w:tcPr>
          <w:p>
            <w:pPr>
              <w:pStyle w:val="TableParagraph"/>
              <w:spacing w:before="1"/>
              <w:rPr>
                <w:sz w:val="15"/>
              </w:rPr>
            </w:pPr>
          </w:p>
          <w:p>
            <w:pPr>
              <w:pStyle w:val="TableParagraph"/>
              <w:ind w:right="79"/>
              <w:jc w:val="right"/>
              <w:rPr>
                <w:sz w:val="15"/>
              </w:rPr>
            </w:pPr>
            <w:r>
              <w:rPr>
                <w:sz w:val="15"/>
              </w:rPr>
              <w:t>3.493.840,35</w:t>
            </w:r>
          </w:p>
        </w:tc>
      </w:tr>
      <w:tr>
        <w:trPr>
          <w:trHeight w:val="368" w:hRule="atLeast"/>
        </w:trPr>
        <w:tc>
          <w:tcPr>
            <w:tcW w:w="4997" w:type="dxa"/>
          </w:tcPr>
          <w:p>
            <w:pPr>
              <w:pStyle w:val="TableParagraph"/>
              <w:spacing w:before="1"/>
              <w:ind w:left="89"/>
              <w:rPr>
                <w:sz w:val="15"/>
              </w:rPr>
            </w:pPr>
            <w:r>
              <w:rPr>
                <w:sz w:val="15"/>
              </w:rPr>
              <w:t>Propuesta: hacer constar en el expediente la prescripción de los derechos de la</w:t>
            </w:r>
          </w:p>
          <w:p>
            <w:pPr>
              <w:pStyle w:val="TableParagraph"/>
              <w:spacing w:line="162" w:lineRule="exact" w:before="2"/>
              <w:ind w:left="89"/>
              <w:rPr>
                <w:sz w:val="15"/>
              </w:rPr>
            </w:pPr>
            <w:r>
              <w:rPr>
                <w:sz w:val="15"/>
              </w:rPr>
              <w:t>hacienda pública a liquidar créditos a su favor</w:t>
            </w:r>
          </w:p>
        </w:tc>
        <w:tc>
          <w:tcPr>
            <w:tcW w:w="951" w:type="dxa"/>
          </w:tcPr>
          <w:p>
            <w:pPr>
              <w:pStyle w:val="TableParagraph"/>
              <w:spacing w:before="93"/>
              <w:ind w:left="7"/>
              <w:jc w:val="center"/>
              <w:rPr>
                <w:sz w:val="15"/>
              </w:rPr>
            </w:pPr>
            <w:r>
              <w:rPr>
                <w:color w:val="1A1A1A"/>
                <w:w w:val="100"/>
                <w:sz w:val="15"/>
              </w:rPr>
              <w:t>8</w:t>
            </w:r>
          </w:p>
        </w:tc>
        <w:tc>
          <w:tcPr>
            <w:tcW w:w="1191" w:type="dxa"/>
          </w:tcPr>
          <w:p>
            <w:pPr>
              <w:pStyle w:val="TableParagraph"/>
              <w:spacing w:before="93"/>
              <w:ind w:right="79"/>
              <w:jc w:val="right"/>
              <w:rPr>
                <w:sz w:val="15"/>
              </w:rPr>
            </w:pPr>
            <w:r>
              <w:rPr>
                <w:sz w:val="15"/>
              </w:rPr>
              <w:t>5.694.064,70</w:t>
            </w:r>
          </w:p>
        </w:tc>
      </w:tr>
      <w:tr>
        <w:trPr>
          <w:trHeight w:val="181" w:hRule="atLeast"/>
        </w:trPr>
        <w:tc>
          <w:tcPr>
            <w:tcW w:w="4997" w:type="dxa"/>
          </w:tcPr>
          <w:p>
            <w:pPr>
              <w:pStyle w:val="TableParagraph"/>
              <w:spacing w:line="162" w:lineRule="exact"/>
              <w:ind w:left="89"/>
              <w:rPr>
                <w:sz w:val="15"/>
              </w:rPr>
            </w:pPr>
            <w:r>
              <w:rPr>
                <w:sz w:val="15"/>
              </w:rPr>
              <w:t>Propuesta: remisión de actuaciones para declarar la prescripción</w:t>
            </w:r>
          </w:p>
        </w:tc>
        <w:tc>
          <w:tcPr>
            <w:tcW w:w="951" w:type="dxa"/>
          </w:tcPr>
          <w:p>
            <w:pPr>
              <w:pStyle w:val="TableParagraph"/>
              <w:spacing w:line="162" w:lineRule="exact"/>
              <w:ind w:left="7"/>
              <w:jc w:val="center"/>
              <w:rPr>
                <w:sz w:val="15"/>
              </w:rPr>
            </w:pPr>
            <w:r>
              <w:rPr>
                <w:color w:val="1A1A1A"/>
                <w:w w:val="100"/>
                <w:sz w:val="15"/>
              </w:rPr>
              <w:t>1</w:t>
            </w:r>
          </w:p>
        </w:tc>
        <w:tc>
          <w:tcPr>
            <w:tcW w:w="1191" w:type="dxa"/>
          </w:tcPr>
          <w:p>
            <w:pPr>
              <w:pStyle w:val="TableParagraph"/>
              <w:spacing w:line="162" w:lineRule="exact"/>
              <w:ind w:right="80"/>
              <w:jc w:val="right"/>
              <w:rPr>
                <w:sz w:val="15"/>
              </w:rPr>
            </w:pPr>
            <w:r>
              <w:rPr>
                <w:sz w:val="15"/>
              </w:rPr>
              <w:t>591.132,46</w:t>
            </w:r>
          </w:p>
        </w:tc>
      </w:tr>
      <w:tr>
        <w:trPr>
          <w:trHeight w:val="183" w:hRule="atLeast"/>
        </w:trPr>
        <w:tc>
          <w:tcPr>
            <w:tcW w:w="4997" w:type="dxa"/>
          </w:tcPr>
          <w:p>
            <w:pPr>
              <w:pStyle w:val="TableParagraph"/>
              <w:spacing w:line="162" w:lineRule="exact" w:before="1"/>
              <w:ind w:left="89"/>
              <w:rPr>
                <w:sz w:val="15"/>
              </w:rPr>
            </w:pPr>
            <w:r>
              <w:rPr>
                <w:sz w:val="15"/>
              </w:rPr>
              <w:t>Subsanadas las deficiencias</w:t>
            </w:r>
          </w:p>
        </w:tc>
        <w:tc>
          <w:tcPr>
            <w:tcW w:w="951" w:type="dxa"/>
          </w:tcPr>
          <w:p>
            <w:pPr>
              <w:pStyle w:val="TableParagraph"/>
              <w:spacing w:line="162" w:lineRule="exact" w:before="1"/>
              <w:ind w:left="314" w:right="307"/>
              <w:jc w:val="center"/>
              <w:rPr>
                <w:sz w:val="15"/>
              </w:rPr>
            </w:pPr>
            <w:r>
              <w:rPr>
                <w:color w:val="1A1A1A"/>
                <w:sz w:val="15"/>
              </w:rPr>
              <w:t>36</w:t>
            </w:r>
          </w:p>
        </w:tc>
        <w:tc>
          <w:tcPr>
            <w:tcW w:w="1191" w:type="dxa"/>
          </w:tcPr>
          <w:p>
            <w:pPr>
              <w:pStyle w:val="TableParagraph"/>
              <w:spacing w:line="162" w:lineRule="exact" w:before="1"/>
              <w:ind w:right="80"/>
              <w:jc w:val="right"/>
              <w:rPr>
                <w:sz w:val="15"/>
              </w:rPr>
            </w:pPr>
            <w:r>
              <w:rPr>
                <w:sz w:val="15"/>
              </w:rPr>
              <w:t>185.531.169,11</w:t>
            </w:r>
          </w:p>
        </w:tc>
      </w:tr>
    </w:tbl>
    <w:p>
      <w:pPr>
        <w:pStyle w:val="BodyText"/>
        <w:spacing w:before="7"/>
        <w:rPr>
          <w:sz w:val="16"/>
        </w:rPr>
      </w:pPr>
    </w:p>
    <w:p>
      <w:pPr>
        <w:pStyle w:val="BodyText"/>
        <w:spacing w:line="242" w:lineRule="auto"/>
        <w:ind w:left="2096" w:right="1140" w:firstLine="594"/>
        <w:jc w:val="both"/>
      </w:pPr>
      <w:r>
        <w:rPr/>
        <w:t>Del citado listado se han revisado las 33 actuaciones que figuran en el anexo XIII a). En el anexo XIII b) se detallan, de las actuaciones revisadas, las que este órgano de control externo considera inadecuado su cierre, al no evidenciarse que se haya procedido a la subsanación de las deficiencias o se haya resuelto a favor del criterio del órgano gestor en el procedimiento de discrepancia”. Asimismo, se incorpora el anexo XIII a) con las 33 actuaciones revisadas y se renumera el Anexo XIII, pasando a denominarse “Anexo XIII b). Justificación incorrecta de cierre.</w:t>
      </w:r>
    </w:p>
    <w:p>
      <w:pPr>
        <w:pStyle w:val="BodyText"/>
        <w:spacing w:before="3"/>
        <w:rPr>
          <w:sz w:val="16"/>
        </w:rPr>
      </w:pPr>
    </w:p>
    <w:p>
      <w:pPr>
        <w:pStyle w:val="BodyText"/>
        <w:spacing w:line="242" w:lineRule="auto"/>
        <w:ind w:left="2096" w:right="1141" w:firstLine="594"/>
        <w:jc w:val="both"/>
      </w:pPr>
      <w:r>
        <w:rPr/>
        <w:t>“En lo referente a la auditoria pública, el Plan anual para el año 2022, recoge la realización de 143 controles, de los que 62 se llevan a cabo mediante la contratación de auditores externos y el resto con medios propios.</w:t>
      </w:r>
    </w:p>
    <w:p>
      <w:pPr>
        <w:pStyle w:val="BodyText"/>
        <w:spacing w:before="4"/>
        <w:rPr>
          <w:sz w:val="16"/>
        </w:rPr>
      </w:pPr>
    </w:p>
    <w:p>
      <w:pPr>
        <w:pStyle w:val="BodyText"/>
        <w:ind w:left="2096" w:right="1145" w:firstLine="594"/>
        <w:jc w:val="both"/>
      </w:pPr>
      <w:r>
        <w:rPr/>
        <w:t>Al no haber sido remitida la información solicitada no puede efectuarse pronunciamiento alguno.</w:t>
      </w:r>
    </w:p>
    <w:p>
      <w:pPr>
        <w:pStyle w:val="BodyText"/>
      </w:pPr>
    </w:p>
    <w:p>
      <w:pPr>
        <w:pStyle w:val="BodyText"/>
        <w:spacing w:before="9"/>
        <w:rPr>
          <w:sz w:val="15"/>
        </w:rPr>
      </w:pPr>
    </w:p>
    <w:p>
      <w:pPr>
        <w:pStyle w:val="BodyText"/>
        <w:spacing w:before="61"/>
        <w:ind w:left="7897"/>
        <w:jc w:val="center"/>
      </w:pPr>
      <w:r>
        <w:rPr/>
        <w:t>25</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61" name="image5.png"/>
                  <wp:cNvGraphicFramePr>
                    <a:graphicFrameLocks noChangeAspect="1"/>
                  </wp:cNvGraphicFramePr>
                  <a:graphic>
                    <a:graphicData uri="http://schemas.openxmlformats.org/drawingml/2006/picture">
                      <pic:pic>
                        <pic:nvPicPr>
                          <pic:cNvPr id="6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27/247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tabs>
          <w:tab w:pos="3771" w:val="left" w:leader="none"/>
        </w:tabs>
        <w:spacing w:before="61"/>
        <w:ind w:left="3408" w:right="0" w:firstLine="0"/>
        <w:jc w:val="left"/>
        <w:rPr>
          <w:b/>
          <w:sz w:val="20"/>
        </w:rPr>
      </w:pPr>
      <w:r>
        <w:rPr>
          <w:b/>
          <w:color w:val="53A1B9"/>
          <w:sz w:val="20"/>
        </w:rPr>
        <w:t>4</w:t>
        <w:tab/>
        <w:t>SECTOR PÚBLICO CON PRESUPUESTO</w:t>
      </w:r>
      <w:r>
        <w:rPr>
          <w:b/>
          <w:color w:val="53A1B9"/>
          <w:spacing w:val="3"/>
          <w:sz w:val="20"/>
        </w:rPr>
        <w:t> </w:t>
      </w:r>
      <w:r>
        <w:rPr>
          <w:b/>
          <w:color w:val="53A1B9"/>
          <w:sz w:val="20"/>
        </w:rPr>
        <w:t>LIMITATIVO</w:t>
      </w:r>
    </w:p>
    <w:p>
      <w:pPr>
        <w:pStyle w:val="BodyText"/>
        <w:spacing w:before="8"/>
        <w:rPr>
          <w:b/>
          <w:sz w:val="16"/>
        </w:rPr>
      </w:pPr>
    </w:p>
    <w:p>
      <w:pPr>
        <w:pStyle w:val="BodyText"/>
        <w:ind w:left="2096" w:right="1139" w:firstLine="594"/>
        <w:jc w:val="both"/>
      </w:pPr>
      <w:r>
        <w:rPr/>
        <w:t>En correspondencia con la estructura de la Cuenta General, establecida en la LHPC, en el presente Informe se analizan las cuentas de los cinco grupos de entes que componen el sector público de la CAC, más un capítulo dedicado a la cuenta de los fondos carentes de personalidad jurídica. Asimismo, se informa sobre los objetivos de estabilidad presupuestaria, regla de gasto y deuda.</w:t>
      </w:r>
    </w:p>
    <w:p>
      <w:pPr>
        <w:pStyle w:val="BodyText"/>
        <w:spacing w:before="2"/>
        <w:rPr>
          <w:sz w:val="17"/>
        </w:rPr>
      </w:pPr>
    </w:p>
    <w:p>
      <w:pPr>
        <w:pStyle w:val="BodyText"/>
        <w:spacing w:line="242" w:lineRule="auto" w:before="1"/>
        <w:ind w:left="2096" w:right="1139" w:firstLine="594"/>
        <w:jc w:val="both"/>
      </w:pPr>
      <w:r>
        <w:rPr/>
        <w:t>El</w:t>
      </w:r>
      <w:r>
        <w:rPr>
          <w:spacing w:val="-9"/>
        </w:rPr>
        <w:t> </w:t>
      </w:r>
      <w:r>
        <w:rPr/>
        <w:t>Informe</w:t>
      </w:r>
      <w:r>
        <w:rPr>
          <w:spacing w:val="-8"/>
        </w:rPr>
        <w:t> </w:t>
      </w:r>
      <w:r>
        <w:rPr/>
        <w:t>que</w:t>
      </w:r>
      <w:r>
        <w:rPr>
          <w:spacing w:val="-8"/>
        </w:rPr>
        <w:t> </w:t>
      </w:r>
      <w:r>
        <w:rPr/>
        <w:t>nos</w:t>
      </w:r>
      <w:r>
        <w:rPr>
          <w:spacing w:val="-11"/>
        </w:rPr>
        <w:t> </w:t>
      </w:r>
      <w:r>
        <w:rPr/>
        <w:t>ocupa</w:t>
      </w:r>
      <w:r>
        <w:rPr>
          <w:spacing w:val="-10"/>
        </w:rPr>
        <w:t> </w:t>
      </w:r>
      <w:r>
        <w:rPr/>
        <w:t>comienza</w:t>
      </w:r>
      <w:r>
        <w:rPr>
          <w:spacing w:val="-8"/>
        </w:rPr>
        <w:t> </w:t>
      </w:r>
      <w:r>
        <w:rPr/>
        <w:t>con</w:t>
      </w:r>
      <w:r>
        <w:rPr>
          <w:spacing w:val="-8"/>
        </w:rPr>
        <w:t> </w:t>
      </w:r>
      <w:r>
        <w:rPr/>
        <w:t>la</w:t>
      </w:r>
      <w:r>
        <w:rPr>
          <w:spacing w:val="-9"/>
        </w:rPr>
        <w:t> </w:t>
      </w:r>
      <w:r>
        <w:rPr/>
        <w:t>exposición</w:t>
      </w:r>
      <w:r>
        <w:rPr>
          <w:spacing w:val="-7"/>
        </w:rPr>
        <w:t> </w:t>
      </w:r>
      <w:r>
        <w:rPr/>
        <w:t>de</w:t>
      </w:r>
      <w:r>
        <w:rPr>
          <w:spacing w:val="-8"/>
        </w:rPr>
        <w:t> </w:t>
      </w:r>
      <w:r>
        <w:rPr/>
        <w:t>los</w:t>
      </w:r>
      <w:r>
        <w:rPr>
          <w:spacing w:val="-9"/>
        </w:rPr>
        <w:t> </w:t>
      </w:r>
      <w:r>
        <w:rPr/>
        <w:t>resultados</w:t>
      </w:r>
      <w:r>
        <w:rPr>
          <w:spacing w:val="-8"/>
        </w:rPr>
        <w:t> </w:t>
      </w:r>
      <w:r>
        <w:rPr/>
        <w:t>obtenidos en el ejercicio por el sector público con presupuesto limitativo, integrado por la Administración Pública, los Organismos Autónomos y otros Entes Públicos. Se ha focalizado el contenido del mismo en el análisis de la evolución temporal de las diferentes magnitudes e indicadores económicos y presupuestarios. Así mismo, se muestra un análisis agregado de los gastos aplicados a las políticas públicas. A continuación, se presentan los resultados de las empresas y las fundaciones que conforman el sector público con presupuesto estimativo de la Comunidad Autónoma, a las que les son aplicable el plan contable acorde a su configuración privada. Los dos últimos capítulos hacen referencia a los Fondos carentes de personalidad jurídica y al análisis de las operaciones financieras.</w:t>
      </w:r>
    </w:p>
    <w:p>
      <w:pPr>
        <w:pStyle w:val="BodyText"/>
        <w:rPr>
          <w:sz w:val="16"/>
        </w:rPr>
      </w:pPr>
    </w:p>
    <w:p>
      <w:pPr>
        <w:pStyle w:val="Heading1"/>
        <w:numPr>
          <w:ilvl w:val="1"/>
          <w:numId w:val="10"/>
        </w:numPr>
        <w:tabs>
          <w:tab w:pos="2579" w:val="left" w:leader="none"/>
          <w:tab w:pos="2580" w:val="left" w:leader="none"/>
        </w:tabs>
        <w:spacing w:line="240" w:lineRule="auto" w:before="0" w:after="0"/>
        <w:ind w:left="2579" w:right="1142" w:hanging="484"/>
        <w:jc w:val="left"/>
      </w:pPr>
      <w:r>
        <w:rPr>
          <w:color w:val="53A1B9"/>
        </w:rPr>
        <w:t>Análisis</w:t>
      </w:r>
      <w:r>
        <w:rPr>
          <w:color w:val="53A1B9"/>
          <w:spacing w:val="-3"/>
        </w:rPr>
        <w:t> </w:t>
      </w:r>
      <w:r>
        <w:rPr>
          <w:color w:val="53A1B9"/>
        </w:rPr>
        <w:t>de</w:t>
      </w:r>
      <w:r>
        <w:rPr>
          <w:color w:val="53A1B9"/>
          <w:spacing w:val="-5"/>
        </w:rPr>
        <w:t> </w:t>
      </w:r>
      <w:r>
        <w:rPr>
          <w:color w:val="53A1B9"/>
        </w:rPr>
        <w:t>magnitudes</w:t>
      </w:r>
      <w:r>
        <w:rPr>
          <w:color w:val="53A1B9"/>
          <w:spacing w:val="-3"/>
        </w:rPr>
        <w:t> </w:t>
      </w:r>
      <w:r>
        <w:rPr>
          <w:color w:val="53A1B9"/>
        </w:rPr>
        <w:t>agregadas</w:t>
      </w:r>
      <w:r>
        <w:rPr>
          <w:color w:val="53A1B9"/>
          <w:spacing w:val="-4"/>
        </w:rPr>
        <w:t> </w:t>
      </w:r>
      <w:r>
        <w:rPr>
          <w:color w:val="53A1B9"/>
        </w:rPr>
        <w:t>y</w:t>
      </w:r>
      <w:r>
        <w:rPr>
          <w:color w:val="53A1B9"/>
          <w:spacing w:val="-4"/>
        </w:rPr>
        <w:t> </w:t>
      </w:r>
      <w:r>
        <w:rPr>
          <w:color w:val="53A1B9"/>
        </w:rPr>
        <w:t>consolidadas</w:t>
      </w:r>
      <w:r>
        <w:rPr>
          <w:color w:val="53A1B9"/>
          <w:spacing w:val="-6"/>
        </w:rPr>
        <w:t> </w:t>
      </w:r>
      <w:r>
        <w:rPr>
          <w:color w:val="53A1B9"/>
        </w:rPr>
        <w:t>del</w:t>
      </w:r>
      <w:r>
        <w:rPr>
          <w:color w:val="53A1B9"/>
          <w:spacing w:val="-4"/>
        </w:rPr>
        <w:t> </w:t>
      </w:r>
      <w:r>
        <w:rPr>
          <w:color w:val="53A1B9"/>
        </w:rPr>
        <w:t>Sector</w:t>
      </w:r>
      <w:r>
        <w:rPr>
          <w:color w:val="53A1B9"/>
          <w:spacing w:val="-4"/>
        </w:rPr>
        <w:t> </w:t>
      </w:r>
      <w:r>
        <w:rPr>
          <w:color w:val="53A1B9"/>
        </w:rPr>
        <w:t>Público</w:t>
      </w:r>
      <w:r>
        <w:rPr>
          <w:color w:val="53A1B9"/>
          <w:spacing w:val="-6"/>
        </w:rPr>
        <w:t> </w:t>
      </w:r>
      <w:r>
        <w:rPr>
          <w:color w:val="53A1B9"/>
        </w:rPr>
        <w:t>Autonómico con presupuesto limitativo.</w:t>
      </w:r>
    </w:p>
    <w:p>
      <w:pPr>
        <w:pStyle w:val="BodyText"/>
        <w:spacing w:before="10"/>
        <w:rPr>
          <w:b/>
          <w:sz w:val="16"/>
        </w:rPr>
      </w:pPr>
    </w:p>
    <w:p>
      <w:pPr>
        <w:pStyle w:val="BodyText"/>
        <w:spacing w:line="242" w:lineRule="auto"/>
        <w:ind w:left="2096" w:right="1142" w:firstLine="604"/>
        <w:jc w:val="both"/>
      </w:pPr>
      <w:r>
        <w:rPr/>
        <w:t>En este apartado se van a comentar diversos indicadores y variables presupuestarias, obtenidas agregando o consolidando los valores de todos y cada uno de los entes públicos sometidos a presupuestos limitativos, cuyas cuentas se muestran en la Cuenta General.</w:t>
      </w:r>
    </w:p>
    <w:p>
      <w:pPr>
        <w:pStyle w:val="BodyText"/>
        <w:spacing w:before="5"/>
        <w:rPr>
          <w:sz w:val="16"/>
        </w:rPr>
      </w:pPr>
    </w:p>
    <w:p>
      <w:pPr>
        <w:pStyle w:val="Heading1"/>
        <w:ind w:left="2096" w:right="510"/>
        <w:jc w:val="left"/>
      </w:pPr>
      <w:r>
        <w:rPr/>
        <w:t>Evolución del remanente de tesorería de libre disposición agregado de los entes con presupuesto limitativo.</w:t>
      </w:r>
    </w:p>
    <w:p>
      <w:pPr>
        <w:pStyle w:val="BodyText"/>
        <w:spacing w:before="10"/>
        <w:rPr>
          <w:b/>
          <w:sz w:val="16"/>
        </w:rPr>
      </w:pPr>
    </w:p>
    <w:p>
      <w:pPr>
        <w:pStyle w:val="BodyText"/>
        <w:spacing w:line="242" w:lineRule="auto"/>
        <w:ind w:left="2096" w:right="1140" w:firstLine="604"/>
        <w:jc w:val="both"/>
      </w:pPr>
      <w:r>
        <w:rPr/>
        <w:t>El Remanente de Tesorería (RT) de libre disposición mide, cuando es positivo, la capacidad de una entidad pública para financiar nuevos gastos con excedentes históricos acumulados. Si fuera negativo, está señalando que, si el vencimiento de estas obligaciones de pago coincidiese en el tiempo, esa entidad podría tener dificultades de tesorería, para hacer frente a la totalidad de sus acreedores, tanto presupuestarios como no presupuestarios. Por otra parte, si el Remanente de Tesorería ofrece saldos anuales negativos de forma recurrente, la solvencia financiera, a largo plazo, estará en dificultades.</w:t>
      </w:r>
    </w:p>
    <w:p>
      <w:pPr>
        <w:pStyle w:val="BodyText"/>
        <w:rPr>
          <w:sz w:val="16"/>
        </w:rPr>
      </w:pPr>
    </w:p>
    <w:p>
      <w:pPr>
        <w:pStyle w:val="BodyText"/>
        <w:spacing w:before="1"/>
        <w:ind w:right="1141"/>
        <w:jc w:val="right"/>
      </w:pPr>
      <w:r>
        <w:rPr/>
        <w:t>El cuadro que se presenta a continuación muestra la evolución de esta</w:t>
      </w:r>
      <w:r>
        <w:rPr>
          <w:spacing w:val="-29"/>
        </w:rPr>
        <w:t> </w:t>
      </w:r>
      <w:r>
        <w:rPr/>
        <w:t>magnitud</w:t>
      </w:r>
    </w:p>
    <w:p>
      <w:pPr>
        <w:pStyle w:val="BodyText"/>
        <w:spacing w:before="100"/>
        <w:ind w:right="1136"/>
        <w:jc w:val="right"/>
      </w:pPr>
      <w:r>
        <w:rPr>
          <w:spacing w:val="-1"/>
        </w:rPr>
        <w:t>26</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63" name="image5.png"/>
                  <wp:cNvGraphicFramePr>
                    <a:graphicFrameLocks noChangeAspect="1"/>
                  </wp:cNvGraphicFramePr>
                  <a:graphic>
                    <a:graphicData uri="http://schemas.openxmlformats.org/drawingml/2006/picture">
                      <pic:pic>
                        <pic:nvPicPr>
                          <pic:cNvPr id="6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28/247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pPr>
      <w:r>
        <w:rPr/>
        <w:t>en los últimos cuatro años (2019,2020,2021 y 2022).</w:t>
      </w:r>
    </w:p>
    <w:p>
      <w:pPr>
        <w:pStyle w:val="BodyText"/>
        <w:spacing w:before="11"/>
        <w:rPr>
          <w:sz w:val="16"/>
        </w:rPr>
      </w:pPr>
    </w:p>
    <w:tbl>
      <w:tblPr>
        <w:tblW w:w="0" w:type="auto"/>
        <w:jc w:val="left"/>
        <w:tblInd w:w="2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4"/>
        <w:gridCol w:w="1101"/>
        <w:gridCol w:w="1080"/>
        <w:gridCol w:w="1082"/>
        <w:gridCol w:w="1067"/>
        <w:gridCol w:w="765"/>
      </w:tblGrid>
      <w:tr>
        <w:trPr>
          <w:trHeight w:val="377" w:hRule="atLeast"/>
        </w:trPr>
        <w:tc>
          <w:tcPr>
            <w:tcW w:w="2054" w:type="dxa"/>
            <w:tcBorders>
              <w:top w:val="single" w:sz="4" w:space="0" w:color="000000"/>
            </w:tcBorders>
            <w:shd w:val="clear" w:color="auto" w:fill="DEEAF6"/>
          </w:tcPr>
          <w:p>
            <w:pPr>
              <w:pStyle w:val="TableParagraph"/>
              <w:rPr>
                <w:rFonts w:ascii="Times New Roman"/>
                <w:sz w:val="14"/>
              </w:rPr>
            </w:pPr>
          </w:p>
        </w:tc>
        <w:tc>
          <w:tcPr>
            <w:tcW w:w="1101" w:type="dxa"/>
            <w:tcBorders>
              <w:top w:val="single" w:sz="4" w:space="0" w:color="000000"/>
            </w:tcBorders>
            <w:shd w:val="clear" w:color="auto" w:fill="DEEAF6"/>
          </w:tcPr>
          <w:p>
            <w:pPr>
              <w:pStyle w:val="TableParagraph"/>
              <w:spacing w:before="109"/>
              <w:ind w:left="419" w:right="364"/>
              <w:jc w:val="center"/>
              <w:rPr>
                <w:b/>
                <w:sz w:val="13"/>
              </w:rPr>
            </w:pPr>
            <w:r>
              <w:rPr>
                <w:b/>
                <w:w w:val="105"/>
                <w:sz w:val="13"/>
              </w:rPr>
              <w:t>2019</w:t>
            </w:r>
          </w:p>
        </w:tc>
        <w:tc>
          <w:tcPr>
            <w:tcW w:w="1080" w:type="dxa"/>
            <w:tcBorders>
              <w:top w:val="single" w:sz="4" w:space="0" w:color="000000"/>
            </w:tcBorders>
            <w:shd w:val="clear" w:color="auto" w:fill="DEEAF6"/>
          </w:tcPr>
          <w:p>
            <w:pPr>
              <w:pStyle w:val="TableParagraph"/>
              <w:spacing w:before="109"/>
              <w:ind w:left="346" w:right="417"/>
              <w:jc w:val="center"/>
              <w:rPr>
                <w:b/>
                <w:sz w:val="13"/>
              </w:rPr>
            </w:pPr>
            <w:r>
              <w:rPr>
                <w:b/>
                <w:w w:val="105"/>
                <w:sz w:val="13"/>
              </w:rPr>
              <w:t>2020</w:t>
            </w:r>
          </w:p>
        </w:tc>
        <w:tc>
          <w:tcPr>
            <w:tcW w:w="1082" w:type="dxa"/>
            <w:tcBorders>
              <w:top w:val="single" w:sz="4" w:space="0" w:color="000000"/>
            </w:tcBorders>
            <w:shd w:val="clear" w:color="auto" w:fill="DEEAF6"/>
          </w:tcPr>
          <w:p>
            <w:pPr>
              <w:pStyle w:val="TableParagraph"/>
              <w:spacing w:before="109"/>
              <w:ind w:left="346" w:right="419"/>
              <w:jc w:val="center"/>
              <w:rPr>
                <w:b/>
                <w:sz w:val="13"/>
              </w:rPr>
            </w:pPr>
            <w:r>
              <w:rPr>
                <w:b/>
                <w:w w:val="105"/>
                <w:sz w:val="13"/>
              </w:rPr>
              <w:t>2021</w:t>
            </w:r>
          </w:p>
        </w:tc>
        <w:tc>
          <w:tcPr>
            <w:tcW w:w="1067" w:type="dxa"/>
            <w:tcBorders>
              <w:top w:val="single" w:sz="4" w:space="0" w:color="000000"/>
            </w:tcBorders>
            <w:shd w:val="clear" w:color="auto" w:fill="DEEAF6"/>
          </w:tcPr>
          <w:p>
            <w:pPr>
              <w:pStyle w:val="TableParagraph"/>
              <w:spacing w:before="109"/>
              <w:ind w:left="109" w:right="166"/>
              <w:jc w:val="center"/>
              <w:rPr>
                <w:b/>
                <w:sz w:val="13"/>
              </w:rPr>
            </w:pPr>
            <w:r>
              <w:rPr>
                <w:b/>
                <w:w w:val="105"/>
                <w:sz w:val="13"/>
              </w:rPr>
              <w:t>2022</w:t>
            </w:r>
          </w:p>
        </w:tc>
        <w:tc>
          <w:tcPr>
            <w:tcW w:w="765" w:type="dxa"/>
            <w:tcBorders>
              <w:top w:val="single" w:sz="4" w:space="0" w:color="000000"/>
            </w:tcBorders>
            <w:shd w:val="clear" w:color="auto" w:fill="DEEAF6"/>
          </w:tcPr>
          <w:p>
            <w:pPr>
              <w:pStyle w:val="TableParagraph"/>
              <w:spacing w:line="247" w:lineRule="auto" w:before="28"/>
              <w:ind w:left="69" w:firstLine="38"/>
              <w:rPr>
                <w:b/>
                <w:sz w:val="13"/>
              </w:rPr>
            </w:pPr>
            <w:r>
              <w:rPr>
                <w:b/>
                <w:w w:val="105"/>
                <w:sz w:val="13"/>
              </w:rPr>
              <w:t>Variación </w:t>
            </w:r>
            <w:r>
              <w:rPr>
                <w:b/>
                <w:sz w:val="13"/>
              </w:rPr>
              <w:t>2019/2022</w:t>
            </w:r>
          </w:p>
        </w:tc>
      </w:tr>
      <w:tr>
        <w:trPr>
          <w:trHeight w:val="263" w:hRule="atLeast"/>
        </w:trPr>
        <w:tc>
          <w:tcPr>
            <w:tcW w:w="2054" w:type="dxa"/>
          </w:tcPr>
          <w:p>
            <w:pPr>
              <w:pStyle w:val="TableParagraph"/>
              <w:spacing w:before="47"/>
              <w:ind w:left="64"/>
              <w:rPr>
                <w:b/>
                <w:sz w:val="13"/>
              </w:rPr>
            </w:pPr>
            <w:r>
              <w:rPr>
                <w:b/>
                <w:w w:val="105"/>
                <w:sz w:val="13"/>
              </w:rPr>
              <w:t>Administración Pública de la CAC</w:t>
            </w:r>
          </w:p>
        </w:tc>
        <w:tc>
          <w:tcPr>
            <w:tcW w:w="1101" w:type="dxa"/>
          </w:tcPr>
          <w:p>
            <w:pPr>
              <w:pStyle w:val="TableParagraph"/>
              <w:spacing w:before="47"/>
              <w:ind w:right="91"/>
              <w:jc w:val="right"/>
              <w:rPr>
                <w:sz w:val="13"/>
              </w:rPr>
            </w:pPr>
            <w:r>
              <w:rPr>
                <w:w w:val="105"/>
                <w:sz w:val="13"/>
              </w:rPr>
              <w:t>-21.554.622,31</w:t>
            </w:r>
          </w:p>
        </w:tc>
        <w:tc>
          <w:tcPr>
            <w:tcW w:w="1080" w:type="dxa"/>
          </w:tcPr>
          <w:p>
            <w:pPr>
              <w:pStyle w:val="TableParagraph"/>
              <w:spacing w:before="47"/>
              <w:ind w:right="93"/>
              <w:jc w:val="right"/>
              <w:rPr>
                <w:sz w:val="13"/>
              </w:rPr>
            </w:pPr>
            <w:r>
              <w:rPr>
                <w:sz w:val="13"/>
              </w:rPr>
              <w:t>-214.120.898,08</w:t>
            </w:r>
          </w:p>
        </w:tc>
        <w:tc>
          <w:tcPr>
            <w:tcW w:w="1082" w:type="dxa"/>
          </w:tcPr>
          <w:p>
            <w:pPr>
              <w:pStyle w:val="TableParagraph"/>
              <w:spacing w:before="47"/>
              <w:ind w:right="95"/>
              <w:jc w:val="right"/>
              <w:rPr>
                <w:sz w:val="13"/>
              </w:rPr>
            </w:pPr>
            <w:r>
              <w:rPr>
                <w:sz w:val="13"/>
              </w:rPr>
              <w:t>-498.816.925,46</w:t>
            </w:r>
          </w:p>
        </w:tc>
        <w:tc>
          <w:tcPr>
            <w:tcW w:w="1067" w:type="dxa"/>
          </w:tcPr>
          <w:p>
            <w:pPr>
              <w:pStyle w:val="TableParagraph"/>
              <w:spacing w:before="47"/>
              <w:ind w:right="73"/>
              <w:jc w:val="right"/>
              <w:rPr>
                <w:sz w:val="13"/>
              </w:rPr>
            </w:pPr>
            <w:r>
              <w:rPr>
                <w:sz w:val="13"/>
              </w:rPr>
              <w:t>-950.240.220,27</w:t>
            </w:r>
          </w:p>
        </w:tc>
        <w:tc>
          <w:tcPr>
            <w:tcW w:w="765" w:type="dxa"/>
          </w:tcPr>
          <w:p>
            <w:pPr>
              <w:pStyle w:val="TableParagraph"/>
              <w:spacing w:before="47"/>
              <w:ind w:right="59"/>
              <w:jc w:val="right"/>
              <w:rPr>
                <w:sz w:val="13"/>
              </w:rPr>
            </w:pPr>
            <w:r>
              <w:rPr>
                <w:w w:val="105"/>
                <w:sz w:val="13"/>
              </w:rPr>
              <w:t>4308,52%</w:t>
            </w:r>
          </w:p>
        </w:tc>
      </w:tr>
      <w:tr>
        <w:trPr>
          <w:trHeight w:val="251" w:hRule="atLeast"/>
        </w:trPr>
        <w:tc>
          <w:tcPr>
            <w:tcW w:w="2054" w:type="dxa"/>
          </w:tcPr>
          <w:p>
            <w:pPr>
              <w:pStyle w:val="TableParagraph"/>
              <w:spacing w:before="36"/>
              <w:ind w:left="64"/>
              <w:rPr>
                <w:b/>
                <w:sz w:val="13"/>
              </w:rPr>
            </w:pPr>
            <w:r>
              <w:rPr>
                <w:b/>
                <w:w w:val="105"/>
                <w:sz w:val="13"/>
              </w:rPr>
              <w:t>Organismos Autónomos</w:t>
            </w:r>
          </w:p>
        </w:tc>
        <w:tc>
          <w:tcPr>
            <w:tcW w:w="1101" w:type="dxa"/>
          </w:tcPr>
          <w:p>
            <w:pPr>
              <w:pStyle w:val="TableParagraph"/>
              <w:spacing w:before="36"/>
              <w:ind w:right="92"/>
              <w:jc w:val="right"/>
              <w:rPr>
                <w:sz w:val="13"/>
              </w:rPr>
            </w:pPr>
            <w:r>
              <w:rPr>
                <w:sz w:val="13"/>
              </w:rPr>
              <w:t>431.637.109,14</w:t>
            </w:r>
          </w:p>
        </w:tc>
        <w:tc>
          <w:tcPr>
            <w:tcW w:w="1080" w:type="dxa"/>
          </w:tcPr>
          <w:p>
            <w:pPr>
              <w:pStyle w:val="TableParagraph"/>
              <w:spacing w:before="36"/>
              <w:ind w:right="93"/>
              <w:jc w:val="right"/>
              <w:rPr>
                <w:sz w:val="13"/>
              </w:rPr>
            </w:pPr>
            <w:r>
              <w:rPr>
                <w:sz w:val="13"/>
              </w:rPr>
              <w:t>325.957.856,42</w:t>
            </w:r>
          </w:p>
        </w:tc>
        <w:tc>
          <w:tcPr>
            <w:tcW w:w="1082" w:type="dxa"/>
          </w:tcPr>
          <w:p>
            <w:pPr>
              <w:pStyle w:val="TableParagraph"/>
              <w:spacing w:before="36"/>
              <w:ind w:right="95"/>
              <w:jc w:val="right"/>
              <w:rPr>
                <w:sz w:val="13"/>
              </w:rPr>
            </w:pPr>
            <w:r>
              <w:rPr>
                <w:sz w:val="13"/>
              </w:rPr>
              <w:t>349.809.198,06</w:t>
            </w:r>
          </w:p>
        </w:tc>
        <w:tc>
          <w:tcPr>
            <w:tcW w:w="1067" w:type="dxa"/>
          </w:tcPr>
          <w:p>
            <w:pPr>
              <w:pStyle w:val="TableParagraph"/>
              <w:spacing w:before="36"/>
              <w:ind w:right="74"/>
              <w:jc w:val="right"/>
              <w:rPr>
                <w:sz w:val="13"/>
              </w:rPr>
            </w:pPr>
            <w:r>
              <w:rPr>
                <w:sz w:val="13"/>
              </w:rPr>
              <w:t>203.751.755,58</w:t>
            </w:r>
          </w:p>
        </w:tc>
        <w:tc>
          <w:tcPr>
            <w:tcW w:w="765" w:type="dxa"/>
          </w:tcPr>
          <w:p>
            <w:pPr>
              <w:pStyle w:val="TableParagraph"/>
              <w:spacing w:before="36"/>
              <w:ind w:right="58"/>
              <w:jc w:val="right"/>
              <w:rPr>
                <w:sz w:val="13"/>
              </w:rPr>
            </w:pPr>
            <w:r>
              <w:rPr>
                <w:w w:val="105"/>
                <w:sz w:val="13"/>
              </w:rPr>
              <w:t>-52,80%</w:t>
            </w:r>
          </w:p>
        </w:tc>
      </w:tr>
      <w:tr>
        <w:trPr>
          <w:trHeight w:val="251" w:hRule="atLeast"/>
        </w:trPr>
        <w:tc>
          <w:tcPr>
            <w:tcW w:w="2054" w:type="dxa"/>
          </w:tcPr>
          <w:p>
            <w:pPr>
              <w:pStyle w:val="TableParagraph"/>
              <w:spacing w:before="36"/>
              <w:ind w:left="64"/>
              <w:rPr>
                <w:b/>
                <w:sz w:val="13"/>
              </w:rPr>
            </w:pPr>
            <w:r>
              <w:rPr>
                <w:b/>
                <w:w w:val="105"/>
                <w:sz w:val="13"/>
              </w:rPr>
              <w:t>Entidades Publicas</w:t>
            </w:r>
          </w:p>
        </w:tc>
        <w:tc>
          <w:tcPr>
            <w:tcW w:w="1101" w:type="dxa"/>
          </w:tcPr>
          <w:p>
            <w:pPr>
              <w:pStyle w:val="TableParagraph"/>
              <w:spacing w:before="36"/>
              <w:ind w:right="91"/>
              <w:jc w:val="right"/>
              <w:rPr>
                <w:sz w:val="13"/>
              </w:rPr>
            </w:pPr>
            <w:r>
              <w:rPr>
                <w:w w:val="105"/>
                <w:sz w:val="13"/>
              </w:rPr>
              <w:t>23.232.294,66</w:t>
            </w:r>
          </w:p>
        </w:tc>
        <w:tc>
          <w:tcPr>
            <w:tcW w:w="1080" w:type="dxa"/>
          </w:tcPr>
          <w:p>
            <w:pPr>
              <w:pStyle w:val="TableParagraph"/>
              <w:spacing w:before="36"/>
              <w:ind w:right="93"/>
              <w:jc w:val="right"/>
              <w:rPr>
                <w:sz w:val="13"/>
              </w:rPr>
            </w:pPr>
            <w:r>
              <w:rPr>
                <w:w w:val="105"/>
                <w:sz w:val="13"/>
              </w:rPr>
              <w:t>35.885.166,98</w:t>
            </w:r>
          </w:p>
        </w:tc>
        <w:tc>
          <w:tcPr>
            <w:tcW w:w="1082" w:type="dxa"/>
          </w:tcPr>
          <w:p>
            <w:pPr>
              <w:pStyle w:val="TableParagraph"/>
              <w:spacing w:before="36"/>
              <w:ind w:right="95"/>
              <w:jc w:val="right"/>
              <w:rPr>
                <w:sz w:val="13"/>
              </w:rPr>
            </w:pPr>
            <w:r>
              <w:rPr>
                <w:w w:val="105"/>
                <w:sz w:val="13"/>
              </w:rPr>
              <w:t>44.137.820,15</w:t>
            </w:r>
          </w:p>
        </w:tc>
        <w:tc>
          <w:tcPr>
            <w:tcW w:w="1067" w:type="dxa"/>
          </w:tcPr>
          <w:p>
            <w:pPr>
              <w:pStyle w:val="TableParagraph"/>
              <w:spacing w:before="36"/>
              <w:ind w:right="73"/>
              <w:jc w:val="right"/>
              <w:rPr>
                <w:sz w:val="13"/>
              </w:rPr>
            </w:pPr>
            <w:r>
              <w:rPr>
                <w:w w:val="105"/>
                <w:sz w:val="13"/>
              </w:rPr>
              <w:t>15.900.546,84</w:t>
            </w:r>
          </w:p>
        </w:tc>
        <w:tc>
          <w:tcPr>
            <w:tcW w:w="765" w:type="dxa"/>
          </w:tcPr>
          <w:p>
            <w:pPr>
              <w:pStyle w:val="TableParagraph"/>
              <w:spacing w:before="36"/>
              <w:ind w:right="58"/>
              <w:jc w:val="right"/>
              <w:rPr>
                <w:sz w:val="13"/>
              </w:rPr>
            </w:pPr>
            <w:r>
              <w:rPr>
                <w:w w:val="105"/>
                <w:sz w:val="13"/>
              </w:rPr>
              <w:t>-31,56%</w:t>
            </w:r>
          </w:p>
        </w:tc>
      </w:tr>
      <w:tr>
        <w:trPr>
          <w:trHeight w:val="251" w:hRule="atLeast"/>
        </w:trPr>
        <w:tc>
          <w:tcPr>
            <w:tcW w:w="2054" w:type="dxa"/>
          </w:tcPr>
          <w:p>
            <w:pPr>
              <w:pStyle w:val="TableParagraph"/>
              <w:spacing w:before="36"/>
              <w:ind w:left="64"/>
              <w:rPr>
                <w:b/>
                <w:sz w:val="13"/>
              </w:rPr>
            </w:pPr>
            <w:r>
              <w:rPr>
                <w:b/>
                <w:w w:val="105"/>
                <w:sz w:val="13"/>
              </w:rPr>
              <w:t>Consorcios</w:t>
            </w:r>
          </w:p>
        </w:tc>
        <w:tc>
          <w:tcPr>
            <w:tcW w:w="1101" w:type="dxa"/>
          </w:tcPr>
          <w:p>
            <w:pPr>
              <w:pStyle w:val="TableParagraph"/>
              <w:spacing w:before="36"/>
              <w:ind w:right="91"/>
              <w:jc w:val="right"/>
              <w:rPr>
                <w:sz w:val="13"/>
              </w:rPr>
            </w:pPr>
            <w:r>
              <w:rPr>
                <w:w w:val="105"/>
                <w:sz w:val="13"/>
              </w:rPr>
              <w:t>38.221.519,94</w:t>
            </w:r>
          </w:p>
        </w:tc>
        <w:tc>
          <w:tcPr>
            <w:tcW w:w="1080" w:type="dxa"/>
          </w:tcPr>
          <w:p>
            <w:pPr>
              <w:pStyle w:val="TableParagraph"/>
              <w:spacing w:before="36"/>
              <w:ind w:right="93"/>
              <w:jc w:val="right"/>
              <w:rPr>
                <w:sz w:val="13"/>
              </w:rPr>
            </w:pPr>
            <w:r>
              <w:rPr>
                <w:w w:val="105"/>
                <w:sz w:val="13"/>
              </w:rPr>
              <w:t>43.773.273,32</w:t>
            </w:r>
          </w:p>
        </w:tc>
        <w:tc>
          <w:tcPr>
            <w:tcW w:w="1082" w:type="dxa"/>
          </w:tcPr>
          <w:p>
            <w:pPr>
              <w:pStyle w:val="TableParagraph"/>
              <w:spacing w:before="36"/>
              <w:ind w:right="95"/>
              <w:jc w:val="right"/>
              <w:rPr>
                <w:sz w:val="13"/>
              </w:rPr>
            </w:pPr>
            <w:r>
              <w:rPr>
                <w:w w:val="105"/>
                <w:sz w:val="13"/>
              </w:rPr>
              <w:t>40.525.982,08</w:t>
            </w:r>
          </w:p>
        </w:tc>
        <w:tc>
          <w:tcPr>
            <w:tcW w:w="1067" w:type="dxa"/>
          </w:tcPr>
          <w:p>
            <w:pPr>
              <w:pStyle w:val="TableParagraph"/>
              <w:spacing w:before="36"/>
              <w:ind w:right="73"/>
              <w:jc w:val="right"/>
              <w:rPr>
                <w:sz w:val="13"/>
              </w:rPr>
            </w:pPr>
            <w:r>
              <w:rPr>
                <w:w w:val="105"/>
                <w:sz w:val="13"/>
              </w:rPr>
              <w:t>43.510.031,84</w:t>
            </w:r>
          </w:p>
        </w:tc>
        <w:tc>
          <w:tcPr>
            <w:tcW w:w="765" w:type="dxa"/>
          </w:tcPr>
          <w:p>
            <w:pPr>
              <w:pStyle w:val="TableParagraph"/>
              <w:spacing w:before="36"/>
              <w:ind w:right="58"/>
              <w:jc w:val="right"/>
              <w:rPr>
                <w:sz w:val="13"/>
              </w:rPr>
            </w:pPr>
            <w:r>
              <w:rPr>
                <w:sz w:val="13"/>
              </w:rPr>
              <w:t>13,84%</w:t>
            </w:r>
          </w:p>
        </w:tc>
      </w:tr>
      <w:tr>
        <w:trPr>
          <w:trHeight w:val="239" w:hRule="atLeast"/>
        </w:trPr>
        <w:tc>
          <w:tcPr>
            <w:tcW w:w="2054" w:type="dxa"/>
            <w:tcBorders>
              <w:bottom w:val="single" w:sz="4" w:space="0" w:color="000000"/>
            </w:tcBorders>
          </w:tcPr>
          <w:p>
            <w:pPr>
              <w:pStyle w:val="TableParagraph"/>
              <w:spacing w:before="36"/>
              <w:ind w:left="64"/>
              <w:rPr>
                <w:b/>
                <w:sz w:val="13"/>
              </w:rPr>
            </w:pPr>
            <w:r>
              <w:rPr>
                <w:b/>
                <w:w w:val="105"/>
                <w:sz w:val="13"/>
              </w:rPr>
              <w:t>Total Agregado</w:t>
            </w:r>
          </w:p>
        </w:tc>
        <w:tc>
          <w:tcPr>
            <w:tcW w:w="1101" w:type="dxa"/>
            <w:tcBorders>
              <w:bottom w:val="single" w:sz="4" w:space="0" w:color="000000"/>
            </w:tcBorders>
          </w:tcPr>
          <w:p>
            <w:pPr>
              <w:pStyle w:val="TableParagraph"/>
              <w:spacing w:before="36"/>
              <w:ind w:right="92"/>
              <w:jc w:val="right"/>
              <w:rPr>
                <w:b/>
                <w:sz w:val="13"/>
              </w:rPr>
            </w:pPr>
            <w:r>
              <w:rPr>
                <w:b/>
                <w:sz w:val="13"/>
              </w:rPr>
              <w:t>471.536.301,43</w:t>
            </w:r>
          </w:p>
        </w:tc>
        <w:tc>
          <w:tcPr>
            <w:tcW w:w="1080" w:type="dxa"/>
            <w:tcBorders>
              <w:bottom w:val="single" w:sz="4" w:space="0" w:color="000000"/>
            </w:tcBorders>
          </w:tcPr>
          <w:p>
            <w:pPr>
              <w:pStyle w:val="TableParagraph"/>
              <w:spacing w:before="36"/>
              <w:ind w:right="93"/>
              <w:jc w:val="right"/>
              <w:rPr>
                <w:b/>
                <w:sz w:val="13"/>
              </w:rPr>
            </w:pPr>
            <w:r>
              <w:rPr>
                <w:b/>
                <w:sz w:val="13"/>
              </w:rPr>
              <w:t>191.495.398,64</w:t>
            </w:r>
          </w:p>
        </w:tc>
        <w:tc>
          <w:tcPr>
            <w:tcW w:w="1082" w:type="dxa"/>
            <w:tcBorders>
              <w:bottom w:val="single" w:sz="4" w:space="0" w:color="000000"/>
            </w:tcBorders>
          </w:tcPr>
          <w:p>
            <w:pPr>
              <w:pStyle w:val="TableParagraph"/>
              <w:spacing w:before="36"/>
              <w:ind w:right="95"/>
              <w:jc w:val="right"/>
              <w:rPr>
                <w:b/>
                <w:sz w:val="13"/>
              </w:rPr>
            </w:pPr>
            <w:r>
              <w:rPr>
                <w:b/>
                <w:sz w:val="13"/>
              </w:rPr>
              <w:t>-64.343.925,17</w:t>
            </w:r>
          </w:p>
        </w:tc>
        <w:tc>
          <w:tcPr>
            <w:tcW w:w="1067" w:type="dxa"/>
            <w:tcBorders>
              <w:bottom w:val="single" w:sz="4" w:space="0" w:color="000000"/>
            </w:tcBorders>
          </w:tcPr>
          <w:p>
            <w:pPr>
              <w:pStyle w:val="TableParagraph"/>
              <w:spacing w:before="36"/>
              <w:ind w:right="73"/>
              <w:jc w:val="right"/>
              <w:rPr>
                <w:b/>
                <w:sz w:val="13"/>
              </w:rPr>
            </w:pPr>
            <w:r>
              <w:rPr>
                <w:b/>
                <w:w w:val="105"/>
                <w:sz w:val="13"/>
              </w:rPr>
              <w:t>-687.077.886,01</w:t>
            </w:r>
          </w:p>
        </w:tc>
        <w:tc>
          <w:tcPr>
            <w:tcW w:w="765" w:type="dxa"/>
            <w:tcBorders>
              <w:bottom w:val="single" w:sz="4" w:space="0" w:color="000000"/>
            </w:tcBorders>
          </w:tcPr>
          <w:p>
            <w:pPr>
              <w:pStyle w:val="TableParagraph"/>
              <w:spacing w:before="36"/>
              <w:ind w:right="58"/>
              <w:jc w:val="right"/>
              <w:rPr>
                <w:b/>
                <w:sz w:val="13"/>
              </w:rPr>
            </w:pPr>
            <w:r>
              <w:rPr>
                <w:b/>
                <w:w w:val="105"/>
                <w:sz w:val="13"/>
              </w:rPr>
              <w:t>-245,71%</w:t>
            </w:r>
          </w:p>
        </w:tc>
      </w:tr>
    </w:tbl>
    <w:p>
      <w:pPr>
        <w:pStyle w:val="BodyText"/>
        <w:spacing w:before="3"/>
        <w:rPr>
          <w:sz w:val="16"/>
        </w:rPr>
      </w:pPr>
    </w:p>
    <w:p>
      <w:pPr>
        <w:pStyle w:val="BodyText"/>
        <w:spacing w:line="242" w:lineRule="auto"/>
        <w:ind w:left="2096" w:right="1140" w:firstLine="594"/>
        <w:jc w:val="both"/>
      </w:pPr>
      <w:r>
        <w:rPr/>
        <w:t>Las cifras ponen de manifiesto que se ha pasado (en 2019) de un Remanente agregado positivo de 471 millones de € a un importe negativo de 687 millones de €. Resulta especialmente sobresaliente la evolución del Remanente de la Administración de</w:t>
      </w:r>
      <w:r>
        <w:rPr>
          <w:spacing w:val="-4"/>
        </w:rPr>
        <w:t> </w:t>
      </w:r>
      <w:r>
        <w:rPr/>
        <w:t>la</w:t>
      </w:r>
      <w:r>
        <w:rPr>
          <w:spacing w:val="-4"/>
        </w:rPr>
        <w:t> </w:t>
      </w:r>
      <w:r>
        <w:rPr/>
        <w:t>CAC,</w:t>
      </w:r>
      <w:r>
        <w:rPr>
          <w:spacing w:val="-4"/>
        </w:rPr>
        <w:t> </w:t>
      </w:r>
      <w:r>
        <w:rPr/>
        <w:t>que</w:t>
      </w:r>
      <w:r>
        <w:rPr>
          <w:spacing w:val="-6"/>
        </w:rPr>
        <w:t> </w:t>
      </w:r>
      <w:r>
        <w:rPr/>
        <w:t>ha</w:t>
      </w:r>
      <w:r>
        <w:rPr>
          <w:spacing w:val="-5"/>
        </w:rPr>
        <w:t> </w:t>
      </w:r>
      <w:r>
        <w:rPr/>
        <w:t>pasado</w:t>
      </w:r>
      <w:r>
        <w:rPr>
          <w:spacing w:val="-6"/>
        </w:rPr>
        <w:t> </w:t>
      </w:r>
      <w:r>
        <w:rPr/>
        <w:t>de</w:t>
      </w:r>
      <w:r>
        <w:rPr>
          <w:spacing w:val="-6"/>
        </w:rPr>
        <w:t> </w:t>
      </w:r>
      <w:r>
        <w:rPr/>
        <w:t>una</w:t>
      </w:r>
      <w:r>
        <w:rPr>
          <w:spacing w:val="-3"/>
        </w:rPr>
        <w:t> </w:t>
      </w:r>
      <w:r>
        <w:rPr/>
        <w:t>situación</w:t>
      </w:r>
      <w:r>
        <w:rPr>
          <w:spacing w:val="-4"/>
        </w:rPr>
        <w:t> </w:t>
      </w:r>
      <w:r>
        <w:rPr/>
        <w:t>de</w:t>
      </w:r>
      <w:r>
        <w:rPr>
          <w:spacing w:val="-3"/>
        </w:rPr>
        <w:t> </w:t>
      </w:r>
      <w:r>
        <w:rPr/>
        <w:t>equilibrio</w:t>
      </w:r>
      <w:r>
        <w:rPr>
          <w:spacing w:val="-4"/>
        </w:rPr>
        <w:t> </w:t>
      </w:r>
      <w:r>
        <w:rPr/>
        <w:t>en</w:t>
      </w:r>
      <w:r>
        <w:rPr>
          <w:spacing w:val="-3"/>
        </w:rPr>
        <w:t> </w:t>
      </w:r>
      <w:r>
        <w:rPr/>
        <w:t>2019</w:t>
      </w:r>
      <w:r>
        <w:rPr>
          <w:spacing w:val="-6"/>
        </w:rPr>
        <w:t> </w:t>
      </w:r>
      <w:r>
        <w:rPr/>
        <w:t>(21</w:t>
      </w:r>
      <w:r>
        <w:rPr>
          <w:spacing w:val="-3"/>
        </w:rPr>
        <w:t> </w:t>
      </w:r>
      <w:r>
        <w:rPr/>
        <w:t>millones</w:t>
      </w:r>
      <w:r>
        <w:rPr>
          <w:spacing w:val="-5"/>
        </w:rPr>
        <w:t> </w:t>
      </w:r>
      <w:r>
        <w:rPr/>
        <w:t>negativos), a un Remanente negativo de 950 millones de €. De hecho, el resto de las entidades que conforman el sector público autonómico, con presupuesto limitativo, no presentan, de manera agregada, cifras</w:t>
      </w:r>
      <w:r>
        <w:rPr>
          <w:spacing w:val="-3"/>
        </w:rPr>
        <w:t> </w:t>
      </w:r>
      <w:r>
        <w:rPr/>
        <w:t>negativas.</w:t>
      </w:r>
    </w:p>
    <w:p>
      <w:pPr>
        <w:pStyle w:val="BodyText"/>
      </w:pPr>
    </w:p>
    <w:p>
      <w:pPr>
        <w:pStyle w:val="BodyText"/>
        <w:spacing w:before="9"/>
        <w:rPr>
          <w:sz w:val="10"/>
        </w:rPr>
      </w:pPr>
      <w:r>
        <w:rPr/>
        <w:pict>
          <v:group style="position:absolute;margin-left:142.485168pt;margin-top:8.550437pt;width:352.05pt;height:216.3pt;mso-position-horizontal-relative:page;mso-position-vertical-relative:paragraph;z-index:-251623424;mso-wrap-distance-left:0;mso-wrap-distance-right:0" coordorigin="2850,171" coordsize="7041,4326">
            <v:line style="position:absolute" from="4223,3380" to="9699,3380" stroked="true" strokeweight=".629697pt" strokecolor="#d9d9d9">
              <v:stroke dashstyle="solid"/>
            </v:line>
            <v:line style="position:absolute" from="4223,3084" to="9699,3084" stroked="true" strokeweight=".629697pt" strokecolor="#d9d9d9">
              <v:stroke dashstyle="solid"/>
            </v:line>
            <v:line style="position:absolute" from="8740,2788" to="9699,2788" stroked="true" strokeweight=".629697pt" strokecolor="#d9d9d9">
              <v:stroke dashstyle="solid"/>
            </v:line>
            <v:line style="position:absolute" from="4223,2788" to="8544,2788" stroked="true" strokeweight=".629697pt" strokecolor="#d9d9d9">
              <v:stroke dashstyle="solid"/>
            </v:line>
            <v:line style="position:absolute" from="8740,2492" to="9699,2492" stroked="true" strokeweight=".629697pt" strokecolor="#d9d9d9">
              <v:stroke dashstyle="solid"/>
            </v:line>
            <v:line style="position:absolute" from="4223,2492" to="8544,2492" stroked="true" strokeweight=".629697pt" strokecolor="#d9d9d9">
              <v:stroke dashstyle="solid"/>
            </v:line>
            <v:line style="position:absolute" from="8740,2198" to="9699,2198" stroked="true" strokeweight=".629697pt" strokecolor="#d9d9d9">
              <v:stroke dashstyle="solid"/>
            </v:line>
            <v:line style="position:absolute" from="7370,2198" to="8544,2198" stroked="true" strokeweight=".629697pt" strokecolor="#d9d9d9">
              <v:stroke dashstyle="solid"/>
            </v:line>
            <v:line style="position:absolute" from="4223,2198" to="7174,2198" stroked="true" strokeweight=".629697pt" strokecolor="#d9d9d9">
              <v:stroke dashstyle="solid"/>
            </v:line>
            <v:line style="position:absolute" from="7370,1902" to="8544,1902" stroked="true" strokeweight=".629697pt" strokecolor="#d9d9d9">
              <v:stroke dashstyle="solid"/>
            </v:line>
            <v:line style="position:absolute" from="6001,1902" to="7174,1902" stroked="true" strokeweight=".629697pt" strokecolor="#d9d9d9">
              <v:stroke dashstyle="solid"/>
            </v:line>
            <v:line style="position:absolute" from="4223,1902" to="5806,1902" stroked="true" strokeweight=".629697pt" strokecolor="#d9d9d9">
              <v:stroke dashstyle="solid"/>
            </v:line>
            <v:rect style="position:absolute;left:5806;top:1605;width:196;height:317" filled="true" fillcolor="#4471c4" stroked="false">
              <v:fill type="solid"/>
            </v:rect>
            <v:rect style="position:absolute;left:7174;top:1605;width:196;height:738" filled="true" fillcolor="#4471c4" stroked="false">
              <v:fill type="solid"/>
            </v:rect>
            <v:line style="position:absolute" from="8740,1902" to="9699,1902" stroked="true" strokeweight=".629697pt" strokecolor="#d9d9d9">
              <v:stroke dashstyle="solid"/>
            </v:line>
            <v:rect style="position:absolute;left:8544;top:1605;width:196;height:1405" filled="true" fillcolor="#4471c4" stroked="false">
              <v:fill type="solid"/>
            </v:rect>
            <v:line style="position:absolute" from="4881,1309" to="6054,1309" stroked="true" strokeweight=".629697pt" strokecolor="#d9d9d9">
              <v:stroke dashstyle="solid"/>
            </v:line>
            <v:line style="position:absolute" from="4223,1309" to="4686,1309" stroked="true" strokeweight=".629697pt" strokecolor="#d9d9d9">
              <v:stroke dashstyle="solid"/>
            </v:line>
            <v:line style="position:absolute" from="4881,1013" to="9699,1013" stroked="true" strokeweight=".629697pt" strokecolor="#d9d9d9">
              <v:stroke dashstyle="solid"/>
            </v:line>
            <v:line style="position:absolute" from="4223,1013" to="4686,1013" stroked="true" strokeweight=".629697pt" strokecolor="#d9d9d9">
              <v:stroke dashstyle="solid"/>
            </v:line>
            <v:rect style="position:absolute;left:4685;top:966;width:196;height:639" filled="true" fillcolor="#ec7c30" stroked="false">
              <v:fill type="solid"/>
            </v:rect>
            <v:line style="position:absolute" from="6249,1309" to="7424,1309" stroked="true" strokeweight=".629697pt" strokecolor="#d9d9d9">
              <v:stroke dashstyle="solid"/>
            </v:line>
            <v:rect style="position:absolute;left:6053;top:1123;width:196;height:482" filled="true" fillcolor="#ec7c30" stroked="false">
              <v:fill type="solid"/>
            </v:rect>
            <v:line style="position:absolute" from="7620,1309" to="9699,1309" stroked="true" strokeweight=".629697pt" strokecolor="#d9d9d9">
              <v:stroke dashstyle="solid"/>
            </v:line>
            <v:rect style="position:absolute;left:7424;top:1087;width:196;height:518" filled="true" fillcolor="#ec7c30" stroked="false">
              <v:fill type="solid"/>
            </v:rect>
            <v:rect style="position:absolute;left:8792;top:1303;width:196;height:303" filled="true" fillcolor="#ec7c30" stroked="false">
              <v:fill type="solid"/>
            </v:rect>
            <v:line style="position:absolute" from="4933,1588" to="5129,1588" stroked="true" strokeweight="1.712777pt" strokecolor="#a4a4a4">
              <v:stroke dashstyle="solid"/>
            </v:line>
            <v:line style="position:absolute" from="6302,1579" to="6497,1579" stroked="true" strokeweight="2.619542pt" strokecolor="#a4a4a4">
              <v:stroke dashstyle="solid"/>
            </v:line>
            <v:line style="position:absolute" from="7672,1573" to="7867,1573" stroked="true" strokeweight="3.224051pt" strokecolor="#a4a4a4">
              <v:stroke dashstyle="solid"/>
            </v:line>
            <v:line style="position:absolute" from="9040,1593" to="9236,1593" stroked="true" strokeweight="1.209019pt" strokecolor="#a4a4a4">
              <v:stroke dashstyle="solid"/>
            </v:line>
            <v:line style="position:absolute" from="5181,1577" to="5377,1577" stroked="true" strokeweight="2.821045pt" strokecolor="#ffc000">
              <v:stroke dashstyle="solid"/>
            </v:line>
            <v:line style="position:absolute" from="6552,1573" to="6747,1573" stroked="true" strokeweight="3.224051pt" strokecolor="#ffc000">
              <v:stroke dashstyle="solid"/>
            </v:line>
            <v:line style="position:absolute" from="7920,1575" to="8115,1575" stroked="true" strokeweight="3.022548pt" strokecolor="#ffc000">
              <v:stroke dashstyle="solid"/>
            </v:line>
            <v:line style="position:absolute" from="9288,1573" to="9485,1573" stroked="true" strokeweight="3.224051pt" strokecolor="#ffc000">
              <v:stroke dashstyle="solid"/>
            </v:line>
            <v:line style="position:absolute" from="4223,1605" to="9699,1605" stroked="true" strokeweight=".629697pt" strokecolor="#d9d9d9">
              <v:stroke dashstyle="solid"/>
            </v:line>
            <v:shape style="position:absolute;left:4906;top:907;width:4108;height:1714" coordorigin="4907,908" coordsize="4108,1714" path="m4907,908l6276,1321,7646,1700,9014,2621e" filled="false" stroked="true" strokeweight="1.889092pt" strokecolor="#5b9bd4">
              <v:path arrowok="t"/>
              <v:stroke dashstyle="solid"/>
            </v:shape>
            <v:line style="position:absolute" from="4223,718" to="9699,718" stroked="true" strokeweight=".629697pt" strokecolor="#d9d9d9">
              <v:stroke dashstyle="solid"/>
            </v:line>
            <v:line style="position:absolute" from="3677,3706" to="3999,3706" stroked="true" strokeweight="4.150378pt" strokecolor="#4471c4">
              <v:stroke dashstyle="solid"/>
            </v:line>
            <v:line style="position:absolute" from="6423,3706" to="6745,3706" stroked="true" strokeweight="4.150378pt" strokecolor="#ec7c30">
              <v:stroke dashstyle="solid"/>
            </v:line>
            <v:line style="position:absolute" from="3677,3990" to="3999,3990" stroked="true" strokeweight="4.150378pt" strokecolor="#a4a4a4">
              <v:stroke dashstyle="solid"/>
            </v:line>
            <v:line style="position:absolute" from="6423,3990" to="6745,3990" stroked="true" strokeweight="4.150378pt" strokecolor="#ffc000">
              <v:stroke dashstyle="solid"/>
            </v:line>
            <v:line style="position:absolute" from="3677,4273" to="3999,4273" stroked="true" strokeweight="1.889092pt" strokecolor="#5b9bd4">
              <v:stroke dashstyle="solid"/>
            </v:line>
            <v:rect style="position:absolute;left:2856;top:177;width:7028;height:4313" filled="false" stroked="true" strokeweight=".629697pt" strokecolor="#d9d9d9">
              <v:stroke dashstyle="solid"/>
            </v:rect>
            <v:shape style="position:absolute;left:4033;top:3920;width:3585;height:435" type="#_x0000_t202" filled="false" stroked="false">
              <v:textbox inset="0,0,0,0">
                <w:txbxContent>
                  <w:p>
                    <w:pPr>
                      <w:tabs>
                        <w:tab w:pos="2746" w:val="left" w:leader="none"/>
                      </w:tabs>
                      <w:spacing w:line="154" w:lineRule="exact" w:before="0"/>
                      <w:ind w:left="0" w:right="0" w:firstLine="0"/>
                      <w:jc w:val="left"/>
                      <w:rPr>
                        <w:sz w:val="15"/>
                      </w:rPr>
                    </w:pPr>
                    <w:r>
                      <w:rPr>
                        <w:color w:val="585858"/>
                        <w:sz w:val="15"/>
                      </w:rPr>
                      <w:t>ENTIDADES PUBLICAS</w:t>
                      <w:tab/>
                      <w:t>CONSORCIOS</w:t>
                    </w:r>
                  </w:p>
                  <w:p>
                    <w:pPr>
                      <w:spacing w:line="181" w:lineRule="exact" w:before="100"/>
                      <w:ind w:left="0" w:right="0" w:firstLine="0"/>
                      <w:jc w:val="left"/>
                      <w:rPr>
                        <w:sz w:val="15"/>
                      </w:rPr>
                    </w:pPr>
                    <w:r>
                      <w:rPr>
                        <w:color w:val="585858"/>
                        <w:sz w:val="15"/>
                      </w:rPr>
                      <w:t>TOTAL AGREGADO</w:t>
                    </w:r>
                  </w:p>
                </w:txbxContent>
              </v:textbox>
              <w10:wrap type="none"/>
            </v:shape>
            <v:shape style="position:absolute;left:6780;top:3636;width:1778;height:152" type="#_x0000_t202" filled="false" stroked="false">
              <v:textbox inset="0,0,0,0">
                <w:txbxContent>
                  <w:p>
                    <w:pPr>
                      <w:spacing w:line="151" w:lineRule="exact" w:before="0"/>
                      <w:ind w:left="0" w:right="0" w:firstLine="0"/>
                      <w:jc w:val="left"/>
                      <w:rPr>
                        <w:sz w:val="15"/>
                      </w:rPr>
                    </w:pPr>
                    <w:r>
                      <w:rPr>
                        <w:color w:val="585858"/>
                        <w:sz w:val="15"/>
                      </w:rPr>
                      <w:t>ORGANISMOS AUTONOMOS</w:t>
                    </w:r>
                  </w:p>
                </w:txbxContent>
              </v:textbox>
              <w10:wrap type="none"/>
            </v:shape>
            <v:shape style="position:absolute;left:2965;top:2127;width:3431;height:1661" type="#_x0000_t202" filled="false" stroked="false">
              <v:textbox inset="0,0,0,0">
                <w:txbxContent>
                  <w:p>
                    <w:pPr>
                      <w:spacing w:line="154" w:lineRule="exact" w:before="0"/>
                      <w:ind w:left="114" w:right="0" w:firstLine="0"/>
                      <w:jc w:val="left"/>
                      <w:rPr>
                        <w:sz w:val="15"/>
                      </w:rPr>
                    </w:pPr>
                    <w:r>
                      <w:rPr>
                        <w:color w:val="585858"/>
                        <w:sz w:val="15"/>
                      </w:rPr>
                      <w:t>-400.000.000,00</w:t>
                    </w:r>
                  </w:p>
                  <w:p>
                    <w:pPr>
                      <w:spacing w:before="112"/>
                      <w:ind w:left="0" w:right="2310" w:firstLine="0"/>
                      <w:jc w:val="right"/>
                      <w:rPr>
                        <w:sz w:val="15"/>
                      </w:rPr>
                    </w:pPr>
                    <w:r>
                      <w:rPr>
                        <w:color w:val="585858"/>
                        <w:spacing w:val="-1"/>
                        <w:sz w:val="15"/>
                      </w:rPr>
                      <w:t>-600.000.000,00</w:t>
                    </w:r>
                  </w:p>
                  <w:p>
                    <w:pPr>
                      <w:spacing w:before="113"/>
                      <w:ind w:left="0" w:right="2310" w:firstLine="0"/>
                      <w:jc w:val="right"/>
                      <w:rPr>
                        <w:sz w:val="15"/>
                      </w:rPr>
                    </w:pPr>
                    <w:r>
                      <w:rPr>
                        <w:color w:val="585858"/>
                        <w:spacing w:val="-1"/>
                        <w:sz w:val="15"/>
                      </w:rPr>
                      <w:t>-800.000.000,00</w:t>
                    </w:r>
                  </w:p>
                  <w:p>
                    <w:pPr>
                      <w:spacing w:before="113"/>
                      <w:ind w:left="0" w:right="2312" w:firstLine="0"/>
                      <w:jc w:val="right"/>
                      <w:rPr>
                        <w:sz w:val="15"/>
                      </w:rPr>
                    </w:pPr>
                    <w:r>
                      <w:rPr>
                        <w:color w:val="585858"/>
                        <w:spacing w:val="-1"/>
                        <w:sz w:val="15"/>
                      </w:rPr>
                      <w:t>-1.000.000.000,00</w:t>
                    </w:r>
                  </w:p>
                  <w:p>
                    <w:pPr>
                      <w:spacing w:before="113"/>
                      <w:ind w:left="0" w:right="2312" w:firstLine="0"/>
                      <w:jc w:val="right"/>
                      <w:rPr>
                        <w:sz w:val="15"/>
                      </w:rPr>
                    </w:pPr>
                    <w:r>
                      <w:rPr>
                        <w:color w:val="585858"/>
                        <w:spacing w:val="-1"/>
                        <w:sz w:val="15"/>
                      </w:rPr>
                      <w:t>-1.200.000.000,00</w:t>
                    </w:r>
                  </w:p>
                  <w:p>
                    <w:pPr>
                      <w:spacing w:line="240" w:lineRule="auto" w:before="8"/>
                      <w:rPr>
                        <w:sz w:val="11"/>
                      </w:rPr>
                    </w:pPr>
                  </w:p>
                  <w:p>
                    <w:pPr>
                      <w:spacing w:line="181" w:lineRule="exact" w:before="1"/>
                      <w:ind w:left="1068" w:right="0" w:firstLine="0"/>
                      <w:jc w:val="left"/>
                      <w:rPr>
                        <w:sz w:val="15"/>
                      </w:rPr>
                    </w:pPr>
                    <w:r>
                      <w:rPr>
                        <w:color w:val="585858"/>
                        <w:sz w:val="15"/>
                      </w:rPr>
                      <w:t>ADMINISTRACION PUBLICA DE LA CAC</w:t>
                    </w:r>
                  </w:p>
                </w:txbxContent>
              </v:textbox>
              <w10:wrap type="none"/>
            </v:shape>
            <v:shape style="position:absolute;left:8862;top:1732;width:327;height:152" type="#_x0000_t202" filled="false" stroked="false">
              <v:textbox inset="0,0,0,0">
                <w:txbxContent>
                  <w:p>
                    <w:pPr>
                      <w:spacing w:line="151" w:lineRule="exact" w:before="0"/>
                      <w:ind w:left="0" w:right="0" w:firstLine="0"/>
                      <w:jc w:val="left"/>
                      <w:rPr>
                        <w:sz w:val="15"/>
                      </w:rPr>
                    </w:pPr>
                    <w:r>
                      <w:rPr>
                        <w:color w:val="585858"/>
                        <w:sz w:val="15"/>
                      </w:rPr>
                      <w:t>2022</w:t>
                    </w:r>
                  </w:p>
                </w:txbxContent>
              </v:textbox>
              <w10:wrap type="none"/>
            </v:shape>
            <v:shape style="position:absolute;left:7493;top:1732;width:327;height:152" type="#_x0000_t202" filled="false" stroked="false">
              <v:textbox inset="0,0,0,0">
                <w:txbxContent>
                  <w:p>
                    <w:pPr>
                      <w:spacing w:line="151" w:lineRule="exact" w:before="0"/>
                      <w:ind w:left="0" w:right="0" w:firstLine="0"/>
                      <w:jc w:val="left"/>
                      <w:rPr>
                        <w:sz w:val="15"/>
                      </w:rPr>
                    </w:pPr>
                    <w:r>
                      <w:rPr>
                        <w:color w:val="585858"/>
                        <w:sz w:val="15"/>
                      </w:rPr>
                      <w:t>2021</w:t>
                    </w:r>
                  </w:p>
                </w:txbxContent>
              </v:textbox>
              <w10:wrap type="none"/>
            </v:shape>
            <v:shape style="position:absolute;left:6124;top:1732;width:327;height:152" type="#_x0000_t202" filled="false" stroked="false">
              <v:textbox inset="0,0,0,0">
                <w:txbxContent>
                  <w:p>
                    <w:pPr>
                      <w:spacing w:line="151" w:lineRule="exact" w:before="0"/>
                      <w:ind w:left="0" w:right="0" w:firstLine="0"/>
                      <w:jc w:val="left"/>
                      <w:rPr>
                        <w:sz w:val="15"/>
                      </w:rPr>
                    </w:pPr>
                    <w:r>
                      <w:rPr>
                        <w:color w:val="585858"/>
                        <w:sz w:val="15"/>
                      </w:rPr>
                      <w:t>2020</w:t>
                    </w:r>
                  </w:p>
                </w:txbxContent>
              </v:textbox>
              <w10:wrap type="none"/>
            </v:shape>
            <v:shape style="position:absolute;left:4754;top:1732;width:327;height:152" type="#_x0000_t202" filled="false" stroked="false">
              <v:textbox inset="0,0,0,0">
                <w:txbxContent>
                  <w:p>
                    <w:pPr>
                      <w:spacing w:line="151" w:lineRule="exact" w:before="0"/>
                      <w:ind w:left="0" w:right="0" w:firstLine="0"/>
                      <w:jc w:val="left"/>
                      <w:rPr>
                        <w:sz w:val="15"/>
                      </w:rPr>
                    </w:pPr>
                    <w:r>
                      <w:rPr>
                        <w:color w:val="585858"/>
                        <w:sz w:val="15"/>
                      </w:rPr>
                      <w:t>2019</w:t>
                    </w:r>
                  </w:p>
                </w:txbxContent>
              </v:textbox>
              <w10:wrap type="none"/>
            </v:shape>
            <v:shape style="position:absolute;left:3080;top:1831;width:1023;height:152" type="#_x0000_t202" filled="false" stroked="false">
              <v:textbox inset="0,0,0,0">
                <w:txbxContent>
                  <w:p>
                    <w:pPr>
                      <w:spacing w:line="151" w:lineRule="exact" w:before="0"/>
                      <w:ind w:left="0" w:right="0" w:firstLine="0"/>
                      <w:jc w:val="left"/>
                      <w:rPr>
                        <w:sz w:val="15"/>
                      </w:rPr>
                    </w:pPr>
                    <w:r>
                      <w:rPr>
                        <w:color w:val="585858"/>
                        <w:sz w:val="15"/>
                      </w:rPr>
                      <w:t>-200.000.000,00</w:t>
                    </w:r>
                  </w:p>
                </w:txbxContent>
              </v:textbox>
              <w10:wrap type="none"/>
            </v:shape>
            <v:shape style="position:absolute;left:3126;top:337;width:5086;height:1349" type="#_x0000_t202" filled="false" stroked="false">
              <v:textbox inset="0,0,0,0">
                <w:txbxContent>
                  <w:p>
                    <w:pPr>
                      <w:spacing w:line="168" w:lineRule="exact" w:before="0"/>
                      <w:ind w:left="1418" w:right="0" w:firstLine="0"/>
                      <w:jc w:val="left"/>
                      <w:rPr>
                        <w:b/>
                        <w:sz w:val="16"/>
                      </w:rPr>
                    </w:pPr>
                    <w:r>
                      <w:rPr>
                        <w:b/>
                        <w:w w:val="105"/>
                        <w:sz w:val="16"/>
                      </w:rPr>
                      <w:t>EVOLUCION REMANENTE DE TESORERIA AGREGADO</w:t>
                    </w:r>
                  </w:p>
                  <w:p>
                    <w:pPr>
                      <w:spacing w:before="112"/>
                      <w:ind w:left="0" w:right="0" w:firstLine="0"/>
                      <w:jc w:val="left"/>
                      <w:rPr>
                        <w:sz w:val="15"/>
                      </w:rPr>
                    </w:pPr>
                    <w:r>
                      <w:rPr>
                        <w:color w:val="585858"/>
                        <w:sz w:val="15"/>
                      </w:rPr>
                      <w:t>600.000.000,00</w:t>
                    </w:r>
                  </w:p>
                  <w:p>
                    <w:pPr>
                      <w:spacing w:before="113"/>
                      <w:ind w:left="0" w:right="0" w:firstLine="0"/>
                      <w:jc w:val="left"/>
                      <w:rPr>
                        <w:sz w:val="15"/>
                      </w:rPr>
                    </w:pPr>
                    <w:r>
                      <w:rPr>
                        <w:color w:val="585858"/>
                        <w:sz w:val="15"/>
                      </w:rPr>
                      <w:t>400.000.000,00</w:t>
                    </w:r>
                  </w:p>
                  <w:p>
                    <w:pPr>
                      <w:spacing w:before="113"/>
                      <w:ind w:left="0" w:right="0" w:firstLine="0"/>
                      <w:jc w:val="left"/>
                      <w:rPr>
                        <w:sz w:val="15"/>
                      </w:rPr>
                    </w:pPr>
                    <w:r>
                      <w:rPr>
                        <w:color w:val="585858"/>
                        <w:sz w:val="15"/>
                      </w:rPr>
                      <w:t>200.000.000,00</w:t>
                    </w:r>
                  </w:p>
                  <w:p>
                    <w:pPr>
                      <w:tabs>
                        <w:tab w:pos="1309" w:val="left" w:leader="none"/>
                      </w:tabs>
                      <w:spacing w:line="181" w:lineRule="exact" w:before="112"/>
                      <w:ind w:left="689" w:right="0" w:firstLine="0"/>
                      <w:jc w:val="left"/>
                      <w:rPr>
                        <w:sz w:val="15"/>
                      </w:rPr>
                    </w:pPr>
                    <w:r>
                      <w:rPr>
                        <w:color w:val="585858"/>
                        <w:sz w:val="15"/>
                      </w:rPr>
                      <w:t>0,00</w:t>
                      <w:tab/>
                    </w:r>
                    <w:r>
                      <w:rPr>
                        <w:color w:val="585858"/>
                        <w:w w:val="100"/>
                        <w:sz w:val="15"/>
                        <w:u w:val="thick" w:color="4471C4"/>
                      </w:rPr>
                      <w:t> </w:t>
                    </w:r>
                    <w:r>
                      <w:rPr>
                        <w:color w:val="585858"/>
                        <w:spacing w:val="-12"/>
                        <w:sz w:val="15"/>
                        <w:u w:val="thick" w:color="4471C4"/>
                      </w:rPr>
                      <w:t> </w:t>
                    </w:r>
                  </w:p>
                </w:txbxContent>
              </v:textbox>
              <w10:wrap type="none"/>
            </v:shape>
            <w10:wrap type="topAndBottom"/>
          </v:group>
        </w:pict>
      </w:r>
    </w:p>
    <w:p>
      <w:pPr>
        <w:pStyle w:val="BodyText"/>
        <w:spacing w:before="3"/>
        <w:rPr>
          <w:sz w:val="15"/>
        </w:rPr>
      </w:pPr>
    </w:p>
    <w:p>
      <w:pPr>
        <w:pStyle w:val="Heading1"/>
        <w:numPr>
          <w:ilvl w:val="2"/>
          <w:numId w:val="10"/>
        </w:numPr>
        <w:tabs>
          <w:tab w:pos="2691" w:val="left" w:leader="none"/>
        </w:tabs>
        <w:spacing w:line="240" w:lineRule="auto" w:before="0" w:after="0"/>
        <w:ind w:left="2690" w:right="0" w:hanging="605"/>
        <w:jc w:val="left"/>
      </w:pPr>
      <w:r>
        <w:rPr>
          <w:color w:val="53A1B9"/>
        </w:rPr>
        <w:t>Evolución de los gastos consolidados por</w:t>
      </w:r>
      <w:r>
        <w:rPr>
          <w:color w:val="53A1B9"/>
          <w:spacing w:val="4"/>
        </w:rPr>
        <w:t> </w:t>
      </w:r>
      <w:r>
        <w:rPr>
          <w:color w:val="53A1B9"/>
        </w:rPr>
        <w:t>capítulos.</w:t>
      </w:r>
    </w:p>
    <w:p>
      <w:pPr>
        <w:pStyle w:val="BodyText"/>
        <w:spacing w:before="8"/>
        <w:rPr>
          <w:b/>
          <w:sz w:val="16"/>
        </w:rPr>
      </w:pPr>
    </w:p>
    <w:p>
      <w:pPr>
        <w:pStyle w:val="BodyText"/>
        <w:ind w:left="2690"/>
      </w:pPr>
      <w:r>
        <w:rPr/>
        <w:t>Se</w:t>
      </w:r>
      <w:r>
        <w:rPr>
          <w:spacing w:val="6"/>
        </w:rPr>
        <w:t> </w:t>
      </w:r>
      <w:r>
        <w:rPr/>
        <w:t>presenta</w:t>
      </w:r>
      <w:r>
        <w:rPr>
          <w:spacing w:val="4"/>
        </w:rPr>
        <w:t> </w:t>
      </w:r>
      <w:r>
        <w:rPr/>
        <w:t>un</w:t>
      </w:r>
      <w:r>
        <w:rPr>
          <w:spacing w:val="4"/>
        </w:rPr>
        <w:t> </w:t>
      </w:r>
      <w:r>
        <w:rPr/>
        <w:t>cuadro</w:t>
      </w:r>
      <w:r>
        <w:rPr>
          <w:spacing w:val="4"/>
        </w:rPr>
        <w:t> </w:t>
      </w:r>
      <w:r>
        <w:rPr/>
        <w:t>que</w:t>
      </w:r>
      <w:r>
        <w:rPr>
          <w:spacing w:val="6"/>
        </w:rPr>
        <w:t> </w:t>
      </w:r>
      <w:r>
        <w:rPr/>
        <w:t>muestra</w:t>
      </w:r>
      <w:r>
        <w:rPr>
          <w:spacing w:val="6"/>
        </w:rPr>
        <w:t> </w:t>
      </w:r>
      <w:r>
        <w:rPr/>
        <w:t>la</w:t>
      </w:r>
      <w:r>
        <w:rPr>
          <w:spacing w:val="6"/>
        </w:rPr>
        <w:t> </w:t>
      </w:r>
      <w:r>
        <w:rPr/>
        <w:t>evolución</w:t>
      </w:r>
      <w:r>
        <w:rPr>
          <w:spacing w:val="3"/>
        </w:rPr>
        <w:t> </w:t>
      </w:r>
      <w:r>
        <w:rPr/>
        <w:t>de</w:t>
      </w:r>
      <w:r>
        <w:rPr>
          <w:spacing w:val="6"/>
        </w:rPr>
        <w:t> </w:t>
      </w:r>
      <w:r>
        <w:rPr/>
        <w:t>los</w:t>
      </w:r>
      <w:r>
        <w:rPr>
          <w:spacing w:val="6"/>
        </w:rPr>
        <w:t> </w:t>
      </w:r>
      <w:r>
        <w:rPr/>
        <w:t>gastos</w:t>
      </w:r>
      <w:r>
        <w:rPr>
          <w:spacing w:val="6"/>
        </w:rPr>
        <w:t> </w:t>
      </w:r>
      <w:r>
        <w:rPr/>
        <w:t>realizados,</w:t>
      </w:r>
      <w:r>
        <w:rPr>
          <w:spacing w:val="2"/>
        </w:rPr>
        <w:t> </w:t>
      </w:r>
      <w:r>
        <w:rPr/>
        <w:t>desde</w:t>
      </w:r>
    </w:p>
    <w:p>
      <w:pPr>
        <w:pStyle w:val="BodyText"/>
        <w:rPr>
          <w:sz w:val="11"/>
        </w:rPr>
      </w:pPr>
    </w:p>
    <w:p>
      <w:pPr>
        <w:pStyle w:val="BodyText"/>
        <w:spacing w:before="61"/>
        <w:ind w:left="7897"/>
        <w:jc w:val="center"/>
      </w:pPr>
      <w:r>
        <w:rPr/>
        <w:t>27</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65" name="image5.png"/>
                  <wp:cNvGraphicFramePr>
                    <a:graphicFrameLocks noChangeAspect="1"/>
                  </wp:cNvGraphicFramePr>
                  <a:graphic>
                    <a:graphicData uri="http://schemas.openxmlformats.org/drawingml/2006/picture">
                      <pic:pic>
                        <pic:nvPicPr>
                          <pic:cNvPr id="6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29/247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pPr>
      <w:r>
        <w:rPr/>
        <w:t>2019 hasta 2022, desglosados por capítulos.</w:t>
      </w:r>
    </w:p>
    <w:p>
      <w:pPr>
        <w:pStyle w:val="BodyText"/>
        <w:spacing w:before="8"/>
        <w:rPr>
          <w:sz w:val="16"/>
        </w:rPr>
      </w:pPr>
    </w:p>
    <w:p>
      <w:pPr>
        <w:pStyle w:val="Heading1"/>
        <w:ind w:left="2096"/>
        <w:jc w:val="left"/>
      </w:pPr>
      <w:r>
        <w:rPr/>
        <w:pict>
          <v:group style="position:absolute;margin-left:136.973221pt;margin-top:22.316893pt;width:368.85pt;height:19.350pt;mso-position-horizontal-relative:page;mso-position-vertical-relative:paragraph;z-index:-323130368" coordorigin="2739,446" coordsize="7377,387">
            <v:shape style="position:absolute;left:2739;top:454;width:7377;height:379" coordorigin="2739,454" coordsize="7377,379" path="m4882,454l2739,454,2739,833,4882,833,4882,454m8250,454l7105,454,5960,454,5960,454,4882,454,4882,833,5960,833,5960,833,7105,833,8250,833,8250,454m10116,454l9396,454,8250,454,8250,833,9396,833,10116,833,10116,454e" filled="true" fillcolor="#deeaf6" stroked="false">
              <v:path arrowok="t"/>
              <v:fill type="solid"/>
            </v:shape>
            <v:line style="position:absolute" from="2739,450" to="4882,450" stroked="true" strokeweight=".403015pt" strokecolor="#000000">
              <v:stroke dashstyle="solid"/>
            </v:line>
            <v:rect style="position:absolute;left:4881;top:446;width:9;height:9" filled="true" fillcolor="#000000" stroked="false">
              <v:fill type="solid"/>
            </v:rect>
            <v:line style="position:absolute" from="4890,450" to="5960,450" stroked="true" strokeweight=".403015pt" strokecolor="#000000">
              <v:stroke dashstyle="solid"/>
            </v:line>
            <v:rect style="position:absolute;left:5960;top:446;width:9;height:9" filled="true" fillcolor="#000000" stroked="false">
              <v:fill type="solid"/>
            </v:rect>
            <v:line style="position:absolute" from="5968,450" to="7105,450" stroked="true" strokeweight=".403015pt" strokecolor="#000000">
              <v:stroke dashstyle="solid"/>
            </v:line>
            <v:rect style="position:absolute;left:7104;top:446;width:9;height:9" filled="true" fillcolor="#000000" stroked="false">
              <v:fill type="solid"/>
            </v:rect>
            <v:line style="position:absolute" from="7113,450" to="8252,450" stroked="true" strokeweight=".403015pt" strokecolor="#000000">
              <v:stroke dashstyle="solid"/>
            </v:line>
            <v:rect style="position:absolute;left:8251;top:446;width:9;height:9" filled="true" fillcolor="#000000" stroked="false">
              <v:fill type="solid"/>
            </v:rect>
            <v:line style="position:absolute" from="8260,450" to="9396,450" stroked="true" strokeweight=".403015pt" strokecolor="#000000">
              <v:stroke dashstyle="solid"/>
            </v:line>
            <v:rect style="position:absolute;left:9396;top:446;width:9;height:9" filled="true" fillcolor="#000000" stroked="false">
              <v:fill type="solid"/>
            </v:rect>
            <v:line style="position:absolute" from="9405,450" to="10116,450" stroked="true" strokeweight=".403015pt" strokecolor="#000000">
              <v:stroke dashstyle="solid"/>
            </v:line>
            <v:shape style="position:absolute;left:3577;top:586;width:488;height:135" type="#_x0000_t202" filled="false" stroked="false">
              <v:textbox inset="0,0,0,0">
                <w:txbxContent>
                  <w:p>
                    <w:pPr>
                      <w:spacing w:line="135" w:lineRule="exact" w:before="0"/>
                      <w:ind w:left="0" w:right="0" w:firstLine="0"/>
                      <w:jc w:val="left"/>
                      <w:rPr>
                        <w:b/>
                        <w:sz w:val="13"/>
                      </w:rPr>
                    </w:pPr>
                    <w:r>
                      <w:rPr>
                        <w:b/>
                        <w:w w:val="105"/>
                        <w:sz w:val="13"/>
                      </w:rPr>
                      <w:t>Capitulo</w:t>
                    </w:r>
                  </w:p>
                </w:txbxContent>
              </v:textbox>
              <w10:wrap type="none"/>
            </v:shape>
            <v:shape style="position:absolute;left:5282;top:586;width:295;height:135" type="#_x0000_t202" filled="false" stroked="false">
              <v:textbox inset="0,0,0,0">
                <w:txbxContent>
                  <w:p>
                    <w:pPr>
                      <w:spacing w:line="135" w:lineRule="exact" w:before="0"/>
                      <w:ind w:left="0" w:right="0" w:firstLine="0"/>
                      <w:jc w:val="left"/>
                      <w:rPr>
                        <w:b/>
                        <w:sz w:val="13"/>
                      </w:rPr>
                    </w:pPr>
                    <w:r>
                      <w:rPr>
                        <w:b/>
                        <w:w w:val="105"/>
                        <w:sz w:val="13"/>
                      </w:rPr>
                      <w:t>2019</w:t>
                    </w:r>
                  </w:p>
                </w:txbxContent>
              </v:textbox>
              <w10:wrap type="none"/>
            </v:shape>
            <v:shape style="position:absolute;left:6395;top:586;width:295;height:135" type="#_x0000_t202" filled="false" stroked="false">
              <v:textbox inset="0,0,0,0">
                <w:txbxContent>
                  <w:p>
                    <w:pPr>
                      <w:spacing w:line="135" w:lineRule="exact" w:before="0"/>
                      <w:ind w:left="0" w:right="0" w:firstLine="0"/>
                      <w:jc w:val="left"/>
                      <w:rPr>
                        <w:b/>
                        <w:sz w:val="13"/>
                      </w:rPr>
                    </w:pPr>
                    <w:r>
                      <w:rPr>
                        <w:b/>
                        <w:w w:val="105"/>
                        <w:sz w:val="13"/>
                      </w:rPr>
                      <w:t>2020</w:t>
                    </w:r>
                  </w:p>
                </w:txbxContent>
              </v:textbox>
              <w10:wrap type="none"/>
            </v:shape>
            <v:shape style="position:absolute;left:7540;top:586;width:295;height:135" type="#_x0000_t202" filled="false" stroked="false">
              <v:textbox inset="0,0,0,0">
                <w:txbxContent>
                  <w:p>
                    <w:pPr>
                      <w:spacing w:line="135" w:lineRule="exact" w:before="0"/>
                      <w:ind w:left="0" w:right="0" w:firstLine="0"/>
                      <w:jc w:val="left"/>
                      <w:rPr>
                        <w:b/>
                        <w:sz w:val="13"/>
                      </w:rPr>
                    </w:pPr>
                    <w:r>
                      <w:rPr>
                        <w:b/>
                        <w:w w:val="105"/>
                        <w:sz w:val="13"/>
                      </w:rPr>
                      <w:t>2021</w:t>
                    </w:r>
                  </w:p>
                </w:txbxContent>
              </v:textbox>
              <w10:wrap type="none"/>
            </v:shape>
            <v:shape style="position:absolute;left:8685;top:586;width:295;height:135" type="#_x0000_t202" filled="false" stroked="false">
              <v:textbox inset="0,0,0,0">
                <w:txbxContent>
                  <w:p>
                    <w:pPr>
                      <w:spacing w:line="135" w:lineRule="exact" w:before="0"/>
                      <w:ind w:left="0" w:right="0" w:firstLine="0"/>
                      <w:jc w:val="left"/>
                      <w:rPr>
                        <w:b/>
                        <w:sz w:val="13"/>
                      </w:rPr>
                    </w:pPr>
                    <w:r>
                      <w:rPr>
                        <w:b/>
                        <w:w w:val="105"/>
                        <w:sz w:val="13"/>
                      </w:rPr>
                      <w:t>2022</w:t>
                    </w:r>
                  </w:p>
                </w:txbxContent>
              </v:textbox>
              <w10:wrap type="none"/>
            </v:shape>
            <v:shape style="position:absolute;left:9491;top:506;width:548;height:135" type="#_x0000_t202" filled="false" stroked="false">
              <v:textbox inset="0,0,0,0">
                <w:txbxContent>
                  <w:p>
                    <w:pPr>
                      <w:spacing w:line="135" w:lineRule="exact" w:before="0"/>
                      <w:ind w:left="0" w:right="0" w:firstLine="0"/>
                      <w:jc w:val="left"/>
                      <w:rPr>
                        <w:b/>
                        <w:sz w:val="13"/>
                      </w:rPr>
                    </w:pPr>
                    <w:r>
                      <w:rPr>
                        <w:b/>
                        <w:w w:val="105"/>
                        <w:sz w:val="13"/>
                      </w:rPr>
                      <w:t>Variación</w:t>
                    </w:r>
                  </w:p>
                </w:txbxContent>
              </v:textbox>
              <w10:wrap type="none"/>
            </v:shape>
            <w10:wrap type="none"/>
          </v:group>
        </w:pict>
      </w:r>
      <w:r>
        <w:rPr/>
        <w:pict>
          <v:rect style="position:absolute;margin-left:472.74472pt;margin-top:32.190559pt;width:30.144878pt;height:8.160879pt;mso-position-horizontal-relative:page;mso-position-vertical-relative:paragraph;z-index:-323129344" filled="true" fillcolor="#deeaf6" stroked="false">
            <v:fill type="solid"/>
            <w10:wrap type="none"/>
          </v:rect>
        </w:pict>
      </w:r>
      <w:r>
        <w:rPr/>
        <w:t>Evolución de gastos consolidados por capítulos de los entes con presupuesto limitativo</w:t>
      </w:r>
    </w:p>
    <w:p>
      <w:pPr>
        <w:pStyle w:val="BodyText"/>
        <w:rPr>
          <w:b/>
        </w:rPr>
      </w:pPr>
    </w:p>
    <w:p>
      <w:pPr>
        <w:pStyle w:val="BodyText"/>
        <w:spacing w:before="10"/>
        <w:rPr>
          <w:b/>
          <w:sz w:val="14"/>
        </w:rPr>
      </w:pPr>
    </w:p>
    <w:tbl>
      <w:tblPr>
        <w:tblW w:w="0" w:type="auto"/>
        <w:jc w:val="left"/>
        <w:tblInd w:w="1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9"/>
        <w:gridCol w:w="1143"/>
        <w:gridCol w:w="1145"/>
        <w:gridCol w:w="1144"/>
        <w:gridCol w:w="1145"/>
        <w:gridCol w:w="719"/>
      </w:tblGrid>
      <w:tr>
        <w:trPr>
          <w:trHeight w:val="184" w:hRule="atLeast"/>
        </w:trPr>
        <w:tc>
          <w:tcPr>
            <w:tcW w:w="6666" w:type="dxa"/>
            <w:gridSpan w:val="5"/>
            <w:shd w:val="clear" w:color="auto" w:fill="DEEAF6"/>
          </w:tcPr>
          <w:p>
            <w:pPr>
              <w:pStyle w:val="TableParagraph"/>
              <w:rPr>
                <w:rFonts w:ascii="Times New Roman"/>
                <w:sz w:val="12"/>
              </w:rPr>
            </w:pPr>
          </w:p>
        </w:tc>
        <w:tc>
          <w:tcPr>
            <w:tcW w:w="719" w:type="dxa"/>
            <w:shd w:val="clear" w:color="auto" w:fill="DEEAF6"/>
          </w:tcPr>
          <w:p>
            <w:pPr>
              <w:pStyle w:val="TableParagraph"/>
              <w:spacing w:line="136" w:lineRule="exact"/>
              <w:ind w:right="51"/>
              <w:jc w:val="right"/>
              <w:rPr>
                <w:b/>
                <w:sz w:val="13"/>
              </w:rPr>
            </w:pPr>
            <w:r>
              <w:rPr>
                <w:b/>
                <w:w w:val="105"/>
                <w:sz w:val="13"/>
              </w:rPr>
              <w:t>2022/2019</w:t>
            </w:r>
          </w:p>
        </w:tc>
      </w:tr>
      <w:tr>
        <w:trPr>
          <w:trHeight w:val="242" w:hRule="atLeast"/>
        </w:trPr>
        <w:tc>
          <w:tcPr>
            <w:tcW w:w="2089" w:type="dxa"/>
          </w:tcPr>
          <w:p>
            <w:pPr>
              <w:pStyle w:val="TableParagraph"/>
              <w:spacing w:before="27"/>
              <w:ind w:left="70"/>
              <w:rPr>
                <w:sz w:val="13"/>
              </w:rPr>
            </w:pPr>
            <w:r>
              <w:rPr>
                <w:w w:val="105"/>
                <w:sz w:val="13"/>
              </w:rPr>
              <w:t>I. Gastos de personal</w:t>
            </w:r>
          </w:p>
        </w:tc>
        <w:tc>
          <w:tcPr>
            <w:tcW w:w="1143" w:type="dxa"/>
          </w:tcPr>
          <w:p>
            <w:pPr>
              <w:pStyle w:val="TableParagraph"/>
              <w:spacing w:before="27"/>
              <w:ind w:right="56"/>
              <w:jc w:val="right"/>
              <w:rPr>
                <w:sz w:val="13"/>
              </w:rPr>
            </w:pPr>
            <w:r>
              <w:rPr>
                <w:w w:val="105"/>
                <w:sz w:val="13"/>
              </w:rPr>
              <w:t>3.163.768.111,44</w:t>
            </w:r>
          </w:p>
        </w:tc>
        <w:tc>
          <w:tcPr>
            <w:tcW w:w="1145" w:type="dxa"/>
          </w:tcPr>
          <w:p>
            <w:pPr>
              <w:pStyle w:val="TableParagraph"/>
              <w:spacing w:before="27"/>
              <w:ind w:right="54"/>
              <w:jc w:val="right"/>
              <w:rPr>
                <w:sz w:val="13"/>
              </w:rPr>
            </w:pPr>
            <w:r>
              <w:rPr>
                <w:w w:val="105"/>
                <w:sz w:val="13"/>
              </w:rPr>
              <w:t>3.462.968.695,97</w:t>
            </w:r>
          </w:p>
        </w:tc>
        <w:tc>
          <w:tcPr>
            <w:tcW w:w="1144" w:type="dxa"/>
          </w:tcPr>
          <w:p>
            <w:pPr>
              <w:pStyle w:val="TableParagraph"/>
              <w:spacing w:before="27"/>
              <w:ind w:right="53"/>
              <w:jc w:val="right"/>
              <w:rPr>
                <w:sz w:val="13"/>
              </w:rPr>
            </w:pPr>
            <w:r>
              <w:rPr>
                <w:w w:val="105"/>
                <w:sz w:val="13"/>
              </w:rPr>
              <w:t>3.819.510.867,81</w:t>
            </w:r>
          </w:p>
        </w:tc>
        <w:tc>
          <w:tcPr>
            <w:tcW w:w="1145" w:type="dxa"/>
          </w:tcPr>
          <w:p>
            <w:pPr>
              <w:pStyle w:val="TableParagraph"/>
              <w:spacing w:before="27"/>
              <w:ind w:right="53"/>
              <w:jc w:val="right"/>
              <w:rPr>
                <w:sz w:val="13"/>
              </w:rPr>
            </w:pPr>
            <w:r>
              <w:rPr>
                <w:w w:val="105"/>
                <w:sz w:val="13"/>
              </w:rPr>
              <w:t>4.009.017.725,66</w:t>
            </w:r>
          </w:p>
        </w:tc>
        <w:tc>
          <w:tcPr>
            <w:tcW w:w="719" w:type="dxa"/>
          </w:tcPr>
          <w:p>
            <w:pPr>
              <w:pStyle w:val="TableParagraph"/>
              <w:spacing w:before="27"/>
              <w:ind w:right="50"/>
              <w:jc w:val="right"/>
              <w:rPr>
                <w:sz w:val="13"/>
              </w:rPr>
            </w:pPr>
            <w:r>
              <w:rPr>
                <w:sz w:val="13"/>
              </w:rPr>
              <w:t>26,72%</w:t>
            </w:r>
          </w:p>
        </w:tc>
      </w:tr>
      <w:tr>
        <w:trPr>
          <w:trHeight w:val="251" w:hRule="atLeast"/>
        </w:trPr>
        <w:tc>
          <w:tcPr>
            <w:tcW w:w="2089" w:type="dxa"/>
          </w:tcPr>
          <w:p>
            <w:pPr>
              <w:pStyle w:val="TableParagraph"/>
              <w:spacing w:before="36"/>
              <w:ind w:left="70"/>
              <w:rPr>
                <w:sz w:val="13"/>
              </w:rPr>
            </w:pPr>
            <w:r>
              <w:rPr>
                <w:w w:val="105"/>
                <w:sz w:val="13"/>
              </w:rPr>
              <w:t>II. Gtos. bienes corrient. y servicios</w:t>
            </w:r>
          </w:p>
        </w:tc>
        <w:tc>
          <w:tcPr>
            <w:tcW w:w="1143" w:type="dxa"/>
          </w:tcPr>
          <w:p>
            <w:pPr>
              <w:pStyle w:val="TableParagraph"/>
              <w:spacing w:before="36"/>
              <w:ind w:right="56"/>
              <w:jc w:val="right"/>
              <w:rPr>
                <w:sz w:val="13"/>
              </w:rPr>
            </w:pPr>
            <w:r>
              <w:rPr>
                <w:w w:val="105"/>
                <w:sz w:val="13"/>
              </w:rPr>
              <w:t>1.280.588.064,18</w:t>
            </w:r>
          </w:p>
        </w:tc>
        <w:tc>
          <w:tcPr>
            <w:tcW w:w="1145" w:type="dxa"/>
          </w:tcPr>
          <w:p>
            <w:pPr>
              <w:pStyle w:val="TableParagraph"/>
              <w:spacing w:before="36"/>
              <w:ind w:right="54"/>
              <w:jc w:val="right"/>
              <w:rPr>
                <w:sz w:val="13"/>
              </w:rPr>
            </w:pPr>
            <w:r>
              <w:rPr>
                <w:w w:val="105"/>
                <w:sz w:val="13"/>
              </w:rPr>
              <w:t>1.411.243.383,73</w:t>
            </w:r>
          </w:p>
        </w:tc>
        <w:tc>
          <w:tcPr>
            <w:tcW w:w="1144" w:type="dxa"/>
          </w:tcPr>
          <w:p>
            <w:pPr>
              <w:pStyle w:val="TableParagraph"/>
              <w:spacing w:before="36"/>
              <w:ind w:right="53"/>
              <w:jc w:val="right"/>
              <w:rPr>
                <w:sz w:val="13"/>
              </w:rPr>
            </w:pPr>
            <w:r>
              <w:rPr>
                <w:w w:val="105"/>
                <w:sz w:val="13"/>
              </w:rPr>
              <w:t>1.557.435.836,63</w:t>
            </w:r>
          </w:p>
        </w:tc>
        <w:tc>
          <w:tcPr>
            <w:tcW w:w="1145" w:type="dxa"/>
          </w:tcPr>
          <w:p>
            <w:pPr>
              <w:pStyle w:val="TableParagraph"/>
              <w:spacing w:before="36"/>
              <w:ind w:right="53"/>
              <w:jc w:val="right"/>
              <w:rPr>
                <w:sz w:val="13"/>
              </w:rPr>
            </w:pPr>
            <w:r>
              <w:rPr>
                <w:w w:val="105"/>
                <w:sz w:val="13"/>
              </w:rPr>
              <w:t>1.556.422.000,11</w:t>
            </w:r>
          </w:p>
        </w:tc>
        <w:tc>
          <w:tcPr>
            <w:tcW w:w="719" w:type="dxa"/>
          </w:tcPr>
          <w:p>
            <w:pPr>
              <w:pStyle w:val="TableParagraph"/>
              <w:spacing w:before="36"/>
              <w:ind w:right="50"/>
              <w:jc w:val="right"/>
              <w:rPr>
                <w:sz w:val="13"/>
              </w:rPr>
            </w:pPr>
            <w:r>
              <w:rPr>
                <w:sz w:val="13"/>
              </w:rPr>
              <w:t>21,54%</w:t>
            </w:r>
          </w:p>
        </w:tc>
      </w:tr>
      <w:tr>
        <w:trPr>
          <w:trHeight w:val="251" w:hRule="atLeast"/>
        </w:trPr>
        <w:tc>
          <w:tcPr>
            <w:tcW w:w="2089" w:type="dxa"/>
          </w:tcPr>
          <w:p>
            <w:pPr>
              <w:pStyle w:val="TableParagraph"/>
              <w:spacing w:before="36"/>
              <w:ind w:left="70"/>
              <w:rPr>
                <w:sz w:val="13"/>
              </w:rPr>
            </w:pPr>
            <w:r>
              <w:rPr>
                <w:w w:val="105"/>
                <w:sz w:val="13"/>
              </w:rPr>
              <w:t>III. Gastos financieros</w:t>
            </w:r>
          </w:p>
        </w:tc>
        <w:tc>
          <w:tcPr>
            <w:tcW w:w="1143" w:type="dxa"/>
          </w:tcPr>
          <w:p>
            <w:pPr>
              <w:pStyle w:val="TableParagraph"/>
              <w:spacing w:before="36"/>
              <w:ind w:right="55"/>
              <w:jc w:val="right"/>
              <w:rPr>
                <w:sz w:val="13"/>
              </w:rPr>
            </w:pPr>
            <w:r>
              <w:rPr>
                <w:w w:val="105"/>
                <w:sz w:val="13"/>
              </w:rPr>
              <w:t>89.757.907,41</w:t>
            </w:r>
          </w:p>
        </w:tc>
        <w:tc>
          <w:tcPr>
            <w:tcW w:w="1145" w:type="dxa"/>
          </w:tcPr>
          <w:p>
            <w:pPr>
              <w:pStyle w:val="TableParagraph"/>
              <w:spacing w:before="36"/>
              <w:ind w:right="54"/>
              <w:jc w:val="right"/>
              <w:rPr>
                <w:sz w:val="13"/>
              </w:rPr>
            </w:pPr>
            <w:r>
              <w:rPr>
                <w:w w:val="105"/>
                <w:sz w:val="13"/>
              </w:rPr>
              <w:t>91.944.408,69</w:t>
            </w:r>
          </w:p>
        </w:tc>
        <w:tc>
          <w:tcPr>
            <w:tcW w:w="1144" w:type="dxa"/>
          </w:tcPr>
          <w:p>
            <w:pPr>
              <w:pStyle w:val="TableParagraph"/>
              <w:spacing w:before="36"/>
              <w:ind w:right="53"/>
              <w:jc w:val="right"/>
              <w:rPr>
                <w:sz w:val="13"/>
              </w:rPr>
            </w:pPr>
            <w:r>
              <w:rPr>
                <w:w w:val="105"/>
                <w:sz w:val="13"/>
              </w:rPr>
              <w:t>38.915.025,86</w:t>
            </w:r>
          </w:p>
        </w:tc>
        <w:tc>
          <w:tcPr>
            <w:tcW w:w="1145" w:type="dxa"/>
          </w:tcPr>
          <w:p>
            <w:pPr>
              <w:pStyle w:val="TableParagraph"/>
              <w:spacing w:before="36"/>
              <w:ind w:right="53"/>
              <w:jc w:val="right"/>
              <w:rPr>
                <w:sz w:val="13"/>
              </w:rPr>
            </w:pPr>
            <w:r>
              <w:rPr>
                <w:w w:val="105"/>
                <w:sz w:val="13"/>
              </w:rPr>
              <w:t>76.883.711,78</w:t>
            </w:r>
          </w:p>
        </w:tc>
        <w:tc>
          <w:tcPr>
            <w:tcW w:w="719" w:type="dxa"/>
          </w:tcPr>
          <w:p>
            <w:pPr>
              <w:pStyle w:val="TableParagraph"/>
              <w:spacing w:before="36"/>
              <w:ind w:right="50"/>
              <w:jc w:val="right"/>
              <w:rPr>
                <w:sz w:val="13"/>
              </w:rPr>
            </w:pPr>
            <w:r>
              <w:rPr>
                <w:w w:val="105"/>
                <w:sz w:val="13"/>
              </w:rPr>
              <w:t>-14,34%</w:t>
            </w:r>
          </w:p>
        </w:tc>
      </w:tr>
      <w:tr>
        <w:trPr>
          <w:trHeight w:val="251" w:hRule="atLeast"/>
        </w:trPr>
        <w:tc>
          <w:tcPr>
            <w:tcW w:w="2089" w:type="dxa"/>
          </w:tcPr>
          <w:p>
            <w:pPr>
              <w:pStyle w:val="TableParagraph"/>
              <w:spacing w:before="36"/>
              <w:ind w:left="70"/>
              <w:rPr>
                <w:sz w:val="13"/>
              </w:rPr>
            </w:pPr>
            <w:r>
              <w:rPr>
                <w:w w:val="105"/>
                <w:sz w:val="13"/>
              </w:rPr>
              <w:t>IV. Transferencias corrientes</w:t>
            </w:r>
          </w:p>
        </w:tc>
        <w:tc>
          <w:tcPr>
            <w:tcW w:w="1143" w:type="dxa"/>
          </w:tcPr>
          <w:p>
            <w:pPr>
              <w:pStyle w:val="TableParagraph"/>
              <w:spacing w:before="36"/>
              <w:ind w:right="56"/>
              <w:jc w:val="right"/>
              <w:rPr>
                <w:sz w:val="13"/>
              </w:rPr>
            </w:pPr>
            <w:r>
              <w:rPr>
                <w:w w:val="105"/>
                <w:sz w:val="13"/>
              </w:rPr>
              <w:t>2.458.699.028,92</w:t>
            </w:r>
          </w:p>
        </w:tc>
        <w:tc>
          <w:tcPr>
            <w:tcW w:w="1145" w:type="dxa"/>
          </w:tcPr>
          <w:p>
            <w:pPr>
              <w:pStyle w:val="TableParagraph"/>
              <w:spacing w:before="36"/>
              <w:ind w:right="54"/>
              <w:jc w:val="right"/>
              <w:rPr>
                <w:sz w:val="13"/>
              </w:rPr>
            </w:pPr>
            <w:r>
              <w:rPr>
                <w:w w:val="105"/>
                <w:sz w:val="13"/>
              </w:rPr>
              <w:t>2.611.781.102,09</w:t>
            </w:r>
          </w:p>
        </w:tc>
        <w:tc>
          <w:tcPr>
            <w:tcW w:w="1144" w:type="dxa"/>
          </w:tcPr>
          <w:p>
            <w:pPr>
              <w:pStyle w:val="TableParagraph"/>
              <w:spacing w:before="36"/>
              <w:ind w:right="53"/>
              <w:jc w:val="right"/>
              <w:rPr>
                <w:sz w:val="13"/>
              </w:rPr>
            </w:pPr>
            <w:r>
              <w:rPr>
                <w:w w:val="105"/>
                <w:sz w:val="13"/>
              </w:rPr>
              <w:t>4.165.354.372,14</w:t>
            </w:r>
          </w:p>
        </w:tc>
        <w:tc>
          <w:tcPr>
            <w:tcW w:w="1145" w:type="dxa"/>
          </w:tcPr>
          <w:p>
            <w:pPr>
              <w:pStyle w:val="TableParagraph"/>
              <w:spacing w:before="36"/>
              <w:ind w:right="53"/>
              <w:jc w:val="right"/>
              <w:rPr>
                <w:sz w:val="13"/>
              </w:rPr>
            </w:pPr>
            <w:r>
              <w:rPr>
                <w:w w:val="105"/>
                <w:sz w:val="13"/>
              </w:rPr>
              <w:t>2.953.953.468,80</w:t>
            </w:r>
          </w:p>
        </w:tc>
        <w:tc>
          <w:tcPr>
            <w:tcW w:w="719" w:type="dxa"/>
          </w:tcPr>
          <w:p>
            <w:pPr>
              <w:pStyle w:val="TableParagraph"/>
              <w:spacing w:before="36"/>
              <w:ind w:right="50"/>
              <w:jc w:val="right"/>
              <w:rPr>
                <w:sz w:val="13"/>
              </w:rPr>
            </w:pPr>
            <w:r>
              <w:rPr>
                <w:sz w:val="13"/>
              </w:rPr>
              <w:t>20,14%</w:t>
            </w:r>
          </w:p>
        </w:tc>
      </w:tr>
      <w:tr>
        <w:trPr>
          <w:trHeight w:val="252" w:hRule="atLeast"/>
        </w:trPr>
        <w:tc>
          <w:tcPr>
            <w:tcW w:w="2089" w:type="dxa"/>
          </w:tcPr>
          <w:p>
            <w:pPr>
              <w:pStyle w:val="TableParagraph"/>
              <w:spacing w:before="36"/>
              <w:ind w:left="70"/>
              <w:rPr>
                <w:sz w:val="13"/>
              </w:rPr>
            </w:pPr>
            <w:r>
              <w:rPr>
                <w:w w:val="105"/>
                <w:sz w:val="13"/>
              </w:rPr>
              <w:t>VI. Inversiones reales</w:t>
            </w:r>
          </w:p>
        </w:tc>
        <w:tc>
          <w:tcPr>
            <w:tcW w:w="1143" w:type="dxa"/>
          </w:tcPr>
          <w:p>
            <w:pPr>
              <w:pStyle w:val="TableParagraph"/>
              <w:spacing w:before="36"/>
              <w:ind w:right="56"/>
              <w:jc w:val="right"/>
              <w:rPr>
                <w:sz w:val="13"/>
              </w:rPr>
            </w:pPr>
            <w:r>
              <w:rPr>
                <w:sz w:val="13"/>
              </w:rPr>
              <w:t>240.219.999,76</w:t>
            </w:r>
          </w:p>
        </w:tc>
        <w:tc>
          <w:tcPr>
            <w:tcW w:w="1145" w:type="dxa"/>
          </w:tcPr>
          <w:p>
            <w:pPr>
              <w:pStyle w:val="TableParagraph"/>
              <w:spacing w:before="36"/>
              <w:ind w:right="54"/>
              <w:jc w:val="right"/>
              <w:rPr>
                <w:sz w:val="13"/>
              </w:rPr>
            </w:pPr>
            <w:r>
              <w:rPr>
                <w:sz w:val="13"/>
              </w:rPr>
              <w:t>348.068.016,14</w:t>
            </w:r>
          </w:p>
        </w:tc>
        <w:tc>
          <w:tcPr>
            <w:tcW w:w="1144" w:type="dxa"/>
          </w:tcPr>
          <w:p>
            <w:pPr>
              <w:pStyle w:val="TableParagraph"/>
              <w:spacing w:before="36"/>
              <w:ind w:right="54"/>
              <w:jc w:val="right"/>
              <w:rPr>
                <w:sz w:val="13"/>
              </w:rPr>
            </w:pPr>
            <w:r>
              <w:rPr>
                <w:sz w:val="13"/>
              </w:rPr>
              <w:t>395.142.601,51</w:t>
            </w:r>
          </w:p>
        </w:tc>
        <w:tc>
          <w:tcPr>
            <w:tcW w:w="1145" w:type="dxa"/>
          </w:tcPr>
          <w:p>
            <w:pPr>
              <w:pStyle w:val="TableParagraph"/>
              <w:spacing w:before="36"/>
              <w:ind w:right="53"/>
              <w:jc w:val="right"/>
              <w:rPr>
                <w:sz w:val="13"/>
              </w:rPr>
            </w:pPr>
            <w:r>
              <w:rPr>
                <w:sz w:val="13"/>
              </w:rPr>
              <w:t>477.536.566,92</w:t>
            </w:r>
          </w:p>
        </w:tc>
        <w:tc>
          <w:tcPr>
            <w:tcW w:w="719" w:type="dxa"/>
          </w:tcPr>
          <w:p>
            <w:pPr>
              <w:pStyle w:val="TableParagraph"/>
              <w:spacing w:before="36"/>
              <w:ind w:right="50"/>
              <w:jc w:val="right"/>
              <w:rPr>
                <w:sz w:val="13"/>
              </w:rPr>
            </w:pPr>
            <w:r>
              <w:rPr>
                <w:sz w:val="13"/>
              </w:rPr>
              <w:t>98,79%</w:t>
            </w:r>
          </w:p>
        </w:tc>
      </w:tr>
      <w:tr>
        <w:trPr>
          <w:trHeight w:val="252" w:hRule="atLeast"/>
        </w:trPr>
        <w:tc>
          <w:tcPr>
            <w:tcW w:w="2089" w:type="dxa"/>
          </w:tcPr>
          <w:p>
            <w:pPr>
              <w:pStyle w:val="TableParagraph"/>
              <w:spacing w:before="36"/>
              <w:ind w:left="70"/>
              <w:rPr>
                <w:sz w:val="13"/>
              </w:rPr>
            </w:pPr>
            <w:r>
              <w:rPr>
                <w:w w:val="105"/>
                <w:sz w:val="13"/>
              </w:rPr>
              <w:t>VII transferencias de capital</w:t>
            </w:r>
          </w:p>
        </w:tc>
        <w:tc>
          <w:tcPr>
            <w:tcW w:w="1143" w:type="dxa"/>
          </w:tcPr>
          <w:p>
            <w:pPr>
              <w:pStyle w:val="TableParagraph"/>
              <w:spacing w:before="36"/>
              <w:ind w:right="56"/>
              <w:jc w:val="right"/>
              <w:rPr>
                <w:sz w:val="13"/>
              </w:rPr>
            </w:pPr>
            <w:r>
              <w:rPr>
                <w:sz w:val="13"/>
              </w:rPr>
              <w:t>418.563.547,46</w:t>
            </w:r>
          </w:p>
        </w:tc>
        <w:tc>
          <w:tcPr>
            <w:tcW w:w="1145" w:type="dxa"/>
          </w:tcPr>
          <w:p>
            <w:pPr>
              <w:pStyle w:val="TableParagraph"/>
              <w:spacing w:before="36"/>
              <w:ind w:right="54"/>
              <w:jc w:val="right"/>
              <w:rPr>
                <w:sz w:val="13"/>
              </w:rPr>
            </w:pPr>
            <w:r>
              <w:rPr>
                <w:sz w:val="13"/>
              </w:rPr>
              <w:t>461.695.143,17</w:t>
            </w:r>
          </w:p>
        </w:tc>
        <w:tc>
          <w:tcPr>
            <w:tcW w:w="1144" w:type="dxa"/>
          </w:tcPr>
          <w:p>
            <w:pPr>
              <w:pStyle w:val="TableParagraph"/>
              <w:spacing w:before="36"/>
              <w:ind w:right="54"/>
              <w:jc w:val="right"/>
              <w:rPr>
                <w:sz w:val="13"/>
              </w:rPr>
            </w:pPr>
            <w:r>
              <w:rPr>
                <w:sz w:val="13"/>
              </w:rPr>
              <w:t>579.360.684,03</w:t>
            </w:r>
          </w:p>
        </w:tc>
        <w:tc>
          <w:tcPr>
            <w:tcW w:w="1145" w:type="dxa"/>
          </w:tcPr>
          <w:p>
            <w:pPr>
              <w:pStyle w:val="TableParagraph"/>
              <w:spacing w:before="36"/>
              <w:ind w:right="53"/>
              <w:jc w:val="right"/>
              <w:rPr>
                <w:sz w:val="13"/>
              </w:rPr>
            </w:pPr>
            <w:r>
              <w:rPr>
                <w:sz w:val="13"/>
              </w:rPr>
              <w:t>646.765.970,01</w:t>
            </w:r>
          </w:p>
        </w:tc>
        <w:tc>
          <w:tcPr>
            <w:tcW w:w="719" w:type="dxa"/>
          </w:tcPr>
          <w:p>
            <w:pPr>
              <w:pStyle w:val="TableParagraph"/>
              <w:spacing w:before="36"/>
              <w:ind w:right="50"/>
              <w:jc w:val="right"/>
              <w:rPr>
                <w:sz w:val="13"/>
              </w:rPr>
            </w:pPr>
            <w:r>
              <w:rPr>
                <w:sz w:val="13"/>
              </w:rPr>
              <w:t>54,52%</w:t>
            </w:r>
          </w:p>
        </w:tc>
      </w:tr>
      <w:tr>
        <w:trPr>
          <w:trHeight w:val="251" w:hRule="atLeast"/>
        </w:trPr>
        <w:tc>
          <w:tcPr>
            <w:tcW w:w="2089" w:type="dxa"/>
          </w:tcPr>
          <w:p>
            <w:pPr>
              <w:pStyle w:val="TableParagraph"/>
              <w:spacing w:before="36"/>
              <w:ind w:left="70"/>
              <w:rPr>
                <w:sz w:val="13"/>
              </w:rPr>
            </w:pPr>
            <w:r>
              <w:rPr>
                <w:w w:val="105"/>
                <w:sz w:val="13"/>
              </w:rPr>
              <w:t>VIII. Activos financieros</w:t>
            </w:r>
          </w:p>
        </w:tc>
        <w:tc>
          <w:tcPr>
            <w:tcW w:w="1143" w:type="dxa"/>
          </w:tcPr>
          <w:p>
            <w:pPr>
              <w:pStyle w:val="TableParagraph"/>
              <w:spacing w:before="36"/>
              <w:ind w:right="55"/>
              <w:jc w:val="right"/>
              <w:rPr>
                <w:sz w:val="13"/>
              </w:rPr>
            </w:pPr>
            <w:r>
              <w:rPr>
                <w:w w:val="105"/>
                <w:sz w:val="13"/>
              </w:rPr>
              <w:t>24.826.494,39</w:t>
            </w:r>
          </w:p>
        </w:tc>
        <w:tc>
          <w:tcPr>
            <w:tcW w:w="1145" w:type="dxa"/>
          </w:tcPr>
          <w:p>
            <w:pPr>
              <w:pStyle w:val="TableParagraph"/>
              <w:spacing w:before="36"/>
              <w:ind w:right="54"/>
              <w:jc w:val="right"/>
              <w:rPr>
                <w:sz w:val="13"/>
              </w:rPr>
            </w:pPr>
            <w:r>
              <w:rPr>
                <w:w w:val="105"/>
                <w:sz w:val="13"/>
              </w:rPr>
              <w:t>32.980.755,50</w:t>
            </w:r>
          </w:p>
        </w:tc>
        <w:tc>
          <w:tcPr>
            <w:tcW w:w="1144" w:type="dxa"/>
          </w:tcPr>
          <w:p>
            <w:pPr>
              <w:pStyle w:val="TableParagraph"/>
              <w:spacing w:before="36"/>
              <w:ind w:right="53"/>
              <w:jc w:val="right"/>
              <w:rPr>
                <w:sz w:val="13"/>
              </w:rPr>
            </w:pPr>
            <w:r>
              <w:rPr>
                <w:w w:val="105"/>
                <w:sz w:val="13"/>
              </w:rPr>
              <w:t>21.850.241,18</w:t>
            </w:r>
          </w:p>
        </w:tc>
        <w:tc>
          <w:tcPr>
            <w:tcW w:w="1145" w:type="dxa"/>
          </w:tcPr>
          <w:p>
            <w:pPr>
              <w:pStyle w:val="TableParagraph"/>
              <w:spacing w:before="36"/>
              <w:ind w:right="53"/>
              <w:jc w:val="right"/>
              <w:rPr>
                <w:sz w:val="13"/>
              </w:rPr>
            </w:pPr>
            <w:r>
              <w:rPr>
                <w:w w:val="105"/>
                <w:sz w:val="13"/>
              </w:rPr>
              <w:t>22.926.075,43</w:t>
            </w:r>
          </w:p>
        </w:tc>
        <w:tc>
          <w:tcPr>
            <w:tcW w:w="719" w:type="dxa"/>
          </w:tcPr>
          <w:p>
            <w:pPr>
              <w:pStyle w:val="TableParagraph"/>
              <w:spacing w:before="36"/>
              <w:ind w:right="51"/>
              <w:jc w:val="right"/>
              <w:rPr>
                <w:sz w:val="13"/>
              </w:rPr>
            </w:pPr>
            <w:r>
              <w:rPr>
                <w:sz w:val="13"/>
              </w:rPr>
              <w:t>-7,65%</w:t>
            </w:r>
          </w:p>
        </w:tc>
      </w:tr>
      <w:tr>
        <w:trPr>
          <w:trHeight w:val="251" w:hRule="atLeast"/>
        </w:trPr>
        <w:tc>
          <w:tcPr>
            <w:tcW w:w="2089" w:type="dxa"/>
          </w:tcPr>
          <w:p>
            <w:pPr>
              <w:pStyle w:val="TableParagraph"/>
              <w:spacing w:before="36"/>
              <w:ind w:left="70"/>
              <w:rPr>
                <w:sz w:val="13"/>
              </w:rPr>
            </w:pPr>
            <w:r>
              <w:rPr>
                <w:w w:val="105"/>
                <w:sz w:val="13"/>
              </w:rPr>
              <w:t>IX. Pasivos financieros</w:t>
            </w:r>
          </w:p>
        </w:tc>
        <w:tc>
          <w:tcPr>
            <w:tcW w:w="1143" w:type="dxa"/>
          </w:tcPr>
          <w:p>
            <w:pPr>
              <w:pStyle w:val="TableParagraph"/>
              <w:spacing w:before="36"/>
              <w:ind w:right="56"/>
              <w:jc w:val="right"/>
              <w:rPr>
                <w:sz w:val="13"/>
              </w:rPr>
            </w:pPr>
            <w:r>
              <w:rPr>
                <w:sz w:val="13"/>
              </w:rPr>
              <w:t>954.962.495,28</w:t>
            </w:r>
          </w:p>
        </w:tc>
        <w:tc>
          <w:tcPr>
            <w:tcW w:w="1145" w:type="dxa"/>
          </w:tcPr>
          <w:p>
            <w:pPr>
              <w:pStyle w:val="TableParagraph"/>
              <w:spacing w:before="36"/>
              <w:ind w:right="54"/>
              <w:jc w:val="right"/>
              <w:rPr>
                <w:sz w:val="13"/>
              </w:rPr>
            </w:pPr>
            <w:r>
              <w:rPr>
                <w:w w:val="105"/>
                <w:sz w:val="13"/>
              </w:rPr>
              <w:t>4.203.773.781,19</w:t>
            </w:r>
          </w:p>
        </w:tc>
        <w:tc>
          <w:tcPr>
            <w:tcW w:w="1144" w:type="dxa"/>
          </w:tcPr>
          <w:p>
            <w:pPr>
              <w:pStyle w:val="TableParagraph"/>
              <w:spacing w:before="36"/>
              <w:ind w:right="53"/>
              <w:jc w:val="right"/>
              <w:rPr>
                <w:sz w:val="13"/>
              </w:rPr>
            </w:pPr>
            <w:r>
              <w:rPr>
                <w:w w:val="105"/>
                <w:sz w:val="13"/>
              </w:rPr>
              <w:t>2.396.107.290,60</w:t>
            </w:r>
          </w:p>
        </w:tc>
        <w:tc>
          <w:tcPr>
            <w:tcW w:w="1145" w:type="dxa"/>
          </w:tcPr>
          <w:p>
            <w:pPr>
              <w:pStyle w:val="TableParagraph"/>
              <w:spacing w:before="36"/>
              <w:ind w:right="53"/>
              <w:jc w:val="right"/>
              <w:rPr>
                <w:sz w:val="13"/>
              </w:rPr>
            </w:pPr>
            <w:r>
              <w:rPr>
                <w:sz w:val="13"/>
              </w:rPr>
              <w:t>881.101.296,11</w:t>
            </w:r>
          </w:p>
        </w:tc>
        <w:tc>
          <w:tcPr>
            <w:tcW w:w="719" w:type="dxa"/>
          </w:tcPr>
          <w:p>
            <w:pPr>
              <w:pStyle w:val="TableParagraph"/>
              <w:spacing w:before="36"/>
              <w:ind w:right="51"/>
              <w:jc w:val="right"/>
              <w:rPr>
                <w:sz w:val="13"/>
              </w:rPr>
            </w:pPr>
            <w:r>
              <w:rPr>
                <w:sz w:val="13"/>
              </w:rPr>
              <w:t>-7,73%</w:t>
            </w:r>
          </w:p>
        </w:tc>
      </w:tr>
      <w:tr>
        <w:trPr>
          <w:trHeight w:val="239" w:hRule="atLeast"/>
        </w:trPr>
        <w:tc>
          <w:tcPr>
            <w:tcW w:w="2089" w:type="dxa"/>
            <w:tcBorders>
              <w:bottom w:val="single" w:sz="4" w:space="0" w:color="000000"/>
            </w:tcBorders>
          </w:tcPr>
          <w:p>
            <w:pPr>
              <w:pStyle w:val="TableParagraph"/>
              <w:spacing w:before="36"/>
              <w:ind w:left="715"/>
              <w:rPr>
                <w:b/>
                <w:sz w:val="13"/>
              </w:rPr>
            </w:pPr>
            <w:r>
              <w:rPr>
                <w:b/>
                <w:w w:val="105"/>
                <w:sz w:val="13"/>
              </w:rPr>
              <w:t>Total general</w:t>
            </w:r>
          </w:p>
        </w:tc>
        <w:tc>
          <w:tcPr>
            <w:tcW w:w="1143" w:type="dxa"/>
            <w:tcBorders>
              <w:bottom w:val="single" w:sz="4" w:space="0" w:color="000000"/>
            </w:tcBorders>
          </w:tcPr>
          <w:p>
            <w:pPr>
              <w:pStyle w:val="TableParagraph"/>
              <w:spacing w:before="36"/>
              <w:ind w:right="56"/>
              <w:jc w:val="right"/>
              <w:rPr>
                <w:b/>
                <w:sz w:val="13"/>
              </w:rPr>
            </w:pPr>
            <w:r>
              <w:rPr>
                <w:b/>
                <w:w w:val="105"/>
                <w:sz w:val="13"/>
              </w:rPr>
              <w:t>8.631.385.648,84</w:t>
            </w:r>
          </w:p>
        </w:tc>
        <w:tc>
          <w:tcPr>
            <w:tcW w:w="1145" w:type="dxa"/>
            <w:tcBorders>
              <w:bottom w:val="single" w:sz="4" w:space="0" w:color="000000"/>
            </w:tcBorders>
          </w:tcPr>
          <w:p>
            <w:pPr>
              <w:pStyle w:val="TableParagraph"/>
              <w:spacing w:before="36"/>
              <w:ind w:right="54"/>
              <w:jc w:val="right"/>
              <w:rPr>
                <w:b/>
                <w:sz w:val="13"/>
              </w:rPr>
            </w:pPr>
            <w:r>
              <w:rPr>
                <w:b/>
                <w:w w:val="105"/>
                <w:sz w:val="13"/>
              </w:rPr>
              <w:t>12.624.455.286,48</w:t>
            </w:r>
          </w:p>
        </w:tc>
        <w:tc>
          <w:tcPr>
            <w:tcW w:w="1144" w:type="dxa"/>
            <w:tcBorders>
              <w:bottom w:val="single" w:sz="4" w:space="0" w:color="000000"/>
            </w:tcBorders>
          </w:tcPr>
          <w:p>
            <w:pPr>
              <w:pStyle w:val="TableParagraph"/>
              <w:spacing w:before="36"/>
              <w:ind w:right="53"/>
              <w:jc w:val="right"/>
              <w:rPr>
                <w:b/>
                <w:sz w:val="13"/>
              </w:rPr>
            </w:pPr>
            <w:r>
              <w:rPr>
                <w:b/>
                <w:w w:val="105"/>
                <w:sz w:val="13"/>
              </w:rPr>
              <w:t>12.973.676.919,76</w:t>
            </w:r>
          </w:p>
        </w:tc>
        <w:tc>
          <w:tcPr>
            <w:tcW w:w="1145" w:type="dxa"/>
            <w:tcBorders>
              <w:bottom w:val="single" w:sz="4" w:space="0" w:color="000000"/>
            </w:tcBorders>
          </w:tcPr>
          <w:p>
            <w:pPr>
              <w:pStyle w:val="TableParagraph"/>
              <w:spacing w:before="36"/>
              <w:ind w:right="53"/>
              <w:jc w:val="right"/>
              <w:rPr>
                <w:b/>
                <w:sz w:val="13"/>
              </w:rPr>
            </w:pPr>
            <w:r>
              <w:rPr>
                <w:b/>
                <w:w w:val="105"/>
                <w:sz w:val="13"/>
              </w:rPr>
              <w:t>10.624.606.814,82</w:t>
            </w:r>
          </w:p>
        </w:tc>
        <w:tc>
          <w:tcPr>
            <w:tcW w:w="719" w:type="dxa"/>
            <w:tcBorders>
              <w:bottom w:val="single" w:sz="4" w:space="0" w:color="000000"/>
            </w:tcBorders>
          </w:tcPr>
          <w:p>
            <w:pPr>
              <w:pStyle w:val="TableParagraph"/>
              <w:spacing w:before="36"/>
              <w:ind w:right="51"/>
              <w:jc w:val="right"/>
              <w:rPr>
                <w:b/>
                <w:sz w:val="13"/>
              </w:rPr>
            </w:pPr>
            <w:r>
              <w:rPr>
                <w:b/>
                <w:w w:val="105"/>
                <w:sz w:val="13"/>
              </w:rPr>
              <w:t>23,09%</w:t>
            </w:r>
          </w:p>
        </w:tc>
      </w:tr>
    </w:tbl>
    <w:p>
      <w:pPr>
        <w:pStyle w:val="BodyText"/>
        <w:spacing w:before="1"/>
        <w:rPr>
          <w:b/>
          <w:sz w:val="18"/>
        </w:rPr>
      </w:pPr>
    </w:p>
    <w:tbl>
      <w:tblPr>
        <w:tblW w:w="0" w:type="auto"/>
        <w:jc w:val="left"/>
        <w:tblInd w:w="212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7103"/>
      </w:tblGrid>
      <w:tr>
        <w:trPr>
          <w:trHeight w:val="3889" w:hRule="atLeast"/>
        </w:trPr>
        <w:tc>
          <w:tcPr>
            <w:tcW w:w="7103" w:type="dxa"/>
            <w:tcBorders>
              <w:top w:val="nil"/>
            </w:tcBorders>
          </w:tcPr>
          <w:p>
            <w:pPr>
              <w:pStyle w:val="TableParagraph"/>
              <w:spacing w:line="252" w:lineRule="auto" w:before="133"/>
              <w:ind w:left="2612" w:hanging="1730"/>
              <w:rPr>
                <w:b/>
                <w:sz w:val="16"/>
              </w:rPr>
            </w:pPr>
            <w:r>
              <w:rPr>
                <w:b/>
                <w:w w:val="105"/>
                <w:sz w:val="16"/>
              </w:rPr>
              <w:t>EVOLUCION DE GASTOS CONSOLIDADOS POR CAPITULOS DE LOS ENTES CON PRESUPUESTO LIMITATIVO</w:t>
            </w:r>
          </w:p>
          <w:p>
            <w:pPr>
              <w:pStyle w:val="TableParagraph"/>
              <w:spacing w:before="7"/>
              <w:rPr>
                <w:b/>
                <w:sz w:val="20"/>
              </w:rPr>
            </w:pPr>
          </w:p>
          <w:p>
            <w:pPr>
              <w:pStyle w:val="TableParagraph"/>
              <w:ind w:left="928"/>
              <w:rPr>
                <w:sz w:val="15"/>
              </w:rPr>
            </w:pPr>
            <w:r>
              <w:rPr>
                <w:color w:val="585858"/>
                <w:sz w:val="15"/>
              </w:rPr>
              <w:t>IX. PASIVOS</w:t>
            </w:r>
            <w:r>
              <w:rPr>
                <w:color w:val="585858"/>
                <w:spacing w:val="3"/>
                <w:sz w:val="15"/>
              </w:rPr>
              <w:t> </w:t>
            </w:r>
            <w:r>
              <w:rPr>
                <w:color w:val="585858"/>
                <w:sz w:val="15"/>
              </w:rPr>
              <w:t>FINANCIEROS</w:t>
            </w:r>
          </w:p>
          <w:p>
            <w:pPr>
              <w:pStyle w:val="TableParagraph"/>
              <w:spacing w:line="388" w:lineRule="auto" w:before="114"/>
              <w:ind w:left="491" w:right="4567" w:firstLine="346"/>
              <w:rPr>
                <w:sz w:val="15"/>
              </w:rPr>
            </w:pPr>
            <w:r>
              <w:rPr>
                <w:color w:val="585858"/>
                <w:sz w:val="15"/>
              </w:rPr>
              <w:t>VIII. ACTIVOS FINANCIEROS VII TRANSFERENCIAS DE</w:t>
            </w:r>
            <w:r>
              <w:rPr>
                <w:color w:val="585858"/>
                <w:spacing w:val="2"/>
                <w:sz w:val="15"/>
              </w:rPr>
              <w:t> </w:t>
            </w:r>
            <w:r>
              <w:rPr>
                <w:color w:val="585858"/>
                <w:sz w:val="15"/>
              </w:rPr>
              <w:t>CAPITAL</w:t>
            </w:r>
          </w:p>
          <w:p>
            <w:pPr>
              <w:pStyle w:val="TableParagraph"/>
              <w:spacing w:before="2"/>
              <w:ind w:left="1007"/>
              <w:rPr>
                <w:sz w:val="15"/>
              </w:rPr>
            </w:pPr>
            <w:r>
              <w:rPr>
                <w:color w:val="585858"/>
                <w:sz w:val="15"/>
              </w:rPr>
              <w:t>VI. INVERSIONES REALES</w:t>
            </w:r>
          </w:p>
          <w:p>
            <w:pPr>
              <w:pStyle w:val="TableParagraph"/>
              <w:spacing w:before="114"/>
              <w:ind w:right="4573"/>
              <w:jc w:val="right"/>
              <w:rPr>
                <w:sz w:val="15"/>
              </w:rPr>
            </w:pPr>
            <w:r>
              <w:rPr>
                <w:color w:val="585858"/>
                <w:sz w:val="15"/>
              </w:rPr>
              <w:t>IV. TRANSFERENCIAS</w:t>
            </w:r>
            <w:r>
              <w:rPr>
                <w:color w:val="585858"/>
                <w:spacing w:val="1"/>
                <w:sz w:val="15"/>
              </w:rPr>
              <w:t> </w:t>
            </w:r>
            <w:r>
              <w:rPr>
                <w:color w:val="585858"/>
                <w:sz w:val="15"/>
              </w:rPr>
              <w:t>CORRIENTES</w:t>
            </w:r>
          </w:p>
          <w:p>
            <w:pPr>
              <w:pStyle w:val="TableParagraph"/>
              <w:spacing w:before="114"/>
              <w:ind w:right="4573"/>
              <w:jc w:val="right"/>
              <w:rPr>
                <w:sz w:val="15"/>
              </w:rPr>
            </w:pPr>
            <w:r>
              <w:rPr>
                <w:color w:val="585858"/>
                <w:sz w:val="15"/>
              </w:rPr>
              <w:t>III. GASTOS</w:t>
            </w:r>
            <w:r>
              <w:rPr>
                <w:color w:val="585858"/>
                <w:spacing w:val="1"/>
                <w:sz w:val="15"/>
              </w:rPr>
              <w:t> </w:t>
            </w:r>
            <w:r>
              <w:rPr>
                <w:color w:val="585858"/>
                <w:sz w:val="15"/>
              </w:rPr>
              <w:t>FINANCIEROS</w:t>
            </w:r>
          </w:p>
          <w:p>
            <w:pPr>
              <w:pStyle w:val="TableParagraph"/>
              <w:numPr>
                <w:ilvl w:val="0"/>
                <w:numId w:val="11"/>
              </w:numPr>
              <w:tabs>
                <w:tab w:pos="149" w:val="left" w:leader="none"/>
              </w:tabs>
              <w:spacing w:line="240" w:lineRule="auto" w:before="114" w:after="0"/>
              <w:ind w:left="257" w:right="4574" w:hanging="258"/>
              <w:jc w:val="right"/>
              <w:rPr>
                <w:sz w:val="15"/>
              </w:rPr>
            </w:pPr>
            <w:r>
              <w:rPr>
                <w:color w:val="585858"/>
                <w:sz w:val="15"/>
              </w:rPr>
              <w:t>GTOS.BIENES CORRIENT.Y</w:t>
            </w:r>
            <w:r>
              <w:rPr>
                <w:color w:val="585858"/>
                <w:spacing w:val="-2"/>
                <w:sz w:val="15"/>
              </w:rPr>
              <w:t> </w:t>
            </w:r>
            <w:r>
              <w:rPr>
                <w:color w:val="585858"/>
                <w:sz w:val="15"/>
              </w:rPr>
              <w:t>SERVICIOS</w:t>
            </w:r>
          </w:p>
          <w:p>
            <w:pPr>
              <w:pStyle w:val="TableParagraph"/>
              <w:numPr>
                <w:ilvl w:val="1"/>
                <w:numId w:val="11"/>
              </w:numPr>
              <w:tabs>
                <w:tab w:pos="111" w:val="left" w:leader="none"/>
              </w:tabs>
              <w:spacing w:line="240" w:lineRule="auto" w:before="114" w:after="0"/>
              <w:ind w:left="1131" w:right="4574" w:hanging="1132"/>
              <w:jc w:val="right"/>
              <w:rPr>
                <w:sz w:val="15"/>
              </w:rPr>
            </w:pPr>
            <w:r>
              <w:rPr>
                <w:color w:val="585858"/>
                <w:sz w:val="15"/>
              </w:rPr>
              <w:t>GASTOS DE PERSONAL</w:t>
            </w:r>
          </w:p>
          <w:p>
            <w:pPr>
              <w:pStyle w:val="TableParagraph"/>
              <w:spacing w:before="4"/>
              <w:rPr>
                <w:b/>
                <w:sz w:val="13"/>
              </w:rPr>
            </w:pPr>
          </w:p>
          <w:p>
            <w:pPr>
              <w:pStyle w:val="TableParagraph"/>
              <w:tabs>
                <w:tab w:pos="3610" w:val="left" w:leader="none"/>
                <w:tab w:pos="5102" w:val="left" w:leader="none"/>
              </w:tabs>
              <w:ind w:left="2520"/>
              <w:rPr>
                <w:sz w:val="15"/>
              </w:rPr>
            </w:pPr>
            <w:r>
              <w:rPr>
                <w:color w:val="585858"/>
                <w:sz w:val="15"/>
              </w:rPr>
              <w:t>0,00</w:t>
              <w:tab/>
              <w:t>2.000.000.000,00</w:t>
              <w:tab/>
              <w:t>4.000.000.000,00</w:t>
            </w:r>
          </w:p>
          <w:p>
            <w:pPr>
              <w:pStyle w:val="TableParagraph"/>
              <w:spacing w:before="5"/>
              <w:rPr>
                <w:b/>
                <w:sz w:val="12"/>
              </w:rPr>
            </w:pPr>
          </w:p>
          <w:p>
            <w:pPr>
              <w:pStyle w:val="TableParagraph"/>
              <w:tabs>
                <w:tab w:pos="741" w:val="left" w:leader="none"/>
                <w:tab w:pos="1289" w:val="left" w:leader="none"/>
                <w:tab w:pos="1837" w:val="left" w:leader="none"/>
              </w:tabs>
              <w:ind w:left="193"/>
              <w:jc w:val="center"/>
              <w:rPr>
                <w:sz w:val="15"/>
              </w:rPr>
            </w:pPr>
            <w:r>
              <w:rPr>
                <w:color w:val="585858"/>
                <w:sz w:val="15"/>
              </w:rPr>
              <w:t>2022</w:t>
              <w:tab/>
              <w:t>2021</w:t>
              <w:tab/>
              <w:t>2020</w:t>
              <w:tab/>
              <w:t>2019</w:t>
            </w:r>
          </w:p>
        </w:tc>
      </w:tr>
    </w:tbl>
    <w:p>
      <w:pPr>
        <w:pStyle w:val="BodyText"/>
        <w:spacing w:before="8"/>
        <w:rPr>
          <w:b/>
          <w:sz w:val="11"/>
        </w:rPr>
      </w:pPr>
    </w:p>
    <w:p>
      <w:pPr>
        <w:pStyle w:val="BodyText"/>
        <w:spacing w:line="242" w:lineRule="auto" w:before="61"/>
        <w:ind w:left="2096" w:right="1137" w:firstLine="604"/>
        <w:jc w:val="both"/>
      </w:pPr>
      <w:r>
        <w:rPr/>
        <w:pict>
          <v:group style="position:absolute;margin-left:276.165741pt;margin-top:-165.020004pt;width:157pt;height:118.95pt;mso-position-horizontal-relative:page;mso-position-vertical-relative:paragraph;z-index:-323128320" coordorigin="5523,-3300" coordsize="3140,2379">
            <v:line style="position:absolute" from="7021,-3300" to="7021,-922" stroked="true" strokeweight=".629697pt" strokecolor="#d9d9d9">
              <v:stroke dashstyle="solid"/>
            </v:line>
            <v:line style="position:absolute" from="5530,-994" to="7890,-994" stroked="true" strokeweight="2.51879pt" strokecolor="#4471c4">
              <v:stroke dashstyle="solid"/>
            </v:line>
            <v:line style="position:absolute" from="5530,-1291" to="6485,-1291" stroked="true" strokeweight="2.619542pt" strokecolor="#4471c4">
              <v:stroke dashstyle="solid"/>
            </v:line>
            <v:rect style="position:absolute;left:5529;top:-1614;width:67;height:51" filled="true" fillcolor="#4471c4" stroked="false">
              <v:fill type="solid"/>
            </v:rect>
            <v:shape style="position:absolute;left:5529;top:-2482;width:1835;height:595" coordorigin="5530,-2481" coordsize="1835,595" path="m5530,-1887l7364,-1887m5530,-2183l5709,-2183m5530,-2481l5842,-2481e" filled="false" stroked="true" strokeweight="2.51879pt" strokecolor="#4471c4">
              <v:path arrowok="t"/>
              <v:stroke dashstyle="solid"/>
            </v:shape>
            <v:rect style="position:absolute;left:5529;top:-2803;width:19;height:51" filled="true" fillcolor="#4471c4" stroked="false">
              <v:fill type="solid"/>
            </v:rect>
            <v:line style="position:absolute" from="5530,-3076" to="6241,-3076" stroked="true" strokeweight="2.51879pt" strokecolor="#4471c4">
              <v:stroke dashstyle="solid"/>
            </v:line>
            <v:line style="position:absolute" from="5530,-1045" to="8111,-1045" stroked="true" strokeweight="2.619542pt" strokecolor="#ec7c30">
              <v:stroke dashstyle="solid"/>
            </v:line>
            <v:line style="position:absolute" from="5530,-1343" to="6582,-1343" stroked="true" strokeweight="2.51879pt" strokecolor="#ec7c30">
              <v:stroke dashstyle="solid"/>
            </v:line>
            <v:rect style="position:absolute;left:5529;top:-1667;width:69;height:53" filled="true" fillcolor="#ec7c30" stroked="false">
              <v:fill type="solid"/>
            </v:rect>
            <v:line style="position:absolute" from="5530,-1937" to="7476,-1937" stroked="true" strokeweight="2.51879pt" strokecolor="#ec7c30">
              <v:stroke dashstyle="solid"/>
            </v:line>
            <v:line style="position:absolute" from="5530,-2234" to="5790,-2234" stroked="true" strokeweight="2.619542pt" strokecolor="#ec7c30">
              <v:stroke dashstyle="solid"/>
            </v:line>
            <v:line style="position:absolute" from="5530,-2531" to="5875,-2531" stroked="true" strokeweight="2.51879pt" strokecolor="#ec7c30">
              <v:stroke dashstyle="solid"/>
            </v:line>
            <v:rect style="position:absolute;left:5529;top:-2855;width:25;height:53" filled="true" fillcolor="#ec7c30" stroked="false">
              <v:fill type="solid"/>
            </v:rect>
            <v:line style="position:absolute" from="8512,-3300" to="8512,-922" stroked="true" strokeweight=".629697pt" strokecolor="#d9d9d9">
              <v:stroke dashstyle="solid"/>
            </v:line>
            <v:line style="position:absolute" from="5530,-3126" to="8663,-3126" stroked="true" strokeweight="2.51879pt" strokecolor="#ec7c30">
              <v:stroke dashstyle="solid"/>
            </v:line>
            <v:line style="position:absolute" from="5530,-1097" to="8377,-1097" stroked="true" strokeweight="2.51879pt" strokecolor="#a4a4a4">
              <v:stroke dashstyle="solid"/>
            </v:line>
            <v:rect style="position:absolute;left:5529;top:-1421;width:1161;height:53" filled="true" fillcolor="#a4a4a4" stroked="false">
              <v:fill type="solid"/>
            </v:rect>
            <v:rect style="position:absolute;left:5529;top:-1717;width:29;height:51" filled="true" fillcolor="#a4a4a4" stroked="false">
              <v:fill type="solid"/>
            </v:rect>
            <v:line style="position:absolute" from="5530,-1988" to="8635,-1988" stroked="true" strokeweight="2.619542pt" strokecolor="#a4a4a4">
              <v:stroke dashstyle="solid"/>
            </v:line>
            <v:line style="position:absolute" from="5530,-2286" to="5824,-2286" stroked="true" strokeweight="2.51879pt" strokecolor="#a4a4a4">
              <v:stroke dashstyle="solid"/>
            </v:line>
            <v:line style="position:absolute" from="5530,-2583" to="5961,-2583" stroked="true" strokeweight="2.619542pt" strokecolor="#a4a4a4">
              <v:stroke dashstyle="solid"/>
            </v:line>
            <v:rect style="position:absolute;left:5529;top:-2906;width:17;height:51" filled="true" fillcolor="#a4a4a4" stroked="false">
              <v:fill type="solid"/>
            </v:rect>
            <v:line style="position:absolute" from="5530,-3177" to="7315,-3177" stroked="true" strokeweight="2.619542pt" strokecolor="#a4a4a4">
              <v:stroke dashstyle="solid"/>
            </v:line>
            <v:line style="position:absolute" from="5530,-1147" to="8518,-1147" stroked="true" strokeweight="2.51879pt" strokecolor="#ffc000">
              <v:stroke dashstyle="solid"/>
            </v:line>
            <v:rect style="position:absolute;left:5529;top:-1471;width:1161;height:51" filled="true" fillcolor="#ffc000" stroked="false">
              <v:fill type="solid"/>
            </v:rect>
            <v:rect style="position:absolute;left:5529;top:-1767;width:57;height:51" filled="true" fillcolor="#ffc000" stroked="false">
              <v:fill type="solid"/>
            </v:rect>
            <v:shape style="position:absolute;left:5529;top:-2337;width:2203;height:297" coordorigin="5530,-2336" coordsize="2203,297" path="m5530,-2040l7732,-2040m5530,-2336l5887,-2336e" filled="false" stroked="true" strokeweight="2.51879pt" strokecolor="#ffc000">
              <v:path arrowok="t"/>
              <v:stroke dashstyle="solid"/>
            </v:shape>
            <v:line style="position:absolute" from="5530,-2634" to="6012,-2634" stroked="true" strokeweight="2.51879pt" strokecolor="#ffc000">
              <v:stroke dashstyle="solid"/>
            </v:line>
            <v:rect style="position:absolute;left:5529;top:-2956;width:17;height:51" filled="true" fillcolor="#ffc000" stroked="false">
              <v:fill type="solid"/>
            </v:rect>
            <v:line style="position:absolute" from="5530,-3229" to="6187,-3229" stroked="true" strokeweight="2.51879pt" strokecolor="#ffc000">
              <v:stroke dashstyle="solid"/>
            </v:line>
            <v:line style="position:absolute" from="5530,-922" to="5530,-3300" stroked="true" strokeweight=".629697pt" strokecolor="#d9d9d9">
              <v:stroke dashstyle="solid"/>
            </v:line>
            <w10:wrap type="none"/>
          </v:group>
        </w:pict>
      </w:r>
      <w:r>
        <w:rPr/>
        <w:pict>
          <v:rect style="position:absolute;margin-left:271.123962pt;margin-top:-21.628065pt;width:4.150378pt;height:4.150378pt;mso-position-horizontal-relative:page;mso-position-vertical-relative:paragraph;z-index:-323127296" filled="true" fillcolor="#ffc000" stroked="false">
            <v:fill type="solid"/>
            <w10:wrap type="none"/>
          </v:rect>
        </w:pict>
      </w:r>
      <w:r>
        <w:rPr/>
        <w:pict>
          <v:rect style="position:absolute;margin-left:298.52002pt;margin-top:-21.628065pt;width:4.150378pt;height:4.150378pt;mso-position-horizontal-relative:page;mso-position-vertical-relative:paragraph;z-index:-323126272" filled="true" fillcolor="#a4a4a4" stroked="false">
            <v:fill type="solid"/>
            <w10:wrap type="none"/>
          </v:rect>
        </w:pict>
      </w:r>
      <w:r>
        <w:rPr/>
        <w:pict>
          <v:rect style="position:absolute;margin-left:325.916046pt;margin-top:-21.628065pt;width:4.150378pt;height:4.150378pt;mso-position-horizontal-relative:page;mso-position-vertical-relative:paragraph;z-index:-323125248" filled="true" fillcolor="#ec7c30" stroked="false">
            <v:fill type="solid"/>
            <w10:wrap type="none"/>
          </v:rect>
        </w:pict>
      </w:r>
      <w:r>
        <w:rPr/>
        <w:pict>
          <v:rect style="position:absolute;margin-left:353.30368pt;margin-top:-21.628065pt;width:4.150378pt;height:4.150378pt;mso-position-horizontal-relative:page;mso-position-vertical-relative:paragraph;z-index:-323124224" filled="true" fillcolor="#4471c4" stroked="false">
            <v:fill type="solid"/>
            <w10:wrap type="none"/>
          </v:rect>
        </w:pict>
      </w:r>
      <w:r>
        <w:rPr/>
        <w:t>Los gastos totales consolidados de los entes públicos con presupuesto limitativo de la CAC han experimentado un crecimiento de un 23,09 %. Se ha pasado de una cifra de 8.631 millones de € en 2019 a 10.625 millones de € en 2022. Las partidas que más han crecido son:</w:t>
      </w:r>
    </w:p>
    <w:p>
      <w:pPr>
        <w:pStyle w:val="BodyText"/>
        <w:spacing w:before="6"/>
        <w:rPr>
          <w:sz w:val="11"/>
        </w:rPr>
      </w:pPr>
    </w:p>
    <w:p>
      <w:pPr>
        <w:pStyle w:val="ListParagraph"/>
        <w:numPr>
          <w:ilvl w:val="0"/>
          <w:numId w:val="12"/>
        </w:numPr>
        <w:tabs>
          <w:tab w:pos="2690" w:val="left" w:leader="none"/>
          <w:tab w:pos="2691" w:val="left" w:leader="none"/>
        </w:tabs>
        <w:spacing w:line="240" w:lineRule="auto" w:before="61" w:after="0"/>
        <w:ind w:left="2690" w:right="0" w:hanging="303"/>
        <w:jc w:val="left"/>
        <w:rPr>
          <w:sz w:val="20"/>
        </w:rPr>
      </w:pPr>
      <w:r>
        <w:rPr>
          <w:sz w:val="20"/>
        </w:rPr>
        <w:t>Inversiones reales (98,79</w:t>
      </w:r>
      <w:r>
        <w:rPr>
          <w:spacing w:val="-2"/>
          <w:sz w:val="20"/>
        </w:rPr>
        <w:t> </w:t>
      </w:r>
      <w:r>
        <w:rPr>
          <w:sz w:val="20"/>
        </w:rPr>
        <w:t>%).</w:t>
      </w:r>
    </w:p>
    <w:p>
      <w:pPr>
        <w:pStyle w:val="ListParagraph"/>
        <w:numPr>
          <w:ilvl w:val="0"/>
          <w:numId w:val="12"/>
        </w:numPr>
        <w:tabs>
          <w:tab w:pos="2690" w:val="left" w:leader="none"/>
          <w:tab w:pos="2691" w:val="left" w:leader="none"/>
        </w:tabs>
        <w:spacing w:line="240" w:lineRule="auto" w:before="1" w:after="0"/>
        <w:ind w:left="2690" w:right="0" w:hanging="303"/>
        <w:jc w:val="left"/>
        <w:rPr>
          <w:sz w:val="20"/>
        </w:rPr>
      </w:pPr>
      <w:r>
        <w:rPr>
          <w:sz w:val="20"/>
        </w:rPr>
        <w:t>Transferencias de capital (54,52</w:t>
      </w:r>
      <w:r>
        <w:rPr>
          <w:spacing w:val="-4"/>
          <w:sz w:val="20"/>
        </w:rPr>
        <w:t> </w:t>
      </w:r>
      <w:r>
        <w:rPr>
          <w:sz w:val="20"/>
        </w:rPr>
        <w:t>%).</w:t>
      </w:r>
    </w:p>
    <w:p>
      <w:pPr>
        <w:pStyle w:val="ListParagraph"/>
        <w:numPr>
          <w:ilvl w:val="0"/>
          <w:numId w:val="12"/>
        </w:numPr>
        <w:tabs>
          <w:tab w:pos="2690" w:val="left" w:leader="none"/>
          <w:tab w:pos="2691" w:val="left" w:leader="none"/>
        </w:tabs>
        <w:spacing w:line="240" w:lineRule="auto" w:before="2" w:after="0"/>
        <w:ind w:left="2690" w:right="0" w:hanging="299"/>
        <w:jc w:val="left"/>
        <w:rPr>
          <w:sz w:val="20"/>
        </w:rPr>
      </w:pPr>
      <w:r>
        <w:rPr>
          <w:sz w:val="20"/>
        </w:rPr>
        <w:t>Gastos de personal (26,72</w:t>
      </w:r>
      <w:r>
        <w:rPr>
          <w:spacing w:val="6"/>
          <w:sz w:val="20"/>
        </w:rPr>
        <w:t> </w:t>
      </w:r>
      <w:r>
        <w:rPr>
          <w:sz w:val="20"/>
        </w:rPr>
        <w:t>%).</w:t>
      </w:r>
    </w:p>
    <w:p>
      <w:pPr>
        <w:pStyle w:val="BodyText"/>
        <w:spacing w:before="62"/>
        <w:ind w:left="9035"/>
      </w:pPr>
      <w:r>
        <w:rPr/>
        <w:t>28</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67" name="image5.png"/>
                  <wp:cNvGraphicFramePr>
                    <a:graphicFrameLocks noChangeAspect="1"/>
                  </wp:cNvGraphicFramePr>
                  <a:graphic>
                    <a:graphicData uri="http://schemas.openxmlformats.org/drawingml/2006/picture">
                      <pic:pic>
                        <pic:nvPicPr>
                          <pic:cNvPr id="6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30/247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2"/>
          <w:numId w:val="10"/>
        </w:numPr>
        <w:tabs>
          <w:tab w:pos="2691" w:val="left" w:leader="none"/>
        </w:tabs>
        <w:spacing w:line="240" w:lineRule="auto" w:before="61" w:after="0"/>
        <w:ind w:left="2690" w:right="0" w:hanging="605"/>
        <w:jc w:val="left"/>
        <w:rPr>
          <w:b/>
          <w:sz w:val="20"/>
        </w:rPr>
      </w:pPr>
      <w:r>
        <w:rPr>
          <w:b/>
          <w:color w:val="53A1B9"/>
          <w:sz w:val="20"/>
        </w:rPr>
        <w:t>Evolución del gasto territorializado por</w:t>
      </w:r>
      <w:r>
        <w:rPr>
          <w:b/>
          <w:color w:val="53A1B9"/>
          <w:spacing w:val="-2"/>
          <w:sz w:val="20"/>
        </w:rPr>
        <w:t> </w:t>
      </w:r>
      <w:r>
        <w:rPr>
          <w:b/>
          <w:color w:val="53A1B9"/>
          <w:sz w:val="20"/>
        </w:rPr>
        <w:t>islas.</w:t>
      </w:r>
    </w:p>
    <w:p>
      <w:pPr>
        <w:pStyle w:val="BodyText"/>
        <w:spacing w:before="8"/>
        <w:rPr>
          <w:b/>
          <w:sz w:val="16"/>
        </w:rPr>
      </w:pPr>
    </w:p>
    <w:p>
      <w:pPr>
        <w:pStyle w:val="BodyText"/>
        <w:ind w:left="2096" w:right="1201" w:firstLine="604"/>
      </w:pPr>
      <w:r>
        <w:rPr/>
        <w:t>En este apartado se presenta la distribución del gasto por islas, de los cuatro últimos ejercicios, de los capítulos IV, VI y VII.</w:t>
      </w:r>
    </w:p>
    <w:p>
      <w:pPr>
        <w:pStyle w:val="BodyText"/>
        <w:spacing w:before="10"/>
        <w:rPr>
          <w:sz w:val="16"/>
        </w:rPr>
      </w:pPr>
    </w:p>
    <w:p>
      <w:pPr>
        <w:pStyle w:val="Heading1"/>
        <w:ind w:left="957"/>
      </w:pPr>
      <w:r>
        <w:rPr/>
        <w:t>Capítulo IV. Transferencias corrientes.</w:t>
      </w:r>
    </w:p>
    <w:p>
      <w:pPr>
        <w:pStyle w:val="BodyText"/>
        <w:spacing w:before="6" w:after="1"/>
        <w:rPr>
          <w:b/>
          <w:sz w:val="16"/>
        </w:rPr>
      </w:pPr>
    </w:p>
    <w:tbl>
      <w:tblPr>
        <w:tblW w:w="0" w:type="auto"/>
        <w:jc w:val="left"/>
        <w:tblInd w:w="2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7"/>
        <w:gridCol w:w="370"/>
        <w:gridCol w:w="366"/>
        <w:gridCol w:w="1086"/>
        <w:gridCol w:w="594"/>
        <w:gridCol w:w="1076"/>
        <w:gridCol w:w="599"/>
        <w:gridCol w:w="1221"/>
        <w:gridCol w:w="591"/>
      </w:tblGrid>
      <w:tr>
        <w:trPr>
          <w:trHeight w:val="249" w:hRule="atLeast"/>
        </w:trPr>
        <w:tc>
          <w:tcPr>
            <w:tcW w:w="1187" w:type="dxa"/>
            <w:vMerge w:val="restart"/>
            <w:tcBorders>
              <w:top w:val="nil"/>
              <w:left w:val="nil"/>
            </w:tcBorders>
          </w:tcPr>
          <w:p>
            <w:pPr>
              <w:pStyle w:val="TableParagraph"/>
              <w:rPr>
                <w:rFonts w:ascii="Times New Roman"/>
                <w:sz w:val="12"/>
              </w:rPr>
            </w:pPr>
          </w:p>
        </w:tc>
        <w:tc>
          <w:tcPr>
            <w:tcW w:w="736" w:type="dxa"/>
            <w:gridSpan w:val="2"/>
            <w:shd w:val="clear" w:color="auto" w:fill="DEEAF6"/>
          </w:tcPr>
          <w:p>
            <w:pPr>
              <w:pStyle w:val="TableParagraph"/>
              <w:spacing w:before="46"/>
              <w:ind w:left="196"/>
              <w:rPr>
                <w:b/>
                <w:sz w:val="13"/>
              </w:rPr>
            </w:pPr>
            <w:r>
              <w:rPr>
                <w:b/>
                <w:w w:val="105"/>
                <w:sz w:val="13"/>
              </w:rPr>
              <w:t>2019*</w:t>
            </w:r>
          </w:p>
        </w:tc>
        <w:tc>
          <w:tcPr>
            <w:tcW w:w="1680" w:type="dxa"/>
            <w:gridSpan w:val="2"/>
            <w:shd w:val="clear" w:color="auto" w:fill="DEEAF6"/>
          </w:tcPr>
          <w:p>
            <w:pPr>
              <w:pStyle w:val="TableParagraph"/>
              <w:spacing w:before="46"/>
              <w:ind w:left="682" w:right="670"/>
              <w:jc w:val="center"/>
              <w:rPr>
                <w:b/>
                <w:sz w:val="13"/>
              </w:rPr>
            </w:pPr>
            <w:r>
              <w:rPr>
                <w:b/>
                <w:w w:val="105"/>
                <w:sz w:val="13"/>
              </w:rPr>
              <w:t>2020</w:t>
            </w:r>
          </w:p>
        </w:tc>
        <w:tc>
          <w:tcPr>
            <w:tcW w:w="1675" w:type="dxa"/>
            <w:gridSpan w:val="2"/>
            <w:shd w:val="clear" w:color="auto" w:fill="DEEAF6"/>
          </w:tcPr>
          <w:p>
            <w:pPr>
              <w:pStyle w:val="TableParagraph"/>
              <w:spacing w:before="46"/>
              <w:ind w:left="681" w:right="666"/>
              <w:jc w:val="center"/>
              <w:rPr>
                <w:b/>
                <w:sz w:val="13"/>
              </w:rPr>
            </w:pPr>
            <w:r>
              <w:rPr>
                <w:b/>
                <w:w w:val="105"/>
                <w:sz w:val="13"/>
              </w:rPr>
              <w:t>2021</w:t>
            </w:r>
          </w:p>
        </w:tc>
        <w:tc>
          <w:tcPr>
            <w:tcW w:w="1812" w:type="dxa"/>
            <w:gridSpan w:val="2"/>
            <w:shd w:val="clear" w:color="auto" w:fill="DEEAF6"/>
          </w:tcPr>
          <w:p>
            <w:pPr>
              <w:pStyle w:val="TableParagraph"/>
              <w:spacing w:before="46"/>
              <w:ind w:left="750" w:right="735"/>
              <w:jc w:val="center"/>
              <w:rPr>
                <w:b/>
                <w:sz w:val="13"/>
              </w:rPr>
            </w:pPr>
            <w:r>
              <w:rPr>
                <w:b/>
                <w:w w:val="105"/>
                <w:sz w:val="13"/>
              </w:rPr>
              <w:t>2022</w:t>
            </w:r>
          </w:p>
        </w:tc>
      </w:tr>
      <w:tr>
        <w:trPr>
          <w:trHeight w:val="491" w:hRule="atLeast"/>
        </w:trPr>
        <w:tc>
          <w:tcPr>
            <w:tcW w:w="1187" w:type="dxa"/>
            <w:vMerge/>
            <w:tcBorders>
              <w:top w:val="nil"/>
              <w:left w:val="nil"/>
            </w:tcBorders>
          </w:tcPr>
          <w:p>
            <w:pPr>
              <w:rPr>
                <w:sz w:val="2"/>
                <w:szCs w:val="2"/>
              </w:rPr>
            </w:pPr>
          </w:p>
        </w:tc>
        <w:tc>
          <w:tcPr>
            <w:tcW w:w="370" w:type="dxa"/>
            <w:shd w:val="clear" w:color="auto" w:fill="DEEAF6"/>
          </w:tcPr>
          <w:p>
            <w:pPr>
              <w:pStyle w:val="TableParagraph"/>
              <w:spacing w:before="8"/>
              <w:rPr>
                <w:b/>
                <w:sz w:val="13"/>
              </w:rPr>
            </w:pPr>
          </w:p>
          <w:p>
            <w:pPr>
              <w:pStyle w:val="TableParagraph"/>
              <w:ind w:left="57"/>
              <w:rPr>
                <w:b/>
                <w:sz w:val="13"/>
              </w:rPr>
            </w:pPr>
            <w:r>
              <w:rPr>
                <w:b/>
                <w:w w:val="105"/>
                <w:sz w:val="13"/>
              </w:rPr>
              <w:t>Imp.</w:t>
            </w:r>
          </w:p>
        </w:tc>
        <w:tc>
          <w:tcPr>
            <w:tcW w:w="366" w:type="dxa"/>
            <w:shd w:val="clear" w:color="auto" w:fill="DEEAF6"/>
          </w:tcPr>
          <w:p>
            <w:pPr>
              <w:pStyle w:val="TableParagraph"/>
              <w:spacing w:before="4"/>
              <w:ind w:left="69"/>
              <w:jc w:val="center"/>
              <w:rPr>
                <w:b/>
                <w:sz w:val="13"/>
              </w:rPr>
            </w:pPr>
            <w:r>
              <w:rPr>
                <w:b/>
                <w:w w:val="103"/>
                <w:sz w:val="13"/>
              </w:rPr>
              <w:t>%</w:t>
            </w:r>
          </w:p>
          <w:p>
            <w:pPr>
              <w:pStyle w:val="TableParagraph"/>
              <w:spacing w:line="160" w:lineRule="atLeast" w:before="3"/>
              <w:ind w:left="56" w:right="-15"/>
              <w:jc w:val="center"/>
              <w:rPr>
                <w:b/>
                <w:sz w:val="13"/>
              </w:rPr>
            </w:pPr>
            <w:r>
              <w:rPr>
                <w:b/>
                <w:spacing w:val="-1"/>
                <w:w w:val="105"/>
                <w:sz w:val="13"/>
              </w:rPr>
              <w:t>sobre</w:t>
            </w:r>
            <w:r>
              <w:rPr>
                <w:b/>
                <w:w w:val="103"/>
                <w:sz w:val="13"/>
              </w:rPr>
              <w:t> </w:t>
            </w:r>
            <w:r>
              <w:rPr>
                <w:b/>
                <w:w w:val="105"/>
                <w:sz w:val="13"/>
              </w:rPr>
              <w:t>total</w:t>
            </w:r>
          </w:p>
        </w:tc>
        <w:tc>
          <w:tcPr>
            <w:tcW w:w="1086" w:type="dxa"/>
            <w:shd w:val="clear" w:color="auto" w:fill="DEEAF6"/>
          </w:tcPr>
          <w:p>
            <w:pPr>
              <w:pStyle w:val="TableParagraph"/>
              <w:spacing w:before="8"/>
              <w:rPr>
                <w:b/>
                <w:sz w:val="13"/>
              </w:rPr>
            </w:pPr>
          </w:p>
          <w:p>
            <w:pPr>
              <w:pStyle w:val="TableParagraph"/>
              <w:ind w:left="317"/>
              <w:rPr>
                <w:b/>
                <w:sz w:val="13"/>
              </w:rPr>
            </w:pPr>
            <w:r>
              <w:rPr>
                <w:b/>
                <w:w w:val="105"/>
                <w:sz w:val="13"/>
              </w:rPr>
              <w:t>Importe</w:t>
            </w:r>
          </w:p>
        </w:tc>
        <w:tc>
          <w:tcPr>
            <w:tcW w:w="594" w:type="dxa"/>
            <w:shd w:val="clear" w:color="auto" w:fill="DEEAF6"/>
          </w:tcPr>
          <w:p>
            <w:pPr>
              <w:pStyle w:val="TableParagraph"/>
              <w:spacing w:line="249" w:lineRule="auto" w:before="85"/>
              <w:ind w:left="166" w:hanging="91"/>
              <w:rPr>
                <w:b/>
                <w:sz w:val="13"/>
              </w:rPr>
            </w:pPr>
            <w:r>
              <w:rPr>
                <w:b/>
                <w:w w:val="105"/>
                <w:sz w:val="13"/>
              </w:rPr>
              <w:t>% sobre total</w:t>
            </w:r>
          </w:p>
        </w:tc>
        <w:tc>
          <w:tcPr>
            <w:tcW w:w="1076" w:type="dxa"/>
            <w:shd w:val="clear" w:color="auto" w:fill="DEEAF6"/>
          </w:tcPr>
          <w:p>
            <w:pPr>
              <w:pStyle w:val="TableParagraph"/>
              <w:spacing w:before="8"/>
              <w:rPr>
                <w:b/>
                <w:sz w:val="13"/>
              </w:rPr>
            </w:pPr>
          </w:p>
          <w:p>
            <w:pPr>
              <w:pStyle w:val="TableParagraph"/>
              <w:ind w:left="314"/>
              <w:rPr>
                <w:b/>
                <w:sz w:val="13"/>
              </w:rPr>
            </w:pPr>
            <w:r>
              <w:rPr>
                <w:b/>
                <w:w w:val="105"/>
                <w:sz w:val="13"/>
              </w:rPr>
              <w:t>Importe</w:t>
            </w:r>
          </w:p>
        </w:tc>
        <w:tc>
          <w:tcPr>
            <w:tcW w:w="599" w:type="dxa"/>
            <w:shd w:val="clear" w:color="auto" w:fill="DEEAF6"/>
          </w:tcPr>
          <w:p>
            <w:pPr>
              <w:pStyle w:val="TableParagraph"/>
              <w:spacing w:line="249" w:lineRule="auto" w:before="85"/>
              <w:ind w:left="169" w:hanging="91"/>
              <w:rPr>
                <w:b/>
                <w:sz w:val="13"/>
              </w:rPr>
            </w:pPr>
            <w:r>
              <w:rPr>
                <w:b/>
                <w:w w:val="105"/>
                <w:sz w:val="13"/>
              </w:rPr>
              <w:t>% sobre total</w:t>
            </w:r>
          </w:p>
        </w:tc>
        <w:tc>
          <w:tcPr>
            <w:tcW w:w="1221" w:type="dxa"/>
            <w:shd w:val="clear" w:color="auto" w:fill="DEEAF6"/>
          </w:tcPr>
          <w:p>
            <w:pPr>
              <w:pStyle w:val="TableParagraph"/>
              <w:spacing w:before="8"/>
              <w:rPr>
                <w:b/>
                <w:sz w:val="13"/>
              </w:rPr>
            </w:pPr>
          </w:p>
          <w:p>
            <w:pPr>
              <w:pStyle w:val="TableParagraph"/>
              <w:ind w:left="386"/>
              <w:rPr>
                <w:b/>
                <w:sz w:val="13"/>
              </w:rPr>
            </w:pPr>
            <w:r>
              <w:rPr>
                <w:b/>
                <w:w w:val="105"/>
                <w:sz w:val="13"/>
              </w:rPr>
              <w:t>Importe</w:t>
            </w:r>
          </w:p>
        </w:tc>
        <w:tc>
          <w:tcPr>
            <w:tcW w:w="591" w:type="dxa"/>
            <w:shd w:val="clear" w:color="auto" w:fill="DEEAF6"/>
          </w:tcPr>
          <w:p>
            <w:pPr>
              <w:pStyle w:val="TableParagraph"/>
              <w:spacing w:line="249" w:lineRule="auto" w:before="85"/>
              <w:ind w:left="165" w:hanging="92"/>
              <w:rPr>
                <w:b/>
                <w:sz w:val="13"/>
              </w:rPr>
            </w:pPr>
            <w:r>
              <w:rPr>
                <w:b/>
                <w:w w:val="105"/>
                <w:sz w:val="13"/>
              </w:rPr>
              <w:t>% sobre total</w:t>
            </w:r>
          </w:p>
        </w:tc>
      </w:tr>
    </w:tbl>
    <w:p>
      <w:pPr>
        <w:pStyle w:val="BodyText"/>
        <w:spacing w:before="8" w:after="1"/>
        <w:rPr>
          <w:b/>
          <w:sz w:val="5"/>
        </w:rPr>
      </w:pPr>
    </w:p>
    <w:tbl>
      <w:tblPr>
        <w:tblW w:w="0" w:type="auto"/>
        <w:jc w:val="left"/>
        <w:tblInd w:w="2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4"/>
        <w:gridCol w:w="1330"/>
        <w:gridCol w:w="592"/>
        <w:gridCol w:w="1080"/>
        <w:gridCol w:w="667"/>
        <w:gridCol w:w="1148"/>
        <w:gridCol w:w="589"/>
      </w:tblGrid>
      <w:tr>
        <w:trPr>
          <w:trHeight w:val="216" w:hRule="atLeast"/>
        </w:trPr>
        <w:tc>
          <w:tcPr>
            <w:tcW w:w="1774" w:type="dxa"/>
          </w:tcPr>
          <w:p>
            <w:pPr>
              <w:pStyle w:val="TableParagraph"/>
              <w:spacing w:before="22"/>
              <w:ind w:left="148"/>
              <w:rPr>
                <w:sz w:val="13"/>
              </w:rPr>
            </w:pPr>
            <w:r>
              <w:rPr>
                <w:w w:val="105"/>
                <w:sz w:val="13"/>
              </w:rPr>
              <w:t>Fuerteventura</w:t>
            </w:r>
          </w:p>
        </w:tc>
        <w:tc>
          <w:tcPr>
            <w:tcW w:w="1330" w:type="dxa"/>
          </w:tcPr>
          <w:p>
            <w:pPr>
              <w:pStyle w:val="TableParagraph"/>
              <w:spacing w:line="136" w:lineRule="exact"/>
              <w:ind w:right="57"/>
              <w:jc w:val="right"/>
              <w:rPr>
                <w:sz w:val="13"/>
              </w:rPr>
            </w:pPr>
            <w:r>
              <w:rPr>
                <w:w w:val="105"/>
                <w:sz w:val="13"/>
              </w:rPr>
              <w:t>71.696.504,73</w:t>
            </w:r>
          </w:p>
        </w:tc>
        <w:tc>
          <w:tcPr>
            <w:tcW w:w="592" w:type="dxa"/>
          </w:tcPr>
          <w:p>
            <w:pPr>
              <w:pStyle w:val="TableParagraph"/>
              <w:spacing w:line="136" w:lineRule="exact"/>
              <w:ind w:left="173" w:right="31"/>
              <w:jc w:val="center"/>
              <w:rPr>
                <w:sz w:val="13"/>
              </w:rPr>
            </w:pPr>
            <w:r>
              <w:rPr>
                <w:w w:val="105"/>
                <w:sz w:val="13"/>
              </w:rPr>
              <w:t>2,75%</w:t>
            </w:r>
          </w:p>
        </w:tc>
        <w:tc>
          <w:tcPr>
            <w:tcW w:w="1080" w:type="dxa"/>
          </w:tcPr>
          <w:p>
            <w:pPr>
              <w:pStyle w:val="TableParagraph"/>
              <w:spacing w:line="136" w:lineRule="exact"/>
              <w:ind w:right="60"/>
              <w:jc w:val="right"/>
              <w:rPr>
                <w:sz w:val="13"/>
              </w:rPr>
            </w:pPr>
            <w:r>
              <w:rPr>
                <w:sz w:val="13"/>
              </w:rPr>
              <w:t>149.394.584,84</w:t>
            </w:r>
          </w:p>
        </w:tc>
        <w:tc>
          <w:tcPr>
            <w:tcW w:w="667" w:type="dxa"/>
          </w:tcPr>
          <w:p>
            <w:pPr>
              <w:pStyle w:val="TableParagraph"/>
              <w:spacing w:line="136" w:lineRule="exact"/>
              <w:ind w:right="126"/>
              <w:jc w:val="right"/>
              <w:rPr>
                <w:sz w:val="13"/>
              </w:rPr>
            </w:pPr>
            <w:r>
              <w:rPr>
                <w:sz w:val="13"/>
              </w:rPr>
              <w:t>3,59%</w:t>
            </w:r>
          </w:p>
        </w:tc>
        <w:tc>
          <w:tcPr>
            <w:tcW w:w="1148" w:type="dxa"/>
          </w:tcPr>
          <w:p>
            <w:pPr>
              <w:pStyle w:val="TableParagraph"/>
              <w:spacing w:line="136" w:lineRule="exact"/>
              <w:ind w:right="53"/>
              <w:jc w:val="right"/>
              <w:rPr>
                <w:sz w:val="13"/>
              </w:rPr>
            </w:pPr>
            <w:r>
              <w:rPr>
                <w:w w:val="105"/>
                <w:sz w:val="13"/>
              </w:rPr>
              <w:t>81.351.719,79</w:t>
            </w:r>
          </w:p>
        </w:tc>
        <w:tc>
          <w:tcPr>
            <w:tcW w:w="589" w:type="dxa"/>
          </w:tcPr>
          <w:p>
            <w:pPr>
              <w:pStyle w:val="TableParagraph"/>
              <w:spacing w:line="136" w:lineRule="exact"/>
              <w:ind w:right="52"/>
              <w:jc w:val="right"/>
              <w:rPr>
                <w:sz w:val="13"/>
              </w:rPr>
            </w:pPr>
            <w:r>
              <w:rPr>
                <w:sz w:val="13"/>
              </w:rPr>
              <w:t>2,75%</w:t>
            </w:r>
          </w:p>
        </w:tc>
      </w:tr>
      <w:tr>
        <w:trPr>
          <w:trHeight w:val="251" w:hRule="atLeast"/>
        </w:trPr>
        <w:tc>
          <w:tcPr>
            <w:tcW w:w="1774" w:type="dxa"/>
          </w:tcPr>
          <w:p>
            <w:pPr>
              <w:pStyle w:val="TableParagraph"/>
              <w:spacing w:before="58"/>
              <w:ind w:left="148"/>
              <w:rPr>
                <w:sz w:val="13"/>
              </w:rPr>
            </w:pPr>
            <w:r>
              <w:rPr>
                <w:w w:val="105"/>
                <w:sz w:val="13"/>
              </w:rPr>
              <w:t>Lanzarote</w:t>
            </w:r>
          </w:p>
        </w:tc>
        <w:tc>
          <w:tcPr>
            <w:tcW w:w="1330" w:type="dxa"/>
          </w:tcPr>
          <w:p>
            <w:pPr>
              <w:pStyle w:val="TableParagraph"/>
              <w:spacing w:before="13"/>
              <w:ind w:right="57"/>
              <w:jc w:val="right"/>
              <w:rPr>
                <w:sz w:val="13"/>
              </w:rPr>
            </w:pPr>
            <w:r>
              <w:rPr>
                <w:w w:val="105"/>
                <w:sz w:val="13"/>
              </w:rPr>
              <w:t>97.868.540,34</w:t>
            </w:r>
          </w:p>
        </w:tc>
        <w:tc>
          <w:tcPr>
            <w:tcW w:w="592" w:type="dxa"/>
          </w:tcPr>
          <w:p>
            <w:pPr>
              <w:pStyle w:val="TableParagraph"/>
              <w:spacing w:before="13"/>
              <w:ind w:left="173" w:right="31"/>
              <w:jc w:val="center"/>
              <w:rPr>
                <w:sz w:val="13"/>
              </w:rPr>
            </w:pPr>
            <w:r>
              <w:rPr>
                <w:w w:val="105"/>
                <w:sz w:val="13"/>
              </w:rPr>
              <w:t>3,75%</w:t>
            </w:r>
          </w:p>
        </w:tc>
        <w:tc>
          <w:tcPr>
            <w:tcW w:w="1080" w:type="dxa"/>
          </w:tcPr>
          <w:p>
            <w:pPr>
              <w:pStyle w:val="TableParagraph"/>
              <w:spacing w:before="13"/>
              <w:ind w:right="60"/>
              <w:jc w:val="right"/>
              <w:rPr>
                <w:sz w:val="13"/>
              </w:rPr>
            </w:pPr>
            <w:r>
              <w:rPr>
                <w:sz w:val="13"/>
              </w:rPr>
              <w:t>288.547.049,91</w:t>
            </w:r>
          </w:p>
        </w:tc>
        <w:tc>
          <w:tcPr>
            <w:tcW w:w="667" w:type="dxa"/>
          </w:tcPr>
          <w:p>
            <w:pPr>
              <w:pStyle w:val="TableParagraph"/>
              <w:spacing w:before="13"/>
              <w:ind w:right="126"/>
              <w:jc w:val="right"/>
              <w:rPr>
                <w:sz w:val="13"/>
              </w:rPr>
            </w:pPr>
            <w:r>
              <w:rPr>
                <w:sz w:val="13"/>
              </w:rPr>
              <w:t>6,93%</w:t>
            </w:r>
          </w:p>
        </w:tc>
        <w:tc>
          <w:tcPr>
            <w:tcW w:w="1148" w:type="dxa"/>
          </w:tcPr>
          <w:p>
            <w:pPr>
              <w:pStyle w:val="TableParagraph"/>
              <w:spacing w:before="13"/>
              <w:ind w:right="53"/>
              <w:jc w:val="right"/>
              <w:rPr>
                <w:sz w:val="13"/>
              </w:rPr>
            </w:pPr>
            <w:r>
              <w:rPr>
                <w:sz w:val="13"/>
              </w:rPr>
              <w:t>109.082.241,43</w:t>
            </w:r>
          </w:p>
        </w:tc>
        <w:tc>
          <w:tcPr>
            <w:tcW w:w="589" w:type="dxa"/>
          </w:tcPr>
          <w:p>
            <w:pPr>
              <w:pStyle w:val="TableParagraph"/>
              <w:spacing w:before="13"/>
              <w:ind w:right="52"/>
              <w:jc w:val="right"/>
              <w:rPr>
                <w:sz w:val="13"/>
              </w:rPr>
            </w:pPr>
            <w:r>
              <w:rPr>
                <w:sz w:val="13"/>
              </w:rPr>
              <w:t>3,69%</w:t>
            </w:r>
          </w:p>
        </w:tc>
      </w:tr>
      <w:tr>
        <w:trPr>
          <w:trHeight w:val="251" w:hRule="atLeast"/>
        </w:trPr>
        <w:tc>
          <w:tcPr>
            <w:tcW w:w="1774" w:type="dxa"/>
          </w:tcPr>
          <w:p>
            <w:pPr>
              <w:pStyle w:val="TableParagraph"/>
              <w:spacing w:before="58"/>
              <w:ind w:left="148"/>
              <w:rPr>
                <w:sz w:val="13"/>
              </w:rPr>
            </w:pPr>
            <w:r>
              <w:rPr>
                <w:w w:val="105"/>
                <w:sz w:val="13"/>
              </w:rPr>
              <w:t>Gran canaria</w:t>
            </w:r>
          </w:p>
        </w:tc>
        <w:tc>
          <w:tcPr>
            <w:tcW w:w="1330" w:type="dxa"/>
          </w:tcPr>
          <w:p>
            <w:pPr>
              <w:pStyle w:val="TableParagraph"/>
              <w:spacing w:before="13"/>
              <w:ind w:right="57"/>
              <w:jc w:val="right"/>
              <w:rPr>
                <w:sz w:val="13"/>
              </w:rPr>
            </w:pPr>
            <w:r>
              <w:rPr>
                <w:sz w:val="13"/>
              </w:rPr>
              <w:t>873.437.174,03</w:t>
            </w:r>
          </w:p>
        </w:tc>
        <w:tc>
          <w:tcPr>
            <w:tcW w:w="592" w:type="dxa"/>
          </w:tcPr>
          <w:p>
            <w:pPr>
              <w:pStyle w:val="TableParagraph"/>
              <w:spacing w:before="13"/>
              <w:ind w:left="105" w:right="30"/>
              <w:jc w:val="center"/>
              <w:rPr>
                <w:sz w:val="13"/>
              </w:rPr>
            </w:pPr>
            <w:r>
              <w:rPr>
                <w:w w:val="105"/>
                <w:sz w:val="13"/>
              </w:rPr>
              <w:t>33,44%</w:t>
            </w:r>
          </w:p>
        </w:tc>
        <w:tc>
          <w:tcPr>
            <w:tcW w:w="1080" w:type="dxa"/>
          </w:tcPr>
          <w:p>
            <w:pPr>
              <w:pStyle w:val="TableParagraph"/>
              <w:spacing w:before="13"/>
              <w:ind w:right="58"/>
              <w:jc w:val="right"/>
              <w:rPr>
                <w:sz w:val="13"/>
              </w:rPr>
            </w:pPr>
            <w:r>
              <w:rPr>
                <w:w w:val="105"/>
                <w:sz w:val="13"/>
              </w:rPr>
              <w:t>1.317.342.660,43</w:t>
            </w:r>
          </w:p>
        </w:tc>
        <w:tc>
          <w:tcPr>
            <w:tcW w:w="667" w:type="dxa"/>
          </w:tcPr>
          <w:p>
            <w:pPr>
              <w:pStyle w:val="TableParagraph"/>
              <w:spacing w:before="13"/>
              <w:ind w:right="126"/>
              <w:jc w:val="right"/>
              <w:rPr>
                <w:sz w:val="13"/>
              </w:rPr>
            </w:pPr>
            <w:r>
              <w:rPr>
                <w:sz w:val="13"/>
              </w:rPr>
              <w:t>31,63%</w:t>
            </w:r>
          </w:p>
        </w:tc>
        <w:tc>
          <w:tcPr>
            <w:tcW w:w="1148" w:type="dxa"/>
          </w:tcPr>
          <w:p>
            <w:pPr>
              <w:pStyle w:val="TableParagraph"/>
              <w:spacing w:before="13"/>
              <w:ind w:right="53"/>
              <w:jc w:val="right"/>
              <w:rPr>
                <w:sz w:val="13"/>
              </w:rPr>
            </w:pPr>
            <w:r>
              <w:rPr>
                <w:sz w:val="13"/>
              </w:rPr>
              <w:t>864.311.221,87</w:t>
            </w:r>
          </w:p>
        </w:tc>
        <w:tc>
          <w:tcPr>
            <w:tcW w:w="589" w:type="dxa"/>
          </w:tcPr>
          <w:p>
            <w:pPr>
              <w:pStyle w:val="TableParagraph"/>
              <w:spacing w:before="13"/>
              <w:ind w:right="51"/>
              <w:jc w:val="right"/>
              <w:rPr>
                <w:sz w:val="13"/>
              </w:rPr>
            </w:pPr>
            <w:r>
              <w:rPr>
                <w:sz w:val="13"/>
              </w:rPr>
              <w:t>29,26%</w:t>
            </w:r>
          </w:p>
        </w:tc>
      </w:tr>
      <w:tr>
        <w:trPr>
          <w:trHeight w:val="251" w:hRule="atLeast"/>
        </w:trPr>
        <w:tc>
          <w:tcPr>
            <w:tcW w:w="1774" w:type="dxa"/>
          </w:tcPr>
          <w:p>
            <w:pPr>
              <w:pStyle w:val="TableParagraph"/>
              <w:spacing w:before="58"/>
              <w:ind w:left="148"/>
              <w:rPr>
                <w:sz w:val="13"/>
              </w:rPr>
            </w:pPr>
            <w:r>
              <w:rPr>
                <w:w w:val="105"/>
                <w:sz w:val="13"/>
              </w:rPr>
              <w:t>La graciosa</w:t>
            </w:r>
          </w:p>
        </w:tc>
        <w:tc>
          <w:tcPr>
            <w:tcW w:w="1330" w:type="dxa"/>
          </w:tcPr>
          <w:p>
            <w:pPr>
              <w:pStyle w:val="TableParagraph"/>
              <w:rPr>
                <w:rFonts w:ascii="Times New Roman"/>
                <w:sz w:val="12"/>
              </w:rPr>
            </w:pPr>
          </w:p>
        </w:tc>
        <w:tc>
          <w:tcPr>
            <w:tcW w:w="592" w:type="dxa"/>
          </w:tcPr>
          <w:p>
            <w:pPr>
              <w:pStyle w:val="TableParagraph"/>
              <w:rPr>
                <w:rFonts w:ascii="Times New Roman"/>
                <w:sz w:val="12"/>
              </w:rPr>
            </w:pPr>
          </w:p>
        </w:tc>
        <w:tc>
          <w:tcPr>
            <w:tcW w:w="1080" w:type="dxa"/>
          </w:tcPr>
          <w:p>
            <w:pPr>
              <w:pStyle w:val="TableParagraph"/>
              <w:rPr>
                <w:rFonts w:ascii="Times New Roman"/>
                <w:sz w:val="12"/>
              </w:rPr>
            </w:pPr>
          </w:p>
        </w:tc>
        <w:tc>
          <w:tcPr>
            <w:tcW w:w="667" w:type="dxa"/>
          </w:tcPr>
          <w:p>
            <w:pPr>
              <w:pStyle w:val="TableParagraph"/>
              <w:rPr>
                <w:rFonts w:ascii="Times New Roman"/>
                <w:sz w:val="12"/>
              </w:rPr>
            </w:pPr>
          </w:p>
        </w:tc>
        <w:tc>
          <w:tcPr>
            <w:tcW w:w="1148" w:type="dxa"/>
          </w:tcPr>
          <w:p>
            <w:pPr>
              <w:pStyle w:val="TableParagraph"/>
              <w:spacing w:before="13"/>
              <w:ind w:right="53"/>
              <w:jc w:val="right"/>
              <w:rPr>
                <w:sz w:val="13"/>
              </w:rPr>
            </w:pPr>
            <w:r>
              <w:rPr>
                <w:w w:val="105"/>
                <w:sz w:val="13"/>
              </w:rPr>
              <w:t>40.000,00</w:t>
            </w:r>
          </w:p>
        </w:tc>
        <w:tc>
          <w:tcPr>
            <w:tcW w:w="589" w:type="dxa"/>
          </w:tcPr>
          <w:p>
            <w:pPr>
              <w:pStyle w:val="TableParagraph"/>
              <w:spacing w:before="13"/>
              <w:ind w:right="52"/>
              <w:jc w:val="right"/>
              <w:rPr>
                <w:sz w:val="13"/>
              </w:rPr>
            </w:pPr>
            <w:r>
              <w:rPr>
                <w:sz w:val="13"/>
              </w:rPr>
              <w:t>0,00%</w:t>
            </w:r>
          </w:p>
        </w:tc>
      </w:tr>
      <w:tr>
        <w:trPr>
          <w:trHeight w:val="251" w:hRule="atLeast"/>
        </w:trPr>
        <w:tc>
          <w:tcPr>
            <w:tcW w:w="1774" w:type="dxa"/>
          </w:tcPr>
          <w:p>
            <w:pPr>
              <w:pStyle w:val="TableParagraph"/>
              <w:spacing w:before="58"/>
              <w:ind w:left="148"/>
              <w:rPr>
                <w:sz w:val="13"/>
              </w:rPr>
            </w:pPr>
            <w:r>
              <w:rPr>
                <w:w w:val="105"/>
                <w:sz w:val="13"/>
              </w:rPr>
              <w:t>La gomera</w:t>
            </w:r>
          </w:p>
        </w:tc>
        <w:tc>
          <w:tcPr>
            <w:tcW w:w="1330" w:type="dxa"/>
          </w:tcPr>
          <w:p>
            <w:pPr>
              <w:pStyle w:val="TableParagraph"/>
              <w:spacing w:before="13"/>
              <w:ind w:right="57"/>
              <w:jc w:val="right"/>
              <w:rPr>
                <w:sz w:val="13"/>
              </w:rPr>
            </w:pPr>
            <w:r>
              <w:rPr>
                <w:w w:val="105"/>
                <w:sz w:val="13"/>
              </w:rPr>
              <w:t>34.941.804,73</w:t>
            </w:r>
          </w:p>
        </w:tc>
        <w:tc>
          <w:tcPr>
            <w:tcW w:w="592" w:type="dxa"/>
          </w:tcPr>
          <w:p>
            <w:pPr>
              <w:pStyle w:val="TableParagraph"/>
              <w:spacing w:before="13"/>
              <w:ind w:left="173" w:right="31"/>
              <w:jc w:val="center"/>
              <w:rPr>
                <w:sz w:val="13"/>
              </w:rPr>
            </w:pPr>
            <w:r>
              <w:rPr>
                <w:w w:val="105"/>
                <w:sz w:val="13"/>
              </w:rPr>
              <w:t>1,34%</w:t>
            </w:r>
          </w:p>
        </w:tc>
        <w:tc>
          <w:tcPr>
            <w:tcW w:w="1080" w:type="dxa"/>
          </w:tcPr>
          <w:p>
            <w:pPr>
              <w:pStyle w:val="TableParagraph"/>
              <w:spacing w:before="13"/>
              <w:ind w:right="58"/>
              <w:jc w:val="right"/>
              <w:rPr>
                <w:sz w:val="13"/>
              </w:rPr>
            </w:pPr>
            <w:r>
              <w:rPr>
                <w:w w:val="105"/>
                <w:sz w:val="13"/>
              </w:rPr>
              <w:t>35.696.577,60</w:t>
            </w:r>
          </w:p>
        </w:tc>
        <w:tc>
          <w:tcPr>
            <w:tcW w:w="667" w:type="dxa"/>
          </w:tcPr>
          <w:p>
            <w:pPr>
              <w:pStyle w:val="TableParagraph"/>
              <w:spacing w:before="13"/>
              <w:ind w:right="126"/>
              <w:jc w:val="right"/>
              <w:rPr>
                <w:sz w:val="13"/>
              </w:rPr>
            </w:pPr>
            <w:r>
              <w:rPr>
                <w:sz w:val="13"/>
              </w:rPr>
              <w:t>0,86%</w:t>
            </w:r>
          </w:p>
        </w:tc>
        <w:tc>
          <w:tcPr>
            <w:tcW w:w="1148" w:type="dxa"/>
          </w:tcPr>
          <w:p>
            <w:pPr>
              <w:pStyle w:val="TableParagraph"/>
              <w:spacing w:before="13"/>
              <w:ind w:right="53"/>
              <w:jc w:val="right"/>
              <w:rPr>
                <w:sz w:val="13"/>
              </w:rPr>
            </w:pPr>
            <w:r>
              <w:rPr>
                <w:w w:val="105"/>
                <w:sz w:val="13"/>
              </w:rPr>
              <w:t>35.836.296,80</w:t>
            </w:r>
          </w:p>
        </w:tc>
        <w:tc>
          <w:tcPr>
            <w:tcW w:w="589" w:type="dxa"/>
          </w:tcPr>
          <w:p>
            <w:pPr>
              <w:pStyle w:val="TableParagraph"/>
              <w:spacing w:before="13"/>
              <w:ind w:right="52"/>
              <w:jc w:val="right"/>
              <w:rPr>
                <w:sz w:val="13"/>
              </w:rPr>
            </w:pPr>
            <w:r>
              <w:rPr>
                <w:sz w:val="13"/>
              </w:rPr>
              <w:t>1,21%</w:t>
            </w:r>
          </w:p>
        </w:tc>
      </w:tr>
      <w:tr>
        <w:trPr>
          <w:trHeight w:val="251" w:hRule="atLeast"/>
        </w:trPr>
        <w:tc>
          <w:tcPr>
            <w:tcW w:w="1774" w:type="dxa"/>
          </w:tcPr>
          <w:p>
            <w:pPr>
              <w:pStyle w:val="TableParagraph"/>
              <w:spacing w:before="58"/>
              <w:ind w:left="148"/>
              <w:rPr>
                <w:sz w:val="13"/>
              </w:rPr>
            </w:pPr>
            <w:r>
              <w:rPr>
                <w:w w:val="105"/>
                <w:sz w:val="13"/>
              </w:rPr>
              <w:t>El hierro</w:t>
            </w:r>
          </w:p>
        </w:tc>
        <w:tc>
          <w:tcPr>
            <w:tcW w:w="1330" w:type="dxa"/>
          </w:tcPr>
          <w:p>
            <w:pPr>
              <w:pStyle w:val="TableParagraph"/>
              <w:spacing w:before="13"/>
              <w:ind w:right="57"/>
              <w:jc w:val="right"/>
              <w:rPr>
                <w:sz w:val="13"/>
              </w:rPr>
            </w:pPr>
            <w:r>
              <w:rPr>
                <w:w w:val="105"/>
                <w:sz w:val="13"/>
              </w:rPr>
              <w:t>25.978.337,22</w:t>
            </w:r>
          </w:p>
        </w:tc>
        <w:tc>
          <w:tcPr>
            <w:tcW w:w="592" w:type="dxa"/>
          </w:tcPr>
          <w:p>
            <w:pPr>
              <w:pStyle w:val="TableParagraph"/>
              <w:spacing w:before="13"/>
              <w:ind w:left="173" w:right="31"/>
              <w:jc w:val="center"/>
              <w:rPr>
                <w:sz w:val="13"/>
              </w:rPr>
            </w:pPr>
            <w:r>
              <w:rPr>
                <w:w w:val="105"/>
                <w:sz w:val="13"/>
              </w:rPr>
              <w:t>0,99%</w:t>
            </w:r>
          </w:p>
        </w:tc>
        <w:tc>
          <w:tcPr>
            <w:tcW w:w="1080" w:type="dxa"/>
          </w:tcPr>
          <w:p>
            <w:pPr>
              <w:pStyle w:val="TableParagraph"/>
              <w:spacing w:before="13"/>
              <w:ind w:right="58"/>
              <w:jc w:val="right"/>
              <w:rPr>
                <w:sz w:val="13"/>
              </w:rPr>
            </w:pPr>
            <w:r>
              <w:rPr>
                <w:w w:val="105"/>
                <w:sz w:val="13"/>
              </w:rPr>
              <w:t>27.189.660,67</w:t>
            </w:r>
          </w:p>
        </w:tc>
        <w:tc>
          <w:tcPr>
            <w:tcW w:w="667" w:type="dxa"/>
          </w:tcPr>
          <w:p>
            <w:pPr>
              <w:pStyle w:val="TableParagraph"/>
              <w:spacing w:before="13"/>
              <w:ind w:right="126"/>
              <w:jc w:val="right"/>
              <w:rPr>
                <w:sz w:val="13"/>
              </w:rPr>
            </w:pPr>
            <w:r>
              <w:rPr>
                <w:sz w:val="13"/>
              </w:rPr>
              <w:t>0,65%</w:t>
            </w:r>
          </w:p>
        </w:tc>
        <w:tc>
          <w:tcPr>
            <w:tcW w:w="1148" w:type="dxa"/>
          </w:tcPr>
          <w:p>
            <w:pPr>
              <w:pStyle w:val="TableParagraph"/>
              <w:spacing w:before="13"/>
              <w:ind w:right="53"/>
              <w:jc w:val="right"/>
              <w:rPr>
                <w:sz w:val="13"/>
              </w:rPr>
            </w:pPr>
            <w:r>
              <w:rPr>
                <w:w w:val="105"/>
                <w:sz w:val="13"/>
              </w:rPr>
              <w:t>25.510.126,81</w:t>
            </w:r>
          </w:p>
        </w:tc>
        <w:tc>
          <w:tcPr>
            <w:tcW w:w="589" w:type="dxa"/>
          </w:tcPr>
          <w:p>
            <w:pPr>
              <w:pStyle w:val="TableParagraph"/>
              <w:spacing w:before="13"/>
              <w:ind w:right="52"/>
              <w:jc w:val="right"/>
              <w:rPr>
                <w:sz w:val="13"/>
              </w:rPr>
            </w:pPr>
            <w:r>
              <w:rPr>
                <w:sz w:val="13"/>
              </w:rPr>
              <w:t>0,86%</w:t>
            </w:r>
          </w:p>
        </w:tc>
      </w:tr>
      <w:tr>
        <w:trPr>
          <w:trHeight w:val="251" w:hRule="atLeast"/>
        </w:trPr>
        <w:tc>
          <w:tcPr>
            <w:tcW w:w="1774" w:type="dxa"/>
          </w:tcPr>
          <w:p>
            <w:pPr>
              <w:pStyle w:val="TableParagraph"/>
              <w:spacing w:before="58"/>
              <w:ind w:left="148"/>
              <w:rPr>
                <w:sz w:val="13"/>
              </w:rPr>
            </w:pPr>
            <w:r>
              <w:rPr>
                <w:w w:val="105"/>
                <w:sz w:val="13"/>
              </w:rPr>
              <w:t>La palma</w:t>
            </w:r>
          </w:p>
        </w:tc>
        <w:tc>
          <w:tcPr>
            <w:tcW w:w="1330" w:type="dxa"/>
          </w:tcPr>
          <w:p>
            <w:pPr>
              <w:pStyle w:val="TableParagraph"/>
              <w:spacing w:before="13"/>
              <w:ind w:right="57"/>
              <w:jc w:val="right"/>
              <w:rPr>
                <w:sz w:val="13"/>
              </w:rPr>
            </w:pPr>
            <w:r>
              <w:rPr>
                <w:sz w:val="13"/>
              </w:rPr>
              <w:t>112.366.832,91</w:t>
            </w:r>
          </w:p>
        </w:tc>
        <w:tc>
          <w:tcPr>
            <w:tcW w:w="592" w:type="dxa"/>
          </w:tcPr>
          <w:p>
            <w:pPr>
              <w:pStyle w:val="TableParagraph"/>
              <w:spacing w:before="13"/>
              <w:ind w:left="173" w:right="31"/>
              <w:jc w:val="center"/>
              <w:rPr>
                <w:sz w:val="13"/>
              </w:rPr>
            </w:pPr>
            <w:r>
              <w:rPr>
                <w:w w:val="105"/>
                <w:sz w:val="13"/>
              </w:rPr>
              <w:t>4,30%</w:t>
            </w:r>
          </w:p>
        </w:tc>
        <w:tc>
          <w:tcPr>
            <w:tcW w:w="1080" w:type="dxa"/>
          </w:tcPr>
          <w:p>
            <w:pPr>
              <w:pStyle w:val="TableParagraph"/>
              <w:spacing w:before="13"/>
              <w:ind w:right="60"/>
              <w:jc w:val="right"/>
              <w:rPr>
                <w:sz w:val="13"/>
              </w:rPr>
            </w:pPr>
            <w:r>
              <w:rPr>
                <w:sz w:val="13"/>
              </w:rPr>
              <w:t>185.959.734,56</w:t>
            </w:r>
          </w:p>
        </w:tc>
        <w:tc>
          <w:tcPr>
            <w:tcW w:w="667" w:type="dxa"/>
          </w:tcPr>
          <w:p>
            <w:pPr>
              <w:pStyle w:val="TableParagraph"/>
              <w:spacing w:before="13"/>
              <w:ind w:right="126"/>
              <w:jc w:val="right"/>
              <w:rPr>
                <w:sz w:val="13"/>
              </w:rPr>
            </w:pPr>
            <w:r>
              <w:rPr>
                <w:sz w:val="13"/>
              </w:rPr>
              <w:t>4,46%</w:t>
            </w:r>
          </w:p>
        </w:tc>
        <w:tc>
          <w:tcPr>
            <w:tcW w:w="1148" w:type="dxa"/>
          </w:tcPr>
          <w:p>
            <w:pPr>
              <w:pStyle w:val="TableParagraph"/>
              <w:spacing w:before="13"/>
              <w:ind w:right="53"/>
              <w:jc w:val="right"/>
              <w:rPr>
                <w:sz w:val="13"/>
              </w:rPr>
            </w:pPr>
            <w:r>
              <w:rPr>
                <w:sz w:val="13"/>
              </w:rPr>
              <w:t>174.339.349,35</w:t>
            </w:r>
          </w:p>
        </w:tc>
        <w:tc>
          <w:tcPr>
            <w:tcW w:w="589" w:type="dxa"/>
          </w:tcPr>
          <w:p>
            <w:pPr>
              <w:pStyle w:val="TableParagraph"/>
              <w:spacing w:before="13"/>
              <w:ind w:right="52"/>
              <w:jc w:val="right"/>
              <w:rPr>
                <w:sz w:val="13"/>
              </w:rPr>
            </w:pPr>
            <w:r>
              <w:rPr>
                <w:sz w:val="13"/>
              </w:rPr>
              <w:t>5,90%</w:t>
            </w:r>
          </w:p>
        </w:tc>
      </w:tr>
      <w:tr>
        <w:trPr>
          <w:trHeight w:val="251" w:hRule="atLeast"/>
        </w:trPr>
        <w:tc>
          <w:tcPr>
            <w:tcW w:w="1774" w:type="dxa"/>
          </w:tcPr>
          <w:p>
            <w:pPr>
              <w:pStyle w:val="TableParagraph"/>
              <w:spacing w:before="58"/>
              <w:ind w:left="148"/>
              <w:rPr>
                <w:sz w:val="13"/>
              </w:rPr>
            </w:pPr>
            <w:r>
              <w:rPr>
                <w:w w:val="105"/>
                <w:sz w:val="13"/>
              </w:rPr>
              <w:t>Tenerife</w:t>
            </w:r>
          </w:p>
        </w:tc>
        <w:tc>
          <w:tcPr>
            <w:tcW w:w="1330" w:type="dxa"/>
          </w:tcPr>
          <w:p>
            <w:pPr>
              <w:pStyle w:val="TableParagraph"/>
              <w:spacing w:before="13"/>
              <w:ind w:right="57"/>
              <w:jc w:val="right"/>
              <w:rPr>
                <w:sz w:val="13"/>
              </w:rPr>
            </w:pPr>
            <w:r>
              <w:rPr>
                <w:sz w:val="13"/>
              </w:rPr>
              <w:t>945.646.383,57</w:t>
            </w:r>
          </w:p>
        </w:tc>
        <w:tc>
          <w:tcPr>
            <w:tcW w:w="592" w:type="dxa"/>
          </w:tcPr>
          <w:p>
            <w:pPr>
              <w:pStyle w:val="TableParagraph"/>
              <w:spacing w:before="13"/>
              <w:ind w:left="105" w:right="30"/>
              <w:jc w:val="center"/>
              <w:rPr>
                <w:sz w:val="13"/>
              </w:rPr>
            </w:pPr>
            <w:r>
              <w:rPr>
                <w:w w:val="105"/>
                <w:sz w:val="13"/>
              </w:rPr>
              <w:t>36,21%</w:t>
            </w:r>
          </w:p>
        </w:tc>
        <w:tc>
          <w:tcPr>
            <w:tcW w:w="1080" w:type="dxa"/>
          </w:tcPr>
          <w:p>
            <w:pPr>
              <w:pStyle w:val="TableParagraph"/>
              <w:spacing w:before="13"/>
              <w:ind w:right="60"/>
              <w:jc w:val="right"/>
              <w:rPr>
                <w:sz w:val="13"/>
              </w:rPr>
            </w:pPr>
            <w:r>
              <w:rPr>
                <w:sz w:val="13"/>
              </w:rPr>
              <w:t>958.047.696,90</w:t>
            </w:r>
          </w:p>
        </w:tc>
        <w:tc>
          <w:tcPr>
            <w:tcW w:w="667" w:type="dxa"/>
          </w:tcPr>
          <w:p>
            <w:pPr>
              <w:pStyle w:val="TableParagraph"/>
              <w:spacing w:before="13"/>
              <w:ind w:right="126"/>
              <w:jc w:val="right"/>
              <w:rPr>
                <w:sz w:val="13"/>
              </w:rPr>
            </w:pPr>
            <w:r>
              <w:rPr>
                <w:sz w:val="13"/>
              </w:rPr>
              <w:t>23,00%</w:t>
            </w:r>
          </w:p>
        </w:tc>
        <w:tc>
          <w:tcPr>
            <w:tcW w:w="1148" w:type="dxa"/>
          </w:tcPr>
          <w:p>
            <w:pPr>
              <w:pStyle w:val="TableParagraph"/>
              <w:spacing w:before="13"/>
              <w:ind w:right="53"/>
              <w:jc w:val="right"/>
              <w:rPr>
                <w:sz w:val="13"/>
              </w:rPr>
            </w:pPr>
            <w:r>
              <w:rPr>
                <w:sz w:val="13"/>
              </w:rPr>
              <w:t>941.230.609,30</w:t>
            </w:r>
          </w:p>
        </w:tc>
        <w:tc>
          <w:tcPr>
            <w:tcW w:w="589" w:type="dxa"/>
          </w:tcPr>
          <w:p>
            <w:pPr>
              <w:pStyle w:val="TableParagraph"/>
              <w:spacing w:before="13"/>
              <w:ind w:right="51"/>
              <w:jc w:val="right"/>
              <w:rPr>
                <w:sz w:val="13"/>
              </w:rPr>
            </w:pPr>
            <w:r>
              <w:rPr>
                <w:sz w:val="13"/>
              </w:rPr>
              <w:t>31,86%</w:t>
            </w:r>
          </w:p>
        </w:tc>
      </w:tr>
      <w:tr>
        <w:trPr>
          <w:trHeight w:val="251" w:hRule="atLeast"/>
        </w:trPr>
        <w:tc>
          <w:tcPr>
            <w:tcW w:w="1774" w:type="dxa"/>
          </w:tcPr>
          <w:p>
            <w:pPr>
              <w:pStyle w:val="TableParagraph"/>
              <w:spacing w:before="58"/>
              <w:ind w:left="148"/>
              <w:rPr>
                <w:sz w:val="13"/>
              </w:rPr>
            </w:pPr>
            <w:r>
              <w:rPr>
                <w:w w:val="105"/>
                <w:sz w:val="13"/>
              </w:rPr>
              <w:t>Exterior</w:t>
            </w:r>
          </w:p>
        </w:tc>
        <w:tc>
          <w:tcPr>
            <w:tcW w:w="1330" w:type="dxa"/>
          </w:tcPr>
          <w:p>
            <w:pPr>
              <w:pStyle w:val="TableParagraph"/>
              <w:spacing w:before="13"/>
              <w:ind w:right="57"/>
              <w:jc w:val="right"/>
              <w:rPr>
                <w:sz w:val="13"/>
              </w:rPr>
            </w:pPr>
            <w:r>
              <w:rPr>
                <w:w w:val="105"/>
                <w:sz w:val="13"/>
              </w:rPr>
              <w:t>4.169.424,49</w:t>
            </w:r>
          </w:p>
        </w:tc>
        <w:tc>
          <w:tcPr>
            <w:tcW w:w="592" w:type="dxa"/>
          </w:tcPr>
          <w:p>
            <w:pPr>
              <w:pStyle w:val="TableParagraph"/>
              <w:spacing w:before="13"/>
              <w:ind w:left="173" w:right="31"/>
              <w:jc w:val="center"/>
              <w:rPr>
                <w:sz w:val="13"/>
              </w:rPr>
            </w:pPr>
            <w:r>
              <w:rPr>
                <w:w w:val="105"/>
                <w:sz w:val="13"/>
              </w:rPr>
              <w:t>0,16%</w:t>
            </w:r>
          </w:p>
        </w:tc>
        <w:tc>
          <w:tcPr>
            <w:tcW w:w="1080" w:type="dxa"/>
          </w:tcPr>
          <w:p>
            <w:pPr>
              <w:pStyle w:val="TableParagraph"/>
              <w:spacing w:before="13"/>
              <w:ind w:right="58"/>
              <w:jc w:val="right"/>
              <w:rPr>
                <w:sz w:val="13"/>
              </w:rPr>
            </w:pPr>
            <w:r>
              <w:rPr>
                <w:w w:val="105"/>
                <w:sz w:val="13"/>
              </w:rPr>
              <w:t>4.924.916,01</w:t>
            </w:r>
          </w:p>
        </w:tc>
        <w:tc>
          <w:tcPr>
            <w:tcW w:w="667" w:type="dxa"/>
          </w:tcPr>
          <w:p>
            <w:pPr>
              <w:pStyle w:val="TableParagraph"/>
              <w:spacing w:before="13"/>
              <w:ind w:right="126"/>
              <w:jc w:val="right"/>
              <w:rPr>
                <w:sz w:val="13"/>
              </w:rPr>
            </w:pPr>
            <w:r>
              <w:rPr>
                <w:sz w:val="13"/>
              </w:rPr>
              <w:t>0,12%</w:t>
            </w:r>
          </w:p>
        </w:tc>
        <w:tc>
          <w:tcPr>
            <w:tcW w:w="1148" w:type="dxa"/>
          </w:tcPr>
          <w:p>
            <w:pPr>
              <w:pStyle w:val="TableParagraph"/>
              <w:spacing w:before="13"/>
              <w:ind w:right="53"/>
              <w:jc w:val="right"/>
              <w:rPr>
                <w:sz w:val="13"/>
              </w:rPr>
            </w:pPr>
            <w:r>
              <w:rPr>
                <w:w w:val="105"/>
                <w:sz w:val="13"/>
              </w:rPr>
              <w:t>6.410.506,71</w:t>
            </w:r>
          </w:p>
        </w:tc>
        <w:tc>
          <w:tcPr>
            <w:tcW w:w="589" w:type="dxa"/>
          </w:tcPr>
          <w:p>
            <w:pPr>
              <w:pStyle w:val="TableParagraph"/>
              <w:spacing w:before="13"/>
              <w:ind w:right="52"/>
              <w:jc w:val="right"/>
              <w:rPr>
                <w:sz w:val="13"/>
              </w:rPr>
            </w:pPr>
            <w:r>
              <w:rPr>
                <w:sz w:val="13"/>
              </w:rPr>
              <w:t>0,22%</w:t>
            </w:r>
          </w:p>
        </w:tc>
      </w:tr>
      <w:tr>
        <w:trPr>
          <w:trHeight w:val="251" w:hRule="atLeast"/>
        </w:trPr>
        <w:tc>
          <w:tcPr>
            <w:tcW w:w="1774" w:type="dxa"/>
          </w:tcPr>
          <w:p>
            <w:pPr>
              <w:pStyle w:val="TableParagraph"/>
              <w:spacing w:before="58"/>
              <w:ind w:left="148"/>
              <w:rPr>
                <w:sz w:val="13"/>
              </w:rPr>
            </w:pPr>
            <w:r>
              <w:rPr>
                <w:w w:val="105"/>
                <w:sz w:val="13"/>
              </w:rPr>
              <w:t>Región</w:t>
            </w:r>
          </w:p>
        </w:tc>
        <w:tc>
          <w:tcPr>
            <w:tcW w:w="1330" w:type="dxa"/>
          </w:tcPr>
          <w:p>
            <w:pPr>
              <w:pStyle w:val="TableParagraph"/>
              <w:spacing w:before="13"/>
              <w:ind w:right="57"/>
              <w:jc w:val="right"/>
              <w:rPr>
                <w:sz w:val="13"/>
              </w:rPr>
            </w:pPr>
            <w:r>
              <w:rPr>
                <w:sz w:val="13"/>
              </w:rPr>
              <w:t>418.446.828,93</w:t>
            </w:r>
          </w:p>
        </w:tc>
        <w:tc>
          <w:tcPr>
            <w:tcW w:w="592" w:type="dxa"/>
          </w:tcPr>
          <w:p>
            <w:pPr>
              <w:pStyle w:val="TableParagraph"/>
              <w:spacing w:before="13"/>
              <w:ind w:left="105" w:right="30"/>
              <w:jc w:val="center"/>
              <w:rPr>
                <w:sz w:val="13"/>
              </w:rPr>
            </w:pPr>
            <w:r>
              <w:rPr>
                <w:w w:val="105"/>
                <w:sz w:val="13"/>
              </w:rPr>
              <w:t>16,02%</w:t>
            </w:r>
          </w:p>
        </w:tc>
        <w:tc>
          <w:tcPr>
            <w:tcW w:w="1080" w:type="dxa"/>
          </w:tcPr>
          <w:p>
            <w:pPr>
              <w:pStyle w:val="TableParagraph"/>
              <w:spacing w:before="13"/>
              <w:ind w:right="60"/>
              <w:jc w:val="right"/>
              <w:rPr>
                <w:sz w:val="13"/>
              </w:rPr>
            </w:pPr>
            <w:r>
              <w:rPr>
                <w:sz w:val="13"/>
              </w:rPr>
              <w:t>716.619.739,60</w:t>
            </w:r>
          </w:p>
        </w:tc>
        <w:tc>
          <w:tcPr>
            <w:tcW w:w="667" w:type="dxa"/>
          </w:tcPr>
          <w:p>
            <w:pPr>
              <w:pStyle w:val="TableParagraph"/>
              <w:spacing w:before="13"/>
              <w:ind w:right="126"/>
              <w:jc w:val="right"/>
              <w:rPr>
                <w:sz w:val="13"/>
              </w:rPr>
            </w:pPr>
            <w:r>
              <w:rPr>
                <w:sz w:val="13"/>
              </w:rPr>
              <w:t>17,20%</w:t>
            </w:r>
          </w:p>
        </w:tc>
        <w:tc>
          <w:tcPr>
            <w:tcW w:w="1148" w:type="dxa"/>
          </w:tcPr>
          <w:p>
            <w:pPr>
              <w:pStyle w:val="TableParagraph"/>
              <w:spacing w:before="13"/>
              <w:ind w:right="53"/>
              <w:jc w:val="right"/>
              <w:rPr>
                <w:sz w:val="13"/>
              </w:rPr>
            </w:pPr>
            <w:r>
              <w:rPr>
                <w:sz w:val="13"/>
              </w:rPr>
              <w:t>681.959.923,11</w:t>
            </w:r>
          </w:p>
        </w:tc>
        <w:tc>
          <w:tcPr>
            <w:tcW w:w="589" w:type="dxa"/>
          </w:tcPr>
          <w:p>
            <w:pPr>
              <w:pStyle w:val="TableParagraph"/>
              <w:spacing w:before="13"/>
              <w:ind w:right="51"/>
              <w:jc w:val="right"/>
              <w:rPr>
                <w:sz w:val="13"/>
              </w:rPr>
            </w:pPr>
            <w:r>
              <w:rPr>
                <w:sz w:val="13"/>
              </w:rPr>
              <w:t>23,09%</w:t>
            </w:r>
          </w:p>
        </w:tc>
      </w:tr>
      <w:tr>
        <w:trPr>
          <w:trHeight w:val="251" w:hRule="atLeast"/>
        </w:trPr>
        <w:tc>
          <w:tcPr>
            <w:tcW w:w="1774" w:type="dxa"/>
          </w:tcPr>
          <w:p>
            <w:pPr>
              <w:pStyle w:val="TableParagraph"/>
              <w:spacing w:before="58"/>
              <w:ind w:left="148"/>
              <w:rPr>
                <w:sz w:val="13"/>
              </w:rPr>
            </w:pPr>
            <w:r>
              <w:rPr>
                <w:w w:val="105"/>
                <w:sz w:val="13"/>
              </w:rPr>
              <w:t>Provincia</w:t>
            </w:r>
          </w:p>
        </w:tc>
        <w:tc>
          <w:tcPr>
            <w:tcW w:w="1330" w:type="dxa"/>
          </w:tcPr>
          <w:p>
            <w:pPr>
              <w:pStyle w:val="TableParagraph"/>
              <w:spacing w:before="13"/>
              <w:ind w:right="57"/>
              <w:jc w:val="right"/>
              <w:rPr>
                <w:sz w:val="13"/>
              </w:rPr>
            </w:pPr>
            <w:r>
              <w:rPr>
                <w:w w:val="105"/>
                <w:sz w:val="13"/>
              </w:rPr>
              <w:t>27.229.271,14</w:t>
            </w:r>
          </w:p>
        </w:tc>
        <w:tc>
          <w:tcPr>
            <w:tcW w:w="592" w:type="dxa"/>
          </w:tcPr>
          <w:p>
            <w:pPr>
              <w:pStyle w:val="TableParagraph"/>
              <w:spacing w:before="13"/>
              <w:ind w:left="173" w:right="31"/>
              <w:jc w:val="center"/>
              <w:rPr>
                <w:sz w:val="13"/>
              </w:rPr>
            </w:pPr>
            <w:r>
              <w:rPr>
                <w:w w:val="105"/>
                <w:sz w:val="13"/>
              </w:rPr>
              <w:t>1,04%</w:t>
            </w:r>
          </w:p>
        </w:tc>
        <w:tc>
          <w:tcPr>
            <w:tcW w:w="1080" w:type="dxa"/>
          </w:tcPr>
          <w:p>
            <w:pPr>
              <w:pStyle w:val="TableParagraph"/>
              <w:spacing w:before="13"/>
              <w:ind w:right="60"/>
              <w:jc w:val="right"/>
              <w:rPr>
                <w:sz w:val="13"/>
              </w:rPr>
            </w:pPr>
            <w:r>
              <w:rPr>
                <w:sz w:val="13"/>
              </w:rPr>
              <w:t>481.631.751,62</w:t>
            </w:r>
          </w:p>
        </w:tc>
        <w:tc>
          <w:tcPr>
            <w:tcW w:w="667" w:type="dxa"/>
          </w:tcPr>
          <w:p>
            <w:pPr>
              <w:pStyle w:val="TableParagraph"/>
              <w:spacing w:before="13"/>
              <w:ind w:right="126"/>
              <w:jc w:val="right"/>
              <w:rPr>
                <w:sz w:val="13"/>
              </w:rPr>
            </w:pPr>
            <w:r>
              <w:rPr>
                <w:sz w:val="13"/>
              </w:rPr>
              <w:t>11,56%</w:t>
            </w:r>
          </w:p>
        </w:tc>
        <w:tc>
          <w:tcPr>
            <w:tcW w:w="1148" w:type="dxa"/>
          </w:tcPr>
          <w:p>
            <w:pPr>
              <w:pStyle w:val="TableParagraph"/>
              <w:spacing w:before="13"/>
              <w:ind w:right="53"/>
              <w:jc w:val="right"/>
              <w:rPr>
                <w:sz w:val="13"/>
              </w:rPr>
            </w:pPr>
            <w:r>
              <w:rPr>
                <w:w w:val="105"/>
                <w:sz w:val="13"/>
              </w:rPr>
              <w:t>33.881.473,63</w:t>
            </w:r>
          </w:p>
        </w:tc>
        <w:tc>
          <w:tcPr>
            <w:tcW w:w="589" w:type="dxa"/>
          </w:tcPr>
          <w:p>
            <w:pPr>
              <w:pStyle w:val="TableParagraph"/>
              <w:spacing w:before="13"/>
              <w:ind w:right="52"/>
              <w:jc w:val="right"/>
              <w:rPr>
                <w:sz w:val="13"/>
              </w:rPr>
            </w:pPr>
            <w:r>
              <w:rPr>
                <w:sz w:val="13"/>
              </w:rPr>
              <w:t>1,15%</w:t>
            </w:r>
          </w:p>
        </w:tc>
      </w:tr>
      <w:tr>
        <w:trPr>
          <w:trHeight w:val="217" w:hRule="atLeast"/>
        </w:trPr>
        <w:tc>
          <w:tcPr>
            <w:tcW w:w="1774" w:type="dxa"/>
            <w:tcBorders>
              <w:bottom w:val="single" w:sz="4" w:space="0" w:color="000000"/>
            </w:tcBorders>
          </w:tcPr>
          <w:p>
            <w:pPr>
              <w:pStyle w:val="TableParagraph"/>
              <w:spacing w:before="13"/>
              <w:ind w:left="539"/>
              <w:rPr>
                <w:b/>
                <w:sz w:val="13"/>
              </w:rPr>
            </w:pPr>
            <w:r>
              <w:rPr>
                <w:b/>
                <w:w w:val="105"/>
                <w:sz w:val="13"/>
              </w:rPr>
              <w:t>Total</w:t>
            </w:r>
          </w:p>
        </w:tc>
        <w:tc>
          <w:tcPr>
            <w:tcW w:w="1330" w:type="dxa"/>
            <w:tcBorders>
              <w:bottom w:val="single" w:sz="4" w:space="0" w:color="000000"/>
            </w:tcBorders>
          </w:tcPr>
          <w:p>
            <w:pPr>
              <w:pStyle w:val="TableParagraph"/>
              <w:spacing w:before="13"/>
              <w:ind w:right="57"/>
              <w:jc w:val="right"/>
              <w:rPr>
                <w:b/>
                <w:sz w:val="13"/>
              </w:rPr>
            </w:pPr>
            <w:r>
              <w:rPr>
                <w:b/>
                <w:w w:val="105"/>
                <w:sz w:val="13"/>
              </w:rPr>
              <w:t>2.611.781.102,09</w:t>
            </w:r>
          </w:p>
        </w:tc>
        <w:tc>
          <w:tcPr>
            <w:tcW w:w="592" w:type="dxa"/>
            <w:tcBorders>
              <w:bottom w:val="single" w:sz="4" w:space="0" w:color="000000"/>
            </w:tcBorders>
          </w:tcPr>
          <w:p>
            <w:pPr>
              <w:pStyle w:val="TableParagraph"/>
              <w:spacing w:before="13"/>
              <w:ind w:left="35" w:right="32"/>
              <w:jc w:val="center"/>
              <w:rPr>
                <w:b/>
                <w:sz w:val="13"/>
              </w:rPr>
            </w:pPr>
            <w:r>
              <w:rPr>
                <w:b/>
                <w:w w:val="105"/>
                <w:sz w:val="13"/>
              </w:rPr>
              <w:t>100,00%</w:t>
            </w:r>
          </w:p>
        </w:tc>
        <w:tc>
          <w:tcPr>
            <w:tcW w:w="1080" w:type="dxa"/>
            <w:tcBorders>
              <w:bottom w:val="single" w:sz="4" w:space="0" w:color="000000"/>
            </w:tcBorders>
          </w:tcPr>
          <w:p>
            <w:pPr>
              <w:pStyle w:val="TableParagraph"/>
              <w:spacing w:before="13"/>
              <w:ind w:right="58"/>
              <w:jc w:val="right"/>
              <w:rPr>
                <w:b/>
                <w:sz w:val="13"/>
              </w:rPr>
            </w:pPr>
            <w:r>
              <w:rPr>
                <w:b/>
                <w:w w:val="105"/>
                <w:sz w:val="13"/>
              </w:rPr>
              <w:t>4.165.354.372,14</w:t>
            </w:r>
          </w:p>
        </w:tc>
        <w:tc>
          <w:tcPr>
            <w:tcW w:w="667" w:type="dxa"/>
            <w:tcBorders>
              <w:bottom w:val="single" w:sz="4" w:space="0" w:color="000000"/>
            </w:tcBorders>
          </w:tcPr>
          <w:p>
            <w:pPr>
              <w:pStyle w:val="TableParagraph"/>
              <w:spacing w:before="13"/>
              <w:ind w:right="126"/>
              <w:jc w:val="right"/>
              <w:rPr>
                <w:b/>
                <w:sz w:val="13"/>
              </w:rPr>
            </w:pPr>
            <w:r>
              <w:rPr>
                <w:b/>
                <w:sz w:val="13"/>
              </w:rPr>
              <w:t>100,00%</w:t>
            </w:r>
          </w:p>
        </w:tc>
        <w:tc>
          <w:tcPr>
            <w:tcW w:w="1148" w:type="dxa"/>
            <w:tcBorders>
              <w:bottom w:val="single" w:sz="4" w:space="0" w:color="000000"/>
            </w:tcBorders>
          </w:tcPr>
          <w:p>
            <w:pPr>
              <w:pStyle w:val="TableParagraph"/>
              <w:spacing w:before="13"/>
              <w:ind w:right="53"/>
              <w:jc w:val="right"/>
              <w:rPr>
                <w:b/>
                <w:sz w:val="13"/>
              </w:rPr>
            </w:pPr>
            <w:r>
              <w:rPr>
                <w:b/>
                <w:w w:val="105"/>
                <w:sz w:val="13"/>
              </w:rPr>
              <w:t>2.953.953.468,80</w:t>
            </w:r>
          </w:p>
        </w:tc>
        <w:tc>
          <w:tcPr>
            <w:tcW w:w="589" w:type="dxa"/>
            <w:tcBorders>
              <w:bottom w:val="single" w:sz="4" w:space="0" w:color="000000"/>
            </w:tcBorders>
          </w:tcPr>
          <w:p>
            <w:pPr>
              <w:pStyle w:val="TableParagraph"/>
              <w:spacing w:before="13"/>
              <w:ind w:right="51"/>
              <w:jc w:val="right"/>
              <w:rPr>
                <w:b/>
                <w:sz w:val="13"/>
              </w:rPr>
            </w:pPr>
            <w:r>
              <w:rPr>
                <w:b/>
                <w:sz w:val="13"/>
              </w:rPr>
              <w:t>100,00%</w:t>
            </w:r>
          </w:p>
        </w:tc>
      </w:tr>
      <w:tr>
        <w:trPr>
          <w:trHeight w:val="159" w:hRule="atLeast"/>
        </w:trPr>
        <w:tc>
          <w:tcPr>
            <w:tcW w:w="1774" w:type="dxa"/>
            <w:tcBorders>
              <w:top w:val="single" w:sz="4" w:space="0" w:color="000000"/>
            </w:tcBorders>
          </w:tcPr>
          <w:p>
            <w:pPr>
              <w:pStyle w:val="TableParagraph"/>
              <w:spacing w:line="138" w:lineRule="exact" w:before="2"/>
              <w:ind w:left="33"/>
              <w:rPr>
                <w:sz w:val="13"/>
              </w:rPr>
            </w:pPr>
            <w:r>
              <w:rPr>
                <w:w w:val="105"/>
                <w:sz w:val="13"/>
              </w:rPr>
              <w:t>*No hay datos disponibles</w:t>
            </w:r>
          </w:p>
        </w:tc>
        <w:tc>
          <w:tcPr>
            <w:tcW w:w="1330" w:type="dxa"/>
            <w:tcBorders>
              <w:top w:val="single" w:sz="4" w:space="0" w:color="000000"/>
            </w:tcBorders>
          </w:tcPr>
          <w:p>
            <w:pPr>
              <w:pStyle w:val="TableParagraph"/>
              <w:rPr>
                <w:rFonts w:ascii="Times New Roman"/>
                <w:sz w:val="10"/>
              </w:rPr>
            </w:pPr>
          </w:p>
        </w:tc>
        <w:tc>
          <w:tcPr>
            <w:tcW w:w="592" w:type="dxa"/>
            <w:tcBorders>
              <w:top w:val="single" w:sz="4" w:space="0" w:color="000000"/>
            </w:tcBorders>
          </w:tcPr>
          <w:p>
            <w:pPr>
              <w:pStyle w:val="TableParagraph"/>
              <w:rPr>
                <w:rFonts w:ascii="Times New Roman"/>
                <w:sz w:val="10"/>
              </w:rPr>
            </w:pPr>
          </w:p>
        </w:tc>
        <w:tc>
          <w:tcPr>
            <w:tcW w:w="1080" w:type="dxa"/>
            <w:tcBorders>
              <w:top w:val="single" w:sz="4" w:space="0" w:color="000000"/>
            </w:tcBorders>
          </w:tcPr>
          <w:p>
            <w:pPr>
              <w:pStyle w:val="TableParagraph"/>
              <w:rPr>
                <w:rFonts w:ascii="Times New Roman"/>
                <w:sz w:val="10"/>
              </w:rPr>
            </w:pPr>
          </w:p>
        </w:tc>
        <w:tc>
          <w:tcPr>
            <w:tcW w:w="667" w:type="dxa"/>
            <w:tcBorders>
              <w:top w:val="single" w:sz="4" w:space="0" w:color="000000"/>
            </w:tcBorders>
          </w:tcPr>
          <w:p>
            <w:pPr>
              <w:pStyle w:val="TableParagraph"/>
              <w:rPr>
                <w:rFonts w:ascii="Times New Roman"/>
                <w:sz w:val="10"/>
              </w:rPr>
            </w:pPr>
          </w:p>
        </w:tc>
        <w:tc>
          <w:tcPr>
            <w:tcW w:w="1148" w:type="dxa"/>
            <w:tcBorders>
              <w:top w:val="single" w:sz="4" w:space="0" w:color="000000"/>
            </w:tcBorders>
          </w:tcPr>
          <w:p>
            <w:pPr>
              <w:pStyle w:val="TableParagraph"/>
              <w:rPr>
                <w:rFonts w:ascii="Times New Roman"/>
                <w:sz w:val="10"/>
              </w:rPr>
            </w:pPr>
          </w:p>
        </w:tc>
        <w:tc>
          <w:tcPr>
            <w:tcW w:w="589" w:type="dxa"/>
            <w:tcBorders>
              <w:top w:val="single" w:sz="4" w:space="0" w:color="000000"/>
            </w:tcBorders>
          </w:tcPr>
          <w:p>
            <w:pPr>
              <w:pStyle w:val="TableParagraph"/>
              <w:rPr>
                <w:rFonts w:ascii="Times New Roman"/>
                <w:sz w:val="10"/>
              </w:rPr>
            </w:pPr>
          </w:p>
        </w:tc>
      </w:tr>
    </w:tbl>
    <w:p>
      <w:pPr>
        <w:pStyle w:val="BodyText"/>
        <w:spacing w:before="10"/>
        <w:rPr>
          <w:b/>
          <w:sz w:val="16"/>
        </w:rPr>
      </w:pPr>
    </w:p>
    <w:p>
      <w:pPr>
        <w:spacing w:before="0"/>
        <w:ind w:left="895" w:right="0" w:firstLine="0"/>
        <w:jc w:val="center"/>
        <w:rPr>
          <w:b/>
          <w:sz w:val="20"/>
        </w:rPr>
      </w:pPr>
      <w:r>
        <w:rPr>
          <w:b/>
          <w:sz w:val="20"/>
        </w:rPr>
        <w:t>Capítulo VI. Inversiones reales</w:t>
      </w:r>
    </w:p>
    <w:p>
      <w:pPr>
        <w:pStyle w:val="BodyText"/>
        <w:spacing w:before="8" w:after="1"/>
        <w:rPr>
          <w:b/>
          <w:sz w:val="16"/>
        </w:rPr>
      </w:pPr>
    </w:p>
    <w:tbl>
      <w:tblPr>
        <w:tblW w:w="0" w:type="auto"/>
        <w:jc w:val="left"/>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974"/>
        <w:gridCol w:w="599"/>
        <w:gridCol w:w="974"/>
        <w:gridCol w:w="591"/>
        <w:gridCol w:w="974"/>
        <w:gridCol w:w="591"/>
        <w:gridCol w:w="974"/>
        <w:gridCol w:w="598"/>
      </w:tblGrid>
      <w:tr>
        <w:trPr>
          <w:trHeight w:val="249" w:hRule="atLeast"/>
        </w:trPr>
        <w:tc>
          <w:tcPr>
            <w:tcW w:w="917" w:type="dxa"/>
            <w:vMerge w:val="restart"/>
            <w:tcBorders>
              <w:top w:val="nil"/>
              <w:left w:val="nil"/>
            </w:tcBorders>
          </w:tcPr>
          <w:p>
            <w:pPr>
              <w:pStyle w:val="TableParagraph"/>
              <w:rPr>
                <w:rFonts w:ascii="Times New Roman"/>
                <w:sz w:val="12"/>
              </w:rPr>
            </w:pPr>
          </w:p>
        </w:tc>
        <w:tc>
          <w:tcPr>
            <w:tcW w:w="1573" w:type="dxa"/>
            <w:gridSpan w:val="2"/>
            <w:shd w:val="clear" w:color="auto" w:fill="DEEAF6"/>
          </w:tcPr>
          <w:p>
            <w:pPr>
              <w:pStyle w:val="TableParagraph"/>
              <w:spacing w:before="46"/>
              <w:ind w:left="624" w:right="617"/>
              <w:jc w:val="center"/>
              <w:rPr>
                <w:b/>
                <w:sz w:val="13"/>
              </w:rPr>
            </w:pPr>
            <w:r>
              <w:rPr>
                <w:b/>
                <w:w w:val="105"/>
                <w:sz w:val="13"/>
              </w:rPr>
              <w:t>2019</w:t>
            </w:r>
          </w:p>
        </w:tc>
        <w:tc>
          <w:tcPr>
            <w:tcW w:w="1565" w:type="dxa"/>
            <w:gridSpan w:val="2"/>
            <w:shd w:val="clear" w:color="auto" w:fill="DEEAF6"/>
          </w:tcPr>
          <w:p>
            <w:pPr>
              <w:pStyle w:val="TableParagraph"/>
              <w:spacing w:before="46"/>
              <w:ind w:left="620" w:right="615"/>
              <w:jc w:val="center"/>
              <w:rPr>
                <w:b/>
                <w:sz w:val="13"/>
              </w:rPr>
            </w:pPr>
            <w:r>
              <w:rPr>
                <w:b/>
                <w:w w:val="105"/>
                <w:sz w:val="13"/>
              </w:rPr>
              <w:t>2020</w:t>
            </w:r>
          </w:p>
        </w:tc>
        <w:tc>
          <w:tcPr>
            <w:tcW w:w="1565" w:type="dxa"/>
            <w:gridSpan w:val="2"/>
            <w:shd w:val="clear" w:color="auto" w:fill="DEEAF6"/>
          </w:tcPr>
          <w:p>
            <w:pPr>
              <w:pStyle w:val="TableParagraph"/>
              <w:spacing w:before="46"/>
              <w:ind w:left="618" w:right="616"/>
              <w:jc w:val="center"/>
              <w:rPr>
                <w:b/>
                <w:sz w:val="13"/>
              </w:rPr>
            </w:pPr>
            <w:r>
              <w:rPr>
                <w:b/>
                <w:w w:val="105"/>
                <w:sz w:val="13"/>
              </w:rPr>
              <w:t>2021</w:t>
            </w:r>
          </w:p>
        </w:tc>
        <w:tc>
          <w:tcPr>
            <w:tcW w:w="1572" w:type="dxa"/>
            <w:gridSpan w:val="2"/>
            <w:shd w:val="clear" w:color="auto" w:fill="DEEAF6"/>
          </w:tcPr>
          <w:p>
            <w:pPr>
              <w:pStyle w:val="TableParagraph"/>
              <w:spacing w:before="46"/>
              <w:ind w:left="622" w:right="623"/>
              <w:jc w:val="center"/>
              <w:rPr>
                <w:b/>
                <w:sz w:val="13"/>
              </w:rPr>
            </w:pPr>
            <w:r>
              <w:rPr>
                <w:b/>
                <w:w w:val="105"/>
                <w:sz w:val="13"/>
              </w:rPr>
              <w:t>2022</w:t>
            </w:r>
          </w:p>
        </w:tc>
      </w:tr>
      <w:tr>
        <w:trPr>
          <w:trHeight w:val="326" w:hRule="atLeast"/>
        </w:trPr>
        <w:tc>
          <w:tcPr>
            <w:tcW w:w="917" w:type="dxa"/>
            <w:vMerge/>
            <w:tcBorders>
              <w:top w:val="nil"/>
              <w:left w:val="nil"/>
            </w:tcBorders>
          </w:tcPr>
          <w:p>
            <w:pPr>
              <w:rPr>
                <w:sz w:val="2"/>
                <w:szCs w:val="2"/>
              </w:rPr>
            </w:pPr>
          </w:p>
        </w:tc>
        <w:tc>
          <w:tcPr>
            <w:tcW w:w="974" w:type="dxa"/>
            <w:shd w:val="clear" w:color="auto" w:fill="DEEAF6"/>
          </w:tcPr>
          <w:p>
            <w:pPr>
              <w:pStyle w:val="TableParagraph"/>
              <w:spacing w:before="85"/>
              <w:ind w:left="259"/>
              <w:rPr>
                <w:b/>
                <w:sz w:val="13"/>
              </w:rPr>
            </w:pPr>
            <w:r>
              <w:rPr>
                <w:b/>
                <w:w w:val="105"/>
                <w:sz w:val="13"/>
              </w:rPr>
              <w:t>Importe</w:t>
            </w:r>
          </w:p>
        </w:tc>
        <w:tc>
          <w:tcPr>
            <w:tcW w:w="599" w:type="dxa"/>
            <w:shd w:val="clear" w:color="auto" w:fill="DEEAF6"/>
          </w:tcPr>
          <w:p>
            <w:pPr>
              <w:pStyle w:val="TableParagraph"/>
              <w:spacing w:before="2"/>
              <w:ind w:left="75"/>
              <w:rPr>
                <w:b/>
                <w:sz w:val="13"/>
              </w:rPr>
            </w:pPr>
            <w:r>
              <w:rPr>
                <w:b/>
                <w:w w:val="105"/>
                <w:sz w:val="13"/>
              </w:rPr>
              <w:t>% sobre</w:t>
            </w:r>
          </w:p>
          <w:p>
            <w:pPr>
              <w:pStyle w:val="TableParagraph"/>
              <w:spacing w:line="141" w:lineRule="exact" w:before="4"/>
              <w:ind w:left="163"/>
              <w:rPr>
                <w:b/>
                <w:sz w:val="13"/>
              </w:rPr>
            </w:pPr>
            <w:r>
              <w:rPr>
                <w:b/>
                <w:w w:val="105"/>
                <w:sz w:val="13"/>
              </w:rPr>
              <w:t>total</w:t>
            </w:r>
          </w:p>
        </w:tc>
        <w:tc>
          <w:tcPr>
            <w:tcW w:w="974" w:type="dxa"/>
            <w:shd w:val="clear" w:color="auto" w:fill="DEEAF6"/>
          </w:tcPr>
          <w:p>
            <w:pPr>
              <w:pStyle w:val="TableParagraph"/>
              <w:spacing w:before="85"/>
              <w:ind w:left="258"/>
              <w:rPr>
                <w:b/>
                <w:sz w:val="13"/>
              </w:rPr>
            </w:pPr>
            <w:r>
              <w:rPr>
                <w:b/>
                <w:w w:val="105"/>
                <w:sz w:val="13"/>
              </w:rPr>
              <w:t>Importe</w:t>
            </w:r>
          </w:p>
        </w:tc>
        <w:tc>
          <w:tcPr>
            <w:tcW w:w="591" w:type="dxa"/>
            <w:shd w:val="clear" w:color="auto" w:fill="DEEAF6"/>
          </w:tcPr>
          <w:p>
            <w:pPr>
              <w:pStyle w:val="TableParagraph"/>
              <w:spacing w:before="2"/>
              <w:ind w:left="70"/>
              <w:rPr>
                <w:b/>
                <w:sz w:val="13"/>
              </w:rPr>
            </w:pPr>
            <w:r>
              <w:rPr>
                <w:b/>
                <w:w w:val="105"/>
                <w:sz w:val="13"/>
              </w:rPr>
              <w:t>% sobre</w:t>
            </w:r>
          </w:p>
          <w:p>
            <w:pPr>
              <w:pStyle w:val="TableParagraph"/>
              <w:spacing w:line="141" w:lineRule="exact" w:before="4"/>
              <w:ind w:left="160"/>
              <w:rPr>
                <w:b/>
                <w:sz w:val="13"/>
              </w:rPr>
            </w:pPr>
            <w:r>
              <w:rPr>
                <w:b/>
                <w:w w:val="105"/>
                <w:sz w:val="13"/>
              </w:rPr>
              <w:t>total</w:t>
            </w:r>
          </w:p>
        </w:tc>
        <w:tc>
          <w:tcPr>
            <w:tcW w:w="974" w:type="dxa"/>
            <w:shd w:val="clear" w:color="auto" w:fill="DEEAF6"/>
          </w:tcPr>
          <w:p>
            <w:pPr>
              <w:pStyle w:val="TableParagraph"/>
              <w:spacing w:before="85"/>
              <w:ind w:left="257"/>
              <w:rPr>
                <w:b/>
                <w:sz w:val="13"/>
              </w:rPr>
            </w:pPr>
            <w:r>
              <w:rPr>
                <w:b/>
                <w:w w:val="105"/>
                <w:sz w:val="13"/>
              </w:rPr>
              <w:t>Importe</w:t>
            </w:r>
          </w:p>
        </w:tc>
        <w:tc>
          <w:tcPr>
            <w:tcW w:w="591" w:type="dxa"/>
            <w:shd w:val="clear" w:color="auto" w:fill="DEEAF6"/>
          </w:tcPr>
          <w:p>
            <w:pPr>
              <w:pStyle w:val="TableParagraph"/>
              <w:spacing w:before="2"/>
              <w:ind w:left="69"/>
              <w:rPr>
                <w:b/>
                <w:sz w:val="13"/>
              </w:rPr>
            </w:pPr>
            <w:r>
              <w:rPr>
                <w:b/>
                <w:w w:val="105"/>
                <w:sz w:val="13"/>
              </w:rPr>
              <w:t>% sobre</w:t>
            </w:r>
          </w:p>
          <w:p>
            <w:pPr>
              <w:pStyle w:val="TableParagraph"/>
              <w:spacing w:line="141" w:lineRule="exact" w:before="4"/>
              <w:ind w:left="160"/>
              <w:rPr>
                <w:b/>
                <w:sz w:val="13"/>
              </w:rPr>
            </w:pPr>
            <w:r>
              <w:rPr>
                <w:b/>
                <w:w w:val="105"/>
                <w:sz w:val="13"/>
              </w:rPr>
              <w:t>total</w:t>
            </w:r>
          </w:p>
        </w:tc>
        <w:tc>
          <w:tcPr>
            <w:tcW w:w="974" w:type="dxa"/>
            <w:shd w:val="clear" w:color="auto" w:fill="DEEAF6"/>
          </w:tcPr>
          <w:p>
            <w:pPr>
              <w:pStyle w:val="TableParagraph"/>
              <w:spacing w:before="85"/>
              <w:ind w:left="256"/>
              <w:rPr>
                <w:b/>
                <w:sz w:val="13"/>
              </w:rPr>
            </w:pPr>
            <w:r>
              <w:rPr>
                <w:b/>
                <w:w w:val="105"/>
                <w:sz w:val="13"/>
              </w:rPr>
              <w:t>Importe</w:t>
            </w:r>
          </w:p>
        </w:tc>
        <w:tc>
          <w:tcPr>
            <w:tcW w:w="598" w:type="dxa"/>
            <w:shd w:val="clear" w:color="auto" w:fill="DEEAF6"/>
          </w:tcPr>
          <w:p>
            <w:pPr>
              <w:pStyle w:val="TableParagraph"/>
              <w:spacing w:before="2"/>
              <w:ind w:left="70"/>
              <w:rPr>
                <w:b/>
                <w:sz w:val="13"/>
              </w:rPr>
            </w:pPr>
            <w:r>
              <w:rPr>
                <w:b/>
                <w:w w:val="105"/>
                <w:sz w:val="13"/>
              </w:rPr>
              <w:t>% sobre</w:t>
            </w:r>
          </w:p>
          <w:p>
            <w:pPr>
              <w:pStyle w:val="TableParagraph"/>
              <w:spacing w:line="141" w:lineRule="exact" w:before="4"/>
              <w:ind w:left="161"/>
              <w:rPr>
                <w:b/>
                <w:sz w:val="13"/>
              </w:rPr>
            </w:pPr>
            <w:r>
              <w:rPr>
                <w:b/>
                <w:w w:val="105"/>
                <w:sz w:val="13"/>
              </w:rPr>
              <w:t>total</w:t>
            </w:r>
          </w:p>
        </w:tc>
      </w:tr>
    </w:tbl>
    <w:p>
      <w:pPr>
        <w:pStyle w:val="BodyText"/>
        <w:spacing w:before="8" w:after="1"/>
        <w:rPr>
          <w:b/>
          <w:sz w:val="5"/>
        </w:rPr>
      </w:pPr>
    </w:p>
    <w:tbl>
      <w:tblPr>
        <w:tblW w:w="0" w:type="auto"/>
        <w:jc w:val="left"/>
        <w:tblInd w:w="1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0"/>
        <w:gridCol w:w="987"/>
        <w:gridCol w:w="595"/>
        <w:gridCol w:w="975"/>
        <w:gridCol w:w="591"/>
        <w:gridCol w:w="974"/>
        <w:gridCol w:w="591"/>
        <w:gridCol w:w="976"/>
        <w:gridCol w:w="595"/>
      </w:tblGrid>
      <w:tr>
        <w:trPr>
          <w:trHeight w:val="193" w:hRule="atLeast"/>
        </w:trPr>
        <w:tc>
          <w:tcPr>
            <w:tcW w:w="920" w:type="dxa"/>
          </w:tcPr>
          <w:p>
            <w:pPr>
              <w:pStyle w:val="TableParagraph"/>
              <w:spacing w:line="136" w:lineRule="exact"/>
              <w:ind w:left="70"/>
              <w:rPr>
                <w:sz w:val="13"/>
              </w:rPr>
            </w:pPr>
            <w:r>
              <w:rPr>
                <w:w w:val="105"/>
                <w:sz w:val="13"/>
              </w:rPr>
              <w:t>Fuerteventura</w:t>
            </w:r>
          </w:p>
        </w:tc>
        <w:tc>
          <w:tcPr>
            <w:tcW w:w="987" w:type="dxa"/>
          </w:tcPr>
          <w:p>
            <w:pPr>
              <w:pStyle w:val="TableParagraph"/>
              <w:spacing w:line="136" w:lineRule="exact"/>
              <w:ind w:right="59"/>
              <w:jc w:val="right"/>
              <w:rPr>
                <w:sz w:val="13"/>
              </w:rPr>
            </w:pPr>
            <w:r>
              <w:rPr>
                <w:w w:val="105"/>
                <w:sz w:val="13"/>
              </w:rPr>
              <w:t>18.833.048,10</w:t>
            </w:r>
          </w:p>
        </w:tc>
        <w:tc>
          <w:tcPr>
            <w:tcW w:w="595" w:type="dxa"/>
          </w:tcPr>
          <w:p>
            <w:pPr>
              <w:pStyle w:val="TableParagraph"/>
              <w:spacing w:line="136" w:lineRule="exact"/>
              <w:ind w:right="57"/>
              <w:jc w:val="right"/>
              <w:rPr>
                <w:sz w:val="13"/>
              </w:rPr>
            </w:pPr>
            <w:r>
              <w:rPr>
                <w:sz w:val="13"/>
              </w:rPr>
              <w:t>7,84%</w:t>
            </w:r>
          </w:p>
        </w:tc>
        <w:tc>
          <w:tcPr>
            <w:tcW w:w="975" w:type="dxa"/>
          </w:tcPr>
          <w:p>
            <w:pPr>
              <w:pStyle w:val="TableParagraph"/>
              <w:spacing w:line="136" w:lineRule="exact"/>
              <w:ind w:right="57"/>
              <w:jc w:val="right"/>
              <w:rPr>
                <w:sz w:val="13"/>
              </w:rPr>
            </w:pPr>
            <w:r>
              <w:rPr>
                <w:w w:val="105"/>
                <w:sz w:val="13"/>
              </w:rPr>
              <w:t>26.517.842,78</w:t>
            </w:r>
          </w:p>
        </w:tc>
        <w:tc>
          <w:tcPr>
            <w:tcW w:w="591" w:type="dxa"/>
          </w:tcPr>
          <w:p>
            <w:pPr>
              <w:pStyle w:val="TableParagraph"/>
              <w:spacing w:line="136" w:lineRule="exact"/>
              <w:ind w:right="57"/>
              <w:jc w:val="right"/>
              <w:rPr>
                <w:sz w:val="13"/>
              </w:rPr>
            </w:pPr>
            <w:r>
              <w:rPr>
                <w:sz w:val="13"/>
              </w:rPr>
              <w:t>7,62%</w:t>
            </w:r>
          </w:p>
        </w:tc>
        <w:tc>
          <w:tcPr>
            <w:tcW w:w="974" w:type="dxa"/>
          </w:tcPr>
          <w:p>
            <w:pPr>
              <w:pStyle w:val="TableParagraph"/>
              <w:spacing w:line="136" w:lineRule="exact"/>
              <w:ind w:right="58"/>
              <w:jc w:val="right"/>
              <w:rPr>
                <w:sz w:val="13"/>
              </w:rPr>
            </w:pPr>
            <w:r>
              <w:rPr>
                <w:w w:val="105"/>
                <w:sz w:val="13"/>
              </w:rPr>
              <w:t>47.932.614,79</w:t>
            </w:r>
          </w:p>
        </w:tc>
        <w:tc>
          <w:tcPr>
            <w:tcW w:w="591" w:type="dxa"/>
          </w:tcPr>
          <w:p>
            <w:pPr>
              <w:pStyle w:val="TableParagraph"/>
              <w:spacing w:line="136" w:lineRule="exact"/>
              <w:ind w:right="58"/>
              <w:jc w:val="right"/>
              <w:rPr>
                <w:sz w:val="13"/>
              </w:rPr>
            </w:pPr>
            <w:r>
              <w:rPr>
                <w:sz w:val="13"/>
              </w:rPr>
              <w:t>12,13%</w:t>
            </w:r>
          </w:p>
        </w:tc>
        <w:tc>
          <w:tcPr>
            <w:tcW w:w="976" w:type="dxa"/>
          </w:tcPr>
          <w:p>
            <w:pPr>
              <w:pStyle w:val="TableParagraph"/>
              <w:spacing w:line="136" w:lineRule="exact"/>
              <w:ind w:right="60"/>
              <w:jc w:val="right"/>
              <w:rPr>
                <w:sz w:val="13"/>
              </w:rPr>
            </w:pPr>
            <w:r>
              <w:rPr>
                <w:w w:val="105"/>
                <w:sz w:val="13"/>
              </w:rPr>
              <w:t>39.668.767,67</w:t>
            </w:r>
          </w:p>
        </w:tc>
        <w:tc>
          <w:tcPr>
            <w:tcW w:w="595" w:type="dxa"/>
          </w:tcPr>
          <w:p>
            <w:pPr>
              <w:pStyle w:val="TableParagraph"/>
              <w:spacing w:line="136" w:lineRule="exact"/>
              <w:ind w:right="61"/>
              <w:jc w:val="right"/>
              <w:rPr>
                <w:sz w:val="13"/>
              </w:rPr>
            </w:pPr>
            <w:r>
              <w:rPr>
                <w:sz w:val="13"/>
              </w:rPr>
              <w:t>8,31%</w:t>
            </w:r>
          </w:p>
        </w:tc>
      </w:tr>
      <w:tr>
        <w:trPr>
          <w:trHeight w:val="251" w:hRule="atLeast"/>
        </w:trPr>
        <w:tc>
          <w:tcPr>
            <w:tcW w:w="920" w:type="dxa"/>
          </w:tcPr>
          <w:p>
            <w:pPr>
              <w:pStyle w:val="TableParagraph"/>
              <w:spacing w:before="36"/>
              <w:ind w:left="70"/>
              <w:rPr>
                <w:sz w:val="13"/>
              </w:rPr>
            </w:pPr>
            <w:r>
              <w:rPr>
                <w:w w:val="105"/>
                <w:sz w:val="13"/>
              </w:rPr>
              <w:t>Lanzarote</w:t>
            </w:r>
          </w:p>
        </w:tc>
        <w:tc>
          <w:tcPr>
            <w:tcW w:w="987" w:type="dxa"/>
          </w:tcPr>
          <w:p>
            <w:pPr>
              <w:pStyle w:val="TableParagraph"/>
              <w:spacing w:before="36"/>
              <w:ind w:right="59"/>
              <w:jc w:val="right"/>
              <w:rPr>
                <w:sz w:val="13"/>
              </w:rPr>
            </w:pPr>
            <w:r>
              <w:rPr>
                <w:w w:val="105"/>
                <w:sz w:val="13"/>
              </w:rPr>
              <w:t>13.002.356,33</w:t>
            </w:r>
          </w:p>
        </w:tc>
        <w:tc>
          <w:tcPr>
            <w:tcW w:w="595" w:type="dxa"/>
          </w:tcPr>
          <w:p>
            <w:pPr>
              <w:pStyle w:val="TableParagraph"/>
              <w:spacing w:before="36"/>
              <w:ind w:right="57"/>
              <w:jc w:val="right"/>
              <w:rPr>
                <w:sz w:val="13"/>
              </w:rPr>
            </w:pPr>
            <w:r>
              <w:rPr>
                <w:sz w:val="13"/>
              </w:rPr>
              <w:t>5,41%</w:t>
            </w:r>
          </w:p>
        </w:tc>
        <w:tc>
          <w:tcPr>
            <w:tcW w:w="975" w:type="dxa"/>
          </w:tcPr>
          <w:p>
            <w:pPr>
              <w:pStyle w:val="TableParagraph"/>
              <w:spacing w:before="36"/>
              <w:ind w:right="57"/>
              <w:jc w:val="right"/>
              <w:rPr>
                <w:sz w:val="13"/>
              </w:rPr>
            </w:pPr>
            <w:r>
              <w:rPr>
                <w:w w:val="105"/>
                <w:sz w:val="13"/>
              </w:rPr>
              <w:t>17.031.721,78</w:t>
            </w:r>
          </w:p>
        </w:tc>
        <w:tc>
          <w:tcPr>
            <w:tcW w:w="591" w:type="dxa"/>
          </w:tcPr>
          <w:p>
            <w:pPr>
              <w:pStyle w:val="TableParagraph"/>
              <w:spacing w:before="36"/>
              <w:ind w:right="57"/>
              <w:jc w:val="right"/>
              <w:rPr>
                <w:sz w:val="13"/>
              </w:rPr>
            </w:pPr>
            <w:r>
              <w:rPr>
                <w:sz w:val="13"/>
              </w:rPr>
              <w:t>4,89%</w:t>
            </w:r>
          </w:p>
        </w:tc>
        <w:tc>
          <w:tcPr>
            <w:tcW w:w="974" w:type="dxa"/>
          </w:tcPr>
          <w:p>
            <w:pPr>
              <w:pStyle w:val="TableParagraph"/>
              <w:spacing w:before="36"/>
              <w:ind w:right="58"/>
              <w:jc w:val="right"/>
              <w:rPr>
                <w:sz w:val="13"/>
              </w:rPr>
            </w:pPr>
            <w:r>
              <w:rPr>
                <w:w w:val="105"/>
                <w:sz w:val="13"/>
              </w:rPr>
              <w:t>10.616.072,44</w:t>
            </w:r>
          </w:p>
        </w:tc>
        <w:tc>
          <w:tcPr>
            <w:tcW w:w="591" w:type="dxa"/>
          </w:tcPr>
          <w:p>
            <w:pPr>
              <w:pStyle w:val="TableParagraph"/>
              <w:spacing w:before="36"/>
              <w:ind w:right="58"/>
              <w:jc w:val="right"/>
              <w:rPr>
                <w:sz w:val="13"/>
              </w:rPr>
            </w:pPr>
            <w:r>
              <w:rPr>
                <w:sz w:val="13"/>
              </w:rPr>
              <w:t>2,69%</w:t>
            </w:r>
          </w:p>
        </w:tc>
        <w:tc>
          <w:tcPr>
            <w:tcW w:w="976" w:type="dxa"/>
          </w:tcPr>
          <w:p>
            <w:pPr>
              <w:pStyle w:val="TableParagraph"/>
              <w:spacing w:before="36"/>
              <w:ind w:right="60"/>
              <w:jc w:val="right"/>
              <w:rPr>
                <w:sz w:val="13"/>
              </w:rPr>
            </w:pPr>
            <w:r>
              <w:rPr>
                <w:w w:val="105"/>
                <w:sz w:val="13"/>
              </w:rPr>
              <w:t>12.375.459,05</w:t>
            </w:r>
          </w:p>
        </w:tc>
        <w:tc>
          <w:tcPr>
            <w:tcW w:w="595" w:type="dxa"/>
          </w:tcPr>
          <w:p>
            <w:pPr>
              <w:pStyle w:val="TableParagraph"/>
              <w:spacing w:before="36"/>
              <w:ind w:right="61"/>
              <w:jc w:val="right"/>
              <w:rPr>
                <w:sz w:val="13"/>
              </w:rPr>
            </w:pPr>
            <w:r>
              <w:rPr>
                <w:sz w:val="13"/>
              </w:rPr>
              <w:t>2,59%</w:t>
            </w:r>
          </w:p>
        </w:tc>
      </w:tr>
      <w:tr>
        <w:trPr>
          <w:trHeight w:val="251" w:hRule="atLeast"/>
        </w:trPr>
        <w:tc>
          <w:tcPr>
            <w:tcW w:w="920" w:type="dxa"/>
          </w:tcPr>
          <w:p>
            <w:pPr>
              <w:pStyle w:val="TableParagraph"/>
              <w:spacing w:before="36"/>
              <w:ind w:left="70"/>
              <w:rPr>
                <w:sz w:val="13"/>
              </w:rPr>
            </w:pPr>
            <w:r>
              <w:rPr>
                <w:w w:val="105"/>
                <w:sz w:val="13"/>
              </w:rPr>
              <w:t>Gran Canaria</w:t>
            </w:r>
          </w:p>
        </w:tc>
        <w:tc>
          <w:tcPr>
            <w:tcW w:w="987" w:type="dxa"/>
          </w:tcPr>
          <w:p>
            <w:pPr>
              <w:pStyle w:val="TableParagraph"/>
              <w:spacing w:before="36"/>
              <w:ind w:right="59"/>
              <w:jc w:val="right"/>
              <w:rPr>
                <w:sz w:val="13"/>
              </w:rPr>
            </w:pPr>
            <w:r>
              <w:rPr>
                <w:w w:val="105"/>
                <w:sz w:val="13"/>
              </w:rPr>
              <w:t>35.398.081,64</w:t>
            </w:r>
          </w:p>
        </w:tc>
        <w:tc>
          <w:tcPr>
            <w:tcW w:w="595" w:type="dxa"/>
          </w:tcPr>
          <w:p>
            <w:pPr>
              <w:pStyle w:val="TableParagraph"/>
              <w:spacing w:before="36"/>
              <w:ind w:right="57"/>
              <w:jc w:val="right"/>
              <w:rPr>
                <w:sz w:val="13"/>
              </w:rPr>
            </w:pPr>
            <w:r>
              <w:rPr>
                <w:sz w:val="13"/>
              </w:rPr>
              <w:t>14,74%</w:t>
            </w:r>
          </w:p>
        </w:tc>
        <w:tc>
          <w:tcPr>
            <w:tcW w:w="975" w:type="dxa"/>
          </w:tcPr>
          <w:p>
            <w:pPr>
              <w:pStyle w:val="TableParagraph"/>
              <w:spacing w:before="36"/>
              <w:ind w:right="57"/>
              <w:jc w:val="right"/>
              <w:rPr>
                <w:sz w:val="13"/>
              </w:rPr>
            </w:pPr>
            <w:r>
              <w:rPr>
                <w:w w:val="105"/>
                <w:sz w:val="13"/>
              </w:rPr>
              <w:t>56.697.516,40</w:t>
            </w:r>
          </w:p>
        </w:tc>
        <w:tc>
          <w:tcPr>
            <w:tcW w:w="591" w:type="dxa"/>
          </w:tcPr>
          <w:p>
            <w:pPr>
              <w:pStyle w:val="TableParagraph"/>
              <w:spacing w:before="36"/>
              <w:ind w:right="57"/>
              <w:jc w:val="right"/>
              <w:rPr>
                <w:sz w:val="13"/>
              </w:rPr>
            </w:pPr>
            <w:r>
              <w:rPr>
                <w:sz w:val="13"/>
              </w:rPr>
              <w:t>16,29%</w:t>
            </w:r>
          </w:p>
        </w:tc>
        <w:tc>
          <w:tcPr>
            <w:tcW w:w="974" w:type="dxa"/>
          </w:tcPr>
          <w:p>
            <w:pPr>
              <w:pStyle w:val="TableParagraph"/>
              <w:spacing w:before="36"/>
              <w:ind w:right="58"/>
              <w:jc w:val="right"/>
              <w:rPr>
                <w:sz w:val="13"/>
              </w:rPr>
            </w:pPr>
            <w:r>
              <w:rPr>
                <w:w w:val="105"/>
                <w:sz w:val="13"/>
              </w:rPr>
              <w:t>66.186.620,60</w:t>
            </w:r>
          </w:p>
        </w:tc>
        <w:tc>
          <w:tcPr>
            <w:tcW w:w="591" w:type="dxa"/>
          </w:tcPr>
          <w:p>
            <w:pPr>
              <w:pStyle w:val="TableParagraph"/>
              <w:spacing w:before="36"/>
              <w:ind w:right="58"/>
              <w:jc w:val="right"/>
              <w:rPr>
                <w:sz w:val="13"/>
              </w:rPr>
            </w:pPr>
            <w:r>
              <w:rPr>
                <w:sz w:val="13"/>
              </w:rPr>
              <w:t>16,75%</w:t>
            </w:r>
          </w:p>
        </w:tc>
        <w:tc>
          <w:tcPr>
            <w:tcW w:w="976" w:type="dxa"/>
          </w:tcPr>
          <w:p>
            <w:pPr>
              <w:pStyle w:val="TableParagraph"/>
              <w:spacing w:before="36"/>
              <w:ind w:right="60"/>
              <w:jc w:val="right"/>
              <w:rPr>
                <w:sz w:val="13"/>
              </w:rPr>
            </w:pPr>
            <w:r>
              <w:rPr>
                <w:w w:val="105"/>
                <w:sz w:val="13"/>
              </w:rPr>
              <w:t>97.416.754,57</w:t>
            </w:r>
          </w:p>
        </w:tc>
        <w:tc>
          <w:tcPr>
            <w:tcW w:w="595" w:type="dxa"/>
          </w:tcPr>
          <w:p>
            <w:pPr>
              <w:pStyle w:val="TableParagraph"/>
              <w:spacing w:before="36"/>
              <w:ind w:right="61"/>
              <w:jc w:val="right"/>
              <w:rPr>
                <w:sz w:val="13"/>
              </w:rPr>
            </w:pPr>
            <w:r>
              <w:rPr>
                <w:sz w:val="13"/>
              </w:rPr>
              <w:t>20,40%</w:t>
            </w:r>
          </w:p>
        </w:tc>
      </w:tr>
      <w:tr>
        <w:trPr>
          <w:trHeight w:val="251" w:hRule="atLeast"/>
        </w:trPr>
        <w:tc>
          <w:tcPr>
            <w:tcW w:w="920" w:type="dxa"/>
          </w:tcPr>
          <w:p>
            <w:pPr>
              <w:pStyle w:val="TableParagraph"/>
              <w:spacing w:before="36"/>
              <w:ind w:left="70"/>
              <w:rPr>
                <w:sz w:val="13"/>
              </w:rPr>
            </w:pPr>
            <w:r>
              <w:rPr>
                <w:w w:val="105"/>
                <w:sz w:val="13"/>
              </w:rPr>
              <w:t>La Graciosa</w:t>
            </w:r>
          </w:p>
        </w:tc>
        <w:tc>
          <w:tcPr>
            <w:tcW w:w="987" w:type="dxa"/>
          </w:tcPr>
          <w:p>
            <w:pPr>
              <w:pStyle w:val="TableParagraph"/>
              <w:rPr>
                <w:rFonts w:ascii="Times New Roman"/>
                <w:sz w:val="12"/>
              </w:rPr>
            </w:pPr>
          </w:p>
        </w:tc>
        <w:tc>
          <w:tcPr>
            <w:tcW w:w="595" w:type="dxa"/>
          </w:tcPr>
          <w:p>
            <w:pPr>
              <w:pStyle w:val="TableParagraph"/>
              <w:rPr>
                <w:rFonts w:ascii="Times New Roman"/>
                <w:sz w:val="12"/>
              </w:rPr>
            </w:pPr>
          </w:p>
        </w:tc>
        <w:tc>
          <w:tcPr>
            <w:tcW w:w="975" w:type="dxa"/>
          </w:tcPr>
          <w:p>
            <w:pPr>
              <w:pStyle w:val="TableParagraph"/>
              <w:rPr>
                <w:rFonts w:ascii="Times New Roman"/>
                <w:sz w:val="12"/>
              </w:rPr>
            </w:pPr>
          </w:p>
        </w:tc>
        <w:tc>
          <w:tcPr>
            <w:tcW w:w="591" w:type="dxa"/>
          </w:tcPr>
          <w:p>
            <w:pPr>
              <w:pStyle w:val="TableParagraph"/>
              <w:rPr>
                <w:rFonts w:ascii="Times New Roman"/>
                <w:sz w:val="12"/>
              </w:rPr>
            </w:pPr>
          </w:p>
        </w:tc>
        <w:tc>
          <w:tcPr>
            <w:tcW w:w="974" w:type="dxa"/>
          </w:tcPr>
          <w:p>
            <w:pPr>
              <w:pStyle w:val="TableParagraph"/>
              <w:rPr>
                <w:rFonts w:ascii="Times New Roman"/>
                <w:sz w:val="12"/>
              </w:rPr>
            </w:pPr>
          </w:p>
        </w:tc>
        <w:tc>
          <w:tcPr>
            <w:tcW w:w="591" w:type="dxa"/>
          </w:tcPr>
          <w:p>
            <w:pPr>
              <w:pStyle w:val="TableParagraph"/>
              <w:rPr>
                <w:rFonts w:ascii="Times New Roman"/>
                <w:sz w:val="12"/>
              </w:rPr>
            </w:pPr>
          </w:p>
        </w:tc>
        <w:tc>
          <w:tcPr>
            <w:tcW w:w="976" w:type="dxa"/>
          </w:tcPr>
          <w:p>
            <w:pPr>
              <w:pStyle w:val="TableParagraph"/>
              <w:spacing w:before="36"/>
              <w:ind w:right="61"/>
              <w:jc w:val="right"/>
              <w:rPr>
                <w:sz w:val="13"/>
              </w:rPr>
            </w:pPr>
            <w:r>
              <w:rPr>
                <w:w w:val="105"/>
                <w:sz w:val="13"/>
              </w:rPr>
              <w:t>34.117,17</w:t>
            </w:r>
          </w:p>
        </w:tc>
        <w:tc>
          <w:tcPr>
            <w:tcW w:w="595" w:type="dxa"/>
          </w:tcPr>
          <w:p>
            <w:pPr>
              <w:pStyle w:val="TableParagraph"/>
              <w:spacing w:before="36"/>
              <w:ind w:right="61"/>
              <w:jc w:val="right"/>
              <w:rPr>
                <w:sz w:val="13"/>
              </w:rPr>
            </w:pPr>
            <w:r>
              <w:rPr>
                <w:sz w:val="13"/>
              </w:rPr>
              <w:t>0,01%</w:t>
            </w:r>
          </w:p>
        </w:tc>
      </w:tr>
      <w:tr>
        <w:trPr>
          <w:trHeight w:val="251" w:hRule="atLeast"/>
        </w:trPr>
        <w:tc>
          <w:tcPr>
            <w:tcW w:w="920" w:type="dxa"/>
          </w:tcPr>
          <w:p>
            <w:pPr>
              <w:pStyle w:val="TableParagraph"/>
              <w:spacing w:before="36"/>
              <w:ind w:left="70"/>
              <w:rPr>
                <w:sz w:val="13"/>
              </w:rPr>
            </w:pPr>
            <w:r>
              <w:rPr>
                <w:w w:val="105"/>
                <w:sz w:val="13"/>
              </w:rPr>
              <w:t>La Gomera</w:t>
            </w:r>
          </w:p>
        </w:tc>
        <w:tc>
          <w:tcPr>
            <w:tcW w:w="987" w:type="dxa"/>
          </w:tcPr>
          <w:p>
            <w:pPr>
              <w:pStyle w:val="TableParagraph"/>
              <w:spacing w:before="36"/>
              <w:ind w:right="58"/>
              <w:jc w:val="right"/>
              <w:rPr>
                <w:sz w:val="13"/>
              </w:rPr>
            </w:pPr>
            <w:r>
              <w:rPr>
                <w:w w:val="105"/>
                <w:sz w:val="13"/>
              </w:rPr>
              <w:t>4.044.878,56</w:t>
            </w:r>
          </w:p>
        </w:tc>
        <w:tc>
          <w:tcPr>
            <w:tcW w:w="595" w:type="dxa"/>
          </w:tcPr>
          <w:p>
            <w:pPr>
              <w:pStyle w:val="TableParagraph"/>
              <w:spacing w:before="36"/>
              <w:ind w:right="57"/>
              <w:jc w:val="right"/>
              <w:rPr>
                <w:sz w:val="13"/>
              </w:rPr>
            </w:pPr>
            <w:r>
              <w:rPr>
                <w:sz w:val="13"/>
              </w:rPr>
              <w:t>1,68%</w:t>
            </w:r>
          </w:p>
        </w:tc>
        <w:tc>
          <w:tcPr>
            <w:tcW w:w="975" w:type="dxa"/>
          </w:tcPr>
          <w:p>
            <w:pPr>
              <w:pStyle w:val="TableParagraph"/>
              <w:spacing w:before="36"/>
              <w:ind w:right="57"/>
              <w:jc w:val="right"/>
              <w:rPr>
                <w:sz w:val="13"/>
              </w:rPr>
            </w:pPr>
            <w:r>
              <w:rPr>
                <w:w w:val="105"/>
                <w:sz w:val="13"/>
              </w:rPr>
              <w:t>13.421.413,81</w:t>
            </w:r>
          </w:p>
        </w:tc>
        <w:tc>
          <w:tcPr>
            <w:tcW w:w="591" w:type="dxa"/>
          </w:tcPr>
          <w:p>
            <w:pPr>
              <w:pStyle w:val="TableParagraph"/>
              <w:spacing w:before="36"/>
              <w:ind w:right="57"/>
              <w:jc w:val="right"/>
              <w:rPr>
                <w:sz w:val="13"/>
              </w:rPr>
            </w:pPr>
            <w:r>
              <w:rPr>
                <w:sz w:val="13"/>
              </w:rPr>
              <w:t>3,86%</w:t>
            </w:r>
          </w:p>
        </w:tc>
        <w:tc>
          <w:tcPr>
            <w:tcW w:w="974" w:type="dxa"/>
          </w:tcPr>
          <w:p>
            <w:pPr>
              <w:pStyle w:val="TableParagraph"/>
              <w:spacing w:before="36"/>
              <w:ind w:right="58"/>
              <w:jc w:val="right"/>
              <w:rPr>
                <w:sz w:val="13"/>
              </w:rPr>
            </w:pPr>
            <w:r>
              <w:rPr>
                <w:w w:val="105"/>
                <w:sz w:val="13"/>
              </w:rPr>
              <w:t>11.314.600,88</w:t>
            </w:r>
          </w:p>
        </w:tc>
        <w:tc>
          <w:tcPr>
            <w:tcW w:w="591" w:type="dxa"/>
          </w:tcPr>
          <w:p>
            <w:pPr>
              <w:pStyle w:val="TableParagraph"/>
              <w:spacing w:before="36"/>
              <w:ind w:right="58"/>
              <w:jc w:val="right"/>
              <w:rPr>
                <w:sz w:val="13"/>
              </w:rPr>
            </w:pPr>
            <w:r>
              <w:rPr>
                <w:sz w:val="13"/>
              </w:rPr>
              <w:t>2,86%</w:t>
            </w:r>
          </w:p>
        </w:tc>
        <w:tc>
          <w:tcPr>
            <w:tcW w:w="976" w:type="dxa"/>
          </w:tcPr>
          <w:p>
            <w:pPr>
              <w:pStyle w:val="TableParagraph"/>
              <w:spacing w:before="36"/>
              <w:ind w:right="60"/>
              <w:jc w:val="right"/>
              <w:rPr>
                <w:sz w:val="13"/>
              </w:rPr>
            </w:pPr>
            <w:r>
              <w:rPr>
                <w:w w:val="105"/>
                <w:sz w:val="13"/>
              </w:rPr>
              <w:t>13.700.297,81</w:t>
            </w:r>
          </w:p>
        </w:tc>
        <w:tc>
          <w:tcPr>
            <w:tcW w:w="595" w:type="dxa"/>
          </w:tcPr>
          <w:p>
            <w:pPr>
              <w:pStyle w:val="TableParagraph"/>
              <w:spacing w:before="36"/>
              <w:ind w:right="61"/>
              <w:jc w:val="right"/>
              <w:rPr>
                <w:sz w:val="13"/>
              </w:rPr>
            </w:pPr>
            <w:r>
              <w:rPr>
                <w:sz w:val="13"/>
              </w:rPr>
              <w:t>2,87%</w:t>
            </w:r>
          </w:p>
        </w:tc>
      </w:tr>
      <w:tr>
        <w:trPr>
          <w:trHeight w:val="251" w:hRule="atLeast"/>
        </w:trPr>
        <w:tc>
          <w:tcPr>
            <w:tcW w:w="920" w:type="dxa"/>
          </w:tcPr>
          <w:p>
            <w:pPr>
              <w:pStyle w:val="TableParagraph"/>
              <w:spacing w:before="36"/>
              <w:ind w:left="70"/>
              <w:rPr>
                <w:sz w:val="13"/>
              </w:rPr>
            </w:pPr>
            <w:r>
              <w:rPr>
                <w:w w:val="105"/>
                <w:sz w:val="13"/>
              </w:rPr>
              <w:t>El Hierro</w:t>
            </w:r>
          </w:p>
        </w:tc>
        <w:tc>
          <w:tcPr>
            <w:tcW w:w="987" w:type="dxa"/>
          </w:tcPr>
          <w:p>
            <w:pPr>
              <w:pStyle w:val="TableParagraph"/>
              <w:spacing w:before="36"/>
              <w:ind w:right="58"/>
              <w:jc w:val="right"/>
              <w:rPr>
                <w:sz w:val="13"/>
              </w:rPr>
            </w:pPr>
            <w:r>
              <w:rPr>
                <w:w w:val="105"/>
                <w:sz w:val="13"/>
              </w:rPr>
              <w:t>5.232.709,39</w:t>
            </w:r>
          </w:p>
        </w:tc>
        <w:tc>
          <w:tcPr>
            <w:tcW w:w="595" w:type="dxa"/>
          </w:tcPr>
          <w:p>
            <w:pPr>
              <w:pStyle w:val="TableParagraph"/>
              <w:spacing w:before="36"/>
              <w:ind w:right="57"/>
              <w:jc w:val="right"/>
              <w:rPr>
                <w:sz w:val="13"/>
              </w:rPr>
            </w:pPr>
            <w:r>
              <w:rPr>
                <w:sz w:val="13"/>
              </w:rPr>
              <w:t>2,18%</w:t>
            </w:r>
          </w:p>
        </w:tc>
        <w:tc>
          <w:tcPr>
            <w:tcW w:w="975" w:type="dxa"/>
          </w:tcPr>
          <w:p>
            <w:pPr>
              <w:pStyle w:val="TableParagraph"/>
              <w:spacing w:before="36"/>
              <w:ind w:right="57"/>
              <w:jc w:val="right"/>
              <w:rPr>
                <w:sz w:val="13"/>
              </w:rPr>
            </w:pPr>
            <w:r>
              <w:rPr>
                <w:w w:val="105"/>
                <w:sz w:val="13"/>
              </w:rPr>
              <w:t>9.352.880,46</w:t>
            </w:r>
          </w:p>
        </w:tc>
        <w:tc>
          <w:tcPr>
            <w:tcW w:w="591" w:type="dxa"/>
          </w:tcPr>
          <w:p>
            <w:pPr>
              <w:pStyle w:val="TableParagraph"/>
              <w:spacing w:before="36"/>
              <w:ind w:right="57"/>
              <w:jc w:val="right"/>
              <w:rPr>
                <w:sz w:val="13"/>
              </w:rPr>
            </w:pPr>
            <w:r>
              <w:rPr>
                <w:sz w:val="13"/>
              </w:rPr>
              <w:t>2,69%</w:t>
            </w:r>
          </w:p>
        </w:tc>
        <w:tc>
          <w:tcPr>
            <w:tcW w:w="974" w:type="dxa"/>
          </w:tcPr>
          <w:p>
            <w:pPr>
              <w:pStyle w:val="TableParagraph"/>
              <w:spacing w:before="36"/>
              <w:ind w:right="58"/>
              <w:jc w:val="right"/>
              <w:rPr>
                <w:sz w:val="13"/>
              </w:rPr>
            </w:pPr>
            <w:r>
              <w:rPr>
                <w:w w:val="105"/>
                <w:sz w:val="13"/>
              </w:rPr>
              <w:t>5.457.093,84</w:t>
            </w:r>
          </w:p>
        </w:tc>
        <w:tc>
          <w:tcPr>
            <w:tcW w:w="591" w:type="dxa"/>
          </w:tcPr>
          <w:p>
            <w:pPr>
              <w:pStyle w:val="TableParagraph"/>
              <w:spacing w:before="36"/>
              <w:ind w:right="58"/>
              <w:jc w:val="right"/>
              <w:rPr>
                <w:sz w:val="13"/>
              </w:rPr>
            </w:pPr>
            <w:r>
              <w:rPr>
                <w:sz w:val="13"/>
              </w:rPr>
              <w:t>1,38%</w:t>
            </w:r>
          </w:p>
        </w:tc>
        <w:tc>
          <w:tcPr>
            <w:tcW w:w="976" w:type="dxa"/>
          </w:tcPr>
          <w:p>
            <w:pPr>
              <w:pStyle w:val="TableParagraph"/>
              <w:spacing w:before="36"/>
              <w:ind w:right="60"/>
              <w:jc w:val="right"/>
              <w:rPr>
                <w:sz w:val="13"/>
              </w:rPr>
            </w:pPr>
            <w:r>
              <w:rPr>
                <w:w w:val="105"/>
                <w:sz w:val="13"/>
              </w:rPr>
              <w:t>6.301.158,03</w:t>
            </w:r>
          </w:p>
        </w:tc>
        <w:tc>
          <w:tcPr>
            <w:tcW w:w="595" w:type="dxa"/>
          </w:tcPr>
          <w:p>
            <w:pPr>
              <w:pStyle w:val="TableParagraph"/>
              <w:spacing w:before="36"/>
              <w:ind w:right="61"/>
              <w:jc w:val="right"/>
              <w:rPr>
                <w:sz w:val="13"/>
              </w:rPr>
            </w:pPr>
            <w:r>
              <w:rPr>
                <w:sz w:val="13"/>
              </w:rPr>
              <w:t>1,32%</w:t>
            </w:r>
          </w:p>
        </w:tc>
      </w:tr>
      <w:tr>
        <w:trPr>
          <w:trHeight w:val="252" w:hRule="atLeast"/>
        </w:trPr>
        <w:tc>
          <w:tcPr>
            <w:tcW w:w="920" w:type="dxa"/>
          </w:tcPr>
          <w:p>
            <w:pPr>
              <w:pStyle w:val="TableParagraph"/>
              <w:spacing w:before="36"/>
              <w:ind w:left="70"/>
              <w:rPr>
                <w:sz w:val="13"/>
              </w:rPr>
            </w:pPr>
            <w:r>
              <w:rPr>
                <w:w w:val="105"/>
                <w:sz w:val="13"/>
              </w:rPr>
              <w:t>La Palma</w:t>
            </w:r>
          </w:p>
        </w:tc>
        <w:tc>
          <w:tcPr>
            <w:tcW w:w="987" w:type="dxa"/>
          </w:tcPr>
          <w:p>
            <w:pPr>
              <w:pStyle w:val="TableParagraph"/>
              <w:spacing w:before="36"/>
              <w:ind w:right="59"/>
              <w:jc w:val="right"/>
              <w:rPr>
                <w:sz w:val="13"/>
              </w:rPr>
            </w:pPr>
            <w:r>
              <w:rPr>
                <w:w w:val="105"/>
                <w:sz w:val="13"/>
              </w:rPr>
              <w:t>25.988.532,27</w:t>
            </w:r>
          </w:p>
        </w:tc>
        <w:tc>
          <w:tcPr>
            <w:tcW w:w="595" w:type="dxa"/>
          </w:tcPr>
          <w:p>
            <w:pPr>
              <w:pStyle w:val="TableParagraph"/>
              <w:spacing w:before="36"/>
              <w:ind w:right="57"/>
              <w:jc w:val="right"/>
              <w:rPr>
                <w:sz w:val="13"/>
              </w:rPr>
            </w:pPr>
            <w:r>
              <w:rPr>
                <w:sz w:val="13"/>
              </w:rPr>
              <w:t>10,82%</w:t>
            </w:r>
          </w:p>
        </w:tc>
        <w:tc>
          <w:tcPr>
            <w:tcW w:w="975" w:type="dxa"/>
          </w:tcPr>
          <w:p>
            <w:pPr>
              <w:pStyle w:val="TableParagraph"/>
              <w:spacing w:before="36"/>
              <w:ind w:right="57"/>
              <w:jc w:val="right"/>
              <w:rPr>
                <w:sz w:val="13"/>
              </w:rPr>
            </w:pPr>
            <w:r>
              <w:rPr>
                <w:w w:val="105"/>
                <w:sz w:val="13"/>
              </w:rPr>
              <w:t>36.843.384,12</w:t>
            </w:r>
          </w:p>
        </w:tc>
        <w:tc>
          <w:tcPr>
            <w:tcW w:w="591" w:type="dxa"/>
          </w:tcPr>
          <w:p>
            <w:pPr>
              <w:pStyle w:val="TableParagraph"/>
              <w:spacing w:before="36"/>
              <w:ind w:right="57"/>
              <w:jc w:val="right"/>
              <w:rPr>
                <w:sz w:val="13"/>
              </w:rPr>
            </w:pPr>
            <w:r>
              <w:rPr>
                <w:sz w:val="13"/>
              </w:rPr>
              <w:t>10,59%</w:t>
            </w:r>
          </w:p>
        </w:tc>
        <w:tc>
          <w:tcPr>
            <w:tcW w:w="974" w:type="dxa"/>
          </w:tcPr>
          <w:p>
            <w:pPr>
              <w:pStyle w:val="TableParagraph"/>
              <w:spacing w:before="36"/>
              <w:ind w:right="58"/>
              <w:jc w:val="right"/>
              <w:rPr>
                <w:sz w:val="13"/>
              </w:rPr>
            </w:pPr>
            <w:r>
              <w:rPr>
                <w:w w:val="105"/>
                <w:sz w:val="13"/>
              </w:rPr>
              <w:t>26.919.453,94</w:t>
            </w:r>
          </w:p>
        </w:tc>
        <w:tc>
          <w:tcPr>
            <w:tcW w:w="591" w:type="dxa"/>
          </w:tcPr>
          <w:p>
            <w:pPr>
              <w:pStyle w:val="TableParagraph"/>
              <w:spacing w:before="36"/>
              <w:ind w:right="58"/>
              <w:jc w:val="right"/>
              <w:rPr>
                <w:sz w:val="13"/>
              </w:rPr>
            </w:pPr>
            <w:r>
              <w:rPr>
                <w:sz w:val="13"/>
              </w:rPr>
              <w:t>6,81%</w:t>
            </w:r>
          </w:p>
        </w:tc>
        <w:tc>
          <w:tcPr>
            <w:tcW w:w="976" w:type="dxa"/>
          </w:tcPr>
          <w:p>
            <w:pPr>
              <w:pStyle w:val="TableParagraph"/>
              <w:spacing w:before="36"/>
              <w:ind w:right="60"/>
              <w:jc w:val="right"/>
              <w:rPr>
                <w:sz w:val="13"/>
              </w:rPr>
            </w:pPr>
            <w:r>
              <w:rPr>
                <w:w w:val="105"/>
                <w:sz w:val="13"/>
              </w:rPr>
              <w:t>41.275.816,37</w:t>
            </w:r>
          </w:p>
        </w:tc>
        <w:tc>
          <w:tcPr>
            <w:tcW w:w="595" w:type="dxa"/>
          </w:tcPr>
          <w:p>
            <w:pPr>
              <w:pStyle w:val="TableParagraph"/>
              <w:spacing w:before="36"/>
              <w:ind w:right="61"/>
              <w:jc w:val="right"/>
              <w:rPr>
                <w:sz w:val="13"/>
              </w:rPr>
            </w:pPr>
            <w:r>
              <w:rPr>
                <w:sz w:val="13"/>
              </w:rPr>
              <w:t>8,64%</w:t>
            </w:r>
          </w:p>
        </w:tc>
      </w:tr>
      <w:tr>
        <w:trPr>
          <w:trHeight w:val="252" w:hRule="atLeast"/>
        </w:trPr>
        <w:tc>
          <w:tcPr>
            <w:tcW w:w="920" w:type="dxa"/>
          </w:tcPr>
          <w:p>
            <w:pPr>
              <w:pStyle w:val="TableParagraph"/>
              <w:spacing w:before="36"/>
              <w:ind w:left="70"/>
              <w:rPr>
                <w:sz w:val="13"/>
              </w:rPr>
            </w:pPr>
            <w:r>
              <w:rPr>
                <w:w w:val="105"/>
                <w:sz w:val="13"/>
              </w:rPr>
              <w:t>Tenerife</w:t>
            </w:r>
          </w:p>
        </w:tc>
        <w:tc>
          <w:tcPr>
            <w:tcW w:w="987" w:type="dxa"/>
          </w:tcPr>
          <w:p>
            <w:pPr>
              <w:pStyle w:val="TableParagraph"/>
              <w:spacing w:before="36"/>
              <w:ind w:right="59"/>
              <w:jc w:val="right"/>
              <w:rPr>
                <w:sz w:val="13"/>
              </w:rPr>
            </w:pPr>
            <w:r>
              <w:rPr>
                <w:w w:val="105"/>
                <w:sz w:val="13"/>
              </w:rPr>
              <w:t>54.004.808,16</w:t>
            </w:r>
          </w:p>
        </w:tc>
        <w:tc>
          <w:tcPr>
            <w:tcW w:w="595" w:type="dxa"/>
          </w:tcPr>
          <w:p>
            <w:pPr>
              <w:pStyle w:val="TableParagraph"/>
              <w:spacing w:before="36"/>
              <w:ind w:right="57"/>
              <w:jc w:val="right"/>
              <w:rPr>
                <w:sz w:val="13"/>
              </w:rPr>
            </w:pPr>
            <w:r>
              <w:rPr>
                <w:sz w:val="13"/>
              </w:rPr>
              <w:t>22,48%</w:t>
            </w:r>
          </w:p>
        </w:tc>
        <w:tc>
          <w:tcPr>
            <w:tcW w:w="975" w:type="dxa"/>
          </w:tcPr>
          <w:p>
            <w:pPr>
              <w:pStyle w:val="TableParagraph"/>
              <w:spacing w:before="36"/>
              <w:ind w:right="57"/>
              <w:jc w:val="right"/>
              <w:rPr>
                <w:sz w:val="13"/>
              </w:rPr>
            </w:pPr>
            <w:r>
              <w:rPr>
                <w:w w:val="105"/>
                <w:sz w:val="13"/>
              </w:rPr>
              <w:t>75.655.804,36</w:t>
            </w:r>
          </w:p>
        </w:tc>
        <w:tc>
          <w:tcPr>
            <w:tcW w:w="591" w:type="dxa"/>
          </w:tcPr>
          <w:p>
            <w:pPr>
              <w:pStyle w:val="TableParagraph"/>
              <w:spacing w:before="36"/>
              <w:ind w:right="57"/>
              <w:jc w:val="right"/>
              <w:rPr>
                <w:sz w:val="13"/>
              </w:rPr>
            </w:pPr>
            <w:r>
              <w:rPr>
                <w:sz w:val="13"/>
              </w:rPr>
              <w:t>21,74%</w:t>
            </w:r>
          </w:p>
        </w:tc>
        <w:tc>
          <w:tcPr>
            <w:tcW w:w="974" w:type="dxa"/>
          </w:tcPr>
          <w:p>
            <w:pPr>
              <w:pStyle w:val="TableParagraph"/>
              <w:spacing w:before="36"/>
              <w:ind w:right="58"/>
              <w:jc w:val="right"/>
              <w:rPr>
                <w:sz w:val="13"/>
              </w:rPr>
            </w:pPr>
            <w:r>
              <w:rPr>
                <w:sz w:val="13"/>
              </w:rPr>
              <w:t>110.915.784,75</w:t>
            </w:r>
          </w:p>
        </w:tc>
        <w:tc>
          <w:tcPr>
            <w:tcW w:w="591" w:type="dxa"/>
          </w:tcPr>
          <w:p>
            <w:pPr>
              <w:pStyle w:val="TableParagraph"/>
              <w:spacing w:before="36"/>
              <w:ind w:right="58"/>
              <w:jc w:val="right"/>
              <w:rPr>
                <w:sz w:val="13"/>
              </w:rPr>
            </w:pPr>
            <w:r>
              <w:rPr>
                <w:sz w:val="13"/>
              </w:rPr>
              <w:t>28,07%</w:t>
            </w:r>
          </w:p>
        </w:tc>
        <w:tc>
          <w:tcPr>
            <w:tcW w:w="976" w:type="dxa"/>
          </w:tcPr>
          <w:p>
            <w:pPr>
              <w:pStyle w:val="TableParagraph"/>
              <w:spacing w:before="36"/>
              <w:ind w:right="61"/>
              <w:jc w:val="right"/>
              <w:rPr>
                <w:sz w:val="13"/>
              </w:rPr>
            </w:pPr>
            <w:r>
              <w:rPr>
                <w:sz w:val="13"/>
              </w:rPr>
              <w:t>116.719.428,14</w:t>
            </w:r>
          </w:p>
        </w:tc>
        <w:tc>
          <w:tcPr>
            <w:tcW w:w="595" w:type="dxa"/>
          </w:tcPr>
          <w:p>
            <w:pPr>
              <w:pStyle w:val="TableParagraph"/>
              <w:spacing w:before="36"/>
              <w:ind w:right="61"/>
              <w:jc w:val="right"/>
              <w:rPr>
                <w:sz w:val="13"/>
              </w:rPr>
            </w:pPr>
            <w:r>
              <w:rPr>
                <w:sz w:val="13"/>
              </w:rPr>
              <w:t>24,44%</w:t>
            </w:r>
          </w:p>
        </w:tc>
      </w:tr>
      <w:tr>
        <w:trPr>
          <w:trHeight w:val="251" w:hRule="atLeast"/>
        </w:trPr>
        <w:tc>
          <w:tcPr>
            <w:tcW w:w="920" w:type="dxa"/>
          </w:tcPr>
          <w:p>
            <w:pPr>
              <w:pStyle w:val="TableParagraph"/>
              <w:spacing w:before="36"/>
              <w:ind w:left="70"/>
              <w:rPr>
                <w:sz w:val="13"/>
              </w:rPr>
            </w:pPr>
            <w:r>
              <w:rPr>
                <w:w w:val="105"/>
                <w:sz w:val="13"/>
              </w:rPr>
              <w:t>Exterior</w:t>
            </w:r>
          </w:p>
        </w:tc>
        <w:tc>
          <w:tcPr>
            <w:tcW w:w="987" w:type="dxa"/>
          </w:tcPr>
          <w:p>
            <w:pPr>
              <w:pStyle w:val="TableParagraph"/>
              <w:spacing w:before="36"/>
              <w:ind w:right="59"/>
              <w:jc w:val="right"/>
              <w:rPr>
                <w:sz w:val="13"/>
              </w:rPr>
            </w:pPr>
            <w:r>
              <w:rPr>
                <w:w w:val="105"/>
                <w:sz w:val="13"/>
              </w:rPr>
              <w:t>645.620,24</w:t>
            </w:r>
          </w:p>
        </w:tc>
        <w:tc>
          <w:tcPr>
            <w:tcW w:w="595" w:type="dxa"/>
          </w:tcPr>
          <w:p>
            <w:pPr>
              <w:pStyle w:val="TableParagraph"/>
              <w:spacing w:before="36"/>
              <w:ind w:right="57"/>
              <w:jc w:val="right"/>
              <w:rPr>
                <w:sz w:val="13"/>
              </w:rPr>
            </w:pPr>
            <w:r>
              <w:rPr>
                <w:sz w:val="13"/>
              </w:rPr>
              <w:t>0,27%</w:t>
            </w:r>
          </w:p>
        </w:tc>
        <w:tc>
          <w:tcPr>
            <w:tcW w:w="975" w:type="dxa"/>
          </w:tcPr>
          <w:p>
            <w:pPr>
              <w:pStyle w:val="TableParagraph"/>
              <w:spacing w:before="36"/>
              <w:ind w:right="57"/>
              <w:jc w:val="right"/>
              <w:rPr>
                <w:sz w:val="13"/>
              </w:rPr>
            </w:pPr>
            <w:r>
              <w:rPr>
                <w:w w:val="105"/>
                <w:sz w:val="13"/>
              </w:rPr>
              <w:t>121.507,48</w:t>
            </w:r>
          </w:p>
        </w:tc>
        <w:tc>
          <w:tcPr>
            <w:tcW w:w="591" w:type="dxa"/>
          </w:tcPr>
          <w:p>
            <w:pPr>
              <w:pStyle w:val="TableParagraph"/>
              <w:spacing w:before="36"/>
              <w:ind w:right="57"/>
              <w:jc w:val="right"/>
              <w:rPr>
                <w:sz w:val="13"/>
              </w:rPr>
            </w:pPr>
            <w:r>
              <w:rPr>
                <w:sz w:val="13"/>
              </w:rPr>
              <w:t>0,03%</w:t>
            </w:r>
          </w:p>
        </w:tc>
        <w:tc>
          <w:tcPr>
            <w:tcW w:w="974" w:type="dxa"/>
          </w:tcPr>
          <w:p>
            <w:pPr>
              <w:pStyle w:val="TableParagraph"/>
              <w:spacing w:before="36"/>
              <w:ind w:right="58"/>
              <w:jc w:val="right"/>
              <w:rPr>
                <w:sz w:val="13"/>
              </w:rPr>
            </w:pPr>
            <w:r>
              <w:rPr>
                <w:w w:val="105"/>
                <w:sz w:val="13"/>
              </w:rPr>
              <w:t>41.751,74</w:t>
            </w:r>
          </w:p>
        </w:tc>
        <w:tc>
          <w:tcPr>
            <w:tcW w:w="591" w:type="dxa"/>
          </w:tcPr>
          <w:p>
            <w:pPr>
              <w:pStyle w:val="TableParagraph"/>
              <w:spacing w:before="36"/>
              <w:ind w:right="58"/>
              <w:jc w:val="right"/>
              <w:rPr>
                <w:sz w:val="13"/>
              </w:rPr>
            </w:pPr>
            <w:r>
              <w:rPr>
                <w:sz w:val="13"/>
              </w:rPr>
              <w:t>0,01%</w:t>
            </w:r>
          </w:p>
        </w:tc>
        <w:tc>
          <w:tcPr>
            <w:tcW w:w="976" w:type="dxa"/>
          </w:tcPr>
          <w:p>
            <w:pPr>
              <w:pStyle w:val="TableParagraph"/>
              <w:spacing w:before="36"/>
              <w:ind w:right="61"/>
              <w:jc w:val="right"/>
              <w:rPr>
                <w:sz w:val="13"/>
              </w:rPr>
            </w:pPr>
            <w:r>
              <w:rPr>
                <w:w w:val="105"/>
                <w:sz w:val="13"/>
              </w:rPr>
              <w:t>300.535,13</w:t>
            </w:r>
          </w:p>
        </w:tc>
        <w:tc>
          <w:tcPr>
            <w:tcW w:w="595" w:type="dxa"/>
          </w:tcPr>
          <w:p>
            <w:pPr>
              <w:pStyle w:val="TableParagraph"/>
              <w:spacing w:before="36"/>
              <w:ind w:right="61"/>
              <w:jc w:val="right"/>
              <w:rPr>
                <w:sz w:val="13"/>
              </w:rPr>
            </w:pPr>
            <w:r>
              <w:rPr>
                <w:sz w:val="13"/>
              </w:rPr>
              <w:t>0,06%</w:t>
            </w:r>
          </w:p>
        </w:tc>
      </w:tr>
      <w:tr>
        <w:trPr>
          <w:trHeight w:val="251" w:hRule="atLeast"/>
        </w:trPr>
        <w:tc>
          <w:tcPr>
            <w:tcW w:w="920" w:type="dxa"/>
          </w:tcPr>
          <w:p>
            <w:pPr>
              <w:pStyle w:val="TableParagraph"/>
              <w:spacing w:before="36"/>
              <w:ind w:left="70"/>
              <w:rPr>
                <w:sz w:val="13"/>
              </w:rPr>
            </w:pPr>
            <w:r>
              <w:rPr>
                <w:w w:val="105"/>
                <w:sz w:val="13"/>
              </w:rPr>
              <w:t>Región</w:t>
            </w:r>
          </w:p>
        </w:tc>
        <w:tc>
          <w:tcPr>
            <w:tcW w:w="987" w:type="dxa"/>
          </w:tcPr>
          <w:p>
            <w:pPr>
              <w:pStyle w:val="TableParagraph"/>
              <w:spacing w:before="36"/>
              <w:ind w:right="59"/>
              <w:jc w:val="right"/>
              <w:rPr>
                <w:sz w:val="13"/>
              </w:rPr>
            </w:pPr>
            <w:r>
              <w:rPr>
                <w:w w:val="105"/>
                <w:sz w:val="13"/>
              </w:rPr>
              <w:t>73.733.256,71</w:t>
            </w:r>
          </w:p>
        </w:tc>
        <w:tc>
          <w:tcPr>
            <w:tcW w:w="595" w:type="dxa"/>
          </w:tcPr>
          <w:p>
            <w:pPr>
              <w:pStyle w:val="TableParagraph"/>
              <w:spacing w:before="36"/>
              <w:ind w:right="57"/>
              <w:jc w:val="right"/>
              <w:rPr>
                <w:sz w:val="13"/>
              </w:rPr>
            </w:pPr>
            <w:r>
              <w:rPr>
                <w:sz w:val="13"/>
              </w:rPr>
              <w:t>30,69%</w:t>
            </w:r>
          </w:p>
        </w:tc>
        <w:tc>
          <w:tcPr>
            <w:tcW w:w="975" w:type="dxa"/>
          </w:tcPr>
          <w:p>
            <w:pPr>
              <w:pStyle w:val="TableParagraph"/>
              <w:spacing w:before="36"/>
              <w:ind w:right="57"/>
              <w:jc w:val="right"/>
              <w:rPr>
                <w:sz w:val="13"/>
              </w:rPr>
            </w:pPr>
            <w:r>
              <w:rPr>
                <w:sz w:val="13"/>
              </w:rPr>
              <w:t>106.784.355,96</w:t>
            </w:r>
          </w:p>
        </w:tc>
        <w:tc>
          <w:tcPr>
            <w:tcW w:w="591" w:type="dxa"/>
          </w:tcPr>
          <w:p>
            <w:pPr>
              <w:pStyle w:val="TableParagraph"/>
              <w:spacing w:before="36"/>
              <w:ind w:right="57"/>
              <w:jc w:val="right"/>
              <w:rPr>
                <w:sz w:val="13"/>
              </w:rPr>
            </w:pPr>
            <w:r>
              <w:rPr>
                <w:sz w:val="13"/>
              </w:rPr>
              <w:t>30,68%</w:t>
            </w:r>
          </w:p>
        </w:tc>
        <w:tc>
          <w:tcPr>
            <w:tcW w:w="974" w:type="dxa"/>
          </w:tcPr>
          <w:p>
            <w:pPr>
              <w:pStyle w:val="TableParagraph"/>
              <w:spacing w:before="36"/>
              <w:ind w:right="58"/>
              <w:jc w:val="right"/>
              <w:rPr>
                <w:sz w:val="13"/>
              </w:rPr>
            </w:pPr>
            <w:r>
              <w:rPr>
                <w:sz w:val="13"/>
              </w:rPr>
              <w:t>103.389.804,49</w:t>
            </w:r>
          </w:p>
        </w:tc>
        <w:tc>
          <w:tcPr>
            <w:tcW w:w="591" w:type="dxa"/>
          </w:tcPr>
          <w:p>
            <w:pPr>
              <w:pStyle w:val="TableParagraph"/>
              <w:spacing w:before="36"/>
              <w:ind w:right="58"/>
              <w:jc w:val="right"/>
              <w:rPr>
                <w:sz w:val="13"/>
              </w:rPr>
            </w:pPr>
            <w:r>
              <w:rPr>
                <w:sz w:val="13"/>
              </w:rPr>
              <w:t>26,17%</w:t>
            </w:r>
          </w:p>
        </w:tc>
        <w:tc>
          <w:tcPr>
            <w:tcW w:w="976" w:type="dxa"/>
          </w:tcPr>
          <w:p>
            <w:pPr>
              <w:pStyle w:val="TableParagraph"/>
              <w:spacing w:before="36"/>
              <w:ind w:right="61"/>
              <w:jc w:val="right"/>
              <w:rPr>
                <w:sz w:val="13"/>
              </w:rPr>
            </w:pPr>
            <w:r>
              <w:rPr>
                <w:sz w:val="13"/>
              </w:rPr>
              <w:t>116.145.436,45</w:t>
            </w:r>
          </w:p>
        </w:tc>
        <w:tc>
          <w:tcPr>
            <w:tcW w:w="595" w:type="dxa"/>
          </w:tcPr>
          <w:p>
            <w:pPr>
              <w:pStyle w:val="TableParagraph"/>
              <w:spacing w:before="36"/>
              <w:ind w:right="61"/>
              <w:jc w:val="right"/>
              <w:rPr>
                <w:sz w:val="13"/>
              </w:rPr>
            </w:pPr>
            <w:r>
              <w:rPr>
                <w:sz w:val="13"/>
              </w:rPr>
              <w:t>24,32%</w:t>
            </w:r>
          </w:p>
        </w:tc>
      </w:tr>
      <w:tr>
        <w:trPr>
          <w:trHeight w:val="251" w:hRule="atLeast"/>
        </w:trPr>
        <w:tc>
          <w:tcPr>
            <w:tcW w:w="920" w:type="dxa"/>
          </w:tcPr>
          <w:p>
            <w:pPr>
              <w:pStyle w:val="TableParagraph"/>
              <w:spacing w:before="36"/>
              <w:ind w:left="70"/>
              <w:rPr>
                <w:sz w:val="13"/>
              </w:rPr>
            </w:pPr>
            <w:r>
              <w:rPr>
                <w:w w:val="105"/>
                <w:sz w:val="13"/>
              </w:rPr>
              <w:t>Provincia</w:t>
            </w:r>
          </w:p>
        </w:tc>
        <w:tc>
          <w:tcPr>
            <w:tcW w:w="987" w:type="dxa"/>
          </w:tcPr>
          <w:p>
            <w:pPr>
              <w:pStyle w:val="TableParagraph"/>
              <w:spacing w:before="36"/>
              <w:ind w:right="58"/>
              <w:jc w:val="right"/>
              <w:rPr>
                <w:sz w:val="13"/>
              </w:rPr>
            </w:pPr>
            <w:r>
              <w:rPr>
                <w:w w:val="105"/>
                <w:sz w:val="13"/>
              </w:rPr>
              <w:t>9.336.708,36</w:t>
            </w:r>
          </w:p>
        </w:tc>
        <w:tc>
          <w:tcPr>
            <w:tcW w:w="595" w:type="dxa"/>
          </w:tcPr>
          <w:p>
            <w:pPr>
              <w:pStyle w:val="TableParagraph"/>
              <w:spacing w:before="36"/>
              <w:ind w:right="57"/>
              <w:jc w:val="right"/>
              <w:rPr>
                <w:sz w:val="13"/>
              </w:rPr>
            </w:pPr>
            <w:r>
              <w:rPr>
                <w:sz w:val="13"/>
              </w:rPr>
              <w:t>3,89%</w:t>
            </w:r>
          </w:p>
        </w:tc>
        <w:tc>
          <w:tcPr>
            <w:tcW w:w="975" w:type="dxa"/>
          </w:tcPr>
          <w:p>
            <w:pPr>
              <w:pStyle w:val="TableParagraph"/>
              <w:spacing w:before="36"/>
              <w:ind w:right="57"/>
              <w:jc w:val="right"/>
              <w:rPr>
                <w:sz w:val="13"/>
              </w:rPr>
            </w:pPr>
            <w:r>
              <w:rPr>
                <w:w w:val="105"/>
                <w:sz w:val="13"/>
              </w:rPr>
              <w:t>5.641.588,99</w:t>
            </w:r>
          </w:p>
        </w:tc>
        <w:tc>
          <w:tcPr>
            <w:tcW w:w="591" w:type="dxa"/>
          </w:tcPr>
          <w:p>
            <w:pPr>
              <w:pStyle w:val="TableParagraph"/>
              <w:spacing w:before="36"/>
              <w:ind w:right="57"/>
              <w:jc w:val="right"/>
              <w:rPr>
                <w:sz w:val="13"/>
              </w:rPr>
            </w:pPr>
            <w:r>
              <w:rPr>
                <w:sz w:val="13"/>
              </w:rPr>
              <w:t>1,62%</w:t>
            </w:r>
          </w:p>
        </w:tc>
        <w:tc>
          <w:tcPr>
            <w:tcW w:w="974" w:type="dxa"/>
          </w:tcPr>
          <w:p>
            <w:pPr>
              <w:pStyle w:val="TableParagraph"/>
              <w:spacing w:before="36"/>
              <w:ind w:right="58"/>
              <w:jc w:val="right"/>
              <w:rPr>
                <w:sz w:val="13"/>
              </w:rPr>
            </w:pPr>
            <w:r>
              <w:rPr>
                <w:w w:val="105"/>
                <w:sz w:val="13"/>
              </w:rPr>
              <w:t>12.368.804,04</w:t>
            </w:r>
          </w:p>
        </w:tc>
        <w:tc>
          <w:tcPr>
            <w:tcW w:w="591" w:type="dxa"/>
          </w:tcPr>
          <w:p>
            <w:pPr>
              <w:pStyle w:val="TableParagraph"/>
              <w:spacing w:before="36"/>
              <w:ind w:right="58"/>
              <w:jc w:val="right"/>
              <w:rPr>
                <w:sz w:val="13"/>
              </w:rPr>
            </w:pPr>
            <w:r>
              <w:rPr>
                <w:sz w:val="13"/>
              </w:rPr>
              <w:t>3,13%</w:t>
            </w:r>
          </w:p>
        </w:tc>
        <w:tc>
          <w:tcPr>
            <w:tcW w:w="976" w:type="dxa"/>
          </w:tcPr>
          <w:p>
            <w:pPr>
              <w:pStyle w:val="TableParagraph"/>
              <w:spacing w:before="36"/>
              <w:ind w:right="60"/>
              <w:jc w:val="right"/>
              <w:rPr>
                <w:sz w:val="13"/>
              </w:rPr>
            </w:pPr>
            <w:r>
              <w:rPr>
                <w:w w:val="105"/>
                <w:sz w:val="13"/>
              </w:rPr>
              <w:t>33.598.796,53</w:t>
            </w:r>
          </w:p>
        </w:tc>
        <w:tc>
          <w:tcPr>
            <w:tcW w:w="595" w:type="dxa"/>
          </w:tcPr>
          <w:p>
            <w:pPr>
              <w:pStyle w:val="TableParagraph"/>
              <w:spacing w:before="36"/>
              <w:ind w:right="61"/>
              <w:jc w:val="right"/>
              <w:rPr>
                <w:sz w:val="13"/>
              </w:rPr>
            </w:pPr>
            <w:r>
              <w:rPr>
                <w:sz w:val="13"/>
              </w:rPr>
              <w:t>7,04%</w:t>
            </w:r>
          </w:p>
        </w:tc>
      </w:tr>
      <w:tr>
        <w:trPr>
          <w:trHeight w:val="239" w:hRule="atLeast"/>
        </w:trPr>
        <w:tc>
          <w:tcPr>
            <w:tcW w:w="920" w:type="dxa"/>
            <w:tcBorders>
              <w:bottom w:val="single" w:sz="4" w:space="0" w:color="000000"/>
            </w:tcBorders>
          </w:tcPr>
          <w:p>
            <w:pPr>
              <w:pStyle w:val="TableParagraph"/>
              <w:spacing w:before="36"/>
              <w:ind w:left="328"/>
              <w:rPr>
                <w:b/>
                <w:sz w:val="13"/>
              </w:rPr>
            </w:pPr>
            <w:r>
              <w:rPr>
                <w:b/>
                <w:w w:val="105"/>
                <w:sz w:val="13"/>
              </w:rPr>
              <w:t>Total</w:t>
            </w:r>
          </w:p>
        </w:tc>
        <w:tc>
          <w:tcPr>
            <w:tcW w:w="987" w:type="dxa"/>
            <w:tcBorders>
              <w:bottom w:val="single" w:sz="4" w:space="0" w:color="000000"/>
            </w:tcBorders>
          </w:tcPr>
          <w:p>
            <w:pPr>
              <w:pStyle w:val="TableParagraph"/>
              <w:spacing w:before="36"/>
              <w:ind w:right="59"/>
              <w:jc w:val="right"/>
              <w:rPr>
                <w:b/>
                <w:sz w:val="13"/>
              </w:rPr>
            </w:pPr>
            <w:r>
              <w:rPr>
                <w:b/>
                <w:sz w:val="13"/>
              </w:rPr>
              <w:t>240.219.999,76</w:t>
            </w:r>
          </w:p>
        </w:tc>
        <w:tc>
          <w:tcPr>
            <w:tcW w:w="595" w:type="dxa"/>
            <w:tcBorders>
              <w:bottom w:val="single" w:sz="4" w:space="0" w:color="000000"/>
            </w:tcBorders>
          </w:tcPr>
          <w:p>
            <w:pPr>
              <w:pStyle w:val="TableParagraph"/>
              <w:spacing w:before="36"/>
              <w:ind w:right="57"/>
              <w:jc w:val="right"/>
              <w:rPr>
                <w:b/>
                <w:sz w:val="13"/>
              </w:rPr>
            </w:pPr>
            <w:r>
              <w:rPr>
                <w:b/>
                <w:sz w:val="13"/>
              </w:rPr>
              <w:t>100,00%</w:t>
            </w:r>
          </w:p>
        </w:tc>
        <w:tc>
          <w:tcPr>
            <w:tcW w:w="975" w:type="dxa"/>
            <w:tcBorders>
              <w:bottom w:val="single" w:sz="4" w:space="0" w:color="000000"/>
            </w:tcBorders>
          </w:tcPr>
          <w:p>
            <w:pPr>
              <w:pStyle w:val="TableParagraph"/>
              <w:spacing w:before="36"/>
              <w:ind w:right="57"/>
              <w:jc w:val="right"/>
              <w:rPr>
                <w:b/>
                <w:sz w:val="13"/>
              </w:rPr>
            </w:pPr>
            <w:r>
              <w:rPr>
                <w:b/>
                <w:sz w:val="13"/>
              </w:rPr>
              <w:t>348.068.016,14</w:t>
            </w:r>
          </w:p>
        </w:tc>
        <w:tc>
          <w:tcPr>
            <w:tcW w:w="591" w:type="dxa"/>
            <w:tcBorders>
              <w:bottom w:val="single" w:sz="4" w:space="0" w:color="000000"/>
            </w:tcBorders>
          </w:tcPr>
          <w:p>
            <w:pPr>
              <w:pStyle w:val="TableParagraph"/>
              <w:spacing w:before="36"/>
              <w:ind w:right="57"/>
              <w:jc w:val="right"/>
              <w:rPr>
                <w:b/>
                <w:sz w:val="13"/>
              </w:rPr>
            </w:pPr>
            <w:r>
              <w:rPr>
                <w:b/>
                <w:sz w:val="13"/>
              </w:rPr>
              <w:t>100,00%</w:t>
            </w:r>
          </w:p>
        </w:tc>
        <w:tc>
          <w:tcPr>
            <w:tcW w:w="974" w:type="dxa"/>
            <w:tcBorders>
              <w:bottom w:val="single" w:sz="4" w:space="0" w:color="000000"/>
            </w:tcBorders>
          </w:tcPr>
          <w:p>
            <w:pPr>
              <w:pStyle w:val="TableParagraph"/>
              <w:spacing w:before="36"/>
              <w:ind w:right="58"/>
              <w:jc w:val="right"/>
              <w:rPr>
                <w:b/>
                <w:sz w:val="13"/>
              </w:rPr>
            </w:pPr>
            <w:r>
              <w:rPr>
                <w:b/>
                <w:sz w:val="13"/>
              </w:rPr>
              <w:t>395.142.601,51</w:t>
            </w:r>
          </w:p>
        </w:tc>
        <w:tc>
          <w:tcPr>
            <w:tcW w:w="591" w:type="dxa"/>
            <w:tcBorders>
              <w:bottom w:val="single" w:sz="4" w:space="0" w:color="000000"/>
            </w:tcBorders>
          </w:tcPr>
          <w:p>
            <w:pPr>
              <w:pStyle w:val="TableParagraph"/>
              <w:spacing w:before="36"/>
              <w:ind w:right="58"/>
              <w:jc w:val="right"/>
              <w:rPr>
                <w:b/>
                <w:sz w:val="13"/>
              </w:rPr>
            </w:pPr>
            <w:r>
              <w:rPr>
                <w:b/>
                <w:sz w:val="13"/>
              </w:rPr>
              <w:t>100,00%</w:t>
            </w:r>
          </w:p>
        </w:tc>
        <w:tc>
          <w:tcPr>
            <w:tcW w:w="976" w:type="dxa"/>
            <w:tcBorders>
              <w:bottom w:val="single" w:sz="4" w:space="0" w:color="000000"/>
            </w:tcBorders>
          </w:tcPr>
          <w:p>
            <w:pPr>
              <w:pStyle w:val="TableParagraph"/>
              <w:spacing w:before="36"/>
              <w:ind w:right="61"/>
              <w:jc w:val="right"/>
              <w:rPr>
                <w:b/>
                <w:sz w:val="13"/>
              </w:rPr>
            </w:pPr>
            <w:r>
              <w:rPr>
                <w:b/>
                <w:sz w:val="13"/>
              </w:rPr>
              <w:t>477.536.566,92</w:t>
            </w:r>
          </w:p>
        </w:tc>
        <w:tc>
          <w:tcPr>
            <w:tcW w:w="595" w:type="dxa"/>
            <w:tcBorders>
              <w:bottom w:val="single" w:sz="4" w:space="0" w:color="000000"/>
            </w:tcBorders>
          </w:tcPr>
          <w:p>
            <w:pPr>
              <w:pStyle w:val="TableParagraph"/>
              <w:spacing w:before="36"/>
              <w:ind w:right="61"/>
              <w:jc w:val="right"/>
              <w:rPr>
                <w:b/>
                <w:sz w:val="13"/>
              </w:rPr>
            </w:pPr>
            <w:r>
              <w:rPr>
                <w:b/>
                <w:sz w:val="13"/>
              </w:rPr>
              <w:t>100,00%</w:t>
            </w:r>
          </w:p>
        </w:tc>
      </w:tr>
    </w:tbl>
    <w:p>
      <w:pPr>
        <w:pStyle w:val="BodyText"/>
        <w:spacing w:before="31"/>
        <w:ind w:left="7897"/>
        <w:jc w:val="center"/>
      </w:pPr>
      <w:r>
        <w:rPr/>
        <w:t>29</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69" name="image5.png"/>
                  <wp:cNvGraphicFramePr>
                    <a:graphicFrameLocks noChangeAspect="1"/>
                  </wp:cNvGraphicFramePr>
                  <a:graphic>
                    <a:graphicData uri="http://schemas.openxmlformats.org/drawingml/2006/picture">
                      <pic:pic>
                        <pic:nvPicPr>
                          <pic:cNvPr id="7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31/247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spacing w:before="61"/>
        <w:ind w:left="954" w:right="0" w:firstLine="0"/>
        <w:jc w:val="center"/>
        <w:rPr>
          <w:b/>
          <w:sz w:val="20"/>
        </w:rPr>
      </w:pPr>
      <w:r>
        <w:rPr>
          <w:b/>
          <w:sz w:val="20"/>
        </w:rPr>
        <w:t>Capítulo VII. Transferencias de capital</w:t>
      </w:r>
    </w:p>
    <w:p>
      <w:pPr>
        <w:pStyle w:val="BodyText"/>
        <w:spacing w:before="7"/>
        <w:rPr>
          <w:b/>
          <w:sz w:val="16"/>
        </w:rPr>
      </w:pPr>
    </w:p>
    <w:tbl>
      <w:tblPr>
        <w:tblW w:w="0" w:type="auto"/>
        <w:jc w:val="left"/>
        <w:tblInd w:w="2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974"/>
        <w:gridCol w:w="599"/>
        <w:gridCol w:w="974"/>
        <w:gridCol w:w="591"/>
        <w:gridCol w:w="974"/>
        <w:gridCol w:w="593"/>
        <w:gridCol w:w="972"/>
        <w:gridCol w:w="598"/>
      </w:tblGrid>
      <w:tr>
        <w:trPr>
          <w:trHeight w:val="249" w:hRule="atLeast"/>
        </w:trPr>
        <w:tc>
          <w:tcPr>
            <w:tcW w:w="917" w:type="dxa"/>
            <w:vMerge w:val="restart"/>
            <w:tcBorders>
              <w:top w:val="nil"/>
              <w:left w:val="nil"/>
            </w:tcBorders>
          </w:tcPr>
          <w:p>
            <w:pPr>
              <w:pStyle w:val="TableParagraph"/>
              <w:rPr>
                <w:rFonts w:ascii="Times New Roman"/>
                <w:sz w:val="12"/>
              </w:rPr>
            </w:pPr>
          </w:p>
        </w:tc>
        <w:tc>
          <w:tcPr>
            <w:tcW w:w="1573" w:type="dxa"/>
            <w:gridSpan w:val="2"/>
            <w:shd w:val="clear" w:color="auto" w:fill="DEEAF6"/>
          </w:tcPr>
          <w:p>
            <w:pPr>
              <w:pStyle w:val="TableParagraph"/>
              <w:spacing w:before="46"/>
              <w:ind w:left="626" w:right="615"/>
              <w:jc w:val="center"/>
              <w:rPr>
                <w:b/>
                <w:sz w:val="13"/>
              </w:rPr>
            </w:pPr>
            <w:r>
              <w:rPr>
                <w:b/>
                <w:w w:val="105"/>
                <w:sz w:val="13"/>
              </w:rPr>
              <w:t>2019</w:t>
            </w:r>
          </w:p>
        </w:tc>
        <w:tc>
          <w:tcPr>
            <w:tcW w:w="1565" w:type="dxa"/>
            <w:gridSpan w:val="2"/>
            <w:shd w:val="clear" w:color="auto" w:fill="DEEAF6"/>
          </w:tcPr>
          <w:p>
            <w:pPr>
              <w:pStyle w:val="TableParagraph"/>
              <w:spacing w:before="46"/>
              <w:ind w:left="620" w:right="615"/>
              <w:jc w:val="center"/>
              <w:rPr>
                <w:b/>
                <w:sz w:val="13"/>
              </w:rPr>
            </w:pPr>
            <w:r>
              <w:rPr>
                <w:b/>
                <w:w w:val="105"/>
                <w:sz w:val="13"/>
              </w:rPr>
              <w:t>2020</w:t>
            </w:r>
          </w:p>
        </w:tc>
        <w:tc>
          <w:tcPr>
            <w:tcW w:w="1567" w:type="dxa"/>
            <w:gridSpan w:val="2"/>
            <w:shd w:val="clear" w:color="auto" w:fill="DEEAF6"/>
          </w:tcPr>
          <w:p>
            <w:pPr>
              <w:pStyle w:val="TableParagraph"/>
              <w:spacing w:before="46"/>
              <w:ind w:left="620" w:right="620"/>
              <w:jc w:val="center"/>
              <w:rPr>
                <w:b/>
                <w:sz w:val="13"/>
              </w:rPr>
            </w:pPr>
            <w:r>
              <w:rPr>
                <w:b/>
                <w:w w:val="105"/>
                <w:sz w:val="13"/>
              </w:rPr>
              <w:t>2021</w:t>
            </w:r>
          </w:p>
        </w:tc>
        <w:tc>
          <w:tcPr>
            <w:tcW w:w="1570" w:type="dxa"/>
            <w:gridSpan w:val="2"/>
            <w:shd w:val="clear" w:color="auto" w:fill="DEEAF6"/>
          </w:tcPr>
          <w:p>
            <w:pPr>
              <w:pStyle w:val="TableParagraph"/>
              <w:spacing w:before="46"/>
              <w:ind w:left="621" w:right="621"/>
              <w:jc w:val="center"/>
              <w:rPr>
                <w:b/>
                <w:sz w:val="13"/>
              </w:rPr>
            </w:pPr>
            <w:r>
              <w:rPr>
                <w:b/>
                <w:w w:val="105"/>
                <w:sz w:val="13"/>
              </w:rPr>
              <w:t>2022</w:t>
            </w:r>
          </w:p>
        </w:tc>
      </w:tr>
      <w:tr>
        <w:trPr>
          <w:trHeight w:val="388" w:hRule="atLeast"/>
        </w:trPr>
        <w:tc>
          <w:tcPr>
            <w:tcW w:w="917" w:type="dxa"/>
            <w:vMerge/>
            <w:tcBorders>
              <w:top w:val="nil"/>
              <w:left w:val="nil"/>
            </w:tcBorders>
          </w:tcPr>
          <w:p>
            <w:pPr>
              <w:rPr>
                <w:sz w:val="2"/>
                <w:szCs w:val="2"/>
              </w:rPr>
            </w:pPr>
          </w:p>
        </w:tc>
        <w:tc>
          <w:tcPr>
            <w:tcW w:w="974" w:type="dxa"/>
            <w:shd w:val="clear" w:color="auto" w:fill="DEEAF6"/>
          </w:tcPr>
          <w:p>
            <w:pPr>
              <w:pStyle w:val="TableParagraph"/>
              <w:spacing w:before="117"/>
              <w:ind w:left="261"/>
              <w:rPr>
                <w:b/>
                <w:sz w:val="13"/>
              </w:rPr>
            </w:pPr>
            <w:r>
              <w:rPr>
                <w:b/>
                <w:w w:val="105"/>
                <w:sz w:val="13"/>
              </w:rPr>
              <w:t>Importe</w:t>
            </w:r>
          </w:p>
        </w:tc>
        <w:tc>
          <w:tcPr>
            <w:tcW w:w="599" w:type="dxa"/>
            <w:shd w:val="clear" w:color="auto" w:fill="DEEAF6"/>
          </w:tcPr>
          <w:p>
            <w:pPr>
              <w:pStyle w:val="TableParagraph"/>
              <w:spacing w:line="247" w:lineRule="auto" w:before="34"/>
              <w:ind w:left="165" w:hanging="89"/>
              <w:rPr>
                <w:b/>
                <w:sz w:val="13"/>
              </w:rPr>
            </w:pPr>
            <w:r>
              <w:rPr>
                <w:b/>
                <w:w w:val="105"/>
                <w:sz w:val="13"/>
              </w:rPr>
              <w:t>% sobre total</w:t>
            </w:r>
          </w:p>
        </w:tc>
        <w:tc>
          <w:tcPr>
            <w:tcW w:w="974" w:type="dxa"/>
            <w:shd w:val="clear" w:color="auto" w:fill="DEEAF6"/>
          </w:tcPr>
          <w:p>
            <w:pPr>
              <w:pStyle w:val="TableParagraph"/>
              <w:spacing w:before="117"/>
              <w:ind w:left="258"/>
              <w:rPr>
                <w:b/>
                <w:sz w:val="13"/>
              </w:rPr>
            </w:pPr>
            <w:r>
              <w:rPr>
                <w:b/>
                <w:w w:val="105"/>
                <w:sz w:val="13"/>
              </w:rPr>
              <w:t>Importe</w:t>
            </w:r>
          </w:p>
        </w:tc>
        <w:tc>
          <w:tcPr>
            <w:tcW w:w="591" w:type="dxa"/>
            <w:shd w:val="clear" w:color="auto" w:fill="DEEAF6"/>
          </w:tcPr>
          <w:p>
            <w:pPr>
              <w:pStyle w:val="TableParagraph"/>
              <w:spacing w:line="247" w:lineRule="auto" w:before="34"/>
              <w:ind w:left="160" w:hanging="91"/>
              <w:rPr>
                <w:b/>
                <w:sz w:val="13"/>
              </w:rPr>
            </w:pPr>
            <w:r>
              <w:rPr>
                <w:b/>
                <w:w w:val="105"/>
                <w:sz w:val="13"/>
              </w:rPr>
              <w:t>% sobre total</w:t>
            </w:r>
          </w:p>
        </w:tc>
        <w:tc>
          <w:tcPr>
            <w:tcW w:w="974" w:type="dxa"/>
            <w:shd w:val="clear" w:color="auto" w:fill="DEEAF6"/>
          </w:tcPr>
          <w:p>
            <w:pPr>
              <w:pStyle w:val="TableParagraph"/>
              <w:spacing w:before="117"/>
              <w:ind w:left="257"/>
              <w:rPr>
                <w:b/>
                <w:sz w:val="13"/>
              </w:rPr>
            </w:pPr>
            <w:r>
              <w:rPr>
                <w:b/>
                <w:w w:val="105"/>
                <w:sz w:val="13"/>
              </w:rPr>
              <w:t>Importe</w:t>
            </w:r>
          </w:p>
        </w:tc>
        <w:tc>
          <w:tcPr>
            <w:tcW w:w="593" w:type="dxa"/>
            <w:shd w:val="clear" w:color="auto" w:fill="DEEAF6"/>
          </w:tcPr>
          <w:p>
            <w:pPr>
              <w:pStyle w:val="TableParagraph"/>
              <w:spacing w:line="247" w:lineRule="auto" w:before="34"/>
              <w:ind w:left="160" w:hanging="91"/>
              <w:rPr>
                <w:b/>
                <w:sz w:val="13"/>
              </w:rPr>
            </w:pPr>
            <w:r>
              <w:rPr>
                <w:b/>
                <w:w w:val="105"/>
                <w:sz w:val="13"/>
              </w:rPr>
              <w:t>% sobre total</w:t>
            </w:r>
          </w:p>
        </w:tc>
        <w:tc>
          <w:tcPr>
            <w:tcW w:w="972" w:type="dxa"/>
            <w:shd w:val="clear" w:color="auto" w:fill="DEEAF6"/>
          </w:tcPr>
          <w:p>
            <w:pPr>
              <w:pStyle w:val="TableParagraph"/>
              <w:spacing w:before="117"/>
              <w:ind w:left="256"/>
              <w:rPr>
                <w:b/>
                <w:sz w:val="13"/>
              </w:rPr>
            </w:pPr>
            <w:r>
              <w:rPr>
                <w:b/>
                <w:w w:val="105"/>
                <w:sz w:val="13"/>
              </w:rPr>
              <w:t>Importe</w:t>
            </w:r>
          </w:p>
        </w:tc>
        <w:tc>
          <w:tcPr>
            <w:tcW w:w="598" w:type="dxa"/>
            <w:shd w:val="clear" w:color="auto" w:fill="DEEAF6"/>
          </w:tcPr>
          <w:p>
            <w:pPr>
              <w:pStyle w:val="TableParagraph"/>
              <w:spacing w:line="247" w:lineRule="auto" w:before="34"/>
              <w:ind w:left="163" w:hanging="91"/>
              <w:rPr>
                <w:b/>
                <w:sz w:val="13"/>
              </w:rPr>
            </w:pPr>
            <w:r>
              <w:rPr>
                <w:b/>
                <w:w w:val="105"/>
                <w:sz w:val="13"/>
              </w:rPr>
              <w:t>% sobre total</w:t>
            </w:r>
          </w:p>
        </w:tc>
      </w:tr>
    </w:tbl>
    <w:p>
      <w:pPr>
        <w:pStyle w:val="BodyText"/>
        <w:spacing w:before="8" w:after="1"/>
        <w:rPr>
          <w:b/>
          <w:sz w:val="5"/>
        </w:rPr>
      </w:pPr>
    </w:p>
    <w:tbl>
      <w:tblPr>
        <w:tblW w:w="0" w:type="auto"/>
        <w:jc w:val="left"/>
        <w:tblInd w:w="2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1"/>
        <w:gridCol w:w="988"/>
        <w:gridCol w:w="594"/>
        <w:gridCol w:w="974"/>
        <w:gridCol w:w="591"/>
        <w:gridCol w:w="974"/>
        <w:gridCol w:w="592"/>
        <w:gridCol w:w="977"/>
        <w:gridCol w:w="592"/>
      </w:tblGrid>
      <w:tr>
        <w:trPr>
          <w:trHeight w:val="193" w:hRule="atLeast"/>
        </w:trPr>
        <w:tc>
          <w:tcPr>
            <w:tcW w:w="921" w:type="dxa"/>
          </w:tcPr>
          <w:p>
            <w:pPr>
              <w:pStyle w:val="TableParagraph"/>
              <w:spacing w:line="136" w:lineRule="exact"/>
              <w:ind w:left="70"/>
              <w:rPr>
                <w:sz w:val="13"/>
              </w:rPr>
            </w:pPr>
            <w:r>
              <w:rPr>
                <w:w w:val="105"/>
                <w:sz w:val="13"/>
              </w:rPr>
              <w:t>Fuerteventura</w:t>
            </w:r>
          </w:p>
        </w:tc>
        <w:tc>
          <w:tcPr>
            <w:tcW w:w="988" w:type="dxa"/>
          </w:tcPr>
          <w:p>
            <w:pPr>
              <w:pStyle w:val="TableParagraph"/>
              <w:spacing w:line="136" w:lineRule="exact"/>
              <w:ind w:right="58"/>
              <w:jc w:val="right"/>
              <w:rPr>
                <w:sz w:val="13"/>
              </w:rPr>
            </w:pPr>
            <w:r>
              <w:rPr>
                <w:w w:val="105"/>
                <w:sz w:val="13"/>
              </w:rPr>
              <w:t>21.950.527,75</w:t>
            </w:r>
          </w:p>
        </w:tc>
        <w:tc>
          <w:tcPr>
            <w:tcW w:w="594" w:type="dxa"/>
          </w:tcPr>
          <w:p>
            <w:pPr>
              <w:pStyle w:val="TableParagraph"/>
              <w:spacing w:line="136" w:lineRule="exact"/>
              <w:ind w:right="56"/>
              <w:jc w:val="right"/>
              <w:rPr>
                <w:sz w:val="13"/>
              </w:rPr>
            </w:pPr>
            <w:r>
              <w:rPr>
                <w:sz w:val="13"/>
              </w:rPr>
              <w:t>5,24%</w:t>
            </w:r>
          </w:p>
        </w:tc>
        <w:tc>
          <w:tcPr>
            <w:tcW w:w="974" w:type="dxa"/>
          </w:tcPr>
          <w:p>
            <w:pPr>
              <w:pStyle w:val="TableParagraph"/>
              <w:spacing w:line="136" w:lineRule="exact"/>
              <w:ind w:left="104" w:right="32"/>
              <w:jc w:val="center"/>
              <w:rPr>
                <w:sz w:val="13"/>
              </w:rPr>
            </w:pPr>
            <w:r>
              <w:rPr>
                <w:w w:val="105"/>
                <w:sz w:val="13"/>
              </w:rPr>
              <w:t>22.108.498,84</w:t>
            </w:r>
          </w:p>
        </w:tc>
        <w:tc>
          <w:tcPr>
            <w:tcW w:w="591" w:type="dxa"/>
          </w:tcPr>
          <w:p>
            <w:pPr>
              <w:pStyle w:val="TableParagraph"/>
              <w:spacing w:line="136" w:lineRule="exact"/>
              <w:ind w:right="57"/>
              <w:jc w:val="right"/>
              <w:rPr>
                <w:sz w:val="13"/>
              </w:rPr>
            </w:pPr>
            <w:r>
              <w:rPr>
                <w:sz w:val="13"/>
              </w:rPr>
              <w:t>4,79%</w:t>
            </w:r>
          </w:p>
        </w:tc>
        <w:tc>
          <w:tcPr>
            <w:tcW w:w="974" w:type="dxa"/>
          </w:tcPr>
          <w:p>
            <w:pPr>
              <w:pStyle w:val="TableParagraph"/>
              <w:spacing w:line="136" w:lineRule="exact"/>
              <w:ind w:right="58"/>
              <w:jc w:val="right"/>
              <w:rPr>
                <w:sz w:val="13"/>
              </w:rPr>
            </w:pPr>
            <w:r>
              <w:rPr>
                <w:w w:val="105"/>
                <w:sz w:val="13"/>
              </w:rPr>
              <w:t>33.473.078,23</w:t>
            </w:r>
          </w:p>
        </w:tc>
        <w:tc>
          <w:tcPr>
            <w:tcW w:w="592" w:type="dxa"/>
          </w:tcPr>
          <w:p>
            <w:pPr>
              <w:pStyle w:val="TableParagraph"/>
              <w:spacing w:line="136" w:lineRule="exact"/>
              <w:ind w:right="59"/>
              <w:jc w:val="right"/>
              <w:rPr>
                <w:sz w:val="13"/>
              </w:rPr>
            </w:pPr>
            <w:r>
              <w:rPr>
                <w:sz w:val="13"/>
              </w:rPr>
              <w:t>5,78%</w:t>
            </w:r>
          </w:p>
        </w:tc>
        <w:tc>
          <w:tcPr>
            <w:tcW w:w="977" w:type="dxa"/>
          </w:tcPr>
          <w:p>
            <w:pPr>
              <w:pStyle w:val="TableParagraph"/>
              <w:spacing w:line="136" w:lineRule="exact"/>
              <w:ind w:right="60"/>
              <w:jc w:val="right"/>
              <w:rPr>
                <w:sz w:val="13"/>
              </w:rPr>
            </w:pPr>
            <w:r>
              <w:rPr>
                <w:w w:val="105"/>
                <w:sz w:val="13"/>
              </w:rPr>
              <w:t>29.711.138,15</w:t>
            </w:r>
          </w:p>
        </w:tc>
        <w:tc>
          <w:tcPr>
            <w:tcW w:w="592" w:type="dxa"/>
          </w:tcPr>
          <w:p>
            <w:pPr>
              <w:pStyle w:val="TableParagraph"/>
              <w:spacing w:line="136" w:lineRule="exact"/>
              <w:ind w:left="168" w:right="34"/>
              <w:jc w:val="center"/>
              <w:rPr>
                <w:sz w:val="13"/>
              </w:rPr>
            </w:pPr>
            <w:r>
              <w:rPr>
                <w:w w:val="105"/>
                <w:sz w:val="13"/>
              </w:rPr>
              <w:t>4,59%</w:t>
            </w:r>
          </w:p>
        </w:tc>
      </w:tr>
      <w:tr>
        <w:trPr>
          <w:trHeight w:val="251" w:hRule="atLeast"/>
        </w:trPr>
        <w:tc>
          <w:tcPr>
            <w:tcW w:w="921" w:type="dxa"/>
          </w:tcPr>
          <w:p>
            <w:pPr>
              <w:pStyle w:val="TableParagraph"/>
              <w:spacing w:before="36"/>
              <w:ind w:left="70"/>
              <w:rPr>
                <w:sz w:val="13"/>
              </w:rPr>
            </w:pPr>
            <w:r>
              <w:rPr>
                <w:w w:val="105"/>
                <w:sz w:val="13"/>
              </w:rPr>
              <w:t>Lanzarote</w:t>
            </w:r>
          </w:p>
        </w:tc>
        <w:tc>
          <w:tcPr>
            <w:tcW w:w="988" w:type="dxa"/>
          </w:tcPr>
          <w:p>
            <w:pPr>
              <w:pStyle w:val="TableParagraph"/>
              <w:spacing w:before="36"/>
              <w:ind w:right="58"/>
              <w:jc w:val="right"/>
              <w:rPr>
                <w:sz w:val="13"/>
              </w:rPr>
            </w:pPr>
            <w:r>
              <w:rPr>
                <w:w w:val="105"/>
                <w:sz w:val="13"/>
              </w:rPr>
              <w:t>46.042.364,15</w:t>
            </w:r>
          </w:p>
        </w:tc>
        <w:tc>
          <w:tcPr>
            <w:tcW w:w="594" w:type="dxa"/>
          </w:tcPr>
          <w:p>
            <w:pPr>
              <w:pStyle w:val="TableParagraph"/>
              <w:spacing w:before="36"/>
              <w:ind w:right="56"/>
              <w:jc w:val="right"/>
              <w:rPr>
                <w:sz w:val="13"/>
              </w:rPr>
            </w:pPr>
            <w:r>
              <w:rPr>
                <w:sz w:val="13"/>
              </w:rPr>
              <w:t>11,00%</w:t>
            </w:r>
          </w:p>
        </w:tc>
        <w:tc>
          <w:tcPr>
            <w:tcW w:w="974" w:type="dxa"/>
          </w:tcPr>
          <w:p>
            <w:pPr>
              <w:pStyle w:val="TableParagraph"/>
              <w:spacing w:before="36"/>
              <w:ind w:left="104" w:right="32"/>
              <w:jc w:val="center"/>
              <w:rPr>
                <w:sz w:val="13"/>
              </w:rPr>
            </w:pPr>
            <w:r>
              <w:rPr>
                <w:w w:val="105"/>
                <w:sz w:val="13"/>
              </w:rPr>
              <w:t>38.837.695,48</w:t>
            </w:r>
          </w:p>
        </w:tc>
        <w:tc>
          <w:tcPr>
            <w:tcW w:w="591" w:type="dxa"/>
          </w:tcPr>
          <w:p>
            <w:pPr>
              <w:pStyle w:val="TableParagraph"/>
              <w:spacing w:before="36"/>
              <w:ind w:right="57"/>
              <w:jc w:val="right"/>
              <w:rPr>
                <w:sz w:val="13"/>
              </w:rPr>
            </w:pPr>
            <w:r>
              <w:rPr>
                <w:sz w:val="13"/>
              </w:rPr>
              <w:t>8,41%</w:t>
            </w:r>
          </w:p>
        </w:tc>
        <w:tc>
          <w:tcPr>
            <w:tcW w:w="974" w:type="dxa"/>
          </w:tcPr>
          <w:p>
            <w:pPr>
              <w:pStyle w:val="TableParagraph"/>
              <w:spacing w:before="36"/>
              <w:ind w:right="58"/>
              <w:jc w:val="right"/>
              <w:rPr>
                <w:sz w:val="13"/>
              </w:rPr>
            </w:pPr>
            <w:r>
              <w:rPr>
                <w:w w:val="105"/>
                <w:sz w:val="13"/>
              </w:rPr>
              <w:t>37.139.743,56</w:t>
            </w:r>
          </w:p>
        </w:tc>
        <w:tc>
          <w:tcPr>
            <w:tcW w:w="592" w:type="dxa"/>
          </w:tcPr>
          <w:p>
            <w:pPr>
              <w:pStyle w:val="TableParagraph"/>
              <w:spacing w:before="36"/>
              <w:ind w:right="59"/>
              <w:jc w:val="right"/>
              <w:rPr>
                <w:sz w:val="13"/>
              </w:rPr>
            </w:pPr>
            <w:r>
              <w:rPr>
                <w:sz w:val="13"/>
              </w:rPr>
              <w:t>6,41%</w:t>
            </w:r>
          </w:p>
        </w:tc>
        <w:tc>
          <w:tcPr>
            <w:tcW w:w="977" w:type="dxa"/>
          </w:tcPr>
          <w:p>
            <w:pPr>
              <w:pStyle w:val="TableParagraph"/>
              <w:spacing w:before="36"/>
              <w:ind w:right="60"/>
              <w:jc w:val="right"/>
              <w:rPr>
                <w:sz w:val="13"/>
              </w:rPr>
            </w:pPr>
            <w:r>
              <w:rPr>
                <w:w w:val="105"/>
                <w:sz w:val="13"/>
              </w:rPr>
              <w:t>39.166.821,03</w:t>
            </w:r>
          </w:p>
        </w:tc>
        <w:tc>
          <w:tcPr>
            <w:tcW w:w="592" w:type="dxa"/>
          </w:tcPr>
          <w:p>
            <w:pPr>
              <w:pStyle w:val="TableParagraph"/>
              <w:spacing w:before="36"/>
              <w:ind w:left="168" w:right="34"/>
              <w:jc w:val="center"/>
              <w:rPr>
                <w:sz w:val="13"/>
              </w:rPr>
            </w:pPr>
            <w:r>
              <w:rPr>
                <w:w w:val="105"/>
                <w:sz w:val="13"/>
              </w:rPr>
              <w:t>6,06%</w:t>
            </w:r>
          </w:p>
        </w:tc>
      </w:tr>
      <w:tr>
        <w:trPr>
          <w:trHeight w:val="251" w:hRule="atLeast"/>
        </w:trPr>
        <w:tc>
          <w:tcPr>
            <w:tcW w:w="921" w:type="dxa"/>
          </w:tcPr>
          <w:p>
            <w:pPr>
              <w:pStyle w:val="TableParagraph"/>
              <w:spacing w:before="36"/>
              <w:ind w:left="70"/>
              <w:rPr>
                <w:sz w:val="13"/>
              </w:rPr>
            </w:pPr>
            <w:r>
              <w:rPr>
                <w:w w:val="105"/>
                <w:sz w:val="13"/>
              </w:rPr>
              <w:t>Gran canaria</w:t>
            </w:r>
          </w:p>
        </w:tc>
        <w:tc>
          <w:tcPr>
            <w:tcW w:w="988" w:type="dxa"/>
          </w:tcPr>
          <w:p>
            <w:pPr>
              <w:pStyle w:val="TableParagraph"/>
              <w:spacing w:before="36"/>
              <w:ind w:right="59"/>
              <w:jc w:val="right"/>
              <w:rPr>
                <w:sz w:val="13"/>
              </w:rPr>
            </w:pPr>
            <w:r>
              <w:rPr>
                <w:sz w:val="13"/>
              </w:rPr>
              <w:t>109.648.855,61</w:t>
            </w:r>
          </w:p>
        </w:tc>
        <w:tc>
          <w:tcPr>
            <w:tcW w:w="594" w:type="dxa"/>
          </w:tcPr>
          <w:p>
            <w:pPr>
              <w:pStyle w:val="TableParagraph"/>
              <w:spacing w:before="36"/>
              <w:ind w:right="56"/>
              <w:jc w:val="right"/>
              <w:rPr>
                <w:sz w:val="13"/>
              </w:rPr>
            </w:pPr>
            <w:r>
              <w:rPr>
                <w:sz w:val="13"/>
              </w:rPr>
              <w:t>26,20%</w:t>
            </w:r>
          </w:p>
        </w:tc>
        <w:tc>
          <w:tcPr>
            <w:tcW w:w="974" w:type="dxa"/>
          </w:tcPr>
          <w:p>
            <w:pPr>
              <w:pStyle w:val="TableParagraph"/>
              <w:spacing w:before="36"/>
              <w:ind w:left="32" w:right="29"/>
              <w:jc w:val="center"/>
              <w:rPr>
                <w:sz w:val="13"/>
              </w:rPr>
            </w:pPr>
            <w:r>
              <w:rPr>
                <w:w w:val="105"/>
                <w:sz w:val="13"/>
              </w:rPr>
              <w:t>136.717.823,35</w:t>
            </w:r>
          </w:p>
        </w:tc>
        <w:tc>
          <w:tcPr>
            <w:tcW w:w="591" w:type="dxa"/>
          </w:tcPr>
          <w:p>
            <w:pPr>
              <w:pStyle w:val="TableParagraph"/>
              <w:spacing w:before="36"/>
              <w:ind w:right="57"/>
              <w:jc w:val="right"/>
              <w:rPr>
                <w:sz w:val="13"/>
              </w:rPr>
            </w:pPr>
            <w:r>
              <w:rPr>
                <w:sz w:val="13"/>
              </w:rPr>
              <w:t>29,61%</w:t>
            </w:r>
          </w:p>
        </w:tc>
        <w:tc>
          <w:tcPr>
            <w:tcW w:w="974" w:type="dxa"/>
          </w:tcPr>
          <w:p>
            <w:pPr>
              <w:pStyle w:val="TableParagraph"/>
              <w:spacing w:before="36"/>
              <w:ind w:right="58"/>
              <w:jc w:val="right"/>
              <w:rPr>
                <w:sz w:val="13"/>
              </w:rPr>
            </w:pPr>
            <w:r>
              <w:rPr>
                <w:sz w:val="13"/>
              </w:rPr>
              <w:t>108.353.233,98</w:t>
            </w:r>
          </w:p>
        </w:tc>
        <w:tc>
          <w:tcPr>
            <w:tcW w:w="592" w:type="dxa"/>
          </w:tcPr>
          <w:p>
            <w:pPr>
              <w:pStyle w:val="TableParagraph"/>
              <w:spacing w:before="36"/>
              <w:ind w:right="59"/>
              <w:jc w:val="right"/>
              <w:rPr>
                <w:sz w:val="13"/>
              </w:rPr>
            </w:pPr>
            <w:r>
              <w:rPr>
                <w:sz w:val="13"/>
              </w:rPr>
              <w:t>18,70%</w:t>
            </w:r>
          </w:p>
        </w:tc>
        <w:tc>
          <w:tcPr>
            <w:tcW w:w="977" w:type="dxa"/>
          </w:tcPr>
          <w:p>
            <w:pPr>
              <w:pStyle w:val="TableParagraph"/>
              <w:spacing w:before="36"/>
              <w:ind w:right="61"/>
              <w:jc w:val="right"/>
              <w:rPr>
                <w:sz w:val="13"/>
              </w:rPr>
            </w:pPr>
            <w:r>
              <w:rPr>
                <w:sz w:val="13"/>
              </w:rPr>
              <w:t>154.327.458,30</w:t>
            </w:r>
          </w:p>
        </w:tc>
        <w:tc>
          <w:tcPr>
            <w:tcW w:w="592" w:type="dxa"/>
          </w:tcPr>
          <w:p>
            <w:pPr>
              <w:pStyle w:val="TableParagraph"/>
              <w:spacing w:before="36"/>
              <w:ind w:left="102" w:right="34"/>
              <w:jc w:val="center"/>
              <w:rPr>
                <w:sz w:val="13"/>
              </w:rPr>
            </w:pPr>
            <w:r>
              <w:rPr>
                <w:w w:val="105"/>
                <w:sz w:val="13"/>
              </w:rPr>
              <w:t>23,86%</w:t>
            </w:r>
          </w:p>
        </w:tc>
      </w:tr>
      <w:tr>
        <w:trPr>
          <w:trHeight w:val="251" w:hRule="atLeast"/>
        </w:trPr>
        <w:tc>
          <w:tcPr>
            <w:tcW w:w="921" w:type="dxa"/>
          </w:tcPr>
          <w:p>
            <w:pPr>
              <w:pStyle w:val="TableParagraph"/>
              <w:spacing w:before="36"/>
              <w:ind w:left="70"/>
              <w:rPr>
                <w:sz w:val="13"/>
              </w:rPr>
            </w:pPr>
            <w:r>
              <w:rPr>
                <w:w w:val="105"/>
                <w:sz w:val="13"/>
              </w:rPr>
              <w:t>La graciosa</w:t>
            </w:r>
          </w:p>
        </w:tc>
        <w:tc>
          <w:tcPr>
            <w:tcW w:w="988" w:type="dxa"/>
          </w:tcPr>
          <w:p>
            <w:pPr>
              <w:pStyle w:val="TableParagraph"/>
              <w:rPr>
                <w:rFonts w:ascii="Times New Roman"/>
                <w:sz w:val="12"/>
              </w:rPr>
            </w:pPr>
          </w:p>
        </w:tc>
        <w:tc>
          <w:tcPr>
            <w:tcW w:w="594" w:type="dxa"/>
          </w:tcPr>
          <w:p>
            <w:pPr>
              <w:pStyle w:val="TableParagraph"/>
              <w:rPr>
                <w:rFonts w:ascii="Times New Roman"/>
                <w:sz w:val="12"/>
              </w:rPr>
            </w:pPr>
          </w:p>
        </w:tc>
        <w:tc>
          <w:tcPr>
            <w:tcW w:w="974" w:type="dxa"/>
          </w:tcPr>
          <w:p>
            <w:pPr>
              <w:pStyle w:val="TableParagraph"/>
              <w:rPr>
                <w:rFonts w:ascii="Times New Roman"/>
                <w:sz w:val="12"/>
              </w:rPr>
            </w:pPr>
          </w:p>
        </w:tc>
        <w:tc>
          <w:tcPr>
            <w:tcW w:w="591" w:type="dxa"/>
          </w:tcPr>
          <w:p>
            <w:pPr>
              <w:pStyle w:val="TableParagraph"/>
              <w:rPr>
                <w:rFonts w:ascii="Times New Roman"/>
                <w:sz w:val="12"/>
              </w:rPr>
            </w:pPr>
          </w:p>
        </w:tc>
        <w:tc>
          <w:tcPr>
            <w:tcW w:w="974" w:type="dxa"/>
          </w:tcPr>
          <w:p>
            <w:pPr>
              <w:pStyle w:val="TableParagraph"/>
              <w:rPr>
                <w:rFonts w:ascii="Times New Roman"/>
                <w:sz w:val="12"/>
              </w:rPr>
            </w:pPr>
          </w:p>
        </w:tc>
        <w:tc>
          <w:tcPr>
            <w:tcW w:w="592" w:type="dxa"/>
          </w:tcPr>
          <w:p>
            <w:pPr>
              <w:pStyle w:val="TableParagraph"/>
              <w:rPr>
                <w:rFonts w:ascii="Times New Roman"/>
                <w:sz w:val="12"/>
              </w:rPr>
            </w:pPr>
          </w:p>
        </w:tc>
        <w:tc>
          <w:tcPr>
            <w:tcW w:w="977" w:type="dxa"/>
          </w:tcPr>
          <w:p>
            <w:pPr>
              <w:pStyle w:val="TableParagraph"/>
              <w:spacing w:before="36"/>
              <w:ind w:right="61"/>
              <w:jc w:val="right"/>
              <w:rPr>
                <w:sz w:val="13"/>
              </w:rPr>
            </w:pPr>
            <w:r>
              <w:rPr>
                <w:w w:val="105"/>
                <w:sz w:val="13"/>
              </w:rPr>
              <w:t>7.312,19</w:t>
            </w:r>
          </w:p>
        </w:tc>
        <w:tc>
          <w:tcPr>
            <w:tcW w:w="592" w:type="dxa"/>
          </w:tcPr>
          <w:p>
            <w:pPr>
              <w:pStyle w:val="TableParagraph"/>
              <w:spacing w:before="36"/>
              <w:ind w:left="168" w:right="34"/>
              <w:jc w:val="center"/>
              <w:rPr>
                <w:sz w:val="13"/>
              </w:rPr>
            </w:pPr>
            <w:r>
              <w:rPr>
                <w:w w:val="105"/>
                <w:sz w:val="13"/>
              </w:rPr>
              <w:t>0,00%</w:t>
            </w:r>
          </w:p>
        </w:tc>
      </w:tr>
      <w:tr>
        <w:trPr>
          <w:trHeight w:val="251" w:hRule="atLeast"/>
        </w:trPr>
        <w:tc>
          <w:tcPr>
            <w:tcW w:w="921" w:type="dxa"/>
          </w:tcPr>
          <w:p>
            <w:pPr>
              <w:pStyle w:val="TableParagraph"/>
              <w:spacing w:before="36"/>
              <w:ind w:left="70"/>
              <w:rPr>
                <w:sz w:val="13"/>
              </w:rPr>
            </w:pPr>
            <w:r>
              <w:rPr>
                <w:w w:val="105"/>
                <w:sz w:val="13"/>
              </w:rPr>
              <w:t>La gomera</w:t>
            </w:r>
          </w:p>
        </w:tc>
        <w:tc>
          <w:tcPr>
            <w:tcW w:w="988" w:type="dxa"/>
          </w:tcPr>
          <w:p>
            <w:pPr>
              <w:pStyle w:val="TableParagraph"/>
              <w:spacing w:before="36"/>
              <w:ind w:right="58"/>
              <w:jc w:val="right"/>
              <w:rPr>
                <w:sz w:val="13"/>
              </w:rPr>
            </w:pPr>
            <w:r>
              <w:rPr>
                <w:w w:val="105"/>
                <w:sz w:val="13"/>
              </w:rPr>
              <w:t>21.949.372,18</w:t>
            </w:r>
          </w:p>
        </w:tc>
        <w:tc>
          <w:tcPr>
            <w:tcW w:w="594" w:type="dxa"/>
          </w:tcPr>
          <w:p>
            <w:pPr>
              <w:pStyle w:val="TableParagraph"/>
              <w:spacing w:before="36"/>
              <w:ind w:right="56"/>
              <w:jc w:val="right"/>
              <w:rPr>
                <w:sz w:val="13"/>
              </w:rPr>
            </w:pPr>
            <w:r>
              <w:rPr>
                <w:sz w:val="13"/>
              </w:rPr>
              <w:t>5,24%</w:t>
            </w:r>
          </w:p>
        </w:tc>
        <w:tc>
          <w:tcPr>
            <w:tcW w:w="974" w:type="dxa"/>
          </w:tcPr>
          <w:p>
            <w:pPr>
              <w:pStyle w:val="TableParagraph"/>
              <w:spacing w:before="36"/>
              <w:ind w:left="104" w:right="32"/>
              <w:jc w:val="center"/>
              <w:rPr>
                <w:sz w:val="13"/>
              </w:rPr>
            </w:pPr>
            <w:r>
              <w:rPr>
                <w:w w:val="105"/>
                <w:sz w:val="13"/>
              </w:rPr>
              <w:t>22.678.211,40</w:t>
            </w:r>
          </w:p>
        </w:tc>
        <w:tc>
          <w:tcPr>
            <w:tcW w:w="591" w:type="dxa"/>
          </w:tcPr>
          <w:p>
            <w:pPr>
              <w:pStyle w:val="TableParagraph"/>
              <w:spacing w:before="36"/>
              <w:ind w:right="57"/>
              <w:jc w:val="right"/>
              <w:rPr>
                <w:sz w:val="13"/>
              </w:rPr>
            </w:pPr>
            <w:r>
              <w:rPr>
                <w:sz w:val="13"/>
              </w:rPr>
              <w:t>4,91%</w:t>
            </w:r>
          </w:p>
        </w:tc>
        <w:tc>
          <w:tcPr>
            <w:tcW w:w="974" w:type="dxa"/>
          </w:tcPr>
          <w:p>
            <w:pPr>
              <w:pStyle w:val="TableParagraph"/>
              <w:spacing w:before="36"/>
              <w:ind w:right="58"/>
              <w:jc w:val="right"/>
              <w:rPr>
                <w:sz w:val="13"/>
              </w:rPr>
            </w:pPr>
            <w:r>
              <w:rPr>
                <w:w w:val="105"/>
                <w:sz w:val="13"/>
              </w:rPr>
              <w:t>35.333.978,86</w:t>
            </w:r>
          </w:p>
        </w:tc>
        <w:tc>
          <w:tcPr>
            <w:tcW w:w="592" w:type="dxa"/>
          </w:tcPr>
          <w:p>
            <w:pPr>
              <w:pStyle w:val="TableParagraph"/>
              <w:spacing w:before="36"/>
              <w:ind w:right="59"/>
              <w:jc w:val="right"/>
              <w:rPr>
                <w:sz w:val="13"/>
              </w:rPr>
            </w:pPr>
            <w:r>
              <w:rPr>
                <w:sz w:val="13"/>
              </w:rPr>
              <w:t>6,10%</w:t>
            </w:r>
          </w:p>
        </w:tc>
        <w:tc>
          <w:tcPr>
            <w:tcW w:w="977" w:type="dxa"/>
          </w:tcPr>
          <w:p>
            <w:pPr>
              <w:pStyle w:val="TableParagraph"/>
              <w:spacing w:before="36"/>
              <w:ind w:right="60"/>
              <w:jc w:val="right"/>
              <w:rPr>
                <w:sz w:val="13"/>
              </w:rPr>
            </w:pPr>
            <w:r>
              <w:rPr>
                <w:w w:val="105"/>
                <w:sz w:val="13"/>
              </w:rPr>
              <w:t>27.324.487,55</w:t>
            </w:r>
          </w:p>
        </w:tc>
        <w:tc>
          <w:tcPr>
            <w:tcW w:w="592" w:type="dxa"/>
          </w:tcPr>
          <w:p>
            <w:pPr>
              <w:pStyle w:val="TableParagraph"/>
              <w:spacing w:before="36"/>
              <w:ind w:left="168" w:right="34"/>
              <w:jc w:val="center"/>
              <w:rPr>
                <w:sz w:val="13"/>
              </w:rPr>
            </w:pPr>
            <w:r>
              <w:rPr>
                <w:w w:val="105"/>
                <w:sz w:val="13"/>
              </w:rPr>
              <w:t>4,22%</w:t>
            </w:r>
          </w:p>
        </w:tc>
      </w:tr>
      <w:tr>
        <w:trPr>
          <w:trHeight w:val="252" w:hRule="atLeast"/>
        </w:trPr>
        <w:tc>
          <w:tcPr>
            <w:tcW w:w="921" w:type="dxa"/>
          </w:tcPr>
          <w:p>
            <w:pPr>
              <w:pStyle w:val="TableParagraph"/>
              <w:spacing w:before="36"/>
              <w:ind w:left="70"/>
              <w:rPr>
                <w:sz w:val="13"/>
              </w:rPr>
            </w:pPr>
            <w:r>
              <w:rPr>
                <w:w w:val="105"/>
                <w:sz w:val="13"/>
              </w:rPr>
              <w:t>El hierro</w:t>
            </w:r>
          </w:p>
        </w:tc>
        <w:tc>
          <w:tcPr>
            <w:tcW w:w="988" w:type="dxa"/>
          </w:tcPr>
          <w:p>
            <w:pPr>
              <w:pStyle w:val="TableParagraph"/>
              <w:spacing w:before="36"/>
              <w:ind w:right="58"/>
              <w:jc w:val="right"/>
              <w:rPr>
                <w:sz w:val="13"/>
              </w:rPr>
            </w:pPr>
            <w:r>
              <w:rPr>
                <w:w w:val="105"/>
                <w:sz w:val="13"/>
              </w:rPr>
              <w:t>6.071.635,96</w:t>
            </w:r>
          </w:p>
        </w:tc>
        <w:tc>
          <w:tcPr>
            <w:tcW w:w="594" w:type="dxa"/>
          </w:tcPr>
          <w:p>
            <w:pPr>
              <w:pStyle w:val="TableParagraph"/>
              <w:spacing w:before="36"/>
              <w:ind w:right="56"/>
              <w:jc w:val="right"/>
              <w:rPr>
                <w:sz w:val="13"/>
              </w:rPr>
            </w:pPr>
            <w:r>
              <w:rPr>
                <w:sz w:val="13"/>
              </w:rPr>
              <w:t>1,45%</w:t>
            </w:r>
          </w:p>
        </w:tc>
        <w:tc>
          <w:tcPr>
            <w:tcW w:w="974" w:type="dxa"/>
          </w:tcPr>
          <w:p>
            <w:pPr>
              <w:pStyle w:val="TableParagraph"/>
              <w:spacing w:before="36"/>
              <w:ind w:left="104" w:right="32"/>
              <w:jc w:val="center"/>
              <w:rPr>
                <w:sz w:val="13"/>
              </w:rPr>
            </w:pPr>
            <w:r>
              <w:rPr>
                <w:w w:val="105"/>
                <w:sz w:val="13"/>
              </w:rPr>
              <w:t>10.351.343,65</w:t>
            </w:r>
          </w:p>
        </w:tc>
        <w:tc>
          <w:tcPr>
            <w:tcW w:w="591" w:type="dxa"/>
          </w:tcPr>
          <w:p>
            <w:pPr>
              <w:pStyle w:val="TableParagraph"/>
              <w:spacing w:before="36"/>
              <w:ind w:right="57"/>
              <w:jc w:val="right"/>
              <w:rPr>
                <w:sz w:val="13"/>
              </w:rPr>
            </w:pPr>
            <w:r>
              <w:rPr>
                <w:sz w:val="13"/>
              </w:rPr>
              <w:t>2,24%</w:t>
            </w:r>
          </w:p>
        </w:tc>
        <w:tc>
          <w:tcPr>
            <w:tcW w:w="974" w:type="dxa"/>
          </w:tcPr>
          <w:p>
            <w:pPr>
              <w:pStyle w:val="TableParagraph"/>
              <w:spacing w:before="36"/>
              <w:ind w:right="58"/>
              <w:jc w:val="right"/>
              <w:rPr>
                <w:sz w:val="13"/>
              </w:rPr>
            </w:pPr>
            <w:r>
              <w:rPr>
                <w:w w:val="105"/>
                <w:sz w:val="13"/>
              </w:rPr>
              <w:t>5.386.889,37</w:t>
            </w:r>
          </w:p>
        </w:tc>
        <w:tc>
          <w:tcPr>
            <w:tcW w:w="592" w:type="dxa"/>
          </w:tcPr>
          <w:p>
            <w:pPr>
              <w:pStyle w:val="TableParagraph"/>
              <w:spacing w:before="36"/>
              <w:ind w:right="59"/>
              <w:jc w:val="right"/>
              <w:rPr>
                <w:sz w:val="13"/>
              </w:rPr>
            </w:pPr>
            <w:r>
              <w:rPr>
                <w:sz w:val="13"/>
              </w:rPr>
              <w:t>0,93%</w:t>
            </w:r>
          </w:p>
        </w:tc>
        <w:tc>
          <w:tcPr>
            <w:tcW w:w="977" w:type="dxa"/>
          </w:tcPr>
          <w:p>
            <w:pPr>
              <w:pStyle w:val="TableParagraph"/>
              <w:spacing w:before="36"/>
              <w:ind w:right="60"/>
              <w:jc w:val="right"/>
              <w:rPr>
                <w:sz w:val="13"/>
              </w:rPr>
            </w:pPr>
            <w:r>
              <w:rPr>
                <w:w w:val="105"/>
                <w:sz w:val="13"/>
              </w:rPr>
              <w:t>6.598.502,04</w:t>
            </w:r>
          </w:p>
        </w:tc>
        <w:tc>
          <w:tcPr>
            <w:tcW w:w="592" w:type="dxa"/>
          </w:tcPr>
          <w:p>
            <w:pPr>
              <w:pStyle w:val="TableParagraph"/>
              <w:spacing w:before="36"/>
              <w:ind w:left="168" w:right="34"/>
              <w:jc w:val="center"/>
              <w:rPr>
                <w:sz w:val="13"/>
              </w:rPr>
            </w:pPr>
            <w:r>
              <w:rPr>
                <w:w w:val="105"/>
                <w:sz w:val="13"/>
              </w:rPr>
              <w:t>1,02%</w:t>
            </w:r>
          </w:p>
        </w:tc>
      </w:tr>
      <w:tr>
        <w:trPr>
          <w:trHeight w:val="252" w:hRule="atLeast"/>
        </w:trPr>
        <w:tc>
          <w:tcPr>
            <w:tcW w:w="921" w:type="dxa"/>
          </w:tcPr>
          <w:p>
            <w:pPr>
              <w:pStyle w:val="TableParagraph"/>
              <w:spacing w:before="36"/>
              <w:ind w:left="70"/>
              <w:rPr>
                <w:sz w:val="13"/>
              </w:rPr>
            </w:pPr>
            <w:r>
              <w:rPr>
                <w:w w:val="105"/>
                <w:sz w:val="13"/>
              </w:rPr>
              <w:t>La palma</w:t>
            </w:r>
          </w:p>
        </w:tc>
        <w:tc>
          <w:tcPr>
            <w:tcW w:w="988" w:type="dxa"/>
          </w:tcPr>
          <w:p>
            <w:pPr>
              <w:pStyle w:val="TableParagraph"/>
              <w:spacing w:before="36"/>
              <w:ind w:right="58"/>
              <w:jc w:val="right"/>
              <w:rPr>
                <w:sz w:val="13"/>
              </w:rPr>
            </w:pPr>
            <w:r>
              <w:rPr>
                <w:w w:val="105"/>
                <w:sz w:val="13"/>
              </w:rPr>
              <w:t>27.147.482,85</w:t>
            </w:r>
          </w:p>
        </w:tc>
        <w:tc>
          <w:tcPr>
            <w:tcW w:w="594" w:type="dxa"/>
          </w:tcPr>
          <w:p>
            <w:pPr>
              <w:pStyle w:val="TableParagraph"/>
              <w:spacing w:before="36"/>
              <w:ind w:right="56"/>
              <w:jc w:val="right"/>
              <w:rPr>
                <w:sz w:val="13"/>
              </w:rPr>
            </w:pPr>
            <w:r>
              <w:rPr>
                <w:sz w:val="13"/>
              </w:rPr>
              <w:t>6,49%</w:t>
            </w:r>
          </w:p>
        </w:tc>
        <w:tc>
          <w:tcPr>
            <w:tcW w:w="974" w:type="dxa"/>
          </w:tcPr>
          <w:p>
            <w:pPr>
              <w:pStyle w:val="TableParagraph"/>
              <w:spacing w:before="36"/>
              <w:ind w:left="104" w:right="32"/>
              <w:jc w:val="center"/>
              <w:rPr>
                <w:sz w:val="13"/>
              </w:rPr>
            </w:pPr>
            <w:r>
              <w:rPr>
                <w:w w:val="105"/>
                <w:sz w:val="13"/>
              </w:rPr>
              <w:t>25.137.273,79</w:t>
            </w:r>
          </w:p>
        </w:tc>
        <w:tc>
          <w:tcPr>
            <w:tcW w:w="591" w:type="dxa"/>
          </w:tcPr>
          <w:p>
            <w:pPr>
              <w:pStyle w:val="TableParagraph"/>
              <w:spacing w:before="36"/>
              <w:ind w:right="57"/>
              <w:jc w:val="right"/>
              <w:rPr>
                <w:sz w:val="13"/>
              </w:rPr>
            </w:pPr>
            <w:r>
              <w:rPr>
                <w:sz w:val="13"/>
              </w:rPr>
              <w:t>5,44%</w:t>
            </w:r>
          </w:p>
        </w:tc>
        <w:tc>
          <w:tcPr>
            <w:tcW w:w="974" w:type="dxa"/>
          </w:tcPr>
          <w:p>
            <w:pPr>
              <w:pStyle w:val="TableParagraph"/>
              <w:spacing w:before="36"/>
              <w:ind w:right="58"/>
              <w:jc w:val="right"/>
              <w:rPr>
                <w:sz w:val="13"/>
              </w:rPr>
            </w:pPr>
            <w:r>
              <w:rPr>
                <w:w w:val="105"/>
                <w:sz w:val="13"/>
              </w:rPr>
              <w:t>47.066.406,49</w:t>
            </w:r>
          </w:p>
        </w:tc>
        <w:tc>
          <w:tcPr>
            <w:tcW w:w="592" w:type="dxa"/>
          </w:tcPr>
          <w:p>
            <w:pPr>
              <w:pStyle w:val="TableParagraph"/>
              <w:spacing w:before="36"/>
              <w:ind w:right="59"/>
              <w:jc w:val="right"/>
              <w:rPr>
                <w:sz w:val="13"/>
              </w:rPr>
            </w:pPr>
            <w:r>
              <w:rPr>
                <w:sz w:val="13"/>
              </w:rPr>
              <w:t>8,12%</w:t>
            </w:r>
          </w:p>
        </w:tc>
        <w:tc>
          <w:tcPr>
            <w:tcW w:w="977" w:type="dxa"/>
          </w:tcPr>
          <w:p>
            <w:pPr>
              <w:pStyle w:val="TableParagraph"/>
              <w:spacing w:before="36"/>
              <w:ind w:right="60"/>
              <w:jc w:val="right"/>
              <w:rPr>
                <w:sz w:val="13"/>
              </w:rPr>
            </w:pPr>
            <w:r>
              <w:rPr>
                <w:w w:val="105"/>
                <w:sz w:val="13"/>
              </w:rPr>
              <w:t>84.200.766,78</w:t>
            </w:r>
          </w:p>
        </w:tc>
        <w:tc>
          <w:tcPr>
            <w:tcW w:w="592" w:type="dxa"/>
          </w:tcPr>
          <w:p>
            <w:pPr>
              <w:pStyle w:val="TableParagraph"/>
              <w:spacing w:before="36"/>
              <w:ind w:left="102" w:right="34"/>
              <w:jc w:val="center"/>
              <w:rPr>
                <w:sz w:val="13"/>
              </w:rPr>
            </w:pPr>
            <w:r>
              <w:rPr>
                <w:w w:val="105"/>
                <w:sz w:val="13"/>
              </w:rPr>
              <w:t>13,02%</w:t>
            </w:r>
          </w:p>
        </w:tc>
      </w:tr>
      <w:tr>
        <w:trPr>
          <w:trHeight w:val="251" w:hRule="atLeast"/>
        </w:trPr>
        <w:tc>
          <w:tcPr>
            <w:tcW w:w="921" w:type="dxa"/>
          </w:tcPr>
          <w:p>
            <w:pPr>
              <w:pStyle w:val="TableParagraph"/>
              <w:spacing w:before="36"/>
              <w:ind w:left="70"/>
              <w:rPr>
                <w:sz w:val="13"/>
              </w:rPr>
            </w:pPr>
            <w:r>
              <w:rPr>
                <w:w w:val="105"/>
                <w:sz w:val="13"/>
              </w:rPr>
              <w:t>Tenerife</w:t>
            </w:r>
          </w:p>
        </w:tc>
        <w:tc>
          <w:tcPr>
            <w:tcW w:w="988" w:type="dxa"/>
          </w:tcPr>
          <w:p>
            <w:pPr>
              <w:pStyle w:val="TableParagraph"/>
              <w:spacing w:before="36"/>
              <w:ind w:right="59"/>
              <w:jc w:val="right"/>
              <w:rPr>
                <w:sz w:val="13"/>
              </w:rPr>
            </w:pPr>
            <w:r>
              <w:rPr>
                <w:sz w:val="13"/>
              </w:rPr>
              <w:t>137.102.436,82</w:t>
            </w:r>
          </w:p>
        </w:tc>
        <w:tc>
          <w:tcPr>
            <w:tcW w:w="594" w:type="dxa"/>
          </w:tcPr>
          <w:p>
            <w:pPr>
              <w:pStyle w:val="TableParagraph"/>
              <w:spacing w:before="36"/>
              <w:ind w:right="56"/>
              <w:jc w:val="right"/>
              <w:rPr>
                <w:sz w:val="13"/>
              </w:rPr>
            </w:pPr>
            <w:r>
              <w:rPr>
                <w:sz w:val="13"/>
              </w:rPr>
              <w:t>32,76%</w:t>
            </w:r>
          </w:p>
        </w:tc>
        <w:tc>
          <w:tcPr>
            <w:tcW w:w="974" w:type="dxa"/>
          </w:tcPr>
          <w:p>
            <w:pPr>
              <w:pStyle w:val="TableParagraph"/>
              <w:spacing w:before="36"/>
              <w:ind w:left="32" w:right="29"/>
              <w:jc w:val="center"/>
              <w:rPr>
                <w:sz w:val="13"/>
              </w:rPr>
            </w:pPr>
            <w:r>
              <w:rPr>
                <w:w w:val="105"/>
                <w:sz w:val="13"/>
              </w:rPr>
              <w:t>129.628.515,49</w:t>
            </w:r>
          </w:p>
        </w:tc>
        <w:tc>
          <w:tcPr>
            <w:tcW w:w="591" w:type="dxa"/>
          </w:tcPr>
          <w:p>
            <w:pPr>
              <w:pStyle w:val="TableParagraph"/>
              <w:spacing w:before="36"/>
              <w:ind w:right="57"/>
              <w:jc w:val="right"/>
              <w:rPr>
                <w:sz w:val="13"/>
              </w:rPr>
            </w:pPr>
            <w:r>
              <w:rPr>
                <w:sz w:val="13"/>
              </w:rPr>
              <w:t>28,08%</w:t>
            </w:r>
          </w:p>
        </w:tc>
        <w:tc>
          <w:tcPr>
            <w:tcW w:w="974" w:type="dxa"/>
          </w:tcPr>
          <w:p>
            <w:pPr>
              <w:pStyle w:val="TableParagraph"/>
              <w:spacing w:before="36"/>
              <w:ind w:right="58"/>
              <w:jc w:val="right"/>
              <w:rPr>
                <w:sz w:val="13"/>
              </w:rPr>
            </w:pPr>
            <w:r>
              <w:rPr>
                <w:sz w:val="13"/>
              </w:rPr>
              <w:t>143.066.464,48</w:t>
            </w:r>
          </w:p>
        </w:tc>
        <w:tc>
          <w:tcPr>
            <w:tcW w:w="592" w:type="dxa"/>
          </w:tcPr>
          <w:p>
            <w:pPr>
              <w:pStyle w:val="TableParagraph"/>
              <w:spacing w:before="36"/>
              <w:ind w:right="59"/>
              <w:jc w:val="right"/>
              <w:rPr>
                <w:sz w:val="13"/>
              </w:rPr>
            </w:pPr>
            <w:r>
              <w:rPr>
                <w:sz w:val="13"/>
              </w:rPr>
              <w:t>24,69%</w:t>
            </w:r>
          </w:p>
        </w:tc>
        <w:tc>
          <w:tcPr>
            <w:tcW w:w="977" w:type="dxa"/>
          </w:tcPr>
          <w:p>
            <w:pPr>
              <w:pStyle w:val="TableParagraph"/>
              <w:spacing w:before="36"/>
              <w:ind w:right="61"/>
              <w:jc w:val="right"/>
              <w:rPr>
                <w:sz w:val="13"/>
              </w:rPr>
            </w:pPr>
            <w:r>
              <w:rPr>
                <w:sz w:val="13"/>
              </w:rPr>
              <w:t>182.959.733,54</w:t>
            </w:r>
          </w:p>
        </w:tc>
        <w:tc>
          <w:tcPr>
            <w:tcW w:w="592" w:type="dxa"/>
          </w:tcPr>
          <w:p>
            <w:pPr>
              <w:pStyle w:val="TableParagraph"/>
              <w:spacing w:before="36"/>
              <w:ind w:left="102" w:right="34"/>
              <w:jc w:val="center"/>
              <w:rPr>
                <w:sz w:val="13"/>
              </w:rPr>
            </w:pPr>
            <w:r>
              <w:rPr>
                <w:w w:val="105"/>
                <w:sz w:val="13"/>
              </w:rPr>
              <w:t>28,29%</w:t>
            </w:r>
          </w:p>
        </w:tc>
      </w:tr>
      <w:tr>
        <w:trPr>
          <w:trHeight w:val="251" w:hRule="atLeast"/>
        </w:trPr>
        <w:tc>
          <w:tcPr>
            <w:tcW w:w="921" w:type="dxa"/>
          </w:tcPr>
          <w:p>
            <w:pPr>
              <w:pStyle w:val="TableParagraph"/>
              <w:spacing w:before="36"/>
              <w:ind w:left="70"/>
              <w:rPr>
                <w:sz w:val="13"/>
              </w:rPr>
            </w:pPr>
            <w:r>
              <w:rPr>
                <w:w w:val="105"/>
                <w:sz w:val="13"/>
              </w:rPr>
              <w:t>Exterior</w:t>
            </w:r>
          </w:p>
        </w:tc>
        <w:tc>
          <w:tcPr>
            <w:tcW w:w="988" w:type="dxa"/>
          </w:tcPr>
          <w:p>
            <w:pPr>
              <w:pStyle w:val="TableParagraph"/>
              <w:spacing w:before="36"/>
              <w:ind w:right="58"/>
              <w:jc w:val="right"/>
              <w:rPr>
                <w:sz w:val="13"/>
              </w:rPr>
            </w:pPr>
            <w:r>
              <w:rPr>
                <w:w w:val="105"/>
                <w:sz w:val="13"/>
              </w:rPr>
              <w:t>1.254.786,30</w:t>
            </w:r>
          </w:p>
        </w:tc>
        <w:tc>
          <w:tcPr>
            <w:tcW w:w="594" w:type="dxa"/>
          </w:tcPr>
          <w:p>
            <w:pPr>
              <w:pStyle w:val="TableParagraph"/>
              <w:spacing w:before="36"/>
              <w:ind w:right="56"/>
              <w:jc w:val="right"/>
              <w:rPr>
                <w:sz w:val="13"/>
              </w:rPr>
            </w:pPr>
            <w:r>
              <w:rPr>
                <w:sz w:val="13"/>
              </w:rPr>
              <w:t>0,30%</w:t>
            </w:r>
          </w:p>
        </w:tc>
        <w:tc>
          <w:tcPr>
            <w:tcW w:w="974" w:type="dxa"/>
          </w:tcPr>
          <w:p>
            <w:pPr>
              <w:pStyle w:val="TableParagraph"/>
              <w:spacing w:before="36"/>
              <w:ind w:left="172" w:right="32"/>
              <w:jc w:val="center"/>
              <w:rPr>
                <w:sz w:val="13"/>
              </w:rPr>
            </w:pPr>
            <w:r>
              <w:rPr>
                <w:w w:val="105"/>
                <w:sz w:val="13"/>
              </w:rPr>
              <w:t>1.558.153,63</w:t>
            </w:r>
          </w:p>
        </w:tc>
        <w:tc>
          <w:tcPr>
            <w:tcW w:w="591" w:type="dxa"/>
          </w:tcPr>
          <w:p>
            <w:pPr>
              <w:pStyle w:val="TableParagraph"/>
              <w:spacing w:before="36"/>
              <w:ind w:right="57"/>
              <w:jc w:val="right"/>
              <w:rPr>
                <w:sz w:val="13"/>
              </w:rPr>
            </w:pPr>
            <w:r>
              <w:rPr>
                <w:sz w:val="13"/>
              </w:rPr>
              <w:t>0,34%</w:t>
            </w:r>
          </w:p>
        </w:tc>
        <w:tc>
          <w:tcPr>
            <w:tcW w:w="974" w:type="dxa"/>
          </w:tcPr>
          <w:p>
            <w:pPr>
              <w:pStyle w:val="TableParagraph"/>
              <w:spacing w:before="36"/>
              <w:ind w:right="58"/>
              <w:jc w:val="right"/>
              <w:rPr>
                <w:sz w:val="13"/>
              </w:rPr>
            </w:pPr>
            <w:r>
              <w:rPr>
                <w:w w:val="105"/>
                <w:sz w:val="13"/>
              </w:rPr>
              <w:t>2.155.863,89</w:t>
            </w:r>
          </w:p>
        </w:tc>
        <w:tc>
          <w:tcPr>
            <w:tcW w:w="592" w:type="dxa"/>
          </w:tcPr>
          <w:p>
            <w:pPr>
              <w:pStyle w:val="TableParagraph"/>
              <w:spacing w:before="36"/>
              <w:ind w:right="59"/>
              <w:jc w:val="right"/>
              <w:rPr>
                <w:sz w:val="13"/>
              </w:rPr>
            </w:pPr>
            <w:r>
              <w:rPr>
                <w:sz w:val="13"/>
              </w:rPr>
              <w:t>0,37%</w:t>
            </w:r>
          </w:p>
        </w:tc>
        <w:tc>
          <w:tcPr>
            <w:tcW w:w="977" w:type="dxa"/>
          </w:tcPr>
          <w:p>
            <w:pPr>
              <w:pStyle w:val="TableParagraph"/>
              <w:spacing w:before="36"/>
              <w:ind w:right="60"/>
              <w:jc w:val="right"/>
              <w:rPr>
                <w:sz w:val="13"/>
              </w:rPr>
            </w:pPr>
            <w:r>
              <w:rPr>
                <w:w w:val="105"/>
                <w:sz w:val="13"/>
              </w:rPr>
              <w:t>2.751.709,24</w:t>
            </w:r>
          </w:p>
        </w:tc>
        <w:tc>
          <w:tcPr>
            <w:tcW w:w="592" w:type="dxa"/>
          </w:tcPr>
          <w:p>
            <w:pPr>
              <w:pStyle w:val="TableParagraph"/>
              <w:spacing w:before="36"/>
              <w:ind w:left="168" w:right="34"/>
              <w:jc w:val="center"/>
              <w:rPr>
                <w:sz w:val="13"/>
              </w:rPr>
            </w:pPr>
            <w:r>
              <w:rPr>
                <w:w w:val="105"/>
                <w:sz w:val="13"/>
              </w:rPr>
              <w:t>0,43%</w:t>
            </w:r>
          </w:p>
        </w:tc>
      </w:tr>
      <w:tr>
        <w:trPr>
          <w:trHeight w:val="251" w:hRule="atLeast"/>
        </w:trPr>
        <w:tc>
          <w:tcPr>
            <w:tcW w:w="921" w:type="dxa"/>
          </w:tcPr>
          <w:p>
            <w:pPr>
              <w:pStyle w:val="TableParagraph"/>
              <w:spacing w:before="36"/>
              <w:ind w:left="70"/>
              <w:rPr>
                <w:sz w:val="13"/>
              </w:rPr>
            </w:pPr>
            <w:r>
              <w:rPr>
                <w:w w:val="105"/>
                <w:sz w:val="13"/>
              </w:rPr>
              <w:t>Región</w:t>
            </w:r>
          </w:p>
        </w:tc>
        <w:tc>
          <w:tcPr>
            <w:tcW w:w="988" w:type="dxa"/>
          </w:tcPr>
          <w:p>
            <w:pPr>
              <w:pStyle w:val="TableParagraph"/>
              <w:spacing w:before="36"/>
              <w:ind w:right="58"/>
              <w:jc w:val="right"/>
              <w:rPr>
                <w:sz w:val="13"/>
              </w:rPr>
            </w:pPr>
            <w:r>
              <w:rPr>
                <w:w w:val="105"/>
                <w:sz w:val="13"/>
              </w:rPr>
              <w:t>45.371.712,43</w:t>
            </w:r>
          </w:p>
        </w:tc>
        <w:tc>
          <w:tcPr>
            <w:tcW w:w="594" w:type="dxa"/>
          </w:tcPr>
          <w:p>
            <w:pPr>
              <w:pStyle w:val="TableParagraph"/>
              <w:spacing w:before="36"/>
              <w:ind w:right="56"/>
              <w:jc w:val="right"/>
              <w:rPr>
                <w:sz w:val="13"/>
              </w:rPr>
            </w:pPr>
            <w:r>
              <w:rPr>
                <w:sz w:val="13"/>
              </w:rPr>
              <w:t>10,84%</w:t>
            </w:r>
          </w:p>
        </w:tc>
        <w:tc>
          <w:tcPr>
            <w:tcW w:w="974" w:type="dxa"/>
          </w:tcPr>
          <w:p>
            <w:pPr>
              <w:pStyle w:val="TableParagraph"/>
              <w:spacing w:before="36"/>
              <w:ind w:left="104" w:right="32"/>
              <w:jc w:val="center"/>
              <w:rPr>
                <w:sz w:val="13"/>
              </w:rPr>
            </w:pPr>
            <w:r>
              <w:rPr>
                <w:w w:val="105"/>
                <w:sz w:val="13"/>
              </w:rPr>
              <w:t>66.097.817,35</w:t>
            </w:r>
          </w:p>
        </w:tc>
        <w:tc>
          <w:tcPr>
            <w:tcW w:w="591" w:type="dxa"/>
          </w:tcPr>
          <w:p>
            <w:pPr>
              <w:pStyle w:val="TableParagraph"/>
              <w:spacing w:before="36"/>
              <w:ind w:right="57"/>
              <w:jc w:val="right"/>
              <w:rPr>
                <w:sz w:val="13"/>
              </w:rPr>
            </w:pPr>
            <w:r>
              <w:rPr>
                <w:sz w:val="13"/>
              </w:rPr>
              <w:t>14,32%</w:t>
            </w:r>
          </w:p>
        </w:tc>
        <w:tc>
          <w:tcPr>
            <w:tcW w:w="974" w:type="dxa"/>
          </w:tcPr>
          <w:p>
            <w:pPr>
              <w:pStyle w:val="TableParagraph"/>
              <w:spacing w:before="36"/>
              <w:ind w:right="58"/>
              <w:jc w:val="right"/>
              <w:rPr>
                <w:sz w:val="13"/>
              </w:rPr>
            </w:pPr>
            <w:r>
              <w:rPr>
                <w:sz w:val="13"/>
              </w:rPr>
              <w:t>139.695.042,31</w:t>
            </w:r>
          </w:p>
        </w:tc>
        <w:tc>
          <w:tcPr>
            <w:tcW w:w="592" w:type="dxa"/>
          </w:tcPr>
          <w:p>
            <w:pPr>
              <w:pStyle w:val="TableParagraph"/>
              <w:spacing w:before="36"/>
              <w:ind w:right="59"/>
              <w:jc w:val="right"/>
              <w:rPr>
                <w:sz w:val="13"/>
              </w:rPr>
            </w:pPr>
            <w:r>
              <w:rPr>
                <w:sz w:val="13"/>
              </w:rPr>
              <w:t>24,11%</w:t>
            </w:r>
          </w:p>
        </w:tc>
        <w:tc>
          <w:tcPr>
            <w:tcW w:w="977" w:type="dxa"/>
          </w:tcPr>
          <w:p>
            <w:pPr>
              <w:pStyle w:val="TableParagraph"/>
              <w:spacing w:before="36"/>
              <w:ind w:right="60"/>
              <w:jc w:val="right"/>
              <w:rPr>
                <w:sz w:val="13"/>
              </w:rPr>
            </w:pPr>
            <w:r>
              <w:rPr>
                <w:w w:val="105"/>
                <w:sz w:val="13"/>
              </w:rPr>
              <w:t>94.675.394,53</w:t>
            </w:r>
          </w:p>
        </w:tc>
        <w:tc>
          <w:tcPr>
            <w:tcW w:w="592" w:type="dxa"/>
          </w:tcPr>
          <w:p>
            <w:pPr>
              <w:pStyle w:val="TableParagraph"/>
              <w:spacing w:before="36"/>
              <w:ind w:left="102" w:right="34"/>
              <w:jc w:val="center"/>
              <w:rPr>
                <w:sz w:val="13"/>
              </w:rPr>
            </w:pPr>
            <w:r>
              <w:rPr>
                <w:w w:val="105"/>
                <w:sz w:val="13"/>
              </w:rPr>
              <w:t>14,64%</w:t>
            </w:r>
          </w:p>
        </w:tc>
      </w:tr>
      <w:tr>
        <w:trPr>
          <w:trHeight w:val="251" w:hRule="atLeast"/>
        </w:trPr>
        <w:tc>
          <w:tcPr>
            <w:tcW w:w="921" w:type="dxa"/>
          </w:tcPr>
          <w:p>
            <w:pPr>
              <w:pStyle w:val="TableParagraph"/>
              <w:spacing w:before="36"/>
              <w:ind w:left="70"/>
              <w:rPr>
                <w:sz w:val="13"/>
              </w:rPr>
            </w:pPr>
            <w:r>
              <w:rPr>
                <w:w w:val="105"/>
                <w:sz w:val="13"/>
              </w:rPr>
              <w:t>Provincia</w:t>
            </w:r>
          </w:p>
        </w:tc>
        <w:tc>
          <w:tcPr>
            <w:tcW w:w="988" w:type="dxa"/>
          </w:tcPr>
          <w:p>
            <w:pPr>
              <w:pStyle w:val="TableParagraph"/>
              <w:spacing w:before="36"/>
              <w:ind w:right="58"/>
              <w:jc w:val="right"/>
              <w:rPr>
                <w:sz w:val="13"/>
              </w:rPr>
            </w:pPr>
            <w:r>
              <w:rPr>
                <w:w w:val="105"/>
                <w:sz w:val="13"/>
              </w:rPr>
              <w:t>2.024.373,41</w:t>
            </w:r>
          </w:p>
        </w:tc>
        <w:tc>
          <w:tcPr>
            <w:tcW w:w="594" w:type="dxa"/>
          </w:tcPr>
          <w:p>
            <w:pPr>
              <w:pStyle w:val="TableParagraph"/>
              <w:spacing w:before="36"/>
              <w:ind w:right="56"/>
              <w:jc w:val="right"/>
              <w:rPr>
                <w:sz w:val="13"/>
              </w:rPr>
            </w:pPr>
            <w:r>
              <w:rPr>
                <w:sz w:val="13"/>
              </w:rPr>
              <w:t>0,48%</w:t>
            </w:r>
          </w:p>
        </w:tc>
        <w:tc>
          <w:tcPr>
            <w:tcW w:w="974" w:type="dxa"/>
          </w:tcPr>
          <w:p>
            <w:pPr>
              <w:pStyle w:val="TableParagraph"/>
              <w:spacing w:before="36"/>
              <w:ind w:left="172" w:right="32"/>
              <w:jc w:val="center"/>
              <w:rPr>
                <w:sz w:val="13"/>
              </w:rPr>
            </w:pPr>
            <w:r>
              <w:rPr>
                <w:w w:val="105"/>
                <w:sz w:val="13"/>
              </w:rPr>
              <w:t>8.579.810,19</w:t>
            </w:r>
          </w:p>
        </w:tc>
        <w:tc>
          <w:tcPr>
            <w:tcW w:w="591" w:type="dxa"/>
          </w:tcPr>
          <w:p>
            <w:pPr>
              <w:pStyle w:val="TableParagraph"/>
              <w:spacing w:before="36"/>
              <w:ind w:right="57"/>
              <w:jc w:val="right"/>
              <w:rPr>
                <w:sz w:val="13"/>
              </w:rPr>
            </w:pPr>
            <w:r>
              <w:rPr>
                <w:sz w:val="13"/>
              </w:rPr>
              <w:t>1,86%</w:t>
            </w:r>
          </w:p>
        </w:tc>
        <w:tc>
          <w:tcPr>
            <w:tcW w:w="974" w:type="dxa"/>
          </w:tcPr>
          <w:p>
            <w:pPr>
              <w:pStyle w:val="TableParagraph"/>
              <w:spacing w:before="36"/>
              <w:ind w:right="58"/>
              <w:jc w:val="right"/>
              <w:rPr>
                <w:sz w:val="13"/>
              </w:rPr>
            </w:pPr>
            <w:r>
              <w:rPr>
                <w:w w:val="105"/>
                <w:sz w:val="13"/>
              </w:rPr>
              <w:t>27.689.982,86</w:t>
            </w:r>
          </w:p>
        </w:tc>
        <w:tc>
          <w:tcPr>
            <w:tcW w:w="592" w:type="dxa"/>
          </w:tcPr>
          <w:p>
            <w:pPr>
              <w:pStyle w:val="TableParagraph"/>
              <w:spacing w:before="36"/>
              <w:ind w:right="59"/>
              <w:jc w:val="right"/>
              <w:rPr>
                <w:sz w:val="13"/>
              </w:rPr>
            </w:pPr>
            <w:r>
              <w:rPr>
                <w:sz w:val="13"/>
              </w:rPr>
              <w:t>4,78%</w:t>
            </w:r>
          </w:p>
        </w:tc>
        <w:tc>
          <w:tcPr>
            <w:tcW w:w="977" w:type="dxa"/>
          </w:tcPr>
          <w:p>
            <w:pPr>
              <w:pStyle w:val="TableParagraph"/>
              <w:spacing w:before="36"/>
              <w:ind w:right="60"/>
              <w:jc w:val="right"/>
              <w:rPr>
                <w:sz w:val="13"/>
              </w:rPr>
            </w:pPr>
            <w:r>
              <w:rPr>
                <w:w w:val="105"/>
                <w:sz w:val="13"/>
              </w:rPr>
              <w:t>25.042.646,66</w:t>
            </w:r>
          </w:p>
        </w:tc>
        <w:tc>
          <w:tcPr>
            <w:tcW w:w="592" w:type="dxa"/>
          </w:tcPr>
          <w:p>
            <w:pPr>
              <w:pStyle w:val="TableParagraph"/>
              <w:spacing w:before="36"/>
              <w:ind w:left="168" w:right="34"/>
              <w:jc w:val="center"/>
              <w:rPr>
                <w:sz w:val="13"/>
              </w:rPr>
            </w:pPr>
            <w:r>
              <w:rPr>
                <w:w w:val="105"/>
                <w:sz w:val="13"/>
              </w:rPr>
              <w:t>3,87%</w:t>
            </w:r>
          </w:p>
        </w:tc>
      </w:tr>
      <w:tr>
        <w:trPr>
          <w:trHeight w:val="239" w:hRule="atLeast"/>
        </w:trPr>
        <w:tc>
          <w:tcPr>
            <w:tcW w:w="921" w:type="dxa"/>
            <w:tcBorders>
              <w:bottom w:val="single" w:sz="4" w:space="0" w:color="000000"/>
            </w:tcBorders>
          </w:tcPr>
          <w:p>
            <w:pPr>
              <w:pStyle w:val="TableParagraph"/>
              <w:spacing w:before="36"/>
              <w:ind w:left="306" w:right="285"/>
              <w:jc w:val="center"/>
              <w:rPr>
                <w:b/>
                <w:sz w:val="13"/>
              </w:rPr>
            </w:pPr>
            <w:r>
              <w:rPr>
                <w:b/>
                <w:w w:val="105"/>
                <w:sz w:val="13"/>
              </w:rPr>
              <w:t>Total</w:t>
            </w:r>
          </w:p>
        </w:tc>
        <w:tc>
          <w:tcPr>
            <w:tcW w:w="988" w:type="dxa"/>
            <w:tcBorders>
              <w:bottom w:val="single" w:sz="4" w:space="0" w:color="000000"/>
            </w:tcBorders>
          </w:tcPr>
          <w:p>
            <w:pPr>
              <w:pStyle w:val="TableParagraph"/>
              <w:spacing w:before="36"/>
              <w:ind w:right="59"/>
              <w:jc w:val="right"/>
              <w:rPr>
                <w:b/>
                <w:sz w:val="13"/>
              </w:rPr>
            </w:pPr>
            <w:r>
              <w:rPr>
                <w:b/>
                <w:sz w:val="13"/>
              </w:rPr>
              <w:t>418.563.547,46</w:t>
            </w:r>
          </w:p>
        </w:tc>
        <w:tc>
          <w:tcPr>
            <w:tcW w:w="594" w:type="dxa"/>
            <w:tcBorders>
              <w:bottom w:val="single" w:sz="4" w:space="0" w:color="000000"/>
            </w:tcBorders>
          </w:tcPr>
          <w:p>
            <w:pPr>
              <w:pStyle w:val="TableParagraph"/>
              <w:spacing w:before="36"/>
              <w:ind w:right="56"/>
              <w:jc w:val="right"/>
              <w:rPr>
                <w:b/>
                <w:sz w:val="13"/>
              </w:rPr>
            </w:pPr>
            <w:r>
              <w:rPr>
                <w:b/>
                <w:sz w:val="13"/>
              </w:rPr>
              <w:t>100,00%</w:t>
            </w:r>
          </w:p>
        </w:tc>
        <w:tc>
          <w:tcPr>
            <w:tcW w:w="974" w:type="dxa"/>
            <w:tcBorders>
              <w:bottom w:val="single" w:sz="4" w:space="0" w:color="000000"/>
            </w:tcBorders>
          </w:tcPr>
          <w:p>
            <w:pPr>
              <w:pStyle w:val="TableParagraph"/>
              <w:spacing w:before="36"/>
              <w:ind w:left="32" w:right="32"/>
              <w:jc w:val="center"/>
              <w:rPr>
                <w:b/>
                <w:sz w:val="13"/>
              </w:rPr>
            </w:pPr>
            <w:r>
              <w:rPr>
                <w:b/>
                <w:w w:val="105"/>
                <w:sz w:val="13"/>
              </w:rPr>
              <w:t>461.695.143,17</w:t>
            </w:r>
          </w:p>
        </w:tc>
        <w:tc>
          <w:tcPr>
            <w:tcW w:w="591" w:type="dxa"/>
            <w:tcBorders>
              <w:bottom w:val="single" w:sz="4" w:space="0" w:color="000000"/>
            </w:tcBorders>
          </w:tcPr>
          <w:p>
            <w:pPr>
              <w:pStyle w:val="TableParagraph"/>
              <w:spacing w:before="36"/>
              <w:ind w:right="57"/>
              <w:jc w:val="right"/>
              <w:rPr>
                <w:b/>
                <w:sz w:val="13"/>
              </w:rPr>
            </w:pPr>
            <w:r>
              <w:rPr>
                <w:b/>
                <w:sz w:val="13"/>
              </w:rPr>
              <w:t>100,00%</w:t>
            </w:r>
          </w:p>
        </w:tc>
        <w:tc>
          <w:tcPr>
            <w:tcW w:w="974" w:type="dxa"/>
            <w:tcBorders>
              <w:bottom w:val="single" w:sz="4" w:space="0" w:color="000000"/>
            </w:tcBorders>
          </w:tcPr>
          <w:p>
            <w:pPr>
              <w:pStyle w:val="TableParagraph"/>
              <w:spacing w:before="36"/>
              <w:ind w:right="58"/>
              <w:jc w:val="right"/>
              <w:rPr>
                <w:b/>
                <w:sz w:val="13"/>
              </w:rPr>
            </w:pPr>
            <w:r>
              <w:rPr>
                <w:b/>
                <w:sz w:val="13"/>
              </w:rPr>
              <w:t>579.360.684,03</w:t>
            </w:r>
          </w:p>
        </w:tc>
        <w:tc>
          <w:tcPr>
            <w:tcW w:w="592" w:type="dxa"/>
            <w:tcBorders>
              <w:bottom w:val="single" w:sz="4" w:space="0" w:color="000000"/>
            </w:tcBorders>
          </w:tcPr>
          <w:p>
            <w:pPr>
              <w:pStyle w:val="TableParagraph"/>
              <w:spacing w:before="36"/>
              <w:ind w:right="59"/>
              <w:jc w:val="right"/>
              <w:rPr>
                <w:b/>
                <w:sz w:val="13"/>
              </w:rPr>
            </w:pPr>
            <w:r>
              <w:rPr>
                <w:b/>
                <w:sz w:val="13"/>
              </w:rPr>
              <w:t>100,00%</w:t>
            </w:r>
          </w:p>
        </w:tc>
        <w:tc>
          <w:tcPr>
            <w:tcW w:w="977" w:type="dxa"/>
            <w:tcBorders>
              <w:bottom w:val="single" w:sz="4" w:space="0" w:color="000000"/>
            </w:tcBorders>
          </w:tcPr>
          <w:p>
            <w:pPr>
              <w:pStyle w:val="TableParagraph"/>
              <w:spacing w:before="36"/>
              <w:ind w:right="61"/>
              <w:jc w:val="right"/>
              <w:rPr>
                <w:b/>
                <w:sz w:val="13"/>
              </w:rPr>
            </w:pPr>
            <w:r>
              <w:rPr>
                <w:b/>
                <w:sz w:val="13"/>
              </w:rPr>
              <w:t>646.765.970,01</w:t>
            </w:r>
          </w:p>
        </w:tc>
        <w:tc>
          <w:tcPr>
            <w:tcW w:w="592" w:type="dxa"/>
            <w:tcBorders>
              <w:bottom w:val="single" w:sz="4" w:space="0" w:color="000000"/>
            </w:tcBorders>
          </w:tcPr>
          <w:p>
            <w:pPr>
              <w:pStyle w:val="TableParagraph"/>
              <w:spacing w:before="36"/>
              <w:ind w:left="33" w:right="34"/>
              <w:jc w:val="center"/>
              <w:rPr>
                <w:b/>
                <w:sz w:val="13"/>
              </w:rPr>
            </w:pPr>
            <w:r>
              <w:rPr>
                <w:b/>
                <w:w w:val="105"/>
                <w:sz w:val="13"/>
              </w:rPr>
              <w:t>100,00%</w:t>
            </w:r>
          </w:p>
        </w:tc>
      </w:tr>
    </w:tbl>
    <w:p>
      <w:pPr>
        <w:pStyle w:val="BodyText"/>
        <w:spacing w:before="3"/>
        <w:rPr>
          <w:b/>
          <w:sz w:val="16"/>
        </w:rPr>
      </w:pPr>
    </w:p>
    <w:p>
      <w:pPr>
        <w:pStyle w:val="BodyText"/>
        <w:spacing w:line="242" w:lineRule="auto"/>
        <w:ind w:left="2096" w:right="1143" w:firstLine="594"/>
        <w:jc w:val="both"/>
      </w:pPr>
      <w:r>
        <w:rPr/>
        <w:t>Para el ejercicio 2022 se ha calculado el gasto territorializado per cápita, en base a los datos de población del ISTAC del año 2021. Los datos que se obtienen son los siguientes:</w:t>
      </w:r>
    </w:p>
    <w:p>
      <w:pPr>
        <w:pStyle w:val="BodyText"/>
        <w:spacing w:before="6"/>
        <w:rPr>
          <w:sz w:val="16"/>
        </w:rPr>
      </w:pPr>
    </w:p>
    <w:p>
      <w:pPr>
        <w:pStyle w:val="Heading1"/>
        <w:ind w:left="954"/>
      </w:pPr>
      <w:r>
        <w:rPr/>
        <w:t>Gastos per cápita 2022</w:t>
      </w:r>
    </w:p>
    <w:p>
      <w:pPr>
        <w:pStyle w:val="BodyText"/>
        <w:spacing w:before="7"/>
        <w:rPr>
          <w:b/>
          <w:sz w:val="16"/>
        </w:rPr>
      </w:pPr>
    </w:p>
    <w:tbl>
      <w:tblPr>
        <w:tblW w:w="0" w:type="auto"/>
        <w:jc w:val="left"/>
        <w:tblInd w:w="2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8"/>
        <w:gridCol w:w="1266"/>
        <w:gridCol w:w="1124"/>
        <w:gridCol w:w="987"/>
        <w:gridCol w:w="1247"/>
      </w:tblGrid>
      <w:tr>
        <w:trPr>
          <w:trHeight w:val="552" w:hRule="atLeast"/>
        </w:trPr>
        <w:tc>
          <w:tcPr>
            <w:tcW w:w="1208" w:type="dxa"/>
            <w:tcBorders>
              <w:bottom w:val="single" w:sz="4" w:space="0" w:color="000000"/>
            </w:tcBorders>
          </w:tcPr>
          <w:p>
            <w:pPr>
              <w:pStyle w:val="TableParagraph"/>
              <w:rPr>
                <w:rFonts w:ascii="Times New Roman"/>
                <w:sz w:val="12"/>
              </w:rPr>
            </w:pPr>
          </w:p>
        </w:tc>
        <w:tc>
          <w:tcPr>
            <w:tcW w:w="1266" w:type="dxa"/>
            <w:tcBorders>
              <w:top w:val="single" w:sz="4" w:space="0" w:color="000000"/>
            </w:tcBorders>
            <w:shd w:val="clear" w:color="auto" w:fill="DEEAF6"/>
          </w:tcPr>
          <w:p>
            <w:pPr>
              <w:pStyle w:val="TableParagraph"/>
              <w:spacing w:line="242" w:lineRule="auto" w:before="92"/>
              <w:ind w:left="358" w:right="102" w:hanging="216"/>
              <w:rPr>
                <w:b/>
                <w:sz w:val="15"/>
              </w:rPr>
            </w:pPr>
            <w:r>
              <w:rPr>
                <w:b/>
                <w:sz w:val="15"/>
              </w:rPr>
              <w:t>Población ISTAC año 2021</w:t>
            </w:r>
          </w:p>
        </w:tc>
        <w:tc>
          <w:tcPr>
            <w:tcW w:w="1124" w:type="dxa"/>
            <w:tcBorders>
              <w:top w:val="single" w:sz="4" w:space="0" w:color="000000"/>
            </w:tcBorders>
            <w:shd w:val="clear" w:color="auto" w:fill="DEEAF6"/>
          </w:tcPr>
          <w:p>
            <w:pPr>
              <w:pStyle w:val="TableParagraph"/>
              <w:spacing w:line="242" w:lineRule="auto"/>
              <w:ind w:left="122" w:right="96" w:firstLine="102"/>
              <w:rPr>
                <w:b/>
                <w:sz w:val="15"/>
              </w:rPr>
            </w:pPr>
            <w:r>
              <w:rPr>
                <w:b/>
                <w:sz w:val="15"/>
              </w:rPr>
              <w:t>Capitulo IV transferencias</w:t>
            </w:r>
          </w:p>
          <w:p>
            <w:pPr>
              <w:pStyle w:val="TableParagraph"/>
              <w:spacing w:line="162" w:lineRule="exact"/>
              <w:ind w:left="251"/>
              <w:rPr>
                <w:b/>
                <w:sz w:val="15"/>
              </w:rPr>
            </w:pPr>
            <w:r>
              <w:rPr>
                <w:b/>
                <w:sz w:val="15"/>
              </w:rPr>
              <w:t>corrientes</w:t>
            </w:r>
          </w:p>
        </w:tc>
        <w:tc>
          <w:tcPr>
            <w:tcW w:w="987" w:type="dxa"/>
            <w:tcBorders>
              <w:top w:val="single" w:sz="4" w:space="0" w:color="000000"/>
            </w:tcBorders>
            <w:shd w:val="clear" w:color="auto" w:fill="DEEAF6"/>
          </w:tcPr>
          <w:p>
            <w:pPr>
              <w:pStyle w:val="TableParagraph"/>
              <w:spacing w:line="242" w:lineRule="auto" w:before="92"/>
              <w:ind w:left="114" w:right="142" w:firstLine="14"/>
              <w:rPr>
                <w:b/>
                <w:sz w:val="15"/>
              </w:rPr>
            </w:pPr>
            <w:r>
              <w:rPr>
                <w:b/>
                <w:sz w:val="15"/>
              </w:rPr>
              <w:t>Capítulo VI inversiones</w:t>
            </w:r>
          </w:p>
        </w:tc>
        <w:tc>
          <w:tcPr>
            <w:tcW w:w="1247" w:type="dxa"/>
            <w:tcBorders>
              <w:top w:val="single" w:sz="4" w:space="0" w:color="000000"/>
            </w:tcBorders>
            <w:shd w:val="clear" w:color="auto" w:fill="DEEAF6"/>
          </w:tcPr>
          <w:p>
            <w:pPr>
              <w:pStyle w:val="TableParagraph"/>
              <w:spacing w:line="242" w:lineRule="auto"/>
              <w:ind w:left="161" w:right="191"/>
              <w:jc w:val="center"/>
              <w:rPr>
                <w:b/>
                <w:sz w:val="15"/>
              </w:rPr>
            </w:pPr>
            <w:r>
              <w:rPr>
                <w:b/>
                <w:sz w:val="15"/>
              </w:rPr>
              <w:t>Capitulo VII transferencias</w:t>
            </w:r>
          </w:p>
          <w:p>
            <w:pPr>
              <w:pStyle w:val="TableParagraph"/>
              <w:spacing w:line="162" w:lineRule="exact"/>
              <w:ind w:left="161" w:right="190"/>
              <w:jc w:val="center"/>
              <w:rPr>
                <w:b/>
                <w:sz w:val="15"/>
              </w:rPr>
            </w:pPr>
            <w:r>
              <w:rPr>
                <w:b/>
                <w:sz w:val="15"/>
              </w:rPr>
              <w:t>Capital</w:t>
            </w:r>
          </w:p>
        </w:tc>
      </w:tr>
    </w:tbl>
    <w:p>
      <w:pPr>
        <w:pStyle w:val="BodyText"/>
        <w:spacing w:before="2" w:after="1"/>
        <w:rPr>
          <w:b/>
          <w:sz w:val="5"/>
        </w:rPr>
      </w:pPr>
    </w:p>
    <w:tbl>
      <w:tblPr>
        <w:tblW w:w="0" w:type="auto"/>
        <w:jc w:val="left"/>
        <w:tblInd w:w="2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1"/>
        <w:gridCol w:w="1335"/>
        <w:gridCol w:w="1085"/>
        <w:gridCol w:w="1066"/>
        <w:gridCol w:w="967"/>
      </w:tblGrid>
      <w:tr>
        <w:trPr>
          <w:trHeight w:val="201" w:hRule="atLeast"/>
        </w:trPr>
        <w:tc>
          <w:tcPr>
            <w:tcW w:w="1391" w:type="dxa"/>
          </w:tcPr>
          <w:p>
            <w:pPr>
              <w:pStyle w:val="TableParagraph"/>
              <w:spacing w:line="154" w:lineRule="exact"/>
              <w:ind w:left="70"/>
              <w:rPr>
                <w:sz w:val="15"/>
              </w:rPr>
            </w:pPr>
            <w:r>
              <w:rPr>
                <w:sz w:val="15"/>
              </w:rPr>
              <w:t>Fuerteventura</w:t>
            </w:r>
          </w:p>
        </w:tc>
        <w:tc>
          <w:tcPr>
            <w:tcW w:w="1335" w:type="dxa"/>
          </w:tcPr>
          <w:p>
            <w:pPr>
              <w:pStyle w:val="TableParagraph"/>
              <w:spacing w:line="154" w:lineRule="exact"/>
              <w:ind w:right="275"/>
              <w:jc w:val="right"/>
              <w:rPr>
                <w:sz w:val="15"/>
              </w:rPr>
            </w:pPr>
            <w:r>
              <w:rPr>
                <w:sz w:val="15"/>
              </w:rPr>
              <w:t>120.021</w:t>
            </w:r>
          </w:p>
        </w:tc>
        <w:tc>
          <w:tcPr>
            <w:tcW w:w="1085" w:type="dxa"/>
          </w:tcPr>
          <w:p>
            <w:pPr>
              <w:pStyle w:val="TableParagraph"/>
              <w:spacing w:line="154" w:lineRule="exact"/>
              <w:ind w:left="257" w:right="142"/>
              <w:jc w:val="center"/>
              <w:rPr>
                <w:sz w:val="15"/>
              </w:rPr>
            </w:pPr>
            <w:r>
              <w:rPr>
                <w:sz w:val="15"/>
              </w:rPr>
              <w:t>677,81</w:t>
            </w:r>
          </w:p>
        </w:tc>
        <w:tc>
          <w:tcPr>
            <w:tcW w:w="1066" w:type="dxa"/>
          </w:tcPr>
          <w:p>
            <w:pPr>
              <w:pStyle w:val="TableParagraph"/>
              <w:spacing w:line="154" w:lineRule="exact"/>
              <w:ind w:right="372"/>
              <w:jc w:val="right"/>
              <w:rPr>
                <w:sz w:val="15"/>
              </w:rPr>
            </w:pPr>
            <w:r>
              <w:rPr>
                <w:sz w:val="15"/>
              </w:rPr>
              <w:t>330,52</w:t>
            </w:r>
          </w:p>
        </w:tc>
        <w:tc>
          <w:tcPr>
            <w:tcW w:w="967" w:type="dxa"/>
          </w:tcPr>
          <w:p>
            <w:pPr>
              <w:pStyle w:val="TableParagraph"/>
              <w:spacing w:line="154" w:lineRule="exact"/>
              <w:ind w:right="59"/>
              <w:jc w:val="right"/>
              <w:rPr>
                <w:sz w:val="15"/>
              </w:rPr>
            </w:pPr>
            <w:r>
              <w:rPr>
                <w:sz w:val="15"/>
              </w:rPr>
              <w:t>247,55</w:t>
            </w:r>
          </w:p>
        </w:tc>
      </w:tr>
      <w:tr>
        <w:trPr>
          <w:trHeight w:val="251" w:hRule="atLeast"/>
        </w:trPr>
        <w:tc>
          <w:tcPr>
            <w:tcW w:w="1391" w:type="dxa"/>
          </w:tcPr>
          <w:p>
            <w:pPr>
              <w:pStyle w:val="TableParagraph"/>
              <w:spacing w:before="21"/>
              <w:ind w:left="70"/>
              <w:rPr>
                <w:sz w:val="15"/>
              </w:rPr>
            </w:pPr>
            <w:r>
              <w:rPr>
                <w:sz w:val="15"/>
              </w:rPr>
              <w:t>Lanzarote</w:t>
            </w:r>
          </w:p>
        </w:tc>
        <w:tc>
          <w:tcPr>
            <w:tcW w:w="1335" w:type="dxa"/>
          </w:tcPr>
          <w:p>
            <w:pPr>
              <w:pStyle w:val="TableParagraph"/>
              <w:spacing w:before="21"/>
              <w:ind w:right="275"/>
              <w:jc w:val="right"/>
              <w:rPr>
                <w:sz w:val="15"/>
              </w:rPr>
            </w:pPr>
            <w:r>
              <w:rPr>
                <w:sz w:val="15"/>
              </w:rPr>
              <w:t>156.112</w:t>
            </w:r>
          </w:p>
        </w:tc>
        <w:tc>
          <w:tcPr>
            <w:tcW w:w="1085" w:type="dxa"/>
          </w:tcPr>
          <w:p>
            <w:pPr>
              <w:pStyle w:val="TableParagraph"/>
              <w:spacing w:before="21"/>
              <w:ind w:left="257" w:right="142"/>
              <w:jc w:val="center"/>
              <w:rPr>
                <w:sz w:val="15"/>
              </w:rPr>
            </w:pPr>
            <w:r>
              <w:rPr>
                <w:sz w:val="15"/>
              </w:rPr>
              <w:t>698,74</w:t>
            </w:r>
          </w:p>
        </w:tc>
        <w:tc>
          <w:tcPr>
            <w:tcW w:w="1066" w:type="dxa"/>
          </w:tcPr>
          <w:p>
            <w:pPr>
              <w:pStyle w:val="TableParagraph"/>
              <w:spacing w:before="21"/>
              <w:ind w:right="372"/>
              <w:jc w:val="right"/>
              <w:rPr>
                <w:sz w:val="15"/>
              </w:rPr>
            </w:pPr>
            <w:r>
              <w:rPr>
                <w:sz w:val="15"/>
              </w:rPr>
              <w:t>79,27</w:t>
            </w:r>
          </w:p>
        </w:tc>
        <w:tc>
          <w:tcPr>
            <w:tcW w:w="967" w:type="dxa"/>
          </w:tcPr>
          <w:p>
            <w:pPr>
              <w:pStyle w:val="TableParagraph"/>
              <w:spacing w:before="21"/>
              <w:ind w:right="59"/>
              <w:jc w:val="right"/>
              <w:rPr>
                <w:sz w:val="15"/>
              </w:rPr>
            </w:pPr>
            <w:r>
              <w:rPr>
                <w:sz w:val="15"/>
              </w:rPr>
              <w:t>250,89</w:t>
            </w:r>
          </w:p>
        </w:tc>
      </w:tr>
      <w:tr>
        <w:trPr>
          <w:trHeight w:val="251" w:hRule="atLeast"/>
        </w:trPr>
        <w:tc>
          <w:tcPr>
            <w:tcW w:w="1391" w:type="dxa"/>
          </w:tcPr>
          <w:p>
            <w:pPr>
              <w:pStyle w:val="TableParagraph"/>
              <w:spacing w:before="21"/>
              <w:ind w:left="70"/>
              <w:rPr>
                <w:sz w:val="15"/>
              </w:rPr>
            </w:pPr>
            <w:r>
              <w:rPr>
                <w:sz w:val="15"/>
              </w:rPr>
              <w:t>Gran canaria</w:t>
            </w:r>
          </w:p>
        </w:tc>
        <w:tc>
          <w:tcPr>
            <w:tcW w:w="1335" w:type="dxa"/>
          </w:tcPr>
          <w:p>
            <w:pPr>
              <w:pStyle w:val="TableParagraph"/>
              <w:spacing w:before="21"/>
              <w:ind w:right="275"/>
              <w:jc w:val="right"/>
              <w:rPr>
                <w:sz w:val="15"/>
              </w:rPr>
            </w:pPr>
            <w:r>
              <w:rPr>
                <w:sz w:val="15"/>
              </w:rPr>
              <w:t>853.262</w:t>
            </w:r>
          </w:p>
        </w:tc>
        <w:tc>
          <w:tcPr>
            <w:tcW w:w="1085" w:type="dxa"/>
          </w:tcPr>
          <w:p>
            <w:pPr>
              <w:pStyle w:val="TableParagraph"/>
              <w:spacing w:before="21"/>
              <w:ind w:left="257" w:right="256"/>
              <w:jc w:val="center"/>
              <w:rPr>
                <w:sz w:val="15"/>
              </w:rPr>
            </w:pPr>
            <w:r>
              <w:rPr>
                <w:sz w:val="15"/>
              </w:rPr>
              <w:t>1.012,95</w:t>
            </w:r>
          </w:p>
        </w:tc>
        <w:tc>
          <w:tcPr>
            <w:tcW w:w="1066" w:type="dxa"/>
          </w:tcPr>
          <w:p>
            <w:pPr>
              <w:pStyle w:val="TableParagraph"/>
              <w:spacing w:before="21"/>
              <w:ind w:right="372"/>
              <w:jc w:val="right"/>
              <w:rPr>
                <w:sz w:val="15"/>
              </w:rPr>
            </w:pPr>
            <w:r>
              <w:rPr>
                <w:sz w:val="15"/>
              </w:rPr>
              <w:t>114,17</w:t>
            </w:r>
          </w:p>
        </w:tc>
        <w:tc>
          <w:tcPr>
            <w:tcW w:w="967" w:type="dxa"/>
          </w:tcPr>
          <w:p>
            <w:pPr>
              <w:pStyle w:val="TableParagraph"/>
              <w:spacing w:before="21"/>
              <w:ind w:right="59"/>
              <w:jc w:val="right"/>
              <w:rPr>
                <w:sz w:val="15"/>
              </w:rPr>
            </w:pPr>
            <w:r>
              <w:rPr>
                <w:sz w:val="15"/>
              </w:rPr>
              <w:t>180,87</w:t>
            </w:r>
          </w:p>
        </w:tc>
      </w:tr>
      <w:tr>
        <w:trPr>
          <w:trHeight w:val="251" w:hRule="atLeast"/>
        </w:trPr>
        <w:tc>
          <w:tcPr>
            <w:tcW w:w="1391" w:type="dxa"/>
          </w:tcPr>
          <w:p>
            <w:pPr>
              <w:pStyle w:val="TableParagraph"/>
              <w:spacing w:before="21"/>
              <w:ind w:left="70"/>
              <w:rPr>
                <w:sz w:val="15"/>
              </w:rPr>
            </w:pPr>
            <w:r>
              <w:rPr>
                <w:sz w:val="15"/>
              </w:rPr>
              <w:t>La gomera</w:t>
            </w:r>
          </w:p>
        </w:tc>
        <w:tc>
          <w:tcPr>
            <w:tcW w:w="1335" w:type="dxa"/>
          </w:tcPr>
          <w:p>
            <w:pPr>
              <w:pStyle w:val="TableParagraph"/>
              <w:spacing w:before="21"/>
              <w:ind w:right="275"/>
              <w:jc w:val="right"/>
              <w:rPr>
                <w:sz w:val="15"/>
              </w:rPr>
            </w:pPr>
            <w:r>
              <w:rPr>
                <w:sz w:val="15"/>
              </w:rPr>
              <w:t>21.798</w:t>
            </w:r>
          </w:p>
        </w:tc>
        <w:tc>
          <w:tcPr>
            <w:tcW w:w="1085" w:type="dxa"/>
          </w:tcPr>
          <w:p>
            <w:pPr>
              <w:pStyle w:val="TableParagraph"/>
              <w:spacing w:before="21"/>
              <w:ind w:left="257" w:right="256"/>
              <w:jc w:val="center"/>
              <w:rPr>
                <w:sz w:val="15"/>
              </w:rPr>
            </w:pPr>
            <w:r>
              <w:rPr>
                <w:sz w:val="15"/>
              </w:rPr>
              <w:t>1.644,02</w:t>
            </w:r>
          </w:p>
        </w:tc>
        <w:tc>
          <w:tcPr>
            <w:tcW w:w="1066" w:type="dxa"/>
          </w:tcPr>
          <w:p>
            <w:pPr>
              <w:pStyle w:val="TableParagraph"/>
              <w:spacing w:before="21"/>
              <w:ind w:right="372"/>
              <w:jc w:val="right"/>
              <w:rPr>
                <w:sz w:val="15"/>
              </w:rPr>
            </w:pPr>
            <w:r>
              <w:rPr>
                <w:sz w:val="15"/>
              </w:rPr>
              <w:t>628,51</w:t>
            </w:r>
          </w:p>
        </w:tc>
        <w:tc>
          <w:tcPr>
            <w:tcW w:w="967" w:type="dxa"/>
          </w:tcPr>
          <w:p>
            <w:pPr>
              <w:pStyle w:val="TableParagraph"/>
              <w:spacing w:before="21"/>
              <w:ind w:right="59"/>
              <w:jc w:val="right"/>
              <w:rPr>
                <w:sz w:val="15"/>
              </w:rPr>
            </w:pPr>
            <w:r>
              <w:rPr>
                <w:sz w:val="15"/>
              </w:rPr>
              <w:t>1.253,53</w:t>
            </w:r>
          </w:p>
        </w:tc>
      </w:tr>
      <w:tr>
        <w:trPr>
          <w:trHeight w:val="251" w:hRule="atLeast"/>
        </w:trPr>
        <w:tc>
          <w:tcPr>
            <w:tcW w:w="1391" w:type="dxa"/>
          </w:tcPr>
          <w:p>
            <w:pPr>
              <w:pStyle w:val="TableParagraph"/>
              <w:spacing w:before="21"/>
              <w:ind w:left="70"/>
              <w:rPr>
                <w:sz w:val="15"/>
              </w:rPr>
            </w:pPr>
            <w:r>
              <w:rPr>
                <w:sz w:val="15"/>
              </w:rPr>
              <w:t>El hierro</w:t>
            </w:r>
          </w:p>
        </w:tc>
        <w:tc>
          <w:tcPr>
            <w:tcW w:w="1335" w:type="dxa"/>
          </w:tcPr>
          <w:p>
            <w:pPr>
              <w:pStyle w:val="TableParagraph"/>
              <w:spacing w:before="21"/>
              <w:ind w:right="275"/>
              <w:jc w:val="right"/>
              <w:rPr>
                <w:sz w:val="15"/>
              </w:rPr>
            </w:pPr>
            <w:r>
              <w:rPr>
                <w:sz w:val="15"/>
              </w:rPr>
              <w:t>11.423</w:t>
            </w:r>
          </w:p>
        </w:tc>
        <w:tc>
          <w:tcPr>
            <w:tcW w:w="1085" w:type="dxa"/>
          </w:tcPr>
          <w:p>
            <w:pPr>
              <w:pStyle w:val="TableParagraph"/>
              <w:spacing w:before="21"/>
              <w:ind w:left="257" w:right="256"/>
              <w:jc w:val="center"/>
              <w:rPr>
                <w:sz w:val="15"/>
              </w:rPr>
            </w:pPr>
            <w:r>
              <w:rPr>
                <w:sz w:val="15"/>
              </w:rPr>
              <w:t>2.233,22</w:t>
            </w:r>
          </w:p>
        </w:tc>
        <w:tc>
          <w:tcPr>
            <w:tcW w:w="1066" w:type="dxa"/>
          </w:tcPr>
          <w:p>
            <w:pPr>
              <w:pStyle w:val="TableParagraph"/>
              <w:spacing w:before="21"/>
              <w:ind w:right="372"/>
              <w:jc w:val="right"/>
              <w:rPr>
                <w:sz w:val="15"/>
              </w:rPr>
            </w:pPr>
            <w:r>
              <w:rPr>
                <w:sz w:val="15"/>
              </w:rPr>
              <w:t>551,62</w:t>
            </w:r>
          </w:p>
        </w:tc>
        <w:tc>
          <w:tcPr>
            <w:tcW w:w="967" w:type="dxa"/>
          </w:tcPr>
          <w:p>
            <w:pPr>
              <w:pStyle w:val="TableParagraph"/>
              <w:spacing w:before="21"/>
              <w:ind w:right="59"/>
              <w:jc w:val="right"/>
              <w:rPr>
                <w:sz w:val="15"/>
              </w:rPr>
            </w:pPr>
            <w:r>
              <w:rPr>
                <w:sz w:val="15"/>
              </w:rPr>
              <w:t>577,65</w:t>
            </w:r>
          </w:p>
        </w:tc>
      </w:tr>
      <w:tr>
        <w:trPr>
          <w:trHeight w:val="251" w:hRule="atLeast"/>
        </w:trPr>
        <w:tc>
          <w:tcPr>
            <w:tcW w:w="1391" w:type="dxa"/>
          </w:tcPr>
          <w:p>
            <w:pPr>
              <w:pStyle w:val="TableParagraph"/>
              <w:spacing w:before="21"/>
              <w:ind w:left="70"/>
              <w:rPr>
                <w:sz w:val="15"/>
              </w:rPr>
            </w:pPr>
            <w:r>
              <w:rPr>
                <w:sz w:val="15"/>
              </w:rPr>
              <w:t>La palma</w:t>
            </w:r>
          </w:p>
        </w:tc>
        <w:tc>
          <w:tcPr>
            <w:tcW w:w="1335" w:type="dxa"/>
          </w:tcPr>
          <w:p>
            <w:pPr>
              <w:pStyle w:val="TableParagraph"/>
              <w:spacing w:before="21"/>
              <w:ind w:right="275"/>
              <w:jc w:val="right"/>
              <w:rPr>
                <w:sz w:val="15"/>
              </w:rPr>
            </w:pPr>
            <w:r>
              <w:rPr>
                <w:sz w:val="15"/>
              </w:rPr>
              <w:t>83.439</w:t>
            </w:r>
          </w:p>
        </w:tc>
        <w:tc>
          <w:tcPr>
            <w:tcW w:w="1085" w:type="dxa"/>
          </w:tcPr>
          <w:p>
            <w:pPr>
              <w:pStyle w:val="TableParagraph"/>
              <w:spacing w:before="21"/>
              <w:ind w:left="257" w:right="256"/>
              <w:jc w:val="center"/>
              <w:rPr>
                <w:sz w:val="15"/>
              </w:rPr>
            </w:pPr>
            <w:r>
              <w:rPr>
                <w:sz w:val="15"/>
              </w:rPr>
              <w:t>2.089,42</w:t>
            </w:r>
          </w:p>
        </w:tc>
        <w:tc>
          <w:tcPr>
            <w:tcW w:w="1066" w:type="dxa"/>
          </w:tcPr>
          <w:p>
            <w:pPr>
              <w:pStyle w:val="TableParagraph"/>
              <w:spacing w:before="21"/>
              <w:ind w:right="372"/>
              <w:jc w:val="right"/>
              <w:rPr>
                <w:sz w:val="15"/>
              </w:rPr>
            </w:pPr>
            <w:r>
              <w:rPr>
                <w:sz w:val="15"/>
              </w:rPr>
              <w:t>494,68</w:t>
            </w:r>
          </w:p>
        </w:tc>
        <w:tc>
          <w:tcPr>
            <w:tcW w:w="967" w:type="dxa"/>
          </w:tcPr>
          <w:p>
            <w:pPr>
              <w:pStyle w:val="TableParagraph"/>
              <w:spacing w:before="21"/>
              <w:ind w:right="59"/>
              <w:jc w:val="right"/>
              <w:rPr>
                <w:sz w:val="15"/>
              </w:rPr>
            </w:pPr>
            <w:r>
              <w:rPr>
                <w:sz w:val="15"/>
              </w:rPr>
              <w:t>1.009,13</w:t>
            </w:r>
          </w:p>
        </w:tc>
      </w:tr>
      <w:tr>
        <w:trPr>
          <w:trHeight w:val="251" w:hRule="atLeast"/>
        </w:trPr>
        <w:tc>
          <w:tcPr>
            <w:tcW w:w="1391" w:type="dxa"/>
          </w:tcPr>
          <w:p>
            <w:pPr>
              <w:pStyle w:val="TableParagraph"/>
              <w:spacing w:before="21"/>
              <w:ind w:left="70"/>
              <w:rPr>
                <w:sz w:val="15"/>
              </w:rPr>
            </w:pPr>
            <w:r>
              <w:rPr>
                <w:sz w:val="15"/>
              </w:rPr>
              <w:t>Tenerife</w:t>
            </w:r>
          </w:p>
        </w:tc>
        <w:tc>
          <w:tcPr>
            <w:tcW w:w="1335" w:type="dxa"/>
          </w:tcPr>
          <w:p>
            <w:pPr>
              <w:pStyle w:val="TableParagraph"/>
              <w:spacing w:before="21"/>
              <w:ind w:right="275"/>
              <w:jc w:val="right"/>
              <w:rPr>
                <w:sz w:val="15"/>
              </w:rPr>
            </w:pPr>
            <w:r>
              <w:rPr>
                <w:sz w:val="15"/>
              </w:rPr>
              <w:t>931.646</w:t>
            </w:r>
          </w:p>
        </w:tc>
        <w:tc>
          <w:tcPr>
            <w:tcW w:w="1085" w:type="dxa"/>
          </w:tcPr>
          <w:p>
            <w:pPr>
              <w:pStyle w:val="TableParagraph"/>
              <w:spacing w:before="21"/>
              <w:ind w:left="257" w:right="256"/>
              <w:jc w:val="center"/>
              <w:rPr>
                <w:sz w:val="15"/>
              </w:rPr>
            </w:pPr>
            <w:r>
              <w:rPr>
                <w:sz w:val="15"/>
              </w:rPr>
              <w:t>1.010,29</w:t>
            </w:r>
          </w:p>
        </w:tc>
        <w:tc>
          <w:tcPr>
            <w:tcW w:w="1066" w:type="dxa"/>
          </w:tcPr>
          <w:p>
            <w:pPr>
              <w:pStyle w:val="TableParagraph"/>
              <w:spacing w:before="21"/>
              <w:ind w:right="372"/>
              <w:jc w:val="right"/>
              <w:rPr>
                <w:sz w:val="15"/>
              </w:rPr>
            </w:pPr>
            <w:r>
              <w:rPr>
                <w:sz w:val="15"/>
              </w:rPr>
              <w:t>125,28</w:t>
            </w:r>
          </w:p>
        </w:tc>
        <w:tc>
          <w:tcPr>
            <w:tcW w:w="967" w:type="dxa"/>
          </w:tcPr>
          <w:p>
            <w:pPr>
              <w:pStyle w:val="TableParagraph"/>
              <w:spacing w:before="21"/>
              <w:ind w:right="59"/>
              <w:jc w:val="right"/>
              <w:rPr>
                <w:sz w:val="15"/>
              </w:rPr>
            </w:pPr>
            <w:r>
              <w:rPr>
                <w:sz w:val="15"/>
              </w:rPr>
              <w:t>196,38</w:t>
            </w:r>
          </w:p>
        </w:tc>
      </w:tr>
      <w:tr>
        <w:trPr>
          <w:trHeight w:val="237" w:hRule="atLeast"/>
        </w:trPr>
        <w:tc>
          <w:tcPr>
            <w:tcW w:w="1391" w:type="dxa"/>
            <w:tcBorders>
              <w:bottom w:val="single" w:sz="4" w:space="0" w:color="000000"/>
            </w:tcBorders>
          </w:tcPr>
          <w:p>
            <w:pPr>
              <w:pStyle w:val="TableParagraph"/>
              <w:spacing w:before="21"/>
              <w:ind w:left="453"/>
              <w:rPr>
                <w:b/>
                <w:sz w:val="15"/>
              </w:rPr>
            </w:pPr>
            <w:r>
              <w:rPr>
                <w:b/>
                <w:sz w:val="15"/>
              </w:rPr>
              <w:t>Total</w:t>
            </w:r>
          </w:p>
        </w:tc>
        <w:tc>
          <w:tcPr>
            <w:tcW w:w="1335" w:type="dxa"/>
            <w:tcBorders>
              <w:bottom w:val="single" w:sz="4" w:space="0" w:color="000000"/>
            </w:tcBorders>
          </w:tcPr>
          <w:p>
            <w:pPr>
              <w:pStyle w:val="TableParagraph"/>
              <w:spacing w:before="21"/>
              <w:ind w:right="275"/>
              <w:jc w:val="right"/>
              <w:rPr>
                <w:b/>
                <w:sz w:val="15"/>
              </w:rPr>
            </w:pPr>
            <w:r>
              <w:rPr>
                <w:b/>
                <w:sz w:val="15"/>
              </w:rPr>
              <w:t>2.177.701</w:t>
            </w:r>
          </w:p>
        </w:tc>
        <w:tc>
          <w:tcPr>
            <w:tcW w:w="1085" w:type="dxa"/>
            <w:tcBorders>
              <w:bottom w:val="single" w:sz="4" w:space="0" w:color="000000"/>
            </w:tcBorders>
          </w:tcPr>
          <w:p>
            <w:pPr>
              <w:pStyle w:val="TableParagraph"/>
              <w:spacing w:before="21"/>
              <w:ind w:left="257" w:right="256"/>
              <w:jc w:val="center"/>
              <w:rPr>
                <w:sz w:val="15"/>
              </w:rPr>
            </w:pPr>
            <w:r>
              <w:rPr>
                <w:sz w:val="15"/>
              </w:rPr>
              <w:t>1.356,46</w:t>
            </w:r>
          </w:p>
        </w:tc>
        <w:tc>
          <w:tcPr>
            <w:tcW w:w="1066" w:type="dxa"/>
            <w:tcBorders>
              <w:bottom w:val="single" w:sz="4" w:space="0" w:color="000000"/>
            </w:tcBorders>
          </w:tcPr>
          <w:p>
            <w:pPr>
              <w:pStyle w:val="TableParagraph"/>
              <w:spacing w:before="21"/>
              <w:ind w:right="372"/>
              <w:jc w:val="right"/>
              <w:rPr>
                <w:sz w:val="15"/>
              </w:rPr>
            </w:pPr>
            <w:r>
              <w:rPr>
                <w:sz w:val="15"/>
              </w:rPr>
              <w:t>219,28</w:t>
            </w:r>
          </w:p>
        </w:tc>
        <w:tc>
          <w:tcPr>
            <w:tcW w:w="967" w:type="dxa"/>
            <w:tcBorders>
              <w:bottom w:val="single" w:sz="4" w:space="0" w:color="000000"/>
            </w:tcBorders>
          </w:tcPr>
          <w:p>
            <w:pPr>
              <w:pStyle w:val="TableParagraph"/>
              <w:spacing w:before="21"/>
              <w:ind w:right="59"/>
              <w:jc w:val="right"/>
              <w:rPr>
                <w:sz w:val="15"/>
              </w:rPr>
            </w:pPr>
            <w:r>
              <w:rPr>
                <w:sz w:val="15"/>
              </w:rPr>
              <w:t>296,99</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1"/>
        </w:rPr>
      </w:pPr>
    </w:p>
    <w:p>
      <w:pPr>
        <w:pStyle w:val="BodyText"/>
        <w:spacing w:before="61"/>
        <w:ind w:left="7897"/>
        <w:jc w:val="center"/>
      </w:pPr>
      <w:r>
        <w:rPr/>
        <w:t>30</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71" name="image5.png"/>
                  <wp:cNvGraphicFramePr>
                    <a:graphicFrameLocks noChangeAspect="1"/>
                  </wp:cNvGraphicFramePr>
                  <a:graphic>
                    <a:graphicData uri="http://schemas.openxmlformats.org/drawingml/2006/picture">
                      <pic:pic>
                        <pic:nvPicPr>
                          <pic:cNvPr id="7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32/247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6"/>
        <w:rPr>
          <w:b/>
          <w:sz w:val="13"/>
        </w:rPr>
      </w:pPr>
      <w:r>
        <w:rPr/>
        <w:pict>
          <v:line style="position:absolute;mso-position-horizontal-relative:page;mso-position-vertical-relative:page;z-index:-323111936" from="226.423843pt,124.11692pt" to="446.163073pt,124.11692pt" stroked="true" strokeweight=".629697pt" strokecolor="#d9d9d9">
            <v:stroke dashstyle="solid"/>
            <w10:wrap type="none"/>
          </v:line>
        </w:pict>
      </w:r>
    </w:p>
    <w:p>
      <w:pPr>
        <w:pStyle w:val="BodyText"/>
        <w:ind w:left="2976"/>
      </w:pPr>
      <w:r>
        <w:rPr/>
        <w:pict>
          <v:group style="width:268.850pt;height:172.05pt;mso-position-horizontal-relative:char;mso-position-vertical-relative:line" coordorigin="0,0" coordsize="5377,3441">
            <v:shape style="position:absolute;left:4469;top:1840;width:470;height:448" coordorigin="4470,1841" coordsize="470,448" path="m4516,2231l4497,2231,4556,2289,4558,2289,4560,2287,4563,2285,4564,2283,4565,2283,4565,2281,4565,2281,4516,2231xm4521,2195l4518,2195,4470,2243,4470,2243,4470,2245,4471,2245,4471,2247,4472,2247,4474,2249,4475,2249,4476,2251,4477,2251,4478,2249,4497,2231,4516,2231,4506,2221,4525,2203,4526,2201,4525,2199,4525,2199,4524,2197,4522,2197,4521,2195xm4568,2147l4565,2147,4533,2179,4532,2181,4532,2181,4531,2185,4532,2185,4594,2247,4595,2249,4600,2249,4613,2235,4599,2235,4575,2209,4581,2203,4567,2203,4546,2181,4573,2155,4573,2155,4573,2153,4573,2151,4571,2151,4571,2149,4569,2149,4568,2147xm4629,2207l4626,2207,4599,2235,4613,2235,4633,2215,4633,2215,4633,2213,4633,2211,4632,2211,4632,2209,4630,2209,4629,2207xm4593,2179l4591,2179,4590,2181,4567,2203,4581,2203,4597,2187,4598,2187,4598,2185,4597,2185,4597,2183,4594,2181,4593,2181,4593,2179xm4601,2121l4591,2121,4590,2123,4589,2123,4585,2127,4584,2129,4583,2131,4583,2131,4583,2133,4583,2135,4585,2135,4647,2199,4649,2199,4650,2197,4652,2197,4652,2195,4654,2195,4655,2193,4656,2191,4657,2191,4656,2189,4610,2143,4607,2141,4602,2135,4600,2133,4641,2133,4601,2121xm4690,2157l4680,2157,4682,2159,4689,2159,4690,2157xm4661,2139l4619,2139,4678,2157,4692,2157,4693,2155,4696,2153,4697,2151,4697,2151,4697,2147,4697,2147,4697,2145,4676,2145,4673,2143,4671,2143,4669,2141,4666,2141,4661,2139xm4633,2081l4632,2081,4631,2083,4629,2083,4627,2085,4626,2085,4626,2087,4624,2089,4624,2091,4624,2091,4661,2127,4664,2131,4667,2133,4670,2137,4676,2143,4678,2145,4696,2145,4633,2081xm4656,2137l4612,2137,4616,2139,4659,2139,4656,2137xm4641,2133l4600,2133,4603,2135,4606,2135,4609,2137,4651,2137,4648,2135,4641,2133xm4691,2027l4686,2027,4653,2059,4653,2061,4652,2063,4653,2065,4654,2065,4716,2127,4721,2127,4734,2113,4720,2113,4696,2089,4704,2081,4688,2081,4667,2061,4694,2033,4694,2033,4694,2031,4693,2031,4693,2029,4692,2029,4691,2027xm4749,2085l4747,2085,4720,2113,4734,2113,4754,2093,4755,2093,4754,2091,4753,2089,4752,2089,4751,2087,4750,2087,4749,2085xm4715,2059l4711,2059,4688,2081,4704,2081,4718,2067,4719,2065,4719,2065,4718,2063,4718,2063,4717,2061,4716,2061,4715,2059xm4756,1983l4731,1983,4728,1987,4725,1987,4723,1989,4705,2009,4704,2009,4704,2011,4704,2013,4768,2077,4771,2077,4774,2075,4774,2075,4775,2073,4776,2073,4777,2071,4777,2071,4778,2069,4777,2067,4748,2039,4756,2031,4741,2031,4718,2009,4726,2001,4728,1999,4730,1997,4732,1997,4733,1995,4737,1993,4765,1993,4765,1991,4763,1989,4761,1987,4759,1985,4756,1983xm4813,2031l4781,2031,4803,2041,4807,2041,4808,2039,4810,2039,4811,2037,4812,2037,4813,2035,4813,2035,4814,2033,4813,2033,4813,2031xm4765,1993l4747,1993,4750,1995,4752,1997,4754,1999,4755,2001,4757,2005,4757,2011,4756,2013,4755,2017,4754,2019,4752,2021,4741,2031,4756,2031,4759,2029,4763,2027,4803,2027,4787,2021,4785,2019,4783,2019,4781,2017,4765,2017,4766,2015,4767,2013,4768,2009,4768,2007,4768,2001,4768,1999,4767,1997,4766,1995,4765,1993xm4803,2027l4771,2027,4774,2029,4778,2031,4811,2031,4810,2029,4808,2029,4803,2027xm4687,2025l4687,2027,4688,2027,4687,2025xm4771,1945l4768,1945,4765,1947,4763,1949,4763,1949,4762,1951,4762,1951,4761,1953,4762,1953,4827,2019,4830,2019,4832,2017,4834,2015,4834,2013,4836,2013,4836,2011,4836,2011,4836,2009,4771,1945xm4825,1891l4822,1891,4790,1923,4790,1923,4789,1927,4790,1927,4854,1991,4858,1991,4858,1989,4860,1989,4861,1987,4862,1987,4862,1985,4863,1985,4863,1983,4863,1983,4834,1955,4842,1947,4827,1947,4804,1923,4829,1899,4829,1897,4829,1895,4828,1895,4827,1893,4826,1893,4825,1891xm4751,1981l4736,1981,4734,1983,4753,1983,4751,1981xm4742,1979l4739,1981,4745,1981,4742,1979xm4855,1923l4851,1923,4827,1947,4842,1947,4858,1931,4858,1931,4858,1929,4858,1927,4857,1927,4857,1925,4855,1925,4855,1923xm4874,1841l4871,1841,4839,1875,4838,1875,4838,1877,4838,1879,4840,1881,4901,1941,4902,1943,4905,1943,4906,1941,4921,1927,4905,1927,4881,1903,4887,1897,4874,1897,4852,1875,4879,1849,4879,1849,4879,1847,4878,1845,4878,1845,4874,1841xm4936,1901l4932,1901,4905,1927,4921,1927,4939,1909,4939,1909,4940,1905,4939,1905,4938,1903,4937,1903,4936,1901xm4899,1873l4896,1873,4874,1897,4887,1897,4903,1881,4904,1881,4904,1879,4904,1877,4902,1877,4902,1875,4900,1875,4899,1873xe" filled="true" fillcolor="#585858" stroked="false">
              <v:path arrowok="t"/>
              <v:fill type="solid"/>
            </v:shape>
            <v:shape style="position:absolute;left:6;top:6;width:5365;height:3429" type="#_x0000_t202" filled="false" stroked="true" strokeweight=".629697pt" strokecolor="#d9d9d9">
              <v:textbox inset="0,0,0,0">
                <w:txbxContent>
                  <w:p>
                    <w:pPr>
                      <w:spacing w:before="126"/>
                      <w:ind w:left="990" w:right="0" w:firstLine="0"/>
                      <w:jc w:val="left"/>
                      <w:rPr>
                        <w:b/>
                        <w:sz w:val="16"/>
                      </w:rPr>
                    </w:pPr>
                    <w:r>
                      <w:rPr>
                        <w:b/>
                        <w:color w:val="585858"/>
                        <w:w w:val="105"/>
                        <w:sz w:val="16"/>
                      </w:rPr>
                      <w:t>GASTOS PER CÁPITA CAPITULOS IV, VI Y VII 2022</w:t>
                    </w:r>
                  </w:p>
                  <w:p>
                    <w:pPr>
                      <w:spacing w:before="113"/>
                      <w:ind w:left="0" w:right="4709" w:firstLine="0"/>
                      <w:jc w:val="right"/>
                      <w:rPr>
                        <w:sz w:val="15"/>
                      </w:rPr>
                    </w:pPr>
                    <w:r>
                      <w:rPr>
                        <w:color w:val="585858"/>
                        <w:sz w:val="15"/>
                      </w:rPr>
                      <w:t>2.500,00</w:t>
                    </w:r>
                  </w:p>
                  <w:p>
                    <w:pPr>
                      <w:spacing w:before="48"/>
                      <w:ind w:left="0" w:right="4709" w:firstLine="0"/>
                      <w:jc w:val="right"/>
                      <w:rPr>
                        <w:sz w:val="15"/>
                      </w:rPr>
                    </w:pPr>
                    <w:r>
                      <w:rPr>
                        <w:color w:val="585858"/>
                        <w:sz w:val="15"/>
                      </w:rPr>
                      <w:t>2.000,00</w:t>
                    </w:r>
                  </w:p>
                  <w:p>
                    <w:pPr>
                      <w:spacing w:before="48"/>
                      <w:ind w:left="0" w:right="4709" w:firstLine="0"/>
                      <w:jc w:val="right"/>
                      <w:rPr>
                        <w:sz w:val="15"/>
                      </w:rPr>
                    </w:pPr>
                    <w:r>
                      <w:rPr>
                        <w:color w:val="585858"/>
                        <w:sz w:val="15"/>
                      </w:rPr>
                      <w:t>1.500,00</w:t>
                    </w:r>
                  </w:p>
                  <w:p>
                    <w:pPr>
                      <w:spacing w:before="48"/>
                      <w:ind w:left="0" w:right="4709" w:firstLine="0"/>
                      <w:jc w:val="right"/>
                      <w:rPr>
                        <w:sz w:val="15"/>
                      </w:rPr>
                    </w:pPr>
                    <w:r>
                      <w:rPr>
                        <w:color w:val="585858"/>
                        <w:sz w:val="15"/>
                      </w:rPr>
                      <w:t>1.000,00</w:t>
                    </w:r>
                  </w:p>
                  <w:p>
                    <w:pPr>
                      <w:spacing w:before="47"/>
                      <w:ind w:left="0" w:right="4710" w:firstLine="0"/>
                      <w:jc w:val="right"/>
                      <w:rPr>
                        <w:sz w:val="15"/>
                      </w:rPr>
                    </w:pPr>
                    <w:r>
                      <w:rPr>
                        <w:color w:val="585858"/>
                        <w:sz w:val="15"/>
                      </w:rPr>
                      <w:t>500,00</w:t>
                    </w:r>
                  </w:p>
                  <w:p>
                    <w:pPr>
                      <w:spacing w:before="49"/>
                      <w:ind w:left="0" w:right="4710" w:firstLine="0"/>
                      <w:jc w:val="right"/>
                      <w:rPr>
                        <w:sz w:val="15"/>
                      </w:rPr>
                    </w:pPr>
                    <w:r>
                      <w:rPr>
                        <w:color w:val="585858"/>
                        <w:sz w:val="15"/>
                      </w:rPr>
                      <w:t>0,00</w:t>
                    </w: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0"/>
                      <w:rPr>
                        <w:sz w:val="15"/>
                      </w:rPr>
                    </w:pPr>
                  </w:p>
                  <w:p>
                    <w:pPr>
                      <w:tabs>
                        <w:tab w:pos="2849" w:val="left" w:leader="none"/>
                      </w:tabs>
                      <w:spacing w:line="372" w:lineRule="auto" w:before="1"/>
                      <w:ind w:left="773" w:right="864" w:firstLine="0"/>
                      <w:jc w:val="left"/>
                      <w:rPr>
                        <w:sz w:val="15"/>
                      </w:rPr>
                    </w:pPr>
                    <w:r>
                      <w:rPr>
                        <w:color w:val="585858"/>
                        <w:sz w:val="15"/>
                      </w:rPr>
                      <w:t>CAPITULO </w:t>
                    </w:r>
                    <w:r>
                      <w:rPr>
                        <w:color w:val="585858"/>
                        <w:spacing w:val="1"/>
                        <w:sz w:val="15"/>
                      </w:rPr>
                      <w:t> </w:t>
                    </w:r>
                    <w:r>
                      <w:rPr>
                        <w:color w:val="585858"/>
                        <w:sz w:val="15"/>
                      </w:rPr>
                      <w:t>IV TRANSF.CTES.</w:t>
                      <w:tab/>
                      <w:t>CAPITULO VI INVERSIONES CAPITULO VII TRANSF. CAPITAL</w:t>
                    </w:r>
                  </w:p>
                </w:txbxContent>
              </v:textbox>
              <v:stroke dashstyle="solid"/>
              <w10:wrap type="none"/>
            </v:shape>
          </v:group>
        </w:pict>
      </w:r>
      <w:r>
        <w:rPr/>
      </w:r>
    </w:p>
    <w:p>
      <w:pPr>
        <w:pStyle w:val="BodyText"/>
        <w:spacing w:before="4"/>
        <w:rPr>
          <w:b/>
          <w:sz w:val="10"/>
        </w:rPr>
      </w:pPr>
    </w:p>
    <w:p>
      <w:pPr>
        <w:pStyle w:val="ListParagraph"/>
        <w:numPr>
          <w:ilvl w:val="2"/>
          <w:numId w:val="10"/>
        </w:numPr>
        <w:tabs>
          <w:tab w:pos="2691" w:val="left" w:leader="none"/>
        </w:tabs>
        <w:spacing w:line="240" w:lineRule="auto" w:before="61" w:after="0"/>
        <w:ind w:left="2690" w:right="0" w:hanging="605"/>
        <w:jc w:val="left"/>
        <w:rPr>
          <w:b/>
          <w:sz w:val="20"/>
        </w:rPr>
      </w:pPr>
      <w:r>
        <w:rPr/>
        <w:pict>
          <v:group style="position:absolute;margin-left:226.423843pt;margin-top:-146.355789pt;width:219.75pt;height:51.9pt;mso-position-horizontal-relative:page;mso-position-vertical-relative:paragraph;z-index:-323112960" coordorigin="4528,-2927" coordsize="4395,1038">
            <v:shape style="position:absolute;left:4528;top:-2128;width:4395;height:2" coordorigin="4528,-2127" coordsize="4395,0" path="m8575,-2127l8923,-2127m8268,-2127l8480,-2127m8025,-2127l8174,-2127m7720,-2127l7930,-2127m7476,-2127l7503,-2127m7170,-2127l7380,-2127m6926,-2127l6953,-2127m6378,-2127l6832,-2127m5828,-2127l6282,-2127m5278,-2127l5731,-2127m4528,-2127l5183,-2127e" filled="false" stroked="true" strokeweight=".629697pt" strokecolor="#d9d9d9">
              <v:path arrowok="t"/>
              <v:stroke dashstyle="solid"/>
            </v:shape>
            <v:line style="position:absolute" from="5231,-2210" to="5231,-1896" stroked="true" strokeweight="4.735325pt" strokecolor="#4471c4">
              <v:stroke dashstyle="solid"/>
            </v:line>
            <v:line style="position:absolute" from="5780,-2220" to="5780,-1896" stroked="true" strokeweight="4.836077pt" strokecolor="#4471c4">
              <v:stroke dashstyle="solid"/>
            </v:line>
            <v:line style="position:absolute" from="4528,-2359" to="6832,-2359" stroked="true" strokeweight=".629697pt" strokecolor="#d9d9d9">
              <v:stroke dashstyle="solid"/>
            </v:line>
            <v:line style="position:absolute" from="6330,-2365" to="6330,-1896" stroked="true" strokeweight="4.836077pt" strokecolor="#4471c4">
              <v:stroke dashstyle="solid"/>
            </v:line>
            <v:shape style="position:absolute;left:4528;top:-2589;width:2852;height:230" coordorigin="4528,-2589" coordsize="2852,230" path="m6926,-2359l7073,-2359m6926,-2589l7380,-2589m4528,-2589l6832,-2589e" filled="false" stroked="true" strokeweight=".629697pt" strokecolor="#d9d9d9">
              <v:path arrowok="t"/>
              <v:stroke dashstyle="solid"/>
            </v:shape>
            <v:line style="position:absolute" from="6879,-2655" to="6879,-1896" stroked="true" strokeweight="4.735325pt" strokecolor="#4471c4">
              <v:stroke dashstyle="solid"/>
            </v:line>
            <v:shape style="position:absolute;left:4528;top:-2821;width:3402;height:462" coordorigin="4528,-2820" coordsize="3402,462" path="m7476,-2359l7930,-2359m7170,-2359l7380,-2359m7476,-2589l7930,-2589m7476,-2820l7930,-2820m4528,-2820l7380,-2820e" filled="false" stroked="true" strokeweight=".629697pt" strokecolor="#d9d9d9">
              <v:path arrowok="t"/>
              <v:stroke dashstyle="solid"/>
            </v:shape>
            <v:line style="position:absolute" from="7428,-2927" to="7428,-1896" stroked="true" strokeweight="4.836077pt" strokecolor="#4471c4">
              <v:stroke dashstyle="solid"/>
            </v:line>
            <v:shape style="position:absolute;left:8024;top:-2821;width:899;height:462" coordorigin="8025,-2820" coordsize="899,462" path="m8025,-2359l8923,-2359m8025,-2589l8923,-2589m8025,-2820l8923,-2820e" filled="false" stroked="true" strokeweight=".629697pt" strokecolor="#d9d9d9">
              <v:path arrowok="t"/>
              <v:stroke dashstyle="solid"/>
            </v:shape>
            <v:shape style="position:absolute;left:7977;top:-2861;width:551;height:965" coordorigin="7977,-2861" coordsize="551,965" path="m7977,-2861l7977,-1896m8527,-2363l8527,-1896e" filled="false" stroked="true" strokeweight="4.735325pt" strokecolor="#4471c4">
              <v:path arrowok="t"/>
              <v:stroke dashstyle="solid"/>
            </v:shape>
            <v:line style="position:absolute" from="5353,-2049" to="5353,-1896" stroked="true" strokeweight="4.836077pt" strokecolor="#ec7c30">
              <v:stroke dashstyle="solid"/>
            </v:line>
            <v:shape style="position:absolute;left:5854;top:-1950;width:645;height:54" coordorigin="5854,-1950" coordsize="645,54" path="m5949,-1934l5854,-1934,5854,-1896,5949,-1896,5949,-1934m6499,-1950l6402,-1950,6402,-1896,6499,-1896,6499,-1950e" filled="true" fillcolor="#ec7c30" stroked="false">
              <v:path arrowok="t"/>
              <v:fill type="solid"/>
            </v:shape>
            <v:line style="position:absolute" from="7049,-2127" to="7073,-2127" stroked="true" strokeweight=".629697pt" strokecolor="#d9d9d9">
              <v:stroke dashstyle="solid"/>
            </v:line>
            <v:line style="position:absolute" from="7001,-2188" to="7001,-1896" stroked="true" strokeweight="4.836077pt" strokecolor="#ec7c30">
              <v:stroke dashstyle="solid"/>
            </v:line>
            <v:line style="position:absolute" from="7597,-2127" to="7624,-2127" stroked="true" strokeweight=".629697pt" strokecolor="#d9d9d9">
              <v:stroke dashstyle="solid"/>
            </v:line>
            <v:line style="position:absolute" from="7550,-2151" to="7550,-1896" stroked="true" strokeweight="4.735325pt" strokecolor="#ec7c30">
              <v:stroke dashstyle="solid"/>
            </v:line>
            <v:line style="position:absolute" from="8099,-2125" to="8099,-1896" stroked="true" strokeweight="4.836077pt" strokecolor="#ec7c30">
              <v:stroke dashstyle="solid"/>
            </v:line>
            <v:rect style="position:absolute;left:8600;top:-1954;width:97;height:58" filled="true" fillcolor="#ec7c30" stroked="false">
              <v:fill type="solid"/>
            </v:rect>
            <v:shape style="position:absolute;left:5427;top:-2013;width:1193;height:117" coordorigin="5427,-2012" coordsize="1193,117" path="m5522,-2010l5427,-2010,5427,-1896,5522,-1896,5522,-2010m6072,-2012l5975,-2012,5975,-1896,6072,-1896,6072,-2012m6620,-1980l6525,-1980,6525,-1896,6620,-1896,6620,-1980e" filled="true" fillcolor="#a4a4a4" stroked="false">
              <v:path arrowok="t"/>
              <v:fill type="solid"/>
            </v:shape>
            <v:shape style="position:absolute;left:7121;top:-2476;width:551;height:580" coordorigin="7122,-2476" coordsize="551,580" path="m7122,-2476l7122,-1896m7672,-2163l7672,-1896e" filled="false" stroked="true" strokeweight="4.836077pt" strokecolor="#a4a4a4">
              <v:path arrowok="t"/>
              <v:stroke dashstyle="solid"/>
            </v:shape>
            <v:line style="position:absolute" from="8221,-2363" to="8221,-1896" stroked="true" strokeweight="4.735325pt" strokecolor="#a4a4a4">
              <v:stroke dashstyle="solid"/>
            </v:line>
            <v:rect style="position:absolute;left:8721;top:-1987;width:97;height:90" filled="true" fillcolor="#a4a4a4" stroked="false">
              <v:fill type="solid"/>
            </v:rect>
            <v:line style="position:absolute" from="4528,-1896" to="8923,-1896" stroked="true" strokeweight=".629697pt" strokecolor="#d9d9d9">
              <v:stroke dashstyle="solid"/>
            </v:line>
            <w10:wrap type="none"/>
          </v:group>
        </w:pict>
      </w:r>
      <w:r>
        <w:rPr/>
        <w:pict>
          <v:group style="position:absolute;margin-left:228.858673pt;margin-top:-87.957535pt;width:177.8pt;height:40.25pt;mso-position-horizontal-relative:page;mso-position-vertical-relative:paragraph;z-index:-323110912" coordorigin="4577,-1759" coordsize="3556,805">
            <v:shape style="position:absolute;left:4577;top:-1760;width:2457;height:805" type="#_x0000_t75" stroked="false">
              <v:imagedata r:id="rId12" o:title=""/>
            </v:shape>
            <v:shape style="position:absolute;left:7075;top:-1746;width:1058;height:490" coordorigin="7075,-1746" coordsize="1058,490" path="m7177,-1292l7177,-1292,7176,-1294,7175,-1294,7174,-1296,7172,-1296,7171,-1298,7170,-1298,7170,-1296,7143,-1270,7118,-1294,7127,-1302,7141,-1316,7141,-1316,7142,-1318,7141,-1320,7141,-1320,7140,-1322,7139,-1322,7138,-1324,7134,-1324,7111,-1302,7090,-1322,7116,-1348,7117,-1350,7117,-1350,7117,-1352,7116,-1354,7114,-1354,7112,-1356,7109,-1356,7076,-1324,7076,-1322,7075,-1320,7076,-1318,7077,-1318,7139,-1256,7144,-1256,7157,-1270,7177,-1290,7177,-1290,7177,-1292m7228,-1342l7227,-1342,7227,-1344,7226,-1344,7225,-1346,7223,-1346,7222,-1348,7220,-1348,7195,-1322,7136,-1382,7134,-1382,7133,-1380,7132,-1380,7130,-1378,7129,-1376,7128,-1376,7128,-1374,7127,-1374,7127,-1372,7127,-1372,7192,-1308,7196,-1308,7210,-1322,7227,-1340,7228,-1340,7228,-1342m7310,-1424l7310,-1424,7288,-1446,7244,-1490,7243,-1490,7242,-1488,7239,-1488,7239,-1486,7238,-1486,7237,-1484,7236,-1484,7235,-1482,7235,-1480,7263,-1454,7232,-1422,7205,-1450,7202,-1450,7201,-1448,7200,-1448,7197,-1446,7196,-1444,7196,-1444,7196,-1442,7196,-1440,7261,-1376,7264,-1376,7266,-1378,7268,-1380,7269,-1380,7270,-1382,7270,-1382,7270,-1384,7270,-1384,7240,-1414,7248,-1422,7271,-1446,7301,-1416,7301,-1416,7302,-1414,7302,-1416,7304,-1416,7306,-1418,7307,-1418,7308,-1420,7310,-1422,7310,-1422,7310,-1424m7337,-1452l7337,-1452,7272,-1516,7271,-1518,7270,-1518,7270,-1516,7267,-1516,7264,-1512,7263,-1510,7263,-1510,7263,-1508,7263,-1508,7328,-1442,7331,-1442,7331,-1444,7333,-1444,7335,-1446,7336,-1448,7337,-1450,7337,-1450,7337,-1452m7393,-1506l7392,-1508,7391,-1510,7390,-1510,7389,-1512,7385,-1512,7358,-1484,7334,-1510,7340,-1516,7357,-1532,7357,-1532,7357,-1534,7355,-1536,7355,-1536,7353,-1538,7353,-1538,7352,-1540,7349,-1540,7326,-1516,7305,-1538,7332,-1564,7332,-1564,7332,-1566,7332,-1566,7331,-1568,7331,-1568,7329,-1570,7328,-1570,7328,-1572,7324,-1572,7292,-1540,7291,-1538,7291,-1538,7290,-1536,7291,-1534,7354,-1470,7358,-1470,7359,-1472,7360,-1472,7372,-1484,7392,-1504,7393,-1504,7393,-1506m7452,-1564l7451,-1566,7450,-1566,7450,-1568,7446,-1568,7442,-1570,7425,-1578,7421,-1580,7417,-1580,7415,-1582,7404,-1582,7403,-1580,7404,-1584,7405,-1586,7406,-1588,7406,-1592,7406,-1598,7405,-1602,7404,-1604,7403,-1606,7401,-1608,7397,-1612,7395,-1613,7395,-1586,7394,-1584,7392,-1580,7390,-1578,7379,-1566,7356,-1588,7366,-1598,7367,-1600,7370,-1602,7371,-1602,7372,-1604,7376,-1604,7379,-1606,7382,-1606,7385,-1604,7388,-1602,7390,-1600,7392,-1598,7393,-1596,7395,-1592,7395,-1586,7395,-1613,7392,-1616,7389,-1618,7377,-1618,7375,-1616,7372,-1616,7365,-1612,7364,-1612,7358,-1604,7343,-1590,7343,-1590,7342,-1588,7342,-1586,7342,-1584,7406,-1522,7406,-1520,7408,-1520,7409,-1522,7411,-1522,7411,-1524,7413,-1524,7414,-1526,7415,-1526,7415,-1528,7416,-1528,7416,-1530,7415,-1530,7386,-1558,7395,-1566,7399,-1570,7409,-1570,7414,-1568,7416,-1568,7419,-1566,7441,-1556,7445,-1556,7445,-1558,7447,-1558,7448,-1560,7450,-1562,7451,-1562,7451,-1564,7452,-1564m7510,-1624l7509,-1624,7509,-1626,7506,-1626,7505,-1628,7484,-1636,7481,-1638,7477,-1638,7475,-1640,7461,-1640,7463,-1642,7463,-1644,7464,-1646,7465,-1650,7464,-1658,7464,-1660,7461,-1664,7460,-1666,7455,-1672,7453,-1673,7453,-1644,7453,-1642,7450,-1638,7449,-1636,7446,-1634,7438,-1624,7415,-1648,7426,-1658,7427,-1660,7429,-1660,7430,-1662,7434,-1664,7440,-1664,7443,-1662,7446,-1662,7449,-1658,7450,-1656,7452,-1656,7453,-1652,7453,-1644,7453,-1673,7452,-1674,7450,-1674,7447,-1676,7433,-1676,7424,-1670,7423,-1670,7419,-1666,7402,-1650,7401,-1648,7401,-1648,7400,-1644,7401,-1644,7465,-1580,7466,-1580,7466,-1578,7466,-1580,7469,-1580,7470,-1582,7471,-1582,7472,-1584,7473,-1586,7474,-1586,7474,-1588,7474,-1588,7445,-1618,7451,-1624,7453,-1626,7455,-1626,7457,-1628,7472,-1628,7475,-1626,7477,-1626,7499,-1616,7500,-1616,7500,-1614,7501,-1614,7503,-1616,7504,-1616,7506,-1618,7507,-1618,7508,-1620,7509,-1620,7510,-1622,7510,-1622,7510,-1624m7565,-1688l7564,-1700,7562,-1706,7556,-1716,7553,-1721,7553,-1690,7553,-1686,7550,-1678,7548,-1674,7540,-1666,7536,-1664,7528,-1660,7524,-1660,7516,-1662,7512,-1664,7504,-1670,7500,-1672,7492,-1680,7489,-1684,7484,-1692,7483,-1696,7482,-1700,7481,-1704,7481,-1708,7484,-1716,7486,-1720,7494,-1728,7502,-1732,7506,-1734,7510,-1734,7518,-1732,7522,-1730,7526,-1728,7530,-1724,7534,-1722,7538,-1718,7541,-1714,7544,-1710,7547,-1706,7550,-1702,7551,-1698,7553,-1690,7553,-1721,7552,-1722,7546,-1728,7541,-1734,7536,-1738,7530,-1740,7525,-1744,7519,-1746,7503,-1746,7498,-1742,7493,-1740,7488,-1738,7483,-1732,7478,-1728,7474,-1722,7470,-1710,7469,-1706,7469,-1700,7470,-1694,7472,-1688,7478,-1676,7482,-1672,7493,-1660,7498,-1656,7504,-1654,7509,-1650,7515,-1648,7530,-1648,7536,-1650,7541,-1652,7546,-1656,7549,-1660,7551,-1662,7556,-1666,7560,-1672,7564,-1682,7565,-1688m7732,-1296l7731,-1298,7731,-1298,7730,-1300,7728,-1300,7728,-1302,7724,-1302,7699,-1278,7641,-1336,7640,-1338,7639,-1338,7639,-1336,7638,-1336,7635,-1334,7634,-1332,7633,-1332,7632,-1330,7631,-1330,7631,-1328,7632,-1328,7696,-1264,7700,-1264,7715,-1278,7732,-1294,7732,-1296,7732,-1296m7794,-1358l7793,-1360,7791,-1360,7752,-1378,7752,-1366,7729,-1342,7707,-1386,7752,-1366,7752,-1378,7736,-1386,7706,-1400,7705,-1402,7703,-1402,7702,-1400,7700,-1400,7700,-1398,7699,-1398,7696,-1394,7694,-1394,7694,-1392,7693,-1392,7693,-1390,7693,-1390,7694,-1388,7734,-1304,7734,-1302,7735,-1302,7736,-1300,7737,-1300,7738,-1302,7740,-1302,7743,-1306,7744,-1306,7744,-1308,7745,-1308,7744,-1310,7744,-1310,7733,-1332,7743,-1342,7761,-1360,7784,-1350,7788,-1350,7789,-1352,7792,-1356,7794,-1356,7794,-1358m7837,-1402l7837,-1402,7812,-1428,7820,-1434,7824,-1438,7831,-1452,7832,-1456,7833,-1464,7832,-1468,7830,-1470,7829,-1474,7826,-1478,7823,-1482,7821,-1483,7821,-1456,7820,-1452,7819,-1450,7818,-1448,7816,-1446,7805,-1434,7778,-1462,7788,-1472,7791,-1474,7793,-1476,7795,-1476,7798,-1478,7803,-1478,7809,-1476,7811,-1474,7814,-1472,7816,-1470,7818,-1468,7819,-1466,7820,-1460,7821,-1456,7821,-1483,7820,-1484,7818,-1486,7812,-1488,7809,-1490,7797,-1490,7794,-1488,7792,-1488,7787,-1484,7785,-1484,7782,-1480,7764,-1462,7764,-1462,7763,-1458,7764,-1458,7828,-1394,7832,-1394,7835,-1398,7836,-1400,7837,-1400,7837,-1402m7935,-1500l7934,-1500,7933,-1502,7932,-1502,7893,-1520,7893,-1506,7870,-1482,7848,-1528,7893,-1506,7893,-1520,7877,-1528,7847,-1542,7843,-1542,7841,-1540,7841,-1540,7840,-1538,7839,-1538,7837,-1536,7837,-1536,7836,-1534,7835,-1534,7834,-1530,7835,-1530,7875,-1444,7875,-1444,7876,-1442,7879,-1442,7880,-1444,7881,-1444,7884,-1446,7885,-1448,7885,-1448,7885,-1450,7886,-1450,7885,-1452,7885,-1452,7874,-1474,7882,-1482,7903,-1502,7925,-1490,7928,-1490,7928,-1492,7930,-1492,7934,-1496,7934,-1498,7935,-1498,7935,-1500m7980,-1544l7979,-1546,7978,-1546,7977,-1548,7976,-1550,7972,-1550,7947,-1526,7889,-1584,7888,-1584,7888,-1586,7887,-1584,7884,-1584,7880,-1578,7879,-1578,7879,-1576,7880,-1576,7944,-1512,7949,-1512,7963,-1526,7979,-1542,7980,-1544m8064,-1628l8064,-1630,8064,-1630,8014,-1680,8002,-1692,8001,-1692,8000,-1694,7996,-1694,7995,-1692,7993,-1692,7987,-1686,7986,-1684,7985,-1682,7985,-1682,7985,-1678,7986,-1676,7986,-1674,8015,-1604,8015,-1604,7971,-1624,7944,-1636,7939,-1636,7938,-1634,7936,-1634,7934,-1632,7927,-1626,7926,-1624,7926,-1622,7927,-1620,7928,-1618,7990,-1556,7994,-1556,7995,-1558,7998,-1560,7999,-1562,7999,-1562,7999,-1564,8000,-1564,7999,-1566,7940,-1624,7940,-1624,8023,-1588,8026,-1588,8027,-1590,8027,-1590,8029,-1592,8030,-1594,8031,-1594,8031,-1596,8028,-1604,7996,-1680,7996,-1680,8055,-1620,8057,-1620,8058,-1622,8060,-1622,8062,-1626,8064,-1626,8064,-1628m8133,-1698l8132,-1698,8131,-1700,8130,-1700,8091,-1718,8091,-1704,8068,-1680,8046,-1726,8046,-1726,8091,-1704,8091,-1718,8075,-1726,8045,-1740,8041,-1740,8039,-1738,8038,-1736,8037,-1736,8036,-1734,8034,-1734,8033,-1732,8033,-1732,8033,-1730,8032,-1730,8032,-1728,8033,-1728,8073,-1642,8073,-1642,8074,-1640,8078,-1640,8081,-1644,8082,-1646,8083,-1646,8083,-1648,8083,-1650,8083,-1650,8073,-1672,8081,-1680,8101,-1700,8123,-1688,8126,-1688,8126,-1690,8128,-1690,8129,-1692,8131,-1694,8132,-1694,8132,-1696,8133,-1696,8133,-1698e" filled="true" fillcolor="#585858" stroked="false">
              <v:path arrowok="t"/>
              <v:fill type="solid"/>
            </v:shape>
            <w10:wrap type="none"/>
          </v:group>
        </w:pict>
      </w:r>
      <w:r>
        <w:rPr/>
        <w:pict>
          <v:rect style="position:absolute;margin-left:220.219223pt;margin-top:-35.305111pt;width:4.150378pt;height:4.150378pt;mso-position-horizontal-relative:page;mso-position-vertical-relative:paragraph;z-index:-323109888" filled="true" fillcolor="#4471c4" stroked="false">
            <v:fill type="solid"/>
            <w10:wrap type="none"/>
          </v:rect>
        </w:pict>
      </w:r>
      <w:r>
        <w:rPr/>
        <w:pict>
          <v:rect style="position:absolute;margin-left:324.001770pt;margin-top:-35.305111pt;width:4.150378pt;height:4.150378pt;mso-position-horizontal-relative:page;mso-position-vertical-relative:paragraph;z-index:-323108864" filled="true" fillcolor="#ec7c30" stroked="false">
            <v:fill type="solid"/>
            <w10:wrap type="none"/>
          </v:rect>
        </w:pict>
      </w:r>
      <w:r>
        <w:rPr/>
        <w:pict>
          <v:rect style="position:absolute;margin-left:220.219223pt;margin-top:-21.141115pt;width:4.150378pt;height:4.150378pt;mso-position-horizontal-relative:page;mso-position-vertical-relative:paragraph;z-index:-323107840" filled="true" fillcolor="#a4a4a4" stroked="false">
            <v:fill type="solid"/>
            <w10:wrap type="none"/>
          </v:rect>
        </w:pict>
      </w:r>
      <w:r>
        <w:rPr>
          <w:b/>
          <w:color w:val="53A1B9"/>
          <w:sz w:val="20"/>
        </w:rPr>
        <w:t>Evolución de los ingresos</w:t>
      </w:r>
      <w:r>
        <w:rPr>
          <w:b/>
          <w:color w:val="53A1B9"/>
          <w:spacing w:val="4"/>
          <w:sz w:val="20"/>
        </w:rPr>
        <w:t> </w:t>
      </w:r>
      <w:r>
        <w:rPr>
          <w:b/>
          <w:color w:val="53A1B9"/>
          <w:sz w:val="20"/>
        </w:rPr>
        <w:t>consolidados.</w:t>
      </w:r>
    </w:p>
    <w:p>
      <w:pPr>
        <w:pStyle w:val="BodyText"/>
        <w:spacing w:before="10"/>
        <w:rPr>
          <w:b/>
          <w:sz w:val="11"/>
        </w:rPr>
      </w:pPr>
    </w:p>
    <w:p>
      <w:pPr>
        <w:pStyle w:val="BodyText"/>
        <w:spacing w:before="61"/>
        <w:ind w:left="2690"/>
      </w:pPr>
      <w:r>
        <w:rPr/>
        <w:t>En este apartado se presenta la evolución de los ingresos desde el año 2019 al</w:t>
      </w:r>
    </w:p>
    <w:p>
      <w:pPr>
        <w:pStyle w:val="BodyText"/>
        <w:spacing w:before="2"/>
        <w:ind w:left="2096"/>
      </w:pPr>
      <w:r>
        <w:rPr/>
        <w:t>2022.</w:t>
      </w:r>
    </w:p>
    <w:p>
      <w:pPr>
        <w:pStyle w:val="BodyText"/>
        <w:spacing w:before="8"/>
        <w:rPr>
          <w:sz w:val="11"/>
        </w:rPr>
      </w:pPr>
    </w:p>
    <w:p>
      <w:pPr>
        <w:pStyle w:val="Heading1"/>
        <w:spacing w:before="61"/>
        <w:ind w:left="2358"/>
        <w:jc w:val="left"/>
      </w:pPr>
      <w:r>
        <w:rPr/>
        <w:pict>
          <v:group style="position:absolute;margin-left:145.436356pt;margin-top:25.36693pt;width:351.85pt;height:19.3pt;mso-position-horizontal-relative:page;mso-position-vertical-relative:paragraph;z-index:-323115008" coordorigin="2909,507" coordsize="7037,386">
            <v:shape style="position:absolute;left:2908;top:515;width:7037;height:378" coordorigin="2909,515" coordsize="7037,378" path="m4700,515l2909,515,2909,893,4700,893,4700,515m8048,515l6909,515,5771,515,5771,515,4701,515,4701,893,5771,893,5771,893,6909,893,8048,893,8048,515m9945,515l9187,515,8048,515,8048,893,9187,893,9945,893,9945,515e" filled="true" fillcolor="#deeaf6" stroked="false">
              <v:path arrowok="t"/>
              <v:fill type="solid"/>
            </v:shape>
            <v:line style="position:absolute" from="2909,511" to="4698,511" stroked="true" strokeweight=".403015pt" strokecolor="#000000">
              <v:stroke dashstyle="solid"/>
            </v:line>
            <v:rect style="position:absolute;left:4698;top:507;width:9;height:9" filled="true" fillcolor="#000000" stroked="false">
              <v:fill type="solid"/>
            </v:rect>
            <v:line style="position:absolute" from="4707,511" to="5771,511" stroked="true" strokeweight=".403015pt" strokecolor="#000000">
              <v:stroke dashstyle="solid"/>
            </v:line>
            <v:rect style="position:absolute;left:5770;top:507;width:9;height:9" filled="true" fillcolor="#000000" stroked="false">
              <v:fill type="solid"/>
            </v:rect>
            <v:line style="position:absolute" from="5779,511" to="6909,511" stroked="true" strokeweight=".403015pt" strokecolor="#000000">
              <v:stroke dashstyle="solid"/>
            </v:line>
            <v:rect style="position:absolute;left:6909;top:507;width:9;height:9" filled="true" fillcolor="#000000" stroked="false">
              <v:fill type="solid"/>
            </v:rect>
            <v:line style="position:absolute" from="6917,511" to="8048,511" stroked="true" strokeweight=".403015pt" strokecolor="#000000">
              <v:stroke dashstyle="solid"/>
            </v:line>
            <v:rect style="position:absolute;left:8048;top:507;width:9;height:9" filled="true" fillcolor="#000000" stroked="false">
              <v:fill type="solid"/>
            </v:rect>
            <v:line style="position:absolute" from="8056,511" to="9187,511" stroked="true" strokeweight=".403015pt" strokecolor="#000000">
              <v:stroke dashstyle="solid"/>
            </v:line>
            <v:rect style="position:absolute;left:9186;top:507;width:9;height:9" filled="true" fillcolor="#000000" stroked="false">
              <v:fill type="solid"/>
            </v:rect>
            <v:line style="position:absolute" from="9195,511" to="9945,511" stroked="true" strokeweight=".403015pt" strokecolor="#000000">
              <v:stroke dashstyle="solid"/>
            </v:line>
            <v:shape style="position:absolute;left:3569;top:647;width:488;height:135" type="#_x0000_t202" filled="false" stroked="false">
              <v:textbox inset="0,0,0,0">
                <w:txbxContent>
                  <w:p>
                    <w:pPr>
                      <w:spacing w:line="135" w:lineRule="exact" w:before="0"/>
                      <w:ind w:left="0" w:right="0" w:firstLine="0"/>
                      <w:jc w:val="left"/>
                      <w:rPr>
                        <w:b/>
                        <w:sz w:val="13"/>
                      </w:rPr>
                    </w:pPr>
                    <w:r>
                      <w:rPr>
                        <w:b/>
                        <w:w w:val="105"/>
                        <w:sz w:val="13"/>
                      </w:rPr>
                      <w:t>Capítulo</w:t>
                    </w:r>
                  </w:p>
                </w:txbxContent>
              </v:textbox>
              <w10:wrap type="none"/>
            </v:shape>
            <v:shape style="position:absolute;left:5099;top:647;width:295;height:135" type="#_x0000_t202" filled="false" stroked="false">
              <v:textbox inset="0,0,0,0">
                <w:txbxContent>
                  <w:p>
                    <w:pPr>
                      <w:spacing w:line="135" w:lineRule="exact" w:before="0"/>
                      <w:ind w:left="0" w:right="0" w:firstLine="0"/>
                      <w:jc w:val="left"/>
                      <w:rPr>
                        <w:b/>
                        <w:sz w:val="13"/>
                      </w:rPr>
                    </w:pPr>
                    <w:r>
                      <w:rPr>
                        <w:b/>
                        <w:w w:val="105"/>
                        <w:sz w:val="13"/>
                      </w:rPr>
                      <w:t>2019</w:t>
                    </w:r>
                  </w:p>
                </w:txbxContent>
              </v:textbox>
              <w10:wrap type="none"/>
            </v:shape>
            <v:shape style="position:absolute;left:6204;top:647;width:295;height:135" type="#_x0000_t202" filled="false" stroked="false">
              <v:textbox inset="0,0,0,0">
                <w:txbxContent>
                  <w:p>
                    <w:pPr>
                      <w:spacing w:line="135" w:lineRule="exact" w:before="0"/>
                      <w:ind w:left="0" w:right="0" w:firstLine="0"/>
                      <w:jc w:val="left"/>
                      <w:rPr>
                        <w:b/>
                        <w:sz w:val="13"/>
                      </w:rPr>
                    </w:pPr>
                    <w:r>
                      <w:rPr>
                        <w:b/>
                        <w:w w:val="105"/>
                        <w:sz w:val="13"/>
                      </w:rPr>
                      <w:t>2020</w:t>
                    </w:r>
                  </w:p>
                </w:txbxContent>
              </v:textbox>
              <w10:wrap type="none"/>
            </v:shape>
            <v:shape style="position:absolute;left:7342;top:647;width:295;height:135" type="#_x0000_t202" filled="false" stroked="false">
              <v:textbox inset="0,0,0,0">
                <w:txbxContent>
                  <w:p>
                    <w:pPr>
                      <w:spacing w:line="135" w:lineRule="exact" w:before="0"/>
                      <w:ind w:left="0" w:right="0" w:firstLine="0"/>
                      <w:jc w:val="left"/>
                      <w:rPr>
                        <w:b/>
                        <w:sz w:val="13"/>
                      </w:rPr>
                    </w:pPr>
                    <w:r>
                      <w:rPr>
                        <w:b/>
                        <w:w w:val="105"/>
                        <w:sz w:val="13"/>
                      </w:rPr>
                      <w:t>2021</w:t>
                    </w:r>
                  </w:p>
                </w:txbxContent>
              </v:textbox>
              <w10:wrap type="none"/>
            </v:shape>
            <v:shape style="position:absolute;left:8481;top:647;width:295;height:135" type="#_x0000_t202" filled="false" stroked="false">
              <v:textbox inset="0,0,0,0">
                <w:txbxContent>
                  <w:p>
                    <w:pPr>
                      <w:spacing w:line="135" w:lineRule="exact" w:before="0"/>
                      <w:ind w:left="0" w:right="0" w:firstLine="0"/>
                      <w:jc w:val="left"/>
                      <w:rPr>
                        <w:b/>
                        <w:sz w:val="13"/>
                      </w:rPr>
                    </w:pPr>
                    <w:r>
                      <w:rPr>
                        <w:b/>
                        <w:w w:val="105"/>
                        <w:sz w:val="13"/>
                      </w:rPr>
                      <w:t>2022</w:t>
                    </w:r>
                  </w:p>
                </w:txbxContent>
              </v:textbox>
              <w10:wrap type="none"/>
            </v:shape>
            <v:shape style="position:absolute;left:9301;top:565;width:549;height:135" type="#_x0000_t202" filled="false" stroked="false">
              <v:textbox inset="0,0,0,0">
                <w:txbxContent>
                  <w:p>
                    <w:pPr>
                      <w:spacing w:line="135" w:lineRule="exact" w:before="0"/>
                      <w:ind w:left="0" w:right="0" w:firstLine="0"/>
                      <w:jc w:val="left"/>
                      <w:rPr>
                        <w:b/>
                        <w:sz w:val="13"/>
                      </w:rPr>
                    </w:pPr>
                    <w:r>
                      <w:rPr>
                        <w:b/>
                        <w:w w:val="105"/>
                        <w:sz w:val="13"/>
                      </w:rPr>
                      <w:t>Variación</w:t>
                    </w:r>
                  </w:p>
                </w:txbxContent>
              </v:textbox>
              <w10:wrap type="none"/>
            </v:shape>
            <w10:wrap type="none"/>
          </v:group>
        </w:pict>
      </w:r>
      <w:r>
        <w:rPr/>
        <w:pict>
          <v:rect style="position:absolute;margin-left:462.266541pt;margin-top:35.237236pt;width:32.059158pt;height:8.18103pt;mso-position-horizontal-relative:page;mso-position-vertical-relative:paragraph;z-index:-323113984" filled="true" fillcolor="#deeaf6" stroked="false">
            <v:fill type="solid"/>
            <w10:wrap type="none"/>
          </v:rect>
        </w:pict>
      </w:r>
      <w:r>
        <w:rPr/>
        <w:t>Evolución de los ingresos consolidados de los entes con presupuesto limitativo.</w:t>
      </w:r>
    </w:p>
    <w:p>
      <w:pPr>
        <w:pStyle w:val="BodyText"/>
        <w:rPr>
          <w:b/>
        </w:rPr>
      </w:pPr>
    </w:p>
    <w:p>
      <w:pPr>
        <w:pStyle w:val="BodyText"/>
        <w:spacing w:before="10" w:after="1"/>
        <w:rPr>
          <w:b/>
          <w:sz w:val="14"/>
        </w:rPr>
      </w:pPr>
    </w:p>
    <w:tbl>
      <w:tblPr>
        <w:tblW w:w="0" w:type="auto"/>
        <w:jc w:val="left"/>
        <w:tblInd w:w="2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9"/>
        <w:gridCol w:w="1128"/>
        <w:gridCol w:w="1139"/>
        <w:gridCol w:w="1139"/>
        <w:gridCol w:w="1147"/>
        <w:gridCol w:w="748"/>
      </w:tblGrid>
      <w:tr>
        <w:trPr>
          <w:trHeight w:val="161" w:hRule="atLeast"/>
        </w:trPr>
        <w:tc>
          <w:tcPr>
            <w:tcW w:w="6302" w:type="dxa"/>
            <w:gridSpan w:val="5"/>
            <w:shd w:val="clear" w:color="auto" w:fill="DEEAF6"/>
          </w:tcPr>
          <w:p>
            <w:pPr>
              <w:pStyle w:val="TableParagraph"/>
              <w:rPr>
                <w:rFonts w:ascii="Times New Roman"/>
                <w:sz w:val="10"/>
              </w:rPr>
            </w:pPr>
          </w:p>
        </w:tc>
        <w:tc>
          <w:tcPr>
            <w:tcW w:w="748" w:type="dxa"/>
            <w:shd w:val="clear" w:color="auto" w:fill="DEEAF6"/>
          </w:tcPr>
          <w:p>
            <w:pPr>
              <w:pStyle w:val="TableParagraph"/>
              <w:spacing w:line="136" w:lineRule="exact"/>
              <w:ind w:right="76"/>
              <w:jc w:val="right"/>
              <w:rPr>
                <w:b/>
                <w:sz w:val="13"/>
              </w:rPr>
            </w:pPr>
            <w:r>
              <w:rPr>
                <w:b/>
                <w:w w:val="105"/>
                <w:sz w:val="13"/>
              </w:rPr>
              <w:t>2019/2022</w:t>
            </w:r>
          </w:p>
        </w:tc>
      </w:tr>
      <w:tr>
        <w:trPr>
          <w:trHeight w:val="241" w:hRule="atLeast"/>
        </w:trPr>
        <w:tc>
          <w:tcPr>
            <w:tcW w:w="1749" w:type="dxa"/>
          </w:tcPr>
          <w:p>
            <w:pPr>
              <w:pStyle w:val="TableParagraph"/>
              <w:spacing w:before="48"/>
              <w:ind w:left="70"/>
              <w:rPr>
                <w:sz w:val="13"/>
              </w:rPr>
            </w:pPr>
            <w:r>
              <w:rPr>
                <w:w w:val="105"/>
                <w:sz w:val="13"/>
              </w:rPr>
              <w:t>I. Impuestos directos</w:t>
            </w:r>
          </w:p>
        </w:tc>
        <w:tc>
          <w:tcPr>
            <w:tcW w:w="1128" w:type="dxa"/>
          </w:tcPr>
          <w:p>
            <w:pPr>
              <w:pStyle w:val="TableParagraph"/>
              <w:spacing w:before="3"/>
              <w:ind w:right="57"/>
              <w:jc w:val="right"/>
              <w:rPr>
                <w:sz w:val="13"/>
              </w:rPr>
            </w:pPr>
            <w:r>
              <w:rPr>
                <w:w w:val="105"/>
                <w:sz w:val="13"/>
              </w:rPr>
              <w:t>1.576.472.849,80</w:t>
            </w:r>
          </w:p>
        </w:tc>
        <w:tc>
          <w:tcPr>
            <w:tcW w:w="1139" w:type="dxa"/>
          </w:tcPr>
          <w:p>
            <w:pPr>
              <w:pStyle w:val="TableParagraph"/>
              <w:spacing w:before="3"/>
              <w:ind w:right="57"/>
              <w:jc w:val="right"/>
              <w:rPr>
                <w:sz w:val="13"/>
              </w:rPr>
            </w:pPr>
            <w:r>
              <w:rPr>
                <w:w w:val="105"/>
                <w:sz w:val="13"/>
              </w:rPr>
              <w:t>1.745.097.523,78</w:t>
            </w:r>
          </w:p>
        </w:tc>
        <w:tc>
          <w:tcPr>
            <w:tcW w:w="1139" w:type="dxa"/>
          </w:tcPr>
          <w:p>
            <w:pPr>
              <w:pStyle w:val="TableParagraph"/>
              <w:spacing w:before="3"/>
              <w:ind w:right="58"/>
              <w:jc w:val="right"/>
              <w:rPr>
                <w:sz w:val="13"/>
              </w:rPr>
            </w:pPr>
            <w:r>
              <w:rPr>
                <w:w w:val="105"/>
                <w:sz w:val="13"/>
              </w:rPr>
              <w:t>1.712.607.823,69</w:t>
            </w:r>
          </w:p>
        </w:tc>
        <w:tc>
          <w:tcPr>
            <w:tcW w:w="1147" w:type="dxa"/>
          </w:tcPr>
          <w:p>
            <w:pPr>
              <w:pStyle w:val="TableParagraph"/>
              <w:spacing w:before="3"/>
              <w:ind w:right="66"/>
              <w:jc w:val="right"/>
              <w:rPr>
                <w:sz w:val="13"/>
              </w:rPr>
            </w:pPr>
            <w:r>
              <w:rPr>
                <w:w w:val="105"/>
                <w:sz w:val="13"/>
              </w:rPr>
              <w:t>1.644.185.847,81</w:t>
            </w:r>
          </w:p>
        </w:tc>
        <w:tc>
          <w:tcPr>
            <w:tcW w:w="748" w:type="dxa"/>
          </w:tcPr>
          <w:p>
            <w:pPr>
              <w:pStyle w:val="TableParagraph"/>
              <w:spacing w:before="3"/>
              <w:ind w:right="56"/>
              <w:jc w:val="right"/>
              <w:rPr>
                <w:sz w:val="13"/>
              </w:rPr>
            </w:pPr>
            <w:r>
              <w:rPr>
                <w:sz w:val="13"/>
              </w:rPr>
              <w:t>4,30%</w:t>
            </w:r>
          </w:p>
        </w:tc>
      </w:tr>
      <w:tr>
        <w:trPr>
          <w:trHeight w:val="251" w:hRule="atLeast"/>
        </w:trPr>
        <w:tc>
          <w:tcPr>
            <w:tcW w:w="1749" w:type="dxa"/>
          </w:tcPr>
          <w:p>
            <w:pPr>
              <w:pStyle w:val="TableParagraph"/>
              <w:spacing w:before="58"/>
              <w:ind w:left="70"/>
              <w:rPr>
                <w:sz w:val="13"/>
              </w:rPr>
            </w:pPr>
            <w:r>
              <w:rPr>
                <w:w w:val="105"/>
                <w:sz w:val="13"/>
              </w:rPr>
              <w:t>II. Impuestos indirectos</w:t>
            </w:r>
          </w:p>
        </w:tc>
        <w:tc>
          <w:tcPr>
            <w:tcW w:w="1128" w:type="dxa"/>
          </w:tcPr>
          <w:p>
            <w:pPr>
              <w:pStyle w:val="TableParagraph"/>
              <w:spacing w:before="13"/>
              <w:ind w:right="57"/>
              <w:jc w:val="right"/>
              <w:rPr>
                <w:sz w:val="13"/>
              </w:rPr>
            </w:pPr>
            <w:r>
              <w:rPr>
                <w:w w:val="105"/>
                <w:sz w:val="13"/>
              </w:rPr>
              <w:t>1.646.649.019,93</w:t>
            </w:r>
          </w:p>
        </w:tc>
        <w:tc>
          <w:tcPr>
            <w:tcW w:w="1139" w:type="dxa"/>
          </w:tcPr>
          <w:p>
            <w:pPr>
              <w:pStyle w:val="TableParagraph"/>
              <w:spacing w:before="13"/>
              <w:ind w:right="57"/>
              <w:jc w:val="right"/>
              <w:rPr>
                <w:sz w:val="13"/>
              </w:rPr>
            </w:pPr>
            <w:r>
              <w:rPr>
                <w:w w:val="105"/>
                <w:sz w:val="13"/>
              </w:rPr>
              <w:t>1.195.355.542,84</w:t>
            </w:r>
          </w:p>
        </w:tc>
        <w:tc>
          <w:tcPr>
            <w:tcW w:w="1139" w:type="dxa"/>
          </w:tcPr>
          <w:p>
            <w:pPr>
              <w:pStyle w:val="TableParagraph"/>
              <w:spacing w:before="13"/>
              <w:ind w:right="58"/>
              <w:jc w:val="right"/>
              <w:rPr>
                <w:sz w:val="13"/>
              </w:rPr>
            </w:pPr>
            <w:r>
              <w:rPr>
                <w:w w:val="105"/>
                <w:sz w:val="13"/>
              </w:rPr>
              <w:t>1.498.301.110,45</w:t>
            </w:r>
          </w:p>
        </w:tc>
        <w:tc>
          <w:tcPr>
            <w:tcW w:w="1147" w:type="dxa"/>
          </w:tcPr>
          <w:p>
            <w:pPr>
              <w:pStyle w:val="TableParagraph"/>
              <w:spacing w:before="13"/>
              <w:ind w:right="66"/>
              <w:jc w:val="right"/>
              <w:rPr>
                <w:sz w:val="13"/>
              </w:rPr>
            </w:pPr>
            <w:r>
              <w:rPr>
                <w:w w:val="105"/>
                <w:sz w:val="13"/>
              </w:rPr>
              <w:t>1.687.840.200,68</w:t>
            </w:r>
          </w:p>
        </w:tc>
        <w:tc>
          <w:tcPr>
            <w:tcW w:w="748" w:type="dxa"/>
          </w:tcPr>
          <w:p>
            <w:pPr>
              <w:pStyle w:val="TableParagraph"/>
              <w:spacing w:before="13"/>
              <w:ind w:right="56"/>
              <w:jc w:val="right"/>
              <w:rPr>
                <w:sz w:val="13"/>
              </w:rPr>
            </w:pPr>
            <w:r>
              <w:rPr>
                <w:sz w:val="13"/>
              </w:rPr>
              <w:t>2,50%</w:t>
            </w:r>
          </w:p>
        </w:tc>
      </w:tr>
      <w:tr>
        <w:trPr>
          <w:trHeight w:val="251" w:hRule="atLeast"/>
        </w:trPr>
        <w:tc>
          <w:tcPr>
            <w:tcW w:w="1749" w:type="dxa"/>
          </w:tcPr>
          <w:p>
            <w:pPr>
              <w:pStyle w:val="TableParagraph"/>
              <w:spacing w:before="58"/>
              <w:ind w:left="70"/>
              <w:rPr>
                <w:sz w:val="13"/>
              </w:rPr>
            </w:pPr>
            <w:r>
              <w:rPr>
                <w:w w:val="105"/>
                <w:sz w:val="13"/>
              </w:rPr>
              <w:t>III. Tasas y otros ingresos</w:t>
            </w:r>
          </w:p>
        </w:tc>
        <w:tc>
          <w:tcPr>
            <w:tcW w:w="1128" w:type="dxa"/>
          </w:tcPr>
          <w:p>
            <w:pPr>
              <w:pStyle w:val="TableParagraph"/>
              <w:spacing w:before="13"/>
              <w:ind w:right="58"/>
              <w:jc w:val="right"/>
              <w:rPr>
                <w:sz w:val="13"/>
              </w:rPr>
            </w:pPr>
            <w:r>
              <w:rPr>
                <w:sz w:val="13"/>
              </w:rPr>
              <w:t>159.548.032,42</w:t>
            </w:r>
          </w:p>
        </w:tc>
        <w:tc>
          <w:tcPr>
            <w:tcW w:w="1139" w:type="dxa"/>
          </w:tcPr>
          <w:p>
            <w:pPr>
              <w:pStyle w:val="TableParagraph"/>
              <w:spacing w:before="13"/>
              <w:ind w:right="58"/>
              <w:jc w:val="right"/>
              <w:rPr>
                <w:sz w:val="13"/>
              </w:rPr>
            </w:pPr>
            <w:r>
              <w:rPr>
                <w:sz w:val="13"/>
              </w:rPr>
              <w:t>160.207.895,38</w:t>
            </w:r>
          </w:p>
        </w:tc>
        <w:tc>
          <w:tcPr>
            <w:tcW w:w="1139" w:type="dxa"/>
          </w:tcPr>
          <w:p>
            <w:pPr>
              <w:pStyle w:val="TableParagraph"/>
              <w:spacing w:before="13"/>
              <w:ind w:right="58"/>
              <w:jc w:val="right"/>
              <w:rPr>
                <w:sz w:val="13"/>
              </w:rPr>
            </w:pPr>
            <w:r>
              <w:rPr>
                <w:sz w:val="13"/>
              </w:rPr>
              <w:t>170.893.456,29</w:t>
            </w:r>
          </w:p>
        </w:tc>
        <w:tc>
          <w:tcPr>
            <w:tcW w:w="1147" w:type="dxa"/>
          </w:tcPr>
          <w:p>
            <w:pPr>
              <w:pStyle w:val="TableParagraph"/>
              <w:spacing w:before="13"/>
              <w:ind w:right="66"/>
              <w:jc w:val="right"/>
              <w:rPr>
                <w:sz w:val="13"/>
              </w:rPr>
            </w:pPr>
            <w:r>
              <w:rPr>
                <w:sz w:val="13"/>
              </w:rPr>
              <w:t>277.852.509,30</w:t>
            </w:r>
          </w:p>
        </w:tc>
        <w:tc>
          <w:tcPr>
            <w:tcW w:w="748" w:type="dxa"/>
          </w:tcPr>
          <w:p>
            <w:pPr>
              <w:pStyle w:val="TableParagraph"/>
              <w:spacing w:before="13"/>
              <w:ind w:right="56"/>
              <w:jc w:val="right"/>
              <w:rPr>
                <w:sz w:val="13"/>
              </w:rPr>
            </w:pPr>
            <w:r>
              <w:rPr>
                <w:sz w:val="13"/>
              </w:rPr>
              <w:t>74,15%</w:t>
            </w:r>
          </w:p>
        </w:tc>
      </w:tr>
      <w:tr>
        <w:trPr>
          <w:trHeight w:val="251" w:hRule="atLeast"/>
        </w:trPr>
        <w:tc>
          <w:tcPr>
            <w:tcW w:w="1749" w:type="dxa"/>
          </w:tcPr>
          <w:p>
            <w:pPr>
              <w:pStyle w:val="TableParagraph"/>
              <w:spacing w:before="58"/>
              <w:ind w:left="70"/>
              <w:rPr>
                <w:sz w:val="13"/>
              </w:rPr>
            </w:pPr>
            <w:r>
              <w:rPr>
                <w:w w:val="105"/>
                <w:sz w:val="13"/>
              </w:rPr>
              <w:t>IV. Transferencias corrientes</w:t>
            </w:r>
          </w:p>
        </w:tc>
        <w:tc>
          <w:tcPr>
            <w:tcW w:w="1128" w:type="dxa"/>
          </w:tcPr>
          <w:p>
            <w:pPr>
              <w:pStyle w:val="TableParagraph"/>
              <w:spacing w:before="13"/>
              <w:ind w:right="57"/>
              <w:jc w:val="right"/>
              <w:rPr>
                <w:sz w:val="13"/>
              </w:rPr>
            </w:pPr>
            <w:r>
              <w:rPr>
                <w:w w:val="105"/>
                <w:sz w:val="13"/>
              </w:rPr>
              <w:t>4.187.776.764,64</w:t>
            </w:r>
          </w:p>
        </w:tc>
        <w:tc>
          <w:tcPr>
            <w:tcW w:w="1139" w:type="dxa"/>
          </w:tcPr>
          <w:p>
            <w:pPr>
              <w:pStyle w:val="TableParagraph"/>
              <w:spacing w:before="13"/>
              <w:ind w:right="57"/>
              <w:jc w:val="right"/>
              <w:rPr>
                <w:sz w:val="13"/>
              </w:rPr>
            </w:pPr>
            <w:r>
              <w:rPr>
                <w:w w:val="105"/>
                <w:sz w:val="13"/>
              </w:rPr>
              <w:t>5.001.090.480,83</w:t>
            </w:r>
          </w:p>
        </w:tc>
        <w:tc>
          <w:tcPr>
            <w:tcW w:w="1139" w:type="dxa"/>
          </w:tcPr>
          <w:p>
            <w:pPr>
              <w:pStyle w:val="TableParagraph"/>
              <w:spacing w:before="13"/>
              <w:ind w:right="58"/>
              <w:jc w:val="right"/>
              <w:rPr>
                <w:sz w:val="13"/>
              </w:rPr>
            </w:pPr>
            <w:r>
              <w:rPr>
                <w:w w:val="105"/>
                <w:sz w:val="13"/>
              </w:rPr>
              <w:t>6.443.180.505,19</w:t>
            </w:r>
          </w:p>
        </w:tc>
        <w:tc>
          <w:tcPr>
            <w:tcW w:w="1147" w:type="dxa"/>
          </w:tcPr>
          <w:p>
            <w:pPr>
              <w:pStyle w:val="TableParagraph"/>
              <w:spacing w:before="13"/>
              <w:ind w:right="66"/>
              <w:jc w:val="right"/>
              <w:rPr>
                <w:sz w:val="13"/>
              </w:rPr>
            </w:pPr>
            <w:r>
              <w:rPr>
                <w:w w:val="105"/>
                <w:sz w:val="13"/>
              </w:rPr>
              <w:t>4.818.141.596,16</w:t>
            </w:r>
          </w:p>
        </w:tc>
        <w:tc>
          <w:tcPr>
            <w:tcW w:w="748" w:type="dxa"/>
          </w:tcPr>
          <w:p>
            <w:pPr>
              <w:pStyle w:val="TableParagraph"/>
              <w:spacing w:before="13"/>
              <w:ind w:right="56"/>
              <w:jc w:val="right"/>
              <w:rPr>
                <w:sz w:val="13"/>
              </w:rPr>
            </w:pPr>
            <w:r>
              <w:rPr>
                <w:sz w:val="13"/>
              </w:rPr>
              <w:t>15,05%</w:t>
            </w:r>
          </w:p>
        </w:tc>
      </w:tr>
      <w:tr>
        <w:trPr>
          <w:trHeight w:val="251" w:hRule="atLeast"/>
        </w:trPr>
        <w:tc>
          <w:tcPr>
            <w:tcW w:w="1749" w:type="dxa"/>
          </w:tcPr>
          <w:p>
            <w:pPr>
              <w:pStyle w:val="TableParagraph"/>
              <w:spacing w:before="58"/>
              <w:ind w:left="70"/>
              <w:rPr>
                <w:sz w:val="13"/>
              </w:rPr>
            </w:pPr>
            <w:r>
              <w:rPr>
                <w:w w:val="105"/>
                <w:sz w:val="13"/>
              </w:rPr>
              <w:t>V. Ingresos patrimoniales</w:t>
            </w:r>
          </w:p>
        </w:tc>
        <w:tc>
          <w:tcPr>
            <w:tcW w:w="1128" w:type="dxa"/>
          </w:tcPr>
          <w:p>
            <w:pPr>
              <w:pStyle w:val="TableParagraph"/>
              <w:spacing w:before="13"/>
              <w:ind w:right="57"/>
              <w:jc w:val="right"/>
              <w:rPr>
                <w:sz w:val="13"/>
              </w:rPr>
            </w:pPr>
            <w:r>
              <w:rPr>
                <w:w w:val="105"/>
                <w:sz w:val="13"/>
              </w:rPr>
              <w:t>6.106.043,97</w:t>
            </w:r>
          </w:p>
        </w:tc>
        <w:tc>
          <w:tcPr>
            <w:tcW w:w="1139" w:type="dxa"/>
          </w:tcPr>
          <w:p>
            <w:pPr>
              <w:pStyle w:val="TableParagraph"/>
              <w:spacing w:before="13"/>
              <w:ind w:right="57"/>
              <w:jc w:val="right"/>
              <w:rPr>
                <w:sz w:val="13"/>
              </w:rPr>
            </w:pPr>
            <w:r>
              <w:rPr>
                <w:w w:val="105"/>
                <w:sz w:val="13"/>
              </w:rPr>
              <w:t>4.028.718,69</w:t>
            </w:r>
          </w:p>
        </w:tc>
        <w:tc>
          <w:tcPr>
            <w:tcW w:w="1139" w:type="dxa"/>
          </w:tcPr>
          <w:p>
            <w:pPr>
              <w:pStyle w:val="TableParagraph"/>
              <w:spacing w:before="13"/>
              <w:ind w:right="58"/>
              <w:jc w:val="right"/>
              <w:rPr>
                <w:sz w:val="13"/>
              </w:rPr>
            </w:pPr>
            <w:r>
              <w:rPr>
                <w:w w:val="105"/>
                <w:sz w:val="13"/>
              </w:rPr>
              <w:t>3.376.625,46</w:t>
            </w:r>
          </w:p>
        </w:tc>
        <w:tc>
          <w:tcPr>
            <w:tcW w:w="1147" w:type="dxa"/>
          </w:tcPr>
          <w:p>
            <w:pPr>
              <w:pStyle w:val="TableParagraph"/>
              <w:spacing w:before="13"/>
              <w:ind w:right="66"/>
              <w:jc w:val="right"/>
              <w:rPr>
                <w:sz w:val="13"/>
              </w:rPr>
            </w:pPr>
            <w:r>
              <w:rPr>
                <w:w w:val="105"/>
                <w:sz w:val="13"/>
              </w:rPr>
              <w:t>9.920.206,16</w:t>
            </w:r>
          </w:p>
        </w:tc>
        <w:tc>
          <w:tcPr>
            <w:tcW w:w="748" w:type="dxa"/>
          </w:tcPr>
          <w:p>
            <w:pPr>
              <w:pStyle w:val="TableParagraph"/>
              <w:spacing w:before="13"/>
              <w:ind w:right="56"/>
              <w:jc w:val="right"/>
              <w:rPr>
                <w:sz w:val="13"/>
              </w:rPr>
            </w:pPr>
            <w:r>
              <w:rPr>
                <w:sz w:val="13"/>
              </w:rPr>
              <w:t>62,47%</w:t>
            </w:r>
          </w:p>
        </w:tc>
      </w:tr>
      <w:tr>
        <w:trPr>
          <w:trHeight w:val="186" w:hRule="atLeast"/>
        </w:trPr>
        <w:tc>
          <w:tcPr>
            <w:tcW w:w="1749" w:type="dxa"/>
          </w:tcPr>
          <w:p>
            <w:pPr>
              <w:pStyle w:val="TableParagraph"/>
              <w:spacing w:line="153" w:lineRule="exact" w:before="13"/>
              <w:ind w:left="70"/>
              <w:rPr>
                <w:sz w:val="13"/>
              </w:rPr>
            </w:pPr>
            <w:r>
              <w:rPr>
                <w:w w:val="105"/>
                <w:sz w:val="13"/>
              </w:rPr>
              <w:t>VI. Enajenación inversiones</w:t>
            </w:r>
          </w:p>
        </w:tc>
        <w:tc>
          <w:tcPr>
            <w:tcW w:w="1128" w:type="dxa"/>
          </w:tcPr>
          <w:p>
            <w:pPr>
              <w:pStyle w:val="TableParagraph"/>
              <w:spacing w:line="153" w:lineRule="exact" w:before="13"/>
              <w:ind w:right="57"/>
              <w:jc w:val="right"/>
              <w:rPr>
                <w:sz w:val="13"/>
              </w:rPr>
            </w:pPr>
            <w:r>
              <w:rPr>
                <w:sz w:val="13"/>
              </w:rPr>
              <w:t>0,00</w:t>
            </w:r>
          </w:p>
        </w:tc>
        <w:tc>
          <w:tcPr>
            <w:tcW w:w="1139" w:type="dxa"/>
          </w:tcPr>
          <w:p>
            <w:pPr>
              <w:pStyle w:val="TableParagraph"/>
              <w:spacing w:line="153" w:lineRule="exact" w:before="13"/>
              <w:ind w:right="57"/>
              <w:jc w:val="right"/>
              <w:rPr>
                <w:sz w:val="13"/>
              </w:rPr>
            </w:pPr>
            <w:r>
              <w:rPr>
                <w:sz w:val="13"/>
              </w:rPr>
              <w:t>0,00</w:t>
            </w:r>
          </w:p>
        </w:tc>
        <w:tc>
          <w:tcPr>
            <w:tcW w:w="1139" w:type="dxa"/>
          </w:tcPr>
          <w:p>
            <w:pPr>
              <w:pStyle w:val="TableParagraph"/>
              <w:spacing w:line="153" w:lineRule="exact" w:before="13"/>
              <w:ind w:right="57"/>
              <w:jc w:val="right"/>
              <w:rPr>
                <w:sz w:val="13"/>
              </w:rPr>
            </w:pPr>
            <w:r>
              <w:rPr>
                <w:sz w:val="13"/>
              </w:rPr>
              <w:t>0,00</w:t>
            </w:r>
          </w:p>
        </w:tc>
        <w:tc>
          <w:tcPr>
            <w:tcW w:w="1147" w:type="dxa"/>
          </w:tcPr>
          <w:p>
            <w:pPr>
              <w:pStyle w:val="TableParagraph"/>
              <w:spacing w:line="153" w:lineRule="exact" w:before="13"/>
              <w:ind w:right="66"/>
              <w:jc w:val="right"/>
              <w:rPr>
                <w:sz w:val="13"/>
              </w:rPr>
            </w:pPr>
            <w:r>
              <w:rPr>
                <w:sz w:val="13"/>
              </w:rPr>
              <w:t>0,00</w:t>
            </w:r>
          </w:p>
        </w:tc>
        <w:tc>
          <w:tcPr>
            <w:tcW w:w="748" w:type="dxa"/>
          </w:tcPr>
          <w:p>
            <w:pPr>
              <w:pStyle w:val="TableParagraph"/>
              <w:spacing w:line="153" w:lineRule="exact" w:before="13"/>
              <w:ind w:right="56"/>
              <w:jc w:val="right"/>
              <w:rPr>
                <w:sz w:val="13"/>
              </w:rPr>
            </w:pPr>
            <w:r>
              <w:rPr>
                <w:sz w:val="13"/>
              </w:rPr>
              <w:t>0,00%</w:t>
            </w:r>
          </w:p>
        </w:tc>
      </w:tr>
      <w:tr>
        <w:trPr>
          <w:trHeight w:val="393" w:hRule="atLeast"/>
        </w:trPr>
        <w:tc>
          <w:tcPr>
            <w:tcW w:w="1749" w:type="dxa"/>
          </w:tcPr>
          <w:p>
            <w:pPr>
              <w:pStyle w:val="TableParagraph"/>
              <w:spacing w:line="151" w:lineRule="exact"/>
              <w:ind w:left="70"/>
              <w:rPr>
                <w:sz w:val="13"/>
              </w:rPr>
            </w:pPr>
            <w:r>
              <w:rPr>
                <w:w w:val="105"/>
                <w:sz w:val="13"/>
              </w:rPr>
              <w:t>reales</w:t>
            </w:r>
          </w:p>
          <w:p>
            <w:pPr>
              <w:pStyle w:val="TableParagraph"/>
              <w:spacing w:before="49"/>
              <w:ind w:left="70"/>
              <w:rPr>
                <w:sz w:val="13"/>
              </w:rPr>
            </w:pPr>
            <w:r>
              <w:rPr>
                <w:w w:val="105"/>
                <w:sz w:val="13"/>
              </w:rPr>
              <w:t>VII. Transferencias de capital</w:t>
            </w:r>
          </w:p>
        </w:tc>
        <w:tc>
          <w:tcPr>
            <w:tcW w:w="1128" w:type="dxa"/>
          </w:tcPr>
          <w:p>
            <w:pPr>
              <w:pStyle w:val="TableParagraph"/>
              <w:spacing w:before="9"/>
              <w:rPr>
                <w:b/>
                <w:sz w:val="12"/>
              </w:rPr>
            </w:pPr>
          </w:p>
          <w:p>
            <w:pPr>
              <w:pStyle w:val="TableParagraph"/>
              <w:ind w:right="58"/>
              <w:jc w:val="right"/>
              <w:rPr>
                <w:sz w:val="13"/>
              </w:rPr>
            </w:pPr>
            <w:r>
              <w:rPr>
                <w:sz w:val="13"/>
              </w:rPr>
              <w:t>297.962.777,64</w:t>
            </w:r>
          </w:p>
        </w:tc>
        <w:tc>
          <w:tcPr>
            <w:tcW w:w="1139" w:type="dxa"/>
          </w:tcPr>
          <w:p>
            <w:pPr>
              <w:pStyle w:val="TableParagraph"/>
              <w:spacing w:before="9"/>
              <w:rPr>
                <w:b/>
                <w:sz w:val="12"/>
              </w:rPr>
            </w:pPr>
          </w:p>
          <w:p>
            <w:pPr>
              <w:pStyle w:val="TableParagraph"/>
              <w:ind w:right="58"/>
              <w:jc w:val="right"/>
              <w:rPr>
                <w:sz w:val="13"/>
              </w:rPr>
            </w:pPr>
            <w:r>
              <w:rPr>
                <w:sz w:val="13"/>
              </w:rPr>
              <w:t>208.091.535,81</w:t>
            </w:r>
          </w:p>
        </w:tc>
        <w:tc>
          <w:tcPr>
            <w:tcW w:w="1139" w:type="dxa"/>
          </w:tcPr>
          <w:p>
            <w:pPr>
              <w:pStyle w:val="TableParagraph"/>
              <w:spacing w:before="9"/>
              <w:rPr>
                <w:b/>
                <w:sz w:val="12"/>
              </w:rPr>
            </w:pPr>
          </w:p>
          <w:p>
            <w:pPr>
              <w:pStyle w:val="TableParagraph"/>
              <w:ind w:right="58"/>
              <w:jc w:val="right"/>
              <w:rPr>
                <w:sz w:val="13"/>
              </w:rPr>
            </w:pPr>
            <w:r>
              <w:rPr>
                <w:w w:val="105"/>
                <w:sz w:val="13"/>
              </w:rPr>
              <w:t>1.094.286.170,21</w:t>
            </w:r>
          </w:p>
        </w:tc>
        <w:tc>
          <w:tcPr>
            <w:tcW w:w="1147" w:type="dxa"/>
          </w:tcPr>
          <w:p>
            <w:pPr>
              <w:pStyle w:val="TableParagraph"/>
              <w:spacing w:before="9"/>
              <w:rPr>
                <w:b/>
                <w:sz w:val="12"/>
              </w:rPr>
            </w:pPr>
          </w:p>
          <w:p>
            <w:pPr>
              <w:pStyle w:val="TableParagraph"/>
              <w:ind w:right="66"/>
              <w:jc w:val="right"/>
              <w:rPr>
                <w:sz w:val="13"/>
              </w:rPr>
            </w:pPr>
            <w:r>
              <w:rPr>
                <w:w w:val="105"/>
                <w:sz w:val="13"/>
              </w:rPr>
              <w:t>1.302.867.005,86</w:t>
            </w:r>
          </w:p>
        </w:tc>
        <w:tc>
          <w:tcPr>
            <w:tcW w:w="748" w:type="dxa"/>
          </w:tcPr>
          <w:p>
            <w:pPr>
              <w:pStyle w:val="TableParagraph"/>
              <w:spacing w:before="9"/>
              <w:rPr>
                <w:b/>
                <w:sz w:val="12"/>
              </w:rPr>
            </w:pPr>
          </w:p>
          <w:p>
            <w:pPr>
              <w:pStyle w:val="TableParagraph"/>
              <w:ind w:right="56"/>
              <w:jc w:val="right"/>
              <w:rPr>
                <w:sz w:val="13"/>
              </w:rPr>
            </w:pPr>
            <w:r>
              <w:rPr>
                <w:sz w:val="13"/>
              </w:rPr>
              <w:t>337,26%</w:t>
            </w:r>
          </w:p>
        </w:tc>
      </w:tr>
      <w:tr>
        <w:trPr>
          <w:trHeight w:val="251" w:hRule="atLeast"/>
        </w:trPr>
        <w:tc>
          <w:tcPr>
            <w:tcW w:w="1749" w:type="dxa"/>
          </w:tcPr>
          <w:p>
            <w:pPr>
              <w:pStyle w:val="TableParagraph"/>
              <w:spacing w:before="58"/>
              <w:ind w:left="70"/>
              <w:rPr>
                <w:sz w:val="13"/>
              </w:rPr>
            </w:pPr>
            <w:r>
              <w:rPr>
                <w:w w:val="105"/>
                <w:sz w:val="13"/>
              </w:rPr>
              <w:t>VIII. Activos financieros</w:t>
            </w:r>
          </w:p>
        </w:tc>
        <w:tc>
          <w:tcPr>
            <w:tcW w:w="1128" w:type="dxa"/>
          </w:tcPr>
          <w:p>
            <w:pPr>
              <w:pStyle w:val="TableParagraph"/>
              <w:spacing w:before="13"/>
              <w:ind w:right="57"/>
              <w:jc w:val="right"/>
              <w:rPr>
                <w:sz w:val="13"/>
              </w:rPr>
            </w:pPr>
            <w:r>
              <w:rPr>
                <w:w w:val="105"/>
                <w:sz w:val="13"/>
              </w:rPr>
              <w:t>33.185.895,96</w:t>
            </w:r>
          </w:p>
        </w:tc>
        <w:tc>
          <w:tcPr>
            <w:tcW w:w="1139" w:type="dxa"/>
          </w:tcPr>
          <w:p>
            <w:pPr>
              <w:pStyle w:val="TableParagraph"/>
              <w:spacing w:before="13"/>
              <w:ind w:right="57"/>
              <w:jc w:val="right"/>
              <w:rPr>
                <w:sz w:val="13"/>
              </w:rPr>
            </w:pPr>
            <w:r>
              <w:rPr>
                <w:w w:val="105"/>
                <w:sz w:val="13"/>
              </w:rPr>
              <w:t>29.754.732,41</w:t>
            </w:r>
          </w:p>
        </w:tc>
        <w:tc>
          <w:tcPr>
            <w:tcW w:w="1139" w:type="dxa"/>
          </w:tcPr>
          <w:p>
            <w:pPr>
              <w:pStyle w:val="TableParagraph"/>
              <w:spacing w:before="13"/>
              <w:ind w:right="58"/>
              <w:jc w:val="right"/>
              <w:rPr>
                <w:sz w:val="13"/>
              </w:rPr>
            </w:pPr>
            <w:r>
              <w:rPr>
                <w:w w:val="105"/>
                <w:sz w:val="13"/>
              </w:rPr>
              <w:t>70.481.950,91</w:t>
            </w:r>
          </w:p>
        </w:tc>
        <w:tc>
          <w:tcPr>
            <w:tcW w:w="1147" w:type="dxa"/>
          </w:tcPr>
          <w:p>
            <w:pPr>
              <w:pStyle w:val="TableParagraph"/>
              <w:spacing w:before="13"/>
              <w:ind w:right="66"/>
              <w:jc w:val="right"/>
              <w:rPr>
                <w:sz w:val="13"/>
              </w:rPr>
            </w:pPr>
            <w:r>
              <w:rPr>
                <w:w w:val="105"/>
                <w:sz w:val="13"/>
              </w:rPr>
              <w:t>30.533.054,91</w:t>
            </w:r>
          </w:p>
        </w:tc>
        <w:tc>
          <w:tcPr>
            <w:tcW w:w="748" w:type="dxa"/>
          </w:tcPr>
          <w:p>
            <w:pPr>
              <w:pStyle w:val="TableParagraph"/>
              <w:spacing w:before="13"/>
              <w:ind w:right="56"/>
              <w:jc w:val="right"/>
              <w:rPr>
                <w:sz w:val="13"/>
              </w:rPr>
            </w:pPr>
            <w:r>
              <w:rPr>
                <w:sz w:val="13"/>
              </w:rPr>
              <w:t>-7,99%</w:t>
            </w:r>
          </w:p>
        </w:tc>
      </w:tr>
      <w:tr>
        <w:trPr>
          <w:trHeight w:val="251" w:hRule="atLeast"/>
        </w:trPr>
        <w:tc>
          <w:tcPr>
            <w:tcW w:w="1749" w:type="dxa"/>
          </w:tcPr>
          <w:p>
            <w:pPr>
              <w:pStyle w:val="TableParagraph"/>
              <w:spacing w:before="58"/>
              <w:ind w:left="70"/>
              <w:rPr>
                <w:sz w:val="13"/>
              </w:rPr>
            </w:pPr>
            <w:r>
              <w:rPr>
                <w:w w:val="105"/>
                <w:sz w:val="13"/>
              </w:rPr>
              <w:t>Ix. Pasivos financieros</w:t>
            </w:r>
          </w:p>
        </w:tc>
        <w:tc>
          <w:tcPr>
            <w:tcW w:w="1128" w:type="dxa"/>
          </w:tcPr>
          <w:p>
            <w:pPr>
              <w:pStyle w:val="TableParagraph"/>
              <w:spacing w:before="13"/>
              <w:ind w:right="58"/>
              <w:jc w:val="right"/>
              <w:rPr>
                <w:sz w:val="13"/>
              </w:rPr>
            </w:pPr>
            <w:r>
              <w:rPr>
                <w:sz w:val="13"/>
              </w:rPr>
              <w:t>752.871.541,53</w:t>
            </w:r>
          </w:p>
        </w:tc>
        <w:tc>
          <w:tcPr>
            <w:tcW w:w="1139" w:type="dxa"/>
          </w:tcPr>
          <w:p>
            <w:pPr>
              <w:pStyle w:val="TableParagraph"/>
              <w:spacing w:before="13"/>
              <w:ind w:right="57"/>
              <w:jc w:val="right"/>
              <w:rPr>
                <w:sz w:val="13"/>
              </w:rPr>
            </w:pPr>
            <w:r>
              <w:rPr>
                <w:w w:val="105"/>
                <w:sz w:val="13"/>
              </w:rPr>
              <w:t>4.017.199.332,52</w:t>
            </w:r>
          </w:p>
        </w:tc>
        <w:tc>
          <w:tcPr>
            <w:tcW w:w="1139" w:type="dxa"/>
          </w:tcPr>
          <w:p>
            <w:pPr>
              <w:pStyle w:val="TableParagraph"/>
              <w:spacing w:before="13"/>
              <w:ind w:right="58"/>
              <w:jc w:val="right"/>
              <w:rPr>
                <w:sz w:val="13"/>
              </w:rPr>
            </w:pPr>
            <w:r>
              <w:rPr>
                <w:w w:val="105"/>
                <w:sz w:val="13"/>
              </w:rPr>
              <w:t>2.444.031.136,85</w:t>
            </w:r>
          </w:p>
        </w:tc>
        <w:tc>
          <w:tcPr>
            <w:tcW w:w="1147" w:type="dxa"/>
          </w:tcPr>
          <w:p>
            <w:pPr>
              <w:pStyle w:val="TableParagraph"/>
              <w:spacing w:before="13"/>
              <w:ind w:right="66"/>
              <w:jc w:val="right"/>
              <w:rPr>
                <w:sz w:val="13"/>
              </w:rPr>
            </w:pPr>
            <w:r>
              <w:rPr>
                <w:sz w:val="13"/>
              </w:rPr>
              <w:t>927.385.973,89</w:t>
            </w:r>
          </w:p>
        </w:tc>
        <w:tc>
          <w:tcPr>
            <w:tcW w:w="748" w:type="dxa"/>
          </w:tcPr>
          <w:p>
            <w:pPr>
              <w:pStyle w:val="TableParagraph"/>
              <w:spacing w:before="13"/>
              <w:ind w:right="56"/>
              <w:jc w:val="right"/>
              <w:rPr>
                <w:sz w:val="13"/>
              </w:rPr>
            </w:pPr>
            <w:r>
              <w:rPr>
                <w:sz w:val="13"/>
              </w:rPr>
              <w:t>23,18%</w:t>
            </w:r>
          </w:p>
        </w:tc>
      </w:tr>
      <w:tr>
        <w:trPr>
          <w:trHeight w:val="261" w:hRule="atLeast"/>
        </w:trPr>
        <w:tc>
          <w:tcPr>
            <w:tcW w:w="1749" w:type="dxa"/>
            <w:tcBorders>
              <w:bottom w:val="single" w:sz="4" w:space="0" w:color="000000"/>
            </w:tcBorders>
          </w:tcPr>
          <w:p>
            <w:pPr>
              <w:pStyle w:val="TableParagraph"/>
              <w:spacing w:before="58"/>
              <w:ind w:left="540"/>
              <w:rPr>
                <w:b/>
                <w:sz w:val="13"/>
              </w:rPr>
            </w:pPr>
            <w:r>
              <w:rPr>
                <w:b/>
                <w:w w:val="105"/>
                <w:sz w:val="13"/>
              </w:rPr>
              <w:t>Total general</w:t>
            </w:r>
          </w:p>
        </w:tc>
        <w:tc>
          <w:tcPr>
            <w:tcW w:w="1128" w:type="dxa"/>
            <w:tcBorders>
              <w:bottom w:val="single" w:sz="4" w:space="0" w:color="000000"/>
            </w:tcBorders>
          </w:tcPr>
          <w:p>
            <w:pPr>
              <w:pStyle w:val="TableParagraph"/>
              <w:spacing w:before="13"/>
              <w:ind w:right="57"/>
              <w:jc w:val="right"/>
              <w:rPr>
                <w:sz w:val="13"/>
              </w:rPr>
            </w:pPr>
            <w:r>
              <w:rPr>
                <w:w w:val="105"/>
                <w:sz w:val="13"/>
              </w:rPr>
              <w:t>8.660.572.925,89</w:t>
            </w:r>
          </w:p>
        </w:tc>
        <w:tc>
          <w:tcPr>
            <w:tcW w:w="1139" w:type="dxa"/>
            <w:tcBorders>
              <w:bottom w:val="single" w:sz="4" w:space="0" w:color="000000"/>
            </w:tcBorders>
          </w:tcPr>
          <w:p>
            <w:pPr>
              <w:pStyle w:val="TableParagraph"/>
              <w:spacing w:before="13"/>
              <w:ind w:right="57"/>
              <w:jc w:val="right"/>
              <w:rPr>
                <w:sz w:val="13"/>
              </w:rPr>
            </w:pPr>
            <w:r>
              <w:rPr>
                <w:sz w:val="13"/>
              </w:rPr>
              <w:t>12.360.825.762,26</w:t>
            </w:r>
          </w:p>
        </w:tc>
        <w:tc>
          <w:tcPr>
            <w:tcW w:w="1139" w:type="dxa"/>
            <w:tcBorders>
              <w:bottom w:val="single" w:sz="4" w:space="0" w:color="000000"/>
            </w:tcBorders>
          </w:tcPr>
          <w:p>
            <w:pPr>
              <w:pStyle w:val="TableParagraph"/>
              <w:spacing w:before="13"/>
              <w:ind w:right="58"/>
              <w:jc w:val="right"/>
              <w:rPr>
                <w:sz w:val="13"/>
              </w:rPr>
            </w:pPr>
            <w:r>
              <w:rPr>
                <w:sz w:val="13"/>
              </w:rPr>
              <w:t>13.437.158.779,05</w:t>
            </w:r>
          </w:p>
        </w:tc>
        <w:tc>
          <w:tcPr>
            <w:tcW w:w="1147" w:type="dxa"/>
            <w:tcBorders>
              <w:bottom w:val="single" w:sz="4" w:space="0" w:color="000000"/>
            </w:tcBorders>
          </w:tcPr>
          <w:p>
            <w:pPr>
              <w:pStyle w:val="TableParagraph"/>
              <w:spacing w:before="13"/>
              <w:ind w:right="66"/>
              <w:jc w:val="right"/>
              <w:rPr>
                <w:sz w:val="13"/>
              </w:rPr>
            </w:pPr>
            <w:r>
              <w:rPr>
                <w:sz w:val="13"/>
              </w:rPr>
              <w:t>10.698.726.394,77</w:t>
            </w:r>
          </w:p>
        </w:tc>
        <w:tc>
          <w:tcPr>
            <w:tcW w:w="748" w:type="dxa"/>
            <w:tcBorders>
              <w:bottom w:val="single" w:sz="4" w:space="0" w:color="000000"/>
            </w:tcBorders>
          </w:tcPr>
          <w:p>
            <w:pPr>
              <w:pStyle w:val="TableParagraph"/>
              <w:spacing w:before="13"/>
              <w:ind w:right="56"/>
              <w:jc w:val="right"/>
              <w:rPr>
                <w:sz w:val="13"/>
              </w:rPr>
            </w:pPr>
            <w:r>
              <w:rPr>
                <w:sz w:val="13"/>
              </w:rPr>
              <w:t>23,53%</w:t>
            </w:r>
          </w:p>
        </w:tc>
      </w:tr>
    </w:tbl>
    <w:p>
      <w:pPr>
        <w:pStyle w:val="BodyText"/>
        <w:spacing w:before="4"/>
        <w:rPr>
          <w:b/>
          <w:sz w:val="11"/>
        </w:rPr>
      </w:pPr>
    </w:p>
    <w:p>
      <w:pPr>
        <w:pStyle w:val="BodyText"/>
        <w:spacing w:line="242" w:lineRule="auto" w:before="60"/>
        <w:ind w:left="2096" w:right="1139" w:firstLine="594"/>
        <w:jc w:val="both"/>
      </w:pPr>
      <w:r>
        <w:rPr/>
        <w:t>Se observa que los ingresos que más han aumentado este periodo son las transferencias de capital que han pasado de 298 millones de € en 2019 a 1.304 millones en 2022 (337,3 % de incremento).</w:t>
      </w:r>
    </w:p>
    <w:p>
      <w:pPr>
        <w:pStyle w:val="BodyText"/>
      </w:pPr>
    </w:p>
    <w:p>
      <w:pPr>
        <w:pStyle w:val="BodyText"/>
      </w:pPr>
    </w:p>
    <w:p>
      <w:pPr>
        <w:pStyle w:val="BodyText"/>
        <w:spacing w:before="5"/>
        <w:rPr>
          <w:sz w:val="17"/>
        </w:rPr>
      </w:pPr>
    </w:p>
    <w:p>
      <w:pPr>
        <w:pStyle w:val="BodyText"/>
        <w:spacing w:before="1"/>
        <w:ind w:left="7897"/>
        <w:jc w:val="center"/>
      </w:pPr>
      <w:r>
        <w:rPr/>
        <w:t>31</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73" name="image5.png"/>
                  <wp:cNvGraphicFramePr>
                    <a:graphicFrameLocks noChangeAspect="1"/>
                  </wp:cNvGraphicFramePr>
                  <a:graphic>
                    <a:graphicData uri="http://schemas.openxmlformats.org/drawingml/2006/picture">
                      <pic:pic>
                        <pic:nvPicPr>
                          <pic:cNvPr id="7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33/247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7"/>
        <w:rPr>
          <w:b/>
          <w:sz w:val="13"/>
        </w:rPr>
      </w:pPr>
    </w:p>
    <w:tbl>
      <w:tblPr>
        <w:tblW w:w="0" w:type="auto"/>
        <w:jc w:val="left"/>
        <w:tblInd w:w="210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7140"/>
      </w:tblGrid>
      <w:tr>
        <w:trPr>
          <w:trHeight w:val="3125" w:hRule="atLeast"/>
        </w:trPr>
        <w:tc>
          <w:tcPr>
            <w:tcW w:w="7140" w:type="dxa"/>
          </w:tcPr>
          <w:p>
            <w:pPr>
              <w:pStyle w:val="TableParagraph"/>
              <w:spacing w:line="252" w:lineRule="auto" w:before="140"/>
              <w:ind w:left="1301" w:right="1153"/>
              <w:jc w:val="center"/>
              <w:rPr>
                <w:b/>
                <w:sz w:val="16"/>
              </w:rPr>
            </w:pPr>
            <w:r>
              <w:rPr>
                <w:b/>
                <w:color w:val="585858"/>
                <w:w w:val="105"/>
                <w:sz w:val="16"/>
              </w:rPr>
              <w:t>EVOLUCION DE LOS INGRESOS CONSOLIDADOS DE LOS ENTES CON PRESUPUESTO LIMITATIVO</w:t>
            </w:r>
          </w:p>
          <w:p>
            <w:pPr>
              <w:pStyle w:val="TableParagraph"/>
              <w:spacing w:before="7"/>
              <w:rPr>
                <w:b/>
                <w:sz w:val="14"/>
              </w:rPr>
            </w:pPr>
          </w:p>
          <w:p>
            <w:pPr>
              <w:pStyle w:val="TableParagraph"/>
              <w:ind w:right="4956"/>
              <w:jc w:val="right"/>
              <w:rPr>
                <w:sz w:val="15"/>
              </w:rPr>
            </w:pPr>
            <w:r>
              <w:rPr>
                <w:color w:val="585858"/>
                <w:sz w:val="15"/>
              </w:rPr>
              <w:t>IX. PASIVOS</w:t>
            </w:r>
            <w:r>
              <w:rPr>
                <w:color w:val="585858"/>
                <w:spacing w:val="3"/>
                <w:sz w:val="15"/>
              </w:rPr>
              <w:t> </w:t>
            </w:r>
            <w:r>
              <w:rPr>
                <w:color w:val="585858"/>
                <w:sz w:val="15"/>
              </w:rPr>
              <w:t>FINANCIEROS</w:t>
            </w:r>
          </w:p>
          <w:p>
            <w:pPr>
              <w:pStyle w:val="TableParagraph"/>
              <w:spacing w:before="6"/>
              <w:rPr>
                <w:b/>
                <w:sz w:val="14"/>
              </w:rPr>
            </w:pPr>
          </w:p>
          <w:p>
            <w:pPr>
              <w:pStyle w:val="TableParagraph"/>
              <w:ind w:right="4956"/>
              <w:jc w:val="right"/>
              <w:rPr>
                <w:sz w:val="15"/>
              </w:rPr>
            </w:pPr>
            <w:r>
              <w:rPr>
                <w:color w:val="585858"/>
                <w:sz w:val="15"/>
              </w:rPr>
              <w:t>VII. TRANSFERENCIAS DE</w:t>
            </w:r>
            <w:r>
              <w:rPr>
                <w:color w:val="585858"/>
                <w:spacing w:val="1"/>
                <w:sz w:val="15"/>
              </w:rPr>
              <w:t> </w:t>
            </w:r>
            <w:r>
              <w:rPr>
                <w:color w:val="585858"/>
                <w:sz w:val="15"/>
              </w:rPr>
              <w:t>CAPITAL</w:t>
            </w:r>
          </w:p>
          <w:p>
            <w:pPr>
              <w:pStyle w:val="TableParagraph"/>
              <w:spacing w:before="6"/>
              <w:rPr>
                <w:b/>
                <w:sz w:val="14"/>
              </w:rPr>
            </w:pPr>
          </w:p>
          <w:p>
            <w:pPr>
              <w:pStyle w:val="TableParagraph"/>
              <w:ind w:right="4955"/>
              <w:jc w:val="right"/>
              <w:rPr>
                <w:sz w:val="15"/>
              </w:rPr>
            </w:pPr>
            <w:r>
              <w:rPr>
                <w:color w:val="585858"/>
                <w:sz w:val="15"/>
              </w:rPr>
              <w:t>V. INGRESOS</w:t>
            </w:r>
            <w:r>
              <w:rPr>
                <w:color w:val="585858"/>
                <w:spacing w:val="2"/>
                <w:sz w:val="15"/>
              </w:rPr>
              <w:t> </w:t>
            </w:r>
            <w:r>
              <w:rPr>
                <w:color w:val="585858"/>
                <w:sz w:val="15"/>
              </w:rPr>
              <w:t>PATRIMONIALES</w:t>
            </w:r>
          </w:p>
          <w:p>
            <w:pPr>
              <w:pStyle w:val="TableParagraph"/>
              <w:spacing w:before="7"/>
              <w:rPr>
                <w:b/>
                <w:sz w:val="14"/>
              </w:rPr>
            </w:pPr>
          </w:p>
          <w:p>
            <w:pPr>
              <w:pStyle w:val="TableParagraph"/>
              <w:numPr>
                <w:ilvl w:val="0"/>
                <w:numId w:val="13"/>
              </w:numPr>
              <w:tabs>
                <w:tab w:pos="187" w:val="left" w:leader="none"/>
              </w:tabs>
              <w:spacing w:line="240" w:lineRule="auto" w:before="0" w:after="0"/>
              <w:ind w:left="554" w:right="4954" w:hanging="555"/>
              <w:jc w:val="right"/>
              <w:rPr>
                <w:sz w:val="15"/>
              </w:rPr>
            </w:pPr>
            <w:r>
              <w:rPr>
                <w:color w:val="585858"/>
                <w:sz w:val="15"/>
              </w:rPr>
              <w:t>TASAS Y OTROS</w:t>
            </w:r>
            <w:r>
              <w:rPr>
                <w:color w:val="585858"/>
                <w:spacing w:val="4"/>
                <w:sz w:val="15"/>
              </w:rPr>
              <w:t> </w:t>
            </w:r>
            <w:r>
              <w:rPr>
                <w:color w:val="585858"/>
                <w:sz w:val="15"/>
              </w:rPr>
              <w:t>INGRESOS</w:t>
            </w:r>
          </w:p>
          <w:p>
            <w:pPr>
              <w:pStyle w:val="TableParagraph"/>
              <w:spacing w:before="5"/>
              <w:rPr>
                <w:b/>
                <w:sz w:val="14"/>
              </w:rPr>
            </w:pPr>
          </w:p>
          <w:p>
            <w:pPr>
              <w:pStyle w:val="TableParagraph"/>
              <w:numPr>
                <w:ilvl w:val="1"/>
                <w:numId w:val="13"/>
              </w:numPr>
              <w:tabs>
                <w:tab w:pos="111" w:val="left" w:leader="none"/>
              </w:tabs>
              <w:spacing w:line="240" w:lineRule="auto" w:before="1" w:after="0"/>
              <w:ind w:left="795" w:right="4954" w:hanging="796"/>
              <w:jc w:val="right"/>
              <w:rPr>
                <w:sz w:val="15"/>
              </w:rPr>
            </w:pPr>
            <w:r>
              <w:rPr>
                <w:color w:val="585858"/>
                <w:sz w:val="15"/>
              </w:rPr>
              <w:t>IMPUESTOS</w:t>
            </w:r>
            <w:r>
              <w:rPr>
                <w:color w:val="585858"/>
                <w:spacing w:val="1"/>
                <w:sz w:val="15"/>
              </w:rPr>
              <w:t> </w:t>
            </w:r>
            <w:r>
              <w:rPr>
                <w:color w:val="585858"/>
                <w:sz w:val="15"/>
              </w:rPr>
              <w:t>DIRECTOS</w:t>
            </w:r>
          </w:p>
          <w:p>
            <w:pPr>
              <w:pStyle w:val="TableParagraph"/>
              <w:tabs>
                <w:tab w:pos="2948" w:val="left" w:leader="none"/>
              </w:tabs>
              <w:spacing w:before="103"/>
              <w:ind w:left="2175"/>
              <w:rPr>
                <w:sz w:val="15"/>
              </w:rPr>
            </w:pPr>
            <w:r>
              <w:rPr>
                <w:color w:val="585858"/>
                <w:sz w:val="15"/>
              </w:rPr>
              <w:t>0,00</w:t>
              <w:tab/>
              <w:t>2.000.000.000,00 4.000.000.000,00</w:t>
            </w:r>
            <w:r>
              <w:rPr>
                <w:color w:val="585858"/>
                <w:spacing w:val="7"/>
                <w:sz w:val="15"/>
              </w:rPr>
              <w:t> </w:t>
            </w:r>
            <w:r>
              <w:rPr>
                <w:color w:val="585858"/>
                <w:sz w:val="15"/>
              </w:rPr>
              <w:t>6.000.000.000,00</w:t>
            </w:r>
          </w:p>
          <w:p>
            <w:pPr>
              <w:pStyle w:val="TableParagraph"/>
              <w:spacing w:before="5"/>
              <w:rPr>
                <w:b/>
                <w:sz w:val="12"/>
              </w:rPr>
            </w:pPr>
          </w:p>
          <w:p>
            <w:pPr>
              <w:pStyle w:val="TableParagraph"/>
              <w:tabs>
                <w:tab w:pos="741" w:val="left" w:leader="none"/>
                <w:tab w:pos="1289" w:val="left" w:leader="none"/>
                <w:tab w:pos="1837" w:val="left" w:leader="none"/>
              </w:tabs>
              <w:ind w:left="193"/>
              <w:jc w:val="center"/>
              <w:rPr>
                <w:sz w:val="15"/>
              </w:rPr>
            </w:pPr>
            <w:r>
              <w:rPr>
                <w:color w:val="585858"/>
                <w:sz w:val="15"/>
              </w:rPr>
              <w:t>2022</w:t>
              <w:tab/>
              <w:t>2021</w:t>
              <w:tab/>
              <w:t>2020</w:t>
              <w:tab/>
              <w:t>2019</w:t>
            </w:r>
          </w:p>
        </w:tc>
      </w:tr>
    </w:tbl>
    <w:p>
      <w:pPr>
        <w:pStyle w:val="BodyText"/>
        <w:spacing w:before="9"/>
        <w:rPr>
          <w:b/>
          <w:sz w:val="11"/>
        </w:rPr>
      </w:pPr>
    </w:p>
    <w:p>
      <w:pPr>
        <w:pStyle w:val="ListParagraph"/>
        <w:numPr>
          <w:ilvl w:val="1"/>
          <w:numId w:val="10"/>
        </w:numPr>
        <w:tabs>
          <w:tab w:pos="2579" w:val="left" w:leader="none"/>
          <w:tab w:pos="2580" w:val="left" w:leader="none"/>
        </w:tabs>
        <w:spacing w:line="240" w:lineRule="auto" w:before="61" w:after="0"/>
        <w:ind w:left="2579" w:right="0" w:hanging="484"/>
        <w:jc w:val="left"/>
        <w:rPr>
          <w:b/>
          <w:sz w:val="20"/>
        </w:rPr>
      </w:pPr>
      <w:r>
        <w:rPr/>
        <w:pict>
          <v:group style="position:absolute;margin-left:257.988495pt;margin-top:-127.20459pt;width:189.5pt;height:81.05pt;mso-position-horizontal-relative:page;mso-position-vertical-relative:paragraph;z-index:-323100672" coordorigin="5160,-2544" coordsize="3790,1621">
            <v:shape style="position:absolute;left:6417;top:-2077;width:1400;height:1931" coordorigin="6418,-2076" coordsize="1400,1931" path="m6340,-2544l6340,-923m7515,-2544l7515,-923e" filled="false" stroked="true" strokeweight=".629697pt" strokecolor="#d9d9d9">
              <v:path arrowok="t"/>
              <v:stroke dashstyle="solid"/>
            </v:shape>
            <v:line style="position:absolute" from="5166,-1508" to="7626,-1508" stroked="true" strokeweight="1.511274pt" strokecolor="#4471c4">
              <v:stroke dashstyle="solid"/>
            </v:line>
            <v:rect style="position:absolute;left:5166;top:-1702;width:4;height:31" filled="true" fillcolor="#4471c4" stroked="false">
              <v:fill type="solid"/>
            </v:rect>
            <v:line style="position:absolute" from="5166,-2048" to="5341,-2048" stroked="true" strokeweight="1.511274pt" strokecolor="#4471c4">
              <v:stroke dashstyle="solid"/>
            </v:line>
            <v:rect style="position:absolute;left:5166;top:-2245;width:20;height:33" filled="true" fillcolor="#4471c4" stroked="false">
              <v:fill type="solid"/>
            </v:rect>
            <v:shape style="position:absolute;left:5166;top:-2409;width:927;height:1441" coordorigin="5166,-2408" coordsize="927,1441" path="m5166,-2408l5609,-2408m5166,-967l6092,-967e" filled="false" stroked="true" strokeweight="1.511274pt" strokecolor="#4471c4">
              <v:path arrowok="t"/>
              <v:stroke dashstyle="solid"/>
            </v:shape>
            <v:line style="position:absolute" from="5166,-998" to="6191,-998" stroked="true" strokeweight="1.511274pt" strokecolor="#ec7c30">
              <v:stroke dashstyle="solid"/>
            </v:line>
            <v:line style="position:absolute" from="5166,-1147" to="6132,-1147" stroked="true" strokeweight="1.511274pt" strokecolor="#4471c4">
              <v:stroke dashstyle="solid"/>
            </v:line>
            <v:line style="position:absolute" from="5166,-1178" to="5868,-1178" stroked="true" strokeweight="1.612026pt" strokecolor="#ec7c30">
              <v:stroke dashstyle="solid"/>
            </v:line>
            <v:rect style="position:absolute;left:5166;top:-1344;width:94;height:33" filled="true" fillcolor="#4471c4" stroked="false">
              <v:fill type="solid"/>
            </v:rect>
            <v:rect style="position:absolute;left:5166;top:-1374;width:94;height:31" filled="true" fillcolor="#ec7c30" stroked="false">
              <v:fill type="solid"/>
            </v:rect>
            <v:line style="position:absolute" from="5166,-1538" to="8103,-1538" stroked="true" strokeweight="1.511274pt" strokecolor="#ec7c30">
              <v:stroke dashstyle="solid"/>
            </v:line>
            <v:shape style="position:absolute;left:5166;top:-2275;width:123;height:573" coordorigin="5166,-2274" coordsize="123,573" path="m5169,-1734l5166,-1734,5166,-1702,5169,-1702,5169,-1734m5183,-2274l5166,-2274,5166,-2244,5183,-2244,5183,-2274m5288,-2093l5166,-2093,5166,-2063,5288,-2063,5288,-2093e" filled="true" fillcolor="#ec7c30" stroked="false">
              <v:path arrowok="t"/>
              <v:fill type="solid"/>
            </v:shape>
            <v:line style="position:absolute" from="5166,-2438" to="7525,-2438" stroked="true" strokeweight="1.511274pt" strokecolor="#ec7c30">
              <v:stroke dashstyle="solid"/>
            </v:line>
            <v:line style="position:absolute" from="5166,-1029" to="6171,-1029" stroked="true" strokeweight="1.612026pt" strokecolor="#a4a4a4">
              <v:stroke dashstyle="solid"/>
            </v:line>
            <v:line style="position:absolute" from="5166,-1209" to="6046,-1209" stroked="true" strokeweight="1.511274pt" strokecolor="#a4a4a4">
              <v:stroke dashstyle="solid"/>
            </v:line>
            <v:rect style="position:absolute;left:5166;top:-1404;width:100;height:31" filled="true" fillcolor="#a4a4a4" stroked="false">
              <v:fill type="solid"/>
            </v:rect>
            <v:line style="position:absolute" from="8689,-2544" to="8689,-923" stroked="true" strokeweight=".629697pt" strokecolor="#d9d9d9">
              <v:stroke dashstyle="solid"/>
            </v:line>
            <v:line style="position:absolute" from="5166,-1569" to="8949,-1569" stroked="true" strokeweight="1.612026pt" strokecolor="#a4a4a4">
              <v:stroke dashstyle="solid"/>
            </v:line>
            <v:rect style="position:absolute;left:5166;top:-1765;width:3;height:31" filled="true" fillcolor="#a4a4a4" stroked="false">
              <v:fill type="solid"/>
            </v:rect>
            <v:line style="position:absolute" from="5166,-2109" to="5808,-2109" stroked="true" strokeweight="1.612026pt" strokecolor="#a4a4a4">
              <v:stroke dashstyle="solid"/>
            </v:line>
            <v:rect style="position:absolute;left:5166;top:-2305;width:42;height:31" filled="true" fillcolor="#a4a4a4" stroked="false">
              <v:fill type="solid"/>
            </v:rect>
            <v:line style="position:absolute" from="5166,-2470" to="6602,-2470" stroked="true" strokeweight="1.612026pt" strokecolor="#a4a4a4">
              <v:stroke dashstyle="solid"/>
            </v:line>
            <v:line style="position:absolute" from="5166,-1060" to="6130,-1060" stroked="true" strokeweight="1.511274pt" strokecolor="#ffc000">
              <v:stroke dashstyle="solid"/>
            </v:line>
            <v:line style="position:absolute" from="5166,-1240" to="6157,-1240" stroked="true" strokeweight="1.511274pt" strokecolor="#ffc000">
              <v:stroke dashstyle="solid"/>
            </v:line>
            <v:line style="position:absolute" from="5166,-1420" to="5328,-1420" stroked="true" strokeweight="1.612026pt" strokecolor="#ffc000">
              <v:stroke dashstyle="solid"/>
            </v:line>
            <v:line style="position:absolute" from="5166,-1600" to="7994,-1600" stroked="true" strokeweight="1.511274pt" strokecolor="#ffc000">
              <v:stroke dashstyle="solid"/>
            </v:line>
            <v:rect style="position:absolute;left:5166;top:-1795;width:6;height:31" filled="true" fillcolor="#ffc000" stroked="false">
              <v:fill type="solid"/>
            </v:rect>
            <v:line style="position:absolute" from="5166,-2140" to="5931,-2140" stroked="true" strokeweight="1.511274pt" strokecolor="#ffc000">
              <v:stroke dashstyle="solid"/>
            </v:line>
            <v:rect style="position:absolute;left:5166;top:-2337;width:18;height:33" filled="true" fillcolor="#ffc000" stroked="false">
              <v:fill type="solid"/>
            </v:rect>
            <v:line style="position:absolute" from="5166,-2501" to="5711,-2501" stroked="true" strokeweight="1.511274pt" strokecolor="#ffc000">
              <v:stroke dashstyle="solid"/>
            </v:line>
            <v:line style="position:absolute" from="5166,-923" to="5166,-2544" stroked="true" strokeweight=".629697pt" strokecolor="#d9d9d9">
              <v:stroke dashstyle="solid"/>
            </v:line>
            <w10:wrap type="none"/>
          </v:group>
        </w:pict>
      </w:r>
      <w:r>
        <w:rPr/>
        <w:pict>
          <v:rect style="position:absolute;margin-left:271.107178pt;margin-top:-21.686861pt;width:4.150378pt;height:4.150378pt;mso-position-horizontal-relative:page;mso-position-vertical-relative:paragraph;z-index:-323099648" filled="true" fillcolor="#ffc000" stroked="false">
            <v:fill type="solid"/>
            <w10:wrap type="none"/>
          </v:rect>
        </w:pict>
      </w:r>
      <w:r>
        <w:rPr/>
        <w:pict>
          <v:rect style="position:absolute;margin-left:298.494812pt;margin-top:-21.686861pt;width:4.150378pt;height:4.150378pt;mso-position-horizontal-relative:page;mso-position-vertical-relative:paragraph;z-index:-323098624" filled="true" fillcolor="#a4a4a4" stroked="false">
            <v:fill type="solid"/>
            <w10:wrap type="none"/>
          </v:rect>
        </w:pict>
      </w:r>
      <w:r>
        <w:rPr/>
        <w:pict>
          <v:rect style="position:absolute;margin-left:325.890869pt;margin-top:-21.686861pt;width:4.150378pt;height:4.150378pt;mso-position-horizontal-relative:page;mso-position-vertical-relative:paragraph;z-index:-323097600" filled="true" fillcolor="#ec7c30" stroked="false">
            <v:fill type="solid"/>
            <w10:wrap type="none"/>
          </v:rect>
        </w:pict>
      </w:r>
      <w:r>
        <w:rPr/>
        <w:pict>
          <v:rect style="position:absolute;margin-left:353.286896pt;margin-top:-21.686861pt;width:4.150378pt;height:4.150378pt;mso-position-horizontal-relative:page;mso-position-vertical-relative:paragraph;z-index:-323096576" filled="true" fillcolor="#4471c4" stroked="false">
            <v:fill type="solid"/>
            <w10:wrap type="none"/>
          </v:rect>
        </w:pict>
      </w:r>
      <w:r>
        <w:rPr>
          <w:b/>
          <w:color w:val="53A1B9"/>
          <w:sz w:val="20"/>
        </w:rPr>
        <w:t>Administración Pública de la Comunidad Autónoma de</w:t>
      </w:r>
      <w:r>
        <w:rPr>
          <w:b/>
          <w:color w:val="53A1B9"/>
          <w:spacing w:val="-2"/>
          <w:sz w:val="20"/>
        </w:rPr>
        <w:t> </w:t>
      </w:r>
      <w:r>
        <w:rPr>
          <w:b/>
          <w:color w:val="53A1B9"/>
          <w:sz w:val="20"/>
        </w:rPr>
        <w:t>Canarias.</w:t>
      </w:r>
    </w:p>
    <w:p>
      <w:pPr>
        <w:pStyle w:val="BodyText"/>
        <w:spacing w:before="10"/>
        <w:rPr>
          <w:b/>
          <w:sz w:val="16"/>
        </w:rPr>
      </w:pPr>
    </w:p>
    <w:p>
      <w:pPr>
        <w:pStyle w:val="ListParagraph"/>
        <w:numPr>
          <w:ilvl w:val="2"/>
          <w:numId w:val="10"/>
        </w:numPr>
        <w:tabs>
          <w:tab w:pos="2691" w:val="left" w:leader="none"/>
        </w:tabs>
        <w:spacing w:line="439" w:lineRule="auto" w:before="0" w:after="0"/>
        <w:ind w:left="2096" w:right="3058" w:hanging="11"/>
        <w:jc w:val="left"/>
        <w:rPr>
          <w:b/>
          <w:sz w:val="20"/>
        </w:rPr>
      </w:pPr>
      <w:r>
        <w:rPr>
          <w:b/>
          <w:color w:val="53A1B9"/>
          <w:sz w:val="20"/>
        </w:rPr>
        <w:t>Balance y cuenta de resultados económico patrimonial.</w:t>
      </w:r>
      <w:r>
        <w:rPr>
          <w:b/>
          <w:sz w:val="20"/>
        </w:rPr>
        <w:t> Balance</w:t>
      </w:r>
    </w:p>
    <w:p>
      <w:pPr>
        <w:pStyle w:val="BodyText"/>
        <w:spacing w:line="242" w:lineRule="auto" w:before="1"/>
        <w:ind w:left="2096" w:right="1140" w:firstLine="594"/>
        <w:jc w:val="both"/>
      </w:pPr>
      <w:r>
        <w:rPr/>
        <w:pict>
          <v:group style="position:absolute;margin-left:150.473938pt;margin-top:59.258793pt;width:341.85pt;height:19.350pt;mso-position-horizontal-relative:page;mso-position-vertical-relative:paragraph;z-index:-323102720" coordorigin="3009,1185" coordsize="6837,387">
            <v:shape style="position:absolute;left:3009;top:1193;width:6837;height:379" coordorigin="3009,1193" coordsize="6837,379" path="m7595,1193l6067,1193,3009,1193,3009,1572,6067,1572,7595,1572,7595,1193m9846,1193l9006,1193,7595,1193,7595,1572,9006,1572,9846,1572,9846,1193e" filled="true" fillcolor="#deeaf6" stroked="false">
              <v:path arrowok="t"/>
              <v:fill type="solid"/>
            </v:shape>
            <v:line style="position:absolute" from="3009,1189" to="6067,1189" stroked="true" strokeweight=".403015pt" strokecolor="#000000">
              <v:stroke dashstyle="solid"/>
            </v:line>
            <v:rect style="position:absolute;left:6067;top:1185;width:9;height:9" filled="true" fillcolor="#000000" stroked="false">
              <v:fill type="solid"/>
            </v:rect>
            <v:line style="position:absolute" from="6075,1189" to="7595,1189" stroked="true" strokeweight=".403015pt" strokecolor="#000000">
              <v:stroke dashstyle="solid"/>
            </v:line>
            <v:rect style="position:absolute;left:7595;top:1185;width:9;height:9" filled="true" fillcolor="#000000" stroked="false">
              <v:fill type="solid"/>
            </v:rect>
            <v:line style="position:absolute" from="7603,1189" to="9006,1189" stroked="true" strokeweight=".403015pt" strokecolor="#000000">
              <v:stroke dashstyle="solid"/>
            </v:line>
            <v:rect style="position:absolute;left:9005;top:1185;width:9;height:9" filled="true" fillcolor="#000000" stroked="false">
              <v:fill type="solid"/>
            </v:rect>
            <v:line style="position:absolute" from="9014,1189" to="9846,1189" stroked="true" strokeweight=".403015pt" strokecolor="#000000">
              <v:stroke dashstyle="solid"/>
            </v:line>
            <v:shape style="position:absolute;left:4337;top:1321;width:416;height:152" type="#_x0000_t202" filled="false" stroked="false">
              <v:textbox inset="0,0,0,0">
                <w:txbxContent>
                  <w:p>
                    <w:pPr>
                      <w:spacing w:line="151" w:lineRule="exact" w:before="0"/>
                      <w:ind w:left="0" w:right="0" w:firstLine="0"/>
                      <w:jc w:val="left"/>
                      <w:rPr>
                        <w:b/>
                        <w:sz w:val="15"/>
                      </w:rPr>
                    </w:pPr>
                    <w:r>
                      <w:rPr>
                        <w:b/>
                        <w:sz w:val="15"/>
                      </w:rPr>
                      <w:t>Activo</w:t>
                    </w:r>
                  </w:p>
                </w:txbxContent>
              </v:textbox>
              <w10:wrap type="none"/>
            </v:shape>
            <v:shape style="position:absolute;left:6677;top:1321;width:327;height:152" type="#_x0000_t202" filled="false" stroked="false">
              <v:textbox inset="0,0,0,0">
                <w:txbxContent>
                  <w:p>
                    <w:pPr>
                      <w:spacing w:line="151" w:lineRule="exact" w:before="0"/>
                      <w:ind w:left="0" w:right="0" w:firstLine="0"/>
                      <w:jc w:val="left"/>
                      <w:rPr>
                        <w:b/>
                        <w:sz w:val="15"/>
                      </w:rPr>
                    </w:pPr>
                    <w:r>
                      <w:rPr>
                        <w:b/>
                        <w:sz w:val="15"/>
                      </w:rPr>
                      <w:t>2021</w:t>
                    </w:r>
                  </w:p>
                </w:txbxContent>
              </v:textbox>
              <w10:wrap type="none"/>
            </v:shape>
            <v:shape style="position:absolute;left:8147;top:1321;width:327;height:152" type="#_x0000_t202" filled="false" stroked="false">
              <v:textbox inset="0,0,0,0">
                <w:txbxContent>
                  <w:p>
                    <w:pPr>
                      <w:spacing w:line="151" w:lineRule="exact" w:before="0"/>
                      <w:ind w:left="0" w:right="0" w:firstLine="0"/>
                      <w:jc w:val="left"/>
                      <w:rPr>
                        <w:b/>
                        <w:sz w:val="15"/>
                      </w:rPr>
                    </w:pPr>
                    <w:r>
                      <w:rPr>
                        <w:b/>
                        <w:sz w:val="15"/>
                      </w:rPr>
                      <w:t>2022</w:t>
                    </w:r>
                  </w:p>
                </w:txbxContent>
              </v:textbox>
              <w10:wrap type="none"/>
            </v:shape>
            <v:shape style="position:absolute;left:9128;top:1229;width:611;height:152" type="#_x0000_t202" filled="false" stroked="false">
              <v:textbox inset="0,0,0,0">
                <w:txbxContent>
                  <w:p>
                    <w:pPr>
                      <w:spacing w:line="151" w:lineRule="exact" w:before="0"/>
                      <w:ind w:left="0" w:right="0" w:firstLine="0"/>
                      <w:jc w:val="left"/>
                      <w:rPr>
                        <w:b/>
                        <w:sz w:val="15"/>
                      </w:rPr>
                    </w:pPr>
                    <w:r>
                      <w:rPr>
                        <w:b/>
                        <w:sz w:val="15"/>
                      </w:rPr>
                      <w:t>Variación</w:t>
                    </w:r>
                  </w:p>
                </w:txbxContent>
              </v:textbox>
              <w10:wrap type="none"/>
            </v:shape>
            <w10:wrap type="none"/>
          </v:group>
        </w:pict>
      </w:r>
      <w:r>
        <w:rPr/>
        <w:pict>
          <v:rect style="position:absolute;margin-left:453.198914pt;margin-top:69.132462pt;width:36.189973pt;height:9.168395pt;mso-position-horizontal-relative:page;mso-position-vertical-relative:paragraph;z-index:-323101696" filled="true" fillcolor="#deeaf6" stroked="false">
            <v:fill type="solid"/>
            <w10:wrap type="none"/>
          </v:rect>
        </w:pict>
      </w:r>
      <w:r>
        <w:rPr/>
        <w:t>Se recoge a continuación el Balance por masas patrimoniales, donde la principal variación del activo respecto al ejercicio anterior obedece al aumento de la partida de deudores (499 millones de €), mientras que, en el pasivo, destaca el incremento de la partida de acreedores (493 millones de €):</w:t>
      </w:r>
    </w:p>
    <w:p>
      <w:pPr>
        <w:pStyle w:val="BodyText"/>
      </w:pPr>
    </w:p>
    <w:p>
      <w:pPr>
        <w:pStyle w:val="BodyText"/>
        <w:spacing w:before="10"/>
        <w:rPr>
          <w:sz w:val="14"/>
        </w:rPr>
      </w:pPr>
    </w:p>
    <w:tbl>
      <w:tblPr>
        <w:tblW w:w="0" w:type="auto"/>
        <w:jc w:val="left"/>
        <w:tblInd w:w="2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4"/>
        <w:gridCol w:w="1582"/>
        <w:gridCol w:w="1353"/>
        <w:gridCol w:w="829"/>
      </w:tblGrid>
      <w:tr>
        <w:trPr>
          <w:trHeight w:val="187" w:hRule="atLeast"/>
        </w:trPr>
        <w:tc>
          <w:tcPr>
            <w:tcW w:w="6019" w:type="dxa"/>
            <w:gridSpan w:val="3"/>
            <w:shd w:val="clear" w:color="auto" w:fill="DEEAF6"/>
          </w:tcPr>
          <w:p>
            <w:pPr>
              <w:pStyle w:val="TableParagraph"/>
              <w:rPr>
                <w:rFonts w:ascii="Times New Roman"/>
                <w:sz w:val="12"/>
              </w:rPr>
            </w:pPr>
          </w:p>
        </w:tc>
        <w:tc>
          <w:tcPr>
            <w:tcW w:w="829" w:type="dxa"/>
            <w:shd w:val="clear" w:color="auto" w:fill="DEEAF6"/>
          </w:tcPr>
          <w:p>
            <w:pPr>
              <w:pStyle w:val="TableParagraph"/>
              <w:spacing w:line="154" w:lineRule="exact"/>
              <w:ind w:right="80"/>
              <w:jc w:val="right"/>
              <w:rPr>
                <w:b/>
                <w:sz w:val="15"/>
              </w:rPr>
            </w:pPr>
            <w:r>
              <w:rPr>
                <w:b/>
                <w:sz w:val="15"/>
              </w:rPr>
              <w:t>2022/2021</w:t>
            </w:r>
          </w:p>
        </w:tc>
      </w:tr>
      <w:tr>
        <w:trPr>
          <w:trHeight w:val="237" w:hRule="atLeast"/>
        </w:trPr>
        <w:tc>
          <w:tcPr>
            <w:tcW w:w="3084" w:type="dxa"/>
          </w:tcPr>
          <w:p>
            <w:pPr>
              <w:pStyle w:val="TableParagraph"/>
              <w:spacing w:before="6"/>
              <w:ind w:left="70"/>
              <w:rPr>
                <w:b/>
                <w:sz w:val="15"/>
              </w:rPr>
            </w:pPr>
            <w:r>
              <w:rPr>
                <w:b/>
                <w:sz w:val="15"/>
              </w:rPr>
              <w:t>A) ACTIVO NO CORRIENTE</w:t>
            </w:r>
          </w:p>
        </w:tc>
        <w:tc>
          <w:tcPr>
            <w:tcW w:w="1582" w:type="dxa"/>
          </w:tcPr>
          <w:p>
            <w:pPr>
              <w:pStyle w:val="TableParagraph"/>
              <w:spacing w:before="6"/>
              <w:ind w:right="127"/>
              <w:jc w:val="right"/>
              <w:rPr>
                <w:b/>
                <w:sz w:val="15"/>
              </w:rPr>
            </w:pPr>
            <w:r>
              <w:rPr>
                <w:b/>
                <w:sz w:val="15"/>
              </w:rPr>
              <w:t>6.767.035.322,41</w:t>
            </w:r>
          </w:p>
        </w:tc>
        <w:tc>
          <w:tcPr>
            <w:tcW w:w="1353" w:type="dxa"/>
          </w:tcPr>
          <w:p>
            <w:pPr>
              <w:pStyle w:val="TableParagraph"/>
              <w:spacing w:before="6"/>
              <w:ind w:right="69"/>
              <w:jc w:val="right"/>
              <w:rPr>
                <w:b/>
                <w:sz w:val="15"/>
              </w:rPr>
            </w:pPr>
            <w:r>
              <w:rPr>
                <w:b/>
                <w:sz w:val="15"/>
              </w:rPr>
              <w:t>6.917.568.981,52</w:t>
            </w:r>
          </w:p>
        </w:tc>
        <w:tc>
          <w:tcPr>
            <w:tcW w:w="829" w:type="dxa"/>
          </w:tcPr>
          <w:p>
            <w:pPr>
              <w:pStyle w:val="TableParagraph"/>
              <w:spacing w:before="6"/>
              <w:ind w:right="57"/>
              <w:jc w:val="right"/>
              <w:rPr>
                <w:sz w:val="15"/>
              </w:rPr>
            </w:pPr>
            <w:r>
              <w:rPr>
                <w:sz w:val="15"/>
              </w:rPr>
              <w:t>2,22%</w:t>
            </w:r>
          </w:p>
        </w:tc>
      </w:tr>
      <w:tr>
        <w:trPr>
          <w:trHeight w:val="251" w:hRule="atLeast"/>
        </w:trPr>
        <w:tc>
          <w:tcPr>
            <w:tcW w:w="3084" w:type="dxa"/>
          </w:tcPr>
          <w:p>
            <w:pPr>
              <w:pStyle w:val="TableParagraph"/>
              <w:spacing w:before="21"/>
              <w:ind w:left="70"/>
              <w:rPr>
                <w:sz w:val="15"/>
              </w:rPr>
            </w:pPr>
            <w:r>
              <w:rPr>
                <w:sz w:val="15"/>
              </w:rPr>
              <w:t>I. Inmovilizado intangible</w:t>
            </w:r>
          </w:p>
        </w:tc>
        <w:tc>
          <w:tcPr>
            <w:tcW w:w="1582" w:type="dxa"/>
          </w:tcPr>
          <w:p>
            <w:pPr>
              <w:pStyle w:val="TableParagraph"/>
              <w:spacing w:before="21"/>
              <w:ind w:right="125"/>
              <w:jc w:val="right"/>
              <w:rPr>
                <w:sz w:val="15"/>
              </w:rPr>
            </w:pPr>
            <w:r>
              <w:rPr>
                <w:sz w:val="15"/>
              </w:rPr>
              <w:t>30.176.650,38</w:t>
            </w:r>
          </w:p>
        </w:tc>
        <w:tc>
          <w:tcPr>
            <w:tcW w:w="1353" w:type="dxa"/>
          </w:tcPr>
          <w:p>
            <w:pPr>
              <w:pStyle w:val="TableParagraph"/>
              <w:spacing w:before="21"/>
              <w:ind w:right="67"/>
              <w:jc w:val="right"/>
              <w:rPr>
                <w:sz w:val="15"/>
              </w:rPr>
            </w:pPr>
            <w:r>
              <w:rPr>
                <w:sz w:val="15"/>
              </w:rPr>
              <w:t>35.051.522,67</w:t>
            </w:r>
          </w:p>
        </w:tc>
        <w:tc>
          <w:tcPr>
            <w:tcW w:w="829" w:type="dxa"/>
          </w:tcPr>
          <w:p>
            <w:pPr>
              <w:pStyle w:val="TableParagraph"/>
              <w:spacing w:before="21"/>
              <w:ind w:right="57"/>
              <w:jc w:val="right"/>
              <w:rPr>
                <w:sz w:val="15"/>
              </w:rPr>
            </w:pPr>
            <w:r>
              <w:rPr>
                <w:sz w:val="15"/>
              </w:rPr>
              <w:t>16,15%</w:t>
            </w:r>
          </w:p>
        </w:tc>
      </w:tr>
      <w:tr>
        <w:trPr>
          <w:trHeight w:val="251" w:hRule="atLeast"/>
        </w:trPr>
        <w:tc>
          <w:tcPr>
            <w:tcW w:w="3084" w:type="dxa"/>
          </w:tcPr>
          <w:p>
            <w:pPr>
              <w:pStyle w:val="TableParagraph"/>
              <w:spacing w:before="21"/>
              <w:ind w:left="70"/>
              <w:rPr>
                <w:sz w:val="15"/>
              </w:rPr>
            </w:pPr>
            <w:r>
              <w:rPr>
                <w:sz w:val="15"/>
              </w:rPr>
              <w:t>II. Inmovilizado material</w:t>
            </w:r>
          </w:p>
        </w:tc>
        <w:tc>
          <w:tcPr>
            <w:tcW w:w="1582" w:type="dxa"/>
          </w:tcPr>
          <w:p>
            <w:pPr>
              <w:pStyle w:val="TableParagraph"/>
              <w:spacing w:before="21"/>
              <w:ind w:right="125"/>
              <w:jc w:val="right"/>
              <w:rPr>
                <w:sz w:val="15"/>
              </w:rPr>
            </w:pPr>
            <w:r>
              <w:rPr>
                <w:sz w:val="15"/>
              </w:rPr>
              <w:t>6.514.016.121,63</w:t>
            </w:r>
          </w:p>
        </w:tc>
        <w:tc>
          <w:tcPr>
            <w:tcW w:w="1353" w:type="dxa"/>
          </w:tcPr>
          <w:p>
            <w:pPr>
              <w:pStyle w:val="TableParagraph"/>
              <w:spacing w:before="21"/>
              <w:ind w:right="67"/>
              <w:jc w:val="right"/>
              <w:rPr>
                <w:sz w:val="15"/>
              </w:rPr>
            </w:pPr>
            <w:r>
              <w:rPr>
                <w:sz w:val="15"/>
              </w:rPr>
              <w:t>6.671.600.029,97</w:t>
            </w:r>
          </w:p>
        </w:tc>
        <w:tc>
          <w:tcPr>
            <w:tcW w:w="829" w:type="dxa"/>
          </w:tcPr>
          <w:p>
            <w:pPr>
              <w:pStyle w:val="TableParagraph"/>
              <w:spacing w:before="21"/>
              <w:ind w:right="57"/>
              <w:jc w:val="right"/>
              <w:rPr>
                <w:sz w:val="15"/>
              </w:rPr>
            </w:pPr>
            <w:r>
              <w:rPr>
                <w:sz w:val="15"/>
              </w:rPr>
              <w:t>2,42%</w:t>
            </w:r>
          </w:p>
        </w:tc>
      </w:tr>
      <w:tr>
        <w:trPr>
          <w:trHeight w:val="251" w:hRule="atLeast"/>
        </w:trPr>
        <w:tc>
          <w:tcPr>
            <w:tcW w:w="3084" w:type="dxa"/>
          </w:tcPr>
          <w:p>
            <w:pPr>
              <w:pStyle w:val="TableParagraph"/>
              <w:spacing w:before="21"/>
              <w:ind w:left="70"/>
              <w:rPr>
                <w:sz w:val="15"/>
              </w:rPr>
            </w:pPr>
            <w:r>
              <w:rPr>
                <w:sz w:val="15"/>
              </w:rPr>
              <w:t>IV. Inversiones financieras a L/P ent.grupo</w:t>
            </w:r>
          </w:p>
        </w:tc>
        <w:tc>
          <w:tcPr>
            <w:tcW w:w="1582" w:type="dxa"/>
          </w:tcPr>
          <w:p>
            <w:pPr>
              <w:pStyle w:val="TableParagraph"/>
              <w:spacing w:before="21"/>
              <w:ind w:right="125"/>
              <w:jc w:val="right"/>
              <w:rPr>
                <w:sz w:val="15"/>
              </w:rPr>
            </w:pPr>
            <w:r>
              <w:rPr>
                <w:sz w:val="15"/>
              </w:rPr>
              <w:t>81.844.519,01</w:t>
            </w:r>
          </w:p>
        </w:tc>
        <w:tc>
          <w:tcPr>
            <w:tcW w:w="1353" w:type="dxa"/>
          </w:tcPr>
          <w:p>
            <w:pPr>
              <w:pStyle w:val="TableParagraph"/>
              <w:spacing w:before="21"/>
              <w:ind w:right="67"/>
              <w:jc w:val="right"/>
              <w:rPr>
                <w:sz w:val="15"/>
              </w:rPr>
            </w:pPr>
            <w:r>
              <w:rPr>
                <w:sz w:val="15"/>
              </w:rPr>
              <w:t>83.248.136,33</w:t>
            </w:r>
          </w:p>
        </w:tc>
        <w:tc>
          <w:tcPr>
            <w:tcW w:w="829" w:type="dxa"/>
          </w:tcPr>
          <w:p>
            <w:pPr>
              <w:pStyle w:val="TableParagraph"/>
              <w:spacing w:before="21"/>
              <w:ind w:right="57"/>
              <w:jc w:val="right"/>
              <w:rPr>
                <w:sz w:val="15"/>
              </w:rPr>
            </w:pPr>
            <w:r>
              <w:rPr>
                <w:sz w:val="15"/>
              </w:rPr>
              <w:t>1,71%</w:t>
            </w:r>
          </w:p>
        </w:tc>
      </w:tr>
      <w:tr>
        <w:trPr>
          <w:trHeight w:val="251" w:hRule="atLeast"/>
        </w:trPr>
        <w:tc>
          <w:tcPr>
            <w:tcW w:w="3084" w:type="dxa"/>
          </w:tcPr>
          <w:p>
            <w:pPr>
              <w:pStyle w:val="TableParagraph"/>
              <w:spacing w:before="21"/>
              <w:ind w:left="70"/>
              <w:rPr>
                <w:sz w:val="15"/>
              </w:rPr>
            </w:pPr>
            <w:r>
              <w:rPr>
                <w:sz w:val="15"/>
              </w:rPr>
              <w:t>V. Inversiones financieras a largo plazo</w:t>
            </w:r>
          </w:p>
        </w:tc>
        <w:tc>
          <w:tcPr>
            <w:tcW w:w="1582" w:type="dxa"/>
          </w:tcPr>
          <w:p>
            <w:pPr>
              <w:pStyle w:val="TableParagraph"/>
              <w:spacing w:before="21"/>
              <w:ind w:right="125"/>
              <w:jc w:val="right"/>
              <w:rPr>
                <w:sz w:val="15"/>
              </w:rPr>
            </w:pPr>
            <w:r>
              <w:rPr>
                <w:sz w:val="15"/>
              </w:rPr>
              <w:t>140.998.031,39</w:t>
            </w:r>
          </w:p>
        </w:tc>
        <w:tc>
          <w:tcPr>
            <w:tcW w:w="1353" w:type="dxa"/>
          </w:tcPr>
          <w:p>
            <w:pPr>
              <w:pStyle w:val="TableParagraph"/>
              <w:spacing w:before="21"/>
              <w:ind w:right="67"/>
              <w:jc w:val="right"/>
              <w:rPr>
                <w:sz w:val="15"/>
              </w:rPr>
            </w:pPr>
            <w:r>
              <w:rPr>
                <w:sz w:val="15"/>
              </w:rPr>
              <w:t>127.669.292,55</w:t>
            </w:r>
          </w:p>
        </w:tc>
        <w:tc>
          <w:tcPr>
            <w:tcW w:w="829" w:type="dxa"/>
          </w:tcPr>
          <w:p>
            <w:pPr>
              <w:pStyle w:val="TableParagraph"/>
              <w:spacing w:before="21"/>
              <w:ind w:right="57"/>
              <w:jc w:val="right"/>
              <w:rPr>
                <w:sz w:val="15"/>
              </w:rPr>
            </w:pPr>
            <w:r>
              <w:rPr>
                <w:sz w:val="15"/>
              </w:rPr>
              <w:t>-9,45%</w:t>
            </w:r>
          </w:p>
        </w:tc>
      </w:tr>
      <w:tr>
        <w:trPr>
          <w:trHeight w:val="251" w:hRule="atLeast"/>
        </w:trPr>
        <w:tc>
          <w:tcPr>
            <w:tcW w:w="3084" w:type="dxa"/>
          </w:tcPr>
          <w:p>
            <w:pPr>
              <w:pStyle w:val="TableParagraph"/>
              <w:spacing w:before="21"/>
              <w:ind w:left="70"/>
              <w:rPr>
                <w:b/>
                <w:sz w:val="15"/>
              </w:rPr>
            </w:pPr>
            <w:r>
              <w:rPr>
                <w:b/>
                <w:sz w:val="15"/>
              </w:rPr>
              <w:t>B) ACTIVO CORRIENTE</w:t>
            </w:r>
          </w:p>
        </w:tc>
        <w:tc>
          <w:tcPr>
            <w:tcW w:w="1582" w:type="dxa"/>
          </w:tcPr>
          <w:p>
            <w:pPr>
              <w:pStyle w:val="TableParagraph"/>
              <w:spacing w:before="21"/>
              <w:ind w:right="127"/>
              <w:jc w:val="right"/>
              <w:rPr>
                <w:b/>
                <w:sz w:val="15"/>
              </w:rPr>
            </w:pPr>
            <w:r>
              <w:rPr>
                <w:b/>
                <w:sz w:val="15"/>
              </w:rPr>
              <w:t>2.839.275.836,75</w:t>
            </w:r>
          </w:p>
        </w:tc>
        <w:tc>
          <w:tcPr>
            <w:tcW w:w="1353" w:type="dxa"/>
          </w:tcPr>
          <w:p>
            <w:pPr>
              <w:pStyle w:val="TableParagraph"/>
              <w:spacing w:before="21"/>
              <w:ind w:right="69"/>
              <w:jc w:val="right"/>
              <w:rPr>
                <w:b/>
                <w:sz w:val="15"/>
              </w:rPr>
            </w:pPr>
            <w:r>
              <w:rPr>
                <w:b/>
                <w:sz w:val="15"/>
              </w:rPr>
              <w:t>3.350.967.402,15</w:t>
            </w:r>
          </w:p>
        </w:tc>
        <w:tc>
          <w:tcPr>
            <w:tcW w:w="829" w:type="dxa"/>
          </w:tcPr>
          <w:p>
            <w:pPr>
              <w:pStyle w:val="TableParagraph"/>
              <w:spacing w:before="21"/>
              <w:ind w:right="57"/>
              <w:jc w:val="right"/>
              <w:rPr>
                <w:sz w:val="15"/>
              </w:rPr>
            </w:pPr>
            <w:r>
              <w:rPr>
                <w:sz w:val="15"/>
              </w:rPr>
              <w:t>18,02%</w:t>
            </w:r>
          </w:p>
        </w:tc>
      </w:tr>
      <w:tr>
        <w:trPr>
          <w:trHeight w:val="251" w:hRule="atLeast"/>
        </w:trPr>
        <w:tc>
          <w:tcPr>
            <w:tcW w:w="3084" w:type="dxa"/>
          </w:tcPr>
          <w:p>
            <w:pPr>
              <w:pStyle w:val="TableParagraph"/>
              <w:spacing w:before="21"/>
              <w:ind w:left="70"/>
              <w:rPr>
                <w:sz w:val="15"/>
              </w:rPr>
            </w:pPr>
            <w:r>
              <w:rPr>
                <w:sz w:val="15"/>
              </w:rPr>
              <w:t>III. Deudores y otras cuentas a cobrar</w:t>
            </w:r>
          </w:p>
        </w:tc>
        <w:tc>
          <w:tcPr>
            <w:tcW w:w="1582" w:type="dxa"/>
          </w:tcPr>
          <w:p>
            <w:pPr>
              <w:pStyle w:val="TableParagraph"/>
              <w:spacing w:before="21"/>
              <w:ind w:right="125"/>
              <w:jc w:val="right"/>
              <w:rPr>
                <w:sz w:val="15"/>
              </w:rPr>
            </w:pPr>
            <w:r>
              <w:rPr>
                <w:sz w:val="15"/>
              </w:rPr>
              <w:t>2.398.177.202,15</w:t>
            </w:r>
          </w:p>
        </w:tc>
        <w:tc>
          <w:tcPr>
            <w:tcW w:w="1353" w:type="dxa"/>
          </w:tcPr>
          <w:p>
            <w:pPr>
              <w:pStyle w:val="TableParagraph"/>
              <w:spacing w:before="21"/>
              <w:ind w:right="67"/>
              <w:jc w:val="right"/>
              <w:rPr>
                <w:sz w:val="15"/>
              </w:rPr>
            </w:pPr>
            <w:r>
              <w:rPr>
                <w:sz w:val="15"/>
              </w:rPr>
              <w:t>2.897.450.004,25</w:t>
            </w:r>
          </w:p>
        </w:tc>
        <w:tc>
          <w:tcPr>
            <w:tcW w:w="829" w:type="dxa"/>
          </w:tcPr>
          <w:p>
            <w:pPr>
              <w:pStyle w:val="TableParagraph"/>
              <w:spacing w:before="21"/>
              <w:ind w:right="57"/>
              <w:jc w:val="right"/>
              <w:rPr>
                <w:sz w:val="15"/>
              </w:rPr>
            </w:pPr>
            <w:r>
              <w:rPr>
                <w:sz w:val="15"/>
              </w:rPr>
              <w:t>20,82%</w:t>
            </w:r>
          </w:p>
        </w:tc>
      </w:tr>
      <w:tr>
        <w:trPr>
          <w:trHeight w:val="251" w:hRule="atLeast"/>
        </w:trPr>
        <w:tc>
          <w:tcPr>
            <w:tcW w:w="3084" w:type="dxa"/>
          </w:tcPr>
          <w:p>
            <w:pPr>
              <w:pStyle w:val="TableParagraph"/>
              <w:spacing w:before="21"/>
              <w:ind w:left="70"/>
              <w:rPr>
                <w:sz w:val="15"/>
              </w:rPr>
            </w:pPr>
            <w:r>
              <w:rPr>
                <w:sz w:val="15"/>
              </w:rPr>
              <w:t>V. Inversiones financieras a corto plazo</w:t>
            </w:r>
          </w:p>
        </w:tc>
        <w:tc>
          <w:tcPr>
            <w:tcW w:w="1582" w:type="dxa"/>
          </w:tcPr>
          <w:p>
            <w:pPr>
              <w:pStyle w:val="TableParagraph"/>
              <w:spacing w:before="21"/>
              <w:ind w:right="125"/>
              <w:jc w:val="right"/>
              <w:rPr>
                <w:sz w:val="15"/>
              </w:rPr>
            </w:pPr>
            <w:r>
              <w:rPr>
                <w:sz w:val="15"/>
              </w:rPr>
              <w:t>35.746.864,42</w:t>
            </w:r>
          </w:p>
        </w:tc>
        <w:tc>
          <w:tcPr>
            <w:tcW w:w="1353" w:type="dxa"/>
          </w:tcPr>
          <w:p>
            <w:pPr>
              <w:pStyle w:val="TableParagraph"/>
              <w:spacing w:before="21"/>
              <w:ind w:right="67"/>
              <w:jc w:val="right"/>
              <w:rPr>
                <w:sz w:val="15"/>
              </w:rPr>
            </w:pPr>
            <w:r>
              <w:rPr>
                <w:sz w:val="15"/>
              </w:rPr>
              <w:t>12.082.988,29</w:t>
            </w:r>
          </w:p>
        </w:tc>
        <w:tc>
          <w:tcPr>
            <w:tcW w:w="829" w:type="dxa"/>
          </w:tcPr>
          <w:p>
            <w:pPr>
              <w:pStyle w:val="TableParagraph"/>
              <w:spacing w:before="21"/>
              <w:ind w:right="57"/>
              <w:jc w:val="right"/>
              <w:rPr>
                <w:sz w:val="15"/>
              </w:rPr>
            </w:pPr>
            <w:r>
              <w:rPr>
                <w:sz w:val="15"/>
              </w:rPr>
              <w:t>-66,20%</w:t>
            </w:r>
          </w:p>
        </w:tc>
      </w:tr>
      <w:tr>
        <w:trPr>
          <w:trHeight w:val="252" w:hRule="atLeast"/>
        </w:trPr>
        <w:tc>
          <w:tcPr>
            <w:tcW w:w="3084" w:type="dxa"/>
          </w:tcPr>
          <w:p>
            <w:pPr>
              <w:pStyle w:val="TableParagraph"/>
              <w:spacing w:before="21"/>
              <w:ind w:left="70"/>
              <w:rPr>
                <w:sz w:val="15"/>
              </w:rPr>
            </w:pPr>
            <w:r>
              <w:rPr>
                <w:sz w:val="15"/>
              </w:rPr>
              <w:t>VII. Efectivo y otros activos líquidos equival</w:t>
            </w:r>
          </w:p>
        </w:tc>
        <w:tc>
          <w:tcPr>
            <w:tcW w:w="1582" w:type="dxa"/>
          </w:tcPr>
          <w:p>
            <w:pPr>
              <w:pStyle w:val="TableParagraph"/>
              <w:spacing w:before="21"/>
              <w:ind w:right="125"/>
              <w:jc w:val="right"/>
              <w:rPr>
                <w:sz w:val="15"/>
              </w:rPr>
            </w:pPr>
            <w:r>
              <w:rPr>
                <w:sz w:val="15"/>
              </w:rPr>
              <w:t>405.351.770,18</w:t>
            </w:r>
          </w:p>
        </w:tc>
        <w:tc>
          <w:tcPr>
            <w:tcW w:w="1353" w:type="dxa"/>
          </w:tcPr>
          <w:p>
            <w:pPr>
              <w:pStyle w:val="TableParagraph"/>
              <w:spacing w:before="21"/>
              <w:ind w:right="67"/>
              <w:jc w:val="right"/>
              <w:rPr>
                <w:sz w:val="15"/>
              </w:rPr>
            </w:pPr>
            <w:r>
              <w:rPr>
                <w:sz w:val="15"/>
              </w:rPr>
              <w:t>441.434.409,61</w:t>
            </w:r>
          </w:p>
        </w:tc>
        <w:tc>
          <w:tcPr>
            <w:tcW w:w="829" w:type="dxa"/>
          </w:tcPr>
          <w:p>
            <w:pPr>
              <w:pStyle w:val="TableParagraph"/>
              <w:spacing w:before="21"/>
              <w:ind w:right="57"/>
              <w:jc w:val="right"/>
              <w:rPr>
                <w:sz w:val="15"/>
              </w:rPr>
            </w:pPr>
            <w:r>
              <w:rPr>
                <w:sz w:val="15"/>
              </w:rPr>
              <w:t>8,90%</w:t>
            </w:r>
          </w:p>
        </w:tc>
      </w:tr>
      <w:tr>
        <w:trPr>
          <w:trHeight w:val="237" w:hRule="atLeast"/>
        </w:trPr>
        <w:tc>
          <w:tcPr>
            <w:tcW w:w="3084" w:type="dxa"/>
            <w:tcBorders>
              <w:bottom w:val="single" w:sz="4" w:space="0" w:color="000000"/>
            </w:tcBorders>
          </w:tcPr>
          <w:p>
            <w:pPr>
              <w:pStyle w:val="TableParagraph"/>
              <w:tabs>
                <w:tab w:pos="1588" w:val="left" w:leader="dot"/>
              </w:tabs>
              <w:spacing w:before="21"/>
              <w:ind w:left="70"/>
              <w:rPr>
                <w:b/>
                <w:sz w:val="15"/>
              </w:rPr>
            </w:pPr>
            <w:r>
              <w:rPr>
                <w:b/>
                <w:sz w:val="15"/>
              </w:rPr>
              <w:t>Total</w:t>
            </w:r>
            <w:r>
              <w:rPr>
                <w:b/>
                <w:spacing w:val="-1"/>
                <w:sz w:val="15"/>
              </w:rPr>
              <w:t> </w:t>
            </w:r>
            <w:r>
              <w:rPr>
                <w:b/>
                <w:sz w:val="15"/>
              </w:rPr>
              <w:t>General</w:t>
              <w:tab/>
              <w:t>( A + B )</w:t>
            </w:r>
          </w:p>
        </w:tc>
        <w:tc>
          <w:tcPr>
            <w:tcW w:w="1582" w:type="dxa"/>
            <w:tcBorders>
              <w:bottom w:val="single" w:sz="4" w:space="0" w:color="000000"/>
            </w:tcBorders>
          </w:tcPr>
          <w:p>
            <w:pPr>
              <w:pStyle w:val="TableParagraph"/>
              <w:spacing w:before="21"/>
              <w:ind w:right="127"/>
              <w:jc w:val="right"/>
              <w:rPr>
                <w:b/>
                <w:sz w:val="15"/>
              </w:rPr>
            </w:pPr>
            <w:r>
              <w:rPr>
                <w:b/>
                <w:sz w:val="15"/>
              </w:rPr>
              <w:t>9.606.311.159,16</w:t>
            </w:r>
          </w:p>
        </w:tc>
        <w:tc>
          <w:tcPr>
            <w:tcW w:w="1353" w:type="dxa"/>
            <w:tcBorders>
              <w:bottom w:val="single" w:sz="4" w:space="0" w:color="000000"/>
            </w:tcBorders>
          </w:tcPr>
          <w:p>
            <w:pPr>
              <w:pStyle w:val="TableParagraph"/>
              <w:spacing w:before="21"/>
              <w:ind w:right="69"/>
              <w:jc w:val="right"/>
              <w:rPr>
                <w:b/>
                <w:sz w:val="15"/>
              </w:rPr>
            </w:pPr>
            <w:r>
              <w:rPr>
                <w:b/>
                <w:sz w:val="15"/>
              </w:rPr>
              <w:t>10.268.536.383,67</w:t>
            </w:r>
          </w:p>
        </w:tc>
        <w:tc>
          <w:tcPr>
            <w:tcW w:w="829" w:type="dxa"/>
            <w:tcBorders>
              <w:bottom w:val="single" w:sz="4" w:space="0" w:color="000000"/>
            </w:tcBorders>
          </w:tcPr>
          <w:p>
            <w:pPr>
              <w:pStyle w:val="TableParagraph"/>
              <w:spacing w:before="21"/>
              <w:ind w:right="58"/>
              <w:jc w:val="right"/>
              <w:rPr>
                <w:b/>
                <w:sz w:val="15"/>
              </w:rPr>
            </w:pPr>
            <w:r>
              <w:rPr>
                <w:b/>
                <w:sz w:val="15"/>
              </w:rPr>
              <w:t>6,89%</w:t>
            </w:r>
          </w:p>
        </w:tc>
      </w:tr>
    </w:tbl>
    <w:p>
      <w:pPr>
        <w:pStyle w:val="BodyText"/>
      </w:pPr>
    </w:p>
    <w:p>
      <w:pPr>
        <w:pStyle w:val="BodyText"/>
      </w:pPr>
    </w:p>
    <w:p>
      <w:pPr>
        <w:pStyle w:val="BodyText"/>
      </w:pPr>
    </w:p>
    <w:p>
      <w:pPr>
        <w:pStyle w:val="BodyText"/>
        <w:spacing w:before="3"/>
        <w:rPr>
          <w:sz w:val="23"/>
        </w:rPr>
      </w:pPr>
    </w:p>
    <w:p>
      <w:pPr>
        <w:pStyle w:val="BodyText"/>
        <w:spacing w:before="61"/>
        <w:ind w:left="7897"/>
        <w:jc w:val="center"/>
      </w:pPr>
      <w:r>
        <w:rPr/>
        <w:t>32</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75" name="image5.png"/>
                  <wp:cNvGraphicFramePr>
                    <a:graphicFrameLocks noChangeAspect="1"/>
                  </wp:cNvGraphicFramePr>
                  <a:graphic>
                    <a:graphicData uri="http://schemas.openxmlformats.org/drawingml/2006/picture">
                      <pic:pic>
                        <pic:nvPicPr>
                          <pic:cNvPr id="7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34/247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8"/>
        <w:rPr>
          <w:b/>
          <w:sz w:val="17"/>
        </w:rPr>
      </w:pPr>
    </w:p>
    <w:tbl>
      <w:tblPr>
        <w:tblW w:w="0" w:type="auto"/>
        <w:jc w:val="left"/>
        <w:tblInd w:w="2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8"/>
        <w:gridCol w:w="1546"/>
        <w:gridCol w:w="1353"/>
        <w:gridCol w:w="849"/>
      </w:tblGrid>
      <w:tr>
        <w:trPr>
          <w:trHeight w:val="370" w:hRule="atLeast"/>
        </w:trPr>
        <w:tc>
          <w:tcPr>
            <w:tcW w:w="3128" w:type="dxa"/>
            <w:shd w:val="clear" w:color="auto" w:fill="DEEAF6"/>
          </w:tcPr>
          <w:p>
            <w:pPr>
              <w:pStyle w:val="TableParagraph"/>
              <w:spacing w:before="63"/>
              <w:ind w:left="738"/>
              <w:rPr>
                <w:b/>
                <w:sz w:val="15"/>
              </w:rPr>
            </w:pPr>
            <w:r>
              <w:rPr>
                <w:b/>
                <w:sz w:val="15"/>
              </w:rPr>
              <w:t>Pasivo y Neto Patrimonial</w:t>
            </w:r>
          </w:p>
        </w:tc>
        <w:tc>
          <w:tcPr>
            <w:tcW w:w="1546" w:type="dxa"/>
            <w:shd w:val="clear" w:color="auto" w:fill="DEEAF6"/>
          </w:tcPr>
          <w:p>
            <w:pPr>
              <w:pStyle w:val="TableParagraph"/>
              <w:spacing w:before="63"/>
              <w:ind w:left="543" w:right="658"/>
              <w:jc w:val="center"/>
              <w:rPr>
                <w:b/>
                <w:sz w:val="15"/>
              </w:rPr>
            </w:pPr>
            <w:r>
              <w:rPr>
                <w:b/>
                <w:sz w:val="15"/>
              </w:rPr>
              <w:t>2021</w:t>
            </w:r>
          </w:p>
        </w:tc>
        <w:tc>
          <w:tcPr>
            <w:tcW w:w="1353" w:type="dxa"/>
            <w:shd w:val="clear" w:color="auto" w:fill="DEEAF6"/>
          </w:tcPr>
          <w:p>
            <w:pPr>
              <w:pStyle w:val="TableParagraph"/>
              <w:spacing w:before="63"/>
              <w:ind w:left="466" w:right="541"/>
              <w:jc w:val="center"/>
              <w:rPr>
                <w:b/>
                <w:sz w:val="15"/>
              </w:rPr>
            </w:pPr>
            <w:r>
              <w:rPr>
                <w:b/>
                <w:sz w:val="15"/>
              </w:rPr>
              <w:t>2022</w:t>
            </w:r>
          </w:p>
        </w:tc>
        <w:tc>
          <w:tcPr>
            <w:tcW w:w="849" w:type="dxa"/>
            <w:shd w:val="clear" w:color="auto" w:fill="DEEAF6"/>
          </w:tcPr>
          <w:p>
            <w:pPr>
              <w:pStyle w:val="TableParagraph"/>
              <w:spacing w:line="154" w:lineRule="exact"/>
              <w:ind w:left="112"/>
              <w:rPr>
                <w:b/>
                <w:sz w:val="15"/>
              </w:rPr>
            </w:pPr>
            <w:r>
              <w:rPr>
                <w:b/>
                <w:sz w:val="15"/>
              </w:rPr>
              <w:t>Variación</w:t>
            </w:r>
          </w:p>
          <w:p>
            <w:pPr>
              <w:pStyle w:val="TableParagraph"/>
              <w:ind w:left="70"/>
              <w:rPr>
                <w:b/>
                <w:sz w:val="15"/>
              </w:rPr>
            </w:pPr>
            <w:r>
              <w:rPr>
                <w:b/>
                <w:sz w:val="15"/>
              </w:rPr>
              <w:t>2022/2021</w:t>
            </w:r>
          </w:p>
        </w:tc>
      </w:tr>
      <w:tr>
        <w:trPr>
          <w:trHeight w:val="237" w:hRule="atLeast"/>
        </w:trPr>
        <w:tc>
          <w:tcPr>
            <w:tcW w:w="3128" w:type="dxa"/>
          </w:tcPr>
          <w:p>
            <w:pPr>
              <w:pStyle w:val="TableParagraph"/>
              <w:spacing w:before="6"/>
              <w:ind w:left="79"/>
              <w:rPr>
                <w:b/>
                <w:sz w:val="15"/>
              </w:rPr>
            </w:pPr>
            <w:r>
              <w:rPr>
                <w:b/>
                <w:sz w:val="15"/>
              </w:rPr>
              <w:t>A) PATRIMONIO NETO</w:t>
            </w:r>
          </w:p>
        </w:tc>
        <w:tc>
          <w:tcPr>
            <w:tcW w:w="1546" w:type="dxa"/>
          </w:tcPr>
          <w:p>
            <w:pPr>
              <w:pStyle w:val="TableParagraph"/>
              <w:spacing w:before="6"/>
              <w:ind w:right="126"/>
              <w:jc w:val="right"/>
              <w:rPr>
                <w:b/>
                <w:sz w:val="15"/>
              </w:rPr>
            </w:pPr>
            <w:r>
              <w:rPr>
                <w:b/>
                <w:sz w:val="15"/>
              </w:rPr>
              <w:t>-859.671.986,40</w:t>
            </w:r>
          </w:p>
        </w:tc>
        <w:tc>
          <w:tcPr>
            <w:tcW w:w="1353" w:type="dxa"/>
          </w:tcPr>
          <w:p>
            <w:pPr>
              <w:pStyle w:val="TableParagraph"/>
              <w:spacing w:before="6"/>
              <w:ind w:right="68"/>
              <w:jc w:val="right"/>
              <w:rPr>
                <w:b/>
                <w:sz w:val="15"/>
              </w:rPr>
            </w:pPr>
            <w:r>
              <w:rPr>
                <w:b/>
                <w:sz w:val="15"/>
              </w:rPr>
              <w:t>-761.367.157,60</w:t>
            </w:r>
          </w:p>
        </w:tc>
        <w:tc>
          <w:tcPr>
            <w:tcW w:w="849" w:type="dxa"/>
          </w:tcPr>
          <w:p>
            <w:pPr>
              <w:pStyle w:val="TableParagraph"/>
              <w:spacing w:before="6"/>
              <w:ind w:right="76"/>
              <w:jc w:val="right"/>
              <w:rPr>
                <w:sz w:val="15"/>
              </w:rPr>
            </w:pPr>
            <w:r>
              <w:rPr>
                <w:sz w:val="15"/>
              </w:rPr>
              <w:t>-11,44%</w:t>
            </w:r>
          </w:p>
        </w:tc>
      </w:tr>
      <w:tr>
        <w:trPr>
          <w:trHeight w:val="251" w:hRule="atLeast"/>
        </w:trPr>
        <w:tc>
          <w:tcPr>
            <w:tcW w:w="3128" w:type="dxa"/>
          </w:tcPr>
          <w:p>
            <w:pPr>
              <w:pStyle w:val="TableParagraph"/>
              <w:spacing w:before="21"/>
              <w:ind w:left="79"/>
              <w:rPr>
                <w:sz w:val="15"/>
              </w:rPr>
            </w:pPr>
            <w:r>
              <w:rPr>
                <w:sz w:val="15"/>
              </w:rPr>
              <w:t>I. Patrimonio aportado</w:t>
            </w:r>
          </w:p>
        </w:tc>
        <w:tc>
          <w:tcPr>
            <w:tcW w:w="1546" w:type="dxa"/>
          </w:tcPr>
          <w:p>
            <w:pPr>
              <w:pStyle w:val="TableParagraph"/>
              <w:spacing w:before="21"/>
              <w:ind w:right="124"/>
              <w:jc w:val="right"/>
              <w:rPr>
                <w:sz w:val="15"/>
              </w:rPr>
            </w:pPr>
            <w:r>
              <w:rPr>
                <w:sz w:val="15"/>
              </w:rPr>
              <w:t>2.748.651.988,62</w:t>
            </w:r>
          </w:p>
        </w:tc>
        <w:tc>
          <w:tcPr>
            <w:tcW w:w="1353" w:type="dxa"/>
          </w:tcPr>
          <w:p>
            <w:pPr>
              <w:pStyle w:val="TableParagraph"/>
              <w:spacing w:before="21"/>
              <w:ind w:right="66"/>
              <w:jc w:val="right"/>
              <w:rPr>
                <w:sz w:val="15"/>
              </w:rPr>
            </w:pPr>
            <w:r>
              <w:rPr>
                <w:sz w:val="15"/>
              </w:rPr>
              <w:t>2.748.352.361,58</w:t>
            </w:r>
          </w:p>
        </w:tc>
        <w:tc>
          <w:tcPr>
            <w:tcW w:w="849" w:type="dxa"/>
          </w:tcPr>
          <w:p>
            <w:pPr>
              <w:pStyle w:val="TableParagraph"/>
              <w:spacing w:before="21"/>
              <w:ind w:right="76"/>
              <w:jc w:val="right"/>
              <w:rPr>
                <w:sz w:val="15"/>
              </w:rPr>
            </w:pPr>
            <w:r>
              <w:rPr>
                <w:sz w:val="15"/>
              </w:rPr>
              <w:t>-0,01%</w:t>
            </w:r>
          </w:p>
        </w:tc>
      </w:tr>
      <w:tr>
        <w:trPr>
          <w:trHeight w:val="201" w:hRule="atLeast"/>
        </w:trPr>
        <w:tc>
          <w:tcPr>
            <w:tcW w:w="3128" w:type="dxa"/>
          </w:tcPr>
          <w:p>
            <w:pPr>
              <w:pStyle w:val="TableParagraph"/>
              <w:spacing w:line="161" w:lineRule="exact" w:before="21"/>
              <w:ind w:left="79"/>
              <w:rPr>
                <w:sz w:val="15"/>
              </w:rPr>
            </w:pPr>
            <w:r>
              <w:rPr>
                <w:sz w:val="15"/>
              </w:rPr>
              <w:t>II. Patrimonio generado</w:t>
            </w:r>
          </w:p>
        </w:tc>
        <w:tc>
          <w:tcPr>
            <w:tcW w:w="1546" w:type="dxa"/>
          </w:tcPr>
          <w:p>
            <w:pPr>
              <w:pStyle w:val="TableParagraph"/>
              <w:spacing w:line="161" w:lineRule="exact" w:before="21"/>
              <w:ind w:right="124"/>
              <w:jc w:val="right"/>
              <w:rPr>
                <w:sz w:val="15"/>
              </w:rPr>
            </w:pPr>
            <w:r>
              <w:rPr>
                <w:sz w:val="15"/>
              </w:rPr>
              <w:t>-3.447.818.252,63</w:t>
            </w:r>
          </w:p>
        </w:tc>
        <w:tc>
          <w:tcPr>
            <w:tcW w:w="1353" w:type="dxa"/>
          </w:tcPr>
          <w:p>
            <w:pPr>
              <w:pStyle w:val="TableParagraph"/>
              <w:spacing w:line="161" w:lineRule="exact" w:before="21"/>
              <w:ind w:right="66"/>
              <w:jc w:val="right"/>
              <w:rPr>
                <w:sz w:val="15"/>
              </w:rPr>
            </w:pPr>
            <w:r>
              <w:rPr>
                <w:sz w:val="15"/>
              </w:rPr>
              <w:t>-4.090.300.767,74</w:t>
            </w:r>
          </w:p>
        </w:tc>
        <w:tc>
          <w:tcPr>
            <w:tcW w:w="849" w:type="dxa"/>
          </w:tcPr>
          <w:p>
            <w:pPr>
              <w:pStyle w:val="TableParagraph"/>
              <w:spacing w:line="161" w:lineRule="exact" w:before="21"/>
              <w:ind w:right="76"/>
              <w:jc w:val="right"/>
              <w:rPr>
                <w:sz w:val="15"/>
              </w:rPr>
            </w:pPr>
            <w:r>
              <w:rPr>
                <w:sz w:val="15"/>
              </w:rPr>
              <w:t>18,63%</w:t>
            </w:r>
          </w:p>
        </w:tc>
      </w:tr>
      <w:tr>
        <w:trPr>
          <w:trHeight w:val="436" w:hRule="atLeast"/>
        </w:trPr>
        <w:tc>
          <w:tcPr>
            <w:tcW w:w="3128" w:type="dxa"/>
          </w:tcPr>
          <w:p>
            <w:pPr>
              <w:pStyle w:val="TableParagraph"/>
              <w:spacing w:line="242" w:lineRule="auto" w:before="37"/>
              <w:ind w:left="79" w:right="645"/>
              <w:rPr>
                <w:sz w:val="15"/>
              </w:rPr>
            </w:pPr>
            <w:r>
              <w:rPr>
                <w:sz w:val="15"/>
              </w:rPr>
              <w:t>IV. Otros increm. patrimo. pte. imputar resultado</w:t>
            </w:r>
          </w:p>
        </w:tc>
        <w:tc>
          <w:tcPr>
            <w:tcW w:w="1546" w:type="dxa"/>
          </w:tcPr>
          <w:p>
            <w:pPr>
              <w:pStyle w:val="TableParagraph"/>
              <w:spacing w:before="7"/>
              <w:rPr>
                <w:b/>
                <w:sz w:val="10"/>
              </w:rPr>
            </w:pPr>
          </w:p>
          <w:p>
            <w:pPr>
              <w:pStyle w:val="TableParagraph"/>
              <w:ind w:right="124"/>
              <w:jc w:val="right"/>
              <w:rPr>
                <w:sz w:val="15"/>
              </w:rPr>
            </w:pPr>
            <w:r>
              <w:rPr>
                <w:sz w:val="15"/>
              </w:rPr>
              <w:t>462.576.694,02</w:t>
            </w:r>
          </w:p>
        </w:tc>
        <w:tc>
          <w:tcPr>
            <w:tcW w:w="1353" w:type="dxa"/>
          </w:tcPr>
          <w:p>
            <w:pPr>
              <w:pStyle w:val="TableParagraph"/>
              <w:spacing w:before="7"/>
              <w:rPr>
                <w:b/>
                <w:sz w:val="10"/>
              </w:rPr>
            </w:pPr>
          </w:p>
          <w:p>
            <w:pPr>
              <w:pStyle w:val="TableParagraph"/>
              <w:ind w:right="66"/>
              <w:jc w:val="right"/>
              <w:rPr>
                <w:sz w:val="15"/>
              </w:rPr>
            </w:pPr>
            <w:r>
              <w:rPr>
                <w:sz w:val="15"/>
              </w:rPr>
              <w:t>952.226.175,66</w:t>
            </w:r>
          </w:p>
        </w:tc>
        <w:tc>
          <w:tcPr>
            <w:tcW w:w="849" w:type="dxa"/>
          </w:tcPr>
          <w:p>
            <w:pPr>
              <w:pStyle w:val="TableParagraph"/>
              <w:spacing w:before="7"/>
              <w:rPr>
                <w:b/>
                <w:sz w:val="10"/>
              </w:rPr>
            </w:pPr>
          </w:p>
          <w:p>
            <w:pPr>
              <w:pStyle w:val="TableParagraph"/>
              <w:ind w:right="76"/>
              <w:jc w:val="right"/>
              <w:rPr>
                <w:sz w:val="15"/>
              </w:rPr>
            </w:pPr>
            <w:r>
              <w:rPr>
                <w:sz w:val="15"/>
              </w:rPr>
              <w:t>105,85%</w:t>
            </w:r>
          </w:p>
        </w:tc>
      </w:tr>
      <w:tr>
        <w:trPr>
          <w:trHeight w:val="234" w:hRule="atLeast"/>
        </w:trPr>
        <w:tc>
          <w:tcPr>
            <w:tcW w:w="3128" w:type="dxa"/>
          </w:tcPr>
          <w:p>
            <w:pPr>
              <w:pStyle w:val="TableParagraph"/>
              <w:spacing w:before="3"/>
              <w:ind w:left="79"/>
              <w:rPr>
                <w:sz w:val="15"/>
              </w:rPr>
            </w:pPr>
            <w:r>
              <w:rPr>
                <w:sz w:val="15"/>
              </w:rPr>
              <w:t>V. RESULTADO DEL EJERCICIO</w:t>
            </w:r>
          </w:p>
        </w:tc>
        <w:tc>
          <w:tcPr>
            <w:tcW w:w="1546" w:type="dxa"/>
          </w:tcPr>
          <w:p>
            <w:pPr>
              <w:pStyle w:val="TableParagraph"/>
              <w:spacing w:before="3"/>
              <w:ind w:right="124"/>
              <w:jc w:val="right"/>
              <w:rPr>
                <w:sz w:val="15"/>
              </w:rPr>
            </w:pPr>
            <w:r>
              <w:rPr>
                <w:sz w:val="15"/>
              </w:rPr>
              <w:t>-623.082.416,41</w:t>
            </w:r>
          </w:p>
        </w:tc>
        <w:tc>
          <w:tcPr>
            <w:tcW w:w="1353" w:type="dxa"/>
          </w:tcPr>
          <w:p>
            <w:pPr>
              <w:pStyle w:val="TableParagraph"/>
              <w:spacing w:before="3"/>
              <w:ind w:right="66"/>
              <w:jc w:val="right"/>
              <w:rPr>
                <w:sz w:val="15"/>
              </w:rPr>
            </w:pPr>
            <w:r>
              <w:rPr>
                <w:sz w:val="15"/>
              </w:rPr>
              <w:t>-371.644.927,10</w:t>
            </w:r>
          </w:p>
        </w:tc>
        <w:tc>
          <w:tcPr>
            <w:tcW w:w="849" w:type="dxa"/>
          </w:tcPr>
          <w:p>
            <w:pPr>
              <w:pStyle w:val="TableParagraph"/>
              <w:spacing w:before="3"/>
              <w:ind w:right="76"/>
              <w:jc w:val="right"/>
              <w:rPr>
                <w:sz w:val="15"/>
              </w:rPr>
            </w:pPr>
            <w:r>
              <w:rPr>
                <w:sz w:val="15"/>
              </w:rPr>
              <w:t>-40,35%</w:t>
            </w:r>
          </w:p>
        </w:tc>
      </w:tr>
      <w:tr>
        <w:trPr>
          <w:trHeight w:val="251" w:hRule="atLeast"/>
        </w:trPr>
        <w:tc>
          <w:tcPr>
            <w:tcW w:w="3128" w:type="dxa"/>
          </w:tcPr>
          <w:p>
            <w:pPr>
              <w:pStyle w:val="TableParagraph"/>
              <w:spacing w:before="21"/>
              <w:ind w:left="79"/>
              <w:rPr>
                <w:b/>
                <w:sz w:val="15"/>
              </w:rPr>
            </w:pPr>
            <w:r>
              <w:rPr>
                <w:b/>
                <w:sz w:val="15"/>
              </w:rPr>
              <w:t>B) PASIVO NO CORRIENTE</w:t>
            </w:r>
          </w:p>
        </w:tc>
        <w:tc>
          <w:tcPr>
            <w:tcW w:w="1546" w:type="dxa"/>
          </w:tcPr>
          <w:p>
            <w:pPr>
              <w:pStyle w:val="TableParagraph"/>
              <w:spacing w:before="21"/>
              <w:ind w:right="126"/>
              <w:jc w:val="right"/>
              <w:rPr>
                <w:b/>
                <w:sz w:val="15"/>
              </w:rPr>
            </w:pPr>
            <w:r>
              <w:rPr>
                <w:b/>
                <w:sz w:val="15"/>
              </w:rPr>
              <w:t>6.828.549.987,99</w:t>
            </w:r>
          </w:p>
        </w:tc>
        <w:tc>
          <w:tcPr>
            <w:tcW w:w="1353" w:type="dxa"/>
          </w:tcPr>
          <w:p>
            <w:pPr>
              <w:pStyle w:val="TableParagraph"/>
              <w:spacing w:before="21"/>
              <w:ind w:right="68"/>
              <w:jc w:val="right"/>
              <w:rPr>
                <w:b/>
                <w:sz w:val="15"/>
              </w:rPr>
            </w:pPr>
            <w:r>
              <w:rPr>
                <w:b/>
                <w:sz w:val="15"/>
              </w:rPr>
              <w:t>6.895.041.773,12</w:t>
            </w:r>
          </w:p>
        </w:tc>
        <w:tc>
          <w:tcPr>
            <w:tcW w:w="849" w:type="dxa"/>
          </w:tcPr>
          <w:p>
            <w:pPr>
              <w:pStyle w:val="TableParagraph"/>
              <w:spacing w:before="21"/>
              <w:ind w:right="76"/>
              <w:jc w:val="right"/>
              <w:rPr>
                <w:sz w:val="15"/>
              </w:rPr>
            </w:pPr>
            <w:r>
              <w:rPr>
                <w:sz w:val="15"/>
              </w:rPr>
              <w:t>0,97%</w:t>
            </w:r>
          </w:p>
        </w:tc>
      </w:tr>
      <w:tr>
        <w:trPr>
          <w:trHeight w:val="251" w:hRule="atLeast"/>
        </w:trPr>
        <w:tc>
          <w:tcPr>
            <w:tcW w:w="3128" w:type="dxa"/>
          </w:tcPr>
          <w:p>
            <w:pPr>
              <w:pStyle w:val="TableParagraph"/>
              <w:spacing w:before="21"/>
              <w:ind w:left="79"/>
              <w:rPr>
                <w:sz w:val="15"/>
              </w:rPr>
            </w:pPr>
            <w:r>
              <w:rPr>
                <w:sz w:val="15"/>
              </w:rPr>
              <w:t>I. Provisiones a largo plazo</w:t>
            </w:r>
          </w:p>
        </w:tc>
        <w:tc>
          <w:tcPr>
            <w:tcW w:w="1546" w:type="dxa"/>
          </w:tcPr>
          <w:p>
            <w:pPr>
              <w:pStyle w:val="TableParagraph"/>
              <w:spacing w:before="21"/>
              <w:ind w:right="124"/>
              <w:jc w:val="right"/>
              <w:rPr>
                <w:sz w:val="15"/>
              </w:rPr>
            </w:pPr>
            <w:r>
              <w:rPr>
                <w:sz w:val="15"/>
              </w:rPr>
              <w:t>548.240.717,93</w:t>
            </w:r>
          </w:p>
        </w:tc>
        <w:tc>
          <w:tcPr>
            <w:tcW w:w="1353" w:type="dxa"/>
          </w:tcPr>
          <w:p>
            <w:pPr>
              <w:pStyle w:val="TableParagraph"/>
              <w:spacing w:before="21"/>
              <w:ind w:right="66"/>
              <w:jc w:val="right"/>
              <w:rPr>
                <w:sz w:val="15"/>
              </w:rPr>
            </w:pPr>
            <w:r>
              <w:rPr>
                <w:sz w:val="15"/>
              </w:rPr>
              <w:t>627.614.648,02</w:t>
            </w:r>
          </w:p>
        </w:tc>
        <w:tc>
          <w:tcPr>
            <w:tcW w:w="849" w:type="dxa"/>
          </w:tcPr>
          <w:p>
            <w:pPr>
              <w:pStyle w:val="TableParagraph"/>
              <w:spacing w:before="21"/>
              <w:ind w:right="76"/>
              <w:jc w:val="right"/>
              <w:rPr>
                <w:sz w:val="15"/>
              </w:rPr>
            </w:pPr>
            <w:r>
              <w:rPr>
                <w:sz w:val="15"/>
              </w:rPr>
              <w:t>14,48%</w:t>
            </w:r>
          </w:p>
        </w:tc>
      </w:tr>
      <w:tr>
        <w:trPr>
          <w:trHeight w:val="252" w:hRule="atLeast"/>
        </w:trPr>
        <w:tc>
          <w:tcPr>
            <w:tcW w:w="3128" w:type="dxa"/>
          </w:tcPr>
          <w:p>
            <w:pPr>
              <w:pStyle w:val="TableParagraph"/>
              <w:spacing w:before="21"/>
              <w:ind w:left="79"/>
              <w:rPr>
                <w:sz w:val="15"/>
              </w:rPr>
            </w:pPr>
            <w:r>
              <w:rPr>
                <w:sz w:val="15"/>
              </w:rPr>
              <w:t>II. Deudas a largo plazo</w:t>
            </w:r>
          </w:p>
        </w:tc>
        <w:tc>
          <w:tcPr>
            <w:tcW w:w="1546" w:type="dxa"/>
          </w:tcPr>
          <w:p>
            <w:pPr>
              <w:pStyle w:val="TableParagraph"/>
              <w:spacing w:before="21"/>
              <w:ind w:right="124"/>
              <w:jc w:val="right"/>
              <w:rPr>
                <w:sz w:val="15"/>
              </w:rPr>
            </w:pPr>
            <w:r>
              <w:rPr>
                <w:sz w:val="15"/>
              </w:rPr>
              <w:t>6.279.715.711,23</w:t>
            </w:r>
          </w:p>
        </w:tc>
        <w:tc>
          <w:tcPr>
            <w:tcW w:w="1353" w:type="dxa"/>
          </w:tcPr>
          <w:p>
            <w:pPr>
              <w:pStyle w:val="TableParagraph"/>
              <w:spacing w:before="21"/>
              <w:ind w:right="66"/>
              <w:jc w:val="right"/>
              <w:rPr>
                <w:sz w:val="15"/>
              </w:rPr>
            </w:pPr>
            <w:r>
              <w:rPr>
                <w:sz w:val="15"/>
              </w:rPr>
              <w:t>6.266.833.916,27</w:t>
            </w:r>
          </w:p>
        </w:tc>
        <w:tc>
          <w:tcPr>
            <w:tcW w:w="849" w:type="dxa"/>
          </w:tcPr>
          <w:p>
            <w:pPr>
              <w:pStyle w:val="TableParagraph"/>
              <w:spacing w:before="21"/>
              <w:ind w:right="76"/>
              <w:jc w:val="right"/>
              <w:rPr>
                <w:sz w:val="15"/>
              </w:rPr>
            </w:pPr>
            <w:r>
              <w:rPr>
                <w:sz w:val="15"/>
              </w:rPr>
              <w:t>-0,21%</w:t>
            </w:r>
          </w:p>
        </w:tc>
      </w:tr>
      <w:tr>
        <w:trPr>
          <w:trHeight w:val="252" w:hRule="atLeast"/>
        </w:trPr>
        <w:tc>
          <w:tcPr>
            <w:tcW w:w="3128" w:type="dxa"/>
          </w:tcPr>
          <w:p>
            <w:pPr>
              <w:pStyle w:val="TableParagraph"/>
              <w:spacing w:before="21"/>
              <w:ind w:left="79"/>
              <w:rPr>
                <w:sz w:val="15"/>
              </w:rPr>
            </w:pPr>
            <w:r>
              <w:rPr>
                <w:sz w:val="15"/>
              </w:rPr>
              <w:t>III. Deudas con entidades grupo a largo plazo</w:t>
            </w:r>
          </w:p>
        </w:tc>
        <w:tc>
          <w:tcPr>
            <w:tcW w:w="1546" w:type="dxa"/>
          </w:tcPr>
          <w:p>
            <w:pPr>
              <w:pStyle w:val="TableParagraph"/>
              <w:spacing w:before="21"/>
              <w:ind w:right="124"/>
              <w:jc w:val="right"/>
              <w:rPr>
                <w:sz w:val="15"/>
              </w:rPr>
            </w:pPr>
            <w:r>
              <w:rPr>
                <w:sz w:val="15"/>
              </w:rPr>
              <w:t>593.558,83</w:t>
            </w:r>
          </w:p>
        </w:tc>
        <w:tc>
          <w:tcPr>
            <w:tcW w:w="1353" w:type="dxa"/>
          </w:tcPr>
          <w:p>
            <w:pPr>
              <w:pStyle w:val="TableParagraph"/>
              <w:spacing w:before="21"/>
              <w:ind w:right="66"/>
              <w:jc w:val="right"/>
              <w:rPr>
                <w:sz w:val="15"/>
              </w:rPr>
            </w:pPr>
            <w:r>
              <w:rPr>
                <w:sz w:val="15"/>
              </w:rPr>
              <w:t>593.208,83</w:t>
            </w:r>
          </w:p>
        </w:tc>
        <w:tc>
          <w:tcPr>
            <w:tcW w:w="849" w:type="dxa"/>
          </w:tcPr>
          <w:p>
            <w:pPr>
              <w:pStyle w:val="TableParagraph"/>
              <w:spacing w:before="21"/>
              <w:ind w:right="76"/>
              <w:jc w:val="right"/>
              <w:rPr>
                <w:sz w:val="15"/>
              </w:rPr>
            </w:pPr>
            <w:r>
              <w:rPr>
                <w:sz w:val="15"/>
              </w:rPr>
              <w:t>-0,06%</w:t>
            </w:r>
          </w:p>
        </w:tc>
      </w:tr>
      <w:tr>
        <w:trPr>
          <w:trHeight w:val="251" w:hRule="atLeast"/>
        </w:trPr>
        <w:tc>
          <w:tcPr>
            <w:tcW w:w="3128" w:type="dxa"/>
          </w:tcPr>
          <w:p>
            <w:pPr>
              <w:pStyle w:val="TableParagraph"/>
              <w:spacing w:before="21"/>
              <w:ind w:left="79"/>
              <w:rPr>
                <w:b/>
                <w:sz w:val="15"/>
              </w:rPr>
            </w:pPr>
            <w:r>
              <w:rPr>
                <w:b/>
                <w:sz w:val="15"/>
              </w:rPr>
              <w:t>C) PASIVO CORRIENTE</w:t>
            </w:r>
          </w:p>
        </w:tc>
        <w:tc>
          <w:tcPr>
            <w:tcW w:w="1546" w:type="dxa"/>
          </w:tcPr>
          <w:p>
            <w:pPr>
              <w:pStyle w:val="TableParagraph"/>
              <w:spacing w:before="21"/>
              <w:ind w:right="126"/>
              <w:jc w:val="right"/>
              <w:rPr>
                <w:b/>
                <w:sz w:val="15"/>
              </w:rPr>
            </w:pPr>
            <w:r>
              <w:rPr>
                <w:b/>
                <w:sz w:val="15"/>
              </w:rPr>
              <w:t>3.637.433.157,57</w:t>
            </w:r>
          </w:p>
        </w:tc>
        <w:tc>
          <w:tcPr>
            <w:tcW w:w="1353" w:type="dxa"/>
          </w:tcPr>
          <w:p>
            <w:pPr>
              <w:pStyle w:val="TableParagraph"/>
              <w:spacing w:before="21"/>
              <w:ind w:right="68"/>
              <w:jc w:val="right"/>
              <w:rPr>
                <w:b/>
                <w:sz w:val="15"/>
              </w:rPr>
            </w:pPr>
            <w:r>
              <w:rPr>
                <w:b/>
                <w:sz w:val="15"/>
              </w:rPr>
              <w:t>4.134.861.768,15</w:t>
            </w:r>
          </w:p>
        </w:tc>
        <w:tc>
          <w:tcPr>
            <w:tcW w:w="849" w:type="dxa"/>
          </w:tcPr>
          <w:p>
            <w:pPr>
              <w:pStyle w:val="TableParagraph"/>
              <w:spacing w:before="21"/>
              <w:ind w:right="76"/>
              <w:jc w:val="right"/>
              <w:rPr>
                <w:sz w:val="15"/>
              </w:rPr>
            </w:pPr>
            <w:r>
              <w:rPr>
                <w:sz w:val="15"/>
              </w:rPr>
              <w:t>13,68%</w:t>
            </w:r>
          </w:p>
        </w:tc>
      </w:tr>
      <w:tr>
        <w:trPr>
          <w:trHeight w:val="251" w:hRule="atLeast"/>
        </w:trPr>
        <w:tc>
          <w:tcPr>
            <w:tcW w:w="3128" w:type="dxa"/>
          </w:tcPr>
          <w:p>
            <w:pPr>
              <w:pStyle w:val="TableParagraph"/>
              <w:spacing w:before="21"/>
              <w:ind w:left="79"/>
              <w:rPr>
                <w:sz w:val="15"/>
              </w:rPr>
            </w:pPr>
            <w:r>
              <w:rPr>
                <w:sz w:val="15"/>
              </w:rPr>
              <w:t>I. Provisiones a corto plazo</w:t>
            </w:r>
          </w:p>
        </w:tc>
        <w:tc>
          <w:tcPr>
            <w:tcW w:w="1546" w:type="dxa"/>
          </w:tcPr>
          <w:p>
            <w:pPr>
              <w:pStyle w:val="TableParagraph"/>
              <w:spacing w:before="21"/>
              <w:ind w:right="124"/>
              <w:jc w:val="right"/>
              <w:rPr>
                <w:sz w:val="15"/>
              </w:rPr>
            </w:pPr>
            <w:r>
              <w:rPr>
                <w:sz w:val="15"/>
              </w:rPr>
              <w:t>20.529.929,08</w:t>
            </w:r>
          </w:p>
        </w:tc>
        <w:tc>
          <w:tcPr>
            <w:tcW w:w="1353" w:type="dxa"/>
          </w:tcPr>
          <w:p>
            <w:pPr>
              <w:pStyle w:val="TableParagraph"/>
              <w:spacing w:before="21"/>
              <w:ind w:right="66"/>
              <w:jc w:val="right"/>
              <w:rPr>
                <w:sz w:val="15"/>
              </w:rPr>
            </w:pPr>
            <w:r>
              <w:rPr>
                <w:sz w:val="15"/>
              </w:rPr>
              <w:t>24.182.469,75</w:t>
            </w:r>
          </w:p>
        </w:tc>
        <w:tc>
          <w:tcPr>
            <w:tcW w:w="849" w:type="dxa"/>
          </w:tcPr>
          <w:p>
            <w:pPr>
              <w:pStyle w:val="TableParagraph"/>
              <w:spacing w:before="21"/>
              <w:ind w:right="76"/>
              <w:jc w:val="right"/>
              <w:rPr>
                <w:sz w:val="15"/>
              </w:rPr>
            </w:pPr>
            <w:r>
              <w:rPr>
                <w:sz w:val="15"/>
              </w:rPr>
              <w:t>17,79%</w:t>
            </w:r>
          </w:p>
        </w:tc>
      </w:tr>
      <w:tr>
        <w:trPr>
          <w:trHeight w:val="251" w:hRule="atLeast"/>
        </w:trPr>
        <w:tc>
          <w:tcPr>
            <w:tcW w:w="3128" w:type="dxa"/>
          </w:tcPr>
          <w:p>
            <w:pPr>
              <w:pStyle w:val="TableParagraph"/>
              <w:spacing w:before="21"/>
              <w:ind w:left="79"/>
              <w:rPr>
                <w:sz w:val="15"/>
              </w:rPr>
            </w:pPr>
            <w:r>
              <w:rPr>
                <w:sz w:val="15"/>
              </w:rPr>
              <w:t>II. Deudas a corto plazo</w:t>
            </w:r>
          </w:p>
        </w:tc>
        <w:tc>
          <w:tcPr>
            <w:tcW w:w="1546" w:type="dxa"/>
          </w:tcPr>
          <w:p>
            <w:pPr>
              <w:pStyle w:val="TableParagraph"/>
              <w:spacing w:before="21"/>
              <w:ind w:right="124"/>
              <w:jc w:val="right"/>
              <w:rPr>
                <w:sz w:val="15"/>
              </w:rPr>
            </w:pPr>
            <w:r>
              <w:rPr>
                <w:sz w:val="15"/>
              </w:rPr>
              <w:t>898.746.884,03</w:t>
            </w:r>
          </w:p>
        </w:tc>
        <w:tc>
          <w:tcPr>
            <w:tcW w:w="1353" w:type="dxa"/>
          </w:tcPr>
          <w:p>
            <w:pPr>
              <w:pStyle w:val="TableParagraph"/>
              <w:spacing w:before="21"/>
              <w:ind w:right="66"/>
              <w:jc w:val="right"/>
              <w:rPr>
                <w:sz w:val="15"/>
              </w:rPr>
            </w:pPr>
            <w:r>
              <w:rPr>
                <w:sz w:val="15"/>
              </w:rPr>
              <w:t>899.318.967,09</w:t>
            </w:r>
          </w:p>
        </w:tc>
        <w:tc>
          <w:tcPr>
            <w:tcW w:w="849" w:type="dxa"/>
          </w:tcPr>
          <w:p>
            <w:pPr>
              <w:pStyle w:val="TableParagraph"/>
              <w:spacing w:before="21"/>
              <w:ind w:right="76"/>
              <w:jc w:val="right"/>
              <w:rPr>
                <w:sz w:val="15"/>
              </w:rPr>
            </w:pPr>
            <w:r>
              <w:rPr>
                <w:sz w:val="15"/>
              </w:rPr>
              <w:t>0,06%</w:t>
            </w:r>
          </w:p>
        </w:tc>
      </w:tr>
      <w:tr>
        <w:trPr>
          <w:trHeight w:val="251" w:hRule="atLeast"/>
        </w:trPr>
        <w:tc>
          <w:tcPr>
            <w:tcW w:w="3128" w:type="dxa"/>
          </w:tcPr>
          <w:p>
            <w:pPr>
              <w:pStyle w:val="TableParagraph"/>
              <w:spacing w:before="21"/>
              <w:ind w:left="79"/>
              <w:rPr>
                <w:sz w:val="15"/>
              </w:rPr>
            </w:pPr>
            <w:r>
              <w:rPr>
                <w:sz w:val="15"/>
              </w:rPr>
              <w:t>IV. Acreedores y otras cuentas a pagar</w:t>
            </w:r>
          </w:p>
        </w:tc>
        <w:tc>
          <w:tcPr>
            <w:tcW w:w="1546" w:type="dxa"/>
          </w:tcPr>
          <w:p>
            <w:pPr>
              <w:pStyle w:val="TableParagraph"/>
              <w:spacing w:before="21"/>
              <w:ind w:right="124"/>
              <w:jc w:val="right"/>
              <w:rPr>
                <w:sz w:val="15"/>
              </w:rPr>
            </w:pPr>
            <w:r>
              <w:rPr>
                <w:sz w:val="15"/>
              </w:rPr>
              <w:t>2.718.156.344,46</w:t>
            </w:r>
          </w:p>
        </w:tc>
        <w:tc>
          <w:tcPr>
            <w:tcW w:w="1353" w:type="dxa"/>
          </w:tcPr>
          <w:p>
            <w:pPr>
              <w:pStyle w:val="TableParagraph"/>
              <w:spacing w:before="21"/>
              <w:ind w:right="66"/>
              <w:jc w:val="right"/>
              <w:rPr>
                <w:sz w:val="15"/>
              </w:rPr>
            </w:pPr>
            <w:r>
              <w:rPr>
                <w:sz w:val="15"/>
              </w:rPr>
              <w:t>3.211.360.331,31</w:t>
            </w:r>
          </w:p>
        </w:tc>
        <w:tc>
          <w:tcPr>
            <w:tcW w:w="849" w:type="dxa"/>
          </w:tcPr>
          <w:p>
            <w:pPr>
              <w:pStyle w:val="TableParagraph"/>
              <w:spacing w:before="21"/>
              <w:ind w:right="76"/>
              <w:jc w:val="right"/>
              <w:rPr>
                <w:sz w:val="15"/>
              </w:rPr>
            </w:pPr>
            <w:r>
              <w:rPr>
                <w:sz w:val="15"/>
              </w:rPr>
              <w:t>18,14%</w:t>
            </w:r>
          </w:p>
        </w:tc>
      </w:tr>
      <w:tr>
        <w:trPr>
          <w:trHeight w:val="237" w:hRule="atLeast"/>
        </w:trPr>
        <w:tc>
          <w:tcPr>
            <w:tcW w:w="3128" w:type="dxa"/>
            <w:tcBorders>
              <w:bottom w:val="single" w:sz="4" w:space="0" w:color="000000"/>
            </w:tcBorders>
          </w:tcPr>
          <w:p>
            <w:pPr>
              <w:pStyle w:val="TableParagraph"/>
              <w:tabs>
                <w:tab w:pos="1333" w:val="left" w:leader="dot"/>
              </w:tabs>
              <w:spacing w:before="21"/>
              <w:ind w:left="79"/>
              <w:rPr>
                <w:b/>
                <w:sz w:val="15"/>
              </w:rPr>
            </w:pPr>
            <w:r>
              <w:rPr>
                <w:b/>
                <w:sz w:val="15"/>
              </w:rPr>
              <w:t>Total</w:t>
            </w:r>
            <w:r>
              <w:rPr>
                <w:b/>
                <w:spacing w:val="-1"/>
                <w:sz w:val="15"/>
              </w:rPr>
              <w:t> </w:t>
            </w:r>
            <w:r>
              <w:rPr>
                <w:b/>
                <w:sz w:val="15"/>
              </w:rPr>
              <w:t>General</w:t>
              <w:tab/>
              <w:t>(A + B +</w:t>
            </w:r>
            <w:r>
              <w:rPr>
                <w:b/>
                <w:spacing w:val="-1"/>
                <w:sz w:val="15"/>
              </w:rPr>
              <w:t> </w:t>
            </w:r>
            <w:r>
              <w:rPr>
                <w:b/>
                <w:sz w:val="15"/>
              </w:rPr>
              <w:t>C)</w:t>
            </w:r>
          </w:p>
        </w:tc>
        <w:tc>
          <w:tcPr>
            <w:tcW w:w="1546" w:type="dxa"/>
            <w:tcBorders>
              <w:bottom w:val="single" w:sz="4" w:space="0" w:color="000000"/>
            </w:tcBorders>
          </w:tcPr>
          <w:p>
            <w:pPr>
              <w:pStyle w:val="TableParagraph"/>
              <w:spacing w:before="21"/>
              <w:ind w:right="126"/>
              <w:jc w:val="right"/>
              <w:rPr>
                <w:b/>
                <w:sz w:val="15"/>
              </w:rPr>
            </w:pPr>
            <w:r>
              <w:rPr>
                <w:b/>
                <w:sz w:val="15"/>
              </w:rPr>
              <w:t>9.606.311.159,16</w:t>
            </w:r>
          </w:p>
        </w:tc>
        <w:tc>
          <w:tcPr>
            <w:tcW w:w="1353" w:type="dxa"/>
            <w:tcBorders>
              <w:bottom w:val="single" w:sz="4" w:space="0" w:color="000000"/>
            </w:tcBorders>
          </w:tcPr>
          <w:p>
            <w:pPr>
              <w:pStyle w:val="TableParagraph"/>
              <w:spacing w:before="21"/>
              <w:ind w:right="68"/>
              <w:jc w:val="right"/>
              <w:rPr>
                <w:b/>
                <w:sz w:val="15"/>
              </w:rPr>
            </w:pPr>
            <w:r>
              <w:rPr>
                <w:b/>
                <w:sz w:val="15"/>
              </w:rPr>
              <w:t>10.268.536.383,67</w:t>
            </w:r>
          </w:p>
        </w:tc>
        <w:tc>
          <w:tcPr>
            <w:tcW w:w="849" w:type="dxa"/>
            <w:tcBorders>
              <w:bottom w:val="single" w:sz="4" w:space="0" w:color="000000"/>
            </w:tcBorders>
          </w:tcPr>
          <w:p>
            <w:pPr>
              <w:pStyle w:val="TableParagraph"/>
              <w:spacing w:before="21"/>
              <w:ind w:right="77"/>
              <w:jc w:val="right"/>
              <w:rPr>
                <w:b/>
                <w:sz w:val="15"/>
              </w:rPr>
            </w:pPr>
            <w:r>
              <w:rPr>
                <w:b/>
                <w:sz w:val="15"/>
              </w:rPr>
              <w:t>6,89%</w:t>
            </w:r>
          </w:p>
        </w:tc>
      </w:tr>
    </w:tbl>
    <w:p>
      <w:pPr>
        <w:pStyle w:val="BodyText"/>
        <w:spacing w:before="3"/>
        <w:rPr>
          <w:b/>
          <w:sz w:val="11"/>
        </w:rPr>
      </w:pPr>
    </w:p>
    <w:p>
      <w:pPr>
        <w:pStyle w:val="BodyText"/>
        <w:spacing w:before="61"/>
        <w:ind w:left="2096" w:right="1140" w:firstLine="594"/>
        <w:jc w:val="both"/>
      </w:pPr>
      <w:r>
        <w:rPr/>
        <w:t>Es preciso destacar que al cierre del ejercicio 2022 el saldo de la cuenta 413 “Acreedores por operaciones Devengadas” supuso un incremento respecto al ejercicio anterior del 44 %, pasando de 131,8 millones de € a 189,8 millones de €; el detalle por secciones y capítulos es el siguiente:</w:t>
      </w:r>
    </w:p>
    <w:p>
      <w:pPr>
        <w:pStyle w:val="BodyText"/>
        <w:spacing w:before="5"/>
        <w:rPr>
          <w:sz w:val="19"/>
        </w:rPr>
      </w:pPr>
    </w:p>
    <w:p>
      <w:pPr>
        <w:spacing w:before="0" w:after="3"/>
        <w:ind w:left="0" w:right="1316" w:firstLine="0"/>
        <w:jc w:val="right"/>
        <w:rPr>
          <w:b/>
          <w:sz w:val="13"/>
        </w:rPr>
      </w:pPr>
      <w:r>
        <w:rPr>
          <w:b/>
          <w:w w:val="105"/>
          <w:sz w:val="13"/>
        </w:rPr>
        <w:t>Miles de</w:t>
      </w:r>
      <w:r>
        <w:rPr>
          <w:b/>
          <w:spacing w:val="-11"/>
          <w:w w:val="105"/>
          <w:sz w:val="13"/>
        </w:rPr>
        <w:t> </w:t>
      </w:r>
      <w:r>
        <w:rPr>
          <w:b/>
          <w:w w:val="105"/>
          <w:sz w:val="13"/>
        </w:rPr>
        <w:t>€</w:t>
      </w:r>
    </w:p>
    <w:p>
      <w:pPr>
        <w:pStyle w:val="BodyText"/>
        <w:spacing w:line="20" w:lineRule="exact"/>
        <w:ind w:left="2091"/>
        <w:rPr>
          <w:sz w:val="2"/>
        </w:rPr>
      </w:pPr>
      <w:r>
        <w:rPr>
          <w:sz w:val="2"/>
        </w:rPr>
        <w:pict>
          <v:group style="width:351.15pt;height:.45pt;mso-position-horizontal-relative:char;mso-position-vertical-relative:line" coordorigin="0,0" coordsize="7023,9">
            <v:line style="position:absolute" from="0,4" to="2610,4" stroked="true" strokeweight=".40299pt" strokecolor="#000000">
              <v:stroke dashstyle="solid"/>
            </v:line>
            <v:rect style="position:absolute;left:2609;top:0;width:9;height:9" filled="true" fillcolor="#000000" stroked="false">
              <v:fill type="solid"/>
            </v:rect>
            <v:line style="position:absolute" from="2618,4" to="3106,4" stroked="true" strokeweight=".40299pt" strokecolor="#000000">
              <v:stroke dashstyle="solid"/>
            </v:line>
            <v:rect style="position:absolute;left:3106;top:0;width:9;height:9" filled="true" fillcolor="#000000" stroked="false">
              <v:fill type="solid"/>
            </v:rect>
            <v:line style="position:absolute" from="3114,4" to="3785,4" stroked="true" strokeweight=".40299pt" strokecolor="#000000">
              <v:stroke dashstyle="solid"/>
            </v:line>
            <v:rect style="position:absolute;left:3785;top:0;width:9;height:9" filled="true" fillcolor="#000000" stroked="false">
              <v:fill type="solid"/>
            </v:rect>
            <v:line style="position:absolute" from="3793,4" to="4277,4" stroked="true" strokeweight=".40299pt" strokecolor="#000000">
              <v:stroke dashstyle="solid"/>
            </v:line>
            <v:rect style="position:absolute;left:4276;top:0;width:9;height:9" filled="true" fillcolor="#000000" stroked="false">
              <v:fill type="solid"/>
            </v:rect>
            <v:line style="position:absolute" from="4285,4" to="5011,4" stroked="true" strokeweight=".40299pt" strokecolor="#000000">
              <v:stroke dashstyle="solid"/>
            </v:line>
            <v:rect style="position:absolute;left:5010;top:0;width:9;height:9" filled="true" fillcolor="#000000" stroked="false">
              <v:fill type="solid"/>
            </v:rect>
            <v:line style="position:absolute" from="5019,4" to="5676,4" stroked="true" strokeweight=".40299pt" strokecolor="#000000">
              <v:stroke dashstyle="solid"/>
            </v:line>
            <v:rect style="position:absolute;left:5675;top:0;width:9;height:9" filled="true" fillcolor="#000000" stroked="false">
              <v:fill type="solid"/>
            </v:rect>
            <v:line style="position:absolute" from="5684,4" to="6284,4" stroked="true" strokeweight=".40299pt" strokecolor="#000000">
              <v:stroke dashstyle="solid"/>
            </v:line>
            <v:rect style="position:absolute;left:6284;top:0;width:9;height:9" filled="true" fillcolor="#000000" stroked="false">
              <v:fill type="solid"/>
            </v:rect>
            <v:line style="position:absolute" from="6292,4" to="7022,4" stroked="true" strokeweight=".40299pt" strokecolor="#000000">
              <v:stroke dashstyle="solid"/>
            </v:line>
          </v:group>
        </w:pict>
      </w:r>
      <w:r>
        <w:rPr>
          <w:sz w:val="2"/>
        </w:rPr>
      </w:r>
    </w:p>
    <w:p>
      <w:pPr>
        <w:pStyle w:val="BodyText"/>
        <w:ind w:left="2096"/>
      </w:pPr>
      <w:r>
        <w:rPr/>
        <w:pict>
          <v:shape style="width:351.15pt;height:16.55pt;mso-position-horizontal-relative:char;mso-position-vertical-relative:line" type="#_x0000_t202" filled="true" fillcolor="#deeaf6" stroked="false">
            <w10:anchorlock/>
            <v:textbox inset="0,0,0,0">
              <w:txbxContent>
                <w:p>
                  <w:pPr>
                    <w:tabs>
                      <w:tab w:pos="2789" w:val="left" w:leader="none"/>
                      <w:tab w:pos="3373" w:val="left" w:leader="none"/>
                      <w:tab w:pos="3960" w:val="left" w:leader="none"/>
                      <w:tab w:pos="4572" w:val="left" w:leader="none"/>
                      <w:tab w:pos="5272" w:val="left" w:leader="none"/>
                      <w:tab w:pos="5909" w:val="left" w:leader="none"/>
                      <w:tab w:pos="6509" w:val="left" w:leader="none"/>
                    </w:tabs>
                    <w:spacing w:before="85"/>
                    <w:ind w:left="832" w:right="0" w:firstLine="0"/>
                    <w:jc w:val="left"/>
                    <w:rPr>
                      <w:b/>
                      <w:sz w:val="13"/>
                    </w:rPr>
                  </w:pPr>
                  <w:r>
                    <w:rPr>
                      <w:b/>
                      <w:w w:val="105"/>
                      <w:sz w:val="13"/>
                    </w:rPr>
                    <w:t>Sección/Capítulo</w:t>
                    <w:tab/>
                    <w:t>1</w:t>
                    <w:tab/>
                    <w:t>2</w:t>
                    <w:tab/>
                    <w:t>3</w:t>
                    <w:tab/>
                    <w:t>4</w:t>
                    <w:tab/>
                    <w:t>6</w:t>
                    <w:tab/>
                    <w:t>7</w:t>
                    <w:tab/>
                    <w:t>Total</w:t>
                  </w:r>
                </w:p>
              </w:txbxContent>
            </v:textbox>
            <v:fill type="solid"/>
          </v:shape>
        </w:pict>
      </w:r>
      <w:r>
        <w:rPr/>
      </w:r>
    </w:p>
    <w:p>
      <w:pPr>
        <w:tabs>
          <w:tab w:pos="4907" w:val="left" w:leader="none"/>
          <w:tab w:pos="5514" w:val="left" w:leader="none"/>
          <w:tab w:pos="6076" w:val="left" w:leader="none"/>
          <w:tab w:pos="6808" w:val="left" w:leader="none"/>
          <w:tab w:pos="7338" w:val="left" w:leader="none"/>
          <w:tab w:pos="8084" w:val="left" w:leader="none"/>
          <w:tab w:pos="8682" w:val="left" w:leader="none"/>
        </w:tabs>
        <w:spacing w:line="133" w:lineRule="exact" w:before="0"/>
        <w:ind w:left="2154" w:right="0" w:firstLine="0"/>
        <w:jc w:val="left"/>
        <w:rPr>
          <w:sz w:val="13"/>
        </w:rPr>
      </w:pPr>
      <w:r>
        <w:rPr>
          <w:w w:val="105"/>
          <w:sz w:val="13"/>
        </w:rPr>
        <w:t>6     Presidencia</w:t>
      </w:r>
      <w:r>
        <w:rPr>
          <w:spacing w:val="7"/>
          <w:w w:val="105"/>
          <w:sz w:val="13"/>
        </w:rPr>
        <w:t> </w:t>
      </w:r>
      <w:r>
        <w:rPr>
          <w:w w:val="105"/>
          <w:sz w:val="13"/>
        </w:rPr>
        <w:t>de</w:t>
      </w:r>
      <w:r>
        <w:rPr>
          <w:spacing w:val="-5"/>
          <w:w w:val="105"/>
          <w:sz w:val="13"/>
        </w:rPr>
        <w:t> </w:t>
      </w:r>
      <w:r>
        <w:rPr>
          <w:w w:val="105"/>
          <w:sz w:val="13"/>
        </w:rPr>
        <w:t>Gobierno</w:t>
        <w:tab/>
        <w:t>0,00</w:t>
        <w:tab/>
        <w:t>74,27</w:t>
        <w:tab/>
        <w:t>0,00</w:t>
        <w:tab/>
        <w:t>0,00</w:t>
        <w:tab/>
        <w:t>131,88</w:t>
        <w:tab/>
        <w:t>0,00</w:t>
        <w:tab/>
        <w:t>206,15</w:t>
      </w:r>
    </w:p>
    <w:p>
      <w:pPr>
        <w:spacing w:line="165" w:lineRule="auto" w:before="32"/>
        <w:ind w:left="2408" w:right="5589" w:hanging="254"/>
        <w:jc w:val="left"/>
        <w:rPr>
          <w:sz w:val="13"/>
        </w:rPr>
      </w:pPr>
      <w:r>
        <w:rPr/>
        <w:pict>
          <v:shape style="position:absolute;margin-left:262.872742pt;margin-top:6.178423pt;width:230.6pt;height:38.1pt;mso-position-horizontal-relative:page;mso-position-vertical-relative:paragraph;z-index:2517391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
                    <w:gridCol w:w="538"/>
                    <w:gridCol w:w="703"/>
                    <w:gridCol w:w="459"/>
                    <w:gridCol w:w="784"/>
                    <w:gridCol w:w="672"/>
                    <w:gridCol w:w="553"/>
                    <w:gridCol w:w="690"/>
                  </w:tblGrid>
                  <w:tr>
                    <w:trPr>
                      <w:trHeight w:val="197" w:hRule="atLeast"/>
                    </w:trPr>
                    <w:tc>
                      <w:tcPr>
                        <w:tcW w:w="210" w:type="dxa"/>
                        <w:vMerge w:val="restart"/>
                      </w:tcPr>
                      <w:p>
                        <w:pPr>
                          <w:pStyle w:val="TableParagraph"/>
                          <w:rPr>
                            <w:rFonts w:ascii="Times New Roman"/>
                            <w:sz w:val="14"/>
                          </w:rPr>
                        </w:pPr>
                      </w:p>
                    </w:tc>
                    <w:tc>
                      <w:tcPr>
                        <w:tcW w:w="538" w:type="dxa"/>
                      </w:tcPr>
                      <w:p>
                        <w:pPr>
                          <w:pStyle w:val="TableParagraph"/>
                          <w:spacing w:line="136" w:lineRule="exact"/>
                          <w:ind w:right="96"/>
                          <w:jc w:val="right"/>
                          <w:rPr>
                            <w:sz w:val="13"/>
                          </w:rPr>
                        </w:pPr>
                        <w:r>
                          <w:rPr>
                            <w:sz w:val="13"/>
                          </w:rPr>
                          <w:t>101,69</w:t>
                        </w:r>
                      </w:p>
                    </w:tc>
                    <w:tc>
                      <w:tcPr>
                        <w:tcW w:w="703" w:type="dxa"/>
                      </w:tcPr>
                      <w:p>
                        <w:pPr>
                          <w:pStyle w:val="TableParagraph"/>
                          <w:spacing w:line="136" w:lineRule="exact"/>
                          <w:ind w:right="123"/>
                          <w:jc w:val="right"/>
                          <w:rPr>
                            <w:sz w:val="13"/>
                          </w:rPr>
                        </w:pPr>
                        <w:r>
                          <w:rPr>
                            <w:w w:val="105"/>
                            <w:sz w:val="13"/>
                          </w:rPr>
                          <w:t>6.140,56</w:t>
                        </w:r>
                      </w:p>
                    </w:tc>
                    <w:tc>
                      <w:tcPr>
                        <w:tcW w:w="459" w:type="dxa"/>
                      </w:tcPr>
                      <w:p>
                        <w:pPr>
                          <w:pStyle w:val="TableParagraph"/>
                          <w:spacing w:line="136" w:lineRule="exact"/>
                          <w:ind w:left="128"/>
                          <w:rPr>
                            <w:sz w:val="13"/>
                          </w:rPr>
                        </w:pPr>
                        <w:r>
                          <w:rPr>
                            <w:w w:val="105"/>
                            <w:sz w:val="13"/>
                          </w:rPr>
                          <w:t>0,00</w:t>
                        </w:r>
                      </w:p>
                    </w:tc>
                    <w:tc>
                      <w:tcPr>
                        <w:tcW w:w="784" w:type="dxa"/>
                      </w:tcPr>
                      <w:p>
                        <w:pPr>
                          <w:pStyle w:val="TableParagraph"/>
                          <w:spacing w:line="136" w:lineRule="exact"/>
                          <w:ind w:right="141"/>
                          <w:jc w:val="right"/>
                          <w:rPr>
                            <w:sz w:val="13"/>
                          </w:rPr>
                        </w:pPr>
                        <w:r>
                          <w:rPr>
                            <w:sz w:val="13"/>
                          </w:rPr>
                          <w:t>797,99</w:t>
                        </w:r>
                      </w:p>
                    </w:tc>
                    <w:tc>
                      <w:tcPr>
                        <w:tcW w:w="672" w:type="dxa"/>
                      </w:tcPr>
                      <w:p>
                        <w:pPr>
                          <w:pStyle w:val="TableParagraph"/>
                          <w:spacing w:line="136" w:lineRule="exact"/>
                          <w:ind w:left="126" w:right="126"/>
                          <w:jc w:val="center"/>
                          <w:rPr>
                            <w:sz w:val="13"/>
                          </w:rPr>
                        </w:pPr>
                        <w:r>
                          <w:rPr>
                            <w:w w:val="105"/>
                            <w:sz w:val="13"/>
                          </w:rPr>
                          <w:t>535,18</w:t>
                        </w:r>
                      </w:p>
                    </w:tc>
                    <w:tc>
                      <w:tcPr>
                        <w:tcW w:w="553" w:type="dxa"/>
                      </w:tcPr>
                      <w:p>
                        <w:pPr>
                          <w:pStyle w:val="TableParagraph"/>
                          <w:spacing w:line="136" w:lineRule="exact"/>
                          <w:ind w:right="90"/>
                          <w:jc w:val="right"/>
                          <w:rPr>
                            <w:sz w:val="13"/>
                          </w:rPr>
                        </w:pPr>
                        <w:r>
                          <w:rPr>
                            <w:sz w:val="13"/>
                          </w:rPr>
                          <w:t>80,39</w:t>
                        </w:r>
                      </w:p>
                    </w:tc>
                    <w:tc>
                      <w:tcPr>
                        <w:tcW w:w="690" w:type="dxa"/>
                      </w:tcPr>
                      <w:p>
                        <w:pPr>
                          <w:pStyle w:val="TableParagraph"/>
                          <w:spacing w:line="136" w:lineRule="exact"/>
                          <w:ind w:right="45"/>
                          <w:jc w:val="right"/>
                          <w:rPr>
                            <w:sz w:val="13"/>
                          </w:rPr>
                        </w:pPr>
                        <w:r>
                          <w:rPr>
                            <w:w w:val="105"/>
                            <w:sz w:val="13"/>
                          </w:rPr>
                          <w:t>7.655,81</w:t>
                        </w:r>
                      </w:p>
                    </w:tc>
                  </w:tr>
                  <w:tr>
                    <w:trPr>
                      <w:trHeight w:val="224" w:hRule="atLeast"/>
                    </w:trPr>
                    <w:tc>
                      <w:tcPr>
                        <w:tcW w:w="210" w:type="dxa"/>
                        <w:vMerge/>
                        <w:tcBorders>
                          <w:top w:val="nil"/>
                        </w:tcBorders>
                      </w:tcPr>
                      <w:p>
                        <w:pPr>
                          <w:rPr>
                            <w:sz w:val="2"/>
                            <w:szCs w:val="2"/>
                          </w:rPr>
                        </w:pPr>
                      </w:p>
                    </w:tc>
                    <w:tc>
                      <w:tcPr>
                        <w:tcW w:w="538" w:type="dxa"/>
                      </w:tcPr>
                      <w:p>
                        <w:pPr>
                          <w:pStyle w:val="TableParagraph"/>
                          <w:spacing w:before="40"/>
                          <w:ind w:right="96"/>
                          <w:jc w:val="right"/>
                          <w:rPr>
                            <w:sz w:val="13"/>
                          </w:rPr>
                        </w:pPr>
                        <w:r>
                          <w:rPr>
                            <w:sz w:val="13"/>
                          </w:rPr>
                          <w:t>0,00</w:t>
                        </w:r>
                      </w:p>
                    </w:tc>
                    <w:tc>
                      <w:tcPr>
                        <w:tcW w:w="703" w:type="dxa"/>
                      </w:tcPr>
                      <w:p>
                        <w:pPr>
                          <w:pStyle w:val="TableParagraph"/>
                          <w:spacing w:before="40"/>
                          <w:ind w:right="123"/>
                          <w:jc w:val="right"/>
                          <w:rPr>
                            <w:sz w:val="13"/>
                          </w:rPr>
                        </w:pPr>
                        <w:r>
                          <w:rPr>
                            <w:w w:val="105"/>
                            <w:sz w:val="13"/>
                          </w:rPr>
                          <w:t>1.687,44</w:t>
                        </w:r>
                      </w:p>
                    </w:tc>
                    <w:tc>
                      <w:tcPr>
                        <w:tcW w:w="459" w:type="dxa"/>
                      </w:tcPr>
                      <w:p>
                        <w:pPr>
                          <w:pStyle w:val="TableParagraph"/>
                          <w:spacing w:before="40"/>
                          <w:ind w:left="128"/>
                          <w:rPr>
                            <w:sz w:val="13"/>
                          </w:rPr>
                        </w:pPr>
                        <w:r>
                          <w:rPr>
                            <w:w w:val="105"/>
                            <w:sz w:val="13"/>
                          </w:rPr>
                          <w:t>0,00</w:t>
                        </w:r>
                      </w:p>
                    </w:tc>
                    <w:tc>
                      <w:tcPr>
                        <w:tcW w:w="784" w:type="dxa"/>
                      </w:tcPr>
                      <w:p>
                        <w:pPr>
                          <w:pStyle w:val="TableParagraph"/>
                          <w:spacing w:before="40"/>
                          <w:ind w:right="141"/>
                          <w:jc w:val="right"/>
                          <w:rPr>
                            <w:sz w:val="13"/>
                          </w:rPr>
                        </w:pPr>
                        <w:r>
                          <w:rPr>
                            <w:sz w:val="13"/>
                          </w:rPr>
                          <w:t>0,00</w:t>
                        </w:r>
                      </w:p>
                    </w:tc>
                    <w:tc>
                      <w:tcPr>
                        <w:tcW w:w="672" w:type="dxa"/>
                      </w:tcPr>
                      <w:p>
                        <w:pPr>
                          <w:pStyle w:val="TableParagraph"/>
                          <w:spacing w:before="40"/>
                          <w:ind w:left="126" w:right="126"/>
                          <w:jc w:val="center"/>
                          <w:rPr>
                            <w:sz w:val="13"/>
                          </w:rPr>
                        </w:pPr>
                        <w:r>
                          <w:rPr>
                            <w:w w:val="105"/>
                            <w:sz w:val="13"/>
                          </w:rPr>
                          <w:t>178,73</w:t>
                        </w:r>
                      </w:p>
                    </w:tc>
                    <w:tc>
                      <w:tcPr>
                        <w:tcW w:w="553" w:type="dxa"/>
                      </w:tcPr>
                      <w:p>
                        <w:pPr>
                          <w:pStyle w:val="TableParagraph"/>
                          <w:spacing w:before="40"/>
                          <w:ind w:right="90"/>
                          <w:jc w:val="right"/>
                          <w:rPr>
                            <w:sz w:val="13"/>
                          </w:rPr>
                        </w:pPr>
                        <w:r>
                          <w:rPr>
                            <w:sz w:val="13"/>
                          </w:rPr>
                          <w:t>0,00</w:t>
                        </w:r>
                      </w:p>
                    </w:tc>
                    <w:tc>
                      <w:tcPr>
                        <w:tcW w:w="690" w:type="dxa"/>
                      </w:tcPr>
                      <w:p>
                        <w:pPr>
                          <w:pStyle w:val="TableParagraph"/>
                          <w:spacing w:before="40"/>
                          <w:ind w:right="45"/>
                          <w:jc w:val="right"/>
                          <w:rPr>
                            <w:sz w:val="13"/>
                          </w:rPr>
                        </w:pPr>
                        <w:r>
                          <w:rPr>
                            <w:w w:val="105"/>
                            <w:sz w:val="13"/>
                          </w:rPr>
                          <w:t>1.866,17</w:t>
                        </w:r>
                      </w:p>
                    </w:tc>
                  </w:tr>
                  <w:tr>
                    <w:trPr>
                      <w:trHeight w:val="339" w:hRule="atLeast"/>
                    </w:trPr>
                    <w:tc>
                      <w:tcPr>
                        <w:tcW w:w="210" w:type="dxa"/>
                      </w:tcPr>
                      <w:p>
                        <w:pPr>
                          <w:pStyle w:val="TableParagraph"/>
                          <w:spacing w:before="11"/>
                          <w:rPr>
                            <w:b/>
                            <w:sz w:val="14"/>
                          </w:rPr>
                        </w:pPr>
                      </w:p>
                      <w:p>
                        <w:pPr>
                          <w:pStyle w:val="TableParagraph"/>
                          <w:spacing w:line="138" w:lineRule="exact"/>
                          <w:ind w:left="50"/>
                          <w:rPr>
                            <w:sz w:val="13"/>
                          </w:rPr>
                        </w:pPr>
                        <w:r>
                          <w:rPr>
                            <w:w w:val="105"/>
                            <w:sz w:val="13"/>
                          </w:rPr>
                          <w:t>el</w:t>
                        </w:r>
                      </w:p>
                    </w:tc>
                    <w:tc>
                      <w:tcPr>
                        <w:tcW w:w="538" w:type="dxa"/>
                      </w:tcPr>
                      <w:p>
                        <w:pPr>
                          <w:pStyle w:val="TableParagraph"/>
                          <w:spacing w:before="4"/>
                          <w:ind w:right="96"/>
                          <w:jc w:val="right"/>
                          <w:rPr>
                            <w:sz w:val="13"/>
                          </w:rPr>
                        </w:pPr>
                        <w:r>
                          <w:rPr>
                            <w:sz w:val="13"/>
                          </w:rPr>
                          <w:t>0,85</w:t>
                        </w:r>
                      </w:p>
                    </w:tc>
                    <w:tc>
                      <w:tcPr>
                        <w:tcW w:w="703" w:type="dxa"/>
                      </w:tcPr>
                      <w:p>
                        <w:pPr>
                          <w:pStyle w:val="TableParagraph"/>
                          <w:spacing w:before="4"/>
                          <w:ind w:right="123"/>
                          <w:jc w:val="right"/>
                          <w:rPr>
                            <w:sz w:val="13"/>
                          </w:rPr>
                        </w:pPr>
                        <w:r>
                          <w:rPr>
                            <w:sz w:val="13"/>
                          </w:rPr>
                          <w:t>48,13</w:t>
                        </w:r>
                      </w:p>
                    </w:tc>
                    <w:tc>
                      <w:tcPr>
                        <w:tcW w:w="459" w:type="dxa"/>
                      </w:tcPr>
                      <w:p>
                        <w:pPr>
                          <w:pStyle w:val="TableParagraph"/>
                          <w:spacing w:before="4"/>
                          <w:ind w:left="128"/>
                          <w:rPr>
                            <w:sz w:val="13"/>
                          </w:rPr>
                        </w:pPr>
                        <w:r>
                          <w:rPr>
                            <w:w w:val="105"/>
                            <w:sz w:val="13"/>
                          </w:rPr>
                          <w:t>0,00</w:t>
                        </w:r>
                      </w:p>
                    </w:tc>
                    <w:tc>
                      <w:tcPr>
                        <w:tcW w:w="784" w:type="dxa"/>
                      </w:tcPr>
                      <w:p>
                        <w:pPr>
                          <w:pStyle w:val="TableParagraph"/>
                          <w:spacing w:before="4"/>
                          <w:ind w:right="141"/>
                          <w:jc w:val="right"/>
                          <w:rPr>
                            <w:sz w:val="13"/>
                          </w:rPr>
                        </w:pPr>
                        <w:r>
                          <w:rPr>
                            <w:w w:val="105"/>
                            <w:sz w:val="13"/>
                          </w:rPr>
                          <w:t>16.743,38</w:t>
                        </w:r>
                      </w:p>
                    </w:tc>
                    <w:tc>
                      <w:tcPr>
                        <w:tcW w:w="672" w:type="dxa"/>
                      </w:tcPr>
                      <w:p>
                        <w:pPr>
                          <w:pStyle w:val="TableParagraph"/>
                          <w:spacing w:before="4"/>
                          <w:ind w:left="126" w:right="126"/>
                          <w:jc w:val="center"/>
                          <w:rPr>
                            <w:sz w:val="13"/>
                          </w:rPr>
                        </w:pPr>
                        <w:r>
                          <w:rPr>
                            <w:w w:val="105"/>
                            <w:sz w:val="13"/>
                          </w:rPr>
                          <w:t>707,55</w:t>
                        </w:r>
                      </w:p>
                    </w:tc>
                    <w:tc>
                      <w:tcPr>
                        <w:tcW w:w="553" w:type="dxa"/>
                      </w:tcPr>
                      <w:p>
                        <w:pPr>
                          <w:pStyle w:val="TableParagraph"/>
                          <w:spacing w:before="4"/>
                          <w:ind w:right="90"/>
                          <w:jc w:val="right"/>
                          <w:rPr>
                            <w:sz w:val="13"/>
                          </w:rPr>
                        </w:pPr>
                        <w:r>
                          <w:rPr>
                            <w:sz w:val="13"/>
                          </w:rPr>
                          <w:t>0,00</w:t>
                        </w:r>
                      </w:p>
                    </w:tc>
                    <w:tc>
                      <w:tcPr>
                        <w:tcW w:w="690" w:type="dxa"/>
                      </w:tcPr>
                      <w:p>
                        <w:pPr>
                          <w:pStyle w:val="TableParagraph"/>
                          <w:spacing w:before="4"/>
                          <w:ind w:right="45"/>
                          <w:jc w:val="right"/>
                          <w:rPr>
                            <w:sz w:val="13"/>
                          </w:rPr>
                        </w:pPr>
                        <w:r>
                          <w:rPr>
                            <w:w w:val="105"/>
                            <w:sz w:val="13"/>
                          </w:rPr>
                          <w:t>17.499,91</w:t>
                        </w:r>
                      </w:p>
                    </w:tc>
                  </w:tr>
                </w:tbl>
                <w:p>
                  <w:pPr>
                    <w:pStyle w:val="BodyText"/>
                  </w:pPr>
                </w:p>
              </w:txbxContent>
            </v:textbox>
            <w10:wrap type="none"/>
          </v:shape>
        </w:pict>
      </w:r>
      <w:r>
        <w:rPr>
          <w:w w:val="105"/>
          <w:position w:val="-7"/>
          <w:sz w:val="13"/>
        </w:rPr>
        <w:t>8 </w:t>
      </w:r>
      <w:r>
        <w:rPr>
          <w:w w:val="105"/>
          <w:sz w:val="13"/>
        </w:rPr>
        <w:t>Administraciones Públicas, Justicia y Seguridad</w:t>
      </w:r>
    </w:p>
    <w:p>
      <w:pPr>
        <w:pStyle w:val="ListParagraph"/>
        <w:numPr>
          <w:ilvl w:val="0"/>
          <w:numId w:val="14"/>
        </w:numPr>
        <w:tabs>
          <w:tab w:pos="2409" w:val="left" w:leader="none"/>
        </w:tabs>
        <w:spacing w:line="240" w:lineRule="auto" w:before="30" w:after="0"/>
        <w:ind w:left="2408" w:right="0" w:hanging="255"/>
        <w:jc w:val="left"/>
        <w:rPr>
          <w:sz w:val="13"/>
        </w:rPr>
      </w:pPr>
      <w:r>
        <w:rPr>
          <w:w w:val="105"/>
          <w:sz w:val="13"/>
        </w:rPr>
        <w:t>Hacienda, Presupuestos y</w:t>
      </w:r>
      <w:r>
        <w:rPr>
          <w:spacing w:val="-4"/>
          <w:w w:val="105"/>
          <w:sz w:val="13"/>
        </w:rPr>
        <w:t> </w:t>
      </w:r>
      <w:r>
        <w:rPr>
          <w:w w:val="105"/>
          <w:sz w:val="13"/>
        </w:rPr>
        <w:t>AAEE</w:t>
      </w:r>
    </w:p>
    <w:p>
      <w:pPr>
        <w:pStyle w:val="ListParagraph"/>
        <w:numPr>
          <w:ilvl w:val="0"/>
          <w:numId w:val="14"/>
        </w:numPr>
        <w:tabs>
          <w:tab w:pos="2409" w:val="left" w:leader="none"/>
        </w:tabs>
        <w:spacing w:line="268" w:lineRule="auto" w:before="31" w:after="10"/>
        <w:ind w:left="2408" w:right="5922" w:hanging="254"/>
        <w:jc w:val="left"/>
        <w:rPr>
          <w:sz w:val="13"/>
        </w:rPr>
      </w:pPr>
      <w:r>
        <w:rPr>
          <w:w w:val="105"/>
          <w:sz w:val="13"/>
        </w:rPr>
        <w:t>Obras</w:t>
      </w:r>
      <w:r>
        <w:rPr>
          <w:spacing w:val="-11"/>
          <w:w w:val="105"/>
          <w:sz w:val="13"/>
        </w:rPr>
        <w:t> </w:t>
      </w:r>
      <w:r>
        <w:rPr>
          <w:w w:val="105"/>
          <w:sz w:val="13"/>
        </w:rPr>
        <w:t>Públicas,</w:t>
      </w:r>
      <w:r>
        <w:rPr>
          <w:spacing w:val="-10"/>
          <w:w w:val="105"/>
          <w:sz w:val="13"/>
        </w:rPr>
        <w:t> </w:t>
      </w:r>
      <w:r>
        <w:rPr>
          <w:w w:val="105"/>
          <w:sz w:val="13"/>
        </w:rPr>
        <w:t>Trasportes</w:t>
      </w:r>
      <w:r>
        <w:rPr>
          <w:spacing w:val="-9"/>
          <w:w w:val="105"/>
          <w:sz w:val="13"/>
        </w:rPr>
        <w:t> </w:t>
      </w:r>
      <w:r>
        <w:rPr>
          <w:w w:val="105"/>
          <w:sz w:val="13"/>
        </w:rPr>
        <w:t>y</w:t>
      </w:r>
      <w:r>
        <w:rPr>
          <w:spacing w:val="-11"/>
          <w:w w:val="105"/>
          <w:sz w:val="13"/>
        </w:rPr>
        <w:t> </w:t>
      </w:r>
      <w:r>
        <w:rPr>
          <w:w w:val="105"/>
          <w:sz w:val="13"/>
        </w:rPr>
        <w:t>Vivienda Transición Ecológica, Lucha</w:t>
      </w:r>
      <w:r>
        <w:rPr>
          <w:spacing w:val="13"/>
          <w:w w:val="105"/>
          <w:sz w:val="13"/>
        </w:rPr>
        <w:t> </w:t>
      </w:r>
      <w:r>
        <w:rPr>
          <w:w w:val="105"/>
          <w:sz w:val="13"/>
        </w:rPr>
        <w:t>contra</w:t>
      </w:r>
    </w:p>
    <w:tbl>
      <w:tblPr>
        <w:tblW w:w="0" w:type="auto"/>
        <w:jc w:val="left"/>
        <w:tblInd w:w="2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1"/>
        <w:gridCol w:w="470"/>
        <w:gridCol w:w="669"/>
        <w:gridCol w:w="459"/>
        <w:gridCol w:w="768"/>
        <w:gridCol w:w="638"/>
        <w:gridCol w:w="603"/>
        <w:gridCol w:w="725"/>
      </w:tblGrid>
      <w:tr>
        <w:trPr>
          <w:trHeight w:val="149" w:hRule="atLeast"/>
        </w:trPr>
        <w:tc>
          <w:tcPr>
            <w:tcW w:w="2671" w:type="dxa"/>
          </w:tcPr>
          <w:p>
            <w:pPr>
              <w:pStyle w:val="TableParagraph"/>
              <w:spacing w:line="129" w:lineRule="exact"/>
              <w:ind w:left="50"/>
              <w:rPr>
                <w:sz w:val="13"/>
              </w:rPr>
            </w:pPr>
            <w:r>
              <w:rPr>
                <w:w w:val="105"/>
                <w:sz w:val="13"/>
              </w:rPr>
              <w:t>12 Cambio Climático y Planificación</w:t>
            </w:r>
          </w:p>
        </w:tc>
        <w:tc>
          <w:tcPr>
            <w:tcW w:w="470" w:type="dxa"/>
          </w:tcPr>
          <w:p>
            <w:pPr>
              <w:pStyle w:val="TableParagraph"/>
              <w:spacing w:line="129" w:lineRule="exact"/>
              <w:ind w:right="96"/>
              <w:jc w:val="right"/>
              <w:rPr>
                <w:sz w:val="13"/>
              </w:rPr>
            </w:pPr>
            <w:r>
              <w:rPr>
                <w:sz w:val="13"/>
              </w:rPr>
              <w:t>0,00</w:t>
            </w:r>
          </w:p>
        </w:tc>
        <w:tc>
          <w:tcPr>
            <w:tcW w:w="669" w:type="dxa"/>
          </w:tcPr>
          <w:p>
            <w:pPr>
              <w:pStyle w:val="TableParagraph"/>
              <w:spacing w:line="129" w:lineRule="exact"/>
              <w:ind w:right="90"/>
              <w:jc w:val="right"/>
              <w:rPr>
                <w:sz w:val="13"/>
              </w:rPr>
            </w:pPr>
            <w:r>
              <w:rPr>
                <w:w w:val="105"/>
                <w:sz w:val="13"/>
              </w:rPr>
              <w:t>4.368,85</w:t>
            </w:r>
          </w:p>
        </w:tc>
        <w:tc>
          <w:tcPr>
            <w:tcW w:w="459" w:type="dxa"/>
          </w:tcPr>
          <w:p>
            <w:pPr>
              <w:pStyle w:val="TableParagraph"/>
              <w:spacing w:line="129" w:lineRule="exact"/>
              <w:ind w:right="55"/>
              <w:jc w:val="right"/>
              <w:rPr>
                <w:sz w:val="13"/>
              </w:rPr>
            </w:pPr>
            <w:r>
              <w:rPr>
                <w:sz w:val="13"/>
              </w:rPr>
              <w:t>72,79</w:t>
            </w:r>
          </w:p>
        </w:tc>
        <w:tc>
          <w:tcPr>
            <w:tcW w:w="768" w:type="dxa"/>
          </w:tcPr>
          <w:p>
            <w:pPr>
              <w:pStyle w:val="TableParagraph"/>
              <w:spacing w:line="129" w:lineRule="exact"/>
              <w:ind w:right="93"/>
              <w:jc w:val="right"/>
              <w:rPr>
                <w:sz w:val="13"/>
              </w:rPr>
            </w:pPr>
            <w:r>
              <w:rPr>
                <w:sz w:val="13"/>
              </w:rPr>
              <w:t>0,00</w:t>
            </w:r>
          </w:p>
        </w:tc>
        <w:tc>
          <w:tcPr>
            <w:tcW w:w="638" w:type="dxa"/>
          </w:tcPr>
          <w:p>
            <w:pPr>
              <w:pStyle w:val="TableParagraph"/>
              <w:spacing w:line="129" w:lineRule="exact"/>
              <w:ind w:right="62"/>
              <w:jc w:val="right"/>
              <w:rPr>
                <w:sz w:val="13"/>
              </w:rPr>
            </w:pPr>
            <w:r>
              <w:rPr>
                <w:w w:val="105"/>
                <w:sz w:val="13"/>
              </w:rPr>
              <w:t>4.380,34</w:t>
            </w:r>
          </w:p>
        </w:tc>
        <w:tc>
          <w:tcPr>
            <w:tcW w:w="603" w:type="dxa"/>
          </w:tcPr>
          <w:p>
            <w:pPr>
              <w:pStyle w:val="TableParagraph"/>
              <w:spacing w:line="129" w:lineRule="exact"/>
              <w:ind w:right="56"/>
              <w:jc w:val="right"/>
              <w:rPr>
                <w:sz w:val="13"/>
              </w:rPr>
            </w:pPr>
            <w:r>
              <w:rPr>
                <w:w w:val="105"/>
                <w:sz w:val="13"/>
              </w:rPr>
              <w:t>1.614,50</w:t>
            </w:r>
          </w:p>
        </w:tc>
        <w:tc>
          <w:tcPr>
            <w:tcW w:w="725" w:type="dxa"/>
          </w:tcPr>
          <w:p>
            <w:pPr>
              <w:pStyle w:val="TableParagraph"/>
              <w:spacing w:line="129" w:lineRule="exact"/>
              <w:ind w:right="46"/>
              <w:jc w:val="right"/>
              <w:rPr>
                <w:sz w:val="13"/>
              </w:rPr>
            </w:pPr>
            <w:r>
              <w:rPr>
                <w:w w:val="105"/>
                <w:sz w:val="13"/>
              </w:rPr>
              <w:t>10.436,48</w:t>
            </w:r>
          </w:p>
        </w:tc>
      </w:tr>
      <w:tr>
        <w:trPr>
          <w:trHeight w:val="354" w:hRule="atLeast"/>
        </w:trPr>
        <w:tc>
          <w:tcPr>
            <w:tcW w:w="2671" w:type="dxa"/>
          </w:tcPr>
          <w:p>
            <w:pPr>
              <w:pStyle w:val="TableParagraph"/>
              <w:spacing w:line="150" w:lineRule="exact"/>
              <w:ind w:left="303"/>
              <w:rPr>
                <w:sz w:val="13"/>
              </w:rPr>
            </w:pPr>
            <w:r>
              <w:rPr>
                <w:w w:val="105"/>
                <w:sz w:val="13"/>
              </w:rPr>
              <w:t>Territorial</w:t>
            </w:r>
          </w:p>
          <w:p>
            <w:pPr>
              <w:pStyle w:val="TableParagraph"/>
              <w:spacing w:before="18"/>
              <w:ind w:left="50"/>
              <w:rPr>
                <w:sz w:val="13"/>
              </w:rPr>
            </w:pPr>
            <w:r>
              <w:rPr>
                <w:w w:val="105"/>
                <w:sz w:val="13"/>
              </w:rPr>
              <w:t>13 Agricultura, Ganadería y Pesca</w:t>
            </w:r>
          </w:p>
        </w:tc>
        <w:tc>
          <w:tcPr>
            <w:tcW w:w="470" w:type="dxa"/>
          </w:tcPr>
          <w:p>
            <w:pPr>
              <w:pStyle w:val="TableParagraph"/>
              <w:spacing w:before="10"/>
              <w:rPr>
                <w:sz w:val="13"/>
              </w:rPr>
            </w:pPr>
          </w:p>
          <w:p>
            <w:pPr>
              <w:pStyle w:val="TableParagraph"/>
              <w:ind w:right="96"/>
              <w:jc w:val="right"/>
              <w:rPr>
                <w:sz w:val="13"/>
              </w:rPr>
            </w:pPr>
            <w:r>
              <w:rPr>
                <w:sz w:val="13"/>
              </w:rPr>
              <w:t>0,00</w:t>
            </w:r>
          </w:p>
        </w:tc>
        <w:tc>
          <w:tcPr>
            <w:tcW w:w="669" w:type="dxa"/>
          </w:tcPr>
          <w:p>
            <w:pPr>
              <w:pStyle w:val="TableParagraph"/>
              <w:spacing w:before="10"/>
              <w:rPr>
                <w:sz w:val="13"/>
              </w:rPr>
            </w:pPr>
          </w:p>
          <w:p>
            <w:pPr>
              <w:pStyle w:val="TableParagraph"/>
              <w:ind w:right="90"/>
              <w:jc w:val="right"/>
              <w:rPr>
                <w:sz w:val="13"/>
              </w:rPr>
            </w:pPr>
            <w:r>
              <w:rPr>
                <w:sz w:val="13"/>
              </w:rPr>
              <w:t>261,45</w:t>
            </w:r>
          </w:p>
        </w:tc>
        <w:tc>
          <w:tcPr>
            <w:tcW w:w="459" w:type="dxa"/>
          </w:tcPr>
          <w:p>
            <w:pPr>
              <w:pStyle w:val="TableParagraph"/>
              <w:spacing w:before="10"/>
              <w:rPr>
                <w:sz w:val="13"/>
              </w:rPr>
            </w:pPr>
          </w:p>
          <w:p>
            <w:pPr>
              <w:pStyle w:val="TableParagraph"/>
              <w:ind w:right="55"/>
              <w:jc w:val="right"/>
              <w:rPr>
                <w:sz w:val="13"/>
              </w:rPr>
            </w:pPr>
            <w:r>
              <w:rPr>
                <w:sz w:val="13"/>
              </w:rPr>
              <w:t>0,00</w:t>
            </w:r>
          </w:p>
        </w:tc>
        <w:tc>
          <w:tcPr>
            <w:tcW w:w="768" w:type="dxa"/>
          </w:tcPr>
          <w:p>
            <w:pPr>
              <w:pStyle w:val="TableParagraph"/>
              <w:spacing w:before="10"/>
              <w:rPr>
                <w:sz w:val="13"/>
              </w:rPr>
            </w:pPr>
          </w:p>
          <w:p>
            <w:pPr>
              <w:pStyle w:val="TableParagraph"/>
              <w:ind w:right="91"/>
              <w:jc w:val="right"/>
              <w:rPr>
                <w:sz w:val="13"/>
              </w:rPr>
            </w:pPr>
            <w:r>
              <w:rPr>
                <w:sz w:val="13"/>
              </w:rPr>
              <w:t>570,12</w:t>
            </w:r>
          </w:p>
        </w:tc>
        <w:tc>
          <w:tcPr>
            <w:tcW w:w="638" w:type="dxa"/>
          </w:tcPr>
          <w:p>
            <w:pPr>
              <w:pStyle w:val="TableParagraph"/>
              <w:spacing w:before="10"/>
              <w:rPr>
                <w:sz w:val="13"/>
              </w:rPr>
            </w:pPr>
          </w:p>
          <w:p>
            <w:pPr>
              <w:pStyle w:val="TableParagraph"/>
              <w:ind w:right="62"/>
              <w:jc w:val="right"/>
              <w:rPr>
                <w:sz w:val="13"/>
              </w:rPr>
            </w:pPr>
            <w:r>
              <w:rPr>
                <w:sz w:val="13"/>
              </w:rPr>
              <w:t>269,14</w:t>
            </w:r>
          </w:p>
        </w:tc>
        <w:tc>
          <w:tcPr>
            <w:tcW w:w="603" w:type="dxa"/>
          </w:tcPr>
          <w:p>
            <w:pPr>
              <w:pStyle w:val="TableParagraph"/>
              <w:spacing w:before="10"/>
              <w:rPr>
                <w:sz w:val="13"/>
              </w:rPr>
            </w:pPr>
          </w:p>
          <w:p>
            <w:pPr>
              <w:pStyle w:val="TableParagraph"/>
              <w:ind w:right="56"/>
              <w:jc w:val="right"/>
              <w:rPr>
                <w:sz w:val="13"/>
              </w:rPr>
            </w:pPr>
            <w:r>
              <w:rPr>
                <w:sz w:val="13"/>
              </w:rPr>
              <w:t>224,97</w:t>
            </w:r>
          </w:p>
        </w:tc>
        <w:tc>
          <w:tcPr>
            <w:tcW w:w="725" w:type="dxa"/>
          </w:tcPr>
          <w:p>
            <w:pPr>
              <w:pStyle w:val="TableParagraph"/>
              <w:spacing w:before="10"/>
              <w:rPr>
                <w:sz w:val="13"/>
              </w:rPr>
            </w:pPr>
          </w:p>
          <w:p>
            <w:pPr>
              <w:pStyle w:val="TableParagraph"/>
              <w:ind w:right="46"/>
              <w:jc w:val="right"/>
              <w:rPr>
                <w:sz w:val="13"/>
              </w:rPr>
            </w:pPr>
            <w:r>
              <w:rPr>
                <w:w w:val="105"/>
                <w:sz w:val="13"/>
              </w:rPr>
              <w:t>1.325,68</w:t>
            </w:r>
          </w:p>
        </w:tc>
      </w:tr>
      <w:tr>
        <w:trPr>
          <w:trHeight w:val="190" w:hRule="atLeast"/>
        </w:trPr>
        <w:tc>
          <w:tcPr>
            <w:tcW w:w="2671" w:type="dxa"/>
          </w:tcPr>
          <w:p>
            <w:pPr>
              <w:pStyle w:val="TableParagraph"/>
              <w:spacing w:before="5"/>
              <w:ind w:left="50"/>
              <w:rPr>
                <w:sz w:val="13"/>
              </w:rPr>
            </w:pPr>
            <w:r>
              <w:rPr>
                <w:w w:val="105"/>
                <w:sz w:val="13"/>
              </w:rPr>
              <w:t>14 Sanidad</w:t>
            </w:r>
          </w:p>
        </w:tc>
        <w:tc>
          <w:tcPr>
            <w:tcW w:w="470" w:type="dxa"/>
          </w:tcPr>
          <w:p>
            <w:pPr>
              <w:pStyle w:val="TableParagraph"/>
              <w:spacing w:before="5"/>
              <w:ind w:right="96"/>
              <w:jc w:val="right"/>
              <w:rPr>
                <w:sz w:val="13"/>
              </w:rPr>
            </w:pPr>
            <w:r>
              <w:rPr>
                <w:sz w:val="13"/>
              </w:rPr>
              <w:t>0,00</w:t>
            </w:r>
          </w:p>
        </w:tc>
        <w:tc>
          <w:tcPr>
            <w:tcW w:w="669" w:type="dxa"/>
          </w:tcPr>
          <w:p>
            <w:pPr>
              <w:pStyle w:val="TableParagraph"/>
              <w:spacing w:before="5"/>
              <w:ind w:right="90"/>
              <w:jc w:val="right"/>
              <w:rPr>
                <w:sz w:val="13"/>
              </w:rPr>
            </w:pPr>
            <w:r>
              <w:rPr>
                <w:sz w:val="13"/>
              </w:rPr>
              <w:t>0,00</w:t>
            </w:r>
          </w:p>
        </w:tc>
        <w:tc>
          <w:tcPr>
            <w:tcW w:w="459" w:type="dxa"/>
          </w:tcPr>
          <w:p>
            <w:pPr>
              <w:pStyle w:val="TableParagraph"/>
              <w:spacing w:before="5"/>
              <w:ind w:right="55"/>
              <w:jc w:val="right"/>
              <w:rPr>
                <w:sz w:val="13"/>
              </w:rPr>
            </w:pPr>
            <w:r>
              <w:rPr>
                <w:sz w:val="13"/>
              </w:rPr>
              <w:t>0,00</w:t>
            </w:r>
          </w:p>
        </w:tc>
        <w:tc>
          <w:tcPr>
            <w:tcW w:w="768" w:type="dxa"/>
          </w:tcPr>
          <w:p>
            <w:pPr>
              <w:pStyle w:val="TableParagraph"/>
              <w:spacing w:before="5"/>
              <w:ind w:right="93"/>
              <w:jc w:val="right"/>
              <w:rPr>
                <w:sz w:val="13"/>
              </w:rPr>
            </w:pPr>
            <w:r>
              <w:rPr>
                <w:sz w:val="13"/>
              </w:rPr>
              <w:t>0,54</w:t>
            </w:r>
          </w:p>
        </w:tc>
        <w:tc>
          <w:tcPr>
            <w:tcW w:w="638" w:type="dxa"/>
          </w:tcPr>
          <w:p>
            <w:pPr>
              <w:pStyle w:val="TableParagraph"/>
              <w:spacing w:before="5"/>
              <w:ind w:right="62"/>
              <w:jc w:val="right"/>
              <w:rPr>
                <w:sz w:val="13"/>
              </w:rPr>
            </w:pPr>
            <w:r>
              <w:rPr>
                <w:sz w:val="13"/>
              </w:rPr>
              <w:t>0,00</w:t>
            </w:r>
          </w:p>
        </w:tc>
        <w:tc>
          <w:tcPr>
            <w:tcW w:w="603" w:type="dxa"/>
          </w:tcPr>
          <w:p>
            <w:pPr>
              <w:pStyle w:val="TableParagraph"/>
              <w:spacing w:before="5"/>
              <w:ind w:right="56"/>
              <w:jc w:val="right"/>
              <w:rPr>
                <w:sz w:val="13"/>
              </w:rPr>
            </w:pPr>
            <w:r>
              <w:rPr>
                <w:sz w:val="13"/>
              </w:rPr>
              <w:t>0,00</w:t>
            </w:r>
          </w:p>
        </w:tc>
        <w:tc>
          <w:tcPr>
            <w:tcW w:w="725" w:type="dxa"/>
          </w:tcPr>
          <w:p>
            <w:pPr>
              <w:pStyle w:val="TableParagraph"/>
              <w:spacing w:before="5"/>
              <w:ind w:right="46"/>
              <w:jc w:val="right"/>
              <w:rPr>
                <w:sz w:val="13"/>
              </w:rPr>
            </w:pPr>
            <w:r>
              <w:rPr>
                <w:sz w:val="13"/>
              </w:rPr>
              <w:t>0,54</w:t>
            </w:r>
          </w:p>
        </w:tc>
      </w:tr>
      <w:tr>
        <w:trPr>
          <w:trHeight w:val="190" w:hRule="atLeast"/>
        </w:trPr>
        <w:tc>
          <w:tcPr>
            <w:tcW w:w="2671" w:type="dxa"/>
          </w:tcPr>
          <w:p>
            <w:pPr>
              <w:pStyle w:val="TableParagraph"/>
              <w:spacing w:before="4"/>
              <w:ind w:left="50"/>
              <w:rPr>
                <w:sz w:val="13"/>
              </w:rPr>
            </w:pPr>
            <w:r>
              <w:rPr>
                <w:w w:val="105"/>
                <w:sz w:val="13"/>
              </w:rPr>
              <w:t>15 Economía, Conocimiento y Empleo</w:t>
            </w:r>
          </w:p>
        </w:tc>
        <w:tc>
          <w:tcPr>
            <w:tcW w:w="470" w:type="dxa"/>
          </w:tcPr>
          <w:p>
            <w:pPr>
              <w:pStyle w:val="TableParagraph"/>
              <w:spacing w:before="4"/>
              <w:ind w:right="96"/>
              <w:jc w:val="right"/>
              <w:rPr>
                <w:sz w:val="13"/>
              </w:rPr>
            </w:pPr>
            <w:r>
              <w:rPr>
                <w:sz w:val="13"/>
              </w:rPr>
              <w:t>0,00</w:t>
            </w:r>
          </w:p>
        </w:tc>
        <w:tc>
          <w:tcPr>
            <w:tcW w:w="669" w:type="dxa"/>
          </w:tcPr>
          <w:p>
            <w:pPr>
              <w:pStyle w:val="TableParagraph"/>
              <w:spacing w:before="4"/>
              <w:ind w:right="90"/>
              <w:jc w:val="right"/>
              <w:rPr>
                <w:sz w:val="13"/>
              </w:rPr>
            </w:pPr>
            <w:r>
              <w:rPr>
                <w:sz w:val="13"/>
              </w:rPr>
              <w:t>40,93</w:t>
            </w:r>
          </w:p>
        </w:tc>
        <w:tc>
          <w:tcPr>
            <w:tcW w:w="459" w:type="dxa"/>
          </w:tcPr>
          <w:p>
            <w:pPr>
              <w:pStyle w:val="TableParagraph"/>
              <w:spacing w:before="4"/>
              <w:ind w:right="55"/>
              <w:jc w:val="right"/>
              <w:rPr>
                <w:sz w:val="13"/>
              </w:rPr>
            </w:pPr>
            <w:r>
              <w:rPr>
                <w:sz w:val="13"/>
              </w:rPr>
              <w:t>0,00</w:t>
            </w:r>
          </w:p>
        </w:tc>
        <w:tc>
          <w:tcPr>
            <w:tcW w:w="768" w:type="dxa"/>
          </w:tcPr>
          <w:p>
            <w:pPr>
              <w:pStyle w:val="TableParagraph"/>
              <w:spacing w:before="4"/>
              <w:ind w:right="92"/>
              <w:jc w:val="right"/>
              <w:rPr>
                <w:sz w:val="13"/>
              </w:rPr>
            </w:pPr>
            <w:r>
              <w:rPr>
                <w:w w:val="105"/>
                <w:sz w:val="13"/>
              </w:rPr>
              <w:t>100.386,93</w:t>
            </w:r>
          </w:p>
        </w:tc>
        <w:tc>
          <w:tcPr>
            <w:tcW w:w="638" w:type="dxa"/>
          </w:tcPr>
          <w:p>
            <w:pPr>
              <w:pStyle w:val="TableParagraph"/>
              <w:spacing w:before="4"/>
              <w:ind w:right="62"/>
              <w:jc w:val="right"/>
              <w:rPr>
                <w:sz w:val="13"/>
              </w:rPr>
            </w:pPr>
            <w:r>
              <w:rPr>
                <w:sz w:val="13"/>
              </w:rPr>
              <w:t>38,94</w:t>
            </w:r>
          </w:p>
        </w:tc>
        <w:tc>
          <w:tcPr>
            <w:tcW w:w="603" w:type="dxa"/>
          </w:tcPr>
          <w:p>
            <w:pPr>
              <w:pStyle w:val="TableParagraph"/>
              <w:spacing w:before="4"/>
              <w:ind w:right="56"/>
              <w:jc w:val="right"/>
              <w:rPr>
                <w:sz w:val="13"/>
              </w:rPr>
            </w:pPr>
            <w:r>
              <w:rPr>
                <w:sz w:val="13"/>
              </w:rPr>
              <w:t>37,40</w:t>
            </w:r>
          </w:p>
        </w:tc>
        <w:tc>
          <w:tcPr>
            <w:tcW w:w="725" w:type="dxa"/>
          </w:tcPr>
          <w:p>
            <w:pPr>
              <w:pStyle w:val="TableParagraph"/>
              <w:spacing w:before="4"/>
              <w:ind w:right="46"/>
              <w:jc w:val="right"/>
              <w:rPr>
                <w:sz w:val="13"/>
              </w:rPr>
            </w:pPr>
            <w:r>
              <w:rPr>
                <w:w w:val="105"/>
                <w:sz w:val="13"/>
              </w:rPr>
              <w:t>100.504,20</w:t>
            </w:r>
          </w:p>
        </w:tc>
      </w:tr>
      <w:tr>
        <w:trPr>
          <w:trHeight w:val="163" w:hRule="atLeast"/>
        </w:trPr>
        <w:tc>
          <w:tcPr>
            <w:tcW w:w="2671" w:type="dxa"/>
          </w:tcPr>
          <w:p>
            <w:pPr>
              <w:pStyle w:val="TableParagraph"/>
              <w:spacing w:line="138" w:lineRule="exact" w:before="5"/>
              <w:ind w:left="50"/>
              <w:rPr>
                <w:sz w:val="13"/>
              </w:rPr>
            </w:pPr>
            <w:r>
              <w:rPr>
                <w:w w:val="105"/>
                <w:sz w:val="13"/>
              </w:rPr>
              <w:t>16 Turismo, Industria y Comercio</w:t>
            </w:r>
          </w:p>
        </w:tc>
        <w:tc>
          <w:tcPr>
            <w:tcW w:w="470" w:type="dxa"/>
          </w:tcPr>
          <w:p>
            <w:pPr>
              <w:pStyle w:val="TableParagraph"/>
              <w:spacing w:line="138" w:lineRule="exact" w:before="5"/>
              <w:ind w:right="96"/>
              <w:jc w:val="right"/>
              <w:rPr>
                <w:sz w:val="13"/>
              </w:rPr>
            </w:pPr>
            <w:r>
              <w:rPr>
                <w:sz w:val="13"/>
              </w:rPr>
              <w:t>0,00</w:t>
            </w:r>
          </w:p>
        </w:tc>
        <w:tc>
          <w:tcPr>
            <w:tcW w:w="669" w:type="dxa"/>
          </w:tcPr>
          <w:p>
            <w:pPr>
              <w:pStyle w:val="TableParagraph"/>
              <w:spacing w:line="138" w:lineRule="exact" w:before="5"/>
              <w:ind w:right="90"/>
              <w:jc w:val="right"/>
              <w:rPr>
                <w:sz w:val="13"/>
              </w:rPr>
            </w:pPr>
            <w:r>
              <w:rPr>
                <w:sz w:val="13"/>
              </w:rPr>
              <w:t>42,89</w:t>
            </w:r>
          </w:p>
        </w:tc>
        <w:tc>
          <w:tcPr>
            <w:tcW w:w="459" w:type="dxa"/>
          </w:tcPr>
          <w:p>
            <w:pPr>
              <w:pStyle w:val="TableParagraph"/>
              <w:spacing w:line="138" w:lineRule="exact" w:before="5"/>
              <w:ind w:right="55"/>
              <w:jc w:val="right"/>
              <w:rPr>
                <w:sz w:val="13"/>
              </w:rPr>
            </w:pPr>
            <w:r>
              <w:rPr>
                <w:sz w:val="13"/>
              </w:rPr>
              <w:t>0,00</w:t>
            </w:r>
          </w:p>
        </w:tc>
        <w:tc>
          <w:tcPr>
            <w:tcW w:w="768" w:type="dxa"/>
          </w:tcPr>
          <w:p>
            <w:pPr>
              <w:pStyle w:val="TableParagraph"/>
              <w:spacing w:line="138" w:lineRule="exact" w:before="5"/>
              <w:ind w:right="93"/>
              <w:jc w:val="right"/>
              <w:rPr>
                <w:sz w:val="13"/>
              </w:rPr>
            </w:pPr>
            <w:r>
              <w:rPr>
                <w:sz w:val="13"/>
              </w:rPr>
              <w:t>0,00</w:t>
            </w:r>
          </w:p>
        </w:tc>
        <w:tc>
          <w:tcPr>
            <w:tcW w:w="638" w:type="dxa"/>
          </w:tcPr>
          <w:p>
            <w:pPr>
              <w:pStyle w:val="TableParagraph"/>
              <w:spacing w:line="138" w:lineRule="exact" w:before="5"/>
              <w:ind w:right="62"/>
              <w:jc w:val="right"/>
              <w:rPr>
                <w:sz w:val="13"/>
              </w:rPr>
            </w:pPr>
            <w:r>
              <w:rPr>
                <w:sz w:val="13"/>
              </w:rPr>
              <w:t>532,79</w:t>
            </w:r>
          </w:p>
        </w:tc>
        <w:tc>
          <w:tcPr>
            <w:tcW w:w="603" w:type="dxa"/>
          </w:tcPr>
          <w:p>
            <w:pPr>
              <w:pStyle w:val="TableParagraph"/>
              <w:spacing w:line="138" w:lineRule="exact" w:before="5"/>
              <w:ind w:right="56"/>
              <w:jc w:val="right"/>
              <w:rPr>
                <w:sz w:val="13"/>
              </w:rPr>
            </w:pPr>
            <w:r>
              <w:rPr>
                <w:w w:val="105"/>
                <w:sz w:val="13"/>
              </w:rPr>
              <w:t>5.311,29</w:t>
            </w:r>
          </w:p>
        </w:tc>
        <w:tc>
          <w:tcPr>
            <w:tcW w:w="725" w:type="dxa"/>
          </w:tcPr>
          <w:p>
            <w:pPr>
              <w:pStyle w:val="TableParagraph"/>
              <w:spacing w:line="138" w:lineRule="exact" w:before="5"/>
              <w:ind w:right="46"/>
              <w:jc w:val="right"/>
              <w:rPr>
                <w:sz w:val="13"/>
              </w:rPr>
            </w:pPr>
            <w:r>
              <w:rPr>
                <w:w w:val="105"/>
                <w:sz w:val="13"/>
              </w:rPr>
              <w:t>5.886,97</w:t>
            </w:r>
          </w:p>
        </w:tc>
      </w:tr>
    </w:tbl>
    <w:p>
      <w:pPr>
        <w:spacing w:after="0" w:line="138" w:lineRule="exact"/>
        <w:jc w:val="right"/>
        <w:rPr>
          <w:sz w:val="13"/>
        </w:rPr>
        <w:sectPr>
          <w:pgSz w:w="11900" w:h="16840"/>
          <w:pgMar w:header="859" w:footer="926" w:top="1760" w:bottom="1120" w:left="760" w:right="760"/>
        </w:sectPr>
      </w:pPr>
    </w:p>
    <w:p>
      <w:pPr>
        <w:spacing w:line="163" w:lineRule="auto" w:before="34"/>
        <w:ind w:left="2408" w:right="0" w:hanging="254"/>
        <w:jc w:val="left"/>
        <w:rPr>
          <w:sz w:val="13"/>
        </w:rPr>
      </w:pPr>
      <w:r>
        <w:rPr>
          <w:w w:val="105"/>
          <w:position w:val="-7"/>
          <w:sz w:val="13"/>
        </w:rPr>
        <w:t>18 </w:t>
      </w:r>
      <w:r>
        <w:rPr>
          <w:w w:val="105"/>
          <w:sz w:val="13"/>
        </w:rPr>
        <w:t>Educación, Universidades, Cultura y Deportes</w:t>
      </w:r>
    </w:p>
    <w:p>
      <w:pPr>
        <w:spacing w:line="165" w:lineRule="auto" w:before="30"/>
        <w:ind w:left="2408" w:right="0" w:hanging="254"/>
        <w:jc w:val="left"/>
        <w:rPr>
          <w:sz w:val="13"/>
        </w:rPr>
      </w:pPr>
      <w:r>
        <w:rPr>
          <w:w w:val="105"/>
          <w:position w:val="-7"/>
          <w:sz w:val="13"/>
        </w:rPr>
        <w:t>23 </w:t>
      </w:r>
      <w:r>
        <w:rPr>
          <w:w w:val="105"/>
          <w:sz w:val="13"/>
        </w:rPr>
        <w:t>Derechos Sociales, Igualdad, diversidad</w:t>
      </w:r>
      <w:r>
        <w:rPr>
          <w:spacing w:val="-21"/>
          <w:w w:val="105"/>
          <w:sz w:val="13"/>
        </w:rPr>
        <w:t> </w:t>
      </w:r>
      <w:r>
        <w:rPr>
          <w:w w:val="105"/>
          <w:sz w:val="13"/>
        </w:rPr>
        <w:t>y Juventud</w:t>
      </w:r>
    </w:p>
    <w:p>
      <w:pPr>
        <w:tabs>
          <w:tab w:pos="1883" w:val="left" w:leader="none"/>
          <w:tab w:pos="3397" w:val="left" w:leader="none"/>
        </w:tabs>
        <w:spacing w:before="100"/>
        <w:ind w:left="221" w:right="0" w:firstLine="0"/>
        <w:jc w:val="left"/>
        <w:rPr>
          <w:sz w:val="13"/>
        </w:rPr>
      </w:pPr>
      <w:r>
        <w:rPr/>
        <w:br w:type="column"/>
      </w:r>
      <w:r>
        <w:rPr>
          <w:w w:val="105"/>
          <w:sz w:val="13"/>
        </w:rPr>
        <w:t>9,41     </w:t>
      </w:r>
      <w:r>
        <w:rPr>
          <w:spacing w:val="5"/>
          <w:w w:val="105"/>
          <w:sz w:val="13"/>
        </w:rPr>
        <w:t> </w:t>
      </w:r>
      <w:r>
        <w:rPr>
          <w:w w:val="105"/>
          <w:sz w:val="13"/>
        </w:rPr>
        <w:t>7.349,64  </w:t>
      </w:r>
      <w:r>
        <w:rPr>
          <w:spacing w:val="20"/>
          <w:w w:val="105"/>
          <w:sz w:val="13"/>
        </w:rPr>
        <w:t> </w:t>
      </w:r>
      <w:r>
        <w:rPr>
          <w:w w:val="105"/>
          <w:sz w:val="13"/>
        </w:rPr>
        <w:t>234,15</w:t>
        <w:tab/>
        <w:t>1.640,33  </w:t>
      </w:r>
      <w:r>
        <w:rPr>
          <w:spacing w:val="20"/>
          <w:w w:val="105"/>
          <w:sz w:val="13"/>
        </w:rPr>
        <w:t> </w:t>
      </w:r>
      <w:r>
        <w:rPr>
          <w:w w:val="105"/>
          <w:sz w:val="13"/>
        </w:rPr>
        <w:t>10.132,59</w:t>
        <w:tab/>
        <w:t>0,00    </w:t>
      </w:r>
      <w:r>
        <w:rPr>
          <w:spacing w:val="24"/>
          <w:w w:val="105"/>
          <w:sz w:val="13"/>
        </w:rPr>
        <w:t> </w:t>
      </w:r>
      <w:r>
        <w:rPr>
          <w:w w:val="105"/>
          <w:sz w:val="13"/>
        </w:rPr>
        <w:t>19.366,12</w:t>
      </w:r>
    </w:p>
    <w:p>
      <w:pPr>
        <w:pStyle w:val="BodyText"/>
        <w:spacing w:before="11"/>
        <w:rPr>
          <w:sz w:val="13"/>
        </w:rPr>
      </w:pPr>
    </w:p>
    <w:p>
      <w:pPr>
        <w:tabs>
          <w:tab w:pos="1390" w:val="left" w:leader="none"/>
          <w:tab w:pos="2789" w:val="left" w:leader="none"/>
          <w:tab w:pos="3260" w:val="left" w:leader="none"/>
        </w:tabs>
        <w:spacing w:before="1"/>
        <w:ind w:left="221" w:right="0" w:firstLine="0"/>
        <w:jc w:val="left"/>
        <w:rPr>
          <w:sz w:val="13"/>
        </w:rPr>
      </w:pPr>
      <w:r>
        <w:rPr>
          <w:w w:val="105"/>
          <w:sz w:val="13"/>
        </w:rPr>
        <w:t>0,00     </w:t>
      </w:r>
      <w:r>
        <w:rPr>
          <w:spacing w:val="5"/>
          <w:w w:val="105"/>
          <w:sz w:val="13"/>
        </w:rPr>
        <w:t> </w:t>
      </w:r>
      <w:r>
        <w:rPr>
          <w:w w:val="105"/>
          <w:sz w:val="13"/>
        </w:rPr>
        <w:t>5.637,60</w:t>
        <w:tab/>
        <w:t>0,00    </w:t>
      </w:r>
      <w:r>
        <w:rPr>
          <w:spacing w:val="24"/>
          <w:w w:val="105"/>
          <w:sz w:val="13"/>
        </w:rPr>
        <w:t> </w:t>
      </w:r>
      <w:r>
        <w:rPr>
          <w:w w:val="105"/>
          <w:sz w:val="13"/>
        </w:rPr>
        <w:t>19.017,91</w:t>
        <w:tab/>
        <w:t>0,40</w:t>
        <w:tab/>
        <w:t>417,28    </w:t>
      </w:r>
      <w:r>
        <w:rPr>
          <w:spacing w:val="22"/>
          <w:w w:val="105"/>
          <w:sz w:val="13"/>
        </w:rPr>
        <w:t> </w:t>
      </w:r>
      <w:r>
        <w:rPr>
          <w:w w:val="105"/>
          <w:sz w:val="13"/>
        </w:rPr>
        <w:t>25.073,19</w:t>
      </w:r>
    </w:p>
    <w:p>
      <w:pPr>
        <w:spacing w:after="0"/>
        <w:jc w:val="left"/>
        <w:rPr>
          <w:sz w:val="13"/>
        </w:rPr>
        <w:sectPr>
          <w:type w:val="continuous"/>
          <w:pgSz w:w="11900" w:h="16840"/>
          <w:pgMar w:top="1600" w:bottom="1120" w:left="760" w:right="760"/>
          <w:cols w:num="2" w:equalWidth="0">
            <w:col w:w="4647" w:space="40"/>
            <w:col w:w="5693"/>
          </w:cols>
        </w:sectPr>
      </w:pPr>
    </w:p>
    <w:p>
      <w:pPr>
        <w:tabs>
          <w:tab w:pos="4770" w:val="left" w:leader="none"/>
        </w:tabs>
        <w:spacing w:before="46"/>
        <w:ind w:left="3386" w:right="0" w:firstLine="0"/>
        <w:jc w:val="left"/>
        <w:rPr>
          <w:b/>
          <w:sz w:val="13"/>
        </w:rPr>
      </w:pPr>
      <w:r>
        <w:rPr/>
        <w:pict>
          <v:group style="position:absolute;margin-left:154.907013pt;margin-top:11.914489pt;width:339.05pt;height:.45pt;mso-position-horizontal-relative:page;mso-position-vertical-relative:paragraph;z-index:-251579392;mso-wrap-distance-left:0;mso-wrap-distance-right:0" coordorigin="3098,238" coordsize="6781,9">
            <v:line style="position:absolute" from="3098,242" to="5466,242" stroked="true" strokeweight=".40304pt" strokecolor="#000000">
              <v:stroke dashstyle="solid"/>
            </v:line>
            <v:rect style="position:absolute;left:5454;top:238;width:9;height:9" filled="true" fillcolor="#000000" stroked="false">
              <v:fill type="solid"/>
            </v:rect>
            <v:line style="position:absolute" from="5462,242" to="5962,242" stroked="true" strokeweight=".40304pt" strokecolor="#000000">
              <v:stroke dashstyle="solid"/>
            </v:line>
            <v:rect style="position:absolute;left:5950;top:238;width:9;height:9" filled="true" fillcolor="#000000" stroked="false">
              <v:fill type="solid"/>
            </v:rect>
            <v:line style="position:absolute" from="5958,242" to="6641,242" stroked="true" strokeweight=".40304pt" strokecolor="#000000">
              <v:stroke dashstyle="solid"/>
            </v:line>
            <v:rect style="position:absolute;left:6629;top:238;width:9;height:9" filled="true" fillcolor="#000000" stroked="false">
              <v:fill type="solid"/>
            </v:rect>
            <v:line style="position:absolute" from="6637,242" to="7133,242" stroked="true" strokeweight=".40304pt" strokecolor="#000000">
              <v:stroke dashstyle="solid"/>
            </v:line>
            <v:rect style="position:absolute;left:7120;top:238;width:9;height:9" filled="true" fillcolor="#000000" stroked="false">
              <v:fill type="solid"/>
            </v:rect>
            <v:line style="position:absolute" from="7129,242" to="7867,242" stroked="true" strokeweight=".40304pt" strokecolor="#000000">
              <v:stroke dashstyle="solid"/>
            </v:line>
            <v:rect style="position:absolute;left:7854;top:238;width:9;height:9" filled="true" fillcolor="#000000" stroked="false">
              <v:fill type="solid"/>
            </v:rect>
            <v:line style="position:absolute" from="7863,242" to="8532,242" stroked="true" strokeweight=".40304pt" strokecolor="#000000">
              <v:stroke dashstyle="solid"/>
            </v:line>
            <v:rect style="position:absolute;left:8519;top:238;width:9;height:9" filled="true" fillcolor="#000000" stroked="false">
              <v:fill type="solid"/>
            </v:rect>
            <v:line style="position:absolute" from="8528,242" to="9141,242" stroked="true" strokeweight=".40304pt" strokecolor="#000000">
              <v:stroke dashstyle="solid"/>
            </v:line>
            <v:rect style="position:absolute;left:9128;top:238;width:9;height:9" filled="true" fillcolor="#000000" stroked="false">
              <v:fill type="solid"/>
            </v:rect>
            <v:line style="position:absolute" from="9137,242" to="9878,242" stroked="true" strokeweight=".40304pt" strokecolor="#000000">
              <v:stroke dashstyle="solid"/>
            </v:line>
            <w10:wrap type="topAndBottom"/>
          </v:group>
        </w:pict>
      </w:r>
      <w:r>
        <w:rPr/>
        <w:pict>
          <v:group style="position:absolute;margin-left:150.473938pt;margin-top:97.098694pt;width:341.85pt;height:19.350pt;mso-position-horizontal-relative:page;mso-position-vertical-relative:page;z-index:-323092480" coordorigin="3009,1942" coordsize="6837,387">
            <v:shape style="position:absolute;left:3009;top:1950;width:6837;height:379" coordorigin="3009,1950" coordsize="6837,379" path="m7595,1950l6067,1950,3009,1950,3009,2329,6067,2329,7595,2329,7595,1950m9846,1950l9006,1950,7595,1950,7595,2329,9006,2329,9846,2329,9846,1950e" filled="true" fillcolor="#deeaf6" stroked="false">
              <v:path arrowok="t"/>
              <v:fill type="solid"/>
            </v:shape>
            <v:line style="position:absolute" from="3009,1946" to="6067,1946" stroked="true" strokeweight=".403006pt" strokecolor="#000000">
              <v:stroke dashstyle="solid"/>
            </v:line>
            <v:rect style="position:absolute;left:6067;top:1941;width:9;height:9" filled="true" fillcolor="#000000" stroked="false">
              <v:fill type="solid"/>
            </v:rect>
            <v:line style="position:absolute" from="6075,1946" to="7595,1946" stroked="true" strokeweight=".403006pt" strokecolor="#000000">
              <v:stroke dashstyle="solid"/>
            </v:line>
            <v:rect style="position:absolute;left:7595;top:1941;width:9;height:9" filled="true" fillcolor="#000000" stroked="false">
              <v:fill type="solid"/>
            </v:rect>
            <v:line style="position:absolute" from="7603,1946" to="9006,1946" stroked="true" strokeweight=".403006pt" strokecolor="#000000">
              <v:stroke dashstyle="solid"/>
            </v:line>
            <v:rect style="position:absolute;left:9005;top:1941;width:9;height:9" filled="true" fillcolor="#000000" stroked="false">
              <v:fill type="solid"/>
            </v:rect>
            <v:line style="position:absolute" from="9014,1946" to="9846,1946" stroked="true" strokeweight=".403006pt" strokecolor="#000000">
              <v:stroke dashstyle="solid"/>
            </v:line>
            <w10:wrap type="none"/>
          </v:group>
        </w:pict>
      </w:r>
      <w:r>
        <w:rPr>
          <w:b/>
          <w:w w:val="105"/>
          <w:sz w:val="13"/>
        </w:rPr>
        <w:t>Total</w:t>
        <w:tab/>
        <w:t>111,95 25.651,76 306,94 139.157,20 16.907,54 7.685,83</w:t>
      </w:r>
      <w:r>
        <w:rPr>
          <w:b/>
          <w:spacing w:val="21"/>
          <w:w w:val="105"/>
          <w:sz w:val="13"/>
        </w:rPr>
        <w:t> </w:t>
      </w:r>
      <w:r>
        <w:rPr>
          <w:b/>
          <w:w w:val="105"/>
          <w:sz w:val="13"/>
        </w:rPr>
        <w:t>189.821,22</w:t>
      </w:r>
    </w:p>
    <w:p>
      <w:pPr>
        <w:pStyle w:val="BodyText"/>
        <w:rPr>
          <w:b/>
        </w:rPr>
      </w:pPr>
    </w:p>
    <w:p>
      <w:pPr>
        <w:pStyle w:val="BodyText"/>
        <w:rPr>
          <w:b/>
        </w:rPr>
      </w:pPr>
    </w:p>
    <w:p>
      <w:pPr>
        <w:pStyle w:val="BodyText"/>
        <w:spacing w:before="3"/>
        <w:rPr>
          <w:b/>
          <w:sz w:val="24"/>
        </w:rPr>
      </w:pPr>
    </w:p>
    <w:p>
      <w:pPr>
        <w:pStyle w:val="BodyText"/>
        <w:spacing w:before="61"/>
        <w:ind w:left="7897"/>
        <w:jc w:val="center"/>
      </w:pPr>
      <w:r>
        <w:rPr/>
        <w:t>33</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77" name="image5.png"/>
                  <wp:cNvGraphicFramePr>
                    <a:graphicFrameLocks noChangeAspect="1"/>
                  </wp:cNvGraphicFramePr>
                  <a:graphic>
                    <a:graphicData uri="http://schemas.openxmlformats.org/drawingml/2006/picture">
                      <pic:pic>
                        <pic:nvPicPr>
                          <pic:cNvPr id="7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35/247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2"/>
        <w:rPr>
          <w:b/>
          <w:sz w:val="9"/>
        </w:rPr>
      </w:pPr>
    </w:p>
    <w:p>
      <w:pPr>
        <w:spacing w:before="61"/>
        <w:ind w:left="2096" w:right="0" w:firstLine="0"/>
        <w:jc w:val="left"/>
        <w:rPr>
          <w:b/>
          <w:sz w:val="20"/>
        </w:rPr>
      </w:pPr>
      <w:r>
        <w:rPr>
          <w:b/>
          <w:sz w:val="20"/>
        </w:rPr>
        <w:t>Cuenta de Resultados.</w:t>
      </w:r>
    </w:p>
    <w:p>
      <w:pPr>
        <w:pStyle w:val="BodyText"/>
        <w:spacing w:before="8"/>
        <w:rPr>
          <w:b/>
          <w:sz w:val="16"/>
        </w:rPr>
      </w:pPr>
    </w:p>
    <w:p>
      <w:pPr>
        <w:pStyle w:val="BodyText"/>
        <w:ind w:left="2096" w:right="1140" w:firstLine="604"/>
        <w:jc w:val="both"/>
      </w:pPr>
      <w:r>
        <w:rPr/>
        <w:t>La cuenta de resultado económico patrimonial presenta diversas variaciones positivas</w:t>
      </w:r>
      <w:r>
        <w:rPr>
          <w:spacing w:val="-6"/>
        </w:rPr>
        <w:t> </w:t>
      </w:r>
      <w:r>
        <w:rPr/>
        <w:t>y</w:t>
      </w:r>
      <w:r>
        <w:rPr>
          <w:spacing w:val="-3"/>
        </w:rPr>
        <w:t> </w:t>
      </w:r>
      <w:r>
        <w:rPr/>
        <w:t>negativas</w:t>
      </w:r>
      <w:r>
        <w:rPr>
          <w:spacing w:val="-6"/>
        </w:rPr>
        <w:t> </w:t>
      </w:r>
      <w:r>
        <w:rPr/>
        <w:t>respecto</w:t>
      </w:r>
      <w:r>
        <w:rPr>
          <w:spacing w:val="-3"/>
        </w:rPr>
        <w:t> </w:t>
      </w:r>
      <w:r>
        <w:rPr/>
        <w:t>al</w:t>
      </w:r>
      <w:r>
        <w:rPr>
          <w:spacing w:val="-5"/>
        </w:rPr>
        <w:t> </w:t>
      </w:r>
      <w:r>
        <w:rPr/>
        <w:t>año</w:t>
      </w:r>
      <w:r>
        <w:rPr>
          <w:spacing w:val="-5"/>
        </w:rPr>
        <w:t> </w:t>
      </w:r>
      <w:r>
        <w:rPr/>
        <w:t>anterior.</w:t>
      </w:r>
      <w:r>
        <w:rPr>
          <w:spacing w:val="-6"/>
        </w:rPr>
        <w:t> </w:t>
      </w:r>
      <w:r>
        <w:rPr/>
        <w:t>Lo</w:t>
      </w:r>
      <w:r>
        <w:rPr>
          <w:spacing w:val="-5"/>
        </w:rPr>
        <w:t> </w:t>
      </w:r>
      <w:r>
        <w:rPr/>
        <w:t>más</w:t>
      </w:r>
      <w:r>
        <w:rPr>
          <w:spacing w:val="-2"/>
        </w:rPr>
        <w:t> </w:t>
      </w:r>
      <w:r>
        <w:rPr/>
        <w:t>relevante</w:t>
      </w:r>
      <w:r>
        <w:rPr>
          <w:spacing w:val="-5"/>
        </w:rPr>
        <w:t> </w:t>
      </w:r>
      <w:r>
        <w:rPr/>
        <w:t>es</w:t>
      </w:r>
      <w:r>
        <w:rPr>
          <w:spacing w:val="-5"/>
        </w:rPr>
        <w:t> </w:t>
      </w:r>
      <w:r>
        <w:rPr/>
        <w:t>que</w:t>
      </w:r>
      <w:r>
        <w:rPr>
          <w:spacing w:val="-5"/>
        </w:rPr>
        <w:t> </w:t>
      </w:r>
      <w:r>
        <w:rPr/>
        <w:t>el</w:t>
      </w:r>
      <w:r>
        <w:rPr>
          <w:spacing w:val="-5"/>
        </w:rPr>
        <w:t> </w:t>
      </w:r>
      <w:r>
        <w:rPr/>
        <w:t>resultado</w:t>
      </w:r>
      <w:r>
        <w:rPr>
          <w:spacing w:val="-5"/>
        </w:rPr>
        <w:t> </w:t>
      </w:r>
      <w:r>
        <w:rPr/>
        <w:t>final, aun siendo negativo, es menor que el del ejercicio anterior, reduciendo las pérdidas en un 40</w:t>
      </w:r>
      <w:r>
        <w:rPr>
          <w:spacing w:val="-1"/>
        </w:rPr>
        <w:t> </w:t>
      </w:r>
      <w:r>
        <w:rPr/>
        <w:t>%.</w:t>
      </w:r>
    </w:p>
    <w:p>
      <w:pPr>
        <w:pStyle w:val="BodyText"/>
        <w:spacing w:before="1"/>
        <w:rPr>
          <w:sz w:val="9"/>
        </w:rPr>
      </w:pPr>
    </w:p>
    <w:tbl>
      <w:tblPr>
        <w:tblW w:w="0" w:type="auto"/>
        <w:jc w:val="left"/>
        <w:tblInd w:w="2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47"/>
        <w:gridCol w:w="1161"/>
        <w:gridCol w:w="1074"/>
        <w:gridCol w:w="721"/>
      </w:tblGrid>
      <w:tr>
        <w:trPr>
          <w:trHeight w:val="327" w:hRule="atLeast"/>
        </w:trPr>
        <w:tc>
          <w:tcPr>
            <w:tcW w:w="3847" w:type="dxa"/>
            <w:tcBorders>
              <w:top w:val="single" w:sz="4" w:space="0" w:color="000000"/>
            </w:tcBorders>
            <w:shd w:val="clear" w:color="auto" w:fill="DEEAF6"/>
          </w:tcPr>
          <w:p>
            <w:pPr>
              <w:pStyle w:val="TableParagraph"/>
              <w:spacing w:before="85"/>
              <w:ind w:left="1292" w:right="1314"/>
              <w:jc w:val="center"/>
              <w:rPr>
                <w:b/>
                <w:sz w:val="13"/>
              </w:rPr>
            </w:pPr>
            <w:r>
              <w:rPr>
                <w:b/>
                <w:w w:val="105"/>
                <w:sz w:val="13"/>
              </w:rPr>
              <w:t>Cuenta de resultados</w:t>
            </w:r>
          </w:p>
        </w:tc>
        <w:tc>
          <w:tcPr>
            <w:tcW w:w="1161" w:type="dxa"/>
            <w:tcBorders>
              <w:top w:val="single" w:sz="4" w:space="0" w:color="000000"/>
            </w:tcBorders>
            <w:shd w:val="clear" w:color="auto" w:fill="DEEAF6"/>
          </w:tcPr>
          <w:p>
            <w:pPr>
              <w:pStyle w:val="TableParagraph"/>
              <w:spacing w:before="85"/>
              <w:ind w:left="405" w:right="438"/>
              <w:jc w:val="center"/>
              <w:rPr>
                <w:b/>
                <w:sz w:val="13"/>
              </w:rPr>
            </w:pPr>
            <w:r>
              <w:rPr>
                <w:b/>
                <w:w w:val="105"/>
                <w:sz w:val="13"/>
              </w:rPr>
              <w:t>2021</w:t>
            </w:r>
          </w:p>
        </w:tc>
        <w:tc>
          <w:tcPr>
            <w:tcW w:w="1074" w:type="dxa"/>
            <w:tcBorders>
              <w:top w:val="single" w:sz="4" w:space="0" w:color="000000"/>
            </w:tcBorders>
            <w:shd w:val="clear" w:color="auto" w:fill="DEEAF6"/>
          </w:tcPr>
          <w:p>
            <w:pPr>
              <w:pStyle w:val="TableParagraph"/>
              <w:spacing w:before="85"/>
              <w:ind w:left="377" w:right="379"/>
              <w:jc w:val="center"/>
              <w:rPr>
                <w:b/>
                <w:sz w:val="13"/>
              </w:rPr>
            </w:pPr>
            <w:r>
              <w:rPr>
                <w:b/>
                <w:w w:val="105"/>
                <w:sz w:val="13"/>
              </w:rPr>
              <w:t>2022</w:t>
            </w:r>
          </w:p>
        </w:tc>
        <w:tc>
          <w:tcPr>
            <w:tcW w:w="721" w:type="dxa"/>
            <w:tcBorders>
              <w:top w:val="single" w:sz="4" w:space="0" w:color="000000"/>
            </w:tcBorders>
            <w:shd w:val="clear" w:color="auto" w:fill="DEEAF6"/>
          </w:tcPr>
          <w:p>
            <w:pPr>
              <w:pStyle w:val="TableParagraph"/>
              <w:spacing w:before="4"/>
              <w:ind w:left="95"/>
              <w:rPr>
                <w:b/>
                <w:sz w:val="13"/>
              </w:rPr>
            </w:pPr>
            <w:r>
              <w:rPr>
                <w:b/>
                <w:w w:val="105"/>
                <w:sz w:val="13"/>
              </w:rPr>
              <w:t>Variación</w:t>
            </w:r>
          </w:p>
          <w:p>
            <w:pPr>
              <w:pStyle w:val="TableParagraph"/>
              <w:spacing w:line="140" w:lineRule="exact" w:before="4"/>
              <w:ind w:left="59"/>
              <w:rPr>
                <w:b/>
                <w:sz w:val="13"/>
              </w:rPr>
            </w:pPr>
            <w:r>
              <w:rPr>
                <w:b/>
                <w:w w:val="105"/>
                <w:sz w:val="13"/>
              </w:rPr>
              <w:t>2022/2021</w:t>
            </w:r>
          </w:p>
        </w:tc>
      </w:tr>
      <w:tr>
        <w:trPr>
          <w:trHeight w:val="202" w:hRule="atLeast"/>
        </w:trPr>
        <w:tc>
          <w:tcPr>
            <w:tcW w:w="3847" w:type="dxa"/>
          </w:tcPr>
          <w:p>
            <w:pPr>
              <w:pStyle w:val="TableParagraph"/>
              <w:spacing w:before="17"/>
              <w:ind w:left="64"/>
              <w:rPr>
                <w:sz w:val="13"/>
              </w:rPr>
            </w:pPr>
            <w:r>
              <w:rPr>
                <w:w w:val="105"/>
                <w:sz w:val="13"/>
              </w:rPr>
              <w:t>1.Ingresos tributarios y cotizaciones sociales</w:t>
            </w:r>
          </w:p>
        </w:tc>
        <w:tc>
          <w:tcPr>
            <w:tcW w:w="1161" w:type="dxa"/>
          </w:tcPr>
          <w:p>
            <w:pPr>
              <w:pStyle w:val="TableParagraph"/>
              <w:spacing w:before="17"/>
              <w:ind w:right="58"/>
              <w:jc w:val="right"/>
              <w:rPr>
                <w:sz w:val="13"/>
              </w:rPr>
            </w:pPr>
            <w:r>
              <w:rPr>
                <w:w w:val="105"/>
                <w:sz w:val="13"/>
              </w:rPr>
              <w:t>3.225.531.941,29</w:t>
            </w:r>
          </w:p>
        </w:tc>
        <w:tc>
          <w:tcPr>
            <w:tcW w:w="1074" w:type="dxa"/>
          </w:tcPr>
          <w:p>
            <w:pPr>
              <w:pStyle w:val="TableParagraph"/>
              <w:spacing w:before="17"/>
              <w:ind w:right="56"/>
              <w:jc w:val="right"/>
              <w:rPr>
                <w:sz w:val="13"/>
              </w:rPr>
            </w:pPr>
            <w:r>
              <w:rPr>
                <w:w w:val="105"/>
                <w:sz w:val="13"/>
              </w:rPr>
              <w:t>3.331.171.476,11</w:t>
            </w:r>
          </w:p>
        </w:tc>
        <w:tc>
          <w:tcPr>
            <w:tcW w:w="721" w:type="dxa"/>
          </w:tcPr>
          <w:p>
            <w:pPr>
              <w:pStyle w:val="TableParagraph"/>
              <w:spacing w:before="17"/>
              <w:ind w:right="63"/>
              <w:jc w:val="right"/>
              <w:rPr>
                <w:sz w:val="13"/>
              </w:rPr>
            </w:pPr>
            <w:r>
              <w:rPr>
                <w:sz w:val="13"/>
              </w:rPr>
              <w:t>3,28%</w:t>
            </w:r>
          </w:p>
        </w:tc>
      </w:tr>
      <w:tr>
        <w:trPr>
          <w:trHeight w:val="190" w:hRule="atLeast"/>
        </w:trPr>
        <w:tc>
          <w:tcPr>
            <w:tcW w:w="3847" w:type="dxa"/>
          </w:tcPr>
          <w:p>
            <w:pPr>
              <w:pStyle w:val="TableParagraph"/>
              <w:spacing w:before="4"/>
              <w:ind w:left="64"/>
              <w:rPr>
                <w:sz w:val="13"/>
              </w:rPr>
            </w:pPr>
            <w:r>
              <w:rPr>
                <w:w w:val="105"/>
                <w:sz w:val="13"/>
              </w:rPr>
              <w:t>2.Trasferencias y subvenciones recibidas</w:t>
            </w:r>
          </w:p>
        </w:tc>
        <w:tc>
          <w:tcPr>
            <w:tcW w:w="1161" w:type="dxa"/>
          </w:tcPr>
          <w:p>
            <w:pPr>
              <w:pStyle w:val="TableParagraph"/>
              <w:spacing w:before="4"/>
              <w:ind w:right="58"/>
              <w:jc w:val="right"/>
              <w:rPr>
                <w:sz w:val="13"/>
              </w:rPr>
            </w:pPr>
            <w:r>
              <w:rPr>
                <w:w w:val="105"/>
                <w:sz w:val="13"/>
              </w:rPr>
              <w:t>6.667.397.030,23</w:t>
            </w:r>
          </w:p>
        </w:tc>
        <w:tc>
          <w:tcPr>
            <w:tcW w:w="1074" w:type="dxa"/>
          </w:tcPr>
          <w:p>
            <w:pPr>
              <w:pStyle w:val="TableParagraph"/>
              <w:spacing w:before="4"/>
              <w:ind w:right="56"/>
              <w:jc w:val="right"/>
              <w:rPr>
                <w:sz w:val="13"/>
              </w:rPr>
            </w:pPr>
            <w:r>
              <w:rPr>
                <w:w w:val="105"/>
                <w:sz w:val="13"/>
              </w:rPr>
              <w:t>5.169.410.734,73</w:t>
            </w:r>
          </w:p>
        </w:tc>
        <w:tc>
          <w:tcPr>
            <w:tcW w:w="721" w:type="dxa"/>
          </w:tcPr>
          <w:p>
            <w:pPr>
              <w:pStyle w:val="TableParagraph"/>
              <w:spacing w:before="4"/>
              <w:ind w:right="63"/>
              <w:jc w:val="right"/>
              <w:rPr>
                <w:sz w:val="13"/>
              </w:rPr>
            </w:pPr>
            <w:r>
              <w:rPr>
                <w:w w:val="105"/>
                <w:sz w:val="13"/>
              </w:rPr>
              <w:t>-22,47%</w:t>
            </w:r>
          </w:p>
        </w:tc>
      </w:tr>
      <w:tr>
        <w:trPr>
          <w:trHeight w:val="191" w:hRule="atLeast"/>
        </w:trPr>
        <w:tc>
          <w:tcPr>
            <w:tcW w:w="3847" w:type="dxa"/>
          </w:tcPr>
          <w:p>
            <w:pPr>
              <w:pStyle w:val="TableParagraph"/>
              <w:spacing w:before="5"/>
              <w:ind w:left="64"/>
              <w:rPr>
                <w:sz w:val="13"/>
              </w:rPr>
            </w:pPr>
            <w:r>
              <w:rPr>
                <w:w w:val="105"/>
                <w:sz w:val="13"/>
              </w:rPr>
              <w:t>3.Ventas netas y prestaciones de servicios</w:t>
            </w:r>
          </w:p>
        </w:tc>
        <w:tc>
          <w:tcPr>
            <w:tcW w:w="1161" w:type="dxa"/>
          </w:tcPr>
          <w:p>
            <w:pPr>
              <w:pStyle w:val="TableParagraph"/>
              <w:spacing w:before="5"/>
              <w:ind w:right="58"/>
              <w:jc w:val="right"/>
              <w:rPr>
                <w:sz w:val="13"/>
              </w:rPr>
            </w:pPr>
            <w:r>
              <w:rPr>
                <w:w w:val="105"/>
                <w:sz w:val="13"/>
              </w:rPr>
              <w:t>259.511,65</w:t>
            </w:r>
          </w:p>
        </w:tc>
        <w:tc>
          <w:tcPr>
            <w:tcW w:w="1074" w:type="dxa"/>
          </w:tcPr>
          <w:p>
            <w:pPr>
              <w:pStyle w:val="TableParagraph"/>
              <w:spacing w:before="5"/>
              <w:ind w:right="56"/>
              <w:jc w:val="right"/>
              <w:rPr>
                <w:sz w:val="13"/>
              </w:rPr>
            </w:pPr>
            <w:r>
              <w:rPr>
                <w:w w:val="105"/>
                <w:sz w:val="13"/>
              </w:rPr>
              <w:t>289.332,31</w:t>
            </w:r>
          </w:p>
        </w:tc>
        <w:tc>
          <w:tcPr>
            <w:tcW w:w="721" w:type="dxa"/>
          </w:tcPr>
          <w:p>
            <w:pPr>
              <w:pStyle w:val="TableParagraph"/>
              <w:spacing w:before="5"/>
              <w:ind w:right="63"/>
              <w:jc w:val="right"/>
              <w:rPr>
                <w:sz w:val="13"/>
              </w:rPr>
            </w:pPr>
            <w:r>
              <w:rPr>
                <w:sz w:val="13"/>
              </w:rPr>
              <w:t>11,49%</w:t>
            </w:r>
          </w:p>
        </w:tc>
      </w:tr>
      <w:tr>
        <w:trPr>
          <w:trHeight w:val="190" w:hRule="atLeast"/>
        </w:trPr>
        <w:tc>
          <w:tcPr>
            <w:tcW w:w="3847" w:type="dxa"/>
          </w:tcPr>
          <w:p>
            <w:pPr>
              <w:pStyle w:val="TableParagraph"/>
              <w:spacing w:before="6"/>
              <w:ind w:left="64"/>
              <w:rPr>
                <w:sz w:val="13"/>
              </w:rPr>
            </w:pPr>
            <w:r>
              <w:rPr>
                <w:w w:val="105"/>
                <w:sz w:val="13"/>
              </w:rPr>
              <w:t>6.Otros ingresos de gestión ordinaria</w:t>
            </w:r>
          </w:p>
        </w:tc>
        <w:tc>
          <w:tcPr>
            <w:tcW w:w="1161" w:type="dxa"/>
          </w:tcPr>
          <w:p>
            <w:pPr>
              <w:pStyle w:val="TableParagraph"/>
              <w:spacing w:before="6"/>
              <w:ind w:right="58"/>
              <w:jc w:val="right"/>
              <w:rPr>
                <w:sz w:val="13"/>
              </w:rPr>
            </w:pPr>
            <w:r>
              <w:rPr>
                <w:w w:val="105"/>
                <w:sz w:val="13"/>
              </w:rPr>
              <w:t>52.810.297,30</w:t>
            </w:r>
          </w:p>
        </w:tc>
        <w:tc>
          <w:tcPr>
            <w:tcW w:w="1074" w:type="dxa"/>
          </w:tcPr>
          <w:p>
            <w:pPr>
              <w:pStyle w:val="TableParagraph"/>
              <w:spacing w:before="6"/>
              <w:ind w:right="56"/>
              <w:jc w:val="right"/>
              <w:rPr>
                <w:sz w:val="13"/>
              </w:rPr>
            </w:pPr>
            <w:r>
              <w:rPr>
                <w:sz w:val="13"/>
              </w:rPr>
              <w:t>114.692.357,63</w:t>
            </w:r>
          </w:p>
        </w:tc>
        <w:tc>
          <w:tcPr>
            <w:tcW w:w="721" w:type="dxa"/>
          </w:tcPr>
          <w:p>
            <w:pPr>
              <w:pStyle w:val="TableParagraph"/>
              <w:spacing w:before="6"/>
              <w:ind w:right="63"/>
              <w:jc w:val="right"/>
              <w:rPr>
                <w:sz w:val="13"/>
              </w:rPr>
            </w:pPr>
            <w:r>
              <w:rPr>
                <w:sz w:val="13"/>
              </w:rPr>
              <w:t>117,18%</w:t>
            </w:r>
          </w:p>
        </w:tc>
      </w:tr>
      <w:tr>
        <w:trPr>
          <w:trHeight w:val="190" w:hRule="atLeast"/>
        </w:trPr>
        <w:tc>
          <w:tcPr>
            <w:tcW w:w="3847" w:type="dxa"/>
          </w:tcPr>
          <w:p>
            <w:pPr>
              <w:pStyle w:val="TableParagraph"/>
              <w:spacing w:before="4"/>
              <w:ind w:left="64"/>
              <w:rPr>
                <w:b/>
                <w:sz w:val="13"/>
              </w:rPr>
            </w:pPr>
            <w:r>
              <w:rPr>
                <w:b/>
                <w:w w:val="105"/>
                <w:sz w:val="13"/>
              </w:rPr>
              <w:t>TOTAL INGRESOS DE GESTIÓN ORDINARIA (1+2+3+4+5+6+7)</w:t>
            </w:r>
          </w:p>
        </w:tc>
        <w:tc>
          <w:tcPr>
            <w:tcW w:w="1161" w:type="dxa"/>
          </w:tcPr>
          <w:p>
            <w:pPr>
              <w:pStyle w:val="TableParagraph"/>
              <w:spacing w:before="4"/>
              <w:ind w:right="58"/>
              <w:jc w:val="right"/>
              <w:rPr>
                <w:b/>
                <w:sz w:val="13"/>
              </w:rPr>
            </w:pPr>
            <w:r>
              <w:rPr>
                <w:b/>
                <w:w w:val="105"/>
                <w:sz w:val="13"/>
              </w:rPr>
              <w:t>9.945.998.780,47</w:t>
            </w:r>
          </w:p>
        </w:tc>
        <w:tc>
          <w:tcPr>
            <w:tcW w:w="1074" w:type="dxa"/>
          </w:tcPr>
          <w:p>
            <w:pPr>
              <w:pStyle w:val="TableParagraph"/>
              <w:spacing w:before="4"/>
              <w:ind w:right="56"/>
              <w:jc w:val="right"/>
              <w:rPr>
                <w:sz w:val="13"/>
              </w:rPr>
            </w:pPr>
            <w:r>
              <w:rPr>
                <w:w w:val="105"/>
                <w:sz w:val="13"/>
              </w:rPr>
              <w:t>8.615.563.900,78</w:t>
            </w:r>
          </w:p>
        </w:tc>
        <w:tc>
          <w:tcPr>
            <w:tcW w:w="721" w:type="dxa"/>
          </w:tcPr>
          <w:p>
            <w:pPr>
              <w:pStyle w:val="TableParagraph"/>
              <w:spacing w:before="4"/>
              <w:ind w:right="63"/>
              <w:jc w:val="right"/>
              <w:rPr>
                <w:sz w:val="13"/>
              </w:rPr>
            </w:pPr>
            <w:r>
              <w:rPr>
                <w:w w:val="105"/>
                <w:sz w:val="13"/>
              </w:rPr>
              <w:t>-13,38%</w:t>
            </w:r>
          </w:p>
        </w:tc>
      </w:tr>
      <w:tr>
        <w:trPr>
          <w:trHeight w:val="190" w:hRule="atLeast"/>
        </w:trPr>
        <w:tc>
          <w:tcPr>
            <w:tcW w:w="3847" w:type="dxa"/>
          </w:tcPr>
          <w:p>
            <w:pPr>
              <w:pStyle w:val="TableParagraph"/>
              <w:spacing w:before="5"/>
              <w:ind w:left="64"/>
              <w:rPr>
                <w:sz w:val="13"/>
              </w:rPr>
            </w:pPr>
            <w:r>
              <w:rPr>
                <w:w w:val="105"/>
                <w:sz w:val="13"/>
              </w:rPr>
              <w:t>8.Gastos de personal</w:t>
            </w:r>
          </w:p>
        </w:tc>
        <w:tc>
          <w:tcPr>
            <w:tcW w:w="1161" w:type="dxa"/>
          </w:tcPr>
          <w:p>
            <w:pPr>
              <w:pStyle w:val="TableParagraph"/>
              <w:spacing w:before="5"/>
              <w:ind w:right="58"/>
              <w:jc w:val="right"/>
              <w:rPr>
                <w:sz w:val="13"/>
              </w:rPr>
            </w:pPr>
            <w:r>
              <w:rPr>
                <w:w w:val="105"/>
                <w:sz w:val="13"/>
              </w:rPr>
              <w:t>1.746.836.471,01</w:t>
            </w:r>
          </w:p>
        </w:tc>
        <w:tc>
          <w:tcPr>
            <w:tcW w:w="1074" w:type="dxa"/>
          </w:tcPr>
          <w:p>
            <w:pPr>
              <w:pStyle w:val="TableParagraph"/>
              <w:spacing w:before="5"/>
              <w:ind w:right="56"/>
              <w:jc w:val="right"/>
              <w:rPr>
                <w:sz w:val="13"/>
              </w:rPr>
            </w:pPr>
            <w:r>
              <w:rPr>
                <w:w w:val="105"/>
                <w:sz w:val="13"/>
              </w:rPr>
              <w:t>1.784.230.592,82</w:t>
            </w:r>
          </w:p>
        </w:tc>
        <w:tc>
          <w:tcPr>
            <w:tcW w:w="721" w:type="dxa"/>
          </w:tcPr>
          <w:p>
            <w:pPr>
              <w:pStyle w:val="TableParagraph"/>
              <w:spacing w:before="5"/>
              <w:ind w:right="63"/>
              <w:jc w:val="right"/>
              <w:rPr>
                <w:sz w:val="13"/>
              </w:rPr>
            </w:pPr>
            <w:r>
              <w:rPr>
                <w:sz w:val="13"/>
              </w:rPr>
              <w:t>2,14%</w:t>
            </w:r>
          </w:p>
        </w:tc>
      </w:tr>
      <w:tr>
        <w:trPr>
          <w:trHeight w:val="190" w:hRule="atLeast"/>
        </w:trPr>
        <w:tc>
          <w:tcPr>
            <w:tcW w:w="3847" w:type="dxa"/>
          </w:tcPr>
          <w:p>
            <w:pPr>
              <w:pStyle w:val="TableParagraph"/>
              <w:spacing w:before="4"/>
              <w:ind w:left="64"/>
              <w:rPr>
                <w:sz w:val="13"/>
              </w:rPr>
            </w:pPr>
            <w:r>
              <w:rPr>
                <w:w w:val="105"/>
                <w:sz w:val="13"/>
              </w:rPr>
              <w:t>9.Transferencias y subvenciones concedidas</w:t>
            </w:r>
          </w:p>
        </w:tc>
        <w:tc>
          <w:tcPr>
            <w:tcW w:w="1161" w:type="dxa"/>
          </w:tcPr>
          <w:p>
            <w:pPr>
              <w:pStyle w:val="TableParagraph"/>
              <w:spacing w:before="4"/>
              <w:ind w:right="58"/>
              <w:jc w:val="right"/>
              <w:rPr>
                <w:sz w:val="13"/>
              </w:rPr>
            </w:pPr>
            <w:r>
              <w:rPr>
                <w:w w:val="105"/>
                <w:sz w:val="13"/>
              </w:rPr>
              <w:t>7.593.442.592,80</w:t>
            </w:r>
          </w:p>
        </w:tc>
        <w:tc>
          <w:tcPr>
            <w:tcW w:w="1074" w:type="dxa"/>
          </w:tcPr>
          <w:p>
            <w:pPr>
              <w:pStyle w:val="TableParagraph"/>
              <w:spacing w:before="4"/>
              <w:ind w:right="56"/>
              <w:jc w:val="right"/>
              <w:rPr>
                <w:sz w:val="13"/>
              </w:rPr>
            </w:pPr>
            <w:r>
              <w:rPr>
                <w:w w:val="105"/>
                <w:sz w:val="13"/>
              </w:rPr>
              <w:t>6.548.426.913,70</w:t>
            </w:r>
          </w:p>
        </w:tc>
        <w:tc>
          <w:tcPr>
            <w:tcW w:w="721" w:type="dxa"/>
          </w:tcPr>
          <w:p>
            <w:pPr>
              <w:pStyle w:val="TableParagraph"/>
              <w:spacing w:before="4"/>
              <w:ind w:right="63"/>
              <w:jc w:val="right"/>
              <w:rPr>
                <w:sz w:val="13"/>
              </w:rPr>
            </w:pPr>
            <w:r>
              <w:rPr>
                <w:w w:val="105"/>
                <w:sz w:val="13"/>
              </w:rPr>
              <w:t>-13,76%</w:t>
            </w:r>
          </w:p>
        </w:tc>
      </w:tr>
      <w:tr>
        <w:trPr>
          <w:trHeight w:val="191" w:hRule="atLeast"/>
        </w:trPr>
        <w:tc>
          <w:tcPr>
            <w:tcW w:w="3847" w:type="dxa"/>
          </w:tcPr>
          <w:p>
            <w:pPr>
              <w:pStyle w:val="TableParagraph"/>
              <w:spacing w:before="5"/>
              <w:ind w:left="64"/>
              <w:rPr>
                <w:sz w:val="13"/>
              </w:rPr>
            </w:pPr>
            <w:r>
              <w:rPr>
                <w:w w:val="105"/>
                <w:sz w:val="13"/>
              </w:rPr>
              <w:t>11.Otros gastos de gestión ordinaria</w:t>
            </w:r>
          </w:p>
        </w:tc>
        <w:tc>
          <w:tcPr>
            <w:tcW w:w="1161" w:type="dxa"/>
          </w:tcPr>
          <w:p>
            <w:pPr>
              <w:pStyle w:val="TableParagraph"/>
              <w:spacing w:before="5"/>
              <w:ind w:right="58"/>
              <w:jc w:val="right"/>
              <w:rPr>
                <w:sz w:val="13"/>
              </w:rPr>
            </w:pPr>
            <w:r>
              <w:rPr>
                <w:sz w:val="13"/>
              </w:rPr>
              <w:t>551.948.962,97</w:t>
            </w:r>
          </w:p>
        </w:tc>
        <w:tc>
          <w:tcPr>
            <w:tcW w:w="1074" w:type="dxa"/>
          </w:tcPr>
          <w:p>
            <w:pPr>
              <w:pStyle w:val="TableParagraph"/>
              <w:spacing w:before="5"/>
              <w:ind w:right="56"/>
              <w:jc w:val="right"/>
              <w:rPr>
                <w:sz w:val="13"/>
              </w:rPr>
            </w:pPr>
            <w:r>
              <w:rPr>
                <w:sz w:val="13"/>
              </w:rPr>
              <w:t>452.983.333,25</w:t>
            </w:r>
          </w:p>
        </w:tc>
        <w:tc>
          <w:tcPr>
            <w:tcW w:w="721" w:type="dxa"/>
          </w:tcPr>
          <w:p>
            <w:pPr>
              <w:pStyle w:val="TableParagraph"/>
              <w:spacing w:before="5"/>
              <w:ind w:right="63"/>
              <w:jc w:val="right"/>
              <w:rPr>
                <w:sz w:val="13"/>
              </w:rPr>
            </w:pPr>
            <w:r>
              <w:rPr>
                <w:w w:val="105"/>
                <w:sz w:val="13"/>
              </w:rPr>
              <w:t>-17,93%</w:t>
            </w:r>
          </w:p>
        </w:tc>
      </w:tr>
      <w:tr>
        <w:trPr>
          <w:trHeight w:val="190" w:hRule="atLeast"/>
        </w:trPr>
        <w:tc>
          <w:tcPr>
            <w:tcW w:w="3847" w:type="dxa"/>
          </w:tcPr>
          <w:p>
            <w:pPr>
              <w:pStyle w:val="TableParagraph"/>
              <w:spacing w:before="5"/>
              <w:ind w:left="64"/>
              <w:rPr>
                <w:sz w:val="13"/>
              </w:rPr>
            </w:pPr>
            <w:r>
              <w:rPr>
                <w:w w:val="105"/>
                <w:sz w:val="13"/>
              </w:rPr>
              <w:t>12.Amortización Inmovilizado</w:t>
            </w:r>
          </w:p>
        </w:tc>
        <w:tc>
          <w:tcPr>
            <w:tcW w:w="1161" w:type="dxa"/>
          </w:tcPr>
          <w:p>
            <w:pPr>
              <w:pStyle w:val="TableParagraph"/>
              <w:spacing w:before="5"/>
              <w:ind w:right="58"/>
              <w:jc w:val="right"/>
              <w:rPr>
                <w:sz w:val="13"/>
              </w:rPr>
            </w:pPr>
            <w:r>
              <w:rPr>
                <w:sz w:val="13"/>
              </w:rPr>
              <w:t>102.159.758,41</w:t>
            </w:r>
          </w:p>
        </w:tc>
        <w:tc>
          <w:tcPr>
            <w:tcW w:w="1074" w:type="dxa"/>
          </w:tcPr>
          <w:p>
            <w:pPr>
              <w:pStyle w:val="TableParagraph"/>
              <w:spacing w:before="5"/>
              <w:ind w:right="56"/>
              <w:jc w:val="right"/>
              <w:rPr>
                <w:sz w:val="13"/>
              </w:rPr>
            </w:pPr>
            <w:r>
              <w:rPr>
                <w:sz w:val="13"/>
              </w:rPr>
              <w:t>106.158.993,98</w:t>
            </w:r>
          </w:p>
        </w:tc>
        <w:tc>
          <w:tcPr>
            <w:tcW w:w="721" w:type="dxa"/>
          </w:tcPr>
          <w:p>
            <w:pPr>
              <w:pStyle w:val="TableParagraph"/>
              <w:spacing w:before="5"/>
              <w:ind w:right="63"/>
              <w:jc w:val="right"/>
              <w:rPr>
                <w:sz w:val="13"/>
              </w:rPr>
            </w:pPr>
            <w:r>
              <w:rPr>
                <w:sz w:val="13"/>
              </w:rPr>
              <w:t>3,91%</w:t>
            </w:r>
          </w:p>
        </w:tc>
      </w:tr>
      <w:tr>
        <w:trPr>
          <w:trHeight w:val="190" w:hRule="atLeast"/>
        </w:trPr>
        <w:tc>
          <w:tcPr>
            <w:tcW w:w="3847" w:type="dxa"/>
          </w:tcPr>
          <w:p>
            <w:pPr>
              <w:pStyle w:val="TableParagraph"/>
              <w:spacing w:before="4"/>
              <w:ind w:left="64"/>
              <w:rPr>
                <w:b/>
                <w:sz w:val="13"/>
              </w:rPr>
            </w:pPr>
            <w:r>
              <w:rPr>
                <w:b/>
                <w:w w:val="105"/>
                <w:sz w:val="13"/>
              </w:rPr>
              <w:t>TOTAL B):GASTOS DE LA GESTIÓN ORDINARIA (8+9+10+11+12)</w:t>
            </w:r>
          </w:p>
        </w:tc>
        <w:tc>
          <w:tcPr>
            <w:tcW w:w="1161" w:type="dxa"/>
          </w:tcPr>
          <w:p>
            <w:pPr>
              <w:pStyle w:val="TableParagraph"/>
              <w:spacing w:before="4"/>
              <w:ind w:right="58"/>
              <w:jc w:val="right"/>
              <w:rPr>
                <w:b/>
                <w:sz w:val="13"/>
              </w:rPr>
            </w:pPr>
            <w:r>
              <w:rPr>
                <w:b/>
                <w:w w:val="105"/>
                <w:sz w:val="13"/>
              </w:rPr>
              <w:t>9.994.387.785,19</w:t>
            </w:r>
          </w:p>
        </w:tc>
        <w:tc>
          <w:tcPr>
            <w:tcW w:w="1074" w:type="dxa"/>
          </w:tcPr>
          <w:p>
            <w:pPr>
              <w:pStyle w:val="TableParagraph"/>
              <w:spacing w:before="4"/>
              <w:ind w:right="56"/>
              <w:jc w:val="right"/>
              <w:rPr>
                <w:sz w:val="13"/>
              </w:rPr>
            </w:pPr>
            <w:r>
              <w:rPr>
                <w:w w:val="105"/>
                <w:sz w:val="13"/>
              </w:rPr>
              <w:t>8.891.799.833,75</w:t>
            </w:r>
          </w:p>
        </w:tc>
        <w:tc>
          <w:tcPr>
            <w:tcW w:w="721" w:type="dxa"/>
          </w:tcPr>
          <w:p>
            <w:pPr>
              <w:pStyle w:val="TableParagraph"/>
              <w:spacing w:before="4"/>
              <w:ind w:right="63"/>
              <w:jc w:val="right"/>
              <w:rPr>
                <w:sz w:val="13"/>
              </w:rPr>
            </w:pPr>
            <w:r>
              <w:rPr>
                <w:w w:val="105"/>
                <w:sz w:val="13"/>
              </w:rPr>
              <w:t>-11,03%</w:t>
            </w:r>
          </w:p>
        </w:tc>
      </w:tr>
      <w:tr>
        <w:trPr>
          <w:trHeight w:val="190" w:hRule="atLeast"/>
        </w:trPr>
        <w:tc>
          <w:tcPr>
            <w:tcW w:w="3847" w:type="dxa"/>
          </w:tcPr>
          <w:p>
            <w:pPr>
              <w:pStyle w:val="TableParagraph"/>
              <w:spacing w:before="5"/>
              <w:ind w:left="64"/>
              <w:rPr>
                <w:b/>
                <w:sz w:val="13"/>
              </w:rPr>
            </w:pPr>
            <w:r>
              <w:rPr>
                <w:b/>
                <w:w w:val="105"/>
                <w:sz w:val="13"/>
              </w:rPr>
              <w:t>I. Resultado de la gestión ordinaria (A-B)</w:t>
            </w:r>
          </w:p>
        </w:tc>
        <w:tc>
          <w:tcPr>
            <w:tcW w:w="1161" w:type="dxa"/>
          </w:tcPr>
          <w:p>
            <w:pPr>
              <w:pStyle w:val="TableParagraph"/>
              <w:spacing w:before="5"/>
              <w:ind w:right="58"/>
              <w:jc w:val="right"/>
              <w:rPr>
                <w:b/>
                <w:sz w:val="13"/>
              </w:rPr>
            </w:pPr>
            <w:r>
              <w:rPr>
                <w:b/>
                <w:sz w:val="13"/>
              </w:rPr>
              <w:t>-48.389.004,72</w:t>
            </w:r>
          </w:p>
        </w:tc>
        <w:tc>
          <w:tcPr>
            <w:tcW w:w="1074" w:type="dxa"/>
          </w:tcPr>
          <w:p>
            <w:pPr>
              <w:pStyle w:val="TableParagraph"/>
              <w:spacing w:before="5"/>
              <w:ind w:right="55"/>
              <w:jc w:val="right"/>
              <w:rPr>
                <w:b/>
                <w:sz w:val="13"/>
              </w:rPr>
            </w:pPr>
            <w:r>
              <w:rPr>
                <w:b/>
                <w:w w:val="105"/>
                <w:sz w:val="13"/>
              </w:rPr>
              <w:t>-276.235.932,97</w:t>
            </w:r>
          </w:p>
        </w:tc>
        <w:tc>
          <w:tcPr>
            <w:tcW w:w="721" w:type="dxa"/>
          </w:tcPr>
          <w:p>
            <w:pPr>
              <w:pStyle w:val="TableParagraph"/>
              <w:spacing w:before="5"/>
              <w:ind w:right="63"/>
              <w:jc w:val="right"/>
              <w:rPr>
                <w:sz w:val="13"/>
              </w:rPr>
            </w:pPr>
            <w:r>
              <w:rPr>
                <w:sz w:val="13"/>
              </w:rPr>
              <w:t>470,87%</w:t>
            </w:r>
          </w:p>
        </w:tc>
      </w:tr>
      <w:tr>
        <w:trPr>
          <w:trHeight w:val="190" w:hRule="atLeast"/>
        </w:trPr>
        <w:tc>
          <w:tcPr>
            <w:tcW w:w="3847" w:type="dxa"/>
          </w:tcPr>
          <w:p>
            <w:pPr>
              <w:pStyle w:val="TableParagraph"/>
              <w:spacing w:before="4"/>
              <w:ind w:left="64"/>
              <w:rPr>
                <w:sz w:val="13"/>
              </w:rPr>
            </w:pPr>
            <w:r>
              <w:rPr>
                <w:w w:val="105"/>
                <w:sz w:val="13"/>
              </w:rPr>
              <w:t>13. Deterioro valor y rdos. enajenación inmóvil.</w:t>
            </w:r>
          </w:p>
        </w:tc>
        <w:tc>
          <w:tcPr>
            <w:tcW w:w="1161" w:type="dxa"/>
          </w:tcPr>
          <w:p>
            <w:pPr>
              <w:pStyle w:val="TableParagraph"/>
              <w:spacing w:before="4"/>
              <w:ind w:right="58"/>
              <w:jc w:val="right"/>
              <w:rPr>
                <w:sz w:val="13"/>
              </w:rPr>
            </w:pPr>
            <w:r>
              <w:rPr>
                <w:w w:val="105"/>
                <w:sz w:val="13"/>
              </w:rPr>
              <w:t>-5.840.046,72</w:t>
            </w:r>
          </w:p>
        </w:tc>
        <w:tc>
          <w:tcPr>
            <w:tcW w:w="1074" w:type="dxa"/>
          </w:tcPr>
          <w:p>
            <w:pPr>
              <w:pStyle w:val="TableParagraph"/>
              <w:spacing w:before="4"/>
              <w:ind w:right="55"/>
              <w:jc w:val="right"/>
              <w:rPr>
                <w:sz w:val="13"/>
              </w:rPr>
            </w:pPr>
            <w:r>
              <w:rPr>
                <w:w w:val="105"/>
                <w:sz w:val="13"/>
              </w:rPr>
              <w:t>-1.540.344,23</w:t>
            </w:r>
          </w:p>
        </w:tc>
        <w:tc>
          <w:tcPr>
            <w:tcW w:w="721" w:type="dxa"/>
          </w:tcPr>
          <w:p>
            <w:pPr>
              <w:pStyle w:val="TableParagraph"/>
              <w:spacing w:before="4"/>
              <w:ind w:right="63"/>
              <w:jc w:val="right"/>
              <w:rPr>
                <w:sz w:val="13"/>
              </w:rPr>
            </w:pPr>
            <w:r>
              <w:rPr>
                <w:w w:val="105"/>
                <w:sz w:val="13"/>
              </w:rPr>
              <w:t>-73,62%</w:t>
            </w:r>
          </w:p>
        </w:tc>
      </w:tr>
      <w:tr>
        <w:trPr>
          <w:trHeight w:val="190" w:hRule="atLeast"/>
        </w:trPr>
        <w:tc>
          <w:tcPr>
            <w:tcW w:w="3847" w:type="dxa"/>
          </w:tcPr>
          <w:p>
            <w:pPr>
              <w:pStyle w:val="TableParagraph"/>
              <w:spacing w:before="5"/>
              <w:ind w:left="64"/>
              <w:rPr>
                <w:sz w:val="13"/>
              </w:rPr>
            </w:pPr>
            <w:r>
              <w:rPr>
                <w:w w:val="105"/>
                <w:sz w:val="13"/>
              </w:rPr>
              <w:t>14.Otras partidas no ordinarias</w:t>
            </w:r>
          </w:p>
        </w:tc>
        <w:tc>
          <w:tcPr>
            <w:tcW w:w="1161" w:type="dxa"/>
          </w:tcPr>
          <w:p>
            <w:pPr>
              <w:pStyle w:val="TableParagraph"/>
              <w:spacing w:before="5"/>
              <w:ind w:right="58"/>
              <w:jc w:val="right"/>
              <w:rPr>
                <w:sz w:val="13"/>
              </w:rPr>
            </w:pPr>
            <w:r>
              <w:rPr>
                <w:sz w:val="13"/>
              </w:rPr>
              <w:t>-498.192.298,42</w:t>
            </w:r>
          </w:p>
        </w:tc>
        <w:tc>
          <w:tcPr>
            <w:tcW w:w="1074" w:type="dxa"/>
          </w:tcPr>
          <w:p>
            <w:pPr>
              <w:pStyle w:val="TableParagraph"/>
              <w:spacing w:before="5"/>
              <w:ind w:right="56"/>
              <w:jc w:val="right"/>
              <w:rPr>
                <w:sz w:val="13"/>
              </w:rPr>
            </w:pPr>
            <w:r>
              <w:rPr>
                <w:w w:val="105"/>
                <w:sz w:val="13"/>
              </w:rPr>
              <w:t>-35.045.240,51</w:t>
            </w:r>
          </w:p>
        </w:tc>
        <w:tc>
          <w:tcPr>
            <w:tcW w:w="721" w:type="dxa"/>
          </w:tcPr>
          <w:p>
            <w:pPr>
              <w:pStyle w:val="TableParagraph"/>
              <w:spacing w:before="5"/>
              <w:ind w:right="63"/>
              <w:jc w:val="right"/>
              <w:rPr>
                <w:sz w:val="13"/>
              </w:rPr>
            </w:pPr>
            <w:r>
              <w:rPr>
                <w:w w:val="105"/>
                <w:sz w:val="13"/>
              </w:rPr>
              <w:t>-92,97%</w:t>
            </w:r>
          </w:p>
        </w:tc>
      </w:tr>
      <w:tr>
        <w:trPr>
          <w:trHeight w:val="190" w:hRule="atLeast"/>
        </w:trPr>
        <w:tc>
          <w:tcPr>
            <w:tcW w:w="3847" w:type="dxa"/>
          </w:tcPr>
          <w:p>
            <w:pPr>
              <w:pStyle w:val="TableParagraph"/>
              <w:spacing w:before="4"/>
              <w:ind w:left="64"/>
              <w:rPr>
                <w:b/>
                <w:sz w:val="13"/>
              </w:rPr>
            </w:pPr>
            <w:r>
              <w:rPr>
                <w:b/>
                <w:w w:val="105"/>
                <w:sz w:val="13"/>
              </w:rPr>
              <w:t>II. Resultado de las operaciones no financiera (I+13+14)</w:t>
            </w:r>
          </w:p>
        </w:tc>
        <w:tc>
          <w:tcPr>
            <w:tcW w:w="1161" w:type="dxa"/>
          </w:tcPr>
          <w:p>
            <w:pPr>
              <w:pStyle w:val="TableParagraph"/>
              <w:spacing w:before="4"/>
              <w:ind w:right="58"/>
              <w:jc w:val="right"/>
              <w:rPr>
                <w:b/>
                <w:sz w:val="13"/>
              </w:rPr>
            </w:pPr>
            <w:r>
              <w:rPr>
                <w:b/>
                <w:w w:val="105"/>
                <w:sz w:val="13"/>
              </w:rPr>
              <w:t>-552.421.349,86</w:t>
            </w:r>
          </w:p>
        </w:tc>
        <w:tc>
          <w:tcPr>
            <w:tcW w:w="1074" w:type="dxa"/>
          </w:tcPr>
          <w:p>
            <w:pPr>
              <w:pStyle w:val="TableParagraph"/>
              <w:spacing w:before="4"/>
              <w:ind w:right="55"/>
              <w:jc w:val="right"/>
              <w:rPr>
                <w:b/>
                <w:sz w:val="13"/>
              </w:rPr>
            </w:pPr>
            <w:r>
              <w:rPr>
                <w:b/>
                <w:w w:val="105"/>
                <w:sz w:val="13"/>
              </w:rPr>
              <w:t>-312.821.517,71</w:t>
            </w:r>
          </w:p>
        </w:tc>
        <w:tc>
          <w:tcPr>
            <w:tcW w:w="721" w:type="dxa"/>
          </w:tcPr>
          <w:p>
            <w:pPr>
              <w:pStyle w:val="TableParagraph"/>
              <w:spacing w:before="4"/>
              <w:ind w:right="63"/>
              <w:jc w:val="right"/>
              <w:rPr>
                <w:sz w:val="13"/>
              </w:rPr>
            </w:pPr>
            <w:r>
              <w:rPr>
                <w:w w:val="105"/>
                <w:sz w:val="13"/>
              </w:rPr>
              <w:t>-43,37%</w:t>
            </w:r>
          </w:p>
        </w:tc>
      </w:tr>
      <w:tr>
        <w:trPr>
          <w:trHeight w:val="191" w:hRule="atLeast"/>
        </w:trPr>
        <w:tc>
          <w:tcPr>
            <w:tcW w:w="3847" w:type="dxa"/>
          </w:tcPr>
          <w:p>
            <w:pPr>
              <w:pStyle w:val="TableParagraph"/>
              <w:spacing w:before="5"/>
              <w:ind w:left="64"/>
              <w:rPr>
                <w:sz w:val="13"/>
              </w:rPr>
            </w:pPr>
            <w:r>
              <w:rPr>
                <w:w w:val="105"/>
                <w:sz w:val="13"/>
              </w:rPr>
              <w:t>15.Ingresos financieros</w:t>
            </w:r>
          </w:p>
        </w:tc>
        <w:tc>
          <w:tcPr>
            <w:tcW w:w="1161" w:type="dxa"/>
          </w:tcPr>
          <w:p>
            <w:pPr>
              <w:pStyle w:val="TableParagraph"/>
              <w:spacing w:before="5"/>
              <w:ind w:right="58"/>
              <w:jc w:val="right"/>
              <w:rPr>
                <w:sz w:val="13"/>
              </w:rPr>
            </w:pPr>
            <w:r>
              <w:rPr>
                <w:w w:val="105"/>
                <w:sz w:val="13"/>
              </w:rPr>
              <w:t>6.881.557,57</w:t>
            </w:r>
          </w:p>
        </w:tc>
        <w:tc>
          <w:tcPr>
            <w:tcW w:w="1074" w:type="dxa"/>
          </w:tcPr>
          <w:p>
            <w:pPr>
              <w:pStyle w:val="TableParagraph"/>
              <w:spacing w:before="5"/>
              <w:ind w:right="55"/>
              <w:jc w:val="right"/>
              <w:rPr>
                <w:sz w:val="13"/>
              </w:rPr>
            </w:pPr>
            <w:r>
              <w:rPr>
                <w:w w:val="105"/>
                <w:sz w:val="13"/>
              </w:rPr>
              <w:t>15.051.272,46</w:t>
            </w:r>
          </w:p>
        </w:tc>
        <w:tc>
          <w:tcPr>
            <w:tcW w:w="721" w:type="dxa"/>
          </w:tcPr>
          <w:p>
            <w:pPr>
              <w:pStyle w:val="TableParagraph"/>
              <w:spacing w:before="5"/>
              <w:ind w:right="63"/>
              <w:jc w:val="right"/>
              <w:rPr>
                <w:sz w:val="13"/>
              </w:rPr>
            </w:pPr>
            <w:r>
              <w:rPr>
                <w:sz w:val="13"/>
              </w:rPr>
              <w:t>118,72%</w:t>
            </w:r>
          </w:p>
        </w:tc>
      </w:tr>
      <w:tr>
        <w:trPr>
          <w:trHeight w:val="190" w:hRule="atLeast"/>
        </w:trPr>
        <w:tc>
          <w:tcPr>
            <w:tcW w:w="3847" w:type="dxa"/>
          </w:tcPr>
          <w:p>
            <w:pPr>
              <w:pStyle w:val="TableParagraph"/>
              <w:spacing w:before="5"/>
              <w:ind w:left="64"/>
              <w:rPr>
                <w:sz w:val="13"/>
              </w:rPr>
            </w:pPr>
            <w:r>
              <w:rPr>
                <w:w w:val="105"/>
                <w:sz w:val="13"/>
              </w:rPr>
              <w:t>16.Gastos financieros</w:t>
            </w:r>
          </w:p>
        </w:tc>
        <w:tc>
          <w:tcPr>
            <w:tcW w:w="1161" w:type="dxa"/>
          </w:tcPr>
          <w:p>
            <w:pPr>
              <w:pStyle w:val="TableParagraph"/>
              <w:spacing w:before="5"/>
              <w:ind w:right="58"/>
              <w:jc w:val="right"/>
              <w:rPr>
                <w:sz w:val="13"/>
              </w:rPr>
            </w:pPr>
            <w:r>
              <w:rPr>
                <w:w w:val="105"/>
                <w:sz w:val="13"/>
              </w:rPr>
              <w:t>-37.778.203,27</w:t>
            </w:r>
          </w:p>
        </w:tc>
        <w:tc>
          <w:tcPr>
            <w:tcW w:w="1074" w:type="dxa"/>
          </w:tcPr>
          <w:p>
            <w:pPr>
              <w:pStyle w:val="TableParagraph"/>
              <w:spacing w:before="5"/>
              <w:ind w:right="56"/>
              <w:jc w:val="right"/>
              <w:rPr>
                <w:sz w:val="13"/>
              </w:rPr>
            </w:pPr>
            <w:r>
              <w:rPr>
                <w:w w:val="105"/>
                <w:sz w:val="13"/>
              </w:rPr>
              <w:t>-76.212.141,96</w:t>
            </w:r>
          </w:p>
        </w:tc>
        <w:tc>
          <w:tcPr>
            <w:tcW w:w="721" w:type="dxa"/>
          </w:tcPr>
          <w:p>
            <w:pPr>
              <w:pStyle w:val="TableParagraph"/>
              <w:spacing w:before="5"/>
              <w:ind w:right="63"/>
              <w:jc w:val="right"/>
              <w:rPr>
                <w:sz w:val="13"/>
              </w:rPr>
            </w:pPr>
            <w:r>
              <w:rPr>
                <w:sz w:val="13"/>
              </w:rPr>
              <w:t>101,74%</w:t>
            </w:r>
          </w:p>
        </w:tc>
      </w:tr>
      <w:tr>
        <w:trPr>
          <w:trHeight w:val="183" w:hRule="atLeast"/>
        </w:trPr>
        <w:tc>
          <w:tcPr>
            <w:tcW w:w="3847" w:type="dxa"/>
          </w:tcPr>
          <w:p>
            <w:pPr>
              <w:pStyle w:val="TableParagraph"/>
              <w:spacing w:before="4"/>
              <w:ind w:left="64"/>
              <w:rPr>
                <w:sz w:val="13"/>
              </w:rPr>
            </w:pPr>
            <w:r>
              <w:rPr>
                <w:w w:val="105"/>
                <w:sz w:val="13"/>
              </w:rPr>
              <w:t>20)Deterioro valor activos y pasivos financie</w:t>
            </w:r>
          </w:p>
        </w:tc>
        <w:tc>
          <w:tcPr>
            <w:tcW w:w="1161" w:type="dxa"/>
          </w:tcPr>
          <w:p>
            <w:pPr>
              <w:pStyle w:val="TableParagraph"/>
              <w:spacing w:before="4"/>
              <w:ind w:right="58"/>
              <w:jc w:val="right"/>
              <w:rPr>
                <w:sz w:val="13"/>
              </w:rPr>
            </w:pPr>
            <w:r>
              <w:rPr>
                <w:w w:val="105"/>
                <w:sz w:val="13"/>
              </w:rPr>
              <w:t>-39.764.420,85</w:t>
            </w:r>
          </w:p>
        </w:tc>
        <w:tc>
          <w:tcPr>
            <w:tcW w:w="1074" w:type="dxa"/>
          </w:tcPr>
          <w:p>
            <w:pPr>
              <w:pStyle w:val="TableParagraph"/>
              <w:spacing w:before="4"/>
              <w:ind w:right="55"/>
              <w:jc w:val="right"/>
              <w:rPr>
                <w:sz w:val="13"/>
              </w:rPr>
            </w:pPr>
            <w:r>
              <w:rPr>
                <w:w w:val="105"/>
                <w:sz w:val="13"/>
              </w:rPr>
              <w:t>2.337.460,11</w:t>
            </w:r>
          </w:p>
        </w:tc>
        <w:tc>
          <w:tcPr>
            <w:tcW w:w="721" w:type="dxa"/>
          </w:tcPr>
          <w:p>
            <w:pPr>
              <w:pStyle w:val="TableParagraph"/>
              <w:spacing w:before="4"/>
              <w:ind w:right="63"/>
              <w:jc w:val="right"/>
              <w:rPr>
                <w:sz w:val="13"/>
              </w:rPr>
            </w:pPr>
            <w:r>
              <w:rPr>
                <w:w w:val="105"/>
                <w:sz w:val="13"/>
              </w:rPr>
              <w:t>-105,88%</w:t>
            </w:r>
          </w:p>
        </w:tc>
      </w:tr>
      <w:tr>
        <w:trPr>
          <w:trHeight w:val="197" w:hRule="atLeast"/>
        </w:trPr>
        <w:tc>
          <w:tcPr>
            <w:tcW w:w="3847" w:type="dxa"/>
          </w:tcPr>
          <w:p>
            <w:pPr>
              <w:pStyle w:val="TableParagraph"/>
              <w:spacing w:before="12"/>
              <w:ind w:left="64"/>
              <w:rPr>
                <w:sz w:val="13"/>
              </w:rPr>
            </w:pPr>
            <w:r>
              <w:rPr>
                <w:w w:val="105"/>
                <w:sz w:val="13"/>
              </w:rPr>
              <w:t>III. Resultado de las operaciones financieras (15+16+17+18+19+20)</w:t>
            </w:r>
          </w:p>
        </w:tc>
        <w:tc>
          <w:tcPr>
            <w:tcW w:w="1161" w:type="dxa"/>
          </w:tcPr>
          <w:p>
            <w:pPr>
              <w:pStyle w:val="TableParagraph"/>
              <w:spacing w:before="12"/>
              <w:ind w:right="58"/>
              <w:jc w:val="right"/>
              <w:rPr>
                <w:sz w:val="13"/>
              </w:rPr>
            </w:pPr>
            <w:r>
              <w:rPr>
                <w:w w:val="105"/>
                <w:sz w:val="13"/>
              </w:rPr>
              <w:t>-70.661.066,55</w:t>
            </w:r>
          </w:p>
        </w:tc>
        <w:tc>
          <w:tcPr>
            <w:tcW w:w="1074" w:type="dxa"/>
          </w:tcPr>
          <w:p>
            <w:pPr>
              <w:pStyle w:val="TableParagraph"/>
              <w:spacing w:before="12"/>
              <w:ind w:right="56"/>
              <w:jc w:val="right"/>
              <w:rPr>
                <w:sz w:val="13"/>
              </w:rPr>
            </w:pPr>
            <w:r>
              <w:rPr>
                <w:w w:val="105"/>
                <w:sz w:val="13"/>
              </w:rPr>
              <w:t>-58.823.409,39</w:t>
            </w:r>
          </w:p>
        </w:tc>
        <w:tc>
          <w:tcPr>
            <w:tcW w:w="721" w:type="dxa"/>
          </w:tcPr>
          <w:p>
            <w:pPr>
              <w:pStyle w:val="TableParagraph"/>
              <w:spacing w:line="157" w:lineRule="exact"/>
              <w:ind w:right="63"/>
              <w:jc w:val="right"/>
              <w:rPr>
                <w:sz w:val="13"/>
              </w:rPr>
            </w:pPr>
            <w:r>
              <w:rPr>
                <w:w w:val="105"/>
                <w:sz w:val="13"/>
              </w:rPr>
              <w:t>-16,75%</w:t>
            </w:r>
          </w:p>
        </w:tc>
      </w:tr>
      <w:tr>
        <w:trPr>
          <w:trHeight w:val="179" w:hRule="atLeast"/>
        </w:trPr>
        <w:tc>
          <w:tcPr>
            <w:tcW w:w="3847" w:type="dxa"/>
            <w:tcBorders>
              <w:bottom w:val="single" w:sz="4" w:space="0" w:color="000000"/>
            </w:tcBorders>
          </w:tcPr>
          <w:p>
            <w:pPr>
              <w:pStyle w:val="TableParagraph"/>
              <w:spacing w:line="155" w:lineRule="exact" w:before="4"/>
              <w:ind w:left="64"/>
              <w:rPr>
                <w:b/>
                <w:sz w:val="13"/>
              </w:rPr>
            </w:pPr>
            <w:r>
              <w:rPr>
                <w:b/>
                <w:w w:val="105"/>
                <w:sz w:val="13"/>
              </w:rPr>
              <w:t>AHORRO / DESAHORRO. IV. Resultado neto del ejercicio (II+III)</w:t>
            </w:r>
          </w:p>
        </w:tc>
        <w:tc>
          <w:tcPr>
            <w:tcW w:w="1161" w:type="dxa"/>
            <w:tcBorders>
              <w:bottom w:val="single" w:sz="4" w:space="0" w:color="000000"/>
            </w:tcBorders>
          </w:tcPr>
          <w:p>
            <w:pPr>
              <w:pStyle w:val="TableParagraph"/>
              <w:spacing w:line="155" w:lineRule="exact" w:before="4"/>
              <w:ind w:right="58"/>
              <w:jc w:val="right"/>
              <w:rPr>
                <w:b/>
                <w:sz w:val="13"/>
              </w:rPr>
            </w:pPr>
            <w:r>
              <w:rPr>
                <w:b/>
                <w:w w:val="105"/>
                <w:sz w:val="13"/>
              </w:rPr>
              <w:t>-623.082.416,41</w:t>
            </w:r>
          </w:p>
        </w:tc>
        <w:tc>
          <w:tcPr>
            <w:tcW w:w="1074" w:type="dxa"/>
            <w:tcBorders>
              <w:bottom w:val="single" w:sz="4" w:space="0" w:color="000000"/>
            </w:tcBorders>
          </w:tcPr>
          <w:p>
            <w:pPr>
              <w:pStyle w:val="TableParagraph"/>
              <w:spacing w:line="155" w:lineRule="exact" w:before="4"/>
              <w:ind w:right="55"/>
              <w:jc w:val="right"/>
              <w:rPr>
                <w:b/>
                <w:sz w:val="13"/>
              </w:rPr>
            </w:pPr>
            <w:r>
              <w:rPr>
                <w:b/>
                <w:w w:val="105"/>
                <w:sz w:val="13"/>
              </w:rPr>
              <w:t>-371.644.927,10</w:t>
            </w:r>
          </w:p>
        </w:tc>
        <w:tc>
          <w:tcPr>
            <w:tcW w:w="721" w:type="dxa"/>
            <w:tcBorders>
              <w:bottom w:val="single" w:sz="4" w:space="0" w:color="000000"/>
            </w:tcBorders>
          </w:tcPr>
          <w:p>
            <w:pPr>
              <w:pStyle w:val="TableParagraph"/>
              <w:spacing w:line="155" w:lineRule="exact" w:before="4"/>
              <w:ind w:right="63"/>
              <w:jc w:val="right"/>
              <w:rPr>
                <w:sz w:val="13"/>
              </w:rPr>
            </w:pPr>
            <w:r>
              <w:rPr>
                <w:w w:val="105"/>
                <w:sz w:val="13"/>
              </w:rPr>
              <w:t>-40,35%</w:t>
            </w:r>
          </w:p>
        </w:tc>
      </w:tr>
    </w:tbl>
    <w:p>
      <w:pPr>
        <w:pStyle w:val="BodyText"/>
        <w:spacing w:before="3"/>
        <w:rPr>
          <w:sz w:val="16"/>
        </w:rPr>
      </w:pPr>
    </w:p>
    <w:p>
      <w:pPr>
        <w:pStyle w:val="Heading1"/>
        <w:numPr>
          <w:ilvl w:val="2"/>
          <w:numId w:val="10"/>
        </w:numPr>
        <w:tabs>
          <w:tab w:pos="2691" w:val="left" w:leader="none"/>
        </w:tabs>
        <w:spacing w:line="240" w:lineRule="auto" w:before="0" w:after="0"/>
        <w:ind w:left="2690" w:right="0" w:hanging="593"/>
        <w:jc w:val="left"/>
      </w:pPr>
      <w:r>
        <w:rPr>
          <w:color w:val="53A1B9"/>
        </w:rPr>
        <w:t>Resultado</w:t>
      </w:r>
      <w:r>
        <w:rPr>
          <w:color w:val="53A1B9"/>
          <w:spacing w:val="3"/>
        </w:rPr>
        <w:t> </w:t>
      </w:r>
      <w:r>
        <w:rPr>
          <w:color w:val="53A1B9"/>
        </w:rPr>
        <w:t>presupuestario.</w:t>
      </w:r>
    </w:p>
    <w:p>
      <w:pPr>
        <w:pStyle w:val="BodyText"/>
        <w:spacing w:before="8"/>
        <w:rPr>
          <w:b/>
          <w:sz w:val="16"/>
        </w:rPr>
      </w:pPr>
    </w:p>
    <w:p>
      <w:pPr>
        <w:pStyle w:val="BodyText"/>
        <w:ind w:left="2096" w:right="1139" w:firstLine="594"/>
        <w:jc w:val="both"/>
      </w:pPr>
      <w:r>
        <w:rPr/>
        <w:t>Según se observa, en el siguiente cuadro el resultado presupuestario ajustado del ejercicio 2022 ha resultado negativo por un importe de 223,6 millones de €. Ello representa un retroceso respecto del ejercicio 2021 donde el resultado fue positivo, cifrado en 412,6 millones de €.</w:t>
      </w:r>
    </w:p>
    <w:p>
      <w:pPr>
        <w:pStyle w:val="BodyText"/>
        <w:spacing w:before="1"/>
        <w:rPr>
          <w:sz w:val="17"/>
        </w:rPr>
      </w:pPr>
    </w:p>
    <w:p>
      <w:pPr>
        <w:pStyle w:val="BodyText"/>
        <w:ind w:left="2690"/>
      </w:pPr>
      <w:r>
        <w:rPr/>
        <w:t>Se presenta en el siguiente cuadro el desglose del año 2022 y los saldos de 2021.</w:t>
      </w:r>
    </w:p>
    <w:p>
      <w:pPr>
        <w:pStyle w:val="BodyText"/>
        <w:spacing w:before="10"/>
        <w:rPr>
          <w:sz w:val="16"/>
        </w:rPr>
      </w:pPr>
    </w:p>
    <w:p>
      <w:pPr>
        <w:spacing w:before="0" w:after="6"/>
        <w:ind w:left="0" w:right="1235" w:firstLine="0"/>
        <w:jc w:val="right"/>
        <w:rPr>
          <w:b/>
          <w:sz w:val="13"/>
        </w:rPr>
      </w:pPr>
      <w:r>
        <w:rPr>
          <w:b/>
          <w:w w:val="105"/>
          <w:sz w:val="13"/>
        </w:rPr>
        <w:t>Millones de €</w:t>
      </w:r>
    </w:p>
    <w:tbl>
      <w:tblPr>
        <w:tblW w:w="0" w:type="auto"/>
        <w:jc w:val="left"/>
        <w:tblInd w:w="2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
        <w:gridCol w:w="3042"/>
        <w:gridCol w:w="1389"/>
        <w:gridCol w:w="1005"/>
        <w:gridCol w:w="799"/>
        <w:gridCol w:w="643"/>
      </w:tblGrid>
      <w:tr>
        <w:trPr>
          <w:trHeight w:val="494" w:hRule="atLeast"/>
        </w:trPr>
        <w:tc>
          <w:tcPr>
            <w:tcW w:w="7112" w:type="dxa"/>
            <w:gridSpan w:val="6"/>
            <w:tcBorders>
              <w:top w:val="single" w:sz="4" w:space="0" w:color="000000"/>
            </w:tcBorders>
            <w:shd w:val="clear" w:color="auto" w:fill="DEEAF6"/>
          </w:tcPr>
          <w:p>
            <w:pPr>
              <w:pStyle w:val="TableParagraph"/>
              <w:tabs>
                <w:tab w:pos="4603" w:val="left" w:leader="none"/>
              </w:tabs>
              <w:spacing w:before="4"/>
              <w:ind w:left="3672"/>
              <w:rPr>
                <w:b/>
                <w:sz w:val="13"/>
              </w:rPr>
            </w:pPr>
            <w:r>
              <w:rPr>
                <w:b/>
                <w:w w:val="105"/>
                <w:sz w:val="13"/>
              </w:rPr>
              <w:t>Derechos</w:t>
              <w:tab/>
              <w:t>Obligaciones</w:t>
            </w:r>
          </w:p>
          <w:p>
            <w:pPr>
              <w:pStyle w:val="TableParagraph"/>
              <w:tabs>
                <w:tab w:pos="3595" w:val="left" w:leader="none"/>
                <w:tab w:pos="4625" w:val="left" w:leader="none"/>
                <w:tab w:pos="4809" w:val="left" w:leader="none"/>
                <w:tab w:pos="5580" w:val="left" w:leader="none"/>
              </w:tabs>
              <w:spacing w:line="160" w:lineRule="atLeast" w:before="5"/>
              <w:ind w:left="3777" w:right="64" w:hanging="2195"/>
              <w:rPr>
                <w:b/>
                <w:sz w:val="13"/>
              </w:rPr>
            </w:pPr>
            <w:r>
              <w:rPr>
                <w:b/>
                <w:w w:val="105"/>
                <w:sz w:val="13"/>
              </w:rPr>
              <w:t>Concepto</w:t>
              <w:tab/>
              <w:t>reconocidos</w:t>
              <w:tab/>
              <w:t>reconocidas</w:t>
              <w:tab/>
              <w:t>Saldos 2021 Saldos </w:t>
            </w:r>
            <w:r>
              <w:rPr>
                <w:b/>
                <w:spacing w:val="-4"/>
                <w:w w:val="105"/>
                <w:sz w:val="13"/>
              </w:rPr>
              <w:t>2022 </w:t>
            </w:r>
            <w:r>
              <w:rPr>
                <w:b/>
                <w:w w:val="105"/>
                <w:sz w:val="13"/>
              </w:rPr>
              <w:t>netos</w:t>
              <w:tab/>
              <w:tab/>
              <w:t>netas</w:t>
            </w:r>
          </w:p>
        </w:tc>
      </w:tr>
      <w:tr>
        <w:trPr>
          <w:trHeight w:val="232" w:hRule="atLeast"/>
        </w:trPr>
        <w:tc>
          <w:tcPr>
            <w:tcW w:w="234" w:type="dxa"/>
          </w:tcPr>
          <w:p>
            <w:pPr>
              <w:pStyle w:val="TableParagraph"/>
              <w:spacing w:line="153" w:lineRule="exact" w:before="60"/>
              <w:ind w:left="60"/>
              <w:rPr>
                <w:sz w:val="13"/>
              </w:rPr>
            </w:pPr>
            <w:r>
              <w:rPr>
                <w:w w:val="103"/>
                <w:sz w:val="13"/>
              </w:rPr>
              <w:t>1</w:t>
            </w:r>
          </w:p>
        </w:tc>
        <w:tc>
          <w:tcPr>
            <w:tcW w:w="3042" w:type="dxa"/>
          </w:tcPr>
          <w:p>
            <w:pPr>
              <w:pStyle w:val="TableParagraph"/>
              <w:spacing w:line="153" w:lineRule="exact" w:before="60"/>
              <w:ind w:left="60"/>
              <w:rPr>
                <w:sz w:val="13"/>
              </w:rPr>
            </w:pPr>
            <w:r>
              <w:rPr>
                <w:w w:val="105"/>
                <w:sz w:val="13"/>
              </w:rPr>
              <w:t>Operaciones corrientes</w:t>
            </w:r>
          </w:p>
        </w:tc>
        <w:tc>
          <w:tcPr>
            <w:tcW w:w="1389" w:type="dxa"/>
          </w:tcPr>
          <w:p>
            <w:pPr>
              <w:pStyle w:val="TableParagraph"/>
              <w:spacing w:before="32"/>
              <w:ind w:right="309"/>
              <w:jc w:val="right"/>
              <w:rPr>
                <w:sz w:val="13"/>
              </w:rPr>
            </w:pPr>
            <w:r>
              <w:rPr>
                <w:w w:val="105"/>
                <w:sz w:val="13"/>
              </w:rPr>
              <w:t>7.989,06</w:t>
            </w:r>
          </w:p>
        </w:tc>
        <w:tc>
          <w:tcPr>
            <w:tcW w:w="1005" w:type="dxa"/>
          </w:tcPr>
          <w:p>
            <w:pPr>
              <w:pStyle w:val="TableParagraph"/>
              <w:spacing w:before="32"/>
              <w:ind w:right="212"/>
              <w:jc w:val="right"/>
              <w:rPr>
                <w:sz w:val="13"/>
              </w:rPr>
            </w:pPr>
            <w:r>
              <w:rPr>
                <w:w w:val="105"/>
                <w:sz w:val="13"/>
              </w:rPr>
              <w:t>7.956,91</w:t>
            </w:r>
          </w:p>
        </w:tc>
        <w:tc>
          <w:tcPr>
            <w:tcW w:w="799" w:type="dxa"/>
          </w:tcPr>
          <w:p>
            <w:pPr>
              <w:pStyle w:val="TableParagraph"/>
              <w:spacing w:before="32"/>
              <w:ind w:right="209"/>
              <w:jc w:val="right"/>
              <w:rPr>
                <w:sz w:val="13"/>
              </w:rPr>
            </w:pPr>
            <w:r>
              <w:rPr>
                <w:sz w:val="13"/>
              </w:rPr>
              <w:t>337,95</w:t>
            </w:r>
          </w:p>
        </w:tc>
        <w:tc>
          <w:tcPr>
            <w:tcW w:w="643" w:type="dxa"/>
          </w:tcPr>
          <w:p>
            <w:pPr>
              <w:pStyle w:val="TableParagraph"/>
              <w:spacing w:before="32"/>
              <w:ind w:right="57"/>
              <w:jc w:val="right"/>
              <w:rPr>
                <w:sz w:val="13"/>
              </w:rPr>
            </w:pPr>
            <w:r>
              <w:rPr>
                <w:sz w:val="13"/>
              </w:rPr>
              <w:t>32,15</w:t>
            </w:r>
          </w:p>
        </w:tc>
      </w:tr>
      <w:tr>
        <w:trPr>
          <w:trHeight w:val="178" w:hRule="atLeast"/>
        </w:trPr>
        <w:tc>
          <w:tcPr>
            <w:tcW w:w="234" w:type="dxa"/>
          </w:tcPr>
          <w:p>
            <w:pPr>
              <w:pStyle w:val="TableParagraph"/>
              <w:spacing w:line="151" w:lineRule="exact"/>
              <w:ind w:left="60"/>
              <w:rPr>
                <w:sz w:val="13"/>
              </w:rPr>
            </w:pPr>
            <w:r>
              <w:rPr>
                <w:w w:val="103"/>
                <w:sz w:val="13"/>
              </w:rPr>
              <w:t>2</w:t>
            </w:r>
          </w:p>
        </w:tc>
        <w:tc>
          <w:tcPr>
            <w:tcW w:w="3042" w:type="dxa"/>
          </w:tcPr>
          <w:p>
            <w:pPr>
              <w:pStyle w:val="TableParagraph"/>
              <w:spacing w:line="151" w:lineRule="exact"/>
              <w:ind w:left="60"/>
              <w:rPr>
                <w:sz w:val="13"/>
              </w:rPr>
            </w:pPr>
            <w:r>
              <w:rPr>
                <w:w w:val="105"/>
                <w:sz w:val="13"/>
              </w:rPr>
              <w:t>Operaciones de capital</w:t>
            </w:r>
          </w:p>
        </w:tc>
        <w:tc>
          <w:tcPr>
            <w:tcW w:w="1389" w:type="dxa"/>
          </w:tcPr>
          <w:p>
            <w:pPr>
              <w:pStyle w:val="TableParagraph"/>
              <w:spacing w:line="151" w:lineRule="exact"/>
              <w:ind w:right="309"/>
              <w:jc w:val="right"/>
              <w:rPr>
                <w:sz w:val="13"/>
              </w:rPr>
            </w:pPr>
            <w:r>
              <w:rPr>
                <w:w w:val="105"/>
                <w:sz w:val="13"/>
              </w:rPr>
              <w:t>1.159,11</w:t>
            </w:r>
          </w:p>
        </w:tc>
        <w:tc>
          <w:tcPr>
            <w:tcW w:w="1005" w:type="dxa"/>
          </w:tcPr>
          <w:p>
            <w:pPr>
              <w:pStyle w:val="TableParagraph"/>
              <w:spacing w:line="151" w:lineRule="exact"/>
              <w:ind w:right="212"/>
              <w:jc w:val="right"/>
              <w:rPr>
                <w:sz w:val="13"/>
              </w:rPr>
            </w:pPr>
            <w:r>
              <w:rPr>
                <w:w w:val="105"/>
                <w:sz w:val="13"/>
              </w:rPr>
              <w:t>1.127,78</w:t>
            </w:r>
          </w:p>
        </w:tc>
        <w:tc>
          <w:tcPr>
            <w:tcW w:w="799" w:type="dxa"/>
          </w:tcPr>
          <w:p>
            <w:pPr>
              <w:pStyle w:val="TableParagraph"/>
              <w:spacing w:line="151" w:lineRule="exact"/>
              <w:ind w:right="209"/>
              <w:jc w:val="right"/>
              <w:rPr>
                <w:sz w:val="13"/>
              </w:rPr>
            </w:pPr>
            <w:r>
              <w:rPr>
                <w:w w:val="105"/>
                <w:sz w:val="13"/>
              </w:rPr>
              <w:t>-86,97</w:t>
            </w:r>
          </w:p>
        </w:tc>
        <w:tc>
          <w:tcPr>
            <w:tcW w:w="643" w:type="dxa"/>
          </w:tcPr>
          <w:p>
            <w:pPr>
              <w:pStyle w:val="TableParagraph"/>
              <w:spacing w:line="151" w:lineRule="exact"/>
              <w:ind w:right="57"/>
              <w:jc w:val="right"/>
              <w:rPr>
                <w:sz w:val="13"/>
              </w:rPr>
            </w:pPr>
            <w:r>
              <w:rPr>
                <w:sz w:val="13"/>
              </w:rPr>
              <w:t>31,33</w:t>
            </w:r>
          </w:p>
        </w:tc>
      </w:tr>
      <w:tr>
        <w:trPr>
          <w:trHeight w:val="219" w:hRule="atLeast"/>
        </w:trPr>
        <w:tc>
          <w:tcPr>
            <w:tcW w:w="234" w:type="dxa"/>
          </w:tcPr>
          <w:p>
            <w:pPr>
              <w:pStyle w:val="TableParagraph"/>
              <w:spacing w:before="34"/>
              <w:ind w:left="60"/>
              <w:rPr>
                <w:b/>
                <w:sz w:val="13"/>
              </w:rPr>
            </w:pPr>
            <w:r>
              <w:rPr>
                <w:b/>
                <w:w w:val="103"/>
                <w:sz w:val="13"/>
              </w:rPr>
              <w:t>I</w:t>
            </w:r>
          </w:p>
        </w:tc>
        <w:tc>
          <w:tcPr>
            <w:tcW w:w="3042" w:type="dxa"/>
          </w:tcPr>
          <w:p>
            <w:pPr>
              <w:pStyle w:val="TableParagraph"/>
              <w:spacing w:before="34"/>
              <w:ind w:left="60"/>
              <w:rPr>
                <w:b/>
                <w:sz w:val="13"/>
              </w:rPr>
            </w:pPr>
            <w:r>
              <w:rPr>
                <w:b/>
                <w:w w:val="105"/>
                <w:sz w:val="13"/>
              </w:rPr>
              <w:t>Resultado presupuestario del ejercicio (1+2)</w:t>
            </w:r>
          </w:p>
        </w:tc>
        <w:tc>
          <w:tcPr>
            <w:tcW w:w="1389" w:type="dxa"/>
          </w:tcPr>
          <w:p>
            <w:pPr>
              <w:pStyle w:val="TableParagraph"/>
              <w:spacing w:before="5"/>
              <w:ind w:right="309"/>
              <w:jc w:val="right"/>
              <w:rPr>
                <w:b/>
                <w:sz w:val="13"/>
              </w:rPr>
            </w:pPr>
            <w:r>
              <w:rPr>
                <w:b/>
                <w:w w:val="105"/>
                <w:sz w:val="13"/>
              </w:rPr>
              <w:t>9.148,17</w:t>
            </w:r>
          </w:p>
        </w:tc>
        <w:tc>
          <w:tcPr>
            <w:tcW w:w="1005" w:type="dxa"/>
          </w:tcPr>
          <w:p>
            <w:pPr>
              <w:pStyle w:val="TableParagraph"/>
              <w:spacing w:before="5"/>
              <w:ind w:right="212"/>
              <w:jc w:val="right"/>
              <w:rPr>
                <w:b/>
                <w:sz w:val="13"/>
              </w:rPr>
            </w:pPr>
            <w:r>
              <w:rPr>
                <w:b/>
                <w:w w:val="105"/>
                <w:sz w:val="13"/>
              </w:rPr>
              <w:t>9.084,69</w:t>
            </w:r>
          </w:p>
        </w:tc>
        <w:tc>
          <w:tcPr>
            <w:tcW w:w="799" w:type="dxa"/>
          </w:tcPr>
          <w:p>
            <w:pPr>
              <w:pStyle w:val="TableParagraph"/>
              <w:spacing w:before="5"/>
              <w:ind w:right="208"/>
              <w:jc w:val="right"/>
              <w:rPr>
                <w:b/>
                <w:sz w:val="13"/>
              </w:rPr>
            </w:pPr>
            <w:r>
              <w:rPr>
                <w:b/>
                <w:sz w:val="13"/>
              </w:rPr>
              <w:t>250,98</w:t>
            </w:r>
          </w:p>
        </w:tc>
        <w:tc>
          <w:tcPr>
            <w:tcW w:w="643" w:type="dxa"/>
          </w:tcPr>
          <w:p>
            <w:pPr>
              <w:pStyle w:val="TableParagraph"/>
              <w:spacing w:before="5"/>
              <w:ind w:right="57"/>
              <w:jc w:val="right"/>
              <w:rPr>
                <w:b/>
                <w:sz w:val="13"/>
              </w:rPr>
            </w:pPr>
            <w:r>
              <w:rPr>
                <w:b/>
                <w:w w:val="105"/>
                <w:sz w:val="13"/>
              </w:rPr>
              <w:t>63,48</w:t>
            </w:r>
          </w:p>
        </w:tc>
      </w:tr>
      <w:tr>
        <w:trPr>
          <w:trHeight w:val="219" w:hRule="atLeast"/>
        </w:trPr>
        <w:tc>
          <w:tcPr>
            <w:tcW w:w="234" w:type="dxa"/>
          </w:tcPr>
          <w:p>
            <w:pPr>
              <w:pStyle w:val="TableParagraph"/>
              <w:spacing w:before="34"/>
              <w:ind w:left="60"/>
              <w:rPr>
                <w:sz w:val="13"/>
              </w:rPr>
            </w:pPr>
            <w:r>
              <w:rPr>
                <w:w w:val="105"/>
                <w:sz w:val="13"/>
              </w:rPr>
              <w:t>II</w:t>
            </w:r>
          </w:p>
        </w:tc>
        <w:tc>
          <w:tcPr>
            <w:tcW w:w="3042" w:type="dxa"/>
          </w:tcPr>
          <w:p>
            <w:pPr>
              <w:pStyle w:val="TableParagraph"/>
              <w:spacing w:before="5"/>
              <w:ind w:left="60"/>
              <w:rPr>
                <w:sz w:val="13"/>
              </w:rPr>
            </w:pPr>
            <w:r>
              <w:rPr>
                <w:w w:val="105"/>
                <w:sz w:val="13"/>
              </w:rPr>
              <w:t>Operaciones con activos financieros</w:t>
            </w:r>
          </w:p>
        </w:tc>
        <w:tc>
          <w:tcPr>
            <w:tcW w:w="1389" w:type="dxa"/>
          </w:tcPr>
          <w:p>
            <w:pPr>
              <w:pStyle w:val="TableParagraph"/>
              <w:spacing w:before="5"/>
              <w:ind w:right="309"/>
              <w:jc w:val="right"/>
              <w:rPr>
                <w:sz w:val="13"/>
              </w:rPr>
            </w:pPr>
            <w:r>
              <w:rPr>
                <w:sz w:val="13"/>
              </w:rPr>
              <w:t>18,64</w:t>
            </w:r>
          </w:p>
        </w:tc>
        <w:tc>
          <w:tcPr>
            <w:tcW w:w="1005" w:type="dxa"/>
          </w:tcPr>
          <w:p>
            <w:pPr>
              <w:pStyle w:val="TableParagraph"/>
              <w:spacing w:before="5"/>
              <w:ind w:right="212"/>
              <w:jc w:val="right"/>
              <w:rPr>
                <w:sz w:val="13"/>
              </w:rPr>
            </w:pPr>
            <w:r>
              <w:rPr>
                <w:sz w:val="13"/>
              </w:rPr>
              <w:t>9,43</w:t>
            </w:r>
          </w:p>
        </w:tc>
        <w:tc>
          <w:tcPr>
            <w:tcW w:w="799" w:type="dxa"/>
          </w:tcPr>
          <w:p>
            <w:pPr>
              <w:pStyle w:val="TableParagraph"/>
              <w:spacing w:before="5"/>
              <w:ind w:right="209"/>
              <w:jc w:val="right"/>
              <w:rPr>
                <w:sz w:val="13"/>
              </w:rPr>
            </w:pPr>
            <w:r>
              <w:rPr>
                <w:sz w:val="13"/>
              </w:rPr>
              <w:t>43,48</w:t>
            </w:r>
          </w:p>
        </w:tc>
        <w:tc>
          <w:tcPr>
            <w:tcW w:w="643" w:type="dxa"/>
          </w:tcPr>
          <w:p>
            <w:pPr>
              <w:pStyle w:val="TableParagraph"/>
              <w:spacing w:before="5"/>
              <w:ind w:right="58"/>
              <w:jc w:val="right"/>
              <w:rPr>
                <w:sz w:val="13"/>
              </w:rPr>
            </w:pPr>
            <w:r>
              <w:rPr>
                <w:sz w:val="13"/>
              </w:rPr>
              <w:t>9,23</w:t>
            </w:r>
          </w:p>
        </w:tc>
      </w:tr>
      <w:tr>
        <w:trPr>
          <w:trHeight w:val="193" w:hRule="atLeast"/>
        </w:trPr>
        <w:tc>
          <w:tcPr>
            <w:tcW w:w="234" w:type="dxa"/>
          </w:tcPr>
          <w:p>
            <w:pPr>
              <w:pStyle w:val="TableParagraph"/>
              <w:spacing w:line="140" w:lineRule="exact" w:before="34"/>
              <w:ind w:left="60"/>
              <w:rPr>
                <w:sz w:val="13"/>
              </w:rPr>
            </w:pPr>
            <w:r>
              <w:rPr>
                <w:w w:val="105"/>
                <w:sz w:val="13"/>
              </w:rPr>
              <w:t>III</w:t>
            </w:r>
          </w:p>
        </w:tc>
        <w:tc>
          <w:tcPr>
            <w:tcW w:w="3042" w:type="dxa"/>
          </w:tcPr>
          <w:p>
            <w:pPr>
              <w:pStyle w:val="TableParagraph"/>
              <w:spacing w:before="5"/>
              <w:ind w:left="60"/>
              <w:rPr>
                <w:sz w:val="13"/>
              </w:rPr>
            </w:pPr>
            <w:r>
              <w:rPr>
                <w:w w:val="105"/>
                <w:sz w:val="13"/>
              </w:rPr>
              <w:t>Operaciones con pasivos financieros</w:t>
            </w:r>
          </w:p>
        </w:tc>
        <w:tc>
          <w:tcPr>
            <w:tcW w:w="1389" w:type="dxa"/>
          </w:tcPr>
          <w:p>
            <w:pPr>
              <w:pStyle w:val="TableParagraph"/>
              <w:spacing w:before="5"/>
              <w:ind w:right="310"/>
              <w:jc w:val="right"/>
              <w:rPr>
                <w:sz w:val="13"/>
              </w:rPr>
            </w:pPr>
            <w:r>
              <w:rPr>
                <w:sz w:val="13"/>
              </w:rPr>
              <w:t>927,39</w:t>
            </w:r>
          </w:p>
        </w:tc>
        <w:tc>
          <w:tcPr>
            <w:tcW w:w="1005" w:type="dxa"/>
          </w:tcPr>
          <w:p>
            <w:pPr>
              <w:pStyle w:val="TableParagraph"/>
              <w:spacing w:before="5"/>
              <w:ind w:right="212"/>
              <w:jc w:val="right"/>
              <w:rPr>
                <w:sz w:val="13"/>
              </w:rPr>
            </w:pPr>
            <w:r>
              <w:rPr>
                <w:sz w:val="13"/>
              </w:rPr>
              <w:t>879,85</w:t>
            </w:r>
          </w:p>
        </w:tc>
        <w:tc>
          <w:tcPr>
            <w:tcW w:w="799" w:type="dxa"/>
          </w:tcPr>
          <w:p>
            <w:pPr>
              <w:pStyle w:val="TableParagraph"/>
              <w:spacing w:before="5"/>
              <w:ind w:right="209"/>
              <w:jc w:val="right"/>
              <w:rPr>
                <w:sz w:val="13"/>
              </w:rPr>
            </w:pPr>
            <w:r>
              <w:rPr>
                <w:sz w:val="13"/>
              </w:rPr>
              <w:t>47,92</w:t>
            </w:r>
          </w:p>
        </w:tc>
        <w:tc>
          <w:tcPr>
            <w:tcW w:w="643" w:type="dxa"/>
          </w:tcPr>
          <w:p>
            <w:pPr>
              <w:pStyle w:val="TableParagraph"/>
              <w:spacing w:before="5"/>
              <w:ind w:right="57"/>
              <w:jc w:val="right"/>
              <w:rPr>
                <w:sz w:val="13"/>
              </w:rPr>
            </w:pPr>
            <w:r>
              <w:rPr>
                <w:sz w:val="13"/>
              </w:rPr>
              <w:t>47,54</w:t>
            </w:r>
          </w:p>
        </w:tc>
      </w:tr>
      <w:tr>
        <w:trPr>
          <w:trHeight w:val="221" w:hRule="atLeast"/>
        </w:trPr>
        <w:tc>
          <w:tcPr>
            <w:tcW w:w="234" w:type="dxa"/>
          </w:tcPr>
          <w:p>
            <w:pPr>
              <w:pStyle w:val="TableParagraph"/>
              <w:spacing w:line="142" w:lineRule="exact" w:before="59"/>
              <w:ind w:left="60"/>
              <w:rPr>
                <w:b/>
                <w:sz w:val="13"/>
              </w:rPr>
            </w:pPr>
            <w:r>
              <w:rPr>
                <w:b/>
                <w:w w:val="105"/>
                <w:sz w:val="13"/>
              </w:rPr>
              <w:t>IV</w:t>
            </w:r>
          </w:p>
        </w:tc>
        <w:tc>
          <w:tcPr>
            <w:tcW w:w="3042" w:type="dxa"/>
            <w:shd w:val="clear" w:color="auto" w:fill="D9D9D9"/>
          </w:tcPr>
          <w:p>
            <w:pPr>
              <w:pStyle w:val="TableParagraph"/>
              <w:spacing w:before="31"/>
              <w:ind w:left="60"/>
              <w:rPr>
                <w:b/>
                <w:sz w:val="13"/>
              </w:rPr>
            </w:pPr>
            <w:r>
              <w:rPr>
                <w:b/>
                <w:w w:val="105"/>
                <w:sz w:val="13"/>
              </w:rPr>
              <w:t>Saldo presupuestario del ejercicio a=I+II+III</w:t>
            </w:r>
          </w:p>
        </w:tc>
        <w:tc>
          <w:tcPr>
            <w:tcW w:w="1389" w:type="dxa"/>
            <w:shd w:val="clear" w:color="auto" w:fill="D9D9D9"/>
          </w:tcPr>
          <w:p>
            <w:pPr>
              <w:pStyle w:val="TableParagraph"/>
              <w:spacing w:before="31"/>
              <w:ind w:right="309"/>
              <w:jc w:val="right"/>
              <w:rPr>
                <w:b/>
                <w:sz w:val="13"/>
              </w:rPr>
            </w:pPr>
            <w:r>
              <w:rPr>
                <w:b/>
                <w:w w:val="105"/>
                <w:sz w:val="13"/>
              </w:rPr>
              <w:t>10.094,20</w:t>
            </w:r>
          </w:p>
        </w:tc>
        <w:tc>
          <w:tcPr>
            <w:tcW w:w="1005" w:type="dxa"/>
            <w:shd w:val="clear" w:color="auto" w:fill="D9D9D9"/>
          </w:tcPr>
          <w:p>
            <w:pPr>
              <w:pStyle w:val="TableParagraph"/>
              <w:spacing w:before="31"/>
              <w:ind w:right="212"/>
              <w:jc w:val="right"/>
              <w:rPr>
                <w:b/>
                <w:sz w:val="13"/>
              </w:rPr>
            </w:pPr>
            <w:r>
              <w:rPr>
                <w:b/>
                <w:w w:val="105"/>
                <w:sz w:val="13"/>
              </w:rPr>
              <w:t>9.973,97</w:t>
            </w:r>
          </w:p>
        </w:tc>
        <w:tc>
          <w:tcPr>
            <w:tcW w:w="799" w:type="dxa"/>
            <w:shd w:val="clear" w:color="auto" w:fill="D9D9D9"/>
          </w:tcPr>
          <w:p>
            <w:pPr>
              <w:pStyle w:val="TableParagraph"/>
              <w:spacing w:before="31"/>
              <w:ind w:right="208"/>
              <w:jc w:val="right"/>
              <w:rPr>
                <w:b/>
                <w:sz w:val="13"/>
              </w:rPr>
            </w:pPr>
            <w:r>
              <w:rPr>
                <w:b/>
                <w:sz w:val="13"/>
              </w:rPr>
              <w:t>342,38</w:t>
            </w:r>
          </w:p>
        </w:tc>
        <w:tc>
          <w:tcPr>
            <w:tcW w:w="643" w:type="dxa"/>
            <w:shd w:val="clear" w:color="auto" w:fill="D9D9D9"/>
          </w:tcPr>
          <w:p>
            <w:pPr>
              <w:pStyle w:val="TableParagraph"/>
              <w:spacing w:before="31"/>
              <w:ind w:right="57"/>
              <w:jc w:val="right"/>
              <w:rPr>
                <w:b/>
                <w:sz w:val="13"/>
              </w:rPr>
            </w:pPr>
            <w:r>
              <w:rPr>
                <w:b/>
                <w:sz w:val="13"/>
              </w:rPr>
              <w:t>120,23</w:t>
            </w:r>
          </w:p>
        </w:tc>
      </w:tr>
    </w:tbl>
    <w:p>
      <w:pPr>
        <w:pStyle w:val="BodyText"/>
        <w:spacing w:before="1"/>
        <w:rPr>
          <w:b/>
          <w:sz w:val="8"/>
        </w:rPr>
      </w:pPr>
    </w:p>
    <w:p>
      <w:pPr>
        <w:pStyle w:val="BodyText"/>
        <w:spacing w:before="61"/>
        <w:ind w:left="7897"/>
        <w:jc w:val="center"/>
      </w:pPr>
      <w:r>
        <w:rPr/>
        <w:t>34</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79" name="image5.png"/>
                  <wp:cNvGraphicFramePr>
                    <a:graphicFrameLocks noChangeAspect="1"/>
                  </wp:cNvGraphicFramePr>
                  <a:graphic>
                    <a:graphicData uri="http://schemas.openxmlformats.org/drawingml/2006/picture">
                      <pic:pic>
                        <pic:nvPicPr>
                          <pic:cNvPr id="8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36/247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4"/>
        <w:rPr>
          <w:b/>
          <w:sz w:val="14"/>
        </w:rPr>
      </w:pPr>
    </w:p>
    <w:p>
      <w:pPr>
        <w:spacing w:before="0"/>
        <w:ind w:left="0" w:right="1235" w:firstLine="0"/>
        <w:jc w:val="right"/>
        <w:rPr>
          <w:b/>
          <w:sz w:val="13"/>
        </w:rPr>
      </w:pPr>
      <w:r>
        <w:rPr>
          <w:b/>
          <w:w w:val="105"/>
          <w:sz w:val="13"/>
        </w:rPr>
        <w:t>Millones de €</w:t>
      </w:r>
    </w:p>
    <w:p>
      <w:pPr>
        <w:pStyle w:val="BodyText"/>
        <w:ind w:left="2085"/>
      </w:pPr>
      <w:r>
        <w:rPr/>
        <w:pict>
          <v:group style="width:355.45pt;height:25.2pt;mso-position-horizontal-relative:char;mso-position-vertical-relative:line" coordorigin="0,0" coordsize="7109,504">
            <v:rect style="position:absolute;left:0;top:10;width:234;height:494" filled="true" fillcolor="#deeaf6" stroked="false">
              <v:fill type="solid"/>
            </v:rect>
            <v:line style="position:absolute" from="118,341" to="118,504" stroked="true" strokeweight="5.742841pt" strokecolor="#deeaf6">
              <v:stroke dashstyle="solid"/>
            </v:line>
            <v:rect style="position:absolute;left:233;top:10;width:3225;height:494" filled="true" fillcolor="#deeaf6" stroked="false">
              <v:fill type="solid"/>
            </v:rect>
            <v:rect style="position:absolute;left:294;top:175;width:3106;height:164" filled="true" fillcolor="#deeaf6" stroked="false">
              <v:fill type="solid"/>
            </v:rect>
            <v:rect style="position:absolute;left:3458;top:10;width:952;height:494" filled="true" fillcolor="#deeaf6" stroked="false">
              <v:fill type="solid"/>
            </v:rect>
            <v:rect style="position:absolute;left:3517;top:10;width:835;height:166" filled="true" fillcolor="#deeaf6" stroked="false">
              <v:fill type="solid"/>
            </v:rect>
            <v:rect style="position:absolute;left:3517;top:175;width:835;height:164" filled="true" fillcolor="#deeaf6" stroked="false">
              <v:fill type="solid"/>
            </v:rect>
            <v:rect style="position:absolute;left:3517;top:338;width:835;height:166" filled="true" fillcolor="#deeaf6" stroked="false">
              <v:fill type="solid"/>
            </v:rect>
            <v:rect style="position:absolute;left:4409;top:10;width:1103;height:494" filled="true" fillcolor="#deeaf6" stroked="false">
              <v:fill type="solid"/>
            </v:rect>
            <v:rect style="position:absolute;left:4470;top:10;width:982;height:166" filled="true" fillcolor="#deeaf6" stroked="false">
              <v:fill type="solid"/>
            </v:rect>
            <v:rect style="position:absolute;left:4470;top:175;width:982;height:164" filled="true" fillcolor="#deeaf6" stroked="false">
              <v:fill type="solid"/>
            </v:rect>
            <v:rect style="position:absolute;left:4470;top:338;width:982;height:166" filled="true" fillcolor="#deeaf6" stroked="false">
              <v:fill type="solid"/>
            </v:rect>
            <v:rect style="position:absolute;left:5512;top:10;width:802;height:494" filled="true" fillcolor="#deeaf6" stroked="false">
              <v:fill type="solid"/>
            </v:rect>
            <v:rect style="position:absolute;left:5570;top:175;width:686;height:164" filled="true" fillcolor="#deeaf6" stroked="false">
              <v:fill type="solid"/>
            </v:rect>
            <v:rect style="position:absolute;left:6314;top:10;width:795;height:494" filled="true" fillcolor="#deeaf6" stroked="false">
              <v:fill type="solid"/>
            </v:rect>
            <v:rect style="position:absolute;left:6374;top:175;width:676;height:164" filled="true" fillcolor="#deeaf6" stroked="false">
              <v:fill type="solid"/>
            </v:rect>
            <v:line style="position:absolute" from="0,4" to="234,4" stroked="true" strokeweight=".403006pt" strokecolor="#000000">
              <v:stroke dashstyle="solid"/>
            </v:line>
            <v:rect style="position:absolute;left:233;top:0;width:9;height:9" filled="true" fillcolor="#000000" stroked="false">
              <v:fill type="solid"/>
            </v:rect>
            <v:line style="position:absolute" from="242,4" to="3459,4" stroked="true" strokeweight=".403006pt" strokecolor="#000000">
              <v:stroke dashstyle="solid"/>
            </v:line>
            <v:rect style="position:absolute;left:3458;top:0;width:9;height:9" filled="true" fillcolor="#000000" stroked="false">
              <v:fill type="solid"/>
            </v:rect>
            <v:line style="position:absolute" from="3467,4" to="4410,4" stroked="true" strokeweight=".403006pt" strokecolor="#000000">
              <v:stroke dashstyle="solid"/>
            </v:line>
            <v:rect style="position:absolute;left:4409;top:0;width:9;height:9" filled="true" fillcolor="#000000" stroked="false">
              <v:fill type="solid"/>
            </v:rect>
            <v:line style="position:absolute" from="4418,4" to="5512,4" stroked="true" strokeweight=".403006pt" strokecolor="#000000">
              <v:stroke dashstyle="solid"/>
            </v:line>
            <v:rect style="position:absolute;left:5512;top:0;width:9;height:9" filled="true" fillcolor="#000000" stroked="false">
              <v:fill type="solid"/>
            </v:rect>
            <v:line style="position:absolute" from="5521,4" to="6314,4" stroked="true" strokeweight=".403006pt" strokecolor="#000000">
              <v:stroke dashstyle="solid"/>
            </v:line>
            <v:rect style="position:absolute;left:6314;top:0;width:9;height:9" filled="true" fillcolor="#000000" stroked="false">
              <v:fill type="solid"/>
            </v:rect>
            <v:line style="position:absolute" from="6322,4" to="7109,4" stroked="true" strokeweight=".403006pt" strokecolor="#000000">
              <v:stroke dashstyle="solid"/>
            </v:line>
            <v:shape style="position:absolute;left:5580;top:201;width:1485;height:135" type="#_x0000_t202" filled="false" stroked="false">
              <v:textbox inset="0,0,0,0">
                <w:txbxContent>
                  <w:p>
                    <w:pPr>
                      <w:spacing w:line="135" w:lineRule="exact" w:before="0"/>
                      <w:ind w:left="0" w:right="0" w:firstLine="0"/>
                      <w:jc w:val="left"/>
                      <w:rPr>
                        <w:b/>
                        <w:sz w:val="13"/>
                      </w:rPr>
                    </w:pPr>
                    <w:r>
                      <w:rPr>
                        <w:b/>
                        <w:w w:val="105"/>
                        <w:sz w:val="13"/>
                      </w:rPr>
                      <w:t>Saldos 2021 Saldos 2022</w:t>
                    </w:r>
                  </w:p>
                </w:txbxContent>
              </v:textbox>
              <w10:wrap type="none"/>
            </v:shape>
            <v:shape style="position:absolute;left:4603;top:35;width:735;height:464" type="#_x0000_t202" filled="false" stroked="false">
              <v:textbox inset="0,0,0,0">
                <w:txbxContent>
                  <w:p>
                    <w:pPr>
                      <w:spacing w:line="136" w:lineRule="exact" w:before="0"/>
                      <w:ind w:left="0" w:right="0" w:firstLine="0"/>
                      <w:jc w:val="left"/>
                      <w:rPr>
                        <w:b/>
                        <w:sz w:val="13"/>
                      </w:rPr>
                    </w:pPr>
                    <w:r>
                      <w:rPr>
                        <w:b/>
                        <w:w w:val="105"/>
                        <w:sz w:val="13"/>
                      </w:rPr>
                      <w:t>Obligaciones</w:t>
                    </w:r>
                  </w:p>
                  <w:p>
                    <w:pPr>
                      <w:spacing w:line="247" w:lineRule="auto" w:before="6"/>
                      <w:ind w:left="206" w:right="12" w:hanging="184"/>
                      <w:jc w:val="left"/>
                      <w:rPr>
                        <w:b/>
                        <w:sz w:val="13"/>
                      </w:rPr>
                    </w:pPr>
                    <w:r>
                      <w:rPr>
                        <w:b/>
                        <w:w w:val="105"/>
                        <w:sz w:val="13"/>
                      </w:rPr>
                      <w:t>reconocidas netas</w:t>
                    </w:r>
                  </w:p>
                </w:txbxContent>
              </v:textbox>
              <w10:wrap type="none"/>
            </v:shape>
            <v:shape style="position:absolute;left:3595;top:35;width:696;height:464" type="#_x0000_t202" filled="false" stroked="false">
              <v:textbox inset="0,0,0,0">
                <w:txbxContent>
                  <w:p>
                    <w:pPr>
                      <w:spacing w:line="136" w:lineRule="exact" w:before="0"/>
                      <w:ind w:left="76" w:right="0" w:firstLine="0"/>
                      <w:jc w:val="left"/>
                      <w:rPr>
                        <w:b/>
                        <w:sz w:val="13"/>
                      </w:rPr>
                    </w:pPr>
                    <w:r>
                      <w:rPr>
                        <w:b/>
                        <w:w w:val="105"/>
                        <w:sz w:val="13"/>
                      </w:rPr>
                      <w:t>Derechos</w:t>
                    </w:r>
                  </w:p>
                  <w:p>
                    <w:pPr>
                      <w:spacing w:line="247" w:lineRule="auto" w:before="6"/>
                      <w:ind w:left="181" w:right="-10" w:hanging="182"/>
                      <w:jc w:val="left"/>
                      <w:rPr>
                        <w:b/>
                        <w:sz w:val="13"/>
                      </w:rPr>
                    </w:pPr>
                    <w:r>
                      <w:rPr>
                        <w:b/>
                        <w:w w:val="105"/>
                        <w:sz w:val="13"/>
                      </w:rPr>
                      <w:t>reconocidos netos</w:t>
                    </w:r>
                  </w:p>
                </w:txbxContent>
              </v:textbox>
              <w10:wrap type="none"/>
            </v:shape>
            <v:shape style="position:absolute;left:1582;top:201;width:552;height:135" type="#_x0000_t202" filled="false" stroked="false">
              <v:textbox inset="0,0,0,0">
                <w:txbxContent>
                  <w:p>
                    <w:pPr>
                      <w:spacing w:line="135" w:lineRule="exact" w:before="0"/>
                      <w:ind w:left="0" w:right="0" w:firstLine="0"/>
                      <w:jc w:val="left"/>
                      <w:rPr>
                        <w:b/>
                        <w:sz w:val="13"/>
                      </w:rPr>
                    </w:pPr>
                    <w:r>
                      <w:rPr>
                        <w:b/>
                        <w:w w:val="105"/>
                        <w:sz w:val="13"/>
                      </w:rPr>
                      <w:t>Concepto</w:t>
                    </w:r>
                  </w:p>
                </w:txbxContent>
              </v:textbox>
              <w10:wrap type="none"/>
            </v:shape>
          </v:group>
        </w:pict>
      </w:r>
      <w:r>
        <w:rPr/>
      </w:r>
    </w:p>
    <w:p>
      <w:pPr>
        <w:spacing w:after="0"/>
        <w:sectPr>
          <w:pgSz w:w="11900" w:h="16840"/>
          <w:pgMar w:header="859" w:footer="926" w:top="1760" w:bottom="1120" w:left="760" w:right="760"/>
        </w:sectPr>
      </w:pPr>
    </w:p>
    <w:p>
      <w:pPr>
        <w:pStyle w:val="ListParagraph"/>
        <w:numPr>
          <w:ilvl w:val="0"/>
          <w:numId w:val="15"/>
        </w:numPr>
        <w:tabs>
          <w:tab w:pos="2385" w:val="left" w:leader="none"/>
        </w:tabs>
        <w:spacing w:line="84" w:lineRule="exact" w:before="0" w:after="0"/>
        <w:ind w:left="2384" w:right="0" w:hanging="235"/>
        <w:jc w:val="left"/>
        <w:rPr>
          <w:sz w:val="13"/>
        </w:rPr>
      </w:pPr>
      <w:r>
        <w:rPr>
          <w:w w:val="105"/>
          <w:sz w:val="13"/>
        </w:rPr>
        <w:t>Créditos</w:t>
      </w:r>
      <w:r>
        <w:rPr>
          <w:spacing w:val="-10"/>
          <w:w w:val="105"/>
          <w:sz w:val="13"/>
        </w:rPr>
        <w:t> </w:t>
      </w:r>
      <w:r>
        <w:rPr>
          <w:w w:val="105"/>
          <w:sz w:val="13"/>
        </w:rPr>
        <w:t>gastados</w:t>
      </w:r>
      <w:r>
        <w:rPr>
          <w:spacing w:val="-9"/>
          <w:w w:val="105"/>
          <w:sz w:val="13"/>
        </w:rPr>
        <w:t> </w:t>
      </w:r>
      <w:r>
        <w:rPr>
          <w:w w:val="105"/>
          <w:sz w:val="13"/>
        </w:rPr>
        <w:t>financiados</w:t>
      </w:r>
      <w:r>
        <w:rPr>
          <w:spacing w:val="-8"/>
          <w:w w:val="105"/>
          <w:sz w:val="13"/>
        </w:rPr>
        <w:t> </w:t>
      </w:r>
      <w:r>
        <w:rPr>
          <w:w w:val="105"/>
          <w:sz w:val="13"/>
        </w:rPr>
        <w:t>con</w:t>
      </w:r>
      <w:r>
        <w:rPr>
          <w:spacing w:val="-10"/>
          <w:w w:val="105"/>
          <w:sz w:val="13"/>
        </w:rPr>
        <w:t> </w:t>
      </w:r>
      <w:r>
        <w:rPr>
          <w:w w:val="105"/>
          <w:sz w:val="13"/>
        </w:rPr>
        <w:t>remanente</w:t>
      </w:r>
      <w:r>
        <w:rPr>
          <w:spacing w:val="-9"/>
          <w:w w:val="105"/>
          <w:sz w:val="13"/>
        </w:rPr>
        <w:t> </w:t>
      </w:r>
      <w:r>
        <w:rPr>
          <w:w w:val="105"/>
          <w:sz w:val="13"/>
        </w:rPr>
        <w:t>de</w:t>
      </w:r>
    </w:p>
    <w:p>
      <w:pPr>
        <w:spacing w:before="4"/>
        <w:ind w:left="2384" w:right="0" w:firstLine="0"/>
        <w:jc w:val="left"/>
        <w:rPr>
          <w:sz w:val="13"/>
        </w:rPr>
      </w:pPr>
      <w:r>
        <w:rPr>
          <w:w w:val="105"/>
          <w:sz w:val="13"/>
        </w:rPr>
        <w:t>tesorería no afectado</w:t>
      </w:r>
    </w:p>
    <w:p>
      <w:pPr>
        <w:tabs>
          <w:tab w:pos="3013" w:val="left" w:leader="none"/>
        </w:tabs>
        <w:spacing w:line="82" w:lineRule="exact" w:before="0"/>
        <w:ind w:left="2150" w:right="0" w:firstLine="0"/>
        <w:jc w:val="left"/>
        <w:rPr>
          <w:sz w:val="13"/>
        </w:rPr>
      </w:pPr>
      <w:r>
        <w:rPr/>
        <w:br w:type="column"/>
      </w:r>
      <w:r>
        <w:rPr>
          <w:w w:val="105"/>
          <w:sz w:val="13"/>
        </w:rPr>
        <w:t>175,43</w:t>
        <w:tab/>
        <w:t>83,81</w:t>
      </w:r>
    </w:p>
    <w:p>
      <w:pPr>
        <w:spacing w:after="0" w:line="82" w:lineRule="exact"/>
        <w:jc w:val="left"/>
        <w:rPr>
          <w:sz w:val="13"/>
        </w:rPr>
        <w:sectPr>
          <w:type w:val="continuous"/>
          <w:pgSz w:w="11900" w:h="16840"/>
          <w:pgMar w:top="1600" w:bottom="1120" w:left="760" w:right="760"/>
          <w:cols w:num="2" w:equalWidth="0">
            <w:col w:w="5078" w:space="743"/>
            <w:col w:w="4559"/>
          </w:cols>
        </w:sectPr>
      </w:pPr>
    </w:p>
    <w:p>
      <w:pPr>
        <w:pStyle w:val="ListParagraph"/>
        <w:numPr>
          <w:ilvl w:val="0"/>
          <w:numId w:val="15"/>
        </w:numPr>
        <w:tabs>
          <w:tab w:pos="2385" w:val="left" w:leader="none"/>
          <w:tab w:pos="7971" w:val="left" w:leader="none"/>
          <w:tab w:pos="8765" w:val="left" w:leader="none"/>
        </w:tabs>
        <w:spacing w:line="240" w:lineRule="auto" w:before="7" w:after="0"/>
        <w:ind w:left="2384" w:right="0" w:hanging="235"/>
        <w:jc w:val="left"/>
        <w:rPr>
          <w:sz w:val="13"/>
        </w:rPr>
      </w:pPr>
      <w:r>
        <w:rPr>
          <w:w w:val="105"/>
          <w:sz w:val="13"/>
        </w:rPr>
        <w:t>Desviaciones</w:t>
      </w:r>
      <w:r>
        <w:rPr>
          <w:spacing w:val="-10"/>
          <w:w w:val="105"/>
          <w:sz w:val="13"/>
        </w:rPr>
        <w:t> </w:t>
      </w:r>
      <w:r>
        <w:rPr>
          <w:w w:val="105"/>
          <w:sz w:val="13"/>
        </w:rPr>
        <w:t>de</w:t>
      </w:r>
      <w:r>
        <w:rPr>
          <w:spacing w:val="-11"/>
          <w:w w:val="105"/>
          <w:sz w:val="13"/>
        </w:rPr>
        <w:t> </w:t>
      </w:r>
      <w:r>
        <w:rPr>
          <w:w w:val="105"/>
          <w:sz w:val="13"/>
        </w:rPr>
        <w:t>financiación</w:t>
      </w:r>
      <w:r>
        <w:rPr>
          <w:spacing w:val="-9"/>
          <w:w w:val="105"/>
          <w:sz w:val="13"/>
        </w:rPr>
        <w:t> </w:t>
      </w:r>
      <w:r>
        <w:rPr>
          <w:w w:val="105"/>
          <w:sz w:val="13"/>
        </w:rPr>
        <w:t>negativas</w:t>
      </w:r>
      <w:r>
        <w:rPr>
          <w:spacing w:val="-10"/>
          <w:w w:val="105"/>
          <w:sz w:val="13"/>
        </w:rPr>
        <w:t> </w:t>
      </w:r>
      <w:r>
        <w:rPr>
          <w:w w:val="105"/>
          <w:sz w:val="13"/>
        </w:rPr>
        <w:t>del</w:t>
      </w:r>
      <w:r>
        <w:rPr>
          <w:spacing w:val="-10"/>
          <w:w w:val="105"/>
          <w:sz w:val="13"/>
        </w:rPr>
        <w:t> </w:t>
      </w:r>
      <w:r>
        <w:rPr>
          <w:w w:val="105"/>
          <w:sz w:val="13"/>
        </w:rPr>
        <w:t>ejercicio</w:t>
        <w:tab/>
        <w:t>404,85</w:t>
        <w:tab/>
        <w:t>315,18</w:t>
      </w:r>
    </w:p>
    <w:p>
      <w:pPr>
        <w:pStyle w:val="ListParagraph"/>
        <w:numPr>
          <w:ilvl w:val="0"/>
          <w:numId w:val="15"/>
        </w:numPr>
        <w:tabs>
          <w:tab w:pos="2385" w:val="left" w:leader="none"/>
          <w:tab w:pos="7931" w:val="left" w:leader="none"/>
          <w:tab w:pos="8725" w:val="left" w:leader="none"/>
        </w:tabs>
        <w:spacing w:line="240" w:lineRule="auto" w:before="6" w:after="0"/>
        <w:ind w:left="2384" w:right="0" w:hanging="235"/>
        <w:jc w:val="left"/>
        <w:rPr>
          <w:sz w:val="13"/>
        </w:rPr>
      </w:pPr>
      <w:r>
        <w:rPr>
          <w:w w:val="105"/>
          <w:sz w:val="13"/>
        </w:rPr>
        <w:t>Desviaciones</w:t>
      </w:r>
      <w:r>
        <w:rPr>
          <w:spacing w:val="-10"/>
          <w:w w:val="105"/>
          <w:sz w:val="13"/>
        </w:rPr>
        <w:t> </w:t>
      </w:r>
      <w:r>
        <w:rPr>
          <w:w w:val="105"/>
          <w:sz w:val="13"/>
        </w:rPr>
        <w:t>de</w:t>
      </w:r>
      <w:r>
        <w:rPr>
          <w:spacing w:val="-10"/>
          <w:w w:val="105"/>
          <w:sz w:val="13"/>
        </w:rPr>
        <w:t> </w:t>
      </w:r>
      <w:r>
        <w:rPr>
          <w:w w:val="105"/>
          <w:sz w:val="13"/>
        </w:rPr>
        <w:t>financiación</w:t>
      </w:r>
      <w:r>
        <w:rPr>
          <w:spacing w:val="-10"/>
          <w:w w:val="105"/>
          <w:sz w:val="13"/>
        </w:rPr>
        <w:t> </w:t>
      </w:r>
      <w:r>
        <w:rPr>
          <w:w w:val="105"/>
          <w:sz w:val="13"/>
        </w:rPr>
        <w:t>positivas</w:t>
      </w:r>
      <w:r>
        <w:rPr>
          <w:spacing w:val="-9"/>
          <w:w w:val="105"/>
          <w:sz w:val="13"/>
        </w:rPr>
        <w:t> </w:t>
      </w:r>
      <w:r>
        <w:rPr>
          <w:w w:val="105"/>
          <w:sz w:val="13"/>
        </w:rPr>
        <w:t>del</w:t>
      </w:r>
      <w:r>
        <w:rPr>
          <w:spacing w:val="-10"/>
          <w:w w:val="105"/>
          <w:sz w:val="13"/>
        </w:rPr>
        <w:t> </w:t>
      </w:r>
      <w:r>
        <w:rPr>
          <w:w w:val="105"/>
          <w:sz w:val="13"/>
        </w:rPr>
        <w:t>ejercicio</w:t>
        <w:tab/>
        <w:t>-510,04</w:t>
        <w:tab/>
        <w:t>-742,84</w:t>
      </w:r>
    </w:p>
    <w:p>
      <w:pPr>
        <w:pStyle w:val="BodyText"/>
        <w:spacing w:line="219" w:lineRule="exact"/>
        <w:ind w:left="2324"/>
      </w:pPr>
      <w:r>
        <w:rPr>
          <w:position w:val="-3"/>
        </w:rPr>
        <w:pict>
          <v:shape style="width:343.8pt;height:11pt;mso-position-horizontal-relative:char;mso-position-vertical-relative:line" type="#_x0000_t202" filled="true" fillcolor="#d9d9d9" stroked="false">
            <w10:anchorlock/>
            <v:textbox inset="0,0,0,0">
              <w:txbxContent>
                <w:p>
                  <w:pPr>
                    <w:tabs>
                      <w:tab w:pos="5647" w:val="left" w:leader="none"/>
                      <w:tab w:pos="6399" w:val="left" w:leader="none"/>
                    </w:tabs>
                    <w:spacing w:before="31"/>
                    <w:ind w:left="60" w:right="0" w:firstLine="0"/>
                    <w:jc w:val="left"/>
                    <w:rPr>
                      <w:b/>
                      <w:sz w:val="13"/>
                    </w:rPr>
                  </w:pPr>
                  <w:r>
                    <w:rPr>
                      <w:b/>
                      <w:w w:val="105"/>
                      <w:sz w:val="13"/>
                    </w:rPr>
                    <w:t>Resultado presupuestario</w:t>
                  </w:r>
                  <w:r>
                    <w:rPr>
                      <w:b/>
                      <w:spacing w:val="-19"/>
                      <w:w w:val="105"/>
                      <w:sz w:val="13"/>
                    </w:rPr>
                    <w:t> </w:t>
                  </w:r>
                  <w:r>
                    <w:rPr>
                      <w:b/>
                      <w:w w:val="105"/>
                      <w:sz w:val="13"/>
                    </w:rPr>
                    <w:t>ajustado</w:t>
                  </w:r>
                  <w:r>
                    <w:rPr>
                      <w:b/>
                      <w:spacing w:val="-10"/>
                      <w:w w:val="105"/>
                      <w:sz w:val="13"/>
                    </w:rPr>
                    <w:t> </w:t>
                  </w:r>
                  <w:r>
                    <w:rPr>
                      <w:b/>
                      <w:w w:val="105"/>
                      <w:sz w:val="13"/>
                    </w:rPr>
                    <w:t>a+b+c-d</w:t>
                    <w:tab/>
                    <w:t>412,62</w:t>
                    <w:tab/>
                    <w:t>-223,62</w:t>
                  </w:r>
                </w:p>
              </w:txbxContent>
            </v:textbox>
            <v:fill type="solid"/>
          </v:shape>
        </w:pict>
      </w:r>
      <w:r>
        <w:rPr>
          <w:position w:val="-3"/>
        </w:rPr>
      </w:r>
    </w:p>
    <w:p>
      <w:pPr>
        <w:pStyle w:val="BodyText"/>
        <w:spacing w:before="4"/>
        <w:rPr>
          <w:sz w:val="12"/>
        </w:rPr>
      </w:pPr>
    </w:p>
    <w:p>
      <w:pPr>
        <w:pStyle w:val="BodyText"/>
        <w:spacing w:line="242" w:lineRule="auto" w:before="60"/>
        <w:ind w:left="2096" w:right="1140" w:firstLine="594"/>
        <w:jc w:val="both"/>
      </w:pPr>
      <w:r>
        <w:rPr/>
        <w:pict>
          <v:group style="position:absolute;margin-left:141.910049pt;margin-top:-7.52809pt;width:356.05pt;height:.45pt;mso-position-horizontal-relative:page;mso-position-vertical-relative:paragraph;z-index:251746304" coordorigin="2838,-151" coordsize="7121,9">
            <v:line style="position:absolute" from="2838,-147" to="3084,-147" stroked="true" strokeweight=".403006pt" strokecolor="#000000">
              <v:stroke dashstyle="solid"/>
            </v:line>
            <v:rect style="position:absolute;left:3071;top:-151;width:9;height:9" filled="true" fillcolor="#000000" stroked="false">
              <v:fill type="solid"/>
            </v:rect>
            <v:line style="position:absolute" from="3080,-147" to="6309,-147" stroked="true" strokeweight=".403006pt" strokecolor="#000000">
              <v:stroke dashstyle="solid"/>
            </v:line>
            <v:rect style="position:absolute;left:6296;top:-151;width:9;height:9" filled="true" fillcolor="#000000" stroked="false">
              <v:fill type="solid"/>
            </v:rect>
            <v:line style="position:absolute" from="6305,-147" to="7260,-147" stroked="true" strokeweight=".403006pt" strokecolor="#000000">
              <v:stroke dashstyle="solid"/>
            </v:line>
            <v:rect style="position:absolute;left:7247;top:-151;width:9;height:9" filled="true" fillcolor="#000000" stroked="false">
              <v:fill type="solid"/>
            </v:rect>
            <v:line style="position:absolute" from="7256,-147" to="8363,-147" stroked="true" strokeweight=".403006pt" strokecolor="#000000">
              <v:stroke dashstyle="solid"/>
            </v:line>
            <v:rect style="position:absolute;left:8350;top:-151;width:9;height:9" filled="true" fillcolor="#000000" stroked="false">
              <v:fill type="solid"/>
            </v:rect>
            <v:line style="position:absolute" from="8359,-147" to="9165,-147" stroked="true" strokeweight=".403006pt" strokecolor="#000000">
              <v:stroke dashstyle="solid"/>
            </v:line>
            <v:rect style="position:absolute;left:9152;top:-151;width:9;height:9" filled="true" fillcolor="#000000" stroked="false">
              <v:fill type="solid"/>
            </v:rect>
            <v:line style="position:absolute" from="9161,-147" to="9959,-147" stroked="true" strokeweight=".403006pt" strokecolor="#000000">
              <v:stroke dashstyle="solid"/>
            </v:line>
            <w10:wrap type="none"/>
          </v:group>
        </w:pict>
      </w:r>
      <w:r>
        <w:rPr/>
        <w:t>Esa</w:t>
      </w:r>
      <w:r>
        <w:rPr>
          <w:spacing w:val="-3"/>
        </w:rPr>
        <w:t> </w:t>
      </w:r>
      <w:r>
        <w:rPr/>
        <w:t>variación,</w:t>
      </w:r>
      <w:r>
        <w:rPr>
          <w:spacing w:val="-5"/>
        </w:rPr>
        <w:t> </w:t>
      </w:r>
      <w:r>
        <w:rPr/>
        <w:t>tan</w:t>
      </w:r>
      <w:r>
        <w:rPr>
          <w:spacing w:val="-2"/>
        </w:rPr>
        <w:t> </w:t>
      </w:r>
      <w:r>
        <w:rPr/>
        <w:t>relevante,</w:t>
      </w:r>
      <w:r>
        <w:rPr>
          <w:spacing w:val="-5"/>
        </w:rPr>
        <w:t> </w:t>
      </w:r>
      <w:r>
        <w:rPr/>
        <w:t>desde</w:t>
      </w:r>
      <w:r>
        <w:rPr>
          <w:spacing w:val="-3"/>
        </w:rPr>
        <w:t> </w:t>
      </w:r>
      <w:r>
        <w:rPr/>
        <w:t>un resultado</w:t>
      </w:r>
      <w:r>
        <w:rPr>
          <w:spacing w:val="-5"/>
        </w:rPr>
        <w:t> </w:t>
      </w:r>
      <w:r>
        <w:rPr/>
        <w:t>positivo</w:t>
      </w:r>
      <w:r>
        <w:rPr>
          <w:spacing w:val="-5"/>
        </w:rPr>
        <w:t> </w:t>
      </w:r>
      <w:r>
        <w:rPr/>
        <w:t>en</w:t>
      </w:r>
      <w:r>
        <w:rPr>
          <w:spacing w:val="-4"/>
        </w:rPr>
        <w:t> </w:t>
      </w:r>
      <w:r>
        <w:rPr/>
        <w:t>2021</w:t>
      </w:r>
      <w:r>
        <w:rPr>
          <w:spacing w:val="-4"/>
        </w:rPr>
        <w:t> </w:t>
      </w:r>
      <w:r>
        <w:rPr/>
        <w:t>a</w:t>
      </w:r>
      <w:r>
        <w:rPr>
          <w:spacing w:val="-3"/>
        </w:rPr>
        <w:t> </w:t>
      </w:r>
      <w:r>
        <w:rPr/>
        <w:t>otro</w:t>
      </w:r>
      <w:r>
        <w:rPr>
          <w:spacing w:val="-5"/>
        </w:rPr>
        <w:t> </w:t>
      </w:r>
      <w:r>
        <w:rPr/>
        <w:t>negativo en 2022, se debe, fundamentalmente, al ajuste derivado de las desviaciones positivas de financiación afectada. Es decir, ingresos finalistas obtenidos por la Administración de la CAC que no han sido gastados en los correspondientes proyectos de gastos. Este concepto se cifra en 742,8 millones de</w:t>
      </w:r>
      <w:r>
        <w:rPr>
          <w:spacing w:val="-1"/>
        </w:rPr>
        <w:t> </w:t>
      </w:r>
      <w:r>
        <w:rPr/>
        <w:t>€.</w:t>
      </w:r>
    </w:p>
    <w:p>
      <w:pPr>
        <w:pStyle w:val="BodyText"/>
        <w:spacing w:before="5"/>
        <w:rPr>
          <w:sz w:val="16"/>
        </w:rPr>
      </w:pPr>
    </w:p>
    <w:p>
      <w:pPr>
        <w:pStyle w:val="Heading1"/>
        <w:numPr>
          <w:ilvl w:val="2"/>
          <w:numId w:val="10"/>
        </w:numPr>
        <w:tabs>
          <w:tab w:pos="2691" w:val="left" w:leader="none"/>
        </w:tabs>
        <w:spacing w:line="240" w:lineRule="auto" w:before="0" w:after="0"/>
        <w:ind w:left="2690" w:right="0" w:hanging="605"/>
        <w:jc w:val="left"/>
      </w:pPr>
      <w:r>
        <w:rPr>
          <w:color w:val="53A1B9"/>
        </w:rPr>
        <w:t>Remanente de</w:t>
      </w:r>
      <w:r>
        <w:rPr>
          <w:color w:val="53A1B9"/>
          <w:spacing w:val="1"/>
        </w:rPr>
        <w:t> </w:t>
      </w:r>
      <w:r>
        <w:rPr>
          <w:color w:val="53A1B9"/>
        </w:rPr>
        <w:t>Tesorería.</w:t>
      </w:r>
    </w:p>
    <w:p>
      <w:pPr>
        <w:pStyle w:val="BodyText"/>
        <w:spacing w:before="8"/>
        <w:rPr>
          <w:b/>
          <w:sz w:val="16"/>
        </w:rPr>
      </w:pPr>
    </w:p>
    <w:p>
      <w:pPr>
        <w:pStyle w:val="BodyText"/>
        <w:ind w:left="2096" w:right="1137" w:firstLine="594"/>
        <w:jc w:val="both"/>
      </w:pPr>
      <w:r>
        <w:rPr/>
        <w:t>El RT es el resultado de agregar a los fondos líquidos existentes al cierre de ejercicio, el importe de los derechos pendientes de cobro, y demás saldos deudores, y restarle el importe de las obligaciones y demás saldos acreedores. Es la magnitud que refleja el resultado acumulado de una entidad pública sometida a presupuesto limitativo, desde su nacimiento hasta el momento actual. Mide la capacidad de la institución para financiar, a corto plazo, nuevos gastos (cuando es positivo), o la necesidad de adoptar medidas restrictivas de los gastos o incremento de los ingresos (cuando es negativa).</w:t>
      </w:r>
    </w:p>
    <w:p>
      <w:pPr>
        <w:pStyle w:val="BodyText"/>
        <w:spacing w:before="8"/>
        <w:rPr>
          <w:sz w:val="17"/>
        </w:rPr>
      </w:pPr>
    </w:p>
    <w:p>
      <w:pPr>
        <w:pStyle w:val="BodyText"/>
        <w:ind w:left="2096" w:right="1138" w:firstLine="594"/>
        <w:jc w:val="both"/>
      </w:pPr>
      <w:r>
        <w:rPr/>
        <w:t>Para comprobar la consistencia del cálculo del RT con los saldos deudores, acreedores y de tesorería, se ha verificado el cuadre, tanto de los estados de contabilidad administrativa y presupuestaria, como de los del balance. El Plan General de Contabilidad Pública establece que este cálculo se debe realizar de la siguiente manera:</w:t>
      </w:r>
    </w:p>
    <w:p>
      <w:pPr>
        <w:pStyle w:val="BodyText"/>
        <w:spacing w:before="3" w:after="1"/>
        <w:rPr>
          <w:sz w:val="17"/>
        </w:rPr>
      </w:pPr>
    </w:p>
    <w:tbl>
      <w:tblPr>
        <w:tblW w:w="0" w:type="auto"/>
        <w:jc w:val="left"/>
        <w:tblInd w:w="2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789"/>
        <w:gridCol w:w="1069"/>
        <w:gridCol w:w="1076"/>
        <w:gridCol w:w="1071"/>
        <w:gridCol w:w="1067"/>
      </w:tblGrid>
      <w:tr>
        <w:trPr>
          <w:trHeight w:val="324" w:hRule="atLeast"/>
        </w:trPr>
        <w:tc>
          <w:tcPr>
            <w:tcW w:w="1068" w:type="dxa"/>
            <w:shd w:val="clear" w:color="auto" w:fill="DEEAF6"/>
          </w:tcPr>
          <w:p>
            <w:pPr>
              <w:pStyle w:val="TableParagraph"/>
              <w:spacing w:before="82"/>
              <w:ind w:left="29" w:right="20"/>
              <w:jc w:val="center"/>
              <w:rPr>
                <w:b/>
                <w:sz w:val="13"/>
              </w:rPr>
            </w:pPr>
            <w:r>
              <w:rPr>
                <w:b/>
                <w:w w:val="105"/>
                <w:sz w:val="13"/>
              </w:rPr>
              <w:t>Nº de cuentas</w:t>
            </w:r>
          </w:p>
        </w:tc>
        <w:tc>
          <w:tcPr>
            <w:tcW w:w="1789" w:type="dxa"/>
            <w:shd w:val="clear" w:color="auto" w:fill="DEEAF6"/>
          </w:tcPr>
          <w:p>
            <w:pPr>
              <w:pStyle w:val="TableParagraph"/>
              <w:spacing w:before="82"/>
              <w:ind w:left="507"/>
              <w:rPr>
                <w:b/>
                <w:sz w:val="13"/>
              </w:rPr>
            </w:pPr>
            <w:r>
              <w:rPr>
                <w:b/>
                <w:w w:val="105"/>
                <w:sz w:val="13"/>
              </w:rPr>
              <w:t>Componentes</w:t>
            </w:r>
          </w:p>
        </w:tc>
        <w:tc>
          <w:tcPr>
            <w:tcW w:w="2145" w:type="dxa"/>
            <w:gridSpan w:val="2"/>
            <w:shd w:val="clear" w:color="auto" w:fill="DEEAF6"/>
          </w:tcPr>
          <w:p>
            <w:pPr>
              <w:pStyle w:val="TableParagraph"/>
              <w:spacing w:before="82"/>
              <w:ind w:left="689"/>
              <w:rPr>
                <w:b/>
                <w:sz w:val="13"/>
              </w:rPr>
            </w:pPr>
            <w:r>
              <w:rPr>
                <w:b/>
                <w:w w:val="105"/>
                <w:sz w:val="13"/>
              </w:rPr>
              <w:t>Ejercicio 2022</w:t>
            </w:r>
          </w:p>
        </w:tc>
        <w:tc>
          <w:tcPr>
            <w:tcW w:w="1071" w:type="dxa"/>
            <w:shd w:val="clear" w:color="auto" w:fill="DEEAF6"/>
          </w:tcPr>
          <w:p>
            <w:pPr>
              <w:pStyle w:val="TableParagraph"/>
              <w:spacing w:before="2"/>
              <w:ind w:left="156"/>
              <w:rPr>
                <w:b/>
                <w:sz w:val="13"/>
              </w:rPr>
            </w:pPr>
            <w:r>
              <w:rPr>
                <w:b/>
                <w:w w:val="105"/>
                <w:sz w:val="13"/>
              </w:rPr>
              <w:t>S/ Balance</w:t>
            </w:r>
            <w:r>
              <w:rPr>
                <w:b/>
                <w:spacing w:val="-18"/>
                <w:w w:val="105"/>
                <w:sz w:val="13"/>
              </w:rPr>
              <w:t> </w:t>
            </w:r>
            <w:r>
              <w:rPr>
                <w:b/>
                <w:w w:val="105"/>
                <w:sz w:val="13"/>
              </w:rPr>
              <w:t>de</w:t>
            </w:r>
          </w:p>
          <w:p>
            <w:pPr>
              <w:pStyle w:val="TableParagraph"/>
              <w:spacing w:line="139" w:lineRule="exact" w:before="4"/>
              <w:ind w:left="120"/>
              <w:rPr>
                <w:b/>
                <w:sz w:val="13"/>
              </w:rPr>
            </w:pPr>
            <w:r>
              <w:rPr>
                <w:b/>
                <w:w w:val="105"/>
                <w:sz w:val="13"/>
              </w:rPr>
              <w:t>sumas y</w:t>
            </w:r>
            <w:r>
              <w:rPr>
                <w:b/>
                <w:spacing w:val="-16"/>
                <w:w w:val="105"/>
                <w:sz w:val="13"/>
              </w:rPr>
              <w:t> </w:t>
            </w:r>
            <w:r>
              <w:rPr>
                <w:b/>
                <w:w w:val="105"/>
                <w:sz w:val="13"/>
              </w:rPr>
              <w:t>saldos</w:t>
            </w:r>
          </w:p>
        </w:tc>
        <w:tc>
          <w:tcPr>
            <w:tcW w:w="1067" w:type="dxa"/>
            <w:shd w:val="clear" w:color="auto" w:fill="DEEAF6"/>
          </w:tcPr>
          <w:p>
            <w:pPr>
              <w:pStyle w:val="TableParagraph"/>
              <w:spacing w:before="82"/>
              <w:ind w:left="250"/>
              <w:rPr>
                <w:b/>
                <w:sz w:val="13"/>
              </w:rPr>
            </w:pPr>
            <w:r>
              <w:rPr>
                <w:b/>
                <w:w w:val="105"/>
                <w:sz w:val="13"/>
              </w:rPr>
              <w:t>Diferencia</w:t>
            </w:r>
          </w:p>
        </w:tc>
      </w:tr>
      <w:tr>
        <w:trPr>
          <w:trHeight w:val="189" w:hRule="atLeast"/>
        </w:trPr>
        <w:tc>
          <w:tcPr>
            <w:tcW w:w="1068" w:type="dxa"/>
          </w:tcPr>
          <w:p>
            <w:pPr>
              <w:pStyle w:val="TableParagraph"/>
              <w:spacing w:line="153" w:lineRule="exact" w:before="16"/>
              <w:ind w:left="28" w:right="21"/>
              <w:jc w:val="center"/>
              <w:rPr>
                <w:sz w:val="13"/>
              </w:rPr>
            </w:pPr>
            <w:r>
              <w:rPr>
                <w:w w:val="105"/>
                <w:sz w:val="13"/>
              </w:rPr>
              <w:t>57, 556</w:t>
            </w:r>
          </w:p>
        </w:tc>
        <w:tc>
          <w:tcPr>
            <w:tcW w:w="1789" w:type="dxa"/>
          </w:tcPr>
          <w:p>
            <w:pPr>
              <w:pStyle w:val="TableParagraph"/>
              <w:spacing w:before="4"/>
              <w:ind w:left="59"/>
              <w:rPr>
                <w:b/>
                <w:sz w:val="13"/>
              </w:rPr>
            </w:pPr>
            <w:r>
              <w:rPr>
                <w:b/>
                <w:w w:val="105"/>
                <w:sz w:val="13"/>
              </w:rPr>
              <w:t>1. (+) Fondos Líquidos</w:t>
            </w:r>
          </w:p>
        </w:tc>
        <w:tc>
          <w:tcPr>
            <w:tcW w:w="1069" w:type="dxa"/>
          </w:tcPr>
          <w:p>
            <w:pPr>
              <w:pStyle w:val="TableParagraph"/>
              <w:rPr>
                <w:rFonts w:ascii="Times New Roman"/>
                <w:sz w:val="12"/>
              </w:rPr>
            </w:pPr>
          </w:p>
        </w:tc>
        <w:tc>
          <w:tcPr>
            <w:tcW w:w="1076" w:type="dxa"/>
          </w:tcPr>
          <w:p>
            <w:pPr>
              <w:pStyle w:val="TableParagraph"/>
              <w:spacing w:line="153" w:lineRule="exact" w:before="16"/>
              <w:ind w:right="43"/>
              <w:jc w:val="right"/>
              <w:rPr>
                <w:b/>
                <w:sz w:val="13"/>
              </w:rPr>
            </w:pPr>
            <w:r>
              <w:rPr>
                <w:b/>
                <w:sz w:val="13"/>
              </w:rPr>
              <w:t>441.434.409,61</w:t>
            </w:r>
          </w:p>
        </w:tc>
        <w:tc>
          <w:tcPr>
            <w:tcW w:w="1071" w:type="dxa"/>
          </w:tcPr>
          <w:p>
            <w:pPr>
              <w:pStyle w:val="TableParagraph"/>
              <w:spacing w:line="153" w:lineRule="exact" w:before="16"/>
              <w:ind w:right="44"/>
              <w:jc w:val="right"/>
              <w:rPr>
                <w:sz w:val="13"/>
              </w:rPr>
            </w:pPr>
            <w:r>
              <w:rPr>
                <w:sz w:val="13"/>
              </w:rPr>
              <w:t>441.434.409,61</w:t>
            </w:r>
          </w:p>
        </w:tc>
        <w:tc>
          <w:tcPr>
            <w:tcW w:w="1067" w:type="dxa"/>
          </w:tcPr>
          <w:p>
            <w:pPr>
              <w:pStyle w:val="TableParagraph"/>
              <w:spacing w:line="153" w:lineRule="exact" w:before="16"/>
              <w:ind w:right="40"/>
              <w:jc w:val="right"/>
              <w:rPr>
                <w:sz w:val="13"/>
              </w:rPr>
            </w:pPr>
            <w:r>
              <w:rPr>
                <w:sz w:val="13"/>
              </w:rPr>
              <w:t>0,00</w:t>
            </w:r>
          </w:p>
        </w:tc>
      </w:tr>
      <w:tr>
        <w:trPr>
          <w:trHeight w:val="326" w:hRule="atLeast"/>
        </w:trPr>
        <w:tc>
          <w:tcPr>
            <w:tcW w:w="1068" w:type="dxa"/>
          </w:tcPr>
          <w:p>
            <w:pPr>
              <w:pStyle w:val="TableParagraph"/>
              <w:rPr>
                <w:rFonts w:ascii="Times New Roman"/>
                <w:sz w:val="14"/>
              </w:rPr>
            </w:pPr>
          </w:p>
        </w:tc>
        <w:tc>
          <w:tcPr>
            <w:tcW w:w="1789" w:type="dxa"/>
          </w:tcPr>
          <w:p>
            <w:pPr>
              <w:pStyle w:val="TableParagraph"/>
              <w:spacing w:before="2"/>
              <w:ind w:left="59"/>
              <w:rPr>
                <w:b/>
                <w:sz w:val="13"/>
              </w:rPr>
            </w:pPr>
            <w:r>
              <w:rPr>
                <w:b/>
                <w:w w:val="105"/>
                <w:sz w:val="13"/>
              </w:rPr>
              <w:t>2. (+) Derechos Pendientes</w:t>
            </w:r>
          </w:p>
          <w:p>
            <w:pPr>
              <w:pStyle w:val="TableParagraph"/>
              <w:spacing w:line="139" w:lineRule="exact" w:before="6"/>
              <w:ind w:left="59"/>
              <w:rPr>
                <w:b/>
                <w:sz w:val="13"/>
              </w:rPr>
            </w:pPr>
            <w:r>
              <w:rPr>
                <w:b/>
                <w:w w:val="105"/>
                <w:sz w:val="13"/>
              </w:rPr>
              <w:t>De Cobro</w:t>
            </w:r>
          </w:p>
        </w:tc>
        <w:tc>
          <w:tcPr>
            <w:tcW w:w="1069" w:type="dxa"/>
          </w:tcPr>
          <w:p>
            <w:pPr>
              <w:pStyle w:val="TableParagraph"/>
              <w:rPr>
                <w:rFonts w:ascii="Times New Roman"/>
                <w:sz w:val="14"/>
              </w:rPr>
            </w:pPr>
          </w:p>
        </w:tc>
        <w:tc>
          <w:tcPr>
            <w:tcW w:w="1076" w:type="dxa"/>
          </w:tcPr>
          <w:p>
            <w:pPr>
              <w:pStyle w:val="TableParagraph"/>
              <w:spacing w:before="85"/>
              <w:ind w:right="43"/>
              <w:jc w:val="right"/>
              <w:rPr>
                <w:b/>
                <w:sz w:val="13"/>
              </w:rPr>
            </w:pPr>
            <w:r>
              <w:rPr>
                <w:b/>
                <w:w w:val="105"/>
                <w:sz w:val="13"/>
              </w:rPr>
              <w:t>2.691.797.764,15</w:t>
            </w:r>
          </w:p>
        </w:tc>
        <w:tc>
          <w:tcPr>
            <w:tcW w:w="1071" w:type="dxa"/>
          </w:tcPr>
          <w:p>
            <w:pPr>
              <w:pStyle w:val="TableParagraph"/>
              <w:spacing w:before="85"/>
              <w:ind w:right="44"/>
              <w:jc w:val="right"/>
              <w:rPr>
                <w:sz w:val="13"/>
              </w:rPr>
            </w:pPr>
            <w:r>
              <w:rPr>
                <w:w w:val="105"/>
                <w:sz w:val="13"/>
              </w:rPr>
              <w:t>2.691.797.764,15</w:t>
            </w:r>
          </w:p>
        </w:tc>
        <w:tc>
          <w:tcPr>
            <w:tcW w:w="1067" w:type="dxa"/>
          </w:tcPr>
          <w:p>
            <w:pPr>
              <w:pStyle w:val="TableParagraph"/>
              <w:spacing w:before="85"/>
              <w:ind w:right="40"/>
              <w:jc w:val="right"/>
              <w:rPr>
                <w:sz w:val="13"/>
              </w:rPr>
            </w:pPr>
            <w:r>
              <w:rPr>
                <w:sz w:val="13"/>
              </w:rPr>
              <w:t>0,00</w:t>
            </w:r>
          </w:p>
        </w:tc>
      </w:tr>
      <w:tr>
        <w:trPr>
          <w:trHeight w:val="189" w:hRule="atLeast"/>
        </w:trPr>
        <w:tc>
          <w:tcPr>
            <w:tcW w:w="1068" w:type="dxa"/>
          </w:tcPr>
          <w:p>
            <w:pPr>
              <w:pStyle w:val="TableParagraph"/>
              <w:spacing w:line="153" w:lineRule="exact" w:before="16"/>
              <w:ind w:left="29" w:right="21"/>
              <w:jc w:val="center"/>
              <w:rPr>
                <w:sz w:val="13"/>
              </w:rPr>
            </w:pPr>
            <w:r>
              <w:rPr>
                <w:w w:val="105"/>
                <w:sz w:val="13"/>
              </w:rPr>
              <w:t>430</w:t>
            </w:r>
          </w:p>
        </w:tc>
        <w:tc>
          <w:tcPr>
            <w:tcW w:w="1789" w:type="dxa"/>
          </w:tcPr>
          <w:p>
            <w:pPr>
              <w:pStyle w:val="TableParagraph"/>
              <w:spacing w:before="2"/>
              <w:ind w:left="59"/>
              <w:rPr>
                <w:sz w:val="13"/>
              </w:rPr>
            </w:pPr>
            <w:r>
              <w:rPr>
                <w:w w:val="105"/>
                <w:sz w:val="13"/>
              </w:rPr>
              <w:t>(+) Del Presupuesto Corriente</w:t>
            </w:r>
          </w:p>
        </w:tc>
        <w:tc>
          <w:tcPr>
            <w:tcW w:w="1069" w:type="dxa"/>
          </w:tcPr>
          <w:p>
            <w:pPr>
              <w:pStyle w:val="TableParagraph"/>
              <w:spacing w:line="153" w:lineRule="exact" w:before="16"/>
              <w:ind w:right="43"/>
              <w:jc w:val="right"/>
              <w:rPr>
                <w:sz w:val="13"/>
              </w:rPr>
            </w:pPr>
            <w:r>
              <w:rPr>
                <w:sz w:val="13"/>
              </w:rPr>
              <w:t>654.850.526,52</w:t>
            </w:r>
          </w:p>
        </w:tc>
        <w:tc>
          <w:tcPr>
            <w:tcW w:w="1076" w:type="dxa"/>
          </w:tcPr>
          <w:p>
            <w:pPr>
              <w:pStyle w:val="TableParagraph"/>
              <w:rPr>
                <w:rFonts w:ascii="Times New Roman"/>
                <w:sz w:val="12"/>
              </w:rPr>
            </w:pPr>
          </w:p>
        </w:tc>
        <w:tc>
          <w:tcPr>
            <w:tcW w:w="1071" w:type="dxa"/>
          </w:tcPr>
          <w:p>
            <w:pPr>
              <w:pStyle w:val="TableParagraph"/>
              <w:spacing w:line="153" w:lineRule="exact" w:before="16"/>
              <w:ind w:right="44"/>
              <w:jc w:val="right"/>
              <w:rPr>
                <w:sz w:val="13"/>
              </w:rPr>
            </w:pPr>
            <w:r>
              <w:rPr>
                <w:sz w:val="13"/>
              </w:rPr>
              <w:t>0,00</w:t>
            </w:r>
          </w:p>
        </w:tc>
        <w:tc>
          <w:tcPr>
            <w:tcW w:w="1067" w:type="dxa"/>
          </w:tcPr>
          <w:p>
            <w:pPr>
              <w:pStyle w:val="TableParagraph"/>
              <w:spacing w:line="153" w:lineRule="exact" w:before="16"/>
              <w:ind w:right="41"/>
              <w:jc w:val="right"/>
              <w:rPr>
                <w:sz w:val="13"/>
              </w:rPr>
            </w:pPr>
            <w:r>
              <w:rPr>
                <w:sz w:val="13"/>
              </w:rPr>
              <w:t>654.850.526,52</w:t>
            </w:r>
          </w:p>
        </w:tc>
      </w:tr>
      <w:tr>
        <w:trPr>
          <w:trHeight w:val="189" w:hRule="atLeast"/>
        </w:trPr>
        <w:tc>
          <w:tcPr>
            <w:tcW w:w="1068" w:type="dxa"/>
          </w:tcPr>
          <w:p>
            <w:pPr>
              <w:pStyle w:val="TableParagraph"/>
              <w:spacing w:line="153" w:lineRule="exact" w:before="16"/>
              <w:ind w:left="29" w:right="21"/>
              <w:jc w:val="center"/>
              <w:rPr>
                <w:sz w:val="13"/>
              </w:rPr>
            </w:pPr>
            <w:r>
              <w:rPr>
                <w:w w:val="105"/>
                <w:sz w:val="13"/>
              </w:rPr>
              <w:t>431</w:t>
            </w:r>
          </w:p>
        </w:tc>
        <w:tc>
          <w:tcPr>
            <w:tcW w:w="1789" w:type="dxa"/>
          </w:tcPr>
          <w:p>
            <w:pPr>
              <w:pStyle w:val="TableParagraph"/>
              <w:spacing w:before="2"/>
              <w:ind w:left="59"/>
              <w:rPr>
                <w:sz w:val="13"/>
              </w:rPr>
            </w:pPr>
            <w:r>
              <w:rPr>
                <w:w w:val="105"/>
                <w:sz w:val="13"/>
              </w:rPr>
              <w:t>(+) De Presupuestos Cerrados</w:t>
            </w:r>
          </w:p>
        </w:tc>
        <w:tc>
          <w:tcPr>
            <w:tcW w:w="1069" w:type="dxa"/>
          </w:tcPr>
          <w:p>
            <w:pPr>
              <w:pStyle w:val="TableParagraph"/>
              <w:spacing w:line="153" w:lineRule="exact" w:before="16"/>
              <w:ind w:right="43"/>
              <w:jc w:val="right"/>
              <w:rPr>
                <w:sz w:val="13"/>
              </w:rPr>
            </w:pPr>
            <w:r>
              <w:rPr>
                <w:sz w:val="13"/>
              </w:rPr>
              <w:t>246.390.088,42</w:t>
            </w:r>
          </w:p>
        </w:tc>
        <w:tc>
          <w:tcPr>
            <w:tcW w:w="1076" w:type="dxa"/>
          </w:tcPr>
          <w:p>
            <w:pPr>
              <w:pStyle w:val="TableParagraph"/>
              <w:rPr>
                <w:rFonts w:ascii="Times New Roman"/>
                <w:sz w:val="12"/>
              </w:rPr>
            </w:pPr>
          </w:p>
        </w:tc>
        <w:tc>
          <w:tcPr>
            <w:tcW w:w="1071" w:type="dxa"/>
          </w:tcPr>
          <w:p>
            <w:pPr>
              <w:pStyle w:val="TableParagraph"/>
              <w:spacing w:line="153" w:lineRule="exact" w:before="16"/>
              <w:ind w:right="44"/>
              <w:jc w:val="right"/>
              <w:rPr>
                <w:sz w:val="13"/>
              </w:rPr>
            </w:pPr>
            <w:r>
              <w:rPr>
                <w:sz w:val="13"/>
              </w:rPr>
              <w:t>901.240.613,94</w:t>
            </w:r>
          </w:p>
        </w:tc>
        <w:tc>
          <w:tcPr>
            <w:tcW w:w="1067" w:type="dxa"/>
          </w:tcPr>
          <w:p>
            <w:pPr>
              <w:pStyle w:val="TableParagraph"/>
              <w:spacing w:line="153" w:lineRule="exact" w:before="16"/>
              <w:ind w:right="40"/>
              <w:jc w:val="right"/>
              <w:rPr>
                <w:sz w:val="13"/>
              </w:rPr>
            </w:pPr>
            <w:r>
              <w:rPr>
                <w:sz w:val="13"/>
              </w:rPr>
              <w:t>-654.850.525,52</w:t>
            </w:r>
          </w:p>
        </w:tc>
      </w:tr>
      <w:tr>
        <w:trPr>
          <w:trHeight w:val="653" w:hRule="atLeast"/>
        </w:trPr>
        <w:tc>
          <w:tcPr>
            <w:tcW w:w="1068" w:type="dxa"/>
          </w:tcPr>
          <w:p>
            <w:pPr>
              <w:pStyle w:val="TableParagraph"/>
              <w:spacing w:before="2"/>
              <w:ind w:left="57"/>
              <w:rPr>
                <w:sz w:val="13"/>
              </w:rPr>
            </w:pPr>
            <w:r>
              <w:rPr>
                <w:w w:val="105"/>
                <w:sz w:val="13"/>
              </w:rPr>
              <w:t>246,247,260,265,</w:t>
            </w:r>
          </w:p>
          <w:p>
            <w:pPr>
              <w:pStyle w:val="TableParagraph"/>
              <w:spacing w:before="5"/>
              <w:ind w:left="57"/>
              <w:rPr>
                <w:sz w:val="13"/>
              </w:rPr>
            </w:pPr>
            <w:r>
              <w:rPr>
                <w:w w:val="105"/>
                <w:sz w:val="13"/>
              </w:rPr>
              <w:t>440,442,449,456,</w:t>
            </w:r>
          </w:p>
          <w:p>
            <w:pPr>
              <w:pStyle w:val="TableParagraph"/>
              <w:spacing w:before="6"/>
              <w:ind w:left="57"/>
              <w:rPr>
                <w:sz w:val="13"/>
              </w:rPr>
            </w:pPr>
            <w:r>
              <w:rPr>
                <w:w w:val="105"/>
                <w:sz w:val="13"/>
              </w:rPr>
              <w:t>470,471,472,537,</w:t>
            </w:r>
          </w:p>
          <w:p>
            <w:pPr>
              <w:pStyle w:val="TableParagraph"/>
              <w:spacing w:line="139" w:lineRule="exact" w:before="5"/>
              <w:ind w:left="89"/>
              <w:rPr>
                <w:sz w:val="13"/>
              </w:rPr>
            </w:pPr>
            <w:r>
              <w:rPr>
                <w:w w:val="105"/>
                <w:sz w:val="13"/>
              </w:rPr>
              <w:t>538,550,565,566</w:t>
            </w:r>
          </w:p>
        </w:tc>
        <w:tc>
          <w:tcPr>
            <w:tcW w:w="1789" w:type="dxa"/>
          </w:tcPr>
          <w:p>
            <w:pPr>
              <w:pStyle w:val="TableParagraph"/>
              <w:spacing w:line="247" w:lineRule="auto" w:before="2"/>
              <w:ind w:left="59"/>
              <w:rPr>
                <w:sz w:val="13"/>
              </w:rPr>
            </w:pPr>
            <w:r>
              <w:rPr>
                <w:w w:val="105"/>
                <w:sz w:val="13"/>
              </w:rPr>
              <w:t>(+) De Operaciones No Presupuestarias</w:t>
            </w:r>
          </w:p>
        </w:tc>
        <w:tc>
          <w:tcPr>
            <w:tcW w:w="1069" w:type="dxa"/>
          </w:tcPr>
          <w:p>
            <w:pPr>
              <w:pStyle w:val="TableParagraph"/>
              <w:spacing w:before="4"/>
              <w:rPr>
                <w:sz w:val="20"/>
              </w:rPr>
            </w:pPr>
          </w:p>
          <w:p>
            <w:pPr>
              <w:pStyle w:val="TableParagraph"/>
              <w:ind w:right="43"/>
              <w:jc w:val="right"/>
              <w:rPr>
                <w:sz w:val="13"/>
              </w:rPr>
            </w:pPr>
            <w:r>
              <w:rPr>
                <w:w w:val="105"/>
                <w:sz w:val="13"/>
              </w:rPr>
              <w:t>1.790.557.150,21</w:t>
            </w:r>
          </w:p>
        </w:tc>
        <w:tc>
          <w:tcPr>
            <w:tcW w:w="1076" w:type="dxa"/>
          </w:tcPr>
          <w:p>
            <w:pPr>
              <w:pStyle w:val="TableParagraph"/>
              <w:rPr>
                <w:rFonts w:ascii="Times New Roman"/>
                <w:sz w:val="14"/>
              </w:rPr>
            </w:pPr>
          </w:p>
        </w:tc>
        <w:tc>
          <w:tcPr>
            <w:tcW w:w="1071" w:type="dxa"/>
          </w:tcPr>
          <w:p>
            <w:pPr>
              <w:pStyle w:val="TableParagraph"/>
              <w:spacing w:before="4"/>
              <w:rPr>
                <w:sz w:val="20"/>
              </w:rPr>
            </w:pPr>
          </w:p>
          <w:p>
            <w:pPr>
              <w:pStyle w:val="TableParagraph"/>
              <w:ind w:right="44"/>
              <w:jc w:val="right"/>
              <w:rPr>
                <w:sz w:val="13"/>
              </w:rPr>
            </w:pPr>
            <w:r>
              <w:rPr>
                <w:w w:val="105"/>
                <w:sz w:val="13"/>
              </w:rPr>
              <w:t>1.790.557.150,21</w:t>
            </w:r>
          </w:p>
        </w:tc>
        <w:tc>
          <w:tcPr>
            <w:tcW w:w="1067" w:type="dxa"/>
          </w:tcPr>
          <w:p>
            <w:pPr>
              <w:pStyle w:val="TableParagraph"/>
              <w:spacing w:before="4"/>
              <w:rPr>
                <w:sz w:val="20"/>
              </w:rPr>
            </w:pPr>
          </w:p>
          <w:p>
            <w:pPr>
              <w:pStyle w:val="TableParagraph"/>
              <w:ind w:right="40"/>
              <w:jc w:val="right"/>
              <w:rPr>
                <w:sz w:val="13"/>
              </w:rPr>
            </w:pPr>
            <w:r>
              <w:rPr>
                <w:sz w:val="13"/>
              </w:rPr>
              <w:t>0,00</w:t>
            </w:r>
          </w:p>
        </w:tc>
      </w:tr>
      <w:tr>
        <w:trPr>
          <w:trHeight w:val="326" w:hRule="atLeast"/>
        </w:trPr>
        <w:tc>
          <w:tcPr>
            <w:tcW w:w="1068" w:type="dxa"/>
          </w:tcPr>
          <w:p>
            <w:pPr>
              <w:pStyle w:val="TableParagraph"/>
              <w:spacing w:before="85"/>
              <w:ind w:left="29" w:right="20"/>
              <w:jc w:val="center"/>
              <w:rPr>
                <w:sz w:val="13"/>
              </w:rPr>
            </w:pPr>
            <w:r>
              <w:rPr>
                <w:w w:val="105"/>
                <w:sz w:val="13"/>
              </w:rPr>
              <w:t>435, 436</w:t>
            </w:r>
          </w:p>
        </w:tc>
        <w:tc>
          <w:tcPr>
            <w:tcW w:w="1789" w:type="dxa"/>
          </w:tcPr>
          <w:p>
            <w:pPr>
              <w:pStyle w:val="TableParagraph"/>
              <w:spacing w:before="4"/>
              <w:ind w:left="59"/>
              <w:rPr>
                <w:sz w:val="13"/>
              </w:rPr>
            </w:pPr>
            <w:r>
              <w:rPr>
                <w:w w:val="105"/>
                <w:sz w:val="13"/>
              </w:rPr>
              <w:t>(+) De Operaciones</w:t>
            </w:r>
          </w:p>
          <w:p>
            <w:pPr>
              <w:pStyle w:val="TableParagraph"/>
              <w:spacing w:line="139" w:lineRule="exact" w:before="4"/>
              <w:ind w:left="59"/>
              <w:rPr>
                <w:sz w:val="13"/>
              </w:rPr>
            </w:pPr>
            <w:r>
              <w:rPr>
                <w:w w:val="105"/>
                <w:sz w:val="13"/>
              </w:rPr>
              <w:t>Comerciales</w:t>
            </w:r>
          </w:p>
        </w:tc>
        <w:tc>
          <w:tcPr>
            <w:tcW w:w="1069" w:type="dxa"/>
          </w:tcPr>
          <w:p>
            <w:pPr>
              <w:pStyle w:val="TableParagraph"/>
              <w:spacing w:before="85"/>
              <w:ind w:right="43"/>
              <w:jc w:val="right"/>
              <w:rPr>
                <w:sz w:val="13"/>
              </w:rPr>
            </w:pPr>
            <w:r>
              <w:rPr>
                <w:sz w:val="13"/>
              </w:rPr>
              <w:t>0,00</w:t>
            </w:r>
          </w:p>
        </w:tc>
        <w:tc>
          <w:tcPr>
            <w:tcW w:w="1076" w:type="dxa"/>
          </w:tcPr>
          <w:p>
            <w:pPr>
              <w:pStyle w:val="TableParagraph"/>
              <w:rPr>
                <w:rFonts w:ascii="Times New Roman"/>
                <w:sz w:val="14"/>
              </w:rPr>
            </w:pPr>
          </w:p>
        </w:tc>
        <w:tc>
          <w:tcPr>
            <w:tcW w:w="1071" w:type="dxa"/>
          </w:tcPr>
          <w:p>
            <w:pPr>
              <w:pStyle w:val="TableParagraph"/>
              <w:rPr>
                <w:rFonts w:ascii="Times New Roman"/>
                <w:sz w:val="14"/>
              </w:rPr>
            </w:pPr>
          </w:p>
        </w:tc>
        <w:tc>
          <w:tcPr>
            <w:tcW w:w="1067" w:type="dxa"/>
          </w:tcPr>
          <w:p>
            <w:pPr>
              <w:pStyle w:val="TableParagraph"/>
              <w:rPr>
                <w:rFonts w:ascii="Times New Roman"/>
                <w:sz w:val="14"/>
              </w:rPr>
            </w:pPr>
          </w:p>
        </w:tc>
      </w:tr>
      <w:tr>
        <w:trPr>
          <w:trHeight w:val="326" w:hRule="atLeast"/>
        </w:trPr>
        <w:tc>
          <w:tcPr>
            <w:tcW w:w="1068" w:type="dxa"/>
          </w:tcPr>
          <w:p>
            <w:pPr>
              <w:pStyle w:val="TableParagraph"/>
              <w:rPr>
                <w:rFonts w:ascii="Times New Roman"/>
                <w:sz w:val="14"/>
              </w:rPr>
            </w:pPr>
          </w:p>
        </w:tc>
        <w:tc>
          <w:tcPr>
            <w:tcW w:w="1789" w:type="dxa"/>
          </w:tcPr>
          <w:p>
            <w:pPr>
              <w:pStyle w:val="TableParagraph"/>
              <w:spacing w:before="2"/>
              <w:ind w:left="59"/>
              <w:rPr>
                <w:b/>
                <w:sz w:val="13"/>
              </w:rPr>
            </w:pPr>
            <w:r>
              <w:rPr>
                <w:b/>
                <w:w w:val="105"/>
                <w:sz w:val="13"/>
              </w:rPr>
              <w:t>3. (-) Obligaciones Pendientes</w:t>
            </w:r>
          </w:p>
          <w:p>
            <w:pPr>
              <w:pStyle w:val="TableParagraph"/>
              <w:spacing w:line="139" w:lineRule="exact" w:before="6"/>
              <w:ind w:left="59"/>
              <w:rPr>
                <w:b/>
                <w:sz w:val="13"/>
              </w:rPr>
            </w:pPr>
            <w:r>
              <w:rPr>
                <w:b/>
                <w:w w:val="105"/>
                <w:sz w:val="13"/>
              </w:rPr>
              <w:t>De Pago</w:t>
            </w:r>
          </w:p>
        </w:tc>
        <w:tc>
          <w:tcPr>
            <w:tcW w:w="1069" w:type="dxa"/>
          </w:tcPr>
          <w:p>
            <w:pPr>
              <w:pStyle w:val="TableParagraph"/>
              <w:rPr>
                <w:rFonts w:ascii="Times New Roman"/>
                <w:sz w:val="14"/>
              </w:rPr>
            </w:pPr>
          </w:p>
        </w:tc>
        <w:tc>
          <w:tcPr>
            <w:tcW w:w="1076" w:type="dxa"/>
          </w:tcPr>
          <w:p>
            <w:pPr>
              <w:pStyle w:val="TableParagraph"/>
              <w:spacing w:before="85"/>
              <w:ind w:right="43"/>
              <w:jc w:val="right"/>
              <w:rPr>
                <w:b/>
                <w:sz w:val="13"/>
              </w:rPr>
            </w:pPr>
            <w:r>
              <w:rPr>
                <w:b/>
                <w:w w:val="105"/>
                <w:sz w:val="13"/>
              </w:rPr>
              <w:t>2.765.088.006,27</w:t>
            </w:r>
          </w:p>
        </w:tc>
        <w:tc>
          <w:tcPr>
            <w:tcW w:w="1071" w:type="dxa"/>
          </w:tcPr>
          <w:p>
            <w:pPr>
              <w:pStyle w:val="TableParagraph"/>
              <w:spacing w:before="85"/>
              <w:ind w:right="44"/>
              <w:jc w:val="right"/>
              <w:rPr>
                <w:sz w:val="13"/>
              </w:rPr>
            </w:pPr>
            <w:r>
              <w:rPr>
                <w:w w:val="105"/>
                <w:sz w:val="13"/>
              </w:rPr>
              <w:t>2.765.088.006,27</w:t>
            </w:r>
          </w:p>
        </w:tc>
        <w:tc>
          <w:tcPr>
            <w:tcW w:w="1067" w:type="dxa"/>
          </w:tcPr>
          <w:p>
            <w:pPr>
              <w:pStyle w:val="TableParagraph"/>
              <w:spacing w:before="85"/>
              <w:ind w:right="40"/>
              <w:jc w:val="right"/>
              <w:rPr>
                <w:sz w:val="13"/>
              </w:rPr>
            </w:pPr>
            <w:r>
              <w:rPr>
                <w:sz w:val="13"/>
              </w:rPr>
              <w:t>0,00</w:t>
            </w:r>
          </w:p>
        </w:tc>
      </w:tr>
    </w:tbl>
    <w:p>
      <w:pPr>
        <w:pStyle w:val="BodyText"/>
        <w:spacing w:before="23"/>
        <w:ind w:left="7897"/>
        <w:jc w:val="center"/>
      </w:pPr>
      <w:r>
        <w:rPr/>
        <w:t>35</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81" name="image5.png"/>
                  <wp:cNvGraphicFramePr>
                    <a:graphicFrameLocks noChangeAspect="1"/>
                  </wp:cNvGraphicFramePr>
                  <a:graphic>
                    <a:graphicData uri="http://schemas.openxmlformats.org/drawingml/2006/picture">
                      <pic:pic>
                        <pic:nvPicPr>
                          <pic:cNvPr id="8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37/247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1"/>
        <w:rPr>
          <w:b/>
          <w:sz w:val="14"/>
        </w:rPr>
      </w:pPr>
    </w:p>
    <w:tbl>
      <w:tblPr>
        <w:tblW w:w="0" w:type="auto"/>
        <w:jc w:val="left"/>
        <w:tblInd w:w="2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789"/>
        <w:gridCol w:w="1069"/>
        <w:gridCol w:w="1076"/>
        <w:gridCol w:w="1071"/>
        <w:gridCol w:w="1067"/>
      </w:tblGrid>
      <w:tr>
        <w:trPr>
          <w:trHeight w:val="326" w:hRule="atLeast"/>
        </w:trPr>
        <w:tc>
          <w:tcPr>
            <w:tcW w:w="1068" w:type="dxa"/>
            <w:shd w:val="clear" w:color="auto" w:fill="DEEAF6"/>
          </w:tcPr>
          <w:p>
            <w:pPr>
              <w:pStyle w:val="TableParagraph"/>
              <w:spacing w:before="85"/>
              <w:ind w:left="29" w:right="20"/>
              <w:jc w:val="center"/>
              <w:rPr>
                <w:b/>
                <w:sz w:val="13"/>
              </w:rPr>
            </w:pPr>
            <w:r>
              <w:rPr>
                <w:b/>
                <w:w w:val="105"/>
                <w:sz w:val="13"/>
              </w:rPr>
              <w:t>Nº de cuentas</w:t>
            </w:r>
          </w:p>
        </w:tc>
        <w:tc>
          <w:tcPr>
            <w:tcW w:w="1789" w:type="dxa"/>
            <w:shd w:val="clear" w:color="auto" w:fill="DEEAF6"/>
          </w:tcPr>
          <w:p>
            <w:pPr>
              <w:pStyle w:val="TableParagraph"/>
              <w:spacing w:before="85"/>
              <w:ind w:left="507"/>
              <w:rPr>
                <w:b/>
                <w:sz w:val="13"/>
              </w:rPr>
            </w:pPr>
            <w:r>
              <w:rPr>
                <w:b/>
                <w:w w:val="105"/>
                <w:sz w:val="13"/>
              </w:rPr>
              <w:t>Componentes</w:t>
            </w:r>
          </w:p>
        </w:tc>
        <w:tc>
          <w:tcPr>
            <w:tcW w:w="2145" w:type="dxa"/>
            <w:gridSpan w:val="2"/>
            <w:shd w:val="clear" w:color="auto" w:fill="DEEAF6"/>
          </w:tcPr>
          <w:p>
            <w:pPr>
              <w:pStyle w:val="TableParagraph"/>
              <w:spacing w:before="85"/>
              <w:ind w:left="689"/>
              <w:rPr>
                <w:b/>
                <w:sz w:val="13"/>
              </w:rPr>
            </w:pPr>
            <w:r>
              <w:rPr>
                <w:b/>
                <w:w w:val="105"/>
                <w:sz w:val="13"/>
              </w:rPr>
              <w:t>Ejercicio 2022</w:t>
            </w:r>
          </w:p>
        </w:tc>
        <w:tc>
          <w:tcPr>
            <w:tcW w:w="1071" w:type="dxa"/>
            <w:shd w:val="clear" w:color="auto" w:fill="DEEAF6"/>
          </w:tcPr>
          <w:p>
            <w:pPr>
              <w:pStyle w:val="TableParagraph"/>
              <w:spacing w:before="2"/>
              <w:ind w:left="156"/>
              <w:rPr>
                <w:b/>
                <w:sz w:val="13"/>
              </w:rPr>
            </w:pPr>
            <w:r>
              <w:rPr>
                <w:b/>
                <w:w w:val="105"/>
                <w:sz w:val="13"/>
              </w:rPr>
              <w:t>S/ Balance</w:t>
            </w:r>
            <w:r>
              <w:rPr>
                <w:b/>
                <w:spacing w:val="-18"/>
                <w:w w:val="105"/>
                <w:sz w:val="13"/>
              </w:rPr>
              <w:t> </w:t>
            </w:r>
            <w:r>
              <w:rPr>
                <w:b/>
                <w:w w:val="105"/>
                <w:sz w:val="13"/>
              </w:rPr>
              <w:t>de</w:t>
            </w:r>
          </w:p>
          <w:p>
            <w:pPr>
              <w:pStyle w:val="TableParagraph"/>
              <w:spacing w:line="139" w:lineRule="exact" w:before="6"/>
              <w:ind w:left="120"/>
              <w:rPr>
                <w:b/>
                <w:sz w:val="13"/>
              </w:rPr>
            </w:pPr>
            <w:r>
              <w:rPr>
                <w:b/>
                <w:w w:val="105"/>
                <w:sz w:val="13"/>
              </w:rPr>
              <w:t>sumas y</w:t>
            </w:r>
            <w:r>
              <w:rPr>
                <w:b/>
                <w:spacing w:val="-16"/>
                <w:w w:val="105"/>
                <w:sz w:val="13"/>
              </w:rPr>
              <w:t> </w:t>
            </w:r>
            <w:r>
              <w:rPr>
                <w:b/>
                <w:w w:val="105"/>
                <w:sz w:val="13"/>
              </w:rPr>
              <w:t>saldos</w:t>
            </w:r>
          </w:p>
        </w:tc>
        <w:tc>
          <w:tcPr>
            <w:tcW w:w="1067" w:type="dxa"/>
            <w:shd w:val="clear" w:color="auto" w:fill="DEEAF6"/>
          </w:tcPr>
          <w:p>
            <w:pPr>
              <w:pStyle w:val="TableParagraph"/>
              <w:spacing w:before="85"/>
              <w:ind w:left="250"/>
              <w:rPr>
                <w:b/>
                <w:sz w:val="13"/>
              </w:rPr>
            </w:pPr>
            <w:r>
              <w:rPr>
                <w:b/>
                <w:w w:val="105"/>
                <w:sz w:val="13"/>
              </w:rPr>
              <w:t>Diferencia</w:t>
            </w:r>
          </w:p>
        </w:tc>
      </w:tr>
      <w:tr>
        <w:trPr>
          <w:trHeight w:val="241" w:hRule="atLeast"/>
        </w:trPr>
        <w:tc>
          <w:tcPr>
            <w:tcW w:w="1068" w:type="dxa"/>
          </w:tcPr>
          <w:p>
            <w:pPr>
              <w:pStyle w:val="TableParagraph"/>
              <w:spacing w:before="42"/>
              <w:ind w:left="29" w:right="21"/>
              <w:jc w:val="center"/>
              <w:rPr>
                <w:sz w:val="13"/>
              </w:rPr>
            </w:pPr>
            <w:r>
              <w:rPr>
                <w:w w:val="105"/>
                <w:sz w:val="13"/>
              </w:rPr>
              <w:t>400</w:t>
            </w:r>
          </w:p>
        </w:tc>
        <w:tc>
          <w:tcPr>
            <w:tcW w:w="1789" w:type="dxa"/>
          </w:tcPr>
          <w:p>
            <w:pPr>
              <w:pStyle w:val="TableParagraph"/>
              <w:spacing w:before="42"/>
              <w:ind w:left="59"/>
              <w:rPr>
                <w:sz w:val="13"/>
              </w:rPr>
            </w:pPr>
            <w:r>
              <w:rPr>
                <w:w w:val="105"/>
                <w:sz w:val="13"/>
              </w:rPr>
              <w:t>(+) Del Presupuesto Corriente</w:t>
            </w:r>
          </w:p>
        </w:tc>
        <w:tc>
          <w:tcPr>
            <w:tcW w:w="1069" w:type="dxa"/>
          </w:tcPr>
          <w:p>
            <w:pPr>
              <w:pStyle w:val="TableParagraph"/>
              <w:spacing w:before="42"/>
              <w:ind w:right="43"/>
              <w:jc w:val="right"/>
              <w:rPr>
                <w:sz w:val="13"/>
              </w:rPr>
            </w:pPr>
            <w:r>
              <w:rPr>
                <w:sz w:val="13"/>
              </w:rPr>
              <w:t>430.936.464,75</w:t>
            </w:r>
          </w:p>
        </w:tc>
        <w:tc>
          <w:tcPr>
            <w:tcW w:w="1076" w:type="dxa"/>
          </w:tcPr>
          <w:p>
            <w:pPr>
              <w:pStyle w:val="TableParagraph"/>
              <w:rPr>
                <w:rFonts w:ascii="Times New Roman"/>
                <w:sz w:val="14"/>
              </w:rPr>
            </w:pPr>
          </w:p>
        </w:tc>
        <w:tc>
          <w:tcPr>
            <w:tcW w:w="1071" w:type="dxa"/>
          </w:tcPr>
          <w:p>
            <w:pPr>
              <w:pStyle w:val="TableParagraph"/>
              <w:spacing w:before="42"/>
              <w:ind w:right="43"/>
              <w:jc w:val="right"/>
              <w:rPr>
                <w:sz w:val="13"/>
              </w:rPr>
            </w:pPr>
            <w:r>
              <w:rPr>
                <w:w w:val="105"/>
                <w:sz w:val="13"/>
              </w:rPr>
              <w:t>2.478.912,37</w:t>
            </w:r>
          </w:p>
        </w:tc>
        <w:tc>
          <w:tcPr>
            <w:tcW w:w="1067" w:type="dxa"/>
          </w:tcPr>
          <w:p>
            <w:pPr>
              <w:pStyle w:val="TableParagraph"/>
              <w:spacing w:before="42"/>
              <w:ind w:right="41"/>
              <w:jc w:val="right"/>
              <w:rPr>
                <w:sz w:val="13"/>
              </w:rPr>
            </w:pPr>
            <w:r>
              <w:rPr>
                <w:sz w:val="13"/>
              </w:rPr>
              <w:t>428.457.552,38</w:t>
            </w:r>
          </w:p>
        </w:tc>
      </w:tr>
      <w:tr>
        <w:trPr>
          <w:trHeight w:val="266" w:hRule="atLeast"/>
        </w:trPr>
        <w:tc>
          <w:tcPr>
            <w:tcW w:w="1068" w:type="dxa"/>
          </w:tcPr>
          <w:p>
            <w:pPr>
              <w:pStyle w:val="TableParagraph"/>
              <w:spacing w:before="54"/>
              <w:ind w:left="29" w:right="21"/>
              <w:jc w:val="center"/>
              <w:rPr>
                <w:sz w:val="13"/>
              </w:rPr>
            </w:pPr>
            <w:r>
              <w:rPr>
                <w:w w:val="105"/>
                <w:sz w:val="13"/>
              </w:rPr>
              <w:t>401</w:t>
            </w:r>
          </w:p>
        </w:tc>
        <w:tc>
          <w:tcPr>
            <w:tcW w:w="1789" w:type="dxa"/>
          </w:tcPr>
          <w:p>
            <w:pPr>
              <w:pStyle w:val="TableParagraph"/>
              <w:spacing w:before="54"/>
              <w:ind w:left="59"/>
              <w:rPr>
                <w:sz w:val="13"/>
              </w:rPr>
            </w:pPr>
            <w:r>
              <w:rPr>
                <w:w w:val="105"/>
                <w:sz w:val="13"/>
              </w:rPr>
              <w:t>(+) De Presupuestos Cerrados</w:t>
            </w:r>
          </w:p>
        </w:tc>
        <w:tc>
          <w:tcPr>
            <w:tcW w:w="1069" w:type="dxa"/>
          </w:tcPr>
          <w:p>
            <w:pPr>
              <w:pStyle w:val="TableParagraph"/>
              <w:spacing w:before="54"/>
              <w:ind w:right="43"/>
              <w:jc w:val="right"/>
              <w:rPr>
                <w:sz w:val="13"/>
              </w:rPr>
            </w:pPr>
            <w:r>
              <w:rPr>
                <w:w w:val="105"/>
                <w:sz w:val="13"/>
              </w:rPr>
              <w:t>13.240,30</w:t>
            </w:r>
          </w:p>
        </w:tc>
        <w:tc>
          <w:tcPr>
            <w:tcW w:w="1076" w:type="dxa"/>
          </w:tcPr>
          <w:p>
            <w:pPr>
              <w:pStyle w:val="TableParagraph"/>
              <w:rPr>
                <w:rFonts w:ascii="Times New Roman"/>
                <w:sz w:val="14"/>
              </w:rPr>
            </w:pPr>
          </w:p>
        </w:tc>
        <w:tc>
          <w:tcPr>
            <w:tcW w:w="1071" w:type="dxa"/>
          </w:tcPr>
          <w:p>
            <w:pPr>
              <w:pStyle w:val="TableParagraph"/>
              <w:spacing w:before="54"/>
              <w:ind w:right="44"/>
              <w:jc w:val="right"/>
              <w:rPr>
                <w:sz w:val="13"/>
              </w:rPr>
            </w:pPr>
            <w:r>
              <w:rPr>
                <w:sz w:val="13"/>
              </w:rPr>
              <w:t>428.470.792,68</w:t>
            </w:r>
          </w:p>
        </w:tc>
        <w:tc>
          <w:tcPr>
            <w:tcW w:w="1067" w:type="dxa"/>
          </w:tcPr>
          <w:p>
            <w:pPr>
              <w:pStyle w:val="TableParagraph"/>
              <w:spacing w:before="54"/>
              <w:ind w:right="40"/>
              <w:jc w:val="right"/>
              <w:rPr>
                <w:sz w:val="13"/>
              </w:rPr>
            </w:pPr>
            <w:r>
              <w:rPr>
                <w:sz w:val="13"/>
              </w:rPr>
              <w:t>-428.457.552,38</w:t>
            </w:r>
          </w:p>
        </w:tc>
      </w:tr>
      <w:tr>
        <w:trPr>
          <w:trHeight w:val="818" w:hRule="atLeast"/>
        </w:trPr>
        <w:tc>
          <w:tcPr>
            <w:tcW w:w="1068" w:type="dxa"/>
          </w:tcPr>
          <w:p>
            <w:pPr>
              <w:pStyle w:val="TableParagraph"/>
              <w:spacing w:before="4"/>
              <w:ind w:left="29" w:right="21"/>
              <w:jc w:val="center"/>
              <w:rPr>
                <w:sz w:val="13"/>
              </w:rPr>
            </w:pPr>
            <w:r>
              <w:rPr>
                <w:w w:val="105"/>
                <w:sz w:val="13"/>
              </w:rPr>
              <w:t>167,168,180,185,</w:t>
            </w:r>
          </w:p>
          <w:p>
            <w:pPr>
              <w:pStyle w:val="TableParagraph"/>
              <w:spacing w:before="4"/>
              <w:ind w:left="29" w:right="21"/>
              <w:jc w:val="center"/>
              <w:rPr>
                <w:sz w:val="13"/>
              </w:rPr>
            </w:pPr>
            <w:r>
              <w:rPr>
                <w:w w:val="105"/>
                <w:sz w:val="13"/>
              </w:rPr>
              <w:t>410,412,419,453,</w:t>
            </w:r>
          </w:p>
          <w:p>
            <w:pPr>
              <w:pStyle w:val="TableParagraph"/>
              <w:spacing w:before="5"/>
              <w:ind w:left="29" w:right="21"/>
              <w:jc w:val="center"/>
              <w:rPr>
                <w:sz w:val="13"/>
              </w:rPr>
            </w:pPr>
            <w:r>
              <w:rPr>
                <w:w w:val="105"/>
                <w:sz w:val="13"/>
              </w:rPr>
              <w:t>456,475,476,477,</w:t>
            </w:r>
          </w:p>
          <w:p>
            <w:pPr>
              <w:pStyle w:val="TableParagraph"/>
              <w:spacing w:before="7"/>
              <w:ind w:left="29" w:right="21"/>
              <w:jc w:val="center"/>
              <w:rPr>
                <w:sz w:val="13"/>
              </w:rPr>
            </w:pPr>
            <w:r>
              <w:rPr>
                <w:w w:val="105"/>
                <w:sz w:val="13"/>
              </w:rPr>
              <w:t>517,518,550,560,</w:t>
            </w:r>
          </w:p>
          <w:p>
            <w:pPr>
              <w:pStyle w:val="TableParagraph"/>
              <w:spacing w:line="139" w:lineRule="exact" w:before="4"/>
              <w:ind w:left="29" w:right="21"/>
              <w:jc w:val="center"/>
              <w:rPr>
                <w:sz w:val="13"/>
              </w:rPr>
            </w:pPr>
            <w:r>
              <w:rPr>
                <w:w w:val="105"/>
                <w:sz w:val="13"/>
              </w:rPr>
              <w:t>561</w:t>
            </w:r>
          </w:p>
        </w:tc>
        <w:tc>
          <w:tcPr>
            <w:tcW w:w="1789" w:type="dxa"/>
          </w:tcPr>
          <w:p>
            <w:pPr>
              <w:pStyle w:val="TableParagraph"/>
              <w:spacing w:line="247" w:lineRule="auto" w:before="4"/>
              <w:ind w:left="59"/>
              <w:rPr>
                <w:sz w:val="13"/>
              </w:rPr>
            </w:pPr>
            <w:r>
              <w:rPr>
                <w:w w:val="105"/>
                <w:sz w:val="13"/>
              </w:rPr>
              <w:t>(+) De Operaciones No Presupuestarias</w:t>
            </w:r>
          </w:p>
        </w:tc>
        <w:tc>
          <w:tcPr>
            <w:tcW w:w="1069" w:type="dxa"/>
          </w:tcPr>
          <w:p>
            <w:pPr>
              <w:pStyle w:val="TableParagraph"/>
              <w:rPr>
                <w:b/>
                <w:sz w:val="14"/>
              </w:rPr>
            </w:pPr>
          </w:p>
          <w:p>
            <w:pPr>
              <w:pStyle w:val="TableParagraph"/>
              <w:spacing w:before="1"/>
              <w:rPr>
                <w:b/>
                <w:sz w:val="13"/>
              </w:rPr>
            </w:pPr>
          </w:p>
          <w:p>
            <w:pPr>
              <w:pStyle w:val="TableParagraph"/>
              <w:ind w:right="43"/>
              <w:jc w:val="right"/>
              <w:rPr>
                <w:sz w:val="13"/>
              </w:rPr>
            </w:pPr>
            <w:r>
              <w:rPr>
                <w:w w:val="105"/>
                <w:sz w:val="13"/>
              </w:rPr>
              <w:t>2.334.138.301,22</w:t>
            </w:r>
          </w:p>
        </w:tc>
        <w:tc>
          <w:tcPr>
            <w:tcW w:w="1076" w:type="dxa"/>
          </w:tcPr>
          <w:p>
            <w:pPr>
              <w:pStyle w:val="TableParagraph"/>
              <w:rPr>
                <w:rFonts w:ascii="Times New Roman"/>
                <w:sz w:val="14"/>
              </w:rPr>
            </w:pPr>
          </w:p>
        </w:tc>
        <w:tc>
          <w:tcPr>
            <w:tcW w:w="1071" w:type="dxa"/>
          </w:tcPr>
          <w:p>
            <w:pPr>
              <w:pStyle w:val="TableParagraph"/>
              <w:rPr>
                <w:b/>
                <w:sz w:val="14"/>
              </w:rPr>
            </w:pPr>
          </w:p>
          <w:p>
            <w:pPr>
              <w:pStyle w:val="TableParagraph"/>
              <w:spacing w:before="1"/>
              <w:rPr>
                <w:b/>
                <w:sz w:val="13"/>
              </w:rPr>
            </w:pPr>
          </w:p>
          <w:p>
            <w:pPr>
              <w:pStyle w:val="TableParagraph"/>
              <w:ind w:right="44"/>
              <w:jc w:val="right"/>
              <w:rPr>
                <w:sz w:val="13"/>
              </w:rPr>
            </w:pPr>
            <w:r>
              <w:rPr>
                <w:w w:val="105"/>
                <w:sz w:val="13"/>
              </w:rPr>
              <w:t>2.334.138.301,22</w:t>
            </w:r>
          </w:p>
        </w:tc>
        <w:tc>
          <w:tcPr>
            <w:tcW w:w="1067" w:type="dxa"/>
          </w:tcPr>
          <w:p>
            <w:pPr>
              <w:pStyle w:val="TableParagraph"/>
              <w:rPr>
                <w:b/>
                <w:sz w:val="14"/>
              </w:rPr>
            </w:pPr>
          </w:p>
          <w:p>
            <w:pPr>
              <w:pStyle w:val="TableParagraph"/>
              <w:spacing w:before="1"/>
              <w:rPr>
                <w:b/>
                <w:sz w:val="13"/>
              </w:rPr>
            </w:pPr>
          </w:p>
          <w:p>
            <w:pPr>
              <w:pStyle w:val="TableParagraph"/>
              <w:ind w:right="40"/>
              <w:jc w:val="right"/>
              <w:rPr>
                <w:sz w:val="13"/>
              </w:rPr>
            </w:pPr>
            <w:r>
              <w:rPr>
                <w:sz w:val="13"/>
              </w:rPr>
              <w:t>0,00</w:t>
            </w:r>
          </w:p>
        </w:tc>
      </w:tr>
      <w:tr>
        <w:trPr>
          <w:trHeight w:val="439" w:hRule="atLeast"/>
        </w:trPr>
        <w:tc>
          <w:tcPr>
            <w:tcW w:w="1068" w:type="dxa"/>
          </w:tcPr>
          <w:p>
            <w:pPr>
              <w:pStyle w:val="TableParagraph"/>
              <w:spacing w:before="6"/>
              <w:rPr>
                <w:b/>
                <w:sz w:val="11"/>
              </w:rPr>
            </w:pPr>
          </w:p>
          <w:p>
            <w:pPr>
              <w:pStyle w:val="TableParagraph"/>
              <w:spacing w:before="1"/>
              <w:ind w:left="29" w:right="20"/>
              <w:jc w:val="center"/>
              <w:rPr>
                <w:sz w:val="13"/>
              </w:rPr>
            </w:pPr>
            <w:r>
              <w:rPr>
                <w:w w:val="105"/>
                <w:sz w:val="13"/>
              </w:rPr>
              <w:t>405, 406</w:t>
            </w:r>
          </w:p>
        </w:tc>
        <w:tc>
          <w:tcPr>
            <w:tcW w:w="1789" w:type="dxa"/>
          </w:tcPr>
          <w:p>
            <w:pPr>
              <w:pStyle w:val="TableParagraph"/>
              <w:spacing w:line="247" w:lineRule="auto" w:before="4"/>
              <w:ind w:left="59" w:right="2"/>
              <w:rPr>
                <w:sz w:val="13"/>
              </w:rPr>
            </w:pPr>
            <w:r>
              <w:rPr>
                <w:w w:val="105"/>
                <w:sz w:val="13"/>
              </w:rPr>
              <w:t>(+) De Operaciones Comerciales</w:t>
            </w:r>
          </w:p>
        </w:tc>
        <w:tc>
          <w:tcPr>
            <w:tcW w:w="1069" w:type="dxa"/>
          </w:tcPr>
          <w:p>
            <w:pPr>
              <w:pStyle w:val="TableParagraph"/>
              <w:spacing w:before="6"/>
              <w:rPr>
                <w:b/>
                <w:sz w:val="11"/>
              </w:rPr>
            </w:pPr>
          </w:p>
          <w:p>
            <w:pPr>
              <w:pStyle w:val="TableParagraph"/>
              <w:spacing w:before="1"/>
              <w:ind w:right="43"/>
              <w:jc w:val="right"/>
              <w:rPr>
                <w:sz w:val="13"/>
              </w:rPr>
            </w:pPr>
            <w:r>
              <w:rPr>
                <w:sz w:val="13"/>
              </w:rPr>
              <w:t>0,00</w:t>
            </w:r>
          </w:p>
        </w:tc>
        <w:tc>
          <w:tcPr>
            <w:tcW w:w="1076" w:type="dxa"/>
          </w:tcPr>
          <w:p>
            <w:pPr>
              <w:pStyle w:val="TableParagraph"/>
              <w:rPr>
                <w:rFonts w:ascii="Times New Roman"/>
                <w:sz w:val="14"/>
              </w:rPr>
            </w:pPr>
          </w:p>
        </w:tc>
        <w:tc>
          <w:tcPr>
            <w:tcW w:w="1071" w:type="dxa"/>
          </w:tcPr>
          <w:p>
            <w:pPr>
              <w:pStyle w:val="TableParagraph"/>
              <w:rPr>
                <w:rFonts w:ascii="Times New Roman"/>
                <w:sz w:val="14"/>
              </w:rPr>
            </w:pPr>
          </w:p>
        </w:tc>
        <w:tc>
          <w:tcPr>
            <w:tcW w:w="1067" w:type="dxa"/>
          </w:tcPr>
          <w:p>
            <w:pPr>
              <w:pStyle w:val="TableParagraph"/>
              <w:rPr>
                <w:rFonts w:ascii="Times New Roman"/>
                <w:sz w:val="14"/>
              </w:rPr>
            </w:pPr>
          </w:p>
        </w:tc>
      </w:tr>
      <w:tr>
        <w:trPr>
          <w:trHeight w:val="326" w:hRule="atLeast"/>
        </w:trPr>
        <w:tc>
          <w:tcPr>
            <w:tcW w:w="1068" w:type="dxa"/>
          </w:tcPr>
          <w:p>
            <w:pPr>
              <w:pStyle w:val="TableParagraph"/>
              <w:rPr>
                <w:rFonts w:ascii="Times New Roman"/>
                <w:sz w:val="14"/>
              </w:rPr>
            </w:pPr>
          </w:p>
        </w:tc>
        <w:tc>
          <w:tcPr>
            <w:tcW w:w="1789" w:type="dxa"/>
          </w:tcPr>
          <w:p>
            <w:pPr>
              <w:pStyle w:val="TableParagraph"/>
              <w:spacing w:before="2"/>
              <w:ind w:left="59"/>
              <w:rPr>
                <w:b/>
                <w:sz w:val="13"/>
              </w:rPr>
            </w:pPr>
            <w:r>
              <w:rPr>
                <w:b/>
                <w:w w:val="105"/>
                <w:sz w:val="13"/>
              </w:rPr>
              <w:t>4. (+) Partidas Pendientes De</w:t>
            </w:r>
          </w:p>
          <w:p>
            <w:pPr>
              <w:pStyle w:val="TableParagraph"/>
              <w:spacing w:line="141" w:lineRule="exact" w:before="4"/>
              <w:ind w:left="59"/>
              <w:rPr>
                <w:b/>
                <w:sz w:val="13"/>
              </w:rPr>
            </w:pPr>
            <w:r>
              <w:rPr>
                <w:b/>
                <w:w w:val="105"/>
                <w:sz w:val="13"/>
              </w:rPr>
              <w:t>Aplicación</w:t>
            </w:r>
          </w:p>
        </w:tc>
        <w:tc>
          <w:tcPr>
            <w:tcW w:w="1069" w:type="dxa"/>
          </w:tcPr>
          <w:p>
            <w:pPr>
              <w:pStyle w:val="TableParagraph"/>
              <w:rPr>
                <w:rFonts w:ascii="Times New Roman"/>
                <w:sz w:val="14"/>
              </w:rPr>
            </w:pPr>
          </w:p>
        </w:tc>
        <w:tc>
          <w:tcPr>
            <w:tcW w:w="1076" w:type="dxa"/>
          </w:tcPr>
          <w:p>
            <w:pPr>
              <w:pStyle w:val="TableParagraph"/>
              <w:spacing w:before="82"/>
              <w:ind w:right="43"/>
              <w:jc w:val="right"/>
              <w:rPr>
                <w:b/>
                <w:sz w:val="13"/>
              </w:rPr>
            </w:pPr>
            <w:r>
              <w:rPr>
                <w:b/>
                <w:w w:val="105"/>
                <w:sz w:val="13"/>
              </w:rPr>
              <w:t>7.874.617,93</w:t>
            </w:r>
          </w:p>
        </w:tc>
        <w:tc>
          <w:tcPr>
            <w:tcW w:w="1071" w:type="dxa"/>
          </w:tcPr>
          <w:p>
            <w:pPr>
              <w:pStyle w:val="TableParagraph"/>
              <w:spacing w:before="82"/>
              <w:ind w:right="43"/>
              <w:jc w:val="right"/>
              <w:rPr>
                <w:sz w:val="13"/>
              </w:rPr>
            </w:pPr>
            <w:r>
              <w:rPr>
                <w:w w:val="105"/>
                <w:sz w:val="13"/>
              </w:rPr>
              <w:t>7.874.617,93</w:t>
            </w:r>
          </w:p>
        </w:tc>
        <w:tc>
          <w:tcPr>
            <w:tcW w:w="1067" w:type="dxa"/>
          </w:tcPr>
          <w:p>
            <w:pPr>
              <w:pStyle w:val="TableParagraph"/>
              <w:spacing w:before="82"/>
              <w:ind w:right="40"/>
              <w:jc w:val="right"/>
              <w:rPr>
                <w:sz w:val="13"/>
              </w:rPr>
            </w:pPr>
            <w:r>
              <w:rPr>
                <w:sz w:val="13"/>
              </w:rPr>
              <w:t>0,00</w:t>
            </w:r>
          </w:p>
        </w:tc>
      </w:tr>
      <w:tr>
        <w:trPr>
          <w:trHeight w:val="324" w:hRule="atLeast"/>
        </w:trPr>
        <w:tc>
          <w:tcPr>
            <w:tcW w:w="1068" w:type="dxa"/>
          </w:tcPr>
          <w:p>
            <w:pPr>
              <w:pStyle w:val="TableParagraph"/>
              <w:spacing w:before="83"/>
              <w:ind w:left="29" w:right="20"/>
              <w:jc w:val="center"/>
              <w:rPr>
                <w:sz w:val="13"/>
              </w:rPr>
            </w:pPr>
            <w:r>
              <w:rPr>
                <w:w w:val="105"/>
                <w:sz w:val="13"/>
              </w:rPr>
              <w:t>554, 559</w:t>
            </w:r>
          </w:p>
        </w:tc>
        <w:tc>
          <w:tcPr>
            <w:tcW w:w="1789" w:type="dxa"/>
          </w:tcPr>
          <w:p>
            <w:pPr>
              <w:pStyle w:val="TableParagraph"/>
              <w:spacing w:before="2"/>
              <w:ind w:left="59"/>
              <w:rPr>
                <w:sz w:val="13"/>
              </w:rPr>
            </w:pPr>
            <w:r>
              <w:rPr>
                <w:w w:val="105"/>
                <w:sz w:val="13"/>
              </w:rPr>
              <w:t>(-)Cobros Realizados</w:t>
            </w:r>
          </w:p>
          <w:p>
            <w:pPr>
              <w:pStyle w:val="TableParagraph"/>
              <w:spacing w:line="139" w:lineRule="exact" w:before="5"/>
              <w:ind w:left="59"/>
              <w:rPr>
                <w:sz w:val="13"/>
              </w:rPr>
            </w:pPr>
            <w:r>
              <w:rPr>
                <w:w w:val="105"/>
                <w:sz w:val="13"/>
              </w:rPr>
              <w:t>Pendientes De Aplicación Defi</w:t>
            </w:r>
          </w:p>
        </w:tc>
        <w:tc>
          <w:tcPr>
            <w:tcW w:w="1069" w:type="dxa"/>
          </w:tcPr>
          <w:p>
            <w:pPr>
              <w:pStyle w:val="TableParagraph"/>
              <w:spacing w:before="83"/>
              <w:ind w:right="43"/>
              <w:jc w:val="right"/>
              <w:rPr>
                <w:sz w:val="13"/>
              </w:rPr>
            </w:pPr>
            <w:r>
              <w:rPr>
                <w:w w:val="105"/>
                <w:sz w:val="13"/>
              </w:rPr>
              <w:t>-7.874.617,93</w:t>
            </w:r>
          </w:p>
        </w:tc>
        <w:tc>
          <w:tcPr>
            <w:tcW w:w="1076" w:type="dxa"/>
          </w:tcPr>
          <w:p>
            <w:pPr>
              <w:pStyle w:val="TableParagraph"/>
              <w:rPr>
                <w:rFonts w:ascii="Times New Roman"/>
                <w:sz w:val="14"/>
              </w:rPr>
            </w:pPr>
          </w:p>
        </w:tc>
        <w:tc>
          <w:tcPr>
            <w:tcW w:w="1071" w:type="dxa"/>
          </w:tcPr>
          <w:p>
            <w:pPr>
              <w:pStyle w:val="TableParagraph"/>
              <w:spacing w:before="83"/>
              <w:ind w:right="43"/>
              <w:jc w:val="right"/>
              <w:rPr>
                <w:sz w:val="13"/>
              </w:rPr>
            </w:pPr>
            <w:r>
              <w:rPr>
                <w:w w:val="105"/>
                <w:sz w:val="13"/>
              </w:rPr>
              <w:t>-7.874.617,93</w:t>
            </w:r>
          </w:p>
        </w:tc>
        <w:tc>
          <w:tcPr>
            <w:tcW w:w="1067" w:type="dxa"/>
          </w:tcPr>
          <w:p>
            <w:pPr>
              <w:pStyle w:val="TableParagraph"/>
              <w:spacing w:before="83"/>
              <w:ind w:right="40"/>
              <w:jc w:val="right"/>
              <w:rPr>
                <w:sz w:val="13"/>
              </w:rPr>
            </w:pPr>
            <w:r>
              <w:rPr>
                <w:sz w:val="13"/>
              </w:rPr>
              <w:t>0,00</w:t>
            </w:r>
          </w:p>
        </w:tc>
      </w:tr>
      <w:tr>
        <w:trPr>
          <w:trHeight w:val="326" w:hRule="atLeast"/>
        </w:trPr>
        <w:tc>
          <w:tcPr>
            <w:tcW w:w="1068" w:type="dxa"/>
          </w:tcPr>
          <w:p>
            <w:pPr>
              <w:pStyle w:val="TableParagraph"/>
              <w:spacing w:before="85"/>
              <w:ind w:left="28" w:right="21"/>
              <w:jc w:val="center"/>
              <w:rPr>
                <w:sz w:val="13"/>
              </w:rPr>
            </w:pPr>
            <w:r>
              <w:rPr>
                <w:w w:val="105"/>
                <w:sz w:val="13"/>
              </w:rPr>
              <w:t>555,5581,5585</w:t>
            </w:r>
          </w:p>
        </w:tc>
        <w:tc>
          <w:tcPr>
            <w:tcW w:w="1789" w:type="dxa"/>
          </w:tcPr>
          <w:p>
            <w:pPr>
              <w:pStyle w:val="TableParagraph"/>
              <w:spacing w:before="4"/>
              <w:ind w:left="59"/>
              <w:rPr>
                <w:sz w:val="13"/>
              </w:rPr>
            </w:pPr>
            <w:r>
              <w:rPr>
                <w:w w:val="105"/>
                <w:sz w:val="13"/>
              </w:rPr>
              <w:t>(+)Pagos Realizados</w:t>
            </w:r>
          </w:p>
          <w:p>
            <w:pPr>
              <w:pStyle w:val="TableParagraph"/>
              <w:spacing w:line="139" w:lineRule="exact" w:before="4"/>
              <w:ind w:left="59"/>
              <w:rPr>
                <w:sz w:val="13"/>
              </w:rPr>
            </w:pPr>
            <w:r>
              <w:rPr>
                <w:w w:val="105"/>
                <w:sz w:val="13"/>
              </w:rPr>
              <w:t>Pendientes De Aplicación Defi</w:t>
            </w:r>
          </w:p>
        </w:tc>
        <w:tc>
          <w:tcPr>
            <w:tcW w:w="1069" w:type="dxa"/>
          </w:tcPr>
          <w:p>
            <w:pPr>
              <w:pStyle w:val="TableParagraph"/>
              <w:spacing w:before="85"/>
              <w:ind w:right="43"/>
              <w:jc w:val="right"/>
              <w:rPr>
                <w:sz w:val="13"/>
              </w:rPr>
            </w:pPr>
            <w:r>
              <w:rPr>
                <w:sz w:val="13"/>
              </w:rPr>
              <w:t>0,00</w:t>
            </w:r>
          </w:p>
        </w:tc>
        <w:tc>
          <w:tcPr>
            <w:tcW w:w="1076" w:type="dxa"/>
          </w:tcPr>
          <w:p>
            <w:pPr>
              <w:pStyle w:val="TableParagraph"/>
              <w:rPr>
                <w:rFonts w:ascii="Times New Roman"/>
                <w:sz w:val="14"/>
              </w:rPr>
            </w:pPr>
          </w:p>
        </w:tc>
        <w:tc>
          <w:tcPr>
            <w:tcW w:w="1071" w:type="dxa"/>
          </w:tcPr>
          <w:p>
            <w:pPr>
              <w:pStyle w:val="TableParagraph"/>
              <w:rPr>
                <w:rFonts w:ascii="Times New Roman"/>
                <w:sz w:val="14"/>
              </w:rPr>
            </w:pPr>
          </w:p>
        </w:tc>
        <w:tc>
          <w:tcPr>
            <w:tcW w:w="1067" w:type="dxa"/>
          </w:tcPr>
          <w:p>
            <w:pPr>
              <w:pStyle w:val="TableParagraph"/>
              <w:rPr>
                <w:rFonts w:ascii="Times New Roman"/>
                <w:sz w:val="14"/>
              </w:rPr>
            </w:pPr>
          </w:p>
        </w:tc>
      </w:tr>
      <w:tr>
        <w:trPr>
          <w:trHeight w:val="326" w:hRule="atLeast"/>
        </w:trPr>
        <w:tc>
          <w:tcPr>
            <w:tcW w:w="1068" w:type="dxa"/>
          </w:tcPr>
          <w:p>
            <w:pPr>
              <w:pStyle w:val="TableParagraph"/>
              <w:rPr>
                <w:rFonts w:ascii="Times New Roman"/>
                <w:sz w:val="14"/>
              </w:rPr>
            </w:pPr>
          </w:p>
        </w:tc>
        <w:tc>
          <w:tcPr>
            <w:tcW w:w="1789" w:type="dxa"/>
          </w:tcPr>
          <w:p>
            <w:pPr>
              <w:pStyle w:val="TableParagraph"/>
              <w:spacing w:before="4"/>
              <w:ind w:left="59"/>
              <w:rPr>
                <w:b/>
                <w:sz w:val="13"/>
              </w:rPr>
            </w:pPr>
            <w:r>
              <w:rPr>
                <w:b/>
                <w:w w:val="105"/>
                <w:sz w:val="13"/>
              </w:rPr>
              <w:t>I. Remanente Tesorería Total</w:t>
            </w:r>
          </w:p>
          <w:p>
            <w:pPr>
              <w:pStyle w:val="TableParagraph"/>
              <w:spacing w:line="139" w:lineRule="exact" w:before="4"/>
              <w:ind w:left="59"/>
              <w:rPr>
                <w:b/>
                <w:sz w:val="13"/>
              </w:rPr>
            </w:pPr>
            <w:r>
              <w:rPr>
                <w:b/>
                <w:w w:val="105"/>
                <w:sz w:val="13"/>
              </w:rPr>
              <w:t>(1+2-3+4)</w:t>
            </w:r>
          </w:p>
        </w:tc>
        <w:tc>
          <w:tcPr>
            <w:tcW w:w="1069" w:type="dxa"/>
          </w:tcPr>
          <w:p>
            <w:pPr>
              <w:pStyle w:val="TableParagraph"/>
              <w:rPr>
                <w:rFonts w:ascii="Times New Roman"/>
                <w:sz w:val="14"/>
              </w:rPr>
            </w:pPr>
          </w:p>
        </w:tc>
        <w:tc>
          <w:tcPr>
            <w:tcW w:w="1076" w:type="dxa"/>
          </w:tcPr>
          <w:p>
            <w:pPr>
              <w:pStyle w:val="TableParagraph"/>
              <w:spacing w:before="85"/>
              <w:ind w:right="43"/>
              <w:jc w:val="right"/>
              <w:rPr>
                <w:b/>
                <w:sz w:val="13"/>
              </w:rPr>
            </w:pPr>
            <w:r>
              <w:rPr>
                <w:b/>
                <w:sz w:val="13"/>
              </w:rPr>
              <w:t>376.018.785,42</w:t>
            </w:r>
          </w:p>
        </w:tc>
        <w:tc>
          <w:tcPr>
            <w:tcW w:w="1071" w:type="dxa"/>
          </w:tcPr>
          <w:p>
            <w:pPr>
              <w:pStyle w:val="TableParagraph"/>
              <w:rPr>
                <w:rFonts w:ascii="Times New Roman"/>
                <w:sz w:val="14"/>
              </w:rPr>
            </w:pPr>
          </w:p>
        </w:tc>
        <w:tc>
          <w:tcPr>
            <w:tcW w:w="1067" w:type="dxa"/>
          </w:tcPr>
          <w:p>
            <w:pPr>
              <w:pStyle w:val="TableParagraph"/>
              <w:rPr>
                <w:rFonts w:ascii="Times New Roman"/>
                <w:sz w:val="14"/>
              </w:rPr>
            </w:pPr>
          </w:p>
        </w:tc>
      </w:tr>
      <w:tr>
        <w:trPr>
          <w:trHeight w:val="326" w:hRule="atLeast"/>
        </w:trPr>
        <w:tc>
          <w:tcPr>
            <w:tcW w:w="1068" w:type="dxa"/>
          </w:tcPr>
          <w:p>
            <w:pPr>
              <w:pStyle w:val="TableParagraph"/>
              <w:rPr>
                <w:rFonts w:ascii="Times New Roman"/>
                <w:sz w:val="14"/>
              </w:rPr>
            </w:pPr>
          </w:p>
        </w:tc>
        <w:tc>
          <w:tcPr>
            <w:tcW w:w="1789" w:type="dxa"/>
          </w:tcPr>
          <w:p>
            <w:pPr>
              <w:pStyle w:val="TableParagraph"/>
              <w:spacing w:before="2"/>
              <w:ind w:left="59"/>
              <w:rPr>
                <w:b/>
                <w:sz w:val="13"/>
              </w:rPr>
            </w:pPr>
            <w:r>
              <w:rPr>
                <w:b/>
                <w:w w:val="105"/>
                <w:sz w:val="13"/>
              </w:rPr>
              <w:t>II. Exceso De Financiación</w:t>
            </w:r>
          </w:p>
          <w:p>
            <w:pPr>
              <w:pStyle w:val="TableParagraph"/>
              <w:spacing w:line="139" w:lineRule="exact" w:before="6"/>
              <w:ind w:left="59"/>
              <w:rPr>
                <w:b/>
                <w:sz w:val="13"/>
              </w:rPr>
            </w:pPr>
            <w:r>
              <w:rPr>
                <w:b/>
                <w:w w:val="105"/>
                <w:sz w:val="13"/>
              </w:rPr>
              <w:t>Afectada</w:t>
            </w:r>
          </w:p>
        </w:tc>
        <w:tc>
          <w:tcPr>
            <w:tcW w:w="1069" w:type="dxa"/>
          </w:tcPr>
          <w:p>
            <w:pPr>
              <w:pStyle w:val="TableParagraph"/>
              <w:rPr>
                <w:rFonts w:ascii="Times New Roman"/>
                <w:sz w:val="14"/>
              </w:rPr>
            </w:pPr>
          </w:p>
        </w:tc>
        <w:tc>
          <w:tcPr>
            <w:tcW w:w="1076" w:type="dxa"/>
          </w:tcPr>
          <w:p>
            <w:pPr>
              <w:pStyle w:val="TableParagraph"/>
              <w:spacing w:before="85"/>
              <w:ind w:right="43"/>
              <w:jc w:val="right"/>
              <w:rPr>
                <w:sz w:val="13"/>
              </w:rPr>
            </w:pPr>
            <w:r>
              <w:rPr>
                <w:sz w:val="13"/>
              </w:rPr>
              <w:t>964.701.045,74</w:t>
            </w:r>
          </w:p>
        </w:tc>
        <w:tc>
          <w:tcPr>
            <w:tcW w:w="1071" w:type="dxa"/>
          </w:tcPr>
          <w:p>
            <w:pPr>
              <w:pStyle w:val="TableParagraph"/>
              <w:rPr>
                <w:rFonts w:ascii="Times New Roman"/>
                <w:sz w:val="14"/>
              </w:rPr>
            </w:pPr>
          </w:p>
        </w:tc>
        <w:tc>
          <w:tcPr>
            <w:tcW w:w="1067" w:type="dxa"/>
          </w:tcPr>
          <w:p>
            <w:pPr>
              <w:pStyle w:val="TableParagraph"/>
              <w:rPr>
                <w:rFonts w:ascii="Times New Roman"/>
                <w:sz w:val="14"/>
              </w:rPr>
            </w:pPr>
          </w:p>
        </w:tc>
      </w:tr>
      <w:tr>
        <w:trPr>
          <w:trHeight w:val="326" w:hRule="atLeast"/>
        </w:trPr>
        <w:tc>
          <w:tcPr>
            <w:tcW w:w="1068" w:type="dxa"/>
          </w:tcPr>
          <w:p>
            <w:pPr>
              <w:pStyle w:val="TableParagraph"/>
              <w:spacing w:before="2"/>
              <w:ind w:left="29" w:right="21"/>
              <w:jc w:val="center"/>
              <w:rPr>
                <w:sz w:val="13"/>
              </w:rPr>
            </w:pPr>
            <w:r>
              <w:rPr>
                <w:w w:val="105"/>
                <w:sz w:val="13"/>
              </w:rPr>
              <w:t>295,298,490,595,</w:t>
            </w:r>
          </w:p>
          <w:p>
            <w:pPr>
              <w:pStyle w:val="TableParagraph"/>
              <w:spacing w:line="139" w:lineRule="exact" w:before="6"/>
              <w:ind w:left="29" w:right="21"/>
              <w:jc w:val="center"/>
              <w:rPr>
                <w:sz w:val="13"/>
              </w:rPr>
            </w:pPr>
            <w:r>
              <w:rPr>
                <w:w w:val="105"/>
                <w:sz w:val="13"/>
              </w:rPr>
              <w:t>598</w:t>
            </w:r>
          </w:p>
        </w:tc>
        <w:tc>
          <w:tcPr>
            <w:tcW w:w="1789" w:type="dxa"/>
          </w:tcPr>
          <w:p>
            <w:pPr>
              <w:pStyle w:val="TableParagraph"/>
              <w:spacing w:before="2"/>
              <w:ind w:left="59"/>
              <w:rPr>
                <w:b/>
                <w:sz w:val="13"/>
              </w:rPr>
            </w:pPr>
            <w:r>
              <w:rPr>
                <w:b/>
                <w:w w:val="105"/>
                <w:sz w:val="13"/>
              </w:rPr>
              <w:t>III. Saldo De Dudoso Cobro</w:t>
            </w:r>
          </w:p>
        </w:tc>
        <w:tc>
          <w:tcPr>
            <w:tcW w:w="1069" w:type="dxa"/>
          </w:tcPr>
          <w:p>
            <w:pPr>
              <w:pStyle w:val="TableParagraph"/>
              <w:rPr>
                <w:rFonts w:ascii="Times New Roman"/>
                <w:sz w:val="14"/>
              </w:rPr>
            </w:pPr>
          </w:p>
        </w:tc>
        <w:tc>
          <w:tcPr>
            <w:tcW w:w="1076" w:type="dxa"/>
          </w:tcPr>
          <w:p>
            <w:pPr>
              <w:pStyle w:val="TableParagraph"/>
              <w:spacing w:before="85"/>
              <w:ind w:right="43"/>
              <w:jc w:val="right"/>
              <w:rPr>
                <w:sz w:val="13"/>
              </w:rPr>
            </w:pPr>
            <w:r>
              <w:rPr>
                <w:sz w:val="13"/>
              </w:rPr>
              <w:t>195.233.479,81</w:t>
            </w:r>
          </w:p>
        </w:tc>
        <w:tc>
          <w:tcPr>
            <w:tcW w:w="1071" w:type="dxa"/>
          </w:tcPr>
          <w:p>
            <w:pPr>
              <w:pStyle w:val="TableParagraph"/>
              <w:spacing w:before="85"/>
              <w:ind w:right="44"/>
              <w:jc w:val="right"/>
              <w:rPr>
                <w:sz w:val="13"/>
              </w:rPr>
            </w:pPr>
            <w:r>
              <w:rPr>
                <w:sz w:val="13"/>
              </w:rPr>
              <w:t>195.233.479,81</w:t>
            </w:r>
          </w:p>
        </w:tc>
        <w:tc>
          <w:tcPr>
            <w:tcW w:w="1067" w:type="dxa"/>
          </w:tcPr>
          <w:p>
            <w:pPr>
              <w:pStyle w:val="TableParagraph"/>
              <w:spacing w:before="85"/>
              <w:ind w:right="40"/>
              <w:jc w:val="right"/>
              <w:rPr>
                <w:sz w:val="13"/>
              </w:rPr>
            </w:pPr>
            <w:r>
              <w:rPr>
                <w:sz w:val="13"/>
              </w:rPr>
              <w:t>0,00</w:t>
            </w:r>
          </w:p>
        </w:tc>
      </w:tr>
      <w:tr>
        <w:trPr>
          <w:trHeight w:val="326" w:hRule="atLeast"/>
        </w:trPr>
        <w:tc>
          <w:tcPr>
            <w:tcW w:w="1068" w:type="dxa"/>
          </w:tcPr>
          <w:p>
            <w:pPr>
              <w:pStyle w:val="TableParagraph"/>
              <w:rPr>
                <w:rFonts w:ascii="Times New Roman"/>
                <w:sz w:val="14"/>
              </w:rPr>
            </w:pPr>
          </w:p>
        </w:tc>
        <w:tc>
          <w:tcPr>
            <w:tcW w:w="1789" w:type="dxa"/>
          </w:tcPr>
          <w:p>
            <w:pPr>
              <w:pStyle w:val="TableParagraph"/>
              <w:spacing w:before="2"/>
              <w:ind w:left="59"/>
              <w:rPr>
                <w:b/>
                <w:sz w:val="13"/>
              </w:rPr>
            </w:pPr>
            <w:r>
              <w:rPr>
                <w:b/>
                <w:w w:val="105"/>
                <w:sz w:val="13"/>
              </w:rPr>
              <w:t>IV. Remanente De Tesorería</w:t>
            </w:r>
          </w:p>
          <w:p>
            <w:pPr>
              <w:pStyle w:val="TableParagraph"/>
              <w:spacing w:line="139" w:lineRule="exact" w:before="6"/>
              <w:ind w:left="59"/>
              <w:rPr>
                <w:b/>
                <w:sz w:val="13"/>
              </w:rPr>
            </w:pPr>
            <w:r>
              <w:rPr>
                <w:b/>
                <w:w w:val="105"/>
                <w:sz w:val="13"/>
              </w:rPr>
              <w:t>No Afectado =(I-II-III)</w:t>
            </w:r>
          </w:p>
        </w:tc>
        <w:tc>
          <w:tcPr>
            <w:tcW w:w="1069" w:type="dxa"/>
          </w:tcPr>
          <w:p>
            <w:pPr>
              <w:pStyle w:val="TableParagraph"/>
              <w:rPr>
                <w:rFonts w:ascii="Times New Roman"/>
                <w:sz w:val="14"/>
              </w:rPr>
            </w:pPr>
          </w:p>
        </w:tc>
        <w:tc>
          <w:tcPr>
            <w:tcW w:w="1076" w:type="dxa"/>
          </w:tcPr>
          <w:p>
            <w:pPr>
              <w:pStyle w:val="TableParagraph"/>
              <w:spacing w:before="85"/>
              <w:ind w:right="43"/>
              <w:jc w:val="right"/>
              <w:rPr>
                <w:b/>
                <w:sz w:val="13"/>
              </w:rPr>
            </w:pPr>
            <w:r>
              <w:rPr>
                <w:b/>
                <w:w w:val="105"/>
                <w:sz w:val="13"/>
              </w:rPr>
              <w:t>-783.915.740,13</w:t>
            </w:r>
          </w:p>
        </w:tc>
        <w:tc>
          <w:tcPr>
            <w:tcW w:w="1071" w:type="dxa"/>
          </w:tcPr>
          <w:p>
            <w:pPr>
              <w:pStyle w:val="TableParagraph"/>
              <w:rPr>
                <w:rFonts w:ascii="Times New Roman"/>
                <w:sz w:val="14"/>
              </w:rPr>
            </w:pPr>
          </w:p>
        </w:tc>
        <w:tc>
          <w:tcPr>
            <w:tcW w:w="1067" w:type="dxa"/>
          </w:tcPr>
          <w:p>
            <w:pPr>
              <w:pStyle w:val="TableParagraph"/>
              <w:rPr>
                <w:rFonts w:ascii="Times New Roman"/>
                <w:sz w:val="14"/>
              </w:rPr>
            </w:pPr>
          </w:p>
        </w:tc>
      </w:tr>
      <w:tr>
        <w:trPr>
          <w:trHeight w:val="372" w:hRule="atLeast"/>
        </w:trPr>
        <w:tc>
          <w:tcPr>
            <w:tcW w:w="1068" w:type="dxa"/>
          </w:tcPr>
          <w:p>
            <w:pPr>
              <w:pStyle w:val="TableParagraph"/>
              <w:spacing w:before="109"/>
              <w:ind w:left="29" w:right="21"/>
              <w:jc w:val="center"/>
              <w:rPr>
                <w:sz w:val="13"/>
              </w:rPr>
            </w:pPr>
            <w:r>
              <w:rPr>
                <w:w w:val="105"/>
                <w:sz w:val="13"/>
              </w:rPr>
              <w:t>413</w:t>
            </w:r>
          </w:p>
        </w:tc>
        <w:tc>
          <w:tcPr>
            <w:tcW w:w="1789" w:type="dxa"/>
          </w:tcPr>
          <w:p>
            <w:pPr>
              <w:pStyle w:val="TableParagraph"/>
              <w:spacing w:before="109"/>
              <w:ind w:left="59"/>
              <w:rPr>
                <w:b/>
                <w:sz w:val="13"/>
              </w:rPr>
            </w:pPr>
            <w:r>
              <w:rPr>
                <w:b/>
                <w:w w:val="105"/>
                <w:sz w:val="13"/>
              </w:rPr>
              <w:t>V. Saldo De La Cuenta 413</w:t>
            </w:r>
          </w:p>
        </w:tc>
        <w:tc>
          <w:tcPr>
            <w:tcW w:w="1069" w:type="dxa"/>
          </w:tcPr>
          <w:p>
            <w:pPr>
              <w:pStyle w:val="TableParagraph"/>
              <w:rPr>
                <w:rFonts w:ascii="Times New Roman"/>
                <w:sz w:val="14"/>
              </w:rPr>
            </w:pPr>
          </w:p>
        </w:tc>
        <w:tc>
          <w:tcPr>
            <w:tcW w:w="1076" w:type="dxa"/>
          </w:tcPr>
          <w:p>
            <w:pPr>
              <w:pStyle w:val="TableParagraph"/>
              <w:spacing w:before="109"/>
              <w:ind w:right="43"/>
              <w:jc w:val="right"/>
              <w:rPr>
                <w:sz w:val="13"/>
              </w:rPr>
            </w:pPr>
            <w:r>
              <w:rPr>
                <w:sz w:val="13"/>
              </w:rPr>
              <w:t>163.070.067,35</w:t>
            </w:r>
          </w:p>
        </w:tc>
        <w:tc>
          <w:tcPr>
            <w:tcW w:w="1071" w:type="dxa"/>
          </w:tcPr>
          <w:p>
            <w:pPr>
              <w:pStyle w:val="TableParagraph"/>
              <w:spacing w:before="109"/>
              <w:ind w:right="44"/>
              <w:jc w:val="right"/>
              <w:rPr>
                <w:sz w:val="13"/>
              </w:rPr>
            </w:pPr>
            <w:r>
              <w:rPr>
                <w:sz w:val="13"/>
              </w:rPr>
              <w:t>163.070.067,35</w:t>
            </w:r>
          </w:p>
        </w:tc>
        <w:tc>
          <w:tcPr>
            <w:tcW w:w="1067" w:type="dxa"/>
          </w:tcPr>
          <w:p>
            <w:pPr>
              <w:pStyle w:val="TableParagraph"/>
              <w:spacing w:before="109"/>
              <w:ind w:right="40"/>
              <w:jc w:val="right"/>
              <w:rPr>
                <w:sz w:val="13"/>
              </w:rPr>
            </w:pPr>
            <w:r>
              <w:rPr>
                <w:sz w:val="13"/>
              </w:rPr>
              <w:t>0,00</w:t>
            </w:r>
          </w:p>
        </w:tc>
      </w:tr>
      <w:tr>
        <w:trPr>
          <w:trHeight w:val="326" w:hRule="atLeast"/>
        </w:trPr>
        <w:tc>
          <w:tcPr>
            <w:tcW w:w="1068" w:type="dxa"/>
          </w:tcPr>
          <w:p>
            <w:pPr>
              <w:pStyle w:val="TableParagraph"/>
              <w:spacing w:before="85"/>
              <w:ind w:left="29" w:right="21"/>
              <w:jc w:val="center"/>
              <w:rPr>
                <w:sz w:val="13"/>
              </w:rPr>
            </w:pPr>
            <w:r>
              <w:rPr>
                <w:w w:val="105"/>
                <w:sz w:val="13"/>
              </w:rPr>
              <w:t>418</w:t>
            </w:r>
          </w:p>
        </w:tc>
        <w:tc>
          <w:tcPr>
            <w:tcW w:w="1789" w:type="dxa"/>
          </w:tcPr>
          <w:p>
            <w:pPr>
              <w:pStyle w:val="TableParagraph"/>
              <w:spacing w:before="4"/>
              <w:ind w:left="59"/>
              <w:rPr>
                <w:b/>
                <w:sz w:val="13"/>
              </w:rPr>
            </w:pPr>
            <w:r>
              <w:rPr>
                <w:b/>
                <w:w w:val="105"/>
                <w:sz w:val="13"/>
              </w:rPr>
              <w:t>VI. Por Devoluciones De</w:t>
            </w:r>
          </w:p>
          <w:p>
            <w:pPr>
              <w:pStyle w:val="TableParagraph"/>
              <w:spacing w:line="139" w:lineRule="exact" w:before="4"/>
              <w:ind w:left="59"/>
              <w:rPr>
                <w:b/>
                <w:sz w:val="13"/>
              </w:rPr>
            </w:pPr>
            <w:r>
              <w:rPr>
                <w:b/>
                <w:w w:val="105"/>
                <w:sz w:val="13"/>
              </w:rPr>
              <w:t>Ingresos</w:t>
            </w:r>
          </w:p>
        </w:tc>
        <w:tc>
          <w:tcPr>
            <w:tcW w:w="1069" w:type="dxa"/>
          </w:tcPr>
          <w:p>
            <w:pPr>
              <w:pStyle w:val="TableParagraph"/>
              <w:rPr>
                <w:rFonts w:ascii="Times New Roman"/>
                <w:sz w:val="14"/>
              </w:rPr>
            </w:pPr>
          </w:p>
        </w:tc>
        <w:tc>
          <w:tcPr>
            <w:tcW w:w="1076" w:type="dxa"/>
          </w:tcPr>
          <w:p>
            <w:pPr>
              <w:pStyle w:val="TableParagraph"/>
              <w:spacing w:before="85"/>
              <w:ind w:right="43"/>
              <w:jc w:val="right"/>
              <w:rPr>
                <w:sz w:val="13"/>
              </w:rPr>
            </w:pPr>
            <w:r>
              <w:rPr>
                <w:w w:val="105"/>
                <w:sz w:val="13"/>
              </w:rPr>
              <w:t>3.254.412,79</w:t>
            </w:r>
          </w:p>
        </w:tc>
        <w:tc>
          <w:tcPr>
            <w:tcW w:w="1071" w:type="dxa"/>
          </w:tcPr>
          <w:p>
            <w:pPr>
              <w:pStyle w:val="TableParagraph"/>
              <w:rPr>
                <w:rFonts w:ascii="Times New Roman"/>
                <w:sz w:val="14"/>
              </w:rPr>
            </w:pPr>
          </w:p>
        </w:tc>
        <w:tc>
          <w:tcPr>
            <w:tcW w:w="1067" w:type="dxa"/>
          </w:tcPr>
          <w:p>
            <w:pPr>
              <w:pStyle w:val="TableParagraph"/>
              <w:rPr>
                <w:rFonts w:ascii="Times New Roman"/>
                <w:sz w:val="14"/>
              </w:rPr>
            </w:pPr>
          </w:p>
        </w:tc>
      </w:tr>
      <w:tr>
        <w:trPr>
          <w:trHeight w:val="492" w:hRule="atLeast"/>
        </w:trPr>
        <w:tc>
          <w:tcPr>
            <w:tcW w:w="1068" w:type="dxa"/>
          </w:tcPr>
          <w:p>
            <w:pPr>
              <w:pStyle w:val="TableParagraph"/>
              <w:rPr>
                <w:rFonts w:ascii="Times New Roman"/>
                <w:sz w:val="14"/>
              </w:rPr>
            </w:pPr>
          </w:p>
        </w:tc>
        <w:tc>
          <w:tcPr>
            <w:tcW w:w="1789" w:type="dxa"/>
          </w:tcPr>
          <w:p>
            <w:pPr>
              <w:pStyle w:val="TableParagraph"/>
              <w:spacing w:line="247" w:lineRule="auto" w:before="4"/>
              <w:ind w:left="59"/>
              <w:rPr>
                <w:b/>
                <w:sz w:val="13"/>
              </w:rPr>
            </w:pPr>
            <w:r>
              <w:rPr>
                <w:b/>
                <w:w w:val="105"/>
                <w:sz w:val="13"/>
              </w:rPr>
              <w:t>VII. Remanente De Tesorería Teórico O Libre Disposición</w:t>
            </w:r>
          </w:p>
          <w:p>
            <w:pPr>
              <w:pStyle w:val="TableParagraph"/>
              <w:spacing w:line="141" w:lineRule="exact"/>
              <w:ind w:left="59"/>
              <w:rPr>
                <w:b/>
                <w:sz w:val="13"/>
              </w:rPr>
            </w:pPr>
            <w:r>
              <w:rPr>
                <w:b/>
                <w:w w:val="105"/>
                <w:sz w:val="13"/>
              </w:rPr>
              <w:t>(IV-V-VI)</w:t>
            </w:r>
          </w:p>
        </w:tc>
        <w:tc>
          <w:tcPr>
            <w:tcW w:w="1069" w:type="dxa"/>
          </w:tcPr>
          <w:p>
            <w:pPr>
              <w:pStyle w:val="TableParagraph"/>
              <w:rPr>
                <w:rFonts w:ascii="Times New Roman"/>
                <w:sz w:val="14"/>
              </w:rPr>
            </w:pPr>
          </w:p>
        </w:tc>
        <w:tc>
          <w:tcPr>
            <w:tcW w:w="1076" w:type="dxa"/>
          </w:tcPr>
          <w:p>
            <w:pPr>
              <w:pStyle w:val="TableParagraph"/>
              <w:spacing w:before="8"/>
              <w:rPr>
                <w:b/>
                <w:sz w:val="13"/>
              </w:rPr>
            </w:pPr>
          </w:p>
          <w:p>
            <w:pPr>
              <w:pStyle w:val="TableParagraph"/>
              <w:ind w:right="43"/>
              <w:jc w:val="right"/>
              <w:rPr>
                <w:b/>
                <w:sz w:val="13"/>
              </w:rPr>
            </w:pPr>
            <w:r>
              <w:rPr>
                <w:b/>
                <w:w w:val="105"/>
                <w:sz w:val="13"/>
              </w:rPr>
              <w:t>-950.240.220,27</w:t>
            </w:r>
          </w:p>
        </w:tc>
        <w:tc>
          <w:tcPr>
            <w:tcW w:w="1071" w:type="dxa"/>
          </w:tcPr>
          <w:p>
            <w:pPr>
              <w:pStyle w:val="TableParagraph"/>
              <w:rPr>
                <w:rFonts w:ascii="Times New Roman"/>
                <w:sz w:val="14"/>
              </w:rPr>
            </w:pPr>
          </w:p>
        </w:tc>
        <w:tc>
          <w:tcPr>
            <w:tcW w:w="1067" w:type="dxa"/>
          </w:tcPr>
          <w:p>
            <w:pPr>
              <w:pStyle w:val="TableParagraph"/>
              <w:rPr>
                <w:rFonts w:ascii="Times New Roman"/>
                <w:sz w:val="14"/>
              </w:rPr>
            </w:pPr>
          </w:p>
        </w:tc>
      </w:tr>
    </w:tbl>
    <w:p>
      <w:pPr>
        <w:pStyle w:val="BodyText"/>
        <w:spacing w:before="7"/>
        <w:rPr>
          <w:b/>
          <w:sz w:val="11"/>
        </w:rPr>
      </w:pPr>
    </w:p>
    <w:p>
      <w:pPr>
        <w:pStyle w:val="BodyText"/>
        <w:spacing w:line="242" w:lineRule="auto" w:before="61"/>
        <w:ind w:left="2096" w:right="1138" w:firstLine="604"/>
        <w:jc w:val="both"/>
      </w:pPr>
      <w:r>
        <w:rPr/>
        <w:t>Se han identificado las cuentas del balance (deudoras o acreedoras) que no forman</w:t>
      </w:r>
      <w:r>
        <w:rPr>
          <w:spacing w:val="-8"/>
        </w:rPr>
        <w:t> </w:t>
      </w:r>
      <w:r>
        <w:rPr/>
        <w:t>parte</w:t>
      </w:r>
      <w:r>
        <w:rPr>
          <w:spacing w:val="-7"/>
        </w:rPr>
        <w:t> </w:t>
      </w:r>
      <w:r>
        <w:rPr/>
        <w:t>del</w:t>
      </w:r>
      <w:r>
        <w:rPr>
          <w:spacing w:val="-5"/>
        </w:rPr>
        <w:t> </w:t>
      </w:r>
      <w:r>
        <w:rPr/>
        <w:t>cálculo</w:t>
      </w:r>
      <w:r>
        <w:rPr>
          <w:spacing w:val="-7"/>
        </w:rPr>
        <w:t> </w:t>
      </w:r>
      <w:r>
        <w:rPr/>
        <w:t>del</w:t>
      </w:r>
      <w:r>
        <w:rPr>
          <w:spacing w:val="-5"/>
        </w:rPr>
        <w:t> </w:t>
      </w:r>
      <w:r>
        <w:rPr/>
        <w:t>Remanente</w:t>
      </w:r>
      <w:r>
        <w:rPr>
          <w:spacing w:val="-7"/>
        </w:rPr>
        <w:t> </w:t>
      </w:r>
      <w:r>
        <w:rPr/>
        <w:t>de</w:t>
      </w:r>
      <w:r>
        <w:rPr>
          <w:spacing w:val="-5"/>
        </w:rPr>
        <w:t> </w:t>
      </w:r>
      <w:r>
        <w:rPr/>
        <w:t>Tesorería.</w:t>
      </w:r>
      <w:r>
        <w:rPr>
          <w:spacing w:val="-5"/>
        </w:rPr>
        <w:t> </w:t>
      </w:r>
      <w:r>
        <w:rPr/>
        <w:t>Entre</w:t>
      </w:r>
      <w:r>
        <w:rPr>
          <w:spacing w:val="-7"/>
        </w:rPr>
        <w:t> </w:t>
      </w:r>
      <w:r>
        <w:rPr/>
        <w:t>ellas</w:t>
      </w:r>
      <w:r>
        <w:rPr>
          <w:spacing w:val="-8"/>
        </w:rPr>
        <w:t> </w:t>
      </w:r>
      <w:r>
        <w:rPr/>
        <w:t>destaca</w:t>
      </w:r>
      <w:r>
        <w:rPr>
          <w:spacing w:val="-6"/>
        </w:rPr>
        <w:t> </w:t>
      </w:r>
      <w:r>
        <w:rPr/>
        <w:t>la</w:t>
      </w:r>
      <w:r>
        <w:rPr>
          <w:spacing w:val="-5"/>
        </w:rPr>
        <w:t> </w:t>
      </w:r>
      <w:r>
        <w:rPr/>
        <w:t>4130000001 “Acreedores por operaciones devengadas Documentos Probatorios Equivalentes (Excesos Financiación afectada)”, con un saldo de -26,8 millones de €, que no forma parte</w:t>
      </w:r>
      <w:r>
        <w:rPr>
          <w:spacing w:val="-10"/>
        </w:rPr>
        <w:t> </w:t>
      </w:r>
      <w:r>
        <w:rPr/>
        <w:t>del</w:t>
      </w:r>
      <w:r>
        <w:rPr>
          <w:spacing w:val="-7"/>
        </w:rPr>
        <w:t> </w:t>
      </w:r>
      <w:r>
        <w:rPr/>
        <w:t>cálculo</w:t>
      </w:r>
      <w:r>
        <w:rPr>
          <w:spacing w:val="-7"/>
        </w:rPr>
        <w:t> </w:t>
      </w:r>
      <w:r>
        <w:rPr/>
        <w:t>del</w:t>
      </w:r>
      <w:r>
        <w:rPr>
          <w:spacing w:val="-7"/>
        </w:rPr>
        <w:t> </w:t>
      </w:r>
      <w:r>
        <w:rPr/>
        <w:t>RT,</w:t>
      </w:r>
      <w:r>
        <w:rPr>
          <w:spacing w:val="-7"/>
        </w:rPr>
        <w:t> </w:t>
      </w:r>
      <w:r>
        <w:rPr/>
        <w:t>pues</w:t>
      </w:r>
      <w:r>
        <w:rPr>
          <w:spacing w:val="-7"/>
        </w:rPr>
        <w:t> </w:t>
      </w:r>
      <w:r>
        <w:rPr/>
        <w:t>se</w:t>
      </w:r>
      <w:r>
        <w:rPr>
          <w:spacing w:val="-7"/>
        </w:rPr>
        <w:t> </w:t>
      </w:r>
      <w:r>
        <w:rPr/>
        <w:t>trata</w:t>
      </w:r>
      <w:r>
        <w:rPr>
          <w:spacing w:val="-9"/>
        </w:rPr>
        <w:t> </w:t>
      </w:r>
      <w:r>
        <w:rPr/>
        <w:t>de</w:t>
      </w:r>
      <w:r>
        <w:rPr>
          <w:spacing w:val="-7"/>
        </w:rPr>
        <w:t> </w:t>
      </w:r>
      <w:r>
        <w:rPr/>
        <w:t>una</w:t>
      </w:r>
      <w:r>
        <w:rPr>
          <w:spacing w:val="-7"/>
        </w:rPr>
        <w:t> </w:t>
      </w:r>
      <w:r>
        <w:rPr/>
        <w:t>cuenta</w:t>
      </w:r>
      <w:r>
        <w:rPr>
          <w:spacing w:val="-7"/>
        </w:rPr>
        <w:t> </w:t>
      </w:r>
      <w:r>
        <w:rPr/>
        <w:t>creada</w:t>
      </w:r>
      <w:r>
        <w:rPr>
          <w:spacing w:val="-7"/>
        </w:rPr>
        <w:t> </w:t>
      </w:r>
      <w:r>
        <w:rPr/>
        <w:t>para</w:t>
      </w:r>
      <w:r>
        <w:rPr>
          <w:spacing w:val="-7"/>
        </w:rPr>
        <w:t> </w:t>
      </w:r>
      <w:r>
        <w:rPr/>
        <w:t>reflejar</w:t>
      </w:r>
      <w:r>
        <w:rPr>
          <w:spacing w:val="-7"/>
        </w:rPr>
        <w:t> </w:t>
      </w:r>
      <w:r>
        <w:rPr/>
        <w:t>las</w:t>
      </w:r>
      <w:r>
        <w:rPr>
          <w:spacing w:val="-9"/>
        </w:rPr>
        <w:t> </w:t>
      </w:r>
      <w:r>
        <w:rPr/>
        <w:t>desviaciones positivas de financiación afectada, que no se computa en el cálculo del Remanente de Tesorería de Libre Disposición, a fin de evitar una duplicidad en el ajuste, tal como se establece por la Resolución nº 169, de 8 de marzo de 2022, de la Intervención General, por la que se aprueba la instrucción de contabilidad por la que se establece el criterio para el cálculo de los gastos con financiación afectada, a los efectos de determinar el Resultado Presupuestario del ejercicio y el Remanente de</w:t>
      </w:r>
      <w:r>
        <w:rPr>
          <w:spacing w:val="3"/>
        </w:rPr>
        <w:t> </w:t>
      </w:r>
      <w:r>
        <w:rPr/>
        <w:t>Tesorería.</w:t>
      </w:r>
    </w:p>
    <w:p>
      <w:pPr>
        <w:pStyle w:val="BodyText"/>
        <w:rPr>
          <w:sz w:val="16"/>
        </w:rPr>
      </w:pPr>
    </w:p>
    <w:p>
      <w:pPr>
        <w:pStyle w:val="BodyText"/>
        <w:ind w:left="2096" w:right="1141" w:firstLine="604"/>
        <w:jc w:val="both"/>
      </w:pPr>
      <w:r>
        <w:rPr/>
        <w:t>En el cuadro siguiente se muestra la evolución de este indicador en los últimos cuatro años.</w:t>
      </w:r>
    </w:p>
    <w:p>
      <w:pPr>
        <w:pStyle w:val="BodyText"/>
      </w:pPr>
    </w:p>
    <w:p>
      <w:pPr>
        <w:pStyle w:val="BodyText"/>
        <w:spacing w:before="1"/>
      </w:pPr>
    </w:p>
    <w:p>
      <w:pPr>
        <w:pStyle w:val="BodyText"/>
        <w:spacing w:before="61"/>
        <w:ind w:left="7897"/>
        <w:jc w:val="center"/>
      </w:pPr>
      <w:r>
        <w:rPr/>
        <w:t>36</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83" name="image5.png"/>
                  <wp:cNvGraphicFramePr>
                    <a:graphicFrameLocks noChangeAspect="1"/>
                  </wp:cNvGraphicFramePr>
                  <a:graphic>
                    <a:graphicData uri="http://schemas.openxmlformats.org/drawingml/2006/picture">
                      <pic:pic>
                        <pic:nvPicPr>
                          <pic:cNvPr id="8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38/247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rPr>
          <w:b/>
        </w:rPr>
      </w:pPr>
    </w:p>
    <w:p>
      <w:pPr>
        <w:pStyle w:val="BodyText"/>
        <w:spacing w:before="10"/>
        <w:rPr>
          <w:b/>
          <w:sz w:val="25"/>
        </w:rPr>
      </w:pPr>
    </w:p>
    <w:p>
      <w:pPr>
        <w:spacing w:before="61"/>
        <w:ind w:left="2735" w:right="0" w:firstLine="0"/>
        <w:jc w:val="left"/>
        <w:rPr>
          <w:b/>
          <w:sz w:val="20"/>
        </w:rPr>
      </w:pPr>
      <w:r>
        <w:rPr/>
        <w:pict>
          <v:group style="position:absolute;margin-left:210.811554pt;margin-top:94.906494pt;width:280.150pt;height:127.95pt;mso-position-horizontal-relative:page;mso-position-vertical-relative:paragraph;z-index:-323082240" coordorigin="4216,1898" coordsize="5603,2559">
            <v:shape style="position:absolute;left:4222;top:2173;width:5590;height:2149" coordorigin="4223,2173" coordsize="5590,2149" path="m9332,4321l9812,4321m4223,4321l8895,4321m9332,4051l9812,4051m4223,4051l8895,4051m9332,3783l9812,3783m4223,3783l8895,3783m9332,3515l9812,3515m4223,3515l8895,3515m9332,3247l9812,3247m4223,3247l8895,3247m7936,2977l8895,2977m4223,2977l7497,2977m7936,2709l8895,2709m4223,2709l7497,2709m7936,2441l8895,2441m6537,2441l7497,2441m4223,2441l6100,2441m6537,2173l7497,2173m4223,2173l6100,2173e" filled="false" stroked="true" strokeweight=".629697pt" strokecolor="#d9d9d9">
              <v:path arrowok="t"/>
              <v:stroke dashstyle="solid"/>
            </v:shape>
            <v:rect style="position:absolute;left:6100;top:1904;width:438;height:701" filled="true" fillcolor="#ec7c30" stroked="false">
              <v:fill type="solid"/>
            </v:rect>
            <v:line style="position:absolute" from="7936,2173" to="8895,2173" stroked="true" strokeweight=".629697pt" strokecolor="#d9d9d9">
              <v:stroke dashstyle="solid"/>
            </v:line>
            <v:rect style="position:absolute;left:7496;top:1904;width:440;height:1339" filled="true" fillcolor="#ec7c30" stroked="false">
              <v:fill type="solid"/>
            </v:rect>
            <v:shape style="position:absolute;left:9332;top:2173;width:480;height:804" coordorigin="9332,2173" coordsize="480,804" path="m9332,2977l9812,2977m9332,2709l9812,2709m9332,2441l9812,2441m9332,2173l9812,2173e" filled="false" stroked="true" strokeweight=".629697pt" strokecolor="#d9d9d9">
              <v:path arrowok="t"/>
              <v:stroke dashstyle="solid"/>
            </v:shape>
            <v:rect style="position:absolute;left:8895;top:1904;width:438;height:2553" filled="true" fillcolor="#ec7c30" stroked="false">
              <v:fill type="solid"/>
            </v:rect>
            <v:line style="position:absolute" from="4702,1933" to="5141,1933" stroked="true" strokeweight="2.87142pt" strokecolor="#ec7c30">
              <v:stroke dashstyle="solid"/>
            </v:line>
            <v:shape style="position:absolute;left:3895;top:2667;width:6658;height:58" coordorigin="3896,2668" coordsize="6658,58" path="m4223,1904l9812,1904m4223,1904l4223,1952m5621,1904l5621,1952m7017,1904l7017,1952m8415,1904l8415,1952m9812,1904l9812,1952e" filled="false" stroked="true" strokeweight=".629697pt" strokecolor="#d9d9d9">
              <v:path arrowok="t"/>
              <v:stroke dashstyle="solid"/>
            </v:shape>
            <w10:wrap type="none"/>
          </v:group>
        </w:pict>
      </w:r>
      <w:r>
        <w:rPr>
          <w:b/>
          <w:sz w:val="20"/>
        </w:rPr>
        <w:t>Evolución del remanente de tesorería de libre disposición de la APCAC</w:t>
      </w:r>
    </w:p>
    <w:p>
      <w:pPr>
        <w:pStyle w:val="BodyText"/>
        <w:spacing w:before="7"/>
        <w:rPr>
          <w:b/>
          <w:sz w:val="16"/>
        </w:rPr>
      </w:pPr>
    </w:p>
    <w:tbl>
      <w:tblPr>
        <w:tblW w:w="0" w:type="auto"/>
        <w:jc w:val="left"/>
        <w:tblInd w:w="2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8"/>
        <w:gridCol w:w="975"/>
        <w:gridCol w:w="1051"/>
        <w:gridCol w:w="1052"/>
        <w:gridCol w:w="1051"/>
        <w:gridCol w:w="749"/>
      </w:tblGrid>
      <w:tr>
        <w:trPr>
          <w:trHeight w:val="376" w:hRule="atLeast"/>
        </w:trPr>
        <w:tc>
          <w:tcPr>
            <w:tcW w:w="2138" w:type="dxa"/>
            <w:shd w:val="clear" w:color="auto" w:fill="DEEAF6"/>
          </w:tcPr>
          <w:p>
            <w:pPr>
              <w:pStyle w:val="TableParagraph"/>
              <w:rPr>
                <w:rFonts w:ascii="Times New Roman"/>
                <w:sz w:val="14"/>
              </w:rPr>
            </w:pPr>
          </w:p>
        </w:tc>
        <w:tc>
          <w:tcPr>
            <w:tcW w:w="975" w:type="dxa"/>
            <w:shd w:val="clear" w:color="auto" w:fill="DEEAF6"/>
          </w:tcPr>
          <w:p>
            <w:pPr>
              <w:pStyle w:val="TableParagraph"/>
              <w:spacing w:before="109"/>
              <w:ind w:left="34" w:right="21"/>
              <w:jc w:val="center"/>
              <w:rPr>
                <w:b/>
                <w:sz w:val="13"/>
              </w:rPr>
            </w:pPr>
            <w:r>
              <w:rPr>
                <w:b/>
                <w:w w:val="105"/>
                <w:sz w:val="13"/>
              </w:rPr>
              <w:t>2019</w:t>
            </w:r>
          </w:p>
        </w:tc>
        <w:tc>
          <w:tcPr>
            <w:tcW w:w="1051" w:type="dxa"/>
            <w:shd w:val="clear" w:color="auto" w:fill="DEEAF6"/>
          </w:tcPr>
          <w:p>
            <w:pPr>
              <w:pStyle w:val="TableParagraph"/>
              <w:spacing w:before="109"/>
              <w:ind w:left="29" w:right="18"/>
              <w:jc w:val="center"/>
              <w:rPr>
                <w:b/>
                <w:sz w:val="13"/>
              </w:rPr>
            </w:pPr>
            <w:r>
              <w:rPr>
                <w:b/>
                <w:w w:val="105"/>
                <w:sz w:val="13"/>
              </w:rPr>
              <w:t>2020</w:t>
            </w:r>
          </w:p>
        </w:tc>
        <w:tc>
          <w:tcPr>
            <w:tcW w:w="1052" w:type="dxa"/>
            <w:shd w:val="clear" w:color="auto" w:fill="DEEAF6"/>
          </w:tcPr>
          <w:p>
            <w:pPr>
              <w:pStyle w:val="TableParagraph"/>
              <w:spacing w:before="109"/>
              <w:ind w:left="30" w:right="19"/>
              <w:jc w:val="center"/>
              <w:rPr>
                <w:b/>
                <w:sz w:val="13"/>
              </w:rPr>
            </w:pPr>
            <w:r>
              <w:rPr>
                <w:b/>
                <w:w w:val="105"/>
                <w:sz w:val="13"/>
              </w:rPr>
              <w:t>2021</w:t>
            </w:r>
          </w:p>
        </w:tc>
        <w:tc>
          <w:tcPr>
            <w:tcW w:w="1051" w:type="dxa"/>
            <w:shd w:val="clear" w:color="auto" w:fill="DEEAF6"/>
          </w:tcPr>
          <w:p>
            <w:pPr>
              <w:pStyle w:val="TableParagraph"/>
              <w:spacing w:before="109"/>
              <w:ind w:left="31" w:right="18"/>
              <w:jc w:val="center"/>
              <w:rPr>
                <w:b/>
                <w:sz w:val="13"/>
              </w:rPr>
            </w:pPr>
            <w:r>
              <w:rPr>
                <w:b/>
                <w:w w:val="105"/>
                <w:sz w:val="13"/>
              </w:rPr>
              <w:t>2022</w:t>
            </w:r>
          </w:p>
        </w:tc>
        <w:tc>
          <w:tcPr>
            <w:tcW w:w="749" w:type="dxa"/>
            <w:shd w:val="clear" w:color="auto" w:fill="DEEAF6"/>
          </w:tcPr>
          <w:p>
            <w:pPr>
              <w:pStyle w:val="TableParagraph"/>
              <w:spacing w:line="247" w:lineRule="auto" w:before="28"/>
              <w:ind w:left="74" w:firstLine="38"/>
              <w:rPr>
                <w:b/>
                <w:sz w:val="13"/>
              </w:rPr>
            </w:pPr>
            <w:r>
              <w:rPr>
                <w:b/>
                <w:w w:val="105"/>
                <w:sz w:val="13"/>
              </w:rPr>
              <w:t>Variación </w:t>
            </w:r>
            <w:r>
              <w:rPr>
                <w:b/>
                <w:sz w:val="13"/>
              </w:rPr>
              <w:t>2019/2022</w:t>
            </w:r>
          </w:p>
        </w:tc>
      </w:tr>
      <w:tr>
        <w:trPr>
          <w:trHeight w:val="249" w:hRule="atLeast"/>
        </w:trPr>
        <w:tc>
          <w:tcPr>
            <w:tcW w:w="2138" w:type="dxa"/>
          </w:tcPr>
          <w:p>
            <w:pPr>
              <w:pStyle w:val="TableParagraph"/>
              <w:spacing w:before="46"/>
              <w:ind w:left="59"/>
              <w:rPr>
                <w:sz w:val="13"/>
              </w:rPr>
            </w:pPr>
            <w:r>
              <w:rPr>
                <w:w w:val="105"/>
                <w:sz w:val="13"/>
              </w:rPr>
              <w:t>Remanente de Tesorería Ajustado</w:t>
            </w:r>
          </w:p>
        </w:tc>
        <w:tc>
          <w:tcPr>
            <w:tcW w:w="975" w:type="dxa"/>
          </w:tcPr>
          <w:p>
            <w:pPr>
              <w:pStyle w:val="TableParagraph"/>
              <w:spacing w:before="46"/>
              <w:ind w:left="66" w:right="21"/>
              <w:jc w:val="center"/>
              <w:rPr>
                <w:sz w:val="13"/>
              </w:rPr>
            </w:pPr>
            <w:r>
              <w:rPr>
                <w:w w:val="105"/>
                <w:sz w:val="13"/>
              </w:rPr>
              <w:t>-21.554.621,51</w:t>
            </w:r>
          </w:p>
        </w:tc>
        <w:tc>
          <w:tcPr>
            <w:tcW w:w="1051" w:type="dxa"/>
          </w:tcPr>
          <w:p>
            <w:pPr>
              <w:pStyle w:val="TableParagraph"/>
              <w:spacing w:before="46"/>
              <w:ind w:left="75" w:right="18"/>
              <w:jc w:val="center"/>
              <w:rPr>
                <w:sz w:val="13"/>
              </w:rPr>
            </w:pPr>
            <w:r>
              <w:rPr>
                <w:w w:val="105"/>
                <w:sz w:val="13"/>
              </w:rPr>
              <w:t>-260.676.169,57</w:t>
            </w:r>
          </w:p>
        </w:tc>
        <w:tc>
          <w:tcPr>
            <w:tcW w:w="1052" w:type="dxa"/>
          </w:tcPr>
          <w:p>
            <w:pPr>
              <w:pStyle w:val="TableParagraph"/>
              <w:spacing w:before="46"/>
              <w:ind w:left="76" w:right="19"/>
              <w:jc w:val="center"/>
              <w:rPr>
                <w:sz w:val="13"/>
              </w:rPr>
            </w:pPr>
            <w:r>
              <w:rPr>
                <w:w w:val="105"/>
                <w:sz w:val="13"/>
              </w:rPr>
              <w:t>-498.816.925,46</w:t>
            </w:r>
          </w:p>
        </w:tc>
        <w:tc>
          <w:tcPr>
            <w:tcW w:w="1051" w:type="dxa"/>
          </w:tcPr>
          <w:p>
            <w:pPr>
              <w:pStyle w:val="TableParagraph"/>
              <w:spacing w:before="46"/>
              <w:ind w:left="76" w:right="17"/>
              <w:jc w:val="center"/>
              <w:rPr>
                <w:sz w:val="13"/>
              </w:rPr>
            </w:pPr>
            <w:r>
              <w:rPr>
                <w:w w:val="105"/>
                <w:sz w:val="13"/>
              </w:rPr>
              <w:t>-950.240.220,27</w:t>
            </w:r>
          </w:p>
        </w:tc>
        <w:tc>
          <w:tcPr>
            <w:tcW w:w="749" w:type="dxa"/>
          </w:tcPr>
          <w:p>
            <w:pPr>
              <w:pStyle w:val="TableParagraph"/>
              <w:spacing w:before="46"/>
              <w:ind w:left="155"/>
              <w:rPr>
                <w:sz w:val="13"/>
              </w:rPr>
            </w:pPr>
            <w:r>
              <w:rPr>
                <w:w w:val="105"/>
                <w:sz w:val="13"/>
              </w:rPr>
              <w:t>4308,52%</w:t>
            </w:r>
          </w:p>
        </w:tc>
      </w:tr>
    </w:tbl>
    <w:p>
      <w:pPr>
        <w:pStyle w:val="BodyText"/>
        <w:spacing w:before="12"/>
        <w:rPr>
          <w:b/>
          <w:sz w:val="15"/>
        </w:rPr>
      </w:pPr>
    </w:p>
    <w:tbl>
      <w:tblPr>
        <w:tblW w:w="0" w:type="auto"/>
        <w:jc w:val="left"/>
        <w:tblInd w:w="210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7141"/>
      </w:tblGrid>
      <w:tr>
        <w:trPr>
          <w:trHeight w:val="3395" w:hRule="atLeast"/>
        </w:trPr>
        <w:tc>
          <w:tcPr>
            <w:tcW w:w="7141" w:type="dxa"/>
          </w:tcPr>
          <w:p>
            <w:pPr>
              <w:pStyle w:val="TableParagraph"/>
              <w:rPr>
                <w:b/>
                <w:sz w:val="13"/>
              </w:rPr>
            </w:pPr>
          </w:p>
          <w:p>
            <w:pPr>
              <w:pStyle w:val="TableParagraph"/>
              <w:ind w:left="3"/>
              <w:jc w:val="center"/>
              <w:rPr>
                <w:b/>
                <w:sz w:val="16"/>
              </w:rPr>
            </w:pPr>
            <w:r>
              <w:rPr>
                <w:b/>
                <w:w w:val="105"/>
                <w:sz w:val="16"/>
              </w:rPr>
              <w:t>REMANENTE DE TESORERIA AJUSTADO</w:t>
            </w:r>
          </w:p>
          <w:p>
            <w:pPr>
              <w:pStyle w:val="TableParagraph"/>
              <w:spacing w:before="79"/>
              <w:ind w:right="5898"/>
              <w:jc w:val="right"/>
              <w:rPr>
                <w:sz w:val="15"/>
              </w:rPr>
            </w:pPr>
            <w:r>
              <w:rPr>
                <w:color w:val="585858"/>
                <w:sz w:val="15"/>
              </w:rPr>
              <w:t>0,00</w:t>
            </w:r>
          </w:p>
          <w:p>
            <w:pPr>
              <w:pStyle w:val="TableParagraph"/>
              <w:tabs>
                <w:tab w:pos="1911" w:val="left" w:leader="none"/>
                <w:tab w:pos="3309" w:val="left" w:leader="none"/>
                <w:tab w:pos="4706" w:val="left" w:leader="none"/>
                <w:tab w:pos="6104" w:val="left" w:leader="none"/>
              </w:tabs>
              <w:spacing w:before="14"/>
              <w:ind w:left="223"/>
              <w:rPr>
                <w:sz w:val="15"/>
              </w:rPr>
            </w:pPr>
            <w:r>
              <w:rPr>
                <w:color w:val="585858"/>
                <w:position w:val="-6"/>
                <w:sz w:val="15"/>
              </w:rPr>
              <w:t>-100.000.000,00</w:t>
              <w:tab/>
            </w:r>
            <w:r>
              <w:rPr>
                <w:color w:val="585858"/>
                <w:sz w:val="15"/>
              </w:rPr>
              <w:t>2019</w:t>
              <w:tab/>
              <w:t>2020</w:t>
              <w:tab/>
              <w:t>2021</w:t>
              <w:tab/>
              <w:t>2022</w:t>
            </w:r>
          </w:p>
          <w:p>
            <w:pPr>
              <w:pStyle w:val="TableParagraph"/>
              <w:spacing w:before="87"/>
              <w:ind w:right="5897"/>
              <w:jc w:val="right"/>
              <w:rPr>
                <w:sz w:val="15"/>
              </w:rPr>
            </w:pPr>
            <w:r>
              <w:rPr>
                <w:color w:val="585858"/>
                <w:spacing w:val="-1"/>
                <w:sz w:val="15"/>
              </w:rPr>
              <w:t>-200.000.000,00</w:t>
            </w:r>
          </w:p>
          <w:p>
            <w:pPr>
              <w:pStyle w:val="TableParagraph"/>
              <w:spacing w:before="85"/>
              <w:ind w:right="5897"/>
              <w:jc w:val="right"/>
              <w:rPr>
                <w:sz w:val="15"/>
              </w:rPr>
            </w:pPr>
            <w:r>
              <w:rPr>
                <w:color w:val="585858"/>
                <w:spacing w:val="-1"/>
                <w:sz w:val="15"/>
              </w:rPr>
              <w:t>-300.000.000,00</w:t>
            </w:r>
          </w:p>
          <w:p>
            <w:pPr>
              <w:pStyle w:val="TableParagraph"/>
              <w:spacing w:before="86"/>
              <w:ind w:right="5897"/>
              <w:jc w:val="right"/>
              <w:rPr>
                <w:sz w:val="15"/>
              </w:rPr>
            </w:pPr>
            <w:r>
              <w:rPr>
                <w:color w:val="585858"/>
                <w:spacing w:val="-1"/>
                <w:sz w:val="15"/>
              </w:rPr>
              <w:t>-400.000.000,00</w:t>
            </w:r>
          </w:p>
          <w:p>
            <w:pPr>
              <w:pStyle w:val="TableParagraph"/>
              <w:spacing w:before="85"/>
              <w:ind w:right="5897"/>
              <w:jc w:val="right"/>
              <w:rPr>
                <w:sz w:val="15"/>
              </w:rPr>
            </w:pPr>
            <w:r>
              <w:rPr>
                <w:color w:val="585858"/>
                <w:spacing w:val="-1"/>
                <w:sz w:val="15"/>
              </w:rPr>
              <w:t>-500.000.000,00</w:t>
            </w:r>
          </w:p>
          <w:p>
            <w:pPr>
              <w:pStyle w:val="TableParagraph"/>
              <w:spacing w:before="86"/>
              <w:ind w:right="5897"/>
              <w:jc w:val="right"/>
              <w:rPr>
                <w:sz w:val="15"/>
              </w:rPr>
            </w:pPr>
            <w:r>
              <w:rPr>
                <w:color w:val="585858"/>
                <w:spacing w:val="-1"/>
                <w:sz w:val="15"/>
              </w:rPr>
              <w:t>-600.000.000,00</w:t>
            </w:r>
          </w:p>
          <w:p>
            <w:pPr>
              <w:pStyle w:val="TableParagraph"/>
              <w:spacing w:before="85"/>
              <w:ind w:right="5897"/>
              <w:jc w:val="right"/>
              <w:rPr>
                <w:sz w:val="15"/>
              </w:rPr>
            </w:pPr>
            <w:r>
              <w:rPr>
                <w:color w:val="585858"/>
                <w:spacing w:val="-1"/>
                <w:sz w:val="15"/>
              </w:rPr>
              <w:t>-700.000.000,00</w:t>
            </w:r>
          </w:p>
          <w:p>
            <w:pPr>
              <w:pStyle w:val="TableParagraph"/>
              <w:spacing w:before="86"/>
              <w:ind w:right="5897"/>
              <w:jc w:val="right"/>
              <w:rPr>
                <w:sz w:val="15"/>
              </w:rPr>
            </w:pPr>
            <w:r>
              <w:rPr>
                <w:color w:val="585858"/>
                <w:spacing w:val="-1"/>
                <w:sz w:val="15"/>
              </w:rPr>
              <w:t>-800.000.000,00</w:t>
            </w:r>
          </w:p>
          <w:p>
            <w:pPr>
              <w:pStyle w:val="TableParagraph"/>
              <w:spacing w:before="85"/>
              <w:ind w:right="5897"/>
              <w:jc w:val="right"/>
              <w:rPr>
                <w:sz w:val="15"/>
              </w:rPr>
            </w:pPr>
            <w:r>
              <w:rPr>
                <w:color w:val="585858"/>
                <w:spacing w:val="-1"/>
                <w:sz w:val="15"/>
              </w:rPr>
              <w:t>-900.000.000,00</w:t>
            </w:r>
          </w:p>
          <w:p>
            <w:pPr>
              <w:pStyle w:val="TableParagraph"/>
              <w:spacing w:before="86"/>
              <w:ind w:right="5899"/>
              <w:jc w:val="right"/>
              <w:rPr>
                <w:sz w:val="15"/>
              </w:rPr>
            </w:pPr>
            <w:r>
              <w:rPr>
                <w:color w:val="585858"/>
                <w:spacing w:val="-1"/>
                <w:sz w:val="15"/>
              </w:rPr>
              <w:t>-1.000.000.000,00</w:t>
            </w:r>
          </w:p>
        </w:tc>
      </w:tr>
    </w:tbl>
    <w:p>
      <w:pPr>
        <w:pStyle w:val="BodyText"/>
        <w:spacing w:before="4"/>
        <w:rPr>
          <w:b/>
          <w:sz w:val="17"/>
        </w:rPr>
      </w:pPr>
    </w:p>
    <w:p>
      <w:pPr>
        <w:pStyle w:val="BodyText"/>
        <w:ind w:left="2096" w:right="1136" w:firstLine="604"/>
        <w:jc w:val="both"/>
      </w:pPr>
      <w:r>
        <w:rPr/>
        <w:pict>
          <v:line style="position:absolute;mso-position-horizontal-relative:page;mso-position-vertical-relative:paragraph;z-index:-323083264" from="211.126404pt,-20.158270pt" to="490.602934pt,-20.158270pt" stroked="true" strokeweight=".629697pt" strokecolor="#d9d9d9">
            <v:stroke dashstyle="solid"/>
            <w10:wrap type="none"/>
          </v:line>
        </w:pict>
      </w:r>
      <w:r>
        <w:rPr/>
        <w:t>En cuatro años, desde el ejercicio 2019 hasta el 2022, la APCAC ha pasado de un Remanente</w:t>
      </w:r>
      <w:r>
        <w:rPr>
          <w:spacing w:val="-11"/>
        </w:rPr>
        <w:t> </w:t>
      </w:r>
      <w:r>
        <w:rPr/>
        <w:t>de</w:t>
      </w:r>
      <w:r>
        <w:rPr>
          <w:spacing w:val="-9"/>
        </w:rPr>
        <w:t> </w:t>
      </w:r>
      <w:r>
        <w:rPr/>
        <w:t>Tesorería</w:t>
      </w:r>
      <w:r>
        <w:rPr>
          <w:spacing w:val="-11"/>
        </w:rPr>
        <w:t> </w:t>
      </w:r>
      <w:r>
        <w:rPr/>
        <w:t>de</w:t>
      </w:r>
      <w:r>
        <w:rPr>
          <w:spacing w:val="-8"/>
        </w:rPr>
        <w:t> </w:t>
      </w:r>
      <w:r>
        <w:rPr/>
        <w:t>21,5</w:t>
      </w:r>
      <w:r>
        <w:rPr>
          <w:spacing w:val="-9"/>
        </w:rPr>
        <w:t> </w:t>
      </w:r>
      <w:r>
        <w:rPr/>
        <w:t>millones</w:t>
      </w:r>
      <w:r>
        <w:rPr>
          <w:spacing w:val="-9"/>
        </w:rPr>
        <w:t> </w:t>
      </w:r>
      <w:r>
        <w:rPr/>
        <w:t>de</w:t>
      </w:r>
      <w:r>
        <w:rPr>
          <w:spacing w:val="-10"/>
        </w:rPr>
        <w:t> </w:t>
      </w:r>
      <w:r>
        <w:rPr/>
        <w:t>€</w:t>
      </w:r>
      <w:r>
        <w:rPr>
          <w:spacing w:val="-9"/>
        </w:rPr>
        <w:t> </w:t>
      </w:r>
      <w:r>
        <w:rPr/>
        <w:t>negativos</w:t>
      </w:r>
      <w:r>
        <w:rPr>
          <w:spacing w:val="-9"/>
        </w:rPr>
        <w:t> </w:t>
      </w:r>
      <w:r>
        <w:rPr/>
        <w:t>a</w:t>
      </w:r>
      <w:r>
        <w:rPr>
          <w:spacing w:val="-8"/>
        </w:rPr>
        <w:t> </w:t>
      </w:r>
      <w:r>
        <w:rPr/>
        <w:t>950,2</w:t>
      </w:r>
      <w:r>
        <w:rPr>
          <w:spacing w:val="-7"/>
        </w:rPr>
        <w:t> </w:t>
      </w:r>
      <w:r>
        <w:rPr/>
        <w:t>millones</w:t>
      </w:r>
      <w:r>
        <w:rPr>
          <w:spacing w:val="-10"/>
        </w:rPr>
        <w:t> </w:t>
      </w:r>
      <w:r>
        <w:rPr/>
        <w:t>de</w:t>
      </w:r>
      <w:r>
        <w:rPr>
          <w:spacing w:val="-9"/>
        </w:rPr>
        <w:t> </w:t>
      </w:r>
      <w:r>
        <w:rPr/>
        <w:t>€</w:t>
      </w:r>
      <w:r>
        <w:rPr>
          <w:spacing w:val="-9"/>
        </w:rPr>
        <w:t> </w:t>
      </w:r>
      <w:r>
        <w:rPr/>
        <w:t>negativos, multiplicando por 45 veces la cifra</w:t>
      </w:r>
      <w:r>
        <w:rPr>
          <w:spacing w:val="2"/>
        </w:rPr>
        <w:t> </w:t>
      </w:r>
      <w:r>
        <w:rPr/>
        <w:t>inicial.</w:t>
      </w:r>
    </w:p>
    <w:p>
      <w:pPr>
        <w:pStyle w:val="BodyText"/>
        <w:spacing w:before="11"/>
        <w:rPr>
          <w:sz w:val="16"/>
        </w:rPr>
      </w:pPr>
    </w:p>
    <w:p>
      <w:pPr>
        <w:pStyle w:val="BodyText"/>
        <w:spacing w:line="242" w:lineRule="auto" w:before="1"/>
        <w:ind w:left="2096" w:right="1138" w:firstLine="604"/>
        <w:jc w:val="both"/>
      </w:pPr>
      <w:r>
        <w:rPr/>
        <w:t>Además, se observa que el presupuesto de ingresos del año 2022 consigna una previsión de Remanente de Tesorería no afectado de 85 millones de €, cuando el Remanente del año anterior era de 498 millones de € negativos. Esta forma de presupuestar contraviene el principio de prudencia que se ha de respetar para asegurar una adecuada salud financiera.</w:t>
      </w:r>
    </w:p>
    <w:p>
      <w:pPr>
        <w:pStyle w:val="BodyText"/>
        <w:spacing w:before="4"/>
        <w:rPr>
          <w:sz w:val="16"/>
        </w:rPr>
      </w:pPr>
    </w:p>
    <w:p>
      <w:pPr>
        <w:pStyle w:val="Heading1"/>
        <w:numPr>
          <w:ilvl w:val="2"/>
          <w:numId w:val="10"/>
        </w:numPr>
        <w:tabs>
          <w:tab w:pos="2691" w:val="left" w:leader="none"/>
        </w:tabs>
        <w:spacing w:line="240" w:lineRule="auto" w:before="0" w:after="0"/>
        <w:ind w:left="2690" w:right="0" w:hanging="605"/>
        <w:jc w:val="left"/>
      </w:pPr>
      <w:r>
        <w:rPr>
          <w:color w:val="53A1B9"/>
        </w:rPr>
        <w:t>Ejecución de las políticas</w:t>
      </w:r>
      <w:r>
        <w:rPr>
          <w:color w:val="53A1B9"/>
          <w:spacing w:val="-1"/>
        </w:rPr>
        <w:t> </w:t>
      </w:r>
      <w:r>
        <w:rPr>
          <w:color w:val="53A1B9"/>
        </w:rPr>
        <w:t>públicas.</w:t>
      </w:r>
    </w:p>
    <w:p>
      <w:pPr>
        <w:pStyle w:val="BodyText"/>
        <w:spacing w:before="10"/>
        <w:rPr>
          <w:b/>
          <w:sz w:val="18"/>
        </w:rPr>
      </w:pPr>
    </w:p>
    <w:p>
      <w:pPr>
        <w:spacing w:before="0" w:after="32"/>
        <w:ind w:left="0" w:right="1112" w:firstLine="0"/>
        <w:jc w:val="right"/>
        <w:rPr>
          <w:b/>
          <w:sz w:val="13"/>
        </w:rPr>
      </w:pPr>
      <w:r>
        <w:rPr>
          <w:b/>
          <w:w w:val="105"/>
          <w:sz w:val="13"/>
        </w:rPr>
        <w:t>millones de €</w:t>
      </w:r>
    </w:p>
    <w:tbl>
      <w:tblPr>
        <w:tblW w:w="0" w:type="auto"/>
        <w:jc w:val="left"/>
        <w:tblInd w:w="2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7"/>
        <w:gridCol w:w="816"/>
        <w:gridCol w:w="724"/>
        <w:gridCol w:w="737"/>
        <w:gridCol w:w="656"/>
        <w:gridCol w:w="549"/>
        <w:gridCol w:w="950"/>
        <w:gridCol w:w="556"/>
      </w:tblGrid>
      <w:tr>
        <w:trPr>
          <w:trHeight w:val="491" w:hRule="atLeast"/>
        </w:trPr>
        <w:tc>
          <w:tcPr>
            <w:tcW w:w="5729" w:type="dxa"/>
            <w:gridSpan w:val="6"/>
            <w:tcBorders>
              <w:top w:val="single" w:sz="4" w:space="0" w:color="000000"/>
            </w:tcBorders>
            <w:shd w:val="clear" w:color="auto" w:fill="DEEAF6"/>
          </w:tcPr>
          <w:p>
            <w:pPr>
              <w:pStyle w:val="TableParagraph"/>
              <w:tabs>
                <w:tab w:pos="2355" w:val="left" w:leader="none"/>
                <w:tab w:pos="3089" w:val="left" w:leader="none"/>
                <w:tab w:pos="3144" w:val="left" w:leader="none"/>
                <w:tab w:pos="3764" w:val="left" w:leader="none"/>
                <w:tab w:pos="3827" w:val="left" w:leader="none"/>
                <w:tab w:pos="4516" w:val="left" w:leader="none"/>
                <w:tab w:pos="4605" w:val="left" w:leader="none"/>
                <w:tab w:pos="5264" w:val="left" w:leader="none"/>
              </w:tabs>
              <w:spacing w:line="163" w:lineRule="auto" w:before="99"/>
              <w:ind w:left="2398" w:right="134" w:hanging="1532"/>
              <w:rPr>
                <w:b/>
                <w:sz w:val="13"/>
              </w:rPr>
            </w:pPr>
            <w:r>
              <w:rPr>
                <w:b/>
                <w:w w:val="105"/>
                <w:position w:val="-7"/>
                <w:sz w:val="13"/>
              </w:rPr>
              <w:t>Políticas</w:t>
              <w:tab/>
            </w:r>
            <w:r>
              <w:rPr>
                <w:b/>
                <w:w w:val="105"/>
                <w:sz w:val="13"/>
              </w:rPr>
              <w:t>Crédito</w:t>
              <w:tab/>
              <w:tab/>
              <w:t>Mod.</w:t>
              <w:tab/>
              <w:tab/>
              <w:t>Crédito</w:t>
              <w:tab/>
              <w:tab/>
              <w:t>Oblig.</w:t>
              <w:tab/>
            </w:r>
            <w:r>
              <w:rPr>
                <w:b/>
                <w:spacing w:val="-5"/>
                <w:w w:val="105"/>
                <w:position w:val="-7"/>
                <w:sz w:val="13"/>
              </w:rPr>
              <w:t>Pagos </w:t>
            </w:r>
            <w:r>
              <w:rPr>
                <w:b/>
                <w:w w:val="105"/>
                <w:sz w:val="13"/>
              </w:rPr>
              <w:t>inicial</w:t>
              <w:tab/>
              <w:t>Crédito</w:t>
              <w:tab/>
              <w:t>definitivo</w:t>
              <w:tab/>
              <w:t>Reconoc.</w:t>
            </w:r>
          </w:p>
        </w:tc>
        <w:tc>
          <w:tcPr>
            <w:tcW w:w="1506" w:type="dxa"/>
            <w:gridSpan w:val="2"/>
            <w:tcBorders>
              <w:top w:val="single" w:sz="4" w:space="0" w:color="000000"/>
            </w:tcBorders>
            <w:shd w:val="clear" w:color="auto" w:fill="DEEAF6"/>
          </w:tcPr>
          <w:p>
            <w:pPr>
              <w:pStyle w:val="TableParagraph"/>
              <w:tabs>
                <w:tab w:pos="1113" w:val="left" w:leader="none"/>
              </w:tabs>
              <w:spacing w:line="163" w:lineRule="auto" w:before="16"/>
              <w:ind w:left="121"/>
              <w:rPr>
                <w:b/>
                <w:sz w:val="13"/>
              </w:rPr>
            </w:pPr>
            <w:r>
              <w:rPr>
                <w:b/>
                <w:w w:val="105"/>
                <w:sz w:val="13"/>
              </w:rPr>
              <w:t>Diferencia</w:t>
              <w:tab/>
            </w:r>
            <w:r>
              <w:rPr>
                <w:b/>
                <w:w w:val="105"/>
                <w:position w:val="-7"/>
                <w:sz w:val="13"/>
              </w:rPr>
              <w:t>%</w:t>
            </w:r>
          </w:p>
          <w:p>
            <w:pPr>
              <w:pStyle w:val="TableParagraph"/>
              <w:spacing w:line="160" w:lineRule="auto"/>
              <w:ind w:left="63"/>
              <w:rPr>
                <w:b/>
                <w:sz w:val="13"/>
              </w:rPr>
            </w:pPr>
            <w:r>
              <w:rPr>
                <w:b/>
                <w:w w:val="105"/>
                <w:sz w:val="13"/>
              </w:rPr>
              <w:t>OR y crédito </w:t>
            </w:r>
            <w:r>
              <w:rPr>
                <w:b/>
                <w:w w:val="105"/>
                <w:position w:val="-7"/>
                <w:sz w:val="13"/>
              </w:rPr>
              <w:t>OR/CDEF</w:t>
            </w:r>
          </w:p>
          <w:p>
            <w:pPr>
              <w:pStyle w:val="TableParagraph"/>
              <w:spacing w:line="102" w:lineRule="exact"/>
              <w:ind w:left="140"/>
              <w:rPr>
                <w:b/>
                <w:sz w:val="13"/>
              </w:rPr>
            </w:pPr>
            <w:r>
              <w:rPr>
                <w:b/>
                <w:w w:val="105"/>
                <w:sz w:val="13"/>
              </w:rPr>
              <w:t>definitivo</w:t>
            </w:r>
          </w:p>
        </w:tc>
      </w:tr>
      <w:tr>
        <w:trPr>
          <w:trHeight w:val="198" w:hRule="atLeast"/>
        </w:trPr>
        <w:tc>
          <w:tcPr>
            <w:tcW w:w="2247" w:type="dxa"/>
          </w:tcPr>
          <w:p>
            <w:pPr>
              <w:pStyle w:val="TableParagraph"/>
              <w:spacing w:before="1"/>
              <w:ind w:left="70"/>
              <w:rPr>
                <w:sz w:val="13"/>
              </w:rPr>
            </w:pPr>
            <w:r>
              <w:rPr>
                <w:w w:val="105"/>
                <w:sz w:val="13"/>
              </w:rPr>
              <w:t>Administración General</w:t>
            </w:r>
          </w:p>
        </w:tc>
        <w:tc>
          <w:tcPr>
            <w:tcW w:w="816" w:type="dxa"/>
          </w:tcPr>
          <w:p>
            <w:pPr>
              <w:pStyle w:val="TableParagraph"/>
              <w:spacing w:before="1"/>
              <w:ind w:right="181"/>
              <w:jc w:val="right"/>
              <w:rPr>
                <w:sz w:val="13"/>
              </w:rPr>
            </w:pPr>
            <w:r>
              <w:rPr>
                <w:sz w:val="13"/>
              </w:rPr>
              <w:t>403,53</w:t>
            </w:r>
          </w:p>
        </w:tc>
        <w:tc>
          <w:tcPr>
            <w:tcW w:w="724" w:type="dxa"/>
          </w:tcPr>
          <w:p>
            <w:pPr>
              <w:pStyle w:val="TableParagraph"/>
              <w:spacing w:before="1"/>
              <w:ind w:right="189"/>
              <w:jc w:val="right"/>
              <w:rPr>
                <w:sz w:val="13"/>
              </w:rPr>
            </w:pPr>
            <w:r>
              <w:rPr>
                <w:w w:val="105"/>
                <w:sz w:val="13"/>
              </w:rPr>
              <w:t>-14,13</w:t>
            </w:r>
          </w:p>
        </w:tc>
        <w:tc>
          <w:tcPr>
            <w:tcW w:w="737" w:type="dxa"/>
          </w:tcPr>
          <w:p>
            <w:pPr>
              <w:pStyle w:val="TableParagraph"/>
              <w:spacing w:before="1"/>
              <w:ind w:left="171" w:right="145"/>
              <w:jc w:val="center"/>
              <w:rPr>
                <w:sz w:val="13"/>
              </w:rPr>
            </w:pPr>
            <w:r>
              <w:rPr>
                <w:w w:val="105"/>
                <w:sz w:val="13"/>
              </w:rPr>
              <w:t>389,40</w:t>
            </w:r>
          </w:p>
        </w:tc>
        <w:tc>
          <w:tcPr>
            <w:tcW w:w="656" w:type="dxa"/>
          </w:tcPr>
          <w:p>
            <w:pPr>
              <w:pStyle w:val="TableParagraph"/>
              <w:spacing w:before="1"/>
              <w:ind w:right="107"/>
              <w:jc w:val="right"/>
              <w:rPr>
                <w:sz w:val="13"/>
              </w:rPr>
            </w:pPr>
            <w:r>
              <w:rPr>
                <w:sz w:val="13"/>
              </w:rPr>
              <w:t>334,77</w:t>
            </w:r>
          </w:p>
        </w:tc>
        <w:tc>
          <w:tcPr>
            <w:tcW w:w="549" w:type="dxa"/>
          </w:tcPr>
          <w:p>
            <w:pPr>
              <w:pStyle w:val="TableParagraph"/>
              <w:spacing w:before="1"/>
              <w:ind w:right="57"/>
              <w:jc w:val="right"/>
              <w:rPr>
                <w:sz w:val="13"/>
              </w:rPr>
            </w:pPr>
            <w:r>
              <w:rPr>
                <w:sz w:val="13"/>
              </w:rPr>
              <w:t>298,67</w:t>
            </w:r>
          </w:p>
        </w:tc>
        <w:tc>
          <w:tcPr>
            <w:tcW w:w="950" w:type="dxa"/>
          </w:tcPr>
          <w:p>
            <w:pPr>
              <w:pStyle w:val="TableParagraph"/>
              <w:spacing w:before="1"/>
              <w:ind w:right="185"/>
              <w:jc w:val="right"/>
              <w:rPr>
                <w:sz w:val="13"/>
              </w:rPr>
            </w:pPr>
            <w:r>
              <w:rPr>
                <w:w w:val="105"/>
                <w:sz w:val="13"/>
              </w:rPr>
              <w:t>-54,63</w:t>
            </w:r>
          </w:p>
        </w:tc>
        <w:tc>
          <w:tcPr>
            <w:tcW w:w="556" w:type="dxa"/>
          </w:tcPr>
          <w:p>
            <w:pPr>
              <w:pStyle w:val="TableParagraph"/>
              <w:spacing w:before="1"/>
              <w:ind w:right="54"/>
              <w:jc w:val="right"/>
              <w:rPr>
                <w:sz w:val="13"/>
              </w:rPr>
            </w:pPr>
            <w:r>
              <w:rPr>
                <w:sz w:val="13"/>
              </w:rPr>
              <w:t>85,97</w:t>
            </w:r>
          </w:p>
        </w:tc>
      </w:tr>
      <w:tr>
        <w:trPr>
          <w:trHeight w:val="214" w:hRule="atLeast"/>
        </w:trPr>
        <w:tc>
          <w:tcPr>
            <w:tcW w:w="2247" w:type="dxa"/>
          </w:tcPr>
          <w:p>
            <w:pPr>
              <w:pStyle w:val="TableParagraph"/>
              <w:spacing w:before="17"/>
              <w:ind w:left="70"/>
              <w:rPr>
                <w:sz w:val="13"/>
              </w:rPr>
            </w:pPr>
            <w:r>
              <w:rPr>
                <w:w w:val="105"/>
                <w:sz w:val="13"/>
              </w:rPr>
              <w:t>Gobierno Y Administración</w:t>
            </w:r>
          </w:p>
        </w:tc>
        <w:tc>
          <w:tcPr>
            <w:tcW w:w="816" w:type="dxa"/>
          </w:tcPr>
          <w:p>
            <w:pPr>
              <w:pStyle w:val="TableParagraph"/>
              <w:spacing w:before="17"/>
              <w:ind w:right="181"/>
              <w:jc w:val="right"/>
              <w:rPr>
                <w:sz w:val="13"/>
              </w:rPr>
            </w:pPr>
            <w:r>
              <w:rPr>
                <w:sz w:val="13"/>
              </w:rPr>
              <w:t>314,32</w:t>
            </w:r>
          </w:p>
        </w:tc>
        <w:tc>
          <w:tcPr>
            <w:tcW w:w="724" w:type="dxa"/>
          </w:tcPr>
          <w:p>
            <w:pPr>
              <w:pStyle w:val="TableParagraph"/>
              <w:spacing w:before="17"/>
              <w:ind w:right="189"/>
              <w:jc w:val="right"/>
              <w:rPr>
                <w:sz w:val="13"/>
              </w:rPr>
            </w:pPr>
            <w:r>
              <w:rPr>
                <w:w w:val="105"/>
                <w:sz w:val="13"/>
              </w:rPr>
              <w:t>-21,07</w:t>
            </w:r>
          </w:p>
        </w:tc>
        <w:tc>
          <w:tcPr>
            <w:tcW w:w="737" w:type="dxa"/>
          </w:tcPr>
          <w:p>
            <w:pPr>
              <w:pStyle w:val="TableParagraph"/>
              <w:spacing w:before="17"/>
              <w:ind w:left="171" w:right="145"/>
              <w:jc w:val="center"/>
              <w:rPr>
                <w:sz w:val="13"/>
              </w:rPr>
            </w:pPr>
            <w:r>
              <w:rPr>
                <w:w w:val="105"/>
                <w:sz w:val="13"/>
              </w:rPr>
              <w:t>293,24</w:t>
            </w:r>
          </w:p>
        </w:tc>
        <w:tc>
          <w:tcPr>
            <w:tcW w:w="656" w:type="dxa"/>
          </w:tcPr>
          <w:p>
            <w:pPr>
              <w:pStyle w:val="TableParagraph"/>
              <w:spacing w:before="17"/>
              <w:ind w:right="107"/>
              <w:jc w:val="right"/>
              <w:rPr>
                <w:sz w:val="13"/>
              </w:rPr>
            </w:pPr>
            <w:r>
              <w:rPr>
                <w:sz w:val="13"/>
              </w:rPr>
              <w:t>259,44</w:t>
            </w:r>
          </w:p>
        </w:tc>
        <w:tc>
          <w:tcPr>
            <w:tcW w:w="549" w:type="dxa"/>
          </w:tcPr>
          <w:p>
            <w:pPr>
              <w:pStyle w:val="TableParagraph"/>
              <w:spacing w:before="17"/>
              <w:ind w:right="57"/>
              <w:jc w:val="right"/>
              <w:rPr>
                <w:sz w:val="13"/>
              </w:rPr>
            </w:pPr>
            <w:r>
              <w:rPr>
                <w:sz w:val="13"/>
              </w:rPr>
              <w:t>240,27</w:t>
            </w:r>
          </w:p>
        </w:tc>
        <w:tc>
          <w:tcPr>
            <w:tcW w:w="950" w:type="dxa"/>
          </w:tcPr>
          <w:p>
            <w:pPr>
              <w:pStyle w:val="TableParagraph"/>
              <w:spacing w:before="17"/>
              <w:ind w:right="185"/>
              <w:jc w:val="right"/>
              <w:rPr>
                <w:sz w:val="13"/>
              </w:rPr>
            </w:pPr>
            <w:r>
              <w:rPr>
                <w:w w:val="105"/>
                <w:sz w:val="13"/>
              </w:rPr>
              <w:t>-33,80</w:t>
            </w:r>
          </w:p>
        </w:tc>
        <w:tc>
          <w:tcPr>
            <w:tcW w:w="556" w:type="dxa"/>
          </w:tcPr>
          <w:p>
            <w:pPr>
              <w:pStyle w:val="TableParagraph"/>
              <w:spacing w:before="17"/>
              <w:ind w:right="54"/>
              <w:jc w:val="right"/>
              <w:rPr>
                <w:sz w:val="13"/>
              </w:rPr>
            </w:pPr>
            <w:r>
              <w:rPr>
                <w:sz w:val="13"/>
              </w:rPr>
              <w:t>88,47</w:t>
            </w:r>
          </w:p>
        </w:tc>
      </w:tr>
      <w:tr>
        <w:trPr>
          <w:trHeight w:val="213" w:hRule="atLeast"/>
        </w:trPr>
        <w:tc>
          <w:tcPr>
            <w:tcW w:w="2247" w:type="dxa"/>
          </w:tcPr>
          <w:p>
            <w:pPr>
              <w:pStyle w:val="TableParagraph"/>
              <w:spacing w:before="16"/>
              <w:ind w:left="70"/>
              <w:rPr>
                <w:sz w:val="13"/>
              </w:rPr>
            </w:pPr>
            <w:r>
              <w:rPr>
                <w:w w:val="105"/>
                <w:sz w:val="13"/>
              </w:rPr>
              <w:t>Administración Electrónica</w:t>
            </w:r>
          </w:p>
        </w:tc>
        <w:tc>
          <w:tcPr>
            <w:tcW w:w="816" w:type="dxa"/>
          </w:tcPr>
          <w:p>
            <w:pPr>
              <w:pStyle w:val="TableParagraph"/>
              <w:spacing w:before="16"/>
              <w:ind w:right="181"/>
              <w:jc w:val="right"/>
              <w:rPr>
                <w:sz w:val="13"/>
              </w:rPr>
            </w:pPr>
            <w:r>
              <w:rPr>
                <w:sz w:val="13"/>
              </w:rPr>
              <w:t>82,94</w:t>
            </w:r>
          </w:p>
        </w:tc>
        <w:tc>
          <w:tcPr>
            <w:tcW w:w="724" w:type="dxa"/>
          </w:tcPr>
          <w:p>
            <w:pPr>
              <w:pStyle w:val="TableParagraph"/>
              <w:spacing w:before="16"/>
              <w:ind w:right="189"/>
              <w:jc w:val="right"/>
              <w:rPr>
                <w:sz w:val="13"/>
              </w:rPr>
            </w:pPr>
            <w:r>
              <w:rPr>
                <w:sz w:val="13"/>
              </w:rPr>
              <w:t>6,80</w:t>
            </w:r>
          </w:p>
        </w:tc>
        <w:tc>
          <w:tcPr>
            <w:tcW w:w="737" w:type="dxa"/>
          </w:tcPr>
          <w:p>
            <w:pPr>
              <w:pStyle w:val="TableParagraph"/>
              <w:spacing w:before="16"/>
              <w:ind w:left="171" w:right="76"/>
              <w:jc w:val="center"/>
              <w:rPr>
                <w:sz w:val="13"/>
              </w:rPr>
            </w:pPr>
            <w:r>
              <w:rPr>
                <w:w w:val="105"/>
                <w:sz w:val="13"/>
              </w:rPr>
              <w:t>89,73</w:t>
            </w:r>
          </w:p>
        </w:tc>
        <w:tc>
          <w:tcPr>
            <w:tcW w:w="656" w:type="dxa"/>
          </w:tcPr>
          <w:p>
            <w:pPr>
              <w:pStyle w:val="TableParagraph"/>
              <w:spacing w:before="16"/>
              <w:ind w:right="107"/>
              <w:jc w:val="right"/>
              <w:rPr>
                <w:sz w:val="13"/>
              </w:rPr>
            </w:pPr>
            <w:r>
              <w:rPr>
                <w:sz w:val="13"/>
              </w:rPr>
              <w:t>70,41</w:t>
            </w:r>
          </w:p>
        </w:tc>
        <w:tc>
          <w:tcPr>
            <w:tcW w:w="549" w:type="dxa"/>
          </w:tcPr>
          <w:p>
            <w:pPr>
              <w:pStyle w:val="TableParagraph"/>
              <w:spacing w:before="16"/>
              <w:ind w:right="57"/>
              <w:jc w:val="right"/>
              <w:rPr>
                <w:sz w:val="13"/>
              </w:rPr>
            </w:pPr>
            <w:r>
              <w:rPr>
                <w:sz w:val="13"/>
              </w:rPr>
              <w:t>53,72</w:t>
            </w:r>
          </w:p>
        </w:tc>
        <w:tc>
          <w:tcPr>
            <w:tcW w:w="950" w:type="dxa"/>
          </w:tcPr>
          <w:p>
            <w:pPr>
              <w:pStyle w:val="TableParagraph"/>
              <w:spacing w:before="16"/>
              <w:ind w:right="185"/>
              <w:jc w:val="right"/>
              <w:rPr>
                <w:sz w:val="13"/>
              </w:rPr>
            </w:pPr>
            <w:r>
              <w:rPr>
                <w:w w:val="105"/>
                <w:sz w:val="13"/>
              </w:rPr>
              <w:t>-19,32</w:t>
            </w:r>
          </w:p>
        </w:tc>
        <w:tc>
          <w:tcPr>
            <w:tcW w:w="556" w:type="dxa"/>
          </w:tcPr>
          <w:p>
            <w:pPr>
              <w:pStyle w:val="TableParagraph"/>
              <w:spacing w:before="16"/>
              <w:ind w:right="54"/>
              <w:jc w:val="right"/>
              <w:rPr>
                <w:sz w:val="13"/>
              </w:rPr>
            </w:pPr>
            <w:r>
              <w:rPr>
                <w:sz w:val="13"/>
              </w:rPr>
              <w:t>78,47</w:t>
            </w:r>
          </w:p>
        </w:tc>
      </w:tr>
      <w:tr>
        <w:trPr>
          <w:trHeight w:val="226" w:hRule="atLeast"/>
        </w:trPr>
        <w:tc>
          <w:tcPr>
            <w:tcW w:w="2247" w:type="dxa"/>
            <w:tcBorders>
              <w:bottom w:val="single" w:sz="4" w:space="0" w:color="000000"/>
            </w:tcBorders>
          </w:tcPr>
          <w:p>
            <w:pPr>
              <w:pStyle w:val="TableParagraph"/>
              <w:spacing w:before="16"/>
              <w:ind w:left="70"/>
              <w:rPr>
                <w:sz w:val="13"/>
              </w:rPr>
            </w:pPr>
            <w:r>
              <w:rPr>
                <w:w w:val="105"/>
                <w:sz w:val="13"/>
              </w:rPr>
              <w:t>Racionalización Y Modern Administ</w:t>
            </w:r>
          </w:p>
        </w:tc>
        <w:tc>
          <w:tcPr>
            <w:tcW w:w="816" w:type="dxa"/>
            <w:tcBorders>
              <w:bottom w:val="single" w:sz="4" w:space="0" w:color="000000"/>
            </w:tcBorders>
          </w:tcPr>
          <w:p>
            <w:pPr>
              <w:pStyle w:val="TableParagraph"/>
              <w:spacing w:before="16"/>
              <w:ind w:right="181"/>
              <w:jc w:val="right"/>
              <w:rPr>
                <w:sz w:val="13"/>
              </w:rPr>
            </w:pPr>
            <w:r>
              <w:rPr>
                <w:sz w:val="13"/>
              </w:rPr>
              <w:t>6,27</w:t>
            </w:r>
          </w:p>
        </w:tc>
        <w:tc>
          <w:tcPr>
            <w:tcW w:w="724" w:type="dxa"/>
            <w:tcBorders>
              <w:bottom w:val="single" w:sz="4" w:space="0" w:color="000000"/>
            </w:tcBorders>
          </w:tcPr>
          <w:p>
            <w:pPr>
              <w:pStyle w:val="TableParagraph"/>
              <w:spacing w:before="16"/>
              <w:ind w:right="189"/>
              <w:jc w:val="right"/>
              <w:rPr>
                <w:sz w:val="13"/>
              </w:rPr>
            </w:pPr>
            <w:r>
              <w:rPr>
                <w:sz w:val="13"/>
              </w:rPr>
              <w:t>0,15</w:t>
            </w:r>
          </w:p>
        </w:tc>
        <w:tc>
          <w:tcPr>
            <w:tcW w:w="737" w:type="dxa"/>
            <w:tcBorders>
              <w:bottom w:val="single" w:sz="4" w:space="0" w:color="000000"/>
            </w:tcBorders>
          </w:tcPr>
          <w:p>
            <w:pPr>
              <w:pStyle w:val="TableParagraph"/>
              <w:spacing w:before="16"/>
              <w:ind w:left="171" w:right="8"/>
              <w:jc w:val="center"/>
              <w:rPr>
                <w:sz w:val="13"/>
              </w:rPr>
            </w:pPr>
            <w:r>
              <w:rPr>
                <w:w w:val="105"/>
                <w:sz w:val="13"/>
              </w:rPr>
              <w:t>6,42</w:t>
            </w:r>
          </w:p>
        </w:tc>
        <w:tc>
          <w:tcPr>
            <w:tcW w:w="656" w:type="dxa"/>
            <w:tcBorders>
              <w:bottom w:val="single" w:sz="4" w:space="0" w:color="000000"/>
            </w:tcBorders>
          </w:tcPr>
          <w:p>
            <w:pPr>
              <w:pStyle w:val="TableParagraph"/>
              <w:spacing w:before="16"/>
              <w:ind w:right="107"/>
              <w:jc w:val="right"/>
              <w:rPr>
                <w:sz w:val="13"/>
              </w:rPr>
            </w:pPr>
            <w:r>
              <w:rPr>
                <w:sz w:val="13"/>
              </w:rPr>
              <w:t>4,92</w:t>
            </w:r>
          </w:p>
        </w:tc>
        <w:tc>
          <w:tcPr>
            <w:tcW w:w="549" w:type="dxa"/>
            <w:tcBorders>
              <w:bottom w:val="single" w:sz="4" w:space="0" w:color="000000"/>
            </w:tcBorders>
          </w:tcPr>
          <w:p>
            <w:pPr>
              <w:pStyle w:val="TableParagraph"/>
              <w:spacing w:before="16"/>
              <w:ind w:right="57"/>
              <w:jc w:val="right"/>
              <w:rPr>
                <w:sz w:val="13"/>
              </w:rPr>
            </w:pPr>
            <w:r>
              <w:rPr>
                <w:sz w:val="13"/>
              </w:rPr>
              <w:t>4,68</w:t>
            </w:r>
          </w:p>
        </w:tc>
        <w:tc>
          <w:tcPr>
            <w:tcW w:w="950" w:type="dxa"/>
            <w:tcBorders>
              <w:bottom w:val="single" w:sz="4" w:space="0" w:color="000000"/>
            </w:tcBorders>
          </w:tcPr>
          <w:p>
            <w:pPr>
              <w:pStyle w:val="TableParagraph"/>
              <w:spacing w:before="16"/>
              <w:ind w:right="185"/>
              <w:jc w:val="right"/>
              <w:rPr>
                <w:sz w:val="13"/>
              </w:rPr>
            </w:pPr>
            <w:r>
              <w:rPr>
                <w:sz w:val="13"/>
              </w:rPr>
              <w:t>-1,50</w:t>
            </w:r>
          </w:p>
        </w:tc>
        <w:tc>
          <w:tcPr>
            <w:tcW w:w="556" w:type="dxa"/>
            <w:tcBorders>
              <w:bottom w:val="single" w:sz="4" w:space="0" w:color="000000"/>
            </w:tcBorders>
          </w:tcPr>
          <w:p>
            <w:pPr>
              <w:pStyle w:val="TableParagraph"/>
              <w:spacing w:before="16"/>
              <w:ind w:right="54"/>
              <w:jc w:val="right"/>
              <w:rPr>
                <w:sz w:val="13"/>
              </w:rPr>
            </w:pPr>
            <w:r>
              <w:rPr>
                <w:sz w:val="13"/>
              </w:rPr>
              <w:t>76,62</w:t>
            </w:r>
          </w:p>
        </w:tc>
      </w:tr>
      <w:tr>
        <w:trPr>
          <w:trHeight w:val="337" w:hRule="atLeast"/>
        </w:trPr>
        <w:tc>
          <w:tcPr>
            <w:tcW w:w="2247" w:type="dxa"/>
            <w:tcBorders>
              <w:top w:val="single" w:sz="4" w:space="0" w:color="000000"/>
            </w:tcBorders>
          </w:tcPr>
          <w:p>
            <w:pPr>
              <w:pStyle w:val="TableParagraph"/>
              <w:rPr>
                <w:rFonts w:ascii="Times New Roman"/>
                <w:sz w:val="14"/>
              </w:rPr>
            </w:pPr>
          </w:p>
        </w:tc>
        <w:tc>
          <w:tcPr>
            <w:tcW w:w="816" w:type="dxa"/>
            <w:tcBorders>
              <w:top w:val="single" w:sz="4" w:space="0" w:color="000000"/>
            </w:tcBorders>
          </w:tcPr>
          <w:p>
            <w:pPr>
              <w:pStyle w:val="TableParagraph"/>
              <w:rPr>
                <w:rFonts w:ascii="Times New Roman"/>
                <w:sz w:val="14"/>
              </w:rPr>
            </w:pPr>
          </w:p>
        </w:tc>
        <w:tc>
          <w:tcPr>
            <w:tcW w:w="724" w:type="dxa"/>
            <w:tcBorders>
              <w:top w:val="single" w:sz="4" w:space="0" w:color="000000"/>
            </w:tcBorders>
          </w:tcPr>
          <w:p>
            <w:pPr>
              <w:pStyle w:val="TableParagraph"/>
              <w:rPr>
                <w:rFonts w:ascii="Times New Roman"/>
                <w:sz w:val="14"/>
              </w:rPr>
            </w:pPr>
          </w:p>
        </w:tc>
        <w:tc>
          <w:tcPr>
            <w:tcW w:w="737" w:type="dxa"/>
            <w:tcBorders>
              <w:top w:val="single" w:sz="4" w:space="0" w:color="000000"/>
            </w:tcBorders>
          </w:tcPr>
          <w:p>
            <w:pPr>
              <w:pStyle w:val="TableParagraph"/>
              <w:rPr>
                <w:rFonts w:ascii="Times New Roman"/>
                <w:sz w:val="14"/>
              </w:rPr>
            </w:pPr>
          </w:p>
        </w:tc>
        <w:tc>
          <w:tcPr>
            <w:tcW w:w="656" w:type="dxa"/>
            <w:tcBorders>
              <w:top w:val="single" w:sz="4" w:space="0" w:color="000000"/>
            </w:tcBorders>
          </w:tcPr>
          <w:p>
            <w:pPr>
              <w:pStyle w:val="TableParagraph"/>
              <w:rPr>
                <w:rFonts w:ascii="Times New Roman"/>
                <w:sz w:val="14"/>
              </w:rPr>
            </w:pPr>
          </w:p>
        </w:tc>
        <w:tc>
          <w:tcPr>
            <w:tcW w:w="549" w:type="dxa"/>
            <w:tcBorders>
              <w:top w:val="single" w:sz="4" w:space="0" w:color="000000"/>
            </w:tcBorders>
          </w:tcPr>
          <w:p>
            <w:pPr>
              <w:pStyle w:val="TableParagraph"/>
              <w:rPr>
                <w:rFonts w:ascii="Times New Roman"/>
                <w:sz w:val="14"/>
              </w:rPr>
            </w:pPr>
          </w:p>
        </w:tc>
        <w:tc>
          <w:tcPr>
            <w:tcW w:w="950" w:type="dxa"/>
            <w:tcBorders>
              <w:top w:val="single" w:sz="4" w:space="0" w:color="000000"/>
            </w:tcBorders>
          </w:tcPr>
          <w:p>
            <w:pPr>
              <w:pStyle w:val="TableParagraph"/>
              <w:rPr>
                <w:rFonts w:ascii="Times New Roman"/>
                <w:sz w:val="14"/>
              </w:rPr>
            </w:pPr>
          </w:p>
        </w:tc>
        <w:tc>
          <w:tcPr>
            <w:tcW w:w="556" w:type="dxa"/>
            <w:tcBorders>
              <w:top w:val="single" w:sz="4" w:space="0" w:color="000000"/>
            </w:tcBorders>
          </w:tcPr>
          <w:p>
            <w:pPr>
              <w:pStyle w:val="TableParagraph"/>
              <w:spacing w:line="221" w:lineRule="exact" w:before="96"/>
              <w:ind w:right="75"/>
              <w:jc w:val="right"/>
              <w:rPr>
                <w:sz w:val="20"/>
              </w:rPr>
            </w:pPr>
            <w:r>
              <w:rPr>
                <w:sz w:val="20"/>
              </w:rPr>
              <w:t>37</w:t>
            </w:r>
          </w:p>
        </w:tc>
      </w:tr>
    </w:tbl>
    <w:p>
      <w:pPr>
        <w:pStyle w:val="Heading1"/>
        <w:spacing w:before="5"/>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85" name="image5.png"/>
                  <wp:cNvGraphicFramePr>
                    <a:graphicFrameLocks noChangeAspect="1"/>
                  </wp:cNvGraphicFramePr>
                  <a:graphic>
                    <a:graphicData uri="http://schemas.openxmlformats.org/drawingml/2006/picture">
                      <pic:pic>
                        <pic:nvPicPr>
                          <pic:cNvPr id="8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39/247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rPr>
          <w:b/>
          <w:sz w:val="10"/>
        </w:rPr>
      </w:pPr>
    </w:p>
    <w:p>
      <w:pPr>
        <w:spacing w:before="77" w:after="32"/>
        <w:ind w:left="0" w:right="1112" w:firstLine="0"/>
        <w:jc w:val="right"/>
        <w:rPr>
          <w:b/>
          <w:sz w:val="13"/>
        </w:rPr>
      </w:pPr>
      <w:r>
        <w:rPr>
          <w:b/>
          <w:w w:val="105"/>
          <w:sz w:val="13"/>
        </w:rPr>
        <w:t>millones de €</w:t>
      </w:r>
    </w:p>
    <w:tbl>
      <w:tblPr>
        <w:tblW w:w="0" w:type="auto"/>
        <w:jc w:val="left"/>
        <w:tblInd w:w="2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8"/>
        <w:gridCol w:w="738"/>
        <w:gridCol w:w="704"/>
        <w:gridCol w:w="771"/>
        <w:gridCol w:w="656"/>
        <w:gridCol w:w="601"/>
        <w:gridCol w:w="916"/>
        <w:gridCol w:w="590"/>
      </w:tblGrid>
      <w:tr>
        <w:trPr>
          <w:trHeight w:val="491" w:hRule="atLeast"/>
        </w:trPr>
        <w:tc>
          <w:tcPr>
            <w:tcW w:w="5728" w:type="dxa"/>
            <w:gridSpan w:val="6"/>
            <w:tcBorders>
              <w:top w:val="single" w:sz="4" w:space="0" w:color="000000"/>
              <w:bottom w:val="single" w:sz="4" w:space="0" w:color="000000"/>
            </w:tcBorders>
            <w:shd w:val="clear" w:color="auto" w:fill="DEEAF6"/>
          </w:tcPr>
          <w:p>
            <w:pPr>
              <w:pStyle w:val="TableParagraph"/>
              <w:tabs>
                <w:tab w:pos="2355" w:val="left" w:leader="none"/>
                <w:tab w:pos="3089" w:val="left" w:leader="none"/>
                <w:tab w:pos="3144" w:val="left" w:leader="none"/>
                <w:tab w:pos="3764" w:val="left" w:leader="none"/>
                <w:tab w:pos="3827" w:val="left" w:leader="none"/>
                <w:tab w:pos="4516" w:val="left" w:leader="none"/>
                <w:tab w:pos="4605" w:val="left" w:leader="none"/>
                <w:tab w:pos="5264" w:val="left" w:leader="none"/>
              </w:tabs>
              <w:spacing w:line="163" w:lineRule="auto" w:before="99"/>
              <w:ind w:left="2398" w:right="133" w:hanging="1532"/>
              <w:rPr>
                <w:b/>
                <w:sz w:val="13"/>
              </w:rPr>
            </w:pPr>
            <w:r>
              <w:rPr>
                <w:b/>
                <w:w w:val="105"/>
                <w:position w:val="-7"/>
                <w:sz w:val="13"/>
              </w:rPr>
              <w:t>Políticas</w:t>
              <w:tab/>
            </w:r>
            <w:r>
              <w:rPr>
                <w:b/>
                <w:w w:val="105"/>
                <w:sz w:val="13"/>
              </w:rPr>
              <w:t>Crédito</w:t>
              <w:tab/>
              <w:tab/>
              <w:t>Mod.</w:t>
              <w:tab/>
              <w:tab/>
              <w:t>Crédito</w:t>
              <w:tab/>
              <w:tab/>
              <w:t>Oblig.</w:t>
              <w:tab/>
            </w:r>
            <w:r>
              <w:rPr>
                <w:b/>
                <w:spacing w:val="-5"/>
                <w:w w:val="105"/>
                <w:position w:val="-7"/>
                <w:sz w:val="13"/>
              </w:rPr>
              <w:t>Pagos </w:t>
            </w:r>
            <w:r>
              <w:rPr>
                <w:b/>
                <w:w w:val="105"/>
                <w:sz w:val="13"/>
              </w:rPr>
              <w:t>inicial</w:t>
              <w:tab/>
              <w:t>Crédito</w:t>
              <w:tab/>
              <w:t>definitivo</w:t>
              <w:tab/>
              <w:t>Reconoc.</w:t>
            </w:r>
          </w:p>
        </w:tc>
        <w:tc>
          <w:tcPr>
            <w:tcW w:w="1506" w:type="dxa"/>
            <w:gridSpan w:val="2"/>
            <w:tcBorders>
              <w:top w:val="single" w:sz="4" w:space="0" w:color="000000"/>
              <w:bottom w:val="single" w:sz="4" w:space="0" w:color="000000"/>
            </w:tcBorders>
            <w:shd w:val="clear" w:color="auto" w:fill="DEEAF6"/>
          </w:tcPr>
          <w:p>
            <w:pPr>
              <w:pStyle w:val="TableParagraph"/>
              <w:tabs>
                <w:tab w:pos="1114" w:val="left" w:leader="none"/>
              </w:tabs>
              <w:spacing w:line="163" w:lineRule="auto" w:before="16"/>
              <w:ind w:left="122"/>
              <w:rPr>
                <w:b/>
                <w:sz w:val="13"/>
              </w:rPr>
            </w:pPr>
            <w:r>
              <w:rPr>
                <w:b/>
                <w:w w:val="105"/>
                <w:sz w:val="13"/>
              </w:rPr>
              <w:t>Diferencia</w:t>
              <w:tab/>
            </w:r>
            <w:r>
              <w:rPr>
                <w:b/>
                <w:w w:val="105"/>
                <w:position w:val="-7"/>
                <w:sz w:val="13"/>
              </w:rPr>
              <w:t>%</w:t>
            </w:r>
          </w:p>
          <w:p>
            <w:pPr>
              <w:pStyle w:val="TableParagraph"/>
              <w:spacing w:line="160" w:lineRule="auto"/>
              <w:ind w:left="64"/>
              <w:rPr>
                <w:b/>
                <w:sz w:val="13"/>
              </w:rPr>
            </w:pPr>
            <w:r>
              <w:rPr>
                <w:b/>
                <w:w w:val="105"/>
                <w:sz w:val="13"/>
              </w:rPr>
              <w:t>OR y crédito </w:t>
            </w:r>
            <w:r>
              <w:rPr>
                <w:b/>
                <w:w w:val="105"/>
                <w:position w:val="-7"/>
                <w:sz w:val="13"/>
              </w:rPr>
              <w:t>OR/CDEF</w:t>
            </w:r>
          </w:p>
          <w:p>
            <w:pPr>
              <w:pStyle w:val="TableParagraph"/>
              <w:spacing w:line="104" w:lineRule="exact"/>
              <w:ind w:left="141"/>
              <w:rPr>
                <w:b/>
                <w:sz w:val="13"/>
              </w:rPr>
            </w:pPr>
            <w:r>
              <w:rPr>
                <w:b/>
                <w:w w:val="105"/>
                <w:sz w:val="13"/>
              </w:rPr>
              <w:t>definitivo</w:t>
            </w:r>
          </w:p>
        </w:tc>
      </w:tr>
      <w:tr>
        <w:trPr>
          <w:trHeight w:val="197" w:hRule="atLeast"/>
        </w:trPr>
        <w:tc>
          <w:tcPr>
            <w:tcW w:w="2258" w:type="dxa"/>
          </w:tcPr>
          <w:p>
            <w:pPr>
              <w:pStyle w:val="TableParagraph"/>
              <w:spacing w:line="155" w:lineRule="exact"/>
              <w:ind w:left="70"/>
              <w:rPr>
                <w:sz w:val="13"/>
              </w:rPr>
            </w:pPr>
            <w:r>
              <w:rPr>
                <w:w w:val="105"/>
                <w:sz w:val="13"/>
              </w:rPr>
              <w:t>Servicios Públicos Básicos</w:t>
            </w:r>
          </w:p>
        </w:tc>
        <w:tc>
          <w:tcPr>
            <w:tcW w:w="738" w:type="dxa"/>
          </w:tcPr>
          <w:p>
            <w:pPr>
              <w:pStyle w:val="TableParagraph"/>
              <w:spacing w:line="155" w:lineRule="exact"/>
              <w:ind w:right="114"/>
              <w:jc w:val="right"/>
              <w:rPr>
                <w:sz w:val="13"/>
              </w:rPr>
            </w:pPr>
            <w:r>
              <w:rPr>
                <w:sz w:val="13"/>
              </w:rPr>
              <w:t>217,33</w:t>
            </w:r>
          </w:p>
        </w:tc>
        <w:tc>
          <w:tcPr>
            <w:tcW w:w="704" w:type="dxa"/>
          </w:tcPr>
          <w:p>
            <w:pPr>
              <w:pStyle w:val="TableParagraph"/>
              <w:spacing w:line="155" w:lineRule="exact"/>
              <w:ind w:right="102"/>
              <w:jc w:val="right"/>
              <w:rPr>
                <w:sz w:val="13"/>
              </w:rPr>
            </w:pPr>
            <w:r>
              <w:rPr>
                <w:sz w:val="13"/>
              </w:rPr>
              <w:t>12,55</w:t>
            </w:r>
          </w:p>
        </w:tc>
        <w:tc>
          <w:tcPr>
            <w:tcW w:w="771" w:type="dxa"/>
          </w:tcPr>
          <w:p>
            <w:pPr>
              <w:pStyle w:val="TableParagraph"/>
              <w:spacing w:line="155" w:lineRule="exact"/>
              <w:ind w:right="111"/>
              <w:jc w:val="right"/>
              <w:rPr>
                <w:sz w:val="13"/>
              </w:rPr>
            </w:pPr>
            <w:r>
              <w:rPr>
                <w:sz w:val="13"/>
              </w:rPr>
              <w:t>229,87</w:t>
            </w:r>
          </w:p>
        </w:tc>
        <w:tc>
          <w:tcPr>
            <w:tcW w:w="656" w:type="dxa"/>
          </w:tcPr>
          <w:p>
            <w:pPr>
              <w:pStyle w:val="TableParagraph"/>
              <w:spacing w:line="155" w:lineRule="exact"/>
              <w:ind w:right="54"/>
              <w:jc w:val="right"/>
              <w:rPr>
                <w:sz w:val="13"/>
              </w:rPr>
            </w:pPr>
            <w:r>
              <w:rPr>
                <w:sz w:val="13"/>
              </w:rPr>
              <w:t>219,17</w:t>
            </w:r>
          </w:p>
        </w:tc>
        <w:tc>
          <w:tcPr>
            <w:tcW w:w="601" w:type="dxa"/>
          </w:tcPr>
          <w:p>
            <w:pPr>
              <w:pStyle w:val="TableParagraph"/>
              <w:spacing w:line="155" w:lineRule="exact"/>
              <w:ind w:right="56"/>
              <w:jc w:val="right"/>
              <w:rPr>
                <w:sz w:val="13"/>
              </w:rPr>
            </w:pPr>
            <w:r>
              <w:rPr>
                <w:sz w:val="13"/>
              </w:rPr>
              <w:t>200,80</w:t>
            </w:r>
          </w:p>
        </w:tc>
        <w:tc>
          <w:tcPr>
            <w:tcW w:w="916" w:type="dxa"/>
          </w:tcPr>
          <w:p>
            <w:pPr>
              <w:pStyle w:val="TableParagraph"/>
              <w:spacing w:line="155" w:lineRule="exact"/>
              <w:ind w:right="150"/>
              <w:jc w:val="right"/>
              <w:rPr>
                <w:sz w:val="13"/>
              </w:rPr>
            </w:pPr>
            <w:r>
              <w:rPr>
                <w:w w:val="105"/>
                <w:sz w:val="13"/>
              </w:rPr>
              <w:t>-10,71</w:t>
            </w:r>
          </w:p>
        </w:tc>
        <w:tc>
          <w:tcPr>
            <w:tcW w:w="590" w:type="dxa"/>
          </w:tcPr>
          <w:p>
            <w:pPr>
              <w:pStyle w:val="TableParagraph"/>
              <w:spacing w:line="155" w:lineRule="exact"/>
              <w:ind w:right="53"/>
              <w:jc w:val="right"/>
              <w:rPr>
                <w:sz w:val="13"/>
              </w:rPr>
            </w:pPr>
            <w:r>
              <w:rPr>
                <w:sz w:val="13"/>
              </w:rPr>
              <w:t>95,34</w:t>
            </w:r>
          </w:p>
        </w:tc>
      </w:tr>
      <w:tr>
        <w:trPr>
          <w:trHeight w:val="213" w:hRule="atLeast"/>
        </w:trPr>
        <w:tc>
          <w:tcPr>
            <w:tcW w:w="2258" w:type="dxa"/>
          </w:tcPr>
          <w:p>
            <w:pPr>
              <w:pStyle w:val="TableParagraph"/>
              <w:spacing w:before="16"/>
              <w:ind w:left="70"/>
              <w:rPr>
                <w:sz w:val="13"/>
              </w:rPr>
            </w:pPr>
            <w:r>
              <w:rPr>
                <w:w w:val="105"/>
                <w:sz w:val="13"/>
              </w:rPr>
              <w:t>Justicia</w:t>
            </w:r>
          </w:p>
        </w:tc>
        <w:tc>
          <w:tcPr>
            <w:tcW w:w="738" w:type="dxa"/>
          </w:tcPr>
          <w:p>
            <w:pPr>
              <w:pStyle w:val="TableParagraph"/>
              <w:spacing w:before="16"/>
              <w:ind w:right="114"/>
              <w:jc w:val="right"/>
              <w:rPr>
                <w:sz w:val="13"/>
              </w:rPr>
            </w:pPr>
            <w:r>
              <w:rPr>
                <w:sz w:val="13"/>
              </w:rPr>
              <w:t>173,48</w:t>
            </w:r>
          </w:p>
        </w:tc>
        <w:tc>
          <w:tcPr>
            <w:tcW w:w="704" w:type="dxa"/>
          </w:tcPr>
          <w:p>
            <w:pPr>
              <w:pStyle w:val="TableParagraph"/>
              <w:spacing w:before="16"/>
              <w:ind w:right="102"/>
              <w:jc w:val="right"/>
              <w:rPr>
                <w:sz w:val="13"/>
              </w:rPr>
            </w:pPr>
            <w:r>
              <w:rPr>
                <w:sz w:val="13"/>
              </w:rPr>
              <w:t>13,03</w:t>
            </w:r>
          </w:p>
        </w:tc>
        <w:tc>
          <w:tcPr>
            <w:tcW w:w="771" w:type="dxa"/>
          </w:tcPr>
          <w:p>
            <w:pPr>
              <w:pStyle w:val="TableParagraph"/>
              <w:spacing w:before="16"/>
              <w:ind w:right="111"/>
              <w:jc w:val="right"/>
              <w:rPr>
                <w:sz w:val="13"/>
              </w:rPr>
            </w:pPr>
            <w:r>
              <w:rPr>
                <w:sz w:val="13"/>
              </w:rPr>
              <w:t>186,51</w:t>
            </w:r>
          </w:p>
        </w:tc>
        <w:tc>
          <w:tcPr>
            <w:tcW w:w="656" w:type="dxa"/>
          </w:tcPr>
          <w:p>
            <w:pPr>
              <w:pStyle w:val="TableParagraph"/>
              <w:spacing w:before="16"/>
              <w:ind w:right="54"/>
              <w:jc w:val="right"/>
              <w:rPr>
                <w:sz w:val="13"/>
              </w:rPr>
            </w:pPr>
            <w:r>
              <w:rPr>
                <w:sz w:val="13"/>
              </w:rPr>
              <w:t>177,91</w:t>
            </w:r>
          </w:p>
        </w:tc>
        <w:tc>
          <w:tcPr>
            <w:tcW w:w="601" w:type="dxa"/>
          </w:tcPr>
          <w:p>
            <w:pPr>
              <w:pStyle w:val="TableParagraph"/>
              <w:spacing w:before="16"/>
              <w:ind w:right="56"/>
              <w:jc w:val="right"/>
              <w:rPr>
                <w:sz w:val="13"/>
              </w:rPr>
            </w:pPr>
            <w:r>
              <w:rPr>
                <w:sz w:val="13"/>
              </w:rPr>
              <w:t>167,80</w:t>
            </w:r>
          </w:p>
        </w:tc>
        <w:tc>
          <w:tcPr>
            <w:tcW w:w="916" w:type="dxa"/>
          </w:tcPr>
          <w:p>
            <w:pPr>
              <w:pStyle w:val="TableParagraph"/>
              <w:spacing w:before="16"/>
              <w:ind w:right="150"/>
              <w:jc w:val="right"/>
              <w:rPr>
                <w:sz w:val="13"/>
              </w:rPr>
            </w:pPr>
            <w:r>
              <w:rPr>
                <w:sz w:val="13"/>
              </w:rPr>
              <w:t>-8,60</w:t>
            </w:r>
          </w:p>
        </w:tc>
        <w:tc>
          <w:tcPr>
            <w:tcW w:w="590" w:type="dxa"/>
          </w:tcPr>
          <w:p>
            <w:pPr>
              <w:pStyle w:val="TableParagraph"/>
              <w:spacing w:before="16"/>
              <w:ind w:right="53"/>
              <w:jc w:val="right"/>
              <w:rPr>
                <w:sz w:val="13"/>
              </w:rPr>
            </w:pPr>
            <w:r>
              <w:rPr>
                <w:sz w:val="13"/>
              </w:rPr>
              <w:t>95,39</w:t>
            </w:r>
          </w:p>
        </w:tc>
      </w:tr>
      <w:tr>
        <w:trPr>
          <w:trHeight w:val="202" w:hRule="atLeast"/>
        </w:trPr>
        <w:tc>
          <w:tcPr>
            <w:tcW w:w="2258" w:type="dxa"/>
          </w:tcPr>
          <w:p>
            <w:pPr>
              <w:pStyle w:val="TableParagraph"/>
              <w:spacing w:before="16"/>
              <w:ind w:left="70"/>
              <w:rPr>
                <w:sz w:val="13"/>
              </w:rPr>
            </w:pPr>
            <w:r>
              <w:rPr>
                <w:w w:val="105"/>
                <w:sz w:val="13"/>
              </w:rPr>
              <w:t>Seguridad</w:t>
            </w:r>
          </w:p>
        </w:tc>
        <w:tc>
          <w:tcPr>
            <w:tcW w:w="738" w:type="dxa"/>
          </w:tcPr>
          <w:p>
            <w:pPr>
              <w:pStyle w:val="TableParagraph"/>
              <w:spacing w:before="16"/>
              <w:ind w:right="114"/>
              <w:jc w:val="right"/>
              <w:rPr>
                <w:sz w:val="13"/>
              </w:rPr>
            </w:pPr>
            <w:r>
              <w:rPr>
                <w:sz w:val="13"/>
              </w:rPr>
              <w:t>43,85</w:t>
            </w:r>
          </w:p>
        </w:tc>
        <w:tc>
          <w:tcPr>
            <w:tcW w:w="704" w:type="dxa"/>
          </w:tcPr>
          <w:p>
            <w:pPr>
              <w:pStyle w:val="TableParagraph"/>
              <w:spacing w:before="16"/>
              <w:ind w:right="102"/>
              <w:jc w:val="right"/>
              <w:rPr>
                <w:sz w:val="13"/>
              </w:rPr>
            </w:pPr>
            <w:r>
              <w:rPr>
                <w:sz w:val="13"/>
              </w:rPr>
              <w:t>-0,49</w:t>
            </w:r>
          </w:p>
        </w:tc>
        <w:tc>
          <w:tcPr>
            <w:tcW w:w="771" w:type="dxa"/>
          </w:tcPr>
          <w:p>
            <w:pPr>
              <w:pStyle w:val="TableParagraph"/>
              <w:spacing w:before="16"/>
              <w:ind w:right="111"/>
              <w:jc w:val="right"/>
              <w:rPr>
                <w:sz w:val="13"/>
              </w:rPr>
            </w:pPr>
            <w:r>
              <w:rPr>
                <w:sz w:val="13"/>
              </w:rPr>
              <w:t>43,36</w:t>
            </w:r>
          </w:p>
        </w:tc>
        <w:tc>
          <w:tcPr>
            <w:tcW w:w="656" w:type="dxa"/>
          </w:tcPr>
          <w:p>
            <w:pPr>
              <w:pStyle w:val="TableParagraph"/>
              <w:spacing w:before="16"/>
              <w:ind w:right="54"/>
              <w:jc w:val="right"/>
              <w:rPr>
                <w:sz w:val="13"/>
              </w:rPr>
            </w:pPr>
            <w:r>
              <w:rPr>
                <w:sz w:val="13"/>
              </w:rPr>
              <w:t>41,26</w:t>
            </w:r>
          </w:p>
        </w:tc>
        <w:tc>
          <w:tcPr>
            <w:tcW w:w="601" w:type="dxa"/>
          </w:tcPr>
          <w:p>
            <w:pPr>
              <w:pStyle w:val="TableParagraph"/>
              <w:spacing w:before="16"/>
              <w:ind w:right="56"/>
              <w:jc w:val="right"/>
              <w:rPr>
                <w:sz w:val="13"/>
              </w:rPr>
            </w:pPr>
            <w:r>
              <w:rPr>
                <w:sz w:val="13"/>
              </w:rPr>
              <w:t>33,00</w:t>
            </w:r>
          </w:p>
        </w:tc>
        <w:tc>
          <w:tcPr>
            <w:tcW w:w="916" w:type="dxa"/>
          </w:tcPr>
          <w:p>
            <w:pPr>
              <w:pStyle w:val="TableParagraph"/>
              <w:spacing w:before="16"/>
              <w:ind w:right="150"/>
              <w:jc w:val="right"/>
              <w:rPr>
                <w:sz w:val="13"/>
              </w:rPr>
            </w:pPr>
            <w:r>
              <w:rPr>
                <w:sz w:val="13"/>
              </w:rPr>
              <w:t>-2,10</w:t>
            </w:r>
          </w:p>
        </w:tc>
        <w:tc>
          <w:tcPr>
            <w:tcW w:w="590" w:type="dxa"/>
          </w:tcPr>
          <w:p>
            <w:pPr>
              <w:pStyle w:val="TableParagraph"/>
              <w:spacing w:before="16"/>
              <w:ind w:right="53"/>
              <w:jc w:val="right"/>
              <w:rPr>
                <w:sz w:val="13"/>
              </w:rPr>
            </w:pPr>
            <w:r>
              <w:rPr>
                <w:sz w:val="13"/>
              </w:rPr>
              <w:t>95,15</w:t>
            </w:r>
          </w:p>
        </w:tc>
      </w:tr>
      <w:tr>
        <w:trPr>
          <w:trHeight w:val="177" w:hRule="atLeast"/>
        </w:trPr>
        <w:tc>
          <w:tcPr>
            <w:tcW w:w="2258" w:type="dxa"/>
          </w:tcPr>
          <w:p>
            <w:pPr>
              <w:pStyle w:val="TableParagraph"/>
              <w:spacing w:line="152" w:lineRule="exact" w:before="5"/>
              <w:ind w:left="70"/>
              <w:rPr>
                <w:sz w:val="13"/>
              </w:rPr>
            </w:pPr>
            <w:r>
              <w:rPr>
                <w:w w:val="105"/>
                <w:sz w:val="13"/>
              </w:rPr>
              <w:t>Producción Y Promoción De Bienes Y</w:t>
            </w:r>
          </w:p>
        </w:tc>
        <w:tc>
          <w:tcPr>
            <w:tcW w:w="738" w:type="dxa"/>
          </w:tcPr>
          <w:p>
            <w:pPr>
              <w:pStyle w:val="TableParagraph"/>
              <w:spacing w:line="152" w:lineRule="exact" w:before="5"/>
              <w:ind w:right="114"/>
              <w:jc w:val="right"/>
              <w:rPr>
                <w:sz w:val="13"/>
              </w:rPr>
            </w:pPr>
            <w:r>
              <w:rPr>
                <w:w w:val="105"/>
                <w:sz w:val="13"/>
              </w:rPr>
              <w:t>6.161,26</w:t>
            </w:r>
          </w:p>
        </w:tc>
        <w:tc>
          <w:tcPr>
            <w:tcW w:w="704" w:type="dxa"/>
          </w:tcPr>
          <w:p>
            <w:pPr>
              <w:pStyle w:val="TableParagraph"/>
              <w:spacing w:line="152" w:lineRule="exact" w:before="5"/>
              <w:ind w:right="102"/>
              <w:jc w:val="right"/>
              <w:rPr>
                <w:sz w:val="13"/>
              </w:rPr>
            </w:pPr>
            <w:r>
              <w:rPr>
                <w:sz w:val="13"/>
              </w:rPr>
              <w:t>770,29</w:t>
            </w:r>
          </w:p>
        </w:tc>
        <w:tc>
          <w:tcPr>
            <w:tcW w:w="771" w:type="dxa"/>
          </w:tcPr>
          <w:p>
            <w:pPr>
              <w:pStyle w:val="TableParagraph"/>
              <w:spacing w:line="152" w:lineRule="exact" w:before="5"/>
              <w:ind w:right="111"/>
              <w:jc w:val="right"/>
              <w:rPr>
                <w:sz w:val="13"/>
              </w:rPr>
            </w:pPr>
            <w:r>
              <w:rPr>
                <w:w w:val="105"/>
                <w:sz w:val="13"/>
              </w:rPr>
              <w:t>6.931,55</w:t>
            </w:r>
          </w:p>
        </w:tc>
        <w:tc>
          <w:tcPr>
            <w:tcW w:w="656" w:type="dxa"/>
          </w:tcPr>
          <w:p>
            <w:pPr>
              <w:pStyle w:val="TableParagraph"/>
              <w:spacing w:line="152" w:lineRule="exact" w:before="5"/>
              <w:ind w:right="54"/>
              <w:jc w:val="right"/>
              <w:rPr>
                <w:sz w:val="13"/>
              </w:rPr>
            </w:pPr>
            <w:r>
              <w:rPr>
                <w:w w:val="105"/>
                <w:sz w:val="13"/>
              </w:rPr>
              <w:t>6.708,68</w:t>
            </w:r>
          </w:p>
        </w:tc>
        <w:tc>
          <w:tcPr>
            <w:tcW w:w="601" w:type="dxa"/>
          </w:tcPr>
          <w:p>
            <w:pPr>
              <w:pStyle w:val="TableParagraph"/>
              <w:spacing w:line="152" w:lineRule="exact" w:before="5"/>
              <w:ind w:right="56"/>
              <w:jc w:val="right"/>
              <w:rPr>
                <w:sz w:val="13"/>
              </w:rPr>
            </w:pPr>
            <w:r>
              <w:rPr>
                <w:w w:val="105"/>
                <w:sz w:val="13"/>
              </w:rPr>
              <w:t>6.595,19</w:t>
            </w:r>
          </w:p>
        </w:tc>
        <w:tc>
          <w:tcPr>
            <w:tcW w:w="916" w:type="dxa"/>
          </w:tcPr>
          <w:p>
            <w:pPr>
              <w:pStyle w:val="TableParagraph"/>
              <w:spacing w:line="152" w:lineRule="exact" w:before="5"/>
              <w:ind w:right="150"/>
              <w:jc w:val="right"/>
              <w:rPr>
                <w:sz w:val="13"/>
              </w:rPr>
            </w:pPr>
            <w:r>
              <w:rPr>
                <w:w w:val="105"/>
                <w:sz w:val="13"/>
              </w:rPr>
              <w:t>-222,87</w:t>
            </w:r>
          </w:p>
        </w:tc>
        <w:tc>
          <w:tcPr>
            <w:tcW w:w="590" w:type="dxa"/>
          </w:tcPr>
          <w:p>
            <w:pPr>
              <w:pStyle w:val="TableParagraph"/>
              <w:spacing w:line="152" w:lineRule="exact" w:before="5"/>
              <w:ind w:right="53"/>
              <w:jc w:val="right"/>
              <w:rPr>
                <w:sz w:val="13"/>
              </w:rPr>
            </w:pPr>
            <w:r>
              <w:rPr>
                <w:sz w:val="13"/>
              </w:rPr>
              <w:t>96,78</w:t>
            </w:r>
          </w:p>
        </w:tc>
      </w:tr>
      <w:tr>
        <w:trPr>
          <w:trHeight w:val="341" w:hRule="atLeast"/>
        </w:trPr>
        <w:tc>
          <w:tcPr>
            <w:tcW w:w="2258" w:type="dxa"/>
          </w:tcPr>
          <w:p>
            <w:pPr>
              <w:pStyle w:val="TableParagraph"/>
              <w:spacing w:line="150" w:lineRule="exact"/>
              <w:ind w:left="70"/>
              <w:rPr>
                <w:sz w:val="13"/>
              </w:rPr>
            </w:pPr>
            <w:r>
              <w:rPr>
                <w:w w:val="105"/>
                <w:sz w:val="13"/>
              </w:rPr>
              <w:t>Servicios Sociales</w:t>
            </w:r>
          </w:p>
          <w:p>
            <w:pPr>
              <w:pStyle w:val="TableParagraph"/>
              <w:spacing w:before="6"/>
              <w:ind w:left="70"/>
              <w:rPr>
                <w:sz w:val="13"/>
              </w:rPr>
            </w:pPr>
            <w:r>
              <w:rPr>
                <w:w w:val="105"/>
                <w:sz w:val="13"/>
              </w:rPr>
              <w:t>Asistencia Sanitaria Y Salud Pública</w:t>
            </w:r>
          </w:p>
        </w:tc>
        <w:tc>
          <w:tcPr>
            <w:tcW w:w="738" w:type="dxa"/>
          </w:tcPr>
          <w:p>
            <w:pPr>
              <w:pStyle w:val="TableParagraph"/>
              <w:spacing w:before="10"/>
              <w:rPr>
                <w:b/>
                <w:sz w:val="12"/>
              </w:rPr>
            </w:pPr>
          </w:p>
          <w:p>
            <w:pPr>
              <w:pStyle w:val="TableParagraph"/>
              <w:ind w:right="114"/>
              <w:jc w:val="right"/>
              <w:rPr>
                <w:sz w:val="13"/>
              </w:rPr>
            </w:pPr>
            <w:r>
              <w:rPr>
                <w:w w:val="105"/>
                <w:sz w:val="13"/>
              </w:rPr>
              <w:t>3.222,19</w:t>
            </w:r>
          </w:p>
        </w:tc>
        <w:tc>
          <w:tcPr>
            <w:tcW w:w="704" w:type="dxa"/>
          </w:tcPr>
          <w:p>
            <w:pPr>
              <w:pStyle w:val="TableParagraph"/>
              <w:spacing w:before="10"/>
              <w:rPr>
                <w:b/>
                <w:sz w:val="12"/>
              </w:rPr>
            </w:pPr>
          </w:p>
          <w:p>
            <w:pPr>
              <w:pStyle w:val="TableParagraph"/>
              <w:ind w:right="102"/>
              <w:jc w:val="right"/>
              <w:rPr>
                <w:sz w:val="13"/>
              </w:rPr>
            </w:pPr>
            <w:r>
              <w:rPr>
                <w:sz w:val="13"/>
              </w:rPr>
              <w:t>502,06</w:t>
            </w:r>
          </w:p>
        </w:tc>
        <w:tc>
          <w:tcPr>
            <w:tcW w:w="771" w:type="dxa"/>
          </w:tcPr>
          <w:p>
            <w:pPr>
              <w:pStyle w:val="TableParagraph"/>
              <w:spacing w:before="10"/>
              <w:rPr>
                <w:b/>
                <w:sz w:val="12"/>
              </w:rPr>
            </w:pPr>
          </w:p>
          <w:p>
            <w:pPr>
              <w:pStyle w:val="TableParagraph"/>
              <w:ind w:right="111"/>
              <w:jc w:val="right"/>
              <w:rPr>
                <w:sz w:val="13"/>
              </w:rPr>
            </w:pPr>
            <w:r>
              <w:rPr>
                <w:w w:val="105"/>
                <w:sz w:val="13"/>
              </w:rPr>
              <w:t>3.724,25</w:t>
            </w:r>
          </w:p>
        </w:tc>
        <w:tc>
          <w:tcPr>
            <w:tcW w:w="656" w:type="dxa"/>
          </w:tcPr>
          <w:p>
            <w:pPr>
              <w:pStyle w:val="TableParagraph"/>
              <w:spacing w:before="10"/>
              <w:rPr>
                <w:b/>
                <w:sz w:val="12"/>
              </w:rPr>
            </w:pPr>
          </w:p>
          <w:p>
            <w:pPr>
              <w:pStyle w:val="TableParagraph"/>
              <w:ind w:right="54"/>
              <w:jc w:val="right"/>
              <w:rPr>
                <w:sz w:val="13"/>
              </w:rPr>
            </w:pPr>
            <w:r>
              <w:rPr>
                <w:w w:val="105"/>
                <w:sz w:val="13"/>
              </w:rPr>
              <w:t>3.724,25</w:t>
            </w:r>
          </w:p>
        </w:tc>
        <w:tc>
          <w:tcPr>
            <w:tcW w:w="601" w:type="dxa"/>
          </w:tcPr>
          <w:p>
            <w:pPr>
              <w:pStyle w:val="TableParagraph"/>
              <w:spacing w:before="10"/>
              <w:rPr>
                <w:b/>
                <w:sz w:val="12"/>
              </w:rPr>
            </w:pPr>
          </w:p>
          <w:p>
            <w:pPr>
              <w:pStyle w:val="TableParagraph"/>
              <w:ind w:right="56"/>
              <w:jc w:val="right"/>
              <w:rPr>
                <w:sz w:val="13"/>
              </w:rPr>
            </w:pPr>
            <w:r>
              <w:rPr>
                <w:w w:val="105"/>
                <w:sz w:val="13"/>
              </w:rPr>
              <w:t>3.723,55</w:t>
            </w:r>
          </w:p>
        </w:tc>
        <w:tc>
          <w:tcPr>
            <w:tcW w:w="916" w:type="dxa"/>
          </w:tcPr>
          <w:p>
            <w:pPr>
              <w:pStyle w:val="TableParagraph"/>
              <w:spacing w:before="10"/>
              <w:rPr>
                <w:b/>
                <w:sz w:val="12"/>
              </w:rPr>
            </w:pPr>
          </w:p>
          <w:p>
            <w:pPr>
              <w:pStyle w:val="TableParagraph"/>
              <w:ind w:right="150"/>
              <w:jc w:val="right"/>
              <w:rPr>
                <w:sz w:val="13"/>
              </w:rPr>
            </w:pPr>
            <w:r>
              <w:rPr>
                <w:sz w:val="13"/>
              </w:rPr>
              <w:t>-0,01</w:t>
            </w:r>
          </w:p>
        </w:tc>
        <w:tc>
          <w:tcPr>
            <w:tcW w:w="590" w:type="dxa"/>
          </w:tcPr>
          <w:p>
            <w:pPr>
              <w:pStyle w:val="TableParagraph"/>
              <w:spacing w:before="10"/>
              <w:rPr>
                <w:b/>
                <w:sz w:val="12"/>
              </w:rPr>
            </w:pPr>
          </w:p>
          <w:p>
            <w:pPr>
              <w:pStyle w:val="TableParagraph"/>
              <w:ind w:right="53"/>
              <w:jc w:val="right"/>
              <w:rPr>
                <w:sz w:val="13"/>
              </w:rPr>
            </w:pPr>
            <w:r>
              <w:rPr>
                <w:sz w:val="13"/>
              </w:rPr>
              <w:t>100,00</w:t>
            </w:r>
          </w:p>
        </w:tc>
      </w:tr>
      <w:tr>
        <w:trPr>
          <w:trHeight w:val="190" w:hRule="atLeast"/>
        </w:trPr>
        <w:tc>
          <w:tcPr>
            <w:tcW w:w="2258" w:type="dxa"/>
          </w:tcPr>
          <w:p>
            <w:pPr>
              <w:pStyle w:val="TableParagraph"/>
              <w:spacing w:before="4"/>
              <w:ind w:left="70"/>
              <w:rPr>
                <w:sz w:val="13"/>
              </w:rPr>
            </w:pPr>
            <w:r>
              <w:rPr>
                <w:w w:val="105"/>
                <w:sz w:val="13"/>
              </w:rPr>
              <w:t>Acción Social</w:t>
            </w:r>
          </w:p>
        </w:tc>
        <w:tc>
          <w:tcPr>
            <w:tcW w:w="738" w:type="dxa"/>
          </w:tcPr>
          <w:p>
            <w:pPr>
              <w:pStyle w:val="TableParagraph"/>
              <w:spacing w:before="4"/>
              <w:ind w:right="114"/>
              <w:jc w:val="right"/>
              <w:rPr>
                <w:sz w:val="13"/>
              </w:rPr>
            </w:pPr>
            <w:r>
              <w:rPr>
                <w:sz w:val="13"/>
              </w:rPr>
              <w:t>577,34</w:t>
            </w:r>
          </w:p>
        </w:tc>
        <w:tc>
          <w:tcPr>
            <w:tcW w:w="704" w:type="dxa"/>
          </w:tcPr>
          <w:p>
            <w:pPr>
              <w:pStyle w:val="TableParagraph"/>
              <w:spacing w:before="4"/>
              <w:ind w:right="102"/>
              <w:jc w:val="right"/>
              <w:rPr>
                <w:sz w:val="13"/>
              </w:rPr>
            </w:pPr>
            <w:r>
              <w:rPr>
                <w:sz w:val="13"/>
              </w:rPr>
              <w:t>77,08</w:t>
            </w:r>
          </w:p>
        </w:tc>
        <w:tc>
          <w:tcPr>
            <w:tcW w:w="771" w:type="dxa"/>
          </w:tcPr>
          <w:p>
            <w:pPr>
              <w:pStyle w:val="TableParagraph"/>
              <w:spacing w:before="4"/>
              <w:ind w:right="111"/>
              <w:jc w:val="right"/>
              <w:rPr>
                <w:sz w:val="13"/>
              </w:rPr>
            </w:pPr>
            <w:r>
              <w:rPr>
                <w:sz w:val="13"/>
              </w:rPr>
              <w:t>654,41</w:t>
            </w:r>
          </w:p>
        </w:tc>
        <w:tc>
          <w:tcPr>
            <w:tcW w:w="656" w:type="dxa"/>
          </w:tcPr>
          <w:p>
            <w:pPr>
              <w:pStyle w:val="TableParagraph"/>
              <w:spacing w:before="4"/>
              <w:ind w:right="54"/>
              <w:jc w:val="right"/>
              <w:rPr>
                <w:sz w:val="13"/>
              </w:rPr>
            </w:pPr>
            <w:r>
              <w:rPr>
                <w:sz w:val="13"/>
              </w:rPr>
              <w:t>603,48</w:t>
            </w:r>
          </w:p>
        </w:tc>
        <w:tc>
          <w:tcPr>
            <w:tcW w:w="601" w:type="dxa"/>
          </w:tcPr>
          <w:p>
            <w:pPr>
              <w:pStyle w:val="TableParagraph"/>
              <w:spacing w:before="4"/>
              <w:ind w:right="56"/>
              <w:jc w:val="right"/>
              <w:rPr>
                <w:sz w:val="13"/>
              </w:rPr>
            </w:pPr>
            <w:r>
              <w:rPr>
                <w:sz w:val="13"/>
              </w:rPr>
              <w:t>557,12</w:t>
            </w:r>
          </w:p>
        </w:tc>
        <w:tc>
          <w:tcPr>
            <w:tcW w:w="916" w:type="dxa"/>
          </w:tcPr>
          <w:p>
            <w:pPr>
              <w:pStyle w:val="TableParagraph"/>
              <w:spacing w:before="4"/>
              <w:ind w:right="150"/>
              <w:jc w:val="right"/>
              <w:rPr>
                <w:sz w:val="13"/>
              </w:rPr>
            </w:pPr>
            <w:r>
              <w:rPr>
                <w:w w:val="105"/>
                <w:sz w:val="13"/>
              </w:rPr>
              <w:t>-50,94</w:t>
            </w:r>
          </w:p>
        </w:tc>
        <w:tc>
          <w:tcPr>
            <w:tcW w:w="590" w:type="dxa"/>
          </w:tcPr>
          <w:p>
            <w:pPr>
              <w:pStyle w:val="TableParagraph"/>
              <w:spacing w:before="4"/>
              <w:ind w:right="53"/>
              <w:jc w:val="right"/>
              <w:rPr>
                <w:sz w:val="13"/>
              </w:rPr>
            </w:pPr>
            <w:r>
              <w:rPr>
                <w:sz w:val="13"/>
              </w:rPr>
              <w:t>92,22</w:t>
            </w:r>
          </w:p>
        </w:tc>
      </w:tr>
      <w:tr>
        <w:trPr>
          <w:trHeight w:val="190" w:hRule="atLeast"/>
        </w:trPr>
        <w:tc>
          <w:tcPr>
            <w:tcW w:w="2258" w:type="dxa"/>
          </w:tcPr>
          <w:p>
            <w:pPr>
              <w:pStyle w:val="TableParagraph"/>
              <w:spacing w:before="5"/>
              <w:ind w:left="70"/>
              <w:rPr>
                <w:sz w:val="13"/>
              </w:rPr>
            </w:pPr>
            <w:r>
              <w:rPr>
                <w:w w:val="105"/>
                <w:sz w:val="13"/>
              </w:rPr>
              <w:t>Empleo Y Formación Profesional</w:t>
            </w:r>
          </w:p>
        </w:tc>
        <w:tc>
          <w:tcPr>
            <w:tcW w:w="738" w:type="dxa"/>
          </w:tcPr>
          <w:p>
            <w:pPr>
              <w:pStyle w:val="TableParagraph"/>
              <w:spacing w:before="5"/>
              <w:ind w:right="114"/>
              <w:jc w:val="right"/>
              <w:rPr>
                <w:sz w:val="13"/>
              </w:rPr>
            </w:pPr>
            <w:r>
              <w:rPr>
                <w:sz w:val="13"/>
              </w:rPr>
              <w:t>127,48</w:t>
            </w:r>
          </w:p>
        </w:tc>
        <w:tc>
          <w:tcPr>
            <w:tcW w:w="704" w:type="dxa"/>
          </w:tcPr>
          <w:p>
            <w:pPr>
              <w:pStyle w:val="TableParagraph"/>
              <w:spacing w:before="5"/>
              <w:ind w:right="102"/>
              <w:jc w:val="right"/>
              <w:rPr>
                <w:sz w:val="13"/>
              </w:rPr>
            </w:pPr>
            <w:r>
              <w:rPr>
                <w:sz w:val="13"/>
              </w:rPr>
              <w:t>23,88</w:t>
            </w:r>
          </w:p>
        </w:tc>
        <w:tc>
          <w:tcPr>
            <w:tcW w:w="771" w:type="dxa"/>
          </w:tcPr>
          <w:p>
            <w:pPr>
              <w:pStyle w:val="TableParagraph"/>
              <w:spacing w:before="5"/>
              <w:ind w:right="111"/>
              <w:jc w:val="right"/>
              <w:rPr>
                <w:sz w:val="13"/>
              </w:rPr>
            </w:pPr>
            <w:r>
              <w:rPr>
                <w:sz w:val="13"/>
              </w:rPr>
              <w:t>151,35</w:t>
            </w:r>
          </w:p>
        </w:tc>
        <w:tc>
          <w:tcPr>
            <w:tcW w:w="656" w:type="dxa"/>
          </w:tcPr>
          <w:p>
            <w:pPr>
              <w:pStyle w:val="TableParagraph"/>
              <w:spacing w:before="5"/>
              <w:ind w:right="54"/>
              <w:jc w:val="right"/>
              <w:rPr>
                <w:sz w:val="13"/>
              </w:rPr>
            </w:pPr>
            <w:r>
              <w:rPr>
                <w:sz w:val="13"/>
              </w:rPr>
              <w:t>130,18</w:t>
            </w:r>
          </w:p>
        </w:tc>
        <w:tc>
          <w:tcPr>
            <w:tcW w:w="601" w:type="dxa"/>
          </w:tcPr>
          <w:p>
            <w:pPr>
              <w:pStyle w:val="TableParagraph"/>
              <w:spacing w:before="5"/>
              <w:ind w:right="56"/>
              <w:jc w:val="right"/>
              <w:rPr>
                <w:sz w:val="13"/>
              </w:rPr>
            </w:pPr>
            <w:r>
              <w:rPr>
                <w:sz w:val="13"/>
              </w:rPr>
              <w:t>124,55</w:t>
            </w:r>
          </w:p>
        </w:tc>
        <w:tc>
          <w:tcPr>
            <w:tcW w:w="916" w:type="dxa"/>
          </w:tcPr>
          <w:p>
            <w:pPr>
              <w:pStyle w:val="TableParagraph"/>
              <w:spacing w:before="5"/>
              <w:ind w:right="150"/>
              <w:jc w:val="right"/>
              <w:rPr>
                <w:sz w:val="13"/>
              </w:rPr>
            </w:pPr>
            <w:r>
              <w:rPr>
                <w:w w:val="105"/>
                <w:sz w:val="13"/>
              </w:rPr>
              <w:t>-21,17</w:t>
            </w:r>
          </w:p>
        </w:tc>
        <w:tc>
          <w:tcPr>
            <w:tcW w:w="590" w:type="dxa"/>
          </w:tcPr>
          <w:p>
            <w:pPr>
              <w:pStyle w:val="TableParagraph"/>
              <w:spacing w:before="5"/>
              <w:ind w:right="53"/>
              <w:jc w:val="right"/>
              <w:rPr>
                <w:sz w:val="13"/>
              </w:rPr>
            </w:pPr>
            <w:r>
              <w:rPr>
                <w:sz w:val="13"/>
              </w:rPr>
              <w:t>86,01</w:t>
            </w:r>
          </w:p>
        </w:tc>
      </w:tr>
      <w:tr>
        <w:trPr>
          <w:trHeight w:val="190" w:hRule="atLeast"/>
        </w:trPr>
        <w:tc>
          <w:tcPr>
            <w:tcW w:w="2258" w:type="dxa"/>
          </w:tcPr>
          <w:p>
            <w:pPr>
              <w:pStyle w:val="TableParagraph"/>
              <w:spacing w:before="4"/>
              <w:ind w:left="70"/>
              <w:rPr>
                <w:sz w:val="13"/>
              </w:rPr>
            </w:pPr>
            <w:r>
              <w:rPr>
                <w:w w:val="105"/>
                <w:sz w:val="13"/>
              </w:rPr>
              <w:t>Vivienda</w:t>
            </w:r>
          </w:p>
        </w:tc>
        <w:tc>
          <w:tcPr>
            <w:tcW w:w="738" w:type="dxa"/>
          </w:tcPr>
          <w:p>
            <w:pPr>
              <w:pStyle w:val="TableParagraph"/>
              <w:spacing w:before="4"/>
              <w:ind w:right="114"/>
              <w:jc w:val="right"/>
              <w:rPr>
                <w:sz w:val="13"/>
              </w:rPr>
            </w:pPr>
            <w:r>
              <w:rPr>
                <w:sz w:val="13"/>
              </w:rPr>
              <w:t>115,35</w:t>
            </w:r>
          </w:p>
        </w:tc>
        <w:tc>
          <w:tcPr>
            <w:tcW w:w="704" w:type="dxa"/>
          </w:tcPr>
          <w:p>
            <w:pPr>
              <w:pStyle w:val="TableParagraph"/>
              <w:spacing w:before="4"/>
              <w:ind w:right="102"/>
              <w:jc w:val="right"/>
              <w:rPr>
                <w:sz w:val="13"/>
              </w:rPr>
            </w:pPr>
            <w:r>
              <w:rPr>
                <w:sz w:val="13"/>
              </w:rPr>
              <w:t>-5,64</w:t>
            </w:r>
          </w:p>
        </w:tc>
        <w:tc>
          <w:tcPr>
            <w:tcW w:w="771" w:type="dxa"/>
          </w:tcPr>
          <w:p>
            <w:pPr>
              <w:pStyle w:val="TableParagraph"/>
              <w:spacing w:before="4"/>
              <w:ind w:right="111"/>
              <w:jc w:val="right"/>
              <w:rPr>
                <w:sz w:val="13"/>
              </w:rPr>
            </w:pPr>
            <w:r>
              <w:rPr>
                <w:sz w:val="13"/>
              </w:rPr>
              <w:t>109,72</w:t>
            </w:r>
          </w:p>
        </w:tc>
        <w:tc>
          <w:tcPr>
            <w:tcW w:w="656" w:type="dxa"/>
          </w:tcPr>
          <w:p>
            <w:pPr>
              <w:pStyle w:val="TableParagraph"/>
              <w:spacing w:before="4"/>
              <w:ind w:right="54"/>
              <w:jc w:val="right"/>
              <w:rPr>
                <w:sz w:val="13"/>
              </w:rPr>
            </w:pPr>
            <w:r>
              <w:rPr>
                <w:sz w:val="13"/>
              </w:rPr>
              <w:t>109,72</w:t>
            </w:r>
          </w:p>
        </w:tc>
        <w:tc>
          <w:tcPr>
            <w:tcW w:w="601" w:type="dxa"/>
          </w:tcPr>
          <w:p>
            <w:pPr>
              <w:pStyle w:val="TableParagraph"/>
              <w:spacing w:before="4"/>
              <w:ind w:right="56"/>
              <w:jc w:val="right"/>
              <w:rPr>
                <w:sz w:val="13"/>
              </w:rPr>
            </w:pPr>
            <w:r>
              <w:rPr>
                <w:sz w:val="13"/>
              </w:rPr>
              <w:t>103,68</w:t>
            </w:r>
          </w:p>
        </w:tc>
        <w:tc>
          <w:tcPr>
            <w:tcW w:w="916" w:type="dxa"/>
          </w:tcPr>
          <w:p>
            <w:pPr>
              <w:pStyle w:val="TableParagraph"/>
              <w:spacing w:before="4"/>
              <w:ind w:right="150"/>
              <w:jc w:val="right"/>
              <w:rPr>
                <w:sz w:val="13"/>
              </w:rPr>
            </w:pPr>
            <w:r>
              <w:rPr>
                <w:sz w:val="13"/>
              </w:rPr>
              <w:t>0,00</w:t>
            </w:r>
          </w:p>
        </w:tc>
        <w:tc>
          <w:tcPr>
            <w:tcW w:w="590" w:type="dxa"/>
          </w:tcPr>
          <w:p>
            <w:pPr>
              <w:pStyle w:val="TableParagraph"/>
              <w:spacing w:before="4"/>
              <w:ind w:right="53"/>
              <w:jc w:val="right"/>
              <w:rPr>
                <w:sz w:val="13"/>
              </w:rPr>
            </w:pPr>
            <w:r>
              <w:rPr>
                <w:sz w:val="13"/>
              </w:rPr>
              <w:t>100,00</w:t>
            </w:r>
          </w:p>
        </w:tc>
      </w:tr>
      <w:tr>
        <w:trPr>
          <w:trHeight w:val="190" w:hRule="atLeast"/>
        </w:trPr>
        <w:tc>
          <w:tcPr>
            <w:tcW w:w="2258" w:type="dxa"/>
          </w:tcPr>
          <w:p>
            <w:pPr>
              <w:pStyle w:val="TableParagraph"/>
              <w:spacing w:before="5"/>
              <w:ind w:left="70"/>
              <w:rPr>
                <w:sz w:val="13"/>
              </w:rPr>
            </w:pPr>
            <w:r>
              <w:rPr>
                <w:w w:val="105"/>
                <w:sz w:val="13"/>
              </w:rPr>
              <w:t>Educación</w:t>
            </w:r>
          </w:p>
        </w:tc>
        <w:tc>
          <w:tcPr>
            <w:tcW w:w="738" w:type="dxa"/>
          </w:tcPr>
          <w:p>
            <w:pPr>
              <w:pStyle w:val="TableParagraph"/>
              <w:spacing w:before="5"/>
              <w:ind w:right="114"/>
              <w:jc w:val="right"/>
              <w:rPr>
                <w:sz w:val="13"/>
              </w:rPr>
            </w:pPr>
            <w:r>
              <w:rPr>
                <w:w w:val="105"/>
                <w:sz w:val="13"/>
              </w:rPr>
              <w:t>2.064,30</w:t>
            </w:r>
          </w:p>
        </w:tc>
        <w:tc>
          <w:tcPr>
            <w:tcW w:w="704" w:type="dxa"/>
          </w:tcPr>
          <w:p>
            <w:pPr>
              <w:pStyle w:val="TableParagraph"/>
              <w:spacing w:before="5"/>
              <w:ind w:right="102"/>
              <w:jc w:val="right"/>
              <w:rPr>
                <w:sz w:val="13"/>
              </w:rPr>
            </w:pPr>
            <w:r>
              <w:rPr>
                <w:sz w:val="13"/>
              </w:rPr>
              <w:t>162,86</w:t>
            </w:r>
          </w:p>
        </w:tc>
        <w:tc>
          <w:tcPr>
            <w:tcW w:w="771" w:type="dxa"/>
          </w:tcPr>
          <w:p>
            <w:pPr>
              <w:pStyle w:val="TableParagraph"/>
              <w:spacing w:before="5"/>
              <w:ind w:right="111"/>
              <w:jc w:val="right"/>
              <w:rPr>
                <w:sz w:val="13"/>
              </w:rPr>
            </w:pPr>
            <w:r>
              <w:rPr>
                <w:w w:val="105"/>
                <w:sz w:val="13"/>
              </w:rPr>
              <w:t>2.227,15</w:t>
            </w:r>
          </w:p>
        </w:tc>
        <w:tc>
          <w:tcPr>
            <w:tcW w:w="656" w:type="dxa"/>
          </w:tcPr>
          <w:p>
            <w:pPr>
              <w:pStyle w:val="TableParagraph"/>
              <w:spacing w:before="5"/>
              <w:ind w:right="54"/>
              <w:jc w:val="right"/>
              <w:rPr>
                <w:sz w:val="13"/>
              </w:rPr>
            </w:pPr>
            <w:r>
              <w:rPr>
                <w:w w:val="105"/>
                <w:sz w:val="13"/>
              </w:rPr>
              <w:t>2.087,58</w:t>
            </w:r>
          </w:p>
        </w:tc>
        <w:tc>
          <w:tcPr>
            <w:tcW w:w="601" w:type="dxa"/>
          </w:tcPr>
          <w:p>
            <w:pPr>
              <w:pStyle w:val="TableParagraph"/>
              <w:spacing w:before="5"/>
              <w:ind w:right="56"/>
              <w:jc w:val="right"/>
              <w:rPr>
                <w:sz w:val="13"/>
              </w:rPr>
            </w:pPr>
            <w:r>
              <w:rPr>
                <w:w w:val="105"/>
                <w:sz w:val="13"/>
              </w:rPr>
              <w:t>2.045,63</w:t>
            </w:r>
          </w:p>
        </w:tc>
        <w:tc>
          <w:tcPr>
            <w:tcW w:w="916" w:type="dxa"/>
          </w:tcPr>
          <w:p>
            <w:pPr>
              <w:pStyle w:val="TableParagraph"/>
              <w:spacing w:before="5"/>
              <w:ind w:right="150"/>
              <w:jc w:val="right"/>
              <w:rPr>
                <w:sz w:val="13"/>
              </w:rPr>
            </w:pPr>
            <w:r>
              <w:rPr>
                <w:w w:val="105"/>
                <w:sz w:val="13"/>
              </w:rPr>
              <w:t>-139,58</w:t>
            </w:r>
          </w:p>
        </w:tc>
        <w:tc>
          <w:tcPr>
            <w:tcW w:w="590" w:type="dxa"/>
          </w:tcPr>
          <w:p>
            <w:pPr>
              <w:pStyle w:val="TableParagraph"/>
              <w:spacing w:before="5"/>
              <w:ind w:right="53"/>
              <w:jc w:val="right"/>
              <w:rPr>
                <w:sz w:val="13"/>
              </w:rPr>
            </w:pPr>
            <w:r>
              <w:rPr>
                <w:sz w:val="13"/>
              </w:rPr>
              <w:t>93,73</w:t>
            </w:r>
          </w:p>
        </w:tc>
      </w:tr>
      <w:tr>
        <w:trPr>
          <w:trHeight w:val="190" w:hRule="atLeast"/>
        </w:trPr>
        <w:tc>
          <w:tcPr>
            <w:tcW w:w="2258" w:type="dxa"/>
          </w:tcPr>
          <w:p>
            <w:pPr>
              <w:pStyle w:val="TableParagraph"/>
              <w:spacing w:before="5"/>
              <w:ind w:left="70"/>
              <w:rPr>
                <w:sz w:val="13"/>
              </w:rPr>
            </w:pPr>
            <w:r>
              <w:rPr>
                <w:w w:val="105"/>
                <w:sz w:val="13"/>
              </w:rPr>
              <w:t>Cultura Y Deportes</w:t>
            </w:r>
          </w:p>
        </w:tc>
        <w:tc>
          <w:tcPr>
            <w:tcW w:w="738" w:type="dxa"/>
          </w:tcPr>
          <w:p>
            <w:pPr>
              <w:pStyle w:val="TableParagraph"/>
              <w:spacing w:before="5"/>
              <w:ind w:right="114"/>
              <w:jc w:val="right"/>
              <w:rPr>
                <w:sz w:val="13"/>
              </w:rPr>
            </w:pPr>
            <w:r>
              <w:rPr>
                <w:sz w:val="13"/>
              </w:rPr>
              <w:t>54,61</w:t>
            </w:r>
          </w:p>
        </w:tc>
        <w:tc>
          <w:tcPr>
            <w:tcW w:w="704" w:type="dxa"/>
          </w:tcPr>
          <w:p>
            <w:pPr>
              <w:pStyle w:val="TableParagraph"/>
              <w:spacing w:before="5"/>
              <w:ind w:right="102"/>
              <w:jc w:val="right"/>
              <w:rPr>
                <w:sz w:val="13"/>
              </w:rPr>
            </w:pPr>
            <w:r>
              <w:rPr>
                <w:sz w:val="13"/>
              </w:rPr>
              <w:t>10,05</w:t>
            </w:r>
          </w:p>
        </w:tc>
        <w:tc>
          <w:tcPr>
            <w:tcW w:w="771" w:type="dxa"/>
          </w:tcPr>
          <w:p>
            <w:pPr>
              <w:pStyle w:val="TableParagraph"/>
              <w:spacing w:before="5"/>
              <w:ind w:right="111"/>
              <w:jc w:val="right"/>
              <w:rPr>
                <w:sz w:val="13"/>
              </w:rPr>
            </w:pPr>
            <w:r>
              <w:rPr>
                <w:sz w:val="13"/>
              </w:rPr>
              <w:t>64,66</w:t>
            </w:r>
          </w:p>
        </w:tc>
        <w:tc>
          <w:tcPr>
            <w:tcW w:w="656" w:type="dxa"/>
          </w:tcPr>
          <w:p>
            <w:pPr>
              <w:pStyle w:val="TableParagraph"/>
              <w:spacing w:before="5"/>
              <w:ind w:right="54"/>
              <w:jc w:val="right"/>
              <w:rPr>
                <w:sz w:val="13"/>
              </w:rPr>
            </w:pPr>
            <w:r>
              <w:rPr>
                <w:sz w:val="13"/>
              </w:rPr>
              <w:t>53,48</w:t>
            </w:r>
          </w:p>
        </w:tc>
        <w:tc>
          <w:tcPr>
            <w:tcW w:w="601" w:type="dxa"/>
          </w:tcPr>
          <w:p>
            <w:pPr>
              <w:pStyle w:val="TableParagraph"/>
              <w:spacing w:before="5"/>
              <w:ind w:right="56"/>
              <w:jc w:val="right"/>
              <w:rPr>
                <w:sz w:val="13"/>
              </w:rPr>
            </w:pPr>
            <w:r>
              <w:rPr>
                <w:sz w:val="13"/>
              </w:rPr>
              <w:t>40,65</w:t>
            </w:r>
          </w:p>
        </w:tc>
        <w:tc>
          <w:tcPr>
            <w:tcW w:w="916" w:type="dxa"/>
          </w:tcPr>
          <w:p>
            <w:pPr>
              <w:pStyle w:val="TableParagraph"/>
              <w:spacing w:before="5"/>
              <w:ind w:right="150"/>
              <w:jc w:val="right"/>
              <w:rPr>
                <w:sz w:val="13"/>
              </w:rPr>
            </w:pPr>
            <w:r>
              <w:rPr>
                <w:w w:val="105"/>
                <w:sz w:val="13"/>
              </w:rPr>
              <w:t>-11,18</w:t>
            </w:r>
          </w:p>
        </w:tc>
        <w:tc>
          <w:tcPr>
            <w:tcW w:w="590" w:type="dxa"/>
          </w:tcPr>
          <w:p>
            <w:pPr>
              <w:pStyle w:val="TableParagraph"/>
              <w:spacing w:before="5"/>
              <w:ind w:right="53"/>
              <w:jc w:val="right"/>
              <w:rPr>
                <w:sz w:val="13"/>
              </w:rPr>
            </w:pPr>
            <w:r>
              <w:rPr>
                <w:sz w:val="13"/>
              </w:rPr>
              <w:t>82,70</w:t>
            </w:r>
          </w:p>
        </w:tc>
      </w:tr>
      <w:tr>
        <w:trPr>
          <w:trHeight w:val="191" w:hRule="atLeast"/>
        </w:trPr>
        <w:tc>
          <w:tcPr>
            <w:tcW w:w="2258" w:type="dxa"/>
          </w:tcPr>
          <w:p>
            <w:pPr>
              <w:pStyle w:val="TableParagraph"/>
              <w:spacing w:before="5"/>
              <w:ind w:left="70"/>
              <w:rPr>
                <w:sz w:val="13"/>
              </w:rPr>
            </w:pPr>
            <w:r>
              <w:rPr>
                <w:w w:val="105"/>
                <w:sz w:val="13"/>
              </w:rPr>
              <w:t>Desarrollo de los sectores productiv</w:t>
            </w:r>
          </w:p>
        </w:tc>
        <w:tc>
          <w:tcPr>
            <w:tcW w:w="738" w:type="dxa"/>
          </w:tcPr>
          <w:p>
            <w:pPr>
              <w:pStyle w:val="TableParagraph"/>
              <w:spacing w:before="5"/>
              <w:ind w:right="114"/>
              <w:jc w:val="right"/>
              <w:rPr>
                <w:sz w:val="13"/>
              </w:rPr>
            </w:pPr>
            <w:r>
              <w:rPr>
                <w:sz w:val="13"/>
              </w:rPr>
              <w:t>391,76</w:t>
            </w:r>
          </w:p>
        </w:tc>
        <w:tc>
          <w:tcPr>
            <w:tcW w:w="704" w:type="dxa"/>
          </w:tcPr>
          <w:p>
            <w:pPr>
              <w:pStyle w:val="TableParagraph"/>
              <w:spacing w:before="5"/>
              <w:ind w:right="102"/>
              <w:jc w:val="right"/>
              <w:rPr>
                <w:sz w:val="13"/>
              </w:rPr>
            </w:pPr>
            <w:r>
              <w:rPr>
                <w:sz w:val="13"/>
              </w:rPr>
              <w:t>188,95</w:t>
            </w:r>
          </w:p>
        </w:tc>
        <w:tc>
          <w:tcPr>
            <w:tcW w:w="771" w:type="dxa"/>
          </w:tcPr>
          <w:p>
            <w:pPr>
              <w:pStyle w:val="TableParagraph"/>
              <w:spacing w:before="5"/>
              <w:ind w:right="111"/>
              <w:jc w:val="right"/>
              <w:rPr>
                <w:sz w:val="13"/>
              </w:rPr>
            </w:pPr>
            <w:r>
              <w:rPr>
                <w:sz w:val="13"/>
              </w:rPr>
              <w:t>580,71</w:t>
            </w:r>
          </w:p>
        </w:tc>
        <w:tc>
          <w:tcPr>
            <w:tcW w:w="656" w:type="dxa"/>
          </w:tcPr>
          <w:p>
            <w:pPr>
              <w:pStyle w:val="TableParagraph"/>
              <w:spacing w:before="5"/>
              <w:ind w:right="54"/>
              <w:jc w:val="right"/>
              <w:rPr>
                <w:sz w:val="13"/>
              </w:rPr>
            </w:pPr>
            <w:r>
              <w:rPr>
                <w:sz w:val="13"/>
              </w:rPr>
              <w:t>430,54</w:t>
            </w:r>
          </w:p>
        </w:tc>
        <w:tc>
          <w:tcPr>
            <w:tcW w:w="601" w:type="dxa"/>
          </w:tcPr>
          <w:p>
            <w:pPr>
              <w:pStyle w:val="TableParagraph"/>
              <w:spacing w:before="5"/>
              <w:ind w:right="56"/>
              <w:jc w:val="right"/>
              <w:rPr>
                <w:sz w:val="13"/>
              </w:rPr>
            </w:pPr>
            <w:r>
              <w:rPr>
                <w:sz w:val="13"/>
              </w:rPr>
              <w:t>321,70</w:t>
            </w:r>
          </w:p>
        </w:tc>
        <w:tc>
          <w:tcPr>
            <w:tcW w:w="916" w:type="dxa"/>
          </w:tcPr>
          <w:p>
            <w:pPr>
              <w:pStyle w:val="TableParagraph"/>
              <w:spacing w:before="5"/>
              <w:ind w:right="150"/>
              <w:jc w:val="right"/>
              <w:rPr>
                <w:sz w:val="13"/>
              </w:rPr>
            </w:pPr>
            <w:r>
              <w:rPr>
                <w:w w:val="105"/>
                <w:sz w:val="13"/>
              </w:rPr>
              <w:t>-150,17</w:t>
            </w:r>
          </w:p>
        </w:tc>
        <w:tc>
          <w:tcPr>
            <w:tcW w:w="590" w:type="dxa"/>
          </w:tcPr>
          <w:p>
            <w:pPr>
              <w:pStyle w:val="TableParagraph"/>
              <w:spacing w:before="5"/>
              <w:ind w:right="53"/>
              <w:jc w:val="right"/>
              <w:rPr>
                <w:sz w:val="13"/>
              </w:rPr>
            </w:pPr>
            <w:r>
              <w:rPr>
                <w:sz w:val="13"/>
              </w:rPr>
              <w:t>74,14</w:t>
            </w:r>
          </w:p>
        </w:tc>
      </w:tr>
      <w:tr>
        <w:trPr>
          <w:trHeight w:val="190" w:hRule="atLeast"/>
        </w:trPr>
        <w:tc>
          <w:tcPr>
            <w:tcW w:w="2258" w:type="dxa"/>
          </w:tcPr>
          <w:p>
            <w:pPr>
              <w:pStyle w:val="TableParagraph"/>
              <w:spacing w:before="5"/>
              <w:ind w:left="70"/>
              <w:rPr>
                <w:sz w:val="13"/>
              </w:rPr>
            </w:pPr>
            <w:r>
              <w:rPr>
                <w:w w:val="105"/>
                <w:sz w:val="13"/>
              </w:rPr>
              <w:t>Agricultura, Ganadería Y Pesca</w:t>
            </w:r>
          </w:p>
        </w:tc>
        <w:tc>
          <w:tcPr>
            <w:tcW w:w="738" w:type="dxa"/>
          </w:tcPr>
          <w:p>
            <w:pPr>
              <w:pStyle w:val="TableParagraph"/>
              <w:spacing w:before="5"/>
              <w:ind w:right="114"/>
              <w:jc w:val="right"/>
              <w:rPr>
                <w:sz w:val="13"/>
              </w:rPr>
            </w:pPr>
            <w:r>
              <w:rPr>
                <w:sz w:val="13"/>
              </w:rPr>
              <w:t>111,65</w:t>
            </w:r>
          </w:p>
        </w:tc>
        <w:tc>
          <w:tcPr>
            <w:tcW w:w="704" w:type="dxa"/>
          </w:tcPr>
          <w:p>
            <w:pPr>
              <w:pStyle w:val="TableParagraph"/>
              <w:spacing w:before="5"/>
              <w:ind w:right="102"/>
              <w:jc w:val="right"/>
              <w:rPr>
                <w:sz w:val="13"/>
              </w:rPr>
            </w:pPr>
            <w:r>
              <w:rPr>
                <w:sz w:val="13"/>
              </w:rPr>
              <w:t>49,61</w:t>
            </w:r>
          </w:p>
        </w:tc>
        <w:tc>
          <w:tcPr>
            <w:tcW w:w="771" w:type="dxa"/>
          </w:tcPr>
          <w:p>
            <w:pPr>
              <w:pStyle w:val="TableParagraph"/>
              <w:spacing w:before="5"/>
              <w:ind w:right="111"/>
              <w:jc w:val="right"/>
              <w:rPr>
                <w:sz w:val="13"/>
              </w:rPr>
            </w:pPr>
            <w:r>
              <w:rPr>
                <w:sz w:val="13"/>
              </w:rPr>
              <w:t>161,27</w:t>
            </w:r>
          </w:p>
        </w:tc>
        <w:tc>
          <w:tcPr>
            <w:tcW w:w="656" w:type="dxa"/>
          </w:tcPr>
          <w:p>
            <w:pPr>
              <w:pStyle w:val="TableParagraph"/>
              <w:spacing w:before="5"/>
              <w:ind w:right="54"/>
              <w:jc w:val="right"/>
              <w:rPr>
                <w:sz w:val="13"/>
              </w:rPr>
            </w:pPr>
            <w:r>
              <w:rPr>
                <w:sz w:val="13"/>
              </w:rPr>
              <w:t>144,64</w:t>
            </w:r>
          </w:p>
        </w:tc>
        <w:tc>
          <w:tcPr>
            <w:tcW w:w="601" w:type="dxa"/>
          </w:tcPr>
          <w:p>
            <w:pPr>
              <w:pStyle w:val="TableParagraph"/>
              <w:spacing w:before="5"/>
              <w:ind w:right="56"/>
              <w:jc w:val="right"/>
              <w:rPr>
                <w:sz w:val="13"/>
              </w:rPr>
            </w:pPr>
            <w:r>
              <w:rPr>
                <w:sz w:val="13"/>
              </w:rPr>
              <w:t>114,80</w:t>
            </w:r>
          </w:p>
        </w:tc>
        <w:tc>
          <w:tcPr>
            <w:tcW w:w="916" w:type="dxa"/>
          </w:tcPr>
          <w:p>
            <w:pPr>
              <w:pStyle w:val="TableParagraph"/>
              <w:spacing w:before="5"/>
              <w:ind w:right="150"/>
              <w:jc w:val="right"/>
              <w:rPr>
                <w:sz w:val="13"/>
              </w:rPr>
            </w:pPr>
            <w:r>
              <w:rPr>
                <w:w w:val="105"/>
                <w:sz w:val="13"/>
              </w:rPr>
              <w:t>-16,63</w:t>
            </w:r>
          </w:p>
        </w:tc>
        <w:tc>
          <w:tcPr>
            <w:tcW w:w="590" w:type="dxa"/>
          </w:tcPr>
          <w:p>
            <w:pPr>
              <w:pStyle w:val="TableParagraph"/>
              <w:spacing w:before="5"/>
              <w:ind w:right="53"/>
              <w:jc w:val="right"/>
              <w:rPr>
                <w:sz w:val="13"/>
              </w:rPr>
            </w:pPr>
            <w:r>
              <w:rPr>
                <w:sz w:val="13"/>
              </w:rPr>
              <w:t>89,69</w:t>
            </w:r>
          </w:p>
        </w:tc>
      </w:tr>
      <w:tr>
        <w:trPr>
          <w:trHeight w:val="190" w:hRule="atLeast"/>
        </w:trPr>
        <w:tc>
          <w:tcPr>
            <w:tcW w:w="2258" w:type="dxa"/>
          </w:tcPr>
          <w:p>
            <w:pPr>
              <w:pStyle w:val="TableParagraph"/>
              <w:spacing w:before="4"/>
              <w:ind w:left="70"/>
              <w:rPr>
                <w:sz w:val="13"/>
              </w:rPr>
            </w:pPr>
            <w:r>
              <w:rPr>
                <w:w w:val="105"/>
                <w:sz w:val="13"/>
              </w:rPr>
              <w:t>Industria Y Energía</w:t>
            </w:r>
          </w:p>
        </w:tc>
        <w:tc>
          <w:tcPr>
            <w:tcW w:w="738" w:type="dxa"/>
          </w:tcPr>
          <w:p>
            <w:pPr>
              <w:pStyle w:val="TableParagraph"/>
              <w:spacing w:before="4"/>
              <w:ind w:right="114"/>
              <w:jc w:val="right"/>
              <w:rPr>
                <w:sz w:val="13"/>
              </w:rPr>
            </w:pPr>
            <w:r>
              <w:rPr>
                <w:sz w:val="13"/>
              </w:rPr>
              <w:t>76,12</w:t>
            </w:r>
          </w:p>
        </w:tc>
        <w:tc>
          <w:tcPr>
            <w:tcW w:w="704" w:type="dxa"/>
          </w:tcPr>
          <w:p>
            <w:pPr>
              <w:pStyle w:val="TableParagraph"/>
              <w:spacing w:before="4"/>
              <w:ind w:right="102"/>
              <w:jc w:val="right"/>
              <w:rPr>
                <w:sz w:val="13"/>
              </w:rPr>
            </w:pPr>
            <w:r>
              <w:rPr>
                <w:sz w:val="13"/>
              </w:rPr>
              <w:t>41,08</w:t>
            </w:r>
          </w:p>
        </w:tc>
        <w:tc>
          <w:tcPr>
            <w:tcW w:w="771" w:type="dxa"/>
          </w:tcPr>
          <w:p>
            <w:pPr>
              <w:pStyle w:val="TableParagraph"/>
              <w:spacing w:before="4"/>
              <w:ind w:right="111"/>
              <w:jc w:val="right"/>
              <w:rPr>
                <w:sz w:val="13"/>
              </w:rPr>
            </w:pPr>
            <w:r>
              <w:rPr>
                <w:sz w:val="13"/>
              </w:rPr>
              <w:t>117,20</w:t>
            </w:r>
          </w:p>
        </w:tc>
        <w:tc>
          <w:tcPr>
            <w:tcW w:w="656" w:type="dxa"/>
          </w:tcPr>
          <w:p>
            <w:pPr>
              <w:pStyle w:val="TableParagraph"/>
              <w:spacing w:before="4"/>
              <w:ind w:right="54"/>
              <w:jc w:val="right"/>
              <w:rPr>
                <w:sz w:val="13"/>
              </w:rPr>
            </w:pPr>
            <w:r>
              <w:rPr>
                <w:sz w:val="13"/>
              </w:rPr>
              <w:t>69,22</w:t>
            </w:r>
          </w:p>
        </w:tc>
        <w:tc>
          <w:tcPr>
            <w:tcW w:w="601" w:type="dxa"/>
          </w:tcPr>
          <w:p>
            <w:pPr>
              <w:pStyle w:val="TableParagraph"/>
              <w:spacing w:before="4"/>
              <w:ind w:right="56"/>
              <w:jc w:val="right"/>
              <w:rPr>
                <w:sz w:val="13"/>
              </w:rPr>
            </w:pPr>
            <w:r>
              <w:rPr>
                <w:sz w:val="13"/>
              </w:rPr>
              <w:t>38,50</w:t>
            </w:r>
          </w:p>
        </w:tc>
        <w:tc>
          <w:tcPr>
            <w:tcW w:w="916" w:type="dxa"/>
          </w:tcPr>
          <w:p>
            <w:pPr>
              <w:pStyle w:val="TableParagraph"/>
              <w:spacing w:before="4"/>
              <w:ind w:right="150"/>
              <w:jc w:val="right"/>
              <w:rPr>
                <w:sz w:val="13"/>
              </w:rPr>
            </w:pPr>
            <w:r>
              <w:rPr>
                <w:w w:val="105"/>
                <w:sz w:val="13"/>
              </w:rPr>
              <w:t>-47,98</w:t>
            </w:r>
          </w:p>
        </w:tc>
        <w:tc>
          <w:tcPr>
            <w:tcW w:w="590" w:type="dxa"/>
          </w:tcPr>
          <w:p>
            <w:pPr>
              <w:pStyle w:val="TableParagraph"/>
              <w:spacing w:before="4"/>
              <w:ind w:right="53"/>
              <w:jc w:val="right"/>
              <w:rPr>
                <w:sz w:val="13"/>
              </w:rPr>
            </w:pPr>
            <w:r>
              <w:rPr>
                <w:sz w:val="13"/>
              </w:rPr>
              <w:t>59,06</w:t>
            </w:r>
          </w:p>
        </w:tc>
      </w:tr>
      <w:tr>
        <w:trPr>
          <w:trHeight w:val="190" w:hRule="atLeast"/>
        </w:trPr>
        <w:tc>
          <w:tcPr>
            <w:tcW w:w="2258" w:type="dxa"/>
          </w:tcPr>
          <w:p>
            <w:pPr>
              <w:pStyle w:val="TableParagraph"/>
              <w:spacing w:before="5"/>
              <w:ind w:left="70"/>
              <w:rPr>
                <w:sz w:val="13"/>
              </w:rPr>
            </w:pPr>
            <w:r>
              <w:rPr>
                <w:w w:val="105"/>
                <w:sz w:val="13"/>
              </w:rPr>
              <w:t>Promoción Económica Y Comercial</w:t>
            </w:r>
          </w:p>
        </w:tc>
        <w:tc>
          <w:tcPr>
            <w:tcW w:w="738" w:type="dxa"/>
          </w:tcPr>
          <w:p>
            <w:pPr>
              <w:pStyle w:val="TableParagraph"/>
              <w:spacing w:before="5"/>
              <w:ind w:right="114"/>
              <w:jc w:val="right"/>
              <w:rPr>
                <w:sz w:val="13"/>
              </w:rPr>
            </w:pPr>
            <w:r>
              <w:rPr>
                <w:sz w:val="13"/>
              </w:rPr>
              <w:t>62,83</w:t>
            </w:r>
          </w:p>
        </w:tc>
        <w:tc>
          <w:tcPr>
            <w:tcW w:w="704" w:type="dxa"/>
          </w:tcPr>
          <w:p>
            <w:pPr>
              <w:pStyle w:val="TableParagraph"/>
              <w:spacing w:before="5"/>
              <w:ind w:right="102"/>
              <w:jc w:val="right"/>
              <w:rPr>
                <w:sz w:val="13"/>
              </w:rPr>
            </w:pPr>
            <w:r>
              <w:rPr>
                <w:sz w:val="13"/>
              </w:rPr>
              <w:t>15,69</w:t>
            </w:r>
          </w:p>
        </w:tc>
        <w:tc>
          <w:tcPr>
            <w:tcW w:w="771" w:type="dxa"/>
          </w:tcPr>
          <w:p>
            <w:pPr>
              <w:pStyle w:val="TableParagraph"/>
              <w:spacing w:before="5"/>
              <w:ind w:right="111"/>
              <w:jc w:val="right"/>
              <w:rPr>
                <w:sz w:val="13"/>
              </w:rPr>
            </w:pPr>
            <w:r>
              <w:rPr>
                <w:sz w:val="13"/>
              </w:rPr>
              <w:t>78,52</w:t>
            </w:r>
          </w:p>
        </w:tc>
        <w:tc>
          <w:tcPr>
            <w:tcW w:w="656" w:type="dxa"/>
          </w:tcPr>
          <w:p>
            <w:pPr>
              <w:pStyle w:val="TableParagraph"/>
              <w:spacing w:before="5"/>
              <w:ind w:right="54"/>
              <w:jc w:val="right"/>
              <w:rPr>
                <w:sz w:val="13"/>
              </w:rPr>
            </w:pPr>
            <w:r>
              <w:rPr>
                <w:sz w:val="13"/>
              </w:rPr>
              <w:t>68,02</w:t>
            </w:r>
          </w:p>
        </w:tc>
        <w:tc>
          <w:tcPr>
            <w:tcW w:w="601" w:type="dxa"/>
          </w:tcPr>
          <w:p>
            <w:pPr>
              <w:pStyle w:val="TableParagraph"/>
              <w:spacing w:before="5"/>
              <w:ind w:right="56"/>
              <w:jc w:val="right"/>
              <w:rPr>
                <w:sz w:val="13"/>
              </w:rPr>
            </w:pPr>
            <w:r>
              <w:rPr>
                <w:sz w:val="13"/>
              </w:rPr>
              <w:t>61,58</w:t>
            </w:r>
          </w:p>
        </w:tc>
        <w:tc>
          <w:tcPr>
            <w:tcW w:w="916" w:type="dxa"/>
          </w:tcPr>
          <w:p>
            <w:pPr>
              <w:pStyle w:val="TableParagraph"/>
              <w:spacing w:before="5"/>
              <w:ind w:right="150"/>
              <w:jc w:val="right"/>
              <w:rPr>
                <w:sz w:val="13"/>
              </w:rPr>
            </w:pPr>
            <w:r>
              <w:rPr>
                <w:w w:val="105"/>
                <w:sz w:val="13"/>
              </w:rPr>
              <w:t>-10,50</w:t>
            </w:r>
          </w:p>
        </w:tc>
        <w:tc>
          <w:tcPr>
            <w:tcW w:w="590" w:type="dxa"/>
          </w:tcPr>
          <w:p>
            <w:pPr>
              <w:pStyle w:val="TableParagraph"/>
              <w:spacing w:before="5"/>
              <w:ind w:right="53"/>
              <w:jc w:val="right"/>
              <w:rPr>
                <w:sz w:val="13"/>
              </w:rPr>
            </w:pPr>
            <w:r>
              <w:rPr>
                <w:sz w:val="13"/>
              </w:rPr>
              <w:t>86,63</w:t>
            </w:r>
          </w:p>
        </w:tc>
      </w:tr>
      <w:tr>
        <w:trPr>
          <w:trHeight w:val="190" w:hRule="atLeast"/>
        </w:trPr>
        <w:tc>
          <w:tcPr>
            <w:tcW w:w="2258" w:type="dxa"/>
          </w:tcPr>
          <w:p>
            <w:pPr>
              <w:pStyle w:val="TableParagraph"/>
              <w:spacing w:before="4"/>
              <w:ind w:left="70"/>
              <w:rPr>
                <w:sz w:val="13"/>
              </w:rPr>
            </w:pPr>
            <w:r>
              <w:rPr>
                <w:w w:val="105"/>
                <w:sz w:val="13"/>
              </w:rPr>
              <w:t>Apoyo Al Sector Turístico</w:t>
            </w:r>
          </w:p>
        </w:tc>
        <w:tc>
          <w:tcPr>
            <w:tcW w:w="738" w:type="dxa"/>
          </w:tcPr>
          <w:p>
            <w:pPr>
              <w:pStyle w:val="TableParagraph"/>
              <w:spacing w:before="4"/>
              <w:ind w:right="114"/>
              <w:jc w:val="right"/>
              <w:rPr>
                <w:sz w:val="13"/>
              </w:rPr>
            </w:pPr>
            <w:r>
              <w:rPr>
                <w:sz w:val="13"/>
              </w:rPr>
              <w:t>61,12</w:t>
            </w:r>
          </w:p>
        </w:tc>
        <w:tc>
          <w:tcPr>
            <w:tcW w:w="704" w:type="dxa"/>
          </w:tcPr>
          <w:p>
            <w:pPr>
              <w:pStyle w:val="TableParagraph"/>
              <w:spacing w:before="4"/>
              <w:ind w:right="102"/>
              <w:jc w:val="right"/>
              <w:rPr>
                <w:sz w:val="13"/>
              </w:rPr>
            </w:pPr>
            <w:r>
              <w:rPr>
                <w:sz w:val="13"/>
              </w:rPr>
              <w:t>58,99</w:t>
            </w:r>
          </w:p>
        </w:tc>
        <w:tc>
          <w:tcPr>
            <w:tcW w:w="771" w:type="dxa"/>
          </w:tcPr>
          <w:p>
            <w:pPr>
              <w:pStyle w:val="TableParagraph"/>
              <w:spacing w:before="4"/>
              <w:ind w:right="111"/>
              <w:jc w:val="right"/>
              <w:rPr>
                <w:sz w:val="13"/>
              </w:rPr>
            </w:pPr>
            <w:r>
              <w:rPr>
                <w:sz w:val="13"/>
              </w:rPr>
              <w:t>120,11</w:t>
            </w:r>
          </w:p>
        </w:tc>
        <w:tc>
          <w:tcPr>
            <w:tcW w:w="656" w:type="dxa"/>
          </w:tcPr>
          <w:p>
            <w:pPr>
              <w:pStyle w:val="TableParagraph"/>
              <w:spacing w:before="4"/>
              <w:ind w:right="54"/>
              <w:jc w:val="right"/>
              <w:rPr>
                <w:sz w:val="13"/>
              </w:rPr>
            </w:pPr>
            <w:r>
              <w:rPr>
                <w:sz w:val="13"/>
              </w:rPr>
              <w:t>54,04</w:t>
            </w:r>
          </w:p>
        </w:tc>
        <w:tc>
          <w:tcPr>
            <w:tcW w:w="601" w:type="dxa"/>
          </w:tcPr>
          <w:p>
            <w:pPr>
              <w:pStyle w:val="TableParagraph"/>
              <w:spacing w:before="4"/>
              <w:ind w:right="56"/>
              <w:jc w:val="right"/>
              <w:rPr>
                <w:sz w:val="13"/>
              </w:rPr>
            </w:pPr>
            <w:r>
              <w:rPr>
                <w:sz w:val="13"/>
              </w:rPr>
              <w:t>20,79</w:t>
            </w:r>
          </w:p>
        </w:tc>
        <w:tc>
          <w:tcPr>
            <w:tcW w:w="916" w:type="dxa"/>
          </w:tcPr>
          <w:p>
            <w:pPr>
              <w:pStyle w:val="TableParagraph"/>
              <w:spacing w:before="4"/>
              <w:ind w:right="150"/>
              <w:jc w:val="right"/>
              <w:rPr>
                <w:sz w:val="13"/>
              </w:rPr>
            </w:pPr>
            <w:r>
              <w:rPr>
                <w:w w:val="105"/>
                <w:sz w:val="13"/>
              </w:rPr>
              <w:t>-66,07</w:t>
            </w:r>
          </w:p>
        </w:tc>
        <w:tc>
          <w:tcPr>
            <w:tcW w:w="590" w:type="dxa"/>
          </w:tcPr>
          <w:p>
            <w:pPr>
              <w:pStyle w:val="TableParagraph"/>
              <w:spacing w:before="4"/>
              <w:ind w:right="53"/>
              <w:jc w:val="right"/>
              <w:rPr>
                <w:sz w:val="13"/>
              </w:rPr>
            </w:pPr>
            <w:r>
              <w:rPr>
                <w:sz w:val="13"/>
              </w:rPr>
              <w:t>44,99</w:t>
            </w:r>
          </w:p>
        </w:tc>
      </w:tr>
      <w:tr>
        <w:trPr>
          <w:trHeight w:val="191" w:hRule="atLeast"/>
        </w:trPr>
        <w:tc>
          <w:tcPr>
            <w:tcW w:w="2258" w:type="dxa"/>
          </w:tcPr>
          <w:p>
            <w:pPr>
              <w:pStyle w:val="TableParagraph"/>
              <w:spacing w:before="5"/>
              <w:ind w:left="70"/>
              <w:rPr>
                <w:sz w:val="13"/>
              </w:rPr>
            </w:pPr>
            <w:r>
              <w:rPr>
                <w:w w:val="105"/>
                <w:sz w:val="13"/>
              </w:rPr>
              <w:t>Investig, Desarrollo E Innovación</w:t>
            </w:r>
          </w:p>
        </w:tc>
        <w:tc>
          <w:tcPr>
            <w:tcW w:w="738" w:type="dxa"/>
          </w:tcPr>
          <w:p>
            <w:pPr>
              <w:pStyle w:val="TableParagraph"/>
              <w:spacing w:before="5"/>
              <w:ind w:right="114"/>
              <w:jc w:val="right"/>
              <w:rPr>
                <w:sz w:val="13"/>
              </w:rPr>
            </w:pPr>
            <w:r>
              <w:rPr>
                <w:sz w:val="13"/>
              </w:rPr>
              <w:t>80,03</w:t>
            </w:r>
          </w:p>
        </w:tc>
        <w:tc>
          <w:tcPr>
            <w:tcW w:w="704" w:type="dxa"/>
          </w:tcPr>
          <w:p>
            <w:pPr>
              <w:pStyle w:val="TableParagraph"/>
              <w:spacing w:before="5"/>
              <w:ind w:right="102"/>
              <w:jc w:val="right"/>
              <w:rPr>
                <w:sz w:val="13"/>
              </w:rPr>
            </w:pPr>
            <w:r>
              <w:rPr>
                <w:sz w:val="13"/>
              </w:rPr>
              <w:t>23,58</w:t>
            </w:r>
          </w:p>
        </w:tc>
        <w:tc>
          <w:tcPr>
            <w:tcW w:w="771" w:type="dxa"/>
          </w:tcPr>
          <w:p>
            <w:pPr>
              <w:pStyle w:val="TableParagraph"/>
              <w:spacing w:before="5"/>
              <w:ind w:right="111"/>
              <w:jc w:val="right"/>
              <w:rPr>
                <w:sz w:val="13"/>
              </w:rPr>
            </w:pPr>
            <w:r>
              <w:rPr>
                <w:sz w:val="13"/>
              </w:rPr>
              <w:t>103,61</w:t>
            </w:r>
          </w:p>
        </w:tc>
        <w:tc>
          <w:tcPr>
            <w:tcW w:w="656" w:type="dxa"/>
          </w:tcPr>
          <w:p>
            <w:pPr>
              <w:pStyle w:val="TableParagraph"/>
              <w:spacing w:before="5"/>
              <w:ind w:right="54"/>
              <w:jc w:val="right"/>
              <w:rPr>
                <w:sz w:val="13"/>
              </w:rPr>
            </w:pPr>
            <w:r>
              <w:rPr>
                <w:sz w:val="13"/>
              </w:rPr>
              <w:t>94,61</w:t>
            </w:r>
          </w:p>
        </w:tc>
        <w:tc>
          <w:tcPr>
            <w:tcW w:w="601" w:type="dxa"/>
          </w:tcPr>
          <w:p>
            <w:pPr>
              <w:pStyle w:val="TableParagraph"/>
              <w:spacing w:before="5"/>
              <w:ind w:right="56"/>
              <w:jc w:val="right"/>
              <w:rPr>
                <w:sz w:val="13"/>
              </w:rPr>
            </w:pPr>
            <w:r>
              <w:rPr>
                <w:sz w:val="13"/>
              </w:rPr>
              <w:t>86,03</w:t>
            </w:r>
          </w:p>
        </w:tc>
        <w:tc>
          <w:tcPr>
            <w:tcW w:w="916" w:type="dxa"/>
          </w:tcPr>
          <w:p>
            <w:pPr>
              <w:pStyle w:val="TableParagraph"/>
              <w:spacing w:before="5"/>
              <w:ind w:right="150"/>
              <w:jc w:val="right"/>
              <w:rPr>
                <w:sz w:val="13"/>
              </w:rPr>
            </w:pPr>
            <w:r>
              <w:rPr>
                <w:sz w:val="13"/>
              </w:rPr>
              <w:t>-9,00</w:t>
            </w:r>
          </w:p>
        </w:tc>
        <w:tc>
          <w:tcPr>
            <w:tcW w:w="590" w:type="dxa"/>
          </w:tcPr>
          <w:p>
            <w:pPr>
              <w:pStyle w:val="TableParagraph"/>
              <w:spacing w:before="5"/>
              <w:ind w:right="53"/>
              <w:jc w:val="right"/>
              <w:rPr>
                <w:sz w:val="13"/>
              </w:rPr>
            </w:pPr>
            <w:r>
              <w:rPr>
                <w:sz w:val="13"/>
              </w:rPr>
              <w:t>91,32</w:t>
            </w:r>
          </w:p>
        </w:tc>
      </w:tr>
      <w:tr>
        <w:trPr>
          <w:trHeight w:val="190" w:hRule="atLeast"/>
        </w:trPr>
        <w:tc>
          <w:tcPr>
            <w:tcW w:w="2258" w:type="dxa"/>
          </w:tcPr>
          <w:p>
            <w:pPr>
              <w:pStyle w:val="TableParagraph"/>
              <w:spacing w:before="5"/>
              <w:ind w:left="70"/>
              <w:rPr>
                <w:sz w:val="13"/>
              </w:rPr>
            </w:pPr>
            <w:r>
              <w:rPr>
                <w:w w:val="105"/>
                <w:sz w:val="13"/>
              </w:rPr>
              <w:t>Actuaciones Sobre El Territorio</w:t>
            </w:r>
          </w:p>
        </w:tc>
        <w:tc>
          <w:tcPr>
            <w:tcW w:w="738" w:type="dxa"/>
          </w:tcPr>
          <w:p>
            <w:pPr>
              <w:pStyle w:val="TableParagraph"/>
              <w:spacing w:before="5"/>
              <w:ind w:right="114"/>
              <w:jc w:val="right"/>
              <w:rPr>
                <w:sz w:val="13"/>
              </w:rPr>
            </w:pPr>
            <w:r>
              <w:rPr>
                <w:sz w:val="13"/>
              </w:rPr>
              <w:t>564,21</w:t>
            </w:r>
          </w:p>
        </w:tc>
        <w:tc>
          <w:tcPr>
            <w:tcW w:w="704" w:type="dxa"/>
          </w:tcPr>
          <w:p>
            <w:pPr>
              <w:pStyle w:val="TableParagraph"/>
              <w:spacing w:before="5"/>
              <w:ind w:right="102"/>
              <w:jc w:val="right"/>
              <w:rPr>
                <w:sz w:val="13"/>
              </w:rPr>
            </w:pPr>
            <w:r>
              <w:rPr>
                <w:sz w:val="13"/>
              </w:rPr>
              <w:t>180,91</w:t>
            </w:r>
          </w:p>
        </w:tc>
        <w:tc>
          <w:tcPr>
            <w:tcW w:w="771" w:type="dxa"/>
          </w:tcPr>
          <w:p>
            <w:pPr>
              <w:pStyle w:val="TableParagraph"/>
              <w:spacing w:before="5"/>
              <w:ind w:right="111"/>
              <w:jc w:val="right"/>
              <w:rPr>
                <w:sz w:val="13"/>
              </w:rPr>
            </w:pPr>
            <w:r>
              <w:rPr>
                <w:sz w:val="13"/>
              </w:rPr>
              <w:t>745,12</w:t>
            </w:r>
          </w:p>
        </w:tc>
        <w:tc>
          <w:tcPr>
            <w:tcW w:w="656" w:type="dxa"/>
          </w:tcPr>
          <w:p>
            <w:pPr>
              <w:pStyle w:val="TableParagraph"/>
              <w:spacing w:before="5"/>
              <w:ind w:right="54"/>
              <w:jc w:val="right"/>
              <w:rPr>
                <w:sz w:val="13"/>
              </w:rPr>
            </w:pPr>
            <w:r>
              <w:rPr>
                <w:sz w:val="13"/>
              </w:rPr>
              <w:t>537,63</w:t>
            </w:r>
          </w:p>
        </w:tc>
        <w:tc>
          <w:tcPr>
            <w:tcW w:w="601" w:type="dxa"/>
          </w:tcPr>
          <w:p>
            <w:pPr>
              <w:pStyle w:val="TableParagraph"/>
              <w:spacing w:before="5"/>
              <w:ind w:right="56"/>
              <w:jc w:val="right"/>
              <w:rPr>
                <w:sz w:val="13"/>
              </w:rPr>
            </w:pPr>
            <w:r>
              <w:rPr>
                <w:sz w:val="13"/>
              </w:rPr>
              <w:t>433,11</w:t>
            </w:r>
          </w:p>
        </w:tc>
        <w:tc>
          <w:tcPr>
            <w:tcW w:w="916" w:type="dxa"/>
          </w:tcPr>
          <w:p>
            <w:pPr>
              <w:pStyle w:val="TableParagraph"/>
              <w:spacing w:before="5"/>
              <w:ind w:right="150"/>
              <w:jc w:val="right"/>
              <w:rPr>
                <w:sz w:val="13"/>
              </w:rPr>
            </w:pPr>
            <w:r>
              <w:rPr>
                <w:w w:val="105"/>
                <w:sz w:val="13"/>
              </w:rPr>
              <w:t>-207,49</w:t>
            </w:r>
          </w:p>
        </w:tc>
        <w:tc>
          <w:tcPr>
            <w:tcW w:w="590" w:type="dxa"/>
          </w:tcPr>
          <w:p>
            <w:pPr>
              <w:pStyle w:val="TableParagraph"/>
              <w:spacing w:before="5"/>
              <w:ind w:right="53"/>
              <w:jc w:val="right"/>
              <w:rPr>
                <w:sz w:val="13"/>
              </w:rPr>
            </w:pPr>
            <w:r>
              <w:rPr>
                <w:sz w:val="13"/>
              </w:rPr>
              <w:t>72,15</w:t>
            </w:r>
          </w:p>
        </w:tc>
      </w:tr>
      <w:tr>
        <w:trPr>
          <w:trHeight w:val="190" w:hRule="atLeast"/>
        </w:trPr>
        <w:tc>
          <w:tcPr>
            <w:tcW w:w="2258" w:type="dxa"/>
          </w:tcPr>
          <w:p>
            <w:pPr>
              <w:pStyle w:val="TableParagraph"/>
              <w:spacing w:before="4"/>
              <w:ind w:left="70"/>
              <w:rPr>
                <w:sz w:val="13"/>
              </w:rPr>
            </w:pPr>
            <w:r>
              <w:rPr>
                <w:w w:val="105"/>
                <w:sz w:val="13"/>
              </w:rPr>
              <w:t>Infraestr Y Servicios De Transportes</w:t>
            </w:r>
          </w:p>
        </w:tc>
        <w:tc>
          <w:tcPr>
            <w:tcW w:w="738" w:type="dxa"/>
          </w:tcPr>
          <w:p>
            <w:pPr>
              <w:pStyle w:val="TableParagraph"/>
              <w:spacing w:before="4"/>
              <w:ind w:right="114"/>
              <w:jc w:val="right"/>
              <w:rPr>
                <w:sz w:val="13"/>
              </w:rPr>
            </w:pPr>
            <w:r>
              <w:rPr>
                <w:sz w:val="13"/>
              </w:rPr>
              <w:t>382,52</w:t>
            </w:r>
          </w:p>
        </w:tc>
        <w:tc>
          <w:tcPr>
            <w:tcW w:w="704" w:type="dxa"/>
          </w:tcPr>
          <w:p>
            <w:pPr>
              <w:pStyle w:val="TableParagraph"/>
              <w:spacing w:before="4"/>
              <w:ind w:right="102"/>
              <w:jc w:val="right"/>
              <w:rPr>
                <w:sz w:val="13"/>
              </w:rPr>
            </w:pPr>
            <w:r>
              <w:rPr>
                <w:sz w:val="13"/>
              </w:rPr>
              <w:t>32,38</w:t>
            </w:r>
          </w:p>
        </w:tc>
        <w:tc>
          <w:tcPr>
            <w:tcW w:w="771" w:type="dxa"/>
          </w:tcPr>
          <w:p>
            <w:pPr>
              <w:pStyle w:val="TableParagraph"/>
              <w:spacing w:before="4"/>
              <w:ind w:right="111"/>
              <w:jc w:val="right"/>
              <w:rPr>
                <w:sz w:val="13"/>
              </w:rPr>
            </w:pPr>
            <w:r>
              <w:rPr>
                <w:sz w:val="13"/>
              </w:rPr>
              <w:t>414,90</w:t>
            </w:r>
          </w:p>
        </w:tc>
        <w:tc>
          <w:tcPr>
            <w:tcW w:w="656" w:type="dxa"/>
          </w:tcPr>
          <w:p>
            <w:pPr>
              <w:pStyle w:val="TableParagraph"/>
              <w:spacing w:before="4"/>
              <w:ind w:right="54"/>
              <w:jc w:val="right"/>
              <w:rPr>
                <w:sz w:val="13"/>
              </w:rPr>
            </w:pPr>
            <w:r>
              <w:rPr>
                <w:sz w:val="13"/>
              </w:rPr>
              <w:t>335,51</w:t>
            </w:r>
          </w:p>
        </w:tc>
        <w:tc>
          <w:tcPr>
            <w:tcW w:w="601" w:type="dxa"/>
          </w:tcPr>
          <w:p>
            <w:pPr>
              <w:pStyle w:val="TableParagraph"/>
              <w:spacing w:before="4"/>
              <w:ind w:right="56"/>
              <w:jc w:val="right"/>
              <w:rPr>
                <w:sz w:val="13"/>
              </w:rPr>
            </w:pPr>
            <w:r>
              <w:rPr>
                <w:sz w:val="13"/>
              </w:rPr>
              <w:t>269,65</w:t>
            </w:r>
          </w:p>
        </w:tc>
        <w:tc>
          <w:tcPr>
            <w:tcW w:w="916" w:type="dxa"/>
          </w:tcPr>
          <w:p>
            <w:pPr>
              <w:pStyle w:val="TableParagraph"/>
              <w:spacing w:before="4"/>
              <w:ind w:right="150"/>
              <w:jc w:val="right"/>
              <w:rPr>
                <w:sz w:val="13"/>
              </w:rPr>
            </w:pPr>
            <w:r>
              <w:rPr>
                <w:w w:val="105"/>
                <w:sz w:val="13"/>
              </w:rPr>
              <w:t>-79,39</w:t>
            </w:r>
          </w:p>
        </w:tc>
        <w:tc>
          <w:tcPr>
            <w:tcW w:w="590" w:type="dxa"/>
          </w:tcPr>
          <w:p>
            <w:pPr>
              <w:pStyle w:val="TableParagraph"/>
              <w:spacing w:before="4"/>
              <w:ind w:right="53"/>
              <w:jc w:val="right"/>
              <w:rPr>
                <w:sz w:val="13"/>
              </w:rPr>
            </w:pPr>
            <w:r>
              <w:rPr>
                <w:sz w:val="13"/>
              </w:rPr>
              <w:t>80,87</w:t>
            </w:r>
          </w:p>
        </w:tc>
      </w:tr>
      <w:tr>
        <w:trPr>
          <w:trHeight w:val="190" w:hRule="atLeast"/>
        </w:trPr>
        <w:tc>
          <w:tcPr>
            <w:tcW w:w="2258" w:type="dxa"/>
          </w:tcPr>
          <w:p>
            <w:pPr>
              <w:pStyle w:val="TableParagraph"/>
              <w:spacing w:before="5"/>
              <w:ind w:left="70"/>
              <w:rPr>
                <w:sz w:val="13"/>
              </w:rPr>
            </w:pPr>
            <w:r>
              <w:rPr>
                <w:w w:val="105"/>
                <w:sz w:val="13"/>
              </w:rPr>
              <w:t>Infraestr Turísticas Y De Costas</w:t>
            </w:r>
          </w:p>
        </w:tc>
        <w:tc>
          <w:tcPr>
            <w:tcW w:w="738" w:type="dxa"/>
          </w:tcPr>
          <w:p>
            <w:pPr>
              <w:pStyle w:val="TableParagraph"/>
              <w:spacing w:before="5"/>
              <w:ind w:right="114"/>
              <w:jc w:val="right"/>
              <w:rPr>
                <w:sz w:val="13"/>
              </w:rPr>
            </w:pPr>
            <w:r>
              <w:rPr>
                <w:sz w:val="13"/>
              </w:rPr>
              <w:t>32,16</w:t>
            </w:r>
          </w:p>
        </w:tc>
        <w:tc>
          <w:tcPr>
            <w:tcW w:w="704" w:type="dxa"/>
          </w:tcPr>
          <w:p>
            <w:pPr>
              <w:pStyle w:val="TableParagraph"/>
              <w:spacing w:before="5"/>
              <w:ind w:right="102"/>
              <w:jc w:val="right"/>
              <w:rPr>
                <w:sz w:val="13"/>
              </w:rPr>
            </w:pPr>
            <w:r>
              <w:rPr>
                <w:sz w:val="13"/>
              </w:rPr>
              <w:t>0,27</w:t>
            </w:r>
          </w:p>
        </w:tc>
        <w:tc>
          <w:tcPr>
            <w:tcW w:w="771" w:type="dxa"/>
          </w:tcPr>
          <w:p>
            <w:pPr>
              <w:pStyle w:val="TableParagraph"/>
              <w:spacing w:before="5"/>
              <w:ind w:right="111"/>
              <w:jc w:val="right"/>
              <w:rPr>
                <w:sz w:val="13"/>
              </w:rPr>
            </w:pPr>
            <w:r>
              <w:rPr>
                <w:sz w:val="13"/>
              </w:rPr>
              <w:t>32,43</w:t>
            </w:r>
          </w:p>
        </w:tc>
        <w:tc>
          <w:tcPr>
            <w:tcW w:w="656" w:type="dxa"/>
          </w:tcPr>
          <w:p>
            <w:pPr>
              <w:pStyle w:val="TableParagraph"/>
              <w:spacing w:before="5"/>
              <w:ind w:right="54"/>
              <w:jc w:val="right"/>
              <w:rPr>
                <w:sz w:val="13"/>
              </w:rPr>
            </w:pPr>
            <w:r>
              <w:rPr>
                <w:sz w:val="13"/>
              </w:rPr>
              <w:t>25,45</w:t>
            </w:r>
          </w:p>
        </w:tc>
        <w:tc>
          <w:tcPr>
            <w:tcW w:w="601" w:type="dxa"/>
          </w:tcPr>
          <w:p>
            <w:pPr>
              <w:pStyle w:val="TableParagraph"/>
              <w:spacing w:before="5"/>
              <w:ind w:right="56"/>
              <w:jc w:val="right"/>
              <w:rPr>
                <w:sz w:val="13"/>
              </w:rPr>
            </w:pPr>
            <w:r>
              <w:rPr>
                <w:sz w:val="13"/>
              </w:rPr>
              <w:t>18,33</w:t>
            </w:r>
          </w:p>
        </w:tc>
        <w:tc>
          <w:tcPr>
            <w:tcW w:w="916" w:type="dxa"/>
          </w:tcPr>
          <w:p>
            <w:pPr>
              <w:pStyle w:val="TableParagraph"/>
              <w:spacing w:before="5"/>
              <w:ind w:right="150"/>
              <w:jc w:val="right"/>
              <w:rPr>
                <w:sz w:val="13"/>
              </w:rPr>
            </w:pPr>
            <w:r>
              <w:rPr>
                <w:sz w:val="13"/>
              </w:rPr>
              <w:t>-6,98</w:t>
            </w:r>
          </w:p>
        </w:tc>
        <w:tc>
          <w:tcPr>
            <w:tcW w:w="590" w:type="dxa"/>
          </w:tcPr>
          <w:p>
            <w:pPr>
              <w:pStyle w:val="TableParagraph"/>
              <w:spacing w:before="5"/>
              <w:ind w:right="53"/>
              <w:jc w:val="right"/>
              <w:rPr>
                <w:sz w:val="13"/>
              </w:rPr>
            </w:pPr>
            <w:r>
              <w:rPr>
                <w:sz w:val="13"/>
              </w:rPr>
              <w:t>78,48</w:t>
            </w:r>
          </w:p>
        </w:tc>
      </w:tr>
      <w:tr>
        <w:trPr>
          <w:trHeight w:val="190" w:hRule="atLeast"/>
        </w:trPr>
        <w:tc>
          <w:tcPr>
            <w:tcW w:w="2258" w:type="dxa"/>
          </w:tcPr>
          <w:p>
            <w:pPr>
              <w:pStyle w:val="TableParagraph"/>
              <w:spacing w:before="4"/>
              <w:ind w:left="70"/>
              <w:rPr>
                <w:sz w:val="13"/>
              </w:rPr>
            </w:pPr>
            <w:r>
              <w:rPr>
                <w:w w:val="105"/>
                <w:sz w:val="13"/>
              </w:rPr>
              <w:t>Recurs Hidráulicos y Calidad Del Agua</w:t>
            </w:r>
          </w:p>
        </w:tc>
        <w:tc>
          <w:tcPr>
            <w:tcW w:w="738" w:type="dxa"/>
          </w:tcPr>
          <w:p>
            <w:pPr>
              <w:pStyle w:val="TableParagraph"/>
              <w:spacing w:before="4"/>
              <w:ind w:right="114"/>
              <w:jc w:val="right"/>
              <w:rPr>
                <w:sz w:val="13"/>
              </w:rPr>
            </w:pPr>
            <w:r>
              <w:rPr>
                <w:sz w:val="13"/>
              </w:rPr>
              <w:t>42,87</w:t>
            </w:r>
          </w:p>
        </w:tc>
        <w:tc>
          <w:tcPr>
            <w:tcW w:w="704" w:type="dxa"/>
          </w:tcPr>
          <w:p>
            <w:pPr>
              <w:pStyle w:val="TableParagraph"/>
              <w:spacing w:before="4"/>
              <w:ind w:right="102"/>
              <w:jc w:val="right"/>
              <w:rPr>
                <w:sz w:val="13"/>
              </w:rPr>
            </w:pPr>
            <w:r>
              <w:rPr>
                <w:sz w:val="13"/>
              </w:rPr>
              <w:t>26,08</w:t>
            </w:r>
          </w:p>
        </w:tc>
        <w:tc>
          <w:tcPr>
            <w:tcW w:w="771" w:type="dxa"/>
          </w:tcPr>
          <w:p>
            <w:pPr>
              <w:pStyle w:val="TableParagraph"/>
              <w:spacing w:before="4"/>
              <w:ind w:right="111"/>
              <w:jc w:val="right"/>
              <w:rPr>
                <w:sz w:val="13"/>
              </w:rPr>
            </w:pPr>
            <w:r>
              <w:rPr>
                <w:sz w:val="13"/>
              </w:rPr>
              <w:t>68,95</w:t>
            </w:r>
          </w:p>
        </w:tc>
        <w:tc>
          <w:tcPr>
            <w:tcW w:w="656" w:type="dxa"/>
          </w:tcPr>
          <w:p>
            <w:pPr>
              <w:pStyle w:val="TableParagraph"/>
              <w:spacing w:before="4"/>
              <w:ind w:right="54"/>
              <w:jc w:val="right"/>
              <w:rPr>
                <w:sz w:val="13"/>
              </w:rPr>
            </w:pPr>
            <w:r>
              <w:rPr>
                <w:sz w:val="13"/>
              </w:rPr>
              <w:t>28,97</w:t>
            </w:r>
          </w:p>
        </w:tc>
        <w:tc>
          <w:tcPr>
            <w:tcW w:w="601" w:type="dxa"/>
          </w:tcPr>
          <w:p>
            <w:pPr>
              <w:pStyle w:val="TableParagraph"/>
              <w:spacing w:before="4"/>
              <w:ind w:right="56"/>
              <w:jc w:val="right"/>
              <w:rPr>
                <w:sz w:val="13"/>
              </w:rPr>
            </w:pPr>
            <w:r>
              <w:rPr>
                <w:sz w:val="13"/>
              </w:rPr>
              <w:t>24,75</w:t>
            </w:r>
          </w:p>
        </w:tc>
        <w:tc>
          <w:tcPr>
            <w:tcW w:w="916" w:type="dxa"/>
          </w:tcPr>
          <w:p>
            <w:pPr>
              <w:pStyle w:val="TableParagraph"/>
              <w:spacing w:before="4"/>
              <w:ind w:right="150"/>
              <w:jc w:val="right"/>
              <w:rPr>
                <w:sz w:val="13"/>
              </w:rPr>
            </w:pPr>
            <w:r>
              <w:rPr>
                <w:w w:val="105"/>
                <w:sz w:val="13"/>
              </w:rPr>
              <w:t>-39,98</w:t>
            </w:r>
          </w:p>
        </w:tc>
        <w:tc>
          <w:tcPr>
            <w:tcW w:w="590" w:type="dxa"/>
          </w:tcPr>
          <w:p>
            <w:pPr>
              <w:pStyle w:val="TableParagraph"/>
              <w:spacing w:before="4"/>
              <w:ind w:right="53"/>
              <w:jc w:val="right"/>
              <w:rPr>
                <w:sz w:val="13"/>
              </w:rPr>
            </w:pPr>
            <w:r>
              <w:rPr>
                <w:sz w:val="13"/>
              </w:rPr>
              <w:t>42,01</w:t>
            </w:r>
          </w:p>
        </w:tc>
      </w:tr>
      <w:tr>
        <w:trPr>
          <w:trHeight w:val="190" w:hRule="atLeast"/>
        </w:trPr>
        <w:tc>
          <w:tcPr>
            <w:tcW w:w="2258" w:type="dxa"/>
          </w:tcPr>
          <w:p>
            <w:pPr>
              <w:pStyle w:val="TableParagraph"/>
              <w:spacing w:before="5"/>
              <w:ind w:left="70"/>
              <w:rPr>
                <w:sz w:val="13"/>
              </w:rPr>
            </w:pPr>
            <w:r>
              <w:rPr>
                <w:w w:val="105"/>
                <w:sz w:val="13"/>
              </w:rPr>
              <w:t>Medio Ambiente Y Territorio</w:t>
            </w:r>
          </w:p>
        </w:tc>
        <w:tc>
          <w:tcPr>
            <w:tcW w:w="738" w:type="dxa"/>
          </w:tcPr>
          <w:p>
            <w:pPr>
              <w:pStyle w:val="TableParagraph"/>
              <w:spacing w:before="5"/>
              <w:ind w:right="114"/>
              <w:jc w:val="right"/>
              <w:rPr>
                <w:sz w:val="13"/>
              </w:rPr>
            </w:pPr>
            <w:r>
              <w:rPr>
                <w:sz w:val="13"/>
              </w:rPr>
              <w:t>106,65</w:t>
            </w:r>
          </w:p>
        </w:tc>
        <w:tc>
          <w:tcPr>
            <w:tcW w:w="704" w:type="dxa"/>
          </w:tcPr>
          <w:p>
            <w:pPr>
              <w:pStyle w:val="TableParagraph"/>
              <w:spacing w:before="5"/>
              <w:ind w:right="102"/>
              <w:jc w:val="right"/>
              <w:rPr>
                <w:sz w:val="13"/>
              </w:rPr>
            </w:pPr>
            <w:r>
              <w:rPr>
                <w:sz w:val="13"/>
              </w:rPr>
              <w:t>122,19</w:t>
            </w:r>
          </w:p>
        </w:tc>
        <w:tc>
          <w:tcPr>
            <w:tcW w:w="771" w:type="dxa"/>
          </w:tcPr>
          <w:p>
            <w:pPr>
              <w:pStyle w:val="TableParagraph"/>
              <w:spacing w:before="5"/>
              <w:ind w:right="111"/>
              <w:jc w:val="right"/>
              <w:rPr>
                <w:sz w:val="13"/>
              </w:rPr>
            </w:pPr>
            <w:r>
              <w:rPr>
                <w:sz w:val="13"/>
              </w:rPr>
              <w:t>228,84</w:t>
            </w:r>
          </w:p>
        </w:tc>
        <w:tc>
          <w:tcPr>
            <w:tcW w:w="656" w:type="dxa"/>
          </w:tcPr>
          <w:p>
            <w:pPr>
              <w:pStyle w:val="TableParagraph"/>
              <w:spacing w:before="5"/>
              <w:ind w:right="54"/>
              <w:jc w:val="right"/>
              <w:rPr>
                <w:sz w:val="13"/>
              </w:rPr>
            </w:pPr>
            <w:r>
              <w:rPr>
                <w:sz w:val="13"/>
              </w:rPr>
              <w:t>147,70</w:t>
            </w:r>
          </w:p>
        </w:tc>
        <w:tc>
          <w:tcPr>
            <w:tcW w:w="601" w:type="dxa"/>
          </w:tcPr>
          <w:p>
            <w:pPr>
              <w:pStyle w:val="TableParagraph"/>
              <w:spacing w:before="5"/>
              <w:ind w:right="56"/>
              <w:jc w:val="right"/>
              <w:rPr>
                <w:sz w:val="13"/>
              </w:rPr>
            </w:pPr>
            <w:r>
              <w:rPr>
                <w:sz w:val="13"/>
              </w:rPr>
              <w:t>120,38</w:t>
            </w:r>
          </w:p>
        </w:tc>
        <w:tc>
          <w:tcPr>
            <w:tcW w:w="916" w:type="dxa"/>
          </w:tcPr>
          <w:p>
            <w:pPr>
              <w:pStyle w:val="TableParagraph"/>
              <w:spacing w:before="5"/>
              <w:ind w:right="150"/>
              <w:jc w:val="right"/>
              <w:rPr>
                <w:sz w:val="13"/>
              </w:rPr>
            </w:pPr>
            <w:r>
              <w:rPr>
                <w:w w:val="105"/>
                <w:sz w:val="13"/>
              </w:rPr>
              <w:t>-81,14</w:t>
            </w:r>
          </w:p>
        </w:tc>
        <w:tc>
          <w:tcPr>
            <w:tcW w:w="590" w:type="dxa"/>
          </w:tcPr>
          <w:p>
            <w:pPr>
              <w:pStyle w:val="TableParagraph"/>
              <w:spacing w:before="5"/>
              <w:ind w:right="53"/>
              <w:jc w:val="right"/>
              <w:rPr>
                <w:sz w:val="13"/>
              </w:rPr>
            </w:pPr>
            <w:r>
              <w:rPr>
                <w:sz w:val="13"/>
              </w:rPr>
              <w:t>64,54</w:t>
            </w:r>
          </w:p>
        </w:tc>
      </w:tr>
      <w:tr>
        <w:trPr>
          <w:trHeight w:val="190" w:hRule="atLeast"/>
        </w:trPr>
        <w:tc>
          <w:tcPr>
            <w:tcW w:w="2258" w:type="dxa"/>
          </w:tcPr>
          <w:p>
            <w:pPr>
              <w:pStyle w:val="TableParagraph"/>
              <w:spacing w:before="4"/>
              <w:ind w:left="70"/>
              <w:rPr>
                <w:sz w:val="13"/>
              </w:rPr>
            </w:pPr>
            <w:r>
              <w:rPr>
                <w:w w:val="105"/>
                <w:sz w:val="13"/>
              </w:rPr>
              <w:t>Aportaciones a Corp Locales</w:t>
            </w:r>
          </w:p>
        </w:tc>
        <w:tc>
          <w:tcPr>
            <w:tcW w:w="738" w:type="dxa"/>
          </w:tcPr>
          <w:p>
            <w:pPr>
              <w:pStyle w:val="TableParagraph"/>
              <w:spacing w:before="4"/>
              <w:ind w:right="114"/>
              <w:jc w:val="right"/>
              <w:rPr>
                <w:sz w:val="13"/>
              </w:rPr>
            </w:pPr>
            <w:r>
              <w:rPr>
                <w:sz w:val="13"/>
              </w:rPr>
              <w:t>743,64</w:t>
            </w:r>
          </w:p>
        </w:tc>
        <w:tc>
          <w:tcPr>
            <w:tcW w:w="704" w:type="dxa"/>
          </w:tcPr>
          <w:p>
            <w:pPr>
              <w:pStyle w:val="TableParagraph"/>
              <w:spacing w:before="4"/>
              <w:ind w:right="102"/>
              <w:jc w:val="right"/>
              <w:rPr>
                <w:sz w:val="13"/>
              </w:rPr>
            </w:pPr>
            <w:r>
              <w:rPr>
                <w:sz w:val="13"/>
              </w:rPr>
              <w:t>15,07</w:t>
            </w:r>
          </w:p>
        </w:tc>
        <w:tc>
          <w:tcPr>
            <w:tcW w:w="771" w:type="dxa"/>
          </w:tcPr>
          <w:p>
            <w:pPr>
              <w:pStyle w:val="TableParagraph"/>
              <w:spacing w:before="4"/>
              <w:ind w:right="111"/>
              <w:jc w:val="right"/>
              <w:rPr>
                <w:sz w:val="13"/>
              </w:rPr>
            </w:pPr>
            <w:r>
              <w:rPr>
                <w:sz w:val="13"/>
              </w:rPr>
              <w:t>758,71</w:t>
            </w:r>
          </w:p>
        </w:tc>
        <w:tc>
          <w:tcPr>
            <w:tcW w:w="656" w:type="dxa"/>
          </w:tcPr>
          <w:p>
            <w:pPr>
              <w:pStyle w:val="TableParagraph"/>
              <w:spacing w:before="4"/>
              <w:ind w:right="54"/>
              <w:jc w:val="right"/>
              <w:rPr>
                <w:sz w:val="13"/>
              </w:rPr>
            </w:pPr>
            <w:r>
              <w:rPr>
                <w:sz w:val="13"/>
              </w:rPr>
              <w:t>747,60</w:t>
            </w:r>
          </w:p>
        </w:tc>
        <w:tc>
          <w:tcPr>
            <w:tcW w:w="601" w:type="dxa"/>
          </w:tcPr>
          <w:p>
            <w:pPr>
              <w:pStyle w:val="TableParagraph"/>
              <w:spacing w:before="4"/>
              <w:ind w:right="56"/>
              <w:jc w:val="right"/>
              <w:rPr>
                <w:sz w:val="13"/>
              </w:rPr>
            </w:pPr>
            <w:r>
              <w:rPr>
                <w:sz w:val="13"/>
              </w:rPr>
              <w:t>705,87</w:t>
            </w:r>
          </w:p>
        </w:tc>
        <w:tc>
          <w:tcPr>
            <w:tcW w:w="916" w:type="dxa"/>
          </w:tcPr>
          <w:p>
            <w:pPr>
              <w:pStyle w:val="TableParagraph"/>
              <w:spacing w:before="4"/>
              <w:ind w:right="150"/>
              <w:jc w:val="right"/>
              <w:rPr>
                <w:sz w:val="13"/>
              </w:rPr>
            </w:pPr>
            <w:r>
              <w:rPr>
                <w:w w:val="105"/>
                <w:sz w:val="13"/>
              </w:rPr>
              <w:t>-11,11</w:t>
            </w:r>
          </w:p>
        </w:tc>
        <w:tc>
          <w:tcPr>
            <w:tcW w:w="590" w:type="dxa"/>
          </w:tcPr>
          <w:p>
            <w:pPr>
              <w:pStyle w:val="TableParagraph"/>
              <w:spacing w:before="4"/>
              <w:ind w:right="53"/>
              <w:jc w:val="right"/>
              <w:rPr>
                <w:sz w:val="13"/>
              </w:rPr>
            </w:pPr>
            <w:r>
              <w:rPr>
                <w:sz w:val="13"/>
              </w:rPr>
              <w:t>98,54</w:t>
            </w:r>
          </w:p>
        </w:tc>
      </w:tr>
      <w:tr>
        <w:trPr>
          <w:trHeight w:val="191" w:hRule="atLeast"/>
        </w:trPr>
        <w:tc>
          <w:tcPr>
            <w:tcW w:w="2258" w:type="dxa"/>
          </w:tcPr>
          <w:p>
            <w:pPr>
              <w:pStyle w:val="TableParagraph"/>
              <w:spacing w:before="5"/>
              <w:ind w:left="70"/>
              <w:rPr>
                <w:sz w:val="13"/>
              </w:rPr>
            </w:pPr>
            <w:r>
              <w:rPr>
                <w:w w:val="105"/>
                <w:sz w:val="13"/>
              </w:rPr>
              <w:t>Otras Políticas</w:t>
            </w:r>
          </w:p>
        </w:tc>
        <w:tc>
          <w:tcPr>
            <w:tcW w:w="738" w:type="dxa"/>
          </w:tcPr>
          <w:p>
            <w:pPr>
              <w:pStyle w:val="TableParagraph"/>
              <w:spacing w:before="5"/>
              <w:ind w:right="114"/>
              <w:jc w:val="right"/>
              <w:rPr>
                <w:sz w:val="13"/>
              </w:rPr>
            </w:pPr>
            <w:r>
              <w:rPr>
                <w:sz w:val="13"/>
              </w:rPr>
              <w:t>121,12</w:t>
            </w:r>
          </w:p>
        </w:tc>
        <w:tc>
          <w:tcPr>
            <w:tcW w:w="704" w:type="dxa"/>
          </w:tcPr>
          <w:p>
            <w:pPr>
              <w:pStyle w:val="TableParagraph"/>
              <w:spacing w:before="5"/>
              <w:ind w:right="102"/>
              <w:jc w:val="right"/>
              <w:rPr>
                <w:sz w:val="13"/>
              </w:rPr>
            </w:pPr>
            <w:r>
              <w:rPr>
                <w:sz w:val="13"/>
              </w:rPr>
              <w:t>10,61</w:t>
            </w:r>
          </w:p>
        </w:tc>
        <w:tc>
          <w:tcPr>
            <w:tcW w:w="771" w:type="dxa"/>
          </w:tcPr>
          <w:p>
            <w:pPr>
              <w:pStyle w:val="TableParagraph"/>
              <w:spacing w:before="5"/>
              <w:ind w:right="111"/>
              <w:jc w:val="right"/>
              <w:rPr>
                <w:sz w:val="13"/>
              </w:rPr>
            </w:pPr>
            <w:r>
              <w:rPr>
                <w:sz w:val="13"/>
              </w:rPr>
              <w:t>131,73</w:t>
            </w:r>
          </w:p>
        </w:tc>
        <w:tc>
          <w:tcPr>
            <w:tcW w:w="656" w:type="dxa"/>
          </w:tcPr>
          <w:p>
            <w:pPr>
              <w:pStyle w:val="TableParagraph"/>
              <w:spacing w:before="5"/>
              <w:ind w:right="54"/>
              <w:jc w:val="right"/>
              <w:rPr>
                <w:sz w:val="13"/>
              </w:rPr>
            </w:pPr>
            <w:r>
              <w:rPr>
                <w:sz w:val="13"/>
              </w:rPr>
              <w:t>129,46</w:t>
            </w:r>
          </w:p>
        </w:tc>
        <w:tc>
          <w:tcPr>
            <w:tcW w:w="601" w:type="dxa"/>
          </w:tcPr>
          <w:p>
            <w:pPr>
              <w:pStyle w:val="TableParagraph"/>
              <w:spacing w:before="5"/>
              <w:ind w:right="56"/>
              <w:jc w:val="right"/>
              <w:rPr>
                <w:sz w:val="13"/>
              </w:rPr>
            </w:pPr>
            <w:r>
              <w:rPr>
                <w:sz w:val="13"/>
              </w:rPr>
              <w:t>121,56</w:t>
            </w:r>
          </w:p>
        </w:tc>
        <w:tc>
          <w:tcPr>
            <w:tcW w:w="916" w:type="dxa"/>
          </w:tcPr>
          <w:p>
            <w:pPr>
              <w:pStyle w:val="TableParagraph"/>
              <w:spacing w:before="5"/>
              <w:ind w:right="150"/>
              <w:jc w:val="right"/>
              <w:rPr>
                <w:sz w:val="13"/>
              </w:rPr>
            </w:pPr>
            <w:r>
              <w:rPr>
                <w:sz w:val="13"/>
              </w:rPr>
              <w:t>-2,27</w:t>
            </w:r>
          </w:p>
        </w:tc>
        <w:tc>
          <w:tcPr>
            <w:tcW w:w="590" w:type="dxa"/>
          </w:tcPr>
          <w:p>
            <w:pPr>
              <w:pStyle w:val="TableParagraph"/>
              <w:spacing w:before="5"/>
              <w:ind w:right="53"/>
              <w:jc w:val="right"/>
              <w:rPr>
                <w:sz w:val="13"/>
              </w:rPr>
            </w:pPr>
            <w:r>
              <w:rPr>
                <w:sz w:val="13"/>
              </w:rPr>
              <w:t>98,28</w:t>
            </w:r>
          </w:p>
        </w:tc>
      </w:tr>
      <w:tr>
        <w:trPr>
          <w:trHeight w:val="190" w:hRule="atLeast"/>
        </w:trPr>
        <w:tc>
          <w:tcPr>
            <w:tcW w:w="2258" w:type="dxa"/>
          </w:tcPr>
          <w:p>
            <w:pPr>
              <w:pStyle w:val="TableParagraph"/>
              <w:spacing w:before="5"/>
              <w:ind w:left="70"/>
              <w:rPr>
                <w:sz w:val="13"/>
              </w:rPr>
            </w:pPr>
            <w:r>
              <w:rPr>
                <w:w w:val="105"/>
                <w:sz w:val="13"/>
              </w:rPr>
              <w:t>Cooperación Y Relac con El Exterior</w:t>
            </w:r>
          </w:p>
        </w:tc>
        <w:tc>
          <w:tcPr>
            <w:tcW w:w="738" w:type="dxa"/>
          </w:tcPr>
          <w:p>
            <w:pPr>
              <w:pStyle w:val="TableParagraph"/>
              <w:spacing w:before="5"/>
              <w:ind w:right="114"/>
              <w:jc w:val="right"/>
              <w:rPr>
                <w:sz w:val="13"/>
              </w:rPr>
            </w:pPr>
            <w:r>
              <w:rPr>
                <w:sz w:val="13"/>
              </w:rPr>
              <w:t>11,36</w:t>
            </w:r>
          </w:p>
        </w:tc>
        <w:tc>
          <w:tcPr>
            <w:tcW w:w="704" w:type="dxa"/>
          </w:tcPr>
          <w:p>
            <w:pPr>
              <w:pStyle w:val="TableParagraph"/>
              <w:spacing w:before="5"/>
              <w:ind w:right="102"/>
              <w:jc w:val="right"/>
              <w:rPr>
                <w:sz w:val="13"/>
              </w:rPr>
            </w:pPr>
            <w:r>
              <w:rPr>
                <w:sz w:val="13"/>
              </w:rPr>
              <w:t>-0,28</w:t>
            </w:r>
          </w:p>
        </w:tc>
        <w:tc>
          <w:tcPr>
            <w:tcW w:w="771" w:type="dxa"/>
          </w:tcPr>
          <w:p>
            <w:pPr>
              <w:pStyle w:val="TableParagraph"/>
              <w:spacing w:before="5"/>
              <w:ind w:right="111"/>
              <w:jc w:val="right"/>
              <w:rPr>
                <w:sz w:val="13"/>
              </w:rPr>
            </w:pPr>
            <w:r>
              <w:rPr>
                <w:sz w:val="13"/>
              </w:rPr>
              <w:t>11,08</w:t>
            </w:r>
          </w:p>
        </w:tc>
        <w:tc>
          <w:tcPr>
            <w:tcW w:w="656" w:type="dxa"/>
          </w:tcPr>
          <w:p>
            <w:pPr>
              <w:pStyle w:val="TableParagraph"/>
              <w:spacing w:before="5"/>
              <w:ind w:right="54"/>
              <w:jc w:val="right"/>
              <w:rPr>
                <w:sz w:val="13"/>
              </w:rPr>
            </w:pPr>
            <w:r>
              <w:rPr>
                <w:sz w:val="13"/>
              </w:rPr>
              <w:t>10,24</w:t>
            </w:r>
          </w:p>
        </w:tc>
        <w:tc>
          <w:tcPr>
            <w:tcW w:w="601" w:type="dxa"/>
          </w:tcPr>
          <w:p>
            <w:pPr>
              <w:pStyle w:val="TableParagraph"/>
              <w:spacing w:before="5"/>
              <w:ind w:right="56"/>
              <w:jc w:val="right"/>
              <w:rPr>
                <w:sz w:val="13"/>
              </w:rPr>
            </w:pPr>
            <w:r>
              <w:rPr>
                <w:sz w:val="13"/>
              </w:rPr>
              <w:t>9,36</w:t>
            </w:r>
          </w:p>
        </w:tc>
        <w:tc>
          <w:tcPr>
            <w:tcW w:w="916" w:type="dxa"/>
          </w:tcPr>
          <w:p>
            <w:pPr>
              <w:pStyle w:val="TableParagraph"/>
              <w:spacing w:before="5"/>
              <w:ind w:right="150"/>
              <w:jc w:val="right"/>
              <w:rPr>
                <w:sz w:val="13"/>
              </w:rPr>
            </w:pPr>
            <w:r>
              <w:rPr>
                <w:sz w:val="13"/>
              </w:rPr>
              <w:t>-0,84</w:t>
            </w:r>
          </w:p>
        </w:tc>
        <w:tc>
          <w:tcPr>
            <w:tcW w:w="590" w:type="dxa"/>
          </w:tcPr>
          <w:p>
            <w:pPr>
              <w:pStyle w:val="TableParagraph"/>
              <w:spacing w:before="5"/>
              <w:ind w:right="53"/>
              <w:jc w:val="right"/>
              <w:rPr>
                <w:sz w:val="13"/>
              </w:rPr>
            </w:pPr>
            <w:r>
              <w:rPr>
                <w:sz w:val="13"/>
              </w:rPr>
              <w:t>92,41</w:t>
            </w:r>
          </w:p>
        </w:tc>
      </w:tr>
      <w:tr>
        <w:trPr>
          <w:trHeight w:val="190" w:hRule="atLeast"/>
        </w:trPr>
        <w:tc>
          <w:tcPr>
            <w:tcW w:w="2258" w:type="dxa"/>
          </w:tcPr>
          <w:p>
            <w:pPr>
              <w:pStyle w:val="TableParagraph"/>
              <w:spacing w:before="5"/>
              <w:ind w:left="70"/>
              <w:rPr>
                <w:sz w:val="13"/>
              </w:rPr>
            </w:pPr>
            <w:r>
              <w:rPr>
                <w:w w:val="105"/>
                <w:sz w:val="13"/>
              </w:rPr>
              <w:t>Órganos Legisl, Instit y Consultivos</w:t>
            </w:r>
          </w:p>
        </w:tc>
        <w:tc>
          <w:tcPr>
            <w:tcW w:w="738" w:type="dxa"/>
          </w:tcPr>
          <w:p>
            <w:pPr>
              <w:pStyle w:val="TableParagraph"/>
              <w:spacing w:before="5"/>
              <w:ind w:right="114"/>
              <w:jc w:val="right"/>
              <w:rPr>
                <w:sz w:val="13"/>
              </w:rPr>
            </w:pPr>
            <w:r>
              <w:rPr>
                <w:sz w:val="13"/>
              </w:rPr>
              <w:t>36,92</w:t>
            </w:r>
          </w:p>
        </w:tc>
        <w:tc>
          <w:tcPr>
            <w:tcW w:w="704" w:type="dxa"/>
          </w:tcPr>
          <w:p>
            <w:pPr>
              <w:pStyle w:val="TableParagraph"/>
              <w:spacing w:before="5"/>
              <w:ind w:right="102"/>
              <w:jc w:val="right"/>
              <w:rPr>
                <w:sz w:val="13"/>
              </w:rPr>
            </w:pPr>
            <w:r>
              <w:rPr>
                <w:sz w:val="13"/>
              </w:rPr>
              <w:t>-0,03</w:t>
            </w:r>
          </w:p>
        </w:tc>
        <w:tc>
          <w:tcPr>
            <w:tcW w:w="771" w:type="dxa"/>
          </w:tcPr>
          <w:p>
            <w:pPr>
              <w:pStyle w:val="TableParagraph"/>
              <w:spacing w:before="5"/>
              <w:ind w:right="111"/>
              <w:jc w:val="right"/>
              <w:rPr>
                <w:sz w:val="13"/>
              </w:rPr>
            </w:pPr>
            <w:r>
              <w:rPr>
                <w:sz w:val="13"/>
              </w:rPr>
              <w:t>36,89</w:t>
            </w:r>
          </w:p>
        </w:tc>
        <w:tc>
          <w:tcPr>
            <w:tcW w:w="656" w:type="dxa"/>
          </w:tcPr>
          <w:p>
            <w:pPr>
              <w:pStyle w:val="TableParagraph"/>
              <w:spacing w:before="5"/>
              <w:ind w:right="54"/>
              <w:jc w:val="right"/>
              <w:rPr>
                <w:sz w:val="13"/>
              </w:rPr>
            </w:pPr>
            <w:r>
              <w:rPr>
                <w:sz w:val="13"/>
              </w:rPr>
              <w:t>36,79</w:t>
            </w:r>
          </w:p>
        </w:tc>
        <w:tc>
          <w:tcPr>
            <w:tcW w:w="601" w:type="dxa"/>
          </w:tcPr>
          <w:p>
            <w:pPr>
              <w:pStyle w:val="TableParagraph"/>
              <w:spacing w:before="5"/>
              <w:ind w:right="56"/>
              <w:jc w:val="right"/>
              <w:rPr>
                <w:sz w:val="13"/>
              </w:rPr>
            </w:pPr>
            <w:r>
              <w:rPr>
                <w:sz w:val="13"/>
              </w:rPr>
              <w:t>36,79</w:t>
            </w:r>
          </w:p>
        </w:tc>
        <w:tc>
          <w:tcPr>
            <w:tcW w:w="916" w:type="dxa"/>
          </w:tcPr>
          <w:p>
            <w:pPr>
              <w:pStyle w:val="TableParagraph"/>
              <w:spacing w:before="5"/>
              <w:ind w:right="150"/>
              <w:jc w:val="right"/>
              <w:rPr>
                <w:sz w:val="13"/>
              </w:rPr>
            </w:pPr>
            <w:r>
              <w:rPr>
                <w:sz w:val="13"/>
              </w:rPr>
              <w:t>-0,10</w:t>
            </w:r>
          </w:p>
        </w:tc>
        <w:tc>
          <w:tcPr>
            <w:tcW w:w="590" w:type="dxa"/>
          </w:tcPr>
          <w:p>
            <w:pPr>
              <w:pStyle w:val="TableParagraph"/>
              <w:spacing w:before="5"/>
              <w:ind w:right="53"/>
              <w:jc w:val="right"/>
              <w:rPr>
                <w:sz w:val="13"/>
              </w:rPr>
            </w:pPr>
            <w:r>
              <w:rPr>
                <w:sz w:val="13"/>
              </w:rPr>
              <w:t>99,73</w:t>
            </w:r>
          </w:p>
        </w:tc>
      </w:tr>
      <w:tr>
        <w:trPr>
          <w:trHeight w:val="190" w:hRule="atLeast"/>
        </w:trPr>
        <w:tc>
          <w:tcPr>
            <w:tcW w:w="2258" w:type="dxa"/>
          </w:tcPr>
          <w:p>
            <w:pPr>
              <w:pStyle w:val="TableParagraph"/>
              <w:spacing w:before="5"/>
              <w:ind w:left="70"/>
              <w:rPr>
                <w:sz w:val="13"/>
              </w:rPr>
            </w:pPr>
            <w:r>
              <w:rPr>
                <w:w w:val="105"/>
                <w:sz w:val="13"/>
              </w:rPr>
              <w:t>Radiotelevisión</w:t>
            </w:r>
          </w:p>
        </w:tc>
        <w:tc>
          <w:tcPr>
            <w:tcW w:w="738" w:type="dxa"/>
          </w:tcPr>
          <w:p>
            <w:pPr>
              <w:pStyle w:val="TableParagraph"/>
              <w:spacing w:before="5"/>
              <w:ind w:right="114"/>
              <w:jc w:val="right"/>
              <w:rPr>
                <w:sz w:val="13"/>
              </w:rPr>
            </w:pPr>
            <w:r>
              <w:rPr>
                <w:sz w:val="13"/>
              </w:rPr>
              <w:t>58,61</w:t>
            </w:r>
          </w:p>
        </w:tc>
        <w:tc>
          <w:tcPr>
            <w:tcW w:w="704" w:type="dxa"/>
          </w:tcPr>
          <w:p>
            <w:pPr>
              <w:pStyle w:val="TableParagraph"/>
              <w:spacing w:before="5"/>
              <w:ind w:right="102"/>
              <w:jc w:val="right"/>
              <w:rPr>
                <w:sz w:val="13"/>
              </w:rPr>
            </w:pPr>
            <w:r>
              <w:rPr>
                <w:sz w:val="13"/>
              </w:rPr>
              <w:t>11,92</w:t>
            </w:r>
          </w:p>
        </w:tc>
        <w:tc>
          <w:tcPr>
            <w:tcW w:w="771" w:type="dxa"/>
          </w:tcPr>
          <w:p>
            <w:pPr>
              <w:pStyle w:val="TableParagraph"/>
              <w:spacing w:before="5"/>
              <w:ind w:right="111"/>
              <w:jc w:val="right"/>
              <w:rPr>
                <w:sz w:val="13"/>
              </w:rPr>
            </w:pPr>
            <w:r>
              <w:rPr>
                <w:sz w:val="13"/>
              </w:rPr>
              <w:t>70,53</w:t>
            </w:r>
          </w:p>
        </w:tc>
        <w:tc>
          <w:tcPr>
            <w:tcW w:w="656" w:type="dxa"/>
          </w:tcPr>
          <w:p>
            <w:pPr>
              <w:pStyle w:val="TableParagraph"/>
              <w:spacing w:before="5"/>
              <w:ind w:right="54"/>
              <w:jc w:val="right"/>
              <w:rPr>
                <w:sz w:val="13"/>
              </w:rPr>
            </w:pPr>
            <w:r>
              <w:rPr>
                <w:sz w:val="13"/>
              </w:rPr>
              <w:t>70,53</w:t>
            </w:r>
          </w:p>
        </w:tc>
        <w:tc>
          <w:tcPr>
            <w:tcW w:w="601" w:type="dxa"/>
          </w:tcPr>
          <w:p>
            <w:pPr>
              <w:pStyle w:val="TableParagraph"/>
              <w:spacing w:before="5"/>
              <w:ind w:right="56"/>
              <w:jc w:val="right"/>
              <w:rPr>
                <w:sz w:val="13"/>
              </w:rPr>
            </w:pPr>
            <w:r>
              <w:rPr>
                <w:sz w:val="13"/>
              </w:rPr>
              <w:t>64,53</w:t>
            </w:r>
          </w:p>
        </w:tc>
        <w:tc>
          <w:tcPr>
            <w:tcW w:w="916" w:type="dxa"/>
          </w:tcPr>
          <w:p>
            <w:pPr>
              <w:pStyle w:val="TableParagraph"/>
              <w:spacing w:before="5"/>
              <w:ind w:right="150"/>
              <w:jc w:val="right"/>
              <w:rPr>
                <w:sz w:val="13"/>
              </w:rPr>
            </w:pPr>
            <w:r>
              <w:rPr>
                <w:sz w:val="13"/>
              </w:rPr>
              <w:t>0,00</w:t>
            </w:r>
          </w:p>
        </w:tc>
        <w:tc>
          <w:tcPr>
            <w:tcW w:w="590" w:type="dxa"/>
          </w:tcPr>
          <w:p>
            <w:pPr>
              <w:pStyle w:val="TableParagraph"/>
              <w:spacing w:before="5"/>
              <w:ind w:right="53"/>
              <w:jc w:val="right"/>
              <w:rPr>
                <w:sz w:val="13"/>
              </w:rPr>
            </w:pPr>
            <w:r>
              <w:rPr>
                <w:sz w:val="13"/>
              </w:rPr>
              <w:t>100,00</w:t>
            </w:r>
          </w:p>
        </w:tc>
      </w:tr>
      <w:tr>
        <w:trPr>
          <w:trHeight w:val="190" w:hRule="atLeast"/>
        </w:trPr>
        <w:tc>
          <w:tcPr>
            <w:tcW w:w="2258" w:type="dxa"/>
          </w:tcPr>
          <w:p>
            <w:pPr>
              <w:pStyle w:val="TableParagraph"/>
              <w:spacing w:before="4"/>
              <w:ind w:left="70"/>
              <w:rPr>
                <w:sz w:val="13"/>
              </w:rPr>
            </w:pPr>
            <w:r>
              <w:rPr>
                <w:w w:val="105"/>
                <w:sz w:val="13"/>
              </w:rPr>
              <w:t>Otras Políticas</w:t>
            </w:r>
          </w:p>
        </w:tc>
        <w:tc>
          <w:tcPr>
            <w:tcW w:w="738" w:type="dxa"/>
          </w:tcPr>
          <w:p>
            <w:pPr>
              <w:pStyle w:val="TableParagraph"/>
              <w:spacing w:before="4"/>
              <w:ind w:right="114"/>
              <w:jc w:val="right"/>
              <w:rPr>
                <w:sz w:val="13"/>
              </w:rPr>
            </w:pPr>
            <w:r>
              <w:rPr>
                <w:sz w:val="13"/>
              </w:rPr>
              <w:t>14,23</w:t>
            </w:r>
          </w:p>
        </w:tc>
        <w:tc>
          <w:tcPr>
            <w:tcW w:w="704" w:type="dxa"/>
          </w:tcPr>
          <w:p>
            <w:pPr>
              <w:pStyle w:val="TableParagraph"/>
              <w:spacing w:before="4"/>
              <w:ind w:right="102"/>
              <w:jc w:val="right"/>
              <w:rPr>
                <w:sz w:val="13"/>
              </w:rPr>
            </w:pPr>
            <w:r>
              <w:rPr>
                <w:sz w:val="13"/>
              </w:rPr>
              <w:t>-1,01</w:t>
            </w:r>
          </w:p>
        </w:tc>
        <w:tc>
          <w:tcPr>
            <w:tcW w:w="771" w:type="dxa"/>
          </w:tcPr>
          <w:p>
            <w:pPr>
              <w:pStyle w:val="TableParagraph"/>
              <w:spacing w:before="4"/>
              <w:ind w:right="111"/>
              <w:jc w:val="right"/>
              <w:rPr>
                <w:sz w:val="13"/>
              </w:rPr>
            </w:pPr>
            <w:r>
              <w:rPr>
                <w:sz w:val="13"/>
              </w:rPr>
              <w:t>13,23</w:t>
            </w:r>
          </w:p>
        </w:tc>
        <w:tc>
          <w:tcPr>
            <w:tcW w:w="656" w:type="dxa"/>
          </w:tcPr>
          <w:p>
            <w:pPr>
              <w:pStyle w:val="TableParagraph"/>
              <w:spacing w:before="4"/>
              <w:ind w:right="54"/>
              <w:jc w:val="right"/>
              <w:rPr>
                <w:sz w:val="13"/>
              </w:rPr>
            </w:pPr>
            <w:r>
              <w:rPr>
                <w:sz w:val="13"/>
              </w:rPr>
              <w:t>11,90</w:t>
            </w:r>
          </w:p>
        </w:tc>
        <w:tc>
          <w:tcPr>
            <w:tcW w:w="601" w:type="dxa"/>
          </w:tcPr>
          <w:p>
            <w:pPr>
              <w:pStyle w:val="TableParagraph"/>
              <w:spacing w:before="4"/>
              <w:ind w:right="56"/>
              <w:jc w:val="right"/>
              <w:rPr>
                <w:sz w:val="13"/>
              </w:rPr>
            </w:pPr>
            <w:r>
              <w:rPr>
                <w:sz w:val="13"/>
              </w:rPr>
              <w:t>10,89</w:t>
            </w:r>
          </w:p>
        </w:tc>
        <w:tc>
          <w:tcPr>
            <w:tcW w:w="916" w:type="dxa"/>
          </w:tcPr>
          <w:p>
            <w:pPr>
              <w:pStyle w:val="TableParagraph"/>
              <w:spacing w:before="4"/>
              <w:ind w:right="150"/>
              <w:jc w:val="right"/>
              <w:rPr>
                <w:sz w:val="13"/>
              </w:rPr>
            </w:pPr>
            <w:r>
              <w:rPr>
                <w:sz w:val="13"/>
              </w:rPr>
              <w:t>-1,33</w:t>
            </w:r>
          </w:p>
        </w:tc>
        <w:tc>
          <w:tcPr>
            <w:tcW w:w="590" w:type="dxa"/>
          </w:tcPr>
          <w:p>
            <w:pPr>
              <w:pStyle w:val="TableParagraph"/>
              <w:spacing w:before="4"/>
              <w:ind w:right="53"/>
              <w:jc w:val="right"/>
              <w:rPr>
                <w:sz w:val="13"/>
              </w:rPr>
            </w:pPr>
            <w:r>
              <w:rPr>
                <w:sz w:val="13"/>
              </w:rPr>
              <w:t>89,98</w:t>
            </w:r>
          </w:p>
        </w:tc>
      </w:tr>
      <w:tr>
        <w:trPr>
          <w:trHeight w:val="197" w:hRule="atLeast"/>
        </w:trPr>
        <w:tc>
          <w:tcPr>
            <w:tcW w:w="2258" w:type="dxa"/>
          </w:tcPr>
          <w:p>
            <w:pPr>
              <w:pStyle w:val="TableParagraph"/>
              <w:spacing w:before="5"/>
              <w:ind w:left="70"/>
              <w:rPr>
                <w:sz w:val="13"/>
              </w:rPr>
            </w:pPr>
            <w:r>
              <w:rPr>
                <w:w w:val="105"/>
                <w:sz w:val="13"/>
              </w:rPr>
              <w:t>Deuda Pública</w:t>
            </w:r>
          </w:p>
        </w:tc>
        <w:tc>
          <w:tcPr>
            <w:tcW w:w="738" w:type="dxa"/>
          </w:tcPr>
          <w:p>
            <w:pPr>
              <w:pStyle w:val="TableParagraph"/>
              <w:spacing w:before="5"/>
              <w:ind w:right="114"/>
              <w:jc w:val="right"/>
              <w:rPr>
                <w:sz w:val="13"/>
              </w:rPr>
            </w:pPr>
            <w:r>
              <w:rPr>
                <w:sz w:val="13"/>
              </w:rPr>
              <w:t>865,05</w:t>
            </w:r>
          </w:p>
        </w:tc>
        <w:tc>
          <w:tcPr>
            <w:tcW w:w="704" w:type="dxa"/>
          </w:tcPr>
          <w:p>
            <w:pPr>
              <w:pStyle w:val="TableParagraph"/>
              <w:spacing w:before="5"/>
              <w:ind w:right="102"/>
              <w:jc w:val="right"/>
              <w:rPr>
                <w:sz w:val="13"/>
              </w:rPr>
            </w:pPr>
            <w:r>
              <w:rPr>
                <w:sz w:val="13"/>
              </w:rPr>
              <w:t>1,95</w:t>
            </w:r>
          </w:p>
        </w:tc>
        <w:tc>
          <w:tcPr>
            <w:tcW w:w="771" w:type="dxa"/>
          </w:tcPr>
          <w:p>
            <w:pPr>
              <w:pStyle w:val="TableParagraph"/>
              <w:spacing w:before="5"/>
              <w:ind w:right="111"/>
              <w:jc w:val="right"/>
              <w:rPr>
                <w:sz w:val="13"/>
              </w:rPr>
            </w:pPr>
            <w:r>
              <w:rPr>
                <w:sz w:val="13"/>
              </w:rPr>
              <w:t>867,00</w:t>
            </w:r>
          </w:p>
        </w:tc>
        <w:tc>
          <w:tcPr>
            <w:tcW w:w="656" w:type="dxa"/>
          </w:tcPr>
          <w:p>
            <w:pPr>
              <w:pStyle w:val="TableParagraph"/>
              <w:spacing w:before="5"/>
              <w:ind w:right="54"/>
              <w:jc w:val="right"/>
              <w:rPr>
                <w:sz w:val="13"/>
              </w:rPr>
            </w:pPr>
            <w:r>
              <w:rPr>
                <w:sz w:val="13"/>
              </w:rPr>
              <w:t>866,14</w:t>
            </w:r>
          </w:p>
        </w:tc>
        <w:tc>
          <w:tcPr>
            <w:tcW w:w="601" w:type="dxa"/>
          </w:tcPr>
          <w:p>
            <w:pPr>
              <w:pStyle w:val="TableParagraph"/>
              <w:spacing w:before="5"/>
              <w:ind w:right="56"/>
              <w:jc w:val="right"/>
              <w:rPr>
                <w:sz w:val="13"/>
              </w:rPr>
            </w:pPr>
            <w:r>
              <w:rPr>
                <w:sz w:val="13"/>
              </w:rPr>
              <w:t>866,13</w:t>
            </w:r>
          </w:p>
        </w:tc>
        <w:tc>
          <w:tcPr>
            <w:tcW w:w="916" w:type="dxa"/>
          </w:tcPr>
          <w:p>
            <w:pPr>
              <w:pStyle w:val="TableParagraph"/>
              <w:spacing w:before="5"/>
              <w:ind w:right="150"/>
              <w:jc w:val="right"/>
              <w:rPr>
                <w:sz w:val="13"/>
              </w:rPr>
            </w:pPr>
            <w:r>
              <w:rPr>
                <w:sz w:val="13"/>
              </w:rPr>
              <w:t>-0,86</w:t>
            </w:r>
          </w:p>
        </w:tc>
        <w:tc>
          <w:tcPr>
            <w:tcW w:w="590" w:type="dxa"/>
          </w:tcPr>
          <w:p>
            <w:pPr>
              <w:pStyle w:val="TableParagraph"/>
              <w:spacing w:before="5"/>
              <w:ind w:right="53"/>
              <w:jc w:val="right"/>
              <w:rPr>
                <w:sz w:val="13"/>
              </w:rPr>
            </w:pPr>
            <w:r>
              <w:rPr>
                <w:sz w:val="13"/>
              </w:rPr>
              <w:t>99,90</w:t>
            </w:r>
          </w:p>
        </w:tc>
      </w:tr>
      <w:tr>
        <w:trPr>
          <w:trHeight w:val="184" w:hRule="atLeast"/>
        </w:trPr>
        <w:tc>
          <w:tcPr>
            <w:tcW w:w="2258" w:type="dxa"/>
            <w:tcBorders>
              <w:bottom w:val="single" w:sz="4" w:space="0" w:color="000000"/>
            </w:tcBorders>
          </w:tcPr>
          <w:p>
            <w:pPr>
              <w:pStyle w:val="TableParagraph"/>
              <w:spacing w:line="153" w:lineRule="exact" w:before="11"/>
              <w:ind w:left="572"/>
              <w:rPr>
                <w:b/>
                <w:sz w:val="13"/>
              </w:rPr>
            </w:pPr>
            <w:r>
              <w:rPr>
                <w:b/>
                <w:w w:val="105"/>
                <w:sz w:val="13"/>
              </w:rPr>
              <w:t>Total no financiero</w:t>
            </w:r>
          </w:p>
        </w:tc>
        <w:tc>
          <w:tcPr>
            <w:tcW w:w="738" w:type="dxa"/>
            <w:tcBorders>
              <w:bottom w:val="single" w:sz="4" w:space="0" w:color="000000"/>
            </w:tcBorders>
          </w:tcPr>
          <w:p>
            <w:pPr>
              <w:pStyle w:val="TableParagraph"/>
              <w:spacing w:line="153" w:lineRule="exact" w:before="11"/>
              <w:ind w:right="114"/>
              <w:jc w:val="right"/>
              <w:rPr>
                <w:b/>
                <w:sz w:val="13"/>
              </w:rPr>
            </w:pPr>
            <w:r>
              <w:rPr>
                <w:b/>
                <w:w w:val="105"/>
                <w:sz w:val="13"/>
              </w:rPr>
              <w:t>9.467,89</w:t>
            </w:r>
          </w:p>
        </w:tc>
        <w:tc>
          <w:tcPr>
            <w:tcW w:w="704" w:type="dxa"/>
            <w:tcBorders>
              <w:bottom w:val="single" w:sz="4" w:space="0" w:color="000000"/>
            </w:tcBorders>
          </w:tcPr>
          <w:p>
            <w:pPr>
              <w:pStyle w:val="TableParagraph"/>
              <w:spacing w:line="153" w:lineRule="exact" w:before="11"/>
              <w:ind w:right="102"/>
              <w:jc w:val="right"/>
              <w:rPr>
                <w:b/>
                <w:sz w:val="13"/>
              </w:rPr>
            </w:pPr>
            <w:r>
              <w:rPr>
                <w:b/>
                <w:w w:val="105"/>
                <w:sz w:val="13"/>
              </w:rPr>
              <w:t>1.166,19</w:t>
            </w:r>
          </w:p>
        </w:tc>
        <w:tc>
          <w:tcPr>
            <w:tcW w:w="771" w:type="dxa"/>
            <w:tcBorders>
              <w:bottom w:val="single" w:sz="4" w:space="0" w:color="000000"/>
            </w:tcBorders>
          </w:tcPr>
          <w:p>
            <w:pPr>
              <w:pStyle w:val="TableParagraph"/>
              <w:spacing w:line="153" w:lineRule="exact" w:before="11"/>
              <w:ind w:right="111"/>
              <w:jc w:val="right"/>
              <w:rPr>
                <w:b/>
                <w:sz w:val="13"/>
              </w:rPr>
            </w:pPr>
            <w:r>
              <w:rPr>
                <w:b/>
                <w:w w:val="105"/>
                <w:sz w:val="13"/>
              </w:rPr>
              <w:t>10.634,08</w:t>
            </w:r>
          </w:p>
        </w:tc>
        <w:tc>
          <w:tcPr>
            <w:tcW w:w="656" w:type="dxa"/>
            <w:tcBorders>
              <w:bottom w:val="single" w:sz="4" w:space="0" w:color="000000"/>
            </w:tcBorders>
          </w:tcPr>
          <w:p>
            <w:pPr>
              <w:pStyle w:val="TableParagraph"/>
              <w:spacing w:line="153" w:lineRule="exact" w:before="11"/>
              <w:ind w:right="54"/>
              <w:jc w:val="right"/>
              <w:rPr>
                <w:b/>
                <w:sz w:val="13"/>
              </w:rPr>
            </w:pPr>
            <w:r>
              <w:rPr>
                <w:b/>
                <w:w w:val="105"/>
                <w:sz w:val="13"/>
              </w:rPr>
              <w:t>9.973,97</w:t>
            </w:r>
          </w:p>
        </w:tc>
        <w:tc>
          <w:tcPr>
            <w:tcW w:w="601" w:type="dxa"/>
            <w:tcBorders>
              <w:bottom w:val="single" w:sz="4" w:space="0" w:color="000000"/>
            </w:tcBorders>
          </w:tcPr>
          <w:p>
            <w:pPr>
              <w:pStyle w:val="TableParagraph"/>
              <w:spacing w:line="153" w:lineRule="exact" w:before="11"/>
              <w:ind w:right="56"/>
              <w:jc w:val="right"/>
              <w:rPr>
                <w:b/>
                <w:sz w:val="13"/>
              </w:rPr>
            </w:pPr>
            <w:r>
              <w:rPr>
                <w:b/>
                <w:w w:val="105"/>
                <w:sz w:val="13"/>
              </w:rPr>
              <w:t>9.543,03</w:t>
            </w:r>
          </w:p>
        </w:tc>
        <w:tc>
          <w:tcPr>
            <w:tcW w:w="916" w:type="dxa"/>
            <w:tcBorders>
              <w:bottom w:val="single" w:sz="4" w:space="0" w:color="000000"/>
            </w:tcBorders>
          </w:tcPr>
          <w:p>
            <w:pPr>
              <w:pStyle w:val="TableParagraph"/>
              <w:spacing w:line="153" w:lineRule="exact" w:before="11"/>
              <w:ind w:right="149"/>
              <w:jc w:val="right"/>
              <w:rPr>
                <w:b/>
                <w:sz w:val="13"/>
              </w:rPr>
            </w:pPr>
            <w:r>
              <w:rPr>
                <w:b/>
                <w:sz w:val="13"/>
              </w:rPr>
              <w:t>-660,11</w:t>
            </w:r>
          </w:p>
        </w:tc>
        <w:tc>
          <w:tcPr>
            <w:tcW w:w="590" w:type="dxa"/>
            <w:tcBorders>
              <w:bottom w:val="single" w:sz="4" w:space="0" w:color="000000"/>
            </w:tcBorders>
          </w:tcPr>
          <w:p>
            <w:pPr>
              <w:pStyle w:val="TableParagraph"/>
              <w:spacing w:line="153" w:lineRule="exact" w:before="11"/>
              <w:ind w:right="52"/>
              <w:jc w:val="right"/>
              <w:rPr>
                <w:b/>
                <w:sz w:val="13"/>
              </w:rPr>
            </w:pPr>
            <w:r>
              <w:rPr>
                <w:b/>
                <w:w w:val="105"/>
                <w:sz w:val="13"/>
              </w:rPr>
              <w:t>93,79</w:t>
            </w:r>
          </w:p>
        </w:tc>
      </w:tr>
    </w:tbl>
    <w:p>
      <w:pPr>
        <w:pStyle w:val="BodyText"/>
        <w:spacing w:before="3"/>
        <w:rPr>
          <w:b/>
          <w:sz w:val="11"/>
        </w:rPr>
      </w:pPr>
    </w:p>
    <w:p>
      <w:pPr>
        <w:spacing w:after="0"/>
        <w:rPr>
          <w:sz w:val="11"/>
        </w:rPr>
        <w:sectPr>
          <w:pgSz w:w="11900" w:h="16840"/>
          <w:pgMar w:header="859" w:footer="926" w:top="1760" w:bottom="1120" w:left="760" w:right="760"/>
        </w:sectPr>
      </w:pPr>
    </w:p>
    <w:p>
      <w:pPr>
        <w:pStyle w:val="Heading1"/>
        <w:numPr>
          <w:ilvl w:val="3"/>
          <w:numId w:val="10"/>
        </w:numPr>
        <w:tabs>
          <w:tab w:pos="2768" w:val="left" w:leader="none"/>
        </w:tabs>
        <w:spacing w:line="240" w:lineRule="auto" w:before="61" w:after="0"/>
        <w:ind w:left="2767" w:right="0" w:hanging="672"/>
        <w:jc w:val="left"/>
      </w:pPr>
      <w:r>
        <w:rPr/>
        <w:t>Evolución del presupuesto de gastos de las políticas</w:t>
      </w:r>
      <w:r>
        <w:rPr>
          <w:spacing w:val="6"/>
        </w:rPr>
        <w:t> </w:t>
      </w:r>
      <w:r>
        <w:rPr/>
        <w:t>públicas.</w:t>
      </w:r>
    </w:p>
    <w:p>
      <w:pPr>
        <w:pStyle w:val="BodyText"/>
        <w:rPr>
          <w:b/>
          <w:sz w:val="14"/>
        </w:rPr>
      </w:pPr>
      <w:r>
        <w:rPr/>
        <w:br w:type="column"/>
      </w:r>
      <w:r>
        <w:rPr>
          <w:b/>
          <w:sz w:val="14"/>
        </w:rPr>
      </w:r>
    </w:p>
    <w:p>
      <w:pPr>
        <w:pStyle w:val="BodyText"/>
        <w:spacing w:before="5"/>
        <w:rPr>
          <w:b/>
          <w:sz w:val="11"/>
        </w:rPr>
      </w:pPr>
    </w:p>
    <w:p>
      <w:pPr>
        <w:spacing w:before="0"/>
        <w:ind w:left="523" w:right="0" w:firstLine="0"/>
        <w:jc w:val="left"/>
        <w:rPr>
          <w:b/>
          <w:sz w:val="15"/>
        </w:rPr>
      </w:pPr>
      <w:r>
        <w:rPr/>
        <w:pict>
          <v:group style="position:absolute;margin-left:142.816818pt;margin-top:9.357624pt;width:361.3pt;height:18.850pt;mso-position-horizontal-relative:page;mso-position-vertical-relative:paragraph;z-index:-323073024" coordorigin="2856,187" coordsize="7226,377">
            <v:shape style="position:absolute;left:2856;top:195;width:7226;height:369" coordorigin="2856,195" coordsize="7226,369" path="m5355,195l2856,195,2856,564,5355,564,5355,195m7657,195l6885,195,6146,195,6146,195,5355,195,5355,564,6146,564,6146,564,6885,564,7657,564,7657,195m10082,195l10024,195,9267,195,9209,195,9151,195,8472,195,8413,195,7657,195,7657,564,8413,564,8472,564,9151,564,9209,564,10082,564,10082,195e" filled="true" fillcolor="#deeaf6" stroked="false">
              <v:path arrowok="t"/>
              <v:fill type="solid"/>
            </v:shape>
            <v:line style="position:absolute" from="2856,191" to="5355,191" stroked="true" strokeweight=".40304pt" strokecolor="#000000">
              <v:stroke dashstyle="solid"/>
            </v:line>
            <v:rect style="position:absolute;left:5355;top:187;width:9;height:9" filled="true" fillcolor="#000000" stroked="false">
              <v:fill type="solid"/>
            </v:rect>
            <v:line style="position:absolute" from="5364,191" to="6146,191" stroked="true" strokeweight=".40304pt" strokecolor="#000000">
              <v:stroke dashstyle="solid"/>
            </v:line>
            <v:rect style="position:absolute;left:6145;top:187;width:9;height:9" filled="true" fillcolor="#000000" stroked="false">
              <v:fill type="solid"/>
            </v:rect>
            <v:line style="position:absolute" from="6154,191" to="6885,191" stroked="true" strokeweight=".40304pt" strokecolor="#000000">
              <v:stroke dashstyle="solid"/>
            </v:line>
            <v:rect style="position:absolute;left:6885;top:187;width:9;height:9" filled="true" fillcolor="#000000" stroked="false">
              <v:fill type="solid"/>
            </v:rect>
            <v:line style="position:absolute" from="6893,191" to="7657,191" stroked="true" strokeweight=".40304pt" strokecolor="#000000">
              <v:stroke dashstyle="solid"/>
            </v:line>
            <v:rect style="position:absolute;left:7657;top:187;width:9;height:9" filled="true" fillcolor="#000000" stroked="false">
              <v:fill type="solid"/>
            </v:rect>
            <v:line style="position:absolute" from="7666,191" to="8413,191" stroked="true" strokeweight=".40304pt" strokecolor="#000000">
              <v:stroke dashstyle="solid"/>
            </v:line>
            <v:rect style="position:absolute;left:8413;top:187;width:9;height:9" filled="true" fillcolor="#000000" stroked="false">
              <v:fill type="solid"/>
            </v:rect>
            <v:line style="position:absolute" from="8421,191" to="9209,191" stroked="true" strokeweight=".40304pt" strokecolor="#000000">
              <v:stroke dashstyle="solid"/>
            </v:line>
            <v:rect style="position:absolute;left:9209;top:187;width:9;height:9" filled="true" fillcolor="#000000" stroked="false">
              <v:fill type="solid"/>
            </v:rect>
            <v:line style="position:absolute" from="9217,191" to="10082,191" stroked="true" strokeweight=".40304pt" strokecolor="#000000">
              <v:stroke dashstyle="solid"/>
            </v:line>
            <v:shape style="position:absolute;left:3874;top:317;width:482;height:152" type="#_x0000_t202" filled="false" stroked="false">
              <v:textbox inset="0,0,0,0">
                <w:txbxContent>
                  <w:p>
                    <w:pPr>
                      <w:spacing w:line="151" w:lineRule="exact" w:before="0"/>
                      <w:ind w:left="0" w:right="0" w:firstLine="0"/>
                      <w:jc w:val="left"/>
                      <w:rPr>
                        <w:b/>
                        <w:sz w:val="15"/>
                      </w:rPr>
                    </w:pPr>
                    <w:r>
                      <w:rPr>
                        <w:b/>
                        <w:sz w:val="15"/>
                      </w:rPr>
                      <w:t>Política</w:t>
                    </w:r>
                  </w:p>
                </w:txbxContent>
              </v:textbox>
              <w10:wrap type="none"/>
            </v:shape>
            <v:shape style="position:absolute;left:5597;top:317;width:327;height:152" type="#_x0000_t202" filled="false" stroked="false">
              <v:textbox inset="0,0,0,0">
                <w:txbxContent>
                  <w:p>
                    <w:pPr>
                      <w:spacing w:line="151" w:lineRule="exact" w:before="0"/>
                      <w:ind w:left="0" w:right="0" w:firstLine="0"/>
                      <w:jc w:val="left"/>
                      <w:rPr>
                        <w:b/>
                        <w:sz w:val="15"/>
                      </w:rPr>
                    </w:pPr>
                    <w:r>
                      <w:rPr>
                        <w:b/>
                        <w:sz w:val="15"/>
                      </w:rPr>
                      <w:t>2019</w:t>
                    </w:r>
                  </w:p>
                </w:txbxContent>
              </v:textbox>
              <w10:wrap type="none"/>
            </v:shape>
            <v:shape style="position:absolute;left:6361;top:317;width:327;height:152" type="#_x0000_t202" filled="false" stroked="false">
              <v:textbox inset="0,0,0,0">
                <w:txbxContent>
                  <w:p>
                    <w:pPr>
                      <w:spacing w:line="151" w:lineRule="exact" w:before="0"/>
                      <w:ind w:left="0" w:right="0" w:firstLine="0"/>
                      <w:jc w:val="left"/>
                      <w:rPr>
                        <w:b/>
                        <w:sz w:val="15"/>
                      </w:rPr>
                    </w:pPr>
                    <w:r>
                      <w:rPr>
                        <w:b/>
                        <w:sz w:val="15"/>
                      </w:rPr>
                      <w:t>2020</w:t>
                    </w:r>
                  </w:p>
                </w:txbxContent>
              </v:textbox>
              <w10:wrap type="none"/>
            </v:shape>
            <v:shape style="position:absolute;left:7116;top:317;width:327;height:152" type="#_x0000_t202" filled="false" stroked="false">
              <v:textbox inset="0,0,0,0">
                <w:txbxContent>
                  <w:p>
                    <w:pPr>
                      <w:spacing w:line="151" w:lineRule="exact" w:before="0"/>
                      <w:ind w:left="0" w:right="0" w:firstLine="0"/>
                      <w:jc w:val="left"/>
                      <w:rPr>
                        <w:b/>
                        <w:sz w:val="15"/>
                      </w:rPr>
                    </w:pPr>
                    <w:r>
                      <w:rPr>
                        <w:b/>
                        <w:sz w:val="15"/>
                      </w:rPr>
                      <w:t>2021</w:t>
                    </w:r>
                  </w:p>
                </w:txbxContent>
              </v:textbox>
              <w10:wrap type="none"/>
            </v:shape>
            <v:shape style="position:absolute;left:7881;top:317;width:327;height:152" type="#_x0000_t202" filled="false" stroked="false">
              <v:textbox inset="0,0,0,0">
                <w:txbxContent>
                  <w:p>
                    <w:pPr>
                      <w:spacing w:line="151" w:lineRule="exact" w:before="0"/>
                      <w:ind w:left="0" w:right="0" w:firstLine="0"/>
                      <w:jc w:val="left"/>
                      <w:rPr>
                        <w:b/>
                        <w:sz w:val="15"/>
                      </w:rPr>
                    </w:pPr>
                    <w:r>
                      <w:rPr>
                        <w:b/>
                        <w:sz w:val="15"/>
                      </w:rPr>
                      <w:t>2022</w:t>
                    </w:r>
                  </w:p>
                </w:txbxContent>
              </v:textbox>
              <w10:wrap type="none"/>
            </v:shape>
            <v:shape style="position:absolute;left:8721;top:226;width:199;height:152" type="#_x0000_t202" filled="false" stroked="false">
              <v:textbox inset="0,0,0,0">
                <w:txbxContent>
                  <w:p>
                    <w:pPr>
                      <w:spacing w:line="151" w:lineRule="exact" w:before="0"/>
                      <w:ind w:left="0" w:right="0" w:firstLine="0"/>
                      <w:jc w:val="left"/>
                      <w:rPr>
                        <w:b/>
                        <w:sz w:val="15"/>
                      </w:rPr>
                    </w:pPr>
                    <w:r>
                      <w:rPr>
                        <w:b/>
                        <w:sz w:val="15"/>
                      </w:rPr>
                      <w:t>Dif</w:t>
                    </w:r>
                  </w:p>
                </w:txbxContent>
              </v:textbox>
              <w10:wrap type="none"/>
            </v:shape>
            <v:shape style="position:absolute;left:9535;top:226;width:238;height:152" type="#_x0000_t202" filled="false" stroked="false">
              <v:textbox inset="0,0,0,0">
                <w:txbxContent>
                  <w:p>
                    <w:pPr>
                      <w:spacing w:line="151" w:lineRule="exact" w:before="0"/>
                      <w:ind w:left="0" w:right="0" w:firstLine="0"/>
                      <w:jc w:val="left"/>
                      <w:rPr>
                        <w:b/>
                        <w:sz w:val="15"/>
                      </w:rPr>
                    </w:pPr>
                    <w:r>
                      <w:rPr>
                        <w:b/>
                        <w:sz w:val="15"/>
                      </w:rPr>
                      <w:t>Var</w:t>
                    </w:r>
                  </w:p>
                </w:txbxContent>
              </v:textbox>
              <w10:wrap type="none"/>
            </v:shape>
            <w10:wrap type="none"/>
          </v:group>
        </w:pict>
      </w:r>
      <w:r>
        <w:rPr/>
        <w:pict>
          <v:rect style="position:absolute;margin-left:463.374817pt;margin-top:19.029810pt;width:37.801999pt;height:9.168395pt;mso-position-horizontal-relative:page;mso-position-vertical-relative:paragraph;z-index:-323072000" filled="true" fillcolor="#deeaf6" stroked="false">
            <v:fill type="solid"/>
            <w10:wrap type="none"/>
          </v:rect>
        </w:pict>
      </w:r>
      <w:r>
        <w:rPr>
          <w:b/>
          <w:sz w:val="15"/>
        </w:rPr>
        <w:t>millones de €</w:t>
      </w:r>
    </w:p>
    <w:p>
      <w:pPr>
        <w:spacing w:after="0"/>
        <w:jc w:val="left"/>
        <w:rPr>
          <w:sz w:val="15"/>
        </w:rPr>
        <w:sectPr>
          <w:type w:val="continuous"/>
          <w:pgSz w:w="11900" w:h="16840"/>
          <w:pgMar w:top="1600" w:bottom="1120" w:left="760" w:right="760"/>
          <w:cols w:num="2" w:equalWidth="0">
            <w:col w:w="7866" w:space="40"/>
            <w:col w:w="2474"/>
          </w:cols>
        </w:sectPr>
      </w:pPr>
    </w:p>
    <w:p>
      <w:pPr>
        <w:pStyle w:val="BodyText"/>
        <w:spacing w:before="7"/>
        <w:rPr>
          <w:b/>
          <w:sz w:val="18"/>
        </w:rPr>
      </w:pPr>
    </w:p>
    <w:tbl>
      <w:tblPr>
        <w:tblW w:w="0" w:type="auto"/>
        <w:jc w:val="left"/>
        <w:tblInd w:w="2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0"/>
        <w:gridCol w:w="1173"/>
        <w:gridCol w:w="756"/>
        <w:gridCol w:w="765"/>
        <w:gridCol w:w="609"/>
        <w:gridCol w:w="815"/>
        <w:gridCol w:w="859"/>
      </w:tblGrid>
      <w:tr>
        <w:trPr>
          <w:trHeight w:val="169" w:hRule="atLeast"/>
        </w:trPr>
        <w:tc>
          <w:tcPr>
            <w:tcW w:w="5563" w:type="dxa"/>
            <w:gridSpan w:val="5"/>
            <w:shd w:val="clear" w:color="auto" w:fill="DEEAF6"/>
          </w:tcPr>
          <w:p>
            <w:pPr>
              <w:pStyle w:val="TableParagraph"/>
              <w:rPr>
                <w:rFonts w:ascii="Times New Roman"/>
                <w:sz w:val="10"/>
              </w:rPr>
            </w:pPr>
          </w:p>
        </w:tc>
        <w:tc>
          <w:tcPr>
            <w:tcW w:w="815" w:type="dxa"/>
            <w:shd w:val="clear" w:color="auto" w:fill="DEEAF6"/>
          </w:tcPr>
          <w:p>
            <w:pPr>
              <w:pStyle w:val="TableParagraph"/>
              <w:spacing w:line="149" w:lineRule="exact"/>
              <w:ind w:right="79"/>
              <w:jc w:val="right"/>
              <w:rPr>
                <w:b/>
                <w:sz w:val="15"/>
              </w:rPr>
            </w:pPr>
            <w:r>
              <w:rPr>
                <w:b/>
                <w:sz w:val="15"/>
              </w:rPr>
              <w:t>2022/2019</w:t>
            </w:r>
          </w:p>
        </w:tc>
        <w:tc>
          <w:tcPr>
            <w:tcW w:w="859" w:type="dxa"/>
            <w:shd w:val="clear" w:color="auto" w:fill="DEEAF6"/>
          </w:tcPr>
          <w:p>
            <w:pPr>
              <w:pStyle w:val="TableParagraph"/>
              <w:spacing w:line="149" w:lineRule="exact"/>
              <w:ind w:right="103"/>
              <w:jc w:val="right"/>
              <w:rPr>
                <w:b/>
                <w:sz w:val="15"/>
              </w:rPr>
            </w:pPr>
            <w:r>
              <w:rPr>
                <w:b/>
                <w:sz w:val="15"/>
              </w:rPr>
              <w:t>2022/2019</w:t>
            </w:r>
          </w:p>
        </w:tc>
      </w:tr>
      <w:tr>
        <w:trPr>
          <w:trHeight w:val="189" w:hRule="atLeast"/>
        </w:trPr>
        <w:tc>
          <w:tcPr>
            <w:tcW w:w="2260" w:type="dxa"/>
          </w:tcPr>
          <w:p>
            <w:pPr>
              <w:pStyle w:val="TableParagraph"/>
              <w:spacing w:line="169" w:lineRule="exact"/>
              <w:ind w:left="63"/>
              <w:rPr>
                <w:sz w:val="15"/>
              </w:rPr>
            </w:pPr>
            <w:r>
              <w:rPr>
                <w:color w:val="221F1F"/>
                <w:sz w:val="15"/>
              </w:rPr>
              <w:t>Administración General</w:t>
            </w:r>
          </w:p>
        </w:tc>
        <w:tc>
          <w:tcPr>
            <w:tcW w:w="1173" w:type="dxa"/>
          </w:tcPr>
          <w:p>
            <w:pPr>
              <w:pStyle w:val="TableParagraph"/>
              <w:spacing w:line="169" w:lineRule="exact"/>
              <w:ind w:right="195"/>
              <w:jc w:val="right"/>
              <w:rPr>
                <w:sz w:val="15"/>
              </w:rPr>
            </w:pPr>
            <w:r>
              <w:rPr>
                <w:sz w:val="15"/>
              </w:rPr>
              <w:t>267,4</w:t>
            </w:r>
          </w:p>
        </w:tc>
        <w:tc>
          <w:tcPr>
            <w:tcW w:w="756" w:type="dxa"/>
          </w:tcPr>
          <w:p>
            <w:pPr>
              <w:pStyle w:val="TableParagraph"/>
              <w:spacing w:line="169" w:lineRule="exact"/>
              <w:ind w:left="195"/>
              <w:rPr>
                <w:sz w:val="15"/>
              </w:rPr>
            </w:pPr>
            <w:r>
              <w:rPr>
                <w:sz w:val="15"/>
              </w:rPr>
              <w:t>308,4</w:t>
            </w:r>
          </w:p>
        </w:tc>
        <w:tc>
          <w:tcPr>
            <w:tcW w:w="765" w:type="dxa"/>
          </w:tcPr>
          <w:p>
            <w:pPr>
              <w:pStyle w:val="TableParagraph"/>
              <w:spacing w:line="169" w:lineRule="exact"/>
              <w:ind w:left="61" w:right="56"/>
              <w:jc w:val="center"/>
              <w:rPr>
                <w:sz w:val="15"/>
              </w:rPr>
            </w:pPr>
            <w:r>
              <w:rPr>
                <w:sz w:val="15"/>
              </w:rPr>
              <w:t>367,2</w:t>
            </w:r>
          </w:p>
        </w:tc>
        <w:tc>
          <w:tcPr>
            <w:tcW w:w="609" w:type="dxa"/>
          </w:tcPr>
          <w:p>
            <w:pPr>
              <w:pStyle w:val="TableParagraph"/>
              <w:spacing w:line="169" w:lineRule="exact"/>
              <w:ind w:right="58"/>
              <w:jc w:val="right"/>
              <w:rPr>
                <w:sz w:val="15"/>
              </w:rPr>
            </w:pPr>
            <w:r>
              <w:rPr>
                <w:sz w:val="15"/>
              </w:rPr>
              <w:t>334,8</w:t>
            </w:r>
          </w:p>
        </w:tc>
        <w:tc>
          <w:tcPr>
            <w:tcW w:w="815" w:type="dxa"/>
          </w:tcPr>
          <w:p>
            <w:pPr>
              <w:pStyle w:val="TableParagraph"/>
              <w:spacing w:line="169" w:lineRule="exact"/>
              <w:ind w:right="77"/>
              <w:jc w:val="right"/>
              <w:rPr>
                <w:sz w:val="15"/>
              </w:rPr>
            </w:pPr>
            <w:r>
              <w:rPr>
                <w:sz w:val="15"/>
              </w:rPr>
              <w:t>67,4</w:t>
            </w:r>
          </w:p>
        </w:tc>
        <w:tc>
          <w:tcPr>
            <w:tcW w:w="859" w:type="dxa"/>
          </w:tcPr>
          <w:p>
            <w:pPr>
              <w:pStyle w:val="TableParagraph"/>
              <w:spacing w:line="169" w:lineRule="exact"/>
              <w:ind w:right="62"/>
              <w:jc w:val="right"/>
              <w:rPr>
                <w:sz w:val="15"/>
              </w:rPr>
            </w:pPr>
            <w:r>
              <w:rPr>
                <w:sz w:val="15"/>
              </w:rPr>
              <w:t>25,21%</w:t>
            </w:r>
          </w:p>
        </w:tc>
      </w:tr>
      <w:tr>
        <w:trPr>
          <w:trHeight w:val="171" w:hRule="atLeast"/>
        </w:trPr>
        <w:tc>
          <w:tcPr>
            <w:tcW w:w="2260" w:type="dxa"/>
          </w:tcPr>
          <w:p>
            <w:pPr>
              <w:pStyle w:val="TableParagraph"/>
              <w:spacing w:line="151" w:lineRule="exact"/>
              <w:ind w:left="63"/>
              <w:rPr>
                <w:sz w:val="15"/>
              </w:rPr>
            </w:pPr>
            <w:r>
              <w:rPr>
                <w:color w:val="221F1F"/>
                <w:sz w:val="15"/>
              </w:rPr>
              <w:t>Servicios Públicos Básicos</w:t>
            </w:r>
          </w:p>
        </w:tc>
        <w:tc>
          <w:tcPr>
            <w:tcW w:w="1173" w:type="dxa"/>
          </w:tcPr>
          <w:p>
            <w:pPr>
              <w:pStyle w:val="TableParagraph"/>
              <w:spacing w:line="151" w:lineRule="exact"/>
              <w:ind w:right="195"/>
              <w:jc w:val="right"/>
              <w:rPr>
                <w:sz w:val="15"/>
              </w:rPr>
            </w:pPr>
            <w:r>
              <w:rPr>
                <w:sz w:val="15"/>
              </w:rPr>
              <w:t>182,3</w:t>
            </w:r>
          </w:p>
        </w:tc>
        <w:tc>
          <w:tcPr>
            <w:tcW w:w="756" w:type="dxa"/>
          </w:tcPr>
          <w:p>
            <w:pPr>
              <w:pStyle w:val="TableParagraph"/>
              <w:spacing w:line="151" w:lineRule="exact"/>
              <w:ind w:left="195"/>
              <w:rPr>
                <w:sz w:val="15"/>
              </w:rPr>
            </w:pPr>
            <w:r>
              <w:rPr>
                <w:sz w:val="15"/>
              </w:rPr>
              <w:t>194,4</w:t>
            </w:r>
          </w:p>
        </w:tc>
        <w:tc>
          <w:tcPr>
            <w:tcW w:w="765" w:type="dxa"/>
          </w:tcPr>
          <w:p>
            <w:pPr>
              <w:pStyle w:val="TableParagraph"/>
              <w:spacing w:line="151" w:lineRule="exact"/>
              <w:ind w:left="61" w:right="56"/>
              <w:jc w:val="center"/>
              <w:rPr>
                <w:sz w:val="15"/>
              </w:rPr>
            </w:pPr>
            <w:r>
              <w:rPr>
                <w:sz w:val="15"/>
              </w:rPr>
              <w:t>208,9</w:t>
            </w:r>
          </w:p>
        </w:tc>
        <w:tc>
          <w:tcPr>
            <w:tcW w:w="609" w:type="dxa"/>
          </w:tcPr>
          <w:p>
            <w:pPr>
              <w:pStyle w:val="TableParagraph"/>
              <w:spacing w:line="151" w:lineRule="exact"/>
              <w:ind w:right="58"/>
              <w:jc w:val="right"/>
              <w:rPr>
                <w:sz w:val="15"/>
              </w:rPr>
            </w:pPr>
            <w:r>
              <w:rPr>
                <w:sz w:val="15"/>
              </w:rPr>
              <w:t>219,2</w:t>
            </w:r>
          </w:p>
        </w:tc>
        <w:tc>
          <w:tcPr>
            <w:tcW w:w="815" w:type="dxa"/>
          </w:tcPr>
          <w:p>
            <w:pPr>
              <w:pStyle w:val="TableParagraph"/>
              <w:spacing w:line="151" w:lineRule="exact"/>
              <w:ind w:right="77"/>
              <w:jc w:val="right"/>
              <w:rPr>
                <w:sz w:val="15"/>
              </w:rPr>
            </w:pPr>
            <w:r>
              <w:rPr>
                <w:sz w:val="15"/>
              </w:rPr>
              <w:t>36,9</w:t>
            </w:r>
          </w:p>
        </w:tc>
        <w:tc>
          <w:tcPr>
            <w:tcW w:w="859" w:type="dxa"/>
          </w:tcPr>
          <w:p>
            <w:pPr>
              <w:pStyle w:val="TableParagraph"/>
              <w:spacing w:line="151" w:lineRule="exact"/>
              <w:ind w:right="62"/>
              <w:jc w:val="right"/>
              <w:rPr>
                <w:sz w:val="15"/>
              </w:rPr>
            </w:pPr>
            <w:r>
              <w:rPr>
                <w:sz w:val="15"/>
              </w:rPr>
              <w:t>20,24%</w:t>
            </w:r>
          </w:p>
        </w:tc>
      </w:tr>
    </w:tbl>
    <w:p>
      <w:pPr>
        <w:spacing w:after="0" w:line="151" w:lineRule="exact"/>
        <w:jc w:val="right"/>
        <w:rPr>
          <w:sz w:val="15"/>
        </w:rPr>
        <w:sectPr>
          <w:type w:val="continuous"/>
          <w:pgSz w:w="11900" w:h="16840"/>
          <w:pgMar w:top="1600" w:bottom="1120" w:left="760" w:right="760"/>
        </w:sectPr>
      </w:pPr>
    </w:p>
    <w:p>
      <w:pPr>
        <w:spacing w:line="242" w:lineRule="auto" w:before="6"/>
        <w:ind w:left="2154" w:right="-4" w:firstLine="0"/>
        <w:jc w:val="left"/>
        <w:rPr>
          <w:sz w:val="15"/>
        </w:rPr>
      </w:pPr>
      <w:r>
        <w:rPr>
          <w:color w:val="221F1F"/>
          <w:sz w:val="15"/>
        </w:rPr>
        <w:t>Producción Y Promoción De Bienes y Servicios Sociales</w:t>
      </w:r>
    </w:p>
    <w:p>
      <w:pPr>
        <w:spacing w:line="182" w:lineRule="exact" w:before="0"/>
        <w:ind w:left="2154" w:right="0" w:firstLine="0"/>
        <w:jc w:val="left"/>
        <w:rPr>
          <w:sz w:val="15"/>
        </w:rPr>
      </w:pPr>
      <w:r>
        <w:rPr>
          <w:color w:val="221F1F"/>
          <w:sz w:val="15"/>
        </w:rPr>
        <w:t>Desarrollo De Los Sectores</w:t>
      </w:r>
    </w:p>
    <w:p>
      <w:pPr>
        <w:tabs>
          <w:tab w:pos="737" w:val="left" w:leader="none"/>
          <w:tab w:pos="1511" w:val="left" w:leader="none"/>
          <w:tab w:pos="2267" w:val="left" w:leader="none"/>
          <w:tab w:pos="3255" w:val="left" w:leader="none"/>
          <w:tab w:pos="4021" w:val="left" w:leader="none"/>
        </w:tabs>
        <w:spacing w:before="99"/>
        <w:ind w:left="0" w:right="1113" w:firstLine="0"/>
        <w:jc w:val="right"/>
        <w:rPr>
          <w:sz w:val="15"/>
        </w:rPr>
      </w:pPr>
      <w:r>
        <w:rPr/>
        <w:br w:type="column"/>
      </w:r>
      <w:r>
        <w:rPr>
          <w:sz w:val="15"/>
        </w:rPr>
        <w:t>5.788,10</w:t>
        <w:tab/>
        <w:t>6.372,00</w:t>
        <w:tab/>
        <w:t>7.101,10</w:t>
        <w:tab/>
        <w:t>6.708,70</w:t>
        <w:tab/>
        <w:t>920,6</w:t>
        <w:tab/>
      </w:r>
      <w:r>
        <w:rPr>
          <w:spacing w:val="-1"/>
          <w:sz w:val="15"/>
        </w:rPr>
        <w:t>15,91%</w:t>
      </w:r>
    </w:p>
    <w:p>
      <w:pPr>
        <w:pStyle w:val="BodyText"/>
        <w:spacing w:before="3"/>
        <w:rPr>
          <w:sz w:val="15"/>
        </w:rPr>
      </w:pPr>
    </w:p>
    <w:p>
      <w:pPr>
        <w:tabs>
          <w:tab w:pos="737" w:val="left" w:leader="none"/>
          <w:tab w:pos="1319" w:val="left" w:leader="none"/>
          <w:tab w:pos="2267" w:val="left" w:leader="none"/>
          <w:tab w:pos="3063" w:val="left" w:leader="none"/>
          <w:tab w:pos="3752" w:val="left" w:leader="none"/>
        </w:tabs>
        <w:spacing w:before="0"/>
        <w:ind w:left="0" w:right="1113" w:firstLine="0"/>
        <w:jc w:val="right"/>
        <w:rPr>
          <w:sz w:val="15"/>
        </w:rPr>
      </w:pPr>
      <w:r>
        <w:rPr/>
        <w:pict>
          <v:shape style="position:absolute;margin-left:144.048706pt;margin-top:6.108402pt;width:358.9pt;height:55.05pt;mso-position-horizontal-relative:page;mso-position-vertical-relative:paragraph;z-index:2517596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8"/>
                    <w:gridCol w:w="785"/>
                    <w:gridCol w:w="756"/>
                    <w:gridCol w:w="765"/>
                    <w:gridCol w:w="776"/>
                    <w:gridCol w:w="743"/>
                    <w:gridCol w:w="735"/>
                  </w:tblGrid>
                  <w:tr>
                    <w:trPr>
                      <w:trHeight w:val="169" w:hRule="atLeast"/>
                    </w:trPr>
                    <w:tc>
                      <w:tcPr>
                        <w:tcW w:w="2618" w:type="dxa"/>
                      </w:tcPr>
                      <w:p>
                        <w:pPr>
                          <w:pStyle w:val="TableParagraph"/>
                          <w:spacing w:line="150" w:lineRule="exact"/>
                          <w:ind w:left="33"/>
                          <w:rPr>
                            <w:sz w:val="15"/>
                          </w:rPr>
                        </w:pPr>
                        <w:r>
                          <w:rPr>
                            <w:color w:val="221F1F"/>
                            <w:sz w:val="15"/>
                          </w:rPr>
                          <w:t>Productivos</w:t>
                        </w:r>
                      </w:p>
                    </w:tc>
                    <w:tc>
                      <w:tcPr>
                        <w:tcW w:w="4560" w:type="dxa"/>
                        <w:gridSpan w:val="6"/>
                      </w:tcPr>
                      <w:p>
                        <w:pPr>
                          <w:pStyle w:val="TableParagraph"/>
                          <w:rPr>
                            <w:rFonts w:ascii="Times New Roman"/>
                            <w:sz w:val="10"/>
                          </w:rPr>
                        </w:pPr>
                      </w:p>
                    </w:tc>
                  </w:tr>
                  <w:tr>
                    <w:trPr>
                      <w:trHeight w:val="188" w:hRule="atLeast"/>
                    </w:trPr>
                    <w:tc>
                      <w:tcPr>
                        <w:tcW w:w="2618" w:type="dxa"/>
                      </w:tcPr>
                      <w:p>
                        <w:pPr>
                          <w:pStyle w:val="TableParagraph"/>
                          <w:spacing w:line="169" w:lineRule="exact"/>
                          <w:ind w:left="33"/>
                          <w:rPr>
                            <w:sz w:val="15"/>
                          </w:rPr>
                        </w:pPr>
                        <w:r>
                          <w:rPr>
                            <w:color w:val="221F1F"/>
                            <w:sz w:val="15"/>
                          </w:rPr>
                          <w:t>Actuaciones Sobre El Territorio</w:t>
                        </w:r>
                      </w:p>
                    </w:tc>
                    <w:tc>
                      <w:tcPr>
                        <w:tcW w:w="785" w:type="dxa"/>
                      </w:tcPr>
                      <w:p>
                        <w:pPr>
                          <w:pStyle w:val="TableParagraph"/>
                          <w:spacing w:line="169" w:lineRule="exact"/>
                          <w:ind w:left="80" w:right="34"/>
                          <w:jc w:val="center"/>
                          <w:rPr>
                            <w:sz w:val="15"/>
                          </w:rPr>
                        </w:pPr>
                        <w:r>
                          <w:rPr>
                            <w:sz w:val="15"/>
                          </w:rPr>
                          <w:t>263,7</w:t>
                        </w:r>
                      </w:p>
                    </w:tc>
                    <w:tc>
                      <w:tcPr>
                        <w:tcW w:w="756" w:type="dxa"/>
                      </w:tcPr>
                      <w:p>
                        <w:pPr>
                          <w:pStyle w:val="TableParagraph"/>
                          <w:spacing w:line="169" w:lineRule="exact"/>
                          <w:ind w:left="196"/>
                          <w:rPr>
                            <w:sz w:val="15"/>
                          </w:rPr>
                        </w:pPr>
                        <w:r>
                          <w:rPr>
                            <w:sz w:val="15"/>
                          </w:rPr>
                          <w:t>369,6</w:t>
                        </w:r>
                      </w:p>
                    </w:tc>
                    <w:tc>
                      <w:tcPr>
                        <w:tcW w:w="765" w:type="dxa"/>
                      </w:tcPr>
                      <w:p>
                        <w:pPr>
                          <w:pStyle w:val="TableParagraph"/>
                          <w:spacing w:line="169" w:lineRule="exact"/>
                          <w:ind w:right="204"/>
                          <w:jc w:val="right"/>
                          <w:rPr>
                            <w:sz w:val="15"/>
                          </w:rPr>
                        </w:pPr>
                        <w:r>
                          <w:rPr>
                            <w:sz w:val="15"/>
                          </w:rPr>
                          <w:t>384,9</w:t>
                        </w:r>
                      </w:p>
                    </w:tc>
                    <w:tc>
                      <w:tcPr>
                        <w:tcW w:w="776" w:type="dxa"/>
                      </w:tcPr>
                      <w:p>
                        <w:pPr>
                          <w:pStyle w:val="TableParagraph"/>
                          <w:spacing w:line="169" w:lineRule="exact"/>
                          <w:ind w:left="205"/>
                          <w:rPr>
                            <w:sz w:val="15"/>
                          </w:rPr>
                        </w:pPr>
                        <w:r>
                          <w:rPr>
                            <w:sz w:val="15"/>
                          </w:rPr>
                          <w:t>537,6</w:t>
                        </w:r>
                      </w:p>
                    </w:tc>
                    <w:tc>
                      <w:tcPr>
                        <w:tcW w:w="743" w:type="dxa"/>
                      </w:tcPr>
                      <w:p>
                        <w:pPr>
                          <w:pStyle w:val="TableParagraph"/>
                          <w:spacing w:line="169" w:lineRule="exact"/>
                          <w:ind w:right="171"/>
                          <w:jc w:val="right"/>
                          <w:rPr>
                            <w:sz w:val="15"/>
                          </w:rPr>
                        </w:pPr>
                        <w:r>
                          <w:rPr>
                            <w:sz w:val="15"/>
                          </w:rPr>
                          <w:t>273,9</w:t>
                        </w:r>
                      </w:p>
                    </w:tc>
                    <w:tc>
                      <w:tcPr>
                        <w:tcW w:w="735" w:type="dxa"/>
                      </w:tcPr>
                      <w:p>
                        <w:pPr>
                          <w:pStyle w:val="TableParagraph"/>
                          <w:spacing w:line="169" w:lineRule="exact"/>
                          <w:ind w:right="32"/>
                          <w:jc w:val="right"/>
                          <w:rPr>
                            <w:sz w:val="15"/>
                          </w:rPr>
                        </w:pPr>
                        <w:r>
                          <w:rPr>
                            <w:sz w:val="15"/>
                          </w:rPr>
                          <w:t>103,87%</w:t>
                        </w:r>
                      </w:p>
                    </w:tc>
                  </w:tr>
                  <w:tr>
                    <w:trPr>
                      <w:trHeight w:val="190" w:hRule="atLeast"/>
                    </w:trPr>
                    <w:tc>
                      <w:tcPr>
                        <w:tcW w:w="2618" w:type="dxa"/>
                      </w:tcPr>
                      <w:p>
                        <w:pPr>
                          <w:pStyle w:val="TableParagraph"/>
                          <w:spacing w:line="170" w:lineRule="exact"/>
                          <w:ind w:left="33"/>
                          <w:rPr>
                            <w:sz w:val="15"/>
                          </w:rPr>
                        </w:pPr>
                        <w:r>
                          <w:rPr>
                            <w:color w:val="221F1F"/>
                            <w:sz w:val="15"/>
                          </w:rPr>
                          <w:t>Aportaciones A Corporaciones Locales</w:t>
                        </w:r>
                      </w:p>
                    </w:tc>
                    <w:tc>
                      <w:tcPr>
                        <w:tcW w:w="785" w:type="dxa"/>
                      </w:tcPr>
                      <w:p>
                        <w:pPr>
                          <w:pStyle w:val="TableParagraph"/>
                          <w:spacing w:line="170" w:lineRule="exact"/>
                          <w:ind w:left="80" w:right="34"/>
                          <w:jc w:val="center"/>
                          <w:rPr>
                            <w:sz w:val="15"/>
                          </w:rPr>
                        </w:pPr>
                        <w:r>
                          <w:rPr>
                            <w:sz w:val="15"/>
                          </w:rPr>
                          <w:t>827,3</w:t>
                        </w:r>
                      </w:p>
                    </w:tc>
                    <w:tc>
                      <w:tcPr>
                        <w:tcW w:w="756" w:type="dxa"/>
                      </w:tcPr>
                      <w:p>
                        <w:pPr>
                          <w:pStyle w:val="TableParagraph"/>
                          <w:spacing w:line="170" w:lineRule="exact"/>
                          <w:ind w:left="196"/>
                          <w:rPr>
                            <w:sz w:val="15"/>
                          </w:rPr>
                        </w:pPr>
                        <w:r>
                          <w:rPr>
                            <w:sz w:val="15"/>
                          </w:rPr>
                          <w:t>749,6</w:t>
                        </w:r>
                      </w:p>
                    </w:tc>
                    <w:tc>
                      <w:tcPr>
                        <w:tcW w:w="765" w:type="dxa"/>
                      </w:tcPr>
                      <w:p>
                        <w:pPr>
                          <w:pStyle w:val="TableParagraph"/>
                          <w:spacing w:line="170" w:lineRule="exact"/>
                          <w:ind w:right="204"/>
                          <w:jc w:val="right"/>
                          <w:rPr>
                            <w:sz w:val="15"/>
                          </w:rPr>
                        </w:pPr>
                        <w:r>
                          <w:rPr>
                            <w:sz w:val="15"/>
                          </w:rPr>
                          <w:t>721,8</w:t>
                        </w:r>
                      </w:p>
                    </w:tc>
                    <w:tc>
                      <w:tcPr>
                        <w:tcW w:w="776" w:type="dxa"/>
                      </w:tcPr>
                      <w:p>
                        <w:pPr>
                          <w:pStyle w:val="TableParagraph"/>
                          <w:spacing w:line="170" w:lineRule="exact"/>
                          <w:ind w:left="205"/>
                          <w:rPr>
                            <w:sz w:val="15"/>
                          </w:rPr>
                        </w:pPr>
                        <w:r>
                          <w:rPr>
                            <w:sz w:val="15"/>
                          </w:rPr>
                          <w:t>747,6</w:t>
                        </w:r>
                      </w:p>
                    </w:tc>
                    <w:tc>
                      <w:tcPr>
                        <w:tcW w:w="743" w:type="dxa"/>
                      </w:tcPr>
                      <w:p>
                        <w:pPr>
                          <w:pStyle w:val="TableParagraph"/>
                          <w:spacing w:line="170" w:lineRule="exact"/>
                          <w:ind w:right="171"/>
                          <w:jc w:val="right"/>
                          <w:rPr>
                            <w:sz w:val="15"/>
                          </w:rPr>
                        </w:pPr>
                        <w:r>
                          <w:rPr>
                            <w:sz w:val="15"/>
                          </w:rPr>
                          <w:t>-79,7</w:t>
                        </w:r>
                      </w:p>
                    </w:tc>
                    <w:tc>
                      <w:tcPr>
                        <w:tcW w:w="735" w:type="dxa"/>
                      </w:tcPr>
                      <w:p>
                        <w:pPr>
                          <w:pStyle w:val="TableParagraph"/>
                          <w:spacing w:line="170" w:lineRule="exact"/>
                          <w:ind w:right="32"/>
                          <w:jc w:val="right"/>
                          <w:rPr>
                            <w:sz w:val="15"/>
                          </w:rPr>
                        </w:pPr>
                        <w:r>
                          <w:rPr>
                            <w:sz w:val="15"/>
                          </w:rPr>
                          <w:t>-9,63%</w:t>
                        </w:r>
                      </w:p>
                    </w:tc>
                  </w:tr>
                  <w:tr>
                    <w:trPr>
                      <w:trHeight w:val="190" w:hRule="atLeast"/>
                    </w:trPr>
                    <w:tc>
                      <w:tcPr>
                        <w:tcW w:w="2618" w:type="dxa"/>
                      </w:tcPr>
                      <w:p>
                        <w:pPr>
                          <w:pStyle w:val="TableParagraph"/>
                          <w:spacing w:line="170" w:lineRule="exact"/>
                          <w:ind w:left="33"/>
                          <w:rPr>
                            <w:sz w:val="15"/>
                          </w:rPr>
                        </w:pPr>
                        <w:r>
                          <w:rPr>
                            <w:color w:val="221F1F"/>
                            <w:sz w:val="15"/>
                          </w:rPr>
                          <w:t>Otras Políticas</w:t>
                        </w:r>
                      </w:p>
                    </w:tc>
                    <w:tc>
                      <w:tcPr>
                        <w:tcW w:w="785" w:type="dxa"/>
                      </w:tcPr>
                      <w:p>
                        <w:pPr>
                          <w:pStyle w:val="TableParagraph"/>
                          <w:spacing w:line="170" w:lineRule="exact"/>
                          <w:ind w:left="150" w:right="27"/>
                          <w:jc w:val="center"/>
                          <w:rPr>
                            <w:sz w:val="15"/>
                          </w:rPr>
                        </w:pPr>
                        <w:r>
                          <w:rPr>
                            <w:sz w:val="15"/>
                          </w:rPr>
                          <w:t>97,5</w:t>
                        </w:r>
                      </w:p>
                    </w:tc>
                    <w:tc>
                      <w:tcPr>
                        <w:tcW w:w="756" w:type="dxa"/>
                      </w:tcPr>
                      <w:p>
                        <w:pPr>
                          <w:pStyle w:val="TableParagraph"/>
                          <w:spacing w:line="170" w:lineRule="exact"/>
                          <w:ind w:left="196"/>
                          <w:rPr>
                            <w:sz w:val="15"/>
                          </w:rPr>
                        </w:pPr>
                        <w:r>
                          <w:rPr>
                            <w:sz w:val="15"/>
                          </w:rPr>
                          <w:t>104,9</w:t>
                        </w:r>
                      </w:p>
                    </w:tc>
                    <w:tc>
                      <w:tcPr>
                        <w:tcW w:w="765" w:type="dxa"/>
                      </w:tcPr>
                      <w:p>
                        <w:pPr>
                          <w:pStyle w:val="TableParagraph"/>
                          <w:spacing w:line="170" w:lineRule="exact"/>
                          <w:ind w:right="204"/>
                          <w:jc w:val="right"/>
                          <w:rPr>
                            <w:sz w:val="15"/>
                          </w:rPr>
                        </w:pPr>
                        <w:r>
                          <w:rPr>
                            <w:sz w:val="15"/>
                          </w:rPr>
                          <w:t>113,1</w:t>
                        </w:r>
                      </w:p>
                    </w:tc>
                    <w:tc>
                      <w:tcPr>
                        <w:tcW w:w="776" w:type="dxa"/>
                      </w:tcPr>
                      <w:p>
                        <w:pPr>
                          <w:pStyle w:val="TableParagraph"/>
                          <w:spacing w:line="170" w:lineRule="exact"/>
                          <w:ind w:left="205"/>
                          <w:rPr>
                            <w:sz w:val="15"/>
                          </w:rPr>
                        </w:pPr>
                        <w:r>
                          <w:rPr>
                            <w:sz w:val="15"/>
                          </w:rPr>
                          <w:t>129,5</w:t>
                        </w:r>
                      </w:p>
                    </w:tc>
                    <w:tc>
                      <w:tcPr>
                        <w:tcW w:w="743" w:type="dxa"/>
                      </w:tcPr>
                      <w:p>
                        <w:pPr>
                          <w:pStyle w:val="TableParagraph"/>
                          <w:spacing w:line="170" w:lineRule="exact"/>
                          <w:ind w:right="171"/>
                          <w:jc w:val="right"/>
                          <w:rPr>
                            <w:sz w:val="15"/>
                          </w:rPr>
                        </w:pPr>
                        <w:r>
                          <w:rPr>
                            <w:sz w:val="15"/>
                          </w:rPr>
                          <w:t>32</w:t>
                        </w:r>
                      </w:p>
                    </w:tc>
                    <w:tc>
                      <w:tcPr>
                        <w:tcW w:w="735" w:type="dxa"/>
                      </w:tcPr>
                      <w:p>
                        <w:pPr>
                          <w:pStyle w:val="TableParagraph"/>
                          <w:spacing w:line="170" w:lineRule="exact"/>
                          <w:ind w:right="32"/>
                          <w:jc w:val="right"/>
                          <w:rPr>
                            <w:sz w:val="15"/>
                          </w:rPr>
                        </w:pPr>
                        <w:r>
                          <w:rPr>
                            <w:sz w:val="15"/>
                          </w:rPr>
                          <w:t>32,82%</w:t>
                        </w:r>
                      </w:p>
                    </w:tc>
                  </w:tr>
                  <w:tr>
                    <w:trPr>
                      <w:trHeight w:val="190" w:hRule="atLeast"/>
                    </w:trPr>
                    <w:tc>
                      <w:tcPr>
                        <w:tcW w:w="2618" w:type="dxa"/>
                      </w:tcPr>
                      <w:p>
                        <w:pPr>
                          <w:pStyle w:val="TableParagraph"/>
                          <w:spacing w:line="170" w:lineRule="exact"/>
                          <w:ind w:left="33"/>
                          <w:rPr>
                            <w:sz w:val="15"/>
                          </w:rPr>
                        </w:pPr>
                        <w:r>
                          <w:rPr>
                            <w:color w:val="221F1F"/>
                            <w:sz w:val="15"/>
                          </w:rPr>
                          <w:t>REACT-EU</w:t>
                        </w:r>
                      </w:p>
                    </w:tc>
                    <w:tc>
                      <w:tcPr>
                        <w:tcW w:w="785" w:type="dxa"/>
                      </w:tcPr>
                      <w:p>
                        <w:pPr>
                          <w:pStyle w:val="TableParagraph"/>
                          <w:rPr>
                            <w:rFonts w:ascii="Times New Roman"/>
                            <w:sz w:val="12"/>
                          </w:rPr>
                        </w:pPr>
                      </w:p>
                    </w:tc>
                    <w:tc>
                      <w:tcPr>
                        <w:tcW w:w="756" w:type="dxa"/>
                      </w:tcPr>
                      <w:p>
                        <w:pPr>
                          <w:pStyle w:val="TableParagraph"/>
                          <w:rPr>
                            <w:rFonts w:ascii="Times New Roman"/>
                            <w:sz w:val="12"/>
                          </w:rPr>
                        </w:pPr>
                      </w:p>
                    </w:tc>
                    <w:tc>
                      <w:tcPr>
                        <w:tcW w:w="765" w:type="dxa"/>
                      </w:tcPr>
                      <w:p>
                        <w:pPr>
                          <w:pStyle w:val="TableParagraph"/>
                          <w:spacing w:line="170" w:lineRule="exact"/>
                          <w:ind w:right="204"/>
                          <w:jc w:val="right"/>
                          <w:rPr>
                            <w:sz w:val="15"/>
                          </w:rPr>
                        </w:pPr>
                        <w:r>
                          <w:rPr>
                            <w:sz w:val="15"/>
                          </w:rPr>
                          <w:t>60</w:t>
                        </w:r>
                      </w:p>
                    </w:tc>
                    <w:tc>
                      <w:tcPr>
                        <w:tcW w:w="776" w:type="dxa"/>
                      </w:tcPr>
                      <w:p>
                        <w:pPr>
                          <w:pStyle w:val="TableParagraph"/>
                          <w:rPr>
                            <w:rFonts w:ascii="Times New Roman"/>
                            <w:sz w:val="12"/>
                          </w:rPr>
                        </w:pPr>
                      </w:p>
                    </w:tc>
                    <w:tc>
                      <w:tcPr>
                        <w:tcW w:w="743" w:type="dxa"/>
                      </w:tcPr>
                      <w:p>
                        <w:pPr>
                          <w:pStyle w:val="TableParagraph"/>
                          <w:rPr>
                            <w:rFonts w:ascii="Times New Roman"/>
                            <w:sz w:val="12"/>
                          </w:rPr>
                        </w:pPr>
                      </w:p>
                    </w:tc>
                    <w:tc>
                      <w:tcPr>
                        <w:tcW w:w="735" w:type="dxa"/>
                      </w:tcPr>
                      <w:p>
                        <w:pPr>
                          <w:pStyle w:val="TableParagraph"/>
                          <w:rPr>
                            <w:rFonts w:ascii="Times New Roman"/>
                            <w:sz w:val="12"/>
                          </w:rPr>
                        </w:pPr>
                      </w:p>
                    </w:tc>
                  </w:tr>
                  <w:tr>
                    <w:trPr>
                      <w:trHeight w:val="171" w:hRule="atLeast"/>
                    </w:trPr>
                    <w:tc>
                      <w:tcPr>
                        <w:tcW w:w="2618" w:type="dxa"/>
                      </w:tcPr>
                      <w:p>
                        <w:pPr>
                          <w:pStyle w:val="TableParagraph"/>
                          <w:spacing w:line="151" w:lineRule="exact"/>
                          <w:ind w:left="33"/>
                          <w:rPr>
                            <w:sz w:val="15"/>
                          </w:rPr>
                        </w:pPr>
                        <w:r>
                          <w:rPr>
                            <w:color w:val="221F1F"/>
                            <w:sz w:val="15"/>
                          </w:rPr>
                          <w:t>Deuda Pública</w:t>
                        </w:r>
                      </w:p>
                    </w:tc>
                    <w:tc>
                      <w:tcPr>
                        <w:tcW w:w="785" w:type="dxa"/>
                      </w:tcPr>
                      <w:p>
                        <w:pPr>
                          <w:pStyle w:val="TableParagraph"/>
                          <w:spacing w:line="151" w:lineRule="exact"/>
                          <w:ind w:left="150" w:right="27"/>
                          <w:jc w:val="center"/>
                          <w:rPr>
                            <w:sz w:val="15"/>
                          </w:rPr>
                        </w:pPr>
                        <w:r>
                          <w:rPr>
                            <w:sz w:val="15"/>
                          </w:rPr>
                          <w:t>81,1</w:t>
                        </w:r>
                      </w:p>
                    </w:tc>
                    <w:tc>
                      <w:tcPr>
                        <w:tcW w:w="756" w:type="dxa"/>
                      </w:tcPr>
                      <w:p>
                        <w:pPr>
                          <w:pStyle w:val="TableParagraph"/>
                          <w:spacing w:line="151" w:lineRule="exact"/>
                          <w:ind w:left="272"/>
                          <w:rPr>
                            <w:sz w:val="15"/>
                          </w:rPr>
                        </w:pPr>
                        <w:r>
                          <w:rPr>
                            <w:sz w:val="15"/>
                          </w:rPr>
                          <w:t>86,4</w:t>
                        </w:r>
                      </w:p>
                    </w:tc>
                    <w:tc>
                      <w:tcPr>
                        <w:tcW w:w="765" w:type="dxa"/>
                      </w:tcPr>
                      <w:p>
                        <w:pPr>
                          <w:pStyle w:val="TableParagraph"/>
                          <w:spacing w:line="151" w:lineRule="exact"/>
                          <w:ind w:right="204"/>
                          <w:jc w:val="right"/>
                          <w:rPr>
                            <w:sz w:val="15"/>
                          </w:rPr>
                        </w:pPr>
                        <w:r>
                          <w:rPr>
                            <w:sz w:val="15"/>
                          </w:rPr>
                          <w:t>29,1</w:t>
                        </w:r>
                      </w:p>
                    </w:tc>
                    <w:tc>
                      <w:tcPr>
                        <w:tcW w:w="776" w:type="dxa"/>
                      </w:tcPr>
                      <w:p>
                        <w:pPr>
                          <w:pStyle w:val="TableParagraph"/>
                          <w:spacing w:line="151" w:lineRule="exact"/>
                          <w:ind w:left="205"/>
                          <w:rPr>
                            <w:sz w:val="15"/>
                          </w:rPr>
                        </w:pPr>
                        <w:r>
                          <w:rPr>
                            <w:sz w:val="15"/>
                          </w:rPr>
                          <w:t>866,1</w:t>
                        </w:r>
                      </w:p>
                    </w:tc>
                    <w:tc>
                      <w:tcPr>
                        <w:tcW w:w="743" w:type="dxa"/>
                      </w:tcPr>
                      <w:p>
                        <w:pPr>
                          <w:pStyle w:val="TableParagraph"/>
                          <w:spacing w:line="151" w:lineRule="exact"/>
                          <w:ind w:right="171"/>
                          <w:jc w:val="right"/>
                          <w:rPr>
                            <w:sz w:val="15"/>
                          </w:rPr>
                        </w:pPr>
                        <w:r>
                          <w:rPr>
                            <w:sz w:val="15"/>
                          </w:rPr>
                          <w:t>785</w:t>
                        </w:r>
                      </w:p>
                    </w:tc>
                    <w:tc>
                      <w:tcPr>
                        <w:tcW w:w="735" w:type="dxa"/>
                      </w:tcPr>
                      <w:p>
                        <w:pPr>
                          <w:pStyle w:val="TableParagraph"/>
                          <w:spacing w:line="151" w:lineRule="exact"/>
                          <w:ind w:right="32"/>
                          <w:jc w:val="right"/>
                          <w:rPr>
                            <w:sz w:val="15"/>
                          </w:rPr>
                        </w:pPr>
                        <w:r>
                          <w:rPr>
                            <w:sz w:val="15"/>
                          </w:rPr>
                          <w:t>967,94%</w:t>
                        </w:r>
                      </w:p>
                    </w:tc>
                  </w:tr>
                </w:tbl>
                <w:p>
                  <w:pPr>
                    <w:pStyle w:val="BodyText"/>
                  </w:pPr>
                </w:p>
              </w:txbxContent>
            </v:textbox>
            <w10:wrap type="none"/>
          </v:shape>
        </w:pict>
      </w:r>
      <w:r>
        <w:rPr>
          <w:sz w:val="15"/>
        </w:rPr>
        <w:t>215,6</w:t>
        <w:tab/>
        <w:t>285,7</w:t>
        <w:tab/>
        <w:t>1.666,10</w:t>
        <w:tab/>
        <w:t>430,5</w:t>
        <w:tab/>
        <w:t>234,9</w:t>
        <w:tab/>
        <w:t>108,95%</w:t>
      </w:r>
    </w:p>
    <w:p>
      <w:pPr>
        <w:spacing w:after="0"/>
        <w:jc w:val="right"/>
        <w:rPr>
          <w:sz w:val="15"/>
        </w:rPr>
        <w:sectPr>
          <w:type w:val="continuous"/>
          <w:pgSz w:w="11900" w:h="16840"/>
          <w:pgMar w:top="1600" w:bottom="1120" w:left="760" w:right="760"/>
          <w:cols w:num="2" w:equalWidth="0">
            <w:col w:w="4400" w:space="40"/>
            <w:col w:w="5940"/>
          </w:cols>
        </w:sectPr>
      </w:pPr>
    </w:p>
    <w:p>
      <w:pPr>
        <w:pStyle w:val="BodyText"/>
      </w:pPr>
    </w:p>
    <w:p>
      <w:pPr>
        <w:pStyle w:val="BodyText"/>
      </w:pPr>
    </w:p>
    <w:p>
      <w:pPr>
        <w:pStyle w:val="BodyText"/>
      </w:pPr>
    </w:p>
    <w:p>
      <w:pPr>
        <w:pStyle w:val="BodyText"/>
        <w:spacing w:before="3"/>
      </w:pPr>
    </w:p>
    <w:p>
      <w:pPr>
        <w:tabs>
          <w:tab w:pos="4788" w:val="left" w:leader="none"/>
          <w:tab w:pos="7133" w:val="left" w:leader="none"/>
          <w:tab w:pos="7852" w:val="left" w:leader="none"/>
          <w:tab w:pos="8807" w:val="left" w:leader="none"/>
        </w:tabs>
        <w:spacing w:before="71"/>
        <w:ind w:left="2997" w:right="0" w:firstLine="0"/>
        <w:jc w:val="left"/>
        <w:rPr>
          <w:b/>
          <w:sz w:val="15"/>
        </w:rPr>
      </w:pPr>
      <w:r>
        <w:rPr>
          <w:b/>
          <w:sz w:val="15"/>
        </w:rPr>
        <w:t>Total</w:t>
      </w:r>
      <w:r>
        <w:rPr>
          <w:b/>
          <w:spacing w:val="-1"/>
          <w:sz w:val="15"/>
        </w:rPr>
        <w:t> </w:t>
      </w:r>
      <w:r>
        <w:rPr>
          <w:b/>
          <w:sz w:val="15"/>
        </w:rPr>
        <w:t>gasto</w:t>
        <w:tab/>
        <w:t>7.722,90      8.471,10   </w:t>
      </w:r>
      <w:r>
        <w:rPr>
          <w:b/>
          <w:spacing w:val="26"/>
          <w:sz w:val="15"/>
        </w:rPr>
        <w:t> </w:t>
      </w:r>
      <w:r>
        <w:rPr>
          <w:b/>
          <w:sz w:val="15"/>
        </w:rPr>
        <w:t>10.652,30</w:t>
        <w:tab/>
        <w:t>9.974,0</w:t>
        <w:tab/>
        <w:t>2.929,40</w:t>
        <w:tab/>
        <w:t>37,90%</w:t>
      </w:r>
    </w:p>
    <w:p>
      <w:pPr>
        <w:pStyle w:val="BodyText"/>
        <w:spacing w:line="20" w:lineRule="exact"/>
        <w:ind w:left="2079"/>
        <w:rPr>
          <w:sz w:val="2"/>
        </w:rPr>
      </w:pPr>
      <w:r>
        <w:rPr>
          <w:sz w:val="2"/>
        </w:rPr>
        <w:pict>
          <v:group style="width:361.9pt;height:.45pt;mso-position-horizontal-relative:char;mso-position-vertical-relative:line" coordorigin="0,0" coordsize="7238,9">
            <v:line style="position:absolute" from="0,4" to="2511,4" stroked="true" strokeweight=".40304pt" strokecolor="#000000">
              <v:stroke dashstyle="solid"/>
            </v:line>
            <v:rect style="position:absolute;left:2499;top:0;width:9;height:9" filled="true" fillcolor="#000000" stroked="false">
              <v:fill type="solid"/>
            </v:rect>
            <v:line style="position:absolute" from="2507,4" to="3302,4" stroked="true" strokeweight=".40304pt" strokecolor="#000000">
              <v:stroke dashstyle="solid"/>
            </v:line>
            <v:rect style="position:absolute;left:3289;top:0;width:9;height:9" filled="true" fillcolor="#000000" stroked="false">
              <v:fill type="solid"/>
            </v:rect>
            <v:line style="position:absolute" from="3297,4" to="4041,4" stroked="true" strokeweight=".40304pt" strokecolor="#000000">
              <v:stroke dashstyle="solid"/>
            </v:line>
            <v:rect style="position:absolute;left:4028;top:0;width:9;height:9" filled="true" fillcolor="#000000" stroked="false">
              <v:fill type="solid"/>
            </v:rect>
            <v:line style="position:absolute" from="4037,4" to="4813,4" stroked="true" strokeweight=".40304pt" strokecolor="#000000">
              <v:stroke dashstyle="solid"/>
            </v:line>
            <v:rect style="position:absolute;left:4801;top:0;width:9;height:9" filled="true" fillcolor="#000000" stroked="false">
              <v:fill type="solid"/>
            </v:rect>
            <v:line style="position:absolute" from="4809,4" to="5569,4" stroked="true" strokeweight=".40304pt" strokecolor="#000000">
              <v:stroke dashstyle="solid"/>
            </v:line>
            <v:rect style="position:absolute;left:5556;top:0;width:9;height:9" filled="true" fillcolor="#000000" stroked="false">
              <v:fill type="solid"/>
            </v:rect>
            <v:line style="position:absolute" from="5565,4" to="6365,4" stroked="true" strokeweight=".40304pt" strokecolor="#000000">
              <v:stroke dashstyle="solid"/>
            </v:line>
            <v:rect style="position:absolute;left:6352;top:0;width:9;height:9" filled="true" fillcolor="#000000" stroked="false">
              <v:fill type="solid"/>
            </v:rect>
            <v:line style="position:absolute" from="6361,4" to="7238,4" stroked="true" strokeweight=".40304pt" strokecolor="#000000">
              <v:stroke dashstyle="solid"/>
            </v:line>
          </v:group>
        </w:pict>
      </w:r>
      <w:r>
        <w:rPr>
          <w:sz w:val="2"/>
        </w:rPr>
      </w:r>
    </w:p>
    <w:p>
      <w:pPr>
        <w:pStyle w:val="BodyText"/>
        <w:spacing w:before="11"/>
        <w:rPr>
          <w:b/>
          <w:sz w:val="10"/>
        </w:rPr>
      </w:pPr>
    </w:p>
    <w:p>
      <w:pPr>
        <w:pStyle w:val="BodyText"/>
        <w:ind w:right="1136"/>
        <w:jc w:val="right"/>
      </w:pPr>
      <w:r>
        <w:rPr>
          <w:spacing w:val="-1"/>
        </w:rPr>
        <w:t>38</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87" name="image5.png"/>
                  <wp:cNvGraphicFramePr>
                    <a:graphicFrameLocks noChangeAspect="1"/>
                  </wp:cNvGraphicFramePr>
                  <a:graphic>
                    <a:graphicData uri="http://schemas.openxmlformats.org/drawingml/2006/picture">
                      <pic:pic>
                        <pic:nvPicPr>
                          <pic:cNvPr id="8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40/247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rPr>
          <w:b/>
        </w:rPr>
      </w:pPr>
    </w:p>
    <w:p>
      <w:pPr>
        <w:pStyle w:val="BodyText"/>
        <w:spacing w:before="11"/>
        <w:rPr>
          <w:b/>
          <w:sz w:val="21"/>
        </w:rPr>
      </w:pPr>
    </w:p>
    <w:p>
      <w:pPr>
        <w:pStyle w:val="BodyText"/>
        <w:ind w:left="2636"/>
      </w:pPr>
      <w:r>
        <w:rPr/>
        <w:pict>
          <v:group style="width:302.9pt;height:195.65pt;mso-position-horizontal-relative:char;mso-position-vertical-relative:line" coordorigin="0,0" coordsize="6058,3913">
            <v:line style="position:absolute" from="946,1820" to="5867,1820" stroked="true" strokeweight=".629697pt" strokecolor="#d9d9d9">
              <v:stroke dashstyle="solid"/>
            </v:line>
            <v:line style="position:absolute" from="946,2034" to="5867,2034" stroked="true" strokeweight=".629697pt" strokecolor="#d9d9d9">
              <v:stroke dashstyle="solid"/>
            </v:line>
            <v:shape style="position:absolute;left:1219;top:1786;width:4375;height:247" coordorigin="1219,1787" coordsize="4375,247" path="m1219,2023l1766,2025,2312,1787,2860,2025,3406,2023,3952,1999,4500,2029,5046,2034,5593,2031e" filled="false" stroked="true" strokeweight="1.889092pt" strokecolor="#4471c4">
              <v:path arrowok="t"/>
              <v:stroke dashstyle="solid"/>
            </v:shape>
            <v:line style="position:absolute" from="946,1608" to="5867,1608" stroked="true" strokeweight=".629697pt" strokecolor="#d9d9d9">
              <v:stroke dashstyle="solid"/>
            </v:line>
            <v:shape style="position:absolute;left:1219;top:1515;width:4375;height:519" coordorigin="1219,1515" coordsize="4375,519" path="m1219,2009l1766,2017,2312,1515,2860,2013,3406,2007,3952,1967,4500,2025,5046,2034,5593,2027e" filled="false" stroked="true" strokeweight="1.889092pt" strokecolor="#ec7c30">
              <v:path arrowok="t"/>
              <v:stroke dashstyle="solid"/>
            </v:shape>
            <v:line style="position:absolute" from="946,1394" to="5867,1394" stroked="true" strokeweight=".629697pt" strokecolor="#d9d9d9">
              <v:stroke dashstyle="solid"/>
            </v:line>
            <v:line style="position:absolute" from="946,1181" to="5867,1181" stroked="true" strokeweight=".629697pt" strokecolor="#d9d9d9">
              <v:stroke dashstyle="solid"/>
            </v:line>
            <v:shape style="position:absolute;left:1219;top:1211;width:4375;height:820" coordorigin="1219,1212" coordsize="4375,820" path="m1219,1993l1766,2009,2312,1212,2860,1941,3406,1991,3952,1937,4500,2021,5046,2031,5593,2025e" filled="false" stroked="true" strokeweight="1.889092pt" strokecolor="#a4a4a4">
              <v:path arrowok="t"/>
              <v:stroke dashstyle="solid"/>
            </v:shape>
            <v:line style="position:absolute" from="946,967" to="5867,967" stroked="true" strokeweight=".629697pt" strokecolor="#d9d9d9">
              <v:stroke dashstyle="solid"/>
            </v:line>
            <v:shape style="position:absolute;left:1219;top:925;width:4375;height:1106" coordorigin="1219,926" coordsize="4375,1106" path="m1219,1979l1766,1999,2312,926,2860,1922,3406,1967,3952,1904,4500,2015,5046,2031,5593,1989e" filled="false" stroked="true" strokeweight="1.889092pt" strokecolor="#ffc000">
              <v:path arrowok="t"/>
              <v:stroke dashstyle="solid"/>
            </v:shape>
            <v:line style="position:absolute" from="946,754" to="5867,754" stroked="true" strokeweight=".629697pt" strokecolor="#d9d9d9">
              <v:stroke dashstyle="solid"/>
            </v:line>
            <v:shape style="position:absolute;left:132;top:2141;width:4387;height:1217" type="#_x0000_t75" stroked="false">
              <v:imagedata r:id="rId13" o:title=""/>
            </v:shape>
            <v:shape style="position:absolute;left:4641;top:2158;width:983;height:673" type="#_x0000_t75" stroked="false">
              <v:imagedata r:id="rId14" o:title=""/>
            </v:shape>
            <v:line style="position:absolute" from="1416,3654" to="1739,3654" stroked="true" strokeweight="1.889092pt" strokecolor="#4471c4">
              <v:stroke dashstyle="solid"/>
            </v:line>
            <v:line style="position:absolute" from="2279,3654" to="2601,3654" stroked="true" strokeweight="1.889092pt" strokecolor="#ec7c30">
              <v:stroke dashstyle="solid"/>
            </v:line>
            <v:line style="position:absolute" from="3141,3654" to="3464,3654" stroked="true" strokeweight="1.889092pt" strokecolor="#a4a4a4">
              <v:stroke dashstyle="solid"/>
            </v:line>
            <v:line style="position:absolute" from="4004,3654" to="4326,3654" stroked="true" strokeweight="1.889092pt" strokecolor="#ffc000">
              <v:stroke dashstyle="solid"/>
            </v:line>
            <v:rect style="position:absolute;left:6;top:6;width:6046;height:3900" filled="false" stroked="true" strokeweight=".629697pt" strokecolor="#d9d9d9">
              <v:stroke dashstyle="solid"/>
            </v:rect>
            <v:shape style="position:absolute;left:4361;top:3576;width:361;height:168" type="#_x0000_t202" filled="false" stroked="false">
              <v:textbox inset="0,0,0,0">
                <w:txbxContent>
                  <w:p>
                    <w:pPr>
                      <w:spacing w:line="167" w:lineRule="exact" w:before="0"/>
                      <w:ind w:left="0" w:right="0" w:firstLine="0"/>
                      <w:jc w:val="left"/>
                      <w:rPr>
                        <w:sz w:val="16"/>
                      </w:rPr>
                    </w:pPr>
                    <w:r>
                      <w:rPr>
                        <w:w w:val="105"/>
                        <w:sz w:val="16"/>
                      </w:rPr>
                      <w:t>2022</w:t>
                    </w:r>
                  </w:p>
                </w:txbxContent>
              </v:textbox>
              <w10:wrap type="none"/>
            </v:shape>
            <v:shape style="position:absolute;left:3499;top:3576;width:361;height:168" type="#_x0000_t202" filled="false" stroked="false">
              <v:textbox inset="0,0,0,0">
                <w:txbxContent>
                  <w:p>
                    <w:pPr>
                      <w:spacing w:line="167" w:lineRule="exact" w:before="0"/>
                      <w:ind w:left="0" w:right="0" w:firstLine="0"/>
                      <w:jc w:val="left"/>
                      <w:rPr>
                        <w:sz w:val="16"/>
                      </w:rPr>
                    </w:pPr>
                    <w:r>
                      <w:rPr>
                        <w:w w:val="105"/>
                        <w:sz w:val="16"/>
                      </w:rPr>
                      <w:t>2021</w:t>
                    </w:r>
                  </w:p>
                </w:txbxContent>
              </v:textbox>
              <w10:wrap type="none"/>
            </v:shape>
            <v:shape style="position:absolute;left:2636;top:3576;width:361;height:168" type="#_x0000_t202" filled="false" stroked="false">
              <v:textbox inset="0,0,0,0">
                <w:txbxContent>
                  <w:p>
                    <w:pPr>
                      <w:spacing w:line="167" w:lineRule="exact" w:before="0"/>
                      <w:ind w:left="0" w:right="0" w:firstLine="0"/>
                      <w:jc w:val="left"/>
                      <w:rPr>
                        <w:sz w:val="16"/>
                      </w:rPr>
                    </w:pPr>
                    <w:r>
                      <w:rPr>
                        <w:w w:val="105"/>
                        <w:sz w:val="16"/>
                      </w:rPr>
                      <w:t>2020</w:t>
                    </w:r>
                  </w:p>
                </w:txbxContent>
              </v:textbox>
              <w10:wrap type="none"/>
            </v:shape>
            <v:shape style="position:absolute;left:1773;top:3576;width:361;height:168" type="#_x0000_t202" filled="false" stroked="false">
              <v:textbox inset="0,0,0,0">
                <w:txbxContent>
                  <w:p>
                    <w:pPr>
                      <w:spacing w:line="167" w:lineRule="exact" w:before="0"/>
                      <w:ind w:left="0" w:right="0" w:firstLine="0"/>
                      <w:jc w:val="left"/>
                      <w:rPr>
                        <w:sz w:val="16"/>
                      </w:rPr>
                    </w:pPr>
                    <w:r>
                      <w:rPr>
                        <w:w w:val="105"/>
                        <w:sz w:val="16"/>
                      </w:rPr>
                      <w:t>2019</w:t>
                    </w:r>
                  </w:p>
                </w:txbxContent>
              </v:textbox>
              <w10:wrap type="none"/>
            </v:shape>
            <v:shape style="position:absolute;left:364;top:676;width:446;height:1448" type="#_x0000_t202" filled="false" stroked="false">
              <v:textbox inset="0,0,0,0">
                <w:txbxContent>
                  <w:p>
                    <w:pPr>
                      <w:spacing w:line="168" w:lineRule="exact" w:before="0"/>
                      <w:ind w:left="0" w:right="18" w:firstLine="0"/>
                      <w:jc w:val="right"/>
                      <w:rPr>
                        <w:sz w:val="16"/>
                      </w:rPr>
                    </w:pPr>
                    <w:r>
                      <w:rPr>
                        <w:sz w:val="16"/>
                      </w:rPr>
                      <w:t>30000</w:t>
                    </w:r>
                  </w:p>
                  <w:p>
                    <w:pPr>
                      <w:spacing w:before="17"/>
                      <w:ind w:left="0" w:right="18" w:firstLine="0"/>
                      <w:jc w:val="right"/>
                      <w:rPr>
                        <w:sz w:val="16"/>
                      </w:rPr>
                    </w:pPr>
                    <w:r>
                      <w:rPr>
                        <w:sz w:val="16"/>
                      </w:rPr>
                      <w:t>25000</w:t>
                    </w:r>
                  </w:p>
                  <w:p>
                    <w:pPr>
                      <w:spacing w:before="19"/>
                      <w:ind w:left="0" w:right="18" w:firstLine="0"/>
                      <w:jc w:val="right"/>
                      <w:rPr>
                        <w:sz w:val="16"/>
                      </w:rPr>
                    </w:pPr>
                    <w:r>
                      <w:rPr>
                        <w:sz w:val="16"/>
                      </w:rPr>
                      <w:t>20000</w:t>
                    </w:r>
                  </w:p>
                  <w:p>
                    <w:pPr>
                      <w:spacing w:before="18"/>
                      <w:ind w:left="0" w:right="18" w:firstLine="0"/>
                      <w:jc w:val="right"/>
                      <w:rPr>
                        <w:sz w:val="16"/>
                      </w:rPr>
                    </w:pPr>
                    <w:r>
                      <w:rPr>
                        <w:sz w:val="16"/>
                      </w:rPr>
                      <w:t>15000</w:t>
                    </w:r>
                  </w:p>
                  <w:p>
                    <w:pPr>
                      <w:spacing w:before="18"/>
                      <w:ind w:left="0" w:right="18" w:firstLine="0"/>
                      <w:jc w:val="right"/>
                      <w:rPr>
                        <w:sz w:val="16"/>
                      </w:rPr>
                    </w:pPr>
                    <w:r>
                      <w:rPr>
                        <w:sz w:val="16"/>
                      </w:rPr>
                      <w:t>10000</w:t>
                    </w:r>
                  </w:p>
                  <w:p>
                    <w:pPr>
                      <w:spacing w:before="18"/>
                      <w:ind w:left="0" w:right="18" w:firstLine="0"/>
                      <w:jc w:val="right"/>
                      <w:rPr>
                        <w:sz w:val="16"/>
                      </w:rPr>
                    </w:pPr>
                    <w:r>
                      <w:rPr>
                        <w:sz w:val="16"/>
                      </w:rPr>
                      <w:t>5000</w:t>
                    </w:r>
                  </w:p>
                  <w:p>
                    <w:pPr>
                      <w:spacing w:line="194" w:lineRule="exact" w:before="18"/>
                      <w:ind w:left="0" w:right="18" w:firstLine="0"/>
                      <w:jc w:val="right"/>
                      <w:rPr>
                        <w:sz w:val="16"/>
                      </w:rPr>
                    </w:pPr>
                    <w:r>
                      <w:rPr>
                        <w:w w:val="104"/>
                        <w:sz w:val="16"/>
                      </w:rPr>
                      <w:t>0</w:t>
                    </w:r>
                  </w:p>
                </w:txbxContent>
              </v:textbox>
              <w10:wrap type="none"/>
            </v:shape>
            <v:shape style="position:absolute;left:1040;top:166;width:3991;height:373" type="#_x0000_t202" filled="false" stroked="false">
              <v:textbox inset="0,0,0,0">
                <w:txbxContent>
                  <w:p>
                    <w:pPr>
                      <w:spacing w:line="168" w:lineRule="exact" w:before="0"/>
                      <w:ind w:left="-1" w:right="18" w:firstLine="0"/>
                      <w:jc w:val="center"/>
                      <w:rPr>
                        <w:b/>
                        <w:sz w:val="16"/>
                      </w:rPr>
                    </w:pPr>
                    <w:r>
                      <w:rPr>
                        <w:b/>
                        <w:w w:val="105"/>
                        <w:sz w:val="16"/>
                      </w:rPr>
                      <w:t>Evolución</w:t>
                    </w:r>
                    <w:r>
                      <w:rPr>
                        <w:b/>
                        <w:spacing w:val="-2"/>
                        <w:w w:val="105"/>
                        <w:sz w:val="16"/>
                      </w:rPr>
                      <w:t> </w:t>
                    </w:r>
                    <w:r>
                      <w:rPr>
                        <w:b/>
                        <w:w w:val="105"/>
                        <w:sz w:val="16"/>
                      </w:rPr>
                      <w:t>del</w:t>
                    </w:r>
                    <w:r>
                      <w:rPr>
                        <w:b/>
                        <w:spacing w:val="-5"/>
                        <w:w w:val="105"/>
                        <w:sz w:val="16"/>
                      </w:rPr>
                      <w:t> </w:t>
                    </w:r>
                    <w:r>
                      <w:rPr>
                        <w:b/>
                        <w:w w:val="105"/>
                        <w:sz w:val="16"/>
                      </w:rPr>
                      <w:t>presupuesto</w:t>
                    </w:r>
                    <w:r>
                      <w:rPr>
                        <w:b/>
                        <w:spacing w:val="-8"/>
                        <w:w w:val="105"/>
                        <w:sz w:val="16"/>
                      </w:rPr>
                      <w:t> </w:t>
                    </w:r>
                    <w:r>
                      <w:rPr>
                        <w:b/>
                        <w:w w:val="105"/>
                        <w:sz w:val="16"/>
                      </w:rPr>
                      <w:t>de</w:t>
                    </w:r>
                    <w:r>
                      <w:rPr>
                        <w:b/>
                        <w:spacing w:val="-4"/>
                        <w:w w:val="105"/>
                        <w:sz w:val="16"/>
                      </w:rPr>
                      <w:t> </w:t>
                    </w:r>
                    <w:r>
                      <w:rPr>
                        <w:b/>
                        <w:w w:val="105"/>
                        <w:sz w:val="16"/>
                      </w:rPr>
                      <w:t>gasto</w:t>
                    </w:r>
                    <w:r>
                      <w:rPr>
                        <w:b/>
                        <w:spacing w:val="-4"/>
                        <w:w w:val="105"/>
                        <w:sz w:val="16"/>
                      </w:rPr>
                      <w:t> </w:t>
                    </w:r>
                    <w:r>
                      <w:rPr>
                        <w:b/>
                        <w:w w:val="105"/>
                        <w:sz w:val="16"/>
                      </w:rPr>
                      <w:t>por</w:t>
                    </w:r>
                    <w:r>
                      <w:rPr>
                        <w:b/>
                        <w:spacing w:val="-5"/>
                        <w:w w:val="105"/>
                        <w:sz w:val="16"/>
                      </w:rPr>
                      <w:t> </w:t>
                    </w:r>
                    <w:r>
                      <w:rPr>
                        <w:b/>
                        <w:w w:val="105"/>
                        <w:sz w:val="16"/>
                      </w:rPr>
                      <w:t>políticas</w:t>
                    </w:r>
                    <w:r>
                      <w:rPr>
                        <w:b/>
                        <w:spacing w:val="-2"/>
                        <w:w w:val="105"/>
                        <w:sz w:val="16"/>
                      </w:rPr>
                      <w:t> </w:t>
                    </w:r>
                    <w:r>
                      <w:rPr>
                        <w:b/>
                        <w:w w:val="105"/>
                        <w:sz w:val="16"/>
                      </w:rPr>
                      <w:t>públicas</w:t>
                    </w:r>
                  </w:p>
                  <w:p>
                    <w:pPr>
                      <w:spacing w:line="194" w:lineRule="exact" w:before="10"/>
                      <w:ind w:left="7" w:right="18" w:firstLine="0"/>
                      <w:jc w:val="center"/>
                      <w:rPr>
                        <w:b/>
                        <w:sz w:val="16"/>
                      </w:rPr>
                    </w:pPr>
                    <w:r>
                      <w:rPr>
                        <w:b/>
                        <w:w w:val="105"/>
                        <w:sz w:val="16"/>
                      </w:rPr>
                      <w:t>(millones de €)</w:t>
                    </w:r>
                  </w:p>
                </w:txbxContent>
              </v:textbox>
              <w10:wrap type="none"/>
            </v:shape>
          </v:group>
        </w:pict>
      </w:r>
      <w:r>
        <w:rPr/>
      </w:r>
    </w:p>
    <w:p>
      <w:pPr>
        <w:pStyle w:val="BodyText"/>
        <w:spacing w:before="2"/>
        <w:rPr>
          <w:b/>
          <w:sz w:val="10"/>
        </w:rPr>
      </w:pPr>
    </w:p>
    <w:p>
      <w:pPr>
        <w:pStyle w:val="ListParagraph"/>
        <w:numPr>
          <w:ilvl w:val="2"/>
          <w:numId w:val="10"/>
        </w:numPr>
        <w:tabs>
          <w:tab w:pos="2691" w:val="left" w:leader="none"/>
        </w:tabs>
        <w:spacing w:line="240" w:lineRule="auto" w:before="61" w:after="0"/>
        <w:ind w:left="2690" w:right="0" w:hanging="605"/>
        <w:jc w:val="left"/>
        <w:rPr>
          <w:b/>
          <w:sz w:val="20"/>
        </w:rPr>
      </w:pPr>
      <w:r>
        <w:rPr>
          <w:b/>
          <w:color w:val="53A1B9"/>
          <w:sz w:val="20"/>
        </w:rPr>
        <w:t>Operaciones</w:t>
      </w:r>
      <w:r>
        <w:rPr>
          <w:b/>
          <w:color w:val="53A1B9"/>
          <w:spacing w:val="1"/>
          <w:sz w:val="20"/>
        </w:rPr>
        <w:t> </w:t>
      </w:r>
      <w:r>
        <w:rPr>
          <w:b/>
          <w:color w:val="53A1B9"/>
          <w:sz w:val="20"/>
        </w:rPr>
        <w:t>extrapresupuestarias.</w:t>
      </w:r>
    </w:p>
    <w:p>
      <w:pPr>
        <w:pStyle w:val="BodyText"/>
        <w:spacing w:before="8"/>
        <w:rPr>
          <w:b/>
          <w:sz w:val="16"/>
        </w:rPr>
      </w:pPr>
    </w:p>
    <w:p>
      <w:pPr>
        <w:pStyle w:val="BodyText"/>
        <w:spacing w:line="242" w:lineRule="auto"/>
        <w:ind w:left="2096" w:right="1139" w:firstLine="604"/>
        <w:jc w:val="both"/>
      </w:pPr>
      <w:r>
        <w:rPr/>
        <w:t>El epígrafe 7.20 de la Cuenta General de la Administración de la CAC señala que, atendiendo</w:t>
      </w:r>
      <w:r>
        <w:rPr>
          <w:spacing w:val="-5"/>
        </w:rPr>
        <w:t> </w:t>
      </w:r>
      <w:r>
        <w:rPr/>
        <w:t>a</w:t>
      </w:r>
      <w:r>
        <w:rPr>
          <w:spacing w:val="-5"/>
        </w:rPr>
        <w:t> </w:t>
      </w:r>
      <w:r>
        <w:rPr/>
        <w:t>las</w:t>
      </w:r>
      <w:r>
        <w:rPr>
          <w:spacing w:val="-5"/>
        </w:rPr>
        <w:t> </w:t>
      </w:r>
      <w:r>
        <w:rPr/>
        <w:t>recomendaciones</w:t>
      </w:r>
      <w:r>
        <w:rPr>
          <w:spacing w:val="-5"/>
        </w:rPr>
        <w:t> </w:t>
      </w:r>
      <w:r>
        <w:rPr/>
        <w:t>de</w:t>
      </w:r>
      <w:r>
        <w:rPr>
          <w:spacing w:val="-5"/>
        </w:rPr>
        <w:t> </w:t>
      </w:r>
      <w:r>
        <w:rPr/>
        <w:t>la</w:t>
      </w:r>
      <w:r>
        <w:rPr>
          <w:spacing w:val="-7"/>
        </w:rPr>
        <w:t> </w:t>
      </w:r>
      <w:r>
        <w:rPr/>
        <w:t>ACC,</w:t>
      </w:r>
      <w:r>
        <w:rPr>
          <w:spacing w:val="-5"/>
        </w:rPr>
        <w:t> </w:t>
      </w:r>
      <w:r>
        <w:rPr/>
        <w:t>en</w:t>
      </w:r>
      <w:r>
        <w:rPr>
          <w:spacing w:val="-4"/>
        </w:rPr>
        <w:t> </w:t>
      </w:r>
      <w:r>
        <w:rPr/>
        <w:t>su</w:t>
      </w:r>
      <w:r>
        <w:rPr>
          <w:spacing w:val="-5"/>
        </w:rPr>
        <w:t> </w:t>
      </w:r>
      <w:r>
        <w:rPr/>
        <w:t>informe</w:t>
      </w:r>
      <w:r>
        <w:rPr>
          <w:spacing w:val="-7"/>
        </w:rPr>
        <w:t> </w:t>
      </w:r>
      <w:r>
        <w:rPr/>
        <w:t>de</w:t>
      </w:r>
      <w:r>
        <w:rPr>
          <w:spacing w:val="-5"/>
        </w:rPr>
        <w:t> </w:t>
      </w:r>
      <w:r>
        <w:rPr/>
        <w:t>fiscalización</w:t>
      </w:r>
      <w:r>
        <w:rPr>
          <w:spacing w:val="-6"/>
        </w:rPr>
        <w:t> </w:t>
      </w:r>
      <w:r>
        <w:rPr/>
        <w:t>de</w:t>
      </w:r>
      <w:r>
        <w:rPr>
          <w:spacing w:val="-5"/>
        </w:rPr>
        <w:t> </w:t>
      </w:r>
      <w:r>
        <w:rPr/>
        <w:t>la</w:t>
      </w:r>
      <w:r>
        <w:rPr>
          <w:spacing w:val="-5"/>
        </w:rPr>
        <w:t> </w:t>
      </w:r>
      <w:r>
        <w:rPr/>
        <w:t>Cuenta General del año 2021, se procedió a regularizar el saldo de diversas cuentas extrapresupuestarias. A la vista de las regularizaciones realizadas, este Órgano de Control Externo debe manifestar, que si bien es recomendable realizar la regularización de</w:t>
      </w:r>
      <w:r>
        <w:rPr>
          <w:spacing w:val="-8"/>
        </w:rPr>
        <w:t> </w:t>
      </w:r>
      <w:r>
        <w:rPr/>
        <w:t>saldos</w:t>
      </w:r>
      <w:r>
        <w:rPr>
          <w:spacing w:val="-9"/>
        </w:rPr>
        <w:t> </w:t>
      </w:r>
      <w:r>
        <w:rPr/>
        <w:t>de</w:t>
      </w:r>
      <w:r>
        <w:rPr>
          <w:spacing w:val="-10"/>
        </w:rPr>
        <w:t> </w:t>
      </w:r>
      <w:r>
        <w:rPr/>
        <w:t>carácter</w:t>
      </w:r>
      <w:r>
        <w:rPr>
          <w:spacing w:val="-9"/>
        </w:rPr>
        <w:t> </w:t>
      </w:r>
      <w:r>
        <w:rPr/>
        <w:t>extrapresupuestario,</w:t>
      </w:r>
      <w:r>
        <w:rPr>
          <w:spacing w:val="-12"/>
        </w:rPr>
        <w:t> </w:t>
      </w:r>
      <w:r>
        <w:rPr/>
        <w:t>que</w:t>
      </w:r>
      <w:r>
        <w:rPr>
          <w:spacing w:val="-9"/>
        </w:rPr>
        <w:t> </w:t>
      </w:r>
      <w:r>
        <w:rPr/>
        <w:t>mantienen</w:t>
      </w:r>
      <w:r>
        <w:rPr>
          <w:spacing w:val="-11"/>
        </w:rPr>
        <w:t> </w:t>
      </w:r>
      <w:r>
        <w:rPr/>
        <w:t>un</w:t>
      </w:r>
      <w:r>
        <w:rPr>
          <w:spacing w:val="-9"/>
        </w:rPr>
        <w:t> </w:t>
      </w:r>
      <w:r>
        <w:rPr/>
        <w:t>saldo</w:t>
      </w:r>
      <w:r>
        <w:rPr>
          <w:spacing w:val="-10"/>
        </w:rPr>
        <w:t> </w:t>
      </w:r>
      <w:r>
        <w:rPr/>
        <w:t>inamovible</w:t>
      </w:r>
      <w:r>
        <w:rPr>
          <w:spacing w:val="-9"/>
        </w:rPr>
        <w:t> </w:t>
      </w:r>
      <w:r>
        <w:rPr/>
        <w:t>a</w:t>
      </w:r>
      <w:r>
        <w:rPr>
          <w:spacing w:val="-8"/>
        </w:rPr>
        <w:t> </w:t>
      </w:r>
      <w:r>
        <w:rPr/>
        <w:t>lo</w:t>
      </w:r>
      <w:r>
        <w:rPr>
          <w:spacing w:val="-7"/>
        </w:rPr>
        <w:t> </w:t>
      </w:r>
      <w:r>
        <w:rPr/>
        <w:t>largo de varios ejercicios, no es correcto el procedimiento contable que se ha</w:t>
      </w:r>
      <w:r>
        <w:rPr>
          <w:spacing w:val="3"/>
        </w:rPr>
        <w:t> </w:t>
      </w:r>
      <w:r>
        <w:rPr/>
        <w:t>utilizado.</w:t>
      </w:r>
    </w:p>
    <w:p>
      <w:pPr>
        <w:pStyle w:val="BodyText"/>
        <w:spacing w:before="1"/>
        <w:rPr>
          <w:sz w:val="16"/>
        </w:rPr>
      </w:pPr>
    </w:p>
    <w:p>
      <w:pPr>
        <w:pStyle w:val="BodyText"/>
        <w:ind w:left="2096" w:right="1143" w:firstLine="604"/>
        <w:jc w:val="both"/>
      </w:pPr>
      <w:r>
        <w:rPr/>
        <w:t>El importe total de las referidas regularizaciones ascendió a un saldo acreedor agregado de 1,2 millones de €, que corresponde a las siguientes cuentas:</w:t>
      </w:r>
    </w:p>
    <w:p>
      <w:pPr>
        <w:pStyle w:val="BodyText"/>
        <w:spacing w:after="1"/>
        <w:rPr>
          <w:sz w:val="17"/>
        </w:rPr>
      </w:pPr>
    </w:p>
    <w:tbl>
      <w:tblPr>
        <w:tblW w:w="0" w:type="auto"/>
        <w:jc w:val="left"/>
        <w:tblInd w:w="2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9"/>
        <w:gridCol w:w="4212"/>
        <w:gridCol w:w="1928"/>
      </w:tblGrid>
      <w:tr>
        <w:trPr>
          <w:trHeight w:val="184" w:hRule="atLeast"/>
        </w:trPr>
        <w:tc>
          <w:tcPr>
            <w:tcW w:w="1009" w:type="dxa"/>
            <w:tcBorders>
              <w:top w:val="single" w:sz="4" w:space="0" w:color="000000"/>
            </w:tcBorders>
            <w:shd w:val="clear" w:color="auto" w:fill="DEEAF6"/>
          </w:tcPr>
          <w:p>
            <w:pPr>
              <w:pStyle w:val="TableParagraph"/>
              <w:spacing w:line="163" w:lineRule="exact" w:before="1"/>
              <w:ind w:left="69" w:right="9"/>
              <w:jc w:val="center"/>
              <w:rPr>
                <w:b/>
                <w:sz w:val="15"/>
              </w:rPr>
            </w:pPr>
            <w:r>
              <w:rPr>
                <w:b/>
                <w:sz w:val="15"/>
              </w:rPr>
              <w:t>Cuenta</w:t>
            </w:r>
          </w:p>
        </w:tc>
        <w:tc>
          <w:tcPr>
            <w:tcW w:w="4212" w:type="dxa"/>
            <w:tcBorders>
              <w:top w:val="single" w:sz="4" w:space="0" w:color="000000"/>
            </w:tcBorders>
            <w:shd w:val="clear" w:color="auto" w:fill="DEEAF6"/>
          </w:tcPr>
          <w:p>
            <w:pPr>
              <w:pStyle w:val="TableParagraph"/>
              <w:spacing w:line="163" w:lineRule="exact" w:before="1"/>
              <w:ind w:left="1730" w:right="1536"/>
              <w:jc w:val="center"/>
              <w:rPr>
                <w:b/>
                <w:sz w:val="15"/>
              </w:rPr>
            </w:pPr>
            <w:r>
              <w:rPr>
                <w:b/>
                <w:sz w:val="15"/>
              </w:rPr>
              <w:t>Denominación</w:t>
            </w:r>
          </w:p>
        </w:tc>
        <w:tc>
          <w:tcPr>
            <w:tcW w:w="1928" w:type="dxa"/>
            <w:tcBorders>
              <w:top w:val="single" w:sz="4" w:space="0" w:color="000000"/>
            </w:tcBorders>
            <w:shd w:val="clear" w:color="auto" w:fill="DEEAF6"/>
          </w:tcPr>
          <w:p>
            <w:pPr>
              <w:pStyle w:val="TableParagraph"/>
              <w:spacing w:line="163" w:lineRule="exact" w:before="1"/>
              <w:ind w:right="117"/>
              <w:jc w:val="right"/>
              <w:rPr>
                <w:b/>
                <w:sz w:val="15"/>
              </w:rPr>
            </w:pPr>
            <w:r>
              <w:rPr>
                <w:b/>
                <w:sz w:val="15"/>
              </w:rPr>
              <w:t>Saldo regularizado</w:t>
            </w:r>
          </w:p>
        </w:tc>
      </w:tr>
      <w:tr>
        <w:trPr>
          <w:trHeight w:val="198" w:hRule="atLeast"/>
        </w:trPr>
        <w:tc>
          <w:tcPr>
            <w:tcW w:w="1009" w:type="dxa"/>
          </w:tcPr>
          <w:p>
            <w:pPr>
              <w:pStyle w:val="TableParagraph"/>
              <w:spacing w:line="177" w:lineRule="exact" w:before="2"/>
              <w:ind w:left="69" w:right="116"/>
              <w:jc w:val="center"/>
              <w:rPr>
                <w:sz w:val="15"/>
              </w:rPr>
            </w:pPr>
            <w:r>
              <w:rPr>
                <w:sz w:val="15"/>
              </w:rPr>
              <w:t>4490010020</w:t>
            </w:r>
          </w:p>
        </w:tc>
        <w:tc>
          <w:tcPr>
            <w:tcW w:w="4212" w:type="dxa"/>
          </w:tcPr>
          <w:p>
            <w:pPr>
              <w:pStyle w:val="TableParagraph"/>
              <w:spacing w:line="177" w:lineRule="exact" w:before="2"/>
              <w:ind w:left="146"/>
              <w:rPr>
                <w:sz w:val="15"/>
              </w:rPr>
            </w:pPr>
            <w:r>
              <w:rPr>
                <w:sz w:val="15"/>
              </w:rPr>
              <w:t>Ant. Tasaciones Periciales Contradictorias. Art. 52.2 LGT</w:t>
            </w:r>
          </w:p>
        </w:tc>
        <w:tc>
          <w:tcPr>
            <w:tcW w:w="1928" w:type="dxa"/>
          </w:tcPr>
          <w:p>
            <w:pPr>
              <w:pStyle w:val="TableParagraph"/>
              <w:spacing w:line="177" w:lineRule="exact" w:before="2"/>
              <w:ind w:right="89"/>
              <w:jc w:val="right"/>
              <w:rPr>
                <w:sz w:val="15"/>
              </w:rPr>
            </w:pPr>
            <w:r>
              <w:rPr>
                <w:sz w:val="15"/>
              </w:rPr>
              <w:t>202.982,33</w:t>
            </w:r>
          </w:p>
        </w:tc>
      </w:tr>
      <w:tr>
        <w:trPr>
          <w:trHeight w:val="184" w:hRule="atLeast"/>
        </w:trPr>
        <w:tc>
          <w:tcPr>
            <w:tcW w:w="1009" w:type="dxa"/>
          </w:tcPr>
          <w:p>
            <w:pPr>
              <w:pStyle w:val="TableParagraph"/>
              <w:spacing w:line="164" w:lineRule="exact"/>
              <w:ind w:left="69" w:right="116"/>
              <w:jc w:val="center"/>
              <w:rPr>
                <w:sz w:val="15"/>
              </w:rPr>
            </w:pPr>
            <w:r>
              <w:rPr>
                <w:sz w:val="15"/>
              </w:rPr>
              <w:t>4490010055</w:t>
            </w:r>
          </w:p>
        </w:tc>
        <w:tc>
          <w:tcPr>
            <w:tcW w:w="4212" w:type="dxa"/>
          </w:tcPr>
          <w:p>
            <w:pPr>
              <w:pStyle w:val="TableParagraph"/>
              <w:spacing w:line="164" w:lineRule="exact"/>
              <w:ind w:left="146"/>
              <w:rPr>
                <w:sz w:val="15"/>
              </w:rPr>
            </w:pPr>
            <w:r>
              <w:rPr>
                <w:sz w:val="15"/>
              </w:rPr>
              <w:t>Pago A Cuenta Boletín Oficial De Canarias</w:t>
            </w:r>
          </w:p>
        </w:tc>
        <w:tc>
          <w:tcPr>
            <w:tcW w:w="1928" w:type="dxa"/>
          </w:tcPr>
          <w:p>
            <w:pPr>
              <w:pStyle w:val="TableParagraph"/>
              <w:spacing w:line="164" w:lineRule="exact"/>
              <w:ind w:right="89"/>
              <w:jc w:val="right"/>
              <w:rPr>
                <w:sz w:val="15"/>
              </w:rPr>
            </w:pPr>
            <w:r>
              <w:rPr>
                <w:sz w:val="15"/>
              </w:rPr>
              <w:t>-39.067,53</w:t>
            </w:r>
          </w:p>
        </w:tc>
      </w:tr>
      <w:tr>
        <w:trPr>
          <w:trHeight w:val="184" w:hRule="atLeast"/>
        </w:trPr>
        <w:tc>
          <w:tcPr>
            <w:tcW w:w="1009" w:type="dxa"/>
          </w:tcPr>
          <w:p>
            <w:pPr>
              <w:pStyle w:val="TableParagraph"/>
              <w:spacing w:line="164" w:lineRule="exact"/>
              <w:ind w:left="69" w:right="116"/>
              <w:jc w:val="center"/>
              <w:rPr>
                <w:sz w:val="15"/>
              </w:rPr>
            </w:pPr>
            <w:r>
              <w:rPr>
                <w:sz w:val="15"/>
              </w:rPr>
              <w:t>4490057700</w:t>
            </w:r>
          </w:p>
        </w:tc>
        <w:tc>
          <w:tcPr>
            <w:tcW w:w="4212" w:type="dxa"/>
          </w:tcPr>
          <w:p>
            <w:pPr>
              <w:pStyle w:val="TableParagraph"/>
              <w:spacing w:line="164" w:lineRule="exact"/>
              <w:ind w:left="146"/>
              <w:rPr>
                <w:sz w:val="15"/>
              </w:rPr>
            </w:pPr>
            <w:r>
              <w:rPr>
                <w:sz w:val="15"/>
              </w:rPr>
              <w:t>Entidades Financieras Deudoras</w:t>
            </w:r>
          </w:p>
        </w:tc>
        <w:tc>
          <w:tcPr>
            <w:tcW w:w="1928" w:type="dxa"/>
          </w:tcPr>
          <w:p>
            <w:pPr>
              <w:pStyle w:val="TableParagraph"/>
              <w:spacing w:line="164" w:lineRule="exact"/>
              <w:ind w:right="88"/>
              <w:jc w:val="right"/>
              <w:rPr>
                <w:sz w:val="15"/>
              </w:rPr>
            </w:pPr>
            <w:r>
              <w:rPr>
                <w:sz w:val="15"/>
              </w:rPr>
              <w:t>-1.469.847,35</w:t>
            </w:r>
          </w:p>
        </w:tc>
      </w:tr>
      <w:tr>
        <w:trPr>
          <w:trHeight w:val="184" w:hRule="atLeast"/>
        </w:trPr>
        <w:tc>
          <w:tcPr>
            <w:tcW w:w="1009" w:type="dxa"/>
          </w:tcPr>
          <w:p>
            <w:pPr>
              <w:pStyle w:val="TableParagraph"/>
              <w:spacing w:line="165" w:lineRule="exact"/>
              <w:ind w:left="69" w:right="116"/>
              <w:jc w:val="center"/>
              <w:rPr>
                <w:sz w:val="15"/>
              </w:rPr>
            </w:pPr>
            <w:r>
              <w:rPr>
                <w:sz w:val="15"/>
              </w:rPr>
              <w:t>4530000001</w:t>
            </w:r>
          </w:p>
        </w:tc>
        <w:tc>
          <w:tcPr>
            <w:tcW w:w="4212" w:type="dxa"/>
          </w:tcPr>
          <w:p>
            <w:pPr>
              <w:pStyle w:val="TableParagraph"/>
              <w:spacing w:line="165" w:lineRule="exact"/>
              <w:ind w:left="146"/>
              <w:rPr>
                <w:sz w:val="15"/>
              </w:rPr>
            </w:pPr>
            <w:r>
              <w:rPr>
                <w:sz w:val="15"/>
              </w:rPr>
              <w:t>A.P.I.C.</w:t>
            </w:r>
          </w:p>
        </w:tc>
        <w:tc>
          <w:tcPr>
            <w:tcW w:w="1928" w:type="dxa"/>
          </w:tcPr>
          <w:p>
            <w:pPr>
              <w:pStyle w:val="TableParagraph"/>
              <w:spacing w:line="165" w:lineRule="exact"/>
              <w:ind w:right="89"/>
              <w:jc w:val="right"/>
              <w:rPr>
                <w:sz w:val="15"/>
              </w:rPr>
            </w:pPr>
            <w:r>
              <w:rPr>
                <w:sz w:val="15"/>
              </w:rPr>
              <w:t>67.517,07</w:t>
            </w:r>
          </w:p>
        </w:tc>
      </w:tr>
      <w:tr>
        <w:trPr>
          <w:trHeight w:val="184" w:hRule="atLeast"/>
        </w:trPr>
        <w:tc>
          <w:tcPr>
            <w:tcW w:w="1009" w:type="dxa"/>
          </w:tcPr>
          <w:p>
            <w:pPr>
              <w:pStyle w:val="TableParagraph"/>
              <w:spacing w:line="165" w:lineRule="exact"/>
              <w:ind w:left="69" w:right="116"/>
              <w:jc w:val="center"/>
              <w:rPr>
                <w:sz w:val="15"/>
              </w:rPr>
            </w:pPr>
            <w:r>
              <w:rPr>
                <w:sz w:val="15"/>
              </w:rPr>
              <w:t>4530000003</w:t>
            </w:r>
          </w:p>
        </w:tc>
        <w:tc>
          <w:tcPr>
            <w:tcW w:w="4212" w:type="dxa"/>
          </w:tcPr>
          <w:p>
            <w:pPr>
              <w:pStyle w:val="TableParagraph"/>
              <w:spacing w:line="165" w:lineRule="exact"/>
              <w:ind w:left="146"/>
              <w:rPr>
                <w:sz w:val="15"/>
              </w:rPr>
            </w:pPr>
            <w:r>
              <w:rPr>
                <w:sz w:val="15"/>
              </w:rPr>
              <w:t>Tarifa Especial</w:t>
            </w:r>
          </w:p>
        </w:tc>
        <w:tc>
          <w:tcPr>
            <w:tcW w:w="1928" w:type="dxa"/>
          </w:tcPr>
          <w:p>
            <w:pPr>
              <w:pStyle w:val="TableParagraph"/>
              <w:spacing w:line="165" w:lineRule="exact"/>
              <w:ind w:right="89"/>
              <w:jc w:val="right"/>
              <w:rPr>
                <w:sz w:val="15"/>
              </w:rPr>
            </w:pPr>
            <w:r>
              <w:rPr>
                <w:sz w:val="15"/>
              </w:rPr>
              <w:t>-51,91</w:t>
            </w:r>
          </w:p>
        </w:tc>
      </w:tr>
      <w:tr>
        <w:trPr>
          <w:trHeight w:val="184" w:hRule="atLeast"/>
        </w:trPr>
        <w:tc>
          <w:tcPr>
            <w:tcW w:w="1009" w:type="dxa"/>
          </w:tcPr>
          <w:p>
            <w:pPr>
              <w:pStyle w:val="TableParagraph"/>
              <w:spacing w:line="164" w:lineRule="exact"/>
              <w:ind w:left="69" w:right="116"/>
              <w:jc w:val="center"/>
              <w:rPr>
                <w:sz w:val="15"/>
              </w:rPr>
            </w:pPr>
            <w:r>
              <w:rPr>
                <w:sz w:val="15"/>
              </w:rPr>
              <w:t>4530000005</w:t>
            </w:r>
          </w:p>
        </w:tc>
        <w:tc>
          <w:tcPr>
            <w:tcW w:w="4212" w:type="dxa"/>
          </w:tcPr>
          <w:p>
            <w:pPr>
              <w:pStyle w:val="TableParagraph"/>
              <w:spacing w:line="164" w:lineRule="exact"/>
              <w:ind w:left="146"/>
              <w:rPr>
                <w:sz w:val="15"/>
              </w:rPr>
            </w:pPr>
            <w:r>
              <w:rPr>
                <w:sz w:val="15"/>
              </w:rPr>
              <w:t>Arbitrios Insulares Pendientes A 31.12.92</w:t>
            </w:r>
          </w:p>
        </w:tc>
        <w:tc>
          <w:tcPr>
            <w:tcW w:w="1928" w:type="dxa"/>
          </w:tcPr>
          <w:p>
            <w:pPr>
              <w:pStyle w:val="TableParagraph"/>
              <w:spacing w:line="164" w:lineRule="exact"/>
              <w:ind w:right="89"/>
              <w:jc w:val="right"/>
              <w:rPr>
                <w:sz w:val="15"/>
              </w:rPr>
            </w:pPr>
            <w:r>
              <w:rPr>
                <w:sz w:val="15"/>
              </w:rPr>
              <w:t>8,60</w:t>
            </w:r>
          </w:p>
        </w:tc>
      </w:tr>
      <w:tr>
        <w:trPr>
          <w:trHeight w:val="184" w:hRule="atLeast"/>
        </w:trPr>
        <w:tc>
          <w:tcPr>
            <w:tcW w:w="1009" w:type="dxa"/>
          </w:tcPr>
          <w:p>
            <w:pPr>
              <w:pStyle w:val="TableParagraph"/>
              <w:spacing w:line="164" w:lineRule="exact"/>
              <w:ind w:left="69" w:right="116"/>
              <w:jc w:val="center"/>
              <w:rPr>
                <w:sz w:val="15"/>
              </w:rPr>
            </w:pPr>
            <w:r>
              <w:rPr>
                <w:sz w:val="15"/>
              </w:rPr>
              <w:t>4530000007</w:t>
            </w:r>
          </w:p>
        </w:tc>
        <w:tc>
          <w:tcPr>
            <w:tcW w:w="4212" w:type="dxa"/>
          </w:tcPr>
          <w:p>
            <w:pPr>
              <w:pStyle w:val="TableParagraph"/>
              <w:spacing w:line="164" w:lineRule="exact"/>
              <w:ind w:left="146"/>
              <w:rPr>
                <w:sz w:val="15"/>
              </w:rPr>
            </w:pPr>
            <w:r>
              <w:rPr>
                <w:sz w:val="15"/>
              </w:rPr>
              <w:t>IGIC Tabaco Rubio</w:t>
            </w:r>
          </w:p>
        </w:tc>
        <w:tc>
          <w:tcPr>
            <w:tcW w:w="1928" w:type="dxa"/>
          </w:tcPr>
          <w:p>
            <w:pPr>
              <w:pStyle w:val="TableParagraph"/>
              <w:spacing w:line="164" w:lineRule="exact"/>
              <w:ind w:right="89"/>
              <w:jc w:val="right"/>
              <w:rPr>
                <w:sz w:val="15"/>
              </w:rPr>
            </w:pPr>
            <w:r>
              <w:rPr>
                <w:sz w:val="15"/>
              </w:rPr>
              <w:t>4.084,38</w:t>
            </w:r>
          </w:p>
        </w:tc>
      </w:tr>
      <w:tr>
        <w:trPr>
          <w:trHeight w:val="184" w:hRule="atLeast"/>
        </w:trPr>
        <w:tc>
          <w:tcPr>
            <w:tcW w:w="1009" w:type="dxa"/>
          </w:tcPr>
          <w:p>
            <w:pPr>
              <w:pStyle w:val="TableParagraph"/>
              <w:spacing w:line="164" w:lineRule="exact"/>
              <w:ind w:left="69" w:right="116"/>
              <w:jc w:val="center"/>
              <w:rPr>
                <w:sz w:val="15"/>
              </w:rPr>
            </w:pPr>
            <w:r>
              <w:rPr>
                <w:sz w:val="15"/>
              </w:rPr>
              <w:t>4530000009</w:t>
            </w:r>
          </w:p>
        </w:tc>
        <w:tc>
          <w:tcPr>
            <w:tcW w:w="4212" w:type="dxa"/>
          </w:tcPr>
          <w:p>
            <w:pPr>
              <w:pStyle w:val="TableParagraph"/>
              <w:spacing w:line="164" w:lineRule="exact"/>
              <w:ind w:left="146"/>
              <w:rPr>
                <w:sz w:val="15"/>
              </w:rPr>
            </w:pPr>
            <w:r>
              <w:rPr>
                <w:sz w:val="15"/>
              </w:rPr>
              <w:t>AIEM Importación/Entrega</w:t>
            </w:r>
          </w:p>
        </w:tc>
        <w:tc>
          <w:tcPr>
            <w:tcW w:w="1928" w:type="dxa"/>
          </w:tcPr>
          <w:p>
            <w:pPr>
              <w:pStyle w:val="TableParagraph"/>
              <w:spacing w:line="164" w:lineRule="exact"/>
              <w:ind w:right="89"/>
              <w:jc w:val="right"/>
              <w:rPr>
                <w:sz w:val="15"/>
              </w:rPr>
            </w:pPr>
            <w:r>
              <w:rPr>
                <w:sz w:val="15"/>
              </w:rPr>
              <w:t>14.544,19</w:t>
            </w:r>
          </w:p>
        </w:tc>
      </w:tr>
      <w:tr>
        <w:trPr>
          <w:trHeight w:val="185" w:hRule="atLeast"/>
        </w:trPr>
        <w:tc>
          <w:tcPr>
            <w:tcW w:w="1009" w:type="dxa"/>
          </w:tcPr>
          <w:p>
            <w:pPr>
              <w:pStyle w:val="TableParagraph"/>
              <w:spacing w:line="165" w:lineRule="exact"/>
              <w:ind w:left="69" w:right="116"/>
              <w:jc w:val="center"/>
              <w:rPr>
                <w:sz w:val="15"/>
              </w:rPr>
            </w:pPr>
            <w:r>
              <w:rPr>
                <w:sz w:val="15"/>
              </w:rPr>
              <w:t>5540001002</w:t>
            </w:r>
          </w:p>
        </w:tc>
        <w:tc>
          <w:tcPr>
            <w:tcW w:w="4212" w:type="dxa"/>
          </w:tcPr>
          <w:p>
            <w:pPr>
              <w:pStyle w:val="TableParagraph"/>
              <w:spacing w:line="165" w:lineRule="exact"/>
              <w:ind w:left="146"/>
              <w:rPr>
                <w:sz w:val="15"/>
              </w:rPr>
            </w:pPr>
            <w:r>
              <w:rPr>
                <w:sz w:val="15"/>
              </w:rPr>
              <w:t>Ing. Ptes Aplicar De Entidades Colaboradoras</w:t>
            </w:r>
          </w:p>
        </w:tc>
        <w:tc>
          <w:tcPr>
            <w:tcW w:w="1928" w:type="dxa"/>
          </w:tcPr>
          <w:p>
            <w:pPr>
              <w:pStyle w:val="TableParagraph"/>
              <w:spacing w:line="165" w:lineRule="exact"/>
              <w:ind w:right="89"/>
              <w:jc w:val="right"/>
              <w:rPr>
                <w:sz w:val="15"/>
              </w:rPr>
            </w:pPr>
            <w:r>
              <w:rPr>
                <w:sz w:val="15"/>
              </w:rPr>
              <w:t>18.658,77</w:t>
            </w:r>
          </w:p>
        </w:tc>
      </w:tr>
      <w:tr>
        <w:trPr>
          <w:trHeight w:val="184" w:hRule="atLeast"/>
        </w:trPr>
        <w:tc>
          <w:tcPr>
            <w:tcW w:w="1009" w:type="dxa"/>
          </w:tcPr>
          <w:p>
            <w:pPr>
              <w:pStyle w:val="TableParagraph"/>
              <w:spacing w:line="164" w:lineRule="exact"/>
              <w:ind w:left="69" w:right="116"/>
              <w:jc w:val="center"/>
              <w:rPr>
                <w:sz w:val="15"/>
              </w:rPr>
            </w:pPr>
            <w:r>
              <w:rPr>
                <w:sz w:val="15"/>
              </w:rPr>
              <w:t>5540010241</w:t>
            </w:r>
          </w:p>
        </w:tc>
        <w:tc>
          <w:tcPr>
            <w:tcW w:w="4212" w:type="dxa"/>
          </w:tcPr>
          <w:p>
            <w:pPr>
              <w:pStyle w:val="TableParagraph"/>
              <w:spacing w:line="164" w:lineRule="exact"/>
              <w:ind w:left="146"/>
              <w:rPr>
                <w:sz w:val="15"/>
              </w:rPr>
            </w:pPr>
            <w:r>
              <w:rPr>
                <w:sz w:val="15"/>
              </w:rPr>
              <w:t>Ing. Ptes De Aplicar Cuenta Cajamar 2738120187</w:t>
            </w:r>
          </w:p>
        </w:tc>
        <w:tc>
          <w:tcPr>
            <w:tcW w:w="1928" w:type="dxa"/>
          </w:tcPr>
          <w:p>
            <w:pPr>
              <w:pStyle w:val="TableParagraph"/>
              <w:spacing w:line="164" w:lineRule="exact"/>
              <w:ind w:right="89"/>
              <w:jc w:val="right"/>
              <w:rPr>
                <w:sz w:val="15"/>
              </w:rPr>
            </w:pPr>
            <w:r>
              <w:rPr>
                <w:sz w:val="15"/>
              </w:rPr>
              <w:t>67,56</w:t>
            </w:r>
          </w:p>
        </w:tc>
      </w:tr>
      <w:tr>
        <w:trPr>
          <w:trHeight w:val="168" w:hRule="atLeast"/>
        </w:trPr>
        <w:tc>
          <w:tcPr>
            <w:tcW w:w="1009" w:type="dxa"/>
            <w:tcBorders>
              <w:bottom w:val="single" w:sz="4" w:space="0" w:color="000000"/>
            </w:tcBorders>
          </w:tcPr>
          <w:p>
            <w:pPr>
              <w:pStyle w:val="TableParagraph"/>
              <w:rPr>
                <w:rFonts w:ascii="Times New Roman"/>
                <w:sz w:val="10"/>
              </w:rPr>
            </w:pPr>
          </w:p>
        </w:tc>
        <w:tc>
          <w:tcPr>
            <w:tcW w:w="4212" w:type="dxa"/>
            <w:tcBorders>
              <w:bottom w:val="single" w:sz="4" w:space="0" w:color="000000"/>
            </w:tcBorders>
          </w:tcPr>
          <w:p>
            <w:pPr>
              <w:pStyle w:val="TableParagraph"/>
              <w:spacing w:line="149" w:lineRule="exact"/>
              <w:ind w:left="1730" w:right="1534"/>
              <w:jc w:val="center"/>
              <w:rPr>
                <w:b/>
                <w:sz w:val="15"/>
              </w:rPr>
            </w:pPr>
            <w:r>
              <w:rPr>
                <w:b/>
                <w:sz w:val="15"/>
              </w:rPr>
              <w:t>Total</w:t>
            </w:r>
          </w:p>
        </w:tc>
        <w:tc>
          <w:tcPr>
            <w:tcW w:w="1928" w:type="dxa"/>
            <w:tcBorders>
              <w:bottom w:val="single" w:sz="4" w:space="0" w:color="000000"/>
            </w:tcBorders>
          </w:tcPr>
          <w:p>
            <w:pPr>
              <w:pStyle w:val="TableParagraph"/>
              <w:spacing w:line="149" w:lineRule="exact"/>
              <w:ind w:right="90"/>
              <w:jc w:val="right"/>
              <w:rPr>
                <w:b/>
                <w:sz w:val="15"/>
              </w:rPr>
            </w:pPr>
            <w:r>
              <w:rPr>
                <w:b/>
                <w:sz w:val="15"/>
              </w:rPr>
              <w:t>-1.201.103,89</w:t>
            </w:r>
          </w:p>
        </w:tc>
      </w:tr>
    </w:tbl>
    <w:p>
      <w:pPr>
        <w:pStyle w:val="BodyText"/>
        <w:spacing w:before="122"/>
        <w:ind w:left="7897"/>
        <w:jc w:val="center"/>
      </w:pPr>
      <w:r>
        <w:rPr/>
        <w:t>39</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89" name="image5.png"/>
                  <wp:cNvGraphicFramePr>
                    <a:graphicFrameLocks noChangeAspect="1"/>
                  </wp:cNvGraphicFramePr>
                  <a:graphic>
                    <a:graphicData uri="http://schemas.openxmlformats.org/drawingml/2006/picture">
                      <pic:pic>
                        <pic:nvPicPr>
                          <pic:cNvPr id="9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41/247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line="242" w:lineRule="auto" w:before="61"/>
        <w:ind w:left="2096" w:right="1138" w:firstLine="604"/>
        <w:jc w:val="both"/>
      </w:pPr>
      <w:r>
        <w:rPr/>
        <w:t>Según informes de la IGCAC nº 25 y 25 bis de mayo de 2023, la regularización de estos saldos se realizó mediante un asiento de contabilidad financiera abonando a la cuenta de Resultados de ejercicios anteriores y, abonando o cargando por el importe deudor o acreedor expuesto en el anterior cuadro. Esta operación se ha materializado sin realizar el correspondiente reflejo en la contabilidad presupuestaria, lo cual ha producido el descuadre entre los saldos finales de tesorería, que presentan el acta de arqueo y la situación de fondos de la Tesorería. Para cuadrar esta diferencia que figura en el acta de arqueo de la cuenta general, se anota, en un concepto denominado “DIFERENCIAS EN METÁLICO”, la cantidad de 1,2 millones de € en negativo. Es preciso poner</w:t>
      </w:r>
      <w:r>
        <w:rPr>
          <w:spacing w:val="-8"/>
        </w:rPr>
        <w:t> </w:t>
      </w:r>
      <w:r>
        <w:rPr/>
        <w:t>de</w:t>
      </w:r>
      <w:r>
        <w:rPr>
          <w:spacing w:val="-8"/>
        </w:rPr>
        <w:t> </w:t>
      </w:r>
      <w:r>
        <w:rPr/>
        <w:t>manifiesto</w:t>
      </w:r>
      <w:r>
        <w:rPr>
          <w:spacing w:val="-8"/>
        </w:rPr>
        <w:t> </w:t>
      </w:r>
      <w:r>
        <w:rPr/>
        <w:t>que</w:t>
      </w:r>
      <w:r>
        <w:rPr>
          <w:spacing w:val="-9"/>
        </w:rPr>
        <w:t> </w:t>
      </w:r>
      <w:r>
        <w:rPr/>
        <w:t>los</w:t>
      </w:r>
      <w:r>
        <w:rPr>
          <w:spacing w:val="-6"/>
        </w:rPr>
        <w:t> </w:t>
      </w:r>
      <w:r>
        <w:rPr/>
        <w:t>referidos</w:t>
      </w:r>
      <w:r>
        <w:rPr>
          <w:spacing w:val="-8"/>
        </w:rPr>
        <w:t> </w:t>
      </w:r>
      <w:r>
        <w:rPr/>
        <w:t>saldos</w:t>
      </w:r>
      <w:r>
        <w:rPr>
          <w:spacing w:val="-10"/>
        </w:rPr>
        <w:t> </w:t>
      </w:r>
      <w:r>
        <w:rPr/>
        <w:t>deudores</w:t>
      </w:r>
      <w:r>
        <w:rPr>
          <w:spacing w:val="-5"/>
        </w:rPr>
        <w:t> </w:t>
      </w:r>
      <w:r>
        <w:rPr/>
        <w:t>y</w:t>
      </w:r>
      <w:r>
        <w:rPr>
          <w:spacing w:val="-9"/>
        </w:rPr>
        <w:t> </w:t>
      </w:r>
      <w:r>
        <w:rPr/>
        <w:t>acreedores,</w:t>
      </w:r>
      <w:r>
        <w:rPr>
          <w:spacing w:val="-8"/>
        </w:rPr>
        <w:t> </w:t>
      </w:r>
      <w:r>
        <w:rPr/>
        <w:t>algunos</w:t>
      </w:r>
      <w:r>
        <w:rPr>
          <w:spacing w:val="-5"/>
        </w:rPr>
        <w:t> </w:t>
      </w:r>
      <w:r>
        <w:rPr/>
        <w:t>de</w:t>
      </w:r>
      <w:r>
        <w:rPr>
          <w:spacing w:val="-8"/>
        </w:rPr>
        <w:t> </w:t>
      </w:r>
      <w:r>
        <w:rPr/>
        <w:t>carácter extrapresupuestario, y otros pertenecientes a los recursos del REF (operaciones por administración de recursos por cuenta de otros entes públicos), se produjeron en su día por salidas y entradas reales de tesorería, bien por movimientos de fondos, bien por formalizaciones</w:t>
      </w:r>
      <w:r>
        <w:rPr>
          <w:spacing w:val="-9"/>
        </w:rPr>
        <w:t> </w:t>
      </w:r>
      <w:r>
        <w:rPr/>
        <w:t>de</w:t>
      </w:r>
      <w:r>
        <w:rPr>
          <w:spacing w:val="-7"/>
        </w:rPr>
        <w:t> </w:t>
      </w:r>
      <w:r>
        <w:rPr/>
        <w:t>descuentos</w:t>
      </w:r>
      <w:r>
        <w:rPr>
          <w:spacing w:val="-6"/>
        </w:rPr>
        <w:t> </w:t>
      </w:r>
      <w:r>
        <w:rPr/>
        <w:t>y,</w:t>
      </w:r>
      <w:r>
        <w:rPr>
          <w:spacing w:val="-6"/>
        </w:rPr>
        <w:t> </w:t>
      </w:r>
      <w:r>
        <w:rPr/>
        <w:t>en</w:t>
      </w:r>
      <w:r>
        <w:rPr>
          <w:spacing w:val="-7"/>
        </w:rPr>
        <w:t> </w:t>
      </w:r>
      <w:r>
        <w:rPr/>
        <w:t>consecuencia,</w:t>
      </w:r>
      <w:r>
        <w:rPr>
          <w:spacing w:val="-6"/>
        </w:rPr>
        <w:t> </w:t>
      </w:r>
      <w:r>
        <w:rPr/>
        <w:t>su</w:t>
      </w:r>
      <w:r>
        <w:rPr>
          <w:spacing w:val="-7"/>
        </w:rPr>
        <w:t> </w:t>
      </w:r>
      <w:r>
        <w:rPr/>
        <w:t>regularización</w:t>
      </w:r>
      <w:r>
        <w:rPr>
          <w:spacing w:val="-7"/>
        </w:rPr>
        <w:t> </w:t>
      </w:r>
      <w:r>
        <w:rPr/>
        <w:t>no</w:t>
      </w:r>
      <w:r>
        <w:rPr>
          <w:spacing w:val="-9"/>
        </w:rPr>
        <w:t> </w:t>
      </w:r>
      <w:r>
        <w:rPr/>
        <w:t>puede</w:t>
      </w:r>
      <w:r>
        <w:rPr>
          <w:spacing w:val="-6"/>
        </w:rPr>
        <w:t> </w:t>
      </w:r>
      <w:r>
        <w:rPr/>
        <w:t>realizarse simplemente con un asiento de contabilidad financiera que no produce movimiento contable de</w:t>
      </w:r>
      <w:r>
        <w:rPr>
          <w:spacing w:val="-2"/>
        </w:rPr>
        <w:t> </w:t>
      </w:r>
      <w:r>
        <w:rPr/>
        <w:t>fondos.</w:t>
      </w:r>
    </w:p>
    <w:p>
      <w:pPr>
        <w:pStyle w:val="BodyText"/>
        <w:spacing w:before="9"/>
        <w:rPr>
          <w:sz w:val="15"/>
        </w:rPr>
      </w:pPr>
    </w:p>
    <w:p>
      <w:pPr>
        <w:pStyle w:val="BodyText"/>
        <w:spacing w:line="242" w:lineRule="auto"/>
        <w:ind w:left="2096" w:right="1135" w:firstLine="604"/>
        <w:jc w:val="both"/>
      </w:pPr>
      <w:r>
        <w:rPr/>
        <w:t>El saldo final agregado que se ha regularizado es acreedor. Por tanto, en su origen, ese saldo supuso una entrada de fondos no presupuestarios en las arcas autonómicas. Sin perjuicio de la necesaria investigación y justificación de la imposibilidad</w:t>
      </w:r>
      <w:r>
        <w:rPr>
          <w:spacing w:val="-9"/>
        </w:rPr>
        <w:t> </w:t>
      </w:r>
      <w:r>
        <w:rPr/>
        <w:t>de</w:t>
      </w:r>
      <w:r>
        <w:rPr>
          <w:spacing w:val="-9"/>
        </w:rPr>
        <w:t> </w:t>
      </w:r>
      <w:r>
        <w:rPr/>
        <w:t>aplicación</w:t>
      </w:r>
      <w:r>
        <w:rPr>
          <w:spacing w:val="-6"/>
        </w:rPr>
        <w:t> </w:t>
      </w:r>
      <w:r>
        <w:rPr/>
        <w:t>de</w:t>
      </w:r>
      <w:r>
        <w:rPr>
          <w:spacing w:val="-8"/>
        </w:rPr>
        <w:t> </w:t>
      </w:r>
      <w:r>
        <w:rPr/>
        <w:t>esos</w:t>
      </w:r>
      <w:r>
        <w:rPr>
          <w:spacing w:val="-10"/>
        </w:rPr>
        <w:t> </w:t>
      </w:r>
      <w:r>
        <w:rPr/>
        <w:t>saldos,</w:t>
      </w:r>
      <w:r>
        <w:rPr>
          <w:spacing w:val="-9"/>
        </w:rPr>
        <w:t> </w:t>
      </w:r>
      <w:r>
        <w:rPr/>
        <w:t>ha</w:t>
      </w:r>
      <w:r>
        <w:rPr>
          <w:spacing w:val="-10"/>
        </w:rPr>
        <w:t> </w:t>
      </w:r>
      <w:r>
        <w:rPr/>
        <w:t>de</w:t>
      </w:r>
      <w:r>
        <w:rPr>
          <w:spacing w:val="-7"/>
        </w:rPr>
        <w:t> </w:t>
      </w:r>
      <w:r>
        <w:rPr/>
        <w:t>considerarse</w:t>
      </w:r>
      <w:r>
        <w:rPr>
          <w:spacing w:val="-9"/>
        </w:rPr>
        <w:t> </w:t>
      </w:r>
      <w:r>
        <w:rPr/>
        <w:t>que</w:t>
      </w:r>
      <w:r>
        <w:rPr>
          <w:spacing w:val="-10"/>
        </w:rPr>
        <w:t> </w:t>
      </w:r>
      <w:r>
        <w:rPr/>
        <w:t>la</w:t>
      </w:r>
      <w:r>
        <w:rPr>
          <w:spacing w:val="-7"/>
        </w:rPr>
        <w:t> </w:t>
      </w:r>
      <w:r>
        <w:rPr/>
        <w:t>cancelación</w:t>
      </w:r>
      <w:r>
        <w:rPr>
          <w:spacing w:val="-6"/>
        </w:rPr>
        <w:t> </w:t>
      </w:r>
      <w:r>
        <w:rPr/>
        <w:t>de</w:t>
      </w:r>
      <w:r>
        <w:rPr>
          <w:spacing w:val="-8"/>
        </w:rPr>
        <w:t> </w:t>
      </w:r>
      <w:r>
        <w:rPr/>
        <w:t>este saldo acreedor debe imputarse al presupuesto como un ingreso. En consecuencia, el cálculo del resultado presupuestario está erróneamente minorado en 1,2 millones de</w:t>
      </w:r>
      <w:r>
        <w:rPr>
          <w:spacing w:val="-5"/>
        </w:rPr>
        <w:t> </w:t>
      </w:r>
      <w:r>
        <w:rPr/>
        <w:t>€.</w:t>
      </w:r>
    </w:p>
    <w:p>
      <w:pPr>
        <w:pStyle w:val="BodyText"/>
        <w:spacing w:before="4"/>
        <w:rPr>
          <w:sz w:val="16"/>
        </w:rPr>
      </w:pPr>
    </w:p>
    <w:p>
      <w:pPr>
        <w:pStyle w:val="BodyText"/>
        <w:ind w:left="2096" w:right="1143" w:firstLine="604"/>
        <w:jc w:val="both"/>
      </w:pPr>
      <w:r>
        <w:rPr/>
        <w:t>El Art. 67.5 de la Ley 11/2006, de 11 de diciembre, de la Hacienda Pública Canaria, establece:</w:t>
      </w:r>
    </w:p>
    <w:p>
      <w:pPr>
        <w:pStyle w:val="BodyText"/>
        <w:spacing w:before="10"/>
        <w:rPr>
          <w:sz w:val="16"/>
        </w:rPr>
      </w:pPr>
    </w:p>
    <w:p>
      <w:pPr>
        <w:spacing w:before="0"/>
        <w:ind w:left="2096" w:right="1142" w:firstLine="604"/>
        <w:jc w:val="both"/>
        <w:rPr>
          <w:i/>
          <w:sz w:val="20"/>
        </w:rPr>
      </w:pPr>
      <w:r>
        <w:rPr>
          <w:i/>
          <w:sz w:val="20"/>
        </w:rPr>
        <w:t>“5. Los derechos liquidados y las obligaciones reconocidas se aplicarán a los </w:t>
      </w:r>
      <w:r>
        <w:rPr>
          <w:i/>
          <w:sz w:val="20"/>
        </w:rPr>
        <w:t>presupuestos por su importe íntegro, sin que puedan atenderse obligaciones mediante minoración de los derechos a liquidar o ya ingresados, salvo que la ley lo autorice de modo expreso”.</w:t>
      </w:r>
    </w:p>
    <w:p>
      <w:pPr>
        <w:pStyle w:val="BodyText"/>
        <w:rPr>
          <w:i/>
          <w:sz w:val="17"/>
        </w:rPr>
      </w:pPr>
    </w:p>
    <w:p>
      <w:pPr>
        <w:pStyle w:val="BodyText"/>
        <w:spacing w:line="242" w:lineRule="auto" w:before="1"/>
        <w:ind w:left="2096" w:right="1142" w:firstLine="604"/>
        <w:jc w:val="both"/>
      </w:pPr>
      <w:r>
        <w:rPr/>
        <w:t>Finalmente, es necesario señalar que la recomendación de la ACC, respecto a la necesidad de depurar y regularizar los saldos extrapresupuestarios antiguos y sin movimiento, señalaba la necesidad de su imputación definitiva al presupuesto, la cual no se ha realizado.</w:t>
      </w:r>
    </w:p>
    <w:p>
      <w:pPr>
        <w:pStyle w:val="BodyText"/>
        <w:spacing w:before="3"/>
        <w:rPr>
          <w:sz w:val="16"/>
        </w:rPr>
      </w:pPr>
    </w:p>
    <w:p>
      <w:pPr>
        <w:pStyle w:val="Heading1"/>
        <w:numPr>
          <w:ilvl w:val="2"/>
          <w:numId w:val="10"/>
        </w:numPr>
        <w:tabs>
          <w:tab w:pos="2691" w:val="left" w:leader="none"/>
        </w:tabs>
        <w:spacing w:line="240" w:lineRule="auto" w:before="0" w:after="0"/>
        <w:ind w:left="2690" w:right="0" w:hanging="605"/>
        <w:jc w:val="left"/>
      </w:pPr>
      <w:r>
        <w:rPr>
          <w:color w:val="53A1B9"/>
        </w:rPr>
        <w:t>Estado de</w:t>
      </w:r>
      <w:r>
        <w:rPr>
          <w:color w:val="53A1B9"/>
          <w:spacing w:val="-1"/>
        </w:rPr>
        <w:t> </w:t>
      </w:r>
      <w:r>
        <w:rPr>
          <w:color w:val="53A1B9"/>
        </w:rPr>
        <w:t>Tesorería.</w:t>
      </w:r>
    </w:p>
    <w:p>
      <w:pPr>
        <w:pStyle w:val="BodyText"/>
        <w:spacing w:before="8"/>
        <w:rPr>
          <w:b/>
          <w:sz w:val="16"/>
        </w:rPr>
      </w:pPr>
    </w:p>
    <w:p>
      <w:pPr>
        <w:pStyle w:val="BodyText"/>
        <w:ind w:left="2096" w:right="1140" w:firstLine="594"/>
        <w:jc w:val="both"/>
      </w:pPr>
      <w:r>
        <w:rPr/>
        <w:t>La evolución de los fondos públicos de la APCAC se muestra en el siguiente cuadro:</w:t>
      </w:r>
    </w:p>
    <w:p>
      <w:pPr>
        <w:pStyle w:val="BodyText"/>
        <w:spacing w:before="58"/>
        <w:ind w:left="7897"/>
        <w:jc w:val="center"/>
      </w:pPr>
      <w:r>
        <w:rPr/>
        <w:t>40</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91" name="image5.png"/>
                  <wp:cNvGraphicFramePr>
                    <a:graphicFrameLocks noChangeAspect="1"/>
                  </wp:cNvGraphicFramePr>
                  <a:graphic>
                    <a:graphicData uri="http://schemas.openxmlformats.org/drawingml/2006/picture">
                      <pic:pic>
                        <pic:nvPicPr>
                          <pic:cNvPr id="9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42/247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spacing w:before="61"/>
        <w:ind w:left="2096" w:right="0" w:firstLine="0"/>
        <w:jc w:val="left"/>
        <w:rPr>
          <w:b/>
          <w:sz w:val="20"/>
        </w:rPr>
      </w:pPr>
      <w:r>
        <w:rPr/>
        <w:pict>
          <v:group style="position:absolute;margin-left:141.910049pt;margin-top:25.36692pt;width:359.1pt;height:16.850pt;mso-position-horizontal-relative:page;mso-position-vertical-relative:paragraph;z-index:-323049472" coordorigin="2838,507" coordsize="7182,337">
            <v:shape style="position:absolute;left:4742;top:515;width:5275;height:329" coordorigin="4743,515" coordsize="5275,329" path="m8159,515l7020,515,5882,515,5882,515,4743,515,4743,844,5882,844,5882,844,7020,844,8159,844,8159,515m10017,515l9959,515,9356,515,9298,515,8159,515,8159,844,9298,844,10017,844,10017,515e" filled="true" fillcolor="#deeaf6" stroked="false">
              <v:path arrowok="t"/>
              <v:fill type="solid"/>
            </v:shape>
            <v:line style="position:absolute" from="2838,511" to="4743,511" stroked="true" strokeweight=".403015pt" strokecolor="#000000">
              <v:stroke dashstyle="solid"/>
            </v:line>
            <v:rect style="position:absolute;left:4742;top:507;width:9;height:9" filled="true" fillcolor="#000000" stroked="false">
              <v:fill type="solid"/>
            </v:rect>
            <v:line style="position:absolute" from="4751,511" to="5882,511" stroked="true" strokeweight=".403015pt" strokecolor="#000000">
              <v:stroke dashstyle="solid"/>
            </v:line>
            <v:rect style="position:absolute;left:5881;top:507;width:9;height:9" filled="true" fillcolor="#000000" stroked="false">
              <v:fill type="solid"/>
            </v:rect>
            <v:line style="position:absolute" from="5890,511" to="7020,511" stroked="true" strokeweight=".403015pt" strokecolor="#000000">
              <v:stroke dashstyle="solid"/>
            </v:line>
            <v:rect style="position:absolute;left:7020;top:507;width:9;height:9" filled="true" fillcolor="#000000" stroked="false">
              <v:fill type="solid"/>
            </v:rect>
            <v:line style="position:absolute" from="7028,511" to="8159,511" stroked="true" strokeweight=".403015pt" strokecolor="#000000">
              <v:stroke dashstyle="solid"/>
            </v:line>
            <v:rect style="position:absolute;left:8159;top:507;width:9;height:9" filled="true" fillcolor="#000000" stroked="false">
              <v:fill type="solid"/>
            </v:rect>
            <v:line style="position:absolute" from="8167,511" to="9298,511" stroked="true" strokeweight=".403015pt" strokecolor="#000000">
              <v:stroke dashstyle="solid"/>
            </v:line>
            <v:rect style="position:absolute;left:9297;top:507;width:9;height:9" filled="true" fillcolor="#000000" stroked="false">
              <v:fill type="solid"/>
            </v:rect>
            <v:line style="position:absolute" from="9306,511" to="10020,511" stroked="true" strokeweight=".403015pt" strokecolor="#000000">
              <v:stroke dashstyle="solid"/>
            </v:line>
            <v:shape style="position:absolute;left:5176;top:623;width:295;height:135" type="#_x0000_t202" filled="false" stroked="false">
              <v:textbox inset="0,0,0,0">
                <w:txbxContent>
                  <w:p>
                    <w:pPr>
                      <w:spacing w:line="135" w:lineRule="exact" w:before="0"/>
                      <w:ind w:left="0" w:right="0" w:firstLine="0"/>
                      <w:jc w:val="left"/>
                      <w:rPr>
                        <w:b/>
                        <w:sz w:val="13"/>
                      </w:rPr>
                    </w:pPr>
                    <w:r>
                      <w:rPr>
                        <w:b/>
                        <w:w w:val="105"/>
                        <w:sz w:val="13"/>
                      </w:rPr>
                      <w:t>2019</w:t>
                    </w:r>
                  </w:p>
                </w:txbxContent>
              </v:textbox>
              <w10:wrap type="none"/>
            </v:shape>
            <v:shape style="position:absolute;left:6314;top:623;width:295;height:135" type="#_x0000_t202" filled="false" stroked="false">
              <v:textbox inset="0,0,0,0">
                <w:txbxContent>
                  <w:p>
                    <w:pPr>
                      <w:spacing w:line="135" w:lineRule="exact" w:before="0"/>
                      <w:ind w:left="0" w:right="0" w:firstLine="0"/>
                      <w:jc w:val="left"/>
                      <w:rPr>
                        <w:b/>
                        <w:sz w:val="13"/>
                      </w:rPr>
                    </w:pPr>
                    <w:r>
                      <w:rPr>
                        <w:b/>
                        <w:w w:val="105"/>
                        <w:sz w:val="13"/>
                      </w:rPr>
                      <w:t>2020</w:t>
                    </w:r>
                  </w:p>
                </w:txbxContent>
              </v:textbox>
              <w10:wrap type="none"/>
            </v:shape>
            <v:shape style="position:absolute;left:7453;top:623;width:295;height:135" type="#_x0000_t202" filled="false" stroked="false">
              <v:textbox inset="0,0,0,0">
                <w:txbxContent>
                  <w:p>
                    <w:pPr>
                      <w:spacing w:line="135" w:lineRule="exact" w:before="0"/>
                      <w:ind w:left="0" w:right="0" w:firstLine="0"/>
                      <w:jc w:val="left"/>
                      <w:rPr>
                        <w:b/>
                        <w:sz w:val="13"/>
                      </w:rPr>
                    </w:pPr>
                    <w:r>
                      <w:rPr>
                        <w:b/>
                        <w:w w:val="105"/>
                        <w:sz w:val="13"/>
                      </w:rPr>
                      <w:t>2021</w:t>
                    </w:r>
                  </w:p>
                </w:txbxContent>
              </v:textbox>
              <w10:wrap type="none"/>
            </v:shape>
            <v:shape style="position:absolute;left:8592;top:623;width:295;height:135" type="#_x0000_t202" filled="false" stroked="false">
              <v:textbox inset="0,0,0,0">
                <w:txbxContent>
                  <w:p>
                    <w:pPr>
                      <w:spacing w:line="135" w:lineRule="exact" w:before="0"/>
                      <w:ind w:left="0" w:right="0" w:firstLine="0"/>
                      <w:jc w:val="left"/>
                      <w:rPr>
                        <w:b/>
                        <w:sz w:val="13"/>
                      </w:rPr>
                    </w:pPr>
                    <w:r>
                      <w:rPr>
                        <w:b/>
                        <w:w w:val="105"/>
                        <w:sz w:val="13"/>
                      </w:rPr>
                      <w:t>2022</w:t>
                    </w:r>
                  </w:p>
                </w:txbxContent>
              </v:textbox>
              <w10:wrap type="none"/>
            </v:shape>
            <v:shape style="position:absolute;left:9392;top:541;width:549;height:135" type="#_x0000_t202" filled="false" stroked="false">
              <v:textbox inset="0,0,0,0">
                <w:txbxContent>
                  <w:p>
                    <w:pPr>
                      <w:spacing w:line="135" w:lineRule="exact" w:before="0"/>
                      <w:ind w:left="0" w:right="0" w:firstLine="0"/>
                      <w:jc w:val="left"/>
                      <w:rPr>
                        <w:b/>
                        <w:sz w:val="13"/>
                      </w:rPr>
                    </w:pPr>
                    <w:r>
                      <w:rPr>
                        <w:b/>
                        <w:w w:val="105"/>
                        <w:sz w:val="13"/>
                      </w:rPr>
                      <w:t>Variación</w:t>
                    </w:r>
                  </w:p>
                </w:txbxContent>
              </v:textbox>
              <w10:wrap type="none"/>
            </v:shape>
            <w10:wrap type="none"/>
          </v:group>
        </w:pict>
      </w:r>
      <w:r>
        <w:rPr/>
        <w:pict>
          <v:rect style="position:absolute;margin-left:467.807892pt;margin-top:34.031567pt;width:30.144878pt;height:8.160879pt;mso-position-horizontal-relative:page;mso-position-vertical-relative:paragraph;z-index:-323048448" filled="true" fillcolor="#deeaf6" stroked="false">
            <v:fill type="solid"/>
            <w10:wrap type="none"/>
          </v:rect>
        </w:pict>
      </w:r>
      <w:r>
        <w:rPr>
          <w:b/>
          <w:sz w:val="20"/>
        </w:rPr>
        <w:t>Evolución de los Fondos Públicos de la APCAC</w:t>
      </w:r>
    </w:p>
    <w:p>
      <w:pPr>
        <w:pStyle w:val="BodyText"/>
        <w:rPr>
          <w:b/>
        </w:rPr>
      </w:pPr>
    </w:p>
    <w:p>
      <w:pPr>
        <w:pStyle w:val="BodyText"/>
        <w:spacing w:before="11"/>
        <w:rPr>
          <w:b/>
          <w:sz w:val="12"/>
        </w:rPr>
      </w:pPr>
    </w:p>
    <w:tbl>
      <w:tblPr>
        <w:tblW w:w="0" w:type="auto"/>
        <w:jc w:val="left"/>
        <w:tblInd w:w="2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1142"/>
        <w:gridCol w:w="1139"/>
        <w:gridCol w:w="1139"/>
        <w:gridCol w:w="1138"/>
        <w:gridCol w:w="712"/>
      </w:tblGrid>
      <w:tr>
        <w:trPr>
          <w:trHeight w:val="167" w:hRule="atLeast"/>
        </w:trPr>
        <w:tc>
          <w:tcPr>
            <w:tcW w:w="1895" w:type="dxa"/>
          </w:tcPr>
          <w:p>
            <w:pPr>
              <w:pStyle w:val="TableParagraph"/>
              <w:rPr>
                <w:rFonts w:ascii="Times New Roman"/>
                <w:sz w:val="10"/>
              </w:rPr>
            </w:pPr>
          </w:p>
        </w:tc>
        <w:tc>
          <w:tcPr>
            <w:tcW w:w="1142" w:type="dxa"/>
            <w:shd w:val="clear" w:color="auto" w:fill="DEEAF6"/>
          </w:tcPr>
          <w:p>
            <w:pPr>
              <w:pStyle w:val="TableParagraph"/>
              <w:rPr>
                <w:rFonts w:ascii="Times New Roman"/>
                <w:sz w:val="10"/>
              </w:rPr>
            </w:pPr>
          </w:p>
        </w:tc>
        <w:tc>
          <w:tcPr>
            <w:tcW w:w="1139" w:type="dxa"/>
            <w:shd w:val="clear" w:color="auto" w:fill="DEEAF6"/>
          </w:tcPr>
          <w:p>
            <w:pPr>
              <w:pStyle w:val="TableParagraph"/>
              <w:rPr>
                <w:rFonts w:ascii="Times New Roman"/>
                <w:sz w:val="10"/>
              </w:rPr>
            </w:pPr>
          </w:p>
        </w:tc>
        <w:tc>
          <w:tcPr>
            <w:tcW w:w="1139" w:type="dxa"/>
            <w:shd w:val="clear" w:color="auto" w:fill="DEEAF6"/>
          </w:tcPr>
          <w:p>
            <w:pPr>
              <w:pStyle w:val="TableParagraph"/>
              <w:rPr>
                <w:rFonts w:ascii="Times New Roman"/>
                <w:sz w:val="10"/>
              </w:rPr>
            </w:pPr>
          </w:p>
        </w:tc>
        <w:tc>
          <w:tcPr>
            <w:tcW w:w="1138" w:type="dxa"/>
            <w:shd w:val="clear" w:color="auto" w:fill="DEEAF6"/>
          </w:tcPr>
          <w:p>
            <w:pPr>
              <w:pStyle w:val="TableParagraph"/>
              <w:rPr>
                <w:rFonts w:ascii="Times New Roman"/>
                <w:sz w:val="10"/>
              </w:rPr>
            </w:pPr>
          </w:p>
        </w:tc>
        <w:tc>
          <w:tcPr>
            <w:tcW w:w="712" w:type="dxa"/>
            <w:shd w:val="clear" w:color="auto" w:fill="DEEAF6"/>
          </w:tcPr>
          <w:p>
            <w:pPr>
              <w:pStyle w:val="TableParagraph"/>
              <w:spacing w:line="136" w:lineRule="exact"/>
              <w:ind w:right="49"/>
              <w:jc w:val="right"/>
              <w:rPr>
                <w:b/>
                <w:sz w:val="13"/>
              </w:rPr>
            </w:pPr>
            <w:r>
              <w:rPr>
                <w:b/>
                <w:w w:val="105"/>
                <w:sz w:val="13"/>
              </w:rPr>
              <w:t>2019/2022</w:t>
            </w:r>
          </w:p>
        </w:tc>
      </w:tr>
      <w:tr>
        <w:trPr>
          <w:trHeight w:val="219" w:hRule="atLeast"/>
        </w:trPr>
        <w:tc>
          <w:tcPr>
            <w:tcW w:w="1895" w:type="dxa"/>
          </w:tcPr>
          <w:p>
            <w:pPr>
              <w:pStyle w:val="TableParagraph"/>
              <w:spacing w:before="9"/>
              <w:ind w:left="50"/>
              <w:rPr>
                <w:sz w:val="13"/>
              </w:rPr>
            </w:pPr>
            <w:r>
              <w:rPr>
                <w:w w:val="105"/>
                <w:sz w:val="13"/>
              </w:rPr>
              <w:t>1) Existencias Iniciales</w:t>
            </w:r>
          </w:p>
        </w:tc>
        <w:tc>
          <w:tcPr>
            <w:tcW w:w="1142" w:type="dxa"/>
          </w:tcPr>
          <w:p>
            <w:pPr>
              <w:pStyle w:val="TableParagraph"/>
              <w:spacing w:before="9"/>
              <w:ind w:right="57"/>
              <w:jc w:val="right"/>
              <w:rPr>
                <w:sz w:val="13"/>
              </w:rPr>
            </w:pPr>
            <w:r>
              <w:rPr>
                <w:sz w:val="13"/>
              </w:rPr>
              <w:t>288.660.960,51</w:t>
            </w:r>
          </w:p>
        </w:tc>
        <w:tc>
          <w:tcPr>
            <w:tcW w:w="1139" w:type="dxa"/>
          </w:tcPr>
          <w:p>
            <w:pPr>
              <w:pStyle w:val="TableParagraph"/>
              <w:spacing w:before="9"/>
              <w:ind w:right="57"/>
              <w:jc w:val="right"/>
              <w:rPr>
                <w:sz w:val="13"/>
              </w:rPr>
            </w:pPr>
            <w:r>
              <w:rPr>
                <w:sz w:val="13"/>
              </w:rPr>
              <w:t>323.247.914,50</w:t>
            </w:r>
          </w:p>
        </w:tc>
        <w:tc>
          <w:tcPr>
            <w:tcW w:w="1139" w:type="dxa"/>
          </w:tcPr>
          <w:p>
            <w:pPr>
              <w:pStyle w:val="TableParagraph"/>
              <w:spacing w:before="9"/>
              <w:ind w:right="57"/>
              <w:jc w:val="right"/>
              <w:rPr>
                <w:sz w:val="13"/>
              </w:rPr>
            </w:pPr>
            <w:r>
              <w:rPr>
                <w:sz w:val="13"/>
              </w:rPr>
              <w:t>140.969.154,21</w:t>
            </w:r>
          </w:p>
        </w:tc>
        <w:tc>
          <w:tcPr>
            <w:tcW w:w="1138" w:type="dxa"/>
          </w:tcPr>
          <w:p>
            <w:pPr>
              <w:pStyle w:val="TableParagraph"/>
              <w:spacing w:before="9"/>
              <w:ind w:right="56"/>
              <w:jc w:val="right"/>
              <w:rPr>
                <w:sz w:val="13"/>
              </w:rPr>
            </w:pPr>
            <w:r>
              <w:rPr>
                <w:sz w:val="13"/>
              </w:rPr>
              <w:t>405.351.770,18</w:t>
            </w:r>
          </w:p>
        </w:tc>
        <w:tc>
          <w:tcPr>
            <w:tcW w:w="712" w:type="dxa"/>
          </w:tcPr>
          <w:p>
            <w:pPr>
              <w:pStyle w:val="TableParagraph"/>
              <w:spacing w:before="9"/>
              <w:ind w:right="48"/>
              <w:jc w:val="right"/>
              <w:rPr>
                <w:sz w:val="13"/>
              </w:rPr>
            </w:pPr>
            <w:r>
              <w:rPr>
                <w:sz w:val="13"/>
              </w:rPr>
              <w:t>40,42%</w:t>
            </w:r>
          </w:p>
        </w:tc>
      </w:tr>
      <w:tr>
        <w:trPr>
          <w:trHeight w:val="238" w:hRule="atLeast"/>
        </w:trPr>
        <w:tc>
          <w:tcPr>
            <w:tcW w:w="1895" w:type="dxa"/>
          </w:tcPr>
          <w:p>
            <w:pPr>
              <w:pStyle w:val="TableParagraph"/>
              <w:spacing w:before="30"/>
              <w:ind w:left="50"/>
              <w:rPr>
                <w:sz w:val="13"/>
              </w:rPr>
            </w:pPr>
            <w:r>
              <w:rPr>
                <w:w w:val="105"/>
                <w:sz w:val="13"/>
              </w:rPr>
              <w:t>2) Ingresos Presupuestarios</w:t>
            </w:r>
          </w:p>
        </w:tc>
        <w:tc>
          <w:tcPr>
            <w:tcW w:w="1142" w:type="dxa"/>
          </w:tcPr>
          <w:p>
            <w:pPr>
              <w:pStyle w:val="TableParagraph"/>
              <w:spacing w:before="30"/>
              <w:ind w:right="56"/>
              <w:jc w:val="right"/>
              <w:rPr>
                <w:sz w:val="13"/>
              </w:rPr>
            </w:pPr>
            <w:r>
              <w:rPr>
                <w:w w:val="105"/>
                <w:sz w:val="13"/>
              </w:rPr>
              <w:t>8.197.413.512,43</w:t>
            </w:r>
          </w:p>
        </w:tc>
        <w:tc>
          <w:tcPr>
            <w:tcW w:w="1139" w:type="dxa"/>
          </w:tcPr>
          <w:p>
            <w:pPr>
              <w:pStyle w:val="TableParagraph"/>
              <w:spacing w:before="30"/>
              <w:ind w:right="56"/>
              <w:jc w:val="right"/>
              <w:rPr>
                <w:sz w:val="13"/>
              </w:rPr>
            </w:pPr>
            <w:r>
              <w:rPr>
                <w:sz w:val="13"/>
              </w:rPr>
              <w:t>12.016.503.564,65</w:t>
            </w:r>
          </w:p>
        </w:tc>
        <w:tc>
          <w:tcPr>
            <w:tcW w:w="1139" w:type="dxa"/>
          </w:tcPr>
          <w:p>
            <w:pPr>
              <w:pStyle w:val="TableParagraph"/>
              <w:spacing w:before="30"/>
              <w:ind w:right="57"/>
              <w:jc w:val="right"/>
              <w:rPr>
                <w:sz w:val="13"/>
              </w:rPr>
            </w:pPr>
            <w:r>
              <w:rPr>
                <w:sz w:val="13"/>
              </w:rPr>
              <w:t>12.715.490.028,84</w:t>
            </w:r>
          </w:p>
        </w:tc>
        <w:tc>
          <w:tcPr>
            <w:tcW w:w="1138" w:type="dxa"/>
          </w:tcPr>
          <w:p>
            <w:pPr>
              <w:pStyle w:val="TableParagraph"/>
              <w:spacing w:before="30"/>
              <w:ind w:right="56"/>
              <w:jc w:val="right"/>
              <w:rPr>
                <w:sz w:val="13"/>
              </w:rPr>
            </w:pPr>
            <w:r>
              <w:rPr>
                <w:w w:val="105"/>
                <w:sz w:val="13"/>
              </w:rPr>
              <w:t>9.831.842.026,09</w:t>
            </w:r>
          </w:p>
        </w:tc>
        <w:tc>
          <w:tcPr>
            <w:tcW w:w="712" w:type="dxa"/>
          </w:tcPr>
          <w:p>
            <w:pPr>
              <w:pStyle w:val="TableParagraph"/>
              <w:spacing w:before="30"/>
              <w:ind w:right="48"/>
              <w:jc w:val="right"/>
              <w:rPr>
                <w:sz w:val="13"/>
              </w:rPr>
            </w:pPr>
            <w:r>
              <w:rPr>
                <w:sz w:val="13"/>
              </w:rPr>
              <w:t>19,94%</w:t>
            </w:r>
          </w:p>
        </w:tc>
      </w:tr>
      <w:tr>
        <w:trPr>
          <w:trHeight w:val="237" w:hRule="atLeast"/>
        </w:trPr>
        <w:tc>
          <w:tcPr>
            <w:tcW w:w="1895" w:type="dxa"/>
          </w:tcPr>
          <w:p>
            <w:pPr>
              <w:pStyle w:val="TableParagraph"/>
              <w:spacing w:before="29"/>
              <w:ind w:left="50"/>
              <w:rPr>
                <w:sz w:val="13"/>
              </w:rPr>
            </w:pPr>
            <w:r>
              <w:rPr>
                <w:w w:val="105"/>
                <w:sz w:val="13"/>
              </w:rPr>
              <w:t>3) Ingresos Extrapresupuestarios</w:t>
            </w:r>
          </w:p>
        </w:tc>
        <w:tc>
          <w:tcPr>
            <w:tcW w:w="1142" w:type="dxa"/>
          </w:tcPr>
          <w:p>
            <w:pPr>
              <w:pStyle w:val="TableParagraph"/>
              <w:spacing w:before="29"/>
              <w:ind w:right="56"/>
              <w:jc w:val="right"/>
              <w:rPr>
                <w:sz w:val="13"/>
              </w:rPr>
            </w:pPr>
            <w:r>
              <w:rPr>
                <w:sz w:val="13"/>
              </w:rPr>
              <w:t>47.165.486.860,99</w:t>
            </w:r>
          </w:p>
        </w:tc>
        <w:tc>
          <w:tcPr>
            <w:tcW w:w="1139" w:type="dxa"/>
          </w:tcPr>
          <w:p>
            <w:pPr>
              <w:pStyle w:val="TableParagraph"/>
              <w:spacing w:before="29"/>
              <w:ind w:right="56"/>
              <w:jc w:val="right"/>
              <w:rPr>
                <w:sz w:val="13"/>
              </w:rPr>
            </w:pPr>
            <w:r>
              <w:rPr>
                <w:sz w:val="13"/>
              </w:rPr>
              <w:t>53.435.405.378,68</w:t>
            </w:r>
          </w:p>
        </w:tc>
        <w:tc>
          <w:tcPr>
            <w:tcW w:w="1139" w:type="dxa"/>
          </w:tcPr>
          <w:p>
            <w:pPr>
              <w:pStyle w:val="TableParagraph"/>
              <w:spacing w:before="29"/>
              <w:ind w:right="57"/>
              <w:jc w:val="right"/>
              <w:rPr>
                <w:sz w:val="13"/>
              </w:rPr>
            </w:pPr>
            <w:r>
              <w:rPr>
                <w:sz w:val="13"/>
              </w:rPr>
              <w:t>51.099.019.209,56</w:t>
            </w:r>
          </w:p>
        </w:tc>
        <w:tc>
          <w:tcPr>
            <w:tcW w:w="1138" w:type="dxa"/>
          </w:tcPr>
          <w:p>
            <w:pPr>
              <w:pStyle w:val="TableParagraph"/>
              <w:spacing w:before="29"/>
              <w:ind w:right="56"/>
              <w:jc w:val="right"/>
              <w:rPr>
                <w:sz w:val="13"/>
              </w:rPr>
            </w:pPr>
            <w:r>
              <w:rPr>
                <w:sz w:val="13"/>
              </w:rPr>
              <w:t>50.490.686.700,47</w:t>
            </w:r>
          </w:p>
        </w:tc>
        <w:tc>
          <w:tcPr>
            <w:tcW w:w="712" w:type="dxa"/>
          </w:tcPr>
          <w:p>
            <w:pPr>
              <w:pStyle w:val="TableParagraph"/>
              <w:spacing w:before="29"/>
              <w:ind w:right="49"/>
              <w:jc w:val="right"/>
              <w:rPr>
                <w:sz w:val="13"/>
              </w:rPr>
            </w:pPr>
            <w:r>
              <w:rPr>
                <w:sz w:val="13"/>
              </w:rPr>
              <w:t>7,05%</w:t>
            </w:r>
          </w:p>
        </w:tc>
      </w:tr>
      <w:tr>
        <w:trPr>
          <w:trHeight w:val="238" w:hRule="atLeast"/>
        </w:trPr>
        <w:tc>
          <w:tcPr>
            <w:tcW w:w="1895" w:type="dxa"/>
          </w:tcPr>
          <w:p>
            <w:pPr>
              <w:pStyle w:val="TableParagraph"/>
              <w:spacing w:before="29"/>
              <w:ind w:left="50"/>
              <w:rPr>
                <w:sz w:val="13"/>
              </w:rPr>
            </w:pPr>
            <w:r>
              <w:rPr>
                <w:w w:val="105"/>
                <w:sz w:val="13"/>
              </w:rPr>
              <w:t>4) Pagos Presupuestarios</w:t>
            </w:r>
          </w:p>
        </w:tc>
        <w:tc>
          <w:tcPr>
            <w:tcW w:w="1142" w:type="dxa"/>
          </w:tcPr>
          <w:p>
            <w:pPr>
              <w:pStyle w:val="TableParagraph"/>
              <w:spacing w:before="29"/>
              <w:ind w:right="56"/>
              <w:jc w:val="right"/>
              <w:rPr>
                <w:sz w:val="13"/>
              </w:rPr>
            </w:pPr>
            <w:r>
              <w:rPr>
                <w:w w:val="105"/>
                <w:sz w:val="13"/>
              </w:rPr>
              <w:t>8.102.388.461,44</w:t>
            </w:r>
          </w:p>
        </w:tc>
        <w:tc>
          <w:tcPr>
            <w:tcW w:w="1139" w:type="dxa"/>
          </w:tcPr>
          <w:p>
            <w:pPr>
              <w:pStyle w:val="TableParagraph"/>
              <w:spacing w:before="29"/>
              <w:ind w:right="56"/>
              <w:jc w:val="right"/>
              <w:rPr>
                <w:sz w:val="13"/>
              </w:rPr>
            </w:pPr>
            <w:r>
              <w:rPr>
                <w:sz w:val="13"/>
              </w:rPr>
              <w:t>12.404.928.280,30</w:t>
            </w:r>
          </w:p>
        </w:tc>
        <w:tc>
          <w:tcPr>
            <w:tcW w:w="1139" w:type="dxa"/>
          </w:tcPr>
          <w:p>
            <w:pPr>
              <w:pStyle w:val="TableParagraph"/>
              <w:spacing w:before="29"/>
              <w:ind w:right="57"/>
              <w:jc w:val="right"/>
              <w:rPr>
                <w:sz w:val="13"/>
              </w:rPr>
            </w:pPr>
            <w:r>
              <w:rPr>
                <w:sz w:val="13"/>
              </w:rPr>
              <w:t>12.347.421.499,83</w:t>
            </w:r>
          </w:p>
        </w:tc>
        <w:tc>
          <w:tcPr>
            <w:tcW w:w="1138" w:type="dxa"/>
          </w:tcPr>
          <w:p>
            <w:pPr>
              <w:pStyle w:val="TableParagraph"/>
              <w:spacing w:before="29"/>
              <w:ind w:right="56"/>
              <w:jc w:val="right"/>
              <w:rPr>
                <w:sz w:val="13"/>
              </w:rPr>
            </w:pPr>
            <w:r>
              <w:rPr>
                <w:sz w:val="13"/>
              </w:rPr>
              <w:t>10.138.907.414,91</w:t>
            </w:r>
          </w:p>
        </w:tc>
        <w:tc>
          <w:tcPr>
            <w:tcW w:w="712" w:type="dxa"/>
          </w:tcPr>
          <w:p>
            <w:pPr>
              <w:pStyle w:val="TableParagraph"/>
              <w:spacing w:before="29"/>
              <w:ind w:right="48"/>
              <w:jc w:val="right"/>
              <w:rPr>
                <w:sz w:val="13"/>
              </w:rPr>
            </w:pPr>
            <w:r>
              <w:rPr>
                <w:sz w:val="13"/>
              </w:rPr>
              <w:t>25,13%</w:t>
            </w:r>
          </w:p>
        </w:tc>
      </w:tr>
      <w:tr>
        <w:trPr>
          <w:trHeight w:val="238" w:hRule="atLeast"/>
        </w:trPr>
        <w:tc>
          <w:tcPr>
            <w:tcW w:w="1895" w:type="dxa"/>
          </w:tcPr>
          <w:p>
            <w:pPr>
              <w:pStyle w:val="TableParagraph"/>
              <w:spacing w:before="30"/>
              <w:ind w:left="50"/>
              <w:rPr>
                <w:sz w:val="13"/>
              </w:rPr>
            </w:pPr>
            <w:r>
              <w:rPr>
                <w:w w:val="105"/>
                <w:sz w:val="13"/>
              </w:rPr>
              <w:t>5) Pagos Extrapresupuestarios</w:t>
            </w:r>
          </w:p>
        </w:tc>
        <w:tc>
          <w:tcPr>
            <w:tcW w:w="1142" w:type="dxa"/>
          </w:tcPr>
          <w:p>
            <w:pPr>
              <w:pStyle w:val="TableParagraph"/>
              <w:spacing w:before="30"/>
              <w:ind w:right="56"/>
              <w:jc w:val="right"/>
              <w:rPr>
                <w:sz w:val="13"/>
              </w:rPr>
            </w:pPr>
            <w:r>
              <w:rPr>
                <w:sz w:val="13"/>
              </w:rPr>
              <w:t>47.225.924.957,99</w:t>
            </w:r>
          </w:p>
        </w:tc>
        <w:tc>
          <w:tcPr>
            <w:tcW w:w="1139" w:type="dxa"/>
          </w:tcPr>
          <w:p>
            <w:pPr>
              <w:pStyle w:val="TableParagraph"/>
              <w:spacing w:before="30"/>
              <w:ind w:right="56"/>
              <w:jc w:val="right"/>
              <w:rPr>
                <w:sz w:val="13"/>
              </w:rPr>
            </w:pPr>
            <w:r>
              <w:rPr>
                <w:sz w:val="13"/>
              </w:rPr>
              <w:t>53.229.255.256,60</w:t>
            </w:r>
          </w:p>
        </w:tc>
        <w:tc>
          <w:tcPr>
            <w:tcW w:w="1139" w:type="dxa"/>
          </w:tcPr>
          <w:p>
            <w:pPr>
              <w:pStyle w:val="TableParagraph"/>
              <w:spacing w:before="30"/>
              <w:ind w:right="57"/>
              <w:jc w:val="right"/>
              <w:rPr>
                <w:sz w:val="13"/>
              </w:rPr>
            </w:pPr>
            <w:r>
              <w:rPr>
                <w:sz w:val="13"/>
              </w:rPr>
              <w:t>51.008.830.079,92</w:t>
            </w:r>
          </w:p>
        </w:tc>
        <w:tc>
          <w:tcPr>
            <w:tcW w:w="1138" w:type="dxa"/>
          </w:tcPr>
          <w:p>
            <w:pPr>
              <w:pStyle w:val="TableParagraph"/>
              <w:spacing w:before="30"/>
              <w:ind w:right="56"/>
              <w:jc w:val="right"/>
              <w:rPr>
                <w:sz w:val="13"/>
              </w:rPr>
            </w:pPr>
            <w:r>
              <w:rPr>
                <w:sz w:val="13"/>
              </w:rPr>
              <w:t>50.148.739.776,11</w:t>
            </w:r>
          </w:p>
        </w:tc>
        <w:tc>
          <w:tcPr>
            <w:tcW w:w="712" w:type="dxa"/>
          </w:tcPr>
          <w:p>
            <w:pPr>
              <w:pStyle w:val="TableParagraph"/>
              <w:spacing w:before="30"/>
              <w:ind w:right="49"/>
              <w:jc w:val="right"/>
              <w:rPr>
                <w:sz w:val="13"/>
              </w:rPr>
            </w:pPr>
            <w:r>
              <w:rPr>
                <w:sz w:val="13"/>
              </w:rPr>
              <w:t>6,19%</w:t>
            </w:r>
          </w:p>
        </w:tc>
      </w:tr>
      <w:tr>
        <w:trPr>
          <w:trHeight w:val="237" w:hRule="atLeast"/>
        </w:trPr>
        <w:tc>
          <w:tcPr>
            <w:tcW w:w="1895" w:type="dxa"/>
          </w:tcPr>
          <w:p>
            <w:pPr>
              <w:pStyle w:val="TableParagraph"/>
              <w:spacing w:before="29"/>
              <w:ind w:left="50"/>
              <w:rPr>
                <w:sz w:val="13"/>
              </w:rPr>
            </w:pPr>
            <w:r>
              <w:rPr>
                <w:w w:val="105"/>
                <w:sz w:val="13"/>
              </w:rPr>
              <w:t>Existencias Finales= 1+2+3-4-5</w:t>
            </w:r>
          </w:p>
        </w:tc>
        <w:tc>
          <w:tcPr>
            <w:tcW w:w="1142" w:type="dxa"/>
          </w:tcPr>
          <w:p>
            <w:pPr>
              <w:pStyle w:val="TableParagraph"/>
              <w:spacing w:before="29"/>
              <w:ind w:right="57"/>
              <w:jc w:val="right"/>
              <w:rPr>
                <w:sz w:val="13"/>
              </w:rPr>
            </w:pPr>
            <w:r>
              <w:rPr>
                <w:sz w:val="13"/>
              </w:rPr>
              <w:t>323.247.914,50</w:t>
            </w:r>
          </w:p>
        </w:tc>
        <w:tc>
          <w:tcPr>
            <w:tcW w:w="1139" w:type="dxa"/>
          </w:tcPr>
          <w:p>
            <w:pPr>
              <w:pStyle w:val="TableParagraph"/>
              <w:spacing w:before="29"/>
              <w:ind w:right="57"/>
              <w:jc w:val="right"/>
              <w:rPr>
                <w:sz w:val="13"/>
              </w:rPr>
            </w:pPr>
            <w:r>
              <w:rPr>
                <w:sz w:val="13"/>
              </w:rPr>
              <w:t>140.973.320,93</w:t>
            </w:r>
          </w:p>
        </w:tc>
        <w:tc>
          <w:tcPr>
            <w:tcW w:w="1139" w:type="dxa"/>
          </w:tcPr>
          <w:p>
            <w:pPr>
              <w:pStyle w:val="TableParagraph"/>
              <w:spacing w:before="29"/>
              <w:ind w:right="57"/>
              <w:jc w:val="right"/>
              <w:rPr>
                <w:sz w:val="13"/>
              </w:rPr>
            </w:pPr>
            <w:r>
              <w:rPr>
                <w:sz w:val="13"/>
              </w:rPr>
              <w:t>599.226.812,86</w:t>
            </w:r>
          </w:p>
        </w:tc>
        <w:tc>
          <w:tcPr>
            <w:tcW w:w="1138" w:type="dxa"/>
          </w:tcPr>
          <w:p>
            <w:pPr>
              <w:pStyle w:val="TableParagraph"/>
              <w:spacing w:before="29"/>
              <w:ind w:right="56"/>
              <w:jc w:val="right"/>
              <w:rPr>
                <w:sz w:val="13"/>
              </w:rPr>
            </w:pPr>
            <w:r>
              <w:rPr>
                <w:sz w:val="13"/>
              </w:rPr>
              <w:t>440.233.305,72</w:t>
            </w:r>
          </w:p>
        </w:tc>
        <w:tc>
          <w:tcPr>
            <w:tcW w:w="712" w:type="dxa"/>
          </w:tcPr>
          <w:p>
            <w:pPr>
              <w:pStyle w:val="TableParagraph"/>
              <w:spacing w:before="29"/>
              <w:ind w:right="48"/>
              <w:jc w:val="right"/>
              <w:rPr>
                <w:sz w:val="13"/>
              </w:rPr>
            </w:pPr>
            <w:r>
              <w:rPr>
                <w:sz w:val="13"/>
              </w:rPr>
              <w:t>36,19%</w:t>
            </w:r>
          </w:p>
        </w:tc>
      </w:tr>
      <w:tr>
        <w:trPr>
          <w:trHeight w:val="186" w:hRule="atLeast"/>
        </w:trPr>
        <w:tc>
          <w:tcPr>
            <w:tcW w:w="1895" w:type="dxa"/>
          </w:tcPr>
          <w:p>
            <w:pPr>
              <w:pStyle w:val="TableParagraph"/>
              <w:spacing w:line="138" w:lineRule="exact" w:before="29"/>
              <w:ind w:left="50"/>
              <w:rPr>
                <w:sz w:val="13"/>
              </w:rPr>
            </w:pPr>
            <w:r>
              <w:rPr>
                <w:w w:val="105"/>
                <w:sz w:val="13"/>
              </w:rPr>
              <w:t>Ajustes O Rectificaciones</w:t>
            </w:r>
          </w:p>
        </w:tc>
        <w:tc>
          <w:tcPr>
            <w:tcW w:w="1142" w:type="dxa"/>
          </w:tcPr>
          <w:p>
            <w:pPr>
              <w:pStyle w:val="TableParagraph"/>
              <w:rPr>
                <w:rFonts w:ascii="Times New Roman"/>
                <w:sz w:val="12"/>
              </w:rPr>
            </w:pPr>
          </w:p>
        </w:tc>
        <w:tc>
          <w:tcPr>
            <w:tcW w:w="1139" w:type="dxa"/>
          </w:tcPr>
          <w:p>
            <w:pPr>
              <w:pStyle w:val="TableParagraph"/>
              <w:rPr>
                <w:rFonts w:ascii="Times New Roman"/>
                <w:sz w:val="12"/>
              </w:rPr>
            </w:pPr>
          </w:p>
        </w:tc>
        <w:tc>
          <w:tcPr>
            <w:tcW w:w="1139" w:type="dxa"/>
          </w:tcPr>
          <w:p>
            <w:pPr>
              <w:pStyle w:val="TableParagraph"/>
              <w:spacing w:line="138" w:lineRule="exact" w:before="29"/>
              <w:ind w:right="57"/>
              <w:jc w:val="right"/>
              <w:rPr>
                <w:sz w:val="13"/>
              </w:rPr>
            </w:pPr>
            <w:r>
              <w:rPr>
                <w:sz w:val="13"/>
              </w:rPr>
              <w:t>-193.875.042,68</w:t>
            </w:r>
          </w:p>
        </w:tc>
        <w:tc>
          <w:tcPr>
            <w:tcW w:w="1138" w:type="dxa"/>
          </w:tcPr>
          <w:p>
            <w:pPr>
              <w:pStyle w:val="TableParagraph"/>
              <w:spacing w:line="138" w:lineRule="exact" w:before="29"/>
              <w:ind w:right="56"/>
              <w:jc w:val="right"/>
              <w:rPr>
                <w:sz w:val="13"/>
              </w:rPr>
            </w:pPr>
            <w:r>
              <w:rPr>
                <w:w w:val="105"/>
                <w:sz w:val="13"/>
              </w:rPr>
              <w:t>1.201.103,89</w:t>
            </w:r>
          </w:p>
        </w:tc>
        <w:tc>
          <w:tcPr>
            <w:tcW w:w="712" w:type="dxa"/>
          </w:tcPr>
          <w:p>
            <w:pPr>
              <w:pStyle w:val="TableParagraph"/>
              <w:rPr>
                <w:rFonts w:ascii="Times New Roman"/>
                <w:sz w:val="12"/>
              </w:rPr>
            </w:pPr>
          </w:p>
        </w:tc>
      </w:tr>
    </w:tbl>
    <w:p>
      <w:pPr>
        <w:spacing w:after="0"/>
        <w:rPr>
          <w:rFonts w:ascii="Times New Roman"/>
          <w:sz w:val="12"/>
        </w:rPr>
        <w:sectPr>
          <w:pgSz w:w="11900" w:h="16840"/>
          <w:pgMar w:header="859" w:footer="926" w:top="1760" w:bottom="1120" w:left="760" w:right="760"/>
        </w:sectPr>
      </w:pPr>
    </w:p>
    <w:p>
      <w:pPr>
        <w:spacing w:before="44"/>
        <w:ind w:left="2136" w:right="0" w:firstLine="0"/>
        <w:jc w:val="left"/>
        <w:rPr>
          <w:sz w:val="13"/>
        </w:rPr>
      </w:pPr>
      <w:r>
        <w:rPr>
          <w:w w:val="105"/>
          <w:sz w:val="13"/>
        </w:rPr>
        <w:t>Existencias</w:t>
      </w:r>
      <w:r>
        <w:rPr>
          <w:spacing w:val="-17"/>
          <w:w w:val="105"/>
          <w:sz w:val="13"/>
        </w:rPr>
        <w:t> </w:t>
      </w:r>
      <w:r>
        <w:rPr>
          <w:w w:val="105"/>
          <w:sz w:val="13"/>
        </w:rPr>
        <w:t>Finales</w:t>
      </w:r>
      <w:r>
        <w:rPr>
          <w:spacing w:val="-17"/>
          <w:w w:val="105"/>
          <w:sz w:val="13"/>
        </w:rPr>
        <w:t> </w:t>
      </w:r>
      <w:r>
        <w:rPr>
          <w:w w:val="105"/>
          <w:sz w:val="13"/>
        </w:rPr>
        <w:t>Ajustadas=</w:t>
      </w:r>
    </w:p>
    <w:p>
      <w:pPr>
        <w:pStyle w:val="BodyText"/>
        <w:spacing w:before="5"/>
        <w:rPr>
          <w:sz w:val="10"/>
        </w:rPr>
      </w:pPr>
      <w:r>
        <w:rPr/>
        <w:br w:type="column"/>
      </w:r>
      <w:r>
        <w:rPr>
          <w:sz w:val="10"/>
        </w:rPr>
      </w:r>
    </w:p>
    <w:p>
      <w:pPr>
        <w:tabs>
          <w:tab w:pos="1540" w:val="left" w:leader="none"/>
          <w:tab w:pos="2678" w:val="left" w:leader="none"/>
          <w:tab w:pos="3817" w:val="left" w:leader="none"/>
          <w:tab w:pos="4988" w:val="left" w:leader="none"/>
        </w:tabs>
        <w:spacing w:line="105" w:lineRule="exact" w:before="0"/>
        <w:ind w:left="401" w:right="0" w:firstLine="0"/>
        <w:jc w:val="left"/>
        <w:rPr>
          <w:b/>
          <w:sz w:val="13"/>
        </w:rPr>
      </w:pPr>
      <w:r>
        <w:rPr>
          <w:b/>
          <w:w w:val="105"/>
          <w:sz w:val="13"/>
        </w:rPr>
        <w:t>323.247.914,50</w:t>
        <w:tab/>
        <w:t>140.973.320,93</w:t>
        <w:tab/>
        <w:t>405.351.770,18</w:t>
        <w:tab/>
        <w:t>441.434.409,61</w:t>
        <w:tab/>
        <w:t>36,56%</w:t>
      </w:r>
    </w:p>
    <w:p>
      <w:pPr>
        <w:spacing w:after="0" w:line="105" w:lineRule="exact"/>
        <w:jc w:val="left"/>
        <w:rPr>
          <w:sz w:val="13"/>
        </w:rPr>
        <w:sectPr>
          <w:type w:val="continuous"/>
          <w:pgSz w:w="11900" w:h="16840"/>
          <w:pgMar w:top="1600" w:bottom="1120" w:left="760" w:right="760"/>
          <w:cols w:num="2" w:equalWidth="0">
            <w:col w:w="3765" w:space="40"/>
            <w:col w:w="6575"/>
          </w:cols>
        </w:sectPr>
      </w:pPr>
    </w:p>
    <w:p>
      <w:pPr>
        <w:tabs>
          <w:tab w:pos="9259" w:val="left" w:leader="none"/>
        </w:tabs>
        <w:spacing w:line="136" w:lineRule="exact" w:before="0"/>
        <w:ind w:left="2066" w:right="0" w:firstLine="0"/>
        <w:jc w:val="left"/>
        <w:rPr>
          <w:sz w:val="13"/>
        </w:rPr>
      </w:pPr>
      <w:r>
        <w:rPr>
          <w:w w:val="103"/>
          <w:sz w:val="13"/>
          <w:u w:val="single"/>
        </w:rPr>
        <w:t> </w:t>
      </w:r>
      <w:r>
        <w:rPr>
          <w:spacing w:val="10"/>
          <w:sz w:val="13"/>
          <w:u w:val="single"/>
        </w:rPr>
        <w:t> </w:t>
      </w:r>
      <w:r>
        <w:rPr>
          <w:w w:val="105"/>
          <w:sz w:val="13"/>
          <w:u w:val="single"/>
        </w:rPr>
        <w:t>1+2+3-4-5+Ajustes</w:t>
      </w:r>
      <w:r>
        <w:rPr>
          <w:sz w:val="13"/>
          <w:u w:val="single"/>
        </w:rPr>
        <w:tab/>
      </w:r>
    </w:p>
    <w:p>
      <w:pPr>
        <w:pStyle w:val="BodyText"/>
        <w:spacing w:before="5"/>
        <w:rPr>
          <w:sz w:val="13"/>
        </w:rPr>
      </w:pPr>
      <w:r>
        <w:rPr/>
        <w:pict>
          <v:group style="position:absolute;margin-left:165.464935pt;margin-top:10.214476pt;width:311.2pt;height:198.4pt;mso-position-horizontal-relative:page;mso-position-vertical-relative:paragraph;z-index:-251541504;mso-wrap-distance-left:0;mso-wrap-distance-right:0" coordorigin="3309,204" coordsize="6224,3968">
            <v:line style="position:absolute" from="9044,3015" to="9337,3015" stroked="true" strokeweight=".629697pt" strokecolor="#d9d9d9">
              <v:stroke dashstyle="solid"/>
            </v:line>
            <v:line style="position:absolute" from="8704,3015" to="8776,3015" stroked="true" strokeweight=".629697pt" strokecolor="#d9d9d9">
              <v:stroke dashstyle="solid"/>
            </v:line>
            <v:line style="position:absolute" from="7847,3015" to="8436,3015" stroked="true" strokeweight=".629697pt" strokecolor="#d9d9d9">
              <v:stroke dashstyle="solid"/>
            </v:line>
            <v:line style="position:absolute" from="8704,2789" to="8776,2789" stroked="true" strokeweight=".629697pt" strokecolor="#d9d9d9">
              <v:stroke dashstyle="solid"/>
            </v:line>
            <v:line style="position:absolute" from="7847,2789" to="8436,2789" stroked="true" strokeweight=".629697pt" strokecolor="#d9d9d9">
              <v:stroke dashstyle="solid"/>
            </v:line>
            <v:line style="position:absolute" from="8704,2562" to="8776,2562" stroked="true" strokeweight=".629697pt" strokecolor="#d9d9d9">
              <v:stroke dashstyle="solid"/>
            </v:line>
            <v:line style="position:absolute" from="7847,2562" to="8436,2562" stroked="true" strokeweight=".629697pt" strokecolor="#d9d9d9">
              <v:stroke dashstyle="solid"/>
            </v:line>
            <v:line style="position:absolute" from="8704,2336" to="8776,2336" stroked="true" strokeweight=".629697pt" strokecolor="#d9d9d9">
              <v:stroke dashstyle="solid"/>
            </v:line>
            <v:line style="position:absolute" from="7847,2336" to="8436,2336" stroked="true" strokeweight=".629697pt" strokecolor="#d9d9d9">
              <v:stroke dashstyle="solid"/>
            </v:line>
            <v:line style="position:absolute" from="8704,2108" to="8776,2108" stroked="true" strokeweight=".629697pt" strokecolor="#d9d9d9">
              <v:stroke dashstyle="solid"/>
            </v:line>
            <v:line style="position:absolute" from="7847,2108" to="8436,2108" stroked="true" strokeweight=".629697pt" strokecolor="#d9d9d9">
              <v:stroke dashstyle="solid"/>
            </v:line>
            <v:line style="position:absolute" from="8704,1883" to="8776,1883" stroked="true" strokeweight=".629697pt" strokecolor="#d9d9d9">
              <v:stroke dashstyle="solid"/>
            </v:line>
            <v:line style="position:absolute" from="7847,1883" to="8436,1883" stroked="true" strokeweight=".629697pt" strokecolor="#d9d9d9">
              <v:stroke dashstyle="solid"/>
            </v:line>
            <v:line style="position:absolute" from="8704,1655" to="8776,1655" stroked="true" strokeweight=".629697pt" strokecolor="#d9d9d9">
              <v:stroke dashstyle="solid"/>
            </v:line>
            <v:line style="position:absolute" from="7847,1655" to="8436,1655" stroked="true" strokeweight=".629697pt" strokecolor="#d9d9d9">
              <v:stroke dashstyle="solid"/>
            </v:line>
            <v:line style="position:absolute" from="8704,1429" to="8776,1429" stroked="true" strokeweight=".629697pt" strokecolor="#d9d9d9">
              <v:stroke dashstyle="solid"/>
            </v:line>
            <v:line style="position:absolute" from="7847,1429" to="8436,1429" stroked="true" strokeweight=".629697pt" strokecolor="#d9d9d9">
              <v:stroke dashstyle="solid"/>
            </v:line>
            <v:rect style="position:absolute;left:8435;top:1405;width:268;height:1838" filled="true" fillcolor="#4471c4" stroked="false">
              <v:fill type="solid"/>
            </v:rect>
            <v:line style="position:absolute" from="7507,3015" to="7579,3015" stroked="true" strokeweight=".629697pt" strokecolor="#d9d9d9">
              <v:stroke dashstyle="solid"/>
            </v:line>
            <v:line style="position:absolute" from="6652,3015" to="7239,3015" stroked="true" strokeweight=".629697pt" strokecolor="#d9d9d9">
              <v:stroke dashstyle="solid"/>
            </v:line>
            <v:line style="position:absolute" from="6312,3015" to="6384,3015" stroked="true" strokeweight=".629697pt" strokecolor="#d9d9d9">
              <v:stroke dashstyle="solid"/>
            </v:line>
            <v:line style="position:absolute" from="5455,3015" to="6044,3015" stroked="true" strokeweight=".629697pt" strokecolor="#d9d9d9">
              <v:stroke dashstyle="solid"/>
            </v:line>
            <v:line style="position:absolute" from="6312,2789" to="6384,2789" stroked="true" strokeweight=".629697pt" strokecolor="#d9d9d9">
              <v:stroke dashstyle="solid"/>
            </v:line>
            <v:line style="position:absolute" from="5455,2789" to="6044,2789" stroked="true" strokeweight=".629697pt" strokecolor="#d9d9d9">
              <v:stroke dashstyle="solid"/>
            </v:line>
            <v:line style="position:absolute" from="6312,2562" to="7579,2562" stroked="true" strokeweight=".629697pt" strokecolor="#d9d9d9">
              <v:stroke dashstyle="solid"/>
            </v:line>
            <v:line style="position:absolute" from="5455,2562" to="6044,2562" stroked="true" strokeweight=".629697pt" strokecolor="#d9d9d9">
              <v:stroke dashstyle="solid"/>
            </v:line>
            <v:line style="position:absolute" from="6312,2336" to="7579,2336" stroked="true" strokeweight=".629697pt" strokecolor="#d9d9d9">
              <v:stroke dashstyle="solid"/>
            </v:line>
            <v:line style="position:absolute" from="5455,2336" to="6044,2336" stroked="true" strokeweight=".629697pt" strokecolor="#d9d9d9">
              <v:stroke dashstyle="solid"/>
            </v:line>
            <v:line style="position:absolute" from="6312,2108" to="7579,2108" stroked="true" strokeweight=".629697pt" strokecolor="#d9d9d9">
              <v:stroke dashstyle="solid"/>
            </v:line>
            <v:line style="position:absolute" from="5455,2108" to="6044,2108" stroked="true" strokeweight=".629697pt" strokecolor="#d9d9d9">
              <v:stroke dashstyle="solid"/>
            </v:line>
            <v:line style="position:absolute" from="6312,1883" to="7579,1883" stroked="true" strokeweight=".629697pt" strokecolor="#d9d9d9">
              <v:stroke dashstyle="solid"/>
            </v:line>
            <v:line style="position:absolute" from="5455,1883" to="6044,1883" stroked="true" strokeweight=".629697pt" strokecolor="#d9d9d9">
              <v:stroke dashstyle="solid"/>
            </v:line>
            <v:rect style="position:absolute;left:6043;top:1777;width:268;height:1465" filled="true" fillcolor="#4471c4" stroked="false">
              <v:fill type="solid"/>
            </v:rect>
            <v:line style="position:absolute" from="7507,2789" to="7579,2789" stroked="true" strokeweight=".629697pt" strokecolor="#d9d9d9">
              <v:stroke dashstyle="solid"/>
            </v:line>
            <v:line style="position:absolute" from="6652,2789" to="7239,2789" stroked="true" strokeweight=".629697pt" strokecolor="#d9d9d9">
              <v:stroke dashstyle="solid"/>
            </v:line>
            <v:rect style="position:absolute;left:7238;top:2603;width:268;height:639" filled="true" fillcolor="#4471c4" stroked="false">
              <v:fill type="solid"/>
            </v:rect>
            <v:line style="position:absolute" from="5115,3015" to="5187,3015" stroked="true" strokeweight=".629697pt" strokecolor="#d9d9d9">
              <v:stroke dashstyle="solid"/>
            </v:line>
            <v:line style="position:absolute" from="4554,3015" to="4847,3015" stroked="true" strokeweight=".629697pt" strokecolor="#d9d9d9">
              <v:stroke dashstyle="solid"/>
            </v:line>
            <v:line style="position:absolute" from="5115,2789" to="5187,2789" stroked="true" strokeweight=".629697pt" strokecolor="#d9d9d9">
              <v:stroke dashstyle="solid"/>
            </v:line>
            <v:line style="position:absolute" from="4554,2789" to="4847,2789" stroked="true" strokeweight=".629697pt" strokecolor="#d9d9d9">
              <v:stroke dashstyle="solid"/>
            </v:line>
            <v:line style="position:absolute" from="5115,2562" to="5187,2562" stroked="true" strokeweight=".629697pt" strokecolor="#d9d9d9">
              <v:stroke dashstyle="solid"/>
            </v:line>
            <v:line style="position:absolute" from="4554,2562" to="4847,2562" stroked="true" strokeweight=".629697pt" strokecolor="#d9d9d9">
              <v:stroke dashstyle="solid"/>
            </v:line>
            <v:line style="position:absolute" from="5115,2336" to="5187,2336" stroked="true" strokeweight=".629697pt" strokecolor="#d9d9d9">
              <v:stroke dashstyle="solid"/>
            </v:line>
            <v:line style="position:absolute" from="4554,2336" to="4847,2336" stroked="true" strokeweight=".629697pt" strokecolor="#d9d9d9">
              <v:stroke dashstyle="solid"/>
            </v:line>
            <v:line style="position:absolute" from="5115,2108" to="5187,2108" stroked="true" strokeweight=".629697pt" strokecolor="#d9d9d9">
              <v:stroke dashstyle="solid"/>
            </v:line>
            <v:line style="position:absolute" from="4554,2108" to="4847,2108" stroked="true" strokeweight=".629697pt" strokecolor="#d9d9d9">
              <v:stroke dashstyle="solid"/>
            </v:line>
            <v:line style="position:absolute" from="4554,1883" to="5187,1883" stroked="true" strokeweight=".629697pt" strokecolor="#d9d9d9">
              <v:stroke dashstyle="solid"/>
            </v:line>
            <v:rect style="position:absolute;left:4846;top:1932;width:268;height:1310" filled="true" fillcolor="#4471c4" stroked="false">
              <v:fill type="solid"/>
            </v:rect>
            <v:rect style="position:absolute;left:5187;top:1777;width:268;height:1465" filled="true" fillcolor="#ec7c30" stroked="false">
              <v:fill type="solid"/>
            </v:rect>
            <v:rect style="position:absolute;left:6384;top:2603;width:268;height:639" filled="true" fillcolor="#ec7c30" stroked="false">
              <v:fill type="solid"/>
            </v:rect>
            <v:line style="position:absolute" from="4554,1655" to="7579,1655" stroked="true" strokeweight=".629697pt" strokecolor="#d9d9d9">
              <v:stroke dashstyle="solid"/>
            </v:line>
            <v:line style="position:absolute" from="4554,1429" to="7579,1429" stroked="true" strokeweight=".629697pt" strokecolor="#d9d9d9">
              <v:stroke dashstyle="solid"/>
            </v:line>
            <v:rect style="position:absolute;left:7579;top:1405;width:268;height:1838" filled="true" fillcolor="#ec7c30" stroked="false">
              <v:fill type="solid"/>
            </v:rect>
            <v:line style="position:absolute" from="9044,2789" to="9337,2789" stroked="true" strokeweight=".629697pt" strokecolor="#d9d9d9">
              <v:stroke dashstyle="solid"/>
            </v:line>
            <v:line style="position:absolute" from="9044,2562" to="9337,2562" stroked="true" strokeweight=".629697pt" strokecolor="#d9d9d9">
              <v:stroke dashstyle="solid"/>
            </v:line>
            <v:line style="position:absolute" from="9044,2336" to="9337,2336" stroked="true" strokeweight=".629697pt" strokecolor="#d9d9d9">
              <v:stroke dashstyle="solid"/>
            </v:line>
            <v:line style="position:absolute" from="9044,2108" to="9337,2108" stroked="true" strokeweight=".629697pt" strokecolor="#d9d9d9">
              <v:stroke dashstyle="solid"/>
            </v:line>
            <v:line style="position:absolute" from="9044,1883" to="9337,1883" stroked="true" strokeweight=".629697pt" strokecolor="#d9d9d9">
              <v:stroke dashstyle="solid"/>
            </v:line>
            <v:line style="position:absolute" from="9044,1655" to="9337,1655" stroked="true" strokeweight=".629697pt" strokecolor="#d9d9d9">
              <v:stroke dashstyle="solid"/>
            </v:line>
            <v:line style="position:absolute" from="9044,1429" to="9337,1429" stroked="true" strokeweight=".629697pt" strokecolor="#d9d9d9">
              <v:stroke dashstyle="solid"/>
            </v:line>
            <v:line style="position:absolute" from="4554,1201" to="9337,1201" stroked="true" strokeweight=".629697pt" strokecolor="#d9d9d9">
              <v:stroke dashstyle="solid"/>
            </v:line>
            <v:rect style="position:absolute;left:8776;top:1241;width:268;height:2001" filled="true" fillcolor="#ec7c30" stroked="false">
              <v:fill type="solid"/>
            </v:rect>
            <v:line style="position:absolute" from="4554,3243" to="9337,3243" stroked="true" strokeweight=".629697pt" strokecolor="#d9d9d9">
              <v:stroke dashstyle="solid"/>
            </v:line>
            <v:line style="position:absolute" from="4554,976" to="9337,976" stroked="true" strokeweight=".629697pt" strokecolor="#d9d9d9">
              <v:stroke dashstyle="solid"/>
            </v:line>
            <v:rect style="position:absolute;left:3783;top:3881;width:83;height:83" filled="true" fillcolor="#4471c4" stroked="false">
              <v:fill type="solid"/>
            </v:rect>
            <v:rect style="position:absolute;left:5610;top:3881;width:83;height:83" filled="true" fillcolor="#ec7c30" stroked="false">
              <v:fill type="solid"/>
            </v:rect>
            <v:rect style="position:absolute;left:3315;top:210;width:6212;height:3955" filled="false" stroked="true" strokeweight=".629697pt" strokecolor="#d9d9d9">
              <v:stroke dashstyle="solid"/>
            </v:rect>
            <v:shape style="position:absolute;left:3902;top:3853;width:5236;height:152" type="#_x0000_t202" filled="false" stroked="false">
              <v:textbox inset="0,0,0,0">
                <w:txbxContent>
                  <w:p>
                    <w:pPr>
                      <w:tabs>
                        <w:tab w:pos="1827" w:val="left" w:leader="none"/>
                      </w:tabs>
                      <w:spacing w:line="151" w:lineRule="exact" w:before="0"/>
                      <w:ind w:left="0" w:right="0" w:firstLine="0"/>
                      <w:jc w:val="left"/>
                      <w:rPr>
                        <w:sz w:val="15"/>
                      </w:rPr>
                    </w:pPr>
                    <w:r>
                      <w:rPr>
                        <w:color w:val="585858"/>
                        <w:sz w:val="15"/>
                      </w:rPr>
                      <w:t>1) EXISTENCIAS INICIALES</w:t>
                      <w:tab/>
                      <w:t>EXISTENCIAS FINALES AJUSTADAS=</w:t>
                    </w:r>
                    <w:r>
                      <w:rPr>
                        <w:color w:val="585858"/>
                        <w:spacing w:val="3"/>
                        <w:sz w:val="15"/>
                      </w:rPr>
                      <w:t> </w:t>
                    </w:r>
                    <w:r>
                      <w:rPr>
                        <w:color w:val="585858"/>
                        <w:sz w:val="15"/>
                      </w:rPr>
                      <w:t>1+2+3-4-5+AJUSTES</w:t>
                    </w:r>
                  </w:p>
                </w:txbxContent>
              </v:textbox>
              <w10:wrap type="none"/>
            </v:shape>
            <v:shape style="position:absolute;left:8587;top:3369;width:327;height:152" type="#_x0000_t202" filled="false" stroked="false">
              <v:textbox inset="0,0,0,0">
                <w:txbxContent>
                  <w:p>
                    <w:pPr>
                      <w:spacing w:line="151" w:lineRule="exact" w:before="0"/>
                      <w:ind w:left="0" w:right="0" w:firstLine="0"/>
                      <w:jc w:val="left"/>
                      <w:rPr>
                        <w:sz w:val="15"/>
                      </w:rPr>
                    </w:pPr>
                    <w:r>
                      <w:rPr>
                        <w:color w:val="585858"/>
                        <w:sz w:val="15"/>
                      </w:rPr>
                      <w:t>2022</w:t>
                    </w:r>
                  </w:p>
                </w:txbxContent>
              </v:textbox>
              <w10:wrap type="none"/>
            </v:shape>
            <v:shape style="position:absolute;left:7391;top:3369;width:327;height:152" type="#_x0000_t202" filled="false" stroked="false">
              <v:textbox inset="0,0,0,0">
                <w:txbxContent>
                  <w:p>
                    <w:pPr>
                      <w:spacing w:line="151" w:lineRule="exact" w:before="0"/>
                      <w:ind w:left="0" w:right="0" w:firstLine="0"/>
                      <w:jc w:val="left"/>
                      <w:rPr>
                        <w:sz w:val="15"/>
                      </w:rPr>
                    </w:pPr>
                    <w:r>
                      <w:rPr>
                        <w:color w:val="585858"/>
                        <w:sz w:val="15"/>
                      </w:rPr>
                      <w:t>2021</w:t>
                    </w:r>
                  </w:p>
                </w:txbxContent>
              </v:textbox>
              <w10:wrap type="none"/>
            </v:shape>
            <v:shape style="position:absolute;left:6195;top:3369;width:327;height:152" type="#_x0000_t202" filled="false" stroked="false">
              <v:textbox inset="0,0,0,0">
                <w:txbxContent>
                  <w:p>
                    <w:pPr>
                      <w:spacing w:line="151" w:lineRule="exact" w:before="0"/>
                      <w:ind w:left="0" w:right="0" w:firstLine="0"/>
                      <w:jc w:val="left"/>
                      <w:rPr>
                        <w:sz w:val="15"/>
                      </w:rPr>
                    </w:pPr>
                    <w:r>
                      <w:rPr>
                        <w:color w:val="585858"/>
                        <w:sz w:val="15"/>
                      </w:rPr>
                      <w:t>2020</w:t>
                    </w:r>
                  </w:p>
                </w:txbxContent>
              </v:textbox>
              <w10:wrap type="none"/>
            </v:shape>
            <v:shape style="position:absolute;left:4999;top:3369;width:327;height:152" type="#_x0000_t202" filled="false" stroked="false">
              <v:textbox inset="0,0,0,0">
                <w:txbxContent>
                  <w:p>
                    <w:pPr>
                      <w:spacing w:line="151" w:lineRule="exact" w:before="0"/>
                      <w:ind w:left="0" w:right="0" w:firstLine="0"/>
                      <w:jc w:val="left"/>
                      <w:rPr>
                        <w:sz w:val="15"/>
                      </w:rPr>
                    </w:pPr>
                    <w:r>
                      <w:rPr>
                        <w:color w:val="585858"/>
                        <w:sz w:val="15"/>
                      </w:rPr>
                      <w:t>2019</w:t>
                    </w:r>
                  </w:p>
                </w:txbxContent>
              </v:textbox>
              <w10:wrap type="none"/>
            </v:shape>
            <v:shape style="position:absolute;left:3458;top:905;width:978;height:2419" type="#_x0000_t202" filled="false" stroked="false">
              <v:textbox inset="0,0,0,0">
                <w:txbxContent>
                  <w:p>
                    <w:pPr>
                      <w:spacing w:line="154" w:lineRule="exact" w:before="0"/>
                      <w:ind w:left="0" w:right="18" w:firstLine="0"/>
                      <w:jc w:val="right"/>
                      <w:rPr>
                        <w:sz w:val="15"/>
                      </w:rPr>
                    </w:pPr>
                    <w:r>
                      <w:rPr>
                        <w:color w:val="585858"/>
                        <w:spacing w:val="-1"/>
                        <w:sz w:val="15"/>
                      </w:rPr>
                      <w:t>500.000.000,00</w:t>
                    </w:r>
                  </w:p>
                  <w:p>
                    <w:pPr>
                      <w:spacing w:before="43"/>
                      <w:ind w:left="0" w:right="18" w:firstLine="0"/>
                      <w:jc w:val="right"/>
                      <w:rPr>
                        <w:sz w:val="15"/>
                      </w:rPr>
                    </w:pPr>
                    <w:r>
                      <w:rPr>
                        <w:color w:val="585858"/>
                        <w:spacing w:val="-1"/>
                        <w:sz w:val="15"/>
                      </w:rPr>
                      <w:t>450.000.000,00</w:t>
                    </w:r>
                  </w:p>
                  <w:p>
                    <w:pPr>
                      <w:spacing w:before="44"/>
                      <w:ind w:left="0" w:right="18" w:firstLine="0"/>
                      <w:jc w:val="right"/>
                      <w:rPr>
                        <w:sz w:val="15"/>
                      </w:rPr>
                    </w:pPr>
                    <w:r>
                      <w:rPr>
                        <w:color w:val="585858"/>
                        <w:spacing w:val="-1"/>
                        <w:sz w:val="15"/>
                      </w:rPr>
                      <w:t>400.000.000,00</w:t>
                    </w:r>
                  </w:p>
                  <w:p>
                    <w:pPr>
                      <w:spacing w:before="44"/>
                      <w:ind w:left="0" w:right="18" w:firstLine="0"/>
                      <w:jc w:val="right"/>
                      <w:rPr>
                        <w:sz w:val="15"/>
                      </w:rPr>
                    </w:pPr>
                    <w:r>
                      <w:rPr>
                        <w:color w:val="585858"/>
                        <w:spacing w:val="-1"/>
                        <w:sz w:val="15"/>
                      </w:rPr>
                      <w:t>350.000.000,00</w:t>
                    </w:r>
                  </w:p>
                  <w:p>
                    <w:pPr>
                      <w:spacing w:before="43"/>
                      <w:ind w:left="0" w:right="18" w:firstLine="0"/>
                      <w:jc w:val="right"/>
                      <w:rPr>
                        <w:sz w:val="15"/>
                      </w:rPr>
                    </w:pPr>
                    <w:r>
                      <w:rPr>
                        <w:color w:val="585858"/>
                        <w:spacing w:val="-1"/>
                        <w:sz w:val="15"/>
                      </w:rPr>
                      <w:t>300.000.000,00</w:t>
                    </w:r>
                  </w:p>
                  <w:p>
                    <w:pPr>
                      <w:spacing w:before="44"/>
                      <w:ind w:left="0" w:right="18" w:firstLine="0"/>
                      <w:jc w:val="right"/>
                      <w:rPr>
                        <w:sz w:val="15"/>
                      </w:rPr>
                    </w:pPr>
                    <w:r>
                      <w:rPr>
                        <w:color w:val="585858"/>
                        <w:spacing w:val="-1"/>
                        <w:sz w:val="15"/>
                      </w:rPr>
                      <w:t>250.000.000,00</w:t>
                    </w:r>
                  </w:p>
                  <w:p>
                    <w:pPr>
                      <w:spacing w:before="43"/>
                      <w:ind w:left="0" w:right="18" w:firstLine="0"/>
                      <w:jc w:val="right"/>
                      <w:rPr>
                        <w:sz w:val="15"/>
                      </w:rPr>
                    </w:pPr>
                    <w:r>
                      <w:rPr>
                        <w:color w:val="585858"/>
                        <w:spacing w:val="-1"/>
                        <w:sz w:val="15"/>
                      </w:rPr>
                      <w:t>200.000.000,00</w:t>
                    </w:r>
                  </w:p>
                  <w:p>
                    <w:pPr>
                      <w:spacing w:before="44"/>
                      <w:ind w:left="0" w:right="18" w:firstLine="0"/>
                      <w:jc w:val="right"/>
                      <w:rPr>
                        <w:sz w:val="15"/>
                      </w:rPr>
                    </w:pPr>
                    <w:r>
                      <w:rPr>
                        <w:color w:val="585858"/>
                        <w:spacing w:val="-1"/>
                        <w:sz w:val="15"/>
                      </w:rPr>
                      <w:t>150.000.000,00</w:t>
                    </w:r>
                  </w:p>
                  <w:p>
                    <w:pPr>
                      <w:spacing w:before="44"/>
                      <w:ind w:left="0" w:right="18" w:firstLine="0"/>
                      <w:jc w:val="right"/>
                      <w:rPr>
                        <w:sz w:val="15"/>
                      </w:rPr>
                    </w:pPr>
                    <w:r>
                      <w:rPr>
                        <w:color w:val="585858"/>
                        <w:spacing w:val="-1"/>
                        <w:sz w:val="15"/>
                      </w:rPr>
                      <w:t>100.000.000,00</w:t>
                    </w:r>
                  </w:p>
                  <w:p>
                    <w:pPr>
                      <w:spacing w:before="43"/>
                      <w:ind w:left="0" w:right="18" w:firstLine="0"/>
                      <w:jc w:val="right"/>
                      <w:rPr>
                        <w:sz w:val="15"/>
                      </w:rPr>
                    </w:pPr>
                    <w:r>
                      <w:rPr>
                        <w:color w:val="585858"/>
                        <w:spacing w:val="-1"/>
                        <w:sz w:val="15"/>
                      </w:rPr>
                      <w:t>50.000.000,00</w:t>
                    </w:r>
                  </w:p>
                  <w:p>
                    <w:pPr>
                      <w:spacing w:line="181" w:lineRule="exact" w:before="44"/>
                      <w:ind w:left="0" w:right="18" w:firstLine="0"/>
                      <w:jc w:val="right"/>
                      <w:rPr>
                        <w:sz w:val="15"/>
                      </w:rPr>
                    </w:pPr>
                    <w:r>
                      <w:rPr>
                        <w:color w:val="585858"/>
                        <w:sz w:val="15"/>
                      </w:rPr>
                      <w:t>0,00</w:t>
                    </w:r>
                  </w:p>
                </w:txbxContent>
              </v:textbox>
              <w10:wrap type="none"/>
            </v:shape>
            <v:shape style="position:absolute;left:4931;top:371;width:3000;height:168" type="#_x0000_t202" filled="false" stroked="false">
              <v:textbox inset="0,0,0,0">
                <w:txbxContent>
                  <w:p>
                    <w:pPr>
                      <w:spacing w:line="167" w:lineRule="exact" w:before="0"/>
                      <w:ind w:left="0" w:right="0" w:firstLine="0"/>
                      <w:jc w:val="left"/>
                      <w:rPr>
                        <w:b/>
                        <w:sz w:val="16"/>
                      </w:rPr>
                    </w:pPr>
                    <w:r>
                      <w:rPr>
                        <w:b/>
                        <w:color w:val="585858"/>
                        <w:w w:val="105"/>
                        <w:sz w:val="16"/>
                      </w:rPr>
                      <w:t>EVOLUCION FONDOS LIQUIDOS 2019/2022</w:t>
                    </w:r>
                  </w:p>
                </w:txbxContent>
              </v:textbox>
              <w10:wrap type="none"/>
            </v:shape>
            <w10:wrap type="topAndBottom"/>
          </v:group>
        </w:pict>
      </w:r>
    </w:p>
    <w:p>
      <w:pPr>
        <w:pStyle w:val="BodyText"/>
        <w:spacing w:before="9"/>
        <w:rPr>
          <w:sz w:val="8"/>
        </w:rPr>
      </w:pPr>
    </w:p>
    <w:p>
      <w:pPr>
        <w:pStyle w:val="Heading1"/>
        <w:numPr>
          <w:ilvl w:val="2"/>
          <w:numId w:val="10"/>
        </w:numPr>
        <w:tabs>
          <w:tab w:pos="2691" w:val="left" w:leader="none"/>
        </w:tabs>
        <w:spacing w:line="240" w:lineRule="auto" w:before="61" w:after="0"/>
        <w:ind w:left="2690" w:right="0" w:hanging="605"/>
        <w:jc w:val="left"/>
      </w:pPr>
      <w:r>
        <w:rPr>
          <w:color w:val="53A1B9"/>
        </w:rPr>
        <w:t>Modificaciones de</w:t>
      </w:r>
      <w:r>
        <w:rPr>
          <w:color w:val="53A1B9"/>
          <w:spacing w:val="-1"/>
        </w:rPr>
        <w:t> </w:t>
      </w:r>
      <w:r>
        <w:rPr>
          <w:color w:val="53A1B9"/>
        </w:rPr>
        <w:t>crédito.</w:t>
      </w:r>
    </w:p>
    <w:p>
      <w:pPr>
        <w:pStyle w:val="BodyText"/>
        <w:spacing w:before="8"/>
        <w:rPr>
          <w:b/>
          <w:sz w:val="16"/>
        </w:rPr>
      </w:pPr>
    </w:p>
    <w:p>
      <w:pPr>
        <w:pStyle w:val="BodyText"/>
        <w:ind w:left="2096" w:right="1142" w:firstLine="594"/>
        <w:jc w:val="both"/>
      </w:pPr>
      <w:r>
        <w:rPr/>
        <w:t>Con sujeción a los límites y requisitos establecidos en la ley, las modificaciones presupuestarias introducen cambios en los créditos inicialmente aprobados, adecuándolos a las necesidades que en el ejercicio presupuestario surgen para la consecución de las políticas públicas.</w:t>
      </w:r>
    </w:p>
    <w:p>
      <w:pPr>
        <w:pStyle w:val="BodyText"/>
        <w:spacing w:before="1"/>
        <w:rPr>
          <w:sz w:val="17"/>
        </w:rPr>
      </w:pPr>
    </w:p>
    <w:p>
      <w:pPr>
        <w:pStyle w:val="BodyText"/>
        <w:ind w:right="1140"/>
        <w:jc w:val="right"/>
      </w:pPr>
      <w:r>
        <w:rPr/>
        <w:t>La</w:t>
      </w:r>
      <w:r>
        <w:rPr>
          <w:spacing w:val="12"/>
        </w:rPr>
        <w:t> </w:t>
      </w:r>
      <w:r>
        <w:rPr/>
        <w:t>ley</w:t>
      </w:r>
      <w:r>
        <w:rPr>
          <w:spacing w:val="11"/>
        </w:rPr>
        <w:t> </w:t>
      </w:r>
      <w:r>
        <w:rPr/>
        <w:t>de</w:t>
      </w:r>
      <w:r>
        <w:rPr>
          <w:spacing w:val="10"/>
        </w:rPr>
        <w:t> </w:t>
      </w:r>
      <w:r>
        <w:rPr/>
        <w:t>presupuestos</w:t>
      </w:r>
      <w:r>
        <w:rPr>
          <w:spacing w:val="13"/>
        </w:rPr>
        <w:t> </w:t>
      </w:r>
      <w:r>
        <w:rPr/>
        <w:t>generales</w:t>
      </w:r>
      <w:r>
        <w:rPr>
          <w:spacing w:val="10"/>
        </w:rPr>
        <w:t> </w:t>
      </w:r>
      <w:r>
        <w:rPr/>
        <w:t>de</w:t>
      </w:r>
      <w:r>
        <w:rPr>
          <w:spacing w:val="12"/>
        </w:rPr>
        <w:t> </w:t>
      </w:r>
      <w:r>
        <w:rPr/>
        <w:t>la</w:t>
      </w:r>
      <w:r>
        <w:rPr>
          <w:spacing w:val="11"/>
        </w:rPr>
        <w:t> </w:t>
      </w:r>
      <w:r>
        <w:rPr/>
        <w:t>CAC</w:t>
      </w:r>
      <w:r>
        <w:rPr>
          <w:spacing w:val="10"/>
        </w:rPr>
        <w:t> </w:t>
      </w:r>
      <w:r>
        <w:rPr/>
        <w:t>para</w:t>
      </w:r>
      <w:r>
        <w:rPr>
          <w:spacing w:val="10"/>
        </w:rPr>
        <w:t> </w:t>
      </w:r>
      <w:r>
        <w:rPr/>
        <w:t>el</w:t>
      </w:r>
      <w:r>
        <w:rPr>
          <w:spacing w:val="13"/>
        </w:rPr>
        <w:t> </w:t>
      </w:r>
      <w:r>
        <w:rPr/>
        <w:t>año</w:t>
      </w:r>
      <w:r>
        <w:rPr>
          <w:spacing w:val="16"/>
        </w:rPr>
        <w:t> </w:t>
      </w:r>
      <w:r>
        <w:rPr/>
        <w:t>2022,</w:t>
      </w:r>
      <w:r>
        <w:rPr>
          <w:spacing w:val="12"/>
        </w:rPr>
        <w:t> </w:t>
      </w:r>
      <w:r>
        <w:rPr/>
        <w:t>aprueba</w:t>
      </w:r>
      <w:r>
        <w:rPr>
          <w:spacing w:val="11"/>
        </w:rPr>
        <w:t> </w:t>
      </w:r>
      <w:r>
        <w:rPr/>
        <w:t>créditos</w:t>
      </w:r>
    </w:p>
    <w:p>
      <w:pPr>
        <w:pStyle w:val="BodyText"/>
        <w:spacing w:before="2"/>
        <w:ind w:right="1145"/>
        <w:jc w:val="right"/>
      </w:pPr>
      <w:r>
        <w:rPr/>
        <w:t>por</w:t>
      </w:r>
      <w:r>
        <w:rPr>
          <w:spacing w:val="8"/>
        </w:rPr>
        <w:t> </w:t>
      </w:r>
      <w:r>
        <w:rPr/>
        <w:t>importe</w:t>
      </w:r>
      <w:r>
        <w:rPr>
          <w:spacing w:val="7"/>
        </w:rPr>
        <w:t> </w:t>
      </w:r>
      <w:r>
        <w:rPr/>
        <w:t>de</w:t>
      </w:r>
      <w:r>
        <w:rPr>
          <w:spacing w:val="8"/>
        </w:rPr>
        <w:t> </w:t>
      </w:r>
      <w:r>
        <w:rPr/>
        <w:t>9.467.888.669</w:t>
      </w:r>
      <w:r>
        <w:rPr>
          <w:spacing w:val="10"/>
        </w:rPr>
        <w:t> </w:t>
      </w:r>
      <w:r>
        <w:rPr/>
        <w:t>€,</w:t>
      </w:r>
      <w:r>
        <w:rPr>
          <w:spacing w:val="8"/>
        </w:rPr>
        <w:t> </w:t>
      </w:r>
      <w:r>
        <w:rPr/>
        <w:t>que</w:t>
      </w:r>
      <w:r>
        <w:rPr>
          <w:spacing w:val="9"/>
        </w:rPr>
        <w:t> </w:t>
      </w:r>
      <w:r>
        <w:rPr/>
        <w:t>se</w:t>
      </w:r>
      <w:r>
        <w:rPr>
          <w:spacing w:val="8"/>
        </w:rPr>
        <w:t> </w:t>
      </w:r>
      <w:r>
        <w:rPr/>
        <w:t>han</w:t>
      </w:r>
      <w:r>
        <w:rPr>
          <w:spacing w:val="9"/>
        </w:rPr>
        <w:t> </w:t>
      </w:r>
      <w:r>
        <w:rPr/>
        <w:t>visto</w:t>
      </w:r>
      <w:r>
        <w:rPr>
          <w:spacing w:val="10"/>
        </w:rPr>
        <w:t> </w:t>
      </w:r>
      <w:r>
        <w:rPr/>
        <w:t>incrementados</w:t>
      </w:r>
      <w:r>
        <w:rPr>
          <w:spacing w:val="9"/>
        </w:rPr>
        <w:t> </w:t>
      </w:r>
      <w:r>
        <w:rPr/>
        <w:t>en</w:t>
      </w:r>
      <w:r>
        <w:rPr>
          <w:spacing w:val="10"/>
        </w:rPr>
        <w:t> </w:t>
      </w:r>
      <w:r>
        <w:rPr/>
        <w:t>1.166</w:t>
      </w:r>
      <w:r>
        <w:rPr>
          <w:spacing w:val="10"/>
        </w:rPr>
        <w:t> </w:t>
      </w:r>
      <w:r>
        <w:rPr/>
        <w:t>millones</w:t>
      </w:r>
      <w:r>
        <w:rPr>
          <w:spacing w:val="9"/>
        </w:rPr>
        <w:t> </w:t>
      </w:r>
      <w:r>
        <w:rPr/>
        <w:t>de</w:t>
      </w:r>
    </w:p>
    <w:p>
      <w:pPr>
        <w:pStyle w:val="BodyText"/>
        <w:spacing w:before="2"/>
        <w:ind w:left="2096"/>
      </w:pPr>
      <w:r>
        <w:rPr/>
        <w:t>€ como consecuencia de las modificaciones de crédito aprobadas durante el ejercicio.</w:t>
      </w:r>
    </w:p>
    <w:p>
      <w:pPr>
        <w:pStyle w:val="BodyText"/>
        <w:spacing w:before="2"/>
        <w:rPr>
          <w:sz w:val="24"/>
        </w:rPr>
      </w:pPr>
    </w:p>
    <w:p>
      <w:pPr>
        <w:pStyle w:val="BodyText"/>
        <w:spacing w:before="61"/>
        <w:ind w:left="7897"/>
        <w:jc w:val="center"/>
      </w:pPr>
      <w:r>
        <w:rPr/>
        <w:t>41</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93" name="image5.png"/>
                  <wp:cNvGraphicFramePr>
                    <a:graphicFrameLocks noChangeAspect="1"/>
                  </wp:cNvGraphicFramePr>
                  <a:graphic>
                    <a:graphicData uri="http://schemas.openxmlformats.org/drawingml/2006/picture">
                      <pic:pic>
                        <pic:nvPicPr>
                          <pic:cNvPr id="9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43/247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2"/>
        <w:rPr>
          <w:b/>
          <w:sz w:val="9"/>
        </w:rPr>
      </w:pPr>
    </w:p>
    <w:p>
      <w:pPr>
        <w:pStyle w:val="BodyText"/>
        <w:spacing w:before="61"/>
        <w:ind w:left="2096" w:right="1137" w:firstLine="594"/>
        <w:jc w:val="both"/>
      </w:pPr>
      <w:r>
        <w:rPr/>
        <w:t>De acuerdo con los datos que figuran en la cuenta general de la APCAC, durante los años 2021 y 2022 se llevaron a cabo modificaciones de crédito mediante los siguientes tipos:</w:t>
      </w:r>
    </w:p>
    <w:p>
      <w:pPr>
        <w:pStyle w:val="BodyText"/>
        <w:spacing w:before="10" w:after="1"/>
        <w:rPr>
          <w:sz w:val="16"/>
        </w:rPr>
      </w:pPr>
    </w:p>
    <w:tbl>
      <w:tblPr>
        <w:tblW w:w="0" w:type="auto"/>
        <w:jc w:val="left"/>
        <w:tblInd w:w="2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0"/>
        <w:gridCol w:w="1077"/>
        <w:gridCol w:w="1135"/>
        <w:gridCol w:w="1032"/>
        <w:gridCol w:w="1135"/>
        <w:gridCol w:w="1032"/>
        <w:gridCol w:w="1134"/>
      </w:tblGrid>
      <w:tr>
        <w:trPr>
          <w:trHeight w:val="327" w:hRule="atLeast"/>
        </w:trPr>
        <w:tc>
          <w:tcPr>
            <w:tcW w:w="590" w:type="dxa"/>
            <w:tcBorders>
              <w:top w:val="single" w:sz="4" w:space="0" w:color="000000"/>
              <w:left w:val="single" w:sz="4" w:space="0" w:color="000000"/>
            </w:tcBorders>
            <w:shd w:val="clear" w:color="auto" w:fill="DEEAF6"/>
          </w:tcPr>
          <w:p>
            <w:pPr>
              <w:pStyle w:val="TableParagraph"/>
              <w:spacing w:before="85"/>
              <w:ind w:left="156" w:right="109"/>
              <w:jc w:val="center"/>
              <w:rPr>
                <w:b/>
                <w:sz w:val="13"/>
              </w:rPr>
            </w:pPr>
            <w:r>
              <w:rPr>
                <w:b/>
                <w:w w:val="105"/>
                <w:sz w:val="13"/>
              </w:rPr>
              <w:t>Año</w:t>
            </w:r>
          </w:p>
        </w:tc>
        <w:tc>
          <w:tcPr>
            <w:tcW w:w="1077" w:type="dxa"/>
            <w:tcBorders>
              <w:top w:val="single" w:sz="4" w:space="0" w:color="000000"/>
            </w:tcBorders>
            <w:shd w:val="clear" w:color="auto" w:fill="DEEAF6"/>
          </w:tcPr>
          <w:p>
            <w:pPr>
              <w:pStyle w:val="TableParagraph"/>
              <w:spacing w:before="2"/>
              <w:ind w:left="54" w:right="5"/>
              <w:jc w:val="center"/>
              <w:rPr>
                <w:b/>
                <w:sz w:val="13"/>
              </w:rPr>
            </w:pPr>
            <w:r>
              <w:rPr>
                <w:b/>
                <w:w w:val="105"/>
                <w:sz w:val="13"/>
              </w:rPr>
              <w:t>Suplemento</w:t>
            </w:r>
          </w:p>
          <w:p>
            <w:pPr>
              <w:pStyle w:val="TableParagraph"/>
              <w:spacing w:line="140" w:lineRule="exact" w:before="6"/>
              <w:ind w:left="54" w:right="2"/>
              <w:jc w:val="center"/>
              <w:rPr>
                <w:b/>
                <w:sz w:val="13"/>
              </w:rPr>
            </w:pPr>
            <w:r>
              <w:rPr>
                <w:b/>
                <w:w w:val="105"/>
                <w:sz w:val="13"/>
              </w:rPr>
              <w:t>Crédito</w:t>
            </w:r>
          </w:p>
        </w:tc>
        <w:tc>
          <w:tcPr>
            <w:tcW w:w="1135" w:type="dxa"/>
            <w:tcBorders>
              <w:top w:val="single" w:sz="4" w:space="0" w:color="000000"/>
            </w:tcBorders>
            <w:shd w:val="clear" w:color="auto" w:fill="DEEAF6"/>
          </w:tcPr>
          <w:p>
            <w:pPr>
              <w:pStyle w:val="TableParagraph"/>
              <w:spacing w:before="2"/>
              <w:ind w:left="64" w:right="59"/>
              <w:jc w:val="center"/>
              <w:rPr>
                <w:b/>
                <w:sz w:val="13"/>
              </w:rPr>
            </w:pPr>
            <w:r>
              <w:rPr>
                <w:b/>
                <w:w w:val="105"/>
                <w:sz w:val="13"/>
              </w:rPr>
              <w:t>Ampliación</w:t>
            </w:r>
          </w:p>
          <w:p>
            <w:pPr>
              <w:pStyle w:val="TableParagraph"/>
              <w:spacing w:line="140" w:lineRule="exact" w:before="6"/>
              <w:ind w:left="64" w:right="59"/>
              <w:jc w:val="center"/>
              <w:rPr>
                <w:b/>
                <w:sz w:val="13"/>
              </w:rPr>
            </w:pPr>
            <w:r>
              <w:rPr>
                <w:b/>
                <w:w w:val="105"/>
                <w:sz w:val="13"/>
              </w:rPr>
              <w:t>Crédito</w:t>
            </w:r>
          </w:p>
        </w:tc>
        <w:tc>
          <w:tcPr>
            <w:tcW w:w="1032" w:type="dxa"/>
            <w:tcBorders>
              <w:top w:val="single" w:sz="4" w:space="0" w:color="000000"/>
            </w:tcBorders>
            <w:shd w:val="clear" w:color="auto" w:fill="DEEAF6"/>
          </w:tcPr>
          <w:p>
            <w:pPr>
              <w:pStyle w:val="TableParagraph"/>
              <w:spacing w:before="2"/>
              <w:ind w:left="67" w:right="60"/>
              <w:jc w:val="center"/>
              <w:rPr>
                <w:b/>
                <w:sz w:val="13"/>
              </w:rPr>
            </w:pPr>
            <w:r>
              <w:rPr>
                <w:b/>
                <w:w w:val="105"/>
                <w:sz w:val="13"/>
              </w:rPr>
              <w:t>Incorporación.</w:t>
            </w:r>
          </w:p>
          <w:p>
            <w:pPr>
              <w:pStyle w:val="TableParagraph"/>
              <w:spacing w:line="140" w:lineRule="exact" w:before="6"/>
              <w:ind w:left="66" w:right="60"/>
              <w:jc w:val="center"/>
              <w:rPr>
                <w:b/>
                <w:sz w:val="13"/>
              </w:rPr>
            </w:pPr>
            <w:r>
              <w:rPr>
                <w:b/>
                <w:w w:val="105"/>
                <w:sz w:val="13"/>
              </w:rPr>
              <w:t>Crédito</w:t>
            </w:r>
          </w:p>
        </w:tc>
        <w:tc>
          <w:tcPr>
            <w:tcW w:w="1135" w:type="dxa"/>
            <w:tcBorders>
              <w:top w:val="single" w:sz="4" w:space="0" w:color="000000"/>
            </w:tcBorders>
            <w:shd w:val="clear" w:color="auto" w:fill="DEEAF6"/>
          </w:tcPr>
          <w:p>
            <w:pPr>
              <w:pStyle w:val="TableParagraph"/>
              <w:spacing w:before="2"/>
              <w:ind w:left="65" w:right="59"/>
              <w:jc w:val="center"/>
              <w:rPr>
                <w:b/>
                <w:sz w:val="13"/>
              </w:rPr>
            </w:pPr>
            <w:r>
              <w:rPr>
                <w:b/>
                <w:w w:val="105"/>
                <w:sz w:val="13"/>
              </w:rPr>
              <w:t>Crédito. Gen.</w:t>
            </w:r>
          </w:p>
          <w:p>
            <w:pPr>
              <w:pStyle w:val="TableParagraph"/>
              <w:spacing w:line="140" w:lineRule="exact" w:before="6"/>
              <w:ind w:left="67" w:right="59"/>
              <w:jc w:val="center"/>
              <w:rPr>
                <w:b/>
                <w:sz w:val="13"/>
              </w:rPr>
            </w:pPr>
            <w:r>
              <w:rPr>
                <w:b/>
                <w:w w:val="105"/>
                <w:sz w:val="13"/>
              </w:rPr>
              <w:t>Ing.</w:t>
            </w:r>
          </w:p>
        </w:tc>
        <w:tc>
          <w:tcPr>
            <w:tcW w:w="1032" w:type="dxa"/>
            <w:tcBorders>
              <w:top w:val="single" w:sz="4" w:space="0" w:color="000000"/>
            </w:tcBorders>
            <w:shd w:val="clear" w:color="auto" w:fill="DEEAF6"/>
          </w:tcPr>
          <w:p>
            <w:pPr>
              <w:pStyle w:val="TableParagraph"/>
              <w:spacing w:before="85"/>
              <w:ind w:left="118"/>
              <w:rPr>
                <w:b/>
                <w:sz w:val="13"/>
              </w:rPr>
            </w:pPr>
            <w:r>
              <w:rPr>
                <w:b/>
                <w:w w:val="105"/>
                <w:sz w:val="13"/>
              </w:rPr>
              <w:t>Bajas anul/rec</w:t>
            </w:r>
          </w:p>
        </w:tc>
        <w:tc>
          <w:tcPr>
            <w:tcW w:w="1134" w:type="dxa"/>
            <w:tcBorders>
              <w:top w:val="single" w:sz="4" w:space="0" w:color="000000"/>
              <w:right w:val="single" w:sz="4" w:space="0" w:color="000000"/>
            </w:tcBorders>
            <w:shd w:val="clear" w:color="auto" w:fill="DEEAF6"/>
          </w:tcPr>
          <w:p>
            <w:pPr>
              <w:pStyle w:val="TableParagraph"/>
              <w:spacing w:before="85"/>
              <w:ind w:left="66" w:right="54"/>
              <w:jc w:val="center"/>
              <w:rPr>
                <w:b/>
                <w:sz w:val="13"/>
              </w:rPr>
            </w:pPr>
            <w:r>
              <w:rPr>
                <w:b/>
                <w:w w:val="105"/>
                <w:sz w:val="13"/>
              </w:rPr>
              <w:t>Total</w:t>
            </w:r>
          </w:p>
        </w:tc>
      </w:tr>
      <w:tr>
        <w:trPr>
          <w:trHeight w:val="175" w:hRule="atLeast"/>
        </w:trPr>
        <w:tc>
          <w:tcPr>
            <w:tcW w:w="590" w:type="dxa"/>
            <w:tcBorders>
              <w:left w:val="single" w:sz="4" w:space="0" w:color="000000"/>
            </w:tcBorders>
          </w:tcPr>
          <w:p>
            <w:pPr>
              <w:pStyle w:val="TableParagraph"/>
              <w:spacing w:line="153" w:lineRule="exact" w:before="3"/>
              <w:ind w:left="158" w:right="109"/>
              <w:jc w:val="center"/>
              <w:rPr>
                <w:sz w:val="13"/>
              </w:rPr>
            </w:pPr>
            <w:r>
              <w:rPr>
                <w:w w:val="105"/>
                <w:sz w:val="13"/>
              </w:rPr>
              <w:t>2022</w:t>
            </w:r>
          </w:p>
        </w:tc>
        <w:tc>
          <w:tcPr>
            <w:tcW w:w="1077" w:type="dxa"/>
          </w:tcPr>
          <w:p>
            <w:pPr>
              <w:pStyle w:val="TableParagraph"/>
              <w:spacing w:line="153" w:lineRule="exact" w:before="3"/>
              <w:ind w:left="54" w:right="1"/>
              <w:jc w:val="center"/>
              <w:rPr>
                <w:sz w:val="13"/>
              </w:rPr>
            </w:pPr>
            <w:r>
              <w:rPr>
                <w:w w:val="105"/>
                <w:sz w:val="13"/>
              </w:rPr>
              <w:t>185.000.000,00</w:t>
            </w:r>
          </w:p>
        </w:tc>
        <w:tc>
          <w:tcPr>
            <w:tcW w:w="1135" w:type="dxa"/>
          </w:tcPr>
          <w:p>
            <w:pPr>
              <w:pStyle w:val="TableParagraph"/>
              <w:spacing w:line="153" w:lineRule="exact" w:before="3"/>
              <w:ind w:left="170" w:right="59"/>
              <w:jc w:val="center"/>
              <w:rPr>
                <w:sz w:val="13"/>
              </w:rPr>
            </w:pPr>
            <w:r>
              <w:rPr>
                <w:w w:val="105"/>
                <w:sz w:val="13"/>
              </w:rPr>
              <w:t>369.271.312,54</w:t>
            </w:r>
          </w:p>
        </w:tc>
        <w:tc>
          <w:tcPr>
            <w:tcW w:w="1032" w:type="dxa"/>
          </w:tcPr>
          <w:p>
            <w:pPr>
              <w:pStyle w:val="TableParagraph"/>
              <w:spacing w:line="153" w:lineRule="exact" w:before="3"/>
              <w:ind w:left="68" w:right="60"/>
              <w:jc w:val="center"/>
              <w:rPr>
                <w:sz w:val="13"/>
              </w:rPr>
            </w:pPr>
            <w:r>
              <w:rPr>
                <w:w w:val="105"/>
                <w:sz w:val="13"/>
              </w:rPr>
              <w:t>119.288.218,00</w:t>
            </w:r>
          </w:p>
        </w:tc>
        <w:tc>
          <w:tcPr>
            <w:tcW w:w="1135" w:type="dxa"/>
          </w:tcPr>
          <w:p>
            <w:pPr>
              <w:pStyle w:val="TableParagraph"/>
              <w:spacing w:line="153" w:lineRule="exact" w:before="3"/>
              <w:ind w:right="84"/>
              <w:jc w:val="right"/>
              <w:rPr>
                <w:sz w:val="13"/>
              </w:rPr>
            </w:pPr>
            <w:r>
              <w:rPr>
                <w:sz w:val="13"/>
              </w:rPr>
              <w:t>572.467.909,8</w:t>
            </w:r>
          </w:p>
        </w:tc>
        <w:tc>
          <w:tcPr>
            <w:tcW w:w="1032" w:type="dxa"/>
          </w:tcPr>
          <w:p>
            <w:pPr>
              <w:pStyle w:val="TableParagraph"/>
              <w:spacing w:line="153" w:lineRule="exact" w:before="3"/>
              <w:ind w:left="162"/>
              <w:rPr>
                <w:sz w:val="13"/>
              </w:rPr>
            </w:pPr>
            <w:r>
              <w:rPr>
                <w:w w:val="105"/>
                <w:sz w:val="13"/>
              </w:rPr>
              <w:t>79.839.715,23</w:t>
            </w:r>
          </w:p>
        </w:tc>
        <w:tc>
          <w:tcPr>
            <w:tcW w:w="1134" w:type="dxa"/>
            <w:tcBorders>
              <w:right w:val="single" w:sz="4" w:space="0" w:color="000000"/>
            </w:tcBorders>
          </w:tcPr>
          <w:p>
            <w:pPr>
              <w:pStyle w:val="TableParagraph"/>
              <w:spacing w:line="153" w:lineRule="exact" w:before="3"/>
              <w:ind w:left="67" w:right="54"/>
              <w:jc w:val="center"/>
              <w:rPr>
                <w:sz w:val="13"/>
              </w:rPr>
            </w:pPr>
            <w:r>
              <w:rPr>
                <w:w w:val="105"/>
                <w:sz w:val="13"/>
              </w:rPr>
              <w:t>1.166.187.725,16</w:t>
            </w:r>
          </w:p>
        </w:tc>
      </w:tr>
      <w:tr>
        <w:trPr>
          <w:trHeight w:val="151" w:hRule="atLeast"/>
        </w:trPr>
        <w:tc>
          <w:tcPr>
            <w:tcW w:w="590" w:type="dxa"/>
            <w:tcBorders>
              <w:left w:val="single" w:sz="4" w:space="0" w:color="000000"/>
              <w:bottom w:val="single" w:sz="4" w:space="0" w:color="000000"/>
            </w:tcBorders>
          </w:tcPr>
          <w:p>
            <w:pPr>
              <w:pStyle w:val="TableParagraph"/>
              <w:spacing w:line="132" w:lineRule="exact"/>
              <w:ind w:left="158" w:right="109"/>
              <w:jc w:val="center"/>
              <w:rPr>
                <w:sz w:val="13"/>
              </w:rPr>
            </w:pPr>
            <w:r>
              <w:rPr>
                <w:w w:val="105"/>
                <w:sz w:val="13"/>
              </w:rPr>
              <w:t>2021</w:t>
            </w:r>
          </w:p>
        </w:tc>
        <w:tc>
          <w:tcPr>
            <w:tcW w:w="1077" w:type="dxa"/>
            <w:tcBorders>
              <w:bottom w:val="single" w:sz="4" w:space="0" w:color="000000"/>
            </w:tcBorders>
          </w:tcPr>
          <w:p>
            <w:pPr>
              <w:pStyle w:val="TableParagraph"/>
              <w:spacing w:line="132" w:lineRule="exact"/>
              <w:ind w:left="152" w:right="30"/>
              <w:jc w:val="center"/>
              <w:rPr>
                <w:sz w:val="13"/>
              </w:rPr>
            </w:pPr>
            <w:r>
              <w:rPr>
                <w:w w:val="105"/>
                <w:sz w:val="13"/>
              </w:rPr>
              <w:t>24.433.134,74</w:t>
            </w:r>
          </w:p>
        </w:tc>
        <w:tc>
          <w:tcPr>
            <w:tcW w:w="1135" w:type="dxa"/>
            <w:tcBorders>
              <w:bottom w:val="single" w:sz="4" w:space="0" w:color="000000"/>
            </w:tcBorders>
          </w:tcPr>
          <w:p>
            <w:pPr>
              <w:pStyle w:val="TableParagraph"/>
              <w:spacing w:line="132" w:lineRule="exact"/>
              <w:ind w:left="68" w:right="59"/>
              <w:jc w:val="center"/>
              <w:rPr>
                <w:sz w:val="13"/>
              </w:rPr>
            </w:pPr>
            <w:r>
              <w:rPr>
                <w:w w:val="105"/>
                <w:sz w:val="13"/>
              </w:rPr>
              <w:t>1.880.184.391,12</w:t>
            </w:r>
          </w:p>
        </w:tc>
        <w:tc>
          <w:tcPr>
            <w:tcW w:w="1032" w:type="dxa"/>
            <w:tcBorders>
              <w:bottom w:val="single" w:sz="4" w:space="0" w:color="000000"/>
            </w:tcBorders>
          </w:tcPr>
          <w:p>
            <w:pPr>
              <w:pStyle w:val="TableParagraph"/>
              <w:spacing w:line="132" w:lineRule="exact"/>
              <w:ind w:left="137" w:right="60"/>
              <w:jc w:val="center"/>
              <w:rPr>
                <w:sz w:val="13"/>
              </w:rPr>
            </w:pPr>
            <w:r>
              <w:rPr>
                <w:w w:val="105"/>
                <w:sz w:val="13"/>
              </w:rPr>
              <w:t>14.355.049,77</w:t>
            </w:r>
          </w:p>
        </w:tc>
        <w:tc>
          <w:tcPr>
            <w:tcW w:w="1135" w:type="dxa"/>
            <w:tcBorders>
              <w:bottom w:val="single" w:sz="4" w:space="0" w:color="000000"/>
            </w:tcBorders>
          </w:tcPr>
          <w:p>
            <w:pPr>
              <w:pStyle w:val="TableParagraph"/>
              <w:spacing w:line="132" w:lineRule="exact"/>
              <w:ind w:right="84"/>
              <w:jc w:val="right"/>
              <w:rPr>
                <w:sz w:val="13"/>
              </w:rPr>
            </w:pPr>
            <w:r>
              <w:rPr>
                <w:w w:val="105"/>
                <w:sz w:val="13"/>
              </w:rPr>
              <w:t>2.353.908.563,01</w:t>
            </w:r>
          </w:p>
        </w:tc>
        <w:tc>
          <w:tcPr>
            <w:tcW w:w="1032" w:type="dxa"/>
            <w:tcBorders>
              <w:bottom w:val="single" w:sz="4" w:space="0" w:color="000000"/>
            </w:tcBorders>
          </w:tcPr>
          <w:p>
            <w:pPr>
              <w:pStyle w:val="TableParagraph"/>
              <w:spacing w:line="132" w:lineRule="exact"/>
              <w:ind w:left="94"/>
              <w:rPr>
                <w:sz w:val="13"/>
              </w:rPr>
            </w:pPr>
            <w:r>
              <w:rPr>
                <w:w w:val="105"/>
                <w:sz w:val="13"/>
              </w:rPr>
              <w:t>191.161.376,92</w:t>
            </w:r>
          </w:p>
        </w:tc>
        <w:tc>
          <w:tcPr>
            <w:tcW w:w="1134" w:type="dxa"/>
            <w:tcBorders>
              <w:bottom w:val="single" w:sz="4" w:space="0" w:color="000000"/>
              <w:right w:val="single" w:sz="4" w:space="0" w:color="000000"/>
            </w:tcBorders>
          </w:tcPr>
          <w:p>
            <w:pPr>
              <w:pStyle w:val="TableParagraph"/>
              <w:spacing w:line="132" w:lineRule="exact"/>
              <w:ind w:left="67" w:right="54"/>
              <w:jc w:val="center"/>
              <w:rPr>
                <w:sz w:val="13"/>
              </w:rPr>
            </w:pPr>
            <w:r>
              <w:rPr>
                <w:w w:val="105"/>
                <w:sz w:val="13"/>
              </w:rPr>
              <w:t>4.081.719.761,72</w:t>
            </w:r>
          </w:p>
        </w:tc>
      </w:tr>
    </w:tbl>
    <w:p>
      <w:pPr>
        <w:pStyle w:val="BodyText"/>
        <w:spacing w:before="7"/>
        <w:rPr>
          <w:sz w:val="16"/>
        </w:rPr>
      </w:pPr>
    </w:p>
    <w:p>
      <w:pPr>
        <w:pStyle w:val="BodyText"/>
        <w:ind w:left="2096" w:right="1137" w:firstLine="594"/>
        <w:jc w:val="both"/>
      </w:pPr>
      <w:r>
        <w:rPr/>
        <w:t>Se observa una notable disminución de los importes de todas las modificaciones salvo</w:t>
      </w:r>
      <w:r>
        <w:rPr>
          <w:spacing w:val="-4"/>
        </w:rPr>
        <w:t> </w:t>
      </w:r>
      <w:r>
        <w:rPr/>
        <w:t>en</w:t>
      </w:r>
      <w:r>
        <w:rPr>
          <w:spacing w:val="-4"/>
        </w:rPr>
        <w:t> </w:t>
      </w:r>
      <w:r>
        <w:rPr/>
        <w:t>el</w:t>
      </w:r>
      <w:r>
        <w:rPr>
          <w:spacing w:val="-4"/>
        </w:rPr>
        <w:t> </w:t>
      </w:r>
      <w:r>
        <w:rPr/>
        <w:t>caso</w:t>
      </w:r>
      <w:r>
        <w:rPr>
          <w:spacing w:val="-5"/>
        </w:rPr>
        <w:t> </w:t>
      </w:r>
      <w:r>
        <w:rPr/>
        <w:t>de</w:t>
      </w:r>
      <w:r>
        <w:rPr>
          <w:spacing w:val="-6"/>
        </w:rPr>
        <w:t> </w:t>
      </w:r>
      <w:r>
        <w:rPr/>
        <w:t>las</w:t>
      </w:r>
      <w:r>
        <w:rPr>
          <w:spacing w:val="-3"/>
        </w:rPr>
        <w:t> </w:t>
      </w:r>
      <w:r>
        <w:rPr/>
        <w:t>incorporaciones</w:t>
      </w:r>
      <w:r>
        <w:rPr>
          <w:spacing w:val="-6"/>
        </w:rPr>
        <w:t> </w:t>
      </w:r>
      <w:r>
        <w:rPr/>
        <w:t>de</w:t>
      </w:r>
      <w:r>
        <w:rPr>
          <w:spacing w:val="-3"/>
        </w:rPr>
        <w:t> </w:t>
      </w:r>
      <w:r>
        <w:rPr/>
        <w:t>crédito</w:t>
      </w:r>
      <w:r>
        <w:rPr>
          <w:spacing w:val="-5"/>
        </w:rPr>
        <w:t> </w:t>
      </w:r>
      <w:r>
        <w:rPr/>
        <w:t>y</w:t>
      </w:r>
      <w:r>
        <w:rPr>
          <w:spacing w:val="-5"/>
        </w:rPr>
        <w:t> </w:t>
      </w:r>
      <w:r>
        <w:rPr/>
        <w:t>de</w:t>
      </w:r>
      <w:r>
        <w:rPr>
          <w:spacing w:val="-3"/>
        </w:rPr>
        <w:t> </w:t>
      </w:r>
      <w:r>
        <w:rPr/>
        <w:t>las</w:t>
      </w:r>
      <w:r>
        <w:rPr>
          <w:spacing w:val="-6"/>
        </w:rPr>
        <w:t> </w:t>
      </w:r>
      <w:r>
        <w:rPr/>
        <w:t>bajas,</w:t>
      </w:r>
      <w:r>
        <w:rPr>
          <w:spacing w:val="-5"/>
        </w:rPr>
        <w:t> </w:t>
      </w:r>
      <w:r>
        <w:rPr/>
        <w:t>representando</w:t>
      </w:r>
      <w:r>
        <w:rPr>
          <w:spacing w:val="-6"/>
        </w:rPr>
        <w:t> </w:t>
      </w:r>
      <w:r>
        <w:rPr/>
        <w:t>un</w:t>
      </w:r>
      <w:r>
        <w:rPr>
          <w:spacing w:val="-4"/>
        </w:rPr>
        <w:t> </w:t>
      </w:r>
      <w:r>
        <w:rPr/>
        <w:t>71,43</w:t>
      </w:r>
    </w:p>
    <w:p>
      <w:pPr>
        <w:pStyle w:val="BodyText"/>
        <w:spacing w:before="3"/>
        <w:ind w:left="2096"/>
      </w:pPr>
      <w:r>
        <w:rPr/>
        <w:t>% de minoración del año 22 respecto del 21.</w:t>
      </w:r>
    </w:p>
    <w:p>
      <w:pPr>
        <w:pStyle w:val="BodyText"/>
        <w:spacing w:before="8"/>
        <w:rPr>
          <w:sz w:val="16"/>
        </w:rPr>
      </w:pPr>
    </w:p>
    <w:p>
      <w:pPr>
        <w:pStyle w:val="Heading1"/>
        <w:numPr>
          <w:ilvl w:val="2"/>
          <w:numId w:val="10"/>
        </w:numPr>
        <w:tabs>
          <w:tab w:pos="2691" w:val="left" w:leader="none"/>
        </w:tabs>
        <w:spacing w:line="240" w:lineRule="auto" w:before="1" w:after="0"/>
        <w:ind w:left="2690" w:right="0" w:hanging="605"/>
        <w:jc w:val="left"/>
      </w:pPr>
      <w:r>
        <w:rPr>
          <w:color w:val="53A1B9"/>
        </w:rPr>
        <w:t>Liquidación del presupuesto de</w:t>
      </w:r>
      <w:r>
        <w:rPr>
          <w:color w:val="53A1B9"/>
          <w:spacing w:val="2"/>
        </w:rPr>
        <w:t> </w:t>
      </w:r>
      <w:r>
        <w:rPr>
          <w:color w:val="53A1B9"/>
        </w:rPr>
        <w:t>ingresos.</w:t>
      </w:r>
    </w:p>
    <w:p>
      <w:pPr>
        <w:pStyle w:val="BodyText"/>
        <w:spacing w:before="7"/>
        <w:rPr>
          <w:b/>
          <w:sz w:val="16"/>
        </w:rPr>
      </w:pPr>
    </w:p>
    <w:p>
      <w:pPr>
        <w:pStyle w:val="BodyText"/>
        <w:spacing w:before="1"/>
        <w:ind w:left="2096" w:right="1138" w:firstLine="604"/>
        <w:jc w:val="both"/>
      </w:pPr>
      <w:r>
        <w:rPr/>
        <w:t>A continuación, se presentan unos cuadros y gráficos que muestran la evolución temporal de los derechos reconocidos y la recaudación, agregados por capítulos de ingresos.</w:t>
      </w:r>
    </w:p>
    <w:p>
      <w:pPr>
        <w:pStyle w:val="BodyText"/>
        <w:rPr>
          <w:sz w:val="17"/>
        </w:rPr>
      </w:pPr>
    </w:p>
    <w:p>
      <w:pPr>
        <w:pStyle w:val="Heading1"/>
        <w:spacing w:before="1"/>
        <w:ind w:left="2837"/>
        <w:jc w:val="left"/>
      </w:pPr>
      <w:r>
        <w:rPr/>
        <w:t>Evolución de los ingresos de la APCAC (derechos reconocidos netos)</w:t>
      </w:r>
    </w:p>
    <w:p>
      <w:pPr>
        <w:pStyle w:val="BodyText"/>
        <w:spacing w:before="6" w:after="1"/>
        <w:rPr>
          <w:b/>
          <w:sz w:val="16"/>
        </w:rPr>
      </w:pPr>
    </w:p>
    <w:tbl>
      <w:tblPr>
        <w:tblW w:w="0" w:type="auto"/>
        <w:jc w:val="left"/>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9"/>
        <w:gridCol w:w="1095"/>
        <w:gridCol w:w="1129"/>
        <w:gridCol w:w="1149"/>
        <w:gridCol w:w="985"/>
        <w:gridCol w:w="977"/>
      </w:tblGrid>
      <w:tr>
        <w:trPr>
          <w:trHeight w:val="374" w:hRule="atLeast"/>
        </w:trPr>
        <w:tc>
          <w:tcPr>
            <w:tcW w:w="1889" w:type="dxa"/>
            <w:tcBorders>
              <w:bottom w:val="single" w:sz="4" w:space="0" w:color="000000"/>
            </w:tcBorders>
          </w:tcPr>
          <w:p>
            <w:pPr>
              <w:pStyle w:val="TableParagraph"/>
              <w:rPr>
                <w:rFonts w:ascii="Times New Roman"/>
                <w:sz w:val="14"/>
              </w:rPr>
            </w:pPr>
          </w:p>
        </w:tc>
        <w:tc>
          <w:tcPr>
            <w:tcW w:w="1095" w:type="dxa"/>
            <w:tcBorders>
              <w:top w:val="single" w:sz="4" w:space="0" w:color="000000"/>
            </w:tcBorders>
            <w:shd w:val="clear" w:color="auto" w:fill="DEEAF6"/>
          </w:tcPr>
          <w:p>
            <w:pPr>
              <w:pStyle w:val="TableParagraph"/>
              <w:spacing w:before="109"/>
              <w:ind w:left="384" w:right="393"/>
              <w:jc w:val="center"/>
              <w:rPr>
                <w:b/>
                <w:sz w:val="13"/>
              </w:rPr>
            </w:pPr>
            <w:r>
              <w:rPr>
                <w:b/>
                <w:w w:val="105"/>
                <w:sz w:val="13"/>
              </w:rPr>
              <w:t>2019</w:t>
            </w:r>
          </w:p>
        </w:tc>
        <w:tc>
          <w:tcPr>
            <w:tcW w:w="1129" w:type="dxa"/>
            <w:tcBorders>
              <w:top w:val="single" w:sz="4" w:space="0" w:color="000000"/>
            </w:tcBorders>
            <w:shd w:val="clear" w:color="auto" w:fill="DEEAF6"/>
          </w:tcPr>
          <w:p>
            <w:pPr>
              <w:pStyle w:val="TableParagraph"/>
              <w:spacing w:before="109"/>
              <w:ind w:left="46" w:right="54"/>
              <w:jc w:val="center"/>
              <w:rPr>
                <w:b/>
                <w:sz w:val="13"/>
              </w:rPr>
            </w:pPr>
            <w:r>
              <w:rPr>
                <w:b/>
                <w:w w:val="105"/>
                <w:sz w:val="13"/>
              </w:rPr>
              <w:t>2020</w:t>
            </w:r>
          </w:p>
        </w:tc>
        <w:tc>
          <w:tcPr>
            <w:tcW w:w="1149" w:type="dxa"/>
            <w:tcBorders>
              <w:top w:val="single" w:sz="4" w:space="0" w:color="000000"/>
            </w:tcBorders>
            <w:shd w:val="clear" w:color="auto" w:fill="DEEAF6"/>
          </w:tcPr>
          <w:p>
            <w:pPr>
              <w:pStyle w:val="TableParagraph"/>
              <w:spacing w:before="109"/>
              <w:ind w:left="39" w:right="39"/>
              <w:jc w:val="center"/>
              <w:rPr>
                <w:b/>
                <w:sz w:val="13"/>
              </w:rPr>
            </w:pPr>
            <w:r>
              <w:rPr>
                <w:b/>
                <w:w w:val="105"/>
                <w:sz w:val="13"/>
              </w:rPr>
              <w:t>2021</w:t>
            </w:r>
          </w:p>
        </w:tc>
        <w:tc>
          <w:tcPr>
            <w:tcW w:w="985" w:type="dxa"/>
            <w:tcBorders>
              <w:top w:val="single" w:sz="4" w:space="0" w:color="000000"/>
            </w:tcBorders>
            <w:shd w:val="clear" w:color="auto" w:fill="DEEAF6"/>
          </w:tcPr>
          <w:p>
            <w:pPr>
              <w:pStyle w:val="TableParagraph"/>
              <w:spacing w:before="109"/>
              <w:ind w:left="441"/>
              <w:rPr>
                <w:b/>
                <w:sz w:val="13"/>
              </w:rPr>
            </w:pPr>
            <w:r>
              <w:rPr>
                <w:b/>
                <w:w w:val="105"/>
                <w:sz w:val="13"/>
              </w:rPr>
              <w:t>2022</w:t>
            </w:r>
          </w:p>
        </w:tc>
        <w:tc>
          <w:tcPr>
            <w:tcW w:w="977" w:type="dxa"/>
            <w:tcBorders>
              <w:top w:val="single" w:sz="4" w:space="0" w:color="000000"/>
            </w:tcBorders>
            <w:shd w:val="clear" w:color="auto" w:fill="DEEAF6"/>
          </w:tcPr>
          <w:p>
            <w:pPr>
              <w:pStyle w:val="TableParagraph"/>
              <w:spacing w:line="160" w:lineRule="atLeast" w:before="25"/>
              <w:ind w:left="272" w:firstLine="36"/>
              <w:rPr>
                <w:b/>
                <w:sz w:val="13"/>
              </w:rPr>
            </w:pPr>
            <w:r>
              <w:rPr>
                <w:b/>
                <w:w w:val="105"/>
                <w:sz w:val="13"/>
              </w:rPr>
              <w:t>Variación </w:t>
            </w:r>
            <w:r>
              <w:rPr>
                <w:b/>
                <w:sz w:val="13"/>
              </w:rPr>
              <w:t>2019/2022</w:t>
            </w:r>
          </w:p>
        </w:tc>
      </w:tr>
    </w:tbl>
    <w:p>
      <w:pPr>
        <w:pStyle w:val="BodyText"/>
        <w:spacing w:before="8" w:after="1"/>
        <w:rPr>
          <w:b/>
          <w:sz w:val="5"/>
        </w:rPr>
      </w:pPr>
    </w:p>
    <w:tbl>
      <w:tblPr>
        <w:tblW w:w="0" w:type="auto"/>
        <w:jc w:val="left"/>
        <w:tblInd w:w="1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1"/>
        <w:gridCol w:w="1214"/>
        <w:gridCol w:w="1145"/>
        <w:gridCol w:w="1150"/>
        <w:gridCol w:w="1224"/>
        <w:gridCol w:w="689"/>
      </w:tblGrid>
      <w:tr>
        <w:trPr>
          <w:trHeight w:val="193" w:hRule="atLeast"/>
        </w:trPr>
        <w:tc>
          <w:tcPr>
            <w:tcW w:w="1781" w:type="dxa"/>
          </w:tcPr>
          <w:p>
            <w:pPr>
              <w:pStyle w:val="TableParagraph"/>
              <w:spacing w:line="136" w:lineRule="exact"/>
              <w:ind w:left="50"/>
              <w:rPr>
                <w:sz w:val="13"/>
              </w:rPr>
            </w:pPr>
            <w:r>
              <w:rPr>
                <w:w w:val="105"/>
                <w:sz w:val="13"/>
              </w:rPr>
              <w:t>I. Impuestos Directos</w:t>
            </w:r>
          </w:p>
        </w:tc>
        <w:tc>
          <w:tcPr>
            <w:tcW w:w="1214" w:type="dxa"/>
          </w:tcPr>
          <w:p>
            <w:pPr>
              <w:pStyle w:val="TableParagraph"/>
              <w:spacing w:line="136" w:lineRule="exact"/>
              <w:ind w:right="93"/>
              <w:jc w:val="right"/>
              <w:rPr>
                <w:sz w:val="13"/>
              </w:rPr>
            </w:pPr>
            <w:r>
              <w:rPr>
                <w:w w:val="105"/>
                <w:sz w:val="13"/>
              </w:rPr>
              <w:t>1.576.472.850,00</w:t>
            </w:r>
          </w:p>
        </w:tc>
        <w:tc>
          <w:tcPr>
            <w:tcW w:w="1145" w:type="dxa"/>
          </w:tcPr>
          <w:p>
            <w:pPr>
              <w:pStyle w:val="TableParagraph"/>
              <w:spacing w:line="136" w:lineRule="exact"/>
              <w:ind w:right="91"/>
              <w:jc w:val="right"/>
              <w:rPr>
                <w:sz w:val="13"/>
              </w:rPr>
            </w:pPr>
            <w:r>
              <w:rPr>
                <w:w w:val="105"/>
                <w:sz w:val="13"/>
              </w:rPr>
              <w:t>1.745.097.523,78</w:t>
            </w:r>
          </w:p>
        </w:tc>
        <w:tc>
          <w:tcPr>
            <w:tcW w:w="1150" w:type="dxa"/>
          </w:tcPr>
          <w:p>
            <w:pPr>
              <w:pStyle w:val="TableParagraph"/>
              <w:spacing w:line="136" w:lineRule="exact"/>
              <w:ind w:right="97"/>
              <w:jc w:val="right"/>
              <w:rPr>
                <w:sz w:val="13"/>
              </w:rPr>
            </w:pPr>
            <w:r>
              <w:rPr>
                <w:w w:val="105"/>
                <w:sz w:val="13"/>
              </w:rPr>
              <w:t>1.712.607.823,69</w:t>
            </w:r>
          </w:p>
        </w:tc>
        <w:tc>
          <w:tcPr>
            <w:tcW w:w="1224" w:type="dxa"/>
          </w:tcPr>
          <w:p>
            <w:pPr>
              <w:pStyle w:val="TableParagraph"/>
              <w:spacing w:line="136" w:lineRule="exact"/>
              <w:ind w:right="163"/>
              <w:jc w:val="right"/>
              <w:rPr>
                <w:sz w:val="13"/>
              </w:rPr>
            </w:pPr>
            <w:r>
              <w:rPr>
                <w:w w:val="105"/>
                <w:sz w:val="13"/>
              </w:rPr>
              <w:t>1.644.185.847,81</w:t>
            </w:r>
          </w:p>
        </w:tc>
        <w:tc>
          <w:tcPr>
            <w:tcW w:w="689" w:type="dxa"/>
          </w:tcPr>
          <w:p>
            <w:pPr>
              <w:pStyle w:val="TableParagraph"/>
              <w:spacing w:line="136" w:lineRule="exact"/>
              <w:ind w:right="44"/>
              <w:jc w:val="right"/>
              <w:rPr>
                <w:sz w:val="13"/>
              </w:rPr>
            </w:pPr>
            <w:r>
              <w:rPr>
                <w:sz w:val="13"/>
              </w:rPr>
              <w:t>4,30%</w:t>
            </w:r>
          </w:p>
        </w:tc>
      </w:tr>
      <w:tr>
        <w:trPr>
          <w:trHeight w:val="252" w:hRule="atLeast"/>
        </w:trPr>
        <w:tc>
          <w:tcPr>
            <w:tcW w:w="1781" w:type="dxa"/>
          </w:tcPr>
          <w:p>
            <w:pPr>
              <w:pStyle w:val="TableParagraph"/>
              <w:spacing w:before="36"/>
              <w:ind w:left="50"/>
              <w:rPr>
                <w:sz w:val="13"/>
              </w:rPr>
            </w:pPr>
            <w:r>
              <w:rPr>
                <w:w w:val="105"/>
                <w:sz w:val="13"/>
              </w:rPr>
              <w:t>II. Impuestos Indirectos</w:t>
            </w:r>
          </w:p>
        </w:tc>
        <w:tc>
          <w:tcPr>
            <w:tcW w:w="1214" w:type="dxa"/>
          </w:tcPr>
          <w:p>
            <w:pPr>
              <w:pStyle w:val="TableParagraph"/>
              <w:spacing w:before="36"/>
              <w:ind w:right="93"/>
              <w:jc w:val="right"/>
              <w:rPr>
                <w:sz w:val="13"/>
              </w:rPr>
            </w:pPr>
            <w:r>
              <w:rPr>
                <w:w w:val="105"/>
                <w:sz w:val="13"/>
              </w:rPr>
              <w:t>1.646.649.020,00</w:t>
            </w:r>
          </w:p>
        </w:tc>
        <w:tc>
          <w:tcPr>
            <w:tcW w:w="1145" w:type="dxa"/>
          </w:tcPr>
          <w:p>
            <w:pPr>
              <w:pStyle w:val="TableParagraph"/>
              <w:spacing w:before="36"/>
              <w:ind w:right="91"/>
              <w:jc w:val="right"/>
              <w:rPr>
                <w:sz w:val="13"/>
              </w:rPr>
            </w:pPr>
            <w:r>
              <w:rPr>
                <w:w w:val="105"/>
                <w:sz w:val="13"/>
              </w:rPr>
              <w:t>1.195.355.542,84</w:t>
            </w:r>
          </w:p>
        </w:tc>
        <w:tc>
          <w:tcPr>
            <w:tcW w:w="1150" w:type="dxa"/>
          </w:tcPr>
          <w:p>
            <w:pPr>
              <w:pStyle w:val="TableParagraph"/>
              <w:spacing w:before="36"/>
              <w:ind w:right="97"/>
              <w:jc w:val="right"/>
              <w:rPr>
                <w:sz w:val="13"/>
              </w:rPr>
            </w:pPr>
            <w:r>
              <w:rPr>
                <w:w w:val="105"/>
                <w:sz w:val="13"/>
              </w:rPr>
              <w:t>1.498.301.110,45</w:t>
            </w:r>
          </w:p>
        </w:tc>
        <w:tc>
          <w:tcPr>
            <w:tcW w:w="1224" w:type="dxa"/>
          </w:tcPr>
          <w:p>
            <w:pPr>
              <w:pStyle w:val="TableParagraph"/>
              <w:spacing w:before="36"/>
              <w:ind w:right="163"/>
              <w:jc w:val="right"/>
              <w:rPr>
                <w:sz w:val="13"/>
              </w:rPr>
            </w:pPr>
            <w:r>
              <w:rPr>
                <w:w w:val="105"/>
                <w:sz w:val="13"/>
              </w:rPr>
              <w:t>1.687.840.200,68</w:t>
            </w:r>
          </w:p>
        </w:tc>
        <w:tc>
          <w:tcPr>
            <w:tcW w:w="689" w:type="dxa"/>
          </w:tcPr>
          <w:p>
            <w:pPr>
              <w:pStyle w:val="TableParagraph"/>
              <w:spacing w:before="36"/>
              <w:ind w:right="44"/>
              <w:jc w:val="right"/>
              <w:rPr>
                <w:sz w:val="13"/>
              </w:rPr>
            </w:pPr>
            <w:r>
              <w:rPr>
                <w:sz w:val="13"/>
              </w:rPr>
              <w:t>2,50%</w:t>
            </w:r>
          </w:p>
        </w:tc>
      </w:tr>
      <w:tr>
        <w:trPr>
          <w:trHeight w:val="252" w:hRule="atLeast"/>
        </w:trPr>
        <w:tc>
          <w:tcPr>
            <w:tcW w:w="1781" w:type="dxa"/>
          </w:tcPr>
          <w:p>
            <w:pPr>
              <w:pStyle w:val="TableParagraph"/>
              <w:spacing w:before="36"/>
              <w:ind w:left="50"/>
              <w:rPr>
                <w:sz w:val="13"/>
              </w:rPr>
            </w:pPr>
            <w:r>
              <w:rPr>
                <w:w w:val="105"/>
                <w:sz w:val="13"/>
              </w:rPr>
              <w:t>III. Tasas Y Otros Ingresos</w:t>
            </w:r>
          </w:p>
        </w:tc>
        <w:tc>
          <w:tcPr>
            <w:tcW w:w="1214" w:type="dxa"/>
          </w:tcPr>
          <w:p>
            <w:pPr>
              <w:pStyle w:val="TableParagraph"/>
              <w:spacing w:before="36"/>
              <w:ind w:right="93"/>
              <w:jc w:val="right"/>
              <w:rPr>
                <w:sz w:val="13"/>
              </w:rPr>
            </w:pPr>
            <w:r>
              <w:rPr>
                <w:w w:val="105"/>
                <w:sz w:val="13"/>
              </w:rPr>
              <w:t>91.810.316,00</w:t>
            </w:r>
          </w:p>
        </w:tc>
        <w:tc>
          <w:tcPr>
            <w:tcW w:w="1145" w:type="dxa"/>
          </w:tcPr>
          <w:p>
            <w:pPr>
              <w:pStyle w:val="TableParagraph"/>
              <w:spacing w:before="36"/>
              <w:ind w:right="91"/>
              <w:jc w:val="right"/>
              <w:rPr>
                <w:sz w:val="13"/>
              </w:rPr>
            </w:pPr>
            <w:r>
              <w:rPr>
                <w:w w:val="105"/>
                <w:sz w:val="13"/>
              </w:rPr>
              <w:t>99.206.644,67</w:t>
            </w:r>
          </w:p>
        </w:tc>
        <w:tc>
          <w:tcPr>
            <w:tcW w:w="1150" w:type="dxa"/>
          </w:tcPr>
          <w:p>
            <w:pPr>
              <w:pStyle w:val="TableParagraph"/>
              <w:spacing w:before="36"/>
              <w:ind w:right="96"/>
              <w:jc w:val="right"/>
              <w:rPr>
                <w:sz w:val="13"/>
              </w:rPr>
            </w:pPr>
            <w:r>
              <w:rPr>
                <w:w w:val="105"/>
                <w:sz w:val="13"/>
              </w:rPr>
              <w:t>93.769.447,59</w:t>
            </w:r>
          </w:p>
        </w:tc>
        <w:tc>
          <w:tcPr>
            <w:tcW w:w="1224" w:type="dxa"/>
          </w:tcPr>
          <w:p>
            <w:pPr>
              <w:pStyle w:val="TableParagraph"/>
              <w:spacing w:before="36"/>
              <w:ind w:right="164"/>
              <w:jc w:val="right"/>
              <w:rPr>
                <w:sz w:val="13"/>
              </w:rPr>
            </w:pPr>
            <w:r>
              <w:rPr>
                <w:sz w:val="13"/>
              </w:rPr>
              <w:t>204.700.640,85</w:t>
            </w:r>
          </w:p>
        </w:tc>
        <w:tc>
          <w:tcPr>
            <w:tcW w:w="689" w:type="dxa"/>
          </w:tcPr>
          <w:p>
            <w:pPr>
              <w:pStyle w:val="TableParagraph"/>
              <w:spacing w:before="36"/>
              <w:ind w:right="45"/>
              <w:jc w:val="right"/>
              <w:rPr>
                <w:sz w:val="13"/>
              </w:rPr>
            </w:pPr>
            <w:r>
              <w:rPr>
                <w:sz w:val="13"/>
              </w:rPr>
              <w:t>122,96%</w:t>
            </w:r>
          </w:p>
        </w:tc>
      </w:tr>
      <w:tr>
        <w:trPr>
          <w:trHeight w:val="251" w:hRule="atLeast"/>
        </w:trPr>
        <w:tc>
          <w:tcPr>
            <w:tcW w:w="1781" w:type="dxa"/>
          </w:tcPr>
          <w:p>
            <w:pPr>
              <w:pStyle w:val="TableParagraph"/>
              <w:spacing w:before="36"/>
              <w:ind w:left="50"/>
              <w:rPr>
                <w:sz w:val="13"/>
              </w:rPr>
            </w:pPr>
            <w:r>
              <w:rPr>
                <w:w w:val="105"/>
                <w:sz w:val="13"/>
              </w:rPr>
              <w:t>IV. Transferencias Corrientes</w:t>
            </w:r>
          </w:p>
        </w:tc>
        <w:tc>
          <w:tcPr>
            <w:tcW w:w="1214" w:type="dxa"/>
          </w:tcPr>
          <w:p>
            <w:pPr>
              <w:pStyle w:val="TableParagraph"/>
              <w:spacing w:before="36"/>
              <w:ind w:right="93"/>
              <w:jc w:val="right"/>
              <w:rPr>
                <w:sz w:val="13"/>
              </w:rPr>
            </w:pPr>
            <w:r>
              <w:rPr>
                <w:w w:val="105"/>
                <w:sz w:val="13"/>
              </w:rPr>
              <w:t>3.819.137.563,00</w:t>
            </w:r>
          </w:p>
        </w:tc>
        <w:tc>
          <w:tcPr>
            <w:tcW w:w="1145" w:type="dxa"/>
          </w:tcPr>
          <w:p>
            <w:pPr>
              <w:pStyle w:val="TableParagraph"/>
              <w:spacing w:before="36"/>
              <w:ind w:right="91"/>
              <w:jc w:val="right"/>
              <w:rPr>
                <w:sz w:val="13"/>
              </w:rPr>
            </w:pPr>
            <w:r>
              <w:rPr>
                <w:w w:val="105"/>
                <w:sz w:val="13"/>
              </w:rPr>
              <w:t>4.737.179.918,10</w:t>
            </w:r>
          </w:p>
        </w:tc>
        <w:tc>
          <w:tcPr>
            <w:tcW w:w="1150" w:type="dxa"/>
          </w:tcPr>
          <w:p>
            <w:pPr>
              <w:pStyle w:val="TableParagraph"/>
              <w:spacing w:before="36"/>
              <w:ind w:right="97"/>
              <w:jc w:val="right"/>
              <w:rPr>
                <w:sz w:val="13"/>
              </w:rPr>
            </w:pPr>
            <w:r>
              <w:rPr>
                <w:w w:val="105"/>
                <w:sz w:val="13"/>
              </w:rPr>
              <w:t>6.078.633.210,95</w:t>
            </w:r>
          </w:p>
        </w:tc>
        <w:tc>
          <w:tcPr>
            <w:tcW w:w="1224" w:type="dxa"/>
          </w:tcPr>
          <w:p>
            <w:pPr>
              <w:pStyle w:val="TableParagraph"/>
              <w:spacing w:before="36"/>
              <w:ind w:right="163"/>
              <w:jc w:val="right"/>
              <w:rPr>
                <w:sz w:val="13"/>
              </w:rPr>
            </w:pPr>
            <w:r>
              <w:rPr>
                <w:w w:val="105"/>
                <w:sz w:val="13"/>
              </w:rPr>
              <w:t>4.446.758.911,68</w:t>
            </w:r>
          </w:p>
        </w:tc>
        <w:tc>
          <w:tcPr>
            <w:tcW w:w="689" w:type="dxa"/>
          </w:tcPr>
          <w:p>
            <w:pPr>
              <w:pStyle w:val="TableParagraph"/>
              <w:spacing w:before="36"/>
              <w:ind w:right="44"/>
              <w:jc w:val="right"/>
              <w:rPr>
                <w:sz w:val="13"/>
              </w:rPr>
            </w:pPr>
            <w:r>
              <w:rPr>
                <w:sz w:val="13"/>
              </w:rPr>
              <w:t>16,43%</w:t>
            </w:r>
          </w:p>
        </w:tc>
      </w:tr>
      <w:tr>
        <w:trPr>
          <w:trHeight w:val="193" w:hRule="atLeast"/>
        </w:trPr>
        <w:tc>
          <w:tcPr>
            <w:tcW w:w="1781" w:type="dxa"/>
          </w:tcPr>
          <w:p>
            <w:pPr>
              <w:pStyle w:val="TableParagraph"/>
              <w:spacing w:line="138" w:lineRule="exact" w:before="36"/>
              <w:ind w:left="50"/>
              <w:rPr>
                <w:sz w:val="13"/>
              </w:rPr>
            </w:pPr>
            <w:r>
              <w:rPr>
                <w:w w:val="105"/>
                <w:sz w:val="13"/>
              </w:rPr>
              <w:t>V. Ingresos Patrimoniales</w:t>
            </w:r>
          </w:p>
        </w:tc>
        <w:tc>
          <w:tcPr>
            <w:tcW w:w="1214" w:type="dxa"/>
          </w:tcPr>
          <w:p>
            <w:pPr>
              <w:pStyle w:val="TableParagraph"/>
              <w:spacing w:line="138" w:lineRule="exact" w:before="36"/>
              <w:ind w:right="93"/>
              <w:jc w:val="right"/>
              <w:rPr>
                <w:sz w:val="13"/>
              </w:rPr>
            </w:pPr>
            <w:r>
              <w:rPr>
                <w:w w:val="105"/>
                <w:sz w:val="13"/>
              </w:rPr>
              <w:t>3.481.756,00</w:t>
            </w:r>
          </w:p>
        </w:tc>
        <w:tc>
          <w:tcPr>
            <w:tcW w:w="1145" w:type="dxa"/>
          </w:tcPr>
          <w:p>
            <w:pPr>
              <w:pStyle w:val="TableParagraph"/>
              <w:spacing w:line="138" w:lineRule="exact" w:before="36"/>
              <w:ind w:right="91"/>
              <w:jc w:val="right"/>
              <w:rPr>
                <w:sz w:val="13"/>
              </w:rPr>
            </w:pPr>
            <w:r>
              <w:rPr>
                <w:w w:val="105"/>
                <w:sz w:val="13"/>
              </w:rPr>
              <w:t>1.434.886,92</w:t>
            </w:r>
          </w:p>
        </w:tc>
        <w:tc>
          <w:tcPr>
            <w:tcW w:w="1150" w:type="dxa"/>
          </w:tcPr>
          <w:p>
            <w:pPr>
              <w:pStyle w:val="TableParagraph"/>
              <w:spacing w:line="138" w:lineRule="exact" w:before="36"/>
              <w:ind w:right="96"/>
              <w:jc w:val="right"/>
              <w:rPr>
                <w:sz w:val="13"/>
              </w:rPr>
            </w:pPr>
            <w:r>
              <w:rPr>
                <w:w w:val="105"/>
                <w:sz w:val="13"/>
              </w:rPr>
              <w:t>1.456.101,48</w:t>
            </w:r>
          </w:p>
        </w:tc>
        <w:tc>
          <w:tcPr>
            <w:tcW w:w="1224" w:type="dxa"/>
          </w:tcPr>
          <w:p>
            <w:pPr>
              <w:pStyle w:val="TableParagraph"/>
              <w:spacing w:line="138" w:lineRule="exact" w:before="36"/>
              <w:ind w:right="163"/>
              <w:jc w:val="right"/>
              <w:rPr>
                <w:sz w:val="13"/>
              </w:rPr>
            </w:pPr>
            <w:r>
              <w:rPr>
                <w:w w:val="105"/>
                <w:sz w:val="13"/>
              </w:rPr>
              <w:t>5.574.932,23</w:t>
            </w:r>
          </w:p>
        </w:tc>
        <w:tc>
          <w:tcPr>
            <w:tcW w:w="689" w:type="dxa"/>
          </w:tcPr>
          <w:p>
            <w:pPr>
              <w:pStyle w:val="TableParagraph"/>
              <w:spacing w:line="138" w:lineRule="exact" w:before="36"/>
              <w:ind w:right="44"/>
              <w:jc w:val="right"/>
              <w:rPr>
                <w:sz w:val="13"/>
              </w:rPr>
            </w:pPr>
            <w:r>
              <w:rPr>
                <w:sz w:val="13"/>
              </w:rPr>
              <w:t>60,12%</w:t>
            </w:r>
          </w:p>
        </w:tc>
      </w:tr>
    </w:tbl>
    <w:p>
      <w:pPr>
        <w:pStyle w:val="ListParagraph"/>
        <w:numPr>
          <w:ilvl w:val="0"/>
          <w:numId w:val="16"/>
        </w:numPr>
        <w:tabs>
          <w:tab w:pos="2212" w:val="left" w:leader="none"/>
        </w:tabs>
        <w:spacing w:line="249" w:lineRule="auto" w:before="50" w:after="0"/>
        <w:ind w:left="2035" w:right="6852" w:firstLine="0"/>
        <w:jc w:val="left"/>
        <w:rPr>
          <w:sz w:val="13"/>
        </w:rPr>
      </w:pPr>
      <w:r>
        <w:rPr/>
        <w:pict>
          <v:shape style="position:absolute;margin-left:237.164291pt;margin-top:7.757019pt;width:260.45pt;height:21.3pt;mso-position-horizontal-relative:page;mso-position-vertical-relative:paragraph;z-index:2517831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9"/>
                    <w:gridCol w:w="1145"/>
                    <w:gridCol w:w="1099"/>
                    <w:gridCol w:w="1223"/>
                    <w:gridCol w:w="689"/>
                  </w:tblGrid>
                  <w:tr>
                    <w:trPr>
                      <w:trHeight w:val="212" w:hRule="atLeast"/>
                    </w:trPr>
                    <w:tc>
                      <w:tcPr>
                        <w:tcW w:w="1049" w:type="dxa"/>
                      </w:tcPr>
                      <w:p>
                        <w:pPr>
                          <w:pStyle w:val="TableParagraph"/>
                          <w:spacing w:line="136" w:lineRule="exact"/>
                          <w:ind w:right="144"/>
                          <w:jc w:val="right"/>
                          <w:rPr>
                            <w:sz w:val="13"/>
                          </w:rPr>
                        </w:pPr>
                        <w:r>
                          <w:rPr>
                            <w:sz w:val="13"/>
                          </w:rPr>
                          <w:t>0,00</w:t>
                        </w:r>
                      </w:p>
                    </w:tc>
                    <w:tc>
                      <w:tcPr>
                        <w:tcW w:w="1145" w:type="dxa"/>
                      </w:tcPr>
                      <w:p>
                        <w:pPr>
                          <w:pStyle w:val="TableParagraph"/>
                          <w:spacing w:line="136" w:lineRule="exact"/>
                          <w:ind w:right="143"/>
                          <w:jc w:val="right"/>
                          <w:rPr>
                            <w:sz w:val="13"/>
                          </w:rPr>
                        </w:pPr>
                        <w:r>
                          <w:rPr>
                            <w:sz w:val="13"/>
                          </w:rPr>
                          <w:t>0,00</w:t>
                        </w:r>
                      </w:p>
                    </w:tc>
                    <w:tc>
                      <w:tcPr>
                        <w:tcW w:w="1099" w:type="dxa"/>
                      </w:tcPr>
                      <w:p>
                        <w:pPr>
                          <w:pStyle w:val="TableParagraph"/>
                          <w:spacing w:line="136" w:lineRule="exact"/>
                          <w:ind w:right="97"/>
                          <w:jc w:val="right"/>
                          <w:rPr>
                            <w:sz w:val="13"/>
                          </w:rPr>
                        </w:pPr>
                        <w:r>
                          <w:rPr>
                            <w:sz w:val="13"/>
                          </w:rPr>
                          <w:t>0,00</w:t>
                        </w:r>
                      </w:p>
                    </w:tc>
                    <w:tc>
                      <w:tcPr>
                        <w:tcW w:w="1223" w:type="dxa"/>
                      </w:tcPr>
                      <w:p>
                        <w:pPr>
                          <w:pStyle w:val="TableParagraph"/>
                          <w:spacing w:line="136" w:lineRule="exact"/>
                          <w:ind w:right="163"/>
                          <w:jc w:val="right"/>
                          <w:rPr>
                            <w:sz w:val="13"/>
                          </w:rPr>
                        </w:pPr>
                        <w:r>
                          <w:rPr>
                            <w:sz w:val="13"/>
                          </w:rPr>
                          <w:t>0,00</w:t>
                        </w:r>
                      </w:p>
                    </w:tc>
                    <w:tc>
                      <w:tcPr>
                        <w:tcW w:w="689" w:type="dxa"/>
                      </w:tcPr>
                      <w:p>
                        <w:pPr>
                          <w:pStyle w:val="TableParagraph"/>
                          <w:spacing w:line="136" w:lineRule="exact"/>
                          <w:ind w:right="44"/>
                          <w:jc w:val="right"/>
                          <w:rPr>
                            <w:sz w:val="13"/>
                          </w:rPr>
                        </w:pPr>
                        <w:r>
                          <w:rPr>
                            <w:sz w:val="13"/>
                          </w:rPr>
                          <w:t>0,00%</w:t>
                        </w:r>
                      </w:p>
                    </w:tc>
                  </w:tr>
                  <w:tr>
                    <w:trPr>
                      <w:trHeight w:val="212" w:hRule="atLeast"/>
                    </w:trPr>
                    <w:tc>
                      <w:tcPr>
                        <w:tcW w:w="1049" w:type="dxa"/>
                      </w:tcPr>
                      <w:p>
                        <w:pPr>
                          <w:pStyle w:val="TableParagraph"/>
                          <w:spacing w:line="138" w:lineRule="exact" w:before="55"/>
                          <w:ind w:right="145"/>
                          <w:jc w:val="right"/>
                          <w:rPr>
                            <w:sz w:val="13"/>
                          </w:rPr>
                        </w:pPr>
                        <w:r>
                          <w:rPr>
                            <w:sz w:val="13"/>
                          </w:rPr>
                          <w:t>279.914.583,00</w:t>
                        </w:r>
                      </w:p>
                    </w:tc>
                    <w:tc>
                      <w:tcPr>
                        <w:tcW w:w="1145" w:type="dxa"/>
                      </w:tcPr>
                      <w:p>
                        <w:pPr>
                          <w:pStyle w:val="TableParagraph"/>
                          <w:spacing w:line="138" w:lineRule="exact" w:before="55"/>
                          <w:ind w:right="143"/>
                          <w:jc w:val="right"/>
                          <w:rPr>
                            <w:sz w:val="13"/>
                          </w:rPr>
                        </w:pPr>
                        <w:r>
                          <w:rPr>
                            <w:sz w:val="13"/>
                          </w:rPr>
                          <w:t>189.686.874,96</w:t>
                        </w:r>
                      </w:p>
                    </w:tc>
                    <w:tc>
                      <w:tcPr>
                        <w:tcW w:w="1099" w:type="dxa"/>
                      </w:tcPr>
                      <w:p>
                        <w:pPr>
                          <w:pStyle w:val="TableParagraph"/>
                          <w:spacing w:line="138" w:lineRule="exact" w:before="55"/>
                          <w:ind w:right="97"/>
                          <w:jc w:val="right"/>
                          <w:rPr>
                            <w:sz w:val="13"/>
                          </w:rPr>
                        </w:pPr>
                        <w:r>
                          <w:rPr>
                            <w:sz w:val="13"/>
                          </w:rPr>
                          <w:t>942.767.703,36</w:t>
                        </w:r>
                      </w:p>
                    </w:tc>
                    <w:tc>
                      <w:tcPr>
                        <w:tcW w:w="1223" w:type="dxa"/>
                      </w:tcPr>
                      <w:p>
                        <w:pPr>
                          <w:pStyle w:val="TableParagraph"/>
                          <w:spacing w:line="138" w:lineRule="exact" w:before="55"/>
                          <w:ind w:right="163"/>
                          <w:jc w:val="right"/>
                          <w:rPr>
                            <w:sz w:val="13"/>
                          </w:rPr>
                        </w:pPr>
                        <w:r>
                          <w:rPr>
                            <w:w w:val="105"/>
                            <w:sz w:val="13"/>
                          </w:rPr>
                          <w:t>1.159.108.369,83</w:t>
                        </w:r>
                      </w:p>
                    </w:tc>
                    <w:tc>
                      <w:tcPr>
                        <w:tcW w:w="689" w:type="dxa"/>
                      </w:tcPr>
                      <w:p>
                        <w:pPr>
                          <w:pStyle w:val="TableParagraph"/>
                          <w:spacing w:line="138" w:lineRule="exact" w:before="55"/>
                          <w:ind w:right="44"/>
                          <w:jc w:val="right"/>
                          <w:rPr>
                            <w:sz w:val="13"/>
                          </w:rPr>
                        </w:pPr>
                        <w:r>
                          <w:rPr>
                            <w:sz w:val="13"/>
                          </w:rPr>
                          <w:t>314,09%</w:t>
                        </w:r>
                      </w:p>
                    </w:tc>
                  </w:tr>
                </w:tbl>
                <w:p>
                  <w:pPr>
                    <w:pStyle w:val="BodyText"/>
                  </w:pPr>
                </w:p>
              </w:txbxContent>
            </v:textbox>
            <w10:wrap type="none"/>
          </v:shape>
        </w:pict>
      </w:r>
      <w:r>
        <w:rPr>
          <w:sz w:val="13"/>
        </w:rPr>
        <w:t>Enajenación Inversiones </w:t>
      </w:r>
      <w:r>
        <w:rPr>
          <w:w w:val="105"/>
          <w:sz w:val="13"/>
        </w:rPr>
        <w:t>Reales</w:t>
      </w:r>
    </w:p>
    <w:p>
      <w:pPr>
        <w:pStyle w:val="ListParagraph"/>
        <w:numPr>
          <w:ilvl w:val="0"/>
          <w:numId w:val="16"/>
        </w:numPr>
        <w:tabs>
          <w:tab w:pos="2246" w:val="left" w:leader="none"/>
        </w:tabs>
        <w:spacing w:line="240" w:lineRule="auto" w:before="42" w:after="0"/>
        <w:ind w:left="2245" w:right="0" w:hanging="211"/>
        <w:jc w:val="left"/>
        <w:rPr>
          <w:sz w:val="13"/>
        </w:rPr>
      </w:pPr>
      <w:r>
        <w:rPr>
          <w:w w:val="105"/>
          <w:sz w:val="13"/>
        </w:rPr>
        <w:t>Transferencias De</w:t>
      </w:r>
      <w:r>
        <w:rPr>
          <w:spacing w:val="-4"/>
          <w:w w:val="105"/>
          <w:sz w:val="13"/>
        </w:rPr>
        <w:t> </w:t>
      </w:r>
      <w:r>
        <w:rPr>
          <w:w w:val="105"/>
          <w:sz w:val="13"/>
        </w:rPr>
        <w:t>Capital</w:t>
      </w:r>
    </w:p>
    <w:p>
      <w:pPr>
        <w:pStyle w:val="BodyText"/>
        <w:spacing w:before="6"/>
        <w:rPr>
          <w:sz w:val="9"/>
        </w:rPr>
      </w:pPr>
    </w:p>
    <w:tbl>
      <w:tblPr>
        <w:tblW w:w="0" w:type="auto"/>
        <w:jc w:val="left"/>
        <w:tblInd w:w="1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9"/>
        <w:gridCol w:w="1320"/>
        <w:gridCol w:w="1146"/>
        <w:gridCol w:w="1151"/>
        <w:gridCol w:w="1275"/>
        <w:gridCol w:w="684"/>
      </w:tblGrid>
      <w:tr>
        <w:trPr>
          <w:trHeight w:val="193" w:hRule="atLeast"/>
        </w:trPr>
        <w:tc>
          <w:tcPr>
            <w:tcW w:w="1659" w:type="dxa"/>
          </w:tcPr>
          <w:p>
            <w:pPr>
              <w:pStyle w:val="TableParagraph"/>
              <w:spacing w:line="136" w:lineRule="exact"/>
              <w:ind w:left="70"/>
              <w:rPr>
                <w:sz w:val="13"/>
              </w:rPr>
            </w:pPr>
            <w:r>
              <w:rPr>
                <w:w w:val="105"/>
                <w:sz w:val="13"/>
              </w:rPr>
              <w:t>VIII. Activos Financieros</w:t>
            </w:r>
          </w:p>
        </w:tc>
        <w:tc>
          <w:tcPr>
            <w:tcW w:w="1320" w:type="dxa"/>
          </w:tcPr>
          <w:p>
            <w:pPr>
              <w:pStyle w:val="TableParagraph"/>
              <w:spacing w:line="136" w:lineRule="exact"/>
              <w:ind w:right="56"/>
              <w:jc w:val="right"/>
              <w:rPr>
                <w:sz w:val="13"/>
              </w:rPr>
            </w:pPr>
            <w:r>
              <w:rPr>
                <w:w w:val="105"/>
                <w:sz w:val="13"/>
              </w:rPr>
              <w:t>22.700.427,00</w:t>
            </w:r>
          </w:p>
        </w:tc>
        <w:tc>
          <w:tcPr>
            <w:tcW w:w="1146" w:type="dxa"/>
          </w:tcPr>
          <w:p>
            <w:pPr>
              <w:pStyle w:val="TableParagraph"/>
              <w:spacing w:line="136" w:lineRule="exact"/>
              <w:ind w:right="55"/>
              <w:jc w:val="right"/>
              <w:rPr>
                <w:sz w:val="13"/>
              </w:rPr>
            </w:pPr>
            <w:r>
              <w:rPr>
                <w:w w:val="105"/>
                <w:sz w:val="13"/>
              </w:rPr>
              <w:t>19.292.530,90</w:t>
            </w:r>
          </w:p>
        </w:tc>
        <w:tc>
          <w:tcPr>
            <w:tcW w:w="1151" w:type="dxa"/>
          </w:tcPr>
          <w:p>
            <w:pPr>
              <w:pStyle w:val="TableParagraph"/>
              <w:spacing w:line="136" w:lineRule="exact"/>
              <w:ind w:right="62"/>
              <w:jc w:val="right"/>
              <w:rPr>
                <w:sz w:val="13"/>
              </w:rPr>
            </w:pPr>
            <w:r>
              <w:rPr>
                <w:w w:val="105"/>
                <w:sz w:val="13"/>
              </w:rPr>
              <w:t>52.979.143,20</w:t>
            </w:r>
          </w:p>
        </w:tc>
        <w:tc>
          <w:tcPr>
            <w:tcW w:w="1275" w:type="dxa"/>
          </w:tcPr>
          <w:p>
            <w:pPr>
              <w:pStyle w:val="TableParagraph"/>
              <w:spacing w:line="136" w:lineRule="exact"/>
              <w:ind w:right="180"/>
              <w:jc w:val="right"/>
              <w:rPr>
                <w:sz w:val="13"/>
              </w:rPr>
            </w:pPr>
            <w:r>
              <w:rPr>
                <w:w w:val="105"/>
                <w:sz w:val="13"/>
              </w:rPr>
              <w:t>18.644.005,16</w:t>
            </w:r>
          </w:p>
        </w:tc>
        <w:tc>
          <w:tcPr>
            <w:tcW w:w="684" w:type="dxa"/>
          </w:tcPr>
          <w:p>
            <w:pPr>
              <w:pStyle w:val="TableParagraph"/>
              <w:spacing w:line="136" w:lineRule="exact"/>
              <w:ind w:right="56"/>
              <w:jc w:val="right"/>
              <w:rPr>
                <w:sz w:val="13"/>
              </w:rPr>
            </w:pPr>
            <w:r>
              <w:rPr>
                <w:w w:val="105"/>
                <w:sz w:val="13"/>
              </w:rPr>
              <w:t>-17,87%</w:t>
            </w:r>
          </w:p>
        </w:tc>
      </w:tr>
      <w:tr>
        <w:trPr>
          <w:trHeight w:val="251" w:hRule="atLeast"/>
        </w:trPr>
        <w:tc>
          <w:tcPr>
            <w:tcW w:w="1659" w:type="dxa"/>
          </w:tcPr>
          <w:p>
            <w:pPr>
              <w:pStyle w:val="TableParagraph"/>
              <w:spacing w:before="36"/>
              <w:ind w:left="70"/>
              <w:rPr>
                <w:sz w:val="13"/>
              </w:rPr>
            </w:pPr>
            <w:r>
              <w:rPr>
                <w:w w:val="105"/>
                <w:sz w:val="13"/>
              </w:rPr>
              <w:t>IX. Pasivos Financieros</w:t>
            </w:r>
          </w:p>
        </w:tc>
        <w:tc>
          <w:tcPr>
            <w:tcW w:w="1320" w:type="dxa"/>
          </w:tcPr>
          <w:p>
            <w:pPr>
              <w:pStyle w:val="TableParagraph"/>
              <w:spacing w:before="36"/>
              <w:ind w:right="57"/>
              <w:jc w:val="right"/>
              <w:rPr>
                <w:sz w:val="13"/>
              </w:rPr>
            </w:pPr>
            <w:r>
              <w:rPr>
                <w:sz w:val="13"/>
              </w:rPr>
              <w:t>752.317.108,00</w:t>
            </w:r>
          </w:p>
        </w:tc>
        <w:tc>
          <w:tcPr>
            <w:tcW w:w="1146" w:type="dxa"/>
          </w:tcPr>
          <w:p>
            <w:pPr>
              <w:pStyle w:val="TableParagraph"/>
              <w:spacing w:before="36"/>
              <w:ind w:right="56"/>
              <w:jc w:val="right"/>
              <w:rPr>
                <w:sz w:val="13"/>
              </w:rPr>
            </w:pPr>
            <w:r>
              <w:rPr>
                <w:w w:val="105"/>
                <w:sz w:val="13"/>
              </w:rPr>
              <w:t>4.010.136.874,62</w:t>
            </w:r>
          </w:p>
        </w:tc>
        <w:tc>
          <w:tcPr>
            <w:tcW w:w="1151" w:type="dxa"/>
          </w:tcPr>
          <w:p>
            <w:pPr>
              <w:pStyle w:val="TableParagraph"/>
              <w:spacing w:before="36"/>
              <w:ind w:right="62"/>
              <w:jc w:val="right"/>
              <w:rPr>
                <w:sz w:val="13"/>
              </w:rPr>
            </w:pPr>
            <w:r>
              <w:rPr>
                <w:w w:val="105"/>
                <w:sz w:val="13"/>
              </w:rPr>
              <w:t>2.444.031.136,85</w:t>
            </w:r>
          </w:p>
        </w:tc>
        <w:tc>
          <w:tcPr>
            <w:tcW w:w="1275" w:type="dxa"/>
          </w:tcPr>
          <w:p>
            <w:pPr>
              <w:pStyle w:val="TableParagraph"/>
              <w:spacing w:before="36"/>
              <w:ind w:right="180"/>
              <w:jc w:val="right"/>
              <w:rPr>
                <w:sz w:val="13"/>
              </w:rPr>
            </w:pPr>
            <w:r>
              <w:rPr>
                <w:sz w:val="13"/>
              </w:rPr>
              <w:t>927.385.973,89</w:t>
            </w:r>
          </w:p>
        </w:tc>
        <w:tc>
          <w:tcPr>
            <w:tcW w:w="684" w:type="dxa"/>
          </w:tcPr>
          <w:p>
            <w:pPr>
              <w:pStyle w:val="TableParagraph"/>
              <w:spacing w:before="36"/>
              <w:ind w:right="56"/>
              <w:jc w:val="right"/>
              <w:rPr>
                <w:sz w:val="13"/>
              </w:rPr>
            </w:pPr>
            <w:r>
              <w:rPr>
                <w:sz w:val="13"/>
              </w:rPr>
              <w:t>23,27%</w:t>
            </w:r>
          </w:p>
        </w:tc>
      </w:tr>
      <w:tr>
        <w:trPr>
          <w:trHeight w:val="239" w:hRule="atLeast"/>
        </w:trPr>
        <w:tc>
          <w:tcPr>
            <w:tcW w:w="1659" w:type="dxa"/>
            <w:tcBorders>
              <w:bottom w:val="single" w:sz="4" w:space="0" w:color="000000"/>
            </w:tcBorders>
          </w:tcPr>
          <w:p>
            <w:pPr>
              <w:pStyle w:val="TableParagraph"/>
              <w:spacing w:before="36"/>
              <w:ind w:left="578"/>
              <w:rPr>
                <w:b/>
                <w:sz w:val="13"/>
              </w:rPr>
            </w:pPr>
            <w:r>
              <w:rPr>
                <w:b/>
                <w:w w:val="105"/>
                <w:sz w:val="13"/>
              </w:rPr>
              <w:t>Total General</w:t>
            </w:r>
          </w:p>
        </w:tc>
        <w:tc>
          <w:tcPr>
            <w:tcW w:w="1320" w:type="dxa"/>
            <w:tcBorders>
              <w:bottom w:val="single" w:sz="4" w:space="0" w:color="000000"/>
            </w:tcBorders>
          </w:tcPr>
          <w:p>
            <w:pPr>
              <w:pStyle w:val="TableParagraph"/>
              <w:spacing w:before="36"/>
              <w:ind w:right="56"/>
              <w:jc w:val="right"/>
              <w:rPr>
                <w:b/>
                <w:sz w:val="13"/>
              </w:rPr>
            </w:pPr>
            <w:r>
              <w:rPr>
                <w:b/>
                <w:w w:val="105"/>
                <w:sz w:val="13"/>
              </w:rPr>
              <w:t>8.192.483.623,00</w:t>
            </w:r>
          </w:p>
        </w:tc>
        <w:tc>
          <w:tcPr>
            <w:tcW w:w="1146" w:type="dxa"/>
            <w:tcBorders>
              <w:bottom w:val="single" w:sz="4" w:space="0" w:color="000000"/>
            </w:tcBorders>
          </w:tcPr>
          <w:p>
            <w:pPr>
              <w:pStyle w:val="TableParagraph"/>
              <w:spacing w:before="36"/>
              <w:ind w:right="55"/>
              <w:jc w:val="right"/>
              <w:rPr>
                <w:b/>
                <w:sz w:val="13"/>
              </w:rPr>
            </w:pPr>
            <w:r>
              <w:rPr>
                <w:b/>
                <w:w w:val="105"/>
                <w:sz w:val="13"/>
              </w:rPr>
              <w:t>11.997.390.796,79</w:t>
            </w:r>
          </w:p>
        </w:tc>
        <w:tc>
          <w:tcPr>
            <w:tcW w:w="1151" w:type="dxa"/>
            <w:tcBorders>
              <w:bottom w:val="single" w:sz="4" w:space="0" w:color="000000"/>
            </w:tcBorders>
          </w:tcPr>
          <w:p>
            <w:pPr>
              <w:pStyle w:val="TableParagraph"/>
              <w:spacing w:before="36"/>
              <w:ind w:right="62"/>
              <w:jc w:val="right"/>
              <w:rPr>
                <w:b/>
                <w:sz w:val="13"/>
              </w:rPr>
            </w:pPr>
            <w:r>
              <w:rPr>
                <w:b/>
                <w:w w:val="105"/>
                <w:sz w:val="13"/>
              </w:rPr>
              <w:t>12.824.545.677,57</w:t>
            </w:r>
          </w:p>
        </w:tc>
        <w:tc>
          <w:tcPr>
            <w:tcW w:w="1275" w:type="dxa"/>
            <w:tcBorders>
              <w:bottom w:val="single" w:sz="4" w:space="0" w:color="000000"/>
            </w:tcBorders>
          </w:tcPr>
          <w:p>
            <w:pPr>
              <w:pStyle w:val="TableParagraph"/>
              <w:spacing w:before="36"/>
              <w:ind w:right="180"/>
              <w:jc w:val="right"/>
              <w:rPr>
                <w:b/>
                <w:sz w:val="13"/>
              </w:rPr>
            </w:pPr>
            <w:r>
              <w:rPr>
                <w:b/>
                <w:w w:val="105"/>
                <w:sz w:val="13"/>
              </w:rPr>
              <w:t>10.094.198.882,13</w:t>
            </w:r>
          </w:p>
        </w:tc>
        <w:tc>
          <w:tcPr>
            <w:tcW w:w="684" w:type="dxa"/>
            <w:tcBorders>
              <w:bottom w:val="single" w:sz="4" w:space="0" w:color="000000"/>
            </w:tcBorders>
          </w:tcPr>
          <w:p>
            <w:pPr>
              <w:pStyle w:val="TableParagraph"/>
              <w:spacing w:before="36"/>
              <w:ind w:right="56"/>
              <w:jc w:val="right"/>
              <w:rPr>
                <w:b/>
                <w:sz w:val="13"/>
              </w:rPr>
            </w:pPr>
            <w:r>
              <w:rPr>
                <w:b/>
                <w:w w:val="105"/>
                <w:sz w:val="13"/>
              </w:rPr>
              <w:t>23,21%</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2"/>
        </w:rPr>
      </w:pPr>
    </w:p>
    <w:p>
      <w:pPr>
        <w:pStyle w:val="BodyText"/>
        <w:spacing w:before="61"/>
        <w:ind w:left="7897"/>
        <w:jc w:val="center"/>
      </w:pPr>
      <w:r>
        <w:rPr/>
        <w:t>42</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95" name="image5.png"/>
                  <wp:cNvGraphicFramePr>
                    <a:graphicFrameLocks noChangeAspect="1"/>
                  </wp:cNvGraphicFramePr>
                  <a:graphic>
                    <a:graphicData uri="http://schemas.openxmlformats.org/drawingml/2006/picture">
                      <pic:pic>
                        <pic:nvPicPr>
                          <pic:cNvPr id="9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44/247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7"/>
        <w:rPr>
          <w:b/>
          <w:sz w:val="13"/>
        </w:rPr>
      </w:pPr>
    </w:p>
    <w:tbl>
      <w:tblPr>
        <w:tblW w:w="0" w:type="auto"/>
        <w:jc w:val="left"/>
        <w:tblInd w:w="210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7141"/>
      </w:tblGrid>
      <w:tr>
        <w:trPr>
          <w:trHeight w:val="3229" w:hRule="atLeast"/>
        </w:trPr>
        <w:tc>
          <w:tcPr>
            <w:tcW w:w="7141" w:type="dxa"/>
          </w:tcPr>
          <w:p>
            <w:pPr>
              <w:pStyle w:val="TableParagraph"/>
              <w:spacing w:before="7"/>
              <w:rPr>
                <w:b/>
                <w:sz w:val="13"/>
              </w:rPr>
            </w:pPr>
          </w:p>
          <w:p>
            <w:pPr>
              <w:pStyle w:val="TableParagraph"/>
              <w:spacing w:line="252" w:lineRule="auto" w:before="1"/>
              <w:ind w:left="3211" w:hanging="1837"/>
              <w:rPr>
                <w:b/>
                <w:sz w:val="16"/>
              </w:rPr>
            </w:pPr>
            <w:r>
              <w:rPr>
                <w:b/>
                <w:color w:val="585858"/>
                <w:w w:val="105"/>
                <w:sz w:val="16"/>
              </w:rPr>
              <w:t>EVOLUCION DE LOS INGRESOS DE LA ADMON DE LA CAC (DERECHOS RECONOCIDOS)</w:t>
            </w:r>
          </w:p>
          <w:p>
            <w:pPr>
              <w:pStyle w:val="TableParagraph"/>
              <w:spacing w:before="9"/>
              <w:rPr>
                <w:b/>
                <w:sz w:val="13"/>
              </w:rPr>
            </w:pPr>
          </w:p>
          <w:p>
            <w:pPr>
              <w:pStyle w:val="TableParagraph"/>
              <w:spacing w:before="1"/>
              <w:ind w:right="4596"/>
              <w:jc w:val="right"/>
              <w:rPr>
                <w:sz w:val="15"/>
              </w:rPr>
            </w:pPr>
            <w:r>
              <w:rPr>
                <w:color w:val="585858"/>
                <w:sz w:val="15"/>
              </w:rPr>
              <w:t>IX. PASIVOS</w:t>
            </w:r>
            <w:r>
              <w:rPr>
                <w:color w:val="585858"/>
                <w:spacing w:val="3"/>
                <w:sz w:val="15"/>
              </w:rPr>
              <w:t> </w:t>
            </w:r>
            <w:r>
              <w:rPr>
                <w:color w:val="585858"/>
                <w:sz w:val="15"/>
              </w:rPr>
              <w:t>FINANCIEROS</w:t>
            </w:r>
          </w:p>
          <w:p>
            <w:pPr>
              <w:pStyle w:val="TableParagraph"/>
              <w:spacing w:before="31"/>
              <w:ind w:right="4594"/>
              <w:jc w:val="right"/>
              <w:rPr>
                <w:sz w:val="15"/>
              </w:rPr>
            </w:pPr>
            <w:r>
              <w:rPr>
                <w:color w:val="585858"/>
                <w:sz w:val="15"/>
              </w:rPr>
              <w:t>VIII. ACTIVOS</w:t>
            </w:r>
            <w:r>
              <w:rPr>
                <w:color w:val="585858"/>
                <w:spacing w:val="2"/>
                <w:sz w:val="15"/>
              </w:rPr>
              <w:t> </w:t>
            </w:r>
            <w:r>
              <w:rPr>
                <w:color w:val="585858"/>
                <w:sz w:val="15"/>
              </w:rPr>
              <w:t>FINANCIEROS</w:t>
            </w:r>
          </w:p>
          <w:p>
            <w:pPr>
              <w:pStyle w:val="TableParagraph"/>
              <w:spacing w:before="31"/>
              <w:ind w:right="4595"/>
              <w:jc w:val="right"/>
              <w:rPr>
                <w:sz w:val="15"/>
              </w:rPr>
            </w:pPr>
            <w:r>
              <w:rPr>
                <w:color w:val="585858"/>
                <w:sz w:val="15"/>
              </w:rPr>
              <w:t>VII. TRANSFERENCIAS DE</w:t>
            </w:r>
            <w:r>
              <w:rPr>
                <w:color w:val="585858"/>
                <w:spacing w:val="1"/>
                <w:sz w:val="15"/>
              </w:rPr>
              <w:t> </w:t>
            </w:r>
            <w:r>
              <w:rPr>
                <w:color w:val="585858"/>
                <w:sz w:val="15"/>
              </w:rPr>
              <w:t>CAPITAL</w:t>
            </w:r>
          </w:p>
          <w:p>
            <w:pPr>
              <w:pStyle w:val="TableParagraph"/>
              <w:numPr>
                <w:ilvl w:val="0"/>
                <w:numId w:val="17"/>
              </w:numPr>
              <w:tabs>
                <w:tab w:pos="195" w:val="left" w:leader="none"/>
              </w:tabs>
              <w:spacing w:line="240" w:lineRule="auto" w:before="32" w:after="0"/>
              <w:ind w:left="303" w:right="4594" w:hanging="304"/>
              <w:jc w:val="right"/>
              <w:rPr>
                <w:sz w:val="15"/>
              </w:rPr>
            </w:pPr>
            <w:r>
              <w:rPr>
                <w:color w:val="585858"/>
                <w:sz w:val="15"/>
              </w:rPr>
              <w:t>ENAJENACIÓN INVERSIONES</w:t>
            </w:r>
            <w:r>
              <w:rPr>
                <w:color w:val="585858"/>
                <w:spacing w:val="1"/>
                <w:sz w:val="15"/>
              </w:rPr>
              <w:t> </w:t>
            </w:r>
            <w:r>
              <w:rPr>
                <w:color w:val="585858"/>
                <w:sz w:val="15"/>
              </w:rPr>
              <w:t>REALES</w:t>
            </w:r>
          </w:p>
          <w:p>
            <w:pPr>
              <w:pStyle w:val="TableParagraph"/>
              <w:spacing w:before="31"/>
              <w:ind w:right="4594"/>
              <w:jc w:val="right"/>
              <w:rPr>
                <w:sz w:val="15"/>
              </w:rPr>
            </w:pPr>
            <w:r>
              <w:rPr>
                <w:color w:val="585858"/>
                <w:sz w:val="15"/>
              </w:rPr>
              <w:t>V. INGRESOS</w:t>
            </w:r>
            <w:r>
              <w:rPr>
                <w:color w:val="585858"/>
                <w:spacing w:val="2"/>
                <w:sz w:val="15"/>
              </w:rPr>
              <w:t> </w:t>
            </w:r>
            <w:r>
              <w:rPr>
                <w:color w:val="585858"/>
                <w:sz w:val="15"/>
              </w:rPr>
              <w:t>PATRIMONIALES</w:t>
            </w:r>
          </w:p>
          <w:p>
            <w:pPr>
              <w:pStyle w:val="TableParagraph"/>
              <w:numPr>
                <w:ilvl w:val="1"/>
                <w:numId w:val="17"/>
              </w:numPr>
              <w:tabs>
                <w:tab w:pos="196" w:val="left" w:leader="none"/>
              </w:tabs>
              <w:spacing w:line="240" w:lineRule="auto" w:before="31" w:after="0"/>
              <w:ind w:left="642" w:right="4594" w:hanging="643"/>
              <w:jc w:val="right"/>
              <w:rPr>
                <w:sz w:val="15"/>
              </w:rPr>
            </w:pPr>
            <w:r>
              <w:rPr>
                <w:color w:val="585858"/>
                <w:sz w:val="15"/>
              </w:rPr>
              <w:t>TRANSFERENCIAS CORRIENTES</w:t>
            </w:r>
          </w:p>
          <w:p>
            <w:pPr>
              <w:pStyle w:val="TableParagraph"/>
              <w:numPr>
                <w:ilvl w:val="2"/>
                <w:numId w:val="17"/>
              </w:numPr>
              <w:tabs>
                <w:tab w:pos="187" w:val="left" w:leader="none"/>
              </w:tabs>
              <w:spacing w:line="240" w:lineRule="auto" w:before="31" w:after="0"/>
              <w:ind w:left="916" w:right="4593" w:hanging="917"/>
              <w:jc w:val="right"/>
              <w:rPr>
                <w:sz w:val="15"/>
              </w:rPr>
            </w:pPr>
            <w:r>
              <w:rPr>
                <w:color w:val="585858"/>
                <w:sz w:val="15"/>
              </w:rPr>
              <w:t>TASAS Y OTROS</w:t>
            </w:r>
            <w:r>
              <w:rPr>
                <w:color w:val="585858"/>
                <w:spacing w:val="4"/>
                <w:sz w:val="15"/>
              </w:rPr>
              <w:t> </w:t>
            </w:r>
            <w:r>
              <w:rPr>
                <w:color w:val="585858"/>
                <w:sz w:val="15"/>
              </w:rPr>
              <w:t>INGRESOS</w:t>
            </w:r>
          </w:p>
          <w:p>
            <w:pPr>
              <w:pStyle w:val="TableParagraph"/>
              <w:numPr>
                <w:ilvl w:val="3"/>
                <w:numId w:val="17"/>
              </w:numPr>
              <w:tabs>
                <w:tab w:pos="149" w:val="left" w:leader="none"/>
              </w:tabs>
              <w:spacing w:line="240" w:lineRule="auto" w:before="32" w:after="0"/>
              <w:ind w:left="1022" w:right="4594" w:hanging="1023"/>
              <w:jc w:val="right"/>
              <w:rPr>
                <w:sz w:val="15"/>
              </w:rPr>
            </w:pPr>
            <w:r>
              <w:rPr>
                <w:color w:val="585858"/>
                <w:sz w:val="15"/>
              </w:rPr>
              <w:t>IMPUESTOS INDIRECTOS</w:t>
            </w:r>
          </w:p>
          <w:p>
            <w:pPr>
              <w:pStyle w:val="TableParagraph"/>
              <w:numPr>
                <w:ilvl w:val="4"/>
                <w:numId w:val="17"/>
              </w:numPr>
              <w:tabs>
                <w:tab w:pos="111" w:val="left" w:leader="none"/>
              </w:tabs>
              <w:spacing w:line="240" w:lineRule="auto" w:before="31" w:after="0"/>
              <w:ind w:left="1157" w:right="4594" w:hanging="1158"/>
              <w:jc w:val="right"/>
              <w:rPr>
                <w:sz w:val="15"/>
              </w:rPr>
            </w:pPr>
            <w:r>
              <w:rPr>
                <w:color w:val="585858"/>
                <w:sz w:val="15"/>
              </w:rPr>
              <w:t>IMPUESTOS</w:t>
            </w:r>
            <w:r>
              <w:rPr>
                <w:color w:val="585858"/>
                <w:spacing w:val="1"/>
                <w:sz w:val="15"/>
              </w:rPr>
              <w:t> </w:t>
            </w:r>
            <w:r>
              <w:rPr>
                <w:color w:val="585858"/>
                <w:sz w:val="15"/>
              </w:rPr>
              <w:t>DIRECTOS</w:t>
            </w:r>
          </w:p>
          <w:p>
            <w:pPr>
              <w:pStyle w:val="TableParagraph"/>
              <w:spacing w:before="7"/>
              <w:rPr>
                <w:b/>
                <w:sz w:val="20"/>
              </w:rPr>
            </w:pPr>
          </w:p>
          <w:p>
            <w:pPr>
              <w:pStyle w:val="TableParagraph"/>
              <w:tabs>
                <w:tab w:pos="741" w:val="left" w:leader="none"/>
                <w:tab w:pos="1289" w:val="left" w:leader="none"/>
                <w:tab w:pos="1836" w:val="left" w:leader="none"/>
              </w:tabs>
              <w:ind w:left="193"/>
              <w:jc w:val="center"/>
              <w:rPr>
                <w:sz w:val="15"/>
              </w:rPr>
            </w:pPr>
            <w:r>
              <w:rPr>
                <w:color w:val="585858"/>
                <w:sz w:val="15"/>
              </w:rPr>
              <w:t>2022</w:t>
              <w:tab/>
              <w:t>2021</w:t>
              <w:tab/>
              <w:t>2020</w:t>
              <w:tab/>
              <w:t>2019</w:t>
            </w:r>
          </w:p>
        </w:tc>
      </w:tr>
    </w:tbl>
    <w:p>
      <w:pPr>
        <w:pStyle w:val="BodyText"/>
        <w:spacing w:before="2"/>
        <w:rPr>
          <w:b/>
          <w:sz w:val="11"/>
        </w:rPr>
      </w:pPr>
    </w:p>
    <w:p>
      <w:pPr>
        <w:pStyle w:val="BodyText"/>
        <w:spacing w:before="60"/>
        <w:ind w:left="2096" w:right="1143" w:firstLine="604"/>
        <w:jc w:val="both"/>
      </w:pPr>
      <w:r>
        <w:rPr/>
        <w:pict>
          <v:group style="position:absolute;margin-left:276.073395pt;margin-top:-132.090652pt;width:186.35pt;height:96.5pt;mso-position-horizontal-relative:page;mso-position-vertical-relative:paragraph;z-index:-323045376" coordorigin="5521,-2642" coordsize="3727,1930">
            <v:line style="position:absolute" from="6751,-2642" to="6751,-712" stroked="true" strokeweight=".629697pt" strokecolor="#d9d9d9">
              <v:stroke dashstyle="solid"/>
            </v:line>
            <v:line style="position:absolute" from="5528,-1407" to="7865,-1407" stroked="true" strokeweight="1.813529pt" strokecolor="#4471c4">
              <v:stroke dashstyle="solid"/>
            </v:line>
            <v:rect style="position:absolute;left:5527;top:-1641;width:3;height:37" filled="true" fillcolor="#4471c4" stroked="false">
              <v:fill type="solid"/>
            </v:rect>
            <v:line style="position:absolute" from="5528,-2051" to="5699,-2051" stroked="true" strokeweight="1.91428pt" strokecolor="#4471c4">
              <v:stroke dashstyle="solid"/>
            </v:line>
            <v:rect style="position:absolute;left:5527;top:-2284;width:15;height:37" filled="true" fillcolor="#4471c4" stroked="false">
              <v:fill type="solid"/>
            </v:rect>
            <v:shape style="position:absolute;left:5527;top:-2479;width:966;height:1715" coordorigin="5528,-2479" coordsize="966,1715" path="m5528,-2479l5987,-2479m5528,-764l6493,-764e" filled="false" stroked="true" strokeweight="1.813529pt" strokecolor="#4471c4">
              <v:path arrowok="t"/>
              <v:stroke dashstyle="solid"/>
            </v:shape>
            <v:line style="position:absolute" from="5528,-800" to="6596,-800" stroked="true" strokeweight="1.813529pt" strokecolor="#ec7c30">
              <v:stroke dashstyle="solid"/>
            </v:line>
            <v:line style="position:absolute" from="5528,-979" to="6535,-979" stroked="true" strokeweight="1.91428pt" strokecolor="#4471c4">
              <v:stroke dashstyle="solid"/>
            </v:line>
            <v:line style="position:absolute" from="5528,-1016" to="6259,-1016" stroked="true" strokeweight="1.813529pt" strokecolor="#ec7c30">
              <v:stroke dashstyle="solid"/>
            </v:line>
            <v:rect style="position:absolute;left:5527;top:-1212;width:57;height:37" filled="true" fillcolor="#4471c4" stroked="false">
              <v:fill type="solid"/>
            </v:rect>
            <v:rect style="position:absolute;left:5527;top:-1248;width:61;height:37" filled="true" fillcolor="#ec7c30" stroked="false">
              <v:fill type="solid"/>
            </v:rect>
            <v:line style="position:absolute" from="7976,-2642" to="7976,-712" stroked="true" strokeweight=".629697pt" strokecolor="#d9d9d9">
              <v:stroke dashstyle="solid"/>
            </v:line>
            <v:line style="position:absolute" from="5528,-1444" to="8428,-1444" stroked="true" strokeweight="1.91428pt" strokecolor="#ec7c30">
              <v:stroke dashstyle="solid"/>
            </v:line>
            <v:shape style="position:absolute;left:5527;top:-2320;width:118;height:680" coordorigin="5528,-2320" coordsize="118,680" path="m5530,-1677l5528,-1677,5528,-1641,5530,-1641,5530,-1677m5540,-2320l5528,-2320,5528,-2283,5540,-2283,5540,-2320m5645,-2106l5528,-2106,5528,-2070,5645,-2070,5645,-2106e" filled="true" fillcolor="#ec7c30" stroked="false">
              <v:path arrowok="t"/>
              <v:fill type="solid"/>
            </v:shape>
            <v:line style="position:absolute" from="5528,-2516" to="7982,-2516" stroked="true" strokeweight="1.91428pt" strokecolor="#ec7c30">
              <v:stroke dashstyle="solid"/>
            </v:line>
            <v:line style="position:absolute" from="5528,-838" to="6576,-838" stroked="true" strokeweight="1.91428pt" strokecolor="#a4a4a4">
              <v:stroke dashstyle="solid"/>
            </v:line>
            <v:line style="position:absolute" from="5528,-1052" to="6445,-1052" stroked="true" strokeweight="1.813529pt" strokecolor="#a4a4a4">
              <v:stroke dashstyle="solid"/>
            </v:line>
            <v:rect style="position:absolute;left:5527;top:-1286;width:57;height:39" filled="true" fillcolor="#a4a4a4" stroked="false">
              <v:fill type="solid"/>
            </v:rect>
            <v:line style="position:absolute" from="9200,-2642" to="9200,-712" stroked="true" strokeweight=".629697pt" strokecolor="#d9d9d9">
              <v:stroke dashstyle="solid"/>
            </v:line>
            <v:line style="position:absolute" from="5528,-1481" to="9248,-1481" stroked="true" strokeweight="1.813529pt" strokecolor="#a4a4a4">
              <v:stroke dashstyle="solid"/>
            </v:line>
            <v:rect style="position:absolute;left:5527;top:-1714;width:3;height:37" filled="true" fillcolor="#a4a4a4" stroked="false">
              <v:fill type="solid"/>
            </v:rect>
            <v:line style="position:absolute" from="5528,-2124" to="6104,-2124" stroked="true" strokeweight="1.813529pt" strokecolor="#a4a4a4">
              <v:stroke dashstyle="solid"/>
            </v:line>
            <v:rect style="position:absolute;left:5527;top:-2358;width:33;height:39" filled="true" fillcolor="#a4a4a4" stroked="false">
              <v:fill type="solid"/>
            </v:rect>
            <v:line style="position:absolute" from="5528,-2553" to="7023,-2553" stroked="true" strokeweight="1.813529pt" strokecolor="#a4a4a4">
              <v:stroke dashstyle="solid"/>
            </v:line>
            <v:shape style="position:absolute;left:5527;top:-1089;width:1034;height:214" coordorigin="5528,-1088" coordsize="1034,214" path="m5528,-875l6533,-875m5528,-1088l6562,-1088e" filled="false" stroked="true" strokeweight="1.813529pt" strokecolor="#ffc000">
              <v:path arrowok="t"/>
              <v:stroke dashstyle="solid"/>
            </v:shape>
            <v:rect style="position:absolute;left:5527;top:-1323;width:126;height:37" filled="true" fillcolor="#ffc000" stroked="false">
              <v:fill type="solid"/>
            </v:rect>
            <v:line style="position:absolute" from="5528,-1518" to="8250,-1518" stroked="true" strokeweight="1.813529pt" strokecolor="#ffc000">
              <v:stroke dashstyle="solid"/>
            </v:line>
            <v:rect style="position:absolute;left:5527;top:-1752;width:5;height:39" filled="true" fillcolor="#ffc000" stroked="false">
              <v:fill type="solid"/>
            </v:rect>
            <v:line style="position:absolute" from="5528,-2160" to="6237,-2160" stroked="true" strokeweight="1.813529pt" strokecolor="#ffc000">
              <v:stroke dashstyle="solid"/>
            </v:line>
            <v:rect style="position:absolute;left:5527;top:-2395;width:13;height:37" filled="true" fillcolor="#ffc000" stroked="false">
              <v:fill type="solid"/>
            </v:rect>
            <v:line style="position:absolute" from="5528,-2590" to="6096,-2590" stroked="true" strokeweight="1.813529pt" strokecolor="#ffc000">
              <v:stroke dashstyle="solid"/>
            </v:line>
            <v:line style="position:absolute" from="5528,-712" to="5528,-2642" stroked="true" strokeweight=".629697pt" strokecolor="#d9d9d9">
              <v:stroke dashstyle="solid"/>
            </v:line>
            <w10:wrap type="none"/>
          </v:group>
        </w:pict>
      </w:r>
      <w:r>
        <w:rPr/>
        <w:pict>
          <v:rect style="position:absolute;margin-left:271.123962pt;margin-top:-21.367422pt;width:4.150378pt;height:4.150378pt;mso-position-horizontal-relative:page;mso-position-vertical-relative:paragraph;z-index:-323044352" filled="true" fillcolor="#ffc000" stroked="false">
            <v:fill type="solid"/>
            <w10:wrap type="none"/>
          </v:rect>
        </w:pict>
      </w:r>
      <w:r>
        <w:rPr/>
        <w:pict>
          <v:rect style="position:absolute;margin-left:298.52002pt;margin-top:-21.367422pt;width:4.150378pt;height:4.150378pt;mso-position-horizontal-relative:page;mso-position-vertical-relative:paragraph;z-index:-323043328" filled="true" fillcolor="#a4a4a4" stroked="false">
            <v:fill type="solid"/>
            <w10:wrap type="none"/>
          </v:rect>
        </w:pict>
      </w:r>
      <w:r>
        <w:rPr/>
        <w:pict>
          <v:rect style="position:absolute;margin-left:325.916046pt;margin-top:-21.367422pt;width:4.150378pt;height:4.150378pt;mso-position-horizontal-relative:page;mso-position-vertical-relative:paragraph;z-index:-323042304" filled="true" fillcolor="#ec7c30" stroked="false">
            <v:fill type="solid"/>
            <w10:wrap type="none"/>
          </v:rect>
        </w:pict>
      </w:r>
      <w:r>
        <w:rPr/>
        <w:pict>
          <v:rect style="position:absolute;margin-left:353.30368pt;margin-top:-21.367422pt;width:4.150378pt;height:4.150378pt;mso-position-horizontal-relative:page;mso-position-vertical-relative:paragraph;z-index:-323041280" filled="true" fillcolor="#4471c4" stroked="false">
            <v:fill type="solid"/>
            <w10:wrap type="none"/>
          </v:rect>
        </w:pict>
      </w:r>
      <w:r>
        <w:rPr/>
        <w:t>De la información reflejada se deduce que los capítulos que más han incrementado los derechos reconocidos son:</w:t>
      </w:r>
    </w:p>
    <w:p>
      <w:pPr>
        <w:pStyle w:val="BodyText"/>
        <w:spacing w:before="10"/>
        <w:rPr>
          <w:sz w:val="16"/>
        </w:rPr>
      </w:pPr>
    </w:p>
    <w:p>
      <w:pPr>
        <w:pStyle w:val="ListParagraph"/>
        <w:numPr>
          <w:ilvl w:val="1"/>
          <w:numId w:val="16"/>
        </w:numPr>
        <w:tabs>
          <w:tab w:pos="2691" w:val="left" w:leader="none"/>
        </w:tabs>
        <w:spacing w:line="240" w:lineRule="auto" w:before="0" w:after="0"/>
        <w:ind w:left="2690" w:right="0" w:hanging="236"/>
        <w:jc w:val="left"/>
        <w:rPr>
          <w:sz w:val="20"/>
        </w:rPr>
      </w:pPr>
      <w:r>
        <w:rPr>
          <w:sz w:val="20"/>
        </w:rPr>
        <w:t>Transferencias de capital (314,09</w:t>
      </w:r>
      <w:r>
        <w:rPr>
          <w:spacing w:val="-1"/>
          <w:sz w:val="20"/>
        </w:rPr>
        <w:t> </w:t>
      </w:r>
      <w:r>
        <w:rPr>
          <w:sz w:val="20"/>
        </w:rPr>
        <w:t>%).</w:t>
      </w:r>
    </w:p>
    <w:p>
      <w:pPr>
        <w:pStyle w:val="ListParagraph"/>
        <w:numPr>
          <w:ilvl w:val="1"/>
          <w:numId w:val="16"/>
        </w:numPr>
        <w:tabs>
          <w:tab w:pos="2691" w:val="left" w:leader="none"/>
        </w:tabs>
        <w:spacing w:line="240" w:lineRule="auto" w:before="2" w:after="0"/>
        <w:ind w:left="2690" w:right="0" w:hanging="236"/>
        <w:jc w:val="left"/>
        <w:rPr>
          <w:sz w:val="20"/>
        </w:rPr>
      </w:pPr>
      <w:r>
        <w:rPr>
          <w:sz w:val="20"/>
        </w:rPr>
        <w:t>Tasas y otros ingresos (122,96</w:t>
      </w:r>
      <w:r>
        <w:rPr>
          <w:spacing w:val="10"/>
          <w:sz w:val="20"/>
        </w:rPr>
        <w:t> </w:t>
      </w:r>
      <w:r>
        <w:rPr>
          <w:sz w:val="20"/>
        </w:rPr>
        <w:t>%).</w:t>
      </w:r>
    </w:p>
    <w:p>
      <w:pPr>
        <w:pStyle w:val="ListParagraph"/>
        <w:numPr>
          <w:ilvl w:val="1"/>
          <w:numId w:val="16"/>
        </w:numPr>
        <w:tabs>
          <w:tab w:pos="2691" w:val="left" w:leader="none"/>
        </w:tabs>
        <w:spacing w:line="240" w:lineRule="auto" w:before="1" w:after="0"/>
        <w:ind w:left="2690" w:right="0" w:hanging="239"/>
        <w:jc w:val="left"/>
        <w:rPr>
          <w:sz w:val="20"/>
        </w:rPr>
      </w:pPr>
      <w:r>
        <w:rPr>
          <w:sz w:val="20"/>
        </w:rPr>
        <w:t>Ingresos patrimoniales (60,12</w:t>
      </w:r>
      <w:r>
        <w:rPr>
          <w:spacing w:val="12"/>
          <w:sz w:val="20"/>
        </w:rPr>
        <w:t> </w:t>
      </w:r>
      <w:r>
        <w:rPr>
          <w:sz w:val="20"/>
        </w:rPr>
        <w:t>%).</w:t>
      </w:r>
    </w:p>
    <w:p>
      <w:pPr>
        <w:pStyle w:val="BodyText"/>
        <w:spacing w:before="8"/>
        <w:rPr>
          <w:sz w:val="16"/>
        </w:rPr>
      </w:pPr>
    </w:p>
    <w:p>
      <w:pPr>
        <w:pStyle w:val="BodyText"/>
        <w:ind w:left="2096" w:right="1138" w:firstLine="604"/>
        <w:jc w:val="both"/>
      </w:pPr>
      <w:r>
        <w:rPr/>
        <w:t>En cuanto al elevado incremento del año 2021 de las transferencias corrientes, se debe a la incorporación de nuevos fondos para la COVID-19 y los fondos Next Generation EU</w:t>
      </w:r>
      <w:r>
        <w:rPr>
          <w:position w:val="7"/>
          <w:sz w:val="13"/>
        </w:rPr>
        <w:t>8</w:t>
      </w:r>
      <w:r>
        <w:rPr/>
        <w:t>.</w:t>
      </w:r>
    </w:p>
    <w:p>
      <w:pPr>
        <w:pStyle w:val="BodyText"/>
      </w:pPr>
    </w:p>
    <w:p>
      <w:pPr>
        <w:pStyle w:val="BodyText"/>
        <w:spacing w:before="8"/>
        <w:rPr>
          <w:sz w:val="15"/>
        </w:rPr>
      </w:pPr>
      <w:r>
        <w:rPr/>
        <w:pict>
          <v:shape style="position:absolute;margin-left:142.816818pt;margin-top:11.855957pt;width:120.95pt;height:.1pt;mso-position-horizontal-relative:page;mso-position-vertical-relative:paragraph;z-index:-251532288;mso-wrap-distance-left:0;mso-wrap-distance-right:0" coordorigin="2856,237" coordsize="2419,0" path="m2856,237l5275,237e" filled="false" stroked="true" strokeweight=".60451pt" strokecolor="#000000">
            <v:path arrowok="t"/>
            <v:stroke dashstyle="solid"/>
            <w10:wrap type="topAndBottom"/>
          </v:shape>
        </w:pict>
      </w:r>
    </w:p>
    <w:p>
      <w:pPr>
        <w:spacing w:line="252" w:lineRule="auto" w:before="51"/>
        <w:ind w:left="2096" w:right="1141" w:firstLine="0"/>
        <w:jc w:val="both"/>
        <w:rPr>
          <w:sz w:val="16"/>
        </w:rPr>
      </w:pPr>
      <w:r>
        <w:rPr>
          <w:w w:val="105"/>
          <w:position w:val="6"/>
          <w:sz w:val="11"/>
        </w:rPr>
        <w:t>8</w:t>
      </w:r>
      <w:r>
        <w:rPr>
          <w:spacing w:val="6"/>
          <w:w w:val="105"/>
          <w:position w:val="6"/>
          <w:sz w:val="11"/>
        </w:rPr>
        <w:t> </w:t>
      </w:r>
      <w:r>
        <w:rPr>
          <w:w w:val="105"/>
          <w:sz w:val="16"/>
        </w:rPr>
        <w:t>En</w:t>
      </w:r>
      <w:r>
        <w:rPr>
          <w:spacing w:val="-6"/>
          <w:w w:val="105"/>
          <w:sz w:val="16"/>
        </w:rPr>
        <w:t> </w:t>
      </w:r>
      <w:r>
        <w:rPr>
          <w:w w:val="105"/>
          <w:sz w:val="16"/>
        </w:rPr>
        <w:t>el</w:t>
      </w:r>
      <w:r>
        <w:rPr>
          <w:spacing w:val="-4"/>
          <w:w w:val="105"/>
          <w:sz w:val="16"/>
        </w:rPr>
        <w:t> </w:t>
      </w:r>
      <w:r>
        <w:rPr>
          <w:w w:val="105"/>
          <w:sz w:val="16"/>
        </w:rPr>
        <w:t>Decreto</w:t>
      </w:r>
      <w:r>
        <w:rPr>
          <w:spacing w:val="-4"/>
          <w:w w:val="105"/>
          <w:sz w:val="16"/>
        </w:rPr>
        <w:t> </w:t>
      </w:r>
      <w:r>
        <w:rPr>
          <w:w w:val="105"/>
          <w:sz w:val="16"/>
        </w:rPr>
        <w:t>ley</w:t>
      </w:r>
      <w:r>
        <w:rPr>
          <w:spacing w:val="-4"/>
          <w:w w:val="105"/>
          <w:sz w:val="16"/>
        </w:rPr>
        <w:t> </w:t>
      </w:r>
      <w:r>
        <w:rPr>
          <w:w w:val="105"/>
          <w:sz w:val="16"/>
        </w:rPr>
        <w:t>6/2021,</w:t>
      </w:r>
      <w:r>
        <w:rPr>
          <w:spacing w:val="-4"/>
          <w:w w:val="105"/>
          <w:sz w:val="16"/>
        </w:rPr>
        <w:t> </w:t>
      </w:r>
      <w:r>
        <w:rPr>
          <w:w w:val="105"/>
          <w:sz w:val="16"/>
        </w:rPr>
        <w:t>de</w:t>
      </w:r>
      <w:r>
        <w:rPr>
          <w:spacing w:val="-5"/>
          <w:w w:val="105"/>
          <w:sz w:val="16"/>
        </w:rPr>
        <w:t> </w:t>
      </w:r>
      <w:r>
        <w:rPr>
          <w:w w:val="105"/>
          <w:sz w:val="16"/>
        </w:rPr>
        <w:t>4</w:t>
      </w:r>
      <w:r>
        <w:rPr>
          <w:spacing w:val="-5"/>
          <w:w w:val="105"/>
          <w:sz w:val="16"/>
        </w:rPr>
        <w:t> </w:t>
      </w:r>
      <w:r>
        <w:rPr>
          <w:w w:val="105"/>
          <w:sz w:val="16"/>
        </w:rPr>
        <w:t>de</w:t>
      </w:r>
      <w:r>
        <w:rPr>
          <w:spacing w:val="-5"/>
          <w:w w:val="105"/>
          <w:sz w:val="16"/>
        </w:rPr>
        <w:t> </w:t>
      </w:r>
      <w:r>
        <w:rPr>
          <w:w w:val="105"/>
          <w:sz w:val="16"/>
        </w:rPr>
        <w:t>junio,</w:t>
      </w:r>
      <w:r>
        <w:rPr>
          <w:spacing w:val="-5"/>
          <w:w w:val="105"/>
          <w:sz w:val="16"/>
        </w:rPr>
        <w:t> </w:t>
      </w:r>
      <w:r>
        <w:rPr>
          <w:w w:val="105"/>
          <w:sz w:val="16"/>
        </w:rPr>
        <w:t>se</w:t>
      </w:r>
      <w:r>
        <w:rPr>
          <w:spacing w:val="-7"/>
          <w:w w:val="105"/>
          <w:sz w:val="16"/>
        </w:rPr>
        <w:t> </w:t>
      </w:r>
      <w:r>
        <w:rPr>
          <w:w w:val="105"/>
          <w:sz w:val="16"/>
        </w:rPr>
        <w:t>reguló</w:t>
      </w:r>
      <w:r>
        <w:rPr>
          <w:spacing w:val="-4"/>
          <w:w w:val="105"/>
          <w:sz w:val="16"/>
        </w:rPr>
        <w:t> </w:t>
      </w:r>
      <w:r>
        <w:rPr>
          <w:w w:val="105"/>
          <w:sz w:val="16"/>
        </w:rPr>
        <w:t>en</w:t>
      </w:r>
      <w:r>
        <w:rPr>
          <w:spacing w:val="-4"/>
          <w:w w:val="105"/>
          <w:sz w:val="16"/>
        </w:rPr>
        <w:t> </w:t>
      </w:r>
      <w:r>
        <w:rPr>
          <w:w w:val="105"/>
          <w:sz w:val="16"/>
        </w:rPr>
        <w:t>el</w:t>
      </w:r>
      <w:r>
        <w:rPr>
          <w:spacing w:val="-4"/>
          <w:w w:val="105"/>
          <w:sz w:val="16"/>
        </w:rPr>
        <w:t> </w:t>
      </w:r>
      <w:r>
        <w:rPr>
          <w:w w:val="105"/>
          <w:sz w:val="16"/>
        </w:rPr>
        <w:t>ámbito</w:t>
      </w:r>
      <w:r>
        <w:rPr>
          <w:spacing w:val="-4"/>
          <w:w w:val="105"/>
          <w:sz w:val="16"/>
        </w:rPr>
        <w:t> </w:t>
      </w:r>
      <w:r>
        <w:rPr>
          <w:w w:val="105"/>
          <w:sz w:val="16"/>
        </w:rPr>
        <w:t>de</w:t>
      </w:r>
      <w:r>
        <w:rPr>
          <w:spacing w:val="-5"/>
          <w:w w:val="105"/>
          <w:sz w:val="16"/>
        </w:rPr>
        <w:t> </w:t>
      </w:r>
      <w:r>
        <w:rPr>
          <w:w w:val="105"/>
          <w:sz w:val="16"/>
        </w:rPr>
        <w:t>la</w:t>
      </w:r>
      <w:r>
        <w:rPr>
          <w:spacing w:val="-6"/>
          <w:w w:val="105"/>
          <w:sz w:val="16"/>
        </w:rPr>
        <w:t> </w:t>
      </w:r>
      <w:r>
        <w:rPr>
          <w:w w:val="105"/>
          <w:sz w:val="16"/>
        </w:rPr>
        <w:t>CAC</w:t>
      </w:r>
      <w:r>
        <w:rPr>
          <w:spacing w:val="-5"/>
          <w:w w:val="105"/>
          <w:sz w:val="16"/>
        </w:rPr>
        <w:t> </w:t>
      </w:r>
      <w:r>
        <w:rPr>
          <w:w w:val="105"/>
          <w:sz w:val="16"/>
        </w:rPr>
        <w:t>la</w:t>
      </w:r>
      <w:r>
        <w:rPr>
          <w:spacing w:val="-4"/>
          <w:w w:val="105"/>
          <w:sz w:val="16"/>
        </w:rPr>
        <w:t> </w:t>
      </w:r>
      <w:r>
        <w:rPr>
          <w:w w:val="105"/>
          <w:sz w:val="16"/>
        </w:rPr>
        <w:t>concesión</w:t>
      </w:r>
      <w:r>
        <w:rPr>
          <w:spacing w:val="-5"/>
          <w:w w:val="105"/>
          <w:sz w:val="16"/>
        </w:rPr>
        <w:t> </w:t>
      </w:r>
      <w:r>
        <w:rPr>
          <w:w w:val="105"/>
          <w:sz w:val="16"/>
        </w:rPr>
        <w:t>de</w:t>
      </w:r>
      <w:r>
        <w:rPr>
          <w:spacing w:val="-7"/>
          <w:w w:val="105"/>
          <w:sz w:val="16"/>
        </w:rPr>
        <w:t> </w:t>
      </w:r>
      <w:r>
        <w:rPr>
          <w:w w:val="105"/>
          <w:sz w:val="16"/>
        </w:rPr>
        <w:t>la</w:t>
      </w:r>
      <w:r>
        <w:rPr>
          <w:spacing w:val="-4"/>
          <w:w w:val="105"/>
          <w:sz w:val="16"/>
        </w:rPr>
        <w:t> </w:t>
      </w:r>
      <w:r>
        <w:rPr>
          <w:w w:val="105"/>
          <w:sz w:val="16"/>
        </w:rPr>
        <w:t>“Línea</w:t>
      </w:r>
      <w:r>
        <w:rPr>
          <w:spacing w:val="-4"/>
          <w:w w:val="105"/>
          <w:sz w:val="16"/>
        </w:rPr>
        <w:t> </w:t>
      </w:r>
      <w:r>
        <w:rPr>
          <w:w w:val="105"/>
          <w:sz w:val="16"/>
        </w:rPr>
        <w:t>COVID de</w:t>
      </w:r>
      <w:r>
        <w:rPr>
          <w:spacing w:val="-6"/>
          <w:w w:val="105"/>
          <w:sz w:val="16"/>
        </w:rPr>
        <w:t> </w:t>
      </w:r>
      <w:r>
        <w:rPr>
          <w:w w:val="105"/>
          <w:sz w:val="16"/>
        </w:rPr>
        <w:t>ayudas</w:t>
      </w:r>
      <w:r>
        <w:rPr>
          <w:spacing w:val="-5"/>
          <w:w w:val="105"/>
          <w:sz w:val="16"/>
        </w:rPr>
        <w:t> </w:t>
      </w:r>
      <w:r>
        <w:rPr>
          <w:w w:val="105"/>
          <w:sz w:val="16"/>
        </w:rPr>
        <w:t>directas</w:t>
      </w:r>
      <w:r>
        <w:rPr>
          <w:spacing w:val="-3"/>
          <w:w w:val="105"/>
          <w:sz w:val="16"/>
        </w:rPr>
        <w:t> </w:t>
      </w:r>
      <w:r>
        <w:rPr>
          <w:w w:val="105"/>
          <w:sz w:val="16"/>
        </w:rPr>
        <w:t>a</w:t>
      </w:r>
      <w:r>
        <w:rPr>
          <w:spacing w:val="-6"/>
          <w:w w:val="105"/>
          <w:sz w:val="16"/>
        </w:rPr>
        <w:t> </w:t>
      </w:r>
      <w:r>
        <w:rPr>
          <w:w w:val="105"/>
          <w:sz w:val="16"/>
        </w:rPr>
        <w:t>personas</w:t>
      </w:r>
      <w:r>
        <w:rPr>
          <w:spacing w:val="-5"/>
          <w:w w:val="105"/>
          <w:sz w:val="16"/>
        </w:rPr>
        <w:t> </w:t>
      </w:r>
      <w:r>
        <w:rPr>
          <w:w w:val="105"/>
          <w:sz w:val="16"/>
        </w:rPr>
        <w:t>autónomas</w:t>
      </w:r>
      <w:r>
        <w:rPr>
          <w:spacing w:val="-5"/>
          <w:w w:val="105"/>
          <w:sz w:val="16"/>
        </w:rPr>
        <w:t> </w:t>
      </w:r>
      <w:r>
        <w:rPr>
          <w:w w:val="105"/>
          <w:sz w:val="16"/>
        </w:rPr>
        <w:t>y</w:t>
      </w:r>
      <w:r>
        <w:rPr>
          <w:spacing w:val="-4"/>
          <w:w w:val="105"/>
          <w:sz w:val="16"/>
        </w:rPr>
        <w:t> </w:t>
      </w:r>
      <w:r>
        <w:rPr>
          <w:w w:val="105"/>
          <w:sz w:val="16"/>
        </w:rPr>
        <w:t>empresas”</w:t>
      </w:r>
      <w:r>
        <w:rPr>
          <w:spacing w:val="-6"/>
          <w:w w:val="105"/>
          <w:sz w:val="16"/>
        </w:rPr>
        <w:t> </w:t>
      </w:r>
      <w:r>
        <w:rPr>
          <w:w w:val="105"/>
          <w:sz w:val="16"/>
        </w:rPr>
        <w:t>prevista</w:t>
      </w:r>
      <w:r>
        <w:rPr>
          <w:spacing w:val="-4"/>
          <w:w w:val="105"/>
          <w:sz w:val="16"/>
        </w:rPr>
        <w:t> </w:t>
      </w:r>
      <w:r>
        <w:rPr>
          <w:w w:val="105"/>
          <w:sz w:val="16"/>
        </w:rPr>
        <w:t>en</w:t>
      </w:r>
      <w:r>
        <w:rPr>
          <w:spacing w:val="-4"/>
          <w:w w:val="105"/>
          <w:sz w:val="16"/>
        </w:rPr>
        <w:t> </w:t>
      </w:r>
      <w:r>
        <w:rPr>
          <w:w w:val="105"/>
          <w:sz w:val="16"/>
        </w:rPr>
        <w:t>el</w:t>
      </w:r>
      <w:r>
        <w:rPr>
          <w:spacing w:val="-4"/>
          <w:w w:val="105"/>
          <w:sz w:val="16"/>
        </w:rPr>
        <w:t> </w:t>
      </w:r>
      <w:r>
        <w:rPr>
          <w:w w:val="105"/>
          <w:sz w:val="16"/>
        </w:rPr>
        <w:t>Título</w:t>
      </w:r>
      <w:r>
        <w:rPr>
          <w:spacing w:val="-4"/>
          <w:w w:val="105"/>
          <w:sz w:val="16"/>
        </w:rPr>
        <w:t> </w:t>
      </w:r>
      <w:r>
        <w:rPr>
          <w:w w:val="105"/>
          <w:sz w:val="16"/>
        </w:rPr>
        <w:t>I</w:t>
      </w:r>
      <w:r>
        <w:rPr>
          <w:spacing w:val="-4"/>
          <w:w w:val="105"/>
          <w:sz w:val="16"/>
        </w:rPr>
        <w:t> </w:t>
      </w:r>
      <w:r>
        <w:rPr>
          <w:w w:val="105"/>
          <w:sz w:val="16"/>
        </w:rPr>
        <w:t>del</w:t>
      </w:r>
      <w:r>
        <w:rPr>
          <w:spacing w:val="-5"/>
          <w:w w:val="105"/>
          <w:sz w:val="16"/>
        </w:rPr>
        <w:t> </w:t>
      </w:r>
      <w:r>
        <w:rPr>
          <w:w w:val="105"/>
          <w:sz w:val="16"/>
        </w:rPr>
        <w:t>Real</w:t>
      </w:r>
      <w:r>
        <w:rPr>
          <w:spacing w:val="-4"/>
          <w:w w:val="105"/>
          <w:sz w:val="16"/>
        </w:rPr>
        <w:t> </w:t>
      </w:r>
      <w:r>
        <w:rPr>
          <w:w w:val="105"/>
          <w:sz w:val="16"/>
        </w:rPr>
        <w:t>Decreto-ley</w:t>
      </w:r>
      <w:r>
        <w:rPr>
          <w:spacing w:val="-4"/>
          <w:w w:val="105"/>
          <w:sz w:val="16"/>
        </w:rPr>
        <w:t> </w:t>
      </w:r>
      <w:r>
        <w:rPr>
          <w:w w:val="105"/>
          <w:sz w:val="16"/>
        </w:rPr>
        <w:t>5/2021, de 12 de marzo, de medidas extraordinarias de apoyo a la solvencia empresarial en respuesta a la pandemia de la COVID-19, financiada por el Gobierno de España, con una dotación de 1.144,3 millones de €, no contemplada en el presupuesto inicial de la</w:t>
      </w:r>
      <w:r>
        <w:rPr>
          <w:spacing w:val="-5"/>
          <w:w w:val="105"/>
          <w:sz w:val="16"/>
        </w:rPr>
        <w:t> </w:t>
      </w:r>
      <w:r>
        <w:rPr>
          <w:w w:val="105"/>
          <w:sz w:val="16"/>
        </w:rPr>
        <w:t>CAC.</w:t>
      </w:r>
    </w:p>
    <w:p>
      <w:pPr>
        <w:spacing w:line="252" w:lineRule="auto" w:before="0"/>
        <w:ind w:left="2096" w:right="1142" w:firstLine="0"/>
        <w:jc w:val="both"/>
        <w:rPr>
          <w:sz w:val="16"/>
        </w:rPr>
      </w:pPr>
      <w:r>
        <w:rPr>
          <w:w w:val="105"/>
          <w:sz w:val="16"/>
        </w:rPr>
        <w:t>Mediante</w:t>
      </w:r>
      <w:r>
        <w:rPr>
          <w:spacing w:val="-9"/>
          <w:w w:val="105"/>
          <w:sz w:val="16"/>
        </w:rPr>
        <w:t> </w:t>
      </w:r>
      <w:r>
        <w:rPr>
          <w:w w:val="105"/>
          <w:sz w:val="16"/>
        </w:rPr>
        <w:t>el</w:t>
      </w:r>
      <w:r>
        <w:rPr>
          <w:spacing w:val="-7"/>
          <w:w w:val="105"/>
          <w:sz w:val="16"/>
        </w:rPr>
        <w:t> </w:t>
      </w:r>
      <w:r>
        <w:rPr>
          <w:w w:val="105"/>
          <w:sz w:val="16"/>
        </w:rPr>
        <w:t>Real</w:t>
      </w:r>
      <w:r>
        <w:rPr>
          <w:spacing w:val="-6"/>
          <w:w w:val="105"/>
          <w:sz w:val="16"/>
        </w:rPr>
        <w:t> </w:t>
      </w:r>
      <w:r>
        <w:rPr>
          <w:w w:val="105"/>
          <w:sz w:val="16"/>
        </w:rPr>
        <w:t>Decreto</w:t>
      </w:r>
      <w:r>
        <w:rPr>
          <w:spacing w:val="-7"/>
          <w:w w:val="105"/>
          <w:sz w:val="16"/>
        </w:rPr>
        <w:t> </w:t>
      </w:r>
      <w:r>
        <w:rPr>
          <w:w w:val="105"/>
          <w:sz w:val="16"/>
        </w:rPr>
        <w:t>684/2021,</w:t>
      </w:r>
      <w:r>
        <w:rPr>
          <w:spacing w:val="-8"/>
          <w:w w:val="105"/>
          <w:sz w:val="16"/>
        </w:rPr>
        <w:t> </w:t>
      </w:r>
      <w:r>
        <w:rPr>
          <w:w w:val="105"/>
          <w:sz w:val="16"/>
        </w:rPr>
        <w:t>de</w:t>
      </w:r>
      <w:r>
        <w:rPr>
          <w:spacing w:val="-7"/>
          <w:w w:val="105"/>
          <w:sz w:val="16"/>
        </w:rPr>
        <w:t> </w:t>
      </w:r>
      <w:r>
        <w:rPr>
          <w:w w:val="105"/>
          <w:sz w:val="16"/>
        </w:rPr>
        <w:t>3</w:t>
      </w:r>
      <w:r>
        <w:rPr>
          <w:spacing w:val="-7"/>
          <w:w w:val="105"/>
          <w:sz w:val="16"/>
        </w:rPr>
        <w:t> </w:t>
      </w:r>
      <w:r>
        <w:rPr>
          <w:w w:val="105"/>
          <w:sz w:val="16"/>
        </w:rPr>
        <w:t>de</w:t>
      </w:r>
      <w:r>
        <w:rPr>
          <w:spacing w:val="-9"/>
          <w:w w:val="105"/>
          <w:sz w:val="16"/>
        </w:rPr>
        <w:t> </w:t>
      </w:r>
      <w:r>
        <w:rPr>
          <w:w w:val="105"/>
          <w:sz w:val="16"/>
        </w:rPr>
        <w:t>agosto,</w:t>
      </w:r>
      <w:r>
        <w:rPr>
          <w:spacing w:val="-7"/>
          <w:w w:val="105"/>
          <w:sz w:val="16"/>
        </w:rPr>
        <w:t> </w:t>
      </w:r>
      <w:r>
        <w:rPr>
          <w:w w:val="105"/>
          <w:sz w:val="16"/>
        </w:rPr>
        <w:t>por</w:t>
      </w:r>
      <w:r>
        <w:rPr>
          <w:spacing w:val="-8"/>
          <w:w w:val="105"/>
          <w:sz w:val="16"/>
        </w:rPr>
        <w:t> </w:t>
      </w:r>
      <w:r>
        <w:rPr>
          <w:w w:val="105"/>
          <w:sz w:val="16"/>
        </w:rPr>
        <w:t>el</w:t>
      </w:r>
      <w:r>
        <w:rPr>
          <w:spacing w:val="-8"/>
          <w:w w:val="105"/>
          <w:sz w:val="16"/>
        </w:rPr>
        <w:t> </w:t>
      </w:r>
      <w:r>
        <w:rPr>
          <w:w w:val="105"/>
          <w:sz w:val="16"/>
        </w:rPr>
        <w:t>que</w:t>
      </w:r>
      <w:r>
        <w:rPr>
          <w:spacing w:val="-8"/>
          <w:w w:val="105"/>
          <w:sz w:val="16"/>
        </w:rPr>
        <w:t> </w:t>
      </w:r>
      <w:r>
        <w:rPr>
          <w:w w:val="105"/>
          <w:sz w:val="16"/>
        </w:rPr>
        <w:t>se</w:t>
      </w:r>
      <w:r>
        <w:rPr>
          <w:spacing w:val="-9"/>
          <w:w w:val="105"/>
          <w:sz w:val="16"/>
        </w:rPr>
        <w:t> </w:t>
      </w:r>
      <w:r>
        <w:rPr>
          <w:w w:val="105"/>
          <w:sz w:val="16"/>
        </w:rPr>
        <w:t>establecen</w:t>
      </w:r>
      <w:r>
        <w:rPr>
          <w:spacing w:val="-8"/>
          <w:w w:val="105"/>
          <w:sz w:val="16"/>
        </w:rPr>
        <w:t> </w:t>
      </w:r>
      <w:r>
        <w:rPr>
          <w:w w:val="105"/>
          <w:sz w:val="16"/>
        </w:rPr>
        <w:t>la</w:t>
      </w:r>
      <w:r>
        <w:rPr>
          <w:spacing w:val="-7"/>
          <w:w w:val="105"/>
          <w:sz w:val="16"/>
        </w:rPr>
        <w:t> </w:t>
      </w:r>
      <w:r>
        <w:rPr>
          <w:w w:val="105"/>
          <w:sz w:val="16"/>
        </w:rPr>
        <w:t>distribución</w:t>
      </w:r>
      <w:r>
        <w:rPr>
          <w:spacing w:val="-8"/>
          <w:w w:val="105"/>
          <w:sz w:val="16"/>
        </w:rPr>
        <w:t> </w:t>
      </w:r>
      <w:r>
        <w:rPr>
          <w:w w:val="105"/>
          <w:sz w:val="16"/>
        </w:rPr>
        <w:t>y</w:t>
      </w:r>
      <w:r>
        <w:rPr>
          <w:spacing w:val="-8"/>
          <w:w w:val="105"/>
          <w:sz w:val="16"/>
        </w:rPr>
        <w:t> </w:t>
      </w:r>
      <w:r>
        <w:rPr>
          <w:w w:val="105"/>
          <w:sz w:val="16"/>
        </w:rPr>
        <w:t>los</w:t>
      </w:r>
      <w:r>
        <w:rPr>
          <w:spacing w:val="-6"/>
          <w:w w:val="105"/>
          <w:sz w:val="16"/>
        </w:rPr>
        <w:t> </w:t>
      </w:r>
      <w:r>
        <w:rPr>
          <w:w w:val="105"/>
          <w:sz w:val="16"/>
        </w:rPr>
        <w:t>aspectos necesarios</w:t>
      </w:r>
      <w:r>
        <w:rPr>
          <w:spacing w:val="-9"/>
          <w:w w:val="105"/>
          <w:sz w:val="16"/>
        </w:rPr>
        <w:t> </w:t>
      </w:r>
      <w:r>
        <w:rPr>
          <w:w w:val="105"/>
          <w:sz w:val="16"/>
        </w:rPr>
        <w:t>para</w:t>
      </w:r>
      <w:r>
        <w:rPr>
          <w:spacing w:val="-10"/>
          <w:w w:val="105"/>
          <w:sz w:val="16"/>
        </w:rPr>
        <w:t> </w:t>
      </w:r>
      <w:r>
        <w:rPr>
          <w:w w:val="105"/>
          <w:sz w:val="16"/>
        </w:rPr>
        <w:t>poder</w:t>
      </w:r>
      <w:r>
        <w:rPr>
          <w:spacing w:val="-10"/>
          <w:w w:val="105"/>
          <w:sz w:val="16"/>
        </w:rPr>
        <w:t> </w:t>
      </w:r>
      <w:r>
        <w:rPr>
          <w:w w:val="105"/>
          <w:sz w:val="16"/>
        </w:rPr>
        <w:t>efectuar</w:t>
      </w:r>
      <w:r>
        <w:rPr>
          <w:spacing w:val="-9"/>
          <w:w w:val="105"/>
          <w:sz w:val="16"/>
        </w:rPr>
        <w:t> </w:t>
      </w:r>
      <w:r>
        <w:rPr>
          <w:w w:val="105"/>
          <w:sz w:val="16"/>
        </w:rPr>
        <w:t>el</w:t>
      </w:r>
      <w:r>
        <w:rPr>
          <w:spacing w:val="-10"/>
          <w:w w:val="105"/>
          <w:sz w:val="16"/>
        </w:rPr>
        <w:t> </w:t>
      </w:r>
      <w:r>
        <w:rPr>
          <w:w w:val="105"/>
          <w:sz w:val="16"/>
        </w:rPr>
        <w:t>libramiento</w:t>
      </w:r>
      <w:r>
        <w:rPr>
          <w:spacing w:val="-10"/>
          <w:w w:val="105"/>
          <w:sz w:val="16"/>
        </w:rPr>
        <w:t> </w:t>
      </w:r>
      <w:r>
        <w:rPr>
          <w:w w:val="105"/>
          <w:sz w:val="16"/>
        </w:rPr>
        <w:t>de</w:t>
      </w:r>
      <w:r>
        <w:rPr>
          <w:spacing w:val="-10"/>
          <w:w w:val="105"/>
          <w:sz w:val="16"/>
        </w:rPr>
        <w:t> </w:t>
      </w:r>
      <w:r>
        <w:rPr>
          <w:w w:val="105"/>
          <w:sz w:val="16"/>
        </w:rPr>
        <w:t>la</w:t>
      </w:r>
      <w:r>
        <w:rPr>
          <w:spacing w:val="-10"/>
          <w:w w:val="105"/>
          <w:sz w:val="16"/>
        </w:rPr>
        <w:t> </w:t>
      </w:r>
      <w:r>
        <w:rPr>
          <w:w w:val="105"/>
          <w:sz w:val="16"/>
        </w:rPr>
        <w:t>dotación</w:t>
      </w:r>
      <w:r>
        <w:rPr>
          <w:spacing w:val="-8"/>
          <w:w w:val="105"/>
          <w:sz w:val="16"/>
        </w:rPr>
        <w:t> </w:t>
      </w:r>
      <w:r>
        <w:rPr>
          <w:w w:val="105"/>
          <w:sz w:val="16"/>
        </w:rPr>
        <w:t>adicional</w:t>
      </w:r>
      <w:r>
        <w:rPr>
          <w:spacing w:val="-10"/>
          <w:w w:val="105"/>
          <w:sz w:val="16"/>
        </w:rPr>
        <w:t> </w:t>
      </w:r>
      <w:r>
        <w:rPr>
          <w:w w:val="105"/>
          <w:sz w:val="16"/>
        </w:rPr>
        <w:t>de</w:t>
      </w:r>
      <w:r>
        <w:rPr>
          <w:spacing w:val="-10"/>
          <w:w w:val="105"/>
          <w:sz w:val="16"/>
        </w:rPr>
        <w:t> </w:t>
      </w:r>
      <w:r>
        <w:rPr>
          <w:w w:val="105"/>
          <w:sz w:val="16"/>
        </w:rPr>
        <w:t>recursos</w:t>
      </w:r>
      <w:r>
        <w:rPr>
          <w:spacing w:val="-9"/>
          <w:w w:val="105"/>
          <w:sz w:val="16"/>
        </w:rPr>
        <w:t> </w:t>
      </w:r>
      <w:r>
        <w:rPr>
          <w:w w:val="105"/>
          <w:sz w:val="16"/>
        </w:rPr>
        <w:t>para</w:t>
      </w:r>
      <w:r>
        <w:rPr>
          <w:spacing w:val="-10"/>
          <w:w w:val="105"/>
          <w:sz w:val="16"/>
        </w:rPr>
        <w:t> </w:t>
      </w:r>
      <w:r>
        <w:rPr>
          <w:w w:val="105"/>
          <w:sz w:val="16"/>
        </w:rPr>
        <w:t>las</w:t>
      </w:r>
      <w:r>
        <w:rPr>
          <w:spacing w:val="-8"/>
          <w:w w:val="105"/>
          <w:sz w:val="16"/>
        </w:rPr>
        <w:t> </w:t>
      </w:r>
      <w:r>
        <w:rPr>
          <w:w w:val="105"/>
          <w:sz w:val="16"/>
        </w:rPr>
        <w:t>CAC</w:t>
      </w:r>
      <w:r>
        <w:rPr>
          <w:spacing w:val="-11"/>
          <w:w w:val="105"/>
          <w:sz w:val="16"/>
        </w:rPr>
        <w:t> </w:t>
      </w:r>
      <w:r>
        <w:rPr>
          <w:w w:val="105"/>
          <w:sz w:val="16"/>
        </w:rPr>
        <w:t>y</w:t>
      </w:r>
      <w:r>
        <w:rPr>
          <w:spacing w:val="-8"/>
          <w:w w:val="105"/>
          <w:sz w:val="16"/>
        </w:rPr>
        <w:t> </w:t>
      </w:r>
      <w:r>
        <w:rPr>
          <w:w w:val="105"/>
          <w:sz w:val="16"/>
        </w:rPr>
        <w:t>Ciudades de</w:t>
      </w:r>
      <w:r>
        <w:rPr>
          <w:spacing w:val="-11"/>
          <w:w w:val="105"/>
          <w:sz w:val="16"/>
        </w:rPr>
        <w:t> </w:t>
      </w:r>
      <w:r>
        <w:rPr>
          <w:w w:val="105"/>
          <w:sz w:val="16"/>
        </w:rPr>
        <w:t>Ceuta</w:t>
      </w:r>
      <w:r>
        <w:rPr>
          <w:spacing w:val="-10"/>
          <w:w w:val="105"/>
          <w:sz w:val="16"/>
        </w:rPr>
        <w:t> </w:t>
      </w:r>
      <w:r>
        <w:rPr>
          <w:w w:val="105"/>
          <w:sz w:val="16"/>
        </w:rPr>
        <w:t>y</w:t>
      </w:r>
      <w:r>
        <w:rPr>
          <w:spacing w:val="-10"/>
          <w:w w:val="105"/>
          <w:sz w:val="16"/>
        </w:rPr>
        <w:t> </w:t>
      </w:r>
      <w:r>
        <w:rPr>
          <w:w w:val="105"/>
          <w:sz w:val="16"/>
        </w:rPr>
        <w:t>Melilla</w:t>
      </w:r>
      <w:r>
        <w:rPr>
          <w:spacing w:val="-10"/>
          <w:w w:val="105"/>
          <w:sz w:val="16"/>
        </w:rPr>
        <w:t> </w:t>
      </w:r>
      <w:r>
        <w:rPr>
          <w:w w:val="105"/>
          <w:sz w:val="16"/>
        </w:rPr>
        <w:t>prevista</w:t>
      </w:r>
      <w:r>
        <w:rPr>
          <w:spacing w:val="-10"/>
          <w:w w:val="105"/>
          <w:sz w:val="16"/>
        </w:rPr>
        <w:t> </w:t>
      </w:r>
      <w:r>
        <w:rPr>
          <w:w w:val="105"/>
          <w:sz w:val="16"/>
        </w:rPr>
        <w:t>en</w:t>
      </w:r>
      <w:r>
        <w:rPr>
          <w:spacing w:val="-10"/>
          <w:w w:val="105"/>
          <w:sz w:val="16"/>
        </w:rPr>
        <w:t> </w:t>
      </w:r>
      <w:r>
        <w:rPr>
          <w:w w:val="105"/>
          <w:sz w:val="16"/>
        </w:rPr>
        <w:t>el</w:t>
      </w:r>
      <w:r>
        <w:rPr>
          <w:spacing w:val="-9"/>
          <w:w w:val="105"/>
          <w:sz w:val="16"/>
        </w:rPr>
        <w:t> </w:t>
      </w:r>
      <w:r>
        <w:rPr>
          <w:w w:val="105"/>
          <w:sz w:val="16"/>
        </w:rPr>
        <w:t>Art.</w:t>
      </w:r>
      <w:r>
        <w:rPr>
          <w:spacing w:val="-10"/>
          <w:w w:val="105"/>
          <w:sz w:val="16"/>
        </w:rPr>
        <w:t> </w:t>
      </w:r>
      <w:r>
        <w:rPr>
          <w:w w:val="105"/>
          <w:sz w:val="16"/>
        </w:rPr>
        <w:t>117</w:t>
      </w:r>
      <w:r>
        <w:rPr>
          <w:spacing w:val="-11"/>
          <w:w w:val="105"/>
          <w:sz w:val="16"/>
        </w:rPr>
        <w:t> </w:t>
      </w:r>
      <w:r>
        <w:rPr>
          <w:w w:val="105"/>
          <w:sz w:val="16"/>
        </w:rPr>
        <w:t>de</w:t>
      </w:r>
      <w:r>
        <w:rPr>
          <w:spacing w:val="-11"/>
          <w:w w:val="105"/>
          <w:sz w:val="16"/>
        </w:rPr>
        <w:t> </w:t>
      </w:r>
      <w:r>
        <w:rPr>
          <w:w w:val="105"/>
          <w:sz w:val="16"/>
        </w:rPr>
        <w:t>la</w:t>
      </w:r>
      <w:r>
        <w:rPr>
          <w:spacing w:val="-10"/>
          <w:w w:val="105"/>
          <w:sz w:val="16"/>
        </w:rPr>
        <w:t> </w:t>
      </w:r>
      <w:r>
        <w:rPr>
          <w:w w:val="105"/>
          <w:sz w:val="16"/>
        </w:rPr>
        <w:t>Ley</w:t>
      </w:r>
      <w:r>
        <w:rPr>
          <w:spacing w:val="-10"/>
          <w:w w:val="105"/>
          <w:sz w:val="16"/>
        </w:rPr>
        <w:t> </w:t>
      </w:r>
      <w:r>
        <w:rPr>
          <w:w w:val="105"/>
          <w:sz w:val="16"/>
        </w:rPr>
        <w:t>11/2020,</w:t>
      </w:r>
      <w:r>
        <w:rPr>
          <w:spacing w:val="-10"/>
          <w:w w:val="105"/>
          <w:sz w:val="16"/>
        </w:rPr>
        <w:t> </w:t>
      </w:r>
      <w:r>
        <w:rPr>
          <w:w w:val="105"/>
          <w:sz w:val="16"/>
        </w:rPr>
        <w:t>de</w:t>
      </w:r>
      <w:r>
        <w:rPr>
          <w:spacing w:val="-11"/>
          <w:w w:val="105"/>
          <w:sz w:val="16"/>
        </w:rPr>
        <w:t> </w:t>
      </w:r>
      <w:r>
        <w:rPr>
          <w:w w:val="105"/>
          <w:sz w:val="16"/>
        </w:rPr>
        <w:t>30</w:t>
      </w:r>
      <w:r>
        <w:rPr>
          <w:spacing w:val="-11"/>
          <w:w w:val="105"/>
          <w:sz w:val="16"/>
        </w:rPr>
        <w:t> </w:t>
      </w:r>
      <w:r>
        <w:rPr>
          <w:w w:val="105"/>
          <w:sz w:val="16"/>
        </w:rPr>
        <w:t>de</w:t>
      </w:r>
      <w:r>
        <w:rPr>
          <w:spacing w:val="-10"/>
          <w:w w:val="105"/>
          <w:sz w:val="16"/>
        </w:rPr>
        <w:t> </w:t>
      </w:r>
      <w:r>
        <w:rPr>
          <w:w w:val="105"/>
          <w:sz w:val="16"/>
        </w:rPr>
        <w:t>diciembre</w:t>
      </w:r>
      <w:r>
        <w:rPr>
          <w:spacing w:val="-11"/>
          <w:w w:val="105"/>
          <w:sz w:val="16"/>
        </w:rPr>
        <w:t> </w:t>
      </w:r>
      <w:r>
        <w:rPr>
          <w:w w:val="105"/>
          <w:sz w:val="16"/>
        </w:rPr>
        <w:t>de</w:t>
      </w:r>
      <w:r>
        <w:rPr>
          <w:spacing w:val="-11"/>
          <w:w w:val="105"/>
          <w:sz w:val="16"/>
        </w:rPr>
        <w:t> </w:t>
      </w:r>
      <w:r>
        <w:rPr>
          <w:w w:val="105"/>
          <w:sz w:val="16"/>
        </w:rPr>
        <w:t>Presupuestos</w:t>
      </w:r>
      <w:r>
        <w:rPr>
          <w:spacing w:val="-9"/>
          <w:w w:val="105"/>
          <w:sz w:val="16"/>
        </w:rPr>
        <w:t> </w:t>
      </w:r>
      <w:r>
        <w:rPr>
          <w:w w:val="105"/>
          <w:sz w:val="16"/>
        </w:rPr>
        <w:t>Generales del Estado para el año 2021, y con el fin de amortiguar el impacto de la crisis provocada por el COVID sobre la situación financiera de las Comunidades Autónomas y Ciudades de Ceuta y Melilla, así como coadyuvar en el adecuado funcionamiento de los servicios públicos fundamentales que gestionan, los Presupuestos</w:t>
      </w:r>
      <w:r>
        <w:rPr>
          <w:spacing w:val="-8"/>
          <w:w w:val="105"/>
          <w:sz w:val="16"/>
        </w:rPr>
        <w:t> </w:t>
      </w:r>
      <w:r>
        <w:rPr>
          <w:w w:val="105"/>
          <w:sz w:val="16"/>
        </w:rPr>
        <w:t>Generales</w:t>
      </w:r>
      <w:r>
        <w:rPr>
          <w:spacing w:val="-8"/>
          <w:w w:val="105"/>
          <w:sz w:val="16"/>
        </w:rPr>
        <w:t> </w:t>
      </w:r>
      <w:r>
        <w:rPr>
          <w:w w:val="105"/>
          <w:sz w:val="16"/>
        </w:rPr>
        <w:t>del</w:t>
      </w:r>
      <w:r>
        <w:rPr>
          <w:spacing w:val="-8"/>
          <w:w w:val="105"/>
          <w:sz w:val="16"/>
        </w:rPr>
        <w:t> </w:t>
      </w:r>
      <w:r>
        <w:rPr>
          <w:w w:val="105"/>
          <w:sz w:val="16"/>
        </w:rPr>
        <w:t>Estado</w:t>
      </w:r>
      <w:r>
        <w:rPr>
          <w:spacing w:val="-9"/>
          <w:w w:val="105"/>
          <w:sz w:val="16"/>
        </w:rPr>
        <w:t> </w:t>
      </w:r>
      <w:r>
        <w:rPr>
          <w:w w:val="105"/>
          <w:sz w:val="16"/>
        </w:rPr>
        <w:t>para</w:t>
      </w:r>
      <w:r>
        <w:rPr>
          <w:spacing w:val="-9"/>
          <w:w w:val="105"/>
          <w:sz w:val="16"/>
        </w:rPr>
        <w:t> </w:t>
      </w:r>
      <w:r>
        <w:rPr>
          <w:w w:val="105"/>
          <w:sz w:val="16"/>
        </w:rPr>
        <w:t>el</w:t>
      </w:r>
      <w:r>
        <w:rPr>
          <w:spacing w:val="-8"/>
          <w:w w:val="105"/>
          <w:sz w:val="16"/>
        </w:rPr>
        <w:t> </w:t>
      </w:r>
      <w:r>
        <w:rPr>
          <w:w w:val="105"/>
          <w:sz w:val="16"/>
        </w:rPr>
        <w:t>año</w:t>
      </w:r>
      <w:r>
        <w:rPr>
          <w:spacing w:val="-9"/>
          <w:w w:val="105"/>
          <w:sz w:val="16"/>
        </w:rPr>
        <w:t> </w:t>
      </w:r>
      <w:r>
        <w:rPr>
          <w:w w:val="105"/>
          <w:sz w:val="16"/>
        </w:rPr>
        <w:t>2021</w:t>
      </w:r>
      <w:r>
        <w:rPr>
          <w:spacing w:val="-9"/>
          <w:w w:val="105"/>
          <w:sz w:val="16"/>
        </w:rPr>
        <w:t> </w:t>
      </w:r>
      <w:r>
        <w:rPr>
          <w:w w:val="105"/>
          <w:sz w:val="16"/>
        </w:rPr>
        <w:t>incluyeron</w:t>
      </w:r>
      <w:r>
        <w:rPr>
          <w:spacing w:val="-9"/>
          <w:w w:val="105"/>
          <w:sz w:val="16"/>
        </w:rPr>
        <w:t> </w:t>
      </w:r>
      <w:r>
        <w:rPr>
          <w:w w:val="105"/>
          <w:sz w:val="16"/>
        </w:rPr>
        <w:t>una</w:t>
      </w:r>
      <w:r>
        <w:rPr>
          <w:spacing w:val="-8"/>
          <w:w w:val="105"/>
          <w:sz w:val="16"/>
        </w:rPr>
        <w:t> </w:t>
      </w:r>
      <w:r>
        <w:rPr>
          <w:w w:val="105"/>
          <w:sz w:val="16"/>
        </w:rPr>
        <w:t>transferencia</w:t>
      </w:r>
      <w:r>
        <w:rPr>
          <w:spacing w:val="-9"/>
          <w:w w:val="105"/>
          <w:sz w:val="16"/>
        </w:rPr>
        <w:t> </w:t>
      </w:r>
      <w:r>
        <w:rPr>
          <w:w w:val="105"/>
          <w:sz w:val="16"/>
        </w:rPr>
        <w:t>adicional,</w:t>
      </w:r>
      <w:r>
        <w:rPr>
          <w:spacing w:val="-9"/>
          <w:w w:val="105"/>
          <w:sz w:val="16"/>
        </w:rPr>
        <w:t> </w:t>
      </w:r>
      <w:r>
        <w:rPr>
          <w:w w:val="105"/>
          <w:sz w:val="16"/>
        </w:rPr>
        <w:t>al</w:t>
      </w:r>
      <w:r>
        <w:rPr>
          <w:spacing w:val="-8"/>
          <w:w w:val="105"/>
          <w:sz w:val="16"/>
        </w:rPr>
        <w:t> </w:t>
      </w:r>
      <w:r>
        <w:rPr>
          <w:w w:val="105"/>
          <w:sz w:val="16"/>
        </w:rPr>
        <w:t>margen</w:t>
      </w:r>
      <w:r>
        <w:rPr>
          <w:spacing w:val="-9"/>
          <w:w w:val="105"/>
          <w:sz w:val="16"/>
        </w:rPr>
        <w:t> </w:t>
      </w:r>
      <w:r>
        <w:rPr>
          <w:w w:val="105"/>
          <w:sz w:val="16"/>
        </w:rPr>
        <w:t>del sistema de financiación, a favor de las mismas. El importe concedido para transferencias corrientes fue de 391,2 millones de</w:t>
      </w:r>
      <w:r>
        <w:rPr>
          <w:spacing w:val="-1"/>
          <w:w w:val="105"/>
          <w:sz w:val="16"/>
        </w:rPr>
        <w:t> </w:t>
      </w:r>
      <w:r>
        <w:rPr>
          <w:w w:val="105"/>
          <w:sz w:val="16"/>
        </w:rPr>
        <w:t>€.</w:t>
      </w:r>
    </w:p>
    <w:p>
      <w:pPr>
        <w:spacing w:line="252" w:lineRule="auto" w:before="0"/>
        <w:ind w:left="2096" w:right="1145" w:firstLine="0"/>
        <w:jc w:val="both"/>
        <w:rPr>
          <w:sz w:val="16"/>
        </w:rPr>
      </w:pPr>
      <w:r>
        <w:rPr>
          <w:w w:val="105"/>
          <w:sz w:val="16"/>
        </w:rPr>
        <w:t>En cuanto a los Fondos Next Generation EU, los dos instrumentos de mayor volumen a través del cual se articulan son:</w:t>
      </w:r>
    </w:p>
    <w:p>
      <w:pPr>
        <w:pStyle w:val="ListParagraph"/>
        <w:numPr>
          <w:ilvl w:val="0"/>
          <w:numId w:val="18"/>
        </w:numPr>
        <w:tabs>
          <w:tab w:pos="2335" w:val="left" w:leader="none"/>
        </w:tabs>
        <w:spacing w:line="240" w:lineRule="auto" w:before="0" w:after="0"/>
        <w:ind w:left="2334" w:right="0" w:hanging="239"/>
        <w:jc w:val="both"/>
        <w:rPr>
          <w:sz w:val="16"/>
        </w:rPr>
      </w:pPr>
      <w:r>
        <w:rPr>
          <w:w w:val="105"/>
          <w:sz w:val="16"/>
        </w:rPr>
        <w:t>El</w:t>
      </w:r>
      <w:r>
        <w:rPr>
          <w:spacing w:val="16"/>
          <w:w w:val="105"/>
          <w:sz w:val="16"/>
        </w:rPr>
        <w:t> </w:t>
      </w:r>
      <w:r>
        <w:rPr>
          <w:w w:val="105"/>
          <w:sz w:val="16"/>
        </w:rPr>
        <w:t>Mecanismo</w:t>
      </w:r>
      <w:r>
        <w:rPr>
          <w:spacing w:val="17"/>
          <w:w w:val="105"/>
          <w:sz w:val="16"/>
        </w:rPr>
        <w:t> </w:t>
      </w:r>
      <w:r>
        <w:rPr>
          <w:w w:val="105"/>
          <w:sz w:val="16"/>
        </w:rPr>
        <w:t>para</w:t>
      </w:r>
      <w:r>
        <w:rPr>
          <w:spacing w:val="18"/>
          <w:w w:val="105"/>
          <w:sz w:val="16"/>
        </w:rPr>
        <w:t> </w:t>
      </w:r>
      <w:r>
        <w:rPr>
          <w:w w:val="105"/>
          <w:sz w:val="16"/>
        </w:rPr>
        <w:t>la</w:t>
      </w:r>
      <w:r>
        <w:rPr>
          <w:spacing w:val="17"/>
          <w:w w:val="105"/>
          <w:sz w:val="16"/>
        </w:rPr>
        <w:t> </w:t>
      </w:r>
      <w:r>
        <w:rPr>
          <w:w w:val="105"/>
          <w:sz w:val="16"/>
        </w:rPr>
        <w:t>Recuperación</w:t>
      </w:r>
      <w:r>
        <w:rPr>
          <w:spacing w:val="18"/>
          <w:w w:val="105"/>
          <w:sz w:val="16"/>
        </w:rPr>
        <w:t> </w:t>
      </w:r>
      <w:r>
        <w:rPr>
          <w:w w:val="105"/>
          <w:sz w:val="16"/>
        </w:rPr>
        <w:t>y</w:t>
      </w:r>
      <w:r>
        <w:rPr>
          <w:spacing w:val="17"/>
          <w:w w:val="105"/>
          <w:sz w:val="16"/>
        </w:rPr>
        <w:t> </w:t>
      </w:r>
      <w:r>
        <w:rPr>
          <w:w w:val="105"/>
          <w:sz w:val="16"/>
        </w:rPr>
        <w:t>la</w:t>
      </w:r>
      <w:r>
        <w:rPr>
          <w:spacing w:val="18"/>
          <w:w w:val="105"/>
          <w:sz w:val="16"/>
        </w:rPr>
        <w:t> </w:t>
      </w:r>
      <w:r>
        <w:rPr>
          <w:w w:val="105"/>
          <w:sz w:val="16"/>
        </w:rPr>
        <w:t>Resiliencia</w:t>
      </w:r>
      <w:r>
        <w:rPr>
          <w:spacing w:val="17"/>
          <w:w w:val="105"/>
          <w:sz w:val="16"/>
        </w:rPr>
        <w:t> </w:t>
      </w:r>
      <w:r>
        <w:rPr>
          <w:w w:val="105"/>
          <w:sz w:val="16"/>
        </w:rPr>
        <w:t>(MRR)</w:t>
      </w:r>
      <w:r>
        <w:rPr>
          <w:spacing w:val="17"/>
          <w:w w:val="105"/>
          <w:sz w:val="16"/>
        </w:rPr>
        <w:t> </w:t>
      </w:r>
      <w:r>
        <w:rPr>
          <w:w w:val="105"/>
          <w:sz w:val="16"/>
        </w:rPr>
        <w:t>creado</w:t>
      </w:r>
      <w:r>
        <w:rPr>
          <w:spacing w:val="17"/>
          <w:w w:val="105"/>
          <w:sz w:val="16"/>
        </w:rPr>
        <w:t> </w:t>
      </w:r>
      <w:r>
        <w:rPr>
          <w:w w:val="105"/>
          <w:sz w:val="16"/>
        </w:rPr>
        <w:t>para</w:t>
      </w:r>
      <w:r>
        <w:rPr>
          <w:spacing w:val="18"/>
          <w:w w:val="105"/>
          <w:sz w:val="16"/>
        </w:rPr>
        <w:t> </w:t>
      </w:r>
      <w:r>
        <w:rPr>
          <w:w w:val="105"/>
          <w:sz w:val="16"/>
        </w:rPr>
        <w:t>fortalecer</w:t>
      </w:r>
      <w:r>
        <w:rPr>
          <w:spacing w:val="17"/>
          <w:w w:val="105"/>
          <w:sz w:val="16"/>
        </w:rPr>
        <w:t> </w:t>
      </w:r>
      <w:r>
        <w:rPr>
          <w:w w:val="105"/>
          <w:sz w:val="16"/>
        </w:rPr>
        <w:t>la</w:t>
      </w:r>
      <w:r>
        <w:rPr>
          <w:spacing w:val="18"/>
          <w:w w:val="105"/>
          <w:sz w:val="16"/>
        </w:rPr>
        <w:t> </w:t>
      </w:r>
      <w:r>
        <w:rPr>
          <w:w w:val="105"/>
          <w:sz w:val="16"/>
        </w:rPr>
        <w:t>resiliencia</w:t>
      </w:r>
      <w:r>
        <w:rPr>
          <w:spacing w:val="17"/>
          <w:w w:val="105"/>
          <w:sz w:val="16"/>
        </w:rPr>
        <w:t> </w:t>
      </w:r>
      <w:r>
        <w:rPr>
          <w:w w:val="105"/>
          <w:sz w:val="16"/>
        </w:rPr>
        <w:t>y</w:t>
      </w:r>
      <w:r>
        <w:rPr>
          <w:spacing w:val="18"/>
          <w:w w:val="105"/>
          <w:sz w:val="16"/>
        </w:rPr>
        <w:t> </w:t>
      </w:r>
      <w:r>
        <w:rPr>
          <w:w w:val="105"/>
          <w:sz w:val="16"/>
        </w:rPr>
        <w:t>la</w:t>
      </w:r>
    </w:p>
    <w:p>
      <w:pPr>
        <w:pStyle w:val="BodyText"/>
        <w:spacing w:before="2"/>
        <w:ind w:right="1136"/>
        <w:jc w:val="right"/>
      </w:pPr>
      <w:r>
        <w:rPr/>
        <w:t>43</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97" name="image5.png"/>
                  <wp:cNvGraphicFramePr>
                    <a:graphicFrameLocks noChangeAspect="1"/>
                  </wp:cNvGraphicFramePr>
                  <a:graphic>
                    <a:graphicData uri="http://schemas.openxmlformats.org/drawingml/2006/picture">
                      <pic:pic>
                        <pic:nvPicPr>
                          <pic:cNvPr id="9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45/247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right="1136" w:firstLine="604"/>
        <w:jc w:val="both"/>
      </w:pPr>
      <w:r>
        <w:rPr/>
        <w:t>Como se puede observar en el cuadro anterior el capítulo VII (transferencias de capital) es el que más crece en todo el periodo 2019-22, con un coeficiente de variación del 319 %. Este incremento se debe, principalmente, a los fondos Next Generation UE y a los destinados a la crisis del volcán de La Palma.</w:t>
      </w:r>
    </w:p>
    <w:p>
      <w:pPr>
        <w:pStyle w:val="BodyText"/>
        <w:spacing w:before="1"/>
        <w:rPr>
          <w:sz w:val="17"/>
        </w:rPr>
      </w:pPr>
    </w:p>
    <w:p>
      <w:pPr>
        <w:pStyle w:val="Heading1"/>
        <w:ind w:left="3158"/>
        <w:jc w:val="left"/>
      </w:pPr>
      <w:r>
        <w:rPr/>
        <w:t>Evolución de los ingresos de la APCAC (recaudación líquida)</w:t>
      </w:r>
    </w:p>
    <w:p>
      <w:pPr>
        <w:pStyle w:val="BodyText"/>
        <w:spacing w:before="7"/>
        <w:rPr>
          <w:b/>
          <w:sz w:val="16"/>
        </w:rPr>
      </w:pPr>
    </w:p>
    <w:tbl>
      <w:tblPr>
        <w:tblW w:w="0" w:type="auto"/>
        <w:jc w:val="left"/>
        <w:tblInd w:w="2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4"/>
        <w:gridCol w:w="1090"/>
        <w:gridCol w:w="1123"/>
        <w:gridCol w:w="1122"/>
        <w:gridCol w:w="928"/>
        <w:gridCol w:w="920"/>
      </w:tblGrid>
      <w:tr>
        <w:trPr>
          <w:trHeight w:val="326" w:hRule="atLeast"/>
        </w:trPr>
        <w:tc>
          <w:tcPr>
            <w:tcW w:w="2024" w:type="dxa"/>
            <w:tcBorders>
              <w:bottom w:val="single" w:sz="4" w:space="0" w:color="000000"/>
            </w:tcBorders>
          </w:tcPr>
          <w:p>
            <w:pPr>
              <w:pStyle w:val="TableParagraph"/>
              <w:rPr>
                <w:rFonts w:ascii="Times New Roman"/>
                <w:sz w:val="14"/>
              </w:rPr>
            </w:pPr>
          </w:p>
        </w:tc>
        <w:tc>
          <w:tcPr>
            <w:tcW w:w="1090" w:type="dxa"/>
            <w:tcBorders>
              <w:top w:val="single" w:sz="4" w:space="0" w:color="000000"/>
            </w:tcBorders>
            <w:shd w:val="clear" w:color="auto" w:fill="DEEAF6"/>
          </w:tcPr>
          <w:p>
            <w:pPr>
              <w:pStyle w:val="TableParagraph"/>
              <w:spacing w:before="85"/>
              <w:ind w:left="382" w:right="390"/>
              <w:jc w:val="center"/>
              <w:rPr>
                <w:b/>
                <w:sz w:val="13"/>
              </w:rPr>
            </w:pPr>
            <w:r>
              <w:rPr>
                <w:b/>
                <w:w w:val="105"/>
                <w:sz w:val="13"/>
              </w:rPr>
              <w:t>2019</w:t>
            </w:r>
          </w:p>
        </w:tc>
        <w:tc>
          <w:tcPr>
            <w:tcW w:w="1123" w:type="dxa"/>
            <w:tcBorders>
              <w:top w:val="single" w:sz="4" w:space="0" w:color="000000"/>
            </w:tcBorders>
            <w:shd w:val="clear" w:color="auto" w:fill="DEEAF6"/>
          </w:tcPr>
          <w:p>
            <w:pPr>
              <w:pStyle w:val="TableParagraph"/>
              <w:spacing w:before="85"/>
              <w:ind w:left="388" w:right="396"/>
              <w:jc w:val="center"/>
              <w:rPr>
                <w:b/>
                <w:sz w:val="13"/>
              </w:rPr>
            </w:pPr>
            <w:r>
              <w:rPr>
                <w:b/>
                <w:w w:val="105"/>
                <w:sz w:val="13"/>
              </w:rPr>
              <w:t>2020</w:t>
            </w:r>
          </w:p>
        </w:tc>
        <w:tc>
          <w:tcPr>
            <w:tcW w:w="1122" w:type="dxa"/>
            <w:tcBorders>
              <w:top w:val="single" w:sz="4" w:space="0" w:color="000000"/>
            </w:tcBorders>
            <w:shd w:val="clear" w:color="auto" w:fill="DEEAF6"/>
          </w:tcPr>
          <w:p>
            <w:pPr>
              <w:pStyle w:val="TableParagraph"/>
              <w:spacing w:before="85"/>
              <w:ind w:left="413" w:right="392"/>
              <w:jc w:val="center"/>
              <w:rPr>
                <w:b/>
                <w:sz w:val="13"/>
              </w:rPr>
            </w:pPr>
            <w:r>
              <w:rPr>
                <w:b/>
                <w:w w:val="105"/>
                <w:sz w:val="13"/>
              </w:rPr>
              <w:t>2021</w:t>
            </w:r>
          </w:p>
        </w:tc>
        <w:tc>
          <w:tcPr>
            <w:tcW w:w="928" w:type="dxa"/>
            <w:tcBorders>
              <w:top w:val="single" w:sz="4" w:space="0" w:color="000000"/>
            </w:tcBorders>
            <w:shd w:val="clear" w:color="auto" w:fill="DEEAF6"/>
          </w:tcPr>
          <w:p>
            <w:pPr>
              <w:pStyle w:val="TableParagraph"/>
              <w:spacing w:before="85"/>
              <w:ind w:left="417"/>
              <w:rPr>
                <w:b/>
                <w:sz w:val="13"/>
              </w:rPr>
            </w:pPr>
            <w:r>
              <w:rPr>
                <w:b/>
                <w:w w:val="105"/>
                <w:sz w:val="13"/>
              </w:rPr>
              <w:t>2022</w:t>
            </w:r>
          </w:p>
        </w:tc>
        <w:tc>
          <w:tcPr>
            <w:tcW w:w="920" w:type="dxa"/>
            <w:tcBorders>
              <w:top w:val="single" w:sz="4" w:space="0" w:color="000000"/>
            </w:tcBorders>
            <w:shd w:val="clear" w:color="auto" w:fill="DEEAF6"/>
          </w:tcPr>
          <w:p>
            <w:pPr>
              <w:pStyle w:val="TableParagraph"/>
              <w:spacing w:before="4"/>
              <w:ind w:left="277"/>
              <w:rPr>
                <w:b/>
                <w:sz w:val="13"/>
              </w:rPr>
            </w:pPr>
            <w:r>
              <w:rPr>
                <w:b/>
                <w:w w:val="105"/>
                <w:sz w:val="13"/>
              </w:rPr>
              <w:t>Variación</w:t>
            </w:r>
          </w:p>
          <w:p>
            <w:pPr>
              <w:pStyle w:val="TableParagraph"/>
              <w:spacing w:line="139" w:lineRule="exact" w:before="4"/>
              <w:ind w:left="239"/>
              <w:rPr>
                <w:b/>
                <w:sz w:val="13"/>
              </w:rPr>
            </w:pPr>
            <w:r>
              <w:rPr>
                <w:b/>
                <w:w w:val="105"/>
                <w:sz w:val="13"/>
              </w:rPr>
              <w:t>2019/2022</w:t>
            </w:r>
          </w:p>
        </w:tc>
      </w:tr>
    </w:tbl>
    <w:p>
      <w:pPr>
        <w:pStyle w:val="BodyText"/>
        <w:spacing w:before="2" w:after="1"/>
        <w:rPr>
          <w:b/>
          <w:sz w:val="5"/>
        </w:rPr>
      </w:pPr>
    </w:p>
    <w:tbl>
      <w:tblPr>
        <w:tblW w:w="0" w:type="auto"/>
        <w:jc w:val="left"/>
        <w:tblInd w:w="2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9"/>
        <w:gridCol w:w="1090"/>
        <w:gridCol w:w="1140"/>
        <w:gridCol w:w="1138"/>
        <w:gridCol w:w="1157"/>
        <w:gridCol w:w="672"/>
      </w:tblGrid>
      <w:tr>
        <w:trPr>
          <w:trHeight w:val="186" w:hRule="atLeast"/>
        </w:trPr>
        <w:tc>
          <w:tcPr>
            <w:tcW w:w="2019" w:type="dxa"/>
          </w:tcPr>
          <w:p>
            <w:pPr>
              <w:pStyle w:val="TableParagraph"/>
              <w:spacing w:line="136" w:lineRule="exact"/>
              <w:ind w:left="70"/>
              <w:rPr>
                <w:sz w:val="13"/>
              </w:rPr>
            </w:pPr>
            <w:r>
              <w:rPr>
                <w:w w:val="105"/>
                <w:sz w:val="13"/>
              </w:rPr>
              <w:t>I. Impuestos Directos</w:t>
            </w:r>
          </w:p>
        </w:tc>
        <w:tc>
          <w:tcPr>
            <w:tcW w:w="1090" w:type="dxa"/>
          </w:tcPr>
          <w:p>
            <w:pPr>
              <w:pStyle w:val="TableParagraph"/>
              <w:spacing w:line="136" w:lineRule="exact"/>
              <w:ind w:right="58"/>
              <w:jc w:val="right"/>
              <w:rPr>
                <w:sz w:val="13"/>
              </w:rPr>
            </w:pPr>
            <w:r>
              <w:rPr>
                <w:w w:val="105"/>
                <w:sz w:val="13"/>
              </w:rPr>
              <w:t>1.569.411.125,66</w:t>
            </w:r>
          </w:p>
        </w:tc>
        <w:tc>
          <w:tcPr>
            <w:tcW w:w="1140" w:type="dxa"/>
          </w:tcPr>
          <w:p>
            <w:pPr>
              <w:pStyle w:val="TableParagraph"/>
              <w:spacing w:line="136" w:lineRule="exact"/>
              <w:ind w:right="57"/>
              <w:jc w:val="right"/>
              <w:rPr>
                <w:sz w:val="13"/>
              </w:rPr>
            </w:pPr>
            <w:r>
              <w:rPr>
                <w:w w:val="105"/>
                <w:sz w:val="13"/>
              </w:rPr>
              <w:t>1.735.975.205,56</w:t>
            </w:r>
          </w:p>
        </w:tc>
        <w:tc>
          <w:tcPr>
            <w:tcW w:w="1138" w:type="dxa"/>
          </w:tcPr>
          <w:p>
            <w:pPr>
              <w:pStyle w:val="TableParagraph"/>
              <w:spacing w:line="136" w:lineRule="exact"/>
              <w:ind w:right="56"/>
              <w:jc w:val="right"/>
              <w:rPr>
                <w:sz w:val="13"/>
              </w:rPr>
            </w:pPr>
            <w:r>
              <w:rPr>
                <w:w w:val="105"/>
                <w:sz w:val="13"/>
              </w:rPr>
              <w:t>1.679.872.287,70</w:t>
            </w:r>
          </w:p>
        </w:tc>
        <w:tc>
          <w:tcPr>
            <w:tcW w:w="1157" w:type="dxa"/>
          </w:tcPr>
          <w:p>
            <w:pPr>
              <w:pStyle w:val="TableParagraph"/>
              <w:spacing w:line="136" w:lineRule="exact"/>
              <w:ind w:right="143"/>
              <w:jc w:val="right"/>
              <w:rPr>
                <w:sz w:val="13"/>
              </w:rPr>
            </w:pPr>
            <w:r>
              <w:rPr>
                <w:w w:val="105"/>
                <w:sz w:val="13"/>
              </w:rPr>
              <w:t>1.638.257.785,30</w:t>
            </w:r>
          </w:p>
        </w:tc>
        <w:tc>
          <w:tcPr>
            <w:tcW w:w="672" w:type="dxa"/>
          </w:tcPr>
          <w:p>
            <w:pPr>
              <w:pStyle w:val="TableParagraph"/>
              <w:spacing w:line="136" w:lineRule="exact"/>
              <w:ind w:right="55"/>
              <w:jc w:val="right"/>
              <w:rPr>
                <w:sz w:val="13"/>
              </w:rPr>
            </w:pPr>
            <w:r>
              <w:rPr>
                <w:sz w:val="13"/>
              </w:rPr>
              <w:t>4,39%</w:t>
            </w:r>
          </w:p>
        </w:tc>
      </w:tr>
      <w:tr>
        <w:trPr>
          <w:trHeight w:val="239" w:hRule="atLeast"/>
        </w:trPr>
        <w:tc>
          <w:tcPr>
            <w:tcW w:w="2019" w:type="dxa"/>
          </w:tcPr>
          <w:p>
            <w:pPr>
              <w:pStyle w:val="TableParagraph"/>
              <w:spacing w:before="29"/>
              <w:ind w:left="70"/>
              <w:rPr>
                <w:sz w:val="13"/>
              </w:rPr>
            </w:pPr>
            <w:r>
              <w:rPr>
                <w:w w:val="105"/>
                <w:sz w:val="13"/>
              </w:rPr>
              <w:t>II. Impuestos Indirectos</w:t>
            </w:r>
          </w:p>
        </w:tc>
        <w:tc>
          <w:tcPr>
            <w:tcW w:w="1090" w:type="dxa"/>
          </w:tcPr>
          <w:p>
            <w:pPr>
              <w:pStyle w:val="TableParagraph"/>
              <w:spacing w:before="29"/>
              <w:ind w:right="58"/>
              <w:jc w:val="right"/>
              <w:rPr>
                <w:sz w:val="13"/>
              </w:rPr>
            </w:pPr>
            <w:r>
              <w:rPr>
                <w:w w:val="105"/>
                <w:sz w:val="13"/>
              </w:rPr>
              <w:t>1.636.398.091,25</w:t>
            </w:r>
          </w:p>
        </w:tc>
        <w:tc>
          <w:tcPr>
            <w:tcW w:w="1140" w:type="dxa"/>
          </w:tcPr>
          <w:p>
            <w:pPr>
              <w:pStyle w:val="TableParagraph"/>
              <w:spacing w:before="29"/>
              <w:ind w:right="57"/>
              <w:jc w:val="right"/>
              <w:rPr>
                <w:sz w:val="13"/>
              </w:rPr>
            </w:pPr>
            <w:r>
              <w:rPr>
                <w:w w:val="105"/>
                <w:sz w:val="13"/>
              </w:rPr>
              <w:t>1.186.231.065,15</w:t>
            </w:r>
          </w:p>
        </w:tc>
        <w:tc>
          <w:tcPr>
            <w:tcW w:w="1138" w:type="dxa"/>
          </w:tcPr>
          <w:p>
            <w:pPr>
              <w:pStyle w:val="TableParagraph"/>
              <w:spacing w:before="29"/>
              <w:ind w:right="56"/>
              <w:jc w:val="right"/>
              <w:rPr>
                <w:sz w:val="13"/>
              </w:rPr>
            </w:pPr>
            <w:r>
              <w:rPr>
                <w:w w:val="105"/>
                <w:sz w:val="13"/>
              </w:rPr>
              <w:t>1.490.036.300,69</w:t>
            </w:r>
          </w:p>
        </w:tc>
        <w:tc>
          <w:tcPr>
            <w:tcW w:w="1157" w:type="dxa"/>
          </w:tcPr>
          <w:p>
            <w:pPr>
              <w:pStyle w:val="TableParagraph"/>
              <w:spacing w:before="29"/>
              <w:ind w:right="143"/>
              <w:jc w:val="right"/>
              <w:rPr>
                <w:sz w:val="13"/>
              </w:rPr>
            </w:pPr>
            <w:r>
              <w:rPr>
                <w:w w:val="105"/>
                <w:sz w:val="13"/>
              </w:rPr>
              <w:t>1.678.013.426,41</w:t>
            </w:r>
          </w:p>
        </w:tc>
        <w:tc>
          <w:tcPr>
            <w:tcW w:w="672" w:type="dxa"/>
          </w:tcPr>
          <w:p>
            <w:pPr>
              <w:pStyle w:val="TableParagraph"/>
              <w:spacing w:before="29"/>
              <w:ind w:right="55"/>
              <w:jc w:val="right"/>
              <w:rPr>
                <w:sz w:val="13"/>
              </w:rPr>
            </w:pPr>
            <w:r>
              <w:rPr>
                <w:sz w:val="13"/>
              </w:rPr>
              <w:t>2,54%</w:t>
            </w:r>
          </w:p>
        </w:tc>
      </w:tr>
      <w:tr>
        <w:trPr>
          <w:trHeight w:val="239" w:hRule="atLeast"/>
        </w:trPr>
        <w:tc>
          <w:tcPr>
            <w:tcW w:w="2019" w:type="dxa"/>
          </w:tcPr>
          <w:p>
            <w:pPr>
              <w:pStyle w:val="TableParagraph"/>
              <w:spacing w:before="30"/>
              <w:ind w:left="70"/>
              <w:rPr>
                <w:sz w:val="13"/>
              </w:rPr>
            </w:pPr>
            <w:r>
              <w:rPr>
                <w:w w:val="105"/>
                <w:sz w:val="13"/>
              </w:rPr>
              <w:t>III. Tasas Y Otros Ingresos</w:t>
            </w:r>
          </w:p>
        </w:tc>
        <w:tc>
          <w:tcPr>
            <w:tcW w:w="1090" w:type="dxa"/>
          </w:tcPr>
          <w:p>
            <w:pPr>
              <w:pStyle w:val="TableParagraph"/>
              <w:spacing w:before="30"/>
              <w:ind w:right="57"/>
              <w:jc w:val="right"/>
              <w:rPr>
                <w:sz w:val="13"/>
              </w:rPr>
            </w:pPr>
            <w:r>
              <w:rPr>
                <w:w w:val="105"/>
                <w:sz w:val="13"/>
              </w:rPr>
              <w:t>80.937.946,97</w:t>
            </w:r>
          </w:p>
        </w:tc>
        <w:tc>
          <w:tcPr>
            <w:tcW w:w="1140" w:type="dxa"/>
          </w:tcPr>
          <w:p>
            <w:pPr>
              <w:pStyle w:val="TableParagraph"/>
              <w:spacing w:before="30"/>
              <w:ind w:right="57"/>
              <w:jc w:val="right"/>
              <w:rPr>
                <w:sz w:val="13"/>
              </w:rPr>
            </w:pPr>
            <w:r>
              <w:rPr>
                <w:w w:val="105"/>
                <w:sz w:val="13"/>
              </w:rPr>
              <w:t>90.543.808,04</w:t>
            </w:r>
          </w:p>
        </w:tc>
        <w:tc>
          <w:tcPr>
            <w:tcW w:w="1138" w:type="dxa"/>
          </w:tcPr>
          <w:p>
            <w:pPr>
              <w:pStyle w:val="TableParagraph"/>
              <w:spacing w:before="30"/>
              <w:ind w:right="56"/>
              <w:jc w:val="right"/>
              <w:rPr>
                <w:sz w:val="13"/>
              </w:rPr>
            </w:pPr>
            <w:r>
              <w:rPr>
                <w:w w:val="105"/>
                <w:sz w:val="13"/>
              </w:rPr>
              <w:t>84.845.175,56</w:t>
            </w:r>
          </w:p>
        </w:tc>
        <w:tc>
          <w:tcPr>
            <w:tcW w:w="1157" w:type="dxa"/>
          </w:tcPr>
          <w:p>
            <w:pPr>
              <w:pStyle w:val="TableParagraph"/>
              <w:spacing w:before="30"/>
              <w:ind w:right="143"/>
              <w:jc w:val="right"/>
              <w:rPr>
                <w:sz w:val="13"/>
              </w:rPr>
            </w:pPr>
            <w:r>
              <w:rPr>
                <w:sz w:val="13"/>
              </w:rPr>
              <w:t>179.736.721,48</w:t>
            </w:r>
          </w:p>
        </w:tc>
        <w:tc>
          <w:tcPr>
            <w:tcW w:w="672" w:type="dxa"/>
          </w:tcPr>
          <w:p>
            <w:pPr>
              <w:pStyle w:val="TableParagraph"/>
              <w:spacing w:before="30"/>
              <w:ind w:right="55"/>
              <w:jc w:val="right"/>
              <w:rPr>
                <w:sz w:val="13"/>
              </w:rPr>
            </w:pPr>
            <w:r>
              <w:rPr>
                <w:sz w:val="13"/>
              </w:rPr>
              <w:t>122,07%</w:t>
            </w:r>
          </w:p>
        </w:tc>
      </w:tr>
      <w:tr>
        <w:trPr>
          <w:trHeight w:val="225" w:hRule="atLeast"/>
        </w:trPr>
        <w:tc>
          <w:tcPr>
            <w:tcW w:w="2019" w:type="dxa"/>
          </w:tcPr>
          <w:p>
            <w:pPr>
              <w:pStyle w:val="TableParagraph"/>
              <w:spacing w:before="29"/>
              <w:ind w:left="70"/>
              <w:rPr>
                <w:sz w:val="13"/>
              </w:rPr>
            </w:pPr>
            <w:r>
              <w:rPr>
                <w:w w:val="105"/>
                <w:sz w:val="13"/>
              </w:rPr>
              <w:t>IV. Transferencias Corrientes</w:t>
            </w:r>
          </w:p>
        </w:tc>
        <w:tc>
          <w:tcPr>
            <w:tcW w:w="1090" w:type="dxa"/>
          </w:tcPr>
          <w:p>
            <w:pPr>
              <w:pStyle w:val="TableParagraph"/>
              <w:spacing w:before="29"/>
              <w:ind w:right="58"/>
              <w:jc w:val="right"/>
              <w:rPr>
                <w:sz w:val="13"/>
              </w:rPr>
            </w:pPr>
            <w:r>
              <w:rPr>
                <w:w w:val="105"/>
                <w:sz w:val="13"/>
              </w:rPr>
              <w:t>3.765.523.555,98</w:t>
            </w:r>
          </w:p>
        </w:tc>
        <w:tc>
          <w:tcPr>
            <w:tcW w:w="1140" w:type="dxa"/>
          </w:tcPr>
          <w:p>
            <w:pPr>
              <w:pStyle w:val="TableParagraph"/>
              <w:spacing w:before="29"/>
              <w:ind w:right="57"/>
              <w:jc w:val="right"/>
              <w:rPr>
                <w:sz w:val="13"/>
              </w:rPr>
            </w:pPr>
            <w:r>
              <w:rPr>
                <w:w w:val="105"/>
                <w:sz w:val="13"/>
              </w:rPr>
              <w:t>4.647.863.307,82</w:t>
            </w:r>
          </w:p>
        </w:tc>
        <w:tc>
          <w:tcPr>
            <w:tcW w:w="1138" w:type="dxa"/>
          </w:tcPr>
          <w:p>
            <w:pPr>
              <w:pStyle w:val="TableParagraph"/>
              <w:spacing w:before="29"/>
              <w:ind w:right="56"/>
              <w:jc w:val="right"/>
              <w:rPr>
                <w:sz w:val="13"/>
              </w:rPr>
            </w:pPr>
            <w:r>
              <w:rPr>
                <w:w w:val="105"/>
                <w:sz w:val="13"/>
              </w:rPr>
              <w:t>6.037.680.047,99</w:t>
            </w:r>
          </w:p>
        </w:tc>
        <w:tc>
          <w:tcPr>
            <w:tcW w:w="1157" w:type="dxa"/>
          </w:tcPr>
          <w:p>
            <w:pPr>
              <w:pStyle w:val="TableParagraph"/>
              <w:spacing w:before="29"/>
              <w:ind w:right="143"/>
              <w:jc w:val="right"/>
              <w:rPr>
                <w:sz w:val="13"/>
              </w:rPr>
            </w:pPr>
            <w:r>
              <w:rPr>
                <w:w w:val="105"/>
                <w:sz w:val="13"/>
              </w:rPr>
              <w:t>4.343.203.182,14</w:t>
            </w:r>
          </w:p>
        </w:tc>
        <w:tc>
          <w:tcPr>
            <w:tcW w:w="672" w:type="dxa"/>
          </w:tcPr>
          <w:p>
            <w:pPr>
              <w:pStyle w:val="TableParagraph"/>
              <w:spacing w:before="29"/>
              <w:ind w:right="55"/>
              <w:jc w:val="right"/>
              <w:rPr>
                <w:sz w:val="13"/>
              </w:rPr>
            </w:pPr>
            <w:r>
              <w:rPr>
                <w:sz w:val="13"/>
              </w:rPr>
              <w:t>15,34%</w:t>
            </w:r>
          </w:p>
        </w:tc>
      </w:tr>
      <w:tr>
        <w:trPr>
          <w:trHeight w:val="202" w:hRule="atLeast"/>
        </w:trPr>
        <w:tc>
          <w:tcPr>
            <w:tcW w:w="2019" w:type="dxa"/>
          </w:tcPr>
          <w:p>
            <w:pPr>
              <w:pStyle w:val="TableParagraph"/>
              <w:spacing w:before="16"/>
              <w:ind w:left="70"/>
              <w:rPr>
                <w:sz w:val="13"/>
              </w:rPr>
            </w:pPr>
            <w:r>
              <w:rPr>
                <w:w w:val="105"/>
                <w:sz w:val="13"/>
              </w:rPr>
              <w:t>V. Ingresos Patrimoniales</w:t>
            </w:r>
          </w:p>
        </w:tc>
        <w:tc>
          <w:tcPr>
            <w:tcW w:w="1090" w:type="dxa"/>
          </w:tcPr>
          <w:p>
            <w:pPr>
              <w:pStyle w:val="TableParagraph"/>
              <w:spacing w:before="16"/>
              <w:ind w:right="57"/>
              <w:jc w:val="right"/>
              <w:rPr>
                <w:sz w:val="13"/>
              </w:rPr>
            </w:pPr>
            <w:r>
              <w:rPr>
                <w:w w:val="105"/>
                <w:sz w:val="13"/>
              </w:rPr>
              <w:t>3.481.756,14</w:t>
            </w:r>
          </w:p>
        </w:tc>
        <w:tc>
          <w:tcPr>
            <w:tcW w:w="1140" w:type="dxa"/>
          </w:tcPr>
          <w:p>
            <w:pPr>
              <w:pStyle w:val="TableParagraph"/>
              <w:spacing w:before="16"/>
              <w:ind w:right="57"/>
              <w:jc w:val="right"/>
              <w:rPr>
                <w:sz w:val="13"/>
              </w:rPr>
            </w:pPr>
            <w:r>
              <w:rPr>
                <w:w w:val="105"/>
                <w:sz w:val="13"/>
              </w:rPr>
              <w:t>1.434.886,92</w:t>
            </w:r>
          </w:p>
        </w:tc>
        <w:tc>
          <w:tcPr>
            <w:tcW w:w="1138" w:type="dxa"/>
          </w:tcPr>
          <w:p>
            <w:pPr>
              <w:pStyle w:val="TableParagraph"/>
              <w:spacing w:before="16"/>
              <w:ind w:right="56"/>
              <w:jc w:val="right"/>
              <w:rPr>
                <w:sz w:val="13"/>
              </w:rPr>
            </w:pPr>
            <w:r>
              <w:rPr>
                <w:w w:val="105"/>
                <w:sz w:val="13"/>
              </w:rPr>
              <w:t>1.456.101,48</w:t>
            </w:r>
          </w:p>
        </w:tc>
        <w:tc>
          <w:tcPr>
            <w:tcW w:w="1157" w:type="dxa"/>
          </w:tcPr>
          <w:p>
            <w:pPr>
              <w:pStyle w:val="TableParagraph"/>
              <w:spacing w:before="16"/>
              <w:ind w:right="143"/>
              <w:jc w:val="right"/>
              <w:rPr>
                <w:sz w:val="13"/>
              </w:rPr>
            </w:pPr>
            <w:r>
              <w:rPr>
                <w:w w:val="105"/>
                <w:sz w:val="13"/>
              </w:rPr>
              <w:t>1.668.205,99</w:t>
            </w:r>
          </w:p>
        </w:tc>
        <w:tc>
          <w:tcPr>
            <w:tcW w:w="672" w:type="dxa"/>
          </w:tcPr>
          <w:p>
            <w:pPr>
              <w:pStyle w:val="TableParagraph"/>
              <w:spacing w:before="16"/>
              <w:ind w:right="55"/>
              <w:jc w:val="right"/>
              <w:rPr>
                <w:sz w:val="13"/>
              </w:rPr>
            </w:pPr>
            <w:r>
              <w:rPr>
                <w:w w:val="105"/>
                <w:sz w:val="13"/>
              </w:rPr>
              <w:t>-52,09%</w:t>
            </w:r>
          </w:p>
        </w:tc>
      </w:tr>
      <w:tr>
        <w:trPr>
          <w:trHeight w:val="191" w:hRule="atLeast"/>
        </w:trPr>
        <w:tc>
          <w:tcPr>
            <w:tcW w:w="2019" w:type="dxa"/>
          </w:tcPr>
          <w:p>
            <w:pPr>
              <w:pStyle w:val="TableParagraph"/>
              <w:spacing w:before="5"/>
              <w:ind w:left="70"/>
              <w:rPr>
                <w:sz w:val="13"/>
              </w:rPr>
            </w:pPr>
            <w:r>
              <w:rPr>
                <w:w w:val="105"/>
                <w:sz w:val="13"/>
              </w:rPr>
              <w:t>VI. Enajenación Inversiones Reales</w:t>
            </w:r>
          </w:p>
        </w:tc>
        <w:tc>
          <w:tcPr>
            <w:tcW w:w="1090" w:type="dxa"/>
          </w:tcPr>
          <w:p>
            <w:pPr>
              <w:pStyle w:val="TableParagraph"/>
              <w:rPr>
                <w:rFonts w:ascii="Times New Roman"/>
                <w:sz w:val="12"/>
              </w:rPr>
            </w:pPr>
          </w:p>
        </w:tc>
        <w:tc>
          <w:tcPr>
            <w:tcW w:w="1140" w:type="dxa"/>
          </w:tcPr>
          <w:p>
            <w:pPr>
              <w:pStyle w:val="TableParagraph"/>
              <w:rPr>
                <w:rFonts w:ascii="Times New Roman"/>
                <w:sz w:val="12"/>
              </w:rPr>
            </w:pPr>
          </w:p>
        </w:tc>
        <w:tc>
          <w:tcPr>
            <w:tcW w:w="1138" w:type="dxa"/>
          </w:tcPr>
          <w:p>
            <w:pPr>
              <w:pStyle w:val="TableParagraph"/>
              <w:rPr>
                <w:rFonts w:ascii="Times New Roman"/>
                <w:sz w:val="12"/>
              </w:rPr>
            </w:pPr>
          </w:p>
        </w:tc>
        <w:tc>
          <w:tcPr>
            <w:tcW w:w="1157" w:type="dxa"/>
          </w:tcPr>
          <w:p>
            <w:pPr>
              <w:pStyle w:val="TableParagraph"/>
              <w:rPr>
                <w:rFonts w:ascii="Times New Roman"/>
                <w:sz w:val="12"/>
              </w:rPr>
            </w:pPr>
          </w:p>
        </w:tc>
        <w:tc>
          <w:tcPr>
            <w:tcW w:w="672" w:type="dxa"/>
          </w:tcPr>
          <w:p>
            <w:pPr>
              <w:pStyle w:val="TableParagraph"/>
              <w:spacing w:before="5"/>
              <w:ind w:right="55"/>
              <w:jc w:val="right"/>
              <w:rPr>
                <w:sz w:val="13"/>
              </w:rPr>
            </w:pPr>
            <w:r>
              <w:rPr>
                <w:sz w:val="13"/>
              </w:rPr>
              <w:t>0,00%</w:t>
            </w:r>
          </w:p>
        </w:tc>
      </w:tr>
      <w:tr>
        <w:trPr>
          <w:trHeight w:val="190" w:hRule="atLeast"/>
        </w:trPr>
        <w:tc>
          <w:tcPr>
            <w:tcW w:w="2019" w:type="dxa"/>
          </w:tcPr>
          <w:p>
            <w:pPr>
              <w:pStyle w:val="TableParagraph"/>
              <w:spacing w:before="5"/>
              <w:ind w:left="70"/>
              <w:rPr>
                <w:sz w:val="13"/>
              </w:rPr>
            </w:pPr>
            <w:r>
              <w:rPr>
                <w:w w:val="105"/>
                <w:sz w:val="13"/>
              </w:rPr>
              <w:t>VII. Transferencias De Capital</w:t>
            </w:r>
          </w:p>
        </w:tc>
        <w:tc>
          <w:tcPr>
            <w:tcW w:w="1090" w:type="dxa"/>
          </w:tcPr>
          <w:p>
            <w:pPr>
              <w:pStyle w:val="TableParagraph"/>
              <w:spacing w:before="5"/>
              <w:ind w:right="58"/>
              <w:jc w:val="right"/>
              <w:rPr>
                <w:sz w:val="13"/>
              </w:rPr>
            </w:pPr>
            <w:r>
              <w:rPr>
                <w:sz w:val="13"/>
              </w:rPr>
              <w:t>166.190.577,41</w:t>
            </w:r>
          </w:p>
        </w:tc>
        <w:tc>
          <w:tcPr>
            <w:tcW w:w="1140" w:type="dxa"/>
          </w:tcPr>
          <w:p>
            <w:pPr>
              <w:pStyle w:val="TableParagraph"/>
              <w:spacing w:before="5"/>
              <w:ind w:right="57"/>
              <w:jc w:val="right"/>
              <w:rPr>
                <w:sz w:val="13"/>
              </w:rPr>
            </w:pPr>
            <w:r>
              <w:rPr>
                <w:w w:val="105"/>
                <w:sz w:val="13"/>
              </w:rPr>
              <w:t>94.398.931,70</w:t>
            </w:r>
          </w:p>
        </w:tc>
        <w:tc>
          <w:tcPr>
            <w:tcW w:w="1138" w:type="dxa"/>
          </w:tcPr>
          <w:p>
            <w:pPr>
              <w:pStyle w:val="TableParagraph"/>
              <w:spacing w:before="5"/>
              <w:ind w:right="57"/>
              <w:jc w:val="right"/>
              <w:rPr>
                <w:sz w:val="13"/>
              </w:rPr>
            </w:pPr>
            <w:r>
              <w:rPr>
                <w:sz w:val="13"/>
              </w:rPr>
              <w:t>695.076.505,25</w:t>
            </w:r>
          </w:p>
        </w:tc>
        <w:tc>
          <w:tcPr>
            <w:tcW w:w="1157" w:type="dxa"/>
          </w:tcPr>
          <w:p>
            <w:pPr>
              <w:pStyle w:val="TableParagraph"/>
              <w:spacing w:before="5"/>
              <w:ind w:right="143"/>
              <w:jc w:val="right"/>
              <w:rPr>
                <w:sz w:val="13"/>
              </w:rPr>
            </w:pPr>
            <w:r>
              <w:rPr>
                <w:sz w:val="13"/>
              </w:rPr>
              <w:t>652.439.056,24</w:t>
            </w:r>
          </w:p>
        </w:tc>
        <w:tc>
          <w:tcPr>
            <w:tcW w:w="672" w:type="dxa"/>
          </w:tcPr>
          <w:p>
            <w:pPr>
              <w:pStyle w:val="TableParagraph"/>
              <w:spacing w:before="5"/>
              <w:ind w:right="55"/>
              <w:jc w:val="right"/>
              <w:rPr>
                <w:sz w:val="13"/>
              </w:rPr>
            </w:pPr>
            <w:r>
              <w:rPr>
                <w:sz w:val="13"/>
              </w:rPr>
              <w:t>292,58%</w:t>
            </w:r>
          </w:p>
        </w:tc>
      </w:tr>
      <w:tr>
        <w:trPr>
          <w:trHeight w:val="190" w:hRule="atLeast"/>
        </w:trPr>
        <w:tc>
          <w:tcPr>
            <w:tcW w:w="2019" w:type="dxa"/>
          </w:tcPr>
          <w:p>
            <w:pPr>
              <w:pStyle w:val="TableParagraph"/>
              <w:spacing w:before="4"/>
              <w:ind w:left="70"/>
              <w:rPr>
                <w:sz w:val="13"/>
              </w:rPr>
            </w:pPr>
            <w:r>
              <w:rPr>
                <w:w w:val="105"/>
                <w:sz w:val="13"/>
              </w:rPr>
              <w:t>VIII. Activos Financieros</w:t>
            </w:r>
          </w:p>
        </w:tc>
        <w:tc>
          <w:tcPr>
            <w:tcW w:w="1090" w:type="dxa"/>
          </w:tcPr>
          <w:p>
            <w:pPr>
              <w:pStyle w:val="TableParagraph"/>
              <w:spacing w:before="4"/>
              <w:ind w:right="57"/>
              <w:jc w:val="right"/>
              <w:rPr>
                <w:sz w:val="13"/>
              </w:rPr>
            </w:pPr>
            <w:r>
              <w:rPr>
                <w:w w:val="105"/>
                <w:sz w:val="13"/>
              </w:rPr>
              <w:t>22.700.427,00</w:t>
            </w:r>
          </w:p>
        </w:tc>
        <w:tc>
          <w:tcPr>
            <w:tcW w:w="1140" w:type="dxa"/>
          </w:tcPr>
          <w:p>
            <w:pPr>
              <w:pStyle w:val="TableParagraph"/>
              <w:spacing w:before="4"/>
              <w:ind w:right="57"/>
              <w:jc w:val="right"/>
              <w:rPr>
                <w:sz w:val="13"/>
              </w:rPr>
            </w:pPr>
            <w:r>
              <w:rPr>
                <w:w w:val="105"/>
                <w:sz w:val="13"/>
              </w:rPr>
              <w:t>19.292.530,90</w:t>
            </w:r>
          </w:p>
        </w:tc>
        <w:tc>
          <w:tcPr>
            <w:tcW w:w="1138" w:type="dxa"/>
          </w:tcPr>
          <w:p>
            <w:pPr>
              <w:pStyle w:val="TableParagraph"/>
              <w:spacing w:before="4"/>
              <w:ind w:right="56"/>
              <w:jc w:val="right"/>
              <w:rPr>
                <w:sz w:val="13"/>
              </w:rPr>
            </w:pPr>
            <w:r>
              <w:rPr>
                <w:w w:val="105"/>
                <w:sz w:val="13"/>
              </w:rPr>
              <w:t>52.979.143,21</w:t>
            </w:r>
          </w:p>
        </w:tc>
        <w:tc>
          <w:tcPr>
            <w:tcW w:w="1157" w:type="dxa"/>
          </w:tcPr>
          <w:p>
            <w:pPr>
              <w:pStyle w:val="TableParagraph"/>
              <w:spacing w:before="4"/>
              <w:ind w:right="143"/>
              <w:jc w:val="right"/>
              <w:rPr>
                <w:sz w:val="13"/>
              </w:rPr>
            </w:pPr>
            <w:r>
              <w:rPr>
                <w:w w:val="105"/>
                <w:sz w:val="13"/>
              </w:rPr>
              <w:t>18.644.005,16</w:t>
            </w:r>
          </w:p>
        </w:tc>
        <w:tc>
          <w:tcPr>
            <w:tcW w:w="672" w:type="dxa"/>
          </w:tcPr>
          <w:p>
            <w:pPr>
              <w:pStyle w:val="TableParagraph"/>
              <w:spacing w:before="4"/>
              <w:ind w:right="55"/>
              <w:jc w:val="right"/>
              <w:rPr>
                <w:sz w:val="13"/>
              </w:rPr>
            </w:pPr>
            <w:r>
              <w:rPr>
                <w:w w:val="105"/>
                <w:sz w:val="13"/>
              </w:rPr>
              <w:t>-17,87%</w:t>
            </w:r>
          </w:p>
        </w:tc>
      </w:tr>
      <w:tr>
        <w:trPr>
          <w:trHeight w:val="190" w:hRule="atLeast"/>
        </w:trPr>
        <w:tc>
          <w:tcPr>
            <w:tcW w:w="2019" w:type="dxa"/>
          </w:tcPr>
          <w:p>
            <w:pPr>
              <w:pStyle w:val="TableParagraph"/>
              <w:spacing w:before="5"/>
              <w:ind w:left="70"/>
              <w:rPr>
                <w:sz w:val="13"/>
              </w:rPr>
            </w:pPr>
            <w:r>
              <w:rPr>
                <w:w w:val="105"/>
                <w:sz w:val="13"/>
              </w:rPr>
              <w:t>IX. Pasivos Financieros</w:t>
            </w:r>
          </w:p>
        </w:tc>
        <w:tc>
          <w:tcPr>
            <w:tcW w:w="1090" w:type="dxa"/>
          </w:tcPr>
          <w:p>
            <w:pPr>
              <w:pStyle w:val="TableParagraph"/>
              <w:spacing w:before="5"/>
              <w:ind w:right="58"/>
              <w:jc w:val="right"/>
              <w:rPr>
                <w:sz w:val="13"/>
              </w:rPr>
            </w:pPr>
            <w:r>
              <w:rPr>
                <w:sz w:val="13"/>
              </w:rPr>
              <w:t>752.317.108,31</w:t>
            </w:r>
          </w:p>
        </w:tc>
        <w:tc>
          <w:tcPr>
            <w:tcW w:w="1140" w:type="dxa"/>
          </w:tcPr>
          <w:p>
            <w:pPr>
              <w:pStyle w:val="TableParagraph"/>
              <w:spacing w:before="5"/>
              <w:ind w:right="57"/>
              <w:jc w:val="right"/>
              <w:rPr>
                <w:sz w:val="13"/>
              </w:rPr>
            </w:pPr>
            <w:r>
              <w:rPr>
                <w:w w:val="105"/>
                <w:sz w:val="13"/>
              </w:rPr>
              <w:t>4.010.136.874,62</w:t>
            </w:r>
          </w:p>
        </w:tc>
        <w:tc>
          <w:tcPr>
            <w:tcW w:w="1138" w:type="dxa"/>
          </w:tcPr>
          <w:p>
            <w:pPr>
              <w:pStyle w:val="TableParagraph"/>
              <w:spacing w:before="5"/>
              <w:ind w:right="56"/>
              <w:jc w:val="right"/>
              <w:rPr>
                <w:sz w:val="13"/>
              </w:rPr>
            </w:pPr>
            <w:r>
              <w:rPr>
                <w:w w:val="105"/>
                <w:sz w:val="13"/>
              </w:rPr>
              <w:t>2.422.333.532,76</w:t>
            </w:r>
          </w:p>
        </w:tc>
        <w:tc>
          <w:tcPr>
            <w:tcW w:w="1157" w:type="dxa"/>
          </w:tcPr>
          <w:p>
            <w:pPr>
              <w:pStyle w:val="TableParagraph"/>
              <w:spacing w:before="5"/>
              <w:ind w:right="143"/>
              <w:jc w:val="right"/>
              <w:rPr>
                <w:sz w:val="13"/>
              </w:rPr>
            </w:pPr>
            <w:r>
              <w:rPr>
                <w:sz w:val="13"/>
              </w:rPr>
              <w:t>927.385.973,89</w:t>
            </w:r>
          </w:p>
        </w:tc>
        <w:tc>
          <w:tcPr>
            <w:tcW w:w="672" w:type="dxa"/>
          </w:tcPr>
          <w:p>
            <w:pPr>
              <w:pStyle w:val="TableParagraph"/>
              <w:spacing w:before="5"/>
              <w:ind w:right="55"/>
              <w:jc w:val="right"/>
              <w:rPr>
                <w:sz w:val="13"/>
              </w:rPr>
            </w:pPr>
            <w:r>
              <w:rPr>
                <w:sz w:val="13"/>
              </w:rPr>
              <w:t>23,27%</w:t>
            </w:r>
          </w:p>
        </w:tc>
      </w:tr>
      <w:tr>
        <w:trPr>
          <w:trHeight w:val="177" w:hRule="atLeast"/>
        </w:trPr>
        <w:tc>
          <w:tcPr>
            <w:tcW w:w="2019" w:type="dxa"/>
            <w:tcBorders>
              <w:bottom w:val="single" w:sz="4" w:space="0" w:color="000000"/>
            </w:tcBorders>
          </w:tcPr>
          <w:p>
            <w:pPr>
              <w:pStyle w:val="TableParagraph"/>
              <w:spacing w:line="153" w:lineRule="exact" w:before="4"/>
              <w:ind w:left="656"/>
              <w:rPr>
                <w:b/>
                <w:sz w:val="13"/>
              </w:rPr>
            </w:pPr>
            <w:r>
              <w:rPr>
                <w:b/>
                <w:w w:val="105"/>
                <w:sz w:val="13"/>
              </w:rPr>
              <w:t>Total general</w:t>
            </w:r>
          </w:p>
        </w:tc>
        <w:tc>
          <w:tcPr>
            <w:tcW w:w="1090" w:type="dxa"/>
            <w:tcBorders>
              <w:bottom w:val="single" w:sz="4" w:space="0" w:color="000000"/>
            </w:tcBorders>
          </w:tcPr>
          <w:p>
            <w:pPr>
              <w:pStyle w:val="TableParagraph"/>
              <w:spacing w:line="153" w:lineRule="exact" w:before="4"/>
              <w:ind w:right="58"/>
              <w:jc w:val="right"/>
              <w:rPr>
                <w:sz w:val="13"/>
              </w:rPr>
            </w:pPr>
            <w:r>
              <w:rPr>
                <w:w w:val="105"/>
                <w:sz w:val="13"/>
              </w:rPr>
              <w:t>7.996.960.588,72</w:t>
            </w:r>
          </w:p>
        </w:tc>
        <w:tc>
          <w:tcPr>
            <w:tcW w:w="1140" w:type="dxa"/>
            <w:tcBorders>
              <w:bottom w:val="single" w:sz="4" w:space="0" w:color="000000"/>
            </w:tcBorders>
          </w:tcPr>
          <w:p>
            <w:pPr>
              <w:pStyle w:val="TableParagraph"/>
              <w:spacing w:line="153" w:lineRule="exact" w:before="4"/>
              <w:ind w:right="57"/>
              <w:jc w:val="right"/>
              <w:rPr>
                <w:sz w:val="13"/>
              </w:rPr>
            </w:pPr>
            <w:r>
              <w:rPr>
                <w:sz w:val="13"/>
              </w:rPr>
              <w:t>11.785.876.610,71</w:t>
            </w:r>
          </w:p>
        </w:tc>
        <w:tc>
          <w:tcPr>
            <w:tcW w:w="1138" w:type="dxa"/>
            <w:tcBorders>
              <w:bottom w:val="single" w:sz="4" w:space="0" w:color="000000"/>
            </w:tcBorders>
          </w:tcPr>
          <w:p>
            <w:pPr>
              <w:pStyle w:val="TableParagraph"/>
              <w:spacing w:line="153" w:lineRule="exact" w:before="4"/>
              <w:ind w:right="56"/>
              <w:jc w:val="right"/>
              <w:rPr>
                <w:sz w:val="13"/>
              </w:rPr>
            </w:pPr>
            <w:r>
              <w:rPr>
                <w:sz w:val="13"/>
              </w:rPr>
              <w:t>12.464.279.094,64</w:t>
            </w:r>
          </w:p>
        </w:tc>
        <w:tc>
          <w:tcPr>
            <w:tcW w:w="1157" w:type="dxa"/>
            <w:tcBorders>
              <w:bottom w:val="single" w:sz="4" w:space="0" w:color="000000"/>
            </w:tcBorders>
          </w:tcPr>
          <w:p>
            <w:pPr>
              <w:pStyle w:val="TableParagraph"/>
              <w:spacing w:line="153" w:lineRule="exact" w:before="4"/>
              <w:ind w:right="143"/>
              <w:jc w:val="right"/>
              <w:rPr>
                <w:sz w:val="13"/>
              </w:rPr>
            </w:pPr>
            <w:r>
              <w:rPr>
                <w:w w:val="105"/>
                <w:sz w:val="13"/>
              </w:rPr>
              <w:t>9.439.348.356,61</w:t>
            </w:r>
          </w:p>
        </w:tc>
        <w:tc>
          <w:tcPr>
            <w:tcW w:w="672" w:type="dxa"/>
            <w:tcBorders>
              <w:bottom w:val="single" w:sz="4" w:space="0" w:color="000000"/>
            </w:tcBorders>
          </w:tcPr>
          <w:p>
            <w:pPr>
              <w:pStyle w:val="TableParagraph"/>
              <w:spacing w:line="153" w:lineRule="exact" w:before="4"/>
              <w:ind w:right="55"/>
              <w:jc w:val="right"/>
              <w:rPr>
                <w:sz w:val="13"/>
              </w:rPr>
            </w:pPr>
            <w:r>
              <w:rPr>
                <w:sz w:val="13"/>
              </w:rPr>
              <w:t>18,04%</w:t>
            </w:r>
          </w:p>
        </w:tc>
      </w:tr>
    </w:tbl>
    <w:p>
      <w:pPr>
        <w:pStyle w:val="BodyText"/>
        <w:spacing w:before="8"/>
        <w:rPr>
          <w:b/>
          <w:sz w:val="15"/>
        </w:rPr>
      </w:pPr>
    </w:p>
    <w:tbl>
      <w:tblPr>
        <w:tblW w:w="0" w:type="auto"/>
        <w:jc w:val="left"/>
        <w:tblInd w:w="210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7141"/>
      </w:tblGrid>
      <w:tr>
        <w:trPr>
          <w:trHeight w:val="3393" w:hRule="atLeast"/>
        </w:trPr>
        <w:tc>
          <w:tcPr>
            <w:tcW w:w="7141" w:type="dxa"/>
          </w:tcPr>
          <w:p>
            <w:pPr>
              <w:pStyle w:val="TableParagraph"/>
              <w:spacing w:line="252" w:lineRule="auto" w:before="144"/>
              <w:ind w:left="3265" w:right="404" w:hanging="2221"/>
              <w:rPr>
                <w:b/>
                <w:sz w:val="16"/>
              </w:rPr>
            </w:pPr>
            <w:r>
              <w:rPr>
                <w:b/>
                <w:color w:val="585858"/>
                <w:w w:val="105"/>
                <w:sz w:val="16"/>
              </w:rPr>
              <w:t>EVOLUCION DE LOS INGRESOS DE LA ADMON DE LA CAC (RECAUDACION LIQUIDA)</w:t>
            </w:r>
          </w:p>
          <w:p>
            <w:pPr>
              <w:pStyle w:val="TableParagraph"/>
              <w:spacing w:before="106"/>
              <w:ind w:right="4659"/>
              <w:jc w:val="right"/>
              <w:rPr>
                <w:sz w:val="15"/>
              </w:rPr>
            </w:pPr>
            <w:r>
              <w:rPr>
                <w:color w:val="585858"/>
                <w:sz w:val="15"/>
              </w:rPr>
              <w:t>IX. PASIVOS</w:t>
            </w:r>
            <w:r>
              <w:rPr>
                <w:color w:val="585858"/>
                <w:spacing w:val="3"/>
                <w:sz w:val="15"/>
              </w:rPr>
              <w:t> </w:t>
            </w:r>
            <w:r>
              <w:rPr>
                <w:color w:val="585858"/>
                <w:sz w:val="15"/>
              </w:rPr>
              <w:t>FINANCIEROS</w:t>
            </w:r>
          </w:p>
          <w:p>
            <w:pPr>
              <w:pStyle w:val="TableParagraph"/>
              <w:spacing w:before="50"/>
              <w:ind w:right="4659"/>
              <w:jc w:val="right"/>
              <w:rPr>
                <w:sz w:val="15"/>
              </w:rPr>
            </w:pPr>
            <w:r>
              <w:rPr>
                <w:color w:val="585858"/>
                <w:sz w:val="15"/>
              </w:rPr>
              <w:t>VIII. ACTIVOS</w:t>
            </w:r>
            <w:r>
              <w:rPr>
                <w:color w:val="585858"/>
                <w:spacing w:val="2"/>
                <w:sz w:val="15"/>
              </w:rPr>
              <w:t> </w:t>
            </w:r>
            <w:r>
              <w:rPr>
                <w:color w:val="585858"/>
                <w:sz w:val="15"/>
              </w:rPr>
              <w:t>FINANCIEROS</w:t>
            </w:r>
          </w:p>
          <w:p>
            <w:pPr>
              <w:pStyle w:val="TableParagraph"/>
              <w:spacing w:before="50"/>
              <w:ind w:right="4660"/>
              <w:jc w:val="right"/>
              <w:rPr>
                <w:sz w:val="15"/>
              </w:rPr>
            </w:pPr>
            <w:r>
              <w:rPr>
                <w:color w:val="585858"/>
                <w:sz w:val="15"/>
              </w:rPr>
              <w:t>VII. TRANSFERENCIAS DE</w:t>
            </w:r>
            <w:r>
              <w:rPr>
                <w:color w:val="585858"/>
                <w:spacing w:val="1"/>
                <w:sz w:val="15"/>
              </w:rPr>
              <w:t> </w:t>
            </w:r>
            <w:r>
              <w:rPr>
                <w:color w:val="585858"/>
                <w:sz w:val="15"/>
              </w:rPr>
              <w:t>CAPITAL</w:t>
            </w:r>
          </w:p>
          <w:p>
            <w:pPr>
              <w:pStyle w:val="TableParagraph"/>
              <w:numPr>
                <w:ilvl w:val="0"/>
                <w:numId w:val="19"/>
              </w:numPr>
              <w:tabs>
                <w:tab w:pos="195" w:val="left" w:leader="none"/>
              </w:tabs>
              <w:spacing w:line="240" w:lineRule="auto" w:before="49" w:after="0"/>
              <w:ind w:left="238" w:right="4659" w:hanging="239"/>
              <w:jc w:val="right"/>
              <w:rPr>
                <w:sz w:val="15"/>
              </w:rPr>
            </w:pPr>
            <w:r>
              <w:rPr>
                <w:color w:val="585858"/>
                <w:sz w:val="15"/>
              </w:rPr>
              <w:t>ENAJENACIÓN INVERSIONES</w:t>
            </w:r>
            <w:r>
              <w:rPr>
                <w:color w:val="585858"/>
                <w:spacing w:val="1"/>
                <w:sz w:val="15"/>
              </w:rPr>
              <w:t> </w:t>
            </w:r>
            <w:r>
              <w:rPr>
                <w:color w:val="585858"/>
                <w:sz w:val="15"/>
              </w:rPr>
              <w:t>REALES</w:t>
            </w:r>
          </w:p>
          <w:p>
            <w:pPr>
              <w:pStyle w:val="TableParagraph"/>
              <w:spacing w:before="50"/>
              <w:ind w:right="4659"/>
              <w:jc w:val="right"/>
              <w:rPr>
                <w:sz w:val="15"/>
              </w:rPr>
            </w:pPr>
            <w:r>
              <w:rPr>
                <w:color w:val="585858"/>
                <w:sz w:val="15"/>
              </w:rPr>
              <w:t>V. INGRESOS</w:t>
            </w:r>
            <w:r>
              <w:rPr>
                <w:color w:val="585858"/>
                <w:spacing w:val="2"/>
                <w:sz w:val="15"/>
              </w:rPr>
              <w:t> </w:t>
            </w:r>
            <w:r>
              <w:rPr>
                <w:color w:val="585858"/>
                <w:sz w:val="15"/>
              </w:rPr>
              <w:t>PATRIMONIALES</w:t>
            </w:r>
          </w:p>
          <w:p>
            <w:pPr>
              <w:pStyle w:val="TableParagraph"/>
              <w:numPr>
                <w:ilvl w:val="1"/>
                <w:numId w:val="19"/>
              </w:numPr>
              <w:tabs>
                <w:tab w:pos="196" w:val="left" w:leader="none"/>
              </w:tabs>
              <w:spacing w:line="240" w:lineRule="auto" w:before="50" w:after="0"/>
              <w:ind w:left="577" w:right="4659" w:hanging="578"/>
              <w:jc w:val="right"/>
              <w:rPr>
                <w:sz w:val="15"/>
              </w:rPr>
            </w:pPr>
            <w:r>
              <w:rPr>
                <w:color w:val="585858"/>
                <w:sz w:val="15"/>
              </w:rPr>
              <w:t>TRANSFERENCIAS CORRIENTES</w:t>
            </w:r>
          </w:p>
          <w:p>
            <w:pPr>
              <w:pStyle w:val="TableParagraph"/>
              <w:numPr>
                <w:ilvl w:val="2"/>
                <w:numId w:val="19"/>
              </w:numPr>
              <w:tabs>
                <w:tab w:pos="187" w:val="left" w:leader="none"/>
              </w:tabs>
              <w:spacing w:line="240" w:lineRule="auto" w:before="50" w:after="0"/>
              <w:ind w:left="851" w:right="4658" w:hanging="852"/>
              <w:jc w:val="right"/>
              <w:rPr>
                <w:sz w:val="15"/>
              </w:rPr>
            </w:pPr>
            <w:r>
              <w:rPr>
                <w:color w:val="585858"/>
                <w:sz w:val="15"/>
              </w:rPr>
              <w:t>TASAS Y OTROS</w:t>
            </w:r>
            <w:r>
              <w:rPr>
                <w:color w:val="585858"/>
                <w:spacing w:val="4"/>
                <w:sz w:val="15"/>
              </w:rPr>
              <w:t> </w:t>
            </w:r>
            <w:r>
              <w:rPr>
                <w:color w:val="585858"/>
                <w:sz w:val="15"/>
              </w:rPr>
              <w:t>INGRESOS</w:t>
            </w:r>
          </w:p>
          <w:p>
            <w:pPr>
              <w:pStyle w:val="TableParagraph"/>
              <w:numPr>
                <w:ilvl w:val="3"/>
                <w:numId w:val="19"/>
              </w:numPr>
              <w:tabs>
                <w:tab w:pos="149" w:val="left" w:leader="none"/>
              </w:tabs>
              <w:spacing w:line="240" w:lineRule="auto" w:before="50" w:after="0"/>
              <w:ind w:left="957" w:right="4659" w:hanging="958"/>
              <w:jc w:val="right"/>
              <w:rPr>
                <w:sz w:val="15"/>
              </w:rPr>
            </w:pPr>
            <w:r>
              <w:rPr>
                <w:color w:val="585858"/>
                <w:sz w:val="15"/>
              </w:rPr>
              <w:t>IMPUESTOS INDIRECTOS</w:t>
            </w:r>
          </w:p>
          <w:p>
            <w:pPr>
              <w:pStyle w:val="TableParagraph"/>
              <w:numPr>
                <w:ilvl w:val="4"/>
                <w:numId w:val="19"/>
              </w:numPr>
              <w:tabs>
                <w:tab w:pos="111" w:val="left" w:leader="none"/>
              </w:tabs>
              <w:spacing w:line="240" w:lineRule="auto" w:before="50" w:after="0"/>
              <w:ind w:left="1092" w:right="4658" w:hanging="1093"/>
              <w:jc w:val="right"/>
              <w:rPr>
                <w:sz w:val="15"/>
              </w:rPr>
            </w:pPr>
            <w:r>
              <w:rPr>
                <w:color w:val="585858"/>
                <w:sz w:val="15"/>
              </w:rPr>
              <w:t>IMPUESTOS</w:t>
            </w:r>
            <w:r>
              <w:rPr>
                <w:color w:val="585858"/>
                <w:spacing w:val="1"/>
                <w:sz w:val="15"/>
              </w:rPr>
              <w:t> </w:t>
            </w:r>
            <w:r>
              <w:rPr>
                <w:color w:val="585858"/>
                <w:sz w:val="15"/>
              </w:rPr>
              <w:t>DIRECTOS</w:t>
            </w:r>
          </w:p>
          <w:p>
            <w:pPr>
              <w:pStyle w:val="TableParagraph"/>
              <w:rPr>
                <w:b/>
                <w:sz w:val="14"/>
              </w:rPr>
            </w:pPr>
          </w:p>
          <w:p>
            <w:pPr>
              <w:pStyle w:val="TableParagraph"/>
              <w:spacing w:before="7"/>
              <w:rPr>
                <w:b/>
                <w:sz w:val="13"/>
              </w:rPr>
            </w:pPr>
          </w:p>
          <w:p>
            <w:pPr>
              <w:pStyle w:val="TableParagraph"/>
              <w:tabs>
                <w:tab w:pos="4051" w:val="left" w:leader="none"/>
                <w:tab w:pos="4599" w:val="left" w:leader="none"/>
                <w:tab w:pos="5147" w:val="left" w:leader="none"/>
              </w:tabs>
              <w:ind w:left="3503"/>
              <w:rPr>
                <w:sz w:val="15"/>
              </w:rPr>
            </w:pPr>
            <w:r>
              <w:rPr>
                <w:color w:val="585858"/>
                <w:sz w:val="15"/>
              </w:rPr>
              <w:t>2022</w:t>
              <w:tab/>
              <w:t>2021</w:t>
              <w:tab/>
              <w:t>2020</w:t>
              <w:tab/>
              <w:t>2019</w:t>
            </w:r>
          </w:p>
        </w:tc>
      </w:tr>
    </w:tbl>
    <w:p>
      <w:pPr>
        <w:pStyle w:val="BodyText"/>
        <w:spacing w:before="5"/>
        <w:rPr>
          <w:b/>
          <w:sz w:val="17"/>
        </w:rPr>
      </w:pPr>
    </w:p>
    <w:p>
      <w:pPr>
        <w:pStyle w:val="BodyText"/>
        <w:spacing w:line="244" w:lineRule="auto" w:before="1"/>
        <w:ind w:left="2096" w:right="1143" w:firstLine="604"/>
        <w:jc w:val="both"/>
      </w:pPr>
      <w:r>
        <w:rPr/>
        <w:pict>
          <v:group style="position:absolute;margin-left:272.840942pt;margin-top:-148.826813pt;width:114.8pt;height:104.85pt;mso-position-horizontal-relative:page;mso-position-vertical-relative:paragraph;z-index:-323039232" coordorigin="5457,-2977" coordsize="2296,2097">
            <v:line style="position:absolute" from="7360,-2977" to="7360,-880" stroked="true" strokeweight=".629697pt" strokecolor="#d9d9d9">
              <v:stroke dashstyle="solid"/>
            </v:line>
            <v:line style="position:absolute" from="5463,-1635" to="6892,-1635" stroked="true" strokeweight="2.015032pt" strokecolor="#4471c4">
              <v:stroke dashstyle="solid"/>
            </v:line>
            <v:line style="position:absolute" from="5463,-1676" to="7227,-1676" stroked="true" strokeweight="2.015032pt" strokecolor="#ec7c30">
              <v:stroke dashstyle="solid"/>
            </v:line>
            <v:line style="position:absolute" from="5463,-1716" to="7753,-1716" stroked="true" strokeweight="2.015032pt" strokecolor="#a4a4a4">
              <v:stroke dashstyle="solid"/>
            </v:line>
            <v:rect style="position:absolute;left:5463;top:-1890;width:3;height:41" filled="true" fillcolor="#4471c4" stroked="false">
              <v:fill type="solid"/>
            </v:rect>
            <v:rect style="position:absolute;left:5463;top:-1928;width:3;height:39" filled="true" fillcolor="#ec7c30" stroked="false">
              <v:fill type="solid"/>
            </v:rect>
            <v:rect style="position:absolute;left:5463;top:-1968;width:3;height:41" filled="true" fillcolor="#a4a4a4" stroked="false">
              <v:fill type="solid"/>
            </v:rect>
            <v:rect style="position:absolute;left:5463;top:-2355;width:63;height:41" filled="true" fillcolor="#4471c4" stroked="false">
              <v:fill type="solid"/>
            </v:rect>
            <v:rect style="position:absolute;left:5463;top:-2396;width:37;height:41" filled="true" fillcolor="#ec7c30" stroked="false">
              <v:fill type="solid"/>
            </v:rect>
            <v:rect style="position:absolute;left:5463;top:-2434;width:265;height:39" filled="true" fillcolor="#a4a4a4" stroked="false">
              <v:fill type="solid"/>
            </v:rect>
            <v:rect style="position:absolute;left:5463;top:-2587;width:9;height:41" filled="true" fillcolor="#4471c4" stroked="false">
              <v:fill type="solid"/>
            </v:rect>
            <v:rect style="position:absolute;left:5463;top:-2627;width:7;height:41" filled="true" fillcolor="#ec7c30" stroked="false">
              <v:fill type="solid"/>
            </v:rect>
            <v:rect style="position:absolute;left:5463;top:-2668;width:21;height:41" filled="true" fillcolor="#a4a4a4" stroked="false">
              <v:fill type="solid"/>
            </v:rect>
            <v:line style="position:absolute" from="5463,-2800" to="5748,-2800" stroked="true" strokeweight="2.015032pt" strokecolor="#4471c4">
              <v:stroke dashstyle="solid"/>
            </v:line>
            <v:line style="position:absolute" from="5463,-2840" to="6985,-2840" stroked="true" strokeweight="2.015032pt" strokecolor="#ec7c30">
              <v:stroke dashstyle="solid"/>
            </v:line>
            <v:line style="position:absolute" from="5463,-2881" to="6382,-2881" stroked="true" strokeweight="2.015032pt" strokecolor="#a4a4a4">
              <v:stroke dashstyle="solid"/>
            </v:line>
            <v:line style="position:absolute" from="5463,-936" to="6058,-936" stroked="true" strokeweight="2.015032pt" strokecolor="#4471c4">
              <v:stroke dashstyle="solid"/>
            </v:line>
            <v:line style="position:absolute" from="5463,-976" to="6122,-976" stroked="true" strokeweight="2.015032pt" strokecolor="#ec7c30">
              <v:stroke dashstyle="solid"/>
            </v:line>
            <v:rect style="position:absolute;left:5463;top:-1037;width:638;height:41" filled="true" fillcolor="#a4a4a4" stroked="false">
              <v:fill type="solid"/>
            </v:rect>
            <v:rect style="position:absolute;left:5463;top:-1078;width:621;height:41" filled="true" fillcolor="#ffc000" stroked="false">
              <v:fill type="solid"/>
            </v:rect>
            <v:line style="position:absolute" from="5463,-1170" to="6084,-1170" stroked="true" strokeweight="2.015032pt" strokecolor="#4471c4">
              <v:stroke dashstyle="solid"/>
            </v:line>
            <v:line style="position:absolute" from="5463,-1210" to="5913,-1210" stroked="true" strokeweight="2.015032pt" strokecolor="#ec7c30">
              <v:stroke dashstyle="solid"/>
            </v:line>
            <v:line style="position:absolute" from="5463,-1250" to="6028,-1250" stroked="true" strokeweight="2.015032pt" strokecolor="#a4a4a4">
              <v:stroke dashstyle="solid"/>
            </v:line>
            <v:line style="position:absolute" from="5463,-1290" to="6100,-1290" stroked="true" strokeweight="1.91428pt" strokecolor="#ffc000">
              <v:stroke dashstyle="solid"/>
            </v:line>
            <v:rect style="position:absolute;left:5463;top:-1422;width:31;height:39" filled="true" fillcolor="#4471c4" stroked="false">
              <v:fill type="solid"/>
            </v:rect>
            <v:rect style="position:absolute;left:5463;top:-1463;width:35;height:41" filled="true" fillcolor="#ec7c30" stroked="false">
              <v:fill type="solid"/>
            </v:rect>
            <v:rect style="position:absolute;left:5463;top:-1503;width:33;height:41" filled="true" fillcolor="#a4a4a4" stroked="false">
              <v:fill type="solid"/>
            </v:rect>
            <v:rect style="position:absolute;left:5463;top:-1543;width:69;height:41" filled="true" fillcolor="#ffc000" stroked="false">
              <v:fill type="solid"/>
            </v:rect>
            <v:line style="position:absolute" from="5463,-1756" to="7110,-1756" stroked="true" strokeweight="2.015032pt" strokecolor="#ffc000">
              <v:stroke dashstyle="solid"/>
            </v:line>
            <v:rect style="position:absolute;left:5463;top:-2009;width:3;height:41" filled="true" fillcolor="#ffc000" stroked="false">
              <v:fill type="solid"/>
            </v:rect>
            <v:rect style="position:absolute;left:5463;top:-2474;width:249;height:41" filled="true" fillcolor="#ffc000" stroked="false">
              <v:fill type="solid"/>
            </v:rect>
            <v:rect style="position:absolute;left:5463;top:-2708;width:7;height:41" filled="true" fillcolor="#ffc000" stroked="false">
              <v:fill type="solid"/>
            </v:rect>
            <v:line style="position:absolute" from="5463,-2921" to="5814,-2921" stroked="true" strokeweight="2.015032pt" strokecolor="#ffc000">
              <v:stroke dashstyle="solid"/>
            </v:line>
            <v:line style="position:absolute" from="5463,-880" to="5463,-2977" stroked="true" strokeweight=".629697pt" strokecolor="#d9d9d9">
              <v:stroke dashstyle="solid"/>
            </v:line>
            <w10:wrap type="none"/>
          </v:group>
        </w:pict>
      </w:r>
      <w:r>
        <w:rPr/>
        <w:pict>
          <v:line style="position:absolute;mso-position-horizontal-relative:page;mso-position-vertical-relative:paragraph;z-index:-323038208" from="462.778687pt,-148.826813pt" to="462.778687pt,-44.01157pt" stroked="true" strokeweight=".629697pt" strokecolor="#d9d9d9">
            <v:stroke dashstyle="solid"/>
            <w10:wrap type="none"/>
          </v:line>
        </w:pict>
      </w:r>
      <w:r>
        <w:rPr/>
        <w:pict>
          <v:rect style="position:absolute;margin-left:312.054321pt;margin-top:-25.929436pt;width:4.150378pt;height:4.150378pt;mso-position-horizontal-relative:page;mso-position-vertical-relative:paragraph;z-index:-323037184" filled="true" fillcolor="#ffc000" stroked="false">
            <v:fill type="solid"/>
            <w10:wrap type="none"/>
          </v:rect>
        </w:pict>
      </w:r>
      <w:r>
        <w:rPr/>
        <w:pict>
          <v:rect style="position:absolute;margin-left:339.450348pt;margin-top:-25.929436pt;width:4.150378pt;height:4.150378pt;mso-position-horizontal-relative:page;mso-position-vertical-relative:paragraph;z-index:-323036160" filled="true" fillcolor="#a4a4a4" stroked="false">
            <v:fill type="solid"/>
            <w10:wrap type="none"/>
          </v:rect>
        </w:pict>
      </w:r>
      <w:r>
        <w:rPr/>
        <w:pict>
          <v:rect style="position:absolute;margin-left:366.846375pt;margin-top:-25.929436pt;width:4.150378pt;height:4.150378pt;mso-position-horizontal-relative:page;mso-position-vertical-relative:paragraph;z-index:-323035136" filled="true" fillcolor="#ec7c30" stroked="false">
            <v:fill type="solid"/>
            <w10:wrap type="none"/>
          </v:rect>
        </w:pict>
      </w:r>
      <w:r>
        <w:rPr/>
        <w:pict>
          <v:rect style="position:absolute;margin-left:394.234039pt;margin-top:-25.929436pt;width:4.150378pt;height:4.150378pt;mso-position-horizontal-relative:page;mso-position-vertical-relative:paragraph;z-index:-323034112" filled="true" fillcolor="#4471c4" stroked="false">
            <v:fill type="solid"/>
            <w10:wrap type="none"/>
          </v:rect>
        </w:pict>
      </w:r>
      <w:r>
        <w:rPr/>
        <w:t>De la información reflejada se deduce que los capítulos que más han incrementado la recaudación líquida son:</w:t>
      </w:r>
    </w:p>
    <w:p>
      <w:pPr>
        <w:pStyle w:val="BodyText"/>
      </w:pPr>
    </w:p>
    <w:p>
      <w:pPr>
        <w:pStyle w:val="BodyText"/>
        <w:spacing w:before="4"/>
        <w:rPr>
          <w:sz w:val="21"/>
        </w:rPr>
      </w:pPr>
      <w:r>
        <w:rPr/>
        <w:pict>
          <v:shape style="position:absolute;margin-left:142.816818pt;margin-top:15.348104pt;width:120.95pt;height:.1pt;mso-position-horizontal-relative:page;mso-position-vertical-relative:paragraph;z-index:-251526144;mso-wrap-distance-left:0;mso-wrap-distance-right:0" coordorigin="2856,307" coordsize="2419,0" path="m2856,307l5275,307e" filled="false" stroked="true" strokeweight=".604535pt" strokecolor="#000000">
            <v:path arrowok="t"/>
            <v:stroke dashstyle="solid"/>
            <w10:wrap type="topAndBottom"/>
          </v:shape>
        </w:pict>
      </w:r>
    </w:p>
    <w:p>
      <w:pPr>
        <w:spacing w:line="249" w:lineRule="auto" w:before="63"/>
        <w:ind w:left="2334" w:right="1201" w:firstLine="0"/>
        <w:jc w:val="left"/>
        <w:rPr>
          <w:sz w:val="16"/>
        </w:rPr>
      </w:pPr>
      <w:r>
        <w:rPr>
          <w:w w:val="105"/>
          <w:sz w:val="16"/>
        </w:rPr>
        <w:t>capacidad de ajuste de los Estados miembros; mitigar las repercusiones sociales y económicas de la crisis de la COVID-19; y apoyar las transiciones ecológica y digital.</w:t>
      </w:r>
    </w:p>
    <w:p>
      <w:pPr>
        <w:pStyle w:val="ListParagraph"/>
        <w:numPr>
          <w:ilvl w:val="0"/>
          <w:numId w:val="18"/>
        </w:numPr>
        <w:tabs>
          <w:tab w:pos="2335" w:val="left" w:leader="none"/>
        </w:tabs>
        <w:spacing w:line="252" w:lineRule="auto" w:before="3" w:after="0"/>
        <w:ind w:left="2334" w:right="1140" w:hanging="238"/>
        <w:jc w:val="left"/>
        <w:rPr>
          <w:sz w:val="16"/>
        </w:rPr>
      </w:pPr>
      <w:r>
        <w:rPr>
          <w:w w:val="105"/>
          <w:sz w:val="16"/>
        </w:rPr>
        <w:t>El Fondo de Ayuda a la Recuperación para la Cohesión y los Territorios de Europa (REACT-EU) para promover la recuperación ecológica, digital y resiliente de la</w:t>
      </w:r>
      <w:r>
        <w:rPr>
          <w:spacing w:val="-3"/>
          <w:w w:val="105"/>
          <w:sz w:val="16"/>
        </w:rPr>
        <w:t> </w:t>
      </w:r>
      <w:r>
        <w:rPr>
          <w:w w:val="105"/>
          <w:sz w:val="16"/>
        </w:rPr>
        <w:t>economía.</w:t>
      </w:r>
    </w:p>
    <w:p>
      <w:pPr>
        <w:pStyle w:val="BodyText"/>
        <w:spacing w:line="238" w:lineRule="exact"/>
        <w:ind w:left="7897"/>
        <w:jc w:val="center"/>
      </w:pPr>
      <w:r>
        <w:rPr/>
        <w:t>44</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99" name="image5.png"/>
                  <wp:cNvGraphicFramePr>
                    <a:graphicFrameLocks noChangeAspect="1"/>
                  </wp:cNvGraphicFramePr>
                  <a:graphic>
                    <a:graphicData uri="http://schemas.openxmlformats.org/drawingml/2006/picture">
                      <pic:pic>
                        <pic:nvPicPr>
                          <pic:cNvPr id="10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46/247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1"/>
          <w:numId w:val="18"/>
        </w:numPr>
        <w:tabs>
          <w:tab w:pos="2690" w:val="left" w:leader="none"/>
          <w:tab w:pos="2691" w:val="left" w:leader="none"/>
        </w:tabs>
        <w:spacing w:line="240" w:lineRule="auto" w:before="61" w:after="0"/>
        <w:ind w:left="2690" w:right="0" w:hanging="303"/>
        <w:jc w:val="left"/>
        <w:rPr>
          <w:sz w:val="20"/>
        </w:rPr>
      </w:pPr>
      <w:r>
        <w:rPr>
          <w:sz w:val="20"/>
        </w:rPr>
        <w:t>Transferencias de capital (292,58</w:t>
      </w:r>
      <w:r>
        <w:rPr>
          <w:spacing w:val="-1"/>
          <w:sz w:val="20"/>
        </w:rPr>
        <w:t> </w:t>
      </w:r>
      <w:r>
        <w:rPr>
          <w:sz w:val="20"/>
        </w:rPr>
        <w:t>%).</w:t>
      </w:r>
    </w:p>
    <w:p>
      <w:pPr>
        <w:pStyle w:val="ListParagraph"/>
        <w:numPr>
          <w:ilvl w:val="1"/>
          <w:numId w:val="18"/>
        </w:numPr>
        <w:tabs>
          <w:tab w:pos="2690" w:val="left" w:leader="none"/>
          <w:tab w:pos="2691" w:val="left" w:leader="none"/>
        </w:tabs>
        <w:spacing w:line="240" w:lineRule="auto" w:before="2" w:after="0"/>
        <w:ind w:left="2690" w:right="0" w:hanging="299"/>
        <w:jc w:val="left"/>
        <w:rPr>
          <w:sz w:val="20"/>
        </w:rPr>
      </w:pPr>
      <w:r>
        <w:rPr>
          <w:sz w:val="20"/>
        </w:rPr>
        <w:t>Tasas y otros ingresos (122,07</w:t>
      </w:r>
      <w:r>
        <w:rPr>
          <w:spacing w:val="2"/>
          <w:sz w:val="20"/>
        </w:rPr>
        <w:t> </w:t>
      </w:r>
      <w:r>
        <w:rPr>
          <w:sz w:val="20"/>
        </w:rPr>
        <w:t>%).</w:t>
      </w:r>
    </w:p>
    <w:p>
      <w:pPr>
        <w:pStyle w:val="BodyText"/>
        <w:spacing w:before="8"/>
        <w:rPr>
          <w:sz w:val="16"/>
        </w:rPr>
      </w:pPr>
    </w:p>
    <w:p>
      <w:pPr>
        <w:pStyle w:val="Heading1"/>
        <w:ind w:left="4847" w:right="1800" w:hanging="2058"/>
        <w:jc w:val="left"/>
      </w:pPr>
      <w:r>
        <w:rPr/>
        <w:t>Evolución de derechos pendiente de cobro por capítulos de la APCAC (ejercicio corriente)</w:t>
      </w:r>
    </w:p>
    <w:p>
      <w:pPr>
        <w:pStyle w:val="BodyText"/>
        <w:rPr>
          <w:b/>
          <w:sz w:val="17"/>
        </w:rPr>
      </w:pPr>
    </w:p>
    <w:tbl>
      <w:tblPr>
        <w:tblW w:w="0" w:type="auto"/>
        <w:jc w:val="left"/>
        <w:tblInd w:w="2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9"/>
        <w:gridCol w:w="1097"/>
        <w:gridCol w:w="1038"/>
        <w:gridCol w:w="1038"/>
        <w:gridCol w:w="1036"/>
        <w:gridCol w:w="785"/>
      </w:tblGrid>
      <w:tr>
        <w:trPr>
          <w:trHeight w:val="174" w:hRule="atLeast"/>
        </w:trPr>
        <w:tc>
          <w:tcPr>
            <w:tcW w:w="6268" w:type="dxa"/>
            <w:gridSpan w:val="5"/>
            <w:tcBorders>
              <w:top w:val="single" w:sz="4" w:space="0" w:color="000000"/>
            </w:tcBorders>
            <w:shd w:val="clear" w:color="auto" w:fill="DEEAF6"/>
          </w:tcPr>
          <w:p>
            <w:pPr>
              <w:pStyle w:val="TableParagraph"/>
              <w:rPr>
                <w:rFonts w:ascii="Times New Roman"/>
                <w:sz w:val="10"/>
              </w:rPr>
            </w:pPr>
          </w:p>
        </w:tc>
        <w:tc>
          <w:tcPr>
            <w:tcW w:w="785" w:type="dxa"/>
            <w:tcBorders>
              <w:top w:val="single" w:sz="4" w:space="0" w:color="000000"/>
            </w:tcBorders>
            <w:shd w:val="clear" w:color="auto" w:fill="DEEAF6"/>
          </w:tcPr>
          <w:p>
            <w:pPr>
              <w:pStyle w:val="TableParagraph"/>
              <w:spacing w:line="153" w:lineRule="exact" w:before="2"/>
              <w:ind w:right="177"/>
              <w:jc w:val="right"/>
              <w:rPr>
                <w:b/>
                <w:sz w:val="13"/>
              </w:rPr>
            </w:pPr>
            <w:r>
              <w:rPr>
                <w:b/>
                <w:w w:val="105"/>
                <w:sz w:val="13"/>
              </w:rPr>
              <w:t>Tasa de</w:t>
            </w:r>
          </w:p>
        </w:tc>
      </w:tr>
      <w:tr>
        <w:trPr>
          <w:trHeight w:val="164" w:hRule="atLeast"/>
        </w:trPr>
        <w:tc>
          <w:tcPr>
            <w:tcW w:w="2059" w:type="dxa"/>
            <w:shd w:val="clear" w:color="auto" w:fill="DEEAF6"/>
          </w:tcPr>
          <w:p>
            <w:pPr>
              <w:pStyle w:val="TableParagraph"/>
              <w:spacing w:line="144" w:lineRule="exact"/>
              <w:ind w:left="735" w:right="755"/>
              <w:jc w:val="center"/>
              <w:rPr>
                <w:b/>
                <w:sz w:val="13"/>
              </w:rPr>
            </w:pPr>
            <w:r>
              <w:rPr>
                <w:b/>
                <w:w w:val="105"/>
                <w:sz w:val="13"/>
              </w:rPr>
              <w:t>Capítulos</w:t>
            </w:r>
          </w:p>
        </w:tc>
        <w:tc>
          <w:tcPr>
            <w:tcW w:w="1097" w:type="dxa"/>
            <w:shd w:val="clear" w:color="auto" w:fill="DEEAF6"/>
          </w:tcPr>
          <w:p>
            <w:pPr>
              <w:pStyle w:val="TableParagraph"/>
              <w:spacing w:line="144" w:lineRule="exact"/>
              <w:ind w:left="377" w:right="402"/>
              <w:jc w:val="center"/>
              <w:rPr>
                <w:b/>
                <w:sz w:val="13"/>
              </w:rPr>
            </w:pPr>
            <w:r>
              <w:rPr>
                <w:b/>
                <w:w w:val="105"/>
                <w:sz w:val="13"/>
              </w:rPr>
              <w:t>2019</w:t>
            </w:r>
          </w:p>
        </w:tc>
        <w:tc>
          <w:tcPr>
            <w:tcW w:w="1038" w:type="dxa"/>
            <w:shd w:val="clear" w:color="auto" w:fill="DEEAF6"/>
          </w:tcPr>
          <w:p>
            <w:pPr>
              <w:pStyle w:val="TableParagraph"/>
              <w:spacing w:line="144" w:lineRule="exact"/>
              <w:ind w:left="361" w:right="359"/>
              <w:jc w:val="center"/>
              <w:rPr>
                <w:b/>
                <w:sz w:val="13"/>
              </w:rPr>
            </w:pPr>
            <w:r>
              <w:rPr>
                <w:b/>
                <w:w w:val="105"/>
                <w:sz w:val="13"/>
              </w:rPr>
              <w:t>2020</w:t>
            </w:r>
          </w:p>
        </w:tc>
        <w:tc>
          <w:tcPr>
            <w:tcW w:w="1038" w:type="dxa"/>
            <w:shd w:val="clear" w:color="auto" w:fill="DEEAF6"/>
          </w:tcPr>
          <w:p>
            <w:pPr>
              <w:pStyle w:val="TableParagraph"/>
              <w:spacing w:line="144" w:lineRule="exact"/>
              <w:ind w:left="360" w:right="359"/>
              <w:jc w:val="center"/>
              <w:rPr>
                <w:b/>
                <w:sz w:val="13"/>
              </w:rPr>
            </w:pPr>
            <w:r>
              <w:rPr>
                <w:b/>
                <w:w w:val="105"/>
                <w:sz w:val="13"/>
              </w:rPr>
              <w:t>2021</w:t>
            </w:r>
          </w:p>
        </w:tc>
        <w:tc>
          <w:tcPr>
            <w:tcW w:w="1036" w:type="dxa"/>
            <w:shd w:val="clear" w:color="auto" w:fill="DEEAF6"/>
          </w:tcPr>
          <w:p>
            <w:pPr>
              <w:pStyle w:val="TableParagraph"/>
              <w:spacing w:line="144" w:lineRule="exact"/>
              <w:ind w:left="363" w:right="355"/>
              <w:jc w:val="center"/>
              <w:rPr>
                <w:b/>
                <w:sz w:val="13"/>
              </w:rPr>
            </w:pPr>
            <w:r>
              <w:rPr>
                <w:b/>
                <w:w w:val="105"/>
                <w:sz w:val="13"/>
              </w:rPr>
              <w:t>2022</w:t>
            </w:r>
          </w:p>
        </w:tc>
        <w:tc>
          <w:tcPr>
            <w:tcW w:w="785" w:type="dxa"/>
            <w:shd w:val="clear" w:color="auto" w:fill="DEEAF6"/>
          </w:tcPr>
          <w:p>
            <w:pPr>
              <w:pStyle w:val="TableParagraph"/>
              <w:spacing w:line="144" w:lineRule="exact"/>
              <w:ind w:right="131"/>
              <w:jc w:val="right"/>
              <w:rPr>
                <w:b/>
                <w:sz w:val="13"/>
              </w:rPr>
            </w:pPr>
            <w:r>
              <w:rPr>
                <w:b/>
                <w:w w:val="105"/>
                <w:sz w:val="13"/>
              </w:rPr>
              <w:t>variación</w:t>
            </w:r>
          </w:p>
        </w:tc>
      </w:tr>
      <w:tr>
        <w:trPr>
          <w:trHeight w:val="153" w:hRule="atLeast"/>
        </w:trPr>
        <w:tc>
          <w:tcPr>
            <w:tcW w:w="2059" w:type="dxa"/>
            <w:shd w:val="clear" w:color="auto" w:fill="DEEAF6"/>
          </w:tcPr>
          <w:p>
            <w:pPr>
              <w:pStyle w:val="TableParagraph"/>
              <w:rPr>
                <w:rFonts w:ascii="Times New Roman"/>
                <w:sz w:val="8"/>
              </w:rPr>
            </w:pPr>
          </w:p>
        </w:tc>
        <w:tc>
          <w:tcPr>
            <w:tcW w:w="1097" w:type="dxa"/>
            <w:shd w:val="clear" w:color="auto" w:fill="DEEAF6"/>
          </w:tcPr>
          <w:p>
            <w:pPr>
              <w:pStyle w:val="TableParagraph"/>
              <w:rPr>
                <w:rFonts w:ascii="Times New Roman"/>
                <w:sz w:val="8"/>
              </w:rPr>
            </w:pPr>
          </w:p>
        </w:tc>
        <w:tc>
          <w:tcPr>
            <w:tcW w:w="1038" w:type="dxa"/>
            <w:shd w:val="clear" w:color="auto" w:fill="DEEAF6"/>
          </w:tcPr>
          <w:p>
            <w:pPr>
              <w:pStyle w:val="TableParagraph"/>
              <w:rPr>
                <w:rFonts w:ascii="Times New Roman"/>
                <w:sz w:val="8"/>
              </w:rPr>
            </w:pPr>
          </w:p>
        </w:tc>
        <w:tc>
          <w:tcPr>
            <w:tcW w:w="1038" w:type="dxa"/>
            <w:shd w:val="clear" w:color="auto" w:fill="DEEAF6"/>
          </w:tcPr>
          <w:p>
            <w:pPr>
              <w:pStyle w:val="TableParagraph"/>
              <w:rPr>
                <w:rFonts w:ascii="Times New Roman"/>
                <w:sz w:val="8"/>
              </w:rPr>
            </w:pPr>
          </w:p>
        </w:tc>
        <w:tc>
          <w:tcPr>
            <w:tcW w:w="1036" w:type="dxa"/>
            <w:shd w:val="clear" w:color="auto" w:fill="DEEAF6"/>
          </w:tcPr>
          <w:p>
            <w:pPr>
              <w:pStyle w:val="TableParagraph"/>
              <w:rPr>
                <w:rFonts w:ascii="Times New Roman"/>
                <w:sz w:val="8"/>
              </w:rPr>
            </w:pPr>
          </w:p>
        </w:tc>
        <w:tc>
          <w:tcPr>
            <w:tcW w:w="785" w:type="dxa"/>
            <w:shd w:val="clear" w:color="auto" w:fill="DEEAF6"/>
          </w:tcPr>
          <w:p>
            <w:pPr>
              <w:pStyle w:val="TableParagraph"/>
              <w:spacing w:line="134" w:lineRule="exact"/>
              <w:ind w:right="85"/>
              <w:jc w:val="right"/>
              <w:rPr>
                <w:b/>
                <w:sz w:val="13"/>
              </w:rPr>
            </w:pPr>
            <w:r>
              <w:rPr>
                <w:b/>
                <w:w w:val="105"/>
                <w:sz w:val="13"/>
              </w:rPr>
              <w:t>2022/2019</w:t>
            </w:r>
          </w:p>
        </w:tc>
      </w:tr>
      <w:tr>
        <w:trPr>
          <w:trHeight w:val="174" w:hRule="atLeast"/>
        </w:trPr>
        <w:tc>
          <w:tcPr>
            <w:tcW w:w="2059" w:type="dxa"/>
          </w:tcPr>
          <w:p>
            <w:pPr>
              <w:pStyle w:val="TableParagraph"/>
              <w:spacing w:line="152" w:lineRule="exact" w:before="3"/>
              <w:ind w:left="96"/>
              <w:rPr>
                <w:sz w:val="13"/>
              </w:rPr>
            </w:pPr>
            <w:r>
              <w:rPr>
                <w:w w:val="105"/>
                <w:sz w:val="13"/>
              </w:rPr>
              <w:t>Cap. I Impuestos directos</w:t>
            </w:r>
          </w:p>
        </w:tc>
        <w:tc>
          <w:tcPr>
            <w:tcW w:w="1097" w:type="dxa"/>
          </w:tcPr>
          <w:p>
            <w:pPr>
              <w:pStyle w:val="TableParagraph"/>
              <w:spacing w:line="152" w:lineRule="exact" w:before="3"/>
              <w:ind w:right="86"/>
              <w:jc w:val="right"/>
              <w:rPr>
                <w:sz w:val="13"/>
              </w:rPr>
            </w:pPr>
            <w:r>
              <w:rPr>
                <w:w w:val="105"/>
                <w:sz w:val="13"/>
              </w:rPr>
              <w:t>7.061.724,14</w:t>
            </w:r>
          </w:p>
        </w:tc>
        <w:tc>
          <w:tcPr>
            <w:tcW w:w="1038" w:type="dxa"/>
          </w:tcPr>
          <w:p>
            <w:pPr>
              <w:pStyle w:val="TableParagraph"/>
              <w:spacing w:line="152" w:lineRule="exact" w:before="3"/>
              <w:ind w:right="86"/>
              <w:jc w:val="right"/>
              <w:rPr>
                <w:sz w:val="13"/>
              </w:rPr>
            </w:pPr>
            <w:r>
              <w:rPr>
                <w:w w:val="105"/>
                <w:sz w:val="13"/>
              </w:rPr>
              <w:t>9.122.318,22</w:t>
            </w:r>
          </w:p>
        </w:tc>
        <w:tc>
          <w:tcPr>
            <w:tcW w:w="1038" w:type="dxa"/>
          </w:tcPr>
          <w:p>
            <w:pPr>
              <w:pStyle w:val="TableParagraph"/>
              <w:spacing w:line="152" w:lineRule="exact" w:before="3"/>
              <w:ind w:right="84"/>
              <w:jc w:val="right"/>
              <w:rPr>
                <w:sz w:val="13"/>
              </w:rPr>
            </w:pPr>
            <w:r>
              <w:rPr>
                <w:w w:val="105"/>
                <w:sz w:val="13"/>
              </w:rPr>
              <w:t>32.735.535,99</w:t>
            </w:r>
          </w:p>
        </w:tc>
        <w:tc>
          <w:tcPr>
            <w:tcW w:w="1036" w:type="dxa"/>
          </w:tcPr>
          <w:p>
            <w:pPr>
              <w:pStyle w:val="TableParagraph"/>
              <w:spacing w:line="152" w:lineRule="exact" w:before="3"/>
              <w:ind w:right="82"/>
              <w:jc w:val="right"/>
              <w:rPr>
                <w:sz w:val="13"/>
              </w:rPr>
            </w:pPr>
            <w:r>
              <w:rPr>
                <w:w w:val="105"/>
                <w:sz w:val="13"/>
              </w:rPr>
              <w:t>5.928.062,51</w:t>
            </w:r>
          </w:p>
        </w:tc>
        <w:tc>
          <w:tcPr>
            <w:tcW w:w="785" w:type="dxa"/>
          </w:tcPr>
          <w:p>
            <w:pPr>
              <w:pStyle w:val="TableParagraph"/>
              <w:spacing w:line="152" w:lineRule="exact" w:before="3"/>
              <w:ind w:right="84"/>
              <w:jc w:val="right"/>
              <w:rPr>
                <w:sz w:val="13"/>
              </w:rPr>
            </w:pPr>
            <w:r>
              <w:rPr>
                <w:w w:val="105"/>
                <w:sz w:val="13"/>
              </w:rPr>
              <w:t>-16,05%</w:t>
            </w:r>
          </w:p>
        </w:tc>
      </w:tr>
      <w:tr>
        <w:trPr>
          <w:trHeight w:val="163" w:hRule="atLeast"/>
        </w:trPr>
        <w:tc>
          <w:tcPr>
            <w:tcW w:w="2059" w:type="dxa"/>
          </w:tcPr>
          <w:p>
            <w:pPr>
              <w:pStyle w:val="TableParagraph"/>
              <w:spacing w:line="143" w:lineRule="exact"/>
              <w:ind w:left="96"/>
              <w:rPr>
                <w:sz w:val="13"/>
              </w:rPr>
            </w:pPr>
            <w:r>
              <w:rPr>
                <w:w w:val="105"/>
                <w:sz w:val="13"/>
              </w:rPr>
              <w:t>Cap. II Impuestos indirectos</w:t>
            </w:r>
          </w:p>
        </w:tc>
        <w:tc>
          <w:tcPr>
            <w:tcW w:w="1097" w:type="dxa"/>
          </w:tcPr>
          <w:p>
            <w:pPr>
              <w:pStyle w:val="TableParagraph"/>
              <w:spacing w:line="143" w:lineRule="exact"/>
              <w:ind w:right="86"/>
              <w:jc w:val="right"/>
              <w:rPr>
                <w:sz w:val="13"/>
              </w:rPr>
            </w:pPr>
            <w:r>
              <w:rPr>
                <w:w w:val="105"/>
                <w:sz w:val="13"/>
              </w:rPr>
              <w:t>10.250.928,68</w:t>
            </w:r>
          </w:p>
        </w:tc>
        <w:tc>
          <w:tcPr>
            <w:tcW w:w="1038" w:type="dxa"/>
          </w:tcPr>
          <w:p>
            <w:pPr>
              <w:pStyle w:val="TableParagraph"/>
              <w:spacing w:line="143" w:lineRule="exact"/>
              <w:ind w:right="86"/>
              <w:jc w:val="right"/>
              <w:rPr>
                <w:sz w:val="13"/>
              </w:rPr>
            </w:pPr>
            <w:r>
              <w:rPr>
                <w:w w:val="105"/>
                <w:sz w:val="13"/>
              </w:rPr>
              <w:t>9.124.477,69</w:t>
            </w:r>
          </w:p>
        </w:tc>
        <w:tc>
          <w:tcPr>
            <w:tcW w:w="1038" w:type="dxa"/>
          </w:tcPr>
          <w:p>
            <w:pPr>
              <w:pStyle w:val="TableParagraph"/>
              <w:spacing w:line="143" w:lineRule="exact"/>
              <w:ind w:right="84"/>
              <w:jc w:val="right"/>
              <w:rPr>
                <w:sz w:val="13"/>
              </w:rPr>
            </w:pPr>
            <w:r>
              <w:rPr>
                <w:w w:val="105"/>
                <w:sz w:val="13"/>
              </w:rPr>
              <w:t>8.264.809,76</w:t>
            </w:r>
          </w:p>
        </w:tc>
        <w:tc>
          <w:tcPr>
            <w:tcW w:w="1036" w:type="dxa"/>
          </w:tcPr>
          <w:p>
            <w:pPr>
              <w:pStyle w:val="TableParagraph"/>
              <w:spacing w:line="143" w:lineRule="exact"/>
              <w:ind w:right="82"/>
              <w:jc w:val="right"/>
              <w:rPr>
                <w:sz w:val="13"/>
              </w:rPr>
            </w:pPr>
            <w:r>
              <w:rPr>
                <w:w w:val="105"/>
                <w:sz w:val="13"/>
              </w:rPr>
              <w:t>9.826.774,27</w:t>
            </w:r>
          </w:p>
        </w:tc>
        <w:tc>
          <w:tcPr>
            <w:tcW w:w="785" w:type="dxa"/>
          </w:tcPr>
          <w:p>
            <w:pPr>
              <w:pStyle w:val="TableParagraph"/>
              <w:spacing w:line="143" w:lineRule="exact"/>
              <w:ind w:right="83"/>
              <w:jc w:val="right"/>
              <w:rPr>
                <w:sz w:val="13"/>
              </w:rPr>
            </w:pPr>
            <w:r>
              <w:rPr>
                <w:w w:val="105"/>
                <w:sz w:val="13"/>
              </w:rPr>
              <w:t>-4,14%</w:t>
            </w:r>
          </w:p>
        </w:tc>
      </w:tr>
      <w:tr>
        <w:trPr>
          <w:trHeight w:val="164" w:hRule="atLeast"/>
        </w:trPr>
        <w:tc>
          <w:tcPr>
            <w:tcW w:w="2059" w:type="dxa"/>
          </w:tcPr>
          <w:p>
            <w:pPr>
              <w:pStyle w:val="TableParagraph"/>
              <w:spacing w:line="144" w:lineRule="exact"/>
              <w:ind w:left="96"/>
              <w:rPr>
                <w:sz w:val="13"/>
              </w:rPr>
            </w:pPr>
            <w:r>
              <w:rPr>
                <w:w w:val="105"/>
                <w:sz w:val="13"/>
              </w:rPr>
              <w:t>Cap. III Tasas, precios públicos y</w:t>
            </w:r>
          </w:p>
        </w:tc>
        <w:tc>
          <w:tcPr>
            <w:tcW w:w="1097" w:type="dxa"/>
          </w:tcPr>
          <w:p>
            <w:pPr>
              <w:pStyle w:val="TableParagraph"/>
              <w:spacing w:line="144" w:lineRule="exact"/>
              <w:ind w:right="86"/>
              <w:jc w:val="right"/>
              <w:rPr>
                <w:sz w:val="13"/>
              </w:rPr>
            </w:pPr>
            <w:r>
              <w:rPr>
                <w:w w:val="105"/>
                <w:sz w:val="13"/>
              </w:rPr>
              <w:t>10.872.369,38</w:t>
            </w:r>
          </w:p>
        </w:tc>
        <w:tc>
          <w:tcPr>
            <w:tcW w:w="1038" w:type="dxa"/>
          </w:tcPr>
          <w:p>
            <w:pPr>
              <w:pStyle w:val="TableParagraph"/>
              <w:spacing w:line="144" w:lineRule="exact"/>
              <w:ind w:right="86"/>
              <w:jc w:val="right"/>
              <w:rPr>
                <w:sz w:val="13"/>
              </w:rPr>
            </w:pPr>
            <w:r>
              <w:rPr>
                <w:w w:val="105"/>
                <w:sz w:val="13"/>
              </w:rPr>
              <w:t>8.662.836,63</w:t>
            </w:r>
          </w:p>
        </w:tc>
        <w:tc>
          <w:tcPr>
            <w:tcW w:w="1038" w:type="dxa"/>
          </w:tcPr>
          <w:p>
            <w:pPr>
              <w:pStyle w:val="TableParagraph"/>
              <w:spacing w:line="144" w:lineRule="exact"/>
              <w:ind w:right="84"/>
              <w:jc w:val="right"/>
              <w:rPr>
                <w:sz w:val="13"/>
              </w:rPr>
            </w:pPr>
            <w:r>
              <w:rPr>
                <w:w w:val="105"/>
                <w:sz w:val="13"/>
              </w:rPr>
              <w:t>8.924.272,03</w:t>
            </w:r>
          </w:p>
        </w:tc>
        <w:tc>
          <w:tcPr>
            <w:tcW w:w="1036" w:type="dxa"/>
          </w:tcPr>
          <w:p>
            <w:pPr>
              <w:pStyle w:val="TableParagraph"/>
              <w:spacing w:line="144" w:lineRule="exact"/>
              <w:ind w:right="82"/>
              <w:jc w:val="right"/>
              <w:rPr>
                <w:sz w:val="13"/>
              </w:rPr>
            </w:pPr>
            <w:r>
              <w:rPr>
                <w:w w:val="105"/>
                <w:sz w:val="13"/>
              </w:rPr>
              <w:t>24.963.919,37</w:t>
            </w:r>
          </w:p>
        </w:tc>
        <w:tc>
          <w:tcPr>
            <w:tcW w:w="785" w:type="dxa"/>
          </w:tcPr>
          <w:p>
            <w:pPr>
              <w:pStyle w:val="TableParagraph"/>
              <w:spacing w:line="144" w:lineRule="exact"/>
              <w:ind w:right="84"/>
              <w:jc w:val="right"/>
              <w:rPr>
                <w:sz w:val="13"/>
              </w:rPr>
            </w:pPr>
            <w:r>
              <w:rPr>
                <w:sz w:val="13"/>
              </w:rPr>
              <w:t>129,61%</w:t>
            </w:r>
          </w:p>
        </w:tc>
      </w:tr>
      <w:tr>
        <w:trPr>
          <w:trHeight w:val="164" w:hRule="atLeast"/>
        </w:trPr>
        <w:tc>
          <w:tcPr>
            <w:tcW w:w="2059" w:type="dxa"/>
          </w:tcPr>
          <w:p>
            <w:pPr>
              <w:pStyle w:val="TableParagraph"/>
              <w:spacing w:line="144" w:lineRule="exact"/>
              <w:ind w:left="96"/>
              <w:rPr>
                <w:sz w:val="13"/>
              </w:rPr>
            </w:pPr>
            <w:r>
              <w:rPr>
                <w:w w:val="105"/>
                <w:sz w:val="13"/>
              </w:rPr>
              <w:t>otros ingresos</w:t>
            </w:r>
          </w:p>
        </w:tc>
        <w:tc>
          <w:tcPr>
            <w:tcW w:w="1097" w:type="dxa"/>
          </w:tcPr>
          <w:p>
            <w:pPr>
              <w:pStyle w:val="TableParagraph"/>
              <w:rPr>
                <w:rFonts w:ascii="Times New Roman"/>
                <w:sz w:val="10"/>
              </w:rPr>
            </w:pPr>
          </w:p>
        </w:tc>
        <w:tc>
          <w:tcPr>
            <w:tcW w:w="1038" w:type="dxa"/>
          </w:tcPr>
          <w:p>
            <w:pPr>
              <w:pStyle w:val="TableParagraph"/>
              <w:rPr>
                <w:rFonts w:ascii="Times New Roman"/>
                <w:sz w:val="10"/>
              </w:rPr>
            </w:pPr>
          </w:p>
        </w:tc>
        <w:tc>
          <w:tcPr>
            <w:tcW w:w="1038" w:type="dxa"/>
          </w:tcPr>
          <w:p>
            <w:pPr>
              <w:pStyle w:val="TableParagraph"/>
              <w:rPr>
                <w:rFonts w:ascii="Times New Roman"/>
                <w:sz w:val="10"/>
              </w:rPr>
            </w:pPr>
          </w:p>
        </w:tc>
        <w:tc>
          <w:tcPr>
            <w:tcW w:w="1036" w:type="dxa"/>
          </w:tcPr>
          <w:p>
            <w:pPr>
              <w:pStyle w:val="TableParagraph"/>
              <w:rPr>
                <w:rFonts w:ascii="Times New Roman"/>
                <w:sz w:val="10"/>
              </w:rPr>
            </w:pPr>
          </w:p>
        </w:tc>
        <w:tc>
          <w:tcPr>
            <w:tcW w:w="785" w:type="dxa"/>
          </w:tcPr>
          <w:p>
            <w:pPr>
              <w:pStyle w:val="TableParagraph"/>
              <w:rPr>
                <w:rFonts w:ascii="Times New Roman"/>
                <w:sz w:val="10"/>
              </w:rPr>
            </w:pPr>
          </w:p>
        </w:tc>
      </w:tr>
      <w:tr>
        <w:trPr>
          <w:trHeight w:val="163" w:hRule="atLeast"/>
        </w:trPr>
        <w:tc>
          <w:tcPr>
            <w:tcW w:w="2059" w:type="dxa"/>
          </w:tcPr>
          <w:p>
            <w:pPr>
              <w:pStyle w:val="TableParagraph"/>
              <w:spacing w:line="143" w:lineRule="exact"/>
              <w:ind w:left="96"/>
              <w:rPr>
                <w:sz w:val="13"/>
              </w:rPr>
            </w:pPr>
            <w:r>
              <w:rPr>
                <w:w w:val="105"/>
                <w:sz w:val="13"/>
              </w:rPr>
              <w:t>Cap. IV Transferencias corrientes</w:t>
            </w:r>
          </w:p>
        </w:tc>
        <w:tc>
          <w:tcPr>
            <w:tcW w:w="1097" w:type="dxa"/>
          </w:tcPr>
          <w:p>
            <w:pPr>
              <w:pStyle w:val="TableParagraph"/>
              <w:spacing w:line="143" w:lineRule="exact"/>
              <w:ind w:right="86"/>
              <w:jc w:val="right"/>
              <w:rPr>
                <w:sz w:val="13"/>
              </w:rPr>
            </w:pPr>
            <w:r>
              <w:rPr>
                <w:w w:val="105"/>
                <w:sz w:val="13"/>
              </w:rPr>
              <w:t>53.614.007,19</w:t>
            </w:r>
          </w:p>
        </w:tc>
        <w:tc>
          <w:tcPr>
            <w:tcW w:w="1038" w:type="dxa"/>
          </w:tcPr>
          <w:p>
            <w:pPr>
              <w:pStyle w:val="TableParagraph"/>
              <w:spacing w:line="143" w:lineRule="exact"/>
              <w:ind w:right="86"/>
              <w:jc w:val="right"/>
              <w:rPr>
                <w:sz w:val="13"/>
              </w:rPr>
            </w:pPr>
            <w:r>
              <w:rPr>
                <w:w w:val="105"/>
                <w:sz w:val="13"/>
              </w:rPr>
              <w:t>89.316.610,28</w:t>
            </w:r>
          </w:p>
        </w:tc>
        <w:tc>
          <w:tcPr>
            <w:tcW w:w="1038" w:type="dxa"/>
          </w:tcPr>
          <w:p>
            <w:pPr>
              <w:pStyle w:val="TableParagraph"/>
              <w:spacing w:line="143" w:lineRule="exact"/>
              <w:ind w:right="84"/>
              <w:jc w:val="right"/>
              <w:rPr>
                <w:sz w:val="13"/>
              </w:rPr>
            </w:pPr>
            <w:r>
              <w:rPr>
                <w:w w:val="105"/>
                <w:sz w:val="13"/>
              </w:rPr>
              <w:t>40.953.162,96</w:t>
            </w:r>
          </w:p>
        </w:tc>
        <w:tc>
          <w:tcPr>
            <w:tcW w:w="1036" w:type="dxa"/>
          </w:tcPr>
          <w:p>
            <w:pPr>
              <w:pStyle w:val="TableParagraph"/>
              <w:spacing w:line="143" w:lineRule="exact"/>
              <w:ind w:right="83"/>
              <w:jc w:val="right"/>
              <w:rPr>
                <w:sz w:val="13"/>
              </w:rPr>
            </w:pPr>
            <w:r>
              <w:rPr>
                <w:sz w:val="13"/>
              </w:rPr>
              <w:t>103.555.729,54</w:t>
            </w:r>
          </w:p>
        </w:tc>
        <w:tc>
          <w:tcPr>
            <w:tcW w:w="785" w:type="dxa"/>
          </w:tcPr>
          <w:p>
            <w:pPr>
              <w:pStyle w:val="TableParagraph"/>
              <w:spacing w:line="143" w:lineRule="exact"/>
              <w:ind w:right="84"/>
              <w:jc w:val="right"/>
              <w:rPr>
                <w:sz w:val="13"/>
              </w:rPr>
            </w:pPr>
            <w:r>
              <w:rPr>
                <w:sz w:val="13"/>
              </w:rPr>
              <w:t>93,15%</w:t>
            </w:r>
          </w:p>
        </w:tc>
      </w:tr>
      <w:tr>
        <w:trPr>
          <w:trHeight w:val="164" w:hRule="atLeast"/>
        </w:trPr>
        <w:tc>
          <w:tcPr>
            <w:tcW w:w="2059" w:type="dxa"/>
          </w:tcPr>
          <w:p>
            <w:pPr>
              <w:pStyle w:val="TableParagraph"/>
              <w:spacing w:line="144" w:lineRule="exact"/>
              <w:ind w:left="96"/>
              <w:rPr>
                <w:sz w:val="13"/>
              </w:rPr>
            </w:pPr>
            <w:r>
              <w:rPr>
                <w:w w:val="105"/>
                <w:sz w:val="13"/>
              </w:rPr>
              <w:t>Cap. V Ingresos patrimoniales</w:t>
            </w:r>
          </w:p>
        </w:tc>
        <w:tc>
          <w:tcPr>
            <w:tcW w:w="1097" w:type="dxa"/>
          </w:tcPr>
          <w:p>
            <w:pPr>
              <w:pStyle w:val="TableParagraph"/>
              <w:spacing w:line="144" w:lineRule="exact"/>
              <w:ind w:right="86"/>
              <w:jc w:val="right"/>
              <w:rPr>
                <w:sz w:val="13"/>
              </w:rPr>
            </w:pPr>
            <w:r>
              <w:rPr>
                <w:sz w:val="13"/>
              </w:rPr>
              <w:t>0,00</w:t>
            </w:r>
          </w:p>
        </w:tc>
        <w:tc>
          <w:tcPr>
            <w:tcW w:w="1038" w:type="dxa"/>
          </w:tcPr>
          <w:p>
            <w:pPr>
              <w:pStyle w:val="TableParagraph"/>
              <w:spacing w:line="144" w:lineRule="exact"/>
              <w:ind w:right="86"/>
              <w:jc w:val="right"/>
              <w:rPr>
                <w:sz w:val="13"/>
              </w:rPr>
            </w:pPr>
            <w:r>
              <w:rPr>
                <w:sz w:val="13"/>
              </w:rPr>
              <w:t>0,00</w:t>
            </w:r>
          </w:p>
        </w:tc>
        <w:tc>
          <w:tcPr>
            <w:tcW w:w="1038" w:type="dxa"/>
          </w:tcPr>
          <w:p>
            <w:pPr>
              <w:pStyle w:val="TableParagraph"/>
              <w:spacing w:line="144" w:lineRule="exact"/>
              <w:ind w:right="84"/>
              <w:jc w:val="right"/>
              <w:rPr>
                <w:sz w:val="13"/>
              </w:rPr>
            </w:pPr>
            <w:r>
              <w:rPr>
                <w:sz w:val="13"/>
              </w:rPr>
              <w:t>0,00</w:t>
            </w:r>
          </w:p>
        </w:tc>
        <w:tc>
          <w:tcPr>
            <w:tcW w:w="1036" w:type="dxa"/>
          </w:tcPr>
          <w:p>
            <w:pPr>
              <w:pStyle w:val="TableParagraph"/>
              <w:spacing w:line="144" w:lineRule="exact"/>
              <w:ind w:right="82"/>
              <w:jc w:val="right"/>
              <w:rPr>
                <w:sz w:val="13"/>
              </w:rPr>
            </w:pPr>
            <w:r>
              <w:rPr>
                <w:w w:val="105"/>
                <w:sz w:val="13"/>
              </w:rPr>
              <w:t>3.906.726,24</w:t>
            </w:r>
          </w:p>
        </w:tc>
        <w:tc>
          <w:tcPr>
            <w:tcW w:w="785" w:type="dxa"/>
          </w:tcPr>
          <w:p>
            <w:pPr>
              <w:pStyle w:val="TableParagraph"/>
              <w:spacing w:line="144" w:lineRule="exact"/>
              <w:ind w:right="83"/>
              <w:jc w:val="right"/>
              <w:rPr>
                <w:sz w:val="13"/>
              </w:rPr>
            </w:pPr>
            <w:r>
              <w:rPr>
                <w:sz w:val="13"/>
              </w:rPr>
              <w:t>100%</w:t>
            </w:r>
          </w:p>
        </w:tc>
      </w:tr>
      <w:tr>
        <w:trPr>
          <w:trHeight w:val="164" w:hRule="atLeast"/>
        </w:trPr>
        <w:tc>
          <w:tcPr>
            <w:tcW w:w="2059" w:type="dxa"/>
          </w:tcPr>
          <w:p>
            <w:pPr>
              <w:pStyle w:val="TableParagraph"/>
              <w:spacing w:line="144" w:lineRule="exact"/>
              <w:ind w:left="96"/>
              <w:rPr>
                <w:sz w:val="13"/>
              </w:rPr>
            </w:pPr>
            <w:r>
              <w:rPr>
                <w:w w:val="105"/>
                <w:sz w:val="13"/>
              </w:rPr>
              <w:t>Cap. VI Enajenación de</w:t>
            </w:r>
          </w:p>
        </w:tc>
        <w:tc>
          <w:tcPr>
            <w:tcW w:w="1097" w:type="dxa"/>
          </w:tcPr>
          <w:p>
            <w:pPr>
              <w:pStyle w:val="TableParagraph"/>
              <w:spacing w:line="144" w:lineRule="exact"/>
              <w:ind w:right="86"/>
              <w:jc w:val="right"/>
              <w:rPr>
                <w:sz w:val="13"/>
              </w:rPr>
            </w:pPr>
            <w:r>
              <w:rPr>
                <w:sz w:val="13"/>
              </w:rPr>
              <w:t>0,00</w:t>
            </w:r>
          </w:p>
        </w:tc>
        <w:tc>
          <w:tcPr>
            <w:tcW w:w="1038" w:type="dxa"/>
          </w:tcPr>
          <w:p>
            <w:pPr>
              <w:pStyle w:val="TableParagraph"/>
              <w:spacing w:line="144" w:lineRule="exact"/>
              <w:ind w:right="86"/>
              <w:jc w:val="right"/>
              <w:rPr>
                <w:sz w:val="13"/>
              </w:rPr>
            </w:pPr>
            <w:r>
              <w:rPr>
                <w:sz w:val="13"/>
              </w:rPr>
              <w:t>0,00</w:t>
            </w:r>
          </w:p>
        </w:tc>
        <w:tc>
          <w:tcPr>
            <w:tcW w:w="1038" w:type="dxa"/>
          </w:tcPr>
          <w:p>
            <w:pPr>
              <w:pStyle w:val="TableParagraph"/>
              <w:spacing w:line="144" w:lineRule="exact"/>
              <w:ind w:right="84"/>
              <w:jc w:val="right"/>
              <w:rPr>
                <w:sz w:val="13"/>
              </w:rPr>
            </w:pPr>
            <w:r>
              <w:rPr>
                <w:sz w:val="13"/>
              </w:rPr>
              <w:t>0,00</w:t>
            </w:r>
          </w:p>
        </w:tc>
        <w:tc>
          <w:tcPr>
            <w:tcW w:w="1036" w:type="dxa"/>
          </w:tcPr>
          <w:p>
            <w:pPr>
              <w:pStyle w:val="TableParagraph"/>
              <w:spacing w:line="144" w:lineRule="exact"/>
              <w:ind w:right="82"/>
              <w:jc w:val="right"/>
              <w:rPr>
                <w:sz w:val="13"/>
              </w:rPr>
            </w:pPr>
            <w:r>
              <w:rPr>
                <w:sz w:val="13"/>
              </w:rPr>
              <w:t>0,00</w:t>
            </w:r>
          </w:p>
        </w:tc>
        <w:tc>
          <w:tcPr>
            <w:tcW w:w="785" w:type="dxa"/>
          </w:tcPr>
          <w:p>
            <w:pPr>
              <w:pStyle w:val="TableParagraph"/>
              <w:spacing w:line="144" w:lineRule="exact"/>
              <w:ind w:right="84"/>
              <w:jc w:val="right"/>
              <w:rPr>
                <w:sz w:val="13"/>
              </w:rPr>
            </w:pPr>
            <w:r>
              <w:rPr>
                <w:w w:val="103"/>
                <w:sz w:val="13"/>
              </w:rPr>
              <w:t>-</w:t>
            </w:r>
          </w:p>
        </w:tc>
      </w:tr>
      <w:tr>
        <w:trPr>
          <w:trHeight w:val="164" w:hRule="atLeast"/>
        </w:trPr>
        <w:tc>
          <w:tcPr>
            <w:tcW w:w="2059" w:type="dxa"/>
          </w:tcPr>
          <w:p>
            <w:pPr>
              <w:pStyle w:val="TableParagraph"/>
              <w:spacing w:line="144" w:lineRule="exact"/>
              <w:ind w:left="96"/>
              <w:rPr>
                <w:sz w:val="13"/>
              </w:rPr>
            </w:pPr>
            <w:r>
              <w:rPr>
                <w:w w:val="105"/>
                <w:sz w:val="13"/>
              </w:rPr>
              <w:t>inversiones reales</w:t>
            </w:r>
          </w:p>
        </w:tc>
        <w:tc>
          <w:tcPr>
            <w:tcW w:w="1097" w:type="dxa"/>
          </w:tcPr>
          <w:p>
            <w:pPr>
              <w:pStyle w:val="TableParagraph"/>
              <w:rPr>
                <w:rFonts w:ascii="Times New Roman"/>
                <w:sz w:val="10"/>
              </w:rPr>
            </w:pPr>
          </w:p>
        </w:tc>
        <w:tc>
          <w:tcPr>
            <w:tcW w:w="1038" w:type="dxa"/>
          </w:tcPr>
          <w:p>
            <w:pPr>
              <w:pStyle w:val="TableParagraph"/>
              <w:rPr>
                <w:rFonts w:ascii="Times New Roman"/>
                <w:sz w:val="10"/>
              </w:rPr>
            </w:pPr>
          </w:p>
        </w:tc>
        <w:tc>
          <w:tcPr>
            <w:tcW w:w="1038" w:type="dxa"/>
          </w:tcPr>
          <w:p>
            <w:pPr>
              <w:pStyle w:val="TableParagraph"/>
              <w:rPr>
                <w:rFonts w:ascii="Times New Roman"/>
                <w:sz w:val="10"/>
              </w:rPr>
            </w:pPr>
          </w:p>
        </w:tc>
        <w:tc>
          <w:tcPr>
            <w:tcW w:w="1036" w:type="dxa"/>
          </w:tcPr>
          <w:p>
            <w:pPr>
              <w:pStyle w:val="TableParagraph"/>
              <w:rPr>
                <w:rFonts w:ascii="Times New Roman"/>
                <w:sz w:val="10"/>
              </w:rPr>
            </w:pPr>
          </w:p>
        </w:tc>
        <w:tc>
          <w:tcPr>
            <w:tcW w:w="785" w:type="dxa"/>
          </w:tcPr>
          <w:p>
            <w:pPr>
              <w:pStyle w:val="TableParagraph"/>
              <w:rPr>
                <w:rFonts w:ascii="Times New Roman"/>
                <w:sz w:val="10"/>
              </w:rPr>
            </w:pPr>
          </w:p>
        </w:tc>
      </w:tr>
      <w:tr>
        <w:trPr>
          <w:trHeight w:val="164" w:hRule="atLeast"/>
        </w:trPr>
        <w:tc>
          <w:tcPr>
            <w:tcW w:w="2059" w:type="dxa"/>
          </w:tcPr>
          <w:p>
            <w:pPr>
              <w:pStyle w:val="TableParagraph"/>
              <w:spacing w:line="144" w:lineRule="exact"/>
              <w:ind w:left="96"/>
              <w:rPr>
                <w:sz w:val="13"/>
              </w:rPr>
            </w:pPr>
            <w:r>
              <w:rPr>
                <w:w w:val="105"/>
                <w:sz w:val="13"/>
              </w:rPr>
              <w:t>Cap. VII Transferencias de capital</w:t>
            </w:r>
          </w:p>
        </w:tc>
        <w:tc>
          <w:tcPr>
            <w:tcW w:w="1097" w:type="dxa"/>
          </w:tcPr>
          <w:p>
            <w:pPr>
              <w:pStyle w:val="TableParagraph"/>
              <w:spacing w:line="144" w:lineRule="exact"/>
              <w:ind w:right="87"/>
              <w:jc w:val="right"/>
              <w:rPr>
                <w:sz w:val="13"/>
              </w:rPr>
            </w:pPr>
            <w:r>
              <w:rPr>
                <w:sz w:val="13"/>
              </w:rPr>
              <w:t>113.724.005,20</w:t>
            </w:r>
          </w:p>
        </w:tc>
        <w:tc>
          <w:tcPr>
            <w:tcW w:w="1038" w:type="dxa"/>
          </w:tcPr>
          <w:p>
            <w:pPr>
              <w:pStyle w:val="TableParagraph"/>
              <w:spacing w:line="144" w:lineRule="exact"/>
              <w:ind w:right="86"/>
              <w:jc w:val="right"/>
              <w:rPr>
                <w:sz w:val="13"/>
              </w:rPr>
            </w:pPr>
            <w:r>
              <w:rPr>
                <w:w w:val="105"/>
                <w:sz w:val="13"/>
              </w:rPr>
              <w:t>95.287.943,25</w:t>
            </w:r>
          </w:p>
        </w:tc>
        <w:tc>
          <w:tcPr>
            <w:tcW w:w="1038" w:type="dxa"/>
          </w:tcPr>
          <w:p>
            <w:pPr>
              <w:pStyle w:val="TableParagraph"/>
              <w:spacing w:line="144" w:lineRule="exact"/>
              <w:ind w:right="85"/>
              <w:jc w:val="right"/>
              <w:rPr>
                <w:sz w:val="13"/>
              </w:rPr>
            </w:pPr>
            <w:r>
              <w:rPr>
                <w:sz w:val="13"/>
              </w:rPr>
              <w:t>247.691.198,11</w:t>
            </w:r>
          </w:p>
        </w:tc>
        <w:tc>
          <w:tcPr>
            <w:tcW w:w="1036" w:type="dxa"/>
          </w:tcPr>
          <w:p>
            <w:pPr>
              <w:pStyle w:val="TableParagraph"/>
              <w:spacing w:line="144" w:lineRule="exact"/>
              <w:ind w:right="83"/>
              <w:jc w:val="right"/>
              <w:rPr>
                <w:sz w:val="13"/>
              </w:rPr>
            </w:pPr>
            <w:r>
              <w:rPr>
                <w:sz w:val="13"/>
              </w:rPr>
              <w:t>506.669.313,59</w:t>
            </w:r>
          </w:p>
        </w:tc>
        <w:tc>
          <w:tcPr>
            <w:tcW w:w="785" w:type="dxa"/>
          </w:tcPr>
          <w:p>
            <w:pPr>
              <w:pStyle w:val="TableParagraph"/>
              <w:spacing w:line="144" w:lineRule="exact"/>
              <w:ind w:right="84"/>
              <w:jc w:val="right"/>
              <w:rPr>
                <w:sz w:val="13"/>
              </w:rPr>
            </w:pPr>
            <w:r>
              <w:rPr>
                <w:sz w:val="13"/>
              </w:rPr>
              <w:t>345,52%</w:t>
            </w:r>
          </w:p>
        </w:tc>
      </w:tr>
      <w:tr>
        <w:trPr>
          <w:trHeight w:val="163" w:hRule="atLeast"/>
        </w:trPr>
        <w:tc>
          <w:tcPr>
            <w:tcW w:w="2059" w:type="dxa"/>
          </w:tcPr>
          <w:p>
            <w:pPr>
              <w:pStyle w:val="TableParagraph"/>
              <w:spacing w:line="143" w:lineRule="exact"/>
              <w:ind w:left="96"/>
              <w:rPr>
                <w:b/>
                <w:sz w:val="13"/>
              </w:rPr>
            </w:pPr>
            <w:r>
              <w:rPr>
                <w:b/>
                <w:w w:val="105"/>
                <w:sz w:val="13"/>
              </w:rPr>
              <w:t>Total operaciones no financieras</w:t>
            </w:r>
          </w:p>
        </w:tc>
        <w:tc>
          <w:tcPr>
            <w:tcW w:w="1097" w:type="dxa"/>
          </w:tcPr>
          <w:p>
            <w:pPr>
              <w:pStyle w:val="TableParagraph"/>
              <w:spacing w:line="143" w:lineRule="exact"/>
              <w:ind w:right="87"/>
              <w:jc w:val="right"/>
              <w:rPr>
                <w:b/>
                <w:sz w:val="13"/>
              </w:rPr>
            </w:pPr>
            <w:r>
              <w:rPr>
                <w:b/>
                <w:sz w:val="13"/>
              </w:rPr>
              <w:t>195.523.034,59</w:t>
            </w:r>
          </w:p>
        </w:tc>
        <w:tc>
          <w:tcPr>
            <w:tcW w:w="1038" w:type="dxa"/>
          </w:tcPr>
          <w:p>
            <w:pPr>
              <w:pStyle w:val="TableParagraph"/>
              <w:spacing w:line="143" w:lineRule="exact"/>
              <w:ind w:right="87"/>
              <w:jc w:val="right"/>
              <w:rPr>
                <w:b/>
                <w:sz w:val="13"/>
              </w:rPr>
            </w:pPr>
            <w:r>
              <w:rPr>
                <w:b/>
                <w:sz w:val="13"/>
              </w:rPr>
              <w:t>211.514.186,07</w:t>
            </w:r>
          </w:p>
        </w:tc>
        <w:tc>
          <w:tcPr>
            <w:tcW w:w="1038" w:type="dxa"/>
          </w:tcPr>
          <w:p>
            <w:pPr>
              <w:pStyle w:val="TableParagraph"/>
              <w:spacing w:line="143" w:lineRule="exact"/>
              <w:ind w:right="85"/>
              <w:jc w:val="right"/>
              <w:rPr>
                <w:b/>
                <w:sz w:val="13"/>
              </w:rPr>
            </w:pPr>
            <w:r>
              <w:rPr>
                <w:b/>
                <w:sz w:val="13"/>
              </w:rPr>
              <w:t>338.568.978,85</w:t>
            </w:r>
          </w:p>
        </w:tc>
        <w:tc>
          <w:tcPr>
            <w:tcW w:w="1036" w:type="dxa"/>
          </w:tcPr>
          <w:p>
            <w:pPr>
              <w:pStyle w:val="TableParagraph"/>
              <w:spacing w:line="143" w:lineRule="exact"/>
              <w:ind w:right="83"/>
              <w:jc w:val="right"/>
              <w:rPr>
                <w:b/>
                <w:sz w:val="13"/>
              </w:rPr>
            </w:pPr>
            <w:r>
              <w:rPr>
                <w:b/>
                <w:sz w:val="13"/>
              </w:rPr>
              <w:t>654.850.525,52</w:t>
            </w:r>
          </w:p>
        </w:tc>
        <w:tc>
          <w:tcPr>
            <w:tcW w:w="785" w:type="dxa"/>
          </w:tcPr>
          <w:p>
            <w:pPr>
              <w:pStyle w:val="TableParagraph"/>
              <w:spacing w:line="143" w:lineRule="exact"/>
              <w:ind w:right="83"/>
              <w:jc w:val="right"/>
              <w:rPr>
                <w:b/>
                <w:sz w:val="13"/>
              </w:rPr>
            </w:pPr>
            <w:r>
              <w:rPr>
                <w:b/>
                <w:sz w:val="13"/>
              </w:rPr>
              <w:t>234,92%</w:t>
            </w:r>
          </w:p>
        </w:tc>
      </w:tr>
      <w:tr>
        <w:trPr>
          <w:trHeight w:val="164" w:hRule="atLeast"/>
        </w:trPr>
        <w:tc>
          <w:tcPr>
            <w:tcW w:w="2059" w:type="dxa"/>
          </w:tcPr>
          <w:p>
            <w:pPr>
              <w:pStyle w:val="TableParagraph"/>
              <w:spacing w:line="144" w:lineRule="exact"/>
              <w:ind w:left="96"/>
              <w:rPr>
                <w:sz w:val="13"/>
              </w:rPr>
            </w:pPr>
            <w:r>
              <w:rPr>
                <w:w w:val="105"/>
                <w:sz w:val="13"/>
              </w:rPr>
              <w:t>Cap. VIII Activos financieros</w:t>
            </w:r>
          </w:p>
        </w:tc>
        <w:tc>
          <w:tcPr>
            <w:tcW w:w="1097" w:type="dxa"/>
          </w:tcPr>
          <w:p>
            <w:pPr>
              <w:pStyle w:val="TableParagraph"/>
              <w:spacing w:line="144" w:lineRule="exact"/>
              <w:ind w:right="87"/>
              <w:jc w:val="right"/>
              <w:rPr>
                <w:sz w:val="13"/>
              </w:rPr>
            </w:pPr>
            <w:r>
              <w:rPr>
                <w:w w:val="103"/>
                <w:sz w:val="13"/>
              </w:rPr>
              <w:t>-</w:t>
            </w:r>
          </w:p>
        </w:tc>
        <w:tc>
          <w:tcPr>
            <w:tcW w:w="1038" w:type="dxa"/>
          </w:tcPr>
          <w:p>
            <w:pPr>
              <w:pStyle w:val="TableParagraph"/>
              <w:spacing w:line="144" w:lineRule="exact"/>
              <w:ind w:right="87"/>
              <w:jc w:val="right"/>
              <w:rPr>
                <w:sz w:val="13"/>
              </w:rPr>
            </w:pPr>
            <w:r>
              <w:rPr>
                <w:w w:val="103"/>
                <w:sz w:val="13"/>
              </w:rPr>
              <w:t>-</w:t>
            </w:r>
          </w:p>
        </w:tc>
        <w:tc>
          <w:tcPr>
            <w:tcW w:w="1038" w:type="dxa"/>
          </w:tcPr>
          <w:p>
            <w:pPr>
              <w:pStyle w:val="TableParagraph"/>
              <w:spacing w:line="144" w:lineRule="exact"/>
              <w:ind w:right="85"/>
              <w:jc w:val="right"/>
              <w:rPr>
                <w:sz w:val="13"/>
              </w:rPr>
            </w:pPr>
            <w:r>
              <w:rPr>
                <w:w w:val="103"/>
                <w:sz w:val="13"/>
              </w:rPr>
              <w:t>-</w:t>
            </w:r>
          </w:p>
        </w:tc>
        <w:tc>
          <w:tcPr>
            <w:tcW w:w="1036" w:type="dxa"/>
          </w:tcPr>
          <w:p>
            <w:pPr>
              <w:pStyle w:val="TableParagraph"/>
              <w:spacing w:line="144" w:lineRule="exact"/>
              <w:ind w:right="83"/>
              <w:jc w:val="right"/>
              <w:rPr>
                <w:sz w:val="13"/>
              </w:rPr>
            </w:pPr>
            <w:r>
              <w:rPr>
                <w:w w:val="103"/>
                <w:sz w:val="13"/>
              </w:rPr>
              <w:t>-</w:t>
            </w:r>
          </w:p>
        </w:tc>
        <w:tc>
          <w:tcPr>
            <w:tcW w:w="785" w:type="dxa"/>
          </w:tcPr>
          <w:p>
            <w:pPr>
              <w:pStyle w:val="TableParagraph"/>
              <w:rPr>
                <w:rFonts w:ascii="Times New Roman"/>
                <w:sz w:val="10"/>
              </w:rPr>
            </w:pPr>
          </w:p>
        </w:tc>
      </w:tr>
      <w:tr>
        <w:trPr>
          <w:trHeight w:val="164" w:hRule="atLeast"/>
        </w:trPr>
        <w:tc>
          <w:tcPr>
            <w:tcW w:w="2059" w:type="dxa"/>
          </w:tcPr>
          <w:p>
            <w:pPr>
              <w:pStyle w:val="TableParagraph"/>
              <w:spacing w:line="144" w:lineRule="exact"/>
              <w:ind w:left="96"/>
              <w:rPr>
                <w:sz w:val="13"/>
              </w:rPr>
            </w:pPr>
            <w:r>
              <w:rPr>
                <w:w w:val="105"/>
                <w:sz w:val="13"/>
              </w:rPr>
              <w:t>Cap. IX Pasivos financieros</w:t>
            </w:r>
          </w:p>
        </w:tc>
        <w:tc>
          <w:tcPr>
            <w:tcW w:w="1097" w:type="dxa"/>
          </w:tcPr>
          <w:p>
            <w:pPr>
              <w:pStyle w:val="TableParagraph"/>
              <w:spacing w:line="144" w:lineRule="exact"/>
              <w:ind w:right="87"/>
              <w:jc w:val="right"/>
              <w:rPr>
                <w:sz w:val="13"/>
              </w:rPr>
            </w:pPr>
            <w:r>
              <w:rPr>
                <w:w w:val="103"/>
                <w:sz w:val="13"/>
              </w:rPr>
              <w:t>-</w:t>
            </w:r>
          </w:p>
        </w:tc>
        <w:tc>
          <w:tcPr>
            <w:tcW w:w="1038" w:type="dxa"/>
          </w:tcPr>
          <w:p>
            <w:pPr>
              <w:pStyle w:val="TableParagraph"/>
              <w:spacing w:line="144" w:lineRule="exact"/>
              <w:ind w:right="87"/>
              <w:jc w:val="right"/>
              <w:rPr>
                <w:sz w:val="13"/>
              </w:rPr>
            </w:pPr>
            <w:r>
              <w:rPr>
                <w:w w:val="103"/>
                <w:sz w:val="13"/>
              </w:rPr>
              <w:t>-</w:t>
            </w:r>
          </w:p>
        </w:tc>
        <w:tc>
          <w:tcPr>
            <w:tcW w:w="1038" w:type="dxa"/>
          </w:tcPr>
          <w:p>
            <w:pPr>
              <w:pStyle w:val="TableParagraph"/>
              <w:spacing w:line="144" w:lineRule="exact"/>
              <w:ind w:right="84"/>
              <w:jc w:val="right"/>
              <w:rPr>
                <w:sz w:val="13"/>
              </w:rPr>
            </w:pPr>
            <w:r>
              <w:rPr>
                <w:w w:val="105"/>
                <w:sz w:val="13"/>
              </w:rPr>
              <w:t>21.697.604,09</w:t>
            </w:r>
          </w:p>
        </w:tc>
        <w:tc>
          <w:tcPr>
            <w:tcW w:w="1036" w:type="dxa"/>
          </w:tcPr>
          <w:p>
            <w:pPr>
              <w:pStyle w:val="TableParagraph"/>
              <w:spacing w:line="144" w:lineRule="exact"/>
              <w:ind w:right="83"/>
              <w:jc w:val="right"/>
              <w:rPr>
                <w:sz w:val="13"/>
              </w:rPr>
            </w:pPr>
            <w:r>
              <w:rPr>
                <w:w w:val="103"/>
                <w:sz w:val="13"/>
              </w:rPr>
              <w:t>-</w:t>
            </w:r>
          </w:p>
        </w:tc>
        <w:tc>
          <w:tcPr>
            <w:tcW w:w="785" w:type="dxa"/>
          </w:tcPr>
          <w:p>
            <w:pPr>
              <w:pStyle w:val="TableParagraph"/>
              <w:rPr>
                <w:rFonts w:ascii="Times New Roman"/>
                <w:sz w:val="10"/>
              </w:rPr>
            </w:pPr>
          </w:p>
        </w:tc>
      </w:tr>
      <w:tr>
        <w:trPr>
          <w:trHeight w:val="152" w:hRule="atLeast"/>
        </w:trPr>
        <w:tc>
          <w:tcPr>
            <w:tcW w:w="2059" w:type="dxa"/>
            <w:tcBorders>
              <w:bottom w:val="single" w:sz="4" w:space="0" w:color="000000"/>
            </w:tcBorders>
          </w:tcPr>
          <w:p>
            <w:pPr>
              <w:pStyle w:val="TableParagraph"/>
              <w:spacing w:line="133" w:lineRule="exact"/>
              <w:ind w:left="638"/>
              <w:rPr>
                <w:b/>
                <w:sz w:val="13"/>
              </w:rPr>
            </w:pPr>
            <w:r>
              <w:rPr>
                <w:b/>
                <w:w w:val="105"/>
                <w:sz w:val="13"/>
              </w:rPr>
              <w:t>Total General</w:t>
            </w:r>
          </w:p>
        </w:tc>
        <w:tc>
          <w:tcPr>
            <w:tcW w:w="1097" w:type="dxa"/>
            <w:tcBorders>
              <w:bottom w:val="single" w:sz="4" w:space="0" w:color="000000"/>
            </w:tcBorders>
          </w:tcPr>
          <w:p>
            <w:pPr>
              <w:pStyle w:val="TableParagraph"/>
              <w:spacing w:line="133" w:lineRule="exact"/>
              <w:ind w:right="87"/>
              <w:jc w:val="right"/>
              <w:rPr>
                <w:b/>
                <w:sz w:val="13"/>
              </w:rPr>
            </w:pPr>
            <w:r>
              <w:rPr>
                <w:b/>
                <w:sz w:val="13"/>
              </w:rPr>
              <w:t>195.523.034,59</w:t>
            </w:r>
          </w:p>
        </w:tc>
        <w:tc>
          <w:tcPr>
            <w:tcW w:w="1038" w:type="dxa"/>
            <w:tcBorders>
              <w:bottom w:val="single" w:sz="4" w:space="0" w:color="000000"/>
            </w:tcBorders>
          </w:tcPr>
          <w:p>
            <w:pPr>
              <w:pStyle w:val="TableParagraph"/>
              <w:spacing w:line="133" w:lineRule="exact"/>
              <w:ind w:right="87"/>
              <w:jc w:val="right"/>
              <w:rPr>
                <w:b/>
                <w:sz w:val="13"/>
              </w:rPr>
            </w:pPr>
            <w:r>
              <w:rPr>
                <w:b/>
                <w:sz w:val="13"/>
              </w:rPr>
              <w:t>211.514.186,07</w:t>
            </w:r>
          </w:p>
        </w:tc>
        <w:tc>
          <w:tcPr>
            <w:tcW w:w="1038" w:type="dxa"/>
            <w:tcBorders>
              <w:bottom w:val="single" w:sz="4" w:space="0" w:color="000000"/>
            </w:tcBorders>
          </w:tcPr>
          <w:p>
            <w:pPr>
              <w:pStyle w:val="TableParagraph"/>
              <w:spacing w:line="133" w:lineRule="exact"/>
              <w:ind w:right="85"/>
              <w:jc w:val="right"/>
              <w:rPr>
                <w:b/>
                <w:sz w:val="13"/>
              </w:rPr>
            </w:pPr>
            <w:r>
              <w:rPr>
                <w:b/>
                <w:sz w:val="13"/>
              </w:rPr>
              <w:t>360.266.582,94</w:t>
            </w:r>
          </w:p>
        </w:tc>
        <w:tc>
          <w:tcPr>
            <w:tcW w:w="1036" w:type="dxa"/>
            <w:tcBorders>
              <w:bottom w:val="single" w:sz="4" w:space="0" w:color="000000"/>
            </w:tcBorders>
          </w:tcPr>
          <w:p>
            <w:pPr>
              <w:pStyle w:val="TableParagraph"/>
              <w:spacing w:line="133" w:lineRule="exact"/>
              <w:ind w:right="83"/>
              <w:jc w:val="right"/>
              <w:rPr>
                <w:b/>
                <w:sz w:val="13"/>
              </w:rPr>
            </w:pPr>
            <w:r>
              <w:rPr>
                <w:b/>
                <w:sz w:val="13"/>
              </w:rPr>
              <w:t>654.850.525,52</w:t>
            </w:r>
          </w:p>
        </w:tc>
        <w:tc>
          <w:tcPr>
            <w:tcW w:w="785" w:type="dxa"/>
            <w:tcBorders>
              <w:bottom w:val="single" w:sz="4" w:space="0" w:color="000000"/>
            </w:tcBorders>
          </w:tcPr>
          <w:p>
            <w:pPr>
              <w:pStyle w:val="TableParagraph"/>
              <w:spacing w:line="133" w:lineRule="exact"/>
              <w:ind w:right="83"/>
              <w:jc w:val="right"/>
              <w:rPr>
                <w:b/>
                <w:sz w:val="13"/>
              </w:rPr>
            </w:pPr>
            <w:r>
              <w:rPr>
                <w:b/>
                <w:sz w:val="13"/>
              </w:rPr>
              <w:t>234,92%</w:t>
            </w:r>
          </w:p>
        </w:tc>
      </w:tr>
    </w:tbl>
    <w:p>
      <w:pPr>
        <w:pStyle w:val="BodyText"/>
        <w:spacing w:before="3"/>
        <w:rPr>
          <w:b/>
          <w:sz w:val="16"/>
        </w:rPr>
      </w:pPr>
    </w:p>
    <w:p>
      <w:pPr>
        <w:pStyle w:val="BodyText"/>
        <w:ind w:left="2096" w:right="1201" w:firstLine="604"/>
      </w:pPr>
      <w:r>
        <w:rPr/>
        <w:t>Los principales subconceptos en los que se localizan esos incrementos se detallan a continuación:</w:t>
      </w:r>
    </w:p>
    <w:p>
      <w:pPr>
        <w:pStyle w:val="BodyText"/>
        <w:spacing w:before="10"/>
        <w:rPr>
          <w:sz w:val="11"/>
        </w:rPr>
      </w:pPr>
    </w:p>
    <w:p>
      <w:pPr>
        <w:spacing w:after="0"/>
        <w:rPr>
          <w:sz w:val="11"/>
        </w:rPr>
        <w:sectPr>
          <w:pgSz w:w="11900" w:h="16840"/>
          <w:pgMar w:header="859" w:footer="926" w:top="1760" w:bottom="1120" w:left="760" w:right="760"/>
        </w:sectPr>
      </w:pPr>
    </w:p>
    <w:p>
      <w:pPr>
        <w:pStyle w:val="Heading1"/>
        <w:spacing w:before="60"/>
        <w:ind w:left="3549"/>
        <w:jc w:val="left"/>
      </w:pPr>
      <w:r>
        <w:rPr/>
        <w:t>Derechos pendientes de cobro (ejercicio corriente)</w:t>
      </w:r>
    </w:p>
    <w:p>
      <w:pPr>
        <w:pStyle w:val="BodyText"/>
        <w:rPr>
          <w:b/>
          <w:sz w:val="14"/>
        </w:rPr>
      </w:pPr>
      <w:r>
        <w:rPr/>
        <w:br w:type="column"/>
      </w:r>
      <w:r>
        <w:rPr>
          <w:b/>
          <w:sz w:val="14"/>
        </w:rPr>
      </w:r>
    </w:p>
    <w:p>
      <w:pPr>
        <w:pStyle w:val="BodyText"/>
        <w:spacing w:before="5"/>
        <w:rPr>
          <w:b/>
          <w:sz w:val="13"/>
        </w:rPr>
      </w:pPr>
    </w:p>
    <w:p>
      <w:pPr>
        <w:spacing w:before="0"/>
        <w:ind w:left="596" w:right="0" w:firstLine="0"/>
        <w:jc w:val="left"/>
        <w:rPr>
          <w:b/>
          <w:sz w:val="13"/>
        </w:rPr>
      </w:pPr>
      <w:r>
        <w:rPr/>
        <w:pict>
          <v:group style="position:absolute;margin-left:220.219223pt;margin-top:8.002497pt;width:280.7pt;height:33.3pt;mso-position-horizontal-relative:page;mso-position-vertical-relative:paragraph;z-index:-323023872" coordorigin="4404,160" coordsize="5614,666">
            <v:shape style="position:absolute;left:4404;top:170;width:5612;height:327" coordorigin="4404,170" coordsize="5612,327" path="m8715,170l6539,170,4404,170,4404,497,6539,497,8715,497,8715,170m10015,170l8715,170,8715,497,8806,497,9925,497,10015,497,10015,170e" filled="true" fillcolor="#deeaf6" stroked="false">
              <v:path arrowok="t"/>
              <v:fill type="solid"/>
            </v:shape>
            <v:line style="position:absolute" from="4404,164" to="6541,164" stroked="true" strokeweight=".40299pt" strokecolor="#000000">
              <v:stroke dashstyle="solid"/>
            </v:line>
            <v:rect style="position:absolute;left:6540;top:160;width:9;height:9" filled="true" fillcolor="#000000" stroked="false">
              <v:fill type="solid"/>
            </v:rect>
            <v:line style="position:absolute" from="6549,164" to="8715,164" stroked="true" strokeweight=".40299pt" strokecolor="#000000">
              <v:stroke dashstyle="solid"/>
            </v:line>
            <v:rect style="position:absolute;left:8715;top:160;width:9;height:9" filled="true" fillcolor="#000000" stroked="false">
              <v:fill type="solid"/>
            </v:rect>
            <v:line style="position:absolute" from="8723,164" to="10017,164" stroked="true" strokeweight=".40299pt" strokecolor="#000000">
              <v:stroke dashstyle="solid"/>
            </v:line>
            <v:shape style="position:absolute;left:4404;top:496;width:5612;height:329" coordorigin="4404,497" coordsize="5612,329" path="m7678,497l6539,497,6539,497,5561,497,4404,497,4404,825,5561,825,6539,825,6539,825,7678,825,7678,497m10015,497l9925,497,9508,497,9417,497,8715,497,7678,497,7678,825,8715,825,9417,825,10015,825,10015,497e" filled="true" fillcolor="#deeaf6" stroked="false">
              <v:path arrowok="t"/>
              <v:fill type="solid"/>
            </v:shape>
            <v:shape style="position:absolute;left:5335;top:276;width:295;height:135" type="#_x0000_t202" filled="false" stroked="false">
              <v:textbox inset="0,0,0,0">
                <w:txbxContent>
                  <w:p>
                    <w:pPr>
                      <w:spacing w:line="135" w:lineRule="exact" w:before="0"/>
                      <w:ind w:left="0" w:right="0" w:firstLine="0"/>
                      <w:jc w:val="left"/>
                      <w:rPr>
                        <w:b/>
                        <w:sz w:val="13"/>
                      </w:rPr>
                    </w:pPr>
                    <w:r>
                      <w:rPr>
                        <w:b/>
                        <w:w w:val="105"/>
                        <w:sz w:val="13"/>
                      </w:rPr>
                      <w:t>2019</w:t>
                    </w:r>
                  </w:p>
                </w:txbxContent>
              </v:textbox>
              <w10:wrap type="none"/>
            </v:shape>
            <v:shape style="position:absolute;left:7489;top:276;width:295;height:135" type="#_x0000_t202" filled="false" stroked="false">
              <v:textbox inset="0,0,0,0">
                <w:txbxContent>
                  <w:p>
                    <w:pPr>
                      <w:spacing w:line="135" w:lineRule="exact" w:before="0"/>
                      <w:ind w:left="0" w:right="0" w:firstLine="0"/>
                      <w:jc w:val="left"/>
                      <w:rPr>
                        <w:b/>
                        <w:sz w:val="13"/>
                      </w:rPr>
                    </w:pPr>
                    <w:r>
                      <w:rPr>
                        <w:b/>
                        <w:w w:val="105"/>
                        <w:sz w:val="13"/>
                      </w:rPr>
                      <w:t>2022</w:t>
                    </w:r>
                  </w:p>
                </w:txbxContent>
              </v:textbox>
              <w10:wrap type="none"/>
            </v:shape>
            <v:shape style="position:absolute;left:8882;top:195;width:986;height:299" type="#_x0000_t202" filled="false" stroked="false">
              <v:textbox inset="0,0,0,0">
                <w:txbxContent>
                  <w:p>
                    <w:pPr>
                      <w:spacing w:line="136" w:lineRule="exact" w:before="0"/>
                      <w:ind w:left="0" w:right="18" w:firstLine="0"/>
                      <w:jc w:val="center"/>
                      <w:rPr>
                        <w:b/>
                        <w:sz w:val="13"/>
                      </w:rPr>
                    </w:pPr>
                    <w:r>
                      <w:rPr>
                        <w:b/>
                        <w:w w:val="105"/>
                        <w:sz w:val="13"/>
                      </w:rPr>
                      <w:t>Tasa de </w:t>
                    </w:r>
                    <w:r>
                      <w:rPr>
                        <w:b/>
                        <w:spacing w:val="-3"/>
                        <w:w w:val="105"/>
                        <w:sz w:val="13"/>
                      </w:rPr>
                      <w:t>variación</w:t>
                    </w:r>
                  </w:p>
                  <w:p>
                    <w:pPr>
                      <w:spacing w:line="158" w:lineRule="exact" w:before="5"/>
                      <w:ind w:left="0" w:right="16" w:firstLine="0"/>
                      <w:jc w:val="center"/>
                      <w:rPr>
                        <w:b/>
                        <w:sz w:val="13"/>
                      </w:rPr>
                    </w:pPr>
                    <w:r>
                      <w:rPr>
                        <w:b/>
                        <w:w w:val="105"/>
                        <w:sz w:val="13"/>
                      </w:rPr>
                      <w:t>2022</w:t>
                    </w:r>
                  </w:p>
                </w:txbxContent>
              </v:textbox>
              <w10:wrap type="none"/>
            </v:shape>
            <v:shape style="position:absolute;left:4857;top:605;width:270;height:135" type="#_x0000_t202" filled="false" stroked="false">
              <v:textbox inset="0,0,0,0">
                <w:txbxContent>
                  <w:p>
                    <w:pPr>
                      <w:spacing w:line="135" w:lineRule="exact" w:before="0"/>
                      <w:ind w:left="0" w:right="0" w:firstLine="0"/>
                      <w:jc w:val="left"/>
                      <w:rPr>
                        <w:b/>
                        <w:sz w:val="13"/>
                      </w:rPr>
                    </w:pPr>
                    <w:r>
                      <w:rPr>
                        <w:b/>
                        <w:w w:val="105"/>
                        <w:sz w:val="13"/>
                      </w:rPr>
                      <w:t>DRN</w:t>
                    </w:r>
                  </w:p>
                </w:txbxContent>
              </v:textbox>
              <w10:wrap type="none"/>
            </v:shape>
            <v:shape style="position:absolute;left:5762;top:605;width:594;height:135" type="#_x0000_t202" filled="false" stroked="false">
              <v:textbox inset="0,0,0,0">
                <w:txbxContent>
                  <w:p>
                    <w:pPr>
                      <w:spacing w:line="135" w:lineRule="exact" w:before="0"/>
                      <w:ind w:left="0" w:right="0" w:firstLine="0"/>
                      <w:jc w:val="left"/>
                      <w:rPr>
                        <w:b/>
                        <w:sz w:val="13"/>
                      </w:rPr>
                    </w:pPr>
                    <w:r>
                      <w:rPr>
                        <w:b/>
                        <w:w w:val="105"/>
                        <w:sz w:val="13"/>
                      </w:rPr>
                      <w:t>Pte. cobro</w:t>
                    </w:r>
                  </w:p>
                </w:txbxContent>
              </v:textbox>
              <w10:wrap type="none"/>
            </v:shape>
            <v:shape style="position:absolute;left:6981;top:605;width:270;height:135" type="#_x0000_t202" filled="false" stroked="false">
              <v:textbox inset="0,0,0,0">
                <w:txbxContent>
                  <w:p>
                    <w:pPr>
                      <w:spacing w:line="135" w:lineRule="exact" w:before="0"/>
                      <w:ind w:left="0" w:right="0" w:firstLine="0"/>
                      <w:jc w:val="left"/>
                      <w:rPr>
                        <w:b/>
                        <w:sz w:val="13"/>
                      </w:rPr>
                    </w:pPr>
                    <w:r>
                      <w:rPr>
                        <w:b/>
                        <w:w w:val="105"/>
                        <w:sz w:val="13"/>
                      </w:rPr>
                      <w:t>DRN</w:t>
                    </w:r>
                  </w:p>
                </w:txbxContent>
              </v:textbox>
              <w10:wrap type="none"/>
            </v:shape>
            <v:shape style="position:absolute;left:7909;top:605;width:594;height:135" type="#_x0000_t202" filled="false" stroked="false">
              <v:textbox inset="0,0,0,0">
                <w:txbxContent>
                  <w:p>
                    <w:pPr>
                      <w:spacing w:line="135" w:lineRule="exact" w:before="0"/>
                      <w:ind w:left="0" w:right="0" w:firstLine="0"/>
                      <w:jc w:val="left"/>
                      <w:rPr>
                        <w:b/>
                        <w:sz w:val="13"/>
                      </w:rPr>
                    </w:pPr>
                    <w:r>
                      <w:rPr>
                        <w:b/>
                        <w:w w:val="105"/>
                        <w:sz w:val="13"/>
                      </w:rPr>
                      <w:t>Pte. cobro</w:t>
                    </w:r>
                  </w:p>
                </w:txbxContent>
              </v:textbox>
              <w10:wrap type="none"/>
            </v:shape>
            <v:shape style="position:absolute;left:8941;top:605;width:270;height:135" type="#_x0000_t202" filled="false" stroked="false">
              <v:textbox inset="0,0,0,0">
                <w:txbxContent>
                  <w:p>
                    <w:pPr>
                      <w:spacing w:line="135" w:lineRule="exact" w:before="0"/>
                      <w:ind w:left="0" w:right="0" w:firstLine="0"/>
                      <w:jc w:val="left"/>
                      <w:rPr>
                        <w:b/>
                        <w:sz w:val="13"/>
                      </w:rPr>
                    </w:pPr>
                    <w:r>
                      <w:rPr>
                        <w:b/>
                        <w:w w:val="105"/>
                        <w:sz w:val="13"/>
                      </w:rPr>
                      <w:t>DRN</w:t>
                    </w:r>
                  </w:p>
                </w:txbxContent>
              </v:textbox>
              <w10:wrap type="none"/>
            </v:shape>
            <v:shape style="position:absolute;left:9604;top:522;width:244;height:135" type="#_x0000_t202" filled="false" stroked="false">
              <v:textbox inset="0,0,0,0">
                <w:txbxContent>
                  <w:p>
                    <w:pPr>
                      <w:spacing w:line="135" w:lineRule="exact" w:before="0"/>
                      <w:ind w:left="0" w:right="0" w:firstLine="0"/>
                      <w:jc w:val="left"/>
                      <w:rPr>
                        <w:b/>
                        <w:sz w:val="13"/>
                      </w:rPr>
                    </w:pPr>
                    <w:r>
                      <w:rPr>
                        <w:b/>
                        <w:w w:val="105"/>
                        <w:sz w:val="13"/>
                      </w:rPr>
                      <w:t>Pte.</w:t>
                    </w:r>
                  </w:p>
                </w:txbxContent>
              </v:textbox>
              <w10:wrap type="none"/>
            </v:shape>
            <w10:wrap type="none"/>
          </v:group>
        </w:pict>
      </w:r>
      <w:r>
        <w:rPr/>
        <w:pict>
          <v:rect style="position:absolute;margin-left:475.381042pt;margin-top:33.106419pt;width:20.85558pt;height:8.160879pt;mso-position-horizontal-relative:page;mso-position-vertical-relative:paragraph;z-index:-323022848" filled="true" fillcolor="#deeaf6" stroked="false">
            <v:fill type="solid"/>
            <w10:wrap type="none"/>
          </v:rect>
        </w:pict>
      </w:r>
      <w:r>
        <w:rPr>
          <w:b/>
          <w:w w:val="105"/>
          <w:sz w:val="13"/>
        </w:rPr>
        <w:t>Millones de €</w:t>
      </w:r>
    </w:p>
    <w:p>
      <w:pPr>
        <w:spacing w:after="0"/>
        <w:jc w:val="left"/>
        <w:rPr>
          <w:sz w:val="13"/>
        </w:rPr>
        <w:sectPr>
          <w:type w:val="continuous"/>
          <w:pgSz w:w="11900" w:h="16840"/>
          <w:pgMar w:top="1600" w:bottom="1120" w:left="760" w:right="760"/>
          <w:cols w:num="2" w:equalWidth="0">
            <w:col w:w="7781" w:space="40"/>
            <w:col w:w="2559"/>
          </w:cols>
        </w:sectPr>
      </w:pPr>
    </w:p>
    <w:p>
      <w:pPr>
        <w:pStyle w:val="BodyText"/>
        <w:rPr>
          <w:b/>
        </w:rPr>
      </w:pPr>
    </w:p>
    <w:p>
      <w:pPr>
        <w:pStyle w:val="BodyText"/>
        <w:spacing w:before="4"/>
        <w:rPr>
          <w:b/>
          <w:sz w:val="23"/>
        </w:rPr>
      </w:pPr>
    </w:p>
    <w:tbl>
      <w:tblPr>
        <w:tblW w:w="0" w:type="auto"/>
        <w:jc w:val="left"/>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1"/>
        <w:gridCol w:w="1155"/>
        <w:gridCol w:w="971"/>
        <w:gridCol w:w="1139"/>
        <w:gridCol w:w="1009"/>
        <w:gridCol w:w="700"/>
        <w:gridCol w:w="613"/>
      </w:tblGrid>
      <w:tr>
        <w:trPr>
          <w:trHeight w:val="477" w:hRule="atLeast"/>
        </w:trPr>
        <w:tc>
          <w:tcPr>
            <w:tcW w:w="1501" w:type="dxa"/>
          </w:tcPr>
          <w:p>
            <w:pPr>
              <w:pStyle w:val="TableParagraph"/>
              <w:spacing w:before="5"/>
              <w:rPr>
                <w:b/>
                <w:sz w:val="11"/>
              </w:rPr>
            </w:pPr>
          </w:p>
          <w:p>
            <w:pPr>
              <w:pStyle w:val="TableParagraph"/>
              <w:spacing w:line="160" w:lineRule="atLeast"/>
              <w:ind w:left="34" w:right="108"/>
              <w:rPr>
                <w:b/>
                <w:sz w:val="13"/>
              </w:rPr>
            </w:pPr>
            <w:r>
              <w:rPr>
                <w:b/>
                <w:w w:val="105"/>
                <w:sz w:val="13"/>
              </w:rPr>
              <w:t>Transferencias de capital</w:t>
            </w:r>
          </w:p>
        </w:tc>
        <w:tc>
          <w:tcPr>
            <w:tcW w:w="1155" w:type="dxa"/>
          </w:tcPr>
          <w:p>
            <w:pPr>
              <w:pStyle w:val="TableParagraph"/>
              <w:rPr>
                <w:rFonts w:ascii="Times New Roman"/>
                <w:sz w:val="12"/>
              </w:rPr>
            </w:pPr>
          </w:p>
        </w:tc>
        <w:tc>
          <w:tcPr>
            <w:tcW w:w="971" w:type="dxa"/>
          </w:tcPr>
          <w:p>
            <w:pPr>
              <w:pStyle w:val="TableParagraph"/>
              <w:rPr>
                <w:rFonts w:ascii="Times New Roman"/>
                <w:sz w:val="12"/>
              </w:rPr>
            </w:pPr>
          </w:p>
        </w:tc>
        <w:tc>
          <w:tcPr>
            <w:tcW w:w="1139" w:type="dxa"/>
          </w:tcPr>
          <w:p>
            <w:pPr>
              <w:pStyle w:val="TableParagraph"/>
              <w:rPr>
                <w:rFonts w:ascii="Times New Roman"/>
                <w:sz w:val="12"/>
              </w:rPr>
            </w:pPr>
          </w:p>
        </w:tc>
        <w:tc>
          <w:tcPr>
            <w:tcW w:w="1009" w:type="dxa"/>
          </w:tcPr>
          <w:p>
            <w:pPr>
              <w:pStyle w:val="TableParagraph"/>
              <w:rPr>
                <w:rFonts w:ascii="Times New Roman"/>
                <w:sz w:val="12"/>
              </w:rPr>
            </w:pPr>
          </w:p>
        </w:tc>
        <w:tc>
          <w:tcPr>
            <w:tcW w:w="700" w:type="dxa"/>
          </w:tcPr>
          <w:p>
            <w:pPr>
              <w:pStyle w:val="TableParagraph"/>
              <w:rPr>
                <w:rFonts w:ascii="Times New Roman"/>
                <w:sz w:val="12"/>
              </w:rPr>
            </w:pPr>
          </w:p>
        </w:tc>
        <w:tc>
          <w:tcPr>
            <w:tcW w:w="613" w:type="dxa"/>
          </w:tcPr>
          <w:p>
            <w:pPr>
              <w:pStyle w:val="TableParagraph"/>
              <w:spacing w:line="136" w:lineRule="exact"/>
              <w:ind w:left="45"/>
              <w:jc w:val="center"/>
              <w:rPr>
                <w:b/>
                <w:sz w:val="13"/>
              </w:rPr>
            </w:pPr>
            <w:r>
              <w:rPr>
                <w:b/>
                <w:w w:val="105"/>
                <w:sz w:val="13"/>
              </w:rPr>
              <w:t>cobro</w:t>
            </w:r>
          </w:p>
        </w:tc>
      </w:tr>
      <w:tr>
        <w:trPr>
          <w:trHeight w:val="163" w:hRule="atLeast"/>
        </w:trPr>
        <w:tc>
          <w:tcPr>
            <w:tcW w:w="1501" w:type="dxa"/>
          </w:tcPr>
          <w:p>
            <w:pPr>
              <w:pStyle w:val="TableParagraph"/>
              <w:spacing w:line="143" w:lineRule="exact"/>
              <w:ind w:left="34"/>
              <w:rPr>
                <w:sz w:val="13"/>
              </w:rPr>
            </w:pPr>
            <w:r>
              <w:rPr>
                <w:w w:val="105"/>
                <w:sz w:val="13"/>
              </w:rPr>
              <w:t>De la Administración del</w:t>
            </w:r>
          </w:p>
        </w:tc>
        <w:tc>
          <w:tcPr>
            <w:tcW w:w="1155" w:type="dxa"/>
          </w:tcPr>
          <w:p>
            <w:pPr>
              <w:pStyle w:val="TableParagraph"/>
              <w:spacing w:line="143" w:lineRule="exact"/>
              <w:ind w:right="95"/>
              <w:jc w:val="right"/>
              <w:rPr>
                <w:sz w:val="13"/>
              </w:rPr>
            </w:pPr>
            <w:r>
              <w:rPr>
                <w:sz w:val="13"/>
              </w:rPr>
              <w:t>141.518.614,63</w:t>
            </w:r>
          </w:p>
        </w:tc>
        <w:tc>
          <w:tcPr>
            <w:tcW w:w="971" w:type="dxa"/>
          </w:tcPr>
          <w:p>
            <w:pPr>
              <w:pStyle w:val="TableParagraph"/>
              <w:spacing w:line="143" w:lineRule="exact"/>
              <w:ind w:left="71" w:right="65"/>
              <w:jc w:val="center"/>
              <w:rPr>
                <w:sz w:val="13"/>
              </w:rPr>
            </w:pPr>
            <w:r>
              <w:rPr>
                <w:w w:val="105"/>
                <w:sz w:val="13"/>
              </w:rPr>
              <w:t>37.731.211,17</w:t>
            </w:r>
          </w:p>
        </w:tc>
        <w:tc>
          <w:tcPr>
            <w:tcW w:w="1139" w:type="dxa"/>
          </w:tcPr>
          <w:p>
            <w:pPr>
              <w:pStyle w:val="TableParagraph"/>
              <w:spacing w:line="143" w:lineRule="exact"/>
              <w:ind w:right="91"/>
              <w:jc w:val="right"/>
              <w:rPr>
                <w:sz w:val="13"/>
              </w:rPr>
            </w:pPr>
            <w:r>
              <w:rPr>
                <w:sz w:val="13"/>
              </w:rPr>
              <w:t>660.556.115,52</w:t>
            </w:r>
          </w:p>
        </w:tc>
        <w:tc>
          <w:tcPr>
            <w:tcW w:w="1009" w:type="dxa"/>
          </w:tcPr>
          <w:p>
            <w:pPr>
              <w:pStyle w:val="TableParagraph"/>
              <w:spacing w:line="143" w:lineRule="exact"/>
              <w:ind w:left="69" w:right="36"/>
              <w:jc w:val="center"/>
              <w:rPr>
                <w:sz w:val="13"/>
              </w:rPr>
            </w:pPr>
            <w:r>
              <w:rPr>
                <w:w w:val="105"/>
                <w:sz w:val="13"/>
              </w:rPr>
              <w:t>392.451.260,07</w:t>
            </w:r>
          </w:p>
        </w:tc>
        <w:tc>
          <w:tcPr>
            <w:tcW w:w="700" w:type="dxa"/>
          </w:tcPr>
          <w:p>
            <w:pPr>
              <w:pStyle w:val="TableParagraph"/>
              <w:spacing w:line="143" w:lineRule="exact"/>
              <w:ind w:right="58"/>
              <w:jc w:val="right"/>
              <w:rPr>
                <w:sz w:val="13"/>
              </w:rPr>
            </w:pPr>
            <w:r>
              <w:rPr>
                <w:sz w:val="13"/>
              </w:rPr>
              <w:t>366,76%</w:t>
            </w:r>
          </w:p>
        </w:tc>
        <w:tc>
          <w:tcPr>
            <w:tcW w:w="613" w:type="dxa"/>
          </w:tcPr>
          <w:p>
            <w:pPr>
              <w:pStyle w:val="TableParagraph"/>
              <w:spacing w:line="143" w:lineRule="exact"/>
              <w:ind w:left="45" w:right="50"/>
              <w:jc w:val="center"/>
              <w:rPr>
                <w:sz w:val="13"/>
              </w:rPr>
            </w:pPr>
            <w:r>
              <w:rPr>
                <w:w w:val="105"/>
                <w:sz w:val="13"/>
              </w:rPr>
              <w:t>940,12%</w:t>
            </w:r>
          </w:p>
        </w:tc>
      </w:tr>
      <w:tr>
        <w:trPr>
          <w:trHeight w:val="328" w:hRule="atLeast"/>
        </w:trPr>
        <w:tc>
          <w:tcPr>
            <w:tcW w:w="1501" w:type="dxa"/>
          </w:tcPr>
          <w:p>
            <w:pPr>
              <w:pStyle w:val="TableParagraph"/>
              <w:spacing w:line="150" w:lineRule="exact"/>
              <w:ind w:left="34"/>
              <w:rPr>
                <w:sz w:val="13"/>
              </w:rPr>
            </w:pPr>
            <w:r>
              <w:rPr>
                <w:w w:val="105"/>
                <w:sz w:val="13"/>
              </w:rPr>
              <w:t>Estado (700)</w:t>
            </w:r>
          </w:p>
          <w:p>
            <w:pPr>
              <w:pStyle w:val="TableParagraph"/>
              <w:spacing w:line="152" w:lineRule="exact" w:before="6"/>
              <w:ind w:left="34"/>
              <w:rPr>
                <w:sz w:val="13"/>
              </w:rPr>
            </w:pPr>
            <w:r>
              <w:rPr>
                <w:w w:val="105"/>
                <w:sz w:val="13"/>
              </w:rPr>
              <w:t>Fondo Europeo de</w:t>
            </w:r>
          </w:p>
        </w:tc>
        <w:tc>
          <w:tcPr>
            <w:tcW w:w="1155" w:type="dxa"/>
          </w:tcPr>
          <w:p>
            <w:pPr>
              <w:pStyle w:val="TableParagraph"/>
              <w:spacing w:before="10"/>
              <w:rPr>
                <w:b/>
                <w:sz w:val="12"/>
              </w:rPr>
            </w:pPr>
          </w:p>
          <w:p>
            <w:pPr>
              <w:pStyle w:val="TableParagraph"/>
              <w:spacing w:line="152" w:lineRule="exact"/>
              <w:ind w:right="95"/>
              <w:jc w:val="right"/>
              <w:rPr>
                <w:sz w:val="13"/>
              </w:rPr>
            </w:pPr>
            <w:r>
              <w:rPr>
                <w:sz w:val="13"/>
              </w:rPr>
              <w:t>112.661.023,38</w:t>
            </w:r>
          </w:p>
        </w:tc>
        <w:tc>
          <w:tcPr>
            <w:tcW w:w="971" w:type="dxa"/>
          </w:tcPr>
          <w:p>
            <w:pPr>
              <w:pStyle w:val="TableParagraph"/>
              <w:spacing w:before="10"/>
              <w:rPr>
                <w:b/>
                <w:sz w:val="12"/>
              </w:rPr>
            </w:pPr>
          </w:p>
          <w:p>
            <w:pPr>
              <w:pStyle w:val="TableParagraph"/>
              <w:spacing w:line="152" w:lineRule="exact"/>
              <w:ind w:left="71" w:right="65"/>
              <w:jc w:val="center"/>
              <w:rPr>
                <w:sz w:val="13"/>
              </w:rPr>
            </w:pPr>
            <w:r>
              <w:rPr>
                <w:w w:val="105"/>
                <w:sz w:val="13"/>
              </w:rPr>
              <w:t>66.360.589,74</w:t>
            </w:r>
          </w:p>
        </w:tc>
        <w:tc>
          <w:tcPr>
            <w:tcW w:w="1139" w:type="dxa"/>
          </w:tcPr>
          <w:p>
            <w:pPr>
              <w:pStyle w:val="TableParagraph"/>
              <w:spacing w:before="10"/>
              <w:rPr>
                <w:b/>
                <w:sz w:val="12"/>
              </w:rPr>
            </w:pPr>
          </w:p>
          <w:p>
            <w:pPr>
              <w:pStyle w:val="TableParagraph"/>
              <w:spacing w:line="152" w:lineRule="exact"/>
              <w:ind w:right="91"/>
              <w:jc w:val="right"/>
              <w:rPr>
                <w:sz w:val="13"/>
              </w:rPr>
            </w:pPr>
            <w:r>
              <w:rPr>
                <w:sz w:val="13"/>
              </w:rPr>
              <w:t>144.165.759,46</w:t>
            </w:r>
          </w:p>
        </w:tc>
        <w:tc>
          <w:tcPr>
            <w:tcW w:w="1009" w:type="dxa"/>
          </w:tcPr>
          <w:p>
            <w:pPr>
              <w:pStyle w:val="TableParagraph"/>
              <w:spacing w:before="10"/>
              <w:rPr>
                <w:b/>
                <w:sz w:val="12"/>
              </w:rPr>
            </w:pPr>
          </w:p>
          <w:p>
            <w:pPr>
              <w:pStyle w:val="TableParagraph"/>
              <w:spacing w:line="152" w:lineRule="exact"/>
              <w:ind w:left="138" w:right="36"/>
              <w:jc w:val="center"/>
              <w:rPr>
                <w:sz w:val="13"/>
              </w:rPr>
            </w:pPr>
            <w:r>
              <w:rPr>
                <w:w w:val="105"/>
                <w:sz w:val="13"/>
              </w:rPr>
              <w:t>97.865.768,49</w:t>
            </w:r>
          </w:p>
        </w:tc>
        <w:tc>
          <w:tcPr>
            <w:tcW w:w="700" w:type="dxa"/>
          </w:tcPr>
          <w:p>
            <w:pPr>
              <w:pStyle w:val="TableParagraph"/>
              <w:spacing w:before="10"/>
              <w:rPr>
                <w:b/>
                <w:sz w:val="12"/>
              </w:rPr>
            </w:pPr>
          </w:p>
          <w:p>
            <w:pPr>
              <w:pStyle w:val="TableParagraph"/>
              <w:spacing w:line="152" w:lineRule="exact"/>
              <w:ind w:right="58"/>
              <w:jc w:val="right"/>
              <w:rPr>
                <w:sz w:val="13"/>
              </w:rPr>
            </w:pPr>
            <w:r>
              <w:rPr>
                <w:sz w:val="13"/>
              </w:rPr>
              <w:t>27,96%</w:t>
            </w:r>
          </w:p>
        </w:tc>
        <w:tc>
          <w:tcPr>
            <w:tcW w:w="613" w:type="dxa"/>
          </w:tcPr>
          <w:p>
            <w:pPr>
              <w:pStyle w:val="TableParagraph"/>
              <w:spacing w:before="10"/>
              <w:rPr>
                <w:b/>
                <w:sz w:val="12"/>
              </w:rPr>
            </w:pPr>
          </w:p>
          <w:p>
            <w:pPr>
              <w:pStyle w:val="TableParagraph"/>
              <w:spacing w:line="152" w:lineRule="exact"/>
              <w:ind w:left="111" w:right="50"/>
              <w:jc w:val="center"/>
              <w:rPr>
                <w:sz w:val="13"/>
              </w:rPr>
            </w:pPr>
            <w:r>
              <w:rPr>
                <w:w w:val="105"/>
                <w:sz w:val="13"/>
              </w:rPr>
              <w:t>47,47%</w:t>
            </w:r>
          </w:p>
        </w:tc>
      </w:tr>
      <w:tr>
        <w:trPr>
          <w:trHeight w:val="820" w:hRule="atLeast"/>
        </w:trPr>
        <w:tc>
          <w:tcPr>
            <w:tcW w:w="1501" w:type="dxa"/>
          </w:tcPr>
          <w:p>
            <w:pPr>
              <w:pStyle w:val="TableParagraph"/>
              <w:spacing w:line="150" w:lineRule="exact"/>
              <w:ind w:left="34"/>
              <w:rPr>
                <w:sz w:val="13"/>
              </w:rPr>
            </w:pPr>
            <w:r>
              <w:rPr>
                <w:w w:val="105"/>
                <w:sz w:val="13"/>
              </w:rPr>
              <w:t>Desarrollo Regional</w:t>
            </w:r>
          </w:p>
          <w:p>
            <w:pPr>
              <w:pStyle w:val="TableParagraph"/>
              <w:spacing w:before="4"/>
              <w:ind w:left="34"/>
              <w:rPr>
                <w:sz w:val="13"/>
              </w:rPr>
            </w:pPr>
            <w:r>
              <w:rPr>
                <w:w w:val="105"/>
                <w:sz w:val="13"/>
              </w:rPr>
              <w:t>(FEDER)</w:t>
            </w:r>
            <w:r>
              <w:rPr>
                <w:spacing w:val="-14"/>
                <w:w w:val="105"/>
                <w:sz w:val="13"/>
              </w:rPr>
              <w:t> </w:t>
            </w:r>
            <w:r>
              <w:rPr>
                <w:w w:val="105"/>
                <w:sz w:val="13"/>
              </w:rPr>
              <w:t>(790)</w:t>
            </w:r>
          </w:p>
          <w:p>
            <w:pPr>
              <w:pStyle w:val="TableParagraph"/>
              <w:spacing w:line="247" w:lineRule="auto" w:before="7"/>
              <w:ind w:left="34" w:right="89"/>
              <w:rPr>
                <w:b/>
                <w:sz w:val="13"/>
              </w:rPr>
            </w:pPr>
            <w:r>
              <w:rPr>
                <w:b/>
                <w:w w:val="105"/>
                <w:sz w:val="13"/>
              </w:rPr>
              <w:t>Tasas,</w:t>
            </w:r>
            <w:r>
              <w:rPr>
                <w:b/>
                <w:spacing w:val="-10"/>
                <w:w w:val="105"/>
                <w:sz w:val="13"/>
              </w:rPr>
              <w:t> </w:t>
            </w:r>
            <w:r>
              <w:rPr>
                <w:b/>
                <w:w w:val="105"/>
                <w:sz w:val="13"/>
              </w:rPr>
              <w:t>precios</w:t>
            </w:r>
            <w:r>
              <w:rPr>
                <w:b/>
                <w:spacing w:val="-8"/>
                <w:w w:val="105"/>
                <w:sz w:val="13"/>
              </w:rPr>
              <w:t> </w:t>
            </w:r>
            <w:r>
              <w:rPr>
                <w:b/>
                <w:w w:val="105"/>
                <w:sz w:val="13"/>
              </w:rPr>
              <w:t>públicos</w:t>
            </w:r>
            <w:r>
              <w:rPr>
                <w:b/>
                <w:spacing w:val="-9"/>
                <w:w w:val="105"/>
                <w:sz w:val="13"/>
              </w:rPr>
              <w:t> </w:t>
            </w:r>
            <w:r>
              <w:rPr>
                <w:b/>
                <w:w w:val="105"/>
                <w:sz w:val="13"/>
              </w:rPr>
              <w:t>y otros</w:t>
            </w:r>
            <w:r>
              <w:rPr>
                <w:b/>
                <w:spacing w:val="-2"/>
                <w:w w:val="105"/>
                <w:sz w:val="13"/>
              </w:rPr>
              <w:t> </w:t>
            </w:r>
            <w:r>
              <w:rPr>
                <w:b/>
                <w:w w:val="105"/>
                <w:sz w:val="13"/>
              </w:rPr>
              <w:t>ingresos</w:t>
            </w:r>
          </w:p>
          <w:p>
            <w:pPr>
              <w:pStyle w:val="TableParagraph"/>
              <w:spacing w:line="152" w:lineRule="exact" w:before="1"/>
              <w:ind w:left="34"/>
              <w:rPr>
                <w:sz w:val="13"/>
              </w:rPr>
            </w:pPr>
            <w:r>
              <w:rPr>
                <w:w w:val="105"/>
                <w:sz w:val="13"/>
              </w:rPr>
              <w:t>Reintegros ejercicios</w:t>
            </w:r>
          </w:p>
        </w:tc>
        <w:tc>
          <w:tcPr>
            <w:tcW w:w="1155" w:type="dxa"/>
          </w:tcPr>
          <w:p>
            <w:pPr>
              <w:pStyle w:val="TableParagraph"/>
              <w:rPr>
                <w:b/>
                <w:sz w:val="14"/>
              </w:rPr>
            </w:pPr>
          </w:p>
          <w:p>
            <w:pPr>
              <w:pStyle w:val="TableParagraph"/>
              <w:rPr>
                <w:b/>
                <w:sz w:val="14"/>
              </w:rPr>
            </w:pPr>
          </w:p>
          <w:p>
            <w:pPr>
              <w:pStyle w:val="TableParagraph"/>
              <w:rPr>
                <w:b/>
                <w:sz w:val="14"/>
              </w:rPr>
            </w:pPr>
          </w:p>
          <w:p>
            <w:pPr>
              <w:pStyle w:val="TableParagraph"/>
              <w:spacing w:before="1"/>
              <w:rPr>
                <w:b/>
                <w:sz w:val="11"/>
              </w:rPr>
            </w:pPr>
          </w:p>
          <w:p>
            <w:pPr>
              <w:pStyle w:val="TableParagraph"/>
              <w:spacing w:line="152" w:lineRule="exact"/>
              <w:ind w:right="94"/>
              <w:jc w:val="right"/>
              <w:rPr>
                <w:sz w:val="13"/>
              </w:rPr>
            </w:pPr>
            <w:r>
              <w:rPr>
                <w:w w:val="105"/>
                <w:sz w:val="13"/>
              </w:rPr>
              <w:t>24.672.601,01</w:t>
            </w:r>
          </w:p>
        </w:tc>
        <w:tc>
          <w:tcPr>
            <w:tcW w:w="971" w:type="dxa"/>
          </w:tcPr>
          <w:p>
            <w:pPr>
              <w:pStyle w:val="TableParagraph"/>
              <w:rPr>
                <w:b/>
                <w:sz w:val="14"/>
              </w:rPr>
            </w:pPr>
          </w:p>
          <w:p>
            <w:pPr>
              <w:pStyle w:val="TableParagraph"/>
              <w:rPr>
                <w:b/>
                <w:sz w:val="14"/>
              </w:rPr>
            </w:pPr>
          </w:p>
          <w:p>
            <w:pPr>
              <w:pStyle w:val="TableParagraph"/>
              <w:rPr>
                <w:b/>
                <w:sz w:val="14"/>
              </w:rPr>
            </w:pPr>
          </w:p>
          <w:p>
            <w:pPr>
              <w:pStyle w:val="TableParagraph"/>
              <w:spacing w:before="1"/>
              <w:rPr>
                <w:b/>
                <w:sz w:val="11"/>
              </w:rPr>
            </w:pPr>
          </w:p>
          <w:p>
            <w:pPr>
              <w:pStyle w:val="TableParagraph"/>
              <w:spacing w:line="152" w:lineRule="exact"/>
              <w:ind w:left="140" w:right="65"/>
              <w:jc w:val="center"/>
              <w:rPr>
                <w:sz w:val="13"/>
              </w:rPr>
            </w:pPr>
            <w:r>
              <w:rPr>
                <w:w w:val="105"/>
                <w:sz w:val="13"/>
              </w:rPr>
              <w:t>3.154.470,48</w:t>
            </w:r>
          </w:p>
        </w:tc>
        <w:tc>
          <w:tcPr>
            <w:tcW w:w="1139" w:type="dxa"/>
          </w:tcPr>
          <w:p>
            <w:pPr>
              <w:pStyle w:val="TableParagraph"/>
              <w:rPr>
                <w:b/>
                <w:sz w:val="14"/>
              </w:rPr>
            </w:pPr>
          </w:p>
          <w:p>
            <w:pPr>
              <w:pStyle w:val="TableParagraph"/>
              <w:rPr>
                <w:b/>
                <w:sz w:val="14"/>
              </w:rPr>
            </w:pPr>
          </w:p>
          <w:p>
            <w:pPr>
              <w:pStyle w:val="TableParagraph"/>
              <w:rPr>
                <w:b/>
                <w:sz w:val="14"/>
              </w:rPr>
            </w:pPr>
          </w:p>
          <w:p>
            <w:pPr>
              <w:pStyle w:val="TableParagraph"/>
              <w:spacing w:before="1"/>
              <w:rPr>
                <w:b/>
                <w:sz w:val="11"/>
              </w:rPr>
            </w:pPr>
          </w:p>
          <w:p>
            <w:pPr>
              <w:pStyle w:val="TableParagraph"/>
              <w:spacing w:line="152" w:lineRule="exact"/>
              <w:ind w:right="90"/>
              <w:jc w:val="right"/>
              <w:rPr>
                <w:sz w:val="13"/>
              </w:rPr>
            </w:pPr>
            <w:r>
              <w:rPr>
                <w:w w:val="105"/>
                <w:sz w:val="13"/>
              </w:rPr>
              <w:t>66.307.098,7</w:t>
            </w:r>
          </w:p>
        </w:tc>
        <w:tc>
          <w:tcPr>
            <w:tcW w:w="1009" w:type="dxa"/>
          </w:tcPr>
          <w:p>
            <w:pPr>
              <w:pStyle w:val="TableParagraph"/>
              <w:rPr>
                <w:b/>
                <w:sz w:val="14"/>
              </w:rPr>
            </w:pPr>
          </w:p>
          <w:p>
            <w:pPr>
              <w:pStyle w:val="TableParagraph"/>
              <w:rPr>
                <w:b/>
                <w:sz w:val="14"/>
              </w:rPr>
            </w:pPr>
          </w:p>
          <w:p>
            <w:pPr>
              <w:pStyle w:val="TableParagraph"/>
              <w:rPr>
                <w:b/>
                <w:sz w:val="14"/>
              </w:rPr>
            </w:pPr>
          </w:p>
          <w:p>
            <w:pPr>
              <w:pStyle w:val="TableParagraph"/>
              <w:spacing w:before="1"/>
              <w:rPr>
                <w:b/>
                <w:sz w:val="11"/>
              </w:rPr>
            </w:pPr>
          </w:p>
          <w:p>
            <w:pPr>
              <w:pStyle w:val="TableParagraph"/>
              <w:spacing w:line="152" w:lineRule="exact"/>
              <w:ind w:left="207" w:right="36"/>
              <w:jc w:val="center"/>
              <w:rPr>
                <w:sz w:val="13"/>
              </w:rPr>
            </w:pPr>
            <w:r>
              <w:rPr>
                <w:w w:val="105"/>
                <w:sz w:val="13"/>
              </w:rPr>
              <w:t>6.439.893,17</w:t>
            </w:r>
          </w:p>
        </w:tc>
        <w:tc>
          <w:tcPr>
            <w:tcW w:w="700" w:type="dxa"/>
          </w:tcPr>
          <w:p>
            <w:pPr>
              <w:pStyle w:val="TableParagraph"/>
              <w:rPr>
                <w:b/>
                <w:sz w:val="14"/>
              </w:rPr>
            </w:pPr>
          </w:p>
          <w:p>
            <w:pPr>
              <w:pStyle w:val="TableParagraph"/>
              <w:rPr>
                <w:b/>
                <w:sz w:val="14"/>
              </w:rPr>
            </w:pPr>
          </w:p>
          <w:p>
            <w:pPr>
              <w:pStyle w:val="TableParagraph"/>
              <w:rPr>
                <w:b/>
                <w:sz w:val="14"/>
              </w:rPr>
            </w:pPr>
          </w:p>
          <w:p>
            <w:pPr>
              <w:pStyle w:val="TableParagraph"/>
              <w:spacing w:before="1"/>
              <w:rPr>
                <w:b/>
                <w:sz w:val="11"/>
              </w:rPr>
            </w:pPr>
          </w:p>
          <w:p>
            <w:pPr>
              <w:pStyle w:val="TableParagraph"/>
              <w:spacing w:line="152" w:lineRule="exact"/>
              <w:ind w:right="58"/>
              <w:jc w:val="right"/>
              <w:rPr>
                <w:sz w:val="13"/>
              </w:rPr>
            </w:pPr>
            <w:r>
              <w:rPr>
                <w:sz w:val="13"/>
              </w:rPr>
              <w:t>168,75%</w:t>
            </w:r>
          </w:p>
        </w:tc>
        <w:tc>
          <w:tcPr>
            <w:tcW w:w="613" w:type="dxa"/>
          </w:tcPr>
          <w:p>
            <w:pPr>
              <w:pStyle w:val="TableParagraph"/>
              <w:rPr>
                <w:b/>
                <w:sz w:val="14"/>
              </w:rPr>
            </w:pPr>
          </w:p>
          <w:p>
            <w:pPr>
              <w:pStyle w:val="TableParagraph"/>
              <w:rPr>
                <w:b/>
                <w:sz w:val="14"/>
              </w:rPr>
            </w:pPr>
          </w:p>
          <w:p>
            <w:pPr>
              <w:pStyle w:val="TableParagraph"/>
              <w:rPr>
                <w:b/>
                <w:sz w:val="14"/>
              </w:rPr>
            </w:pPr>
          </w:p>
          <w:p>
            <w:pPr>
              <w:pStyle w:val="TableParagraph"/>
              <w:spacing w:before="1"/>
              <w:rPr>
                <w:b/>
                <w:sz w:val="11"/>
              </w:rPr>
            </w:pPr>
          </w:p>
          <w:p>
            <w:pPr>
              <w:pStyle w:val="TableParagraph"/>
              <w:spacing w:line="152" w:lineRule="exact"/>
              <w:ind w:left="45" w:right="50"/>
              <w:jc w:val="center"/>
              <w:rPr>
                <w:sz w:val="13"/>
              </w:rPr>
            </w:pPr>
            <w:r>
              <w:rPr>
                <w:w w:val="105"/>
                <w:sz w:val="13"/>
              </w:rPr>
              <w:t>104,15%</w:t>
            </w:r>
          </w:p>
        </w:tc>
      </w:tr>
      <w:tr>
        <w:trPr>
          <w:trHeight w:val="327" w:hRule="atLeast"/>
        </w:trPr>
        <w:tc>
          <w:tcPr>
            <w:tcW w:w="1501" w:type="dxa"/>
          </w:tcPr>
          <w:p>
            <w:pPr>
              <w:pStyle w:val="TableParagraph"/>
              <w:spacing w:line="150" w:lineRule="exact"/>
              <w:ind w:left="34"/>
              <w:rPr>
                <w:sz w:val="13"/>
              </w:rPr>
            </w:pPr>
            <w:r>
              <w:rPr>
                <w:w w:val="105"/>
                <w:sz w:val="13"/>
              </w:rPr>
              <w:t>cerrados (38000)</w:t>
            </w:r>
          </w:p>
          <w:p>
            <w:pPr>
              <w:pStyle w:val="TableParagraph"/>
              <w:spacing w:line="153" w:lineRule="exact" w:before="4"/>
              <w:ind w:left="34"/>
              <w:rPr>
                <w:sz w:val="13"/>
              </w:rPr>
            </w:pPr>
            <w:r>
              <w:rPr>
                <w:w w:val="105"/>
                <w:sz w:val="13"/>
              </w:rPr>
              <w:t>Intereses de demora</w:t>
            </w:r>
          </w:p>
        </w:tc>
        <w:tc>
          <w:tcPr>
            <w:tcW w:w="1155" w:type="dxa"/>
          </w:tcPr>
          <w:p>
            <w:pPr>
              <w:pStyle w:val="TableParagraph"/>
              <w:spacing w:before="8"/>
              <w:rPr>
                <w:b/>
                <w:sz w:val="12"/>
              </w:rPr>
            </w:pPr>
          </w:p>
          <w:p>
            <w:pPr>
              <w:pStyle w:val="TableParagraph"/>
              <w:spacing w:line="153" w:lineRule="exact"/>
              <w:ind w:right="94"/>
              <w:jc w:val="right"/>
              <w:rPr>
                <w:sz w:val="13"/>
              </w:rPr>
            </w:pPr>
            <w:r>
              <w:rPr>
                <w:w w:val="105"/>
                <w:sz w:val="13"/>
              </w:rPr>
              <w:t>5.142.859,28</w:t>
            </w:r>
          </w:p>
        </w:tc>
        <w:tc>
          <w:tcPr>
            <w:tcW w:w="971" w:type="dxa"/>
          </w:tcPr>
          <w:p>
            <w:pPr>
              <w:pStyle w:val="TableParagraph"/>
              <w:spacing w:before="8"/>
              <w:rPr>
                <w:b/>
                <w:sz w:val="12"/>
              </w:rPr>
            </w:pPr>
          </w:p>
          <w:p>
            <w:pPr>
              <w:pStyle w:val="TableParagraph"/>
              <w:spacing w:line="153" w:lineRule="exact"/>
              <w:ind w:left="140" w:right="65"/>
              <w:jc w:val="center"/>
              <w:rPr>
                <w:sz w:val="13"/>
              </w:rPr>
            </w:pPr>
            <w:r>
              <w:rPr>
                <w:w w:val="105"/>
                <w:sz w:val="13"/>
              </w:rPr>
              <w:t>1.080.607,03</w:t>
            </w:r>
          </w:p>
        </w:tc>
        <w:tc>
          <w:tcPr>
            <w:tcW w:w="1139" w:type="dxa"/>
          </w:tcPr>
          <w:p>
            <w:pPr>
              <w:pStyle w:val="TableParagraph"/>
              <w:spacing w:before="8"/>
              <w:rPr>
                <w:b/>
                <w:sz w:val="12"/>
              </w:rPr>
            </w:pPr>
          </w:p>
          <w:p>
            <w:pPr>
              <w:pStyle w:val="TableParagraph"/>
              <w:spacing w:line="153" w:lineRule="exact"/>
              <w:ind w:right="90"/>
              <w:jc w:val="right"/>
              <w:rPr>
                <w:sz w:val="13"/>
              </w:rPr>
            </w:pPr>
            <w:r>
              <w:rPr>
                <w:w w:val="105"/>
                <w:sz w:val="13"/>
              </w:rPr>
              <w:t>6.663.336,70</w:t>
            </w:r>
          </w:p>
        </w:tc>
        <w:tc>
          <w:tcPr>
            <w:tcW w:w="1009" w:type="dxa"/>
          </w:tcPr>
          <w:p>
            <w:pPr>
              <w:pStyle w:val="TableParagraph"/>
              <w:spacing w:before="8"/>
              <w:rPr>
                <w:b/>
                <w:sz w:val="12"/>
              </w:rPr>
            </w:pPr>
          </w:p>
          <w:p>
            <w:pPr>
              <w:pStyle w:val="TableParagraph"/>
              <w:spacing w:line="153" w:lineRule="exact"/>
              <w:ind w:left="207" w:right="36"/>
              <w:jc w:val="center"/>
              <w:rPr>
                <w:sz w:val="13"/>
              </w:rPr>
            </w:pPr>
            <w:r>
              <w:rPr>
                <w:w w:val="105"/>
                <w:sz w:val="13"/>
              </w:rPr>
              <w:t>2.010.388,48</w:t>
            </w:r>
          </w:p>
        </w:tc>
        <w:tc>
          <w:tcPr>
            <w:tcW w:w="700" w:type="dxa"/>
          </w:tcPr>
          <w:p>
            <w:pPr>
              <w:pStyle w:val="TableParagraph"/>
              <w:spacing w:before="8"/>
              <w:rPr>
                <w:b/>
                <w:sz w:val="12"/>
              </w:rPr>
            </w:pPr>
          </w:p>
          <w:p>
            <w:pPr>
              <w:pStyle w:val="TableParagraph"/>
              <w:spacing w:line="153" w:lineRule="exact"/>
              <w:ind w:right="58"/>
              <w:jc w:val="right"/>
              <w:rPr>
                <w:sz w:val="13"/>
              </w:rPr>
            </w:pPr>
            <w:r>
              <w:rPr>
                <w:sz w:val="13"/>
              </w:rPr>
              <w:t>29,56%</w:t>
            </w:r>
          </w:p>
        </w:tc>
        <w:tc>
          <w:tcPr>
            <w:tcW w:w="613" w:type="dxa"/>
          </w:tcPr>
          <w:p>
            <w:pPr>
              <w:pStyle w:val="TableParagraph"/>
              <w:spacing w:before="8"/>
              <w:rPr>
                <w:b/>
                <w:sz w:val="12"/>
              </w:rPr>
            </w:pPr>
          </w:p>
          <w:p>
            <w:pPr>
              <w:pStyle w:val="TableParagraph"/>
              <w:spacing w:line="153" w:lineRule="exact"/>
              <w:ind w:left="111" w:right="50"/>
              <w:jc w:val="center"/>
              <w:rPr>
                <w:sz w:val="13"/>
              </w:rPr>
            </w:pPr>
            <w:r>
              <w:rPr>
                <w:w w:val="105"/>
                <w:sz w:val="13"/>
              </w:rPr>
              <w:t>86,04%</w:t>
            </w:r>
          </w:p>
        </w:tc>
      </w:tr>
      <w:tr>
        <w:trPr>
          <w:trHeight w:val="341" w:hRule="atLeast"/>
        </w:trPr>
        <w:tc>
          <w:tcPr>
            <w:tcW w:w="1501" w:type="dxa"/>
          </w:tcPr>
          <w:p>
            <w:pPr>
              <w:pStyle w:val="TableParagraph"/>
              <w:spacing w:line="151" w:lineRule="exact"/>
              <w:ind w:left="34"/>
              <w:rPr>
                <w:sz w:val="13"/>
              </w:rPr>
            </w:pPr>
            <w:r>
              <w:rPr>
                <w:w w:val="105"/>
                <w:sz w:val="13"/>
              </w:rPr>
              <w:t>(39003)</w:t>
            </w:r>
          </w:p>
          <w:p>
            <w:pPr>
              <w:pStyle w:val="TableParagraph"/>
              <w:spacing w:before="4"/>
              <w:ind w:left="34"/>
              <w:rPr>
                <w:sz w:val="13"/>
              </w:rPr>
            </w:pPr>
            <w:r>
              <w:rPr>
                <w:w w:val="105"/>
                <w:sz w:val="13"/>
              </w:rPr>
              <w:t>Multas y sanciones (391)</w:t>
            </w:r>
          </w:p>
        </w:tc>
        <w:tc>
          <w:tcPr>
            <w:tcW w:w="1155" w:type="dxa"/>
          </w:tcPr>
          <w:p>
            <w:pPr>
              <w:pStyle w:val="TableParagraph"/>
              <w:spacing w:before="9"/>
              <w:rPr>
                <w:b/>
                <w:sz w:val="12"/>
              </w:rPr>
            </w:pPr>
          </w:p>
          <w:p>
            <w:pPr>
              <w:pStyle w:val="TableParagraph"/>
              <w:ind w:right="94"/>
              <w:jc w:val="right"/>
              <w:rPr>
                <w:sz w:val="13"/>
              </w:rPr>
            </w:pPr>
            <w:r>
              <w:rPr>
                <w:w w:val="105"/>
                <w:sz w:val="13"/>
              </w:rPr>
              <w:t>3.887.814,29</w:t>
            </w:r>
          </w:p>
        </w:tc>
        <w:tc>
          <w:tcPr>
            <w:tcW w:w="971" w:type="dxa"/>
          </w:tcPr>
          <w:p>
            <w:pPr>
              <w:pStyle w:val="TableParagraph"/>
              <w:spacing w:before="9"/>
              <w:rPr>
                <w:b/>
                <w:sz w:val="12"/>
              </w:rPr>
            </w:pPr>
          </w:p>
          <w:p>
            <w:pPr>
              <w:pStyle w:val="TableParagraph"/>
              <w:ind w:left="70" w:right="65"/>
              <w:jc w:val="center"/>
              <w:rPr>
                <w:sz w:val="13"/>
              </w:rPr>
            </w:pPr>
            <w:r>
              <w:rPr>
                <w:w w:val="105"/>
                <w:sz w:val="13"/>
              </w:rPr>
              <w:t>5.316.063,58*</w:t>
            </w:r>
          </w:p>
        </w:tc>
        <w:tc>
          <w:tcPr>
            <w:tcW w:w="1139" w:type="dxa"/>
          </w:tcPr>
          <w:p>
            <w:pPr>
              <w:pStyle w:val="TableParagraph"/>
              <w:spacing w:before="9"/>
              <w:rPr>
                <w:b/>
                <w:sz w:val="12"/>
              </w:rPr>
            </w:pPr>
          </w:p>
          <w:p>
            <w:pPr>
              <w:pStyle w:val="TableParagraph"/>
              <w:ind w:right="90"/>
              <w:jc w:val="right"/>
              <w:rPr>
                <w:sz w:val="13"/>
              </w:rPr>
            </w:pPr>
            <w:r>
              <w:rPr>
                <w:w w:val="105"/>
                <w:sz w:val="13"/>
              </w:rPr>
              <w:t>69.249.417,81</w:t>
            </w:r>
          </w:p>
        </w:tc>
        <w:tc>
          <w:tcPr>
            <w:tcW w:w="1009" w:type="dxa"/>
          </w:tcPr>
          <w:p>
            <w:pPr>
              <w:pStyle w:val="TableParagraph"/>
              <w:spacing w:before="9"/>
              <w:rPr>
                <w:b/>
                <w:sz w:val="12"/>
              </w:rPr>
            </w:pPr>
          </w:p>
          <w:p>
            <w:pPr>
              <w:pStyle w:val="TableParagraph"/>
              <w:ind w:left="138" w:right="36"/>
              <w:jc w:val="center"/>
              <w:rPr>
                <w:sz w:val="13"/>
              </w:rPr>
            </w:pPr>
            <w:r>
              <w:rPr>
                <w:w w:val="105"/>
                <w:sz w:val="13"/>
              </w:rPr>
              <w:t>14.816.902,62</w:t>
            </w:r>
          </w:p>
        </w:tc>
        <w:tc>
          <w:tcPr>
            <w:tcW w:w="700" w:type="dxa"/>
          </w:tcPr>
          <w:p>
            <w:pPr>
              <w:pStyle w:val="TableParagraph"/>
              <w:spacing w:before="9"/>
              <w:rPr>
                <w:b/>
                <w:sz w:val="12"/>
              </w:rPr>
            </w:pPr>
          </w:p>
          <w:p>
            <w:pPr>
              <w:pStyle w:val="TableParagraph"/>
              <w:ind w:right="58"/>
              <w:jc w:val="right"/>
              <w:rPr>
                <w:sz w:val="13"/>
              </w:rPr>
            </w:pPr>
            <w:r>
              <w:rPr>
                <w:w w:val="105"/>
                <w:sz w:val="13"/>
              </w:rPr>
              <w:t>1.681,19%</w:t>
            </w:r>
          </w:p>
        </w:tc>
        <w:tc>
          <w:tcPr>
            <w:tcW w:w="613" w:type="dxa"/>
          </w:tcPr>
          <w:p>
            <w:pPr>
              <w:pStyle w:val="TableParagraph"/>
              <w:spacing w:before="9"/>
              <w:rPr>
                <w:b/>
                <w:sz w:val="12"/>
              </w:rPr>
            </w:pPr>
          </w:p>
          <w:p>
            <w:pPr>
              <w:pStyle w:val="TableParagraph"/>
              <w:ind w:left="45" w:right="50"/>
              <w:jc w:val="center"/>
              <w:rPr>
                <w:sz w:val="13"/>
              </w:rPr>
            </w:pPr>
            <w:r>
              <w:rPr>
                <w:w w:val="105"/>
                <w:sz w:val="13"/>
              </w:rPr>
              <w:t>178,72%</w:t>
            </w:r>
          </w:p>
        </w:tc>
      </w:tr>
      <w:tr>
        <w:trPr>
          <w:trHeight w:val="505" w:hRule="atLeast"/>
        </w:trPr>
        <w:tc>
          <w:tcPr>
            <w:tcW w:w="1501" w:type="dxa"/>
          </w:tcPr>
          <w:p>
            <w:pPr>
              <w:pStyle w:val="TableParagraph"/>
              <w:spacing w:line="247" w:lineRule="auto" w:before="5"/>
              <w:ind w:left="34" w:right="108"/>
              <w:rPr>
                <w:b/>
                <w:sz w:val="13"/>
              </w:rPr>
            </w:pPr>
            <w:r>
              <w:rPr>
                <w:b/>
                <w:w w:val="105"/>
                <w:sz w:val="13"/>
              </w:rPr>
              <w:t>Transferencias corrientes</w:t>
            </w:r>
          </w:p>
          <w:p>
            <w:pPr>
              <w:pStyle w:val="TableParagraph"/>
              <w:spacing w:line="153" w:lineRule="exact"/>
              <w:ind w:left="34"/>
              <w:rPr>
                <w:sz w:val="13"/>
              </w:rPr>
            </w:pPr>
            <w:r>
              <w:rPr>
                <w:w w:val="105"/>
                <w:sz w:val="13"/>
              </w:rPr>
              <w:t>De la Admon del Estado</w:t>
            </w:r>
          </w:p>
        </w:tc>
        <w:tc>
          <w:tcPr>
            <w:tcW w:w="1155" w:type="dxa"/>
          </w:tcPr>
          <w:p>
            <w:pPr>
              <w:pStyle w:val="TableParagraph"/>
              <w:rPr>
                <w:b/>
                <w:sz w:val="14"/>
              </w:rPr>
            </w:pPr>
          </w:p>
          <w:p>
            <w:pPr>
              <w:pStyle w:val="TableParagraph"/>
              <w:spacing w:before="3"/>
              <w:rPr>
                <w:b/>
                <w:sz w:val="13"/>
              </w:rPr>
            </w:pPr>
          </w:p>
          <w:p>
            <w:pPr>
              <w:pStyle w:val="TableParagraph"/>
              <w:spacing w:line="153" w:lineRule="exact"/>
              <w:ind w:right="94"/>
              <w:jc w:val="right"/>
              <w:rPr>
                <w:sz w:val="13"/>
              </w:rPr>
            </w:pPr>
            <w:r>
              <w:rPr>
                <w:w w:val="105"/>
                <w:sz w:val="13"/>
              </w:rPr>
              <w:t>3.752.556.854,00</w:t>
            </w:r>
          </w:p>
        </w:tc>
        <w:tc>
          <w:tcPr>
            <w:tcW w:w="971" w:type="dxa"/>
          </w:tcPr>
          <w:p>
            <w:pPr>
              <w:pStyle w:val="TableParagraph"/>
              <w:rPr>
                <w:b/>
                <w:sz w:val="14"/>
              </w:rPr>
            </w:pPr>
          </w:p>
          <w:p>
            <w:pPr>
              <w:pStyle w:val="TableParagraph"/>
              <w:spacing w:before="3"/>
              <w:rPr>
                <w:b/>
                <w:sz w:val="13"/>
              </w:rPr>
            </w:pPr>
          </w:p>
          <w:p>
            <w:pPr>
              <w:pStyle w:val="TableParagraph"/>
              <w:spacing w:line="153" w:lineRule="exact"/>
              <w:ind w:left="71" w:right="65"/>
              <w:jc w:val="center"/>
              <w:rPr>
                <w:sz w:val="13"/>
              </w:rPr>
            </w:pPr>
            <w:r>
              <w:rPr>
                <w:w w:val="105"/>
                <w:sz w:val="13"/>
              </w:rPr>
              <w:t>27.766.639,65</w:t>
            </w:r>
          </w:p>
        </w:tc>
        <w:tc>
          <w:tcPr>
            <w:tcW w:w="1139" w:type="dxa"/>
          </w:tcPr>
          <w:p>
            <w:pPr>
              <w:pStyle w:val="TableParagraph"/>
              <w:rPr>
                <w:b/>
                <w:sz w:val="14"/>
              </w:rPr>
            </w:pPr>
          </w:p>
          <w:p>
            <w:pPr>
              <w:pStyle w:val="TableParagraph"/>
              <w:spacing w:before="3"/>
              <w:rPr>
                <w:b/>
                <w:sz w:val="13"/>
              </w:rPr>
            </w:pPr>
          </w:p>
          <w:p>
            <w:pPr>
              <w:pStyle w:val="TableParagraph"/>
              <w:spacing w:line="153" w:lineRule="exact"/>
              <w:ind w:right="90"/>
              <w:jc w:val="right"/>
              <w:rPr>
                <w:sz w:val="13"/>
              </w:rPr>
            </w:pPr>
            <w:r>
              <w:rPr>
                <w:w w:val="105"/>
                <w:sz w:val="13"/>
              </w:rPr>
              <w:t>4.232.134.532,01</w:t>
            </w:r>
          </w:p>
        </w:tc>
        <w:tc>
          <w:tcPr>
            <w:tcW w:w="1009" w:type="dxa"/>
          </w:tcPr>
          <w:p>
            <w:pPr>
              <w:pStyle w:val="TableParagraph"/>
              <w:rPr>
                <w:b/>
                <w:sz w:val="14"/>
              </w:rPr>
            </w:pPr>
          </w:p>
          <w:p>
            <w:pPr>
              <w:pStyle w:val="TableParagraph"/>
              <w:spacing w:before="3"/>
              <w:rPr>
                <w:b/>
                <w:sz w:val="13"/>
              </w:rPr>
            </w:pPr>
          </w:p>
          <w:p>
            <w:pPr>
              <w:pStyle w:val="TableParagraph"/>
              <w:spacing w:line="153" w:lineRule="exact"/>
              <w:ind w:left="138" w:right="36"/>
              <w:jc w:val="center"/>
              <w:rPr>
                <w:sz w:val="13"/>
              </w:rPr>
            </w:pPr>
            <w:r>
              <w:rPr>
                <w:w w:val="105"/>
                <w:sz w:val="13"/>
              </w:rPr>
              <w:t>62.402.027,97</w:t>
            </w:r>
          </w:p>
        </w:tc>
        <w:tc>
          <w:tcPr>
            <w:tcW w:w="700" w:type="dxa"/>
          </w:tcPr>
          <w:p>
            <w:pPr>
              <w:pStyle w:val="TableParagraph"/>
              <w:rPr>
                <w:b/>
                <w:sz w:val="14"/>
              </w:rPr>
            </w:pPr>
          </w:p>
          <w:p>
            <w:pPr>
              <w:pStyle w:val="TableParagraph"/>
              <w:spacing w:before="3"/>
              <w:rPr>
                <w:b/>
                <w:sz w:val="13"/>
              </w:rPr>
            </w:pPr>
          </w:p>
          <w:p>
            <w:pPr>
              <w:pStyle w:val="TableParagraph"/>
              <w:spacing w:line="153" w:lineRule="exact"/>
              <w:ind w:right="58"/>
              <w:jc w:val="right"/>
              <w:rPr>
                <w:sz w:val="13"/>
              </w:rPr>
            </w:pPr>
            <w:r>
              <w:rPr>
                <w:sz w:val="13"/>
              </w:rPr>
              <w:t>12,78%</w:t>
            </w:r>
          </w:p>
        </w:tc>
        <w:tc>
          <w:tcPr>
            <w:tcW w:w="613" w:type="dxa"/>
          </w:tcPr>
          <w:p>
            <w:pPr>
              <w:pStyle w:val="TableParagraph"/>
              <w:rPr>
                <w:b/>
                <w:sz w:val="14"/>
              </w:rPr>
            </w:pPr>
          </w:p>
          <w:p>
            <w:pPr>
              <w:pStyle w:val="TableParagraph"/>
              <w:spacing w:before="3"/>
              <w:rPr>
                <w:b/>
                <w:sz w:val="13"/>
              </w:rPr>
            </w:pPr>
          </w:p>
          <w:p>
            <w:pPr>
              <w:pStyle w:val="TableParagraph"/>
              <w:spacing w:line="153" w:lineRule="exact"/>
              <w:ind w:left="45" w:right="50"/>
              <w:jc w:val="center"/>
              <w:rPr>
                <w:sz w:val="13"/>
              </w:rPr>
            </w:pPr>
            <w:r>
              <w:rPr>
                <w:w w:val="105"/>
                <w:sz w:val="13"/>
              </w:rPr>
              <w:t>124,74%</w:t>
            </w:r>
          </w:p>
        </w:tc>
      </w:tr>
      <w:tr>
        <w:trPr>
          <w:trHeight w:val="313" w:hRule="atLeast"/>
        </w:trPr>
        <w:tc>
          <w:tcPr>
            <w:tcW w:w="1501" w:type="dxa"/>
          </w:tcPr>
          <w:p>
            <w:pPr>
              <w:pStyle w:val="TableParagraph"/>
              <w:spacing w:line="151" w:lineRule="exact"/>
              <w:ind w:left="34"/>
              <w:rPr>
                <w:sz w:val="13"/>
              </w:rPr>
            </w:pPr>
            <w:r>
              <w:rPr>
                <w:w w:val="105"/>
                <w:sz w:val="13"/>
              </w:rPr>
              <w:t>(400)</w:t>
            </w:r>
          </w:p>
          <w:p>
            <w:pPr>
              <w:pStyle w:val="TableParagraph"/>
              <w:spacing w:line="138" w:lineRule="exact" w:before="4"/>
              <w:ind w:left="34"/>
              <w:rPr>
                <w:sz w:val="13"/>
              </w:rPr>
            </w:pPr>
            <w:r>
              <w:rPr>
                <w:w w:val="105"/>
                <w:sz w:val="13"/>
              </w:rPr>
              <w:t>Fondo Social Europeo</w:t>
            </w:r>
          </w:p>
        </w:tc>
        <w:tc>
          <w:tcPr>
            <w:tcW w:w="1155" w:type="dxa"/>
          </w:tcPr>
          <w:p>
            <w:pPr>
              <w:pStyle w:val="TableParagraph"/>
              <w:spacing w:before="9"/>
              <w:rPr>
                <w:b/>
                <w:sz w:val="12"/>
              </w:rPr>
            </w:pPr>
          </w:p>
          <w:p>
            <w:pPr>
              <w:pStyle w:val="TableParagraph"/>
              <w:spacing w:line="138" w:lineRule="exact"/>
              <w:ind w:right="94"/>
              <w:jc w:val="right"/>
              <w:rPr>
                <w:sz w:val="13"/>
              </w:rPr>
            </w:pPr>
            <w:r>
              <w:rPr>
                <w:w w:val="105"/>
                <w:sz w:val="13"/>
              </w:rPr>
              <w:t>21.599.114,16</w:t>
            </w:r>
          </w:p>
        </w:tc>
        <w:tc>
          <w:tcPr>
            <w:tcW w:w="971" w:type="dxa"/>
          </w:tcPr>
          <w:p>
            <w:pPr>
              <w:pStyle w:val="TableParagraph"/>
              <w:spacing w:before="9"/>
              <w:rPr>
                <w:b/>
                <w:sz w:val="12"/>
              </w:rPr>
            </w:pPr>
          </w:p>
          <w:p>
            <w:pPr>
              <w:pStyle w:val="TableParagraph"/>
              <w:spacing w:line="138" w:lineRule="exact"/>
              <w:ind w:left="71" w:right="65"/>
              <w:jc w:val="center"/>
              <w:rPr>
                <w:sz w:val="13"/>
              </w:rPr>
            </w:pPr>
            <w:r>
              <w:rPr>
                <w:w w:val="105"/>
                <w:sz w:val="13"/>
              </w:rPr>
              <w:t>16.331.070,83</w:t>
            </w:r>
          </w:p>
        </w:tc>
        <w:tc>
          <w:tcPr>
            <w:tcW w:w="1139" w:type="dxa"/>
          </w:tcPr>
          <w:p>
            <w:pPr>
              <w:pStyle w:val="TableParagraph"/>
              <w:spacing w:before="9"/>
              <w:rPr>
                <w:b/>
                <w:sz w:val="12"/>
              </w:rPr>
            </w:pPr>
          </w:p>
          <w:p>
            <w:pPr>
              <w:pStyle w:val="TableParagraph"/>
              <w:spacing w:line="138" w:lineRule="exact"/>
              <w:ind w:right="90"/>
              <w:jc w:val="right"/>
              <w:rPr>
                <w:sz w:val="13"/>
              </w:rPr>
            </w:pPr>
            <w:r>
              <w:rPr>
                <w:w w:val="105"/>
                <w:sz w:val="13"/>
              </w:rPr>
              <w:t>49.804.873,16</w:t>
            </w:r>
          </w:p>
        </w:tc>
        <w:tc>
          <w:tcPr>
            <w:tcW w:w="1009" w:type="dxa"/>
          </w:tcPr>
          <w:p>
            <w:pPr>
              <w:pStyle w:val="TableParagraph"/>
              <w:spacing w:before="9"/>
              <w:rPr>
                <w:b/>
                <w:sz w:val="12"/>
              </w:rPr>
            </w:pPr>
          </w:p>
          <w:p>
            <w:pPr>
              <w:pStyle w:val="TableParagraph"/>
              <w:spacing w:line="138" w:lineRule="exact"/>
              <w:ind w:left="138" w:right="36"/>
              <w:jc w:val="center"/>
              <w:rPr>
                <w:sz w:val="13"/>
              </w:rPr>
            </w:pPr>
            <w:r>
              <w:rPr>
                <w:w w:val="105"/>
                <w:sz w:val="13"/>
              </w:rPr>
              <w:t>36.860.840,13</w:t>
            </w:r>
          </w:p>
        </w:tc>
        <w:tc>
          <w:tcPr>
            <w:tcW w:w="700" w:type="dxa"/>
          </w:tcPr>
          <w:p>
            <w:pPr>
              <w:pStyle w:val="TableParagraph"/>
              <w:spacing w:before="9"/>
              <w:rPr>
                <w:b/>
                <w:sz w:val="12"/>
              </w:rPr>
            </w:pPr>
          </w:p>
          <w:p>
            <w:pPr>
              <w:pStyle w:val="TableParagraph"/>
              <w:spacing w:line="138" w:lineRule="exact"/>
              <w:ind w:right="58"/>
              <w:jc w:val="right"/>
              <w:rPr>
                <w:sz w:val="13"/>
              </w:rPr>
            </w:pPr>
            <w:r>
              <w:rPr>
                <w:sz w:val="13"/>
              </w:rPr>
              <w:t>130,59%</w:t>
            </w:r>
          </w:p>
        </w:tc>
        <w:tc>
          <w:tcPr>
            <w:tcW w:w="613" w:type="dxa"/>
          </w:tcPr>
          <w:p>
            <w:pPr>
              <w:pStyle w:val="TableParagraph"/>
              <w:spacing w:before="9"/>
              <w:rPr>
                <w:b/>
                <w:sz w:val="12"/>
              </w:rPr>
            </w:pPr>
          </w:p>
          <w:p>
            <w:pPr>
              <w:pStyle w:val="TableParagraph"/>
              <w:spacing w:line="138" w:lineRule="exact"/>
              <w:ind w:left="45" w:right="50"/>
              <w:jc w:val="center"/>
              <w:rPr>
                <w:sz w:val="13"/>
              </w:rPr>
            </w:pPr>
            <w:r>
              <w:rPr>
                <w:w w:val="105"/>
                <w:sz w:val="13"/>
              </w:rPr>
              <w:t>125,71%</w:t>
            </w:r>
          </w:p>
        </w:tc>
      </w:tr>
    </w:tbl>
    <w:p>
      <w:pPr>
        <w:tabs>
          <w:tab w:pos="9257" w:val="left" w:leader="none"/>
        </w:tabs>
        <w:spacing w:before="7"/>
        <w:ind w:left="2084" w:right="0" w:firstLine="0"/>
        <w:jc w:val="left"/>
        <w:rPr>
          <w:sz w:val="13"/>
        </w:rPr>
      </w:pPr>
      <w:r>
        <w:rPr>
          <w:w w:val="103"/>
          <w:sz w:val="13"/>
          <w:u w:val="single"/>
        </w:rPr>
        <w:t> </w:t>
      </w:r>
      <w:r>
        <w:rPr>
          <w:sz w:val="13"/>
          <w:u w:val="single"/>
        </w:rPr>
        <w:t> </w:t>
      </w:r>
      <w:r>
        <w:rPr>
          <w:spacing w:val="13"/>
          <w:sz w:val="13"/>
          <w:u w:val="single"/>
        </w:rPr>
        <w:t> </w:t>
      </w:r>
      <w:r>
        <w:rPr>
          <w:w w:val="105"/>
          <w:sz w:val="13"/>
          <w:u w:val="single"/>
        </w:rPr>
        <w:t>(490)</w:t>
      </w:r>
      <w:r>
        <w:rPr>
          <w:sz w:val="13"/>
          <w:u w:val="single"/>
        </w:rPr>
        <w:tab/>
      </w:r>
    </w:p>
    <w:p>
      <w:pPr>
        <w:spacing w:before="13"/>
        <w:ind w:left="2096" w:right="0" w:firstLine="0"/>
        <w:jc w:val="left"/>
        <w:rPr>
          <w:sz w:val="13"/>
        </w:rPr>
      </w:pPr>
      <w:r>
        <w:rPr>
          <w:w w:val="105"/>
          <w:sz w:val="13"/>
        </w:rPr>
        <w:t>*Hay una recaudación neta de -1.428.249,29 euros</w:t>
      </w:r>
    </w:p>
    <w:p>
      <w:pPr>
        <w:pStyle w:val="BodyText"/>
        <w:spacing w:before="7"/>
        <w:rPr>
          <w:sz w:val="25"/>
        </w:rPr>
      </w:pPr>
    </w:p>
    <w:p>
      <w:pPr>
        <w:pStyle w:val="BodyText"/>
        <w:spacing w:before="61"/>
        <w:ind w:left="7897"/>
        <w:jc w:val="center"/>
      </w:pPr>
      <w:r>
        <w:rPr/>
        <w:t>45</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01" name="image5.png"/>
                  <wp:cNvGraphicFramePr>
                    <a:graphicFrameLocks noChangeAspect="1"/>
                  </wp:cNvGraphicFramePr>
                  <a:graphic>
                    <a:graphicData uri="http://schemas.openxmlformats.org/drawingml/2006/picture">
                      <pic:pic>
                        <pic:nvPicPr>
                          <pic:cNvPr id="10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47/247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2"/>
        <w:rPr>
          <w:b/>
          <w:sz w:val="9"/>
        </w:rPr>
      </w:pPr>
    </w:p>
    <w:p>
      <w:pPr>
        <w:pStyle w:val="BodyText"/>
        <w:spacing w:before="61"/>
        <w:ind w:left="2690"/>
        <w:jc w:val="both"/>
      </w:pPr>
      <w:r>
        <w:rPr/>
        <w:t>Del cuadro anterior se extraen los siguientes datos más significativos:</w:t>
      </w:r>
    </w:p>
    <w:p>
      <w:pPr>
        <w:pStyle w:val="BodyText"/>
        <w:spacing w:before="8"/>
        <w:rPr>
          <w:sz w:val="16"/>
        </w:rPr>
      </w:pPr>
    </w:p>
    <w:p>
      <w:pPr>
        <w:pStyle w:val="ListParagraph"/>
        <w:numPr>
          <w:ilvl w:val="0"/>
          <w:numId w:val="20"/>
        </w:numPr>
        <w:tabs>
          <w:tab w:pos="2701" w:val="left" w:leader="none"/>
        </w:tabs>
        <w:spacing w:line="240" w:lineRule="auto" w:before="0" w:after="0"/>
        <w:ind w:left="2700" w:right="1141" w:hanging="303"/>
        <w:jc w:val="both"/>
        <w:rPr>
          <w:sz w:val="20"/>
        </w:rPr>
      </w:pPr>
      <w:r>
        <w:rPr>
          <w:sz w:val="20"/>
        </w:rPr>
        <w:t>En cuanto a las transferencias de capital, mientras que los derechos reconocidos netos de las transferencias de la Administración del Estado incrementaron en un 366,76 %, el pendiente de cobro lo hizo en un 940,12</w:t>
      </w:r>
      <w:r>
        <w:rPr>
          <w:spacing w:val="3"/>
          <w:sz w:val="20"/>
        </w:rPr>
        <w:t> </w:t>
      </w:r>
      <w:r>
        <w:rPr>
          <w:sz w:val="20"/>
        </w:rPr>
        <w:t>%.</w:t>
      </w:r>
    </w:p>
    <w:p>
      <w:pPr>
        <w:pStyle w:val="ListParagraph"/>
        <w:numPr>
          <w:ilvl w:val="0"/>
          <w:numId w:val="20"/>
        </w:numPr>
        <w:tabs>
          <w:tab w:pos="2701" w:val="left" w:leader="none"/>
        </w:tabs>
        <w:spacing w:line="240" w:lineRule="auto" w:before="5" w:after="0"/>
        <w:ind w:left="2700" w:right="0" w:hanging="303"/>
        <w:jc w:val="both"/>
        <w:rPr>
          <w:sz w:val="20"/>
        </w:rPr>
      </w:pPr>
      <w:r>
        <w:rPr>
          <w:sz w:val="20"/>
        </w:rPr>
        <w:t>En lo que respecta a “multas y sanciones”, los derechos reconocidos</w:t>
      </w:r>
      <w:r>
        <w:rPr>
          <w:spacing w:val="10"/>
          <w:sz w:val="20"/>
        </w:rPr>
        <w:t> </w:t>
      </w:r>
      <w:r>
        <w:rPr>
          <w:sz w:val="20"/>
        </w:rPr>
        <w:t>netos</w:t>
      </w:r>
    </w:p>
    <w:p>
      <w:pPr>
        <w:pStyle w:val="BodyText"/>
        <w:spacing w:before="2"/>
        <w:ind w:left="2700"/>
        <w:jc w:val="both"/>
      </w:pPr>
      <w:r>
        <w:rPr/>
        <w:t>incrementaron en un 1.681,19 % y lo pendiente lo cobro lo hizo en un 178,72 %.</w:t>
      </w:r>
    </w:p>
    <w:p>
      <w:pPr>
        <w:pStyle w:val="ListParagraph"/>
        <w:numPr>
          <w:ilvl w:val="0"/>
          <w:numId w:val="20"/>
        </w:numPr>
        <w:tabs>
          <w:tab w:pos="2701" w:val="left" w:leader="none"/>
        </w:tabs>
        <w:spacing w:line="242" w:lineRule="auto" w:before="2" w:after="0"/>
        <w:ind w:left="2700" w:right="1140" w:hanging="303"/>
        <w:jc w:val="both"/>
        <w:rPr>
          <w:sz w:val="20"/>
        </w:rPr>
      </w:pPr>
      <w:r>
        <w:rPr>
          <w:sz w:val="20"/>
        </w:rPr>
        <w:t>Para las transferencias corrientes, los derechos reconocidos netos de las transferencias recibidas del Estado incrementaron en un 12,78 % mientras que lo pendiente de cobro lo hizo en un 124,74</w:t>
      </w:r>
      <w:r>
        <w:rPr>
          <w:spacing w:val="2"/>
          <w:sz w:val="20"/>
        </w:rPr>
        <w:t> </w:t>
      </w:r>
      <w:r>
        <w:rPr>
          <w:sz w:val="20"/>
        </w:rPr>
        <w:t>%.</w:t>
      </w:r>
    </w:p>
    <w:p>
      <w:pPr>
        <w:pStyle w:val="BodyText"/>
        <w:spacing w:before="1"/>
      </w:pPr>
    </w:p>
    <w:p>
      <w:pPr>
        <w:pStyle w:val="Heading1"/>
        <w:spacing w:before="1"/>
        <w:ind w:left="2096"/>
        <w:jc w:val="left"/>
      </w:pPr>
      <w:r>
        <w:rPr/>
        <w:t>Ejercicios cerrados.</w:t>
      </w:r>
    </w:p>
    <w:p>
      <w:pPr>
        <w:pStyle w:val="BodyText"/>
        <w:spacing w:before="7"/>
        <w:rPr>
          <w:b/>
          <w:sz w:val="16"/>
        </w:rPr>
      </w:pPr>
    </w:p>
    <w:p>
      <w:pPr>
        <w:pStyle w:val="BodyText"/>
        <w:ind w:left="2096" w:right="1138" w:firstLine="594"/>
        <w:jc w:val="both"/>
      </w:pPr>
      <w:r>
        <w:rPr/>
        <w:t>El importe total del pendiente de cobro de ejercicios cerrados, de los capítulos I a III asciende a 239,5 millones de €, de los cuales 29,9 millones de € están en voluntaria (anexo III) correspondiendo más del 50 % (17,2 millones de €) a los ejercicios 1987 a 2019. La antigüedad de la deuda y el estado de voluntaria, salvo los expedientes de deudas</w:t>
      </w:r>
      <w:r>
        <w:rPr>
          <w:spacing w:val="-5"/>
        </w:rPr>
        <w:t> </w:t>
      </w:r>
      <w:r>
        <w:rPr/>
        <w:t>judicializadas</w:t>
      </w:r>
      <w:r>
        <w:rPr>
          <w:spacing w:val="-5"/>
        </w:rPr>
        <w:t> </w:t>
      </w:r>
      <w:r>
        <w:rPr/>
        <w:t>y</w:t>
      </w:r>
      <w:r>
        <w:rPr>
          <w:spacing w:val="-5"/>
        </w:rPr>
        <w:t> </w:t>
      </w:r>
      <w:r>
        <w:rPr/>
        <w:t>correctamente</w:t>
      </w:r>
      <w:r>
        <w:rPr>
          <w:spacing w:val="-5"/>
        </w:rPr>
        <w:t> </w:t>
      </w:r>
      <w:r>
        <w:rPr/>
        <w:t>avaladas,</w:t>
      </w:r>
      <w:r>
        <w:rPr>
          <w:spacing w:val="-4"/>
        </w:rPr>
        <w:t> </w:t>
      </w:r>
      <w:r>
        <w:rPr/>
        <w:t>resultan</w:t>
      </w:r>
      <w:r>
        <w:rPr>
          <w:spacing w:val="-5"/>
        </w:rPr>
        <w:t> </w:t>
      </w:r>
      <w:r>
        <w:rPr/>
        <w:t>incoherentes</w:t>
      </w:r>
      <w:r>
        <w:rPr>
          <w:spacing w:val="-4"/>
        </w:rPr>
        <w:t> </w:t>
      </w:r>
      <w:r>
        <w:rPr/>
        <w:t>como</w:t>
      </w:r>
      <w:r>
        <w:rPr>
          <w:spacing w:val="-5"/>
        </w:rPr>
        <w:t> </w:t>
      </w:r>
      <w:r>
        <w:rPr/>
        <w:t>ya</w:t>
      </w:r>
      <w:r>
        <w:rPr>
          <w:spacing w:val="-5"/>
        </w:rPr>
        <w:t> </w:t>
      </w:r>
      <w:r>
        <w:rPr/>
        <w:t>se</w:t>
      </w:r>
      <w:r>
        <w:rPr>
          <w:spacing w:val="-7"/>
        </w:rPr>
        <w:t> </w:t>
      </w:r>
      <w:r>
        <w:rPr/>
        <w:t>había manifestado en el ejercicio 2021 (anexo</w:t>
      </w:r>
      <w:r>
        <w:rPr>
          <w:spacing w:val="6"/>
        </w:rPr>
        <w:t> </w:t>
      </w:r>
      <w:r>
        <w:rPr/>
        <w:t>IV).</w:t>
      </w:r>
    </w:p>
    <w:p>
      <w:pPr>
        <w:pStyle w:val="BodyText"/>
        <w:spacing w:before="4"/>
        <w:rPr>
          <w:sz w:val="17"/>
        </w:rPr>
      </w:pPr>
    </w:p>
    <w:p>
      <w:pPr>
        <w:pStyle w:val="BodyText"/>
        <w:spacing w:line="242" w:lineRule="auto" w:before="1"/>
        <w:ind w:left="2096" w:right="1137" w:firstLine="594"/>
        <w:jc w:val="both"/>
      </w:pPr>
      <w:r>
        <w:rPr/>
        <w:t>Al igual que en ejercicios anteriores, 2019, 2020 y 2021, se obtuvieron discrepancias al analizar los derechos pendientes de cobro registrados en el SEFLogiC y los</w:t>
      </w:r>
      <w:r>
        <w:rPr>
          <w:spacing w:val="-8"/>
        </w:rPr>
        <w:t> </w:t>
      </w:r>
      <w:r>
        <w:rPr/>
        <w:t>estados</w:t>
      </w:r>
      <w:r>
        <w:rPr>
          <w:spacing w:val="-10"/>
        </w:rPr>
        <w:t> </w:t>
      </w:r>
      <w:r>
        <w:rPr/>
        <w:t>de</w:t>
      </w:r>
      <w:r>
        <w:rPr>
          <w:spacing w:val="-7"/>
        </w:rPr>
        <w:t> </w:t>
      </w:r>
      <w:r>
        <w:rPr/>
        <w:t>saldo</w:t>
      </w:r>
      <w:r>
        <w:rPr>
          <w:spacing w:val="-10"/>
        </w:rPr>
        <w:t> </w:t>
      </w:r>
      <w:r>
        <w:rPr/>
        <w:t>de</w:t>
      </w:r>
      <w:r>
        <w:rPr>
          <w:spacing w:val="-10"/>
        </w:rPr>
        <w:t> </w:t>
      </w:r>
      <w:r>
        <w:rPr/>
        <w:t>los</w:t>
      </w:r>
      <w:r>
        <w:rPr>
          <w:spacing w:val="-9"/>
        </w:rPr>
        <w:t> </w:t>
      </w:r>
      <w:r>
        <w:rPr/>
        <w:t>sistemas</w:t>
      </w:r>
      <w:r>
        <w:rPr>
          <w:spacing w:val="-10"/>
        </w:rPr>
        <w:t> </w:t>
      </w:r>
      <w:r>
        <w:rPr/>
        <w:t>de</w:t>
      </w:r>
      <w:r>
        <w:rPr>
          <w:spacing w:val="-8"/>
        </w:rPr>
        <w:t> </w:t>
      </w:r>
      <w:r>
        <w:rPr/>
        <w:t>gestión</w:t>
      </w:r>
      <w:r>
        <w:rPr>
          <w:spacing w:val="-10"/>
        </w:rPr>
        <w:t> </w:t>
      </w:r>
      <w:r>
        <w:rPr/>
        <w:t>de</w:t>
      </w:r>
      <w:r>
        <w:rPr>
          <w:spacing w:val="-7"/>
        </w:rPr>
        <w:t> </w:t>
      </w:r>
      <w:r>
        <w:rPr/>
        <w:t>los</w:t>
      </w:r>
      <w:r>
        <w:rPr>
          <w:spacing w:val="-8"/>
        </w:rPr>
        <w:t> </w:t>
      </w:r>
      <w:r>
        <w:rPr/>
        <w:t>mismos</w:t>
      </w:r>
      <w:r>
        <w:rPr>
          <w:spacing w:val="-9"/>
        </w:rPr>
        <w:t> </w:t>
      </w:r>
      <w:r>
        <w:rPr/>
        <w:t>(M@gin</w:t>
      </w:r>
      <w:r>
        <w:rPr>
          <w:spacing w:val="-8"/>
        </w:rPr>
        <w:t> </w:t>
      </w:r>
      <w:r>
        <w:rPr/>
        <w:t>y</w:t>
      </w:r>
      <w:r>
        <w:rPr>
          <w:spacing w:val="-9"/>
        </w:rPr>
        <w:t> </w:t>
      </w:r>
      <w:r>
        <w:rPr/>
        <w:t>Contraído</w:t>
      </w:r>
      <w:r>
        <w:rPr>
          <w:spacing w:val="-10"/>
        </w:rPr>
        <w:t> </w:t>
      </w:r>
      <w:r>
        <w:rPr/>
        <w:t>Previo PICCAC),</w:t>
      </w:r>
      <w:r>
        <w:rPr>
          <w:spacing w:val="-6"/>
        </w:rPr>
        <w:t> </w:t>
      </w:r>
      <w:r>
        <w:rPr/>
        <w:t>lo</w:t>
      </w:r>
      <w:r>
        <w:rPr>
          <w:spacing w:val="-5"/>
        </w:rPr>
        <w:t> </w:t>
      </w:r>
      <w:r>
        <w:rPr/>
        <w:t>que</w:t>
      </w:r>
      <w:r>
        <w:rPr>
          <w:spacing w:val="-7"/>
        </w:rPr>
        <w:t> </w:t>
      </w:r>
      <w:r>
        <w:rPr/>
        <w:t>ha</w:t>
      </w:r>
      <w:r>
        <w:rPr>
          <w:spacing w:val="-5"/>
        </w:rPr>
        <w:t> </w:t>
      </w:r>
      <w:r>
        <w:rPr/>
        <w:t>originado</w:t>
      </w:r>
      <w:r>
        <w:rPr>
          <w:spacing w:val="-5"/>
        </w:rPr>
        <w:t> </w:t>
      </w:r>
      <w:r>
        <w:rPr/>
        <w:t>la</w:t>
      </w:r>
      <w:r>
        <w:rPr>
          <w:spacing w:val="-8"/>
        </w:rPr>
        <w:t> </w:t>
      </w:r>
      <w:r>
        <w:rPr/>
        <w:t>realización</w:t>
      </w:r>
      <w:r>
        <w:rPr>
          <w:spacing w:val="-7"/>
        </w:rPr>
        <w:t> </w:t>
      </w:r>
      <w:r>
        <w:rPr/>
        <w:t>de</w:t>
      </w:r>
      <w:r>
        <w:rPr>
          <w:spacing w:val="-7"/>
        </w:rPr>
        <w:t> </w:t>
      </w:r>
      <w:r>
        <w:rPr/>
        <w:t>una</w:t>
      </w:r>
      <w:r>
        <w:rPr>
          <w:spacing w:val="-10"/>
        </w:rPr>
        <w:t> </w:t>
      </w:r>
      <w:r>
        <w:rPr/>
        <w:t>nueva</w:t>
      </w:r>
      <w:r>
        <w:rPr>
          <w:spacing w:val="-7"/>
        </w:rPr>
        <w:t> </w:t>
      </w:r>
      <w:r>
        <w:rPr/>
        <w:t>rectificación</w:t>
      </w:r>
      <w:r>
        <w:rPr>
          <w:spacing w:val="-6"/>
        </w:rPr>
        <w:t> </w:t>
      </w:r>
      <w:r>
        <w:rPr/>
        <w:t>contable</w:t>
      </w:r>
      <w:r>
        <w:rPr>
          <w:spacing w:val="-5"/>
        </w:rPr>
        <w:t> </w:t>
      </w:r>
      <w:r>
        <w:rPr/>
        <w:t>en</w:t>
      </w:r>
      <w:r>
        <w:rPr>
          <w:spacing w:val="-8"/>
        </w:rPr>
        <w:t> </w:t>
      </w:r>
      <w:r>
        <w:rPr/>
        <w:t>el</w:t>
      </w:r>
      <w:r>
        <w:rPr>
          <w:spacing w:val="-5"/>
        </w:rPr>
        <w:t> </w:t>
      </w:r>
      <w:r>
        <w:rPr/>
        <w:t>área presupuestaria de corriente por importe de 501.680 euros y de -313.137 euros en la de cerrados, y en el área de recursos del REF por importe de 391.567</w:t>
      </w:r>
      <w:r>
        <w:rPr>
          <w:spacing w:val="2"/>
        </w:rPr>
        <w:t> </w:t>
      </w:r>
      <w:r>
        <w:rPr/>
        <w:t>euros</w:t>
      </w:r>
      <w:r>
        <w:rPr>
          <w:position w:val="7"/>
          <w:sz w:val="13"/>
        </w:rPr>
        <w:t>9</w:t>
      </w:r>
      <w:r>
        <w:rPr/>
        <w:t>.</w:t>
      </w:r>
    </w:p>
    <w:p>
      <w:pPr>
        <w:pStyle w:val="Heading1"/>
        <w:spacing w:before="196"/>
        <w:ind w:left="2096"/>
        <w:jc w:val="left"/>
      </w:pPr>
      <w:r>
        <w:rPr/>
        <w:t>Importes de las rectificaciones contables realizadas en el SEFLogic por las diferencias</w:t>
      </w:r>
    </w:p>
    <w:p>
      <w:pPr>
        <w:pStyle w:val="BodyText"/>
        <w:spacing w:before="10" w:after="1"/>
        <w:rPr>
          <w:b/>
          <w:sz w:val="16"/>
        </w:rPr>
      </w:pPr>
    </w:p>
    <w:tbl>
      <w:tblPr>
        <w:tblW w:w="0" w:type="auto"/>
        <w:jc w:val="left"/>
        <w:tblInd w:w="3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9"/>
        <w:gridCol w:w="1048"/>
        <w:gridCol w:w="929"/>
        <w:gridCol w:w="950"/>
        <w:gridCol w:w="781"/>
      </w:tblGrid>
      <w:tr>
        <w:trPr>
          <w:trHeight w:val="182" w:hRule="atLeast"/>
        </w:trPr>
        <w:tc>
          <w:tcPr>
            <w:tcW w:w="1169" w:type="dxa"/>
            <w:tcBorders>
              <w:top w:val="single" w:sz="4" w:space="0" w:color="000000"/>
            </w:tcBorders>
            <w:shd w:val="clear" w:color="auto" w:fill="DEEAF6"/>
          </w:tcPr>
          <w:p>
            <w:pPr>
              <w:pStyle w:val="TableParagraph"/>
              <w:spacing w:line="162" w:lineRule="exact"/>
              <w:ind w:left="233"/>
              <w:rPr>
                <w:b/>
                <w:sz w:val="15"/>
              </w:rPr>
            </w:pPr>
            <w:r>
              <w:rPr>
                <w:b/>
                <w:sz w:val="15"/>
              </w:rPr>
              <w:t>Agrupación</w:t>
            </w:r>
          </w:p>
        </w:tc>
        <w:tc>
          <w:tcPr>
            <w:tcW w:w="1048" w:type="dxa"/>
            <w:tcBorders>
              <w:top w:val="single" w:sz="4" w:space="0" w:color="000000"/>
            </w:tcBorders>
            <w:shd w:val="clear" w:color="auto" w:fill="DEEAF6"/>
          </w:tcPr>
          <w:p>
            <w:pPr>
              <w:pStyle w:val="TableParagraph"/>
              <w:spacing w:line="162" w:lineRule="exact"/>
              <w:ind w:left="93" w:right="152"/>
              <w:jc w:val="center"/>
              <w:rPr>
                <w:b/>
                <w:sz w:val="15"/>
              </w:rPr>
            </w:pPr>
            <w:r>
              <w:rPr>
                <w:b/>
                <w:sz w:val="15"/>
              </w:rPr>
              <w:t>2019</w:t>
            </w:r>
          </w:p>
        </w:tc>
        <w:tc>
          <w:tcPr>
            <w:tcW w:w="929" w:type="dxa"/>
            <w:tcBorders>
              <w:top w:val="single" w:sz="4" w:space="0" w:color="000000"/>
            </w:tcBorders>
            <w:shd w:val="clear" w:color="auto" w:fill="DEEAF6"/>
          </w:tcPr>
          <w:p>
            <w:pPr>
              <w:pStyle w:val="TableParagraph"/>
              <w:spacing w:line="162" w:lineRule="exact"/>
              <w:ind w:left="243"/>
              <w:rPr>
                <w:b/>
                <w:sz w:val="15"/>
              </w:rPr>
            </w:pPr>
            <w:r>
              <w:rPr>
                <w:b/>
                <w:sz w:val="15"/>
              </w:rPr>
              <w:t>2020</w:t>
            </w:r>
          </w:p>
        </w:tc>
        <w:tc>
          <w:tcPr>
            <w:tcW w:w="950" w:type="dxa"/>
            <w:tcBorders>
              <w:top w:val="single" w:sz="4" w:space="0" w:color="000000"/>
            </w:tcBorders>
            <w:shd w:val="clear" w:color="auto" w:fill="DEEAF6"/>
          </w:tcPr>
          <w:p>
            <w:pPr>
              <w:pStyle w:val="TableParagraph"/>
              <w:spacing w:line="162" w:lineRule="exact"/>
              <w:ind w:left="267"/>
              <w:rPr>
                <w:b/>
                <w:sz w:val="15"/>
              </w:rPr>
            </w:pPr>
            <w:r>
              <w:rPr>
                <w:b/>
                <w:sz w:val="15"/>
              </w:rPr>
              <w:t>2021</w:t>
            </w:r>
          </w:p>
        </w:tc>
        <w:tc>
          <w:tcPr>
            <w:tcW w:w="781" w:type="dxa"/>
            <w:tcBorders>
              <w:top w:val="single" w:sz="4" w:space="0" w:color="000000"/>
            </w:tcBorders>
            <w:shd w:val="clear" w:color="auto" w:fill="DEEAF6"/>
          </w:tcPr>
          <w:p>
            <w:pPr>
              <w:pStyle w:val="TableParagraph"/>
              <w:spacing w:line="162" w:lineRule="exact"/>
              <w:ind w:left="208"/>
              <w:rPr>
                <w:b/>
                <w:sz w:val="15"/>
              </w:rPr>
            </w:pPr>
            <w:r>
              <w:rPr>
                <w:b/>
                <w:sz w:val="15"/>
              </w:rPr>
              <w:t>2022</w:t>
            </w:r>
          </w:p>
        </w:tc>
      </w:tr>
      <w:tr>
        <w:trPr>
          <w:trHeight w:val="199" w:hRule="atLeast"/>
        </w:trPr>
        <w:tc>
          <w:tcPr>
            <w:tcW w:w="1169" w:type="dxa"/>
          </w:tcPr>
          <w:p>
            <w:pPr>
              <w:pStyle w:val="TableParagraph"/>
              <w:spacing w:line="178" w:lineRule="exact" w:before="2"/>
              <w:ind w:left="90"/>
              <w:rPr>
                <w:sz w:val="15"/>
              </w:rPr>
            </w:pPr>
            <w:r>
              <w:rPr>
                <w:sz w:val="15"/>
              </w:rPr>
              <w:t>Corriente</w:t>
            </w:r>
          </w:p>
        </w:tc>
        <w:tc>
          <w:tcPr>
            <w:tcW w:w="1048" w:type="dxa"/>
          </w:tcPr>
          <w:p>
            <w:pPr>
              <w:pStyle w:val="TableParagraph"/>
              <w:spacing w:line="178" w:lineRule="exact" w:before="2"/>
              <w:ind w:left="201" w:right="152"/>
              <w:jc w:val="center"/>
              <w:rPr>
                <w:sz w:val="15"/>
              </w:rPr>
            </w:pPr>
            <w:r>
              <w:rPr>
                <w:sz w:val="15"/>
              </w:rPr>
              <w:t>-4.126.631</w:t>
            </w:r>
          </w:p>
        </w:tc>
        <w:tc>
          <w:tcPr>
            <w:tcW w:w="929" w:type="dxa"/>
          </w:tcPr>
          <w:p>
            <w:pPr>
              <w:pStyle w:val="TableParagraph"/>
              <w:spacing w:line="178" w:lineRule="exact" w:before="2"/>
              <w:ind w:right="145"/>
              <w:jc w:val="right"/>
              <w:rPr>
                <w:sz w:val="15"/>
              </w:rPr>
            </w:pPr>
            <w:r>
              <w:rPr>
                <w:sz w:val="15"/>
              </w:rPr>
              <w:t>1.008.550</w:t>
            </w:r>
          </w:p>
        </w:tc>
        <w:tc>
          <w:tcPr>
            <w:tcW w:w="950" w:type="dxa"/>
          </w:tcPr>
          <w:p>
            <w:pPr>
              <w:pStyle w:val="TableParagraph"/>
              <w:spacing w:line="178" w:lineRule="exact" w:before="2"/>
              <w:ind w:left="146"/>
              <w:rPr>
                <w:sz w:val="15"/>
              </w:rPr>
            </w:pPr>
            <w:r>
              <w:rPr>
                <w:sz w:val="15"/>
              </w:rPr>
              <w:t>-1.007.829</w:t>
            </w:r>
          </w:p>
        </w:tc>
        <w:tc>
          <w:tcPr>
            <w:tcW w:w="781" w:type="dxa"/>
          </w:tcPr>
          <w:p>
            <w:pPr>
              <w:pStyle w:val="TableParagraph"/>
              <w:spacing w:line="178" w:lineRule="exact" w:before="2"/>
              <w:ind w:left="190"/>
              <w:rPr>
                <w:sz w:val="15"/>
              </w:rPr>
            </w:pPr>
            <w:r>
              <w:rPr>
                <w:sz w:val="15"/>
              </w:rPr>
              <w:t>501.680</w:t>
            </w:r>
          </w:p>
        </w:tc>
      </w:tr>
      <w:tr>
        <w:trPr>
          <w:trHeight w:val="168" w:hRule="atLeast"/>
        </w:trPr>
        <w:tc>
          <w:tcPr>
            <w:tcW w:w="1169" w:type="dxa"/>
          </w:tcPr>
          <w:p>
            <w:pPr>
              <w:pStyle w:val="TableParagraph"/>
              <w:spacing w:line="148" w:lineRule="exact"/>
              <w:ind w:left="90"/>
              <w:rPr>
                <w:sz w:val="15"/>
              </w:rPr>
            </w:pPr>
            <w:r>
              <w:rPr>
                <w:sz w:val="15"/>
              </w:rPr>
              <w:t>Cerrado</w:t>
            </w:r>
          </w:p>
        </w:tc>
        <w:tc>
          <w:tcPr>
            <w:tcW w:w="1048" w:type="dxa"/>
          </w:tcPr>
          <w:p>
            <w:pPr>
              <w:pStyle w:val="TableParagraph"/>
              <w:spacing w:line="148" w:lineRule="exact"/>
              <w:ind w:left="201" w:right="105"/>
              <w:jc w:val="center"/>
              <w:rPr>
                <w:sz w:val="15"/>
              </w:rPr>
            </w:pPr>
            <w:r>
              <w:rPr>
                <w:sz w:val="15"/>
              </w:rPr>
              <w:t>5.893.180</w:t>
            </w:r>
          </w:p>
        </w:tc>
        <w:tc>
          <w:tcPr>
            <w:tcW w:w="929" w:type="dxa"/>
          </w:tcPr>
          <w:p>
            <w:pPr>
              <w:pStyle w:val="TableParagraph"/>
              <w:spacing w:line="148" w:lineRule="exact"/>
              <w:ind w:right="145"/>
              <w:jc w:val="right"/>
              <w:rPr>
                <w:sz w:val="15"/>
              </w:rPr>
            </w:pPr>
            <w:r>
              <w:rPr>
                <w:sz w:val="15"/>
              </w:rPr>
              <w:t>291.274</w:t>
            </w:r>
          </w:p>
        </w:tc>
        <w:tc>
          <w:tcPr>
            <w:tcW w:w="950" w:type="dxa"/>
          </w:tcPr>
          <w:p>
            <w:pPr>
              <w:pStyle w:val="TableParagraph"/>
              <w:spacing w:line="148" w:lineRule="exact"/>
              <w:ind w:left="193"/>
              <w:rPr>
                <w:sz w:val="15"/>
              </w:rPr>
            </w:pPr>
            <w:r>
              <w:rPr>
                <w:sz w:val="15"/>
              </w:rPr>
              <w:t>1.126.951</w:t>
            </w:r>
          </w:p>
        </w:tc>
        <w:tc>
          <w:tcPr>
            <w:tcW w:w="781" w:type="dxa"/>
          </w:tcPr>
          <w:p>
            <w:pPr>
              <w:pStyle w:val="TableParagraph"/>
              <w:spacing w:line="148" w:lineRule="exact"/>
              <w:ind w:left="144"/>
              <w:rPr>
                <w:sz w:val="15"/>
              </w:rPr>
            </w:pPr>
            <w:r>
              <w:rPr>
                <w:sz w:val="15"/>
              </w:rPr>
              <w:t>-313.137</w:t>
            </w:r>
          </w:p>
        </w:tc>
      </w:tr>
    </w:tbl>
    <w:p>
      <w:pPr>
        <w:tabs>
          <w:tab w:pos="4617" w:val="left" w:leader="none"/>
          <w:tab w:pos="5568" w:val="left" w:leader="none"/>
          <w:tab w:pos="6522" w:val="left" w:leader="none"/>
          <w:tab w:pos="7516" w:val="left" w:leader="none"/>
        </w:tabs>
        <w:spacing w:before="2"/>
        <w:ind w:left="3217" w:right="0" w:firstLine="0"/>
        <w:jc w:val="left"/>
        <w:rPr>
          <w:sz w:val="15"/>
        </w:rPr>
      </w:pPr>
      <w:r>
        <w:rPr>
          <w:w w:val="100"/>
          <w:sz w:val="15"/>
          <w:u w:val="single"/>
        </w:rPr>
        <w:t> </w:t>
      </w:r>
      <w:r>
        <w:rPr>
          <w:sz w:val="15"/>
          <w:u w:val="single"/>
        </w:rPr>
        <w:t>  REF</w:t>
        <w:tab/>
        <w:t>-1.138.156</w:t>
        <w:tab/>
        <w:t>-2.616.077</w:t>
        <w:tab/>
        <w:t>-3.085.021</w:t>
        <w:tab/>
        <w:t>391.567</w:t>
      </w:r>
      <w:r>
        <w:rPr>
          <w:spacing w:val="-10"/>
          <w:sz w:val="15"/>
          <w:u w:val="single"/>
        </w:rPr>
        <w:t> </w:t>
      </w:r>
    </w:p>
    <w:p>
      <w:pPr>
        <w:pStyle w:val="BodyText"/>
        <w:spacing w:before="4"/>
        <w:rPr>
          <w:sz w:val="12"/>
        </w:rPr>
      </w:pPr>
    </w:p>
    <w:p>
      <w:pPr>
        <w:pStyle w:val="Heading1"/>
        <w:numPr>
          <w:ilvl w:val="3"/>
          <w:numId w:val="10"/>
        </w:numPr>
        <w:tabs>
          <w:tab w:pos="2768" w:val="left" w:leader="none"/>
        </w:tabs>
        <w:spacing w:line="240" w:lineRule="auto" w:before="61" w:after="0"/>
        <w:ind w:left="2767" w:right="0" w:hanging="672"/>
        <w:jc w:val="left"/>
      </w:pPr>
      <w:r>
        <w:rPr/>
        <w:t>Antigüedad de los derechos pendientes de</w:t>
      </w:r>
      <w:r>
        <w:rPr>
          <w:spacing w:val="1"/>
        </w:rPr>
        <w:t> </w:t>
      </w:r>
      <w:r>
        <w:rPr/>
        <w:t>cobro.</w:t>
      </w:r>
    </w:p>
    <w:p>
      <w:pPr>
        <w:pStyle w:val="BodyText"/>
        <w:spacing w:before="7"/>
        <w:rPr>
          <w:b/>
          <w:sz w:val="16"/>
        </w:rPr>
      </w:pPr>
    </w:p>
    <w:p>
      <w:pPr>
        <w:pStyle w:val="BodyText"/>
        <w:spacing w:line="242" w:lineRule="auto"/>
        <w:ind w:left="2096" w:right="1137" w:firstLine="594"/>
        <w:jc w:val="both"/>
      </w:pPr>
      <w:r>
        <w:rPr/>
        <w:t>El total del saldo pendiente de cobro de los capítulos I al III, en función del año de</w:t>
      </w:r>
      <w:r>
        <w:rPr>
          <w:spacing w:val="-6"/>
        </w:rPr>
        <w:t> </w:t>
      </w:r>
      <w:r>
        <w:rPr/>
        <w:t>contraído,</w:t>
      </w:r>
      <w:r>
        <w:rPr>
          <w:spacing w:val="-7"/>
        </w:rPr>
        <w:t> </w:t>
      </w:r>
      <w:r>
        <w:rPr/>
        <w:t>asciende</w:t>
      </w:r>
      <w:r>
        <w:rPr>
          <w:spacing w:val="-8"/>
        </w:rPr>
        <w:t> </w:t>
      </w:r>
      <w:r>
        <w:rPr/>
        <w:t>a</w:t>
      </w:r>
      <w:r>
        <w:rPr>
          <w:spacing w:val="-7"/>
        </w:rPr>
        <w:t> </w:t>
      </w:r>
      <w:r>
        <w:rPr/>
        <w:t>29,9</w:t>
      </w:r>
      <w:r>
        <w:rPr>
          <w:spacing w:val="-8"/>
        </w:rPr>
        <w:t> </w:t>
      </w:r>
      <w:r>
        <w:rPr/>
        <w:t>millones</w:t>
      </w:r>
      <w:r>
        <w:rPr>
          <w:spacing w:val="-7"/>
        </w:rPr>
        <w:t> </w:t>
      </w:r>
      <w:r>
        <w:rPr/>
        <w:t>de</w:t>
      </w:r>
      <w:r>
        <w:rPr>
          <w:spacing w:val="-7"/>
        </w:rPr>
        <w:t> </w:t>
      </w:r>
      <w:r>
        <w:rPr/>
        <w:t>€,</w:t>
      </w:r>
      <w:r>
        <w:rPr>
          <w:spacing w:val="-7"/>
        </w:rPr>
        <w:t> </w:t>
      </w:r>
      <w:r>
        <w:rPr/>
        <w:t>del</w:t>
      </w:r>
      <w:r>
        <w:rPr>
          <w:spacing w:val="-8"/>
        </w:rPr>
        <w:t> </w:t>
      </w:r>
      <w:r>
        <w:rPr/>
        <w:t>cual</w:t>
      </w:r>
      <w:r>
        <w:rPr>
          <w:spacing w:val="-5"/>
        </w:rPr>
        <w:t> </w:t>
      </w:r>
      <w:r>
        <w:rPr/>
        <w:t>el</w:t>
      </w:r>
      <w:r>
        <w:rPr>
          <w:spacing w:val="-8"/>
        </w:rPr>
        <w:t> </w:t>
      </w:r>
      <w:r>
        <w:rPr/>
        <w:t>58,74</w:t>
      </w:r>
      <w:r>
        <w:rPr>
          <w:spacing w:val="-5"/>
        </w:rPr>
        <w:t> </w:t>
      </w:r>
      <w:r>
        <w:rPr/>
        <w:t>%</w:t>
      </w:r>
      <w:r>
        <w:rPr>
          <w:spacing w:val="-7"/>
        </w:rPr>
        <w:t> </w:t>
      </w:r>
      <w:r>
        <w:rPr/>
        <w:t>corresponde</w:t>
      </w:r>
      <w:r>
        <w:rPr>
          <w:spacing w:val="-5"/>
        </w:rPr>
        <w:t> </w:t>
      </w:r>
      <w:r>
        <w:rPr/>
        <w:t>a</w:t>
      </w:r>
      <w:r>
        <w:rPr>
          <w:spacing w:val="-8"/>
        </w:rPr>
        <w:t> </w:t>
      </w:r>
      <w:r>
        <w:rPr/>
        <w:t>impuestos directos, según se detalla en el siguiente</w:t>
      </w:r>
      <w:r>
        <w:rPr>
          <w:spacing w:val="2"/>
        </w:rPr>
        <w:t> </w:t>
      </w:r>
      <w:r>
        <w:rPr/>
        <w:t>cuadro:</w:t>
      </w:r>
    </w:p>
    <w:p>
      <w:pPr>
        <w:pStyle w:val="BodyText"/>
      </w:pPr>
    </w:p>
    <w:p>
      <w:pPr>
        <w:pStyle w:val="BodyText"/>
        <w:spacing w:before="12"/>
        <w:rPr>
          <w:sz w:val="18"/>
        </w:rPr>
      </w:pPr>
      <w:r>
        <w:rPr/>
        <w:pict>
          <v:shape style="position:absolute;margin-left:142.816818pt;margin-top:13.888542pt;width:120.95pt;height:.1pt;mso-position-horizontal-relative:page;mso-position-vertical-relative:paragraph;z-index:-251507712;mso-wrap-distance-left:0;mso-wrap-distance-right:0" coordorigin="2856,278" coordsize="2419,0" path="m2856,278l5275,278e" filled="false" stroked="true" strokeweight=".604535pt" strokecolor="#000000">
            <v:path arrowok="t"/>
            <v:stroke dashstyle="solid"/>
            <w10:wrap type="topAndBottom"/>
          </v:shape>
        </w:pict>
      </w:r>
    </w:p>
    <w:p>
      <w:pPr>
        <w:spacing w:before="51"/>
        <w:ind w:left="2096" w:right="0" w:firstLine="0"/>
        <w:jc w:val="left"/>
        <w:rPr>
          <w:sz w:val="16"/>
        </w:rPr>
      </w:pPr>
      <w:r>
        <w:rPr>
          <w:w w:val="105"/>
          <w:position w:val="6"/>
          <w:sz w:val="11"/>
        </w:rPr>
        <w:t>9 </w:t>
      </w:r>
      <w:r>
        <w:rPr>
          <w:w w:val="105"/>
          <w:sz w:val="16"/>
        </w:rPr>
        <w:t>Informe nº 24/2023: Ajuste de los derechos pendientes de cobro. Ejercicio 2022.</w:t>
      </w:r>
    </w:p>
    <w:p>
      <w:pPr>
        <w:pStyle w:val="BodyText"/>
        <w:spacing w:before="2"/>
        <w:ind w:left="9035"/>
      </w:pPr>
      <w:r>
        <w:rPr/>
        <w:t>46</w:t>
      </w:r>
    </w:p>
    <w:p>
      <w:pPr>
        <w:pStyle w:val="Heading1"/>
        <w:spacing w:before="2"/>
        <w:ind w:left="5192"/>
        <w:jc w:val="left"/>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03" name="image5.png"/>
                  <wp:cNvGraphicFramePr>
                    <a:graphicFrameLocks noChangeAspect="1"/>
                  </wp:cNvGraphicFramePr>
                  <a:graphic>
                    <a:graphicData uri="http://schemas.openxmlformats.org/drawingml/2006/picture">
                      <pic:pic>
                        <pic:nvPicPr>
                          <pic:cNvPr id="10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48/247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5"/>
        <w:rPr>
          <w:b/>
          <w:sz w:val="14"/>
        </w:rPr>
      </w:pPr>
    </w:p>
    <w:tbl>
      <w:tblPr>
        <w:tblW w:w="0" w:type="auto"/>
        <w:jc w:val="left"/>
        <w:tblInd w:w="2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1"/>
        <w:gridCol w:w="1277"/>
        <w:gridCol w:w="1088"/>
        <w:gridCol w:w="1152"/>
        <w:gridCol w:w="1484"/>
      </w:tblGrid>
      <w:tr>
        <w:trPr>
          <w:trHeight w:val="736" w:hRule="atLeast"/>
        </w:trPr>
        <w:tc>
          <w:tcPr>
            <w:tcW w:w="5872" w:type="dxa"/>
            <w:gridSpan w:val="5"/>
            <w:tcBorders>
              <w:top w:val="single" w:sz="4" w:space="0" w:color="000000"/>
            </w:tcBorders>
            <w:shd w:val="clear" w:color="auto" w:fill="DEEAF6"/>
          </w:tcPr>
          <w:p>
            <w:pPr>
              <w:pStyle w:val="TableParagraph"/>
              <w:tabs>
                <w:tab w:pos="933" w:val="left" w:leader="none"/>
                <w:tab w:pos="2311" w:val="left" w:leader="none"/>
                <w:tab w:pos="3353" w:val="left" w:leader="none"/>
                <w:tab w:pos="3414" w:val="left" w:leader="none"/>
                <w:tab w:pos="4720" w:val="left" w:leader="none"/>
                <w:tab w:pos="5016" w:val="left" w:leader="none"/>
              </w:tabs>
              <w:spacing w:line="163" w:lineRule="auto" w:before="47"/>
              <w:ind w:left="288" w:right="154" w:firstLine="871"/>
              <w:rPr>
                <w:b/>
                <w:sz w:val="15"/>
              </w:rPr>
            </w:pPr>
            <w:r>
              <w:rPr>
                <w:b/>
                <w:sz w:val="15"/>
              </w:rPr>
              <w:t>Impuestos</w:t>
              <w:tab/>
              <w:t>Impuestos</w:t>
              <w:tab/>
              <w:tab/>
            </w:r>
            <w:r>
              <w:rPr>
                <w:b/>
                <w:position w:val="9"/>
                <w:sz w:val="15"/>
              </w:rPr>
              <w:t>Tasas,</w:t>
            </w:r>
            <w:r>
              <w:rPr>
                <w:b/>
                <w:spacing w:val="-2"/>
                <w:position w:val="9"/>
                <w:sz w:val="15"/>
              </w:rPr>
              <w:t> </w:t>
            </w:r>
            <w:r>
              <w:rPr>
                <w:b/>
                <w:position w:val="9"/>
                <w:sz w:val="15"/>
              </w:rPr>
              <w:t>precios</w:t>
              <w:tab/>
            </w:r>
            <w:r>
              <w:rPr>
                <w:b/>
                <w:sz w:val="15"/>
              </w:rPr>
              <w:t>Total </w:t>
            </w:r>
            <w:r>
              <w:rPr>
                <w:b/>
                <w:spacing w:val="-3"/>
                <w:sz w:val="15"/>
              </w:rPr>
              <w:t>pendiente </w:t>
            </w:r>
            <w:r>
              <w:rPr>
                <w:b/>
                <w:sz w:val="15"/>
              </w:rPr>
              <w:t>Año</w:t>
              <w:tab/>
              <w:t>directos (Capítulo</w:t>
              <w:tab/>
              <w:t>indirectos</w:t>
              <w:tab/>
            </w:r>
            <w:r>
              <w:rPr>
                <w:b/>
                <w:position w:val="9"/>
                <w:sz w:val="15"/>
              </w:rPr>
              <w:t>públicos</w:t>
            </w:r>
            <w:r>
              <w:rPr>
                <w:b/>
                <w:spacing w:val="-1"/>
                <w:position w:val="9"/>
                <w:sz w:val="15"/>
              </w:rPr>
              <w:t> </w:t>
            </w:r>
            <w:r>
              <w:rPr>
                <w:b/>
                <w:position w:val="9"/>
                <w:sz w:val="15"/>
              </w:rPr>
              <w:t>y</w:t>
            </w:r>
            <w:r>
              <w:rPr>
                <w:b/>
                <w:spacing w:val="1"/>
                <w:position w:val="9"/>
                <w:sz w:val="15"/>
              </w:rPr>
              <w:t> </w:t>
            </w:r>
            <w:r>
              <w:rPr>
                <w:b/>
                <w:position w:val="9"/>
                <w:sz w:val="15"/>
              </w:rPr>
              <w:t>otros</w:t>
              <w:tab/>
              <w:tab/>
            </w:r>
            <w:r>
              <w:rPr>
                <w:b/>
                <w:sz w:val="15"/>
              </w:rPr>
              <w:t>cobro.</w:t>
            </w:r>
          </w:p>
          <w:p>
            <w:pPr>
              <w:pStyle w:val="TableParagraph"/>
              <w:tabs>
                <w:tab w:pos="2273" w:val="left" w:leader="none"/>
                <w:tab w:pos="3285" w:val="left" w:leader="none"/>
                <w:tab w:pos="4660" w:val="left" w:leader="none"/>
              </w:tabs>
              <w:spacing w:line="123" w:lineRule="exact"/>
              <w:ind w:left="1443"/>
              <w:rPr>
                <w:b/>
                <w:sz w:val="15"/>
              </w:rPr>
            </w:pPr>
            <w:r>
              <w:rPr>
                <w:b/>
                <w:sz w:val="15"/>
              </w:rPr>
              <w:t>I)</w:t>
              <w:tab/>
              <w:t>(Capítulo</w:t>
            </w:r>
            <w:r>
              <w:rPr>
                <w:b/>
                <w:spacing w:val="-1"/>
                <w:sz w:val="15"/>
              </w:rPr>
              <w:t> </w:t>
            </w:r>
            <w:r>
              <w:rPr>
                <w:b/>
                <w:sz w:val="15"/>
              </w:rPr>
              <w:t>II)</w:t>
              <w:tab/>
            </w:r>
            <w:r>
              <w:rPr>
                <w:b/>
                <w:position w:val="9"/>
                <w:sz w:val="15"/>
              </w:rPr>
              <w:t>ingresos</w:t>
            </w:r>
            <w:r>
              <w:rPr>
                <w:b/>
                <w:spacing w:val="1"/>
                <w:position w:val="9"/>
                <w:sz w:val="15"/>
              </w:rPr>
              <w:t> </w:t>
            </w:r>
            <w:r>
              <w:rPr>
                <w:b/>
                <w:position w:val="9"/>
                <w:sz w:val="15"/>
              </w:rPr>
              <w:t>(Capítulo</w:t>
              <w:tab/>
            </w:r>
            <w:r>
              <w:rPr>
                <w:b/>
                <w:sz w:val="15"/>
              </w:rPr>
              <w:t>Capítulos I, II y</w:t>
            </w:r>
            <w:r>
              <w:rPr>
                <w:b/>
                <w:spacing w:val="2"/>
                <w:sz w:val="15"/>
              </w:rPr>
              <w:t> </w:t>
            </w:r>
            <w:r>
              <w:rPr>
                <w:b/>
                <w:sz w:val="15"/>
              </w:rPr>
              <w:t>III.</w:t>
            </w:r>
          </w:p>
          <w:p>
            <w:pPr>
              <w:pStyle w:val="TableParagraph"/>
              <w:spacing w:line="117" w:lineRule="exact"/>
              <w:ind w:left="3764"/>
              <w:rPr>
                <w:b/>
                <w:sz w:val="15"/>
              </w:rPr>
            </w:pPr>
            <w:r>
              <w:rPr>
                <w:b/>
                <w:sz w:val="15"/>
              </w:rPr>
              <w:t>III)</w:t>
            </w:r>
          </w:p>
        </w:tc>
      </w:tr>
      <w:tr>
        <w:trPr>
          <w:trHeight w:val="198" w:hRule="atLeast"/>
        </w:trPr>
        <w:tc>
          <w:tcPr>
            <w:tcW w:w="871" w:type="dxa"/>
          </w:tcPr>
          <w:p>
            <w:pPr>
              <w:pStyle w:val="TableParagraph"/>
              <w:spacing w:line="177" w:lineRule="exact" w:before="2"/>
              <w:ind w:left="261"/>
              <w:rPr>
                <w:sz w:val="15"/>
              </w:rPr>
            </w:pPr>
            <w:r>
              <w:rPr>
                <w:sz w:val="15"/>
              </w:rPr>
              <w:t>1987</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77" w:lineRule="exact" w:before="2"/>
              <w:ind w:right="270"/>
              <w:jc w:val="right"/>
              <w:rPr>
                <w:sz w:val="15"/>
              </w:rPr>
            </w:pPr>
            <w:r>
              <w:rPr>
                <w:sz w:val="15"/>
              </w:rPr>
              <w:t>931,57</w:t>
            </w:r>
          </w:p>
        </w:tc>
        <w:tc>
          <w:tcPr>
            <w:tcW w:w="1484" w:type="dxa"/>
          </w:tcPr>
          <w:p>
            <w:pPr>
              <w:pStyle w:val="TableParagraph"/>
              <w:spacing w:line="177" w:lineRule="exact" w:before="2"/>
              <w:ind w:right="327"/>
              <w:jc w:val="right"/>
              <w:rPr>
                <w:sz w:val="15"/>
              </w:rPr>
            </w:pPr>
            <w:r>
              <w:rPr>
                <w:sz w:val="15"/>
              </w:rPr>
              <w:t>931,57</w:t>
            </w:r>
          </w:p>
        </w:tc>
      </w:tr>
      <w:tr>
        <w:trPr>
          <w:trHeight w:val="184" w:hRule="atLeast"/>
        </w:trPr>
        <w:tc>
          <w:tcPr>
            <w:tcW w:w="871" w:type="dxa"/>
          </w:tcPr>
          <w:p>
            <w:pPr>
              <w:pStyle w:val="TableParagraph"/>
              <w:spacing w:line="164" w:lineRule="exact"/>
              <w:ind w:left="261"/>
              <w:rPr>
                <w:sz w:val="15"/>
              </w:rPr>
            </w:pPr>
            <w:r>
              <w:rPr>
                <w:sz w:val="15"/>
              </w:rPr>
              <w:t>1988</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631,05</w:t>
            </w:r>
          </w:p>
        </w:tc>
        <w:tc>
          <w:tcPr>
            <w:tcW w:w="1484" w:type="dxa"/>
          </w:tcPr>
          <w:p>
            <w:pPr>
              <w:pStyle w:val="TableParagraph"/>
              <w:spacing w:line="164" w:lineRule="exact"/>
              <w:ind w:right="327"/>
              <w:jc w:val="right"/>
              <w:rPr>
                <w:sz w:val="15"/>
              </w:rPr>
            </w:pPr>
            <w:r>
              <w:rPr>
                <w:sz w:val="15"/>
              </w:rPr>
              <w:t>631,05</w:t>
            </w:r>
          </w:p>
        </w:tc>
      </w:tr>
      <w:tr>
        <w:trPr>
          <w:trHeight w:val="185" w:hRule="atLeast"/>
        </w:trPr>
        <w:tc>
          <w:tcPr>
            <w:tcW w:w="871" w:type="dxa"/>
          </w:tcPr>
          <w:p>
            <w:pPr>
              <w:pStyle w:val="TableParagraph"/>
              <w:spacing w:line="165" w:lineRule="exact"/>
              <w:ind w:left="261"/>
              <w:rPr>
                <w:sz w:val="15"/>
              </w:rPr>
            </w:pPr>
            <w:r>
              <w:rPr>
                <w:sz w:val="15"/>
              </w:rPr>
              <w:t>1989</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5" w:lineRule="exact"/>
              <w:ind w:right="270"/>
              <w:jc w:val="right"/>
              <w:rPr>
                <w:sz w:val="15"/>
              </w:rPr>
            </w:pPr>
            <w:r>
              <w:rPr>
                <w:sz w:val="15"/>
              </w:rPr>
              <w:t>2.026,57</w:t>
            </w:r>
          </w:p>
        </w:tc>
        <w:tc>
          <w:tcPr>
            <w:tcW w:w="1484" w:type="dxa"/>
          </w:tcPr>
          <w:p>
            <w:pPr>
              <w:pStyle w:val="TableParagraph"/>
              <w:spacing w:line="165" w:lineRule="exact"/>
              <w:ind w:right="327"/>
              <w:jc w:val="right"/>
              <w:rPr>
                <w:sz w:val="15"/>
              </w:rPr>
            </w:pPr>
            <w:r>
              <w:rPr>
                <w:sz w:val="15"/>
              </w:rPr>
              <w:t>2.026,57</w:t>
            </w:r>
          </w:p>
        </w:tc>
      </w:tr>
      <w:tr>
        <w:trPr>
          <w:trHeight w:val="184" w:hRule="atLeast"/>
        </w:trPr>
        <w:tc>
          <w:tcPr>
            <w:tcW w:w="871" w:type="dxa"/>
          </w:tcPr>
          <w:p>
            <w:pPr>
              <w:pStyle w:val="TableParagraph"/>
              <w:spacing w:line="164" w:lineRule="exact"/>
              <w:ind w:left="261"/>
              <w:rPr>
                <w:sz w:val="15"/>
              </w:rPr>
            </w:pPr>
            <w:r>
              <w:rPr>
                <w:sz w:val="15"/>
              </w:rPr>
              <w:t>1990</w:t>
            </w:r>
          </w:p>
        </w:tc>
        <w:tc>
          <w:tcPr>
            <w:tcW w:w="1277" w:type="dxa"/>
          </w:tcPr>
          <w:p>
            <w:pPr>
              <w:pStyle w:val="TableParagraph"/>
              <w:spacing w:line="164" w:lineRule="exact"/>
              <w:ind w:right="92"/>
              <w:jc w:val="right"/>
              <w:rPr>
                <w:sz w:val="15"/>
              </w:rPr>
            </w:pPr>
            <w:r>
              <w:rPr>
                <w:sz w:val="15"/>
              </w:rPr>
              <w:t>649,18</w:t>
            </w: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5.048,47</w:t>
            </w:r>
          </w:p>
        </w:tc>
        <w:tc>
          <w:tcPr>
            <w:tcW w:w="1484" w:type="dxa"/>
          </w:tcPr>
          <w:p>
            <w:pPr>
              <w:pStyle w:val="TableParagraph"/>
              <w:spacing w:line="164" w:lineRule="exact"/>
              <w:ind w:right="327"/>
              <w:jc w:val="right"/>
              <w:rPr>
                <w:sz w:val="15"/>
              </w:rPr>
            </w:pPr>
            <w:r>
              <w:rPr>
                <w:sz w:val="15"/>
              </w:rPr>
              <w:t>5.697,65</w:t>
            </w:r>
          </w:p>
        </w:tc>
      </w:tr>
      <w:tr>
        <w:trPr>
          <w:trHeight w:val="184" w:hRule="atLeast"/>
        </w:trPr>
        <w:tc>
          <w:tcPr>
            <w:tcW w:w="871" w:type="dxa"/>
          </w:tcPr>
          <w:p>
            <w:pPr>
              <w:pStyle w:val="TableParagraph"/>
              <w:spacing w:line="164" w:lineRule="exact"/>
              <w:ind w:left="261"/>
              <w:rPr>
                <w:sz w:val="15"/>
              </w:rPr>
            </w:pPr>
            <w:r>
              <w:rPr>
                <w:sz w:val="15"/>
              </w:rPr>
              <w:t>1991</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60,10</w:t>
            </w:r>
          </w:p>
        </w:tc>
        <w:tc>
          <w:tcPr>
            <w:tcW w:w="1484" w:type="dxa"/>
          </w:tcPr>
          <w:p>
            <w:pPr>
              <w:pStyle w:val="TableParagraph"/>
              <w:spacing w:line="164" w:lineRule="exact"/>
              <w:ind w:right="327"/>
              <w:jc w:val="right"/>
              <w:rPr>
                <w:sz w:val="15"/>
              </w:rPr>
            </w:pPr>
            <w:r>
              <w:rPr>
                <w:sz w:val="15"/>
              </w:rPr>
              <w:t>60,10</w:t>
            </w:r>
          </w:p>
        </w:tc>
      </w:tr>
      <w:tr>
        <w:trPr>
          <w:trHeight w:val="184" w:hRule="atLeast"/>
        </w:trPr>
        <w:tc>
          <w:tcPr>
            <w:tcW w:w="871" w:type="dxa"/>
          </w:tcPr>
          <w:p>
            <w:pPr>
              <w:pStyle w:val="TableParagraph"/>
              <w:spacing w:line="164" w:lineRule="exact"/>
              <w:ind w:left="261"/>
              <w:rPr>
                <w:sz w:val="15"/>
              </w:rPr>
            </w:pPr>
            <w:r>
              <w:rPr>
                <w:sz w:val="15"/>
              </w:rPr>
              <w:t>1992</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2.343,90</w:t>
            </w:r>
          </w:p>
        </w:tc>
        <w:tc>
          <w:tcPr>
            <w:tcW w:w="1484" w:type="dxa"/>
          </w:tcPr>
          <w:p>
            <w:pPr>
              <w:pStyle w:val="TableParagraph"/>
              <w:spacing w:line="164" w:lineRule="exact"/>
              <w:ind w:right="327"/>
              <w:jc w:val="right"/>
              <w:rPr>
                <w:sz w:val="15"/>
              </w:rPr>
            </w:pPr>
            <w:r>
              <w:rPr>
                <w:sz w:val="15"/>
              </w:rPr>
              <w:t>2.343,90</w:t>
            </w:r>
          </w:p>
        </w:tc>
      </w:tr>
      <w:tr>
        <w:trPr>
          <w:trHeight w:val="184" w:hRule="atLeast"/>
        </w:trPr>
        <w:tc>
          <w:tcPr>
            <w:tcW w:w="871" w:type="dxa"/>
          </w:tcPr>
          <w:p>
            <w:pPr>
              <w:pStyle w:val="TableParagraph"/>
              <w:spacing w:line="164" w:lineRule="exact"/>
              <w:ind w:left="261"/>
              <w:rPr>
                <w:sz w:val="15"/>
              </w:rPr>
            </w:pPr>
            <w:r>
              <w:rPr>
                <w:sz w:val="15"/>
              </w:rPr>
              <w:t>1993</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2.905,96</w:t>
            </w:r>
          </w:p>
        </w:tc>
        <w:tc>
          <w:tcPr>
            <w:tcW w:w="1484" w:type="dxa"/>
          </w:tcPr>
          <w:p>
            <w:pPr>
              <w:pStyle w:val="TableParagraph"/>
              <w:spacing w:line="164" w:lineRule="exact"/>
              <w:ind w:right="327"/>
              <w:jc w:val="right"/>
              <w:rPr>
                <w:sz w:val="15"/>
              </w:rPr>
            </w:pPr>
            <w:r>
              <w:rPr>
                <w:sz w:val="15"/>
              </w:rPr>
              <w:t>2.905,96</w:t>
            </w:r>
          </w:p>
        </w:tc>
      </w:tr>
      <w:tr>
        <w:trPr>
          <w:trHeight w:val="184" w:hRule="atLeast"/>
        </w:trPr>
        <w:tc>
          <w:tcPr>
            <w:tcW w:w="871" w:type="dxa"/>
          </w:tcPr>
          <w:p>
            <w:pPr>
              <w:pStyle w:val="TableParagraph"/>
              <w:spacing w:line="164" w:lineRule="exact"/>
              <w:ind w:left="261"/>
              <w:rPr>
                <w:sz w:val="15"/>
              </w:rPr>
            </w:pPr>
            <w:r>
              <w:rPr>
                <w:sz w:val="15"/>
              </w:rPr>
              <w:t>1994</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12.699,05</w:t>
            </w:r>
          </w:p>
        </w:tc>
        <w:tc>
          <w:tcPr>
            <w:tcW w:w="1484" w:type="dxa"/>
          </w:tcPr>
          <w:p>
            <w:pPr>
              <w:pStyle w:val="TableParagraph"/>
              <w:spacing w:line="164" w:lineRule="exact"/>
              <w:ind w:right="327"/>
              <w:jc w:val="right"/>
              <w:rPr>
                <w:sz w:val="15"/>
              </w:rPr>
            </w:pPr>
            <w:r>
              <w:rPr>
                <w:sz w:val="15"/>
              </w:rPr>
              <w:t>12.699,05</w:t>
            </w:r>
          </w:p>
        </w:tc>
      </w:tr>
      <w:tr>
        <w:trPr>
          <w:trHeight w:val="184" w:hRule="atLeast"/>
        </w:trPr>
        <w:tc>
          <w:tcPr>
            <w:tcW w:w="871" w:type="dxa"/>
          </w:tcPr>
          <w:p>
            <w:pPr>
              <w:pStyle w:val="TableParagraph"/>
              <w:spacing w:line="164" w:lineRule="exact"/>
              <w:ind w:left="261"/>
              <w:rPr>
                <w:sz w:val="15"/>
              </w:rPr>
            </w:pPr>
            <w:r>
              <w:rPr>
                <w:sz w:val="15"/>
              </w:rPr>
              <w:t>1995</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9.979,38</w:t>
            </w:r>
          </w:p>
        </w:tc>
        <w:tc>
          <w:tcPr>
            <w:tcW w:w="1484" w:type="dxa"/>
          </w:tcPr>
          <w:p>
            <w:pPr>
              <w:pStyle w:val="TableParagraph"/>
              <w:spacing w:line="164" w:lineRule="exact"/>
              <w:ind w:right="327"/>
              <w:jc w:val="right"/>
              <w:rPr>
                <w:sz w:val="15"/>
              </w:rPr>
            </w:pPr>
            <w:r>
              <w:rPr>
                <w:sz w:val="15"/>
              </w:rPr>
              <w:t>9.979,38</w:t>
            </w:r>
          </w:p>
        </w:tc>
      </w:tr>
      <w:tr>
        <w:trPr>
          <w:trHeight w:val="184" w:hRule="atLeast"/>
        </w:trPr>
        <w:tc>
          <w:tcPr>
            <w:tcW w:w="871" w:type="dxa"/>
          </w:tcPr>
          <w:p>
            <w:pPr>
              <w:pStyle w:val="TableParagraph"/>
              <w:spacing w:line="165" w:lineRule="exact"/>
              <w:ind w:left="261"/>
              <w:rPr>
                <w:sz w:val="15"/>
              </w:rPr>
            </w:pPr>
            <w:r>
              <w:rPr>
                <w:sz w:val="15"/>
              </w:rPr>
              <w:t>1996</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5" w:lineRule="exact"/>
              <w:ind w:right="270"/>
              <w:jc w:val="right"/>
              <w:rPr>
                <w:sz w:val="15"/>
              </w:rPr>
            </w:pPr>
            <w:r>
              <w:rPr>
                <w:sz w:val="15"/>
              </w:rPr>
              <w:t>17.911,97</w:t>
            </w:r>
          </w:p>
        </w:tc>
        <w:tc>
          <w:tcPr>
            <w:tcW w:w="1484" w:type="dxa"/>
          </w:tcPr>
          <w:p>
            <w:pPr>
              <w:pStyle w:val="TableParagraph"/>
              <w:spacing w:line="165" w:lineRule="exact"/>
              <w:ind w:right="327"/>
              <w:jc w:val="right"/>
              <w:rPr>
                <w:sz w:val="15"/>
              </w:rPr>
            </w:pPr>
            <w:r>
              <w:rPr>
                <w:sz w:val="15"/>
              </w:rPr>
              <w:t>17.911,97</w:t>
            </w:r>
          </w:p>
        </w:tc>
      </w:tr>
      <w:tr>
        <w:trPr>
          <w:trHeight w:val="184" w:hRule="atLeast"/>
        </w:trPr>
        <w:tc>
          <w:tcPr>
            <w:tcW w:w="871" w:type="dxa"/>
          </w:tcPr>
          <w:p>
            <w:pPr>
              <w:pStyle w:val="TableParagraph"/>
              <w:spacing w:line="165" w:lineRule="exact"/>
              <w:ind w:left="261"/>
              <w:rPr>
                <w:sz w:val="15"/>
              </w:rPr>
            </w:pPr>
            <w:r>
              <w:rPr>
                <w:sz w:val="15"/>
              </w:rPr>
              <w:t>1997</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5" w:lineRule="exact"/>
              <w:ind w:right="270"/>
              <w:jc w:val="right"/>
              <w:rPr>
                <w:sz w:val="15"/>
              </w:rPr>
            </w:pPr>
            <w:r>
              <w:rPr>
                <w:sz w:val="15"/>
              </w:rPr>
              <w:t>1.460,46</w:t>
            </w:r>
          </w:p>
        </w:tc>
        <w:tc>
          <w:tcPr>
            <w:tcW w:w="1484" w:type="dxa"/>
          </w:tcPr>
          <w:p>
            <w:pPr>
              <w:pStyle w:val="TableParagraph"/>
              <w:spacing w:line="165" w:lineRule="exact"/>
              <w:ind w:right="327"/>
              <w:jc w:val="right"/>
              <w:rPr>
                <w:sz w:val="15"/>
              </w:rPr>
            </w:pPr>
            <w:r>
              <w:rPr>
                <w:sz w:val="15"/>
              </w:rPr>
              <w:t>1.460,46</w:t>
            </w:r>
          </w:p>
        </w:tc>
      </w:tr>
      <w:tr>
        <w:trPr>
          <w:trHeight w:val="185" w:hRule="atLeast"/>
        </w:trPr>
        <w:tc>
          <w:tcPr>
            <w:tcW w:w="871" w:type="dxa"/>
          </w:tcPr>
          <w:p>
            <w:pPr>
              <w:pStyle w:val="TableParagraph"/>
              <w:spacing w:line="165" w:lineRule="exact"/>
              <w:ind w:left="261"/>
              <w:rPr>
                <w:sz w:val="15"/>
              </w:rPr>
            </w:pPr>
            <w:r>
              <w:rPr>
                <w:sz w:val="15"/>
              </w:rPr>
              <w:t>1998</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5" w:lineRule="exact"/>
              <w:ind w:right="270"/>
              <w:jc w:val="right"/>
              <w:rPr>
                <w:sz w:val="15"/>
              </w:rPr>
            </w:pPr>
            <w:r>
              <w:rPr>
                <w:sz w:val="15"/>
              </w:rPr>
              <w:t>2.163,81</w:t>
            </w:r>
          </w:p>
        </w:tc>
        <w:tc>
          <w:tcPr>
            <w:tcW w:w="1484" w:type="dxa"/>
          </w:tcPr>
          <w:p>
            <w:pPr>
              <w:pStyle w:val="TableParagraph"/>
              <w:spacing w:line="165" w:lineRule="exact"/>
              <w:ind w:right="327"/>
              <w:jc w:val="right"/>
              <w:rPr>
                <w:sz w:val="15"/>
              </w:rPr>
            </w:pPr>
            <w:r>
              <w:rPr>
                <w:sz w:val="15"/>
              </w:rPr>
              <w:t>2.163,81</w:t>
            </w:r>
          </w:p>
        </w:tc>
      </w:tr>
      <w:tr>
        <w:trPr>
          <w:trHeight w:val="184" w:hRule="atLeast"/>
        </w:trPr>
        <w:tc>
          <w:tcPr>
            <w:tcW w:w="871" w:type="dxa"/>
          </w:tcPr>
          <w:p>
            <w:pPr>
              <w:pStyle w:val="TableParagraph"/>
              <w:spacing w:line="164" w:lineRule="exact"/>
              <w:ind w:left="261"/>
              <w:rPr>
                <w:sz w:val="15"/>
              </w:rPr>
            </w:pPr>
            <w:r>
              <w:rPr>
                <w:sz w:val="15"/>
              </w:rPr>
              <w:t>1999</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65.979,81</w:t>
            </w:r>
          </w:p>
        </w:tc>
        <w:tc>
          <w:tcPr>
            <w:tcW w:w="1484" w:type="dxa"/>
          </w:tcPr>
          <w:p>
            <w:pPr>
              <w:pStyle w:val="TableParagraph"/>
              <w:spacing w:line="164" w:lineRule="exact"/>
              <w:ind w:right="327"/>
              <w:jc w:val="right"/>
              <w:rPr>
                <w:sz w:val="15"/>
              </w:rPr>
            </w:pPr>
            <w:r>
              <w:rPr>
                <w:sz w:val="15"/>
              </w:rPr>
              <w:t>65.979,81</w:t>
            </w:r>
          </w:p>
        </w:tc>
      </w:tr>
      <w:tr>
        <w:trPr>
          <w:trHeight w:val="184" w:hRule="atLeast"/>
        </w:trPr>
        <w:tc>
          <w:tcPr>
            <w:tcW w:w="871" w:type="dxa"/>
          </w:tcPr>
          <w:p>
            <w:pPr>
              <w:pStyle w:val="TableParagraph"/>
              <w:spacing w:line="164" w:lineRule="exact"/>
              <w:ind w:left="261"/>
              <w:rPr>
                <w:sz w:val="15"/>
              </w:rPr>
            </w:pPr>
            <w:r>
              <w:rPr>
                <w:sz w:val="15"/>
              </w:rPr>
              <w:t>2000</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45.616,85</w:t>
            </w:r>
          </w:p>
        </w:tc>
        <w:tc>
          <w:tcPr>
            <w:tcW w:w="1484" w:type="dxa"/>
          </w:tcPr>
          <w:p>
            <w:pPr>
              <w:pStyle w:val="TableParagraph"/>
              <w:spacing w:line="164" w:lineRule="exact"/>
              <w:ind w:right="327"/>
              <w:jc w:val="right"/>
              <w:rPr>
                <w:sz w:val="15"/>
              </w:rPr>
            </w:pPr>
            <w:r>
              <w:rPr>
                <w:sz w:val="15"/>
              </w:rPr>
              <w:t>45.616,85</w:t>
            </w:r>
          </w:p>
        </w:tc>
      </w:tr>
      <w:tr>
        <w:trPr>
          <w:trHeight w:val="184" w:hRule="atLeast"/>
        </w:trPr>
        <w:tc>
          <w:tcPr>
            <w:tcW w:w="871" w:type="dxa"/>
          </w:tcPr>
          <w:p>
            <w:pPr>
              <w:pStyle w:val="TableParagraph"/>
              <w:spacing w:line="164" w:lineRule="exact"/>
              <w:ind w:left="261"/>
              <w:rPr>
                <w:sz w:val="15"/>
              </w:rPr>
            </w:pPr>
            <w:r>
              <w:rPr>
                <w:sz w:val="15"/>
              </w:rPr>
              <w:t>2001</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7.467,57</w:t>
            </w:r>
          </w:p>
        </w:tc>
        <w:tc>
          <w:tcPr>
            <w:tcW w:w="1484" w:type="dxa"/>
          </w:tcPr>
          <w:p>
            <w:pPr>
              <w:pStyle w:val="TableParagraph"/>
              <w:spacing w:line="164" w:lineRule="exact"/>
              <w:ind w:right="327"/>
              <w:jc w:val="right"/>
              <w:rPr>
                <w:sz w:val="15"/>
              </w:rPr>
            </w:pPr>
            <w:r>
              <w:rPr>
                <w:sz w:val="15"/>
              </w:rPr>
              <w:t>7.467,57</w:t>
            </w:r>
          </w:p>
        </w:tc>
      </w:tr>
      <w:tr>
        <w:trPr>
          <w:trHeight w:val="184" w:hRule="atLeast"/>
        </w:trPr>
        <w:tc>
          <w:tcPr>
            <w:tcW w:w="871" w:type="dxa"/>
          </w:tcPr>
          <w:p>
            <w:pPr>
              <w:pStyle w:val="TableParagraph"/>
              <w:spacing w:line="164" w:lineRule="exact"/>
              <w:ind w:left="261"/>
              <w:rPr>
                <w:sz w:val="15"/>
              </w:rPr>
            </w:pPr>
            <w:r>
              <w:rPr>
                <w:sz w:val="15"/>
              </w:rPr>
              <w:t>2002</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12.906,32</w:t>
            </w:r>
          </w:p>
        </w:tc>
        <w:tc>
          <w:tcPr>
            <w:tcW w:w="1484" w:type="dxa"/>
          </w:tcPr>
          <w:p>
            <w:pPr>
              <w:pStyle w:val="TableParagraph"/>
              <w:spacing w:line="164" w:lineRule="exact"/>
              <w:ind w:right="327"/>
              <w:jc w:val="right"/>
              <w:rPr>
                <w:sz w:val="15"/>
              </w:rPr>
            </w:pPr>
            <w:r>
              <w:rPr>
                <w:sz w:val="15"/>
              </w:rPr>
              <w:t>12.906,32</w:t>
            </w:r>
          </w:p>
        </w:tc>
      </w:tr>
      <w:tr>
        <w:trPr>
          <w:trHeight w:val="184" w:hRule="atLeast"/>
        </w:trPr>
        <w:tc>
          <w:tcPr>
            <w:tcW w:w="871" w:type="dxa"/>
          </w:tcPr>
          <w:p>
            <w:pPr>
              <w:pStyle w:val="TableParagraph"/>
              <w:spacing w:line="164" w:lineRule="exact"/>
              <w:ind w:left="261"/>
              <w:rPr>
                <w:sz w:val="15"/>
              </w:rPr>
            </w:pPr>
            <w:r>
              <w:rPr>
                <w:sz w:val="15"/>
              </w:rPr>
              <w:t>2003</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spacing w:line="164" w:lineRule="exact"/>
              <w:ind w:right="270"/>
              <w:jc w:val="right"/>
              <w:rPr>
                <w:sz w:val="15"/>
              </w:rPr>
            </w:pPr>
            <w:r>
              <w:rPr>
                <w:sz w:val="15"/>
              </w:rPr>
              <w:t>28.646,09</w:t>
            </w:r>
          </w:p>
        </w:tc>
        <w:tc>
          <w:tcPr>
            <w:tcW w:w="1484" w:type="dxa"/>
          </w:tcPr>
          <w:p>
            <w:pPr>
              <w:pStyle w:val="TableParagraph"/>
              <w:spacing w:line="164" w:lineRule="exact"/>
              <w:ind w:right="327"/>
              <w:jc w:val="right"/>
              <w:rPr>
                <w:sz w:val="15"/>
              </w:rPr>
            </w:pPr>
            <w:r>
              <w:rPr>
                <w:sz w:val="15"/>
              </w:rPr>
              <w:t>28.646,09</w:t>
            </w:r>
          </w:p>
        </w:tc>
      </w:tr>
      <w:tr>
        <w:trPr>
          <w:trHeight w:val="184" w:hRule="atLeast"/>
        </w:trPr>
        <w:tc>
          <w:tcPr>
            <w:tcW w:w="871" w:type="dxa"/>
          </w:tcPr>
          <w:p>
            <w:pPr>
              <w:pStyle w:val="TableParagraph"/>
              <w:spacing w:line="164" w:lineRule="exact"/>
              <w:ind w:left="261"/>
              <w:rPr>
                <w:sz w:val="15"/>
              </w:rPr>
            </w:pPr>
            <w:r>
              <w:rPr>
                <w:sz w:val="15"/>
              </w:rPr>
              <w:t>2004</w:t>
            </w:r>
          </w:p>
        </w:tc>
        <w:tc>
          <w:tcPr>
            <w:tcW w:w="1277" w:type="dxa"/>
          </w:tcPr>
          <w:p>
            <w:pPr>
              <w:pStyle w:val="TableParagraph"/>
              <w:rPr>
                <w:rFonts w:ascii="Times New Roman"/>
                <w:sz w:val="12"/>
              </w:rPr>
            </w:pPr>
          </w:p>
        </w:tc>
        <w:tc>
          <w:tcPr>
            <w:tcW w:w="1088" w:type="dxa"/>
          </w:tcPr>
          <w:p>
            <w:pPr>
              <w:pStyle w:val="TableParagraph"/>
              <w:rPr>
                <w:rFonts w:ascii="Times New Roman"/>
                <w:sz w:val="12"/>
              </w:rPr>
            </w:pPr>
          </w:p>
        </w:tc>
        <w:tc>
          <w:tcPr>
            <w:tcW w:w="1152" w:type="dxa"/>
          </w:tcPr>
          <w:p>
            <w:pPr>
              <w:pStyle w:val="TableParagraph"/>
              <w:rPr>
                <w:rFonts w:ascii="Times New Roman"/>
                <w:sz w:val="12"/>
              </w:rPr>
            </w:pPr>
          </w:p>
        </w:tc>
        <w:tc>
          <w:tcPr>
            <w:tcW w:w="1484" w:type="dxa"/>
          </w:tcPr>
          <w:p>
            <w:pPr>
              <w:pStyle w:val="TableParagraph"/>
              <w:spacing w:line="164" w:lineRule="exact"/>
              <w:ind w:right="327"/>
              <w:jc w:val="right"/>
              <w:rPr>
                <w:sz w:val="15"/>
              </w:rPr>
            </w:pPr>
            <w:r>
              <w:rPr>
                <w:sz w:val="15"/>
              </w:rPr>
              <w:t>0,00</w:t>
            </w:r>
          </w:p>
        </w:tc>
      </w:tr>
      <w:tr>
        <w:trPr>
          <w:trHeight w:val="184" w:hRule="atLeast"/>
        </w:trPr>
        <w:tc>
          <w:tcPr>
            <w:tcW w:w="871" w:type="dxa"/>
          </w:tcPr>
          <w:p>
            <w:pPr>
              <w:pStyle w:val="TableParagraph"/>
              <w:spacing w:line="164" w:lineRule="exact"/>
              <w:ind w:left="261"/>
              <w:rPr>
                <w:sz w:val="15"/>
              </w:rPr>
            </w:pPr>
            <w:r>
              <w:rPr>
                <w:sz w:val="15"/>
              </w:rPr>
              <w:t>2005</w:t>
            </w:r>
          </w:p>
        </w:tc>
        <w:tc>
          <w:tcPr>
            <w:tcW w:w="1277" w:type="dxa"/>
          </w:tcPr>
          <w:p>
            <w:pPr>
              <w:pStyle w:val="TableParagraph"/>
              <w:rPr>
                <w:rFonts w:ascii="Times New Roman"/>
                <w:sz w:val="12"/>
              </w:rPr>
            </w:pPr>
          </w:p>
        </w:tc>
        <w:tc>
          <w:tcPr>
            <w:tcW w:w="1088" w:type="dxa"/>
          </w:tcPr>
          <w:p>
            <w:pPr>
              <w:pStyle w:val="TableParagraph"/>
              <w:spacing w:line="164" w:lineRule="exact"/>
              <w:ind w:right="188"/>
              <w:jc w:val="right"/>
              <w:rPr>
                <w:sz w:val="15"/>
              </w:rPr>
            </w:pPr>
            <w:r>
              <w:rPr>
                <w:sz w:val="15"/>
              </w:rPr>
              <w:t>33.814,95</w:t>
            </w:r>
          </w:p>
        </w:tc>
        <w:tc>
          <w:tcPr>
            <w:tcW w:w="1152" w:type="dxa"/>
          </w:tcPr>
          <w:p>
            <w:pPr>
              <w:pStyle w:val="TableParagraph"/>
              <w:spacing w:line="164" w:lineRule="exact"/>
              <w:ind w:right="270"/>
              <w:jc w:val="right"/>
              <w:rPr>
                <w:sz w:val="15"/>
              </w:rPr>
            </w:pPr>
            <w:r>
              <w:rPr>
                <w:sz w:val="15"/>
              </w:rPr>
              <w:t>9.686,23</w:t>
            </w:r>
          </w:p>
        </w:tc>
        <w:tc>
          <w:tcPr>
            <w:tcW w:w="1484" w:type="dxa"/>
          </w:tcPr>
          <w:p>
            <w:pPr>
              <w:pStyle w:val="TableParagraph"/>
              <w:spacing w:line="164" w:lineRule="exact"/>
              <w:ind w:right="327"/>
              <w:jc w:val="right"/>
              <w:rPr>
                <w:sz w:val="15"/>
              </w:rPr>
            </w:pPr>
            <w:r>
              <w:rPr>
                <w:sz w:val="15"/>
              </w:rPr>
              <w:t>43.501,18</w:t>
            </w:r>
          </w:p>
        </w:tc>
      </w:tr>
      <w:tr>
        <w:trPr>
          <w:trHeight w:val="184" w:hRule="atLeast"/>
        </w:trPr>
        <w:tc>
          <w:tcPr>
            <w:tcW w:w="871" w:type="dxa"/>
          </w:tcPr>
          <w:p>
            <w:pPr>
              <w:pStyle w:val="TableParagraph"/>
              <w:spacing w:line="164" w:lineRule="exact"/>
              <w:ind w:left="261"/>
              <w:rPr>
                <w:sz w:val="15"/>
              </w:rPr>
            </w:pPr>
            <w:r>
              <w:rPr>
                <w:sz w:val="15"/>
              </w:rPr>
              <w:t>2006</w:t>
            </w:r>
          </w:p>
        </w:tc>
        <w:tc>
          <w:tcPr>
            <w:tcW w:w="1277" w:type="dxa"/>
          </w:tcPr>
          <w:p>
            <w:pPr>
              <w:pStyle w:val="TableParagraph"/>
              <w:spacing w:line="164" w:lineRule="exact"/>
              <w:ind w:right="92"/>
              <w:jc w:val="right"/>
              <w:rPr>
                <w:sz w:val="15"/>
              </w:rPr>
            </w:pPr>
            <w:r>
              <w:rPr>
                <w:sz w:val="15"/>
              </w:rPr>
              <w:t>3.067,30</w:t>
            </w:r>
          </w:p>
        </w:tc>
        <w:tc>
          <w:tcPr>
            <w:tcW w:w="1088" w:type="dxa"/>
          </w:tcPr>
          <w:p>
            <w:pPr>
              <w:pStyle w:val="TableParagraph"/>
              <w:spacing w:line="164" w:lineRule="exact"/>
              <w:ind w:right="188"/>
              <w:jc w:val="right"/>
              <w:rPr>
                <w:sz w:val="15"/>
              </w:rPr>
            </w:pPr>
            <w:r>
              <w:rPr>
                <w:sz w:val="15"/>
              </w:rPr>
              <w:t>4.914,00</w:t>
            </w:r>
          </w:p>
        </w:tc>
        <w:tc>
          <w:tcPr>
            <w:tcW w:w="1152" w:type="dxa"/>
          </w:tcPr>
          <w:p>
            <w:pPr>
              <w:pStyle w:val="TableParagraph"/>
              <w:spacing w:line="164" w:lineRule="exact"/>
              <w:ind w:right="270"/>
              <w:jc w:val="right"/>
              <w:rPr>
                <w:sz w:val="15"/>
              </w:rPr>
            </w:pPr>
            <w:r>
              <w:rPr>
                <w:sz w:val="15"/>
              </w:rPr>
              <w:t>204.809,01</w:t>
            </w:r>
          </w:p>
        </w:tc>
        <w:tc>
          <w:tcPr>
            <w:tcW w:w="1484" w:type="dxa"/>
          </w:tcPr>
          <w:p>
            <w:pPr>
              <w:pStyle w:val="TableParagraph"/>
              <w:spacing w:line="164" w:lineRule="exact"/>
              <w:ind w:right="327"/>
              <w:jc w:val="right"/>
              <w:rPr>
                <w:sz w:val="15"/>
              </w:rPr>
            </w:pPr>
            <w:r>
              <w:rPr>
                <w:sz w:val="15"/>
              </w:rPr>
              <w:t>212.790,31</w:t>
            </w:r>
          </w:p>
        </w:tc>
      </w:tr>
      <w:tr>
        <w:trPr>
          <w:trHeight w:val="185" w:hRule="atLeast"/>
        </w:trPr>
        <w:tc>
          <w:tcPr>
            <w:tcW w:w="871" w:type="dxa"/>
          </w:tcPr>
          <w:p>
            <w:pPr>
              <w:pStyle w:val="TableParagraph"/>
              <w:spacing w:line="165" w:lineRule="exact"/>
              <w:ind w:left="261"/>
              <w:rPr>
                <w:sz w:val="15"/>
              </w:rPr>
            </w:pPr>
            <w:r>
              <w:rPr>
                <w:sz w:val="15"/>
              </w:rPr>
              <w:t>2007</w:t>
            </w:r>
          </w:p>
        </w:tc>
        <w:tc>
          <w:tcPr>
            <w:tcW w:w="1277" w:type="dxa"/>
          </w:tcPr>
          <w:p>
            <w:pPr>
              <w:pStyle w:val="TableParagraph"/>
              <w:spacing w:line="165" w:lineRule="exact"/>
              <w:ind w:right="92"/>
              <w:jc w:val="right"/>
              <w:rPr>
                <w:sz w:val="15"/>
              </w:rPr>
            </w:pPr>
            <w:r>
              <w:rPr>
                <w:sz w:val="15"/>
              </w:rPr>
              <w:t>1.063,09</w:t>
            </w:r>
          </w:p>
        </w:tc>
        <w:tc>
          <w:tcPr>
            <w:tcW w:w="1088" w:type="dxa"/>
          </w:tcPr>
          <w:p>
            <w:pPr>
              <w:pStyle w:val="TableParagraph"/>
              <w:spacing w:line="165" w:lineRule="exact"/>
              <w:ind w:right="188"/>
              <w:jc w:val="right"/>
              <w:rPr>
                <w:sz w:val="15"/>
              </w:rPr>
            </w:pPr>
            <w:r>
              <w:rPr>
                <w:sz w:val="15"/>
              </w:rPr>
              <w:t>12.941,87</w:t>
            </w:r>
          </w:p>
        </w:tc>
        <w:tc>
          <w:tcPr>
            <w:tcW w:w="1152" w:type="dxa"/>
          </w:tcPr>
          <w:p>
            <w:pPr>
              <w:pStyle w:val="TableParagraph"/>
              <w:spacing w:line="165" w:lineRule="exact"/>
              <w:ind w:right="270"/>
              <w:jc w:val="right"/>
              <w:rPr>
                <w:sz w:val="15"/>
              </w:rPr>
            </w:pPr>
            <w:r>
              <w:rPr>
                <w:sz w:val="15"/>
              </w:rPr>
              <w:t>478.826,59</w:t>
            </w:r>
          </w:p>
        </w:tc>
        <w:tc>
          <w:tcPr>
            <w:tcW w:w="1484" w:type="dxa"/>
          </w:tcPr>
          <w:p>
            <w:pPr>
              <w:pStyle w:val="TableParagraph"/>
              <w:spacing w:line="165" w:lineRule="exact"/>
              <w:ind w:right="327"/>
              <w:jc w:val="right"/>
              <w:rPr>
                <w:sz w:val="15"/>
              </w:rPr>
            </w:pPr>
            <w:r>
              <w:rPr>
                <w:sz w:val="15"/>
              </w:rPr>
              <w:t>492.831,55</w:t>
            </w:r>
          </w:p>
        </w:tc>
      </w:tr>
      <w:tr>
        <w:trPr>
          <w:trHeight w:val="184" w:hRule="atLeast"/>
        </w:trPr>
        <w:tc>
          <w:tcPr>
            <w:tcW w:w="871" w:type="dxa"/>
          </w:tcPr>
          <w:p>
            <w:pPr>
              <w:pStyle w:val="TableParagraph"/>
              <w:spacing w:line="164" w:lineRule="exact"/>
              <w:ind w:left="261"/>
              <w:rPr>
                <w:sz w:val="15"/>
              </w:rPr>
            </w:pPr>
            <w:r>
              <w:rPr>
                <w:sz w:val="15"/>
              </w:rPr>
              <w:t>2008</w:t>
            </w:r>
          </w:p>
        </w:tc>
        <w:tc>
          <w:tcPr>
            <w:tcW w:w="1277" w:type="dxa"/>
          </w:tcPr>
          <w:p>
            <w:pPr>
              <w:pStyle w:val="TableParagraph"/>
              <w:rPr>
                <w:rFonts w:ascii="Times New Roman"/>
                <w:sz w:val="12"/>
              </w:rPr>
            </w:pPr>
          </w:p>
        </w:tc>
        <w:tc>
          <w:tcPr>
            <w:tcW w:w="1088" w:type="dxa"/>
          </w:tcPr>
          <w:p>
            <w:pPr>
              <w:pStyle w:val="TableParagraph"/>
              <w:spacing w:line="164" w:lineRule="exact"/>
              <w:ind w:right="188"/>
              <w:jc w:val="right"/>
              <w:rPr>
                <w:sz w:val="15"/>
              </w:rPr>
            </w:pPr>
            <w:r>
              <w:rPr>
                <w:sz w:val="15"/>
              </w:rPr>
              <w:t>716.869,12</w:t>
            </w:r>
          </w:p>
        </w:tc>
        <w:tc>
          <w:tcPr>
            <w:tcW w:w="1152" w:type="dxa"/>
          </w:tcPr>
          <w:p>
            <w:pPr>
              <w:pStyle w:val="TableParagraph"/>
              <w:spacing w:line="164" w:lineRule="exact"/>
              <w:ind w:right="270"/>
              <w:jc w:val="right"/>
              <w:rPr>
                <w:sz w:val="15"/>
              </w:rPr>
            </w:pPr>
            <w:r>
              <w:rPr>
                <w:sz w:val="15"/>
              </w:rPr>
              <w:t>103.886,38</w:t>
            </w:r>
          </w:p>
        </w:tc>
        <w:tc>
          <w:tcPr>
            <w:tcW w:w="1484" w:type="dxa"/>
          </w:tcPr>
          <w:p>
            <w:pPr>
              <w:pStyle w:val="TableParagraph"/>
              <w:spacing w:line="164" w:lineRule="exact"/>
              <w:ind w:right="327"/>
              <w:jc w:val="right"/>
              <w:rPr>
                <w:sz w:val="15"/>
              </w:rPr>
            </w:pPr>
            <w:r>
              <w:rPr>
                <w:sz w:val="15"/>
              </w:rPr>
              <w:t>820.755,50</w:t>
            </w:r>
          </w:p>
        </w:tc>
      </w:tr>
      <w:tr>
        <w:trPr>
          <w:trHeight w:val="184" w:hRule="atLeast"/>
        </w:trPr>
        <w:tc>
          <w:tcPr>
            <w:tcW w:w="871" w:type="dxa"/>
          </w:tcPr>
          <w:p>
            <w:pPr>
              <w:pStyle w:val="TableParagraph"/>
              <w:spacing w:line="164" w:lineRule="exact"/>
              <w:ind w:left="261"/>
              <w:rPr>
                <w:sz w:val="15"/>
              </w:rPr>
            </w:pPr>
            <w:r>
              <w:rPr>
                <w:sz w:val="15"/>
              </w:rPr>
              <w:t>2009</w:t>
            </w:r>
          </w:p>
        </w:tc>
        <w:tc>
          <w:tcPr>
            <w:tcW w:w="1277" w:type="dxa"/>
          </w:tcPr>
          <w:p>
            <w:pPr>
              <w:pStyle w:val="TableParagraph"/>
              <w:spacing w:line="164" w:lineRule="exact"/>
              <w:ind w:right="92"/>
              <w:jc w:val="right"/>
              <w:rPr>
                <w:sz w:val="15"/>
              </w:rPr>
            </w:pPr>
            <w:r>
              <w:rPr>
                <w:sz w:val="15"/>
              </w:rPr>
              <w:t>46.173,59</w:t>
            </w:r>
          </w:p>
        </w:tc>
        <w:tc>
          <w:tcPr>
            <w:tcW w:w="1088" w:type="dxa"/>
          </w:tcPr>
          <w:p>
            <w:pPr>
              <w:pStyle w:val="TableParagraph"/>
              <w:spacing w:line="164" w:lineRule="exact"/>
              <w:ind w:right="188"/>
              <w:jc w:val="right"/>
              <w:rPr>
                <w:sz w:val="15"/>
              </w:rPr>
            </w:pPr>
            <w:r>
              <w:rPr>
                <w:sz w:val="15"/>
              </w:rPr>
              <w:t>358.733,93</w:t>
            </w:r>
          </w:p>
        </w:tc>
        <w:tc>
          <w:tcPr>
            <w:tcW w:w="1152" w:type="dxa"/>
          </w:tcPr>
          <w:p>
            <w:pPr>
              <w:pStyle w:val="TableParagraph"/>
              <w:spacing w:line="164" w:lineRule="exact"/>
              <w:ind w:right="270"/>
              <w:jc w:val="right"/>
              <w:rPr>
                <w:sz w:val="15"/>
              </w:rPr>
            </w:pPr>
            <w:r>
              <w:rPr>
                <w:sz w:val="15"/>
              </w:rPr>
              <w:t>255.356,64</w:t>
            </w:r>
          </w:p>
        </w:tc>
        <w:tc>
          <w:tcPr>
            <w:tcW w:w="1484" w:type="dxa"/>
          </w:tcPr>
          <w:p>
            <w:pPr>
              <w:pStyle w:val="TableParagraph"/>
              <w:spacing w:line="164" w:lineRule="exact"/>
              <w:ind w:right="327"/>
              <w:jc w:val="right"/>
              <w:rPr>
                <w:sz w:val="15"/>
              </w:rPr>
            </w:pPr>
            <w:r>
              <w:rPr>
                <w:sz w:val="15"/>
              </w:rPr>
              <w:t>660.264,16</w:t>
            </w:r>
          </w:p>
        </w:tc>
      </w:tr>
      <w:tr>
        <w:trPr>
          <w:trHeight w:val="184" w:hRule="atLeast"/>
        </w:trPr>
        <w:tc>
          <w:tcPr>
            <w:tcW w:w="871" w:type="dxa"/>
          </w:tcPr>
          <w:p>
            <w:pPr>
              <w:pStyle w:val="TableParagraph"/>
              <w:spacing w:line="164" w:lineRule="exact"/>
              <w:ind w:left="261"/>
              <w:rPr>
                <w:sz w:val="15"/>
              </w:rPr>
            </w:pPr>
            <w:r>
              <w:rPr>
                <w:sz w:val="15"/>
              </w:rPr>
              <w:t>2010</w:t>
            </w:r>
          </w:p>
        </w:tc>
        <w:tc>
          <w:tcPr>
            <w:tcW w:w="1277" w:type="dxa"/>
          </w:tcPr>
          <w:p>
            <w:pPr>
              <w:pStyle w:val="TableParagraph"/>
              <w:spacing w:line="164" w:lineRule="exact"/>
              <w:ind w:right="92"/>
              <w:jc w:val="right"/>
              <w:rPr>
                <w:sz w:val="15"/>
              </w:rPr>
            </w:pPr>
            <w:r>
              <w:rPr>
                <w:sz w:val="15"/>
              </w:rPr>
              <w:t>81.242,92</w:t>
            </w:r>
          </w:p>
        </w:tc>
        <w:tc>
          <w:tcPr>
            <w:tcW w:w="1088" w:type="dxa"/>
          </w:tcPr>
          <w:p>
            <w:pPr>
              <w:pStyle w:val="TableParagraph"/>
              <w:spacing w:line="164" w:lineRule="exact"/>
              <w:ind w:right="188"/>
              <w:jc w:val="right"/>
              <w:rPr>
                <w:sz w:val="15"/>
              </w:rPr>
            </w:pPr>
            <w:r>
              <w:rPr>
                <w:sz w:val="15"/>
              </w:rPr>
              <w:t>904.084,32</w:t>
            </w:r>
          </w:p>
        </w:tc>
        <w:tc>
          <w:tcPr>
            <w:tcW w:w="1152" w:type="dxa"/>
          </w:tcPr>
          <w:p>
            <w:pPr>
              <w:pStyle w:val="TableParagraph"/>
              <w:spacing w:line="164" w:lineRule="exact"/>
              <w:ind w:right="270"/>
              <w:jc w:val="right"/>
              <w:rPr>
                <w:sz w:val="15"/>
              </w:rPr>
            </w:pPr>
            <w:r>
              <w:rPr>
                <w:sz w:val="15"/>
              </w:rPr>
              <w:t>183.964,13</w:t>
            </w:r>
          </w:p>
        </w:tc>
        <w:tc>
          <w:tcPr>
            <w:tcW w:w="1484" w:type="dxa"/>
          </w:tcPr>
          <w:p>
            <w:pPr>
              <w:pStyle w:val="TableParagraph"/>
              <w:spacing w:line="164" w:lineRule="exact"/>
              <w:ind w:right="327"/>
              <w:jc w:val="right"/>
              <w:rPr>
                <w:sz w:val="15"/>
              </w:rPr>
            </w:pPr>
            <w:r>
              <w:rPr>
                <w:sz w:val="15"/>
              </w:rPr>
              <w:t>1.169.291,37</w:t>
            </w:r>
          </w:p>
        </w:tc>
      </w:tr>
      <w:tr>
        <w:trPr>
          <w:trHeight w:val="184" w:hRule="atLeast"/>
        </w:trPr>
        <w:tc>
          <w:tcPr>
            <w:tcW w:w="871" w:type="dxa"/>
          </w:tcPr>
          <w:p>
            <w:pPr>
              <w:pStyle w:val="TableParagraph"/>
              <w:spacing w:line="164" w:lineRule="exact"/>
              <w:ind w:left="261"/>
              <w:rPr>
                <w:sz w:val="15"/>
              </w:rPr>
            </w:pPr>
            <w:r>
              <w:rPr>
                <w:sz w:val="15"/>
              </w:rPr>
              <w:t>2011</w:t>
            </w:r>
          </w:p>
        </w:tc>
        <w:tc>
          <w:tcPr>
            <w:tcW w:w="1277" w:type="dxa"/>
          </w:tcPr>
          <w:p>
            <w:pPr>
              <w:pStyle w:val="TableParagraph"/>
              <w:spacing w:line="164" w:lineRule="exact"/>
              <w:ind w:right="92"/>
              <w:jc w:val="right"/>
              <w:rPr>
                <w:sz w:val="15"/>
              </w:rPr>
            </w:pPr>
            <w:r>
              <w:rPr>
                <w:sz w:val="15"/>
              </w:rPr>
              <w:t>330.888,25</w:t>
            </w:r>
          </w:p>
        </w:tc>
        <w:tc>
          <w:tcPr>
            <w:tcW w:w="1088" w:type="dxa"/>
          </w:tcPr>
          <w:p>
            <w:pPr>
              <w:pStyle w:val="TableParagraph"/>
              <w:spacing w:line="164" w:lineRule="exact"/>
              <w:ind w:right="188"/>
              <w:jc w:val="right"/>
              <w:rPr>
                <w:sz w:val="15"/>
              </w:rPr>
            </w:pPr>
            <w:r>
              <w:rPr>
                <w:sz w:val="15"/>
              </w:rPr>
              <w:t>1.402.625,37</w:t>
            </w:r>
          </w:p>
        </w:tc>
        <w:tc>
          <w:tcPr>
            <w:tcW w:w="1152" w:type="dxa"/>
          </w:tcPr>
          <w:p>
            <w:pPr>
              <w:pStyle w:val="TableParagraph"/>
              <w:spacing w:line="164" w:lineRule="exact"/>
              <w:ind w:right="270"/>
              <w:jc w:val="right"/>
              <w:rPr>
                <w:sz w:val="15"/>
              </w:rPr>
            </w:pPr>
            <w:r>
              <w:rPr>
                <w:sz w:val="15"/>
              </w:rPr>
              <w:t>64.640,37</w:t>
            </w:r>
          </w:p>
        </w:tc>
        <w:tc>
          <w:tcPr>
            <w:tcW w:w="1484" w:type="dxa"/>
          </w:tcPr>
          <w:p>
            <w:pPr>
              <w:pStyle w:val="TableParagraph"/>
              <w:spacing w:line="164" w:lineRule="exact"/>
              <w:ind w:right="327"/>
              <w:jc w:val="right"/>
              <w:rPr>
                <w:sz w:val="15"/>
              </w:rPr>
            </w:pPr>
            <w:r>
              <w:rPr>
                <w:sz w:val="15"/>
              </w:rPr>
              <w:t>1.798.153,99</w:t>
            </w:r>
          </w:p>
        </w:tc>
      </w:tr>
      <w:tr>
        <w:trPr>
          <w:trHeight w:val="184" w:hRule="atLeast"/>
        </w:trPr>
        <w:tc>
          <w:tcPr>
            <w:tcW w:w="871" w:type="dxa"/>
          </w:tcPr>
          <w:p>
            <w:pPr>
              <w:pStyle w:val="TableParagraph"/>
              <w:spacing w:line="165" w:lineRule="exact"/>
              <w:ind w:left="261"/>
              <w:rPr>
                <w:sz w:val="15"/>
              </w:rPr>
            </w:pPr>
            <w:r>
              <w:rPr>
                <w:sz w:val="15"/>
              </w:rPr>
              <w:t>2012</w:t>
            </w:r>
          </w:p>
        </w:tc>
        <w:tc>
          <w:tcPr>
            <w:tcW w:w="1277" w:type="dxa"/>
          </w:tcPr>
          <w:p>
            <w:pPr>
              <w:pStyle w:val="TableParagraph"/>
              <w:spacing w:line="165" w:lineRule="exact"/>
              <w:ind w:right="92"/>
              <w:jc w:val="right"/>
              <w:rPr>
                <w:sz w:val="15"/>
              </w:rPr>
            </w:pPr>
            <w:r>
              <w:rPr>
                <w:sz w:val="15"/>
              </w:rPr>
              <w:t>536.501,81</w:t>
            </w:r>
          </w:p>
        </w:tc>
        <w:tc>
          <w:tcPr>
            <w:tcW w:w="1088" w:type="dxa"/>
          </w:tcPr>
          <w:p>
            <w:pPr>
              <w:pStyle w:val="TableParagraph"/>
              <w:spacing w:line="165" w:lineRule="exact"/>
              <w:ind w:right="188"/>
              <w:jc w:val="right"/>
              <w:rPr>
                <w:sz w:val="15"/>
              </w:rPr>
            </w:pPr>
            <w:r>
              <w:rPr>
                <w:sz w:val="15"/>
              </w:rPr>
              <w:t>977.452,74</w:t>
            </w:r>
          </w:p>
        </w:tc>
        <w:tc>
          <w:tcPr>
            <w:tcW w:w="1152" w:type="dxa"/>
          </w:tcPr>
          <w:p>
            <w:pPr>
              <w:pStyle w:val="TableParagraph"/>
              <w:spacing w:line="165" w:lineRule="exact"/>
              <w:ind w:right="270"/>
              <w:jc w:val="right"/>
              <w:rPr>
                <w:sz w:val="15"/>
              </w:rPr>
            </w:pPr>
            <w:r>
              <w:rPr>
                <w:sz w:val="15"/>
              </w:rPr>
              <w:t>544.022,57</w:t>
            </w:r>
          </w:p>
        </w:tc>
        <w:tc>
          <w:tcPr>
            <w:tcW w:w="1484" w:type="dxa"/>
          </w:tcPr>
          <w:p>
            <w:pPr>
              <w:pStyle w:val="TableParagraph"/>
              <w:spacing w:line="165" w:lineRule="exact"/>
              <w:ind w:right="327"/>
              <w:jc w:val="right"/>
              <w:rPr>
                <w:sz w:val="15"/>
              </w:rPr>
            </w:pPr>
            <w:r>
              <w:rPr>
                <w:sz w:val="15"/>
              </w:rPr>
              <w:t>2.057.977,12</w:t>
            </w:r>
          </w:p>
        </w:tc>
      </w:tr>
      <w:tr>
        <w:trPr>
          <w:trHeight w:val="184" w:hRule="atLeast"/>
        </w:trPr>
        <w:tc>
          <w:tcPr>
            <w:tcW w:w="871" w:type="dxa"/>
          </w:tcPr>
          <w:p>
            <w:pPr>
              <w:pStyle w:val="TableParagraph"/>
              <w:spacing w:line="165" w:lineRule="exact"/>
              <w:ind w:left="261"/>
              <w:rPr>
                <w:sz w:val="15"/>
              </w:rPr>
            </w:pPr>
            <w:r>
              <w:rPr>
                <w:sz w:val="15"/>
              </w:rPr>
              <w:t>2013</w:t>
            </w:r>
          </w:p>
        </w:tc>
        <w:tc>
          <w:tcPr>
            <w:tcW w:w="1277" w:type="dxa"/>
          </w:tcPr>
          <w:p>
            <w:pPr>
              <w:pStyle w:val="TableParagraph"/>
              <w:spacing w:line="165" w:lineRule="exact"/>
              <w:ind w:right="92"/>
              <w:jc w:val="right"/>
              <w:rPr>
                <w:sz w:val="15"/>
              </w:rPr>
            </w:pPr>
            <w:r>
              <w:rPr>
                <w:sz w:val="15"/>
              </w:rPr>
              <w:t>244.380,36</w:t>
            </w:r>
          </w:p>
        </w:tc>
        <w:tc>
          <w:tcPr>
            <w:tcW w:w="1088" w:type="dxa"/>
          </w:tcPr>
          <w:p>
            <w:pPr>
              <w:pStyle w:val="TableParagraph"/>
              <w:spacing w:line="165" w:lineRule="exact"/>
              <w:ind w:right="188"/>
              <w:jc w:val="right"/>
              <w:rPr>
                <w:sz w:val="15"/>
              </w:rPr>
            </w:pPr>
            <w:r>
              <w:rPr>
                <w:sz w:val="15"/>
              </w:rPr>
              <w:t>154.137,25</w:t>
            </w:r>
          </w:p>
        </w:tc>
        <w:tc>
          <w:tcPr>
            <w:tcW w:w="1152" w:type="dxa"/>
          </w:tcPr>
          <w:p>
            <w:pPr>
              <w:pStyle w:val="TableParagraph"/>
              <w:spacing w:line="165" w:lineRule="exact"/>
              <w:ind w:right="270"/>
              <w:jc w:val="right"/>
              <w:rPr>
                <w:sz w:val="15"/>
              </w:rPr>
            </w:pPr>
            <w:r>
              <w:rPr>
                <w:sz w:val="15"/>
              </w:rPr>
              <w:t>28.694,70</w:t>
            </w:r>
          </w:p>
        </w:tc>
        <w:tc>
          <w:tcPr>
            <w:tcW w:w="1484" w:type="dxa"/>
          </w:tcPr>
          <w:p>
            <w:pPr>
              <w:pStyle w:val="TableParagraph"/>
              <w:spacing w:line="165" w:lineRule="exact"/>
              <w:ind w:right="327"/>
              <w:jc w:val="right"/>
              <w:rPr>
                <w:sz w:val="15"/>
              </w:rPr>
            </w:pPr>
            <w:r>
              <w:rPr>
                <w:sz w:val="15"/>
              </w:rPr>
              <w:t>427.212,31</w:t>
            </w:r>
          </w:p>
        </w:tc>
      </w:tr>
      <w:tr>
        <w:trPr>
          <w:trHeight w:val="184" w:hRule="atLeast"/>
        </w:trPr>
        <w:tc>
          <w:tcPr>
            <w:tcW w:w="871" w:type="dxa"/>
          </w:tcPr>
          <w:p>
            <w:pPr>
              <w:pStyle w:val="TableParagraph"/>
              <w:spacing w:line="164" w:lineRule="exact"/>
              <w:ind w:left="261"/>
              <w:rPr>
                <w:sz w:val="15"/>
              </w:rPr>
            </w:pPr>
            <w:r>
              <w:rPr>
                <w:sz w:val="15"/>
              </w:rPr>
              <w:t>2014</w:t>
            </w:r>
          </w:p>
        </w:tc>
        <w:tc>
          <w:tcPr>
            <w:tcW w:w="1277" w:type="dxa"/>
          </w:tcPr>
          <w:p>
            <w:pPr>
              <w:pStyle w:val="TableParagraph"/>
              <w:spacing w:line="164" w:lineRule="exact"/>
              <w:ind w:right="92"/>
              <w:jc w:val="right"/>
              <w:rPr>
                <w:sz w:val="15"/>
              </w:rPr>
            </w:pPr>
            <w:r>
              <w:rPr>
                <w:sz w:val="15"/>
              </w:rPr>
              <w:t>662.861,92</w:t>
            </w:r>
          </w:p>
        </w:tc>
        <w:tc>
          <w:tcPr>
            <w:tcW w:w="1088" w:type="dxa"/>
          </w:tcPr>
          <w:p>
            <w:pPr>
              <w:pStyle w:val="TableParagraph"/>
              <w:spacing w:line="164" w:lineRule="exact"/>
              <w:ind w:right="188"/>
              <w:jc w:val="right"/>
              <w:rPr>
                <w:sz w:val="15"/>
              </w:rPr>
            </w:pPr>
            <w:r>
              <w:rPr>
                <w:sz w:val="15"/>
              </w:rPr>
              <w:t>32.399,01</w:t>
            </w:r>
          </w:p>
        </w:tc>
        <w:tc>
          <w:tcPr>
            <w:tcW w:w="1152" w:type="dxa"/>
          </w:tcPr>
          <w:p>
            <w:pPr>
              <w:pStyle w:val="TableParagraph"/>
              <w:spacing w:line="164" w:lineRule="exact"/>
              <w:ind w:right="270"/>
              <w:jc w:val="right"/>
              <w:rPr>
                <w:sz w:val="15"/>
              </w:rPr>
            </w:pPr>
            <w:r>
              <w:rPr>
                <w:sz w:val="15"/>
              </w:rPr>
              <w:t>195.495,08</w:t>
            </w:r>
          </w:p>
        </w:tc>
        <w:tc>
          <w:tcPr>
            <w:tcW w:w="1484" w:type="dxa"/>
          </w:tcPr>
          <w:p>
            <w:pPr>
              <w:pStyle w:val="TableParagraph"/>
              <w:spacing w:line="164" w:lineRule="exact"/>
              <w:ind w:right="327"/>
              <w:jc w:val="right"/>
              <w:rPr>
                <w:sz w:val="15"/>
              </w:rPr>
            </w:pPr>
            <w:r>
              <w:rPr>
                <w:sz w:val="15"/>
              </w:rPr>
              <w:t>890.756,01</w:t>
            </w:r>
          </w:p>
        </w:tc>
      </w:tr>
      <w:tr>
        <w:trPr>
          <w:trHeight w:val="184" w:hRule="atLeast"/>
        </w:trPr>
        <w:tc>
          <w:tcPr>
            <w:tcW w:w="871" w:type="dxa"/>
          </w:tcPr>
          <w:p>
            <w:pPr>
              <w:pStyle w:val="TableParagraph"/>
              <w:spacing w:line="164" w:lineRule="exact"/>
              <w:ind w:left="261"/>
              <w:rPr>
                <w:sz w:val="15"/>
              </w:rPr>
            </w:pPr>
            <w:r>
              <w:rPr>
                <w:sz w:val="15"/>
              </w:rPr>
              <w:t>2015</w:t>
            </w:r>
          </w:p>
        </w:tc>
        <w:tc>
          <w:tcPr>
            <w:tcW w:w="1277" w:type="dxa"/>
          </w:tcPr>
          <w:p>
            <w:pPr>
              <w:pStyle w:val="TableParagraph"/>
              <w:spacing w:line="164" w:lineRule="exact"/>
              <w:ind w:right="92"/>
              <w:jc w:val="right"/>
              <w:rPr>
                <w:sz w:val="15"/>
              </w:rPr>
            </w:pPr>
            <w:r>
              <w:rPr>
                <w:sz w:val="15"/>
              </w:rPr>
              <w:t>1.509.114,58</w:t>
            </w:r>
          </w:p>
        </w:tc>
        <w:tc>
          <w:tcPr>
            <w:tcW w:w="1088" w:type="dxa"/>
          </w:tcPr>
          <w:p>
            <w:pPr>
              <w:pStyle w:val="TableParagraph"/>
              <w:spacing w:line="164" w:lineRule="exact"/>
              <w:ind w:right="188"/>
              <w:jc w:val="right"/>
              <w:rPr>
                <w:sz w:val="15"/>
              </w:rPr>
            </w:pPr>
            <w:r>
              <w:rPr>
                <w:sz w:val="15"/>
              </w:rPr>
              <w:t>86.809,68</w:t>
            </w:r>
          </w:p>
        </w:tc>
        <w:tc>
          <w:tcPr>
            <w:tcW w:w="1152" w:type="dxa"/>
          </w:tcPr>
          <w:p>
            <w:pPr>
              <w:pStyle w:val="TableParagraph"/>
              <w:spacing w:line="164" w:lineRule="exact"/>
              <w:ind w:right="270"/>
              <w:jc w:val="right"/>
              <w:rPr>
                <w:sz w:val="15"/>
              </w:rPr>
            </w:pPr>
            <w:r>
              <w:rPr>
                <w:sz w:val="15"/>
              </w:rPr>
              <w:t>121.230,20</w:t>
            </w:r>
          </w:p>
        </w:tc>
        <w:tc>
          <w:tcPr>
            <w:tcW w:w="1484" w:type="dxa"/>
          </w:tcPr>
          <w:p>
            <w:pPr>
              <w:pStyle w:val="TableParagraph"/>
              <w:spacing w:line="164" w:lineRule="exact"/>
              <w:ind w:right="327"/>
              <w:jc w:val="right"/>
              <w:rPr>
                <w:sz w:val="15"/>
              </w:rPr>
            </w:pPr>
            <w:r>
              <w:rPr>
                <w:sz w:val="15"/>
              </w:rPr>
              <w:t>1.717.154,46</w:t>
            </w:r>
          </w:p>
        </w:tc>
      </w:tr>
      <w:tr>
        <w:trPr>
          <w:trHeight w:val="185" w:hRule="atLeast"/>
        </w:trPr>
        <w:tc>
          <w:tcPr>
            <w:tcW w:w="871" w:type="dxa"/>
          </w:tcPr>
          <w:p>
            <w:pPr>
              <w:pStyle w:val="TableParagraph"/>
              <w:spacing w:line="165" w:lineRule="exact"/>
              <w:ind w:left="261"/>
              <w:rPr>
                <w:sz w:val="15"/>
              </w:rPr>
            </w:pPr>
            <w:r>
              <w:rPr>
                <w:sz w:val="15"/>
              </w:rPr>
              <w:t>2016</w:t>
            </w:r>
          </w:p>
        </w:tc>
        <w:tc>
          <w:tcPr>
            <w:tcW w:w="1277" w:type="dxa"/>
          </w:tcPr>
          <w:p>
            <w:pPr>
              <w:pStyle w:val="TableParagraph"/>
              <w:spacing w:line="165" w:lineRule="exact"/>
              <w:ind w:right="92"/>
              <w:jc w:val="right"/>
              <w:rPr>
                <w:sz w:val="15"/>
              </w:rPr>
            </w:pPr>
            <w:r>
              <w:rPr>
                <w:sz w:val="15"/>
              </w:rPr>
              <w:t>1.206.762,00</w:t>
            </w:r>
          </w:p>
        </w:tc>
        <w:tc>
          <w:tcPr>
            <w:tcW w:w="1088" w:type="dxa"/>
          </w:tcPr>
          <w:p>
            <w:pPr>
              <w:pStyle w:val="TableParagraph"/>
              <w:spacing w:line="165" w:lineRule="exact"/>
              <w:ind w:right="188"/>
              <w:jc w:val="right"/>
              <w:rPr>
                <w:sz w:val="15"/>
              </w:rPr>
            </w:pPr>
            <w:r>
              <w:rPr>
                <w:sz w:val="15"/>
              </w:rPr>
              <w:t>141.638,23</w:t>
            </w:r>
          </w:p>
        </w:tc>
        <w:tc>
          <w:tcPr>
            <w:tcW w:w="1152" w:type="dxa"/>
          </w:tcPr>
          <w:p>
            <w:pPr>
              <w:pStyle w:val="TableParagraph"/>
              <w:spacing w:line="165" w:lineRule="exact"/>
              <w:ind w:right="270"/>
              <w:jc w:val="right"/>
              <w:rPr>
                <w:sz w:val="15"/>
              </w:rPr>
            </w:pPr>
            <w:r>
              <w:rPr>
                <w:sz w:val="15"/>
              </w:rPr>
              <w:t>32.676,69</w:t>
            </w:r>
          </w:p>
        </w:tc>
        <w:tc>
          <w:tcPr>
            <w:tcW w:w="1484" w:type="dxa"/>
          </w:tcPr>
          <w:p>
            <w:pPr>
              <w:pStyle w:val="TableParagraph"/>
              <w:spacing w:line="165" w:lineRule="exact"/>
              <w:ind w:right="327"/>
              <w:jc w:val="right"/>
              <w:rPr>
                <w:sz w:val="15"/>
              </w:rPr>
            </w:pPr>
            <w:r>
              <w:rPr>
                <w:sz w:val="15"/>
              </w:rPr>
              <w:t>1.381.076,92</w:t>
            </w:r>
          </w:p>
        </w:tc>
      </w:tr>
      <w:tr>
        <w:trPr>
          <w:trHeight w:val="184" w:hRule="atLeast"/>
        </w:trPr>
        <w:tc>
          <w:tcPr>
            <w:tcW w:w="871" w:type="dxa"/>
          </w:tcPr>
          <w:p>
            <w:pPr>
              <w:pStyle w:val="TableParagraph"/>
              <w:spacing w:line="164" w:lineRule="exact"/>
              <w:ind w:left="261"/>
              <w:rPr>
                <w:sz w:val="15"/>
              </w:rPr>
            </w:pPr>
            <w:r>
              <w:rPr>
                <w:sz w:val="15"/>
              </w:rPr>
              <w:t>2017</w:t>
            </w:r>
          </w:p>
        </w:tc>
        <w:tc>
          <w:tcPr>
            <w:tcW w:w="1277" w:type="dxa"/>
          </w:tcPr>
          <w:p>
            <w:pPr>
              <w:pStyle w:val="TableParagraph"/>
              <w:spacing w:line="164" w:lineRule="exact"/>
              <w:ind w:right="92"/>
              <w:jc w:val="right"/>
              <w:rPr>
                <w:sz w:val="15"/>
              </w:rPr>
            </w:pPr>
            <w:r>
              <w:rPr>
                <w:sz w:val="15"/>
              </w:rPr>
              <w:t>118.672,25</w:t>
            </w:r>
          </w:p>
        </w:tc>
        <w:tc>
          <w:tcPr>
            <w:tcW w:w="1088" w:type="dxa"/>
          </w:tcPr>
          <w:p>
            <w:pPr>
              <w:pStyle w:val="TableParagraph"/>
              <w:spacing w:line="164" w:lineRule="exact"/>
              <w:ind w:right="188"/>
              <w:jc w:val="right"/>
              <w:rPr>
                <w:sz w:val="15"/>
              </w:rPr>
            </w:pPr>
            <w:r>
              <w:rPr>
                <w:sz w:val="15"/>
              </w:rPr>
              <w:t>15.309,31</w:t>
            </w:r>
          </w:p>
        </w:tc>
        <w:tc>
          <w:tcPr>
            <w:tcW w:w="1152" w:type="dxa"/>
          </w:tcPr>
          <w:p>
            <w:pPr>
              <w:pStyle w:val="TableParagraph"/>
              <w:spacing w:line="164" w:lineRule="exact"/>
              <w:ind w:right="270"/>
              <w:jc w:val="right"/>
              <w:rPr>
                <w:sz w:val="15"/>
              </w:rPr>
            </w:pPr>
            <w:r>
              <w:rPr>
                <w:sz w:val="15"/>
              </w:rPr>
              <w:t>78.447,72</w:t>
            </w:r>
          </w:p>
        </w:tc>
        <w:tc>
          <w:tcPr>
            <w:tcW w:w="1484" w:type="dxa"/>
          </w:tcPr>
          <w:p>
            <w:pPr>
              <w:pStyle w:val="TableParagraph"/>
              <w:spacing w:line="164" w:lineRule="exact"/>
              <w:ind w:right="327"/>
              <w:jc w:val="right"/>
              <w:rPr>
                <w:sz w:val="15"/>
              </w:rPr>
            </w:pPr>
            <w:r>
              <w:rPr>
                <w:sz w:val="15"/>
              </w:rPr>
              <w:t>212.429,28</w:t>
            </w:r>
          </w:p>
        </w:tc>
      </w:tr>
      <w:tr>
        <w:trPr>
          <w:trHeight w:val="184" w:hRule="atLeast"/>
        </w:trPr>
        <w:tc>
          <w:tcPr>
            <w:tcW w:w="871" w:type="dxa"/>
          </w:tcPr>
          <w:p>
            <w:pPr>
              <w:pStyle w:val="TableParagraph"/>
              <w:spacing w:line="164" w:lineRule="exact"/>
              <w:ind w:left="261"/>
              <w:rPr>
                <w:sz w:val="15"/>
              </w:rPr>
            </w:pPr>
            <w:r>
              <w:rPr>
                <w:sz w:val="15"/>
              </w:rPr>
              <w:t>2018</w:t>
            </w:r>
          </w:p>
        </w:tc>
        <w:tc>
          <w:tcPr>
            <w:tcW w:w="1277" w:type="dxa"/>
          </w:tcPr>
          <w:p>
            <w:pPr>
              <w:pStyle w:val="TableParagraph"/>
              <w:spacing w:line="164" w:lineRule="exact"/>
              <w:ind w:right="92"/>
              <w:jc w:val="right"/>
              <w:rPr>
                <w:sz w:val="15"/>
              </w:rPr>
            </w:pPr>
            <w:r>
              <w:rPr>
                <w:sz w:val="15"/>
              </w:rPr>
              <w:t>948.060,52</w:t>
            </w:r>
          </w:p>
        </w:tc>
        <w:tc>
          <w:tcPr>
            <w:tcW w:w="1088" w:type="dxa"/>
          </w:tcPr>
          <w:p>
            <w:pPr>
              <w:pStyle w:val="TableParagraph"/>
              <w:spacing w:line="164" w:lineRule="exact"/>
              <w:ind w:right="188"/>
              <w:jc w:val="right"/>
              <w:rPr>
                <w:sz w:val="15"/>
              </w:rPr>
            </w:pPr>
            <w:r>
              <w:rPr>
                <w:sz w:val="15"/>
              </w:rPr>
              <w:t>57.151,69</w:t>
            </w:r>
          </w:p>
        </w:tc>
        <w:tc>
          <w:tcPr>
            <w:tcW w:w="1152" w:type="dxa"/>
          </w:tcPr>
          <w:p>
            <w:pPr>
              <w:pStyle w:val="TableParagraph"/>
              <w:spacing w:line="164" w:lineRule="exact"/>
              <w:ind w:right="270"/>
              <w:jc w:val="right"/>
              <w:rPr>
                <w:sz w:val="15"/>
              </w:rPr>
            </w:pPr>
            <w:r>
              <w:rPr>
                <w:sz w:val="15"/>
              </w:rPr>
              <w:t>852.371,94</w:t>
            </w:r>
          </w:p>
        </w:tc>
        <w:tc>
          <w:tcPr>
            <w:tcW w:w="1484" w:type="dxa"/>
          </w:tcPr>
          <w:p>
            <w:pPr>
              <w:pStyle w:val="TableParagraph"/>
              <w:spacing w:line="164" w:lineRule="exact"/>
              <w:ind w:right="327"/>
              <w:jc w:val="right"/>
              <w:rPr>
                <w:sz w:val="15"/>
              </w:rPr>
            </w:pPr>
            <w:r>
              <w:rPr>
                <w:sz w:val="15"/>
              </w:rPr>
              <w:t>1.857.584,15</w:t>
            </w:r>
          </w:p>
        </w:tc>
      </w:tr>
      <w:tr>
        <w:trPr>
          <w:trHeight w:val="184" w:hRule="atLeast"/>
        </w:trPr>
        <w:tc>
          <w:tcPr>
            <w:tcW w:w="871" w:type="dxa"/>
          </w:tcPr>
          <w:p>
            <w:pPr>
              <w:pStyle w:val="TableParagraph"/>
              <w:spacing w:line="164" w:lineRule="exact"/>
              <w:ind w:left="261"/>
              <w:rPr>
                <w:sz w:val="15"/>
              </w:rPr>
            </w:pPr>
            <w:r>
              <w:rPr>
                <w:sz w:val="15"/>
              </w:rPr>
              <w:t>2019</w:t>
            </w:r>
          </w:p>
        </w:tc>
        <w:tc>
          <w:tcPr>
            <w:tcW w:w="1277" w:type="dxa"/>
          </w:tcPr>
          <w:p>
            <w:pPr>
              <w:pStyle w:val="TableParagraph"/>
              <w:spacing w:line="164" w:lineRule="exact"/>
              <w:ind w:right="92"/>
              <w:jc w:val="right"/>
              <w:rPr>
                <w:sz w:val="15"/>
              </w:rPr>
            </w:pPr>
            <w:r>
              <w:rPr>
                <w:sz w:val="15"/>
              </w:rPr>
              <w:t>673.080,70</w:t>
            </w:r>
          </w:p>
        </w:tc>
        <w:tc>
          <w:tcPr>
            <w:tcW w:w="1088" w:type="dxa"/>
          </w:tcPr>
          <w:p>
            <w:pPr>
              <w:pStyle w:val="TableParagraph"/>
              <w:spacing w:line="164" w:lineRule="exact"/>
              <w:ind w:right="188"/>
              <w:jc w:val="right"/>
              <w:rPr>
                <w:sz w:val="15"/>
              </w:rPr>
            </w:pPr>
            <w:r>
              <w:rPr>
                <w:sz w:val="15"/>
              </w:rPr>
              <w:t>2.272.043,01</w:t>
            </w:r>
          </w:p>
        </w:tc>
        <w:tc>
          <w:tcPr>
            <w:tcW w:w="1152" w:type="dxa"/>
          </w:tcPr>
          <w:p>
            <w:pPr>
              <w:pStyle w:val="TableParagraph"/>
              <w:spacing w:line="164" w:lineRule="exact"/>
              <w:ind w:right="270"/>
              <w:jc w:val="right"/>
              <w:rPr>
                <w:sz w:val="15"/>
              </w:rPr>
            </w:pPr>
            <w:r>
              <w:rPr>
                <w:sz w:val="15"/>
              </w:rPr>
              <w:t>263.653,13</w:t>
            </w:r>
          </w:p>
        </w:tc>
        <w:tc>
          <w:tcPr>
            <w:tcW w:w="1484" w:type="dxa"/>
          </w:tcPr>
          <w:p>
            <w:pPr>
              <w:pStyle w:val="TableParagraph"/>
              <w:spacing w:line="164" w:lineRule="exact"/>
              <w:ind w:right="327"/>
              <w:jc w:val="right"/>
              <w:rPr>
                <w:sz w:val="15"/>
              </w:rPr>
            </w:pPr>
            <w:r>
              <w:rPr>
                <w:sz w:val="15"/>
              </w:rPr>
              <w:t>3.208.776,84</w:t>
            </w:r>
          </w:p>
        </w:tc>
      </w:tr>
      <w:tr>
        <w:trPr>
          <w:trHeight w:val="184" w:hRule="atLeast"/>
        </w:trPr>
        <w:tc>
          <w:tcPr>
            <w:tcW w:w="871" w:type="dxa"/>
          </w:tcPr>
          <w:p>
            <w:pPr>
              <w:pStyle w:val="TableParagraph"/>
              <w:spacing w:line="164" w:lineRule="exact"/>
              <w:ind w:left="261"/>
              <w:rPr>
                <w:sz w:val="15"/>
              </w:rPr>
            </w:pPr>
            <w:r>
              <w:rPr>
                <w:sz w:val="15"/>
              </w:rPr>
              <w:t>2020</w:t>
            </w:r>
          </w:p>
        </w:tc>
        <w:tc>
          <w:tcPr>
            <w:tcW w:w="1277" w:type="dxa"/>
          </w:tcPr>
          <w:p>
            <w:pPr>
              <w:pStyle w:val="TableParagraph"/>
              <w:spacing w:line="164" w:lineRule="exact"/>
              <w:ind w:right="92"/>
              <w:jc w:val="right"/>
              <w:rPr>
                <w:sz w:val="15"/>
              </w:rPr>
            </w:pPr>
            <w:r>
              <w:rPr>
                <w:sz w:val="15"/>
              </w:rPr>
              <w:t>668.154,81</w:t>
            </w:r>
          </w:p>
        </w:tc>
        <w:tc>
          <w:tcPr>
            <w:tcW w:w="1088" w:type="dxa"/>
          </w:tcPr>
          <w:p>
            <w:pPr>
              <w:pStyle w:val="TableParagraph"/>
              <w:spacing w:line="164" w:lineRule="exact"/>
              <w:ind w:right="188"/>
              <w:jc w:val="right"/>
              <w:rPr>
                <w:sz w:val="15"/>
              </w:rPr>
            </w:pPr>
            <w:r>
              <w:rPr>
                <w:sz w:val="15"/>
              </w:rPr>
              <w:t>186.534,1</w:t>
            </w:r>
          </w:p>
        </w:tc>
        <w:tc>
          <w:tcPr>
            <w:tcW w:w="1152" w:type="dxa"/>
          </w:tcPr>
          <w:p>
            <w:pPr>
              <w:pStyle w:val="TableParagraph"/>
              <w:spacing w:line="164" w:lineRule="exact"/>
              <w:ind w:right="270"/>
              <w:jc w:val="right"/>
              <w:rPr>
                <w:sz w:val="15"/>
              </w:rPr>
            </w:pPr>
            <w:r>
              <w:rPr>
                <w:sz w:val="15"/>
              </w:rPr>
              <w:t>207.610,65</w:t>
            </w:r>
          </w:p>
        </w:tc>
        <w:tc>
          <w:tcPr>
            <w:tcW w:w="1484" w:type="dxa"/>
          </w:tcPr>
          <w:p>
            <w:pPr>
              <w:pStyle w:val="TableParagraph"/>
              <w:spacing w:line="164" w:lineRule="exact"/>
              <w:ind w:right="327"/>
              <w:jc w:val="right"/>
              <w:rPr>
                <w:sz w:val="15"/>
              </w:rPr>
            </w:pPr>
            <w:r>
              <w:rPr>
                <w:sz w:val="15"/>
              </w:rPr>
              <w:t>1.062.299,56</w:t>
            </w:r>
          </w:p>
        </w:tc>
      </w:tr>
      <w:tr>
        <w:trPr>
          <w:trHeight w:val="168" w:hRule="atLeast"/>
        </w:trPr>
        <w:tc>
          <w:tcPr>
            <w:tcW w:w="871" w:type="dxa"/>
          </w:tcPr>
          <w:p>
            <w:pPr>
              <w:pStyle w:val="TableParagraph"/>
              <w:spacing w:line="148" w:lineRule="exact"/>
              <w:ind w:left="261"/>
              <w:rPr>
                <w:sz w:val="15"/>
              </w:rPr>
            </w:pPr>
            <w:r>
              <w:rPr>
                <w:sz w:val="15"/>
              </w:rPr>
              <w:t>2021</w:t>
            </w:r>
          </w:p>
        </w:tc>
        <w:tc>
          <w:tcPr>
            <w:tcW w:w="1277" w:type="dxa"/>
          </w:tcPr>
          <w:p>
            <w:pPr>
              <w:pStyle w:val="TableParagraph"/>
              <w:spacing w:line="148" w:lineRule="exact"/>
              <w:ind w:right="92"/>
              <w:jc w:val="right"/>
              <w:rPr>
                <w:sz w:val="15"/>
              </w:rPr>
            </w:pPr>
            <w:r>
              <w:rPr>
                <w:sz w:val="15"/>
              </w:rPr>
              <w:t>10.521.345,70</w:t>
            </w:r>
          </w:p>
        </w:tc>
        <w:tc>
          <w:tcPr>
            <w:tcW w:w="1088" w:type="dxa"/>
          </w:tcPr>
          <w:p>
            <w:pPr>
              <w:pStyle w:val="TableParagraph"/>
              <w:spacing w:line="148" w:lineRule="exact"/>
              <w:ind w:right="188"/>
              <w:jc w:val="right"/>
              <w:rPr>
                <w:sz w:val="15"/>
              </w:rPr>
            </w:pPr>
            <w:r>
              <w:rPr>
                <w:sz w:val="15"/>
              </w:rPr>
              <w:t>646.230,46</w:t>
            </w:r>
          </w:p>
        </w:tc>
        <w:tc>
          <w:tcPr>
            <w:tcW w:w="1152" w:type="dxa"/>
          </w:tcPr>
          <w:p>
            <w:pPr>
              <w:pStyle w:val="TableParagraph"/>
              <w:spacing w:line="148" w:lineRule="exact"/>
              <w:ind w:right="270"/>
              <w:jc w:val="right"/>
              <w:rPr>
                <w:sz w:val="15"/>
              </w:rPr>
            </w:pPr>
            <w:r>
              <w:rPr>
                <w:sz w:val="15"/>
              </w:rPr>
              <w:t>482.953,35</w:t>
            </w:r>
          </w:p>
        </w:tc>
        <w:tc>
          <w:tcPr>
            <w:tcW w:w="1484" w:type="dxa"/>
          </w:tcPr>
          <w:p>
            <w:pPr>
              <w:pStyle w:val="TableParagraph"/>
              <w:spacing w:line="148" w:lineRule="exact"/>
              <w:ind w:right="327"/>
              <w:jc w:val="right"/>
              <w:rPr>
                <w:sz w:val="15"/>
              </w:rPr>
            </w:pPr>
            <w:r>
              <w:rPr>
                <w:sz w:val="15"/>
              </w:rPr>
              <w:t>11.650.529,51</w:t>
            </w:r>
          </w:p>
        </w:tc>
      </w:tr>
    </w:tbl>
    <w:p>
      <w:pPr>
        <w:tabs>
          <w:tab w:pos="2984" w:val="left" w:leader="none"/>
          <w:tab w:pos="3898" w:val="left" w:leader="none"/>
          <w:tab w:pos="6036" w:val="left" w:leader="none"/>
          <w:tab w:pos="7387" w:val="left" w:leader="none"/>
        </w:tabs>
        <w:spacing w:before="2"/>
        <w:ind w:left="2718" w:right="0" w:firstLine="0"/>
        <w:jc w:val="left"/>
        <w:rPr>
          <w:b/>
          <w:sz w:val="15"/>
        </w:rPr>
      </w:pPr>
      <w:r>
        <w:rPr>
          <w:b/>
          <w:w w:val="100"/>
          <w:sz w:val="15"/>
          <w:u w:val="single"/>
        </w:rPr>
        <w:t> </w:t>
      </w:r>
      <w:r>
        <w:rPr>
          <w:b/>
          <w:sz w:val="15"/>
          <w:u w:val="single"/>
        </w:rPr>
        <w:tab/>
        <w:t>Total</w:t>
        <w:tab/>
        <w:t>17.552.018,98    </w:t>
      </w:r>
      <w:r>
        <w:rPr>
          <w:b/>
          <w:spacing w:val="7"/>
          <w:sz w:val="15"/>
          <w:u w:val="single"/>
        </w:rPr>
        <w:t> </w:t>
      </w:r>
      <w:r>
        <w:rPr>
          <w:b/>
          <w:sz w:val="15"/>
          <w:u w:val="single"/>
        </w:rPr>
        <w:t>8.003.689,04</w:t>
        <w:tab/>
        <w:t>4.327.104,31</w:t>
        <w:tab/>
        <w:t>29.882.812,33</w:t>
      </w:r>
      <w:r>
        <w:rPr>
          <w:b/>
          <w:spacing w:val="-10"/>
          <w:sz w:val="15"/>
          <w:u w:val="single"/>
        </w:rPr>
        <w:t> </w:t>
      </w:r>
    </w:p>
    <w:p>
      <w:pPr>
        <w:pStyle w:val="BodyText"/>
        <w:spacing w:before="4"/>
        <w:rPr>
          <w:b/>
          <w:sz w:val="12"/>
        </w:rPr>
      </w:pPr>
    </w:p>
    <w:p>
      <w:pPr>
        <w:pStyle w:val="Heading1"/>
        <w:spacing w:before="61"/>
        <w:ind w:left="2096"/>
        <w:jc w:val="left"/>
      </w:pPr>
      <w:r>
        <w:rPr/>
        <w:t>4.2.8.2 Liquidación de los recursos del sistema de financiación autonómico.</w:t>
      </w:r>
    </w:p>
    <w:p>
      <w:pPr>
        <w:pStyle w:val="BodyText"/>
        <w:spacing w:before="6"/>
        <w:rPr>
          <w:b/>
          <w:sz w:val="16"/>
        </w:rPr>
      </w:pPr>
    </w:p>
    <w:p>
      <w:pPr>
        <w:pStyle w:val="BodyText"/>
        <w:spacing w:line="242" w:lineRule="auto"/>
        <w:ind w:left="2096" w:right="1140" w:firstLine="594"/>
        <w:jc w:val="both"/>
      </w:pPr>
      <w:r>
        <w:rPr/>
        <w:t>Los recursos del sistema de financiación autonómico</w:t>
      </w:r>
      <w:r>
        <w:rPr>
          <w:position w:val="7"/>
          <w:sz w:val="13"/>
        </w:rPr>
        <w:t>10</w:t>
      </w:r>
      <w:r>
        <w:rPr/>
        <w:t>, suponen el 64 % de los derechos reconocidos netos de operaciones no financieras del ejercicio, lo que pone en valor la importancia de estos recursos en el presupuesto de ingresos. Le sigue en</w:t>
      </w:r>
    </w:p>
    <w:p>
      <w:pPr>
        <w:pStyle w:val="BodyText"/>
      </w:pPr>
    </w:p>
    <w:p>
      <w:pPr>
        <w:pStyle w:val="BodyText"/>
        <w:rPr>
          <w:sz w:val="24"/>
        </w:rPr>
      </w:pPr>
      <w:r>
        <w:rPr/>
        <w:pict>
          <v:shape style="position:absolute;margin-left:142.816818pt;margin-top:16.995113pt;width:120.95pt;height:.1pt;mso-position-horizontal-relative:page;mso-position-vertical-relative:paragraph;z-index:-251506688;mso-wrap-distance-left:0;mso-wrap-distance-right:0" coordorigin="2856,340" coordsize="2419,0" path="m2856,340l5275,340e" filled="false" stroked="true" strokeweight=".604535pt" strokecolor="#000000">
            <v:path arrowok="t"/>
            <v:stroke dashstyle="solid"/>
            <w10:wrap type="topAndBottom"/>
          </v:shape>
        </w:pict>
      </w:r>
    </w:p>
    <w:p>
      <w:pPr>
        <w:spacing w:line="252" w:lineRule="auto" w:before="51"/>
        <w:ind w:left="2096" w:right="1201" w:firstLine="0"/>
        <w:jc w:val="left"/>
        <w:rPr>
          <w:sz w:val="16"/>
        </w:rPr>
      </w:pPr>
      <w:r>
        <w:rPr>
          <w:w w:val="105"/>
          <w:position w:val="6"/>
          <w:sz w:val="11"/>
        </w:rPr>
        <w:t>10 </w:t>
      </w:r>
      <w:r>
        <w:rPr>
          <w:w w:val="105"/>
          <w:sz w:val="16"/>
        </w:rPr>
        <w:t>Ley 22/2009, de 18 de diciembre, por la que se regula el sistema de financiación de las Comunidades autónomas de régimen común.</w:t>
      </w:r>
    </w:p>
    <w:p>
      <w:pPr>
        <w:pStyle w:val="BodyText"/>
        <w:spacing w:line="237" w:lineRule="exact"/>
        <w:ind w:left="7897"/>
        <w:jc w:val="center"/>
      </w:pPr>
      <w:r>
        <w:rPr/>
        <w:t>47</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05" name="image5.png"/>
                  <wp:cNvGraphicFramePr>
                    <a:graphicFrameLocks noChangeAspect="1"/>
                  </wp:cNvGraphicFramePr>
                  <a:graphic>
                    <a:graphicData uri="http://schemas.openxmlformats.org/drawingml/2006/picture">
                      <pic:pic>
                        <pic:nvPicPr>
                          <pic:cNvPr id="10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49/247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pPr>
      <w:r>
        <w:rPr/>
        <w:t>importancia los derechos reconocidos netos por transferencias de capital con sólo el 13</w:t>
      </w:r>
    </w:p>
    <w:p>
      <w:pPr>
        <w:pStyle w:val="BodyText"/>
        <w:spacing w:before="2"/>
        <w:ind w:left="2096"/>
      </w:pPr>
      <w:r>
        <w:rPr/>
        <w:t>%.</w:t>
      </w:r>
    </w:p>
    <w:p>
      <w:pPr>
        <w:pStyle w:val="BodyText"/>
        <w:spacing w:before="8"/>
        <w:rPr>
          <w:sz w:val="16"/>
        </w:rPr>
      </w:pPr>
    </w:p>
    <w:p>
      <w:pPr>
        <w:pStyle w:val="BodyText"/>
        <w:ind w:left="2096" w:right="1138" w:firstLine="594"/>
        <w:jc w:val="both"/>
      </w:pPr>
      <w:r>
        <w:rPr/>
        <w:t>De conformidad con la Ley 22/2009, de 18 de diciembre, por la que se regula el sistema</w:t>
      </w:r>
      <w:r>
        <w:rPr>
          <w:spacing w:val="-8"/>
        </w:rPr>
        <w:t> </w:t>
      </w:r>
      <w:r>
        <w:rPr/>
        <w:t>de</w:t>
      </w:r>
      <w:r>
        <w:rPr>
          <w:spacing w:val="-7"/>
        </w:rPr>
        <w:t> </w:t>
      </w:r>
      <w:r>
        <w:rPr/>
        <w:t>financiación</w:t>
      </w:r>
      <w:r>
        <w:rPr>
          <w:spacing w:val="-6"/>
        </w:rPr>
        <w:t> </w:t>
      </w:r>
      <w:r>
        <w:rPr/>
        <w:t>de</w:t>
      </w:r>
      <w:r>
        <w:rPr>
          <w:spacing w:val="-4"/>
        </w:rPr>
        <w:t> </w:t>
      </w:r>
      <w:r>
        <w:rPr/>
        <w:t>las</w:t>
      </w:r>
      <w:r>
        <w:rPr>
          <w:spacing w:val="-5"/>
        </w:rPr>
        <w:t> </w:t>
      </w:r>
      <w:r>
        <w:rPr/>
        <w:t>Comunidades</w:t>
      </w:r>
      <w:r>
        <w:rPr>
          <w:spacing w:val="-7"/>
        </w:rPr>
        <w:t> </w:t>
      </w:r>
      <w:r>
        <w:rPr/>
        <w:t>Autónomas</w:t>
      </w:r>
      <w:r>
        <w:rPr>
          <w:spacing w:val="-5"/>
        </w:rPr>
        <w:t> </w:t>
      </w:r>
      <w:r>
        <w:rPr/>
        <w:t>de</w:t>
      </w:r>
      <w:r>
        <w:rPr>
          <w:spacing w:val="-7"/>
        </w:rPr>
        <w:t> </w:t>
      </w:r>
      <w:r>
        <w:rPr/>
        <w:t>régimen</w:t>
      </w:r>
      <w:r>
        <w:rPr>
          <w:spacing w:val="-5"/>
        </w:rPr>
        <w:t> </w:t>
      </w:r>
      <w:r>
        <w:rPr/>
        <w:t>común,</w:t>
      </w:r>
      <w:r>
        <w:rPr>
          <w:spacing w:val="-7"/>
        </w:rPr>
        <w:t> </w:t>
      </w:r>
      <w:r>
        <w:rPr/>
        <w:t>los</w:t>
      </w:r>
      <w:r>
        <w:rPr>
          <w:spacing w:val="-5"/>
        </w:rPr>
        <w:t> </w:t>
      </w:r>
      <w:r>
        <w:rPr/>
        <w:t>ingresos referidos al sistema de financiación autonómico, incorporados en los derechos reconocidos del ejercicio, incluyen las entregas a cuenta para el ejercicio 2022 comunicadas</w:t>
      </w:r>
      <w:r>
        <w:rPr>
          <w:spacing w:val="-6"/>
        </w:rPr>
        <w:t> </w:t>
      </w:r>
      <w:r>
        <w:rPr/>
        <w:t>por</w:t>
      </w:r>
      <w:r>
        <w:rPr>
          <w:spacing w:val="-5"/>
        </w:rPr>
        <w:t> </w:t>
      </w:r>
      <w:r>
        <w:rPr/>
        <w:t>el</w:t>
      </w:r>
      <w:r>
        <w:rPr>
          <w:spacing w:val="-5"/>
        </w:rPr>
        <w:t> </w:t>
      </w:r>
      <w:r>
        <w:rPr/>
        <w:t>Ministerio</w:t>
      </w:r>
      <w:r>
        <w:rPr>
          <w:spacing w:val="-6"/>
        </w:rPr>
        <w:t> </w:t>
      </w:r>
      <w:r>
        <w:rPr/>
        <w:t>de</w:t>
      </w:r>
      <w:r>
        <w:rPr>
          <w:spacing w:val="-5"/>
        </w:rPr>
        <w:t> </w:t>
      </w:r>
      <w:r>
        <w:rPr/>
        <w:t>Hacienda</w:t>
      </w:r>
      <w:r>
        <w:rPr>
          <w:spacing w:val="-5"/>
        </w:rPr>
        <w:t> </w:t>
      </w:r>
      <w:r>
        <w:rPr/>
        <w:t>y</w:t>
      </w:r>
      <w:r>
        <w:rPr>
          <w:spacing w:val="-4"/>
        </w:rPr>
        <w:t> </w:t>
      </w:r>
      <w:r>
        <w:rPr/>
        <w:t>Función</w:t>
      </w:r>
      <w:r>
        <w:rPr>
          <w:spacing w:val="-2"/>
        </w:rPr>
        <w:t> </w:t>
      </w:r>
      <w:r>
        <w:rPr/>
        <w:t>Pública</w:t>
      </w:r>
      <w:r>
        <w:rPr>
          <w:position w:val="7"/>
          <w:sz w:val="13"/>
        </w:rPr>
        <w:t>11</w:t>
      </w:r>
      <w:r>
        <w:rPr>
          <w:spacing w:val="12"/>
          <w:position w:val="7"/>
          <w:sz w:val="13"/>
        </w:rPr>
        <w:t> </w:t>
      </w:r>
      <w:r>
        <w:rPr/>
        <w:t>y</w:t>
      </w:r>
      <w:r>
        <w:rPr>
          <w:spacing w:val="-4"/>
        </w:rPr>
        <w:t> </w:t>
      </w:r>
      <w:r>
        <w:rPr/>
        <w:t>la</w:t>
      </w:r>
      <w:r>
        <w:rPr>
          <w:spacing w:val="-3"/>
        </w:rPr>
        <w:t> </w:t>
      </w:r>
      <w:r>
        <w:rPr/>
        <w:t>liquidación</w:t>
      </w:r>
      <w:r>
        <w:rPr>
          <w:spacing w:val="-4"/>
        </w:rPr>
        <w:t> </w:t>
      </w:r>
      <w:r>
        <w:rPr/>
        <w:t>definitiva de las entregas a cuenta del ejercicio</w:t>
      </w:r>
      <w:r>
        <w:rPr>
          <w:spacing w:val="-1"/>
        </w:rPr>
        <w:t> </w:t>
      </w:r>
      <w:r>
        <w:rPr/>
        <w:t>2020</w:t>
      </w:r>
      <w:r>
        <w:rPr>
          <w:position w:val="7"/>
          <w:sz w:val="13"/>
        </w:rPr>
        <w:t>12</w:t>
      </w:r>
      <w:r>
        <w:rPr/>
        <w:t>.</w:t>
      </w:r>
    </w:p>
    <w:p>
      <w:pPr>
        <w:pStyle w:val="BodyText"/>
        <w:spacing w:before="11"/>
        <w:rPr>
          <w:sz w:val="16"/>
        </w:rPr>
      </w:pPr>
    </w:p>
    <w:p>
      <w:pPr>
        <w:pStyle w:val="BodyText"/>
        <w:spacing w:line="242" w:lineRule="auto" w:before="1"/>
        <w:ind w:left="2096" w:right="1137" w:firstLine="594"/>
        <w:jc w:val="both"/>
      </w:pPr>
      <w:r>
        <w:rPr/>
        <w:t>En el siguiente cuadro se incluyen los tributos cedidos que tienen la consideración de recursos financieros, tal y como recoge el Art. 8 de la Ley 22/2009 anteriormente citada: Impuestos sobre Transmisiones Patrimoniales y Actos Jurídicos documentados, Impuesto sobre Sucesiones y Donaciones, Tributos sobre el Juego y Tasas, y la Tarifa autonómica del Impuesto sobre la Renta de las Personas Físicas. Por otro lado, y derivado del régimen económico-fiscal especial que goza la CAC, en el ámbito de la imposición indirecta no se aplican algunos impuestos especiales, como el Impuesto Especial sobre Hidrocarburos y el Impuesto Especial sobre las Labores del Tabaco. Ya la Ley del sistema de financiación autonómico, Ley 22/2009, tiene en cuenta estas especiales características en su disposición adicional segunda</w:t>
      </w:r>
      <w:r>
        <w:rPr>
          <w:position w:val="7"/>
          <w:sz w:val="13"/>
        </w:rPr>
        <w:t>13</w:t>
      </w:r>
      <w:r>
        <w:rPr/>
        <w:t>. Por tanto, los impuestos especiales que se indican en el cuadro siguiente incluirían solamente los impuestos de fabricación sobre el alcohol y bebidas derivadas, sobre productos intermedios, sobre la cerveza y sobre la electricidad.</w:t>
      </w:r>
    </w:p>
    <w:p>
      <w:pPr>
        <w:pStyle w:val="BodyText"/>
      </w:pPr>
    </w:p>
    <w:p>
      <w:pPr>
        <w:pStyle w:val="BodyText"/>
      </w:pPr>
    </w:p>
    <w:p>
      <w:pPr>
        <w:pStyle w:val="BodyText"/>
      </w:pPr>
    </w:p>
    <w:p>
      <w:pPr>
        <w:pStyle w:val="BodyText"/>
      </w:pPr>
    </w:p>
    <w:p>
      <w:pPr>
        <w:pStyle w:val="BodyText"/>
      </w:pPr>
    </w:p>
    <w:p>
      <w:pPr>
        <w:pStyle w:val="BodyText"/>
        <w:spacing w:before="10"/>
        <w:rPr>
          <w:sz w:val="11"/>
        </w:rPr>
      </w:pPr>
      <w:r>
        <w:rPr/>
        <w:pict>
          <v:shape style="position:absolute;margin-left:142.816818pt;margin-top:9.526102pt;width:120.95pt;height:.1pt;mso-position-horizontal-relative:page;mso-position-vertical-relative:paragraph;z-index:-251505664;mso-wrap-distance-left:0;mso-wrap-distance-right:0" coordorigin="2856,191" coordsize="2419,0" path="m2856,191l5275,191e" filled="false" stroked="true" strokeweight=".604484pt" strokecolor="#000000">
            <v:path arrowok="t"/>
            <v:stroke dashstyle="solid"/>
            <w10:wrap type="topAndBottom"/>
          </v:shape>
        </w:pict>
      </w:r>
    </w:p>
    <w:p>
      <w:pPr>
        <w:spacing w:line="247" w:lineRule="auto" w:before="51"/>
        <w:ind w:left="2096" w:right="1446" w:firstLine="0"/>
        <w:jc w:val="left"/>
        <w:rPr>
          <w:sz w:val="16"/>
        </w:rPr>
      </w:pPr>
      <w:r>
        <w:rPr>
          <w:w w:val="105"/>
          <w:position w:val="6"/>
          <w:sz w:val="11"/>
        </w:rPr>
        <w:t>11 </w:t>
      </w:r>
      <w:r>
        <w:rPr>
          <w:w w:val="105"/>
          <w:sz w:val="13"/>
        </w:rPr>
        <w:t>https</w:t>
      </w:r>
      <w:hyperlink r:id="rId15">
        <w:r>
          <w:rPr>
            <w:w w:val="105"/>
            <w:sz w:val="13"/>
          </w:rPr>
          <w:t>://www.hacienda.gob.es/es-</w:t>
        </w:r>
      </w:hyperlink>
      <w:r>
        <w:rPr>
          <w:w w:val="105"/>
          <w:sz w:val="13"/>
        </w:rPr>
        <w:t> </w:t>
      </w:r>
      <w:r>
        <w:rPr>
          <w:spacing w:val="-1"/>
          <w:sz w:val="13"/>
        </w:rPr>
        <w:t>ES/CDI/Paginas/SistemasFinanciacionDeuda/InformacionCCAAs/Informes%20financiacion%20comunidades%20autonomas1.aspx        </w:t>
      </w:r>
      <w:r>
        <w:rPr>
          <w:spacing w:val="-1"/>
          <w:position w:val="6"/>
          <w:sz w:val="13"/>
        </w:rPr>
        <w:t> </w:t>
      </w:r>
      <w:r>
        <w:rPr>
          <w:w w:val="105"/>
          <w:position w:val="6"/>
          <w:sz w:val="11"/>
        </w:rPr>
        <w:t>12 </w:t>
      </w:r>
      <w:r>
        <w:rPr>
          <w:w w:val="105"/>
          <w:sz w:val="13"/>
        </w:rPr>
        <w:t>https://</w:t>
      </w:r>
      <w:hyperlink r:id="rId15">
        <w:r>
          <w:rPr>
            <w:w w:val="105"/>
            <w:sz w:val="13"/>
          </w:rPr>
          <w:t>www.hacienda.gob.es/es-</w:t>
        </w:r>
      </w:hyperlink>
      <w:r>
        <w:rPr>
          <w:w w:val="105"/>
          <w:sz w:val="13"/>
        </w:rPr>
        <w:t> </w:t>
      </w:r>
      <w:r>
        <w:rPr>
          <w:spacing w:val="-1"/>
          <w:sz w:val="13"/>
        </w:rPr>
        <w:t>ES/CDI/Paginas/SistemasFinanciacionDeuda/InformacionCCAAs/Informes%20financiacion%20comunidades%20autonomas2.aspx        </w:t>
      </w:r>
      <w:r>
        <w:rPr>
          <w:spacing w:val="-1"/>
          <w:position w:val="6"/>
          <w:sz w:val="13"/>
        </w:rPr>
        <w:t> </w:t>
      </w:r>
      <w:r>
        <w:rPr>
          <w:w w:val="105"/>
          <w:position w:val="6"/>
          <w:sz w:val="11"/>
        </w:rPr>
        <w:t>13 </w:t>
      </w:r>
      <w:r>
        <w:rPr>
          <w:w w:val="105"/>
          <w:sz w:val="16"/>
        </w:rPr>
        <w:t>Disposición adicional segunda. Comunidad Autónoma de</w:t>
      </w:r>
      <w:r>
        <w:rPr>
          <w:spacing w:val="-19"/>
          <w:w w:val="105"/>
          <w:sz w:val="16"/>
        </w:rPr>
        <w:t> </w:t>
      </w:r>
      <w:r>
        <w:rPr>
          <w:w w:val="105"/>
          <w:sz w:val="16"/>
        </w:rPr>
        <w:t>Canarias:</w:t>
      </w:r>
    </w:p>
    <w:p>
      <w:pPr>
        <w:spacing w:line="252" w:lineRule="auto" w:before="6"/>
        <w:ind w:left="2096" w:right="1142" w:firstLine="0"/>
        <w:jc w:val="both"/>
        <w:rPr>
          <w:i/>
          <w:sz w:val="16"/>
        </w:rPr>
      </w:pPr>
      <w:r>
        <w:rPr>
          <w:w w:val="105"/>
          <w:sz w:val="16"/>
        </w:rPr>
        <w:t>“</w:t>
      </w:r>
      <w:r>
        <w:rPr>
          <w:i/>
          <w:w w:val="105"/>
          <w:sz w:val="16"/>
        </w:rPr>
        <w:t>En relación con la Comunidad Autónoma de Canarias, tanto la determinación de los recursos financieros </w:t>
      </w:r>
      <w:r>
        <w:rPr>
          <w:i/>
          <w:w w:val="105"/>
          <w:sz w:val="16"/>
        </w:rPr>
        <w:t>del sistema en el año base, de su capacidad tributaria, de la transferencia del Fondo de Garantía de Servicios Públicos Fundamentales y de su Fondo de Suficiencia Global, así como la participación en los fondos de convergencia autonómica y el régimen de cesión de tributos, se realizarán respetando lo establecido en su peculiar régimen económico y fiscal, establecido en las leyes integrantes del Régimen Económico Fiscal de Canarias y sus normas de desarrollo.</w:t>
      </w:r>
    </w:p>
    <w:p>
      <w:pPr>
        <w:spacing w:line="252" w:lineRule="auto" w:before="0"/>
        <w:ind w:left="2096" w:right="1144" w:firstLine="0"/>
        <w:jc w:val="both"/>
        <w:rPr>
          <w:i/>
          <w:sz w:val="16"/>
        </w:rPr>
      </w:pPr>
      <w:r>
        <w:rPr>
          <w:i/>
          <w:w w:val="105"/>
          <w:sz w:val="16"/>
        </w:rPr>
        <w:t>Dicho régimen fiscal tradicional otorga una menor presión fiscal en el territorio canario y sanciona la </w:t>
      </w:r>
      <w:r>
        <w:rPr>
          <w:i/>
          <w:w w:val="105"/>
          <w:sz w:val="16"/>
        </w:rPr>
        <w:t>imposibilidad de compensación o de reducción del volumen de gasto corriente o de capital del Estado por esta causa.”</w:t>
      </w:r>
    </w:p>
    <w:p>
      <w:pPr>
        <w:pStyle w:val="BodyText"/>
        <w:spacing w:line="237" w:lineRule="exact"/>
        <w:ind w:left="7897"/>
        <w:jc w:val="center"/>
      </w:pPr>
      <w:r>
        <w:rPr/>
        <w:t>48</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07" name="image5.png"/>
                  <wp:cNvGraphicFramePr>
                    <a:graphicFrameLocks noChangeAspect="1"/>
                  </wp:cNvGraphicFramePr>
                  <a:graphic>
                    <a:graphicData uri="http://schemas.openxmlformats.org/drawingml/2006/picture">
                      <pic:pic>
                        <pic:nvPicPr>
                          <pic:cNvPr id="10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50/247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12"/>
        </w:rPr>
      </w:pPr>
    </w:p>
    <w:p>
      <w:pPr>
        <w:spacing w:before="77" w:after="3"/>
        <w:ind w:left="0" w:right="1169" w:firstLine="0"/>
        <w:jc w:val="right"/>
        <w:rPr>
          <w:b/>
          <w:sz w:val="13"/>
        </w:rPr>
      </w:pPr>
      <w:r>
        <w:rPr>
          <w:b/>
          <w:w w:val="105"/>
          <w:sz w:val="13"/>
        </w:rPr>
        <w:t>millones de €</w:t>
      </w:r>
    </w:p>
    <w:p>
      <w:pPr>
        <w:pStyle w:val="BodyText"/>
        <w:ind w:left="5777"/>
      </w:pPr>
      <w:r>
        <w:rPr/>
        <w:pict>
          <v:group style="width:175.1pt;height:33.7pt;mso-position-horizontal-relative:char;mso-position-vertical-relative:line" coordorigin="0,0" coordsize="3502,674">
            <v:rect style="position:absolute;left:0;top:16;width:1192;height:657" filled="true" fillcolor="#deeaf6" stroked="false">
              <v:fill type="solid"/>
            </v:rect>
            <v:rect style="position:absolute;left:58;top:261;width:1075;height:164" filled="true" fillcolor="#deeaf6" stroked="false">
              <v:fill type="solid"/>
            </v:rect>
            <v:rect style="position:absolute;left:1191;top:16;width:756;height:657" filled="true" fillcolor="#deeaf6" stroked="false">
              <v:fill type="solid"/>
            </v:rect>
            <v:rect style="position:absolute;left:1249;top:16;width:639;height:164" filled="true" fillcolor="#deeaf6" stroked="false">
              <v:fill type="solid"/>
            </v:rect>
            <v:rect style="position:absolute;left:1249;top:179;width:639;height:166" filled="true" fillcolor="#deeaf6" stroked="false">
              <v:fill type="solid"/>
            </v:rect>
            <v:rect style="position:absolute;left:1249;top:344;width:639;height:164" filled="true" fillcolor="#deeaf6" stroked="false">
              <v:fill type="solid"/>
            </v:rect>
            <v:rect style="position:absolute;left:1249;top:507;width:639;height:166" filled="true" fillcolor="#deeaf6" stroked="false">
              <v:fill type="solid"/>
            </v:rect>
            <v:rect style="position:absolute;left:1947;top:16;width:671;height:657" filled="true" fillcolor="#deeaf6" stroked="false">
              <v:fill type="solid"/>
            </v:rect>
            <v:rect style="position:absolute;left:2005;top:261;width:555;height:164" filled="true" fillcolor="#deeaf6" stroked="false">
              <v:fill type="solid"/>
            </v:rect>
            <v:rect style="position:absolute;left:2618;top:16;width:883;height:657" filled="true" fillcolor="#deeaf6" stroked="false">
              <v:fill type="solid"/>
            </v:rect>
            <v:rect style="position:absolute;left:2678;top:179;width:765;height:166" filled="true" fillcolor="#deeaf6" stroked="false">
              <v:fill type="solid"/>
            </v:rect>
            <v:rect style="position:absolute;left:2678;top:344;width:765;height:164" filled="true" fillcolor="#deeaf6" stroked="false">
              <v:fill type="solid"/>
            </v:rect>
            <v:line style="position:absolute" from="0,8" to="1191,8" stroked="true" strokeweight=".806013pt" strokecolor="#000000">
              <v:stroke dashstyle="solid"/>
            </v:line>
            <v:rect style="position:absolute;left:1191;top:0;width:17;height:17" filled="true" fillcolor="#000000" stroked="false">
              <v:fill type="solid"/>
            </v:rect>
            <v:line style="position:absolute" from="1208,8" to="1947,8" stroked="true" strokeweight=".806013pt" strokecolor="#000000">
              <v:stroke dashstyle="solid"/>
            </v:line>
            <v:rect style="position:absolute;left:1947;top:0;width:17;height:17" filled="true" fillcolor="#000000" stroked="false">
              <v:fill type="solid"/>
            </v:rect>
            <v:line style="position:absolute" from="1963,8" to="2618,8" stroked="true" strokeweight=".806013pt" strokecolor="#000000">
              <v:stroke dashstyle="solid"/>
            </v:line>
            <v:rect style="position:absolute;left:2618;top:0;width:17;height:17" filled="true" fillcolor="#000000" stroked="false">
              <v:fill type="solid"/>
            </v:rect>
            <v:line style="position:absolute" from="2634,8" to="3501,8" stroked="true" strokeweight=".806013pt" strokecolor="#000000">
              <v:stroke dashstyle="solid"/>
            </v:line>
            <v:shape style="position:absolute;left:2140;top:205;width:1293;height:301" type="#_x0000_t202" filled="false" stroked="false">
              <v:textbox inset="0,0,0,0">
                <w:txbxContent>
                  <w:p>
                    <w:pPr>
                      <w:tabs>
                        <w:tab w:pos="656" w:val="left" w:leader="none"/>
                      </w:tabs>
                      <w:spacing w:line="163" w:lineRule="auto" w:before="0"/>
                      <w:ind w:left="0" w:right="0" w:firstLine="0"/>
                      <w:jc w:val="left"/>
                      <w:rPr>
                        <w:b/>
                        <w:sz w:val="13"/>
                      </w:rPr>
                    </w:pPr>
                    <w:r>
                      <w:rPr>
                        <w:b/>
                        <w:w w:val="105"/>
                        <w:position w:val="-7"/>
                        <w:sz w:val="13"/>
                      </w:rPr>
                      <w:t>Total</w:t>
                      <w:tab/>
                    </w:r>
                    <w:r>
                      <w:rPr>
                        <w:b/>
                        <w:w w:val="105"/>
                        <w:sz w:val="13"/>
                      </w:rPr>
                      <w:t>Derechos</w:t>
                    </w:r>
                  </w:p>
                  <w:p>
                    <w:pPr>
                      <w:spacing w:line="121" w:lineRule="exact" w:before="0"/>
                      <w:ind w:left="568" w:right="0" w:firstLine="0"/>
                      <w:jc w:val="left"/>
                      <w:rPr>
                        <w:b/>
                        <w:sz w:val="13"/>
                      </w:rPr>
                    </w:pPr>
                    <w:r>
                      <w:rPr>
                        <w:b/>
                        <w:w w:val="105"/>
                        <w:sz w:val="13"/>
                      </w:rPr>
                      <w:t>Reconocidos</w:t>
                    </w:r>
                  </w:p>
                </w:txbxContent>
              </v:textbox>
              <w10:wrap type="none"/>
            </v:shape>
            <v:shape style="position:absolute;left:1278;top:41;width:603;height:627" type="#_x0000_t202" filled="false" stroked="false">
              <v:textbox inset="0,0,0,0">
                <w:txbxContent>
                  <w:p>
                    <w:pPr>
                      <w:spacing w:line="136" w:lineRule="exact" w:before="0"/>
                      <w:ind w:left="0" w:right="18" w:firstLine="0"/>
                      <w:jc w:val="center"/>
                      <w:rPr>
                        <w:b/>
                        <w:sz w:val="13"/>
                      </w:rPr>
                    </w:pPr>
                    <w:r>
                      <w:rPr>
                        <w:b/>
                        <w:w w:val="105"/>
                        <w:sz w:val="13"/>
                      </w:rPr>
                      <w:t>Entregas </w:t>
                    </w:r>
                    <w:r>
                      <w:rPr>
                        <w:b/>
                        <w:spacing w:val="-16"/>
                        <w:w w:val="105"/>
                        <w:sz w:val="13"/>
                      </w:rPr>
                      <w:t>a</w:t>
                    </w:r>
                  </w:p>
                  <w:p>
                    <w:pPr>
                      <w:spacing w:line="247" w:lineRule="auto" w:before="4"/>
                      <w:ind w:left="56" w:right="75" w:hanging="2"/>
                      <w:jc w:val="center"/>
                      <w:rPr>
                        <w:b/>
                        <w:sz w:val="13"/>
                      </w:rPr>
                    </w:pPr>
                    <w:r>
                      <w:rPr>
                        <w:b/>
                        <w:w w:val="105"/>
                        <w:sz w:val="13"/>
                      </w:rPr>
                      <w:t>cuenta </w:t>
                    </w:r>
                    <w:r>
                      <w:rPr>
                        <w:b/>
                        <w:spacing w:val="-1"/>
                        <w:w w:val="105"/>
                        <w:sz w:val="13"/>
                      </w:rPr>
                      <w:t>ejercicio </w:t>
                    </w:r>
                    <w:r>
                      <w:rPr>
                        <w:b/>
                        <w:w w:val="105"/>
                        <w:sz w:val="13"/>
                      </w:rPr>
                      <w:t>2022</w:t>
                    </w:r>
                  </w:p>
                </w:txbxContent>
              </v:textbox>
              <w10:wrap type="none"/>
            </v:shape>
            <v:shape style="position:absolute;left:122;top:287;width:964;height:135" type="#_x0000_t202" filled="false" stroked="false">
              <v:textbox inset="0,0,0,0">
                <w:txbxContent>
                  <w:p>
                    <w:pPr>
                      <w:spacing w:line="135" w:lineRule="exact" w:before="0"/>
                      <w:ind w:left="0" w:right="0" w:firstLine="0"/>
                      <w:jc w:val="left"/>
                      <w:rPr>
                        <w:b/>
                        <w:sz w:val="13"/>
                      </w:rPr>
                    </w:pPr>
                    <w:r>
                      <w:rPr>
                        <w:b/>
                        <w:w w:val="105"/>
                        <w:sz w:val="13"/>
                      </w:rPr>
                      <w:t>Liquidación 2020</w:t>
                    </w:r>
                  </w:p>
                </w:txbxContent>
              </v:textbox>
              <w10:wrap type="none"/>
            </v:shape>
          </v:group>
        </w:pict>
      </w:r>
      <w:r>
        <w:rPr/>
      </w:r>
    </w:p>
    <w:tbl>
      <w:tblPr>
        <w:tblW w:w="0" w:type="auto"/>
        <w:jc w:val="left"/>
        <w:tblInd w:w="2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2"/>
        <w:gridCol w:w="2559"/>
        <w:gridCol w:w="912"/>
        <w:gridCol w:w="715"/>
        <w:gridCol w:w="778"/>
        <w:gridCol w:w="800"/>
      </w:tblGrid>
      <w:tr>
        <w:trPr>
          <w:trHeight w:val="205" w:hRule="atLeast"/>
        </w:trPr>
        <w:tc>
          <w:tcPr>
            <w:tcW w:w="1442" w:type="dxa"/>
          </w:tcPr>
          <w:p>
            <w:pPr>
              <w:pStyle w:val="TableParagraph"/>
              <w:rPr>
                <w:rFonts w:ascii="Times New Roman"/>
                <w:sz w:val="14"/>
              </w:rPr>
            </w:pPr>
          </w:p>
        </w:tc>
        <w:tc>
          <w:tcPr>
            <w:tcW w:w="2559" w:type="dxa"/>
          </w:tcPr>
          <w:p>
            <w:pPr>
              <w:pStyle w:val="TableParagraph"/>
              <w:spacing w:line="136" w:lineRule="exact"/>
              <w:ind w:left="563"/>
              <w:rPr>
                <w:b/>
                <w:sz w:val="13"/>
              </w:rPr>
            </w:pPr>
            <w:r>
              <w:rPr>
                <w:b/>
                <w:w w:val="105"/>
                <w:sz w:val="13"/>
              </w:rPr>
              <w:t>Ingresos sujetos a liquidación</w:t>
            </w:r>
          </w:p>
        </w:tc>
        <w:tc>
          <w:tcPr>
            <w:tcW w:w="912" w:type="dxa"/>
          </w:tcPr>
          <w:p>
            <w:pPr>
              <w:pStyle w:val="TableParagraph"/>
              <w:spacing w:line="136" w:lineRule="exact"/>
              <w:ind w:right="136"/>
              <w:jc w:val="right"/>
              <w:rPr>
                <w:b/>
                <w:sz w:val="13"/>
              </w:rPr>
            </w:pPr>
            <w:r>
              <w:rPr>
                <w:b/>
                <w:sz w:val="13"/>
              </w:rPr>
              <w:t>-468,9</w:t>
            </w:r>
          </w:p>
        </w:tc>
        <w:tc>
          <w:tcPr>
            <w:tcW w:w="715" w:type="dxa"/>
          </w:tcPr>
          <w:p>
            <w:pPr>
              <w:pStyle w:val="TableParagraph"/>
              <w:spacing w:line="136" w:lineRule="exact"/>
              <w:ind w:right="93"/>
              <w:jc w:val="right"/>
              <w:rPr>
                <w:b/>
                <w:sz w:val="13"/>
              </w:rPr>
            </w:pPr>
            <w:r>
              <w:rPr>
                <w:b/>
                <w:w w:val="105"/>
                <w:sz w:val="13"/>
              </w:rPr>
              <w:t>5.047,21</w:t>
            </w:r>
          </w:p>
        </w:tc>
        <w:tc>
          <w:tcPr>
            <w:tcW w:w="778" w:type="dxa"/>
          </w:tcPr>
          <w:p>
            <w:pPr>
              <w:pStyle w:val="TableParagraph"/>
              <w:spacing w:line="136" w:lineRule="exact"/>
              <w:ind w:right="200"/>
              <w:jc w:val="right"/>
              <w:rPr>
                <w:b/>
                <w:sz w:val="13"/>
              </w:rPr>
            </w:pPr>
            <w:r>
              <w:rPr>
                <w:b/>
                <w:w w:val="105"/>
                <w:sz w:val="13"/>
              </w:rPr>
              <w:t>4.578,31</w:t>
            </w:r>
          </w:p>
        </w:tc>
        <w:tc>
          <w:tcPr>
            <w:tcW w:w="800" w:type="dxa"/>
          </w:tcPr>
          <w:p>
            <w:pPr>
              <w:pStyle w:val="TableParagraph"/>
              <w:spacing w:line="136" w:lineRule="exact"/>
              <w:ind w:right="118"/>
              <w:jc w:val="right"/>
              <w:rPr>
                <w:b/>
                <w:sz w:val="13"/>
              </w:rPr>
            </w:pPr>
            <w:r>
              <w:rPr>
                <w:b/>
                <w:w w:val="105"/>
                <w:sz w:val="13"/>
              </w:rPr>
              <w:t>4.521,72</w:t>
            </w:r>
          </w:p>
        </w:tc>
      </w:tr>
      <w:tr>
        <w:trPr>
          <w:trHeight w:val="169" w:hRule="atLeast"/>
        </w:trPr>
        <w:tc>
          <w:tcPr>
            <w:tcW w:w="4001" w:type="dxa"/>
            <w:gridSpan w:val="2"/>
          </w:tcPr>
          <w:p>
            <w:pPr>
              <w:pStyle w:val="TableParagraph"/>
              <w:spacing w:line="136" w:lineRule="exact"/>
              <w:ind w:left="70"/>
              <w:rPr>
                <w:sz w:val="13"/>
              </w:rPr>
            </w:pPr>
            <w:r>
              <w:rPr>
                <w:w w:val="105"/>
                <w:sz w:val="13"/>
              </w:rPr>
              <w:t>Impuesto sobre la Renta de las personas físicas</w:t>
            </w:r>
          </w:p>
        </w:tc>
        <w:tc>
          <w:tcPr>
            <w:tcW w:w="912" w:type="dxa"/>
          </w:tcPr>
          <w:p>
            <w:pPr>
              <w:pStyle w:val="TableParagraph"/>
              <w:spacing w:line="136" w:lineRule="exact"/>
              <w:ind w:right="136"/>
              <w:jc w:val="right"/>
              <w:rPr>
                <w:sz w:val="13"/>
              </w:rPr>
            </w:pPr>
            <w:r>
              <w:rPr>
                <w:w w:val="105"/>
                <w:sz w:val="13"/>
              </w:rPr>
              <w:t>-67,29</w:t>
            </w:r>
          </w:p>
        </w:tc>
        <w:tc>
          <w:tcPr>
            <w:tcW w:w="715" w:type="dxa"/>
          </w:tcPr>
          <w:p>
            <w:pPr>
              <w:pStyle w:val="TableParagraph"/>
              <w:spacing w:line="136" w:lineRule="exact"/>
              <w:ind w:right="93"/>
              <w:jc w:val="right"/>
              <w:rPr>
                <w:sz w:val="13"/>
              </w:rPr>
            </w:pPr>
            <w:r>
              <w:rPr>
                <w:w w:val="105"/>
                <w:sz w:val="13"/>
              </w:rPr>
              <w:t>1.627,16</w:t>
            </w:r>
          </w:p>
        </w:tc>
        <w:tc>
          <w:tcPr>
            <w:tcW w:w="778" w:type="dxa"/>
          </w:tcPr>
          <w:p>
            <w:pPr>
              <w:pStyle w:val="TableParagraph"/>
              <w:spacing w:line="136" w:lineRule="exact"/>
              <w:ind w:right="200"/>
              <w:jc w:val="right"/>
              <w:rPr>
                <w:sz w:val="13"/>
              </w:rPr>
            </w:pPr>
            <w:r>
              <w:rPr>
                <w:w w:val="105"/>
                <w:sz w:val="13"/>
              </w:rPr>
              <w:t>1.559,87</w:t>
            </w:r>
          </w:p>
        </w:tc>
        <w:tc>
          <w:tcPr>
            <w:tcW w:w="800" w:type="dxa"/>
          </w:tcPr>
          <w:p>
            <w:pPr>
              <w:pStyle w:val="TableParagraph"/>
              <w:spacing w:line="136" w:lineRule="exact"/>
              <w:ind w:right="118"/>
              <w:jc w:val="right"/>
              <w:rPr>
                <w:sz w:val="13"/>
              </w:rPr>
            </w:pPr>
            <w:r>
              <w:rPr>
                <w:w w:val="105"/>
                <w:sz w:val="13"/>
              </w:rPr>
              <w:t>1.559,87</w:t>
            </w:r>
          </w:p>
        </w:tc>
      </w:tr>
      <w:tr>
        <w:trPr>
          <w:trHeight w:val="203" w:hRule="atLeast"/>
        </w:trPr>
        <w:tc>
          <w:tcPr>
            <w:tcW w:w="4001" w:type="dxa"/>
            <w:gridSpan w:val="2"/>
          </w:tcPr>
          <w:p>
            <w:pPr>
              <w:pStyle w:val="TableParagraph"/>
              <w:spacing w:before="11"/>
              <w:ind w:left="70"/>
              <w:rPr>
                <w:sz w:val="13"/>
              </w:rPr>
            </w:pPr>
            <w:r>
              <w:rPr>
                <w:w w:val="105"/>
                <w:sz w:val="13"/>
              </w:rPr>
              <w:t>Impuestos Especiales</w:t>
            </w:r>
          </w:p>
        </w:tc>
        <w:tc>
          <w:tcPr>
            <w:tcW w:w="912" w:type="dxa"/>
          </w:tcPr>
          <w:p>
            <w:pPr>
              <w:pStyle w:val="TableParagraph"/>
              <w:spacing w:before="11"/>
              <w:ind w:right="136"/>
              <w:jc w:val="right"/>
              <w:rPr>
                <w:sz w:val="13"/>
              </w:rPr>
            </w:pPr>
            <w:r>
              <w:rPr>
                <w:w w:val="105"/>
                <w:sz w:val="13"/>
              </w:rPr>
              <w:t>-12,49</w:t>
            </w:r>
          </w:p>
        </w:tc>
        <w:tc>
          <w:tcPr>
            <w:tcW w:w="715" w:type="dxa"/>
          </w:tcPr>
          <w:p>
            <w:pPr>
              <w:pStyle w:val="TableParagraph"/>
              <w:spacing w:before="11"/>
              <w:ind w:right="93"/>
              <w:jc w:val="right"/>
              <w:rPr>
                <w:sz w:val="13"/>
              </w:rPr>
            </w:pPr>
            <w:r>
              <w:rPr>
                <w:sz w:val="13"/>
              </w:rPr>
              <w:t>77,59</w:t>
            </w:r>
          </w:p>
        </w:tc>
        <w:tc>
          <w:tcPr>
            <w:tcW w:w="778" w:type="dxa"/>
          </w:tcPr>
          <w:p>
            <w:pPr>
              <w:pStyle w:val="TableParagraph"/>
              <w:spacing w:before="11"/>
              <w:ind w:right="200"/>
              <w:jc w:val="right"/>
              <w:rPr>
                <w:sz w:val="13"/>
              </w:rPr>
            </w:pPr>
            <w:r>
              <w:rPr>
                <w:sz w:val="13"/>
              </w:rPr>
              <w:t>65,1</w:t>
            </w:r>
          </w:p>
        </w:tc>
        <w:tc>
          <w:tcPr>
            <w:tcW w:w="800" w:type="dxa"/>
          </w:tcPr>
          <w:p>
            <w:pPr>
              <w:pStyle w:val="TableParagraph"/>
              <w:spacing w:before="11"/>
              <w:ind w:right="117"/>
              <w:jc w:val="right"/>
              <w:rPr>
                <w:sz w:val="13"/>
              </w:rPr>
            </w:pPr>
            <w:r>
              <w:rPr>
                <w:sz w:val="13"/>
              </w:rPr>
              <w:t>65,1</w:t>
            </w:r>
          </w:p>
        </w:tc>
      </w:tr>
      <w:tr>
        <w:trPr>
          <w:trHeight w:val="203" w:hRule="atLeast"/>
        </w:trPr>
        <w:tc>
          <w:tcPr>
            <w:tcW w:w="4001" w:type="dxa"/>
            <w:gridSpan w:val="2"/>
          </w:tcPr>
          <w:p>
            <w:pPr>
              <w:pStyle w:val="TableParagraph"/>
              <w:spacing w:before="11"/>
              <w:ind w:left="70"/>
              <w:rPr>
                <w:sz w:val="13"/>
              </w:rPr>
            </w:pPr>
            <w:r>
              <w:rPr>
                <w:w w:val="105"/>
                <w:sz w:val="13"/>
              </w:rPr>
              <w:t>Fondo de Suficiencia (FS)</w:t>
            </w:r>
          </w:p>
        </w:tc>
        <w:tc>
          <w:tcPr>
            <w:tcW w:w="912" w:type="dxa"/>
          </w:tcPr>
          <w:p>
            <w:pPr>
              <w:pStyle w:val="TableParagraph"/>
              <w:spacing w:before="11"/>
              <w:ind w:right="136"/>
              <w:jc w:val="right"/>
              <w:rPr>
                <w:sz w:val="13"/>
              </w:rPr>
            </w:pPr>
            <w:r>
              <w:rPr>
                <w:sz w:val="13"/>
              </w:rPr>
              <w:t>-4,71</w:t>
            </w:r>
          </w:p>
        </w:tc>
        <w:tc>
          <w:tcPr>
            <w:tcW w:w="715" w:type="dxa"/>
          </w:tcPr>
          <w:p>
            <w:pPr>
              <w:pStyle w:val="TableParagraph"/>
              <w:spacing w:before="11"/>
              <w:ind w:right="93"/>
              <w:jc w:val="right"/>
              <w:rPr>
                <w:sz w:val="13"/>
              </w:rPr>
            </w:pPr>
            <w:r>
              <w:rPr>
                <w:sz w:val="13"/>
              </w:rPr>
              <w:t>82,11</w:t>
            </w:r>
          </w:p>
        </w:tc>
        <w:tc>
          <w:tcPr>
            <w:tcW w:w="778" w:type="dxa"/>
          </w:tcPr>
          <w:p>
            <w:pPr>
              <w:pStyle w:val="TableParagraph"/>
              <w:spacing w:before="11"/>
              <w:ind w:right="200"/>
              <w:jc w:val="right"/>
              <w:rPr>
                <w:sz w:val="13"/>
              </w:rPr>
            </w:pPr>
            <w:r>
              <w:rPr>
                <w:sz w:val="13"/>
              </w:rPr>
              <w:t>77,40</w:t>
            </w:r>
          </w:p>
        </w:tc>
        <w:tc>
          <w:tcPr>
            <w:tcW w:w="800" w:type="dxa"/>
          </w:tcPr>
          <w:p>
            <w:pPr>
              <w:pStyle w:val="TableParagraph"/>
              <w:spacing w:before="11"/>
              <w:ind w:right="117"/>
              <w:jc w:val="right"/>
              <w:rPr>
                <w:sz w:val="13"/>
              </w:rPr>
            </w:pPr>
            <w:r>
              <w:rPr>
                <w:sz w:val="13"/>
              </w:rPr>
              <w:t>77,40</w:t>
            </w:r>
          </w:p>
        </w:tc>
      </w:tr>
      <w:tr>
        <w:trPr>
          <w:trHeight w:val="204" w:hRule="atLeast"/>
        </w:trPr>
        <w:tc>
          <w:tcPr>
            <w:tcW w:w="4001" w:type="dxa"/>
            <w:gridSpan w:val="2"/>
          </w:tcPr>
          <w:p>
            <w:pPr>
              <w:pStyle w:val="TableParagraph"/>
              <w:spacing w:before="11"/>
              <w:ind w:left="70"/>
              <w:rPr>
                <w:sz w:val="13"/>
              </w:rPr>
            </w:pPr>
            <w:r>
              <w:rPr>
                <w:w w:val="105"/>
                <w:sz w:val="13"/>
              </w:rPr>
              <w:t>Fondo de Garantía de Servicios Públicos Básicos (FGSPB)</w:t>
            </w:r>
          </w:p>
        </w:tc>
        <w:tc>
          <w:tcPr>
            <w:tcW w:w="912" w:type="dxa"/>
          </w:tcPr>
          <w:p>
            <w:pPr>
              <w:pStyle w:val="TableParagraph"/>
              <w:spacing w:before="11"/>
              <w:ind w:right="136"/>
              <w:jc w:val="right"/>
              <w:rPr>
                <w:sz w:val="13"/>
              </w:rPr>
            </w:pPr>
            <w:r>
              <w:rPr>
                <w:w w:val="105"/>
                <w:sz w:val="13"/>
              </w:rPr>
              <w:t>-384,41</w:t>
            </w:r>
          </w:p>
        </w:tc>
        <w:tc>
          <w:tcPr>
            <w:tcW w:w="715" w:type="dxa"/>
          </w:tcPr>
          <w:p>
            <w:pPr>
              <w:pStyle w:val="TableParagraph"/>
              <w:spacing w:before="11"/>
              <w:ind w:right="93"/>
              <w:jc w:val="right"/>
              <w:rPr>
                <w:sz w:val="13"/>
              </w:rPr>
            </w:pPr>
            <w:r>
              <w:rPr>
                <w:w w:val="105"/>
                <w:sz w:val="13"/>
              </w:rPr>
              <w:t>3.260,35</w:t>
            </w:r>
          </w:p>
        </w:tc>
        <w:tc>
          <w:tcPr>
            <w:tcW w:w="778" w:type="dxa"/>
          </w:tcPr>
          <w:p>
            <w:pPr>
              <w:pStyle w:val="TableParagraph"/>
              <w:spacing w:before="11"/>
              <w:ind w:right="200"/>
              <w:jc w:val="right"/>
              <w:rPr>
                <w:sz w:val="13"/>
              </w:rPr>
            </w:pPr>
            <w:r>
              <w:rPr>
                <w:w w:val="105"/>
                <w:sz w:val="13"/>
              </w:rPr>
              <w:t>2.875,94</w:t>
            </w:r>
          </w:p>
        </w:tc>
        <w:tc>
          <w:tcPr>
            <w:tcW w:w="800" w:type="dxa"/>
          </w:tcPr>
          <w:p>
            <w:pPr>
              <w:pStyle w:val="TableParagraph"/>
              <w:spacing w:before="11"/>
              <w:ind w:right="118"/>
              <w:jc w:val="right"/>
              <w:rPr>
                <w:sz w:val="13"/>
              </w:rPr>
            </w:pPr>
            <w:r>
              <w:rPr>
                <w:w w:val="105"/>
                <w:sz w:val="13"/>
              </w:rPr>
              <w:t>2.819,35</w:t>
            </w:r>
          </w:p>
        </w:tc>
      </w:tr>
      <w:tr>
        <w:trPr>
          <w:trHeight w:val="207" w:hRule="atLeast"/>
        </w:trPr>
        <w:tc>
          <w:tcPr>
            <w:tcW w:w="4001" w:type="dxa"/>
            <w:gridSpan w:val="2"/>
          </w:tcPr>
          <w:p>
            <w:pPr>
              <w:pStyle w:val="TableParagraph"/>
              <w:spacing w:before="12"/>
              <w:ind w:left="1830"/>
              <w:rPr>
                <w:b/>
                <w:sz w:val="13"/>
              </w:rPr>
            </w:pPr>
            <w:r>
              <w:rPr>
                <w:b/>
                <w:w w:val="105"/>
                <w:sz w:val="13"/>
              </w:rPr>
              <w:t>Ingresos no sujetos a liquidación</w:t>
            </w:r>
          </w:p>
        </w:tc>
        <w:tc>
          <w:tcPr>
            <w:tcW w:w="912" w:type="dxa"/>
          </w:tcPr>
          <w:p>
            <w:pPr>
              <w:pStyle w:val="TableParagraph"/>
              <w:spacing w:before="12"/>
              <w:ind w:right="136"/>
              <w:jc w:val="right"/>
              <w:rPr>
                <w:b/>
                <w:sz w:val="13"/>
              </w:rPr>
            </w:pPr>
            <w:r>
              <w:rPr>
                <w:b/>
                <w:sz w:val="13"/>
              </w:rPr>
              <w:t>749,23</w:t>
            </w:r>
          </w:p>
        </w:tc>
        <w:tc>
          <w:tcPr>
            <w:tcW w:w="715" w:type="dxa"/>
          </w:tcPr>
          <w:p>
            <w:pPr>
              <w:pStyle w:val="TableParagraph"/>
              <w:rPr>
                <w:rFonts w:ascii="Times New Roman"/>
                <w:sz w:val="14"/>
              </w:rPr>
            </w:pPr>
          </w:p>
        </w:tc>
        <w:tc>
          <w:tcPr>
            <w:tcW w:w="778" w:type="dxa"/>
          </w:tcPr>
          <w:p>
            <w:pPr>
              <w:pStyle w:val="TableParagraph"/>
              <w:spacing w:before="12"/>
              <w:ind w:right="200"/>
              <w:jc w:val="right"/>
              <w:rPr>
                <w:b/>
                <w:sz w:val="13"/>
              </w:rPr>
            </w:pPr>
            <w:r>
              <w:rPr>
                <w:b/>
                <w:sz w:val="13"/>
              </w:rPr>
              <w:t>749,23</w:t>
            </w:r>
          </w:p>
        </w:tc>
        <w:tc>
          <w:tcPr>
            <w:tcW w:w="800" w:type="dxa"/>
          </w:tcPr>
          <w:p>
            <w:pPr>
              <w:pStyle w:val="TableParagraph"/>
              <w:spacing w:before="12"/>
              <w:ind w:right="117"/>
              <w:jc w:val="right"/>
              <w:rPr>
                <w:b/>
                <w:sz w:val="13"/>
              </w:rPr>
            </w:pPr>
            <w:r>
              <w:rPr>
                <w:b/>
                <w:sz w:val="13"/>
              </w:rPr>
              <w:t>749,23</w:t>
            </w:r>
          </w:p>
        </w:tc>
      </w:tr>
      <w:tr>
        <w:trPr>
          <w:trHeight w:val="209" w:hRule="atLeast"/>
        </w:trPr>
        <w:tc>
          <w:tcPr>
            <w:tcW w:w="4001" w:type="dxa"/>
            <w:gridSpan w:val="2"/>
          </w:tcPr>
          <w:p>
            <w:pPr>
              <w:pStyle w:val="TableParagraph"/>
              <w:spacing w:before="14"/>
              <w:ind w:left="70"/>
              <w:rPr>
                <w:sz w:val="13"/>
              </w:rPr>
            </w:pPr>
            <w:r>
              <w:rPr>
                <w:w w:val="105"/>
                <w:sz w:val="13"/>
              </w:rPr>
              <w:t>Fondos de convergencia</w:t>
            </w:r>
          </w:p>
        </w:tc>
        <w:tc>
          <w:tcPr>
            <w:tcW w:w="912" w:type="dxa"/>
          </w:tcPr>
          <w:p>
            <w:pPr>
              <w:pStyle w:val="TableParagraph"/>
              <w:spacing w:before="14"/>
              <w:ind w:right="136"/>
              <w:jc w:val="right"/>
              <w:rPr>
                <w:sz w:val="13"/>
              </w:rPr>
            </w:pPr>
            <w:r>
              <w:rPr>
                <w:sz w:val="13"/>
              </w:rPr>
              <w:t>749,23</w:t>
            </w:r>
          </w:p>
        </w:tc>
        <w:tc>
          <w:tcPr>
            <w:tcW w:w="715" w:type="dxa"/>
          </w:tcPr>
          <w:p>
            <w:pPr>
              <w:pStyle w:val="TableParagraph"/>
              <w:rPr>
                <w:rFonts w:ascii="Times New Roman"/>
                <w:sz w:val="14"/>
              </w:rPr>
            </w:pPr>
          </w:p>
        </w:tc>
        <w:tc>
          <w:tcPr>
            <w:tcW w:w="778" w:type="dxa"/>
          </w:tcPr>
          <w:p>
            <w:pPr>
              <w:pStyle w:val="TableParagraph"/>
              <w:spacing w:before="14"/>
              <w:ind w:right="200"/>
              <w:jc w:val="right"/>
              <w:rPr>
                <w:sz w:val="13"/>
              </w:rPr>
            </w:pPr>
            <w:r>
              <w:rPr>
                <w:sz w:val="13"/>
              </w:rPr>
              <w:t>749,23</w:t>
            </w:r>
          </w:p>
        </w:tc>
        <w:tc>
          <w:tcPr>
            <w:tcW w:w="800" w:type="dxa"/>
          </w:tcPr>
          <w:p>
            <w:pPr>
              <w:pStyle w:val="TableParagraph"/>
              <w:spacing w:before="14"/>
              <w:ind w:right="117"/>
              <w:jc w:val="right"/>
              <w:rPr>
                <w:sz w:val="13"/>
              </w:rPr>
            </w:pPr>
            <w:r>
              <w:rPr>
                <w:sz w:val="13"/>
              </w:rPr>
              <w:t>749,23</w:t>
            </w:r>
          </w:p>
        </w:tc>
      </w:tr>
      <w:tr>
        <w:trPr>
          <w:trHeight w:val="209" w:hRule="atLeast"/>
        </w:trPr>
        <w:tc>
          <w:tcPr>
            <w:tcW w:w="4001" w:type="dxa"/>
            <w:gridSpan w:val="2"/>
          </w:tcPr>
          <w:p>
            <w:pPr>
              <w:pStyle w:val="TableParagraph"/>
              <w:spacing w:before="14"/>
              <w:ind w:left="519"/>
              <w:rPr>
                <w:b/>
                <w:sz w:val="13"/>
              </w:rPr>
            </w:pPr>
            <w:r>
              <w:rPr>
                <w:b/>
                <w:w w:val="105"/>
                <w:sz w:val="13"/>
              </w:rPr>
              <w:t>Ingresos gestionados por la CAC no sujetos a liquidación</w:t>
            </w:r>
          </w:p>
        </w:tc>
        <w:tc>
          <w:tcPr>
            <w:tcW w:w="912" w:type="dxa"/>
          </w:tcPr>
          <w:p>
            <w:pPr>
              <w:pStyle w:val="TableParagraph"/>
              <w:rPr>
                <w:rFonts w:ascii="Times New Roman"/>
                <w:sz w:val="14"/>
              </w:rPr>
            </w:pPr>
          </w:p>
        </w:tc>
        <w:tc>
          <w:tcPr>
            <w:tcW w:w="715" w:type="dxa"/>
          </w:tcPr>
          <w:p>
            <w:pPr>
              <w:pStyle w:val="TableParagraph"/>
              <w:rPr>
                <w:rFonts w:ascii="Times New Roman"/>
                <w:sz w:val="14"/>
              </w:rPr>
            </w:pPr>
          </w:p>
        </w:tc>
        <w:tc>
          <w:tcPr>
            <w:tcW w:w="778" w:type="dxa"/>
          </w:tcPr>
          <w:p>
            <w:pPr>
              <w:pStyle w:val="TableParagraph"/>
              <w:spacing w:before="14"/>
              <w:ind w:right="200"/>
              <w:jc w:val="right"/>
              <w:rPr>
                <w:b/>
                <w:sz w:val="13"/>
              </w:rPr>
            </w:pPr>
            <w:r>
              <w:rPr>
                <w:b/>
                <w:sz w:val="13"/>
              </w:rPr>
              <w:t>552,63</w:t>
            </w:r>
          </w:p>
        </w:tc>
        <w:tc>
          <w:tcPr>
            <w:tcW w:w="800" w:type="dxa"/>
          </w:tcPr>
          <w:p>
            <w:pPr>
              <w:pStyle w:val="TableParagraph"/>
              <w:spacing w:before="14"/>
              <w:ind w:right="117"/>
              <w:jc w:val="right"/>
              <w:rPr>
                <w:b/>
                <w:sz w:val="13"/>
              </w:rPr>
            </w:pPr>
            <w:r>
              <w:rPr>
                <w:b/>
                <w:sz w:val="13"/>
              </w:rPr>
              <w:t>552,63</w:t>
            </w:r>
          </w:p>
        </w:tc>
      </w:tr>
      <w:tr>
        <w:trPr>
          <w:trHeight w:val="172" w:hRule="atLeast"/>
        </w:trPr>
        <w:tc>
          <w:tcPr>
            <w:tcW w:w="4001" w:type="dxa"/>
            <w:gridSpan w:val="2"/>
          </w:tcPr>
          <w:p>
            <w:pPr>
              <w:pStyle w:val="TableParagraph"/>
              <w:spacing w:line="138" w:lineRule="exact" w:before="15"/>
              <w:ind w:left="70"/>
              <w:rPr>
                <w:sz w:val="13"/>
              </w:rPr>
            </w:pPr>
            <w:r>
              <w:rPr>
                <w:w w:val="105"/>
                <w:sz w:val="13"/>
              </w:rPr>
              <w:t>Sucesiones y Donaciones</w:t>
            </w:r>
          </w:p>
        </w:tc>
        <w:tc>
          <w:tcPr>
            <w:tcW w:w="912" w:type="dxa"/>
          </w:tcPr>
          <w:p>
            <w:pPr>
              <w:pStyle w:val="TableParagraph"/>
              <w:rPr>
                <w:rFonts w:ascii="Times New Roman"/>
                <w:sz w:val="10"/>
              </w:rPr>
            </w:pPr>
          </w:p>
        </w:tc>
        <w:tc>
          <w:tcPr>
            <w:tcW w:w="715" w:type="dxa"/>
          </w:tcPr>
          <w:p>
            <w:pPr>
              <w:pStyle w:val="TableParagraph"/>
              <w:rPr>
                <w:rFonts w:ascii="Times New Roman"/>
                <w:sz w:val="10"/>
              </w:rPr>
            </w:pPr>
          </w:p>
        </w:tc>
        <w:tc>
          <w:tcPr>
            <w:tcW w:w="778" w:type="dxa"/>
          </w:tcPr>
          <w:p>
            <w:pPr>
              <w:pStyle w:val="TableParagraph"/>
              <w:spacing w:line="138" w:lineRule="exact" w:before="15"/>
              <w:ind w:right="200"/>
              <w:jc w:val="right"/>
              <w:rPr>
                <w:sz w:val="13"/>
              </w:rPr>
            </w:pPr>
            <w:r>
              <w:rPr>
                <w:sz w:val="13"/>
              </w:rPr>
              <w:t>55,87</w:t>
            </w:r>
          </w:p>
        </w:tc>
        <w:tc>
          <w:tcPr>
            <w:tcW w:w="800" w:type="dxa"/>
          </w:tcPr>
          <w:p>
            <w:pPr>
              <w:pStyle w:val="TableParagraph"/>
              <w:spacing w:line="138" w:lineRule="exact" w:before="15"/>
              <w:ind w:right="117"/>
              <w:jc w:val="right"/>
              <w:rPr>
                <w:sz w:val="13"/>
              </w:rPr>
            </w:pPr>
            <w:r>
              <w:rPr>
                <w:sz w:val="13"/>
              </w:rPr>
              <w:t>55,87</w:t>
            </w:r>
          </w:p>
        </w:tc>
      </w:tr>
      <w:tr>
        <w:trPr>
          <w:trHeight w:val="217" w:hRule="atLeast"/>
        </w:trPr>
        <w:tc>
          <w:tcPr>
            <w:tcW w:w="4001" w:type="dxa"/>
            <w:gridSpan w:val="2"/>
          </w:tcPr>
          <w:p>
            <w:pPr>
              <w:pStyle w:val="TableParagraph"/>
              <w:spacing w:before="32"/>
              <w:ind w:left="70"/>
              <w:rPr>
                <w:sz w:val="13"/>
              </w:rPr>
            </w:pPr>
            <w:r>
              <w:rPr>
                <w:w w:val="105"/>
                <w:sz w:val="13"/>
              </w:rPr>
              <w:t>Impuesto de Transmisiones Patrimoniales y Actos Jurídicos</w:t>
            </w:r>
          </w:p>
        </w:tc>
        <w:tc>
          <w:tcPr>
            <w:tcW w:w="912" w:type="dxa"/>
          </w:tcPr>
          <w:p>
            <w:pPr>
              <w:pStyle w:val="TableParagraph"/>
              <w:rPr>
                <w:rFonts w:ascii="Times New Roman"/>
                <w:sz w:val="14"/>
              </w:rPr>
            </w:pPr>
          </w:p>
        </w:tc>
        <w:tc>
          <w:tcPr>
            <w:tcW w:w="715" w:type="dxa"/>
          </w:tcPr>
          <w:p>
            <w:pPr>
              <w:pStyle w:val="TableParagraph"/>
              <w:rPr>
                <w:rFonts w:ascii="Times New Roman"/>
                <w:sz w:val="14"/>
              </w:rPr>
            </w:pPr>
          </w:p>
        </w:tc>
        <w:tc>
          <w:tcPr>
            <w:tcW w:w="778" w:type="dxa"/>
          </w:tcPr>
          <w:p>
            <w:pPr>
              <w:pStyle w:val="TableParagraph"/>
              <w:spacing w:line="85" w:lineRule="exact" w:before="112"/>
              <w:ind w:right="200"/>
              <w:jc w:val="right"/>
              <w:rPr>
                <w:sz w:val="13"/>
              </w:rPr>
            </w:pPr>
            <w:r>
              <w:rPr>
                <w:sz w:val="13"/>
              </w:rPr>
              <w:t>429,06</w:t>
            </w:r>
          </w:p>
        </w:tc>
        <w:tc>
          <w:tcPr>
            <w:tcW w:w="800" w:type="dxa"/>
          </w:tcPr>
          <w:p>
            <w:pPr>
              <w:pStyle w:val="TableParagraph"/>
              <w:spacing w:line="85" w:lineRule="exact" w:before="112"/>
              <w:ind w:right="117"/>
              <w:jc w:val="right"/>
              <w:rPr>
                <w:sz w:val="13"/>
              </w:rPr>
            </w:pPr>
            <w:r>
              <w:rPr>
                <w:sz w:val="13"/>
              </w:rPr>
              <w:t>429,06</w:t>
            </w:r>
          </w:p>
        </w:tc>
      </w:tr>
      <w:tr>
        <w:trPr>
          <w:trHeight w:val="162" w:hRule="atLeast"/>
        </w:trPr>
        <w:tc>
          <w:tcPr>
            <w:tcW w:w="1442" w:type="dxa"/>
          </w:tcPr>
          <w:p>
            <w:pPr>
              <w:pStyle w:val="TableParagraph"/>
              <w:spacing w:line="136" w:lineRule="exact"/>
              <w:ind w:left="70"/>
              <w:rPr>
                <w:sz w:val="13"/>
              </w:rPr>
            </w:pPr>
            <w:r>
              <w:rPr>
                <w:w w:val="105"/>
                <w:sz w:val="13"/>
              </w:rPr>
              <w:t>Documentados</w:t>
            </w:r>
          </w:p>
        </w:tc>
        <w:tc>
          <w:tcPr>
            <w:tcW w:w="2559" w:type="dxa"/>
          </w:tcPr>
          <w:p>
            <w:pPr>
              <w:pStyle w:val="TableParagraph"/>
              <w:rPr>
                <w:rFonts w:ascii="Times New Roman"/>
                <w:sz w:val="10"/>
              </w:rPr>
            </w:pPr>
          </w:p>
        </w:tc>
        <w:tc>
          <w:tcPr>
            <w:tcW w:w="912" w:type="dxa"/>
          </w:tcPr>
          <w:p>
            <w:pPr>
              <w:pStyle w:val="TableParagraph"/>
              <w:rPr>
                <w:rFonts w:ascii="Times New Roman"/>
                <w:sz w:val="10"/>
              </w:rPr>
            </w:pPr>
          </w:p>
        </w:tc>
        <w:tc>
          <w:tcPr>
            <w:tcW w:w="715" w:type="dxa"/>
          </w:tcPr>
          <w:p>
            <w:pPr>
              <w:pStyle w:val="TableParagraph"/>
              <w:rPr>
                <w:rFonts w:ascii="Times New Roman"/>
                <w:sz w:val="10"/>
              </w:rPr>
            </w:pPr>
          </w:p>
        </w:tc>
        <w:tc>
          <w:tcPr>
            <w:tcW w:w="778" w:type="dxa"/>
          </w:tcPr>
          <w:p>
            <w:pPr>
              <w:pStyle w:val="TableParagraph"/>
              <w:rPr>
                <w:rFonts w:ascii="Times New Roman"/>
                <w:sz w:val="10"/>
              </w:rPr>
            </w:pPr>
          </w:p>
        </w:tc>
        <w:tc>
          <w:tcPr>
            <w:tcW w:w="800" w:type="dxa"/>
          </w:tcPr>
          <w:p>
            <w:pPr>
              <w:pStyle w:val="TableParagraph"/>
              <w:rPr>
                <w:rFonts w:ascii="Times New Roman"/>
                <w:sz w:val="10"/>
              </w:rPr>
            </w:pPr>
          </w:p>
        </w:tc>
      </w:tr>
      <w:tr>
        <w:trPr>
          <w:trHeight w:val="202" w:hRule="atLeast"/>
        </w:trPr>
        <w:tc>
          <w:tcPr>
            <w:tcW w:w="1442" w:type="dxa"/>
          </w:tcPr>
          <w:p>
            <w:pPr>
              <w:pStyle w:val="TableParagraph"/>
              <w:spacing w:before="4"/>
              <w:ind w:left="70"/>
              <w:rPr>
                <w:sz w:val="13"/>
              </w:rPr>
            </w:pPr>
            <w:r>
              <w:rPr>
                <w:w w:val="105"/>
                <w:sz w:val="13"/>
              </w:rPr>
              <w:t>Tasas sobre el juego</w:t>
            </w:r>
          </w:p>
        </w:tc>
        <w:tc>
          <w:tcPr>
            <w:tcW w:w="2559" w:type="dxa"/>
          </w:tcPr>
          <w:p>
            <w:pPr>
              <w:pStyle w:val="TableParagraph"/>
              <w:rPr>
                <w:rFonts w:ascii="Times New Roman"/>
                <w:sz w:val="14"/>
              </w:rPr>
            </w:pPr>
          </w:p>
        </w:tc>
        <w:tc>
          <w:tcPr>
            <w:tcW w:w="912" w:type="dxa"/>
          </w:tcPr>
          <w:p>
            <w:pPr>
              <w:pStyle w:val="TableParagraph"/>
              <w:rPr>
                <w:rFonts w:ascii="Times New Roman"/>
                <w:sz w:val="14"/>
              </w:rPr>
            </w:pPr>
          </w:p>
        </w:tc>
        <w:tc>
          <w:tcPr>
            <w:tcW w:w="715" w:type="dxa"/>
          </w:tcPr>
          <w:p>
            <w:pPr>
              <w:pStyle w:val="TableParagraph"/>
              <w:rPr>
                <w:rFonts w:ascii="Times New Roman"/>
                <w:sz w:val="14"/>
              </w:rPr>
            </w:pPr>
          </w:p>
        </w:tc>
        <w:tc>
          <w:tcPr>
            <w:tcW w:w="778" w:type="dxa"/>
          </w:tcPr>
          <w:p>
            <w:pPr>
              <w:pStyle w:val="TableParagraph"/>
              <w:spacing w:before="4"/>
              <w:ind w:right="200"/>
              <w:jc w:val="right"/>
              <w:rPr>
                <w:sz w:val="13"/>
              </w:rPr>
            </w:pPr>
            <w:r>
              <w:rPr>
                <w:sz w:val="13"/>
              </w:rPr>
              <w:t>53,65</w:t>
            </w:r>
          </w:p>
        </w:tc>
        <w:tc>
          <w:tcPr>
            <w:tcW w:w="800" w:type="dxa"/>
          </w:tcPr>
          <w:p>
            <w:pPr>
              <w:pStyle w:val="TableParagraph"/>
              <w:spacing w:before="4"/>
              <w:ind w:right="117"/>
              <w:jc w:val="right"/>
              <w:rPr>
                <w:sz w:val="13"/>
              </w:rPr>
            </w:pPr>
            <w:r>
              <w:rPr>
                <w:sz w:val="13"/>
              </w:rPr>
              <w:t>53,65</w:t>
            </w:r>
          </w:p>
        </w:tc>
      </w:tr>
      <w:tr>
        <w:trPr>
          <w:trHeight w:val="202" w:hRule="atLeast"/>
        </w:trPr>
        <w:tc>
          <w:tcPr>
            <w:tcW w:w="1442" w:type="dxa"/>
          </w:tcPr>
          <w:p>
            <w:pPr>
              <w:pStyle w:val="TableParagraph"/>
              <w:spacing w:before="17"/>
              <w:ind w:left="70"/>
              <w:rPr>
                <w:sz w:val="13"/>
              </w:rPr>
            </w:pPr>
            <w:r>
              <w:rPr>
                <w:w w:val="105"/>
                <w:sz w:val="13"/>
              </w:rPr>
              <w:t>Tasas</w:t>
            </w:r>
          </w:p>
        </w:tc>
        <w:tc>
          <w:tcPr>
            <w:tcW w:w="2559" w:type="dxa"/>
          </w:tcPr>
          <w:p>
            <w:pPr>
              <w:pStyle w:val="TableParagraph"/>
              <w:rPr>
                <w:rFonts w:ascii="Times New Roman"/>
                <w:sz w:val="14"/>
              </w:rPr>
            </w:pPr>
          </w:p>
        </w:tc>
        <w:tc>
          <w:tcPr>
            <w:tcW w:w="912" w:type="dxa"/>
          </w:tcPr>
          <w:p>
            <w:pPr>
              <w:pStyle w:val="TableParagraph"/>
              <w:rPr>
                <w:rFonts w:ascii="Times New Roman"/>
                <w:sz w:val="14"/>
              </w:rPr>
            </w:pPr>
          </w:p>
        </w:tc>
        <w:tc>
          <w:tcPr>
            <w:tcW w:w="715" w:type="dxa"/>
          </w:tcPr>
          <w:p>
            <w:pPr>
              <w:pStyle w:val="TableParagraph"/>
              <w:rPr>
                <w:rFonts w:ascii="Times New Roman"/>
                <w:sz w:val="14"/>
              </w:rPr>
            </w:pPr>
          </w:p>
        </w:tc>
        <w:tc>
          <w:tcPr>
            <w:tcW w:w="778" w:type="dxa"/>
          </w:tcPr>
          <w:p>
            <w:pPr>
              <w:pStyle w:val="TableParagraph"/>
              <w:spacing w:before="17"/>
              <w:ind w:right="200"/>
              <w:jc w:val="right"/>
              <w:rPr>
                <w:sz w:val="13"/>
              </w:rPr>
            </w:pPr>
            <w:r>
              <w:rPr>
                <w:sz w:val="13"/>
              </w:rPr>
              <w:t>14,05</w:t>
            </w:r>
          </w:p>
        </w:tc>
        <w:tc>
          <w:tcPr>
            <w:tcW w:w="800" w:type="dxa"/>
          </w:tcPr>
          <w:p>
            <w:pPr>
              <w:pStyle w:val="TableParagraph"/>
              <w:spacing w:before="17"/>
              <w:ind w:right="117"/>
              <w:jc w:val="right"/>
              <w:rPr>
                <w:sz w:val="13"/>
              </w:rPr>
            </w:pPr>
            <w:r>
              <w:rPr>
                <w:sz w:val="13"/>
              </w:rPr>
              <w:t>14,05</w:t>
            </w:r>
          </w:p>
        </w:tc>
      </w:tr>
      <w:tr>
        <w:trPr>
          <w:trHeight w:val="162" w:hRule="atLeast"/>
        </w:trPr>
        <w:tc>
          <w:tcPr>
            <w:tcW w:w="1442" w:type="dxa"/>
            <w:tcBorders>
              <w:bottom w:val="single" w:sz="8" w:space="0" w:color="000000"/>
            </w:tcBorders>
          </w:tcPr>
          <w:p>
            <w:pPr>
              <w:pStyle w:val="TableParagraph"/>
              <w:rPr>
                <w:rFonts w:ascii="Times New Roman"/>
                <w:sz w:val="10"/>
              </w:rPr>
            </w:pPr>
          </w:p>
        </w:tc>
        <w:tc>
          <w:tcPr>
            <w:tcW w:w="2559" w:type="dxa"/>
            <w:tcBorders>
              <w:bottom w:val="single" w:sz="8" w:space="0" w:color="000000"/>
            </w:tcBorders>
          </w:tcPr>
          <w:p>
            <w:pPr>
              <w:pStyle w:val="TableParagraph"/>
              <w:spacing w:line="138" w:lineRule="exact" w:before="4"/>
              <w:ind w:left="273"/>
              <w:rPr>
                <w:b/>
                <w:sz w:val="13"/>
              </w:rPr>
            </w:pPr>
            <w:r>
              <w:rPr>
                <w:b/>
                <w:w w:val="105"/>
                <w:sz w:val="13"/>
              </w:rPr>
              <w:t>Total</w:t>
            </w:r>
          </w:p>
        </w:tc>
        <w:tc>
          <w:tcPr>
            <w:tcW w:w="912" w:type="dxa"/>
            <w:tcBorders>
              <w:bottom w:val="single" w:sz="8" w:space="0" w:color="000000"/>
            </w:tcBorders>
          </w:tcPr>
          <w:p>
            <w:pPr>
              <w:pStyle w:val="TableParagraph"/>
              <w:spacing w:line="138" w:lineRule="exact" w:before="4"/>
              <w:ind w:right="136"/>
              <w:jc w:val="right"/>
              <w:rPr>
                <w:b/>
                <w:sz w:val="13"/>
              </w:rPr>
            </w:pPr>
            <w:r>
              <w:rPr>
                <w:b/>
                <w:sz w:val="13"/>
              </w:rPr>
              <w:t>280,33</w:t>
            </w:r>
          </w:p>
        </w:tc>
        <w:tc>
          <w:tcPr>
            <w:tcW w:w="715" w:type="dxa"/>
            <w:tcBorders>
              <w:bottom w:val="single" w:sz="8" w:space="0" w:color="000000"/>
            </w:tcBorders>
          </w:tcPr>
          <w:p>
            <w:pPr>
              <w:pStyle w:val="TableParagraph"/>
              <w:spacing w:line="138" w:lineRule="exact" w:before="4"/>
              <w:ind w:right="93"/>
              <w:jc w:val="right"/>
              <w:rPr>
                <w:b/>
                <w:sz w:val="13"/>
              </w:rPr>
            </w:pPr>
            <w:r>
              <w:rPr>
                <w:b/>
                <w:w w:val="105"/>
                <w:sz w:val="13"/>
              </w:rPr>
              <w:t>5.047,21</w:t>
            </w:r>
          </w:p>
        </w:tc>
        <w:tc>
          <w:tcPr>
            <w:tcW w:w="778" w:type="dxa"/>
            <w:tcBorders>
              <w:bottom w:val="single" w:sz="8" w:space="0" w:color="000000"/>
            </w:tcBorders>
          </w:tcPr>
          <w:p>
            <w:pPr>
              <w:pStyle w:val="TableParagraph"/>
              <w:spacing w:line="138" w:lineRule="exact" w:before="4"/>
              <w:ind w:right="200"/>
              <w:jc w:val="right"/>
              <w:rPr>
                <w:b/>
                <w:sz w:val="13"/>
              </w:rPr>
            </w:pPr>
            <w:r>
              <w:rPr>
                <w:b/>
                <w:w w:val="105"/>
                <w:sz w:val="13"/>
              </w:rPr>
              <w:t>5.880,17</w:t>
            </w:r>
          </w:p>
        </w:tc>
        <w:tc>
          <w:tcPr>
            <w:tcW w:w="800" w:type="dxa"/>
            <w:tcBorders>
              <w:bottom w:val="single" w:sz="8" w:space="0" w:color="000000"/>
            </w:tcBorders>
          </w:tcPr>
          <w:p>
            <w:pPr>
              <w:pStyle w:val="TableParagraph"/>
              <w:spacing w:line="138" w:lineRule="exact" w:before="4"/>
              <w:ind w:right="118"/>
              <w:jc w:val="right"/>
              <w:rPr>
                <w:b/>
                <w:sz w:val="13"/>
              </w:rPr>
            </w:pPr>
            <w:r>
              <w:rPr>
                <w:b/>
                <w:w w:val="105"/>
                <w:sz w:val="13"/>
              </w:rPr>
              <w:t>5.823,58</w:t>
            </w:r>
          </w:p>
        </w:tc>
      </w:tr>
    </w:tbl>
    <w:p>
      <w:pPr>
        <w:pStyle w:val="BodyText"/>
        <w:spacing w:before="11"/>
        <w:rPr>
          <w:b/>
          <w:sz w:val="12"/>
        </w:rPr>
      </w:pPr>
    </w:p>
    <w:p>
      <w:pPr>
        <w:pStyle w:val="BodyText"/>
        <w:spacing w:line="242" w:lineRule="auto" w:before="61"/>
        <w:ind w:left="2096" w:right="1135" w:firstLine="604"/>
        <w:jc w:val="both"/>
      </w:pPr>
      <w:r>
        <w:rPr/>
        <w:t>La diferencia en el Fondo de Garantía de Servicios Públicos Básicos, de 56,6 millones de € entre el total de ingresos y los derechos reconocidos, corresponde a la anualidad aplazada de las liquidaciones negativas del sistema de financiación de los ejercicios 2008 y 2009.</w:t>
      </w:r>
    </w:p>
    <w:p>
      <w:pPr>
        <w:pStyle w:val="BodyText"/>
        <w:spacing w:before="5"/>
        <w:rPr>
          <w:sz w:val="16"/>
        </w:rPr>
      </w:pPr>
    </w:p>
    <w:p>
      <w:pPr>
        <w:pStyle w:val="Heading1"/>
        <w:numPr>
          <w:ilvl w:val="2"/>
          <w:numId w:val="10"/>
        </w:numPr>
        <w:tabs>
          <w:tab w:pos="2691" w:val="left" w:leader="none"/>
        </w:tabs>
        <w:spacing w:line="240" w:lineRule="auto" w:before="0" w:after="0"/>
        <w:ind w:left="2690" w:right="0" w:hanging="605"/>
        <w:jc w:val="left"/>
      </w:pPr>
      <w:r>
        <w:rPr>
          <w:color w:val="53A1B9"/>
        </w:rPr>
        <w:t>Liquidación del presupuesto de gastos.</w:t>
      </w:r>
    </w:p>
    <w:p>
      <w:pPr>
        <w:pStyle w:val="BodyText"/>
        <w:spacing w:before="8"/>
        <w:rPr>
          <w:b/>
          <w:sz w:val="16"/>
        </w:rPr>
      </w:pPr>
    </w:p>
    <w:p>
      <w:pPr>
        <w:pStyle w:val="ListParagraph"/>
        <w:numPr>
          <w:ilvl w:val="3"/>
          <w:numId w:val="10"/>
        </w:numPr>
        <w:tabs>
          <w:tab w:pos="2767" w:val="left" w:leader="none"/>
        </w:tabs>
        <w:spacing w:line="240" w:lineRule="auto" w:before="0" w:after="0"/>
        <w:ind w:left="2767" w:right="0" w:hanging="671"/>
        <w:jc w:val="left"/>
        <w:rPr>
          <w:b/>
          <w:sz w:val="20"/>
        </w:rPr>
      </w:pPr>
      <w:r>
        <w:rPr>
          <w:b/>
          <w:sz w:val="20"/>
        </w:rPr>
        <w:t>Valoración previa.</w:t>
      </w:r>
    </w:p>
    <w:p>
      <w:pPr>
        <w:pStyle w:val="BodyText"/>
        <w:spacing w:before="8"/>
        <w:rPr>
          <w:b/>
          <w:sz w:val="16"/>
        </w:rPr>
      </w:pPr>
    </w:p>
    <w:p>
      <w:pPr>
        <w:pStyle w:val="BodyText"/>
        <w:ind w:left="2096" w:right="1136" w:firstLine="604"/>
        <w:jc w:val="both"/>
      </w:pPr>
      <w:r>
        <w:rPr/>
        <w:t>Se observa que diversos estados de la liquidación del presupuesto de gastos (ejecución, modificaciones de crédito, ampliaciones sin cobertura, etc.) no reflejan en el pdf</w:t>
      </w:r>
      <w:r>
        <w:rPr>
          <w:spacing w:val="-7"/>
        </w:rPr>
        <w:t> </w:t>
      </w:r>
      <w:r>
        <w:rPr/>
        <w:t>de</w:t>
      </w:r>
      <w:r>
        <w:rPr>
          <w:spacing w:val="-5"/>
        </w:rPr>
        <w:t> </w:t>
      </w:r>
      <w:r>
        <w:rPr/>
        <w:t>su</w:t>
      </w:r>
      <w:r>
        <w:rPr>
          <w:spacing w:val="-6"/>
        </w:rPr>
        <w:t> </w:t>
      </w:r>
      <w:r>
        <w:rPr/>
        <w:t>presentación,</w:t>
      </w:r>
      <w:r>
        <w:rPr>
          <w:spacing w:val="-5"/>
        </w:rPr>
        <w:t> </w:t>
      </w:r>
      <w:r>
        <w:rPr/>
        <w:t>la</w:t>
      </w:r>
      <w:r>
        <w:rPr>
          <w:spacing w:val="-4"/>
        </w:rPr>
        <w:t> </w:t>
      </w:r>
      <w:r>
        <w:rPr/>
        <w:t>correspondiente</w:t>
      </w:r>
      <w:r>
        <w:rPr>
          <w:spacing w:val="-7"/>
        </w:rPr>
        <w:t> </w:t>
      </w:r>
      <w:r>
        <w:rPr/>
        <w:t>desagregación</w:t>
      </w:r>
      <w:r>
        <w:rPr>
          <w:spacing w:val="-4"/>
        </w:rPr>
        <w:t> </w:t>
      </w:r>
      <w:r>
        <w:rPr/>
        <w:t>orgánica</w:t>
      </w:r>
      <w:r>
        <w:rPr>
          <w:spacing w:val="-4"/>
        </w:rPr>
        <w:t> </w:t>
      </w:r>
      <w:r>
        <w:rPr/>
        <w:t>y</w:t>
      </w:r>
      <w:r>
        <w:rPr>
          <w:spacing w:val="-6"/>
        </w:rPr>
        <w:t> </w:t>
      </w:r>
      <w:r>
        <w:rPr/>
        <w:t>funcional,</w:t>
      </w:r>
      <w:r>
        <w:rPr>
          <w:spacing w:val="-6"/>
        </w:rPr>
        <w:t> </w:t>
      </w:r>
      <w:r>
        <w:rPr/>
        <w:t>sino</w:t>
      </w:r>
      <w:r>
        <w:rPr>
          <w:spacing w:val="-2"/>
        </w:rPr>
        <w:t> </w:t>
      </w:r>
      <w:r>
        <w:rPr/>
        <w:t>que se relacionan diversas clasificaciones económicas/pep, sin poder determinar a qué sección, servicio o programa pertenecen. Ello resta claridad a las cuentas</w:t>
      </w:r>
      <w:r>
        <w:rPr>
          <w:spacing w:val="9"/>
        </w:rPr>
        <w:t> </w:t>
      </w:r>
      <w:r>
        <w:rPr/>
        <w:t>anuales.</w:t>
      </w:r>
    </w:p>
    <w:p>
      <w:pPr>
        <w:pStyle w:val="BodyText"/>
        <w:spacing w:before="2"/>
        <w:rPr>
          <w:sz w:val="17"/>
        </w:rPr>
      </w:pPr>
    </w:p>
    <w:p>
      <w:pPr>
        <w:pStyle w:val="BodyText"/>
        <w:ind w:left="2096" w:right="1142" w:firstLine="604"/>
        <w:jc w:val="both"/>
      </w:pPr>
      <w:r>
        <w:rPr/>
        <w:t>Para superar esta dificultad, se han utilizado técnicas analíticas de tratamiento de la información para convertir dicha información no estructurada en estructurada y, por tanto, tratable con el objeto de poder realizar las comprobaciones oportunas. Se han tratado 742 páginas de las que se han extraído 7.975 partidas presupuestarias y</w:t>
      </w:r>
    </w:p>
    <w:p>
      <w:pPr>
        <w:pStyle w:val="BodyText"/>
        <w:spacing w:before="8"/>
        <w:ind w:left="2096"/>
        <w:jc w:val="both"/>
      </w:pPr>
      <w:r>
        <w:rPr/>
        <w:t>1.349 PEP, es decir, un total de 9.324 elementos.</w:t>
      </w:r>
    </w:p>
    <w:p>
      <w:pPr>
        <w:pStyle w:val="BodyText"/>
        <w:spacing w:before="9"/>
        <w:rPr>
          <w:sz w:val="16"/>
        </w:rPr>
      </w:pPr>
    </w:p>
    <w:p>
      <w:pPr>
        <w:pStyle w:val="BodyText"/>
        <w:spacing w:before="1"/>
        <w:ind w:left="2096" w:right="1140" w:firstLine="604"/>
        <w:jc w:val="both"/>
      </w:pPr>
      <w:r>
        <w:rPr/>
        <w:t>Una vez tratado el documento pdf y extraídas las tablas relativas a la liquidación del presupuesto se han exportado a excel para su análisis. Se han analizado que los valores de las columnas referidas a créditos definitivos, obligaciones reconocidas y pagos   no   contuvieran   negativos.   El   proceso   ha   identificado   cinco  </w:t>
      </w:r>
      <w:r>
        <w:rPr>
          <w:spacing w:val="24"/>
        </w:rPr>
        <w:t> </w:t>
      </w:r>
      <w:r>
        <w:rPr/>
        <w:t>aplicaciones</w:t>
      </w:r>
    </w:p>
    <w:p>
      <w:pPr>
        <w:pStyle w:val="BodyText"/>
        <w:spacing w:before="65"/>
        <w:ind w:right="1136"/>
        <w:jc w:val="right"/>
      </w:pPr>
      <w:r>
        <w:rPr>
          <w:spacing w:val="-1"/>
        </w:rPr>
        <w:t>49</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09" name="image5.png"/>
                  <wp:cNvGraphicFramePr>
                    <a:graphicFrameLocks noChangeAspect="1"/>
                  </wp:cNvGraphicFramePr>
                  <a:graphic>
                    <a:graphicData uri="http://schemas.openxmlformats.org/drawingml/2006/picture">
                      <pic:pic>
                        <pic:nvPicPr>
                          <pic:cNvPr id="11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51/247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pPr>
      <w:r>
        <w:rPr/>
        <w:t>presupuestarias con créditos definitivos negativos. Estos son los siguientes:</w:t>
      </w:r>
    </w:p>
    <w:p>
      <w:pPr>
        <w:pStyle w:val="BodyText"/>
        <w:spacing w:before="11"/>
        <w:rPr>
          <w:sz w:val="16"/>
        </w:rPr>
      </w:pPr>
    </w:p>
    <w:tbl>
      <w:tblPr>
        <w:tblW w:w="0" w:type="auto"/>
        <w:jc w:val="left"/>
        <w:tblInd w:w="2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2"/>
        <w:gridCol w:w="673"/>
        <w:gridCol w:w="589"/>
        <w:gridCol w:w="750"/>
        <w:gridCol w:w="2358"/>
        <w:gridCol w:w="771"/>
      </w:tblGrid>
      <w:tr>
        <w:trPr>
          <w:trHeight w:val="377" w:hRule="atLeast"/>
        </w:trPr>
        <w:tc>
          <w:tcPr>
            <w:tcW w:w="2052" w:type="dxa"/>
            <w:tcBorders>
              <w:top w:val="single" w:sz="4" w:space="0" w:color="000000"/>
            </w:tcBorders>
            <w:shd w:val="clear" w:color="auto" w:fill="DEEAF6"/>
          </w:tcPr>
          <w:p>
            <w:pPr>
              <w:pStyle w:val="TableParagraph"/>
              <w:spacing w:before="109"/>
              <w:ind w:left="838" w:right="746"/>
              <w:jc w:val="center"/>
              <w:rPr>
                <w:b/>
                <w:sz w:val="13"/>
              </w:rPr>
            </w:pPr>
            <w:r>
              <w:rPr>
                <w:b/>
                <w:w w:val="105"/>
                <w:sz w:val="13"/>
              </w:rPr>
              <w:t>Sección</w:t>
            </w:r>
          </w:p>
        </w:tc>
        <w:tc>
          <w:tcPr>
            <w:tcW w:w="673" w:type="dxa"/>
            <w:tcBorders>
              <w:top w:val="single" w:sz="4" w:space="0" w:color="000000"/>
            </w:tcBorders>
            <w:shd w:val="clear" w:color="auto" w:fill="DEEAF6"/>
          </w:tcPr>
          <w:p>
            <w:pPr>
              <w:pStyle w:val="TableParagraph"/>
              <w:spacing w:before="109"/>
              <w:ind w:right="143"/>
              <w:jc w:val="right"/>
              <w:rPr>
                <w:b/>
                <w:sz w:val="13"/>
              </w:rPr>
            </w:pPr>
            <w:r>
              <w:rPr>
                <w:b/>
                <w:sz w:val="13"/>
              </w:rPr>
              <w:t>Serv.</w:t>
            </w:r>
          </w:p>
        </w:tc>
        <w:tc>
          <w:tcPr>
            <w:tcW w:w="589" w:type="dxa"/>
            <w:tcBorders>
              <w:top w:val="single" w:sz="4" w:space="0" w:color="000000"/>
            </w:tcBorders>
            <w:shd w:val="clear" w:color="auto" w:fill="DEEAF6"/>
          </w:tcPr>
          <w:p>
            <w:pPr>
              <w:pStyle w:val="TableParagraph"/>
              <w:spacing w:before="109"/>
              <w:ind w:left="121"/>
              <w:rPr>
                <w:b/>
                <w:sz w:val="13"/>
              </w:rPr>
            </w:pPr>
            <w:r>
              <w:rPr>
                <w:b/>
                <w:w w:val="105"/>
                <w:sz w:val="13"/>
              </w:rPr>
              <w:t>Progr.</w:t>
            </w:r>
          </w:p>
        </w:tc>
        <w:tc>
          <w:tcPr>
            <w:tcW w:w="750" w:type="dxa"/>
            <w:tcBorders>
              <w:top w:val="single" w:sz="4" w:space="0" w:color="000000"/>
            </w:tcBorders>
            <w:shd w:val="clear" w:color="auto" w:fill="DEEAF6"/>
          </w:tcPr>
          <w:p>
            <w:pPr>
              <w:pStyle w:val="TableParagraph"/>
              <w:spacing w:before="109"/>
              <w:ind w:left="90"/>
              <w:rPr>
                <w:b/>
                <w:sz w:val="13"/>
              </w:rPr>
            </w:pPr>
            <w:r>
              <w:rPr>
                <w:b/>
                <w:w w:val="105"/>
                <w:sz w:val="13"/>
              </w:rPr>
              <w:t>Económica</w:t>
            </w:r>
          </w:p>
        </w:tc>
        <w:tc>
          <w:tcPr>
            <w:tcW w:w="2358" w:type="dxa"/>
            <w:tcBorders>
              <w:top w:val="single" w:sz="4" w:space="0" w:color="000000"/>
            </w:tcBorders>
            <w:shd w:val="clear" w:color="auto" w:fill="DEEAF6"/>
          </w:tcPr>
          <w:p>
            <w:pPr>
              <w:pStyle w:val="TableParagraph"/>
              <w:spacing w:before="109"/>
              <w:ind w:left="1083" w:right="1019"/>
              <w:jc w:val="center"/>
              <w:rPr>
                <w:b/>
                <w:sz w:val="13"/>
              </w:rPr>
            </w:pPr>
            <w:r>
              <w:rPr>
                <w:b/>
                <w:w w:val="105"/>
                <w:sz w:val="13"/>
              </w:rPr>
              <w:t>Pep</w:t>
            </w:r>
          </w:p>
        </w:tc>
        <w:tc>
          <w:tcPr>
            <w:tcW w:w="771" w:type="dxa"/>
            <w:tcBorders>
              <w:top w:val="single" w:sz="4" w:space="0" w:color="000000"/>
            </w:tcBorders>
            <w:shd w:val="clear" w:color="auto" w:fill="DEEAF6"/>
          </w:tcPr>
          <w:p>
            <w:pPr>
              <w:pStyle w:val="TableParagraph"/>
              <w:spacing w:line="247" w:lineRule="auto" w:before="28"/>
              <w:ind w:left="120" w:firstLine="62"/>
              <w:rPr>
                <w:b/>
                <w:sz w:val="13"/>
              </w:rPr>
            </w:pPr>
            <w:r>
              <w:rPr>
                <w:b/>
                <w:w w:val="105"/>
                <w:sz w:val="13"/>
              </w:rPr>
              <w:t>Crédito definitivo</w:t>
            </w:r>
          </w:p>
        </w:tc>
      </w:tr>
      <w:tr>
        <w:trPr>
          <w:trHeight w:val="174" w:hRule="atLeast"/>
        </w:trPr>
        <w:tc>
          <w:tcPr>
            <w:tcW w:w="2052" w:type="dxa"/>
          </w:tcPr>
          <w:p>
            <w:pPr>
              <w:pStyle w:val="TableParagraph"/>
              <w:spacing w:line="152" w:lineRule="exact" w:before="3"/>
              <w:ind w:left="58"/>
              <w:rPr>
                <w:sz w:val="13"/>
              </w:rPr>
            </w:pPr>
            <w:r>
              <w:rPr>
                <w:w w:val="105"/>
                <w:sz w:val="13"/>
              </w:rPr>
              <w:t>10 Hacienda, Presupuestos Y</w:t>
            </w:r>
          </w:p>
        </w:tc>
        <w:tc>
          <w:tcPr>
            <w:tcW w:w="673" w:type="dxa"/>
          </w:tcPr>
          <w:p>
            <w:pPr>
              <w:pStyle w:val="TableParagraph"/>
              <w:spacing w:line="152" w:lineRule="exact" w:before="3"/>
              <w:ind w:right="145"/>
              <w:jc w:val="right"/>
              <w:rPr>
                <w:sz w:val="13"/>
              </w:rPr>
            </w:pPr>
            <w:r>
              <w:rPr>
                <w:sz w:val="13"/>
              </w:rPr>
              <w:t>1002</w:t>
            </w:r>
          </w:p>
        </w:tc>
        <w:tc>
          <w:tcPr>
            <w:tcW w:w="589" w:type="dxa"/>
          </w:tcPr>
          <w:p>
            <w:pPr>
              <w:pStyle w:val="TableParagraph"/>
              <w:spacing w:line="152" w:lineRule="exact" w:before="3"/>
              <w:ind w:left="147"/>
              <w:rPr>
                <w:sz w:val="13"/>
              </w:rPr>
            </w:pPr>
            <w:r>
              <w:rPr>
                <w:w w:val="105"/>
                <w:sz w:val="13"/>
              </w:rPr>
              <w:t>923D</w:t>
            </w:r>
          </w:p>
        </w:tc>
        <w:tc>
          <w:tcPr>
            <w:tcW w:w="750" w:type="dxa"/>
          </w:tcPr>
          <w:p>
            <w:pPr>
              <w:pStyle w:val="TableParagraph"/>
              <w:spacing w:line="152" w:lineRule="exact" w:before="3"/>
              <w:ind w:left="152"/>
              <w:rPr>
                <w:sz w:val="13"/>
              </w:rPr>
            </w:pPr>
            <w:r>
              <w:rPr>
                <w:w w:val="105"/>
                <w:sz w:val="13"/>
              </w:rPr>
              <w:t>6220100</w:t>
            </w:r>
          </w:p>
        </w:tc>
        <w:tc>
          <w:tcPr>
            <w:tcW w:w="2358" w:type="dxa"/>
          </w:tcPr>
          <w:p>
            <w:pPr>
              <w:pStyle w:val="TableParagraph"/>
              <w:spacing w:line="152" w:lineRule="exact" w:before="3"/>
              <w:ind w:left="116"/>
              <w:rPr>
                <w:sz w:val="13"/>
              </w:rPr>
            </w:pPr>
            <w:r>
              <w:rPr>
                <w:w w:val="105"/>
                <w:sz w:val="13"/>
              </w:rPr>
              <w:t>176G0078 - ADEC Y MEJ EDIF E INSTAL</w:t>
            </w:r>
          </w:p>
        </w:tc>
        <w:tc>
          <w:tcPr>
            <w:tcW w:w="771" w:type="dxa"/>
          </w:tcPr>
          <w:p>
            <w:pPr>
              <w:pStyle w:val="TableParagraph"/>
              <w:spacing w:line="152" w:lineRule="exact" w:before="3"/>
              <w:ind w:right="56"/>
              <w:jc w:val="right"/>
              <w:rPr>
                <w:sz w:val="13"/>
              </w:rPr>
            </w:pPr>
            <w:r>
              <w:rPr>
                <w:sz w:val="13"/>
              </w:rPr>
              <w:t>-14.791,30</w:t>
            </w:r>
          </w:p>
        </w:tc>
      </w:tr>
      <w:tr>
        <w:trPr>
          <w:trHeight w:val="163" w:hRule="atLeast"/>
        </w:trPr>
        <w:tc>
          <w:tcPr>
            <w:tcW w:w="2052" w:type="dxa"/>
          </w:tcPr>
          <w:p>
            <w:pPr>
              <w:pStyle w:val="TableParagraph"/>
              <w:spacing w:line="143" w:lineRule="exact"/>
              <w:ind w:left="58"/>
              <w:rPr>
                <w:sz w:val="13"/>
              </w:rPr>
            </w:pPr>
            <w:r>
              <w:rPr>
                <w:w w:val="105"/>
                <w:sz w:val="13"/>
              </w:rPr>
              <w:t>Asuntos Europeos</w:t>
            </w:r>
          </w:p>
        </w:tc>
        <w:tc>
          <w:tcPr>
            <w:tcW w:w="673" w:type="dxa"/>
          </w:tcPr>
          <w:p>
            <w:pPr>
              <w:pStyle w:val="TableParagraph"/>
              <w:rPr>
                <w:rFonts w:ascii="Times New Roman"/>
                <w:sz w:val="10"/>
              </w:rPr>
            </w:pPr>
          </w:p>
        </w:tc>
        <w:tc>
          <w:tcPr>
            <w:tcW w:w="589" w:type="dxa"/>
          </w:tcPr>
          <w:p>
            <w:pPr>
              <w:pStyle w:val="TableParagraph"/>
              <w:rPr>
                <w:rFonts w:ascii="Times New Roman"/>
                <w:sz w:val="10"/>
              </w:rPr>
            </w:pPr>
          </w:p>
        </w:tc>
        <w:tc>
          <w:tcPr>
            <w:tcW w:w="750" w:type="dxa"/>
          </w:tcPr>
          <w:p>
            <w:pPr>
              <w:pStyle w:val="TableParagraph"/>
              <w:rPr>
                <w:rFonts w:ascii="Times New Roman"/>
                <w:sz w:val="10"/>
              </w:rPr>
            </w:pPr>
          </w:p>
        </w:tc>
        <w:tc>
          <w:tcPr>
            <w:tcW w:w="2358" w:type="dxa"/>
          </w:tcPr>
          <w:p>
            <w:pPr>
              <w:pStyle w:val="TableParagraph"/>
              <w:spacing w:line="143" w:lineRule="exact"/>
              <w:ind w:left="116"/>
              <w:rPr>
                <w:sz w:val="13"/>
              </w:rPr>
            </w:pPr>
            <w:r>
              <w:rPr>
                <w:w w:val="105"/>
                <w:sz w:val="13"/>
              </w:rPr>
              <w:t>TÉCN C HACIENDA</w:t>
            </w:r>
          </w:p>
        </w:tc>
        <w:tc>
          <w:tcPr>
            <w:tcW w:w="771" w:type="dxa"/>
          </w:tcPr>
          <w:p>
            <w:pPr>
              <w:pStyle w:val="TableParagraph"/>
              <w:rPr>
                <w:rFonts w:ascii="Times New Roman"/>
                <w:sz w:val="10"/>
              </w:rPr>
            </w:pPr>
          </w:p>
        </w:tc>
      </w:tr>
      <w:tr>
        <w:trPr>
          <w:trHeight w:val="164" w:hRule="atLeast"/>
        </w:trPr>
        <w:tc>
          <w:tcPr>
            <w:tcW w:w="2052" w:type="dxa"/>
          </w:tcPr>
          <w:p>
            <w:pPr>
              <w:pStyle w:val="TableParagraph"/>
              <w:spacing w:line="144" w:lineRule="exact"/>
              <w:ind w:left="58"/>
              <w:rPr>
                <w:sz w:val="13"/>
              </w:rPr>
            </w:pPr>
            <w:r>
              <w:rPr>
                <w:w w:val="105"/>
                <w:sz w:val="13"/>
              </w:rPr>
              <w:t>23 Derechos Sociales, Igualdad,</w:t>
            </w:r>
          </w:p>
        </w:tc>
        <w:tc>
          <w:tcPr>
            <w:tcW w:w="673" w:type="dxa"/>
          </w:tcPr>
          <w:p>
            <w:pPr>
              <w:pStyle w:val="TableParagraph"/>
              <w:spacing w:line="144" w:lineRule="exact"/>
              <w:ind w:right="145"/>
              <w:jc w:val="right"/>
              <w:rPr>
                <w:sz w:val="13"/>
              </w:rPr>
            </w:pPr>
            <w:r>
              <w:rPr>
                <w:sz w:val="13"/>
              </w:rPr>
              <w:t>2302</w:t>
            </w:r>
          </w:p>
        </w:tc>
        <w:tc>
          <w:tcPr>
            <w:tcW w:w="589" w:type="dxa"/>
          </w:tcPr>
          <w:p>
            <w:pPr>
              <w:pStyle w:val="TableParagraph"/>
              <w:spacing w:line="144" w:lineRule="exact"/>
              <w:ind w:left="149"/>
              <w:rPr>
                <w:sz w:val="13"/>
              </w:rPr>
            </w:pPr>
            <w:r>
              <w:rPr>
                <w:w w:val="105"/>
                <w:sz w:val="13"/>
              </w:rPr>
              <w:t>239A</w:t>
            </w:r>
          </w:p>
        </w:tc>
        <w:tc>
          <w:tcPr>
            <w:tcW w:w="750" w:type="dxa"/>
          </w:tcPr>
          <w:p>
            <w:pPr>
              <w:pStyle w:val="TableParagraph"/>
              <w:spacing w:line="144" w:lineRule="exact"/>
              <w:ind w:left="152"/>
              <w:rPr>
                <w:sz w:val="13"/>
              </w:rPr>
            </w:pPr>
            <w:r>
              <w:rPr>
                <w:w w:val="105"/>
                <w:sz w:val="13"/>
              </w:rPr>
              <w:t>6220100</w:t>
            </w:r>
          </w:p>
        </w:tc>
        <w:tc>
          <w:tcPr>
            <w:tcW w:w="2358" w:type="dxa"/>
          </w:tcPr>
          <w:p>
            <w:pPr>
              <w:pStyle w:val="TableParagraph"/>
              <w:spacing w:line="144" w:lineRule="exact"/>
              <w:ind w:left="116"/>
              <w:rPr>
                <w:sz w:val="13"/>
              </w:rPr>
            </w:pPr>
            <w:r>
              <w:rPr>
                <w:w w:val="105"/>
                <w:sz w:val="13"/>
              </w:rPr>
              <w:t>08626600 - OBRAS, REFORMAS Y</w:t>
            </w:r>
          </w:p>
        </w:tc>
        <w:tc>
          <w:tcPr>
            <w:tcW w:w="771" w:type="dxa"/>
          </w:tcPr>
          <w:p>
            <w:pPr>
              <w:pStyle w:val="TableParagraph"/>
              <w:spacing w:line="144" w:lineRule="exact"/>
              <w:ind w:right="56"/>
              <w:jc w:val="right"/>
              <w:rPr>
                <w:sz w:val="13"/>
              </w:rPr>
            </w:pPr>
            <w:r>
              <w:rPr>
                <w:sz w:val="13"/>
              </w:rPr>
              <w:t>-11.651,59</w:t>
            </w:r>
          </w:p>
        </w:tc>
      </w:tr>
      <w:tr>
        <w:trPr>
          <w:trHeight w:val="164" w:hRule="atLeast"/>
        </w:trPr>
        <w:tc>
          <w:tcPr>
            <w:tcW w:w="2052" w:type="dxa"/>
          </w:tcPr>
          <w:p>
            <w:pPr>
              <w:pStyle w:val="TableParagraph"/>
              <w:spacing w:line="144" w:lineRule="exact"/>
              <w:ind w:left="58"/>
              <w:rPr>
                <w:sz w:val="13"/>
              </w:rPr>
            </w:pPr>
            <w:r>
              <w:rPr>
                <w:w w:val="105"/>
                <w:sz w:val="13"/>
              </w:rPr>
              <w:t>Diversidad Y Juventud</w:t>
            </w:r>
          </w:p>
        </w:tc>
        <w:tc>
          <w:tcPr>
            <w:tcW w:w="673" w:type="dxa"/>
          </w:tcPr>
          <w:p>
            <w:pPr>
              <w:pStyle w:val="TableParagraph"/>
              <w:rPr>
                <w:rFonts w:ascii="Times New Roman"/>
                <w:sz w:val="10"/>
              </w:rPr>
            </w:pPr>
          </w:p>
        </w:tc>
        <w:tc>
          <w:tcPr>
            <w:tcW w:w="589" w:type="dxa"/>
          </w:tcPr>
          <w:p>
            <w:pPr>
              <w:pStyle w:val="TableParagraph"/>
              <w:rPr>
                <w:rFonts w:ascii="Times New Roman"/>
                <w:sz w:val="10"/>
              </w:rPr>
            </w:pPr>
          </w:p>
        </w:tc>
        <w:tc>
          <w:tcPr>
            <w:tcW w:w="750" w:type="dxa"/>
          </w:tcPr>
          <w:p>
            <w:pPr>
              <w:pStyle w:val="TableParagraph"/>
              <w:rPr>
                <w:rFonts w:ascii="Times New Roman"/>
                <w:sz w:val="10"/>
              </w:rPr>
            </w:pPr>
          </w:p>
        </w:tc>
        <w:tc>
          <w:tcPr>
            <w:tcW w:w="2358" w:type="dxa"/>
          </w:tcPr>
          <w:p>
            <w:pPr>
              <w:pStyle w:val="TableParagraph"/>
              <w:spacing w:line="144" w:lineRule="exact"/>
              <w:ind w:left="116"/>
              <w:rPr>
                <w:sz w:val="13"/>
              </w:rPr>
            </w:pPr>
            <w:r>
              <w:rPr>
                <w:w w:val="105"/>
                <w:sz w:val="13"/>
              </w:rPr>
              <w:t>EQUIPAMIENTOS DE LA CO</w:t>
            </w:r>
          </w:p>
        </w:tc>
        <w:tc>
          <w:tcPr>
            <w:tcW w:w="771" w:type="dxa"/>
          </w:tcPr>
          <w:p>
            <w:pPr>
              <w:pStyle w:val="TableParagraph"/>
              <w:rPr>
                <w:rFonts w:ascii="Times New Roman"/>
                <w:sz w:val="10"/>
              </w:rPr>
            </w:pPr>
          </w:p>
        </w:tc>
      </w:tr>
      <w:tr>
        <w:trPr>
          <w:trHeight w:val="164" w:hRule="atLeast"/>
        </w:trPr>
        <w:tc>
          <w:tcPr>
            <w:tcW w:w="2052" w:type="dxa"/>
          </w:tcPr>
          <w:p>
            <w:pPr>
              <w:pStyle w:val="TableParagraph"/>
              <w:spacing w:line="144" w:lineRule="exact"/>
              <w:ind w:left="58"/>
              <w:rPr>
                <w:sz w:val="13"/>
              </w:rPr>
            </w:pPr>
            <w:r>
              <w:rPr>
                <w:w w:val="105"/>
                <w:sz w:val="13"/>
              </w:rPr>
              <w:t>10 Hacienda, Presupuestos Y</w:t>
            </w:r>
          </w:p>
        </w:tc>
        <w:tc>
          <w:tcPr>
            <w:tcW w:w="673" w:type="dxa"/>
          </w:tcPr>
          <w:p>
            <w:pPr>
              <w:pStyle w:val="TableParagraph"/>
              <w:spacing w:line="144" w:lineRule="exact"/>
              <w:ind w:right="145"/>
              <w:jc w:val="right"/>
              <w:rPr>
                <w:sz w:val="13"/>
              </w:rPr>
            </w:pPr>
            <w:r>
              <w:rPr>
                <w:sz w:val="13"/>
              </w:rPr>
              <w:t>1010</w:t>
            </w:r>
          </w:p>
        </w:tc>
        <w:tc>
          <w:tcPr>
            <w:tcW w:w="589" w:type="dxa"/>
          </w:tcPr>
          <w:p>
            <w:pPr>
              <w:pStyle w:val="TableParagraph"/>
              <w:spacing w:line="144" w:lineRule="exact"/>
              <w:ind w:left="151"/>
              <w:rPr>
                <w:sz w:val="13"/>
              </w:rPr>
            </w:pPr>
            <w:r>
              <w:rPr>
                <w:w w:val="105"/>
                <w:sz w:val="13"/>
              </w:rPr>
              <w:t>923B</w:t>
            </w:r>
          </w:p>
        </w:tc>
        <w:tc>
          <w:tcPr>
            <w:tcW w:w="750" w:type="dxa"/>
          </w:tcPr>
          <w:p>
            <w:pPr>
              <w:pStyle w:val="TableParagraph"/>
              <w:spacing w:line="144" w:lineRule="exact"/>
              <w:ind w:left="152"/>
              <w:rPr>
                <w:sz w:val="13"/>
              </w:rPr>
            </w:pPr>
            <w:r>
              <w:rPr>
                <w:w w:val="105"/>
                <w:sz w:val="13"/>
              </w:rPr>
              <w:t>6320000</w:t>
            </w:r>
          </w:p>
        </w:tc>
        <w:tc>
          <w:tcPr>
            <w:tcW w:w="2358" w:type="dxa"/>
          </w:tcPr>
          <w:p>
            <w:pPr>
              <w:pStyle w:val="TableParagraph"/>
              <w:spacing w:line="144" w:lineRule="exact"/>
              <w:ind w:left="116"/>
              <w:rPr>
                <w:sz w:val="13"/>
              </w:rPr>
            </w:pPr>
            <w:r>
              <w:rPr>
                <w:w w:val="105"/>
                <w:sz w:val="13"/>
              </w:rPr>
              <w:t>216G0006 - OBRAS, REFOR., CONSERV.</w:t>
            </w:r>
          </w:p>
        </w:tc>
        <w:tc>
          <w:tcPr>
            <w:tcW w:w="771" w:type="dxa"/>
          </w:tcPr>
          <w:p>
            <w:pPr>
              <w:pStyle w:val="TableParagraph"/>
              <w:spacing w:line="144" w:lineRule="exact"/>
              <w:ind w:right="56"/>
              <w:jc w:val="right"/>
              <w:rPr>
                <w:sz w:val="13"/>
              </w:rPr>
            </w:pPr>
            <w:r>
              <w:rPr>
                <w:w w:val="105"/>
                <w:sz w:val="13"/>
              </w:rPr>
              <w:t>-5.629,33</w:t>
            </w:r>
          </w:p>
        </w:tc>
      </w:tr>
      <w:tr>
        <w:trPr>
          <w:trHeight w:val="164" w:hRule="atLeast"/>
        </w:trPr>
        <w:tc>
          <w:tcPr>
            <w:tcW w:w="2052" w:type="dxa"/>
          </w:tcPr>
          <w:p>
            <w:pPr>
              <w:pStyle w:val="TableParagraph"/>
              <w:spacing w:line="144" w:lineRule="exact"/>
              <w:ind w:left="58"/>
              <w:rPr>
                <w:sz w:val="13"/>
              </w:rPr>
            </w:pPr>
            <w:r>
              <w:rPr>
                <w:w w:val="105"/>
                <w:sz w:val="13"/>
              </w:rPr>
              <w:t>Asuntos Europeos</w:t>
            </w:r>
          </w:p>
        </w:tc>
        <w:tc>
          <w:tcPr>
            <w:tcW w:w="673" w:type="dxa"/>
          </w:tcPr>
          <w:p>
            <w:pPr>
              <w:pStyle w:val="TableParagraph"/>
              <w:rPr>
                <w:rFonts w:ascii="Times New Roman"/>
                <w:sz w:val="10"/>
              </w:rPr>
            </w:pPr>
          </w:p>
        </w:tc>
        <w:tc>
          <w:tcPr>
            <w:tcW w:w="589" w:type="dxa"/>
          </w:tcPr>
          <w:p>
            <w:pPr>
              <w:pStyle w:val="TableParagraph"/>
              <w:rPr>
                <w:rFonts w:ascii="Times New Roman"/>
                <w:sz w:val="10"/>
              </w:rPr>
            </w:pPr>
          </w:p>
        </w:tc>
        <w:tc>
          <w:tcPr>
            <w:tcW w:w="750" w:type="dxa"/>
          </w:tcPr>
          <w:p>
            <w:pPr>
              <w:pStyle w:val="TableParagraph"/>
              <w:rPr>
                <w:rFonts w:ascii="Times New Roman"/>
                <w:sz w:val="10"/>
              </w:rPr>
            </w:pPr>
          </w:p>
        </w:tc>
        <w:tc>
          <w:tcPr>
            <w:tcW w:w="2358" w:type="dxa"/>
          </w:tcPr>
          <w:p>
            <w:pPr>
              <w:pStyle w:val="TableParagraph"/>
              <w:spacing w:line="144" w:lineRule="exact"/>
              <w:ind w:left="116"/>
              <w:rPr>
                <w:sz w:val="13"/>
              </w:rPr>
            </w:pPr>
            <w:r>
              <w:rPr>
                <w:w w:val="105"/>
                <w:sz w:val="13"/>
              </w:rPr>
              <w:t>Y EQUIP. EDIF.U.M.</w:t>
            </w:r>
          </w:p>
        </w:tc>
        <w:tc>
          <w:tcPr>
            <w:tcW w:w="771" w:type="dxa"/>
          </w:tcPr>
          <w:p>
            <w:pPr>
              <w:pStyle w:val="TableParagraph"/>
              <w:rPr>
                <w:rFonts w:ascii="Times New Roman"/>
                <w:sz w:val="10"/>
              </w:rPr>
            </w:pPr>
          </w:p>
        </w:tc>
      </w:tr>
      <w:tr>
        <w:trPr>
          <w:trHeight w:val="163" w:hRule="atLeast"/>
        </w:trPr>
        <w:tc>
          <w:tcPr>
            <w:tcW w:w="2052" w:type="dxa"/>
          </w:tcPr>
          <w:p>
            <w:pPr>
              <w:pStyle w:val="TableParagraph"/>
              <w:spacing w:line="143" w:lineRule="exact"/>
              <w:ind w:left="58"/>
              <w:rPr>
                <w:sz w:val="13"/>
              </w:rPr>
            </w:pPr>
            <w:r>
              <w:rPr>
                <w:w w:val="105"/>
                <w:sz w:val="13"/>
              </w:rPr>
              <w:t>13 Agricultura, Ganadería Y</w:t>
            </w:r>
          </w:p>
        </w:tc>
        <w:tc>
          <w:tcPr>
            <w:tcW w:w="673" w:type="dxa"/>
          </w:tcPr>
          <w:p>
            <w:pPr>
              <w:pStyle w:val="TableParagraph"/>
              <w:spacing w:line="143" w:lineRule="exact"/>
              <w:ind w:right="145"/>
              <w:jc w:val="right"/>
              <w:rPr>
                <w:sz w:val="13"/>
              </w:rPr>
            </w:pPr>
            <w:r>
              <w:rPr>
                <w:sz w:val="13"/>
              </w:rPr>
              <w:t>1309</w:t>
            </w:r>
          </w:p>
        </w:tc>
        <w:tc>
          <w:tcPr>
            <w:tcW w:w="589" w:type="dxa"/>
          </w:tcPr>
          <w:p>
            <w:pPr>
              <w:pStyle w:val="TableParagraph"/>
              <w:spacing w:line="143" w:lineRule="exact"/>
              <w:ind w:left="151"/>
              <w:rPr>
                <w:sz w:val="13"/>
              </w:rPr>
            </w:pPr>
            <w:r>
              <w:rPr>
                <w:w w:val="105"/>
                <w:sz w:val="13"/>
              </w:rPr>
              <w:t>415B</w:t>
            </w:r>
          </w:p>
        </w:tc>
        <w:tc>
          <w:tcPr>
            <w:tcW w:w="750" w:type="dxa"/>
          </w:tcPr>
          <w:p>
            <w:pPr>
              <w:pStyle w:val="TableParagraph"/>
              <w:spacing w:line="143" w:lineRule="exact"/>
              <w:ind w:left="152"/>
              <w:rPr>
                <w:sz w:val="13"/>
              </w:rPr>
            </w:pPr>
            <w:r>
              <w:rPr>
                <w:w w:val="105"/>
                <w:sz w:val="13"/>
              </w:rPr>
              <w:t>6500000</w:t>
            </w:r>
          </w:p>
        </w:tc>
        <w:tc>
          <w:tcPr>
            <w:tcW w:w="2358" w:type="dxa"/>
          </w:tcPr>
          <w:p>
            <w:pPr>
              <w:pStyle w:val="TableParagraph"/>
              <w:spacing w:line="143" w:lineRule="exact"/>
              <w:ind w:left="116"/>
              <w:rPr>
                <w:sz w:val="13"/>
              </w:rPr>
            </w:pPr>
            <w:r>
              <w:rPr>
                <w:w w:val="105"/>
                <w:sz w:val="13"/>
              </w:rPr>
              <w:t>96613608 - CONSERV. EDIF, INFR.</w:t>
            </w:r>
          </w:p>
        </w:tc>
        <w:tc>
          <w:tcPr>
            <w:tcW w:w="771" w:type="dxa"/>
          </w:tcPr>
          <w:p>
            <w:pPr>
              <w:pStyle w:val="TableParagraph"/>
              <w:spacing w:line="143" w:lineRule="exact"/>
              <w:ind w:right="56"/>
              <w:jc w:val="right"/>
              <w:rPr>
                <w:sz w:val="13"/>
              </w:rPr>
            </w:pPr>
            <w:r>
              <w:rPr>
                <w:w w:val="105"/>
                <w:sz w:val="13"/>
              </w:rPr>
              <w:t>-1.904,19</w:t>
            </w:r>
          </w:p>
        </w:tc>
      </w:tr>
      <w:tr>
        <w:trPr>
          <w:trHeight w:val="164" w:hRule="atLeast"/>
        </w:trPr>
        <w:tc>
          <w:tcPr>
            <w:tcW w:w="2052" w:type="dxa"/>
          </w:tcPr>
          <w:p>
            <w:pPr>
              <w:pStyle w:val="TableParagraph"/>
              <w:spacing w:line="144" w:lineRule="exact"/>
              <w:ind w:left="58"/>
              <w:rPr>
                <w:sz w:val="13"/>
              </w:rPr>
            </w:pPr>
            <w:r>
              <w:rPr>
                <w:w w:val="105"/>
                <w:sz w:val="13"/>
              </w:rPr>
              <w:t>Sostenibilidad A.</w:t>
            </w:r>
          </w:p>
        </w:tc>
        <w:tc>
          <w:tcPr>
            <w:tcW w:w="673" w:type="dxa"/>
          </w:tcPr>
          <w:p>
            <w:pPr>
              <w:pStyle w:val="TableParagraph"/>
              <w:rPr>
                <w:rFonts w:ascii="Times New Roman"/>
                <w:sz w:val="10"/>
              </w:rPr>
            </w:pPr>
          </w:p>
        </w:tc>
        <w:tc>
          <w:tcPr>
            <w:tcW w:w="589" w:type="dxa"/>
          </w:tcPr>
          <w:p>
            <w:pPr>
              <w:pStyle w:val="TableParagraph"/>
              <w:rPr>
                <w:rFonts w:ascii="Times New Roman"/>
                <w:sz w:val="10"/>
              </w:rPr>
            </w:pPr>
          </w:p>
        </w:tc>
        <w:tc>
          <w:tcPr>
            <w:tcW w:w="750" w:type="dxa"/>
          </w:tcPr>
          <w:p>
            <w:pPr>
              <w:pStyle w:val="TableParagraph"/>
              <w:rPr>
                <w:rFonts w:ascii="Times New Roman"/>
                <w:sz w:val="10"/>
              </w:rPr>
            </w:pPr>
          </w:p>
        </w:tc>
        <w:tc>
          <w:tcPr>
            <w:tcW w:w="2358" w:type="dxa"/>
          </w:tcPr>
          <w:p>
            <w:pPr>
              <w:pStyle w:val="TableParagraph"/>
              <w:spacing w:line="144" w:lineRule="exact"/>
              <w:ind w:left="116"/>
              <w:rPr>
                <w:sz w:val="13"/>
              </w:rPr>
            </w:pPr>
            <w:r>
              <w:rPr>
                <w:w w:val="105"/>
                <w:sz w:val="13"/>
              </w:rPr>
              <w:t>PESQ., SUMIN, PROYE</w:t>
            </w:r>
          </w:p>
        </w:tc>
        <w:tc>
          <w:tcPr>
            <w:tcW w:w="771" w:type="dxa"/>
          </w:tcPr>
          <w:p>
            <w:pPr>
              <w:pStyle w:val="TableParagraph"/>
              <w:rPr>
                <w:rFonts w:ascii="Times New Roman"/>
                <w:sz w:val="10"/>
              </w:rPr>
            </w:pPr>
          </w:p>
        </w:tc>
      </w:tr>
      <w:tr>
        <w:trPr>
          <w:trHeight w:val="164" w:hRule="atLeast"/>
        </w:trPr>
        <w:tc>
          <w:tcPr>
            <w:tcW w:w="2052" w:type="dxa"/>
          </w:tcPr>
          <w:p>
            <w:pPr>
              <w:pStyle w:val="TableParagraph"/>
              <w:spacing w:line="144" w:lineRule="exact"/>
              <w:ind w:left="58"/>
              <w:rPr>
                <w:sz w:val="13"/>
              </w:rPr>
            </w:pPr>
            <w:r>
              <w:rPr>
                <w:w w:val="105"/>
                <w:sz w:val="13"/>
              </w:rPr>
              <w:t>10 Hacienda, Presupuestos Y</w:t>
            </w:r>
          </w:p>
        </w:tc>
        <w:tc>
          <w:tcPr>
            <w:tcW w:w="673" w:type="dxa"/>
          </w:tcPr>
          <w:p>
            <w:pPr>
              <w:pStyle w:val="TableParagraph"/>
              <w:spacing w:line="144" w:lineRule="exact"/>
              <w:ind w:right="145"/>
              <w:jc w:val="right"/>
              <w:rPr>
                <w:sz w:val="13"/>
              </w:rPr>
            </w:pPr>
            <w:r>
              <w:rPr>
                <w:sz w:val="13"/>
              </w:rPr>
              <w:t>1003</w:t>
            </w:r>
          </w:p>
        </w:tc>
        <w:tc>
          <w:tcPr>
            <w:tcW w:w="589" w:type="dxa"/>
          </w:tcPr>
          <w:p>
            <w:pPr>
              <w:pStyle w:val="TableParagraph"/>
              <w:spacing w:line="144" w:lineRule="exact"/>
              <w:ind w:left="151"/>
              <w:rPr>
                <w:sz w:val="13"/>
              </w:rPr>
            </w:pPr>
            <w:r>
              <w:rPr>
                <w:w w:val="105"/>
                <w:sz w:val="13"/>
              </w:rPr>
              <w:t>931C</w:t>
            </w:r>
          </w:p>
        </w:tc>
        <w:tc>
          <w:tcPr>
            <w:tcW w:w="750" w:type="dxa"/>
          </w:tcPr>
          <w:p>
            <w:pPr>
              <w:pStyle w:val="TableParagraph"/>
              <w:spacing w:line="144" w:lineRule="exact"/>
              <w:ind w:left="152"/>
              <w:rPr>
                <w:sz w:val="13"/>
              </w:rPr>
            </w:pPr>
            <w:r>
              <w:rPr>
                <w:w w:val="105"/>
                <w:sz w:val="13"/>
              </w:rPr>
              <w:t>1702800</w:t>
            </w:r>
          </w:p>
        </w:tc>
        <w:tc>
          <w:tcPr>
            <w:tcW w:w="2358" w:type="dxa"/>
          </w:tcPr>
          <w:p>
            <w:pPr>
              <w:pStyle w:val="TableParagraph"/>
              <w:spacing w:line="144" w:lineRule="exact"/>
              <w:ind w:left="116"/>
              <w:rPr>
                <w:sz w:val="13"/>
              </w:rPr>
            </w:pPr>
            <w:r>
              <w:rPr>
                <w:w w:val="105"/>
                <w:sz w:val="13"/>
              </w:rPr>
              <w:t>Sin PEP</w:t>
            </w:r>
          </w:p>
        </w:tc>
        <w:tc>
          <w:tcPr>
            <w:tcW w:w="771" w:type="dxa"/>
          </w:tcPr>
          <w:p>
            <w:pPr>
              <w:pStyle w:val="TableParagraph"/>
              <w:spacing w:line="144" w:lineRule="exact"/>
              <w:ind w:right="56"/>
              <w:jc w:val="right"/>
              <w:rPr>
                <w:sz w:val="13"/>
              </w:rPr>
            </w:pPr>
            <w:r>
              <w:rPr>
                <w:w w:val="105"/>
                <w:sz w:val="13"/>
              </w:rPr>
              <w:t>-968,15</w:t>
            </w:r>
          </w:p>
        </w:tc>
      </w:tr>
      <w:tr>
        <w:trPr>
          <w:trHeight w:val="164" w:hRule="atLeast"/>
        </w:trPr>
        <w:tc>
          <w:tcPr>
            <w:tcW w:w="2052" w:type="dxa"/>
          </w:tcPr>
          <w:p>
            <w:pPr>
              <w:pStyle w:val="TableParagraph"/>
              <w:spacing w:line="144" w:lineRule="exact"/>
              <w:ind w:left="58"/>
              <w:rPr>
                <w:sz w:val="13"/>
              </w:rPr>
            </w:pPr>
            <w:r>
              <w:rPr>
                <w:w w:val="105"/>
                <w:sz w:val="13"/>
              </w:rPr>
              <w:t>Asuntos Europeos</w:t>
            </w:r>
          </w:p>
        </w:tc>
        <w:tc>
          <w:tcPr>
            <w:tcW w:w="673" w:type="dxa"/>
          </w:tcPr>
          <w:p>
            <w:pPr>
              <w:pStyle w:val="TableParagraph"/>
              <w:rPr>
                <w:rFonts w:ascii="Times New Roman"/>
                <w:sz w:val="10"/>
              </w:rPr>
            </w:pPr>
          </w:p>
        </w:tc>
        <w:tc>
          <w:tcPr>
            <w:tcW w:w="589" w:type="dxa"/>
          </w:tcPr>
          <w:p>
            <w:pPr>
              <w:pStyle w:val="TableParagraph"/>
              <w:rPr>
                <w:rFonts w:ascii="Times New Roman"/>
                <w:sz w:val="10"/>
              </w:rPr>
            </w:pPr>
          </w:p>
        </w:tc>
        <w:tc>
          <w:tcPr>
            <w:tcW w:w="750" w:type="dxa"/>
          </w:tcPr>
          <w:p>
            <w:pPr>
              <w:pStyle w:val="TableParagraph"/>
              <w:rPr>
                <w:rFonts w:ascii="Times New Roman"/>
                <w:sz w:val="10"/>
              </w:rPr>
            </w:pPr>
          </w:p>
        </w:tc>
        <w:tc>
          <w:tcPr>
            <w:tcW w:w="2358" w:type="dxa"/>
          </w:tcPr>
          <w:p>
            <w:pPr>
              <w:pStyle w:val="TableParagraph"/>
              <w:rPr>
                <w:rFonts w:ascii="Times New Roman"/>
                <w:sz w:val="10"/>
              </w:rPr>
            </w:pPr>
          </w:p>
        </w:tc>
        <w:tc>
          <w:tcPr>
            <w:tcW w:w="771" w:type="dxa"/>
          </w:tcPr>
          <w:p>
            <w:pPr>
              <w:pStyle w:val="TableParagraph"/>
              <w:rPr>
                <w:rFonts w:ascii="Times New Roman"/>
                <w:sz w:val="10"/>
              </w:rPr>
            </w:pPr>
          </w:p>
        </w:tc>
      </w:tr>
      <w:tr>
        <w:trPr>
          <w:trHeight w:val="150" w:hRule="atLeast"/>
        </w:trPr>
        <w:tc>
          <w:tcPr>
            <w:tcW w:w="2052" w:type="dxa"/>
          </w:tcPr>
          <w:p>
            <w:pPr>
              <w:pStyle w:val="TableParagraph"/>
              <w:spacing w:line="130" w:lineRule="exact"/>
              <w:ind w:left="58"/>
              <w:rPr>
                <w:sz w:val="13"/>
              </w:rPr>
            </w:pPr>
            <w:r>
              <w:rPr>
                <w:w w:val="105"/>
                <w:sz w:val="13"/>
              </w:rPr>
              <w:t>10 Hacienda, Presupuestos Y</w:t>
            </w:r>
          </w:p>
        </w:tc>
        <w:tc>
          <w:tcPr>
            <w:tcW w:w="673" w:type="dxa"/>
          </w:tcPr>
          <w:p>
            <w:pPr>
              <w:pStyle w:val="TableParagraph"/>
              <w:spacing w:line="130" w:lineRule="exact"/>
              <w:ind w:right="145"/>
              <w:jc w:val="right"/>
              <w:rPr>
                <w:sz w:val="13"/>
              </w:rPr>
            </w:pPr>
            <w:r>
              <w:rPr>
                <w:sz w:val="13"/>
              </w:rPr>
              <w:t>1010</w:t>
            </w:r>
          </w:p>
        </w:tc>
        <w:tc>
          <w:tcPr>
            <w:tcW w:w="589" w:type="dxa"/>
          </w:tcPr>
          <w:p>
            <w:pPr>
              <w:pStyle w:val="TableParagraph"/>
              <w:spacing w:line="130" w:lineRule="exact"/>
              <w:ind w:left="151"/>
              <w:rPr>
                <w:sz w:val="13"/>
              </w:rPr>
            </w:pPr>
            <w:r>
              <w:rPr>
                <w:w w:val="105"/>
                <w:sz w:val="13"/>
              </w:rPr>
              <w:t>923B</w:t>
            </w:r>
          </w:p>
        </w:tc>
        <w:tc>
          <w:tcPr>
            <w:tcW w:w="750" w:type="dxa"/>
          </w:tcPr>
          <w:p>
            <w:pPr>
              <w:pStyle w:val="TableParagraph"/>
              <w:spacing w:line="130" w:lineRule="exact"/>
              <w:ind w:left="152"/>
              <w:rPr>
                <w:sz w:val="13"/>
              </w:rPr>
            </w:pPr>
            <w:r>
              <w:rPr>
                <w:w w:val="105"/>
                <w:sz w:val="13"/>
              </w:rPr>
              <w:t>2250300</w:t>
            </w:r>
          </w:p>
        </w:tc>
        <w:tc>
          <w:tcPr>
            <w:tcW w:w="2358" w:type="dxa"/>
          </w:tcPr>
          <w:p>
            <w:pPr>
              <w:pStyle w:val="TableParagraph"/>
              <w:spacing w:line="130" w:lineRule="exact"/>
              <w:ind w:left="116"/>
              <w:rPr>
                <w:sz w:val="13"/>
              </w:rPr>
            </w:pPr>
            <w:r>
              <w:rPr>
                <w:w w:val="105"/>
                <w:sz w:val="13"/>
              </w:rPr>
              <w:t>Sin PEP</w:t>
            </w:r>
          </w:p>
        </w:tc>
        <w:tc>
          <w:tcPr>
            <w:tcW w:w="771" w:type="dxa"/>
          </w:tcPr>
          <w:p>
            <w:pPr>
              <w:pStyle w:val="TableParagraph"/>
              <w:spacing w:line="130" w:lineRule="exact"/>
              <w:ind w:right="56"/>
              <w:jc w:val="right"/>
              <w:rPr>
                <w:sz w:val="13"/>
              </w:rPr>
            </w:pPr>
            <w:r>
              <w:rPr>
                <w:w w:val="105"/>
                <w:sz w:val="13"/>
              </w:rPr>
              <w:t>-100,00</w:t>
            </w:r>
          </w:p>
        </w:tc>
      </w:tr>
    </w:tbl>
    <w:p>
      <w:pPr>
        <w:tabs>
          <w:tab w:pos="9283" w:val="left" w:leader="none"/>
        </w:tabs>
        <w:spacing w:before="5"/>
        <w:ind w:left="2080" w:right="0" w:firstLine="0"/>
        <w:jc w:val="left"/>
        <w:rPr>
          <w:sz w:val="13"/>
        </w:rPr>
      </w:pPr>
      <w:r>
        <w:rPr>
          <w:w w:val="103"/>
          <w:sz w:val="13"/>
          <w:u w:val="single"/>
        </w:rPr>
        <w:t> </w:t>
      </w:r>
      <w:r>
        <w:rPr>
          <w:spacing w:val="10"/>
          <w:sz w:val="13"/>
          <w:u w:val="single"/>
        </w:rPr>
        <w:t> </w:t>
      </w:r>
      <w:r>
        <w:rPr>
          <w:sz w:val="13"/>
          <w:u w:val="single"/>
        </w:rPr>
        <w:t>Asuntos</w:t>
      </w:r>
      <w:r>
        <w:rPr>
          <w:spacing w:val="21"/>
          <w:sz w:val="13"/>
          <w:u w:val="single"/>
        </w:rPr>
        <w:t> </w:t>
      </w:r>
      <w:r>
        <w:rPr>
          <w:sz w:val="13"/>
          <w:u w:val="single"/>
        </w:rPr>
        <w:t>Europeos</w:t>
        <w:tab/>
      </w:r>
    </w:p>
    <w:p>
      <w:pPr>
        <w:pStyle w:val="BodyText"/>
        <w:spacing w:before="5"/>
        <w:rPr>
          <w:sz w:val="12"/>
        </w:rPr>
      </w:pPr>
    </w:p>
    <w:p>
      <w:pPr>
        <w:pStyle w:val="BodyText"/>
        <w:spacing w:line="242" w:lineRule="auto" w:before="61"/>
        <w:ind w:left="2096" w:right="1137" w:firstLine="604"/>
        <w:jc w:val="both"/>
      </w:pPr>
      <w:r>
        <w:rPr/>
        <w:t>Este hallazgo indica que el correspondiente proceso informático del SEFLogiC no controla, adecuadamente, la existencia de crédito disponible suficiente para poder contabilizar las retenciones de crédito para financiar transferencias de crédito. Permite realizar transferencias de crédito negativas sobre aplicaciones presupuestarias sin dotación suficiente. Es preciso corregir este proceso informático.</w:t>
      </w:r>
    </w:p>
    <w:p>
      <w:pPr>
        <w:pStyle w:val="BodyText"/>
        <w:spacing w:before="4"/>
        <w:rPr>
          <w:sz w:val="16"/>
        </w:rPr>
      </w:pPr>
    </w:p>
    <w:p>
      <w:pPr>
        <w:pStyle w:val="BodyText"/>
        <w:ind w:left="2096" w:right="1141" w:firstLine="604"/>
        <w:jc w:val="both"/>
      </w:pPr>
      <w:r>
        <w:rPr/>
        <w:t>En el resto de los valores referidos a obligaciones reconocidas y a pagos realizados no se encontraron negativos.</w:t>
      </w:r>
    </w:p>
    <w:p>
      <w:pPr>
        <w:pStyle w:val="BodyText"/>
        <w:spacing w:before="10"/>
        <w:rPr>
          <w:sz w:val="16"/>
        </w:rPr>
      </w:pPr>
    </w:p>
    <w:p>
      <w:pPr>
        <w:pStyle w:val="BodyText"/>
        <w:spacing w:line="242" w:lineRule="auto"/>
        <w:ind w:left="2096" w:right="1142" w:firstLine="604"/>
        <w:jc w:val="both"/>
      </w:pPr>
      <w:r>
        <w:rPr/>
        <w:t>Sería deseable que, en ejercicios venideros, la cuenta general se rindiera en formatos estructurados y datos tratables, así como en pdf.</w:t>
      </w:r>
    </w:p>
    <w:p>
      <w:pPr>
        <w:pStyle w:val="BodyText"/>
        <w:spacing w:before="5"/>
        <w:rPr>
          <w:sz w:val="16"/>
        </w:rPr>
      </w:pPr>
    </w:p>
    <w:p>
      <w:pPr>
        <w:pStyle w:val="ListParagraph"/>
        <w:numPr>
          <w:ilvl w:val="3"/>
          <w:numId w:val="10"/>
        </w:numPr>
        <w:tabs>
          <w:tab w:pos="2810" w:val="left" w:leader="none"/>
        </w:tabs>
        <w:spacing w:line="240" w:lineRule="auto" w:before="0" w:after="0"/>
        <w:ind w:left="2809" w:right="0" w:hanging="714"/>
        <w:jc w:val="left"/>
        <w:rPr>
          <w:b/>
          <w:sz w:val="18"/>
        </w:rPr>
      </w:pPr>
      <w:r>
        <w:rPr>
          <w:b/>
          <w:w w:val="105"/>
          <w:sz w:val="18"/>
        </w:rPr>
        <w:t>Ejecución del presupuesto de</w:t>
      </w:r>
      <w:r>
        <w:rPr>
          <w:b/>
          <w:spacing w:val="-12"/>
          <w:w w:val="105"/>
          <w:sz w:val="18"/>
        </w:rPr>
        <w:t> </w:t>
      </w:r>
      <w:r>
        <w:rPr>
          <w:b/>
          <w:w w:val="105"/>
          <w:sz w:val="18"/>
        </w:rPr>
        <w:t>gastos.</w:t>
      </w:r>
    </w:p>
    <w:p>
      <w:pPr>
        <w:pStyle w:val="BodyText"/>
        <w:spacing w:before="8"/>
        <w:rPr>
          <w:b/>
          <w:sz w:val="16"/>
        </w:rPr>
      </w:pPr>
    </w:p>
    <w:p>
      <w:pPr>
        <w:pStyle w:val="BodyText"/>
        <w:ind w:left="2096" w:right="1143" w:firstLine="594"/>
        <w:jc w:val="both"/>
      </w:pPr>
      <w:r>
        <w:rPr/>
        <w:t>La ejecución del presupuesto de gastos de la Administración de la CAC agregado por capítulos es la siguiente:</w:t>
      </w:r>
    </w:p>
    <w:p>
      <w:pPr>
        <w:pStyle w:val="BodyText"/>
        <w:rPr>
          <w:sz w:val="17"/>
        </w:rPr>
      </w:pPr>
    </w:p>
    <w:p>
      <w:pPr>
        <w:spacing w:before="0"/>
        <w:ind w:left="3706" w:right="0" w:firstLine="0"/>
        <w:jc w:val="left"/>
        <w:rPr>
          <w:b/>
          <w:sz w:val="18"/>
        </w:rPr>
      </w:pPr>
      <w:r>
        <w:rPr>
          <w:b/>
          <w:w w:val="105"/>
          <w:sz w:val="18"/>
        </w:rPr>
        <w:t>Estado ejecución presupuestos gastos 2022. APCAC</w:t>
      </w:r>
    </w:p>
    <w:p>
      <w:pPr>
        <w:pStyle w:val="BodyText"/>
        <w:spacing w:before="9"/>
        <w:rPr>
          <w:b/>
          <w:sz w:val="8"/>
        </w:rPr>
      </w:pPr>
    </w:p>
    <w:tbl>
      <w:tblPr>
        <w:tblW w:w="0" w:type="auto"/>
        <w:jc w:val="left"/>
        <w:tblInd w:w="2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7"/>
        <w:gridCol w:w="1727"/>
        <w:gridCol w:w="1442"/>
        <w:gridCol w:w="739"/>
        <w:gridCol w:w="469"/>
      </w:tblGrid>
      <w:tr>
        <w:trPr>
          <w:trHeight w:val="367" w:hRule="atLeast"/>
        </w:trPr>
        <w:tc>
          <w:tcPr>
            <w:tcW w:w="6315" w:type="dxa"/>
            <w:gridSpan w:val="4"/>
            <w:tcBorders>
              <w:top w:val="single" w:sz="4" w:space="0" w:color="000000"/>
            </w:tcBorders>
            <w:shd w:val="clear" w:color="auto" w:fill="DEEAF6"/>
          </w:tcPr>
          <w:p>
            <w:pPr>
              <w:pStyle w:val="TableParagraph"/>
              <w:tabs>
                <w:tab w:pos="2785" w:val="left" w:leader="none"/>
                <w:tab w:pos="4327" w:val="left" w:leader="none"/>
                <w:tab w:pos="5609" w:val="left" w:leader="none"/>
              </w:tabs>
              <w:spacing w:line="227" w:lineRule="exact" w:before="4"/>
              <w:ind w:left="1094"/>
              <w:rPr>
                <w:b/>
                <w:sz w:val="15"/>
              </w:rPr>
            </w:pPr>
            <w:r>
              <w:rPr>
                <w:b/>
                <w:sz w:val="15"/>
              </w:rPr>
              <w:t>Capitulo</w:t>
              <w:tab/>
              <w:t>Crédito</w:t>
            </w:r>
            <w:r>
              <w:rPr>
                <w:b/>
                <w:spacing w:val="-1"/>
                <w:sz w:val="15"/>
              </w:rPr>
              <w:t> </w:t>
            </w:r>
            <w:r>
              <w:rPr>
                <w:b/>
                <w:sz w:val="15"/>
              </w:rPr>
              <w:t>Definitivo</w:t>
              <w:tab/>
            </w:r>
            <w:r>
              <w:rPr>
                <w:b/>
                <w:position w:val="9"/>
                <w:sz w:val="15"/>
              </w:rPr>
              <w:t>Obligaciones</w:t>
              <w:tab/>
              <w:t>Grado</w:t>
            </w:r>
            <w:r>
              <w:rPr>
                <w:b/>
                <w:spacing w:val="1"/>
                <w:position w:val="9"/>
                <w:sz w:val="15"/>
              </w:rPr>
              <w:t> </w:t>
            </w:r>
            <w:r>
              <w:rPr>
                <w:b/>
                <w:position w:val="9"/>
                <w:sz w:val="15"/>
              </w:rPr>
              <w:t>de</w:t>
            </w:r>
          </w:p>
          <w:p>
            <w:pPr>
              <w:pStyle w:val="TableParagraph"/>
              <w:tabs>
                <w:tab w:pos="1261" w:val="left" w:leader="none"/>
              </w:tabs>
              <w:spacing w:line="117" w:lineRule="exact"/>
              <w:ind w:right="118"/>
              <w:jc w:val="right"/>
              <w:rPr>
                <w:b/>
                <w:sz w:val="15"/>
              </w:rPr>
            </w:pPr>
            <w:r>
              <w:rPr>
                <w:b/>
                <w:sz w:val="15"/>
              </w:rPr>
              <w:t>Reconocidas</w:t>
              <w:tab/>
            </w:r>
            <w:r>
              <w:rPr>
                <w:b/>
                <w:spacing w:val="-1"/>
                <w:sz w:val="15"/>
              </w:rPr>
              <w:t>Ejecución</w:t>
            </w:r>
          </w:p>
        </w:tc>
        <w:tc>
          <w:tcPr>
            <w:tcW w:w="469" w:type="dxa"/>
          </w:tcPr>
          <w:p>
            <w:pPr>
              <w:pStyle w:val="TableParagraph"/>
              <w:rPr>
                <w:rFonts w:ascii="Times New Roman"/>
                <w:sz w:val="14"/>
              </w:rPr>
            </w:pPr>
          </w:p>
        </w:tc>
      </w:tr>
      <w:tr>
        <w:trPr>
          <w:trHeight w:val="253" w:hRule="atLeast"/>
        </w:trPr>
        <w:tc>
          <w:tcPr>
            <w:tcW w:w="2407" w:type="dxa"/>
          </w:tcPr>
          <w:p>
            <w:pPr>
              <w:pStyle w:val="TableParagraph"/>
              <w:spacing w:before="28"/>
              <w:ind w:left="64"/>
              <w:rPr>
                <w:sz w:val="15"/>
              </w:rPr>
            </w:pPr>
            <w:r>
              <w:rPr>
                <w:sz w:val="15"/>
              </w:rPr>
              <w:t>I. Gastos de personal</w:t>
            </w:r>
          </w:p>
        </w:tc>
        <w:tc>
          <w:tcPr>
            <w:tcW w:w="1727" w:type="dxa"/>
          </w:tcPr>
          <w:p>
            <w:pPr>
              <w:pStyle w:val="TableParagraph"/>
              <w:spacing w:before="28"/>
              <w:ind w:right="215"/>
              <w:jc w:val="right"/>
              <w:rPr>
                <w:sz w:val="15"/>
              </w:rPr>
            </w:pPr>
            <w:r>
              <w:rPr>
                <w:sz w:val="15"/>
              </w:rPr>
              <w:t>1.810.077.265,00</w:t>
            </w:r>
          </w:p>
        </w:tc>
        <w:tc>
          <w:tcPr>
            <w:tcW w:w="1442" w:type="dxa"/>
          </w:tcPr>
          <w:p>
            <w:pPr>
              <w:pStyle w:val="TableParagraph"/>
              <w:spacing w:before="28"/>
              <w:ind w:right="150"/>
              <w:jc w:val="right"/>
              <w:rPr>
                <w:sz w:val="15"/>
              </w:rPr>
            </w:pPr>
            <w:r>
              <w:rPr>
                <w:sz w:val="15"/>
              </w:rPr>
              <w:t>1.782.334.102,49</w:t>
            </w:r>
          </w:p>
        </w:tc>
        <w:tc>
          <w:tcPr>
            <w:tcW w:w="739" w:type="dxa"/>
          </w:tcPr>
          <w:p>
            <w:pPr>
              <w:pStyle w:val="TableParagraph"/>
              <w:spacing w:before="28"/>
              <w:ind w:left="210" w:right="40"/>
              <w:jc w:val="center"/>
              <w:rPr>
                <w:sz w:val="15"/>
              </w:rPr>
            </w:pPr>
            <w:r>
              <w:rPr>
                <w:sz w:val="15"/>
              </w:rPr>
              <w:t>98,47%</w:t>
            </w:r>
          </w:p>
        </w:tc>
        <w:tc>
          <w:tcPr>
            <w:tcW w:w="469" w:type="dxa"/>
          </w:tcPr>
          <w:p>
            <w:pPr>
              <w:pStyle w:val="TableParagraph"/>
              <w:rPr>
                <w:rFonts w:ascii="Times New Roman"/>
                <w:sz w:val="14"/>
              </w:rPr>
            </w:pPr>
          </w:p>
        </w:tc>
      </w:tr>
      <w:tr>
        <w:trPr>
          <w:trHeight w:val="238" w:hRule="atLeast"/>
        </w:trPr>
        <w:tc>
          <w:tcPr>
            <w:tcW w:w="2407" w:type="dxa"/>
          </w:tcPr>
          <w:p>
            <w:pPr>
              <w:pStyle w:val="TableParagraph"/>
              <w:spacing w:before="15"/>
              <w:ind w:left="64"/>
              <w:rPr>
                <w:sz w:val="15"/>
              </w:rPr>
            </w:pPr>
            <w:r>
              <w:rPr>
                <w:sz w:val="15"/>
              </w:rPr>
              <w:t>II. Gtos.bienes corrient.y servicios</w:t>
            </w:r>
          </w:p>
        </w:tc>
        <w:tc>
          <w:tcPr>
            <w:tcW w:w="1727" w:type="dxa"/>
          </w:tcPr>
          <w:p>
            <w:pPr>
              <w:pStyle w:val="TableParagraph"/>
              <w:spacing w:before="15"/>
              <w:ind w:right="216"/>
              <w:jc w:val="right"/>
              <w:rPr>
                <w:sz w:val="15"/>
              </w:rPr>
            </w:pPr>
            <w:r>
              <w:rPr>
                <w:sz w:val="15"/>
              </w:rPr>
              <w:t>466.262.419,74</w:t>
            </w:r>
          </w:p>
        </w:tc>
        <w:tc>
          <w:tcPr>
            <w:tcW w:w="1442" w:type="dxa"/>
          </w:tcPr>
          <w:p>
            <w:pPr>
              <w:pStyle w:val="TableParagraph"/>
              <w:spacing w:before="15"/>
              <w:ind w:right="150"/>
              <w:jc w:val="right"/>
              <w:rPr>
                <w:sz w:val="15"/>
              </w:rPr>
            </w:pPr>
            <w:r>
              <w:rPr>
                <w:sz w:val="15"/>
              </w:rPr>
              <w:t>430.403.941,04</w:t>
            </w:r>
          </w:p>
        </w:tc>
        <w:tc>
          <w:tcPr>
            <w:tcW w:w="739" w:type="dxa"/>
          </w:tcPr>
          <w:p>
            <w:pPr>
              <w:pStyle w:val="TableParagraph"/>
              <w:spacing w:before="15"/>
              <w:ind w:left="210" w:right="40"/>
              <w:jc w:val="center"/>
              <w:rPr>
                <w:sz w:val="15"/>
              </w:rPr>
            </w:pPr>
            <w:r>
              <w:rPr>
                <w:sz w:val="15"/>
              </w:rPr>
              <w:t>92,31%</w:t>
            </w:r>
          </w:p>
        </w:tc>
        <w:tc>
          <w:tcPr>
            <w:tcW w:w="469" w:type="dxa"/>
          </w:tcPr>
          <w:p>
            <w:pPr>
              <w:pStyle w:val="TableParagraph"/>
              <w:rPr>
                <w:rFonts w:ascii="Times New Roman"/>
                <w:sz w:val="14"/>
              </w:rPr>
            </w:pPr>
          </w:p>
        </w:tc>
      </w:tr>
      <w:tr>
        <w:trPr>
          <w:trHeight w:val="238" w:hRule="atLeast"/>
        </w:trPr>
        <w:tc>
          <w:tcPr>
            <w:tcW w:w="2407" w:type="dxa"/>
          </w:tcPr>
          <w:p>
            <w:pPr>
              <w:pStyle w:val="TableParagraph"/>
              <w:spacing w:before="14"/>
              <w:ind w:left="64"/>
              <w:rPr>
                <w:sz w:val="15"/>
              </w:rPr>
            </w:pPr>
            <w:r>
              <w:rPr>
                <w:sz w:val="15"/>
              </w:rPr>
              <w:t>III. Gastos financieros</w:t>
            </w:r>
          </w:p>
        </w:tc>
        <w:tc>
          <w:tcPr>
            <w:tcW w:w="1727" w:type="dxa"/>
          </w:tcPr>
          <w:p>
            <w:pPr>
              <w:pStyle w:val="TableParagraph"/>
              <w:spacing w:before="14"/>
              <w:ind w:right="215"/>
              <w:jc w:val="right"/>
              <w:rPr>
                <w:sz w:val="15"/>
              </w:rPr>
            </w:pPr>
            <w:r>
              <w:rPr>
                <w:sz w:val="15"/>
              </w:rPr>
              <w:t>77.270.260,54</w:t>
            </w:r>
          </w:p>
        </w:tc>
        <w:tc>
          <w:tcPr>
            <w:tcW w:w="1442" w:type="dxa"/>
          </w:tcPr>
          <w:p>
            <w:pPr>
              <w:pStyle w:val="TableParagraph"/>
              <w:spacing w:before="14"/>
              <w:ind w:right="150"/>
              <w:jc w:val="right"/>
              <w:rPr>
                <w:sz w:val="15"/>
              </w:rPr>
            </w:pPr>
            <w:r>
              <w:rPr>
                <w:sz w:val="15"/>
              </w:rPr>
              <w:t>76.164.284,18</w:t>
            </w:r>
          </w:p>
        </w:tc>
        <w:tc>
          <w:tcPr>
            <w:tcW w:w="739" w:type="dxa"/>
          </w:tcPr>
          <w:p>
            <w:pPr>
              <w:pStyle w:val="TableParagraph"/>
              <w:spacing w:before="14"/>
              <w:ind w:left="210" w:right="40"/>
              <w:jc w:val="center"/>
              <w:rPr>
                <w:sz w:val="15"/>
              </w:rPr>
            </w:pPr>
            <w:r>
              <w:rPr>
                <w:sz w:val="15"/>
              </w:rPr>
              <w:t>98,57%</w:t>
            </w:r>
          </w:p>
        </w:tc>
        <w:tc>
          <w:tcPr>
            <w:tcW w:w="469" w:type="dxa"/>
          </w:tcPr>
          <w:p>
            <w:pPr>
              <w:pStyle w:val="TableParagraph"/>
              <w:rPr>
                <w:rFonts w:ascii="Times New Roman"/>
                <w:sz w:val="14"/>
              </w:rPr>
            </w:pPr>
          </w:p>
        </w:tc>
      </w:tr>
      <w:tr>
        <w:trPr>
          <w:trHeight w:val="239" w:hRule="atLeast"/>
        </w:trPr>
        <w:tc>
          <w:tcPr>
            <w:tcW w:w="2407" w:type="dxa"/>
          </w:tcPr>
          <w:p>
            <w:pPr>
              <w:pStyle w:val="TableParagraph"/>
              <w:spacing w:before="14"/>
              <w:ind w:left="64"/>
              <w:rPr>
                <w:sz w:val="15"/>
              </w:rPr>
            </w:pPr>
            <w:r>
              <w:rPr>
                <w:sz w:val="15"/>
              </w:rPr>
              <w:t>IV. Transferencias corrientes</w:t>
            </w:r>
          </w:p>
        </w:tc>
        <w:tc>
          <w:tcPr>
            <w:tcW w:w="1727" w:type="dxa"/>
          </w:tcPr>
          <w:p>
            <w:pPr>
              <w:pStyle w:val="TableParagraph"/>
              <w:spacing w:before="14"/>
              <w:ind w:right="215"/>
              <w:jc w:val="right"/>
              <w:rPr>
                <w:sz w:val="15"/>
              </w:rPr>
            </w:pPr>
            <w:r>
              <w:rPr>
                <w:sz w:val="15"/>
              </w:rPr>
              <w:t>5.729.143.935,66</w:t>
            </w:r>
          </w:p>
        </w:tc>
        <w:tc>
          <w:tcPr>
            <w:tcW w:w="1442" w:type="dxa"/>
          </w:tcPr>
          <w:p>
            <w:pPr>
              <w:pStyle w:val="TableParagraph"/>
              <w:spacing w:before="14"/>
              <w:ind w:right="150"/>
              <w:jc w:val="right"/>
              <w:rPr>
                <w:sz w:val="15"/>
              </w:rPr>
            </w:pPr>
            <w:r>
              <w:rPr>
                <w:sz w:val="15"/>
              </w:rPr>
              <w:t>5.668.008.703,71</w:t>
            </w:r>
          </w:p>
        </w:tc>
        <w:tc>
          <w:tcPr>
            <w:tcW w:w="739" w:type="dxa"/>
          </w:tcPr>
          <w:p>
            <w:pPr>
              <w:pStyle w:val="TableParagraph"/>
              <w:spacing w:before="14"/>
              <w:ind w:left="210" w:right="40"/>
              <w:jc w:val="center"/>
              <w:rPr>
                <w:sz w:val="15"/>
              </w:rPr>
            </w:pPr>
            <w:r>
              <w:rPr>
                <w:sz w:val="15"/>
              </w:rPr>
              <w:t>98,93%</w:t>
            </w:r>
          </w:p>
        </w:tc>
        <w:tc>
          <w:tcPr>
            <w:tcW w:w="469" w:type="dxa"/>
          </w:tcPr>
          <w:p>
            <w:pPr>
              <w:pStyle w:val="TableParagraph"/>
              <w:rPr>
                <w:rFonts w:ascii="Times New Roman"/>
                <w:sz w:val="14"/>
              </w:rPr>
            </w:pPr>
          </w:p>
        </w:tc>
      </w:tr>
      <w:tr>
        <w:trPr>
          <w:trHeight w:val="238" w:hRule="atLeast"/>
        </w:trPr>
        <w:tc>
          <w:tcPr>
            <w:tcW w:w="2407" w:type="dxa"/>
          </w:tcPr>
          <w:p>
            <w:pPr>
              <w:pStyle w:val="TableParagraph"/>
              <w:spacing w:before="15"/>
              <w:ind w:left="64"/>
              <w:rPr>
                <w:sz w:val="15"/>
              </w:rPr>
            </w:pPr>
            <w:r>
              <w:rPr>
                <w:sz w:val="15"/>
              </w:rPr>
              <w:t>Vi. Inversiones reales</w:t>
            </w:r>
          </w:p>
        </w:tc>
        <w:tc>
          <w:tcPr>
            <w:tcW w:w="1727" w:type="dxa"/>
          </w:tcPr>
          <w:p>
            <w:pPr>
              <w:pStyle w:val="TableParagraph"/>
              <w:spacing w:before="15"/>
              <w:ind w:right="216"/>
              <w:jc w:val="right"/>
              <w:rPr>
                <w:sz w:val="15"/>
              </w:rPr>
            </w:pPr>
            <w:r>
              <w:rPr>
                <w:sz w:val="15"/>
              </w:rPr>
              <w:t>627.062.246,44</w:t>
            </w:r>
          </w:p>
        </w:tc>
        <w:tc>
          <w:tcPr>
            <w:tcW w:w="1442" w:type="dxa"/>
          </w:tcPr>
          <w:p>
            <w:pPr>
              <w:pStyle w:val="TableParagraph"/>
              <w:spacing w:before="15"/>
              <w:ind w:right="150"/>
              <w:jc w:val="right"/>
              <w:rPr>
                <w:sz w:val="15"/>
              </w:rPr>
            </w:pPr>
            <w:r>
              <w:rPr>
                <w:sz w:val="15"/>
              </w:rPr>
              <w:t>365.865.717,30</w:t>
            </w:r>
          </w:p>
        </w:tc>
        <w:tc>
          <w:tcPr>
            <w:tcW w:w="739" w:type="dxa"/>
          </w:tcPr>
          <w:p>
            <w:pPr>
              <w:pStyle w:val="TableParagraph"/>
              <w:spacing w:before="15"/>
              <w:ind w:left="210" w:right="40"/>
              <w:jc w:val="center"/>
              <w:rPr>
                <w:sz w:val="15"/>
              </w:rPr>
            </w:pPr>
            <w:r>
              <w:rPr>
                <w:sz w:val="15"/>
              </w:rPr>
              <w:t>58,35%</w:t>
            </w:r>
          </w:p>
        </w:tc>
        <w:tc>
          <w:tcPr>
            <w:tcW w:w="469" w:type="dxa"/>
          </w:tcPr>
          <w:p>
            <w:pPr>
              <w:pStyle w:val="TableParagraph"/>
              <w:rPr>
                <w:rFonts w:ascii="Times New Roman"/>
                <w:sz w:val="14"/>
              </w:rPr>
            </w:pPr>
          </w:p>
        </w:tc>
      </w:tr>
      <w:tr>
        <w:trPr>
          <w:trHeight w:val="237" w:hRule="atLeast"/>
        </w:trPr>
        <w:tc>
          <w:tcPr>
            <w:tcW w:w="2407" w:type="dxa"/>
          </w:tcPr>
          <w:p>
            <w:pPr>
              <w:pStyle w:val="TableParagraph"/>
              <w:spacing w:before="14"/>
              <w:ind w:left="64"/>
              <w:rPr>
                <w:sz w:val="15"/>
              </w:rPr>
            </w:pPr>
            <w:r>
              <w:rPr>
                <w:sz w:val="15"/>
              </w:rPr>
              <w:t>VII transferencias de capital</w:t>
            </w:r>
          </w:p>
        </w:tc>
        <w:tc>
          <w:tcPr>
            <w:tcW w:w="1727" w:type="dxa"/>
          </w:tcPr>
          <w:p>
            <w:pPr>
              <w:pStyle w:val="TableParagraph"/>
              <w:spacing w:before="14"/>
              <w:ind w:right="215"/>
              <w:jc w:val="right"/>
              <w:rPr>
                <w:sz w:val="15"/>
              </w:rPr>
            </w:pPr>
            <w:r>
              <w:rPr>
                <w:sz w:val="15"/>
              </w:rPr>
              <w:t>1.033.785.961,50</w:t>
            </w:r>
          </w:p>
        </w:tc>
        <w:tc>
          <w:tcPr>
            <w:tcW w:w="1442" w:type="dxa"/>
          </w:tcPr>
          <w:p>
            <w:pPr>
              <w:pStyle w:val="TableParagraph"/>
              <w:spacing w:before="14"/>
              <w:ind w:right="150"/>
              <w:jc w:val="right"/>
              <w:rPr>
                <w:sz w:val="15"/>
              </w:rPr>
            </w:pPr>
            <w:r>
              <w:rPr>
                <w:sz w:val="15"/>
              </w:rPr>
              <w:t>761.918.905,51</w:t>
            </w:r>
          </w:p>
        </w:tc>
        <w:tc>
          <w:tcPr>
            <w:tcW w:w="739" w:type="dxa"/>
          </w:tcPr>
          <w:p>
            <w:pPr>
              <w:pStyle w:val="TableParagraph"/>
              <w:spacing w:before="14"/>
              <w:ind w:left="210" w:right="40"/>
              <w:jc w:val="center"/>
              <w:rPr>
                <w:sz w:val="15"/>
              </w:rPr>
            </w:pPr>
            <w:r>
              <w:rPr>
                <w:sz w:val="15"/>
              </w:rPr>
              <w:t>73,70%</w:t>
            </w:r>
          </w:p>
        </w:tc>
        <w:tc>
          <w:tcPr>
            <w:tcW w:w="469" w:type="dxa"/>
          </w:tcPr>
          <w:p>
            <w:pPr>
              <w:pStyle w:val="TableParagraph"/>
              <w:rPr>
                <w:rFonts w:ascii="Times New Roman"/>
                <w:sz w:val="14"/>
              </w:rPr>
            </w:pPr>
          </w:p>
        </w:tc>
      </w:tr>
      <w:tr>
        <w:trPr>
          <w:trHeight w:val="238" w:hRule="atLeast"/>
        </w:trPr>
        <w:tc>
          <w:tcPr>
            <w:tcW w:w="2407" w:type="dxa"/>
          </w:tcPr>
          <w:p>
            <w:pPr>
              <w:pStyle w:val="TableParagraph"/>
              <w:spacing w:before="14"/>
              <w:ind w:left="64"/>
              <w:rPr>
                <w:sz w:val="15"/>
              </w:rPr>
            </w:pPr>
            <w:r>
              <w:rPr>
                <w:sz w:val="15"/>
              </w:rPr>
              <w:t>VIII. Activos financieros</w:t>
            </w:r>
          </w:p>
        </w:tc>
        <w:tc>
          <w:tcPr>
            <w:tcW w:w="1727" w:type="dxa"/>
          </w:tcPr>
          <w:p>
            <w:pPr>
              <w:pStyle w:val="TableParagraph"/>
              <w:spacing w:before="14"/>
              <w:ind w:right="215"/>
              <w:jc w:val="right"/>
              <w:rPr>
                <w:sz w:val="15"/>
              </w:rPr>
            </w:pPr>
            <w:r>
              <w:rPr>
                <w:sz w:val="15"/>
              </w:rPr>
              <w:t>10.626.755,17</w:t>
            </w:r>
          </w:p>
        </w:tc>
        <w:tc>
          <w:tcPr>
            <w:tcW w:w="1442" w:type="dxa"/>
          </w:tcPr>
          <w:p>
            <w:pPr>
              <w:pStyle w:val="TableParagraph"/>
              <w:spacing w:before="14"/>
              <w:ind w:right="150"/>
              <w:jc w:val="right"/>
              <w:rPr>
                <w:sz w:val="15"/>
              </w:rPr>
            </w:pPr>
            <w:r>
              <w:rPr>
                <w:sz w:val="15"/>
              </w:rPr>
              <w:t>9.426.541,80</w:t>
            </w:r>
          </w:p>
        </w:tc>
        <w:tc>
          <w:tcPr>
            <w:tcW w:w="739" w:type="dxa"/>
          </w:tcPr>
          <w:p>
            <w:pPr>
              <w:pStyle w:val="TableParagraph"/>
              <w:spacing w:before="14"/>
              <w:ind w:left="210" w:right="40"/>
              <w:jc w:val="center"/>
              <w:rPr>
                <w:sz w:val="15"/>
              </w:rPr>
            </w:pPr>
            <w:r>
              <w:rPr>
                <w:sz w:val="15"/>
              </w:rPr>
              <w:t>88,71%</w:t>
            </w:r>
          </w:p>
        </w:tc>
        <w:tc>
          <w:tcPr>
            <w:tcW w:w="469" w:type="dxa"/>
          </w:tcPr>
          <w:p>
            <w:pPr>
              <w:pStyle w:val="TableParagraph"/>
              <w:rPr>
                <w:rFonts w:ascii="Times New Roman"/>
                <w:sz w:val="14"/>
              </w:rPr>
            </w:pPr>
          </w:p>
        </w:tc>
      </w:tr>
      <w:tr>
        <w:trPr>
          <w:trHeight w:val="238" w:hRule="atLeast"/>
        </w:trPr>
        <w:tc>
          <w:tcPr>
            <w:tcW w:w="2407" w:type="dxa"/>
          </w:tcPr>
          <w:p>
            <w:pPr>
              <w:pStyle w:val="TableParagraph"/>
              <w:spacing w:before="15"/>
              <w:ind w:left="64"/>
              <w:rPr>
                <w:sz w:val="15"/>
              </w:rPr>
            </w:pPr>
            <w:r>
              <w:rPr>
                <w:sz w:val="15"/>
              </w:rPr>
              <w:t>IX. Pasivos financieros</w:t>
            </w:r>
          </w:p>
        </w:tc>
        <w:tc>
          <w:tcPr>
            <w:tcW w:w="1727" w:type="dxa"/>
          </w:tcPr>
          <w:p>
            <w:pPr>
              <w:pStyle w:val="TableParagraph"/>
              <w:spacing w:before="15"/>
              <w:ind w:right="216"/>
              <w:jc w:val="right"/>
              <w:rPr>
                <w:sz w:val="15"/>
              </w:rPr>
            </w:pPr>
            <w:r>
              <w:rPr>
                <w:sz w:val="15"/>
              </w:rPr>
              <w:t>879.847.550,11</w:t>
            </w:r>
          </w:p>
        </w:tc>
        <w:tc>
          <w:tcPr>
            <w:tcW w:w="1442" w:type="dxa"/>
          </w:tcPr>
          <w:p>
            <w:pPr>
              <w:pStyle w:val="TableParagraph"/>
              <w:spacing w:before="15"/>
              <w:ind w:right="150"/>
              <w:jc w:val="right"/>
              <w:rPr>
                <w:sz w:val="15"/>
              </w:rPr>
            </w:pPr>
            <w:r>
              <w:rPr>
                <w:sz w:val="15"/>
              </w:rPr>
              <w:t>879.847.546,11</w:t>
            </w:r>
          </w:p>
        </w:tc>
        <w:tc>
          <w:tcPr>
            <w:tcW w:w="739" w:type="dxa"/>
          </w:tcPr>
          <w:p>
            <w:pPr>
              <w:pStyle w:val="TableParagraph"/>
              <w:spacing w:before="15"/>
              <w:ind w:left="134" w:right="40"/>
              <w:jc w:val="center"/>
              <w:rPr>
                <w:sz w:val="15"/>
              </w:rPr>
            </w:pPr>
            <w:r>
              <w:rPr>
                <w:sz w:val="15"/>
              </w:rPr>
              <w:t>100,00%</w:t>
            </w:r>
          </w:p>
        </w:tc>
        <w:tc>
          <w:tcPr>
            <w:tcW w:w="469" w:type="dxa"/>
          </w:tcPr>
          <w:p>
            <w:pPr>
              <w:pStyle w:val="TableParagraph"/>
              <w:rPr>
                <w:rFonts w:ascii="Times New Roman"/>
                <w:sz w:val="14"/>
              </w:rPr>
            </w:pPr>
          </w:p>
        </w:tc>
      </w:tr>
      <w:tr>
        <w:trPr>
          <w:trHeight w:val="224" w:hRule="atLeast"/>
        </w:trPr>
        <w:tc>
          <w:tcPr>
            <w:tcW w:w="2407" w:type="dxa"/>
            <w:tcBorders>
              <w:bottom w:val="single" w:sz="4" w:space="0" w:color="000000"/>
            </w:tcBorders>
          </w:tcPr>
          <w:p>
            <w:pPr>
              <w:pStyle w:val="TableParagraph"/>
              <w:spacing w:before="14"/>
              <w:ind w:left="945"/>
              <w:rPr>
                <w:b/>
                <w:sz w:val="15"/>
              </w:rPr>
            </w:pPr>
            <w:r>
              <w:rPr>
                <w:b/>
                <w:sz w:val="15"/>
              </w:rPr>
              <w:t>Total general</w:t>
            </w:r>
          </w:p>
        </w:tc>
        <w:tc>
          <w:tcPr>
            <w:tcW w:w="1727" w:type="dxa"/>
            <w:tcBorders>
              <w:bottom w:val="single" w:sz="4" w:space="0" w:color="000000"/>
            </w:tcBorders>
          </w:tcPr>
          <w:p>
            <w:pPr>
              <w:pStyle w:val="TableParagraph"/>
              <w:spacing w:before="14"/>
              <w:ind w:right="215"/>
              <w:jc w:val="right"/>
              <w:rPr>
                <w:sz w:val="15"/>
              </w:rPr>
            </w:pPr>
            <w:r>
              <w:rPr>
                <w:sz w:val="15"/>
              </w:rPr>
              <w:t>10.634.076.394,16</w:t>
            </w:r>
          </w:p>
        </w:tc>
        <w:tc>
          <w:tcPr>
            <w:tcW w:w="1442" w:type="dxa"/>
            <w:tcBorders>
              <w:bottom w:val="single" w:sz="4" w:space="0" w:color="000000"/>
            </w:tcBorders>
          </w:tcPr>
          <w:p>
            <w:pPr>
              <w:pStyle w:val="TableParagraph"/>
              <w:spacing w:before="14"/>
              <w:ind w:right="150"/>
              <w:jc w:val="right"/>
              <w:rPr>
                <w:sz w:val="15"/>
              </w:rPr>
            </w:pPr>
            <w:r>
              <w:rPr>
                <w:sz w:val="15"/>
              </w:rPr>
              <w:t>9.973.969.742,14</w:t>
            </w:r>
          </w:p>
        </w:tc>
        <w:tc>
          <w:tcPr>
            <w:tcW w:w="739" w:type="dxa"/>
            <w:tcBorders>
              <w:bottom w:val="single" w:sz="4" w:space="0" w:color="000000"/>
            </w:tcBorders>
          </w:tcPr>
          <w:p>
            <w:pPr>
              <w:pStyle w:val="TableParagraph"/>
              <w:spacing w:before="14"/>
              <w:ind w:left="210" w:right="40"/>
              <w:jc w:val="center"/>
              <w:rPr>
                <w:sz w:val="15"/>
              </w:rPr>
            </w:pPr>
            <w:r>
              <w:rPr>
                <w:sz w:val="15"/>
              </w:rPr>
              <w:t>93,79%</w:t>
            </w:r>
          </w:p>
        </w:tc>
        <w:tc>
          <w:tcPr>
            <w:tcW w:w="469" w:type="dxa"/>
          </w:tcPr>
          <w:p>
            <w:pPr>
              <w:pStyle w:val="TableParagraph"/>
              <w:rPr>
                <w:rFonts w:ascii="Times New Roman"/>
                <w:sz w:val="14"/>
              </w:rPr>
            </w:pPr>
          </w:p>
        </w:tc>
      </w:tr>
      <w:tr>
        <w:trPr>
          <w:trHeight w:val="528" w:hRule="atLeast"/>
        </w:trPr>
        <w:tc>
          <w:tcPr>
            <w:tcW w:w="2407" w:type="dxa"/>
            <w:tcBorders>
              <w:top w:val="single" w:sz="4" w:space="0" w:color="000000"/>
            </w:tcBorders>
          </w:tcPr>
          <w:p>
            <w:pPr>
              <w:pStyle w:val="TableParagraph"/>
              <w:rPr>
                <w:rFonts w:ascii="Times New Roman"/>
                <w:sz w:val="14"/>
              </w:rPr>
            </w:pPr>
          </w:p>
        </w:tc>
        <w:tc>
          <w:tcPr>
            <w:tcW w:w="1727" w:type="dxa"/>
            <w:tcBorders>
              <w:top w:val="single" w:sz="4" w:space="0" w:color="000000"/>
            </w:tcBorders>
          </w:tcPr>
          <w:p>
            <w:pPr>
              <w:pStyle w:val="TableParagraph"/>
              <w:spacing w:before="7"/>
              <w:rPr>
                <w:b/>
                <w:sz w:val="23"/>
              </w:rPr>
            </w:pPr>
          </w:p>
          <w:p>
            <w:pPr>
              <w:pStyle w:val="TableParagraph"/>
              <w:spacing w:line="221" w:lineRule="exact"/>
              <w:ind w:left="277"/>
              <w:rPr>
                <w:b/>
                <w:sz w:val="20"/>
              </w:rPr>
            </w:pPr>
            <w:r>
              <w:rPr>
                <w:b/>
                <w:sz w:val="20"/>
                <w:u w:val="single"/>
              </w:rPr>
              <w:t>CA-001-2023</w:t>
            </w:r>
          </w:p>
        </w:tc>
        <w:tc>
          <w:tcPr>
            <w:tcW w:w="1442" w:type="dxa"/>
            <w:tcBorders>
              <w:top w:val="single" w:sz="4" w:space="0" w:color="000000"/>
            </w:tcBorders>
          </w:tcPr>
          <w:p>
            <w:pPr>
              <w:pStyle w:val="TableParagraph"/>
              <w:rPr>
                <w:rFonts w:ascii="Times New Roman"/>
                <w:sz w:val="14"/>
              </w:rPr>
            </w:pPr>
          </w:p>
        </w:tc>
        <w:tc>
          <w:tcPr>
            <w:tcW w:w="739" w:type="dxa"/>
            <w:tcBorders>
              <w:top w:val="single" w:sz="4" w:space="0" w:color="000000"/>
            </w:tcBorders>
          </w:tcPr>
          <w:p>
            <w:pPr>
              <w:pStyle w:val="TableParagraph"/>
              <w:rPr>
                <w:rFonts w:ascii="Times New Roman"/>
                <w:sz w:val="14"/>
              </w:rPr>
            </w:pPr>
          </w:p>
        </w:tc>
        <w:tc>
          <w:tcPr>
            <w:tcW w:w="469" w:type="dxa"/>
          </w:tcPr>
          <w:p>
            <w:pPr>
              <w:pStyle w:val="TableParagraph"/>
              <w:spacing w:before="42"/>
              <w:ind w:left="213"/>
              <w:rPr>
                <w:sz w:val="20"/>
              </w:rPr>
            </w:pPr>
            <w:r>
              <w:rPr>
                <w:sz w:val="20"/>
              </w:rPr>
              <w:t>50</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16"/>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11" name="image5.png"/>
                  <wp:cNvGraphicFramePr>
                    <a:graphicFrameLocks noChangeAspect="1"/>
                  </wp:cNvGraphicFramePr>
                  <a:graphic>
                    <a:graphicData uri="http://schemas.openxmlformats.org/drawingml/2006/picture">
                      <pic:pic>
                        <pic:nvPicPr>
                          <pic:cNvPr id="11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52/247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rPr>
          <w:b/>
        </w:rPr>
      </w:pPr>
    </w:p>
    <w:p>
      <w:pPr>
        <w:pStyle w:val="BodyText"/>
        <w:spacing w:before="6" w:after="1"/>
        <w:rPr>
          <w:b/>
          <w:sz w:val="28"/>
        </w:rPr>
      </w:pPr>
    </w:p>
    <w:tbl>
      <w:tblPr>
        <w:tblW w:w="0" w:type="auto"/>
        <w:jc w:val="left"/>
        <w:tblInd w:w="210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7135"/>
      </w:tblGrid>
      <w:tr>
        <w:trPr>
          <w:trHeight w:val="3167" w:hRule="atLeast"/>
        </w:trPr>
        <w:tc>
          <w:tcPr>
            <w:tcW w:w="7135" w:type="dxa"/>
          </w:tcPr>
          <w:p>
            <w:pPr>
              <w:pStyle w:val="TableParagraph"/>
              <w:spacing w:before="125"/>
              <w:ind w:left="2668" w:right="2653"/>
              <w:jc w:val="center"/>
              <w:rPr>
                <w:b/>
                <w:sz w:val="16"/>
              </w:rPr>
            </w:pPr>
            <w:r>
              <w:rPr>
                <w:b/>
                <w:color w:val="585858"/>
                <w:w w:val="105"/>
                <w:sz w:val="16"/>
              </w:rPr>
              <w:t>EJECUCION GASTOS 2022</w:t>
            </w:r>
          </w:p>
          <w:p>
            <w:pPr>
              <w:pStyle w:val="TableParagraph"/>
              <w:spacing w:before="10"/>
              <w:rPr>
                <w:b/>
                <w:sz w:val="18"/>
              </w:rPr>
            </w:pPr>
          </w:p>
          <w:p>
            <w:pPr>
              <w:pStyle w:val="TableParagraph"/>
              <w:ind w:right="4605"/>
              <w:jc w:val="right"/>
              <w:rPr>
                <w:sz w:val="15"/>
              </w:rPr>
            </w:pPr>
            <w:r>
              <w:rPr>
                <w:color w:val="585858"/>
                <w:sz w:val="15"/>
              </w:rPr>
              <w:t>IX. PASIVOS</w:t>
            </w:r>
            <w:r>
              <w:rPr>
                <w:color w:val="585858"/>
                <w:spacing w:val="3"/>
                <w:sz w:val="15"/>
              </w:rPr>
              <w:t> </w:t>
            </w:r>
            <w:r>
              <w:rPr>
                <w:color w:val="585858"/>
                <w:sz w:val="15"/>
              </w:rPr>
              <w:t>FINANCIEROS</w:t>
            </w:r>
          </w:p>
          <w:p>
            <w:pPr>
              <w:pStyle w:val="TableParagraph"/>
              <w:spacing w:line="304" w:lineRule="auto" w:before="50"/>
              <w:ind w:left="491" w:right="4605" w:firstLine="346"/>
              <w:jc w:val="right"/>
              <w:rPr>
                <w:sz w:val="15"/>
              </w:rPr>
            </w:pPr>
            <w:r>
              <w:rPr>
                <w:color w:val="585858"/>
                <w:sz w:val="15"/>
              </w:rPr>
              <w:t>VIII. ACTIVOS</w:t>
            </w:r>
            <w:r>
              <w:rPr>
                <w:color w:val="585858"/>
                <w:spacing w:val="2"/>
                <w:sz w:val="15"/>
              </w:rPr>
              <w:t> </w:t>
            </w:r>
            <w:r>
              <w:rPr>
                <w:color w:val="585858"/>
                <w:sz w:val="15"/>
              </w:rPr>
              <w:t>FINANCIEROS</w:t>
            </w:r>
            <w:r>
              <w:rPr>
                <w:color w:val="585858"/>
                <w:w w:val="100"/>
                <w:sz w:val="15"/>
              </w:rPr>
              <w:t> </w:t>
            </w:r>
            <w:r>
              <w:rPr>
                <w:color w:val="585858"/>
                <w:sz w:val="15"/>
              </w:rPr>
              <w:t>VII TRANSFERENCIAS DE</w:t>
            </w:r>
            <w:r>
              <w:rPr>
                <w:color w:val="585858"/>
                <w:spacing w:val="2"/>
                <w:sz w:val="15"/>
              </w:rPr>
              <w:t> </w:t>
            </w:r>
            <w:r>
              <w:rPr>
                <w:color w:val="585858"/>
                <w:sz w:val="15"/>
              </w:rPr>
              <w:t>CAPITAL</w:t>
            </w:r>
          </w:p>
          <w:p>
            <w:pPr>
              <w:pStyle w:val="TableParagraph"/>
              <w:spacing w:before="2"/>
              <w:ind w:right="4605"/>
              <w:jc w:val="right"/>
              <w:rPr>
                <w:sz w:val="15"/>
              </w:rPr>
            </w:pPr>
            <w:r>
              <w:rPr>
                <w:color w:val="585858"/>
                <w:sz w:val="15"/>
              </w:rPr>
              <w:t>VI. INVERSIONES REALES</w:t>
            </w:r>
          </w:p>
          <w:p>
            <w:pPr>
              <w:pStyle w:val="TableParagraph"/>
              <w:spacing w:before="50"/>
              <w:ind w:right="4605"/>
              <w:jc w:val="right"/>
              <w:rPr>
                <w:sz w:val="15"/>
              </w:rPr>
            </w:pPr>
            <w:r>
              <w:rPr>
                <w:color w:val="585858"/>
                <w:sz w:val="15"/>
              </w:rPr>
              <w:t>IV. TRANSFERENCIAS</w:t>
            </w:r>
            <w:r>
              <w:rPr>
                <w:color w:val="585858"/>
                <w:spacing w:val="1"/>
                <w:sz w:val="15"/>
              </w:rPr>
              <w:t> </w:t>
            </w:r>
            <w:r>
              <w:rPr>
                <w:color w:val="585858"/>
                <w:sz w:val="15"/>
              </w:rPr>
              <w:t>CORRIENTES</w:t>
            </w:r>
          </w:p>
          <w:p>
            <w:pPr>
              <w:pStyle w:val="TableParagraph"/>
              <w:spacing w:before="51"/>
              <w:ind w:right="4605"/>
              <w:jc w:val="right"/>
              <w:rPr>
                <w:sz w:val="15"/>
              </w:rPr>
            </w:pPr>
            <w:r>
              <w:rPr>
                <w:color w:val="585858"/>
                <w:sz w:val="15"/>
              </w:rPr>
              <w:t>III. GASTOS</w:t>
            </w:r>
            <w:r>
              <w:rPr>
                <w:color w:val="585858"/>
                <w:spacing w:val="1"/>
                <w:sz w:val="15"/>
              </w:rPr>
              <w:t> </w:t>
            </w:r>
            <w:r>
              <w:rPr>
                <w:color w:val="585858"/>
                <w:sz w:val="15"/>
              </w:rPr>
              <w:t>FINANCIEROS</w:t>
            </w:r>
          </w:p>
          <w:p>
            <w:pPr>
              <w:pStyle w:val="TableParagraph"/>
              <w:numPr>
                <w:ilvl w:val="0"/>
                <w:numId w:val="21"/>
              </w:numPr>
              <w:tabs>
                <w:tab w:pos="149" w:val="left" w:leader="none"/>
              </w:tabs>
              <w:spacing w:line="240" w:lineRule="auto" w:before="50" w:after="0"/>
              <w:ind w:left="257" w:right="4607" w:hanging="258"/>
              <w:jc w:val="right"/>
              <w:rPr>
                <w:sz w:val="15"/>
              </w:rPr>
            </w:pPr>
            <w:r>
              <w:rPr>
                <w:color w:val="585858"/>
                <w:sz w:val="15"/>
              </w:rPr>
              <w:t>GTOS.BIENES CORRIENT.Y</w:t>
            </w:r>
            <w:r>
              <w:rPr>
                <w:color w:val="585858"/>
                <w:spacing w:val="-2"/>
                <w:sz w:val="15"/>
              </w:rPr>
              <w:t> </w:t>
            </w:r>
            <w:r>
              <w:rPr>
                <w:color w:val="585858"/>
                <w:sz w:val="15"/>
              </w:rPr>
              <w:t>SERVICIOS</w:t>
            </w:r>
          </w:p>
          <w:p>
            <w:pPr>
              <w:pStyle w:val="TableParagraph"/>
              <w:numPr>
                <w:ilvl w:val="1"/>
                <w:numId w:val="21"/>
              </w:numPr>
              <w:tabs>
                <w:tab w:pos="111" w:val="left" w:leader="none"/>
              </w:tabs>
              <w:spacing w:line="240" w:lineRule="auto" w:before="50" w:after="0"/>
              <w:ind w:left="1131" w:right="4606" w:hanging="1132"/>
              <w:jc w:val="right"/>
              <w:rPr>
                <w:sz w:val="15"/>
              </w:rPr>
            </w:pPr>
            <w:r>
              <w:rPr>
                <w:color w:val="585858"/>
                <w:sz w:val="15"/>
              </w:rPr>
              <w:t>GASTOS DE PERSONAL</w:t>
            </w:r>
          </w:p>
          <w:p>
            <w:pPr>
              <w:pStyle w:val="TableParagraph"/>
              <w:spacing w:before="8"/>
              <w:rPr>
                <w:b/>
                <w:sz w:val="10"/>
              </w:rPr>
            </w:pPr>
          </w:p>
          <w:p>
            <w:pPr>
              <w:pStyle w:val="TableParagraph"/>
              <w:tabs>
                <w:tab w:pos="3193" w:val="left" w:leader="none"/>
              </w:tabs>
              <w:ind w:left="2520"/>
              <w:rPr>
                <w:sz w:val="15"/>
              </w:rPr>
            </w:pPr>
            <w:r>
              <w:rPr>
                <w:color w:val="585858"/>
                <w:sz w:val="15"/>
              </w:rPr>
              <w:t>0,00</w:t>
              <w:tab/>
              <w:t>2.000.000.000,004.000.000.000,006.000.000.000,00</w:t>
            </w:r>
          </w:p>
          <w:p>
            <w:pPr>
              <w:pStyle w:val="TableParagraph"/>
              <w:spacing w:before="6"/>
              <w:rPr>
                <w:b/>
                <w:sz w:val="12"/>
              </w:rPr>
            </w:pPr>
          </w:p>
          <w:p>
            <w:pPr>
              <w:pStyle w:val="TableParagraph"/>
              <w:tabs>
                <w:tab w:pos="4164" w:val="left" w:leader="none"/>
              </w:tabs>
              <w:ind w:left="1865"/>
              <w:rPr>
                <w:sz w:val="15"/>
              </w:rPr>
            </w:pPr>
            <w:r>
              <w:rPr>
                <w:color w:val="585858"/>
                <w:sz w:val="15"/>
              </w:rPr>
              <w:t>OBLIGACIONES</w:t>
            </w:r>
            <w:r>
              <w:rPr>
                <w:color w:val="585858"/>
                <w:spacing w:val="33"/>
                <w:sz w:val="15"/>
              </w:rPr>
              <w:t> </w:t>
            </w:r>
            <w:r>
              <w:rPr>
                <w:color w:val="585858"/>
                <w:sz w:val="15"/>
              </w:rPr>
              <w:t>RECONOCIDAS</w:t>
              <w:tab/>
              <w:t>CREDITO DEFINITIVO</w:t>
            </w:r>
          </w:p>
        </w:tc>
      </w:tr>
    </w:tbl>
    <w:p>
      <w:pPr>
        <w:pStyle w:val="BodyText"/>
        <w:spacing w:before="5"/>
        <w:rPr>
          <w:b/>
          <w:sz w:val="12"/>
        </w:rPr>
      </w:pPr>
    </w:p>
    <w:p>
      <w:pPr>
        <w:pStyle w:val="BodyText"/>
        <w:spacing w:line="242" w:lineRule="auto" w:before="61"/>
        <w:ind w:left="2096" w:right="1138" w:firstLine="594"/>
        <w:jc w:val="both"/>
      </w:pPr>
      <w:r>
        <w:rPr/>
        <w:pict>
          <v:group style="position:absolute;margin-left:275.21701pt;margin-top:-139.983231pt;width:154.25pt;height:93.4pt;mso-position-horizontal-relative:page;mso-position-vertical-relative:paragraph;z-index:-323014656" coordorigin="5504,-2800" coordsize="3085,1868">
            <v:shape style="position:absolute;left:6710;top:-2290;width:1280;height:2225" coordorigin="6710,-2289" coordsize="1280,2225" path="m6586,-2800l6586,-932m7660,-2800l7660,-932e" filled="false" stroked="true" strokeweight=".629697pt" strokecolor="#d9d9d9">
              <v:path arrowok="t"/>
              <v:stroke dashstyle="solid"/>
            </v:shape>
            <v:line style="position:absolute" from="5511,-1718" to="8589,-1718" stroked="true" strokeweight="3.022548pt" strokecolor="#4471c4">
              <v:stroke dashstyle="solid"/>
            </v:line>
            <v:line style="position:absolute" from="5511,-1952" to="5848,-1952" stroked="true" strokeweight="3.022548pt" strokecolor="#4471c4">
              <v:stroke dashstyle="solid"/>
            </v:line>
            <v:line style="position:absolute" from="5511,-2186" to="6066,-2186" stroked="true" strokeweight="3.022548pt" strokecolor="#4471c4">
              <v:stroke dashstyle="solid"/>
            </v:line>
            <v:rect style="position:absolute;left:5510;top:-2450;width:6;height:61" filled="true" fillcolor="#4471c4" stroked="false">
              <v:fill type="solid"/>
            </v:rect>
            <v:shape style="position:absolute;left:5510;top:-2684;width:973;height:1697" coordorigin="5511,-2683" coordsize="973,1697" path="m5983,-2683l5511,-2683,5511,-2621,5983,-2621,5983,-2683m6483,-1049l5511,-1049,5511,-987,6483,-987,6483,-1049e" filled="true" fillcolor="#4471c4" stroked="false">
              <v:path arrowok="t"/>
              <v:fill type="solid"/>
            </v:shape>
            <v:rect style="position:absolute;left:5510;top:-1110;width:959;height:61" filled="true" fillcolor="#ec7c30" stroked="false">
              <v:fill type="solid"/>
            </v:rect>
            <v:line style="position:absolute" from="5511,-1252" to="5762,-1252" stroked="true" strokeweight="3.123299pt" strokecolor="#4471c4">
              <v:stroke dashstyle="solid"/>
            </v:line>
            <v:line style="position:absolute" from="5511,-1313" to="5742,-1313" stroked="true" strokeweight="3.022548pt" strokecolor="#ec7c30">
              <v:stroke dashstyle="solid"/>
            </v:line>
            <v:rect style="position:absolute;left:5510;top:-1517;width:42;height:63" filled="true" fillcolor="#4471c4" stroked="false">
              <v:fill type="solid"/>
            </v:rect>
            <v:rect style="position:absolute;left:5510;top:-1578;width:42;height:61" filled="true" fillcolor="#ec7c30" stroked="false">
              <v:fill type="solid"/>
            </v:rect>
            <v:line style="position:absolute" from="5511,-1780" to="8555,-1780" stroked="true" strokeweight="3.123299pt" strokecolor="#ec7c30">
              <v:stroke dashstyle="solid"/>
            </v:line>
            <v:line style="position:absolute" from="5511,-2013" to="5707,-2013" stroked="true" strokeweight="3.123299pt" strokecolor="#ec7c30">
              <v:stroke dashstyle="solid"/>
            </v:line>
            <v:line style="position:absolute" from="5511,-2246" to="5921,-2246" stroked="true" strokeweight="3.022548pt" strokecolor="#ec7c30">
              <v:stroke dashstyle="solid"/>
            </v:line>
            <v:rect style="position:absolute;left:5510;top:-2510;width:6;height:61" filled="true" fillcolor="#ec7c30" stroked="false">
              <v:fill type="solid"/>
            </v:rect>
            <v:rect style="position:absolute;left:5510;top:-2744;width:473;height:61" filled="true" fillcolor="#ec7c30" stroked="false">
              <v:fill type="solid"/>
            </v:rect>
            <v:line style="position:absolute" from="5511,-932" to="5511,-2800" stroked="true" strokeweight=".629697pt" strokecolor="#d9d9d9">
              <v:stroke dashstyle="solid"/>
            </v:line>
            <w10:wrap type="none"/>
          </v:group>
        </w:pict>
      </w:r>
      <w:r>
        <w:rPr/>
        <w:pict>
          <v:line style="position:absolute;mso-position-horizontal-relative:page;mso-position-vertical-relative:paragraph;z-index:-323013632" from="436.675629pt,-139.983231pt" to="436.675629pt,-46.603293pt" stroked="true" strokeweight=".629697pt" strokecolor="#d9d9d9">
            <v:stroke dashstyle="solid"/>
            <w10:wrap type="none"/>
          </v:line>
        </w:pict>
      </w:r>
      <w:r>
        <w:rPr/>
        <w:pict>
          <v:rect style="position:absolute;margin-left:230.210434pt;margin-top:-22.11504pt;width:4.150378pt;height:4.150378pt;mso-position-horizontal-relative:page;mso-position-vertical-relative:paragraph;z-index:-323012608" filled="true" fillcolor="#ec7c30" stroked="false">
            <v:fill type="solid"/>
            <w10:wrap type="none"/>
          </v:rect>
        </w:pict>
      </w:r>
      <w:r>
        <w:rPr/>
        <w:pict>
          <v:rect style="position:absolute;margin-left:345.092438pt;margin-top:-22.11504pt;width:4.150378pt;height:4.150378pt;mso-position-horizontal-relative:page;mso-position-vertical-relative:paragraph;z-index:-323011584" filled="true" fillcolor="#4471c4" stroked="false">
            <v:fill type="solid"/>
            <w10:wrap type="none"/>
          </v:rect>
        </w:pict>
      </w:r>
      <w:r>
        <w:rPr/>
        <w:t>En el siguiente cuadro se muestra la ejecución presupuestaria, en millones de €, con detalle de las diversas fases de ejecución y una comparación con los totales de operaciones no financieras del ejercicio 2021.</w:t>
      </w:r>
    </w:p>
    <w:p>
      <w:pPr>
        <w:spacing w:before="103" w:after="6"/>
        <w:ind w:left="0" w:right="1088" w:firstLine="0"/>
        <w:jc w:val="right"/>
        <w:rPr>
          <w:b/>
          <w:sz w:val="13"/>
        </w:rPr>
      </w:pPr>
      <w:r>
        <w:rPr>
          <w:b/>
          <w:w w:val="105"/>
          <w:sz w:val="13"/>
        </w:rPr>
        <w:t>millones de €</w:t>
      </w:r>
    </w:p>
    <w:tbl>
      <w:tblPr>
        <w:tblW w:w="0" w:type="auto"/>
        <w:jc w:val="left"/>
        <w:tblInd w:w="1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790"/>
        <w:gridCol w:w="691"/>
        <w:gridCol w:w="819"/>
        <w:gridCol w:w="714"/>
        <w:gridCol w:w="633"/>
        <w:gridCol w:w="673"/>
        <w:gridCol w:w="773"/>
        <w:gridCol w:w="627"/>
      </w:tblGrid>
      <w:tr>
        <w:trPr>
          <w:trHeight w:val="755" w:hRule="atLeast"/>
        </w:trPr>
        <w:tc>
          <w:tcPr>
            <w:tcW w:w="7353" w:type="dxa"/>
            <w:gridSpan w:val="9"/>
            <w:tcBorders>
              <w:top w:val="single" w:sz="4" w:space="0" w:color="000000"/>
            </w:tcBorders>
            <w:shd w:val="clear" w:color="auto" w:fill="DEEAF6"/>
          </w:tcPr>
          <w:p>
            <w:pPr>
              <w:pStyle w:val="TableParagraph"/>
              <w:tabs>
                <w:tab w:pos="1727" w:val="left" w:leader="none"/>
                <w:tab w:pos="2422" w:val="left" w:leader="none"/>
                <w:tab w:pos="3136" w:val="left" w:leader="none"/>
                <w:tab w:pos="3875" w:val="left" w:leader="none"/>
                <w:tab w:pos="5304" w:val="left" w:leader="none"/>
                <w:tab w:pos="5899" w:val="left" w:leader="none"/>
                <w:tab w:pos="6636" w:val="left" w:leader="none"/>
                <w:tab w:pos="6679" w:val="left" w:leader="none"/>
              </w:tabs>
              <w:spacing w:line="122" w:lineRule="auto" w:before="116"/>
              <w:ind w:left="600" w:right="112" w:firstLine="3275"/>
              <w:rPr>
                <w:b/>
                <w:sz w:val="13"/>
              </w:rPr>
            </w:pPr>
            <w:r>
              <w:rPr>
                <w:b/>
                <w:w w:val="105"/>
                <w:sz w:val="13"/>
              </w:rPr>
              <w:t>Obligaciones</w:t>
              <w:tab/>
              <w:t>Oblig.</w:t>
              <w:tab/>
            </w:r>
            <w:r>
              <w:rPr>
                <w:b/>
                <w:w w:val="105"/>
                <w:position w:val="8"/>
                <w:sz w:val="13"/>
              </w:rPr>
              <w:t>Grado</w:t>
            </w:r>
            <w:r>
              <w:rPr>
                <w:b/>
                <w:spacing w:val="-3"/>
                <w:w w:val="105"/>
                <w:position w:val="8"/>
                <w:sz w:val="13"/>
              </w:rPr>
              <w:t> </w:t>
            </w:r>
            <w:r>
              <w:rPr>
                <w:b/>
                <w:w w:val="105"/>
                <w:position w:val="8"/>
                <w:sz w:val="13"/>
              </w:rPr>
              <w:t>de</w:t>
              <w:tab/>
              <w:tab/>
              <w:t>Grado de </w:t>
            </w:r>
            <w:r>
              <w:rPr>
                <w:b/>
                <w:w w:val="105"/>
                <w:position w:val="-7"/>
                <w:sz w:val="13"/>
              </w:rPr>
              <w:t>Capítulo</w:t>
              <w:tab/>
            </w:r>
            <w:r>
              <w:rPr>
                <w:b/>
                <w:w w:val="105"/>
                <w:sz w:val="13"/>
              </w:rPr>
              <w:t>Créditos</w:t>
              <w:tab/>
            </w:r>
            <w:r>
              <w:rPr>
                <w:b/>
                <w:w w:val="105"/>
                <w:position w:val="-7"/>
                <w:sz w:val="13"/>
              </w:rPr>
              <w:t>Modifi.</w:t>
              <w:tab/>
            </w:r>
            <w:r>
              <w:rPr>
                <w:b/>
                <w:w w:val="105"/>
                <w:sz w:val="13"/>
              </w:rPr>
              <w:t>Créditos</w:t>
              <w:tab/>
            </w:r>
            <w:r>
              <w:rPr>
                <w:b/>
                <w:w w:val="105"/>
                <w:position w:val="-7"/>
                <w:sz w:val="13"/>
              </w:rPr>
              <w:t>reconocidas   </w:t>
            </w:r>
            <w:r>
              <w:rPr>
                <w:b/>
                <w:spacing w:val="24"/>
                <w:w w:val="105"/>
                <w:position w:val="-7"/>
                <w:sz w:val="13"/>
              </w:rPr>
              <w:t> </w:t>
            </w:r>
            <w:r>
              <w:rPr>
                <w:b/>
                <w:w w:val="105"/>
                <w:position w:val="-7"/>
                <w:sz w:val="13"/>
              </w:rPr>
              <w:t>Pagos</w:t>
              <w:tab/>
              <w:t>Pend.</w:t>
              <w:tab/>
            </w:r>
            <w:r>
              <w:rPr>
                <w:b/>
                <w:w w:val="105"/>
                <w:sz w:val="13"/>
              </w:rPr>
              <w:t>ejecución</w:t>
              <w:tab/>
            </w:r>
            <w:r>
              <w:rPr>
                <w:b/>
                <w:spacing w:val="-3"/>
                <w:w w:val="105"/>
                <w:sz w:val="13"/>
              </w:rPr>
              <w:t>realización</w:t>
            </w:r>
          </w:p>
          <w:p>
            <w:pPr>
              <w:pStyle w:val="TableParagraph"/>
              <w:tabs>
                <w:tab w:pos="3136" w:val="left" w:leader="none"/>
                <w:tab w:pos="5304" w:val="left" w:leader="none"/>
                <w:tab w:pos="6743" w:val="left" w:leader="none"/>
              </w:tabs>
              <w:spacing w:line="129" w:lineRule="auto"/>
              <w:ind w:left="1727"/>
              <w:rPr>
                <w:b/>
                <w:sz w:val="13"/>
              </w:rPr>
            </w:pPr>
            <w:r>
              <w:rPr>
                <w:b/>
                <w:w w:val="105"/>
                <w:sz w:val="13"/>
              </w:rPr>
              <w:t>iniciales</w:t>
              <w:tab/>
              <w:t>definitivos   </w:t>
            </w:r>
            <w:r>
              <w:rPr>
                <w:b/>
                <w:spacing w:val="16"/>
                <w:w w:val="105"/>
                <w:sz w:val="13"/>
              </w:rPr>
              <w:t> </w:t>
            </w:r>
            <w:r>
              <w:rPr>
                <w:b/>
                <w:w w:val="105"/>
                <w:position w:val="-7"/>
                <w:sz w:val="13"/>
              </w:rPr>
              <w:t>netas</w:t>
              <w:tab/>
              <w:t>de</w:t>
            </w:r>
            <w:r>
              <w:rPr>
                <w:b/>
                <w:spacing w:val="-2"/>
                <w:w w:val="105"/>
                <w:position w:val="-7"/>
                <w:sz w:val="13"/>
              </w:rPr>
              <w:t> </w:t>
            </w:r>
            <w:r>
              <w:rPr>
                <w:b/>
                <w:w w:val="105"/>
                <w:position w:val="-7"/>
                <w:sz w:val="13"/>
              </w:rPr>
              <w:t>pago   </w:t>
            </w:r>
            <w:r>
              <w:rPr>
                <w:b/>
                <w:spacing w:val="21"/>
                <w:w w:val="105"/>
                <w:position w:val="-7"/>
                <w:sz w:val="13"/>
              </w:rPr>
              <w:t> </w:t>
            </w:r>
            <w:r>
              <w:rPr>
                <w:b/>
                <w:w w:val="105"/>
                <w:sz w:val="13"/>
              </w:rPr>
              <w:t>OR/Cred.</w:t>
              <w:tab/>
              <w:t>Pagos/</w:t>
            </w:r>
          </w:p>
          <w:p>
            <w:pPr>
              <w:pStyle w:val="TableParagraph"/>
              <w:tabs>
                <w:tab w:pos="590" w:val="left" w:leader="none"/>
              </w:tabs>
              <w:spacing w:line="136" w:lineRule="exact"/>
              <w:ind w:right="114"/>
              <w:jc w:val="right"/>
              <w:rPr>
                <w:b/>
                <w:sz w:val="13"/>
              </w:rPr>
            </w:pPr>
            <w:r>
              <w:rPr>
                <w:b/>
                <w:w w:val="105"/>
                <w:sz w:val="13"/>
              </w:rPr>
              <w:t>Def.</w:t>
              <w:tab/>
              <w:t>Oblig.</w:t>
            </w:r>
            <w:r>
              <w:rPr>
                <w:b/>
                <w:spacing w:val="-12"/>
                <w:w w:val="105"/>
                <w:sz w:val="13"/>
              </w:rPr>
              <w:t> </w:t>
            </w:r>
            <w:r>
              <w:rPr>
                <w:b/>
                <w:w w:val="105"/>
                <w:sz w:val="13"/>
              </w:rPr>
              <w:t>Rec.</w:t>
            </w:r>
          </w:p>
        </w:tc>
      </w:tr>
      <w:tr>
        <w:trPr>
          <w:trHeight w:val="199" w:hRule="atLeast"/>
        </w:trPr>
        <w:tc>
          <w:tcPr>
            <w:tcW w:w="1633" w:type="dxa"/>
          </w:tcPr>
          <w:p>
            <w:pPr>
              <w:pStyle w:val="TableParagraph"/>
              <w:spacing w:before="3"/>
              <w:ind w:left="84"/>
              <w:rPr>
                <w:sz w:val="13"/>
              </w:rPr>
            </w:pPr>
            <w:r>
              <w:rPr>
                <w:w w:val="105"/>
                <w:sz w:val="13"/>
              </w:rPr>
              <w:t>1 Gastos de personal</w:t>
            </w:r>
          </w:p>
        </w:tc>
        <w:tc>
          <w:tcPr>
            <w:tcW w:w="790" w:type="dxa"/>
          </w:tcPr>
          <w:p>
            <w:pPr>
              <w:pStyle w:val="TableParagraph"/>
              <w:spacing w:before="3"/>
              <w:ind w:right="113"/>
              <w:jc w:val="right"/>
              <w:rPr>
                <w:sz w:val="13"/>
              </w:rPr>
            </w:pPr>
            <w:r>
              <w:rPr>
                <w:w w:val="105"/>
                <w:sz w:val="13"/>
              </w:rPr>
              <w:t>1.832,29</w:t>
            </w:r>
          </w:p>
        </w:tc>
        <w:tc>
          <w:tcPr>
            <w:tcW w:w="691" w:type="dxa"/>
          </w:tcPr>
          <w:p>
            <w:pPr>
              <w:pStyle w:val="TableParagraph"/>
              <w:spacing w:before="3"/>
              <w:ind w:right="91"/>
              <w:jc w:val="right"/>
              <w:rPr>
                <w:sz w:val="13"/>
              </w:rPr>
            </w:pPr>
            <w:r>
              <w:rPr>
                <w:w w:val="105"/>
                <w:sz w:val="13"/>
              </w:rPr>
              <w:t>-22,21</w:t>
            </w:r>
          </w:p>
        </w:tc>
        <w:tc>
          <w:tcPr>
            <w:tcW w:w="819" w:type="dxa"/>
          </w:tcPr>
          <w:p>
            <w:pPr>
              <w:pStyle w:val="TableParagraph"/>
              <w:spacing w:before="3"/>
              <w:ind w:right="172"/>
              <w:jc w:val="right"/>
              <w:rPr>
                <w:sz w:val="13"/>
              </w:rPr>
            </w:pPr>
            <w:r>
              <w:rPr>
                <w:w w:val="105"/>
                <w:sz w:val="13"/>
              </w:rPr>
              <w:t>1.810,08</w:t>
            </w:r>
          </w:p>
        </w:tc>
        <w:tc>
          <w:tcPr>
            <w:tcW w:w="714" w:type="dxa"/>
          </w:tcPr>
          <w:p>
            <w:pPr>
              <w:pStyle w:val="TableParagraph"/>
              <w:spacing w:before="3"/>
              <w:ind w:right="54"/>
              <w:jc w:val="right"/>
              <w:rPr>
                <w:sz w:val="13"/>
              </w:rPr>
            </w:pPr>
            <w:r>
              <w:rPr>
                <w:w w:val="105"/>
                <w:sz w:val="13"/>
              </w:rPr>
              <w:t>1.782,33</w:t>
            </w:r>
          </w:p>
        </w:tc>
        <w:tc>
          <w:tcPr>
            <w:tcW w:w="633" w:type="dxa"/>
          </w:tcPr>
          <w:p>
            <w:pPr>
              <w:pStyle w:val="TableParagraph"/>
              <w:spacing w:before="3"/>
              <w:ind w:right="90"/>
              <w:jc w:val="right"/>
              <w:rPr>
                <w:sz w:val="13"/>
              </w:rPr>
            </w:pPr>
            <w:r>
              <w:rPr>
                <w:w w:val="105"/>
                <w:sz w:val="13"/>
              </w:rPr>
              <w:t>1.782,33</w:t>
            </w:r>
          </w:p>
        </w:tc>
        <w:tc>
          <w:tcPr>
            <w:tcW w:w="673" w:type="dxa"/>
          </w:tcPr>
          <w:p>
            <w:pPr>
              <w:pStyle w:val="TableParagraph"/>
              <w:spacing w:before="3"/>
              <w:ind w:right="200"/>
              <w:jc w:val="right"/>
              <w:rPr>
                <w:sz w:val="13"/>
              </w:rPr>
            </w:pPr>
            <w:r>
              <w:rPr>
                <w:w w:val="103"/>
                <w:sz w:val="13"/>
              </w:rPr>
              <w:t>0</w:t>
            </w:r>
          </w:p>
        </w:tc>
        <w:tc>
          <w:tcPr>
            <w:tcW w:w="773" w:type="dxa"/>
          </w:tcPr>
          <w:p>
            <w:pPr>
              <w:pStyle w:val="TableParagraph"/>
              <w:spacing w:before="3"/>
              <w:ind w:right="258"/>
              <w:jc w:val="right"/>
              <w:rPr>
                <w:sz w:val="13"/>
              </w:rPr>
            </w:pPr>
            <w:r>
              <w:rPr>
                <w:sz w:val="13"/>
              </w:rPr>
              <w:t>93,79</w:t>
            </w:r>
          </w:p>
        </w:tc>
        <w:tc>
          <w:tcPr>
            <w:tcW w:w="627" w:type="dxa"/>
          </w:tcPr>
          <w:p>
            <w:pPr>
              <w:pStyle w:val="TableParagraph"/>
              <w:spacing w:before="3"/>
              <w:ind w:right="53"/>
              <w:jc w:val="right"/>
              <w:rPr>
                <w:sz w:val="13"/>
              </w:rPr>
            </w:pPr>
            <w:r>
              <w:rPr>
                <w:sz w:val="13"/>
              </w:rPr>
              <w:t>95,68</w:t>
            </w:r>
          </w:p>
        </w:tc>
      </w:tr>
      <w:tr>
        <w:trPr>
          <w:trHeight w:val="378" w:hRule="atLeast"/>
        </w:trPr>
        <w:tc>
          <w:tcPr>
            <w:tcW w:w="1633" w:type="dxa"/>
          </w:tcPr>
          <w:p>
            <w:pPr>
              <w:pStyle w:val="TableParagraph"/>
              <w:spacing w:line="249" w:lineRule="auto" w:before="16"/>
              <w:ind w:left="298" w:hanging="214"/>
              <w:rPr>
                <w:sz w:val="13"/>
              </w:rPr>
            </w:pPr>
            <w:r>
              <w:rPr>
                <w:w w:val="105"/>
                <w:sz w:val="13"/>
              </w:rPr>
              <w:t>2 Gastos en bienes corrientes y servicios</w:t>
            </w:r>
          </w:p>
        </w:tc>
        <w:tc>
          <w:tcPr>
            <w:tcW w:w="790" w:type="dxa"/>
          </w:tcPr>
          <w:p>
            <w:pPr>
              <w:pStyle w:val="TableParagraph"/>
              <w:spacing w:before="16"/>
              <w:ind w:right="113"/>
              <w:jc w:val="right"/>
              <w:rPr>
                <w:sz w:val="13"/>
              </w:rPr>
            </w:pPr>
            <w:r>
              <w:rPr>
                <w:sz w:val="13"/>
              </w:rPr>
              <w:t>353,86</w:t>
            </w:r>
          </w:p>
        </w:tc>
        <w:tc>
          <w:tcPr>
            <w:tcW w:w="691" w:type="dxa"/>
          </w:tcPr>
          <w:p>
            <w:pPr>
              <w:pStyle w:val="TableParagraph"/>
              <w:spacing w:before="16"/>
              <w:ind w:right="91"/>
              <w:jc w:val="right"/>
              <w:rPr>
                <w:sz w:val="13"/>
              </w:rPr>
            </w:pPr>
            <w:r>
              <w:rPr>
                <w:sz w:val="13"/>
              </w:rPr>
              <w:t>112,41</w:t>
            </w:r>
          </w:p>
        </w:tc>
        <w:tc>
          <w:tcPr>
            <w:tcW w:w="819" w:type="dxa"/>
          </w:tcPr>
          <w:p>
            <w:pPr>
              <w:pStyle w:val="TableParagraph"/>
              <w:spacing w:before="16"/>
              <w:ind w:right="172"/>
              <w:jc w:val="right"/>
              <w:rPr>
                <w:sz w:val="13"/>
              </w:rPr>
            </w:pPr>
            <w:r>
              <w:rPr>
                <w:sz w:val="13"/>
              </w:rPr>
              <w:t>466,26</w:t>
            </w:r>
          </w:p>
        </w:tc>
        <w:tc>
          <w:tcPr>
            <w:tcW w:w="714" w:type="dxa"/>
          </w:tcPr>
          <w:p>
            <w:pPr>
              <w:pStyle w:val="TableParagraph"/>
              <w:spacing w:before="16"/>
              <w:ind w:right="54"/>
              <w:jc w:val="right"/>
              <w:rPr>
                <w:sz w:val="13"/>
              </w:rPr>
            </w:pPr>
            <w:r>
              <w:rPr>
                <w:sz w:val="13"/>
              </w:rPr>
              <w:t>430,4</w:t>
            </w:r>
          </w:p>
        </w:tc>
        <w:tc>
          <w:tcPr>
            <w:tcW w:w="633" w:type="dxa"/>
          </w:tcPr>
          <w:p>
            <w:pPr>
              <w:pStyle w:val="TableParagraph"/>
              <w:spacing w:before="16"/>
              <w:ind w:right="90"/>
              <w:jc w:val="right"/>
              <w:rPr>
                <w:sz w:val="13"/>
              </w:rPr>
            </w:pPr>
            <w:r>
              <w:rPr>
                <w:sz w:val="13"/>
              </w:rPr>
              <w:t>357,06</w:t>
            </w:r>
          </w:p>
        </w:tc>
        <w:tc>
          <w:tcPr>
            <w:tcW w:w="673" w:type="dxa"/>
          </w:tcPr>
          <w:p>
            <w:pPr>
              <w:pStyle w:val="TableParagraph"/>
              <w:spacing w:before="16"/>
              <w:ind w:right="199"/>
              <w:jc w:val="right"/>
              <w:rPr>
                <w:sz w:val="13"/>
              </w:rPr>
            </w:pPr>
            <w:r>
              <w:rPr>
                <w:sz w:val="13"/>
              </w:rPr>
              <w:t>73,34</w:t>
            </w:r>
          </w:p>
        </w:tc>
        <w:tc>
          <w:tcPr>
            <w:tcW w:w="773" w:type="dxa"/>
          </w:tcPr>
          <w:p>
            <w:pPr>
              <w:pStyle w:val="TableParagraph"/>
              <w:spacing w:before="16"/>
              <w:ind w:right="258"/>
              <w:jc w:val="right"/>
              <w:rPr>
                <w:sz w:val="13"/>
              </w:rPr>
            </w:pPr>
            <w:r>
              <w:rPr>
                <w:sz w:val="13"/>
              </w:rPr>
              <w:t>98,47</w:t>
            </w:r>
          </w:p>
        </w:tc>
        <w:tc>
          <w:tcPr>
            <w:tcW w:w="627" w:type="dxa"/>
          </w:tcPr>
          <w:p>
            <w:pPr>
              <w:pStyle w:val="TableParagraph"/>
              <w:spacing w:before="16"/>
              <w:ind w:right="52"/>
              <w:jc w:val="right"/>
              <w:rPr>
                <w:sz w:val="13"/>
              </w:rPr>
            </w:pPr>
            <w:r>
              <w:rPr>
                <w:sz w:val="13"/>
              </w:rPr>
              <w:t>100</w:t>
            </w:r>
          </w:p>
        </w:tc>
      </w:tr>
      <w:tr>
        <w:trPr>
          <w:trHeight w:val="213" w:hRule="atLeast"/>
        </w:trPr>
        <w:tc>
          <w:tcPr>
            <w:tcW w:w="1633" w:type="dxa"/>
          </w:tcPr>
          <w:p>
            <w:pPr>
              <w:pStyle w:val="TableParagraph"/>
              <w:spacing w:before="16"/>
              <w:ind w:left="84"/>
              <w:rPr>
                <w:sz w:val="13"/>
              </w:rPr>
            </w:pPr>
            <w:r>
              <w:rPr>
                <w:w w:val="105"/>
                <w:sz w:val="13"/>
              </w:rPr>
              <w:t>3 Gastos financieros</w:t>
            </w:r>
          </w:p>
        </w:tc>
        <w:tc>
          <w:tcPr>
            <w:tcW w:w="790" w:type="dxa"/>
          </w:tcPr>
          <w:p>
            <w:pPr>
              <w:pStyle w:val="TableParagraph"/>
              <w:spacing w:before="16"/>
              <w:ind w:right="113"/>
              <w:jc w:val="right"/>
              <w:rPr>
                <w:sz w:val="13"/>
              </w:rPr>
            </w:pPr>
            <w:r>
              <w:rPr>
                <w:sz w:val="13"/>
              </w:rPr>
              <w:t>23,53</w:t>
            </w:r>
          </w:p>
        </w:tc>
        <w:tc>
          <w:tcPr>
            <w:tcW w:w="691" w:type="dxa"/>
          </w:tcPr>
          <w:p>
            <w:pPr>
              <w:pStyle w:val="TableParagraph"/>
              <w:spacing w:before="16"/>
              <w:ind w:right="91"/>
              <w:jc w:val="right"/>
              <w:rPr>
                <w:sz w:val="13"/>
              </w:rPr>
            </w:pPr>
            <w:r>
              <w:rPr>
                <w:sz w:val="13"/>
              </w:rPr>
              <w:t>53,74</w:t>
            </w:r>
          </w:p>
        </w:tc>
        <w:tc>
          <w:tcPr>
            <w:tcW w:w="819" w:type="dxa"/>
          </w:tcPr>
          <w:p>
            <w:pPr>
              <w:pStyle w:val="TableParagraph"/>
              <w:spacing w:before="16"/>
              <w:ind w:right="172"/>
              <w:jc w:val="right"/>
              <w:rPr>
                <w:sz w:val="13"/>
              </w:rPr>
            </w:pPr>
            <w:r>
              <w:rPr>
                <w:sz w:val="13"/>
              </w:rPr>
              <w:t>77,27</w:t>
            </w:r>
          </w:p>
        </w:tc>
        <w:tc>
          <w:tcPr>
            <w:tcW w:w="714" w:type="dxa"/>
          </w:tcPr>
          <w:p>
            <w:pPr>
              <w:pStyle w:val="TableParagraph"/>
              <w:spacing w:before="16"/>
              <w:ind w:right="54"/>
              <w:jc w:val="right"/>
              <w:rPr>
                <w:sz w:val="13"/>
              </w:rPr>
            </w:pPr>
            <w:r>
              <w:rPr>
                <w:sz w:val="13"/>
              </w:rPr>
              <w:t>76,16</w:t>
            </w:r>
          </w:p>
        </w:tc>
        <w:tc>
          <w:tcPr>
            <w:tcW w:w="633" w:type="dxa"/>
          </w:tcPr>
          <w:p>
            <w:pPr>
              <w:pStyle w:val="TableParagraph"/>
              <w:spacing w:before="16"/>
              <w:ind w:right="90"/>
              <w:jc w:val="right"/>
              <w:rPr>
                <w:sz w:val="13"/>
              </w:rPr>
            </w:pPr>
            <w:r>
              <w:rPr>
                <w:sz w:val="13"/>
              </w:rPr>
              <w:t>68,27</w:t>
            </w:r>
          </w:p>
        </w:tc>
        <w:tc>
          <w:tcPr>
            <w:tcW w:w="673" w:type="dxa"/>
          </w:tcPr>
          <w:p>
            <w:pPr>
              <w:pStyle w:val="TableParagraph"/>
              <w:spacing w:before="16"/>
              <w:ind w:right="199"/>
              <w:jc w:val="right"/>
              <w:rPr>
                <w:sz w:val="13"/>
              </w:rPr>
            </w:pPr>
            <w:r>
              <w:rPr>
                <w:sz w:val="13"/>
              </w:rPr>
              <w:t>7,9</w:t>
            </w:r>
          </w:p>
        </w:tc>
        <w:tc>
          <w:tcPr>
            <w:tcW w:w="773" w:type="dxa"/>
          </w:tcPr>
          <w:p>
            <w:pPr>
              <w:pStyle w:val="TableParagraph"/>
              <w:spacing w:before="16"/>
              <w:ind w:right="258"/>
              <w:jc w:val="right"/>
              <w:rPr>
                <w:sz w:val="13"/>
              </w:rPr>
            </w:pPr>
            <w:r>
              <w:rPr>
                <w:sz w:val="13"/>
              </w:rPr>
              <w:t>92,31</w:t>
            </w:r>
          </w:p>
        </w:tc>
        <w:tc>
          <w:tcPr>
            <w:tcW w:w="627" w:type="dxa"/>
          </w:tcPr>
          <w:p>
            <w:pPr>
              <w:pStyle w:val="TableParagraph"/>
              <w:spacing w:before="16"/>
              <w:ind w:right="53"/>
              <w:jc w:val="right"/>
              <w:rPr>
                <w:sz w:val="13"/>
              </w:rPr>
            </w:pPr>
            <w:r>
              <w:rPr>
                <w:sz w:val="13"/>
              </w:rPr>
              <w:t>82,96</w:t>
            </w:r>
          </w:p>
        </w:tc>
      </w:tr>
      <w:tr>
        <w:trPr>
          <w:trHeight w:val="189" w:hRule="atLeast"/>
        </w:trPr>
        <w:tc>
          <w:tcPr>
            <w:tcW w:w="1633" w:type="dxa"/>
          </w:tcPr>
          <w:p>
            <w:pPr>
              <w:pStyle w:val="TableParagraph"/>
              <w:spacing w:line="153" w:lineRule="exact" w:before="16"/>
              <w:ind w:left="84"/>
              <w:rPr>
                <w:sz w:val="13"/>
              </w:rPr>
            </w:pPr>
            <w:r>
              <w:rPr>
                <w:w w:val="105"/>
                <w:sz w:val="13"/>
              </w:rPr>
              <w:t>4 Transferencias</w:t>
            </w:r>
          </w:p>
        </w:tc>
        <w:tc>
          <w:tcPr>
            <w:tcW w:w="790" w:type="dxa"/>
          </w:tcPr>
          <w:p>
            <w:pPr>
              <w:pStyle w:val="TableParagraph"/>
              <w:spacing w:line="153" w:lineRule="exact" w:before="16"/>
              <w:ind w:right="113"/>
              <w:jc w:val="right"/>
              <w:rPr>
                <w:sz w:val="13"/>
              </w:rPr>
            </w:pPr>
            <w:r>
              <w:rPr>
                <w:w w:val="105"/>
                <w:sz w:val="13"/>
              </w:rPr>
              <w:t>5.042,10</w:t>
            </w:r>
          </w:p>
        </w:tc>
        <w:tc>
          <w:tcPr>
            <w:tcW w:w="691" w:type="dxa"/>
          </w:tcPr>
          <w:p>
            <w:pPr>
              <w:pStyle w:val="TableParagraph"/>
              <w:spacing w:line="153" w:lineRule="exact" w:before="16"/>
              <w:ind w:right="91"/>
              <w:jc w:val="right"/>
              <w:rPr>
                <w:sz w:val="13"/>
              </w:rPr>
            </w:pPr>
            <w:r>
              <w:rPr>
                <w:sz w:val="13"/>
              </w:rPr>
              <w:t>687,04</w:t>
            </w:r>
          </w:p>
        </w:tc>
        <w:tc>
          <w:tcPr>
            <w:tcW w:w="819" w:type="dxa"/>
          </w:tcPr>
          <w:p>
            <w:pPr>
              <w:pStyle w:val="TableParagraph"/>
              <w:spacing w:line="153" w:lineRule="exact" w:before="16"/>
              <w:ind w:right="172"/>
              <w:jc w:val="right"/>
              <w:rPr>
                <w:sz w:val="13"/>
              </w:rPr>
            </w:pPr>
            <w:r>
              <w:rPr>
                <w:w w:val="105"/>
                <w:sz w:val="13"/>
              </w:rPr>
              <w:t>5.729,14</w:t>
            </w:r>
          </w:p>
        </w:tc>
        <w:tc>
          <w:tcPr>
            <w:tcW w:w="714" w:type="dxa"/>
          </w:tcPr>
          <w:p>
            <w:pPr>
              <w:pStyle w:val="TableParagraph"/>
              <w:spacing w:line="153" w:lineRule="exact" w:before="16"/>
              <w:ind w:right="54"/>
              <w:jc w:val="right"/>
              <w:rPr>
                <w:sz w:val="13"/>
              </w:rPr>
            </w:pPr>
            <w:r>
              <w:rPr>
                <w:w w:val="105"/>
                <w:sz w:val="13"/>
              </w:rPr>
              <w:t>5.668,01</w:t>
            </w:r>
          </w:p>
        </w:tc>
        <w:tc>
          <w:tcPr>
            <w:tcW w:w="633" w:type="dxa"/>
          </w:tcPr>
          <w:p>
            <w:pPr>
              <w:pStyle w:val="TableParagraph"/>
              <w:spacing w:line="153" w:lineRule="exact" w:before="16"/>
              <w:ind w:right="90"/>
              <w:jc w:val="right"/>
              <w:rPr>
                <w:sz w:val="13"/>
              </w:rPr>
            </w:pPr>
            <w:r>
              <w:rPr>
                <w:w w:val="105"/>
                <w:sz w:val="13"/>
              </w:rPr>
              <w:t>5.561,89</w:t>
            </w:r>
          </w:p>
        </w:tc>
        <w:tc>
          <w:tcPr>
            <w:tcW w:w="673" w:type="dxa"/>
          </w:tcPr>
          <w:p>
            <w:pPr>
              <w:pStyle w:val="TableParagraph"/>
              <w:spacing w:line="153" w:lineRule="exact" w:before="16"/>
              <w:ind w:right="199"/>
              <w:jc w:val="right"/>
              <w:rPr>
                <w:sz w:val="13"/>
              </w:rPr>
            </w:pPr>
            <w:r>
              <w:rPr>
                <w:sz w:val="13"/>
              </w:rPr>
              <w:t>106,12</w:t>
            </w:r>
          </w:p>
        </w:tc>
        <w:tc>
          <w:tcPr>
            <w:tcW w:w="773" w:type="dxa"/>
          </w:tcPr>
          <w:p>
            <w:pPr>
              <w:pStyle w:val="TableParagraph"/>
              <w:spacing w:line="153" w:lineRule="exact" w:before="16"/>
              <w:ind w:right="258"/>
              <w:jc w:val="right"/>
              <w:rPr>
                <w:sz w:val="13"/>
              </w:rPr>
            </w:pPr>
            <w:r>
              <w:rPr>
                <w:sz w:val="13"/>
              </w:rPr>
              <w:t>98,57</w:t>
            </w:r>
          </w:p>
        </w:tc>
        <w:tc>
          <w:tcPr>
            <w:tcW w:w="627" w:type="dxa"/>
          </w:tcPr>
          <w:p>
            <w:pPr>
              <w:pStyle w:val="TableParagraph"/>
              <w:spacing w:line="153" w:lineRule="exact" w:before="16"/>
              <w:ind w:right="53"/>
              <w:jc w:val="right"/>
              <w:rPr>
                <w:sz w:val="13"/>
              </w:rPr>
            </w:pPr>
            <w:r>
              <w:rPr>
                <w:sz w:val="13"/>
              </w:rPr>
              <w:t>89,63</w:t>
            </w:r>
          </w:p>
        </w:tc>
      </w:tr>
      <w:tr>
        <w:trPr>
          <w:trHeight w:val="352" w:hRule="atLeast"/>
        </w:trPr>
        <w:tc>
          <w:tcPr>
            <w:tcW w:w="1633" w:type="dxa"/>
          </w:tcPr>
          <w:p>
            <w:pPr>
              <w:pStyle w:val="TableParagraph"/>
              <w:spacing w:line="151" w:lineRule="exact"/>
              <w:ind w:left="298"/>
              <w:rPr>
                <w:sz w:val="13"/>
              </w:rPr>
            </w:pPr>
            <w:r>
              <w:rPr>
                <w:w w:val="105"/>
                <w:sz w:val="13"/>
              </w:rPr>
              <w:t>corrientes</w:t>
            </w:r>
          </w:p>
          <w:p>
            <w:pPr>
              <w:pStyle w:val="TableParagraph"/>
              <w:spacing w:before="4"/>
              <w:ind w:left="84"/>
              <w:rPr>
                <w:sz w:val="13"/>
              </w:rPr>
            </w:pPr>
            <w:r>
              <w:rPr>
                <w:w w:val="105"/>
                <w:sz w:val="13"/>
              </w:rPr>
              <w:t>6 Inversiones reales</w:t>
            </w:r>
          </w:p>
        </w:tc>
        <w:tc>
          <w:tcPr>
            <w:tcW w:w="790" w:type="dxa"/>
          </w:tcPr>
          <w:p>
            <w:pPr>
              <w:pStyle w:val="TableParagraph"/>
              <w:spacing w:before="9"/>
              <w:rPr>
                <w:b/>
                <w:sz w:val="12"/>
              </w:rPr>
            </w:pPr>
          </w:p>
          <w:p>
            <w:pPr>
              <w:pStyle w:val="TableParagraph"/>
              <w:ind w:right="113"/>
              <w:jc w:val="right"/>
              <w:rPr>
                <w:sz w:val="13"/>
              </w:rPr>
            </w:pPr>
            <w:r>
              <w:rPr>
                <w:sz w:val="13"/>
              </w:rPr>
              <w:t>534,02</w:t>
            </w:r>
          </w:p>
        </w:tc>
        <w:tc>
          <w:tcPr>
            <w:tcW w:w="691" w:type="dxa"/>
          </w:tcPr>
          <w:p>
            <w:pPr>
              <w:pStyle w:val="TableParagraph"/>
              <w:spacing w:before="9"/>
              <w:rPr>
                <w:b/>
                <w:sz w:val="12"/>
              </w:rPr>
            </w:pPr>
          </w:p>
          <w:p>
            <w:pPr>
              <w:pStyle w:val="TableParagraph"/>
              <w:ind w:right="91"/>
              <w:jc w:val="right"/>
              <w:rPr>
                <w:sz w:val="13"/>
              </w:rPr>
            </w:pPr>
            <w:r>
              <w:rPr>
                <w:sz w:val="13"/>
              </w:rPr>
              <w:t>93,04</w:t>
            </w:r>
          </w:p>
        </w:tc>
        <w:tc>
          <w:tcPr>
            <w:tcW w:w="819" w:type="dxa"/>
          </w:tcPr>
          <w:p>
            <w:pPr>
              <w:pStyle w:val="TableParagraph"/>
              <w:spacing w:before="9"/>
              <w:rPr>
                <w:b/>
                <w:sz w:val="12"/>
              </w:rPr>
            </w:pPr>
          </w:p>
          <w:p>
            <w:pPr>
              <w:pStyle w:val="TableParagraph"/>
              <w:ind w:right="172"/>
              <w:jc w:val="right"/>
              <w:rPr>
                <w:sz w:val="13"/>
              </w:rPr>
            </w:pPr>
            <w:r>
              <w:rPr>
                <w:sz w:val="13"/>
              </w:rPr>
              <w:t>627,06</w:t>
            </w:r>
          </w:p>
        </w:tc>
        <w:tc>
          <w:tcPr>
            <w:tcW w:w="714" w:type="dxa"/>
          </w:tcPr>
          <w:p>
            <w:pPr>
              <w:pStyle w:val="TableParagraph"/>
              <w:spacing w:before="9"/>
              <w:rPr>
                <w:b/>
                <w:sz w:val="12"/>
              </w:rPr>
            </w:pPr>
          </w:p>
          <w:p>
            <w:pPr>
              <w:pStyle w:val="TableParagraph"/>
              <w:ind w:right="54"/>
              <w:jc w:val="right"/>
              <w:rPr>
                <w:sz w:val="13"/>
              </w:rPr>
            </w:pPr>
            <w:r>
              <w:rPr>
                <w:sz w:val="13"/>
              </w:rPr>
              <w:t>365,87</w:t>
            </w:r>
          </w:p>
        </w:tc>
        <w:tc>
          <w:tcPr>
            <w:tcW w:w="633" w:type="dxa"/>
          </w:tcPr>
          <w:p>
            <w:pPr>
              <w:pStyle w:val="TableParagraph"/>
              <w:spacing w:before="9"/>
              <w:rPr>
                <w:b/>
                <w:sz w:val="12"/>
              </w:rPr>
            </w:pPr>
          </w:p>
          <w:p>
            <w:pPr>
              <w:pStyle w:val="TableParagraph"/>
              <w:ind w:right="90"/>
              <w:jc w:val="right"/>
              <w:rPr>
                <w:sz w:val="13"/>
              </w:rPr>
            </w:pPr>
            <w:r>
              <w:rPr>
                <w:sz w:val="13"/>
              </w:rPr>
              <w:t>264,4</w:t>
            </w:r>
          </w:p>
        </w:tc>
        <w:tc>
          <w:tcPr>
            <w:tcW w:w="673" w:type="dxa"/>
          </w:tcPr>
          <w:p>
            <w:pPr>
              <w:pStyle w:val="TableParagraph"/>
              <w:spacing w:before="9"/>
              <w:rPr>
                <w:b/>
                <w:sz w:val="12"/>
              </w:rPr>
            </w:pPr>
          </w:p>
          <w:p>
            <w:pPr>
              <w:pStyle w:val="TableParagraph"/>
              <w:ind w:right="199"/>
              <w:jc w:val="right"/>
              <w:rPr>
                <w:sz w:val="13"/>
              </w:rPr>
            </w:pPr>
            <w:r>
              <w:rPr>
                <w:sz w:val="13"/>
              </w:rPr>
              <w:t>101,47</w:t>
            </w:r>
          </w:p>
        </w:tc>
        <w:tc>
          <w:tcPr>
            <w:tcW w:w="773" w:type="dxa"/>
          </w:tcPr>
          <w:p>
            <w:pPr>
              <w:pStyle w:val="TableParagraph"/>
              <w:spacing w:before="9"/>
              <w:rPr>
                <w:b/>
                <w:sz w:val="12"/>
              </w:rPr>
            </w:pPr>
          </w:p>
          <w:p>
            <w:pPr>
              <w:pStyle w:val="TableParagraph"/>
              <w:ind w:right="258"/>
              <w:jc w:val="right"/>
              <w:rPr>
                <w:sz w:val="13"/>
              </w:rPr>
            </w:pPr>
            <w:r>
              <w:rPr>
                <w:sz w:val="13"/>
              </w:rPr>
              <w:t>98,93</w:t>
            </w:r>
          </w:p>
        </w:tc>
        <w:tc>
          <w:tcPr>
            <w:tcW w:w="627" w:type="dxa"/>
          </w:tcPr>
          <w:p>
            <w:pPr>
              <w:pStyle w:val="TableParagraph"/>
              <w:spacing w:before="9"/>
              <w:rPr>
                <w:b/>
                <w:sz w:val="12"/>
              </w:rPr>
            </w:pPr>
          </w:p>
          <w:p>
            <w:pPr>
              <w:pStyle w:val="TableParagraph"/>
              <w:ind w:right="53"/>
              <w:jc w:val="right"/>
              <w:rPr>
                <w:sz w:val="13"/>
              </w:rPr>
            </w:pPr>
            <w:r>
              <w:rPr>
                <w:sz w:val="13"/>
              </w:rPr>
              <w:t>98,13</w:t>
            </w:r>
          </w:p>
        </w:tc>
      </w:tr>
      <w:tr>
        <w:trPr>
          <w:trHeight w:val="189" w:hRule="atLeast"/>
        </w:trPr>
        <w:tc>
          <w:tcPr>
            <w:tcW w:w="1633" w:type="dxa"/>
          </w:tcPr>
          <w:p>
            <w:pPr>
              <w:pStyle w:val="TableParagraph"/>
              <w:spacing w:line="153" w:lineRule="exact" w:before="16"/>
              <w:ind w:left="84"/>
              <w:rPr>
                <w:sz w:val="13"/>
              </w:rPr>
            </w:pPr>
            <w:r>
              <w:rPr>
                <w:w w:val="105"/>
                <w:sz w:val="13"/>
              </w:rPr>
              <w:t>7 Transferencias de</w:t>
            </w:r>
          </w:p>
        </w:tc>
        <w:tc>
          <w:tcPr>
            <w:tcW w:w="790" w:type="dxa"/>
          </w:tcPr>
          <w:p>
            <w:pPr>
              <w:pStyle w:val="TableParagraph"/>
              <w:spacing w:line="153" w:lineRule="exact" w:before="16"/>
              <w:ind w:right="113"/>
              <w:jc w:val="right"/>
              <w:rPr>
                <w:sz w:val="13"/>
              </w:rPr>
            </w:pPr>
            <w:r>
              <w:rPr>
                <w:sz w:val="13"/>
              </w:rPr>
              <w:t>806,87</w:t>
            </w:r>
          </w:p>
        </w:tc>
        <w:tc>
          <w:tcPr>
            <w:tcW w:w="691" w:type="dxa"/>
          </w:tcPr>
          <w:p>
            <w:pPr>
              <w:pStyle w:val="TableParagraph"/>
              <w:spacing w:line="153" w:lineRule="exact" w:before="16"/>
              <w:ind w:right="91"/>
              <w:jc w:val="right"/>
              <w:rPr>
                <w:sz w:val="13"/>
              </w:rPr>
            </w:pPr>
            <w:r>
              <w:rPr>
                <w:sz w:val="13"/>
              </w:rPr>
              <w:t>226,92</w:t>
            </w:r>
          </w:p>
        </w:tc>
        <w:tc>
          <w:tcPr>
            <w:tcW w:w="819" w:type="dxa"/>
          </w:tcPr>
          <w:p>
            <w:pPr>
              <w:pStyle w:val="TableParagraph"/>
              <w:spacing w:line="153" w:lineRule="exact" w:before="16"/>
              <w:ind w:right="172"/>
              <w:jc w:val="right"/>
              <w:rPr>
                <w:sz w:val="13"/>
              </w:rPr>
            </w:pPr>
            <w:r>
              <w:rPr>
                <w:w w:val="105"/>
                <w:sz w:val="13"/>
              </w:rPr>
              <w:t>1.033,79</w:t>
            </w:r>
          </w:p>
        </w:tc>
        <w:tc>
          <w:tcPr>
            <w:tcW w:w="714" w:type="dxa"/>
          </w:tcPr>
          <w:p>
            <w:pPr>
              <w:pStyle w:val="TableParagraph"/>
              <w:spacing w:line="153" w:lineRule="exact" w:before="16"/>
              <w:ind w:right="54"/>
              <w:jc w:val="right"/>
              <w:rPr>
                <w:sz w:val="13"/>
              </w:rPr>
            </w:pPr>
            <w:r>
              <w:rPr>
                <w:sz w:val="13"/>
              </w:rPr>
              <w:t>761,92</w:t>
            </w:r>
          </w:p>
        </w:tc>
        <w:tc>
          <w:tcPr>
            <w:tcW w:w="633" w:type="dxa"/>
          </w:tcPr>
          <w:p>
            <w:pPr>
              <w:pStyle w:val="TableParagraph"/>
              <w:spacing w:line="153" w:lineRule="exact" w:before="16"/>
              <w:ind w:right="90"/>
              <w:jc w:val="right"/>
              <w:rPr>
                <w:sz w:val="13"/>
              </w:rPr>
            </w:pPr>
            <w:r>
              <w:rPr>
                <w:sz w:val="13"/>
              </w:rPr>
              <w:t>622,79</w:t>
            </w:r>
          </w:p>
        </w:tc>
        <w:tc>
          <w:tcPr>
            <w:tcW w:w="673" w:type="dxa"/>
          </w:tcPr>
          <w:p>
            <w:pPr>
              <w:pStyle w:val="TableParagraph"/>
              <w:spacing w:line="153" w:lineRule="exact" w:before="16"/>
              <w:ind w:right="199"/>
              <w:jc w:val="right"/>
              <w:rPr>
                <w:sz w:val="13"/>
              </w:rPr>
            </w:pPr>
            <w:r>
              <w:rPr>
                <w:sz w:val="13"/>
              </w:rPr>
              <w:t>139,13</w:t>
            </w:r>
          </w:p>
        </w:tc>
        <w:tc>
          <w:tcPr>
            <w:tcW w:w="773" w:type="dxa"/>
          </w:tcPr>
          <w:p>
            <w:pPr>
              <w:pStyle w:val="TableParagraph"/>
              <w:spacing w:line="153" w:lineRule="exact" w:before="16"/>
              <w:ind w:right="258"/>
              <w:jc w:val="right"/>
              <w:rPr>
                <w:sz w:val="13"/>
              </w:rPr>
            </w:pPr>
            <w:r>
              <w:rPr>
                <w:sz w:val="13"/>
              </w:rPr>
              <w:t>58,35</w:t>
            </w:r>
          </w:p>
        </w:tc>
        <w:tc>
          <w:tcPr>
            <w:tcW w:w="627" w:type="dxa"/>
          </w:tcPr>
          <w:p>
            <w:pPr>
              <w:pStyle w:val="TableParagraph"/>
              <w:spacing w:line="153" w:lineRule="exact" w:before="16"/>
              <w:ind w:right="53"/>
              <w:jc w:val="right"/>
              <w:rPr>
                <w:sz w:val="13"/>
              </w:rPr>
            </w:pPr>
            <w:r>
              <w:rPr>
                <w:sz w:val="13"/>
              </w:rPr>
              <w:t>72,27</w:t>
            </w:r>
          </w:p>
        </w:tc>
      </w:tr>
      <w:tr>
        <w:trPr>
          <w:trHeight w:val="327" w:hRule="atLeast"/>
        </w:trPr>
        <w:tc>
          <w:tcPr>
            <w:tcW w:w="1633" w:type="dxa"/>
          </w:tcPr>
          <w:p>
            <w:pPr>
              <w:pStyle w:val="TableParagraph"/>
              <w:spacing w:line="151" w:lineRule="exact"/>
              <w:ind w:left="298"/>
              <w:rPr>
                <w:sz w:val="13"/>
              </w:rPr>
            </w:pPr>
            <w:r>
              <w:rPr>
                <w:w w:val="105"/>
                <w:sz w:val="13"/>
              </w:rPr>
              <w:t>capital</w:t>
            </w:r>
          </w:p>
          <w:p>
            <w:pPr>
              <w:pStyle w:val="TableParagraph"/>
              <w:spacing w:line="152" w:lineRule="exact" w:before="4"/>
              <w:ind w:left="298"/>
              <w:rPr>
                <w:sz w:val="13"/>
              </w:rPr>
            </w:pPr>
            <w:r>
              <w:rPr>
                <w:w w:val="105"/>
                <w:sz w:val="13"/>
              </w:rPr>
              <w:t>Operaciones no</w:t>
            </w:r>
          </w:p>
        </w:tc>
        <w:tc>
          <w:tcPr>
            <w:tcW w:w="790" w:type="dxa"/>
          </w:tcPr>
          <w:p>
            <w:pPr>
              <w:pStyle w:val="TableParagraph"/>
              <w:spacing w:before="9"/>
              <w:rPr>
                <w:b/>
                <w:sz w:val="12"/>
              </w:rPr>
            </w:pPr>
          </w:p>
          <w:p>
            <w:pPr>
              <w:pStyle w:val="TableParagraph"/>
              <w:spacing w:line="152" w:lineRule="exact"/>
              <w:ind w:right="113"/>
              <w:jc w:val="right"/>
              <w:rPr>
                <w:sz w:val="13"/>
              </w:rPr>
            </w:pPr>
            <w:r>
              <w:rPr>
                <w:w w:val="105"/>
                <w:sz w:val="13"/>
              </w:rPr>
              <w:t>8.592,66</w:t>
            </w:r>
          </w:p>
        </w:tc>
        <w:tc>
          <w:tcPr>
            <w:tcW w:w="691" w:type="dxa"/>
          </w:tcPr>
          <w:p>
            <w:pPr>
              <w:pStyle w:val="TableParagraph"/>
              <w:spacing w:before="9"/>
              <w:rPr>
                <w:b/>
                <w:sz w:val="12"/>
              </w:rPr>
            </w:pPr>
          </w:p>
          <w:p>
            <w:pPr>
              <w:pStyle w:val="TableParagraph"/>
              <w:spacing w:line="152" w:lineRule="exact"/>
              <w:ind w:right="91"/>
              <w:jc w:val="right"/>
              <w:rPr>
                <w:sz w:val="13"/>
              </w:rPr>
            </w:pPr>
            <w:r>
              <w:rPr>
                <w:w w:val="105"/>
                <w:sz w:val="13"/>
              </w:rPr>
              <w:t>1.150,94</w:t>
            </w:r>
          </w:p>
        </w:tc>
        <w:tc>
          <w:tcPr>
            <w:tcW w:w="819" w:type="dxa"/>
          </w:tcPr>
          <w:p>
            <w:pPr>
              <w:pStyle w:val="TableParagraph"/>
              <w:spacing w:before="9"/>
              <w:rPr>
                <w:b/>
                <w:sz w:val="12"/>
              </w:rPr>
            </w:pPr>
          </w:p>
          <w:p>
            <w:pPr>
              <w:pStyle w:val="TableParagraph"/>
              <w:spacing w:line="152" w:lineRule="exact"/>
              <w:ind w:right="172"/>
              <w:jc w:val="right"/>
              <w:rPr>
                <w:sz w:val="13"/>
              </w:rPr>
            </w:pPr>
            <w:r>
              <w:rPr>
                <w:w w:val="105"/>
                <w:sz w:val="13"/>
              </w:rPr>
              <w:t>9.743,60</w:t>
            </w:r>
          </w:p>
        </w:tc>
        <w:tc>
          <w:tcPr>
            <w:tcW w:w="714" w:type="dxa"/>
          </w:tcPr>
          <w:p>
            <w:pPr>
              <w:pStyle w:val="TableParagraph"/>
              <w:spacing w:before="9"/>
              <w:rPr>
                <w:b/>
                <w:sz w:val="12"/>
              </w:rPr>
            </w:pPr>
          </w:p>
          <w:p>
            <w:pPr>
              <w:pStyle w:val="TableParagraph"/>
              <w:spacing w:line="152" w:lineRule="exact"/>
              <w:ind w:right="54"/>
              <w:jc w:val="right"/>
              <w:rPr>
                <w:sz w:val="13"/>
              </w:rPr>
            </w:pPr>
            <w:r>
              <w:rPr>
                <w:w w:val="105"/>
                <w:sz w:val="13"/>
              </w:rPr>
              <w:t>9.084,70</w:t>
            </w:r>
          </w:p>
        </w:tc>
        <w:tc>
          <w:tcPr>
            <w:tcW w:w="633" w:type="dxa"/>
          </w:tcPr>
          <w:p>
            <w:pPr>
              <w:pStyle w:val="TableParagraph"/>
              <w:spacing w:before="9"/>
              <w:rPr>
                <w:b/>
                <w:sz w:val="12"/>
              </w:rPr>
            </w:pPr>
          </w:p>
          <w:p>
            <w:pPr>
              <w:pStyle w:val="TableParagraph"/>
              <w:spacing w:line="152" w:lineRule="exact"/>
              <w:ind w:right="90"/>
              <w:jc w:val="right"/>
              <w:rPr>
                <w:sz w:val="13"/>
              </w:rPr>
            </w:pPr>
            <w:r>
              <w:rPr>
                <w:w w:val="105"/>
                <w:sz w:val="13"/>
              </w:rPr>
              <w:t>8.656,74</w:t>
            </w:r>
          </w:p>
        </w:tc>
        <w:tc>
          <w:tcPr>
            <w:tcW w:w="673" w:type="dxa"/>
          </w:tcPr>
          <w:p>
            <w:pPr>
              <w:pStyle w:val="TableParagraph"/>
              <w:spacing w:before="9"/>
              <w:rPr>
                <w:b/>
                <w:sz w:val="12"/>
              </w:rPr>
            </w:pPr>
          </w:p>
          <w:p>
            <w:pPr>
              <w:pStyle w:val="TableParagraph"/>
              <w:spacing w:line="152" w:lineRule="exact"/>
              <w:ind w:right="199"/>
              <w:jc w:val="right"/>
              <w:rPr>
                <w:sz w:val="13"/>
              </w:rPr>
            </w:pPr>
            <w:r>
              <w:rPr>
                <w:sz w:val="13"/>
              </w:rPr>
              <w:t>427,95</w:t>
            </w:r>
          </w:p>
        </w:tc>
        <w:tc>
          <w:tcPr>
            <w:tcW w:w="773" w:type="dxa"/>
          </w:tcPr>
          <w:p>
            <w:pPr>
              <w:pStyle w:val="TableParagraph"/>
              <w:spacing w:before="9"/>
              <w:rPr>
                <w:b/>
                <w:sz w:val="12"/>
              </w:rPr>
            </w:pPr>
          </w:p>
          <w:p>
            <w:pPr>
              <w:pStyle w:val="TableParagraph"/>
              <w:spacing w:line="152" w:lineRule="exact"/>
              <w:ind w:right="258"/>
              <w:jc w:val="right"/>
              <w:rPr>
                <w:sz w:val="13"/>
              </w:rPr>
            </w:pPr>
            <w:r>
              <w:rPr>
                <w:sz w:val="13"/>
              </w:rPr>
              <w:t>93,24</w:t>
            </w:r>
          </w:p>
        </w:tc>
        <w:tc>
          <w:tcPr>
            <w:tcW w:w="627" w:type="dxa"/>
          </w:tcPr>
          <w:p>
            <w:pPr>
              <w:pStyle w:val="TableParagraph"/>
              <w:spacing w:before="9"/>
              <w:rPr>
                <w:b/>
                <w:sz w:val="12"/>
              </w:rPr>
            </w:pPr>
          </w:p>
          <w:p>
            <w:pPr>
              <w:pStyle w:val="TableParagraph"/>
              <w:spacing w:line="152" w:lineRule="exact"/>
              <w:ind w:right="53"/>
              <w:jc w:val="right"/>
              <w:rPr>
                <w:sz w:val="13"/>
              </w:rPr>
            </w:pPr>
            <w:r>
              <w:rPr>
                <w:sz w:val="13"/>
              </w:rPr>
              <w:t>95,29</w:t>
            </w:r>
          </w:p>
        </w:tc>
      </w:tr>
      <w:tr>
        <w:trPr>
          <w:trHeight w:val="188" w:hRule="atLeast"/>
        </w:trPr>
        <w:tc>
          <w:tcPr>
            <w:tcW w:w="1633" w:type="dxa"/>
          </w:tcPr>
          <w:p>
            <w:pPr>
              <w:pStyle w:val="TableParagraph"/>
              <w:spacing w:line="150" w:lineRule="exact"/>
              <w:ind w:left="298"/>
              <w:rPr>
                <w:sz w:val="13"/>
              </w:rPr>
            </w:pPr>
            <w:r>
              <w:rPr>
                <w:w w:val="105"/>
                <w:sz w:val="13"/>
              </w:rPr>
              <w:t>financieras 2022</w:t>
            </w:r>
          </w:p>
        </w:tc>
        <w:tc>
          <w:tcPr>
            <w:tcW w:w="790" w:type="dxa"/>
          </w:tcPr>
          <w:p>
            <w:pPr>
              <w:pStyle w:val="TableParagraph"/>
              <w:rPr>
                <w:rFonts w:ascii="Times New Roman"/>
                <w:sz w:val="12"/>
              </w:rPr>
            </w:pPr>
          </w:p>
        </w:tc>
        <w:tc>
          <w:tcPr>
            <w:tcW w:w="691" w:type="dxa"/>
          </w:tcPr>
          <w:p>
            <w:pPr>
              <w:pStyle w:val="TableParagraph"/>
              <w:rPr>
                <w:rFonts w:ascii="Times New Roman"/>
                <w:sz w:val="12"/>
              </w:rPr>
            </w:pPr>
          </w:p>
        </w:tc>
        <w:tc>
          <w:tcPr>
            <w:tcW w:w="819" w:type="dxa"/>
          </w:tcPr>
          <w:p>
            <w:pPr>
              <w:pStyle w:val="TableParagraph"/>
              <w:rPr>
                <w:rFonts w:ascii="Times New Roman"/>
                <w:sz w:val="12"/>
              </w:rPr>
            </w:pPr>
          </w:p>
        </w:tc>
        <w:tc>
          <w:tcPr>
            <w:tcW w:w="714" w:type="dxa"/>
          </w:tcPr>
          <w:p>
            <w:pPr>
              <w:pStyle w:val="TableParagraph"/>
              <w:rPr>
                <w:rFonts w:ascii="Times New Roman"/>
                <w:sz w:val="12"/>
              </w:rPr>
            </w:pPr>
          </w:p>
        </w:tc>
        <w:tc>
          <w:tcPr>
            <w:tcW w:w="633" w:type="dxa"/>
          </w:tcPr>
          <w:p>
            <w:pPr>
              <w:pStyle w:val="TableParagraph"/>
              <w:rPr>
                <w:rFonts w:ascii="Times New Roman"/>
                <w:sz w:val="12"/>
              </w:rPr>
            </w:pPr>
          </w:p>
        </w:tc>
        <w:tc>
          <w:tcPr>
            <w:tcW w:w="673" w:type="dxa"/>
          </w:tcPr>
          <w:p>
            <w:pPr>
              <w:pStyle w:val="TableParagraph"/>
              <w:rPr>
                <w:rFonts w:ascii="Times New Roman"/>
                <w:sz w:val="12"/>
              </w:rPr>
            </w:pPr>
          </w:p>
        </w:tc>
        <w:tc>
          <w:tcPr>
            <w:tcW w:w="773" w:type="dxa"/>
          </w:tcPr>
          <w:p>
            <w:pPr>
              <w:pStyle w:val="TableParagraph"/>
              <w:rPr>
                <w:rFonts w:ascii="Times New Roman"/>
                <w:sz w:val="12"/>
              </w:rPr>
            </w:pPr>
          </w:p>
        </w:tc>
        <w:tc>
          <w:tcPr>
            <w:tcW w:w="627" w:type="dxa"/>
          </w:tcPr>
          <w:p>
            <w:pPr>
              <w:pStyle w:val="TableParagraph"/>
              <w:rPr>
                <w:rFonts w:ascii="Times New Roman"/>
                <w:sz w:val="12"/>
              </w:rPr>
            </w:pPr>
          </w:p>
        </w:tc>
      </w:tr>
      <w:tr>
        <w:trPr>
          <w:trHeight w:val="214" w:hRule="atLeast"/>
        </w:trPr>
        <w:tc>
          <w:tcPr>
            <w:tcW w:w="1633" w:type="dxa"/>
          </w:tcPr>
          <w:p>
            <w:pPr>
              <w:pStyle w:val="TableParagraph"/>
              <w:spacing w:before="16"/>
              <w:ind w:left="84"/>
              <w:rPr>
                <w:sz w:val="13"/>
              </w:rPr>
            </w:pPr>
            <w:r>
              <w:rPr>
                <w:w w:val="105"/>
                <w:sz w:val="13"/>
              </w:rPr>
              <w:t>8 Activos financieros</w:t>
            </w:r>
          </w:p>
        </w:tc>
        <w:tc>
          <w:tcPr>
            <w:tcW w:w="790" w:type="dxa"/>
          </w:tcPr>
          <w:p>
            <w:pPr>
              <w:pStyle w:val="TableParagraph"/>
              <w:spacing w:before="16"/>
              <w:ind w:right="113"/>
              <w:jc w:val="right"/>
              <w:rPr>
                <w:sz w:val="13"/>
              </w:rPr>
            </w:pPr>
            <w:r>
              <w:rPr>
                <w:sz w:val="13"/>
              </w:rPr>
              <w:t>16,2</w:t>
            </w:r>
          </w:p>
        </w:tc>
        <w:tc>
          <w:tcPr>
            <w:tcW w:w="691" w:type="dxa"/>
          </w:tcPr>
          <w:p>
            <w:pPr>
              <w:pStyle w:val="TableParagraph"/>
              <w:spacing w:before="16"/>
              <w:ind w:right="91"/>
              <w:jc w:val="right"/>
              <w:rPr>
                <w:sz w:val="13"/>
              </w:rPr>
            </w:pPr>
            <w:r>
              <w:rPr>
                <w:sz w:val="13"/>
              </w:rPr>
              <w:t>-5,57</w:t>
            </w:r>
          </w:p>
        </w:tc>
        <w:tc>
          <w:tcPr>
            <w:tcW w:w="819" w:type="dxa"/>
          </w:tcPr>
          <w:p>
            <w:pPr>
              <w:pStyle w:val="TableParagraph"/>
              <w:spacing w:before="16"/>
              <w:ind w:right="172"/>
              <w:jc w:val="right"/>
              <w:rPr>
                <w:sz w:val="13"/>
              </w:rPr>
            </w:pPr>
            <w:r>
              <w:rPr>
                <w:sz w:val="13"/>
              </w:rPr>
              <w:t>10,63</w:t>
            </w:r>
          </w:p>
        </w:tc>
        <w:tc>
          <w:tcPr>
            <w:tcW w:w="714" w:type="dxa"/>
          </w:tcPr>
          <w:p>
            <w:pPr>
              <w:pStyle w:val="TableParagraph"/>
              <w:spacing w:before="16"/>
              <w:ind w:right="54"/>
              <w:jc w:val="right"/>
              <w:rPr>
                <w:sz w:val="13"/>
              </w:rPr>
            </w:pPr>
            <w:r>
              <w:rPr>
                <w:sz w:val="13"/>
              </w:rPr>
              <w:t>9,43</w:t>
            </w:r>
          </w:p>
        </w:tc>
        <w:tc>
          <w:tcPr>
            <w:tcW w:w="633" w:type="dxa"/>
          </w:tcPr>
          <w:p>
            <w:pPr>
              <w:pStyle w:val="TableParagraph"/>
              <w:spacing w:before="16"/>
              <w:ind w:right="90"/>
              <w:jc w:val="right"/>
              <w:rPr>
                <w:sz w:val="13"/>
              </w:rPr>
            </w:pPr>
            <w:r>
              <w:rPr>
                <w:sz w:val="13"/>
              </w:rPr>
              <w:t>9,42</w:t>
            </w:r>
          </w:p>
        </w:tc>
        <w:tc>
          <w:tcPr>
            <w:tcW w:w="673" w:type="dxa"/>
          </w:tcPr>
          <w:p>
            <w:pPr>
              <w:pStyle w:val="TableParagraph"/>
              <w:spacing w:before="16"/>
              <w:ind w:right="200"/>
              <w:jc w:val="right"/>
              <w:rPr>
                <w:sz w:val="13"/>
              </w:rPr>
            </w:pPr>
            <w:r>
              <w:rPr>
                <w:w w:val="103"/>
                <w:sz w:val="13"/>
              </w:rPr>
              <w:t>0</w:t>
            </w:r>
          </w:p>
        </w:tc>
        <w:tc>
          <w:tcPr>
            <w:tcW w:w="773" w:type="dxa"/>
          </w:tcPr>
          <w:p>
            <w:pPr>
              <w:pStyle w:val="TableParagraph"/>
              <w:spacing w:before="16"/>
              <w:ind w:right="258"/>
              <w:jc w:val="right"/>
              <w:rPr>
                <w:sz w:val="13"/>
              </w:rPr>
            </w:pPr>
            <w:r>
              <w:rPr>
                <w:sz w:val="13"/>
              </w:rPr>
              <w:t>88,71</w:t>
            </w:r>
          </w:p>
        </w:tc>
        <w:tc>
          <w:tcPr>
            <w:tcW w:w="627" w:type="dxa"/>
          </w:tcPr>
          <w:p>
            <w:pPr>
              <w:pStyle w:val="TableParagraph"/>
              <w:spacing w:before="16"/>
              <w:ind w:right="53"/>
              <w:jc w:val="right"/>
              <w:rPr>
                <w:sz w:val="13"/>
              </w:rPr>
            </w:pPr>
            <w:r>
              <w:rPr>
                <w:sz w:val="13"/>
              </w:rPr>
              <w:t>99,97</w:t>
            </w:r>
          </w:p>
        </w:tc>
      </w:tr>
      <w:tr>
        <w:trPr>
          <w:trHeight w:val="214" w:hRule="atLeast"/>
        </w:trPr>
        <w:tc>
          <w:tcPr>
            <w:tcW w:w="1633" w:type="dxa"/>
          </w:tcPr>
          <w:p>
            <w:pPr>
              <w:pStyle w:val="TableParagraph"/>
              <w:spacing w:before="17"/>
              <w:ind w:left="84"/>
              <w:rPr>
                <w:sz w:val="13"/>
              </w:rPr>
            </w:pPr>
            <w:r>
              <w:rPr>
                <w:w w:val="105"/>
                <w:sz w:val="13"/>
              </w:rPr>
              <w:t>9 Pasivos financieros</w:t>
            </w:r>
          </w:p>
        </w:tc>
        <w:tc>
          <w:tcPr>
            <w:tcW w:w="790" w:type="dxa"/>
          </w:tcPr>
          <w:p>
            <w:pPr>
              <w:pStyle w:val="TableParagraph"/>
              <w:spacing w:before="17"/>
              <w:ind w:right="113"/>
              <w:jc w:val="right"/>
              <w:rPr>
                <w:sz w:val="13"/>
              </w:rPr>
            </w:pPr>
            <w:r>
              <w:rPr>
                <w:sz w:val="13"/>
              </w:rPr>
              <w:t>859,03</w:t>
            </w:r>
          </w:p>
        </w:tc>
        <w:tc>
          <w:tcPr>
            <w:tcW w:w="691" w:type="dxa"/>
          </w:tcPr>
          <w:p>
            <w:pPr>
              <w:pStyle w:val="TableParagraph"/>
              <w:spacing w:before="17"/>
              <w:ind w:right="91"/>
              <w:jc w:val="right"/>
              <w:rPr>
                <w:sz w:val="13"/>
              </w:rPr>
            </w:pPr>
            <w:r>
              <w:rPr>
                <w:sz w:val="13"/>
              </w:rPr>
              <w:t>20,82</w:t>
            </w:r>
          </w:p>
        </w:tc>
        <w:tc>
          <w:tcPr>
            <w:tcW w:w="819" w:type="dxa"/>
          </w:tcPr>
          <w:p>
            <w:pPr>
              <w:pStyle w:val="TableParagraph"/>
              <w:spacing w:before="17"/>
              <w:ind w:right="172"/>
              <w:jc w:val="right"/>
              <w:rPr>
                <w:sz w:val="13"/>
              </w:rPr>
            </w:pPr>
            <w:r>
              <w:rPr>
                <w:sz w:val="13"/>
              </w:rPr>
              <w:t>879,85</w:t>
            </w:r>
          </w:p>
        </w:tc>
        <w:tc>
          <w:tcPr>
            <w:tcW w:w="714" w:type="dxa"/>
          </w:tcPr>
          <w:p>
            <w:pPr>
              <w:pStyle w:val="TableParagraph"/>
              <w:spacing w:before="17"/>
              <w:ind w:right="54"/>
              <w:jc w:val="right"/>
              <w:rPr>
                <w:sz w:val="13"/>
              </w:rPr>
            </w:pPr>
            <w:r>
              <w:rPr>
                <w:sz w:val="13"/>
              </w:rPr>
              <w:t>879,85</w:t>
            </w:r>
          </w:p>
        </w:tc>
        <w:tc>
          <w:tcPr>
            <w:tcW w:w="633" w:type="dxa"/>
          </w:tcPr>
          <w:p>
            <w:pPr>
              <w:pStyle w:val="TableParagraph"/>
              <w:spacing w:before="17"/>
              <w:ind w:right="90"/>
              <w:jc w:val="right"/>
              <w:rPr>
                <w:sz w:val="13"/>
              </w:rPr>
            </w:pPr>
            <w:r>
              <w:rPr>
                <w:sz w:val="13"/>
              </w:rPr>
              <w:t>876,86</w:t>
            </w:r>
          </w:p>
        </w:tc>
        <w:tc>
          <w:tcPr>
            <w:tcW w:w="673" w:type="dxa"/>
          </w:tcPr>
          <w:p>
            <w:pPr>
              <w:pStyle w:val="TableParagraph"/>
              <w:spacing w:before="17"/>
              <w:ind w:right="199"/>
              <w:jc w:val="right"/>
              <w:rPr>
                <w:sz w:val="13"/>
              </w:rPr>
            </w:pPr>
            <w:r>
              <w:rPr>
                <w:sz w:val="13"/>
              </w:rPr>
              <w:t>2,98</w:t>
            </w:r>
          </w:p>
        </w:tc>
        <w:tc>
          <w:tcPr>
            <w:tcW w:w="773" w:type="dxa"/>
          </w:tcPr>
          <w:p>
            <w:pPr>
              <w:pStyle w:val="TableParagraph"/>
              <w:spacing w:before="17"/>
              <w:ind w:right="258"/>
              <w:jc w:val="right"/>
              <w:rPr>
                <w:sz w:val="13"/>
              </w:rPr>
            </w:pPr>
            <w:r>
              <w:rPr>
                <w:sz w:val="13"/>
              </w:rPr>
              <w:t>100</w:t>
            </w:r>
          </w:p>
        </w:tc>
        <w:tc>
          <w:tcPr>
            <w:tcW w:w="627" w:type="dxa"/>
          </w:tcPr>
          <w:p>
            <w:pPr>
              <w:pStyle w:val="TableParagraph"/>
              <w:spacing w:before="17"/>
              <w:ind w:right="53"/>
              <w:jc w:val="right"/>
              <w:rPr>
                <w:sz w:val="13"/>
              </w:rPr>
            </w:pPr>
            <w:r>
              <w:rPr>
                <w:sz w:val="13"/>
              </w:rPr>
              <w:t>99,66</w:t>
            </w:r>
          </w:p>
        </w:tc>
      </w:tr>
      <w:tr>
        <w:trPr>
          <w:trHeight w:val="276" w:hRule="atLeast"/>
        </w:trPr>
        <w:tc>
          <w:tcPr>
            <w:tcW w:w="1633" w:type="dxa"/>
            <w:tcBorders>
              <w:bottom w:val="single" w:sz="4" w:space="0" w:color="000000"/>
            </w:tcBorders>
          </w:tcPr>
          <w:p>
            <w:pPr>
              <w:pStyle w:val="TableParagraph"/>
              <w:spacing w:before="16"/>
              <w:ind w:left="298"/>
              <w:rPr>
                <w:b/>
                <w:sz w:val="13"/>
              </w:rPr>
            </w:pPr>
            <w:r>
              <w:rPr>
                <w:b/>
                <w:w w:val="105"/>
                <w:sz w:val="13"/>
              </w:rPr>
              <w:t>Total 2022</w:t>
            </w:r>
          </w:p>
        </w:tc>
        <w:tc>
          <w:tcPr>
            <w:tcW w:w="790" w:type="dxa"/>
            <w:tcBorders>
              <w:bottom w:val="single" w:sz="4" w:space="0" w:color="000000"/>
            </w:tcBorders>
          </w:tcPr>
          <w:p>
            <w:pPr>
              <w:pStyle w:val="TableParagraph"/>
              <w:spacing w:before="16"/>
              <w:ind w:right="113"/>
              <w:jc w:val="right"/>
              <w:rPr>
                <w:b/>
                <w:sz w:val="13"/>
              </w:rPr>
            </w:pPr>
            <w:r>
              <w:rPr>
                <w:b/>
                <w:w w:val="105"/>
                <w:sz w:val="13"/>
              </w:rPr>
              <w:t>9.467,89</w:t>
            </w:r>
          </w:p>
        </w:tc>
        <w:tc>
          <w:tcPr>
            <w:tcW w:w="691" w:type="dxa"/>
            <w:tcBorders>
              <w:bottom w:val="single" w:sz="4" w:space="0" w:color="000000"/>
            </w:tcBorders>
          </w:tcPr>
          <w:p>
            <w:pPr>
              <w:pStyle w:val="TableParagraph"/>
              <w:spacing w:before="16"/>
              <w:ind w:right="91"/>
              <w:jc w:val="right"/>
              <w:rPr>
                <w:b/>
                <w:sz w:val="13"/>
              </w:rPr>
            </w:pPr>
            <w:r>
              <w:rPr>
                <w:b/>
                <w:w w:val="105"/>
                <w:sz w:val="13"/>
              </w:rPr>
              <w:t>1.166,19</w:t>
            </w:r>
          </w:p>
        </w:tc>
        <w:tc>
          <w:tcPr>
            <w:tcW w:w="819" w:type="dxa"/>
            <w:tcBorders>
              <w:bottom w:val="single" w:sz="4" w:space="0" w:color="000000"/>
            </w:tcBorders>
          </w:tcPr>
          <w:p>
            <w:pPr>
              <w:pStyle w:val="TableParagraph"/>
              <w:spacing w:before="16"/>
              <w:ind w:right="172"/>
              <w:jc w:val="right"/>
              <w:rPr>
                <w:b/>
                <w:sz w:val="13"/>
              </w:rPr>
            </w:pPr>
            <w:r>
              <w:rPr>
                <w:b/>
                <w:w w:val="105"/>
                <w:sz w:val="13"/>
              </w:rPr>
              <w:t>10.634,08</w:t>
            </w:r>
          </w:p>
        </w:tc>
        <w:tc>
          <w:tcPr>
            <w:tcW w:w="714" w:type="dxa"/>
            <w:tcBorders>
              <w:bottom w:val="single" w:sz="4" w:space="0" w:color="000000"/>
            </w:tcBorders>
          </w:tcPr>
          <w:p>
            <w:pPr>
              <w:pStyle w:val="TableParagraph"/>
              <w:spacing w:before="16"/>
              <w:ind w:right="54"/>
              <w:jc w:val="right"/>
              <w:rPr>
                <w:b/>
                <w:sz w:val="13"/>
              </w:rPr>
            </w:pPr>
            <w:r>
              <w:rPr>
                <w:b/>
                <w:w w:val="105"/>
                <w:sz w:val="13"/>
              </w:rPr>
              <w:t>9.973,97</w:t>
            </w:r>
          </w:p>
        </w:tc>
        <w:tc>
          <w:tcPr>
            <w:tcW w:w="633" w:type="dxa"/>
            <w:tcBorders>
              <w:bottom w:val="single" w:sz="4" w:space="0" w:color="000000"/>
            </w:tcBorders>
          </w:tcPr>
          <w:p>
            <w:pPr>
              <w:pStyle w:val="TableParagraph"/>
              <w:spacing w:before="16"/>
              <w:ind w:right="90"/>
              <w:jc w:val="right"/>
              <w:rPr>
                <w:b/>
                <w:sz w:val="13"/>
              </w:rPr>
            </w:pPr>
            <w:r>
              <w:rPr>
                <w:b/>
                <w:w w:val="105"/>
                <w:sz w:val="13"/>
              </w:rPr>
              <w:t>9.543,03</w:t>
            </w:r>
          </w:p>
        </w:tc>
        <w:tc>
          <w:tcPr>
            <w:tcW w:w="673" w:type="dxa"/>
            <w:tcBorders>
              <w:bottom w:val="single" w:sz="4" w:space="0" w:color="000000"/>
            </w:tcBorders>
          </w:tcPr>
          <w:p>
            <w:pPr>
              <w:pStyle w:val="TableParagraph"/>
              <w:spacing w:before="16"/>
              <w:ind w:right="198"/>
              <w:jc w:val="right"/>
              <w:rPr>
                <w:b/>
                <w:sz w:val="13"/>
              </w:rPr>
            </w:pPr>
            <w:r>
              <w:rPr>
                <w:b/>
                <w:sz w:val="13"/>
              </w:rPr>
              <w:t>430,94</w:t>
            </w:r>
          </w:p>
        </w:tc>
        <w:tc>
          <w:tcPr>
            <w:tcW w:w="773" w:type="dxa"/>
            <w:tcBorders>
              <w:bottom w:val="single" w:sz="4" w:space="0" w:color="000000"/>
            </w:tcBorders>
          </w:tcPr>
          <w:p>
            <w:pPr>
              <w:pStyle w:val="TableParagraph"/>
              <w:spacing w:before="16"/>
              <w:ind w:right="258"/>
              <w:jc w:val="right"/>
              <w:rPr>
                <w:b/>
                <w:sz w:val="13"/>
              </w:rPr>
            </w:pPr>
            <w:r>
              <w:rPr>
                <w:b/>
                <w:w w:val="105"/>
                <w:sz w:val="13"/>
              </w:rPr>
              <w:t>93,79</w:t>
            </w:r>
          </w:p>
        </w:tc>
        <w:tc>
          <w:tcPr>
            <w:tcW w:w="627" w:type="dxa"/>
            <w:tcBorders>
              <w:bottom w:val="single" w:sz="4" w:space="0" w:color="000000"/>
            </w:tcBorders>
          </w:tcPr>
          <w:p>
            <w:pPr>
              <w:pStyle w:val="TableParagraph"/>
              <w:spacing w:before="16"/>
              <w:ind w:right="52"/>
              <w:jc w:val="right"/>
              <w:rPr>
                <w:b/>
                <w:sz w:val="13"/>
              </w:rPr>
            </w:pPr>
            <w:r>
              <w:rPr>
                <w:b/>
                <w:w w:val="105"/>
                <w:sz w:val="13"/>
              </w:rPr>
              <w:t>95,68</w:t>
            </w:r>
          </w:p>
        </w:tc>
      </w:tr>
    </w:tbl>
    <w:p>
      <w:pPr>
        <w:pStyle w:val="BodyText"/>
        <w:spacing w:before="11"/>
        <w:rPr>
          <w:b/>
          <w:sz w:val="19"/>
        </w:rPr>
      </w:pPr>
    </w:p>
    <w:p>
      <w:pPr>
        <w:pStyle w:val="Heading1"/>
        <w:ind w:left="2096"/>
        <w:jc w:val="left"/>
      </w:pPr>
      <w:r>
        <w:rPr/>
        <w:t>4.2.9.3 Análisis del grado de ejecución del capítulo VI de inversiones.</w:t>
      </w:r>
    </w:p>
    <w:p>
      <w:pPr>
        <w:pStyle w:val="BodyText"/>
        <w:spacing w:before="8"/>
        <w:rPr>
          <w:b/>
          <w:sz w:val="16"/>
        </w:rPr>
      </w:pPr>
    </w:p>
    <w:p>
      <w:pPr>
        <w:pStyle w:val="BodyText"/>
        <w:spacing w:line="242" w:lineRule="auto"/>
        <w:ind w:left="2096" w:right="1139" w:firstLine="604"/>
        <w:jc w:val="both"/>
      </w:pPr>
      <w:r>
        <w:rPr/>
        <w:t>La</w:t>
      </w:r>
      <w:r>
        <w:rPr>
          <w:spacing w:val="-8"/>
        </w:rPr>
        <w:t> </w:t>
      </w:r>
      <w:r>
        <w:rPr/>
        <w:t>evolución</w:t>
      </w:r>
      <w:r>
        <w:rPr>
          <w:spacing w:val="-8"/>
        </w:rPr>
        <w:t> </w:t>
      </w:r>
      <w:r>
        <w:rPr/>
        <w:t>de</w:t>
      </w:r>
      <w:r>
        <w:rPr>
          <w:spacing w:val="-8"/>
        </w:rPr>
        <w:t> </w:t>
      </w:r>
      <w:r>
        <w:rPr/>
        <w:t>la</w:t>
      </w:r>
      <w:r>
        <w:rPr>
          <w:spacing w:val="-7"/>
        </w:rPr>
        <w:t> </w:t>
      </w:r>
      <w:r>
        <w:rPr/>
        <w:t>ejecución</w:t>
      </w:r>
      <w:r>
        <w:rPr>
          <w:spacing w:val="-6"/>
        </w:rPr>
        <w:t> </w:t>
      </w:r>
      <w:r>
        <w:rPr/>
        <w:t>presupuestaria</w:t>
      </w:r>
      <w:r>
        <w:rPr>
          <w:spacing w:val="-7"/>
        </w:rPr>
        <w:t> </w:t>
      </w:r>
      <w:r>
        <w:rPr/>
        <w:t>del</w:t>
      </w:r>
      <w:r>
        <w:rPr>
          <w:spacing w:val="-8"/>
        </w:rPr>
        <w:t> </w:t>
      </w:r>
      <w:r>
        <w:rPr/>
        <w:t>capítulo</w:t>
      </w:r>
      <w:r>
        <w:rPr>
          <w:spacing w:val="-7"/>
        </w:rPr>
        <w:t> </w:t>
      </w:r>
      <w:r>
        <w:rPr/>
        <w:t>VI</w:t>
      </w:r>
      <w:r>
        <w:rPr>
          <w:spacing w:val="-9"/>
        </w:rPr>
        <w:t> </w:t>
      </w:r>
      <w:r>
        <w:rPr/>
        <w:t>de</w:t>
      </w:r>
      <w:r>
        <w:rPr>
          <w:spacing w:val="-7"/>
        </w:rPr>
        <w:t> </w:t>
      </w:r>
      <w:r>
        <w:rPr/>
        <w:t>gastos</w:t>
      </w:r>
      <w:r>
        <w:rPr>
          <w:spacing w:val="-7"/>
        </w:rPr>
        <w:t> </w:t>
      </w:r>
      <w:r>
        <w:rPr/>
        <w:t>(Inversiones reales) pone de manifiesto un grado de ejecución por debajo de la media del resto de gastos,</w:t>
      </w:r>
      <w:r>
        <w:rPr>
          <w:spacing w:val="24"/>
        </w:rPr>
        <w:t> </w:t>
      </w:r>
      <w:r>
        <w:rPr/>
        <w:t>que</w:t>
      </w:r>
      <w:r>
        <w:rPr>
          <w:spacing w:val="25"/>
        </w:rPr>
        <w:t> </w:t>
      </w:r>
      <w:r>
        <w:rPr/>
        <w:t>se</w:t>
      </w:r>
      <w:r>
        <w:rPr>
          <w:spacing w:val="24"/>
        </w:rPr>
        <w:t> </w:t>
      </w:r>
      <w:r>
        <w:rPr/>
        <w:t>repite</w:t>
      </w:r>
      <w:r>
        <w:rPr>
          <w:spacing w:val="25"/>
        </w:rPr>
        <w:t> </w:t>
      </w:r>
      <w:r>
        <w:rPr/>
        <w:t>año</w:t>
      </w:r>
      <w:r>
        <w:rPr>
          <w:spacing w:val="26"/>
        </w:rPr>
        <w:t> </w:t>
      </w:r>
      <w:r>
        <w:rPr/>
        <w:t>tras</w:t>
      </w:r>
      <w:r>
        <w:rPr>
          <w:spacing w:val="27"/>
        </w:rPr>
        <w:t> </w:t>
      </w:r>
      <w:r>
        <w:rPr/>
        <w:t>año.</w:t>
      </w:r>
      <w:r>
        <w:rPr>
          <w:spacing w:val="24"/>
        </w:rPr>
        <w:t> </w:t>
      </w:r>
      <w:r>
        <w:rPr/>
        <w:t>Por</w:t>
      </w:r>
      <w:r>
        <w:rPr>
          <w:spacing w:val="25"/>
        </w:rPr>
        <w:t> </w:t>
      </w:r>
      <w:r>
        <w:rPr/>
        <w:t>ello</w:t>
      </w:r>
      <w:r>
        <w:rPr>
          <w:spacing w:val="26"/>
        </w:rPr>
        <w:t> </w:t>
      </w:r>
      <w:r>
        <w:rPr/>
        <w:t>se</w:t>
      </w:r>
      <w:r>
        <w:rPr>
          <w:spacing w:val="25"/>
        </w:rPr>
        <w:t> </w:t>
      </w:r>
      <w:r>
        <w:rPr/>
        <w:t>ha</w:t>
      </w:r>
      <w:r>
        <w:rPr>
          <w:spacing w:val="26"/>
        </w:rPr>
        <w:t> </w:t>
      </w:r>
      <w:r>
        <w:rPr/>
        <w:t>realizado</w:t>
      </w:r>
      <w:r>
        <w:rPr>
          <w:spacing w:val="25"/>
        </w:rPr>
        <w:t> </w:t>
      </w:r>
      <w:r>
        <w:rPr/>
        <w:t>un</w:t>
      </w:r>
      <w:r>
        <w:rPr>
          <w:spacing w:val="24"/>
        </w:rPr>
        <w:t> </w:t>
      </w:r>
      <w:r>
        <w:rPr/>
        <w:t>análisis</w:t>
      </w:r>
      <w:r>
        <w:rPr>
          <w:spacing w:val="24"/>
        </w:rPr>
        <w:t> </w:t>
      </w:r>
      <w:r>
        <w:rPr/>
        <w:t>detallado</w:t>
      </w:r>
      <w:r>
        <w:rPr>
          <w:spacing w:val="24"/>
        </w:rPr>
        <w:t> </w:t>
      </w:r>
      <w:r>
        <w:rPr/>
        <w:t>por</w:t>
      </w:r>
    </w:p>
    <w:p>
      <w:pPr>
        <w:pStyle w:val="BodyText"/>
        <w:spacing w:before="90"/>
        <w:ind w:right="1136"/>
        <w:jc w:val="right"/>
      </w:pPr>
      <w:r>
        <w:rPr>
          <w:spacing w:val="-1"/>
        </w:rPr>
        <w:t>51</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13" name="image5.png"/>
                  <wp:cNvGraphicFramePr>
                    <a:graphicFrameLocks noChangeAspect="1"/>
                  </wp:cNvGraphicFramePr>
                  <a:graphic>
                    <a:graphicData uri="http://schemas.openxmlformats.org/drawingml/2006/picture">
                      <pic:pic>
                        <pic:nvPicPr>
                          <pic:cNvPr id="11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53/247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pPr>
      <w:r>
        <w:rPr/>
        <w:t>departamentos sobre el grado de ejecución de estos gastos.</w:t>
      </w:r>
    </w:p>
    <w:p>
      <w:pPr>
        <w:pStyle w:val="BodyText"/>
        <w:spacing w:before="8"/>
        <w:rPr>
          <w:sz w:val="11"/>
        </w:rPr>
      </w:pPr>
    </w:p>
    <w:p>
      <w:pPr>
        <w:spacing w:after="0"/>
        <w:rPr>
          <w:sz w:val="11"/>
        </w:rPr>
        <w:sectPr>
          <w:pgSz w:w="11900" w:h="16840"/>
          <w:pgMar w:header="859" w:footer="926" w:top="1760" w:bottom="1120" w:left="760" w:right="760"/>
        </w:sectPr>
      </w:pPr>
    </w:p>
    <w:p>
      <w:pPr>
        <w:pStyle w:val="Heading1"/>
        <w:spacing w:before="61"/>
        <w:ind w:left="2993"/>
        <w:jc w:val="left"/>
      </w:pPr>
      <w:r>
        <w:rPr/>
        <w:t>Comparativa del grado de ejecución de inversiones (Capítulo VI)</w:t>
      </w:r>
    </w:p>
    <w:p>
      <w:pPr>
        <w:pStyle w:val="BodyText"/>
        <w:rPr>
          <w:b/>
          <w:sz w:val="14"/>
        </w:rPr>
      </w:pPr>
      <w:r>
        <w:rPr/>
        <w:br w:type="column"/>
      </w:r>
      <w:r>
        <w:rPr>
          <w:b/>
          <w:sz w:val="14"/>
        </w:rPr>
      </w:r>
    </w:p>
    <w:p>
      <w:pPr>
        <w:pStyle w:val="BodyText"/>
        <w:spacing w:before="6"/>
        <w:rPr>
          <w:b/>
          <w:sz w:val="13"/>
        </w:rPr>
      </w:pPr>
    </w:p>
    <w:p>
      <w:pPr>
        <w:spacing w:before="0"/>
        <w:ind w:left="51" w:right="0" w:firstLine="0"/>
        <w:jc w:val="left"/>
        <w:rPr>
          <w:b/>
          <w:sz w:val="13"/>
        </w:rPr>
      </w:pPr>
      <w:r>
        <w:rPr>
          <w:b/>
          <w:w w:val="105"/>
          <w:sz w:val="13"/>
        </w:rPr>
        <w:t>Millones de €</w:t>
      </w:r>
    </w:p>
    <w:p>
      <w:pPr>
        <w:spacing w:after="0"/>
        <w:jc w:val="left"/>
        <w:rPr>
          <w:sz w:val="13"/>
        </w:rPr>
        <w:sectPr>
          <w:type w:val="continuous"/>
          <w:pgSz w:w="11900" w:h="16840"/>
          <w:pgMar w:top="1600" w:bottom="1120" w:left="760" w:right="760"/>
          <w:cols w:num="2" w:equalWidth="0">
            <w:col w:w="8338" w:space="40"/>
            <w:col w:w="2002"/>
          </w:cols>
        </w:sectPr>
      </w:pPr>
    </w:p>
    <w:tbl>
      <w:tblPr>
        <w:tblW w:w="0" w:type="auto"/>
        <w:jc w:val="left"/>
        <w:tblInd w:w="2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4"/>
        <w:gridCol w:w="486"/>
        <w:gridCol w:w="481"/>
        <w:gridCol w:w="476"/>
        <w:gridCol w:w="476"/>
        <w:gridCol w:w="491"/>
        <w:gridCol w:w="503"/>
        <w:gridCol w:w="498"/>
        <w:gridCol w:w="487"/>
        <w:gridCol w:w="1950"/>
      </w:tblGrid>
      <w:tr>
        <w:trPr>
          <w:trHeight w:val="224" w:hRule="atLeast"/>
        </w:trPr>
        <w:tc>
          <w:tcPr>
            <w:tcW w:w="7152" w:type="dxa"/>
            <w:gridSpan w:val="10"/>
            <w:tcBorders>
              <w:top w:val="single" w:sz="4" w:space="0" w:color="000000"/>
            </w:tcBorders>
            <w:shd w:val="clear" w:color="auto" w:fill="DEEAF6"/>
          </w:tcPr>
          <w:p>
            <w:pPr>
              <w:pStyle w:val="TableParagraph"/>
              <w:tabs>
                <w:tab w:pos="3500" w:val="left" w:leader="none"/>
                <w:tab w:pos="5274" w:val="left" w:leader="none"/>
              </w:tabs>
              <w:spacing w:line="123" w:lineRule="exact" w:before="80"/>
              <w:ind w:left="1779"/>
              <w:rPr>
                <w:b/>
                <w:sz w:val="13"/>
              </w:rPr>
            </w:pPr>
            <w:r>
              <w:rPr>
                <w:b/>
                <w:w w:val="105"/>
                <w:sz w:val="13"/>
                <w:u w:val="single"/>
              </w:rPr>
              <w:t>Crédito</w:t>
            </w:r>
            <w:r>
              <w:rPr>
                <w:b/>
                <w:spacing w:val="-6"/>
                <w:w w:val="105"/>
                <w:sz w:val="13"/>
                <w:u w:val="single"/>
              </w:rPr>
              <w:t> </w:t>
            </w:r>
            <w:r>
              <w:rPr>
                <w:b/>
                <w:w w:val="105"/>
                <w:sz w:val="13"/>
                <w:u w:val="single"/>
              </w:rPr>
              <w:t>definitivo</w:t>
            </w:r>
            <w:r>
              <w:rPr>
                <w:b/>
                <w:w w:val="105"/>
                <w:sz w:val="13"/>
              </w:rPr>
              <w:tab/>
            </w:r>
            <w:r>
              <w:rPr>
                <w:b/>
                <w:w w:val="105"/>
                <w:sz w:val="13"/>
                <w:u w:val="single"/>
              </w:rPr>
              <w:t>Obligaciones</w:t>
            </w:r>
            <w:r>
              <w:rPr>
                <w:b/>
                <w:spacing w:val="-10"/>
                <w:w w:val="105"/>
                <w:sz w:val="13"/>
                <w:u w:val="single"/>
              </w:rPr>
              <w:t> </w:t>
            </w:r>
            <w:r>
              <w:rPr>
                <w:b/>
                <w:w w:val="105"/>
                <w:sz w:val="13"/>
                <w:u w:val="single"/>
              </w:rPr>
              <w:t>reconocidas</w:t>
            </w:r>
            <w:r>
              <w:rPr>
                <w:b/>
                <w:w w:val="105"/>
                <w:sz w:val="13"/>
              </w:rPr>
              <w:tab/>
            </w:r>
            <w:r>
              <w:rPr>
                <w:b/>
                <w:w w:val="105"/>
                <w:sz w:val="13"/>
                <w:u w:val="single"/>
              </w:rPr>
              <w:t>Grado de ejecución:</w:t>
            </w:r>
            <w:r>
              <w:rPr>
                <w:b/>
                <w:spacing w:val="-19"/>
                <w:w w:val="105"/>
                <w:sz w:val="13"/>
                <w:u w:val="single"/>
              </w:rPr>
              <w:t> </w:t>
            </w:r>
            <w:r>
              <w:rPr>
                <w:b/>
                <w:w w:val="105"/>
                <w:sz w:val="13"/>
                <w:u w:val="single"/>
              </w:rPr>
              <w:t>OR/CD*100</w:t>
            </w:r>
          </w:p>
        </w:tc>
      </w:tr>
      <w:tr>
        <w:trPr>
          <w:trHeight w:val="337" w:hRule="atLeast"/>
        </w:trPr>
        <w:tc>
          <w:tcPr>
            <w:tcW w:w="1304" w:type="dxa"/>
            <w:shd w:val="clear" w:color="auto" w:fill="DEEAF6"/>
          </w:tcPr>
          <w:p>
            <w:pPr>
              <w:pStyle w:val="TableParagraph"/>
              <w:spacing w:line="136" w:lineRule="exact"/>
              <w:ind w:left="449"/>
              <w:rPr>
                <w:b/>
                <w:sz w:val="13"/>
              </w:rPr>
            </w:pPr>
            <w:r>
              <w:rPr>
                <w:b/>
                <w:w w:val="105"/>
                <w:sz w:val="13"/>
              </w:rPr>
              <w:t>Sección</w:t>
            </w:r>
          </w:p>
        </w:tc>
        <w:tc>
          <w:tcPr>
            <w:tcW w:w="486" w:type="dxa"/>
            <w:shd w:val="clear" w:color="auto" w:fill="DEEAF6"/>
          </w:tcPr>
          <w:p>
            <w:pPr>
              <w:pStyle w:val="TableParagraph"/>
              <w:spacing w:before="4"/>
              <w:rPr>
                <w:b/>
                <w:sz w:val="11"/>
              </w:rPr>
            </w:pPr>
          </w:p>
          <w:p>
            <w:pPr>
              <w:pStyle w:val="TableParagraph"/>
              <w:ind w:right="46"/>
              <w:jc w:val="right"/>
              <w:rPr>
                <w:b/>
                <w:sz w:val="13"/>
              </w:rPr>
            </w:pPr>
            <w:r>
              <w:rPr>
                <w:b/>
                <w:sz w:val="13"/>
              </w:rPr>
              <w:t>2019</w:t>
            </w:r>
          </w:p>
        </w:tc>
        <w:tc>
          <w:tcPr>
            <w:tcW w:w="481" w:type="dxa"/>
            <w:shd w:val="clear" w:color="auto" w:fill="DEEAF6"/>
          </w:tcPr>
          <w:p>
            <w:pPr>
              <w:pStyle w:val="TableParagraph"/>
              <w:spacing w:before="4"/>
              <w:rPr>
                <w:b/>
                <w:sz w:val="11"/>
              </w:rPr>
            </w:pPr>
          </w:p>
          <w:p>
            <w:pPr>
              <w:pStyle w:val="TableParagraph"/>
              <w:ind w:right="57"/>
              <w:jc w:val="right"/>
              <w:rPr>
                <w:b/>
                <w:sz w:val="13"/>
              </w:rPr>
            </w:pPr>
            <w:r>
              <w:rPr>
                <w:b/>
                <w:sz w:val="13"/>
              </w:rPr>
              <w:t>2020</w:t>
            </w:r>
          </w:p>
        </w:tc>
        <w:tc>
          <w:tcPr>
            <w:tcW w:w="476" w:type="dxa"/>
            <w:shd w:val="clear" w:color="auto" w:fill="DEEAF6"/>
          </w:tcPr>
          <w:p>
            <w:pPr>
              <w:pStyle w:val="TableParagraph"/>
              <w:spacing w:before="4"/>
              <w:rPr>
                <w:b/>
                <w:sz w:val="11"/>
              </w:rPr>
            </w:pPr>
          </w:p>
          <w:p>
            <w:pPr>
              <w:pStyle w:val="TableParagraph"/>
              <w:ind w:left="135" w:right="22"/>
              <w:jc w:val="center"/>
              <w:rPr>
                <w:b/>
                <w:sz w:val="13"/>
              </w:rPr>
            </w:pPr>
            <w:r>
              <w:rPr>
                <w:b/>
                <w:w w:val="105"/>
                <w:sz w:val="13"/>
              </w:rPr>
              <w:t>2021</w:t>
            </w:r>
          </w:p>
        </w:tc>
        <w:tc>
          <w:tcPr>
            <w:tcW w:w="476" w:type="dxa"/>
            <w:shd w:val="clear" w:color="auto" w:fill="DEEAF6"/>
          </w:tcPr>
          <w:p>
            <w:pPr>
              <w:pStyle w:val="TableParagraph"/>
              <w:spacing w:before="4"/>
              <w:rPr>
                <w:b/>
                <w:sz w:val="11"/>
              </w:rPr>
            </w:pPr>
          </w:p>
          <w:p>
            <w:pPr>
              <w:pStyle w:val="TableParagraph"/>
              <w:ind w:right="56"/>
              <w:jc w:val="right"/>
              <w:rPr>
                <w:b/>
                <w:sz w:val="13"/>
              </w:rPr>
            </w:pPr>
            <w:r>
              <w:rPr>
                <w:b/>
                <w:sz w:val="13"/>
              </w:rPr>
              <w:t>2022</w:t>
            </w:r>
          </w:p>
        </w:tc>
        <w:tc>
          <w:tcPr>
            <w:tcW w:w="491" w:type="dxa"/>
            <w:shd w:val="clear" w:color="auto" w:fill="DEEAF6"/>
          </w:tcPr>
          <w:p>
            <w:pPr>
              <w:pStyle w:val="TableParagraph"/>
              <w:spacing w:before="4"/>
              <w:rPr>
                <w:b/>
                <w:sz w:val="11"/>
              </w:rPr>
            </w:pPr>
          </w:p>
          <w:p>
            <w:pPr>
              <w:pStyle w:val="TableParagraph"/>
              <w:ind w:right="57"/>
              <w:jc w:val="right"/>
              <w:rPr>
                <w:b/>
                <w:sz w:val="13"/>
              </w:rPr>
            </w:pPr>
            <w:r>
              <w:rPr>
                <w:b/>
                <w:sz w:val="13"/>
              </w:rPr>
              <w:t>2019</w:t>
            </w:r>
          </w:p>
        </w:tc>
        <w:tc>
          <w:tcPr>
            <w:tcW w:w="503" w:type="dxa"/>
            <w:shd w:val="clear" w:color="auto" w:fill="DEEAF6"/>
          </w:tcPr>
          <w:p>
            <w:pPr>
              <w:pStyle w:val="TableParagraph"/>
              <w:spacing w:before="4"/>
              <w:rPr>
                <w:b/>
                <w:sz w:val="11"/>
              </w:rPr>
            </w:pPr>
          </w:p>
          <w:p>
            <w:pPr>
              <w:pStyle w:val="TableParagraph"/>
              <w:ind w:right="69"/>
              <w:jc w:val="right"/>
              <w:rPr>
                <w:b/>
                <w:sz w:val="13"/>
              </w:rPr>
            </w:pPr>
            <w:r>
              <w:rPr>
                <w:b/>
                <w:sz w:val="13"/>
              </w:rPr>
              <w:t>2020</w:t>
            </w:r>
          </w:p>
        </w:tc>
        <w:tc>
          <w:tcPr>
            <w:tcW w:w="498" w:type="dxa"/>
            <w:shd w:val="clear" w:color="auto" w:fill="DEEAF6"/>
          </w:tcPr>
          <w:p>
            <w:pPr>
              <w:pStyle w:val="TableParagraph"/>
              <w:spacing w:before="4"/>
              <w:rPr>
                <w:b/>
                <w:sz w:val="11"/>
              </w:rPr>
            </w:pPr>
          </w:p>
          <w:p>
            <w:pPr>
              <w:pStyle w:val="TableParagraph"/>
              <w:ind w:right="53"/>
              <w:jc w:val="right"/>
              <w:rPr>
                <w:b/>
                <w:sz w:val="13"/>
              </w:rPr>
            </w:pPr>
            <w:r>
              <w:rPr>
                <w:b/>
                <w:sz w:val="13"/>
              </w:rPr>
              <w:t>2021</w:t>
            </w:r>
          </w:p>
        </w:tc>
        <w:tc>
          <w:tcPr>
            <w:tcW w:w="487" w:type="dxa"/>
            <w:shd w:val="clear" w:color="auto" w:fill="DEEAF6"/>
          </w:tcPr>
          <w:p>
            <w:pPr>
              <w:pStyle w:val="TableParagraph"/>
              <w:spacing w:before="4"/>
              <w:rPr>
                <w:b/>
                <w:sz w:val="11"/>
              </w:rPr>
            </w:pPr>
          </w:p>
          <w:p>
            <w:pPr>
              <w:pStyle w:val="TableParagraph"/>
              <w:ind w:right="58"/>
              <w:jc w:val="right"/>
              <w:rPr>
                <w:b/>
                <w:sz w:val="13"/>
              </w:rPr>
            </w:pPr>
            <w:r>
              <w:rPr>
                <w:b/>
                <w:sz w:val="13"/>
              </w:rPr>
              <w:t>2022</w:t>
            </w:r>
          </w:p>
        </w:tc>
        <w:tc>
          <w:tcPr>
            <w:tcW w:w="1950" w:type="dxa"/>
            <w:shd w:val="clear" w:color="auto" w:fill="DEEAF6"/>
          </w:tcPr>
          <w:p>
            <w:pPr>
              <w:pStyle w:val="TableParagraph"/>
              <w:spacing w:before="4"/>
              <w:rPr>
                <w:b/>
                <w:sz w:val="11"/>
              </w:rPr>
            </w:pPr>
          </w:p>
          <w:p>
            <w:pPr>
              <w:pStyle w:val="TableParagraph"/>
              <w:tabs>
                <w:tab w:pos="662" w:val="left" w:leader="none"/>
                <w:tab w:pos="1138" w:val="left" w:leader="none"/>
                <w:tab w:pos="1616" w:val="left" w:leader="none"/>
              </w:tabs>
              <w:ind w:left="187"/>
              <w:rPr>
                <w:b/>
                <w:sz w:val="13"/>
              </w:rPr>
            </w:pPr>
            <w:r>
              <w:rPr>
                <w:b/>
                <w:w w:val="105"/>
                <w:sz w:val="13"/>
              </w:rPr>
              <w:t>2019</w:t>
              <w:tab/>
              <w:t>2020</w:t>
              <w:tab/>
              <w:t>2021</w:t>
              <w:tab/>
              <w:t>2022</w:t>
            </w:r>
          </w:p>
        </w:tc>
      </w:tr>
      <w:tr>
        <w:trPr>
          <w:trHeight w:val="188" w:hRule="atLeast"/>
        </w:trPr>
        <w:tc>
          <w:tcPr>
            <w:tcW w:w="1304" w:type="dxa"/>
          </w:tcPr>
          <w:p>
            <w:pPr>
              <w:pStyle w:val="TableParagraph"/>
              <w:spacing w:before="3"/>
              <w:ind w:left="64"/>
              <w:rPr>
                <w:sz w:val="13"/>
              </w:rPr>
            </w:pPr>
            <w:r>
              <w:rPr>
                <w:w w:val="105"/>
                <w:sz w:val="13"/>
              </w:rPr>
              <w:t>01 Parlamento</w:t>
            </w:r>
          </w:p>
        </w:tc>
        <w:tc>
          <w:tcPr>
            <w:tcW w:w="486" w:type="dxa"/>
          </w:tcPr>
          <w:p>
            <w:pPr>
              <w:pStyle w:val="TableParagraph"/>
              <w:spacing w:before="3"/>
              <w:ind w:right="46"/>
              <w:jc w:val="right"/>
              <w:rPr>
                <w:sz w:val="13"/>
              </w:rPr>
            </w:pPr>
            <w:r>
              <w:rPr>
                <w:sz w:val="13"/>
              </w:rPr>
              <w:t>3,51</w:t>
            </w:r>
          </w:p>
        </w:tc>
        <w:tc>
          <w:tcPr>
            <w:tcW w:w="481" w:type="dxa"/>
          </w:tcPr>
          <w:p>
            <w:pPr>
              <w:pStyle w:val="TableParagraph"/>
              <w:spacing w:before="3"/>
              <w:ind w:right="56"/>
              <w:jc w:val="right"/>
              <w:rPr>
                <w:sz w:val="13"/>
              </w:rPr>
            </w:pPr>
            <w:r>
              <w:rPr>
                <w:sz w:val="13"/>
              </w:rPr>
              <w:t>4,88</w:t>
            </w:r>
          </w:p>
        </w:tc>
        <w:tc>
          <w:tcPr>
            <w:tcW w:w="476" w:type="dxa"/>
          </w:tcPr>
          <w:p>
            <w:pPr>
              <w:pStyle w:val="TableParagraph"/>
              <w:spacing w:before="3"/>
              <w:ind w:left="169" w:right="22"/>
              <w:jc w:val="center"/>
              <w:rPr>
                <w:sz w:val="13"/>
              </w:rPr>
            </w:pPr>
            <w:r>
              <w:rPr>
                <w:w w:val="105"/>
                <w:sz w:val="13"/>
              </w:rPr>
              <w:t>6,73</w:t>
            </w:r>
          </w:p>
        </w:tc>
        <w:tc>
          <w:tcPr>
            <w:tcW w:w="476" w:type="dxa"/>
          </w:tcPr>
          <w:p>
            <w:pPr>
              <w:pStyle w:val="TableParagraph"/>
              <w:spacing w:before="3"/>
              <w:ind w:right="58"/>
              <w:jc w:val="right"/>
              <w:rPr>
                <w:sz w:val="13"/>
              </w:rPr>
            </w:pPr>
            <w:r>
              <w:rPr>
                <w:w w:val="103"/>
                <w:sz w:val="13"/>
              </w:rPr>
              <w:t>0</w:t>
            </w:r>
          </w:p>
        </w:tc>
        <w:tc>
          <w:tcPr>
            <w:tcW w:w="491" w:type="dxa"/>
          </w:tcPr>
          <w:p>
            <w:pPr>
              <w:pStyle w:val="TableParagraph"/>
              <w:spacing w:before="3"/>
              <w:ind w:right="58"/>
              <w:jc w:val="right"/>
              <w:rPr>
                <w:sz w:val="13"/>
              </w:rPr>
            </w:pPr>
            <w:r>
              <w:rPr>
                <w:sz w:val="13"/>
              </w:rPr>
              <w:t>0,55</w:t>
            </w:r>
          </w:p>
        </w:tc>
        <w:tc>
          <w:tcPr>
            <w:tcW w:w="503" w:type="dxa"/>
          </w:tcPr>
          <w:p>
            <w:pPr>
              <w:pStyle w:val="TableParagraph"/>
              <w:spacing w:before="3"/>
              <w:ind w:right="69"/>
              <w:jc w:val="right"/>
              <w:rPr>
                <w:sz w:val="13"/>
              </w:rPr>
            </w:pPr>
            <w:r>
              <w:rPr>
                <w:sz w:val="13"/>
              </w:rPr>
              <w:t>1,21</w:t>
            </w:r>
          </w:p>
        </w:tc>
        <w:tc>
          <w:tcPr>
            <w:tcW w:w="498" w:type="dxa"/>
          </w:tcPr>
          <w:p>
            <w:pPr>
              <w:pStyle w:val="TableParagraph"/>
              <w:spacing w:before="3"/>
              <w:ind w:right="53"/>
              <w:jc w:val="right"/>
              <w:rPr>
                <w:sz w:val="13"/>
              </w:rPr>
            </w:pPr>
            <w:r>
              <w:rPr>
                <w:sz w:val="13"/>
              </w:rPr>
              <w:t>1,9</w:t>
            </w:r>
          </w:p>
        </w:tc>
        <w:tc>
          <w:tcPr>
            <w:tcW w:w="487" w:type="dxa"/>
          </w:tcPr>
          <w:p>
            <w:pPr>
              <w:pStyle w:val="TableParagraph"/>
              <w:spacing w:before="3"/>
              <w:ind w:right="60"/>
              <w:jc w:val="right"/>
              <w:rPr>
                <w:sz w:val="13"/>
              </w:rPr>
            </w:pPr>
            <w:r>
              <w:rPr>
                <w:w w:val="103"/>
                <w:sz w:val="13"/>
              </w:rPr>
              <w:t>0</w:t>
            </w:r>
          </w:p>
        </w:tc>
        <w:tc>
          <w:tcPr>
            <w:tcW w:w="1950" w:type="dxa"/>
          </w:tcPr>
          <w:p>
            <w:pPr>
              <w:pStyle w:val="TableParagraph"/>
              <w:spacing w:before="3"/>
              <w:ind w:left="58"/>
              <w:rPr>
                <w:sz w:val="13"/>
              </w:rPr>
            </w:pPr>
            <w:r>
              <w:rPr>
                <w:w w:val="105"/>
                <w:sz w:val="13"/>
              </w:rPr>
              <w:t>15,70% 24,78% 28,15%</w:t>
            </w:r>
          </w:p>
        </w:tc>
      </w:tr>
      <w:tr>
        <w:trPr>
          <w:trHeight w:val="177" w:hRule="atLeast"/>
        </w:trPr>
        <w:tc>
          <w:tcPr>
            <w:tcW w:w="1304" w:type="dxa"/>
          </w:tcPr>
          <w:p>
            <w:pPr>
              <w:pStyle w:val="TableParagraph"/>
              <w:spacing w:line="152" w:lineRule="exact" w:before="5"/>
              <w:ind w:left="64"/>
              <w:rPr>
                <w:sz w:val="13"/>
              </w:rPr>
            </w:pPr>
            <w:r>
              <w:rPr>
                <w:w w:val="105"/>
                <w:sz w:val="13"/>
              </w:rPr>
              <w:t>06 Presidencia de</w:t>
            </w:r>
          </w:p>
        </w:tc>
        <w:tc>
          <w:tcPr>
            <w:tcW w:w="486" w:type="dxa"/>
          </w:tcPr>
          <w:p>
            <w:pPr>
              <w:pStyle w:val="TableParagraph"/>
              <w:spacing w:line="152" w:lineRule="exact" w:before="5"/>
              <w:ind w:right="48"/>
              <w:jc w:val="right"/>
              <w:rPr>
                <w:sz w:val="13"/>
              </w:rPr>
            </w:pPr>
            <w:r>
              <w:rPr>
                <w:w w:val="103"/>
                <w:sz w:val="13"/>
              </w:rPr>
              <w:t>1</w:t>
            </w:r>
          </w:p>
        </w:tc>
        <w:tc>
          <w:tcPr>
            <w:tcW w:w="481" w:type="dxa"/>
          </w:tcPr>
          <w:p>
            <w:pPr>
              <w:pStyle w:val="TableParagraph"/>
              <w:spacing w:line="152" w:lineRule="exact" w:before="5"/>
              <w:ind w:right="56"/>
              <w:jc w:val="right"/>
              <w:rPr>
                <w:sz w:val="13"/>
              </w:rPr>
            </w:pPr>
            <w:r>
              <w:rPr>
                <w:sz w:val="13"/>
              </w:rPr>
              <w:t>1,7</w:t>
            </w:r>
          </w:p>
        </w:tc>
        <w:tc>
          <w:tcPr>
            <w:tcW w:w="476" w:type="dxa"/>
          </w:tcPr>
          <w:p>
            <w:pPr>
              <w:pStyle w:val="TableParagraph"/>
              <w:spacing w:line="152" w:lineRule="exact" w:before="5"/>
              <w:ind w:left="169" w:right="22"/>
              <w:jc w:val="center"/>
              <w:rPr>
                <w:sz w:val="13"/>
              </w:rPr>
            </w:pPr>
            <w:r>
              <w:rPr>
                <w:w w:val="105"/>
                <w:sz w:val="13"/>
              </w:rPr>
              <w:t>2,17</w:t>
            </w:r>
          </w:p>
        </w:tc>
        <w:tc>
          <w:tcPr>
            <w:tcW w:w="476" w:type="dxa"/>
          </w:tcPr>
          <w:p>
            <w:pPr>
              <w:pStyle w:val="TableParagraph"/>
              <w:spacing w:line="152" w:lineRule="exact" w:before="5"/>
              <w:ind w:right="56"/>
              <w:jc w:val="right"/>
              <w:rPr>
                <w:sz w:val="13"/>
              </w:rPr>
            </w:pPr>
            <w:r>
              <w:rPr>
                <w:sz w:val="13"/>
              </w:rPr>
              <w:t>3,04</w:t>
            </w:r>
          </w:p>
        </w:tc>
        <w:tc>
          <w:tcPr>
            <w:tcW w:w="491" w:type="dxa"/>
          </w:tcPr>
          <w:p>
            <w:pPr>
              <w:pStyle w:val="TableParagraph"/>
              <w:spacing w:line="152" w:lineRule="exact" w:before="5"/>
              <w:ind w:right="58"/>
              <w:jc w:val="right"/>
              <w:rPr>
                <w:sz w:val="13"/>
              </w:rPr>
            </w:pPr>
            <w:r>
              <w:rPr>
                <w:sz w:val="13"/>
              </w:rPr>
              <w:t>0,88</w:t>
            </w:r>
          </w:p>
        </w:tc>
        <w:tc>
          <w:tcPr>
            <w:tcW w:w="503" w:type="dxa"/>
          </w:tcPr>
          <w:p>
            <w:pPr>
              <w:pStyle w:val="TableParagraph"/>
              <w:spacing w:line="152" w:lineRule="exact" w:before="5"/>
              <w:ind w:right="69"/>
              <w:jc w:val="right"/>
              <w:rPr>
                <w:sz w:val="13"/>
              </w:rPr>
            </w:pPr>
            <w:r>
              <w:rPr>
                <w:sz w:val="13"/>
              </w:rPr>
              <w:t>1,36</w:t>
            </w:r>
          </w:p>
        </w:tc>
        <w:tc>
          <w:tcPr>
            <w:tcW w:w="498" w:type="dxa"/>
          </w:tcPr>
          <w:p>
            <w:pPr>
              <w:pStyle w:val="TableParagraph"/>
              <w:spacing w:line="152" w:lineRule="exact" w:before="5"/>
              <w:ind w:right="53"/>
              <w:jc w:val="right"/>
              <w:rPr>
                <w:sz w:val="13"/>
              </w:rPr>
            </w:pPr>
            <w:r>
              <w:rPr>
                <w:sz w:val="13"/>
              </w:rPr>
              <w:t>1,69</w:t>
            </w:r>
          </w:p>
        </w:tc>
        <w:tc>
          <w:tcPr>
            <w:tcW w:w="487" w:type="dxa"/>
          </w:tcPr>
          <w:p>
            <w:pPr>
              <w:pStyle w:val="TableParagraph"/>
              <w:spacing w:line="152" w:lineRule="exact" w:before="5"/>
              <w:ind w:right="58"/>
              <w:jc w:val="right"/>
              <w:rPr>
                <w:sz w:val="13"/>
              </w:rPr>
            </w:pPr>
            <w:r>
              <w:rPr>
                <w:sz w:val="13"/>
              </w:rPr>
              <w:t>2,25</w:t>
            </w:r>
          </w:p>
        </w:tc>
        <w:tc>
          <w:tcPr>
            <w:tcW w:w="1950" w:type="dxa"/>
          </w:tcPr>
          <w:p>
            <w:pPr>
              <w:pStyle w:val="TableParagraph"/>
              <w:spacing w:line="152" w:lineRule="exact" w:before="5"/>
              <w:ind w:left="58"/>
              <w:rPr>
                <w:sz w:val="13"/>
              </w:rPr>
            </w:pPr>
            <w:r>
              <w:rPr>
                <w:w w:val="105"/>
                <w:sz w:val="13"/>
              </w:rPr>
              <w:t>87,84% 79,78% 77,54% 73,86%</w:t>
            </w:r>
          </w:p>
        </w:tc>
      </w:tr>
      <w:tr>
        <w:trPr>
          <w:trHeight w:val="327" w:hRule="atLeast"/>
        </w:trPr>
        <w:tc>
          <w:tcPr>
            <w:tcW w:w="1304" w:type="dxa"/>
          </w:tcPr>
          <w:p>
            <w:pPr>
              <w:pStyle w:val="TableParagraph"/>
              <w:spacing w:line="150" w:lineRule="exact"/>
              <w:ind w:left="64"/>
              <w:rPr>
                <w:sz w:val="13"/>
              </w:rPr>
            </w:pPr>
            <w:r>
              <w:rPr>
                <w:w w:val="105"/>
                <w:sz w:val="13"/>
              </w:rPr>
              <w:t>Gobierno</w:t>
            </w:r>
          </w:p>
          <w:p>
            <w:pPr>
              <w:pStyle w:val="TableParagraph"/>
              <w:spacing w:line="153" w:lineRule="exact" w:before="4"/>
              <w:ind w:left="64"/>
              <w:rPr>
                <w:sz w:val="13"/>
              </w:rPr>
            </w:pPr>
            <w:r>
              <w:rPr>
                <w:w w:val="105"/>
                <w:sz w:val="13"/>
              </w:rPr>
              <w:t>08 Administraciones</w:t>
            </w:r>
          </w:p>
        </w:tc>
        <w:tc>
          <w:tcPr>
            <w:tcW w:w="486" w:type="dxa"/>
          </w:tcPr>
          <w:p>
            <w:pPr>
              <w:pStyle w:val="TableParagraph"/>
              <w:spacing w:before="8"/>
              <w:rPr>
                <w:b/>
                <w:sz w:val="12"/>
              </w:rPr>
            </w:pPr>
          </w:p>
          <w:p>
            <w:pPr>
              <w:pStyle w:val="TableParagraph"/>
              <w:spacing w:line="153" w:lineRule="exact"/>
              <w:ind w:right="46"/>
              <w:jc w:val="right"/>
              <w:rPr>
                <w:sz w:val="13"/>
              </w:rPr>
            </w:pPr>
            <w:r>
              <w:rPr>
                <w:sz w:val="13"/>
              </w:rPr>
              <w:t>23,51</w:t>
            </w:r>
          </w:p>
        </w:tc>
        <w:tc>
          <w:tcPr>
            <w:tcW w:w="481" w:type="dxa"/>
          </w:tcPr>
          <w:p>
            <w:pPr>
              <w:pStyle w:val="TableParagraph"/>
              <w:spacing w:before="8"/>
              <w:rPr>
                <w:b/>
                <w:sz w:val="12"/>
              </w:rPr>
            </w:pPr>
          </w:p>
          <w:p>
            <w:pPr>
              <w:pStyle w:val="TableParagraph"/>
              <w:spacing w:line="153" w:lineRule="exact"/>
              <w:ind w:right="56"/>
              <w:jc w:val="right"/>
              <w:rPr>
                <w:sz w:val="13"/>
              </w:rPr>
            </w:pPr>
            <w:r>
              <w:rPr>
                <w:sz w:val="13"/>
              </w:rPr>
              <w:t>35,68</w:t>
            </w:r>
          </w:p>
        </w:tc>
        <w:tc>
          <w:tcPr>
            <w:tcW w:w="476" w:type="dxa"/>
          </w:tcPr>
          <w:p>
            <w:pPr>
              <w:pStyle w:val="TableParagraph"/>
              <w:spacing w:before="8"/>
              <w:rPr>
                <w:b/>
                <w:sz w:val="12"/>
              </w:rPr>
            </w:pPr>
          </w:p>
          <w:p>
            <w:pPr>
              <w:pStyle w:val="TableParagraph"/>
              <w:spacing w:line="153" w:lineRule="exact"/>
              <w:ind w:left="98" w:right="20"/>
              <w:jc w:val="center"/>
              <w:rPr>
                <w:sz w:val="13"/>
              </w:rPr>
            </w:pPr>
            <w:r>
              <w:rPr>
                <w:w w:val="105"/>
                <w:sz w:val="13"/>
              </w:rPr>
              <w:t>37,54</w:t>
            </w:r>
          </w:p>
        </w:tc>
        <w:tc>
          <w:tcPr>
            <w:tcW w:w="476" w:type="dxa"/>
          </w:tcPr>
          <w:p>
            <w:pPr>
              <w:pStyle w:val="TableParagraph"/>
              <w:spacing w:before="8"/>
              <w:rPr>
                <w:b/>
                <w:sz w:val="12"/>
              </w:rPr>
            </w:pPr>
          </w:p>
          <w:p>
            <w:pPr>
              <w:pStyle w:val="TableParagraph"/>
              <w:spacing w:line="153" w:lineRule="exact"/>
              <w:ind w:right="56"/>
              <w:jc w:val="right"/>
              <w:rPr>
                <w:sz w:val="13"/>
              </w:rPr>
            </w:pPr>
            <w:r>
              <w:rPr>
                <w:sz w:val="13"/>
              </w:rPr>
              <w:t>55,81</w:t>
            </w:r>
          </w:p>
        </w:tc>
        <w:tc>
          <w:tcPr>
            <w:tcW w:w="491" w:type="dxa"/>
          </w:tcPr>
          <w:p>
            <w:pPr>
              <w:pStyle w:val="TableParagraph"/>
              <w:spacing w:before="8"/>
              <w:rPr>
                <w:b/>
                <w:sz w:val="12"/>
              </w:rPr>
            </w:pPr>
          </w:p>
          <w:p>
            <w:pPr>
              <w:pStyle w:val="TableParagraph"/>
              <w:spacing w:line="153" w:lineRule="exact"/>
              <w:ind w:right="58"/>
              <w:jc w:val="right"/>
              <w:rPr>
                <w:sz w:val="13"/>
              </w:rPr>
            </w:pPr>
            <w:r>
              <w:rPr>
                <w:sz w:val="13"/>
              </w:rPr>
              <w:t>18,67</w:t>
            </w:r>
          </w:p>
        </w:tc>
        <w:tc>
          <w:tcPr>
            <w:tcW w:w="503" w:type="dxa"/>
          </w:tcPr>
          <w:p>
            <w:pPr>
              <w:pStyle w:val="TableParagraph"/>
              <w:spacing w:before="8"/>
              <w:rPr>
                <w:b/>
                <w:sz w:val="12"/>
              </w:rPr>
            </w:pPr>
          </w:p>
          <w:p>
            <w:pPr>
              <w:pStyle w:val="TableParagraph"/>
              <w:spacing w:line="153" w:lineRule="exact"/>
              <w:ind w:right="69"/>
              <w:jc w:val="right"/>
              <w:rPr>
                <w:sz w:val="13"/>
              </w:rPr>
            </w:pPr>
            <w:r>
              <w:rPr>
                <w:sz w:val="13"/>
              </w:rPr>
              <w:t>28,25</w:t>
            </w:r>
          </w:p>
        </w:tc>
        <w:tc>
          <w:tcPr>
            <w:tcW w:w="498" w:type="dxa"/>
          </w:tcPr>
          <w:p>
            <w:pPr>
              <w:pStyle w:val="TableParagraph"/>
              <w:spacing w:before="8"/>
              <w:rPr>
                <w:b/>
                <w:sz w:val="12"/>
              </w:rPr>
            </w:pPr>
          </w:p>
          <w:p>
            <w:pPr>
              <w:pStyle w:val="TableParagraph"/>
              <w:spacing w:line="153" w:lineRule="exact"/>
              <w:ind w:right="53"/>
              <w:jc w:val="right"/>
              <w:rPr>
                <w:sz w:val="13"/>
              </w:rPr>
            </w:pPr>
            <w:r>
              <w:rPr>
                <w:sz w:val="13"/>
              </w:rPr>
              <w:t>24,33</w:t>
            </w:r>
          </w:p>
        </w:tc>
        <w:tc>
          <w:tcPr>
            <w:tcW w:w="487" w:type="dxa"/>
          </w:tcPr>
          <w:p>
            <w:pPr>
              <w:pStyle w:val="TableParagraph"/>
              <w:spacing w:before="8"/>
              <w:rPr>
                <w:b/>
                <w:sz w:val="12"/>
              </w:rPr>
            </w:pPr>
          </w:p>
          <w:p>
            <w:pPr>
              <w:pStyle w:val="TableParagraph"/>
              <w:spacing w:line="153" w:lineRule="exact"/>
              <w:ind w:right="58"/>
              <w:jc w:val="right"/>
              <w:rPr>
                <w:sz w:val="13"/>
              </w:rPr>
            </w:pPr>
            <w:r>
              <w:rPr>
                <w:sz w:val="13"/>
              </w:rPr>
              <w:t>31,47</w:t>
            </w:r>
          </w:p>
        </w:tc>
        <w:tc>
          <w:tcPr>
            <w:tcW w:w="1950" w:type="dxa"/>
          </w:tcPr>
          <w:p>
            <w:pPr>
              <w:pStyle w:val="TableParagraph"/>
              <w:spacing w:before="8"/>
              <w:rPr>
                <w:b/>
                <w:sz w:val="12"/>
              </w:rPr>
            </w:pPr>
          </w:p>
          <w:p>
            <w:pPr>
              <w:pStyle w:val="TableParagraph"/>
              <w:spacing w:line="153" w:lineRule="exact"/>
              <w:ind w:left="58"/>
              <w:rPr>
                <w:sz w:val="13"/>
              </w:rPr>
            </w:pPr>
            <w:r>
              <w:rPr>
                <w:w w:val="105"/>
                <w:sz w:val="13"/>
              </w:rPr>
              <w:t>79,43% 79,19% 64,82% 56,39%</w:t>
            </w:r>
          </w:p>
        </w:tc>
      </w:tr>
      <w:tr>
        <w:trPr>
          <w:trHeight w:val="493" w:hRule="atLeast"/>
        </w:trPr>
        <w:tc>
          <w:tcPr>
            <w:tcW w:w="1304" w:type="dxa"/>
          </w:tcPr>
          <w:p>
            <w:pPr>
              <w:pStyle w:val="TableParagraph"/>
              <w:spacing w:line="247" w:lineRule="auto"/>
              <w:ind w:left="64"/>
              <w:rPr>
                <w:sz w:val="13"/>
              </w:rPr>
            </w:pPr>
            <w:r>
              <w:rPr>
                <w:w w:val="105"/>
                <w:sz w:val="13"/>
              </w:rPr>
              <w:t>Públicas, Justicia y Seguridad</w:t>
            </w:r>
          </w:p>
          <w:p>
            <w:pPr>
              <w:pStyle w:val="TableParagraph"/>
              <w:spacing w:line="152" w:lineRule="exact"/>
              <w:ind w:left="64"/>
              <w:rPr>
                <w:sz w:val="13"/>
              </w:rPr>
            </w:pPr>
            <w:r>
              <w:rPr>
                <w:w w:val="105"/>
                <w:sz w:val="13"/>
              </w:rPr>
              <w:t>10 Hacienda,</w:t>
            </w:r>
          </w:p>
        </w:tc>
        <w:tc>
          <w:tcPr>
            <w:tcW w:w="486" w:type="dxa"/>
          </w:tcPr>
          <w:p>
            <w:pPr>
              <w:pStyle w:val="TableParagraph"/>
              <w:rPr>
                <w:b/>
                <w:sz w:val="14"/>
              </w:rPr>
            </w:pPr>
          </w:p>
          <w:p>
            <w:pPr>
              <w:pStyle w:val="TableParagraph"/>
              <w:spacing w:before="4"/>
              <w:rPr>
                <w:b/>
                <w:sz w:val="12"/>
              </w:rPr>
            </w:pPr>
          </w:p>
          <w:p>
            <w:pPr>
              <w:pStyle w:val="TableParagraph"/>
              <w:spacing w:line="152" w:lineRule="exact"/>
              <w:ind w:right="46"/>
              <w:jc w:val="right"/>
              <w:rPr>
                <w:sz w:val="13"/>
              </w:rPr>
            </w:pPr>
            <w:r>
              <w:rPr>
                <w:sz w:val="13"/>
              </w:rPr>
              <w:t>11,08</w:t>
            </w:r>
          </w:p>
        </w:tc>
        <w:tc>
          <w:tcPr>
            <w:tcW w:w="481" w:type="dxa"/>
          </w:tcPr>
          <w:p>
            <w:pPr>
              <w:pStyle w:val="TableParagraph"/>
              <w:rPr>
                <w:b/>
                <w:sz w:val="14"/>
              </w:rPr>
            </w:pPr>
          </w:p>
          <w:p>
            <w:pPr>
              <w:pStyle w:val="TableParagraph"/>
              <w:spacing w:before="4"/>
              <w:rPr>
                <w:b/>
                <w:sz w:val="12"/>
              </w:rPr>
            </w:pPr>
          </w:p>
          <w:p>
            <w:pPr>
              <w:pStyle w:val="TableParagraph"/>
              <w:spacing w:line="152" w:lineRule="exact"/>
              <w:ind w:right="56"/>
              <w:jc w:val="right"/>
              <w:rPr>
                <w:sz w:val="13"/>
              </w:rPr>
            </w:pPr>
            <w:r>
              <w:rPr>
                <w:sz w:val="13"/>
              </w:rPr>
              <w:t>11,43</w:t>
            </w:r>
          </w:p>
        </w:tc>
        <w:tc>
          <w:tcPr>
            <w:tcW w:w="476" w:type="dxa"/>
          </w:tcPr>
          <w:p>
            <w:pPr>
              <w:pStyle w:val="TableParagraph"/>
              <w:rPr>
                <w:b/>
                <w:sz w:val="14"/>
              </w:rPr>
            </w:pPr>
          </w:p>
          <w:p>
            <w:pPr>
              <w:pStyle w:val="TableParagraph"/>
              <w:spacing w:before="4"/>
              <w:rPr>
                <w:b/>
                <w:sz w:val="12"/>
              </w:rPr>
            </w:pPr>
          </w:p>
          <w:p>
            <w:pPr>
              <w:pStyle w:val="TableParagraph"/>
              <w:spacing w:line="152" w:lineRule="exact"/>
              <w:ind w:left="98" w:right="20"/>
              <w:jc w:val="center"/>
              <w:rPr>
                <w:sz w:val="13"/>
              </w:rPr>
            </w:pPr>
            <w:r>
              <w:rPr>
                <w:w w:val="105"/>
                <w:sz w:val="13"/>
              </w:rPr>
              <w:t>42,45</w:t>
            </w:r>
          </w:p>
        </w:tc>
        <w:tc>
          <w:tcPr>
            <w:tcW w:w="476" w:type="dxa"/>
          </w:tcPr>
          <w:p>
            <w:pPr>
              <w:pStyle w:val="TableParagraph"/>
              <w:rPr>
                <w:b/>
                <w:sz w:val="14"/>
              </w:rPr>
            </w:pPr>
          </w:p>
          <w:p>
            <w:pPr>
              <w:pStyle w:val="TableParagraph"/>
              <w:spacing w:before="4"/>
              <w:rPr>
                <w:b/>
                <w:sz w:val="12"/>
              </w:rPr>
            </w:pPr>
          </w:p>
          <w:p>
            <w:pPr>
              <w:pStyle w:val="TableParagraph"/>
              <w:spacing w:line="152" w:lineRule="exact"/>
              <w:ind w:right="56"/>
              <w:jc w:val="right"/>
              <w:rPr>
                <w:sz w:val="13"/>
              </w:rPr>
            </w:pPr>
            <w:r>
              <w:rPr>
                <w:sz w:val="13"/>
              </w:rPr>
              <w:t>24,64</w:t>
            </w:r>
          </w:p>
        </w:tc>
        <w:tc>
          <w:tcPr>
            <w:tcW w:w="491" w:type="dxa"/>
          </w:tcPr>
          <w:p>
            <w:pPr>
              <w:pStyle w:val="TableParagraph"/>
              <w:rPr>
                <w:b/>
                <w:sz w:val="14"/>
              </w:rPr>
            </w:pPr>
          </w:p>
          <w:p>
            <w:pPr>
              <w:pStyle w:val="TableParagraph"/>
              <w:spacing w:before="4"/>
              <w:rPr>
                <w:b/>
                <w:sz w:val="12"/>
              </w:rPr>
            </w:pPr>
          </w:p>
          <w:p>
            <w:pPr>
              <w:pStyle w:val="TableParagraph"/>
              <w:spacing w:line="152" w:lineRule="exact"/>
              <w:ind w:right="58"/>
              <w:jc w:val="right"/>
              <w:rPr>
                <w:sz w:val="13"/>
              </w:rPr>
            </w:pPr>
            <w:r>
              <w:rPr>
                <w:sz w:val="13"/>
              </w:rPr>
              <w:t>5,58</w:t>
            </w:r>
          </w:p>
        </w:tc>
        <w:tc>
          <w:tcPr>
            <w:tcW w:w="503" w:type="dxa"/>
          </w:tcPr>
          <w:p>
            <w:pPr>
              <w:pStyle w:val="TableParagraph"/>
              <w:rPr>
                <w:b/>
                <w:sz w:val="14"/>
              </w:rPr>
            </w:pPr>
          </w:p>
          <w:p>
            <w:pPr>
              <w:pStyle w:val="TableParagraph"/>
              <w:spacing w:before="4"/>
              <w:rPr>
                <w:b/>
                <w:sz w:val="12"/>
              </w:rPr>
            </w:pPr>
          </w:p>
          <w:p>
            <w:pPr>
              <w:pStyle w:val="TableParagraph"/>
              <w:spacing w:line="152" w:lineRule="exact"/>
              <w:ind w:right="69"/>
              <w:jc w:val="right"/>
              <w:rPr>
                <w:sz w:val="13"/>
              </w:rPr>
            </w:pPr>
            <w:r>
              <w:rPr>
                <w:sz w:val="13"/>
              </w:rPr>
              <w:t>6,43</w:t>
            </w:r>
          </w:p>
        </w:tc>
        <w:tc>
          <w:tcPr>
            <w:tcW w:w="498" w:type="dxa"/>
          </w:tcPr>
          <w:p>
            <w:pPr>
              <w:pStyle w:val="TableParagraph"/>
              <w:rPr>
                <w:b/>
                <w:sz w:val="14"/>
              </w:rPr>
            </w:pPr>
          </w:p>
          <w:p>
            <w:pPr>
              <w:pStyle w:val="TableParagraph"/>
              <w:spacing w:before="4"/>
              <w:rPr>
                <w:b/>
                <w:sz w:val="12"/>
              </w:rPr>
            </w:pPr>
          </w:p>
          <w:p>
            <w:pPr>
              <w:pStyle w:val="TableParagraph"/>
              <w:spacing w:line="152" w:lineRule="exact"/>
              <w:ind w:right="53"/>
              <w:jc w:val="right"/>
              <w:rPr>
                <w:sz w:val="13"/>
              </w:rPr>
            </w:pPr>
            <w:r>
              <w:rPr>
                <w:sz w:val="13"/>
              </w:rPr>
              <w:t>39,36</w:t>
            </w:r>
          </w:p>
        </w:tc>
        <w:tc>
          <w:tcPr>
            <w:tcW w:w="487" w:type="dxa"/>
          </w:tcPr>
          <w:p>
            <w:pPr>
              <w:pStyle w:val="TableParagraph"/>
              <w:rPr>
                <w:b/>
                <w:sz w:val="14"/>
              </w:rPr>
            </w:pPr>
          </w:p>
          <w:p>
            <w:pPr>
              <w:pStyle w:val="TableParagraph"/>
              <w:spacing w:before="4"/>
              <w:rPr>
                <w:b/>
                <w:sz w:val="12"/>
              </w:rPr>
            </w:pPr>
          </w:p>
          <w:p>
            <w:pPr>
              <w:pStyle w:val="TableParagraph"/>
              <w:spacing w:line="152" w:lineRule="exact"/>
              <w:ind w:right="58"/>
              <w:jc w:val="right"/>
              <w:rPr>
                <w:sz w:val="13"/>
              </w:rPr>
            </w:pPr>
            <w:r>
              <w:rPr>
                <w:sz w:val="13"/>
              </w:rPr>
              <w:t>13,62</w:t>
            </w:r>
          </w:p>
        </w:tc>
        <w:tc>
          <w:tcPr>
            <w:tcW w:w="1950" w:type="dxa"/>
          </w:tcPr>
          <w:p>
            <w:pPr>
              <w:pStyle w:val="TableParagraph"/>
              <w:rPr>
                <w:b/>
                <w:sz w:val="14"/>
              </w:rPr>
            </w:pPr>
          </w:p>
          <w:p>
            <w:pPr>
              <w:pStyle w:val="TableParagraph"/>
              <w:spacing w:before="4"/>
              <w:rPr>
                <w:b/>
                <w:sz w:val="12"/>
              </w:rPr>
            </w:pPr>
          </w:p>
          <w:p>
            <w:pPr>
              <w:pStyle w:val="TableParagraph"/>
              <w:spacing w:line="152" w:lineRule="exact"/>
              <w:ind w:left="58"/>
              <w:rPr>
                <w:sz w:val="13"/>
              </w:rPr>
            </w:pPr>
            <w:r>
              <w:rPr>
                <w:w w:val="105"/>
                <w:sz w:val="13"/>
              </w:rPr>
              <w:t>50,40% 56,24% 92,72% 55,27%</w:t>
            </w:r>
          </w:p>
        </w:tc>
      </w:tr>
      <w:tr>
        <w:trPr>
          <w:trHeight w:val="491" w:hRule="atLeast"/>
        </w:trPr>
        <w:tc>
          <w:tcPr>
            <w:tcW w:w="1304" w:type="dxa"/>
          </w:tcPr>
          <w:p>
            <w:pPr>
              <w:pStyle w:val="TableParagraph"/>
              <w:spacing w:line="150" w:lineRule="exact"/>
              <w:ind w:left="64"/>
              <w:rPr>
                <w:sz w:val="13"/>
              </w:rPr>
            </w:pPr>
            <w:r>
              <w:rPr>
                <w:w w:val="105"/>
                <w:sz w:val="13"/>
              </w:rPr>
              <w:t>Presupuestos Y</w:t>
            </w:r>
          </w:p>
          <w:p>
            <w:pPr>
              <w:pStyle w:val="TableParagraph"/>
              <w:spacing w:before="4"/>
              <w:ind w:left="64"/>
              <w:rPr>
                <w:sz w:val="13"/>
              </w:rPr>
            </w:pPr>
            <w:r>
              <w:rPr>
                <w:sz w:val="13"/>
              </w:rPr>
              <w:t>Asuntos</w:t>
            </w:r>
            <w:r>
              <w:rPr>
                <w:spacing w:val="21"/>
                <w:sz w:val="13"/>
              </w:rPr>
              <w:t> </w:t>
            </w:r>
            <w:r>
              <w:rPr>
                <w:sz w:val="13"/>
              </w:rPr>
              <w:t>Europeos</w:t>
            </w:r>
          </w:p>
          <w:p>
            <w:pPr>
              <w:pStyle w:val="TableParagraph"/>
              <w:spacing w:line="152" w:lineRule="exact" w:before="7"/>
              <w:ind w:left="64"/>
              <w:rPr>
                <w:sz w:val="13"/>
              </w:rPr>
            </w:pPr>
            <w:r>
              <w:rPr>
                <w:w w:val="105"/>
                <w:sz w:val="13"/>
              </w:rPr>
              <w:t>11 Obras</w:t>
            </w:r>
            <w:r>
              <w:rPr>
                <w:spacing w:val="-24"/>
                <w:w w:val="105"/>
                <w:sz w:val="13"/>
              </w:rPr>
              <w:t> </w:t>
            </w:r>
            <w:r>
              <w:rPr>
                <w:w w:val="105"/>
                <w:sz w:val="13"/>
              </w:rPr>
              <w:t>Públicas,</w:t>
            </w:r>
          </w:p>
        </w:tc>
        <w:tc>
          <w:tcPr>
            <w:tcW w:w="486" w:type="dxa"/>
          </w:tcPr>
          <w:p>
            <w:pPr>
              <w:pStyle w:val="TableParagraph"/>
              <w:rPr>
                <w:b/>
                <w:sz w:val="14"/>
              </w:rPr>
            </w:pPr>
          </w:p>
          <w:p>
            <w:pPr>
              <w:pStyle w:val="TableParagraph"/>
              <w:spacing w:before="2"/>
              <w:rPr>
                <w:b/>
                <w:sz w:val="12"/>
              </w:rPr>
            </w:pPr>
          </w:p>
          <w:p>
            <w:pPr>
              <w:pStyle w:val="TableParagraph"/>
              <w:spacing w:line="152" w:lineRule="exact"/>
              <w:ind w:right="46"/>
              <w:jc w:val="right"/>
              <w:rPr>
                <w:sz w:val="13"/>
              </w:rPr>
            </w:pPr>
            <w:r>
              <w:rPr>
                <w:sz w:val="13"/>
              </w:rPr>
              <w:t>223,47</w:t>
            </w:r>
          </w:p>
        </w:tc>
        <w:tc>
          <w:tcPr>
            <w:tcW w:w="481" w:type="dxa"/>
          </w:tcPr>
          <w:p>
            <w:pPr>
              <w:pStyle w:val="TableParagraph"/>
              <w:rPr>
                <w:b/>
                <w:sz w:val="14"/>
              </w:rPr>
            </w:pPr>
          </w:p>
          <w:p>
            <w:pPr>
              <w:pStyle w:val="TableParagraph"/>
              <w:spacing w:before="2"/>
              <w:rPr>
                <w:b/>
                <w:sz w:val="12"/>
              </w:rPr>
            </w:pPr>
          </w:p>
          <w:p>
            <w:pPr>
              <w:pStyle w:val="TableParagraph"/>
              <w:spacing w:line="152" w:lineRule="exact"/>
              <w:ind w:right="56"/>
              <w:jc w:val="right"/>
              <w:rPr>
                <w:sz w:val="13"/>
              </w:rPr>
            </w:pPr>
            <w:r>
              <w:rPr>
                <w:sz w:val="13"/>
              </w:rPr>
              <w:t>167,45</w:t>
            </w:r>
          </w:p>
        </w:tc>
        <w:tc>
          <w:tcPr>
            <w:tcW w:w="476" w:type="dxa"/>
          </w:tcPr>
          <w:p>
            <w:pPr>
              <w:pStyle w:val="TableParagraph"/>
              <w:rPr>
                <w:b/>
                <w:sz w:val="14"/>
              </w:rPr>
            </w:pPr>
          </w:p>
          <w:p>
            <w:pPr>
              <w:pStyle w:val="TableParagraph"/>
              <w:spacing w:before="2"/>
              <w:rPr>
                <w:b/>
                <w:sz w:val="12"/>
              </w:rPr>
            </w:pPr>
          </w:p>
          <w:p>
            <w:pPr>
              <w:pStyle w:val="TableParagraph"/>
              <w:spacing w:line="152" w:lineRule="exact"/>
              <w:ind w:left="32" w:right="22"/>
              <w:jc w:val="center"/>
              <w:rPr>
                <w:sz w:val="13"/>
              </w:rPr>
            </w:pPr>
            <w:r>
              <w:rPr>
                <w:w w:val="105"/>
                <w:sz w:val="13"/>
              </w:rPr>
              <w:t>230,01</w:t>
            </w:r>
          </w:p>
        </w:tc>
        <w:tc>
          <w:tcPr>
            <w:tcW w:w="476" w:type="dxa"/>
          </w:tcPr>
          <w:p>
            <w:pPr>
              <w:pStyle w:val="TableParagraph"/>
              <w:rPr>
                <w:b/>
                <w:sz w:val="14"/>
              </w:rPr>
            </w:pPr>
          </w:p>
          <w:p>
            <w:pPr>
              <w:pStyle w:val="TableParagraph"/>
              <w:spacing w:before="2"/>
              <w:rPr>
                <w:b/>
                <w:sz w:val="12"/>
              </w:rPr>
            </w:pPr>
          </w:p>
          <w:p>
            <w:pPr>
              <w:pStyle w:val="TableParagraph"/>
              <w:spacing w:line="152" w:lineRule="exact"/>
              <w:ind w:right="57"/>
              <w:jc w:val="right"/>
              <w:rPr>
                <w:sz w:val="13"/>
              </w:rPr>
            </w:pPr>
            <w:r>
              <w:rPr>
                <w:sz w:val="13"/>
              </w:rPr>
              <w:t>231,01</w:t>
            </w:r>
          </w:p>
        </w:tc>
        <w:tc>
          <w:tcPr>
            <w:tcW w:w="491" w:type="dxa"/>
          </w:tcPr>
          <w:p>
            <w:pPr>
              <w:pStyle w:val="TableParagraph"/>
              <w:rPr>
                <w:b/>
                <w:sz w:val="14"/>
              </w:rPr>
            </w:pPr>
          </w:p>
          <w:p>
            <w:pPr>
              <w:pStyle w:val="TableParagraph"/>
              <w:spacing w:before="2"/>
              <w:rPr>
                <w:b/>
                <w:sz w:val="12"/>
              </w:rPr>
            </w:pPr>
          </w:p>
          <w:p>
            <w:pPr>
              <w:pStyle w:val="TableParagraph"/>
              <w:spacing w:line="152" w:lineRule="exact"/>
              <w:ind w:right="58"/>
              <w:jc w:val="right"/>
              <w:rPr>
                <w:sz w:val="13"/>
              </w:rPr>
            </w:pPr>
            <w:r>
              <w:rPr>
                <w:sz w:val="13"/>
              </w:rPr>
              <w:t>58,22</w:t>
            </w:r>
          </w:p>
        </w:tc>
        <w:tc>
          <w:tcPr>
            <w:tcW w:w="503" w:type="dxa"/>
          </w:tcPr>
          <w:p>
            <w:pPr>
              <w:pStyle w:val="TableParagraph"/>
              <w:rPr>
                <w:b/>
                <w:sz w:val="14"/>
              </w:rPr>
            </w:pPr>
          </w:p>
          <w:p>
            <w:pPr>
              <w:pStyle w:val="TableParagraph"/>
              <w:spacing w:before="2"/>
              <w:rPr>
                <w:b/>
                <w:sz w:val="12"/>
              </w:rPr>
            </w:pPr>
          </w:p>
          <w:p>
            <w:pPr>
              <w:pStyle w:val="TableParagraph"/>
              <w:spacing w:line="152" w:lineRule="exact"/>
              <w:ind w:right="69"/>
              <w:jc w:val="right"/>
              <w:rPr>
                <w:sz w:val="13"/>
              </w:rPr>
            </w:pPr>
            <w:r>
              <w:rPr>
                <w:sz w:val="13"/>
              </w:rPr>
              <w:t>97,15</w:t>
            </w:r>
          </w:p>
        </w:tc>
        <w:tc>
          <w:tcPr>
            <w:tcW w:w="498" w:type="dxa"/>
          </w:tcPr>
          <w:p>
            <w:pPr>
              <w:pStyle w:val="TableParagraph"/>
              <w:rPr>
                <w:b/>
                <w:sz w:val="14"/>
              </w:rPr>
            </w:pPr>
          </w:p>
          <w:p>
            <w:pPr>
              <w:pStyle w:val="TableParagraph"/>
              <w:spacing w:before="2"/>
              <w:rPr>
                <w:b/>
                <w:sz w:val="12"/>
              </w:rPr>
            </w:pPr>
          </w:p>
          <w:p>
            <w:pPr>
              <w:pStyle w:val="TableParagraph"/>
              <w:spacing w:line="152" w:lineRule="exact"/>
              <w:ind w:right="53"/>
              <w:jc w:val="right"/>
              <w:rPr>
                <w:sz w:val="13"/>
              </w:rPr>
            </w:pPr>
            <w:r>
              <w:rPr>
                <w:sz w:val="13"/>
              </w:rPr>
              <w:t>128,69</w:t>
            </w:r>
          </w:p>
        </w:tc>
        <w:tc>
          <w:tcPr>
            <w:tcW w:w="487" w:type="dxa"/>
          </w:tcPr>
          <w:p>
            <w:pPr>
              <w:pStyle w:val="TableParagraph"/>
              <w:rPr>
                <w:b/>
                <w:sz w:val="14"/>
              </w:rPr>
            </w:pPr>
          </w:p>
          <w:p>
            <w:pPr>
              <w:pStyle w:val="TableParagraph"/>
              <w:spacing w:before="2"/>
              <w:rPr>
                <w:b/>
                <w:sz w:val="12"/>
              </w:rPr>
            </w:pPr>
          </w:p>
          <w:p>
            <w:pPr>
              <w:pStyle w:val="TableParagraph"/>
              <w:spacing w:line="152" w:lineRule="exact"/>
              <w:ind w:right="58"/>
              <w:jc w:val="right"/>
              <w:rPr>
                <w:sz w:val="13"/>
              </w:rPr>
            </w:pPr>
            <w:r>
              <w:rPr>
                <w:sz w:val="13"/>
              </w:rPr>
              <w:t>172,25</w:t>
            </w:r>
          </w:p>
        </w:tc>
        <w:tc>
          <w:tcPr>
            <w:tcW w:w="1950" w:type="dxa"/>
          </w:tcPr>
          <w:p>
            <w:pPr>
              <w:pStyle w:val="TableParagraph"/>
              <w:rPr>
                <w:b/>
                <w:sz w:val="14"/>
              </w:rPr>
            </w:pPr>
          </w:p>
          <w:p>
            <w:pPr>
              <w:pStyle w:val="TableParagraph"/>
              <w:spacing w:before="2"/>
              <w:rPr>
                <w:b/>
                <w:sz w:val="12"/>
              </w:rPr>
            </w:pPr>
          </w:p>
          <w:p>
            <w:pPr>
              <w:pStyle w:val="TableParagraph"/>
              <w:spacing w:line="152" w:lineRule="exact"/>
              <w:ind w:left="58"/>
              <w:rPr>
                <w:sz w:val="13"/>
              </w:rPr>
            </w:pPr>
            <w:r>
              <w:rPr>
                <w:w w:val="105"/>
                <w:sz w:val="13"/>
              </w:rPr>
              <w:t>26,05% 58,02% 55,95% 74,56%</w:t>
            </w:r>
          </w:p>
        </w:tc>
      </w:tr>
      <w:tr>
        <w:trPr>
          <w:trHeight w:val="491" w:hRule="atLeast"/>
        </w:trPr>
        <w:tc>
          <w:tcPr>
            <w:tcW w:w="1304" w:type="dxa"/>
          </w:tcPr>
          <w:p>
            <w:pPr>
              <w:pStyle w:val="TableParagraph"/>
              <w:spacing w:line="150" w:lineRule="exact"/>
              <w:ind w:left="64"/>
              <w:rPr>
                <w:sz w:val="13"/>
              </w:rPr>
            </w:pPr>
            <w:r>
              <w:rPr>
                <w:w w:val="105"/>
                <w:sz w:val="13"/>
              </w:rPr>
              <w:t>Transportes y</w:t>
            </w:r>
          </w:p>
          <w:p>
            <w:pPr>
              <w:pStyle w:val="TableParagraph"/>
              <w:spacing w:before="4"/>
              <w:ind w:left="64"/>
              <w:rPr>
                <w:sz w:val="13"/>
              </w:rPr>
            </w:pPr>
            <w:r>
              <w:rPr>
                <w:w w:val="105"/>
                <w:sz w:val="13"/>
              </w:rPr>
              <w:t>Vivienda</w:t>
            </w:r>
          </w:p>
          <w:p>
            <w:pPr>
              <w:pStyle w:val="TableParagraph"/>
              <w:spacing w:line="152" w:lineRule="exact" w:before="7"/>
              <w:ind w:left="64"/>
              <w:rPr>
                <w:sz w:val="13"/>
              </w:rPr>
            </w:pPr>
            <w:r>
              <w:rPr>
                <w:w w:val="105"/>
                <w:sz w:val="13"/>
              </w:rPr>
              <w:t>12 Trans. Ecológica,</w:t>
            </w:r>
          </w:p>
        </w:tc>
        <w:tc>
          <w:tcPr>
            <w:tcW w:w="486" w:type="dxa"/>
          </w:tcPr>
          <w:p>
            <w:pPr>
              <w:pStyle w:val="TableParagraph"/>
              <w:rPr>
                <w:b/>
                <w:sz w:val="14"/>
              </w:rPr>
            </w:pPr>
          </w:p>
          <w:p>
            <w:pPr>
              <w:pStyle w:val="TableParagraph"/>
              <w:spacing w:before="2"/>
              <w:rPr>
                <w:b/>
                <w:sz w:val="12"/>
              </w:rPr>
            </w:pPr>
          </w:p>
          <w:p>
            <w:pPr>
              <w:pStyle w:val="TableParagraph"/>
              <w:spacing w:line="152" w:lineRule="exact"/>
              <w:ind w:right="46"/>
              <w:jc w:val="right"/>
              <w:rPr>
                <w:sz w:val="13"/>
              </w:rPr>
            </w:pPr>
            <w:r>
              <w:rPr>
                <w:sz w:val="13"/>
              </w:rPr>
              <w:t>33,76</w:t>
            </w:r>
          </w:p>
        </w:tc>
        <w:tc>
          <w:tcPr>
            <w:tcW w:w="481" w:type="dxa"/>
          </w:tcPr>
          <w:p>
            <w:pPr>
              <w:pStyle w:val="TableParagraph"/>
              <w:rPr>
                <w:b/>
                <w:sz w:val="14"/>
              </w:rPr>
            </w:pPr>
          </w:p>
          <w:p>
            <w:pPr>
              <w:pStyle w:val="TableParagraph"/>
              <w:spacing w:before="2"/>
              <w:rPr>
                <w:b/>
                <w:sz w:val="12"/>
              </w:rPr>
            </w:pPr>
          </w:p>
          <w:p>
            <w:pPr>
              <w:pStyle w:val="TableParagraph"/>
              <w:spacing w:line="152" w:lineRule="exact"/>
              <w:ind w:right="56"/>
              <w:jc w:val="right"/>
              <w:rPr>
                <w:sz w:val="13"/>
              </w:rPr>
            </w:pPr>
            <w:r>
              <w:rPr>
                <w:sz w:val="13"/>
              </w:rPr>
              <w:t>58,06</w:t>
            </w:r>
          </w:p>
        </w:tc>
        <w:tc>
          <w:tcPr>
            <w:tcW w:w="476" w:type="dxa"/>
          </w:tcPr>
          <w:p>
            <w:pPr>
              <w:pStyle w:val="TableParagraph"/>
              <w:rPr>
                <w:b/>
                <w:sz w:val="14"/>
              </w:rPr>
            </w:pPr>
          </w:p>
          <w:p>
            <w:pPr>
              <w:pStyle w:val="TableParagraph"/>
              <w:spacing w:before="2"/>
              <w:rPr>
                <w:b/>
                <w:sz w:val="12"/>
              </w:rPr>
            </w:pPr>
          </w:p>
          <w:p>
            <w:pPr>
              <w:pStyle w:val="TableParagraph"/>
              <w:spacing w:line="152" w:lineRule="exact"/>
              <w:ind w:left="169" w:right="22"/>
              <w:jc w:val="center"/>
              <w:rPr>
                <w:sz w:val="13"/>
              </w:rPr>
            </w:pPr>
            <w:r>
              <w:rPr>
                <w:w w:val="105"/>
                <w:sz w:val="13"/>
              </w:rPr>
              <w:t>83,8</w:t>
            </w:r>
          </w:p>
        </w:tc>
        <w:tc>
          <w:tcPr>
            <w:tcW w:w="476" w:type="dxa"/>
          </w:tcPr>
          <w:p>
            <w:pPr>
              <w:pStyle w:val="TableParagraph"/>
              <w:rPr>
                <w:b/>
                <w:sz w:val="14"/>
              </w:rPr>
            </w:pPr>
          </w:p>
          <w:p>
            <w:pPr>
              <w:pStyle w:val="TableParagraph"/>
              <w:spacing w:before="2"/>
              <w:rPr>
                <w:b/>
                <w:sz w:val="12"/>
              </w:rPr>
            </w:pPr>
          </w:p>
          <w:p>
            <w:pPr>
              <w:pStyle w:val="TableParagraph"/>
              <w:spacing w:line="152" w:lineRule="exact"/>
              <w:ind w:right="56"/>
              <w:jc w:val="right"/>
              <w:rPr>
                <w:sz w:val="13"/>
              </w:rPr>
            </w:pPr>
            <w:r>
              <w:rPr>
                <w:sz w:val="13"/>
              </w:rPr>
              <w:t>81,69</w:t>
            </w:r>
          </w:p>
        </w:tc>
        <w:tc>
          <w:tcPr>
            <w:tcW w:w="491" w:type="dxa"/>
          </w:tcPr>
          <w:p>
            <w:pPr>
              <w:pStyle w:val="TableParagraph"/>
              <w:rPr>
                <w:b/>
                <w:sz w:val="14"/>
              </w:rPr>
            </w:pPr>
          </w:p>
          <w:p>
            <w:pPr>
              <w:pStyle w:val="TableParagraph"/>
              <w:spacing w:before="2"/>
              <w:rPr>
                <w:b/>
                <w:sz w:val="12"/>
              </w:rPr>
            </w:pPr>
          </w:p>
          <w:p>
            <w:pPr>
              <w:pStyle w:val="TableParagraph"/>
              <w:spacing w:line="152" w:lineRule="exact"/>
              <w:ind w:right="58"/>
              <w:jc w:val="right"/>
              <w:rPr>
                <w:sz w:val="13"/>
              </w:rPr>
            </w:pPr>
            <w:r>
              <w:rPr>
                <w:sz w:val="13"/>
              </w:rPr>
              <w:t>24,09</w:t>
            </w:r>
          </w:p>
        </w:tc>
        <w:tc>
          <w:tcPr>
            <w:tcW w:w="503" w:type="dxa"/>
          </w:tcPr>
          <w:p>
            <w:pPr>
              <w:pStyle w:val="TableParagraph"/>
              <w:rPr>
                <w:b/>
                <w:sz w:val="14"/>
              </w:rPr>
            </w:pPr>
          </w:p>
          <w:p>
            <w:pPr>
              <w:pStyle w:val="TableParagraph"/>
              <w:spacing w:before="2"/>
              <w:rPr>
                <w:b/>
                <w:sz w:val="12"/>
              </w:rPr>
            </w:pPr>
          </w:p>
          <w:p>
            <w:pPr>
              <w:pStyle w:val="TableParagraph"/>
              <w:spacing w:line="152" w:lineRule="exact"/>
              <w:ind w:right="69"/>
              <w:jc w:val="right"/>
              <w:rPr>
                <w:sz w:val="13"/>
              </w:rPr>
            </w:pPr>
            <w:r>
              <w:rPr>
                <w:sz w:val="13"/>
              </w:rPr>
              <w:t>47,25</w:t>
            </w:r>
          </w:p>
        </w:tc>
        <w:tc>
          <w:tcPr>
            <w:tcW w:w="498" w:type="dxa"/>
          </w:tcPr>
          <w:p>
            <w:pPr>
              <w:pStyle w:val="TableParagraph"/>
              <w:rPr>
                <w:b/>
                <w:sz w:val="14"/>
              </w:rPr>
            </w:pPr>
          </w:p>
          <w:p>
            <w:pPr>
              <w:pStyle w:val="TableParagraph"/>
              <w:spacing w:before="2"/>
              <w:rPr>
                <w:b/>
                <w:sz w:val="12"/>
              </w:rPr>
            </w:pPr>
          </w:p>
          <w:p>
            <w:pPr>
              <w:pStyle w:val="TableParagraph"/>
              <w:spacing w:line="152" w:lineRule="exact"/>
              <w:ind w:right="53"/>
              <w:jc w:val="right"/>
              <w:rPr>
                <w:sz w:val="13"/>
              </w:rPr>
            </w:pPr>
            <w:r>
              <w:rPr>
                <w:sz w:val="13"/>
              </w:rPr>
              <w:t>51,63</w:t>
            </w:r>
          </w:p>
        </w:tc>
        <w:tc>
          <w:tcPr>
            <w:tcW w:w="487" w:type="dxa"/>
          </w:tcPr>
          <w:p>
            <w:pPr>
              <w:pStyle w:val="TableParagraph"/>
              <w:rPr>
                <w:b/>
                <w:sz w:val="14"/>
              </w:rPr>
            </w:pPr>
          </w:p>
          <w:p>
            <w:pPr>
              <w:pStyle w:val="TableParagraph"/>
              <w:spacing w:before="2"/>
              <w:rPr>
                <w:b/>
                <w:sz w:val="12"/>
              </w:rPr>
            </w:pPr>
          </w:p>
          <w:p>
            <w:pPr>
              <w:pStyle w:val="TableParagraph"/>
              <w:spacing w:line="152" w:lineRule="exact"/>
              <w:ind w:right="58"/>
              <w:jc w:val="right"/>
              <w:rPr>
                <w:sz w:val="13"/>
              </w:rPr>
            </w:pPr>
            <w:r>
              <w:rPr>
                <w:sz w:val="13"/>
              </w:rPr>
              <w:t>52,62</w:t>
            </w:r>
          </w:p>
        </w:tc>
        <w:tc>
          <w:tcPr>
            <w:tcW w:w="1950" w:type="dxa"/>
          </w:tcPr>
          <w:p>
            <w:pPr>
              <w:pStyle w:val="TableParagraph"/>
              <w:rPr>
                <w:b/>
                <w:sz w:val="14"/>
              </w:rPr>
            </w:pPr>
          </w:p>
          <w:p>
            <w:pPr>
              <w:pStyle w:val="TableParagraph"/>
              <w:spacing w:before="2"/>
              <w:rPr>
                <w:b/>
                <w:sz w:val="12"/>
              </w:rPr>
            </w:pPr>
          </w:p>
          <w:p>
            <w:pPr>
              <w:pStyle w:val="TableParagraph"/>
              <w:spacing w:line="152" w:lineRule="exact"/>
              <w:ind w:left="58"/>
              <w:rPr>
                <w:sz w:val="13"/>
              </w:rPr>
            </w:pPr>
            <w:r>
              <w:rPr>
                <w:w w:val="105"/>
                <w:sz w:val="13"/>
              </w:rPr>
              <w:t>71,34% 81,38% 61,61% 64,41%</w:t>
            </w:r>
          </w:p>
        </w:tc>
      </w:tr>
      <w:tr>
        <w:trPr>
          <w:trHeight w:val="655" w:hRule="atLeast"/>
        </w:trPr>
        <w:tc>
          <w:tcPr>
            <w:tcW w:w="1304" w:type="dxa"/>
          </w:tcPr>
          <w:p>
            <w:pPr>
              <w:pStyle w:val="TableParagraph"/>
              <w:spacing w:line="150" w:lineRule="exact"/>
              <w:ind w:left="64"/>
              <w:rPr>
                <w:sz w:val="13"/>
              </w:rPr>
            </w:pPr>
            <w:r>
              <w:rPr>
                <w:w w:val="105"/>
                <w:sz w:val="13"/>
              </w:rPr>
              <w:t>Lucha C. Cambio</w:t>
            </w:r>
          </w:p>
          <w:p>
            <w:pPr>
              <w:pStyle w:val="TableParagraph"/>
              <w:spacing w:line="247" w:lineRule="auto" w:before="6"/>
              <w:ind w:left="64"/>
              <w:rPr>
                <w:sz w:val="13"/>
              </w:rPr>
            </w:pPr>
            <w:r>
              <w:rPr>
                <w:w w:val="105"/>
                <w:sz w:val="13"/>
              </w:rPr>
              <w:t>Climático y P. Territorial</w:t>
            </w:r>
          </w:p>
          <w:p>
            <w:pPr>
              <w:pStyle w:val="TableParagraph"/>
              <w:spacing w:line="152" w:lineRule="exact"/>
              <w:ind w:left="64"/>
              <w:rPr>
                <w:sz w:val="13"/>
              </w:rPr>
            </w:pPr>
            <w:r>
              <w:rPr>
                <w:w w:val="105"/>
                <w:sz w:val="13"/>
              </w:rPr>
              <w:t>13 Agricultura,</w:t>
            </w:r>
          </w:p>
        </w:tc>
        <w:tc>
          <w:tcPr>
            <w:tcW w:w="486" w:type="dxa"/>
          </w:tcPr>
          <w:p>
            <w:pPr>
              <w:pStyle w:val="TableParagraph"/>
              <w:rPr>
                <w:b/>
                <w:sz w:val="14"/>
              </w:rPr>
            </w:pPr>
          </w:p>
          <w:p>
            <w:pPr>
              <w:pStyle w:val="TableParagraph"/>
              <w:rPr>
                <w:b/>
                <w:sz w:val="14"/>
              </w:rPr>
            </w:pPr>
          </w:p>
          <w:p>
            <w:pPr>
              <w:pStyle w:val="TableParagraph"/>
              <w:spacing w:before="7"/>
              <w:rPr>
                <w:b/>
                <w:sz w:val="11"/>
              </w:rPr>
            </w:pPr>
          </w:p>
          <w:p>
            <w:pPr>
              <w:pStyle w:val="TableParagraph"/>
              <w:spacing w:line="153" w:lineRule="exact"/>
              <w:ind w:right="46"/>
              <w:jc w:val="right"/>
              <w:rPr>
                <w:sz w:val="13"/>
              </w:rPr>
            </w:pPr>
            <w:r>
              <w:rPr>
                <w:sz w:val="13"/>
              </w:rPr>
              <w:t>38,21</w:t>
            </w:r>
          </w:p>
        </w:tc>
        <w:tc>
          <w:tcPr>
            <w:tcW w:w="481" w:type="dxa"/>
          </w:tcPr>
          <w:p>
            <w:pPr>
              <w:pStyle w:val="TableParagraph"/>
              <w:rPr>
                <w:b/>
                <w:sz w:val="14"/>
              </w:rPr>
            </w:pPr>
          </w:p>
          <w:p>
            <w:pPr>
              <w:pStyle w:val="TableParagraph"/>
              <w:rPr>
                <w:b/>
                <w:sz w:val="14"/>
              </w:rPr>
            </w:pPr>
          </w:p>
          <w:p>
            <w:pPr>
              <w:pStyle w:val="TableParagraph"/>
              <w:spacing w:before="7"/>
              <w:rPr>
                <w:b/>
                <w:sz w:val="11"/>
              </w:rPr>
            </w:pPr>
          </w:p>
          <w:p>
            <w:pPr>
              <w:pStyle w:val="TableParagraph"/>
              <w:spacing w:line="153" w:lineRule="exact"/>
              <w:ind w:right="56"/>
              <w:jc w:val="right"/>
              <w:rPr>
                <w:sz w:val="13"/>
              </w:rPr>
            </w:pPr>
            <w:r>
              <w:rPr>
                <w:sz w:val="13"/>
              </w:rPr>
              <w:t>20,49</w:t>
            </w:r>
          </w:p>
        </w:tc>
        <w:tc>
          <w:tcPr>
            <w:tcW w:w="476" w:type="dxa"/>
          </w:tcPr>
          <w:p>
            <w:pPr>
              <w:pStyle w:val="TableParagraph"/>
              <w:rPr>
                <w:b/>
                <w:sz w:val="14"/>
              </w:rPr>
            </w:pPr>
          </w:p>
          <w:p>
            <w:pPr>
              <w:pStyle w:val="TableParagraph"/>
              <w:rPr>
                <w:b/>
                <w:sz w:val="14"/>
              </w:rPr>
            </w:pPr>
          </w:p>
          <w:p>
            <w:pPr>
              <w:pStyle w:val="TableParagraph"/>
              <w:spacing w:before="7"/>
              <w:rPr>
                <w:b/>
                <w:sz w:val="11"/>
              </w:rPr>
            </w:pPr>
          </w:p>
          <w:p>
            <w:pPr>
              <w:pStyle w:val="TableParagraph"/>
              <w:spacing w:line="153" w:lineRule="exact"/>
              <w:ind w:left="98" w:right="20"/>
              <w:jc w:val="center"/>
              <w:rPr>
                <w:sz w:val="13"/>
              </w:rPr>
            </w:pPr>
            <w:r>
              <w:rPr>
                <w:w w:val="105"/>
                <w:sz w:val="13"/>
              </w:rPr>
              <w:t>25,75</w:t>
            </w:r>
          </w:p>
        </w:tc>
        <w:tc>
          <w:tcPr>
            <w:tcW w:w="476" w:type="dxa"/>
          </w:tcPr>
          <w:p>
            <w:pPr>
              <w:pStyle w:val="TableParagraph"/>
              <w:rPr>
                <w:b/>
                <w:sz w:val="14"/>
              </w:rPr>
            </w:pPr>
          </w:p>
          <w:p>
            <w:pPr>
              <w:pStyle w:val="TableParagraph"/>
              <w:rPr>
                <w:b/>
                <w:sz w:val="14"/>
              </w:rPr>
            </w:pPr>
          </w:p>
          <w:p>
            <w:pPr>
              <w:pStyle w:val="TableParagraph"/>
              <w:spacing w:before="7"/>
              <w:rPr>
                <w:b/>
                <w:sz w:val="11"/>
              </w:rPr>
            </w:pPr>
          </w:p>
          <w:p>
            <w:pPr>
              <w:pStyle w:val="TableParagraph"/>
              <w:spacing w:line="153" w:lineRule="exact"/>
              <w:ind w:right="56"/>
              <w:jc w:val="right"/>
              <w:rPr>
                <w:sz w:val="13"/>
              </w:rPr>
            </w:pPr>
            <w:r>
              <w:rPr>
                <w:sz w:val="13"/>
              </w:rPr>
              <w:t>25,61</w:t>
            </w:r>
          </w:p>
        </w:tc>
        <w:tc>
          <w:tcPr>
            <w:tcW w:w="491" w:type="dxa"/>
          </w:tcPr>
          <w:p>
            <w:pPr>
              <w:pStyle w:val="TableParagraph"/>
              <w:rPr>
                <w:b/>
                <w:sz w:val="14"/>
              </w:rPr>
            </w:pPr>
          </w:p>
          <w:p>
            <w:pPr>
              <w:pStyle w:val="TableParagraph"/>
              <w:rPr>
                <w:b/>
                <w:sz w:val="14"/>
              </w:rPr>
            </w:pPr>
          </w:p>
          <w:p>
            <w:pPr>
              <w:pStyle w:val="TableParagraph"/>
              <w:spacing w:before="7"/>
              <w:rPr>
                <w:b/>
                <w:sz w:val="11"/>
              </w:rPr>
            </w:pPr>
          </w:p>
          <w:p>
            <w:pPr>
              <w:pStyle w:val="TableParagraph"/>
              <w:spacing w:line="153" w:lineRule="exact"/>
              <w:ind w:right="58"/>
              <w:jc w:val="right"/>
              <w:rPr>
                <w:sz w:val="13"/>
              </w:rPr>
            </w:pPr>
            <w:r>
              <w:rPr>
                <w:sz w:val="13"/>
              </w:rPr>
              <w:t>14,86</w:t>
            </w:r>
          </w:p>
        </w:tc>
        <w:tc>
          <w:tcPr>
            <w:tcW w:w="503" w:type="dxa"/>
          </w:tcPr>
          <w:p>
            <w:pPr>
              <w:pStyle w:val="TableParagraph"/>
              <w:rPr>
                <w:b/>
                <w:sz w:val="14"/>
              </w:rPr>
            </w:pPr>
          </w:p>
          <w:p>
            <w:pPr>
              <w:pStyle w:val="TableParagraph"/>
              <w:rPr>
                <w:b/>
                <w:sz w:val="14"/>
              </w:rPr>
            </w:pPr>
          </w:p>
          <w:p>
            <w:pPr>
              <w:pStyle w:val="TableParagraph"/>
              <w:spacing w:before="7"/>
              <w:rPr>
                <w:b/>
                <w:sz w:val="11"/>
              </w:rPr>
            </w:pPr>
          </w:p>
          <w:p>
            <w:pPr>
              <w:pStyle w:val="TableParagraph"/>
              <w:spacing w:line="153" w:lineRule="exact"/>
              <w:ind w:right="69"/>
              <w:jc w:val="right"/>
              <w:rPr>
                <w:sz w:val="13"/>
              </w:rPr>
            </w:pPr>
            <w:r>
              <w:rPr>
                <w:sz w:val="13"/>
              </w:rPr>
              <w:t>14,02</w:t>
            </w:r>
          </w:p>
        </w:tc>
        <w:tc>
          <w:tcPr>
            <w:tcW w:w="498" w:type="dxa"/>
          </w:tcPr>
          <w:p>
            <w:pPr>
              <w:pStyle w:val="TableParagraph"/>
              <w:rPr>
                <w:b/>
                <w:sz w:val="14"/>
              </w:rPr>
            </w:pPr>
          </w:p>
          <w:p>
            <w:pPr>
              <w:pStyle w:val="TableParagraph"/>
              <w:rPr>
                <w:b/>
                <w:sz w:val="14"/>
              </w:rPr>
            </w:pPr>
          </w:p>
          <w:p>
            <w:pPr>
              <w:pStyle w:val="TableParagraph"/>
              <w:spacing w:before="7"/>
              <w:rPr>
                <w:b/>
                <w:sz w:val="11"/>
              </w:rPr>
            </w:pPr>
          </w:p>
          <w:p>
            <w:pPr>
              <w:pStyle w:val="TableParagraph"/>
              <w:spacing w:line="153" w:lineRule="exact"/>
              <w:ind w:right="53"/>
              <w:jc w:val="right"/>
              <w:rPr>
                <w:sz w:val="13"/>
              </w:rPr>
            </w:pPr>
            <w:r>
              <w:rPr>
                <w:sz w:val="13"/>
              </w:rPr>
              <w:t>14,24</w:t>
            </w:r>
          </w:p>
        </w:tc>
        <w:tc>
          <w:tcPr>
            <w:tcW w:w="487" w:type="dxa"/>
          </w:tcPr>
          <w:p>
            <w:pPr>
              <w:pStyle w:val="TableParagraph"/>
              <w:rPr>
                <w:b/>
                <w:sz w:val="14"/>
              </w:rPr>
            </w:pPr>
          </w:p>
          <w:p>
            <w:pPr>
              <w:pStyle w:val="TableParagraph"/>
              <w:rPr>
                <w:b/>
                <w:sz w:val="14"/>
              </w:rPr>
            </w:pPr>
          </w:p>
          <w:p>
            <w:pPr>
              <w:pStyle w:val="TableParagraph"/>
              <w:spacing w:before="7"/>
              <w:rPr>
                <w:b/>
                <w:sz w:val="11"/>
              </w:rPr>
            </w:pPr>
          </w:p>
          <w:p>
            <w:pPr>
              <w:pStyle w:val="TableParagraph"/>
              <w:spacing w:line="153" w:lineRule="exact"/>
              <w:ind w:right="58"/>
              <w:jc w:val="right"/>
              <w:rPr>
                <w:sz w:val="13"/>
              </w:rPr>
            </w:pPr>
            <w:r>
              <w:rPr>
                <w:sz w:val="13"/>
              </w:rPr>
              <w:t>18,68</w:t>
            </w:r>
          </w:p>
        </w:tc>
        <w:tc>
          <w:tcPr>
            <w:tcW w:w="1950" w:type="dxa"/>
          </w:tcPr>
          <w:p>
            <w:pPr>
              <w:pStyle w:val="TableParagraph"/>
              <w:rPr>
                <w:b/>
                <w:sz w:val="14"/>
              </w:rPr>
            </w:pPr>
          </w:p>
          <w:p>
            <w:pPr>
              <w:pStyle w:val="TableParagraph"/>
              <w:rPr>
                <w:b/>
                <w:sz w:val="14"/>
              </w:rPr>
            </w:pPr>
          </w:p>
          <w:p>
            <w:pPr>
              <w:pStyle w:val="TableParagraph"/>
              <w:spacing w:before="7"/>
              <w:rPr>
                <w:b/>
                <w:sz w:val="11"/>
              </w:rPr>
            </w:pPr>
          </w:p>
          <w:p>
            <w:pPr>
              <w:pStyle w:val="TableParagraph"/>
              <w:spacing w:line="153" w:lineRule="exact"/>
              <w:ind w:left="58"/>
              <w:rPr>
                <w:sz w:val="13"/>
              </w:rPr>
            </w:pPr>
            <w:r>
              <w:rPr>
                <w:w w:val="105"/>
                <w:sz w:val="13"/>
              </w:rPr>
              <w:t>38,88% 68,43% 55,33% 72,93%</w:t>
            </w:r>
          </w:p>
        </w:tc>
      </w:tr>
      <w:tr>
        <w:trPr>
          <w:trHeight w:val="341" w:hRule="atLeast"/>
        </w:trPr>
        <w:tc>
          <w:tcPr>
            <w:tcW w:w="1304" w:type="dxa"/>
          </w:tcPr>
          <w:p>
            <w:pPr>
              <w:pStyle w:val="TableParagraph"/>
              <w:spacing w:line="247" w:lineRule="auto"/>
              <w:ind w:left="64" w:right="105"/>
              <w:rPr>
                <w:sz w:val="13"/>
              </w:rPr>
            </w:pPr>
            <w:r>
              <w:rPr>
                <w:w w:val="105"/>
                <w:sz w:val="13"/>
              </w:rPr>
              <w:t>Ganadería Y Pesca 14 Sanidad</w:t>
            </w:r>
          </w:p>
        </w:tc>
        <w:tc>
          <w:tcPr>
            <w:tcW w:w="486" w:type="dxa"/>
          </w:tcPr>
          <w:p>
            <w:pPr>
              <w:pStyle w:val="TableParagraph"/>
              <w:spacing w:before="9"/>
              <w:rPr>
                <w:b/>
                <w:sz w:val="12"/>
              </w:rPr>
            </w:pPr>
          </w:p>
          <w:p>
            <w:pPr>
              <w:pStyle w:val="TableParagraph"/>
              <w:ind w:right="46"/>
              <w:jc w:val="right"/>
              <w:rPr>
                <w:sz w:val="13"/>
              </w:rPr>
            </w:pPr>
            <w:r>
              <w:rPr>
                <w:sz w:val="13"/>
              </w:rPr>
              <w:t>0,12</w:t>
            </w:r>
          </w:p>
        </w:tc>
        <w:tc>
          <w:tcPr>
            <w:tcW w:w="481" w:type="dxa"/>
          </w:tcPr>
          <w:p>
            <w:pPr>
              <w:pStyle w:val="TableParagraph"/>
              <w:spacing w:before="9"/>
              <w:rPr>
                <w:b/>
                <w:sz w:val="12"/>
              </w:rPr>
            </w:pPr>
          </w:p>
          <w:p>
            <w:pPr>
              <w:pStyle w:val="TableParagraph"/>
              <w:ind w:right="56"/>
              <w:jc w:val="right"/>
              <w:rPr>
                <w:sz w:val="13"/>
              </w:rPr>
            </w:pPr>
            <w:r>
              <w:rPr>
                <w:sz w:val="13"/>
              </w:rPr>
              <w:t>0,12</w:t>
            </w:r>
          </w:p>
        </w:tc>
        <w:tc>
          <w:tcPr>
            <w:tcW w:w="476" w:type="dxa"/>
          </w:tcPr>
          <w:p>
            <w:pPr>
              <w:pStyle w:val="TableParagraph"/>
              <w:spacing w:before="9"/>
              <w:rPr>
                <w:b/>
                <w:sz w:val="12"/>
              </w:rPr>
            </w:pPr>
          </w:p>
          <w:p>
            <w:pPr>
              <w:pStyle w:val="TableParagraph"/>
              <w:ind w:left="169" w:right="22"/>
              <w:jc w:val="center"/>
              <w:rPr>
                <w:sz w:val="13"/>
              </w:rPr>
            </w:pPr>
            <w:r>
              <w:rPr>
                <w:w w:val="105"/>
                <w:sz w:val="13"/>
              </w:rPr>
              <w:t>0,09</w:t>
            </w:r>
          </w:p>
        </w:tc>
        <w:tc>
          <w:tcPr>
            <w:tcW w:w="476" w:type="dxa"/>
          </w:tcPr>
          <w:p>
            <w:pPr>
              <w:pStyle w:val="TableParagraph"/>
              <w:spacing w:before="9"/>
              <w:rPr>
                <w:b/>
                <w:sz w:val="12"/>
              </w:rPr>
            </w:pPr>
          </w:p>
          <w:p>
            <w:pPr>
              <w:pStyle w:val="TableParagraph"/>
              <w:ind w:right="56"/>
              <w:jc w:val="right"/>
              <w:rPr>
                <w:sz w:val="13"/>
              </w:rPr>
            </w:pPr>
            <w:r>
              <w:rPr>
                <w:sz w:val="13"/>
              </w:rPr>
              <w:t>0,1</w:t>
            </w:r>
          </w:p>
        </w:tc>
        <w:tc>
          <w:tcPr>
            <w:tcW w:w="491" w:type="dxa"/>
          </w:tcPr>
          <w:p>
            <w:pPr>
              <w:pStyle w:val="TableParagraph"/>
              <w:spacing w:before="9"/>
              <w:rPr>
                <w:b/>
                <w:sz w:val="12"/>
              </w:rPr>
            </w:pPr>
          </w:p>
          <w:p>
            <w:pPr>
              <w:pStyle w:val="TableParagraph"/>
              <w:ind w:right="58"/>
              <w:jc w:val="right"/>
              <w:rPr>
                <w:sz w:val="13"/>
              </w:rPr>
            </w:pPr>
            <w:r>
              <w:rPr>
                <w:sz w:val="13"/>
              </w:rPr>
              <w:t>0,05</w:t>
            </w:r>
          </w:p>
        </w:tc>
        <w:tc>
          <w:tcPr>
            <w:tcW w:w="503" w:type="dxa"/>
          </w:tcPr>
          <w:p>
            <w:pPr>
              <w:pStyle w:val="TableParagraph"/>
              <w:spacing w:before="9"/>
              <w:rPr>
                <w:b/>
                <w:sz w:val="12"/>
              </w:rPr>
            </w:pPr>
          </w:p>
          <w:p>
            <w:pPr>
              <w:pStyle w:val="TableParagraph"/>
              <w:ind w:right="69"/>
              <w:jc w:val="right"/>
              <w:rPr>
                <w:sz w:val="13"/>
              </w:rPr>
            </w:pPr>
            <w:r>
              <w:rPr>
                <w:sz w:val="13"/>
              </w:rPr>
              <w:t>0,12</w:t>
            </w:r>
          </w:p>
        </w:tc>
        <w:tc>
          <w:tcPr>
            <w:tcW w:w="498" w:type="dxa"/>
          </w:tcPr>
          <w:p>
            <w:pPr>
              <w:pStyle w:val="TableParagraph"/>
              <w:spacing w:before="9"/>
              <w:rPr>
                <w:b/>
                <w:sz w:val="12"/>
              </w:rPr>
            </w:pPr>
          </w:p>
          <w:p>
            <w:pPr>
              <w:pStyle w:val="TableParagraph"/>
              <w:ind w:right="53"/>
              <w:jc w:val="right"/>
              <w:rPr>
                <w:sz w:val="13"/>
              </w:rPr>
            </w:pPr>
            <w:r>
              <w:rPr>
                <w:sz w:val="13"/>
              </w:rPr>
              <w:t>0,08</w:t>
            </w:r>
          </w:p>
        </w:tc>
        <w:tc>
          <w:tcPr>
            <w:tcW w:w="487" w:type="dxa"/>
          </w:tcPr>
          <w:p>
            <w:pPr>
              <w:pStyle w:val="TableParagraph"/>
              <w:spacing w:before="9"/>
              <w:rPr>
                <w:b/>
                <w:sz w:val="12"/>
              </w:rPr>
            </w:pPr>
          </w:p>
          <w:p>
            <w:pPr>
              <w:pStyle w:val="TableParagraph"/>
              <w:ind w:right="58"/>
              <w:jc w:val="right"/>
              <w:rPr>
                <w:sz w:val="13"/>
              </w:rPr>
            </w:pPr>
            <w:r>
              <w:rPr>
                <w:sz w:val="13"/>
              </w:rPr>
              <w:t>0,09</w:t>
            </w:r>
          </w:p>
        </w:tc>
        <w:tc>
          <w:tcPr>
            <w:tcW w:w="1950" w:type="dxa"/>
          </w:tcPr>
          <w:p>
            <w:pPr>
              <w:pStyle w:val="TableParagraph"/>
              <w:spacing w:before="9"/>
              <w:rPr>
                <w:b/>
                <w:sz w:val="12"/>
              </w:rPr>
            </w:pPr>
          </w:p>
          <w:p>
            <w:pPr>
              <w:pStyle w:val="TableParagraph"/>
              <w:ind w:left="58"/>
              <w:rPr>
                <w:sz w:val="13"/>
              </w:rPr>
            </w:pPr>
            <w:r>
              <w:rPr>
                <w:w w:val="105"/>
                <w:sz w:val="13"/>
              </w:rPr>
              <w:t>42,68% 98,40% 83,65% 95,08%</w:t>
            </w:r>
          </w:p>
        </w:tc>
      </w:tr>
      <w:tr>
        <w:trPr>
          <w:trHeight w:val="668" w:hRule="atLeast"/>
        </w:trPr>
        <w:tc>
          <w:tcPr>
            <w:tcW w:w="1304" w:type="dxa"/>
          </w:tcPr>
          <w:p>
            <w:pPr>
              <w:pStyle w:val="TableParagraph"/>
              <w:numPr>
                <w:ilvl w:val="0"/>
                <w:numId w:val="22"/>
              </w:numPr>
              <w:tabs>
                <w:tab w:pos="232" w:val="left" w:leader="none"/>
              </w:tabs>
              <w:spacing w:line="247" w:lineRule="auto" w:before="5" w:after="0"/>
              <w:ind w:left="64" w:right="379" w:firstLine="0"/>
              <w:jc w:val="left"/>
              <w:rPr>
                <w:sz w:val="13"/>
              </w:rPr>
            </w:pPr>
            <w:r>
              <w:rPr>
                <w:w w:val="105"/>
                <w:sz w:val="13"/>
              </w:rPr>
              <w:t>Economía, Conocimiento</w:t>
            </w:r>
            <w:r>
              <w:rPr>
                <w:spacing w:val="-13"/>
                <w:w w:val="105"/>
                <w:sz w:val="13"/>
              </w:rPr>
              <w:t> </w:t>
            </w:r>
            <w:r>
              <w:rPr>
                <w:spacing w:val="-11"/>
                <w:w w:val="105"/>
                <w:sz w:val="13"/>
              </w:rPr>
              <w:t>Y </w:t>
            </w:r>
            <w:r>
              <w:rPr>
                <w:w w:val="105"/>
                <w:sz w:val="13"/>
              </w:rPr>
              <w:t>Empleo</w:t>
            </w:r>
          </w:p>
          <w:p>
            <w:pPr>
              <w:pStyle w:val="TableParagraph"/>
              <w:numPr>
                <w:ilvl w:val="0"/>
                <w:numId w:val="22"/>
              </w:numPr>
              <w:tabs>
                <w:tab w:pos="232" w:val="left" w:leader="none"/>
              </w:tabs>
              <w:spacing w:line="152" w:lineRule="exact" w:before="2" w:after="0"/>
              <w:ind w:left="231" w:right="0" w:hanging="168"/>
              <w:jc w:val="left"/>
              <w:rPr>
                <w:sz w:val="13"/>
              </w:rPr>
            </w:pPr>
            <w:r>
              <w:rPr>
                <w:w w:val="105"/>
                <w:sz w:val="13"/>
              </w:rPr>
              <w:t>Turismo,</w:t>
            </w:r>
            <w:r>
              <w:rPr>
                <w:spacing w:val="-7"/>
                <w:w w:val="105"/>
                <w:sz w:val="13"/>
              </w:rPr>
              <w:t> </w:t>
            </w:r>
            <w:r>
              <w:rPr>
                <w:w w:val="105"/>
                <w:sz w:val="13"/>
              </w:rPr>
              <w:t>Industria</w:t>
            </w:r>
          </w:p>
        </w:tc>
        <w:tc>
          <w:tcPr>
            <w:tcW w:w="486" w:type="dxa"/>
          </w:tcPr>
          <w:p>
            <w:pPr>
              <w:pStyle w:val="TableParagraph"/>
              <w:spacing w:before="5"/>
              <w:ind w:left="197"/>
              <w:rPr>
                <w:sz w:val="13"/>
              </w:rPr>
            </w:pPr>
            <w:r>
              <w:rPr>
                <w:w w:val="105"/>
                <w:sz w:val="13"/>
              </w:rPr>
              <w:t>6,54</w:t>
            </w:r>
          </w:p>
          <w:p>
            <w:pPr>
              <w:pStyle w:val="TableParagraph"/>
              <w:rPr>
                <w:b/>
                <w:sz w:val="14"/>
              </w:rPr>
            </w:pPr>
          </w:p>
          <w:p>
            <w:pPr>
              <w:pStyle w:val="TableParagraph"/>
              <w:spacing w:before="4"/>
              <w:rPr>
                <w:b/>
                <w:sz w:val="13"/>
              </w:rPr>
            </w:pPr>
          </w:p>
          <w:p>
            <w:pPr>
              <w:pStyle w:val="TableParagraph"/>
              <w:spacing w:line="152" w:lineRule="exact"/>
              <w:ind w:left="129"/>
              <w:rPr>
                <w:sz w:val="13"/>
              </w:rPr>
            </w:pPr>
            <w:r>
              <w:rPr>
                <w:w w:val="105"/>
                <w:sz w:val="13"/>
              </w:rPr>
              <w:t>32,86</w:t>
            </w:r>
          </w:p>
        </w:tc>
        <w:tc>
          <w:tcPr>
            <w:tcW w:w="481" w:type="dxa"/>
          </w:tcPr>
          <w:p>
            <w:pPr>
              <w:pStyle w:val="TableParagraph"/>
              <w:spacing w:before="5"/>
              <w:ind w:left="183"/>
              <w:rPr>
                <w:sz w:val="13"/>
              </w:rPr>
            </w:pPr>
            <w:r>
              <w:rPr>
                <w:w w:val="105"/>
                <w:sz w:val="13"/>
              </w:rPr>
              <w:t>4,47</w:t>
            </w:r>
          </w:p>
          <w:p>
            <w:pPr>
              <w:pStyle w:val="TableParagraph"/>
              <w:rPr>
                <w:b/>
                <w:sz w:val="14"/>
              </w:rPr>
            </w:pPr>
          </w:p>
          <w:p>
            <w:pPr>
              <w:pStyle w:val="TableParagraph"/>
              <w:spacing w:before="4"/>
              <w:rPr>
                <w:b/>
                <w:sz w:val="13"/>
              </w:rPr>
            </w:pPr>
          </w:p>
          <w:p>
            <w:pPr>
              <w:pStyle w:val="TableParagraph"/>
              <w:spacing w:line="152" w:lineRule="exact"/>
              <w:ind w:left="114"/>
              <w:rPr>
                <w:sz w:val="13"/>
              </w:rPr>
            </w:pPr>
            <w:r>
              <w:rPr>
                <w:w w:val="105"/>
                <w:sz w:val="13"/>
              </w:rPr>
              <w:t>21,07</w:t>
            </w:r>
          </w:p>
        </w:tc>
        <w:tc>
          <w:tcPr>
            <w:tcW w:w="476" w:type="dxa"/>
          </w:tcPr>
          <w:p>
            <w:pPr>
              <w:pStyle w:val="TableParagraph"/>
              <w:spacing w:before="5"/>
              <w:ind w:left="191"/>
              <w:rPr>
                <w:sz w:val="13"/>
              </w:rPr>
            </w:pPr>
            <w:r>
              <w:rPr>
                <w:w w:val="105"/>
                <w:sz w:val="13"/>
              </w:rPr>
              <w:t>3,47</w:t>
            </w:r>
          </w:p>
          <w:p>
            <w:pPr>
              <w:pStyle w:val="TableParagraph"/>
              <w:rPr>
                <w:b/>
                <w:sz w:val="14"/>
              </w:rPr>
            </w:pPr>
          </w:p>
          <w:p>
            <w:pPr>
              <w:pStyle w:val="TableParagraph"/>
              <w:spacing w:before="4"/>
              <w:rPr>
                <w:b/>
                <w:sz w:val="13"/>
              </w:rPr>
            </w:pPr>
          </w:p>
          <w:p>
            <w:pPr>
              <w:pStyle w:val="TableParagraph"/>
              <w:spacing w:line="152" w:lineRule="exact"/>
              <w:ind w:left="123"/>
              <w:rPr>
                <w:sz w:val="13"/>
              </w:rPr>
            </w:pPr>
            <w:r>
              <w:rPr>
                <w:w w:val="105"/>
                <w:sz w:val="13"/>
              </w:rPr>
              <w:t>18,06</w:t>
            </w:r>
          </w:p>
        </w:tc>
        <w:tc>
          <w:tcPr>
            <w:tcW w:w="476" w:type="dxa"/>
          </w:tcPr>
          <w:p>
            <w:pPr>
              <w:pStyle w:val="TableParagraph"/>
              <w:spacing w:before="5"/>
              <w:ind w:left="177"/>
              <w:rPr>
                <w:sz w:val="13"/>
              </w:rPr>
            </w:pPr>
            <w:r>
              <w:rPr>
                <w:w w:val="105"/>
                <w:sz w:val="13"/>
              </w:rPr>
              <w:t>3,28</w:t>
            </w:r>
          </w:p>
          <w:p>
            <w:pPr>
              <w:pStyle w:val="TableParagraph"/>
              <w:rPr>
                <w:b/>
                <w:sz w:val="14"/>
              </w:rPr>
            </w:pPr>
          </w:p>
          <w:p>
            <w:pPr>
              <w:pStyle w:val="TableParagraph"/>
              <w:spacing w:before="4"/>
              <w:rPr>
                <w:b/>
                <w:sz w:val="13"/>
              </w:rPr>
            </w:pPr>
          </w:p>
          <w:p>
            <w:pPr>
              <w:pStyle w:val="TableParagraph"/>
              <w:spacing w:line="152" w:lineRule="exact"/>
              <w:ind w:left="109"/>
              <w:rPr>
                <w:sz w:val="13"/>
              </w:rPr>
            </w:pPr>
            <w:r>
              <w:rPr>
                <w:w w:val="105"/>
                <w:sz w:val="13"/>
              </w:rPr>
              <w:t>19,28</w:t>
            </w:r>
          </w:p>
        </w:tc>
        <w:tc>
          <w:tcPr>
            <w:tcW w:w="491" w:type="dxa"/>
          </w:tcPr>
          <w:p>
            <w:pPr>
              <w:pStyle w:val="TableParagraph"/>
              <w:spacing w:before="5"/>
              <w:ind w:left="191"/>
              <w:rPr>
                <w:sz w:val="13"/>
              </w:rPr>
            </w:pPr>
            <w:r>
              <w:rPr>
                <w:w w:val="105"/>
                <w:sz w:val="13"/>
              </w:rPr>
              <w:t>4,49</w:t>
            </w:r>
          </w:p>
          <w:p>
            <w:pPr>
              <w:pStyle w:val="TableParagraph"/>
              <w:rPr>
                <w:b/>
                <w:sz w:val="14"/>
              </w:rPr>
            </w:pPr>
          </w:p>
          <w:p>
            <w:pPr>
              <w:pStyle w:val="TableParagraph"/>
              <w:spacing w:before="4"/>
              <w:rPr>
                <w:b/>
                <w:sz w:val="13"/>
              </w:rPr>
            </w:pPr>
          </w:p>
          <w:p>
            <w:pPr>
              <w:pStyle w:val="TableParagraph"/>
              <w:spacing w:line="152" w:lineRule="exact"/>
              <w:ind w:left="122"/>
              <w:rPr>
                <w:sz w:val="13"/>
              </w:rPr>
            </w:pPr>
            <w:r>
              <w:rPr>
                <w:w w:val="105"/>
                <w:sz w:val="13"/>
              </w:rPr>
              <w:t>11,54</w:t>
            </w:r>
          </w:p>
        </w:tc>
        <w:tc>
          <w:tcPr>
            <w:tcW w:w="503" w:type="dxa"/>
          </w:tcPr>
          <w:p>
            <w:pPr>
              <w:pStyle w:val="TableParagraph"/>
              <w:spacing w:before="5"/>
              <w:ind w:left="191"/>
              <w:rPr>
                <w:sz w:val="13"/>
              </w:rPr>
            </w:pPr>
            <w:r>
              <w:rPr>
                <w:w w:val="105"/>
                <w:sz w:val="13"/>
              </w:rPr>
              <w:t>2,37</w:t>
            </w:r>
          </w:p>
          <w:p>
            <w:pPr>
              <w:pStyle w:val="TableParagraph"/>
              <w:rPr>
                <w:b/>
                <w:sz w:val="14"/>
              </w:rPr>
            </w:pPr>
          </w:p>
          <w:p>
            <w:pPr>
              <w:pStyle w:val="TableParagraph"/>
              <w:spacing w:before="4"/>
              <w:rPr>
                <w:b/>
                <w:sz w:val="13"/>
              </w:rPr>
            </w:pPr>
          </w:p>
          <w:p>
            <w:pPr>
              <w:pStyle w:val="TableParagraph"/>
              <w:spacing w:line="152" w:lineRule="exact"/>
              <w:ind w:left="191"/>
              <w:rPr>
                <w:sz w:val="13"/>
              </w:rPr>
            </w:pPr>
            <w:r>
              <w:rPr>
                <w:w w:val="105"/>
                <w:sz w:val="13"/>
              </w:rPr>
              <w:t>15,6</w:t>
            </w:r>
          </w:p>
        </w:tc>
        <w:tc>
          <w:tcPr>
            <w:tcW w:w="498" w:type="dxa"/>
          </w:tcPr>
          <w:p>
            <w:pPr>
              <w:pStyle w:val="TableParagraph"/>
              <w:spacing w:before="5"/>
              <w:ind w:left="202"/>
              <w:rPr>
                <w:sz w:val="13"/>
              </w:rPr>
            </w:pPr>
            <w:r>
              <w:rPr>
                <w:w w:val="105"/>
                <w:sz w:val="13"/>
              </w:rPr>
              <w:t>2,32</w:t>
            </w:r>
          </w:p>
          <w:p>
            <w:pPr>
              <w:pStyle w:val="TableParagraph"/>
              <w:rPr>
                <w:b/>
                <w:sz w:val="14"/>
              </w:rPr>
            </w:pPr>
          </w:p>
          <w:p>
            <w:pPr>
              <w:pStyle w:val="TableParagraph"/>
              <w:spacing w:before="4"/>
              <w:rPr>
                <w:b/>
                <w:sz w:val="13"/>
              </w:rPr>
            </w:pPr>
          </w:p>
          <w:p>
            <w:pPr>
              <w:pStyle w:val="TableParagraph"/>
              <w:spacing w:line="152" w:lineRule="exact"/>
              <w:ind w:left="202"/>
              <w:rPr>
                <w:sz w:val="13"/>
              </w:rPr>
            </w:pPr>
            <w:r>
              <w:rPr>
                <w:w w:val="105"/>
                <w:sz w:val="13"/>
              </w:rPr>
              <w:t>9,69</w:t>
            </w:r>
          </w:p>
        </w:tc>
        <w:tc>
          <w:tcPr>
            <w:tcW w:w="487" w:type="dxa"/>
          </w:tcPr>
          <w:p>
            <w:pPr>
              <w:pStyle w:val="TableParagraph"/>
              <w:spacing w:before="5"/>
              <w:ind w:left="186"/>
              <w:rPr>
                <w:sz w:val="13"/>
              </w:rPr>
            </w:pPr>
            <w:r>
              <w:rPr>
                <w:w w:val="105"/>
                <w:sz w:val="13"/>
              </w:rPr>
              <w:t>2,56</w:t>
            </w:r>
          </w:p>
          <w:p>
            <w:pPr>
              <w:pStyle w:val="TableParagraph"/>
              <w:rPr>
                <w:b/>
                <w:sz w:val="14"/>
              </w:rPr>
            </w:pPr>
          </w:p>
          <w:p>
            <w:pPr>
              <w:pStyle w:val="TableParagraph"/>
              <w:spacing w:before="4"/>
              <w:rPr>
                <w:b/>
                <w:sz w:val="13"/>
              </w:rPr>
            </w:pPr>
          </w:p>
          <w:p>
            <w:pPr>
              <w:pStyle w:val="TableParagraph"/>
              <w:spacing w:line="152" w:lineRule="exact"/>
              <w:ind w:left="186"/>
              <w:rPr>
                <w:sz w:val="13"/>
              </w:rPr>
            </w:pPr>
            <w:r>
              <w:rPr>
                <w:w w:val="105"/>
                <w:sz w:val="13"/>
              </w:rPr>
              <w:t>8,37</w:t>
            </w:r>
          </w:p>
        </w:tc>
        <w:tc>
          <w:tcPr>
            <w:tcW w:w="1950" w:type="dxa"/>
          </w:tcPr>
          <w:p>
            <w:pPr>
              <w:pStyle w:val="TableParagraph"/>
              <w:spacing w:before="5"/>
              <w:ind w:left="58"/>
              <w:rPr>
                <w:sz w:val="13"/>
              </w:rPr>
            </w:pPr>
            <w:r>
              <w:rPr>
                <w:w w:val="105"/>
                <w:sz w:val="13"/>
              </w:rPr>
              <w:t>68,67%  53,08%  66,89% </w:t>
            </w:r>
            <w:r>
              <w:rPr>
                <w:spacing w:val="9"/>
                <w:w w:val="105"/>
                <w:sz w:val="13"/>
              </w:rPr>
              <w:t> </w:t>
            </w:r>
            <w:r>
              <w:rPr>
                <w:w w:val="105"/>
                <w:sz w:val="13"/>
              </w:rPr>
              <w:t>78,05%</w:t>
            </w:r>
          </w:p>
          <w:p>
            <w:pPr>
              <w:pStyle w:val="TableParagraph"/>
              <w:rPr>
                <w:b/>
                <w:sz w:val="14"/>
              </w:rPr>
            </w:pPr>
          </w:p>
          <w:p>
            <w:pPr>
              <w:pStyle w:val="TableParagraph"/>
              <w:spacing w:before="4"/>
              <w:rPr>
                <w:b/>
                <w:sz w:val="13"/>
              </w:rPr>
            </w:pPr>
          </w:p>
          <w:p>
            <w:pPr>
              <w:pStyle w:val="TableParagraph"/>
              <w:spacing w:line="152" w:lineRule="exact"/>
              <w:ind w:left="58"/>
              <w:rPr>
                <w:sz w:val="13"/>
              </w:rPr>
            </w:pPr>
            <w:r>
              <w:rPr>
                <w:w w:val="105"/>
                <w:sz w:val="13"/>
              </w:rPr>
              <w:t>35,12%  74,02%  53,66% </w:t>
            </w:r>
            <w:r>
              <w:rPr>
                <w:spacing w:val="9"/>
                <w:w w:val="105"/>
                <w:sz w:val="13"/>
              </w:rPr>
              <w:t> </w:t>
            </w:r>
            <w:r>
              <w:rPr>
                <w:w w:val="105"/>
                <w:sz w:val="13"/>
              </w:rPr>
              <w:t>43,40%</w:t>
            </w:r>
          </w:p>
        </w:tc>
      </w:tr>
      <w:tr>
        <w:trPr>
          <w:trHeight w:val="328" w:hRule="atLeast"/>
        </w:trPr>
        <w:tc>
          <w:tcPr>
            <w:tcW w:w="1304" w:type="dxa"/>
          </w:tcPr>
          <w:p>
            <w:pPr>
              <w:pStyle w:val="TableParagraph"/>
              <w:spacing w:line="150" w:lineRule="exact"/>
              <w:ind w:left="64"/>
              <w:rPr>
                <w:sz w:val="13"/>
              </w:rPr>
            </w:pPr>
            <w:r>
              <w:rPr>
                <w:w w:val="105"/>
                <w:sz w:val="13"/>
              </w:rPr>
              <w:t>Y Comercio</w:t>
            </w:r>
          </w:p>
          <w:p>
            <w:pPr>
              <w:pStyle w:val="TableParagraph"/>
              <w:spacing w:line="152" w:lineRule="exact" w:before="7"/>
              <w:ind w:left="64"/>
              <w:rPr>
                <w:sz w:val="13"/>
              </w:rPr>
            </w:pPr>
            <w:r>
              <w:rPr>
                <w:w w:val="105"/>
                <w:sz w:val="13"/>
              </w:rPr>
              <w:t>18 Educación,</w:t>
            </w:r>
          </w:p>
        </w:tc>
        <w:tc>
          <w:tcPr>
            <w:tcW w:w="486" w:type="dxa"/>
          </w:tcPr>
          <w:p>
            <w:pPr>
              <w:pStyle w:val="TableParagraph"/>
              <w:spacing w:before="10"/>
              <w:rPr>
                <w:b/>
                <w:sz w:val="12"/>
              </w:rPr>
            </w:pPr>
          </w:p>
          <w:p>
            <w:pPr>
              <w:pStyle w:val="TableParagraph"/>
              <w:spacing w:line="152" w:lineRule="exact"/>
              <w:ind w:right="46"/>
              <w:jc w:val="right"/>
              <w:rPr>
                <w:sz w:val="13"/>
              </w:rPr>
            </w:pPr>
            <w:r>
              <w:rPr>
                <w:sz w:val="13"/>
              </w:rPr>
              <w:t>93,45</w:t>
            </w:r>
          </w:p>
        </w:tc>
        <w:tc>
          <w:tcPr>
            <w:tcW w:w="481" w:type="dxa"/>
          </w:tcPr>
          <w:p>
            <w:pPr>
              <w:pStyle w:val="TableParagraph"/>
              <w:spacing w:before="10"/>
              <w:rPr>
                <w:b/>
                <w:sz w:val="12"/>
              </w:rPr>
            </w:pPr>
          </w:p>
          <w:p>
            <w:pPr>
              <w:pStyle w:val="TableParagraph"/>
              <w:spacing w:line="152" w:lineRule="exact"/>
              <w:ind w:right="56"/>
              <w:jc w:val="right"/>
              <w:rPr>
                <w:sz w:val="13"/>
              </w:rPr>
            </w:pPr>
            <w:r>
              <w:rPr>
                <w:sz w:val="13"/>
              </w:rPr>
              <w:t>57,13</w:t>
            </w:r>
          </w:p>
        </w:tc>
        <w:tc>
          <w:tcPr>
            <w:tcW w:w="476" w:type="dxa"/>
          </w:tcPr>
          <w:p>
            <w:pPr>
              <w:pStyle w:val="TableParagraph"/>
              <w:spacing w:before="10"/>
              <w:rPr>
                <w:b/>
                <w:sz w:val="12"/>
              </w:rPr>
            </w:pPr>
          </w:p>
          <w:p>
            <w:pPr>
              <w:pStyle w:val="TableParagraph"/>
              <w:spacing w:line="152" w:lineRule="exact"/>
              <w:ind w:left="98" w:right="20"/>
              <w:jc w:val="center"/>
              <w:rPr>
                <w:sz w:val="13"/>
              </w:rPr>
            </w:pPr>
            <w:r>
              <w:rPr>
                <w:w w:val="105"/>
                <w:sz w:val="13"/>
              </w:rPr>
              <w:t>68,89</w:t>
            </w:r>
          </w:p>
        </w:tc>
        <w:tc>
          <w:tcPr>
            <w:tcW w:w="476" w:type="dxa"/>
          </w:tcPr>
          <w:p>
            <w:pPr>
              <w:pStyle w:val="TableParagraph"/>
              <w:spacing w:before="10"/>
              <w:rPr>
                <w:b/>
                <w:sz w:val="12"/>
              </w:rPr>
            </w:pPr>
          </w:p>
          <w:p>
            <w:pPr>
              <w:pStyle w:val="TableParagraph"/>
              <w:spacing w:line="152" w:lineRule="exact"/>
              <w:ind w:right="57"/>
              <w:jc w:val="right"/>
              <w:rPr>
                <w:sz w:val="13"/>
              </w:rPr>
            </w:pPr>
            <w:r>
              <w:rPr>
                <w:sz w:val="13"/>
              </w:rPr>
              <w:t>171,81</w:t>
            </w:r>
          </w:p>
        </w:tc>
        <w:tc>
          <w:tcPr>
            <w:tcW w:w="491" w:type="dxa"/>
          </w:tcPr>
          <w:p>
            <w:pPr>
              <w:pStyle w:val="TableParagraph"/>
              <w:spacing w:before="10"/>
              <w:rPr>
                <w:b/>
                <w:sz w:val="12"/>
              </w:rPr>
            </w:pPr>
          </w:p>
          <w:p>
            <w:pPr>
              <w:pStyle w:val="TableParagraph"/>
              <w:spacing w:line="152" w:lineRule="exact"/>
              <w:ind w:right="58"/>
              <w:jc w:val="right"/>
              <w:rPr>
                <w:sz w:val="13"/>
              </w:rPr>
            </w:pPr>
            <w:r>
              <w:rPr>
                <w:sz w:val="13"/>
              </w:rPr>
              <w:t>33,02</w:t>
            </w:r>
          </w:p>
        </w:tc>
        <w:tc>
          <w:tcPr>
            <w:tcW w:w="503" w:type="dxa"/>
          </w:tcPr>
          <w:p>
            <w:pPr>
              <w:pStyle w:val="TableParagraph"/>
              <w:spacing w:before="10"/>
              <w:rPr>
                <w:b/>
                <w:sz w:val="12"/>
              </w:rPr>
            </w:pPr>
          </w:p>
          <w:p>
            <w:pPr>
              <w:pStyle w:val="TableParagraph"/>
              <w:spacing w:line="152" w:lineRule="exact"/>
              <w:ind w:right="69"/>
              <w:jc w:val="right"/>
              <w:rPr>
                <w:sz w:val="13"/>
              </w:rPr>
            </w:pPr>
            <w:r>
              <w:rPr>
                <w:sz w:val="13"/>
              </w:rPr>
              <w:t>36,58</w:t>
            </w:r>
          </w:p>
        </w:tc>
        <w:tc>
          <w:tcPr>
            <w:tcW w:w="498" w:type="dxa"/>
          </w:tcPr>
          <w:p>
            <w:pPr>
              <w:pStyle w:val="TableParagraph"/>
              <w:spacing w:before="10"/>
              <w:rPr>
                <w:b/>
                <w:sz w:val="12"/>
              </w:rPr>
            </w:pPr>
          </w:p>
          <w:p>
            <w:pPr>
              <w:pStyle w:val="TableParagraph"/>
              <w:spacing w:line="152" w:lineRule="exact"/>
              <w:ind w:right="53"/>
              <w:jc w:val="right"/>
              <w:rPr>
                <w:sz w:val="13"/>
              </w:rPr>
            </w:pPr>
            <w:r>
              <w:rPr>
                <w:sz w:val="13"/>
              </w:rPr>
              <w:t>35,82</w:t>
            </w:r>
          </w:p>
        </w:tc>
        <w:tc>
          <w:tcPr>
            <w:tcW w:w="487" w:type="dxa"/>
          </w:tcPr>
          <w:p>
            <w:pPr>
              <w:pStyle w:val="TableParagraph"/>
              <w:spacing w:before="10"/>
              <w:rPr>
                <w:b/>
                <w:sz w:val="12"/>
              </w:rPr>
            </w:pPr>
          </w:p>
          <w:p>
            <w:pPr>
              <w:pStyle w:val="TableParagraph"/>
              <w:spacing w:line="152" w:lineRule="exact"/>
              <w:ind w:right="58"/>
              <w:jc w:val="right"/>
              <w:rPr>
                <w:sz w:val="13"/>
              </w:rPr>
            </w:pPr>
            <w:r>
              <w:rPr>
                <w:sz w:val="13"/>
              </w:rPr>
              <w:t>51,29</w:t>
            </w:r>
          </w:p>
        </w:tc>
        <w:tc>
          <w:tcPr>
            <w:tcW w:w="1950" w:type="dxa"/>
          </w:tcPr>
          <w:p>
            <w:pPr>
              <w:pStyle w:val="TableParagraph"/>
              <w:spacing w:before="10"/>
              <w:rPr>
                <w:b/>
                <w:sz w:val="12"/>
              </w:rPr>
            </w:pPr>
          </w:p>
          <w:p>
            <w:pPr>
              <w:pStyle w:val="TableParagraph"/>
              <w:spacing w:line="152" w:lineRule="exact"/>
              <w:ind w:left="58"/>
              <w:rPr>
                <w:sz w:val="13"/>
              </w:rPr>
            </w:pPr>
            <w:r>
              <w:rPr>
                <w:w w:val="105"/>
                <w:sz w:val="13"/>
              </w:rPr>
              <w:t>35,33% 64,03% 52,00% 29,86%</w:t>
            </w:r>
          </w:p>
        </w:tc>
      </w:tr>
      <w:tr>
        <w:trPr>
          <w:trHeight w:val="491" w:hRule="atLeast"/>
        </w:trPr>
        <w:tc>
          <w:tcPr>
            <w:tcW w:w="1304" w:type="dxa"/>
          </w:tcPr>
          <w:p>
            <w:pPr>
              <w:pStyle w:val="TableParagraph"/>
              <w:spacing w:line="150" w:lineRule="exact"/>
              <w:ind w:left="64"/>
              <w:rPr>
                <w:sz w:val="13"/>
              </w:rPr>
            </w:pPr>
            <w:r>
              <w:rPr>
                <w:w w:val="105"/>
                <w:sz w:val="13"/>
              </w:rPr>
              <w:t>Universidades,</w:t>
            </w:r>
          </w:p>
          <w:p>
            <w:pPr>
              <w:pStyle w:val="TableParagraph"/>
              <w:spacing w:before="4"/>
              <w:ind w:left="64"/>
              <w:rPr>
                <w:sz w:val="13"/>
              </w:rPr>
            </w:pPr>
            <w:r>
              <w:rPr>
                <w:w w:val="105"/>
                <w:sz w:val="13"/>
              </w:rPr>
              <w:t>Cultura Y Deportes</w:t>
            </w:r>
          </w:p>
          <w:p>
            <w:pPr>
              <w:pStyle w:val="TableParagraph"/>
              <w:spacing w:line="152" w:lineRule="exact" w:before="7"/>
              <w:ind w:left="64"/>
              <w:rPr>
                <w:sz w:val="13"/>
              </w:rPr>
            </w:pPr>
            <w:r>
              <w:rPr>
                <w:w w:val="105"/>
                <w:sz w:val="13"/>
              </w:rPr>
              <w:t>19 Diversas</w:t>
            </w:r>
          </w:p>
        </w:tc>
        <w:tc>
          <w:tcPr>
            <w:tcW w:w="486" w:type="dxa"/>
          </w:tcPr>
          <w:p>
            <w:pPr>
              <w:pStyle w:val="TableParagraph"/>
              <w:rPr>
                <w:b/>
                <w:sz w:val="14"/>
              </w:rPr>
            </w:pPr>
          </w:p>
          <w:p>
            <w:pPr>
              <w:pStyle w:val="TableParagraph"/>
              <w:spacing w:before="2"/>
              <w:rPr>
                <w:b/>
                <w:sz w:val="12"/>
              </w:rPr>
            </w:pPr>
          </w:p>
          <w:p>
            <w:pPr>
              <w:pStyle w:val="TableParagraph"/>
              <w:spacing w:line="152" w:lineRule="exact"/>
              <w:ind w:right="48"/>
              <w:jc w:val="right"/>
              <w:rPr>
                <w:sz w:val="13"/>
              </w:rPr>
            </w:pPr>
            <w:r>
              <w:rPr>
                <w:w w:val="103"/>
                <w:sz w:val="13"/>
              </w:rPr>
              <w:t>0</w:t>
            </w:r>
          </w:p>
        </w:tc>
        <w:tc>
          <w:tcPr>
            <w:tcW w:w="481" w:type="dxa"/>
          </w:tcPr>
          <w:p>
            <w:pPr>
              <w:pStyle w:val="TableParagraph"/>
              <w:rPr>
                <w:b/>
                <w:sz w:val="14"/>
              </w:rPr>
            </w:pPr>
          </w:p>
          <w:p>
            <w:pPr>
              <w:pStyle w:val="TableParagraph"/>
              <w:spacing w:before="2"/>
              <w:rPr>
                <w:b/>
                <w:sz w:val="12"/>
              </w:rPr>
            </w:pPr>
          </w:p>
          <w:p>
            <w:pPr>
              <w:pStyle w:val="TableParagraph"/>
              <w:spacing w:line="152" w:lineRule="exact"/>
              <w:ind w:right="56"/>
              <w:jc w:val="right"/>
              <w:rPr>
                <w:sz w:val="13"/>
              </w:rPr>
            </w:pPr>
            <w:r>
              <w:rPr>
                <w:sz w:val="13"/>
              </w:rPr>
              <w:t>0,08</w:t>
            </w:r>
          </w:p>
        </w:tc>
        <w:tc>
          <w:tcPr>
            <w:tcW w:w="476" w:type="dxa"/>
          </w:tcPr>
          <w:p>
            <w:pPr>
              <w:pStyle w:val="TableParagraph"/>
              <w:rPr>
                <w:b/>
                <w:sz w:val="14"/>
              </w:rPr>
            </w:pPr>
          </w:p>
          <w:p>
            <w:pPr>
              <w:pStyle w:val="TableParagraph"/>
              <w:spacing w:before="2"/>
              <w:rPr>
                <w:b/>
                <w:sz w:val="12"/>
              </w:rPr>
            </w:pPr>
          </w:p>
          <w:p>
            <w:pPr>
              <w:pStyle w:val="TableParagraph"/>
              <w:spacing w:line="152" w:lineRule="exact"/>
              <w:ind w:left="169" w:right="22"/>
              <w:jc w:val="center"/>
              <w:rPr>
                <w:sz w:val="13"/>
              </w:rPr>
            </w:pPr>
            <w:r>
              <w:rPr>
                <w:w w:val="105"/>
                <w:sz w:val="13"/>
              </w:rPr>
              <w:t>2,24</w:t>
            </w:r>
          </w:p>
        </w:tc>
        <w:tc>
          <w:tcPr>
            <w:tcW w:w="476" w:type="dxa"/>
          </w:tcPr>
          <w:p>
            <w:pPr>
              <w:pStyle w:val="TableParagraph"/>
              <w:rPr>
                <w:b/>
                <w:sz w:val="14"/>
              </w:rPr>
            </w:pPr>
          </w:p>
          <w:p>
            <w:pPr>
              <w:pStyle w:val="TableParagraph"/>
              <w:spacing w:before="2"/>
              <w:rPr>
                <w:b/>
                <w:sz w:val="12"/>
              </w:rPr>
            </w:pPr>
          </w:p>
          <w:p>
            <w:pPr>
              <w:pStyle w:val="TableParagraph"/>
              <w:spacing w:line="152" w:lineRule="exact"/>
              <w:ind w:right="58"/>
              <w:jc w:val="right"/>
              <w:rPr>
                <w:sz w:val="13"/>
              </w:rPr>
            </w:pPr>
            <w:r>
              <w:rPr>
                <w:w w:val="103"/>
                <w:sz w:val="13"/>
              </w:rPr>
              <w:t>0</w:t>
            </w:r>
          </w:p>
        </w:tc>
        <w:tc>
          <w:tcPr>
            <w:tcW w:w="491" w:type="dxa"/>
          </w:tcPr>
          <w:p>
            <w:pPr>
              <w:pStyle w:val="TableParagraph"/>
              <w:rPr>
                <w:b/>
                <w:sz w:val="14"/>
              </w:rPr>
            </w:pPr>
          </w:p>
          <w:p>
            <w:pPr>
              <w:pStyle w:val="TableParagraph"/>
              <w:spacing w:before="2"/>
              <w:rPr>
                <w:b/>
                <w:sz w:val="12"/>
              </w:rPr>
            </w:pPr>
          </w:p>
          <w:p>
            <w:pPr>
              <w:pStyle w:val="TableParagraph"/>
              <w:spacing w:line="152" w:lineRule="exact"/>
              <w:ind w:right="60"/>
              <w:jc w:val="right"/>
              <w:rPr>
                <w:sz w:val="13"/>
              </w:rPr>
            </w:pPr>
            <w:r>
              <w:rPr>
                <w:w w:val="103"/>
                <w:sz w:val="13"/>
              </w:rPr>
              <w:t>0</w:t>
            </w:r>
          </w:p>
        </w:tc>
        <w:tc>
          <w:tcPr>
            <w:tcW w:w="503" w:type="dxa"/>
          </w:tcPr>
          <w:p>
            <w:pPr>
              <w:pStyle w:val="TableParagraph"/>
              <w:rPr>
                <w:b/>
                <w:sz w:val="14"/>
              </w:rPr>
            </w:pPr>
          </w:p>
          <w:p>
            <w:pPr>
              <w:pStyle w:val="TableParagraph"/>
              <w:spacing w:before="2"/>
              <w:rPr>
                <w:b/>
                <w:sz w:val="12"/>
              </w:rPr>
            </w:pPr>
          </w:p>
          <w:p>
            <w:pPr>
              <w:pStyle w:val="TableParagraph"/>
              <w:spacing w:line="152" w:lineRule="exact"/>
              <w:ind w:right="71"/>
              <w:jc w:val="right"/>
              <w:rPr>
                <w:sz w:val="13"/>
              </w:rPr>
            </w:pPr>
            <w:r>
              <w:rPr>
                <w:w w:val="103"/>
                <w:sz w:val="13"/>
              </w:rPr>
              <w:t>0</w:t>
            </w:r>
          </w:p>
        </w:tc>
        <w:tc>
          <w:tcPr>
            <w:tcW w:w="498" w:type="dxa"/>
          </w:tcPr>
          <w:p>
            <w:pPr>
              <w:pStyle w:val="TableParagraph"/>
              <w:rPr>
                <w:b/>
                <w:sz w:val="14"/>
              </w:rPr>
            </w:pPr>
          </w:p>
          <w:p>
            <w:pPr>
              <w:pStyle w:val="TableParagraph"/>
              <w:spacing w:before="2"/>
              <w:rPr>
                <w:b/>
                <w:sz w:val="12"/>
              </w:rPr>
            </w:pPr>
          </w:p>
          <w:p>
            <w:pPr>
              <w:pStyle w:val="TableParagraph"/>
              <w:spacing w:line="152" w:lineRule="exact"/>
              <w:ind w:right="55"/>
              <w:jc w:val="right"/>
              <w:rPr>
                <w:sz w:val="13"/>
              </w:rPr>
            </w:pPr>
            <w:r>
              <w:rPr>
                <w:w w:val="103"/>
                <w:sz w:val="13"/>
              </w:rPr>
              <w:t>0</w:t>
            </w:r>
          </w:p>
        </w:tc>
        <w:tc>
          <w:tcPr>
            <w:tcW w:w="487" w:type="dxa"/>
          </w:tcPr>
          <w:p>
            <w:pPr>
              <w:pStyle w:val="TableParagraph"/>
              <w:rPr>
                <w:b/>
                <w:sz w:val="14"/>
              </w:rPr>
            </w:pPr>
          </w:p>
          <w:p>
            <w:pPr>
              <w:pStyle w:val="TableParagraph"/>
              <w:spacing w:before="2"/>
              <w:rPr>
                <w:b/>
                <w:sz w:val="12"/>
              </w:rPr>
            </w:pPr>
          </w:p>
          <w:p>
            <w:pPr>
              <w:pStyle w:val="TableParagraph"/>
              <w:spacing w:line="152" w:lineRule="exact"/>
              <w:ind w:right="60"/>
              <w:jc w:val="right"/>
              <w:rPr>
                <w:sz w:val="13"/>
              </w:rPr>
            </w:pPr>
            <w:r>
              <w:rPr>
                <w:w w:val="103"/>
                <w:sz w:val="13"/>
              </w:rPr>
              <w:t>0</w:t>
            </w:r>
          </w:p>
        </w:tc>
        <w:tc>
          <w:tcPr>
            <w:tcW w:w="1950" w:type="dxa"/>
          </w:tcPr>
          <w:p>
            <w:pPr>
              <w:pStyle w:val="TableParagraph"/>
              <w:rPr>
                <w:b/>
                <w:sz w:val="14"/>
              </w:rPr>
            </w:pPr>
          </w:p>
          <w:p>
            <w:pPr>
              <w:pStyle w:val="TableParagraph"/>
              <w:spacing w:before="2"/>
              <w:rPr>
                <w:b/>
                <w:sz w:val="12"/>
              </w:rPr>
            </w:pPr>
          </w:p>
          <w:p>
            <w:pPr>
              <w:pStyle w:val="TableParagraph"/>
              <w:spacing w:line="152" w:lineRule="exact"/>
              <w:ind w:left="1076"/>
              <w:rPr>
                <w:sz w:val="13"/>
              </w:rPr>
            </w:pPr>
            <w:r>
              <w:rPr>
                <w:w w:val="105"/>
                <w:sz w:val="13"/>
              </w:rPr>
              <w:t>0,00%</w:t>
            </w:r>
          </w:p>
        </w:tc>
      </w:tr>
      <w:tr>
        <w:trPr>
          <w:trHeight w:val="327" w:hRule="atLeast"/>
        </w:trPr>
        <w:tc>
          <w:tcPr>
            <w:tcW w:w="1304" w:type="dxa"/>
          </w:tcPr>
          <w:p>
            <w:pPr>
              <w:pStyle w:val="TableParagraph"/>
              <w:spacing w:line="150" w:lineRule="exact"/>
              <w:ind w:left="64"/>
              <w:rPr>
                <w:sz w:val="13"/>
              </w:rPr>
            </w:pPr>
            <w:r>
              <w:rPr>
                <w:w w:val="105"/>
                <w:sz w:val="13"/>
              </w:rPr>
              <w:t>Consejerías</w:t>
            </w:r>
          </w:p>
          <w:p>
            <w:pPr>
              <w:pStyle w:val="TableParagraph"/>
              <w:spacing w:line="153" w:lineRule="exact" w:before="4"/>
              <w:ind w:left="64"/>
              <w:rPr>
                <w:sz w:val="13"/>
              </w:rPr>
            </w:pPr>
            <w:r>
              <w:rPr>
                <w:w w:val="105"/>
                <w:sz w:val="13"/>
              </w:rPr>
              <w:t>20 Fondo Canario</w:t>
            </w:r>
          </w:p>
        </w:tc>
        <w:tc>
          <w:tcPr>
            <w:tcW w:w="486" w:type="dxa"/>
          </w:tcPr>
          <w:p>
            <w:pPr>
              <w:pStyle w:val="TableParagraph"/>
              <w:spacing w:before="8"/>
              <w:rPr>
                <w:b/>
                <w:sz w:val="12"/>
              </w:rPr>
            </w:pPr>
          </w:p>
          <w:p>
            <w:pPr>
              <w:pStyle w:val="TableParagraph"/>
              <w:spacing w:line="153" w:lineRule="exact"/>
              <w:ind w:right="46"/>
              <w:jc w:val="right"/>
              <w:rPr>
                <w:sz w:val="13"/>
              </w:rPr>
            </w:pPr>
            <w:r>
              <w:rPr>
                <w:sz w:val="13"/>
              </w:rPr>
              <w:t>0,42</w:t>
            </w:r>
          </w:p>
        </w:tc>
        <w:tc>
          <w:tcPr>
            <w:tcW w:w="481" w:type="dxa"/>
          </w:tcPr>
          <w:p>
            <w:pPr>
              <w:pStyle w:val="TableParagraph"/>
              <w:spacing w:before="8"/>
              <w:rPr>
                <w:b/>
                <w:sz w:val="12"/>
              </w:rPr>
            </w:pPr>
          </w:p>
          <w:p>
            <w:pPr>
              <w:pStyle w:val="TableParagraph"/>
              <w:spacing w:line="153" w:lineRule="exact"/>
              <w:ind w:right="56"/>
              <w:jc w:val="right"/>
              <w:rPr>
                <w:sz w:val="13"/>
              </w:rPr>
            </w:pPr>
            <w:r>
              <w:rPr>
                <w:sz w:val="13"/>
              </w:rPr>
              <w:t>0,42</w:t>
            </w:r>
          </w:p>
        </w:tc>
        <w:tc>
          <w:tcPr>
            <w:tcW w:w="476" w:type="dxa"/>
          </w:tcPr>
          <w:p>
            <w:pPr>
              <w:pStyle w:val="TableParagraph"/>
              <w:spacing w:before="8"/>
              <w:rPr>
                <w:b/>
                <w:sz w:val="12"/>
              </w:rPr>
            </w:pPr>
          </w:p>
          <w:p>
            <w:pPr>
              <w:pStyle w:val="TableParagraph"/>
              <w:spacing w:line="153" w:lineRule="exact"/>
              <w:ind w:left="169" w:right="22"/>
              <w:jc w:val="center"/>
              <w:rPr>
                <w:sz w:val="13"/>
              </w:rPr>
            </w:pPr>
            <w:r>
              <w:rPr>
                <w:w w:val="105"/>
                <w:sz w:val="13"/>
              </w:rPr>
              <w:t>0,43</w:t>
            </w:r>
          </w:p>
        </w:tc>
        <w:tc>
          <w:tcPr>
            <w:tcW w:w="476" w:type="dxa"/>
          </w:tcPr>
          <w:p>
            <w:pPr>
              <w:pStyle w:val="TableParagraph"/>
              <w:spacing w:before="8"/>
              <w:rPr>
                <w:b/>
                <w:sz w:val="12"/>
              </w:rPr>
            </w:pPr>
          </w:p>
          <w:p>
            <w:pPr>
              <w:pStyle w:val="TableParagraph"/>
              <w:spacing w:line="153" w:lineRule="exact"/>
              <w:ind w:right="56"/>
              <w:jc w:val="right"/>
              <w:rPr>
                <w:sz w:val="13"/>
              </w:rPr>
            </w:pPr>
            <w:r>
              <w:rPr>
                <w:sz w:val="13"/>
              </w:rPr>
              <w:t>0,42</w:t>
            </w:r>
          </w:p>
        </w:tc>
        <w:tc>
          <w:tcPr>
            <w:tcW w:w="491" w:type="dxa"/>
          </w:tcPr>
          <w:p>
            <w:pPr>
              <w:pStyle w:val="TableParagraph"/>
              <w:spacing w:before="8"/>
              <w:rPr>
                <w:b/>
                <w:sz w:val="12"/>
              </w:rPr>
            </w:pPr>
          </w:p>
          <w:p>
            <w:pPr>
              <w:pStyle w:val="TableParagraph"/>
              <w:spacing w:line="153" w:lineRule="exact"/>
              <w:ind w:right="58"/>
              <w:jc w:val="right"/>
              <w:rPr>
                <w:sz w:val="13"/>
              </w:rPr>
            </w:pPr>
            <w:r>
              <w:rPr>
                <w:sz w:val="13"/>
              </w:rPr>
              <w:t>0,32</w:t>
            </w:r>
          </w:p>
        </w:tc>
        <w:tc>
          <w:tcPr>
            <w:tcW w:w="503" w:type="dxa"/>
          </w:tcPr>
          <w:p>
            <w:pPr>
              <w:pStyle w:val="TableParagraph"/>
              <w:spacing w:before="8"/>
              <w:rPr>
                <w:b/>
                <w:sz w:val="12"/>
              </w:rPr>
            </w:pPr>
          </w:p>
          <w:p>
            <w:pPr>
              <w:pStyle w:val="TableParagraph"/>
              <w:spacing w:line="153" w:lineRule="exact"/>
              <w:ind w:right="69"/>
              <w:jc w:val="right"/>
              <w:rPr>
                <w:sz w:val="13"/>
              </w:rPr>
            </w:pPr>
            <w:r>
              <w:rPr>
                <w:sz w:val="13"/>
              </w:rPr>
              <w:t>0,23</w:t>
            </w:r>
          </w:p>
        </w:tc>
        <w:tc>
          <w:tcPr>
            <w:tcW w:w="498" w:type="dxa"/>
          </w:tcPr>
          <w:p>
            <w:pPr>
              <w:pStyle w:val="TableParagraph"/>
              <w:spacing w:before="8"/>
              <w:rPr>
                <w:b/>
                <w:sz w:val="12"/>
              </w:rPr>
            </w:pPr>
          </w:p>
          <w:p>
            <w:pPr>
              <w:pStyle w:val="TableParagraph"/>
              <w:spacing w:line="153" w:lineRule="exact"/>
              <w:ind w:right="53"/>
              <w:jc w:val="right"/>
              <w:rPr>
                <w:sz w:val="13"/>
              </w:rPr>
            </w:pPr>
            <w:r>
              <w:rPr>
                <w:sz w:val="13"/>
              </w:rPr>
              <w:t>0,43</w:t>
            </w:r>
          </w:p>
        </w:tc>
        <w:tc>
          <w:tcPr>
            <w:tcW w:w="487" w:type="dxa"/>
          </w:tcPr>
          <w:p>
            <w:pPr>
              <w:pStyle w:val="TableParagraph"/>
              <w:spacing w:before="8"/>
              <w:rPr>
                <w:b/>
                <w:sz w:val="12"/>
              </w:rPr>
            </w:pPr>
          </w:p>
          <w:p>
            <w:pPr>
              <w:pStyle w:val="TableParagraph"/>
              <w:spacing w:line="153" w:lineRule="exact"/>
              <w:ind w:right="58"/>
              <w:jc w:val="right"/>
              <w:rPr>
                <w:sz w:val="13"/>
              </w:rPr>
            </w:pPr>
            <w:r>
              <w:rPr>
                <w:sz w:val="13"/>
              </w:rPr>
              <w:t>0,33</w:t>
            </w:r>
          </w:p>
        </w:tc>
        <w:tc>
          <w:tcPr>
            <w:tcW w:w="1950" w:type="dxa"/>
          </w:tcPr>
          <w:p>
            <w:pPr>
              <w:pStyle w:val="TableParagraph"/>
              <w:spacing w:before="7"/>
              <w:rPr>
                <w:b/>
                <w:sz w:val="12"/>
              </w:rPr>
            </w:pPr>
          </w:p>
          <w:p>
            <w:pPr>
              <w:pStyle w:val="TableParagraph"/>
              <w:spacing w:line="154" w:lineRule="exact"/>
              <w:ind w:left="58"/>
              <w:rPr>
                <w:sz w:val="13"/>
              </w:rPr>
            </w:pPr>
            <w:r>
              <w:rPr>
                <w:w w:val="105"/>
                <w:sz w:val="13"/>
              </w:rPr>
              <w:t>75,85% 55,83% </w:t>
            </w:r>
            <w:r>
              <w:rPr>
                <w:w w:val="105"/>
                <w:position w:val="2"/>
                <w:sz w:val="11"/>
              </w:rPr>
              <w:t>100,00% </w:t>
            </w:r>
            <w:r>
              <w:rPr>
                <w:w w:val="105"/>
                <w:sz w:val="13"/>
              </w:rPr>
              <w:t>77,58%</w:t>
            </w:r>
          </w:p>
        </w:tc>
      </w:tr>
      <w:tr>
        <w:trPr>
          <w:trHeight w:val="492" w:hRule="atLeast"/>
        </w:trPr>
        <w:tc>
          <w:tcPr>
            <w:tcW w:w="1304" w:type="dxa"/>
          </w:tcPr>
          <w:p>
            <w:pPr>
              <w:pStyle w:val="TableParagraph"/>
              <w:spacing w:line="247" w:lineRule="auto"/>
              <w:ind w:left="64" w:right="105"/>
              <w:rPr>
                <w:sz w:val="13"/>
              </w:rPr>
            </w:pPr>
            <w:r>
              <w:rPr>
                <w:sz w:val="13"/>
              </w:rPr>
              <w:t>Financiación </w:t>
            </w:r>
            <w:r>
              <w:rPr>
                <w:w w:val="105"/>
                <w:sz w:val="13"/>
              </w:rPr>
              <w:t>Municipal</w:t>
            </w:r>
          </w:p>
          <w:p>
            <w:pPr>
              <w:pStyle w:val="TableParagraph"/>
              <w:spacing w:line="152" w:lineRule="exact"/>
              <w:ind w:left="64"/>
              <w:rPr>
                <w:sz w:val="13"/>
              </w:rPr>
            </w:pPr>
            <w:r>
              <w:rPr>
                <w:w w:val="105"/>
                <w:sz w:val="13"/>
              </w:rPr>
              <w:t>23 Derechos Sociales,</w:t>
            </w:r>
          </w:p>
        </w:tc>
        <w:tc>
          <w:tcPr>
            <w:tcW w:w="486" w:type="dxa"/>
          </w:tcPr>
          <w:p>
            <w:pPr>
              <w:pStyle w:val="TableParagraph"/>
              <w:rPr>
                <w:b/>
                <w:sz w:val="14"/>
              </w:rPr>
            </w:pPr>
          </w:p>
          <w:p>
            <w:pPr>
              <w:pStyle w:val="TableParagraph"/>
              <w:spacing w:before="3"/>
              <w:rPr>
                <w:b/>
                <w:sz w:val="12"/>
              </w:rPr>
            </w:pPr>
          </w:p>
          <w:p>
            <w:pPr>
              <w:pStyle w:val="TableParagraph"/>
              <w:spacing w:line="152" w:lineRule="exact"/>
              <w:ind w:right="46"/>
              <w:jc w:val="right"/>
              <w:rPr>
                <w:sz w:val="13"/>
              </w:rPr>
            </w:pPr>
            <w:r>
              <w:rPr>
                <w:sz w:val="13"/>
              </w:rPr>
              <w:t>5,73</w:t>
            </w:r>
          </w:p>
        </w:tc>
        <w:tc>
          <w:tcPr>
            <w:tcW w:w="481" w:type="dxa"/>
          </w:tcPr>
          <w:p>
            <w:pPr>
              <w:pStyle w:val="TableParagraph"/>
              <w:rPr>
                <w:b/>
                <w:sz w:val="14"/>
              </w:rPr>
            </w:pPr>
          </w:p>
          <w:p>
            <w:pPr>
              <w:pStyle w:val="TableParagraph"/>
              <w:spacing w:before="3"/>
              <w:rPr>
                <w:b/>
                <w:sz w:val="12"/>
              </w:rPr>
            </w:pPr>
          </w:p>
          <w:p>
            <w:pPr>
              <w:pStyle w:val="TableParagraph"/>
              <w:spacing w:line="152" w:lineRule="exact"/>
              <w:ind w:right="56"/>
              <w:jc w:val="right"/>
              <w:rPr>
                <w:sz w:val="13"/>
              </w:rPr>
            </w:pPr>
            <w:r>
              <w:rPr>
                <w:sz w:val="13"/>
              </w:rPr>
              <w:t>6,48</w:t>
            </w:r>
          </w:p>
        </w:tc>
        <w:tc>
          <w:tcPr>
            <w:tcW w:w="476" w:type="dxa"/>
          </w:tcPr>
          <w:p>
            <w:pPr>
              <w:pStyle w:val="TableParagraph"/>
              <w:rPr>
                <w:b/>
                <w:sz w:val="14"/>
              </w:rPr>
            </w:pPr>
          </w:p>
          <w:p>
            <w:pPr>
              <w:pStyle w:val="TableParagraph"/>
              <w:spacing w:before="3"/>
              <w:rPr>
                <w:b/>
                <w:sz w:val="12"/>
              </w:rPr>
            </w:pPr>
          </w:p>
          <w:p>
            <w:pPr>
              <w:pStyle w:val="TableParagraph"/>
              <w:spacing w:line="152" w:lineRule="exact"/>
              <w:ind w:left="169" w:right="22"/>
              <w:jc w:val="center"/>
              <w:rPr>
                <w:sz w:val="13"/>
              </w:rPr>
            </w:pPr>
            <w:r>
              <w:rPr>
                <w:w w:val="105"/>
                <w:sz w:val="13"/>
              </w:rPr>
              <w:t>8,17</w:t>
            </w:r>
          </w:p>
        </w:tc>
        <w:tc>
          <w:tcPr>
            <w:tcW w:w="476" w:type="dxa"/>
          </w:tcPr>
          <w:p>
            <w:pPr>
              <w:pStyle w:val="TableParagraph"/>
              <w:rPr>
                <w:b/>
                <w:sz w:val="14"/>
              </w:rPr>
            </w:pPr>
          </w:p>
          <w:p>
            <w:pPr>
              <w:pStyle w:val="TableParagraph"/>
              <w:spacing w:before="3"/>
              <w:rPr>
                <w:b/>
                <w:sz w:val="12"/>
              </w:rPr>
            </w:pPr>
          </w:p>
          <w:p>
            <w:pPr>
              <w:pStyle w:val="TableParagraph"/>
              <w:spacing w:line="152" w:lineRule="exact"/>
              <w:ind w:right="56"/>
              <w:jc w:val="right"/>
              <w:rPr>
                <w:sz w:val="13"/>
              </w:rPr>
            </w:pPr>
            <w:r>
              <w:rPr>
                <w:sz w:val="13"/>
              </w:rPr>
              <w:t>10,37</w:t>
            </w:r>
          </w:p>
        </w:tc>
        <w:tc>
          <w:tcPr>
            <w:tcW w:w="491" w:type="dxa"/>
          </w:tcPr>
          <w:p>
            <w:pPr>
              <w:pStyle w:val="TableParagraph"/>
              <w:rPr>
                <w:b/>
                <w:sz w:val="14"/>
              </w:rPr>
            </w:pPr>
          </w:p>
          <w:p>
            <w:pPr>
              <w:pStyle w:val="TableParagraph"/>
              <w:spacing w:before="3"/>
              <w:rPr>
                <w:b/>
                <w:sz w:val="12"/>
              </w:rPr>
            </w:pPr>
          </w:p>
          <w:p>
            <w:pPr>
              <w:pStyle w:val="TableParagraph"/>
              <w:spacing w:line="152" w:lineRule="exact"/>
              <w:ind w:right="58"/>
              <w:jc w:val="right"/>
              <w:rPr>
                <w:sz w:val="13"/>
              </w:rPr>
            </w:pPr>
            <w:r>
              <w:rPr>
                <w:sz w:val="13"/>
              </w:rPr>
              <w:t>1,64</w:t>
            </w:r>
          </w:p>
        </w:tc>
        <w:tc>
          <w:tcPr>
            <w:tcW w:w="503" w:type="dxa"/>
          </w:tcPr>
          <w:p>
            <w:pPr>
              <w:pStyle w:val="TableParagraph"/>
              <w:rPr>
                <w:b/>
                <w:sz w:val="14"/>
              </w:rPr>
            </w:pPr>
          </w:p>
          <w:p>
            <w:pPr>
              <w:pStyle w:val="TableParagraph"/>
              <w:spacing w:before="3"/>
              <w:rPr>
                <w:b/>
                <w:sz w:val="12"/>
              </w:rPr>
            </w:pPr>
          </w:p>
          <w:p>
            <w:pPr>
              <w:pStyle w:val="TableParagraph"/>
              <w:spacing w:line="152" w:lineRule="exact"/>
              <w:ind w:right="69"/>
              <w:jc w:val="right"/>
              <w:rPr>
                <w:sz w:val="13"/>
              </w:rPr>
            </w:pPr>
            <w:r>
              <w:rPr>
                <w:sz w:val="13"/>
              </w:rPr>
              <w:t>2,01</w:t>
            </w:r>
          </w:p>
        </w:tc>
        <w:tc>
          <w:tcPr>
            <w:tcW w:w="498" w:type="dxa"/>
          </w:tcPr>
          <w:p>
            <w:pPr>
              <w:pStyle w:val="TableParagraph"/>
              <w:rPr>
                <w:b/>
                <w:sz w:val="14"/>
              </w:rPr>
            </w:pPr>
          </w:p>
          <w:p>
            <w:pPr>
              <w:pStyle w:val="TableParagraph"/>
              <w:spacing w:before="3"/>
              <w:rPr>
                <w:b/>
                <w:sz w:val="12"/>
              </w:rPr>
            </w:pPr>
          </w:p>
          <w:p>
            <w:pPr>
              <w:pStyle w:val="TableParagraph"/>
              <w:spacing w:line="152" w:lineRule="exact"/>
              <w:ind w:right="53"/>
              <w:jc w:val="right"/>
              <w:rPr>
                <w:sz w:val="13"/>
              </w:rPr>
            </w:pPr>
            <w:r>
              <w:rPr>
                <w:sz w:val="13"/>
              </w:rPr>
              <w:t>5,11</w:t>
            </w:r>
          </w:p>
        </w:tc>
        <w:tc>
          <w:tcPr>
            <w:tcW w:w="487" w:type="dxa"/>
          </w:tcPr>
          <w:p>
            <w:pPr>
              <w:pStyle w:val="TableParagraph"/>
              <w:rPr>
                <w:b/>
                <w:sz w:val="14"/>
              </w:rPr>
            </w:pPr>
          </w:p>
          <w:p>
            <w:pPr>
              <w:pStyle w:val="TableParagraph"/>
              <w:spacing w:before="3"/>
              <w:rPr>
                <w:b/>
                <w:sz w:val="12"/>
              </w:rPr>
            </w:pPr>
          </w:p>
          <w:p>
            <w:pPr>
              <w:pStyle w:val="TableParagraph"/>
              <w:spacing w:line="152" w:lineRule="exact"/>
              <w:ind w:right="58"/>
              <w:jc w:val="right"/>
              <w:rPr>
                <w:sz w:val="13"/>
              </w:rPr>
            </w:pPr>
            <w:r>
              <w:rPr>
                <w:sz w:val="13"/>
              </w:rPr>
              <w:t>12,35</w:t>
            </w:r>
          </w:p>
        </w:tc>
        <w:tc>
          <w:tcPr>
            <w:tcW w:w="1950" w:type="dxa"/>
          </w:tcPr>
          <w:p>
            <w:pPr>
              <w:pStyle w:val="TableParagraph"/>
              <w:rPr>
                <w:b/>
                <w:sz w:val="14"/>
              </w:rPr>
            </w:pPr>
          </w:p>
          <w:p>
            <w:pPr>
              <w:pStyle w:val="TableParagraph"/>
              <w:spacing w:before="2"/>
              <w:rPr>
                <w:b/>
                <w:sz w:val="12"/>
              </w:rPr>
            </w:pPr>
          </w:p>
          <w:p>
            <w:pPr>
              <w:pStyle w:val="TableParagraph"/>
              <w:spacing w:line="153" w:lineRule="exact"/>
              <w:ind w:left="58"/>
              <w:rPr>
                <w:sz w:val="11"/>
              </w:rPr>
            </w:pPr>
            <w:r>
              <w:rPr>
                <w:w w:val="105"/>
                <w:sz w:val="13"/>
              </w:rPr>
              <w:t>28,67% 30,94% 62,59% </w:t>
            </w:r>
            <w:r>
              <w:rPr>
                <w:w w:val="105"/>
                <w:position w:val="2"/>
                <w:sz w:val="11"/>
              </w:rPr>
              <w:t>119,02%</w:t>
            </w:r>
          </w:p>
        </w:tc>
      </w:tr>
      <w:tr>
        <w:trPr>
          <w:trHeight w:val="333" w:hRule="atLeast"/>
        </w:trPr>
        <w:tc>
          <w:tcPr>
            <w:tcW w:w="1304" w:type="dxa"/>
          </w:tcPr>
          <w:p>
            <w:pPr>
              <w:pStyle w:val="TableParagraph"/>
              <w:spacing w:line="150" w:lineRule="exact"/>
              <w:ind w:left="64"/>
              <w:rPr>
                <w:sz w:val="13"/>
              </w:rPr>
            </w:pPr>
            <w:r>
              <w:rPr>
                <w:w w:val="105"/>
                <w:sz w:val="13"/>
              </w:rPr>
              <w:t>Igualdad, Diversidad</w:t>
            </w:r>
          </w:p>
          <w:p>
            <w:pPr>
              <w:pStyle w:val="TableParagraph"/>
              <w:spacing w:before="4"/>
              <w:ind w:left="64"/>
              <w:rPr>
                <w:sz w:val="13"/>
              </w:rPr>
            </w:pPr>
            <w:r>
              <w:rPr>
                <w:w w:val="105"/>
                <w:sz w:val="13"/>
              </w:rPr>
              <w:t>y juventud</w:t>
            </w:r>
          </w:p>
        </w:tc>
        <w:tc>
          <w:tcPr>
            <w:tcW w:w="486" w:type="dxa"/>
          </w:tcPr>
          <w:p>
            <w:pPr>
              <w:pStyle w:val="TableParagraph"/>
              <w:rPr>
                <w:rFonts w:ascii="Times New Roman"/>
                <w:sz w:val="12"/>
              </w:rPr>
            </w:pPr>
          </w:p>
        </w:tc>
        <w:tc>
          <w:tcPr>
            <w:tcW w:w="481" w:type="dxa"/>
          </w:tcPr>
          <w:p>
            <w:pPr>
              <w:pStyle w:val="TableParagraph"/>
              <w:rPr>
                <w:rFonts w:ascii="Times New Roman"/>
                <w:sz w:val="12"/>
              </w:rPr>
            </w:pPr>
          </w:p>
        </w:tc>
        <w:tc>
          <w:tcPr>
            <w:tcW w:w="476" w:type="dxa"/>
          </w:tcPr>
          <w:p>
            <w:pPr>
              <w:pStyle w:val="TableParagraph"/>
              <w:rPr>
                <w:rFonts w:ascii="Times New Roman"/>
                <w:sz w:val="12"/>
              </w:rPr>
            </w:pPr>
          </w:p>
        </w:tc>
        <w:tc>
          <w:tcPr>
            <w:tcW w:w="476" w:type="dxa"/>
          </w:tcPr>
          <w:p>
            <w:pPr>
              <w:pStyle w:val="TableParagraph"/>
              <w:rPr>
                <w:rFonts w:ascii="Times New Roman"/>
                <w:sz w:val="12"/>
              </w:rPr>
            </w:pPr>
          </w:p>
        </w:tc>
        <w:tc>
          <w:tcPr>
            <w:tcW w:w="491" w:type="dxa"/>
          </w:tcPr>
          <w:p>
            <w:pPr>
              <w:pStyle w:val="TableParagraph"/>
              <w:rPr>
                <w:rFonts w:ascii="Times New Roman"/>
                <w:sz w:val="12"/>
              </w:rPr>
            </w:pPr>
          </w:p>
        </w:tc>
        <w:tc>
          <w:tcPr>
            <w:tcW w:w="503" w:type="dxa"/>
          </w:tcPr>
          <w:p>
            <w:pPr>
              <w:pStyle w:val="TableParagraph"/>
              <w:rPr>
                <w:rFonts w:ascii="Times New Roman"/>
                <w:sz w:val="12"/>
              </w:rPr>
            </w:pPr>
          </w:p>
        </w:tc>
        <w:tc>
          <w:tcPr>
            <w:tcW w:w="498" w:type="dxa"/>
          </w:tcPr>
          <w:p>
            <w:pPr>
              <w:pStyle w:val="TableParagraph"/>
              <w:rPr>
                <w:rFonts w:ascii="Times New Roman"/>
                <w:sz w:val="12"/>
              </w:rPr>
            </w:pPr>
          </w:p>
        </w:tc>
        <w:tc>
          <w:tcPr>
            <w:tcW w:w="487" w:type="dxa"/>
          </w:tcPr>
          <w:p>
            <w:pPr>
              <w:pStyle w:val="TableParagraph"/>
              <w:rPr>
                <w:rFonts w:ascii="Times New Roman"/>
                <w:sz w:val="12"/>
              </w:rPr>
            </w:pPr>
          </w:p>
        </w:tc>
        <w:tc>
          <w:tcPr>
            <w:tcW w:w="1950" w:type="dxa"/>
          </w:tcPr>
          <w:p>
            <w:pPr>
              <w:pStyle w:val="TableParagraph"/>
              <w:rPr>
                <w:rFonts w:ascii="Times New Roman"/>
                <w:sz w:val="12"/>
              </w:rPr>
            </w:pPr>
          </w:p>
        </w:tc>
      </w:tr>
      <w:tr>
        <w:trPr>
          <w:trHeight w:val="173" w:hRule="atLeast"/>
        </w:trPr>
        <w:tc>
          <w:tcPr>
            <w:tcW w:w="1304" w:type="dxa"/>
            <w:tcBorders>
              <w:bottom w:val="single" w:sz="4" w:space="0" w:color="000000"/>
            </w:tcBorders>
          </w:tcPr>
          <w:p>
            <w:pPr>
              <w:pStyle w:val="TableParagraph"/>
              <w:rPr>
                <w:rFonts w:ascii="Times New Roman"/>
                <w:sz w:val="10"/>
              </w:rPr>
            </w:pPr>
          </w:p>
        </w:tc>
        <w:tc>
          <w:tcPr>
            <w:tcW w:w="486" w:type="dxa"/>
            <w:tcBorders>
              <w:bottom w:val="single" w:sz="4" w:space="0" w:color="000000"/>
            </w:tcBorders>
          </w:tcPr>
          <w:p>
            <w:pPr>
              <w:pStyle w:val="TableParagraph"/>
              <w:spacing w:line="154" w:lineRule="exact"/>
              <w:ind w:right="46"/>
              <w:jc w:val="right"/>
              <w:rPr>
                <w:b/>
                <w:sz w:val="13"/>
              </w:rPr>
            </w:pPr>
            <w:r>
              <w:rPr>
                <w:b/>
                <w:sz w:val="13"/>
              </w:rPr>
              <w:t>473,67</w:t>
            </w:r>
          </w:p>
        </w:tc>
        <w:tc>
          <w:tcPr>
            <w:tcW w:w="481" w:type="dxa"/>
            <w:tcBorders>
              <w:bottom w:val="single" w:sz="4" w:space="0" w:color="000000"/>
            </w:tcBorders>
          </w:tcPr>
          <w:p>
            <w:pPr>
              <w:pStyle w:val="TableParagraph"/>
              <w:spacing w:line="154" w:lineRule="exact"/>
              <w:ind w:right="55"/>
              <w:jc w:val="right"/>
              <w:rPr>
                <w:b/>
                <w:sz w:val="13"/>
              </w:rPr>
            </w:pPr>
            <w:r>
              <w:rPr>
                <w:b/>
                <w:sz w:val="13"/>
              </w:rPr>
              <w:t>389,47</w:t>
            </w:r>
          </w:p>
        </w:tc>
        <w:tc>
          <w:tcPr>
            <w:tcW w:w="476" w:type="dxa"/>
            <w:tcBorders>
              <w:bottom w:val="single" w:sz="4" w:space="0" w:color="000000"/>
            </w:tcBorders>
          </w:tcPr>
          <w:p>
            <w:pPr>
              <w:pStyle w:val="TableParagraph"/>
              <w:spacing w:line="154" w:lineRule="exact"/>
              <w:ind w:left="32" w:right="22"/>
              <w:jc w:val="center"/>
              <w:rPr>
                <w:b/>
                <w:sz w:val="13"/>
              </w:rPr>
            </w:pPr>
            <w:r>
              <w:rPr>
                <w:b/>
                <w:w w:val="105"/>
                <w:sz w:val="13"/>
              </w:rPr>
              <w:t>529,81</w:t>
            </w:r>
          </w:p>
        </w:tc>
        <w:tc>
          <w:tcPr>
            <w:tcW w:w="476" w:type="dxa"/>
            <w:tcBorders>
              <w:bottom w:val="single" w:sz="4" w:space="0" w:color="000000"/>
            </w:tcBorders>
          </w:tcPr>
          <w:p>
            <w:pPr>
              <w:pStyle w:val="TableParagraph"/>
              <w:spacing w:line="154" w:lineRule="exact"/>
              <w:ind w:right="56"/>
              <w:jc w:val="right"/>
              <w:rPr>
                <w:b/>
                <w:sz w:val="13"/>
              </w:rPr>
            </w:pPr>
            <w:r>
              <w:rPr>
                <w:b/>
                <w:sz w:val="13"/>
              </w:rPr>
              <w:t>627,06</w:t>
            </w:r>
          </w:p>
        </w:tc>
        <w:tc>
          <w:tcPr>
            <w:tcW w:w="491" w:type="dxa"/>
            <w:tcBorders>
              <w:bottom w:val="single" w:sz="4" w:space="0" w:color="000000"/>
            </w:tcBorders>
          </w:tcPr>
          <w:p>
            <w:pPr>
              <w:pStyle w:val="TableParagraph"/>
              <w:spacing w:line="154" w:lineRule="exact"/>
              <w:ind w:right="57"/>
              <w:jc w:val="right"/>
              <w:rPr>
                <w:b/>
                <w:sz w:val="13"/>
              </w:rPr>
            </w:pPr>
            <w:r>
              <w:rPr>
                <w:b/>
                <w:sz w:val="13"/>
              </w:rPr>
              <w:t>173,91</w:t>
            </w:r>
          </w:p>
        </w:tc>
        <w:tc>
          <w:tcPr>
            <w:tcW w:w="503" w:type="dxa"/>
            <w:tcBorders>
              <w:bottom w:val="single" w:sz="4" w:space="0" w:color="000000"/>
            </w:tcBorders>
          </w:tcPr>
          <w:p>
            <w:pPr>
              <w:pStyle w:val="TableParagraph"/>
              <w:spacing w:line="154" w:lineRule="exact"/>
              <w:ind w:right="68"/>
              <w:jc w:val="right"/>
              <w:rPr>
                <w:b/>
                <w:sz w:val="13"/>
              </w:rPr>
            </w:pPr>
            <w:r>
              <w:rPr>
                <w:b/>
                <w:sz w:val="13"/>
              </w:rPr>
              <w:t>252,57</w:t>
            </w:r>
          </w:p>
        </w:tc>
        <w:tc>
          <w:tcPr>
            <w:tcW w:w="498" w:type="dxa"/>
            <w:tcBorders>
              <w:bottom w:val="single" w:sz="4" w:space="0" w:color="000000"/>
            </w:tcBorders>
          </w:tcPr>
          <w:p>
            <w:pPr>
              <w:pStyle w:val="TableParagraph"/>
              <w:spacing w:line="154" w:lineRule="exact"/>
              <w:ind w:right="53"/>
              <w:jc w:val="right"/>
              <w:rPr>
                <w:b/>
                <w:sz w:val="13"/>
              </w:rPr>
            </w:pPr>
            <w:r>
              <w:rPr>
                <w:b/>
                <w:sz w:val="13"/>
              </w:rPr>
              <w:t>315,29</w:t>
            </w:r>
          </w:p>
        </w:tc>
        <w:tc>
          <w:tcPr>
            <w:tcW w:w="487" w:type="dxa"/>
            <w:tcBorders>
              <w:bottom w:val="single" w:sz="4" w:space="0" w:color="000000"/>
            </w:tcBorders>
          </w:tcPr>
          <w:p>
            <w:pPr>
              <w:pStyle w:val="TableParagraph"/>
              <w:spacing w:line="154" w:lineRule="exact"/>
              <w:ind w:right="58"/>
              <w:jc w:val="right"/>
              <w:rPr>
                <w:b/>
                <w:sz w:val="13"/>
              </w:rPr>
            </w:pPr>
            <w:r>
              <w:rPr>
                <w:b/>
                <w:sz w:val="13"/>
              </w:rPr>
              <w:t>365,87</w:t>
            </w:r>
          </w:p>
        </w:tc>
        <w:tc>
          <w:tcPr>
            <w:tcW w:w="1950" w:type="dxa"/>
            <w:tcBorders>
              <w:bottom w:val="single" w:sz="4" w:space="0" w:color="000000"/>
            </w:tcBorders>
          </w:tcPr>
          <w:p>
            <w:pPr>
              <w:pStyle w:val="TableParagraph"/>
              <w:spacing w:line="154" w:lineRule="exact"/>
              <w:ind w:left="54"/>
              <w:rPr>
                <w:b/>
                <w:sz w:val="13"/>
              </w:rPr>
            </w:pPr>
            <w:r>
              <w:rPr>
                <w:b/>
                <w:w w:val="105"/>
                <w:sz w:val="13"/>
              </w:rPr>
              <w:t>36,72% 64,85% 59,51% 58,35%</w:t>
            </w:r>
          </w:p>
        </w:tc>
      </w:tr>
    </w:tbl>
    <w:p>
      <w:pPr>
        <w:spacing w:line="247" w:lineRule="auto" w:before="6"/>
        <w:ind w:left="2096" w:right="1045" w:firstLine="0"/>
        <w:jc w:val="left"/>
        <w:rPr>
          <w:sz w:val="13"/>
        </w:rPr>
      </w:pPr>
      <w:r>
        <w:rPr>
          <w:w w:val="105"/>
          <w:sz w:val="13"/>
        </w:rPr>
        <w:t>NOTA: en 2022 el Parlamento ya no es una sección del presupuesto de la Administración de la CAC, sino un ente presupuestario singular.</w:t>
      </w:r>
    </w:p>
    <w:p>
      <w:pPr>
        <w:pStyle w:val="BodyText"/>
        <w:spacing w:before="4"/>
        <w:rPr>
          <w:sz w:val="16"/>
        </w:rPr>
      </w:pPr>
    </w:p>
    <w:p>
      <w:pPr>
        <w:pStyle w:val="BodyText"/>
        <w:ind w:left="2096" w:right="1201" w:firstLine="604"/>
      </w:pPr>
      <w:r>
        <w:rPr/>
        <w:t>A continuación, se presentan clasificados por ejercicio presupuestario, las secciones que presentan menores grados de ejecución.</w:t>
      </w:r>
    </w:p>
    <w:p>
      <w:pPr>
        <w:pStyle w:val="BodyText"/>
      </w:pPr>
    </w:p>
    <w:p>
      <w:pPr>
        <w:pStyle w:val="BodyText"/>
      </w:pPr>
    </w:p>
    <w:p>
      <w:pPr>
        <w:pStyle w:val="BodyText"/>
      </w:pPr>
    </w:p>
    <w:p>
      <w:pPr>
        <w:pStyle w:val="BodyText"/>
      </w:pPr>
    </w:p>
    <w:p>
      <w:pPr>
        <w:pStyle w:val="BodyText"/>
      </w:pPr>
    </w:p>
    <w:p>
      <w:pPr>
        <w:pStyle w:val="BodyText"/>
        <w:spacing w:before="4"/>
        <w:rPr>
          <w:sz w:val="15"/>
        </w:rPr>
      </w:pPr>
    </w:p>
    <w:p>
      <w:pPr>
        <w:pStyle w:val="BodyText"/>
        <w:ind w:left="7897"/>
        <w:jc w:val="center"/>
      </w:pPr>
      <w:r>
        <w:rPr/>
        <w:t>52</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15" name="image5.png"/>
                  <wp:cNvGraphicFramePr>
                    <a:graphicFrameLocks noChangeAspect="1"/>
                  </wp:cNvGraphicFramePr>
                  <a:graphic>
                    <a:graphicData uri="http://schemas.openxmlformats.org/drawingml/2006/picture">
                      <pic:pic>
                        <pic:nvPicPr>
                          <pic:cNvPr id="11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54/247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9"/>
        <w:rPr>
          <w:b/>
          <w:sz w:val="14"/>
        </w:rPr>
      </w:pPr>
    </w:p>
    <w:p>
      <w:pPr>
        <w:pStyle w:val="BodyText"/>
        <w:spacing w:line="205" w:lineRule="exact"/>
        <w:ind w:left="3041"/>
      </w:pPr>
      <w:r>
        <w:rPr>
          <w:position w:val="-3"/>
        </w:rPr>
        <w:pict>
          <v:shape style="width:262.650pt;height:10.3pt;mso-position-horizontal-relative:char;mso-position-vertical-relative:line" type="#_x0000_t202" filled="true" fillcolor="#deeaf6" stroked="false">
            <w10:anchorlock/>
            <v:textbox inset="0,0,0,0">
              <w:txbxContent>
                <w:p>
                  <w:pPr>
                    <w:spacing w:before="9"/>
                    <w:ind w:left="1025" w:right="0" w:firstLine="0"/>
                    <w:jc w:val="left"/>
                    <w:rPr>
                      <w:b/>
                      <w:sz w:val="16"/>
                    </w:rPr>
                  </w:pPr>
                  <w:r>
                    <w:rPr>
                      <w:b/>
                      <w:w w:val="105"/>
                      <w:sz w:val="16"/>
                    </w:rPr>
                    <w:t>Secciones con menor grado de ejecución 2022</w:t>
                  </w:r>
                </w:p>
              </w:txbxContent>
            </v:textbox>
            <v:fill type="solid"/>
          </v:shape>
        </w:pict>
      </w:r>
      <w:r>
        <w:rPr>
          <w:position w:val="-3"/>
        </w:rPr>
      </w:r>
    </w:p>
    <w:p>
      <w:pPr>
        <w:tabs>
          <w:tab w:pos="7731" w:val="left" w:leader="none"/>
        </w:tabs>
        <w:spacing w:before="9"/>
        <w:ind w:left="3100" w:right="0" w:firstLine="0"/>
        <w:jc w:val="left"/>
        <w:rPr>
          <w:sz w:val="16"/>
        </w:rPr>
      </w:pPr>
      <w:r>
        <w:rPr/>
        <w:pict>
          <v:line style="position:absolute;mso-position-horizontal-relative:page;mso-position-vertical-relative:paragraph;z-index:251825152" from="190.094498pt,-10.471115pt" to="452.695137pt,-10.471115pt" stroked="true" strokeweight=".403006pt" strokecolor="#000000">
            <v:stroke dashstyle="solid"/>
            <w10:wrap type="none"/>
          </v:line>
        </w:pict>
      </w:r>
      <w:r>
        <w:rPr>
          <w:w w:val="105"/>
          <w:sz w:val="16"/>
        </w:rPr>
        <w:t>18 Educación, Universidades, Cultura</w:t>
      </w:r>
      <w:r>
        <w:rPr>
          <w:spacing w:val="-12"/>
          <w:w w:val="105"/>
          <w:sz w:val="16"/>
        </w:rPr>
        <w:t> </w:t>
      </w:r>
      <w:r>
        <w:rPr>
          <w:w w:val="105"/>
          <w:sz w:val="16"/>
        </w:rPr>
        <w:t>Y</w:t>
      </w:r>
      <w:r>
        <w:rPr>
          <w:spacing w:val="-3"/>
          <w:w w:val="105"/>
          <w:sz w:val="16"/>
        </w:rPr>
        <w:t> </w:t>
      </w:r>
      <w:r>
        <w:rPr>
          <w:w w:val="105"/>
          <w:sz w:val="16"/>
        </w:rPr>
        <w:t>Deportes</w:t>
        <w:tab/>
        <w:t>29,86%</w:t>
      </w:r>
    </w:p>
    <w:p>
      <w:pPr>
        <w:tabs>
          <w:tab w:pos="7731" w:val="left" w:leader="none"/>
        </w:tabs>
        <w:spacing w:before="8"/>
        <w:ind w:left="3100" w:right="0" w:firstLine="0"/>
        <w:jc w:val="left"/>
        <w:rPr>
          <w:sz w:val="16"/>
        </w:rPr>
      </w:pPr>
      <w:r>
        <w:rPr>
          <w:w w:val="105"/>
          <w:sz w:val="16"/>
        </w:rPr>
        <w:t>16 Turismo, Industria</w:t>
      </w:r>
      <w:r>
        <w:rPr>
          <w:spacing w:val="-8"/>
          <w:w w:val="105"/>
          <w:sz w:val="16"/>
        </w:rPr>
        <w:t> </w:t>
      </w:r>
      <w:r>
        <w:rPr>
          <w:w w:val="105"/>
          <w:sz w:val="16"/>
        </w:rPr>
        <w:t>Y</w:t>
      </w:r>
      <w:r>
        <w:rPr>
          <w:spacing w:val="-3"/>
          <w:w w:val="105"/>
          <w:sz w:val="16"/>
        </w:rPr>
        <w:t> </w:t>
      </w:r>
      <w:r>
        <w:rPr>
          <w:w w:val="105"/>
          <w:sz w:val="16"/>
        </w:rPr>
        <w:t>Comercio</w:t>
        <w:tab/>
        <w:t>43,40%</w:t>
      </w:r>
    </w:p>
    <w:p>
      <w:pPr>
        <w:tabs>
          <w:tab w:pos="7731" w:val="left" w:leader="none"/>
        </w:tabs>
        <w:spacing w:before="11"/>
        <w:ind w:left="3100" w:right="0" w:firstLine="0"/>
        <w:jc w:val="left"/>
        <w:rPr>
          <w:sz w:val="16"/>
        </w:rPr>
      </w:pPr>
      <w:r>
        <w:rPr>
          <w:w w:val="105"/>
          <w:sz w:val="16"/>
        </w:rPr>
        <w:t>10 Hacienda, Presupuestos Y</w:t>
      </w:r>
      <w:r>
        <w:rPr>
          <w:spacing w:val="-13"/>
          <w:w w:val="105"/>
          <w:sz w:val="16"/>
        </w:rPr>
        <w:t> </w:t>
      </w:r>
      <w:r>
        <w:rPr>
          <w:w w:val="105"/>
          <w:sz w:val="16"/>
        </w:rPr>
        <w:t>Asuntos</w:t>
      </w:r>
      <w:r>
        <w:rPr>
          <w:spacing w:val="-3"/>
          <w:w w:val="105"/>
          <w:sz w:val="16"/>
        </w:rPr>
        <w:t> </w:t>
      </w:r>
      <w:r>
        <w:rPr>
          <w:w w:val="105"/>
          <w:sz w:val="16"/>
        </w:rPr>
        <w:t>Europeos</w:t>
        <w:tab/>
        <w:t>55,27%</w:t>
      </w:r>
    </w:p>
    <w:p>
      <w:pPr>
        <w:tabs>
          <w:tab w:pos="7731" w:val="left" w:leader="none"/>
        </w:tabs>
        <w:spacing w:before="10"/>
        <w:ind w:left="3029" w:right="0" w:firstLine="0"/>
        <w:jc w:val="left"/>
        <w:rPr>
          <w:sz w:val="16"/>
        </w:rPr>
      </w:pPr>
      <w:r>
        <w:rPr/>
        <w:pict>
          <v:line style="position:absolute;mso-position-horizontal-relative:page;mso-position-vertical-relative:paragraph;z-index:251826176" from="190.094498pt,27.259972pt" to="452.695137pt,27.259972pt" stroked="true" strokeweight=".403006pt" strokecolor="#000000">
            <v:stroke dashstyle="solid"/>
            <w10:wrap type="none"/>
          </v:line>
        </w:pict>
      </w:r>
      <w:r>
        <w:rPr>
          <w:w w:val="104"/>
          <w:sz w:val="16"/>
          <w:u w:val="single"/>
        </w:rPr>
        <w:t> </w:t>
      </w:r>
      <w:r>
        <w:rPr>
          <w:spacing w:val="-4"/>
          <w:sz w:val="16"/>
          <w:u w:val="single"/>
        </w:rPr>
        <w:t> </w:t>
      </w:r>
      <w:r>
        <w:rPr>
          <w:w w:val="105"/>
          <w:sz w:val="16"/>
          <w:u w:val="single"/>
        </w:rPr>
        <w:t>08 Administraciones Públicas, Justicia</w:t>
      </w:r>
      <w:r>
        <w:rPr>
          <w:spacing w:val="-9"/>
          <w:w w:val="105"/>
          <w:sz w:val="16"/>
          <w:u w:val="single"/>
        </w:rPr>
        <w:t> </w:t>
      </w:r>
      <w:r>
        <w:rPr>
          <w:w w:val="105"/>
          <w:sz w:val="16"/>
          <w:u w:val="single"/>
        </w:rPr>
        <w:t>y</w:t>
      </w:r>
      <w:r>
        <w:rPr>
          <w:spacing w:val="-3"/>
          <w:w w:val="105"/>
          <w:sz w:val="16"/>
          <w:u w:val="single"/>
        </w:rPr>
        <w:t> </w:t>
      </w:r>
      <w:r>
        <w:rPr>
          <w:w w:val="105"/>
          <w:sz w:val="16"/>
          <w:u w:val="single"/>
        </w:rPr>
        <w:t>Seguridad</w:t>
        <w:tab/>
        <w:t>56,39%</w:t>
      </w:r>
      <w:r>
        <w:rPr>
          <w:spacing w:val="-11"/>
          <w:sz w:val="16"/>
          <w:u w:val="single"/>
        </w:rPr>
        <w:t> </w:t>
      </w:r>
    </w:p>
    <w:p>
      <w:pPr>
        <w:pStyle w:val="BodyText"/>
        <w:spacing w:before="2"/>
        <w:rPr>
          <w:sz w:val="26"/>
        </w:rPr>
      </w:pPr>
      <w:r>
        <w:rPr/>
        <w:pict>
          <v:shape style="position:absolute;margin-left:190.094498pt;margin-top:17.197834pt;width:262.650pt;height:10.3pt;mso-position-horizontal-relative:page;mso-position-vertical-relative:paragraph;z-index:-251495424;mso-wrap-distance-left:0;mso-wrap-distance-right:0" type="#_x0000_t202" filled="true" fillcolor="#deeaf6" stroked="false">
            <v:textbox inset="0,0,0,0">
              <w:txbxContent>
                <w:p>
                  <w:pPr>
                    <w:spacing w:before="9"/>
                    <w:ind w:left="1025" w:right="0" w:firstLine="0"/>
                    <w:jc w:val="left"/>
                    <w:rPr>
                      <w:b/>
                      <w:sz w:val="16"/>
                    </w:rPr>
                  </w:pPr>
                  <w:r>
                    <w:rPr>
                      <w:b/>
                      <w:w w:val="105"/>
                      <w:sz w:val="16"/>
                    </w:rPr>
                    <w:t>Secciones con menor grado de ejecución 2021</w:t>
                  </w:r>
                </w:p>
              </w:txbxContent>
            </v:textbox>
            <v:fill type="solid"/>
            <w10:wrap type="topAndBottom"/>
          </v:shape>
        </w:pict>
      </w:r>
    </w:p>
    <w:p>
      <w:pPr>
        <w:tabs>
          <w:tab w:pos="7731" w:val="left" w:leader="none"/>
        </w:tabs>
        <w:spacing w:line="187" w:lineRule="exact" w:before="0"/>
        <w:ind w:left="3100" w:right="0" w:firstLine="0"/>
        <w:jc w:val="left"/>
        <w:rPr>
          <w:sz w:val="16"/>
        </w:rPr>
      </w:pPr>
      <w:r>
        <w:rPr>
          <w:w w:val="105"/>
          <w:sz w:val="16"/>
        </w:rPr>
        <w:t>18 Educación, Universidades, Cultura</w:t>
      </w:r>
      <w:r>
        <w:rPr>
          <w:spacing w:val="-12"/>
          <w:w w:val="105"/>
          <w:sz w:val="16"/>
        </w:rPr>
        <w:t> </w:t>
      </w:r>
      <w:r>
        <w:rPr>
          <w:w w:val="105"/>
          <w:sz w:val="16"/>
        </w:rPr>
        <w:t>Y</w:t>
      </w:r>
      <w:r>
        <w:rPr>
          <w:spacing w:val="-3"/>
          <w:w w:val="105"/>
          <w:sz w:val="16"/>
        </w:rPr>
        <w:t> </w:t>
      </w:r>
      <w:r>
        <w:rPr>
          <w:w w:val="105"/>
          <w:sz w:val="16"/>
        </w:rPr>
        <w:t>Deportes</w:t>
        <w:tab/>
        <w:t>52,00%</w:t>
      </w:r>
    </w:p>
    <w:p>
      <w:pPr>
        <w:tabs>
          <w:tab w:pos="7731" w:val="left" w:leader="none"/>
        </w:tabs>
        <w:spacing w:before="10"/>
        <w:ind w:left="3100" w:right="0" w:firstLine="0"/>
        <w:jc w:val="left"/>
        <w:rPr>
          <w:sz w:val="16"/>
        </w:rPr>
      </w:pPr>
      <w:r>
        <w:rPr>
          <w:w w:val="105"/>
          <w:sz w:val="16"/>
        </w:rPr>
        <w:t>16 Turismo, Industria</w:t>
      </w:r>
      <w:r>
        <w:rPr>
          <w:spacing w:val="-8"/>
          <w:w w:val="105"/>
          <w:sz w:val="16"/>
        </w:rPr>
        <w:t> </w:t>
      </w:r>
      <w:r>
        <w:rPr>
          <w:w w:val="105"/>
          <w:sz w:val="16"/>
        </w:rPr>
        <w:t>Y</w:t>
      </w:r>
      <w:r>
        <w:rPr>
          <w:spacing w:val="-3"/>
          <w:w w:val="105"/>
          <w:sz w:val="16"/>
        </w:rPr>
        <w:t> </w:t>
      </w:r>
      <w:r>
        <w:rPr>
          <w:w w:val="105"/>
          <w:sz w:val="16"/>
        </w:rPr>
        <w:t>Comercio</w:t>
        <w:tab/>
        <w:t>53,66%</w:t>
      </w:r>
    </w:p>
    <w:p>
      <w:pPr>
        <w:tabs>
          <w:tab w:pos="7731" w:val="left" w:leader="none"/>
        </w:tabs>
        <w:spacing w:before="10"/>
        <w:ind w:left="3100" w:right="0" w:firstLine="0"/>
        <w:jc w:val="left"/>
        <w:rPr>
          <w:sz w:val="16"/>
        </w:rPr>
      </w:pPr>
      <w:r>
        <w:rPr>
          <w:w w:val="105"/>
          <w:sz w:val="16"/>
        </w:rPr>
        <w:t>13 Agricultura, Ganadería</w:t>
      </w:r>
      <w:r>
        <w:rPr>
          <w:spacing w:val="-5"/>
          <w:w w:val="105"/>
          <w:sz w:val="16"/>
        </w:rPr>
        <w:t> </w:t>
      </w:r>
      <w:r>
        <w:rPr>
          <w:w w:val="105"/>
          <w:sz w:val="16"/>
        </w:rPr>
        <w:t>Y</w:t>
      </w:r>
      <w:r>
        <w:rPr>
          <w:spacing w:val="-3"/>
          <w:w w:val="105"/>
          <w:sz w:val="16"/>
        </w:rPr>
        <w:t> </w:t>
      </w:r>
      <w:r>
        <w:rPr>
          <w:w w:val="105"/>
          <w:sz w:val="16"/>
        </w:rPr>
        <w:t>Pesca</w:t>
        <w:tab/>
        <w:t>55,33%</w:t>
      </w:r>
    </w:p>
    <w:p>
      <w:pPr>
        <w:tabs>
          <w:tab w:pos="7731" w:val="left" w:leader="none"/>
        </w:tabs>
        <w:spacing w:before="10"/>
        <w:ind w:left="3041" w:right="0" w:firstLine="0"/>
        <w:jc w:val="left"/>
        <w:rPr>
          <w:sz w:val="16"/>
        </w:rPr>
      </w:pPr>
      <w:r>
        <w:rPr/>
        <w:pict>
          <v:group style="position:absolute;margin-left:190.094498pt;margin-top:31.113731pt;width:262.650pt;height:.45pt;mso-position-horizontal-relative:page;mso-position-vertical-relative:paragraph;z-index:251827200" coordorigin="3802,622" coordsize="5253,9">
            <v:line style="position:absolute" from="3802,626" to="7730,626" stroked="true" strokeweight=".40299pt" strokecolor="#000000">
              <v:stroke dashstyle="solid"/>
            </v:line>
            <v:rect style="position:absolute;left:7730;top:622;width:9;height:9" filled="true" fillcolor="#000000" stroked="false">
              <v:fill type="solid"/>
            </v:rect>
            <v:line style="position:absolute" from="7738,626" to="8212,626" stroked="true" strokeweight=".40299pt" strokecolor="#000000">
              <v:stroke dashstyle="solid"/>
            </v:line>
            <v:rect style="position:absolute;left:8211;top:622;width:9;height:9" filled="true" fillcolor="#000000" stroked="false">
              <v:fill type="solid"/>
            </v:rect>
            <v:line style="position:absolute" from="8220,626" to="9054,626" stroked="true" strokeweight=".40299pt" strokecolor="#000000">
              <v:stroke dashstyle="solid"/>
            </v:line>
            <w10:wrap type="none"/>
          </v:group>
        </w:pict>
      </w:r>
      <w:r>
        <w:rPr>
          <w:w w:val="104"/>
          <w:sz w:val="16"/>
          <w:u w:val="single"/>
        </w:rPr>
        <w:t> </w:t>
      </w:r>
      <w:r>
        <w:rPr>
          <w:spacing w:val="-16"/>
          <w:sz w:val="16"/>
          <w:u w:val="single"/>
        </w:rPr>
        <w:t> </w:t>
      </w:r>
      <w:r>
        <w:rPr>
          <w:w w:val="105"/>
          <w:sz w:val="16"/>
          <w:u w:val="single"/>
        </w:rPr>
        <w:t>11 Obras Públicas, Transportes</w:t>
      </w:r>
      <w:r>
        <w:rPr>
          <w:spacing w:val="-11"/>
          <w:w w:val="105"/>
          <w:sz w:val="16"/>
          <w:u w:val="single"/>
        </w:rPr>
        <w:t> </w:t>
      </w:r>
      <w:r>
        <w:rPr>
          <w:w w:val="105"/>
          <w:sz w:val="16"/>
          <w:u w:val="single"/>
        </w:rPr>
        <w:t>y</w:t>
      </w:r>
      <w:r>
        <w:rPr>
          <w:spacing w:val="-3"/>
          <w:w w:val="105"/>
          <w:sz w:val="16"/>
          <w:u w:val="single"/>
        </w:rPr>
        <w:t> </w:t>
      </w:r>
      <w:r>
        <w:rPr>
          <w:w w:val="105"/>
          <w:sz w:val="16"/>
          <w:u w:val="single"/>
        </w:rPr>
        <w:t>Vivienda</w:t>
        <w:tab/>
        <w:t>55,95%</w:t>
      </w:r>
      <w:r>
        <w:rPr>
          <w:spacing w:val="-11"/>
          <w:sz w:val="16"/>
          <w:u w:val="single"/>
        </w:rPr>
        <w:t> </w:t>
      </w:r>
    </w:p>
    <w:p>
      <w:pPr>
        <w:pStyle w:val="BodyText"/>
      </w:pPr>
    </w:p>
    <w:p>
      <w:pPr>
        <w:pStyle w:val="BodyText"/>
        <w:spacing w:before="11"/>
        <w:rPr>
          <w:sz w:val="12"/>
        </w:rPr>
      </w:pPr>
      <w:r>
        <w:rPr/>
        <w:pict>
          <v:shape style="position:absolute;margin-left:190.094498pt;margin-top:9.077206pt;width:262.650pt;height:10.2pt;mso-position-horizontal-relative:page;mso-position-vertical-relative:paragraph;z-index:-251494400;mso-wrap-distance-left:0;mso-wrap-distance-right:0" type="#_x0000_t202" filled="true" fillcolor="#deeaf6" stroked="false">
            <v:textbox inset="0,0,0,0">
              <w:txbxContent>
                <w:p>
                  <w:pPr>
                    <w:spacing w:before="7"/>
                    <w:ind w:left="1025" w:right="0" w:firstLine="0"/>
                    <w:jc w:val="left"/>
                    <w:rPr>
                      <w:b/>
                      <w:sz w:val="16"/>
                    </w:rPr>
                  </w:pPr>
                  <w:r>
                    <w:rPr>
                      <w:b/>
                      <w:w w:val="105"/>
                      <w:sz w:val="16"/>
                    </w:rPr>
                    <w:t>Secciones con menor grado de ejecución 2020</w:t>
                  </w:r>
                </w:p>
              </w:txbxContent>
            </v:textbox>
            <v:fill type="solid"/>
            <w10:wrap type="topAndBottom"/>
          </v:shape>
        </w:pict>
      </w:r>
    </w:p>
    <w:p>
      <w:pPr>
        <w:tabs>
          <w:tab w:pos="7731" w:val="left" w:leader="none"/>
        </w:tabs>
        <w:spacing w:line="252" w:lineRule="auto" w:before="0"/>
        <w:ind w:left="3100" w:right="2145" w:firstLine="0"/>
        <w:jc w:val="left"/>
        <w:rPr>
          <w:sz w:val="16"/>
        </w:rPr>
      </w:pPr>
      <w:r>
        <w:rPr>
          <w:w w:val="105"/>
          <w:sz w:val="16"/>
        </w:rPr>
        <w:t>23 Derechos Sociales, Igualdad, Diversidad</w:t>
      </w:r>
      <w:r>
        <w:rPr>
          <w:spacing w:val="-13"/>
          <w:w w:val="105"/>
          <w:sz w:val="16"/>
        </w:rPr>
        <w:t> </w:t>
      </w:r>
      <w:r>
        <w:rPr>
          <w:w w:val="105"/>
          <w:sz w:val="16"/>
        </w:rPr>
        <w:t>y</w:t>
      </w:r>
      <w:r>
        <w:rPr>
          <w:spacing w:val="-2"/>
          <w:w w:val="105"/>
          <w:sz w:val="16"/>
        </w:rPr>
        <w:t> </w:t>
      </w:r>
      <w:r>
        <w:rPr>
          <w:w w:val="105"/>
          <w:sz w:val="16"/>
        </w:rPr>
        <w:t>juventud</w:t>
        <w:tab/>
      </w:r>
      <w:r>
        <w:rPr>
          <w:spacing w:val="-3"/>
          <w:w w:val="105"/>
          <w:sz w:val="16"/>
        </w:rPr>
        <w:t>30,94% </w:t>
      </w:r>
      <w:r>
        <w:rPr>
          <w:w w:val="105"/>
          <w:sz w:val="16"/>
        </w:rPr>
        <w:t>20 Fondo Canario</w:t>
      </w:r>
      <w:r>
        <w:rPr>
          <w:spacing w:val="-10"/>
          <w:w w:val="105"/>
          <w:sz w:val="16"/>
        </w:rPr>
        <w:t> </w:t>
      </w:r>
      <w:r>
        <w:rPr>
          <w:w w:val="105"/>
          <w:sz w:val="16"/>
        </w:rPr>
        <w:t>Financiación</w:t>
      </w:r>
      <w:r>
        <w:rPr>
          <w:spacing w:val="-3"/>
          <w:w w:val="105"/>
          <w:sz w:val="16"/>
        </w:rPr>
        <w:t> </w:t>
      </w:r>
      <w:r>
        <w:rPr>
          <w:w w:val="105"/>
          <w:sz w:val="16"/>
        </w:rPr>
        <w:t>Municipal</w:t>
        <w:tab/>
      </w:r>
      <w:r>
        <w:rPr>
          <w:spacing w:val="-3"/>
          <w:w w:val="105"/>
          <w:sz w:val="16"/>
        </w:rPr>
        <w:t>55,83%</w:t>
      </w:r>
    </w:p>
    <w:p>
      <w:pPr>
        <w:tabs>
          <w:tab w:pos="7731" w:val="left" w:leader="none"/>
        </w:tabs>
        <w:spacing w:before="0"/>
        <w:ind w:left="3041" w:right="0" w:firstLine="0"/>
        <w:jc w:val="left"/>
        <w:rPr>
          <w:sz w:val="16"/>
        </w:rPr>
      </w:pPr>
      <w:r>
        <w:rPr/>
        <w:pict>
          <v:group style="position:absolute;margin-left:190.094498pt;margin-top:25.550982pt;width:262.650pt;height:.45pt;mso-position-horizontal-relative:page;mso-position-vertical-relative:paragraph;z-index:251828224" coordorigin="3802,511" coordsize="5253,9">
            <v:line style="position:absolute" from="3802,515" to="7730,515" stroked="true" strokeweight=".40299pt" strokecolor="#000000">
              <v:stroke dashstyle="solid"/>
            </v:line>
            <v:rect style="position:absolute;left:7730;top:511;width:9;height:9" filled="true" fillcolor="#000000" stroked="false">
              <v:fill type="solid"/>
            </v:rect>
            <v:line style="position:absolute" from="7738,515" to="8212,515" stroked="true" strokeweight=".40299pt" strokecolor="#000000">
              <v:stroke dashstyle="solid"/>
            </v:line>
            <v:rect style="position:absolute;left:8211;top:511;width:9;height:9" filled="true" fillcolor="#000000" stroked="false">
              <v:fill type="solid"/>
            </v:rect>
            <v:line style="position:absolute" from="8220,515" to="9054,515" stroked="true" strokeweight=".40299pt" strokecolor="#000000">
              <v:stroke dashstyle="solid"/>
            </v:line>
            <w10:wrap type="none"/>
          </v:group>
        </w:pict>
      </w:r>
      <w:r>
        <w:rPr>
          <w:w w:val="104"/>
          <w:sz w:val="16"/>
          <w:u w:val="single"/>
        </w:rPr>
        <w:t> </w:t>
      </w:r>
      <w:r>
        <w:rPr>
          <w:spacing w:val="-16"/>
          <w:sz w:val="16"/>
          <w:u w:val="single"/>
        </w:rPr>
        <w:t> </w:t>
      </w:r>
      <w:r>
        <w:rPr>
          <w:w w:val="105"/>
          <w:sz w:val="16"/>
          <w:u w:val="single"/>
        </w:rPr>
        <w:t>15 Economía, Conocimiento</w:t>
      </w:r>
      <w:r>
        <w:rPr>
          <w:spacing w:val="-7"/>
          <w:w w:val="105"/>
          <w:sz w:val="16"/>
          <w:u w:val="single"/>
        </w:rPr>
        <w:t> </w:t>
      </w:r>
      <w:r>
        <w:rPr>
          <w:w w:val="105"/>
          <w:sz w:val="16"/>
          <w:u w:val="single"/>
        </w:rPr>
        <w:t>Y</w:t>
      </w:r>
      <w:r>
        <w:rPr>
          <w:spacing w:val="-1"/>
          <w:w w:val="105"/>
          <w:sz w:val="16"/>
          <w:u w:val="single"/>
        </w:rPr>
        <w:t> </w:t>
      </w:r>
      <w:r>
        <w:rPr>
          <w:w w:val="105"/>
          <w:sz w:val="16"/>
          <w:u w:val="single"/>
        </w:rPr>
        <w:t>Empleo</w:t>
        <w:tab/>
        <w:t>53,08%</w:t>
      </w:r>
      <w:r>
        <w:rPr>
          <w:spacing w:val="-11"/>
          <w:sz w:val="16"/>
          <w:u w:val="single"/>
        </w:rPr>
        <w:t> </w:t>
      </w:r>
    </w:p>
    <w:p>
      <w:pPr>
        <w:pStyle w:val="BodyText"/>
        <w:spacing w:before="1"/>
        <w:rPr>
          <w:sz w:val="24"/>
        </w:rPr>
      </w:pPr>
      <w:r>
        <w:rPr/>
        <w:pict>
          <v:shape style="position:absolute;margin-left:190.094498pt;margin-top:15.926806pt;width:262.650pt;height:10.2pt;mso-position-horizontal-relative:page;mso-position-vertical-relative:paragraph;z-index:-251493376;mso-wrap-distance-left:0;mso-wrap-distance-right:0" type="#_x0000_t202" filled="true" fillcolor="#deeaf6" stroked="false">
            <v:textbox inset="0,0,0,0">
              <w:txbxContent>
                <w:p>
                  <w:pPr>
                    <w:spacing w:before="7"/>
                    <w:ind w:left="1025" w:right="0" w:firstLine="0"/>
                    <w:jc w:val="left"/>
                    <w:rPr>
                      <w:b/>
                      <w:sz w:val="16"/>
                    </w:rPr>
                  </w:pPr>
                  <w:r>
                    <w:rPr>
                      <w:b/>
                      <w:w w:val="105"/>
                      <w:sz w:val="16"/>
                    </w:rPr>
                    <w:t>Secciones con menor grado de ejecución 2019</w:t>
                  </w:r>
                </w:p>
              </w:txbxContent>
            </v:textbox>
            <v:fill type="solid"/>
            <w10:wrap type="topAndBottom"/>
          </v:shape>
        </w:pict>
      </w:r>
    </w:p>
    <w:p>
      <w:pPr>
        <w:tabs>
          <w:tab w:pos="7731" w:val="left" w:leader="none"/>
        </w:tabs>
        <w:spacing w:line="252" w:lineRule="auto" w:before="0"/>
        <w:ind w:left="3100" w:right="2145" w:firstLine="0"/>
        <w:jc w:val="left"/>
        <w:rPr>
          <w:sz w:val="16"/>
        </w:rPr>
      </w:pPr>
      <w:r>
        <w:rPr>
          <w:w w:val="105"/>
          <w:sz w:val="16"/>
        </w:rPr>
        <w:t>11 Obras Públicas, Transportes</w:t>
      </w:r>
      <w:r>
        <w:rPr>
          <w:spacing w:val="-12"/>
          <w:w w:val="105"/>
          <w:sz w:val="16"/>
        </w:rPr>
        <w:t> </w:t>
      </w:r>
      <w:r>
        <w:rPr>
          <w:w w:val="105"/>
          <w:sz w:val="16"/>
        </w:rPr>
        <w:t>y</w:t>
      </w:r>
      <w:r>
        <w:rPr>
          <w:spacing w:val="-3"/>
          <w:w w:val="105"/>
          <w:sz w:val="16"/>
        </w:rPr>
        <w:t> </w:t>
      </w:r>
      <w:r>
        <w:rPr>
          <w:w w:val="105"/>
          <w:sz w:val="16"/>
        </w:rPr>
        <w:t>Vivienda</w:t>
        <w:tab/>
      </w:r>
      <w:r>
        <w:rPr>
          <w:spacing w:val="-3"/>
          <w:w w:val="105"/>
          <w:sz w:val="16"/>
        </w:rPr>
        <w:t>26,05% </w:t>
      </w:r>
      <w:r>
        <w:rPr>
          <w:w w:val="105"/>
          <w:sz w:val="16"/>
        </w:rPr>
        <w:t>23 Derechos Sociales, Igualdad, Diversidad</w:t>
      </w:r>
      <w:r>
        <w:rPr>
          <w:spacing w:val="-13"/>
          <w:w w:val="105"/>
          <w:sz w:val="16"/>
        </w:rPr>
        <w:t> </w:t>
      </w:r>
      <w:r>
        <w:rPr>
          <w:w w:val="105"/>
          <w:sz w:val="16"/>
        </w:rPr>
        <w:t>y</w:t>
      </w:r>
      <w:r>
        <w:rPr>
          <w:spacing w:val="2"/>
          <w:w w:val="105"/>
          <w:sz w:val="16"/>
        </w:rPr>
        <w:t> </w:t>
      </w:r>
      <w:r>
        <w:rPr>
          <w:w w:val="105"/>
          <w:sz w:val="16"/>
        </w:rPr>
        <w:t>juventud</w:t>
        <w:tab/>
      </w:r>
      <w:r>
        <w:rPr>
          <w:spacing w:val="-3"/>
          <w:w w:val="105"/>
          <w:sz w:val="16"/>
        </w:rPr>
        <w:t>28,67%</w:t>
      </w:r>
    </w:p>
    <w:p>
      <w:pPr>
        <w:tabs>
          <w:tab w:pos="7727" w:val="left" w:leader="none"/>
        </w:tabs>
        <w:spacing w:before="0"/>
        <w:ind w:left="3029" w:right="0" w:firstLine="0"/>
        <w:jc w:val="left"/>
        <w:rPr>
          <w:b/>
          <w:sz w:val="16"/>
        </w:rPr>
      </w:pPr>
      <w:r>
        <w:rPr>
          <w:b/>
          <w:w w:val="104"/>
          <w:sz w:val="16"/>
          <w:u w:val="single"/>
        </w:rPr>
        <w:t> </w:t>
      </w:r>
      <w:r>
        <w:rPr>
          <w:b/>
          <w:spacing w:val="-4"/>
          <w:sz w:val="16"/>
          <w:u w:val="single"/>
        </w:rPr>
        <w:t> </w:t>
      </w:r>
      <w:r>
        <w:rPr>
          <w:b/>
          <w:w w:val="105"/>
          <w:sz w:val="16"/>
          <w:u w:val="single"/>
        </w:rPr>
        <w:t>16 Turismo, Industria</w:t>
      </w:r>
      <w:r>
        <w:rPr>
          <w:b/>
          <w:spacing w:val="-8"/>
          <w:w w:val="105"/>
          <w:sz w:val="16"/>
          <w:u w:val="single"/>
        </w:rPr>
        <w:t> </w:t>
      </w:r>
      <w:r>
        <w:rPr>
          <w:b/>
          <w:w w:val="105"/>
          <w:sz w:val="16"/>
          <w:u w:val="single"/>
        </w:rPr>
        <w:t>y</w:t>
      </w:r>
      <w:r>
        <w:rPr>
          <w:b/>
          <w:spacing w:val="-3"/>
          <w:w w:val="105"/>
          <w:sz w:val="16"/>
          <w:u w:val="single"/>
        </w:rPr>
        <w:t> </w:t>
      </w:r>
      <w:r>
        <w:rPr>
          <w:b/>
          <w:w w:val="105"/>
          <w:sz w:val="16"/>
          <w:u w:val="single"/>
        </w:rPr>
        <w:t>Comercio</w:t>
        <w:tab/>
        <w:t>35,12%</w:t>
      </w:r>
      <w:r>
        <w:rPr>
          <w:b/>
          <w:spacing w:val="-10"/>
          <w:sz w:val="16"/>
          <w:u w:val="single"/>
        </w:rPr>
        <w:t> </w:t>
      </w:r>
    </w:p>
    <w:p>
      <w:pPr>
        <w:pStyle w:val="BodyText"/>
        <w:spacing w:before="7"/>
        <w:rPr>
          <w:b/>
          <w:sz w:val="10"/>
        </w:rPr>
      </w:pPr>
    </w:p>
    <w:p>
      <w:pPr>
        <w:spacing w:line="242" w:lineRule="auto" w:before="74"/>
        <w:ind w:left="2096" w:right="1137" w:firstLine="594"/>
        <w:jc w:val="both"/>
        <w:rPr>
          <w:i/>
          <w:sz w:val="20"/>
        </w:rPr>
      </w:pPr>
      <w:r>
        <w:rPr>
          <w:sz w:val="20"/>
        </w:rPr>
        <w:t>Las resoluciones aprobadas por el Parlamento de Canarias</w:t>
      </w:r>
      <w:r>
        <w:rPr>
          <w:position w:val="7"/>
          <w:sz w:val="13"/>
        </w:rPr>
        <w:t>14 </w:t>
      </w:r>
      <w:r>
        <w:rPr>
          <w:sz w:val="20"/>
        </w:rPr>
        <w:t>como consecuencia de</w:t>
      </w:r>
      <w:r>
        <w:rPr>
          <w:spacing w:val="-6"/>
          <w:sz w:val="20"/>
        </w:rPr>
        <w:t> </w:t>
      </w:r>
      <w:r>
        <w:rPr>
          <w:sz w:val="20"/>
        </w:rPr>
        <w:t>la</w:t>
      </w:r>
      <w:r>
        <w:rPr>
          <w:spacing w:val="-7"/>
          <w:sz w:val="20"/>
        </w:rPr>
        <w:t> </w:t>
      </w:r>
      <w:r>
        <w:rPr>
          <w:sz w:val="20"/>
        </w:rPr>
        <w:t>aprobación</w:t>
      </w:r>
      <w:r>
        <w:rPr>
          <w:spacing w:val="-7"/>
          <w:sz w:val="20"/>
        </w:rPr>
        <w:t> </w:t>
      </w:r>
      <w:r>
        <w:rPr>
          <w:sz w:val="20"/>
        </w:rPr>
        <w:t>de</w:t>
      </w:r>
      <w:r>
        <w:rPr>
          <w:spacing w:val="-5"/>
          <w:sz w:val="20"/>
        </w:rPr>
        <w:t> </w:t>
      </w:r>
      <w:r>
        <w:rPr>
          <w:sz w:val="20"/>
        </w:rPr>
        <w:t>Informes</w:t>
      </w:r>
      <w:r>
        <w:rPr>
          <w:spacing w:val="-5"/>
          <w:sz w:val="20"/>
        </w:rPr>
        <w:t> </w:t>
      </w:r>
      <w:r>
        <w:rPr>
          <w:sz w:val="20"/>
        </w:rPr>
        <w:t>de</w:t>
      </w:r>
      <w:r>
        <w:rPr>
          <w:spacing w:val="-7"/>
          <w:sz w:val="20"/>
        </w:rPr>
        <w:t> </w:t>
      </w:r>
      <w:r>
        <w:rPr>
          <w:sz w:val="20"/>
        </w:rPr>
        <w:t>fiscalización</w:t>
      </w:r>
      <w:r>
        <w:rPr>
          <w:spacing w:val="-7"/>
          <w:sz w:val="20"/>
        </w:rPr>
        <w:t> </w:t>
      </w:r>
      <w:r>
        <w:rPr>
          <w:sz w:val="20"/>
        </w:rPr>
        <w:t>de</w:t>
      </w:r>
      <w:r>
        <w:rPr>
          <w:spacing w:val="-7"/>
          <w:sz w:val="20"/>
        </w:rPr>
        <w:t> </w:t>
      </w:r>
      <w:r>
        <w:rPr>
          <w:sz w:val="20"/>
        </w:rPr>
        <w:t>la</w:t>
      </w:r>
      <w:r>
        <w:rPr>
          <w:spacing w:val="-7"/>
          <w:sz w:val="20"/>
        </w:rPr>
        <w:t> </w:t>
      </w:r>
      <w:r>
        <w:rPr>
          <w:sz w:val="20"/>
        </w:rPr>
        <w:t>cuenta</w:t>
      </w:r>
      <w:r>
        <w:rPr>
          <w:spacing w:val="-5"/>
          <w:sz w:val="20"/>
        </w:rPr>
        <w:t> </w:t>
      </w:r>
      <w:r>
        <w:rPr>
          <w:sz w:val="20"/>
        </w:rPr>
        <w:t>general</w:t>
      </w:r>
      <w:r>
        <w:rPr>
          <w:spacing w:val="-7"/>
          <w:sz w:val="20"/>
        </w:rPr>
        <w:t> </w:t>
      </w:r>
      <w:r>
        <w:rPr>
          <w:sz w:val="20"/>
        </w:rPr>
        <w:t>de</w:t>
      </w:r>
      <w:r>
        <w:rPr>
          <w:spacing w:val="-1"/>
          <w:sz w:val="20"/>
        </w:rPr>
        <w:t> </w:t>
      </w:r>
      <w:r>
        <w:rPr>
          <w:sz w:val="20"/>
        </w:rPr>
        <w:t>la</w:t>
      </w:r>
      <w:r>
        <w:rPr>
          <w:spacing w:val="-7"/>
          <w:sz w:val="20"/>
        </w:rPr>
        <w:t> </w:t>
      </w:r>
      <w:r>
        <w:rPr>
          <w:sz w:val="20"/>
        </w:rPr>
        <w:t>CAC</w:t>
      </w:r>
      <w:r>
        <w:rPr>
          <w:spacing w:val="-7"/>
          <w:sz w:val="20"/>
        </w:rPr>
        <w:t> </w:t>
      </w:r>
      <w:r>
        <w:rPr>
          <w:sz w:val="20"/>
        </w:rPr>
        <w:t>de</w:t>
      </w:r>
      <w:r>
        <w:rPr>
          <w:spacing w:val="-7"/>
          <w:sz w:val="20"/>
        </w:rPr>
        <w:t> </w:t>
      </w:r>
      <w:r>
        <w:rPr>
          <w:sz w:val="20"/>
        </w:rPr>
        <w:t>ejercicios anteriores han instado al Gobierno de Canarias a realizar </w:t>
      </w:r>
      <w:r>
        <w:rPr>
          <w:i/>
          <w:sz w:val="20"/>
        </w:rPr>
        <w:t>“un informe interno de </w:t>
      </w:r>
      <w:r>
        <w:rPr>
          <w:i/>
          <w:sz w:val="20"/>
        </w:rPr>
        <w:t>fiscalización operativa para la gestión de proyectos de inversión que identifique dónde están los problemas de gestión de estas inversiones y proponga medidas para mejorar los sistemas de planificación, trabajos previos de disposición de terrenos, proyectos, contratación</w:t>
      </w:r>
      <w:r>
        <w:rPr>
          <w:i/>
          <w:spacing w:val="-7"/>
          <w:sz w:val="20"/>
        </w:rPr>
        <w:t> </w:t>
      </w:r>
      <w:r>
        <w:rPr>
          <w:i/>
          <w:sz w:val="20"/>
        </w:rPr>
        <w:t>y</w:t>
      </w:r>
      <w:r>
        <w:rPr>
          <w:i/>
          <w:spacing w:val="-5"/>
          <w:sz w:val="20"/>
        </w:rPr>
        <w:t> </w:t>
      </w:r>
      <w:r>
        <w:rPr>
          <w:i/>
          <w:sz w:val="20"/>
        </w:rPr>
        <w:t>ejecución</w:t>
      </w:r>
      <w:r>
        <w:rPr>
          <w:i/>
          <w:spacing w:val="-9"/>
          <w:sz w:val="20"/>
        </w:rPr>
        <w:t> </w:t>
      </w:r>
      <w:r>
        <w:rPr>
          <w:i/>
          <w:sz w:val="20"/>
        </w:rPr>
        <w:t>de</w:t>
      </w:r>
      <w:r>
        <w:rPr>
          <w:i/>
          <w:spacing w:val="-5"/>
          <w:sz w:val="20"/>
        </w:rPr>
        <w:t> </w:t>
      </w:r>
      <w:r>
        <w:rPr>
          <w:i/>
          <w:sz w:val="20"/>
        </w:rPr>
        <w:t>las</w:t>
      </w:r>
      <w:r>
        <w:rPr>
          <w:i/>
          <w:spacing w:val="-5"/>
          <w:sz w:val="20"/>
        </w:rPr>
        <w:t> </w:t>
      </w:r>
      <w:r>
        <w:rPr>
          <w:i/>
          <w:sz w:val="20"/>
        </w:rPr>
        <w:t>inversiones.</w:t>
      </w:r>
      <w:r>
        <w:rPr>
          <w:i/>
          <w:spacing w:val="-7"/>
          <w:sz w:val="20"/>
        </w:rPr>
        <w:t> </w:t>
      </w:r>
      <w:r>
        <w:rPr>
          <w:i/>
          <w:sz w:val="20"/>
        </w:rPr>
        <w:t>Sobre</w:t>
      </w:r>
      <w:r>
        <w:rPr>
          <w:i/>
          <w:spacing w:val="-6"/>
          <w:sz w:val="20"/>
        </w:rPr>
        <w:t> </w:t>
      </w:r>
      <w:r>
        <w:rPr>
          <w:i/>
          <w:sz w:val="20"/>
        </w:rPr>
        <w:t>todo</w:t>
      </w:r>
      <w:r>
        <w:rPr>
          <w:i/>
          <w:spacing w:val="-6"/>
          <w:sz w:val="20"/>
        </w:rPr>
        <w:t> </w:t>
      </w:r>
      <w:r>
        <w:rPr>
          <w:i/>
          <w:sz w:val="20"/>
        </w:rPr>
        <w:t>si</w:t>
      </w:r>
      <w:r>
        <w:rPr>
          <w:i/>
          <w:spacing w:val="-6"/>
          <w:sz w:val="20"/>
        </w:rPr>
        <w:t> </w:t>
      </w:r>
      <w:r>
        <w:rPr>
          <w:i/>
          <w:sz w:val="20"/>
        </w:rPr>
        <w:t>ligamos</w:t>
      </w:r>
      <w:r>
        <w:rPr>
          <w:i/>
          <w:spacing w:val="-5"/>
          <w:sz w:val="20"/>
        </w:rPr>
        <w:t> </w:t>
      </w:r>
      <w:r>
        <w:rPr>
          <w:i/>
          <w:sz w:val="20"/>
        </w:rPr>
        <w:t>la</w:t>
      </w:r>
      <w:r>
        <w:rPr>
          <w:i/>
          <w:spacing w:val="-6"/>
          <w:sz w:val="20"/>
        </w:rPr>
        <w:t> </w:t>
      </w:r>
      <w:r>
        <w:rPr>
          <w:i/>
          <w:sz w:val="20"/>
        </w:rPr>
        <w:t>importancia</w:t>
      </w:r>
      <w:r>
        <w:rPr>
          <w:i/>
          <w:spacing w:val="-7"/>
          <w:sz w:val="20"/>
        </w:rPr>
        <w:t> </w:t>
      </w:r>
      <w:r>
        <w:rPr>
          <w:i/>
          <w:sz w:val="20"/>
        </w:rPr>
        <w:t>de</w:t>
      </w:r>
      <w:r>
        <w:rPr>
          <w:i/>
          <w:spacing w:val="-5"/>
          <w:sz w:val="20"/>
        </w:rPr>
        <w:t> </w:t>
      </w:r>
      <w:r>
        <w:rPr>
          <w:i/>
          <w:sz w:val="20"/>
        </w:rPr>
        <w:t>estas inversiones al convenio de carreteras y a los fondos de</w:t>
      </w:r>
      <w:r>
        <w:rPr>
          <w:i/>
          <w:spacing w:val="10"/>
          <w:sz w:val="20"/>
        </w:rPr>
        <w:t> </w:t>
      </w:r>
      <w:r>
        <w:rPr>
          <w:i/>
          <w:sz w:val="20"/>
        </w:rPr>
        <w:t>recuperación”.</w:t>
      </w:r>
    </w:p>
    <w:p>
      <w:pPr>
        <w:pStyle w:val="BodyText"/>
        <w:rPr>
          <w:i/>
          <w:sz w:val="16"/>
        </w:rPr>
      </w:pPr>
    </w:p>
    <w:p>
      <w:pPr>
        <w:pStyle w:val="Heading1"/>
        <w:spacing w:before="1"/>
        <w:ind w:left="2096" w:right="1201"/>
        <w:jc w:val="left"/>
      </w:pPr>
      <w:r>
        <w:rPr/>
        <w:t>4.2.9.4. Gastos realizados para atender las necesidades surgidas por los efectos de la erupción volcánica de La Palma.</w:t>
      </w:r>
    </w:p>
    <w:p>
      <w:pPr>
        <w:pStyle w:val="BodyText"/>
        <w:spacing w:before="9"/>
        <w:rPr>
          <w:b/>
          <w:sz w:val="16"/>
        </w:rPr>
      </w:pPr>
    </w:p>
    <w:p>
      <w:pPr>
        <w:pStyle w:val="BodyText"/>
        <w:spacing w:line="242" w:lineRule="auto"/>
        <w:ind w:left="2096" w:right="1141" w:firstLine="594"/>
        <w:jc w:val="both"/>
      </w:pPr>
      <w:r>
        <w:rPr/>
        <w:t>Según información proporcionada por la DGPP, los gastos ocasionados por las actuaciones llevadas a cabo para atender las necesidades del volcán de La Palma ascendieron a 134,8 millones de €, que se detallan en el siguiente cuadro:</w:t>
      </w:r>
    </w:p>
    <w:p>
      <w:pPr>
        <w:pStyle w:val="BodyText"/>
      </w:pPr>
    </w:p>
    <w:p>
      <w:pPr>
        <w:pStyle w:val="BodyText"/>
      </w:pPr>
    </w:p>
    <w:p>
      <w:pPr>
        <w:pStyle w:val="BodyText"/>
      </w:pPr>
    </w:p>
    <w:p>
      <w:pPr>
        <w:pStyle w:val="BodyText"/>
        <w:spacing w:before="3"/>
        <w:rPr>
          <w:sz w:val="16"/>
        </w:rPr>
      </w:pPr>
      <w:r>
        <w:rPr/>
        <w:pict>
          <v:shape style="position:absolute;margin-left:142.816818pt;margin-top:12.226791pt;width:120.95pt;height:.1pt;mso-position-horizontal-relative:page;mso-position-vertical-relative:paragraph;z-index:-251492352;mso-wrap-distance-left:0;mso-wrap-distance-right:0" coordorigin="2856,245" coordsize="2419,0" path="m2856,245l5275,245e" filled="false" stroked="true" strokeweight=".604535pt" strokecolor="#000000">
            <v:path arrowok="t"/>
            <v:stroke dashstyle="solid"/>
            <w10:wrap type="topAndBottom"/>
          </v:shape>
        </w:pict>
      </w:r>
    </w:p>
    <w:p>
      <w:pPr>
        <w:spacing w:before="51"/>
        <w:ind w:left="2096" w:right="0" w:firstLine="0"/>
        <w:jc w:val="left"/>
        <w:rPr>
          <w:sz w:val="16"/>
        </w:rPr>
      </w:pPr>
      <w:r>
        <w:rPr>
          <w:position w:val="6"/>
          <w:sz w:val="11"/>
        </w:rPr>
        <w:t>14 </w:t>
      </w:r>
      <w:hyperlink r:id="rId16">
        <w:r>
          <w:rPr>
            <w:sz w:val="16"/>
            <w:u w:val="single"/>
          </w:rPr>
          <w:t>http://www.gobiernodecanarias.org/boc/2022/162/005.html</w:t>
        </w:r>
      </w:hyperlink>
    </w:p>
    <w:p>
      <w:pPr>
        <w:pStyle w:val="BodyText"/>
        <w:spacing w:before="2"/>
        <w:ind w:left="9035"/>
      </w:pPr>
      <w:r>
        <w:rPr/>
        <w:t>53</w:t>
      </w:r>
    </w:p>
    <w:p>
      <w:pPr>
        <w:pStyle w:val="Heading1"/>
        <w:spacing w:before="2"/>
        <w:ind w:left="5192"/>
        <w:jc w:val="left"/>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17" name="image5.png"/>
                  <wp:cNvGraphicFramePr>
                    <a:graphicFrameLocks noChangeAspect="1"/>
                  </wp:cNvGraphicFramePr>
                  <a:graphic>
                    <a:graphicData uri="http://schemas.openxmlformats.org/drawingml/2006/picture">
                      <pic:pic>
                        <pic:nvPicPr>
                          <pic:cNvPr id="11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55/247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rPr>
          <w:b/>
        </w:rPr>
      </w:pPr>
    </w:p>
    <w:p>
      <w:pPr>
        <w:pStyle w:val="BodyText"/>
        <w:spacing w:before="3"/>
        <w:rPr>
          <w:b/>
          <w:sz w:val="14"/>
        </w:rPr>
      </w:pPr>
    </w:p>
    <w:tbl>
      <w:tblPr>
        <w:tblW w:w="0" w:type="auto"/>
        <w:jc w:val="left"/>
        <w:tblInd w:w="2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856"/>
        <w:gridCol w:w="951"/>
        <w:gridCol w:w="1033"/>
        <w:gridCol w:w="1003"/>
        <w:gridCol w:w="930"/>
        <w:gridCol w:w="973"/>
      </w:tblGrid>
      <w:tr>
        <w:trPr>
          <w:trHeight w:val="231" w:hRule="atLeast"/>
        </w:trPr>
        <w:tc>
          <w:tcPr>
            <w:tcW w:w="1306" w:type="dxa"/>
            <w:vMerge w:val="restart"/>
            <w:shd w:val="clear" w:color="auto" w:fill="DEEAF6"/>
          </w:tcPr>
          <w:p>
            <w:pPr>
              <w:pStyle w:val="TableParagraph"/>
              <w:spacing w:line="247" w:lineRule="auto" w:before="123"/>
              <w:ind w:left="232" w:firstLine="14"/>
              <w:rPr>
                <w:b/>
                <w:sz w:val="13"/>
              </w:rPr>
            </w:pPr>
            <w:r>
              <w:rPr>
                <w:b/>
                <w:w w:val="105"/>
                <w:sz w:val="13"/>
              </w:rPr>
              <w:t>Ente o Sección Presupuestaria</w:t>
            </w:r>
          </w:p>
        </w:tc>
        <w:tc>
          <w:tcPr>
            <w:tcW w:w="4773" w:type="dxa"/>
            <w:gridSpan w:val="5"/>
            <w:shd w:val="clear" w:color="auto" w:fill="DEEAF6"/>
          </w:tcPr>
          <w:p>
            <w:pPr>
              <w:pStyle w:val="TableParagraph"/>
              <w:spacing w:before="36"/>
              <w:ind w:left="2101" w:right="2092"/>
              <w:jc w:val="center"/>
              <w:rPr>
                <w:b/>
                <w:sz w:val="13"/>
              </w:rPr>
            </w:pPr>
            <w:r>
              <w:rPr>
                <w:b/>
                <w:w w:val="105"/>
                <w:sz w:val="13"/>
              </w:rPr>
              <w:t>Capítulos</w:t>
            </w:r>
          </w:p>
        </w:tc>
        <w:tc>
          <w:tcPr>
            <w:tcW w:w="973" w:type="dxa"/>
            <w:vMerge w:val="restart"/>
            <w:shd w:val="clear" w:color="auto" w:fill="DEEAF6"/>
          </w:tcPr>
          <w:p>
            <w:pPr>
              <w:pStyle w:val="TableParagraph"/>
              <w:spacing w:before="10"/>
              <w:rPr>
                <w:b/>
                <w:sz w:val="16"/>
              </w:rPr>
            </w:pPr>
          </w:p>
          <w:p>
            <w:pPr>
              <w:pStyle w:val="TableParagraph"/>
              <w:ind w:left="133" w:right="121"/>
              <w:jc w:val="center"/>
              <w:rPr>
                <w:b/>
                <w:sz w:val="13"/>
              </w:rPr>
            </w:pPr>
            <w:r>
              <w:rPr>
                <w:b/>
                <w:w w:val="105"/>
                <w:sz w:val="13"/>
              </w:rPr>
              <w:t>Total</w:t>
            </w:r>
          </w:p>
        </w:tc>
      </w:tr>
      <w:tr>
        <w:trPr>
          <w:trHeight w:val="326" w:hRule="atLeast"/>
        </w:trPr>
        <w:tc>
          <w:tcPr>
            <w:tcW w:w="1306" w:type="dxa"/>
            <w:vMerge/>
            <w:tcBorders>
              <w:top w:val="nil"/>
            </w:tcBorders>
            <w:shd w:val="clear" w:color="auto" w:fill="DEEAF6"/>
          </w:tcPr>
          <w:p>
            <w:pPr>
              <w:rPr>
                <w:sz w:val="2"/>
                <w:szCs w:val="2"/>
              </w:rPr>
            </w:pPr>
          </w:p>
        </w:tc>
        <w:tc>
          <w:tcPr>
            <w:tcW w:w="856" w:type="dxa"/>
            <w:shd w:val="clear" w:color="auto" w:fill="DDEBF7"/>
          </w:tcPr>
          <w:p>
            <w:pPr>
              <w:pStyle w:val="TableParagraph"/>
              <w:spacing w:before="2"/>
              <w:ind w:left="150"/>
              <w:rPr>
                <w:b/>
                <w:sz w:val="13"/>
              </w:rPr>
            </w:pPr>
            <w:r>
              <w:rPr>
                <w:b/>
                <w:w w:val="105"/>
                <w:sz w:val="13"/>
              </w:rPr>
              <w:t>Gastos</w:t>
            </w:r>
            <w:r>
              <w:rPr>
                <w:b/>
                <w:spacing w:val="-9"/>
                <w:w w:val="105"/>
                <w:sz w:val="13"/>
              </w:rPr>
              <w:t> </w:t>
            </w:r>
            <w:r>
              <w:rPr>
                <w:b/>
                <w:w w:val="105"/>
                <w:sz w:val="13"/>
              </w:rPr>
              <w:t>de</w:t>
            </w:r>
          </w:p>
          <w:p>
            <w:pPr>
              <w:pStyle w:val="TableParagraph"/>
              <w:spacing w:line="141" w:lineRule="exact" w:before="4"/>
              <w:ind w:left="182"/>
              <w:rPr>
                <w:b/>
                <w:sz w:val="13"/>
              </w:rPr>
            </w:pPr>
            <w:r>
              <w:rPr>
                <w:b/>
                <w:w w:val="105"/>
                <w:sz w:val="13"/>
              </w:rPr>
              <w:t>personal</w:t>
            </w:r>
          </w:p>
        </w:tc>
        <w:tc>
          <w:tcPr>
            <w:tcW w:w="951" w:type="dxa"/>
            <w:shd w:val="clear" w:color="auto" w:fill="DDEBF7"/>
          </w:tcPr>
          <w:p>
            <w:pPr>
              <w:pStyle w:val="TableParagraph"/>
              <w:spacing w:before="2"/>
              <w:ind w:left="281"/>
              <w:rPr>
                <w:b/>
                <w:sz w:val="13"/>
              </w:rPr>
            </w:pPr>
            <w:r>
              <w:rPr>
                <w:b/>
                <w:w w:val="105"/>
                <w:sz w:val="13"/>
              </w:rPr>
              <w:t>Gastos</w:t>
            </w:r>
          </w:p>
          <w:p>
            <w:pPr>
              <w:pStyle w:val="TableParagraph"/>
              <w:spacing w:line="141" w:lineRule="exact" w:before="4"/>
              <w:ind w:left="191"/>
              <w:rPr>
                <w:b/>
                <w:sz w:val="13"/>
              </w:rPr>
            </w:pPr>
            <w:r>
              <w:rPr>
                <w:b/>
                <w:w w:val="105"/>
                <w:sz w:val="13"/>
              </w:rPr>
              <w:t>corrientes</w:t>
            </w:r>
          </w:p>
        </w:tc>
        <w:tc>
          <w:tcPr>
            <w:tcW w:w="1033" w:type="dxa"/>
            <w:shd w:val="clear" w:color="auto" w:fill="DDEBF7"/>
          </w:tcPr>
          <w:p>
            <w:pPr>
              <w:pStyle w:val="TableParagraph"/>
              <w:spacing w:before="2"/>
              <w:ind w:left="81" w:right="74"/>
              <w:jc w:val="center"/>
              <w:rPr>
                <w:b/>
                <w:sz w:val="13"/>
              </w:rPr>
            </w:pPr>
            <w:r>
              <w:rPr>
                <w:b/>
                <w:w w:val="105"/>
                <w:sz w:val="13"/>
              </w:rPr>
              <w:t>Transferencias</w:t>
            </w:r>
          </w:p>
          <w:p>
            <w:pPr>
              <w:pStyle w:val="TableParagraph"/>
              <w:spacing w:line="141" w:lineRule="exact" w:before="4"/>
              <w:ind w:left="81" w:right="71"/>
              <w:jc w:val="center"/>
              <w:rPr>
                <w:b/>
                <w:sz w:val="13"/>
              </w:rPr>
            </w:pPr>
            <w:r>
              <w:rPr>
                <w:b/>
                <w:w w:val="105"/>
                <w:sz w:val="13"/>
              </w:rPr>
              <w:t>corrientes</w:t>
            </w:r>
          </w:p>
        </w:tc>
        <w:tc>
          <w:tcPr>
            <w:tcW w:w="1003" w:type="dxa"/>
            <w:shd w:val="clear" w:color="auto" w:fill="DDEBF7"/>
          </w:tcPr>
          <w:p>
            <w:pPr>
              <w:pStyle w:val="TableParagraph"/>
              <w:spacing w:before="2"/>
              <w:ind w:left="155" w:right="148"/>
              <w:jc w:val="center"/>
              <w:rPr>
                <w:b/>
                <w:sz w:val="13"/>
              </w:rPr>
            </w:pPr>
            <w:r>
              <w:rPr>
                <w:b/>
                <w:w w:val="105"/>
                <w:sz w:val="13"/>
              </w:rPr>
              <w:t>Inversiones</w:t>
            </w:r>
          </w:p>
          <w:p>
            <w:pPr>
              <w:pStyle w:val="TableParagraph"/>
              <w:spacing w:line="141" w:lineRule="exact" w:before="4"/>
              <w:ind w:left="154" w:right="148"/>
              <w:jc w:val="center"/>
              <w:rPr>
                <w:b/>
                <w:sz w:val="13"/>
              </w:rPr>
            </w:pPr>
            <w:r>
              <w:rPr>
                <w:b/>
                <w:w w:val="105"/>
                <w:sz w:val="13"/>
              </w:rPr>
              <w:t>reales</w:t>
            </w:r>
          </w:p>
        </w:tc>
        <w:tc>
          <w:tcPr>
            <w:tcW w:w="930" w:type="dxa"/>
            <w:shd w:val="clear" w:color="auto" w:fill="DDEBF7"/>
          </w:tcPr>
          <w:p>
            <w:pPr>
              <w:pStyle w:val="TableParagraph"/>
              <w:spacing w:before="2"/>
              <w:ind w:left="31" w:right="22"/>
              <w:jc w:val="center"/>
              <w:rPr>
                <w:b/>
                <w:sz w:val="13"/>
              </w:rPr>
            </w:pPr>
            <w:r>
              <w:rPr>
                <w:b/>
                <w:w w:val="105"/>
                <w:sz w:val="13"/>
              </w:rPr>
              <w:t>Transferencias</w:t>
            </w:r>
          </w:p>
          <w:p>
            <w:pPr>
              <w:pStyle w:val="TableParagraph"/>
              <w:spacing w:line="141" w:lineRule="exact" w:before="4"/>
              <w:ind w:left="31" w:right="20"/>
              <w:jc w:val="center"/>
              <w:rPr>
                <w:b/>
                <w:sz w:val="13"/>
              </w:rPr>
            </w:pPr>
            <w:r>
              <w:rPr>
                <w:b/>
                <w:w w:val="105"/>
                <w:sz w:val="13"/>
              </w:rPr>
              <w:t>de capital</w:t>
            </w:r>
          </w:p>
        </w:tc>
        <w:tc>
          <w:tcPr>
            <w:tcW w:w="973" w:type="dxa"/>
            <w:vMerge/>
            <w:tcBorders>
              <w:top w:val="nil"/>
            </w:tcBorders>
            <w:shd w:val="clear" w:color="auto" w:fill="DEEAF6"/>
          </w:tcPr>
          <w:p>
            <w:pPr>
              <w:rPr>
                <w:sz w:val="2"/>
                <w:szCs w:val="2"/>
              </w:rPr>
            </w:pPr>
          </w:p>
        </w:tc>
      </w:tr>
      <w:tr>
        <w:trPr>
          <w:trHeight w:val="326" w:hRule="atLeast"/>
        </w:trPr>
        <w:tc>
          <w:tcPr>
            <w:tcW w:w="1306" w:type="dxa"/>
          </w:tcPr>
          <w:p>
            <w:pPr>
              <w:pStyle w:val="TableParagraph"/>
              <w:spacing w:before="2"/>
              <w:ind w:left="57"/>
              <w:rPr>
                <w:sz w:val="13"/>
              </w:rPr>
            </w:pPr>
            <w:r>
              <w:rPr>
                <w:w w:val="105"/>
                <w:sz w:val="13"/>
              </w:rPr>
              <w:t>06 Presidencia del</w:t>
            </w:r>
          </w:p>
          <w:p>
            <w:pPr>
              <w:pStyle w:val="TableParagraph"/>
              <w:spacing w:line="141" w:lineRule="exact" w:before="4"/>
              <w:ind w:left="57"/>
              <w:rPr>
                <w:sz w:val="13"/>
              </w:rPr>
            </w:pPr>
            <w:r>
              <w:rPr>
                <w:w w:val="105"/>
                <w:sz w:val="13"/>
              </w:rPr>
              <w:t>Gobierno.</w:t>
            </w:r>
          </w:p>
        </w:tc>
        <w:tc>
          <w:tcPr>
            <w:tcW w:w="856" w:type="dxa"/>
          </w:tcPr>
          <w:p>
            <w:pPr>
              <w:pStyle w:val="TableParagraph"/>
              <w:rPr>
                <w:rFonts w:ascii="Times New Roman"/>
                <w:sz w:val="12"/>
              </w:rPr>
            </w:pPr>
          </w:p>
        </w:tc>
        <w:tc>
          <w:tcPr>
            <w:tcW w:w="951" w:type="dxa"/>
          </w:tcPr>
          <w:p>
            <w:pPr>
              <w:pStyle w:val="TableParagraph"/>
              <w:spacing w:before="2"/>
              <w:ind w:right="47"/>
              <w:jc w:val="right"/>
              <w:rPr>
                <w:sz w:val="13"/>
              </w:rPr>
            </w:pPr>
            <w:r>
              <w:rPr>
                <w:w w:val="105"/>
                <w:sz w:val="13"/>
              </w:rPr>
              <w:t>273.552,63</w:t>
            </w:r>
          </w:p>
        </w:tc>
        <w:tc>
          <w:tcPr>
            <w:tcW w:w="1033" w:type="dxa"/>
          </w:tcPr>
          <w:p>
            <w:pPr>
              <w:pStyle w:val="TableParagraph"/>
              <w:spacing w:before="2"/>
              <w:ind w:right="45"/>
              <w:jc w:val="right"/>
              <w:rPr>
                <w:sz w:val="13"/>
              </w:rPr>
            </w:pPr>
            <w:r>
              <w:rPr>
                <w:w w:val="105"/>
                <w:sz w:val="13"/>
              </w:rPr>
              <w:t>33.000,00</w:t>
            </w:r>
          </w:p>
        </w:tc>
        <w:tc>
          <w:tcPr>
            <w:tcW w:w="1003" w:type="dxa"/>
          </w:tcPr>
          <w:p>
            <w:pPr>
              <w:pStyle w:val="TableParagraph"/>
              <w:spacing w:before="2"/>
              <w:ind w:right="45"/>
              <w:jc w:val="right"/>
              <w:rPr>
                <w:sz w:val="13"/>
              </w:rPr>
            </w:pPr>
            <w:r>
              <w:rPr>
                <w:w w:val="105"/>
                <w:sz w:val="13"/>
              </w:rPr>
              <w:t>126.002,54</w:t>
            </w: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432.555,17</w:t>
            </w:r>
          </w:p>
        </w:tc>
      </w:tr>
      <w:tr>
        <w:trPr>
          <w:trHeight w:val="489" w:hRule="atLeast"/>
        </w:trPr>
        <w:tc>
          <w:tcPr>
            <w:tcW w:w="1306" w:type="dxa"/>
          </w:tcPr>
          <w:p>
            <w:pPr>
              <w:pStyle w:val="TableParagraph"/>
              <w:spacing w:line="247" w:lineRule="auto" w:before="2"/>
              <w:ind w:left="57"/>
              <w:rPr>
                <w:sz w:val="13"/>
              </w:rPr>
            </w:pPr>
            <w:r>
              <w:rPr>
                <w:w w:val="105"/>
                <w:sz w:val="13"/>
              </w:rPr>
              <w:t>08 Administraciones Públicas, Justicia y</w:t>
            </w:r>
          </w:p>
          <w:p>
            <w:pPr>
              <w:pStyle w:val="TableParagraph"/>
              <w:spacing w:line="141" w:lineRule="exact"/>
              <w:ind w:left="57"/>
              <w:rPr>
                <w:sz w:val="13"/>
              </w:rPr>
            </w:pPr>
            <w:r>
              <w:rPr>
                <w:w w:val="105"/>
                <w:sz w:val="13"/>
              </w:rPr>
              <w:t>Seguridad</w:t>
            </w:r>
          </w:p>
        </w:tc>
        <w:tc>
          <w:tcPr>
            <w:tcW w:w="856" w:type="dxa"/>
          </w:tcPr>
          <w:p>
            <w:pPr>
              <w:pStyle w:val="TableParagraph"/>
              <w:spacing w:before="2"/>
              <w:ind w:right="47"/>
              <w:jc w:val="right"/>
              <w:rPr>
                <w:sz w:val="13"/>
              </w:rPr>
            </w:pPr>
            <w:r>
              <w:rPr>
                <w:w w:val="105"/>
                <w:sz w:val="13"/>
              </w:rPr>
              <w:t>269.437,34</w:t>
            </w:r>
          </w:p>
        </w:tc>
        <w:tc>
          <w:tcPr>
            <w:tcW w:w="951" w:type="dxa"/>
          </w:tcPr>
          <w:p>
            <w:pPr>
              <w:pStyle w:val="TableParagraph"/>
              <w:spacing w:before="2"/>
              <w:ind w:right="46"/>
              <w:jc w:val="right"/>
              <w:rPr>
                <w:sz w:val="13"/>
              </w:rPr>
            </w:pPr>
            <w:r>
              <w:rPr>
                <w:w w:val="105"/>
                <w:sz w:val="13"/>
              </w:rPr>
              <w:t>2.966.080,36</w:t>
            </w:r>
          </w:p>
        </w:tc>
        <w:tc>
          <w:tcPr>
            <w:tcW w:w="1033" w:type="dxa"/>
          </w:tcPr>
          <w:p>
            <w:pPr>
              <w:pStyle w:val="TableParagraph"/>
              <w:spacing w:before="2"/>
              <w:ind w:right="45"/>
              <w:jc w:val="right"/>
              <w:rPr>
                <w:sz w:val="13"/>
              </w:rPr>
            </w:pPr>
            <w:r>
              <w:rPr>
                <w:w w:val="105"/>
                <w:sz w:val="13"/>
              </w:rPr>
              <w:t>740.012,73</w:t>
            </w:r>
          </w:p>
        </w:tc>
        <w:tc>
          <w:tcPr>
            <w:tcW w:w="1003" w:type="dxa"/>
          </w:tcPr>
          <w:p>
            <w:pPr>
              <w:pStyle w:val="TableParagraph"/>
              <w:spacing w:before="2"/>
              <w:ind w:right="45"/>
              <w:jc w:val="right"/>
              <w:rPr>
                <w:sz w:val="13"/>
              </w:rPr>
            </w:pPr>
            <w:r>
              <w:rPr>
                <w:w w:val="105"/>
                <w:sz w:val="13"/>
              </w:rPr>
              <w:t>198.958,70</w:t>
            </w: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4.174.489,13</w:t>
            </w:r>
          </w:p>
        </w:tc>
      </w:tr>
      <w:tr>
        <w:trPr>
          <w:trHeight w:val="489" w:hRule="atLeast"/>
        </w:trPr>
        <w:tc>
          <w:tcPr>
            <w:tcW w:w="1306" w:type="dxa"/>
          </w:tcPr>
          <w:p>
            <w:pPr>
              <w:pStyle w:val="TableParagraph"/>
              <w:spacing w:line="247" w:lineRule="auto" w:before="2"/>
              <w:ind w:left="57"/>
              <w:rPr>
                <w:sz w:val="13"/>
              </w:rPr>
            </w:pPr>
            <w:r>
              <w:rPr>
                <w:w w:val="105"/>
                <w:sz w:val="13"/>
              </w:rPr>
              <w:t>11 Obras Públicas, Transportes y</w:t>
            </w:r>
          </w:p>
          <w:p>
            <w:pPr>
              <w:pStyle w:val="TableParagraph"/>
              <w:spacing w:line="139" w:lineRule="exact" w:before="1"/>
              <w:ind w:left="57"/>
              <w:rPr>
                <w:sz w:val="13"/>
              </w:rPr>
            </w:pPr>
            <w:r>
              <w:rPr>
                <w:w w:val="105"/>
                <w:sz w:val="13"/>
              </w:rPr>
              <w:t>Vivienda</w:t>
            </w:r>
          </w:p>
        </w:tc>
        <w:tc>
          <w:tcPr>
            <w:tcW w:w="856" w:type="dxa"/>
          </w:tcPr>
          <w:p>
            <w:pPr>
              <w:pStyle w:val="TableParagraph"/>
              <w:rPr>
                <w:rFonts w:ascii="Times New Roman"/>
                <w:sz w:val="12"/>
              </w:rPr>
            </w:pPr>
          </w:p>
        </w:tc>
        <w:tc>
          <w:tcPr>
            <w:tcW w:w="951" w:type="dxa"/>
          </w:tcPr>
          <w:p>
            <w:pPr>
              <w:pStyle w:val="TableParagraph"/>
              <w:rPr>
                <w:rFonts w:ascii="Times New Roman"/>
                <w:sz w:val="12"/>
              </w:rPr>
            </w:pPr>
          </w:p>
        </w:tc>
        <w:tc>
          <w:tcPr>
            <w:tcW w:w="1033" w:type="dxa"/>
          </w:tcPr>
          <w:p>
            <w:pPr>
              <w:pStyle w:val="TableParagraph"/>
              <w:rPr>
                <w:rFonts w:ascii="Times New Roman"/>
                <w:sz w:val="12"/>
              </w:rPr>
            </w:pPr>
          </w:p>
        </w:tc>
        <w:tc>
          <w:tcPr>
            <w:tcW w:w="1003" w:type="dxa"/>
          </w:tcPr>
          <w:p>
            <w:pPr>
              <w:pStyle w:val="TableParagraph"/>
              <w:spacing w:before="2"/>
              <w:ind w:right="45"/>
              <w:jc w:val="right"/>
              <w:rPr>
                <w:sz w:val="13"/>
              </w:rPr>
            </w:pPr>
            <w:r>
              <w:rPr>
                <w:w w:val="105"/>
                <w:sz w:val="13"/>
              </w:rPr>
              <w:t>1.261.732,77</w:t>
            </w: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1.261.732,77</w:t>
            </w:r>
          </w:p>
        </w:tc>
      </w:tr>
      <w:tr>
        <w:trPr>
          <w:trHeight w:val="655" w:hRule="atLeast"/>
        </w:trPr>
        <w:tc>
          <w:tcPr>
            <w:tcW w:w="1306" w:type="dxa"/>
          </w:tcPr>
          <w:p>
            <w:pPr>
              <w:pStyle w:val="TableParagraph"/>
              <w:spacing w:line="249" w:lineRule="auto" w:before="2"/>
              <w:ind w:left="57"/>
              <w:rPr>
                <w:sz w:val="13"/>
              </w:rPr>
            </w:pPr>
            <w:r>
              <w:rPr>
                <w:w w:val="105"/>
                <w:sz w:val="13"/>
              </w:rPr>
              <w:t>12 Trans. Ecológica, Lucha C. Cambio Climático y P.</w:t>
            </w:r>
          </w:p>
          <w:p>
            <w:pPr>
              <w:pStyle w:val="TableParagraph"/>
              <w:spacing w:line="138" w:lineRule="exact"/>
              <w:ind w:left="57"/>
              <w:rPr>
                <w:sz w:val="13"/>
              </w:rPr>
            </w:pPr>
            <w:r>
              <w:rPr>
                <w:w w:val="105"/>
                <w:sz w:val="13"/>
              </w:rPr>
              <w:t>Territorial</w:t>
            </w:r>
          </w:p>
        </w:tc>
        <w:tc>
          <w:tcPr>
            <w:tcW w:w="856" w:type="dxa"/>
          </w:tcPr>
          <w:p>
            <w:pPr>
              <w:pStyle w:val="TableParagraph"/>
              <w:rPr>
                <w:rFonts w:ascii="Times New Roman"/>
                <w:sz w:val="12"/>
              </w:rPr>
            </w:pPr>
          </w:p>
        </w:tc>
        <w:tc>
          <w:tcPr>
            <w:tcW w:w="951" w:type="dxa"/>
          </w:tcPr>
          <w:p>
            <w:pPr>
              <w:pStyle w:val="TableParagraph"/>
              <w:spacing w:before="2"/>
              <w:ind w:right="46"/>
              <w:jc w:val="right"/>
              <w:rPr>
                <w:sz w:val="13"/>
              </w:rPr>
            </w:pPr>
            <w:r>
              <w:rPr>
                <w:w w:val="105"/>
                <w:sz w:val="13"/>
              </w:rPr>
              <w:t>30.564,80</w:t>
            </w:r>
          </w:p>
        </w:tc>
        <w:tc>
          <w:tcPr>
            <w:tcW w:w="1033" w:type="dxa"/>
          </w:tcPr>
          <w:p>
            <w:pPr>
              <w:pStyle w:val="TableParagraph"/>
              <w:rPr>
                <w:rFonts w:ascii="Times New Roman"/>
                <w:sz w:val="12"/>
              </w:rPr>
            </w:pPr>
          </w:p>
        </w:tc>
        <w:tc>
          <w:tcPr>
            <w:tcW w:w="1003" w:type="dxa"/>
          </w:tcPr>
          <w:p>
            <w:pPr>
              <w:pStyle w:val="TableParagraph"/>
              <w:spacing w:before="2"/>
              <w:ind w:right="45"/>
              <w:jc w:val="right"/>
              <w:rPr>
                <w:sz w:val="13"/>
              </w:rPr>
            </w:pPr>
            <w:r>
              <w:rPr>
                <w:w w:val="105"/>
                <w:sz w:val="13"/>
              </w:rPr>
              <w:t>7.782.530,17</w:t>
            </w:r>
          </w:p>
        </w:tc>
        <w:tc>
          <w:tcPr>
            <w:tcW w:w="930" w:type="dxa"/>
          </w:tcPr>
          <w:p>
            <w:pPr>
              <w:pStyle w:val="TableParagraph"/>
              <w:spacing w:before="2"/>
              <w:ind w:right="43"/>
              <w:jc w:val="right"/>
              <w:rPr>
                <w:sz w:val="13"/>
              </w:rPr>
            </w:pPr>
            <w:r>
              <w:rPr>
                <w:w w:val="105"/>
                <w:sz w:val="13"/>
              </w:rPr>
              <w:t>18.878.000,00</w:t>
            </w:r>
          </w:p>
        </w:tc>
        <w:tc>
          <w:tcPr>
            <w:tcW w:w="973" w:type="dxa"/>
          </w:tcPr>
          <w:p>
            <w:pPr>
              <w:pStyle w:val="TableParagraph"/>
              <w:spacing w:before="2"/>
              <w:ind w:right="43"/>
              <w:jc w:val="right"/>
              <w:rPr>
                <w:sz w:val="13"/>
              </w:rPr>
            </w:pPr>
            <w:r>
              <w:rPr>
                <w:w w:val="105"/>
                <w:sz w:val="13"/>
              </w:rPr>
              <w:t>26.691.094,97</w:t>
            </w:r>
          </w:p>
        </w:tc>
      </w:tr>
      <w:tr>
        <w:trPr>
          <w:trHeight w:val="326" w:hRule="atLeast"/>
        </w:trPr>
        <w:tc>
          <w:tcPr>
            <w:tcW w:w="1306" w:type="dxa"/>
          </w:tcPr>
          <w:p>
            <w:pPr>
              <w:pStyle w:val="TableParagraph"/>
              <w:spacing w:before="2"/>
              <w:ind w:left="57"/>
              <w:rPr>
                <w:sz w:val="13"/>
              </w:rPr>
            </w:pPr>
            <w:r>
              <w:rPr>
                <w:w w:val="105"/>
                <w:sz w:val="13"/>
              </w:rPr>
              <w:t>13 Agricultura,</w:t>
            </w:r>
          </w:p>
          <w:p>
            <w:pPr>
              <w:pStyle w:val="TableParagraph"/>
              <w:spacing w:line="141" w:lineRule="exact" w:before="4"/>
              <w:ind w:left="57"/>
              <w:rPr>
                <w:sz w:val="13"/>
              </w:rPr>
            </w:pPr>
            <w:r>
              <w:rPr>
                <w:w w:val="105"/>
                <w:sz w:val="13"/>
              </w:rPr>
              <w:t>Ganadería Y Pesca</w:t>
            </w:r>
          </w:p>
        </w:tc>
        <w:tc>
          <w:tcPr>
            <w:tcW w:w="856" w:type="dxa"/>
          </w:tcPr>
          <w:p>
            <w:pPr>
              <w:pStyle w:val="TableParagraph"/>
              <w:rPr>
                <w:rFonts w:ascii="Times New Roman"/>
                <w:sz w:val="12"/>
              </w:rPr>
            </w:pPr>
          </w:p>
        </w:tc>
        <w:tc>
          <w:tcPr>
            <w:tcW w:w="951" w:type="dxa"/>
          </w:tcPr>
          <w:p>
            <w:pPr>
              <w:pStyle w:val="TableParagraph"/>
              <w:spacing w:before="2"/>
              <w:ind w:right="47"/>
              <w:jc w:val="right"/>
              <w:rPr>
                <w:sz w:val="13"/>
              </w:rPr>
            </w:pPr>
            <w:r>
              <w:rPr>
                <w:w w:val="105"/>
                <w:sz w:val="13"/>
              </w:rPr>
              <w:t>235.886,85</w:t>
            </w:r>
          </w:p>
        </w:tc>
        <w:tc>
          <w:tcPr>
            <w:tcW w:w="1033" w:type="dxa"/>
          </w:tcPr>
          <w:p>
            <w:pPr>
              <w:pStyle w:val="TableParagraph"/>
              <w:spacing w:before="2"/>
              <w:ind w:right="45"/>
              <w:jc w:val="right"/>
              <w:rPr>
                <w:sz w:val="13"/>
              </w:rPr>
            </w:pPr>
            <w:r>
              <w:rPr>
                <w:w w:val="105"/>
                <w:sz w:val="13"/>
              </w:rPr>
              <w:t>15.136.452,65</w:t>
            </w:r>
          </w:p>
        </w:tc>
        <w:tc>
          <w:tcPr>
            <w:tcW w:w="1003" w:type="dxa"/>
          </w:tcPr>
          <w:p>
            <w:pPr>
              <w:pStyle w:val="TableParagraph"/>
              <w:rPr>
                <w:rFonts w:ascii="Times New Roman"/>
                <w:sz w:val="12"/>
              </w:rPr>
            </w:pP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15.372.339,50</w:t>
            </w:r>
          </w:p>
        </w:tc>
      </w:tr>
      <w:tr>
        <w:trPr>
          <w:trHeight w:val="489" w:hRule="atLeast"/>
        </w:trPr>
        <w:tc>
          <w:tcPr>
            <w:tcW w:w="1306" w:type="dxa"/>
          </w:tcPr>
          <w:p>
            <w:pPr>
              <w:pStyle w:val="TableParagraph"/>
              <w:spacing w:line="247" w:lineRule="auto" w:before="2"/>
              <w:ind w:left="57"/>
              <w:rPr>
                <w:sz w:val="13"/>
              </w:rPr>
            </w:pPr>
            <w:r>
              <w:rPr>
                <w:w w:val="105"/>
                <w:sz w:val="13"/>
              </w:rPr>
              <w:t>15 Economía, Conocimiento Y</w:t>
            </w:r>
          </w:p>
          <w:p>
            <w:pPr>
              <w:pStyle w:val="TableParagraph"/>
              <w:spacing w:line="139" w:lineRule="exact" w:before="1"/>
              <w:ind w:left="57"/>
              <w:rPr>
                <w:sz w:val="13"/>
              </w:rPr>
            </w:pPr>
            <w:r>
              <w:rPr>
                <w:w w:val="105"/>
                <w:sz w:val="13"/>
              </w:rPr>
              <w:t>Empleo</w:t>
            </w:r>
          </w:p>
        </w:tc>
        <w:tc>
          <w:tcPr>
            <w:tcW w:w="856" w:type="dxa"/>
          </w:tcPr>
          <w:p>
            <w:pPr>
              <w:pStyle w:val="TableParagraph"/>
              <w:rPr>
                <w:rFonts w:ascii="Times New Roman"/>
                <w:sz w:val="12"/>
              </w:rPr>
            </w:pPr>
          </w:p>
        </w:tc>
        <w:tc>
          <w:tcPr>
            <w:tcW w:w="951" w:type="dxa"/>
          </w:tcPr>
          <w:p>
            <w:pPr>
              <w:pStyle w:val="TableParagraph"/>
              <w:rPr>
                <w:rFonts w:ascii="Times New Roman"/>
                <w:sz w:val="12"/>
              </w:rPr>
            </w:pPr>
          </w:p>
        </w:tc>
        <w:tc>
          <w:tcPr>
            <w:tcW w:w="1033" w:type="dxa"/>
          </w:tcPr>
          <w:p>
            <w:pPr>
              <w:pStyle w:val="TableParagraph"/>
              <w:spacing w:before="2"/>
              <w:ind w:right="45"/>
              <w:jc w:val="right"/>
              <w:rPr>
                <w:sz w:val="13"/>
              </w:rPr>
            </w:pPr>
            <w:r>
              <w:rPr>
                <w:w w:val="105"/>
                <w:sz w:val="13"/>
              </w:rPr>
              <w:t>13.948.729,18</w:t>
            </w:r>
          </w:p>
        </w:tc>
        <w:tc>
          <w:tcPr>
            <w:tcW w:w="1003" w:type="dxa"/>
          </w:tcPr>
          <w:p>
            <w:pPr>
              <w:pStyle w:val="TableParagraph"/>
              <w:rPr>
                <w:rFonts w:ascii="Times New Roman"/>
                <w:sz w:val="12"/>
              </w:rPr>
            </w:pP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13.948.729,18</w:t>
            </w:r>
          </w:p>
        </w:tc>
      </w:tr>
      <w:tr>
        <w:trPr>
          <w:trHeight w:val="326" w:hRule="atLeast"/>
        </w:trPr>
        <w:tc>
          <w:tcPr>
            <w:tcW w:w="1306" w:type="dxa"/>
          </w:tcPr>
          <w:p>
            <w:pPr>
              <w:pStyle w:val="TableParagraph"/>
              <w:spacing w:before="2"/>
              <w:ind w:left="57"/>
              <w:rPr>
                <w:sz w:val="13"/>
              </w:rPr>
            </w:pPr>
            <w:r>
              <w:rPr>
                <w:w w:val="105"/>
                <w:sz w:val="13"/>
              </w:rPr>
              <w:t>16 Turismo, Industria</w:t>
            </w:r>
          </w:p>
          <w:p>
            <w:pPr>
              <w:pStyle w:val="TableParagraph"/>
              <w:spacing w:line="139" w:lineRule="exact" w:before="6"/>
              <w:ind w:left="57"/>
              <w:rPr>
                <w:sz w:val="13"/>
              </w:rPr>
            </w:pPr>
            <w:r>
              <w:rPr>
                <w:w w:val="105"/>
                <w:sz w:val="13"/>
              </w:rPr>
              <w:t>Y Comercio</w:t>
            </w:r>
          </w:p>
        </w:tc>
        <w:tc>
          <w:tcPr>
            <w:tcW w:w="856" w:type="dxa"/>
          </w:tcPr>
          <w:p>
            <w:pPr>
              <w:pStyle w:val="TableParagraph"/>
              <w:rPr>
                <w:rFonts w:ascii="Times New Roman"/>
                <w:sz w:val="12"/>
              </w:rPr>
            </w:pPr>
          </w:p>
        </w:tc>
        <w:tc>
          <w:tcPr>
            <w:tcW w:w="951" w:type="dxa"/>
          </w:tcPr>
          <w:p>
            <w:pPr>
              <w:pStyle w:val="TableParagraph"/>
              <w:spacing w:before="2"/>
              <w:ind w:right="47"/>
              <w:jc w:val="right"/>
              <w:rPr>
                <w:sz w:val="13"/>
              </w:rPr>
            </w:pPr>
            <w:r>
              <w:rPr>
                <w:w w:val="105"/>
                <w:sz w:val="13"/>
              </w:rPr>
              <w:t>125.000,00</w:t>
            </w:r>
          </w:p>
        </w:tc>
        <w:tc>
          <w:tcPr>
            <w:tcW w:w="1033" w:type="dxa"/>
          </w:tcPr>
          <w:p>
            <w:pPr>
              <w:pStyle w:val="TableParagraph"/>
              <w:spacing w:before="2"/>
              <w:ind w:right="45"/>
              <w:jc w:val="right"/>
              <w:rPr>
                <w:sz w:val="13"/>
              </w:rPr>
            </w:pPr>
            <w:r>
              <w:rPr>
                <w:w w:val="105"/>
                <w:sz w:val="13"/>
              </w:rPr>
              <w:t>5.733.750,00</w:t>
            </w:r>
          </w:p>
        </w:tc>
        <w:tc>
          <w:tcPr>
            <w:tcW w:w="1003" w:type="dxa"/>
          </w:tcPr>
          <w:p>
            <w:pPr>
              <w:pStyle w:val="TableParagraph"/>
              <w:rPr>
                <w:rFonts w:ascii="Times New Roman"/>
                <w:sz w:val="12"/>
              </w:rPr>
            </w:pPr>
          </w:p>
        </w:tc>
        <w:tc>
          <w:tcPr>
            <w:tcW w:w="930" w:type="dxa"/>
          </w:tcPr>
          <w:p>
            <w:pPr>
              <w:pStyle w:val="TableParagraph"/>
              <w:spacing w:before="2"/>
              <w:ind w:right="43"/>
              <w:jc w:val="right"/>
              <w:rPr>
                <w:sz w:val="13"/>
              </w:rPr>
            </w:pPr>
            <w:r>
              <w:rPr>
                <w:w w:val="105"/>
                <w:sz w:val="13"/>
              </w:rPr>
              <w:t>1.729.538,00</w:t>
            </w:r>
          </w:p>
        </w:tc>
        <w:tc>
          <w:tcPr>
            <w:tcW w:w="973" w:type="dxa"/>
          </w:tcPr>
          <w:p>
            <w:pPr>
              <w:pStyle w:val="TableParagraph"/>
              <w:spacing w:before="2"/>
              <w:ind w:right="43"/>
              <w:jc w:val="right"/>
              <w:rPr>
                <w:sz w:val="13"/>
              </w:rPr>
            </w:pPr>
            <w:r>
              <w:rPr>
                <w:w w:val="105"/>
                <w:sz w:val="13"/>
              </w:rPr>
              <w:t>7.588.288,00</w:t>
            </w:r>
          </w:p>
        </w:tc>
      </w:tr>
      <w:tr>
        <w:trPr>
          <w:trHeight w:val="489" w:hRule="atLeast"/>
        </w:trPr>
        <w:tc>
          <w:tcPr>
            <w:tcW w:w="1306" w:type="dxa"/>
          </w:tcPr>
          <w:p>
            <w:pPr>
              <w:pStyle w:val="TableParagraph"/>
              <w:spacing w:before="2"/>
              <w:ind w:left="57"/>
              <w:rPr>
                <w:sz w:val="13"/>
              </w:rPr>
            </w:pPr>
            <w:r>
              <w:rPr>
                <w:w w:val="105"/>
                <w:sz w:val="13"/>
              </w:rPr>
              <w:t>18 Educación,</w:t>
            </w:r>
          </w:p>
          <w:p>
            <w:pPr>
              <w:pStyle w:val="TableParagraph"/>
              <w:spacing w:line="160" w:lineRule="atLeast" w:before="5"/>
              <w:ind w:left="57" w:right="70"/>
              <w:rPr>
                <w:sz w:val="13"/>
              </w:rPr>
            </w:pPr>
            <w:r>
              <w:rPr>
                <w:w w:val="105"/>
                <w:sz w:val="13"/>
              </w:rPr>
              <w:t>Universidades, Cultura Y Deportes</w:t>
            </w:r>
          </w:p>
        </w:tc>
        <w:tc>
          <w:tcPr>
            <w:tcW w:w="856" w:type="dxa"/>
          </w:tcPr>
          <w:p>
            <w:pPr>
              <w:pStyle w:val="TableParagraph"/>
              <w:rPr>
                <w:rFonts w:ascii="Times New Roman"/>
                <w:sz w:val="12"/>
              </w:rPr>
            </w:pPr>
          </w:p>
        </w:tc>
        <w:tc>
          <w:tcPr>
            <w:tcW w:w="951" w:type="dxa"/>
          </w:tcPr>
          <w:p>
            <w:pPr>
              <w:pStyle w:val="TableParagraph"/>
              <w:rPr>
                <w:rFonts w:ascii="Times New Roman"/>
                <w:sz w:val="12"/>
              </w:rPr>
            </w:pPr>
          </w:p>
        </w:tc>
        <w:tc>
          <w:tcPr>
            <w:tcW w:w="1033" w:type="dxa"/>
          </w:tcPr>
          <w:p>
            <w:pPr>
              <w:pStyle w:val="TableParagraph"/>
              <w:spacing w:before="2"/>
              <w:ind w:right="45"/>
              <w:jc w:val="right"/>
              <w:rPr>
                <w:sz w:val="13"/>
              </w:rPr>
            </w:pPr>
            <w:r>
              <w:rPr>
                <w:w w:val="105"/>
                <w:sz w:val="13"/>
              </w:rPr>
              <w:t>13.166,60</w:t>
            </w:r>
          </w:p>
        </w:tc>
        <w:tc>
          <w:tcPr>
            <w:tcW w:w="1003" w:type="dxa"/>
          </w:tcPr>
          <w:p>
            <w:pPr>
              <w:pStyle w:val="TableParagraph"/>
              <w:rPr>
                <w:rFonts w:ascii="Times New Roman"/>
                <w:sz w:val="12"/>
              </w:rPr>
            </w:pP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13.166,60</w:t>
            </w:r>
          </w:p>
        </w:tc>
      </w:tr>
      <w:tr>
        <w:trPr>
          <w:trHeight w:val="491" w:hRule="atLeast"/>
        </w:trPr>
        <w:tc>
          <w:tcPr>
            <w:tcW w:w="1306" w:type="dxa"/>
          </w:tcPr>
          <w:p>
            <w:pPr>
              <w:pStyle w:val="TableParagraph"/>
              <w:spacing w:before="2"/>
              <w:ind w:left="57"/>
              <w:rPr>
                <w:sz w:val="13"/>
              </w:rPr>
            </w:pPr>
            <w:r>
              <w:rPr>
                <w:w w:val="105"/>
                <w:sz w:val="13"/>
              </w:rPr>
              <w:t>23 Derechos Sociales,</w:t>
            </w:r>
          </w:p>
          <w:p>
            <w:pPr>
              <w:pStyle w:val="TableParagraph"/>
              <w:spacing w:line="160" w:lineRule="atLeast" w:before="5"/>
              <w:ind w:left="57" w:right="70"/>
              <w:rPr>
                <w:sz w:val="13"/>
              </w:rPr>
            </w:pPr>
            <w:r>
              <w:rPr>
                <w:w w:val="105"/>
                <w:sz w:val="13"/>
              </w:rPr>
              <w:t>Igualdad, Diversidad y juventud</w:t>
            </w:r>
          </w:p>
        </w:tc>
        <w:tc>
          <w:tcPr>
            <w:tcW w:w="856" w:type="dxa"/>
          </w:tcPr>
          <w:p>
            <w:pPr>
              <w:pStyle w:val="TableParagraph"/>
              <w:rPr>
                <w:rFonts w:ascii="Times New Roman"/>
                <w:sz w:val="12"/>
              </w:rPr>
            </w:pPr>
          </w:p>
        </w:tc>
        <w:tc>
          <w:tcPr>
            <w:tcW w:w="951" w:type="dxa"/>
          </w:tcPr>
          <w:p>
            <w:pPr>
              <w:pStyle w:val="TableParagraph"/>
              <w:spacing w:before="2"/>
              <w:ind w:right="47"/>
              <w:jc w:val="right"/>
              <w:rPr>
                <w:sz w:val="13"/>
              </w:rPr>
            </w:pPr>
            <w:r>
              <w:rPr>
                <w:w w:val="105"/>
                <w:sz w:val="13"/>
              </w:rPr>
              <w:t>182.211,57</w:t>
            </w:r>
          </w:p>
        </w:tc>
        <w:tc>
          <w:tcPr>
            <w:tcW w:w="1033" w:type="dxa"/>
          </w:tcPr>
          <w:p>
            <w:pPr>
              <w:pStyle w:val="TableParagraph"/>
              <w:spacing w:before="2"/>
              <w:ind w:right="45"/>
              <w:jc w:val="right"/>
              <w:rPr>
                <w:sz w:val="13"/>
              </w:rPr>
            </w:pPr>
            <w:r>
              <w:rPr>
                <w:w w:val="105"/>
                <w:sz w:val="13"/>
              </w:rPr>
              <w:t>5.161.072,44</w:t>
            </w:r>
          </w:p>
        </w:tc>
        <w:tc>
          <w:tcPr>
            <w:tcW w:w="1003" w:type="dxa"/>
          </w:tcPr>
          <w:p>
            <w:pPr>
              <w:pStyle w:val="TableParagraph"/>
              <w:rPr>
                <w:rFonts w:ascii="Times New Roman"/>
                <w:sz w:val="12"/>
              </w:rPr>
            </w:pPr>
          </w:p>
        </w:tc>
        <w:tc>
          <w:tcPr>
            <w:tcW w:w="930" w:type="dxa"/>
          </w:tcPr>
          <w:p>
            <w:pPr>
              <w:pStyle w:val="TableParagraph"/>
              <w:spacing w:before="2"/>
              <w:ind w:right="43"/>
              <w:jc w:val="right"/>
              <w:rPr>
                <w:sz w:val="13"/>
              </w:rPr>
            </w:pPr>
            <w:r>
              <w:rPr>
                <w:w w:val="105"/>
                <w:sz w:val="13"/>
              </w:rPr>
              <w:t>11.144.000,00</w:t>
            </w:r>
          </w:p>
        </w:tc>
        <w:tc>
          <w:tcPr>
            <w:tcW w:w="973" w:type="dxa"/>
          </w:tcPr>
          <w:p>
            <w:pPr>
              <w:pStyle w:val="TableParagraph"/>
              <w:spacing w:before="2"/>
              <w:ind w:right="43"/>
              <w:jc w:val="right"/>
              <w:rPr>
                <w:sz w:val="13"/>
              </w:rPr>
            </w:pPr>
            <w:r>
              <w:rPr>
                <w:w w:val="105"/>
                <w:sz w:val="13"/>
              </w:rPr>
              <w:t>16.487.284,01</w:t>
            </w:r>
          </w:p>
        </w:tc>
      </w:tr>
      <w:tr>
        <w:trPr>
          <w:trHeight w:val="489" w:hRule="atLeast"/>
        </w:trPr>
        <w:tc>
          <w:tcPr>
            <w:tcW w:w="1306" w:type="dxa"/>
          </w:tcPr>
          <w:p>
            <w:pPr>
              <w:pStyle w:val="TableParagraph"/>
              <w:spacing w:line="247" w:lineRule="auto" w:before="2"/>
              <w:ind w:left="57" w:right="70"/>
              <w:rPr>
                <w:sz w:val="13"/>
              </w:rPr>
            </w:pPr>
            <w:r>
              <w:rPr>
                <w:w w:val="105"/>
                <w:sz w:val="13"/>
              </w:rPr>
              <w:t>47 Instituto Canario de Investigaciones</w:t>
            </w:r>
          </w:p>
          <w:p>
            <w:pPr>
              <w:pStyle w:val="TableParagraph"/>
              <w:spacing w:line="139" w:lineRule="exact" w:before="1"/>
              <w:ind w:left="57"/>
              <w:rPr>
                <w:sz w:val="13"/>
              </w:rPr>
            </w:pPr>
            <w:r>
              <w:rPr>
                <w:w w:val="105"/>
                <w:sz w:val="13"/>
              </w:rPr>
              <w:t>Agrarias</w:t>
            </w:r>
          </w:p>
        </w:tc>
        <w:tc>
          <w:tcPr>
            <w:tcW w:w="856" w:type="dxa"/>
          </w:tcPr>
          <w:p>
            <w:pPr>
              <w:pStyle w:val="TableParagraph"/>
              <w:rPr>
                <w:rFonts w:ascii="Times New Roman"/>
                <w:sz w:val="12"/>
              </w:rPr>
            </w:pPr>
          </w:p>
        </w:tc>
        <w:tc>
          <w:tcPr>
            <w:tcW w:w="951" w:type="dxa"/>
          </w:tcPr>
          <w:p>
            <w:pPr>
              <w:pStyle w:val="TableParagraph"/>
              <w:rPr>
                <w:rFonts w:ascii="Times New Roman"/>
                <w:sz w:val="12"/>
              </w:rPr>
            </w:pPr>
          </w:p>
        </w:tc>
        <w:tc>
          <w:tcPr>
            <w:tcW w:w="1033" w:type="dxa"/>
          </w:tcPr>
          <w:p>
            <w:pPr>
              <w:pStyle w:val="TableParagraph"/>
              <w:rPr>
                <w:rFonts w:ascii="Times New Roman"/>
                <w:sz w:val="12"/>
              </w:rPr>
            </w:pPr>
          </w:p>
        </w:tc>
        <w:tc>
          <w:tcPr>
            <w:tcW w:w="1003" w:type="dxa"/>
          </w:tcPr>
          <w:p>
            <w:pPr>
              <w:pStyle w:val="TableParagraph"/>
              <w:spacing w:before="2"/>
              <w:ind w:right="45"/>
              <w:jc w:val="right"/>
              <w:rPr>
                <w:sz w:val="13"/>
              </w:rPr>
            </w:pPr>
            <w:r>
              <w:rPr>
                <w:w w:val="105"/>
                <w:sz w:val="13"/>
              </w:rPr>
              <w:t>82.959,57</w:t>
            </w: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82.959,57</w:t>
            </w:r>
          </w:p>
        </w:tc>
      </w:tr>
      <w:tr>
        <w:trPr>
          <w:trHeight w:val="326" w:hRule="atLeast"/>
        </w:trPr>
        <w:tc>
          <w:tcPr>
            <w:tcW w:w="1306" w:type="dxa"/>
          </w:tcPr>
          <w:p>
            <w:pPr>
              <w:pStyle w:val="TableParagraph"/>
              <w:spacing w:before="2"/>
              <w:ind w:left="57"/>
              <w:rPr>
                <w:sz w:val="13"/>
              </w:rPr>
            </w:pPr>
            <w:r>
              <w:rPr>
                <w:w w:val="105"/>
                <w:sz w:val="13"/>
              </w:rPr>
              <w:t>48 Instituto Canario</w:t>
            </w:r>
          </w:p>
          <w:p>
            <w:pPr>
              <w:pStyle w:val="TableParagraph"/>
              <w:spacing w:line="141" w:lineRule="exact" w:before="5"/>
              <w:ind w:left="57"/>
              <w:rPr>
                <w:sz w:val="13"/>
              </w:rPr>
            </w:pPr>
            <w:r>
              <w:rPr>
                <w:w w:val="105"/>
                <w:sz w:val="13"/>
              </w:rPr>
              <w:t>de Igualdad</w:t>
            </w:r>
          </w:p>
        </w:tc>
        <w:tc>
          <w:tcPr>
            <w:tcW w:w="856" w:type="dxa"/>
          </w:tcPr>
          <w:p>
            <w:pPr>
              <w:pStyle w:val="TableParagraph"/>
              <w:rPr>
                <w:rFonts w:ascii="Times New Roman"/>
                <w:sz w:val="12"/>
              </w:rPr>
            </w:pPr>
          </w:p>
        </w:tc>
        <w:tc>
          <w:tcPr>
            <w:tcW w:w="951" w:type="dxa"/>
          </w:tcPr>
          <w:p>
            <w:pPr>
              <w:pStyle w:val="TableParagraph"/>
              <w:rPr>
                <w:rFonts w:ascii="Times New Roman"/>
                <w:sz w:val="12"/>
              </w:rPr>
            </w:pPr>
          </w:p>
        </w:tc>
        <w:tc>
          <w:tcPr>
            <w:tcW w:w="1033" w:type="dxa"/>
          </w:tcPr>
          <w:p>
            <w:pPr>
              <w:pStyle w:val="TableParagraph"/>
              <w:spacing w:before="2"/>
              <w:ind w:right="45"/>
              <w:jc w:val="right"/>
              <w:rPr>
                <w:sz w:val="13"/>
              </w:rPr>
            </w:pPr>
            <w:r>
              <w:rPr>
                <w:w w:val="105"/>
                <w:sz w:val="13"/>
              </w:rPr>
              <w:t>500.000,00</w:t>
            </w:r>
          </w:p>
        </w:tc>
        <w:tc>
          <w:tcPr>
            <w:tcW w:w="1003" w:type="dxa"/>
          </w:tcPr>
          <w:p>
            <w:pPr>
              <w:pStyle w:val="TableParagraph"/>
              <w:rPr>
                <w:rFonts w:ascii="Times New Roman"/>
                <w:sz w:val="12"/>
              </w:rPr>
            </w:pP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500.000,00</w:t>
            </w:r>
          </w:p>
        </w:tc>
      </w:tr>
      <w:tr>
        <w:trPr>
          <w:trHeight w:val="326" w:hRule="atLeast"/>
        </w:trPr>
        <w:tc>
          <w:tcPr>
            <w:tcW w:w="1306" w:type="dxa"/>
          </w:tcPr>
          <w:p>
            <w:pPr>
              <w:pStyle w:val="TableParagraph"/>
              <w:spacing w:before="2"/>
              <w:ind w:left="57"/>
              <w:rPr>
                <w:sz w:val="13"/>
              </w:rPr>
            </w:pPr>
            <w:r>
              <w:rPr>
                <w:w w:val="105"/>
                <w:sz w:val="13"/>
              </w:rPr>
              <w:t>49 Instituto Canario</w:t>
            </w:r>
          </w:p>
          <w:p>
            <w:pPr>
              <w:pStyle w:val="TableParagraph"/>
              <w:spacing w:line="141" w:lineRule="exact" w:before="4"/>
              <w:ind w:left="57"/>
              <w:rPr>
                <w:sz w:val="13"/>
              </w:rPr>
            </w:pPr>
            <w:r>
              <w:rPr>
                <w:w w:val="105"/>
                <w:sz w:val="13"/>
              </w:rPr>
              <w:t>de la Vivienda</w:t>
            </w:r>
          </w:p>
        </w:tc>
        <w:tc>
          <w:tcPr>
            <w:tcW w:w="856" w:type="dxa"/>
          </w:tcPr>
          <w:p>
            <w:pPr>
              <w:pStyle w:val="TableParagraph"/>
              <w:rPr>
                <w:rFonts w:ascii="Times New Roman"/>
                <w:sz w:val="12"/>
              </w:rPr>
            </w:pPr>
          </w:p>
        </w:tc>
        <w:tc>
          <w:tcPr>
            <w:tcW w:w="951" w:type="dxa"/>
          </w:tcPr>
          <w:p>
            <w:pPr>
              <w:pStyle w:val="TableParagraph"/>
              <w:spacing w:before="2"/>
              <w:ind w:right="47"/>
              <w:jc w:val="right"/>
              <w:rPr>
                <w:sz w:val="13"/>
              </w:rPr>
            </w:pPr>
            <w:r>
              <w:rPr>
                <w:w w:val="105"/>
                <w:sz w:val="13"/>
              </w:rPr>
              <w:t>395.664,33</w:t>
            </w:r>
          </w:p>
        </w:tc>
        <w:tc>
          <w:tcPr>
            <w:tcW w:w="1033" w:type="dxa"/>
          </w:tcPr>
          <w:p>
            <w:pPr>
              <w:pStyle w:val="TableParagraph"/>
              <w:spacing w:before="2"/>
              <w:ind w:right="45"/>
              <w:jc w:val="right"/>
              <w:rPr>
                <w:sz w:val="13"/>
              </w:rPr>
            </w:pPr>
            <w:r>
              <w:rPr>
                <w:w w:val="105"/>
                <w:sz w:val="13"/>
              </w:rPr>
              <w:t>1.121.117,37</w:t>
            </w:r>
          </w:p>
        </w:tc>
        <w:tc>
          <w:tcPr>
            <w:tcW w:w="1003" w:type="dxa"/>
          </w:tcPr>
          <w:p>
            <w:pPr>
              <w:pStyle w:val="TableParagraph"/>
              <w:spacing w:before="2"/>
              <w:ind w:right="45"/>
              <w:jc w:val="right"/>
              <w:rPr>
                <w:sz w:val="13"/>
              </w:rPr>
            </w:pPr>
            <w:r>
              <w:rPr>
                <w:w w:val="105"/>
                <w:sz w:val="13"/>
              </w:rPr>
              <w:t>9.155.521,09</w:t>
            </w: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10.672.302,79</w:t>
            </w:r>
          </w:p>
        </w:tc>
      </w:tr>
      <w:tr>
        <w:trPr>
          <w:trHeight w:val="326" w:hRule="atLeast"/>
        </w:trPr>
        <w:tc>
          <w:tcPr>
            <w:tcW w:w="1306" w:type="dxa"/>
          </w:tcPr>
          <w:p>
            <w:pPr>
              <w:pStyle w:val="TableParagraph"/>
              <w:spacing w:before="2"/>
              <w:ind w:left="57"/>
              <w:rPr>
                <w:sz w:val="13"/>
              </w:rPr>
            </w:pPr>
            <w:r>
              <w:rPr>
                <w:w w:val="105"/>
                <w:sz w:val="13"/>
              </w:rPr>
              <w:t>50 Instituto Canario</w:t>
            </w:r>
          </w:p>
          <w:p>
            <w:pPr>
              <w:pStyle w:val="TableParagraph"/>
              <w:spacing w:line="141" w:lineRule="exact" w:before="4"/>
              <w:ind w:left="57"/>
              <w:rPr>
                <w:sz w:val="13"/>
              </w:rPr>
            </w:pPr>
            <w:r>
              <w:rPr>
                <w:w w:val="105"/>
                <w:sz w:val="13"/>
              </w:rPr>
              <w:t>de Empleo.</w:t>
            </w:r>
          </w:p>
        </w:tc>
        <w:tc>
          <w:tcPr>
            <w:tcW w:w="856" w:type="dxa"/>
          </w:tcPr>
          <w:p>
            <w:pPr>
              <w:pStyle w:val="TableParagraph"/>
              <w:rPr>
                <w:rFonts w:ascii="Times New Roman"/>
                <w:sz w:val="12"/>
              </w:rPr>
            </w:pPr>
          </w:p>
        </w:tc>
        <w:tc>
          <w:tcPr>
            <w:tcW w:w="951" w:type="dxa"/>
          </w:tcPr>
          <w:p>
            <w:pPr>
              <w:pStyle w:val="TableParagraph"/>
              <w:rPr>
                <w:rFonts w:ascii="Times New Roman"/>
                <w:sz w:val="12"/>
              </w:rPr>
            </w:pPr>
          </w:p>
        </w:tc>
        <w:tc>
          <w:tcPr>
            <w:tcW w:w="1033" w:type="dxa"/>
          </w:tcPr>
          <w:p>
            <w:pPr>
              <w:pStyle w:val="TableParagraph"/>
              <w:spacing w:before="2"/>
              <w:ind w:right="45"/>
              <w:jc w:val="right"/>
              <w:rPr>
                <w:sz w:val="13"/>
              </w:rPr>
            </w:pPr>
            <w:r>
              <w:rPr>
                <w:w w:val="105"/>
                <w:sz w:val="13"/>
              </w:rPr>
              <w:t>11.109.640,91</w:t>
            </w:r>
          </w:p>
        </w:tc>
        <w:tc>
          <w:tcPr>
            <w:tcW w:w="1003" w:type="dxa"/>
          </w:tcPr>
          <w:p>
            <w:pPr>
              <w:pStyle w:val="TableParagraph"/>
              <w:rPr>
                <w:rFonts w:ascii="Times New Roman"/>
                <w:sz w:val="12"/>
              </w:rPr>
            </w:pP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11.109.640,91</w:t>
            </w:r>
          </w:p>
        </w:tc>
      </w:tr>
      <w:tr>
        <w:trPr>
          <w:trHeight w:val="187" w:hRule="atLeast"/>
        </w:trPr>
        <w:tc>
          <w:tcPr>
            <w:tcW w:w="1306" w:type="dxa"/>
          </w:tcPr>
          <w:p>
            <w:pPr>
              <w:pStyle w:val="TableParagraph"/>
              <w:spacing w:before="2"/>
              <w:ind w:left="57"/>
              <w:rPr>
                <w:sz w:val="13"/>
              </w:rPr>
            </w:pPr>
            <w:r>
              <w:rPr>
                <w:w w:val="105"/>
                <w:sz w:val="13"/>
              </w:rPr>
              <w:t>FUNCATRA</w:t>
            </w:r>
          </w:p>
        </w:tc>
        <w:tc>
          <w:tcPr>
            <w:tcW w:w="856" w:type="dxa"/>
          </w:tcPr>
          <w:p>
            <w:pPr>
              <w:pStyle w:val="TableParagraph"/>
              <w:spacing w:before="2"/>
              <w:ind w:right="47"/>
              <w:jc w:val="right"/>
              <w:rPr>
                <w:sz w:val="13"/>
              </w:rPr>
            </w:pPr>
            <w:r>
              <w:rPr>
                <w:w w:val="105"/>
                <w:sz w:val="13"/>
              </w:rPr>
              <w:t>112.328,45</w:t>
            </w:r>
          </w:p>
        </w:tc>
        <w:tc>
          <w:tcPr>
            <w:tcW w:w="951" w:type="dxa"/>
          </w:tcPr>
          <w:p>
            <w:pPr>
              <w:pStyle w:val="TableParagraph"/>
              <w:spacing w:before="2"/>
              <w:ind w:right="46"/>
              <w:jc w:val="right"/>
              <w:rPr>
                <w:sz w:val="13"/>
              </w:rPr>
            </w:pPr>
            <w:r>
              <w:rPr>
                <w:w w:val="105"/>
                <w:sz w:val="13"/>
              </w:rPr>
              <w:t>12.695,92</w:t>
            </w:r>
          </w:p>
        </w:tc>
        <w:tc>
          <w:tcPr>
            <w:tcW w:w="1033" w:type="dxa"/>
          </w:tcPr>
          <w:p>
            <w:pPr>
              <w:pStyle w:val="TableParagraph"/>
              <w:spacing w:before="2"/>
              <w:ind w:right="45"/>
              <w:jc w:val="right"/>
              <w:rPr>
                <w:sz w:val="13"/>
              </w:rPr>
            </w:pPr>
            <w:r>
              <w:rPr>
                <w:w w:val="105"/>
                <w:sz w:val="13"/>
              </w:rPr>
              <w:t>1.316.700,00</w:t>
            </w:r>
          </w:p>
        </w:tc>
        <w:tc>
          <w:tcPr>
            <w:tcW w:w="1003" w:type="dxa"/>
          </w:tcPr>
          <w:p>
            <w:pPr>
              <w:pStyle w:val="TableParagraph"/>
              <w:rPr>
                <w:rFonts w:ascii="Times New Roman"/>
                <w:sz w:val="12"/>
              </w:rPr>
            </w:pP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1.441.724,37</w:t>
            </w:r>
          </w:p>
        </w:tc>
      </w:tr>
      <w:tr>
        <w:trPr>
          <w:trHeight w:val="189" w:hRule="atLeast"/>
        </w:trPr>
        <w:tc>
          <w:tcPr>
            <w:tcW w:w="1306" w:type="dxa"/>
          </w:tcPr>
          <w:p>
            <w:pPr>
              <w:pStyle w:val="TableParagraph"/>
              <w:spacing w:before="4"/>
              <w:ind w:left="57"/>
              <w:rPr>
                <w:sz w:val="13"/>
              </w:rPr>
            </w:pPr>
            <w:r>
              <w:rPr>
                <w:w w:val="105"/>
                <w:sz w:val="13"/>
              </w:rPr>
              <w:t>GESPLAN</w:t>
            </w:r>
          </w:p>
        </w:tc>
        <w:tc>
          <w:tcPr>
            <w:tcW w:w="856" w:type="dxa"/>
          </w:tcPr>
          <w:p>
            <w:pPr>
              <w:pStyle w:val="TableParagraph"/>
              <w:rPr>
                <w:rFonts w:ascii="Times New Roman"/>
                <w:sz w:val="12"/>
              </w:rPr>
            </w:pPr>
          </w:p>
        </w:tc>
        <w:tc>
          <w:tcPr>
            <w:tcW w:w="951" w:type="dxa"/>
          </w:tcPr>
          <w:p>
            <w:pPr>
              <w:pStyle w:val="TableParagraph"/>
              <w:rPr>
                <w:rFonts w:ascii="Times New Roman"/>
                <w:sz w:val="12"/>
              </w:rPr>
            </w:pPr>
          </w:p>
        </w:tc>
        <w:tc>
          <w:tcPr>
            <w:tcW w:w="1033" w:type="dxa"/>
          </w:tcPr>
          <w:p>
            <w:pPr>
              <w:pStyle w:val="TableParagraph"/>
              <w:spacing w:before="4"/>
              <w:ind w:right="45"/>
              <w:jc w:val="right"/>
              <w:rPr>
                <w:sz w:val="13"/>
              </w:rPr>
            </w:pPr>
            <w:r>
              <w:rPr>
                <w:w w:val="105"/>
                <w:sz w:val="13"/>
              </w:rPr>
              <w:t>21.657.656,43</w:t>
            </w:r>
          </w:p>
        </w:tc>
        <w:tc>
          <w:tcPr>
            <w:tcW w:w="1003" w:type="dxa"/>
          </w:tcPr>
          <w:p>
            <w:pPr>
              <w:pStyle w:val="TableParagraph"/>
              <w:spacing w:before="4"/>
              <w:ind w:right="45"/>
              <w:jc w:val="right"/>
              <w:rPr>
                <w:sz w:val="13"/>
              </w:rPr>
            </w:pPr>
            <w:r>
              <w:rPr>
                <w:w w:val="105"/>
                <w:sz w:val="13"/>
              </w:rPr>
              <w:t>3.027.429,20</w:t>
            </w:r>
          </w:p>
        </w:tc>
        <w:tc>
          <w:tcPr>
            <w:tcW w:w="930" w:type="dxa"/>
          </w:tcPr>
          <w:p>
            <w:pPr>
              <w:pStyle w:val="TableParagraph"/>
              <w:rPr>
                <w:rFonts w:ascii="Times New Roman"/>
                <w:sz w:val="12"/>
              </w:rPr>
            </w:pPr>
          </w:p>
        </w:tc>
        <w:tc>
          <w:tcPr>
            <w:tcW w:w="973" w:type="dxa"/>
          </w:tcPr>
          <w:p>
            <w:pPr>
              <w:pStyle w:val="TableParagraph"/>
              <w:spacing w:before="4"/>
              <w:ind w:right="43"/>
              <w:jc w:val="right"/>
              <w:rPr>
                <w:sz w:val="13"/>
              </w:rPr>
            </w:pPr>
            <w:r>
              <w:rPr>
                <w:w w:val="105"/>
                <w:sz w:val="13"/>
              </w:rPr>
              <w:t>24.685.085,63</w:t>
            </w:r>
          </w:p>
        </w:tc>
      </w:tr>
      <w:tr>
        <w:trPr>
          <w:trHeight w:val="189" w:hRule="atLeast"/>
        </w:trPr>
        <w:tc>
          <w:tcPr>
            <w:tcW w:w="1306" w:type="dxa"/>
          </w:tcPr>
          <w:p>
            <w:pPr>
              <w:pStyle w:val="TableParagraph"/>
              <w:spacing w:before="2"/>
              <w:ind w:left="57"/>
              <w:rPr>
                <w:sz w:val="13"/>
              </w:rPr>
            </w:pPr>
            <w:r>
              <w:rPr>
                <w:w w:val="105"/>
                <w:sz w:val="13"/>
              </w:rPr>
              <w:t>GRAFCAN</w:t>
            </w:r>
          </w:p>
        </w:tc>
        <w:tc>
          <w:tcPr>
            <w:tcW w:w="856" w:type="dxa"/>
          </w:tcPr>
          <w:p>
            <w:pPr>
              <w:pStyle w:val="TableParagraph"/>
              <w:spacing w:before="2"/>
              <w:ind w:right="47"/>
              <w:jc w:val="right"/>
              <w:rPr>
                <w:sz w:val="13"/>
              </w:rPr>
            </w:pPr>
            <w:r>
              <w:rPr>
                <w:w w:val="105"/>
                <w:sz w:val="13"/>
              </w:rPr>
              <w:t>56.360,00</w:t>
            </w:r>
          </w:p>
        </w:tc>
        <w:tc>
          <w:tcPr>
            <w:tcW w:w="951" w:type="dxa"/>
          </w:tcPr>
          <w:p>
            <w:pPr>
              <w:pStyle w:val="TableParagraph"/>
              <w:spacing w:before="2"/>
              <w:ind w:right="46"/>
              <w:jc w:val="right"/>
              <w:rPr>
                <w:sz w:val="13"/>
              </w:rPr>
            </w:pPr>
            <w:r>
              <w:rPr>
                <w:w w:val="105"/>
                <w:sz w:val="13"/>
              </w:rPr>
              <w:t>12.280,00</w:t>
            </w:r>
          </w:p>
        </w:tc>
        <w:tc>
          <w:tcPr>
            <w:tcW w:w="1033" w:type="dxa"/>
          </w:tcPr>
          <w:p>
            <w:pPr>
              <w:pStyle w:val="TableParagraph"/>
              <w:rPr>
                <w:rFonts w:ascii="Times New Roman"/>
                <w:sz w:val="12"/>
              </w:rPr>
            </w:pPr>
          </w:p>
        </w:tc>
        <w:tc>
          <w:tcPr>
            <w:tcW w:w="1003" w:type="dxa"/>
          </w:tcPr>
          <w:p>
            <w:pPr>
              <w:pStyle w:val="TableParagraph"/>
              <w:rPr>
                <w:rFonts w:ascii="Times New Roman"/>
                <w:sz w:val="12"/>
              </w:rPr>
            </w:pP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68.640,00</w:t>
            </w:r>
          </w:p>
        </w:tc>
      </w:tr>
      <w:tr>
        <w:trPr>
          <w:trHeight w:val="189" w:hRule="atLeast"/>
        </w:trPr>
        <w:tc>
          <w:tcPr>
            <w:tcW w:w="1306" w:type="dxa"/>
          </w:tcPr>
          <w:p>
            <w:pPr>
              <w:pStyle w:val="TableParagraph"/>
              <w:spacing w:before="2"/>
              <w:ind w:left="57"/>
              <w:rPr>
                <w:sz w:val="13"/>
              </w:rPr>
            </w:pPr>
            <w:r>
              <w:rPr>
                <w:w w:val="105"/>
                <w:sz w:val="13"/>
              </w:rPr>
              <w:t>ICDC</w:t>
            </w:r>
          </w:p>
        </w:tc>
        <w:tc>
          <w:tcPr>
            <w:tcW w:w="856" w:type="dxa"/>
          </w:tcPr>
          <w:p>
            <w:pPr>
              <w:pStyle w:val="TableParagraph"/>
              <w:rPr>
                <w:rFonts w:ascii="Times New Roman"/>
                <w:sz w:val="12"/>
              </w:rPr>
            </w:pPr>
          </w:p>
        </w:tc>
        <w:tc>
          <w:tcPr>
            <w:tcW w:w="951" w:type="dxa"/>
          </w:tcPr>
          <w:p>
            <w:pPr>
              <w:pStyle w:val="TableParagraph"/>
              <w:spacing w:before="2"/>
              <w:ind w:right="47"/>
              <w:jc w:val="right"/>
              <w:rPr>
                <w:sz w:val="13"/>
              </w:rPr>
            </w:pPr>
            <w:r>
              <w:rPr>
                <w:w w:val="105"/>
                <w:sz w:val="13"/>
              </w:rPr>
              <w:t>157.814,59</w:t>
            </w:r>
          </w:p>
        </w:tc>
        <w:tc>
          <w:tcPr>
            <w:tcW w:w="1033" w:type="dxa"/>
          </w:tcPr>
          <w:p>
            <w:pPr>
              <w:pStyle w:val="TableParagraph"/>
              <w:rPr>
                <w:rFonts w:ascii="Times New Roman"/>
                <w:sz w:val="12"/>
              </w:rPr>
            </w:pPr>
          </w:p>
        </w:tc>
        <w:tc>
          <w:tcPr>
            <w:tcW w:w="1003" w:type="dxa"/>
          </w:tcPr>
          <w:p>
            <w:pPr>
              <w:pStyle w:val="TableParagraph"/>
              <w:rPr>
                <w:rFonts w:ascii="Times New Roman"/>
                <w:sz w:val="12"/>
              </w:rPr>
            </w:pP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157.814,59</w:t>
            </w:r>
          </w:p>
        </w:tc>
      </w:tr>
      <w:tr>
        <w:trPr>
          <w:trHeight w:val="326" w:hRule="atLeast"/>
        </w:trPr>
        <w:tc>
          <w:tcPr>
            <w:tcW w:w="1306" w:type="dxa"/>
          </w:tcPr>
          <w:p>
            <w:pPr>
              <w:pStyle w:val="TableParagraph"/>
              <w:spacing w:before="2"/>
              <w:ind w:left="57"/>
              <w:rPr>
                <w:sz w:val="13"/>
              </w:rPr>
            </w:pPr>
            <w:r>
              <w:rPr>
                <w:w w:val="105"/>
                <w:sz w:val="13"/>
              </w:rPr>
              <w:t>Radio Pública De</w:t>
            </w:r>
          </w:p>
          <w:p>
            <w:pPr>
              <w:pStyle w:val="TableParagraph"/>
              <w:spacing w:line="141" w:lineRule="exact" w:before="4"/>
              <w:ind w:left="57"/>
              <w:rPr>
                <w:sz w:val="13"/>
              </w:rPr>
            </w:pPr>
            <w:r>
              <w:rPr>
                <w:w w:val="105"/>
                <w:sz w:val="13"/>
              </w:rPr>
              <w:t>Canarias, S.A.</w:t>
            </w:r>
          </w:p>
        </w:tc>
        <w:tc>
          <w:tcPr>
            <w:tcW w:w="856" w:type="dxa"/>
          </w:tcPr>
          <w:p>
            <w:pPr>
              <w:pStyle w:val="TableParagraph"/>
              <w:spacing w:before="2"/>
              <w:ind w:right="47"/>
              <w:jc w:val="right"/>
              <w:rPr>
                <w:sz w:val="13"/>
              </w:rPr>
            </w:pPr>
            <w:r>
              <w:rPr>
                <w:w w:val="105"/>
                <w:sz w:val="13"/>
              </w:rPr>
              <w:t>6.732,14</w:t>
            </w:r>
          </w:p>
        </w:tc>
        <w:tc>
          <w:tcPr>
            <w:tcW w:w="951" w:type="dxa"/>
          </w:tcPr>
          <w:p>
            <w:pPr>
              <w:pStyle w:val="TableParagraph"/>
              <w:spacing w:before="2"/>
              <w:ind w:right="46"/>
              <w:jc w:val="right"/>
              <w:rPr>
                <w:sz w:val="13"/>
              </w:rPr>
            </w:pPr>
            <w:r>
              <w:rPr>
                <w:w w:val="105"/>
                <w:sz w:val="13"/>
              </w:rPr>
              <w:t>12.524,58</w:t>
            </w:r>
          </w:p>
        </w:tc>
        <w:tc>
          <w:tcPr>
            <w:tcW w:w="1033" w:type="dxa"/>
          </w:tcPr>
          <w:p>
            <w:pPr>
              <w:pStyle w:val="TableParagraph"/>
              <w:rPr>
                <w:rFonts w:ascii="Times New Roman"/>
                <w:sz w:val="12"/>
              </w:rPr>
            </w:pPr>
          </w:p>
        </w:tc>
        <w:tc>
          <w:tcPr>
            <w:tcW w:w="1003" w:type="dxa"/>
          </w:tcPr>
          <w:p>
            <w:pPr>
              <w:pStyle w:val="TableParagraph"/>
              <w:rPr>
                <w:rFonts w:ascii="Times New Roman"/>
                <w:sz w:val="12"/>
              </w:rPr>
            </w:pP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19.256,72</w:t>
            </w:r>
          </w:p>
        </w:tc>
      </w:tr>
      <w:tr>
        <w:trPr>
          <w:trHeight w:val="326" w:hRule="atLeast"/>
        </w:trPr>
        <w:tc>
          <w:tcPr>
            <w:tcW w:w="1306" w:type="dxa"/>
          </w:tcPr>
          <w:p>
            <w:pPr>
              <w:pStyle w:val="TableParagraph"/>
              <w:spacing w:before="2"/>
              <w:ind w:left="57"/>
              <w:rPr>
                <w:sz w:val="13"/>
              </w:rPr>
            </w:pPr>
            <w:r>
              <w:rPr>
                <w:w w:val="105"/>
                <w:sz w:val="13"/>
              </w:rPr>
              <w:t>Televisión Pública De</w:t>
            </w:r>
          </w:p>
          <w:p>
            <w:pPr>
              <w:pStyle w:val="TableParagraph"/>
              <w:spacing w:line="141" w:lineRule="exact" w:before="4"/>
              <w:ind w:left="57"/>
              <w:rPr>
                <w:sz w:val="13"/>
              </w:rPr>
            </w:pPr>
            <w:r>
              <w:rPr>
                <w:w w:val="105"/>
                <w:sz w:val="13"/>
              </w:rPr>
              <w:t>Canarias, S.A.</w:t>
            </w:r>
          </w:p>
        </w:tc>
        <w:tc>
          <w:tcPr>
            <w:tcW w:w="856" w:type="dxa"/>
          </w:tcPr>
          <w:p>
            <w:pPr>
              <w:pStyle w:val="TableParagraph"/>
              <w:spacing w:before="2"/>
              <w:ind w:right="47"/>
              <w:jc w:val="right"/>
              <w:rPr>
                <w:sz w:val="13"/>
              </w:rPr>
            </w:pPr>
            <w:r>
              <w:rPr>
                <w:w w:val="105"/>
                <w:sz w:val="13"/>
              </w:rPr>
              <w:t>35.525,84</w:t>
            </w:r>
          </w:p>
        </w:tc>
        <w:tc>
          <w:tcPr>
            <w:tcW w:w="951" w:type="dxa"/>
          </w:tcPr>
          <w:p>
            <w:pPr>
              <w:pStyle w:val="TableParagraph"/>
              <w:spacing w:before="2"/>
              <w:ind w:right="46"/>
              <w:jc w:val="right"/>
              <w:rPr>
                <w:sz w:val="13"/>
              </w:rPr>
            </w:pPr>
            <w:r>
              <w:rPr>
                <w:w w:val="105"/>
                <w:sz w:val="13"/>
              </w:rPr>
              <w:t>27.731,62</w:t>
            </w:r>
          </w:p>
        </w:tc>
        <w:tc>
          <w:tcPr>
            <w:tcW w:w="1033" w:type="dxa"/>
          </w:tcPr>
          <w:p>
            <w:pPr>
              <w:pStyle w:val="TableParagraph"/>
              <w:rPr>
                <w:rFonts w:ascii="Times New Roman"/>
                <w:sz w:val="12"/>
              </w:rPr>
            </w:pPr>
          </w:p>
        </w:tc>
        <w:tc>
          <w:tcPr>
            <w:tcW w:w="1003" w:type="dxa"/>
          </w:tcPr>
          <w:p>
            <w:pPr>
              <w:pStyle w:val="TableParagraph"/>
              <w:rPr>
                <w:rFonts w:ascii="Times New Roman"/>
                <w:sz w:val="12"/>
              </w:rPr>
            </w:pP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63.257,46</w:t>
            </w:r>
          </w:p>
        </w:tc>
      </w:tr>
      <w:tr>
        <w:trPr>
          <w:trHeight w:val="187" w:hRule="atLeast"/>
        </w:trPr>
        <w:tc>
          <w:tcPr>
            <w:tcW w:w="1306" w:type="dxa"/>
          </w:tcPr>
          <w:p>
            <w:pPr>
              <w:pStyle w:val="TableParagraph"/>
              <w:spacing w:before="2"/>
              <w:ind w:left="57"/>
              <w:rPr>
                <w:sz w:val="13"/>
              </w:rPr>
            </w:pPr>
            <w:r>
              <w:rPr>
                <w:w w:val="105"/>
                <w:sz w:val="13"/>
              </w:rPr>
              <w:t>VISOCAN</w:t>
            </w:r>
          </w:p>
        </w:tc>
        <w:tc>
          <w:tcPr>
            <w:tcW w:w="856" w:type="dxa"/>
          </w:tcPr>
          <w:p>
            <w:pPr>
              <w:pStyle w:val="TableParagraph"/>
              <w:spacing w:before="2"/>
              <w:ind w:right="47"/>
              <w:jc w:val="right"/>
              <w:rPr>
                <w:sz w:val="13"/>
              </w:rPr>
            </w:pPr>
            <w:r>
              <w:rPr>
                <w:w w:val="105"/>
                <w:sz w:val="13"/>
              </w:rPr>
              <w:t>31.421,40</w:t>
            </w:r>
          </w:p>
        </w:tc>
        <w:tc>
          <w:tcPr>
            <w:tcW w:w="951" w:type="dxa"/>
          </w:tcPr>
          <w:p>
            <w:pPr>
              <w:pStyle w:val="TableParagraph"/>
              <w:rPr>
                <w:rFonts w:ascii="Times New Roman"/>
                <w:sz w:val="12"/>
              </w:rPr>
            </w:pPr>
          </w:p>
        </w:tc>
        <w:tc>
          <w:tcPr>
            <w:tcW w:w="1033" w:type="dxa"/>
          </w:tcPr>
          <w:p>
            <w:pPr>
              <w:pStyle w:val="TableParagraph"/>
              <w:rPr>
                <w:rFonts w:ascii="Times New Roman"/>
                <w:sz w:val="12"/>
              </w:rPr>
            </w:pPr>
          </w:p>
        </w:tc>
        <w:tc>
          <w:tcPr>
            <w:tcW w:w="1003" w:type="dxa"/>
          </w:tcPr>
          <w:p>
            <w:pPr>
              <w:pStyle w:val="TableParagraph"/>
              <w:rPr>
                <w:rFonts w:ascii="Times New Roman"/>
                <w:sz w:val="12"/>
              </w:rPr>
            </w:pPr>
          </w:p>
        </w:tc>
        <w:tc>
          <w:tcPr>
            <w:tcW w:w="930" w:type="dxa"/>
          </w:tcPr>
          <w:p>
            <w:pPr>
              <w:pStyle w:val="TableParagraph"/>
              <w:rPr>
                <w:rFonts w:ascii="Times New Roman"/>
                <w:sz w:val="12"/>
              </w:rPr>
            </w:pPr>
          </w:p>
        </w:tc>
        <w:tc>
          <w:tcPr>
            <w:tcW w:w="973" w:type="dxa"/>
          </w:tcPr>
          <w:p>
            <w:pPr>
              <w:pStyle w:val="TableParagraph"/>
              <w:spacing w:before="2"/>
              <w:ind w:right="43"/>
              <w:jc w:val="right"/>
              <w:rPr>
                <w:sz w:val="13"/>
              </w:rPr>
            </w:pPr>
            <w:r>
              <w:rPr>
                <w:w w:val="105"/>
                <w:sz w:val="13"/>
              </w:rPr>
              <w:t>31.421,40</w:t>
            </w:r>
          </w:p>
        </w:tc>
      </w:tr>
      <w:tr>
        <w:trPr>
          <w:trHeight w:val="189" w:hRule="atLeast"/>
        </w:trPr>
        <w:tc>
          <w:tcPr>
            <w:tcW w:w="1306" w:type="dxa"/>
          </w:tcPr>
          <w:p>
            <w:pPr>
              <w:pStyle w:val="TableParagraph"/>
              <w:spacing w:line="153" w:lineRule="exact" w:before="16"/>
              <w:ind w:left="486" w:right="479"/>
              <w:jc w:val="center"/>
              <w:rPr>
                <w:b/>
                <w:sz w:val="13"/>
              </w:rPr>
            </w:pPr>
            <w:r>
              <w:rPr>
                <w:b/>
                <w:w w:val="105"/>
                <w:sz w:val="13"/>
              </w:rPr>
              <w:t>Total</w:t>
            </w:r>
          </w:p>
        </w:tc>
        <w:tc>
          <w:tcPr>
            <w:tcW w:w="856" w:type="dxa"/>
          </w:tcPr>
          <w:p>
            <w:pPr>
              <w:pStyle w:val="TableParagraph"/>
              <w:spacing w:before="2"/>
              <w:ind w:right="46"/>
              <w:jc w:val="right"/>
              <w:rPr>
                <w:b/>
                <w:sz w:val="13"/>
              </w:rPr>
            </w:pPr>
            <w:r>
              <w:rPr>
                <w:b/>
                <w:w w:val="105"/>
                <w:sz w:val="13"/>
              </w:rPr>
              <w:t>511.805,17</w:t>
            </w:r>
          </w:p>
        </w:tc>
        <w:tc>
          <w:tcPr>
            <w:tcW w:w="951" w:type="dxa"/>
          </w:tcPr>
          <w:p>
            <w:pPr>
              <w:pStyle w:val="TableParagraph"/>
              <w:spacing w:before="2"/>
              <w:ind w:right="46"/>
              <w:jc w:val="right"/>
              <w:rPr>
                <w:b/>
                <w:sz w:val="13"/>
              </w:rPr>
            </w:pPr>
            <w:r>
              <w:rPr>
                <w:b/>
                <w:w w:val="105"/>
                <w:sz w:val="13"/>
              </w:rPr>
              <w:t>4.432.007,25</w:t>
            </w:r>
          </w:p>
        </w:tc>
        <w:tc>
          <w:tcPr>
            <w:tcW w:w="1033" w:type="dxa"/>
          </w:tcPr>
          <w:p>
            <w:pPr>
              <w:pStyle w:val="TableParagraph"/>
              <w:spacing w:before="2"/>
              <w:ind w:right="45"/>
              <w:jc w:val="right"/>
              <w:rPr>
                <w:b/>
                <w:sz w:val="13"/>
              </w:rPr>
            </w:pPr>
            <w:r>
              <w:rPr>
                <w:b/>
                <w:w w:val="105"/>
                <w:sz w:val="13"/>
              </w:rPr>
              <w:t>76.471.298,31</w:t>
            </w:r>
          </w:p>
        </w:tc>
        <w:tc>
          <w:tcPr>
            <w:tcW w:w="1003" w:type="dxa"/>
          </w:tcPr>
          <w:p>
            <w:pPr>
              <w:pStyle w:val="TableParagraph"/>
              <w:spacing w:before="2"/>
              <w:ind w:right="44"/>
              <w:jc w:val="right"/>
              <w:rPr>
                <w:b/>
                <w:sz w:val="13"/>
              </w:rPr>
            </w:pPr>
            <w:r>
              <w:rPr>
                <w:b/>
                <w:w w:val="105"/>
                <w:sz w:val="13"/>
              </w:rPr>
              <w:t>21.635.134,04</w:t>
            </w:r>
          </w:p>
        </w:tc>
        <w:tc>
          <w:tcPr>
            <w:tcW w:w="930" w:type="dxa"/>
          </w:tcPr>
          <w:p>
            <w:pPr>
              <w:pStyle w:val="TableParagraph"/>
              <w:spacing w:before="2"/>
              <w:ind w:right="43"/>
              <w:jc w:val="right"/>
              <w:rPr>
                <w:b/>
                <w:sz w:val="13"/>
              </w:rPr>
            </w:pPr>
            <w:r>
              <w:rPr>
                <w:b/>
                <w:w w:val="105"/>
                <w:sz w:val="13"/>
              </w:rPr>
              <w:t>31.751.538,00</w:t>
            </w:r>
          </w:p>
        </w:tc>
        <w:tc>
          <w:tcPr>
            <w:tcW w:w="973" w:type="dxa"/>
          </w:tcPr>
          <w:p>
            <w:pPr>
              <w:pStyle w:val="TableParagraph"/>
              <w:spacing w:before="2"/>
              <w:ind w:right="43"/>
              <w:jc w:val="right"/>
              <w:rPr>
                <w:b/>
                <w:sz w:val="13"/>
              </w:rPr>
            </w:pPr>
            <w:r>
              <w:rPr>
                <w:b/>
                <w:sz w:val="13"/>
              </w:rPr>
              <w:t>134.801.782,77</w:t>
            </w:r>
          </w:p>
        </w:tc>
      </w:tr>
    </w:tbl>
    <w:p>
      <w:pPr>
        <w:pStyle w:val="BodyText"/>
        <w:spacing w:before="8"/>
        <w:rPr>
          <w:b/>
          <w:sz w:val="11"/>
        </w:rPr>
      </w:pPr>
    </w:p>
    <w:p>
      <w:pPr>
        <w:spacing w:before="60"/>
        <w:ind w:left="2096" w:right="0" w:firstLine="0"/>
        <w:jc w:val="left"/>
        <w:rPr>
          <w:b/>
          <w:sz w:val="20"/>
        </w:rPr>
      </w:pPr>
      <w:r>
        <w:rPr>
          <w:b/>
          <w:sz w:val="20"/>
        </w:rPr>
        <w:t>4.2.9.5 Análisis de la ejecución de los fondos Next Generation.</w:t>
      </w:r>
    </w:p>
    <w:p>
      <w:pPr>
        <w:pStyle w:val="BodyText"/>
        <w:spacing w:before="8"/>
        <w:rPr>
          <w:b/>
          <w:sz w:val="16"/>
        </w:rPr>
      </w:pPr>
    </w:p>
    <w:p>
      <w:pPr>
        <w:pStyle w:val="BodyText"/>
        <w:ind w:left="2096" w:right="1137" w:firstLine="594"/>
        <w:jc w:val="both"/>
      </w:pPr>
      <w:r>
        <w:rPr/>
        <w:t>Para realizar este análisis se ha obtenido del SEFLogiC el estado de ejecución del presupuesto de gastos, clasificado por sección- servicio, tanto de la APCAC, como de los organismos autónomos, de los ejercicios 2021 y 2022.</w:t>
      </w:r>
    </w:p>
    <w:p>
      <w:pPr>
        <w:pStyle w:val="BodyText"/>
        <w:spacing w:before="108"/>
        <w:ind w:left="7897"/>
        <w:jc w:val="center"/>
      </w:pPr>
      <w:r>
        <w:rPr/>
        <w:t>54</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19" name="image5.png"/>
                  <wp:cNvGraphicFramePr>
                    <a:graphicFrameLocks noChangeAspect="1"/>
                  </wp:cNvGraphicFramePr>
                  <a:graphic>
                    <a:graphicData uri="http://schemas.openxmlformats.org/drawingml/2006/picture">
                      <pic:pic>
                        <pic:nvPicPr>
                          <pic:cNvPr id="12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56/247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right="1140" w:firstLine="594"/>
      </w:pPr>
      <w:r>
        <w:rPr/>
        <w:t>Según se ha determinado para el seguimiento de estos fondos, se han creado en la estructura orgánica de los presupuestos dos servicios para identificar estos créditos:</w:t>
      </w:r>
    </w:p>
    <w:p>
      <w:pPr>
        <w:pStyle w:val="BodyText"/>
        <w:spacing w:before="10"/>
        <w:rPr>
          <w:sz w:val="16"/>
        </w:rPr>
      </w:pPr>
    </w:p>
    <w:p>
      <w:pPr>
        <w:pStyle w:val="ListParagraph"/>
        <w:numPr>
          <w:ilvl w:val="0"/>
          <w:numId w:val="23"/>
        </w:numPr>
        <w:tabs>
          <w:tab w:pos="2694" w:val="left" w:leader="none"/>
          <w:tab w:pos="2695" w:val="left" w:leader="none"/>
        </w:tabs>
        <w:spacing w:line="240" w:lineRule="auto" w:before="0" w:after="0"/>
        <w:ind w:left="2694" w:right="0" w:hanging="299"/>
        <w:jc w:val="left"/>
        <w:rPr>
          <w:sz w:val="20"/>
        </w:rPr>
      </w:pPr>
      <w:r>
        <w:rPr>
          <w:sz w:val="20"/>
        </w:rPr>
        <w:t>Servicio 70: Mecanismo para la</w:t>
      </w:r>
      <w:r>
        <w:rPr>
          <w:spacing w:val="-1"/>
          <w:sz w:val="20"/>
        </w:rPr>
        <w:t> </w:t>
      </w:r>
      <w:r>
        <w:rPr>
          <w:sz w:val="20"/>
        </w:rPr>
        <w:t>recuperación.</w:t>
      </w:r>
    </w:p>
    <w:p>
      <w:pPr>
        <w:pStyle w:val="ListParagraph"/>
        <w:numPr>
          <w:ilvl w:val="0"/>
          <w:numId w:val="23"/>
        </w:numPr>
        <w:tabs>
          <w:tab w:pos="2694" w:val="left" w:leader="none"/>
          <w:tab w:pos="2695" w:val="left" w:leader="none"/>
        </w:tabs>
        <w:spacing w:line="240" w:lineRule="auto" w:before="2" w:after="0"/>
        <w:ind w:left="2694" w:right="0" w:hanging="299"/>
        <w:jc w:val="left"/>
        <w:rPr>
          <w:sz w:val="20"/>
        </w:rPr>
      </w:pPr>
      <w:r>
        <w:rPr>
          <w:sz w:val="20"/>
        </w:rPr>
        <w:t>Servicio 71: Ayuda a la recuperación</w:t>
      </w:r>
      <w:r>
        <w:rPr>
          <w:spacing w:val="4"/>
          <w:sz w:val="20"/>
        </w:rPr>
        <w:t> </w:t>
      </w:r>
      <w:r>
        <w:rPr>
          <w:sz w:val="20"/>
        </w:rPr>
        <w:t>(REACT-EU).</w:t>
      </w:r>
    </w:p>
    <w:p>
      <w:pPr>
        <w:pStyle w:val="BodyText"/>
        <w:spacing w:before="7"/>
        <w:rPr>
          <w:sz w:val="16"/>
        </w:rPr>
      </w:pPr>
    </w:p>
    <w:p>
      <w:pPr>
        <w:pStyle w:val="BodyText"/>
        <w:ind w:left="2690"/>
      </w:pPr>
      <w:r>
        <w:rPr/>
        <w:t>De la agregación de estos servicios se obtiene la siguiente información:</w:t>
      </w:r>
    </w:p>
    <w:p>
      <w:pPr>
        <w:pStyle w:val="BodyText"/>
        <w:spacing w:before="7"/>
        <w:rPr>
          <w:sz w:val="16"/>
        </w:rPr>
      </w:pPr>
    </w:p>
    <w:tbl>
      <w:tblPr>
        <w:tblW w:w="0" w:type="auto"/>
        <w:jc w:val="left"/>
        <w:tblInd w:w="2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6"/>
        <w:gridCol w:w="937"/>
        <w:gridCol w:w="935"/>
        <w:gridCol w:w="936"/>
        <w:gridCol w:w="938"/>
        <w:gridCol w:w="585"/>
        <w:gridCol w:w="670"/>
      </w:tblGrid>
      <w:tr>
        <w:trPr>
          <w:trHeight w:val="189" w:hRule="atLeast"/>
        </w:trPr>
        <w:tc>
          <w:tcPr>
            <w:tcW w:w="2136" w:type="dxa"/>
            <w:vMerge w:val="restart"/>
            <w:shd w:val="clear" w:color="auto" w:fill="DEEAF6"/>
          </w:tcPr>
          <w:p>
            <w:pPr>
              <w:pStyle w:val="TableParagraph"/>
              <w:spacing w:line="247" w:lineRule="auto" w:before="34"/>
              <w:ind w:left="700" w:hanging="500"/>
              <w:rPr>
                <w:b/>
                <w:sz w:val="13"/>
              </w:rPr>
            </w:pPr>
            <w:r>
              <w:rPr>
                <w:b/>
                <w:w w:val="105"/>
                <w:sz w:val="13"/>
              </w:rPr>
              <w:t>Servicio 70: Mecanismo para la recuperación</w:t>
            </w:r>
          </w:p>
        </w:tc>
        <w:tc>
          <w:tcPr>
            <w:tcW w:w="1872" w:type="dxa"/>
            <w:gridSpan w:val="2"/>
            <w:shd w:val="clear" w:color="auto" w:fill="DEEAF6"/>
          </w:tcPr>
          <w:p>
            <w:pPr>
              <w:pStyle w:val="TableParagraph"/>
              <w:spacing w:line="153" w:lineRule="exact" w:before="16"/>
              <w:ind w:left="446"/>
              <w:rPr>
                <w:b/>
                <w:sz w:val="13"/>
              </w:rPr>
            </w:pPr>
            <w:r>
              <w:rPr>
                <w:b/>
                <w:w w:val="105"/>
                <w:sz w:val="13"/>
              </w:rPr>
              <w:t>Crédito definitivo</w:t>
            </w:r>
          </w:p>
        </w:tc>
        <w:tc>
          <w:tcPr>
            <w:tcW w:w="1874" w:type="dxa"/>
            <w:gridSpan w:val="2"/>
            <w:shd w:val="clear" w:color="auto" w:fill="DEEAF6"/>
          </w:tcPr>
          <w:p>
            <w:pPr>
              <w:pStyle w:val="TableParagraph"/>
              <w:spacing w:line="153" w:lineRule="exact" w:before="16"/>
              <w:ind w:left="227"/>
              <w:rPr>
                <w:b/>
                <w:sz w:val="13"/>
              </w:rPr>
            </w:pPr>
            <w:r>
              <w:rPr>
                <w:b/>
                <w:w w:val="105"/>
                <w:sz w:val="13"/>
              </w:rPr>
              <w:t>Obligaciones reconocidas</w:t>
            </w:r>
          </w:p>
        </w:tc>
        <w:tc>
          <w:tcPr>
            <w:tcW w:w="1255" w:type="dxa"/>
            <w:gridSpan w:val="2"/>
            <w:shd w:val="clear" w:color="auto" w:fill="DEEAF6"/>
          </w:tcPr>
          <w:p>
            <w:pPr>
              <w:pStyle w:val="TableParagraph"/>
              <w:spacing w:line="153" w:lineRule="exact" w:before="16"/>
              <w:ind w:left="84"/>
              <w:rPr>
                <w:b/>
                <w:sz w:val="13"/>
              </w:rPr>
            </w:pPr>
            <w:r>
              <w:rPr>
                <w:b/>
                <w:w w:val="105"/>
                <w:sz w:val="13"/>
              </w:rPr>
              <w:t>Grado de ejecución</w:t>
            </w:r>
          </w:p>
        </w:tc>
      </w:tr>
      <w:tr>
        <w:trPr>
          <w:trHeight w:val="189" w:hRule="atLeast"/>
        </w:trPr>
        <w:tc>
          <w:tcPr>
            <w:tcW w:w="2136" w:type="dxa"/>
            <w:vMerge/>
            <w:tcBorders>
              <w:top w:val="nil"/>
            </w:tcBorders>
            <w:shd w:val="clear" w:color="auto" w:fill="DEEAF6"/>
          </w:tcPr>
          <w:p>
            <w:pPr>
              <w:rPr>
                <w:sz w:val="2"/>
                <w:szCs w:val="2"/>
              </w:rPr>
            </w:pPr>
          </w:p>
        </w:tc>
        <w:tc>
          <w:tcPr>
            <w:tcW w:w="937" w:type="dxa"/>
            <w:shd w:val="clear" w:color="auto" w:fill="DEEAF6"/>
          </w:tcPr>
          <w:p>
            <w:pPr>
              <w:pStyle w:val="TableParagraph"/>
              <w:spacing w:line="153" w:lineRule="exact" w:before="16"/>
              <w:ind w:left="28" w:right="22"/>
              <w:jc w:val="center"/>
              <w:rPr>
                <w:b/>
                <w:sz w:val="13"/>
              </w:rPr>
            </w:pPr>
            <w:r>
              <w:rPr>
                <w:b/>
                <w:w w:val="105"/>
                <w:sz w:val="13"/>
              </w:rPr>
              <w:t>2021</w:t>
            </w:r>
          </w:p>
        </w:tc>
        <w:tc>
          <w:tcPr>
            <w:tcW w:w="935" w:type="dxa"/>
            <w:shd w:val="clear" w:color="auto" w:fill="DEEAF6"/>
          </w:tcPr>
          <w:p>
            <w:pPr>
              <w:pStyle w:val="TableParagraph"/>
              <w:spacing w:line="153" w:lineRule="exact" w:before="16"/>
              <w:ind w:left="308" w:right="299"/>
              <w:jc w:val="center"/>
              <w:rPr>
                <w:b/>
                <w:sz w:val="13"/>
              </w:rPr>
            </w:pPr>
            <w:r>
              <w:rPr>
                <w:b/>
                <w:w w:val="105"/>
                <w:sz w:val="13"/>
              </w:rPr>
              <w:t>2022</w:t>
            </w:r>
          </w:p>
        </w:tc>
        <w:tc>
          <w:tcPr>
            <w:tcW w:w="936" w:type="dxa"/>
            <w:shd w:val="clear" w:color="auto" w:fill="DEEAF6"/>
          </w:tcPr>
          <w:p>
            <w:pPr>
              <w:pStyle w:val="TableParagraph"/>
              <w:spacing w:line="153" w:lineRule="exact" w:before="16"/>
              <w:ind w:left="308" w:right="300"/>
              <w:jc w:val="center"/>
              <w:rPr>
                <w:b/>
                <w:sz w:val="13"/>
              </w:rPr>
            </w:pPr>
            <w:r>
              <w:rPr>
                <w:b/>
                <w:w w:val="105"/>
                <w:sz w:val="13"/>
              </w:rPr>
              <w:t>2021</w:t>
            </w:r>
          </w:p>
        </w:tc>
        <w:tc>
          <w:tcPr>
            <w:tcW w:w="938" w:type="dxa"/>
            <w:shd w:val="clear" w:color="auto" w:fill="DEEAF6"/>
          </w:tcPr>
          <w:p>
            <w:pPr>
              <w:pStyle w:val="TableParagraph"/>
              <w:spacing w:line="153" w:lineRule="exact" w:before="16"/>
              <w:ind w:left="310" w:right="301"/>
              <w:jc w:val="center"/>
              <w:rPr>
                <w:b/>
                <w:sz w:val="13"/>
              </w:rPr>
            </w:pPr>
            <w:r>
              <w:rPr>
                <w:b/>
                <w:w w:val="105"/>
                <w:sz w:val="13"/>
              </w:rPr>
              <w:t>2022</w:t>
            </w:r>
          </w:p>
        </w:tc>
        <w:tc>
          <w:tcPr>
            <w:tcW w:w="585" w:type="dxa"/>
            <w:shd w:val="clear" w:color="auto" w:fill="DEEAF6"/>
          </w:tcPr>
          <w:p>
            <w:pPr>
              <w:pStyle w:val="TableParagraph"/>
              <w:spacing w:line="153" w:lineRule="exact" w:before="16"/>
              <w:ind w:left="153"/>
              <w:rPr>
                <w:b/>
                <w:sz w:val="13"/>
              </w:rPr>
            </w:pPr>
            <w:r>
              <w:rPr>
                <w:b/>
                <w:w w:val="105"/>
                <w:sz w:val="13"/>
              </w:rPr>
              <w:t>2021</w:t>
            </w:r>
          </w:p>
        </w:tc>
        <w:tc>
          <w:tcPr>
            <w:tcW w:w="670" w:type="dxa"/>
            <w:shd w:val="clear" w:color="auto" w:fill="DEEAF6"/>
          </w:tcPr>
          <w:p>
            <w:pPr>
              <w:pStyle w:val="TableParagraph"/>
              <w:spacing w:line="153" w:lineRule="exact" w:before="16"/>
              <w:ind w:left="195"/>
              <w:rPr>
                <w:b/>
                <w:sz w:val="13"/>
              </w:rPr>
            </w:pPr>
            <w:r>
              <w:rPr>
                <w:b/>
                <w:w w:val="105"/>
                <w:sz w:val="13"/>
              </w:rPr>
              <w:t>2022</w:t>
            </w:r>
          </w:p>
        </w:tc>
      </w:tr>
      <w:tr>
        <w:trPr>
          <w:trHeight w:val="326" w:hRule="atLeast"/>
        </w:trPr>
        <w:tc>
          <w:tcPr>
            <w:tcW w:w="2136" w:type="dxa"/>
          </w:tcPr>
          <w:p>
            <w:pPr>
              <w:pStyle w:val="TableParagraph"/>
              <w:spacing w:before="2"/>
              <w:ind w:left="57"/>
              <w:rPr>
                <w:sz w:val="13"/>
              </w:rPr>
            </w:pPr>
            <w:r>
              <w:rPr>
                <w:w w:val="105"/>
                <w:sz w:val="13"/>
              </w:rPr>
              <w:t>08 Consej. Admones. Públicas,</w:t>
            </w:r>
          </w:p>
          <w:p>
            <w:pPr>
              <w:pStyle w:val="TableParagraph"/>
              <w:spacing w:line="141" w:lineRule="exact" w:before="4"/>
              <w:ind w:left="57"/>
              <w:rPr>
                <w:sz w:val="13"/>
              </w:rPr>
            </w:pPr>
            <w:r>
              <w:rPr>
                <w:w w:val="105"/>
                <w:sz w:val="13"/>
              </w:rPr>
              <w:t>Justicia Y Seguridad</w:t>
            </w:r>
          </w:p>
        </w:tc>
        <w:tc>
          <w:tcPr>
            <w:tcW w:w="937" w:type="dxa"/>
          </w:tcPr>
          <w:p>
            <w:pPr>
              <w:pStyle w:val="TableParagraph"/>
              <w:spacing w:before="85"/>
              <w:ind w:left="135" w:right="22"/>
              <w:jc w:val="center"/>
              <w:rPr>
                <w:sz w:val="13"/>
              </w:rPr>
            </w:pPr>
            <w:r>
              <w:rPr>
                <w:w w:val="105"/>
                <w:sz w:val="13"/>
              </w:rPr>
              <w:t>1.462.509,00</w:t>
            </w:r>
          </w:p>
        </w:tc>
        <w:tc>
          <w:tcPr>
            <w:tcW w:w="935" w:type="dxa"/>
          </w:tcPr>
          <w:p>
            <w:pPr>
              <w:pStyle w:val="TableParagraph"/>
              <w:spacing w:before="85"/>
              <w:ind w:right="44"/>
              <w:jc w:val="right"/>
              <w:rPr>
                <w:sz w:val="13"/>
              </w:rPr>
            </w:pPr>
            <w:r>
              <w:rPr>
                <w:w w:val="105"/>
                <w:sz w:val="13"/>
              </w:rPr>
              <w:t>16.336.363,07</w:t>
            </w:r>
          </w:p>
        </w:tc>
        <w:tc>
          <w:tcPr>
            <w:tcW w:w="936" w:type="dxa"/>
          </w:tcPr>
          <w:p>
            <w:pPr>
              <w:pStyle w:val="TableParagraph"/>
              <w:spacing w:before="85"/>
              <w:ind w:right="49"/>
              <w:jc w:val="right"/>
              <w:rPr>
                <w:sz w:val="13"/>
              </w:rPr>
            </w:pPr>
            <w:r>
              <w:rPr>
                <w:w w:val="103"/>
                <w:sz w:val="13"/>
              </w:rPr>
              <w:t>0</w:t>
            </w:r>
          </w:p>
        </w:tc>
        <w:tc>
          <w:tcPr>
            <w:tcW w:w="938" w:type="dxa"/>
          </w:tcPr>
          <w:p>
            <w:pPr>
              <w:pStyle w:val="TableParagraph"/>
              <w:spacing w:before="85"/>
              <w:ind w:right="46"/>
              <w:jc w:val="right"/>
              <w:rPr>
                <w:sz w:val="13"/>
              </w:rPr>
            </w:pPr>
            <w:r>
              <w:rPr>
                <w:w w:val="105"/>
                <w:sz w:val="13"/>
              </w:rPr>
              <w:t>1.837.877,91</w:t>
            </w:r>
          </w:p>
        </w:tc>
        <w:tc>
          <w:tcPr>
            <w:tcW w:w="585" w:type="dxa"/>
          </w:tcPr>
          <w:p>
            <w:pPr>
              <w:pStyle w:val="TableParagraph"/>
              <w:spacing w:before="85"/>
              <w:ind w:left="187"/>
              <w:rPr>
                <w:sz w:val="13"/>
              </w:rPr>
            </w:pPr>
            <w:r>
              <w:rPr>
                <w:w w:val="105"/>
                <w:sz w:val="13"/>
              </w:rPr>
              <w:t>0,00%</w:t>
            </w:r>
          </w:p>
        </w:tc>
        <w:tc>
          <w:tcPr>
            <w:tcW w:w="670" w:type="dxa"/>
          </w:tcPr>
          <w:p>
            <w:pPr>
              <w:pStyle w:val="TableParagraph"/>
              <w:spacing w:before="85"/>
              <w:ind w:right="47"/>
              <w:jc w:val="right"/>
              <w:rPr>
                <w:sz w:val="13"/>
              </w:rPr>
            </w:pPr>
            <w:r>
              <w:rPr>
                <w:sz w:val="13"/>
              </w:rPr>
              <w:t>11,25%</w:t>
            </w:r>
          </w:p>
        </w:tc>
      </w:tr>
      <w:tr>
        <w:trPr>
          <w:trHeight w:val="326" w:hRule="atLeast"/>
        </w:trPr>
        <w:tc>
          <w:tcPr>
            <w:tcW w:w="2136" w:type="dxa"/>
          </w:tcPr>
          <w:p>
            <w:pPr>
              <w:pStyle w:val="TableParagraph"/>
              <w:spacing w:before="2"/>
              <w:ind w:left="57"/>
              <w:rPr>
                <w:sz w:val="13"/>
              </w:rPr>
            </w:pPr>
            <w:r>
              <w:rPr>
                <w:w w:val="105"/>
                <w:sz w:val="13"/>
              </w:rPr>
              <w:t>10 Hacienda, Presupuestos Y</w:t>
            </w:r>
          </w:p>
          <w:p>
            <w:pPr>
              <w:pStyle w:val="TableParagraph"/>
              <w:spacing w:line="141" w:lineRule="exact" w:before="5"/>
              <w:ind w:left="57"/>
              <w:rPr>
                <w:sz w:val="13"/>
              </w:rPr>
            </w:pPr>
            <w:r>
              <w:rPr>
                <w:w w:val="105"/>
                <w:sz w:val="13"/>
              </w:rPr>
              <w:t>Asuntos Europeos</w:t>
            </w:r>
          </w:p>
        </w:tc>
        <w:tc>
          <w:tcPr>
            <w:tcW w:w="937" w:type="dxa"/>
          </w:tcPr>
          <w:p>
            <w:pPr>
              <w:pStyle w:val="TableParagraph"/>
              <w:rPr>
                <w:rFonts w:ascii="Times New Roman"/>
                <w:sz w:val="12"/>
              </w:rPr>
            </w:pPr>
          </w:p>
        </w:tc>
        <w:tc>
          <w:tcPr>
            <w:tcW w:w="935" w:type="dxa"/>
          </w:tcPr>
          <w:p>
            <w:pPr>
              <w:pStyle w:val="TableParagraph"/>
              <w:spacing w:before="85"/>
              <w:ind w:right="44"/>
              <w:jc w:val="right"/>
              <w:rPr>
                <w:sz w:val="13"/>
              </w:rPr>
            </w:pPr>
            <w:r>
              <w:rPr>
                <w:w w:val="105"/>
                <w:sz w:val="13"/>
              </w:rPr>
              <w:t>1.780.272,38</w:t>
            </w:r>
          </w:p>
        </w:tc>
        <w:tc>
          <w:tcPr>
            <w:tcW w:w="936" w:type="dxa"/>
          </w:tcPr>
          <w:p>
            <w:pPr>
              <w:pStyle w:val="TableParagraph"/>
              <w:rPr>
                <w:rFonts w:ascii="Times New Roman"/>
                <w:sz w:val="12"/>
              </w:rPr>
            </w:pPr>
          </w:p>
        </w:tc>
        <w:tc>
          <w:tcPr>
            <w:tcW w:w="938" w:type="dxa"/>
          </w:tcPr>
          <w:p>
            <w:pPr>
              <w:pStyle w:val="TableParagraph"/>
              <w:spacing w:before="85"/>
              <w:ind w:right="48"/>
              <w:jc w:val="right"/>
              <w:rPr>
                <w:sz w:val="13"/>
              </w:rPr>
            </w:pPr>
            <w:r>
              <w:rPr>
                <w:w w:val="103"/>
                <w:sz w:val="13"/>
              </w:rPr>
              <w:t>0</w:t>
            </w:r>
          </w:p>
        </w:tc>
        <w:tc>
          <w:tcPr>
            <w:tcW w:w="585" w:type="dxa"/>
          </w:tcPr>
          <w:p>
            <w:pPr>
              <w:pStyle w:val="TableParagraph"/>
              <w:rPr>
                <w:rFonts w:ascii="Times New Roman"/>
                <w:sz w:val="12"/>
              </w:rPr>
            </w:pPr>
          </w:p>
        </w:tc>
        <w:tc>
          <w:tcPr>
            <w:tcW w:w="670" w:type="dxa"/>
          </w:tcPr>
          <w:p>
            <w:pPr>
              <w:pStyle w:val="TableParagraph"/>
              <w:spacing w:before="85"/>
              <w:ind w:right="48"/>
              <w:jc w:val="right"/>
              <w:rPr>
                <w:sz w:val="13"/>
              </w:rPr>
            </w:pPr>
            <w:r>
              <w:rPr>
                <w:sz w:val="13"/>
              </w:rPr>
              <w:t>0,00%</w:t>
            </w:r>
          </w:p>
        </w:tc>
      </w:tr>
      <w:tr>
        <w:trPr>
          <w:trHeight w:val="326" w:hRule="atLeast"/>
        </w:trPr>
        <w:tc>
          <w:tcPr>
            <w:tcW w:w="2136" w:type="dxa"/>
          </w:tcPr>
          <w:p>
            <w:pPr>
              <w:pStyle w:val="TableParagraph"/>
              <w:spacing w:before="2"/>
              <w:ind w:left="57"/>
              <w:rPr>
                <w:sz w:val="13"/>
              </w:rPr>
            </w:pPr>
            <w:r>
              <w:rPr>
                <w:w w:val="105"/>
                <w:sz w:val="13"/>
              </w:rPr>
              <w:t>11 Obras Públicas, Transportes Y</w:t>
            </w:r>
          </w:p>
          <w:p>
            <w:pPr>
              <w:pStyle w:val="TableParagraph"/>
              <w:spacing w:line="141" w:lineRule="exact" w:before="4"/>
              <w:ind w:left="57"/>
              <w:rPr>
                <w:sz w:val="13"/>
              </w:rPr>
            </w:pPr>
            <w:r>
              <w:rPr>
                <w:w w:val="105"/>
                <w:sz w:val="13"/>
              </w:rPr>
              <w:t>Vivienda</w:t>
            </w:r>
          </w:p>
        </w:tc>
        <w:tc>
          <w:tcPr>
            <w:tcW w:w="937" w:type="dxa"/>
          </w:tcPr>
          <w:p>
            <w:pPr>
              <w:pStyle w:val="TableParagraph"/>
              <w:rPr>
                <w:rFonts w:ascii="Times New Roman"/>
                <w:sz w:val="12"/>
              </w:rPr>
            </w:pPr>
          </w:p>
        </w:tc>
        <w:tc>
          <w:tcPr>
            <w:tcW w:w="935" w:type="dxa"/>
          </w:tcPr>
          <w:p>
            <w:pPr>
              <w:pStyle w:val="TableParagraph"/>
              <w:spacing w:before="85"/>
              <w:ind w:right="44"/>
              <w:jc w:val="right"/>
              <w:rPr>
                <w:sz w:val="13"/>
              </w:rPr>
            </w:pPr>
            <w:r>
              <w:rPr>
                <w:w w:val="105"/>
                <w:sz w:val="13"/>
              </w:rPr>
              <w:t>52.627.926,42</w:t>
            </w:r>
          </w:p>
        </w:tc>
        <w:tc>
          <w:tcPr>
            <w:tcW w:w="936" w:type="dxa"/>
          </w:tcPr>
          <w:p>
            <w:pPr>
              <w:pStyle w:val="TableParagraph"/>
              <w:rPr>
                <w:rFonts w:ascii="Times New Roman"/>
                <w:sz w:val="12"/>
              </w:rPr>
            </w:pPr>
          </w:p>
        </w:tc>
        <w:tc>
          <w:tcPr>
            <w:tcW w:w="938" w:type="dxa"/>
          </w:tcPr>
          <w:p>
            <w:pPr>
              <w:pStyle w:val="TableParagraph"/>
              <w:spacing w:before="85"/>
              <w:ind w:right="46"/>
              <w:jc w:val="right"/>
              <w:rPr>
                <w:sz w:val="13"/>
              </w:rPr>
            </w:pPr>
            <w:r>
              <w:rPr>
                <w:w w:val="105"/>
                <w:sz w:val="13"/>
              </w:rPr>
              <w:t>38.029.153,28</w:t>
            </w:r>
          </w:p>
        </w:tc>
        <w:tc>
          <w:tcPr>
            <w:tcW w:w="585" w:type="dxa"/>
          </w:tcPr>
          <w:p>
            <w:pPr>
              <w:pStyle w:val="TableParagraph"/>
              <w:rPr>
                <w:rFonts w:ascii="Times New Roman"/>
                <w:sz w:val="12"/>
              </w:rPr>
            </w:pPr>
          </w:p>
        </w:tc>
        <w:tc>
          <w:tcPr>
            <w:tcW w:w="670" w:type="dxa"/>
          </w:tcPr>
          <w:p>
            <w:pPr>
              <w:pStyle w:val="TableParagraph"/>
              <w:spacing w:before="85"/>
              <w:ind w:right="47"/>
              <w:jc w:val="right"/>
              <w:rPr>
                <w:sz w:val="13"/>
              </w:rPr>
            </w:pPr>
            <w:r>
              <w:rPr>
                <w:sz w:val="13"/>
              </w:rPr>
              <w:t>72,26%</w:t>
            </w:r>
          </w:p>
        </w:tc>
      </w:tr>
      <w:tr>
        <w:trPr>
          <w:trHeight w:val="187" w:hRule="atLeast"/>
        </w:trPr>
        <w:tc>
          <w:tcPr>
            <w:tcW w:w="2136" w:type="dxa"/>
          </w:tcPr>
          <w:p>
            <w:pPr>
              <w:pStyle w:val="TableParagraph"/>
              <w:spacing w:line="153" w:lineRule="exact" w:before="14"/>
              <w:ind w:left="57"/>
              <w:rPr>
                <w:sz w:val="13"/>
              </w:rPr>
            </w:pPr>
            <w:r>
              <w:rPr>
                <w:w w:val="105"/>
                <w:sz w:val="13"/>
              </w:rPr>
              <w:t>12 Trans. Ecol., Lucha Camb C.</w:t>
            </w:r>
          </w:p>
        </w:tc>
        <w:tc>
          <w:tcPr>
            <w:tcW w:w="937" w:type="dxa"/>
          </w:tcPr>
          <w:p>
            <w:pPr>
              <w:pStyle w:val="TableParagraph"/>
              <w:spacing w:line="153" w:lineRule="exact" w:before="14"/>
              <w:ind w:left="1" w:right="22"/>
              <w:jc w:val="center"/>
              <w:rPr>
                <w:sz w:val="13"/>
              </w:rPr>
            </w:pPr>
            <w:r>
              <w:rPr>
                <w:w w:val="105"/>
                <w:sz w:val="13"/>
              </w:rPr>
              <w:t>110.200.269,41</w:t>
            </w:r>
          </w:p>
        </w:tc>
        <w:tc>
          <w:tcPr>
            <w:tcW w:w="935" w:type="dxa"/>
          </w:tcPr>
          <w:p>
            <w:pPr>
              <w:pStyle w:val="TableParagraph"/>
              <w:spacing w:line="153" w:lineRule="exact" w:before="14"/>
              <w:ind w:right="45"/>
              <w:jc w:val="right"/>
              <w:rPr>
                <w:sz w:val="13"/>
              </w:rPr>
            </w:pPr>
            <w:r>
              <w:rPr>
                <w:sz w:val="13"/>
              </w:rPr>
              <w:t>143.000.814,74</w:t>
            </w:r>
          </w:p>
        </w:tc>
        <w:tc>
          <w:tcPr>
            <w:tcW w:w="936" w:type="dxa"/>
          </w:tcPr>
          <w:p>
            <w:pPr>
              <w:pStyle w:val="TableParagraph"/>
              <w:spacing w:line="153" w:lineRule="exact" w:before="14"/>
              <w:ind w:right="48"/>
              <w:jc w:val="right"/>
              <w:rPr>
                <w:sz w:val="13"/>
              </w:rPr>
            </w:pPr>
            <w:r>
              <w:rPr>
                <w:w w:val="105"/>
                <w:sz w:val="13"/>
              </w:rPr>
              <w:t>289.319,45</w:t>
            </w:r>
          </w:p>
        </w:tc>
        <w:tc>
          <w:tcPr>
            <w:tcW w:w="938" w:type="dxa"/>
          </w:tcPr>
          <w:p>
            <w:pPr>
              <w:pStyle w:val="TableParagraph"/>
              <w:spacing w:line="153" w:lineRule="exact" w:before="14"/>
              <w:ind w:right="46"/>
              <w:jc w:val="right"/>
              <w:rPr>
                <w:sz w:val="13"/>
              </w:rPr>
            </w:pPr>
            <w:r>
              <w:rPr>
                <w:w w:val="105"/>
                <w:sz w:val="13"/>
              </w:rPr>
              <w:t>3.611.614,71</w:t>
            </w:r>
          </w:p>
        </w:tc>
        <w:tc>
          <w:tcPr>
            <w:tcW w:w="585" w:type="dxa"/>
          </w:tcPr>
          <w:p>
            <w:pPr>
              <w:pStyle w:val="TableParagraph"/>
              <w:spacing w:line="153" w:lineRule="exact" w:before="14"/>
              <w:ind w:left="187"/>
              <w:rPr>
                <w:sz w:val="13"/>
              </w:rPr>
            </w:pPr>
            <w:r>
              <w:rPr>
                <w:w w:val="105"/>
                <w:sz w:val="13"/>
              </w:rPr>
              <w:t>0,26%</w:t>
            </w:r>
          </w:p>
        </w:tc>
        <w:tc>
          <w:tcPr>
            <w:tcW w:w="670" w:type="dxa"/>
          </w:tcPr>
          <w:p>
            <w:pPr>
              <w:pStyle w:val="TableParagraph"/>
              <w:spacing w:line="153" w:lineRule="exact" w:before="14"/>
              <w:ind w:right="48"/>
              <w:jc w:val="right"/>
              <w:rPr>
                <w:sz w:val="13"/>
              </w:rPr>
            </w:pPr>
            <w:r>
              <w:rPr>
                <w:sz w:val="13"/>
              </w:rPr>
              <w:t>2,53%</w:t>
            </w:r>
          </w:p>
        </w:tc>
      </w:tr>
      <w:tr>
        <w:trPr>
          <w:trHeight w:val="189" w:hRule="atLeast"/>
        </w:trPr>
        <w:tc>
          <w:tcPr>
            <w:tcW w:w="2136" w:type="dxa"/>
          </w:tcPr>
          <w:p>
            <w:pPr>
              <w:pStyle w:val="TableParagraph"/>
              <w:spacing w:line="153" w:lineRule="exact" w:before="16"/>
              <w:ind w:left="57"/>
              <w:rPr>
                <w:sz w:val="13"/>
              </w:rPr>
            </w:pPr>
            <w:r>
              <w:rPr>
                <w:w w:val="105"/>
                <w:sz w:val="13"/>
              </w:rPr>
              <w:t>13 Agricultura, Ganadería Y Pesca</w:t>
            </w:r>
          </w:p>
        </w:tc>
        <w:tc>
          <w:tcPr>
            <w:tcW w:w="937" w:type="dxa"/>
          </w:tcPr>
          <w:p>
            <w:pPr>
              <w:pStyle w:val="TableParagraph"/>
              <w:rPr>
                <w:rFonts w:ascii="Times New Roman"/>
                <w:sz w:val="12"/>
              </w:rPr>
            </w:pPr>
          </w:p>
        </w:tc>
        <w:tc>
          <w:tcPr>
            <w:tcW w:w="935" w:type="dxa"/>
          </w:tcPr>
          <w:p>
            <w:pPr>
              <w:pStyle w:val="TableParagraph"/>
              <w:spacing w:line="153" w:lineRule="exact" w:before="16"/>
              <w:ind w:right="44"/>
              <w:jc w:val="right"/>
              <w:rPr>
                <w:sz w:val="13"/>
              </w:rPr>
            </w:pPr>
            <w:r>
              <w:rPr>
                <w:w w:val="105"/>
                <w:sz w:val="13"/>
              </w:rPr>
              <w:t>3.234.722,25</w:t>
            </w:r>
          </w:p>
        </w:tc>
        <w:tc>
          <w:tcPr>
            <w:tcW w:w="936" w:type="dxa"/>
          </w:tcPr>
          <w:p>
            <w:pPr>
              <w:pStyle w:val="TableParagraph"/>
              <w:rPr>
                <w:rFonts w:ascii="Times New Roman"/>
                <w:sz w:val="12"/>
              </w:rPr>
            </w:pPr>
          </w:p>
        </w:tc>
        <w:tc>
          <w:tcPr>
            <w:tcW w:w="938" w:type="dxa"/>
          </w:tcPr>
          <w:p>
            <w:pPr>
              <w:pStyle w:val="TableParagraph"/>
              <w:spacing w:line="153" w:lineRule="exact" w:before="16"/>
              <w:ind w:right="46"/>
              <w:jc w:val="right"/>
              <w:rPr>
                <w:sz w:val="13"/>
              </w:rPr>
            </w:pPr>
            <w:r>
              <w:rPr>
                <w:w w:val="105"/>
                <w:sz w:val="13"/>
              </w:rPr>
              <w:t>37.315,18</w:t>
            </w:r>
          </w:p>
        </w:tc>
        <w:tc>
          <w:tcPr>
            <w:tcW w:w="585" w:type="dxa"/>
          </w:tcPr>
          <w:p>
            <w:pPr>
              <w:pStyle w:val="TableParagraph"/>
              <w:rPr>
                <w:rFonts w:ascii="Times New Roman"/>
                <w:sz w:val="12"/>
              </w:rPr>
            </w:pPr>
          </w:p>
        </w:tc>
        <w:tc>
          <w:tcPr>
            <w:tcW w:w="670" w:type="dxa"/>
          </w:tcPr>
          <w:p>
            <w:pPr>
              <w:pStyle w:val="TableParagraph"/>
              <w:spacing w:line="153" w:lineRule="exact" w:before="16"/>
              <w:ind w:right="48"/>
              <w:jc w:val="right"/>
              <w:rPr>
                <w:sz w:val="13"/>
              </w:rPr>
            </w:pPr>
            <w:r>
              <w:rPr>
                <w:sz w:val="13"/>
              </w:rPr>
              <w:t>1,15%</w:t>
            </w:r>
          </w:p>
        </w:tc>
      </w:tr>
      <w:tr>
        <w:trPr>
          <w:trHeight w:val="326" w:hRule="atLeast"/>
        </w:trPr>
        <w:tc>
          <w:tcPr>
            <w:tcW w:w="2136" w:type="dxa"/>
          </w:tcPr>
          <w:p>
            <w:pPr>
              <w:pStyle w:val="TableParagraph"/>
              <w:spacing w:before="85"/>
              <w:ind w:left="57"/>
              <w:rPr>
                <w:sz w:val="13"/>
              </w:rPr>
            </w:pPr>
            <w:r>
              <w:rPr>
                <w:w w:val="105"/>
                <w:sz w:val="13"/>
              </w:rPr>
              <w:t>14 Sanidad</w:t>
            </w:r>
          </w:p>
        </w:tc>
        <w:tc>
          <w:tcPr>
            <w:tcW w:w="937" w:type="dxa"/>
          </w:tcPr>
          <w:p>
            <w:pPr>
              <w:pStyle w:val="TableParagraph"/>
              <w:spacing w:before="85"/>
              <w:ind w:left="135" w:right="22"/>
              <w:jc w:val="center"/>
              <w:rPr>
                <w:sz w:val="13"/>
              </w:rPr>
            </w:pPr>
            <w:r>
              <w:rPr>
                <w:w w:val="105"/>
                <w:sz w:val="13"/>
              </w:rPr>
              <w:t>1.875.835,39</w:t>
            </w:r>
          </w:p>
        </w:tc>
        <w:tc>
          <w:tcPr>
            <w:tcW w:w="935" w:type="dxa"/>
          </w:tcPr>
          <w:p>
            <w:pPr>
              <w:pStyle w:val="TableParagraph"/>
              <w:rPr>
                <w:rFonts w:ascii="Times New Roman"/>
                <w:sz w:val="12"/>
              </w:rPr>
            </w:pPr>
          </w:p>
        </w:tc>
        <w:tc>
          <w:tcPr>
            <w:tcW w:w="936" w:type="dxa"/>
          </w:tcPr>
          <w:p>
            <w:pPr>
              <w:pStyle w:val="TableParagraph"/>
              <w:spacing w:before="85"/>
              <w:ind w:right="47"/>
              <w:jc w:val="right"/>
              <w:rPr>
                <w:sz w:val="13"/>
              </w:rPr>
            </w:pPr>
            <w:r>
              <w:rPr>
                <w:w w:val="105"/>
                <w:sz w:val="13"/>
              </w:rPr>
              <w:t>1.875.835,39</w:t>
            </w:r>
          </w:p>
        </w:tc>
        <w:tc>
          <w:tcPr>
            <w:tcW w:w="938" w:type="dxa"/>
          </w:tcPr>
          <w:p>
            <w:pPr>
              <w:pStyle w:val="TableParagraph"/>
              <w:rPr>
                <w:rFonts w:ascii="Times New Roman"/>
                <w:sz w:val="12"/>
              </w:rPr>
            </w:pPr>
          </w:p>
        </w:tc>
        <w:tc>
          <w:tcPr>
            <w:tcW w:w="585" w:type="dxa"/>
          </w:tcPr>
          <w:p>
            <w:pPr>
              <w:pStyle w:val="TableParagraph"/>
              <w:spacing w:before="2"/>
              <w:ind w:right="49"/>
              <w:jc w:val="right"/>
              <w:rPr>
                <w:sz w:val="13"/>
              </w:rPr>
            </w:pPr>
            <w:r>
              <w:rPr>
                <w:sz w:val="13"/>
              </w:rPr>
              <w:t>100,00</w:t>
            </w:r>
          </w:p>
          <w:p>
            <w:pPr>
              <w:pStyle w:val="TableParagraph"/>
              <w:spacing w:line="139" w:lineRule="exact" w:before="6"/>
              <w:ind w:right="51"/>
              <w:jc w:val="right"/>
              <w:rPr>
                <w:sz w:val="13"/>
              </w:rPr>
            </w:pPr>
            <w:r>
              <w:rPr>
                <w:w w:val="103"/>
                <w:sz w:val="13"/>
              </w:rPr>
              <w:t>%</w:t>
            </w:r>
          </w:p>
        </w:tc>
        <w:tc>
          <w:tcPr>
            <w:tcW w:w="670" w:type="dxa"/>
          </w:tcPr>
          <w:p>
            <w:pPr>
              <w:pStyle w:val="TableParagraph"/>
              <w:rPr>
                <w:rFonts w:ascii="Times New Roman"/>
                <w:sz w:val="12"/>
              </w:rPr>
            </w:pPr>
          </w:p>
        </w:tc>
      </w:tr>
      <w:tr>
        <w:trPr>
          <w:trHeight w:val="326" w:hRule="atLeast"/>
        </w:trPr>
        <w:tc>
          <w:tcPr>
            <w:tcW w:w="2136" w:type="dxa"/>
          </w:tcPr>
          <w:p>
            <w:pPr>
              <w:pStyle w:val="TableParagraph"/>
              <w:spacing w:before="2"/>
              <w:ind w:left="57"/>
              <w:rPr>
                <w:sz w:val="13"/>
              </w:rPr>
            </w:pPr>
            <w:r>
              <w:rPr>
                <w:w w:val="105"/>
                <w:sz w:val="13"/>
              </w:rPr>
              <w:t>15 Economía, Conocimiento Y</w:t>
            </w:r>
          </w:p>
          <w:p>
            <w:pPr>
              <w:pStyle w:val="TableParagraph"/>
              <w:spacing w:line="139" w:lineRule="exact" w:before="6"/>
              <w:ind w:left="57"/>
              <w:rPr>
                <w:sz w:val="13"/>
              </w:rPr>
            </w:pPr>
            <w:r>
              <w:rPr>
                <w:w w:val="105"/>
                <w:sz w:val="13"/>
              </w:rPr>
              <w:t>Empleo</w:t>
            </w:r>
          </w:p>
        </w:tc>
        <w:tc>
          <w:tcPr>
            <w:tcW w:w="937" w:type="dxa"/>
          </w:tcPr>
          <w:p>
            <w:pPr>
              <w:pStyle w:val="TableParagraph"/>
              <w:spacing w:before="85"/>
              <w:ind w:left="135" w:right="22"/>
              <w:jc w:val="center"/>
              <w:rPr>
                <w:sz w:val="13"/>
              </w:rPr>
            </w:pPr>
            <w:r>
              <w:rPr>
                <w:w w:val="105"/>
                <w:sz w:val="13"/>
              </w:rPr>
              <w:t>6.000.000,00</w:t>
            </w:r>
          </w:p>
        </w:tc>
        <w:tc>
          <w:tcPr>
            <w:tcW w:w="935" w:type="dxa"/>
          </w:tcPr>
          <w:p>
            <w:pPr>
              <w:pStyle w:val="TableParagraph"/>
              <w:spacing w:before="85"/>
              <w:ind w:right="44"/>
              <w:jc w:val="right"/>
              <w:rPr>
                <w:sz w:val="13"/>
              </w:rPr>
            </w:pPr>
            <w:r>
              <w:rPr>
                <w:w w:val="105"/>
                <w:sz w:val="13"/>
              </w:rPr>
              <w:t>19.403.406,33</w:t>
            </w:r>
          </w:p>
        </w:tc>
        <w:tc>
          <w:tcPr>
            <w:tcW w:w="936" w:type="dxa"/>
          </w:tcPr>
          <w:p>
            <w:pPr>
              <w:pStyle w:val="TableParagraph"/>
              <w:spacing w:before="85"/>
              <w:ind w:right="47"/>
              <w:jc w:val="right"/>
              <w:rPr>
                <w:sz w:val="13"/>
              </w:rPr>
            </w:pPr>
            <w:r>
              <w:rPr>
                <w:w w:val="105"/>
                <w:sz w:val="13"/>
              </w:rPr>
              <w:t>6.000.000,00</w:t>
            </w:r>
          </w:p>
        </w:tc>
        <w:tc>
          <w:tcPr>
            <w:tcW w:w="938" w:type="dxa"/>
          </w:tcPr>
          <w:p>
            <w:pPr>
              <w:pStyle w:val="TableParagraph"/>
              <w:spacing w:before="85"/>
              <w:ind w:right="46"/>
              <w:jc w:val="right"/>
              <w:rPr>
                <w:sz w:val="13"/>
              </w:rPr>
            </w:pPr>
            <w:r>
              <w:rPr>
                <w:w w:val="105"/>
                <w:sz w:val="13"/>
              </w:rPr>
              <w:t>15.616.949,91</w:t>
            </w:r>
          </w:p>
        </w:tc>
        <w:tc>
          <w:tcPr>
            <w:tcW w:w="585" w:type="dxa"/>
          </w:tcPr>
          <w:p>
            <w:pPr>
              <w:pStyle w:val="TableParagraph"/>
              <w:spacing w:before="2"/>
              <w:ind w:right="49"/>
              <w:jc w:val="right"/>
              <w:rPr>
                <w:sz w:val="13"/>
              </w:rPr>
            </w:pPr>
            <w:r>
              <w:rPr>
                <w:sz w:val="13"/>
              </w:rPr>
              <w:t>100,00</w:t>
            </w:r>
          </w:p>
          <w:p>
            <w:pPr>
              <w:pStyle w:val="TableParagraph"/>
              <w:spacing w:line="139" w:lineRule="exact" w:before="6"/>
              <w:ind w:right="51"/>
              <w:jc w:val="right"/>
              <w:rPr>
                <w:sz w:val="13"/>
              </w:rPr>
            </w:pPr>
            <w:r>
              <w:rPr>
                <w:w w:val="103"/>
                <w:sz w:val="13"/>
              </w:rPr>
              <w:t>%</w:t>
            </w:r>
          </w:p>
        </w:tc>
        <w:tc>
          <w:tcPr>
            <w:tcW w:w="670" w:type="dxa"/>
          </w:tcPr>
          <w:p>
            <w:pPr>
              <w:pStyle w:val="TableParagraph"/>
              <w:spacing w:before="85"/>
              <w:ind w:right="47"/>
              <w:jc w:val="right"/>
              <w:rPr>
                <w:sz w:val="13"/>
              </w:rPr>
            </w:pPr>
            <w:r>
              <w:rPr>
                <w:sz w:val="13"/>
              </w:rPr>
              <w:t>80,49%</w:t>
            </w:r>
          </w:p>
        </w:tc>
      </w:tr>
      <w:tr>
        <w:trPr>
          <w:trHeight w:val="189" w:hRule="atLeast"/>
        </w:trPr>
        <w:tc>
          <w:tcPr>
            <w:tcW w:w="2136" w:type="dxa"/>
          </w:tcPr>
          <w:p>
            <w:pPr>
              <w:pStyle w:val="TableParagraph"/>
              <w:spacing w:line="153" w:lineRule="exact" w:before="16"/>
              <w:ind w:left="57"/>
              <w:rPr>
                <w:sz w:val="13"/>
              </w:rPr>
            </w:pPr>
            <w:r>
              <w:rPr>
                <w:w w:val="105"/>
                <w:sz w:val="13"/>
              </w:rPr>
              <w:t>16 Turismo, Industria Y Comercio</w:t>
            </w:r>
          </w:p>
        </w:tc>
        <w:tc>
          <w:tcPr>
            <w:tcW w:w="937" w:type="dxa"/>
          </w:tcPr>
          <w:p>
            <w:pPr>
              <w:pStyle w:val="TableParagraph"/>
              <w:rPr>
                <w:rFonts w:ascii="Times New Roman"/>
                <w:sz w:val="12"/>
              </w:rPr>
            </w:pPr>
          </w:p>
        </w:tc>
        <w:tc>
          <w:tcPr>
            <w:tcW w:w="935" w:type="dxa"/>
          </w:tcPr>
          <w:p>
            <w:pPr>
              <w:pStyle w:val="TableParagraph"/>
              <w:spacing w:line="153" w:lineRule="exact" w:before="16"/>
              <w:ind w:right="44"/>
              <w:jc w:val="right"/>
              <w:rPr>
                <w:sz w:val="13"/>
              </w:rPr>
            </w:pPr>
            <w:r>
              <w:rPr>
                <w:w w:val="105"/>
                <w:sz w:val="13"/>
              </w:rPr>
              <w:t>70.338.276,00</w:t>
            </w:r>
          </w:p>
        </w:tc>
        <w:tc>
          <w:tcPr>
            <w:tcW w:w="936" w:type="dxa"/>
          </w:tcPr>
          <w:p>
            <w:pPr>
              <w:pStyle w:val="TableParagraph"/>
              <w:rPr>
                <w:rFonts w:ascii="Times New Roman"/>
                <w:sz w:val="12"/>
              </w:rPr>
            </w:pPr>
          </w:p>
        </w:tc>
        <w:tc>
          <w:tcPr>
            <w:tcW w:w="938" w:type="dxa"/>
          </w:tcPr>
          <w:p>
            <w:pPr>
              <w:pStyle w:val="TableParagraph"/>
              <w:spacing w:line="153" w:lineRule="exact" w:before="16"/>
              <w:ind w:right="46"/>
              <w:jc w:val="right"/>
              <w:rPr>
                <w:sz w:val="13"/>
              </w:rPr>
            </w:pPr>
            <w:r>
              <w:rPr>
                <w:w w:val="105"/>
                <w:sz w:val="13"/>
              </w:rPr>
              <w:t>18.414.452,68</w:t>
            </w:r>
          </w:p>
        </w:tc>
        <w:tc>
          <w:tcPr>
            <w:tcW w:w="585" w:type="dxa"/>
          </w:tcPr>
          <w:p>
            <w:pPr>
              <w:pStyle w:val="TableParagraph"/>
              <w:rPr>
                <w:rFonts w:ascii="Times New Roman"/>
                <w:sz w:val="12"/>
              </w:rPr>
            </w:pPr>
          </w:p>
        </w:tc>
        <w:tc>
          <w:tcPr>
            <w:tcW w:w="670" w:type="dxa"/>
          </w:tcPr>
          <w:p>
            <w:pPr>
              <w:pStyle w:val="TableParagraph"/>
              <w:spacing w:line="153" w:lineRule="exact" w:before="16"/>
              <w:ind w:right="47"/>
              <w:jc w:val="right"/>
              <w:rPr>
                <w:sz w:val="13"/>
              </w:rPr>
            </w:pPr>
            <w:r>
              <w:rPr>
                <w:sz w:val="13"/>
              </w:rPr>
              <w:t>26,18%</w:t>
            </w:r>
          </w:p>
        </w:tc>
      </w:tr>
      <w:tr>
        <w:trPr>
          <w:trHeight w:val="326" w:hRule="atLeast"/>
        </w:trPr>
        <w:tc>
          <w:tcPr>
            <w:tcW w:w="2136" w:type="dxa"/>
          </w:tcPr>
          <w:p>
            <w:pPr>
              <w:pStyle w:val="TableParagraph"/>
              <w:spacing w:before="2"/>
              <w:ind w:left="57"/>
              <w:rPr>
                <w:sz w:val="13"/>
              </w:rPr>
            </w:pPr>
            <w:r>
              <w:rPr>
                <w:w w:val="105"/>
                <w:sz w:val="13"/>
              </w:rPr>
              <w:t>18 Educación, Universidades,</w:t>
            </w:r>
          </w:p>
          <w:p>
            <w:pPr>
              <w:pStyle w:val="TableParagraph"/>
              <w:spacing w:line="141" w:lineRule="exact" w:before="4"/>
              <w:ind w:left="57"/>
              <w:rPr>
                <w:sz w:val="13"/>
              </w:rPr>
            </w:pPr>
            <w:r>
              <w:rPr>
                <w:w w:val="105"/>
                <w:sz w:val="13"/>
              </w:rPr>
              <w:t>Cultura Y Deportes</w:t>
            </w:r>
          </w:p>
        </w:tc>
        <w:tc>
          <w:tcPr>
            <w:tcW w:w="937" w:type="dxa"/>
          </w:tcPr>
          <w:p>
            <w:pPr>
              <w:pStyle w:val="TableParagraph"/>
              <w:spacing w:before="85"/>
              <w:ind w:left="135" w:right="22"/>
              <w:jc w:val="center"/>
              <w:rPr>
                <w:sz w:val="13"/>
              </w:rPr>
            </w:pPr>
            <w:r>
              <w:rPr>
                <w:w w:val="105"/>
                <w:sz w:val="13"/>
              </w:rPr>
              <w:t>6.683.433,14</w:t>
            </w:r>
          </w:p>
        </w:tc>
        <w:tc>
          <w:tcPr>
            <w:tcW w:w="935" w:type="dxa"/>
          </w:tcPr>
          <w:p>
            <w:pPr>
              <w:pStyle w:val="TableParagraph"/>
              <w:spacing w:before="2"/>
              <w:ind w:right="45"/>
              <w:jc w:val="right"/>
              <w:rPr>
                <w:sz w:val="13"/>
              </w:rPr>
            </w:pPr>
            <w:r>
              <w:rPr>
                <w:sz w:val="13"/>
              </w:rPr>
              <w:t>118.210.421,6</w:t>
            </w:r>
          </w:p>
          <w:p>
            <w:pPr>
              <w:pStyle w:val="TableParagraph"/>
              <w:spacing w:line="141" w:lineRule="exact" w:before="4"/>
              <w:ind w:right="46"/>
              <w:jc w:val="right"/>
              <w:rPr>
                <w:sz w:val="13"/>
              </w:rPr>
            </w:pPr>
            <w:r>
              <w:rPr>
                <w:w w:val="103"/>
                <w:sz w:val="13"/>
              </w:rPr>
              <w:t>5</w:t>
            </w:r>
          </w:p>
        </w:tc>
        <w:tc>
          <w:tcPr>
            <w:tcW w:w="936" w:type="dxa"/>
          </w:tcPr>
          <w:p>
            <w:pPr>
              <w:pStyle w:val="TableParagraph"/>
              <w:spacing w:before="85"/>
              <w:ind w:right="47"/>
              <w:jc w:val="right"/>
              <w:rPr>
                <w:sz w:val="13"/>
              </w:rPr>
            </w:pPr>
            <w:r>
              <w:rPr>
                <w:w w:val="105"/>
                <w:sz w:val="13"/>
              </w:rPr>
              <w:t>40.143,87</w:t>
            </w:r>
          </w:p>
        </w:tc>
        <w:tc>
          <w:tcPr>
            <w:tcW w:w="938" w:type="dxa"/>
          </w:tcPr>
          <w:p>
            <w:pPr>
              <w:pStyle w:val="TableParagraph"/>
              <w:spacing w:before="85"/>
              <w:ind w:right="46"/>
              <w:jc w:val="right"/>
              <w:rPr>
                <w:sz w:val="13"/>
              </w:rPr>
            </w:pPr>
            <w:r>
              <w:rPr>
                <w:w w:val="105"/>
                <w:sz w:val="13"/>
              </w:rPr>
              <w:t>14.785.910,90</w:t>
            </w:r>
          </w:p>
        </w:tc>
        <w:tc>
          <w:tcPr>
            <w:tcW w:w="585" w:type="dxa"/>
          </w:tcPr>
          <w:p>
            <w:pPr>
              <w:pStyle w:val="TableParagraph"/>
              <w:spacing w:before="85"/>
              <w:ind w:left="187"/>
              <w:rPr>
                <w:sz w:val="13"/>
              </w:rPr>
            </w:pPr>
            <w:r>
              <w:rPr>
                <w:w w:val="105"/>
                <w:sz w:val="13"/>
              </w:rPr>
              <w:t>0,60%</w:t>
            </w:r>
          </w:p>
        </w:tc>
        <w:tc>
          <w:tcPr>
            <w:tcW w:w="670" w:type="dxa"/>
          </w:tcPr>
          <w:p>
            <w:pPr>
              <w:pStyle w:val="TableParagraph"/>
              <w:spacing w:before="85"/>
              <w:ind w:right="47"/>
              <w:jc w:val="right"/>
              <w:rPr>
                <w:sz w:val="13"/>
              </w:rPr>
            </w:pPr>
            <w:r>
              <w:rPr>
                <w:sz w:val="13"/>
              </w:rPr>
              <w:t>12,51%</w:t>
            </w:r>
          </w:p>
        </w:tc>
      </w:tr>
      <w:tr>
        <w:trPr>
          <w:trHeight w:val="187" w:hRule="atLeast"/>
        </w:trPr>
        <w:tc>
          <w:tcPr>
            <w:tcW w:w="2136" w:type="dxa"/>
          </w:tcPr>
          <w:p>
            <w:pPr>
              <w:pStyle w:val="TableParagraph"/>
              <w:spacing w:line="153" w:lineRule="exact" w:before="14"/>
              <w:ind w:left="57"/>
              <w:rPr>
                <w:sz w:val="13"/>
              </w:rPr>
            </w:pPr>
            <w:r>
              <w:rPr>
                <w:w w:val="105"/>
                <w:sz w:val="13"/>
              </w:rPr>
              <w:t>23 Dchos. Sociales, Igualdad, D</w:t>
            </w:r>
          </w:p>
        </w:tc>
        <w:tc>
          <w:tcPr>
            <w:tcW w:w="937" w:type="dxa"/>
          </w:tcPr>
          <w:p>
            <w:pPr>
              <w:pStyle w:val="TableParagraph"/>
              <w:rPr>
                <w:rFonts w:ascii="Times New Roman"/>
                <w:sz w:val="12"/>
              </w:rPr>
            </w:pPr>
          </w:p>
        </w:tc>
        <w:tc>
          <w:tcPr>
            <w:tcW w:w="935" w:type="dxa"/>
          </w:tcPr>
          <w:p>
            <w:pPr>
              <w:pStyle w:val="TableParagraph"/>
              <w:spacing w:line="153" w:lineRule="exact" w:before="14"/>
              <w:ind w:right="44"/>
              <w:jc w:val="right"/>
              <w:rPr>
                <w:sz w:val="13"/>
              </w:rPr>
            </w:pPr>
            <w:r>
              <w:rPr>
                <w:w w:val="105"/>
                <w:sz w:val="13"/>
              </w:rPr>
              <w:t>23.482.955,62</w:t>
            </w:r>
          </w:p>
        </w:tc>
        <w:tc>
          <w:tcPr>
            <w:tcW w:w="936" w:type="dxa"/>
          </w:tcPr>
          <w:p>
            <w:pPr>
              <w:pStyle w:val="TableParagraph"/>
              <w:rPr>
                <w:rFonts w:ascii="Times New Roman"/>
                <w:sz w:val="12"/>
              </w:rPr>
            </w:pPr>
          </w:p>
        </w:tc>
        <w:tc>
          <w:tcPr>
            <w:tcW w:w="938" w:type="dxa"/>
          </w:tcPr>
          <w:p>
            <w:pPr>
              <w:pStyle w:val="TableParagraph"/>
              <w:spacing w:line="153" w:lineRule="exact" w:before="14"/>
              <w:ind w:right="46"/>
              <w:jc w:val="right"/>
              <w:rPr>
                <w:sz w:val="13"/>
              </w:rPr>
            </w:pPr>
            <w:r>
              <w:rPr>
                <w:w w:val="105"/>
                <w:sz w:val="13"/>
              </w:rPr>
              <w:t>122.707,42</w:t>
            </w:r>
          </w:p>
        </w:tc>
        <w:tc>
          <w:tcPr>
            <w:tcW w:w="585" w:type="dxa"/>
          </w:tcPr>
          <w:p>
            <w:pPr>
              <w:pStyle w:val="TableParagraph"/>
              <w:rPr>
                <w:rFonts w:ascii="Times New Roman"/>
                <w:sz w:val="12"/>
              </w:rPr>
            </w:pPr>
          </w:p>
        </w:tc>
        <w:tc>
          <w:tcPr>
            <w:tcW w:w="670" w:type="dxa"/>
          </w:tcPr>
          <w:p>
            <w:pPr>
              <w:pStyle w:val="TableParagraph"/>
              <w:spacing w:line="153" w:lineRule="exact" w:before="14"/>
              <w:ind w:right="48"/>
              <w:jc w:val="right"/>
              <w:rPr>
                <w:sz w:val="13"/>
              </w:rPr>
            </w:pPr>
            <w:r>
              <w:rPr>
                <w:sz w:val="13"/>
              </w:rPr>
              <w:t>0,52%</w:t>
            </w:r>
          </w:p>
        </w:tc>
      </w:tr>
      <w:tr>
        <w:trPr>
          <w:trHeight w:val="189" w:hRule="atLeast"/>
        </w:trPr>
        <w:tc>
          <w:tcPr>
            <w:tcW w:w="2136" w:type="dxa"/>
          </w:tcPr>
          <w:p>
            <w:pPr>
              <w:pStyle w:val="TableParagraph"/>
              <w:spacing w:line="153" w:lineRule="exact" w:before="16"/>
              <w:ind w:left="57"/>
              <w:rPr>
                <w:sz w:val="13"/>
              </w:rPr>
            </w:pPr>
            <w:r>
              <w:rPr>
                <w:w w:val="105"/>
                <w:sz w:val="13"/>
              </w:rPr>
              <w:t>Organismos Autónomos</w:t>
            </w:r>
          </w:p>
        </w:tc>
        <w:tc>
          <w:tcPr>
            <w:tcW w:w="937" w:type="dxa"/>
          </w:tcPr>
          <w:p>
            <w:pPr>
              <w:pStyle w:val="TableParagraph"/>
              <w:rPr>
                <w:rFonts w:ascii="Times New Roman"/>
                <w:sz w:val="12"/>
              </w:rPr>
            </w:pPr>
          </w:p>
        </w:tc>
        <w:tc>
          <w:tcPr>
            <w:tcW w:w="935" w:type="dxa"/>
          </w:tcPr>
          <w:p>
            <w:pPr>
              <w:pStyle w:val="TableParagraph"/>
              <w:rPr>
                <w:rFonts w:ascii="Times New Roman"/>
                <w:sz w:val="12"/>
              </w:rPr>
            </w:pPr>
          </w:p>
        </w:tc>
        <w:tc>
          <w:tcPr>
            <w:tcW w:w="936" w:type="dxa"/>
          </w:tcPr>
          <w:p>
            <w:pPr>
              <w:pStyle w:val="TableParagraph"/>
              <w:rPr>
                <w:rFonts w:ascii="Times New Roman"/>
                <w:sz w:val="12"/>
              </w:rPr>
            </w:pPr>
          </w:p>
        </w:tc>
        <w:tc>
          <w:tcPr>
            <w:tcW w:w="938" w:type="dxa"/>
          </w:tcPr>
          <w:p>
            <w:pPr>
              <w:pStyle w:val="TableParagraph"/>
              <w:rPr>
                <w:rFonts w:ascii="Times New Roman"/>
                <w:sz w:val="12"/>
              </w:rPr>
            </w:pPr>
          </w:p>
        </w:tc>
        <w:tc>
          <w:tcPr>
            <w:tcW w:w="585" w:type="dxa"/>
          </w:tcPr>
          <w:p>
            <w:pPr>
              <w:pStyle w:val="TableParagraph"/>
              <w:rPr>
                <w:rFonts w:ascii="Times New Roman"/>
                <w:sz w:val="12"/>
              </w:rPr>
            </w:pPr>
          </w:p>
        </w:tc>
        <w:tc>
          <w:tcPr>
            <w:tcW w:w="670" w:type="dxa"/>
          </w:tcPr>
          <w:p>
            <w:pPr>
              <w:pStyle w:val="TableParagraph"/>
              <w:rPr>
                <w:rFonts w:ascii="Times New Roman"/>
                <w:sz w:val="12"/>
              </w:rPr>
            </w:pPr>
          </w:p>
        </w:tc>
      </w:tr>
      <w:tr>
        <w:trPr>
          <w:trHeight w:val="189" w:hRule="atLeast"/>
        </w:trPr>
        <w:tc>
          <w:tcPr>
            <w:tcW w:w="2136" w:type="dxa"/>
          </w:tcPr>
          <w:p>
            <w:pPr>
              <w:pStyle w:val="TableParagraph"/>
              <w:spacing w:line="153" w:lineRule="exact" w:before="16"/>
              <w:ind w:left="57"/>
              <w:rPr>
                <w:sz w:val="13"/>
              </w:rPr>
            </w:pPr>
            <w:r>
              <w:rPr>
                <w:w w:val="105"/>
                <w:sz w:val="13"/>
              </w:rPr>
              <w:t>49 Instituto Canario De La Vivienda</w:t>
            </w:r>
          </w:p>
        </w:tc>
        <w:tc>
          <w:tcPr>
            <w:tcW w:w="937" w:type="dxa"/>
          </w:tcPr>
          <w:p>
            <w:pPr>
              <w:pStyle w:val="TableParagraph"/>
              <w:rPr>
                <w:rFonts w:ascii="Times New Roman"/>
                <w:sz w:val="12"/>
              </w:rPr>
            </w:pPr>
          </w:p>
        </w:tc>
        <w:tc>
          <w:tcPr>
            <w:tcW w:w="935" w:type="dxa"/>
          </w:tcPr>
          <w:p>
            <w:pPr>
              <w:pStyle w:val="TableParagraph"/>
              <w:spacing w:line="153" w:lineRule="exact" w:before="16"/>
              <w:ind w:right="44"/>
              <w:jc w:val="right"/>
              <w:rPr>
                <w:sz w:val="13"/>
              </w:rPr>
            </w:pPr>
            <w:r>
              <w:rPr>
                <w:w w:val="105"/>
                <w:sz w:val="13"/>
              </w:rPr>
              <w:t>57.458.763,20</w:t>
            </w:r>
          </w:p>
        </w:tc>
        <w:tc>
          <w:tcPr>
            <w:tcW w:w="936" w:type="dxa"/>
          </w:tcPr>
          <w:p>
            <w:pPr>
              <w:pStyle w:val="TableParagraph"/>
              <w:rPr>
                <w:rFonts w:ascii="Times New Roman"/>
                <w:sz w:val="12"/>
              </w:rPr>
            </w:pPr>
          </w:p>
        </w:tc>
        <w:tc>
          <w:tcPr>
            <w:tcW w:w="938" w:type="dxa"/>
          </w:tcPr>
          <w:p>
            <w:pPr>
              <w:pStyle w:val="TableParagraph"/>
              <w:spacing w:line="153" w:lineRule="exact" w:before="16"/>
              <w:ind w:right="46"/>
              <w:jc w:val="right"/>
              <w:rPr>
                <w:sz w:val="13"/>
              </w:rPr>
            </w:pPr>
            <w:r>
              <w:rPr>
                <w:w w:val="105"/>
                <w:sz w:val="13"/>
              </w:rPr>
              <w:t>47.581.319,57</w:t>
            </w:r>
          </w:p>
        </w:tc>
        <w:tc>
          <w:tcPr>
            <w:tcW w:w="585" w:type="dxa"/>
          </w:tcPr>
          <w:p>
            <w:pPr>
              <w:pStyle w:val="TableParagraph"/>
              <w:rPr>
                <w:rFonts w:ascii="Times New Roman"/>
                <w:sz w:val="12"/>
              </w:rPr>
            </w:pPr>
          </w:p>
        </w:tc>
        <w:tc>
          <w:tcPr>
            <w:tcW w:w="670" w:type="dxa"/>
          </w:tcPr>
          <w:p>
            <w:pPr>
              <w:pStyle w:val="TableParagraph"/>
              <w:spacing w:line="153" w:lineRule="exact" w:before="16"/>
              <w:ind w:right="47"/>
              <w:jc w:val="right"/>
              <w:rPr>
                <w:sz w:val="13"/>
              </w:rPr>
            </w:pPr>
            <w:r>
              <w:rPr>
                <w:sz w:val="13"/>
              </w:rPr>
              <w:t>82,81%</w:t>
            </w:r>
          </w:p>
        </w:tc>
      </w:tr>
      <w:tr>
        <w:trPr>
          <w:trHeight w:val="189" w:hRule="atLeast"/>
        </w:trPr>
        <w:tc>
          <w:tcPr>
            <w:tcW w:w="2136" w:type="dxa"/>
          </w:tcPr>
          <w:p>
            <w:pPr>
              <w:pStyle w:val="TableParagraph"/>
              <w:spacing w:line="153" w:lineRule="exact" w:before="16"/>
              <w:ind w:left="57"/>
              <w:rPr>
                <w:sz w:val="13"/>
              </w:rPr>
            </w:pPr>
            <w:r>
              <w:rPr>
                <w:w w:val="105"/>
                <w:sz w:val="13"/>
              </w:rPr>
              <w:t>50 Servicio Canario De Empleo</w:t>
            </w:r>
          </w:p>
        </w:tc>
        <w:tc>
          <w:tcPr>
            <w:tcW w:w="937" w:type="dxa"/>
          </w:tcPr>
          <w:p>
            <w:pPr>
              <w:pStyle w:val="TableParagraph"/>
              <w:spacing w:line="153" w:lineRule="exact" w:before="16"/>
              <w:ind w:left="67" w:right="22"/>
              <w:jc w:val="center"/>
              <w:rPr>
                <w:sz w:val="13"/>
              </w:rPr>
            </w:pPr>
            <w:r>
              <w:rPr>
                <w:w w:val="105"/>
                <w:sz w:val="13"/>
              </w:rPr>
              <w:t>40.472.678,00</w:t>
            </w:r>
          </w:p>
        </w:tc>
        <w:tc>
          <w:tcPr>
            <w:tcW w:w="935" w:type="dxa"/>
          </w:tcPr>
          <w:p>
            <w:pPr>
              <w:pStyle w:val="TableParagraph"/>
              <w:spacing w:line="153" w:lineRule="exact" w:before="16"/>
              <w:ind w:right="44"/>
              <w:jc w:val="right"/>
              <w:rPr>
                <w:sz w:val="13"/>
              </w:rPr>
            </w:pPr>
            <w:r>
              <w:rPr>
                <w:w w:val="105"/>
                <w:sz w:val="13"/>
              </w:rPr>
              <w:t>48.069.119,18</w:t>
            </w:r>
          </w:p>
        </w:tc>
        <w:tc>
          <w:tcPr>
            <w:tcW w:w="936" w:type="dxa"/>
          </w:tcPr>
          <w:p>
            <w:pPr>
              <w:pStyle w:val="TableParagraph"/>
              <w:spacing w:line="153" w:lineRule="exact" w:before="16"/>
              <w:ind w:right="47"/>
              <w:jc w:val="right"/>
              <w:rPr>
                <w:sz w:val="13"/>
              </w:rPr>
            </w:pPr>
            <w:r>
              <w:rPr>
                <w:w w:val="105"/>
                <w:sz w:val="13"/>
              </w:rPr>
              <w:t>26.636.567,96</w:t>
            </w:r>
          </w:p>
        </w:tc>
        <w:tc>
          <w:tcPr>
            <w:tcW w:w="938" w:type="dxa"/>
          </w:tcPr>
          <w:p>
            <w:pPr>
              <w:pStyle w:val="TableParagraph"/>
              <w:spacing w:line="153" w:lineRule="exact" w:before="16"/>
              <w:ind w:right="46"/>
              <w:jc w:val="right"/>
              <w:rPr>
                <w:sz w:val="13"/>
              </w:rPr>
            </w:pPr>
            <w:r>
              <w:rPr>
                <w:w w:val="105"/>
                <w:sz w:val="13"/>
              </w:rPr>
              <w:t>41.417.428,19</w:t>
            </w:r>
          </w:p>
        </w:tc>
        <w:tc>
          <w:tcPr>
            <w:tcW w:w="585" w:type="dxa"/>
          </w:tcPr>
          <w:p>
            <w:pPr>
              <w:pStyle w:val="TableParagraph"/>
              <w:spacing w:line="153" w:lineRule="exact" w:before="16"/>
              <w:ind w:left="121"/>
              <w:rPr>
                <w:sz w:val="13"/>
              </w:rPr>
            </w:pPr>
            <w:r>
              <w:rPr>
                <w:w w:val="105"/>
                <w:sz w:val="13"/>
              </w:rPr>
              <w:t>65,81%</w:t>
            </w:r>
          </w:p>
        </w:tc>
        <w:tc>
          <w:tcPr>
            <w:tcW w:w="670" w:type="dxa"/>
          </w:tcPr>
          <w:p>
            <w:pPr>
              <w:pStyle w:val="TableParagraph"/>
              <w:spacing w:line="153" w:lineRule="exact" w:before="16"/>
              <w:ind w:right="47"/>
              <w:jc w:val="right"/>
              <w:rPr>
                <w:sz w:val="13"/>
              </w:rPr>
            </w:pPr>
            <w:r>
              <w:rPr>
                <w:sz w:val="13"/>
              </w:rPr>
              <w:t>86,16%</w:t>
            </w:r>
          </w:p>
        </w:tc>
      </w:tr>
      <w:tr>
        <w:trPr>
          <w:trHeight w:val="326" w:hRule="atLeast"/>
        </w:trPr>
        <w:tc>
          <w:tcPr>
            <w:tcW w:w="2136" w:type="dxa"/>
          </w:tcPr>
          <w:p>
            <w:pPr>
              <w:pStyle w:val="TableParagraph"/>
              <w:spacing w:before="2"/>
              <w:ind w:left="57"/>
              <w:rPr>
                <w:sz w:val="13"/>
              </w:rPr>
            </w:pPr>
            <w:r>
              <w:rPr>
                <w:w w:val="105"/>
                <w:sz w:val="13"/>
              </w:rPr>
              <w:t>Mecanismo Para La Recuperación.</w:t>
            </w:r>
          </w:p>
          <w:p>
            <w:pPr>
              <w:pStyle w:val="TableParagraph"/>
              <w:spacing w:line="141" w:lineRule="exact" w:before="4"/>
              <w:ind w:left="57"/>
              <w:rPr>
                <w:sz w:val="13"/>
              </w:rPr>
            </w:pPr>
            <w:r>
              <w:rPr>
                <w:w w:val="105"/>
                <w:sz w:val="13"/>
              </w:rPr>
              <w:t>Totales</w:t>
            </w:r>
          </w:p>
        </w:tc>
        <w:tc>
          <w:tcPr>
            <w:tcW w:w="937" w:type="dxa"/>
          </w:tcPr>
          <w:p>
            <w:pPr>
              <w:pStyle w:val="TableParagraph"/>
              <w:spacing w:before="85"/>
              <w:ind w:left="1" w:right="28"/>
              <w:jc w:val="center"/>
              <w:rPr>
                <w:b/>
                <w:sz w:val="13"/>
              </w:rPr>
            </w:pPr>
            <w:r>
              <w:rPr>
                <w:b/>
                <w:sz w:val="13"/>
              </w:rPr>
              <w:t>166.694.724,94</w:t>
            </w:r>
          </w:p>
        </w:tc>
        <w:tc>
          <w:tcPr>
            <w:tcW w:w="935" w:type="dxa"/>
          </w:tcPr>
          <w:p>
            <w:pPr>
              <w:pStyle w:val="TableParagraph"/>
              <w:spacing w:before="85"/>
              <w:ind w:right="45"/>
              <w:jc w:val="right"/>
              <w:rPr>
                <w:b/>
                <w:sz w:val="13"/>
              </w:rPr>
            </w:pPr>
            <w:r>
              <w:rPr>
                <w:b/>
                <w:sz w:val="13"/>
              </w:rPr>
              <w:t>553.943.040,84</w:t>
            </w:r>
          </w:p>
        </w:tc>
        <w:tc>
          <w:tcPr>
            <w:tcW w:w="936" w:type="dxa"/>
          </w:tcPr>
          <w:p>
            <w:pPr>
              <w:pStyle w:val="TableParagraph"/>
              <w:spacing w:before="85"/>
              <w:ind w:right="47"/>
              <w:jc w:val="right"/>
              <w:rPr>
                <w:b/>
                <w:sz w:val="13"/>
              </w:rPr>
            </w:pPr>
            <w:r>
              <w:rPr>
                <w:b/>
                <w:w w:val="105"/>
                <w:sz w:val="13"/>
              </w:rPr>
              <w:t>34.841.866,67</w:t>
            </w:r>
          </w:p>
        </w:tc>
        <w:tc>
          <w:tcPr>
            <w:tcW w:w="938" w:type="dxa"/>
          </w:tcPr>
          <w:p>
            <w:pPr>
              <w:pStyle w:val="TableParagraph"/>
              <w:spacing w:before="85"/>
              <w:ind w:right="46"/>
              <w:jc w:val="right"/>
              <w:rPr>
                <w:b/>
                <w:sz w:val="13"/>
              </w:rPr>
            </w:pPr>
            <w:r>
              <w:rPr>
                <w:b/>
                <w:sz w:val="13"/>
              </w:rPr>
              <w:t>181.454.729,75</w:t>
            </w:r>
          </w:p>
        </w:tc>
        <w:tc>
          <w:tcPr>
            <w:tcW w:w="585" w:type="dxa"/>
          </w:tcPr>
          <w:p>
            <w:pPr>
              <w:pStyle w:val="TableParagraph"/>
              <w:spacing w:before="85"/>
              <w:ind w:left="117"/>
              <w:rPr>
                <w:b/>
                <w:sz w:val="13"/>
              </w:rPr>
            </w:pPr>
            <w:r>
              <w:rPr>
                <w:b/>
                <w:w w:val="105"/>
                <w:sz w:val="13"/>
              </w:rPr>
              <w:t>20,90%</w:t>
            </w:r>
          </w:p>
        </w:tc>
        <w:tc>
          <w:tcPr>
            <w:tcW w:w="670" w:type="dxa"/>
          </w:tcPr>
          <w:p>
            <w:pPr>
              <w:pStyle w:val="TableParagraph"/>
              <w:spacing w:before="85"/>
              <w:ind w:right="47"/>
              <w:jc w:val="right"/>
              <w:rPr>
                <w:b/>
                <w:sz w:val="13"/>
              </w:rPr>
            </w:pPr>
            <w:r>
              <w:rPr>
                <w:b/>
                <w:w w:val="105"/>
                <w:sz w:val="13"/>
              </w:rPr>
              <w:t>32,76%</w:t>
            </w:r>
          </w:p>
        </w:tc>
      </w:tr>
    </w:tbl>
    <w:p>
      <w:pPr>
        <w:pStyle w:val="BodyText"/>
        <w:spacing w:before="7"/>
        <w:rPr>
          <w:sz w:val="21"/>
        </w:rPr>
      </w:pPr>
    </w:p>
    <w:tbl>
      <w:tblPr>
        <w:tblW w:w="0" w:type="auto"/>
        <w:jc w:val="left"/>
        <w:tblInd w:w="2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6"/>
        <w:gridCol w:w="951"/>
        <w:gridCol w:w="935"/>
        <w:gridCol w:w="970"/>
        <w:gridCol w:w="897"/>
        <w:gridCol w:w="563"/>
        <w:gridCol w:w="684"/>
      </w:tblGrid>
      <w:tr>
        <w:trPr>
          <w:trHeight w:val="189" w:hRule="atLeast"/>
        </w:trPr>
        <w:tc>
          <w:tcPr>
            <w:tcW w:w="2136" w:type="dxa"/>
            <w:vMerge w:val="restart"/>
            <w:shd w:val="clear" w:color="auto" w:fill="DEEAF6"/>
          </w:tcPr>
          <w:p>
            <w:pPr>
              <w:pStyle w:val="TableParagraph"/>
              <w:spacing w:line="247" w:lineRule="auto" w:before="34"/>
              <w:ind w:left="365" w:firstLine="46"/>
              <w:rPr>
                <w:b/>
                <w:sz w:val="13"/>
              </w:rPr>
            </w:pPr>
            <w:r>
              <w:rPr>
                <w:b/>
                <w:w w:val="105"/>
                <w:sz w:val="13"/>
              </w:rPr>
              <w:t>Servicio 71: - ayuda a la </w:t>
            </w:r>
            <w:r>
              <w:rPr>
                <w:b/>
                <w:sz w:val="13"/>
              </w:rPr>
              <w:t>recuperación (REACT-EU)</w:t>
            </w:r>
          </w:p>
        </w:tc>
        <w:tc>
          <w:tcPr>
            <w:tcW w:w="1886" w:type="dxa"/>
            <w:gridSpan w:val="2"/>
            <w:shd w:val="clear" w:color="auto" w:fill="DEEAF6"/>
          </w:tcPr>
          <w:p>
            <w:pPr>
              <w:pStyle w:val="TableParagraph"/>
              <w:spacing w:line="153" w:lineRule="exact" w:before="16"/>
              <w:ind w:left="452"/>
              <w:rPr>
                <w:b/>
                <w:sz w:val="13"/>
              </w:rPr>
            </w:pPr>
            <w:r>
              <w:rPr>
                <w:b/>
                <w:w w:val="105"/>
                <w:sz w:val="13"/>
              </w:rPr>
              <w:t>Crédito definitivo</w:t>
            </w:r>
          </w:p>
        </w:tc>
        <w:tc>
          <w:tcPr>
            <w:tcW w:w="1867" w:type="dxa"/>
            <w:gridSpan w:val="2"/>
            <w:shd w:val="clear" w:color="auto" w:fill="DEEAF6"/>
          </w:tcPr>
          <w:p>
            <w:pPr>
              <w:pStyle w:val="TableParagraph"/>
              <w:spacing w:line="153" w:lineRule="exact" w:before="16"/>
              <w:ind w:left="225"/>
              <w:rPr>
                <w:b/>
                <w:sz w:val="13"/>
              </w:rPr>
            </w:pPr>
            <w:r>
              <w:rPr>
                <w:b/>
                <w:w w:val="105"/>
                <w:sz w:val="13"/>
              </w:rPr>
              <w:t>Obligaciones reconocidas</w:t>
            </w:r>
          </w:p>
        </w:tc>
        <w:tc>
          <w:tcPr>
            <w:tcW w:w="1247" w:type="dxa"/>
            <w:gridSpan w:val="2"/>
            <w:shd w:val="clear" w:color="auto" w:fill="DEEAF6"/>
          </w:tcPr>
          <w:p>
            <w:pPr>
              <w:pStyle w:val="TableParagraph"/>
              <w:spacing w:line="153" w:lineRule="exact" w:before="16"/>
              <w:ind w:left="83"/>
              <w:rPr>
                <w:b/>
                <w:sz w:val="13"/>
              </w:rPr>
            </w:pPr>
            <w:r>
              <w:rPr>
                <w:b/>
                <w:w w:val="105"/>
                <w:sz w:val="13"/>
              </w:rPr>
              <w:t>Grado de ejecución</w:t>
            </w:r>
          </w:p>
        </w:tc>
      </w:tr>
      <w:tr>
        <w:trPr>
          <w:trHeight w:val="189" w:hRule="atLeast"/>
        </w:trPr>
        <w:tc>
          <w:tcPr>
            <w:tcW w:w="2136" w:type="dxa"/>
            <w:vMerge/>
            <w:tcBorders>
              <w:top w:val="nil"/>
            </w:tcBorders>
            <w:shd w:val="clear" w:color="auto" w:fill="DEEAF6"/>
          </w:tcPr>
          <w:p>
            <w:pPr>
              <w:rPr>
                <w:sz w:val="2"/>
                <w:szCs w:val="2"/>
              </w:rPr>
            </w:pPr>
          </w:p>
        </w:tc>
        <w:tc>
          <w:tcPr>
            <w:tcW w:w="951" w:type="dxa"/>
            <w:shd w:val="clear" w:color="auto" w:fill="DEEAF6"/>
          </w:tcPr>
          <w:p>
            <w:pPr>
              <w:pStyle w:val="TableParagraph"/>
              <w:spacing w:line="153" w:lineRule="exact" w:before="16"/>
              <w:ind w:left="316" w:right="307"/>
              <w:jc w:val="center"/>
              <w:rPr>
                <w:b/>
                <w:sz w:val="13"/>
              </w:rPr>
            </w:pPr>
            <w:r>
              <w:rPr>
                <w:b/>
                <w:w w:val="105"/>
                <w:sz w:val="13"/>
              </w:rPr>
              <w:t>2021</w:t>
            </w:r>
          </w:p>
        </w:tc>
        <w:tc>
          <w:tcPr>
            <w:tcW w:w="935" w:type="dxa"/>
            <w:shd w:val="clear" w:color="auto" w:fill="DEEAF6"/>
          </w:tcPr>
          <w:p>
            <w:pPr>
              <w:pStyle w:val="TableParagraph"/>
              <w:spacing w:line="153" w:lineRule="exact" w:before="16"/>
              <w:ind w:left="308" w:right="299"/>
              <w:jc w:val="center"/>
              <w:rPr>
                <w:b/>
                <w:sz w:val="13"/>
              </w:rPr>
            </w:pPr>
            <w:r>
              <w:rPr>
                <w:b/>
                <w:w w:val="105"/>
                <w:sz w:val="13"/>
              </w:rPr>
              <w:t>2022</w:t>
            </w:r>
          </w:p>
        </w:tc>
        <w:tc>
          <w:tcPr>
            <w:tcW w:w="970" w:type="dxa"/>
            <w:shd w:val="clear" w:color="auto" w:fill="DEEAF6"/>
          </w:tcPr>
          <w:p>
            <w:pPr>
              <w:pStyle w:val="TableParagraph"/>
              <w:spacing w:line="153" w:lineRule="exact" w:before="16"/>
              <w:ind w:left="30" w:right="24"/>
              <w:jc w:val="center"/>
              <w:rPr>
                <w:b/>
                <w:sz w:val="13"/>
              </w:rPr>
            </w:pPr>
            <w:r>
              <w:rPr>
                <w:b/>
                <w:w w:val="105"/>
                <w:sz w:val="13"/>
              </w:rPr>
              <w:t>2021</w:t>
            </w:r>
          </w:p>
        </w:tc>
        <w:tc>
          <w:tcPr>
            <w:tcW w:w="897" w:type="dxa"/>
            <w:shd w:val="clear" w:color="auto" w:fill="DEEAF6"/>
          </w:tcPr>
          <w:p>
            <w:pPr>
              <w:pStyle w:val="TableParagraph"/>
              <w:spacing w:line="153" w:lineRule="exact" w:before="16"/>
              <w:ind w:left="288" w:right="282"/>
              <w:jc w:val="center"/>
              <w:rPr>
                <w:b/>
                <w:sz w:val="13"/>
              </w:rPr>
            </w:pPr>
            <w:r>
              <w:rPr>
                <w:b/>
                <w:w w:val="105"/>
                <w:sz w:val="13"/>
              </w:rPr>
              <w:t>2022</w:t>
            </w:r>
          </w:p>
        </w:tc>
        <w:tc>
          <w:tcPr>
            <w:tcW w:w="563" w:type="dxa"/>
            <w:shd w:val="clear" w:color="auto" w:fill="DEEAF6"/>
          </w:tcPr>
          <w:p>
            <w:pPr>
              <w:pStyle w:val="TableParagraph"/>
              <w:spacing w:line="153" w:lineRule="exact" w:before="16"/>
              <w:ind w:left="144"/>
              <w:rPr>
                <w:b/>
                <w:sz w:val="13"/>
              </w:rPr>
            </w:pPr>
            <w:r>
              <w:rPr>
                <w:b/>
                <w:w w:val="105"/>
                <w:sz w:val="13"/>
              </w:rPr>
              <w:t>2021</w:t>
            </w:r>
          </w:p>
        </w:tc>
        <w:tc>
          <w:tcPr>
            <w:tcW w:w="684" w:type="dxa"/>
            <w:shd w:val="clear" w:color="auto" w:fill="DEEAF6"/>
          </w:tcPr>
          <w:p>
            <w:pPr>
              <w:pStyle w:val="TableParagraph"/>
              <w:spacing w:line="153" w:lineRule="exact" w:before="16"/>
              <w:ind w:left="202"/>
              <w:rPr>
                <w:b/>
                <w:sz w:val="13"/>
              </w:rPr>
            </w:pPr>
            <w:r>
              <w:rPr>
                <w:b/>
                <w:w w:val="105"/>
                <w:sz w:val="13"/>
              </w:rPr>
              <w:t>2022</w:t>
            </w:r>
          </w:p>
        </w:tc>
      </w:tr>
      <w:tr>
        <w:trPr>
          <w:trHeight w:val="326" w:hRule="atLeast"/>
        </w:trPr>
        <w:tc>
          <w:tcPr>
            <w:tcW w:w="2136" w:type="dxa"/>
          </w:tcPr>
          <w:p>
            <w:pPr>
              <w:pStyle w:val="TableParagraph"/>
              <w:spacing w:before="2"/>
              <w:ind w:left="57"/>
              <w:rPr>
                <w:sz w:val="13"/>
              </w:rPr>
            </w:pPr>
            <w:r>
              <w:rPr>
                <w:w w:val="105"/>
                <w:sz w:val="13"/>
              </w:rPr>
              <w:t>08 Consej. Admones. Públicas,</w:t>
            </w:r>
          </w:p>
          <w:p>
            <w:pPr>
              <w:pStyle w:val="TableParagraph"/>
              <w:spacing w:line="141" w:lineRule="exact" w:before="4"/>
              <w:ind w:left="57"/>
              <w:rPr>
                <w:sz w:val="13"/>
              </w:rPr>
            </w:pPr>
            <w:r>
              <w:rPr>
                <w:w w:val="105"/>
                <w:sz w:val="13"/>
              </w:rPr>
              <w:t>Justicia Y Seguridad</w:t>
            </w:r>
          </w:p>
        </w:tc>
        <w:tc>
          <w:tcPr>
            <w:tcW w:w="951" w:type="dxa"/>
          </w:tcPr>
          <w:p>
            <w:pPr>
              <w:pStyle w:val="TableParagraph"/>
              <w:rPr>
                <w:rFonts w:ascii="Times New Roman"/>
                <w:sz w:val="12"/>
              </w:rPr>
            </w:pPr>
          </w:p>
        </w:tc>
        <w:tc>
          <w:tcPr>
            <w:tcW w:w="935" w:type="dxa"/>
          </w:tcPr>
          <w:p>
            <w:pPr>
              <w:pStyle w:val="TableParagraph"/>
              <w:spacing w:before="85"/>
              <w:ind w:right="44"/>
              <w:jc w:val="right"/>
              <w:rPr>
                <w:sz w:val="13"/>
              </w:rPr>
            </w:pPr>
            <w:r>
              <w:rPr>
                <w:w w:val="105"/>
                <w:sz w:val="13"/>
              </w:rPr>
              <w:t>374.948,06</w:t>
            </w:r>
          </w:p>
        </w:tc>
        <w:tc>
          <w:tcPr>
            <w:tcW w:w="970" w:type="dxa"/>
          </w:tcPr>
          <w:p>
            <w:pPr>
              <w:pStyle w:val="TableParagraph"/>
              <w:rPr>
                <w:rFonts w:ascii="Times New Roman"/>
                <w:sz w:val="12"/>
              </w:rPr>
            </w:pPr>
          </w:p>
        </w:tc>
        <w:tc>
          <w:tcPr>
            <w:tcW w:w="897" w:type="dxa"/>
          </w:tcPr>
          <w:p>
            <w:pPr>
              <w:pStyle w:val="TableParagraph"/>
              <w:spacing w:before="85"/>
              <w:ind w:right="47"/>
              <w:jc w:val="right"/>
              <w:rPr>
                <w:sz w:val="13"/>
              </w:rPr>
            </w:pPr>
            <w:r>
              <w:rPr>
                <w:w w:val="105"/>
                <w:sz w:val="13"/>
              </w:rPr>
              <w:t>3.210,00</w:t>
            </w:r>
          </w:p>
        </w:tc>
        <w:tc>
          <w:tcPr>
            <w:tcW w:w="563" w:type="dxa"/>
          </w:tcPr>
          <w:p>
            <w:pPr>
              <w:pStyle w:val="TableParagraph"/>
              <w:rPr>
                <w:rFonts w:ascii="Times New Roman"/>
                <w:sz w:val="12"/>
              </w:rPr>
            </w:pPr>
          </w:p>
        </w:tc>
        <w:tc>
          <w:tcPr>
            <w:tcW w:w="684" w:type="dxa"/>
          </w:tcPr>
          <w:p>
            <w:pPr>
              <w:pStyle w:val="TableParagraph"/>
              <w:spacing w:before="85"/>
              <w:ind w:right="49"/>
              <w:jc w:val="right"/>
              <w:rPr>
                <w:sz w:val="13"/>
              </w:rPr>
            </w:pPr>
            <w:r>
              <w:rPr>
                <w:sz w:val="13"/>
              </w:rPr>
              <w:t>0,86%</w:t>
            </w:r>
          </w:p>
        </w:tc>
      </w:tr>
      <w:tr>
        <w:trPr>
          <w:trHeight w:val="326" w:hRule="atLeast"/>
        </w:trPr>
        <w:tc>
          <w:tcPr>
            <w:tcW w:w="2136" w:type="dxa"/>
          </w:tcPr>
          <w:p>
            <w:pPr>
              <w:pStyle w:val="TableParagraph"/>
              <w:spacing w:before="2"/>
              <w:ind w:left="57"/>
              <w:rPr>
                <w:sz w:val="13"/>
              </w:rPr>
            </w:pPr>
            <w:r>
              <w:rPr>
                <w:w w:val="105"/>
                <w:sz w:val="13"/>
              </w:rPr>
              <w:t>10 Hacienda, Presupuestos Y</w:t>
            </w:r>
          </w:p>
          <w:p>
            <w:pPr>
              <w:pStyle w:val="TableParagraph"/>
              <w:spacing w:line="141" w:lineRule="exact" w:before="4"/>
              <w:ind w:left="57"/>
              <w:rPr>
                <w:sz w:val="13"/>
              </w:rPr>
            </w:pPr>
            <w:r>
              <w:rPr>
                <w:w w:val="105"/>
                <w:sz w:val="13"/>
              </w:rPr>
              <w:t>Asuntos Europeos</w:t>
            </w:r>
          </w:p>
        </w:tc>
        <w:tc>
          <w:tcPr>
            <w:tcW w:w="951" w:type="dxa"/>
          </w:tcPr>
          <w:p>
            <w:pPr>
              <w:pStyle w:val="TableParagraph"/>
              <w:rPr>
                <w:rFonts w:ascii="Times New Roman"/>
                <w:sz w:val="12"/>
              </w:rPr>
            </w:pPr>
          </w:p>
        </w:tc>
        <w:tc>
          <w:tcPr>
            <w:tcW w:w="935" w:type="dxa"/>
          </w:tcPr>
          <w:p>
            <w:pPr>
              <w:pStyle w:val="TableParagraph"/>
              <w:spacing w:before="82"/>
              <w:ind w:right="44"/>
              <w:jc w:val="right"/>
              <w:rPr>
                <w:sz w:val="13"/>
              </w:rPr>
            </w:pPr>
            <w:r>
              <w:rPr>
                <w:w w:val="105"/>
                <w:sz w:val="13"/>
              </w:rPr>
              <w:t>2.600.280,86</w:t>
            </w:r>
          </w:p>
        </w:tc>
        <w:tc>
          <w:tcPr>
            <w:tcW w:w="970" w:type="dxa"/>
          </w:tcPr>
          <w:p>
            <w:pPr>
              <w:pStyle w:val="TableParagraph"/>
              <w:rPr>
                <w:rFonts w:ascii="Times New Roman"/>
                <w:sz w:val="12"/>
              </w:rPr>
            </w:pPr>
          </w:p>
        </w:tc>
        <w:tc>
          <w:tcPr>
            <w:tcW w:w="897" w:type="dxa"/>
          </w:tcPr>
          <w:p>
            <w:pPr>
              <w:pStyle w:val="TableParagraph"/>
              <w:spacing w:before="82"/>
              <w:ind w:right="47"/>
              <w:jc w:val="right"/>
              <w:rPr>
                <w:sz w:val="13"/>
              </w:rPr>
            </w:pPr>
            <w:r>
              <w:rPr>
                <w:w w:val="105"/>
                <w:sz w:val="13"/>
              </w:rPr>
              <w:t>1.165.943,50</w:t>
            </w:r>
          </w:p>
        </w:tc>
        <w:tc>
          <w:tcPr>
            <w:tcW w:w="563" w:type="dxa"/>
          </w:tcPr>
          <w:p>
            <w:pPr>
              <w:pStyle w:val="TableParagraph"/>
              <w:rPr>
                <w:rFonts w:ascii="Times New Roman"/>
                <w:sz w:val="12"/>
              </w:rPr>
            </w:pPr>
          </w:p>
        </w:tc>
        <w:tc>
          <w:tcPr>
            <w:tcW w:w="684" w:type="dxa"/>
          </w:tcPr>
          <w:p>
            <w:pPr>
              <w:pStyle w:val="TableParagraph"/>
              <w:spacing w:before="82"/>
              <w:ind w:right="48"/>
              <w:jc w:val="right"/>
              <w:rPr>
                <w:sz w:val="13"/>
              </w:rPr>
            </w:pPr>
            <w:r>
              <w:rPr>
                <w:sz w:val="13"/>
              </w:rPr>
              <w:t>44,84%</w:t>
            </w:r>
          </w:p>
        </w:tc>
      </w:tr>
      <w:tr>
        <w:trPr>
          <w:trHeight w:val="187" w:hRule="atLeast"/>
        </w:trPr>
        <w:tc>
          <w:tcPr>
            <w:tcW w:w="2136" w:type="dxa"/>
          </w:tcPr>
          <w:p>
            <w:pPr>
              <w:pStyle w:val="TableParagraph"/>
              <w:spacing w:before="2"/>
              <w:ind w:left="57"/>
              <w:rPr>
                <w:sz w:val="13"/>
              </w:rPr>
            </w:pPr>
            <w:r>
              <w:rPr>
                <w:w w:val="105"/>
                <w:sz w:val="13"/>
              </w:rPr>
              <w:t>14 Sanidad</w:t>
            </w:r>
          </w:p>
        </w:tc>
        <w:tc>
          <w:tcPr>
            <w:tcW w:w="951" w:type="dxa"/>
          </w:tcPr>
          <w:p>
            <w:pPr>
              <w:pStyle w:val="TableParagraph"/>
              <w:spacing w:line="153" w:lineRule="exact" w:before="14"/>
              <w:ind w:right="47"/>
              <w:jc w:val="right"/>
              <w:rPr>
                <w:sz w:val="13"/>
              </w:rPr>
            </w:pPr>
            <w:r>
              <w:rPr>
                <w:w w:val="105"/>
                <w:sz w:val="13"/>
              </w:rPr>
              <w:t>60.000.000,00</w:t>
            </w:r>
          </w:p>
        </w:tc>
        <w:tc>
          <w:tcPr>
            <w:tcW w:w="935" w:type="dxa"/>
          </w:tcPr>
          <w:p>
            <w:pPr>
              <w:pStyle w:val="TableParagraph"/>
              <w:spacing w:line="153" w:lineRule="exact" w:before="14"/>
              <w:ind w:right="44"/>
              <w:jc w:val="right"/>
              <w:rPr>
                <w:sz w:val="13"/>
              </w:rPr>
            </w:pPr>
            <w:r>
              <w:rPr>
                <w:w w:val="105"/>
                <w:sz w:val="13"/>
              </w:rPr>
              <w:t>60.948.676,07</w:t>
            </w:r>
          </w:p>
        </w:tc>
        <w:tc>
          <w:tcPr>
            <w:tcW w:w="970" w:type="dxa"/>
          </w:tcPr>
          <w:p>
            <w:pPr>
              <w:pStyle w:val="TableParagraph"/>
              <w:spacing w:line="153" w:lineRule="exact" w:before="14"/>
              <w:ind w:left="101" w:right="24"/>
              <w:jc w:val="center"/>
              <w:rPr>
                <w:sz w:val="13"/>
              </w:rPr>
            </w:pPr>
            <w:r>
              <w:rPr>
                <w:w w:val="105"/>
                <w:sz w:val="13"/>
              </w:rPr>
              <w:t>60.000.000,00</w:t>
            </w:r>
          </w:p>
        </w:tc>
        <w:tc>
          <w:tcPr>
            <w:tcW w:w="897" w:type="dxa"/>
          </w:tcPr>
          <w:p>
            <w:pPr>
              <w:pStyle w:val="TableParagraph"/>
              <w:spacing w:line="153" w:lineRule="exact" w:before="14"/>
              <w:ind w:right="47"/>
              <w:jc w:val="right"/>
              <w:rPr>
                <w:sz w:val="13"/>
              </w:rPr>
            </w:pPr>
            <w:r>
              <w:rPr>
                <w:w w:val="105"/>
                <w:sz w:val="13"/>
              </w:rPr>
              <w:t>60.948.676,07</w:t>
            </w:r>
          </w:p>
        </w:tc>
        <w:tc>
          <w:tcPr>
            <w:tcW w:w="563" w:type="dxa"/>
          </w:tcPr>
          <w:p>
            <w:pPr>
              <w:pStyle w:val="TableParagraph"/>
              <w:spacing w:before="27"/>
              <w:ind w:left="91"/>
              <w:rPr>
                <w:sz w:val="11"/>
              </w:rPr>
            </w:pPr>
            <w:r>
              <w:rPr>
                <w:w w:val="105"/>
                <w:sz w:val="11"/>
              </w:rPr>
              <w:t>100,00%</w:t>
            </w:r>
          </w:p>
        </w:tc>
        <w:tc>
          <w:tcPr>
            <w:tcW w:w="684" w:type="dxa"/>
          </w:tcPr>
          <w:p>
            <w:pPr>
              <w:pStyle w:val="TableParagraph"/>
              <w:spacing w:before="27"/>
              <w:ind w:right="53"/>
              <w:jc w:val="right"/>
              <w:rPr>
                <w:sz w:val="11"/>
              </w:rPr>
            </w:pPr>
            <w:r>
              <w:rPr>
                <w:w w:val="105"/>
                <w:sz w:val="11"/>
              </w:rPr>
              <w:t>100,00%</w:t>
            </w:r>
          </w:p>
        </w:tc>
      </w:tr>
      <w:tr>
        <w:trPr>
          <w:trHeight w:val="326" w:hRule="atLeast"/>
        </w:trPr>
        <w:tc>
          <w:tcPr>
            <w:tcW w:w="2136" w:type="dxa"/>
          </w:tcPr>
          <w:p>
            <w:pPr>
              <w:pStyle w:val="TableParagraph"/>
              <w:spacing w:before="2"/>
              <w:ind w:left="57"/>
              <w:rPr>
                <w:sz w:val="13"/>
              </w:rPr>
            </w:pPr>
            <w:r>
              <w:rPr>
                <w:w w:val="105"/>
                <w:sz w:val="13"/>
              </w:rPr>
              <w:t>15 Economía, Conocimiento Y</w:t>
            </w:r>
          </w:p>
          <w:p>
            <w:pPr>
              <w:pStyle w:val="TableParagraph"/>
              <w:spacing w:line="139" w:lineRule="exact" w:before="6"/>
              <w:ind w:left="57"/>
              <w:rPr>
                <w:sz w:val="13"/>
              </w:rPr>
            </w:pPr>
            <w:r>
              <w:rPr>
                <w:w w:val="105"/>
                <w:sz w:val="13"/>
              </w:rPr>
              <w:t>Empleo</w:t>
            </w:r>
          </w:p>
        </w:tc>
        <w:tc>
          <w:tcPr>
            <w:tcW w:w="951" w:type="dxa"/>
          </w:tcPr>
          <w:p>
            <w:pPr>
              <w:pStyle w:val="TableParagraph"/>
              <w:spacing w:before="85"/>
              <w:ind w:right="47"/>
              <w:jc w:val="right"/>
              <w:rPr>
                <w:sz w:val="13"/>
              </w:rPr>
            </w:pPr>
            <w:r>
              <w:rPr>
                <w:sz w:val="13"/>
              </w:rPr>
              <w:t>131.374.961,20</w:t>
            </w:r>
          </w:p>
        </w:tc>
        <w:tc>
          <w:tcPr>
            <w:tcW w:w="935" w:type="dxa"/>
          </w:tcPr>
          <w:p>
            <w:pPr>
              <w:pStyle w:val="TableParagraph"/>
              <w:spacing w:before="85"/>
              <w:ind w:right="44"/>
              <w:jc w:val="right"/>
              <w:rPr>
                <w:sz w:val="13"/>
              </w:rPr>
            </w:pPr>
            <w:r>
              <w:rPr>
                <w:w w:val="105"/>
                <w:sz w:val="13"/>
              </w:rPr>
              <w:t>93.906,03</w:t>
            </w:r>
          </w:p>
        </w:tc>
        <w:tc>
          <w:tcPr>
            <w:tcW w:w="970" w:type="dxa"/>
          </w:tcPr>
          <w:p>
            <w:pPr>
              <w:pStyle w:val="TableParagraph"/>
              <w:spacing w:before="85"/>
              <w:ind w:left="26" w:right="18"/>
              <w:jc w:val="center"/>
              <w:rPr>
                <w:sz w:val="13"/>
              </w:rPr>
            </w:pPr>
            <w:r>
              <w:rPr>
                <w:w w:val="105"/>
                <w:sz w:val="13"/>
              </w:rPr>
              <w:t>130.236.698,91</w:t>
            </w:r>
          </w:p>
        </w:tc>
        <w:tc>
          <w:tcPr>
            <w:tcW w:w="897" w:type="dxa"/>
          </w:tcPr>
          <w:p>
            <w:pPr>
              <w:pStyle w:val="TableParagraph"/>
              <w:spacing w:before="85"/>
              <w:ind w:right="47"/>
              <w:jc w:val="right"/>
              <w:rPr>
                <w:sz w:val="13"/>
              </w:rPr>
            </w:pPr>
            <w:r>
              <w:rPr>
                <w:w w:val="105"/>
                <w:sz w:val="13"/>
              </w:rPr>
              <w:t>89.823,99</w:t>
            </w:r>
          </w:p>
        </w:tc>
        <w:tc>
          <w:tcPr>
            <w:tcW w:w="563" w:type="dxa"/>
          </w:tcPr>
          <w:p>
            <w:pPr>
              <w:pStyle w:val="TableParagraph"/>
              <w:spacing w:before="85"/>
              <w:ind w:left="102"/>
              <w:rPr>
                <w:sz w:val="13"/>
              </w:rPr>
            </w:pPr>
            <w:r>
              <w:rPr>
                <w:w w:val="105"/>
                <w:sz w:val="13"/>
              </w:rPr>
              <w:t>99,13%</w:t>
            </w:r>
          </w:p>
        </w:tc>
        <w:tc>
          <w:tcPr>
            <w:tcW w:w="684" w:type="dxa"/>
          </w:tcPr>
          <w:p>
            <w:pPr>
              <w:pStyle w:val="TableParagraph"/>
              <w:spacing w:before="85"/>
              <w:ind w:right="48"/>
              <w:jc w:val="right"/>
              <w:rPr>
                <w:sz w:val="13"/>
              </w:rPr>
            </w:pPr>
            <w:r>
              <w:rPr>
                <w:sz w:val="13"/>
              </w:rPr>
              <w:t>95,65%</w:t>
            </w:r>
          </w:p>
        </w:tc>
      </w:tr>
      <w:tr>
        <w:trPr>
          <w:trHeight w:val="189" w:hRule="atLeast"/>
        </w:trPr>
        <w:tc>
          <w:tcPr>
            <w:tcW w:w="2136" w:type="dxa"/>
          </w:tcPr>
          <w:p>
            <w:pPr>
              <w:pStyle w:val="TableParagraph"/>
              <w:spacing w:before="2"/>
              <w:ind w:left="57"/>
              <w:rPr>
                <w:sz w:val="13"/>
              </w:rPr>
            </w:pPr>
            <w:r>
              <w:rPr>
                <w:w w:val="105"/>
                <w:sz w:val="13"/>
              </w:rPr>
              <w:t>16 Turismo, Industr. y Comercio</w:t>
            </w:r>
          </w:p>
        </w:tc>
        <w:tc>
          <w:tcPr>
            <w:tcW w:w="951" w:type="dxa"/>
          </w:tcPr>
          <w:p>
            <w:pPr>
              <w:pStyle w:val="TableParagraph"/>
              <w:spacing w:line="153" w:lineRule="exact" w:before="16"/>
              <w:ind w:right="47"/>
              <w:jc w:val="right"/>
              <w:rPr>
                <w:sz w:val="13"/>
              </w:rPr>
            </w:pPr>
            <w:r>
              <w:rPr>
                <w:w w:val="105"/>
                <w:sz w:val="13"/>
              </w:rPr>
              <w:t>39.900.000,00</w:t>
            </w:r>
          </w:p>
        </w:tc>
        <w:tc>
          <w:tcPr>
            <w:tcW w:w="935" w:type="dxa"/>
          </w:tcPr>
          <w:p>
            <w:pPr>
              <w:pStyle w:val="TableParagraph"/>
              <w:spacing w:line="153" w:lineRule="exact" w:before="16"/>
              <w:ind w:right="44"/>
              <w:jc w:val="right"/>
              <w:rPr>
                <w:sz w:val="13"/>
              </w:rPr>
            </w:pPr>
            <w:r>
              <w:rPr>
                <w:w w:val="105"/>
                <w:sz w:val="13"/>
              </w:rPr>
              <w:t>5.590.000,00</w:t>
            </w:r>
          </w:p>
        </w:tc>
        <w:tc>
          <w:tcPr>
            <w:tcW w:w="970" w:type="dxa"/>
          </w:tcPr>
          <w:p>
            <w:pPr>
              <w:pStyle w:val="TableParagraph"/>
              <w:spacing w:line="153" w:lineRule="exact" w:before="16"/>
              <w:ind w:left="101" w:right="24"/>
              <w:jc w:val="center"/>
              <w:rPr>
                <w:sz w:val="13"/>
              </w:rPr>
            </w:pPr>
            <w:r>
              <w:rPr>
                <w:w w:val="105"/>
                <w:sz w:val="13"/>
              </w:rPr>
              <w:t>39.900.000,00</w:t>
            </w:r>
          </w:p>
        </w:tc>
        <w:tc>
          <w:tcPr>
            <w:tcW w:w="897" w:type="dxa"/>
          </w:tcPr>
          <w:p>
            <w:pPr>
              <w:pStyle w:val="TableParagraph"/>
              <w:spacing w:line="153" w:lineRule="exact" w:before="16"/>
              <w:ind w:right="47"/>
              <w:jc w:val="right"/>
              <w:rPr>
                <w:sz w:val="13"/>
              </w:rPr>
            </w:pPr>
            <w:r>
              <w:rPr>
                <w:w w:val="105"/>
                <w:sz w:val="13"/>
              </w:rPr>
              <w:t>1.053.944,43</w:t>
            </w:r>
          </w:p>
        </w:tc>
        <w:tc>
          <w:tcPr>
            <w:tcW w:w="563" w:type="dxa"/>
          </w:tcPr>
          <w:p>
            <w:pPr>
              <w:pStyle w:val="TableParagraph"/>
              <w:spacing w:before="29"/>
              <w:ind w:left="91"/>
              <w:rPr>
                <w:sz w:val="11"/>
              </w:rPr>
            </w:pPr>
            <w:r>
              <w:rPr>
                <w:w w:val="105"/>
                <w:sz w:val="11"/>
              </w:rPr>
              <w:t>100,00%</w:t>
            </w:r>
          </w:p>
        </w:tc>
        <w:tc>
          <w:tcPr>
            <w:tcW w:w="684" w:type="dxa"/>
          </w:tcPr>
          <w:p>
            <w:pPr>
              <w:pStyle w:val="TableParagraph"/>
              <w:spacing w:line="153" w:lineRule="exact" w:before="16"/>
              <w:ind w:right="48"/>
              <w:jc w:val="right"/>
              <w:rPr>
                <w:sz w:val="13"/>
              </w:rPr>
            </w:pPr>
            <w:r>
              <w:rPr>
                <w:sz w:val="13"/>
              </w:rPr>
              <w:t>18,85%</w:t>
            </w:r>
          </w:p>
        </w:tc>
      </w:tr>
      <w:tr>
        <w:trPr>
          <w:trHeight w:val="326" w:hRule="atLeast"/>
        </w:trPr>
        <w:tc>
          <w:tcPr>
            <w:tcW w:w="2136" w:type="dxa"/>
          </w:tcPr>
          <w:p>
            <w:pPr>
              <w:pStyle w:val="TableParagraph"/>
              <w:spacing w:before="2"/>
              <w:ind w:left="57"/>
              <w:rPr>
                <w:sz w:val="13"/>
              </w:rPr>
            </w:pPr>
            <w:r>
              <w:rPr>
                <w:w w:val="105"/>
                <w:sz w:val="13"/>
              </w:rPr>
              <w:t>18 Educación, Universidades,</w:t>
            </w:r>
          </w:p>
          <w:p>
            <w:pPr>
              <w:pStyle w:val="TableParagraph"/>
              <w:spacing w:line="141" w:lineRule="exact" w:before="4"/>
              <w:ind w:left="57"/>
              <w:rPr>
                <w:sz w:val="13"/>
              </w:rPr>
            </w:pPr>
            <w:r>
              <w:rPr>
                <w:w w:val="105"/>
                <w:sz w:val="13"/>
              </w:rPr>
              <w:t>Cultura Y Deportes</w:t>
            </w:r>
          </w:p>
        </w:tc>
        <w:tc>
          <w:tcPr>
            <w:tcW w:w="951" w:type="dxa"/>
          </w:tcPr>
          <w:p>
            <w:pPr>
              <w:pStyle w:val="TableParagraph"/>
              <w:spacing w:before="85"/>
              <w:ind w:right="47"/>
              <w:jc w:val="right"/>
              <w:rPr>
                <w:sz w:val="13"/>
              </w:rPr>
            </w:pPr>
            <w:r>
              <w:rPr>
                <w:w w:val="105"/>
                <w:sz w:val="13"/>
              </w:rPr>
              <w:t>32.987.148,00</w:t>
            </w:r>
          </w:p>
        </w:tc>
        <w:tc>
          <w:tcPr>
            <w:tcW w:w="935" w:type="dxa"/>
          </w:tcPr>
          <w:p>
            <w:pPr>
              <w:pStyle w:val="TableParagraph"/>
              <w:spacing w:before="85"/>
              <w:ind w:right="44"/>
              <w:jc w:val="right"/>
              <w:rPr>
                <w:sz w:val="13"/>
              </w:rPr>
            </w:pPr>
            <w:r>
              <w:rPr>
                <w:w w:val="105"/>
                <w:sz w:val="13"/>
              </w:rPr>
              <w:t>47.912.111,82</w:t>
            </w:r>
          </w:p>
        </w:tc>
        <w:tc>
          <w:tcPr>
            <w:tcW w:w="970" w:type="dxa"/>
          </w:tcPr>
          <w:p>
            <w:pPr>
              <w:pStyle w:val="TableParagraph"/>
              <w:spacing w:before="85"/>
              <w:ind w:left="101" w:right="24"/>
              <w:jc w:val="center"/>
              <w:rPr>
                <w:sz w:val="13"/>
              </w:rPr>
            </w:pPr>
            <w:r>
              <w:rPr>
                <w:w w:val="105"/>
                <w:sz w:val="13"/>
              </w:rPr>
              <w:t>30.256.586,00</w:t>
            </w:r>
          </w:p>
        </w:tc>
        <w:tc>
          <w:tcPr>
            <w:tcW w:w="897" w:type="dxa"/>
          </w:tcPr>
          <w:p>
            <w:pPr>
              <w:pStyle w:val="TableParagraph"/>
              <w:spacing w:before="85"/>
              <w:ind w:right="47"/>
              <w:jc w:val="right"/>
              <w:rPr>
                <w:sz w:val="13"/>
              </w:rPr>
            </w:pPr>
            <w:r>
              <w:rPr>
                <w:w w:val="105"/>
                <w:sz w:val="13"/>
              </w:rPr>
              <w:t>22.775.103,57</w:t>
            </w:r>
          </w:p>
        </w:tc>
        <w:tc>
          <w:tcPr>
            <w:tcW w:w="563" w:type="dxa"/>
          </w:tcPr>
          <w:p>
            <w:pPr>
              <w:pStyle w:val="TableParagraph"/>
              <w:spacing w:before="85"/>
              <w:ind w:left="102"/>
              <w:rPr>
                <w:sz w:val="13"/>
              </w:rPr>
            </w:pPr>
            <w:r>
              <w:rPr>
                <w:w w:val="105"/>
                <w:sz w:val="13"/>
              </w:rPr>
              <w:t>91,72%</w:t>
            </w:r>
          </w:p>
        </w:tc>
        <w:tc>
          <w:tcPr>
            <w:tcW w:w="684" w:type="dxa"/>
          </w:tcPr>
          <w:p>
            <w:pPr>
              <w:pStyle w:val="TableParagraph"/>
              <w:spacing w:before="85"/>
              <w:ind w:right="48"/>
              <w:jc w:val="right"/>
              <w:rPr>
                <w:sz w:val="13"/>
              </w:rPr>
            </w:pPr>
            <w:r>
              <w:rPr>
                <w:sz w:val="13"/>
              </w:rPr>
              <w:t>47,54%</w:t>
            </w:r>
          </w:p>
        </w:tc>
      </w:tr>
      <w:tr>
        <w:trPr>
          <w:trHeight w:val="189" w:hRule="atLeast"/>
        </w:trPr>
        <w:tc>
          <w:tcPr>
            <w:tcW w:w="2136" w:type="dxa"/>
          </w:tcPr>
          <w:p>
            <w:pPr>
              <w:pStyle w:val="TableParagraph"/>
              <w:spacing w:before="2"/>
              <w:ind w:left="57"/>
              <w:rPr>
                <w:sz w:val="13"/>
              </w:rPr>
            </w:pPr>
            <w:r>
              <w:rPr>
                <w:w w:val="105"/>
                <w:sz w:val="13"/>
              </w:rPr>
              <w:t>23 Derechos Sociales, Igualdad,</w:t>
            </w:r>
          </w:p>
        </w:tc>
        <w:tc>
          <w:tcPr>
            <w:tcW w:w="951" w:type="dxa"/>
          </w:tcPr>
          <w:p>
            <w:pPr>
              <w:pStyle w:val="TableParagraph"/>
              <w:spacing w:line="153" w:lineRule="exact" w:before="17"/>
              <w:ind w:right="47"/>
              <w:jc w:val="right"/>
              <w:rPr>
                <w:sz w:val="13"/>
              </w:rPr>
            </w:pPr>
            <w:r>
              <w:rPr>
                <w:w w:val="105"/>
                <w:sz w:val="13"/>
              </w:rPr>
              <w:t>15.300.000,00</w:t>
            </w:r>
          </w:p>
        </w:tc>
        <w:tc>
          <w:tcPr>
            <w:tcW w:w="935" w:type="dxa"/>
          </w:tcPr>
          <w:p>
            <w:pPr>
              <w:pStyle w:val="TableParagraph"/>
              <w:spacing w:line="153" w:lineRule="exact" w:before="17"/>
              <w:ind w:right="44"/>
              <w:jc w:val="right"/>
              <w:rPr>
                <w:sz w:val="13"/>
              </w:rPr>
            </w:pPr>
            <w:r>
              <w:rPr>
                <w:w w:val="105"/>
                <w:sz w:val="13"/>
              </w:rPr>
              <w:t>374.639,93</w:t>
            </w:r>
          </w:p>
        </w:tc>
        <w:tc>
          <w:tcPr>
            <w:tcW w:w="970" w:type="dxa"/>
          </w:tcPr>
          <w:p>
            <w:pPr>
              <w:pStyle w:val="TableParagraph"/>
              <w:spacing w:line="153" w:lineRule="exact" w:before="17"/>
              <w:ind w:left="101" w:right="24"/>
              <w:jc w:val="center"/>
              <w:rPr>
                <w:sz w:val="13"/>
              </w:rPr>
            </w:pPr>
            <w:r>
              <w:rPr>
                <w:w w:val="105"/>
                <w:sz w:val="13"/>
              </w:rPr>
              <w:t>15.294.710,29</w:t>
            </w:r>
          </w:p>
        </w:tc>
        <w:tc>
          <w:tcPr>
            <w:tcW w:w="897" w:type="dxa"/>
          </w:tcPr>
          <w:p>
            <w:pPr>
              <w:pStyle w:val="TableParagraph"/>
              <w:spacing w:line="153" w:lineRule="exact" w:before="17"/>
              <w:ind w:right="47"/>
              <w:jc w:val="right"/>
              <w:rPr>
                <w:sz w:val="13"/>
              </w:rPr>
            </w:pPr>
            <w:r>
              <w:rPr>
                <w:w w:val="105"/>
                <w:sz w:val="13"/>
              </w:rPr>
              <w:t>17.681,79</w:t>
            </w:r>
          </w:p>
        </w:tc>
        <w:tc>
          <w:tcPr>
            <w:tcW w:w="563" w:type="dxa"/>
          </w:tcPr>
          <w:p>
            <w:pPr>
              <w:pStyle w:val="TableParagraph"/>
              <w:spacing w:line="153" w:lineRule="exact" w:before="17"/>
              <w:ind w:left="102"/>
              <w:rPr>
                <w:sz w:val="13"/>
              </w:rPr>
            </w:pPr>
            <w:r>
              <w:rPr>
                <w:w w:val="105"/>
                <w:sz w:val="13"/>
              </w:rPr>
              <w:t>99,97%</w:t>
            </w:r>
          </w:p>
        </w:tc>
        <w:tc>
          <w:tcPr>
            <w:tcW w:w="684" w:type="dxa"/>
          </w:tcPr>
          <w:p>
            <w:pPr>
              <w:pStyle w:val="TableParagraph"/>
              <w:spacing w:line="153" w:lineRule="exact" w:before="17"/>
              <w:ind w:right="49"/>
              <w:jc w:val="right"/>
              <w:rPr>
                <w:sz w:val="13"/>
              </w:rPr>
            </w:pPr>
            <w:r>
              <w:rPr>
                <w:sz w:val="13"/>
              </w:rPr>
              <w:t>4,72%</w:t>
            </w:r>
          </w:p>
        </w:tc>
      </w:tr>
      <w:tr>
        <w:trPr>
          <w:trHeight w:val="187" w:hRule="atLeast"/>
        </w:trPr>
        <w:tc>
          <w:tcPr>
            <w:tcW w:w="2136" w:type="dxa"/>
          </w:tcPr>
          <w:p>
            <w:pPr>
              <w:pStyle w:val="TableParagraph"/>
              <w:spacing w:before="2"/>
              <w:ind w:left="57"/>
              <w:rPr>
                <w:sz w:val="13"/>
              </w:rPr>
            </w:pPr>
            <w:r>
              <w:rPr>
                <w:w w:val="105"/>
                <w:sz w:val="13"/>
              </w:rPr>
              <w:t>Organismos Autónomos</w:t>
            </w:r>
          </w:p>
        </w:tc>
        <w:tc>
          <w:tcPr>
            <w:tcW w:w="951" w:type="dxa"/>
          </w:tcPr>
          <w:p>
            <w:pPr>
              <w:pStyle w:val="TableParagraph"/>
              <w:rPr>
                <w:rFonts w:ascii="Times New Roman"/>
                <w:sz w:val="12"/>
              </w:rPr>
            </w:pPr>
          </w:p>
        </w:tc>
        <w:tc>
          <w:tcPr>
            <w:tcW w:w="935" w:type="dxa"/>
          </w:tcPr>
          <w:p>
            <w:pPr>
              <w:pStyle w:val="TableParagraph"/>
              <w:rPr>
                <w:rFonts w:ascii="Times New Roman"/>
                <w:sz w:val="12"/>
              </w:rPr>
            </w:pPr>
          </w:p>
        </w:tc>
        <w:tc>
          <w:tcPr>
            <w:tcW w:w="970" w:type="dxa"/>
          </w:tcPr>
          <w:p>
            <w:pPr>
              <w:pStyle w:val="TableParagraph"/>
              <w:rPr>
                <w:rFonts w:ascii="Times New Roman"/>
                <w:sz w:val="12"/>
              </w:rPr>
            </w:pPr>
          </w:p>
        </w:tc>
        <w:tc>
          <w:tcPr>
            <w:tcW w:w="897" w:type="dxa"/>
          </w:tcPr>
          <w:p>
            <w:pPr>
              <w:pStyle w:val="TableParagraph"/>
              <w:rPr>
                <w:rFonts w:ascii="Times New Roman"/>
                <w:sz w:val="12"/>
              </w:rPr>
            </w:pPr>
          </w:p>
        </w:tc>
        <w:tc>
          <w:tcPr>
            <w:tcW w:w="563" w:type="dxa"/>
          </w:tcPr>
          <w:p>
            <w:pPr>
              <w:pStyle w:val="TableParagraph"/>
              <w:rPr>
                <w:rFonts w:ascii="Times New Roman"/>
                <w:sz w:val="12"/>
              </w:rPr>
            </w:pPr>
          </w:p>
        </w:tc>
        <w:tc>
          <w:tcPr>
            <w:tcW w:w="684" w:type="dxa"/>
          </w:tcPr>
          <w:p>
            <w:pPr>
              <w:pStyle w:val="TableParagraph"/>
              <w:rPr>
                <w:rFonts w:ascii="Times New Roman"/>
                <w:sz w:val="12"/>
              </w:rPr>
            </w:pPr>
          </w:p>
        </w:tc>
      </w:tr>
      <w:tr>
        <w:trPr>
          <w:trHeight w:val="189" w:hRule="atLeast"/>
        </w:trPr>
        <w:tc>
          <w:tcPr>
            <w:tcW w:w="2136" w:type="dxa"/>
          </w:tcPr>
          <w:p>
            <w:pPr>
              <w:pStyle w:val="TableParagraph"/>
              <w:spacing w:before="4"/>
              <w:ind w:left="57"/>
              <w:rPr>
                <w:sz w:val="13"/>
              </w:rPr>
            </w:pPr>
            <w:r>
              <w:rPr>
                <w:w w:val="105"/>
                <w:sz w:val="13"/>
              </w:rPr>
              <w:t>45 Institut0 Canario De Estadística</w:t>
            </w:r>
          </w:p>
        </w:tc>
        <w:tc>
          <w:tcPr>
            <w:tcW w:w="951" w:type="dxa"/>
          </w:tcPr>
          <w:p>
            <w:pPr>
              <w:pStyle w:val="TableParagraph"/>
              <w:rPr>
                <w:rFonts w:ascii="Times New Roman"/>
                <w:sz w:val="12"/>
              </w:rPr>
            </w:pPr>
          </w:p>
        </w:tc>
        <w:tc>
          <w:tcPr>
            <w:tcW w:w="935" w:type="dxa"/>
          </w:tcPr>
          <w:p>
            <w:pPr>
              <w:pStyle w:val="TableParagraph"/>
              <w:spacing w:line="153" w:lineRule="exact" w:before="16"/>
              <w:ind w:right="44"/>
              <w:jc w:val="right"/>
              <w:rPr>
                <w:sz w:val="13"/>
              </w:rPr>
            </w:pPr>
            <w:r>
              <w:rPr>
                <w:w w:val="105"/>
                <w:sz w:val="13"/>
              </w:rPr>
              <w:t>1.400.000,00</w:t>
            </w:r>
          </w:p>
        </w:tc>
        <w:tc>
          <w:tcPr>
            <w:tcW w:w="970" w:type="dxa"/>
          </w:tcPr>
          <w:p>
            <w:pPr>
              <w:pStyle w:val="TableParagraph"/>
              <w:rPr>
                <w:rFonts w:ascii="Times New Roman"/>
                <w:sz w:val="12"/>
              </w:rPr>
            </w:pPr>
          </w:p>
        </w:tc>
        <w:tc>
          <w:tcPr>
            <w:tcW w:w="897" w:type="dxa"/>
          </w:tcPr>
          <w:p>
            <w:pPr>
              <w:pStyle w:val="TableParagraph"/>
              <w:spacing w:line="153" w:lineRule="exact" w:before="16"/>
              <w:ind w:right="47"/>
              <w:jc w:val="right"/>
              <w:rPr>
                <w:sz w:val="13"/>
              </w:rPr>
            </w:pPr>
            <w:r>
              <w:rPr>
                <w:w w:val="105"/>
                <w:sz w:val="13"/>
              </w:rPr>
              <w:t>655.462,57</w:t>
            </w:r>
          </w:p>
        </w:tc>
        <w:tc>
          <w:tcPr>
            <w:tcW w:w="563" w:type="dxa"/>
          </w:tcPr>
          <w:p>
            <w:pPr>
              <w:pStyle w:val="TableParagraph"/>
              <w:rPr>
                <w:rFonts w:ascii="Times New Roman"/>
                <w:sz w:val="12"/>
              </w:rPr>
            </w:pPr>
          </w:p>
        </w:tc>
        <w:tc>
          <w:tcPr>
            <w:tcW w:w="684" w:type="dxa"/>
          </w:tcPr>
          <w:p>
            <w:pPr>
              <w:pStyle w:val="TableParagraph"/>
              <w:spacing w:line="153" w:lineRule="exact" w:before="16"/>
              <w:ind w:right="48"/>
              <w:jc w:val="right"/>
              <w:rPr>
                <w:sz w:val="13"/>
              </w:rPr>
            </w:pPr>
            <w:r>
              <w:rPr>
                <w:sz w:val="13"/>
              </w:rPr>
              <w:t>46,82%</w:t>
            </w:r>
          </w:p>
        </w:tc>
      </w:tr>
      <w:tr>
        <w:trPr>
          <w:trHeight w:val="189" w:hRule="atLeast"/>
        </w:trPr>
        <w:tc>
          <w:tcPr>
            <w:tcW w:w="2136" w:type="dxa"/>
          </w:tcPr>
          <w:p>
            <w:pPr>
              <w:pStyle w:val="TableParagraph"/>
              <w:spacing w:before="2"/>
              <w:ind w:left="57"/>
              <w:rPr>
                <w:sz w:val="13"/>
              </w:rPr>
            </w:pPr>
            <w:r>
              <w:rPr>
                <w:w w:val="105"/>
                <w:sz w:val="13"/>
              </w:rPr>
              <w:t>50 Servicio Canario De Empleo</w:t>
            </w:r>
          </w:p>
        </w:tc>
        <w:tc>
          <w:tcPr>
            <w:tcW w:w="951" w:type="dxa"/>
          </w:tcPr>
          <w:p>
            <w:pPr>
              <w:pStyle w:val="TableParagraph"/>
              <w:spacing w:line="153" w:lineRule="exact" w:before="16"/>
              <w:ind w:right="47"/>
              <w:jc w:val="right"/>
              <w:rPr>
                <w:sz w:val="13"/>
              </w:rPr>
            </w:pPr>
            <w:r>
              <w:rPr>
                <w:w w:val="105"/>
                <w:sz w:val="13"/>
              </w:rPr>
              <w:t>49.575.489,50</w:t>
            </w:r>
          </w:p>
        </w:tc>
        <w:tc>
          <w:tcPr>
            <w:tcW w:w="935" w:type="dxa"/>
          </w:tcPr>
          <w:p>
            <w:pPr>
              <w:pStyle w:val="TableParagraph"/>
              <w:spacing w:line="153" w:lineRule="exact" w:before="16"/>
              <w:ind w:right="44"/>
              <w:jc w:val="right"/>
              <w:rPr>
                <w:sz w:val="13"/>
              </w:rPr>
            </w:pPr>
            <w:r>
              <w:rPr>
                <w:w w:val="105"/>
                <w:sz w:val="13"/>
              </w:rPr>
              <w:t>2.046.620,71</w:t>
            </w:r>
          </w:p>
        </w:tc>
        <w:tc>
          <w:tcPr>
            <w:tcW w:w="970" w:type="dxa"/>
          </w:tcPr>
          <w:p>
            <w:pPr>
              <w:pStyle w:val="TableParagraph"/>
              <w:spacing w:line="153" w:lineRule="exact" w:before="16"/>
              <w:ind w:left="101" w:right="24"/>
              <w:jc w:val="center"/>
              <w:rPr>
                <w:sz w:val="13"/>
              </w:rPr>
            </w:pPr>
            <w:r>
              <w:rPr>
                <w:w w:val="105"/>
                <w:sz w:val="13"/>
              </w:rPr>
              <w:t>49.561.085,36</w:t>
            </w:r>
          </w:p>
        </w:tc>
        <w:tc>
          <w:tcPr>
            <w:tcW w:w="897" w:type="dxa"/>
          </w:tcPr>
          <w:p>
            <w:pPr>
              <w:pStyle w:val="TableParagraph"/>
              <w:spacing w:line="153" w:lineRule="exact" w:before="16"/>
              <w:ind w:right="47"/>
              <w:jc w:val="right"/>
              <w:rPr>
                <w:sz w:val="13"/>
              </w:rPr>
            </w:pPr>
            <w:r>
              <w:rPr>
                <w:w w:val="105"/>
                <w:sz w:val="13"/>
              </w:rPr>
              <w:t>2.007.710,22</w:t>
            </w:r>
          </w:p>
        </w:tc>
        <w:tc>
          <w:tcPr>
            <w:tcW w:w="563" w:type="dxa"/>
          </w:tcPr>
          <w:p>
            <w:pPr>
              <w:pStyle w:val="TableParagraph"/>
              <w:spacing w:line="153" w:lineRule="exact" w:before="16"/>
              <w:ind w:left="102"/>
              <w:rPr>
                <w:sz w:val="13"/>
              </w:rPr>
            </w:pPr>
            <w:r>
              <w:rPr>
                <w:w w:val="105"/>
                <w:sz w:val="13"/>
              </w:rPr>
              <w:t>98,10%</w:t>
            </w:r>
          </w:p>
        </w:tc>
        <w:tc>
          <w:tcPr>
            <w:tcW w:w="684" w:type="dxa"/>
          </w:tcPr>
          <w:p>
            <w:pPr>
              <w:pStyle w:val="TableParagraph"/>
              <w:spacing w:line="153" w:lineRule="exact" w:before="16"/>
              <w:ind w:right="48"/>
              <w:jc w:val="right"/>
              <w:rPr>
                <w:sz w:val="13"/>
              </w:rPr>
            </w:pPr>
            <w:r>
              <w:rPr>
                <w:sz w:val="13"/>
              </w:rPr>
              <w:t>98,10%</w:t>
            </w:r>
          </w:p>
        </w:tc>
      </w:tr>
      <w:tr>
        <w:trPr>
          <w:trHeight w:val="189" w:hRule="atLeast"/>
        </w:trPr>
        <w:tc>
          <w:tcPr>
            <w:tcW w:w="2136" w:type="dxa"/>
          </w:tcPr>
          <w:p>
            <w:pPr>
              <w:pStyle w:val="TableParagraph"/>
              <w:spacing w:before="2"/>
              <w:ind w:left="57"/>
              <w:rPr>
                <w:sz w:val="13"/>
              </w:rPr>
            </w:pPr>
            <w:r>
              <w:rPr>
                <w:w w:val="105"/>
                <w:sz w:val="13"/>
              </w:rPr>
              <w:t>72 Agencia Tributaria Canaria</w:t>
            </w:r>
          </w:p>
        </w:tc>
        <w:tc>
          <w:tcPr>
            <w:tcW w:w="951" w:type="dxa"/>
          </w:tcPr>
          <w:p>
            <w:pPr>
              <w:pStyle w:val="TableParagraph"/>
              <w:rPr>
                <w:rFonts w:ascii="Times New Roman"/>
                <w:sz w:val="12"/>
              </w:rPr>
            </w:pPr>
          </w:p>
        </w:tc>
        <w:tc>
          <w:tcPr>
            <w:tcW w:w="935" w:type="dxa"/>
          </w:tcPr>
          <w:p>
            <w:pPr>
              <w:pStyle w:val="TableParagraph"/>
              <w:spacing w:line="153" w:lineRule="exact" w:before="16"/>
              <w:ind w:right="44"/>
              <w:jc w:val="right"/>
              <w:rPr>
                <w:sz w:val="13"/>
              </w:rPr>
            </w:pPr>
            <w:r>
              <w:rPr>
                <w:w w:val="105"/>
                <w:sz w:val="13"/>
              </w:rPr>
              <w:t>3.167.088,00</w:t>
            </w:r>
          </w:p>
        </w:tc>
        <w:tc>
          <w:tcPr>
            <w:tcW w:w="970" w:type="dxa"/>
          </w:tcPr>
          <w:p>
            <w:pPr>
              <w:pStyle w:val="TableParagraph"/>
              <w:rPr>
                <w:rFonts w:ascii="Times New Roman"/>
                <w:sz w:val="12"/>
              </w:rPr>
            </w:pPr>
          </w:p>
        </w:tc>
        <w:tc>
          <w:tcPr>
            <w:tcW w:w="897" w:type="dxa"/>
          </w:tcPr>
          <w:p>
            <w:pPr>
              <w:pStyle w:val="TableParagraph"/>
              <w:spacing w:line="153" w:lineRule="exact" w:before="16"/>
              <w:ind w:right="47"/>
              <w:jc w:val="right"/>
              <w:rPr>
                <w:sz w:val="13"/>
              </w:rPr>
            </w:pPr>
            <w:r>
              <w:rPr>
                <w:w w:val="105"/>
                <w:sz w:val="13"/>
              </w:rPr>
              <w:t>1.804.386,05</w:t>
            </w:r>
          </w:p>
        </w:tc>
        <w:tc>
          <w:tcPr>
            <w:tcW w:w="563" w:type="dxa"/>
          </w:tcPr>
          <w:p>
            <w:pPr>
              <w:pStyle w:val="TableParagraph"/>
              <w:spacing w:line="153" w:lineRule="exact" w:before="16"/>
              <w:ind w:left="102"/>
              <w:rPr>
                <w:sz w:val="13"/>
              </w:rPr>
            </w:pPr>
            <w:r>
              <w:rPr>
                <w:w w:val="105"/>
                <w:sz w:val="13"/>
              </w:rPr>
              <w:t>56,97%</w:t>
            </w:r>
          </w:p>
        </w:tc>
        <w:tc>
          <w:tcPr>
            <w:tcW w:w="684" w:type="dxa"/>
          </w:tcPr>
          <w:p>
            <w:pPr>
              <w:pStyle w:val="TableParagraph"/>
              <w:spacing w:line="153" w:lineRule="exact" w:before="16"/>
              <w:ind w:right="48"/>
              <w:jc w:val="right"/>
              <w:rPr>
                <w:sz w:val="13"/>
              </w:rPr>
            </w:pPr>
            <w:r>
              <w:rPr>
                <w:sz w:val="13"/>
              </w:rPr>
              <w:t>56,97%</w:t>
            </w:r>
          </w:p>
        </w:tc>
      </w:tr>
      <w:tr>
        <w:trPr>
          <w:trHeight w:val="326" w:hRule="atLeast"/>
        </w:trPr>
        <w:tc>
          <w:tcPr>
            <w:tcW w:w="2136" w:type="dxa"/>
          </w:tcPr>
          <w:p>
            <w:pPr>
              <w:pStyle w:val="TableParagraph"/>
              <w:spacing w:before="2"/>
              <w:ind w:left="57"/>
              <w:rPr>
                <w:sz w:val="13"/>
              </w:rPr>
            </w:pPr>
            <w:r>
              <w:rPr>
                <w:w w:val="105"/>
                <w:sz w:val="13"/>
              </w:rPr>
              <w:t>Ayuda A La Recuperación (REACT-</w:t>
            </w:r>
          </w:p>
          <w:p>
            <w:pPr>
              <w:pStyle w:val="TableParagraph"/>
              <w:spacing w:line="141" w:lineRule="exact" w:before="4"/>
              <w:ind w:left="57"/>
              <w:rPr>
                <w:sz w:val="13"/>
              </w:rPr>
            </w:pPr>
            <w:r>
              <w:rPr>
                <w:w w:val="105"/>
                <w:sz w:val="13"/>
              </w:rPr>
              <w:t>EU). Totales</w:t>
            </w:r>
          </w:p>
        </w:tc>
        <w:tc>
          <w:tcPr>
            <w:tcW w:w="951" w:type="dxa"/>
          </w:tcPr>
          <w:p>
            <w:pPr>
              <w:pStyle w:val="TableParagraph"/>
              <w:spacing w:before="82"/>
              <w:ind w:right="47"/>
              <w:jc w:val="right"/>
              <w:rPr>
                <w:b/>
                <w:sz w:val="13"/>
              </w:rPr>
            </w:pPr>
            <w:r>
              <w:rPr>
                <w:b/>
                <w:sz w:val="13"/>
              </w:rPr>
              <w:t>329.137.598,70</w:t>
            </w:r>
          </w:p>
        </w:tc>
        <w:tc>
          <w:tcPr>
            <w:tcW w:w="935" w:type="dxa"/>
          </w:tcPr>
          <w:p>
            <w:pPr>
              <w:pStyle w:val="TableParagraph"/>
              <w:spacing w:before="82"/>
              <w:ind w:right="45"/>
              <w:jc w:val="right"/>
              <w:rPr>
                <w:b/>
                <w:sz w:val="13"/>
              </w:rPr>
            </w:pPr>
            <w:r>
              <w:rPr>
                <w:b/>
                <w:sz w:val="13"/>
              </w:rPr>
              <w:t>124.508.271,48</w:t>
            </w:r>
          </w:p>
        </w:tc>
        <w:tc>
          <w:tcPr>
            <w:tcW w:w="970" w:type="dxa"/>
          </w:tcPr>
          <w:p>
            <w:pPr>
              <w:pStyle w:val="TableParagraph"/>
              <w:spacing w:before="82"/>
              <w:ind w:left="26" w:right="24"/>
              <w:jc w:val="center"/>
              <w:rPr>
                <w:b/>
                <w:sz w:val="13"/>
              </w:rPr>
            </w:pPr>
            <w:r>
              <w:rPr>
                <w:b/>
                <w:w w:val="105"/>
                <w:sz w:val="13"/>
              </w:rPr>
              <w:t>325.249.080,56</w:t>
            </w:r>
          </w:p>
        </w:tc>
        <w:tc>
          <w:tcPr>
            <w:tcW w:w="897" w:type="dxa"/>
          </w:tcPr>
          <w:p>
            <w:pPr>
              <w:pStyle w:val="TableParagraph"/>
              <w:spacing w:before="82"/>
              <w:ind w:right="42"/>
              <w:jc w:val="right"/>
              <w:rPr>
                <w:b/>
                <w:sz w:val="13"/>
              </w:rPr>
            </w:pPr>
            <w:r>
              <w:rPr>
                <w:b/>
                <w:w w:val="105"/>
                <w:sz w:val="13"/>
              </w:rPr>
              <w:t>90.521.942,19</w:t>
            </w:r>
          </w:p>
        </w:tc>
        <w:tc>
          <w:tcPr>
            <w:tcW w:w="563" w:type="dxa"/>
          </w:tcPr>
          <w:p>
            <w:pPr>
              <w:pStyle w:val="TableParagraph"/>
              <w:spacing w:before="82"/>
              <w:ind w:left="98"/>
              <w:rPr>
                <w:b/>
                <w:sz w:val="13"/>
              </w:rPr>
            </w:pPr>
            <w:r>
              <w:rPr>
                <w:b/>
                <w:w w:val="105"/>
                <w:sz w:val="13"/>
              </w:rPr>
              <w:t>98,82%</w:t>
            </w:r>
          </w:p>
        </w:tc>
        <w:tc>
          <w:tcPr>
            <w:tcW w:w="684" w:type="dxa"/>
          </w:tcPr>
          <w:p>
            <w:pPr>
              <w:pStyle w:val="TableParagraph"/>
              <w:spacing w:before="82"/>
              <w:ind w:right="48"/>
              <w:jc w:val="right"/>
              <w:rPr>
                <w:b/>
                <w:sz w:val="13"/>
              </w:rPr>
            </w:pPr>
            <w:r>
              <w:rPr>
                <w:b/>
                <w:w w:val="105"/>
                <w:sz w:val="13"/>
              </w:rPr>
              <w:t>72,70%</w:t>
            </w:r>
          </w:p>
        </w:tc>
      </w:tr>
    </w:tbl>
    <w:p>
      <w:pPr>
        <w:pStyle w:val="BodyText"/>
        <w:spacing w:before="4"/>
        <w:rPr>
          <w:sz w:val="6"/>
        </w:rPr>
      </w:pPr>
    </w:p>
    <w:p>
      <w:pPr>
        <w:pStyle w:val="BodyText"/>
        <w:spacing w:before="60"/>
        <w:ind w:left="7897"/>
        <w:jc w:val="center"/>
      </w:pPr>
      <w:r>
        <w:rPr/>
        <w:t>55</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21" name="image5.png"/>
                  <wp:cNvGraphicFramePr>
                    <a:graphicFrameLocks noChangeAspect="1"/>
                  </wp:cNvGraphicFramePr>
                  <a:graphic>
                    <a:graphicData uri="http://schemas.openxmlformats.org/drawingml/2006/picture">
                      <pic:pic>
                        <pic:nvPicPr>
                          <pic:cNvPr id="12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57/247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rPr>
          <w:b/>
        </w:rPr>
      </w:pPr>
    </w:p>
    <w:p>
      <w:pPr>
        <w:pStyle w:val="BodyText"/>
        <w:spacing w:before="6"/>
        <w:rPr>
          <w:b/>
          <w:sz w:val="22"/>
        </w:rPr>
      </w:pPr>
    </w:p>
    <w:tbl>
      <w:tblPr>
        <w:tblW w:w="0" w:type="auto"/>
        <w:jc w:val="left"/>
        <w:tblInd w:w="2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4"/>
        <w:gridCol w:w="976"/>
        <w:gridCol w:w="976"/>
        <w:gridCol w:w="974"/>
        <w:gridCol w:w="976"/>
        <w:gridCol w:w="579"/>
        <w:gridCol w:w="634"/>
      </w:tblGrid>
      <w:tr>
        <w:trPr>
          <w:trHeight w:val="249" w:hRule="atLeast"/>
        </w:trPr>
        <w:tc>
          <w:tcPr>
            <w:tcW w:w="2024" w:type="dxa"/>
            <w:vMerge w:val="restart"/>
            <w:shd w:val="clear" w:color="auto" w:fill="DEEAF6"/>
          </w:tcPr>
          <w:p>
            <w:pPr>
              <w:pStyle w:val="TableParagraph"/>
              <w:spacing w:line="249" w:lineRule="auto" w:before="50"/>
              <w:ind w:left="694" w:hanging="524"/>
              <w:rPr>
                <w:b/>
                <w:sz w:val="13"/>
              </w:rPr>
            </w:pPr>
            <w:r>
              <w:rPr>
                <w:b/>
                <w:w w:val="105"/>
                <w:sz w:val="13"/>
              </w:rPr>
              <w:t>Resumen general fondos Next Generation</w:t>
            </w:r>
          </w:p>
        </w:tc>
        <w:tc>
          <w:tcPr>
            <w:tcW w:w="1952" w:type="dxa"/>
            <w:gridSpan w:val="2"/>
            <w:shd w:val="clear" w:color="auto" w:fill="DEEAF6"/>
          </w:tcPr>
          <w:p>
            <w:pPr>
              <w:pStyle w:val="TableParagraph"/>
              <w:spacing w:before="46"/>
              <w:ind w:left="484"/>
              <w:rPr>
                <w:b/>
                <w:sz w:val="13"/>
              </w:rPr>
            </w:pPr>
            <w:r>
              <w:rPr>
                <w:b/>
                <w:w w:val="105"/>
                <w:sz w:val="13"/>
              </w:rPr>
              <w:t>Crédito definitivo</w:t>
            </w:r>
          </w:p>
        </w:tc>
        <w:tc>
          <w:tcPr>
            <w:tcW w:w="1950" w:type="dxa"/>
            <w:gridSpan w:val="2"/>
            <w:shd w:val="clear" w:color="auto" w:fill="DEEAF6"/>
          </w:tcPr>
          <w:p>
            <w:pPr>
              <w:pStyle w:val="TableParagraph"/>
              <w:spacing w:before="46"/>
              <w:ind w:left="265"/>
              <w:rPr>
                <w:b/>
                <w:sz w:val="13"/>
              </w:rPr>
            </w:pPr>
            <w:r>
              <w:rPr>
                <w:b/>
                <w:w w:val="105"/>
                <w:sz w:val="13"/>
              </w:rPr>
              <w:t>Obligaciones reconocidas</w:t>
            </w:r>
          </w:p>
        </w:tc>
        <w:tc>
          <w:tcPr>
            <w:tcW w:w="1213" w:type="dxa"/>
            <w:gridSpan w:val="2"/>
            <w:shd w:val="clear" w:color="auto" w:fill="DEEAF6"/>
          </w:tcPr>
          <w:p>
            <w:pPr>
              <w:pStyle w:val="TableParagraph"/>
              <w:spacing w:before="46"/>
              <w:ind w:left="63"/>
              <w:rPr>
                <w:b/>
                <w:sz w:val="13"/>
              </w:rPr>
            </w:pPr>
            <w:r>
              <w:rPr>
                <w:b/>
                <w:w w:val="105"/>
                <w:sz w:val="13"/>
              </w:rPr>
              <w:t>Grado de ejecución</w:t>
            </w:r>
          </w:p>
        </w:tc>
      </w:tr>
      <w:tr>
        <w:trPr>
          <w:trHeight w:val="163" w:hRule="atLeast"/>
        </w:trPr>
        <w:tc>
          <w:tcPr>
            <w:tcW w:w="2024" w:type="dxa"/>
            <w:vMerge/>
            <w:tcBorders>
              <w:top w:val="nil"/>
            </w:tcBorders>
            <w:shd w:val="clear" w:color="auto" w:fill="DEEAF6"/>
          </w:tcPr>
          <w:p>
            <w:pPr>
              <w:rPr>
                <w:sz w:val="2"/>
                <w:szCs w:val="2"/>
              </w:rPr>
            </w:pPr>
          </w:p>
        </w:tc>
        <w:tc>
          <w:tcPr>
            <w:tcW w:w="976" w:type="dxa"/>
            <w:shd w:val="clear" w:color="auto" w:fill="DEEAF6"/>
          </w:tcPr>
          <w:p>
            <w:pPr>
              <w:pStyle w:val="TableParagraph"/>
              <w:spacing w:line="141" w:lineRule="exact" w:before="2"/>
              <w:ind w:left="29" w:right="23"/>
              <w:jc w:val="center"/>
              <w:rPr>
                <w:b/>
                <w:sz w:val="13"/>
              </w:rPr>
            </w:pPr>
            <w:r>
              <w:rPr>
                <w:b/>
                <w:w w:val="105"/>
                <w:sz w:val="13"/>
              </w:rPr>
              <w:t>2021</w:t>
            </w:r>
          </w:p>
        </w:tc>
        <w:tc>
          <w:tcPr>
            <w:tcW w:w="976" w:type="dxa"/>
            <w:shd w:val="clear" w:color="auto" w:fill="DEEAF6"/>
          </w:tcPr>
          <w:p>
            <w:pPr>
              <w:pStyle w:val="TableParagraph"/>
              <w:spacing w:line="141" w:lineRule="exact" w:before="2"/>
              <w:ind w:left="28" w:right="23"/>
              <w:jc w:val="center"/>
              <w:rPr>
                <w:b/>
                <w:sz w:val="13"/>
              </w:rPr>
            </w:pPr>
            <w:r>
              <w:rPr>
                <w:b/>
                <w:w w:val="105"/>
                <w:sz w:val="13"/>
              </w:rPr>
              <w:t>2022</w:t>
            </w:r>
          </w:p>
        </w:tc>
        <w:tc>
          <w:tcPr>
            <w:tcW w:w="974" w:type="dxa"/>
            <w:shd w:val="clear" w:color="auto" w:fill="DEEAF6"/>
          </w:tcPr>
          <w:p>
            <w:pPr>
              <w:pStyle w:val="TableParagraph"/>
              <w:spacing w:line="141" w:lineRule="exact" w:before="2"/>
              <w:ind w:left="30" w:right="24"/>
              <w:jc w:val="center"/>
              <w:rPr>
                <w:b/>
                <w:sz w:val="13"/>
              </w:rPr>
            </w:pPr>
            <w:r>
              <w:rPr>
                <w:b/>
                <w:w w:val="105"/>
                <w:sz w:val="13"/>
              </w:rPr>
              <w:t>2021</w:t>
            </w:r>
          </w:p>
        </w:tc>
        <w:tc>
          <w:tcPr>
            <w:tcW w:w="976" w:type="dxa"/>
            <w:shd w:val="clear" w:color="auto" w:fill="DEEAF6"/>
          </w:tcPr>
          <w:p>
            <w:pPr>
              <w:pStyle w:val="TableParagraph"/>
              <w:spacing w:line="141" w:lineRule="exact" w:before="2"/>
              <w:ind w:left="30" w:right="23"/>
              <w:jc w:val="center"/>
              <w:rPr>
                <w:b/>
                <w:sz w:val="13"/>
              </w:rPr>
            </w:pPr>
            <w:r>
              <w:rPr>
                <w:b/>
                <w:w w:val="105"/>
                <w:sz w:val="13"/>
              </w:rPr>
              <w:t>2022</w:t>
            </w:r>
          </w:p>
        </w:tc>
        <w:tc>
          <w:tcPr>
            <w:tcW w:w="579" w:type="dxa"/>
            <w:shd w:val="clear" w:color="auto" w:fill="DEEAF6"/>
          </w:tcPr>
          <w:p>
            <w:pPr>
              <w:pStyle w:val="TableParagraph"/>
              <w:spacing w:line="141" w:lineRule="exact" w:before="2"/>
              <w:ind w:left="30" w:right="30"/>
              <w:jc w:val="center"/>
              <w:rPr>
                <w:b/>
                <w:sz w:val="13"/>
              </w:rPr>
            </w:pPr>
            <w:r>
              <w:rPr>
                <w:b/>
                <w:w w:val="105"/>
                <w:sz w:val="13"/>
              </w:rPr>
              <w:t>2021</w:t>
            </w:r>
          </w:p>
        </w:tc>
        <w:tc>
          <w:tcPr>
            <w:tcW w:w="634" w:type="dxa"/>
            <w:shd w:val="clear" w:color="auto" w:fill="DEEAF6"/>
          </w:tcPr>
          <w:p>
            <w:pPr>
              <w:pStyle w:val="TableParagraph"/>
              <w:spacing w:line="141" w:lineRule="exact" w:before="2"/>
              <w:ind w:left="175"/>
              <w:rPr>
                <w:b/>
                <w:sz w:val="13"/>
              </w:rPr>
            </w:pPr>
            <w:r>
              <w:rPr>
                <w:b/>
                <w:w w:val="105"/>
                <w:sz w:val="13"/>
              </w:rPr>
              <w:t>2022</w:t>
            </w:r>
          </w:p>
        </w:tc>
      </w:tr>
      <w:tr>
        <w:trPr>
          <w:trHeight w:val="326" w:hRule="atLeast"/>
        </w:trPr>
        <w:tc>
          <w:tcPr>
            <w:tcW w:w="2024" w:type="dxa"/>
          </w:tcPr>
          <w:p>
            <w:pPr>
              <w:pStyle w:val="TableParagraph"/>
              <w:spacing w:before="2"/>
              <w:ind w:left="57"/>
              <w:rPr>
                <w:sz w:val="13"/>
              </w:rPr>
            </w:pPr>
            <w:r>
              <w:rPr>
                <w:w w:val="105"/>
                <w:sz w:val="13"/>
              </w:rPr>
              <w:t>Servicio 70: Mecanismo para la</w:t>
            </w:r>
          </w:p>
          <w:p>
            <w:pPr>
              <w:pStyle w:val="TableParagraph"/>
              <w:spacing w:line="141" w:lineRule="exact" w:before="4"/>
              <w:ind w:left="57"/>
              <w:rPr>
                <w:sz w:val="13"/>
              </w:rPr>
            </w:pPr>
            <w:r>
              <w:rPr>
                <w:w w:val="105"/>
                <w:sz w:val="13"/>
              </w:rPr>
              <w:t>recuperación</w:t>
            </w:r>
          </w:p>
        </w:tc>
        <w:tc>
          <w:tcPr>
            <w:tcW w:w="976" w:type="dxa"/>
          </w:tcPr>
          <w:p>
            <w:pPr>
              <w:pStyle w:val="TableParagraph"/>
              <w:spacing w:before="85"/>
              <w:ind w:left="31" w:right="20"/>
              <w:jc w:val="center"/>
              <w:rPr>
                <w:sz w:val="13"/>
              </w:rPr>
            </w:pPr>
            <w:r>
              <w:rPr>
                <w:w w:val="105"/>
                <w:sz w:val="13"/>
              </w:rPr>
              <w:t>166.694.724,94</w:t>
            </w:r>
          </w:p>
        </w:tc>
        <w:tc>
          <w:tcPr>
            <w:tcW w:w="976" w:type="dxa"/>
          </w:tcPr>
          <w:p>
            <w:pPr>
              <w:pStyle w:val="TableParagraph"/>
              <w:spacing w:before="85"/>
              <w:ind w:left="31" w:right="16"/>
              <w:jc w:val="center"/>
              <w:rPr>
                <w:sz w:val="13"/>
              </w:rPr>
            </w:pPr>
            <w:r>
              <w:rPr>
                <w:w w:val="105"/>
                <w:sz w:val="13"/>
              </w:rPr>
              <w:t>553.943.040,84</w:t>
            </w:r>
          </w:p>
        </w:tc>
        <w:tc>
          <w:tcPr>
            <w:tcW w:w="974" w:type="dxa"/>
          </w:tcPr>
          <w:p>
            <w:pPr>
              <w:pStyle w:val="TableParagraph"/>
              <w:spacing w:before="85"/>
              <w:ind w:left="104" w:right="24"/>
              <w:jc w:val="center"/>
              <w:rPr>
                <w:sz w:val="13"/>
              </w:rPr>
            </w:pPr>
            <w:r>
              <w:rPr>
                <w:w w:val="105"/>
                <w:sz w:val="13"/>
              </w:rPr>
              <w:t>34.841.866,67</w:t>
            </w:r>
          </w:p>
        </w:tc>
        <w:tc>
          <w:tcPr>
            <w:tcW w:w="976" w:type="dxa"/>
          </w:tcPr>
          <w:p>
            <w:pPr>
              <w:pStyle w:val="TableParagraph"/>
              <w:spacing w:before="85"/>
              <w:ind w:right="48"/>
              <w:jc w:val="right"/>
              <w:rPr>
                <w:sz w:val="13"/>
              </w:rPr>
            </w:pPr>
            <w:r>
              <w:rPr>
                <w:sz w:val="13"/>
              </w:rPr>
              <w:t>181.454.729,75</w:t>
            </w:r>
          </w:p>
        </w:tc>
        <w:tc>
          <w:tcPr>
            <w:tcW w:w="579" w:type="dxa"/>
          </w:tcPr>
          <w:p>
            <w:pPr>
              <w:pStyle w:val="TableParagraph"/>
              <w:spacing w:before="85"/>
              <w:ind w:left="86" w:right="26"/>
              <w:jc w:val="center"/>
              <w:rPr>
                <w:sz w:val="13"/>
              </w:rPr>
            </w:pPr>
            <w:r>
              <w:rPr>
                <w:w w:val="105"/>
                <w:sz w:val="13"/>
              </w:rPr>
              <w:t>20,90%</w:t>
            </w:r>
          </w:p>
        </w:tc>
        <w:tc>
          <w:tcPr>
            <w:tcW w:w="634" w:type="dxa"/>
          </w:tcPr>
          <w:p>
            <w:pPr>
              <w:pStyle w:val="TableParagraph"/>
              <w:spacing w:before="85"/>
              <w:ind w:left="169"/>
              <w:rPr>
                <w:sz w:val="13"/>
              </w:rPr>
            </w:pPr>
            <w:r>
              <w:rPr>
                <w:w w:val="105"/>
                <w:sz w:val="13"/>
              </w:rPr>
              <w:t>32,76%</w:t>
            </w:r>
          </w:p>
        </w:tc>
      </w:tr>
      <w:tr>
        <w:trPr>
          <w:trHeight w:val="326" w:hRule="atLeast"/>
        </w:trPr>
        <w:tc>
          <w:tcPr>
            <w:tcW w:w="2024" w:type="dxa"/>
          </w:tcPr>
          <w:p>
            <w:pPr>
              <w:pStyle w:val="TableParagraph"/>
              <w:spacing w:before="2"/>
              <w:ind w:left="57"/>
              <w:rPr>
                <w:sz w:val="13"/>
              </w:rPr>
            </w:pPr>
            <w:r>
              <w:rPr>
                <w:w w:val="105"/>
                <w:sz w:val="13"/>
              </w:rPr>
              <w:t>Servicio 71: Ayuda a la</w:t>
            </w:r>
          </w:p>
          <w:p>
            <w:pPr>
              <w:pStyle w:val="TableParagraph"/>
              <w:spacing w:line="141" w:lineRule="exact" w:before="4"/>
              <w:ind w:left="57"/>
              <w:rPr>
                <w:sz w:val="13"/>
              </w:rPr>
            </w:pPr>
            <w:r>
              <w:rPr>
                <w:w w:val="105"/>
                <w:sz w:val="13"/>
              </w:rPr>
              <w:t>recuperación (REACT-EU)</w:t>
            </w:r>
          </w:p>
        </w:tc>
        <w:tc>
          <w:tcPr>
            <w:tcW w:w="976" w:type="dxa"/>
          </w:tcPr>
          <w:p>
            <w:pPr>
              <w:pStyle w:val="TableParagraph"/>
              <w:spacing w:before="85"/>
              <w:ind w:left="31" w:right="20"/>
              <w:jc w:val="center"/>
              <w:rPr>
                <w:sz w:val="13"/>
              </w:rPr>
            </w:pPr>
            <w:r>
              <w:rPr>
                <w:w w:val="105"/>
                <w:sz w:val="13"/>
              </w:rPr>
              <w:t>329.137.598,70</w:t>
            </w:r>
          </w:p>
        </w:tc>
        <w:tc>
          <w:tcPr>
            <w:tcW w:w="976" w:type="dxa"/>
          </w:tcPr>
          <w:p>
            <w:pPr>
              <w:pStyle w:val="TableParagraph"/>
              <w:spacing w:before="85"/>
              <w:ind w:left="31" w:right="16"/>
              <w:jc w:val="center"/>
              <w:rPr>
                <w:sz w:val="13"/>
              </w:rPr>
            </w:pPr>
            <w:r>
              <w:rPr>
                <w:w w:val="105"/>
                <w:sz w:val="13"/>
              </w:rPr>
              <w:t>124.508.271,48</w:t>
            </w:r>
          </w:p>
        </w:tc>
        <w:tc>
          <w:tcPr>
            <w:tcW w:w="974" w:type="dxa"/>
          </w:tcPr>
          <w:p>
            <w:pPr>
              <w:pStyle w:val="TableParagraph"/>
              <w:spacing w:before="85"/>
              <w:ind w:left="29" w:right="18"/>
              <w:jc w:val="center"/>
              <w:rPr>
                <w:sz w:val="13"/>
              </w:rPr>
            </w:pPr>
            <w:r>
              <w:rPr>
                <w:w w:val="105"/>
                <w:sz w:val="13"/>
              </w:rPr>
              <w:t>325.249.080,56</w:t>
            </w:r>
          </w:p>
        </w:tc>
        <w:tc>
          <w:tcPr>
            <w:tcW w:w="976" w:type="dxa"/>
          </w:tcPr>
          <w:p>
            <w:pPr>
              <w:pStyle w:val="TableParagraph"/>
              <w:spacing w:before="85"/>
              <w:ind w:right="48"/>
              <w:jc w:val="right"/>
              <w:rPr>
                <w:sz w:val="13"/>
              </w:rPr>
            </w:pPr>
            <w:r>
              <w:rPr>
                <w:w w:val="105"/>
                <w:sz w:val="13"/>
              </w:rPr>
              <w:t>90.521.942,19</w:t>
            </w:r>
          </w:p>
        </w:tc>
        <w:tc>
          <w:tcPr>
            <w:tcW w:w="579" w:type="dxa"/>
          </w:tcPr>
          <w:p>
            <w:pPr>
              <w:pStyle w:val="TableParagraph"/>
              <w:spacing w:before="85"/>
              <w:ind w:left="86" w:right="26"/>
              <w:jc w:val="center"/>
              <w:rPr>
                <w:sz w:val="13"/>
              </w:rPr>
            </w:pPr>
            <w:r>
              <w:rPr>
                <w:w w:val="105"/>
                <w:sz w:val="13"/>
              </w:rPr>
              <w:t>98,82%</w:t>
            </w:r>
          </w:p>
        </w:tc>
        <w:tc>
          <w:tcPr>
            <w:tcW w:w="634" w:type="dxa"/>
          </w:tcPr>
          <w:p>
            <w:pPr>
              <w:pStyle w:val="TableParagraph"/>
              <w:spacing w:before="85"/>
              <w:ind w:left="169"/>
              <w:rPr>
                <w:sz w:val="13"/>
              </w:rPr>
            </w:pPr>
            <w:r>
              <w:rPr>
                <w:w w:val="105"/>
                <w:sz w:val="13"/>
              </w:rPr>
              <w:t>72,70%</w:t>
            </w:r>
          </w:p>
        </w:tc>
      </w:tr>
      <w:tr>
        <w:trPr>
          <w:trHeight w:val="249" w:hRule="atLeast"/>
        </w:trPr>
        <w:tc>
          <w:tcPr>
            <w:tcW w:w="2024" w:type="dxa"/>
          </w:tcPr>
          <w:p>
            <w:pPr>
              <w:pStyle w:val="TableParagraph"/>
              <w:spacing w:before="46"/>
              <w:ind w:left="804" w:right="801"/>
              <w:jc w:val="center"/>
              <w:rPr>
                <w:b/>
                <w:sz w:val="13"/>
              </w:rPr>
            </w:pPr>
            <w:r>
              <w:rPr>
                <w:b/>
                <w:w w:val="105"/>
                <w:sz w:val="13"/>
              </w:rPr>
              <w:t>TOTAL</w:t>
            </w:r>
          </w:p>
        </w:tc>
        <w:tc>
          <w:tcPr>
            <w:tcW w:w="976" w:type="dxa"/>
          </w:tcPr>
          <w:p>
            <w:pPr>
              <w:pStyle w:val="TableParagraph"/>
              <w:spacing w:before="46"/>
              <w:ind w:left="29" w:right="23"/>
              <w:jc w:val="center"/>
              <w:rPr>
                <w:b/>
                <w:sz w:val="13"/>
              </w:rPr>
            </w:pPr>
            <w:r>
              <w:rPr>
                <w:b/>
                <w:w w:val="105"/>
                <w:sz w:val="13"/>
              </w:rPr>
              <w:t>495.832.323,64</w:t>
            </w:r>
          </w:p>
        </w:tc>
        <w:tc>
          <w:tcPr>
            <w:tcW w:w="976" w:type="dxa"/>
          </w:tcPr>
          <w:p>
            <w:pPr>
              <w:pStyle w:val="TableParagraph"/>
              <w:spacing w:before="46"/>
              <w:ind w:left="31" w:right="22"/>
              <w:jc w:val="center"/>
              <w:rPr>
                <w:b/>
                <w:sz w:val="13"/>
              </w:rPr>
            </w:pPr>
            <w:r>
              <w:rPr>
                <w:b/>
                <w:w w:val="105"/>
                <w:sz w:val="13"/>
              </w:rPr>
              <w:t>678.451.312,32</w:t>
            </w:r>
          </w:p>
        </w:tc>
        <w:tc>
          <w:tcPr>
            <w:tcW w:w="974" w:type="dxa"/>
          </w:tcPr>
          <w:p>
            <w:pPr>
              <w:pStyle w:val="TableParagraph"/>
              <w:spacing w:before="46"/>
              <w:ind w:left="29" w:right="24"/>
              <w:jc w:val="center"/>
              <w:rPr>
                <w:b/>
                <w:sz w:val="13"/>
              </w:rPr>
            </w:pPr>
            <w:r>
              <w:rPr>
                <w:b/>
                <w:w w:val="105"/>
                <w:sz w:val="13"/>
              </w:rPr>
              <w:t>360.090.947,23</w:t>
            </w:r>
          </w:p>
        </w:tc>
        <w:tc>
          <w:tcPr>
            <w:tcW w:w="976" w:type="dxa"/>
          </w:tcPr>
          <w:p>
            <w:pPr>
              <w:pStyle w:val="TableParagraph"/>
              <w:spacing w:before="46"/>
              <w:ind w:right="48"/>
              <w:jc w:val="right"/>
              <w:rPr>
                <w:b/>
                <w:sz w:val="13"/>
              </w:rPr>
            </w:pPr>
            <w:r>
              <w:rPr>
                <w:b/>
                <w:sz w:val="13"/>
              </w:rPr>
              <w:t>271.976.671,94</w:t>
            </w:r>
          </w:p>
        </w:tc>
        <w:tc>
          <w:tcPr>
            <w:tcW w:w="579" w:type="dxa"/>
          </w:tcPr>
          <w:p>
            <w:pPr>
              <w:pStyle w:val="TableParagraph"/>
              <w:spacing w:before="46"/>
              <w:ind w:left="86" w:right="30"/>
              <w:jc w:val="center"/>
              <w:rPr>
                <w:b/>
                <w:sz w:val="13"/>
              </w:rPr>
            </w:pPr>
            <w:r>
              <w:rPr>
                <w:b/>
                <w:w w:val="105"/>
                <w:sz w:val="13"/>
              </w:rPr>
              <w:t>72,62%</w:t>
            </w:r>
          </w:p>
        </w:tc>
        <w:tc>
          <w:tcPr>
            <w:tcW w:w="634" w:type="dxa"/>
          </w:tcPr>
          <w:p>
            <w:pPr>
              <w:pStyle w:val="TableParagraph"/>
              <w:spacing w:before="46"/>
              <w:ind w:left="165"/>
              <w:rPr>
                <w:b/>
                <w:sz w:val="13"/>
              </w:rPr>
            </w:pPr>
            <w:r>
              <w:rPr>
                <w:b/>
                <w:w w:val="105"/>
                <w:sz w:val="13"/>
              </w:rPr>
              <w:t>40,09%</w:t>
            </w:r>
          </w:p>
        </w:tc>
      </w:tr>
    </w:tbl>
    <w:p>
      <w:pPr>
        <w:pStyle w:val="BodyText"/>
        <w:spacing w:before="7"/>
        <w:rPr>
          <w:b/>
          <w:sz w:val="11"/>
        </w:rPr>
      </w:pPr>
    </w:p>
    <w:p>
      <w:pPr>
        <w:pStyle w:val="BodyText"/>
        <w:spacing w:before="61"/>
        <w:ind w:left="2096" w:right="1201" w:firstLine="715"/>
      </w:pPr>
      <w:r>
        <w:rPr/>
        <w:t>Por tanto, los Fondos Next Generation han pasado de un grado de ejecución del 72,62 % en 2021 al 40,09 % en 2022.</w:t>
      </w:r>
    </w:p>
    <w:p>
      <w:pPr>
        <w:pStyle w:val="BodyText"/>
        <w:spacing w:before="10"/>
        <w:rPr>
          <w:sz w:val="16"/>
        </w:rPr>
      </w:pPr>
    </w:p>
    <w:p>
      <w:pPr>
        <w:pStyle w:val="BodyText"/>
        <w:ind w:left="2096" w:right="510" w:firstLine="715"/>
      </w:pPr>
      <w:r>
        <w:rPr/>
        <w:t>De un importe total de 1.174 millones de € se han gastado 632 millones de €, quedando un remanente de 542 millones de €.</w:t>
      </w:r>
    </w:p>
    <w:p>
      <w:pPr>
        <w:pStyle w:val="BodyText"/>
        <w:spacing w:before="9"/>
        <w:rPr>
          <w:sz w:val="16"/>
        </w:rPr>
      </w:pPr>
    </w:p>
    <w:p>
      <w:pPr>
        <w:pStyle w:val="Heading1"/>
        <w:numPr>
          <w:ilvl w:val="3"/>
          <w:numId w:val="24"/>
        </w:numPr>
        <w:tabs>
          <w:tab w:pos="2768" w:val="left" w:leader="none"/>
        </w:tabs>
        <w:spacing w:line="240" w:lineRule="auto" w:before="1" w:after="0"/>
        <w:ind w:left="2767" w:right="0" w:hanging="672"/>
        <w:jc w:val="left"/>
        <w:rPr>
          <w:b w:val="0"/>
        </w:rPr>
      </w:pPr>
      <w:r>
        <w:rPr/>
        <w:t>Excesos de Financiación</w:t>
      </w:r>
      <w:r>
        <w:rPr>
          <w:spacing w:val="-2"/>
        </w:rPr>
        <w:t> </w:t>
      </w:r>
      <w:r>
        <w:rPr/>
        <w:t>Afectada</w:t>
      </w:r>
      <w:r>
        <w:rPr>
          <w:b w:val="0"/>
        </w:rPr>
        <w:t>.</w:t>
      </w:r>
    </w:p>
    <w:p>
      <w:pPr>
        <w:pStyle w:val="BodyText"/>
        <w:spacing w:before="7"/>
        <w:rPr>
          <w:sz w:val="16"/>
        </w:rPr>
      </w:pPr>
    </w:p>
    <w:p>
      <w:pPr>
        <w:pStyle w:val="BodyText"/>
        <w:spacing w:line="242" w:lineRule="auto"/>
        <w:ind w:left="2096" w:right="1139" w:firstLine="604"/>
        <w:jc w:val="both"/>
      </w:pPr>
      <w:r>
        <w:rPr/>
        <w:t>Se ha solicitado, a través de la IGCAC, que los diferentes centros gestores informaran a este órgano de control externo acerca de los expedientes de devoluciones de ingresos de excesos de financiación afectada. Se ha recibido información al respecto de las siguientes consejerías:</w:t>
      </w:r>
    </w:p>
    <w:p>
      <w:pPr>
        <w:pStyle w:val="BodyText"/>
        <w:spacing w:before="5"/>
        <w:rPr>
          <w:sz w:val="16"/>
        </w:rPr>
      </w:pPr>
    </w:p>
    <w:p>
      <w:pPr>
        <w:pStyle w:val="ListParagraph"/>
        <w:numPr>
          <w:ilvl w:val="4"/>
          <w:numId w:val="24"/>
        </w:numPr>
        <w:tabs>
          <w:tab w:pos="2700" w:val="left" w:leader="none"/>
          <w:tab w:pos="2701" w:val="left" w:leader="none"/>
        </w:tabs>
        <w:spacing w:line="240" w:lineRule="auto" w:before="1" w:after="0"/>
        <w:ind w:left="2700" w:right="0" w:hanging="303"/>
        <w:jc w:val="left"/>
        <w:rPr>
          <w:sz w:val="20"/>
        </w:rPr>
      </w:pPr>
      <w:r>
        <w:rPr>
          <w:sz w:val="20"/>
        </w:rPr>
        <w:t>C. Agricultura, Ganadería, Pesca y S.</w:t>
      </w:r>
      <w:r>
        <w:rPr>
          <w:spacing w:val="2"/>
          <w:sz w:val="20"/>
        </w:rPr>
        <w:t> </w:t>
      </w:r>
      <w:r>
        <w:rPr>
          <w:sz w:val="20"/>
        </w:rPr>
        <w:t>Alimentaria.</w:t>
      </w:r>
    </w:p>
    <w:p>
      <w:pPr>
        <w:pStyle w:val="ListParagraph"/>
        <w:numPr>
          <w:ilvl w:val="4"/>
          <w:numId w:val="24"/>
        </w:numPr>
        <w:tabs>
          <w:tab w:pos="2700" w:val="left" w:leader="none"/>
          <w:tab w:pos="2701" w:val="left" w:leader="none"/>
        </w:tabs>
        <w:spacing w:line="240" w:lineRule="auto" w:before="1" w:after="0"/>
        <w:ind w:left="2700" w:right="0" w:hanging="303"/>
        <w:jc w:val="left"/>
        <w:rPr>
          <w:sz w:val="20"/>
        </w:rPr>
      </w:pPr>
      <w:r>
        <w:rPr>
          <w:sz w:val="20"/>
        </w:rPr>
        <w:t>C. de Derechos Sociales, Igualdad, Diversidad y</w:t>
      </w:r>
      <w:r>
        <w:rPr>
          <w:spacing w:val="-2"/>
          <w:sz w:val="20"/>
        </w:rPr>
        <w:t> </w:t>
      </w:r>
      <w:r>
        <w:rPr>
          <w:sz w:val="20"/>
        </w:rPr>
        <w:t>Juventud.</w:t>
      </w:r>
    </w:p>
    <w:p>
      <w:pPr>
        <w:pStyle w:val="ListParagraph"/>
        <w:numPr>
          <w:ilvl w:val="4"/>
          <w:numId w:val="24"/>
        </w:numPr>
        <w:tabs>
          <w:tab w:pos="2700" w:val="left" w:leader="none"/>
          <w:tab w:pos="2701" w:val="left" w:leader="none"/>
        </w:tabs>
        <w:spacing w:line="240" w:lineRule="auto" w:before="2" w:after="0"/>
        <w:ind w:left="2700" w:right="0" w:hanging="303"/>
        <w:jc w:val="left"/>
        <w:rPr>
          <w:sz w:val="20"/>
        </w:rPr>
      </w:pPr>
      <w:r>
        <w:rPr>
          <w:sz w:val="20"/>
        </w:rPr>
        <w:t>C. de Presidencia, Administraciones Públicas, Justicia y</w:t>
      </w:r>
      <w:r>
        <w:rPr>
          <w:spacing w:val="4"/>
          <w:sz w:val="20"/>
        </w:rPr>
        <w:t> </w:t>
      </w:r>
      <w:r>
        <w:rPr>
          <w:sz w:val="20"/>
        </w:rPr>
        <w:t>Seguridad.</w:t>
      </w:r>
    </w:p>
    <w:p>
      <w:pPr>
        <w:pStyle w:val="ListParagraph"/>
        <w:numPr>
          <w:ilvl w:val="4"/>
          <w:numId w:val="24"/>
        </w:numPr>
        <w:tabs>
          <w:tab w:pos="2700" w:val="left" w:leader="none"/>
          <w:tab w:pos="2701" w:val="left" w:leader="none"/>
        </w:tabs>
        <w:spacing w:line="240" w:lineRule="auto" w:before="2" w:after="0"/>
        <w:ind w:left="2700" w:right="0" w:hanging="303"/>
        <w:jc w:val="left"/>
        <w:rPr>
          <w:sz w:val="20"/>
        </w:rPr>
      </w:pPr>
      <w:r>
        <w:rPr>
          <w:sz w:val="20"/>
        </w:rPr>
        <w:t>C. de Transición Ecológica, Lucha contra el Cambio</w:t>
      </w:r>
      <w:r>
        <w:rPr>
          <w:spacing w:val="7"/>
          <w:sz w:val="20"/>
        </w:rPr>
        <w:t> </w:t>
      </w:r>
      <w:r>
        <w:rPr>
          <w:sz w:val="20"/>
        </w:rPr>
        <w:t>Climático.</w:t>
      </w:r>
    </w:p>
    <w:p>
      <w:pPr>
        <w:pStyle w:val="BodyText"/>
        <w:spacing w:before="8"/>
        <w:rPr>
          <w:sz w:val="16"/>
        </w:rPr>
      </w:pPr>
    </w:p>
    <w:p>
      <w:pPr>
        <w:pStyle w:val="BodyText"/>
        <w:ind w:left="2690"/>
      </w:pPr>
      <w:r>
        <w:rPr/>
        <w:t>Con los datos recibidos se ha elaborado el siguiente cuadro resumen:</w:t>
      </w:r>
    </w:p>
    <w:p>
      <w:pPr>
        <w:pStyle w:val="BodyText"/>
        <w:spacing w:before="7"/>
        <w:rPr>
          <w:sz w:val="16"/>
        </w:rPr>
      </w:pPr>
    </w:p>
    <w:tbl>
      <w:tblPr>
        <w:tblW w:w="0" w:type="auto"/>
        <w:jc w:val="left"/>
        <w:tblInd w:w="2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4"/>
        <w:gridCol w:w="1116"/>
        <w:gridCol w:w="1548"/>
        <w:gridCol w:w="905"/>
        <w:gridCol w:w="757"/>
        <w:gridCol w:w="880"/>
        <w:gridCol w:w="709"/>
      </w:tblGrid>
      <w:tr>
        <w:trPr>
          <w:trHeight w:val="654" w:hRule="atLeast"/>
        </w:trPr>
        <w:tc>
          <w:tcPr>
            <w:tcW w:w="1264" w:type="dxa"/>
            <w:shd w:val="clear" w:color="auto" w:fill="DEEAF6"/>
          </w:tcPr>
          <w:p>
            <w:pPr>
              <w:pStyle w:val="TableParagraph"/>
              <w:spacing w:line="247" w:lineRule="auto" w:before="85"/>
              <w:ind w:left="293" w:right="283" w:hanging="4"/>
              <w:jc w:val="center"/>
              <w:rPr>
                <w:b/>
                <w:sz w:val="13"/>
              </w:rPr>
            </w:pPr>
            <w:r>
              <w:rPr>
                <w:b/>
                <w:w w:val="105"/>
                <w:sz w:val="13"/>
              </w:rPr>
              <w:t>Proyecto de </w:t>
            </w:r>
            <w:r>
              <w:rPr>
                <w:b/>
                <w:sz w:val="13"/>
              </w:rPr>
              <w:t>financiación </w:t>
            </w:r>
            <w:r>
              <w:rPr>
                <w:b/>
                <w:w w:val="105"/>
                <w:sz w:val="13"/>
              </w:rPr>
              <w:t>afectada</w:t>
            </w:r>
          </w:p>
        </w:tc>
        <w:tc>
          <w:tcPr>
            <w:tcW w:w="1116" w:type="dxa"/>
            <w:shd w:val="clear" w:color="auto" w:fill="DEEAF6"/>
          </w:tcPr>
          <w:p>
            <w:pPr>
              <w:pStyle w:val="TableParagraph"/>
              <w:spacing w:before="3"/>
              <w:rPr>
                <w:sz w:val="20"/>
              </w:rPr>
            </w:pPr>
          </w:p>
          <w:p>
            <w:pPr>
              <w:pStyle w:val="TableParagraph"/>
              <w:spacing w:before="1"/>
              <w:ind w:left="85"/>
              <w:rPr>
                <w:b/>
                <w:sz w:val="13"/>
              </w:rPr>
            </w:pPr>
            <w:r>
              <w:rPr>
                <w:b/>
                <w:w w:val="105"/>
                <w:sz w:val="13"/>
              </w:rPr>
              <w:t>Código de gastos</w:t>
            </w:r>
          </w:p>
        </w:tc>
        <w:tc>
          <w:tcPr>
            <w:tcW w:w="1548" w:type="dxa"/>
            <w:shd w:val="clear" w:color="auto" w:fill="DEEAF6"/>
          </w:tcPr>
          <w:p>
            <w:pPr>
              <w:pStyle w:val="TableParagraph"/>
              <w:spacing w:before="3"/>
              <w:rPr>
                <w:sz w:val="20"/>
              </w:rPr>
            </w:pPr>
          </w:p>
          <w:p>
            <w:pPr>
              <w:pStyle w:val="TableParagraph"/>
              <w:spacing w:before="1"/>
              <w:ind w:left="450"/>
              <w:rPr>
                <w:b/>
                <w:sz w:val="13"/>
              </w:rPr>
            </w:pPr>
            <w:r>
              <w:rPr>
                <w:b/>
                <w:w w:val="105"/>
                <w:sz w:val="13"/>
              </w:rPr>
              <w:t>Descripción</w:t>
            </w:r>
          </w:p>
        </w:tc>
        <w:tc>
          <w:tcPr>
            <w:tcW w:w="905" w:type="dxa"/>
            <w:shd w:val="clear" w:color="auto" w:fill="DEEAF6"/>
          </w:tcPr>
          <w:p>
            <w:pPr>
              <w:pStyle w:val="TableParagraph"/>
              <w:spacing w:before="8"/>
              <w:rPr>
                <w:sz w:val="13"/>
              </w:rPr>
            </w:pPr>
          </w:p>
          <w:p>
            <w:pPr>
              <w:pStyle w:val="TableParagraph"/>
              <w:spacing w:line="247" w:lineRule="auto"/>
              <w:ind w:left="263" w:hanging="138"/>
              <w:rPr>
                <w:b/>
                <w:sz w:val="13"/>
              </w:rPr>
            </w:pPr>
            <w:r>
              <w:rPr>
                <w:b/>
                <w:w w:val="105"/>
                <w:sz w:val="13"/>
              </w:rPr>
              <w:t>Importe del exceso</w:t>
            </w:r>
          </w:p>
        </w:tc>
        <w:tc>
          <w:tcPr>
            <w:tcW w:w="757" w:type="dxa"/>
            <w:shd w:val="clear" w:color="auto" w:fill="DEEAF6"/>
          </w:tcPr>
          <w:p>
            <w:pPr>
              <w:pStyle w:val="TableParagraph"/>
              <w:spacing w:before="8"/>
              <w:rPr>
                <w:sz w:val="13"/>
              </w:rPr>
            </w:pPr>
          </w:p>
          <w:p>
            <w:pPr>
              <w:pStyle w:val="TableParagraph"/>
              <w:spacing w:line="247" w:lineRule="auto"/>
              <w:ind w:left="98" w:firstLine="66"/>
              <w:rPr>
                <w:b/>
                <w:sz w:val="13"/>
              </w:rPr>
            </w:pPr>
            <w:r>
              <w:rPr>
                <w:b/>
                <w:w w:val="105"/>
                <w:sz w:val="13"/>
              </w:rPr>
              <w:t>Entidad </w:t>
            </w:r>
            <w:r>
              <w:rPr>
                <w:b/>
                <w:sz w:val="13"/>
              </w:rPr>
              <w:t>acreedora</w:t>
            </w:r>
          </w:p>
        </w:tc>
        <w:tc>
          <w:tcPr>
            <w:tcW w:w="880" w:type="dxa"/>
            <w:shd w:val="clear" w:color="auto" w:fill="DEEAF6"/>
          </w:tcPr>
          <w:p>
            <w:pPr>
              <w:pStyle w:val="TableParagraph"/>
              <w:spacing w:line="247" w:lineRule="auto" w:before="2"/>
              <w:ind w:left="110" w:right="94" w:hanging="3"/>
              <w:jc w:val="center"/>
              <w:rPr>
                <w:b/>
                <w:sz w:val="13"/>
              </w:rPr>
            </w:pPr>
            <w:r>
              <w:rPr>
                <w:b/>
                <w:w w:val="105"/>
                <w:sz w:val="13"/>
              </w:rPr>
              <w:t>Ejercicio </w:t>
            </w:r>
            <w:r>
              <w:rPr>
                <w:b/>
                <w:spacing w:val="-1"/>
                <w:w w:val="105"/>
                <w:sz w:val="13"/>
              </w:rPr>
              <w:t>presupuest. </w:t>
            </w:r>
            <w:r>
              <w:rPr>
                <w:b/>
                <w:w w:val="105"/>
                <w:sz w:val="13"/>
              </w:rPr>
              <w:t>de la</w:t>
            </w:r>
          </w:p>
          <w:p>
            <w:pPr>
              <w:pStyle w:val="TableParagraph"/>
              <w:spacing w:line="141" w:lineRule="exact" w:before="1"/>
              <w:ind w:left="111" w:right="95"/>
              <w:jc w:val="center"/>
              <w:rPr>
                <w:b/>
                <w:sz w:val="13"/>
              </w:rPr>
            </w:pPr>
            <w:r>
              <w:rPr>
                <w:b/>
                <w:w w:val="105"/>
                <w:sz w:val="13"/>
              </w:rPr>
              <w:t>devolución</w:t>
            </w:r>
          </w:p>
        </w:tc>
        <w:tc>
          <w:tcPr>
            <w:tcW w:w="709" w:type="dxa"/>
            <w:shd w:val="clear" w:color="auto" w:fill="DEEAF6"/>
          </w:tcPr>
          <w:p>
            <w:pPr>
              <w:pStyle w:val="TableParagraph"/>
              <w:spacing w:before="8"/>
              <w:rPr>
                <w:sz w:val="13"/>
              </w:rPr>
            </w:pPr>
          </w:p>
          <w:p>
            <w:pPr>
              <w:pStyle w:val="TableParagraph"/>
              <w:spacing w:line="247" w:lineRule="auto"/>
              <w:ind w:left="105" w:firstLine="127"/>
              <w:rPr>
                <w:b/>
                <w:sz w:val="13"/>
              </w:rPr>
            </w:pPr>
            <w:r>
              <w:rPr>
                <w:b/>
                <w:w w:val="105"/>
                <w:sz w:val="13"/>
              </w:rPr>
              <w:t>Doc. </w:t>
            </w:r>
            <w:r>
              <w:rPr>
                <w:b/>
                <w:sz w:val="13"/>
              </w:rPr>
              <w:t>Contable</w:t>
            </w:r>
          </w:p>
        </w:tc>
      </w:tr>
      <w:tr>
        <w:trPr>
          <w:trHeight w:val="489" w:hRule="atLeast"/>
        </w:trPr>
        <w:tc>
          <w:tcPr>
            <w:tcW w:w="1264" w:type="dxa"/>
          </w:tcPr>
          <w:p>
            <w:pPr>
              <w:pStyle w:val="TableParagraph"/>
              <w:spacing w:before="6"/>
              <w:rPr>
                <w:sz w:val="13"/>
              </w:rPr>
            </w:pPr>
          </w:p>
          <w:p>
            <w:pPr>
              <w:pStyle w:val="TableParagraph"/>
              <w:ind w:left="30" w:right="47"/>
              <w:jc w:val="center"/>
              <w:rPr>
                <w:sz w:val="13"/>
              </w:rPr>
            </w:pPr>
            <w:r>
              <w:rPr>
                <w:w w:val="105"/>
                <w:sz w:val="13"/>
              </w:rPr>
              <w:t>2022/F/0000000007</w:t>
            </w:r>
          </w:p>
        </w:tc>
        <w:tc>
          <w:tcPr>
            <w:tcW w:w="1116" w:type="dxa"/>
          </w:tcPr>
          <w:p>
            <w:pPr>
              <w:pStyle w:val="TableParagraph"/>
              <w:spacing w:before="6"/>
              <w:rPr>
                <w:sz w:val="13"/>
              </w:rPr>
            </w:pPr>
          </w:p>
          <w:p>
            <w:pPr>
              <w:pStyle w:val="TableParagraph"/>
              <w:ind w:left="57"/>
              <w:rPr>
                <w:sz w:val="13"/>
              </w:rPr>
            </w:pPr>
            <w:r>
              <w:rPr>
                <w:w w:val="105"/>
                <w:sz w:val="13"/>
              </w:rPr>
              <w:t>235296</w:t>
            </w:r>
          </w:p>
        </w:tc>
        <w:tc>
          <w:tcPr>
            <w:tcW w:w="1548" w:type="dxa"/>
          </w:tcPr>
          <w:p>
            <w:pPr>
              <w:pStyle w:val="TableParagraph"/>
              <w:tabs>
                <w:tab w:pos="843" w:val="left" w:leader="none"/>
                <w:tab w:pos="1207" w:val="left" w:leader="none"/>
              </w:tabs>
              <w:spacing w:line="247" w:lineRule="auto" w:before="2"/>
              <w:ind w:left="59" w:right="45"/>
              <w:rPr>
                <w:sz w:val="13"/>
              </w:rPr>
            </w:pPr>
            <w:r>
              <w:rPr>
                <w:w w:val="105"/>
                <w:sz w:val="13"/>
              </w:rPr>
              <w:t>Conservación variedades agrícolas</w:t>
              <w:tab/>
              <w:t>y</w:t>
              <w:tab/>
            </w:r>
            <w:r>
              <w:rPr>
                <w:spacing w:val="-5"/>
                <w:w w:val="105"/>
                <w:sz w:val="13"/>
              </w:rPr>
              <w:t>razas</w:t>
            </w:r>
          </w:p>
          <w:p>
            <w:pPr>
              <w:pStyle w:val="TableParagraph"/>
              <w:spacing w:line="139" w:lineRule="exact" w:before="1"/>
              <w:ind w:left="59"/>
              <w:rPr>
                <w:sz w:val="13"/>
              </w:rPr>
            </w:pPr>
            <w:r>
              <w:rPr>
                <w:w w:val="105"/>
                <w:sz w:val="13"/>
              </w:rPr>
              <w:t>ganaderas locales 2022</w:t>
            </w:r>
          </w:p>
        </w:tc>
        <w:tc>
          <w:tcPr>
            <w:tcW w:w="905" w:type="dxa"/>
          </w:tcPr>
          <w:p>
            <w:pPr>
              <w:pStyle w:val="TableParagraph"/>
              <w:spacing w:before="6"/>
              <w:rPr>
                <w:sz w:val="13"/>
              </w:rPr>
            </w:pPr>
          </w:p>
          <w:p>
            <w:pPr>
              <w:pStyle w:val="TableParagraph"/>
              <w:ind w:left="59"/>
              <w:rPr>
                <w:sz w:val="13"/>
              </w:rPr>
            </w:pPr>
            <w:r>
              <w:rPr>
                <w:w w:val="105"/>
                <w:sz w:val="13"/>
              </w:rPr>
              <w:t>500.000,00</w:t>
            </w:r>
          </w:p>
        </w:tc>
        <w:tc>
          <w:tcPr>
            <w:tcW w:w="757" w:type="dxa"/>
            <w:vMerge w:val="restart"/>
          </w:tcPr>
          <w:p>
            <w:pPr>
              <w:pStyle w:val="TableParagraph"/>
              <w:spacing w:before="11"/>
              <w:rPr>
                <w:sz w:val="20"/>
              </w:rPr>
            </w:pPr>
          </w:p>
          <w:p>
            <w:pPr>
              <w:pStyle w:val="TableParagraph"/>
              <w:spacing w:line="247" w:lineRule="auto" w:before="1"/>
              <w:ind w:left="59"/>
              <w:rPr>
                <w:sz w:val="13"/>
              </w:rPr>
            </w:pPr>
            <w:r>
              <w:rPr>
                <w:w w:val="105"/>
                <w:sz w:val="13"/>
              </w:rPr>
              <w:t>Mº De Agricultura, Pesca Y Alimenta</w:t>
            </w:r>
          </w:p>
        </w:tc>
        <w:tc>
          <w:tcPr>
            <w:tcW w:w="880" w:type="dxa"/>
            <w:vMerge w:val="restart"/>
          </w:tcPr>
          <w:p>
            <w:pPr>
              <w:pStyle w:val="TableParagraph"/>
              <w:rPr>
                <w:sz w:val="14"/>
              </w:rPr>
            </w:pPr>
          </w:p>
          <w:p>
            <w:pPr>
              <w:pStyle w:val="TableParagraph"/>
              <w:rPr>
                <w:sz w:val="14"/>
              </w:rPr>
            </w:pPr>
          </w:p>
          <w:p>
            <w:pPr>
              <w:pStyle w:val="TableParagraph"/>
              <w:spacing w:before="1"/>
              <w:rPr>
                <w:sz w:val="13"/>
              </w:rPr>
            </w:pPr>
          </w:p>
          <w:p>
            <w:pPr>
              <w:pStyle w:val="TableParagraph"/>
              <w:ind w:left="306"/>
              <w:rPr>
                <w:sz w:val="13"/>
              </w:rPr>
            </w:pPr>
            <w:r>
              <w:rPr>
                <w:w w:val="105"/>
                <w:sz w:val="13"/>
              </w:rPr>
              <w:t>2022</w:t>
            </w:r>
          </w:p>
        </w:tc>
        <w:tc>
          <w:tcPr>
            <w:tcW w:w="709" w:type="dxa"/>
            <w:vMerge w:val="restart"/>
          </w:tcPr>
          <w:p>
            <w:pPr>
              <w:pStyle w:val="TableParagraph"/>
              <w:rPr>
                <w:sz w:val="14"/>
              </w:rPr>
            </w:pPr>
          </w:p>
          <w:p>
            <w:pPr>
              <w:pStyle w:val="TableParagraph"/>
              <w:rPr>
                <w:sz w:val="14"/>
              </w:rPr>
            </w:pPr>
          </w:p>
          <w:p>
            <w:pPr>
              <w:pStyle w:val="TableParagraph"/>
              <w:spacing w:before="1"/>
              <w:rPr>
                <w:sz w:val="13"/>
              </w:rPr>
            </w:pPr>
          </w:p>
          <w:p>
            <w:pPr>
              <w:pStyle w:val="TableParagraph"/>
              <w:ind w:left="232"/>
              <w:rPr>
                <w:sz w:val="13"/>
              </w:rPr>
            </w:pPr>
            <w:r>
              <w:rPr>
                <w:w w:val="105"/>
                <w:sz w:val="13"/>
              </w:rPr>
              <w:t>ADO</w:t>
            </w:r>
          </w:p>
        </w:tc>
      </w:tr>
      <w:tr>
        <w:trPr>
          <w:trHeight w:val="326" w:hRule="atLeast"/>
        </w:trPr>
        <w:tc>
          <w:tcPr>
            <w:tcW w:w="1264" w:type="dxa"/>
          </w:tcPr>
          <w:p>
            <w:pPr>
              <w:pStyle w:val="TableParagraph"/>
              <w:spacing w:before="85"/>
              <w:ind w:left="30" w:right="115"/>
              <w:jc w:val="center"/>
              <w:rPr>
                <w:sz w:val="13"/>
              </w:rPr>
            </w:pPr>
            <w:r>
              <w:rPr>
                <w:w w:val="105"/>
                <w:sz w:val="13"/>
              </w:rPr>
              <w:t>2021/F/000000023</w:t>
            </w:r>
          </w:p>
        </w:tc>
        <w:tc>
          <w:tcPr>
            <w:tcW w:w="1116" w:type="dxa"/>
          </w:tcPr>
          <w:p>
            <w:pPr>
              <w:pStyle w:val="TableParagraph"/>
              <w:spacing w:before="85"/>
              <w:ind w:left="57"/>
              <w:rPr>
                <w:sz w:val="13"/>
              </w:rPr>
            </w:pPr>
            <w:r>
              <w:rPr>
                <w:w w:val="105"/>
                <w:sz w:val="13"/>
              </w:rPr>
              <w:t>456862</w:t>
            </w:r>
          </w:p>
        </w:tc>
        <w:tc>
          <w:tcPr>
            <w:tcW w:w="1548" w:type="dxa"/>
          </w:tcPr>
          <w:p>
            <w:pPr>
              <w:pStyle w:val="TableParagraph"/>
              <w:spacing w:before="2"/>
              <w:ind w:left="59"/>
              <w:rPr>
                <w:sz w:val="13"/>
              </w:rPr>
            </w:pPr>
            <w:r>
              <w:rPr>
                <w:w w:val="105"/>
                <w:sz w:val="13"/>
              </w:rPr>
              <w:t>Fomento de la Apicultura</w:t>
            </w:r>
          </w:p>
          <w:p>
            <w:pPr>
              <w:pStyle w:val="TableParagraph"/>
              <w:spacing w:line="141" w:lineRule="exact" w:before="4"/>
              <w:ind w:left="59"/>
              <w:rPr>
                <w:sz w:val="13"/>
              </w:rPr>
            </w:pPr>
            <w:r>
              <w:rPr>
                <w:w w:val="105"/>
                <w:sz w:val="13"/>
              </w:rPr>
              <w:t>2021</w:t>
            </w:r>
          </w:p>
        </w:tc>
        <w:tc>
          <w:tcPr>
            <w:tcW w:w="905" w:type="dxa"/>
          </w:tcPr>
          <w:p>
            <w:pPr>
              <w:pStyle w:val="TableParagraph"/>
              <w:spacing w:before="85"/>
              <w:ind w:left="59"/>
              <w:rPr>
                <w:sz w:val="13"/>
              </w:rPr>
            </w:pPr>
            <w:r>
              <w:rPr>
                <w:w w:val="105"/>
                <w:sz w:val="13"/>
              </w:rPr>
              <w:t>11.445,79</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1264" w:type="dxa"/>
          </w:tcPr>
          <w:p>
            <w:pPr>
              <w:pStyle w:val="TableParagraph"/>
              <w:spacing w:before="85"/>
              <w:ind w:left="30" w:right="115"/>
              <w:jc w:val="center"/>
              <w:rPr>
                <w:sz w:val="13"/>
              </w:rPr>
            </w:pPr>
            <w:r>
              <w:rPr>
                <w:w w:val="105"/>
                <w:sz w:val="13"/>
              </w:rPr>
              <w:t>2022/F/000000001</w:t>
            </w:r>
          </w:p>
        </w:tc>
        <w:tc>
          <w:tcPr>
            <w:tcW w:w="1116" w:type="dxa"/>
          </w:tcPr>
          <w:p>
            <w:pPr>
              <w:pStyle w:val="TableParagraph"/>
              <w:spacing w:before="85"/>
              <w:ind w:left="57"/>
              <w:rPr>
                <w:sz w:val="13"/>
              </w:rPr>
            </w:pPr>
            <w:r>
              <w:rPr>
                <w:w w:val="105"/>
                <w:sz w:val="13"/>
              </w:rPr>
              <w:t>329008</w:t>
            </w:r>
          </w:p>
        </w:tc>
        <w:tc>
          <w:tcPr>
            <w:tcW w:w="1548" w:type="dxa"/>
          </w:tcPr>
          <w:p>
            <w:pPr>
              <w:pStyle w:val="TableParagraph"/>
              <w:spacing w:before="2"/>
              <w:ind w:left="59"/>
              <w:rPr>
                <w:sz w:val="13"/>
              </w:rPr>
            </w:pPr>
            <w:r>
              <w:rPr>
                <w:w w:val="105"/>
                <w:sz w:val="13"/>
              </w:rPr>
              <w:t>Apoyo a la producción</w:t>
            </w:r>
          </w:p>
          <w:p>
            <w:pPr>
              <w:pStyle w:val="TableParagraph"/>
              <w:spacing w:line="141" w:lineRule="exact" w:before="4"/>
              <w:ind w:left="59"/>
              <w:rPr>
                <w:sz w:val="13"/>
              </w:rPr>
            </w:pPr>
            <w:r>
              <w:rPr>
                <w:w w:val="105"/>
                <w:sz w:val="13"/>
              </w:rPr>
              <w:t>agrícola POSEI 2022</w:t>
            </w:r>
          </w:p>
        </w:tc>
        <w:tc>
          <w:tcPr>
            <w:tcW w:w="905" w:type="dxa"/>
          </w:tcPr>
          <w:p>
            <w:pPr>
              <w:pStyle w:val="TableParagraph"/>
              <w:spacing w:before="85"/>
              <w:ind w:left="59"/>
              <w:rPr>
                <w:sz w:val="13"/>
              </w:rPr>
            </w:pPr>
            <w:r>
              <w:rPr>
                <w:w w:val="105"/>
                <w:sz w:val="13"/>
              </w:rPr>
              <w:t>5.974.132,02</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71" w:hRule="atLeast"/>
        </w:trPr>
        <w:tc>
          <w:tcPr>
            <w:tcW w:w="2380" w:type="dxa"/>
            <w:gridSpan w:val="2"/>
          </w:tcPr>
          <w:p>
            <w:pPr>
              <w:pStyle w:val="TableParagraph"/>
              <w:spacing w:line="160" w:lineRule="atLeast" w:before="23"/>
              <w:ind w:left="57"/>
              <w:rPr>
                <w:b/>
                <w:sz w:val="13"/>
              </w:rPr>
            </w:pPr>
            <w:r>
              <w:rPr>
                <w:b/>
                <w:w w:val="105"/>
                <w:sz w:val="13"/>
              </w:rPr>
              <w:t>C. Agricultura Ganadería Pesca Y S. Alimentaria.</w:t>
            </w:r>
          </w:p>
        </w:tc>
        <w:tc>
          <w:tcPr>
            <w:tcW w:w="1548" w:type="dxa"/>
          </w:tcPr>
          <w:p>
            <w:pPr>
              <w:pStyle w:val="TableParagraph"/>
              <w:rPr>
                <w:rFonts w:ascii="Times New Roman"/>
                <w:sz w:val="14"/>
              </w:rPr>
            </w:pPr>
          </w:p>
        </w:tc>
        <w:tc>
          <w:tcPr>
            <w:tcW w:w="905" w:type="dxa"/>
          </w:tcPr>
          <w:p>
            <w:pPr>
              <w:pStyle w:val="TableParagraph"/>
              <w:spacing w:before="107"/>
              <w:ind w:left="59"/>
              <w:rPr>
                <w:b/>
                <w:sz w:val="13"/>
              </w:rPr>
            </w:pPr>
            <w:r>
              <w:rPr>
                <w:b/>
                <w:w w:val="105"/>
                <w:sz w:val="13"/>
              </w:rPr>
              <w:t>6.485.577,81</w:t>
            </w:r>
          </w:p>
        </w:tc>
        <w:tc>
          <w:tcPr>
            <w:tcW w:w="757" w:type="dxa"/>
          </w:tcPr>
          <w:p>
            <w:pPr>
              <w:pStyle w:val="TableParagraph"/>
              <w:rPr>
                <w:rFonts w:ascii="Times New Roman"/>
                <w:sz w:val="14"/>
              </w:rPr>
            </w:pPr>
          </w:p>
        </w:tc>
        <w:tc>
          <w:tcPr>
            <w:tcW w:w="880" w:type="dxa"/>
          </w:tcPr>
          <w:p>
            <w:pPr>
              <w:pStyle w:val="TableParagraph"/>
              <w:rPr>
                <w:rFonts w:ascii="Times New Roman"/>
                <w:sz w:val="14"/>
              </w:rPr>
            </w:pPr>
          </w:p>
        </w:tc>
        <w:tc>
          <w:tcPr>
            <w:tcW w:w="709" w:type="dxa"/>
          </w:tcPr>
          <w:p>
            <w:pPr>
              <w:pStyle w:val="TableParagraph"/>
              <w:rPr>
                <w:rFonts w:ascii="Times New Roman"/>
                <w:sz w:val="14"/>
              </w:rPr>
            </w:pPr>
          </w:p>
        </w:tc>
      </w:tr>
      <w:tr>
        <w:trPr>
          <w:trHeight w:val="326" w:hRule="atLeast"/>
        </w:trPr>
        <w:tc>
          <w:tcPr>
            <w:tcW w:w="1264" w:type="dxa"/>
          </w:tcPr>
          <w:p>
            <w:pPr>
              <w:pStyle w:val="TableParagraph"/>
              <w:spacing w:before="85"/>
              <w:ind w:left="30" w:right="115"/>
              <w:jc w:val="center"/>
              <w:rPr>
                <w:sz w:val="13"/>
              </w:rPr>
            </w:pPr>
            <w:r>
              <w:rPr>
                <w:w w:val="105"/>
                <w:sz w:val="13"/>
              </w:rPr>
              <w:t>2021/F/000000078</w:t>
            </w:r>
          </w:p>
        </w:tc>
        <w:tc>
          <w:tcPr>
            <w:tcW w:w="1116" w:type="dxa"/>
          </w:tcPr>
          <w:p>
            <w:pPr>
              <w:pStyle w:val="TableParagraph"/>
              <w:spacing w:before="4"/>
              <w:ind w:left="57"/>
              <w:rPr>
                <w:sz w:val="13"/>
              </w:rPr>
            </w:pPr>
            <w:r>
              <w:rPr>
                <w:w w:val="105"/>
                <w:sz w:val="13"/>
              </w:rPr>
              <w:t>2301.232B.</w:t>
            </w:r>
          </w:p>
          <w:p>
            <w:pPr>
              <w:pStyle w:val="TableParagraph"/>
              <w:spacing w:line="139" w:lineRule="exact" w:before="4"/>
              <w:ind w:left="57"/>
              <w:rPr>
                <w:sz w:val="13"/>
              </w:rPr>
            </w:pPr>
            <w:r>
              <w:rPr>
                <w:w w:val="105"/>
                <w:sz w:val="13"/>
              </w:rPr>
              <w:t>70005007000016</w:t>
            </w:r>
          </w:p>
        </w:tc>
        <w:tc>
          <w:tcPr>
            <w:tcW w:w="1548" w:type="dxa"/>
          </w:tcPr>
          <w:p>
            <w:pPr>
              <w:pStyle w:val="TableParagraph"/>
              <w:spacing w:before="85"/>
              <w:ind w:left="59"/>
              <w:rPr>
                <w:sz w:val="13"/>
              </w:rPr>
            </w:pPr>
            <w:r>
              <w:rPr>
                <w:w w:val="105"/>
                <w:sz w:val="13"/>
              </w:rPr>
              <w:t>PEVG-2021</w:t>
            </w:r>
          </w:p>
        </w:tc>
        <w:tc>
          <w:tcPr>
            <w:tcW w:w="905" w:type="dxa"/>
          </w:tcPr>
          <w:p>
            <w:pPr>
              <w:pStyle w:val="TableParagraph"/>
              <w:spacing w:before="85"/>
              <w:ind w:left="59"/>
              <w:rPr>
                <w:sz w:val="13"/>
              </w:rPr>
            </w:pPr>
            <w:r>
              <w:rPr>
                <w:w w:val="105"/>
                <w:sz w:val="13"/>
              </w:rPr>
              <w:t>417.277,58</w:t>
            </w:r>
          </w:p>
        </w:tc>
        <w:tc>
          <w:tcPr>
            <w:tcW w:w="757" w:type="dxa"/>
            <w:vMerge w:val="restart"/>
          </w:tcPr>
          <w:p>
            <w:pPr>
              <w:pStyle w:val="TableParagraph"/>
              <w:spacing w:before="4"/>
              <w:rPr>
                <w:sz w:val="14"/>
              </w:rPr>
            </w:pPr>
          </w:p>
          <w:p>
            <w:pPr>
              <w:pStyle w:val="TableParagraph"/>
              <w:spacing w:line="247" w:lineRule="auto"/>
              <w:ind w:left="59" w:right="45"/>
              <w:rPr>
                <w:sz w:val="13"/>
              </w:rPr>
            </w:pPr>
            <w:r>
              <w:rPr>
                <w:w w:val="105"/>
                <w:sz w:val="13"/>
              </w:rPr>
              <w:t>Delegación Hacienda De Las Palmas</w:t>
            </w:r>
          </w:p>
        </w:tc>
        <w:tc>
          <w:tcPr>
            <w:tcW w:w="880" w:type="dxa"/>
            <w:vMerge w:val="restart"/>
          </w:tcPr>
          <w:p>
            <w:pPr>
              <w:pStyle w:val="TableParagraph"/>
              <w:rPr>
                <w:sz w:val="14"/>
              </w:rPr>
            </w:pPr>
          </w:p>
          <w:p>
            <w:pPr>
              <w:pStyle w:val="TableParagraph"/>
              <w:spacing w:before="6"/>
              <w:rPr>
                <w:sz w:val="20"/>
              </w:rPr>
            </w:pPr>
          </w:p>
          <w:p>
            <w:pPr>
              <w:pStyle w:val="TableParagraph"/>
              <w:ind w:left="306"/>
              <w:rPr>
                <w:sz w:val="13"/>
              </w:rPr>
            </w:pPr>
            <w:r>
              <w:rPr>
                <w:w w:val="105"/>
                <w:sz w:val="13"/>
              </w:rPr>
              <w:t>2023</w:t>
            </w:r>
          </w:p>
        </w:tc>
        <w:tc>
          <w:tcPr>
            <w:tcW w:w="709" w:type="dxa"/>
            <w:vMerge w:val="restart"/>
          </w:tcPr>
          <w:p>
            <w:pPr>
              <w:pStyle w:val="TableParagraph"/>
              <w:rPr>
                <w:sz w:val="14"/>
              </w:rPr>
            </w:pPr>
          </w:p>
          <w:p>
            <w:pPr>
              <w:pStyle w:val="TableParagraph"/>
              <w:spacing w:before="6"/>
              <w:rPr>
                <w:sz w:val="20"/>
              </w:rPr>
            </w:pPr>
          </w:p>
          <w:p>
            <w:pPr>
              <w:pStyle w:val="TableParagraph"/>
              <w:ind w:left="232"/>
              <w:rPr>
                <w:sz w:val="13"/>
              </w:rPr>
            </w:pPr>
            <w:r>
              <w:rPr>
                <w:w w:val="105"/>
                <w:sz w:val="13"/>
              </w:rPr>
              <w:t>ADO</w:t>
            </w:r>
          </w:p>
        </w:tc>
      </w:tr>
      <w:tr>
        <w:trPr>
          <w:trHeight w:val="326" w:hRule="atLeast"/>
        </w:trPr>
        <w:tc>
          <w:tcPr>
            <w:tcW w:w="1264" w:type="dxa"/>
          </w:tcPr>
          <w:p>
            <w:pPr>
              <w:pStyle w:val="TableParagraph"/>
              <w:spacing w:before="85"/>
              <w:ind w:left="30" w:right="115"/>
              <w:jc w:val="center"/>
              <w:rPr>
                <w:sz w:val="13"/>
              </w:rPr>
            </w:pPr>
            <w:r>
              <w:rPr>
                <w:w w:val="105"/>
                <w:sz w:val="13"/>
              </w:rPr>
              <w:t>2021/F/000000078</w:t>
            </w:r>
          </w:p>
        </w:tc>
        <w:tc>
          <w:tcPr>
            <w:tcW w:w="1116" w:type="dxa"/>
          </w:tcPr>
          <w:p>
            <w:pPr>
              <w:pStyle w:val="TableParagraph"/>
              <w:spacing w:before="2"/>
              <w:ind w:left="57"/>
              <w:rPr>
                <w:sz w:val="13"/>
              </w:rPr>
            </w:pPr>
            <w:r>
              <w:rPr>
                <w:w w:val="105"/>
                <w:sz w:val="13"/>
              </w:rPr>
              <w:t>2309.232A.</w:t>
            </w:r>
          </w:p>
          <w:p>
            <w:pPr>
              <w:pStyle w:val="TableParagraph"/>
              <w:spacing w:line="139" w:lineRule="exact" w:before="6"/>
              <w:ind w:left="57"/>
              <w:rPr>
                <w:sz w:val="13"/>
              </w:rPr>
            </w:pPr>
            <w:r>
              <w:rPr>
                <w:w w:val="105"/>
                <w:sz w:val="13"/>
              </w:rPr>
              <w:t>40005004000035</w:t>
            </w:r>
          </w:p>
        </w:tc>
        <w:tc>
          <w:tcPr>
            <w:tcW w:w="1548" w:type="dxa"/>
          </w:tcPr>
          <w:p>
            <w:pPr>
              <w:pStyle w:val="TableParagraph"/>
              <w:tabs>
                <w:tab w:pos="1196" w:val="left" w:leader="none"/>
              </w:tabs>
              <w:spacing w:before="2"/>
              <w:ind w:left="59"/>
              <w:rPr>
                <w:sz w:val="13"/>
              </w:rPr>
            </w:pPr>
            <w:r>
              <w:rPr>
                <w:w w:val="105"/>
                <w:sz w:val="13"/>
              </w:rPr>
              <w:t>PEVG-2021.</w:t>
              <w:tab/>
              <w:t>AREA</w:t>
            </w:r>
          </w:p>
          <w:p>
            <w:pPr>
              <w:pStyle w:val="TableParagraph"/>
              <w:spacing w:line="139" w:lineRule="exact" w:before="6"/>
              <w:ind w:left="59"/>
              <w:rPr>
                <w:sz w:val="13"/>
              </w:rPr>
            </w:pPr>
            <w:r>
              <w:rPr>
                <w:w w:val="105"/>
                <w:sz w:val="13"/>
              </w:rPr>
              <w:t>JUVENTUD</w:t>
            </w:r>
          </w:p>
        </w:tc>
        <w:tc>
          <w:tcPr>
            <w:tcW w:w="905" w:type="dxa"/>
          </w:tcPr>
          <w:p>
            <w:pPr>
              <w:pStyle w:val="TableParagraph"/>
              <w:spacing w:before="85"/>
              <w:ind w:left="59"/>
              <w:rPr>
                <w:sz w:val="13"/>
              </w:rPr>
            </w:pPr>
            <w:r>
              <w:rPr>
                <w:w w:val="105"/>
                <w:sz w:val="13"/>
              </w:rPr>
              <w:t>120.779,93</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1264" w:type="dxa"/>
          </w:tcPr>
          <w:p>
            <w:pPr>
              <w:pStyle w:val="TableParagraph"/>
              <w:spacing w:before="85"/>
              <w:ind w:left="30" w:right="115"/>
              <w:jc w:val="center"/>
              <w:rPr>
                <w:sz w:val="13"/>
              </w:rPr>
            </w:pPr>
            <w:r>
              <w:rPr>
                <w:w w:val="105"/>
                <w:sz w:val="13"/>
              </w:rPr>
              <w:t>2021/F/000000078</w:t>
            </w:r>
          </w:p>
        </w:tc>
        <w:tc>
          <w:tcPr>
            <w:tcW w:w="1116" w:type="dxa"/>
          </w:tcPr>
          <w:p>
            <w:pPr>
              <w:pStyle w:val="TableParagraph"/>
              <w:spacing w:before="2"/>
              <w:ind w:left="57"/>
              <w:rPr>
                <w:sz w:val="13"/>
              </w:rPr>
            </w:pPr>
            <w:r>
              <w:rPr>
                <w:w w:val="105"/>
                <w:sz w:val="13"/>
              </w:rPr>
              <w:t>2317.231H.</w:t>
            </w:r>
          </w:p>
          <w:p>
            <w:pPr>
              <w:pStyle w:val="TableParagraph"/>
              <w:spacing w:line="139" w:lineRule="exact" w:before="6"/>
              <w:ind w:left="57"/>
              <w:rPr>
                <w:sz w:val="13"/>
              </w:rPr>
            </w:pPr>
            <w:r>
              <w:rPr>
                <w:w w:val="105"/>
                <w:sz w:val="13"/>
              </w:rPr>
              <w:t>40005004000035</w:t>
            </w:r>
          </w:p>
        </w:tc>
        <w:tc>
          <w:tcPr>
            <w:tcW w:w="1548" w:type="dxa"/>
          </w:tcPr>
          <w:p>
            <w:pPr>
              <w:pStyle w:val="TableParagraph"/>
              <w:tabs>
                <w:tab w:pos="1196" w:val="left" w:leader="none"/>
              </w:tabs>
              <w:spacing w:before="2"/>
              <w:ind w:left="59"/>
              <w:rPr>
                <w:sz w:val="13"/>
              </w:rPr>
            </w:pPr>
            <w:r>
              <w:rPr>
                <w:w w:val="105"/>
                <w:sz w:val="13"/>
              </w:rPr>
              <w:t>PEVG-2021.</w:t>
              <w:tab/>
              <w:t>AREA</w:t>
            </w:r>
          </w:p>
          <w:p>
            <w:pPr>
              <w:pStyle w:val="TableParagraph"/>
              <w:spacing w:line="139" w:lineRule="exact" w:before="6"/>
              <w:ind w:left="59"/>
              <w:rPr>
                <w:sz w:val="13"/>
              </w:rPr>
            </w:pPr>
            <w:r>
              <w:rPr>
                <w:w w:val="105"/>
                <w:sz w:val="13"/>
              </w:rPr>
              <w:t>INFANCIA</w:t>
            </w:r>
          </w:p>
        </w:tc>
        <w:tc>
          <w:tcPr>
            <w:tcW w:w="905" w:type="dxa"/>
          </w:tcPr>
          <w:p>
            <w:pPr>
              <w:pStyle w:val="TableParagraph"/>
              <w:spacing w:before="85"/>
              <w:ind w:left="59"/>
              <w:rPr>
                <w:sz w:val="13"/>
              </w:rPr>
            </w:pPr>
            <w:r>
              <w:rPr>
                <w:w w:val="105"/>
                <w:sz w:val="13"/>
              </w:rPr>
              <w:t>31.453,80</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bl>
    <w:p>
      <w:pPr>
        <w:pStyle w:val="BodyText"/>
        <w:spacing w:before="61"/>
        <w:ind w:left="7897"/>
        <w:jc w:val="center"/>
      </w:pPr>
      <w:r>
        <w:rPr/>
        <w:t>56</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23" name="image5.png"/>
                  <wp:cNvGraphicFramePr>
                    <a:graphicFrameLocks noChangeAspect="1"/>
                  </wp:cNvGraphicFramePr>
                  <a:graphic>
                    <a:graphicData uri="http://schemas.openxmlformats.org/drawingml/2006/picture">
                      <pic:pic>
                        <pic:nvPicPr>
                          <pic:cNvPr id="12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58/247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2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4"/>
        <w:gridCol w:w="1116"/>
        <w:gridCol w:w="1548"/>
        <w:gridCol w:w="905"/>
        <w:gridCol w:w="757"/>
        <w:gridCol w:w="880"/>
        <w:gridCol w:w="709"/>
      </w:tblGrid>
      <w:tr>
        <w:trPr>
          <w:trHeight w:val="654" w:hRule="atLeast"/>
        </w:trPr>
        <w:tc>
          <w:tcPr>
            <w:tcW w:w="1264" w:type="dxa"/>
            <w:shd w:val="clear" w:color="auto" w:fill="DEEAF6"/>
          </w:tcPr>
          <w:p>
            <w:pPr>
              <w:pStyle w:val="TableParagraph"/>
              <w:spacing w:line="247" w:lineRule="auto" w:before="85"/>
              <w:ind w:left="293" w:right="283" w:hanging="4"/>
              <w:jc w:val="center"/>
              <w:rPr>
                <w:b/>
                <w:sz w:val="13"/>
              </w:rPr>
            </w:pPr>
            <w:r>
              <w:rPr>
                <w:b/>
                <w:w w:val="105"/>
                <w:sz w:val="13"/>
              </w:rPr>
              <w:t>Proyecto de </w:t>
            </w:r>
            <w:r>
              <w:rPr>
                <w:b/>
                <w:sz w:val="13"/>
              </w:rPr>
              <w:t>financiación </w:t>
            </w:r>
            <w:r>
              <w:rPr>
                <w:b/>
                <w:w w:val="105"/>
                <w:sz w:val="13"/>
              </w:rPr>
              <w:t>afectada</w:t>
            </w:r>
          </w:p>
        </w:tc>
        <w:tc>
          <w:tcPr>
            <w:tcW w:w="1116" w:type="dxa"/>
            <w:shd w:val="clear" w:color="auto" w:fill="DEEAF6"/>
          </w:tcPr>
          <w:p>
            <w:pPr>
              <w:pStyle w:val="TableParagraph"/>
              <w:spacing w:before="3"/>
              <w:rPr>
                <w:b/>
                <w:sz w:val="20"/>
              </w:rPr>
            </w:pPr>
          </w:p>
          <w:p>
            <w:pPr>
              <w:pStyle w:val="TableParagraph"/>
              <w:spacing w:before="1"/>
              <w:ind w:left="85"/>
              <w:rPr>
                <w:b/>
                <w:sz w:val="13"/>
              </w:rPr>
            </w:pPr>
            <w:r>
              <w:rPr>
                <w:b/>
                <w:w w:val="105"/>
                <w:sz w:val="13"/>
              </w:rPr>
              <w:t>Código de gastos</w:t>
            </w:r>
          </w:p>
        </w:tc>
        <w:tc>
          <w:tcPr>
            <w:tcW w:w="1548" w:type="dxa"/>
            <w:shd w:val="clear" w:color="auto" w:fill="DEEAF6"/>
          </w:tcPr>
          <w:p>
            <w:pPr>
              <w:pStyle w:val="TableParagraph"/>
              <w:spacing w:before="3"/>
              <w:rPr>
                <w:b/>
                <w:sz w:val="20"/>
              </w:rPr>
            </w:pPr>
          </w:p>
          <w:p>
            <w:pPr>
              <w:pStyle w:val="TableParagraph"/>
              <w:spacing w:before="1"/>
              <w:ind w:left="450"/>
              <w:rPr>
                <w:b/>
                <w:sz w:val="13"/>
              </w:rPr>
            </w:pPr>
            <w:r>
              <w:rPr>
                <w:b/>
                <w:w w:val="105"/>
                <w:sz w:val="13"/>
              </w:rPr>
              <w:t>Descripción</w:t>
            </w:r>
          </w:p>
        </w:tc>
        <w:tc>
          <w:tcPr>
            <w:tcW w:w="905" w:type="dxa"/>
            <w:shd w:val="clear" w:color="auto" w:fill="DEEAF6"/>
          </w:tcPr>
          <w:p>
            <w:pPr>
              <w:pStyle w:val="TableParagraph"/>
              <w:spacing w:before="8"/>
              <w:rPr>
                <w:b/>
                <w:sz w:val="13"/>
              </w:rPr>
            </w:pPr>
          </w:p>
          <w:p>
            <w:pPr>
              <w:pStyle w:val="TableParagraph"/>
              <w:spacing w:line="247" w:lineRule="auto"/>
              <w:ind w:left="263" w:hanging="138"/>
              <w:rPr>
                <w:b/>
                <w:sz w:val="13"/>
              </w:rPr>
            </w:pPr>
            <w:r>
              <w:rPr>
                <w:b/>
                <w:w w:val="105"/>
                <w:sz w:val="13"/>
              </w:rPr>
              <w:t>Importe del exceso</w:t>
            </w:r>
          </w:p>
        </w:tc>
        <w:tc>
          <w:tcPr>
            <w:tcW w:w="757" w:type="dxa"/>
            <w:shd w:val="clear" w:color="auto" w:fill="DEEAF6"/>
          </w:tcPr>
          <w:p>
            <w:pPr>
              <w:pStyle w:val="TableParagraph"/>
              <w:spacing w:before="8"/>
              <w:rPr>
                <w:b/>
                <w:sz w:val="13"/>
              </w:rPr>
            </w:pPr>
          </w:p>
          <w:p>
            <w:pPr>
              <w:pStyle w:val="TableParagraph"/>
              <w:spacing w:line="247" w:lineRule="auto"/>
              <w:ind w:left="98" w:firstLine="66"/>
              <w:rPr>
                <w:b/>
                <w:sz w:val="13"/>
              </w:rPr>
            </w:pPr>
            <w:r>
              <w:rPr>
                <w:b/>
                <w:w w:val="105"/>
                <w:sz w:val="13"/>
              </w:rPr>
              <w:t>Entidad </w:t>
            </w:r>
            <w:r>
              <w:rPr>
                <w:b/>
                <w:sz w:val="13"/>
              </w:rPr>
              <w:t>acreedora</w:t>
            </w:r>
          </w:p>
        </w:tc>
        <w:tc>
          <w:tcPr>
            <w:tcW w:w="880" w:type="dxa"/>
            <w:shd w:val="clear" w:color="auto" w:fill="DEEAF6"/>
          </w:tcPr>
          <w:p>
            <w:pPr>
              <w:pStyle w:val="TableParagraph"/>
              <w:spacing w:line="247" w:lineRule="auto" w:before="2"/>
              <w:ind w:left="110" w:right="94" w:hanging="3"/>
              <w:jc w:val="center"/>
              <w:rPr>
                <w:b/>
                <w:sz w:val="13"/>
              </w:rPr>
            </w:pPr>
            <w:r>
              <w:rPr>
                <w:b/>
                <w:w w:val="105"/>
                <w:sz w:val="13"/>
              </w:rPr>
              <w:t>Ejercicio </w:t>
            </w:r>
            <w:r>
              <w:rPr>
                <w:b/>
                <w:spacing w:val="-1"/>
                <w:w w:val="105"/>
                <w:sz w:val="13"/>
              </w:rPr>
              <w:t>presupuest. </w:t>
            </w:r>
            <w:r>
              <w:rPr>
                <w:b/>
                <w:w w:val="105"/>
                <w:sz w:val="13"/>
              </w:rPr>
              <w:t>de la</w:t>
            </w:r>
          </w:p>
          <w:p>
            <w:pPr>
              <w:pStyle w:val="TableParagraph"/>
              <w:spacing w:line="141" w:lineRule="exact" w:before="1"/>
              <w:ind w:left="111" w:right="95"/>
              <w:jc w:val="center"/>
              <w:rPr>
                <w:b/>
                <w:sz w:val="13"/>
              </w:rPr>
            </w:pPr>
            <w:r>
              <w:rPr>
                <w:b/>
                <w:w w:val="105"/>
                <w:sz w:val="13"/>
              </w:rPr>
              <w:t>devolución</w:t>
            </w:r>
          </w:p>
        </w:tc>
        <w:tc>
          <w:tcPr>
            <w:tcW w:w="709" w:type="dxa"/>
            <w:shd w:val="clear" w:color="auto" w:fill="DEEAF6"/>
          </w:tcPr>
          <w:p>
            <w:pPr>
              <w:pStyle w:val="TableParagraph"/>
              <w:spacing w:before="8"/>
              <w:rPr>
                <w:b/>
                <w:sz w:val="13"/>
              </w:rPr>
            </w:pPr>
          </w:p>
          <w:p>
            <w:pPr>
              <w:pStyle w:val="TableParagraph"/>
              <w:spacing w:line="247" w:lineRule="auto"/>
              <w:ind w:left="105" w:firstLine="127"/>
              <w:rPr>
                <w:b/>
                <w:sz w:val="13"/>
              </w:rPr>
            </w:pPr>
            <w:r>
              <w:rPr>
                <w:b/>
                <w:w w:val="105"/>
                <w:sz w:val="13"/>
              </w:rPr>
              <w:t>Doc. </w:t>
            </w:r>
            <w:r>
              <w:rPr>
                <w:b/>
                <w:sz w:val="13"/>
              </w:rPr>
              <w:t>Contable</w:t>
            </w:r>
          </w:p>
        </w:tc>
      </w:tr>
      <w:tr>
        <w:trPr>
          <w:trHeight w:val="326" w:hRule="atLeast"/>
        </w:trPr>
        <w:tc>
          <w:tcPr>
            <w:tcW w:w="1264" w:type="dxa"/>
          </w:tcPr>
          <w:p>
            <w:pPr>
              <w:pStyle w:val="TableParagraph"/>
              <w:spacing w:before="85"/>
              <w:ind w:left="57"/>
              <w:rPr>
                <w:sz w:val="13"/>
              </w:rPr>
            </w:pPr>
            <w:r>
              <w:rPr>
                <w:w w:val="105"/>
                <w:sz w:val="13"/>
              </w:rPr>
              <w:t>2021/F/000000078</w:t>
            </w:r>
          </w:p>
        </w:tc>
        <w:tc>
          <w:tcPr>
            <w:tcW w:w="1116" w:type="dxa"/>
          </w:tcPr>
          <w:p>
            <w:pPr>
              <w:pStyle w:val="TableParagraph"/>
              <w:spacing w:before="2"/>
              <w:ind w:left="57"/>
              <w:rPr>
                <w:sz w:val="13"/>
              </w:rPr>
            </w:pPr>
            <w:r>
              <w:rPr>
                <w:w w:val="105"/>
                <w:sz w:val="13"/>
              </w:rPr>
              <w:t>2317.231H.</w:t>
            </w:r>
          </w:p>
          <w:p>
            <w:pPr>
              <w:pStyle w:val="TableParagraph"/>
              <w:spacing w:line="141" w:lineRule="exact" w:before="4"/>
              <w:ind w:left="57"/>
              <w:rPr>
                <w:sz w:val="13"/>
              </w:rPr>
            </w:pPr>
            <w:r>
              <w:rPr>
                <w:w w:val="105"/>
                <w:sz w:val="13"/>
              </w:rPr>
              <w:t>40005004000035</w:t>
            </w:r>
          </w:p>
        </w:tc>
        <w:tc>
          <w:tcPr>
            <w:tcW w:w="1548" w:type="dxa"/>
          </w:tcPr>
          <w:p>
            <w:pPr>
              <w:pStyle w:val="TableParagraph"/>
              <w:tabs>
                <w:tab w:pos="1196" w:val="left" w:leader="none"/>
              </w:tabs>
              <w:spacing w:before="2"/>
              <w:ind w:left="59"/>
              <w:rPr>
                <w:sz w:val="13"/>
              </w:rPr>
            </w:pPr>
            <w:r>
              <w:rPr>
                <w:w w:val="105"/>
                <w:sz w:val="13"/>
              </w:rPr>
              <w:t>PEVG-2021.</w:t>
              <w:tab/>
              <w:t>AREA</w:t>
            </w:r>
          </w:p>
          <w:p>
            <w:pPr>
              <w:pStyle w:val="TableParagraph"/>
              <w:spacing w:line="141" w:lineRule="exact" w:before="4"/>
              <w:ind w:left="59"/>
              <w:rPr>
                <w:sz w:val="13"/>
              </w:rPr>
            </w:pPr>
            <w:r>
              <w:rPr>
                <w:w w:val="105"/>
                <w:sz w:val="13"/>
              </w:rPr>
              <w:t>MEDIDAS JUDICIALES</w:t>
            </w:r>
          </w:p>
        </w:tc>
        <w:tc>
          <w:tcPr>
            <w:tcW w:w="905" w:type="dxa"/>
          </w:tcPr>
          <w:p>
            <w:pPr>
              <w:pStyle w:val="TableParagraph"/>
              <w:spacing w:before="85"/>
              <w:ind w:left="59"/>
              <w:rPr>
                <w:sz w:val="13"/>
              </w:rPr>
            </w:pPr>
            <w:r>
              <w:rPr>
                <w:w w:val="105"/>
                <w:sz w:val="13"/>
              </w:rPr>
              <w:t>19.900,00</w:t>
            </w:r>
          </w:p>
        </w:tc>
        <w:tc>
          <w:tcPr>
            <w:tcW w:w="757" w:type="dxa"/>
            <w:vMerge w:val="restart"/>
          </w:tcPr>
          <w:p>
            <w:pPr>
              <w:pStyle w:val="TableParagraph"/>
              <w:rPr>
                <w:rFonts w:ascii="Times New Roman"/>
                <w:sz w:val="12"/>
              </w:rPr>
            </w:pPr>
          </w:p>
        </w:tc>
        <w:tc>
          <w:tcPr>
            <w:tcW w:w="880" w:type="dxa"/>
            <w:vMerge w:val="restart"/>
          </w:tcPr>
          <w:p>
            <w:pPr>
              <w:pStyle w:val="TableParagraph"/>
              <w:rPr>
                <w:rFonts w:ascii="Times New Roman"/>
                <w:sz w:val="12"/>
              </w:rPr>
            </w:pPr>
          </w:p>
        </w:tc>
        <w:tc>
          <w:tcPr>
            <w:tcW w:w="709" w:type="dxa"/>
            <w:vMerge w:val="restart"/>
          </w:tcPr>
          <w:p>
            <w:pPr>
              <w:pStyle w:val="TableParagraph"/>
              <w:rPr>
                <w:rFonts w:ascii="Times New Roman"/>
                <w:sz w:val="12"/>
              </w:rPr>
            </w:pPr>
          </w:p>
        </w:tc>
      </w:tr>
      <w:tr>
        <w:trPr>
          <w:trHeight w:val="326" w:hRule="atLeast"/>
        </w:trPr>
        <w:tc>
          <w:tcPr>
            <w:tcW w:w="1264" w:type="dxa"/>
          </w:tcPr>
          <w:p>
            <w:pPr>
              <w:pStyle w:val="TableParagraph"/>
              <w:spacing w:before="82"/>
              <w:ind w:left="57"/>
              <w:rPr>
                <w:sz w:val="13"/>
              </w:rPr>
            </w:pPr>
            <w:r>
              <w:rPr>
                <w:w w:val="105"/>
                <w:sz w:val="13"/>
              </w:rPr>
              <w:t>2021/F/000000008</w:t>
            </w:r>
          </w:p>
        </w:tc>
        <w:tc>
          <w:tcPr>
            <w:tcW w:w="1116" w:type="dxa"/>
          </w:tcPr>
          <w:p>
            <w:pPr>
              <w:pStyle w:val="TableParagraph"/>
              <w:spacing w:before="2"/>
              <w:ind w:left="57"/>
              <w:rPr>
                <w:sz w:val="13"/>
              </w:rPr>
            </w:pPr>
            <w:r>
              <w:rPr>
                <w:w w:val="105"/>
                <w:sz w:val="13"/>
              </w:rPr>
              <w:t>2317.231B.</w:t>
            </w:r>
          </w:p>
          <w:p>
            <w:pPr>
              <w:pStyle w:val="TableParagraph"/>
              <w:spacing w:line="141" w:lineRule="exact" w:before="4"/>
              <w:ind w:left="57"/>
              <w:rPr>
                <w:sz w:val="13"/>
              </w:rPr>
            </w:pPr>
            <w:r>
              <w:rPr>
                <w:w w:val="105"/>
                <w:sz w:val="13"/>
              </w:rPr>
              <w:t>40005004023031</w:t>
            </w:r>
          </w:p>
        </w:tc>
        <w:tc>
          <w:tcPr>
            <w:tcW w:w="1548" w:type="dxa"/>
          </w:tcPr>
          <w:p>
            <w:pPr>
              <w:pStyle w:val="TableParagraph"/>
              <w:spacing w:before="2"/>
              <w:ind w:left="59"/>
              <w:rPr>
                <w:sz w:val="13"/>
              </w:rPr>
            </w:pPr>
            <w:r>
              <w:rPr>
                <w:w w:val="105"/>
                <w:sz w:val="13"/>
              </w:rPr>
              <w:t>0,7% IRPF 2021 DCHOS.</w:t>
            </w:r>
          </w:p>
          <w:p>
            <w:pPr>
              <w:pStyle w:val="TableParagraph"/>
              <w:spacing w:line="141" w:lineRule="exact" w:before="4"/>
              <w:ind w:left="59"/>
              <w:rPr>
                <w:sz w:val="13"/>
              </w:rPr>
            </w:pPr>
            <w:r>
              <w:rPr>
                <w:w w:val="105"/>
                <w:sz w:val="13"/>
              </w:rPr>
              <w:t>SOCIALES</w:t>
            </w:r>
          </w:p>
        </w:tc>
        <w:tc>
          <w:tcPr>
            <w:tcW w:w="905" w:type="dxa"/>
          </w:tcPr>
          <w:p>
            <w:pPr>
              <w:pStyle w:val="TableParagraph"/>
              <w:spacing w:before="82"/>
              <w:ind w:left="59"/>
              <w:rPr>
                <w:sz w:val="13"/>
              </w:rPr>
            </w:pPr>
            <w:r>
              <w:rPr>
                <w:w w:val="105"/>
                <w:sz w:val="13"/>
              </w:rPr>
              <w:t>154.197,90</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4" w:hRule="atLeast"/>
        </w:trPr>
        <w:tc>
          <w:tcPr>
            <w:tcW w:w="1264" w:type="dxa"/>
          </w:tcPr>
          <w:p>
            <w:pPr>
              <w:pStyle w:val="TableParagraph"/>
              <w:spacing w:before="82"/>
              <w:ind w:left="57"/>
              <w:rPr>
                <w:sz w:val="13"/>
              </w:rPr>
            </w:pPr>
            <w:r>
              <w:rPr>
                <w:w w:val="105"/>
                <w:sz w:val="13"/>
              </w:rPr>
              <w:t>2021/F/000000008</w:t>
            </w:r>
          </w:p>
        </w:tc>
        <w:tc>
          <w:tcPr>
            <w:tcW w:w="1116" w:type="dxa"/>
          </w:tcPr>
          <w:p>
            <w:pPr>
              <w:pStyle w:val="TableParagraph"/>
              <w:spacing w:before="2"/>
              <w:ind w:left="57"/>
              <w:rPr>
                <w:sz w:val="13"/>
              </w:rPr>
            </w:pPr>
            <w:r>
              <w:rPr>
                <w:w w:val="105"/>
                <w:sz w:val="13"/>
              </w:rPr>
              <w:t>2317.231H.</w:t>
            </w:r>
          </w:p>
          <w:p>
            <w:pPr>
              <w:pStyle w:val="TableParagraph"/>
              <w:spacing w:line="139" w:lineRule="exact" w:before="4"/>
              <w:ind w:left="57"/>
              <w:rPr>
                <w:sz w:val="13"/>
              </w:rPr>
            </w:pPr>
            <w:r>
              <w:rPr>
                <w:w w:val="105"/>
                <w:sz w:val="13"/>
              </w:rPr>
              <w:t>40005004023031</w:t>
            </w:r>
          </w:p>
        </w:tc>
        <w:tc>
          <w:tcPr>
            <w:tcW w:w="1548" w:type="dxa"/>
          </w:tcPr>
          <w:p>
            <w:pPr>
              <w:pStyle w:val="TableParagraph"/>
              <w:spacing w:before="2"/>
              <w:ind w:left="59"/>
              <w:rPr>
                <w:sz w:val="13"/>
              </w:rPr>
            </w:pPr>
            <w:r>
              <w:rPr>
                <w:w w:val="105"/>
                <w:sz w:val="13"/>
              </w:rPr>
              <w:t>0,7% IRPF 2021 AREA</w:t>
            </w:r>
          </w:p>
          <w:p>
            <w:pPr>
              <w:pStyle w:val="TableParagraph"/>
              <w:spacing w:line="139" w:lineRule="exact" w:before="4"/>
              <w:ind w:left="59"/>
              <w:rPr>
                <w:sz w:val="13"/>
              </w:rPr>
            </w:pPr>
            <w:r>
              <w:rPr>
                <w:w w:val="105"/>
                <w:sz w:val="13"/>
              </w:rPr>
              <w:t>INFANC</w:t>
            </w:r>
          </w:p>
        </w:tc>
        <w:tc>
          <w:tcPr>
            <w:tcW w:w="905" w:type="dxa"/>
          </w:tcPr>
          <w:p>
            <w:pPr>
              <w:pStyle w:val="TableParagraph"/>
              <w:spacing w:before="82"/>
              <w:ind w:left="59"/>
              <w:rPr>
                <w:sz w:val="13"/>
              </w:rPr>
            </w:pPr>
            <w:r>
              <w:rPr>
                <w:w w:val="105"/>
                <w:sz w:val="13"/>
              </w:rPr>
              <w:t>67.515,90</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1264" w:type="dxa"/>
          </w:tcPr>
          <w:p>
            <w:pPr>
              <w:pStyle w:val="TableParagraph"/>
              <w:spacing w:before="85"/>
              <w:ind w:left="57"/>
              <w:rPr>
                <w:sz w:val="13"/>
              </w:rPr>
            </w:pPr>
            <w:r>
              <w:rPr>
                <w:w w:val="105"/>
                <w:sz w:val="13"/>
              </w:rPr>
              <w:t>2021/F/000000008</w:t>
            </w:r>
          </w:p>
        </w:tc>
        <w:tc>
          <w:tcPr>
            <w:tcW w:w="1116" w:type="dxa"/>
          </w:tcPr>
          <w:p>
            <w:pPr>
              <w:pStyle w:val="TableParagraph"/>
              <w:spacing w:before="4"/>
              <w:ind w:left="57"/>
              <w:rPr>
                <w:sz w:val="13"/>
              </w:rPr>
            </w:pPr>
            <w:r>
              <w:rPr>
                <w:w w:val="105"/>
                <w:sz w:val="13"/>
              </w:rPr>
              <w:t>2319.232C.</w:t>
            </w:r>
          </w:p>
          <w:p>
            <w:pPr>
              <w:pStyle w:val="TableParagraph"/>
              <w:spacing w:line="139" w:lineRule="exact" w:before="4"/>
              <w:ind w:left="57"/>
              <w:rPr>
                <w:sz w:val="13"/>
              </w:rPr>
            </w:pPr>
            <w:r>
              <w:rPr>
                <w:w w:val="105"/>
                <w:sz w:val="13"/>
              </w:rPr>
              <w:t>40005004023031</w:t>
            </w:r>
          </w:p>
        </w:tc>
        <w:tc>
          <w:tcPr>
            <w:tcW w:w="1548" w:type="dxa"/>
          </w:tcPr>
          <w:p>
            <w:pPr>
              <w:pStyle w:val="TableParagraph"/>
              <w:spacing w:before="4"/>
              <w:ind w:left="59"/>
              <w:rPr>
                <w:sz w:val="13"/>
              </w:rPr>
            </w:pPr>
            <w:r>
              <w:rPr>
                <w:w w:val="105"/>
                <w:sz w:val="13"/>
              </w:rPr>
              <w:t>0,7% IRPF 2021 AREA</w:t>
            </w:r>
          </w:p>
          <w:p>
            <w:pPr>
              <w:pStyle w:val="TableParagraph"/>
              <w:spacing w:line="139" w:lineRule="exact" w:before="4"/>
              <w:ind w:left="59"/>
              <w:rPr>
                <w:sz w:val="13"/>
              </w:rPr>
            </w:pPr>
            <w:r>
              <w:rPr>
                <w:w w:val="105"/>
                <w:sz w:val="13"/>
              </w:rPr>
              <w:t>DIVERS</w:t>
            </w:r>
          </w:p>
        </w:tc>
        <w:tc>
          <w:tcPr>
            <w:tcW w:w="905" w:type="dxa"/>
          </w:tcPr>
          <w:p>
            <w:pPr>
              <w:pStyle w:val="TableParagraph"/>
              <w:spacing w:before="85"/>
              <w:ind w:left="59"/>
              <w:rPr>
                <w:sz w:val="13"/>
              </w:rPr>
            </w:pPr>
            <w:r>
              <w:rPr>
                <w:w w:val="105"/>
                <w:sz w:val="13"/>
              </w:rPr>
              <w:t>23.783,03</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1264" w:type="dxa"/>
          </w:tcPr>
          <w:p>
            <w:pPr>
              <w:pStyle w:val="TableParagraph"/>
              <w:spacing w:before="85"/>
              <w:ind w:left="57"/>
              <w:rPr>
                <w:sz w:val="13"/>
              </w:rPr>
            </w:pPr>
            <w:r>
              <w:rPr>
                <w:w w:val="105"/>
                <w:sz w:val="13"/>
              </w:rPr>
              <w:t>2021/F/000000012</w:t>
            </w:r>
          </w:p>
        </w:tc>
        <w:tc>
          <w:tcPr>
            <w:tcW w:w="1116" w:type="dxa"/>
          </w:tcPr>
          <w:p>
            <w:pPr>
              <w:pStyle w:val="TableParagraph"/>
              <w:spacing w:before="4"/>
              <w:ind w:left="57"/>
              <w:rPr>
                <w:sz w:val="13"/>
              </w:rPr>
            </w:pPr>
            <w:r>
              <w:rPr>
                <w:w w:val="105"/>
                <w:sz w:val="13"/>
              </w:rPr>
              <w:t>2318.912A.</w:t>
            </w:r>
          </w:p>
          <w:p>
            <w:pPr>
              <w:pStyle w:val="TableParagraph"/>
              <w:spacing w:line="139" w:lineRule="exact" w:before="4"/>
              <w:ind w:left="57"/>
              <w:rPr>
                <w:sz w:val="13"/>
              </w:rPr>
            </w:pPr>
            <w:r>
              <w:rPr>
                <w:w w:val="105"/>
                <w:sz w:val="13"/>
              </w:rPr>
              <w:t>40005004023037</w:t>
            </w:r>
          </w:p>
        </w:tc>
        <w:tc>
          <w:tcPr>
            <w:tcW w:w="1548" w:type="dxa"/>
          </w:tcPr>
          <w:p>
            <w:pPr>
              <w:pStyle w:val="TableParagraph"/>
              <w:spacing w:before="4"/>
              <w:ind w:left="59"/>
              <w:rPr>
                <w:sz w:val="13"/>
              </w:rPr>
            </w:pPr>
            <w:r>
              <w:rPr>
                <w:w w:val="105"/>
                <w:sz w:val="13"/>
              </w:rPr>
              <w:t>PLAN CORRESPONSABLES</w:t>
            </w:r>
          </w:p>
          <w:p>
            <w:pPr>
              <w:pStyle w:val="TableParagraph"/>
              <w:spacing w:line="139" w:lineRule="exact" w:before="4"/>
              <w:ind w:left="59"/>
              <w:rPr>
                <w:sz w:val="13"/>
              </w:rPr>
            </w:pPr>
            <w:r>
              <w:rPr>
                <w:w w:val="105"/>
                <w:sz w:val="13"/>
              </w:rPr>
              <w:t>2021</w:t>
            </w:r>
          </w:p>
        </w:tc>
        <w:tc>
          <w:tcPr>
            <w:tcW w:w="905" w:type="dxa"/>
          </w:tcPr>
          <w:p>
            <w:pPr>
              <w:pStyle w:val="TableParagraph"/>
              <w:spacing w:before="85"/>
              <w:ind w:left="59"/>
              <w:rPr>
                <w:sz w:val="13"/>
              </w:rPr>
            </w:pPr>
            <w:r>
              <w:rPr>
                <w:w w:val="105"/>
                <w:sz w:val="13"/>
              </w:rPr>
              <w:t>1.515.686,69</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7" w:hRule="atLeast"/>
        </w:trPr>
        <w:tc>
          <w:tcPr>
            <w:tcW w:w="1264" w:type="dxa"/>
          </w:tcPr>
          <w:p>
            <w:pPr>
              <w:pStyle w:val="TableParagraph"/>
              <w:spacing w:before="85"/>
              <w:ind w:left="57"/>
              <w:rPr>
                <w:sz w:val="13"/>
              </w:rPr>
            </w:pPr>
            <w:r>
              <w:rPr>
                <w:w w:val="105"/>
                <w:sz w:val="13"/>
              </w:rPr>
              <w:t>2022/F/000000002</w:t>
            </w:r>
          </w:p>
        </w:tc>
        <w:tc>
          <w:tcPr>
            <w:tcW w:w="1116" w:type="dxa"/>
          </w:tcPr>
          <w:p>
            <w:pPr>
              <w:pStyle w:val="TableParagraph"/>
              <w:spacing w:before="2"/>
              <w:ind w:left="57"/>
              <w:rPr>
                <w:sz w:val="13"/>
              </w:rPr>
            </w:pPr>
            <w:r>
              <w:rPr>
                <w:w w:val="105"/>
                <w:sz w:val="13"/>
              </w:rPr>
              <w:t>2318.912A.</w:t>
            </w:r>
          </w:p>
          <w:p>
            <w:pPr>
              <w:pStyle w:val="TableParagraph"/>
              <w:spacing w:line="139" w:lineRule="exact" w:before="7"/>
              <w:ind w:left="57"/>
              <w:rPr>
                <w:sz w:val="13"/>
              </w:rPr>
            </w:pPr>
            <w:r>
              <w:rPr>
                <w:w w:val="105"/>
                <w:sz w:val="13"/>
              </w:rPr>
              <w:t>40005004023037</w:t>
            </w:r>
          </w:p>
        </w:tc>
        <w:tc>
          <w:tcPr>
            <w:tcW w:w="1548" w:type="dxa"/>
          </w:tcPr>
          <w:p>
            <w:pPr>
              <w:pStyle w:val="TableParagraph"/>
              <w:spacing w:before="2"/>
              <w:ind w:left="59"/>
              <w:rPr>
                <w:sz w:val="13"/>
              </w:rPr>
            </w:pPr>
            <w:r>
              <w:rPr>
                <w:w w:val="105"/>
                <w:sz w:val="13"/>
              </w:rPr>
              <w:t>PLAN CORRESPONSABLES</w:t>
            </w:r>
          </w:p>
          <w:p>
            <w:pPr>
              <w:pStyle w:val="TableParagraph"/>
              <w:spacing w:line="139" w:lineRule="exact" w:before="7"/>
              <w:ind w:left="59"/>
              <w:rPr>
                <w:sz w:val="13"/>
              </w:rPr>
            </w:pPr>
            <w:r>
              <w:rPr>
                <w:w w:val="105"/>
                <w:sz w:val="13"/>
              </w:rPr>
              <w:t>2022</w:t>
            </w:r>
          </w:p>
        </w:tc>
        <w:tc>
          <w:tcPr>
            <w:tcW w:w="905" w:type="dxa"/>
          </w:tcPr>
          <w:p>
            <w:pPr>
              <w:pStyle w:val="TableParagraph"/>
              <w:spacing w:before="85"/>
              <w:ind w:left="59"/>
              <w:rPr>
                <w:sz w:val="13"/>
              </w:rPr>
            </w:pPr>
            <w:r>
              <w:rPr>
                <w:w w:val="105"/>
                <w:sz w:val="13"/>
              </w:rPr>
              <w:t>3.676.471,80</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1264" w:type="dxa"/>
          </w:tcPr>
          <w:p>
            <w:pPr>
              <w:pStyle w:val="TableParagraph"/>
              <w:spacing w:before="85"/>
              <w:ind w:left="57"/>
              <w:rPr>
                <w:sz w:val="13"/>
              </w:rPr>
            </w:pPr>
            <w:r>
              <w:rPr>
                <w:w w:val="105"/>
                <w:sz w:val="13"/>
              </w:rPr>
              <w:t>2021/F/000000127</w:t>
            </w:r>
          </w:p>
        </w:tc>
        <w:tc>
          <w:tcPr>
            <w:tcW w:w="1116" w:type="dxa"/>
          </w:tcPr>
          <w:p>
            <w:pPr>
              <w:pStyle w:val="TableParagraph"/>
              <w:spacing w:before="2"/>
              <w:ind w:left="57"/>
              <w:rPr>
                <w:sz w:val="13"/>
              </w:rPr>
            </w:pPr>
            <w:r>
              <w:rPr>
                <w:w w:val="105"/>
                <w:sz w:val="13"/>
              </w:rPr>
              <w:t>2307.231I.</w:t>
            </w:r>
          </w:p>
          <w:p>
            <w:pPr>
              <w:pStyle w:val="TableParagraph"/>
              <w:spacing w:line="139" w:lineRule="exact" w:before="6"/>
              <w:ind w:left="57"/>
              <w:rPr>
                <w:sz w:val="13"/>
              </w:rPr>
            </w:pPr>
            <w:r>
              <w:rPr>
                <w:w w:val="105"/>
                <w:sz w:val="13"/>
              </w:rPr>
              <w:t>40005004000039</w:t>
            </w:r>
          </w:p>
        </w:tc>
        <w:tc>
          <w:tcPr>
            <w:tcW w:w="1548" w:type="dxa"/>
          </w:tcPr>
          <w:p>
            <w:pPr>
              <w:pStyle w:val="TableParagraph"/>
              <w:spacing w:before="2"/>
              <w:ind w:left="59"/>
              <w:rPr>
                <w:sz w:val="13"/>
              </w:rPr>
            </w:pPr>
            <w:r>
              <w:rPr>
                <w:w w:val="105"/>
                <w:sz w:val="13"/>
              </w:rPr>
              <w:t>BONO SOCIAL TÉRMICO</w:t>
            </w:r>
          </w:p>
          <w:p>
            <w:pPr>
              <w:pStyle w:val="TableParagraph"/>
              <w:spacing w:line="139" w:lineRule="exact" w:before="6"/>
              <w:ind w:left="59"/>
              <w:rPr>
                <w:sz w:val="13"/>
              </w:rPr>
            </w:pPr>
            <w:r>
              <w:rPr>
                <w:w w:val="105"/>
                <w:sz w:val="13"/>
              </w:rPr>
              <w:t>2021</w:t>
            </w:r>
          </w:p>
        </w:tc>
        <w:tc>
          <w:tcPr>
            <w:tcW w:w="905" w:type="dxa"/>
          </w:tcPr>
          <w:p>
            <w:pPr>
              <w:pStyle w:val="TableParagraph"/>
              <w:spacing w:before="85"/>
              <w:ind w:left="59"/>
              <w:rPr>
                <w:sz w:val="13"/>
              </w:rPr>
            </w:pPr>
            <w:r>
              <w:rPr>
                <w:w w:val="105"/>
                <w:sz w:val="13"/>
              </w:rPr>
              <w:t>504.485,13</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1264" w:type="dxa"/>
          </w:tcPr>
          <w:p>
            <w:pPr>
              <w:pStyle w:val="TableParagraph"/>
              <w:spacing w:before="85"/>
              <w:ind w:left="57"/>
              <w:rPr>
                <w:sz w:val="13"/>
              </w:rPr>
            </w:pPr>
            <w:r>
              <w:rPr>
                <w:w w:val="105"/>
                <w:sz w:val="13"/>
              </w:rPr>
              <w:t>2022/F/000000016</w:t>
            </w:r>
          </w:p>
        </w:tc>
        <w:tc>
          <w:tcPr>
            <w:tcW w:w="1116" w:type="dxa"/>
          </w:tcPr>
          <w:p>
            <w:pPr>
              <w:pStyle w:val="TableParagraph"/>
              <w:spacing w:before="2"/>
              <w:ind w:left="57"/>
              <w:rPr>
                <w:sz w:val="13"/>
              </w:rPr>
            </w:pPr>
            <w:r>
              <w:rPr>
                <w:w w:val="105"/>
                <w:sz w:val="13"/>
              </w:rPr>
              <w:t>2307.231B.</w:t>
            </w:r>
          </w:p>
          <w:p>
            <w:pPr>
              <w:pStyle w:val="TableParagraph"/>
              <w:spacing w:line="139" w:lineRule="exact" w:before="6"/>
              <w:ind w:left="57"/>
              <w:rPr>
                <w:sz w:val="13"/>
              </w:rPr>
            </w:pPr>
            <w:r>
              <w:rPr>
                <w:w w:val="105"/>
                <w:sz w:val="13"/>
              </w:rPr>
              <w:t>40005004023004</w:t>
            </w:r>
          </w:p>
        </w:tc>
        <w:tc>
          <w:tcPr>
            <w:tcW w:w="1548" w:type="dxa"/>
          </w:tcPr>
          <w:p>
            <w:pPr>
              <w:pStyle w:val="TableParagraph"/>
              <w:spacing w:before="85"/>
              <w:ind w:left="59"/>
              <w:rPr>
                <w:sz w:val="13"/>
              </w:rPr>
            </w:pPr>
            <w:r>
              <w:rPr>
                <w:w w:val="105"/>
                <w:sz w:val="13"/>
              </w:rPr>
              <w:t>PLAN CONCERTADO 2022</w:t>
            </w:r>
          </w:p>
        </w:tc>
        <w:tc>
          <w:tcPr>
            <w:tcW w:w="905" w:type="dxa"/>
          </w:tcPr>
          <w:p>
            <w:pPr>
              <w:pStyle w:val="TableParagraph"/>
              <w:spacing w:before="85"/>
              <w:ind w:left="59"/>
              <w:rPr>
                <w:sz w:val="13"/>
              </w:rPr>
            </w:pPr>
            <w:r>
              <w:rPr>
                <w:w w:val="105"/>
                <w:sz w:val="13"/>
              </w:rPr>
              <w:t>78.435,70</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1264" w:type="dxa"/>
          </w:tcPr>
          <w:p>
            <w:pPr>
              <w:pStyle w:val="TableParagraph"/>
              <w:spacing w:before="85"/>
              <w:ind w:left="57"/>
              <w:rPr>
                <w:sz w:val="13"/>
              </w:rPr>
            </w:pPr>
            <w:r>
              <w:rPr>
                <w:w w:val="105"/>
                <w:sz w:val="13"/>
              </w:rPr>
              <w:t>2022/F/000000072</w:t>
            </w:r>
          </w:p>
        </w:tc>
        <w:tc>
          <w:tcPr>
            <w:tcW w:w="1116" w:type="dxa"/>
          </w:tcPr>
          <w:p>
            <w:pPr>
              <w:pStyle w:val="TableParagraph"/>
              <w:spacing w:before="2"/>
              <w:ind w:left="57"/>
              <w:rPr>
                <w:sz w:val="13"/>
              </w:rPr>
            </w:pPr>
            <w:r>
              <w:rPr>
                <w:w w:val="105"/>
                <w:sz w:val="13"/>
              </w:rPr>
              <w:t>2307.231I.</w:t>
            </w:r>
          </w:p>
          <w:p>
            <w:pPr>
              <w:pStyle w:val="TableParagraph"/>
              <w:spacing w:line="139" w:lineRule="exact" w:before="6"/>
              <w:ind w:left="57"/>
              <w:rPr>
                <w:sz w:val="13"/>
              </w:rPr>
            </w:pPr>
            <w:r>
              <w:rPr>
                <w:w w:val="105"/>
                <w:sz w:val="13"/>
              </w:rPr>
              <w:t>48002004023043</w:t>
            </w:r>
          </w:p>
        </w:tc>
        <w:tc>
          <w:tcPr>
            <w:tcW w:w="1548" w:type="dxa"/>
          </w:tcPr>
          <w:p>
            <w:pPr>
              <w:pStyle w:val="TableParagraph"/>
              <w:tabs>
                <w:tab w:pos="1034" w:val="left" w:leader="none"/>
              </w:tabs>
              <w:spacing w:before="2"/>
              <w:ind w:left="59"/>
              <w:rPr>
                <w:sz w:val="13"/>
              </w:rPr>
            </w:pPr>
            <w:r>
              <w:rPr>
                <w:w w:val="105"/>
                <w:sz w:val="13"/>
              </w:rPr>
              <w:t>NECESIDADES</w:t>
              <w:tab/>
              <w:t>BASICAS</w:t>
            </w:r>
          </w:p>
          <w:p>
            <w:pPr>
              <w:pStyle w:val="TableParagraph"/>
              <w:spacing w:line="139" w:lineRule="exact" w:before="6"/>
              <w:ind w:left="59"/>
              <w:rPr>
                <w:sz w:val="13"/>
              </w:rPr>
            </w:pPr>
            <w:r>
              <w:rPr>
                <w:w w:val="105"/>
                <w:sz w:val="13"/>
              </w:rPr>
              <w:t>CONF. UCRANIA</w:t>
            </w:r>
          </w:p>
        </w:tc>
        <w:tc>
          <w:tcPr>
            <w:tcW w:w="905" w:type="dxa"/>
          </w:tcPr>
          <w:p>
            <w:pPr>
              <w:pStyle w:val="TableParagraph"/>
              <w:spacing w:before="85"/>
              <w:ind w:left="59"/>
              <w:rPr>
                <w:sz w:val="13"/>
              </w:rPr>
            </w:pPr>
            <w:r>
              <w:rPr>
                <w:w w:val="105"/>
                <w:sz w:val="13"/>
              </w:rPr>
              <w:t>336.672,00</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1264" w:type="dxa"/>
          </w:tcPr>
          <w:p>
            <w:pPr>
              <w:pStyle w:val="TableParagraph"/>
              <w:spacing w:before="85"/>
              <w:ind w:left="57"/>
              <w:rPr>
                <w:sz w:val="13"/>
              </w:rPr>
            </w:pPr>
            <w:r>
              <w:rPr>
                <w:w w:val="105"/>
                <w:sz w:val="13"/>
              </w:rPr>
              <w:t>2022/F/000000071</w:t>
            </w:r>
          </w:p>
        </w:tc>
        <w:tc>
          <w:tcPr>
            <w:tcW w:w="1116" w:type="dxa"/>
          </w:tcPr>
          <w:p>
            <w:pPr>
              <w:pStyle w:val="TableParagraph"/>
              <w:spacing w:before="2"/>
              <w:ind w:left="57"/>
              <w:rPr>
                <w:sz w:val="13"/>
              </w:rPr>
            </w:pPr>
            <w:r>
              <w:rPr>
                <w:w w:val="105"/>
                <w:sz w:val="13"/>
              </w:rPr>
              <w:t>2307.231I.</w:t>
            </w:r>
          </w:p>
          <w:p>
            <w:pPr>
              <w:pStyle w:val="TableParagraph"/>
              <w:spacing w:line="139" w:lineRule="exact" w:before="6"/>
              <w:ind w:left="57"/>
              <w:rPr>
                <w:sz w:val="13"/>
              </w:rPr>
            </w:pPr>
            <w:r>
              <w:rPr>
                <w:w w:val="105"/>
                <w:sz w:val="13"/>
              </w:rPr>
              <w:t>48001004023044</w:t>
            </w:r>
          </w:p>
        </w:tc>
        <w:tc>
          <w:tcPr>
            <w:tcW w:w="1548" w:type="dxa"/>
          </w:tcPr>
          <w:p>
            <w:pPr>
              <w:pStyle w:val="TableParagraph"/>
              <w:spacing w:before="2"/>
              <w:ind w:left="59"/>
              <w:rPr>
                <w:sz w:val="13"/>
              </w:rPr>
            </w:pPr>
            <w:r>
              <w:rPr>
                <w:w w:val="105"/>
                <w:sz w:val="13"/>
              </w:rPr>
              <w:t>AYUDAS PERSONAS CONF.</w:t>
            </w:r>
          </w:p>
          <w:p>
            <w:pPr>
              <w:pStyle w:val="TableParagraph"/>
              <w:spacing w:line="139" w:lineRule="exact" w:before="6"/>
              <w:ind w:left="59"/>
              <w:rPr>
                <w:sz w:val="13"/>
              </w:rPr>
            </w:pPr>
            <w:r>
              <w:rPr>
                <w:w w:val="105"/>
                <w:sz w:val="13"/>
              </w:rPr>
              <w:t>UCRANIA</w:t>
            </w:r>
          </w:p>
        </w:tc>
        <w:tc>
          <w:tcPr>
            <w:tcW w:w="905" w:type="dxa"/>
          </w:tcPr>
          <w:p>
            <w:pPr>
              <w:pStyle w:val="TableParagraph"/>
              <w:spacing w:before="85"/>
              <w:ind w:left="59"/>
              <w:rPr>
                <w:sz w:val="13"/>
              </w:rPr>
            </w:pPr>
            <w:r>
              <w:rPr>
                <w:w w:val="105"/>
                <w:sz w:val="13"/>
              </w:rPr>
              <w:t>606.144,00</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2380" w:type="dxa"/>
            <w:gridSpan w:val="2"/>
          </w:tcPr>
          <w:p>
            <w:pPr>
              <w:pStyle w:val="TableParagraph"/>
              <w:spacing w:before="2"/>
              <w:ind w:left="57"/>
              <w:rPr>
                <w:b/>
                <w:sz w:val="13"/>
              </w:rPr>
            </w:pPr>
            <w:r>
              <w:rPr>
                <w:b/>
                <w:w w:val="105"/>
                <w:sz w:val="13"/>
              </w:rPr>
              <w:t>C. De Derechos Sociales Igualdad</w:t>
            </w:r>
          </w:p>
          <w:p>
            <w:pPr>
              <w:pStyle w:val="TableParagraph"/>
              <w:spacing w:line="139" w:lineRule="exact" w:before="6"/>
              <w:ind w:left="57"/>
              <w:rPr>
                <w:b/>
                <w:sz w:val="13"/>
              </w:rPr>
            </w:pPr>
            <w:r>
              <w:rPr>
                <w:b/>
                <w:w w:val="105"/>
                <w:sz w:val="13"/>
              </w:rPr>
              <w:t>Diversidad y Juventud</w:t>
            </w:r>
          </w:p>
        </w:tc>
        <w:tc>
          <w:tcPr>
            <w:tcW w:w="1548" w:type="dxa"/>
          </w:tcPr>
          <w:p>
            <w:pPr>
              <w:pStyle w:val="TableParagraph"/>
              <w:rPr>
                <w:rFonts w:ascii="Times New Roman"/>
                <w:sz w:val="12"/>
              </w:rPr>
            </w:pPr>
          </w:p>
        </w:tc>
        <w:tc>
          <w:tcPr>
            <w:tcW w:w="905" w:type="dxa"/>
          </w:tcPr>
          <w:p>
            <w:pPr>
              <w:pStyle w:val="TableParagraph"/>
              <w:spacing w:before="85"/>
              <w:ind w:left="59"/>
              <w:rPr>
                <w:b/>
                <w:sz w:val="13"/>
              </w:rPr>
            </w:pPr>
            <w:r>
              <w:rPr>
                <w:b/>
                <w:w w:val="105"/>
                <w:sz w:val="13"/>
              </w:rPr>
              <w:t>7.552.803,46</w:t>
            </w:r>
          </w:p>
        </w:tc>
        <w:tc>
          <w:tcPr>
            <w:tcW w:w="757" w:type="dxa"/>
          </w:tcPr>
          <w:p>
            <w:pPr>
              <w:pStyle w:val="TableParagraph"/>
              <w:rPr>
                <w:rFonts w:ascii="Times New Roman"/>
                <w:sz w:val="12"/>
              </w:rPr>
            </w:pPr>
          </w:p>
        </w:tc>
        <w:tc>
          <w:tcPr>
            <w:tcW w:w="880" w:type="dxa"/>
          </w:tcPr>
          <w:p>
            <w:pPr>
              <w:pStyle w:val="TableParagraph"/>
              <w:rPr>
                <w:rFonts w:ascii="Times New Roman"/>
                <w:sz w:val="12"/>
              </w:rPr>
            </w:pPr>
          </w:p>
        </w:tc>
        <w:tc>
          <w:tcPr>
            <w:tcW w:w="709" w:type="dxa"/>
          </w:tcPr>
          <w:p>
            <w:pPr>
              <w:pStyle w:val="TableParagraph"/>
              <w:rPr>
                <w:rFonts w:ascii="Times New Roman"/>
                <w:sz w:val="12"/>
              </w:rPr>
            </w:pPr>
          </w:p>
        </w:tc>
      </w:tr>
      <w:tr>
        <w:trPr>
          <w:trHeight w:val="326" w:hRule="atLeast"/>
        </w:trPr>
        <w:tc>
          <w:tcPr>
            <w:tcW w:w="1264"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1"/>
              <w:rPr>
                <w:b/>
                <w:sz w:val="20"/>
              </w:rPr>
            </w:pPr>
          </w:p>
          <w:p>
            <w:pPr>
              <w:pStyle w:val="TableParagraph"/>
              <w:ind w:left="57"/>
              <w:rPr>
                <w:sz w:val="13"/>
              </w:rPr>
            </w:pPr>
            <w:r>
              <w:rPr>
                <w:w w:val="105"/>
                <w:sz w:val="13"/>
              </w:rPr>
              <w:t>2020/F/000000015</w:t>
            </w:r>
          </w:p>
        </w:tc>
        <w:tc>
          <w:tcPr>
            <w:tcW w:w="1116" w:type="dxa"/>
          </w:tcPr>
          <w:p>
            <w:pPr>
              <w:pStyle w:val="TableParagraph"/>
              <w:spacing w:before="2"/>
              <w:ind w:left="57"/>
              <w:rPr>
                <w:sz w:val="13"/>
              </w:rPr>
            </w:pPr>
            <w:r>
              <w:rPr>
                <w:w w:val="105"/>
                <w:sz w:val="13"/>
              </w:rPr>
              <w:t>08.17.232B.</w:t>
            </w:r>
          </w:p>
          <w:p>
            <w:pPr>
              <w:pStyle w:val="TableParagraph"/>
              <w:spacing w:line="141" w:lineRule="exact" w:before="4"/>
              <w:ind w:left="57"/>
              <w:rPr>
                <w:sz w:val="13"/>
              </w:rPr>
            </w:pPr>
            <w:r>
              <w:rPr>
                <w:w w:val="105"/>
                <w:sz w:val="13"/>
              </w:rPr>
              <w:t>480.02.</w:t>
            </w:r>
          </w:p>
        </w:tc>
        <w:tc>
          <w:tcPr>
            <w:tcW w:w="1548" w:type="dxa"/>
            <w:vMerge w:val="restart"/>
          </w:tcPr>
          <w:p>
            <w:pPr>
              <w:pStyle w:val="TableParagraph"/>
              <w:rPr>
                <w:b/>
                <w:sz w:val="14"/>
              </w:rPr>
            </w:pPr>
          </w:p>
          <w:p>
            <w:pPr>
              <w:pStyle w:val="TableParagraph"/>
              <w:rPr>
                <w:b/>
                <w:sz w:val="14"/>
              </w:rPr>
            </w:pPr>
          </w:p>
          <w:p>
            <w:pPr>
              <w:pStyle w:val="TableParagraph"/>
              <w:spacing w:before="6"/>
              <w:rPr>
                <w:b/>
                <w:sz w:val="20"/>
              </w:rPr>
            </w:pPr>
          </w:p>
          <w:p>
            <w:pPr>
              <w:pStyle w:val="TableParagraph"/>
              <w:spacing w:line="247" w:lineRule="auto"/>
              <w:ind w:left="59" w:right="45"/>
              <w:jc w:val="both"/>
              <w:rPr>
                <w:sz w:val="13"/>
              </w:rPr>
            </w:pPr>
            <w:r>
              <w:rPr>
                <w:w w:val="105"/>
                <w:sz w:val="13"/>
              </w:rPr>
              <w:t>Pacto de Estado CONTRA LA</w:t>
            </w:r>
            <w:r>
              <w:rPr>
                <w:spacing w:val="-10"/>
                <w:w w:val="105"/>
                <w:sz w:val="13"/>
              </w:rPr>
              <w:t> </w:t>
            </w:r>
            <w:r>
              <w:rPr>
                <w:w w:val="105"/>
                <w:sz w:val="13"/>
              </w:rPr>
              <w:t>VIOLENCIA</w:t>
            </w:r>
            <w:r>
              <w:rPr>
                <w:spacing w:val="-9"/>
                <w:w w:val="105"/>
                <w:sz w:val="13"/>
              </w:rPr>
              <w:t> </w:t>
            </w:r>
            <w:r>
              <w:rPr>
                <w:w w:val="105"/>
                <w:sz w:val="13"/>
              </w:rPr>
              <w:t>DE</w:t>
            </w:r>
            <w:r>
              <w:rPr>
                <w:spacing w:val="-10"/>
                <w:w w:val="105"/>
                <w:sz w:val="13"/>
              </w:rPr>
              <w:t> </w:t>
            </w:r>
            <w:r>
              <w:rPr>
                <w:w w:val="105"/>
                <w:sz w:val="13"/>
              </w:rPr>
              <w:t>GENERO 2020</w:t>
            </w:r>
          </w:p>
        </w:tc>
        <w:tc>
          <w:tcPr>
            <w:tcW w:w="905" w:type="dxa"/>
          </w:tcPr>
          <w:p>
            <w:pPr>
              <w:pStyle w:val="TableParagraph"/>
              <w:spacing w:before="85"/>
              <w:ind w:left="59"/>
              <w:rPr>
                <w:sz w:val="13"/>
              </w:rPr>
            </w:pPr>
            <w:r>
              <w:rPr>
                <w:w w:val="105"/>
                <w:sz w:val="13"/>
              </w:rPr>
              <w:t>317,00</w:t>
            </w:r>
          </w:p>
        </w:tc>
        <w:tc>
          <w:tcPr>
            <w:tcW w:w="757" w:type="dxa"/>
            <w:vMerge w:val="restart"/>
          </w:tcPr>
          <w:p>
            <w:pPr>
              <w:pStyle w:val="TableParagraph"/>
              <w:rPr>
                <w:b/>
                <w:sz w:val="14"/>
              </w:rPr>
            </w:pPr>
          </w:p>
          <w:p>
            <w:pPr>
              <w:pStyle w:val="TableParagraph"/>
              <w:rPr>
                <w:b/>
                <w:sz w:val="14"/>
              </w:rPr>
            </w:pPr>
          </w:p>
          <w:p>
            <w:pPr>
              <w:pStyle w:val="TableParagraph"/>
              <w:spacing w:before="11"/>
              <w:rPr>
                <w:b/>
                <w:sz w:val="13"/>
              </w:rPr>
            </w:pPr>
          </w:p>
          <w:p>
            <w:pPr>
              <w:pStyle w:val="TableParagraph"/>
              <w:spacing w:line="247" w:lineRule="auto"/>
              <w:ind w:left="59" w:right="45"/>
              <w:rPr>
                <w:sz w:val="13"/>
              </w:rPr>
            </w:pPr>
            <w:r>
              <w:rPr>
                <w:w w:val="105"/>
                <w:sz w:val="13"/>
              </w:rPr>
              <w:t>Delegación Hacienda De Las Palmas</w:t>
            </w:r>
          </w:p>
        </w:tc>
        <w:tc>
          <w:tcPr>
            <w:tcW w:w="880"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1"/>
              <w:rPr>
                <w:b/>
                <w:sz w:val="20"/>
              </w:rPr>
            </w:pPr>
          </w:p>
          <w:p>
            <w:pPr>
              <w:pStyle w:val="TableParagraph"/>
              <w:ind w:left="306"/>
              <w:rPr>
                <w:sz w:val="13"/>
              </w:rPr>
            </w:pPr>
            <w:r>
              <w:rPr>
                <w:w w:val="105"/>
                <w:sz w:val="13"/>
              </w:rPr>
              <w:t>2022</w:t>
            </w:r>
          </w:p>
        </w:tc>
        <w:tc>
          <w:tcPr>
            <w:tcW w:w="709"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1"/>
              <w:rPr>
                <w:b/>
                <w:sz w:val="20"/>
              </w:rPr>
            </w:pPr>
          </w:p>
          <w:p>
            <w:pPr>
              <w:pStyle w:val="TableParagraph"/>
              <w:ind w:left="232"/>
              <w:rPr>
                <w:sz w:val="13"/>
              </w:rPr>
            </w:pPr>
            <w:r>
              <w:rPr>
                <w:w w:val="105"/>
                <w:sz w:val="13"/>
              </w:rPr>
              <w:t>ADO</w:t>
            </w:r>
          </w:p>
        </w:tc>
      </w:tr>
      <w:tr>
        <w:trPr>
          <w:trHeight w:val="326" w:hRule="atLeast"/>
        </w:trPr>
        <w:tc>
          <w:tcPr>
            <w:tcW w:w="1264" w:type="dxa"/>
            <w:vMerge/>
            <w:tcBorders>
              <w:top w:val="nil"/>
            </w:tcBorders>
          </w:tcPr>
          <w:p>
            <w:pPr>
              <w:rPr>
                <w:sz w:val="2"/>
                <w:szCs w:val="2"/>
              </w:rPr>
            </w:pPr>
          </w:p>
        </w:tc>
        <w:tc>
          <w:tcPr>
            <w:tcW w:w="1116" w:type="dxa"/>
          </w:tcPr>
          <w:p>
            <w:pPr>
              <w:pStyle w:val="TableParagraph"/>
              <w:spacing w:before="2"/>
              <w:ind w:left="57"/>
              <w:rPr>
                <w:sz w:val="13"/>
              </w:rPr>
            </w:pPr>
            <w:r>
              <w:rPr>
                <w:w w:val="105"/>
                <w:sz w:val="13"/>
              </w:rPr>
              <w:t>08.17.232B.</w:t>
            </w:r>
          </w:p>
          <w:p>
            <w:pPr>
              <w:pStyle w:val="TableParagraph"/>
              <w:spacing w:line="141" w:lineRule="exact" w:before="4"/>
              <w:ind w:left="57"/>
              <w:rPr>
                <w:sz w:val="13"/>
              </w:rPr>
            </w:pPr>
            <w:r>
              <w:rPr>
                <w:w w:val="105"/>
                <w:sz w:val="13"/>
              </w:rPr>
              <w:t>480.02.</w:t>
            </w:r>
          </w:p>
        </w:tc>
        <w:tc>
          <w:tcPr>
            <w:tcW w:w="1548" w:type="dxa"/>
            <w:vMerge/>
            <w:tcBorders>
              <w:top w:val="nil"/>
            </w:tcBorders>
          </w:tcPr>
          <w:p>
            <w:pPr>
              <w:rPr>
                <w:sz w:val="2"/>
                <w:szCs w:val="2"/>
              </w:rPr>
            </w:pPr>
          </w:p>
        </w:tc>
        <w:tc>
          <w:tcPr>
            <w:tcW w:w="905" w:type="dxa"/>
          </w:tcPr>
          <w:p>
            <w:pPr>
              <w:pStyle w:val="TableParagraph"/>
              <w:spacing w:before="85"/>
              <w:ind w:left="59"/>
              <w:rPr>
                <w:sz w:val="13"/>
              </w:rPr>
            </w:pPr>
            <w:r>
              <w:rPr>
                <w:w w:val="105"/>
                <w:sz w:val="13"/>
              </w:rPr>
              <w:t>2.029,73</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1264" w:type="dxa"/>
            <w:vMerge/>
            <w:tcBorders>
              <w:top w:val="nil"/>
            </w:tcBorders>
          </w:tcPr>
          <w:p>
            <w:pPr>
              <w:rPr>
                <w:sz w:val="2"/>
                <w:szCs w:val="2"/>
              </w:rPr>
            </w:pPr>
          </w:p>
        </w:tc>
        <w:tc>
          <w:tcPr>
            <w:tcW w:w="1116" w:type="dxa"/>
          </w:tcPr>
          <w:p>
            <w:pPr>
              <w:pStyle w:val="TableParagraph"/>
              <w:spacing w:before="2"/>
              <w:ind w:left="57"/>
              <w:rPr>
                <w:sz w:val="13"/>
              </w:rPr>
            </w:pPr>
            <w:r>
              <w:rPr>
                <w:w w:val="105"/>
                <w:sz w:val="13"/>
              </w:rPr>
              <w:t>08.18.112A.</w:t>
            </w:r>
          </w:p>
          <w:p>
            <w:pPr>
              <w:pStyle w:val="TableParagraph"/>
              <w:spacing w:line="141" w:lineRule="exact" w:before="4"/>
              <w:ind w:left="57"/>
              <w:rPr>
                <w:sz w:val="13"/>
              </w:rPr>
            </w:pPr>
            <w:r>
              <w:rPr>
                <w:w w:val="105"/>
                <w:sz w:val="13"/>
              </w:rPr>
              <w:t>226.02.00</w:t>
            </w:r>
          </w:p>
        </w:tc>
        <w:tc>
          <w:tcPr>
            <w:tcW w:w="1548" w:type="dxa"/>
            <w:vMerge/>
            <w:tcBorders>
              <w:top w:val="nil"/>
            </w:tcBorders>
          </w:tcPr>
          <w:p>
            <w:pPr>
              <w:rPr>
                <w:sz w:val="2"/>
                <w:szCs w:val="2"/>
              </w:rPr>
            </w:pPr>
          </w:p>
        </w:tc>
        <w:tc>
          <w:tcPr>
            <w:tcW w:w="905" w:type="dxa"/>
          </w:tcPr>
          <w:p>
            <w:pPr>
              <w:pStyle w:val="TableParagraph"/>
              <w:spacing w:before="85"/>
              <w:ind w:left="59"/>
              <w:rPr>
                <w:sz w:val="13"/>
              </w:rPr>
            </w:pPr>
            <w:r>
              <w:rPr>
                <w:w w:val="105"/>
                <w:sz w:val="13"/>
              </w:rPr>
              <w:t>30.020,00</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1264" w:type="dxa"/>
            <w:vMerge/>
            <w:tcBorders>
              <w:top w:val="nil"/>
            </w:tcBorders>
          </w:tcPr>
          <w:p>
            <w:pPr>
              <w:rPr>
                <w:sz w:val="2"/>
                <w:szCs w:val="2"/>
              </w:rPr>
            </w:pPr>
          </w:p>
        </w:tc>
        <w:tc>
          <w:tcPr>
            <w:tcW w:w="1116" w:type="dxa"/>
          </w:tcPr>
          <w:p>
            <w:pPr>
              <w:pStyle w:val="TableParagraph"/>
              <w:spacing w:before="2"/>
              <w:ind w:left="57"/>
              <w:rPr>
                <w:sz w:val="13"/>
              </w:rPr>
            </w:pPr>
            <w:r>
              <w:rPr>
                <w:w w:val="105"/>
                <w:sz w:val="13"/>
              </w:rPr>
              <w:t>08.18.112A.</w:t>
            </w:r>
          </w:p>
          <w:p>
            <w:pPr>
              <w:pStyle w:val="TableParagraph"/>
              <w:spacing w:line="141" w:lineRule="exact" w:before="5"/>
              <w:ind w:left="57"/>
              <w:rPr>
                <w:sz w:val="13"/>
              </w:rPr>
            </w:pPr>
            <w:r>
              <w:rPr>
                <w:w w:val="105"/>
                <w:sz w:val="13"/>
              </w:rPr>
              <w:t>226.06.00.</w:t>
            </w:r>
          </w:p>
        </w:tc>
        <w:tc>
          <w:tcPr>
            <w:tcW w:w="1548" w:type="dxa"/>
            <w:vMerge/>
            <w:tcBorders>
              <w:top w:val="nil"/>
            </w:tcBorders>
          </w:tcPr>
          <w:p>
            <w:pPr>
              <w:rPr>
                <w:sz w:val="2"/>
                <w:szCs w:val="2"/>
              </w:rPr>
            </w:pPr>
          </w:p>
        </w:tc>
        <w:tc>
          <w:tcPr>
            <w:tcW w:w="905" w:type="dxa"/>
          </w:tcPr>
          <w:p>
            <w:pPr>
              <w:pStyle w:val="TableParagraph"/>
              <w:spacing w:before="85"/>
              <w:ind w:left="59"/>
              <w:rPr>
                <w:sz w:val="13"/>
              </w:rPr>
            </w:pPr>
            <w:r>
              <w:rPr>
                <w:w w:val="105"/>
                <w:sz w:val="13"/>
              </w:rPr>
              <w:t>37.230,05</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1264" w:type="dxa"/>
            <w:vMerge/>
            <w:tcBorders>
              <w:top w:val="nil"/>
            </w:tcBorders>
          </w:tcPr>
          <w:p>
            <w:pPr>
              <w:rPr>
                <w:sz w:val="2"/>
                <w:szCs w:val="2"/>
              </w:rPr>
            </w:pPr>
          </w:p>
        </w:tc>
        <w:tc>
          <w:tcPr>
            <w:tcW w:w="1116" w:type="dxa"/>
          </w:tcPr>
          <w:p>
            <w:pPr>
              <w:pStyle w:val="TableParagraph"/>
              <w:spacing w:before="2"/>
              <w:ind w:left="57"/>
              <w:rPr>
                <w:sz w:val="13"/>
              </w:rPr>
            </w:pPr>
            <w:r>
              <w:rPr>
                <w:w w:val="105"/>
                <w:sz w:val="13"/>
              </w:rPr>
              <w:t>08.18.112A.</w:t>
            </w:r>
          </w:p>
          <w:p>
            <w:pPr>
              <w:pStyle w:val="TableParagraph"/>
              <w:spacing w:line="141" w:lineRule="exact" w:before="4"/>
              <w:ind w:left="57"/>
              <w:rPr>
                <w:sz w:val="13"/>
              </w:rPr>
            </w:pPr>
            <w:r>
              <w:rPr>
                <w:w w:val="105"/>
                <w:sz w:val="13"/>
              </w:rPr>
              <w:t>227.06.00</w:t>
            </w:r>
          </w:p>
        </w:tc>
        <w:tc>
          <w:tcPr>
            <w:tcW w:w="1548" w:type="dxa"/>
            <w:vMerge/>
            <w:tcBorders>
              <w:top w:val="nil"/>
            </w:tcBorders>
          </w:tcPr>
          <w:p>
            <w:pPr>
              <w:rPr>
                <w:sz w:val="2"/>
                <w:szCs w:val="2"/>
              </w:rPr>
            </w:pPr>
          </w:p>
        </w:tc>
        <w:tc>
          <w:tcPr>
            <w:tcW w:w="905" w:type="dxa"/>
          </w:tcPr>
          <w:p>
            <w:pPr>
              <w:pStyle w:val="TableParagraph"/>
              <w:spacing w:before="82"/>
              <w:ind w:left="59"/>
              <w:rPr>
                <w:sz w:val="13"/>
              </w:rPr>
            </w:pPr>
            <w:r>
              <w:rPr>
                <w:w w:val="105"/>
                <w:sz w:val="13"/>
              </w:rPr>
              <w:t>433.041,54</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4" w:hRule="atLeast"/>
        </w:trPr>
        <w:tc>
          <w:tcPr>
            <w:tcW w:w="1264" w:type="dxa"/>
            <w:vMerge w:val="restart"/>
          </w:tcPr>
          <w:p>
            <w:pPr>
              <w:pStyle w:val="TableParagraph"/>
              <w:spacing w:before="7"/>
              <w:rPr>
                <w:b/>
                <w:sz w:val="20"/>
              </w:rPr>
            </w:pPr>
          </w:p>
          <w:p>
            <w:pPr>
              <w:pStyle w:val="TableParagraph"/>
              <w:spacing w:before="1"/>
              <w:ind w:left="57"/>
              <w:rPr>
                <w:sz w:val="13"/>
              </w:rPr>
            </w:pPr>
            <w:r>
              <w:rPr>
                <w:w w:val="105"/>
                <w:sz w:val="13"/>
              </w:rPr>
              <w:t>2021/F/000000014</w:t>
            </w:r>
          </w:p>
        </w:tc>
        <w:tc>
          <w:tcPr>
            <w:tcW w:w="1116" w:type="dxa"/>
          </w:tcPr>
          <w:p>
            <w:pPr>
              <w:pStyle w:val="TableParagraph"/>
              <w:spacing w:before="2"/>
              <w:ind w:left="57"/>
              <w:rPr>
                <w:sz w:val="13"/>
              </w:rPr>
            </w:pPr>
            <w:r>
              <w:rPr>
                <w:w w:val="105"/>
                <w:sz w:val="13"/>
              </w:rPr>
              <w:t>08.17.912A.</w:t>
            </w:r>
          </w:p>
          <w:p>
            <w:pPr>
              <w:pStyle w:val="TableParagraph"/>
              <w:spacing w:line="139" w:lineRule="exact" w:before="4"/>
              <w:ind w:left="57"/>
              <w:rPr>
                <w:sz w:val="13"/>
              </w:rPr>
            </w:pPr>
            <w:r>
              <w:rPr>
                <w:w w:val="105"/>
                <w:sz w:val="13"/>
              </w:rPr>
              <w:t>632.00.00</w:t>
            </w:r>
          </w:p>
        </w:tc>
        <w:tc>
          <w:tcPr>
            <w:tcW w:w="1548" w:type="dxa"/>
            <w:vMerge w:val="restart"/>
          </w:tcPr>
          <w:p>
            <w:pPr>
              <w:pStyle w:val="TableParagraph"/>
              <w:spacing w:line="247" w:lineRule="auto" w:before="87"/>
              <w:ind w:left="59" w:right="45"/>
              <w:rPr>
                <w:sz w:val="13"/>
              </w:rPr>
            </w:pPr>
            <w:r>
              <w:rPr>
                <w:w w:val="105"/>
                <w:sz w:val="13"/>
              </w:rPr>
              <w:t>ACTIVIDADES MEMORIA HISTORICA DEMOCRÁTICA</w:t>
            </w:r>
          </w:p>
        </w:tc>
        <w:tc>
          <w:tcPr>
            <w:tcW w:w="905" w:type="dxa"/>
          </w:tcPr>
          <w:p>
            <w:pPr>
              <w:pStyle w:val="TableParagraph"/>
              <w:spacing w:before="82"/>
              <w:ind w:left="59"/>
              <w:rPr>
                <w:sz w:val="13"/>
              </w:rPr>
            </w:pPr>
            <w:r>
              <w:rPr>
                <w:w w:val="105"/>
                <w:sz w:val="13"/>
              </w:rPr>
              <w:t>7.997,75</w:t>
            </w:r>
          </w:p>
        </w:tc>
        <w:tc>
          <w:tcPr>
            <w:tcW w:w="757" w:type="dxa"/>
            <w:vMerge w:val="restart"/>
          </w:tcPr>
          <w:p>
            <w:pPr>
              <w:pStyle w:val="TableParagraph"/>
              <w:spacing w:line="247" w:lineRule="auto" w:before="6"/>
              <w:ind w:left="59" w:right="64"/>
              <w:rPr>
                <w:sz w:val="13"/>
              </w:rPr>
            </w:pPr>
            <w:r>
              <w:rPr>
                <w:spacing w:val="-1"/>
                <w:w w:val="105"/>
                <w:sz w:val="13"/>
              </w:rPr>
              <w:t>Delegación </w:t>
            </w:r>
            <w:r>
              <w:rPr>
                <w:w w:val="105"/>
                <w:sz w:val="13"/>
              </w:rPr>
              <w:t>Hacienda De</w:t>
            </w:r>
            <w:r>
              <w:rPr>
                <w:spacing w:val="-3"/>
                <w:w w:val="105"/>
                <w:sz w:val="13"/>
              </w:rPr>
              <w:t> </w:t>
            </w:r>
            <w:r>
              <w:rPr>
                <w:w w:val="105"/>
                <w:sz w:val="13"/>
              </w:rPr>
              <w:t>Las</w:t>
            </w:r>
          </w:p>
          <w:p>
            <w:pPr>
              <w:pStyle w:val="TableParagraph"/>
              <w:spacing w:line="143" w:lineRule="exact" w:before="1"/>
              <w:ind w:left="59"/>
              <w:rPr>
                <w:sz w:val="13"/>
              </w:rPr>
            </w:pPr>
            <w:r>
              <w:rPr>
                <w:w w:val="105"/>
                <w:sz w:val="13"/>
              </w:rPr>
              <w:t>Palmas</w:t>
            </w:r>
          </w:p>
        </w:tc>
        <w:tc>
          <w:tcPr>
            <w:tcW w:w="880" w:type="dxa"/>
            <w:vMerge w:val="restart"/>
          </w:tcPr>
          <w:p>
            <w:pPr>
              <w:pStyle w:val="TableParagraph"/>
              <w:spacing w:before="7"/>
              <w:rPr>
                <w:b/>
                <w:sz w:val="20"/>
              </w:rPr>
            </w:pPr>
          </w:p>
          <w:p>
            <w:pPr>
              <w:pStyle w:val="TableParagraph"/>
              <w:spacing w:before="1"/>
              <w:ind w:left="306"/>
              <w:rPr>
                <w:sz w:val="13"/>
              </w:rPr>
            </w:pPr>
            <w:r>
              <w:rPr>
                <w:w w:val="105"/>
                <w:sz w:val="13"/>
              </w:rPr>
              <w:t>2022</w:t>
            </w:r>
          </w:p>
        </w:tc>
        <w:tc>
          <w:tcPr>
            <w:tcW w:w="709" w:type="dxa"/>
            <w:vMerge w:val="restart"/>
          </w:tcPr>
          <w:p>
            <w:pPr>
              <w:pStyle w:val="TableParagraph"/>
              <w:spacing w:before="7"/>
              <w:rPr>
                <w:b/>
                <w:sz w:val="20"/>
              </w:rPr>
            </w:pPr>
          </w:p>
          <w:p>
            <w:pPr>
              <w:pStyle w:val="TableParagraph"/>
              <w:spacing w:before="1"/>
              <w:ind w:left="232"/>
              <w:rPr>
                <w:sz w:val="13"/>
              </w:rPr>
            </w:pPr>
            <w:r>
              <w:rPr>
                <w:w w:val="105"/>
                <w:sz w:val="13"/>
              </w:rPr>
              <w:t>ADO</w:t>
            </w:r>
          </w:p>
        </w:tc>
      </w:tr>
      <w:tr>
        <w:trPr>
          <w:trHeight w:val="326" w:hRule="atLeast"/>
        </w:trPr>
        <w:tc>
          <w:tcPr>
            <w:tcW w:w="1264" w:type="dxa"/>
            <w:vMerge/>
            <w:tcBorders>
              <w:top w:val="nil"/>
            </w:tcBorders>
          </w:tcPr>
          <w:p>
            <w:pPr>
              <w:rPr>
                <w:sz w:val="2"/>
                <w:szCs w:val="2"/>
              </w:rPr>
            </w:pPr>
          </w:p>
        </w:tc>
        <w:tc>
          <w:tcPr>
            <w:tcW w:w="1116" w:type="dxa"/>
          </w:tcPr>
          <w:p>
            <w:pPr>
              <w:pStyle w:val="TableParagraph"/>
              <w:spacing w:before="4"/>
              <w:ind w:left="57"/>
              <w:rPr>
                <w:sz w:val="13"/>
              </w:rPr>
            </w:pPr>
            <w:r>
              <w:rPr>
                <w:w w:val="105"/>
                <w:sz w:val="13"/>
              </w:rPr>
              <w:t>08.17.912A.</w:t>
            </w:r>
          </w:p>
          <w:p>
            <w:pPr>
              <w:pStyle w:val="TableParagraph"/>
              <w:spacing w:line="139" w:lineRule="exact" w:before="4"/>
              <w:ind w:left="57"/>
              <w:rPr>
                <w:sz w:val="13"/>
              </w:rPr>
            </w:pPr>
            <w:r>
              <w:rPr>
                <w:w w:val="105"/>
                <w:sz w:val="13"/>
              </w:rPr>
              <w:t>640.99.00</w:t>
            </w:r>
          </w:p>
        </w:tc>
        <w:tc>
          <w:tcPr>
            <w:tcW w:w="1548" w:type="dxa"/>
            <w:vMerge/>
            <w:tcBorders>
              <w:top w:val="nil"/>
            </w:tcBorders>
          </w:tcPr>
          <w:p>
            <w:pPr>
              <w:rPr>
                <w:sz w:val="2"/>
                <w:szCs w:val="2"/>
              </w:rPr>
            </w:pPr>
          </w:p>
        </w:tc>
        <w:tc>
          <w:tcPr>
            <w:tcW w:w="905" w:type="dxa"/>
          </w:tcPr>
          <w:p>
            <w:pPr>
              <w:pStyle w:val="TableParagraph"/>
              <w:spacing w:before="85"/>
              <w:ind w:left="59"/>
              <w:rPr>
                <w:sz w:val="13"/>
              </w:rPr>
            </w:pPr>
            <w:r>
              <w:rPr>
                <w:w w:val="105"/>
                <w:sz w:val="13"/>
              </w:rPr>
              <w:t>17.843,40</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326" w:hRule="atLeast"/>
        </w:trPr>
        <w:tc>
          <w:tcPr>
            <w:tcW w:w="2380" w:type="dxa"/>
            <w:gridSpan w:val="2"/>
          </w:tcPr>
          <w:p>
            <w:pPr>
              <w:pStyle w:val="TableParagraph"/>
              <w:spacing w:before="4"/>
              <w:ind w:left="57"/>
              <w:rPr>
                <w:b/>
                <w:sz w:val="13"/>
              </w:rPr>
            </w:pPr>
            <w:r>
              <w:rPr>
                <w:b/>
                <w:w w:val="105"/>
                <w:sz w:val="13"/>
              </w:rPr>
              <w:t>C. De Presidencia, Administraciones</w:t>
            </w:r>
          </w:p>
          <w:p>
            <w:pPr>
              <w:pStyle w:val="TableParagraph"/>
              <w:spacing w:line="139" w:lineRule="exact" w:before="4"/>
              <w:ind w:left="57"/>
              <w:rPr>
                <w:b/>
                <w:sz w:val="13"/>
              </w:rPr>
            </w:pPr>
            <w:r>
              <w:rPr>
                <w:b/>
                <w:w w:val="105"/>
                <w:sz w:val="13"/>
              </w:rPr>
              <w:t>Publicas Justicia Y Seguridad.</w:t>
            </w:r>
          </w:p>
        </w:tc>
        <w:tc>
          <w:tcPr>
            <w:tcW w:w="1548" w:type="dxa"/>
          </w:tcPr>
          <w:p>
            <w:pPr>
              <w:pStyle w:val="TableParagraph"/>
              <w:rPr>
                <w:rFonts w:ascii="Times New Roman"/>
                <w:sz w:val="12"/>
              </w:rPr>
            </w:pPr>
          </w:p>
        </w:tc>
        <w:tc>
          <w:tcPr>
            <w:tcW w:w="905" w:type="dxa"/>
          </w:tcPr>
          <w:p>
            <w:pPr>
              <w:pStyle w:val="TableParagraph"/>
              <w:spacing w:before="85"/>
              <w:ind w:left="59"/>
              <w:rPr>
                <w:b/>
                <w:sz w:val="13"/>
              </w:rPr>
            </w:pPr>
            <w:r>
              <w:rPr>
                <w:b/>
                <w:w w:val="105"/>
                <w:sz w:val="13"/>
              </w:rPr>
              <w:t>528.479,47</w:t>
            </w:r>
          </w:p>
        </w:tc>
        <w:tc>
          <w:tcPr>
            <w:tcW w:w="757" w:type="dxa"/>
          </w:tcPr>
          <w:p>
            <w:pPr>
              <w:pStyle w:val="TableParagraph"/>
              <w:rPr>
                <w:rFonts w:ascii="Times New Roman"/>
                <w:sz w:val="12"/>
              </w:rPr>
            </w:pPr>
          </w:p>
        </w:tc>
        <w:tc>
          <w:tcPr>
            <w:tcW w:w="880" w:type="dxa"/>
          </w:tcPr>
          <w:p>
            <w:pPr>
              <w:pStyle w:val="TableParagraph"/>
              <w:rPr>
                <w:rFonts w:ascii="Times New Roman"/>
                <w:sz w:val="12"/>
              </w:rPr>
            </w:pPr>
          </w:p>
        </w:tc>
        <w:tc>
          <w:tcPr>
            <w:tcW w:w="709" w:type="dxa"/>
          </w:tcPr>
          <w:p>
            <w:pPr>
              <w:pStyle w:val="TableParagraph"/>
              <w:rPr>
                <w:rFonts w:ascii="Times New Roman"/>
                <w:sz w:val="12"/>
              </w:rPr>
            </w:pPr>
          </w:p>
        </w:tc>
      </w:tr>
      <w:tr>
        <w:trPr>
          <w:trHeight w:val="388" w:hRule="atLeast"/>
        </w:trPr>
        <w:tc>
          <w:tcPr>
            <w:tcW w:w="1264" w:type="dxa"/>
          </w:tcPr>
          <w:p>
            <w:pPr>
              <w:pStyle w:val="TableParagraph"/>
              <w:spacing w:before="117"/>
              <w:ind w:left="57"/>
              <w:rPr>
                <w:sz w:val="13"/>
              </w:rPr>
            </w:pPr>
            <w:r>
              <w:rPr>
                <w:w w:val="105"/>
                <w:sz w:val="13"/>
              </w:rPr>
              <w:t>2021/F/000000021</w:t>
            </w:r>
          </w:p>
        </w:tc>
        <w:tc>
          <w:tcPr>
            <w:tcW w:w="1116" w:type="dxa"/>
          </w:tcPr>
          <w:p>
            <w:pPr>
              <w:pStyle w:val="TableParagraph"/>
              <w:spacing w:before="34"/>
              <w:ind w:left="57"/>
              <w:rPr>
                <w:sz w:val="13"/>
              </w:rPr>
            </w:pPr>
            <w:r>
              <w:rPr>
                <w:w w:val="105"/>
                <w:sz w:val="13"/>
              </w:rPr>
              <w:t>1207 456G</w:t>
            </w:r>
          </w:p>
          <w:p>
            <w:pPr>
              <w:pStyle w:val="TableParagraph"/>
              <w:spacing w:before="5"/>
              <w:ind w:left="57"/>
              <w:rPr>
                <w:sz w:val="13"/>
              </w:rPr>
            </w:pPr>
            <w:r>
              <w:rPr>
                <w:w w:val="105"/>
                <w:sz w:val="13"/>
              </w:rPr>
              <w:t>6500000 7012016</w:t>
            </w:r>
          </w:p>
        </w:tc>
        <w:tc>
          <w:tcPr>
            <w:tcW w:w="1548" w:type="dxa"/>
          </w:tcPr>
          <w:p>
            <w:pPr>
              <w:pStyle w:val="TableParagraph"/>
              <w:spacing w:line="247" w:lineRule="auto" w:before="34"/>
              <w:ind w:left="59" w:right="-3"/>
              <w:rPr>
                <w:sz w:val="13"/>
              </w:rPr>
            </w:pPr>
            <w:r>
              <w:rPr>
                <w:w w:val="105"/>
                <w:sz w:val="13"/>
              </w:rPr>
              <w:t>Plan de Impulso al Medio Ambiente (Residuos) 2021</w:t>
            </w:r>
          </w:p>
        </w:tc>
        <w:tc>
          <w:tcPr>
            <w:tcW w:w="905" w:type="dxa"/>
          </w:tcPr>
          <w:p>
            <w:pPr>
              <w:pStyle w:val="TableParagraph"/>
              <w:spacing w:before="117"/>
              <w:ind w:left="59"/>
              <w:rPr>
                <w:sz w:val="13"/>
              </w:rPr>
            </w:pPr>
            <w:r>
              <w:rPr>
                <w:w w:val="105"/>
                <w:sz w:val="13"/>
              </w:rPr>
              <w:t>177.977,36</w:t>
            </w:r>
          </w:p>
        </w:tc>
        <w:tc>
          <w:tcPr>
            <w:tcW w:w="757" w:type="dxa"/>
            <w:vMerge w:val="restart"/>
          </w:tcPr>
          <w:p>
            <w:pPr>
              <w:pStyle w:val="TableParagraph"/>
              <w:spacing w:line="247" w:lineRule="auto" w:before="38"/>
              <w:ind w:left="59"/>
              <w:rPr>
                <w:sz w:val="13"/>
              </w:rPr>
            </w:pPr>
            <w:r>
              <w:rPr>
                <w:w w:val="105"/>
                <w:sz w:val="13"/>
              </w:rPr>
              <w:t>Ministerio De Transición Ecológica</w:t>
            </w:r>
          </w:p>
        </w:tc>
        <w:tc>
          <w:tcPr>
            <w:tcW w:w="880" w:type="dxa"/>
            <w:vMerge w:val="restart"/>
          </w:tcPr>
          <w:p>
            <w:pPr>
              <w:pStyle w:val="TableParagraph"/>
              <w:rPr>
                <w:b/>
                <w:sz w:val="14"/>
              </w:rPr>
            </w:pPr>
          </w:p>
          <w:p>
            <w:pPr>
              <w:pStyle w:val="TableParagraph"/>
              <w:spacing w:before="113"/>
              <w:ind w:left="306"/>
              <w:rPr>
                <w:sz w:val="13"/>
              </w:rPr>
            </w:pPr>
            <w:r>
              <w:rPr>
                <w:w w:val="105"/>
                <w:sz w:val="13"/>
              </w:rPr>
              <w:t>2022</w:t>
            </w:r>
          </w:p>
        </w:tc>
        <w:tc>
          <w:tcPr>
            <w:tcW w:w="709" w:type="dxa"/>
            <w:vMerge w:val="restart"/>
          </w:tcPr>
          <w:p>
            <w:pPr>
              <w:pStyle w:val="TableParagraph"/>
              <w:rPr>
                <w:b/>
                <w:sz w:val="14"/>
              </w:rPr>
            </w:pPr>
          </w:p>
          <w:p>
            <w:pPr>
              <w:pStyle w:val="TableParagraph"/>
              <w:spacing w:before="113"/>
              <w:ind w:left="232"/>
              <w:rPr>
                <w:sz w:val="13"/>
              </w:rPr>
            </w:pPr>
            <w:r>
              <w:rPr>
                <w:w w:val="105"/>
                <w:sz w:val="13"/>
              </w:rPr>
              <w:t>ADO</w:t>
            </w:r>
          </w:p>
        </w:tc>
      </w:tr>
      <w:tr>
        <w:trPr>
          <w:trHeight w:val="326" w:hRule="atLeast"/>
        </w:trPr>
        <w:tc>
          <w:tcPr>
            <w:tcW w:w="1264" w:type="dxa"/>
          </w:tcPr>
          <w:p>
            <w:pPr>
              <w:pStyle w:val="TableParagraph"/>
              <w:spacing w:before="85"/>
              <w:ind w:left="57"/>
              <w:rPr>
                <w:sz w:val="13"/>
              </w:rPr>
            </w:pPr>
            <w:r>
              <w:rPr>
                <w:w w:val="105"/>
                <w:sz w:val="13"/>
              </w:rPr>
              <w:t>2021/F/000000120</w:t>
            </w:r>
          </w:p>
        </w:tc>
        <w:tc>
          <w:tcPr>
            <w:tcW w:w="1116" w:type="dxa"/>
          </w:tcPr>
          <w:p>
            <w:pPr>
              <w:pStyle w:val="TableParagraph"/>
              <w:spacing w:before="2"/>
              <w:ind w:left="57"/>
              <w:rPr>
                <w:sz w:val="13"/>
              </w:rPr>
            </w:pPr>
            <w:r>
              <w:rPr>
                <w:w w:val="105"/>
                <w:sz w:val="13"/>
              </w:rPr>
              <w:t>1207 456G</w:t>
            </w:r>
          </w:p>
          <w:p>
            <w:pPr>
              <w:pStyle w:val="TableParagraph"/>
              <w:spacing w:line="139" w:lineRule="exact" w:before="6"/>
              <w:ind w:left="57"/>
              <w:rPr>
                <w:sz w:val="13"/>
              </w:rPr>
            </w:pPr>
            <w:r>
              <w:rPr>
                <w:w w:val="105"/>
                <w:sz w:val="13"/>
              </w:rPr>
              <w:t>6500000 7012025</w:t>
            </w:r>
          </w:p>
        </w:tc>
        <w:tc>
          <w:tcPr>
            <w:tcW w:w="1548" w:type="dxa"/>
          </w:tcPr>
          <w:p>
            <w:pPr>
              <w:pStyle w:val="TableParagraph"/>
              <w:tabs>
                <w:tab w:pos="953" w:val="left" w:leader="none"/>
              </w:tabs>
              <w:spacing w:before="2"/>
              <w:ind w:left="59"/>
              <w:rPr>
                <w:sz w:val="13"/>
              </w:rPr>
            </w:pPr>
            <w:r>
              <w:rPr>
                <w:w w:val="105"/>
                <w:sz w:val="13"/>
              </w:rPr>
              <w:t>Programa</w:t>
              <w:tab/>
              <w:t>Economía</w:t>
            </w:r>
          </w:p>
          <w:p>
            <w:pPr>
              <w:pStyle w:val="TableParagraph"/>
              <w:spacing w:line="139" w:lineRule="exact" w:before="6"/>
              <w:ind w:left="59"/>
              <w:rPr>
                <w:sz w:val="13"/>
              </w:rPr>
            </w:pPr>
            <w:r>
              <w:rPr>
                <w:w w:val="105"/>
                <w:sz w:val="13"/>
              </w:rPr>
              <w:t>Circular 2021</w:t>
            </w:r>
          </w:p>
        </w:tc>
        <w:tc>
          <w:tcPr>
            <w:tcW w:w="905" w:type="dxa"/>
          </w:tcPr>
          <w:p>
            <w:pPr>
              <w:pStyle w:val="TableParagraph"/>
              <w:spacing w:before="85"/>
              <w:ind w:left="59"/>
              <w:rPr>
                <w:sz w:val="13"/>
              </w:rPr>
            </w:pPr>
            <w:r>
              <w:rPr>
                <w:w w:val="105"/>
                <w:sz w:val="13"/>
              </w:rPr>
              <w:t>111.002,10</w:t>
            </w:r>
          </w:p>
        </w:tc>
        <w:tc>
          <w:tcPr>
            <w:tcW w:w="757" w:type="dxa"/>
            <w:vMerge/>
            <w:tcBorders>
              <w:top w:val="nil"/>
            </w:tcBorders>
          </w:tcPr>
          <w:p>
            <w:pPr>
              <w:rPr>
                <w:sz w:val="2"/>
                <w:szCs w:val="2"/>
              </w:rPr>
            </w:pPr>
          </w:p>
        </w:tc>
        <w:tc>
          <w:tcPr>
            <w:tcW w:w="880" w:type="dxa"/>
            <w:vMerge/>
            <w:tcBorders>
              <w:top w:val="nil"/>
            </w:tcBorders>
          </w:tcPr>
          <w:p>
            <w:pPr>
              <w:rPr>
                <w:sz w:val="2"/>
                <w:szCs w:val="2"/>
              </w:rPr>
            </w:pPr>
          </w:p>
        </w:tc>
        <w:tc>
          <w:tcPr>
            <w:tcW w:w="709" w:type="dxa"/>
            <w:vMerge/>
            <w:tcBorders>
              <w:top w:val="nil"/>
            </w:tcBorders>
          </w:tcPr>
          <w:p>
            <w:pPr>
              <w:rPr>
                <w:sz w:val="2"/>
                <w:szCs w:val="2"/>
              </w:rPr>
            </w:pPr>
          </w:p>
        </w:tc>
      </w:tr>
      <w:tr>
        <w:trPr>
          <w:trHeight w:val="654" w:hRule="atLeast"/>
        </w:trPr>
        <w:tc>
          <w:tcPr>
            <w:tcW w:w="1264" w:type="dxa"/>
          </w:tcPr>
          <w:p>
            <w:pPr>
              <w:pStyle w:val="TableParagraph"/>
              <w:spacing w:before="3"/>
              <w:rPr>
                <w:b/>
                <w:sz w:val="20"/>
              </w:rPr>
            </w:pPr>
          </w:p>
          <w:p>
            <w:pPr>
              <w:pStyle w:val="TableParagraph"/>
              <w:spacing w:before="1"/>
              <w:ind w:left="57"/>
              <w:rPr>
                <w:sz w:val="13"/>
              </w:rPr>
            </w:pPr>
            <w:r>
              <w:rPr>
                <w:w w:val="105"/>
                <w:sz w:val="13"/>
              </w:rPr>
              <w:t>2020/F/000000064</w:t>
            </w:r>
          </w:p>
        </w:tc>
        <w:tc>
          <w:tcPr>
            <w:tcW w:w="1116" w:type="dxa"/>
          </w:tcPr>
          <w:p>
            <w:pPr>
              <w:pStyle w:val="TableParagraph"/>
              <w:spacing w:before="8"/>
              <w:rPr>
                <w:b/>
                <w:sz w:val="13"/>
              </w:rPr>
            </w:pPr>
          </w:p>
          <w:p>
            <w:pPr>
              <w:pStyle w:val="TableParagraph"/>
              <w:ind w:left="57"/>
              <w:rPr>
                <w:sz w:val="13"/>
              </w:rPr>
            </w:pPr>
            <w:r>
              <w:rPr>
                <w:w w:val="105"/>
                <w:sz w:val="13"/>
              </w:rPr>
              <w:t>1211 425A</w:t>
            </w:r>
          </w:p>
          <w:p>
            <w:pPr>
              <w:pStyle w:val="TableParagraph"/>
              <w:spacing w:before="5"/>
              <w:ind w:left="57"/>
              <w:rPr>
                <w:sz w:val="13"/>
              </w:rPr>
            </w:pPr>
            <w:r>
              <w:rPr>
                <w:w w:val="105"/>
                <w:sz w:val="13"/>
              </w:rPr>
              <w:t>7700200 7012022</w:t>
            </w:r>
          </w:p>
        </w:tc>
        <w:tc>
          <w:tcPr>
            <w:tcW w:w="1548" w:type="dxa"/>
          </w:tcPr>
          <w:p>
            <w:pPr>
              <w:pStyle w:val="TableParagraph"/>
              <w:spacing w:before="8"/>
              <w:rPr>
                <w:b/>
                <w:sz w:val="13"/>
              </w:rPr>
            </w:pPr>
          </w:p>
          <w:p>
            <w:pPr>
              <w:pStyle w:val="TableParagraph"/>
              <w:spacing w:line="247" w:lineRule="auto"/>
              <w:ind w:left="59"/>
              <w:rPr>
                <w:sz w:val="13"/>
              </w:rPr>
            </w:pPr>
            <w:r>
              <w:rPr>
                <w:w w:val="105"/>
                <w:sz w:val="13"/>
              </w:rPr>
              <w:t>Rehabilitación energética de edificios</w:t>
            </w:r>
          </w:p>
        </w:tc>
        <w:tc>
          <w:tcPr>
            <w:tcW w:w="905" w:type="dxa"/>
          </w:tcPr>
          <w:p>
            <w:pPr>
              <w:pStyle w:val="TableParagraph"/>
              <w:spacing w:before="3"/>
              <w:rPr>
                <w:b/>
                <w:sz w:val="20"/>
              </w:rPr>
            </w:pPr>
          </w:p>
          <w:p>
            <w:pPr>
              <w:pStyle w:val="TableParagraph"/>
              <w:spacing w:before="1"/>
              <w:ind w:left="59"/>
              <w:rPr>
                <w:sz w:val="13"/>
              </w:rPr>
            </w:pPr>
            <w:r>
              <w:rPr>
                <w:w w:val="105"/>
                <w:sz w:val="13"/>
              </w:rPr>
              <w:t>2.200.000,92</w:t>
            </w:r>
          </w:p>
        </w:tc>
        <w:tc>
          <w:tcPr>
            <w:tcW w:w="757" w:type="dxa"/>
          </w:tcPr>
          <w:p>
            <w:pPr>
              <w:pStyle w:val="TableParagraph"/>
              <w:spacing w:line="247" w:lineRule="auto" w:before="2"/>
              <w:ind w:left="59" w:right="193"/>
              <w:rPr>
                <w:sz w:val="13"/>
              </w:rPr>
            </w:pPr>
            <w:r>
              <w:rPr>
                <w:w w:val="105"/>
                <w:sz w:val="13"/>
              </w:rPr>
              <w:t>Fondo </w:t>
            </w:r>
            <w:r>
              <w:rPr>
                <w:spacing w:val="-1"/>
                <w:w w:val="105"/>
                <w:sz w:val="13"/>
              </w:rPr>
              <w:t>Nacional </w:t>
            </w:r>
            <w:r>
              <w:rPr>
                <w:w w:val="105"/>
                <w:sz w:val="13"/>
              </w:rPr>
              <w:t>De</w:t>
            </w:r>
            <w:r>
              <w:rPr>
                <w:spacing w:val="-5"/>
                <w:w w:val="105"/>
                <w:sz w:val="13"/>
              </w:rPr>
              <w:t> </w:t>
            </w:r>
            <w:r>
              <w:rPr>
                <w:w w:val="105"/>
                <w:sz w:val="13"/>
              </w:rPr>
              <w:t>Efic.</w:t>
            </w:r>
          </w:p>
          <w:p>
            <w:pPr>
              <w:pStyle w:val="TableParagraph"/>
              <w:spacing w:line="141" w:lineRule="exact" w:before="1"/>
              <w:ind w:left="59"/>
              <w:rPr>
                <w:sz w:val="13"/>
              </w:rPr>
            </w:pPr>
            <w:r>
              <w:rPr>
                <w:w w:val="105"/>
                <w:sz w:val="13"/>
              </w:rPr>
              <w:t>Energé</w:t>
            </w:r>
          </w:p>
        </w:tc>
        <w:tc>
          <w:tcPr>
            <w:tcW w:w="880" w:type="dxa"/>
          </w:tcPr>
          <w:p>
            <w:pPr>
              <w:pStyle w:val="TableParagraph"/>
              <w:spacing w:before="3"/>
              <w:rPr>
                <w:b/>
                <w:sz w:val="20"/>
              </w:rPr>
            </w:pPr>
          </w:p>
          <w:p>
            <w:pPr>
              <w:pStyle w:val="TableParagraph"/>
              <w:spacing w:before="1"/>
              <w:ind w:right="287"/>
              <w:jc w:val="right"/>
              <w:rPr>
                <w:sz w:val="13"/>
              </w:rPr>
            </w:pPr>
            <w:r>
              <w:rPr>
                <w:sz w:val="13"/>
              </w:rPr>
              <w:t>2022</w:t>
            </w:r>
          </w:p>
        </w:tc>
        <w:tc>
          <w:tcPr>
            <w:tcW w:w="709" w:type="dxa"/>
          </w:tcPr>
          <w:p>
            <w:pPr>
              <w:pStyle w:val="TableParagraph"/>
              <w:spacing w:before="3"/>
              <w:rPr>
                <w:b/>
                <w:sz w:val="20"/>
              </w:rPr>
            </w:pPr>
          </w:p>
          <w:p>
            <w:pPr>
              <w:pStyle w:val="TableParagraph"/>
              <w:spacing w:before="1"/>
              <w:ind w:left="210" w:right="194"/>
              <w:jc w:val="center"/>
              <w:rPr>
                <w:sz w:val="13"/>
              </w:rPr>
            </w:pPr>
            <w:r>
              <w:rPr>
                <w:w w:val="105"/>
                <w:sz w:val="13"/>
              </w:rPr>
              <w:t>ADO</w:t>
            </w:r>
          </w:p>
        </w:tc>
      </w:tr>
      <w:tr>
        <w:trPr>
          <w:trHeight w:val="655" w:hRule="atLeast"/>
        </w:trPr>
        <w:tc>
          <w:tcPr>
            <w:tcW w:w="1264" w:type="dxa"/>
          </w:tcPr>
          <w:p>
            <w:pPr>
              <w:pStyle w:val="TableParagraph"/>
              <w:spacing w:before="4"/>
              <w:rPr>
                <w:b/>
                <w:sz w:val="20"/>
              </w:rPr>
            </w:pPr>
          </w:p>
          <w:p>
            <w:pPr>
              <w:pStyle w:val="TableParagraph"/>
              <w:ind w:left="57"/>
              <w:rPr>
                <w:sz w:val="13"/>
              </w:rPr>
            </w:pPr>
            <w:r>
              <w:rPr>
                <w:w w:val="105"/>
                <w:sz w:val="13"/>
              </w:rPr>
              <w:t>2020/F/000000019</w:t>
            </w:r>
          </w:p>
        </w:tc>
        <w:tc>
          <w:tcPr>
            <w:tcW w:w="1116" w:type="dxa"/>
          </w:tcPr>
          <w:p>
            <w:pPr>
              <w:pStyle w:val="TableParagraph"/>
              <w:spacing w:before="7"/>
              <w:rPr>
                <w:b/>
                <w:sz w:val="13"/>
              </w:rPr>
            </w:pPr>
          </w:p>
          <w:p>
            <w:pPr>
              <w:pStyle w:val="TableParagraph"/>
              <w:ind w:left="57"/>
              <w:rPr>
                <w:sz w:val="13"/>
              </w:rPr>
            </w:pPr>
            <w:r>
              <w:rPr>
                <w:w w:val="105"/>
                <w:sz w:val="13"/>
              </w:rPr>
              <w:t>1211 425A</w:t>
            </w:r>
          </w:p>
          <w:p>
            <w:pPr>
              <w:pStyle w:val="TableParagraph"/>
              <w:spacing w:before="6"/>
              <w:ind w:left="57"/>
              <w:rPr>
                <w:sz w:val="13"/>
              </w:rPr>
            </w:pPr>
            <w:r>
              <w:rPr>
                <w:w w:val="105"/>
                <w:sz w:val="13"/>
              </w:rPr>
              <w:t>7800200 7012018</w:t>
            </w:r>
          </w:p>
        </w:tc>
        <w:tc>
          <w:tcPr>
            <w:tcW w:w="1548" w:type="dxa"/>
          </w:tcPr>
          <w:p>
            <w:pPr>
              <w:pStyle w:val="TableParagraph"/>
              <w:spacing w:before="7"/>
              <w:rPr>
                <w:b/>
                <w:sz w:val="13"/>
              </w:rPr>
            </w:pPr>
          </w:p>
          <w:p>
            <w:pPr>
              <w:pStyle w:val="TableParagraph"/>
              <w:spacing w:line="249" w:lineRule="auto"/>
              <w:ind w:left="59" w:right="45"/>
              <w:rPr>
                <w:sz w:val="13"/>
              </w:rPr>
            </w:pPr>
            <w:r>
              <w:rPr>
                <w:w w:val="105"/>
                <w:sz w:val="13"/>
              </w:rPr>
              <w:t>PROGRAMA MOVES II 2021 IDAE</w:t>
            </w:r>
          </w:p>
        </w:tc>
        <w:tc>
          <w:tcPr>
            <w:tcW w:w="905" w:type="dxa"/>
          </w:tcPr>
          <w:p>
            <w:pPr>
              <w:pStyle w:val="TableParagraph"/>
              <w:spacing w:before="4"/>
              <w:rPr>
                <w:b/>
                <w:sz w:val="20"/>
              </w:rPr>
            </w:pPr>
          </w:p>
          <w:p>
            <w:pPr>
              <w:pStyle w:val="TableParagraph"/>
              <w:ind w:left="59"/>
              <w:rPr>
                <w:sz w:val="13"/>
              </w:rPr>
            </w:pPr>
            <w:r>
              <w:rPr>
                <w:w w:val="105"/>
                <w:sz w:val="13"/>
              </w:rPr>
              <w:t>1.060.317,74</w:t>
            </w:r>
          </w:p>
        </w:tc>
        <w:tc>
          <w:tcPr>
            <w:tcW w:w="757" w:type="dxa"/>
          </w:tcPr>
          <w:p>
            <w:pPr>
              <w:pStyle w:val="TableParagraph"/>
              <w:spacing w:line="247" w:lineRule="auto" w:before="2"/>
              <w:ind w:left="59" w:right="45"/>
              <w:rPr>
                <w:sz w:val="13"/>
              </w:rPr>
            </w:pPr>
            <w:r>
              <w:rPr>
                <w:w w:val="105"/>
                <w:sz w:val="13"/>
              </w:rPr>
              <w:t>Inst. Para La Diversificac</w:t>
            </w:r>
          </w:p>
          <w:p>
            <w:pPr>
              <w:pStyle w:val="TableParagraph"/>
              <w:spacing w:line="141" w:lineRule="exact" w:before="2"/>
              <w:ind w:left="59"/>
              <w:rPr>
                <w:sz w:val="13"/>
              </w:rPr>
            </w:pPr>
            <w:r>
              <w:rPr>
                <w:w w:val="105"/>
                <w:sz w:val="13"/>
              </w:rPr>
              <w:t>ión Y</w:t>
            </w:r>
          </w:p>
        </w:tc>
        <w:tc>
          <w:tcPr>
            <w:tcW w:w="880" w:type="dxa"/>
          </w:tcPr>
          <w:p>
            <w:pPr>
              <w:pStyle w:val="TableParagraph"/>
              <w:spacing w:before="4"/>
              <w:rPr>
                <w:b/>
                <w:sz w:val="20"/>
              </w:rPr>
            </w:pPr>
          </w:p>
          <w:p>
            <w:pPr>
              <w:pStyle w:val="TableParagraph"/>
              <w:ind w:right="287"/>
              <w:jc w:val="right"/>
              <w:rPr>
                <w:sz w:val="13"/>
              </w:rPr>
            </w:pPr>
            <w:r>
              <w:rPr>
                <w:sz w:val="13"/>
              </w:rPr>
              <w:t>2022</w:t>
            </w:r>
          </w:p>
        </w:tc>
        <w:tc>
          <w:tcPr>
            <w:tcW w:w="709" w:type="dxa"/>
          </w:tcPr>
          <w:p>
            <w:pPr>
              <w:pStyle w:val="TableParagraph"/>
              <w:spacing w:before="4"/>
              <w:rPr>
                <w:b/>
                <w:sz w:val="20"/>
              </w:rPr>
            </w:pPr>
          </w:p>
          <w:p>
            <w:pPr>
              <w:pStyle w:val="TableParagraph"/>
              <w:ind w:left="210" w:right="194"/>
              <w:jc w:val="center"/>
              <w:rPr>
                <w:sz w:val="13"/>
              </w:rPr>
            </w:pPr>
            <w:r>
              <w:rPr>
                <w:w w:val="105"/>
                <w:sz w:val="13"/>
              </w:rPr>
              <w:t>ADO</w:t>
            </w:r>
          </w:p>
        </w:tc>
      </w:tr>
      <w:tr>
        <w:trPr>
          <w:trHeight w:val="324" w:hRule="atLeast"/>
        </w:trPr>
        <w:tc>
          <w:tcPr>
            <w:tcW w:w="2380" w:type="dxa"/>
            <w:gridSpan w:val="2"/>
          </w:tcPr>
          <w:p>
            <w:pPr>
              <w:pStyle w:val="TableParagraph"/>
              <w:spacing w:before="2"/>
              <w:ind w:left="57"/>
              <w:rPr>
                <w:b/>
                <w:sz w:val="13"/>
              </w:rPr>
            </w:pPr>
            <w:r>
              <w:rPr>
                <w:b/>
                <w:w w:val="105"/>
                <w:sz w:val="13"/>
              </w:rPr>
              <w:t>C. De Transición Ecológica, Lucha Contra</w:t>
            </w:r>
          </w:p>
          <w:p>
            <w:pPr>
              <w:pStyle w:val="TableParagraph"/>
              <w:spacing w:line="139" w:lineRule="exact" w:before="4"/>
              <w:ind w:left="57"/>
              <w:rPr>
                <w:b/>
                <w:sz w:val="13"/>
              </w:rPr>
            </w:pPr>
            <w:r>
              <w:rPr>
                <w:b/>
                <w:w w:val="105"/>
                <w:sz w:val="13"/>
              </w:rPr>
              <w:t>El Cambio Climático.</w:t>
            </w:r>
          </w:p>
        </w:tc>
        <w:tc>
          <w:tcPr>
            <w:tcW w:w="1548" w:type="dxa"/>
          </w:tcPr>
          <w:p>
            <w:pPr>
              <w:pStyle w:val="TableParagraph"/>
              <w:rPr>
                <w:rFonts w:ascii="Times New Roman"/>
                <w:sz w:val="12"/>
              </w:rPr>
            </w:pPr>
          </w:p>
        </w:tc>
        <w:tc>
          <w:tcPr>
            <w:tcW w:w="905" w:type="dxa"/>
          </w:tcPr>
          <w:p>
            <w:pPr>
              <w:pStyle w:val="TableParagraph"/>
              <w:spacing w:before="82"/>
              <w:ind w:left="59"/>
              <w:rPr>
                <w:b/>
                <w:sz w:val="13"/>
              </w:rPr>
            </w:pPr>
            <w:r>
              <w:rPr>
                <w:b/>
                <w:w w:val="105"/>
                <w:sz w:val="13"/>
              </w:rPr>
              <w:t>3.549.298,12</w:t>
            </w:r>
          </w:p>
        </w:tc>
        <w:tc>
          <w:tcPr>
            <w:tcW w:w="757" w:type="dxa"/>
          </w:tcPr>
          <w:p>
            <w:pPr>
              <w:pStyle w:val="TableParagraph"/>
              <w:rPr>
                <w:rFonts w:ascii="Times New Roman"/>
                <w:sz w:val="12"/>
              </w:rPr>
            </w:pPr>
          </w:p>
        </w:tc>
        <w:tc>
          <w:tcPr>
            <w:tcW w:w="880" w:type="dxa"/>
          </w:tcPr>
          <w:p>
            <w:pPr>
              <w:pStyle w:val="TableParagraph"/>
              <w:rPr>
                <w:rFonts w:ascii="Times New Roman"/>
                <w:sz w:val="12"/>
              </w:rPr>
            </w:pPr>
          </w:p>
        </w:tc>
        <w:tc>
          <w:tcPr>
            <w:tcW w:w="709" w:type="dxa"/>
          </w:tcPr>
          <w:p>
            <w:pPr>
              <w:pStyle w:val="TableParagraph"/>
              <w:rPr>
                <w:rFonts w:ascii="Times New Roman"/>
                <w:sz w:val="12"/>
              </w:rPr>
            </w:pPr>
          </w:p>
        </w:tc>
      </w:tr>
      <w:tr>
        <w:trPr>
          <w:trHeight w:val="251" w:hRule="atLeast"/>
        </w:trPr>
        <w:tc>
          <w:tcPr>
            <w:tcW w:w="2380" w:type="dxa"/>
            <w:gridSpan w:val="2"/>
            <w:tcBorders>
              <w:left w:val="nil"/>
              <w:bottom w:val="nil"/>
            </w:tcBorders>
          </w:tcPr>
          <w:p>
            <w:pPr>
              <w:pStyle w:val="TableParagraph"/>
              <w:rPr>
                <w:rFonts w:ascii="Times New Roman"/>
                <w:sz w:val="12"/>
              </w:rPr>
            </w:pPr>
          </w:p>
        </w:tc>
        <w:tc>
          <w:tcPr>
            <w:tcW w:w="1548" w:type="dxa"/>
          </w:tcPr>
          <w:p>
            <w:pPr>
              <w:pStyle w:val="TableParagraph"/>
              <w:spacing w:before="46"/>
              <w:ind w:left="59"/>
              <w:rPr>
                <w:b/>
                <w:sz w:val="13"/>
              </w:rPr>
            </w:pPr>
            <w:r>
              <w:rPr>
                <w:b/>
                <w:w w:val="105"/>
                <w:sz w:val="13"/>
              </w:rPr>
              <w:t>Total general</w:t>
            </w:r>
          </w:p>
        </w:tc>
        <w:tc>
          <w:tcPr>
            <w:tcW w:w="905" w:type="dxa"/>
          </w:tcPr>
          <w:p>
            <w:pPr>
              <w:pStyle w:val="TableParagraph"/>
              <w:spacing w:before="46"/>
              <w:ind w:left="59"/>
              <w:rPr>
                <w:b/>
                <w:sz w:val="13"/>
              </w:rPr>
            </w:pPr>
            <w:r>
              <w:rPr>
                <w:b/>
                <w:w w:val="105"/>
                <w:sz w:val="13"/>
              </w:rPr>
              <w:t>18.116.158,86</w:t>
            </w:r>
          </w:p>
        </w:tc>
        <w:tc>
          <w:tcPr>
            <w:tcW w:w="2346" w:type="dxa"/>
            <w:gridSpan w:val="3"/>
            <w:tcBorders>
              <w:bottom w:val="nil"/>
              <w:right w:val="nil"/>
            </w:tcBorders>
          </w:tcPr>
          <w:p>
            <w:pPr>
              <w:pStyle w:val="TableParagraph"/>
              <w:rPr>
                <w:rFonts w:ascii="Times New Roman"/>
                <w:sz w:val="12"/>
              </w:rPr>
            </w:pPr>
          </w:p>
        </w:tc>
      </w:tr>
    </w:tbl>
    <w:p>
      <w:pPr>
        <w:pStyle w:val="BodyText"/>
        <w:spacing w:before="1"/>
        <w:rPr>
          <w:b/>
          <w:sz w:val="7"/>
        </w:rPr>
      </w:pPr>
    </w:p>
    <w:p>
      <w:pPr>
        <w:pStyle w:val="BodyText"/>
        <w:spacing w:before="61"/>
        <w:ind w:left="7897"/>
        <w:jc w:val="center"/>
      </w:pPr>
      <w:r>
        <w:rPr/>
        <w:t>57</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25" name="image5.png"/>
                  <wp:cNvGraphicFramePr>
                    <a:graphicFrameLocks noChangeAspect="1"/>
                  </wp:cNvGraphicFramePr>
                  <a:graphic>
                    <a:graphicData uri="http://schemas.openxmlformats.org/drawingml/2006/picture">
                      <pic:pic>
                        <pic:nvPicPr>
                          <pic:cNvPr id="12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59/247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right="1138" w:firstLine="604"/>
        <w:jc w:val="both"/>
      </w:pPr>
      <w:r>
        <w:rPr/>
        <w:t>Fuera del plazo establecido, se recibió información de otros departamentos con diversos expedientes de devolución de excesos de ingresos de financiación afectada, que no ha sido reflejada en el cuadro anterior.</w:t>
      </w:r>
    </w:p>
    <w:p>
      <w:pPr>
        <w:pStyle w:val="BodyText"/>
        <w:spacing w:before="11"/>
        <w:rPr>
          <w:sz w:val="16"/>
        </w:rPr>
      </w:pPr>
    </w:p>
    <w:p>
      <w:pPr>
        <w:pStyle w:val="BodyText"/>
        <w:spacing w:line="242" w:lineRule="auto" w:before="1"/>
        <w:ind w:left="2096" w:right="1135" w:firstLine="604"/>
        <w:jc w:val="both"/>
      </w:pPr>
      <w:r>
        <w:rPr/>
        <w:t>La Resolución de la Dirección General de Presupuestos y Asuntos Europeos, de 26 de mayo de 2021 por la que se dictan instrucciones sobre la tramitación de generaciones e incorporaciones de crédito con financiación afectada, las devoluciones de estos importes de proyectos de gastos con financiación afectada, se formalizan mediante la tramitación de documentos contables (ADO) de ejecución del presupuesto de gasto. De la lectura de la misma, se deduce que estos expedientes de devolución de ingresos deben tramitarse como pagos imputados al presupuesto de gastos.</w:t>
      </w:r>
    </w:p>
    <w:p>
      <w:pPr>
        <w:pStyle w:val="BodyText"/>
        <w:spacing w:before="3"/>
        <w:rPr>
          <w:sz w:val="16"/>
        </w:rPr>
      </w:pPr>
    </w:p>
    <w:p>
      <w:pPr>
        <w:pStyle w:val="BodyText"/>
        <w:spacing w:line="242" w:lineRule="auto"/>
        <w:ind w:left="2096" w:right="1140" w:firstLine="604"/>
        <w:jc w:val="both"/>
      </w:pPr>
      <w:r>
        <w:rPr/>
        <w:t>Todo</w:t>
      </w:r>
      <w:r>
        <w:rPr>
          <w:spacing w:val="-6"/>
        </w:rPr>
        <w:t> </w:t>
      </w:r>
      <w:r>
        <w:rPr/>
        <w:t>este</w:t>
      </w:r>
      <w:r>
        <w:rPr>
          <w:spacing w:val="-6"/>
        </w:rPr>
        <w:t> </w:t>
      </w:r>
      <w:r>
        <w:rPr/>
        <w:t>procedimiento</w:t>
      </w:r>
      <w:r>
        <w:rPr>
          <w:spacing w:val="-6"/>
        </w:rPr>
        <w:t> </w:t>
      </w:r>
      <w:r>
        <w:rPr/>
        <w:t>que</w:t>
      </w:r>
      <w:r>
        <w:rPr>
          <w:spacing w:val="-6"/>
        </w:rPr>
        <w:t> </w:t>
      </w:r>
      <w:r>
        <w:rPr/>
        <w:t>se</w:t>
      </w:r>
      <w:r>
        <w:rPr>
          <w:spacing w:val="-6"/>
        </w:rPr>
        <w:t> </w:t>
      </w:r>
      <w:r>
        <w:rPr/>
        <w:t>fundamenta</w:t>
      </w:r>
      <w:r>
        <w:rPr>
          <w:spacing w:val="-6"/>
        </w:rPr>
        <w:t> </w:t>
      </w:r>
      <w:r>
        <w:rPr/>
        <w:t>en</w:t>
      </w:r>
      <w:r>
        <w:rPr>
          <w:spacing w:val="-5"/>
        </w:rPr>
        <w:t> </w:t>
      </w:r>
      <w:r>
        <w:rPr/>
        <w:t>la</w:t>
      </w:r>
      <w:r>
        <w:rPr>
          <w:spacing w:val="-6"/>
        </w:rPr>
        <w:t> </w:t>
      </w:r>
      <w:r>
        <w:rPr/>
        <w:t>Resolución</w:t>
      </w:r>
      <w:r>
        <w:rPr>
          <w:spacing w:val="-5"/>
        </w:rPr>
        <w:t> </w:t>
      </w:r>
      <w:r>
        <w:rPr/>
        <w:t>de</w:t>
      </w:r>
      <w:r>
        <w:rPr>
          <w:spacing w:val="-3"/>
        </w:rPr>
        <w:t> </w:t>
      </w:r>
      <w:r>
        <w:rPr/>
        <w:t>la</w:t>
      </w:r>
      <w:r>
        <w:rPr>
          <w:spacing w:val="-6"/>
        </w:rPr>
        <w:t> </w:t>
      </w:r>
      <w:r>
        <w:rPr/>
        <w:t>DGP</w:t>
      </w:r>
      <w:r>
        <w:rPr>
          <w:spacing w:val="-8"/>
        </w:rPr>
        <w:t> </w:t>
      </w:r>
      <w:r>
        <w:rPr/>
        <w:t>propicia que</w:t>
      </w:r>
      <w:r>
        <w:rPr>
          <w:spacing w:val="-6"/>
        </w:rPr>
        <w:t> </w:t>
      </w:r>
      <w:r>
        <w:rPr/>
        <w:t>se</w:t>
      </w:r>
      <w:r>
        <w:rPr>
          <w:spacing w:val="-8"/>
        </w:rPr>
        <w:t> </w:t>
      </w:r>
      <w:r>
        <w:rPr/>
        <w:t>distorsione</w:t>
      </w:r>
      <w:r>
        <w:rPr>
          <w:spacing w:val="-5"/>
        </w:rPr>
        <w:t> </w:t>
      </w:r>
      <w:r>
        <w:rPr/>
        <w:t>la</w:t>
      </w:r>
      <w:r>
        <w:rPr>
          <w:spacing w:val="-6"/>
        </w:rPr>
        <w:t> </w:t>
      </w:r>
      <w:r>
        <w:rPr/>
        <w:t>imagen</w:t>
      </w:r>
      <w:r>
        <w:rPr>
          <w:spacing w:val="-4"/>
        </w:rPr>
        <w:t> </w:t>
      </w:r>
      <w:r>
        <w:rPr/>
        <w:t>fiel</w:t>
      </w:r>
      <w:r>
        <w:rPr>
          <w:spacing w:val="-6"/>
        </w:rPr>
        <w:t> </w:t>
      </w:r>
      <w:r>
        <w:rPr/>
        <w:t>de</w:t>
      </w:r>
      <w:r>
        <w:rPr>
          <w:spacing w:val="-8"/>
        </w:rPr>
        <w:t> </w:t>
      </w:r>
      <w:r>
        <w:rPr/>
        <w:t>la</w:t>
      </w:r>
      <w:r>
        <w:rPr>
          <w:spacing w:val="-5"/>
        </w:rPr>
        <w:t> </w:t>
      </w:r>
      <w:r>
        <w:rPr/>
        <w:t>ejecución</w:t>
      </w:r>
      <w:r>
        <w:rPr>
          <w:spacing w:val="-8"/>
        </w:rPr>
        <w:t> </w:t>
      </w:r>
      <w:r>
        <w:rPr/>
        <w:t>del</w:t>
      </w:r>
      <w:r>
        <w:rPr>
          <w:spacing w:val="-5"/>
        </w:rPr>
        <w:t> </w:t>
      </w:r>
      <w:r>
        <w:rPr/>
        <w:t>presupuesto</w:t>
      </w:r>
      <w:r>
        <w:rPr>
          <w:spacing w:val="-8"/>
        </w:rPr>
        <w:t> </w:t>
      </w:r>
      <w:r>
        <w:rPr/>
        <w:t>de</w:t>
      </w:r>
      <w:r>
        <w:rPr>
          <w:spacing w:val="-6"/>
        </w:rPr>
        <w:t> </w:t>
      </w:r>
      <w:r>
        <w:rPr/>
        <w:t>gastos,</w:t>
      </w:r>
      <w:r>
        <w:rPr>
          <w:spacing w:val="-5"/>
        </w:rPr>
        <w:t> </w:t>
      </w:r>
      <w:r>
        <w:rPr/>
        <w:t>aumentando indebidamente el grado de ejecución del mismo, pues en realidad, los proyectos de gasto</w:t>
      </w:r>
      <w:r>
        <w:rPr>
          <w:spacing w:val="-6"/>
        </w:rPr>
        <w:t> </w:t>
      </w:r>
      <w:r>
        <w:rPr/>
        <w:t>vinculados</w:t>
      </w:r>
      <w:r>
        <w:rPr>
          <w:spacing w:val="-6"/>
        </w:rPr>
        <w:t> </w:t>
      </w:r>
      <w:r>
        <w:rPr/>
        <w:t>a</w:t>
      </w:r>
      <w:r>
        <w:rPr>
          <w:spacing w:val="-8"/>
        </w:rPr>
        <w:t> </w:t>
      </w:r>
      <w:r>
        <w:rPr/>
        <w:t>la</w:t>
      </w:r>
      <w:r>
        <w:rPr>
          <w:spacing w:val="-5"/>
        </w:rPr>
        <w:t> </w:t>
      </w:r>
      <w:r>
        <w:rPr/>
        <w:t>correspondiente</w:t>
      </w:r>
      <w:r>
        <w:rPr>
          <w:spacing w:val="-8"/>
        </w:rPr>
        <w:t> </w:t>
      </w:r>
      <w:r>
        <w:rPr/>
        <w:t>financiación</w:t>
      </w:r>
      <w:r>
        <w:rPr>
          <w:spacing w:val="-8"/>
        </w:rPr>
        <w:t> </w:t>
      </w:r>
      <w:r>
        <w:rPr/>
        <w:t>afectada</w:t>
      </w:r>
      <w:r>
        <w:rPr>
          <w:spacing w:val="-7"/>
        </w:rPr>
        <w:t> </w:t>
      </w:r>
      <w:r>
        <w:rPr/>
        <w:t>que</w:t>
      </w:r>
      <w:r>
        <w:rPr>
          <w:spacing w:val="-6"/>
        </w:rPr>
        <w:t> </w:t>
      </w:r>
      <w:r>
        <w:rPr/>
        <w:t>se</w:t>
      </w:r>
      <w:r>
        <w:rPr>
          <w:spacing w:val="-8"/>
        </w:rPr>
        <w:t> </w:t>
      </w:r>
      <w:r>
        <w:rPr/>
        <w:t>devuelve</w:t>
      </w:r>
      <w:r>
        <w:rPr>
          <w:spacing w:val="-5"/>
        </w:rPr>
        <w:t> </w:t>
      </w:r>
      <w:r>
        <w:rPr/>
        <w:t>no</w:t>
      </w:r>
      <w:r>
        <w:rPr>
          <w:spacing w:val="-8"/>
        </w:rPr>
        <w:t> </w:t>
      </w:r>
      <w:r>
        <w:rPr/>
        <w:t>han</w:t>
      </w:r>
      <w:r>
        <w:rPr>
          <w:spacing w:val="-6"/>
        </w:rPr>
        <w:t> </w:t>
      </w:r>
      <w:r>
        <w:rPr/>
        <w:t>sido realmente ejecutados. El grado de ejecución presupuestaria (obligaciones reconocidas/crédito definitivo) se ve alterado de manera irreal. Lo correcto sería tramitar la devolución de estos excesos de financiación, mediante la contabilización de un documento contable de mandamiento de pago de devoluciones de ingresos. Este procedimiento</w:t>
      </w:r>
      <w:r>
        <w:rPr>
          <w:spacing w:val="-5"/>
        </w:rPr>
        <w:t> </w:t>
      </w:r>
      <w:r>
        <w:rPr/>
        <w:t>no</w:t>
      </w:r>
      <w:r>
        <w:rPr>
          <w:spacing w:val="-5"/>
        </w:rPr>
        <w:t> </w:t>
      </w:r>
      <w:r>
        <w:rPr/>
        <w:t>altera</w:t>
      </w:r>
      <w:r>
        <w:rPr>
          <w:spacing w:val="-5"/>
        </w:rPr>
        <w:t> </w:t>
      </w:r>
      <w:r>
        <w:rPr/>
        <w:t>la</w:t>
      </w:r>
      <w:r>
        <w:rPr>
          <w:spacing w:val="-3"/>
        </w:rPr>
        <w:t> </w:t>
      </w:r>
      <w:r>
        <w:rPr/>
        <w:t>ejecución</w:t>
      </w:r>
      <w:r>
        <w:rPr>
          <w:spacing w:val="-5"/>
        </w:rPr>
        <w:t> </w:t>
      </w:r>
      <w:r>
        <w:rPr/>
        <w:t>del</w:t>
      </w:r>
      <w:r>
        <w:rPr>
          <w:spacing w:val="-5"/>
        </w:rPr>
        <w:t> </w:t>
      </w:r>
      <w:r>
        <w:rPr/>
        <w:t>presupuesto</w:t>
      </w:r>
      <w:r>
        <w:rPr>
          <w:spacing w:val="-5"/>
        </w:rPr>
        <w:t> </w:t>
      </w:r>
      <w:r>
        <w:rPr/>
        <w:t>de</w:t>
      </w:r>
      <w:r>
        <w:rPr>
          <w:spacing w:val="-5"/>
        </w:rPr>
        <w:t> </w:t>
      </w:r>
      <w:r>
        <w:rPr/>
        <w:t>gastos,</w:t>
      </w:r>
      <w:r>
        <w:rPr>
          <w:spacing w:val="-5"/>
        </w:rPr>
        <w:t> </w:t>
      </w:r>
      <w:r>
        <w:rPr/>
        <w:t>y</w:t>
      </w:r>
      <w:r>
        <w:rPr>
          <w:spacing w:val="-3"/>
        </w:rPr>
        <w:t> </w:t>
      </w:r>
      <w:r>
        <w:rPr/>
        <w:t>refleja</w:t>
      </w:r>
      <w:r>
        <w:rPr>
          <w:spacing w:val="-5"/>
        </w:rPr>
        <w:t> </w:t>
      </w:r>
      <w:r>
        <w:rPr/>
        <w:t>correctamente la minoración de los derechos reconocidos y recaudados de la correspondiente partida del</w:t>
      </w:r>
      <w:r>
        <w:rPr>
          <w:spacing w:val="-6"/>
        </w:rPr>
        <w:t> </w:t>
      </w:r>
      <w:r>
        <w:rPr/>
        <w:t>presupuesto</w:t>
      </w:r>
      <w:r>
        <w:rPr>
          <w:spacing w:val="-6"/>
        </w:rPr>
        <w:t> </w:t>
      </w:r>
      <w:r>
        <w:rPr/>
        <w:t>de</w:t>
      </w:r>
      <w:r>
        <w:rPr>
          <w:spacing w:val="-4"/>
        </w:rPr>
        <w:t> </w:t>
      </w:r>
      <w:r>
        <w:rPr/>
        <w:t>ingresos,</w:t>
      </w:r>
      <w:r>
        <w:rPr>
          <w:spacing w:val="-4"/>
        </w:rPr>
        <w:t> </w:t>
      </w:r>
      <w:r>
        <w:rPr/>
        <w:t>donde</w:t>
      </w:r>
      <w:r>
        <w:rPr>
          <w:spacing w:val="-6"/>
        </w:rPr>
        <w:t> </w:t>
      </w:r>
      <w:r>
        <w:rPr/>
        <w:t>se</w:t>
      </w:r>
      <w:r>
        <w:rPr>
          <w:spacing w:val="-4"/>
        </w:rPr>
        <w:t> </w:t>
      </w:r>
      <w:r>
        <w:rPr/>
        <w:t>consignó</w:t>
      </w:r>
      <w:r>
        <w:rPr>
          <w:spacing w:val="-4"/>
        </w:rPr>
        <w:t> </w:t>
      </w:r>
      <w:r>
        <w:rPr/>
        <w:t>la</w:t>
      </w:r>
      <w:r>
        <w:rPr>
          <w:spacing w:val="-6"/>
        </w:rPr>
        <w:t> </w:t>
      </w:r>
      <w:r>
        <w:rPr/>
        <w:t>previsión</w:t>
      </w:r>
      <w:r>
        <w:rPr>
          <w:spacing w:val="-4"/>
        </w:rPr>
        <w:t> </w:t>
      </w:r>
      <w:r>
        <w:rPr/>
        <w:t>de</w:t>
      </w:r>
      <w:r>
        <w:rPr>
          <w:spacing w:val="-3"/>
        </w:rPr>
        <w:t> </w:t>
      </w:r>
      <w:r>
        <w:rPr/>
        <w:t>la</w:t>
      </w:r>
      <w:r>
        <w:rPr>
          <w:spacing w:val="-6"/>
        </w:rPr>
        <w:t> </w:t>
      </w:r>
      <w:r>
        <w:rPr/>
        <w:t>fuente</w:t>
      </w:r>
      <w:r>
        <w:rPr>
          <w:spacing w:val="-6"/>
        </w:rPr>
        <w:t> </w:t>
      </w:r>
      <w:r>
        <w:rPr/>
        <w:t>de</w:t>
      </w:r>
      <w:r>
        <w:rPr>
          <w:spacing w:val="-6"/>
        </w:rPr>
        <w:t> </w:t>
      </w:r>
      <w:r>
        <w:rPr/>
        <w:t>financiación afectada, fuere cual fuera el ejercicio en el que se ingresó la correspondiente financiación.</w:t>
      </w:r>
    </w:p>
    <w:p>
      <w:pPr>
        <w:pStyle w:val="BodyText"/>
        <w:spacing w:before="11"/>
        <w:rPr>
          <w:sz w:val="15"/>
        </w:rPr>
      </w:pPr>
    </w:p>
    <w:p>
      <w:pPr>
        <w:spacing w:before="0"/>
        <w:ind w:left="2096" w:right="1137" w:firstLine="594"/>
        <w:jc w:val="both"/>
        <w:rPr>
          <w:i/>
          <w:sz w:val="20"/>
        </w:rPr>
      </w:pPr>
      <w:r>
        <w:rPr>
          <w:sz w:val="20"/>
        </w:rPr>
        <w:t>En el apartado 3.6. “Devolución de ingresos” del Manual de Contabilidad Pública de la IGAE (Plan General de Contabilidad Pública 2ª edición. Actualizada) se señala: “</w:t>
      </w:r>
      <w:r>
        <w:rPr>
          <w:i/>
          <w:sz w:val="20"/>
        </w:rPr>
        <w:t>Estas</w:t>
      </w:r>
      <w:r>
        <w:rPr>
          <w:i/>
          <w:spacing w:val="-8"/>
          <w:sz w:val="20"/>
        </w:rPr>
        <w:t> </w:t>
      </w:r>
      <w:r>
        <w:rPr>
          <w:i/>
          <w:sz w:val="20"/>
        </w:rPr>
        <w:t>devoluciones</w:t>
      </w:r>
      <w:r>
        <w:rPr>
          <w:i/>
          <w:spacing w:val="-7"/>
          <w:sz w:val="20"/>
        </w:rPr>
        <w:t> </w:t>
      </w:r>
      <w:r>
        <w:rPr>
          <w:i/>
          <w:sz w:val="20"/>
        </w:rPr>
        <w:t>se</w:t>
      </w:r>
      <w:r>
        <w:rPr>
          <w:i/>
          <w:spacing w:val="-9"/>
          <w:sz w:val="20"/>
        </w:rPr>
        <w:t> </w:t>
      </w:r>
      <w:r>
        <w:rPr>
          <w:i/>
          <w:sz w:val="20"/>
        </w:rPr>
        <w:t>aplicarán</w:t>
      </w:r>
      <w:r>
        <w:rPr>
          <w:i/>
          <w:spacing w:val="-9"/>
          <w:sz w:val="20"/>
        </w:rPr>
        <w:t> </w:t>
      </w:r>
      <w:r>
        <w:rPr>
          <w:i/>
          <w:sz w:val="20"/>
        </w:rPr>
        <w:t>siempre</w:t>
      </w:r>
      <w:r>
        <w:rPr>
          <w:i/>
          <w:spacing w:val="-8"/>
          <w:sz w:val="20"/>
        </w:rPr>
        <w:t> </w:t>
      </w:r>
      <w:r>
        <w:rPr>
          <w:i/>
          <w:sz w:val="20"/>
        </w:rPr>
        <w:t>al</w:t>
      </w:r>
      <w:r>
        <w:rPr>
          <w:i/>
          <w:spacing w:val="-7"/>
          <w:sz w:val="20"/>
        </w:rPr>
        <w:t> </w:t>
      </w:r>
      <w:r>
        <w:rPr>
          <w:i/>
          <w:sz w:val="20"/>
        </w:rPr>
        <w:t>presupuesto</w:t>
      </w:r>
      <w:r>
        <w:rPr>
          <w:i/>
          <w:spacing w:val="-9"/>
          <w:sz w:val="20"/>
        </w:rPr>
        <w:t> </w:t>
      </w:r>
      <w:r>
        <w:rPr>
          <w:i/>
          <w:sz w:val="20"/>
        </w:rPr>
        <w:t>de</w:t>
      </w:r>
      <w:r>
        <w:rPr>
          <w:i/>
          <w:spacing w:val="-7"/>
          <w:sz w:val="20"/>
        </w:rPr>
        <w:t> </w:t>
      </w:r>
      <w:r>
        <w:rPr>
          <w:i/>
          <w:sz w:val="20"/>
        </w:rPr>
        <w:t>ingresos</w:t>
      </w:r>
      <w:r>
        <w:rPr>
          <w:i/>
          <w:spacing w:val="-7"/>
          <w:sz w:val="20"/>
        </w:rPr>
        <w:t> </w:t>
      </w:r>
      <w:r>
        <w:rPr>
          <w:i/>
          <w:sz w:val="20"/>
        </w:rPr>
        <w:t>del</w:t>
      </w:r>
      <w:r>
        <w:rPr>
          <w:i/>
          <w:spacing w:val="-7"/>
          <w:sz w:val="20"/>
        </w:rPr>
        <w:t> </w:t>
      </w:r>
      <w:r>
        <w:rPr>
          <w:i/>
          <w:sz w:val="20"/>
        </w:rPr>
        <w:t>ejercicio</w:t>
      </w:r>
      <w:r>
        <w:rPr>
          <w:i/>
          <w:spacing w:val="-9"/>
          <w:sz w:val="20"/>
        </w:rPr>
        <w:t> </w:t>
      </w:r>
      <w:r>
        <w:rPr>
          <w:i/>
          <w:sz w:val="20"/>
        </w:rPr>
        <w:t>en</w:t>
      </w:r>
      <w:r>
        <w:rPr>
          <w:i/>
          <w:spacing w:val="-10"/>
          <w:sz w:val="20"/>
        </w:rPr>
        <w:t> </w:t>
      </w:r>
      <w:r>
        <w:rPr>
          <w:i/>
          <w:sz w:val="20"/>
        </w:rPr>
        <w:t>vigor </w:t>
      </w:r>
      <w:r>
        <w:rPr>
          <w:i/>
          <w:sz w:val="20"/>
        </w:rPr>
        <w:t>en</w:t>
      </w:r>
      <w:r>
        <w:rPr>
          <w:i/>
          <w:spacing w:val="-9"/>
          <w:sz w:val="20"/>
        </w:rPr>
        <w:t> </w:t>
      </w:r>
      <w:r>
        <w:rPr>
          <w:i/>
          <w:sz w:val="20"/>
        </w:rPr>
        <w:t>el</w:t>
      </w:r>
      <w:r>
        <w:rPr>
          <w:i/>
          <w:spacing w:val="-7"/>
          <w:sz w:val="20"/>
        </w:rPr>
        <w:t> </w:t>
      </w:r>
      <w:r>
        <w:rPr>
          <w:i/>
          <w:sz w:val="20"/>
        </w:rPr>
        <w:t>momento</w:t>
      </w:r>
      <w:r>
        <w:rPr>
          <w:i/>
          <w:spacing w:val="-9"/>
          <w:sz w:val="20"/>
        </w:rPr>
        <w:t> </w:t>
      </w:r>
      <w:r>
        <w:rPr>
          <w:i/>
          <w:sz w:val="20"/>
        </w:rPr>
        <w:t>de</w:t>
      </w:r>
      <w:r>
        <w:rPr>
          <w:i/>
          <w:spacing w:val="-7"/>
          <w:sz w:val="20"/>
        </w:rPr>
        <w:t> </w:t>
      </w:r>
      <w:r>
        <w:rPr>
          <w:i/>
          <w:sz w:val="20"/>
        </w:rPr>
        <w:t>efectuarse</w:t>
      </w:r>
      <w:r>
        <w:rPr>
          <w:i/>
          <w:spacing w:val="-7"/>
          <w:sz w:val="20"/>
        </w:rPr>
        <w:t> </w:t>
      </w:r>
      <w:r>
        <w:rPr>
          <w:i/>
          <w:sz w:val="20"/>
        </w:rPr>
        <w:t>el</w:t>
      </w:r>
      <w:r>
        <w:rPr>
          <w:i/>
          <w:spacing w:val="-7"/>
          <w:sz w:val="20"/>
        </w:rPr>
        <w:t> </w:t>
      </w:r>
      <w:r>
        <w:rPr>
          <w:i/>
          <w:sz w:val="20"/>
        </w:rPr>
        <w:t>pago,</w:t>
      </w:r>
      <w:r>
        <w:rPr>
          <w:i/>
          <w:spacing w:val="-8"/>
          <w:sz w:val="20"/>
        </w:rPr>
        <w:t> </w:t>
      </w:r>
      <w:r>
        <w:rPr>
          <w:i/>
          <w:sz w:val="20"/>
        </w:rPr>
        <w:t>con</w:t>
      </w:r>
      <w:r>
        <w:rPr>
          <w:i/>
          <w:spacing w:val="-8"/>
          <w:sz w:val="20"/>
        </w:rPr>
        <w:t> </w:t>
      </w:r>
      <w:r>
        <w:rPr>
          <w:i/>
          <w:sz w:val="20"/>
        </w:rPr>
        <w:t>independencia</w:t>
      </w:r>
      <w:r>
        <w:rPr>
          <w:i/>
          <w:spacing w:val="-8"/>
          <w:sz w:val="20"/>
        </w:rPr>
        <w:t> </w:t>
      </w:r>
      <w:r>
        <w:rPr>
          <w:i/>
          <w:sz w:val="20"/>
        </w:rPr>
        <w:t>del</w:t>
      </w:r>
      <w:r>
        <w:rPr>
          <w:i/>
          <w:spacing w:val="-8"/>
          <w:sz w:val="20"/>
        </w:rPr>
        <w:t> </w:t>
      </w:r>
      <w:r>
        <w:rPr>
          <w:i/>
          <w:sz w:val="20"/>
        </w:rPr>
        <w:t>presupuesto</w:t>
      </w:r>
      <w:r>
        <w:rPr>
          <w:i/>
          <w:spacing w:val="-8"/>
          <w:sz w:val="20"/>
        </w:rPr>
        <w:t> </w:t>
      </w:r>
      <w:r>
        <w:rPr>
          <w:i/>
          <w:sz w:val="20"/>
        </w:rPr>
        <w:t>al</w:t>
      </w:r>
      <w:r>
        <w:rPr>
          <w:i/>
          <w:spacing w:val="-7"/>
          <w:sz w:val="20"/>
        </w:rPr>
        <w:t> </w:t>
      </w:r>
      <w:r>
        <w:rPr>
          <w:i/>
          <w:sz w:val="20"/>
        </w:rPr>
        <w:t>que</w:t>
      </w:r>
      <w:r>
        <w:rPr>
          <w:i/>
          <w:spacing w:val="-8"/>
          <w:sz w:val="20"/>
        </w:rPr>
        <w:t> </w:t>
      </w:r>
      <w:r>
        <w:rPr>
          <w:i/>
          <w:sz w:val="20"/>
        </w:rPr>
        <w:t>se</w:t>
      </w:r>
      <w:r>
        <w:rPr>
          <w:i/>
          <w:spacing w:val="-7"/>
          <w:sz w:val="20"/>
        </w:rPr>
        <w:t> </w:t>
      </w:r>
      <w:r>
        <w:rPr>
          <w:i/>
          <w:sz w:val="20"/>
        </w:rPr>
        <w:t>aplicó el ingreso que ha dado lugar a la devolución. Ello puede dar lugar a que, en contabilidad de desarrollo del presupuesto de ingresos, el concepto al que se aplica una devolución pueda aparecer con derechos reconocidos netos negativos y recaudación neta negativa cuando el importe de las devoluciones es superior a los derechos reconocidos o a los derechos recaudados en el</w:t>
      </w:r>
      <w:r>
        <w:rPr>
          <w:i/>
          <w:spacing w:val="3"/>
          <w:sz w:val="20"/>
        </w:rPr>
        <w:t> </w:t>
      </w:r>
      <w:r>
        <w:rPr>
          <w:i/>
          <w:sz w:val="20"/>
        </w:rPr>
        <w:t>ejercicio.”</w:t>
      </w:r>
    </w:p>
    <w:p>
      <w:pPr>
        <w:pStyle w:val="BodyText"/>
        <w:spacing w:before="10"/>
        <w:rPr>
          <w:i/>
          <w:sz w:val="17"/>
        </w:rPr>
      </w:pPr>
    </w:p>
    <w:p>
      <w:pPr>
        <w:pStyle w:val="BodyText"/>
        <w:ind w:left="2096" w:right="1140" w:firstLine="594"/>
        <w:jc w:val="both"/>
      </w:pPr>
      <w:r>
        <w:rPr/>
        <w:t>De igual forma, la Instrucción de Contabilidad para la Administración Local, cuya Regla 179ª trata de las devoluciones de ingresos indebidos que, aunque referido a la anulación  de   liquidaciones,   es  también   aplicable   a  las  devoluciones  de  </w:t>
      </w:r>
      <w:r>
        <w:rPr>
          <w:spacing w:val="29"/>
        </w:rPr>
        <w:t> </w:t>
      </w:r>
      <w:r>
        <w:rPr/>
        <w:t>ingresos</w:t>
      </w:r>
    </w:p>
    <w:p>
      <w:pPr>
        <w:pStyle w:val="BodyText"/>
      </w:pPr>
    </w:p>
    <w:p>
      <w:pPr>
        <w:pStyle w:val="BodyText"/>
        <w:spacing w:before="10"/>
        <w:rPr>
          <w:sz w:val="17"/>
        </w:rPr>
      </w:pPr>
    </w:p>
    <w:p>
      <w:pPr>
        <w:pStyle w:val="BodyText"/>
        <w:spacing w:before="1"/>
        <w:ind w:left="7897"/>
        <w:jc w:val="center"/>
      </w:pPr>
      <w:r>
        <w:rPr/>
        <w:t>58</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27" name="image5.png"/>
                  <wp:cNvGraphicFramePr>
                    <a:graphicFrameLocks noChangeAspect="1"/>
                  </wp:cNvGraphicFramePr>
                  <a:graphic>
                    <a:graphicData uri="http://schemas.openxmlformats.org/drawingml/2006/picture">
                      <pic:pic>
                        <pic:nvPicPr>
                          <pic:cNvPr id="12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60/247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right="1145"/>
        <w:jc w:val="both"/>
      </w:pPr>
      <w:r>
        <w:rPr/>
        <w:t>indebidos con carácter general (salvo los duplicados). Pues bien, la citada Regla 179ª dispone que:</w:t>
      </w:r>
    </w:p>
    <w:p>
      <w:pPr>
        <w:pStyle w:val="BodyText"/>
        <w:spacing w:before="10"/>
        <w:rPr>
          <w:sz w:val="16"/>
        </w:rPr>
      </w:pPr>
    </w:p>
    <w:p>
      <w:pPr>
        <w:spacing w:before="0"/>
        <w:ind w:left="2096" w:right="1141" w:firstLine="0"/>
        <w:jc w:val="both"/>
        <w:rPr>
          <w:sz w:val="20"/>
        </w:rPr>
      </w:pPr>
      <w:r>
        <w:rPr>
          <w:sz w:val="20"/>
        </w:rPr>
        <w:t>“</w:t>
      </w:r>
      <w:r>
        <w:rPr>
          <w:i/>
          <w:sz w:val="20"/>
        </w:rPr>
        <w:t>Las</w:t>
      </w:r>
      <w:r>
        <w:rPr>
          <w:i/>
          <w:spacing w:val="-5"/>
          <w:sz w:val="20"/>
        </w:rPr>
        <w:t> </w:t>
      </w:r>
      <w:r>
        <w:rPr>
          <w:i/>
          <w:sz w:val="20"/>
        </w:rPr>
        <w:t>devoluciones</w:t>
      </w:r>
      <w:r>
        <w:rPr>
          <w:i/>
          <w:spacing w:val="-4"/>
          <w:sz w:val="20"/>
        </w:rPr>
        <w:t> </w:t>
      </w:r>
      <w:r>
        <w:rPr>
          <w:i/>
          <w:sz w:val="20"/>
        </w:rPr>
        <w:t>de</w:t>
      </w:r>
      <w:r>
        <w:rPr>
          <w:i/>
          <w:spacing w:val="-5"/>
          <w:sz w:val="20"/>
        </w:rPr>
        <w:t> </w:t>
      </w:r>
      <w:r>
        <w:rPr>
          <w:i/>
          <w:sz w:val="20"/>
        </w:rPr>
        <w:t>ingresos</w:t>
      </w:r>
      <w:r>
        <w:rPr>
          <w:i/>
          <w:spacing w:val="-4"/>
          <w:sz w:val="20"/>
        </w:rPr>
        <w:t> </w:t>
      </w:r>
      <w:r>
        <w:rPr>
          <w:i/>
          <w:sz w:val="20"/>
        </w:rPr>
        <w:t>por</w:t>
      </w:r>
      <w:r>
        <w:rPr>
          <w:i/>
          <w:spacing w:val="-6"/>
          <w:sz w:val="20"/>
        </w:rPr>
        <w:t> </w:t>
      </w:r>
      <w:r>
        <w:rPr>
          <w:i/>
          <w:sz w:val="20"/>
        </w:rPr>
        <w:t>anulación</w:t>
      </w:r>
      <w:r>
        <w:rPr>
          <w:i/>
          <w:spacing w:val="-3"/>
          <w:sz w:val="20"/>
        </w:rPr>
        <w:t> </w:t>
      </w:r>
      <w:r>
        <w:rPr>
          <w:i/>
          <w:sz w:val="20"/>
        </w:rPr>
        <w:t>de</w:t>
      </w:r>
      <w:r>
        <w:rPr>
          <w:i/>
          <w:spacing w:val="-5"/>
          <w:sz w:val="20"/>
        </w:rPr>
        <w:t> </w:t>
      </w:r>
      <w:r>
        <w:rPr>
          <w:i/>
          <w:sz w:val="20"/>
        </w:rPr>
        <w:t>liquidaciones</w:t>
      </w:r>
      <w:r>
        <w:rPr>
          <w:i/>
          <w:spacing w:val="-4"/>
          <w:sz w:val="20"/>
        </w:rPr>
        <w:t> </w:t>
      </w:r>
      <w:r>
        <w:rPr>
          <w:i/>
          <w:sz w:val="20"/>
        </w:rPr>
        <w:t>indebidamente</w:t>
      </w:r>
      <w:r>
        <w:rPr>
          <w:i/>
          <w:spacing w:val="-4"/>
          <w:sz w:val="20"/>
        </w:rPr>
        <w:t> </w:t>
      </w:r>
      <w:r>
        <w:rPr>
          <w:i/>
          <w:sz w:val="20"/>
        </w:rPr>
        <w:t>practicadas </w:t>
      </w:r>
      <w:r>
        <w:rPr>
          <w:i/>
          <w:sz w:val="20"/>
        </w:rPr>
        <w:t>aplicarán al presupuesto corriente, minorando la recaudación del correspondiente concepto presupuestario, independientemente del presupuesto al que se aplicó el ingreso que dé lugar a la</w:t>
      </w:r>
      <w:r>
        <w:rPr>
          <w:i/>
          <w:spacing w:val="4"/>
          <w:sz w:val="20"/>
        </w:rPr>
        <w:t> </w:t>
      </w:r>
      <w:r>
        <w:rPr>
          <w:i/>
          <w:sz w:val="20"/>
        </w:rPr>
        <w:t>devolución</w:t>
      </w:r>
      <w:r>
        <w:rPr>
          <w:sz w:val="20"/>
        </w:rPr>
        <w:t>.”</w:t>
      </w:r>
    </w:p>
    <w:p>
      <w:pPr>
        <w:pStyle w:val="BodyText"/>
        <w:rPr>
          <w:sz w:val="17"/>
        </w:rPr>
      </w:pPr>
    </w:p>
    <w:p>
      <w:pPr>
        <w:pStyle w:val="Heading1"/>
        <w:numPr>
          <w:ilvl w:val="2"/>
          <w:numId w:val="10"/>
        </w:numPr>
        <w:tabs>
          <w:tab w:pos="2691" w:val="left" w:leader="none"/>
        </w:tabs>
        <w:spacing w:line="240" w:lineRule="auto" w:before="1" w:after="0"/>
        <w:ind w:left="2690" w:right="0" w:hanging="605"/>
        <w:jc w:val="left"/>
      </w:pPr>
      <w:r>
        <w:rPr>
          <w:color w:val="53A1B9"/>
        </w:rPr>
        <w:t>Contratación.</w:t>
      </w:r>
    </w:p>
    <w:p>
      <w:pPr>
        <w:pStyle w:val="BodyText"/>
        <w:spacing w:before="7"/>
        <w:rPr>
          <w:b/>
          <w:sz w:val="16"/>
        </w:rPr>
      </w:pPr>
    </w:p>
    <w:p>
      <w:pPr>
        <w:pStyle w:val="BodyText"/>
        <w:spacing w:line="242" w:lineRule="auto" w:before="1"/>
        <w:ind w:left="2096" w:right="1144" w:firstLine="594"/>
        <w:jc w:val="both"/>
      </w:pPr>
      <w:r>
        <w:rPr/>
        <w:t>La contratación es una de las actividades a la que se aplica un gran volumen de recursos económicos, constituyendo un importante instrumento al servicio de la consecución de políticas públicas.</w:t>
      </w:r>
    </w:p>
    <w:p>
      <w:pPr>
        <w:pStyle w:val="BodyText"/>
        <w:spacing w:before="6"/>
        <w:rPr>
          <w:sz w:val="16"/>
        </w:rPr>
      </w:pPr>
    </w:p>
    <w:p>
      <w:pPr>
        <w:pStyle w:val="BodyText"/>
        <w:ind w:left="2096" w:right="1143" w:firstLine="594"/>
        <w:jc w:val="both"/>
      </w:pPr>
      <w:r>
        <w:rPr/>
        <w:t>Dado que la información remitida no da respuesta a la solicitud realizada, referente a los procedimientos de adjudicación utilizados en los diferentes tipos de contratos regulados en la LCSP y las obligaciones reconocidas en cada uno de ellos, se ha utilizado la información obtenida del Registro de Contratos y de la Plataforma de contratación del Sector Público.</w:t>
      </w:r>
    </w:p>
    <w:p>
      <w:pPr>
        <w:pStyle w:val="BodyText"/>
        <w:spacing w:before="2"/>
        <w:rPr>
          <w:sz w:val="17"/>
        </w:rPr>
      </w:pPr>
    </w:p>
    <w:p>
      <w:pPr>
        <w:pStyle w:val="BodyText"/>
        <w:ind w:left="2096" w:right="1137" w:firstLine="594"/>
        <w:jc w:val="both"/>
      </w:pPr>
      <w:r>
        <w:rPr/>
        <w:t>De acuerdo a los datos obrantes en el Registro de contratos en el año 2022, se adjudicaron contratos por un importe de 204,3 millones de € sin IGIC, por los procedimientos de contratación que se detallan:</w:t>
      </w:r>
    </w:p>
    <w:p>
      <w:pPr>
        <w:pStyle w:val="BodyText"/>
        <w:spacing w:before="11"/>
        <w:rPr>
          <w:sz w:val="16"/>
        </w:rPr>
      </w:pPr>
    </w:p>
    <w:tbl>
      <w:tblPr>
        <w:tblW w:w="0" w:type="auto"/>
        <w:jc w:val="left"/>
        <w:tblInd w:w="1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6"/>
        <w:gridCol w:w="476"/>
        <w:gridCol w:w="974"/>
        <w:gridCol w:w="838"/>
        <w:gridCol w:w="875"/>
        <w:gridCol w:w="765"/>
        <w:gridCol w:w="688"/>
        <w:gridCol w:w="928"/>
        <w:gridCol w:w="843"/>
        <w:gridCol w:w="840"/>
      </w:tblGrid>
      <w:tr>
        <w:trPr>
          <w:trHeight w:val="163" w:hRule="atLeast"/>
        </w:trPr>
        <w:tc>
          <w:tcPr>
            <w:tcW w:w="846" w:type="dxa"/>
            <w:vMerge w:val="restart"/>
            <w:tcBorders>
              <w:top w:val="single" w:sz="4" w:space="0" w:color="000000"/>
            </w:tcBorders>
            <w:shd w:val="clear" w:color="auto" w:fill="DEEAF6"/>
          </w:tcPr>
          <w:p>
            <w:pPr>
              <w:pStyle w:val="TableParagraph"/>
              <w:rPr>
                <w:sz w:val="14"/>
              </w:rPr>
            </w:pPr>
          </w:p>
          <w:p>
            <w:pPr>
              <w:pStyle w:val="TableParagraph"/>
              <w:spacing w:line="247" w:lineRule="auto"/>
              <w:ind w:left="187" w:firstLine="32"/>
              <w:rPr>
                <w:b/>
                <w:sz w:val="13"/>
              </w:rPr>
            </w:pPr>
            <w:r>
              <w:rPr>
                <w:b/>
                <w:w w:val="105"/>
                <w:sz w:val="13"/>
              </w:rPr>
              <w:t>Tipo de contrato</w:t>
            </w:r>
          </w:p>
        </w:tc>
        <w:tc>
          <w:tcPr>
            <w:tcW w:w="7227" w:type="dxa"/>
            <w:gridSpan w:val="9"/>
            <w:tcBorders>
              <w:top w:val="single" w:sz="4" w:space="0" w:color="000000"/>
              <w:bottom w:val="single" w:sz="4" w:space="0" w:color="000000"/>
            </w:tcBorders>
            <w:shd w:val="clear" w:color="auto" w:fill="DEEAF6"/>
          </w:tcPr>
          <w:p>
            <w:pPr>
              <w:pStyle w:val="TableParagraph"/>
              <w:spacing w:line="141" w:lineRule="exact" w:before="2"/>
              <w:ind w:left="2953" w:right="2478"/>
              <w:jc w:val="center"/>
              <w:rPr>
                <w:b/>
                <w:sz w:val="13"/>
              </w:rPr>
            </w:pPr>
            <w:r>
              <w:rPr>
                <w:b/>
                <w:w w:val="105"/>
                <w:sz w:val="13"/>
              </w:rPr>
              <w:t>Procedimiento de adjudicación</w:t>
            </w:r>
          </w:p>
        </w:tc>
      </w:tr>
      <w:tr>
        <w:trPr>
          <w:trHeight w:val="490" w:hRule="atLeast"/>
        </w:trPr>
        <w:tc>
          <w:tcPr>
            <w:tcW w:w="846" w:type="dxa"/>
            <w:vMerge/>
            <w:tcBorders>
              <w:top w:val="nil"/>
            </w:tcBorders>
            <w:shd w:val="clear" w:color="auto" w:fill="DEEAF6"/>
          </w:tcPr>
          <w:p>
            <w:pPr>
              <w:rPr>
                <w:sz w:val="2"/>
                <w:szCs w:val="2"/>
              </w:rPr>
            </w:pPr>
          </w:p>
        </w:tc>
        <w:tc>
          <w:tcPr>
            <w:tcW w:w="476" w:type="dxa"/>
            <w:tcBorders>
              <w:top w:val="single" w:sz="4" w:space="0" w:color="000000"/>
            </w:tcBorders>
            <w:shd w:val="clear" w:color="auto" w:fill="DEEAF6"/>
          </w:tcPr>
          <w:p>
            <w:pPr>
              <w:pStyle w:val="TableParagraph"/>
              <w:spacing w:before="6"/>
              <w:rPr>
                <w:sz w:val="13"/>
              </w:rPr>
            </w:pPr>
          </w:p>
          <w:p>
            <w:pPr>
              <w:pStyle w:val="TableParagraph"/>
              <w:ind w:left="21" w:right="22"/>
              <w:jc w:val="center"/>
              <w:rPr>
                <w:b/>
                <w:sz w:val="13"/>
              </w:rPr>
            </w:pPr>
            <w:r>
              <w:rPr>
                <w:b/>
                <w:w w:val="105"/>
                <w:sz w:val="13"/>
              </w:rPr>
              <w:t>Nº</w:t>
            </w:r>
          </w:p>
        </w:tc>
        <w:tc>
          <w:tcPr>
            <w:tcW w:w="974" w:type="dxa"/>
            <w:tcBorders>
              <w:top w:val="single" w:sz="4" w:space="0" w:color="000000"/>
            </w:tcBorders>
            <w:shd w:val="clear" w:color="auto" w:fill="DEEAF6"/>
          </w:tcPr>
          <w:p>
            <w:pPr>
              <w:pStyle w:val="TableParagraph"/>
              <w:spacing w:before="6"/>
              <w:rPr>
                <w:sz w:val="13"/>
              </w:rPr>
            </w:pPr>
          </w:p>
          <w:p>
            <w:pPr>
              <w:pStyle w:val="TableParagraph"/>
              <w:ind w:left="272"/>
              <w:rPr>
                <w:b/>
                <w:sz w:val="13"/>
              </w:rPr>
            </w:pPr>
            <w:r>
              <w:rPr>
                <w:b/>
                <w:w w:val="105"/>
                <w:sz w:val="13"/>
              </w:rPr>
              <w:t>Abierto</w:t>
            </w:r>
          </w:p>
        </w:tc>
        <w:tc>
          <w:tcPr>
            <w:tcW w:w="838" w:type="dxa"/>
            <w:tcBorders>
              <w:top w:val="single" w:sz="4" w:space="0" w:color="000000"/>
            </w:tcBorders>
            <w:shd w:val="clear" w:color="auto" w:fill="DEEAF6"/>
          </w:tcPr>
          <w:p>
            <w:pPr>
              <w:pStyle w:val="TableParagraph"/>
              <w:spacing w:line="247" w:lineRule="auto" w:before="85"/>
              <w:ind w:left="78" w:firstLine="126"/>
              <w:rPr>
                <w:b/>
                <w:sz w:val="13"/>
              </w:rPr>
            </w:pPr>
            <w:r>
              <w:rPr>
                <w:b/>
                <w:w w:val="105"/>
                <w:sz w:val="13"/>
              </w:rPr>
              <w:t>Abierto simplificado</w:t>
            </w:r>
          </w:p>
        </w:tc>
        <w:tc>
          <w:tcPr>
            <w:tcW w:w="875" w:type="dxa"/>
            <w:tcBorders>
              <w:top w:val="single" w:sz="4" w:space="0" w:color="000000"/>
            </w:tcBorders>
            <w:shd w:val="clear" w:color="auto" w:fill="DEEAF6"/>
          </w:tcPr>
          <w:p>
            <w:pPr>
              <w:pStyle w:val="TableParagraph"/>
              <w:spacing w:line="247" w:lineRule="auto" w:before="85"/>
              <w:ind w:left="235" w:hanging="57"/>
              <w:rPr>
                <w:b/>
                <w:sz w:val="13"/>
              </w:rPr>
            </w:pPr>
            <w:r>
              <w:rPr>
                <w:b/>
                <w:sz w:val="13"/>
              </w:rPr>
              <w:t>Acuerdo </w:t>
            </w:r>
            <w:r>
              <w:rPr>
                <w:b/>
                <w:w w:val="105"/>
                <w:sz w:val="13"/>
              </w:rPr>
              <w:t>Marco</w:t>
            </w:r>
          </w:p>
        </w:tc>
        <w:tc>
          <w:tcPr>
            <w:tcW w:w="765" w:type="dxa"/>
            <w:tcBorders>
              <w:top w:val="single" w:sz="4" w:space="0" w:color="000000"/>
            </w:tcBorders>
            <w:shd w:val="clear" w:color="auto" w:fill="DEEAF6"/>
          </w:tcPr>
          <w:p>
            <w:pPr>
              <w:pStyle w:val="TableParagraph"/>
              <w:spacing w:line="247" w:lineRule="auto" w:before="2"/>
              <w:ind w:left="102" w:firstLine="38"/>
              <w:rPr>
                <w:b/>
                <w:sz w:val="13"/>
              </w:rPr>
            </w:pPr>
            <w:r>
              <w:rPr>
                <w:b/>
                <w:w w:val="105"/>
                <w:sz w:val="13"/>
              </w:rPr>
              <w:t>Sistema </w:t>
            </w:r>
            <w:r>
              <w:rPr>
                <w:b/>
                <w:sz w:val="13"/>
              </w:rPr>
              <w:t>dinámico</w:t>
            </w:r>
          </w:p>
          <w:p>
            <w:pPr>
              <w:pStyle w:val="TableParagraph"/>
              <w:spacing w:line="140" w:lineRule="exact" w:before="1"/>
              <w:ind w:left="138"/>
              <w:rPr>
                <w:b/>
                <w:sz w:val="13"/>
              </w:rPr>
            </w:pPr>
            <w:r>
              <w:rPr>
                <w:b/>
                <w:w w:val="105"/>
                <w:sz w:val="13"/>
              </w:rPr>
              <w:t>contrat.</w:t>
            </w:r>
          </w:p>
        </w:tc>
        <w:tc>
          <w:tcPr>
            <w:tcW w:w="688" w:type="dxa"/>
            <w:tcBorders>
              <w:top w:val="single" w:sz="4" w:space="0" w:color="000000"/>
            </w:tcBorders>
            <w:shd w:val="clear" w:color="auto" w:fill="DEEAF6"/>
          </w:tcPr>
          <w:p>
            <w:pPr>
              <w:pStyle w:val="TableParagraph"/>
              <w:spacing w:line="247" w:lineRule="auto" w:before="2"/>
              <w:ind w:left="230" w:hanging="162"/>
              <w:rPr>
                <w:b/>
                <w:sz w:val="13"/>
              </w:rPr>
            </w:pPr>
            <w:r>
              <w:rPr>
                <w:b/>
                <w:w w:val="105"/>
                <w:sz w:val="13"/>
              </w:rPr>
              <w:t>Licitación con</w:t>
            </w:r>
          </w:p>
          <w:p>
            <w:pPr>
              <w:pStyle w:val="TableParagraph"/>
              <w:spacing w:line="140" w:lineRule="exact" w:before="1"/>
              <w:ind w:left="145"/>
              <w:rPr>
                <w:b/>
                <w:sz w:val="13"/>
              </w:rPr>
            </w:pPr>
            <w:r>
              <w:rPr>
                <w:b/>
                <w:w w:val="105"/>
                <w:sz w:val="13"/>
              </w:rPr>
              <w:t>negoc.</w:t>
            </w:r>
          </w:p>
        </w:tc>
        <w:tc>
          <w:tcPr>
            <w:tcW w:w="928" w:type="dxa"/>
            <w:tcBorders>
              <w:top w:val="single" w:sz="4" w:space="0" w:color="000000"/>
            </w:tcBorders>
            <w:shd w:val="clear" w:color="auto" w:fill="DEEAF6"/>
          </w:tcPr>
          <w:p>
            <w:pPr>
              <w:pStyle w:val="TableParagraph"/>
              <w:spacing w:before="6"/>
              <w:rPr>
                <w:sz w:val="13"/>
              </w:rPr>
            </w:pPr>
          </w:p>
          <w:p>
            <w:pPr>
              <w:pStyle w:val="TableParagraph"/>
              <w:ind w:left="259"/>
              <w:rPr>
                <w:b/>
                <w:sz w:val="13"/>
              </w:rPr>
            </w:pPr>
            <w:r>
              <w:rPr>
                <w:b/>
                <w:w w:val="105"/>
                <w:sz w:val="13"/>
              </w:rPr>
              <w:t>Menor</w:t>
            </w:r>
          </w:p>
        </w:tc>
        <w:tc>
          <w:tcPr>
            <w:tcW w:w="843" w:type="dxa"/>
            <w:tcBorders>
              <w:top w:val="single" w:sz="4" w:space="0" w:color="000000"/>
            </w:tcBorders>
            <w:shd w:val="clear" w:color="auto" w:fill="DEEAF6"/>
          </w:tcPr>
          <w:p>
            <w:pPr>
              <w:pStyle w:val="TableParagraph"/>
              <w:spacing w:line="247" w:lineRule="auto" w:before="85"/>
              <w:ind w:left="317" w:hanging="200"/>
              <w:rPr>
                <w:b/>
                <w:sz w:val="13"/>
              </w:rPr>
            </w:pPr>
            <w:r>
              <w:rPr>
                <w:b/>
                <w:sz w:val="13"/>
              </w:rPr>
              <w:t>Negociado </w:t>
            </w:r>
            <w:r>
              <w:rPr>
                <w:b/>
                <w:w w:val="105"/>
                <w:sz w:val="13"/>
              </w:rPr>
              <w:t>S/P</w:t>
            </w:r>
          </w:p>
        </w:tc>
        <w:tc>
          <w:tcPr>
            <w:tcW w:w="840" w:type="dxa"/>
            <w:tcBorders>
              <w:top w:val="single" w:sz="4" w:space="0" w:color="000000"/>
            </w:tcBorders>
            <w:shd w:val="clear" w:color="auto" w:fill="DEEAF6"/>
          </w:tcPr>
          <w:p>
            <w:pPr>
              <w:pStyle w:val="TableParagraph"/>
              <w:spacing w:line="247" w:lineRule="auto" w:before="85"/>
              <w:ind w:left="115" w:firstLine="213"/>
              <w:rPr>
                <w:b/>
                <w:sz w:val="13"/>
              </w:rPr>
            </w:pPr>
            <w:r>
              <w:rPr>
                <w:b/>
                <w:w w:val="105"/>
                <w:sz w:val="13"/>
              </w:rPr>
              <w:t>Sin especificar</w:t>
            </w:r>
          </w:p>
        </w:tc>
      </w:tr>
      <w:tr>
        <w:trPr>
          <w:trHeight w:val="174" w:hRule="atLeast"/>
        </w:trPr>
        <w:tc>
          <w:tcPr>
            <w:tcW w:w="846" w:type="dxa"/>
          </w:tcPr>
          <w:p>
            <w:pPr>
              <w:pStyle w:val="TableParagraph"/>
              <w:spacing w:line="152" w:lineRule="exact" w:before="3"/>
              <w:ind w:left="70"/>
              <w:rPr>
                <w:sz w:val="13"/>
              </w:rPr>
            </w:pPr>
            <w:r>
              <w:rPr>
                <w:w w:val="105"/>
                <w:sz w:val="13"/>
              </w:rPr>
              <w:t>Obras</w:t>
            </w:r>
          </w:p>
        </w:tc>
        <w:tc>
          <w:tcPr>
            <w:tcW w:w="476" w:type="dxa"/>
          </w:tcPr>
          <w:p>
            <w:pPr>
              <w:pStyle w:val="TableParagraph"/>
              <w:spacing w:line="152" w:lineRule="exact" w:before="3"/>
              <w:ind w:right="54"/>
              <w:jc w:val="right"/>
              <w:rPr>
                <w:sz w:val="13"/>
              </w:rPr>
            </w:pPr>
            <w:r>
              <w:rPr>
                <w:sz w:val="13"/>
              </w:rPr>
              <w:t>416</w:t>
            </w:r>
          </w:p>
        </w:tc>
        <w:tc>
          <w:tcPr>
            <w:tcW w:w="974" w:type="dxa"/>
          </w:tcPr>
          <w:p>
            <w:pPr>
              <w:pStyle w:val="TableParagraph"/>
              <w:spacing w:line="152" w:lineRule="exact" w:before="3"/>
              <w:ind w:right="61"/>
              <w:jc w:val="right"/>
              <w:rPr>
                <w:sz w:val="13"/>
              </w:rPr>
            </w:pPr>
            <w:r>
              <w:rPr>
                <w:w w:val="105"/>
                <w:sz w:val="13"/>
              </w:rPr>
              <w:t>14.969.219,69</w:t>
            </w:r>
          </w:p>
        </w:tc>
        <w:tc>
          <w:tcPr>
            <w:tcW w:w="838" w:type="dxa"/>
          </w:tcPr>
          <w:p>
            <w:pPr>
              <w:pStyle w:val="TableParagraph"/>
              <w:spacing w:line="152" w:lineRule="exact" w:before="3"/>
              <w:ind w:right="54"/>
              <w:jc w:val="right"/>
              <w:rPr>
                <w:sz w:val="13"/>
              </w:rPr>
            </w:pPr>
            <w:r>
              <w:rPr>
                <w:w w:val="105"/>
                <w:sz w:val="13"/>
              </w:rPr>
              <w:t>2.131.175,45</w:t>
            </w:r>
          </w:p>
        </w:tc>
        <w:tc>
          <w:tcPr>
            <w:tcW w:w="875" w:type="dxa"/>
          </w:tcPr>
          <w:p>
            <w:pPr>
              <w:pStyle w:val="TableParagraph"/>
              <w:rPr>
                <w:rFonts w:ascii="Times New Roman"/>
                <w:sz w:val="10"/>
              </w:rPr>
            </w:pPr>
          </w:p>
        </w:tc>
        <w:tc>
          <w:tcPr>
            <w:tcW w:w="765" w:type="dxa"/>
          </w:tcPr>
          <w:p>
            <w:pPr>
              <w:pStyle w:val="TableParagraph"/>
              <w:rPr>
                <w:rFonts w:ascii="Times New Roman"/>
                <w:sz w:val="10"/>
              </w:rPr>
            </w:pPr>
          </w:p>
        </w:tc>
        <w:tc>
          <w:tcPr>
            <w:tcW w:w="688" w:type="dxa"/>
          </w:tcPr>
          <w:p>
            <w:pPr>
              <w:pStyle w:val="TableParagraph"/>
              <w:rPr>
                <w:rFonts w:ascii="Times New Roman"/>
                <w:sz w:val="10"/>
              </w:rPr>
            </w:pPr>
          </w:p>
        </w:tc>
        <w:tc>
          <w:tcPr>
            <w:tcW w:w="928" w:type="dxa"/>
          </w:tcPr>
          <w:p>
            <w:pPr>
              <w:pStyle w:val="TableParagraph"/>
              <w:spacing w:line="152" w:lineRule="exact" w:before="3"/>
              <w:ind w:right="57"/>
              <w:jc w:val="right"/>
              <w:rPr>
                <w:sz w:val="13"/>
              </w:rPr>
            </w:pPr>
            <w:r>
              <w:rPr>
                <w:w w:val="105"/>
                <w:sz w:val="13"/>
              </w:rPr>
              <w:t>8.517.633,89</w:t>
            </w:r>
          </w:p>
        </w:tc>
        <w:tc>
          <w:tcPr>
            <w:tcW w:w="843" w:type="dxa"/>
          </w:tcPr>
          <w:p>
            <w:pPr>
              <w:pStyle w:val="TableParagraph"/>
              <w:spacing w:line="152" w:lineRule="exact" w:before="3"/>
              <w:ind w:right="66"/>
              <w:jc w:val="right"/>
              <w:rPr>
                <w:sz w:val="13"/>
              </w:rPr>
            </w:pPr>
            <w:r>
              <w:rPr>
                <w:w w:val="105"/>
                <w:sz w:val="13"/>
              </w:rPr>
              <w:t>986.086,34</w:t>
            </w:r>
          </w:p>
        </w:tc>
        <w:tc>
          <w:tcPr>
            <w:tcW w:w="840" w:type="dxa"/>
          </w:tcPr>
          <w:p>
            <w:pPr>
              <w:pStyle w:val="TableParagraph"/>
              <w:spacing w:line="152" w:lineRule="exact" w:before="3"/>
              <w:ind w:left="41" w:right="32"/>
              <w:jc w:val="center"/>
              <w:rPr>
                <w:sz w:val="13"/>
              </w:rPr>
            </w:pPr>
            <w:r>
              <w:rPr>
                <w:w w:val="105"/>
                <w:sz w:val="13"/>
              </w:rPr>
              <w:t>4.805.096,06</w:t>
            </w:r>
          </w:p>
        </w:tc>
      </w:tr>
      <w:tr>
        <w:trPr>
          <w:trHeight w:val="164" w:hRule="atLeast"/>
        </w:trPr>
        <w:tc>
          <w:tcPr>
            <w:tcW w:w="846" w:type="dxa"/>
          </w:tcPr>
          <w:p>
            <w:pPr>
              <w:pStyle w:val="TableParagraph"/>
              <w:spacing w:line="144" w:lineRule="exact"/>
              <w:ind w:left="70"/>
              <w:rPr>
                <w:sz w:val="13"/>
              </w:rPr>
            </w:pPr>
            <w:r>
              <w:rPr>
                <w:w w:val="105"/>
                <w:sz w:val="13"/>
              </w:rPr>
              <w:t>Servicios</w:t>
            </w:r>
          </w:p>
        </w:tc>
        <w:tc>
          <w:tcPr>
            <w:tcW w:w="476" w:type="dxa"/>
          </w:tcPr>
          <w:p>
            <w:pPr>
              <w:pStyle w:val="TableParagraph"/>
              <w:spacing w:line="144" w:lineRule="exact"/>
              <w:ind w:right="54"/>
              <w:jc w:val="right"/>
              <w:rPr>
                <w:sz w:val="13"/>
              </w:rPr>
            </w:pPr>
            <w:r>
              <w:rPr>
                <w:sz w:val="13"/>
              </w:rPr>
              <w:t>4.765</w:t>
            </w:r>
          </w:p>
        </w:tc>
        <w:tc>
          <w:tcPr>
            <w:tcW w:w="974" w:type="dxa"/>
          </w:tcPr>
          <w:p>
            <w:pPr>
              <w:pStyle w:val="TableParagraph"/>
              <w:spacing w:line="144" w:lineRule="exact"/>
              <w:ind w:right="62"/>
              <w:jc w:val="right"/>
              <w:rPr>
                <w:sz w:val="13"/>
              </w:rPr>
            </w:pPr>
            <w:r>
              <w:rPr>
                <w:sz w:val="13"/>
              </w:rPr>
              <w:t>106.230.806,14</w:t>
            </w:r>
          </w:p>
        </w:tc>
        <w:tc>
          <w:tcPr>
            <w:tcW w:w="838" w:type="dxa"/>
          </w:tcPr>
          <w:p>
            <w:pPr>
              <w:pStyle w:val="TableParagraph"/>
              <w:spacing w:line="144" w:lineRule="exact"/>
              <w:ind w:right="54"/>
              <w:jc w:val="right"/>
              <w:rPr>
                <w:sz w:val="13"/>
              </w:rPr>
            </w:pPr>
            <w:r>
              <w:rPr>
                <w:w w:val="105"/>
                <w:sz w:val="13"/>
              </w:rPr>
              <w:t>2.651.933,14</w:t>
            </w:r>
          </w:p>
        </w:tc>
        <w:tc>
          <w:tcPr>
            <w:tcW w:w="875" w:type="dxa"/>
          </w:tcPr>
          <w:p>
            <w:pPr>
              <w:pStyle w:val="TableParagraph"/>
              <w:spacing w:line="144" w:lineRule="exact"/>
              <w:ind w:right="97"/>
              <w:jc w:val="right"/>
              <w:rPr>
                <w:sz w:val="13"/>
              </w:rPr>
            </w:pPr>
            <w:r>
              <w:rPr>
                <w:w w:val="105"/>
                <w:sz w:val="13"/>
              </w:rPr>
              <w:t>30.037,38</w:t>
            </w:r>
          </w:p>
        </w:tc>
        <w:tc>
          <w:tcPr>
            <w:tcW w:w="765" w:type="dxa"/>
          </w:tcPr>
          <w:p>
            <w:pPr>
              <w:pStyle w:val="TableParagraph"/>
              <w:rPr>
                <w:rFonts w:ascii="Times New Roman"/>
                <w:sz w:val="10"/>
              </w:rPr>
            </w:pPr>
          </w:p>
        </w:tc>
        <w:tc>
          <w:tcPr>
            <w:tcW w:w="688" w:type="dxa"/>
          </w:tcPr>
          <w:p>
            <w:pPr>
              <w:pStyle w:val="TableParagraph"/>
              <w:spacing w:line="144" w:lineRule="exact"/>
              <w:ind w:right="81"/>
              <w:jc w:val="right"/>
              <w:rPr>
                <w:sz w:val="13"/>
              </w:rPr>
            </w:pPr>
            <w:r>
              <w:rPr>
                <w:w w:val="105"/>
                <w:sz w:val="13"/>
              </w:rPr>
              <w:t>58.696,00</w:t>
            </w:r>
          </w:p>
        </w:tc>
        <w:tc>
          <w:tcPr>
            <w:tcW w:w="928" w:type="dxa"/>
          </w:tcPr>
          <w:p>
            <w:pPr>
              <w:pStyle w:val="TableParagraph"/>
              <w:spacing w:line="144" w:lineRule="exact"/>
              <w:ind w:right="57"/>
              <w:jc w:val="right"/>
              <w:rPr>
                <w:sz w:val="13"/>
              </w:rPr>
            </w:pPr>
            <w:r>
              <w:rPr>
                <w:w w:val="105"/>
                <w:sz w:val="13"/>
              </w:rPr>
              <w:t>23.867.022,71</w:t>
            </w:r>
          </w:p>
        </w:tc>
        <w:tc>
          <w:tcPr>
            <w:tcW w:w="843" w:type="dxa"/>
          </w:tcPr>
          <w:p>
            <w:pPr>
              <w:pStyle w:val="TableParagraph"/>
              <w:spacing w:line="144" w:lineRule="exact"/>
              <w:ind w:right="66"/>
              <w:jc w:val="right"/>
              <w:rPr>
                <w:sz w:val="13"/>
              </w:rPr>
            </w:pPr>
            <w:r>
              <w:rPr>
                <w:w w:val="105"/>
                <w:sz w:val="13"/>
              </w:rPr>
              <w:t>3.211.082,24</w:t>
            </w:r>
          </w:p>
        </w:tc>
        <w:tc>
          <w:tcPr>
            <w:tcW w:w="840" w:type="dxa"/>
          </w:tcPr>
          <w:p>
            <w:pPr>
              <w:pStyle w:val="TableParagraph"/>
              <w:spacing w:line="144" w:lineRule="exact"/>
              <w:ind w:left="41" w:right="32"/>
              <w:jc w:val="center"/>
              <w:rPr>
                <w:sz w:val="13"/>
              </w:rPr>
            </w:pPr>
            <w:r>
              <w:rPr>
                <w:w w:val="105"/>
                <w:sz w:val="13"/>
              </w:rPr>
              <w:t>2.632.435,99</w:t>
            </w:r>
          </w:p>
        </w:tc>
      </w:tr>
      <w:tr>
        <w:trPr>
          <w:trHeight w:val="164" w:hRule="atLeast"/>
        </w:trPr>
        <w:tc>
          <w:tcPr>
            <w:tcW w:w="846" w:type="dxa"/>
          </w:tcPr>
          <w:p>
            <w:pPr>
              <w:pStyle w:val="TableParagraph"/>
              <w:spacing w:line="144" w:lineRule="exact"/>
              <w:ind w:left="70"/>
              <w:rPr>
                <w:sz w:val="13"/>
              </w:rPr>
            </w:pPr>
            <w:r>
              <w:rPr>
                <w:w w:val="105"/>
                <w:sz w:val="13"/>
              </w:rPr>
              <w:t>Suministros</w:t>
            </w:r>
          </w:p>
        </w:tc>
        <w:tc>
          <w:tcPr>
            <w:tcW w:w="476" w:type="dxa"/>
          </w:tcPr>
          <w:p>
            <w:pPr>
              <w:pStyle w:val="TableParagraph"/>
              <w:spacing w:line="144" w:lineRule="exact"/>
              <w:ind w:right="54"/>
              <w:jc w:val="right"/>
              <w:rPr>
                <w:sz w:val="13"/>
              </w:rPr>
            </w:pPr>
            <w:r>
              <w:rPr>
                <w:sz w:val="13"/>
              </w:rPr>
              <w:t>1.755</w:t>
            </w:r>
          </w:p>
        </w:tc>
        <w:tc>
          <w:tcPr>
            <w:tcW w:w="974" w:type="dxa"/>
          </w:tcPr>
          <w:p>
            <w:pPr>
              <w:pStyle w:val="TableParagraph"/>
              <w:spacing w:line="144" w:lineRule="exact"/>
              <w:ind w:right="61"/>
              <w:jc w:val="right"/>
              <w:rPr>
                <w:sz w:val="13"/>
              </w:rPr>
            </w:pPr>
            <w:r>
              <w:rPr>
                <w:w w:val="105"/>
                <w:sz w:val="13"/>
              </w:rPr>
              <w:t>13.788.658,90</w:t>
            </w:r>
          </w:p>
        </w:tc>
        <w:tc>
          <w:tcPr>
            <w:tcW w:w="838" w:type="dxa"/>
          </w:tcPr>
          <w:p>
            <w:pPr>
              <w:pStyle w:val="TableParagraph"/>
              <w:spacing w:line="144" w:lineRule="exact"/>
              <w:ind w:right="54"/>
              <w:jc w:val="right"/>
              <w:rPr>
                <w:sz w:val="13"/>
              </w:rPr>
            </w:pPr>
            <w:r>
              <w:rPr>
                <w:w w:val="105"/>
                <w:sz w:val="13"/>
              </w:rPr>
              <w:t>2.578.731,67</w:t>
            </w:r>
          </w:p>
        </w:tc>
        <w:tc>
          <w:tcPr>
            <w:tcW w:w="875" w:type="dxa"/>
          </w:tcPr>
          <w:p>
            <w:pPr>
              <w:pStyle w:val="TableParagraph"/>
              <w:spacing w:line="144" w:lineRule="exact"/>
              <w:ind w:right="97"/>
              <w:jc w:val="right"/>
              <w:rPr>
                <w:sz w:val="13"/>
              </w:rPr>
            </w:pPr>
            <w:r>
              <w:rPr>
                <w:w w:val="105"/>
                <w:sz w:val="13"/>
              </w:rPr>
              <w:t>8.765.421,75</w:t>
            </w:r>
          </w:p>
        </w:tc>
        <w:tc>
          <w:tcPr>
            <w:tcW w:w="765" w:type="dxa"/>
          </w:tcPr>
          <w:p>
            <w:pPr>
              <w:pStyle w:val="TableParagraph"/>
              <w:spacing w:line="144" w:lineRule="exact"/>
              <w:ind w:right="54"/>
              <w:jc w:val="right"/>
              <w:rPr>
                <w:sz w:val="13"/>
              </w:rPr>
            </w:pPr>
            <w:r>
              <w:rPr>
                <w:w w:val="105"/>
                <w:sz w:val="13"/>
              </w:rPr>
              <w:t>19.140,00</w:t>
            </w:r>
          </w:p>
        </w:tc>
        <w:tc>
          <w:tcPr>
            <w:tcW w:w="688" w:type="dxa"/>
          </w:tcPr>
          <w:p>
            <w:pPr>
              <w:pStyle w:val="TableParagraph"/>
              <w:rPr>
                <w:rFonts w:ascii="Times New Roman"/>
                <w:sz w:val="10"/>
              </w:rPr>
            </w:pPr>
          </w:p>
        </w:tc>
        <w:tc>
          <w:tcPr>
            <w:tcW w:w="928" w:type="dxa"/>
          </w:tcPr>
          <w:p>
            <w:pPr>
              <w:pStyle w:val="TableParagraph"/>
              <w:spacing w:line="144" w:lineRule="exact"/>
              <w:ind w:right="57"/>
              <w:jc w:val="right"/>
              <w:rPr>
                <w:sz w:val="13"/>
              </w:rPr>
            </w:pPr>
            <w:r>
              <w:rPr>
                <w:w w:val="105"/>
                <w:sz w:val="13"/>
              </w:rPr>
              <w:t>6.803.426,21</w:t>
            </w:r>
          </w:p>
        </w:tc>
        <w:tc>
          <w:tcPr>
            <w:tcW w:w="843" w:type="dxa"/>
          </w:tcPr>
          <w:p>
            <w:pPr>
              <w:pStyle w:val="TableParagraph"/>
              <w:spacing w:line="144" w:lineRule="exact"/>
              <w:ind w:right="66"/>
              <w:jc w:val="right"/>
              <w:rPr>
                <w:sz w:val="13"/>
              </w:rPr>
            </w:pPr>
            <w:r>
              <w:rPr>
                <w:w w:val="105"/>
                <w:sz w:val="13"/>
              </w:rPr>
              <w:t>1.335.591,56</w:t>
            </w:r>
          </w:p>
        </w:tc>
        <w:tc>
          <w:tcPr>
            <w:tcW w:w="840" w:type="dxa"/>
          </w:tcPr>
          <w:p>
            <w:pPr>
              <w:pStyle w:val="TableParagraph"/>
              <w:spacing w:line="144" w:lineRule="exact"/>
              <w:ind w:left="141" w:right="32"/>
              <w:jc w:val="center"/>
              <w:rPr>
                <w:sz w:val="13"/>
              </w:rPr>
            </w:pPr>
            <w:r>
              <w:rPr>
                <w:w w:val="105"/>
                <w:sz w:val="13"/>
              </w:rPr>
              <w:t>198.847,49</w:t>
            </w:r>
          </w:p>
        </w:tc>
      </w:tr>
      <w:tr>
        <w:trPr>
          <w:trHeight w:val="164" w:hRule="atLeast"/>
        </w:trPr>
        <w:tc>
          <w:tcPr>
            <w:tcW w:w="846" w:type="dxa"/>
          </w:tcPr>
          <w:p>
            <w:pPr>
              <w:pStyle w:val="TableParagraph"/>
              <w:spacing w:line="144" w:lineRule="exact"/>
              <w:ind w:left="70"/>
              <w:rPr>
                <w:sz w:val="13"/>
              </w:rPr>
            </w:pPr>
            <w:r>
              <w:rPr>
                <w:w w:val="105"/>
                <w:sz w:val="13"/>
              </w:rPr>
              <w:t>C. Servicios</w:t>
            </w:r>
          </w:p>
        </w:tc>
        <w:tc>
          <w:tcPr>
            <w:tcW w:w="476" w:type="dxa"/>
          </w:tcPr>
          <w:p>
            <w:pPr>
              <w:pStyle w:val="TableParagraph"/>
              <w:spacing w:line="144" w:lineRule="exact"/>
              <w:ind w:right="56"/>
              <w:jc w:val="right"/>
              <w:rPr>
                <w:sz w:val="13"/>
              </w:rPr>
            </w:pPr>
            <w:r>
              <w:rPr>
                <w:w w:val="103"/>
                <w:sz w:val="13"/>
              </w:rPr>
              <w:t>9</w:t>
            </w:r>
          </w:p>
        </w:tc>
        <w:tc>
          <w:tcPr>
            <w:tcW w:w="974" w:type="dxa"/>
          </w:tcPr>
          <w:p>
            <w:pPr>
              <w:pStyle w:val="TableParagraph"/>
              <w:spacing w:line="144" w:lineRule="exact"/>
              <w:ind w:right="61"/>
              <w:jc w:val="right"/>
              <w:rPr>
                <w:sz w:val="13"/>
              </w:rPr>
            </w:pPr>
            <w:r>
              <w:rPr>
                <w:w w:val="105"/>
                <w:sz w:val="13"/>
              </w:rPr>
              <w:t>588.014,61</w:t>
            </w:r>
          </w:p>
        </w:tc>
        <w:tc>
          <w:tcPr>
            <w:tcW w:w="838" w:type="dxa"/>
          </w:tcPr>
          <w:p>
            <w:pPr>
              <w:pStyle w:val="TableParagraph"/>
              <w:rPr>
                <w:rFonts w:ascii="Times New Roman"/>
                <w:sz w:val="10"/>
              </w:rPr>
            </w:pPr>
          </w:p>
        </w:tc>
        <w:tc>
          <w:tcPr>
            <w:tcW w:w="875" w:type="dxa"/>
          </w:tcPr>
          <w:p>
            <w:pPr>
              <w:pStyle w:val="TableParagraph"/>
              <w:rPr>
                <w:rFonts w:ascii="Times New Roman"/>
                <w:sz w:val="10"/>
              </w:rPr>
            </w:pPr>
          </w:p>
        </w:tc>
        <w:tc>
          <w:tcPr>
            <w:tcW w:w="765" w:type="dxa"/>
          </w:tcPr>
          <w:p>
            <w:pPr>
              <w:pStyle w:val="TableParagraph"/>
              <w:rPr>
                <w:rFonts w:ascii="Times New Roman"/>
                <w:sz w:val="10"/>
              </w:rPr>
            </w:pPr>
          </w:p>
        </w:tc>
        <w:tc>
          <w:tcPr>
            <w:tcW w:w="688" w:type="dxa"/>
          </w:tcPr>
          <w:p>
            <w:pPr>
              <w:pStyle w:val="TableParagraph"/>
              <w:rPr>
                <w:rFonts w:ascii="Times New Roman"/>
                <w:sz w:val="10"/>
              </w:rPr>
            </w:pPr>
          </w:p>
        </w:tc>
        <w:tc>
          <w:tcPr>
            <w:tcW w:w="928" w:type="dxa"/>
          </w:tcPr>
          <w:p>
            <w:pPr>
              <w:pStyle w:val="TableParagraph"/>
              <w:spacing w:line="144" w:lineRule="exact"/>
              <w:ind w:right="57"/>
              <w:jc w:val="right"/>
              <w:rPr>
                <w:sz w:val="13"/>
              </w:rPr>
            </w:pPr>
            <w:r>
              <w:rPr>
                <w:w w:val="105"/>
                <w:sz w:val="13"/>
              </w:rPr>
              <w:t>64.285,31</w:t>
            </w:r>
          </w:p>
        </w:tc>
        <w:tc>
          <w:tcPr>
            <w:tcW w:w="843" w:type="dxa"/>
          </w:tcPr>
          <w:p>
            <w:pPr>
              <w:pStyle w:val="TableParagraph"/>
              <w:rPr>
                <w:rFonts w:ascii="Times New Roman"/>
                <w:sz w:val="10"/>
              </w:rPr>
            </w:pPr>
          </w:p>
        </w:tc>
        <w:tc>
          <w:tcPr>
            <w:tcW w:w="840" w:type="dxa"/>
          </w:tcPr>
          <w:p>
            <w:pPr>
              <w:pStyle w:val="TableParagraph"/>
              <w:rPr>
                <w:rFonts w:ascii="Times New Roman"/>
                <w:sz w:val="10"/>
              </w:rPr>
            </w:pPr>
          </w:p>
        </w:tc>
      </w:tr>
      <w:tr>
        <w:trPr>
          <w:trHeight w:val="164" w:hRule="atLeast"/>
        </w:trPr>
        <w:tc>
          <w:tcPr>
            <w:tcW w:w="846" w:type="dxa"/>
          </w:tcPr>
          <w:p>
            <w:pPr>
              <w:pStyle w:val="TableParagraph"/>
              <w:spacing w:line="144" w:lineRule="exact"/>
              <w:ind w:left="70"/>
              <w:rPr>
                <w:sz w:val="13"/>
              </w:rPr>
            </w:pPr>
            <w:r>
              <w:rPr>
                <w:w w:val="105"/>
                <w:sz w:val="13"/>
              </w:rPr>
              <w:t>C. Obras</w:t>
            </w:r>
          </w:p>
        </w:tc>
        <w:tc>
          <w:tcPr>
            <w:tcW w:w="476" w:type="dxa"/>
          </w:tcPr>
          <w:p>
            <w:pPr>
              <w:pStyle w:val="TableParagraph"/>
              <w:spacing w:line="144" w:lineRule="exact"/>
              <w:ind w:right="56"/>
              <w:jc w:val="right"/>
              <w:rPr>
                <w:sz w:val="13"/>
              </w:rPr>
            </w:pPr>
            <w:r>
              <w:rPr>
                <w:w w:val="103"/>
                <w:sz w:val="13"/>
              </w:rPr>
              <w:t>1</w:t>
            </w:r>
          </w:p>
        </w:tc>
        <w:tc>
          <w:tcPr>
            <w:tcW w:w="974" w:type="dxa"/>
          </w:tcPr>
          <w:p>
            <w:pPr>
              <w:pStyle w:val="TableParagraph"/>
              <w:rPr>
                <w:rFonts w:ascii="Times New Roman"/>
                <w:sz w:val="10"/>
              </w:rPr>
            </w:pPr>
          </w:p>
        </w:tc>
        <w:tc>
          <w:tcPr>
            <w:tcW w:w="838" w:type="dxa"/>
          </w:tcPr>
          <w:p>
            <w:pPr>
              <w:pStyle w:val="TableParagraph"/>
              <w:rPr>
                <w:rFonts w:ascii="Times New Roman"/>
                <w:sz w:val="10"/>
              </w:rPr>
            </w:pPr>
          </w:p>
        </w:tc>
        <w:tc>
          <w:tcPr>
            <w:tcW w:w="875" w:type="dxa"/>
          </w:tcPr>
          <w:p>
            <w:pPr>
              <w:pStyle w:val="TableParagraph"/>
              <w:rPr>
                <w:rFonts w:ascii="Times New Roman"/>
                <w:sz w:val="10"/>
              </w:rPr>
            </w:pPr>
          </w:p>
        </w:tc>
        <w:tc>
          <w:tcPr>
            <w:tcW w:w="765" w:type="dxa"/>
          </w:tcPr>
          <w:p>
            <w:pPr>
              <w:pStyle w:val="TableParagraph"/>
              <w:rPr>
                <w:rFonts w:ascii="Times New Roman"/>
                <w:sz w:val="10"/>
              </w:rPr>
            </w:pPr>
          </w:p>
        </w:tc>
        <w:tc>
          <w:tcPr>
            <w:tcW w:w="688" w:type="dxa"/>
          </w:tcPr>
          <w:p>
            <w:pPr>
              <w:pStyle w:val="TableParagraph"/>
              <w:rPr>
                <w:rFonts w:ascii="Times New Roman"/>
                <w:sz w:val="10"/>
              </w:rPr>
            </w:pPr>
          </w:p>
        </w:tc>
        <w:tc>
          <w:tcPr>
            <w:tcW w:w="928" w:type="dxa"/>
          </w:tcPr>
          <w:p>
            <w:pPr>
              <w:pStyle w:val="TableParagraph"/>
              <w:rPr>
                <w:rFonts w:ascii="Times New Roman"/>
                <w:sz w:val="10"/>
              </w:rPr>
            </w:pPr>
          </w:p>
        </w:tc>
        <w:tc>
          <w:tcPr>
            <w:tcW w:w="843" w:type="dxa"/>
          </w:tcPr>
          <w:p>
            <w:pPr>
              <w:pStyle w:val="TableParagraph"/>
              <w:rPr>
                <w:rFonts w:ascii="Times New Roman"/>
                <w:sz w:val="10"/>
              </w:rPr>
            </w:pPr>
          </w:p>
        </w:tc>
        <w:tc>
          <w:tcPr>
            <w:tcW w:w="840" w:type="dxa"/>
          </w:tcPr>
          <w:p>
            <w:pPr>
              <w:pStyle w:val="TableParagraph"/>
              <w:spacing w:line="144" w:lineRule="exact"/>
              <w:ind w:left="208" w:right="30"/>
              <w:jc w:val="center"/>
              <w:rPr>
                <w:sz w:val="13"/>
              </w:rPr>
            </w:pPr>
            <w:r>
              <w:rPr>
                <w:w w:val="105"/>
                <w:sz w:val="13"/>
              </w:rPr>
              <w:t>30.000,00</w:t>
            </w:r>
          </w:p>
        </w:tc>
      </w:tr>
      <w:tr>
        <w:trPr>
          <w:trHeight w:val="152" w:hRule="atLeast"/>
        </w:trPr>
        <w:tc>
          <w:tcPr>
            <w:tcW w:w="846" w:type="dxa"/>
            <w:tcBorders>
              <w:bottom w:val="single" w:sz="4" w:space="0" w:color="000000"/>
            </w:tcBorders>
          </w:tcPr>
          <w:p>
            <w:pPr>
              <w:pStyle w:val="TableParagraph"/>
              <w:spacing w:line="133" w:lineRule="exact"/>
              <w:ind w:left="225"/>
              <w:rPr>
                <w:b/>
                <w:sz w:val="13"/>
              </w:rPr>
            </w:pPr>
            <w:r>
              <w:rPr>
                <w:b/>
                <w:w w:val="105"/>
                <w:sz w:val="13"/>
              </w:rPr>
              <w:t>Totales</w:t>
            </w:r>
          </w:p>
        </w:tc>
        <w:tc>
          <w:tcPr>
            <w:tcW w:w="476" w:type="dxa"/>
            <w:tcBorders>
              <w:bottom w:val="single" w:sz="4" w:space="0" w:color="000000"/>
            </w:tcBorders>
          </w:tcPr>
          <w:p>
            <w:pPr>
              <w:pStyle w:val="TableParagraph"/>
              <w:spacing w:line="133" w:lineRule="exact"/>
              <w:ind w:right="54"/>
              <w:jc w:val="right"/>
              <w:rPr>
                <w:b/>
                <w:sz w:val="13"/>
              </w:rPr>
            </w:pPr>
            <w:r>
              <w:rPr>
                <w:b/>
                <w:sz w:val="13"/>
              </w:rPr>
              <w:t>6.946</w:t>
            </w:r>
          </w:p>
        </w:tc>
        <w:tc>
          <w:tcPr>
            <w:tcW w:w="974" w:type="dxa"/>
            <w:tcBorders>
              <w:bottom w:val="single" w:sz="4" w:space="0" w:color="000000"/>
            </w:tcBorders>
          </w:tcPr>
          <w:p>
            <w:pPr>
              <w:pStyle w:val="TableParagraph"/>
              <w:spacing w:line="133" w:lineRule="exact"/>
              <w:ind w:right="61"/>
              <w:jc w:val="right"/>
              <w:rPr>
                <w:b/>
                <w:sz w:val="13"/>
              </w:rPr>
            </w:pPr>
            <w:r>
              <w:rPr>
                <w:b/>
                <w:sz w:val="13"/>
              </w:rPr>
              <w:t>135.576.699</w:t>
            </w:r>
          </w:p>
        </w:tc>
        <w:tc>
          <w:tcPr>
            <w:tcW w:w="838" w:type="dxa"/>
            <w:tcBorders>
              <w:bottom w:val="single" w:sz="4" w:space="0" w:color="000000"/>
            </w:tcBorders>
          </w:tcPr>
          <w:p>
            <w:pPr>
              <w:pStyle w:val="TableParagraph"/>
              <w:spacing w:line="133" w:lineRule="exact"/>
              <w:ind w:right="54"/>
              <w:jc w:val="right"/>
              <w:rPr>
                <w:b/>
                <w:sz w:val="13"/>
              </w:rPr>
            </w:pPr>
            <w:r>
              <w:rPr>
                <w:b/>
                <w:w w:val="105"/>
                <w:sz w:val="13"/>
              </w:rPr>
              <w:t>7.361.840</w:t>
            </w:r>
          </w:p>
        </w:tc>
        <w:tc>
          <w:tcPr>
            <w:tcW w:w="875" w:type="dxa"/>
            <w:tcBorders>
              <w:bottom w:val="single" w:sz="4" w:space="0" w:color="000000"/>
            </w:tcBorders>
          </w:tcPr>
          <w:p>
            <w:pPr>
              <w:pStyle w:val="TableParagraph"/>
              <w:spacing w:line="133" w:lineRule="exact"/>
              <w:ind w:right="97"/>
              <w:jc w:val="right"/>
              <w:rPr>
                <w:b/>
                <w:sz w:val="13"/>
              </w:rPr>
            </w:pPr>
            <w:r>
              <w:rPr>
                <w:b/>
                <w:w w:val="105"/>
                <w:sz w:val="13"/>
              </w:rPr>
              <w:t>8.795.459</w:t>
            </w:r>
          </w:p>
        </w:tc>
        <w:tc>
          <w:tcPr>
            <w:tcW w:w="765" w:type="dxa"/>
            <w:tcBorders>
              <w:bottom w:val="single" w:sz="4" w:space="0" w:color="000000"/>
            </w:tcBorders>
          </w:tcPr>
          <w:p>
            <w:pPr>
              <w:pStyle w:val="TableParagraph"/>
              <w:spacing w:line="133" w:lineRule="exact"/>
              <w:ind w:right="54"/>
              <w:jc w:val="right"/>
              <w:rPr>
                <w:b/>
                <w:sz w:val="13"/>
              </w:rPr>
            </w:pPr>
            <w:r>
              <w:rPr>
                <w:b/>
                <w:sz w:val="13"/>
              </w:rPr>
              <w:t>19.140</w:t>
            </w:r>
          </w:p>
        </w:tc>
        <w:tc>
          <w:tcPr>
            <w:tcW w:w="688" w:type="dxa"/>
            <w:tcBorders>
              <w:bottom w:val="single" w:sz="4" w:space="0" w:color="000000"/>
            </w:tcBorders>
          </w:tcPr>
          <w:p>
            <w:pPr>
              <w:pStyle w:val="TableParagraph"/>
              <w:spacing w:line="133" w:lineRule="exact"/>
              <w:ind w:right="81"/>
              <w:jc w:val="right"/>
              <w:rPr>
                <w:b/>
                <w:sz w:val="13"/>
              </w:rPr>
            </w:pPr>
            <w:r>
              <w:rPr>
                <w:b/>
                <w:sz w:val="13"/>
              </w:rPr>
              <w:t>58.696</w:t>
            </w:r>
          </w:p>
        </w:tc>
        <w:tc>
          <w:tcPr>
            <w:tcW w:w="928" w:type="dxa"/>
            <w:tcBorders>
              <w:bottom w:val="single" w:sz="4" w:space="0" w:color="000000"/>
            </w:tcBorders>
          </w:tcPr>
          <w:p>
            <w:pPr>
              <w:pStyle w:val="TableParagraph"/>
              <w:spacing w:line="133" w:lineRule="exact"/>
              <w:ind w:right="57"/>
              <w:jc w:val="right"/>
              <w:rPr>
                <w:b/>
                <w:sz w:val="13"/>
              </w:rPr>
            </w:pPr>
            <w:r>
              <w:rPr>
                <w:b/>
                <w:w w:val="105"/>
                <w:sz w:val="13"/>
              </w:rPr>
              <w:t>39.252.368</w:t>
            </w:r>
          </w:p>
        </w:tc>
        <w:tc>
          <w:tcPr>
            <w:tcW w:w="843" w:type="dxa"/>
            <w:tcBorders>
              <w:bottom w:val="single" w:sz="4" w:space="0" w:color="000000"/>
            </w:tcBorders>
          </w:tcPr>
          <w:p>
            <w:pPr>
              <w:pStyle w:val="TableParagraph"/>
              <w:spacing w:line="133" w:lineRule="exact"/>
              <w:ind w:right="66"/>
              <w:jc w:val="right"/>
              <w:rPr>
                <w:b/>
                <w:sz w:val="13"/>
              </w:rPr>
            </w:pPr>
            <w:r>
              <w:rPr>
                <w:b/>
                <w:w w:val="105"/>
                <w:sz w:val="13"/>
              </w:rPr>
              <w:t>5.532.760</w:t>
            </w:r>
          </w:p>
        </w:tc>
        <w:tc>
          <w:tcPr>
            <w:tcW w:w="840" w:type="dxa"/>
            <w:tcBorders>
              <w:bottom w:val="single" w:sz="4" w:space="0" w:color="000000"/>
            </w:tcBorders>
          </w:tcPr>
          <w:p>
            <w:pPr>
              <w:pStyle w:val="TableParagraph"/>
              <w:spacing w:line="133" w:lineRule="exact"/>
              <w:ind w:left="206" w:right="32"/>
              <w:jc w:val="center"/>
              <w:rPr>
                <w:b/>
                <w:sz w:val="13"/>
              </w:rPr>
            </w:pPr>
            <w:r>
              <w:rPr>
                <w:b/>
                <w:w w:val="105"/>
                <w:sz w:val="13"/>
              </w:rPr>
              <w:t>7.666.380</w:t>
            </w:r>
          </w:p>
        </w:tc>
      </w:tr>
    </w:tbl>
    <w:p>
      <w:pPr>
        <w:pStyle w:val="BodyText"/>
        <w:spacing w:before="7"/>
        <w:rPr>
          <w:sz w:val="16"/>
        </w:rPr>
      </w:pPr>
    </w:p>
    <w:p>
      <w:pPr>
        <w:pStyle w:val="BodyText"/>
        <w:ind w:right="4052"/>
        <w:jc w:val="right"/>
      </w:pPr>
      <w:r>
        <w:rPr/>
        <w:t>En los que se utilizó la siguiente tramitación:</w:t>
      </w:r>
    </w:p>
    <w:p>
      <w:pPr>
        <w:pStyle w:val="BodyText"/>
        <w:spacing w:before="7"/>
        <w:rPr>
          <w:sz w:val="16"/>
        </w:rPr>
      </w:pPr>
    </w:p>
    <w:tbl>
      <w:tblPr>
        <w:tblW w:w="0" w:type="auto"/>
        <w:jc w:val="left"/>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3"/>
        <w:gridCol w:w="1004"/>
        <w:gridCol w:w="1034"/>
        <w:gridCol w:w="781"/>
        <w:gridCol w:w="1142"/>
        <w:gridCol w:w="831"/>
      </w:tblGrid>
      <w:tr>
        <w:trPr>
          <w:trHeight w:val="187" w:hRule="atLeast"/>
        </w:trPr>
        <w:tc>
          <w:tcPr>
            <w:tcW w:w="1353" w:type="dxa"/>
            <w:vMerge w:val="restart"/>
            <w:tcBorders>
              <w:top w:val="single" w:sz="4" w:space="0" w:color="000000"/>
            </w:tcBorders>
            <w:shd w:val="clear" w:color="auto" w:fill="DEEAF6"/>
          </w:tcPr>
          <w:p>
            <w:pPr>
              <w:pStyle w:val="TableParagraph"/>
              <w:spacing w:before="115"/>
              <w:ind w:left="213"/>
              <w:rPr>
                <w:b/>
                <w:sz w:val="13"/>
              </w:rPr>
            </w:pPr>
            <w:r>
              <w:rPr>
                <w:b/>
                <w:w w:val="105"/>
                <w:sz w:val="13"/>
              </w:rPr>
              <w:t>Tipo de contrato</w:t>
            </w:r>
          </w:p>
        </w:tc>
        <w:tc>
          <w:tcPr>
            <w:tcW w:w="4792" w:type="dxa"/>
            <w:gridSpan w:val="5"/>
            <w:tcBorders>
              <w:top w:val="single" w:sz="4" w:space="0" w:color="000000"/>
              <w:bottom w:val="single" w:sz="4" w:space="0" w:color="000000"/>
            </w:tcBorders>
            <w:shd w:val="clear" w:color="auto" w:fill="DEEAF6"/>
          </w:tcPr>
          <w:p>
            <w:pPr>
              <w:pStyle w:val="TableParagraph"/>
              <w:spacing w:line="153" w:lineRule="exact" w:before="14"/>
              <w:ind w:left="1311"/>
              <w:rPr>
                <w:b/>
                <w:sz w:val="13"/>
              </w:rPr>
            </w:pPr>
            <w:r>
              <w:rPr>
                <w:b/>
                <w:w w:val="105"/>
                <w:sz w:val="13"/>
              </w:rPr>
              <w:t>Clases de tramitación</w:t>
            </w:r>
          </w:p>
        </w:tc>
      </w:tr>
      <w:tr>
        <w:trPr>
          <w:trHeight w:val="190" w:hRule="atLeast"/>
        </w:trPr>
        <w:tc>
          <w:tcPr>
            <w:tcW w:w="1353" w:type="dxa"/>
            <w:vMerge/>
            <w:tcBorders>
              <w:top w:val="nil"/>
            </w:tcBorders>
            <w:shd w:val="clear" w:color="auto" w:fill="DEEAF6"/>
          </w:tcPr>
          <w:p>
            <w:pPr>
              <w:rPr>
                <w:sz w:val="2"/>
                <w:szCs w:val="2"/>
              </w:rPr>
            </w:pPr>
          </w:p>
        </w:tc>
        <w:tc>
          <w:tcPr>
            <w:tcW w:w="1004" w:type="dxa"/>
            <w:tcBorders>
              <w:top w:val="single" w:sz="4" w:space="0" w:color="000000"/>
            </w:tcBorders>
            <w:shd w:val="clear" w:color="auto" w:fill="DEEAF6"/>
          </w:tcPr>
          <w:p>
            <w:pPr>
              <w:pStyle w:val="TableParagraph"/>
              <w:spacing w:line="154" w:lineRule="exact" w:before="16"/>
              <w:ind w:left="271"/>
              <w:rPr>
                <w:b/>
                <w:sz w:val="13"/>
              </w:rPr>
            </w:pPr>
            <w:r>
              <w:rPr>
                <w:b/>
                <w:w w:val="105"/>
                <w:sz w:val="13"/>
              </w:rPr>
              <w:t>Ordinaria</w:t>
            </w:r>
          </w:p>
        </w:tc>
        <w:tc>
          <w:tcPr>
            <w:tcW w:w="1034" w:type="dxa"/>
            <w:tcBorders>
              <w:top w:val="single" w:sz="4" w:space="0" w:color="000000"/>
            </w:tcBorders>
            <w:shd w:val="clear" w:color="auto" w:fill="DEEAF6"/>
          </w:tcPr>
          <w:p>
            <w:pPr>
              <w:pStyle w:val="TableParagraph"/>
              <w:spacing w:line="154" w:lineRule="exact" w:before="16"/>
              <w:ind w:left="200"/>
              <w:rPr>
                <w:b/>
                <w:sz w:val="13"/>
              </w:rPr>
            </w:pPr>
            <w:r>
              <w:rPr>
                <w:b/>
                <w:w w:val="105"/>
                <w:sz w:val="13"/>
              </w:rPr>
              <w:t>Emergencia</w:t>
            </w:r>
          </w:p>
        </w:tc>
        <w:tc>
          <w:tcPr>
            <w:tcW w:w="781" w:type="dxa"/>
            <w:tcBorders>
              <w:top w:val="single" w:sz="4" w:space="0" w:color="000000"/>
            </w:tcBorders>
            <w:shd w:val="clear" w:color="auto" w:fill="DEEAF6"/>
          </w:tcPr>
          <w:p>
            <w:pPr>
              <w:pStyle w:val="TableParagraph"/>
              <w:spacing w:line="154" w:lineRule="exact" w:before="16"/>
              <w:ind w:left="180"/>
              <w:rPr>
                <w:b/>
                <w:sz w:val="13"/>
              </w:rPr>
            </w:pPr>
            <w:r>
              <w:rPr>
                <w:b/>
                <w:w w:val="105"/>
                <w:sz w:val="13"/>
              </w:rPr>
              <w:t>Urgente</w:t>
            </w:r>
          </w:p>
        </w:tc>
        <w:tc>
          <w:tcPr>
            <w:tcW w:w="1142" w:type="dxa"/>
            <w:tcBorders>
              <w:top w:val="single" w:sz="4" w:space="0" w:color="000000"/>
            </w:tcBorders>
            <w:shd w:val="clear" w:color="auto" w:fill="DEEAF6"/>
          </w:tcPr>
          <w:p>
            <w:pPr>
              <w:pStyle w:val="TableParagraph"/>
              <w:spacing w:line="154" w:lineRule="exact" w:before="16"/>
              <w:ind w:left="143"/>
              <w:rPr>
                <w:b/>
                <w:sz w:val="13"/>
              </w:rPr>
            </w:pPr>
            <w:r>
              <w:rPr>
                <w:b/>
                <w:w w:val="105"/>
                <w:sz w:val="13"/>
              </w:rPr>
              <w:t>Sin especificar</w:t>
            </w:r>
          </w:p>
        </w:tc>
        <w:tc>
          <w:tcPr>
            <w:tcW w:w="831" w:type="dxa"/>
            <w:tcBorders>
              <w:top w:val="single" w:sz="4" w:space="0" w:color="000000"/>
            </w:tcBorders>
            <w:shd w:val="clear" w:color="auto" w:fill="DEEAF6"/>
          </w:tcPr>
          <w:p>
            <w:pPr>
              <w:pStyle w:val="TableParagraph"/>
              <w:spacing w:before="4"/>
              <w:ind w:left="200"/>
              <w:rPr>
                <w:b/>
                <w:sz w:val="13"/>
              </w:rPr>
            </w:pPr>
            <w:r>
              <w:rPr>
                <w:b/>
                <w:w w:val="105"/>
                <w:sz w:val="13"/>
              </w:rPr>
              <w:t>Total</w:t>
            </w:r>
          </w:p>
        </w:tc>
      </w:tr>
    </w:tbl>
    <w:p>
      <w:pPr>
        <w:pStyle w:val="BodyText"/>
        <w:spacing w:before="3"/>
        <w:rPr>
          <w:sz w:val="3"/>
        </w:rPr>
      </w:pPr>
    </w:p>
    <w:tbl>
      <w:tblPr>
        <w:tblW w:w="0" w:type="auto"/>
        <w:jc w:val="left"/>
        <w:tblInd w:w="2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8"/>
        <w:gridCol w:w="1269"/>
        <w:gridCol w:w="915"/>
        <w:gridCol w:w="968"/>
        <w:gridCol w:w="822"/>
        <w:gridCol w:w="972"/>
        <w:gridCol w:w="551"/>
      </w:tblGrid>
      <w:tr>
        <w:trPr>
          <w:trHeight w:val="168" w:hRule="atLeast"/>
        </w:trPr>
        <w:tc>
          <w:tcPr>
            <w:tcW w:w="1208" w:type="dxa"/>
          </w:tcPr>
          <w:p>
            <w:pPr>
              <w:pStyle w:val="TableParagraph"/>
              <w:spacing w:line="136" w:lineRule="exact"/>
              <w:ind w:left="70"/>
              <w:rPr>
                <w:sz w:val="13"/>
              </w:rPr>
            </w:pPr>
            <w:r>
              <w:rPr>
                <w:w w:val="105"/>
                <w:sz w:val="13"/>
              </w:rPr>
              <w:t>Obras</w:t>
            </w:r>
          </w:p>
        </w:tc>
        <w:tc>
          <w:tcPr>
            <w:tcW w:w="1269" w:type="dxa"/>
          </w:tcPr>
          <w:p>
            <w:pPr>
              <w:pStyle w:val="TableParagraph"/>
              <w:spacing w:line="136" w:lineRule="exact"/>
              <w:ind w:right="92"/>
              <w:jc w:val="right"/>
              <w:rPr>
                <w:sz w:val="13"/>
              </w:rPr>
            </w:pPr>
            <w:r>
              <w:rPr>
                <w:w w:val="105"/>
                <w:sz w:val="13"/>
              </w:rPr>
              <w:t>26.373.507,45</w:t>
            </w:r>
          </w:p>
        </w:tc>
        <w:tc>
          <w:tcPr>
            <w:tcW w:w="915" w:type="dxa"/>
          </w:tcPr>
          <w:p>
            <w:pPr>
              <w:pStyle w:val="TableParagraph"/>
              <w:spacing w:line="136" w:lineRule="exact"/>
              <w:ind w:right="96"/>
              <w:jc w:val="right"/>
              <w:rPr>
                <w:sz w:val="13"/>
              </w:rPr>
            </w:pPr>
            <w:r>
              <w:rPr>
                <w:w w:val="105"/>
                <w:sz w:val="13"/>
              </w:rPr>
              <w:t>4.805.096,06</w:t>
            </w:r>
          </w:p>
        </w:tc>
        <w:tc>
          <w:tcPr>
            <w:tcW w:w="968" w:type="dxa"/>
          </w:tcPr>
          <w:p>
            <w:pPr>
              <w:pStyle w:val="TableParagraph"/>
              <w:rPr>
                <w:rFonts w:ascii="Times New Roman"/>
                <w:sz w:val="10"/>
              </w:rPr>
            </w:pPr>
          </w:p>
        </w:tc>
        <w:tc>
          <w:tcPr>
            <w:tcW w:w="822" w:type="dxa"/>
          </w:tcPr>
          <w:p>
            <w:pPr>
              <w:pStyle w:val="TableParagraph"/>
              <w:spacing w:line="148" w:lineRule="exact"/>
              <w:ind w:right="54"/>
              <w:jc w:val="right"/>
              <w:rPr>
                <w:sz w:val="13"/>
              </w:rPr>
            </w:pPr>
            <w:r>
              <w:rPr>
                <w:w w:val="105"/>
                <w:sz w:val="13"/>
              </w:rPr>
              <w:t>230.607,92</w:t>
            </w:r>
          </w:p>
        </w:tc>
        <w:tc>
          <w:tcPr>
            <w:tcW w:w="972" w:type="dxa"/>
          </w:tcPr>
          <w:p>
            <w:pPr>
              <w:pStyle w:val="TableParagraph"/>
              <w:spacing w:line="148" w:lineRule="exact"/>
              <w:ind w:right="52"/>
              <w:jc w:val="right"/>
              <w:rPr>
                <w:b/>
                <w:sz w:val="13"/>
              </w:rPr>
            </w:pPr>
            <w:r>
              <w:rPr>
                <w:b/>
                <w:w w:val="105"/>
                <w:sz w:val="13"/>
              </w:rPr>
              <w:t>31.409.211,43</w:t>
            </w:r>
          </w:p>
        </w:tc>
        <w:tc>
          <w:tcPr>
            <w:tcW w:w="551" w:type="dxa"/>
          </w:tcPr>
          <w:p>
            <w:pPr>
              <w:pStyle w:val="TableParagraph"/>
              <w:rPr>
                <w:rFonts w:ascii="Times New Roman"/>
                <w:sz w:val="10"/>
              </w:rPr>
            </w:pPr>
          </w:p>
        </w:tc>
      </w:tr>
      <w:tr>
        <w:trPr>
          <w:trHeight w:val="191" w:hRule="atLeast"/>
        </w:trPr>
        <w:tc>
          <w:tcPr>
            <w:tcW w:w="1208" w:type="dxa"/>
          </w:tcPr>
          <w:p>
            <w:pPr>
              <w:pStyle w:val="TableParagraph"/>
              <w:spacing w:line="158" w:lineRule="exact"/>
              <w:ind w:left="70"/>
              <w:rPr>
                <w:sz w:val="13"/>
              </w:rPr>
            </w:pPr>
            <w:r>
              <w:rPr>
                <w:w w:val="105"/>
                <w:sz w:val="13"/>
              </w:rPr>
              <w:t>Servicios</w:t>
            </w:r>
          </w:p>
        </w:tc>
        <w:tc>
          <w:tcPr>
            <w:tcW w:w="1269" w:type="dxa"/>
          </w:tcPr>
          <w:p>
            <w:pPr>
              <w:pStyle w:val="TableParagraph"/>
              <w:spacing w:line="158" w:lineRule="exact"/>
              <w:ind w:right="93"/>
              <w:jc w:val="right"/>
              <w:rPr>
                <w:sz w:val="13"/>
              </w:rPr>
            </w:pPr>
            <w:r>
              <w:rPr>
                <w:sz w:val="13"/>
              </w:rPr>
              <w:t>130.843.035,41</w:t>
            </w:r>
          </w:p>
        </w:tc>
        <w:tc>
          <w:tcPr>
            <w:tcW w:w="915" w:type="dxa"/>
          </w:tcPr>
          <w:p>
            <w:pPr>
              <w:pStyle w:val="TableParagraph"/>
              <w:spacing w:line="158" w:lineRule="exact"/>
              <w:ind w:right="96"/>
              <w:jc w:val="right"/>
              <w:rPr>
                <w:sz w:val="13"/>
              </w:rPr>
            </w:pPr>
            <w:r>
              <w:rPr>
                <w:w w:val="105"/>
                <w:sz w:val="13"/>
              </w:rPr>
              <w:t>2.648.149,09</w:t>
            </w:r>
          </w:p>
        </w:tc>
        <w:tc>
          <w:tcPr>
            <w:tcW w:w="968" w:type="dxa"/>
          </w:tcPr>
          <w:p>
            <w:pPr>
              <w:pStyle w:val="TableParagraph"/>
              <w:spacing w:before="13"/>
              <w:ind w:left="104"/>
              <w:rPr>
                <w:sz w:val="13"/>
              </w:rPr>
            </w:pPr>
            <w:r>
              <w:rPr>
                <w:w w:val="105"/>
                <w:sz w:val="13"/>
              </w:rPr>
              <w:t>4.994.161,97</w:t>
            </w:r>
          </w:p>
        </w:tc>
        <w:tc>
          <w:tcPr>
            <w:tcW w:w="822" w:type="dxa"/>
          </w:tcPr>
          <w:p>
            <w:pPr>
              <w:pStyle w:val="TableParagraph"/>
              <w:spacing w:before="13"/>
              <w:ind w:right="54"/>
              <w:jc w:val="right"/>
              <w:rPr>
                <w:sz w:val="13"/>
              </w:rPr>
            </w:pPr>
            <w:r>
              <w:rPr>
                <w:w w:val="105"/>
                <w:sz w:val="13"/>
              </w:rPr>
              <w:t>196.667,13</w:t>
            </w:r>
          </w:p>
        </w:tc>
        <w:tc>
          <w:tcPr>
            <w:tcW w:w="972" w:type="dxa"/>
          </w:tcPr>
          <w:p>
            <w:pPr>
              <w:pStyle w:val="TableParagraph"/>
              <w:spacing w:before="13"/>
              <w:ind w:right="53"/>
              <w:jc w:val="right"/>
              <w:rPr>
                <w:b/>
                <w:sz w:val="13"/>
              </w:rPr>
            </w:pPr>
            <w:r>
              <w:rPr>
                <w:b/>
                <w:sz w:val="13"/>
              </w:rPr>
              <w:t>138.682.013,60</w:t>
            </w:r>
          </w:p>
        </w:tc>
        <w:tc>
          <w:tcPr>
            <w:tcW w:w="551" w:type="dxa"/>
          </w:tcPr>
          <w:p>
            <w:pPr>
              <w:pStyle w:val="TableParagraph"/>
              <w:rPr>
                <w:rFonts w:ascii="Times New Roman"/>
                <w:sz w:val="12"/>
              </w:rPr>
            </w:pPr>
          </w:p>
        </w:tc>
      </w:tr>
      <w:tr>
        <w:trPr>
          <w:trHeight w:val="190" w:hRule="atLeast"/>
        </w:trPr>
        <w:tc>
          <w:tcPr>
            <w:tcW w:w="1208" w:type="dxa"/>
          </w:tcPr>
          <w:p>
            <w:pPr>
              <w:pStyle w:val="TableParagraph"/>
              <w:spacing w:line="157" w:lineRule="exact"/>
              <w:ind w:left="70"/>
              <w:rPr>
                <w:sz w:val="13"/>
              </w:rPr>
            </w:pPr>
            <w:r>
              <w:rPr>
                <w:w w:val="105"/>
                <w:sz w:val="13"/>
              </w:rPr>
              <w:t>Suministros</w:t>
            </w:r>
          </w:p>
        </w:tc>
        <w:tc>
          <w:tcPr>
            <w:tcW w:w="1269" w:type="dxa"/>
          </w:tcPr>
          <w:p>
            <w:pPr>
              <w:pStyle w:val="TableParagraph"/>
              <w:spacing w:line="157" w:lineRule="exact"/>
              <w:ind w:right="92"/>
              <w:jc w:val="right"/>
              <w:rPr>
                <w:sz w:val="13"/>
              </w:rPr>
            </w:pPr>
            <w:r>
              <w:rPr>
                <w:w w:val="105"/>
                <w:sz w:val="13"/>
              </w:rPr>
              <w:t>29.673.204,44</w:t>
            </w:r>
          </w:p>
        </w:tc>
        <w:tc>
          <w:tcPr>
            <w:tcW w:w="915" w:type="dxa"/>
          </w:tcPr>
          <w:p>
            <w:pPr>
              <w:pStyle w:val="TableParagraph"/>
              <w:spacing w:line="157" w:lineRule="exact"/>
              <w:ind w:right="96"/>
              <w:jc w:val="right"/>
              <w:rPr>
                <w:sz w:val="13"/>
              </w:rPr>
            </w:pPr>
            <w:r>
              <w:rPr>
                <w:w w:val="105"/>
                <w:sz w:val="13"/>
              </w:rPr>
              <w:t>198.847,49</w:t>
            </w:r>
          </w:p>
        </w:tc>
        <w:tc>
          <w:tcPr>
            <w:tcW w:w="968" w:type="dxa"/>
          </w:tcPr>
          <w:p>
            <w:pPr>
              <w:pStyle w:val="TableParagraph"/>
              <w:spacing w:line="158" w:lineRule="exact" w:before="12"/>
              <w:ind w:left="104"/>
              <w:rPr>
                <w:sz w:val="13"/>
              </w:rPr>
            </w:pPr>
            <w:r>
              <w:rPr>
                <w:w w:val="105"/>
                <w:sz w:val="13"/>
              </w:rPr>
              <w:t>3.564.088,54</w:t>
            </w:r>
          </w:p>
        </w:tc>
        <w:tc>
          <w:tcPr>
            <w:tcW w:w="822" w:type="dxa"/>
          </w:tcPr>
          <w:p>
            <w:pPr>
              <w:pStyle w:val="TableParagraph"/>
              <w:spacing w:line="158" w:lineRule="exact" w:before="12"/>
              <w:ind w:right="54"/>
              <w:jc w:val="right"/>
              <w:rPr>
                <w:sz w:val="13"/>
              </w:rPr>
            </w:pPr>
            <w:r>
              <w:rPr>
                <w:w w:val="105"/>
                <w:sz w:val="13"/>
              </w:rPr>
              <w:t>53.677,11</w:t>
            </w:r>
          </w:p>
        </w:tc>
        <w:tc>
          <w:tcPr>
            <w:tcW w:w="972" w:type="dxa"/>
          </w:tcPr>
          <w:p>
            <w:pPr>
              <w:pStyle w:val="TableParagraph"/>
              <w:spacing w:line="158" w:lineRule="exact" w:before="12"/>
              <w:ind w:right="52"/>
              <w:jc w:val="right"/>
              <w:rPr>
                <w:b/>
                <w:sz w:val="13"/>
              </w:rPr>
            </w:pPr>
            <w:r>
              <w:rPr>
                <w:b/>
                <w:w w:val="105"/>
                <w:sz w:val="13"/>
              </w:rPr>
              <w:t>33.489.817,58</w:t>
            </w:r>
          </w:p>
        </w:tc>
        <w:tc>
          <w:tcPr>
            <w:tcW w:w="551" w:type="dxa"/>
          </w:tcPr>
          <w:p>
            <w:pPr>
              <w:pStyle w:val="TableParagraph"/>
              <w:rPr>
                <w:rFonts w:ascii="Times New Roman"/>
                <w:sz w:val="12"/>
              </w:rPr>
            </w:pPr>
          </w:p>
        </w:tc>
      </w:tr>
      <w:tr>
        <w:trPr>
          <w:trHeight w:val="190" w:hRule="atLeast"/>
        </w:trPr>
        <w:tc>
          <w:tcPr>
            <w:tcW w:w="1208" w:type="dxa"/>
          </w:tcPr>
          <w:p>
            <w:pPr>
              <w:pStyle w:val="TableParagraph"/>
              <w:spacing w:line="156" w:lineRule="exact"/>
              <w:ind w:left="70"/>
              <w:rPr>
                <w:sz w:val="13"/>
              </w:rPr>
            </w:pPr>
            <w:r>
              <w:rPr>
                <w:w w:val="105"/>
                <w:sz w:val="13"/>
              </w:rPr>
              <w:t>C Servicios</w:t>
            </w:r>
          </w:p>
        </w:tc>
        <w:tc>
          <w:tcPr>
            <w:tcW w:w="1269" w:type="dxa"/>
          </w:tcPr>
          <w:p>
            <w:pPr>
              <w:pStyle w:val="TableParagraph"/>
              <w:spacing w:line="156" w:lineRule="exact"/>
              <w:ind w:right="93"/>
              <w:jc w:val="right"/>
              <w:rPr>
                <w:sz w:val="13"/>
              </w:rPr>
            </w:pPr>
            <w:r>
              <w:rPr>
                <w:w w:val="105"/>
                <w:sz w:val="13"/>
              </w:rPr>
              <w:t>652.299,92</w:t>
            </w:r>
          </w:p>
        </w:tc>
        <w:tc>
          <w:tcPr>
            <w:tcW w:w="915" w:type="dxa"/>
          </w:tcPr>
          <w:p>
            <w:pPr>
              <w:pStyle w:val="TableParagraph"/>
              <w:rPr>
                <w:rFonts w:ascii="Times New Roman"/>
                <w:sz w:val="12"/>
              </w:rPr>
            </w:pPr>
          </w:p>
        </w:tc>
        <w:tc>
          <w:tcPr>
            <w:tcW w:w="968" w:type="dxa"/>
          </w:tcPr>
          <w:p>
            <w:pPr>
              <w:pStyle w:val="TableParagraph"/>
              <w:rPr>
                <w:rFonts w:ascii="Times New Roman"/>
                <w:sz w:val="12"/>
              </w:rPr>
            </w:pPr>
          </w:p>
        </w:tc>
        <w:tc>
          <w:tcPr>
            <w:tcW w:w="822" w:type="dxa"/>
          </w:tcPr>
          <w:p>
            <w:pPr>
              <w:pStyle w:val="TableParagraph"/>
              <w:rPr>
                <w:rFonts w:ascii="Times New Roman"/>
                <w:sz w:val="12"/>
              </w:rPr>
            </w:pPr>
          </w:p>
        </w:tc>
        <w:tc>
          <w:tcPr>
            <w:tcW w:w="972" w:type="dxa"/>
          </w:tcPr>
          <w:p>
            <w:pPr>
              <w:pStyle w:val="TableParagraph"/>
              <w:spacing w:before="11"/>
              <w:ind w:right="53"/>
              <w:jc w:val="right"/>
              <w:rPr>
                <w:b/>
                <w:sz w:val="13"/>
              </w:rPr>
            </w:pPr>
            <w:r>
              <w:rPr>
                <w:b/>
                <w:w w:val="105"/>
                <w:sz w:val="13"/>
              </w:rPr>
              <w:t>652.299,92</w:t>
            </w:r>
          </w:p>
        </w:tc>
        <w:tc>
          <w:tcPr>
            <w:tcW w:w="551" w:type="dxa"/>
          </w:tcPr>
          <w:p>
            <w:pPr>
              <w:pStyle w:val="TableParagraph"/>
              <w:rPr>
                <w:rFonts w:ascii="Times New Roman"/>
                <w:sz w:val="12"/>
              </w:rPr>
            </w:pPr>
          </w:p>
        </w:tc>
      </w:tr>
      <w:tr>
        <w:trPr>
          <w:trHeight w:val="191" w:hRule="atLeast"/>
        </w:trPr>
        <w:tc>
          <w:tcPr>
            <w:tcW w:w="1208" w:type="dxa"/>
          </w:tcPr>
          <w:p>
            <w:pPr>
              <w:pStyle w:val="TableParagraph"/>
              <w:spacing w:line="157" w:lineRule="exact"/>
              <w:ind w:left="70"/>
              <w:rPr>
                <w:sz w:val="13"/>
              </w:rPr>
            </w:pPr>
            <w:r>
              <w:rPr>
                <w:w w:val="105"/>
                <w:sz w:val="13"/>
              </w:rPr>
              <w:t>C. Obras</w:t>
            </w:r>
          </w:p>
        </w:tc>
        <w:tc>
          <w:tcPr>
            <w:tcW w:w="1269" w:type="dxa"/>
          </w:tcPr>
          <w:p>
            <w:pPr>
              <w:pStyle w:val="TableParagraph"/>
              <w:rPr>
                <w:rFonts w:ascii="Times New Roman"/>
                <w:sz w:val="12"/>
              </w:rPr>
            </w:pPr>
          </w:p>
        </w:tc>
        <w:tc>
          <w:tcPr>
            <w:tcW w:w="915" w:type="dxa"/>
          </w:tcPr>
          <w:p>
            <w:pPr>
              <w:pStyle w:val="TableParagraph"/>
              <w:spacing w:line="157" w:lineRule="exact"/>
              <w:ind w:right="96"/>
              <w:jc w:val="right"/>
              <w:rPr>
                <w:sz w:val="13"/>
              </w:rPr>
            </w:pPr>
            <w:r>
              <w:rPr>
                <w:w w:val="105"/>
                <w:sz w:val="13"/>
              </w:rPr>
              <w:t>30.000,00</w:t>
            </w:r>
          </w:p>
        </w:tc>
        <w:tc>
          <w:tcPr>
            <w:tcW w:w="968" w:type="dxa"/>
          </w:tcPr>
          <w:p>
            <w:pPr>
              <w:pStyle w:val="TableParagraph"/>
              <w:rPr>
                <w:rFonts w:ascii="Times New Roman"/>
                <w:sz w:val="12"/>
              </w:rPr>
            </w:pPr>
          </w:p>
        </w:tc>
        <w:tc>
          <w:tcPr>
            <w:tcW w:w="822" w:type="dxa"/>
          </w:tcPr>
          <w:p>
            <w:pPr>
              <w:pStyle w:val="TableParagraph"/>
              <w:rPr>
                <w:rFonts w:ascii="Times New Roman"/>
                <w:sz w:val="12"/>
              </w:rPr>
            </w:pPr>
          </w:p>
        </w:tc>
        <w:tc>
          <w:tcPr>
            <w:tcW w:w="972" w:type="dxa"/>
          </w:tcPr>
          <w:p>
            <w:pPr>
              <w:pStyle w:val="TableParagraph"/>
              <w:spacing w:before="12"/>
              <w:ind w:right="53"/>
              <w:jc w:val="right"/>
              <w:rPr>
                <w:b/>
                <w:sz w:val="13"/>
              </w:rPr>
            </w:pPr>
            <w:r>
              <w:rPr>
                <w:b/>
                <w:w w:val="105"/>
                <w:sz w:val="13"/>
              </w:rPr>
              <w:t>30.000,00</w:t>
            </w:r>
          </w:p>
        </w:tc>
        <w:tc>
          <w:tcPr>
            <w:tcW w:w="551" w:type="dxa"/>
          </w:tcPr>
          <w:p>
            <w:pPr>
              <w:pStyle w:val="TableParagraph"/>
              <w:rPr>
                <w:rFonts w:ascii="Times New Roman"/>
                <w:sz w:val="12"/>
              </w:rPr>
            </w:pPr>
          </w:p>
        </w:tc>
      </w:tr>
      <w:tr>
        <w:trPr>
          <w:trHeight w:val="171" w:hRule="atLeast"/>
        </w:trPr>
        <w:tc>
          <w:tcPr>
            <w:tcW w:w="1208" w:type="dxa"/>
            <w:tcBorders>
              <w:bottom w:val="single" w:sz="4" w:space="0" w:color="000000"/>
            </w:tcBorders>
          </w:tcPr>
          <w:p>
            <w:pPr>
              <w:pStyle w:val="TableParagraph"/>
              <w:spacing w:line="152" w:lineRule="exact"/>
              <w:ind w:left="486"/>
              <w:rPr>
                <w:b/>
                <w:sz w:val="13"/>
              </w:rPr>
            </w:pPr>
            <w:r>
              <w:rPr>
                <w:b/>
                <w:w w:val="105"/>
                <w:sz w:val="13"/>
              </w:rPr>
              <w:t>Totales</w:t>
            </w:r>
          </w:p>
        </w:tc>
        <w:tc>
          <w:tcPr>
            <w:tcW w:w="1269" w:type="dxa"/>
            <w:tcBorders>
              <w:bottom w:val="single" w:sz="4" w:space="0" w:color="000000"/>
            </w:tcBorders>
          </w:tcPr>
          <w:p>
            <w:pPr>
              <w:pStyle w:val="TableParagraph"/>
              <w:spacing w:line="141" w:lineRule="exact" w:before="10"/>
              <w:ind w:right="93"/>
              <w:jc w:val="right"/>
              <w:rPr>
                <w:b/>
                <w:sz w:val="13"/>
              </w:rPr>
            </w:pPr>
            <w:r>
              <w:rPr>
                <w:b/>
                <w:sz w:val="13"/>
              </w:rPr>
              <w:t>187.542.047,22</w:t>
            </w:r>
          </w:p>
        </w:tc>
        <w:tc>
          <w:tcPr>
            <w:tcW w:w="915" w:type="dxa"/>
            <w:tcBorders>
              <w:bottom w:val="single" w:sz="4" w:space="0" w:color="000000"/>
            </w:tcBorders>
          </w:tcPr>
          <w:p>
            <w:pPr>
              <w:pStyle w:val="TableParagraph"/>
              <w:spacing w:line="141" w:lineRule="exact" w:before="10"/>
              <w:ind w:right="96"/>
              <w:jc w:val="right"/>
              <w:rPr>
                <w:b/>
                <w:sz w:val="13"/>
              </w:rPr>
            </w:pPr>
            <w:r>
              <w:rPr>
                <w:b/>
                <w:w w:val="105"/>
                <w:sz w:val="13"/>
              </w:rPr>
              <w:t>7.682.092,64</w:t>
            </w:r>
          </w:p>
        </w:tc>
        <w:tc>
          <w:tcPr>
            <w:tcW w:w="968" w:type="dxa"/>
            <w:tcBorders>
              <w:bottom w:val="single" w:sz="4" w:space="0" w:color="000000"/>
            </w:tcBorders>
          </w:tcPr>
          <w:p>
            <w:pPr>
              <w:pStyle w:val="TableParagraph"/>
              <w:spacing w:line="141" w:lineRule="exact" w:before="10"/>
              <w:ind w:left="98"/>
              <w:rPr>
                <w:b/>
                <w:sz w:val="13"/>
              </w:rPr>
            </w:pPr>
            <w:r>
              <w:rPr>
                <w:b/>
                <w:w w:val="105"/>
                <w:sz w:val="13"/>
              </w:rPr>
              <w:t>8.558.250,51</w:t>
            </w:r>
          </w:p>
        </w:tc>
        <w:tc>
          <w:tcPr>
            <w:tcW w:w="822" w:type="dxa"/>
            <w:tcBorders>
              <w:bottom w:val="single" w:sz="4" w:space="0" w:color="000000"/>
            </w:tcBorders>
          </w:tcPr>
          <w:p>
            <w:pPr>
              <w:pStyle w:val="TableParagraph"/>
              <w:spacing w:line="141" w:lineRule="exact" w:before="10"/>
              <w:ind w:right="54"/>
              <w:jc w:val="right"/>
              <w:rPr>
                <w:b/>
                <w:sz w:val="13"/>
              </w:rPr>
            </w:pPr>
            <w:r>
              <w:rPr>
                <w:b/>
                <w:w w:val="105"/>
                <w:sz w:val="13"/>
              </w:rPr>
              <w:t>480.952,16</w:t>
            </w:r>
          </w:p>
        </w:tc>
        <w:tc>
          <w:tcPr>
            <w:tcW w:w="972" w:type="dxa"/>
            <w:tcBorders>
              <w:bottom w:val="single" w:sz="4" w:space="0" w:color="000000"/>
            </w:tcBorders>
          </w:tcPr>
          <w:p>
            <w:pPr>
              <w:pStyle w:val="TableParagraph"/>
              <w:spacing w:line="141" w:lineRule="exact" w:before="10"/>
              <w:ind w:right="53"/>
              <w:jc w:val="right"/>
              <w:rPr>
                <w:b/>
                <w:sz w:val="13"/>
              </w:rPr>
            </w:pPr>
            <w:r>
              <w:rPr>
                <w:b/>
                <w:sz w:val="13"/>
              </w:rPr>
              <w:t>204.263.342,53</w:t>
            </w:r>
          </w:p>
        </w:tc>
        <w:tc>
          <w:tcPr>
            <w:tcW w:w="551" w:type="dxa"/>
          </w:tcPr>
          <w:p>
            <w:pPr>
              <w:pStyle w:val="TableParagraph"/>
              <w:rPr>
                <w:rFonts w:ascii="Times New Roman"/>
                <w:sz w:val="10"/>
              </w:rPr>
            </w:pPr>
          </w:p>
        </w:tc>
      </w:tr>
      <w:tr>
        <w:trPr>
          <w:trHeight w:val="611" w:hRule="atLeast"/>
        </w:trPr>
        <w:tc>
          <w:tcPr>
            <w:tcW w:w="1208" w:type="dxa"/>
            <w:tcBorders>
              <w:top w:val="single" w:sz="4" w:space="0" w:color="000000"/>
            </w:tcBorders>
          </w:tcPr>
          <w:p>
            <w:pPr>
              <w:pStyle w:val="TableParagraph"/>
              <w:rPr>
                <w:rFonts w:ascii="Times New Roman"/>
                <w:sz w:val="14"/>
              </w:rPr>
            </w:pPr>
          </w:p>
        </w:tc>
        <w:tc>
          <w:tcPr>
            <w:tcW w:w="1269" w:type="dxa"/>
            <w:tcBorders>
              <w:top w:val="single" w:sz="4" w:space="0" w:color="000000"/>
            </w:tcBorders>
          </w:tcPr>
          <w:p>
            <w:pPr>
              <w:pStyle w:val="TableParagraph"/>
              <w:rPr>
                <w:rFonts w:ascii="Times New Roman"/>
                <w:sz w:val="14"/>
              </w:rPr>
            </w:pPr>
          </w:p>
        </w:tc>
        <w:tc>
          <w:tcPr>
            <w:tcW w:w="915" w:type="dxa"/>
            <w:tcBorders>
              <w:top w:val="single" w:sz="4" w:space="0" w:color="000000"/>
            </w:tcBorders>
          </w:tcPr>
          <w:p>
            <w:pPr>
              <w:pStyle w:val="TableParagraph"/>
              <w:rPr>
                <w:rFonts w:ascii="Times New Roman"/>
                <w:sz w:val="14"/>
              </w:rPr>
            </w:pPr>
          </w:p>
        </w:tc>
        <w:tc>
          <w:tcPr>
            <w:tcW w:w="968" w:type="dxa"/>
            <w:tcBorders>
              <w:top w:val="single" w:sz="4" w:space="0" w:color="000000"/>
            </w:tcBorders>
          </w:tcPr>
          <w:p>
            <w:pPr>
              <w:pStyle w:val="TableParagraph"/>
              <w:rPr>
                <w:rFonts w:ascii="Times New Roman"/>
                <w:sz w:val="14"/>
              </w:rPr>
            </w:pPr>
          </w:p>
        </w:tc>
        <w:tc>
          <w:tcPr>
            <w:tcW w:w="822" w:type="dxa"/>
            <w:tcBorders>
              <w:top w:val="single" w:sz="4" w:space="0" w:color="000000"/>
            </w:tcBorders>
          </w:tcPr>
          <w:p>
            <w:pPr>
              <w:pStyle w:val="TableParagraph"/>
              <w:rPr>
                <w:rFonts w:ascii="Times New Roman"/>
                <w:sz w:val="14"/>
              </w:rPr>
            </w:pPr>
          </w:p>
        </w:tc>
        <w:tc>
          <w:tcPr>
            <w:tcW w:w="972" w:type="dxa"/>
            <w:tcBorders>
              <w:top w:val="single" w:sz="4" w:space="0" w:color="000000"/>
            </w:tcBorders>
          </w:tcPr>
          <w:p>
            <w:pPr>
              <w:pStyle w:val="TableParagraph"/>
              <w:rPr>
                <w:rFonts w:ascii="Times New Roman"/>
                <w:sz w:val="14"/>
              </w:rPr>
            </w:pPr>
          </w:p>
        </w:tc>
        <w:tc>
          <w:tcPr>
            <w:tcW w:w="551" w:type="dxa"/>
          </w:tcPr>
          <w:p>
            <w:pPr>
              <w:pStyle w:val="TableParagraph"/>
              <w:rPr>
                <w:sz w:val="20"/>
              </w:rPr>
            </w:pPr>
          </w:p>
          <w:p>
            <w:pPr>
              <w:pStyle w:val="TableParagraph"/>
              <w:spacing w:line="221" w:lineRule="exact" w:before="126"/>
              <w:ind w:left="297"/>
              <w:rPr>
                <w:sz w:val="20"/>
              </w:rPr>
            </w:pPr>
            <w:r>
              <w:rPr>
                <w:sz w:val="20"/>
              </w:rPr>
              <w:t>59</w:t>
            </w:r>
          </w:p>
        </w:tc>
      </w:tr>
    </w:tbl>
    <w:p>
      <w:pPr>
        <w:pStyle w:val="Heading1"/>
        <w:spacing w:before="5"/>
        <w:ind w:left="0" w:right="4116"/>
        <w:jc w:val="right"/>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29" name="image5.png"/>
                  <wp:cNvGraphicFramePr>
                    <a:graphicFrameLocks noChangeAspect="1"/>
                  </wp:cNvGraphicFramePr>
                  <a:graphic>
                    <a:graphicData uri="http://schemas.openxmlformats.org/drawingml/2006/picture">
                      <pic:pic>
                        <pic:nvPicPr>
                          <pic:cNvPr id="13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61/247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right="1137" w:firstLine="594"/>
        <w:jc w:val="both"/>
      </w:pPr>
      <w:r>
        <w:rPr/>
        <w:t>En cuanto a la información obrante en la Plataforma de Contratación del Sector Público, según los datos obtenidos por la descarga del 14 de septiembre de 2023, el importe de las contrataciones adjudicadas en el año es de 779,7 millones de €, distribuidos en los siguientes procedimientos de adjudicación:</w:t>
      </w:r>
    </w:p>
    <w:p>
      <w:pPr>
        <w:pStyle w:val="BodyText"/>
        <w:rPr>
          <w:sz w:val="17"/>
        </w:rPr>
      </w:pPr>
    </w:p>
    <w:tbl>
      <w:tblPr>
        <w:tblW w:w="0" w:type="auto"/>
        <w:jc w:val="left"/>
        <w:tblInd w:w="2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7"/>
        <w:gridCol w:w="519"/>
        <w:gridCol w:w="925"/>
        <w:gridCol w:w="1092"/>
        <w:gridCol w:w="1034"/>
        <w:gridCol w:w="951"/>
        <w:gridCol w:w="937"/>
        <w:gridCol w:w="1038"/>
      </w:tblGrid>
      <w:tr>
        <w:trPr>
          <w:trHeight w:val="189" w:hRule="atLeast"/>
        </w:trPr>
        <w:tc>
          <w:tcPr>
            <w:tcW w:w="747" w:type="dxa"/>
            <w:vMerge w:val="restart"/>
            <w:tcBorders>
              <w:top w:val="single" w:sz="4" w:space="0" w:color="000000"/>
            </w:tcBorders>
            <w:shd w:val="clear" w:color="auto" w:fill="DEEAF6"/>
          </w:tcPr>
          <w:p>
            <w:pPr>
              <w:pStyle w:val="TableParagraph"/>
              <w:spacing w:line="247" w:lineRule="auto" w:before="103"/>
              <w:ind w:left="130" w:firstLine="32"/>
              <w:rPr>
                <w:b/>
                <w:sz w:val="13"/>
              </w:rPr>
            </w:pPr>
            <w:r>
              <w:rPr>
                <w:b/>
                <w:w w:val="105"/>
                <w:sz w:val="13"/>
              </w:rPr>
              <w:t>Tipo de contrato</w:t>
            </w:r>
          </w:p>
        </w:tc>
        <w:tc>
          <w:tcPr>
            <w:tcW w:w="6496" w:type="dxa"/>
            <w:gridSpan w:val="7"/>
            <w:tcBorders>
              <w:top w:val="single" w:sz="4" w:space="0" w:color="000000"/>
              <w:bottom w:val="single" w:sz="4" w:space="0" w:color="000000"/>
            </w:tcBorders>
            <w:shd w:val="clear" w:color="auto" w:fill="DEEAF6"/>
          </w:tcPr>
          <w:p>
            <w:pPr>
              <w:pStyle w:val="TableParagraph"/>
              <w:spacing w:line="153" w:lineRule="exact" w:before="16"/>
              <w:ind w:left="1389"/>
              <w:rPr>
                <w:b/>
                <w:sz w:val="13"/>
              </w:rPr>
            </w:pPr>
            <w:r>
              <w:rPr>
                <w:b/>
                <w:w w:val="105"/>
                <w:sz w:val="13"/>
              </w:rPr>
              <w:t>Procedimiento de adjudicación</w:t>
            </w:r>
          </w:p>
        </w:tc>
      </w:tr>
      <w:tr>
        <w:trPr>
          <w:trHeight w:val="327" w:hRule="atLeast"/>
        </w:trPr>
        <w:tc>
          <w:tcPr>
            <w:tcW w:w="747" w:type="dxa"/>
            <w:vMerge/>
            <w:tcBorders>
              <w:top w:val="nil"/>
            </w:tcBorders>
            <w:shd w:val="clear" w:color="auto" w:fill="DEEAF6"/>
          </w:tcPr>
          <w:p>
            <w:pPr>
              <w:rPr>
                <w:sz w:val="2"/>
                <w:szCs w:val="2"/>
              </w:rPr>
            </w:pPr>
          </w:p>
        </w:tc>
        <w:tc>
          <w:tcPr>
            <w:tcW w:w="519" w:type="dxa"/>
            <w:tcBorders>
              <w:top w:val="single" w:sz="4" w:space="0" w:color="000000"/>
            </w:tcBorders>
            <w:shd w:val="clear" w:color="auto" w:fill="DEEAF6"/>
          </w:tcPr>
          <w:p>
            <w:pPr>
              <w:pStyle w:val="TableParagraph"/>
              <w:spacing w:before="85"/>
              <w:ind w:left="165"/>
              <w:rPr>
                <w:b/>
                <w:sz w:val="13"/>
              </w:rPr>
            </w:pPr>
            <w:r>
              <w:rPr>
                <w:b/>
                <w:w w:val="105"/>
                <w:sz w:val="13"/>
              </w:rPr>
              <w:t>Nº</w:t>
            </w:r>
          </w:p>
        </w:tc>
        <w:tc>
          <w:tcPr>
            <w:tcW w:w="925" w:type="dxa"/>
            <w:tcBorders>
              <w:top w:val="single" w:sz="4" w:space="0" w:color="000000"/>
            </w:tcBorders>
            <w:shd w:val="clear" w:color="auto" w:fill="DEEAF6"/>
          </w:tcPr>
          <w:p>
            <w:pPr>
              <w:pStyle w:val="TableParagraph"/>
              <w:spacing w:before="85"/>
              <w:ind w:left="96"/>
              <w:rPr>
                <w:b/>
                <w:sz w:val="13"/>
              </w:rPr>
            </w:pPr>
            <w:r>
              <w:rPr>
                <w:b/>
                <w:w w:val="105"/>
                <w:sz w:val="13"/>
              </w:rPr>
              <w:t>Restringido</w:t>
            </w:r>
          </w:p>
        </w:tc>
        <w:tc>
          <w:tcPr>
            <w:tcW w:w="1092" w:type="dxa"/>
            <w:tcBorders>
              <w:top w:val="single" w:sz="4" w:space="0" w:color="000000"/>
            </w:tcBorders>
            <w:shd w:val="clear" w:color="auto" w:fill="DEEAF6"/>
          </w:tcPr>
          <w:p>
            <w:pPr>
              <w:pStyle w:val="TableParagraph"/>
              <w:spacing w:before="85"/>
              <w:ind w:left="273"/>
              <w:rPr>
                <w:b/>
                <w:sz w:val="13"/>
              </w:rPr>
            </w:pPr>
            <w:r>
              <w:rPr>
                <w:b/>
                <w:w w:val="105"/>
                <w:sz w:val="13"/>
              </w:rPr>
              <w:t>Abierto</w:t>
            </w:r>
          </w:p>
        </w:tc>
        <w:tc>
          <w:tcPr>
            <w:tcW w:w="1034" w:type="dxa"/>
            <w:tcBorders>
              <w:top w:val="single" w:sz="4" w:space="0" w:color="000000"/>
            </w:tcBorders>
            <w:shd w:val="clear" w:color="auto" w:fill="DEEAF6"/>
          </w:tcPr>
          <w:p>
            <w:pPr>
              <w:pStyle w:val="TableParagraph"/>
              <w:spacing w:before="2"/>
              <w:ind w:left="39" w:right="144"/>
              <w:jc w:val="center"/>
              <w:rPr>
                <w:b/>
                <w:sz w:val="13"/>
              </w:rPr>
            </w:pPr>
            <w:r>
              <w:rPr>
                <w:b/>
                <w:w w:val="105"/>
                <w:sz w:val="13"/>
              </w:rPr>
              <w:t>Abierto</w:t>
            </w:r>
          </w:p>
          <w:p>
            <w:pPr>
              <w:pStyle w:val="TableParagraph"/>
              <w:spacing w:line="140" w:lineRule="exact" w:before="6"/>
              <w:ind w:left="39" w:right="144"/>
              <w:jc w:val="center"/>
              <w:rPr>
                <w:b/>
                <w:sz w:val="13"/>
              </w:rPr>
            </w:pPr>
            <w:r>
              <w:rPr>
                <w:b/>
                <w:w w:val="105"/>
                <w:sz w:val="13"/>
              </w:rPr>
              <w:t>simplificado</w:t>
            </w:r>
          </w:p>
        </w:tc>
        <w:tc>
          <w:tcPr>
            <w:tcW w:w="951" w:type="dxa"/>
            <w:tcBorders>
              <w:top w:val="single" w:sz="4" w:space="0" w:color="000000"/>
            </w:tcBorders>
            <w:shd w:val="clear" w:color="auto" w:fill="DEEAF6"/>
          </w:tcPr>
          <w:p>
            <w:pPr>
              <w:pStyle w:val="TableParagraph"/>
              <w:spacing w:before="85"/>
              <w:ind w:left="259"/>
              <w:rPr>
                <w:b/>
                <w:sz w:val="13"/>
              </w:rPr>
            </w:pPr>
            <w:r>
              <w:rPr>
                <w:b/>
                <w:w w:val="105"/>
                <w:sz w:val="13"/>
              </w:rPr>
              <w:t>Menor</w:t>
            </w:r>
          </w:p>
        </w:tc>
        <w:tc>
          <w:tcPr>
            <w:tcW w:w="937" w:type="dxa"/>
            <w:tcBorders>
              <w:top w:val="single" w:sz="4" w:space="0" w:color="000000"/>
            </w:tcBorders>
            <w:shd w:val="clear" w:color="auto" w:fill="DEEAF6"/>
          </w:tcPr>
          <w:p>
            <w:pPr>
              <w:pStyle w:val="TableParagraph"/>
              <w:spacing w:before="2"/>
              <w:ind w:left="18" w:right="55"/>
              <w:jc w:val="center"/>
              <w:rPr>
                <w:b/>
                <w:sz w:val="13"/>
              </w:rPr>
            </w:pPr>
            <w:r>
              <w:rPr>
                <w:b/>
                <w:w w:val="105"/>
                <w:sz w:val="13"/>
              </w:rPr>
              <w:t>Negociado</w:t>
            </w:r>
          </w:p>
          <w:p>
            <w:pPr>
              <w:pStyle w:val="TableParagraph"/>
              <w:spacing w:line="140" w:lineRule="exact" w:before="6"/>
              <w:ind w:left="21" w:right="55"/>
              <w:jc w:val="center"/>
              <w:rPr>
                <w:b/>
                <w:sz w:val="13"/>
              </w:rPr>
            </w:pPr>
            <w:r>
              <w:rPr>
                <w:b/>
                <w:w w:val="105"/>
                <w:sz w:val="13"/>
              </w:rPr>
              <w:t>S/P</w:t>
            </w:r>
          </w:p>
        </w:tc>
        <w:tc>
          <w:tcPr>
            <w:tcW w:w="1038" w:type="dxa"/>
            <w:tcBorders>
              <w:top w:val="single" w:sz="4" w:space="0" w:color="000000"/>
            </w:tcBorders>
            <w:shd w:val="clear" w:color="auto" w:fill="DEEAF6"/>
          </w:tcPr>
          <w:p>
            <w:pPr>
              <w:pStyle w:val="TableParagraph"/>
              <w:spacing w:before="85"/>
              <w:ind w:left="84"/>
              <w:rPr>
                <w:b/>
                <w:sz w:val="13"/>
              </w:rPr>
            </w:pPr>
            <w:r>
              <w:rPr>
                <w:b/>
                <w:w w:val="105"/>
                <w:sz w:val="13"/>
              </w:rPr>
              <w:t>Acuerdo marco</w:t>
            </w:r>
          </w:p>
        </w:tc>
      </w:tr>
      <w:tr>
        <w:trPr>
          <w:trHeight w:val="202" w:hRule="atLeast"/>
        </w:trPr>
        <w:tc>
          <w:tcPr>
            <w:tcW w:w="747" w:type="dxa"/>
          </w:tcPr>
          <w:p>
            <w:pPr>
              <w:pStyle w:val="TableParagraph"/>
              <w:spacing w:before="17"/>
              <w:ind w:left="50"/>
              <w:rPr>
                <w:sz w:val="13"/>
              </w:rPr>
            </w:pPr>
            <w:r>
              <w:rPr>
                <w:w w:val="105"/>
                <w:sz w:val="13"/>
              </w:rPr>
              <w:t>Obras</w:t>
            </w:r>
          </w:p>
        </w:tc>
        <w:tc>
          <w:tcPr>
            <w:tcW w:w="519" w:type="dxa"/>
          </w:tcPr>
          <w:p>
            <w:pPr>
              <w:pStyle w:val="TableParagraph"/>
              <w:spacing w:before="17"/>
              <w:ind w:right="93"/>
              <w:jc w:val="right"/>
              <w:rPr>
                <w:sz w:val="13"/>
              </w:rPr>
            </w:pPr>
            <w:r>
              <w:rPr>
                <w:sz w:val="13"/>
              </w:rPr>
              <w:t>634</w:t>
            </w:r>
          </w:p>
        </w:tc>
        <w:tc>
          <w:tcPr>
            <w:tcW w:w="925" w:type="dxa"/>
          </w:tcPr>
          <w:p>
            <w:pPr>
              <w:pStyle w:val="TableParagraph"/>
              <w:rPr>
                <w:rFonts w:ascii="Times New Roman"/>
                <w:sz w:val="14"/>
              </w:rPr>
            </w:pPr>
          </w:p>
        </w:tc>
        <w:tc>
          <w:tcPr>
            <w:tcW w:w="1092" w:type="dxa"/>
          </w:tcPr>
          <w:p>
            <w:pPr>
              <w:pStyle w:val="TableParagraph"/>
              <w:spacing w:before="17"/>
              <w:ind w:right="121"/>
              <w:jc w:val="right"/>
              <w:rPr>
                <w:sz w:val="13"/>
              </w:rPr>
            </w:pPr>
            <w:r>
              <w:rPr>
                <w:sz w:val="13"/>
              </w:rPr>
              <w:t>128.067.231,62</w:t>
            </w:r>
          </w:p>
        </w:tc>
        <w:tc>
          <w:tcPr>
            <w:tcW w:w="1034" w:type="dxa"/>
          </w:tcPr>
          <w:p>
            <w:pPr>
              <w:pStyle w:val="TableParagraph"/>
              <w:spacing w:before="17"/>
              <w:ind w:right="95"/>
              <w:jc w:val="right"/>
              <w:rPr>
                <w:sz w:val="13"/>
              </w:rPr>
            </w:pPr>
            <w:r>
              <w:rPr>
                <w:w w:val="105"/>
                <w:sz w:val="13"/>
              </w:rPr>
              <w:t>22.784.522,44</w:t>
            </w:r>
          </w:p>
        </w:tc>
        <w:tc>
          <w:tcPr>
            <w:tcW w:w="951" w:type="dxa"/>
          </w:tcPr>
          <w:p>
            <w:pPr>
              <w:pStyle w:val="TableParagraph"/>
              <w:spacing w:before="17"/>
              <w:ind w:right="66"/>
              <w:jc w:val="right"/>
              <w:rPr>
                <w:sz w:val="13"/>
              </w:rPr>
            </w:pPr>
            <w:r>
              <w:rPr>
                <w:w w:val="105"/>
                <w:sz w:val="13"/>
              </w:rPr>
              <w:t>10.123.381,54</w:t>
            </w:r>
          </w:p>
        </w:tc>
        <w:tc>
          <w:tcPr>
            <w:tcW w:w="937" w:type="dxa"/>
          </w:tcPr>
          <w:p>
            <w:pPr>
              <w:pStyle w:val="TableParagraph"/>
              <w:spacing w:before="17"/>
              <w:ind w:left="111" w:right="55"/>
              <w:jc w:val="center"/>
              <w:rPr>
                <w:sz w:val="13"/>
              </w:rPr>
            </w:pPr>
            <w:r>
              <w:rPr>
                <w:w w:val="105"/>
                <w:sz w:val="13"/>
              </w:rPr>
              <w:t>9.907.123,45</w:t>
            </w:r>
          </w:p>
        </w:tc>
        <w:tc>
          <w:tcPr>
            <w:tcW w:w="1038" w:type="dxa"/>
          </w:tcPr>
          <w:p>
            <w:pPr>
              <w:pStyle w:val="TableParagraph"/>
              <w:rPr>
                <w:rFonts w:ascii="Times New Roman"/>
                <w:sz w:val="14"/>
              </w:rPr>
            </w:pPr>
          </w:p>
        </w:tc>
      </w:tr>
      <w:tr>
        <w:trPr>
          <w:trHeight w:val="190" w:hRule="atLeast"/>
        </w:trPr>
        <w:tc>
          <w:tcPr>
            <w:tcW w:w="747" w:type="dxa"/>
          </w:tcPr>
          <w:p>
            <w:pPr>
              <w:pStyle w:val="TableParagraph"/>
              <w:spacing w:before="4"/>
              <w:ind w:left="50"/>
              <w:rPr>
                <w:sz w:val="13"/>
              </w:rPr>
            </w:pPr>
            <w:r>
              <w:rPr>
                <w:w w:val="105"/>
                <w:sz w:val="13"/>
              </w:rPr>
              <w:t>Servicios</w:t>
            </w:r>
          </w:p>
        </w:tc>
        <w:tc>
          <w:tcPr>
            <w:tcW w:w="519" w:type="dxa"/>
          </w:tcPr>
          <w:p>
            <w:pPr>
              <w:pStyle w:val="TableParagraph"/>
              <w:spacing w:before="4"/>
              <w:ind w:right="93"/>
              <w:jc w:val="right"/>
              <w:rPr>
                <w:sz w:val="13"/>
              </w:rPr>
            </w:pPr>
            <w:r>
              <w:rPr>
                <w:sz w:val="13"/>
              </w:rPr>
              <w:t>4.747</w:t>
            </w:r>
          </w:p>
        </w:tc>
        <w:tc>
          <w:tcPr>
            <w:tcW w:w="925" w:type="dxa"/>
          </w:tcPr>
          <w:p>
            <w:pPr>
              <w:pStyle w:val="TableParagraph"/>
              <w:spacing w:before="4"/>
              <w:ind w:right="113"/>
              <w:jc w:val="right"/>
              <w:rPr>
                <w:sz w:val="13"/>
              </w:rPr>
            </w:pPr>
            <w:r>
              <w:rPr>
                <w:sz w:val="13"/>
              </w:rPr>
              <w:t>22.860</w:t>
            </w:r>
          </w:p>
        </w:tc>
        <w:tc>
          <w:tcPr>
            <w:tcW w:w="1092" w:type="dxa"/>
          </w:tcPr>
          <w:p>
            <w:pPr>
              <w:pStyle w:val="TableParagraph"/>
              <w:spacing w:before="4"/>
              <w:ind w:right="121"/>
              <w:jc w:val="right"/>
              <w:rPr>
                <w:sz w:val="13"/>
              </w:rPr>
            </w:pPr>
            <w:r>
              <w:rPr>
                <w:sz w:val="13"/>
              </w:rPr>
              <w:t>228.763.609,22</w:t>
            </w:r>
          </w:p>
        </w:tc>
        <w:tc>
          <w:tcPr>
            <w:tcW w:w="1034" w:type="dxa"/>
          </w:tcPr>
          <w:p>
            <w:pPr>
              <w:pStyle w:val="TableParagraph"/>
              <w:spacing w:before="4"/>
              <w:ind w:right="95"/>
              <w:jc w:val="right"/>
              <w:rPr>
                <w:sz w:val="13"/>
              </w:rPr>
            </w:pPr>
            <w:r>
              <w:rPr>
                <w:w w:val="105"/>
                <w:sz w:val="13"/>
              </w:rPr>
              <w:t>9.121.040,74</w:t>
            </w:r>
          </w:p>
        </w:tc>
        <w:tc>
          <w:tcPr>
            <w:tcW w:w="951" w:type="dxa"/>
          </w:tcPr>
          <w:p>
            <w:pPr>
              <w:pStyle w:val="TableParagraph"/>
              <w:spacing w:before="4"/>
              <w:ind w:right="66"/>
              <w:jc w:val="right"/>
              <w:rPr>
                <w:sz w:val="13"/>
              </w:rPr>
            </w:pPr>
            <w:r>
              <w:rPr>
                <w:w w:val="105"/>
                <w:sz w:val="13"/>
              </w:rPr>
              <w:t>25.201.725,82</w:t>
            </w:r>
          </w:p>
        </w:tc>
        <w:tc>
          <w:tcPr>
            <w:tcW w:w="937" w:type="dxa"/>
          </w:tcPr>
          <w:p>
            <w:pPr>
              <w:pStyle w:val="TableParagraph"/>
              <w:spacing w:before="4"/>
              <w:ind w:left="46" w:right="55"/>
              <w:jc w:val="center"/>
              <w:rPr>
                <w:sz w:val="13"/>
              </w:rPr>
            </w:pPr>
            <w:r>
              <w:rPr>
                <w:w w:val="105"/>
                <w:sz w:val="13"/>
              </w:rPr>
              <w:t>35.633.743,43</w:t>
            </w:r>
          </w:p>
        </w:tc>
        <w:tc>
          <w:tcPr>
            <w:tcW w:w="1038" w:type="dxa"/>
          </w:tcPr>
          <w:p>
            <w:pPr>
              <w:pStyle w:val="TableParagraph"/>
              <w:spacing w:before="4"/>
              <w:ind w:left="274"/>
              <w:rPr>
                <w:sz w:val="13"/>
              </w:rPr>
            </w:pPr>
            <w:r>
              <w:rPr>
                <w:w w:val="105"/>
                <w:sz w:val="13"/>
              </w:rPr>
              <w:t>1.193.795,48</w:t>
            </w:r>
          </w:p>
        </w:tc>
      </w:tr>
      <w:tr>
        <w:trPr>
          <w:trHeight w:val="190" w:hRule="atLeast"/>
        </w:trPr>
        <w:tc>
          <w:tcPr>
            <w:tcW w:w="747" w:type="dxa"/>
          </w:tcPr>
          <w:p>
            <w:pPr>
              <w:pStyle w:val="TableParagraph"/>
              <w:spacing w:before="5"/>
              <w:ind w:left="50"/>
              <w:rPr>
                <w:sz w:val="13"/>
              </w:rPr>
            </w:pPr>
            <w:r>
              <w:rPr>
                <w:w w:val="105"/>
                <w:sz w:val="13"/>
              </w:rPr>
              <w:t>Suministros</w:t>
            </w:r>
          </w:p>
        </w:tc>
        <w:tc>
          <w:tcPr>
            <w:tcW w:w="519" w:type="dxa"/>
          </w:tcPr>
          <w:p>
            <w:pPr>
              <w:pStyle w:val="TableParagraph"/>
              <w:spacing w:before="5"/>
              <w:ind w:right="93"/>
              <w:jc w:val="right"/>
              <w:rPr>
                <w:sz w:val="13"/>
              </w:rPr>
            </w:pPr>
            <w:r>
              <w:rPr>
                <w:sz w:val="13"/>
              </w:rPr>
              <w:t>4.480</w:t>
            </w:r>
          </w:p>
        </w:tc>
        <w:tc>
          <w:tcPr>
            <w:tcW w:w="925" w:type="dxa"/>
          </w:tcPr>
          <w:p>
            <w:pPr>
              <w:pStyle w:val="TableParagraph"/>
              <w:spacing w:before="5"/>
              <w:ind w:right="113"/>
              <w:jc w:val="right"/>
              <w:rPr>
                <w:sz w:val="13"/>
              </w:rPr>
            </w:pPr>
            <w:r>
              <w:rPr>
                <w:w w:val="105"/>
                <w:sz w:val="13"/>
              </w:rPr>
              <w:t>6.024.723</w:t>
            </w:r>
          </w:p>
        </w:tc>
        <w:tc>
          <w:tcPr>
            <w:tcW w:w="1092" w:type="dxa"/>
          </w:tcPr>
          <w:p>
            <w:pPr>
              <w:pStyle w:val="TableParagraph"/>
              <w:spacing w:before="5"/>
              <w:ind w:right="121"/>
              <w:jc w:val="right"/>
              <w:rPr>
                <w:sz w:val="13"/>
              </w:rPr>
            </w:pPr>
            <w:r>
              <w:rPr>
                <w:w w:val="105"/>
                <w:sz w:val="13"/>
              </w:rPr>
              <w:t>75.068.310,60</w:t>
            </w:r>
          </w:p>
        </w:tc>
        <w:tc>
          <w:tcPr>
            <w:tcW w:w="1034" w:type="dxa"/>
          </w:tcPr>
          <w:p>
            <w:pPr>
              <w:pStyle w:val="TableParagraph"/>
              <w:spacing w:before="5"/>
              <w:ind w:right="95"/>
              <w:jc w:val="right"/>
              <w:rPr>
                <w:sz w:val="13"/>
              </w:rPr>
            </w:pPr>
            <w:r>
              <w:rPr>
                <w:w w:val="105"/>
                <w:sz w:val="13"/>
              </w:rPr>
              <w:t>10.764.887,76</w:t>
            </w:r>
          </w:p>
        </w:tc>
        <w:tc>
          <w:tcPr>
            <w:tcW w:w="951" w:type="dxa"/>
          </w:tcPr>
          <w:p>
            <w:pPr>
              <w:pStyle w:val="TableParagraph"/>
              <w:spacing w:before="5"/>
              <w:ind w:right="66"/>
              <w:jc w:val="right"/>
              <w:rPr>
                <w:sz w:val="13"/>
              </w:rPr>
            </w:pPr>
            <w:r>
              <w:rPr>
                <w:w w:val="105"/>
                <w:sz w:val="13"/>
              </w:rPr>
              <w:t>8.428.141,24</w:t>
            </w:r>
          </w:p>
        </w:tc>
        <w:tc>
          <w:tcPr>
            <w:tcW w:w="937" w:type="dxa"/>
          </w:tcPr>
          <w:p>
            <w:pPr>
              <w:pStyle w:val="TableParagraph"/>
              <w:spacing w:before="5"/>
              <w:ind w:left="46" w:right="55"/>
              <w:jc w:val="center"/>
              <w:rPr>
                <w:sz w:val="13"/>
              </w:rPr>
            </w:pPr>
            <w:r>
              <w:rPr>
                <w:w w:val="105"/>
                <w:sz w:val="13"/>
              </w:rPr>
              <w:t>29.759.267,20</w:t>
            </w:r>
          </w:p>
        </w:tc>
        <w:tc>
          <w:tcPr>
            <w:tcW w:w="1038" w:type="dxa"/>
          </w:tcPr>
          <w:p>
            <w:pPr>
              <w:pStyle w:val="TableParagraph"/>
              <w:spacing w:before="5"/>
              <w:ind w:left="137"/>
              <w:rPr>
                <w:sz w:val="13"/>
              </w:rPr>
            </w:pPr>
            <w:r>
              <w:rPr>
                <w:w w:val="105"/>
                <w:sz w:val="13"/>
              </w:rPr>
              <w:t>178.026.963,24</w:t>
            </w:r>
          </w:p>
        </w:tc>
      </w:tr>
      <w:tr>
        <w:trPr>
          <w:trHeight w:val="190" w:hRule="atLeast"/>
        </w:trPr>
        <w:tc>
          <w:tcPr>
            <w:tcW w:w="747" w:type="dxa"/>
          </w:tcPr>
          <w:p>
            <w:pPr>
              <w:pStyle w:val="TableParagraph"/>
              <w:spacing w:before="4"/>
              <w:ind w:left="50"/>
              <w:rPr>
                <w:sz w:val="13"/>
              </w:rPr>
            </w:pPr>
            <w:r>
              <w:rPr>
                <w:w w:val="105"/>
                <w:sz w:val="13"/>
              </w:rPr>
              <w:t>C Servicios</w:t>
            </w:r>
          </w:p>
        </w:tc>
        <w:tc>
          <w:tcPr>
            <w:tcW w:w="519" w:type="dxa"/>
          </w:tcPr>
          <w:p>
            <w:pPr>
              <w:pStyle w:val="TableParagraph"/>
              <w:spacing w:before="4"/>
              <w:ind w:right="95"/>
              <w:jc w:val="right"/>
              <w:rPr>
                <w:sz w:val="13"/>
              </w:rPr>
            </w:pPr>
            <w:r>
              <w:rPr>
                <w:w w:val="103"/>
                <w:sz w:val="13"/>
              </w:rPr>
              <w:t>3</w:t>
            </w:r>
          </w:p>
        </w:tc>
        <w:tc>
          <w:tcPr>
            <w:tcW w:w="925" w:type="dxa"/>
          </w:tcPr>
          <w:p>
            <w:pPr>
              <w:pStyle w:val="TableParagraph"/>
              <w:rPr>
                <w:rFonts w:ascii="Times New Roman"/>
                <w:sz w:val="12"/>
              </w:rPr>
            </w:pPr>
          </w:p>
        </w:tc>
        <w:tc>
          <w:tcPr>
            <w:tcW w:w="1092" w:type="dxa"/>
          </w:tcPr>
          <w:p>
            <w:pPr>
              <w:pStyle w:val="TableParagraph"/>
              <w:spacing w:before="4"/>
              <w:ind w:right="121"/>
              <w:jc w:val="right"/>
              <w:rPr>
                <w:sz w:val="13"/>
              </w:rPr>
            </w:pPr>
            <w:r>
              <w:rPr>
                <w:w w:val="105"/>
                <w:sz w:val="13"/>
              </w:rPr>
              <w:t>389.319,45</w:t>
            </w:r>
          </w:p>
        </w:tc>
        <w:tc>
          <w:tcPr>
            <w:tcW w:w="1034" w:type="dxa"/>
          </w:tcPr>
          <w:p>
            <w:pPr>
              <w:pStyle w:val="TableParagraph"/>
              <w:rPr>
                <w:rFonts w:ascii="Times New Roman"/>
                <w:sz w:val="12"/>
              </w:rPr>
            </w:pPr>
          </w:p>
        </w:tc>
        <w:tc>
          <w:tcPr>
            <w:tcW w:w="951" w:type="dxa"/>
          </w:tcPr>
          <w:p>
            <w:pPr>
              <w:pStyle w:val="TableParagraph"/>
              <w:rPr>
                <w:rFonts w:ascii="Times New Roman"/>
                <w:sz w:val="12"/>
              </w:rPr>
            </w:pPr>
          </w:p>
        </w:tc>
        <w:tc>
          <w:tcPr>
            <w:tcW w:w="937" w:type="dxa"/>
          </w:tcPr>
          <w:p>
            <w:pPr>
              <w:pStyle w:val="TableParagraph"/>
              <w:rPr>
                <w:rFonts w:ascii="Times New Roman"/>
                <w:sz w:val="12"/>
              </w:rPr>
            </w:pPr>
          </w:p>
        </w:tc>
        <w:tc>
          <w:tcPr>
            <w:tcW w:w="1038" w:type="dxa"/>
          </w:tcPr>
          <w:p>
            <w:pPr>
              <w:pStyle w:val="TableParagraph"/>
              <w:rPr>
                <w:rFonts w:ascii="Times New Roman"/>
                <w:sz w:val="12"/>
              </w:rPr>
            </w:pPr>
          </w:p>
        </w:tc>
      </w:tr>
      <w:tr>
        <w:trPr>
          <w:trHeight w:val="163" w:hRule="atLeast"/>
        </w:trPr>
        <w:tc>
          <w:tcPr>
            <w:tcW w:w="747" w:type="dxa"/>
          </w:tcPr>
          <w:p>
            <w:pPr>
              <w:pStyle w:val="TableParagraph"/>
              <w:spacing w:line="138" w:lineRule="exact" w:before="6"/>
              <w:ind w:left="50"/>
              <w:rPr>
                <w:sz w:val="13"/>
              </w:rPr>
            </w:pPr>
            <w:r>
              <w:rPr>
                <w:w w:val="105"/>
                <w:sz w:val="13"/>
              </w:rPr>
              <w:t>Privado</w:t>
            </w:r>
          </w:p>
        </w:tc>
        <w:tc>
          <w:tcPr>
            <w:tcW w:w="519" w:type="dxa"/>
          </w:tcPr>
          <w:p>
            <w:pPr>
              <w:pStyle w:val="TableParagraph"/>
              <w:spacing w:line="138" w:lineRule="exact" w:before="6"/>
              <w:ind w:right="95"/>
              <w:jc w:val="right"/>
              <w:rPr>
                <w:sz w:val="13"/>
              </w:rPr>
            </w:pPr>
            <w:r>
              <w:rPr>
                <w:sz w:val="13"/>
              </w:rPr>
              <w:t>15</w:t>
            </w:r>
          </w:p>
        </w:tc>
        <w:tc>
          <w:tcPr>
            <w:tcW w:w="925" w:type="dxa"/>
          </w:tcPr>
          <w:p>
            <w:pPr>
              <w:pStyle w:val="TableParagraph"/>
              <w:rPr>
                <w:rFonts w:ascii="Times New Roman"/>
                <w:sz w:val="10"/>
              </w:rPr>
            </w:pPr>
          </w:p>
        </w:tc>
        <w:tc>
          <w:tcPr>
            <w:tcW w:w="1092" w:type="dxa"/>
          </w:tcPr>
          <w:p>
            <w:pPr>
              <w:pStyle w:val="TableParagraph"/>
              <w:spacing w:line="138" w:lineRule="exact" w:before="6"/>
              <w:ind w:right="121"/>
              <w:jc w:val="right"/>
              <w:rPr>
                <w:sz w:val="13"/>
              </w:rPr>
            </w:pPr>
            <w:r>
              <w:rPr>
                <w:w w:val="105"/>
                <w:sz w:val="13"/>
              </w:rPr>
              <w:t>42.056,07</w:t>
            </w:r>
          </w:p>
        </w:tc>
        <w:tc>
          <w:tcPr>
            <w:tcW w:w="1034" w:type="dxa"/>
          </w:tcPr>
          <w:p>
            <w:pPr>
              <w:pStyle w:val="TableParagraph"/>
              <w:rPr>
                <w:rFonts w:ascii="Times New Roman"/>
                <w:sz w:val="10"/>
              </w:rPr>
            </w:pPr>
          </w:p>
        </w:tc>
        <w:tc>
          <w:tcPr>
            <w:tcW w:w="951" w:type="dxa"/>
          </w:tcPr>
          <w:p>
            <w:pPr>
              <w:pStyle w:val="TableParagraph"/>
              <w:spacing w:line="138" w:lineRule="exact" w:before="6"/>
              <w:ind w:right="67"/>
              <w:jc w:val="right"/>
              <w:rPr>
                <w:sz w:val="13"/>
              </w:rPr>
            </w:pPr>
            <w:r>
              <w:rPr>
                <w:w w:val="105"/>
                <w:sz w:val="13"/>
              </w:rPr>
              <w:t>65.919,46</w:t>
            </w:r>
          </w:p>
        </w:tc>
        <w:tc>
          <w:tcPr>
            <w:tcW w:w="937" w:type="dxa"/>
          </w:tcPr>
          <w:p>
            <w:pPr>
              <w:pStyle w:val="TableParagraph"/>
              <w:spacing w:line="138" w:lineRule="exact" w:before="6"/>
              <w:ind w:left="212" w:right="55"/>
              <w:jc w:val="center"/>
              <w:rPr>
                <w:sz w:val="13"/>
              </w:rPr>
            </w:pPr>
            <w:r>
              <w:rPr>
                <w:w w:val="105"/>
                <w:sz w:val="13"/>
              </w:rPr>
              <w:t>296.859,80</w:t>
            </w:r>
          </w:p>
        </w:tc>
        <w:tc>
          <w:tcPr>
            <w:tcW w:w="1038" w:type="dxa"/>
          </w:tcPr>
          <w:p>
            <w:pPr>
              <w:pStyle w:val="TableParagraph"/>
              <w:rPr>
                <w:rFonts w:ascii="Times New Roman"/>
                <w:sz w:val="10"/>
              </w:rPr>
            </w:pPr>
          </w:p>
        </w:tc>
      </w:tr>
    </w:tbl>
    <w:p>
      <w:pPr>
        <w:spacing w:after="0"/>
        <w:rPr>
          <w:rFonts w:ascii="Times New Roman"/>
          <w:sz w:val="10"/>
        </w:rPr>
        <w:sectPr>
          <w:pgSz w:w="11900" w:h="16840"/>
          <w:pgMar w:header="859" w:footer="926" w:top="1760" w:bottom="1120" w:left="760" w:right="760"/>
        </w:sectPr>
      </w:pPr>
    </w:p>
    <w:p>
      <w:pPr>
        <w:spacing w:line="247" w:lineRule="auto" w:before="19"/>
        <w:ind w:left="2096" w:right="-19" w:firstLine="0"/>
        <w:jc w:val="left"/>
        <w:rPr>
          <w:sz w:val="13"/>
        </w:rPr>
      </w:pPr>
      <w:r>
        <w:rPr>
          <w:w w:val="105"/>
          <w:sz w:val="13"/>
        </w:rPr>
        <w:t>Adm. </w:t>
      </w:r>
      <w:r>
        <w:rPr>
          <w:spacing w:val="-1"/>
          <w:w w:val="105"/>
          <w:sz w:val="13"/>
        </w:rPr>
        <w:t>Especial</w:t>
      </w:r>
    </w:p>
    <w:p>
      <w:pPr>
        <w:tabs>
          <w:tab w:pos="2085" w:val="left" w:leader="none"/>
        </w:tabs>
        <w:spacing w:before="102"/>
        <w:ind w:left="572" w:right="0" w:firstLine="0"/>
        <w:jc w:val="left"/>
        <w:rPr>
          <w:sz w:val="13"/>
        </w:rPr>
      </w:pPr>
      <w:r>
        <w:rPr/>
        <w:br w:type="column"/>
      </w:r>
      <w:r>
        <w:rPr>
          <w:w w:val="105"/>
          <w:sz w:val="13"/>
        </w:rPr>
        <w:t>3</w:t>
        <w:tab/>
        <w:t>31.562,00</w:t>
      </w:r>
    </w:p>
    <w:p>
      <w:pPr>
        <w:spacing w:after="0"/>
        <w:jc w:val="left"/>
        <w:rPr>
          <w:sz w:val="13"/>
        </w:rPr>
        <w:sectPr>
          <w:type w:val="continuous"/>
          <w:pgSz w:w="11900" w:h="16840"/>
          <w:pgMar w:top="1600" w:bottom="1120" w:left="760" w:right="760"/>
          <w:cols w:num="2" w:equalWidth="0">
            <w:col w:w="2535" w:space="40"/>
            <w:col w:w="7805"/>
          </w:cols>
        </w:sectPr>
      </w:pPr>
    </w:p>
    <w:p>
      <w:pPr>
        <w:tabs>
          <w:tab w:pos="2906" w:val="left" w:leader="none"/>
          <w:tab w:pos="4347" w:val="left" w:leader="none"/>
          <w:tab w:pos="5476" w:val="left" w:leader="none"/>
          <w:tab w:pos="8382" w:val="left" w:leader="none"/>
        </w:tabs>
        <w:spacing w:before="14" w:after="15"/>
        <w:ind w:left="2273" w:right="0" w:firstLine="0"/>
        <w:jc w:val="left"/>
        <w:rPr>
          <w:b/>
          <w:sz w:val="13"/>
        </w:rPr>
      </w:pPr>
      <w:r>
        <w:rPr>
          <w:b/>
          <w:w w:val="105"/>
          <w:sz w:val="13"/>
        </w:rPr>
        <w:t>Total</w:t>
        <w:tab/>
        <w:t>9.882    </w:t>
      </w:r>
      <w:r>
        <w:rPr>
          <w:b/>
          <w:spacing w:val="18"/>
          <w:w w:val="105"/>
          <w:sz w:val="13"/>
        </w:rPr>
        <w:t> </w:t>
      </w:r>
      <w:r>
        <w:rPr>
          <w:b/>
          <w:w w:val="105"/>
          <w:sz w:val="13"/>
        </w:rPr>
        <w:t>6.047.582,77</w:t>
        <w:tab/>
        <w:t>432.362.088,96</w:t>
        <w:tab/>
        <w:t>42.670.450,94    </w:t>
      </w:r>
      <w:r>
        <w:rPr>
          <w:b/>
          <w:spacing w:val="19"/>
          <w:w w:val="105"/>
          <w:sz w:val="13"/>
        </w:rPr>
        <w:t> </w:t>
      </w:r>
      <w:r>
        <w:rPr>
          <w:b/>
          <w:w w:val="105"/>
          <w:sz w:val="13"/>
        </w:rPr>
        <w:t>43.819.168,06  </w:t>
      </w:r>
      <w:r>
        <w:rPr>
          <w:b/>
          <w:spacing w:val="30"/>
          <w:w w:val="105"/>
          <w:sz w:val="13"/>
        </w:rPr>
        <w:t> </w:t>
      </w:r>
      <w:r>
        <w:rPr>
          <w:b/>
          <w:w w:val="105"/>
          <w:sz w:val="13"/>
        </w:rPr>
        <w:t>75.596.993,88</w:t>
        <w:tab/>
        <w:t>179.220.758,72</w:t>
      </w:r>
    </w:p>
    <w:p>
      <w:pPr>
        <w:pStyle w:val="BodyText"/>
        <w:spacing w:line="20" w:lineRule="exact"/>
        <w:ind w:left="2018"/>
        <w:rPr>
          <w:sz w:val="2"/>
        </w:rPr>
      </w:pPr>
      <w:r>
        <w:rPr>
          <w:sz w:val="2"/>
        </w:rPr>
        <w:pict>
          <v:group style="width:363.7pt;height:.45pt;mso-position-horizontal-relative:char;mso-position-vertical-relative:line" coordorigin="0,0" coordsize="7274,9">
            <v:line style="position:absolute" from="0,4" to="770,4" stroked="true" strokeweight=".40299pt" strokecolor="#000000">
              <v:stroke dashstyle="solid"/>
            </v:line>
            <v:rect style="position:absolute;left:757;top:0;width:9;height:9" filled="true" fillcolor="#000000" stroked="false">
              <v:fill type="solid"/>
            </v:rect>
            <v:line style="position:absolute" from="766,4" to="1252,4" stroked="true" strokeweight=".40299pt" strokecolor="#000000">
              <v:stroke dashstyle="solid"/>
            </v:line>
            <v:rect style="position:absolute;left:1239;top:0;width:9;height:9" filled="true" fillcolor="#000000" stroked="false">
              <v:fill type="solid"/>
            </v:rect>
            <v:line style="position:absolute" from="1248,4" to="2155,4" stroked="true" strokeweight=".40299pt" strokecolor="#000000">
              <v:stroke dashstyle="solid"/>
            </v:line>
            <v:rect style="position:absolute;left:2142;top:0;width:9;height:9" filled="true" fillcolor="#000000" stroked="false">
              <v:fill type="solid"/>
            </v:rect>
            <v:line style="position:absolute" from="2151,4" to="3237,4" stroked="true" strokeweight=".40299pt" strokecolor="#000000">
              <v:stroke dashstyle="solid"/>
            </v:line>
            <v:rect style="position:absolute;left:3224;top:0;width:9;height:9" filled="true" fillcolor="#000000" stroked="false">
              <v:fill type="solid"/>
            </v:rect>
            <v:line style="position:absolute" from="3233,4" to="4297,4" stroked="true" strokeweight=".40299pt" strokecolor="#000000">
              <v:stroke dashstyle="solid"/>
            </v:line>
            <v:rect style="position:absolute;left:4284;top:0;width:9;height:9" filled="true" fillcolor="#000000" stroked="false">
              <v:fill type="solid"/>
            </v:rect>
            <v:line style="position:absolute" from="4293,4" to="5279,4" stroked="true" strokeweight=".40299pt" strokecolor="#000000">
              <v:stroke dashstyle="solid"/>
            </v:line>
            <v:rect style="position:absolute;left:5266;top:0;width:9;height:9" filled="true" fillcolor="#000000" stroked="false">
              <v:fill type="solid"/>
            </v:rect>
            <v:line style="position:absolute" from="5275,4" to="6202,4" stroked="true" strokeweight=".40299pt" strokecolor="#000000">
              <v:stroke dashstyle="solid"/>
            </v:line>
            <v:rect style="position:absolute;left:6189;top:0;width:9;height:9" filled="true" fillcolor="#000000" stroked="false">
              <v:fill type="solid"/>
            </v:rect>
            <v:line style="position:absolute" from="6198,4" to="7274,4" stroked="true" strokeweight=".40299pt" strokecolor="#000000">
              <v:stroke dashstyle="solid"/>
            </v:line>
          </v:group>
        </w:pict>
      </w:r>
      <w:r>
        <w:rPr>
          <w:sz w:val="2"/>
        </w:rPr>
      </w:r>
    </w:p>
    <w:p>
      <w:pPr>
        <w:pStyle w:val="BodyText"/>
        <w:spacing w:before="90"/>
        <w:ind w:left="2690"/>
      </w:pPr>
      <w:r>
        <w:rPr/>
        <w:pict>
          <v:group style="position:absolute;margin-left:177.374619pt;margin-top:21.779394pt;width:287.95pt;height:26.8pt;mso-position-horizontal-relative:page;mso-position-vertical-relative:paragraph;z-index:-322993152" coordorigin="3547,436" coordsize="5759,536">
            <v:shape style="position:absolute;left:3547;top:445;width:5759;height:526" coordorigin="3547,446" coordsize="5759,526" path="m4501,446l3547,446,3547,972,4501,972,4501,446m9306,446l8228,446,4501,446,4501,635,8228,635,9306,635,9306,446e" filled="true" fillcolor="#deeaf6" stroked="false">
              <v:path arrowok="t"/>
              <v:fill type="solid"/>
            </v:shape>
            <v:line style="position:absolute" from="3547,440" to="4501,440" stroked="true" strokeweight=".40299pt" strokecolor="#000000">
              <v:stroke dashstyle="solid"/>
            </v:line>
            <v:rect style="position:absolute;left:4501;top:435;width:9;height:9" filled="true" fillcolor="#000000" stroked="false">
              <v:fill type="solid"/>
            </v:rect>
            <v:line style="position:absolute" from="4509,440" to="8226,440" stroked="true" strokeweight=".40299pt" strokecolor="#000000">
              <v:stroke dashstyle="solid"/>
            </v:line>
            <v:rect style="position:absolute;left:8225;top:435;width:9;height:9" filled="true" fillcolor="#000000" stroked="false">
              <v:fill type="solid"/>
            </v:rect>
            <v:line style="position:absolute" from="8234,440" to="9306,440" stroked="true" strokeweight=".40299pt" strokecolor="#000000">
              <v:stroke dashstyle="solid"/>
            </v:line>
            <v:shape style="position:absolute;left:4501;top:643;width:4805;height:329" coordorigin="4501,643" coordsize="4805,329" path="m8228,643l8167,643,7522,643,7464,643,6529,643,6529,643,5551,643,4501,643,4501,972,5551,972,6529,972,6529,972,7464,972,7522,972,8167,972,8228,972,8228,643m9306,643l8228,643,8228,972,9306,972,9306,643e" filled="true" fillcolor="#deeaf6" stroked="false">
              <v:path arrowok="t"/>
              <v:fill type="solid"/>
            </v:shape>
            <v:line style="position:absolute" from="4501,639" to="5551,639" stroked="true" strokeweight=".40299pt" strokecolor="#000000">
              <v:stroke dashstyle="solid"/>
            </v:line>
            <v:rect style="position:absolute;left:5550;top:635;width:9;height:9" filled="true" fillcolor="#000000" stroked="false">
              <v:fill type="solid"/>
            </v:rect>
            <v:line style="position:absolute" from="5559,639" to="6527,639" stroked="true" strokeweight=".40299pt" strokecolor="#000000">
              <v:stroke dashstyle="solid"/>
            </v:line>
            <v:rect style="position:absolute;left:6526;top:635;width:9;height:9" filled="true" fillcolor="#000000" stroked="false">
              <v:fill type="solid"/>
            </v:rect>
            <v:line style="position:absolute" from="6535,639" to="7464,639" stroked="true" strokeweight=".40299pt" strokecolor="#000000">
              <v:stroke dashstyle="solid"/>
            </v:line>
            <v:rect style="position:absolute;left:7463;top:635;width:9;height:9" filled="true" fillcolor="#000000" stroked="false">
              <v:fill type="solid"/>
            </v:rect>
            <v:line style="position:absolute" from="7472,639" to="8226,639" stroked="true" strokeweight=".40299pt" strokecolor="#000000">
              <v:stroke dashstyle="solid"/>
            </v:line>
            <v:line style="position:absolute" from="8226,639" to="9306,639" stroked="true" strokeweight=".40299pt" strokecolor="#deeaf6">
              <v:stroke dashstyle="solid"/>
            </v:line>
            <v:shape style="position:absolute;left:3783;top:570;width:502;height:299" type="#_x0000_t202" filled="false" stroked="false">
              <v:textbox inset="0,0,0,0">
                <w:txbxContent>
                  <w:p>
                    <w:pPr>
                      <w:spacing w:line="136" w:lineRule="exact" w:before="0"/>
                      <w:ind w:left="32" w:right="0" w:firstLine="0"/>
                      <w:jc w:val="left"/>
                      <w:rPr>
                        <w:b/>
                        <w:sz w:val="13"/>
                      </w:rPr>
                    </w:pPr>
                    <w:r>
                      <w:rPr>
                        <w:b/>
                        <w:w w:val="105"/>
                        <w:sz w:val="13"/>
                      </w:rPr>
                      <w:t>Tipo</w:t>
                    </w:r>
                    <w:r>
                      <w:rPr>
                        <w:b/>
                        <w:spacing w:val="-8"/>
                        <w:w w:val="105"/>
                        <w:sz w:val="13"/>
                      </w:rPr>
                      <w:t> </w:t>
                    </w:r>
                    <w:r>
                      <w:rPr>
                        <w:b/>
                        <w:w w:val="105"/>
                        <w:sz w:val="13"/>
                      </w:rPr>
                      <w:t>de</w:t>
                    </w:r>
                  </w:p>
                  <w:p>
                    <w:pPr>
                      <w:spacing w:line="158" w:lineRule="exact" w:before="4"/>
                      <w:ind w:left="0" w:right="0" w:firstLine="0"/>
                      <w:jc w:val="left"/>
                      <w:rPr>
                        <w:b/>
                        <w:sz w:val="13"/>
                      </w:rPr>
                    </w:pPr>
                    <w:r>
                      <w:rPr>
                        <w:b/>
                        <w:w w:val="105"/>
                        <w:sz w:val="13"/>
                      </w:rPr>
                      <w:t>contrato</w:t>
                    </w:r>
                  </w:p>
                </w:txbxContent>
              </v:textbox>
              <w10:wrap type="none"/>
            </v:shape>
            <v:shape style="position:absolute;left:5793;top:483;width:1162;height:135" type="#_x0000_t202" filled="false" stroked="false">
              <v:textbox inset="0,0,0,0">
                <w:txbxContent>
                  <w:p>
                    <w:pPr>
                      <w:spacing w:line="135" w:lineRule="exact" w:before="0"/>
                      <w:ind w:left="0" w:right="0" w:firstLine="0"/>
                      <w:jc w:val="left"/>
                      <w:rPr>
                        <w:b/>
                        <w:sz w:val="13"/>
                      </w:rPr>
                    </w:pPr>
                    <w:r>
                      <w:rPr>
                        <w:b/>
                        <w:w w:val="105"/>
                        <w:sz w:val="13"/>
                      </w:rPr>
                      <w:t>Clase de tramitación</w:t>
                    </w:r>
                  </w:p>
                </w:txbxContent>
              </v:textbox>
              <w10:wrap type="none"/>
            </v:shape>
            <v:shape style="position:absolute;left:8624;top:483;width:306;height:135" type="#_x0000_t202" filled="false" stroked="false">
              <v:textbox inset="0,0,0,0">
                <w:txbxContent>
                  <w:p>
                    <w:pPr>
                      <w:spacing w:line="135" w:lineRule="exact" w:before="0"/>
                      <w:ind w:left="0" w:right="0" w:firstLine="0"/>
                      <w:jc w:val="left"/>
                      <w:rPr>
                        <w:b/>
                        <w:sz w:val="13"/>
                      </w:rPr>
                    </w:pPr>
                    <w:r>
                      <w:rPr>
                        <w:b/>
                        <w:w w:val="105"/>
                        <w:sz w:val="13"/>
                      </w:rPr>
                      <w:t>Total</w:t>
                    </w:r>
                  </w:p>
                </w:txbxContent>
              </v:textbox>
              <w10:wrap type="none"/>
            </v:shape>
            <v:shape style="position:absolute;left:4761;top:751;width:551;height:135" type="#_x0000_t202" filled="false" stroked="false">
              <v:textbox inset="0,0,0,0">
                <w:txbxContent>
                  <w:p>
                    <w:pPr>
                      <w:spacing w:line="135" w:lineRule="exact" w:before="0"/>
                      <w:ind w:left="0" w:right="0" w:firstLine="0"/>
                      <w:jc w:val="left"/>
                      <w:rPr>
                        <w:b/>
                        <w:sz w:val="13"/>
                      </w:rPr>
                    </w:pPr>
                    <w:r>
                      <w:rPr>
                        <w:b/>
                        <w:w w:val="105"/>
                        <w:sz w:val="13"/>
                      </w:rPr>
                      <w:t>Ordinaria</w:t>
                    </w:r>
                  </w:p>
                </w:txbxContent>
              </v:textbox>
              <w10:wrap type="none"/>
            </v:shape>
            <v:shape style="position:absolute;left:5716;top:751;width:671;height:135" type="#_x0000_t202" filled="false" stroked="false">
              <v:textbox inset="0,0,0,0">
                <w:txbxContent>
                  <w:p>
                    <w:pPr>
                      <w:spacing w:line="135" w:lineRule="exact" w:before="0"/>
                      <w:ind w:left="0" w:right="0" w:firstLine="0"/>
                      <w:jc w:val="left"/>
                      <w:rPr>
                        <w:b/>
                        <w:sz w:val="13"/>
                      </w:rPr>
                    </w:pPr>
                    <w:r>
                      <w:rPr>
                        <w:b/>
                        <w:w w:val="105"/>
                        <w:sz w:val="13"/>
                      </w:rPr>
                      <w:t>Emergencia</w:t>
                    </w:r>
                  </w:p>
                </w:txbxContent>
              </v:textbox>
              <w10:wrap type="none"/>
            </v:shape>
            <v:shape style="position:absolute;left:6768;top:751;width:475;height:135" type="#_x0000_t202" filled="false" stroked="false">
              <v:textbox inset="0,0,0,0">
                <w:txbxContent>
                  <w:p>
                    <w:pPr>
                      <w:spacing w:line="135" w:lineRule="exact" w:before="0"/>
                      <w:ind w:left="0" w:right="0" w:firstLine="0"/>
                      <w:jc w:val="left"/>
                      <w:rPr>
                        <w:b/>
                        <w:sz w:val="13"/>
                      </w:rPr>
                    </w:pPr>
                    <w:r>
                      <w:rPr>
                        <w:b/>
                        <w:w w:val="105"/>
                        <w:sz w:val="13"/>
                      </w:rPr>
                      <w:t>Urgente</w:t>
                    </w:r>
                  </w:p>
                </w:txbxContent>
              </v:textbox>
              <w10:wrap type="none"/>
            </v:shape>
            <v:shape style="position:absolute;left:7760;top:668;width:190;height:135" type="#_x0000_t202" filled="false" stroked="false">
              <v:textbox inset="0,0,0,0">
                <w:txbxContent>
                  <w:p>
                    <w:pPr>
                      <w:spacing w:line="135" w:lineRule="exact" w:before="0"/>
                      <w:ind w:left="0" w:right="0" w:firstLine="0"/>
                      <w:jc w:val="left"/>
                      <w:rPr>
                        <w:b/>
                        <w:sz w:val="13"/>
                      </w:rPr>
                    </w:pPr>
                    <w:r>
                      <w:rPr>
                        <w:b/>
                        <w:w w:val="105"/>
                        <w:sz w:val="13"/>
                      </w:rPr>
                      <w:t>Sin</w:t>
                    </w:r>
                  </w:p>
                </w:txbxContent>
              </v:textbox>
              <w10:wrap type="none"/>
            </v:shape>
            <w10:wrap type="none"/>
          </v:group>
        </w:pict>
      </w:r>
      <w:r>
        <w:rPr/>
        <w:t>A los que se aplicó la siguiente tramitación:</w:t>
      </w:r>
    </w:p>
    <w:p>
      <w:pPr>
        <w:pStyle w:val="BodyText"/>
      </w:pPr>
    </w:p>
    <w:p>
      <w:pPr>
        <w:pStyle w:val="BodyText"/>
        <w:rPr>
          <w:sz w:val="21"/>
        </w:rPr>
      </w:pPr>
    </w:p>
    <w:tbl>
      <w:tblPr>
        <w:tblW w:w="0" w:type="auto"/>
        <w:jc w:val="left"/>
        <w:tblInd w:w="2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1085"/>
        <w:gridCol w:w="956"/>
        <w:gridCol w:w="931"/>
        <w:gridCol w:w="803"/>
        <w:gridCol w:w="1024"/>
      </w:tblGrid>
      <w:tr>
        <w:trPr>
          <w:trHeight w:val="156" w:hRule="atLeast"/>
        </w:trPr>
        <w:tc>
          <w:tcPr>
            <w:tcW w:w="3940" w:type="dxa"/>
            <w:gridSpan w:val="4"/>
            <w:shd w:val="clear" w:color="auto" w:fill="DEEAF6"/>
          </w:tcPr>
          <w:p>
            <w:pPr>
              <w:pStyle w:val="TableParagraph"/>
              <w:rPr>
                <w:rFonts w:ascii="Times New Roman"/>
                <w:sz w:val="10"/>
              </w:rPr>
            </w:pPr>
          </w:p>
        </w:tc>
        <w:tc>
          <w:tcPr>
            <w:tcW w:w="803" w:type="dxa"/>
            <w:shd w:val="clear" w:color="auto" w:fill="DEEAF6"/>
          </w:tcPr>
          <w:p>
            <w:pPr>
              <w:pStyle w:val="TableParagraph"/>
              <w:spacing w:line="136" w:lineRule="exact"/>
              <w:ind w:right="134"/>
              <w:jc w:val="right"/>
              <w:rPr>
                <w:b/>
                <w:sz w:val="13"/>
              </w:rPr>
            </w:pPr>
            <w:r>
              <w:rPr>
                <w:b/>
                <w:sz w:val="13"/>
              </w:rPr>
              <w:t>especificar</w:t>
            </w:r>
          </w:p>
        </w:tc>
        <w:tc>
          <w:tcPr>
            <w:tcW w:w="1024" w:type="dxa"/>
            <w:shd w:val="clear" w:color="auto" w:fill="DEEAF6"/>
          </w:tcPr>
          <w:p>
            <w:pPr>
              <w:pStyle w:val="TableParagraph"/>
              <w:rPr>
                <w:rFonts w:ascii="Times New Roman"/>
                <w:sz w:val="10"/>
              </w:rPr>
            </w:pPr>
          </w:p>
        </w:tc>
      </w:tr>
      <w:tr>
        <w:trPr>
          <w:trHeight w:val="183" w:hRule="atLeast"/>
        </w:trPr>
        <w:tc>
          <w:tcPr>
            <w:tcW w:w="968" w:type="dxa"/>
          </w:tcPr>
          <w:p>
            <w:pPr>
              <w:pStyle w:val="TableParagraph"/>
              <w:spacing w:line="157" w:lineRule="exact"/>
              <w:ind w:left="70"/>
              <w:rPr>
                <w:sz w:val="13"/>
              </w:rPr>
            </w:pPr>
            <w:r>
              <w:rPr>
                <w:w w:val="105"/>
                <w:sz w:val="13"/>
              </w:rPr>
              <w:t>Obras</w:t>
            </w:r>
          </w:p>
        </w:tc>
        <w:tc>
          <w:tcPr>
            <w:tcW w:w="1085" w:type="dxa"/>
          </w:tcPr>
          <w:p>
            <w:pPr>
              <w:pStyle w:val="TableParagraph"/>
              <w:spacing w:line="157" w:lineRule="exact"/>
              <w:ind w:right="92"/>
              <w:jc w:val="right"/>
              <w:rPr>
                <w:sz w:val="13"/>
              </w:rPr>
            </w:pPr>
            <w:r>
              <w:rPr>
                <w:sz w:val="13"/>
              </w:rPr>
              <w:t>146.665.173,21</w:t>
            </w:r>
          </w:p>
        </w:tc>
        <w:tc>
          <w:tcPr>
            <w:tcW w:w="956" w:type="dxa"/>
          </w:tcPr>
          <w:p>
            <w:pPr>
              <w:pStyle w:val="TableParagraph"/>
              <w:spacing w:line="157" w:lineRule="exact"/>
              <w:ind w:left="143" w:right="47"/>
              <w:jc w:val="center"/>
              <w:rPr>
                <w:sz w:val="13"/>
              </w:rPr>
            </w:pPr>
            <w:r>
              <w:rPr>
                <w:w w:val="105"/>
                <w:sz w:val="13"/>
              </w:rPr>
              <w:t>8.524.980,81</w:t>
            </w:r>
          </w:p>
        </w:tc>
        <w:tc>
          <w:tcPr>
            <w:tcW w:w="931" w:type="dxa"/>
          </w:tcPr>
          <w:p>
            <w:pPr>
              <w:pStyle w:val="TableParagraph"/>
              <w:spacing w:line="157" w:lineRule="exact"/>
              <w:ind w:right="66"/>
              <w:jc w:val="right"/>
              <w:rPr>
                <w:sz w:val="13"/>
              </w:rPr>
            </w:pPr>
            <w:r>
              <w:rPr>
                <w:w w:val="105"/>
                <w:sz w:val="13"/>
              </w:rPr>
              <w:t>15.690.069,75</w:t>
            </w:r>
          </w:p>
        </w:tc>
        <w:tc>
          <w:tcPr>
            <w:tcW w:w="803" w:type="dxa"/>
          </w:tcPr>
          <w:p>
            <w:pPr>
              <w:pStyle w:val="TableParagraph"/>
              <w:spacing w:line="157" w:lineRule="exact"/>
              <w:ind w:right="107"/>
              <w:jc w:val="right"/>
              <w:rPr>
                <w:sz w:val="13"/>
              </w:rPr>
            </w:pPr>
            <w:r>
              <w:rPr>
                <w:w w:val="105"/>
                <w:sz w:val="13"/>
              </w:rPr>
              <w:t>2.035,28</w:t>
            </w:r>
          </w:p>
        </w:tc>
        <w:tc>
          <w:tcPr>
            <w:tcW w:w="1024" w:type="dxa"/>
          </w:tcPr>
          <w:p>
            <w:pPr>
              <w:pStyle w:val="TableParagraph"/>
              <w:spacing w:line="157" w:lineRule="exact"/>
              <w:ind w:right="49"/>
              <w:jc w:val="right"/>
              <w:rPr>
                <w:b/>
                <w:sz w:val="13"/>
              </w:rPr>
            </w:pPr>
            <w:r>
              <w:rPr>
                <w:b/>
                <w:sz w:val="13"/>
              </w:rPr>
              <w:t>170.882.259,05</w:t>
            </w:r>
          </w:p>
        </w:tc>
      </w:tr>
      <w:tr>
        <w:trPr>
          <w:trHeight w:val="190" w:hRule="atLeast"/>
        </w:trPr>
        <w:tc>
          <w:tcPr>
            <w:tcW w:w="968" w:type="dxa"/>
          </w:tcPr>
          <w:p>
            <w:pPr>
              <w:pStyle w:val="TableParagraph"/>
              <w:spacing w:before="4"/>
              <w:ind w:left="70"/>
              <w:rPr>
                <w:sz w:val="13"/>
              </w:rPr>
            </w:pPr>
            <w:r>
              <w:rPr>
                <w:w w:val="105"/>
                <w:sz w:val="13"/>
              </w:rPr>
              <w:t>Servicios</w:t>
            </w:r>
          </w:p>
        </w:tc>
        <w:tc>
          <w:tcPr>
            <w:tcW w:w="1085" w:type="dxa"/>
          </w:tcPr>
          <w:p>
            <w:pPr>
              <w:pStyle w:val="TableParagraph"/>
              <w:spacing w:before="4"/>
              <w:ind w:right="92"/>
              <w:jc w:val="right"/>
              <w:rPr>
                <w:sz w:val="13"/>
              </w:rPr>
            </w:pPr>
            <w:r>
              <w:rPr>
                <w:sz w:val="13"/>
              </w:rPr>
              <w:t>263.551.864,65</w:t>
            </w:r>
          </w:p>
        </w:tc>
        <w:tc>
          <w:tcPr>
            <w:tcW w:w="956" w:type="dxa"/>
          </w:tcPr>
          <w:p>
            <w:pPr>
              <w:pStyle w:val="TableParagraph"/>
              <w:spacing w:before="4"/>
              <w:ind w:left="143" w:right="47"/>
              <w:jc w:val="center"/>
              <w:rPr>
                <w:sz w:val="13"/>
              </w:rPr>
            </w:pPr>
            <w:r>
              <w:rPr>
                <w:w w:val="105"/>
                <w:sz w:val="13"/>
              </w:rPr>
              <w:t>8.203.215,92</w:t>
            </w:r>
          </w:p>
        </w:tc>
        <w:tc>
          <w:tcPr>
            <w:tcW w:w="931" w:type="dxa"/>
          </w:tcPr>
          <w:p>
            <w:pPr>
              <w:pStyle w:val="TableParagraph"/>
              <w:spacing w:before="4"/>
              <w:ind w:right="66"/>
              <w:jc w:val="right"/>
              <w:rPr>
                <w:sz w:val="13"/>
              </w:rPr>
            </w:pPr>
            <w:r>
              <w:rPr>
                <w:w w:val="105"/>
                <w:sz w:val="13"/>
              </w:rPr>
              <w:t>27.865.638,53</w:t>
            </w:r>
          </w:p>
        </w:tc>
        <w:tc>
          <w:tcPr>
            <w:tcW w:w="803" w:type="dxa"/>
          </w:tcPr>
          <w:p>
            <w:pPr>
              <w:pStyle w:val="TableParagraph"/>
              <w:spacing w:before="4"/>
              <w:ind w:right="107"/>
              <w:jc w:val="right"/>
              <w:rPr>
                <w:sz w:val="13"/>
              </w:rPr>
            </w:pPr>
            <w:r>
              <w:rPr>
                <w:w w:val="105"/>
                <w:sz w:val="13"/>
              </w:rPr>
              <w:t>316.055,58</w:t>
            </w:r>
          </w:p>
        </w:tc>
        <w:tc>
          <w:tcPr>
            <w:tcW w:w="1024" w:type="dxa"/>
          </w:tcPr>
          <w:p>
            <w:pPr>
              <w:pStyle w:val="TableParagraph"/>
              <w:spacing w:before="4"/>
              <w:ind w:right="49"/>
              <w:jc w:val="right"/>
              <w:rPr>
                <w:b/>
                <w:sz w:val="13"/>
              </w:rPr>
            </w:pPr>
            <w:r>
              <w:rPr>
                <w:b/>
                <w:sz w:val="13"/>
              </w:rPr>
              <w:t>299.936.774,68</w:t>
            </w:r>
          </w:p>
        </w:tc>
      </w:tr>
      <w:tr>
        <w:trPr>
          <w:trHeight w:val="190" w:hRule="atLeast"/>
        </w:trPr>
        <w:tc>
          <w:tcPr>
            <w:tcW w:w="968" w:type="dxa"/>
          </w:tcPr>
          <w:p>
            <w:pPr>
              <w:pStyle w:val="TableParagraph"/>
              <w:spacing w:before="5"/>
              <w:ind w:left="70"/>
              <w:rPr>
                <w:sz w:val="13"/>
              </w:rPr>
            </w:pPr>
            <w:r>
              <w:rPr>
                <w:w w:val="105"/>
                <w:sz w:val="13"/>
              </w:rPr>
              <w:t>Suministros</w:t>
            </w:r>
          </w:p>
        </w:tc>
        <w:tc>
          <w:tcPr>
            <w:tcW w:w="1085" w:type="dxa"/>
          </w:tcPr>
          <w:p>
            <w:pPr>
              <w:pStyle w:val="TableParagraph"/>
              <w:spacing w:before="5"/>
              <w:ind w:right="92"/>
              <w:jc w:val="right"/>
              <w:rPr>
                <w:sz w:val="13"/>
              </w:rPr>
            </w:pPr>
            <w:r>
              <w:rPr>
                <w:sz w:val="13"/>
              </w:rPr>
              <w:t>290.034.779,31</w:t>
            </w:r>
          </w:p>
        </w:tc>
        <w:tc>
          <w:tcPr>
            <w:tcW w:w="956" w:type="dxa"/>
          </w:tcPr>
          <w:p>
            <w:pPr>
              <w:pStyle w:val="TableParagraph"/>
              <w:spacing w:before="5"/>
              <w:ind w:left="143" w:right="47"/>
              <w:jc w:val="center"/>
              <w:rPr>
                <w:sz w:val="13"/>
              </w:rPr>
            </w:pPr>
            <w:r>
              <w:rPr>
                <w:w w:val="105"/>
                <w:sz w:val="13"/>
              </w:rPr>
              <w:t>4.910.273,94</w:t>
            </w:r>
          </w:p>
        </w:tc>
        <w:tc>
          <w:tcPr>
            <w:tcW w:w="931" w:type="dxa"/>
          </w:tcPr>
          <w:p>
            <w:pPr>
              <w:pStyle w:val="TableParagraph"/>
              <w:spacing w:before="5"/>
              <w:ind w:right="66"/>
              <w:jc w:val="right"/>
              <w:rPr>
                <w:sz w:val="13"/>
              </w:rPr>
            </w:pPr>
            <w:r>
              <w:rPr>
                <w:w w:val="105"/>
                <w:sz w:val="13"/>
              </w:rPr>
              <w:t>12.946.498,41</w:t>
            </w:r>
          </w:p>
        </w:tc>
        <w:tc>
          <w:tcPr>
            <w:tcW w:w="803" w:type="dxa"/>
          </w:tcPr>
          <w:p>
            <w:pPr>
              <w:pStyle w:val="TableParagraph"/>
              <w:spacing w:before="5"/>
              <w:ind w:right="107"/>
              <w:jc w:val="right"/>
              <w:rPr>
                <w:sz w:val="13"/>
              </w:rPr>
            </w:pPr>
            <w:r>
              <w:rPr>
                <w:w w:val="105"/>
                <w:sz w:val="13"/>
              </w:rPr>
              <w:t>180.741,16</w:t>
            </w:r>
          </w:p>
        </w:tc>
        <w:tc>
          <w:tcPr>
            <w:tcW w:w="1024" w:type="dxa"/>
          </w:tcPr>
          <w:p>
            <w:pPr>
              <w:pStyle w:val="TableParagraph"/>
              <w:spacing w:before="5"/>
              <w:ind w:right="49"/>
              <w:jc w:val="right"/>
              <w:rPr>
                <w:b/>
                <w:sz w:val="13"/>
              </w:rPr>
            </w:pPr>
            <w:r>
              <w:rPr>
                <w:b/>
                <w:sz w:val="13"/>
              </w:rPr>
              <w:t>308.072.292,82</w:t>
            </w:r>
          </w:p>
        </w:tc>
      </w:tr>
      <w:tr>
        <w:trPr>
          <w:trHeight w:val="190" w:hRule="atLeast"/>
        </w:trPr>
        <w:tc>
          <w:tcPr>
            <w:tcW w:w="968" w:type="dxa"/>
          </w:tcPr>
          <w:p>
            <w:pPr>
              <w:pStyle w:val="TableParagraph"/>
              <w:spacing w:before="4"/>
              <w:ind w:left="70"/>
              <w:rPr>
                <w:sz w:val="13"/>
              </w:rPr>
            </w:pPr>
            <w:r>
              <w:rPr>
                <w:w w:val="105"/>
                <w:sz w:val="13"/>
              </w:rPr>
              <w:t>C Servicios</w:t>
            </w:r>
          </w:p>
        </w:tc>
        <w:tc>
          <w:tcPr>
            <w:tcW w:w="1085" w:type="dxa"/>
          </w:tcPr>
          <w:p>
            <w:pPr>
              <w:pStyle w:val="TableParagraph"/>
              <w:spacing w:before="4"/>
              <w:ind w:right="92"/>
              <w:jc w:val="right"/>
              <w:rPr>
                <w:sz w:val="13"/>
              </w:rPr>
            </w:pPr>
            <w:r>
              <w:rPr>
                <w:w w:val="105"/>
                <w:sz w:val="13"/>
              </w:rPr>
              <w:t>389.319,45</w:t>
            </w:r>
          </w:p>
        </w:tc>
        <w:tc>
          <w:tcPr>
            <w:tcW w:w="956" w:type="dxa"/>
          </w:tcPr>
          <w:p>
            <w:pPr>
              <w:pStyle w:val="TableParagraph"/>
              <w:rPr>
                <w:rFonts w:ascii="Times New Roman"/>
                <w:sz w:val="12"/>
              </w:rPr>
            </w:pPr>
          </w:p>
        </w:tc>
        <w:tc>
          <w:tcPr>
            <w:tcW w:w="931" w:type="dxa"/>
          </w:tcPr>
          <w:p>
            <w:pPr>
              <w:pStyle w:val="TableParagraph"/>
              <w:rPr>
                <w:rFonts w:ascii="Times New Roman"/>
                <w:sz w:val="12"/>
              </w:rPr>
            </w:pPr>
          </w:p>
        </w:tc>
        <w:tc>
          <w:tcPr>
            <w:tcW w:w="803" w:type="dxa"/>
          </w:tcPr>
          <w:p>
            <w:pPr>
              <w:pStyle w:val="TableParagraph"/>
              <w:rPr>
                <w:rFonts w:ascii="Times New Roman"/>
                <w:sz w:val="12"/>
              </w:rPr>
            </w:pPr>
          </w:p>
        </w:tc>
        <w:tc>
          <w:tcPr>
            <w:tcW w:w="1024" w:type="dxa"/>
          </w:tcPr>
          <w:p>
            <w:pPr>
              <w:pStyle w:val="TableParagraph"/>
              <w:spacing w:before="4"/>
              <w:ind w:right="49"/>
              <w:jc w:val="right"/>
              <w:rPr>
                <w:b/>
                <w:sz w:val="13"/>
              </w:rPr>
            </w:pPr>
            <w:r>
              <w:rPr>
                <w:b/>
                <w:w w:val="105"/>
                <w:sz w:val="13"/>
              </w:rPr>
              <w:t>389.319,45</w:t>
            </w:r>
          </w:p>
        </w:tc>
      </w:tr>
      <w:tr>
        <w:trPr>
          <w:trHeight w:val="191" w:hRule="atLeast"/>
        </w:trPr>
        <w:tc>
          <w:tcPr>
            <w:tcW w:w="968" w:type="dxa"/>
          </w:tcPr>
          <w:p>
            <w:pPr>
              <w:pStyle w:val="TableParagraph"/>
              <w:spacing w:before="5"/>
              <w:ind w:left="70"/>
              <w:rPr>
                <w:sz w:val="13"/>
              </w:rPr>
            </w:pPr>
            <w:r>
              <w:rPr>
                <w:w w:val="105"/>
                <w:sz w:val="13"/>
              </w:rPr>
              <w:t>Privado</w:t>
            </w:r>
          </w:p>
        </w:tc>
        <w:tc>
          <w:tcPr>
            <w:tcW w:w="1085" w:type="dxa"/>
          </w:tcPr>
          <w:p>
            <w:pPr>
              <w:pStyle w:val="TableParagraph"/>
              <w:spacing w:before="5"/>
              <w:ind w:right="92"/>
              <w:jc w:val="right"/>
              <w:rPr>
                <w:sz w:val="13"/>
              </w:rPr>
            </w:pPr>
            <w:r>
              <w:rPr>
                <w:w w:val="105"/>
                <w:sz w:val="13"/>
              </w:rPr>
              <w:t>404.835,33</w:t>
            </w:r>
          </w:p>
        </w:tc>
        <w:tc>
          <w:tcPr>
            <w:tcW w:w="956" w:type="dxa"/>
          </w:tcPr>
          <w:p>
            <w:pPr>
              <w:pStyle w:val="TableParagraph"/>
              <w:rPr>
                <w:rFonts w:ascii="Times New Roman"/>
                <w:sz w:val="12"/>
              </w:rPr>
            </w:pPr>
          </w:p>
        </w:tc>
        <w:tc>
          <w:tcPr>
            <w:tcW w:w="931" w:type="dxa"/>
          </w:tcPr>
          <w:p>
            <w:pPr>
              <w:pStyle w:val="TableParagraph"/>
              <w:rPr>
                <w:rFonts w:ascii="Times New Roman"/>
                <w:sz w:val="12"/>
              </w:rPr>
            </w:pPr>
          </w:p>
        </w:tc>
        <w:tc>
          <w:tcPr>
            <w:tcW w:w="803" w:type="dxa"/>
          </w:tcPr>
          <w:p>
            <w:pPr>
              <w:pStyle w:val="TableParagraph"/>
              <w:rPr>
                <w:rFonts w:ascii="Times New Roman"/>
                <w:sz w:val="12"/>
              </w:rPr>
            </w:pPr>
          </w:p>
        </w:tc>
        <w:tc>
          <w:tcPr>
            <w:tcW w:w="1024" w:type="dxa"/>
          </w:tcPr>
          <w:p>
            <w:pPr>
              <w:pStyle w:val="TableParagraph"/>
              <w:spacing w:before="5"/>
              <w:ind w:right="49"/>
              <w:jc w:val="right"/>
              <w:rPr>
                <w:b/>
                <w:sz w:val="13"/>
              </w:rPr>
            </w:pPr>
            <w:r>
              <w:rPr>
                <w:b/>
                <w:w w:val="105"/>
                <w:sz w:val="13"/>
              </w:rPr>
              <w:t>404.835,33</w:t>
            </w:r>
          </w:p>
        </w:tc>
      </w:tr>
      <w:tr>
        <w:trPr>
          <w:trHeight w:val="190" w:hRule="atLeast"/>
        </w:trPr>
        <w:tc>
          <w:tcPr>
            <w:tcW w:w="968" w:type="dxa"/>
          </w:tcPr>
          <w:p>
            <w:pPr>
              <w:pStyle w:val="TableParagraph"/>
              <w:spacing w:before="5"/>
              <w:ind w:left="70"/>
              <w:rPr>
                <w:sz w:val="13"/>
              </w:rPr>
            </w:pPr>
            <w:r>
              <w:rPr>
                <w:w w:val="105"/>
                <w:sz w:val="13"/>
              </w:rPr>
              <w:t>Adm. Especial</w:t>
            </w:r>
          </w:p>
        </w:tc>
        <w:tc>
          <w:tcPr>
            <w:tcW w:w="1085" w:type="dxa"/>
          </w:tcPr>
          <w:p>
            <w:pPr>
              <w:pStyle w:val="TableParagraph"/>
              <w:spacing w:before="5"/>
              <w:ind w:right="92"/>
              <w:jc w:val="right"/>
              <w:rPr>
                <w:sz w:val="13"/>
              </w:rPr>
            </w:pPr>
            <w:r>
              <w:rPr>
                <w:w w:val="105"/>
                <w:sz w:val="13"/>
              </w:rPr>
              <w:t>31.562,00</w:t>
            </w:r>
          </w:p>
        </w:tc>
        <w:tc>
          <w:tcPr>
            <w:tcW w:w="956" w:type="dxa"/>
          </w:tcPr>
          <w:p>
            <w:pPr>
              <w:pStyle w:val="TableParagraph"/>
              <w:rPr>
                <w:rFonts w:ascii="Times New Roman"/>
                <w:sz w:val="12"/>
              </w:rPr>
            </w:pPr>
          </w:p>
        </w:tc>
        <w:tc>
          <w:tcPr>
            <w:tcW w:w="931" w:type="dxa"/>
          </w:tcPr>
          <w:p>
            <w:pPr>
              <w:pStyle w:val="TableParagraph"/>
              <w:rPr>
                <w:rFonts w:ascii="Times New Roman"/>
                <w:sz w:val="12"/>
              </w:rPr>
            </w:pPr>
          </w:p>
        </w:tc>
        <w:tc>
          <w:tcPr>
            <w:tcW w:w="803" w:type="dxa"/>
          </w:tcPr>
          <w:p>
            <w:pPr>
              <w:pStyle w:val="TableParagraph"/>
              <w:rPr>
                <w:rFonts w:ascii="Times New Roman"/>
                <w:sz w:val="12"/>
              </w:rPr>
            </w:pPr>
          </w:p>
        </w:tc>
        <w:tc>
          <w:tcPr>
            <w:tcW w:w="1024" w:type="dxa"/>
          </w:tcPr>
          <w:p>
            <w:pPr>
              <w:pStyle w:val="TableParagraph"/>
              <w:spacing w:before="5"/>
              <w:ind w:right="49"/>
              <w:jc w:val="right"/>
              <w:rPr>
                <w:b/>
                <w:sz w:val="13"/>
              </w:rPr>
            </w:pPr>
            <w:r>
              <w:rPr>
                <w:b/>
                <w:w w:val="105"/>
                <w:sz w:val="13"/>
              </w:rPr>
              <w:t>31.562,00</w:t>
            </w:r>
          </w:p>
        </w:tc>
      </w:tr>
      <w:tr>
        <w:trPr>
          <w:trHeight w:val="177" w:hRule="atLeast"/>
        </w:trPr>
        <w:tc>
          <w:tcPr>
            <w:tcW w:w="968" w:type="dxa"/>
            <w:tcBorders>
              <w:bottom w:val="single" w:sz="4" w:space="0" w:color="000000"/>
            </w:tcBorders>
          </w:tcPr>
          <w:p>
            <w:pPr>
              <w:pStyle w:val="TableParagraph"/>
              <w:spacing w:line="153" w:lineRule="exact" w:before="4"/>
              <w:ind w:left="324" w:right="313"/>
              <w:jc w:val="center"/>
              <w:rPr>
                <w:b/>
                <w:sz w:val="13"/>
              </w:rPr>
            </w:pPr>
            <w:r>
              <w:rPr>
                <w:b/>
                <w:w w:val="105"/>
                <w:sz w:val="13"/>
              </w:rPr>
              <w:t>Total</w:t>
            </w:r>
          </w:p>
        </w:tc>
        <w:tc>
          <w:tcPr>
            <w:tcW w:w="1085" w:type="dxa"/>
            <w:tcBorders>
              <w:bottom w:val="single" w:sz="4" w:space="0" w:color="000000"/>
            </w:tcBorders>
          </w:tcPr>
          <w:p>
            <w:pPr>
              <w:pStyle w:val="TableParagraph"/>
              <w:spacing w:line="153" w:lineRule="exact" w:before="4"/>
              <w:ind w:right="92"/>
              <w:jc w:val="right"/>
              <w:rPr>
                <w:b/>
                <w:sz w:val="13"/>
              </w:rPr>
            </w:pPr>
            <w:r>
              <w:rPr>
                <w:b/>
                <w:sz w:val="13"/>
              </w:rPr>
              <w:t>701.077.534</w:t>
            </w:r>
          </w:p>
        </w:tc>
        <w:tc>
          <w:tcPr>
            <w:tcW w:w="956" w:type="dxa"/>
            <w:tcBorders>
              <w:bottom w:val="single" w:sz="4" w:space="0" w:color="000000"/>
            </w:tcBorders>
          </w:tcPr>
          <w:p>
            <w:pPr>
              <w:pStyle w:val="TableParagraph"/>
              <w:spacing w:line="153" w:lineRule="exact" w:before="4"/>
              <w:ind w:left="68" w:right="47"/>
              <w:jc w:val="center"/>
              <w:rPr>
                <w:b/>
                <w:sz w:val="13"/>
              </w:rPr>
            </w:pPr>
            <w:r>
              <w:rPr>
                <w:b/>
                <w:w w:val="105"/>
                <w:sz w:val="13"/>
              </w:rPr>
              <w:t>21.638.470,67</w:t>
            </w:r>
          </w:p>
        </w:tc>
        <w:tc>
          <w:tcPr>
            <w:tcW w:w="931" w:type="dxa"/>
            <w:tcBorders>
              <w:bottom w:val="single" w:sz="4" w:space="0" w:color="000000"/>
            </w:tcBorders>
          </w:tcPr>
          <w:p>
            <w:pPr>
              <w:pStyle w:val="TableParagraph"/>
              <w:spacing w:line="153" w:lineRule="exact" w:before="4"/>
              <w:ind w:right="66"/>
              <w:jc w:val="right"/>
              <w:rPr>
                <w:b/>
                <w:sz w:val="13"/>
              </w:rPr>
            </w:pPr>
            <w:r>
              <w:rPr>
                <w:b/>
                <w:w w:val="105"/>
                <w:sz w:val="13"/>
              </w:rPr>
              <w:t>56.502.206,69</w:t>
            </w:r>
          </w:p>
        </w:tc>
        <w:tc>
          <w:tcPr>
            <w:tcW w:w="803" w:type="dxa"/>
            <w:tcBorders>
              <w:bottom w:val="single" w:sz="4" w:space="0" w:color="000000"/>
            </w:tcBorders>
          </w:tcPr>
          <w:p>
            <w:pPr>
              <w:pStyle w:val="TableParagraph"/>
              <w:spacing w:line="153" w:lineRule="exact" w:before="4"/>
              <w:ind w:right="107"/>
              <w:jc w:val="right"/>
              <w:rPr>
                <w:b/>
                <w:sz w:val="13"/>
              </w:rPr>
            </w:pPr>
            <w:r>
              <w:rPr>
                <w:b/>
                <w:w w:val="105"/>
                <w:sz w:val="13"/>
              </w:rPr>
              <w:t>498.832,02</w:t>
            </w:r>
          </w:p>
        </w:tc>
        <w:tc>
          <w:tcPr>
            <w:tcW w:w="1024" w:type="dxa"/>
            <w:tcBorders>
              <w:bottom w:val="single" w:sz="4" w:space="0" w:color="000000"/>
            </w:tcBorders>
          </w:tcPr>
          <w:p>
            <w:pPr>
              <w:pStyle w:val="TableParagraph"/>
              <w:spacing w:line="153" w:lineRule="exact" w:before="4"/>
              <w:ind w:right="49"/>
              <w:jc w:val="right"/>
              <w:rPr>
                <w:b/>
                <w:sz w:val="13"/>
              </w:rPr>
            </w:pPr>
            <w:r>
              <w:rPr>
                <w:b/>
                <w:sz w:val="13"/>
              </w:rPr>
              <w:t>779.717.043,33</w:t>
            </w:r>
          </w:p>
        </w:tc>
      </w:tr>
    </w:tbl>
    <w:p>
      <w:pPr>
        <w:pStyle w:val="BodyText"/>
        <w:spacing w:before="3"/>
        <w:rPr>
          <w:sz w:val="11"/>
        </w:rPr>
      </w:pPr>
    </w:p>
    <w:p>
      <w:pPr>
        <w:pStyle w:val="BodyText"/>
        <w:spacing w:before="61"/>
        <w:ind w:left="2096" w:right="1143" w:firstLine="594"/>
        <w:jc w:val="both"/>
      </w:pPr>
      <w:r>
        <w:rPr/>
        <w:t>Del contraste entre ambas bases se pone de manifiesto importantes diferencias en cuanto a importes, procedimientos de adjudicación y tipos de tramitación.</w:t>
      </w:r>
    </w:p>
    <w:p>
      <w:pPr>
        <w:pStyle w:val="BodyText"/>
        <w:spacing w:before="12"/>
        <w:rPr>
          <w:sz w:val="16"/>
        </w:rPr>
      </w:pPr>
    </w:p>
    <w:p>
      <w:pPr>
        <w:pStyle w:val="BodyText"/>
        <w:ind w:left="2096" w:right="1137" w:firstLine="594"/>
        <w:jc w:val="both"/>
      </w:pPr>
      <w:r>
        <w:rPr/>
        <w:t>Así de considerarse los datos obtenidos del registro de contratos, el porcentaje de crédito correspondiente a procedimiento abierto es de 66,37 % y conforme a los datos de la PLCSP de 55,45 %. En el caso de la contratación menor, se ha utilizado la misma en el 19,22 % si se consideran los datos del registro de contratos y en el 5,62 % según la PLCSP.</w:t>
      </w:r>
    </w:p>
    <w:p>
      <w:pPr>
        <w:pStyle w:val="BodyText"/>
        <w:spacing w:before="2"/>
        <w:rPr>
          <w:sz w:val="17"/>
        </w:rPr>
      </w:pPr>
    </w:p>
    <w:p>
      <w:pPr>
        <w:pStyle w:val="Heading1"/>
        <w:ind w:left="2096"/>
        <w:jc w:val="left"/>
      </w:pPr>
      <w:r>
        <w:rPr/>
        <w:t>Contratos reservados.</w:t>
      </w:r>
    </w:p>
    <w:p>
      <w:pPr>
        <w:pStyle w:val="BodyText"/>
        <w:spacing w:before="8"/>
        <w:rPr>
          <w:b/>
          <w:sz w:val="16"/>
        </w:rPr>
      </w:pPr>
    </w:p>
    <w:p>
      <w:pPr>
        <w:pStyle w:val="BodyText"/>
        <w:spacing w:line="242" w:lineRule="auto"/>
        <w:ind w:left="2096" w:right="1141" w:firstLine="594"/>
        <w:jc w:val="both"/>
      </w:pPr>
      <w:r>
        <w:rPr/>
        <w:t>Mediante Acuerdo del Consejo de Gobierno de 22 de mayo de 2019, se fijó en el 2 % el porcentaje mínimo de reserva del derecho a participar en los procedimientos de adjudicación de determinados contratos o lotes, a Centros Especiales de Empleo de iniciativa social, a empresas de inserción y programas de empleo protegido, a que hace referencia la disposición adicional cuarta de la Ley 9/2017.</w:t>
      </w:r>
    </w:p>
    <w:p>
      <w:pPr>
        <w:pStyle w:val="BodyText"/>
        <w:spacing w:before="10"/>
        <w:rPr>
          <w:sz w:val="22"/>
        </w:rPr>
      </w:pPr>
    </w:p>
    <w:p>
      <w:pPr>
        <w:pStyle w:val="BodyText"/>
        <w:spacing w:before="61"/>
        <w:ind w:left="7897"/>
        <w:jc w:val="center"/>
      </w:pPr>
      <w:r>
        <w:rPr/>
        <w:t>60</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31" name="image5.png"/>
                  <wp:cNvGraphicFramePr>
                    <a:graphicFrameLocks noChangeAspect="1"/>
                  </wp:cNvGraphicFramePr>
                  <a:graphic>
                    <a:graphicData uri="http://schemas.openxmlformats.org/drawingml/2006/picture">
                      <pic:pic>
                        <pic:nvPicPr>
                          <pic:cNvPr id="13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62/247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2"/>
        <w:rPr>
          <w:b/>
          <w:sz w:val="9"/>
        </w:rPr>
      </w:pPr>
    </w:p>
    <w:p>
      <w:pPr>
        <w:spacing w:line="242" w:lineRule="auto" w:before="61"/>
        <w:ind w:left="2096" w:right="1136" w:firstLine="594"/>
        <w:jc w:val="both"/>
        <w:rPr>
          <w:sz w:val="20"/>
        </w:rPr>
      </w:pPr>
      <w:r>
        <w:rPr>
          <w:sz w:val="20"/>
        </w:rPr>
        <w:t>Según dispone dicho Acuerdo, el citado porcentaje se aplicará </w:t>
      </w:r>
      <w:r>
        <w:rPr>
          <w:i/>
          <w:sz w:val="20"/>
        </w:rPr>
        <w:t>al conjunto del </w:t>
      </w:r>
      <w:r>
        <w:rPr>
          <w:i/>
          <w:sz w:val="20"/>
        </w:rPr>
        <w:t>sector público autonómico, incluidos los organismos públicos, empresas públicas y entes públicos del sector público limitativo, en particular, a los sujetos incluidos en los subapartados</w:t>
      </w:r>
      <w:r>
        <w:rPr>
          <w:i/>
          <w:spacing w:val="-6"/>
          <w:sz w:val="20"/>
        </w:rPr>
        <w:t> </w:t>
      </w:r>
      <w:r>
        <w:rPr>
          <w:i/>
          <w:sz w:val="20"/>
        </w:rPr>
        <w:t>a)</w:t>
      </w:r>
      <w:r>
        <w:rPr>
          <w:i/>
          <w:spacing w:val="-7"/>
          <w:sz w:val="20"/>
        </w:rPr>
        <w:t> </w:t>
      </w:r>
      <w:r>
        <w:rPr>
          <w:i/>
          <w:sz w:val="20"/>
        </w:rPr>
        <w:t>a</w:t>
      </w:r>
      <w:r>
        <w:rPr>
          <w:i/>
          <w:spacing w:val="-6"/>
          <w:sz w:val="20"/>
        </w:rPr>
        <w:t> </w:t>
      </w:r>
      <w:r>
        <w:rPr>
          <w:i/>
          <w:sz w:val="20"/>
        </w:rPr>
        <w:t>d),</w:t>
      </w:r>
      <w:r>
        <w:rPr>
          <w:i/>
          <w:spacing w:val="-7"/>
          <w:sz w:val="20"/>
        </w:rPr>
        <w:t> </w:t>
      </w:r>
      <w:r>
        <w:rPr>
          <w:i/>
          <w:sz w:val="20"/>
        </w:rPr>
        <w:t>ambos</w:t>
      </w:r>
      <w:r>
        <w:rPr>
          <w:i/>
          <w:spacing w:val="-6"/>
          <w:sz w:val="20"/>
        </w:rPr>
        <w:t> </w:t>
      </w:r>
      <w:r>
        <w:rPr>
          <w:i/>
          <w:sz w:val="20"/>
        </w:rPr>
        <w:t>incluidos,</w:t>
      </w:r>
      <w:r>
        <w:rPr>
          <w:i/>
          <w:spacing w:val="-5"/>
          <w:sz w:val="20"/>
        </w:rPr>
        <w:t> </w:t>
      </w:r>
      <w:r>
        <w:rPr>
          <w:i/>
          <w:sz w:val="20"/>
        </w:rPr>
        <w:t>del</w:t>
      </w:r>
      <w:r>
        <w:rPr>
          <w:i/>
          <w:spacing w:val="-4"/>
          <w:sz w:val="20"/>
        </w:rPr>
        <w:t> </w:t>
      </w:r>
      <w:r>
        <w:rPr>
          <w:i/>
          <w:sz w:val="20"/>
        </w:rPr>
        <w:t>Art.</w:t>
      </w:r>
      <w:r>
        <w:rPr>
          <w:i/>
          <w:spacing w:val="-6"/>
          <w:sz w:val="20"/>
        </w:rPr>
        <w:t> </w:t>
      </w:r>
      <w:r>
        <w:rPr>
          <w:i/>
          <w:sz w:val="20"/>
        </w:rPr>
        <w:t>2.1</w:t>
      </w:r>
      <w:r>
        <w:rPr>
          <w:i/>
          <w:spacing w:val="-8"/>
          <w:sz w:val="20"/>
        </w:rPr>
        <w:t> </w:t>
      </w:r>
      <w:r>
        <w:rPr>
          <w:i/>
          <w:sz w:val="20"/>
        </w:rPr>
        <w:t>de</w:t>
      </w:r>
      <w:r>
        <w:rPr>
          <w:i/>
          <w:spacing w:val="-6"/>
          <w:sz w:val="20"/>
        </w:rPr>
        <w:t> </w:t>
      </w:r>
      <w:r>
        <w:rPr>
          <w:i/>
          <w:sz w:val="20"/>
        </w:rPr>
        <w:t>la</w:t>
      </w:r>
      <w:r>
        <w:rPr>
          <w:i/>
          <w:spacing w:val="-6"/>
          <w:sz w:val="20"/>
        </w:rPr>
        <w:t> </w:t>
      </w:r>
      <w:r>
        <w:rPr>
          <w:i/>
          <w:sz w:val="20"/>
        </w:rPr>
        <w:t>Ley</w:t>
      </w:r>
      <w:r>
        <w:rPr>
          <w:i/>
          <w:spacing w:val="-8"/>
          <w:sz w:val="20"/>
        </w:rPr>
        <w:t> </w:t>
      </w:r>
      <w:r>
        <w:rPr>
          <w:i/>
          <w:sz w:val="20"/>
        </w:rPr>
        <w:t>11/2006,</w:t>
      </w:r>
      <w:r>
        <w:rPr>
          <w:i/>
          <w:spacing w:val="-6"/>
          <w:sz w:val="20"/>
        </w:rPr>
        <w:t> </w:t>
      </w:r>
      <w:r>
        <w:rPr>
          <w:i/>
          <w:sz w:val="20"/>
        </w:rPr>
        <w:t>de</w:t>
      </w:r>
      <w:r>
        <w:rPr>
          <w:i/>
          <w:spacing w:val="-7"/>
          <w:sz w:val="20"/>
        </w:rPr>
        <w:t> </w:t>
      </w:r>
      <w:r>
        <w:rPr>
          <w:i/>
          <w:sz w:val="20"/>
        </w:rPr>
        <w:t>11</w:t>
      </w:r>
      <w:r>
        <w:rPr>
          <w:i/>
          <w:spacing w:val="-9"/>
          <w:sz w:val="20"/>
        </w:rPr>
        <w:t> </w:t>
      </w:r>
      <w:r>
        <w:rPr>
          <w:i/>
          <w:sz w:val="20"/>
        </w:rPr>
        <w:t>de</w:t>
      </w:r>
      <w:r>
        <w:rPr>
          <w:i/>
          <w:spacing w:val="-6"/>
          <w:sz w:val="20"/>
        </w:rPr>
        <w:t> </w:t>
      </w:r>
      <w:r>
        <w:rPr>
          <w:i/>
          <w:sz w:val="20"/>
        </w:rPr>
        <w:t>diciembre, de la Hacienda Pública Canaria, debiendo ser aplicada de acuerdo con los principios y reglas que rigen la contratación pública </w:t>
      </w:r>
      <w:r>
        <w:rPr>
          <w:sz w:val="20"/>
        </w:rPr>
        <w:t>y establece la obligación de la Junta Consultiva de Contratación Administrativa, con base a la información remitida en el primer trimestre por los órganos de contratación, de emitir un informe valorando el grado de cumplimiento y en su caso proponiendo las medidas incentivadoras y la revisión del porcentaje</w:t>
      </w:r>
      <w:r>
        <w:rPr>
          <w:spacing w:val="-1"/>
          <w:sz w:val="20"/>
        </w:rPr>
        <w:t> </w:t>
      </w:r>
      <w:r>
        <w:rPr>
          <w:sz w:val="20"/>
        </w:rPr>
        <w:t>establecido.</w:t>
      </w:r>
    </w:p>
    <w:p>
      <w:pPr>
        <w:pStyle w:val="BodyText"/>
        <w:spacing w:before="1"/>
        <w:rPr>
          <w:sz w:val="16"/>
        </w:rPr>
      </w:pPr>
    </w:p>
    <w:p>
      <w:pPr>
        <w:pStyle w:val="BodyText"/>
        <w:spacing w:before="1"/>
        <w:ind w:left="2096" w:right="1142" w:firstLine="594"/>
        <w:jc w:val="both"/>
      </w:pPr>
      <w:r>
        <w:rPr/>
        <w:t>Solicitado el informe correspondiente al ejercicio 2022 se comunica, con fecha 22 de septiembre de 2023, que el mismo está pendiente de elaboración, lo que impide a esta Institución pronunciarse sobre el cumplimiento de la disposición adicional 4ª de la</w:t>
      </w:r>
      <w:r>
        <w:rPr>
          <w:spacing w:val="1"/>
        </w:rPr>
        <w:t> </w:t>
      </w:r>
      <w:r>
        <w:rPr/>
        <w:t>LCSP.</w:t>
      </w:r>
    </w:p>
    <w:p>
      <w:pPr>
        <w:pStyle w:val="BodyText"/>
        <w:rPr>
          <w:sz w:val="17"/>
        </w:rPr>
      </w:pPr>
    </w:p>
    <w:p>
      <w:pPr>
        <w:pStyle w:val="Heading1"/>
        <w:ind w:left="2096"/>
        <w:jc w:val="left"/>
      </w:pPr>
      <w:r>
        <w:rPr/>
        <w:t>Planificación de la contratación.</w:t>
      </w:r>
    </w:p>
    <w:p>
      <w:pPr>
        <w:pStyle w:val="BodyText"/>
        <w:spacing w:before="8"/>
        <w:rPr>
          <w:b/>
          <w:sz w:val="16"/>
        </w:rPr>
      </w:pPr>
    </w:p>
    <w:p>
      <w:pPr>
        <w:spacing w:before="0"/>
        <w:ind w:left="2096" w:right="1137" w:firstLine="594"/>
        <w:jc w:val="both"/>
        <w:rPr>
          <w:i/>
          <w:sz w:val="20"/>
        </w:rPr>
      </w:pPr>
      <w:r>
        <w:rPr>
          <w:sz w:val="20"/>
        </w:rPr>
        <w:t>El Art. 28.4 de la Ley de Contratos establece: “</w:t>
      </w:r>
      <w:r>
        <w:rPr>
          <w:i/>
          <w:sz w:val="20"/>
        </w:rPr>
        <w:t>Las entidades del sector público </w:t>
      </w:r>
      <w:r>
        <w:rPr>
          <w:i/>
          <w:sz w:val="20"/>
        </w:rPr>
        <w:t>programarán la actividad de </w:t>
      </w:r>
      <w:r>
        <w:rPr>
          <w:sz w:val="20"/>
        </w:rPr>
        <w:t>contratación </w:t>
      </w:r>
      <w:r>
        <w:rPr>
          <w:i/>
          <w:sz w:val="20"/>
        </w:rPr>
        <w:t>pública, que desarrollarán en un ejercicio </w:t>
      </w:r>
      <w:r>
        <w:rPr>
          <w:i/>
          <w:sz w:val="20"/>
        </w:rPr>
        <w:t>presupuestario o períodos plurianuales y darán a conocer su plan de contratación anticipadamente mediante un anuncio de información previa previsto en el Art. 134 que al</w:t>
      </w:r>
      <w:r>
        <w:rPr>
          <w:i/>
          <w:spacing w:val="-4"/>
          <w:sz w:val="20"/>
        </w:rPr>
        <w:t> </w:t>
      </w:r>
      <w:r>
        <w:rPr>
          <w:i/>
          <w:sz w:val="20"/>
        </w:rPr>
        <w:t>menos</w:t>
      </w:r>
      <w:r>
        <w:rPr>
          <w:i/>
          <w:spacing w:val="-3"/>
          <w:sz w:val="20"/>
        </w:rPr>
        <w:t> </w:t>
      </w:r>
      <w:r>
        <w:rPr>
          <w:i/>
          <w:sz w:val="20"/>
        </w:rPr>
        <w:t>recoja</w:t>
      </w:r>
      <w:r>
        <w:rPr>
          <w:i/>
          <w:spacing w:val="-5"/>
          <w:sz w:val="20"/>
        </w:rPr>
        <w:t> </w:t>
      </w:r>
      <w:r>
        <w:rPr>
          <w:i/>
          <w:sz w:val="20"/>
        </w:rPr>
        <w:t>aquellos</w:t>
      </w:r>
      <w:r>
        <w:rPr>
          <w:i/>
          <w:spacing w:val="-1"/>
          <w:sz w:val="20"/>
        </w:rPr>
        <w:t> </w:t>
      </w:r>
      <w:r>
        <w:rPr>
          <w:i/>
          <w:sz w:val="20"/>
        </w:rPr>
        <w:t>contratos</w:t>
      </w:r>
      <w:r>
        <w:rPr>
          <w:i/>
          <w:spacing w:val="-4"/>
          <w:sz w:val="20"/>
        </w:rPr>
        <w:t> </w:t>
      </w:r>
      <w:r>
        <w:rPr>
          <w:i/>
          <w:sz w:val="20"/>
        </w:rPr>
        <w:t>que</w:t>
      </w:r>
      <w:r>
        <w:rPr>
          <w:i/>
          <w:spacing w:val="-3"/>
          <w:sz w:val="20"/>
        </w:rPr>
        <w:t> </w:t>
      </w:r>
      <w:r>
        <w:rPr>
          <w:i/>
          <w:sz w:val="20"/>
        </w:rPr>
        <w:t>quedarán</w:t>
      </w:r>
      <w:r>
        <w:rPr>
          <w:i/>
          <w:spacing w:val="-5"/>
          <w:sz w:val="20"/>
        </w:rPr>
        <w:t> </w:t>
      </w:r>
      <w:r>
        <w:rPr>
          <w:i/>
          <w:sz w:val="20"/>
        </w:rPr>
        <w:t>sujetos</w:t>
      </w:r>
      <w:r>
        <w:rPr>
          <w:i/>
          <w:spacing w:val="-3"/>
          <w:sz w:val="20"/>
        </w:rPr>
        <w:t> </w:t>
      </w:r>
      <w:r>
        <w:rPr>
          <w:i/>
          <w:sz w:val="20"/>
        </w:rPr>
        <w:t>a</w:t>
      </w:r>
      <w:r>
        <w:rPr>
          <w:i/>
          <w:spacing w:val="-5"/>
          <w:sz w:val="20"/>
        </w:rPr>
        <w:t> </w:t>
      </w:r>
      <w:r>
        <w:rPr>
          <w:i/>
          <w:sz w:val="20"/>
        </w:rPr>
        <w:t>una</w:t>
      </w:r>
      <w:r>
        <w:rPr>
          <w:i/>
          <w:spacing w:val="-4"/>
          <w:sz w:val="20"/>
        </w:rPr>
        <w:t> </w:t>
      </w:r>
      <w:r>
        <w:rPr>
          <w:i/>
          <w:sz w:val="20"/>
        </w:rPr>
        <w:t>regulación</w:t>
      </w:r>
      <w:r>
        <w:rPr>
          <w:i/>
          <w:spacing w:val="-5"/>
          <w:sz w:val="20"/>
        </w:rPr>
        <w:t> </w:t>
      </w:r>
      <w:r>
        <w:rPr>
          <w:i/>
          <w:sz w:val="20"/>
        </w:rPr>
        <w:t>armonizada”.</w:t>
      </w:r>
    </w:p>
    <w:p>
      <w:pPr>
        <w:pStyle w:val="BodyText"/>
        <w:spacing w:before="3"/>
        <w:rPr>
          <w:i/>
          <w:sz w:val="17"/>
        </w:rPr>
      </w:pPr>
    </w:p>
    <w:p>
      <w:pPr>
        <w:pStyle w:val="BodyText"/>
        <w:spacing w:line="242" w:lineRule="auto"/>
        <w:ind w:left="2096" w:right="1137" w:firstLine="594"/>
        <w:jc w:val="both"/>
      </w:pPr>
      <w:r>
        <w:rPr/>
        <w:t>Igualmente, la Ley 12/2014, de 26 de diciembre, de transparencia y de acceso a la información pública, cuyo objeto es la regulación de la transparencia de la actividad pública y del ejercicio del derecho de acceso a la información pública en el ámbito de la CAC,</w:t>
      </w:r>
      <w:r>
        <w:rPr>
          <w:spacing w:val="-3"/>
        </w:rPr>
        <w:t> </w:t>
      </w:r>
      <w:r>
        <w:rPr/>
        <w:t>establece</w:t>
      </w:r>
      <w:r>
        <w:rPr>
          <w:spacing w:val="-3"/>
        </w:rPr>
        <w:t> </w:t>
      </w:r>
      <w:r>
        <w:rPr/>
        <w:t>en</w:t>
      </w:r>
      <w:r>
        <w:rPr>
          <w:spacing w:val="-2"/>
        </w:rPr>
        <w:t> </w:t>
      </w:r>
      <w:r>
        <w:rPr/>
        <w:t>el</w:t>
      </w:r>
      <w:r>
        <w:rPr>
          <w:spacing w:val="-3"/>
        </w:rPr>
        <w:t> </w:t>
      </w:r>
      <w:r>
        <w:rPr/>
        <w:t>Art.</w:t>
      </w:r>
      <w:r>
        <w:rPr>
          <w:spacing w:val="-6"/>
        </w:rPr>
        <w:t> </w:t>
      </w:r>
      <w:r>
        <w:rPr/>
        <w:t>28.</w:t>
      </w:r>
      <w:r>
        <w:rPr>
          <w:spacing w:val="-4"/>
        </w:rPr>
        <w:t> </w:t>
      </w:r>
      <w:r>
        <w:rPr/>
        <w:t>1.b)</w:t>
      </w:r>
      <w:r>
        <w:rPr>
          <w:spacing w:val="-3"/>
        </w:rPr>
        <w:t> </w:t>
      </w:r>
      <w:r>
        <w:rPr/>
        <w:t>la</w:t>
      </w:r>
      <w:r>
        <w:rPr>
          <w:spacing w:val="-3"/>
        </w:rPr>
        <w:t> </w:t>
      </w:r>
      <w:r>
        <w:rPr/>
        <w:t>obligación</w:t>
      </w:r>
      <w:r>
        <w:rPr>
          <w:spacing w:val="-3"/>
        </w:rPr>
        <w:t> </w:t>
      </w:r>
      <w:r>
        <w:rPr/>
        <w:t>de</w:t>
      </w:r>
      <w:r>
        <w:rPr>
          <w:spacing w:val="-2"/>
        </w:rPr>
        <w:t> </w:t>
      </w:r>
      <w:r>
        <w:rPr/>
        <w:t>la</w:t>
      </w:r>
      <w:r>
        <w:rPr>
          <w:spacing w:val="-3"/>
        </w:rPr>
        <w:t> </w:t>
      </w:r>
      <w:r>
        <w:rPr/>
        <w:t>Administración</w:t>
      </w:r>
      <w:r>
        <w:rPr>
          <w:spacing w:val="-4"/>
        </w:rPr>
        <w:t> </w:t>
      </w:r>
      <w:r>
        <w:rPr/>
        <w:t>pública</w:t>
      </w:r>
      <w:r>
        <w:rPr>
          <w:spacing w:val="-5"/>
        </w:rPr>
        <w:t> </w:t>
      </w:r>
      <w:r>
        <w:rPr/>
        <w:t>de</w:t>
      </w:r>
      <w:r>
        <w:rPr>
          <w:spacing w:val="-2"/>
        </w:rPr>
        <w:t> </w:t>
      </w:r>
      <w:r>
        <w:rPr/>
        <w:t>la</w:t>
      </w:r>
      <w:r>
        <w:rPr>
          <w:spacing w:val="-2"/>
        </w:rPr>
        <w:t> </w:t>
      </w:r>
      <w:r>
        <w:rPr/>
        <w:t>CAC,</w:t>
      </w:r>
      <w:r>
        <w:rPr>
          <w:spacing w:val="-3"/>
        </w:rPr>
        <w:t> </w:t>
      </w:r>
      <w:r>
        <w:rPr/>
        <w:t>de publicar la información sobre los contratos programados.</w:t>
      </w:r>
    </w:p>
    <w:p>
      <w:pPr>
        <w:pStyle w:val="BodyText"/>
        <w:spacing w:before="4"/>
        <w:rPr>
          <w:sz w:val="16"/>
        </w:rPr>
      </w:pPr>
    </w:p>
    <w:p>
      <w:pPr>
        <w:pStyle w:val="BodyText"/>
        <w:ind w:left="2096" w:right="1144" w:firstLine="594"/>
        <w:jc w:val="both"/>
      </w:pPr>
      <w:r>
        <w:rPr/>
        <w:t>De acuerdo con la información suministrada por los departamentos,</w:t>
      </w:r>
      <w:r>
        <w:rPr>
          <w:spacing w:val="-32"/>
        </w:rPr>
        <w:t> </w:t>
      </w:r>
      <w:r>
        <w:rPr/>
        <w:t>únicamente contaban con plan anual de contratación, las consejerías</w:t>
      </w:r>
      <w:r>
        <w:rPr>
          <w:spacing w:val="1"/>
        </w:rPr>
        <w:t> </w:t>
      </w:r>
      <w:r>
        <w:rPr/>
        <w:t>de:</w:t>
      </w:r>
    </w:p>
    <w:p>
      <w:pPr>
        <w:pStyle w:val="BodyText"/>
        <w:spacing w:before="9"/>
        <w:rPr>
          <w:sz w:val="16"/>
        </w:rPr>
      </w:pPr>
    </w:p>
    <w:p>
      <w:pPr>
        <w:pStyle w:val="ListParagraph"/>
        <w:numPr>
          <w:ilvl w:val="0"/>
          <w:numId w:val="25"/>
        </w:numPr>
        <w:tabs>
          <w:tab w:pos="2691" w:val="left" w:leader="none"/>
        </w:tabs>
        <w:spacing w:line="240" w:lineRule="auto" w:before="0" w:after="0"/>
        <w:ind w:left="2690" w:right="0" w:hanging="236"/>
        <w:jc w:val="left"/>
        <w:rPr>
          <w:sz w:val="20"/>
        </w:rPr>
      </w:pPr>
      <w:r>
        <w:rPr>
          <w:sz w:val="20"/>
        </w:rPr>
        <w:t>Hacienda, Presupuestos y Asuntos</w:t>
      </w:r>
      <w:r>
        <w:rPr>
          <w:spacing w:val="-1"/>
          <w:sz w:val="20"/>
        </w:rPr>
        <w:t> </w:t>
      </w:r>
      <w:r>
        <w:rPr>
          <w:sz w:val="20"/>
        </w:rPr>
        <w:t>Europeos</w:t>
      </w:r>
    </w:p>
    <w:p>
      <w:pPr>
        <w:pStyle w:val="ListParagraph"/>
        <w:numPr>
          <w:ilvl w:val="0"/>
          <w:numId w:val="25"/>
        </w:numPr>
        <w:tabs>
          <w:tab w:pos="2691" w:val="left" w:leader="none"/>
        </w:tabs>
        <w:spacing w:line="240" w:lineRule="auto" w:before="2" w:after="0"/>
        <w:ind w:left="2690" w:right="0" w:hanging="236"/>
        <w:jc w:val="left"/>
        <w:rPr>
          <w:sz w:val="20"/>
        </w:rPr>
      </w:pPr>
      <w:r>
        <w:rPr>
          <w:sz w:val="20"/>
        </w:rPr>
        <w:t>Derechos Sociales, Igualdad, Diversidad y</w:t>
      </w:r>
      <w:r>
        <w:rPr>
          <w:spacing w:val="2"/>
          <w:sz w:val="20"/>
        </w:rPr>
        <w:t> </w:t>
      </w:r>
      <w:r>
        <w:rPr>
          <w:sz w:val="20"/>
        </w:rPr>
        <w:t>Juventud</w:t>
      </w:r>
    </w:p>
    <w:p>
      <w:pPr>
        <w:pStyle w:val="ListParagraph"/>
        <w:numPr>
          <w:ilvl w:val="0"/>
          <w:numId w:val="25"/>
        </w:numPr>
        <w:tabs>
          <w:tab w:pos="2691" w:val="left" w:leader="none"/>
        </w:tabs>
        <w:spacing w:line="240" w:lineRule="auto" w:before="3" w:after="0"/>
        <w:ind w:left="2690" w:right="0" w:hanging="236"/>
        <w:jc w:val="left"/>
        <w:rPr>
          <w:sz w:val="20"/>
        </w:rPr>
      </w:pPr>
      <w:r>
        <w:rPr>
          <w:sz w:val="20"/>
        </w:rPr>
        <w:t>Agricultura, Ganadería y Pesca</w:t>
      </w:r>
    </w:p>
    <w:p>
      <w:pPr>
        <w:pStyle w:val="ListParagraph"/>
        <w:numPr>
          <w:ilvl w:val="0"/>
          <w:numId w:val="25"/>
        </w:numPr>
        <w:tabs>
          <w:tab w:pos="2691" w:val="left" w:leader="none"/>
        </w:tabs>
        <w:spacing w:line="240" w:lineRule="auto" w:before="1" w:after="0"/>
        <w:ind w:left="2690" w:right="0" w:hanging="236"/>
        <w:jc w:val="left"/>
        <w:rPr>
          <w:sz w:val="20"/>
        </w:rPr>
      </w:pPr>
      <w:r>
        <w:rPr>
          <w:sz w:val="20"/>
        </w:rPr>
        <w:t>Transición Ecológica, Lucha contra el Cambio Climático y Planificación</w:t>
      </w:r>
      <w:r>
        <w:rPr>
          <w:spacing w:val="3"/>
          <w:sz w:val="20"/>
        </w:rPr>
        <w:t> </w:t>
      </w:r>
      <w:r>
        <w:rPr>
          <w:spacing w:val="-3"/>
          <w:sz w:val="20"/>
        </w:rPr>
        <w:t>Territorial</w:t>
      </w:r>
    </w:p>
    <w:p>
      <w:pPr>
        <w:pStyle w:val="BodyText"/>
        <w:spacing w:before="204"/>
        <w:ind w:left="2690"/>
      </w:pPr>
      <w:r>
        <w:rPr/>
        <w:t>De los que solo el de la Consejería de Agricultura, Ganadería y Pesca figura</w:t>
      </w:r>
    </w:p>
    <w:p>
      <w:pPr>
        <w:pStyle w:val="BodyText"/>
        <w:spacing w:before="3"/>
        <w:ind w:left="2096"/>
      </w:pPr>
      <w:r>
        <w:rPr/>
        <w:t>publicado en el Portal de transparencia del Gobierno de Canarias.</w:t>
      </w:r>
    </w:p>
    <w:p>
      <w:pPr>
        <w:pStyle w:val="BodyText"/>
        <w:spacing w:before="9"/>
        <w:rPr>
          <w:sz w:val="19"/>
        </w:rPr>
      </w:pPr>
    </w:p>
    <w:p>
      <w:pPr>
        <w:pStyle w:val="BodyText"/>
        <w:spacing w:before="61"/>
        <w:ind w:left="7897"/>
        <w:jc w:val="center"/>
      </w:pPr>
      <w:r>
        <w:rPr/>
        <w:t>61</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33" name="image5.png"/>
                  <wp:cNvGraphicFramePr>
                    <a:graphicFrameLocks noChangeAspect="1"/>
                  </wp:cNvGraphicFramePr>
                  <a:graphic>
                    <a:graphicData uri="http://schemas.openxmlformats.org/drawingml/2006/picture">
                      <pic:pic>
                        <pic:nvPicPr>
                          <pic:cNvPr id="13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63/247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2"/>
          <w:numId w:val="10"/>
        </w:numPr>
        <w:tabs>
          <w:tab w:pos="2691" w:val="left" w:leader="none"/>
        </w:tabs>
        <w:spacing w:line="240" w:lineRule="auto" w:before="61" w:after="0"/>
        <w:ind w:left="2690" w:right="0" w:hanging="595"/>
        <w:jc w:val="left"/>
        <w:rPr>
          <w:b/>
          <w:sz w:val="20"/>
        </w:rPr>
      </w:pPr>
      <w:r>
        <w:rPr>
          <w:b/>
          <w:color w:val="53A1B9"/>
          <w:sz w:val="20"/>
        </w:rPr>
        <w:t>Subvenciones pendientes de justificar.</w:t>
      </w:r>
    </w:p>
    <w:p>
      <w:pPr>
        <w:pStyle w:val="BodyText"/>
        <w:spacing w:before="8"/>
        <w:rPr>
          <w:b/>
          <w:sz w:val="16"/>
        </w:rPr>
      </w:pPr>
    </w:p>
    <w:p>
      <w:pPr>
        <w:pStyle w:val="BodyText"/>
        <w:ind w:left="2096" w:right="1143" w:firstLine="594"/>
        <w:jc w:val="both"/>
      </w:pPr>
      <w:r>
        <w:rPr>
          <w:color w:val="1A1A1A"/>
        </w:rPr>
        <w:t>En virtud de lo acordado por el Gobierno en sesión de 1 de agosto de 2013, la </w:t>
      </w:r>
      <w:r>
        <w:rPr/>
        <w:t>IGCAC </w:t>
      </w:r>
      <w:r>
        <w:rPr>
          <w:color w:val="1A1A1A"/>
        </w:rPr>
        <w:t>emite el 3 de mayo de 2023, informe sobre la situación, a 31 de diciembre de 2022, de las subvenciones pendientes de justificar.</w:t>
      </w:r>
    </w:p>
    <w:p>
      <w:pPr>
        <w:pStyle w:val="BodyText"/>
        <w:spacing w:before="11"/>
        <w:rPr>
          <w:sz w:val="16"/>
        </w:rPr>
      </w:pPr>
    </w:p>
    <w:p>
      <w:pPr>
        <w:pStyle w:val="BodyText"/>
        <w:spacing w:line="242" w:lineRule="auto"/>
        <w:ind w:left="2096" w:right="1141" w:firstLine="594"/>
        <w:jc w:val="both"/>
      </w:pPr>
      <w:r>
        <w:rPr>
          <w:color w:val="1A1A1A"/>
        </w:rPr>
        <w:t>Según recoge el informe, la cantidad pendiente de justificar correspondiente a subvenciones concedidas desde el año 1981 por los departamentos del Gobierno, se eleva a 286,02 millones de €</w:t>
      </w:r>
      <w:r>
        <w:rPr>
          <w:color w:val="1A1A1A"/>
          <w:position w:val="7"/>
          <w:sz w:val="13"/>
        </w:rPr>
        <w:t>15</w:t>
      </w:r>
      <w:r>
        <w:rPr>
          <w:color w:val="1A1A1A"/>
        </w:rPr>
        <w:t>, habiéndose dictado resoluciones de reintegro únicamente por importe total de 17,3 millones de €, por lo que respecto de 268,3 millones de €, existe el riesgo de que la hacienda pública pierda el derecho a su recuperación.</w:t>
      </w:r>
    </w:p>
    <w:p>
      <w:pPr>
        <w:pStyle w:val="BodyText"/>
        <w:spacing w:before="1"/>
        <w:rPr>
          <w:sz w:val="16"/>
        </w:rPr>
      </w:pPr>
    </w:p>
    <w:p>
      <w:pPr>
        <w:pStyle w:val="BodyText"/>
        <w:ind w:left="2096" w:right="1137" w:firstLine="594"/>
        <w:jc w:val="both"/>
      </w:pPr>
      <w:r>
        <w:rPr>
          <w:color w:val="1A1A1A"/>
        </w:rPr>
        <w:t>Si bien la normativa reguladora de las subvenciones impone a los</w:t>
      </w:r>
      <w:r>
        <w:rPr>
          <w:color w:val="1A1A1A"/>
          <w:spacing w:val="-33"/>
        </w:rPr>
        <w:t> </w:t>
      </w:r>
      <w:r>
        <w:rPr>
          <w:color w:val="1A1A1A"/>
        </w:rPr>
        <w:t>beneficiarios la obligación de justificar el cumplimiento de las condiciones impuestas, entre otras haber destinado los fondos percibidos a la realización de la actividad y al cumplimiento de la finalidad para la que se concedió y, al órgano concedente, la de llevar a cabo la comprobación de la justificación documental de la subvención en el plazo máximo de dos meses y la de la comprobación material de conformidad con el plan anual que está obligado a aprobar, del informe de la IGCAC no se deduce si las subvenciones “no justificadas” lo son por ausencia del cumplimiento de las obligaciones por parte del beneficiario o por la inactividad de los órganos de gestión de las</w:t>
      </w:r>
      <w:r>
        <w:rPr>
          <w:color w:val="1A1A1A"/>
          <w:spacing w:val="6"/>
        </w:rPr>
        <w:t> </w:t>
      </w:r>
      <w:r>
        <w:rPr>
          <w:color w:val="1A1A1A"/>
        </w:rPr>
        <w:t>mismas.</w:t>
      </w:r>
    </w:p>
    <w:p>
      <w:pPr>
        <w:pStyle w:val="BodyText"/>
        <w:spacing w:before="10"/>
        <w:rPr>
          <w:sz w:val="17"/>
        </w:rPr>
      </w:pPr>
    </w:p>
    <w:p>
      <w:pPr>
        <w:pStyle w:val="BodyText"/>
        <w:ind w:left="2096" w:right="1145" w:firstLine="594"/>
        <w:jc w:val="both"/>
      </w:pPr>
      <w:r>
        <w:rPr>
          <w:color w:val="1A1A1A"/>
        </w:rPr>
        <w:t>Dado que la evolución de las cantidades pendientes de justificar presenta un incremento constante, tal y como se refleja en el siguiente cuadro:</w:t>
      </w:r>
    </w:p>
    <w:p>
      <w:pPr>
        <w:pStyle w:val="BodyText"/>
        <w:spacing w:before="9"/>
        <w:rPr>
          <w:sz w:val="18"/>
        </w:rPr>
      </w:pPr>
    </w:p>
    <w:p>
      <w:pPr>
        <w:spacing w:before="0" w:after="2"/>
        <w:ind w:left="6260" w:right="0" w:firstLine="0"/>
        <w:jc w:val="left"/>
        <w:rPr>
          <w:b/>
          <w:sz w:val="13"/>
        </w:rPr>
      </w:pPr>
      <w:r>
        <w:rPr>
          <w:b/>
          <w:color w:val="1A1A1A"/>
          <w:w w:val="105"/>
          <w:sz w:val="13"/>
        </w:rPr>
        <w:t>Millones de €</w:t>
      </w:r>
    </w:p>
    <w:tbl>
      <w:tblPr>
        <w:tblW w:w="0" w:type="auto"/>
        <w:jc w:val="left"/>
        <w:tblInd w:w="4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4"/>
        <w:gridCol w:w="752"/>
        <w:gridCol w:w="679"/>
        <w:gridCol w:w="743"/>
      </w:tblGrid>
      <w:tr>
        <w:trPr>
          <w:trHeight w:val="323" w:hRule="atLeast"/>
        </w:trPr>
        <w:tc>
          <w:tcPr>
            <w:tcW w:w="694" w:type="dxa"/>
            <w:tcBorders>
              <w:top w:val="single" w:sz="4" w:space="0" w:color="000000"/>
              <w:left w:val="single" w:sz="4" w:space="0" w:color="000000"/>
            </w:tcBorders>
            <w:shd w:val="clear" w:color="auto" w:fill="DEEAF6"/>
          </w:tcPr>
          <w:p>
            <w:pPr>
              <w:pStyle w:val="TableParagraph"/>
              <w:spacing w:before="70"/>
              <w:ind w:right="178"/>
              <w:jc w:val="right"/>
              <w:rPr>
                <w:b/>
                <w:sz w:val="15"/>
              </w:rPr>
            </w:pPr>
            <w:r>
              <w:rPr>
                <w:b/>
                <w:color w:val="1A1A1A"/>
                <w:sz w:val="15"/>
              </w:rPr>
              <w:t>2019</w:t>
            </w:r>
          </w:p>
        </w:tc>
        <w:tc>
          <w:tcPr>
            <w:tcW w:w="752" w:type="dxa"/>
            <w:tcBorders>
              <w:top w:val="single" w:sz="4" w:space="0" w:color="000000"/>
            </w:tcBorders>
            <w:shd w:val="clear" w:color="auto" w:fill="DEEAF6"/>
          </w:tcPr>
          <w:p>
            <w:pPr>
              <w:pStyle w:val="TableParagraph"/>
              <w:spacing w:before="70"/>
              <w:ind w:left="227"/>
              <w:rPr>
                <w:b/>
                <w:sz w:val="15"/>
              </w:rPr>
            </w:pPr>
            <w:r>
              <w:rPr>
                <w:b/>
                <w:color w:val="1A1A1A"/>
                <w:sz w:val="15"/>
              </w:rPr>
              <w:t>2020</w:t>
            </w:r>
          </w:p>
        </w:tc>
        <w:tc>
          <w:tcPr>
            <w:tcW w:w="679" w:type="dxa"/>
            <w:tcBorders>
              <w:top w:val="single" w:sz="4" w:space="0" w:color="000000"/>
            </w:tcBorders>
            <w:shd w:val="clear" w:color="auto" w:fill="DEEAF6"/>
          </w:tcPr>
          <w:p>
            <w:pPr>
              <w:pStyle w:val="TableParagraph"/>
              <w:spacing w:before="70"/>
              <w:ind w:left="149" w:right="145"/>
              <w:jc w:val="center"/>
              <w:rPr>
                <w:b/>
                <w:sz w:val="15"/>
              </w:rPr>
            </w:pPr>
            <w:r>
              <w:rPr>
                <w:b/>
                <w:color w:val="1A1A1A"/>
                <w:sz w:val="15"/>
              </w:rPr>
              <w:t>2021</w:t>
            </w:r>
          </w:p>
        </w:tc>
        <w:tc>
          <w:tcPr>
            <w:tcW w:w="743" w:type="dxa"/>
            <w:tcBorders>
              <w:top w:val="single" w:sz="4" w:space="0" w:color="000000"/>
              <w:right w:val="single" w:sz="4" w:space="0" w:color="000000"/>
            </w:tcBorders>
            <w:shd w:val="clear" w:color="auto" w:fill="DEEAF6"/>
          </w:tcPr>
          <w:p>
            <w:pPr>
              <w:pStyle w:val="TableParagraph"/>
              <w:spacing w:before="70"/>
              <w:ind w:left="34" w:right="8"/>
              <w:jc w:val="center"/>
              <w:rPr>
                <w:b/>
                <w:sz w:val="15"/>
              </w:rPr>
            </w:pPr>
            <w:r>
              <w:rPr>
                <w:b/>
                <w:color w:val="1A1A1A"/>
                <w:sz w:val="15"/>
              </w:rPr>
              <w:t>2022</w:t>
            </w:r>
          </w:p>
        </w:tc>
      </w:tr>
      <w:tr>
        <w:trPr>
          <w:trHeight w:val="260" w:hRule="atLeast"/>
        </w:trPr>
        <w:tc>
          <w:tcPr>
            <w:tcW w:w="694" w:type="dxa"/>
            <w:tcBorders>
              <w:left w:val="single" w:sz="4" w:space="0" w:color="000000"/>
              <w:bottom w:val="single" w:sz="4" w:space="0" w:color="000000"/>
            </w:tcBorders>
          </w:tcPr>
          <w:p>
            <w:pPr>
              <w:pStyle w:val="TableParagraph"/>
              <w:spacing w:before="40"/>
              <w:ind w:right="158"/>
              <w:jc w:val="right"/>
              <w:rPr>
                <w:sz w:val="15"/>
              </w:rPr>
            </w:pPr>
            <w:r>
              <w:rPr>
                <w:sz w:val="15"/>
              </w:rPr>
              <w:t>187,5</w:t>
            </w:r>
          </w:p>
        </w:tc>
        <w:tc>
          <w:tcPr>
            <w:tcW w:w="752" w:type="dxa"/>
            <w:tcBorders>
              <w:bottom w:val="single" w:sz="4" w:space="0" w:color="000000"/>
            </w:tcBorders>
          </w:tcPr>
          <w:p>
            <w:pPr>
              <w:pStyle w:val="TableParagraph"/>
              <w:spacing w:before="40"/>
              <w:ind w:left="168"/>
              <w:rPr>
                <w:sz w:val="15"/>
              </w:rPr>
            </w:pPr>
            <w:r>
              <w:rPr>
                <w:sz w:val="15"/>
              </w:rPr>
              <w:t>227,89</w:t>
            </w:r>
          </w:p>
        </w:tc>
        <w:tc>
          <w:tcPr>
            <w:tcW w:w="679" w:type="dxa"/>
            <w:tcBorders>
              <w:bottom w:val="single" w:sz="4" w:space="0" w:color="000000"/>
            </w:tcBorders>
          </w:tcPr>
          <w:p>
            <w:pPr>
              <w:pStyle w:val="TableParagraph"/>
              <w:spacing w:before="40"/>
              <w:ind w:left="151" w:right="145"/>
              <w:jc w:val="center"/>
              <w:rPr>
                <w:sz w:val="15"/>
              </w:rPr>
            </w:pPr>
            <w:r>
              <w:rPr>
                <w:sz w:val="15"/>
              </w:rPr>
              <w:t>279,7</w:t>
            </w:r>
          </w:p>
        </w:tc>
        <w:tc>
          <w:tcPr>
            <w:tcW w:w="743" w:type="dxa"/>
            <w:tcBorders>
              <w:bottom w:val="single" w:sz="4" w:space="0" w:color="000000"/>
              <w:right w:val="single" w:sz="4" w:space="0" w:color="000000"/>
            </w:tcBorders>
          </w:tcPr>
          <w:p>
            <w:pPr>
              <w:pStyle w:val="TableParagraph"/>
              <w:spacing w:before="40"/>
              <w:ind w:left="34" w:right="7"/>
              <w:jc w:val="center"/>
              <w:rPr>
                <w:sz w:val="15"/>
              </w:rPr>
            </w:pPr>
            <w:r>
              <w:rPr>
                <w:sz w:val="15"/>
              </w:rPr>
              <w:t>286,02</w:t>
            </w:r>
          </w:p>
        </w:tc>
      </w:tr>
    </w:tbl>
    <w:p>
      <w:pPr>
        <w:pStyle w:val="BodyText"/>
        <w:spacing w:before="7"/>
        <w:rPr>
          <w:b/>
          <w:sz w:val="16"/>
        </w:rPr>
      </w:pPr>
    </w:p>
    <w:p>
      <w:pPr>
        <w:pStyle w:val="BodyText"/>
        <w:ind w:left="2096" w:right="1138"/>
        <w:jc w:val="both"/>
      </w:pPr>
      <w:r>
        <w:rPr/>
        <w:t>se hace imprescindible, siendo de especial importancia, la vigilancia del destino de los fondos que corresponde al órgano concedente, debiendo éste, como señala en su informe el órgano de control interno que, en aras de evitar quebrantos a la Hacienda Pública</w:t>
      </w:r>
      <w:r>
        <w:rPr>
          <w:spacing w:val="-4"/>
        </w:rPr>
        <w:t> </w:t>
      </w:r>
      <w:r>
        <w:rPr/>
        <w:t>Canaria,</w:t>
      </w:r>
      <w:r>
        <w:rPr>
          <w:spacing w:val="-2"/>
        </w:rPr>
        <w:t> </w:t>
      </w:r>
      <w:r>
        <w:rPr/>
        <w:t>se</w:t>
      </w:r>
      <w:r>
        <w:rPr>
          <w:spacing w:val="-1"/>
        </w:rPr>
        <w:t> </w:t>
      </w:r>
      <w:r>
        <w:rPr/>
        <w:t>garantice</w:t>
      </w:r>
      <w:r>
        <w:rPr>
          <w:spacing w:val="-4"/>
        </w:rPr>
        <w:t> </w:t>
      </w:r>
      <w:r>
        <w:rPr/>
        <w:t>que</w:t>
      </w:r>
      <w:r>
        <w:rPr>
          <w:spacing w:val="-4"/>
        </w:rPr>
        <w:t> </w:t>
      </w:r>
      <w:r>
        <w:rPr/>
        <w:t>la</w:t>
      </w:r>
      <w:r>
        <w:rPr>
          <w:spacing w:val="-4"/>
        </w:rPr>
        <w:t> </w:t>
      </w:r>
      <w:r>
        <w:rPr/>
        <w:t>labor</w:t>
      </w:r>
      <w:r>
        <w:rPr>
          <w:spacing w:val="-3"/>
        </w:rPr>
        <w:t> </w:t>
      </w:r>
      <w:r>
        <w:rPr/>
        <w:t>de</w:t>
      </w:r>
      <w:r>
        <w:rPr>
          <w:spacing w:val="-2"/>
        </w:rPr>
        <w:t> </w:t>
      </w:r>
      <w:r>
        <w:rPr/>
        <w:t>seguimiento</w:t>
      </w:r>
      <w:r>
        <w:rPr>
          <w:spacing w:val="-4"/>
        </w:rPr>
        <w:t> </w:t>
      </w:r>
      <w:r>
        <w:rPr/>
        <w:t>de</w:t>
      </w:r>
      <w:r>
        <w:rPr>
          <w:spacing w:val="-3"/>
        </w:rPr>
        <w:t> </w:t>
      </w:r>
      <w:r>
        <w:rPr/>
        <w:t>las</w:t>
      </w:r>
      <w:r>
        <w:rPr>
          <w:spacing w:val="-4"/>
        </w:rPr>
        <w:t> </w:t>
      </w:r>
      <w:r>
        <w:rPr/>
        <w:t>justificaciones</w:t>
      </w:r>
      <w:r>
        <w:rPr>
          <w:spacing w:val="-2"/>
        </w:rPr>
        <w:t> </w:t>
      </w:r>
      <w:r>
        <w:rPr/>
        <w:t>se</w:t>
      </w:r>
      <w:r>
        <w:rPr>
          <w:spacing w:val="-1"/>
        </w:rPr>
        <w:t> </w:t>
      </w:r>
      <w:r>
        <w:rPr/>
        <w:t>realice en tiempo y</w:t>
      </w:r>
      <w:r>
        <w:rPr>
          <w:spacing w:val="-1"/>
        </w:rPr>
        <w:t> </w:t>
      </w:r>
      <w:r>
        <w:rPr/>
        <w:t>forma.</w:t>
      </w:r>
    </w:p>
    <w:p>
      <w:pPr>
        <w:pStyle w:val="BodyText"/>
        <w:spacing w:before="5"/>
        <w:rPr>
          <w:sz w:val="17"/>
        </w:rPr>
      </w:pPr>
    </w:p>
    <w:p>
      <w:pPr>
        <w:pStyle w:val="BodyText"/>
        <w:ind w:left="2096" w:right="1139" w:firstLine="594"/>
        <w:jc w:val="both"/>
      </w:pPr>
      <w:r>
        <w:rPr/>
        <w:t>A tal fin debería establecerse por el Gobierno, con carácter imperativo, la obligación</w:t>
      </w:r>
      <w:r>
        <w:rPr>
          <w:spacing w:val="-7"/>
        </w:rPr>
        <w:t> </w:t>
      </w:r>
      <w:r>
        <w:rPr/>
        <w:t>de</w:t>
      </w:r>
      <w:r>
        <w:rPr>
          <w:spacing w:val="-6"/>
        </w:rPr>
        <w:t> </w:t>
      </w:r>
      <w:r>
        <w:rPr/>
        <w:t>aprobación</w:t>
      </w:r>
      <w:r>
        <w:rPr>
          <w:spacing w:val="-6"/>
        </w:rPr>
        <w:t> </w:t>
      </w:r>
      <w:r>
        <w:rPr/>
        <w:t>por</w:t>
      </w:r>
      <w:r>
        <w:rPr>
          <w:spacing w:val="-8"/>
        </w:rPr>
        <w:t> </w:t>
      </w:r>
      <w:r>
        <w:rPr/>
        <w:t>los</w:t>
      </w:r>
      <w:r>
        <w:rPr>
          <w:spacing w:val="-7"/>
        </w:rPr>
        <w:t> </w:t>
      </w:r>
      <w:r>
        <w:rPr/>
        <w:t>órganos</w:t>
      </w:r>
      <w:r>
        <w:rPr>
          <w:spacing w:val="-6"/>
        </w:rPr>
        <w:t> </w:t>
      </w:r>
      <w:r>
        <w:rPr/>
        <w:t>gestores,</w:t>
      </w:r>
      <w:r>
        <w:rPr>
          <w:spacing w:val="-5"/>
        </w:rPr>
        <w:t> </w:t>
      </w:r>
      <w:r>
        <w:rPr/>
        <w:t>en</w:t>
      </w:r>
      <w:r>
        <w:rPr>
          <w:spacing w:val="-7"/>
        </w:rPr>
        <w:t> </w:t>
      </w:r>
      <w:r>
        <w:rPr/>
        <w:t>un</w:t>
      </w:r>
      <w:r>
        <w:rPr>
          <w:spacing w:val="-7"/>
        </w:rPr>
        <w:t> </w:t>
      </w:r>
      <w:r>
        <w:rPr/>
        <w:t>plazo</w:t>
      </w:r>
      <w:r>
        <w:rPr>
          <w:spacing w:val="-8"/>
        </w:rPr>
        <w:t> </w:t>
      </w:r>
      <w:r>
        <w:rPr/>
        <w:t>no</w:t>
      </w:r>
      <w:r>
        <w:rPr>
          <w:spacing w:val="-8"/>
        </w:rPr>
        <w:t> </w:t>
      </w:r>
      <w:r>
        <w:rPr/>
        <w:t>superior</w:t>
      </w:r>
      <w:r>
        <w:rPr>
          <w:spacing w:val="-9"/>
        </w:rPr>
        <w:t> </w:t>
      </w:r>
      <w:r>
        <w:rPr/>
        <w:t>a</w:t>
      </w:r>
      <w:r>
        <w:rPr>
          <w:spacing w:val="-6"/>
        </w:rPr>
        <w:t> </w:t>
      </w:r>
      <w:r>
        <w:rPr/>
        <w:t>tres</w:t>
      </w:r>
      <w:r>
        <w:rPr>
          <w:spacing w:val="-5"/>
        </w:rPr>
        <w:t> </w:t>
      </w:r>
      <w:r>
        <w:rPr/>
        <w:t>meses,</w:t>
      </w:r>
    </w:p>
    <w:p>
      <w:pPr>
        <w:pStyle w:val="BodyText"/>
        <w:spacing w:before="8"/>
        <w:rPr>
          <w:sz w:val="19"/>
        </w:rPr>
      </w:pPr>
      <w:r>
        <w:rPr/>
        <w:pict>
          <v:shape style="position:absolute;margin-left:142.816818pt;margin-top:14.333264pt;width:120.95pt;height:.1pt;mso-position-horizontal-relative:page;mso-position-vertical-relative:paragraph;z-index:-251478016;mso-wrap-distance-left:0;mso-wrap-distance-right:0" coordorigin="2856,287" coordsize="2419,0" path="m2856,287l5275,287e" filled="false" stroked="true" strokeweight=".604535pt" strokecolor="#000000">
            <v:path arrowok="t"/>
            <v:stroke dashstyle="solid"/>
            <w10:wrap type="topAndBottom"/>
          </v:shape>
        </w:pict>
      </w:r>
    </w:p>
    <w:p>
      <w:pPr>
        <w:spacing w:line="252" w:lineRule="auto" w:before="51"/>
        <w:ind w:left="2096" w:right="1201" w:firstLine="0"/>
        <w:jc w:val="left"/>
        <w:rPr>
          <w:sz w:val="16"/>
        </w:rPr>
      </w:pPr>
      <w:r>
        <w:rPr>
          <w:w w:val="105"/>
          <w:position w:val="6"/>
          <w:sz w:val="11"/>
        </w:rPr>
        <w:t>15 </w:t>
      </w:r>
      <w:r>
        <w:rPr>
          <w:w w:val="105"/>
          <w:sz w:val="16"/>
        </w:rPr>
        <w:t>Considerando el importe pendiente de justificar por subvenciones concedidas por OOAA, el importe se eleva a 599.029.563,65 euros.</w:t>
      </w:r>
    </w:p>
    <w:p>
      <w:pPr>
        <w:pStyle w:val="BodyText"/>
        <w:spacing w:line="237" w:lineRule="exact"/>
        <w:ind w:left="7897"/>
        <w:jc w:val="center"/>
      </w:pPr>
      <w:r>
        <w:rPr/>
        <w:t>62</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35" name="image5.png"/>
                  <wp:cNvGraphicFramePr>
                    <a:graphicFrameLocks noChangeAspect="1"/>
                  </wp:cNvGraphicFramePr>
                  <a:graphic>
                    <a:graphicData uri="http://schemas.openxmlformats.org/drawingml/2006/picture">
                      <pic:pic>
                        <pic:nvPicPr>
                          <pic:cNvPr id="13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64/247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096" w:right="510"/>
      </w:pPr>
      <w:r>
        <w:rPr/>
        <w:t>de planes de comprobación en los que se aborde la verificación de las subvenciones, seleccionando prioritariamente las que mayor riesgo de prescripción soportan.</w:t>
      </w:r>
    </w:p>
    <w:p>
      <w:pPr>
        <w:pStyle w:val="BodyText"/>
        <w:spacing w:before="10"/>
        <w:rPr>
          <w:sz w:val="16"/>
        </w:rPr>
      </w:pPr>
    </w:p>
    <w:p>
      <w:pPr>
        <w:pStyle w:val="Heading1"/>
        <w:numPr>
          <w:ilvl w:val="2"/>
          <w:numId w:val="10"/>
        </w:numPr>
        <w:tabs>
          <w:tab w:pos="2691" w:val="left" w:leader="none"/>
        </w:tabs>
        <w:spacing w:line="240" w:lineRule="auto" w:before="0" w:after="0"/>
        <w:ind w:left="2690" w:right="1145" w:hanging="605"/>
        <w:jc w:val="both"/>
      </w:pPr>
      <w:r>
        <w:rPr>
          <w:color w:val="53A1B9"/>
        </w:rPr>
        <w:t>Cumplimiento de Disposiciones Adicionales de la Ley 6/2021, de 28 de diciembre,</w:t>
      </w:r>
      <w:r>
        <w:rPr>
          <w:color w:val="53A1B9"/>
          <w:spacing w:val="-8"/>
        </w:rPr>
        <w:t> </w:t>
      </w:r>
      <w:r>
        <w:rPr>
          <w:color w:val="53A1B9"/>
        </w:rPr>
        <w:t>de</w:t>
      </w:r>
      <w:r>
        <w:rPr>
          <w:color w:val="53A1B9"/>
          <w:spacing w:val="-3"/>
        </w:rPr>
        <w:t> </w:t>
      </w:r>
      <w:r>
        <w:rPr>
          <w:color w:val="53A1B9"/>
        </w:rPr>
        <w:t>Presupuestos</w:t>
      </w:r>
      <w:r>
        <w:rPr>
          <w:color w:val="53A1B9"/>
          <w:spacing w:val="-5"/>
        </w:rPr>
        <w:t> </w:t>
      </w:r>
      <w:r>
        <w:rPr>
          <w:color w:val="53A1B9"/>
        </w:rPr>
        <w:t>Generales</w:t>
      </w:r>
      <w:r>
        <w:rPr>
          <w:color w:val="53A1B9"/>
          <w:spacing w:val="-5"/>
        </w:rPr>
        <w:t> </w:t>
      </w:r>
      <w:r>
        <w:rPr>
          <w:color w:val="53A1B9"/>
        </w:rPr>
        <w:t>de</w:t>
      </w:r>
      <w:r>
        <w:rPr>
          <w:color w:val="53A1B9"/>
          <w:spacing w:val="-6"/>
        </w:rPr>
        <w:t> </w:t>
      </w:r>
      <w:r>
        <w:rPr>
          <w:color w:val="53A1B9"/>
        </w:rPr>
        <w:t>la</w:t>
      </w:r>
      <w:r>
        <w:rPr>
          <w:color w:val="53A1B9"/>
          <w:spacing w:val="-4"/>
        </w:rPr>
        <w:t> </w:t>
      </w:r>
      <w:r>
        <w:rPr>
          <w:color w:val="53A1B9"/>
        </w:rPr>
        <w:t>Comunidad</w:t>
      </w:r>
      <w:r>
        <w:rPr>
          <w:color w:val="53A1B9"/>
          <w:spacing w:val="-7"/>
        </w:rPr>
        <w:t> </w:t>
      </w:r>
      <w:r>
        <w:rPr>
          <w:color w:val="53A1B9"/>
        </w:rPr>
        <w:t>Autónoma</w:t>
      </w:r>
      <w:r>
        <w:rPr>
          <w:color w:val="53A1B9"/>
          <w:spacing w:val="-6"/>
        </w:rPr>
        <w:t> </w:t>
      </w:r>
      <w:r>
        <w:rPr>
          <w:color w:val="53A1B9"/>
        </w:rPr>
        <w:t>de</w:t>
      </w:r>
      <w:r>
        <w:rPr>
          <w:color w:val="53A1B9"/>
          <w:spacing w:val="-4"/>
        </w:rPr>
        <w:t> </w:t>
      </w:r>
      <w:r>
        <w:rPr>
          <w:color w:val="53A1B9"/>
        </w:rPr>
        <w:t>Canarias para 2022.</w:t>
      </w:r>
    </w:p>
    <w:p>
      <w:pPr>
        <w:pStyle w:val="BodyText"/>
        <w:spacing w:before="11"/>
        <w:rPr>
          <w:b/>
          <w:sz w:val="16"/>
        </w:rPr>
      </w:pPr>
    </w:p>
    <w:p>
      <w:pPr>
        <w:tabs>
          <w:tab w:pos="2700" w:val="left" w:leader="none"/>
        </w:tabs>
        <w:spacing w:before="0"/>
        <w:ind w:left="2398" w:right="0" w:firstLine="0"/>
        <w:jc w:val="left"/>
        <w:rPr>
          <w:b/>
          <w:sz w:val="20"/>
        </w:rPr>
      </w:pPr>
      <w:r>
        <w:rPr>
          <w:sz w:val="20"/>
        </w:rPr>
        <w:t>-</w:t>
        <w:tab/>
      </w:r>
      <w:r>
        <w:rPr>
          <w:b/>
          <w:sz w:val="20"/>
        </w:rPr>
        <w:t>Disposición Adicional trigésima séptima sobre Plan contra el fracaso</w:t>
      </w:r>
      <w:r>
        <w:rPr>
          <w:b/>
          <w:spacing w:val="2"/>
          <w:sz w:val="20"/>
        </w:rPr>
        <w:t> </w:t>
      </w:r>
      <w:r>
        <w:rPr>
          <w:b/>
          <w:sz w:val="20"/>
        </w:rPr>
        <w:t>escolar.</w:t>
      </w:r>
    </w:p>
    <w:p>
      <w:pPr>
        <w:pStyle w:val="BodyText"/>
        <w:spacing w:before="8"/>
        <w:rPr>
          <w:b/>
          <w:sz w:val="16"/>
        </w:rPr>
      </w:pPr>
    </w:p>
    <w:p>
      <w:pPr>
        <w:pStyle w:val="BodyText"/>
        <w:ind w:left="2398"/>
        <w:jc w:val="both"/>
      </w:pPr>
      <w:r>
        <w:rPr/>
        <w:t>La citada disposición adicional establece:</w:t>
      </w:r>
    </w:p>
    <w:p>
      <w:pPr>
        <w:pStyle w:val="BodyText"/>
        <w:spacing w:before="8"/>
        <w:rPr>
          <w:sz w:val="16"/>
        </w:rPr>
      </w:pPr>
    </w:p>
    <w:p>
      <w:pPr>
        <w:spacing w:line="242" w:lineRule="auto" w:before="0"/>
        <w:ind w:left="2398" w:right="1141" w:firstLine="0"/>
        <w:jc w:val="both"/>
        <w:rPr>
          <w:i/>
          <w:sz w:val="20"/>
        </w:rPr>
      </w:pPr>
      <w:r>
        <w:rPr>
          <w:i/>
          <w:sz w:val="20"/>
        </w:rPr>
        <w:t>“El</w:t>
      </w:r>
      <w:r>
        <w:rPr>
          <w:i/>
          <w:spacing w:val="-2"/>
          <w:sz w:val="20"/>
        </w:rPr>
        <w:t> </w:t>
      </w:r>
      <w:r>
        <w:rPr>
          <w:i/>
          <w:sz w:val="20"/>
        </w:rPr>
        <w:t>Gobierno</w:t>
      </w:r>
      <w:r>
        <w:rPr>
          <w:i/>
          <w:spacing w:val="-3"/>
          <w:sz w:val="20"/>
        </w:rPr>
        <w:t> </w:t>
      </w:r>
      <w:r>
        <w:rPr>
          <w:i/>
          <w:sz w:val="20"/>
        </w:rPr>
        <w:t>aprobará</w:t>
      </w:r>
      <w:r>
        <w:rPr>
          <w:i/>
          <w:spacing w:val="-2"/>
          <w:sz w:val="20"/>
        </w:rPr>
        <w:t> </w:t>
      </w:r>
      <w:r>
        <w:rPr>
          <w:i/>
          <w:sz w:val="20"/>
        </w:rPr>
        <w:t>un</w:t>
      </w:r>
      <w:r>
        <w:rPr>
          <w:i/>
          <w:spacing w:val="-3"/>
          <w:sz w:val="20"/>
        </w:rPr>
        <w:t> </w:t>
      </w:r>
      <w:r>
        <w:rPr>
          <w:i/>
          <w:sz w:val="20"/>
        </w:rPr>
        <w:t>Plan</w:t>
      </w:r>
      <w:r>
        <w:rPr>
          <w:i/>
          <w:spacing w:val="-2"/>
          <w:sz w:val="20"/>
        </w:rPr>
        <w:t> </w:t>
      </w:r>
      <w:r>
        <w:rPr>
          <w:i/>
          <w:sz w:val="20"/>
        </w:rPr>
        <w:t>contra</w:t>
      </w:r>
      <w:r>
        <w:rPr>
          <w:i/>
          <w:spacing w:val="-4"/>
          <w:sz w:val="20"/>
        </w:rPr>
        <w:t> </w:t>
      </w:r>
      <w:r>
        <w:rPr>
          <w:i/>
          <w:sz w:val="20"/>
        </w:rPr>
        <w:t>el</w:t>
      </w:r>
      <w:r>
        <w:rPr>
          <w:i/>
          <w:spacing w:val="-2"/>
          <w:sz w:val="20"/>
        </w:rPr>
        <w:t> </w:t>
      </w:r>
      <w:r>
        <w:rPr>
          <w:i/>
          <w:sz w:val="20"/>
        </w:rPr>
        <w:t>Fracaso</w:t>
      </w:r>
      <w:r>
        <w:rPr>
          <w:i/>
          <w:spacing w:val="-4"/>
          <w:sz w:val="20"/>
        </w:rPr>
        <w:t> </w:t>
      </w:r>
      <w:r>
        <w:rPr>
          <w:i/>
          <w:sz w:val="20"/>
        </w:rPr>
        <w:t>Escolar</w:t>
      </w:r>
      <w:r>
        <w:rPr>
          <w:i/>
          <w:spacing w:val="-3"/>
          <w:sz w:val="20"/>
        </w:rPr>
        <w:t> </w:t>
      </w:r>
      <w:r>
        <w:rPr>
          <w:i/>
          <w:sz w:val="20"/>
        </w:rPr>
        <w:t>cuyo</w:t>
      </w:r>
      <w:r>
        <w:rPr>
          <w:i/>
          <w:spacing w:val="-3"/>
          <w:sz w:val="20"/>
        </w:rPr>
        <w:t> </w:t>
      </w:r>
      <w:r>
        <w:rPr>
          <w:i/>
          <w:sz w:val="20"/>
        </w:rPr>
        <w:t>objetivo</w:t>
      </w:r>
      <w:r>
        <w:rPr>
          <w:i/>
          <w:spacing w:val="-4"/>
          <w:sz w:val="20"/>
        </w:rPr>
        <w:t> </w:t>
      </w:r>
      <w:r>
        <w:rPr>
          <w:i/>
          <w:sz w:val="20"/>
        </w:rPr>
        <w:t>será</w:t>
      </w:r>
      <w:r>
        <w:rPr>
          <w:i/>
          <w:spacing w:val="-3"/>
          <w:sz w:val="20"/>
        </w:rPr>
        <w:t> </w:t>
      </w:r>
      <w:r>
        <w:rPr>
          <w:i/>
          <w:sz w:val="20"/>
        </w:rPr>
        <w:t>reducir</w:t>
      </w:r>
      <w:r>
        <w:rPr>
          <w:i/>
          <w:spacing w:val="-2"/>
          <w:sz w:val="20"/>
        </w:rPr>
        <w:t> </w:t>
      </w:r>
      <w:r>
        <w:rPr>
          <w:i/>
          <w:sz w:val="20"/>
        </w:rPr>
        <w:t>la </w:t>
      </w:r>
      <w:r>
        <w:rPr>
          <w:i/>
          <w:sz w:val="20"/>
        </w:rPr>
        <w:t>tasa</w:t>
      </w:r>
      <w:r>
        <w:rPr>
          <w:i/>
          <w:spacing w:val="-5"/>
          <w:sz w:val="20"/>
        </w:rPr>
        <w:t> </w:t>
      </w:r>
      <w:r>
        <w:rPr>
          <w:i/>
          <w:sz w:val="20"/>
        </w:rPr>
        <w:t>de</w:t>
      </w:r>
      <w:r>
        <w:rPr>
          <w:i/>
          <w:spacing w:val="-6"/>
          <w:sz w:val="20"/>
        </w:rPr>
        <w:t> </w:t>
      </w:r>
      <w:r>
        <w:rPr>
          <w:i/>
          <w:sz w:val="20"/>
        </w:rPr>
        <w:t>fracaso</w:t>
      </w:r>
      <w:r>
        <w:rPr>
          <w:i/>
          <w:spacing w:val="-5"/>
          <w:sz w:val="20"/>
        </w:rPr>
        <w:t> </w:t>
      </w:r>
      <w:r>
        <w:rPr>
          <w:i/>
          <w:sz w:val="20"/>
        </w:rPr>
        <w:t>escolar</w:t>
      </w:r>
      <w:r>
        <w:rPr>
          <w:i/>
          <w:spacing w:val="-5"/>
          <w:sz w:val="20"/>
        </w:rPr>
        <w:t> </w:t>
      </w:r>
      <w:r>
        <w:rPr>
          <w:i/>
          <w:sz w:val="20"/>
        </w:rPr>
        <w:t>y</w:t>
      </w:r>
      <w:r>
        <w:rPr>
          <w:i/>
          <w:spacing w:val="-8"/>
          <w:sz w:val="20"/>
        </w:rPr>
        <w:t> </w:t>
      </w:r>
      <w:r>
        <w:rPr>
          <w:i/>
          <w:sz w:val="20"/>
        </w:rPr>
        <w:t>lo</w:t>
      </w:r>
      <w:r>
        <w:rPr>
          <w:i/>
          <w:spacing w:val="-5"/>
          <w:sz w:val="20"/>
        </w:rPr>
        <w:t> </w:t>
      </w:r>
      <w:r>
        <w:rPr>
          <w:i/>
          <w:sz w:val="20"/>
        </w:rPr>
        <w:t>dotará</w:t>
      </w:r>
      <w:r>
        <w:rPr>
          <w:i/>
          <w:spacing w:val="-6"/>
          <w:sz w:val="20"/>
        </w:rPr>
        <w:t> </w:t>
      </w:r>
      <w:r>
        <w:rPr>
          <w:i/>
          <w:sz w:val="20"/>
        </w:rPr>
        <w:t>de</w:t>
      </w:r>
      <w:r>
        <w:rPr>
          <w:i/>
          <w:spacing w:val="-4"/>
          <w:sz w:val="20"/>
        </w:rPr>
        <w:t> </w:t>
      </w:r>
      <w:r>
        <w:rPr>
          <w:i/>
          <w:sz w:val="20"/>
        </w:rPr>
        <w:t>los</w:t>
      </w:r>
      <w:r>
        <w:rPr>
          <w:i/>
          <w:spacing w:val="-4"/>
          <w:sz w:val="20"/>
        </w:rPr>
        <w:t> </w:t>
      </w:r>
      <w:r>
        <w:rPr>
          <w:i/>
          <w:sz w:val="20"/>
        </w:rPr>
        <w:t>suficientes</w:t>
      </w:r>
      <w:r>
        <w:rPr>
          <w:i/>
          <w:spacing w:val="-4"/>
          <w:sz w:val="20"/>
        </w:rPr>
        <w:t> </w:t>
      </w:r>
      <w:r>
        <w:rPr>
          <w:i/>
          <w:sz w:val="20"/>
        </w:rPr>
        <w:t>recursos</w:t>
      </w:r>
      <w:r>
        <w:rPr>
          <w:i/>
          <w:spacing w:val="-4"/>
          <w:sz w:val="20"/>
        </w:rPr>
        <w:t> </w:t>
      </w:r>
      <w:r>
        <w:rPr>
          <w:i/>
          <w:sz w:val="20"/>
        </w:rPr>
        <w:t>económicos</w:t>
      </w:r>
      <w:r>
        <w:rPr>
          <w:i/>
          <w:spacing w:val="-4"/>
          <w:sz w:val="20"/>
        </w:rPr>
        <w:t> </w:t>
      </w:r>
      <w:r>
        <w:rPr>
          <w:i/>
          <w:sz w:val="20"/>
        </w:rPr>
        <w:t>para</w:t>
      </w:r>
      <w:r>
        <w:rPr>
          <w:i/>
          <w:spacing w:val="-6"/>
          <w:sz w:val="20"/>
        </w:rPr>
        <w:t> </w:t>
      </w:r>
      <w:r>
        <w:rPr>
          <w:i/>
          <w:sz w:val="20"/>
        </w:rPr>
        <w:t>lograr dicho objetivo.</w:t>
      </w:r>
    </w:p>
    <w:p>
      <w:pPr>
        <w:pStyle w:val="BodyText"/>
        <w:spacing w:before="6"/>
        <w:rPr>
          <w:i/>
          <w:sz w:val="16"/>
        </w:rPr>
      </w:pPr>
    </w:p>
    <w:p>
      <w:pPr>
        <w:spacing w:before="0"/>
        <w:ind w:left="2398" w:right="1138" w:firstLine="46"/>
        <w:jc w:val="both"/>
        <w:rPr>
          <w:i/>
          <w:sz w:val="20"/>
        </w:rPr>
      </w:pPr>
      <w:r>
        <w:rPr>
          <w:i/>
          <w:sz w:val="20"/>
        </w:rPr>
        <w:t>El plan velará especial atención a las desigualdades existentes entre el alumnado </w:t>
      </w:r>
      <w:r>
        <w:rPr>
          <w:i/>
          <w:sz w:val="20"/>
        </w:rPr>
        <w:t>que influyen en el rendimiento educativo y sean consecuencia del riesgo de exclusión social y/o su origen o el de sus padres, madres o tutores.</w:t>
      </w:r>
    </w:p>
    <w:p>
      <w:pPr>
        <w:pStyle w:val="BodyText"/>
        <w:spacing w:before="11"/>
        <w:rPr>
          <w:i/>
          <w:sz w:val="16"/>
        </w:rPr>
      </w:pPr>
    </w:p>
    <w:p>
      <w:pPr>
        <w:spacing w:before="1"/>
        <w:ind w:left="2398" w:right="1142" w:firstLine="0"/>
        <w:jc w:val="both"/>
        <w:rPr>
          <w:i/>
          <w:sz w:val="20"/>
        </w:rPr>
      </w:pPr>
      <w:r>
        <w:rPr>
          <w:i/>
          <w:sz w:val="20"/>
        </w:rPr>
        <w:t>El</w:t>
      </w:r>
      <w:r>
        <w:rPr>
          <w:i/>
          <w:spacing w:val="-9"/>
          <w:sz w:val="20"/>
        </w:rPr>
        <w:t> </w:t>
      </w:r>
      <w:r>
        <w:rPr>
          <w:i/>
          <w:sz w:val="20"/>
        </w:rPr>
        <w:t>plan</w:t>
      </w:r>
      <w:r>
        <w:rPr>
          <w:i/>
          <w:spacing w:val="-10"/>
          <w:sz w:val="20"/>
        </w:rPr>
        <w:t> </w:t>
      </w:r>
      <w:r>
        <w:rPr>
          <w:i/>
          <w:sz w:val="20"/>
        </w:rPr>
        <w:t>incluirá</w:t>
      </w:r>
      <w:r>
        <w:rPr>
          <w:i/>
          <w:spacing w:val="-10"/>
          <w:sz w:val="20"/>
        </w:rPr>
        <w:t> </w:t>
      </w:r>
      <w:r>
        <w:rPr>
          <w:i/>
          <w:sz w:val="20"/>
        </w:rPr>
        <w:t>medidas</w:t>
      </w:r>
      <w:r>
        <w:rPr>
          <w:i/>
          <w:spacing w:val="-8"/>
          <w:sz w:val="20"/>
        </w:rPr>
        <w:t> </w:t>
      </w:r>
      <w:r>
        <w:rPr>
          <w:i/>
          <w:sz w:val="20"/>
        </w:rPr>
        <w:t>de</w:t>
      </w:r>
      <w:r>
        <w:rPr>
          <w:i/>
          <w:spacing w:val="-9"/>
          <w:sz w:val="20"/>
        </w:rPr>
        <w:t> </w:t>
      </w:r>
      <w:r>
        <w:rPr>
          <w:i/>
          <w:sz w:val="20"/>
        </w:rPr>
        <w:t>refuerzo</w:t>
      </w:r>
      <w:r>
        <w:rPr>
          <w:i/>
          <w:spacing w:val="-10"/>
          <w:sz w:val="20"/>
        </w:rPr>
        <w:t> </w:t>
      </w:r>
      <w:r>
        <w:rPr>
          <w:i/>
          <w:sz w:val="20"/>
        </w:rPr>
        <w:t>y</w:t>
      </w:r>
      <w:r>
        <w:rPr>
          <w:i/>
          <w:spacing w:val="-8"/>
          <w:sz w:val="20"/>
        </w:rPr>
        <w:t> </w:t>
      </w:r>
      <w:r>
        <w:rPr>
          <w:i/>
          <w:sz w:val="20"/>
        </w:rPr>
        <w:t>orientación</w:t>
      </w:r>
      <w:r>
        <w:rPr>
          <w:i/>
          <w:spacing w:val="-10"/>
          <w:sz w:val="20"/>
        </w:rPr>
        <w:t> </w:t>
      </w:r>
      <w:r>
        <w:rPr>
          <w:i/>
          <w:sz w:val="20"/>
        </w:rPr>
        <w:t>educativa</w:t>
      </w:r>
      <w:r>
        <w:rPr>
          <w:i/>
          <w:spacing w:val="-10"/>
          <w:sz w:val="20"/>
        </w:rPr>
        <w:t> </w:t>
      </w:r>
      <w:r>
        <w:rPr>
          <w:i/>
          <w:sz w:val="20"/>
        </w:rPr>
        <w:t>especializada</w:t>
      </w:r>
      <w:r>
        <w:rPr>
          <w:i/>
          <w:spacing w:val="-10"/>
          <w:sz w:val="20"/>
        </w:rPr>
        <w:t> </w:t>
      </w:r>
      <w:r>
        <w:rPr>
          <w:i/>
          <w:sz w:val="20"/>
        </w:rPr>
        <w:t>y</w:t>
      </w:r>
      <w:r>
        <w:rPr>
          <w:i/>
          <w:spacing w:val="-8"/>
          <w:sz w:val="20"/>
        </w:rPr>
        <w:t> </w:t>
      </w:r>
      <w:r>
        <w:rPr>
          <w:i/>
          <w:sz w:val="20"/>
        </w:rPr>
        <w:t>adaptada </w:t>
      </w:r>
      <w:r>
        <w:rPr>
          <w:i/>
          <w:sz w:val="20"/>
        </w:rPr>
        <w:t>a la situación de partida del alumnado, contando con la implicación de sus familias y atendiendo a sus circunstancias</w:t>
      </w:r>
      <w:r>
        <w:rPr>
          <w:i/>
          <w:spacing w:val="2"/>
          <w:sz w:val="20"/>
        </w:rPr>
        <w:t> </w:t>
      </w:r>
      <w:r>
        <w:rPr>
          <w:i/>
          <w:sz w:val="20"/>
        </w:rPr>
        <w:t>sociales.”</w:t>
      </w:r>
    </w:p>
    <w:p>
      <w:pPr>
        <w:pStyle w:val="BodyText"/>
        <w:spacing w:before="11"/>
        <w:rPr>
          <w:i/>
          <w:sz w:val="16"/>
        </w:rPr>
      </w:pPr>
    </w:p>
    <w:p>
      <w:pPr>
        <w:pStyle w:val="BodyText"/>
        <w:spacing w:line="242" w:lineRule="auto"/>
        <w:ind w:left="2398" w:right="1144"/>
        <w:jc w:val="both"/>
      </w:pPr>
      <w:r>
        <w:rPr/>
        <w:t>En consonancia con lo establecido en dicha DA, diversos programas presupuestarios recogen en sus memorias objetivos tendentes a su consecución, entre ellos:</w:t>
      </w:r>
    </w:p>
    <w:p>
      <w:pPr>
        <w:pStyle w:val="BodyText"/>
        <w:spacing w:before="5"/>
        <w:rPr>
          <w:sz w:val="16"/>
        </w:rPr>
      </w:pPr>
    </w:p>
    <w:p>
      <w:pPr>
        <w:pStyle w:val="BodyText"/>
        <w:ind w:left="2398"/>
        <w:jc w:val="both"/>
      </w:pPr>
      <w:r>
        <w:rPr/>
        <w:t>321A Dirección Administrativa y Servicios Generales.</w:t>
      </w:r>
    </w:p>
    <w:p>
      <w:pPr>
        <w:pStyle w:val="BodyText"/>
        <w:spacing w:before="8"/>
        <w:rPr>
          <w:sz w:val="16"/>
        </w:rPr>
      </w:pPr>
    </w:p>
    <w:p>
      <w:pPr>
        <w:pStyle w:val="BodyText"/>
        <w:spacing w:line="242" w:lineRule="auto"/>
        <w:ind w:left="2398" w:right="1140"/>
        <w:jc w:val="both"/>
      </w:pPr>
      <w:r>
        <w:rPr/>
        <w:t>Incorporación de medidas y actuaciones precisas para proporcionar respuestas diferenciadas</w:t>
      </w:r>
      <w:r>
        <w:rPr>
          <w:spacing w:val="-5"/>
        </w:rPr>
        <w:t> </w:t>
      </w:r>
      <w:r>
        <w:rPr/>
        <w:t>y</w:t>
      </w:r>
      <w:r>
        <w:rPr>
          <w:spacing w:val="-6"/>
        </w:rPr>
        <w:t> </w:t>
      </w:r>
      <w:r>
        <w:rPr/>
        <w:t>ajustadas</w:t>
      </w:r>
      <w:r>
        <w:rPr>
          <w:spacing w:val="-7"/>
        </w:rPr>
        <w:t> </w:t>
      </w:r>
      <w:r>
        <w:rPr/>
        <w:t>a</w:t>
      </w:r>
      <w:r>
        <w:rPr>
          <w:spacing w:val="-5"/>
        </w:rPr>
        <w:t> </w:t>
      </w:r>
      <w:r>
        <w:rPr/>
        <w:t>las</w:t>
      </w:r>
      <w:r>
        <w:rPr>
          <w:spacing w:val="-5"/>
        </w:rPr>
        <w:t> </w:t>
      </w:r>
      <w:r>
        <w:rPr/>
        <w:t>características</w:t>
      </w:r>
      <w:r>
        <w:rPr>
          <w:spacing w:val="-5"/>
        </w:rPr>
        <w:t> </w:t>
      </w:r>
      <w:r>
        <w:rPr/>
        <w:t>de</w:t>
      </w:r>
      <w:r>
        <w:rPr>
          <w:spacing w:val="-4"/>
        </w:rPr>
        <w:t> </w:t>
      </w:r>
      <w:r>
        <w:rPr/>
        <w:t>cada</w:t>
      </w:r>
      <w:r>
        <w:rPr>
          <w:spacing w:val="-5"/>
        </w:rPr>
        <w:t> </w:t>
      </w:r>
      <w:r>
        <w:rPr/>
        <w:t>alumno</w:t>
      </w:r>
      <w:r>
        <w:rPr>
          <w:spacing w:val="-5"/>
        </w:rPr>
        <w:t> </w:t>
      </w:r>
      <w:r>
        <w:rPr/>
        <w:t>o</w:t>
      </w:r>
      <w:r>
        <w:rPr>
          <w:spacing w:val="-5"/>
        </w:rPr>
        <w:t> </w:t>
      </w:r>
      <w:r>
        <w:rPr/>
        <w:t>alumna,</w:t>
      </w:r>
      <w:r>
        <w:rPr>
          <w:spacing w:val="-5"/>
        </w:rPr>
        <w:t> </w:t>
      </w:r>
      <w:r>
        <w:rPr/>
        <w:t>teniendo</w:t>
      </w:r>
      <w:r>
        <w:rPr>
          <w:spacing w:val="-4"/>
        </w:rPr>
        <w:t> </w:t>
      </w:r>
      <w:r>
        <w:rPr/>
        <w:t>en cuenta sus diferentes capacidades, ritmos y estilos de aprendizaje, motivaciones e intereses,</w:t>
      </w:r>
      <w:r>
        <w:rPr>
          <w:spacing w:val="-9"/>
        </w:rPr>
        <w:t> </w:t>
      </w:r>
      <w:r>
        <w:rPr/>
        <w:t>situaciones</w:t>
      </w:r>
      <w:r>
        <w:rPr>
          <w:spacing w:val="-7"/>
        </w:rPr>
        <w:t> </w:t>
      </w:r>
      <w:r>
        <w:rPr/>
        <w:t>sociales</w:t>
      </w:r>
      <w:r>
        <w:rPr>
          <w:spacing w:val="-9"/>
        </w:rPr>
        <w:t> </w:t>
      </w:r>
      <w:r>
        <w:rPr/>
        <w:t>y</w:t>
      </w:r>
      <w:r>
        <w:rPr>
          <w:spacing w:val="-8"/>
        </w:rPr>
        <w:t> </w:t>
      </w:r>
      <w:r>
        <w:rPr/>
        <w:t>económicas,</w:t>
      </w:r>
      <w:r>
        <w:rPr>
          <w:spacing w:val="-8"/>
        </w:rPr>
        <w:t> </w:t>
      </w:r>
      <w:r>
        <w:rPr/>
        <w:t>culturales,</w:t>
      </w:r>
      <w:r>
        <w:rPr>
          <w:spacing w:val="-8"/>
        </w:rPr>
        <w:t> </w:t>
      </w:r>
      <w:r>
        <w:rPr/>
        <w:t>lingüísticas</w:t>
      </w:r>
      <w:r>
        <w:rPr>
          <w:spacing w:val="-7"/>
        </w:rPr>
        <w:t> </w:t>
      </w:r>
      <w:r>
        <w:rPr/>
        <w:t>y</w:t>
      </w:r>
      <w:r>
        <w:rPr>
          <w:spacing w:val="-9"/>
        </w:rPr>
        <w:t> </w:t>
      </w:r>
      <w:r>
        <w:rPr/>
        <w:t>de</w:t>
      </w:r>
      <w:r>
        <w:rPr>
          <w:spacing w:val="-7"/>
        </w:rPr>
        <w:t> </w:t>
      </w:r>
      <w:r>
        <w:rPr/>
        <w:t>salud</w:t>
      </w:r>
      <w:r>
        <w:rPr>
          <w:spacing w:val="-8"/>
        </w:rPr>
        <w:t> </w:t>
      </w:r>
      <w:r>
        <w:rPr/>
        <w:t>y</w:t>
      </w:r>
      <w:r>
        <w:rPr>
          <w:spacing w:val="-8"/>
        </w:rPr>
        <w:t> </w:t>
      </w:r>
      <w:r>
        <w:rPr/>
        <w:t>a</w:t>
      </w:r>
      <w:r>
        <w:rPr>
          <w:spacing w:val="-7"/>
        </w:rPr>
        <w:t> </w:t>
      </w:r>
      <w:r>
        <w:rPr/>
        <w:t>sus necesidades educativas, de manera que faciliten la prevención del absentismo y del abandono escolar temprano.</w:t>
      </w:r>
    </w:p>
    <w:p>
      <w:pPr>
        <w:pStyle w:val="BodyText"/>
        <w:spacing w:before="3"/>
        <w:rPr>
          <w:sz w:val="16"/>
        </w:rPr>
      </w:pPr>
    </w:p>
    <w:p>
      <w:pPr>
        <w:pStyle w:val="BodyText"/>
        <w:spacing w:before="1"/>
        <w:ind w:left="2398"/>
        <w:jc w:val="both"/>
      </w:pPr>
      <w:r>
        <w:rPr/>
        <w:t>322B Educación Infantil, Primaria y 1ª Ciclo de ESO.</w:t>
      </w:r>
    </w:p>
    <w:p>
      <w:pPr>
        <w:pStyle w:val="BodyText"/>
        <w:spacing w:before="8"/>
        <w:rPr>
          <w:sz w:val="16"/>
        </w:rPr>
      </w:pPr>
    </w:p>
    <w:p>
      <w:pPr>
        <w:pStyle w:val="BodyText"/>
        <w:ind w:left="2398" w:right="1140"/>
        <w:jc w:val="both"/>
      </w:pPr>
      <w:r>
        <w:rPr/>
        <w:t>Favorecer</w:t>
      </w:r>
      <w:r>
        <w:rPr>
          <w:spacing w:val="-4"/>
        </w:rPr>
        <w:t> </w:t>
      </w:r>
      <w:r>
        <w:rPr/>
        <w:t>el</w:t>
      </w:r>
      <w:r>
        <w:rPr>
          <w:spacing w:val="-3"/>
        </w:rPr>
        <w:t> </w:t>
      </w:r>
      <w:r>
        <w:rPr/>
        <w:t>éxito</w:t>
      </w:r>
      <w:r>
        <w:rPr>
          <w:spacing w:val="-4"/>
        </w:rPr>
        <w:t> </w:t>
      </w:r>
      <w:r>
        <w:rPr/>
        <w:t>escolar</w:t>
      </w:r>
      <w:r>
        <w:rPr>
          <w:spacing w:val="-1"/>
        </w:rPr>
        <w:t> </w:t>
      </w:r>
      <w:r>
        <w:rPr/>
        <w:t>del</w:t>
      </w:r>
      <w:r>
        <w:rPr>
          <w:spacing w:val="-3"/>
        </w:rPr>
        <w:t> </w:t>
      </w:r>
      <w:r>
        <w:rPr/>
        <w:t>alumnado</w:t>
      </w:r>
      <w:r>
        <w:rPr>
          <w:spacing w:val="-4"/>
        </w:rPr>
        <w:t> </w:t>
      </w:r>
      <w:r>
        <w:rPr/>
        <w:t>en</w:t>
      </w:r>
      <w:r>
        <w:rPr>
          <w:spacing w:val="-2"/>
        </w:rPr>
        <w:t> </w:t>
      </w:r>
      <w:r>
        <w:rPr/>
        <w:t>su</w:t>
      </w:r>
      <w:r>
        <w:rPr>
          <w:spacing w:val="-4"/>
        </w:rPr>
        <w:t> </w:t>
      </w:r>
      <w:r>
        <w:rPr/>
        <w:t>tránsito</w:t>
      </w:r>
      <w:r>
        <w:rPr>
          <w:spacing w:val="-3"/>
        </w:rPr>
        <w:t> </w:t>
      </w:r>
      <w:r>
        <w:rPr/>
        <w:t>entre</w:t>
      </w:r>
      <w:r>
        <w:rPr>
          <w:spacing w:val="-1"/>
        </w:rPr>
        <w:t> </w:t>
      </w:r>
      <w:r>
        <w:rPr/>
        <w:t>las</w:t>
      </w:r>
      <w:r>
        <w:rPr>
          <w:spacing w:val="-4"/>
        </w:rPr>
        <w:t> </w:t>
      </w:r>
      <w:r>
        <w:rPr/>
        <w:t>etapas</w:t>
      </w:r>
      <w:r>
        <w:rPr>
          <w:spacing w:val="-3"/>
        </w:rPr>
        <w:t> </w:t>
      </w:r>
      <w:r>
        <w:rPr/>
        <w:t>de</w:t>
      </w:r>
      <w:r>
        <w:rPr>
          <w:spacing w:val="-6"/>
        </w:rPr>
        <w:t> </w:t>
      </w:r>
      <w:r>
        <w:rPr/>
        <w:t>Educación Infantil</w:t>
      </w:r>
      <w:r>
        <w:rPr>
          <w:spacing w:val="-9"/>
        </w:rPr>
        <w:t> </w:t>
      </w:r>
      <w:r>
        <w:rPr/>
        <w:t>y</w:t>
      </w:r>
      <w:r>
        <w:rPr>
          <w:spacing w:val="-10"/>
        </w:rPr>
        <w:t> </w:t>
      </w:r>
      <w:r>
        <w:rPr/>
        <w:t>Educación</w:t>
      </w:r>
      <w:r>
        <w:rPr>
          <w:spacing w:val="-7"/>
        </w:rPr>
        <w:t> </w:t>
      </w:r>
      <w:r>
        <w:rPr/>
        <w:t>Primaria,</w:t>
      </w:r>
      <w:r>
        <w:rPr>
          <w:spacing w:val="-9"/>
        </w:rPr>
        <w:t> </w:t>
      </w:r>
      <w:r>
        <w:rPr/>
        <w:t>y</w:t>
      </w:r>
      <w:r>
        <w:rPr>
          <w:spacing w:val="-10"/>
        </w:rPr>
        <w:t> </w:t>
      </w:r>
      <w:r>
        <w:rPr/>
        <w:t>entre</w:t>
      </w:r>
      <w:r>
        <w:rPr>
          <w:spacing w:val="-8"/>
        </w:rPr>
        <w:t> </w:t>
      </w:r>
      <w:r>
        <w:rPr/>
        <w:t>la</w:t>
      </w:r>
      <w:r>
        <w:rPr>
          <w:spacing w:val="-9"/>
        </w:rPr>
        <w:t> </w:t>
      </w:r>
      <w:r>
        <w:rPr/>
        <w:t>Educación</w:t>
      </w:r>
      <w:r>
        <w:rPr>
          <w:spacing w:val="-10"/>
        </w:rPr>
        <w:t> </w:t>
      </w:r>
      <w:r>
        <w:rPr/>
        <w:t>Primaria</w:t>
      </w:r>
      <w:r>
        <w:rPr>
          <w:spacing w:val="-8"/>
        </w:rPr>
        <w:t> </w:t>
      </w:r>
      <w:r>
        <w:rPr/>
        <w:t>y</w:t>
      </w:r>
      <w:r>
        <w:rPr>
          <w:spacing w:val="-10"/>
        </w:rPr>
        <w:t> </w:t>
      </w:r>
      <w:r>
        <w:rPr/>
        <w:t>la</w:t>
      </w:r>
      <w:r>
        <w:rPr>
          <w:spacing w:val="-9"/>
        </w:rPr>
        <w:t> </w:t>
      </w:r>
      <w:r>
        <w:rPr/>
        <w:t>Educación</w:t>
      </w:r>
      <w:r>
        <w:rPr>
          <w:spacing w:val="-7"/>
        </w:rPr>
        <w:t> </w:t>
      </w:r>
      <w:r>
        <w:rPr/>
        <w:t>Secundaria Obligatoria, para prevenir el absentismo y el abandono escolar</w:t>
      </w:r>
      <w:r>
        <w:rPr>
          <w:spacing w:val="6"/>
        </w:rPr>
        <w:t> </w:t>
      </w:r>
      <w:r>
        <w:rPr/>
        <w:t>temprano.</w:t>
      </w:r>
    </w:p>
    <w:p>
      <w:pPr>
        <w:pStyle w:val="BodyText"/>
        <w:spacing w:before="11"/>
        <w:rPr>
          <w:sz w:val="11"/>
        </w:rPr>
      </w:pPr>
    </w:p>
    <w:p>
      <w:pPr>
        <w:pStyle w:val="BodyText"/>
        <w:spacing w:before="61"/>
        <w:ind w:left="2400" w:right="2426"/>
        <w:jc w:val="center"/>
      </w:pPr>
      <w:r>
        <w:rPr/>
        <w:t>324 C Servicios Complementarios a las Enseñanzas no Universitarias</w:t>
      </w:r>
    </w:p>
    <w:p>
      <w:pPr>
        <w:pStyle w:val="BodyText"/>
        <w:spacing w:before="76"/>
        <w:ind w:left="7897"/>
        <w:jc w:val="center"/>
      </w:pPr>
      <w:r>
        <w:rPr/>
        <w:t>63</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37" name="image5.png"/>
                  <wp:cNvGraphicFramePr>
                    <a:graphicFrameLocks noChangeAspect="1"/>
                  </wp:cNvGraphicFramePr>
                  <a:graphic>
                    <a:graphicData uri="http://schemas.openxmlformats.org/drawingml/2006/picture">
                      <pic:pic>
                        <pic:nvPicPr>
                          <pic:cNvPr id="13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65/247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98" w:right="1139"/>
        <w:jc w:val="both"/>
      </w:pPr>
      <w:r>
        <w:rPr/>
        <w:t>Realización de actividades y servicios complementarios, al objeto de atender las nuevas demandas sociales, garantizado la igualdad de condiciones en el acceso a la enseñanza con la intención de mejorar el rendimiento escolar, disminuir el abandono escolar temprano, potenciar la cohesión social y la convivencia escolar</w:t>
      </w:r>
    </w:p>
    <w:p>
      <w:pPr>
        <w:pStyle w:val="BodyText"/>
        <w:spacing w:before="1"/>
        <w:rPr>
          <w:sz w:val="17"/>
        </w:rPr>
      </w:pPr>
    </w:p>
    <w:p>
      <w:pPr>
        <w:pStyle w:val="BodyText"/>
        <w:ind w:left="2398" w:right="1141"/>
        <w:jc w:val="both"/>
      </w:pPr>
      <w:r>
        <w:rPr/>
        <w:t>No</w:t>
      </w:r>
      <w:r>
        <w:rPr>
          <w:spacing w:val="-8"/>
        </w:rPr>
        <w:t> </w:t>
      </w:r>
      <w:r>
        <w:rPr/>
        <w:t>obstante,</w:t>
      </w:r>
      <w:r>
        <w:rPr>
          <w:spacing w:val="-8"/>
        </w:rPr>
        <w:t> </w:t>
      </w:r>
      <w:r>
        <w:rPr/>
        <w:t>por</w:t>
      </w:r>
      <w:r>
        <w:rPr>
          <w:spacing w:val="-8"/>
        </w:rPr>
        <w:t> </w:t>
      </w:r>
      <w:r>
        <w:rPr/>
        <w:t>la</w:t>
      </w:r>
      <w:r>
        <w:rPr>
          <w:spacing w:val="-7"/>
        </w:rPr>
        <w:t> </w:t>
      </w:r>
      <w:r>
        <w:rPr/>
        <w:t>Consejería</w:t>
      </w:r>
      <w:r>
        <w:rPr>
          <w:spacing w:val="-6"/>
        </w:rPr>
        <w:t> </w:t>
      </w:r>
      <w:r>
        <w:rPr/>
        <w:t>competente</w:t>
      </w:r>
      <w:r>
        <w:rPr>
          <w:spacing w:val="-8"/>
        </w:rPr>
        <w:t> </w:t>
      </w:r>
      <w:r>
        <w:rPr/>
        <w:t>en</w:t>
      </w:r>
      <w:r>
        <w:rPr>
          <w:spacing w:val="-5"/>
        </w:rPr>
        <w:t> </w:t>
      </w:r>
      <w:r>
        <w:rPr/>
        <w:t>la</w:t>
      </w:r>
      <w:r>
        <w:rPr>
          <w:spacing w:val="-10"/>
        </w:rPr>
        <w:t> </w:t>
      </w:r>
      <w:r>
        <w:rPr/>
        <w:t>materia,</w:t>
      </w:r>
      <w:r>
        <w:rPr>
          <w:spacing w:val="-8"/>
        </w:rPr>
        <w:t> </w:t>
      </w:r>
      <w:r>
        <w:rPr/>
        <w:t>se</w:t>
      </w:r>
      <w:r>
        <w:rPr>
          <w:spacing w:val="-8"/>
        </w:rPr>
        <w:t> </w:t>
      </w:r>
      <w:r>
        <w:rPr/>
        <w:t>comunica</w:t>
      </w:r>
      <w:r>
        <w:rPr>
          <w:spacing w:val="-7"/>
        </w:rPr>
        <w:t> </w:t>
      </w:r>
      <w:r>
        <w:rPr/>
        <w:t>que</w:t>
      </w:r>
      <w:r>
        <w:rPr>
          <w:spacing w:val="-6"/>
        </w:rPr>
        <w:t> </w:t>
      </w:r>
      <w:r>
        <w:rPr/>
        <w:t>no</w:t>
      </w:r>
      <w:r>
        <w:rPr>
          <w:spacing w:val="-6"/>
        </w:rPr>
        <w:t> </w:t>
      </w:r>
      <w:r>
        <w:rPr/>
        <w:t>se</w:t>
      </w:r>
      <w:r>
        <w:rPr>
          <w:spacing w:val="-8"/>
        </w:rPr>
        <w:t> </w:t>
      </w:r>
      <w:r>
        <w:rPr/>
        <w:t>han destinado recursos para afrontar el mandato de la citada disposición</w:t>
      </w:r>
      <w:r>
        <w:rPr>
          <w:spacing w:val="7"/>
        </w:rPr>
        <w:t> </w:t>
      </w:r>
      <w:r>
        <w:rPr/>
        <w:t>adicional.</w:t>
      </w:r>
    </w:p>
    <w:p>
      <w:pPr>
        <w:pStyle w:val="BodyText"/>
        <w:spacing w:before="9"/>
        <w:rPr>
          <w:sz w:val="16"/>
        </w:rPr>
      </w:pPr>
    </w:p>
    <w:p>
      <w:pPr>
        <w:pStyle w:val="Heading1"/>
        <w:tabs>
          <w:tab w:pos="2700" w:val="left" w:leader="none"/>
        </w:tabs>
        <w:spacing w:before="1"/>
        <w:ind w:left="2398"/>
        <w:jc w:val="left"/>
      </w:pPr>
      <w:r>
        <w:rPr>
          <w:b w:val="0"/>
        </w:rPr>
        <w:t>-</w:t>
        <w:tab/>
      </w:r>
      <w:r>
        <w:rPr/>
        <w:t>Disposición Adicional trigésima octava sobre Plan contra la obesidad</w:t>
      </w:r>
      <w:r>
        <w:rPr>
          <w:spacing w:val="1"/>
        </w:rPr>
        <w:t> </w:t>
      </w:r>
      <w:r>
        <w:rPr/>
        <w:t>infantil.</w:t>
      </w:r>
    </w:p>
    <w:p>
      <w:pPr>
        <w:pStyle w:val="BodyText"/>
        <w:spacing w:before="7"/>
        <w:rPr>
          <w:b/>
          <w:sz w:val="16"/>
        </w:rPr>
      </w:pPr>
    </w:p>
    <w:p>
      <w:pPr>
        <w:pStyle w:val="BodyText"/>
        <w:spacing w:before="1"/>
        <w:ind w:left="2398"/>
        <w:jc w:val="both"/>
      </w:pPr>
      <w:r>
        <w:rPr/>
        <w:t>La citada disposición establece</w:t>
      </w:r>
    </w:p>
    <w:p>
      <w:pPr>
        <w:pStyle w:val="BodyText"/>
        <w:spacing w:before="10"/>
        <w:rPr>
          <w:sz w:val="16"/>
        </w:rPr>
      </w:pPr>
    </w:p>
    <w:p>
      <w:pPr>
        <w:spacing w:before="0"/>
        <w:ind w:left="2398" w:right="1141" w:firstLine="0"/>
        <w:jc w:val="both"/>
        <w:rPr>
          <w:i/>
          <w:sz w:val="20"/>
        </w:rPr>
      </w:pPr>
      <w:r>
        <w:rPr>
          <w:i/>
          <w:sz w:val="20"/>
        </w:rPr>
        <w:t>El Gobierno aprobará un Plan contra la Obesidad Infantil, cuyo objetivo será reducir </w:t>
      </w:r>
      <w:r>
        <w:rPr>
          <w:i/>
          <w:sz w:val="20"/>
        </w:rPr>
        <w:t>significativamente</w:t>
      </w:r>
      <w:r>
        <w:rPr>
          <w:i/>
          <w:spacing w:val="-6"/>
          <w:sz w:val="20"/>
        </w:rPr>
        <w:t> </w:t>
      </w:r>
      <w:r>
        <w:rPr>
          <w:i/>
          <w:sz w:val="20"/>
        </w:rPr>
        <w:t>la</w:t>
      </w:r>
      <w:r>
        <w:rPr>
          <w:i/>
          <w:spacing w:val="-5"/>
          <w:sz w:val="20"/>
        </w:rPr>
        <w:t> </w:t>
      </w:r>
      <w:r>
        <w:rPr>
          <w:i/>
          <w:sz w:val="20"/>
        </w:rPr>
        <w:t>tasa</w:t>
      </w:r>
      <w:r>
        <w:rPr>
          <w:i/>
          <w:spacing w:val="-5"/>
          <w:sz w:val="20"/>
        </w:rPr>
        <w:t> </w:t>
      </w:r>
      <w:r>
        <w:rPr>
          <w:i/>
          <w:sz w:val="20"/>
        </w:rPr>
        <w:t>de</w:t>
      </w:r>
      <w:r>
        <w:rPr>
          <w:i/>
          <w:spacing w:val="-4"/>
          <w:sz w:val="20"/>
        </w:rPr>
        <w:t> </w:t>
      </w:r>
      <w:r>
        <w:rPr>
          <w:i/>
          <w:sz w:val="20"/>
        </w:rPr>
        <w:t>obesidad</w:t>
      </w:r>
      <w:r>
        <w:rPr>
          <w:i/>
          <w:spacing w:val="-5"/>
          <w:sz w:val="20"/>
        </w:rPr>
        <w:t> </w:t>
      </w:r>
      <w:r>
        <w:rPr>
          <w:i/>
          <w:sz w:val="20"/>
        </w:rPr>
        <w:t>infantil</w:t>
      </w:r>
      <w:r>
        <w:rPr>
          <w:i/>
          <w:spacing w:val="-4"/>
          <w:sz w:val="20"/>
        </w:rPr>
        <w:t> </w:t>
      </w:r>
      <w:r>
        <w:rPr>
          <w:i/>
          <w:sz w:val="20"/>
        </w:rPr>
        <w:t>y</w:t>
      </w:r>
      <w:r>
        <w:rPr>
          <w:i/>
          <w:spacing w:val="-3"/>
          <w:sz w:val="20"/>
        </w:rPr>
        <w:t> </w:t>
      </w:r>
      <w:r>
        <w:rPr>
          <w:i/>
          <w:sz w:val="20"/>
        </w:rPr>
        <w:t>de</w:t>
      </w:r>
      <w:r>
        <w:rPr>
          <w:i/>
          <w:spacing w:val="-4"/>
          <w:sz w:val="20"/>
        </w:rPr>
        <w:t> </w:t>
      </w:r>
      <w:r>
        <w:rPr>
          <w:i/>
          <w:sz w:val="20"/>
        </w:rPr>
        <w:t>sobrepeso</w:t>
      </w:r>
      <w:r>
        <w:rPr>
          <w:i/>
          <w:spacing w:val="-5"/>
          <w:sz w:val="20"/>
        </w:rPr>
        <w:t> </w:t>
      </w:r>
      <w:r>
        <w:rPr>
          <w:i/>
          <w:sz w:val="20"/>
        </w:rPr>
        <w:t>entre</w:t>
      </w:r>
      <w:r>
        <w:rPr>
          <w:i/>
          <w:spacing w:val="-5"/>
          <w:sz w:val="20"/>
        </w:rPr>
        <w:t> </w:t>
      </w:r>
      <w:r>
        <w:rPr>
          <w:i/>
          <w:sz w:val="20"/>
        </w:rPr>
        <w:t>menores</w:t>
      </w:r>
      <w:r>
        <w:rPr>
          <w:i/>
          <w:spacing w:val="-4"/>
          <w:sz w:val="20"/>
        </w:rPr>
        <w:t> </w:t>
      </w:r>
      <w:r>
        <w:rPr>
          <w:i/>
          <w:sz w:val="20"/>
        </w:rPr>
        <w:t>de</w:t>
      </w:r>
      <w:r>
        <w:rPr>
          <w:i/>
          <w:spacing w:val="-6"/>
          <w:sz w:val="20"/>
        </w:rPr>
        <w:t> </w:t>
      </w:r>
      <w:r>
        <w:rPr>
          <w:i/>
          <w:sz w:val="20"/>
        </w:rPr>
        <w:t>doce años, en un plazo de cinco años, y lo dotará de los suficientes recursos económicos para lograr dicho objetivo.</w:t>
      </w:r>
    </w:p>
    <w:p>
      <w:pPr>
        <w:pStyle w:val="BodyText"/>
        <w:rPr>
          <w:i/>
          <w:sz w:val="17"/>
        </w:rPr>
      </w:pPr>
    </w:p>
    <w:p>
      <w:pPr>
        <w:spacing w:before="1"/>
        <w:ind w:left="2398" w:right="1142" w:firstLine="46"/>
        <w:jc w:val="both"/>
        <w:rPr>
          <w:i/>
          <w:sz w:val="20"/>
        </w:rPr>
      </w:pPr>
      <w:r>
        <w:rPr>
          <w:i/>
          <w:sz w:val="20"/>
        </w:rPr>
        <w:t>El Plan contra la Obesidad Infantil 2022-2026 será elaborado conjuntamente por las </w:t>
      </w:r>
      <w:r>
        <w:rPr>
          <w:i/>
          <w:sz w:val="20"/>
        </w:rPr>
        <w:t>consejerías de Sanidad y de Educación, Universidades, Cultura y Deportes, con la colaboración de las consejerías de Derechos Sociales, Agricultura y Transición Ecológica, y aprobado en el Parlamento de Canarias.</w:t>
      </w:r>
    </w:p>
    <w:p>
      <w:pPr>
        <w:pStyle w:val="BodyText"/>
        <w:rPr>
          <w:i/>
          <w:sz w:val="17"/>
        </w:rPr>
      </w:pPr>
    </w:p>
    <w:p>
      <w:pPr>
        <w:spacing w:line="242" w:lineRule="auto" w:before="0"/>
        <w:ind w:left="2398" w:right="1141" w:firstLine="0"/>
        <w:jc w:val="both"/>
        <w:rPr>
          <w:i/>
          <w:sz w:val="20"/>
        </w:rPr>
      </w:pPr>
      <w:r>
        <w:rPr>
          <w:i/>
          <w:sz w:val="20"/>
        </w:rPr>
        <w:t>El Plan integrará y coordinará los diferentes programas y acciones que se están </w:t>
      </w:r>
      <w:r>
        <w:rPr>
          <w:i/>
          <w:sz w:val="20"/>
        </w:rPr>
        <w:t>llevando a cabo con este fin, en función de los resultados obtenidos hasta ahora: Programa Escuela y Salud, Programa Ecocomedores, Programa de Desayunos Escolares, Programa de Intervención para la Prevención de la Obesidad Infantil, Programa de Consumo de Fruta y Verdura en la Escuela, Programa de Familia y Participación Educativa, Red de Huertos Escolares, Red de Centros para la Participación Educativa, Red de Centros Educativos para la Sostenibilidad.</w:t>
      </w:r>
    </w:p>
    <w:p>
      <w:pPr>
        <w:pStyle w:val="BodyText"/>
        <w:spacing w:before="4"/>
        <w:rPr>
          <w:i/>
          <w:sz w:val="16"/>
        </w:rPr>
      </w:pPr>
    </w:p>
    <w:p>
      <w:pPr>
        <w:spacing w:before="0"/>
        <w:ind w:left="2398" w:right="0" w:firstLine="0"/>
        <w:jc w:val="both"/>
        <w:rPr>
          <w:i/>
          <w:sz w:val="20"/>
        </w:rPr>
      </w:pPr>
      <w:r>
        <w:rPr>
          <w:i/>
          <w:sz w:val="20"/>
        </w:rPr>
        <w:t>Asimismo, contemplará nuevas medidas, acciones y recursos para lograr el objetivo.</w:t>
      </w:r>
    </w:p>
    <w:p>
      <w:pPr>
        <w:pStyle w:val="BodyText"/>
        <w:spacing w:before="7"/>
        <w:rPr>
          <w:i/>
          <w:sz w:val="16"/>
        </w:rPr>
      </w:pPr>
    </w:p>
    <w:p>
      <w:pPr>
        <w:spacing w:before="1"/>
        <w:ind w:left="2398" w:right="1140" w:firstLine="0"/>
        <w:jc w:val="both"/>
        <w:rPr>
          <w:i/>
          <w:sz w:val="20"/>
        </w:rPr>
      </w:pPr>
      <w:r>
        <w:rPr>
          <w:i/>
          <w:sz w:val="20"/>
        </w:rPr>
        <w:t>Previo a la aprobación del Plan, el Gobierno de Canarias realizará un estudio sobre </w:t>
      </w:r>
      <w:r>
        <w:rPr>
          <w:i/>
          <w:sz w:val="20"/>
        </w:rPr>
        <w:t>la</w:t>
      </w:r>
      <w:r>
        <w:rPr>
          <w:i/>
          <w:spacing w:val="-5"/>
          <w:sz w:val="20"/>
        </w:rPr>
        <w:t> </w:t>
      </w:r>
      <w:r>
        <w:rPr>
          <w:i/>
          <w:sz w:val="20"/>
        </w:rPr>
        <w:t>situación</w:t>
      </w:r>
      <w:r>
        <w:rPr>
          <w:i/>
          <w:spacing w:val="-5"/>
          <w:sz w:val="20"/>
        </w:rPr>
        <w:t> </w:t>
      </w:r>
      <w:r>
        <w:rPr>
          <w:i/>
          <w:sz w:val="20"/>
        </w:rPr>
        <w:t>de</w:t>
      </w:r>
      <w:r>
        <w:rPr>
          <w:i/>
          <w:spacing w:val="-4"/>
          <w:sz w:val="20"/>
        </w:rPr>
        <w:t> </w:t>
      </w:r>
      <w:r>
        <w:rPr>
          <w:i/>
          <w:sz w:val="20"/>
        </w:rPr>
        <w:t>la</w:t>
      </w:r>
      <w:r>
        <w:rPr>
          <w:i/>
          <w:spacing w:val="-4"/>
          <w:sz w:val="20"/>
        </w:rPr>
        <w:t> </w:t>
      </w:r>
      <w:r>
        <w:rPr>
          <w:i/>
          <w:sz w:val="20"/>
        </w:rPr>
        <w:t>prevalencia</w:t>
      </w:r>
      <w:r>
        <w:rPr>
          <w:i/>
          <w:spacing w:val="-5"/>
          <w:sz w:val="20"/>
        </w:rPr>
        <w:t> </w:t>
      </w:r>
      <w:r>
        <w:rPr>
          <w:i/>
          <w:sz w:val="20"/>
        </w:rPr>
        <w:t>de</w:t>
      </w:r>
      <w:r>
        <w:rPr>
          <w:i/>
          <w:spacing w:val="-4"/>
          <w:sz w:val="20"/>
        </w:rPr>
        <w:t> </w:t>
      </w:r>
      <w:r>
        <w:rPr>
          <w:i/>
          <w:sz w:val="20"/>
        </w:rPr>
        <w:t>la</w:t>
      </w:r>
      <w:r>
        <w:rPr>
          <w:i/>
          <w:spacing w:val="-4"/>
          <w:sz w:val="20"/>
        </w:rPr>
        <w:t> </w:t>
      </w:r>
      <w:r>
        <w:rPr>
          <w:i/>
          <w:sz w:val="20"/>
        </w:rPr>
        <w:t>obesidad</w:t>
      </w:r>
      <w:r>
        <w:rPr>
          <w:i/>
          <w:spacing w:val="-5"/>
          <w:sz w:val="20"/>
        </w:rPr>
        <w:t> </w:t>
      </w:r>
      <w:r>
        <w:rPr>
          <w:i/>
          <w:sz w:val="20"/>
        </w:rPr>
        <w:t>y</w:t>
      </w:r>
      <w:r>
        <w:rPr>
          <w:i/>
          <w:spacing w:val="-4"/>
          <w:sz w:val="20"/>
        </w:rPr>
        <w:t> </w:t>
      </w:r>
      <w:r>
        <w:rPr>
          <w:i/>
          <w:sz w:val="20"/>
        </w:rPr>
        <w:t>el</w:t>
      </w:r>
      <w:r>
        <w:rPr>
          <w:i/>
          <w:spacing w:val="-4"/>
          <w:sz w:val="20"/>
        </w:rPr>
        <w:t> </w:t>
      </w:r>
      <w:r>
        <w:rPr>
          <w:i/>
          <w:sz w:val="20"/>
        </w:rPr>
        <w:t>sobrepeso</w:t>
      </w:r>
      <w:r>
        <w:rPr>
          <w:i/>
          <w:spacing w:val="-4"/>
          <w:sz w:val="20"/>
        </w:rPr>
        <w:t> </w:t>
      </w:r>
      <w:r>
        <w:rPr>
          <w:i/>
          <w:sz w:val="20"/>
        </w:rPr>
        <w:t>entre</w:t>
      </w:r>
      <w:r>
        <w:rPr>
          <w:i/>
          <w:spacing w:val="-5"/>
          <w:sz w:val="20"/>
        </w:rPr>
        <w:t> </w:t>
      </w:r>
      <w:r>
        <w:rPr>
          <w:i/>
          <w:sz w:val="20"/>
        </w:rPr>
        <w:t>la</w:t>
      </w:r>
      <w:r>
        <w:rPr>
          <w:i/>
          <w:spacing w:val="-5"/>
          <w:sz w:val="20"/>
        </w:rPr>
        <w:t> </w:t>
      </w:r>
      <w:r>
        <w:rPr>
          <w:i/>
          <w:sz w:val="20"/>
        </w:rPr>
        <w:t>población</w:t>
      </w:r>
      <w:r>
        <w:rPr>
          <w:i/>
          <w:spacing w:val="-4"/>
          <w:sz w:val="20"/>
        </w:rPr>
        <w:t> </w:t>
      </w:r>
      <w:r>
        <w:rPr>
          <w:i/>
          <w:sz w:val="20"/>
        </w:rPr>
        <w:t>infantil en las Islas, así como la posibilidad de la integración de farmacología que pudiera ayudar en esta lucha.</w:t>
      </w:r>
    </w:p>
    <w:p>
      <w:pPr>
        <w:pStyle w:val="BodyText"/>
        <w:spacing w:before="1"/>
        <w:rPr>
          <w:i/>
          <w:sz w:val="17"/>
        </w:rPr>
      </w:pPr>
    </w:p>
    <w:p>
      <w:pPr>
        <w:pStyle w:val="BodyText"/>
        <w:ind w:left="2398" w:right="1139"/>
        <w:jc w:val="both"/>
      </w:pPr>
      <w:r>
        <w:rPr/>
        <w:t>Entre las actuaciones a llevar a cabo para luchar contra la obesidad infantil, en la memoria</w:t>
      </w:r>
      <w:r>
        <w:rPr>
          <w:spacing w:val="-10"/>
        </w:rPr>
        <w:t> </w:t>
      </w:r>
      <w:r>
        <w:rPr/>
        <w:t>del</w:t>
      </w:r>
      <w:r>
        <w:rPr>
          <w:spacing w:val="-9"/>
        </w:rPr>
        <w:t> </w:t>
      </w:r>
      <w:r>
        <w:rPr/>
        <w:t>programa</w:t>
      </w:r>
      <w:r>
        <w:rPr>
          <w:spacing w:val="-9"/>
        </w:rPr>
        <w:t> </w:t>
      </w:r>
      <w:r>
        <w:rPr/>
        <w:t>presupuestarios</w:t>
      </w:r>
      <w:r>
        <w:rPr>
          <w:spacing w:val="-7"/>
        </w:rPr>
        <w:t> </w:t>
      </w:r>
      <w:r>
        <w:rPr/>
        <w:t>324</w:t>
      </w:r>
      <w:r>
        <w:rPr>
          <w:spacing w:val="-6"/>
        </w:rPr>
        <w:t> </w:t>
      </w:r>
      <w:r>
        <w:rPr/>
        <w:t>C</w:t>
      </w:r>
      <w:r>
        <w:rPr>
          <w:spacing w:val="-8"/>
        </w:rPr>
        <w:t> </w:t>
      </w:r>
      <w:r>
        <w:rPr/>
        <w:t>se</w:t>
      </w:r>
      <w:r>
        <w:rPr>
          <w:spacing w:val="-7"/>
        </w:rPr>
        <w:t> </w:t>
      </w:r>
      <w:r>
        <w:rPr/>
        <w:t>recoge</w:t>
      </w:r>
      <w:r>
        <w:rPr>
          <w:spacing w:val="-8"/>
        </w:rPr>
        <w:t> </w:t>
      </w:r>
      <w:r>
        <w:rPr/>
        <w:t>la</w:t>
      </w:r>
      <w:r>
        <w:rPr>
          <w:spacing w:val="-9"/>
        </w:rPr>
        <w:t> </w:t>
      </w:r>
      <w:r>
        <w:rPr/>
        <w:t>necesidad</w:t>
      </w:r>
      <w:r>
        <w:rPr>
          <w:spacing w:val="-9"/>
        </w:rPr>
        <w:t> </w:t>
      </w:r>
      <w:r>
        <w:rPr/>
        <w:t>de</w:t>
      </w:r>
      <w:r>
        <w:rPr>
          <w:spacing w:val="-7"/>
        </w:rPr>
        <w:t> </w:t>
      </w:r>
      <w:r>
        <w:rPr/>
        <w:t>llevar</w:t>
      </w:r>
      <w:r>
        <w:rPr>
          <w:spacing w:val="-7"/>
        </w:rPr>
        <w:t> </w:t>
      </w:r>
      <w:r>
        <w:rPr/>
        <w:t>a</w:t>
      </w:r>
      <w:r>
        <w:rPr>
          <w:spacing w:val="-7"/>
        </w:rPr>
        <w:t> </w:t>
      </w:r>
      <w:r>
        <w:rPr/>
        <w:t>cabo acciones complementarias tales como ayudas para comedores y desayunos escolares, implantación de ecocomedores, menús equilibrados,</w:t>
      </w:r>
      <w:r>
        <w:rPr>
          <w:spacing w:val="2"/>
        </w:rPr>
        <w:t> </w:t>
      </w:r>
      <w:r>
        <w:rPr/>
        <w:t>etc.</w:t>
      </w:r>
    </w:p>
    <w:p>
      <w:pPr>
        <w:pStyle w:val="BodyText"/>
        <w:spacing w:before="11"/>
        <w:rPr>
          <w:sz w:val="10"/>
        </w:rPr>
      </w:pPr>
    </w:p>
    <w:p>
      <w:pPr>
        <w:pStyle w:val="BodyText"/>
        <w:spacing w:before="61"/>
        <w:ind w:left="7897"/>
        <w:jc w:val="center"/>
      </w:pPr>
      <w:r>
        <w:rPr/>
        <w:t>64</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39" name="image5.png"/>
                  <wp:cNvGraphicFramePr>
                    <a:graphicFrameLocks noChangeAspect="1"/>
                  </wp:cNvGraphicFramePr>
                  <a:graphic>
                    <a:graphicData uri="http://schemas.openxmlformats.org/drawingml/2006/picture">
                      <pic:pic>
                        <pic:nvPicPr>
                          <pic:cNvPr id="14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66/247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98" w:right="1140"/>
        <w:jc w:val="both"/>
      </w:pPr>
      <w:r>
        <w:rPr/>
        <w:t>Sin embargo, durante el año 2022, según comunicación de la actual dirección competente, Dirección General de Educación, Formación Profesional, Actividad Física y Deportes, no se han destinado recursos para llevar a cabo el citado Plan.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3"/>
        </w:rPr>
      </w:pPr>
    </w:p>
    <w:p>
      <w:pPr>
        <w:pStyle w:val="BodyText"/>
        <w:spacing w:before="61"/>
        <w:ind w:left="7897"/>
        <w:jc w:val="center"/>
      </w:pPr>
      <w:r>
        <w:rPr/>
        <w:t>65</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41" name="image5.png"/>
                  <wp:cNvGraphicFramePr>
                    <a:graphicFrameLocks noChangeAspect="1"/>
                  </wp:cNvGraphicFramePr>
                  <a:graphic>
                    <a:graphicData uri="http://schemas.openxmlformats.org/drawingml/2006/picture">
                      <pic:pic>
                        <pic:nvPicPr>
                          <pic:cNvPr id="14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67/247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1"/>
          <w:numId w:val="26"/>
        </w:numPr>
        <w:tabs>
          <w:tab w:pos="2579" w:val="left" w:leader="none"/>
          <w:tab w:pos="2580" w:val="left" w:leader="none"/>
        </w:tabs>
        <w:spacing w:line="240" w:lineRule="auto" w:before="61" w:after="0"/>
        <w:ind w:left="2579" w:right="0" w:hanging="484"/>
        <w:jc w:val="left"/>
        <w:rPr>
          <w:b/>
          <w:sz w:val="20"/>
        </w:rPr>
      </w:pPr>
      <w:r>
        <w:rPr>
          <w:b/>
          <w:color w:val="53A1B9"/>
          <w:sz w:val="20"/>
        </w:rPr>
        <w:t>ORGANISMOS AUTÓNOMOS Y OTRAS ENTIDADES PÚBLICAS</w:t>
      </w:r>
      <w:r>
        <w:rPr>
          <w:b/>
          <w:color w:val="53A1B9"/>
          <w:spacing w:val="2"/>
          <w:sz w:val="20"/>
        </w:rPr>
        <w:t> </w:t>
      </w:r>
      <w:r>
        <w:rPr>
          <w:b/>
          <w:color w:val="53A1B9"/>
          <w:sz w:val="20"/>
        </w:rPr>
        <w:t>DEPENDIENTES.</w:t>
      </w:r>
    </w:p>
    <w:p>
      <w:pPr>
        <w:pStyle w:val="BodyText"/>
        <w:spacing w:before="5"/>
        <w:rPr>
          <w:b/>
          <w:sz w:val="13"/>
        </w:rPr>
      </w:pPr>
      <w:r>
        <w:rPr/>
        <w:pict>
          <v:group style="position:absolute;margin-left:142.816818pt;margin-top:10.139312pt;width:357.05pt;height:205.9pt;mso-position-horizontal-relative:page;mso-position-vertical-relative:paragraph;z-index:-251470848;mso-wrap-distance-left:0;mso-wrap-distance-right:0" coordorigin="2856,203" coordsize="7141,4118">
            <v:rect style="position:absolute;left:2856;top:202;width:5686;height:222" filled="true" fillcolor="#d9d9d9" stroked="false">
              <v:fill type="solid"/>
            </v:rect>
            <v:rect style="position:absolute;left:2947;top:210;width:5505;height:206" filled="true" fillcolor="#d9d9d9" stroked="false">
              <v:fill type="solid"/>
            </v:rect>
            <v:rect style="position:absolute;left:8542;top:202;width:1456;height:222" filled="true" fillcolor="#d9d9d9" stroked="false">
              <v:fill type="solid"/>
            </v:rect>
            <v:rect style="position:absolute;left:8632;top:210;width:1274;height:206" filled="true" fillcolor="#d9d9d9" stroked="false">
              <v:fill type="solid"/>
            </v:rect>
            <v:rect style="position:absolute;left:2856;top:424;width:5686;height:615" filled="true" fillcolor="#d9d9d9" stroked="false">
              <v:fill type="solid"/>
            </v:rect>
            <v:rect style="position:absolute;left:2947;top:424;width:5505;height:206" filled="true" fillcolor="#d9d9d9" stroked="false">
              <v:fill type="solid"/>
            </v:rect>
            <v:rect style="position:absolute;left:2947;top:629;width:5505;height:206" filled="true" fillcolor="#d9d9d9" stroked="false">
              <v:fill type="solid"/>
            </v:rect>
            <v:rect style="position:absolute;left:2947;top:835;width:5505;height:204" filled="true" fillcolor="#d9d9d9" stroked="false">
              <v:fill type="solid"/>
            </v:rect>
            <v:rect style="position:absolute;left:8542;top:424;width:1456;height:615" filled="true" fillcolor="#d9d9d9" stroked="false">
              <v:fill type="solid"/>
            </v:rect>
            <v:rect style="position:absolute;left:8632;top:424;width:1274;height:206" filled="true" fillcolor="#d9d9d9" stroked="false">
              <v:fill type="solid"/>
            </v:rect>
            <v:rect style="position:absolute;left:8632;top:629;width:1274;height:206" filled="true" fillcolor="#d9d9d9" stroked="false">
              <v:fill type="solid"/>
            </v:rect>
            <v:rect style="position:absolute;left:8632;top:835;width:1274;height:204" filled="true" fillcolor="#d9d9d9" stroked="false">
              <v:fill type="solid"/>
            </v:rect>
            <v:rect style="position:absolute;left:8451;top:1039;width:91;height:206" filled="true" fillcolor="#d9d9d9" stroked="false">
              <v:fill type="solid"/>
            </v:rect>
            <v:rect style="position:absolute;left:2856;top:1039;width:91;height:206" filled="true" fillcolor="#d9d9d9" stroked="false">
              <v:fill type="solid"/>
            </v:rect>
            <v:rect style="position:absolute;left:2947;top:1039;width:5505;height:206" filled="true" fillcolor="#d9d9d9" stroked="false">
              <v:fill type="solid"/>
            </v:rect>
            <v:rect style="position:absolute;left:9906;top:1039;width:91;height:206" filled="true" fillcolor="#d9d9d9" stroked="false">
              <v:fill type="solid"/>
            </v:rect>
            <v:rect style="position:absolute;left:8542;top:1039;width:91;height:206" filled="true" fillcolor="#d9d9d9" stroked="false">
              <v:fill type="solid"/>
            </v:rect>
            <v:rect style="position:absolute;left:8632;top:1039;width:1274;height:206" filled="true" fillcolor="#d9d9d9" stroked="false">
              <v:fill type="solid"/>
            </v:rect>
            <v:rect style="position:absolute;left:8451;top:1244;width:91;height:206" filled="true" fillcolor="#d9d9d9" stroked="false">
              <v:fill type="solid"/>
            </v:rect>
            <v:rect style="position:absolute;left:2856;top:1244;width:91;height:206" filled="true" fillcolor="#d9d9d9" stroked="false">
              <v:fill type="solid"/>
            </v:rect>
            <v:rect style="position:absolute;left:2947;top:1244;width:5505;height:206" filled="true" fillcolor="#d9d9d9" stroked="false">
              <v:fill type="solid"/>
            </v:rect>
            <v:rect style="position:absolute;left:9906;top:1244;width:91;height:206" filled="true" fillcolor="#d9d9d9" stroked="false">
              <v:fill type="solid"/>
            </v:rect>
            <v:rect style="position:absolute;left:8542;top:1244;width:91;height:206" filled="true" fillcolor="#d9d9d9" stroked="false">
              <v:fill type="solid"/>
            </v:rect>
            <v:rect style="position:absolute;left:8632;top:1244;width:1274;height:206" filled="true" fillcolor="#d9d9d9" stroked="false">
              <v:fill type="solid"/>
            </v:rect>
            <v:rect style="position:absolute;left:8451;top:1450;width:91;height:204" filled="true" fillcolor="#d9d9d9" stroked="false">
              <v:fill type="solid"/>
            </v:rect>
            <v:rect style="position:absolute;left:2856;top:1450;width:91;height:204" filled="true" fillcolor="#d9d9d9" stroked="false">
              <v:fill type="solid"/>
            </v:rect>
            <v:rect style="position:absolute;left:2947;top:1450;width:5505;height:204" filled="true" fillcolor="#d9d9d9" stroked="false">
              <v:fill type="solid"/>
            </v:rect>
            <v:rect style="position:absolute;left:9906;top:1450;width:91;height:204" filled="true" fillcolor="#d9d9d9" stroked="false">
              <v:fill type="solid"/>
            </v:rect>
            <v:rect style="position:absolute;left:8542;top:1450;width:91;height:204" filled="true" fillcolor="#d9d9d9" stroked="false">
              <v:fill type="solid"/>
            </v:rect>
            <v:rect style="position:absolute;left:8632;top:1450;width:1274;height:204" filled="true" fillcolor="#d9d9d9" stroked="false">
              <v:fill type="solid"/>
            </v:rect>
            <v:rect style="position:absolute;left:2856;top:1653;width:5686;height:821" filled="true" fillcolor="#d9d9d9" stroked="false">
              <v:fill type="solid"/>
            </v:rect>
            <v:rect style="position:absolute;left:2947;top:1653;width:5505;height:206" filled="true" fillcolor="#d9d9d9" stroked="false">
              <v:fill type="solid"/>
            </v:rect>
            <v:rect style="position:absolute;left:2947;top:1859;width:5505;height:206" filled="true" fillcolor="#d9d9d9" stroked="false">
              <v:fill type="solid"/>
            </v:rect>
            <v:rect style="position:absolute;left:2947;top:2064;width:5505;height:206" filled="true" fillcolor="#d9d9d9" stroked="false">
              <v:fill type="solid"/>
            </v:rect>
            <v:rect style="position:absolute;left:2947;top:2270;width:5505;height:204" filled="true" fillcolor="#d9d9d9" stroked="false">
              <v:fill type="solid"/>
            </v:rect>
            <v:rect style="position:absolute;left:8542;top:1653;width:1456;height:821" filled="true" fillcolor="#d9d9d9" stroked="false">
              <v:fill type="solid"/>
            </v:rect>
            <v:rect style="position:absolute;left:8632;top:1653;width:1274;height:206" filled="true" fillcolor="#d9d9d9" stroked="false">
              <v:fill type="solid"/>
            </v:rect>
            <v:rect style="position:absolute;left:8632;top:1859;width:1274;height:206" filled="true" fillcolor="#d9d9d9" stroked="false">
              <v:fill type="solid"/>
            </v:rect>
            <v:rect style="position:absolute;left:8632;top:2064;width:1274;height:206" filled="true" fillcolor="#d9d9d9" stroked="false">
              <v:fill type="solid"/>
            </v:rect>
            <v:rect style="position:absolute;left:8632;top:2270;width:1274;height:204" filled="true" fillcolor="#d9d9d9" stroked="false">
              <v:fill type="solid"/>
            </v:rect>
            <v:rect style="position:absolute;left:8451;top:2474;width:91;height:206" filled="true" fillcolor="#d9d9d9" stroked="false">
              <v:fill type="solid"/>
            </v:rect>
            <v:rect style="position:absolute;left:2856;top:2474;width:91;height:206" filled="true" fillcolor="#d9d9d9" stroked="false">
              <v:fill type="solid"/>
            </v:rect>
            <v:rect style="position:absolute;left:2947;top:2474;width:5505;height:206" filled="true" fillcolor="#d9d9d9" stroked="false">
              <v:fill type="solid"/>
            </v:rect>
            <v:rect style="position:absolute;left:9906;top:2474;width:91;height:206" filled="true" fillcolor="#d9d9d9" stroked="false">
              <v:fill type="solid"/>
            </v:rect>
            <v:rect style="position:absolute;left:8542;top:2474;width:91;height:206" filled="true" fillcolor="#d9d9d9" stroked="false">
              <v:fill type="solid"/>
            </v:rect>
            <v:rect style="position:absolute;left:8632;top:2474;width:1274;height:206" filled="true" fillcolor="#d9d9d9" stroked="false">
              <v:fill type="solid"/>
            </v:rect>
            <v:rect style="position:absolute;left:8451;top:2679;width:91;height:206" filled="true" fillcolor="#d9d9d9" stroked="false">
              <v:fill type="solid"/>
            </v:rect>
            <v:rect style="position:absolute;left:2856;top:2679;width:91;height:206" filled="true" fillcolor="#d9d9d9" stroked="false">
              <v:fill type="solid"/>
            </v:rect>
            <v:rect style="position:absolute;left:2947;top:2679;width:5505;height:206" filled="true" fillcolor="#d9d9d9" stroked="false">
              <v:fill type="solid"/>
            </v:rect>
            <v:rect style="position:absolute;left:9906;top:2679;width:91;height:206" filled="true" fillcolor="#d9d9d9" stroked="false">
              <v:fill type="solid"/>
            </v:rect>
            <v:rect style="position:absolute;left:8542;top:2679;width:91;height:206" filled="true" fillcolor="#d9d9d9" stroked="false">
              <v:fill type="solid"/>
            </v:rect>
            <v:rect style="position:absolute;left:8632;top:2679;width:1274;height:206" filled="true" fillcolor="#d9d9d9" stroked="false">
              <v:fill type="solid"/>
            </v:rect>
            <v:rect style="position:absolute;left:8451;top:2885;width:91;height:204" filled="true" fillcolor="#d9d9d9" stroked="false">
              <v:fill type="solid"/>
            </v:rect>
            <v:rect style="position:absolute;left:2856;top:2885;width:91;height:204" filled="true" fillcolor="#d9d9d9" stroked="false">
              <v:fill type="solid"/>
            </v:rect>
            <v:rect style="position:absolute;left:2947;top:2885;width:5505;height:204" filled="true" fillcolor="#d9d9d9" stroked="false">
              <v:fill type="solid"/>
            </v:rect>
            <v:rect style="position:absolute;left:9906;top:2885;width:91;height:204" filled="true" fillcolor="#d9d9d9" stroked="false">
              <v:fill type="solid"/>
            </v:rect>
            <v:rect style="position:absolute;left:8542;top:2885;width:91;height:204" filled="true" fillcolor="#d9d9d9" stroked="false">
              <v:fill type="solid"/>
            </v:rect>
            <v:rect style="position:absolute;left:8632;top:2885;width:1274;height:204" filled="true" fillcolor="#d9d9d9" stroked="false">
              <v:fill type="solid"/>
            </v:rect>
            <v:rect style="position:absolute;left:8451;top:3088;width:91;height:206" filled="true" fillcolor="#d9d9d9" stroked="false">
              <v:fill type="solid"/>
            </v:rect>
            <v:rect style="position:absolute;left:2856;top:3088;width:91;height:206" filled="true" fillcolor="#d9d9d9" stroked="false">
              <v:fill type="solid"/>
            </v:rect>
            <v:rect style="position:absolute;left:2947;top:3088;width:5505;height:206" filled="true" fillcolor="#d9d9d9" stroked="false">
              <v:fill type="solid"/>
            </v:rect>
            <v:rect style="position:absolute;left:9906;top:3088;width:91;height:206" filled="true" fillcolor="#d9d9d9" stroked="false">
              <v:fill type="solid"/>
            </v:rect>
            <v:rect style="position:absolute;left:8542;top:3088;width:91;height:206" filled="true" fillcolor="#d9d9d9" stroked="false">
              <v:fill type="solid"/>
            </v:rect>
            <v:rect style="position:absolute;left:8632;top:3088;width:1274;height:206" filled="true" fillcolor="#d9d9d9" stroked="false">
              <v:fill type="solid"/>
            </v:rect>
            <v:rect style="position:absolute;left:8451;top:3294;width:91;height:206" filled="true" fillcolor="#d9d9d9" stroked="false">
              <v:fill type="solid"/>
            </v:rect>
            <v:rect style="position:absolute;left:2856;top:3294;width:91;height:206" filled="true" fillcolor="#d9d9d9" stroked="false">
              <v:fill type="solid"/>
            </v:rect>
            <v:rect style="position:absolute;left:2947;top:3294;width:5505;height:206" filled="true" fillcolor="#d9d9d9" stroked="false">
              <v:fill type="solid"/>
            </v:rect>
            <v:rect style="position:absolute;left:9906;top:3294;width:91;height:206" filled="true" fillcolor="#d9d9d9" stroked="false">
              <v:fill type="solid"/>
            </v:rect>
            <v:rect style="position:absolute;left:8542;top:3294;width:91;height:206" filled="true" fillcolor="#d9d9d9" stroked="false">
              <v:fill type="solid"/>
            </v:rect>
            <v:rect style="position:absolute;left:8632;top:3294;width:1274;height:206" filled="true" fillcolor="#d9d9d9" stroked="false">
              <v:fill type="solid"/>
            </v:rect>
            <v:rect style="position:absolute;left:2856;top:3499;width:5686;height:410" filled="true" fillcolor="#d9d9d9" stroked="false">
              <v:fill type="solid"/>
            </v:rect>
            <v:rect style="position:absolute;left:2947;top:3499;width:5505;height:206" filled="true" fillcolor="#d9d9d9" stroked="false">
              <v:fill type="solid"/>
            </v:rect>
            <v:rect style="position:absolute;left:2947;top:3705;width:5505;height:204" filled="true" fillcolor="#d9d9d9" stroked="false">
              <v:fill type="solid"/>
            </v:rect>
            <v:rect style="position:absolute;left:8542;top:3499;width:1456;height:410" filled="true" fillcolor="#d9d9d9" stroked="false">
              <v:fill type="solid"/>
            </v:rect>
            <v:rect style="position:absolute;left:8632;top:3499;width:1274;height:206" filled="true" fillcolor="#d9d9d9" stroked="false">
              <v:fill type="solid"/>
            </v:rect>
            <v:rect style="position:absolute;left:8451;top:3908;width:91;height:206" filled="true" fillcolor="#d9d9d9" stroked="false">
              <v:fill type="solid"/>
            </v:rect>
            <v:rect style="position:absolute;left:2856;top:3908;width:91;height:206" filled="true" fillcolor="#d9d9d9" stroked="false">
              <v:fill type="solid"/>
            </v:rect>
            <v:rect style="position:absolute;left:2947;top:3908;width:5505;height:206" filled="true" fillcolor="#d9d9d9" stroked="false">
              <v:fill type="solid"/>
            </v:rect>
            <v:rect style="position:absolute;left:9906;top:3908;width:91;height:206" filled="true" fillcolor="#d9d9d9" stroked="false">
              <v:fill type="solid"/>
            </v:rect>
            <v:rect style="position:absolute;left:8542;top:3908;width:91;height:206" filled="true" fillcolor="#d9d9d9" stroked="false">
              <v:fill type="solid"/>
            </v:rect>
            <v:rect style="position:absolute;left:8632;top:3908;width:1274;height:206" filled="true" fillcolor="#d9d9d9" stroked="false">
              <v:fill type="solid"/>
            </v:rect>
            <v:rect style="position:absolute;left:8451;top:4114;width:91;height:206" filled="true" fillcolor="#d9d9d9" stroked="false">
              <v:fill type="solid"/>
            </v:rect>
            <v:rect style="position:absolute;left:2856;top:4114;width:91;height:206" filled="true" fillcolor="#d9d9d9" stroked="false">
              <v:fill type="solid"/>
            </v:rect>
            <v:rect style="position:absolute;left:2947;top:4114;width:5505;height:206" filled="true" fillcolor="#d9d9d9" stroked="false">
              <v:fill type="solid"/>
            </v:rect>
            <v:rect style="position:absolute;left:9906;top:4114;width:91;height:206" filled="true" fillcolor="#d9d9d9" stroked="false">
              <v:fill type="solid"/>
            </v:rect>
            <v:rect style="position:absolute;left:8542;top:4114;width:91;height:206" filled="true" fillcolor="#d9d9d9" stroked="false">
              <v:fill type="solid"/>
            </v:rect>
            <v:rect style="position:absolute;left:8632;top:4114;width:1274;height:206" filled="true" fillcolor="#d9d9d9" stroked="false">
              <v:fill type="solid"/>
            </v:rect>
            <v:shape style="position:absolute;left:9051;top:3944;width:455;height:373" type="#_x0000_t202" filled="false" stroked="false">
              <v:textbox inset="0,0,0,0">
                <w:txbxContent>
                  <w:p>
                    <w:pPr>
                      <w:spacing w:line="168" w:lineRule="exact" w:before="0"/>
                      <w:ind w:left="0" w:right="18" w:firstLine="0"/>
                      <w:jc w:val="center"/>
                      <w:rPr>
                        <w:sz w:val="16"/>
                      </w:rPr>
                    </w:pPr>
                    <w:r>
                      <w:rPr>
                        <w:sz w:val="16"/>
                      </w:rPr>
                      <w:t>APMN</w:t>
                    </w:r>
                  </w:p>
                  <w:p>
                    <w:pPr>
                      <w:spacing w:line="194" w:lineRule="exact" w:before="10"/>
                      <w:ind w:left="0" w:right="19" w:firstLine="0"/>
                      <w:jc w:val="center"/>
                      <w:rPr>
                        <w:sz w:val="16"/>
                      </w:rPr>
                    </w:pPr>
                    <w:r>
                      <w:rPr>
                        <w:w w:val="105"/>
                        <w:sz w:val="16"/>
                      </w:rPr>
                      <w:t>CR</w:t>
                    </w:r>
                  </w:p>
                </w:txbxContent>
              </v:textbox>
              <w10:wrap type="none"/>
            </v:shape>
            <v:shape style="position:absolute;left:2947;top:3739;width:3633;height:579" type="#_x0000_t202" filled="false" stroked="false">
              <v:textbox inset="0,0,0,0">
                <w:txbxContent>
                  <w:p>
                    <w:pPr>
                      <w:spacing w:line="168" w:lineRule="exact" w:before="0"/>
                      <w:ind w:left="0" w:right="0" w:firstLine="0"/>
                      <w:jc w:val="left"/>
                      <w:rPr>
                        <w:b/>
                        <w:sz w:val="16"/>
                      </w:rPr>
                    </w:pPr>
                    <w:r>
                      <w:rPr>
                        <w:b/>
                        <w:w w:val="105"/>
                        <w:sz w:val="16"/>
                      </w:rPr>
                      <w:t>Entidades de carácter consorcial</w:t>
                    </w:r>
                  </w:p>
                  <w:p>
                    <w:pPr>
                      <w:spacing w:line="252" w:lineRule="auto" w:before="10"/>
                      <w:ind w:left="265" w:right="-2" w:firstLine="0"/>
                      <w:jc w:val="left"/>
                      <w:rPr>
                        <w:sz w:val="16"/>
                      </w:rPr>
                    </w:pPr>
                    <w:r>
                      <w:rPr>
                        <w:w w:val="105"/>
                        <w:sz w:val="16"/>
                      </w:rPr>
                      <w:t>Agencia Canaria de Protección del Medio Natural Consorcio El Rincón</w:t>
                    </w:r>
                  </w:p>
                </w:txbxContent>
              </v:textbox>
              <w10:wrap type="none"/>
            </v:shape>
            <v:shape style="position:absolute;left:9090;top:2919;width:377;height:579" type="#_x0000_t202" filled="false" stroked="false">
              <v:textbox inset="0,0,0,0">
                <w:txbxContent>
                  <w:p>
                    <w:pPr>
                      <w:spacing w:line="168" w:lineRule="exact" w:before="0"/>
                      <w:ind w:left="54" w:right="0" w:firstLine="0"/>
                      <w:jc w:val="left"/>
                      <w:rPr>
                        <w:sz w:val="16"/>
                      </w:rPr>
                    </w:pPr>
                    <w:r>
                      <w:rPr>
                        <w:w w:val="105"/>
                        <w:sz w:val="16"/>
                      </w:rPr>
                      <w:t>CES</w:t>
                    </w:r>
                  </w:p>
                  <w:p>
                    <w:pPr>
                      <w:spacing w:line="252" w:lineRule="auto" w:before="10"/>
                      <w:ind w:left="44" w:right="0" w:hanging="45"/>
                      <w:jc w:val="left"/>
                      <w:rPr>
                        <w:sz w:val="16"/>
                      </w:rPr>
                    </w:pPr>
                    <w:r>
                      <w:rPr>
                        <w:w w:val="105"/>
                        <w:sz w:val="16"/>
                      </w:rPr>
                      <w:t>RTVC ATC</w:t>
                    </w:r>
                  </w:p>
                </w:txbxContent>
              </v:textbox>
              <w10:wrap type="none"/>
            </v:shape>
            <v:shape style="position:absolute;left:2947;top:2715;width:2164;height:782" type="#_x0000_t202" filled="false" stroked="false">
              <v:textbox inset="0,0,0,0">
                <w:txbxContent>
                  <w:p>
                    <w:pPr>
                      <w:spacing w:line="168" w:lineRule="exact" w:before="0"/>
                      <w:ind w:left="0" w:right="0" w:firstLine="0"/>
                      <w:jc w:val="left"/>
                      <w:rPr>
                        <w:b/>
                        <w:sz w:val="16"/>
                      </w:rPr>
                    </w:pPr>
                    <w:r>
                      <w:rPr>
                        <w:b/>
                        <w:w w:val="105"/>
                        <w:sz w:val="16"/>
                      </w:rPr>
                      <w:t>Entidades públicas</w:t>
                    </w:r>
                  </w:p>
                  <w:p>
                    <w:pPr>
                      <w:spacing w:line="252" w:lineRule="auto" w:before="8"/>
                      <w:ind w:left="265" w:right="-1" w:firstLine="0"/>
                      <w:jc w:val="left"/>
                      <w:rPr>
                        <w:sz w:val="16"/>
                      </w:rPr>
                    </w:pPr>
                    <w:r>
                      <w:rPr>
                        <w:w w:val="105"/>
                        <w:sz w:val="16"/>
                      </w:rPr>
                      <w:t>Consejo Económico y Social Radiotelevisión Canaria Agencia Tributaria Canaria</w:t>
                    </w:r>
                  </w:p>
                </w:txbxContent>
              </v:textbox>
              <w10:wrap type="none"/>
            </v:shape>
            <v:shape style="position:absolute;left:8995;top:460;width:567;height:2012" type="#_x0000_t202" filled="false" stroked="false">
              <v:textbox inset="0,0,0,0">
                <w:txbxContent>
                  <w:p>
                    <w:pPr>
                      <w:spacing w:line="168" w:lineRule="exact" w:before="0"/>
                      <w:ind w:left="102" w:right="0" w:firstLine="0"/>
                      <w:jc w:val="left"/>
                      <w:rPr>
                        <w:sz w:val="16"/>
                      </w:rPr>
                    </w:pPr>
                    <w:r>
                      <w:rPr>
                        <w:w w:val="105"/>
                        <w:sz w:val="16"/>
                      </w:rPr>
                      <w:t>ICHH</w:t>
                    </w:r>
                  </w:p>
                  <w:p>
                    <w:pPr>
                      <w:spacing w:line="252" w:lineRule="auto" w:before="10"/>
                      <w:ind w:left="78" w:right="-1" w:hanging="79"/>
                      <w:jc w:val="left"/>
                      <w:rPr>
                        <w:sz w:val="16"/>
                      </w:rPr>
                    </w:pPr>
                    <w:r>
                      <w:rPr>
                        <w:w w:val="105"/>
                        <w:sz w:val="16"/>
                      </w:rPr>
                      <w:t>ACCUEE</w:t>
                    </w:r>
                    <w:r>
                      <w:rPr>
                        <w:w w:val="104"/>
                        <w:sz w:val="16"/>
                      </w:rPr>
                      <w:t> </w:t>
                    </w:r>
                    <w:r>
                      <w:rPr>
                        <w:w w:val="105"/>
                        <w:sz w:val="16"/>
                      </w:rPr>
                      <w:t>ICI ICAVI ICAP ICIA ICCA ISTAC SCS SCE</w:t>
                    </w:r>
                  </w:p>
                </w:txbxContent>
              </v:textbox>
              <w10:wrap type="none"/>
            </v:shape>
            <v:shape style="position:absolute;left:2947;top:246;width:4353;height:2226" type="#_x0000_t202" filled="false" stroked="false">
              <v:textbox inset="0,0,0,0">
                <w:txbxContent>
                  <w:p>
                    <w:pPr>
                      <w:spacing w:line="168" w:lineRule="exact" w:before="0"/>
                      <w:ind w:left="0" w:right="0" w:firstLine="0"/>
                      <w:jc w:val="left"/>
                      <w:rPr>
                        <w:b/>
                        <w:sz w:val="16"/>
                      </w:rPr>
                    </w:pPr>
                    <w:r>
                      <w:rPr>
                        <w:b/>
                        <w:w w:val="105"/>
                        <w:sz w:val="16"/>
                      </w:rPr>
                      <w:t>Organismos Autónomos</w:t>
                    </w:r>
                  </w:p>
                  <w:p>
                    <w:pPr>
                      <w:spacing w:before="18"/>
                      <w:ind w:left="0" w:right="0" w:firstLine="0"/>
                      <w:jc w:val="left"/>
                      <w:rPr>
                        <w:sz w:val="16"/>
                      </w:rPr>
                    </w:pPr>
                    <w:r>
                      <w:rPr>
                        <w:w w:val="105"/>
                        <w:sz w:val="16"/>
                      </w:rPr>
                      <w:t>Instituto Canario de Hemodonación y Hemoterapia</w:t>
                    </w:r>
                  </w:p>
                  <w:p>
                    <w:pPr>
                      <w:spacing w:line="249" w:lineRule="auto" w:before="10"/>
                      <w:ind w:left="0" w:right="-5" w:firstLine="0"/>
                      <w:jc w:val="left"/>
                      <w:rPr>
                        <w:sz w:val="16"/>
                      </w:rPr>
                    </w:pPr>
                    <w:r>
                      <w:rPr>
                        <w:w w:val="105"/>
                        <w:sz w:val="16"/>
                      </w:rPr>
                      <w:t>Agencia Canaria de Calidad Universitaria y Evaluación Educativa Instituto Canario de Igualdad</w:t>
                    </w:r>
                  </w:p>
                  <w:p>
                    <w:pPr>
                      <w:spacing w:before="3"/>
                      <w:ind w:left="0" w:right="0" w:firstLine="0"/>
                      <w:jc w:val="left"/>
                      <w:rPr>
                        <w:sz w:val="16"/>
                      </w:rPr>
                    </w:pPr>
                    <w:r>
                      <w:rPr>
                        <w:w w:val="105"/>
                        <w:sz w:val="16"/>
                      </w:rPr>
                      <w:t>Instituto Canario de la</w:t>
                    </w:r>
                    <w:r>
                      <w:rPr>
                        <w:spacing w:val="-16"/>
                        <w:w w:val="105"/>
                        <w:sz w:val="16"/>
                      </w:rPr>
                      <w:t> </w:t>
                    </w:r>
                    <w:r>
                      <w:rPr>
                        <w:w w:val="105"/>
                        <w:sz w:val="16"/>
                      </w:rPr>
                      <w:t>Vivienda</w:t>
                    </w:r>
                  </w:p>
                  <w:p>
                    <w:pPr>
                      <w:spacing w:line="252" w:lineRule="auto" w:before="10"/>
                      <w:ind w:left="0" w:right="1316" w:firstLine="0"/>
                      <w:jc w:val="left"/>
                      <w:rPr>
                        <w:sz w:val="16"/>
                      </w:rPr>
                    </w:pPr>
                    <w:r>
                      <w:rPr>
                        <w:w w:val="105"/>
                        <w:sz w:val="16"/>
                      </w:rPr>
                      <w:t>Instituto Canario de Administración Pública Instituto Canario de Investigaciones</w:t>
                    </w:r>
                    <w:r>
                      <w:rPr>
                        <w:spacing w:val="-17"/>
                        <w:w w:val="105"/>
                        <w:sz w:val="16"/>
                      </w:rPr>
                      <w:t> </w:t>
                    </w:r>
                    <w:r>
                      <w:rPr>
                        <w:w w:val="105"/>
                        <w:sz w:val="16"/>
                      </w:rPr>
                      <w:t>Agrarias Instituto Canario de Calidad</w:t>
                    </w:r>
                    <w:r>
                      <w:rPr>
                        <w:spacing w:val="-20"/>
                        <w:w w:val="105"/>
                        <w:sz w:val="16"/>
                      </w:rPr>
                      <w:t> </w:t>
                    </w:r>
                    <w:r>
                      <w:rPr>
                        <w:w w:val="105"/>
                        <w:sz w:val="16"/>
                      </w:rPr>
                      <w:t>Agroalimentaria Instituto Canario de</w:t>
                    </w:r>
                    <w:r>
                      <w:rPr>
                        <w:spacing w:val="-2"/>
                        <w:w w:val="105"/>
                        <w:sz w:val="16"/>
                      </w:rPr>
                      <w:t> </w:t>
                    </w:r>
                    <w:r>
                      <w:rPr>
                        <w:w w:val="105"/>
                        <w:sz w:val="16"/>
                      </w:rPr>
                      <w:t>Estadística</w:t>
                    </w:r>
                  </w:p>
                  <w:p>
                    <w:pPr>
                      <w:spacing w:line="249" w:lineRule="auto" w:before="0"/>
                      <w:ind w:left="0" w:right="1969" w:firstLine="0"/>
                      <w:jc w:val="left"/>
                      <w:rPr>
                        <w:sz w:val="16"/>
                      </w:rPr>
                    </w:pPr>
                    <w:r>
                      <w:rPr>
                        <w:w w:val="105"/>
                        <w:sz w:val="16"/>
                      </w:rPr>
                      <w:t>Servicio Canario de la Salud Servicio Canario de Empleo</w:t>
                    </w:r>
                  </w:p>
                </w:txbxContent>
              </v:textbox>
              <w10:wrap type="none"/>
            </v:shape>
            <w10:wrap type="topAndBottom"/>
          </v:group>
        </w:pict>
      </w:r>
    </w:p>
    <w:p>
      <w:pPr>
        <w:pStyle w:val="BodyText"/>
        <w:spacing w:before="2"/>
        <w:rPr>
          <w:b/>
          <w:sz w:val="9"/>
        </w:rPr>
      </w:pPr>
    </w:p>
    <w:p>
      <w:pPr>
        <w:pStyle w:val="BodyText"/>
        <w:spacing w:line="242" w:lineRule="auto" w:before="61"/>
        <w:ind w:left="2096" w:right="1140" w:firstLine="594"/>
        <w:jc w:val="both"/>
      </w:pPr>
      <w:r>
        <w:rPr/>
        <w:t>Debido al peso relativo del SCS, que representa el 40,8 % del total del gasto del sector público con presupuesto limitativo, este será tratado de forma independiente en el siguiente epígrafe 4.4, aunque en la información que se presentada a continuación se mantienen los datos del SCS para tener una visión del conjunto del subsector de entidades dependientes de la Administración de la CAC.</w:t>
      </w:r>
    </w:p>
    <w:p>
      <w:pPr>
        <w:pStyle w:val="BodyText"/>
        <w:spacing w:before="3"/>
        <w:rPr>
          <w:sz w:val="16"/>
        </w:rPr>
      </w:pPr>
    </w:p>
    <w:p>
      <w:pPr>
        <w:pStyle w:val="BodyText"/>
        <w:ind w:left="2096" w:right="1140" w:firstLine="594"/>
        <w:jc w:val="both"/>
      </w:pPr>
      <w:r>
        <w:rPr/>
        <w:t>Hay que destacar aquí que, a propuesta conjunta de los Consejeros de Administraciones Públicas, Justicia de Seguridad y Sanidad, el Gobierno de Canarias acuerda,</w:t>
      </w:r>
      <w:r>
        <w:rPr>
          <w:spacing w:val="-6"/>
        </w:rPr>
        <w:t> </w:t>
      </w:r>
      <w:r>
        <w:rPr/>
        <w:t>en</w:t>
      </w:r>
      <w:r>
        <w:rPr>
          <w:spacing w:val="-4"/>
        </w:rPr>
        <w:t> </w:t>
      </w:r>
      <w:r>
        <w:rPr/>
        <w:t>sesión</w:t>
      </w:r>
      <w:r>
        <w:rPr>
          <w:spacing w:val="-4"/>
        </w:rPr>
        <w:t> </w:t>
      </w:r>
      <w:r>
        <w:rPr/>
        <w:t>de</w:t>
      </w:r>
      <w:r>
        <w:rPr>
          <w:spacing w:val="-6"/>
        </w:rPr>
        <w:t> </w:t>
      </w:r>
      <w:r>
        <w:rPr/>
        <w:t>25</w:t>
      </w:r>
      <w:r>
        <w:rPr>
          <w:spacing w:val="-6"/>
        </w:rPr>
        <w:t> </w:t>
      </w:r>
      <w:r>
        <w:rPr/>
        <w:t>de</w:t>
      </w:r>
      <w:r>
        <w:rPr>
          <w:spacing w:val="-3"/>
        </w:rPr>
        <w:t> </w:t>
      </w:r>
      <w:r>
        <w:rPr/>
        <w:t>mayo</w:t>
      </w:r>
      <w:r>
        <w:rPr>
          <w:spacing w:val="-6"/>
        </w:rPr>
        <w:t> </w:t>
      </w:r>
      <w:r>
        <w:rPr/>
        <w:t>de</w:t>
      </w:r>
      <w:r>
        <w:rPr>
          <w:spacing w:val="-6"/>
        </w:rPr>
        <w:t> </w:t>
      </w:r>
      <w:r>
        <w:rPr/>
        <w:t>2023,</w:t>
      </w:r>
      <w:r>
        <w:rPr>
          <w:spacing w:val="-5"/>
        </w:rPr>
        <w:t> </w:t>
      </w:r>
      <w:r>
        <w:rPr/>
        <w:t>que</w:t>
      </w:r>
      <w:r>
        <w:rPr>
          <w:spacing w:val="-4"/>
        </w:rPr>
        <w:t> </w:t>
      </w:r>
      <w:r>
        <w:rPr/>
        <w:t>se</w:t>
      </w:r>
      <w:r>
        <w:rPr>
          <w:spacing w:val="-5"/>
        </w:rPr>
        <w:t> </w:t>
      </w:r>
      <w:r>
        <w:rPr/>
        <w:t>proceda</w:t>
      </w:r>
      <w:r>
        <w:rPr>
          <w:spacing w:val="-6"/>
        </w:rPr>
        <w:t> </w:t>
      </w:r>
      <w:r>
        <w:rPr/>
        <w:t>a</w:t>
      </w:r>
      <w:r>
        <w:rPr>
          <w:spacing w:val="-6"/>
        </w:rPr>
        <w:t> </w:t>
      </w:r>
      <w:r>
        <w:rPr/>
        <w:t>la</w:t>
      </w:r>
      <w:r>
        <w:rPr>
          <w:spacing w:val="-5"/>
        </w:rPr>
        <w:t> </w:t>
      </w:r>
      <w:r>
        <w:rPr/>
        <w:t>ejecución</w:t>
      </w:r>
      <w:r>
        <w:rPr>
          <w:spacing w:val="-5"/>
        </w:rPr>
        <w:t> </w:t>
      </w:r>
      <w:r>
        <w:rPr/>
        <w:t>de</w:t>
      </w:r>
      <w:r>
        <w:rPr>
          <w:spacing w:val="-6"/>
        </w:rPr>
        <w:t> </w:t>
      </w:r>
      <w:r>
        <w:rPr/>
        <w:t>los</w:t>
      </w:r>
      <w:r>
        <w:rPr>
          <w:spacing w:val="-5"/>
        </w:rPr>
        <w:t> </w:t>
      </w:r>
      <w:r>
        <w:rPr/>
        <w:t>trámites necesarios para la extinción del ICHH, quedando integradas sus funciones y servicios en el</w:t>
      </w:r>
      <w:r>
        <w:rPr>
          <w:spacing w:val="1"/>
        </w:rPr>
        <w:t> </w:t>
      </w:r>
      <w:r>
        <w:rPr/>
        <w:t>SCS.</w:t>
      </w:r>
    </w:p>
    <w:p>
      <w:pPr>
        <w:pStyle w:val="BodyText"/>
        <w:spacing w:before="4"/>
        <w:rPr>
          <w:sz w:val="17"/>
        </w:rPr>
      </w:pPr>
    </w:p>
    <w:p>
      <w:pPr>
        <w:pStyle w:val="Heading1"/>
        <w:numPr>
          <w:ilvl w:val="2"/>
          <w:numId w:val="26"/>
        </w:numPr>
        <w:tabs>
          <w:tab w:pos="2691" w:val="left" w:leader="none"/>
        </w:tabs>
        <w:spacing w:line="240" w:lineRule="auto" w:before="1" w:after="0"/>
        <w:ind w:left="2690" w:right="0" w:hanging="605"/>
        <w:jc w:val="left"/>
      </w:pPr>
      <w:r>
        <w:rPr>
          <w:color w:val="53A1B9"/>
        </w:rPr>
        <w:t>Cuentas</w:t>
      </w:r>
      <w:r>
        <w:rPr>
          <w:color w:val="53A1B9"/>
          <w:spacing w:val="1"/>
        </w:rPr>
        <w:t> </w:t>
      </w:r>
      <w:r>
        <w:rPr>
          <w:color w:val="53A1B9"/>
        </w:rPr>
        <w:t>Anuales.</w:t>
      </w:r>
    </w:p>
    <w:p>
      <w:pPr>
        <w:pStyle w:val="BodyText"/>
        <w:spacing w:before="7"/>
        <w:rPr>
          <w:b/>
          <w:sz w:val="16"/>
        </w:rPr>
      </w:pPr>
    </w:p>
    <w:p>
      <w:pPr>
        <w:pStyle w:val="ListParagraph"/>
        <w:numPr>
          <w:ilvl w:val="0"/>
          <w:numId w:val="27"/>
        </w:numPr>
        <w:tabs>
          <w:tab w:pos="2335" w:val="left" w:leader="none"/>
        </w:tabs>
        <w:spacing w:line="242" w:lineRule="auto" w:before="0" w:after="0"/>
        <w:ind w:left="2334" w:right="1139" w:hanging="238"/>
        <w:jc w:val="both"/>
        <w:rPr>
          <w:sz w:val="20"/>
        </w:rPr>
      </w:pPr>
      <w:r>
        <w:rPr>
          <w:sz w:val="20"/>
        </w:rPr>
        <w:t>Se ha rendido la totalidad de las cuentas para estas entidades en el plazo previsto en la Orden de la Consejería de Hacienda de 22 de marzo de 2021, que regula la rendición de cuentas del sector público autonómico con presupuesto limitativo, a excepción de las cuentas del ICI y CR. Al no haberse dispuesto de estas cuentas, los análisis que se efectúan en el presente informe no incluyen la información de estas dos entidades, a excepción de los datos del presupuesto</w:t>
      </w:r>
      <w:r>
        <w:rPr>
          <w:spacing w:val="2"/>
          <w:sz w:val="20"/>
        </w:rPr>
        <w:t> </w:t>
      </w:r>
      <w:r>
        <w:rPr>
          <w:sz w:val="20"/>
        </w:rPr>
        <w:t>inicial.</w:t>
      </w:r>
    </w:p>
    <w:p>
      <w:pPr>
        <w:pStyle w:val="BodyText"/>
        <w:rPr>
          <w:sz w:val="21"/>
        </w:rPr>
      </w:pPr>
    </w:p>
    <w:p>
      <w:pPr>
        <w:pStyle w:val="BodyText"/>
        <w:spacing w:before="61"/>
        <w:ind w:left="7897"/>
        <w:jc w:val="center"/>
      </w:pPr>
      <w:r>
        <w:rPr/>
        <w:t>66</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43" name="image5.png"/>
                  <wp:cNvGraphicFramePr>
                    <a:graphicFrameLocks noChangeAspect="1"/>
                  </wp:cNvGraphicFramePr>
                  <a:graphic>
                    <a:graphicData uri="http://schemas.openxmlformats.org/drawingml/2006/picture">
                      <pic:pic>
                        <pic:nvPicPr>
                          <pic:cNvPr id="14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68/247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0"/>
          <w:numId w:val="27"/>
        </w:numPr>
        <w:tabs>
          <w:tab w:pos="2335" w:val="left" w:leader="none"/>
        </w:tabs>
        <w:spacing w:line="240" w:lineRule="auto" w:before="61" w:after="0"/>
        <w:ind w:left="2334" w:right="1140" w:hanging="238"/>
        <w:jc w:val="both"/>
        <w:rPr>
          <w:sz w:val="20"/>
        </w:rPr>
      </w:pPr>
      <w:r>
        <w:rPr>
          <w:sz w:val="20"/>
        </w:rPr>
        <w:t>Todas las cuentas rendidas han sido confeccionadas a partir de la información suministrada por el sistema informático SEFLOGIC y se han formulado conforme al PGCPCAC, aprobado por Orden de la Consejería de Hacienda de 21 de diciembre de 2018.</w:t>
      </w:r>
    </w:p>
    <w:p>
      <w:pPr>
        <w:pStyle w:val="BodyText"/>
        <w:spacing w:before="1"/>
        <w:rPr>
          <w:sz w:val="17"/>
        </w:rPr>
      </w:pPr>
    </w:p>
    <w:p>
      <w:pPr>
        <w:pStyle w:val="BodyText"/>
        <w:ind w:left="2334" w:right="1145"/>
        <w:jc w:val="both"/>
      </w:pPr>
      <w:r>
        <w:rPr/>
        <w:t>El ICHH rinde sus cuentas a partir de los datos extraídos de su propia aplicación informática, al no estar integrado en el SEFLOGIC.</w:t>
      </w:r>
    </w:p>
    <w:p>
      <w:pPr>
        <w:pStyle w:val="BodyText"/>
        <w:spacing w:before="9"/>
        <w:rPr>
          <w:sz w:val="16"/>
        </w:rPr>
      </w:pPr>
    </w:p>
    <w:p>
      <w:pPr>
        <w:pStyle w:val="ListParagraph"/>
        <w:numPr>
          <w:ilvl w:val="0"/>
          <w:numId w:val="27"/>
        </w:numPr>
        <w:tabs>
          <w:tab w:pos="2335" w:val="left" w:leader="none"/>
        </w:tabs>
        <w:spacing w:line="240" w:lineRule="auto" w:before="1" w:after="0"/>
        <w:ind w:left="2334" w:right="1148" w:hanging="238"/>
        <w:jc w:val="both"/>
        <w:rPr>
          <w:sz w:val="20"/>
        </w:rPr>
      </w:pPr>
      <w:r>
        <w:rPr>
          <w:sz w:val="20"/>
        </w:rPr>
        <w:t>No se han remitido los informes de CFP, que deben ser elaborados por la IGCAC, del ICAVI y del Capítulo 2 (excepto Art. 25) del</w:t>
      </w:r>
      <w:r>
        <w:rPr>
          <w:spacing w:val="1"/>
          <w:sz w:val="20"/>
        </w:rPr>
        <w:t> </w:t>
      </w:r>
      <w:r>
        <w:rPr>
          <w:sz w:val="20"/>
        </w:rPr>
        <w:t>SCS.</w:t>
      </w:r>
    </w:p>
    <w:p>
      <w:pPr>
        <w:pStyle w:val="BodyText"/>
        <w:spacing w:before="12"/>
        <w:rPr>
          <w:sz w:val="16"/>
        </w:rPr>
      </w:pPr>
    </w:p>
    <w:p>
      <w:pPr>
        <w:pStyle w:val="ListParagraph"/>
        <w:numPr>
          <w:ilvl w:val="0"/>
          <w:numId w:val="27"/>
        </w:numPr>
        <w:tabs>
          <w:tab w:pos="2335" w:val="left" w:leader="none"/>
        </w:tabs>
        <w:spacing w:line="240" w:lineRule="auto" w:before="0" w:after="0"/>
        <w:ind w:left="2334" w:right="1137" w:hanging="238"/>
        <w:jc w:val="both"/>
        <w:rPr>
          <w:sz w:val="20"/>
        </w:rPr>
      </w:pPr>
      <w:r>
        <w:rPr>
          <w:sz w:val="20"/>
        </w:rPr>
        <w:t>ICI no ha rendido sus cuentas anuales. Esta situación es resultado de la escasez de personal</w:t>
      </w:r>
      <w:r>
        <w:rPr>
          <w:spacing w:val="-2"/>
          <w:sz w:val="20"/>
        </w:rPr>
        <w:t> </w:t>
      </w:r>
      <w:r>
        <w:rPr>
          <w:sz w:val="20"/>
        </w:rPr>
        <w:t>agravada</w:t>
      </w:r>
      <w:r>
        <w:rPr>
          <w:spacing w:val="-2"/>
          <w:sz w:val="20"/>
        </w:rPr>
        <w:t> </w:t>
      </w:r>
      <w:r>
        <w:rPr>
          <w:sz w:val="20"/>
        </w:rPr>
        <w:t>en</w:t>
      </w:r>
      <w:r>
        <w:rPr>
          <w:spacing w:val="-1"/>
          <w:sz w:val="20"/>
        </w:rPr>
        <w:t> </w:t>
      </w:r>
      <w:r>
        <w:rPr>
          <w:sz w:val="20"/>
        </w:rPr>
        <w:t>el</w:t>
      </w:r>
      <w:r>
        <w:rPr>
          <w:spacing w:val="-4"/>
          <w:sz w:val="20"/>
        </w:rPr>
        <w:t> </w:t>
      </w:r>
      <w:r>
        <w:rPr>
          <w:sz w:val="20"/>
        </w:rPr>
        <w:t>tiempo</w:t>
      </w:r>
      <w:r>
        <w:rPr>
          <w:spacing w:val="-1"/>
          <w:sz w:val="20"/>
        </w:rPr>
        <w:t> </w:t>
      </w:r>
      <w:r>
        <w:rPr>
          <w:sz w:val="20"/>
        </w:rPr>
        <w:t>y</w:t>
      </w:r>
      <w:r>
        <w:rPr>
          <w:spacing w:val="-5"/>
          <w:sz w:val="20"/>
        </w:rPr>
        <w:t> </w:t>
      </w:r>
      <w:r>
        <w:rPr>
          <w:sz w:val="20"/>
        </w:rPr>
        <w:t>de</w:t>
      </w:r>
      <w:r>
        <w:rPr>
          <w:spacing w:val="-4"/>
          <w:sz w:val="20"/>
        </w:rPr>
        <w:t> </w:t>
      </w:r>
      <w:r>
        <w:rPr>
          <w:sz w:val="20"/>
        </w:rPr>
        <w:t>la</w:t>
      </w:r>
      <w:r>
        <w:rPr>
          <w:spacing w:val="-1"/>
          <w:sz w:val="20"/>
        </w:rPr>
        <w:t> </w:t>
      </w:r>
      <w:r>
        <w:rPr>
          <w:sz w:val="20"/>
        </w:rPr>
        <w:t>inadecuación</w:t>
      </w:r>
      <w:r>
        <w:rPr>
          <w:spacing w:val="-1"/>
          <w:sz w:val="20"/>
        </w:rPr>
        <w:t> </w:t>
      </w:r>
      <w:r>
        <w:rPr>
          <w:sz w:val="20"/>
        </w:rPr>
        <w:t>de</w:t>
      </w:r>
      <w:r>
        <w:rPr>
          <w:spacing w:val="-1"/>
          <w:sz w:val="20"/>
        </w:rPr>
        <w:t> </w:t>
      </w:r>
      <w:r>
        <w:rPr>
          <w:sz w:val="20"/>
        </w:rPr>
        <w:t>su</w:t>
      </w:r>
      <w:r>
        <w:rPr>
          <w:spacing w:val="-4"/>
          <w:sz w:val="20"/>
        </w:rPr>
        <w:t> </w:t>
      </w:r>
      <w:r>
        <w:rPr>
          <w:sz w:val="20"/>
        </w:rPr>
        <w:t>plantilla,</w:t>
      </w:r>
      <w:r>
        <w:rPr>
          <w:spacing w:val="-2"/>
          <w:sz w:val="20"/>
        </w:rPr>
        <w:t> </w:t>
      </w:r>
      <w:r>
        <w:rPr>
          <w:sz w:val="20"/>
        </w:rPr>
        <w:t>a</w:t>
      </w:r>
      <w:r>
        <w:rPr>
          <w:spacing w:val="-3"/>
          <w:sz w:val="20"/>
        </w:rPr>
        <w:t> </w:t>
      </w:r>
      <w:r>
        <w:rPr>
          <w:sz w:val="20"/>
        </w:rPr>
        <w:t>pesar</w:t>
      </w:r>
      <w:r>
        <w:rPr>
          <w:spacing w:val="-2"/>
          <w:sz w:val="20"/>
        </w:rPr>
        <w:t> </w:t>
      </w:r>
      <w:r>
        <w:rPr>
          <w:sz w:val="20"/>
        </w:rPr>
        <w:t>de que</w:t>
      </w:r>
      <w:r>
        <w:rPr>
          <w:spacing w:val="-2"/>
          <w:sz w:val="20"/>
        </w:rPr>
        <w:t> </w:t>
      </w:r>
      <w:r>
        <w:rPr>
          <w:sz w:val="20"/>
        </w:rPr>
        <w:t>el Gobierno</w:t>
      </w:r>
      <w:r>
        <w:rPr>
          <w:spacing w:val="-4"/>
          <w:sz w:val="20"/>
        </w:rPr>
        <w:t> </w:t>
      </w:r>
      <w:r>
        <w:rPr>
          <w:sz w:val="20"/>
        </w:rPr>
        <w:t>de</w:t>
      </w:r>
      <w:r>
        <w:rPr>
          <w:spacing w:val="-3"/>
          <w:sz w:val="20"/>
        </w:rPr>
        <w:t> </w:t>
      </w:r>
      <w:r>
        <w:rPr>
          <w:sz w:val="20"/>
        </w:rPr>
        <w:t>Canarias,</w:t>
      </w:r>
      <w:r>
        <w:rPr>
          <w:spacing w:val="-4"/>
          <w:sz w:val="20"/>
        </w:rPr>
        <w:t> </w:t>
      </w:r>
      <w:r>
        <w:rPr>
          <w:sz w:val="20"/>
        </w:rPr>
        <w:t>en</w:t>
      </w:r>
      <w:r>
        <w:rPr>
          <w:spacing w:val="-4"/>
          <w:sz w:val="20"/>
        </w:rPr>
        <w:t> </w:t>
      </w:r>
      <w:r>
        <w:rPr>
          <w:sz w:val="20"/>
        </w:rPr>
        <w:t>22</w:t>
      </w:r>
      <w:r>
        <w:rPr>
          <w:spacing w:val="-2"/>
          <w:sz w:val="20"/>
        </w:rPr>
        <w:t> </w:t>
      </w:r>
      <w:r>
        <w:rPr>
          <w:sz w:val="20"/>
        </w:rPr>
        <w:t>de</w:t>
      </w:r>
      <w:r>
        <w:rPr>
          <w:spacing w:val="-3"/>
          <w:sz w:val="20"/>
        </w:rPr>
        <w:t> </w:t>
      </w:r>
      <w:r>
        <w:rPr>
          <w:sz w:val="20"/>
        </w:rPr>
        <w:t>enero</w:t>
      </w:r>
      <w:r>
        <w:rPr>
          <w:spacing w:val="-5"/>
          <w:sz w:val="20"/>
        </w:rPr>
        <w:t> </w:t>
      </w:r>
      <w:r>
        <w:rPr>
          <w:sz w:val="20"/>
        </w:rPr>
        <w:t>de</w:t>
      </w:r>
      <w:r>
        <w:rPr>
          <w:spacing w:val="-3"/>
          <w:sz w:val="20"/>
        </w:rPr>
        <w:t> </w:t>
      </w:r>
      <w:r>
        <w:rPr>
          <w:sz w:val="20"/>
        </w:rPr>
        <w:t>2018,</w:t>
      </w:r>
      <w:r>
        <w:rPr>
          <w:spacing w:val="-3"/>
          <w:sz w:val="20"/>
        </w:rPr>
        <w:t> </w:t>
      </w:r>
      <w:r>
        <w:rPr>
          <w:sz w:val="20"/>
        </w:rPr>
        <w:t>declarara</w:t>
      </w:r>
      <w:r>
        <w:rPr>
          <w:spacing w:val="-3"/>
          <w:sz w:val="20"/>
        </w:rPr>
        <w:t> </w:t>
      </w:r>
      <w:r>
        <w:rPr>
          <w:sz w:val="20"/>
        </w:rPr>
        <w:t>sector</w:t>
      </w:r>
      <w:r>
        <w:rPr>
          <w:spacing w:val="-3"/>
          <w:sz w:val="20"/>
        </w:rPr>
        <w:t> </w:t>
      </w:r>
      <w:r>
        <w:rPr>
          <w:sz w:val="20"/>
        </w:rPr>
        <w:t>prioritario</w:t>
      </w:r>
      <w:r>
        <w:rPr>
          <w:spacing w:val="-6"/>
          <w:sz w:val="20"/>
        </w:rPr>
        <w:t> </w:t>
      </w:r>
      <w:r>
        <w:rPr>
          <w:sz w:val="20"/>
        </w:rPr>
        <w:t>al</w:t>
      </w:r>
      <w:r>
        <w:rPr>
          <w:spacing w:val="-3"/>
          <w:sz w:val="20"/>
        </w:rPr>
        <w:t> </w:t>
      </w:r>
      <w:r>
        <w:rPr>
          <w:sz w:val="20"/>
        </w:rPr>
        <w:t>Servicio de Coordinación del Sistema Integral contra la Violencia de Género, dependiente del ICI.</w:t>
      </w:r>
    </w:p>
    <w:p>
      <w:pPr>
        <w:pStyle w:val="BodyText"/>
        <w:spacing w:before="2"/>
        <w:rPr>
          <w:sz w:val="17"/>
        </w:rPr>
      </w:pPr>
    </w:p>
    <w:p>
      <w:pPr>
        <w:pStyle w:val="BodyText"/>
        <w:ind w:left="2334" w:right="1137"/>
        <w:jc w:val="both"/>
      </w:pPr>
      <w:r>
        <w:rPr/>
        <w:t>La plantilla del Instituto apenas ha variado desde su creación en 1994, con un presupuesto</w:t>
      </w:r>
      <w:r>
        <w:rPr>
          <w:spacing w:val="-4"/>
        </w:rPr>
        <w:t> </w:t>
      </w:r>
      <w:r>
        <w:rPr/>
        <w:t>que</w:t>
      </w:r>
      <w:r>
        <w:rPr>
          <w:spacing w:val="-4"/>
        </w:rPr>
        <w:t> </w:t>
      </w:r>
      <w:r>
        <w:rPr/>
        <w:t>se</w:t>
      </w:r>
      <w:r>
        <w:rPr>
          <w:spacing w:val="-4"/>
        </w:rPr>
        <w:t> </w:t>
      </w:r>
      <w:r>
        <w:rPr/>
        <w:t>ha</w:t>
      </w:r>
      <w:r>
        <w:rPr>
          <w:spacing w:val="-3"/>
        </w:rPr>
        <w:t> </w:t>
      </w:r>
      <w:r>
        <w:rPr/>
        <w:t>venido</w:t>
      </w:r>
      <w:r>
        <w:rPr>
          <w:spacing w:val="-4"/>
        </w:rPr>
        <w:t> </w:t>
      </w:r>
      <w:r>
        <w:rPr/>
        <w:t>incrementando</w:t>
      </w:r>
      <w:r>
        <w:rPr>
          <w:spacing w:val="-4"/>
        </w:rPr>
        <w:t> </w:t>
      </w:r>
      <w:r>
        <w:rPr/>
        <w:t>a</w:t>
      </w:r>
      <w:r>
        <w:rPr>
          <w:spacing w:val="-3"/>
        </w:rPr>
        <w:t> </w:t>
      </w:r>
      <w:r>
        <w:rPr/>
        <w:t>lo</w:t>
      </w:r>
      <w:r>
        <w:rPr>
          <w:spacing w:val="-4"/>
        </w:rPr>
        <w:t> </w:t>
      </w:r>
      <w:r>
        <w:rPr/>
        <w:t>largo</w:t>
      </w:r>
      <w:r>
        <w:rPr>
          <w:spacing w:val="-4"/>
        </w:rPr>
        <w:t> </w:t>
      </w:r>
      <w:r>
        <w:rPr/>
        <w:t>de</w:t>
      </w:r>
      <w:r>
        <w:rPr>
          <w:spacing w:val="-4"/>
        </w:rPr>
        <w:t> </w:t>
      </w:r>
      <w:r>
        <w:rPr/>
        <w:t>los</w:t>
      </w:r>
      <w:r>
        <w:rPr>
          <w:spacing w:val="-3"/>
        </w:rPr>
        <w:t> </w:t>
      </w:r>
      <w:r>
        <w:rPr/>
        <w:t>años.</w:t>
      </w:r>
      <w:r>
        <w:rPr>
          <w:spacing w:val="-5"/>
        </w:rPr>
        <w:t> </w:t>
      </w:r>
      <w:r>
        <w:rPr/>
        <w:t>Sólo</w:t>
      </w:r>
      <w:r>
        <w:rPr>
          <w:spacing w:val="-6"/>
        </w:rPr>
        <w:t> </w:t>
      </w:r>
      <w:r>
        <w:rPr/>
        <w:t>entre</w:t>
      </w:r>
      <w:r>
        <w:rPr>
          <w:spacing w:val="2"/>
        </w:rPr>
        <w:t> </w:t>
      </w:r>
      <w:r>
        <w:rPr/>
        <w:t>2018- 2021, los créditos del ICI crecieron un 54,3 % (un 35,1 % de 2019 a 2022), que tienen como destino subvenciones, medidas contra la violencia de género, así como la asistencia y prestación de ayudas a las víctimas, además de la financiación de los centros de crisis</w:t>
      </w:r>
      <w:r>
        <w:rPr>
          <w:spacing w:val="-3"/>
        </w:rPr>
        <w:t> </w:t>
      </w:r>
      <w:r>
        <w:rPr/>
        <w:t>24h.</w:t>
      </w:r>
    </w:p>
    <w:p>
      <w:pPr>
        <w:pStyle w:val="BodyText"/>
        <w:spacing w:before="4"/>
        <w:rPr>
          <w:sz w:val="17"/>
        </w:rPr>
      </w:pPr>
    </w:p>
    <w:p>
      <w:pPr>
        <w:pStyle w:val="BodyText"/>
        <w:spacing w:line="242" w:lineRule="auto" w:before="1"/>
        <w:ind w:left="2334" w:right="1138"/>
        <w:jc w:val="both"/>
      </w:pPr>
      <w:r>
        <w:rPr/>
        <w:t>A esto se suma los cambios acaecidos en su plantilla a causa del concurso de méritos celebrado en 2022 para la Administración autonómica y que se hizo efectivo en septiembre de ese año. Este personal de nueva incorporación debía, previamente, superar un periodo de formación hasta adquirir los conocimientos necesarios para desempeñar las nuevas funciones. Sin embargo, a partir de noviembre de 2022 se producen nuevos ceses y bajas por enfermedad de los jefes de sección y servicios, que no comienzan a cubrirse hasta marzo de 2023, aunque es junio pasado cuando se logra que estos puestos estén totalmente operativos.</w:t>
      </w:r>
    </w:p>
    <w:p>
      <w:pPr>
        <w:pStyle w:val="BodyText"/>
        <w:spacing w:before="2"/>
        <w:rPr>
          <w:sz w:val="16"/>
        </w:rPr>
      </w:pPr>
    </w:p>
    <w:p>
      <w:pPr>
        <w:pStyle w:val="BodyText"/>
        <w:ind w:left="2334" w:right="1138"/>
        <w:jc w:val="both"/>
      </w:pPr>
      <w:r>
        <w:rPr/>
        <w:t>El ICI representa el 0,3 % del presupuesto inicial agregado para las entidades dependientes de la Administración autonómica.</w:t>
      </w:r>
    </w:p>
    <w:p>
      <w:pPr>
        <w:pStyle w:val="BodyText"/>
        <w:spacing w:before="5"/>
        <w:rPr>
          <w:sz w:val="8"/>
        </w:rPr>
      </w:pPr>
    </w:p>
    <w:tbl>
      <w:tblPr>
        <w:tblW w:w="0" w:type="auto"/>
        <w:jc w:val="left"/>
        <w:tblInd w:w="2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60"/>
        <w:gridCol w:w="3469"/>
      </w:tblGrid>
      <w:tr>
        <w:trPr>
          <w:trHeight w:val="189" w:hRule="atLeast"/>
        </w:trPr>
        <w:tc>
          <w:tcPr>
            <w:tcW w:w="3660" w:type="dxa"/>
            <w:shd w:val="clear" w:color="auto" w:fill="DEEAF6"/>
          </w:tcPr>
          <w:p>
            <w:pPr>
              <w:pStyle w:val="TableParagraph"/>
              <w:tabs>
                <w:tab w:pos="2479" w:val="left" w:leader="none"/>
              </w:tabs>
              <w:spacing w:line="153" w:lineRule="exact" w:before="17"/>
              <w:ind w:left="721"/>
              <w:jc w:val="center"/>
              <w:rPr>
                <w:b/>
                <w:sz w:val="13"/>
              </w:rPr>
            </w:pPr>
            <w:r>
              <w:rPr>
                <w:b/>
                <w:w w:val="105"/>
                <w:sz w:val="13"/>
              </w:rPr>
              <w:t>CAPÍTULOS</w:t>
              <w:tab/>
              <w:t>Crédito</w:t>
            </w:r>
            <w:r>
              <w:rPr>
                <w:b/>
                <w:spacing w:val="-3"/>
                <w:w w:val="105"/>
                <w:sz w:val="13"/>
              </w:rPr>
              <w:t> </w:t>
            </w:r>
            <w:r>
              <w:rPr>
                <w:b/>
                <w:w w:val="105"/>
                <w:sz w:val="13"/>
              </w:rPr>
              <w:t>inicial</w:t>
            </w:r>
          </w:p>
        </w:tc>
        <w:tc>
          <w:tcPr>
            <w:tcW w:w="3469" w:type="dxa"/>
            <w:shd w:val="clear" w:color="auto" w:fill="DEEAF6"/>
          </w:tcPr>
          <w:p>
            <w:pPr>
              <w:pStyle w:val="TableParagraph"/>
              <w:tabs>
                <w:tab w:pos="1612" w:val="left" w:leader="none"/>
              </w:tabs>
              <w:spacing w:line="153" w:lineRule="exact" w:before="17"/>
              <w:ind w:right="133"/>
              <w:jc w:val="right"/>
              <w:rPr>
                <w:b/>
                <w:sz w:val="13"/>
              </w:rPr>
            </w:pPr>
            <w:r>
              <w:rPr>
                <w:b/>
                <w:w w:val="105"/>
                <w:sz w:val="13"/>
              </w:rPr>
              <w:t>CAPÍTULOS</w:t>
              <w:tab/>
              <w:t>Previsión</w:t>
            </w:r>
            <w:r>
              <w:rPr>
                <w:b/>
                <w:spacing w:val="-19"/>
                <w:w w:val="105"/>
                <w:sz w:val="13"/>
              </w:rPr>
              <w:t> </w:t>
            </w:r>
            <w:r>
              <w:rPr>
                <w:b/>
                <w:w w:val="105"/>
                <w:sz w:val="13"/>
              </w:rPr>
              <w:t>inicial</w:t>
            </w:r>
          </w:p>
        </w:tc>
      </w:tr>
      <w:tr>
        <w:trPr>
          <w:trHeight w:val="951" w:hRule="atLeast"/>
        </w:trPr>
        <w:tc>
          <w:tcPr>
            <w:tcW w:w="3660" w:type="dxa"/>
          </w:tcPr>
          <w:p>
            <w:pPr>
              <w:pStyle w:val="TableParagraph"/>
              <w:numPr>
                <w:ilvl w:val="0"/>
                <w:numId w:val="28"/>
              </w:numPr>
              <w:tabs>
                <w:tab w:pos="157" w:val="left" w:leader="none"/>
                <w:tab w:pos="3600" w:val="right" w:leader="none"/>
              </w:tabs>
              <w:spacing w:line="240" w:lineRule="auto" w:before="16" w:after="0"/>
              <w:ind w:left="156" w:right="0" w:hanging="100"/>
              <w:jc w:val="left"/>
              <w:rPr>
                <w:sz w:val="13"/>
              </w:rPr>
            </w:pPr>
            <w:r>
              <w:rPr>
                <w:w w:val="105"/>
                <w:sz w:val="13"/>
              </w:rPr>
              <w:t>Gastos</w:t>
            </w:r>
            <w:r>
              <w:rPr>
                <w:spacing w:val="-2"/>
                <w:w w:val="105"/>
                <w:sz w:val="13"/>
              </w:rPr>
              <w:t> </w:t>
            </w:r>
            <w:r>
              <w:rPr>
                <w:w w:val="105"/>
                <w:sz w:val="13"/>
              </w:rPr>
              <w:t>de</w:t>
            </w:r>
            <w:r>
              <w:rPr>
                <w:spacing w:val="-3"/>
                <w:w w:val="105"/>
                <w:sz w:val="13"/>
              </w:rPr>
              <w:t> </w:t>
            </w:r>
            <w:r>
              <w:rPr>
                <w:w w:val="105"/>
                <w:sz w:val="13"/>
              </w:rPr>
              <w:t>personal</w:t>
              <w:tab/>
              <w:t>1.480</w:t>
            </w:r>
          </w:p>
          <w:p>
            <w:pPr>
              <w:pStyle w:val="TableParagraph"/>
              <w:numPr>
                <w:ilvl w:val="0"/>
                <w:numId w:val="28"/>
              </w:numPr>
              <w:tabs>
                <w:tab w:pos="157" w:val="left" w:leader="none"/>
                <w:tab w:pos="3600" w:val="right" w:leader="none"/>
              </w:tabs>
              <w:spacing w:line="240" w:lineRule="auto" w:before="31" w:after="0"/>
              <w:ind w:left="156" w:right="0" w:hanging="100"/>
              <w:jc w:val="left"/>
              <w:rPr>
                <w:sz w:val="13"/>
              </w:rPr>
            </w:pPr>
            <w:r>
              <w:rPr>
                <w:w w:val="105"/>
                <w:sz w:val="13"/>
              </w:rPr>
              <w:t>Compra de bienes corrientes</w:t>
            </w:r>
            <w:r>
              <w:rPr>
                <w:spacing w:val="-12"/>
                <w:w w:val="105"/>
                <w:sz w:val="13"/>
              </w:rPr>
              <w:t> </w:t>
            </w:r>
            <w:r>
              <w:rPr>
                <w:w w:val="105"/>
                <w:sz w:val="13"/>
              </w:rPr>
              <w:t>y</w:t>
            </w:r>
            <w:r>
              <w:rPr>
                <w:spacing w:val="-1"/>
                <w:w w:val="105"/>
                <w:sz w:val="13"/>
              </w:rPr>
              <w:t> </w:t>
            </w:r>
            <w:r>
              <w:rPr>
                <w:w w:val="105"/>
                <w:sz w:val="13"/>
              </w:rPr>
              <w:t>servicios</w:t>
              <w:tab/>
              <w:t>715</w:t>
            </w:r>
          </w:p>
          <w:p>
            <w:pPr>
              <w:pStyle w:val="TableParagraph"/>
              <w:tabs>
                <w:tab w:pos="3600" w:val="right" w:leader="none"/>
              </w:tabs>
              <w:spacing w:before="32"/>
              <w:ind w:left="57"/>
              <w:rPr>
                <w:sz w:val="13"/>
              </w:rPr>
            </w:pPr>
            <w:r>
              <w:rPr>
                <w:w w:val="105"/>
                <w:sz w:val="13"/>
              </w:rPr>
              <w:t>4</w:t>
            </w:r>
            <w:r>
              <w:rPr>
                <w:spacing w:val="-2"/>
                <w:w w:val="105"/>
                <w:sz w:val="13"/>
              </w:rPr>
              <w:t> </w:t>
            </w:r>
            <w:r>
              <w:rPr>
                <w:w w:val="105"/>
                <w:sz w:val="13"/>
              </w:rPr>
              <w:t>Transferencias</w:t>
            </w:r>
            <w:r>
              <w:rPr>
                <w:spacing w:val="-2"/>
                <w:w w:val="105"/>
                <w:sz w:val="13"/>
              </w:rPr>
              <w:t> </w:t>
            </w:r>
            <w:r>
              <w:rPr>
                <w:w w:val="105"/>
                <w:sz w:val="13"/>
              </w:rPr>
              <w:t>corrientes</w:t>
              <w:tab/>
              <w:t>11.945</w:t>
            </w:r>
          </w:p>
          <w:p>
            <w:pPr>
              <w:pStyle w:val="TableParagraph"/>
              <w:numPr>
                <w:ilvl w:val="0"/>
                <w:numId w:val="29"/>
              </w:numPr>
              <w:tabs>
                <w:tab w:pos="157" w:val="left" w:leader="none"/>
                <w:tab w:pos="3600" w:val="right" w:leader="none"/>
              </w:tabs>
              <w:spacing w:line="240" w:lineRule="auto" w:before="31" w:after="0"/>
              <w:ind w:left="156" w:right="0" w:hanging="100"/>
              <w:jc w:val="left"/>
              <w:rPr>
                <w:sz w:val="13"/>
              </w:rPr>
            </w:pPr>
            <w:r>
              <w:rPr>
                <w:w w:val="105"/>
                <w:sz w:val="13"/>
              </w:rPr>
              <w:t>Inversiones</w:t>
            </w:r>
            <w:r>
              <w:rPr>
                <w:spacing w:val="-2"/>
                <w:w w:val="105"/>
                <w:sz w:val="13"/>
              </w:rPr>
              <w:t> </w:t>
            </w:r>
            <w:r>
              <w:rPr>
                <w:w w:val="105"/>
                <w:sz w:val="13"/>
              </w:rPr>
              <w:t>reales</w:t>
              <w:tab/>
              <w:t>300</w:t>
            </w:r>
          </w:p>
          <w:p>
            <w:pPr>
              <w:pStyle w:val="TableParagraph"/>
              <w:numPr>
                <w:ilvl w:val="0"/>
                <w:numId w:val="29"/>
              </w:numPr>
              <w:tabs>
                <w:tab w:pos="157" w:val="left" w:leader="none"/>
                <w:tab w:pos="3598" w:val="right" w:leader="none"/>
              </w:tabs>
              <w:spacing w:line="153" w:lineRule="exact" w:before="33" w:after="0"/>
              <w:ind w:left="156" w:right="0" w:hanging="100"/>
              <w:jc w:val="left"/>
              <w:rPr>
                <w:sz w:val="13"/>
              </w:rPr>
            </w:pPr>
            <w:r>
              <w:rPr>
                <w:w w:val="105"/>
                <w:sz w:val="13"/>
              </w:rPr>
              <w:t>Transferencias</w:t>
            </w:r>
            <w:r>
              <w:rPr>
                <w:spacing w:val="-2"/>
                <w:w w:val="105"/>
                <w:sz w:val="13"/>
              </w:rPr>
              <w:t> </w:t>
            </w:r>
            <w:r>
              <w:rPr>
                <w:w w:val="105"/>
                <w:sz w:val="13"/>
              </w:rPr>
              <w:t>de capital</w:t>
              <w:tab/>
              <w:t>10</w:t>
            </w:r>
          </w:p>
        </w:tc>
        <w:tc>
          <w:tcPr>
            <w:tcW w:w="3469" w:type="dxa"/>
          </w:tcPr>
          <w:p>
            <w:pPr>
              <w:pStyle w:val="TableParagraph"/>
              <w:numPr>
                <w:ilvl w:val="0"/>
                <w:numId w:val="30"/>
              </w:numPr>
              <w:tabs>
                <w:tab w:pos="157" w:val="left" w:leader="none"/>
                <w:tab w:pos="3409" w:val="right" w:leader="none"/>
              </w:tabs>
              <w:spacing w:line="240" w:lineRule="auto" w:before="16" w:after="0"/>
              <w:ind w:left="156" w:right="0" w:hanging="100"/>
              <w:jc w:val="left"/>
              <w:rPr>
                <w:sz w:val="13"/>
              </w:rPr>
            </w:pPr>
            <w:r>
              <w:rPr>
                <w:w w:val="105"/>
                <w:sz w:val="13"/>
              </w:rPr>
              <w:t>Tasas y</w:t>
            </w:r>
            <w:r>
              <w:rPr>
                <w:spacing w:val="-4"/>
                <w:w w:val="105"/>
                <w:sz w:val="13"/>
              </w:rPr>
              <w:t> </w:t>
            </w:r>
            <w:r>
              <w:rPr>
                <w:w w:val="105"/>
                <w:sz w:val="13"/>
              </w:rPr>
              <w:t>otros</w:t>
            </w:r>
            <w:r>
              <w:rPr>
                <w:spacing w:val="-2"/>
                <w:w w:val="105"/>
                <w:sz w:val="13"/>
              </w:rPr>
              <w:t> </w:t>
            </w:r>
            <w:r>
              <w:rPr>
                <w:w w:val="105"/>
                <w:sz w:val="13"/>
              </w:rPr>
              <w:t>ingresos</w:t>
              <w:tab/>
              <w:t>5</w:t>
            </w:r>
          </w:p>
          <w:p>
            <w:pPr>
              <w:pStyle w:val="TableParagraph"/>
              <w:numPr>
                <w:ilvl w:val="0"/>
                <w:numId w:val="30"/>
              </w:numPr>
              <w:tabs>
                <w:tab w:pos="157" w:val="left" w:leader="none"/>
                <w:tab w:pos="3411" w:val="right" w:leader="none"/>
              </w:tabs>
              <w:spacing w:line="240" w:lineRule="auto" w:before="31" w:after="0"/>
              <w:ind w:left="156" w:right="0" w:hanging="100"/>
              <w:jc w:val="left"/>
              <w:rPr>
                <w:sz w:val="13"/>
              </w:rPr>
            </w:pPr>
            <w:r>
              <w:rPr>
                <w:w w:val="105"/>
                <w:sz w:val="13"/>
              </w:rPr>
              <w:t>Transferencias</w:t>
            </w:r>
            <w:r>
              <w:rPr>
                <w:spacing w:val="-3"/>
                <w:w w:val="105"/>
                <w:sz w:val="13"/>
              </w:rPr>
              <w:t> </w:t>
            </w:r>
            <w:r>
              <w:rPr>
                <w:w w:val="105"/>
                <w:sz w:val="13"/>
              </w:rPr>
              <w:t>corrientes</w:t>
              <w:tab/>
              <w:t>14.134</w:t>
            </w:r>
          </w:p>
          <w:p>
            <w:pPr>
              <w:pStyle w:val="TableParagraph"/>
              <w:numPr>
                <w:ilvl w:val="0"/>
                <w:numId w:val="30"/>
              </w:numPr>
              <w:tabs>
                <w:tab w:pos="157" w:val="left" w:leader="none"/>
              </w:tabs>
              <w:spacing w:line="240" w:lineRule="auto" w:before="32" w:after="0"/>
              <w:ind w:left="156" w:right="0" w:hanging="100"/>
              <w:jc w:val="left"/>
              <w:rPr>
                <w:sz w:val="13"/>
              </w:rPr>
            </w:pPr>
            <w:r>
              <w:rPr>
                <w:w w:val="105"/>
                <w:sz w:val="13"/>
              </w:rPr>
              <w:t>Ingresos</w:t>
            </w:r>
            <w:r>
              <w:rPr>
                <w:spacing w:val="-2"/>
                <w:w w:val="105"/>
                <w:sz w:val="13"/>
              </w:rPr>
              <w:t> </w:t>
            </w:r>
            <w:r>
              <w:rPr>
                <w:w w:val="105"/>
                <w:sz w:val="13"/>
              </w:rPr>
              <w:t>Patrimoniales</w:t>
            </w:r>
          </w:p>
          <w:p>
            <w:pPr>
              <w:pStyle w:val="TableParagraph"/>
              <w:numPr>
                <w:ilvl w:val="0"/>
                <w:numId w:val="30"/>
              </w:numPr>
              <w:tabs>
                <w:tab w:pos="157" w:val="left" w:leader="none"/>
              </w:tabs>
              <w:spacing w:line="240" w:lineRule="auto" w:before="31" w:after="0"/>
              <w:ind w:left="156" w:right="0" w:hanging="100"/>
              <w:jc w:val="left"/>
              <w:rPr>
                <w:sz w:val="13"/>
              </w:rPr>
            </w:pPr>
            <w:r>
              <w:rPr>
                <w:w w:val="105"/>
                <w:sz w:val="13"/>
              </w:rPr>
              <w:t>Enajenación inversiones</w:t>
            </w:r>
            <w:r>
              <w:rPr>
                <w:spacing w:val="-5"/>
                <w:w w:val="105"/>
                <w:sz w:val="13"/>
              </w:rPr>
              <w:t> </w:t>
            </w:r>
            <w:r>
              <w:rPr>
                <w:w w:val="105"/>
                <w:sz w:val="13"/>
              </w:rPr>
              <w:t>reales</w:t>
            </w:r>
          </w:p>
          <w:p>
            <w:pPr>
              <w:pStyle w:val="TableParagraph"/>
              <w:numPr>
                <w:ilvl w:val="0"/>
                <w:numId w:val="30"/>
              </w:numPr>
              <w:tabs>
                <w:tab w:pos="157" w:val="left" w:leader="none"/>
                <w:tab w:pos="3411" w:val="right" w:leader="none"/>
              </w:tabs>
              <w:spacing w:line="151" w:lineRule="exact" w:before="35" w:after="0"/>
              <w:ind w:left="156" w:right="0" w:hanging="100"/>
              <w:jc w:val="left"/>
              <w:rPr>
                <w:sz w:val="13"/>
              </w:rPr>
            </w:pPr>
            <w:r>
              <w:rPr>
                <w:w w:val="105"/>
                <w:position w:val="1"/>
                <w:sz w:val="13"/>
              </w:rPr>
              <w:t>Transferencias</w:t>
            </w:r>
            <w:r>
              <w:rPr>
                <w:spacing w:val="-3"/>
                <w:w w:val="105"/>
                <w:position w:val="1"/>
                <w:sz w:val="13"/>
              </w:rPr>
              <w:t> </w:t>
            </w:r>
            <w:r>
              <w:rPr>
                <w:w w:val="105"/>
                <w:position w:val="1"/>
                <w:sz w:val="13"/>
              </w:rPr>
              <w:t>de</w:t>
            </w:r>
            <w:r>
              <w:rPr>
                <w:spacing w:val="-2"/>
                <w:w w:val="105"/>
                <w:position w:val="1"/>
                <w:sz w:val="13"/>
              </w:rPr>
              <w:t> </w:t>
            </w:r>
            <w:r>
              <w:rPr>
                <w:w w:val="105"/>
                <w:position w:val="1"/>
                <w:sz w:val="13"/>
              </w:rPr>
              <w:t>Capital</w:t>
              <w:tab/>
            </w:r>
            <w:r>
              <w:rPr>
                <w:w w:val="105"/>
                <w:sz w:val="13"/>
              </w:rPr>
              <w:t>310</w:t>
            </w:r>
          </w:p>
        </w:tc>
      </w:tr>
      <w:tr>
        <w:trPr>
          <w:trHeight w:val="189" w:hRule="atLeast"/>
        </w:trPr>
        <w:tc>
          <w:tcPr>
            <w:tcW w:w="3660" w:type="dxa"/>
            <w:shd w:val="clear" w:color="auto" w:fill="D9D9D9"/>
          </w:tcPr>
          <w:p>
            <w:pPr>
              <w:pStyle w:val="TableParagraph"/>
              <w:tabs>
                <w:tab w:pos="3551" w:val="right" w:leader="none"/>
              </w:tabs>
              <w:spacing w:line="153" w:lineRule="exact" w:before="16"/>
              <w:ind w:left="671"/>
              <w:jc w:val="center"/>
              <w:rPr>
                <w:b/>
                <w:sz w:val="13"/>
              </w:rPr>
            </w:pPr>
            <w:r>
              <w:rPr>
                <w:b/>
                <w:w w:val="105"/>
                <w:sz w:val="13"/>
              </w:rPr>
              <w:t>TOTAL (</w:t>
            </w:r>
            <w:r>
              <w:rPr>
                <w:w w:val="105"/>
                <w:sz w:val="13"/>
              </w:rPr>
              <w:t>miles</w:t>
            </w:r>
            <w:r>
              <w:rPr>
                <w:spacing w:val="-4"/>
                <w:w w:val="105"/>
                <w:sz w:val="13"/>
              </w:rPr>
              <w:t> </w:t>
            </w:r>
            <w:r>
              <w:rPr>
                <w:w w:val="105"/>
                <w:sz w:val="13"/>
              </w:rPr>
              <w:t>de</w:t>
            </w:r>
            <w:r>
              <w:rPr>
                <w:spacing w:val="-3"/>
                <w:w w:val="105"/>
                <w:sz w:val="13"/>
              </w:rPr>
              <w:t> </w:t>
            </w:r>
            <w:r>
              <w:rPr>
                <w:w w:val="105"/>
                <w:sz w:val="13"/>
              </w:rPr>
              <w:t>€</w:t>
            </w:r>
            <w:r>
              <w:rPr>
                <w:b/>
                <w:w w:val="105"/>
                <w:sz w:val="13"/>
              </w:rPr>
              <w:t>)</w:t>
              <w:tab/>
              <w:t>14.449</w:t>
            </w:r>
          </w:p>
        </w:tc>
        <w:tc>
          <w:tcPr>
            <w:tcW w:w="3469" w:type="dxa"/>
            <w:shd w:val="clear" w:color="auto" w:fill="D9D9D9"/>
          </w:tcPr>
          <w:p>
            <w:pPr>
              <w:pStyle w:val="TableParagraph"/>
              <w:tabs>
                <w:tab w:pos="2775" w:val="right" w:leader="none"/>
              </w:tabs>
              <w:spacing w:line="153" w:lineRule="exact" w:before="16"/>
              <w:ind w:right="45"/>
              <w:jc w:val="right"/>
              <w:rPr>
                <w:b/>
                <w:sz w:val="13"/>
              </w:rPr>
            </w:pPr>
            <w:r>
              <w:rPr>
                <w:b/>
                <w:w w:val="105"/>
                <w:sz w:val="13"/>
              </w:rPr>
              <w:t>TOTAL (</w:t>
            </w:r>
            <w:r>
              <w:rPr>
                <w:w w:val="105"/>
                <w:sz w:val="13"/>
              </w:rPr>
              <w:t>miles</w:t>
            </w:r>
            <w:r>
              <w:rPr>
                <w:spacing w:val="-4"/>
                <w:w w:val="105"/>
                <w:sz w:val="13"/>
              </w:rPr>
              <w:t> </w:t>
            </w:r>
            <w:r>
              <w:rPr>
                <w:w w:val="105"/>
                <w:sz w:val="13"/>
              </w:rPr>
              <w:t>de</w:t>
            </w:r>
            <w:r>
              <w:rPr>
                <w:spacing w:val="-3"/>
                <w:w w:val="105"/>
                <w:sz w:val="13"/>
              </w:rPr>
              <w:t> </w:t>
            </w:r>
            <w:r>
              <w:rPr>
                <w:w w:val="105"/>
                <w:sz w:val="13"/>
              </w:rPr>
              <w:t>€</w:t>
            </w:r>
            <w:r>
              <w:rPr>
                <w:b/>
                <w:w w:val="105"/>
                <w:sz w:val="13"/>
              </w:rPr>
              <w:t>)</w:t>
              <w:tab/>
              <w:t>14.449</w:t>
            </w:r>
          </w:p>
        </w:tc>
      </w:tr>
    </w:tbl>
    <w:p>
      <w:pPr>
        <w:pStyle w:val="BodyText"/>
        <w:spacing w:before="61"/>
        <w:ind w:left="7897"/>
        <w:jc w:val="center"/>
      </w:pPr>
      <w:r>
        <w:rPr/>
        <w:t>67</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45" name="image5.png"/>
                  <wp:cNvGraphicFramePr>
                    <a:graphicFrameLocks noChangeAspect="1"/>
                  </wp:cNvGraphicFramePr>
                  <a:graphic>
                    <a:graphicData uri="http://schemas.openxmlformats.org/drawingml/2006/picture">
                      <pic:pic>
                        <pic:nvPicPr>
                          <pic:cNvPr id="14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69/247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0"/>
          <w:numId w:val="31"/>
        </w:numPr>
        <w:tabs>
          <w:tab w:pos="2335" w:val="left" w:leader="none"/>
        </w:tabs>
        <w:spacing w:line="240" w:lineRule="auto" w:before="61" w:after="0"/>
        <w:ind w:left="2334" w:right="0" w:hanging="239"/>
        <w:jc w:val="left"/>
        <w:rPr>
          <w:b/>
          <w:sz w:val="20"/>
        </w:rPr>
      </w:pPr>
      <w:r>
        <w:rPr>
          <w:b/>
          <w:sz w:val="20"/>
        </w:rPr>
        <w:t>Presupuesto inicial y definitivo.</w:t>
      </w:r>
    </w:p>
    <w:p>
      <w:pPr>
        <w:pStyle w:val="BodyText"/>
        <w:spacing w:before="4"/>
        <w:rPr>
          <w:b/>
          <w:sz w:val="8"/>
        </w:rPr>
      </w:pPr>
    </w:p>
    <w:tbl>
      <w:tblPr>
        <w:tblW w:w="0" w:type="auto"/>
        <w:jc w:val="left"/>
        <w:tblInd w:w="2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6"/>
        <w:gridCol w:w="1070"/>
        <w:gridCol w:w="1302"/>
        <w:gridCol w:w="1081"/>
        <w:gridCol w:w="1313"/>
        <w:gridCol w:w="1086"/>
      </w:tblGrid>
      <w:tr>
        <w:trPr>
          <w:trHeight w:val="189" w:hRule="atLeast"/>
        </w:trPr>
        <w:tc>
          <w:tcPr>
            <w:tcW w:w="1306" w:type="dxa"/>
            <w:vMerge w:val="restart"/>
            <w:tcBorders>
              <w:top w:val="single" w:sz="4" w:space="0" w:color="000000"/>
              <w:left w:val="single" w:sz="4" w:space="0" w:color="000000"/>
              <w:right w:val="single" w:sz="4" w:space="0" w:color="000000"/>
            </w:tcBorders>
          </w:tcPr>
          <w:p>
            <w:pPr>
              <w:pStyle w:val="TableParagraph"/>
              <w:rPr>
                <w:rFonts w:ascii="Times New Roman"/>
                <w:sz w:val="14"/>
              </w:rPr>
            </w:pPr>
          </w:p>
        </w:tc>
        <w:tc>
          <w:tcPr>
            <w:tcW w:w="1070" w:type="dxa"/>
            <w:vMerge w:val="restart"/>
            <w:tcBorders>
              <w:top w:val="single" w:sz="4" w:space="0" w:color="000000"/>
              <w:left w:val="single" w:sz="4" w:space="0" w:color="000000"/>
              <w:right w:val="single" w:sz="4" w:space="0" w:color="000000"/>
            </w:tcBorders>
            <w:shd w:val="clear" w:color="auto" w:fill="DEEAF6"/>
          </w:tcPr>
          <w:p>
            <w:pPr>
              <w:pStyle w:val="TableParagraph"/>
              <w:spacing w:line="147" w:lineRule="exact" w:before="103"/>
              <w:ind w:left="216"/>
              <w:rPr>
                <w:b/>
                <w:sz w:val="13"/>
              </w:rPr>
            </w:pPr>
            <w:r>
              <w:rPr>
                <w:b/>
                <w:w w:val="105"/>
                <w:sz w:val="13"/>
              </w:rPr>
              <w:t>Previsiones</w:t>
            </w:r>
          </w:p>
        </w:tc>
        <w:tc>
          <w:tcPr>
            <w:tcW w:w="2383" w:type="dxa"/>
            <w:gridSpan w:val="2"/>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153" w:lineRule="exact" w:before="16"/>
              <w:ind w:left="935" w:right="924"/>
              <w:jc w:val="center"/>
              <w:rPr>
                <w:b/>
                <w:sz w:val="13"/>
              </w:rPr>
            </w:pPr>
            <w:r>
              <w:rPr>
                <w:b/>
                <w:w w:val="105"/>
                <w:sz w:val="13"/>
              </w:rPr>
              <w:t>Ingresos</w:t>
            </w:r>
          </w:p>
        </w:tc>
        <w:tc>
          <w:tcPr>
            <w:tcW w:w="2399" w:type="dxa"/>
            <w:gridSpan w:val="2"/>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153" w:lineRule="exact" w:before="16"/>
              <w:ind w:left="986" w:right="978"/>
              <w:jc w:val="center"/>
              <w:rPr>
                <w:b/>
                <w:sz w:val="13"/>
              </w:rPr>
            </w:pPr>
            <w:r>
              <w:rPr>
                <w:b/>
                <w:w w:val="105"/>
                <w:sz w:val="13"/>
              </w:rPr>
              <w:t>Gastos</w:t>
            </w:r>
          </w:p>
        </w:tc>
      </w:tr>
      <w:tr>
        <w:trPr>
          <w:trHeight w:val="70" w:hRule="atLeast"/>
        </w:trPr>
        <w:tc>
          <w:tcPr>
            <w:tcW w:w="1306" w:type="dxa"/>
            <w:vMerge/>
            <w:tcBorders>
              <w:top w:val="nil"/>
              <w:left w:val="single" w:sz="4" w:space="0" w:color="000000"/>
              <w:right w:val="single" w:sz="4" w:space="0" w:color="000000"/>
            </w:tcBorders>
          </w:tcPr>
          <w:p>
            <w:pPr>
              <w:rPr>
                <w:sz w:val="2"/>
                <w:szCs w:val="2"/>
              </w:rPr>
            </w:pPr>
          </w:p>
        </w:tc>
        <w:tc>
          <w:tcPr>
            <w:tcW w:w="1070" w:type="dxa"/>
            <w:vMerge/>
            <w:tcBorders>
              <w:top w:val="nil"/>
              <w:left w:val="single" w:sz="4" w:space="0" w:color="000000"/>
              <w:right w:val="single" w:sz="4" w:space="0" w:color="000000"/>
            </w:tcBorders>
            <w:shd w:val="clear" w:color="auto" w:fill="DEEAF6"/>
          </w:tcPr>
          <w:p>
            <w:pPr>
              <w:rPr>
                <w:sz w:val="2"/>
                <w:szCs w:val="2"/>
              </w:rPr>
            </w:pPr>
          </w:p>
        </w:tc>
        <w:tc>
          <w:tcPr>
            <w:tcW w:w="1302" w:type="dxa"/>
            <w:tcBorders>
              <w:top w:val="single" w:sz="4" w:space="0" w:color="000000"/>
              <w:left w:val="single" w:sz="4" w:space="0" w:color="000000"/>
            </w:tcBorders>
            <w:shd w:val="clear" w:color="auto" w:fill="DEEAF6"/>
          </w:tcPr>
          <w:p>
            <w:pPr>
              <w:pStyle w:val="TableParagraph"/>
              <w:rPr>
                <w:rFonts w:ascii="Times New Roman"/>
                <w:sz w:val="2"/>
              </w:rPr>
            </w:pPr>
          </w:p>
        </w:tc>
        <w:tc>
          <w:tcPr>
            <w:tcW w:w="1081" w:type="dxa"/>
            <w:tcBorders>
              <w:top w:val="single" w:sz="4" w:space="0" w:color="000000"/>
              <w:right w:val="single" w:sz="4" w:space="0" w:color="000000"/>
            </w:tcBorders>
            <w:shd w:val="clear" w:color="auto" w:fill="DEEAF6"/>
          </w:tcPr>
          <w:p>
            <w:pPr>
              <w:pStyle w:val="TableParagraph"/>
              <w:rPr>
                <w:rFonts w:ascii="Times New Roman"/>
                <w:sz w:val="2"/>
              </w:rPr>
            </w:pPr>
          </w:p>
        </w:tc>
        <w:tc>
          <w:tcPr>
            <w:tcW w:w="1313" w:type="dxa"/>
            <w:vMerge w:val="restart"/>
            <w:tcBorders>
              <w:top w:val="single" w:sz="4" w:space="0" w:color="000000"/>
              <w:left w:val="single" w:sz="4" w:space="0" w:color="000000"/>
              <w:bottom w:val="single" w:sz="4" w:space="0" w:color="000000"/>
            </w:tcBorders>
            <w:shd w:val="clear" w:color="auto" w:fill="DEEAF6"/>
          </w:tcPr>
          <w:p>
            <w:pPr>
              <w:pStyle w:val="TableParagraph"/>
              <w:spacing w:before="85"/>
              <w:ind w:left="168"/>
              <w:rPr>
                <w:b/>
                <w:sz w:val="13"/>
              </w:rPr>
            </w:pPr>
            <w:r>
              <w:rPr>
                <w:b/>
                <w:w w:val="105"/>
                <w:sz w:val="13"/>
              </w:rPr>
              <w:t>Modificaciones</w:t>
            </w:r>
          </w:p>
        </w:tc>
        <w:tc>
          <w:tcPr>
            <w:tcW w:w="1086" w:type="dxa"/>
            <w:vMerge w:val="restart"/>
            <w:tcBorders>
              <w:top w:val="single" w:sz="4" w:space="0" w:color="000000"/>
              <w:bottom w:val="single" w:sz="4" w:space="0" w:color="000000"/>
              <w:right w:val="single" w:sz="4" w:space="0" w:color="000000"/>
            </w:tcBorders>
            <w:shd w:val="clear" w:color="auto" w:fill="DEEAF6"/>
          </w:tcPr>
          <w:p>
            <w:pPr>
              <w:pStyle w:val="TableParagraph"/>
              <w:spacing w:before="2"/>
              <w:ind w:left="252"/>
              <w:rPr>
                <w:b/>
                <w:sz w:val="13"/>
              </w:rPr>
            </w:pPr>
            <w:r>
              <w:rPr>
                <w:b/>
                <w:w w:val="105"/>
                <w:sz w:val="13"/>
              </w:rPr>
              <w:t>Créditos</w:t>
            </w:r>
          </w:p>
          <w:p>
            <w:pPr>
              <w:pStyle w:val="TableParagraph"/>
              <w:spacing w:line="141" w:lineRule="exact" w:before="4"/>
              <w:ind w:left="184"/>
              <w:rPr>
                <w:b/>
                <w:sz w:val="13"/>
              </w:rPr>
            </w:pPr>
            <w:r>
              <w:rPr>
                <w:b/>
                <w:w w:val="105"/>
                <w:sz w:val="13"/>
              </w:rPr>
              <w:t>Definitivos</w:t>
            </w:r>
          </w:p>
        </w:tc>
      </w:tr>
      <w:tr>
        <w:trPr>
          <w:trHeight w:val="246" w:hRule="atLeast"/>
        </w:trPr>
        <w:tc>
          <w:tcPr>
            <w:tcW w:w="1306" w:type="dxa"/>
            <w:tcBorders>
              <w:left w:val="single" w:sz="4" w:space="0" w:color="000000"/>
              <w:right w:val="single" w:sz="4" w:space="0" w:color="000000"/>
            </w:tcBorders>
          </w:tcPr>
          <w:p>
            <w:pPr>
              <w:pStyle w:val="TableParagraph"/>
              <w:rPr>
                <w:rFonts w:ascii="Times New Roman"/>
                <w:sz w:val="14"/>
              </w:rPr>
            </w:pPr>
          </w:p>
        </w:tc>
        <w:tc>
          <w:tcPr>
            <w:tcW w:w="1070" w:type="dxa"/>
            <w:tcBorders>
              <w:left w:val="single" w:sz="4" w:space="0" w:color="000000"/>
              <w:bottom w:val="single" w:sz="4" w:space="0" w:color="000000"/>
              <w:right w:val="single" w:sz="4" w:space="0" w:color="000000"/>
            </w:tcBorders>
            <w:shd w:val="clear" w:color="auto" w:fill="DEEAF6"/>
          </w:tcPr>
          <w:p>
            <w:pPr>
              <w:pStyle w:val="TableParagraph"/>
              <w:spacing w:line="145" w:lineRule="exact"/>
              <w:ind w:left="309"/>
              <w:rPr>
                <w:b/>
                <w:sz w:val="13"/>
              </w:rPr>
            </w:pPr>
            <w:r>
              <w:rPr>
                <w:b/>
                <w:w w:val="105"/>
                <w:sz w:val="13"/>
              </w:rPr>
              <w:t>Iniciales</w:t>
            </w:r>
          </w:p>
        </w:tc>
        <w:tc>
          <w:tcPr>
            <w:tcW w:w="1302" w:type="dxa"/>
            <w:tcBorders>
              <w:left w:val="single" w:sz="4" w:space="0" w:color="000000"/>
              <w:bottom w:val="single" w:sz="4" w:space="0" w:color="000000"/>
            </w:tcBorders>
            <w:shd w:val="clear" w:color="auto" w:fill="DEEAF6"/>
          </w:tcPr>
          <w:p>
            <w:pPr>
              <w:pStyle w:val="TableParagraph"/>
              <w:spacing w:before="4"/>
              <w:ind w:left="170"/>
              <w:rPr>
                <w:b/>
                <w:sz w:val="13"/>
              </w:rPr>
            </w:pPr>
            <w:r>
              <w:rPr>
                <w:b/>
                <w:w w:val="105"/>
                <w:sz w:val="13"/>
              </w:rPr>
              <w:t>Modificaciones</w:t>
            </w:r>
          </w:p>
        </w:tc>
        <w:tc>
          <w:tcPr>
            <w:tcW w:w="1081" w:type="dxa"/>
            <w:tcBorders>
              <w:bottom w:val="single" w:sz="4" w:space="0" w:color="000000"/>
              <w:right w:val="single" w:sz="4" w:space="0" w:color="000000"/>
            </w:tcBorders>
            <w:shd w:val="clear" w:color="auto" w:fill="DEEAF6"/>
          </w:tcPr>
          <w:p>
            <w:pPr>
              <w:pStyle w:val="TableParagraph"/>
              <w:spacing w:line="81" w:lineRule="exact"/>
              <w:ind w:left="171"/>
              <w:rPr>
                <w:b/>
                <w:sz w:val="13"/>
              </w:rPr>
            </w:pPr>
            <w:r>
              <w:rPr>
                <w:b/>
                <w:w w:val="105"/>
                <w:sz w:val="13"/>
              </w:rPr>
              <w:t>Previsiones</w:t>
            </w:r>
          </w:p>
          <w:p>
            <w:pPr>
              <w:pStyle w:val="TableParagraph"/>
              <w:spacing w:line="141" w:lineRule="exact" w:before="4"/>
              <w:ind w:left="191"/>
              <w:rPr>
                <w:b/>
                <w:sz w:val="13"/>
              </w:rPr>
            </w:pPr>
            <w:r>
              <w:rPr>
                <w:b/>
                <w:w w:val="105"/>
                <w:sz w:val="13"/>
              </w:rPr>
              <w:t>Definitivas</w:t>
            </w:r>
          </w:p>
        </w:tc>
        <w:tc>
          <w:tcPr>
            <w:tcW w:w="1313" w:type="dxa"/>
            <w:vMerge/>
            <w:tcBorders>
              <w:top w:val="nil"/>
              <w:left w:val="single" w:sz="4" w:space="0" w:color="000000"/>
              <w:bottom w:val="single" w:sz="4" w:space="0" w:color="000000"/>
            </w:tcBorders>
            <w:shd w:val="clear" w:color="auto" w:fill="DEEAF6"/>
          </w:tcPr>
          <w:p>
            <w:pPr>
              <w:rPr>
                <w:sz w:val="2"/>
                <w:szCs w:val="2"/>
              </w:rPr>
            </w:pPr>
          </w:p>
        </w:tc>
        <w:tc>
          <w:tcPr>
            <w:tcW w:w="1086" w:type="dxa"/>
            <w:vMerge/>
            <w:tcBorders>
              <w:top w:val="nil"/>
              <w:bottom w:val="single" w:sz="4" w:space="0" w:color="000000"/>
              <w:right w:val="single" w:sz="4" w:space="0" w:color="000000"/>
            </w:tcBorders>
            <w:shd w:val="clear" w:color="auto" w:fill="DEEAF6"/>
          </w:tcPr>
          <w:p>
            <w:pPr>
              <w:rPr>
                <w:sz w:val="2"/>
                <w:szCs w:val="2"/>
              </w:rPr>
            </w:pPr>
          </w:p>
        </w:tc>
      </w:tr>
      <w:tr>
        <w:trPr>
          <w:trHeight w:val="201" w:hRule="atLeast"/>
        </w:trPr>
        <w:tc>
          <w:tcPr>
            <w:tcW w:w="1306" w:type="dxa"/>
            <w:tcBorders>
              <w:left w:val="single" w:sz="4" w:space="0" w:color="000000"/>
              <w:right w:val="single" w:sz="4" w:space="0" w:color="000000"/>
            </w:tcBorders>
          </w:tcPr>
          <w:p>
            <w:pPr>
              <w:pStyle w:val="TableParagraph"/>
              <w:spacing w:before="16"/>
              <w:ind w:left="59"/>
              <w:rPr>
                <w:b/>
                <w:sz w:val="13"/>
              </w:rPr>
            </w:pPr>
            <w:r>
              <w:rPr>
                <w:b/>
                <w:w w:val="105"/>
                <w:sz w:val="13"/>
              </w:rPr>
              <w:t>ICAP</w:t>
            </w:r>
          </w:p>
        </w:tc>
        <w:tc>
          <w:tcPr>
            <w:tcW w:w="1070" w:type="dxa"/>
            <w:tcBorders>
              <w:top w:val="single" w:sz="4" w:space="0" w:color="000000"/>
              <w:left w:val="single" w:sz="4" w:space="0" w:color="000000"/>
              <w:right w:val="single" w:sz="4" w:space="0" w:color="000000"/>
            </w:tcBorders>
          </w:tcPr>
          <w:p>
            <w:pPr>
              <w:pStyle w:val="TableParagraph"/>
              <w:spacing w:before="16"/>
              <w:ind w:right="43"/>
              <w:jc w:val="right"/>
              <w:rPr>
                <w:sz w:val="13"/>
              </w:rPr>
            </w:pPr>
            <w:r>
              <w:rPr>
                <w:w w:val="105"/>
                <w:sz w:val="13"/>
              </w:rPr>
              <w:t>2.810,47</w:t>
            </w:r>
          </w:p>
        </w:tc>
        <w:tc>
          <w:tcPr>
            <w:tcW w:w="1302" w:type="dxa"/>
            <w:tcBorders>
              <w:top w:val="single" w:sz="4" w:space="0" w:color="000000"/>
              <w:left w:val="single" w:sz="4" w:space="0" w:color="000000"/>
            </w:tcBorders>
          </w:tcPr>
          <w:p>
            <w:pPr>
              <w:pStyle w:val="TableParagraph"/>
              <w:spacing w:before="16"/>
              <w:ind w:right="161"/>
              <w:jc w:val="right"/>
              <w:rPr>
                <w:sz w:val="13"/>
              </w:rPr>
            </w:pPr>
            <w:r>
              <w:rPr>
                <w:sz w:val="13"/>
              </w:rPr>
              <w:t>580,56</w:t>
            </w:r>
          </w:p>
        </w:tc>
        <w:tc>
          <w:tcPr>
            <w:tcW w:w="1081" w:type="dxa"/>
            <w:tcBorders>
              <w:top w:val="single" w:sz="4" w:space="0" w:color="000000"/>
              <w:right w:val="single" w:sz="4" w:space="0" w:color="000000"/>
            </w:tcBorders>
          </w:tcPr>
          <w:p>
            <w:pPr>
              <w:pStyle w:val="TableParagraph"/>
              <w:spacing w:before="16"/>
              <w:ind w:right="46"/>
              <w:jc w:val="right"/>
              <w:rPr>
                <w:sz w:val="13"/>
              </w:rPr>
            </w:pPr>
            <w:r>
              <w:rPr>
                <w:w w:val="105"/>
                <w:sz w:val="13"/>
              </w:rPr>
              <w:t>3.391,03</w:t>
            </w:r>
          </w:p>
        </w:tc>
        <w:tc>
          <w:tcPr>
            <w:tcW w:w="1313" w:type="dxa"/>
            <w:tcBorders>
              <w:top w:val="single" w:sz="4" w:space="0" w:color="000000"/>
              <w:left w:val="single" w:sz="4" w:space="0" w:color="000000"/>
            </w:tcBorders>
          </w:tcPr>
          <w:p>
            <w:pPr>
              <w:pStyle w:val="TableParagraph"/>
              <w:spacing w:before="16"/>
              <w:ind w:right="175"/>
              <w:jc w:val="right"/>
              <w:rPr>
                <w:sz w:val="13"/>
              </w:rPr>
            </w:pPr>
            <w:r>
              <w:rPr>
                <w:sz w:val="13"/>
              </w:rPr>
              <w:t>580,56</w:t>
            </w:r>
          </w:p>
        </w:tc>
        <w:tc>
          <w:tcPr>
            <w:tcW w:w="1086" w:type="dxa"/>
            <w:tcBorders>
              <w:top w:val="single" w:sz="4" w:space="0" w:color="000000"/>
              <w:right w:val="single" w:sz="4" w:space="0" w:color="000000"/>
            </w:tcBorders>
          </w:tcPr>
          <w:p>
            <w:pPr>
              <w:pStyle w:val="TableParagraph"/>
              <w:spacing w:before="16"/>
              <w:ind w:right="46"/>
              <w:jc w:val="right"/>
              <w:rPr>
                <w:sz w:val="13"/>
              </w:rPr>
            </w:pPr>
            <w:r>
              <w:rPr>
                <w:w w:val="105"/>
                <w:sz w:val="13"/>
              </w:rPr>
              <w:t>3.391,03</w:t>
            </w:r>
          </w:p>
        </w:tc>
      </w:tr>
      <w:tr>
        <w:trPr>
          <w:trHeight w:val="190" w:hRule="atLeast"/>
        </w:trPr>
        <w:tc>
          <w:tcPr>
            <w:tcW w:w="1306" w:type="dxa"/>
            <w:tcBorders>
              <w:left w:val="single" w:sz="4" w:space="0" w:color="000000"/>
              <w:right w:val="single" w:sz="4" w:space="0" w:color="000000"/>
            </w:tcBorders>
          </w:tcPr>
          <w:p>
            <w:pPr>
              <w:pStyle w:val="TableParagraph"/>
              <w:spacing w:before="4"/>
              <w:ind w:left="59"/>
              <w:rPr>
                <w:b/>
                <w:sz w:val="13"/>
              </w:rPr>
            </w:pPr>
            <w:r>
              <w:rPr>
                <w:b/>
                <w:w w:val="105"/>
                <w:sz w:val="13"/>
              </w:rPr>
              <w:t>ISTAC</w:t>
            </w:r>
          </w:p>
        </w:tc>
        <w:tc>
          <w:tcPr>
            <w:tcW w:w="1070" w:type="dxa"/>
            <w:tcBorders>
              <w:left w:val="single" w:sz="4" w:space="0" w:color="000000"/>
              <w:right w:val="single" w:sz="4" w:space="0" w:color="000000"/>
            </w:tcBorders>
          </w:tcPr>
          <w:p>
            <w:pPr>
              <w:pStyle w:val="TableParagraph"/>
              <w:spacing w:before="4"/>
              <w:ind w:right="43"/>
              <w:jc w:val="right"/>
              <w:rPr>
                <w:sz w:val="13"/>
              </w:rPr>
            </w:pPr>
            <w:r>
              <w:rPr>
                <w:w w:val="105"/>
                <w:sz w:val="13"/>
              </w:rPr>
              <w:t>5.038,23</w:t>
            </w:r>
          </w:p>
        </w:tc>
        <w:tc>
          <w:tcPr>
            <w:tcW w:w="1302" w:type="dxa"/>
            <w:tcBorders>
              <w:left w:val="single" w:sz="4" w:space="0" w:color="000000"/>
            </w:tcBorders>
          </w:tcPr>
          <w:p>
            <w:pPr>
              <w:pStyle w:val="TableParagraph"/>
              <w:spacing w:before="4"/>
              <w:ind w:right="161"/>
              <w:jc w:val="right"/>
              <w:rPr>
                <w:sz w:val="13"/>
              </w:rPr>
            </w:pPr>
            <w:r>
              <w:rPr>
                <w:sz w:val="13"/>
              </w:rPr>
              <w:t>43,72</w:t>
            </w:r>
          </w:p>
        </w:tc>
        <w:tc>
          <w:tcPr>
            <w:tcW w:w="1081" w:type="dxa"/>
            <w:tcBorders>
              <w:right w:val="single" w:sz="4" w:space="0" w:color="000000"/>
            </w:tcBorders>
          </w:tcPr>
          <w:p>
            <w:pPr>
              <w:pStyle w:val="TableParagraph"/>
              <w:spacing w:before="4"/>
              <w:ind w:right="46"/>
              <w:jc w:val="right"/>
              <w:rPr>
                <w:sz w:val="13"/>
              </w:rPr>
            </w:pPr>
            <w:r>
              <w:rPr>
                <w:w w:val="105"/>
                <w:sz w:val="13"/>
              </w:rPr>
              <w:t>5.081,94</w:t>
            </w:r>
          </w:p>
        </w:tc>
        <w:tc>
          <w:tcPr>
            <w:tcW w:w="1313" w:type="dxa"/>
            <w:tcBorders>
              <w:left w:val="single" w:sz="4" w:space="0" w:color="000000"/>
            </w:tcBorders>
          </w:tcPr>
          <w:p>
            <w:pPr>
              <w:pStyle w:val="TableParagraph"/>
              <w:spacing w:before="4"/>
              <w:ind w:right="174"/>
              <w:jc w:val="right"/>
              <w:rPr>
                <w:sz w:val="13"/>
              </w:rPr>
            </w:pPr>
            <w:r>
              <w:rPr>
                <w:sz w:val="13"/>
              </w:rPr>
              <w:t>43,72</w:t>
            </w:r>
          </w:p>
        </w:tc>
        <w:tc>
          <w:tcPr>
            <w:tcW w:w="1086" w:type="dxa"/>
            <w:tcBorders>
              <w:right w:val="single" w:sz="4" w:space="0" w:color="000000"/>
            </w:tcBorders>
          </w:tcPr>
          <w:p>
            <w:pPr>
              <w:pStyle w:val="TableParagraph"/>
              <w:spacing w:before="4"/>
              <w:ind w:right="46"/>
              <w:jc w:val="right"/>
              <w:rPr>
                <w:sz w:val="13"/>
              </w:rPr>
            </w:pPr>
            <w:r>
              <w:rPr>
                <w:w w:val="105"/>
                <w:sz w:val="13"/>
              </w:rPr>
              <w:t>5.081,94</w:t>
            </w:r>
          </w:p>
        </w:tc>
      </w:tr>
      <w:tr>
        <w:trPr>
          <w:trHeight w:val="190" w:hRule="atLeast"/>
        </w:trPr>
        <w:tc>
          <w:tcPr>
            <w:tcW w:w="1306" w:type="dxa"/>
            <w:tcBorders>
              <w:left w:val="single" w:sz="4" w:space="0" w:color="000000"/>
              <w:right w:val="single" w:sz="4" w:space="0" w:color="000000"/>
            </w:tcBorders>
          </w:tcPr>
          <w:p>
            <w:pPr>
              <w:pStyle w:val="TableParagraph"/>
              <w:spacing w:before="5"/>
              <w:ind w:left="59"/>
              <w:rPr>
                <w:b/>
                <w:sz w:val="13"/>
              </w:rPr>
            </w:pPr>
            <w:r>
              <w:rPr>
                <w:b/>
                <w:w w:val="105"/>
                <w:sz w:val="13"/>
              </w:rPr>
              <w:t>SCE</w:t>
            </w:r>
          </w:p>
        </w:tc>
        <w:tc>
          <w:tcPr>
            <w:tcW w:w="1070" w:type="dxa"/>
            <w:tcBorders>
              <w:left w:val="single" w:sz="4" w:space="0" w:color="000000"/>
              <w:right w:val="single" w:sz="4" w:space="0" w:color="000000"/>
            </w:tcBorders>
          </w:tcPr>
          <w:p>
            <w:pPr>
              <w:pStyle w:val="TableParagraph"/>
              <w:spacing w:before="5"/>
              <w:ind w:right="43"/>
              <w:jc w:val="right"/>
              <w:rPr>
                <w:sz w:val="13"/>
              </w:rPr>
            </w:pPr>
            <w:r>
              <w:rPr>
                <w:w w:val="105"/>
                <w:sz w:val="13"/>
              </w:rPr>
              <w:t>332.817,75</w:t>
            </w:r>
          </w:p>
        </w:tc>
        <w:tc>
          <w:tcPr>
            <w:tcW w:w="1302" w:type="dxa"/>
            <w:tcBorders>
              <w:left w:val="single" w:sz="4" w:space="0" w:color="000000"/>
            </w:tcBorders>
          </w:tcPr>
          <w:p>
            <w:pPr>
              <w:pStyle w:val="TableParagraph"/>
              <w:spacing w:before="5"/>
              <w:ind w:right="161"/>
              <w:jc w:val="right"/>
              <w:rPr>
                <w:sz w:val="13"/>
              </w:rPr>
            </w:pPr>
            <w:r>
              <w:rPr>
                <w:w w:val="105"/>
                <w:sz w:val="13"/>
              </w:rPr>
              <w:t>158.224,00</w:t>
            </w:r>
          </w:p>
        </w:tc>
        <w:tc>
          <w:tcPr>
            <w:tcW w:w="1081" w:type="dxa"/>
            <w:tcBorders>
              <w:right w:val="single" w:sz="4" w:space="0" w:color="000000"/>
            </w:tcBorders>
          </w:tcPr>
          <w:p>
            <w:pPr>
              <w:pStyle w:val="TableParagraph"/>
              <w:spacing w:before="5"/>
              <w:ind w:right="46"/>
              <w:jc w:val="right"/>
              <w:rPr>
                <w:sz w:val="13"/>
              </w:rPr>
            </w:pPr>
            <w:r>
              <w:rPr>
                <w:w w:val="105"/>
                <w:sz w:val="13"/>
              </w:rPr>
              <w:t>491.041,74</w:t>
            </w:r>
          </w:p>
        </w:tc>
        <w:tc>
          <w:tcPr>
            <w:tcW w:w="1313" w:type="dxa"/>
            <w:tcBorders>
              <w:left w:val="single" w:sz="4" w:space="0" w:color="000000"/>
            </w:tcBorders>
          </w:tcPr>
          <w:p>
            <w:pPr>
              <w:pStyle w:val="TableParagraph"/>
              <w:spacing w:before="5"/>
              <w:ind w:right="175"/>
              <w:jc w:val="right"/>
              <w:rPr>
                <w:sz w:val="13"/>
              </w:rPr>
            </w:pPr>
            <w:r>
              <w:rPr>
                <w:w w:val="105"/>
                <w:sz w:val="13"/>
              </w:rPr>
              <w:t>158.224,00</w:t>
            </w:r>
          </w:p>
        </w:tc>
        <w:tc>
          <w:tcPr>
            <w:tcW w:w="1086" w:type="dxa"/>
            <w:tcBorders>
              <w:right w:val="single" w:sz="4" w:space="0" w:color="000000"/>
            </w:tcBorders>
          </w:tcPr>
          <w:p>
            <w:pPr>
              <w:pStyle w:val="TableParagraph"/>
              <w:spacing w:before="5"/>
              <w:ind w:right="47"/>
              <w:jc w:val="right"/>
              <w:rPr>
                <w:sz w:val="13"/>
              </w:rPr>
            </w:pPr>
            <w:r>
              <w:rPr>
                <w:w w:val="105"/>
                <w:sz w:val="13"/>
              </w:rPr>
              <w:t>491.041,74</w:t>
            </w:r>
          </w:p>
        </w:tc>
      </w:tr>
      <w:tr>
        <w:trPr>
          <w:trHeight w:val="190" w:hRule="atLeast"/>
        </w:trPr>
        <w:tc>
          <w:tcPr>
            <w:tcW w:w="1306" w:type="dxa"/>
            <w:tcBorders>
              <w:left w:val="single" w:sz="4" w:space="0" w:color="000000"/>
              <w:right w:val="single" w:sz="4" w:space="0" w:color="000000"/>
            </w:tcBorders>
          </w:tcPr>
          <w:p>
            <w:pPr>
              <w:pStyle w:val="TableParagraph"/>
              <w:spacing w:before="4"/>
              <w:ind w:left="59"/>
              <w:rPr>
                <w:b/>
                <w:sz w:val="13"/>
              </w:rPr>
            </w:pPr>
            <w:r>
              <w:rPr>
                <w:b/>
                <w:w w:val="105"/>
                <w:sz w:val="13"/>
              </w:rPr>
              <w:t>ICI</w:t>
            </w:r>
          </w:p>
        </w:tc>
        <w:tc>
          <w:tcPr>
            <w:tcW w:w="1070" w:type="dxa"/>
            <w:tcBorders>
              <w:left w:val="single" w:sz="4" w:space="0" w:color="000000"/>
              <w:right w:val="single" w:sz="4" w:space="0" w:color="000000"/>
            </w:tcBorders>
          </w:tcPr>
          <w:p>
            <w:pPr>
              <w:pStyle w:val="TableParagraph"/>
              <w:spacing w:before="4"/>
              <w:ind w:right="43"/>
              <w:jc w:val="right"/>
              <w:rPr>
                <w:sz w:val="13"/>
              </w:rPr>
            </w:pPr>
            <w:r>
              <w:rPr>
                <w:w w:val="105"/>
                <w:sz w:val="13"/>
              </w:rPr>
              <w:t>12.934,34</w:t>
            </w:r>
          </w:p>
        </w:tc>
        <w:tc>
          <w:tcPr>
            <w:tcW w:w="1302" w:type="dxa"/>
            <w:tcBorders>
              <w:left w:val="single" w:sz="4" w:space="0" w:color="000000"/>
            </w:tcBorders>
          </w:tcPr>
          <w:p>
            <w:pPr>
              <w:pStyle w:val="TableParagraph"/>
              <w:spacing w:before="4"/>
              <w:ind w:right="192"/>
              <w:jc w:val="right"/>
              <w:rPr>
                <w:sz w:val="13"/>
              </w:rPr>
            </w:pPr>
            <w:r>
              <w:rPr>
                <w:w w:val="103"/>
                <w:sz w:val="13"/>
              </w:rPr>
              <w:t>-</w:t>
            </w:r>
          </w:p>
        </w:tc>
        <w:tc>
          <w:tcPr>
            <w:tcW w:w="1081" w:type="dxa"/>
            <w:tcBorders>
              <w:right w:val="single" w:sz="4" w:space="0" w:color="000000"/>
            </w:tcBorders>
          </w:tcPr>
          <w:p>
            <w:pPr>
              <w:pStyle w:val="TableParagraph"/>
              <w:spacing w:before="4"/>
              <w:ind w:right="47"/>
              <w:jc w:val="right"/>
              <w:rPr>
                <w:sz w:val="13"/>
              </w:rPr>
            </w:pPr>
            <w:r>
              <w:rPr>
                <w:w w:val="103"/>
                <w:sz w:val="13"/>
              </w:rPr>
              <w:t>-</w:t>
            </w:r>
          </w:p>
        </w:tc>
        <w:tc>
          <w:tcPr>
            <w:tcW w:w="1313" w:type="dxa"/>
            <w:tcBorders>
              <w:left w:val="single" w:sz="4" w:space="0" w:color="000000"/>
            </w:tcBorders>
          </w:tcPr>
          <w:p>
            <w:pPr>
              <w:pStyle w:val="TableParagraph"/>
              <w:spacing w:before="4"/>
              <w:ind w:right="175"/>
              <w:jc w:val="right"/>
              <w:rPr>
                <w:sz w:val="13"/>
              </w:rPr>
            </w:pPr>
            <w:r>
              <w:rPr>
                <w:w w:val="103"/>
                <w:sz w:val="13"/>
              </w:rPr>
              <w:t>-</w:t>
            </w:r>
          </w:p>
        </w:tc>
        <w:tc>
          <w:tcPr>
            <w:tcW w:w="1086" w:type="dxa"/>
            <w:tcBorders>
              <w:right w:val="single" w:sz="4" w:space="0" w:color="000000"/>
            </w:tcBorders>
          </w:tcPr>
          <w:p>
            <w:pPr>
              <w:pStyle w:val="TableParagraph"/>
              <w:spacing w:before="4"/>
              <w:ind w:right="47"/>
              <w:jc w:val="right"/>
              <w:rPr>
                <w:sz w:val="13"/>
              </w:rPr>
            </w:pPr>
            <w:r>
              <w:rPr>
                <w:w w:val="103"/>
                <w:sz w:val="13"/>
              </w:rPr>
              <w:t>-</w:t>
            </w:r>
          </w:p>
        </w:tc>
      </w:tr>
      <w:tr>
        <w:trPr>
          <w:trHeight w:val="190" w:hRule="atLeast"/>
        </w:trPr>
        <w:tc>
          <w:tcPr>
            <w:tcW w:w="1306" w:type="dxa"/>
            <w:tcBorders>
              <w:left w:val="single" w:sz="4" w:space="0" w:color="000000"/>
              <w:right w:val="single" w:sz="4" w:space="0" w:color="000000"/>
            </w:tcBorders>
          </w:tcPr>
          <w:p>
            <w:pPr>
              <w:pStyle w:val="TableParagraph"/>
              <w:spacing w:before="5"/>
              <w:ind w:left="59"/>
              <w:rPr>
                <w:b/>
                <w:sz w:val="13"/>
              </w:rPr>
            </w:pPr>
            <w:r>
              <w:rPr>
                <w:b/>
                <w:w w:val="105"/>
                <w:sz w:val="13"/>
              </w:rPr>
              <w:t>ICIA</w:t>
            </w:r>
          </w:p>
        </w:tc>
        <w:tc>
          <w:tcPr>
            <w:tcW w:w="1070" w:type="dxa"/>
            <w:tcBorders>
              <w:left w:val="single" w:sz="4" w:space="0" w:color="000000"/>
              <w:right w:val="single" w:sz="4" w:space="0" w:color="000000"/>
            </w:tcBorders>
          </w:tcPr>
          <w:p>
            <w:pPr>
              <w:pStyle w:val="TableParagraph"/>
              <w:spacing w:before="5"/>
              <w:ind w:right="43"/>
              <w:jc w:val="right"/>
              <w:rPr>
                <w:sz w:val="13"/>
              </w:rPr>
            </w:pPr>
            <w:r>
              <w:rPr>
                <w:w w:val="105"/>
                <w:sz w:val="13"/>
              </w:rPr>
              <w:t>10.778,74</w:t>
            </w:r>
          </w:p>
        </w:tc>
        <w:tc>
          <w:tcPr>
            <w:tcW w:w="1302" w:type="dxa"/>
            <w:tcBorders>
              <w:left w:val="single" w:sz="4" w:space="0" w:color="000000"/>
            </w:tcBorders>
          </w:tcPr>
          <w:p>
            <w:pPr>
              <w:pStyle w:val="TableParagraph"/>
              <w:spacing w:before="5"/>
              <w:ind w:right="161"/>
              <w:jc w:val="right"/>
              <w:rPr>
                <w:sz w:val="13"/>
              </w:rPr>
            </w:pPr>
            <w:r>
              <w:rPr>
                <w:sz w:val="13"/>
              </w:rPr>
              <w:t>492,98</w:t>
            </w:r>
          </w:p>
        </w:tc>
        <w:tc>
          <w:tcPr>
            <w:tcW w:w="1081" w:type="dxa"/>
            <w:tcBorders>
              <w:right w:val="single" w:sz="4" w:space="0" w:color="000000"/>
            </w:tcBorders>
          </w:tcPr>
          <w:p>
            <w:pPr>
              <w:pStyle w:val="TableParagraph"/>
              <w:spacing w:before="5"/>
              <w:ind w:right="46"/>
              <w:jc w:val="right"/>
              <w:rPr>
                <w:sz w:val="13"/>
              </w:rPr>
            </w:pPr>
            <w:r>
              <w:rPr>
                <w:w w:val="105"/>
                <w:sz w:val="13"/>
              </w:rPr>
              <w:t>11.271,72</w:t>
            </w:r>
          </w:p>
        </w:tc>
        <w:tc>
          <w:tcPr>
            <w:tcW w:w="1313" w:type="dxa"/>
            <w:tcBorders>
              <w:left w:val="single" w:sz="4" w:space="0" w:color="000000"/>
            </w:tcBorders>
          </w:tcPr>
          <w:p>
            <w:pPr>
              <w:pStyle w:val="TableParagraph"/>
              <w:spacing w:before="5"/>
              <w:ind w:right="175"/>
              <w:jc w:val="right"/>
              <w:rPr>
                <w:sz w:val="13"/>
              </w:rPr>
            </w:pPr>
            <w:r>
              <w:rPr>
                <w:sz w:val="13"/>
              </w:rPr>
              <w:t>492,98</w:t>
            </w:r>
          </w:p>
        </w:tc>
        <w:tc>
          <w:tcPr>
            <w:tcW w:w="1086" w:type="dxa"/>
            <w:tcBorders>
              <w:right w:val="single" w:sz="4" w:space="0" w:color="000000"/>
            </w:tcBorders>
          </w:tcPr>
          <w:p>
            <w:pPr>
              <w:pStyle w:val="TableParagraph"/>
              <w:spacing w:before="5"/>
              <w:ind w:right="46"/>
              <w:jc w:val="right"/>
              <w:rPr>
                <w:sz w:val="13"/>
              </w:rPr>
            </w:pPr>
            <w:r>
              <w:rPr>
                <w:w w:val="105"/>
                <w:sz w:val="13"/>
              </w:rPr>
              <w:t>11.271,72</w:t>
            </w:r>
          </w:p>
        </w:tc>
      </w:tr>
      <w:tr>
        <w:trPr>
          <w:trHeight w:val="178" w:hRule="atLeast"/>
        </w:trPr>
        <w:tc>
          <w:tcPr>
            <w:tcW w:w="1306" w:type="dxa"/>
            <w:tcBorders>
              <w:left w:val="single" w:sz="4" w:space="0" w:color="000000"/>
              <w:right w:val="single" w:sz="4" w:space="0" w:color="000000"/>
            </w:tcBorders>
          </w:tcPr>
          <w:p>
            <w:pPr>
              <w:pStyle w:val="TableParagraph"/>
              <w:spacing w:line="154" w:lineRule="exact" w:before="4"/>
              <w:ind w:left="59"/>
              <w:rPr>
                <w:b/>
                <w:sz w:val="13"/>
              </w:rPr>
            </w:pPr>
            <w:r>
              <w:rPr>
                <w:b/>
                <w:w w:val="105"/>
                <w:sz w:val="13"/>
              </w:rPr>
              <w:t>ICHH</w:t>
            </w:r>
          </w:p>
        </w:tc>
        <w:tc>
          <w:tcPr>
            <w:tcW w:w="1070" w:type="dxa"/>
            <w:tcBorders>
              <w:left w:val="single" w:sz="4" w:space="0" w:color="000000"/>
              <w:right w:val="single" w:sz="4" w:space="0" w:color="000000"/>
            </w:tcBorders>
          </w:tcPr>
          <w:p>
            <w:pPr>
              <w:pStyle w:val="TableParagraph"/>
              <w:spacing w:line="154" w:lineRule="exact" w:before="4"/>
              <w:ind w:right="43"/>
              <w:jc w:val="right"/>
              <w:rPr>
                <w:sz w:val="13"/>
              </w:rPr>
            </w:pPr>
            <w:r>
              <w:rPr>
                <w:w w:val="105"/>
                <w:sz w:val="13"/>
              </w:rPr>
              <w:t>3.086,80</w:t>
            </w:r>
          </w:p>
        </w:tc>
        <w:tc>
          <w:tcPr>
            <w:tcW w:w="1302" w:type="dxa"/>
            <w:tcBorders>
              <w:left w:val="single" w:sz="4" w:space="0" w:color="000000"/>
            </w:tcBorders>
          </w:tcPr>
          <w:p>
            <w:pPr>
              <w:pStyle w:val="TableParagraph"/>
              <w:spacing w:line="154" w:lineRule="exact" w:before="4"/>
              <w:ind w:right="161"/>
              <w:jc w:val="right"/>
              <w:rPr>
                <w:sz w:val="13"/>
              </w:rPr>
            </w:pPr>
            <w:r>
              <w:rPr>
                <w:sz w:val="13"/>
              </w:rPr>
              <w:t>126,82</w:t>
            </w:r>
          </w:p>
        </w:tc>
        <w:tc>
          <w:tcPr>
            <w:tcW w:w="1081" w:type="dxa"/>
            <w:tcBorders>
              <w:right w:val="single" w:sz="4" w:space="0" w:color="000000"/>
            </w:tcBorders>
          </w:tcPr>
          <w:p>
            <w:pPr>
              <w:pStyle w:val="TableParagraph"/>
              <w:spacing w:line="154" w:lineRule="exact" w:before="4"/>
              <w:ind w:right="46"/>
              <w:jc w:val="right"/>
              <w:rPr>
                <w:sz w:val="13"/>
              </w:rPr>
            </w:pPr>
            <w:r>
              <w:rPr>
                <w:w w:val="105"/>
                <w:sz w:val="13"/>
              </w:rPr>
              <w:t>3.213,61</w:t>
            </w:r>
          </w:p>
        </w:tc>
        <w:tc>
          <w:tcPr>
            <w:tcW w:w="1313" w:type="dxa"/>
            <w:tcBorders>
              <w:left w:val="single" w:sz="4" w:space="0" w:color="000000"/>
            </w:tcBorders>
          </w:tcPr>
          <w:p>
            <w:pPr>
              <w:pStyle w:val="TableParagraph"/>
              <w:spacing w:line="154" w:lineRule="exact" w:before="4"/>
              <w:ind w:right="175"/>
              <w:jc w:val="right"/>
              <w:rPr>
                <w:sz w:val="13"/>
              </w:rPr>
            </w:pPr>
            <w:r>
              <w:rPr>
                <w:sz w:val="13"/>
              </w:rPr>
              <w:t>126,82</w:t>
            </w:r>
          </w:p>
        </w:tc>
        <w:tc>
          <w:tcPr>
            <w:tcW w:w="1086" w:type="dxa"/>
            <w:tcBorders>
              <w:right w:val="single" w:sz="4" w:space="0" w:color="000000"/>
            </w:tcBorders>
          </w:tcPr>
          <w:p>
            <w:pPr>
              <w:pStyle w:val="TableParagraph"/>
              <w:spacing w:line="154" w:lineRule="exact" w:before="4"/>
              <w:ind w:right="46"/>
              <w:jc w:val="right"/>
              <w:rPr>
                <w:sz w:val="13"/>
              </w:rPr>
            </w:pPr>
            <w:r>
              <w:rPr>
                <w:w w:val="105"/>
                <w:sz w:val="13"/>
              </w:rPr>
              <w:t>3.213,61</w:t>
            </w:r>
          </w:p>
        </w:tc>
      </w:tr>
      <w:tr>
        <w:trPr>
          <w:trHeight w:val="191" w:hRule="atLeast"/>
        </w:trPr>
        <w:tc>
          <w:tcPr>
            <w:tcW w:w="1306" w:type="dxa"/>
            <w:tcBorders>
              <w:left w:val="single" w:sz="4" w:space="0" w:color="000000"/>
              <w:right w:val="single" w:sz="4" w:space="0" w:color="000000"/>
            </w:tcBorders>
            <w:shd w:val="clear" w:color="auto" w:fill="F1F1F1"/>
          </w:tcPr>
          <w:p>
            <w:pPr>
              <w:pStyle w:val="TableParagraph"/>
              <w:spacing w:line="154" w:lineRule="exact" w:before="17"/>
              <w:ind w:left="59"/>
              <w:rPr>
                <w:b/>
                <w:sz w:val="13"/>
              </w:rPr>
            </w:pPr>
            <w:r>
              <w:rPr>
                <w:b/>
                <w:w w:val="105"/>
                <w:sz w:val="13"/>
              </w:rPr>
              <w:t>SCS</w:t>
            </w:r>
          </w:p>
        </w:tc>
        <w:tc>
          <w:tcPr>
            <w:tcW w:w="1070" w:type="dxa"/>
            <w:tcBorders>
              <w:left w:val="single" w:sz="4" w:space="0" w:color="000000"/>
              <w:right w:val="single" w:sz="4" w:space="0" w:color="000000"/>
            </w:tcBorders>
            <w:shd w:val="clear" w:color="auto" w:fill="F1F1F1"/>
          </w:tcPr>
          <w:p>
            <w:pPr>
              <w:pStyle w:val="TableParagraph"/>
              <w:spacing w:line="154" w:lineRule="exact" w:before="17"/>
              <w:ind w:right="43"/>
              <w:jc w:val="right"/>
              <w:rPr>
                <w:b/>
                <w:sz w:val="13"/>
              </w:rPr>
            </w:pPr>
            <w:r>
              <w:rPr>
                <w:b/>
                <w:w w:val="105"/>
                <w:sz w:val="13"/>
              </w:rPr>
              <w:t>3.461.308,27</w:t>
            </w:r>
          </w:p>
        </w:tc>
        <w:tc>
          <w:tcPr>
            <w:tcW w:w="1302" w:type="dxa"/>
            <w:tcBorders>
              <w:left w:val="single" w:sz="4" w:space="0" w:color="000000"/>
            </w:tcBorders>
            <w:shd w:val="clear" w:color="auto" w:fill="F1F1F1"/>
          </w:tcPr>
          <w:p>
            <w:pPr>
              <w:pStyle w:val="TableParagraph"/>
              <w:spacing w:line="154" w:lineRule="exact" w:before="17"/>
              <w:ind w:right="161"/>
              <w:jc w:val="right"/>
              <w:rPr>
                <w:b/>
                <w:sz w:val="13"/>
              </w:rPr>
            </w:pPr>
            <w:r>
              <w:rPr>
                <w:b/>
                <w:w w:val="105"/>
                <w:sz w:val="13"/>
              </w:rPr>
              <w:t>620.805,31</w:t>
            </w:r>
          </w:p>
        </w:tc>
        <w:tc>
          <w:tcPr>
            <w:tcW w:w="1081" w:type="dxa"/>
            <w:tcBorders>
              <w:right w:val="single" w:sz="4" w:space="0" w:color="000000"/>
            </w:tcBorders>
            <w:shd w:val="clear" w:color="auto" w:fill="F1F1F1"/>
          </w:tcPr>
          <w:p>
            <w:pPr>
              <w:pStyle w:val="TableParagraph"/>
              <w:spacing w:line="154" w:lineRule="exact" w:before="17"/>
              <w:ind w:right="46"/>
              <w:jc w:val="right"/>
              <w:rPr>
                <w:b/>
                <w:sz w:val="13"/>
              </w:rPr>
            </w:pPr>
            <w:r>
              <w:rPr>
                <w:b/>
                <w:w w:val="105"/>
                <w:sz w:val="13"/>
              </w:rPr>
              <w:t>4.082.113,58</w:t>
            </w:r>
          </w:p>
        </w:tc>
        <w:tc>
          <w:tcPr>
            <w:tcW w:w="1313" w:type="dxa"/>
            <w:tcBorders>
              <w:left w:val="single" w:sz="4" w:space="0" w:color="000000"/>
            </w:tcBorders>
            <w:shd w:val="clear" w:color="auto" w:fill="F1F1F1"/>
          </w:tcPr>
          <w:p>
            <w:pPr>
              <w:pStyle w:val="TableParagraph"/>
              <w:spacing w:line="154" w:lineRule="exact" w:before="17"/>
              <w:ind w:right="174"/>
              <w:jc w:val="right"/>
              <w:rPr>
                <w:b/>
                <w:sz w:val="13"/>
              </w:rPr>
            </w:pPr>
            <w:r>
              <w:rPr>
                <w:b/>
                <w:w w:val="105"/>
                <w:sz w:val="13"/>
              </w:rPr>
              <w:t>679.805,31</w:t>
            </w:r>
          </w:p>
        </w:tc>
        <w:tc>
          <w:tcPr>
            <w:tcW w:w="1086" w:type="dxa"/>
            <w:tcBorders>
              <w:right w:val="single" w:sz="4" w:space="0" w:color="000000"/>
            </w:tcBorders>
            <w:shd w:val="clear" w:color="auto" w:fill="F1F1F1"/>
          </w:tcPr>
          <w:p>
            <w:pPr>
              <w:pStyle w:val="TableParagraph"/>
              <w:spacing w:line="154" w:lineRule="exact" w:before="17"/>
              <w:ind w:right="46"/>
              <w:jc w:val="right"/>
              <w:rPr>
                <w:b/>
                <w:sz w:val="13"/>
              </w:rPr>
            </w:pPr>
            <w:r>
              <w:rPr>
                <w:b/>
                <w:w w:val="105"/>
                <w:sz w:val="13"/>
              </w:rPr>
              <w:t>4.141.113,58</w:t>
            </w:r>
          </w:p>
        </w:tc>
      </w:tr>
      <w:tr>
        <w:trPr>
          <w:trHeight w:val="202" w:hRule="atLeast"/>
        </w:trPr>
        <w:tc>
          <w:tcPr>
            <w:tcW w:w="1306" w:type="dxa"/>
            <w:tcBorders>
              <w:left w:val="single" w:sz="4" w:space="0" w:color="000000"/>
              <w:right w:val="single" w:sz="4" w:space="0" w:color="000000"/>
            </w:tcBorders>
          </w:tcPr>
          <w:p>
            <w:pPr>
              <w:pStyle w:val="TableParagraph"/>
              <w:spacing w:before="17"/>
              <w:ind w:left="59"/>
              <w:rPr>
                <w:b/>
                <w:sz w:val="13"/>
              </w:rPr>
            </w:pPr>
            <w:r>
              <w:rPr>
                <w:b/>
                <w:w w:val="105"/>
                <w:sz w:val="13"/>
              </w:rPr>
              <w:t>ACCUEE</w:t>
            </w:r>
          </w:p>
        </w:tc>
        <w:tc>
          <w:tcPr>
            <w:tcW w:w="1070" w:type="dxa"/>
            <w:tcBorders>
              <w:left w:val="single" w:sz="4" w:space="0" w:color="000000"/>
              <w:right w:val="single" w:sz="4" w:space="0" w:color="000000"/>
            </w:tcBorders>
          </w:tcPr>
          <w:p>
            <w:pPr>
              <w:pStyle w:val="TableParagraph"/>
              <w:spacing w:before="17"/>
              <w:ind w:right="43"/>
              <w:jc w:val="right"/>
              <w:rPr>
                <w:sz w:val="13"/>
              </w:rPr>
            </w:pPr>
            <w:r>
              <w:rPr>
                <w:w w:val="105"/>
                <w:sz w:val="13"/>
              </w:rPr>
              <w:t>1.371,73</w:t>
            </w:r>
          </w:p>
        </w:tc>
        <w:tc>
          <w:tcPr>
            <w:tcW w:w="1302" w:type="dxa"/>
            <w:tcBorders>
              <w:left w:val="single" w:sz="4" w:space="0" w:color="000000"/>
            </w:tcBorders>
          </w:tcPr>
          <w:p>
            <w:pPr>
              <w:pStyle w:val="TableParagraph"/>
              <w:spacing w:before="17"/>
              <w:ind w:right="161"/>
              <w:jc w:val="right"/>
              <w:rPr>
                <w:sz w:val="13"/>
              </w:rPr>
            </w:pPr>
            <w:r>
              <w:rPr>
                <w:sz w:val="13"/>
              </w:rPr>
              <w:t>0,00</w:t>
            </w:r>
          </w:p>
        </w:tc>
        <w:tc>
          <w:tcPr>
            <w:tcW w:w="1081" w:type="dxa"/>
            <w:tcBorders>
              <w:right w:val="single" w:sz="4" w:space="0" w:color="000000"/>
            </w:tcBorders>
          </w:tcPr>
          <w:p>
            <w:pPr>
              <w:pStyle w:val="TableParagraph"/>
              <w:spacing w:before="17"/>
              <w:ind w:right="46"/>
              <w:jc w:val="right"/>
              <w:rPr>
                <w:sz w:val="13"/>
              </w:rPr>
            </w:pPr>
            <w:r>
              <w:rPr>
                <w:w w:val="105"/>
                <w:sz w:val="13"/>
              </w:rPr>
              <w:t>1.371,73</w:t>
            </w:r>
          </w:p>
        </w:tc>
        <w:tc>
          <w:tcPr>
            <w:tcW w:w="1313" w:type="dxa"/>
            <w:tcBorders>
              <w:left w:val="single" w:sz="4" w:space="0" w:color="000000"/>
            </w:tcBorders>
          </w:tcPr>
          <w:p>
            <w:pPr>
              <w:pStyle w:val="TableParagraph"/>
              <w:spacing w:before="17"/>
              <w:ind w:right="175"/>
              <w:jc w:val="right"/>
              <w:rPr>
                <w:sz w:val="13"/>
              </w:rPr>
            </w:pPr>
            <w:r>
              <w:rPr>
                <w:sz w:val="13"/>
              </w:rPr>
              <w:t>0,00</w:t>
            </w:r>
          </w:p>
        </w:tc>
        <w:tc>
          <w:tcPr>
            <w:tcW w:w="1086" w:type="dxa"/>
            <w:tcBorders>
              <w:right w:val="single" w:sz="4" w:space="0" w:color="000000"/>
            </w:tcBorders>
          </w:tcPr>
          <w:p>
            <w:pPr>
              <w:pStyle w:val="TableParagraph"/>
              <w:spacing w:before="17"/>
              <w:ind w:right="46"/>
              <w:jc w:val="right"/>
              <w:rPr>
                <w:sz w:val="13"/>
              </w:rPr>
            </w:pPr>
            <w:r>
              <w:rPr>
                <w:w w:val="105"/>
                <w:sz w:val="13"/>
              </w:rPr>
              <w:t>1.371,73</w:t>
            </w:r>
          </w:p>
        </w:tc>
      </w:tr>
      <w:tr>
        <w:trPr>
          <w:trHeight w:val="190" w:hRule="atLeast"/>
        </w:trPr>
        <w:tc>
          <w:tcPr>
            <w:tcW w:w="1306" w:type="dxa"/>
            <w:tcBorders>
              <w:left w:val="single" w:sz="4" w:space="0" w:color="000000"/>
              <w:right w:val="single" w:sz="4" w:space="0" w:color="000000"/>
            </w:tcBorders>
          </w:tcPr>
          <w:p>
            <w:pPr>
              <w:pStyle w:val="TableParagraph"/>
              <w:spacing w:before="4"/>
              <w:ind w:left="59"/>
              <w:rPr>
                <w:b/>
                <w:sz w:val="13"/>
              </w:rPr>
            </w:pPr>
            <w:r>
              <w:rPr>
                <w:b/>
                <w:w w:val="105"/>
                <w:sz w:val="13"/>
              </w:rPr>
              <w:t>ICAVI</w:t>
            </w:r>
          </w:p>
        </w:tc>
        <w:tc>
          <w:tcPr>
            <w:tcW w:w="1070" w:type="dxa"/>
            <w:tcBorders>
              <w:left w:val="single" w:sz="4" w:space="0" w:color="000000"/>
              <w:right w:val="single" w:sz="4" w:space="0" w:color="000000"/>
            </w:tcBorders>
          </w:tcPr>
          <w:p>
            <w:pPr>
              <w:pStyle w:val="TableParagraph"/>
              <w:spacing w:before="4"/>
              <w:ind w:right="43"/>
              <w:jc w:val="right"/>
              <w:rPr>
                <w:sz w:val="13"/>
              </w:rPr>
            </w:pPr>
            <w:r>
              <w:rPr>
                <w:w w:val="105"/>
                <w:sz w:val="13"/>
              </w:rPr>
              <w:t>131.380,97</w:t>
            </w:r>
          </w:p>
        </w:tc>
        <w:tc>
          <w:tcPr>
            <w:tcW w:w="1302" w:type="dxa"/>
            <w:tcBorders>
              <w:left w:val="single" w:sz="4" w:space="0" w:color="000000"/>
            </w:tcBorders>
          </w:tcPr>
          <w:p>
            <w:pPr>
              <w:pStyle w:val="TableParagraph"/>
              <w:spacing w:before="4"/>
              <w:ind w:right="161"/>
              <w:jc w:val="right"/>
              <w:rPr>
                <w:sz w:val="13"/>
              </w:rPr>
            </w:pPr>
            <w:r>
              <w:rPr>
                <w:w w:val="105"/>
                <w:sz w:val="13"/>
              </w:rPr>
              <w:t>55.562,04</w:t>
            </w:r>
          </w:p>
        </w:tc>
        <w:tc>
          <w:tcPr>
            <w:tcW w:w="1081" w:type="dxa"/>
            <w:tcBorders>
              <w:right w:val="single" w:sz="4" w:space="0" w:color="000000"/>
            </w:tcBorders>
          </w:tcPr>
          <w:p>
            <w:pPr>
              <w:pStyle w:val="TableParagraph"/>
              <w:spacing w:before="4"/>
              <w:ind w:right="46"/>
              <w:jc w:val="right"/>
              <w:rPr>
                <w:sz w:val="13"/>
              </w:rPr>
            </w:pPr>
            <w:r>
              <w:rPr>
                <w:w w:val="105"/>
                <w:sz w:val="13"/>
              </w:rPr>
              <w:t>186.943,01</w:t>
            </w:r>
          </w:p>
        </w:tc>
        <w:tc>
          <w:tcPr>
            <w:tcW w:w="1313" w:type="dxa"/>
            <w:tcBorders>
              <w:left w:val="single" w:sz="4" w:space="0" w:color="000000"/>
            </w:tcBorders>
          </w:tcPr>
          <w:p>
            <w:pPr>
              <w:pStyle w:val="TableParagraph"/>
              <w:spacing w:before="4"/>
              <w:ind w:right="174"/>
              <w:jc w:val="right"/>
              <w:rPr>
                <w:sz w:val="13"/>
              </w:rPr>
            </w:pPr>
            <w:r>
              <w:rPr>
                <w:w w:val="105"/>
                <w:sz w:val="13"/>
              </w:rPr>
              <w:t>55.562,04</w:t>
            </w:r>
          </w:p>
        </w:tc>
        <w:tc>
          <w:tcPr>
            <w:tcW w:w="1086" w:type="dxa"/>
            <w:tcBorders>
              <w:right w:val="single" w:sz="4" w:space="0" w:color="000000"/>
            </w:tcBorders>
          </w:tcPr>
          <w:p>
            <w:pPr>
              <w:pStyle w:val="TableParagraph"/>
              <w:spacing w:before="4"/>
              <w:ind w:right="47"/>
              <w:jc w:val="right"/>
              <w:rPr>
                <w:sz w:val="13"/>
              </w:rPr>
            </w:pPr>
            <w:r>
              <w:rPr>
                <w:w w:val="105"/>
                <w:sz w:val="13"/>
              </w:rPr>
              <w:t>186.943,01</w:t>
            </w:r>
          </w:p>
        </w:tc>
      </w:tr>
      <w:tr>
        <w:trPr>
          <w:trHeight w:val="190" w:hRule="atLeast"/>
        </w:trPr>
        <w:tc>
          <w:tcPr>
            <w:tcW w:w="1306" w:type="dxa"/>
            <w:tcBorders>
              <w:left w:val="single" w:sz="4" w:space="0" w:color="000000"/>
              <w:right w:val="single" w:sz="4" w:space="0" w:color="000000"/>
            </w:tcBorders>
          </w:tcPr>
          <w:p>
            <w:pPr>
              <w:pStyle w:val="TableParagraph"/>
              <w:spacing w:before="6"/>
              <w:ind w:left="59"/>
              <w:rPr>
                <w:b/>
                <w:sz w:val="13"/>
              </w:rPr>
            </w:pPr>
            <w:r>
              <w:rPr>
                <w:b/>
                <w:w w:val="105"/>
                <w:sz w:val="13"/>
              </w:rPr>
              <w:t>ICCA</w:t>
            </w:r>
          </w:p>
        </w:tc>
        <w:tc>
          <w:tcPr>
            <w:tcW w:w="1070" w:type="dxa"/>
            <w:tcBorders>
              <w:left w:val="single" w:sz="4" w:space="0" w:color="000000"/>
              <w:right w:val="single" w:sz="4" w:space="0" w:color="000000"/>
            </w:tcBorders>
          </w:tcPr>
          <w:p>
            <w:pPr>
              <w:pStyle w:val="TableParagraph"/>
              <w:spacing w:before="6"/>
              <w:ind w:right="43"/>
              <w:jc w:val="right"/>
              <w:rPr>
                <w:sz w:val="13"/>
              </w:rPr>
            </w:pPr>
            <w:r>
              <w:rPr>
                <w:w w:val="105"/>
                <w:sz w:val="13"/>
              </w:rPr>
              <w:t>7.081,29</w:t>
            </w:r>
          </w:p>
        </w:tc>
        <w:tc>
          <w:tcPr>
            <w:tcW w:w="1302" w:type="dxa"/>
            <w:tcBorders>
              <w:left w:val="single" w:sz="4" w:space="0" w:color="000000"/>
            </w:tcBorders>
          </w:tcPr>
          <w:p>
            <w:pPr>
              <w:pStyle w:val="TableParagraph"/>
              <w:spacing w:before="6"/>
              <w:ind w:right="161"/>
              <w:jc w:val="right"/>
              <w:rPr>
                <w:sz w:val="13"/>
              </w:rPr>
            </w:pPr>
            <w:r>
              <w:rPr>
                <w:sz w:val="13"/>
              </w:rPr>
              <w:t>75,77</w:t>
            </w:r>
          </w:p>
        </w:tc>
        <w:tc>
          <w:tcPr>
            <w:tcW w:w="1081" w:type="dxa"/>
            <w:tcBorders>
              <w:right w:val="single" w:sz="4" w:space="0" w:color="000000"/>
            </w:tcBorders>
          </w:tcPr>
          <w:p>
            <w:pPr>
              <w:pStyle w:val="TableParagraph"/>
              <w:spacing w:before="6"/>
              <w:ind w:right="46"/>
              <w:jc w:val="right"/>
              <w:rPr>
                <w:sz w:val="13"/>
              </w:rPr>
            </w:pPr>
            <w:r>
              <w:rPr>
                <w:w w:val="105"/>
                <w:sz w:val="13"/>
              </w:rPr>
              <w:t>7.157,06</w:t>
            </w:r>
          </w:p>
        </w:tc>
        <w:tc>
          <w:tcPr>
            <w:tcW w:w="1313" w:type="dxa"/>
            <w:tcBorders>
              <w:left w:val="single" w:sz="4" w:space="0" w:color="000000"/>
            </w:tcBorders>
          </w:tcPr>
          <w:p>
            <w:pPr>
              <w:pStyle w:val="TableParagraph"/>
              <w:spacing w:before="6"/>
              <w:ind w:right="174"/>
              <w:jc w:val="right"/>
              <w:rPr>
                <w:sz w:val="13"/>
              </w:rPr>
            </w:pPr>
            <w:r>
              <w:rPr>
                <w:sz w:val="13"/>
              </w:rPr>
              <w:t>75,77</w:t>
            </w:r>
          </w:p>
        </w:tc>
        <w:tc>
          <w:tcPr>
            <w:tcW w:w="1086" w:type="dxa"/>
            <w:tcBorders>
              <w:right w:val="single" w:sz="4" w:space="0" w:color="000000"/>
            </w:tcBorders>
          </w:tcPr>
          <w:p>
            <w:pPr>
              <w:pStyle w:val="TableParagraph"/>
              <w:spacing w:before="6"/>
              <w:ind w:right="46"/>
              <w:jc w:val="right"/>
              <w:rPr>
                <w:sz w:val="13"/>
              </w:rPr>
            </w:pPr>
            <w:r>
              <w:rPr>
                <w:w w:val="105"/>
                <w:sz w:val="13"/>
              </w:rPr>
              <w:t>7.157,06</w:t>
            </w:r>
          </w:p>
        </w:tc>
      </w:tr>
      <w:tr>
        <w:trPr>
          <w:trHeight w:val="190" w:hRule="atLeast"/>
        </w:trPr>
        <w:tc>
          <w:tcPr>
            <w:tcW w:w="1306" w:type="dxa"/>
            <w:tcBorders>
              <w:left w:val="single" w:sz="4" w:space="0" w:color="000000"/>
              <w:right w:val="single" w:sz="4" w:space="0" w:color="000000"/>
            </w:tcBorders>
          </w:tcPr>
          <w:p>
            <w:pPr>
              <w:pStyle w:val="TableParagraph"/>
              <w:spacing w:before="4"/>
              <w:ind w:left="59"/>
              <w:rPr>
                <w:b/>
                <w:sz w:val="13"/>
              </w:rPr>
            </w:pPr>
            <w:r>
              <w:rPr>
                <w:b/>
                <w:w w:val="105"/>
                <w:sz w:val="13"/>
              </w:rPr>
              <w:t>APMN</w:t>
            </w:r>
          </w:p>
        </w:tc>
        <w:tc>
          <w:tcPr>
            <w:tcW w:w="1070" w:type="dxa"/>
            <w:tcBorders>
              <w:left w:val="single" w:sz="4" w:space="0" w:color="000000"/>
              <w:right w:val="single" w:sz="4" w:space="0" w:color="000000"/>
            </w:tcBorders>
          </w:tcPr>
          <w:p>
            <w:pPr>
              <w:pStyle w:val="TableParagraph"/>
              <w:spacing w:before="4"/>
              <w:ind w:right="43"/>
              <w:jc w:val="right"/>
              <w:rPr>
                <w:sz w:val="13"/>
              </w:rPr>
            </w:pPr>
            <w:r>
              <w:rPr>
                <w:w w:val="105"/>
                <w:sz w:val="13"/>
              </w:rPr>
              <w:t>10.330,72</w:t>
            </w:r>
          </w:p>
        </w:tc>
        <w:tc>
          <w:tcPr>
            <w:tcW w:w="1302" w:type="dxa"/>
            <w:tcBorders>
              <w:left w:val="single" w:sz="4" w:space="0" w:color="000000"/>
            </w:tcBorders>
          </w:tcPr>
          <w:p>
            <w:pPr>
              <w:pStyle w:val="TableParagraph"/>
              <w:spacing w:before="4"/>
              <w:ind w:right="161"/>
              <w:jc w:val="right"/>
              <w:rPr>
                <w:sz w:val="13"/>
              </w:rPr>
            </w:pPr>
            <w:r>
              <w:rPr>
                <w:sz w:val="13"/>
              </w:rPr>
              <w:t>31,26</w:t>
            </w:r>
          </w:p>
        </w:tc>
        <w:tc>
          <w:tcPr>
            <w:tcW w:w="1081" w:type="dxa"/>
            <w:tcBorders>
              <w:right w:val="single" w:sz="4" w:space="0" w:color="000000"/>
            </w:tcBorders>
          </w:tcPr>
          <w:p>
            <w:pPr>
              <w:pStyle w:val="TableParagraph"/>
              <w:spacing w:before="4"/>
              <w:ind w:right="46"/>
              <w:jc w:val="right"/>
              <w:rPr>
                <w:sz w:val="13"/>
              </w:rPr>
            </w:pPr>
            <w:r>
              <w:rPr>
                <w:w w:val="105"/>
                <w:sz w:val="13"/>
              </w:rPr>
              <w:t>10.361,98</w:t>
            </w:r>
          </w:p>
        </w:tc>
        <w:tc>
          <w:tcPr>
            <w:tcW w:w="1313" w:type="dxa"/>
            <w:tcBorders>
              <w:left w:val="single" w:sz="4" w:space="0" w:color="000000"/>
            </w:tcBorders>
          </w:tcPr>
          <w:p>
            <w:pPr>
              <w:pStyle w:val="TableParagraph"/>
              <w:spacing w:before="4"/>
              <w:ind w:right="174"/>
              <w:jc w:val="right"/>
              <w:rPr>
                <w:sz w:val="13"/>
              </w:rPr>
            </w:pPr>
            <w:r>
              <w:rPr>
                <w:sz w:val="13"/>
              </w:rPr>
              <w:t>31,26</w:t>
            </w:r>
          </w:p>
        </w:tc>
        <w:tc>
          <w:tcPr>
            <w:tcW w:w="1086" w:type="dxa"/>
            <w:tcBorders>
              <w:right w:val="single" w:sz="4" w:space="0" w:color="000000"/>
            </w:tcBorders>
          </w:tcPr>
          <w:p>
            <w:pPr>
              <w:pStyle w:val="TableParagraph"/>
              <w:spacing w:before="4"/>
              <w:ind w:right="46"/>
              <w:jc w:val="right"/>
              <w:rPr>
                <w:sz w:val="13"/>
              </w:rPr>
            </w:pPr>
            <w:r>
              <w:rPr>
                <w:w w:val="105"/>
                <w:sz w:val="13"/>
              </w:rPr>
              <w:t>10.361,98</w:t>
            </w:r>
          </w:p>
        </w:tc>
      </w:tr>
      <w:tr>
        <w:trPr>
          <w:trHeight w:val="191" w:hRule="atLeast"/>
        </w:trPr>
        <w:tc>
          <w:tcPr>
            <w:tcW w:w="1306" w:type="dxa"/>
            <w:tcBorders>
              <w:left w:val="single" w:sz="4" w:space="0" w:color="000000"/>
              <w:right w:val="single" w:sz="4" w:space="0" w:color="000000"/>
            </w:tcBorders>
          </w:tcPr>
          <w:p>
            <w:pPr>
              <w:pStyle w:val="TableParagraph"/>
              <w:spacing w:before="5"/>
              <w:ind w:left="59"/>
              <w:rPr>
                <w:b/>
                <w:sz w:val="13"/>
              </w:rPr>
            </w:pPr>
            <w:r>
              <w:rPr>
                <w:b/>
                <w:w w:val="105"/>
                <w:sz w:val="13"/>
              </w:rPr>
              <w:t>CES</w:t>
            </w:r>
          </w:p>
        </w:tc>
        <w:tc>
          <w:tcPr>
            <w:tcW w:w="1070" w:type="dxa"/>
            <w:tcBorders>
              <w:left w:val="single" w:sz="4" w:space="0" w:color="000000"/>
              <w:right w:val="single" w:sz="4" w:space="0" w:color="000000"/>
            </w:tcBorders>
          </w:tcPr>
          <w:p>
            <w:pPr>
              <w:pStyle w:val="TableParagraph"/>
              <w:spacing w:before="5"/>
              <w:ind w:right="43"/>
              <w:jc w:val="right"/>
              <w:rPr>
                <w:sz w:val="13"/>
              </w:rPr>
            </w:pPr>
            <w:r>
              <w:rPr>
                <w:sz w:val="13"/>
              </w:rPr>
              <w:t>877,03</w:t>
            </w:r>
          </w:p>
        </w:tc>
        <w:tc>
          <w:tcPr>
            <w:tcW w:w="1302" w:type="dxa"/>
            <w:tcBorders>
              <w:left w:val="single" w:sz="4" w:space="0" w:color="000000"/>
            </w:tcBorders>
          </w:tcPr>
          <w:p>
            <w:pPr>
              <w:pStyle w:val="TableParagraph"/>
              <w:spacing w:before="5"/>
              <w:ind w:right="161"/>
              <w:jc w:val="right"/>
              <w:rPr>
                <w:sz w:val="13"/>
              </w:rPr>
            </w:pPr>
            <w:r>
              <w:rPr>
                <w:sz w:val="13"/>
              </w:rPr>
              <w:t>10,96</w:t>
            </w:r>
          </w:p>
        </w:tc>
        <w:tc>
          <w:tcPr>
            <w:tcW w:w="1081" w:type="dxa"/>
            <w:tcBorders>
              <w:right w:val="single" w:sz="4" w:space="0" w:color="000000"/>
            </w:tcBorders>
          </w:tcPr>
          <w:p>
            <w:pPr>
              <w:pStyle w:val="TableParagraph"/>
              <w:spacing w:before="5"/>
              <w:ind w:right="46"/>
              <w:jc w:val="right"/>
              <w:rPr>
                <w:sz w:val="13"/>
              </w:rPr>
            </w:pPr>
            <w:r>
              <w:rPr>
                <w:sz w:val="13"/>
              </w:rPr>
              <w:t>887,99</w:t>
            </w:r>
          </w:p>
        </w:tc>
        <w:tc>
          <w:tcPr>
            <w:tcW w:w="1313" w:type="dxa"/>
            <w:tcBorders>
              <w:left w:val="single" w:sz="4" w:space="0" w:color="000000"/>
            </w:tcBorders>
          </w:tcPr>
          <w:p>
            <w:pPr>
              <w:pStyle w:val="TableParagraph"/>
              <w:spacing w:before="5"/>
              <w:ind w:right="174"/>
              <w:jc w:val="right"/>
              <w:rPr>
                <w:sz w:val="13"/>
              </w:rPr>
            </w:pPr>
            <w:r>
              <w:rPr>
                <w:sz w:val="13"/>
              </w:rPr>
              <w:t>10,96</w:t>
            </w:r>
          </w:p>
        </w:tc>
        <w:tc>
          <w:tcPr>
            <w:tcW w:w="1086" w:type="dxa"/>
            <w:tcBorders>
              <w:right w:val="single" w:sz="4" w:space="0" w:color="000000"/>
            </w:tcBorders>
          </w:tcPr>
          <w:p>
            <w:pPr>
              <w:pStyle w:val="TableParagraph"/>
              <w:spacing w:before="5"/>
              <w:ind w:right="46"/>
              <w:jc w:val="right"/>
              <w:rPr>
                <w:sz w:val="13"/>
              </w:rPr>
            </w:pPr>
            <w:r>
              <w:rPr>
                <w:sz w:val="13"/>
              </w:rPr>
              <w:t>887,99</w:t>
            </w:r>
          </w:p>
        </w:tc>
      </w:tr>
      <w:tr>
        <w:trPr>
          <w:trHeight w:val="190" w:hRule="atLeast"/>
        </w:trPr>
        <w:tc>
          <w:tcPr>
            <w:tcW w:w="1306" w:type="dxa"/>
            <w:tcBorders>
              <w:left w:val="single" w:sz="4" w:space="0" w:color="000000"/>
              <w:right w:val="single" w:sz="4" w:space="0" w:color="000000"/>
            </w:tcBorders>
          </w:tcPr>
          <w:p>
            <w:pPr>
              <w:pStyle w:val="TableParagraph"/>
              <w:spacing w:before="5"/>
              <w:ind w:left="59"/>
              <w:rPr>
                <w:b/>
                <w:sz w:val="13"/>
              </w:rPr>
            </w:pPr>
            <w:r>
              <w:rPr>
                <w:b/>
                <w:w w:val="105"/>
                <w:sz w:val="13"/>
              </w:rPr>
              <w:t>RTVC</w:t>
            </w:r>
          </w:p>
        </w:tc>
        <w:tc>
          <w:tcPr>
            <w:tcW w:w="1070" w:type="dxa"/>
            <w:tcBorders>
              <w:left w:val="single" w:sz="4" w:space="0" w:color="000000"/>
              <w:right w:val="single" w:sz="4" w:space="0" w:color="000000"/>
            </w:tcBorders>
          </w:tcPr>
          <w:p>
            <w:pPr>
              <w:pStyle w:val="TableParagraph"/>
              <w:spacing w:before="5"/>
              <w:ind w:right="43"/>
              <w:jc w:val="right"/>
              <w:rPr>
                <w:sz w:val="13"/>
              </w:rPr>
            </w:pPr>
            <w:r>
              <w:rPr>
                <w:w w:val="105"/>
                <w:sz w:val="13"/>
              </w:rPr>
              <w:t>58.607,44</w:t>
            </w:r>
          </w:p>
        </w:tc>
        <w:tc>
          <w:tcPr>
            <w:tcW w:w="1302" w:type="dxa"/>
            <w:tcBorders>
              <w:left w:val="single" w:sz="4" w:space="0" w:color="000000"/>
            </w:tcBorders>
          </w:tcPr>
          <w:p>
            <w:pPr>
              <w:pStyle w:val="TableParagraph"/>
              <w:spacing w:before="5"/>
              <w:ind w:right="161"/>
              <w:jc w:val="right"/>
              <w:rPr>
                <w:sz w:val="13"/>
              </w:rPr>
            </w:pPr>
            <w:r>
              <w:rPr>
                <w:w w:val="105"/>
                <w:sz w:val="13"/>
              </w:rPr>
              <w:t>11.962,85</w:t>
            </w:r>
          </w:p>
        </w:tc>
        <w:tc>
          <w:tcPr>
            <w:tcW w:w="1081" w:type="dxa"/>
            <w:tcBorders>
              <w:right w:val="single" w:sz="4" w:space="0" w:color="000000"/>
            </w:tcBorders>
          </w:tcPr>
          <w:p>
            <w:pPr>
              <w:pStyle w:val="TableParagraph"/>
              <w:spacing w:before="5"/>
              <w:ind w:right="46"/>
              <w:jc w:val="right"/>
              <w:rPr>
                <w:sz w:val="13"/>
              </w:rPr>
            </w:pPr>
            <w:r>
              <w:rPr>
                <w:w w:val="105"/>
                <w:sz w:val="13"/>
              </w:rPr>
              <w:t>70.570,29</w:t>
            </w:r>
          </w:p>
        </w:tc>
        <w:tc>
          <w:tcPr>
            <w:tcW w:w="1313" w:type="dxa"/>
            <w:tcBorders>
              <w:left w:val="single" w:sz="4" w:space="0" w:color="000000"/>
            </w:tcBorders>
          </w:tcPr>
          <w:p>
            <w:pPr>
              <w:pStyle w:val="TableParagraph"/>
              <w:spacing w:before="5"/>
              <w:ind w:right="174"/>
              <w:jc w:val="right"/>
              <w:rPr>
                <w:sz w:val="13"/>
              </w:rPr>
            </w:pPr>
            <w:r>
              <w:rPr>
                <w:w w:val="105"/>
                <w:sz w:val="13"/>
              </w:rPr>
              <w:t>11.962,85</w:t>
            </w:r>
          </w:p>
        </w:tc>
        <w:tc>
          <w:tcPr>
            <w:tcW w:w="1086" w:type="dxa"/>
            <w:tcBorders>
              <w:right w:val="single" w:sz="4" w:space="0" w:color="000000"/>
            </w:tcBorders>
          </w:tcPr>
          <w:p>
            <w:pPr>
              <w:pStyle w:val="TableParagraph"/>
              <w:spacing w:before="5"/>
              <w:ind w:right="46"/>
              <w:jc w:val="right"/>
              <w:rPr>
                <w:sz w:val="13"/>
              </w:rPr>
            </w:pPr>
            <w:r>
              <w:rPr>
                <w:w w:val="105"/>
                <w:sz w:val="13"/>
              </w:rPr>
              <w:t>70.570,29</w:t>
            </w:r>
          </w:p>
        </w:tc>
      </w:tr>
      <w:tr>
        <w:trPr>
          <w:trHeight w:val="190" w:hRule="atLeast"/>
        </w:trPr>
        <w:tc>
          <w:tcPr>
            <w:tcW w:w="1306" w:type="dxa"/>
            <w:tcBorders>
              <w:left w:val="single" w:sz="4" w:space="0" w:color="000000"/>
              <w:right w:val="single" w:sz="4" w:space="0" w:color="000000"/>
            </w:tcBorders>
          </w:tcPr>
          <w:p>
            <w:pPr>
              <w:pStyle w:val="TableParagraph"/>
              <w:spacing w:before="4"/>
              <w:ind w:left="59"/>
              <w:rPr>
                <w:b/>
                <w:sz w:val="13"/>
              </w:rPr>
            </w:pPr>
            <w:r>
              <w:rPr>
                <w:b/>
                <w:w w:val="105"/>
                <w:sz w:val="13"/>
              </w:rPr>
              <w:t>ATC</w:t>
            </w:r>
          </w:p>
        </w:tc>
        <w:tc>
          <w:tcPr>
            <w:tcW w:w="1070" w:type="dxa"/>
            <w:tcBorders>
              <w:left w:val="single" w:sz="4" w:space="0" w:color="000000"/>
              <w:right w:val="single" w:sz="4" w:space="0" w:color="000000"/>
            </w:tcBorders>
          </w:tcPr>
          <w:p>
            <w:pPr>
              <w:pStyle w:val="TableParagraph"/>
              <w:spacing w:before="4"/>
              <w:ind w:right="43"/>
              <w:jc w:val="right"/>
              <w:rPr>
                <w:sz w:val="13"/>
              </w:rPr>
            </w:pPr>
            <w:r>
              <w:rPr>
                <w:w w:val="105"/>
                <w:sz w:val="13"/>
              </w:rPr>
              <w:t>60.494,99</w:t>
            </w:r>
          </w:p>
        </w:tc>
        <w:tc>
          <w:tcPr>
            <w:tcW w:w="1302" w:type="dxa"/>
            <w:tcBorders>
              <w:left w:val="single" w:sz="4" w:space="0" w:color="000000"/>
            </w:tcBorders>
          </w:tcPr>
          <w:p>
            <w:pPr>
              <w:pStyle w:val="TableParagraph"/>
              <w:spacing w:before="4"/>
              <w:ind w:right="161"/>
              <w:jc w:val="right"/>
              <w:rPr>
                <w:sz w:val="13"/>
              </w:rPr>
            </w:pPr>
            <w:r>
              <w:rPr>
                <w:w w:val="105"/>
                <w:sz w:val="13"/>
              </w:rPr>
              <w:t>33.441,66</w:t>
            </w:r>
          </w:p>
        </w:tc>
        <w:tc>
          <w:tcPr>
            <w:tcW w:w="1081" w:type="dxa"/>
            <w:tcBorders>
              <w:right w:val="single" w:sz="4" w:space="0" w:color="000000"/>
            </w:tcBorders>
          </w:tcPr>
          <w:p>
            <w:pPr>
              <w:pStyle w:val="TableParagraph"/>
              <w:spacing w:before="4"/>
              <w:ind w:right="46"/>
              <w:jc w:val="right"/>
              <w:rPr>
                <w:sz w:val="13"/>
              </w:rPr>
            </w:pPr>
            <w:r>
              <w:rPr>
                <w:w w:val="105"/>
                <w:sz w:val="13"/>
              </w:rPr>
              <w:t>93.936,65</w:t>
            </w:r>
          </w:p>
        </w:tc>
        <w:tc>
          <w:tcPr>
            <w:tcW w:w="1313" w:type="dxa"/>
            <w:tcBorders>
              <w:left w:val="single" w:sz="4" w:space="0" w:color="000000"/>
            </w:tcBorders>
          </w:tcPr>
          <w:p>
            <w:pPr>
              <w:pStyle w:val="TableParagraph"/>
              <w:spacing w:before="4"/>
              <w:ind w:right="174"/>
              <w:jc w:val="right"/>
              <w:rPr>
                <w:sz w:val="13"/>
              </w:rPr>
            </w:pPr>
            <w:r>
              <w:rPr>
                <w:w w:val="105"/>
                <w:sz w:val="13"/>
              </w:rPr>
              <w:t>33.441,66</w:t>
            </w:r>
          </w:p>
        </w:tc>
        <w:tc>
          <w:tcPr>
            <w:tcW w:w="1086" w:type="dxa"/>
            <w:tcBorders>
              <w:right w:val="single" w:sz="4" w:space="0" w:color="000000"/>
            </w:tcBorders>
          </w:tcPr>
          <w:p>
            <w:pPr>
              <w:pStyle w:val="TableParagraph"/>
              <w:spacing w:before="4"/>
              <w:ind w:right="46"/>
              <w:jc w:val="right"/>
              <w:rPr>
                <w:sz w:val="13"/>
              </w:rPr>
            </w:pPr>
            <w:r>
              <w:rPr>
                <w:w w:val="105"/>
                <w:sz w:val="13"/>
              </w:rPr>
              <w:t>93.936,65</w:t>
            </w:r>
          </w:p>
        </w:tc>
      </w:tr>
      <w:tr>
        <w:trPr>
          <w:trHeight w:val="178" w:hRule="atLeast"/>
        </w:trPr>
        <w:tc>
          <w:tcPr>
            <w:tcW w:w="1306" w:type="dxa"/>
            <w:tcBorders>
              <w:left w:val="single" w:sz="4" w:space="0" w:color="000000"/>
              <w:bottom w:val="single" w:sz="4" w:space="0" w:color="000000"/>
              <w:right w:val="single" w:sz="4" w:space="0" w:color="000000"/>
            </w:tcBorders>
          </w:tcPr>
          <w:p>
            <w:pPr>
              <w:pStyle w:val="TableParagraph"/>
              <w:spacing w:line="153" w:lineRule="exact" w:before="5"/>
              <w:ind w:left="59"/>
              <w:rPr>
                <w:b/>
                <w:sz w:val="13"/>
              </w:rPr>
            </w:pPr>
            <w:r>
              <w:rPr>
                <w:b/>
                <w:w w:val="105"/>
                <w:sz w:val="13"/>
              </w:rPr>
              <w:t>CR</w:t>
            </w:r>
          </w:p>
        </w:tc>
        <w:tc>
          <w:tcPr>
            <w:tcW w:w="1070" w:type="dxa"/>
            <w:tcBorders>
              <w:left w:val="single" w:sz="4" w:space="0" w:color="000000"/>
              <w:bottom w:val="single" w:sz="4" w:space="0" w:color="000000"/>
              <w:right w:val="single" w:sz="4" w:space="0" w:color="000000"/>
            </w:tcBorders>
          </w:tcPr>
          <w:p>
            <w:pPr>
              <w:pStyle w:val="TableParagraph"/>
              <w:spacing w:line="153" w:lineRule="exact" w:before="5"/>
              <w:ind w:right="43"/>
              <w:jc w:val="right"/>
              <w:rPr>
                <w:sz w:val="13"/>
              </w:rPr>
            </w:pPr>
            <w:r>
              <w:rPr>
                <w:sz w:val="13"/>
              </w:rPr>
              <w:t>175,00</w:t>
            </w:r>
          </w:p>
        </w:tc>
        <w:tc>
          <w:tcPr>
            <w:tcW w:w="1302" w:type="dxa"/>
            <w:tcBorders>
              <w:left w:val="single" w:sz="4" w:space="0" w:color="000000"/>
              <w:bottom w:val="single" w:sz="4" w:space="0" w:color="000000"/>
            </w:tcBorders>
          </w:tcPr>
          <w:p>
            <w:pPr>
              <w:pStyle w:val="TableParagraph"/>
              <w:spacing w:line="153" w:lineRule="exact" w:before="5"/>
              <w:ind w:right="192"/>
              <w:jc w:val="right"/>
              <w:rPr>
                <w:sz w:val="13"/>
              </w:rPr>
            </w:pPr>
            <w:r>
              <w:rPr>
                <w:w w:val="103"/>
                <w:sz w:val="13"/>
              </w:rPr>
              <w:t>-</w:t>
            </w:r>
          </w:p>
        </w:tc>
        <w:tc>
          <w:tcPr>
            <w:tcW w:w="1081" w:type="dxa"/>
            <w:tcBorders>
              <w:bottom w:val="single" w:sz="4" w:space="0" w:color="000000"/>
              <w:right w:val="single" w:sz="4" w:space="0" w:color="000000"/>
            </w:tcBorders>
          </w:tcPr>
          <w:p>
            <w:pPr>
              <w:pStyle w:val="TableParagraph"/>
              <w:spacing w:line="153" w:lineRule="exact" w:before="5"/>
              <w:ind w:right="47"/>
              <w:jc w:val="right"/>
              <w:rPr>
                <w:sz w:val="13"/>
              </w:rPr>
            </w:pPr>
            <w:r>
              <w:rPr>
                <w:w w:val="103"/>
                <w:sz w:val="13"/>
              </w:rPr>
              <w:t>-</w:t>
            </w:r>
          </w:p>
        </w:tc>
        <w:tc>
          <w:tcPr>
            <w:tcW w:w="1313" w:type="dxa"/>
            <w:tcBorders>
              <w:left w:val="single" w:sz="4" w:space="0" w:color="000000"/>
              <w:bottom w:val="single" w:sz="4" w:space="0" w:color="000000"/>
            </w:tcBorders>
          </w:tcPr>
          <w:p>
            <w:pPr>
              <w:pStyle w:val="TableParagraph"/>
              <w:spacing w:line="153" w:lineRule="exact" w:before="5"/>
              <w:ind w:right="175"/>
              <w:jc w:val="right"/>
              <w:rPr>
                <w:sz w:val="13"/>
              </w:rPr>
            </w:pPr>
            <w:r>
              <w:rPr>
                <w:w w:val="103"/>
                <w:sz w:val="13"/>
              </w:rPr>
              <w:t>-</w:t>
            </w:r>
          </w:p>
        </w:tc>
        <w:tc>
          <w:tcPr>
            <w:tcW w:w="1086" w:type="dxa"/>
            <w:tcBorders>
              <w:bottom w:val="single" w:sz="4" w:space="0" w:color="000000"/>
              <w:right w:val="single" w:sz="4" w:space="0" w:color="000000"/>
            </w:tcBorders>
          </w:tcPr>
          <w:p>
            <w:pPr>
              <w:pStyle w:val="TableParagraph"/>
              <w:spacing w:line="153" w:lineRule="exact" w:before="5"/>
              <w:ind w:right="47"/>
              <w:jc w:val="right"/>
              <w:rPr>
                <w:sz w:val="13"/>
              </w:rPr>
            </w:pPr>
            <w:r>
              <w:rPr>
                <w:w w:val="103"/>
                <w:sz w:val="13"/>
              </w:rPr>
              <w:t>-</w:t>
            </w:r>
          </w:p>
        </w:tc>
      </w:tr>
      <w:tr>
        <w:trPr>
          <w:trHeight w:val="189" w:hRule="atLeast"/>
        </w:trPr>
        <w:tc>
          <w:tcPr>
            <w:tcW w:w="130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155" w:lineRule="exact" w:before="14"/>
              <w:ind w:left="138"/>
              <w:rPr>
                <w:b/>
                <w:sz w:val="13"/>
              </w:rPr>
            </w:pPr>
            <w:r>
              <w:rPr>
                <w:b/>
                <w:w w:val="105"/>
                <w:sz w:val="13"/>
              </w:rPr>
              <w:t>TOTAL (</w:t>
            </w:r>
            <w:r>
              <w:rPr>
                <w:w w:val="105"/>
                <w:sz w:val="13"/>
              </w:rPr>
              <w:t>miles de €</w:t>
            </w:r>
            <w:r>
              <w:rPr>
                <w:b/>
                <w:w w:val="105"/>
                <w:sz w:val="13"/>
              </w:rPr>
              <w:t>)</w:t>
            </w:r>
          </w:p>
        </w:tc>
        <w:tc>
          <w:tcPr>
            <w:tcW w:w="107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155" w:lineRule="exact" w:before="14"/>
              <w:ind w:right="43"/>
              <w:jc w:val="right"/>
              <w:rPr>
                <w:b/>
                <w:sz w:val="13"/>
              </w:rPr>
            </w:pPr>
            <w:r>
              <w:rPr>
                <w:b/>
                <w:w w:val="105"/>
                <w:sz w:val="13"/>
              </w:rPr>
              <w:t>4.099.093,76</w:t>
            </w:r>
          </w:p>
        </w:tc>
        <w:tc>
          <w:tcPr>
            <w:tcW w:w="1302" w:type="dxa"/>
            <w:tcBorders>
              <w:top w:val="single" w:sz="4" w:space="0" w:color="000000"/>
              <w:left w:val="single" w:sz="4" w:space="0" w:color="000000"/>
              <w:bottom w:val="single" w:sz="4" w:space="0" w:color="000000"/>
            </w:tcBorders>
            <w:shd w:val="clear" w:color="auto" w:fill="D9D9D9"/>
          </w:tcPr>
          <w:p>
            <w:pPr>
              <w:pStyle w:val="TableParagraph"/>
              <w:spacing w:line="155" w:lineRule="exact" w:before="14"/>
              <w:ind w:right="161"/>
              <w:jc w:val="right"/>
              <w:rPr>
                <w:b/>
                <w:sz w:val="13"/>
              </w:rPr>
            </w:pPr>
            <w:r>
              <w:rPr>
                <w:b/>
                <w:w w:val="105"/>
                <w:sz w:val="13"/>
              </w:rPr>
              <w:t>881.357,92</w:t>
            </w:r>
          </w:p>
        </w:tc>
        <w:tc>
          <w:tcPr>
            <w:tcW w:w="1081" w:type="dxa"/>
            <w:tcBorders>
              <w:top w:val="single" w:sz="4" w:space="0" w:color="000000"/>
              <w:bottom w:val="single" w:sz="4" w:space="0" w:color="000000"/>
              <w:right w:val="single" w:sz="4" w:space="0" w:color="000000"/>
            </w:tcBorders>
            <w:shd w:val="clear" w:color="auto" w:fill="D9D9D9"/>
          </w:tcPr>
          <w:p>
            <w:pPr>
              <w:pStyle w:val="TableParagraph"/>
              <w:spacing w:line="155" w:lineRule="exact" w:before="14"/>
              <w:ind w:right="46"/>
              <w:jc w:val="right"/>
              <w:rPr>
                <w:b/>
                <w:sz w:val="13"/>
              </w:rPr>
            </w:pPr>
            <w:r>
              <w:rPr>
                <w:b/>
                <w:w w:val="105"/>
                <w:sz w:val="13"/>
              </w:rPr>
              <w:t>4.967.342,34</w:t>
            </w:r>
          </w:p>
        </w:tc>
        <w:tc>
          <w:tcPr>
            <w:tcW w:w="1313" w:type="dxa"/>
            <w:tcBorders>
              <w:top w:val="single" w:sz="4" w:space="0" w:color="000000"/>
              <w:left w:val="single" w:sz="4" w:space="0" w:color="000000"/>
              <w:bottom w:val="single" w:sz="4" w:space="0" w:color="000000"/>
            </w:tcBorders>
            <w:shd w:val="clear" w:color="auto" w:fill="D9D9D9"/>
          </w:tcPr>
          <w:p>
            <w:pPr>
              <w:pStyle w:val="TableParagraph"/>
              <w:spacing w:line="155" w:lineRule="exact" w:before="14"/>
              <w:ind w:right="174"/>
              <w:jc w:val="right"/>
              <w:rPr>
                <w:b/>
                <w:sz w:val="13"/>
              </w:rPr>
            </w:pPr>
            <w:r>
              <w:rPr>
                <w:b/>
                <w:w w:val="105"/>
                <w:sz w:val="13"/>
              </w:rPr>
              <w:t>940.357,92</w:t>
            </w:r>
          </w:p>
        </w:tc>
        <w:tc>
          <w:tcPr>
            <w:tcW w:w="1086" w:type="dxa"/>
            <w:tcBorders>
              <w:top w:val="single" w:sz="4" w:space="0" w:color="000000"/>
              <w:bottom w:val="single" w:sz="4" w:space="0" w:color="000000"/>
              <w:right w:val="single" w:sz="4" w:space="0" w:color="000000"/>
            </w:tcBorders>
            <w:shd w:val="clear" w:color="auto" w:fill="D9D9D9"/>
          </w:tcPr>
          <w:p>
            <w:pPr>
              <w:pStyle w:val="TableParagraph"/>
              <w:spacing w:line="155" w:lineRule="exact" w:before="14"/>
              <w:ind w:right="46"/>
              <w:jc w:val="right"/>
              <w:rPr>
                <w:b/>
                <w:sz w:val="13"/>
              </w:rPr>
            </w:pPr>
            <w:r>
              <w:rPr>
                <w:b/>
                <w:w w:val="105"/>
                <w:sz w:val="13"/>
              </w:rPr>
              <w:t>5.026.342,34</w:t>
            </w:r>
          </w:p>
        </w:tc>
      </w:tr>
    </w:tbl>
    <w:p>
      <w:pPr>
        <w:pStyle w:val="BodyText"/>
        <w:spacing w:before="3" w:after="1"/>
        <w:rPr>
          <w:b/>
          <w:sz w:val="18"/>
        </w:rPr>
      </w:pPr>
    </w:p>
    <w:tbl>
      <w:tblPr>
        <w:tblW w:w="0" w:type="auto"/>
        <w:jc w:val="left"/>
        <w:tblInd w:w="3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7"/>
        <w:gridCol w:w="1414"/>
        <w:gridCol w:w="1173"/>
      </w:tblGrid>
      <w:tr>
        <w:trPr>
          <w:trHeight w:val="217" w:hRule="atLeast"/>
        </w:trPr>
        <w:tc>
          <w:tcPr>
            <w:tcW w:w="4994" w:type="dxa"/>
            <w:gridSpan w:val="3"/>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30"/>
              <w:ind w:left="59"/>
              <w:rPr>
                <w:b/>
                <w:sz w:val="13"/>
              </w:rPr>
            </w:pPr>
            <w:r>
              <w:rPr>
                <w:b/>
                <w:w w:val="105"/>
                <w:sz w:val="13"/>
              </w:rPr>
              <w:t>Modificaciones de crédito</w:t>
            </w:r>
          </w:p>
        </w:tc>
      </w:tr>
      <w:tr>
        <w:trPr>
          <w:trHeight w:val="230" w:hRule="atLeast"/>
        </w:trPr>
        <w:tc>
          <w:tcPr>
            <w:tcW w:w="2407" w:type="dxa"/>
            <w:tcBorders>
              <w:top w:val="single" w:sz="4" w:space="0" w:color="000000"/>
              <w:left w:val="single" w:sz="4" w:space="0" w:color="000000"/>
            </w:tcBorders>
          </w:tcPr>
          <w:p>
            <w:pPr>
              <w:pStyle w:val="TableParagraph"/>
              <w:spacing w:before="30"/>
              <w:ind w:left="59"/>
              <w:rPr>
                <w:sz w:val="13"/>
              </w:rPr>
            </w:pPr>
            <w:r>
              <w:rPr>
                <w:w w:val="105"/>
                <w:sz w:val="13"/>
              </w:rPr>
              <w:t>Suplementos de Crédito</w:t>
            </w:r>
          </w:p>
        </w:tc>
        <w:tc>
          <w:tcPr>
            <w:tcW w:w="1414" w:type="dxa"/>
            <w:tcBorders>
              <w:top w:val="single" w:sz="4" w:space="0" w:color="000000"/>
            </w:tcBorders>
          </w:tcPr>
          <w:p>
            <w:pPr>
              <w:pStyle w:val="TableParagraph"/>
              <w:spacing w:before="30"/>
              <w:ind w:left="381" w:right="219"/>
              <w:jc w:val="center"/>
              <w:rPr>
                <w:sz w:val="13"/>
              </w:rPr>
            </w:pPr>
            <w:r>
              <w:rPr>
                <w:w w:val="105"/>
                <w:sz w:val="13"/>
              </w:rPr>
              <w:t>48.830,92</w:t>
            </w:r>
          </w:p>
        </w:tc>
        <w:tc>
          <w:tcPr>
            <w:tcW w:w="1173" w:type="dxa"/>
            <w:tcBorders>
              <w:top w:val="single" w:sz="4" w:space="0" w:color="000000"/>
              <w:right w:val="single" w:sz="4" w:space="0" w:color="000000"/>
            </w:tcBorders>
          </w:tcPr>
          <w:p>
            <w:pPr>
              <w:pStyle w:val="TableParagraph"/>
              <w:spacing w:before="30"/>
              <w:ind w:right="412"/>
              <w:jc w:val="right"/>
              <w:rPr>
                <w:sz w:val="13"/>
              </w:rPr>
            </w:pPr>
            <w:r>
              <w:rPr>
                <w:sz w:val="13"/>
              </w:rPr>
              <w:t>5,19%</w:t>
            </w:r>
          </w:p>
        </w:tc>
      </w:tr>
      <w:tr>
        <w:trPr>
          <w:trHeight w:val="219" w:hRule="atLeast"/>
        </w:trPr>
        <w:tc>
          <w:tcPr>
            <w:tcW w:w="2407" w:type="dxa"/>
            <w:tcBorders>
              <w:left w:val="single" w:sz="4" w:space="0" w:color="000000"/>
            </w:tcBorders>
          </w:tcPr>
          <w:p>
            <w:pPr>
              <w:pStyle w:val="TableParagraph"/>
              <w:spacing w:before="19"/>
              <w:ind w:left="59"/>
              <w:rPr>
                <w:sz w:val="13"/>
              </w:rPr>
            </w:pPr>
            <w:r>
              <w:rPr>
                <w:w w:val="105"/>
                <w:sz w:val="13"/>
              </w:rPr>
              <w:t>Ampliaciones de Crédito</w:t>
            </w:r>
          </w:p>
        </w:tc>
        <w:tc>
          <w:tcPr>
            <w:tcW w:w="1414" w:type="dxa"/>
          </w:tcPr>
          <w:p>
            <w:pPr>
              <w:pStyle w:val="TableParagraph"/>
              <w:spacing w:before="19"/>
              <w:ind w:left="381" w:right="219"/>
              <w:jc w:val="center"/>
              <w:rPr>
                <w:sz w:val="13"/>
              </w:rPr>
            </w:pPr>
            <w:r>
              <w:rPr>
                <w:w w:val="105"/>
                <w:sz w:val="13"/>
              </w:rPr>
              <w:t>72.379,93</w:t>
            </w:r>
          </w:p>
        </w:tc>
        <w:tc>
          <w:tcPr>
            <w:tcW w:w="1173" w:type="dxa"/>
            <w:tcBorders>
              <w:right w:val="single" w:sz="4" w:space="0" w:color="000000"/>
            </w:tcBorders>
          </w:tcPr>
          <w:p>
            <w:pPr>
              <w:pStyle w:val="TableParagraph"/>
              <w:spacing w:before="19"/>
              <w:ind w:right="412"/>
              <w:jc w:val="right"/>
              <w:rPr>
                <w:sz w:val="13"/>
              </w:rPr>
            </w:pPr>
            <w:r>
              <w:rPr>
                <w:sz w:val="13"/>
              </w:rPr>
              <w:t>7,70%</w:t>
            </w:r>
          </w:p>
        </w:tc>
      </w:tr>
      <w:tr>
        <w:trPr>
          <w:trHeight w:val="219" w:hRule="atLeast"/>
        </w:trPr>
        <w:tc>
          <w:tcPr>
            <w:tcW w:w="2407" w:type="dxa"/>
            <w:tcBorders>
              <w:left w:val="single" w:sz="4" w:space="0" w:color="000000"/>
            </w:tcBorders>
          </w:tcPr>
          <w:p>
            <w:pPr>
              <w:pStyle w:val="TableParagraph"/>
              <w:spacing w:before="19"/>
              <w:ind w:left="59"/>
              <w:rPr>
                <w:sz w:val="13"/>
              </w:rPr>
            </w:pPr>
            <w:r>
              <w:rPr>
                <w:w w:val="105"/>
                <w:sz w:val="13"/>
              </w:rPr>
              <w:t>Créditos Extraordinarios</w:t>
            </w:r>
          </w:p>
        </w:tc>
        <w:tc>
          <w:tcPr>
            <w:tcW w:w="1414" w:type="dxa"/>
          </w:tcPr>
          <w:p>
            <w:pPr>
              <w:pStyle w:val="TableParagraph"/>
              <w:spacing w:before="19"/>
              <w:ind w:left="381" w:right="219"/>
              <w:jc w:val="center"/>
              <w:rPr>
                <w:sz w:val="13"/>
              </w:rPr>
            </w:pPr>
            <w:r>
              <w:rPr>
                <w:w w:val="105"/>
                <w:sz w:val="13"/>
              </w:rPr>
              <w:t>83.813,66</w:t>
            </w:r>
          </w:p>
        </w:tc>
        <w:tc>
          <w:tcPr>
            <w:tcW w:w="1173" w:type="dxa"/>
            <w:tcBorders>
              <w:right w:val="single" w:sz="4" w:space="0" w:color="000000"/>
            </w:tcBorders>
          </w:tcPr>
          <w:p>
            <w:pPr>
              <w:pStyle w:val="TableParagraph"/>
              <w:spacing w:before="19"/>
              <w:ind w:right="412"/>
              <w:jc w:val="right"/>
              <w:rPr>
                <w:sz w:val="13"/>
              </w:rPr>
            </w:pPr>
            <w:r>
              <w:rPr>
                <w:sz w:val="13"/>
              </w:rPr>
              <w:t>8,91%</w:t>
            </w:r>
          </w:p>
        </w:tc>
      </w:tr>
      <w:tr>
        <w:trPr>
          <w:trHeight w:val="218" w:hRule="atLeast"/>
        </w:trPr>
        <w:tc>
          <w:tcPr>
            <w:tcW w:w="2407" w:type="dxa"/>
            <w:tcBorders>
              <w:left w:val="single" w:sz="4" w:space="0" w:color="000000"/>
            </w:tcBorders>
          </w:tcPr>
          <w:p>
            <w:pPr>
              <w:pStyle w:val="TableParagraph"/>
              <w:spacing w:before="19"/>
              <w:ind w:left="59"/>
              <w:rPr>
                <w:sz w:val="13"/>
              </w:rPr>
            </w:pPr>
            <w:r>
              <w:rPr>
                <w:w w:val="105"/>
                <w:sz w:val="13"/>
              </w:rPr>
              <w:t>Transferencias de crédito Positivas</w:t>
            </w:r>
          </w:p>
        </w:tc>
        <w:tc>
          <w:tcPr>
            <w:tcW w:w="1414" w:type="dxa"/>
          </w:tcPr>
          <w:p>
            <w:pPr>
              <w:pStyle w:val="TableParagraph"/>
              <w:spacing w:before="19"/>
              <w:ind w:left="381" w:right="288"/>
              <w:jc w:val="center"/>
              <w:rPr>
                <w:sz w:val="13"/>
              </w:rPr>
            </w:pPr>
            <w:r>
              <w:rPr>
                <w:w w:val="105"/>
                <w:sz w:val="13"/>
              </w:rPr>
              <w:t>230.957,67</w:t>
            </w:r>
          </w:p>
        </w:tc>
        <w:tc>
          <w:tcPr>
            <w:tcW w:w="1173" w:type="dxa"/>
            <w:tcBorders>
              <w:right w:val="single" w:sz="4" w:space="0" w:color="000000"/>
            </w:tcBorders>
          </w:tcPr>
          <w:p>
            <w:pPr>
              <w:pStyle w:val="TableParagraph"/>
              <w:spacing w:before="19"/>
              <w:ind w:right="380"/>
              <w:jc w:val="right"/>
              <w:rPr>
                <w:sz w:val="13"/>
              </w:rPr>
            </w:pPr>
            <w:r>
              <w:rPr>
                <w:sz w:val="13"/>
              </w:rPr>
              <w:t>24,56%</w:t>
            </w:r>
          </w:p>
        </w:tc>
      </w:tr>
      <w:tr>
        <w:trPr>
          <w:trHeight w:val="218" w:hRule="atLeast"/>
        </w:trPr>
        <w:tc>
          <w:tcPr>
            <w:tcW w:w="2407" w:type="dxa"/>
            <w:tcBorders>
              <w:left w:val="single" w:sz="4" w:space="0" w:color="000000"/>
            </w:tcBorders>
          </w:tcPr>
          <w:p>
            <w:pPr>
              <w:pStyle w:val="TableParagraph"/>
              <w:spacing w:before="18"/>
              <w:ind w:left="59"/>
              <w:rPr>
                <w:sz w:val="13"/>
              </w:rPr>
            </w:pPr>
            <w:r>
              <w:rPr>
                <w:w w:val="105"/>
                <w:sz w:val="13"/>
              </w:rPr>
              <w:t>Transferencias de crédito Negativas</w:t>
            </w:r>
          </w:p>
        </w:tc>
        <w:tc>
          <w:tcPr>
            <w:tcW w:w="1414" w:type="dxa"/>
          </w:tcPr>
          <w:p>
            <w:pPr>
              <w:pStyle w:val="TableParagraph"/>
              <w:spacing w:before="18"/>
              <w:ind w:left="381" w:right="328"/>
              <w:jc w:val="center"/>
              <w:rPr>
                <w:sz w:val="13"/>
              </w:rPr>
            </w:pPr>
            <w:r>
              <w:rPr>
                <w:w w:val="105"/>
                <w:sz w:val="13"/>
              </w:rPr>
              <w:t>-230.957,67</w:t>
            </w:r>
          </w:p>
        </w:tc>
        <w:tc>
          <w:tcPr>
            <w:tcW w:w="1173" w:type="dxa"/>
            <w:tcBorders>
              <w:right w:val="single" w:sz="4" w:space="0" w:color="000000"/>
            </w:tcBorders>
          </w:tcPr>
          <w:p>
            <w:pPr>
              <w:pStyle w:val="TableParagraph"/>
              <w:spacing w:before="18"/>
              <w:ind w:right="357"/>
              <w:jc w:val="right"/>
              <w:rPr>
                <w:sz w:val="13"/>
              </w:rPr>
            </w:pPr>
            <w:r>
              <w:rPr>
                <w:w w:val="105"/>
                <w:sz w:val="13"/>
              </w:rPr>
              <w:t>-24,56%</w:t>
            </w:r>
          </w:p>
        </w:tc>
      </w:tr>
      <w:tr>
        <w:trPr>
          <w:trHeight w:val="219" w:hRule="atLeast"/>
        </w:trPr>
        <w:tc>
          <w:tcPr>
            <w:tcW w:w="2407" w:type="dxa"/>
            <w:tcBorders>
              <w:left w:val="single" w:sz="4" w:space="0" w:color="000000"/>
            </w:tcBorders>
          </w:tcPr>
          <w:p>
            <w:pPr>
              <w:pStyle w:val="TableParagraph"/>
              <w:spacing w:before="20"/>
              <w:ind w:left="59"/>
              <w:rPr>
                <w:sz w:val="13"/>
              </w:rPr>
            </w:pPr>
            <w:r>
              <w:rPr>
                <w:w w:val="105"/>
                <w:sz w:val="13"/>
              </w:rPr>
              <w:t>Créditos Generados por Ingresos</w:t>
            </w:r>
          </w:p>
        </w:tc>
        <w:tc>
          <w:tcPr>
            <w:tcW w:w="1414" w:type="dxa"/>
          </w:tcPr>
          <w:p>
            <w:pPr>
              <w:pStyle w:val="TableParagraph"/>
              <w:spacing w:before="20"/>
              <w:ind w:left="381" w:right="288"/>
              <w:jc w:val="center"/>
              <w:rPr>
                <w:sz w:val="13"/>
              </w:rPr>
            </w:pPr>
            <w:r>
              <w:rPr>
                <w:w w:val="105"/>
                <w:sz w:val="13"/>
              </w:rPr>
              <w:t>689.582,31</w:t>
            </w:r>
          </w:p>
        </w:tc>
        <w:tc>
          <w:tcPr>
            <w:tcW w:w="1173" w:type="dxa"/>
            <w:tcBorders>
              <w:right w:val="single" w:sz="4" w:space="0" w:color="000000"/>
            </w:tcBorders>
          </w:tcPr>
          <w:p>
            <w:pPr>
              <w:pStyle w:val="TableParagraph"/>
              <w:spacing w:before="20"/>
              <w:ind w:right="380"/>
              <w:jc w:val="right"/>
              <w:rPr>
                <w:sz w:val="13"/>
              </w:rPr>
            </w:pPr>
            <w:r>
              <w:rPr>
                <w:sz w:val="13"/>
              </w:rPr>
              <w:t>73,33%</w:t>
            </w:r>
          </w:p>
        </w:tc>
      </w:tr>
      <w:tr>
        <w:trPr>
          <w:trHeight w:val="219" w:hRule="atLeast"/>
        </w:trPr>
        <w:tc>
          <w:tcPr>
            <w:tcW w:w="2407" w:type="dxa"/>
            <w:tcBorders>
              <w:left w:val="single" w:sz="4" w:space="0" w:color="000000"/>
            </w:tcBorders>
          </w:tcPr>
          <w:p>
            <w:pPr>
              <w:pStyle w:val="TableParagraph"/>
              <w:spacing w:before="19"/>
              <w:ind w:left="59"/>
              <w:rPr>
                <w:sz w:val="13"/>
              </w:rPr>
            </w:pPr>
            <w:r>
              <w:rPr>
                <w:w w:val="105"/>
                <w:sz w:val="13"/>
              </w:rPr>
              <w:t>Incorporaciones de crédito</w:t>
            </w:r>
          </w:p>
        </w:tc>
        <w:tc>
          <w:tcPr>
            <w:tcW w:w="1414" w:type="dxa"/>
          </w:tcPr>
          <w:p>
            <w:pPr>
              <w:pStyle w:val="TableParagraph"/>
              <w:spacing w:before="19"/>
              <w:ind w:left="381" w:right="219"/>
              <w:jc w:val="center"/>
              <w:rPr>
                <w:sz w:val="13"/>
              </w:rPr>
            </w:pPr>
            <w:r>
              <w:rPr>
                <w:w w:val="105"/>
                <w:sz w:val="13"/>
              </w:rPr>
              <w:t>58.196,69</w:t>
            </w:r>
          </w:p>
        </w:tc>
        <w:tc>
          <w:tcPr>
            <w:tcW w:w="1173" w:type="dxa"/>
            <w:tcBorders>
              <w:right w:val="single" w:sz="4" w:space="0" w:color="000000"/>
            </w:tcBorders>
          </w:tcPr>
          <w:p>
            <w:pPr>
              <w:pStyle w:val="TableParagraph"/>
              <w:spacing w:before="19"/>
              <w:ind w:right="412"/>
              <w:jc w:val="right"/>
              <w:rPr>
                <w:sz w:val="13"/>
              </w:rPr>
            </w:pPr>
            <w:r>
              <w:rPr>
                <w:sz w:val="13"/>
              </w:rPr>
              <w:t>6,19%</w:t>
            </w:r>
          </w:p>
        </w:tc>
      </w:tr>
      <w:tr>
        <w:trPr>
          <w:trHeight w:val="207" w:hRule="atLeast"/>
        </w:trPr>
        <w:tc>
          <w:tcPr>
            <w:tcW w:w="2407" w:type="dxa"/>
            <w:tcBorders>
              <w:left w:val="single" w:sz="4" w:space="0" w:color="000000"/>
              <w:bottom w:val="single" w:sz="4" w:space="0" w:color="000000"/>
            </w:tcBorders>
          </w:tcPr>
          <w:p>
            <w:pPr>
              <w:pStyle w:val="TableParagraph"/>
              <w:spacing w:before="19"/>
              <w:ind w:left="59"/>
              <w:rPr>
                <w:sz w:val="13"/>
              </w:rPr>
            </w:pPr>
            <w:r>
              <w:rPr>
                <w:w w:val="105"/>
                <w:sz w:val="13"/>
              </w:rPr>
              <w:t>Bajas</w:t>
            </w:r>
          </w:p>
        </w:tc>
        <w:tc>
          <w:tcPr>
            <w:tcW w:w="1414" w:type="dxa"/>
            <w:tcBorders>
              <w:bottom w:val="single" w:sz="4" w:space="0" w:color="000000"/>
            </w:tcBorders>
          </w:tcPr>
          <w:p>
            <w:pPr>
              <w:pStyle w:val="TableParagraph"/>
              <w:spacing w:before="19"/>
              <w:ind w:left="381" w:right="260"/>
              <w:jc w:val="center"/>
              <w:rPr>
                <w:sz w:val="13"/>
              </w:rPr>
            </w:pPr>
            <w:r>
              <w:rPr>
                <w:w w:val="105"/>
                <w:sz w:val="13"/>
              </w:rPr>
              <w:t>-12.445,59</w:t>
            </w:r>
          </w:p>
        </w:tc>
        <w:tc>
          <w:tcPr>
            <w:tcW w:w="1173" w:type="dxa"/>
            <w:tcBorders>
              <w:bottom w:val="single" w:sz="4" w:space="0" w:color="000000"/>
              <w:right w:val="single" w:sz="4" w:space="0" w:color="000000"/>
            </w:tcBorders>
          </w:tcPr>
          <w:p>
            <w:pPr>
              <w:pStyle w:val="TableParagraph"/>
              <w:spacing w:before="19"/>
              <w:ind w:right="392"/>
              <w:jc w:val="right"/>
              <w:rPr>
                <w:sz w:val="13"/>
              </w:rPr>
            </w:pPr>
            <w:r>
              <w:rPr>
                <w:sz w:val="13"/>
              </w:rPr>
              <w:t>-1,32%</w:t>
            </w:r>
          </w:p>
        </w:tc>
      </w:tr>
      <w:tr>
        <w:trPr>
          <w:trHeight w:val="217" w:hRule="atLeast"/>
        </w:trPr>
        <w:tc>
          <w:tcPr>
            <w:tcW w:w="2407" w:type="dxa"/>
            <w:tcBorders>
              <w:top w:val="single" w:sz="4" w:space="0" w:color="000000"/>
              <w:left w:val="single" w:sz="4" w:space="0" w:color="000000"/>
              <w:bottom w:val="single" w:sz="4" w:space="0" w:color="000000"/>
            </w:tcBorders>
            <w:shd w:val="clear" w:color="auto" w:fill="D9D9D9"/>
          </w:tcPr>
          <w:p>
            <w:pPr>
              <w:pStyle w:val="TableParagraph"/>
              <w:spacing w:before="28"/>
              <w:ind w:left="772"/>
              <w:rPr>
                <w:sz w:val="13"/>
              </w:rPr>
            </w:pPr>
            <w:r>
              <w:rPr>
                <w:b/>
                <w:w w:val="105"/>
                <w:sz w:val="13"/>
              </w:rPr>
              <w:t>Total </w:t>
            </w:r>
            <w:r>
              <w:rPr>
                <w:w w:val="105"/>
                <w:sz w:val="13"/>
              </w:rPr>
              <w:t>(miles de €)</w:t>
            </w:r>
          </w:p>
        </w:tc>
        <w:tc>
          <w:tcPr>
            <w:tcW w:w="1414" w:type="dxa"/>
            <w:tcBorders>
              <w:top w:val="single" w:sz="4" w:space="0" w:color="000000"/>
              <w:bottom w:val="single" w:sz="4" w:space="0" w:color="000000"/>
            </w:tcBorders>
            <w:shd w:val="clear" w:color="auto" w:fill="D9D9D9"/>
          </w:tcPr>
          <w:p>
            <w:pPr>
              <w:pStyle w:val="TableParagraph"/>
              <w:spacing w:before="28"/>
              <w:ind w:left="381" w:right="290"/>
              <w:jc w:val="center"/>
              <w:rPr>
                <w:b/>
                <w:sz w:val="13"/>
              </w:rPr>
            </w:pPr>
            <w:r>
              <w:rPr>
                <w:b/>
                <w:w w:val="105"/>
                <w:sz w:val="13"/>
              </w:rPr>
              <w:t>940.357,92</w:t>
            </w:r>
          </w:p>
        </w:tc>
        <w:tc>
          <w:tcPr>
            <w:tcW w:w="1173" w:type="dxa"/>
            <w:tcBorders>
              <w:top w:val="single" w:sz="4" w:space="0" w:color="000000"/>
              <w:bottom w:val="single" w:sz="4" w:space="0" w:color="000000"/>
              <w:right w:val="single" w:sz="4" w:space="0" w:color="000000"/>
            </w:tcBorders>
            <w:shd w:val="clear" w:color="auto" w:fill="D9D9D9"/>
          </w:tcPr>
          <w:p>
            <w:pPr>
              <w:pStyle w:val="TableParagraph"/>
              <w:rPr>
                <w:rFonts w:ascii="Times New Roman"/>
                <w:sz w:val="14"/>
              </w:rPr>
            </w:pPr>
          </w:p>
        </w:tc>
      </w:tr>
    </w:tbl>
    <w:p>
      <w:pPr>
        <w:pStyle w:val="ListParagraph"/>
        <w:numPr>
          <w:ilvl w:val="0"/>
          <w:numId w:val="32"/>
        </w:numPr>
        <w:tabs>
          <w:tab w:pos="2335" w:val="left" w:leader="none"/>
        </w:tabs>
        <w:spacing w:line="240" w:lineRule="auto" w:before="101" w:after="0"/>
        <w:ind w:left="2334" w:right="1136" w:hanging="238"/>
        <w:jc w:val="both"/>
        <w:rPr>
          <w:sz w:val="20"/>
        </w:rPr>
      </w:pPr>
      <w:r>
        <w:rPr>
          <w:sz w:val="20"/>
        </w:rPr>
        <w:t>El presupuesto inicial agregado en 2022 ascendió a 4.099,1 millones de €, que incluyen las cifras del ICI (12,9 millones de €) y CR (175.000 euros). Las entidades que concentran su mayor importe son el SCS (84,4 %), seguido a distancia del SCE (8,1 %) e ICAVI (3,2 %).</w:t>
      </w:r>
    </w:p>
    <w:p>
      <w:pPr>
        <w:pStyle w:val="BodyText"/>
        <w:spacing w:before="1"/>
        <w:rPr>
          <w:sz w:val="17"/>
        </w:rPr>
      </w:pPr>
    </w:p>
    <w:p>
      <w:pPr>
        <w:pStyle w:val="BodyText"/>
        <w:spacing w:line="242" w:lineRule="auto"/>
        <w:ind w:left="2334" w:right="1140"/>
        <w:jc w:val="both"/>
      </w:pPr>
      <w:r>
        <w:rPr/>
        <w:t>Con respecto al ejercicio anterior, el presupuesto inicial agregado es superior en 240,6 millones de €, entre los que destacan los incrementos de estas mismas tres entidades: SCS (con 160,1 millones de €), SCE (56,2 millones de €) e ICAVI (9,9 millones de €).</w:t>
      </w:r>
    </w:p>
    <w:p>
      <w:pPr>
        <w:pStyle w:val="BodyText"/>
        <w:spacing w:before="4"/>
        <w:rPr>
          <w:sz w:val="16"/>
        </w:rPr>
      </w:pPr>
    </w:p>
    <w:p>
      <w:pPr>
        <w:pStyle w:val="ListParagraph"/>
        <w:numPr>
          <w:ilvl w:val="0"/>
          <w:numId w:val="32"/>
        </w:numPr>
        <w:tabs>
          <w:tab w:pos="2335" w:val="left" w:leader="none"/>
        </w:tabs>
        <w:spacing w:line="240" w:lineRule="auto" w:before="0" w:after="0"/>
        <w:ind w:left="2334" w:right="1138" w:hanging="238"/>
        <w:jc w:val="both"/>
        <w:rPr>
          <w:sz w:val="20"/>
        </w:rPr>
      </w:pPr>
      <w:r>
        <w:rPr>
          <w:sz w:val="20"/>
        </w:rPr>
        <w:t>Sin contar con el ICI y CR, el presupuesto de ingresos agregado asciende a 4.967,3 millones de € después de las modificaciones (881,4 millones de €). En cuanto a los gastos, estos se modificaron en 940,4 millones de €, principalmente en el SCS (620,8 en</w:t>
      </w:r>
      <w:r>
        <w:rPr>
          <w:spacing w:val="-3"/>
          <w:sz w:val="20"/>
        </w:rPr>
        <w:t> </w:t>
      </w:r>
      <w:r>
        <w:rPr>
          <w:sz w:val="20"/>
        </w:rPr>
        <w:t>millones</w:t>
      </w:r>
      <w:r>
        <w:rPr>
          <w:spacing w:val="-5"/>
          <w:sz w:val="20"/>
        </w:rPr>
        <w:t> </w:t>
      </w:r>
      <w:r>
        <w:rPr>
          <w:sz w:val="20"/>
        </w:rPr>
        <w:t>de</w:t>
      </w:r>
      <w:r>
        <w:rPr>
          <w:spacing w:val="-6"/>
          <w:sz w:val="20"/>
        </w:rPr>
        <w:t> </w:t>
      </w:r>
      <w:r>
        <w:rPr>
          <w:sz w:val="20"/>
        </w:rPr>
        <w:t>€)</w:t>
      </w:r>
      <w:r>
        <w:rPr>
          <w:spacing w:val="-4"/>
          <w:sz w:val="20"/>
        </w:rPr>
        <w:t> </w:t>
      </w:r>
      <w:r>
        <w:rPr>
          <w:sz w:val="20"/>
        </w:rPr>
        <w:t>y</w:t>
      </w:r>
      <w:r>
        <w:rPr>
          <w:spacing w:val="-5"/>
          <w:sz w:val="20"/>
        </w:rPr>
        <w:t> </w:t>
      </w:r>
      <w:r>
        <w:rPr>
          <w:sz w:val="20"/>
        </w:rPr>
        <w:t>SCE</w:t>
      </w:r>
      <w:r>
        <w:rPr>
          <w:spacing w:val="-5"/>
          <w:sz w:val="20"/>
        </w:rPr>
        <w:t> </w:t>
      </w:r>
      <w:r>
        <w:rPr>
          <w:sz w:val="20"/>
        </w:rPr>
        <w:t>(158,2</w:t>
      </w:r>
      <w:r>
        <w:rPr>
          <w:spacing w:val="-3"/>
          <w:sz w:val="20"/>
        </w:rPr>
        <w:t> </w:t>
      </w:r>
      <w:r>
        <w:rPr>
          <w:sz w:val="20"/>
        </w:rPr>
        <w:t>millones</w:t>
      </w:r>
      <w:r>
        <w:rPr>
          <w:spacing w:val="-3"/>
          <w:sz w:val="20"/>
        </w:rPr>
        <w:t> </w:t>
      </w:r>
      <w:r>
        <w:rPr>
          <w:sz w:val="20"/>
        </w:rPr>
        <w:t>de</w:t>
      </w:r>
      <w:r>
        <w:rPr>
          <w:spacing w:val="-6"/>
          <w:sz w:val="20"/>
        </w:rPr>
        <w:t> </w:t>
      </w:r>
      <w:r>
        <w:rPr>
          <w:sz w:val="20"/>
        </w:rPr>
        <w:t>€),</w:t>
      </w:r>
      <w:r>
        <w:rPr>
          <w:spacing w:val="-4"/>
          <w:sz w:val="20"/>
        </w:rPr>
        <w:t> </w:t>
      </w:r>
      <w:r>
        <w:rPr>
          <w:sz w:val="20"/>
        </w:rPr>
        <w:t>lo</w:t>
      </w:r>
      <w:r>
        <w:rPr>
          <w:spacing w:val="-6"/>
          <w:sz w:val="20"/>
        </w:rPr>
        <w:t> </w:t>
      </w:r>
      <w:r>
        <w:rPr>
          <w:sz w:val="20"/>
        </w:rPr>
        <w:t>que</w:t>
      </w:r>
      <w:r>
        <w:rPr>
          <w:spacing w:val="-4"/>
          <w:sz w:val="20"/>
        </w:rPr>
        <w:t> </w:t>
      </w:r>
      <w:r>
        <w:rPr>
          <w:sz w:val="20"/>
        </w:rPr>
        <w:t>incrementa</w:t>
      </w:r>
      <w:r>
        <w:rPr>
          <w:spacing w:val="-3"/>
          <w:sz w:val="20"/>
        </w:rPr>
        <w:t> </w:t>
      </w:r>
      <w:r>
        <w:rPr>
          <w:sz w:val="20"/>
        </w:rPr>
        <w:t>el</w:t>
      </w:r>
      <w:r>
        <w:rPr>
          <w:spacing w:val="-6"/>
          <w:sz w:val="20"/>
        </w:rPr>
        <w:t> </w:t>
      </w:r>
      <w:r>
        <w:rPr>
          <w:sz w:val="20"/>
        </w:rPr>
        <w:t>presupuesto</w:t>
      </w:r>
      <w:r>
        <w:rPr>
          <w:spacing w:val="-6"/>
          <w:sz w:val="20"/>
        </w:rPr>
        <w:t> </w:t>
      </w:r>
      <w:r>
        <w:rPr>
          <w:sz w:val="20"/>
        </w:rPr>
        <w:t>hasta</w:t>
      </w:r>
    </w:p>
    <w:p>
      <w:pPr>
        <w:pStyle w:val="BodyText"/>
        <w:spacing w:before="17"/>
        <w:ind w:right="1136"/>
        <w:jc w:val="right"/>
      </w:pPr>
      <w:r>
        <w:rPr/>
        <w:t>68</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16"/>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47" name="image5.png"/>
                  <wp:cNvGraphicFramePr>
                    <a:graphicFrameLocks noChangeAspect="1"/>
                  </wp:cNvGraphicFramePr>
                  <a:graphic>
                    <a:graphicData uri="http://schemas.openxmlformats.org/drawingml/2006/picture">
                      <pic:pic>
                        <pic:nvPicPr>
                          <pic:cNvPr id="14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70/247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34" w:right="1142"/>
        <w:jc w:val="both"/>
      </w:pPr>
      <w:r>
        <w:rPr/>
        <w:t>los</w:t>
      </w:r>
      <w:r>
        <w:rPr>
          <w:spacing w:val="-7"/>
        </w:rPr>
        <w:t> </w:t>
      </w:r>
      <w:r>
        <w:rPr/>
        <w:t>5.096,3</w:t>
      </w:r>
      <w:r>
        <w:rPr>
          <w:spacing w:val="-7"/>
        </w:rPr>
        <w:t> </w:t>
      </w:r>
      <w:r>
        <w:rPr/>
        <w:t>millones</w:t>
      </w:r>
      <w:r>
        <w:rPr>
          <w:spacing w:val="-7"/>
        </w:rPr>
        <w:t> </w:t>
      </w:r>
      <w:r>
        <w:rPr/>
        <w:t>de</w:t>
      </w:r>
      <w:r>
        <w:rPr>
          <w:spacing w:val="-7"/>
        </w:rPr>
        <w:t> </w:t>
      </w:r>
      <w:r>
        <w:rPr/>
        <w:t>€.</w:t>
      </w:r>
      <w:r>
        <w:rPr>
          <w:spacing w:val="-9"/>
        </w:rPr>
        <w:t> </w:t>
      </w:r>
      <w:r>
        <w:rPr/>
        <w:t>El</w:t>
      </w:r>
      <w:r>
        <w:rPr>
          <w:spacing w:val="-7"/>
        </w:rPr>
        <w:t> </w:t>
      </w:r>
      <w:r>
        <w:rPr/>
        <w:t>presupuesto</w:t>
      </w:r>
      <w:r>
        <w:rPr>
          <w:spacing w:val="-9"/>
        </w:rPr>
        <w:t> </w:t>
      </w:r>
      <w:r>
        <w:rPr/>
        <w:t>definitivo</w:t>
      </w:r>
      <w:r>
        <w:rPr>
          <w:spacing w:val="-9"/>
        </w:rPr>
        <w:t> </w:t>
      </w:r>
      <w:r>
        <w:rPr/>
        <w:t>agregado,</w:t>
      </w:r>
      <w:r>
        <w:rPr>
          <w:spacing w:val="-9"/>
        </w:rPr>
        <w:t> </w:t>
      </w:r>
      <w:r>
        <w:rPr/>
        <w:t>por</w:t>
      </w:r>
      <w:r>
        <w:rPr>
          <w:spacing w:val="-6"/>
        </w:rPr>
        <w:t> </w:t>
      </w:r>
      <w:r>
        <w:rPr/>
        <w:t>tanto,</w:t>
      </w:r>
      <w:r>
        <w:rPr>
          <w:spacing w:val="-7"/>
        </w:rPr>
        <w:t> </w:t>
      </w:r>
      <w:r>
        <w:rPr/>
        <w:t>presenta</w:t>
      </w:r>
      <w:r>
        <w:rPr>
          <w:spacing w:val="-9"/>
        </w:rPr>
        <w:t> </w:t>
      </w:r>
      <w:r>
        <w:rPr/>
        <w:t>una posición de desequilibrio de 59 millones de €, los cuales carecen, en un principio, de financiación.</w:t>
      </w:r>
    </w:p>
    <w:p>
      <w:pPr>
        <w:pStyle w:val="BodyText"/>
        <w:spacing w:before="11"/>
        <w:rPr>
          <w:sz w:val="16"/>
        </w:rPr>
      </w:pPr>
    </w:p>
    <w:p>
      <w:pPr>
        <w:pStyle w:val="ListParagraph"/>
        <w:numPr>
          <w:ilvl w:val="0"/>
          <w:numId w:val="32"/>
        </w:numPr>
        <w:tabs>
          <w:tab w:pos="2335" w:val="left" w:leader="none"/>
        </w:tabs>
        <w:spacing w:line="240" w:lineRule="auto" w:before="1" w:after="0"/>
        <w:ind w:left="2334" w:right="1140" w:hanging="238"/>
        <w:jc w:val="both"/>
        <w:rPr>
          <w:sz w:val="20"/>
        </w:rPr>
      </w:pPr>
      <w:r>
        <w:rPr>
          <w:sz w:val="20"/>
        </w:rPr>
        <w:t>El</w:t>
      </w:r>
      <w:r>
        <w:rPr>
          <w:spacing w:val="-6"/>
          <w:sz w:val="20"/>
        </w:rPr>
        <w:t> </w:t>
      </w:r>
      <w:r>
        <w:rPr>
          <w:sz w:val="20"/>
        </w:rPr>
        <w:t>73,3</w:t>
      </w:r>
      <w:r>
        <w:rPr>
          <w:spacing w:val="-6"/>
          <w:sz w:val="20"/>
        </w:rPr>
        <w:t> </w:t>
      </w:r>
      <w:r>
        <w:rPr>
          <w:sz w:val="20"/>
        </w:rPr>
        <w:t>%</w:t>
      </w:r>
      <w:r>
        <w:rPr>
          <w:spacing w:val="-7"/>
          <w:sz w:val="20"/>
        </w:rPr>
        <w:t> </w:t>
      </w:r>
      <w:r>
        <w:rPr>
          <w:sz w:val="20"/>
        </w:rPr>
        <w:t>de</w:t>
      </w:r>
      <w:r>
        <w:rPr>
          <w:spacing w:val="-7"/>
          <w:sz w:val="20"/>
        </w:rPr>
        <w:t> </w:t>
      </w:r>
      <w:r>
        <w:rPr>
          <w:sz w:val="20"/>
        </w:rPr>
        <w:t>las</w:t>
      </w:r>
      <w:r>
        <w:rPr>
          <w:spacing w:val="-5"/>
          <w:sz w:val="20"/>
        </w:rPr>
        <w:t> </w:t>
      </w:r>
      <w:r>
        <w:rPr>
          <w:sz w:val="20"/>
        </w:rPr>
        <w:t>modificaciones</w:t>
      </w:r>
      <w:r>
        <w:rPr>
          <w:spacing w:val="-8"/>
          <w:sz w:val="20"/>
        </w:rPr>
        <w:t> </w:t>
      </w:r>
      <w:r>
        <w:rPr>
          <w:sz w:val="20"/>
        </w:rPr>
        <w:t>de</w:t>
      </w:r>
      <w:r>
        <w:rPr>
          <w:spacing w:val="-7"/>
          <w:sz w:val="20"/>
        </w:rPr>
        <w:t> </w:t>
      </w:r>
      <w:r>
        <w:rPr>
          <w:sz w:val="20"/>
        </w:rPr>
        <w:t>crédito</w:t>
      </w:r>
      <w:r>
        <w:rPr>
          <w:spacing w:val="-7"/>
          <w:sz w:val="20"/>
        </w:rPr>
        <w:t> </w:t>
      </w:r>
      <w:r>
        <w:rPr>
          <w:sz w:val="20"/>
        </w:rPr>
        <w:t>se</w:t>
      </w:r>
      <w:r>
        <w:rPr>
          <w:spacing w:val="-7"/>
          <w:sz w:val="20"/>
        </w:rPr>
        <w:t> </w:t>
      </w:r>
      <w:r>
        <w:rPr>
          <w:sz w:val="20"/>
        </w:rPr>
        <w:t>tramitan</w:t>
      </w:r>
      <w:r>
        <w:rPr>
          <w:spacing w:val="-4"/>
          <w:sz w:val="20"/>
        </w:rPr>
        <w:t> </w:t>
      </w:r>
      <w:r>
        <w:rPr>
          <w:sz w:val="20"/>
        </w:rPr>
        <w:t>como</w:t>
      </w:r>
      <w:r>
        <w:rPr>
          <w:spacing w:val="-8"/>
          <w:sz w:val="20"/>
        </w:rPr>
        <w:t> </w:t>
      </w:r>
      <w:r>
        <w:rPr>
          <w:sz w:val="20"/>
        </w:rPr>
        <w:t>generaciones</w:t>
      </w:r>
      <w:r>
        <w:rPr>
          <w:spacing w:val="-7"/>
          <w:sz w:val="20"/>
        </w:rPr>
        <w:t> </w:t>
      </w:r>
      <w:r>
        <w:rPr>
          <w:sz w:val="20"/>
        </w:rPr>
        <w:t>de</w:t>
      </w:r>
      <w:r>
        <w:rPr>
          <w:spacing w:val="-5"/>
          <w:sz w:val="20"/>
        </w:rPr>
        <w:t> </w:t>
      </w:r>
      <w:r>
        <w:rPr>
          <w:sz w:val="20"/>
        </w:rPr>
        <w:t>ingresos por 689,6 millones de €, básicamente en el SCS (536 millones de €), al que le sigue el SCE con 79,1 millones e ICAVI con 61,1</w:t>
      </w:r>
      <w:r>
        <w:rPr>
          <w:spacing w:val="5"/>
          <w:sz w:val="20"/>
        </w:rPr>
        <w:t> </w:t>
      </w:r>
      <w:r>
        <w:rPr>
          <w:sz w:val="20"/>
        </w:rPr>
        <w:t>millones.</w:t>
      </w:r>
    </w:p>
    <w:p>
      <w:pPr>
        <w:pStyle w:val="BodyText"/>
        <w:spacing w:before="11"/>
        <w:rPr>
          <w:sz w:val="16"/>
        </w:rPr>
      </w:pPr>
    </w:p>
    <w:p>
      <w:pPr>
        <w:pStyle w:val="ListParagraph"/>
        <w:numPr>
          <w:ilvl w:val="0"/>
          <w:numId w:val="32"/>
        </w:numPr>
        <w:tabs>
          <w:tab w:pos="2335" w:val="left" w:leader="none"/>
        </w:tabs>
        <w:spacing w:line="242" w:lineRule="auto" w:before="0" w:after="0"/>
        <w:ind w:left="2334" w:right="1139" w:hanging="238"/>
        <w:jc w:val="both"/>
        <w:rPr>
          <w:sz w:val="20"/>
        </w:rPr>
      </w:pPr>
      <w:r>
        <w:rPr>
          <w:sz w:val="20"/>
        </w:rPr>
        <w:t>Las ampliaciones de crédito sólo representan el 8 % del total (72,4 millones de €), realizadas en su mayoría por el SCS (71,3 millones de €), de las cuales 59 millones no tuvieron</w:t>
      </w:r>
      <w:r>
        <w:rPr>
          <w:spacing w:val="-5"/>
          <w:sz w:val="20"/>
        </w:rPr>
        <w:t> </w:t>
      </w:r>
      <w:r>
        <w:rPr>
          <w:sz w:val="20"/>
        </w:rPr>
        <w:t>cobertura.</w:t>
      </w:r>
      <w:r>
        <w:rPr>
          <w:spacing w:val="-2"/>
          <w:sz w:val="20"/>
        </w:rPr>
        <w:t> </w:t>
      </w:r>
      <w:r>
        <w:rPr>
          <w:sz w:val="20"/>
        </w:rPr>
        <w:t>Respecto</w:t>
      </w:r>
      <w:r>
        <w:rPr>
          <w:spacing w:val="-4"/>
          <w:sz w:val="20"/>
        </w:rPr>
        <w:t> </w:t>
      </w:r>
      <w:r>
        <w:rPr>
          <w:sz w:val="20"/>
        </w:rPr>
        <w:t>a</w:t>
      </w:r>
      <w:r>
        <w:rPr>
          <w:spacing w:val="-5"/>
          <w:sz w:val="20"/>
        </w:rPr>
        <w:t> </w:t>
      </w:r>
      <w:r>
        <w:rPr>
          <w:sz w:val="20"/>
        </w:rPr>
        <w:t>las</w:t>
      </w:r>
      <w:r>
        <w:rPr>
          <w:spacing w:val="-6"/>
          <w:sz w:val="20"/>
        </w:rPr>
        <w:t> </w:t>
      </w:r>
      <w:r>
        <w:rPr>
          <w:sz w:val="20"/>
        </w:rPr>
        <w:t>incorporaciones</w:t>
      </w:r>
      <w:r>
        <w:rPr>
          <w:spacing w:val="-4"/>
          <w:sz w:val="20"/>
        </w:rPr>
        <w:t> </w:t>
      </w:r>
      <w:r>
        <w:rPr>
          <w:sz w:val="20"/>
        </w:rPr>
        <w:t>de</w:t>
      </w:r>
      <w:r>
        <w:rPr>
          <w:spacing w:val="-6"/>
          <w:sz w:val="20"/>
        </w:rPr>
        <w:t> </w:t>
      </w:r>
      <w:r>
        <w:rPr>
          <w:sz w:val="20"/>
        </w:rPr>
        <w:t>remanente,</w:t>
      </w:r>
      <w:r>
        <w:rPr>
          <w:spacing w:val="-5"/>
          <w:sz w:val="20"/>
        </w:rPr>
        <w:t> </w:t>
      </w:r>
      <w:r>
        <w:rPr>
          <w:sz w:val="20"/>
        </w:rPr>
        <w:t>sólo</w:t>
      </w:r>
      <w:r>
        <w:rPr>
          <w:spacing w:val="-5"/>
          <w:sz w:val="20"/>
        </w:rPr>
        <w:t> </w:t>
      </w:r>
      <w:r>
        <w:rPr>
          <w:sz w:val="20"/>
        </w:rPr>
        <w:t>consta</w:t>
      </w:r>
      <w:r>
        <w:rPr>
          <w:spacing w:val="-5"/>
          <w:sz w:val="20"/>
        </w:rPr>
        <w:t> </w:t>
      </w:r>
      <w:r>
        <w:rPr>
          <w:sz w:val="20"/>
        </w:rPr>
        <w:t>que</w:t>
      </w:r>
      <w:r>
        <w:rPr>
          <w:spacing w:val="-6"/>
          <w:sz w:val="20"/>
        </w:rPr>
        <w:t> </w:t>
      </w:r>
      <w:r>
        <w:rPr>
          <w:sz w:val="20"/>
        </w:rPr>
        <w:t>se hayan efectuado dos modificaciones en 2022, una por el SCE por 34,6 millones de € y otra por el SCS de 23,5 millones de</w:t>
      </w:r>
      <w:r>
        <w:rPr>
          <w:spacing w:val="-3"/>
          <w:sz w:val="20"/>
        </w:rPr>
        <w:t> </w:t>
      </w:r>
      <w:r>
        <w:rPr>
          <w:sz w:val="20"/>
        </w:rPr>
        <w:t>€.</w:t>
      </w:r>
    </w:p>
    <w:p>
      <w:pPr>
        <w:pStyle w:val="BodyText"/>
        <w:spacing w:before="5"/>
        <w:rPr>
          <w:sz w:val="16"/>
        </w:rPr>
      </w:pPr>
    </w:p>
    <w:p>
      <w:pPr>
        <w:pStyle w:val="ListParagraph"/>
        <w:numPr>
          <w:ilvl w:val="0"/>
          <w:numId w:val="32"/>
        </w:numPr>
        <w:tabs>
          <w:tab w:pos="2335" w:val="left" w:leader="none"/>
        </w:tabs>
        <w:spacing w:line="240" w:lineRule="auto" w:before="0" w:after="0"/>
        <w:ind w:left="2334" w:right="1136" w:hanging="238"/>
        <w:jc w:val="both"/>
        <w:rPr>
          <w:sz w:val="20"/>
        </w:rPr>
      </w:pPr>
      <w:r>
        <w:rPr>
          <w:sz w:val="20"/>
        </w:rPr>
        <w:t>Por otro lado, en este ejercicio sólo se tramita un crédito extraordinario de 44,7 millones de € y un suplemento de crédito de 48,8 millones de €, tramitados por el SCE y el SCS,</w:t>
      </w:r>
      <w:r>
        <w:rPr>
          <w:spacing w:val="1"/>
          <w:sz w:val="20"/>
        </w:rPr>
        <w:t> </w:t>
      </w:r>
      <w:r>
        <w:rPr>
          <w:sz w:val="20"/>
        </w:rPr>
        <w:t>respectivamente.</w:t>
      </w:r>
    </w:p>
    <w:p>
      <w:pPr>
        <w:pStyle w:val="BodyText"/>
        <w:spacing w:before="11"/>
        <w:rPr>
          <w:sz w:val="16"/>
        </w:rPr>
      </w:pPr>
    </w:p>
    <w:p>
      <w:pPr>
        <w:pStyle w:val="ListParagraph"/>
        <w:numPr>
          <w:ilvl w:val="0"/>
          <w:numId w:val="32"/>
        </w:numPr>
        <w:tabs>
          <w:tab w:pos="2335" w:val="left" w:leader="none"/>
        </w:tabs>
        <w:spacing w:line="240" w:lineRule="auto" w:before="0" w:after="0"/>
        <w:ind w:left="2334" w:right="1141" w:hanging="238"/>
        <w:jc w:val="both"/>
        <w:rPr>
          <w:sz w:val="20"/>
        </w:rPr>
      </w:pPr>
      <w:r>
        <w:rPr>
          <w:sz w:val="20"/>
        </w:rPr>
        <w:t>Si se compara el presupuesto definitivo agregado con el ejercicio anterior, este se incrementa en 14,5 millones de € del lado de los ingresos. En los gastos, el aumento del presupuesto es de 79,9 millones de €, principalmente, por la subida en el SCS de 172,4 millones de €, compensada por la reducción del SCE en 163,5 millones de</w:t>
      </w:r>
      <w:r>
        <w:rPr>
          <w:spacing w:val="13"/>
          <w:sz w:val="20"/>
        </w:rPr>
        <w:t> </w:t>
      </w:r>
      <w:r>
        <w:rPr>
          <w:sz w:val="20"/>
        </w:rPr>
        <w:t>€.</w:t>
      </w:r>
    </w:p>
    <w:p>
      <w:pPr>
        <w:pStyle w:val="BodyText"/>
        <w:spacing w:before="1"/>
        <w:rPr>
          <w:sz w:val="17"/>
        </w:rPr>
      </w:pPr>
    </w:p>
    <w:p>
      <w:pPr>
        <w:pStyle w:val="Heading1"/>
        <w:numPr>
          <w:ilvl w:val="0"/>
          <w:numId w:val="31"/>
        </w:numPr>
        <w:tabs>
          <w:tab w:pos="2314" w:val="left" w:leader="none"/>
        </w:tabs>
        <w:spacing w:line="240" w:lineRule="auto" w:before="0" w:after="0"/>
        <w:ind w:left="2313" w:right="0" w:hanging="218"/>
        <w:jc w:val="left"/>
      </w:pPr>
      <w:r>
        <w:rPr/>
        <w:t>Ejecución</w:t>
      </w:r>
      <w:r>
        <w:rPr>
          <w:spacing w:val="1"/>
        </w:rPr>
        <w:t> </w:t>
      </w:r>
      <w:r>
        <w:rPr/>
        <w:t>presupuestaria.</w:t>
      </w:r>
    </w:p>
    <w:p>
      <w:pPr>
        <w:pStyle w:val="BodyText"/>
        <w:spacing w:before="7"/>
        <w:rPr>
          <w:b/>
          <w:sz w:val="16"/>
        </w:rPr>
      </w:pPr>
    </w:p>
    <w:tbl>
      <w:tblPr>
        <w:tblW w:w="0" w:type="auto"/>
        <w:jc w:val="left"/>
        <w:tblInd w:w="2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66"/>
        <w:gridCol w:w="841"/>
        <w:gridCol w:w="660"/>
        <w:gridCol w:w="737"/>
        <w:gridCol w:w="855"/>
        <w:gridCol w:w="841"/>
        <w:gridCol w:w="89"/>
        <w:gridCol w:w="627"/>
        <w:gridCol w:w="754"/>
      </w:tblGrid>
      <w:tr>
        <w:trPr>
          <w:trHeight w:val="163" w:hRule="atLeast"/>
        </w:trPr>
        <w:tc>
          <w:tcPr>
            <w:tcW w:w="917" w:type="dxa"/>
            <w:vMerge w:val="restart"/>
            <w:tcBorders>
              <w:bottom w:val="nil"/>
            </w:tcBorders>
          </w:tcPr>
          <w:p>
            <w:pPr>
              <w:pStyle w:val="TableParagraph"/>
              <w:rPr>
                <w:b/>
                <w:sz w:val="14"/>
              </w:rPr>
            </w:pPr>
          </w:p>
          <w:p>
            <w:pPr>
              <w:pStyle w:val="TableParagraph"/>
              <w:rPr>
                <w:b/>
                <w:sz w:val="14"/>
              </w:rPr>
            </w:pPr>
          </w:p>
          <w:p>
            <w:pPr>
              <w:pStyle w:val="TableParagraph"/>
              <w:spacing w:before="7"/>
              <w:rPr>
                <w:b/>
                <w:sz w:val="14"/>
              </w:rPr>
            </w:pPr>
          </w:p>
          <w:p>
            <w:pPr>
              <w:pStyle w:val="TableParagraph"/>
              <w:spacing w:line="247" w:lineRule="auto"/>
              <w:ind w:left="57" w:right="521"/>
              <w:rPr>
                <w:b/>
                <w:sz w:val="13"/>
              </w:rPr>
            </w:pPr>
            <w:r>
              <w:rPr>
                <w:b/>
                <w:w w:val="105"/>
                <w:sz w:val="13"/>
              </w:rPr>
              <w:t>ICAP </w:t>
            </w:r>
            <w:r>
              <w:rPr>
                <w:b/>
                <w:sz w:val="13"/>
              </w:rPr>
              <w:t>ISTAC </w:t>
            </w:r>
            <w:r>
              <w:rPr>
                <w:b/>
                <w:w w:val="105"/>
                <w:sz w:val="13"/>
              </w:rPr>
              <w:t>SCE ICIA</w:t>
            </w:r>
          </w:p>
          <w:p>
            <w:pPr>
              <w:pStyle w:val="TableParagraph"/>
              <w:spacing w:line="140" w:lineRule="exact" w:before="3"/>
              <w:ind w:left="57"/>
              <w:rPr>
                <w:b/>
                <w:sz w:val="13"/>
              </w:rPr>
            </w:pPr>
            <w:r>
              <w:rPr>
                <w:b/>
                <w:w w:val="105"/>
                <w:sz w:val="13"/>
              </w:rPr>
              <w:t>ICHH</w:t>
            </w:r>
          </w:p>
        </w:tc>
        <w:tc>
          <w:tcPr>
            <w:tcW w:w="866" w:type="dxa"/>
            <w:tcBorders>
              <w:right w:val="nil"/>
            </w:tcBorders>
            <w:shd w:val="clear" w:color="auto" w:fill="DEEAF6"/>
          </w:tcPr>
          <w:p>
            <w:pPr>
              <w:pStyle w:val="TableParagraph"/>
              <w:rPr>
                <w:rFonts w:ascii="Times New Roman"/>
                <w:sz w:val="10"/>
              </w:rPr>
            </w:pPr>
          </w:p>
        </w:tc>
        <w:tc>
          <w:tcPr>
            <w:tcW w:w="1501" w:type="dxa"/>
            <w:gridSpan w:val="2"/>
            <w:tcBorders>
              <w:left w:val="nil"/>
              <w:right w:val="nil"/>
            </w:tcBorders>
            <w:shd w:val="clear" w:color="auto" w:fill="DEEAF6"/>
          </w:tcPr>
          <w:p>
            <w:pPr>
              <w:pStyle w:val="TableParagraph"/>
              <w:spacing w:line="139" w:lineRule="exact" w:before="4"/>
              <w:ind w:left="458"/>
              <w:rPr>
                <w:b/>
                <w:sz w:val="13"/>
              </w:rPr>
            </w:pPr>
            <w:r>
              <w:rPr>
                <w:b/>
                <w:w w:val="105"/>
                <w:sz w:val="13"/>
              </w:rPr>
              <w:t>Ingresos</w:t>
            </w:r>
          </w:p>
        </w:tc>
        <w:tc>
          <w:tcPr>
            <w:tcW w:w="737" w:type="dxa"/>
            <w:tcBorders>
              <w:left w:val="nil"/>
              <w:right w:val="nil"/>
            </w:tcBorders>
            <w:shd w:val="clear" w:color="auto" w:fill="DEEAF6"/>
          </w:tcPr>
          <w:p>
            <w:pPr>
              <w:pStyle w:val="TableParagraph"/>
              <w:rPr>
                <w:rFonts w:ascii="Times New Roman"/>
                <w:sz w:val="10"/>
              </w:rPr>
            </w:pPr>
          </w:p>
        </w:tc>
        <w:tc>
          <w:tcPr>
            <w:tcW w:w="855" w:type="dxa"/>
            <w:tcBorders>
              <w:left w:val="nil"/>
              <w:right w:val="nil"/>
            </w:tcBorders>
            <w:shd w:val="clear" w:color="auto" w:fill="DEEAF6"/>
          </w:tcPr>
          <w:p>
            <w:pPr>
              <w:pStyle w:val="TableParagraph"/>
              <w:rPr>
                <w:rFonts w:ascii="Times New Roman"/>
                <w:sz w:val="10"/>
              </w:rPr>
            </w:pPr>
          </w:p>
        </w:tc>
        <w:tc>
          <w:tcPr>
            <w:tcW w:w="930" w:type="dxa"/>
            <w:gridSpan w:val="2"/>
            <w:tcBorders>
              <w:left w:val="nil"/>
              <w:right w:val="nil"/>
            </w:tcBorders>
            <w:shd w:val="clear" w:color="auto" w:fill="DEEAF6"/>
          </w:tcPr>
          <w:p>
            <w:pPr>
              <w:pStyle w:val="TableParagraph"/>
              <w:spacing w:line="139" w:lineRule="exact" w:before="4"/>
              <w:ind w:left="545"/>
              <w:rPr>
                <w:b/>
                <w:sz w:val="13"/>
              </w:rPr>
            </w:pPr>
            <w:r>
              <w:rPr>
                <w:b/>
                <w:sz w:val="13"/>
              </w:rPr>
              <w:t>Gastos</w:t>
            </w:r>
          </w:p>
        </w:tc>
        <w:tc>
          <w:tcPr>
            <w:tcW w:w="627" w:type="dxa"/>
            <w:tcBorders>
              <w:left w:val="nil"/>
              <w:right w:val="nil"/>
            </w:tcBorders>
            <w:shd w:val="clear" w:color="auto" w:fill="DEEAF6"/>
          </w:tcPr>
          <w:p>
            <w:pPr>
              <w:pStyle w:val="TableParagraph"/>
              <w:rPr>
                <w:rFonts w:ascii="Times New Roman"/>
                <w:sz w:val="10"/>
              </w:rPr>
            </w:pPr>
          </w:p>
        </w:tc>
        <w:tc>
          <w:tcPr>
            <w:tcW w:w="754" w:type="dxa"/>
            <w:tcBorders>
              <w:left w:val="nil"/>
            </w:tcBorders>
            <w:shd w:val="clear" w:color="auto" w:fill="DEEAF6"/>
          </w:tcPr>
          <w:p>
            <w:pPr>
              <w:pStyle w:val="TableParagraph"/>
              <w:rPr>
                <w:rFonts w:ascii="Times New Roman"/>
                <w:sz w:val="10"/>
              </w:rPr>
            </w:pPr>
          </w:p>
        </w:tc>
      </w:tr>
      <w:tr>
        <w:trPr>
          <w:trHeight w:val="161" w:hRule="atLeast"/>
        </w:trPr>
        <w:tc>
          <w:tcPr>
            <w:tcW w:w="917" w:type="dxa"/>
            <w:vMerge/>
            <w:tcBorders>
              <w:top w:val="nil"/>
              <w:bottom w:val="nil"/>
            </w:tcBorders>
          </w:tcPr>
          <w:p>
            <w:pPr>
              <w:rPr>
                <w:sz w:val="2"/>
                <w:szCs w:val="2"/>
              </w:rPr>
            </w:pPr>
          </w:p>
        </w:tc>
        <w:tc>
          <w:tcPr>
            <w:tcW w:w="866" w:type="dxa"/>
            <w:vMerge w:val="restart"/>
            <w:tcBorders>
              <w:right w:val="nil"/>
            </w:tcBorders>
            <w:shd w:val="clear" w:color="auto" w:fill="DEEAF6"/>
          </w:tcPr>
          <w:p>
            <w:pPr>
              <w:pStyle w:val="TableParagraph"/>
              <w:spacing w:before="6"/>
              <w:ind w:left="166"/>
              <w:rPr>
                <w:b/>
                <w:sz w:val="13"/>
              </w:rPr>
            </w:pPr>
            <w:r>
              <w:rPr>
                <w:b/>
                <w:w w:val="105"/>
                <w:sz w:val="13"/>
              </w:rPr>
              <w:t>Derechos</w:t>
            </w:r>
          </w:p>
          <w:p>
            <w:pPr>
              <w:pStyle w:val="TableParagraph"/>
              <w:spacing w:line="143" w:lineRule="exact" w:before="6"/>
              <w:ind w:left="77"/>
              <w:rPr>
                <w:b/>
                <w:sz w:val="13"/>
              </w:rPr>
            </w:pPr>
            <w:r>
              <w:rPr>
                <w:b/>
                <w:w w:val="105"/>
                <w:sz w:val="13"/>
              </w:rPr>
              <w:t>Reconocidos</w:t>
            </w:r>
          </w:p>
        </w:tc>
        <w:tc>
          <w:tcPr>
            <w:tcW w:w="841" w:type="dxa"/>
            <w:vMerge w:val="restart"/>
            <w:tcBorders>
              <w:left w:val="nil"/>
            </w:tcBorders>
            <w:shd w:val="clear" w:color="auto" w:fill="DEEAF6"/>
          </w:tcPr>
          <w:p>
            <w:pPr>
              <w:pStyle w:val="TableParagraph"/>
              <w:spacing w:before="89"/>
              <w:ind w:left="224"/>
              <w:rPr>
                <w:b/>
                <w:sz w:val="13"/>
              </w:rPr>
            </w:pPr>
            <w:r>
              <w:rPr>
                <w:b/>
                <w:w w:val="105"/>
                <w:sz w:val="13"/>
              </w:rPr>
              <w:t>Cobros</w:t>
            </w:r>
          </w:p>
        </w:tc>
        <w:tc>
          <w:tcPr>
            <w:tcW w:w="1397" w:type="dxa"/>
            <w:gridSpan w:val="2"/>
            <w:shd w:val="clear" w:color="auto" w:fill="DEEAF6"/>
          </w:tcPr>
          <w:p>
            <w:pPr>
              <w:pStyle w:val="TableParagraph"/>
              <w:spacing w:line="139" w:lineRule="exact" w:before="2"/>
              <w:ind w:left="440"/>
              <w:rPr>
                <w:b/>
                <w:sz w:val="13"/>
              </w:rPr>
            </w:pPr>
            <w:r>
              <w:rPr>
                <w:b/>
                <w:w w:val="105"/>
                <w:sz w:val="13"/>
              </w:rPr>
              <w:t>Grado de</w:t>
            </w:r>
          </w:p>
        </w:tc>
        <w:tc>
          <w:tcPr>
            <w:tcW w:w="855" w:type="dxa"/>
            <w:vMerge w:val="restart"/>
            <w:tcBorders>
              <w:right w:val="nil"/>
            </w:tcBorders>
            <w:shd w:val="clear" w:color="auto" w:fill="DEEAF6"/>
          </w:tcPr>
          <w:p>
            <w:pPr>
              <w:pStyle w:val="TableParagraph"/>
              <w:spacing w:before="6"/>
              <w:ind w:left="67"/>
              <w:rPr>
                <w:b/>
                <w:sz w:val="13"/>
              </w:rPr>
            </w:pPr>
            <w:r>
              <w:rPr>
                <w:b/>
                <w:w w:val="105"/>
                <w:sz w:val="13"/>
              </w:rPr>
              <w:t>Obligaciones</w:t>
            </w:r>
          </w:p>
          <w:p>
            <w:pPr>
              <w:pStyle w:val="TableParagraph"/>
              <w:spacing w:line="143" w:lineRule="exact" w:before="6"/>
              <w:ind w:left="75"/>
              <w:rPr>
                <w:b/>
                <w:sz w:val="13"/>
              </w:rPr>
            </w:pPr>
            <w:r>
              <w:rPr>
                <w:b/>
                <w:w w:val="105"/>
                <w:sz w:val="13"/>
              </w:rPr>
              <w:t>Reconocidas</w:t>
            </w:r>
          </w:p>
        </w:tc>
        <w:tc>
          <w:tcPr>
            <w:tcW w:w="841" w:type="dxa"/>
            <w:vMerge w:val="restart"/>
            <w:tcBorders>
              <w:left w:val="nil"/>
            </w:tcBorders>
            <w:shd w:val="clear" w:color="auto" w:fill="DEEAF6"/>
          </w:tcPr>
          <w:p>
            <w:pPr>
              <w:pStyle w:val="TableParagraph"/>
              <w:spacing w:before="89"/>
              <w:ind w:left="259"/>
              <w:rPr>
                <w:b/>
                <w:sz w:val="13"/>
              </w:rPr>
            </w:pPr>
            <w:r>
              <w:rPr>
                <w:b/>
                <w:w w:val="105"/>
                <w:sz w:val="13"/>
              </w:rPr>
              <w:t>Pagos</w:t>
            </w:r>
          </w:p>
        </w:tc>
        <w:tc>
          <w:tcPr>
            <w:tcW w:w="1470" w:type="dxa"/>
            <w:gridSpan w:val="3"/>
            <w:shd w:val="clear" w:color="auto" w:fill="DEEAF6"/>
          </w:tcPr>
          <w:p>
            <w:pPr>
              <w:pStyle w:val="TableParagraph"/>
              <w:spacing w:line="139" w:lineRule="exact" w:before="2"/>
              <w:ind w:left="479"/>
              <w:rPr>
                <w:b/>
                <w:sz w:val="13"/>
              </w:rPr>
            </w:pPr>
            <w:r>
              <w:rPr>
                <w:b/>
                <w:w w:val="105"/>
                <w:sz w:val="13"/>
              </w:rPr>
              <w:t>Grado de</w:t>
            </w:r>
          </w:p>
        </w:tc>
      </w:tr>
      <w:tr>
        <w:trPr>
          <w:trHeight w:val="163" w:hRule="atLeast"/>
        </w:trPr>
        <w:tc>
          <w:tcPr>
            <w:tcW w:w="917" w:type="dxa"/>
            <w:vMerge/>
            <w:tcBorders>
              <w:top w:val="nil"/>
              <w:bottom w:val="nil"/>
            </w:tcBorders>
          </w:tcPr>
          <w:p>
            <w:pPr>
              <w:rPr>
                <w:sz w:val="2"/>
                <w:szCs w:val="2"/>
              </w:rPr>
            </w:pPr>
          </w:p>
        </w:tc>
        <w:tc>
          <w:tcPr>
            <w:tcW w:w="866" w:type="dxa"/>
            <w:vMerge/>
            <w:tcBorders>
              <w:top w:val="nil"/>
              <w:right w:val="nil"/>
            </w:tcBorders>
            <w:shd w:val="clear" w:color="auto" w:fill="DEEAF6"/>
          </w:tcPr>
          <w:p>
            <w:pPr>
              <w:rPr>
                <w:sz w:val="2"/>
                <w:szCs w:val="2"/>
              </w:rPr>
            </w:pPr>
          </w:p>
        </w:tc>
        <w:tc>
          <w:tcPr>
            <w:tcW w:w="841" w:type="dxa"/>
            <w:vMerge/>
            <w:tcBorders>
              <w:top w:val="nil"/>
              <w:left w:val="nil"/>
            </w:tcBorders>
            <w:shd w:val="clear" w:color="auto" w:fill="DEEAF6"/>
          </w:tcPr>
          <w:p>
            <w:pPr>
              <w:rPr>
                <w:sz w:val="2"/>
                <w:szCs w:val="2"/>
              </w:rPr>
            </w:pPr>
          </w:p>
        </w:tc>
        <w:tc>
          <w:tcPr>
            <w:tcW w:w="660" w:type="dxa"/>
            <w:tcBorders>
              <w:right w:val="nil"/>
            </w:tcBorders>
            <w:shd w:val="clear" w:color="auto" w:fill="DEEAF6"/>
          </w:tcPr>
          <w:p>
            <w:pPr>
              <w:pStyle w:val="TableParagraph"/>
              <w:spacing w:line="139" w:lineRule="exact" w:before="4"/>
              <w:ind w:right="57"/>
              <w:jc w:val="right"/>
              <w:rPr>
                <w:b/>
                <w:sz w:val="13"/>
              </w:rPr>
            </w:pPr>
            <w:r>
              <w:rPr>
                <w:b/>
                <w:sz w:val="13"/>
              </w:rPr>
              <w:t>ejecución</w:t>
            </w:r>
          </w:p>
        </w:tc>
        <w:tc>
          <w:tcPr>
            <w:tcW w:w="737" w:type="dxa"/>
            <w:tcBorders>
              <w:left w:val="nil"/>
            </w:tcBorders>
            <w:shd w:val="clear" w:color="auto" w:fill="DEEAF6"/>
          </w:tcPr>
          <w:p>
            <w:pPr>
              <w:pStyle w:val="TableParagraph"/>
              <w:spacing w:line="139" w:lineRule="exact" w:before="4"/>
              <w:ind w:left="45" w:right="36"/>
              <w:jc w:val="center"/>
              <w:rPr>
                <w:b/>
                <w:sz w:val="13"/>
              </w:rPr>
            </w:pPr>
            <w:r>
              <w:rPr>
                <w:b/>
                <w:w w:val="105"/>
                <w:sz w:val="13"/>
              </w:rPr>
              <w:t>realización</w:t>
            </w:r>
          </w:p>
        </w:tc>
        <w:tc>
          <w:tcPr>
            <w:tcW w:w="855" w:type="dxa"/>
            <w:vMerge/>
            <w:tcBorders>
              <w:top w:val="nil"/>
              <w:right w:val="nil"/>
            </w:tcBorders>
            <w:shd w:val="clear" w:color="auto" w:fill="DEEAF6"/>
          </w:tcPr>
          <w:p>
            <w:pPr>
              <w:rPr>
                <w:sz w:val="2"/>
                <w:szCs w:val="2"/>
              </w:rPr>
            </w:pPr>
          </w:p>
        </w:tc>
        <w:tc>
          <w:tcPr>
            <w:tcW w:w="841" w:type="dxa"/>
            <w:vMerge/>
            <w:tcBorders>
              <w:top w:val="nil"/>
              <w:left w:val="nil"/>
            </w:tcBorders>
            <w:shd w:val="clear" w:color="auto" w:fill="DEEAF6"/>
          </w:tcPr>
          <w:p>
            <w:pPr>
              <w:rPr>
                <w:sz w:val="2"/>
                <w:szCs w:val="2"/>
              </w:rPr>
            </w:pPr>
          </w:p>
        </w:tc>
        <w:tc>
          <w:tcPr>
            <w:tcW w:w="89" w:type="dxa"/>
            <w:tcBorders>
              <w:right w:val="nil"/>
            </w:tcBorders>
            <w:shd w:val="clear" w:color="auto" w:fill="DEEAF6"/>
          </w:tcPr>
          <w:p>
            <w:pPr>
              <w:pStyle w:val="TableParagraph"/>
              <w:rPr>
                <w:rFonts w:ascii="Times New Roman"/>
                <w:sz w:val="10"/>
              </w:rPr>
            </w:pPr>
          </w:p>
        </w:tc>
        <w:tc>
          <w:tcPr>
            <w:tcW w:w="627" w:type="dxa"/>
            <w:tcBorders>
              <w:left w:val="nil"/>
              <w:right w:val="nil"/>
            </w:tcBorders>
            <w:shd w:val="clear" w:color="auto" w:fill="DEEAF6"/>
          </w:tcPr>
          <w:p>
            <w:pPr>
              <w:pStyle w:val="TableParagraph"/>
              <w:spacing w:line="139" w:lineRule="exact" w:before="4"/>
              <w:ind w:right="53"/>
              <w:jc w:val="center"/>
              <w:rPr>
                <w:b/>
                <w:sz w:val="13"/>
              </w:rPr>
            </w:pPr>
            <w:r>
              <w:rPr>
                <w:b/>
                <w:w w:val="105"/>
                <w:sz w:val="13"/>
              </w:rPr>
              <w:t>ejecución</w:t>
            </w:r>
          </w:p>
        </w:tc>
        <w:tc>
          <w:tcPr>
            <w:tcW w:w="754" w:type="dxa"/>
            <w:tcBorders>
              <w:left w:val="nil"/>
            </w:tcBorders>
            <w:shd w:val="clear" w:color="auto" w:fill="DEEAF6"/>
          </w:tcPr>
          <w:p>
            <w:pPr>
              <w:pStyle w:val="TableParagraph"/>
              <w:spacing w:line="139" w:lineRule="exact" w:before="4"/>
              <w:ind w:left="66" w:right="31"/>
              <w:jc w:val="center"/>
              <w:rPr>
                <w:b/>
                <w:sz w:val="13"/>
              </w:rPr>
            </w:pPr>
            <w:r>
              <w:rPr>
                <w:b/>
                <w:w w:val="105"/>
                <w:sz w:val="13"/>
              </w:rPr>
              <w:t>realización</w:t>
            </w:r>
          </w:p>
        </w:tc>
      </w:tr>
      <w:tr>
        <w:trPr>
          <w:trHeight w:val="819" w:hRule="atLeast"/>
        </w:trPr>
        <w:tc>
          <w:tcPr>
            <w:tcW w:w="917" w:type="dxa"/>
            <w:vMerge/>
            <w:tcBorders>
              <w:top w:val="nil"/>
              <w:bottom w:val="nil"/>
            </w:tcBorders>
          </w:tcPr>
          <w:p>
            <w:pPr>
              <w:rPr>
                <w:sz w:val="2"/>
                <w:szCs w:val="2"/>
              </w:rPr>
            </w:pPr>
          </w:p>
        </w:tc>
        <w:tc>
          <w:tcPr>
            <w:tcW w:w="866" w:type="dxa"/>
            <w:tcBorders>
              <w:bottom w:val="nil"/>
              <w:right w:val="nil"/>
            </w:tcBorders>
          </w:tcPr>
          <w:p>
            <w:pPr>
              <w:pStyle w:val="TableParagraph"/>
              <w:spacing w:before="2"/>
              <w:ind w:right="57"/>
              <w:jc w:val="right"/>
              <w:rPr>
                <w:sz w:val="13"/>
              </w:rPr>
            </w:pPr>
            <w:r>
              <w:rPr>
                <w:spacing w:val="-1"/>
                <w:w w:val="105"/>
                <w:sz w:val="13"/>
              </w:rPr>
              <w:t>3.389,65</w:t>
            </w:r>
          </w:p>
          <w:p>
            <w:pPr>
              <w:pStyle w:val="TableParagraph"/>
              <w:spacing w:before="6"/>
              <w:ind w:right="57"/>
              <w:jc w:val="right"/>
              <w:rPr>
                <w:sz w:val="13"/>
              </w:rPr>
            </w:pPr>
            <w:r>
              <w:rPr>
                <w:spacing w:val="-1"/>
                <w:w w:val="105"/>
                <w:sz w:val="13"/>
              </w:rPr>
              <w:t>5.340,48</w:t>
            </w:r>
          </w:p>
          <w:p>
            <w:pPr>
              <w:pStyle w:val="TableParagraph"/>
              <w:spacing w:before="5"/>
              <w:ind w:right="59"/>
              <w:jc w:val="right"/>
              <w:rPr>
                <w:sz w:val="13"/>
              </w:rPr>
            </w:pPr>
            <w:r>
              <w:rPr>
                <w:spacing w:val="-1"/>
                <w:w w:val="105"/>
                <w:sz w:val="13"/>
              </w:rPr>
              <w:t>375.140,71</w:t>
            </w:r>
          </w:p>
          <w:p>
            <w:pPr>
              <w:pStyle w:val="TableParagraph"/>
              <w:spacing w:before="4"/>
              <w:ind w:right="57"/>
              <w:jc w:val="right"/>
              <w:rPr>
                <w:sz w:val="13"/>
              </w:rPr>
            </w:pPr>
            <w:r>
              <w:rPr>
                <w:spacing w:val="-1"/>
                <w:w w:val="105"/>
                <w:sz w:val="13"/>
              </w:rPr>
              <w:t>10.620,21</w:t>
            </w:r>
          </w:p>
          <w:p>
            <w:pPr>
              <w:pStyle w:val="TableParagraph"/>
              <w:spacing w:line="140" w:lineRule="exact" w:before="7"/>
              <w:ind w:right="57"/>
              <w:jc w:val="right"/>
              <w:rPr>
                <w:sz w:val="13"/>
              </w:rPr>
            </w:pPr>
            <w:r>
              <w:rPr>
                <w:spacing w:val="-1"/>
                <w:w w:val="105"/>
                <w:sz w:val="13"/>
              </w:rPr>
              <w:t>3.213,61</w:t>
            </w:r>
          </w:p>
        </w:tc>
        <w:tc>
          <w:tcPr>
            <w:tcW w:w="841" w:type="dxa"/>
            <w:tcBorders>
              <w:left w:val="nil"/>
              <w:bottom w:val="nil"/>
            </w:tcBorders>
          </w:tcPr>
          <w:p>
            <w:pPr>
              <w:pStyle w:val="TableParagraph"/>
              <w:spacing w:before="2"/>
              <w:ind w:right="45"/>
              <w:jc w:val="right"/>
              <w:rPr>
                <w:sz w:val="13"/>
              </w:rPr>
            </w:pPr>
            <w:r>
              <w:rPr>
                <w:spacing w:val="-1"/>
                <w:w w:val="105"/>
                <w:sz w:val="13"/>
              </w:rPr>
              <w:t>3.387,87</w:t>
            </w:r>
          </w:p>
          <w:p>
            <w:pPr>
              <w:pStyle w:val="TableParagraph"/>
              <w:spacing w:before="6"/>
              <w:ind w:right="45"/>
              <w:jc w:val="right"/>
              <w:rPr>
                <w:sz w:val="13"/>
              </w:rPr>
            </w:pPr>
            <w:r>
              <w:rPr>
                <w:spacing w:val="-1"/>
                <w:w w:val="105"/>
                <w:sz w:val="13"/>
              </w:rPr>
              <w:t>5.041,80</w:t>
            </w:r>
          </w:p>
          <w:p>
            <w:pPr>
              <w:pStyle w:val="TableParagraph"/>
              <w:spacing w:before="5"/>
              <w:ind w:right="45"/>
              <w:jc w:val="right"/>
              <w:rPr>
                <w:sz w:val="13"/>
              </w:rPr>
            </w:pPr>
            <w:r>
              <w:rPr>
                <w:spacing w:val="-1"/>
                <w:w w:val="105"/>
                <w:sz w:val="13"/>
              </w:rPr>
              <w:t>373.385,26</w:t>
            </w:r>
          </w:p>
          <w:p>
            <w:pPr>
              <w:pStyle w:val="TableParagraph"/>
              <w:spacing w:before="4"/>
              <w:ind w:right="45"/>
              <w:jc w:val="right"/>
              <w:rPr>
                <w:sz w:val="13"/>
              </w:rPr>
            </w:pPr>
            <w:r>
              <w:rPr>
                <w:spacing w:val="-1"/>
                <w:w w:val="105"/>
                <w:sz w:val="13"/>
              </w:rPr>
              <w:t>10.573,28</w:t>
            </w:r>
          </w:p>
          <w:p>
            <w:pPr>
              <w:pStyle w:val="TableParagraph"/>
              <w:spacing w:line="140" w:lineRule="exact" w:before="7"/>
              <w:ind w:right="45"/>
              <w:jc w:val="right"/>
              <w:rPr>
                <w:sz w:val="13"/>
              </w:rPr>
            </w:pPr>
            <w:r>
              <w:rPr>
                <w:spacing w:val="-1"/>
                <w:w w:val="105"/>
                <w:sz w:val="13"/>
              </w:rPr>
              <w:t>3.200,35</w:t>
            </w:r>
          </w:p>
        </w:tc>
        <w:tc>
          <w:tcPr>
            <w:tcW w:w="660" w:type="dxa"/>
            <w:tcBorders>
              <w:bottom w:val="nil"/>
              <w:right w:val="nil"/>
            </w:tcBorders>
          </w:tcPr>
          <w:p>
            <w:pPr>
              <w:pStyle w:val="TableParagraph"/>
              <w:spacing w:before="2"/>
              <w:ind w:left="126"/>
              <w:rPr>
                <w:sz w:val="13"/>
              </w:rPr>
            </w:pPr>
            <w:r>
              <w:rPr>
                <w:w w:val="105"/>
                <w:sz w:val="13"/>
              </w:rPr>
              <w:t>99,96%</w:t>
            </w:r>
          </w:p>
          <w:p>
            <w:pPr>
              <w:pStyle w:val="TableParagraph"/>
              <w:spacing w:before="6"/>
              <w:ind w:left="91"/>
              <w:rPr>
                <w:sz w:val="13"/>
              </w:rPr>
            </w:pPr>
            <w:r>
              <w:rPr>
                <w:w w:val="105"/>
                <w:sz w:val="13"/>
              </w:rPr>
              <w:t>105,09%</w:t>
            </w:r>
          </w:p>
          <w:p>
            <w:pPr>
              <w:pStyle w:val="TableParagraph"/>
              <w:spacing w:before="5"/>
              <w:ind w:left="126"/>
              <w:rPr>
                <w:sz w:val="13"/>
              </w:rPr>
            </w:pPr>
            <w:r>
              <w:rPr>
                <w:w w:val="105"/>
                <w:sz w:val="13"/>
              </w:rPr>
              <w:t>76,40%</w:t>
            </w:r>
          </w:p>
          <w:p>
            <w:pPr>
              <w:pStyle w:val="TableParagraph"/>
              <w:spacing w:before="4"/>
              <w:ind w:left="126"/>
              <w:rPr>
                <w:sz w:val="13"/>
              </w:rPr>
            </w:pPr>
            <w:r>
              <w:rPr>
                <w:w w:val="105"/>
                <w:sz w:val="13"/>
              </w:rPr>
              <w:t>94,22%</w:t>
            </w:r>
          </w:p>
          <w:p>
            <w:pPr>
              <w:pStyle w:val="TableParagraph"/>
              <w:spacing w:line="140" w:lineRule="exact" w:before="7"/>
              <w:ind w:left="91"/>
              <w:rPr>
                <w:sz w:val="13"/>
              </w:rPr>
            </w:pPr>
            <w:r>
              <w:rPr>
                <w:w w:val="105"/>
                <w:sz w:val="13"/>
              </w:rPr>
              <w:t>100,00%</w:t>
            </w:r>
          </w:p>
        </w:tc>
        <w:tc>
          <w:tcPr>
            <w:tcW w:w="737" w:type="dxa"/>
            <w:tcBorders>
              <w:left w:val="nil"/>
              <w:bottom w:val="nil"/>
            </w:tcBorders>
          </w:tcPr>
          <w:p>
            <w:pPr>
              <w:pStyle w:val="TableParagraph"/>
              <w:spacing w:before="2"/>
              <w:ind w:left="170"/>
              <w:rPr>
                <w:sz w:val="13"/>
              </w:rPr>
            </w:pPr>
            <w:r>
              <w:rPr>
                <w:w w:val="105"/>
                <w:sz w:val="13"/>
              </w:rPr>
              <w:t>99,95%</w:t>
            </w:r>
          </w:p>
          <w:p>
            <w:pPr>
              <w:pStyle w:val="TableParagraph"/>
              <w:spacing w:before="6"/>
              <w:ind w:left="170"/>
              <w:rPr>
                <w:sz w:val="13"/>
              </w:rPr>
            </w:pPr>
            <w:r>
              <w:rPr>
                <w:w w:val="105"/>
                <w:sz w:val="13"/>
              </w:rPr>
              <w:t>94,41%</w:t>
            </w:r>
          </w:p>
          <w:p>
            <w:pPr>
              <w:pStyle w:val="TableParagraph"/>
              <w:spacing w:before="5"/>
              <w:ind w:left="170"/>
              <w:rPr>
                <w:sz w:val="13"/>
              </w:rPr>
            </w:pPr>
            <w:r>
              <w:rPr>
                <w:w w:val="105"/>
                <w:sz w:val="13"/>
              </w:rPr>
              <w:t>99,53%</w:t>
            </w:r>
          </w:p>
          <w:p>
            <w:pPr>
              <w:pStyle w:val="TableParagraph"/>
              <w:spacing w:before="4"/>
              <w:ind w:left="170"/>
              <w:rPr>
                <w:sz w:val="13"/>
              </w:rPr>
            </w:pPr>
            <w:r>
              <w:rPr>
                <w:w w:val="105"/>
                <w:sz w:val="13"/>
              </w:rPr>
              <w:t>99,56%</w:t>
            </w:r>
          </w:p>
          <w:p>
            <w:pPr>
              <w:pStyle w:val="TableParagraph"/>
              <w:spacing w:line="140" w:lineRule="exact" w:before="7"/>
              <w:ind w:left="170"/>
              <w:rPr>
                <w:sz w:val="13"/>
              </w:rPr>
            </w:pPr>
            <w:r>
              <w:rPr>
                <w:w w:val="105"/>
                <w:sz w:val="13"/>
              </w:rPr>
              <w:t>99,59%</w:t>
            </w:r>
          </w:p>
        </w:tc>
        <w:tc>
          <w:tcPr>
            <w:tcW w:w="855" w:type="dxa"/>
            <w:tcBorders>
              <w:bottom w:val="nil"/>
              <w:right w:val="nil"/>
            </w:tcBorders>
          </w:tcPr>
          <w:p>
            <w:pPr>
              <w:pStyle w:val="TableParagraph"/>
              <w:spacing w:before="2"/>
              <w:ind w:right="55"/>
              <w:jc w:val="right"/>
              <w:rPr>
                <w:sz w:val="13"/>
              </w:rPr>
            </w:pPr>
            <w:r>
              <w:rPr>
                <w:spacing w:val="-1"/>
                <w:w w:val="105"/>
                <w:sz w:val="13"/>
              </w:rPr>
              <w:t>2.364,73</w:t>
            </w:r>
          </w:p>
          <w:p>
            <w:pPr>
              <w:pStyle w:val="TableParagraph"/>
              <w:spacing w:before="6"/>
              <w:ind w:right="55"/>
              <w:jc w:val="right"/>
              <w:rPr>
                <w:sz w:val="13"/>
              </w:rPr>
            </w:pPr>
            <w:r>
              <w:rPr>
                <w:spacing w:val="-1"/>
                <w:w w:val="105"/>
                <w:sz w:val="13"/>
              </w:rPr>
              <w:t>4.236,64</w:t>
            </w:r>
          </w:p>
          <w:p>
            <w:pPr>
              <w:pStyle w:val="TableParagraph"/>
              <w:spacing w:before="5"/>
              <w:ind w:right="55"/>
              <w:jc w:val="right"/>
              <w:rPr>
                <w:sz w:val="13"/>
              </w:rPr>
            </w:pPr>
            <w:r>
              <w:rPr>
                <w:spacing w:val="-1"/>
                <w:w w:val="105"/>
                <w:sz w:val="13"/>
              </w:rPr>
              <w:t>417.645,10</w:t>
            </w:r>
          </w:p>
          <w:p>
            <w:pPr>
              <w:pStyle w:val="TableParagraph"/>
              <w:spacing w:before="4"/>
              <w:ind w:right="55"/>
              <w:jc w:val="right"/>
              <w:rPr>
                <w:sz w:val="13"/>
              </w:rPr>
            </w:pPr>
            <w:r>
              <w:rPr>
                <w:spacing w:val="-1"/>
                <w:w w:val="105"/>
                <w:sz w:val="13"/>
              </w:rPr>
              <w:t>8.640,53</w:t>
            </w:r>
          </w:p>
          <w:p>
            <w:pPr>
              <w:pStyle w:val="TableParagraph"/>
              <w:spacing w:line="140" w:lineRule="exact" w:before="7"/>
              <w:ind w:right="55"/>
              <w:jc w:val="right"/>
              <w:rPr>
                <w:sz w:val="13"/>
              </w:rPr>
            </w:pPr>
            <w:r>
              <w:rPr>
                <w:spacing w:val="-1"/>
                <w:w w:val="105"/>
                <w:sz w:val="13"/>
              </w:rPr>
              <w:t>2.504,15</w:t>
            </w:r>
          </w:p>
        </w:tc>
        <w:tc>
          <w:tcPr>
            <w:tcW w:w="841" w:type="dxa"/>
            <w:tcBorders>
              <w:left w:val="nil"/>
              <w:bottom w:val="nil"/>
            </w:tcBorders>
          </w:tcPr>
          <w:p>
            <w:pPr>
              <w:pStyle w:val="TableParagraph"/>
              <w:spacing w:before="2"/>
              <w:ind w:right="42"/>
              <w:jc w:val="right"/>
              <w:rPr>
                <w:sz w:val="13"/>
              </w:rPr>
            </w:pPr>
            <w:r>
              <w:rPr>
                <w:spacing w:val="-1"/>
                <w:w w:val="105"/>
                <w:sz w:val="13"/>
              </w:rPr>
              <w:t>2.241,66</w:t>
            </w:r>
          </w:p>
          <w:p>
            <w:pPr>
              <w:pStyle w:val="TableParagraph"/>
              <w:spacing w:before="6"/>
              <w:ind w:right="42"/>
              <w:jc w:val="right"/>
              <w:rPr>
                <w:sz w:val="13"/>
              </w:rPr>
            </w:pPr>
            <w:r>
              <w:rPr>
                <w:spacing w:val="-1"/>
                <w:w w:val="105"/>
                <w:sz w:val="13"/>
              </w:rPr>
              <w:t>3.161,27</w:t>
            </w:r>
          </w:p>
          <w:p>
            <w:pPr>
              <w:pStyle w:val="TableParagraph"/>
              <w:spacing w:before="5"/>
              <w:ind w:right="42"/>
              <w:jc w:val="right"/>
              <w:rPr>
                <w:sz w:val="13"/>
              </w:rPr>
            </w:pPr>
            <w:r>
              <w:rPr>
                <w:spacing w:val="-1"/>
                <w:w w:val="105"/>
                <w:sz w:val="13"/>
              </w:rPr>
              <w:t>269.949,84</w:t>
            </w:r>
          </w:p>
          <w:p>
            <w:pPr>
              <w:pStyle w:val="TableParagraph"/>
              <w:spacing w:before="4"/>
              <w:ind w:right="42"/>
              <w:jc w:val="right"/>
              <w:rPr>
                <w:sz w:val="13"/>
              </w:rPr>
            </w:pPr>
            <w:r>
              <w:rPr>
                <w:spacing w:val="-1"/>
                <w:w w:val="105"/>
                <w:sz w:val="13"/>
              </w:rPr>
              <w:t>8.162,70</w:t>
            </w:r>
          </w:p>
          <w:p>
            <w:pPr>
              <w:pStyle w:val="TableParagraph"/>
              <w:spacing w:line="140" w:lineRule="exact" w:before="7"/>
              <w:ind w:right="42"/>
              <w:jc w:val="right"/>
              <w:rPr>
                <w:sz w:val="13"/>
              </w:rPr>
            </w:pPr>
            <w:r>
              <w:rPr>
                <w:spacing w:val="-1"/>
                <w:w w:val="105"/>
                <w:sz w:val="13"/>
              </w:rPr>
              <w:t>2.256,92</w:t>
            </w:r>
          </w:p>
        </w:tc>
        <w:tc>
          <w:tcPr>
            <w:tcW w:w="89" w:type="dxa"/>
            <w:tcBorders>
              <w:bottom w:val="nil"/>
              <w:right w:val="nil"/>
            </w:tcBorders>
          </w:tcPr>
          <w:p>
            <w:pPr>
              <w:pStyle w:val="TableParagraph"/>
              <w:rPr>
                <w:rFonts w:ascii="Times New Roman"/>
                <w:sz w:val="16"/>
              </w:rPr>
            </w:pPr>
          </w:p>
        </w:tc>
        <w:tc>
          <w:tcPr>
            <w:tcW w:w="627" w:type="dxa"/>
            <w:tcBorders>
              <w:left w:val="nil"/>
              <w:bottom w:val="nil"/>
              <w:right w:val="nil"/>
            </w:tcBorders>
          </w:tcPr>
          <w:p>
            <w:pPr>
              <w:pStyle w:val="TableParagraph"/>
              <w:spacing w:before="2"/>
              <w:ind w:left="85"/>
              <w:rPr>
                <w:sz w:val="13"/>
              </w:rPr>
            </w:pPr>
            <w:r>
              <w:rPr>
                <w:w w:val="105"/>
                <w:sz w:val="13"/>
              </w:rPr>
              <w:t>69,73%</w:t>
            </w:r>
          </w:p>
          <w:p>
            <w:pPr>
              <w:pStyle w:val="TableParagraph"/>
              <w:spacing w:before="6"/>
              <w:ind w:left="85"/>
              <w:rPr>
                <w:sz w:val="13"/>
              </w:rPr>
            </w:pPr>
            <w:r>
              <w:rPr>
                <w:w w:val="105"/>
                <w:sz w:val="13"/>
              </w:rPr>
              <w:t>83,37%</w:t>
            </w:r>
          </w:p>
          <w:p>
            <w:pPr>
              <w:pStyle w:val="TableParagraph"/>
              <w:spacing w:before="5"/>
              <w:ind w:left="85"/>
              <w:rPr>
                <w:sz w:val="13"/>
              </w:rPr>
            </w:pPr>
            <w:r>
              <w:rPr>
                <w:w w:val="105"/>
                <w:sz w:val="13"/>
              </w:rPr>
              <w:t>85,05%</w:t>
            </w:r>
          </w:p>
          <w:p>
            <w:pPr>
              <w:pStyle w:val="TableParagraph"/>
              <w:spacing w:before="4"/>
              <w:ind w:left="85"/>
              <w:rPr>
                <w:sz w:val="13"/>
              </w:rPr>
            </w:pPr>
            <w:r>
              <w:rPr>
                <w:w w:val="105"/>
                <w:sz w:val="13"/>
              </w:rPr>
              <w:t>76,66%</w:t>
            </w:r>
          </w:p>
          <w:p>
            <w:pPr>
              <w:pStyle w:val="TableParagraph"/>
              <w:spacing w:line="140" w:lineRule="exact" w:before="7"/>
              <w:ind w:left="85"/>
              <w:rPr>
                <w:sz w:val="13"/>
              </w:rPr>
            </w:pPr>
            <w:r>
              <w:rPr>
                <w:w w:val="105"/>
                <w:sz w:val="13"/>
              </w:rPr>
              <w:t>77,92%</w:t>
            </w:r>
          </w:p>
        </w:tc>
        <w:tc>
          <w:tcPr>
            <w:tcW w:w="754" w:type="dxa"/>
            <w:tcBorders>
              <w:left w:val="nil"/>
              <w:bottom w:val="nil"/>
            </w:tcBorders>
          </w:tcPr>
          <w:p>
            <w:pPr>
              <w:pStyle w:val="TableParagraph"/>
              <w:spacing w:before="2"/>
              <w:ind w:left="192"/>
              <w:rPr>
                <w:sz w:val="13"/>
              </w:rPr>
            </w:pPr>
            <w:r>
              <w:rPr>
                <w:w w:val="105"/>
                <w:sz w:val="13"/>
              </w:rPr>
              <w:t>94,80%</w:t>
            </w:r>
          </w:p>
          <w:p>
            <w:pPr>
              <w:pStyle w:val="TableParagraph"/>
              <w:spacing w:before="6"/>
              <w:ind w:left="192"/>
              <w:rPr>
                <w:sz w:val="13"/>
              </w:rPr>
            </w:pPr>
            <w:r>
              <w:rPr>
                <w:w w:val="105"/>
                <w:sz w:val="13"/>
              </w:rPr>
              <w:t>74,62%</w:t>
            </w:r>
          </w:p>
          <w:p>
            <w:pPr>
              <w:pStyle w:val="TableParagraph"/>
              <w:spacing w:before="5"/>
              <w:ind w:left="192"/>
              <w:rPr>
                <w:sz w:val="13"/>
              </w:rPr>
            </w:pPr>
            <w:r>
              <w:rPr>
                <w:w w:val="105"/>
                <w:sz w:val="13"/>
              </w:rPr>
              <w:t>64,64%</w:t>
            </w:r>
          </w:p>
          <w:p>
            <w:pPr>
              <w:pStyle w:val="TableParagraph"/>
              <w:spacing w:before="4"/>
              <w:ind w:left="192"/>
              <w:rPr>
                <w:sz w:val="13"/>
              </w:rPr>
            </w:pPr>
            <w:r>
              <w:rPr>
                <w:w w:val="105"/>
                <w:sz w:val="13"/>
              </w:rPr>
              <w:t>94,47%</w:t>
            </w:r>
          </w:p>
          <w:p>
            <w:pPr>
              <w:pStyle w:val="TableParagraph"/>
              <w:spacing w:line="140" w:lineRule="exact" w:before="7"/>
              <w:ind w:left="192"/>
              <w:rPr>
                <w:sz w:val="13"/>
              </w:rPr>
            </w:pPr>
            <w:r>
              <w:rPr>
                <w:w w:val="105"/>
                <w:sz w:val="13"/>
              </w:rPr>
              <w:t>90,13%</w:t>
            </w:r>
          </w:p>
        </w:tc>
      </w:tr>
      <w:tr>
        <w:trPr>
          <w:trHeight w:val="163" w:hRule="atLeast"/>
        </w:trPr>
        <w:tc>
          <w:tcPr>
            <w:tcW w:w="917" w:type="dxa"/>
            <w:tcBorders>
              <w:top w:val="nil"/>
              <w:bottom w:val="nil"/>
            </w:tcBorders>
            <w:shd w:val="clear" w:color="auto" w:fill="F1F1F1"/>
          </w:tcPr>
          <w:p>
            <w:pPr>
              <w:pStyle w:val="TableParagraph"/>
              <w:spacing w:line="140" w:lineRule="exact" w:before="3"/>
              <w:ind w:left="57"/>
              <w:rPr>
                <w:b/>
                <w:sz w:val="13"/>
              </w:rPr>
            </w:pPr>
            <w:r>
              <w:rPr>
                <w:b/>
                <w:w w:val="105"/>
                <w:sz w:val="13"/>
              </w:rPr>
              <w:t>SCS</w:t>
            </w:r>
          </w:p>
        </w:tc>
        <w:tc>
          <w:tcPr>
            <w:tcW w:w="866" w:type="dxa"/>
            <w:tcBorders>
              <w:top w:val="nil"/>
              <w:bottom w:val="nil"/>
              <w:right w:val="nil"/>
            </w:tcBorders>
            <w:shd w:val="clear" w:color="auto" w:fill="F1F1F1"/>
          </w:tcPr>
          <w:p>
            <w:pPr>
              <w:pStyle w:val="TableParagraph"/>
              <w:spacing w:line="140" w:lineRule="exact" w:before="3"/>
              <w:ind w:left="55" w:right="35"/>
              <w:jc w:val="center"/>
              <w:rPr>
                <w:b/>
                <w:sz w:val="13"/>
              </w:rPr>
            </w:pPr>
            <w:r>
              <w:rPr>
                <w:b/>
                <w:w w:val="105"/>
                <w:sz w:val="13"/>
              </w:rPr>
              <w:t>4.040.151,48</w:t>
            </w:r>
          </w:p>
        </w:tc>
        <w:tc>
          <w:tcPr>
            <w:tcW w:w="841" w:type="dxa"/>
            <w:tcBorders>
              <w:top w:val="nil"/>
              <w:left w:val="nil"/>
              <w:bottom w:val="nil"/>
            </w:tcBorders>
            <w:shd w:val="clear" w:color="auto" w:fill="F1F1F1"/>
          </w:tcPr>
          <w:p>
            <w:pPr>
              <w:pStyle w:val="TableParagraph"/>
              <w:spacing w:line="140" w:lineRule="exact" w:before="3"/>
              <w:ind w:left="42" w:right="23"/>
              <w:jc w:val="center"/>
              <w:rPr>
                <w:b/>
                <w:sz w:val="13"/>
              </w:rPr>
            </w:pPr>
            <w:r>
              <w:rPr>
                <w:b/>
                <w:w w:val="105"/>
                <w:sz w:val="13"/>
              </w:rPr>
              <w:t>4.009.792,88</w:t>
            </w:r>
          </w:p>
        </w:tc>
        <w:tc>
          <w:tcPr>
            <w:tcW w:w="660" w:type="dxa"/>
            <w:tcBorders>
              <w:top w:val="nil"/>
              <w:bottom w:val="nil"/>
              <w:right w:val="nil"/>
            </w:tcBorders>
            <w:shd w:val="clear" w:color="auto" w:fill="F1F1F1"/>
          </w:tcPr>
          <w:p>
            <w:pPr>
              <w:pStyle w:val="TableParagraph"/>
              <w:spacing w:line="140" w:lineRule="exact" w:before="3"/>
              <w:ind w:right="122"/>
              <w:jc w:val="right"/>
              <w:rPr>
                <w:b/>
                <w:sz w:val="13"/>
              </w:rPr>
            </w:pPr>
            <w:r>
              <w:rPr>
                <w:b/>
                <w:w w:val="105"/>
                <w:sz w:val="13"/>
              </w:rPr>
              <w:t>98,97%</w:t>
            </w:r>
          </w:p>
        </w:tc>
        <w:tc>
          <w:tcPr>
            <w:tcW w:w="737" w:type="dxa"/>
            <w:tcBorders>
              <w:top w:val="nil"/>
              <w:left w:val="nil"/>
              <w:bottom w:val="nil"/>
            </w:tcBorders>
            <w:shd w:val="clear" w:color="auto" w:fill="F1F1F1"/>
          </w:tcPr>
          <w:p>
            <w:pPr>
              <w:pStyle w:val="TableParagraph"/>
              <w:spacing w:line="140" w:lineRule="exact" w:before="3"/>
              <w:ind w:left="45" w:right="34"/>
              <w:jc w:val="center"/>
              <w:rPr>
                <w:b/>
                <w:sz w:val="13"/>
              </w:rPr>
            </w:pPr>
            <w:r>
              <w:rPr>
                <w:b/>
                <w:w w:val="105"/>
                <w:sz w:val="13"/>
              </w:rPr>
              <w:t>99,25%</w:t>
            </w:r>
          </w:p>
        </w:tc>
        <w:tc>
          <w:tcPr>
            <w:tcW w:w="855" w:type="dxa"/>
            <w:tcBorders>
              <w:top w:val="nil"/>
              <w:bottom w:val="nil"/>
              <w:right w:val="nil"/>
            </w:tcBorders>
            <w:shd w:val="clear" w:color="auto" w:fill="F1F1F1"/>
          </w:tcPr>
          <w:p>
            <w:pPr>
              <w:pStyle w:val="TableParagraph"/>
              <w:spacing w:line="140" w:lineRule="exact" w:before="3"/>
              <w:ind w:left="46" w:right="32"/>
              <w:jc w:val="center"/>
              <w:rPr>
                <w:b/>
                <w:sz w:val="13"/>
              </w:rPr>
            </w:pPr>
            <w:r>
              <w:rPr>
                <w:b/>
                <w:w w:val="105"/>
                <w:sz w:val="13"/>
              </w:rPr>
              <w:t>4.074.742,05</w:t>
            </w:r>
          </w:p>
        </w:tc>
        <w:tc>
          <w:tcPr>
            <w:tcW w:w="841" w:type="dxa"/>
            <w:tcBorders>
              <w:top w:val="nil"/>
              <w:left w:val="nil"/>
              <w:bottom w:val="nil"/>
            </w:tcBorders>
            <w:shd w:val="clear" w:color="auto" w:fill="F1F1F1"/>
          </w:tcPr>
          <w:p>
            <w:pPr>
              <w:pStyle w:val="TableParagraph"/>
              <w:spacing w:line="140" w:lineRule="exact" w:before="3"/>
              <w:ind w:left="70"/>
              <w:rPr>
                <w:b/>
                <w:sz w:val="13"/>
              </w:rPr>
            </w:pPr>
            <w:r>
              <w:rPr>
                <w:b/>
                <w:w w:val="105"/>
                <w:sz w:val="13"/>
              </w:rPr>
              <w:t>3.942.156,98</w:t>
            </w:r>
          </w:p>
        </w:tc>
        <w:tc>
          <w:tcPr>
            <w:tcW w:w="89" w:type="dxa"/>
            <w:tcBorders>
              <w:top w:val="nil"/>
              <w:bottom w:val="nil"/>
              <w:right w:val="nil"/>
            </w:tcBorders>
            <w:shd w:val="clear" w:color="auto" w:fill="F1F1F1"/>
          </w:tcPr>
          <w:p>
            <w:pPr>
              <w:pStyle w:val="TableParagraph"/>
              <w:rPr>
                <w:rFonts w:ascii="Times New Roman"/>
                <w:sz w:val="10"/>
              </w:rPr>
            </w:pPr>
          </w:p>
        </w:tc>
        <w:tc>
          <w:tcPr>
            <w:tcW w:w="627" w:type="dxa"/>
            <w:tcBorders>
              <w:top w:val="nil"/>
              <w:left w:val="nil"/>
              <w:bottom w:val="nil"/>
              <w:right w:val="nil"/>
            </w:tcBorders>
            <w:shd w:val="clear" w:color="auto" w:fill="F1F1F1"/>
          </w:tcPr>
          <w:p>
            <w:pPr>
              <w:pStyle w:val="TableParagraph"/>
              <w:spacing w:line="140" w:lineRule="exact" w:before="3"/>
              <w:ind w:right="51"/>
              <w:jc w:val="center"/>
              <w:rPr>
                <w:b/>
                <w:sz w:val="13"/>
              </w:rPr>
            </w:pPr>
            <w:r>
              <w:rPr>
                <w:b/>
                <w:w w:val="105"/>
                <w:sz w:val="13"/>
              </w:rPr>
              <w:t>98,40%</w:t>
            </w:r>
          </w:p>
        </w:tc>
        <w:tc>
          <w:tcPr>
            <w:tcW w:w="754" w:type="dxa"/>
            <w:tcBorders>
              <w:top w:val="nil"/>
              <w:left w:val="nil"/>
              <w:bottom w:val="nil"/>
            </w:tcBorders>
            <w:shd w:val="clear" w:color="auto" w:fill="F1F1F1"/>
          </w:tcPr>
          <w:p>
            <w:pPr>
              <w:pStyle w:val="TableParagraph"/>
              <w:spacing w:line="140" w:lineRule="exact" w:before="3"/>
              <w:ind w:left="66" w:right="29"/>
              <w:jc w:val="center"/>
              <w:rPr>
                <w:b/>
                <w:sz w:val="13"/>
              </w:rPr>
            </w:pPr>
            <w:r>
              <w:rPr>
                <w:b/>
                <w:w w:val="105"/>
                <w:sz w:val="13"/>
              </w:rPr>
              <w:t>96,75%</w:t>
            </w:r>
          </w:p>
        </w:tc>
      </w:tr>
      <w:tr>
        <w:trPr>
          <w:trHeight w:val="1148" w:hRule="atLeast"/>
        </w:trPr>
        <w:tc>
          <w:tcPr>
            <w:tcW w:w="917" w:type="dxa"/>
            <w:tcBorders>
              <w:top w:val="nil"/>
            </w:tcBorders>
          </w:tcPr>
          <w:p>
            <w:pPr>
              <w:pStyle w:val="TableParagraph"/>
              <w:spacing w:line="247" w:lineRule="auto" w:before="3"/>
              <w:ind w:left="57" w:right="401"/>
              <w:rPr>
                <w:b/>
                <w:sz w:val="13"/>
              </w:rPr>
            </w:pPr>
            <w:r>
              <w:rPr>
                <w:b/>
                <w:sz w:val="13"/>
              </w:rPr>
              <w:t>ACCUEE </w:t>
            </w:r>
            <w:r>
              <w:rPr>
                <w:b/>
                <w:w w:val="105"/>
                <w:sz w:val="13"/>
              </w:rPr>
              <w:t>ICAVI ICCA APMN CES RTVC</w:t>
            </w:r>
          </w:p>
          <w:p>
            <w:pPr>
              <w:pStyle w:val="TableParagraph"/>
              <w:spacing w:line="140" w:lineRule="exact" w:before="5"/>
              <w:ind w:left="57"/>
              <w:rPr>
                <w:b/>
                <w:sz w:val="13"/>
              </w:rPr>
            </w:pPr>
            <w:r>
              <w:rPr>
                <w:b/>
                <w:w w:val="105"/>
                <w:sz w:val="13"/>
              </w:rPr>
              <w:t>ATC</w:t>
            </w:r>
          </w:p>
        </w:tc>
        <w:tc>
          <w:tcPr>
            <w:tcW w:w="866" w:type="dxa"/>
            <w:tcBorders>
              <w:top w:val="nil"/>
              <w:right w:val="nil"/>
            </w:tcBorders>
          </w:tcPr>
          <w:p>
            <w:pPr>
              <w:pStyle w:val="TableParagraph"/>
              <w:spacing w:before="3"/>
              <w:ind w:right="57"/>
              <w:jc w:val="right"/>
              <w:rPr>
                <w:sz w:val="13"/>
              </w:rPr>
            </w:pPr>
            <w:r>
              <w:rPr>
                <w:spacing w:val="-1"/>
                <w:w w:val="105"/>
                <w:sz w:val="13"/>
              </w:rPr>
              <w:t>1.365,36</w:t>
            </w:r>
          </w:p>
          <w:p>
            <w:pPr>
              <w:pStyle w:val="TableParagraph"/>
              <w:spacing w:before="6"/>
              <w:ind w:right="59"/>
              <w:jc w:val="right"/>
              <w:rPr>
                <w:sz w:val="13"/>
              </w:rPr>
            </w:pPr>
            <w:r>
              <w:rPr>
                <w:spacing w:val="-1"/>
                <w:w w:val="105"/>
                <w:sz w:val="13"/>
              </w:rPr>
              <w:t>196.202,31</w:t>
            </w:r>
          </w:p>
          <w:p>
            <w:pPr>
              <w:pStyle w:val="TableParagraph"/>
              <w:spacing w:before="5"/>
              <w:ind w:right="57"/>
              <w:jc w:val="right"/>
              <w:rPr>
                <w:sz w:val="13"/>
              </w:rPr>
            </w:pPr>
            <w:r>
              <w:rPr>
                <w:spacing w:val="-1"/>
                <w:w w:val="105"/>
                <w:sz w:val="13"/>
              </w:rPr>
              <w:t>7.202,55</w:t>
            </w:r>
          </w:p>
          <w:p>
            <w:pPr>
              <w:pStyle w:val="TableParagraph"/>
              <w:spacing w:before="6"/>
              <w:ind w:right="57"/>
              <w:jc w:val="right"/>
              <w:rPr>
                <w:sz w:val="13"/>
              </w:rPr>
            </w:pPr>
            <w:r>
              <w:rPr>
                <w:spacing w:val="-1"/>
                <w:w w:val="105"/>
                <w:sz w:val="13"/>
              </w:rPr>
              <w:t>14.058,46</w:t>
            </w:r>
          </w:p>
          <w:p>
            <w:pPr>
              <w:pStyle w:val="TableParagraph"/>
              <w:spacing w:before="5"/>
              <w:ind w:right="57"/>
              <w:jc w:val="right"/>
              <w:rPr>
                <w:sz w:val="13"/>
              </w:rPr>
            </w:pPr>
            <w:r>
              <w:rPr>
                <w:sz w:val="13"/>
              </w:rPr>
              <w:t>883,63</w:t>
            </w:r>
          </w:p>
          <w:p>
            <w:pPr>
              <w:pStyle w:val="TableParagraph"/>
              <w:spacing w:before="5"/>
              <w:ind w:right="57"/>
              <w:jc w:val="right"/>
              <w:rPr>
                <w:sz w:val="13"/>
              </w:rPr>
            </w:pPr>
            <w:r>
              <w:rPr>
                <w:spacing w:val="-1"/>
                <w:w w:val="105"/>
                <w:sz w:val="13"/>
              </w:rPr>
              <w:t>70.595,31</w:t>
            </w:r>
          </w:p>
          <w:p>
            <w:pPr>
              <w:pStyle w:val="TableParagraph"/>
              <w:spacing w:line="140" w:lineRule="exact" w:before="6"/>
              <w:ind w:right="57"/>
              <w:jc w:val="right"/>
              <w:rPr>
                <w:sz w:val="13"/>
              </w:rPr>
            </w:pPr>
            <w:r>
              <w:rPr>
                <w:spacing w:val="-1"/>
                <w:w w:val="105"/>
                <w:sz w:val="13"/>
              </w:rPr>
              <w:t>54.755,44</w:t>
            </w:r>
          </w:p>
        </w:tc>
        <w:tc>
          <w:tcPr>
            <w:tcW w:w="841" w:type="dxa"/>
            <w:tcBorders>
              <w:top w:val="nil"/>
              <w:left w:val="nil"/>
            </w:tcBorders>
          </w:tcPr>
          <w:p>
            <w:pPr>
              <w:pStyle w:val="TableParagraph"/>
              <w:spacing w:before="3"/>
              <w:ind w:right="45"/>
              <w:jc w:val="right"/>
              <w:rPr>
                <w:sz w:val="13"/>
              </w:rPr>
            </w:pPr>
            <w:r>
              <w:rPr>
                <w:spacing w:val="-1"/>
                <w:w w:val="105"/>
                <w:sz w:val="13"/>
              </w:rPr>
              <w:t>1.365,36</w:t>
            </w:r>
          </w:p>
          <w:p>
            <w:pPr>
              <w:pStyle w:val="TableParagraph"/>
              <w:spacing w:before="6"/>
              <w:ind w:right="45"/>
              <w:jc w:val="right"/>
              <w:rPr>
                <w:sz w:val="13"/>
              </w:rPr>
            </w:pPr>
            <w:r>
              <w:rPr>
                <w:spacing w:val="-1"/>
                <w:w w:val="105"/>
                <w:sz w:val="13"/>
              </w:rPr>
              <w:t>190.146,40</w:t>
            </w:r>
          </w:p>
          <w:p>
            <w:pPr>
              <w:pStyle w:val="TableParagraph"/>
              <w:spacing w:before="5"/>
              <w:ind w:right="45"/>
              <w:jc w:val="right"/>
              <w:rPr>
                <w:sz w:val="13"/>
              </w:rPr>
            </w:pPr>
            <w:r>
              <w:rPr>
                <w:spacing w:val="-1"/>
                <w:w w:val="105"/>
                <w:sz w:val="13"/>
              </w:rPr>
              <w:t>7.176,34</w:t>
            </w:r>
          </w:p>
          <w:p>
            <w:pPr>
              <w:pStyle w:val="TableParagraph"/>
              <w:spacing w:before="6"/>
              <w:ind w:right="45"/>
              <w:jc w:val="right"/>
              <w:rPr>
                <w:sz w:val="13"/>
              </w:rPr>
            </w:pPr>
            <w:r>
              <w:rPr>
                <w:spacing w:val="-1"/>
                <w:w w:val="105"/>
                <w:sz w:val="13"/>
              </w:rPr>
              <w:t>10.437,88</w:t>
            </w:r>
          </w:p>
          <w:p>
            <w:pPr>
              <w:pStyle w:val="TableParagraph"/>
              <w:spacing w:before="5"/>
              <w:ind w:right="45"/>
              <w:jc w:val="right"/>
              <w:rPr>
                <w:sz w:val="13"/>
              </w:rPr>
            </w:pPr>
            <w:r>
              <w:rPr>
                <w:sz w:val="13"/>
              </w:rPr>
              <w:t>883,63</w:t>
            </w:r>
          </w:p>
          <w:p>
            <w:pPr>
              <w:pStyle w:val="TableParagraph"/>
              <w:spacing w:before="5"/>
              <w:ind w:right="45"/>
              <w:jc w:val="right"/>
              <w:rPr>
                <w:sz w:val="13"/>
              </w:rPr>
            </w:pPr>
            <w:r>
              <w:rPr>
                <w:spacing w:val="-1"/>
                <w:w w:val="105"/>
                <w:sz w:val="13"/>
              </w:rPr>
              <w:t>64.595,31</w:t>
            </w:r>
          </w:p>
          <w:p>
            <w:pPr>
              <w:pStyle w:val="TableParagraph"/>
              <w:spacing w:line="140" w:lineRule="exact" w:before="6"/>
              <w:ind w:right="45"/>
              <w:jc w:val="right"/>
              <w:rPr>
                <w:sz w:val="13"/>
              </w:rPr>
            </w:pPr>
            <w:r>
              <w:rPr>
                <w:spacing w:val="-1"/>
                <w:w w:val="105"/>
                <w:sz w:val="13"/>
              </w:rPr>
              <w:t>54.755,44</w:t>
            </w:r>
          </w:p>
        </w:tc>
        <w:tc>
          <w:tcPr>
            <w:tcW w:w="660" w:type="dxa"/>
            <w:tcBorders>
              <w:top w:val="nil"/>
              <w:right w:val="nil"/>
            </w:tcBorders>
          </w:tcPr>
          <w:p>
            <w:pPr>
              <w:pStyle w:val="TableParagraph"/>
              <w:spacing w:before="3"/>
              <w:ind w:left="126"/>
              <w:rPr>
                <w:sz w:val="13"/>
              </w:rPr>
            </w:pPr>
            <w:r>
              <w:rPr>
                <w:w w:val="105"/>
                <w:sz w:val="13"/>
              </w:rPr>
              <w:t>99,54%</w:t>
            </w:r>
          </w:p>
          <w:p>
            <w:pPr>
              <w:pStyle w:val="TableParagraph"/>
              <w:spacing w:before="6"/>
              <w:ind w:left="91"/>
              <w:rPr>
                <w:sz w:val="13"/>
              </w:rPr>
            </w:pPr>
            <w:r>
              <w:rPr>
                <w:w w:val="105"/>
                <w:sz w:val="13"/>
              </w:rPr>
              <w:t>104,95%</w:t>
            </w:r>
          </w:p>
          <w:p>
            <w:pPr>
              <w:pStyle w:val="TableParagraph"/>
              <w:spacing w:before="5"/>
              <w:ind w:left="91"/>
              <w:rPr>
                <w:sz w:val="13"/>
              </w:rPr>
            </w:pPr>
            <w:r>
              <w:rPr>
                <w:w w:val="105"/>
                <w:sz w:val="13"/>
              </w:rPr>
              <w:t>100,64%</w:t>
            </w:r>
          </w:p>
          <w:p>
            <w:pPr>
              <w:pStyle w:val="TableParagraph"/>
              <w:spacing w:before="6"/>
              <w:ind w:left="91"/>
              <w:rPr>
                <w:sz w:val="13"/>
              </w:rPr>
            </w:pPr>
            <w:r>
              <w:rPr>
                <w:w w:val="105"/>
                <w:sz w:val="13"/>
              </w:rPr>
              <w:t>135,67%</w:t>
            </w:r>
          </w:p>
          <w:p>
            <w:pPr>
              <w:pStyle w:val="TableParagraph"/>
              <w:spacing w:before="5"/>
              <w:ind w:left="126"/>
              <w:rPr>
                <w:sz w:val="13"/>
              </w:rPr>
            </w:pPr>
            <w:r>
              <w:rPr>
                <w:w w:val="105"/>
                <w:sz w:val="13"/>
              </w:rPr>
              <w:t>99,51%</w:t>
            </w:r>
          </w:p>
          <w:p>
            <w:pPr>
              <w:pStyle w:val="TableParagraph"/>
              <w:spacing w:before="5"/>
              <w:ind w:left="91"/>
              <w:rPr>
                <w:sz w:val="13"/>
              </w:rPr>
            </w:pPr>
            <w:r>
              <w:rPr>
                <w:w w:val="105"/>
                <w:sz w:val="13"/>
              </w:rPr>
              <w:t>100,04%</w:t>
            </w:r>
          </w:p>
          <w:p>
            <w:pPr>
              <w:pStyle w:val="TableParagraph"/>
              <w:spacing w:line="140" w:lineRule="exact" w:before="6"/>
              <w:ind w:left="126"/>
              <w:rPr>
                <w:sz w:val="13"/>
              </w:rPr>
            </w:pPr>
            <w:r>
              <w:rPr>
                <w:w w:val="105"/>
                <w:sz w:val="13"/>
              </w:rPr>
              <w:t>58,29%</w:t>
            </w:r>
          </w:p>
        </w:tc>
        <w:tc>
          <w:tcPr>
            <w:tcW w:w="737" w:type="dxa"/>
            <w:tcBorders>
              <w:top w:val="nil"/>
              <w:left w:val="nil"/>
            </w:tcBorders>
          </w:tcPr>
          <w:p>
            <w:pPr>
              <w:pStyle w:val="TableParagraph"/>
              <w:spacing w:before="3"/>
              <w:ind w:left="136"/>
              <w:rPr>
                <w:sz w:val="13"/>
              </w:rPr>
            </w:pPr>
            <w:r>
              <w:rPr>
                <w:w w:val="105"/>
                <w:sz w:val="13"/>
              </w:rPr>
              <w:t>100,00%</w:t>
            </w:r>
          </w:p>
          <w:p>
            <w:pPr>
              <w:pStyle w:val="TableParagraph"/>
              <w:spacing w:before="6"/>
              <w:ind w:left="170"/>
              <w:rPr>
                <w:sz w:val="13"/>
              </w:rPr>
            </w:pPr>
            <w:r>
              <w:rPr>
                <w:w w:val="105"/>
                <w:sz w:val="13"/>
              </w:rPr>
              <w:t>96,91%</w:t>
            </w:r>
          </w:p>
          <w:p>
            <w:pPr>
              <w:pStyle w:val="TableParagraph"/>
              <w:spacing w:before="5"/>
              <w:ind w:left="170"/>
              <w:rPr>
                <w:sz w:val="13"/>
              </w:rPr>
            </w:pPr>
            <w:r>
              <w:rPr>
                <w:w w:val="105"/>
                <w:sz w:val="13"/>
              </w:rPr>
              <w:t>99,64%</w:t>
            </w:r>
          </w:p>
          <w:p>
            <w:pPr>
              <w:pStyle w:val="TableParagraph"/>
              <w:spacing w:before="6"/>
              <w:ind w:left="170"/>
              <w:rPr>
                <w:sz w:val="13"/>
              </w:rPr>
            </w:pPr>
            <w:r>
              <w:rPr>
                <w:w w:val="105"/>
                <w:sz w:val="13"/>
              </w:rPr>
              <w:t>74,25%</w:t>
            </w:r>
          </w:p>
          <w:p>
            <w:pPr>
              <w:pStyle w:val="TableParagraph"/>
              <w:spacing w:before="5"/>
              <w:ind w:left="136"/>
              <w:rPr>
                <w:sz w:val="13"/>
              </w:rPr>
            </w:pPr>
            <w:r>
              <w:rPr>
                <w:w w:val="105"/>
                <w:sz w:val="13"/>
              </w:rPr>
              <w:t>100,00%</w:t>
            </w:r>
          </w:p>
          <w:p>
            <w:pPr>
              <w:pStyle w:val="TableParagraph"/>
              <w:spacing w:before="5"/>
              <w:ind w:left="170"/>
              <w:rPr>
                <w:sz w:val="13"/>
              </w:rPr>
            </w:pPr>
            <w:r>
              <w:rPr>
                <w:w w:val="105"/>
                <w:sz w:val="13"/>
              </w:rPr>
              <w:t>91,50%</w:t>
            </w:r>
          </w:p>
          <w:p>
            <w:pPr>
              <w:pStyle w:val="TableParagraph"/>
              <w:spacing w:line="140" w:lineRule="exact" w:before="6"/>
              <w:ind w:left="136"/>
              <w:rPr>
                <w:sz w:val="13"/>
              </w:rPr>
            </w:pPr>
            <w:r>
              <w:rPr>
                <w:w w:val="105"/>
                <w:sz w:val="13"/>
              </w:rPr>
              <w:t>100,00%</w:t>
            </w:r>
          </w:p>
        </w:tc>
        <w:tc>
          <w:tcPr>
            <w:tcW w:w="855" w:type="dxa"/>
            <w:tcBorders>
              <w:top w:val="nil"/>
              <w:right w:val="nil"/>
            </w:tcBorders>
          </w:tcPr>
          <w:p>
            <w:pPr>
              <w:pStyle w:val="TableParagraph"/>
              <w:spacing w:before="3"/>
              <w:ind w:right="55"/>
              <w:jc w:val="right"/>
              <w:rPr>
                <w:sz w:val="13"/>
              </w:rPr>
            </w:pPr>
            <w:r>
              <w:rPr>
                <w:spacing w:val="-1"/>
                <w:w w:val="105"/>
                <w:sz w:val="13"/>
              </w:rPr>
              <w:t>1.121,50</w:t>
            </w:r>
          </w:p>
          <w:p>
            <w:pPr>
              <w:pStyle w:val="TableParagraph"/>
              <w:spacing w:before="6"/>
              <w:ind w:right="55"/>
              <w:jc w:val="right"/>
              <w:rPr>
                <w:sz w:val="13"/>
              </w:rPr>
            </w:pPr>
            <w:r>
              <w:rPr>
                <w:spacing w:val="-1"/>
                <w:w w:val="105"/>
                <w:sz w:val="13"/>
              </w:rPr>
              <w:t>155.449,75</w:t>
            </w:r>
          </w:p>
          <w:p>
            <w:pPr>
              <w:pStyle w:val="TableParagraph"/>
              <w:spacing w:before="5"/>
              <w:ind w:right="55"/>
              <w:jc w:val="right"/>
              <w:rPr>
                <w:sz w:val="13"/>
              </w:rPr>
            </w:pPr>
            <w:r>
              <w:rPr>
                <w:spacing w:val="-1"/>
                <w:w w:val="105"/>
                <w:sz w:val="13"/>
              </w:rPr>
              <w:t>5.192,24</w:t>
            </w:r>
          </w:p>
          <w:p>
            <w:pPr>
              <w:pStyle w:val="TableParagraph"/>
              <w:spacing w:before="6"/>
              <w:ind w:right="55"/>
              <w:jc w:val="right"/>
              <w:rPr>
                <w:sz w:val="13"/>
              </w:rPr>
            </w:pPr>
            <w:r>
              <w:rPr>
                <w:spacing w:val="-1"/>
                <w:w w:val="105"/>
                <w:sz w:val="13"/>
              </w:rPr>
              <w:t>6.266,74</w:t>
            </w:r>
          </w:p>
          <w:p>
            <w:pPr>
              <w:pStyle w:val="TableParagraph"/>
              <w:spacing w:before="5"/>
              <w:ind w:right="55"/>
              <w:jc w:val="right"/>
              <w:rPr>
                <w:sz w:val="13"/>
              </w:rPr>
            </w:pPr>
            <w:r>
              <w:rPr>
                <w:sz w:val="13"/>
              </w:rPr>
              <w:t>734,79</w:t>
            </w:r>
          </w:p>
          <w:p>
            <w:pPr>
              <w:pStyle w:val="TableParagraph"/>
              <w:spacing w:before="5"/>
              <w:ind w:right="55"/>
              <w:jc w:val="right"/>
              <w:rPr>
                <w:sz w:val="13"/>
              </w:rPr>
            </w:pPr>
            <w:r>
              <w:rPr>
                <w:spacing w:val="-1"/>
                <w:w w:val="105"/>
                <w:sz w:val="13"/>
              </w:rPr>
              <w:t>70.460,28</w:t>
            </w:r>
          </w:p>
          <w:p>
            <w:pPr>
              <w:pStyle w:val="TableParagraph"/>
              <w:spacing w:line="140" w:lineRule="exact" w:before="6"/>
              <w:ind w:right="55"/>
              <w:jc w:val="right"/>
              <w:rPr>
                <w:sz w:val="13"/>
              </w:rPr>
            </w:pPr>
            <w:r>
              <w:rPr>
                <w:spacing w:val="-1"/>
                <w:w w:val="105"/>
                <w:sz w:val="13"/>
              </w:rPr>
              <w:t>84.335,06</w:t>
            </w:r>
          </w:p>
        </w:tc>
        <w:tc>
          <w:tcPr>
            <w:tcW w:w="841" w:type="dxa"/>
            <w:tcBorders>
              <w:top w:val="nil"/>
              <w:left w:val="nil"/>
            </w:tcBorders>
          </w:tcPr>
          <w:p>
            <w:pPr>
              <w:pStyle w:val="TableParagraph"/>
              <w:spacing w:before="3"/>
              <w:ind w:right="42"/>
              <w:jc w:val="right"/>
              <w:rPr>
                <w:sz w:val="13"/>
              </w:rPr>
            </w:pPr>
            <w:r>
              <w:rPr>
                <w:spacing w:val="-1"/>
                <w:w w:val="105"/>
                <w:sz w:val="13"/>
              </w:rPr>
              <w:t>1.082,17</w:t>
            </w:r>
          </w:p>
          <w:p>
            <w:pPr>
              <w:pStyle w:val="TableParagraph"/>
              <w:spacing w:before="6"/>
              <w:ind w:right="42"/>
              <w:jc w:val="right"/>
              <w:rPr>
                <w:sz w:val="13"/>
              </w:rPr>
            </w:pPr>
            <w:r>
              <w:rPr>
                <w:spacing w:val="-1"/>
                <w:w w:val="105"/>
                <w:sz w:val="13"/>
              </w:rPr>
              <w:t>118.622,23</w:t>
            </w:r>
          </w:p>
          <w:p>
            <w:pPr>
              <w:pStyle w:val="TableParagraph"/>
              <w:spacing w:before="5"/>
              <w:ind w:right="42"/>
              <w:jc w:val="right"/>
              <w:rPr>
                <w:sz w:val="13"/>
              </w:rPr>
            </w:pPr>
            <w:r>
              <w:rPr>
                <w:spacing w:val="-1"/>
                <w:w w:val="105"/>
                <w:sz w:val="13"/>
              </w:rPr>
              <w:t>4.510,10</w:t>
            </w:r>
          </w:p>
          <w:p>
            <w:pPr>
              <w:pStyle w:val="TableParagraph"/>
              <w:spacing w:before="6"/>
              <w:ind w:right="42"/>
              <w:jc w:val="right"/>
              <w:rPr>
                <w:sz w:val="13"/>
              </w:rPr>
            </w:pPr>
            <w:r>
              <w:rPr>
                <w:spacing w:val="-1"/>
                <w:w w:val="105"/>
                <w:sz w:val="13"/>
              </w:rPr>
              <w:t>5.710,72</w:t>
            </w:r>
          </w:p>
          <w:p>
            <w:pPr>
              <w:pStyle w:val="TableParagraph"/>
              <w:spacing w:before="5"/>
              <w:ind w:right="42"/>
              <w:jc w:val="right"/>
              <w:rPr>
                <w:sz w:val="13"/>
              </w:rPr>
            </w:pPr>
            <w:r>
              <w:rPr>
                <w:sz w:val="13"/>
              </w:rPr>
              <w:t>713,69</w:t>
            </w:r>
          </w:p>
          <w:p>
            <w:pPr>
              <w:pStyle w:val="TableParagraph"/>
              <w:spacing w:before="5"/>
              <w:ind w:right="42"/>
              <w:jc w:val="right"/>
              <w:rPr>
                <w:sz w:val="13"/>
              </w:rPr>
            </w:pPr>
            <w:r>
              <w:rPr>
                <w:spacing w:val="-1"/>
                <w:w w:val="105"/>
                <w:sz w:val="13"/>
              </w:rPr>
              <w:t>58.065,39</w:t>
            </w:r>
          </w:p>
          <w:p>
            <w:pPr>
              <w:pStyle w:val="TableParagraph"/>
              <w:spacing w:line="140" w:lineRule="exact" w:before="6"/>
              <w:ind w:right="42"/>
              <w:jc w:val="right"/>
              <w:rPr>
                <w:sz w:val="13"/>
              </w:rPr>
            </w:pPr>
            <w:r>
              <w:rPr>
                <w:spacing w:val="-1"/>
                <w:w w:val="105"/>
                <w:sz w:val="13"/>
              </w:rPr>
              <w:t>76.401,73</w:t>
            </w:r>
          </w:p>
        </w:tc>
        <w:tc>
          <w:tcPr>
            <w:tcW w:w="89" w:type="dxa"/>
            <w:tcBorders>
              <w:top w:val="nil"/>
              <w:right w:val="nil"/>
            </w:tcBorders>
          </w:tcPr>
          <w:p>
            <w:pPr>
              <w:pStyle w:val="TableParagraph"/>
              <w:rPr>
                <w:rFonts w:ascii="Times New Roman"/>
                <w:sz w:val="16"/>
              </w:rPr>
            </w:pPr>
          </w:p>
        </w:tc>
        <w:tc>
          <w:tcPr>
            <w:tcW w:w="627" w:type="dxa"/>
            <w:tcBorders>
              <w:top w:val="nil"/>
              <w:left w:val="nil"/>
              <w:right w:val="nil"/>
            </w:tcBorders>
          </w:tcPr>
          <w:p>
            <w:pPr>
              <w:pStyle w:val="TableParagraph"/>
              <w:spacing w:before="3"/>
              <w:ind w:left="85"/>
              <w:rPr>
                <w:sz w:val="13"/>
              </w:rPr>
            </w:pPr>
            <w:r>
              <w:rPr>
                <w:w w:val="105"/>
                <w:sz w:val="13"/>
              </w:rPr>
              <w:t>81,76%</w:t>
            </w:r>
          </w:p>
          <w:p>
            <w:pPr>
              <w:pStyle w:val="TableParagraph"/>
              <w:spacing w:before="6"/>
              <w:ind w:left="85"/>
              <w:rPr>
                <w:sz w:val="13"/>
              </w:rPr>
            </w:pPr>
            <w:r>
              <w:rPr>
                <w:w w:val="105"/>
                <w:sz w:val="13"/>
              </w:rPr>
              <w:t>83,15%</w:t>
            </w:r>
          </w:p>
          <w:p>
            <w:pPr>
              <w:pStyle w:val="TableParagraph"/>
              <w:spacing w:before="5"/>
              <w:ind w:left="85"/>
              <w:rPr>
                <w:sz w:val="13"/>
              </w:rPr>
            </w:pPr>
            <w:r>
              <w:rPr>
                <w:w w:val="105"/>
                <w:sz w:val="13"/>
              </w:rPr>
              <w:t>72,55%</w:t>
            </w:r>
          </w:p>
          <w:p>
            <w:pPr>
              <w:pStyle w:val="TableParagraph"/>
              <w:spacing w:before="6"/>
              <w:ind w:left="85"/>
              <w:rPr>
                <w:sz w:val="13"/>
              </w:rPr>
            </w:pPr>
            <w:r>
              <w:rPr>
                <w:w w:val="105"/>
                <w:sz w:val="13"/>
              </w:rPr>
              <w:t>60,48%</w:t>
            </w:r>
          </w:p>
          <w:p>
            <w:pPr>
              <w:pStyle w:val="TableParagraph"/>
              <w:spacing w:before="5"/>
              <w:ind w:left="85"/>
              <w:rPr>
                <w:sz w:val="13"/>
              </w:rPr>
            </w:pPr>
            <w:r>
              <w:rPr>
                <w:w w:val="105"/>
                <w:sz w:val="13"/>
              </w:rPr>
              <w:t>82,75%</w:t>
            </w:r>
          </w:p>
          <w:p>
            <w:pPr>
              <w:pStyle w:val="TableParagraph"/>
              <w:spacing w:before="5"/>
              <w:ind w:left="85"/>
              <w:rPr>
                <w:sz w:val="13"/>
              </w:rPr>
            </w:pPr>
            <w:r>
              <w:rPr>
                <w:w w:val="105"/>
                <w:sz w:val="13"/>
              </w:rPr>
              <w:t>99,84%</w:t>
            </w:r>
          </w:p>
          <w:p>
            <w:pPr>
              <w:pStyle w:val="TableParagraph"/>
              <w:spacing w:line="140" w:lineRule="exact" w:before="6"/>
              <w:ind w:left="85"/>
              <w:rPr>
                <w:sz w:val="13"/>
              </w:rPr>
            </w:pPr>
            <w:r>
              <w:rPr>
                <w:w w:val="105"/>
                <w:sz w:val="13"/>
              </w:rPr>
              <w:t>89,78%</w:t>
            </w:r>
          </w:p>
        </w:tc>
        <w:tc>
          <w:tcPr>
            <w:tcW w:w="754" w:type="dxa"/>
            <w:tcBorders>
              <w:top w:val="nil"/>
              <w:left w:val="nil"/>
            </w:tcBorders>
          </w:tcPr>
          <w:p>
            <w:pPr>
              <w:pStyle w:val="TableParagraph"/>
              <w:spacing w:before="3"/>
              <w:ind w:left="192"/>
              <w:rPr>
                <w:sz w:val="13"/>
              </w:rPr>
            </w:pPr>
            <w:r>
              <w:rPr>
                <w:w w:val="105"/>
                <w:sz w:val="13"/>
              </w:rPr>
              <w:t>96,49%</w:t>
            </w:r>
          </w:p>
          <w:p>
            <w:pPr>
              <w:pStyle w:val="TableParagraph"/>
              <w:spacing w:before="6"/>
              <w:ind w:left="192"/>
              <w:rPr>
                <w:sz w:val="13"/>
              </w:rPr>
            </w:pPr>
            <w:r>
              <w:rPr>
                <w:w w:val="105"/>
                <w:sz w:val="13"/>
              </w:rPr>
              <w:t>76,31%</w:t>
            </w:r>
          </w:p>
          <w:p>
            <w:pPr>
              <w:pStyle w:val="TableParagraph"/>
              <w:spacing w:before="5"/>
              <w:ind w:left="192"/>
              <w:rPr>
                <w:sz w:val="13"/>
              </w:rPr>
            </w:pPr>
            <w:r>
              <w:rPr>
                <w:w w:val="105"/>
                <w:sz w:val="13"/>
              </w:rPr>
              <w:t>86,86%</w:t>
            </w:r>
          </w:p>
          <w:p>
            <w:pPr>
              <w:pStyle w:val="TableParagraph"/>
              <w:spacing w:before="6"/>
              <w:ind w:left="192"/>
              <w:rPr>
                <w:sz w:val="13"/>
              </w:rPr>
            </w:pPr>
            <w:r>
              <w:rPr>
                <w:w w:val="105"/>
                <w:sz w:val="13"/>
              </w:rPr>
              <w:t>91,13%</w:t>
            </w:r>
          </w:p>
          <w:p>
            <w:pPr>
              <w:pStyle w:val="TableParagraph"/>
              <w:spacing w:before="5"/>
              <w:ind w:left="192"/>
              <w:rPr>
                <w:sz w:val="13"/>
              </w:rPr>
            </w:pPr>
            <w:r>
              <w:rPr>
                <w:w w:val="105"/>
                <w:sz w:val="13"/>
              </w:rPr>
              <w:t>97,13%</w:t>
            </w:r>
          </w:p>
          <w:p>
            <w:pPr>
              <w:pStyle w:val="TableParagraph"/>
              <w:spacing w:before="5"/>
              <w:ind w:left="192"/>
              <w:rPr>
                <w:sz w:val="13"/>
              </w:rPr>
            </w:pPr>
            <w:r>
              <w:rPr>
                <w:w w:val="105"/>
                <w:sz w:val="13"/>
              </w:rPr>
              <w:t>82,41%</w:t>
            </w:r>
          </w:p>
          <w:p>
            <w:pPr>
              <w:pStyle w:val="TableParagraph"/>
              <w:spacing w:line="140" w:lineRule="exact" w:before="6"/>
              <w:ind w:left="192"/>
              <w:rPr>
                <w:sz w:val="13"/>
              </w:rPr>
            </w:pPr>
            <w:r>
              <w:rPr>
                <w:w w:val="105"/>
                <w:sz w:val="13"/>
              </w:rPr>
              <w:t>90,59%</w:t>
            </w:r>
          </w:p>
        </w:tc>
      </w:tr>
      <w:tr>
        <w:trPr>
          <w:trHeight w:val="326" w:hRule="atLeast"/>
        </w:trPr>
        <w:tc>
          <w:tcPr>
            <w:tcW w:w="917" w:type="dxa"/>
            <w:shd w:val="clear" w:color="auto" w:fill="D9D9D9"/>
          </w:tcPr>
          <w:p>
            <w:pPr>
              <w:pStyle w:val="TableParagraph"/>
              <w:spacing w:before="2"/>
              <w:ind w:left="111" w:right="105"/>
              <w:jc w:val="center"/>
              <w:rPr>
                <w:b/>
                <w:sz w:val="13"/>
              </w:rPr>
            </w:pPr>
            <w:r>
              <w:rPr>
                <w:b/>
                <w:w w:val="105"/>
                <w:sz w:val="13"/>
              </w:rPr>
              <w:t>TOTAL</w:t>
            </w:r>
          </w:p>
          <w:p>
            <w:pPr>
              <w:pStyle w:val="TableParagraph"/>
              <w:spacing w:line="139" w:lineRule="exact" w:before="6"/>
              <w:ind w:left="112" w:right="105"/>
              <w:jc w:val="center"/>
              <w:rPr>
                <w:b/>
                <w:sz w:val="13"/>
              </w:rPr>
            </w:pPr>
            <w:r>
              <w:rPr>
                <w:b/>
                <w:w w:val="105"/>
                <w:sz w:val="13"/>
              </w:rPr>
              <w:t>(</w:t>
            </w:r>
            <w:r>
              <w:rPr>
                <w:w w:val="105"/>
                <w:sz w:val="13"/>
              </w:rPr>
              <w:t>miles de €</w:t>
            </w:r>
            <w:r>
              <w:rPr>
                <w:b/>
                <w:w w:val="105"/>
                <w:sz w:val="13"/>
              </w:rPr>
              <w:t>)</w:t>
            </w:r>
          </w:p>
        </w:tc>
        <w:tc>
          <w:tcPr>
            <w:tcW w:w="866" w:type="dxa"/>
            <w:tcBorders>
              <w:right w:val="nil"/>
            </w:tcBorders>
            <w:shd w:val="clear" w:color="auto" w:fill="D9D9D9"/>
          </w:tcPr>
          <w:p>
            <w:pPr>
              <w:pStyle w:val="TableParagraph"/>
              <w:spacing w:before="85"/>
              <w:ind w:left="55" w:right="35"/>
              <w:jc w:val="center"/>
              <w:rPr>
                <w:b/>
                <w:sz w:val="13"/>
              </w:rPr>
            </w:pPr>
            <w:r>
              <w:rPr>
                <w:b/>
                <w:w w:val="105"/>
                <w:sz w:val="13"/>
              </w:rPr>
              <w:t>4.782.919,21</w:t>
            </w:r>
          </w:p>
        </w:tc>
        <w:tc>
          <w:tcPr>
            <w:tcW w:w="841" w:type="dxa"/>
            <w:tcBorders>
              <w:left w:val="nil"/>
            </w:tcBorders>
            <w:shd w:val="clear" w:color="auto" w:fill="D9D9D9"/>
          </w:tcPr>
          <w:p>
            <w:pPr>
              <w:pStyle w:val="TableParagraph"/>
              <w:spacing w:before="85"/>
              <w:ind w:left="42" w:right="23"/>
              <w:jc w:val="center"/>
              <w:rPr>
                <w:b/>
                <w:sz w:val="13"/>
              </w:rPr>
            </w:pPr>
            <w:r>
              <w:rPr>
                <w:b/>
                <w:w w:val="105"/>
                <w:sz w:val="13"/>
              </w:rPr>
              <w:t>4.734.741,82</w:t>
            </w:r>
          </w:p>
        </w:tc>
        <w:tc>
          <w:tcPr>
            <w:tcW w:w="660" w:type="dxa"/>
            <w:tcBorders>
              <w:right w:val="nil"/>
            </w:tcBorders>
            <w:shd w:val="clear" w:color="auto" w:fill="D9D9D9"/>
          </w:tcPr>
          <w:p>
            <w:pPr>
              <w:pStyle w:val="TableParagraph"/>
              <w:spacing w:before="85"/>
              <w:ind w:right="122"/>
              <w:jc w:val="right"/>
              <w:rPr>
                <w:b/>
                <w:sz w:val="13"/>
              </w:rPr>
            </w:pPr>
            <w:r>
              <w:rPr>
                <w:b/>
                <w:w w:val="105"/>
                <w:sz w:val="13"/>
              </w:rPr>
              <w:t>96,29%</w:t>
            </w:r>
          </w:p>
        </w:tc>
        <w:tc>
          <w:tcPr>
            <w:tcW w:w="737" w:type="dxa"/>
            <w:tcBorders>
              <w:left w:val="nil"/>
            </w:tcBorders>
            <w:shd w:val="clear" w:color="auto" w:fill="D9D9D9"/>
          </w:tcPr>
          <w:p>
            <w:pPr>
              <w:pStyle w:val="TableParagraph"/>
              <w:spacing w:before="85"/>
              <w:ind w:left="45" w:right="34"/>
              <w:jc w:val="center"/>
              <w:rPr>
                <w:b/>
                <w:sz w:val="13"/>
              </w:rPr>
            </w:pPr>
            <w:r>
              <w:rPr>
                <w:b/>
                <w:w w:val="105"/>
                <w:sz w:val="13"/>
              </w:rPr>
              <w:t>98,99%</w:t>
            </w:r>
          </w:p>
        </w:tc>
        <w:tc>
          <w:tcPr>
            <w:tcW w:w="855" w:type="dxa"/>
            <w:tcBorders>
              <w:right w:val="nil"/>
            </w:tcBorders>
            <w:shd w:val="clear" w:color="auto" w:fill="D9D9D9"/>
          </w:tcPr>
          <w:p>
            <w:pPr>
              <w:pStyle w:val="TableParagraph"/>
              <w:spacing w:before="85"/>
              <w:ind w:left="46" w:right="32"/>
              <w:jc w:val="center"/>
              <w:rPr>
                <w:b/>
                <w:sz w:val="13"/>
              </w:rPr>
            </w:pPr>
            <w:r>
              <w:rPr>
                <w:b/>
                <w:w w:val="105"/>
                <w:sz w:val="13"/>
              </w:rPr>
              <w:t>4.833.693,54</w:t>
            </w:r>
          </w:p>
        </w:tc>
        <w:tc>
          <w:tcPr>
            <w:tcW w:w="841" w:type="dxa"/>
            <w:tcBorders>
              <w:left w:val="nil"/>
            </w:tcBorders>
            <w:shd w:val="clear" w:color="auto" w:fill="D9D9D9"/>
          </w:tcPr>
          <w:p>
            <w:pPr>
              <w:pStyle w:val="TableParagraph"/>
              <w:spacing w:before="85"/>
              <w:ind w:left="70"/>
              <w:rPr>
                <w:b/>
                <w:sz w:val="13"/>
              </w:rPr>
            </w:pPr>
            <w:r>
              <w:rPr>
                <w:b/>
                <w:w w:val="105"/>
                <w:sz w:val="13"/>
              </w:rPr>
              <w:t>4.493.035,40</w:t>
            </w:r>
          </w:p>
        </w:tc>
        <w:tc>
          <w:tcPr>
            <w:tcW w:w="89" w:type="dxa"/>
            <w:tcBorders>
              <w:right w:val="nil"/>
            </w:tcBorders>
            <w:shd w:val="clear" w:color="auto" w:fill="D9D9D9"/>
          </w:tcPr>
          <w:p>
            <w:pPr>
              <w:pStyle w:val="TableParagraph"/>
              <w:rPr>
                <w:rFonts w:ascii="Times New Roman"/>
                <w:sz w:val="16"/>
              </w:rPr>
            </w:pPr>
          </w:p>
        </w:tc>
        <w:tc>
          <w:tcPr>
            <w:tcW w:w="627" w:type="dxa"/>
            <w:tcBorders>
              <w:left w:val="nil"/>
              <w:right w:val="nil"/>
            </w:tcBorders>
            <w:shd w:val="clear" w:color="auto" w:fill="D9D9D9"/>
          </w:tcPr>
          <w:p>
            <w:pPr>
              <w:pStyle w:val="TableParagraph"/>
              <w:spacing w:before="85"/>
              <w:ind w:right="51"/>
              <w:jc w:val="center"/>
              <w:rPr>
                <w:b/>
                <w:sz w:val="13"/>
              </w:rPr>
            </w:pPr>
            <w:r>
              <w:rPr>
                <w:b/>
                <w:w w:val="105"/>
                <w:sz w:val="13"/>
              </w:rPr>
              <w:t>96,17%</w:t>
            </w:r>
          </w:p>
        </w:tc>
        <w:tc>
          <w:tcPr>
            <w:tcW w:w="754" w:type="dxa"/>
            <w:tcBorders>
              <w:left w:val="nil"/>
            </w:tcBorders>
            <w:shd w:val="clear" w:color="auto" w:fill="D9D9D9"/>
          </w:tcPr>
          <w:p>
            <w:pPr>
              <w:pStyle w:val="TableParagraph"/>
              <w:spacing w:before="85"/>
              <w:ind w:left="66" w:right="29"/>
              <w:jc w:val="center"/>
              <w:rPr>
                <w:b/>
                <w:sz w:val="13"/>
              </w:rPr>
            </w:pPr>
            <w:r>
              <w:rPr>
                <w:b/>
                <w:w w:val="105"/>
                <w:sz w:val="13"/>
              </w:rPr>
              <w:t>92,95%</w:t>
            </w:r>
          </w:p>
        </w:tc>
      </w:tr>
    </w:tbl>
    <w:p>
      <w:pPr>
        <w:pStyle w:val="BodyText"/>
        <w:spacing w:before="10"/>
        <w:rPr>
          <w:b/>
          <w:sz w:val="16"/>
        </w:rPr>
      </w:pPr>
    </w:p>
    <w:p>
      <w:pPr>
        <w:pStyle w:val="ListParagraph"/>
        <w:numPr>
          <w:ilvl w:val="0"/>
          <w:numId w:val="33"/>
        </w:numPr>
        <w:tabs>
          <w:tab w:pos="2335" w:val="left" w:leader="none"/>
        </w:tabs>
        <w:spacing w:line="247" w:lineRule="auto" w:before="0" w:after="0"/>
        <w:ind w:left="2334" w:right="1136" w:hanging="238"/>
        <w:jc w:val="both"/>
        <w:rPr>
          <w:sz w:val="18"/>
        </w:rPr>
      </w:pPr>
      <w:r>
        <w:rPr>
          <w:w w:val="105"/>
          <w:sz w:val="18"/>
        </w:rPr>
        <w:t>Se</w:t>
      </w:r>
      <w:r>
        <w:rPr>
          <w:spacing w:val="-4"/>
          <w:w w:val="105"/>
          <w:sz w:val="18"/>
        </w:rPr>
        <w:t> </w:t>
      </w:r>
      <w:r>
        <w:rPr>
          <w:w w:val="105"/>
          <w:sz w:val="18"/>
        </w:rPr>
        <w:t>ejecutaron</w:t>
      </w:r>
      <w:r>
        <w:rPr>
          <w:spacing w:val="-4"/>
          <w:w w:val="105"/>
          <w:sz w:val="18"/>
        </w:rPr>
        <w:t> </w:t>
      </w:r>
      <w:r>
        <w:rPr>
          <w:w w:val="105"/>
          <w:sz w:val="18"/>
        </w:rPr>
        <w:t>prácticamente</w:t>
      </w:r>
      <w:r>
        <w:rPr>
          <w:spacing w:val="-2"/>
          <w:w w:val="105"/>
          <w:sz w:val="18"/>
        </w:rPr>
        <w:t> </w:t>
      </w:r>
      <w:r>
        <w:rPr>
          <w:w w:val="105"/>
          <w:sz w:val="18"/>
        </w:rPr>
        <w:t>las</w:t>
      </w:r>
      <w:r>
        <w:rPr>
          <w:spacing w:val="-3"/>
          <w:w w:val="105"/>
          <w:sz w:val="18"/>
        </w:rPr>
        <w:t> </w:t>
      </w:r>
      <w:r>
        <w:rPr>
          <w:w w:val="105"/>
          <w:sz w:val="18"/>
        </w:rPr>
        <w:t>previsiones</w:t>
      </w:r>
      <w:r>
        <w:rPr>
          <w:spacing w:val="-3"/>
          <w:w w:val="105"/>
          <w:sz w:val="18"/>
        </w:rPr>
        <w:t> </w:t>
      </w:r>
      <w:r>
        <w:rPr>
          <w:w w:val="105"/>
          <w:sz w:val="18"/>
        </w:rPr>
        <w:t>de</w:t>
      </w:r>
      <w:r>
        <w:rPr>
          <w:spacing w:val="-2"/>
          <w:w w:val="105"/>
          <w:sz w:val="18"/>
        </w:rPr>
        <w:t> </w:t>
      </w:r>
      <w:r>
        <w:rPr>
          <w:w w:val="105"/>
          <w:sz w:val="18"/>
        </w:rPr>
        <w:t>ingresos,</w:t>
      </w:r>
      <w:r>
        <w:rPr>
          <w:spacing w:val="-3"/>
          <w:w w:val="105"/>
          <w:sz w:val="18"/>
        </w:rPr>
        <w:t> </w:t>
      </w:r>
      <w:r>
        <w:rPr>
          <w:w w:val="105"/>
          <w:sz w:val="18"/>
        </w:rPr>
        <w:t>salvo</w:t>
      </w:r>
      <w:r>
        <w:rPr>
          <w:spacing w:val="-3"/>
          <w:w w:val="105"/>
          <w:sz w:val="18"/>
        </w:rPr>
        <w:t> </w:t>
      </w:r>
      <w:r>
        <w:rPr>
          <w:w w:val="105"/>
          <w:sz w:val="18"/>
        </w:rPr>
        <w:t>para</w:t>
      </w:r>
      <w:r>
        <w:rPr>
          <w:spacing w:val="-1"/>
          <w:w w:val="105"/>
          <w:sz w:val="18"/>
        </w:rPr>
        <w:t> </w:t>
      </w:r>
      <w:r>
        <w:rPr>
          <w:w w:val="105"/>
          <w:sz w:val="18"/>
        </w:rPr>
        <w:t>la</w:t>
      </w:r>
      <w:r>
        <w:rPr>
          <w:spacing w:val="-3"/>
          <w:w w:val="105"/>
          <w:sz w:val="18"/>
        </w:rPr>
        <w:t> </w:t>
      </w:r>
      <w:r>
        <w:rPr>
          <w:w w:val="105"/>
          <w:sz w:val="18"/>
        </w:rPr>
        <w:t>ATC</w:t>
      </w:r>
      <w:r>
        <w:rPr>
          <w:spacing w:val="-3"/>
          <w:w w:val="105"/>
          <w:sz w:val="18"/>
        </w:rPr>
        <w:t> </w:t>
      </w:r>
      <w:r>
        <w:rPr>
          <w:w w:val="105"/>
          <w:sz w:val="18"/>
        </w:rPr>
        <w:t>y</w:t>
      </w:r>
      <w:r>
        <w:rPr>
          <w:spacing w:val="-4"/>
          <w:w w:val="105"/>
          <w:sz w:val="18"/>
        </w:rPr>
        <w:t> </w:t>
      </w:r>
      <w:r>
        <w:rPr>
          <w:w w:val="105"/>
          <w:sz w:val="18"/>
        </w:rPr>
        <w:t>el</w:t>
      </w:r>
      <w:r>
        <w:rPr>
          <w:spacing w:val="-4"/>
          <w:w w:val="105"/>
          <w:sz w:val="18"/>
        </w:rPr>
        <w:t> </w:t>
      </w:r>
      <w:r>
        <w:rPr>
          <w:w w:val="105"/>
          <w:sz w:val="18"/>
        </w:rPr>
        <w:t>SCE,</w:t>
      </w:r>
      <w:r>
        <w:rPr>
          <w:spacing w:val="-3"/>
          <w:w w:val="105"/>
          <w:sz w:val="18"/>
        </w:rPr>
        <w:t> </w:t>
      </w:r>
      <w:r>
        <w:rPr>
          <w:w w:val="105"/>
          <w:sz w:val="18"/>
        </w:rPr>
        <w:t>con</w:t>
      </w:r>
      <w:r>
        <w:rPr>
          <w:spacing w:val="-4"/>
          <w:w w:val="105"/>
          <w:sz w:val="18"/>
        </w:rPr>
        <w:t> </w:t>
      </w:r>
      <w:r>
        <w:rPr>
          <w:w w:val="105"/>
          <w:sz w:val="18"/>
        </w:rPr>
        <w:t>un porcentaje</w:t>
      </w:r>
      <w:r>
        <w:rPr>
          <w:spacing w:val="-17"/>
          <w:w w:val="105"/>
          <w:sz w:val="18"/>
        </w:rPr>
        <w:t> </w:t>
      </w:r>
      <w:r>
        <w:rPr>
          <w:w w:val="105"/>
          <w:sz w:val="18"/>
        </w:rPr>
        <w:t>del</w:t>
      </w:r>
      <w:r>
        <w:rPr>
          <w:spacing w:val="-19"/>
          <w:w w:val="105"/>
          <w:sz w:val="18"/>
        </w:rPr>
        <w:t> </w:t>
      </w:r>
      <w:r>
        <w:rPr>
          <w:w w:val="105"/>
          <w:sz w:val="18"/>
        </w:rPr>
        <w:t>58,3</w:t>
      </w:r>
      <w:r>
        <w:rPr>
          <w:spacing w:val="-18"/>
          <w:w w:val="105"/>
          <w:sz w:val="18"/>
        </w:rPr>
        <w:t> </w:t>
      </w:r>
      <w:r>
        <w:rPr>
          <w:w w:val="105"/>
          <w:sz w:val="18"/>
        </w:rPr>
        <w:t>%</w:t>
      </w:r>
      <w:r>
        <w:rPr>
          <w:spacing w:val="-16"/>
          <w:w w:val="105"/>
          <w:sz w:val="18"/>
        </w:rPr>
        <w:t> </w:t>
      </w:r>
      <w:r>
        <w:rPr>
          <w:w w:val="105"/>
          <w:sz w:val="18"/>
        </w:rPr>
        <w:t>y</w:t>
      </w:r>
      <w:r>
        <w:rPr>
          <w:spacing w:val="-18"/>
          <w:w w:val="105"/>
          <w:sz w:val="18"/>
        </w:rPr>
        <w:t> </w:t>
      </w:r>
      <w:r>
        <w:rPr>
          <w:w w:val="105"/>
          <w:sz w:val="18"/>
        </w:rPr>
        <w:t>del</w:t>
      </w:r>
      <w:r>
        <w:rPr>
          <w:spacing w:val="-19"/>
          <w:w w:val="105"/>
          <w:sz w:val="18"/>
        </w:rPr>
        <w:t> </w:t>
      </w:r>
      <w:r>
        <w:rPr>
          <w:w w:val="105"/>
          <w:sz w:val="18"/>
        </w:rPr>
        <w:t>76,4</w:t>
      </w:r>
      <w:r>
        <w:rPr>
          <w:spacing w:val="-17"/>
          <w:w w:val="105"/>
          <w:sz w:val="18"/>
        </w:rPr>
        <w:t> </w:t>
      </w:r>
      <w:r>
        <w:rPr>
          <w:w w:val="105"/>
          <w:sz w:val="18"/>
        </w:rPr>
        <w:t>%,</w:t>
      </w:r>
      <w:r>
        <w:rPr>
          <w:spacing w:val="-17"/>
          <w:w w:val="105"/>
          <w:sz w:val="18"/>
        </w:rPr>
        <w:t> </w:t>
      </w:r>
      <w:r>
        <w:rPr>
          <w:w w:val="105"/>
          <w:sz w:val="18"/>
        </w:rPr>
        <w:t>respectivamente,</w:t>
      </w:r>
      <w:r>
        <w:rPr>
          <w:spacing w:val="-18"/>
          <w:w w:val="105"/>
          <w:sz w:val="18"/>
        </w:rPr>
        <w:t> </w:t>
      </w:r>
      <w:r>
        <w:rPr>
          <w:w w:val="105"/>
          <w:sz w:val="18"/>
        </w:rPr>
        <w:t>a</w:t>
      </w:r>
      <w:r>
        <w:rPr>
          <w:spacing w:val="-19"/>
          <w:w w:val="105"/>
          <w:sz w:val="18"/>
        </w:rPr>
        <w:t> </w:t>
      </w:r>
      <w:r>
        <w:rPr>
          <w:w w:val="105"/>
          <w:sz w:val="18"/>
        </w:rPr>
        <w:t>causa</w:t>
      </w:r>
      <w:r>
        <w:rPr>
          <w:spacing w:val="-17"/>
          <w:w w:val="105"/>
          <w:sz w:val="18"/>
        </w:rPr>
        <w:t> </w:t>
      </w:r>
      <w:r>
        <w:rPr>
          <w:w w:val="105"/>
          <w:sz w:val="18"/>
        </w:rPr>
        <w:t>de</w:t>
      </w:r>
      <w:r>
        <w:rPr>
          <w:spacing w:val="-17"/>
          <w:w w:val="105"/>
          <w:sz w:val="18"/>
        </w:rPr>
        <w:t> </w:t>
      </w:r>
      <w:r>
        <w:rPr>
          <w:w w:val="105"/>
          <w:sz w:val="18"/>
        </w:rPr>
        <w:t>los</w:t>
      </w:r>
      <w:r>
        <w:rPr>
          <w:spacing w:val="-17"/>
          <w:w w:val="105"/>
          <w:sz w:val="18"/>
        </w:rPr>
        <w:t> </w:t>
      </w:r>
      <w:r>
        <w:rPr>
          <w:w w:val="105"/>
          <w:sz w:val="18"/>
        </w:rPr>
        <w:t>derechos</w:t>
      </w:r>
      <w:r>
        <w:rPr>
          <w:spacing w:val="-19"/>
          <w:w w:val="105"/>
          <w:sz w:val="18"/>
        </w:rPr>
        <w:t> </w:t>
      </w:r>
      <w:r>
        <w:rPr>
          <w:w w:val="105"/>
          <w:sz w:val="18"/>
        </w:rPr>
        <w:t>financiados</w:t>
      </w:r>
      <w:r>
        <w:rPr>
          <w:spacing w:val="-17"/>
          <w:w w:val="105"/>
          <w:sz w:val="18"/>
        </w:rPr>
        <w:t> </w:t>
      </w:r>
      <w:r>
        <w:rPr>
          <w:w w:val="105"/>
          <w:sz w:val="18"/>
        </w:rPr>
        <w:t>con remanentes</w:t>
      </w:r>
      <w:r>
        <w:rPr>
          <w:spacing w:val="-24"/>
          <w:w w:val="105"/>
          <w:sz w:val="18"/>
        </w:rPr>
        <w:t> </w:t>
      </w:r>
      <w:r>
        <w:rPr>
          <w:w w:val="105"/>
          <w:sz w:val="18"/>
        </w:rPr>
        <w:t>de</w:t>
      </w:r>
      <w:r>
        <w:rPr>
          <w:spacing w:val="-24"/>
          <w:w w:val="105"/>
          <w:sz w:val="18"/>
        </w:rPr>
        <w:t> </w:t>
      </w:r>
      <w:r>
        <w:rPr>
          <w:w w:val="105"/>
          <w:sz w:val="18"/>
        </w:rPr>
        <w:t>tesorería</w:t>
      </w:r>
      <w:r>
        <w:rPr>
          <w:spacing w:val="-24"/>
          <w:w w:val="105"/>
          <w:sz w:val="18"/>
        </w:rPr>
        <w:t> </w:t>
      </w:r>
      <w:r>
        <w:rPr>
          <w:w w:val="105"/>
          <w:sz w:val="18"/>
        </w:rPr>
        <w:t>de</w:t>
      </w:r>
      <w:r>
        <w:rPr>
          <w:spacing w:val="-26"/>
          <w:w w:val="105"/>
          <w:sz w:val="18"/>
        </w:rPr>
        <w:t> </w:t>
      </w:r>
      <w:r>
        <w:rPr>
          <w:w w:val="105"/>
          <w:sz w:val="18"/>
        </w:rPr>
        <w:t>ejercicios</w:t>
      </w:r>
      <w:r>
        <w:rPr>
          <w:spacing w:val="-25"/>
          <w:w w:val="105"/>
          <w:sz w:val="18"/>
        </w:rPr>
        <w:t> </w:t>
      </w:r>
      <w:r>
        <w:rPr>
          <w:w w:val="105"/>
          <w:sz w:val="18"/>
        </w:rPr>
        <w:t>anteriores</w:t>
      </w:r>
      <w:r>
        <w:rPr>
          <w:spacing w:val="-24"/>
          <w:w w:val="105"/>
          <w:sz w:val="18"/>
        </w:rPr>
        <w:t> </w:t>
      </w:r>
      <w:r>
        <w:rPr>
          <w:w w:val="105"/>
          <w:sz w:val="18"/>
        </w:rPr>
        <w:t>y</w:t>
      </w:r>
      <w:r>
        <w:rPr>
          <w:spacing w:val="-25"/>
          <w:w w:val="105"/>
          <w:sz w:val="18"/>
        </w:rPr>
        <w:t> </w:t>
      </w:r>
      <w:r>
        <w:rPr>
          <w:w w:val="105"/>
          <w:sz w:val="18"/>
        </w:rPr>
        <w:t>que,</w:t>
      </w:r>
      <w:r>
        <w:rPr>
          <w:spacing w:val="-25"/>
          <w:w w:val="105"/>
          <w:sz w:val="18"/>
        </w:rPr>
        <w:t> </w:t>
      </w:r>
      <w:r>
        <w:rPr>
          <w:w w:val="105"/>
          <w:sz w:val="18"/>
        </w:rPr>
        <w:t>por</w:t>
      </w:r>
      <w:r>
        <w:rPr>
          <w:spacing w:val="-24"/>
          <w:w w:val="105"/>
          <w:sz w:val="18"/>
        </w:rPr>
        <w:t> </w:t>
      </w:r>
      <w:r>
        <w:rPr>
          <w:w w:val="105"/>
          <w:sz w:val="18"/>
        </w:rPr>
        <w:t>tanto,</w:t>
      </w:r>
      <w:r>
        <w:rPr>
          <w:spacing w:val="-26"/>
          <w:w w:val="105"/>
          <w:sz w:val="18"/>
        </w:rPr>
        <w:t> </w:t>
      </w:r>
      <w:r>
        <w:rPr>
          <w:w w:val="105"/>
          <w:sz w:val="18"/>
        </w:rPr>
        <w:t>carecen</w:t>
      </w:r>
      <w:r>
        <w:rPr>
          <w:spacing w:val="-24"/>
          <w:w w:val="105"/>
          <w:sz w:val="18"/>
        </w:rPr>
        <w:t> </w:t>
      </w:r>
      <w:r>
        <w:rPr>
          <w:w w:val="105"/>
          <w:sz w:val="18"/>
        </w:rPr>
        <w:t>de</w:t>
      </w:r>
      <w:r>
        <w:rPr>
          <w:spacing w:val="-25"/>
          <w:w w:val="105"/>
          <w:sz w:val="18"/>
        </w:rPr>
        <w:t> </w:t>
      </w:r>
      <w:r>
        <w:rPr>
          <w:w w:val="105"/>
          <w:sz w:val="18"/>
        </w:rPr>
        <w:t>reconocimiento</w:t>
      </w:r>
    </w:p>
    <w:p>
      <w:pPr>
        <w:pStyle w:val="BodyText"/>
        <w:spacing w:before="104"/>
        <w:ind w:right="1136"/>
        <w:jc w:val="right"/>
      </w:pPr>
      <w:r>
        <w:rPr/>
        <w:t>69</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16"/>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49" name="image5.png"/>
                  <wp:cNvGraphicFramePr>
                    <a:graphicFrameLocks noChangeAspect="1"/>
                  </wp:cNvGraphicFramePr>
                  <a:graphic>
                    <a:graphicData uri="http://schemas.openxmlformats.org/drawingml/2006/picture">
                      <pic:pic>
                        <pic:nvPicPr>
                          <pic:cNvPr id="15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71/247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1"/>
        <w:rPr>
          <w:b/>
          <w:sz w:val="8"/>
        </w:rPr>
      </w:pPr>
    </w:p>
    <w:p>
      <w:pPr>
        <w:spacing w:line="247" w:lineRule="auto" w:before="67"/>
        <w:ind w:left="2334" w:right="1137" w:firstLine="0"/>
        <w:jc w:val="both"/>
        <w:rPr>
          <w:sz w:val="18"/>
        </w:rPr>
      </w:pPr>
      <w:r>
        <w:rPr>
          <w:w w:val="105"/>
          <w:sz w:val="18"/>
        </w:rPr>
        <w:t>en el presente ejercicio. En cuanto a los cobros, destaca en general el alto grado de realización,</w:t>
      </w:r>
      <w:r>
        <w:rPr>
          <w:spacing w:val="-14"/>
          <w:w w:val="105"/>
          <w:sz w:val="18"/>
        </w:rPr>
        <w:t> </w:t>
      </w:r>
      <w:r>
        <w:rPr>
          <w:w w:val="105"/>
          <w:sz w:val="18"/>
        </w:rPr>
        <w:t>excepto</w:t>
      </w:r>
      <w:r>
        <w:rPr>
          <w:spacing w:val="-12"/>
          <w:w w:val="105"/>
          <w:sz w:val="18"/>
        </w:rPr>
        <w:t> </w:t>
      </w:r>
      <w:r>
        <w:rPr>
          <w:w w:val="105"/>
          <w:sz w:val="18"/>
        </w:rPr>
        <w:t>para</w:t>
      </w:r>
      <w:r>
        <w:rPr>
          <w:spacing w:val="-13"/>
          <w:w w:val="105"/>
          <w:sz w:val="18"/>
        </w:rPr>
        <w:t> </w:t>
      </w:r>
      <w:r>
        <w:rPr>
          <w:w w:val="105"/>
          <w:sz w:val="18"/>
        </w:rPr>
        <w:t>la</w:t>
      </w:r>
      <w:r>
        <w:rPr>
          <w:spacing w:val="-14"/>
          <w:w w:val="105"/>
          <w:sz w:val="18"/>
        </w:rPr>
        <w:t> </w:t>
      </w:r>
      <w:r>
        <w:rPr>
          <w:w w:val="105"/>
          <w:sz w:val="18"/>
        </w:rPr>
        <w:t>APMN</w:t>
      </w:r>
      <w:r>
        <w:rPr>
          <w:spacing w:val="-13"/>
          <w:w w:val="105"/>
          <w:sz w:val="18"/>
        </w:rPr>
        <w:t> </w:t>
      </w:r>
      <w:r>
        <w:rPr>
          <w:w w:val="105"/>
          <w:sz w:val="18"/>
        </w:rPr>
        <w:t>(con</w:t>
      </w:r>
      <w:r>
        <w:rPr>
          <w:spacing w:val="-14"/>
          <w:w w:val="105"/>
          <w:sz w:val="18"/>
        </w:rPr>
        <w:t> </w:t>
      </w:r>
      <w:r>
        <w:rPr>
          <w:w w:val="105"/>
          <w:sz w:val="18"/>
        </w:rPr>
        <w:t>un</w:t>
      </w:r>
      <w:r>
        <w:rPr>
          <w:spacing w:val="-14"/>
          <w:w w:val="105"/>
          <w:sz w:val="18"/>
        </w:rPr>
        <w:t> </w:t>
      </w:r>
      <w:r>
        <w:rPr>
          <w:w w:val="105"/>
          <w:sz w:val="18"/>
        </w:rPr>
        <w:t>74,2</w:t>
      </w:r>
      <w:r>
        <w:rPr>
          <w:spacing w:val="-12"/>
          <w:w w:val="105"/>
          <w:sz w:val="18"/>
        </w:rPr>
        <w:t> </w:t>
      </w:r>
      <w:r>
        <w:rPr>
          <w:w w:val="105"/>
          <w:sz w:val="18"/>
        </w:rPr>
        <w:t>%),</w:t>
      </w:r>
      <w:r>
        <w:rPr>
          <w:spacing w:val="-13"/>
          <w:w w:val="105"/>
          <w:sz w:val="18"/>
        </w:rPr>
        <w:t> </w:t>
      </w:r>
      <w:r>
        <w:rPr>
          <w:w w:val="105"/>
          <w:sz w:val="18"/>
        </w:rPr>
        <w:t>siendo</w:t>
      </w:r>
      <w:r>
        <w:rPr>
          <w:spacing w:val="-12"/>
          <w:w w:val="105"/>
          <w:sz w:val="18"/>
        </w:rPr>
        <w:t> </w:t>
      </w:r>
      <w:r>
        <w:rPr>
          <w:w w:val="105"/>
          <w:sz w:val="18"/>
        </w:rPr>
        <w:t>esta</w:t>
      </w:r>
      <w:r>
        <w:rPr>
          <w:spacing w:val="-13"/>
          <w:w w:val="105"/>
          <w:sz w:val="18"/>
        </w:rPr>
        <w:t> </w:t>
      </w:r>
      <w:r>
        <w:rPr>
          <w:w w:val="105"/>
          <w:sz w:val="18"/>
        </w:rPr>
        <w:t>una</w:t>
      </w:r>
      <w:r>
        <w:rPr>
          <w:spacing w:val="-13"/>
          <w:w w:val="105"/>
          <w:sz w:val="18"/>
        </w:rPr>
        <w:t> </w:t>
      </w:r>
      <w:r>
        <w:rPr>
          <w:w w:val="105"/>
          <w:sz w:val="18"/>
        </w:rPr>
        <w:t>práctica</w:t>
      </w:r>
      <w:r>
        <w:rPr>
          <w:spacing w:val="-13"/>
          <w:w w:val="105"/>
          <w:sz w:val="18"/>
        </w:rPr>
        <w:t> </w:t>
      </w:r>
      <w:r>
        <w:rPr>
          <w:w w:val="105"/>
          <w:sz w:val="18"/>
        </w:rPr>
        <w:t>habitual</w:t>
      </w:r>
      <w:r>
        <w:rPr>
          <w:spacing w:val="-13"/>
          <w:w w:val="105"/>
          <w:sz w:val="18"/>
        </w:rPr>
        <w:t> </w:t>
      </w:r>
      <w:r>
        <w:rPr>
          <w:w w:val="105"/>
          <w:sz w:val="18"/>
        </w:rPr>
        <w:t>de</w:t>
      </w:r>
      <w:r>
        <w:rPr>
          <w:spacing w:val="-13"/>
          <w:w w:val="105"/>
          <w:sz w:val="18"/>
        </w:rPr>
        <w:t> </w:t>
      </w:r>
      <w:r>
        <w:rPr>
          <w:w w:val="105"/>
          <w:sz w:val="18"/>
        </w:rPr>
        <w:t>esta entidad.</w:t>
      </w:r>
    </w:p>
    <w:p>
      <w:pPr>
        <w:pStyle w:val="BodyText"/>
        <w:spacing w:before="5"/>
        <w:rPr>
          <w:sz w:val="16"/>
        </w:rPr>
      </w:pPr>
    </w:p>
    <w:p>
      <w:pPr>
        <w:pStyle w:val="ListParagraph"/>
        <w:numPr>
          <w:ilvl w:val="0"/>
          <w:numId w:val="33"/>
        </w:numPr>
        <w:tabs>
          <w:tab w:pos="2335" w:val="left" w:leader="none"/>
        </w:tabs>
        <w:spacing w:line="240" w:lineRule="auto" w:before="0" w:after="0"/>
        <w:ind w:left="2334" w:right="0" w:hanging="239"/>
        <w:jc w:val="both"/>
        <w:rPr>
          <w:sz w:val="18"/>
        </w:rPr>
      </w:pPr>
      <w:r>
        <w:rPr>
          <w:w w:val="105"/>
          <w:sz w:val="18"/>
        </w:rPr>
        <w:t>Por</w:t>
      </w:r>
      <w:r>
        <w:rPr>
          <w:spacing w:val="-6"/>
          <w:w w:val="105"/>
          <w:sz w:val="18"/>
        </w:rPr>
        <w:t> </w:t>
      </w:r>
      <w:r>
        <w:rPr>
          <w:w w:val="105"/>
          <w:sz w:val="18"/>
        </w:rPr>
        <w:t>el</w:t>
      </w:r>
      <w:r>
        <w:rPr>
          <w:spacing w:val="-5"/>
          <w:w w:val="105"/>
          <w:sz w:val="18"/>
        </w:rPr>
        <w:t> </w:t>
      </w:r>
      <w:r>
        <w:rPr>
          <w:w w:val="105"/>
          <w:sz w:val="18"/>
        </w:rPr>
        <w:t>lado</w:t>
      </w:r>
      <w:r>
        <w:rPr>
          <w:spacing w:val="-5"/>
          <w:w w:val="105"/>
          <w:sz w:val="18"/>
        </w:rPr>
        <w:t> </w:t>
      </w:r>
      <w:r>
        <w:rPr>
          <w:w w:val="105"/>
          <w:sz w:val="18"/>
        </w:rPr>
        <w:t>de</w:t>
      </w:r>
      <w:r>
        <w:rPr>
          <w:spacing w:val="-5"/>
          <w:w w:val="105"/>
          <w:sz w:val="18"/>
        </w:rPr>
        <w:t> </w:t>
      </w:r>
      <w:r>
        <w:rPr>
          <w:w w:val="105"/>
          <w:sz w:val="18"/>
        </w:rPr>
        <w:t>los</w:t>
      </w:r>
      <w:r>
        <w:rPr>
          <w:spacing w:val="-5"/>
          <w:w w:val="105"/>
          <w:sz w:val="18"/>
        </w:rPr>
        <w:t> </w:t>
      </w:r>
      <w:r>
        <w:rPr>
          <w:w w:val="105"/>
          <w:sz w:val="18"/>
        </w:rPr>
        <w:t>gastos,</w:t>
      </w:r>
      <w:r>
        <w:rPr>
          <w:spacing w:val="-6"/>
          <w:w w:val="105"/>
          <w:sz w:val="18"/>
        </w:rPr>
        <w:t> </w:t>
      </w:r>
      <w:r>
        <w:rPr>
          <w:w w:val="105"/>
          <w:sz w:val="18"/>
        </w:rPr>
        <w:t>de</w:t>
      </w:r>
      <w:r>
        <w:rPr>
          <w:spacing w:val="-2"/>
          <w:w w:val="105"/>
          <w:sz w:val="18"/>
        </w:rPr>
        <w:t> </w:t>
      </w:r>
      <w:r>
        <w:rPr>
          <w:w w:val="105"/>
          <w:sz w:val="18"/>
        </w:rPr>
        <w:t>las</w:t>
      </w:r>
      <w:r>
        <w:rPr>
          <w:spacing w:val="-6"/>
          <w:w w:val="105"/>
          <w:sz w:val="18"/>
        </w:rPr>
        <w:t> </w:t>
      </w:r>
      <w:r>
        <w:rPr>
          <w:w w:val="105"/>
          <w:sz w:val="18"/>
        </w:rPr>
        <w:t>13</w:t>
      </w:r>
      <w:r>
        <w:rPr>
          <w:spacing w:val="-4"/>
          <w:w w:val="105"/>
          <w:sz w:val="18"/>
        </w:rPr>
        <w:t> </w:t>
      </w:r>
      <w:r>
        <w:rPr>
          <w:w w:val="105"/>
          <w:sz w:val="18"/>
        </w:rPr>
        <w:t>entidades</w:t>
      </w:r>
      <w:r>
        <w:rPr>
          <w:spacing w:val="-6"/>
          <w:w w:val="105"/>
          <w:sz w:val="18"/>
        </w:rPr>
        <w:t> </w:t>
      </w:r>
      <w:r>
        <w:rPr>
          <w:w w:val="105"/>
          <w:sz w:val="18"/>
        </w:rPr>
        <w:t>sólo</w:t>
      </w:r>
      <w:r>
        <w:rPr>
          <w:spacing w:val="-4"/>
          <w:w w:val="105"/>
          <w:sz w:val="18"/>
        </w:rPr>
        <w:t> </w:t>
      </w:r>
      <w:r>
        <w:rPr>
          <w:w w:val="105"/>
          <w:sz w:val="18"/>
        </w:rPr>
        <w:t>el</w:t>
      </w:r>
      <w:r>
        <w:rPr>
          <w:spacing w:val="-5"/>
          <w:w w:val="105"/>
          <w:sz w:val="18"/>
        </w:rPr>
        <w:t> </w:t>
      </w:r>
      <w:r>
        <w:rPr>
          <w:w w:val="105"/>
          <w:sz w:val="18"/>
        </w:rPr>
        <w:t>SCS</w:t>
      </w:r>
      <w:r>
        <w:rPr>
          <w:spacing w:val="-5"/>
          <w:w w:val="105"/>
          <w:sz w:val="18"/>
        </w:rPr>
        <w:t> </w:t>
      </w:r>
      <w:r>
        <w:rPr>
          <w:w w:val="105"/>
          <w:sz w:val="18"/>
        </w:rPr>
        <w:t>y</w:t>
      </w:r>
      <w:r>
        <w:rPr>
          <w:spacing w:val="-4"/>
          <w:w w:val="105"/>
          <w:sz w:val="18"/>
        </w:rPr>
        <w:t> </w:t>
      </w:r>
      <w:r>
        <w:rPr>
          <w:w w:val="105"/>
          <w:sz w:val="18"/>
        </w:rPr>
        <w:t>RTVC</w:t>
      </w:r>
      <w:r>
        <w:rPr>
          <w:spacing w:val="-6"/>
          <w:w w:val="105"/>
          <w:sz w:val="18"/>
        </w:rPr>
        <w:t> </w:t>
      </w:r>
      <w:r>
        <w:rPr>
          <w:w w:val="105"/>
          <w:sz w:val="18"/>
        </w:rPr>
        <w:t>estuvieron</w:t>
      </w:r>
      <w:r>
        <w:rPr>
          <w:spacing w:val="-6"/>
          <w:w w:val="105"/>
          <w:sz w:val="18"/>
        </w:rPr>
        <w:t> </w:t>
      </w:r>
      <w:r>
        <w:rPr>
          <w:w w:val="105"/>
          <w:sz w:val="18"/>
        </w:rPr>
        <w:t>próximas</w:t>
      </w:r>
      <w:r>
        <w:rPr>
          <w:spacing w:val="-5"/>
          <w:w w:val="105"/>
          <w:sz w:val="18"/>
        </w:rPr>
        <w:t> </w:t>
      </w:r>
      <w:r>
        <w:rPr>
          <w:w w:val="105"/>
          <w:sz w:val="18"/>
        </w:rPr>
        <w:t>al</w:t>
      </w:r>
      <w:r>
        <w:rPr>
          <w:spacing w:val="-6"/>
          <w:w w:val="105"/>
          <w:sz w:val="18"/>
        </w:rPr>
        <w:t> </w:t>
      </w:r>
      <w:r>
        <w:rPr>
          <w:w w:val="105"/>
          <w:sz w:val="18"/>
        </w:rPr>
        <w:t>100</w:t>
      </w:r>
    </w:p>
    <w:p>
      <w:pPr>
        <w:spacing w:line="247" w:lineRule="auto" w:before="4"/>
        <w:ind w:left="2334" w:right="1139" w:firstLine="0"/>
        <w:jc w:val="both"/>
        <w:rPr>
          <w:sz w:val="18"/>
        </w:rPr>
      </w:pPr>
      <w:r>
        <w:rPr>
          <w:w w:val="105"/>
          <w:sz w:val="18"/>
        </w:rPr>
        <w:t>%</w:t>
      </w:r>
      <w:r>
        <w:rPr>
          <w:spacing w:val="-3"/>
          <w:w w:val="105"/>
          <w:sz w:val="18"/>
        </w:rPr>
        <w:t> </w:t>
      </w:r>
      <w:r>
        <w:rPr>
          <w:w w:val="105"/>
          <w:sz w:val="18"/>
        </w:rPr>
        <w:t>de</w:t>
      </w:r>
      <w:r>
        <w:rPr>
          <w:spacing w:val="-2"/>
          <w:w w:val="105"/>
          <w:sz w:val="18"/>
        </w:rPr>
        <w:t> </w:t>
      </w:r>
      <w:r>
        <w:rPr>
          <w:w w:val="105"/>
          <w:sz w:val="18"/>
        </w:rPr>
        <w:t>la</w:t>
      </w:r>
      <w:r>
        <w:rPr>
          <w:spacing w:val="-2"/>
          <w:w w:val="105"/>
          <w:sz w:val="18"/>
        </w:rPr>
        <w:t> </w:t>
      </w:r>
      <w:r>
        <w:rPr>
          <w:w w:val="105"/>
          <w:sz w:val="18"/>
        </w:rPr>
        <w:t>ejecución,</w:t>
      </w:r>
      <w:r>
        <w:rPr>
          <w:spacing w:val="-3"/>
          <w:w w:val="105"/>
          <w:sz w:val="18"/>
        </w:rPr>
        <w:t> </w:t>
      </w:r>
      <w:r>
        <w:rPr>
          <w:w w:val="105"/>
          <w:sz w:val="18"/>
        </w:rPr>
        <w:t>situándose</w:t>
      </w:r>
      <w:r>
        <w:rPr>
          <w:spacing w:val="-3"/>
          <w:w w:val="105"/>
          <w:sz w:val="18"/>
        </w:rPr>
        <w:t> </w:t>
      </w:r>
      <w:r>
        <w:rPr>
          <w:w w:val="105"/>
          <w:sz w:val="18"/>
        </w:rPr>
        <w:t>la</w:t>
      </w:r>
      <w:r>
        <w:rPr>
          <w:spacing w:val="-4"/>
          <w:w w:val="105"/>
          <w:sz w:val="18"/>
        </w:rPr>
        <w:t> </w:t>
      </w:r>
      <w:r>
        <w:rPr>
          <w:w w:val="105"/>
          <w:sz w:val="18"/>
        </w:rPr>
        <w:t>mitad</w:t>
      </w:r>
      <w:r>
        <w:rPr>
          <w:spacing w:val="-3"/>
          <w:w w:val="105"/>
          <w:sz w:val="18"/>
        </w:rPr>
        <w:t> </w:t>
      </w:r>
      <w:r>
        <w:rPr>
          <w:w w:val="105"/>
          <w:sz w:val="18"/>
        </w:rPr>
        <w:t>de</w:t>
      </w:r>
      <w:r>
        <w:rPr>
          <w:spacing w:val="-2"/>
          <w:w w:val="105"/>
          <w:sz w:val="18"/>
        </w:rPr>
        <w:t> </w:t>
      </w:r>
      <w:r>
        <w:rPr>
          <w:w w:val="105"/>
          <w:sz w:val="18"/>
        </w:rPr>
        <w:t>ellas</w:t>
      </w:r>
      <w:r>
        <w:rPr>
          <w:spacing w:val="-3"/>
          <w:w w:val="105"/>
          <w:sz w:val="18"/>
        </w:rPr>
        <w:t> </w:t>
      </w:r>
      <w:r>
        <w:rPr>
          <w:w w:val="105"/>
          <w:sz w:val="18"/>
        </w:rPr>
        <w:t>entre</w:t>
      </w:r>
      <w:r>
        <w:rPr>
          <w:spacing w:val="-3"/>
          <w:w w:val="105"/>
          <w:sz w:val="18"/>
        </w:rPr>
        <w:t> </w:t>
      </w:r>
      <w:r>
        <w:rPr>
          <w:w w:val="105"/>
          <w:sz w:val="18"/>
        </w:rPr>
        <w:t>el</w:t>
      </w:r>
      <w:r>
        <w:rPr>
          <w:spacing w:val="-3"/>
          <w:w w:val="105"/>
          <w:sz w:val="18"/>
        </w:rPr>
        <w:t> </w:t>
      </w:r>
      <w:r>
        <w:rPr>
          <w:w w:val="105"/>
          <w:sz w:val="18"/>
        </w:rPr>
        <w:t>76,7</w:t>
      </w:r>
      <w:r>
        <w:rPr>
          <w:spacing w:val="-1"/>
          <w:w w:val="105"/>
          <w:sz w:val="18"/>
        </w:rPr>
        <w:t> </w:t>
      </w:r>
      <w:r>
        <w:rPr>
          <w:w w:val="105"/>
          <w:sz w:val="18"/>
        </w:rPr>
        <w:t>%</w:t>
      </w:r>
      <w:r>
        <w:rPr>
          <w:spacing w:val="-5"/>
          <w:w w:val="105"/>
          <w:sz w:val="18"/>
        </w:rPr>
        <w:t> </w:t>
      </w:r>
      <w:r>
        <w:rPr>
          <w:w w:val="105"/>
          <w:sz w:val="18"/>
        </w:rPr>
        <w:t>y</w:t>
      </w:r>
      <w:r>
        <w:rPr>
          <w:spacing w:val="-1"/>
          <w:w w:val="105"/>
          <w:sz w:val="18"/>
        </w:rPr>
        <w:t> </w:t>
      </w:r>
      <w:r>
        <w:rPr>
          <w:w w:val="105"/>
          <w:sz w:val="18"/>
        </w:rPr>
        <w:t>el</w:t>
      </w:r>
      <w:r>
        <w:rPr>
          <w:spacing w:val="-3"/>
          <w:w w:val="105"/>
          <w:sz w:val="18"/>
        </w:rPr>
        <w:t> </w:t>
      </w:r>
      <w:r>
        <w:rPr>
          <w:w w:val="105"/>
          <w:sz w:val="18"/>
        </w:rPr>
        <w:t>85</w:t>
      </w:r>
      <w:r>
        <w:rPr>
          <w:spacing w:val="-2"/>
          <w:w w:val="105"/>
          <w:sz w:val="18"/>
        </w:rPr>
        <w:t> </w:t>
      </w:r>
      <w:r>
        <w:rPr>
          <w:w w:val="105"/>
          <w:sz w:val="18"/>
        </w:rPr>
        <w:t>%.</w:t>
      </w:r>
      <w:r>
        <w:rPr>
          <w:spacing w:val="-2"/>
          <w:w w:val="105"/>
          <w:sz w:val="18"/>
        </w:rPr>
        <w:t> </w:t>
      </w:r>
      <w:r>
        <w:rPr>
          <w:w w:val="105"/>
          <w:sz w:val="18"/>
        </w:rPr>
        <w:t>Las</w:t>
      </w:r>
      <w:r>
        <w:rPr>
          <w:spacing w:val="-3"/>
          <w:w w:val="105"/>
          <w:sz w:val="18"/>
        </w:rPr>
        <w:t> </w:t>
      </w:r>
      <w:r>
        <w:rPr>
          <w:w w:val="105"/>
          <w:sz w:val="18"/>
        </w:rPr>
        <w:t>entidades</w:t>
      </w:r>
      <w:r>
        <w:rPr>
          <w:spacing w:val="-2"/>
          <w:w w:val="105"/>
          <w:sz w:val="18"/>
        </w:rPr>
        <w:t> </w:t>
      </w:r>
      <w:r>
        <w:rPr>
          <w:w w:val="105"/>
          <w:sz w:val="18"/>
        </w:rPr>
        <w:t>que menos</w:t>
      </w:r>
      <w:r>
        <w:rPr>
          <w:spacing w:val="-10"/>
          <w:w w:val="105"/>
          <w:sz w:val="18"/>
        </w:rPr>
        <w:t> </w:t>
      </w:r>
      <w:r>
        <w:rPr>
          <w:w w:val="105"/>
          <w:sz w:val="18"/>
        </w:rPr>
        <w:t>ejecutaron</w:t>
      </w:r>
      <w:r>
        <w:rPr>
          <w:spacing w:val="-11"/>
          <w:w w:val="105"/>
          <w:sz w:val="18"/>
        </w:rPr>
        <w:t> </w:t>
      </w:r>
      <w:r>
        <w:rPr>
          <w:w w:val="105"/>
          <w:sz w:val="18"/>
        </w:rPr>
        <w:t>su</w:t>
      </w:r>
      <w:r>
        <w:rPr>
          <w:spacing w:val="-9"/>
          <w:w w:val="105"/>
          <w:sz w:val="18"/>
        </w:rPr>
        <w:t> </w:t>
      </w:r>
      <w:r>
        <w:rPr>
          <w:w w:val="105"/>
          <w:sz w:val="18"/>
        </w:rPr>
        <w:t>presupuesto</w:t>
      </w:r>
      <w:r>
        <w:rPr>
          <w:spacing w:val="-9"/>
          <w:w w:val="105"/>
          <w:sz w:val="18"/>
        </w:rPr>
        <w:t> </w:t>
      </w:r>
      <w:r>
        <w:rPr>
          <w:w w:val="105"/>
          <w:sz w:val="18"/>
        </w:rPr>
        <w:t>fueron</w:t>
      </w:r>
      <w:r>
        <w:rPr>
          <w:spacing w:val="-9"/>
          <w:w w:val="105"/>
          <w:sz w:val="18"/>
        </w:rPr>
        <w:t> </w:t>
      </w:r>
      <w:r>
        <w:rPr>
          <w:w w:val="105"/>
          <w:sz w:val="18"/>
        </w:rPr>
        <w:t>ICAP,</w:t>
      </w:r>
      <w:r>
        <w:rPr>
          <w:spacing w:val="-10"/>
          <w:w w:val="105"/>
          <w:sz w:val="18"/>
        </w:rPr>
        <w:t> </w:t>
      </w:r>
      <w:r>
        <w:rPr>
          <w:w w:val="105"/>
          <w:sz w:val="18"/>
        </w:rPr>
        <w:t>ICCA</w:t>
      </w:r>
      <w:r>
        <w:rPr>
          <w:spacing w:val="-12"/>
          <w:w w:val="105"/>
          <w:sz w:val="18"/>
        </w:rPr>
        <w:t> </w:t>
      </w:r>
      <w:r>
        <w:rPr>
          <w:w w:val="105"/>
          <w:sz w:val="18"/>
        </w:rPr>
        <w:t>y</w:t>
      </w:r>
      <w:r>
        <w:rPr>
          <w:spacing w:val="-10"/>
          <w:w w:val="105"/>
          <w:sz w:val="18"/>
        </w:rPr>
        <w:t> </w:t>
      </w:r>
      <w:r>
        <w:rPr>
          <w:w w:val="105"/>
          <w:sz w:val="18"/>
        </w:rPr>
        <w:t>APMN,</w:t>
      </w:r>
      <w:r>
        <w:rPr>
          <w:spacing w:val="-11"/>
          <w:w w:val="105"/>
          <w:sz w:val="18"/>
        </w:rPr>
        <w:t> </w:t>
      </w:r>
      <w:r>
        <w:rPr>
          <w:w w:val="105"/>
          <w:sz w:val="18"/>
        </w:rPr>
        <w:t>con</w:t>
      </w:r>
      <w:r>
        <w:rPr>
          <w:spacing w:val="-10"/>
          <w:w w:val="105"/>
          <w:sz w:val="18"/>
        </w:rPr>
        <w:t> </w:t>
      </w:r>
      <w:r>
        <w:rPr>
          <w:w w:val="105"/>
          <w:sz w:val="18"/>
        </w:rPr>
        <w:t>un</w:t>
      </w:r>
      <w:r>
        <w:rPr>
          <w:spacing w:val="-13"/>
          <w:w w:val="105"/>
          <w:sz w:val="18"/>
        </w:rPr>
        <w:t> </w:t>
      </w:r>
      <w:r>
        <w:rPr>
          <w:w w:val="105"/>
          <w:sz w:val="18"/>
        </w:rPr>
        <w:t>69,7</w:t>
      </w:r>
      <w:r>
        <w:rPr>
          <w:spacing w:val="-9"/>
          <w:w w:val="105"/>
          <w:sz w:val="18"/>
        </w:rPr>
        <w:t> </w:t>
      </w:r>
      <w:r>
        <w:rPr>
          <w:w w:val="105"/>
          <w:sz w:val="18"/>
        </w:rPr>
        <w:t>%,</w:t>
      </w:r>
      <w:r>
        <w:rPr>
          <w:spacing w:val="-12"/>
          <w:w w:val="105"/>
          <w:sz w:val="18"/>
        </w:rPr>
        <w:t> </w:t>
      </w:r>
      <w:r>
        <w:rPr>
          <w:w w:val="105"/>
          <w:sz w:val="18"/>
        </w:rPr>
        <w:t>un</w:t>
      </w:r>
      <w:r>
        <w:rPr>
          <w:spacing w:val="-10"/>
          <w:w w:val="105"/>
          <w:sz w:val="18"/>
        </w:rPr>
        <w:t> </w:t>
      </w:r>
      <w:r>
        <w:rPr>
          <w:w w:val="105"/>
          <w:sz w:val="18"/>
        </w:rPr>
        <w:t>72,5</w:t>
      </w:r>
      <w:r>
        <w:rPr>
          <w:spacing w:val="-11"/>
          <w:w w:val="105"/>
          <w:sz w:val="18"/>
        </w:rPr>
        <w:t> </w:t>
      </w:r>
      <w:r>
        <w:rPr>
          <w:w w:val="105"/>
          <w:sz w:val="18"/>
        </w:rPr>
        <w:t>%</w:t>
      </w:r>
      <w:r>
        <w:rPr>
          <w:spacing w:val="-8"/>
          <w:w w:val="105"/>
          <w:sz w:val="18"/>
        </w:rPr>
        <w:t> </w:t>
      </w:r>
      <w:r>
        <w:rPr>
          <w:w w:val="105"/>
          <w:sz w:val="18"/>
        </w:rPr>
        <w:t>y</w:t>
      </w:r>
      <w:r>
        <w:rPr>
          <w:spacing w:val="-12"/>
          <w:w w:val="105"/>
          <w:sz w:val="18"/>
        </w:rPr>
        <w:t> </w:t>
      </w:r>
      <w:r>
        <w:rPr>
          <w:w w:val="105"/>
          <w:sz w:val="18"/>
        </w:rPr>
        <w:t>un 60,5</w:t>
      </w:r>
      <w:r>
        <w:rPr>
          <w:spacing w:val="-6"/>
          <w:w w:val="105"/>
          <w:sz w:val="18"/>
        </w:rPr>
        <w:t> </w:t>
      </w:r>
      <w:r>
        <w:rPr>
          <w:w w:val="105"/>
          <w:sz w:val="18"/>
        </w:rPr>
        <w:t>%</w:t>
      </w:r>
      <w:r>
        <w:rPr>
          <w:spacing w:val="-6"/>
          <w:w w:val="105"/>
          <w:sz w:val="18"/>
        </w:rPr>
        <w:t> </w:t>
      </w:r>
      <w:r>
        <w:rPr>
          <w:w w:val="105"/>
          <w:sz w:val="18"/>
        </w:rPr>
        <w:t>respectivamente.</w:t>
      </w:r>
      <w:r>
        <w:rPr>
          <w:spacing w:val="-7"/>
          <w:w w:val="105"/>
          <w:sz w:val="18"/>
        </w:rPr>
        <w:t> </w:t>
      </w:r>
      <w:r>
        <w:rPr>
          <w:w w:val="105"/>
          <w:sz w:val="18"/>
        </w:rPr>
        <w:t>En</w:t>
      </w:r>
      <w:r>
        <w:rPr>
          <w:spacing w:val="-6"/>
          <w:w w:val="105"/>
          <w:sz w:val="18"/>
        </w:rPr>
        <w:t> </w:t>
      </w:r>
      <w:r>
        <w:rPr>
          <w:w w:val="105"/>
          <w:sz w:val="18"/>
        </w:rPr>
        <w:t>el</w:t>
      </w:r>
      <w:r>
        <w:rPr>
          <w:spacing w:val="-7"/>
          <w:w w:val="105"/>
          <w:sz w:val="18"/>
        </w:rPr>
        <w:t> </w:t>
      </w:r>
      <w:r>
        <w:rPr>
          <w:w w:val="105"/>
          <w:sz w:val="18"/>
        </w:rPr>
        <w:t>ICAP,</w:t>
      </w:r>
      <w:r>
        <w:rPr>
          <w:spacing w:val="-6"/>
          <w:w w:val="105"/>
          <w:sz w:val="18"/>
        </w:rPr>
        <w:t> </w:t>
      </w:r>
      <w:r>
        <w:rPr>
          <w:w w:val="105"/>
          <w:sz w:val="18"/>
        </w:rPr>
        <w:t>la</w:t>
      </w:r>
      <w:r>
        <w:rPr>
          <w:spacing w:val="-7"/>
          <w:w w:val="105"/>
          <w:sz w:val="18"/>
        </w:rPr>
        <w:t> </w:t>
      </w:r>
      <w:r>
        <w:rPr>
          <w:w w:val="105"/>
          <w:sz w:val="18"/>
        </w:rPr>
        <w:t>menor</w:t>
      </w:r>
      <w:r>
        <w:rPr>
          <w:spacing w:val="-6"/>
          <w:w w:val="105"/>
          <w:sz w:val="18"/>
        </w:rPr>
        <w:t> </w:t>
      </w:r>
      <w:r>
        <w:rPr>
          <w:w w:val="105"/>
          <w:sz w:val="18"/>
        </w:rPr>
        <w:t>ejecución</w:t>
      </w:r>
      <w:r>
        <w:rPr>
          <w:spacing w:val="-7"/>
          <w:w w:val="105"/>
          <w:sz w:val="18"/>
        </w:rPr>
        <w:t> </w:t>
      </w:r>
      <w:r>
        <w:rPr>
          <w:w w:val="105"/>
          <w:sz w:val="18"/>
        </w:rPr>
        <w:t>proviene</w:t>
      </w:r>
      <w:r>
        <w:rPr>
          <w:spacing w:val="-5"/>
          <w:w w:val="105"/>
          <w:sz w:val="18"/>
        </w:rPr>
        <w:t> </w:t>
      </w:r>
      <w:r>
        <w:rPr>
          <w:w w:val="105"/>
          <w:sz w:val="18"/>
        </w:rPr>
        <w:t>de</w:t>
      </w:r>
      <w:r>
        <w:rPr>
          <w:spacing w:val="-6"/>
          <w:w w:val="105"/>
          <w:sz w:val="18"/>
        </w:rPr>
        <w:t> </w:t>
      </w:r>
      <w:r>
        <w:rPr>
          <w:w w:val="105"/>
          <w:sz w:val="18"/>
        </w:rPr>
        <w:t>las</w:t>
      </w:r>
      <w:r>
        <w:rPr>
          <w:spacing w:val="-6"/>
          <w:w w:val="105"/>
          <w:sz w:val="18"/>
        </w:rPr>
        <w:t> </w:t>
      </w:r>
      <w:r>
        <w:rPr>
          <w:w w:val="105"/>
          <w:sz w:val="18"/>
        </w:rPr>
        <w:t>transferencias</w:t>
      </w:r>
      <w:r>
        <w:rPr>
          <w:spacing w:val="-6"/>
          <w:w w:val="105"/>
          <w:sz w:val="18"/>
        </w:rPr>
        <w:t> </w:t>
      </w:r>
      <w:r>
        <w:rPr>
          <w:w w:val="105"/>
          <w:sz w:val="18"/>
        </w:rPr>
        <w:t>y</w:t>
      </w:r>
      <w:r>
        <w:rPr>
          <w:spacing w:val="-5"/>
          <w:w w:val="105"/>
          <w:sz w:val="18"/>
        </w:rPr>
        <w:t> </w:t>
      </w:r>
      <w:r>
        <w:rPr>
          <w:w w:val="105"/>
          <w:sz w:val="18"/>
        </w:rPr>
        <w:t>de gastos</w:t>
      </w:r>
      <w:r>
        <w:rPr>
          <w:spacing w:val="-4"/>
          <w:w w:val="105"/>
          <w:sz w:val="18"/>
        </w:rPr>
        <w:t> </w:t>
      </w:r>
      <w:r>
        <w:rPr>
          <w:w w:val="105"/>
          <w:sz w:val="18"/>
        </w:rPr>
        <w:t>corrientes</w:t>
      </w:r>
      <w:r>
        <w:rPr>
          <w:spacing w:val="-3"/>
          <w:w w:val="105"/>
          <w:sz w:val="18"/>
        </w:rPr>
        <w:t> </w:t>
      </w:r>
      <w:r>
        <w:rPr>
          <w:w w:val="105"/>
          <w:sz w:val="18"/>
        </w:rPr>
        <w:t>en</w:t>
      </w:r>
      <w:r>
        <w:rPr>
          <w:spacing w:val="-2"/>
          <w:w w:val="105"/>
          <w:sz w:val="18"/>
        </w:rPr>
        <w:t> </w:t>
      </w:r>
      <w:r>
        <w:rPr>
          <w:w w:val="105"/>
          <w:sz w:val="18"/>
        </w:rPr>
        <w:t>bienes</w:t>
      </w:r>
      <w:r>
        <w:rPr>
          <w:spacing w:val="-2"/>
          <w:w w:val="105"/>
          <w:sz w:val="18"/>
        </w:rPr>
        <w:t> </w:t>
      </w:r>
      <w:r>
        <w:rPr>
          <w:w w:val="105"/>
          <w:sz w:val="18"/>
        </w:rPr>
        <w:t>y</w:t>
      </w:r>
      <w:r>
        <w:rPr>
          <w:spacing w:val="-2"/>
          <w:w w:val="105"/>
          <w:sz w:val="18"/>
        </w:rPr>
        <w:t> </w:t>
      </w:r>
      <w:r>
        <w:rPr>
          <w:w w:val="105"/>
          <w:sz w:val="18"/>
        </w:rPr>
        <w:t>servicios,</w:t>
      </w:r>
      <w:r>
        <w:rPr>
          <w:spacing w:val="-4"/>
          <w:w w:val="105"/>
          <w:sz w:val="18"/>
        </w:rPr>
        <w:t> </w:t>
      </w:r>
      <w:r>
        <w:rPr>
          <w:w w:val="105"/>
          <w:sz w:val="18"/>
        </w:rPr>
        <w:t>y</w:t>
      </w:r>
      <w:r>
        <w:rPr>
          <w:spacing w:val="-1"/>
          <w:w w:val="105"/>
          <w:sz w:val="18"/>
        </w:rPr>
        <w:t> </w:t>
      </w:r>
      <w:r>
        <w:rPr>
          <w:w w:val="105"/>
          <w:sz w:val="18"/>
        </w:rPr>
        <w:t>para</w:t>
      </w:r>
      <w:r>
        <w:rPr>
          <w:spacing w:val="-4"/>
          <w:w w:val="105"/>
          <w:sz w:val="18"/>
        </w:rPr>
        <w:t> </w:t>
      </w:r>
      <w:r>
        <w:rPr>
          <w:w w:val="105"/>
          <w:sz w:val="18"/>
        </w:rPr>
        <w:t>APMN</w:t>
      </w:r>
      <w:r>
        <w:rPr>
          <w:spacing w:val="-5"/>
          <w:w w:val="105"/>
          <w:sz w:val="18"/>
        </w:rPr>
        <w:t> </w:t>
      </w:r>
      <w:r>
        <w:rPr>
          <w:w w:val="105"/>
          <w:sz w:val="18"/>
        </w:rPr>
        <w:t>e</w:t>
      </w:r>
      <w:r>
        <w:rPr>
          <w:spacing w:val="-1"/>
          <w:w w:val="105"/>
          <w:sz w:val="18"/>
        </w:rPr>
        <w:t> </w:t>
      </w:r>
      <w:r>
        <w:rPr>
          <w:w w:val="105"/>
          <w:sz w:val="18"/>
        </w:rPr>
        <w:t>ICCA</w:t>
      </w:r>
      <w:r>
        <w:rPr>
          <w:spacing w:val="-4"/>
          <w:w w:val="105"/>
          <w:sz w:val="18"/>
        </w:rPr>
        <w:t> </w:t>
      </w:r>
      <w:r>
        <w:rPr>
          <w:w w:val="105"/>
          <w:sz w:val="18"/>
        </w:rPr>
        <w:t>tiene</w:t>
      </w:r>
      <w:r>
        <w:rPr>
          <w:spacing w:val="-3"/>
          <w:w w:val="105"/>
          <w:sz w:val="18"/>
        </w:rPr>
        <w:t> </w:t>
      </w:r>
      <w:r>
        <w:rPr>
          <w:w w:val="105"/>
          <w:sz w:val="18"/>
        </w:rPr>
        <w:t>que</w:t>
      </w:r>
      <w:r>
        <w:rPr>
          <w:spacing w:val="-3"/>
          <w:w w:val="105"/>
          <w:sz w:val="18"/>
        </w:rPr>
        <w:t> </w:t>
      </w:r>
      <w:r>
        <w:rPr>
          <w:w w:val="105"/>
          <w:sz w:val="18"/>
        </w:rPr>
        <w:t>ver,</w:t>
      </w:r>
      <w:r>
        <w:rPr>
          <w:spacing w:val="-2"/>
          <w:w w:val="105"/>
          <w:sz w:val="18"/>
        </w:rPr>
        <w:t> </w:t>
      </w:r>
      <w:r>
        <w:rPr>
          <w:w w:val="105"/>
          <w:sz w:val="18"/>
        </w:rPr>
        <w:t>principalmente, con</w:t>
      </w:r>
      <w:r>
        <w:rPr>
          <w:spacing w:val="-3"/>
          <w:w w:val="105"/>
          <w:sz w:val="18"/>
        </w:rPr>
        <w:t> </w:t>
      </w:r>
      <w:r>
        <w:rPr>
          <w:w w:val="105"/>
          <w:sz w:val="18"/>
        </w:rPr>
        <w:t>inversiones.</w:t>
      </w:r>
    </w:p>
    <w:p>
      <w:pPr>
        <w:pStyle w:val="BodyText"/>
        <w:spacing w:before="3"/>
        <w:rPr>
          <w:sz w:val="16"/>
        </w:rPr>
      </w:pPr>
    </w:p>
    <w:p>
      <w:pPr>
        <w:pStyle w:val="ListParagraph"/>
        <w:numPr>
          <w:ilvl w:val="0"/>
          <w:numId w:val="33"/>
        </w:numPr>
        <w:tabs>
          <w:tab w:pos="2335" w:val="left" w:leader="none"/>
        </w:tabs>
        <w:spacing w:line="247" w:lineRule="auto" w:before="0" w:after="0"/>
        <w:ind w:left="2334" w:right="1136" w:hanging="238"/>
        <w:jc w:val="both"/>
        <w:rPr>
          <w:sz w:val="18"/>
        </w:rPr>
      </w:pPr>
      <w:r>
        <w:rPr>
          <w:w w:val="105"/>
          <w:sz w:val="18"/>
        </w:rPr>
        <w:t>De</w:t>
      </w:r>
      <w:r>
        <w:rPr>
          <w:spacing w:val="-5"/>
          <w:w w:val="105"/>
          <w:sz w:val="18"/>
        </w:rPr>
        <w:t> </w:t>
      </w:r>
      <w:r>
        <w:rPr>
          <w:w w:val="105"/>
          <w:sz w:val="18"/>
        </w:rPr>
        <w:t>las</w:t>
      </w:r>
      <w:r>
        <w:rPr>
          <w:spacing w:val="-7"/>
          <w:w w:val="105"/>
          <w:sz w:val="18"/>
        </w:rPr>
        <w:t> </w:t>
      </w:r>
      <w:r>
        <w:rPr>
          <w:w w:val="105"/>
          <w:sz w:val="18"/>
        </w:rPr>
        <w:t>13</w:t>
      </w:r>
      <w:r>
        <w:rPr>
          <w:spacing w:val="-4"/>
          <w:w w:val="105"/>
          <w:sz w:val="18"/>
        </w:rPr>
        <w:t> </w:t>
      </w:r>
      <w:r>
        <w:rPr>
          <w:w w:val="105"/>
          <w:sz w:val="18"/>
        </w:rPr>
        <w:t>entidades,</w:t>
      </w:r>
      <w:r>
        <w:rPr>
          <w:spacing w:val="-4"/>
          <w:w w:val="105"/>
          <w:sz w:val="18"/>
        </w:rPr>
        <w:t> </w:t>
      </w:r>
      <w:r>
        <w:rPr>
          <w:w w:val="105"/>
          <w:sz w:val="18"/>
        </w:rPr>
        <w:t>sólo</w:t>
      </w:r>
      <w:r>
        <w:rPr>
          <w:spacing w:val="-7"/>
          <w:w w:val="105"/>
          <w:sz w:val="18"/>
        </w:rPr>
        <w:t> </w:t>
      </w:r>
      <w:r>
        <w:rPr>
          <w:w w:val="105"/>
          <w:sz w:val="18"/>
        </w:rPr>
        <w:t>el</w:t>
      </w:r>
      <w:r>
        <w:rPr>
          <w:spacing w:val="-6"/>
          <w:w w:val="105"/>
          <w:sz w:val="18"/>
        </w:rPr>
        <w:t> </w:t>
      </w:r>
      <w:r>
        <w:rPr>
          <w:w w:val="105"/>
          <w:sz w:val="18"/>
        </w:rPr>
        <w:t>SCS,</w:t>
      </w:r>
      <w:r>
        <w:rPr>
          <w:spacing w:val="-6"/>
          <w:w w:val="105"/>
          <w:sz w:val="18"/>
        </w:rPr>
        <w:t> </w:t>
      </w:r>
      <w:r>
        <w:rPr>
          <w:w w:val="105"/>
          <w:sz w:val="18"/>
        </w:rPr>
        <w:t>CES</w:t>
      </w:r>
      <w:r>
        <w:rPr>
          <w:spacing w:val="-5"/>
          <w:w w:val="105"/>
          <w:sz w:val="18"/>
        </w:rPr>
        <w:t> </w:t>
      </w:r>
      <w:r>
        <w:rPr>
          <w:w w:val="105"/>
          <w:sz w:val="18"/>
        </w:rPr>
        <w:t>y</w:t>
      </w:r>
      <w:r>
        <w:rPr>
          <w:spacing w:val="-6"/>
          <w:w w:val="105"/>
          <w:sz w:val="18"/>
        </w:rPr>
        <w:t> </w:t>
      </w:r>
      <w:r>
        <w:rPr>
          <w:w w:val="105"/>
          <w:sz w:val="18"/>
        </w:rPr>
        <w:t>ACCUEE</w:t>
      </w:r>
      <w:r>
        <w:rPr>
          <w:spacing w:val="-7"/>
          <w:w w:val="105"/>
          <w:sz w:val="18"/>
        </w:rPr>
        <w:t> </w:t>
      </w:r>
      <w:r>
        <w:rPr>
          <w:w w:val="105"/>
          <w:sz w:val="18"/>
        </w:rPr>
        <w:t>superaron</w:t>
      </w:r>
      <w:r>
        <w:rPr>
          <w:spacing w:val="-6"/>
          <w:w w:val="105"/>
          <w:sz w:val="18"/>
        </w:rPr>
        <w:t> </w:t>
      </w:r>
      <w:r>
        <w:rPr>
          <w:w w:val="105"/>
          <w:sz w:val="18"/>
        </w:rPr>
        <w:t>el</w:t>
      </w:r>
      <w:r>
        <w:rPr>
          <w:spacing w:val="-7"/>
          <w:w w:val="105"/>
          <w:sz w:val="18"/>
        </w:rPr>
        <w:t> </w:t>
      </w:r>
      <w:r>
        <w:rPr>
          <w:w w:val="105"/>
          <w:sz w:val="18"/>
        </w:rPr>
        <w:t>95</w:t>
      </w:r>
      <w:r>
        <w:rPr>
          <w:spacing w:val="-6"/>
          <w:w w:val="105"/>
          <w:sz w:val="18"/>
        </w:rPr>
        <w:t> </w:t>
      </w:r>
      <w:r>
        <w:rPr>
          <w:w w:val="105"/>
          <w:sz w:val="18"/>
        </w:rPr>
        <w:t>%</w:t>
      </w:r>
      <w:r>
        <w:rPr>
          <w:spacing w:val="-6"/>
          <w:w w:val="105"/>
          <w:sz w:val="18"/>
        </w:rPr>
        <w:t> </w:t>
      </w:r>
      <w:r>
        <w:rPr>
          <w:w w:val="105"/>
          <w:sz w:val="18"/>
        </w:rPr>
        <w:t>en</w:t>
      </w:r>
      <w:r>
        <w:rPr>
          <w:spacing w:val="-5"/>
          <w:w w:val="105"/>
          <w:sz w:val="18"/>
        </w:rPr>
        <w:t> </w:t>
      </w:r>
      <w:r>
        <w:rPr>
          <w:w w:val="105"/>
          <w:sz w:val="18"/>
        </w:rPr>
        <w:t>el</w:t>
      </w:r>
      <w:r>
        <w:rPr>
          <w:spacing w:val="-5"/>
          <w:w w:val="105"/>
          <w:sz w:val="18"/>
        </w:rPr>
        <w:t> </w:t>
      </w:r>
      <w:r>
        <w:rPr>
          <w:w w:val="105"/>
          <w:sz w:val="18"/>
        </w:rPr>
        <w:t>grado</w:t>
      </w:r>
      <w:r>
        <w:rPr>
          <w:spacing w:val="-4"/>
          <w:w w:val="105"/>
          <w:sz w:val="18"/>
        </w:rPr>
        <w:t> </w:t>
      </w:r>
      <w:r>
        <w:rPr>
          <w:w w:val="105"/>
          <w:sz w:val="18"/>
        </w:rPr>
        <w:t>de</w:t>
      </w:r>
      <w:r>
        <w:rPr>
          <w:spacing w:val="-7"/>
          <w:w w:val="105"/>
          <w:sz w:val="18"/>
        </w:rPr>
        <w:t> </w:t>
      </w:r>
      <w:r>
        <w:rPr>
          <w:w w:val="105"/>
          <w:sz w:val="18"/>
        </w:rPr>
        <w:t>realización de sus pagos, o estuvieron próximas a este porcentaje (ICAP e ICIA). Algunas ni siquiera alcanzó el 90 % (ISTAC, SCE, ICV, ICCA y RTVC). Sin embargo y al igual que en 2021, únicamente</w:t>
      </w:r>
      <w:r>
        <w:rPr>
          <w:spacing w:val="-17"/>
          <w:w w:val="105"/>
          <w:sz w:val="18"/>
        </w:rPr>
        <w:t> </w:t>
      </w:r>
      <w:r>
        <w:rPr>
          <w:w w:val="105"/>
          <w:sz w:val="18"/>
        </w:rPr>
        <w:t>ICHH</w:t>
      </w:r>
      <w:r>
        <w:rPr>
          <w:spacing w:val="-17"/>
          <w:w w:val="105"/>
          <w:sz w:val="18"/>
        </w:rPr>
        <w:t> </w:t>
      </w:r>
      <w:r>
        <w:rPr>
          <w:w w:val="105"/>
          <w:sz w:val="18"/>
        </w:rPr>
        <w:t>incumplió</w:t>
      </w:r>
      <w:r>
        <w:rPr>
          <w:spacing w:val="-17"/>
          <w:w w:val="105"/>
          <w:sz w:val="18"/>
        </w:rPr>
        <w:t> </w:t>
      </w:r>
      <w:r>
        <w:rPr>
          <w:w w:val="105"/>
          <w:sz w:val="18"/>
        </w:rPr>
        <w:t>con</w:t>
      </w:r>
      <w:r>
        <w:rPr>
          <w:spacing w:val="-17"/>
          <w:w w:val="105"/>
          <w:sz w:val="18"/>
        </w:rPr>
        <w:t> </w:t>
      </w:r>
      <w:r>
        <w:rPr>
          <w:w w:val="105"/>
          <w:sz w:val="18"/>
        </w:rPr>
        <w:t>el</w:t>
      </w:r>
      <w:r>
        <w:rPr>
          <w:spacing w:val="-17"/>
          <w:w w:val="105"/>
          <w:sz w:val="18"/>
        </w:rPr>
        <w:t> </w:t>
      </w:r>
      <w:r>
        <w:rPr>
          <w:w w:val="105"/>
          <w:sz w:val="18"/>
        </w:rPr>
        <w:t>periodo</w:t>
      </w:r>
      <w:r>
        <w:rPr>
          <w:spacing w:val="-18"/>
          <w:w w:val="105"/>
          <w:sz w:val="18"/>
        </w:rPr>
        <w:t> </w:t>
      </w:r>
      <w:r>
        <w:rPr>
          <w:w w:val="105"/>
          <w:sz w:val="18"/>
        </w:rPr>
        <w:t>medio</w:t>
      </w:r>
      <w:r>
        <w:rPr>
          <w:spacing w:val="-18"/>
          <w:w w:val="105"/>
          <w:sz w:val="18"/>
        </w:rPr>
        <w:t> </w:t>
      </w:r>
      <w:r>
        <w:rPr>
          <w:w w:val="105"/>
          <w:sz w:val="18"/>
        </w:rPr>
        <w:t>de</w:t>
      </w:r>
      <w:r>
        <w:rPr>
          <w:spacing w:val="-18"/>
          <w:w w:val="105"/>
          <w:sz w:val="18"/>
        </w:rPr>
        <w:t> </w:t>
      </w:r>
      <w:r>
        <w:rPr>
          <w:w w:val="105"/>
          <w:sz w:val="18"/>
        </w:rPr>
        <w:t>pago</w:t>
      </w:r>
      <w:r>
        <w:rPr>
          <w:spacing w:val="-17"/>
          <w:w w:val="105"/>
          <w:sz w:val="18"/>
        </w:rPr>
        <w:t> </w:t>
      </w:r>
      <w:r>
        <w:rPr>
          <w:w w:val="105"/>
          <w:sz w:val="18"/>
        </w:rPr>
        <w:t>(en</w:t>
      </w:r>
      <w:r>
        <w:rPr>
          <w:spacing w:val="-17"/>
          <w:w w:val="105"/>
          <w:sz w:val="18"/>
        </w:rPr>
        <w:t> </w:t>
      </w:r>
      <w:r>
        <w:rPr>
          <w:w w:val="105"/>
          <w:sz w:val="18"/>
        </w:rPr>
        <w:t>adelante</w:t>
      </w:r>
      <w:r>
        <w:rPr>
          <w:spacing w:val="-18"/>
          <w:w w:val="105"/>
          <w:sz w:val="18"/>
        </w:rPr>
        <w:t> </w:t>
      </w:r>
      <w:r>
        <w:rPr>
          <w:w w:val="105"/>
          <w:sz w:val="18"/>
        </w:rPr>
        <w:t>PMP)</w:t>
      </w:r>
      <w:r>
        <w:rPr>
          <w:spacing w:val="-17"/>
          <w:w w:val="105"/>
          <w:sz w:val="18"/>
        </w:rPr>
        <w:t> </w:t>
      </w:r>
      <w:r>
        <w:rPr>
          <w:w w:val="105"/>
          <w:sz w:val="18"/>
        </w:rPr>
        <w:t>de</w:t>
      </w:r>
      <w:r>
        <w:rPr>
          <w:spacing w:val="-18"/>
          <w:w w:val="105"/>
          <w:sz w:val="18"/>
        </w:rPr>
        <w:t> </w:t>
      </w:r>
      <w:r>
        <w:rPr>
          <w:w w:val="105"/>
          <w:sz w:val="18"/>
        </w:rPr>
        <w:t>30</w:t>
      </w:r>
      <w:r>
        <w:rPr>
          <w:spacing w:val="-17"/>
          <w:w w:val="105"/>
          <w:sz w:val="18"/>
        </w:rPr>
        <w:t> </w:t>
      </w:r>
      <w:r>
        <w:rPr>
          <w:w w:val="105"/>
          <w:sz w:val="18"/>
        </w:rPr>
        <w:t>días</w:t>
      </w:r>
      <w:r>
        <w:rPr>
          <w:spacing w:val="-17"/>
          <w:w w:val="105"/>
          <w:sz w:val="18"/>
        </w:rPr>
        <w:t> </w:t>
      </w:r>
      <w:r>
        <w:rPr>
          <w:w w:val="105"/>
          <w:sz w:val="18"/>
        </w:rPr>
        <w:t>para toda la anualidad, establecido en la Ley 3/2004, de 29 de diciembre, de medidas de lucha contra la morosidad en las operaciones comerciales, y la APMN y el SCS lo hicieron para el último trimestre. ATC en el mes de</w:t>
      </w:r>
      <w:r>
        <w:rPr>
          <w:spacing w:val="-20"/>
          <w:w w:val="105"/>
          <w:sz w:val="18"/>
        </w:rPr>
        <w:t> </w:t>
      </w:r>
      <w:r>
        <w:rPr>
          <w:w w:val="105"/>
          <w:sz w:val="18"/>
        </w:rPr>
        <w:t>abril.</w:t>
      </w:r>
    </w:p>
    <w:p>
      <w:pPr>
        <w:pStyle w:val="BodyText"/>
        <w:spacing w:before="8"/>
        <w:rPr>
          <w:sz w:val="15"/>
        </w:rPr>
      </w:pPr>
    </w:p>
    <w:tbl>
      <w:tblPr>
        <w:tblW w:w="0" w:type="auto"/>
        <w:jc w:val="left"/>
        <w:tblInd w:w="2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2"/>
        <w:gridCol w:w="528"/>
        <w:gridCol w:w="525"/>
        <w:gridCol w:w="527"/>
        <w:gridCol w:w="527"/>
        <w:gridCol w:w="525"/>
        <w:gridCol w:w="527"/>
        <w:gridCol w:w="527"/>
        <w:gridCol w:w="528"/>
        <w:gridCol w:w="525"/>
        <w:gridCol w:w="527"/>
        <w:gridCol w:w="527"/>
        <w:gridCol w:w="531"/>
      </w:tblGrid>
      <w:tr>
        <w:trPr>
          <w:trHeight w:val="215" w:hRule="atLeast"/>
        </w:trPr>
        <w:tc>
          <w:tcPr>
            <w:tcW w:w="862" w:type="dxa"/>
            <w:tcBorders>
              <w:bottom w:val="nil"/>
            </w:tcBorders>
          </w:tcPr>
          <w:p>
            <w:pPr>
              <w:pStyle w:val="TableParagraph"/>
              <w:rPr>
                <w:rFonts w:ascii="Times New Roman"/>
                <w:sz w:val="14"/>
              </w:rPr>
            </w:pPr>
          </w:p>
        </w:tc>
        <w:tc>
          <w:tcPr>
            <w:tcW w:w="6324" w:type="dxa"/>
            <w:gridSpan w:val="12"/>
            <w:shd w:val="clear" w:color="auto" w:fill="DEEAF6"/>
          </w:tcPr>
          <w:p>
            <w:pPr>
              <w:pStyle w:val="TableParagraph"/>
              <w:spacing w:before="30"/>
              <w:ind w:left="2319" w:right="2299"/>
              <w:jc w:val="center"/>
              <w:rPr>
                <w:b/>
                <w:sz w:val="13"/>
              </w:rPr>
            </w:pPr>
            <w:r>
              <w:rPr>
                <w:b/>
                <w:color w:val="221F1F"/>
                <w:w w:val="105"/>
                <w:sz w:val="13"/>
              </w:rPr>
              <w:t>Periodo medio de pago (</w:t>
            </w:r>
            <w:r>
              <w:rPr>
                <w:color w:val="221F1F"/>
                <w:w w:val="105"/>
                <w:sz w:val="13"/>
              </w:rPr>
              <w:t>días</w:t>
            </w:r>
            <w:r>
              <w:rPr>
                <w:b/>
                <w:color w:val="221F1F"/>
                <w:w w:val="105"/>
                <w:sz w:val="13"/>
              </w:rPr>
              <w:t>)</w:t>
            </w:r>
          </w:p>
        </w:tc>
      </w:tr>
      <w:tr>
        <w:trPr>
          <w:trHeight w:val="215" w:hRule="atLeast"/>
        </w:trPr>
        <w:tc>
          <w:tcPr>
            <w:tcW w:w="862" w:type="dxa"/>
            <w:tcBorders>
              <w:top w:val="nil"/>
              <w:bottom w:val="nil"/>
            </w:tcBorders>
          </w:tcPr>
          <w:p>
            <w:pPr>
              <w:pStyle w:val="TableParagraph"/>
              <w:rPr>
                <w:rFonts w:ascii="Times New Roman"/>
                <w:sz w:val="14"/>
              </w:rPr>
            </w:pPr>
          </w:p>
        </w:tc>
        <w:tc>
          <w:tcPr>
            <w:tcW w:w="528" w:type="dxa"/>
            <w:tcBorders>
              <w:right w:val="nil"/>
            </w:tcBorders>
            <w:shd w:val="clear" w:color="auto" w:fill="DEEAF6"/>
          </w:tcPr>
          <w:p>
            <w:pPr>
              <w:pStyle w:val="TableParagraph"/>
              <w:spacing w:before="28"/>
              <w:ind w:left="131" w:right="127"/>
              <w:jc w:val="center"/>
              <w:rPr>
                <w:b/>
                <w:sz w:val="13"/>
              </w:rPr>
            </w:pPr>
            <w:r>
              <w:rPr>
                <w:b/>
                <w:w w:val="105"/>
                <w:sz w:val="13"/>
              </w:rPr>
              <w:t>ENE</w:t>
            </w:r>
          </w:p>
        </w:tc>
        <w:tc>
          <w:tcPr>
            <w:tcW w:w="525" w:type="dxa"/>
            <w:tcBorders>
              <w:left w:val="nil"/>
              <w:right w:val="nil"/>
            </w:tcBorders>
            <w:shd w:val="clear" w:color="auto" w:fill="DEEAF6"/>
          </w:tcPr>
          <w:p>
            <w:pPr>
              <w:pStyle w:val="TableParagraph"/>
              <w:spacing w:before="28"/>
              <w:ind w:left="104" w:right="99"/>
              <w:jc w:val="center"/>
              <w:rPr>
                <w:b/>
                <w:sz w:val="13"/>
              </w:rPr>
            </w:pPr>
            <w:r>
              <w:rPr>
                <w:b/>
                <w:w w:val="105"/>
                <w:sz w:val="13"/>
              </w:rPr>
              <w:t>FEB</w:t>
            </w:r>
          </w:p>
        </w:tc>
        <w:tc>
          <w:tcPr>
            <w:tcW w:w="527" w:type="dxa"/>
            <w:tcBorders>
              <w:left w:val="nil"/>
              <w:right w:val="nil"/>
            </w:tcBorders>
            <w:shd w:val="clear" w:color="auto" w:fill="DEEAF6"/>
          </w:tcPr>
          <w:p>
            <w:pPr>
              <w:pStyle w:val="TableParagraph"/>
              <w:spacing w:before="28"/>
              <w:ind w:left="108" w:right="99"/>
              <w:jc w:val="center"/>
              <w:rPr>
                <w:b/>
                <w:sz w:val="13"/>
              </w:rPr>
            </w:pPr>
            <w:r>
              <w:rPr>
                <w:b/>
                <w:w w:val="105"/>
                <w:sz w:val="13"/>
              </w:rPr>
              <w:t>MAR</w:t>
            </w:r>
          </w:p>
        </w:tc>
        <w:tc>
          <w:tcPr>
            <w:tcW w:w="527" w:type="dxa"/>
            <w:tcBorders>
              <w:left w:val="nil"/>
              <w:right w:val="nil"/>
            </w:tcBorders>
            <w:shd w:val="clear" w:color="auto" w:fill="DEEAF6"/>
          </w:tcPr>
          <w:p>
            <w:pPr>
              <w:pStyle w:val="TableParagraph"/>
              <w:spacing w:before="28"/>
              <w:ind w:left="108" w:right="95"/>
              <w:jc w:val="center"/>
              <w:rPr>
                <w:b/>
                <w:sz w:val="13"/>
              </w:rPr>
            </w:pPr>
            <w:r>
              <w:rPr>
                <w:b/>
                <w:w w:val="105"/>
                <w:sz w:val="13"/>
              </w:rPr>
              <w:t>ABR</w:t>
            </w:r>
          </w:p>
        </w:tc>
        <w:tc>
          <w:tcPr>
            <w:tcW w:w="525" w:type="dxa"/>
            <w:tcBorders>
              <w:left w:val="nil"/>
              <w:right w:val="nil"/>
            </w:tcBorders>
            <w:shd w:val="clear" w:color="auto" w:fill="DEEAF6"/>
          </w:tcPr>
          <w:p>
            <w:pPr>
              <w:pStyle w:val="TableParagraph"/>
              <w:spacing w:before="28"/>
              <w:ind w:left="113" w:right="99"/>
              <w:jc w:val="center"/>
              <w:rPr>
                <w:b/>
                <w:sz w:val="13"/>
              </w:rPr>
            </w:pPr>
            <w:r>
              <w:rPr>
                <w:b/>
                <w:w w:val="105"/>
                <w:sz w:val="13"/>
              </w:rPr>
              <w:t>MAY</w:t>
            </w:r>
          </w:p>
        </w:tc>
        <w:tc>
          <w:tcPr>
            <w:tcW w:w="527" w:type="dxa"/>
            <w:tcBorders>
              <w:left w:val="nil"/>
              <w:right w:val="nil"/>
            </w:tcBorders>
            <w:shd w:val="clear" w:color="auto" w:fill="DEEAF6"/>
          </w:tcPr>
          <w:p>
            <w:pPr>
              <w:pStyle w:val="TableParagraph"/>
              <w:spacing w:before="28"/>
              <w:ind w:left="108" w:right="94"/>
              <w:jc w:val="center"/>
              <w:rPr>
                <w:b/>
                <w:sz w:val="13"/>
              </w:rPr>
            </w:pPr>
            <w:r>
              <w:rPr>
                <w:b/>
                <w:w w:val="105"/>
                <w:sz w:val="13"/>
              </w:rPr>
              <w:t>JUN</w:t>
            </w:r>
          </w:p>
        </w:tc>
        <w:tc>
          <w:tcPr>
            <w:tcW w:w="527" w:type="dxa"/>
            <w:tcBorders>
              <w:left w:val="nil"/>
              <w:right w:val="nil"/>
            </w:tcBorders>
            <w:shd w:val="clear" w:color="auto" w:fill="DEEAF6"/>
          </w:tcPr>
          <w:p>
            <w:pPr>
              <w:pStyle w:val="TableParagraph"/>
              <w:spacing w:before="28"/>
              <w:ind w:left="108" w:right="87"/>
              <w:jc w:val="center"/>
              <w:rPr>
                <w:b/>
                <w:sz w:val="13"/>
              </w:rPr>
            </w:pPr>
            <w:r>
              <w:rPr>
                <w:b/>
                <w:w w:val="105"/>
                <w:sz w:val="13"/>
              </w:rPr>
              <w:t>JUL</w:t>
            </w:r>
          </w:p>
        </w:tc>
        <w:tc>
          <w:tcPr>
            <w:tcW w:w="528" w:type="dxa"/>
            <w:tcBorders>
              <w:left w:val="nil"/>
              <w:right w:val="nil"/>
            </w:tcBorders>
            <w:shd w:val="clear" w:color="auto" w:fill="DEEAF6"/>
          </w:tcPr>
          <w:p>
            <w:pPr>
              <w:pStyle w:val="TableParagraph"/>
              <w:spacing w:before="28"/>
              <w:ind w:left="123" w:right="102"/>
              <w:jc w:val="center"/>
              <w:rPr>
                <w:b/>
                <w:sz w:val="13"/>
              </w:rPr>
            </w:pPr>
            <w:r>
              <w:rPr>
                <w:b/>
                <w:w w:val="105"/>
                <w:sz w:val="13"/>
              </w:rPr>
              <w:t>AGO</w:t>
            </w:r>
          </w:p>
        </w:tc>
        <w:tc>
          <w:tcPr>
            <w:tcW w:w="525" w:type="dxa"/>
            <w:tcBorders>
              <w:left w:val="nil"/>
              <w:right w:val="nil"/>
            </w:tcBorders>
            <w:shd w:val="clear" w:color="auto" w:fill="DEEAF6"/>
          </w:tcPr>
          <w:p>
            <w:pPr>
              <w:pStyle w:val="TableParagraph"/>
              <w:spacing w:before="28"/>
              <w:ind w:left="113" w:right="90"/>
              <w:jc w:val="center"/>
              <w:rPr>
                <w:b/>
                <w:sz w:val="13"/>
              </w:rPr>
            </w:pPr>
            <w:r>
              <w:rPr>
                <w:b/>
                <w:w w:val="105"/>
                <w:sz w:val="13"/>
              </w:rPr>
              <w:t>SEP</w:t>
            </w:r>
          </w:p>
        </w:tc>
        <w:tc>
          <w:tcPr>
            <w:tcW w:w="527" w:type="dxa"/>
            <w:tcBorders>
              <w:left w:val="nil"/>
              <w:right w:val="nil"/>
            </w:tcBorders>
            <w:shd w:val="clear" w:color="auto" w:fill="DEEAF6"/>
          </w:tcPr>
          <w:p>
            <w:pPr>
              <w:pStyle w:val="TableParagraph"/>
              <w:spacing w:before="28"/>
              <w:ind w:left="108" w:right="83"/>
              <w:jc w:val="center"/>
              <w:rPr>
                <w:b/>
                <w:sz w:val="13"/>
              </w:rPr>
            </w:pPr>
            <w:r>
              <w:rPr>
                <w:b/>
                <w:w w:val="105"/>
                <w:sz w:val="13"/>
              </w:rPr>
              <w:t>OCT</w:t>
            </w:r>
          </w:p>
        </w:tc>
        <w:tc>
          <w:tcPr>
            <w:tcW w:w="527" w:type="dxa"/>
            <w:tcBorders>
              <w:left w:val="nil"/>
              <w:right w:val="nil"/>
            </w:tcBorders>
            <w:shd w:val="clear" w:color="auto" w:fill="DEEAF6"/>
          </w:tcPr>
          <w:p>
            <w:pPr>
              <w:pStyle w:val="TableParagraph"/>
              <w:spacing w:before="28"/>
              <w:ind w:left="108" w:right="84"/>
              <w:jc w:val="center"/>
              <w:rPr>
                <w:b/>
                <w:sz w:val="13"/>
              </w:rPr>
            </w:pPr>
            <w:r>
              <w:rPr>
                <w:b/>
                <w:w w:val="105"/>
                <w:sz w:val="13"/>
              </w:rPr>
              <w:t>NOV</w:t>
            </w:r>
          </w:p>
        </w:tc>
        <w:tc>
          <w:tcPr>
            <w:tcW w:w="531" w:type="dxa"/>
            <w:tcBorders>
              <w:left w:val="nil"/>
            </w:tcBorders>
            <w:shd w:val="clear" w:color="auto" w:fill="DEEAF6"/>
          </w:tcPr>
          <w:p>
            <w:pPr>
              <w:pStyle w:val="TableParagraph"/>
              <w:spacing w:before="28"/>
              <w:ind w:left="162" w:right="129"/>
              <w:jc w:val="center"/>
              <w:rPr>
                <w:b/>
                <w:sz w:val="13"/>
              </w:rPr>
            </w:pPr>
            <w:r>
              <w:rPr>
                <w:b/>
                <w:w w:val="105"/>
                <w:sz w:val="13"/>
              </w:rPr>
              <w:t>DIC</w:t>
            </w:r>
          </w:p>
        </w:tc>
      </w:tr>
      <w:tr>
        <w:trPr>
          <w:trHeight w:val="226" w:hRule="atLeast"/>
        </w:trPr>
        <w:tc>
          <w:tcPr>
            <w:tcW w:w="862" w:type="dxa"/>
            <w:tcBorders>
              <w:top w:val="nil"/>
              <w:bottom w:val="nil"/>
            </w:tcBorders>
          </w:tcPr>
          <w:p>
            <w:pPr>
              <w:pStyle w:val="TableParagraph"/>
              <w:spacing w:before="28"/>
              <w:ind w:left="57"/>
              <w:rPr>
                <w:b/>
                <w:sz w:val="13"/>
              </w:rPr>
            </w:pPr>
            <w:r>
              <w:rPr>
                <w:b/>
                <w:w w:val="105"/>
                <w:sz w:val="13"/>
              </w:rPr>
              <w:t>ACCUEE</w:t>
            </w:r>
          </w:p>
        </w:tc>
        <w:tc>
          <w:tcPr>
            <w:tcW w:w="528" w:type="dxa"/>
            <w:tcBorders>
              <w:bottom w:val="nil"/>
            </w:tcBorders>
          </w:tcPr>
          <w:p>
            <w:pPr>
              <w:pStyle w:val="TableParagraph"/>
              <w:spacing w:before="34"/>
              <w:ind w:left="93" w:right="84"/>
              <w:jc w:val="center"/>
              <w:rPr>
                <w:sz w:val="12"/>
              </w:rPr>
            </w:pPr>
            <w:r>
              <w:rPr>
                <w:w w:val="105"/>
                <w:sz w:val="12"/>
              </w:rPr>
              <w:t>7,91</w:t>
            </w:r>
          </w:p>
        </w:tc>
        <w:tc>
          <w:tcPr>
            <w:tcW w:w="525" w:type="dxa"/>
            <w:tcBorders>
              <w:bottom w:val="nil"/>
            </w:tcBorders>
          </w:tcPr>
          <w:p>
            <w:pPr>
              <w:pStyle w:val="TableParagraph"/>
              <w:spacing w:before="34"/>
              <w:ind w:left="89" w:right="81"/>
              <w:jc w:val="center"/>
              <w:rPr>
                <w:sz w:val="12"/>
              </w:rPr>
            </w:pPr>
            <w:r>
              <w:rPr>
                <w:w w:val="105"/>
                <w:sz w:val="12"/>
              </w:rPr>
              <w:t>6,95</w:t>
            </w:r>
          </w:p>
        </w:tc>
        <w:tc>
          <w:tcPr>
            <w:tcW w:w="527" w:type="dxa"/>
            <w:tcBorders>
              <w:bottom w:val="nil"/>
            </w:tcBorders>
          </w:tcPr>
          <w:p>
            <w:pPr>
              <w:pStyle w:val="TableParagraph"/>
              <w:spacing w:before="34"/>
              <w:ind w:left="93" w:right="81"/>
              <w:jc w:val="center"/>
              <w:rPr>
                <w:sz w:val="12"/>
              </w:rPr>
            </w:pPr>
            <w:r>
              <w:rPr>
                <w:w w:val="105"/>
                <w:sz w:val="12"/>
              </w:rPr>
              <w:t>1,00</w:t>
            </w:r>
          </w:p>
        </w:tc>
        <w:tc>
          <w:tcPr>
            <w:tcW w:w="527" w:type="dxa"/>
            <w:tcBorders>
              <w:bottom w:val="nil"/>
            </w:tcBorders>
          </w:tcPr>
          <w:p>
            <w:pPr>
              <w:pStyle w:val="TableParagraph"/>
              <w:spacing w:before="34"/>
              <w:ind w:left="95" w:right="81"/>
              <w:jc w:val="center"/>
              <w:rPr>
                <w:sz w:val="12"/>
              </w:rPr>
            </w:pPr>
            <w:r>
              <w:rPr>
                <w:w w:val="105"/>
                <w:sz w:val="12"/>
              </w:rPr>
              <w:t>0,00</w:t>
            </w:r>
          </w:p>
        </w:tc>
        <w:tc>
          <w:tcPr>
            <w:tcW w:w="525" w:type="dxa"/>
            <w:tcBorders>
              <w:bottom w:val="nil"/>
            </w:tcBorders>
          </w:tcPr>
          <w:p>
            <w:pPr>
              <w:pStyle w:val="TableParagraph"/>
              <w:spacing w:before="34"/>
              <w:ind w:left="95" w:right="81"/>
              <w:jc w:val="center"/>
              <w:rPr>
                <w:sz w:val="12"/>
              </w:rPr>
            </w:pPr>
            <w:r>
              <w:rPr>
                <w:w w:val="105"/>
                <w:sz w:val="12"/>
              </w:rPr>
              <w:t>2,93</w:t>
            </w:r>
          </w:p>
        </w:tc>
        <w:tc>
          <w:tcPr>
            <w:tcW w:w="527" w:type="dxa"/>
            <w:tcBorders>
              <w:bottom w:val="nil"/>
            </w:tcBorders>
          </w:tcPr>
          <w:p>
            <w:pPr>
              <w:pStyle w:val="TableParagraph"/>
              <w:spacing w:before="34"/>
              <w:ind w:left="99" w:right="81"/>
              <w:jc w:val="center"/>
              <w:rPr>
                <w:sz w:val="12"/>
              </w:rPr>
            </w:pPr>
            <w:r>
              <w:rPr>
                <w:w w:val="105"/>
                <w:sz w:val="12"/>
              </w:rPr>
              <w:t>9,29</w:t>
            </w:r>
          </w:p>
        </w:tc>
        <w:tc>
          <w:tcPr>
            <w:tcW w:w="527" w:type="dxa"/>
            <w:tcBorders>
              <w:bottom w:val="nil"/>
            </w:tcBorders>
          </w:tcPr>
          <w:p>
            <w:pPr>
              <w:pStyle w:val="TableParagraph"/>
              <w:spacing w:before="34"/>
              <w:ind w:left="100" w:right="80"/>
              <w:jc w:val="center"/>
              <w:rPr>
                <w:sz w:val="12"/>
              </w:rPr>
            </w:pPr>
            <w:r>
              <w:rPr>
                <w:w w:val="105"/>
                <w:sz w:val="12"/>
              </w:rPr>
              <w:t>4,83</w:t>
            </w:r>
          </w:p>
        </w:tc>
        <w:tc>
          <w:tcPr>
            <w:tcW w:w="528" w:type="dxa"/>
            <w:tcBorders>
              <w:bottom w:val="nil"/>
            </w:tcBorders>
          </w:tcPr>
          <w:p>
            <w:pPr>
              <w:pStyle w:val="TableParagraph"/>
              <w:spacing w:before="34"/>
              <w:ind w:left="99" w:right="78"/>
              <w:jc w:val="center"/>
              <w:rPr>
                <w:sz w:val="12"/>
              </w:rPr>
            </w:pPr>
            <w:r>
              <w:rPr>
                <w:w w:val="105"/>
                <w:sz w:val="12"/>
              </w:rPr>
              <w:t>6,09</w:t>
            </w:r>
          </w:p>
        </w:tc>
        <w:tc>
          <w:tcPr>
            <w:tcW w:w="525" w:type="dxa"/>
            <w:tcBorders>
              <w:bottom w:val="nil"/>
            </w:tcBorders>
          </w:tcPr>
          <w:p>
            <w:pPr>
              <w:pStyle w:val="TableParagraph"/>
              <w:spacing w:before="34"/>
              <w:ind w:left="97" w:right="72"/>
              <w:jc w:val="center"/>
              <w:rPr>
                <w:sz w:val="12"/>
              </w:rPr>
            </w:pPr>
            <w:r>
              <w:rPr>
                <w:w w:val="105"/>
                <w:sz w:val="12"/>
              </w:rPr>
              <w:t>6,74</w:t>
            </w:r>
          </w:p>
        </w:tc>
        <w:tc>
          <w:tcPr>
            <w:tcW w:w="527" w:type="dxa"/>
            <w:tcBorders>
              <w:bottom w:val="nil"/>
            </w:tcBorders>
          </w:tcPr>
          <w:p>
            <w:pPr>
              <w:pStyle w:val="TableParagraph"/>
              <w:spacing w:before="34"/>
              <w:ind w:left="100" w:right="76"/>
              <w:jc w:val="center"/>
              <w:rPr>
                <w:sz w:val="12"/>
              </w:rPr>
            </w:pPr>
            <w:r>
              <w:rPr>
                <w:w w:val="105"/>
                <w:sz w:val="12"/>
              </w:rPr>
              <w:t>7,90</w:t>
            </w:r>
          </w:p>
        </w:tc>
        <w:tc>
          <w:tcPr>
            <w:tcW w:w="527" w:type="dxa"/>
            <w:tcBorders>
              <w:bottom w:val="nil"/>
            </w:tcBorders>
          </w:tcPr>
          <w:p>
            <w:pPr>
              <w:pStyle w:val="TableParagraph"/>
              <w:spacing w:before="34"/>
              <w:ind w:left="100" w:right="74"/>
              <w:jc w:val="center"/>
              <w:rPr>
                <w:sz w:val="12"/>
              </w:rPr>
            </w:pPr>
            <w:r>
              <w:rPr>
                <w:w w:val="105"/>
                <w:sz w:val="12"/>
              </w:rPr>
              <w:t>4,23</w:t>
            </w:r>
          </w:p>
        </w:tc>
        <w:tc>
          <w:tcPr>
            <w:tcW w:w="531" w:type="dxa"/>
            <w:tcBorders>
              <w:bottom w:val="nil"/>
            </w:tcBorders>
          </w:tcPr>
          <w:p>
            <w:pPr>
              <w:pStyle w:val="TableParagraph"/>
              <w:spacing w:before="34"/>
              <w:ind w:left="110" w:right="81"/>
              <w:jc w:val="center"/>
              <w:rPr>
                <w:sz w:val="12"/>
              </w:rPr>
            </w:pPr>
            <w:r>
              <w:rPr>
                <w:w w:val="105"/>
                <w:sz w:val="12"/>
              </w:rPr>
              <w:t>4,83</w:t>
            </w:r>
          </w:p>
        </w:tc>
      </w:tr>
      <w:tr>
        <w:trPr>
          <w:trHeight w:val="216" w:hRule="atLeast"/>
        </w:trPr>
        <w:tc>
          <w:tcPr>
            <w:tcW w:w="862" w:type="dxa"/>
            <w:tcBorders>
              <w:top w:val="nil"/>
              <w:bottom w:val="nil"/>
            </w:tcBorders>
          </w:tcPr>
          <w:p>
            <w:pPr>
              <w:pStyle w:val="TableParagraph"/>
              <w:spacing w:before="17"/>
              <w:ind w:left="57"/>
              <w:rPr>
                <w:b/>
                <w:sz w:val="13"/>
              </w:rPr>
            </w:pPr>
            <w:r>
              <w:rPr>
                <w:b/>
                <w:w w:val="105"/>
                <w:sz w:val="13"/>
              </w:rPr>
              <w:t>ICAP</w:t>
            </w:r>
          </w:p>
        </w:tc>
        <w:tc>
          <w:tcPr>
            <w:tcW w:w="528" w:type="dxa"/>
            <w:tcBorders>
              <w:top w:val="nil"/>
              <w:bottom w:val="nil"/>
            </w:tcBorders>
          </w:tcPr>
          <w:p>
            <w:pPr>
              <w:pStyle w:val="TableParagraph"/>
              <w:spacing w:before="25"/>
              <w:ind w:left="93" w:right="84"/>
              <w:jc w:val="center"/>
              <w:rPr>
                <w:sz w:val="12"/>
              </w:rPr>
            </w:pPr>
            <w:r>
              <w:rPr>
                <w:w w:val="105"/>
                <w:sz w:val="12"/>
              </w:rPr>
              <w:t>6,81</w:t>
            </w:r>
          </w:p>
        </w:tc>
        <w:tc>
          <w:tcPr>
            <w:tcW w:w="525" w:type="dxa"/>
            <w:tcBorders>
              <w:top w:val="nil"/>
              <w:bottom w:val="nil"/>
            </w:tcBorders>
          </w:tcPr>
          <w:p>
            <w:pPr>
              <w:pStyle w:val="TableParagraph"/>
              <w:spacing w:before="25"/>
              <w:ind w:left="89" w:right="81"/>
              <w:jc w:val="center"/>
              <w:rPr>
                <w:sz w:val="12"/>
              </w:rPr>
            </w:pPr>
            <w:r>
              <w:rPr>
                <w:w w:val="105"/>
                <w:sz w:val="12"/>
              </w:rPr>
              <w:t>7,84</w:t>
            </w:r>
          </w:p>
        </w:tc>
        <w:tc>
          <w:tcPr>
            <w:tcW w:w="527" w:type="dxa"/>
            <w:tcBorders>
              <w:top w:val="nil"/>
              <w:bottom w:val="nil"/>
            </w:tcBorders>
          </w:tcPr>
          <w:p>
            <w:pPr>
              <w:pStyle w:val="TableParagraph"/>
              <w:spacing w:before="25"/>
              <w:ind w:left="93" w:right="81"/>
              <w:jc w:val="center"/>
              <w:rPr>
                <w:sz w:val="12"/>
              </w:rPr>
            </w:pPr>
            <w:r>
              <w:rPr>
                <w:w w:val="105"/>
                <w:sz w:val="12"/>
              </w:rPr>
              <w:t>5,84</w:t>
            </w:r>
          </w:p>
        </w:tc>
        <w:tc>
          <w:tcPr>
            <w:tcW w:w="527" w:type="dxa"/>
            <w:tcBorders>
              <w:top w:val="nil"/>
              <w:bottom w:val="nil"/>
            </w:tcBorders>
          </w:tcPr>
          <w:p>
            <w:pPr>
              <w:pStyle w:val="TableParagraph"/>
              <w:spacing w:before="25"/>
              <w:ind w:left="95" w:right="81"/>
              <w:jc w:val="center"/>
              <w:rPr>
                <w:sz w:val="12"/>
              </w:rPr>
            </w:pPr>
            <w:r>
              <w:rPr>
                <w:w w:val="105"/>
                <w:sz w:val="12"/>
              </w:rPr>
              <w:t>6,46</w:t>
            </w:r>
          </w:p>
        </w:tc>
        <w:tc>
          <w:tcPr>
            <w:tcW w:w="525" w:type="dxa"/>
            <w:tcBorders>
              <w:top w:val="nil"/>
              <w:bottom w:val="nil"/>
            </w:tcBorders>
          </w:tcPr>
          <w:p>
            <w:pPr>
              <w:pStyle w:val="TableParagraph"/>
              <w:spacing w:before="25"/>
              <w:ind w:left="95" w:right="81"/>
              <w:jc w:val="center"/>
              <w:rPr>
                <w:sz w:val="12"/>
              </w:rPr>
            </w:pPr>
            <w:r>
              <w:rPr>
                <w:w w:val="105"/>
                <w:sz w:val="12"/>
              </w:rPr>
              <w:t>7,12</w:t>
            </w:r>
          </w:p>
        </w:tc>
        <w:tc>
          <w:tcPr>
            <w:tcW w:w="527" w:type="dxa"/>
            <w:tcBorders>
              <w:top w:val="nil"/>
              <w:bottom w:val="nil"/>
            </w:tcBorders>
          </w:tcPr>
          <w:p>
            <w:pPr>
              <w:pStyle w:val="TableParagraph"/>
              <w:spacing w:before="25"/>
              <w:ind w:left="99" w:right="81"/>
              <w:jc w:val="center"/>
              <w:rPr>
                <w:sz w:val="12"/>
              </w:rPr>
            </w:pPr>
            <w:r>
              <w:rPr>
                <w:w w:val="105"/>
                <w:sz w:val="12"/>
              </w:rPr>
              <w:t>5,96</w:t>
            </w:r>
          </w:p>
        </w:tc>
        <w:tc>
          <w:tcPr>
            <w:tcW w:w="527" w:type="dxa"/>
            <w:tcBorders>
              <w:top w:val="nil"/>
              <w:bottom w:val="nil"/>
            </w:tcBorders>
          </w:tcPr>
          <w:p>
            <w:pPr>
              <w:pStyle w:val="TableParagraph"/>
              <w:spacing w:before="25"/>
              <w:ind w:left="100" w:right="80"/>
              <w:jc w:val="center"/>
              <w:rPr>
                <w:sz w:val="12"/>
              </w:rPr>
            </w:pPr>
            <w:r>
              <w:rPr>
                <w:w w:val="105"/>
                <w:sz w:val="12"/>
              </w:rPr>
              <w:t>5,62</w:t>
            </w:r>
          </w:p>
        </w:tc>
        <w:tc>
          <w:tcPr>
            <w:tcW w:w="528" w:type="dxa"/>
            <w:tcBorders>
              <w:top w:val="nil"/>
              <w:bottom w:val="nil"/>
            </w:tcBorders>
          </w:tcPr>
          <w:p>
            <w:pPr>
              <w:pStyle w:val="TableParagraph"/>
              <w:spacing w:before="25"/>
              <w:ind w:left="99" w:right="78"/>
              <w:jc w:val="center"/>
              <w:rPr>
                <w:sz w:val="12"/>
              </w:rPr>
            </w:pPr>
            <w:r>
              <w:rPr>
                <w:w w:val="105"/>
                <w:sz w:val="12"/>
              </w:rPr>
              <w:t>6,45</w:t>
            </w:r>
          </w:p>
        </w:tc>
        <w:tc>
          <w:tcPr>
            <w:tcW w:w="525" w:type="dxa"/>
            <w:tcBorders>
              <w:top w:val="nil"/>
              <w:bottom w:val="nil"/>
            </w:tcBorders>
          </w:tcPr>
          <w:p>
            <w:pPr>
              <w:pStyle w:val="TableParagraph"/>
              <w:spacing w:before="25"/>
              <w:ind w:left="97" w:right="72"/>
              <w:jc w:val="center"/>
              <w:rPr>
                <w:sz w:val="12"/>
              </w:rPr>
            </w:pPr>
            <w:r>
              <w:rPr>
                <w:w w:val="105"/>
                <w:sz w:val="12"/>
              </w:rPr>
              <w:t>5,82</w:t>
            </w:r>
          </w:p>
        </w:tc>
        <w:tc>
          <w:tcPr>
            <w:tcW w:w="527" w:type="dxa"/>
            <w:tcBorders>
              <w:top w:val="nil"/>
              <w:bottom w:val="nil"/>
            </w:tcBorders>
          </w:tcPr>
          <w:p>
            <w:pPr>
              <w:pStyle w:val="TableParagraph"/>
              <w:spacing w:before="25"/>
              <w:ind w:left="100" w:right="76"/>
              <w:jc w:val="center"/>
              <w:rPr>
                <w:sz w:val="12"/>
              </w:rPr>
            </w:pPr>
            <w:r>
              <w:rPr>
                <w:w w:val="105"/>
                <w:sz w:val="12"/>
              </w:rPr>
              <w:t>7,26</w:t>
            </w:r>
          </w:p>
        </w:tc>
        <w:tc>
          <w:tcPr>
            <w:tcW w:w="527" w:type="dxa"/>
            <w:tcBorders>
              <w:top w:val="nil"/>
              <w:bottom w:val="nil"/>
            </w:tcBorders>
          </w:tcPr>
          <w:p>
            <w:pPr>
              <w:pStyle w:val="TableParagraph"/>
              <w:spacing w:before="25"/>
              <w:ind w:left="100" w:right="74"/>
              <w:jc w:val="center"/>
              <w:rPr>
                <w:sz w:val="12"/>
              </w:rPr>
            </w:pPr>
            <w:r>
              <w:rPr>
                <w:w w:val="105"/>
                <w:sz w:val="12"/>
              </w:rPr>
              <w:t>5,58</w:t>
            </w:r>
          </w:p>
        </w:tc>
        <w:tc>
          <w:tcPr>
            <w:tcW w:w="531" w:type="dxa"/>
            <w:tcBorders>
              <w:top w:val="nil"/>
              <w:bottom w:val="nil"/>
            </w:tcBorders>
          </w:tcPr>
          <w:p>
            <w:pPr>
              <w:pStyle w:val="TableParagraph"/>
              <w:spacing w:before="25"/>
              <w:ind w:left="110" w:right="81"/>
              <w:jc w:val="center"/>
              <w:rPr>
                <w:sz w:val="12"/>
              </w:rPr>
            </w:pPr>
            <w:r>
              <w:rPr>
                <w:w w:val="105"/>
                <w:sz w:val="12"/>
              </w:rPr>
              <w:t>5,51</w:t>
            </w:r>
          </w:p>
        </w:tc>
      </w:tr>
      <w:tr>
        <w:trPr>
          <w:trHeight w:val="216" w:hRule="atLeast"/>
        </w:trPr>
        <w:tc>
          <w:tcPr>
            <w:tcW w:w="862" w:type="dxa"/>
            <w:tcBorders>
              <w:top w:val="nil"/>
              <w:bottom w:val="nil"/>
            </w:tcBorders>
          </w:tcPr>
          <w:p>
            <w:pPr>
              <w:pStyle w:val="TableParagraph"/>
              <w:spacing w:before="18"/>
              <w:ind w:left="57"/>
              <w:rPr>
                <w:b/>
                <w:sz w:val="13"/>
              </w:rPr>
            </w:pPr>
            <w:r>
              <w:rPr>
                <w:b/>
                <w:w w:val="105"/>
                <w:sz w:val="13"/>
              </w:rPr>
              <w:t>ICCA</w:t>
            </w:r>
          </w:p>
        </w:tc>
        <w:tc>
          <w:tcPr>
            <w:tcW w:w="528" w:type="dxa"/>
            <w:tcBorders>
              <w:top w:val="nil"/>
              <w:bottom w:val="nil"/>
            </w:tcBorders>
          </w:tcPr>
          <w:p>
            <w:pPr>
              <w:pStyle w:val="TableParagraph"/>
              <w:spacing w:before="24"/>
              <w:ind w:left="91" w:right="84"/>
              <w:jc w:val="center"/>
              <w:rPr>
                <w:sz w:val="12"/>
              </w:rPr>
            </w:pPr>
            <w:r>
              <w:rPr>
                <w:w w:val="105"/>
                <w:sz w:val="12"/>
              </w:rPr>
              <w:t>13,54</w:t>
            </w:r>
          </w:p>
        </w:tc>
        <w:tc>
          <w:tcPr>
            <w:tcW w:w="525" w:type="dxa"/>
            <w:tcBorders>
              <w:top w:val="nil"/>
              <w:bottom w:val="nil"/>
            </w:tcBorders>
          </w:tcPr>
          <w:p>
            <w:pPr>
              <w:pStyle w:val="TableParagraph"/>
              <w:spacing w:before="24"/>
              <w:ind w:left="87" w:right="81"/>
              <w:jc w:val="center"/>
              <w:rPr>
                <w:sz w:val="12"/>
              </w:rPr>
            </w:pPr>
            <w:r>
              <w:rPr>
                <w:w w:val="105"/>
                <w:sz w:val="12"/>
              </w:rPr>
              <w:t>10,96</w:t>
            </w:r>
          </w:p>
        </w:tc>
        <w:tc>
          <w:tcPr>
            <w:tcW w:w="527" w:type="dxa"/>
            <w:tcBorders>
              <w:top w:val="nil"/>
              <w:bottom w:val="nil"/>
            </w:tcBorders>
          </w:tcPr>
          <w:p>
            <w:pPr>
              <w:pStyle w:val="TableParagraph"/>
              <w:spacing w:before="24"/>
              <w:ind w:left="91" w:right="81"/>
              <w:jc w:val="center"/>
              <w:rPr>
                <w:sz w:val="12"/>
              </w:rPr>
            </w:pPr>
            <w:r>
              <w:rPr>
                <w:w w:val="105"/>
                <w:sz w:val="12"/>
              </w:rPr>
              <w:t>27,92</w:t>
            </w:r>
          </w:p>
        </w:tc>
        <w:tc>
          <w:tcPr>
            <w:tcW w:w="527" w:type="dxa"/>
            <w:tcBorders>
              <w:top w:val="nil"/>
              <w:bottom w:val="nil"/>
            </w:tcBorders>
          </w:tcPr>
          <w:p>
            <w:pPr>
              <w:pStyle w:val="TableParagraph"/>
              <w:spacing w:before="24"/>
              <w:ind w:left="95" w:right="81"/>
              <w:jc w:val="center"/>
              <w:rPr>
                <w:sz w:val="12"/>
              </w:rPr>
            </w:pPr>
            <w:r>
              <w:rPr>
                <w:w w:val="105"/>
                <w:sz w:val="12"/>
              </w:rPr>
              <w:t>9,14</w:t>
            </w:r>
          </w:p>
        </w:tc>
        <w:tc>
          <w:tcPr>
            <w:tcW w:w="525" w:type="dxa"/>
            <w:tcBorders>
              <w:top w:val="nil"/>
              <w:bottom w:val="nil"/>
            </w:tcBorders>
          </w:tcPr>
          <w:p>
            <w:pPr>
              <w:pStyle w:val="TableParagraph"/>
              <w:spacing w:before="24"/>
              <w:ind w:left="93" w:right="81"/>
              <w:jc w:val="center"/>
              <w:rPr>
                <w:sz w:val="12"/>
              </w:rPr>
            </w:pPr>
            <w:r>
              <w:rPr>
                <w:w w:val="105"/>
                <w:sz w:val="12"/>
              </w:rPr>
              <w:t>10,21</w:t>
            </w:r>
          </w:p>
        </w:tc>
        <w:tc>
          <w:tcPr>
            <w:tcW w:w="527" w:type="dxa"/>
            <w:tcBorders>
              <w:top w:val="nil"/>
              <w:bottom w:val="nil"/>
            </w:tcBorders>
          </w:tcPr>
          <w:p>
            <w:pPr>
              <w:pStyle w:val="TableParagraph"/>
              <w:spacing w:before="24"/>
              <w:ind w:left="97" w:right="81"/>
              <w:jc w:val="center"/>
              <w:rPr>
                <w:sz w:val="12"/>
              </w:rPr>
            </w:pPr>
            <w:r>
              <w:rPr>
                <w:w w:val="105"/>
                <w:sz w:val="12"/>
              </w:rPr>
              <w:t>19,34</w:t>
            </w:r>
          </w:p>
        </w:tc>
        <w:tc>
          <w:tcPr>
            <w:tcW w:w="527" w:type="dxa"/>
            <w:tcBorders>
              <w:top w:val="nil"/>
              <w:bottom w:val="nil"/>
            </w:tcBorders>
          </w:tcPr>
          <w:p>
            <w:pPr>
              <w:pStyle w:val="TableParagraph"/>
              <w:spacing w:before="24"/>
              <w:ind w:left="100" w:right="78"/>
              <w:jc w:val="center"/>
              <w:rPr>
                <w:sz w:val="12"/>
              </w:rPr>
            </w:pPr>
            <w:r>
              <w:rPr>
                <w:w w:val="105"/>
                <w:sz w:val="12"/>
              </w:rPr>
              <w:t>11,51</w:t>
            </w:r>
          </w:p>
        </w:tc>
        <w:tc>
          <w:tcPr>
            <w:tcW w:w="528" w:type="dxa"/>
            <w:tcBorders>
              <w:top w:val="nil"/>
              <w:bottom w:val="nil"/>
            </w:tcBorders>
          </w:tcPr>
          <w:p>
            <w:pPr>
              <w:pStyle w:val="TableParagraph"/>
              <w:spacing w:before="24"/>
              <w:ind w:left="99" w:right="80"/>
              <w:jc w:val="center"/>
              <w:rPr>
                <w:sz w:val="12"/>
              </w:rPr>
            </w:pPr>
            <w:r>
              <w:rPr>
                <w:w w:val="105"/>
                <w:sz w:val="12"/>
              </w:rPr>
              <w:t>13,41</w:t>
            </w:r>
          </w:p>
        </w:tc>
        <w:tc>
          <w:tcPr>
            <w:tcW w:w="525" w:type="dxa"/>
            <w:tcBorders>
              <w:top w:val="nil"/>
              <w:bottom w:val="nil"/>
            </w:tcBorders>
          </w:tcPr>
          <w:p>
            <w:pPr>
              <w:pStyle w:val="TableParagraph"/>
              <w:spacing w:before="24"/>
              <w:ind w:left="97" w:right="74"/>
              <w:jc w:val="center"/>
              <w:rPr>
                <w:sz w:val="12"/>
              </w:rPr>
            </w:pPr>
            <w:r>
              <w:rPr>
                <w:w w:val="105"/>
                <w:sz w:val="12"/>
              </w:rPr>
              <w:t>24,98</w:t>
            </w:r>
          </w:p>
        </w:tc>
        <w:tc>
          <w:tcPr>
            <w:tcW w:w="527" w:type="dxa"/>
            <w:tcBorders>
              <w:top w:val="nil"/>
              <w:bottom w:val="nil"/>
            </w:tcBorders>
          </w:tcPr>
          <w:p>
            <w:pPr>
              <w:pStyle w:val="TableParagraph"/>
              <w:spacing w:before="24"/>
              <w:ind w:left="100" w:right="77"/>
              <w:jc w:val="center"/>
              <w:rPr>
                <w:sz w:val="12"/>
              </w:rPr>
            </w:pPr>
            <w:r>
              <w:rPr>
                <w:w w:val="105"/>
                <w:sz w:val="12"/>
              </w:rPr>
              <w:t>21,87</w:t>
            </w:r>
          </w:p>
        </w:tc>
        <w:tc>
          <w:tcPr>
            <w:tcW w:w="527" w:type="dxa"/>
            <w:tcBorders>
              <w:top w:val="nil"/>
              <w:bottom w:val="nil"/>
            </w:tcBorders>
          </w:tcPr>
          <w:p>
            <w:pPr>
              <w:pStyle w:val="TableParagraph"/>
              <w:spacing w:before="24"/>
              <w:ind w:left="100" w:right="76"/>
              <w:jc w:val="center"/>
              <w:rPr>
                <w:sz w:val="12"/>
              </w:rPr>
            </w:pPr>
            <w:r>
              <w:rPr>
                <w:w w:val="105"/>
                <w:sz w:val="12"/>
              </w:rPr>
              <w:t>12,00</w:t>
            </w:r>
          </w:p>
        </w:tc>
        <w:tc>
          <w:tcPr>
            <w:tcW w:w="531" w:type="dxa"/>
            <w:tcBorders>
              <w:top w:val="nil"/>
              <w:bottom w:val="nil"/>
            </w:tcBorders>
          </w:tcPr>
          <w:p>
            <w:pPr>
              <w:pStyle w:val="TableParagraph"/>
              <w:spacing w:before="24"/>
              <w:ind w:left="109" w:right="82"/>
              <w:jc w:val="center"/>
              <w:rPr>
                <w:sz w:val="12"/>
              </w:rPr>
            </w:pPr>
            <w:r>
              <w:rPr>
                <w:w w:val="105"/>
                <w:sz w:val="12"/>
              </w:rPr>
              <w:t>10,01</w:t>
            </w:r>
          </w:p>
        </w:tc>
      </w:tr>
      <w:tr>
        <w:trPr>
          <w:trHeight w:val="216" w:hRule="atLeast"/>
        </w:trPr>
        <w:tc>
          <w:tcPr>
            <w:tcW w:w="862" w:type="dxa"/>
            <w:tcBorders>
              <w:top w:val="nil"/>
              <w:bottom w:val="nil"/>
            </w:tcBorders>
          </w:tcPr>
          <w:p>
            <w:pPr>
              <w:pStyle w:val="TableParagraph"/>
              <w:spacing w:before="17"/>
              <w:ind w:left="57"/>
              <w:rPr>
                <w:b/>
                <w:sz w:val="13"/>
              </w:rPr>
            </w:pPr>
            <w:r>
              <w:rPr>
                <w:b/>
                <w:w w:val="105"/>
                <w:sz w:val="13"/>
              </w:rPr>
              <w:t>ISTAC</w:t>
            </w:r>
          </w:p>
        </w:tc>
        <w:tc>
          <w:tcPr>
            <w:tcW w:w="528" w:type="dxa"/>
            <w:tcBorders>
              <w:top w:val="nil"/>
              <w:bottom w:val="nil"/>
            </w:tcBorders>
          </w:tcPr>
          <w:p>
            <w:pPr>
              <w:pStyle w:val="TableParagraph"/>
              <w:spacing w:before="25"/>
              <w:ind w:left="93" w:right="84"/>
              <w:jc w:val="center"/>
              <w:rPr>
                <w:sz w:val="12"/>
              </w:rPr>
            </w:pPr>
            <w:r>
              <w:rPr>
                <w:w w:val="105"/>
                <w:sz w:val="12"/>
              </w:rPr>
              <w:t>7,87</w:t>
            </w:r>
          </w:p>
        </w:tc>
        <w:tc>
          <w:tcPr>
            <w:tcW w:w="525" w:type="dxa"/>
            <w:tcBorders>
              <w:top w:val="nil"/>
              <w:bottom w:val="nil"/>
            </w:tcBorders>
          </w:tcPr>
          <w:p>
            <w:pPr>
              <w:pStyle w:val="TableParagraph"/>
              <w:spacing w:before="25"/>
              <w:ind w:left="89" w:right="81"/>
              <w:jc w:val="center"/>
              <w:rPr>
                <w:sz w:val="12"/>
              </w:rPr>
            </w:pPr>
            <w:r>
              <w:rPr>
                <w:w w:val="105"/>
                <w:sz w:val="12"/>
              </w:rPr>
              <w:t>6,47</w:t>
            </w:r>
          </w:p>
        </w:tc>
        <w:tc>
          <w:tcPr>
            <w:tcW w:w="527" w:type="dxa"/>
            <w:tcBorders>
              <w:top w:val="nil"/>
              <w:bottom w:val="nil"/>
            </w:tcBorders>
          </w:tcPr>
          <w:p>
            <w:pPr>
              <w:pStyle w:val="TableParagraph"/>
              <w:spacing w:before="25"/>
              <w:ind w:left="93" w:right="81"/>
              <w:jc w:val="center"/>
              <w:rPr>
                <w:sz w:val="12"/>
              </w:rPr>
            </w:pPr>
            <w:r>
              <w:rPr>
                <w:w w:val="105"/>
                <w:sz w:val="12"/>
              </w:rPr>
              <w:t>6,00</w:t>
            </w:r>
          </w:p>
        </w:tc>
        <w:tc>
          <w:tcPr>
            <w:tcW w:w="527" w:type="dxa"/>
            <w:tcBorders>
              <w:top w:val="nil"/>
              <w:bottom w:val="nil"/>
            </w:tcBorders>
          </w:tcPr>
          <w:p>
            <w:pPr>
              <w:pStyle w:val="TableParagraph"/>
              <w:spacing w:before="25"/>
              <w:ind w:left="95" w:right="81"/>
              <w:jc w:val="center"/>
              <w:rPr>
                <w:sz w:val="12"/>
              </w:rPr>
            </w:pPr>
            <w:r>
              <w:rPr>
                <w:w w:val="105"/>
                <w:sz w:val="12"/>
              </w:rPr>
              <w:t>8,24</w:t>
            </w:r>
          </w:p>
        </w:tc>
        <w:tc>
          <w:tcPr>
            <w:tcW w:w="525" w:type="dxa"/>
            <w:tcBorders>
              <w:top w:val="nil"/>
              <w:bottom w:val="nil"/>
            </w:tcBorders>
          </w:tcPr>
          <w:p>
            <w:pPr>
              <w:pStyle w:val="TableParagraph"/>
              <w:spacing w:before="25"/>
              <w:ind w:left="95" w:right="81"/>
              <w:jc w:val="center"/>
              <w:rPr>
                <w:sz w:val="12"/>
              </w:rPr>
            </w:pPr>
            <w:r>
              <w:rPr>
                <w:w w:val="105"/>
                <w:sz w:val="12"/>
              </w:rPr>
              <w:t>6,18</w:t>
            </w:r>
          </w:p>
        </w:tc>
        <w:tc>
          <w:tcPr>
            <w:tcW w:w="527" w:type="dxa"/>
            <w:tcBorders>
              <w:top w:val="nil"/>
              <w:bottom w:val="nil"/>
            </w:tcBorders>
          </w:tcPr>
          <w:p>
            <w:pPr>
              <w:pStyle w:val="TableParagraph"/>
              <w:spacing w:before="25"/>
              <w:ind w:left="99" w:right="81"/>
              <w:jc w:val="center"/>
              <w:rPr>
                <w:sz w:val="12"/>
              </w:rPr>
            </w:pPr>
            <w:r>
              <w:rPr>
                <w:w w:val="105"/>
                <w:sz w:val="12"/>
              </w:rPr>
              <w:t>6,72</w:t>
            </w:r>
          </w:p>
        </w:tc>
        <w:tc>
          <w:tcPr>
            <w:tcW w:w="527" w:type="dxa"/>
            <w:tcBorders>
              <w:top w:val="nil"/>
              <w:bottom w:val="nil"/>
            </w:tcBorders>
          </w:tcPr>
          <w:p>
            <w:pPr>
              <w:pStyle w:val="TableParagraph"/>
              <w:spacing w:before="25"/>
              <w:ind w:left="100" w:right="80"/>
              <w:jc w:val="center"/>
              <w:rPr>
                <w:sz w:val="12"/>
              </w:rPr>
            </w:pPr>
            <w:r>
              <w:rPr>
                <w:w w:val="105"/>
                <w:sz w:val="12"/>
              </w:rPr>
              <w:t>6,61</w:t>
            </w:r>
          </w:p>
        </w:tc>
        <w:tc>
          <w:tcPr>
            <w:tcW w:w="528" w:type="dxa"/>
            <w:tcBorders>
              <w:top w:val="nil"/>
              <w:bottom w:val="nil"/>
            </w:tcBorders>
          </w:tcPr>
          <w:p>
            <w:pPr>
              <w:pStyle w:val="TableParagraph"/>
              <w:spacing w:before="25"/>
              <w:ind w:left="99" w:right="78"/>
              <w:jc w:val="center"/>
              <w:rPr>
                <w:sz w:val="12"/>
              </w:rPr>
            </w:pPr>
            <w:r>
              <w:rPr>
                <w:w w:val="105"/>
                <w:sz w:val="12"/>
              </w:rPr>
              <w:t>6,69</w:t>
            </w:r>
          </w:p>
        </w:tc>
        <w:tc>
          <w:tcPr>
            <w:tcW w:w="525" w:type="dxa"/>
            <w:tcBorders>
              <w:top w:val="nil"/>
              <w:bottom w:val="nil"/>
            </w:tcBorders>
          </w:tcPr>
          <w:p>
            <w:pPr>
              <w:pStyle w:val="TableParagraph"/>
              <w:spacing w:before="25"/>
              <w:ind w:left="97" w:right="72"/>
              <w:jc w:val="center"/>
              <w:rPr>
                <w:sz w:val="12"/>
              </w:rPr>
            </w:pPr>
            <w:r>
              <w:rPr>
                <w:w w:val="105"/>
                <w:sz w:val="12"/>
              </w:rPr>
              <w:t>1,46</w:t>
            </w:r>
          </w:p>
        </w:tc>
        <w:tc>
          <w:tcPr>
            <w:tcW w:w="527" w:type="dxa"/>
            <w:tcBorders>
              <w:top w:val="nil"/>
              <w:bottom w:val="nil"/>
            </w:tcBorders>
          </w:tcPr>
          <w:p>
            <w:pPr>
              <w:pStyle w:val="TableParagraph"/>
              <w:spacing w:before="25"/>
              <w:ind w:left="100" w:right="76"/>
              <w:jc w:val="center"/>
              <w:rPr>
                <w:sz w:val="12"/>
              </w:rPr>
            </w:pPr>
            <w:r>
              <w:rPr>
                <w:w w:val="105"/>
                <w:sz w:val="12"/>
              </w:rPr>
              <w:t>6,59</w:t>
            </w:r>
          </w:p>
        </w:tc>
        <w:tc>
          <w:tcPr>
            <w:tcW w:w="527" w:type="dxa"/>
            <w:tcBorders>
              <w:top w:val="nil"/>
              <w:bottom w:val="nil"/>
            </w:tcBorders>
          </w:tcPr>
          <w:p>
            <w:pPr>
              <w:pStyle w:val="TableParagraph"/>
              <w:spacing w:before="25"/>
              <w:ind w:left="100" w:right="74"/>
              <w:jc w:val="center"/>
              <w:rPr>
                <w:sz w:val="12"/>
              </w:rPr>
            </w:pPr>
            <w:r>
              <w:rPr>
                <w:w w:val="105"/>
                <w:sz w:val="12"/>
              </w:rPr>
              <w:t>6,05</w:t>
            </w:r>
          </w:p>
        </w:tc>
        <w:tc>
          <w:tcPr>
            <w:tcW w:w="531" w:type="dxa"/>
            <w:tcBorders>
              <w:top w:val="nil"/>
              <w:bottom w:val="nil"/>
            </w:tcBorders>
          </w:tcPr>
          <w:p>
            <w:pPr>
              <w:pStyle w:val="TableParagraph"/>
              <w:spacing w:before="25"/>
              <w:ind w:left="110" w:right="81"/>
              <w:jc w:val="center"/>
              <w:rPr>
                <w:sz w:val="12"/>
              </w:rPr>
            </w:pPr>
            <w:r>
              <w:rPr>
                <w:w w:val="105"/>
                <w:sz w:val="12"/>
              </w:rPr>
              <w:t>6,92</w:t>
            </w:r>
          </w:p>
        </w:tc>
      </w:tr>
      <w:tr>
        <w:trPr>
          <w:trHeight w:val="216" w:hRule="atLeast"/>
        </w:trPr>
        <w:tc>
          <w:tcPr>
            <w:tcW w:w="862" w:type="dxa"/>
            <w:tcBorders>
              <w:top w:val="nil"/>
              <w:bottom w:val="nil"/>
            </w:tcBorders>
          </w:tcPr>
          <w:p>
            <w:pPr>
              <w:pStyle w:val="TableParagraph"/>
              <w:spacing w:before="19"/>
              <w:ind w:left="57"/>
              <w:rPr>
                <w:b/>
                <w:sz w:val="13"/>
              </w:rPr>
            </w:pPr>
            <w:r>
              <w:rPr>
                <w:b/>
                <w:w w:val="105"/>
                <w:sz w:val="13"/>
              </w:rPr>
              <w:t>ICHH</w:t>
            </w:r>
          </w:p>
        </w:tc>
        <w:tc>
          <w:tcPr>
            <w:tcW w:w="528" w:type="dxa"/>
            <w:tcBorders>
              <w:top w:val="nil"/>
              <w:bottom w:val="nil"/>
            </w:tcBorders>
          </w:tcPr>
          <w:p>
            <w:pPr>
              <w:pStyle w:val="TableParagraph"/>
              <w:spacing w:before="24"/>
              <w:ind w:left="91" w:right="84"/>
              <w:jc w:val="center"/>
              <w:rPr>
                <w:sz w:val="12"/>
              </w:rPr>
            </w:pPr>
            <w:r>
              <w:rPr>
                <w:w w:val="105"/>
                <w:sz w:val="12"/>
              </w:rPr>
              <w:t>60,55</w:t>
            </w:r>
          </w:p>
        </w:tc>
        <w:tc>
          <w:tcPr>
            <w:tcW w:w="525" w:type="dxa"/>
            <w:tcBorders>
              <w:top w:val="nil"/>
              <w:bottom w:val="nil"/>
            </w:tcBorders>
          </w:tcPr>
          <w:p>
            <w:pPr>
              <w:pStyle w:val="TableParagraph"/>
              <w:spacing w:before="24"/>
              <w:ind w:left="87" w:right="81"/>
              <w:jc w:val="center"/>
              <w:rPr>
                <w:sz w:val="12"/>
              </w:rPr>
            </w:pPr>
            <w:r>
              <w:rPr>
                <w:w w:val="105"/>
                <w:sz w:val="12"/>
              </w:rPr>
              <w:t>55,33</w:t>
            </w:r>
          </w:p>
        </w:tc>
        <w:tc>
          <w:tcPr>
            <w:tcW w:w="527" w:type="dxa"/>
            <w:tcBorders>
              <w:top w:val="nil"/>
              <w:bottom w:val="nil"/>
            </w:tcBorders>
          </w:tcPr>
          <w:p>
            <w:pPr>
              <w:pStyle w:val="TableParagraph"/>
              <w:spacing w:before="24"/>
              <w:ind w:left="91" w:right="81"/>
              <w:jc w:val="center"/>
              <w:rPr>
                <w:sz w:val="12"/>
              </w:rPr>
            </w:pPr>
            <w:r>
              <w:rPr>
                <w:w w:val="105"/>
                <w:sz w:val="12"/>
              </w:rPr>
              <w:t>61,85</w:t>
            </w:r>
          </w:p>
        </w:tc>
        <w:tc>
          <w:tcPr>
            <w:tcW w:w="527" w:type="dxa"/>
            <w:tcBorders>
              <w:top w:val="nil"/>
              <w:bottom w:val="nil"/>
            </w:tcBorders>
          </w:tcPr>
          <w:p>
            <w:pPr>
              <w:pStyle w:val="TableParagraph"/>
              <w:spacing w:before="24"/>
              <w:ind w:left="93" w:right="81"/>
              <w:jc w:val="center"/>
              <w:rPr>
                <w:sz w:val="12"/>
              </w:rPr>
            </w:pPr>
            <w:r>
              <w:rPr>
                <w:w w:val="105"/>
                <w:sz w:val="12"/>
              </w:rPr>
              <w:t>57,18</w:t>
            </w:r>
          </w:p>
        </w:tc>
        <w:tc>
          <w:tcPr>
            <w:tcW w:w="525" w:type="dxa"/>
            <w:tcBorders>
              <w:top w:val="nil"/>
              <w:bottom w:val="nil"/>
            </w:tcBorders>
          </w:tcPr>
          <w:p>
            <w:pPr>
              <w:pStyle w:val="TableParagraph"/>
              <w:spacing w:before="24"/>
              <w:ind w:left="93" w:right="81"/>
              <w:jc w:val="center"/>
              <w:rPr>
                <w:sz w:val="12"/>
              </w:rPr>
            </w:pPr>
            <w:r>
              <w:rPr>
                <w:w w:val="105"/>
                <w:sz w:val="12"/>
              </w:rPr>
              <w:t>57,50</w:t>
            </w:r>
          </w:p>
        </w:tc>
        <w:tc>
          <w:tcPr>
            <w:tcW w:w="527" w:type="dxa"/>
            <w:tcBorders>
              <w:top w:val="nil"/>
              <w:bottom w:val="nil"/>
            </w:tcBorders>
          </w:tcPr>
          <w:p>
            <w:pPr>
              <w:pStyle w:val="TableParagraph"/>
              <w:spacing w:before="24"/>
              <w:ind w:left="97" w:right="81"/>
              <w:jc w:val="center"/>
              <w:rPr>
                <w:sz w:val="12"/>
              </w:rPr>
            </w:pPr>
            <w:r>
              <w:rPr>
                <w:w w:val="105"/>
                <w:sz w:val="12"/>
              </w:rPr>
              <w:t>60,84</w:t>
            </w:r>
          </w:p>
        </w:tc>
        <w:tc>
          <w:tcPr>
            <w:tcW w:w="527" w:type="dxa"/>
            <w:tcBorders>
              <w:top w:val="nil"/>
              <w:bottom w:val="nil"/>
            </w:tcBorders>
          </w:tcPr>
          <w:p>
            <w:pPr>
              <w:pStyle w:val="TableParagraph"/>
              <w:spacing w:before="24"/>
              <w:ind w:left="100" w:right="78"/>
              <w:jc w:val="center"/>
              <w:rPr>
                <w:sz w:val="12"/>
              </w:rPr>
            </w:pPr>
            <w:r>
              <w:rPr>
                <w:w w:val="105"/>
                <w:sz w:val="12"/>
              </w:rPr>
              <w:t>56,64</w:t>
            </w:r>
          </w:p>
        </w:tc>
        <w:tc>
          <w:tcPr>
            <w:tcW w:w="528" w:type="dxa"/>
            <w:tcBorders>
              <w:top w:val="nil"/>
              <w:bottom w:val="nil"/>
            </w:tcBorders>
          </w:tcPr>
          <w:p>
            <w:pPr>
              <w:pStyle w:val="TableParagraph"/>
              <w:spacing w:before="24"/>
              <w:ind w:left="99" w:right="80"/>
              <w:jc w:val="center"/>
              <w:rPr>
                <w:sz w:val="12"/>
              </w:rPr>
            </w:pPr>
            <w:r>
              <w:rPr>
                <w:w w:val="105"/>
                <w:sz w:val="12"/>
              </w:rPr>
              <w:t>53,00</w:t>
            </w:r>
          </w:p>
        </w:tc>
        <w:tc>
          <w:tcPr>
            <w:tcW w:w="525" w:type="dxa"/>
            <w:tcBorders>
              <w:top w:val="nil"/>
              <w:bottom w:val="nil"/>
            </w:tcBorders>
          </w:tcPr>
          <w:p>
            <w:pPr>
              <w:pStyle w:val="TableParagraph"/>
              <w:spacing w:before="24"/>
              <w:ind w:left="97" w:right="74"/>
              <w:jc w:val="center"/>
              <w:rPr>
                <w:sz w:val="12"/>
              </w:rPr>
            </w:pPr>
            <w:r>
              <w:rPr>
                <w:w w:val="105"/>
                <w:sz w:val="12"/>
              </w:rPr>
              <w:t>54,60</w:t>
            </w:r>
          </w:p>
        </w:tc>
        <w:tc>
          <w:tcPr>
            <w:tcW w:w="527" w:type="dxa"/>
            <w:tcBorders>
              <w:top w:val="nil"/>
              <w:bottom w:val="nil"/>
            </w:tcBorders>
          </w:tcPr>
          <w:p>
            <w:pPr>
              <w:pStyle w:val="TableParagraph"/>
              <w:spacing w:before="24"/>
              <w:ind w:left="100" w:right="77"/>
              <w:jc w:val="center"/>
              <w:rPr>
                <w:sz w:val="12"/>
              </w:rPr>
            </w:pPr>
            <w:r>
              <w:rPr>
                <w:w w:val="105"/>
                <w:sz w:val="12"/>
              </w:rPr>
              <w:t>62,62</w:t>
            </w:r>
          </w:p>
        </w:tc>
        <w:tc>
          <w:tcPr>
            <w:tcW w:w="527" w:type="dxa"/>
            <w:tcBorders>
              <w:top w:val="nil"/>
              <w:bottom w:val="nil"/>
            </w:tcBorders>
          </w:tcPr>
          <w:p>
            <w:pPr>
              <w:pStyle w:val="TableParagraph"/>
              <w:spacing w:before="24"/>
              <w:ind w:left="100" w:right="76"/>
              <w:jc w:val="center"/>
              <w:rPr>
                <w:sz w:val="12"/>
              </w:rPr>
            </w:pPr>
            <w:r>
              <w:rPr>
                <w:w w:val="105"/>
                <w:sz w:val="12"/>
              </w:rPr>
              <w:t>61,02</w:t>
            </w:r>
          </w:p>
        </w:tc>
        <w:tc>
          <w:tcPr>
            <w:tcW w:w="531" w:type="dxa"/>
            <w:tcBorders>
              <w:top w:val="nil"/>
              <w:bottom w:val="nil"/>
            </w:tcBorders>
          </w:tcPr>
          <w:p>
            <w:pPr>
              <w:pStyle w:val="TableParagraph"/>
              <w:spacing w:before="24"/>
              <w:ind w:left="109" w:right="82"/>
              <w:jc w:val="center"/>
              <w:rPr>
                <w:sz w:val="12"/>
              </w:rPr>
            </w:pPr>
            <w:r>
              <w:rPr>
                <w:w w:val="105"/>
                <w:sz w:val="12"/>
              </w:rPr>
              <w:t>52,57</w:t>
            </w:r>
          </w:p>
        </w:tc>
      </w:tr>
      <w:tr>
        <w:trPr>
          <w:trHeight w:val="216" w:hRule="atLeast"/>
        </w:trPr>
        <w:tc>
          <w:tcPr>
            <w:tcW w:w="862" w:type="dxa"/>
            <w:tcBorders>
              <w:top w:val="nil"/>
              <w:bottom w:val="nil"/>
            </w:tcBorders>
          </w:tcPr>
          <w:p>
            <w:pPr>
              <w:pStyle w:val="TableParagraph"/>
              <w:spacing w:before="17"/>
              <w:ind w:left="57"/>
              <w:rPr>
                <w:b/>
                <w:sz w:val="13"/>
              </w:rPr>
            </w:pPr>
            <w:r>
              <w:rPr>
                <w:b/>
                <w:w w:val="105"/>
                <w:sz w:val="13"/>
              </w:rPr>
              <w:t>ICI</w:t>
            </w:r>
          </w:p>
        </w:tc>
        <w:tc>
          <w:tcPr>
            <w:tcW w:w="528" w:type="dxa"/>
            <w:tcBorders>
              <w:top w:val="nil"/>
              <w:bottom w:val="nil"/>
            </w:tcBorders>
          </w:tcPr>
          <w:p>
            <w:pPr>
              <w:pStyle w:val="TableParagraph"/>
              <w:spacing w:before="25"/>
              <w:ind w:left="93" w:right="84"/>
              <w:jc w:val="center"/>
              <w:rPr>
                <w:sz w:val="12"/>
              </w:rPr>
            </w:pPr>
            <w:r>
              <w:rPr>
                <w:w w:val="105"/>
                <w:sz w:val="12"/>
              </w:rPr>
              <w:t>5,97</w:t>
            </w:r>
          </w:p>
        </w:tc>
        <w:tc>
          <w:tcPr>
            <w:tcW w:w="525" w:type="dxa"/>
            <w:tcBorders>
              <w:top w:val="nil"/>
              <w:bottom w:val="nil"/>
            </w:tcBorders>
          </w:tcPr>
          <w:p>
            <w:pPr>
              <w:pStyle w:val="TableParagraph"/>
              <w:spacing w:before="25"/>
              <w:ind w:left="89" w:right="81"/>
              <w:jc w:val="center"/>
              <w:rPr>
                <w:sz w:val="12"/>
              </w:rPr>
            </w:pPr>
            <w:r>
              <w:rPr>
                <w:w w:val="105"/>
                <w:sz w:val="12"/>
              </w:rPr>
              <w:t>5,91</w:t>
            </w:r>
          </w:p>
        </w:tc>
        <w:tc>
          <w:tcPr>
            <w:tcW w:w="527" w:type="dxa"/>
            <w:tcBorders>
              <w:top w:val="nil"/>
              <w:bottom w:val="nil"/>
            </w:tcBorders>
          </w:tcPr>
          <w:p>
            <w:pPr>
              <w:pStyle w:val="TableParagraph"/>
              <w:spacing w:before="25"/>
              <w:ind w:left="93" w:right="81"/>
              <w:jc w:val="center"/>
              <w:rPr>
                <w:sz w:val="12"/>
              </w:rPr>
            </w:pPr>
            <w:r>
              <w:rPr>
                <w:w w:val="105"/>
                <w:sz w:val="12"/>
              </w:rPr>
              <w:t>5,55</w:t>
            </w:r>
          </w:p>
        </w:tc>
        <w:tc>
          <w:tcPr>
            <w:tcW w:w="527" w:type="dxa"/>
            <w:tcBorders>
              <w:top w:val="nil"/>
              <w:bottom w:val="nil"/>
            </w:tcBorders>
          </w:tcPr>
          <w:p>
            <w:pPr>
              <w:pStyle w:val="TableParagraph"/>
              <w:spacing w:before="25"/>
              <w:ind w:left="95" w:right="81"/>
              <w:jc w:val="center"/>
              <w:rPr>
                <w:sz w:val="12"/>
              </w:rPr>
            </w:pPr>
            <w:r>
              <w:rPr>
                <w:w w:val="105"/>
                <w:sz w:val="12"/>
              </w:rPr>
              <w:t>6,14</w:t>
            </w:r>
          </w:p>
        </w:tc>
        <w:tc>
          <w:tcPr>
            <w:tcW w:w="525" w:type="dxa"/>
            <w:tcBorders>
              <w:top w:val="nil"/>
              <w:bottom w:val="nil"/>
            </w:tcBorders>
          </w:tcPr>
          <w:p>
            <w:pPr>
              <w:pStyle w:val="TableParagraph"/>
              <w:spacing w:before="25"/>
              <w:ind w:left="95" w:right="81"/>
              <w:jc w:val="center"/>
              <w:rPr>
                <w:sz w:val="12"/>
              </w:rPr>
            </w:pPr>
            <w:r>
              <w:rPr>
                <w:w w:val="105"/>
                <w:sz w:val="12"/>
              </w:rPr>
              <w:t>6,43</w:t>
            </w:r>
          </w:p>
        </w:tc>
        <w:tc>
          <w:tcPr>
            <w:tcW w:w="527" w:type="dxa"/>
            <w:tcBorders>
              <w:top w:val="nil"/>
              <w:bottom w:val="nil"/>
            </w:tcBorders>
          </w:tcPr>
          <w:p>
            <w:pPr>
              <w:pStyle w:val="TableParagraph"/>
              <w:spacing w:before="25"/>
              <w:ind w:left="99" w:right="81"/>
              <w:jc w:val="center"/>
              <w:rPr>
                <w:sz w:val="12"/>
              </w:rPr>
            </w:pPr>
            <w:r>
              <w:rPr>
                <w:w w:val="105"/>
                <w:sz w:val="12"/>
              </w:rPr>
              <w:t>4,30</w:t>
            </w:r>
          </w:p>
        </w:tc>
        <w:tc>
          <w:tcPr>
            <w:tcW w:w="527" w:type="dxa"/>
            <w:tcBorders>
              <w:top w:val="nil"/>
              <w:bottom w:val="nil"/>
            </w:tcBorders>
          </w:tcPr>
          <w:p>
            <w:pPr>
              <w:pStyle w:val="TableParagraph"/>
              <w:spacing w:before="25"/>
              <w:ind w:left="100" w:right="80"/>
              <w:jc w:val="center"/>
              <w:rPr>
                <w:sz w:val="12"/>
              </w:rPr>
            </w:pPr>
            <w:r>
              <w:rPr>
                <w:w w:val="105"/>
                <w:sz w:val="12"/>
              </w:rPr>
              <w:t>4,28</w:t>
            </w:r>
          </w:p>
        </w:tc>
        <w:tc>
          <w:tcPr>
            <w:tcW w:w="528" w:type="dxa"/>
            <w:tcBorders>
              <w:top w:val="nil"/>
              <w:bottom w:val="nil"/>
            </w:tcBorders>
          </w:tcPr>
          <w:p>
            <w:pPr>
              <w:pStyle w:val="TableParagraph"/>
              <w:spacing w:before="25"/>
              <w:ind w:left="99" w:right="78"/>
              <w:jc w:val="center"/>
              <w:rPr>
                <w:sz w:val="12"/>
              </w:rPr>
            </w:pPr>
            <w:r>
              <w:rPr>
                <w:w w:val="105"/>
                <w:sz w:val="12"/>
              </w:rPr>
              <w:t>8,83</w:t>
            </w:r>
          </w:p>
        </w:tc>
        <w:tc>
          <w:tcPr>
            <w:tcW w:w="525" w:type="dxa"/>
            <w:tcBorders>
              <w:top w:val="nil"/>
              <w:bottom w:val="nil"/>
            </w:tcBorders>
          </w:tcPr>
          <w:p>
            <w:pPr>
              <w:pStyle w:val="TableParagraph"/>
              <w:spacing w:before="25"/>
              <w:ind w:left="97" w:right="72"/>
              <w:jc w:val="center"/>
              <w:rPr>
                <w:sz w:val="12"/>
              </w:rPr>
            </w:pPr>
            <w:r>
              <w:rPr>
                <w:w w:val="105"/>
                <w:sz w:val="12"/>
              </w:rPr>
              <w:t>7,41</w:t>
            </w:r>
          </w:p>
        </w:tc>
        <w:tc>
          <w:tcPr>
            <w:tcW w:w="527" w:type="dxa"/>
            <w:tcBorders>
              <w:top w:val="nil"/>
              <w:bottom w:val="nil"/>
            </w:tcBorders>
          </w:tcPr>
          <w:p>
            <w:pPr>
              <w:pStyle w:val="TableParagraph"/>
              <w:spacing w:before="25"/>
              <w:ind w:left="100" w:right="77"/>
              <w:jc w:val="center"/>
              <w:rPr>
                <w:sz w:val="12"/>
              </w:rPr>
            </w:pPr>
            <w:r>
              <w:rPr>
                <w:w w:val="105"/>
                <w:sz w:val="12"/>
              </w:rPr>
              <w:t>10,06</w:t>
            </w:r>
          </w:p>
        </w:tc>
        <w:tc>
          <w:tcPr>
            <w:tcW w:w="527" w:type="dxa"/>
            <w:tcBorders>
              <w:top w:val="nil"/>
              <w:bottom w:val="nil"/>
            </w:tcBorders>
          </w:tcPr>
          <w:p>
            <w:pPr>
              <w:pStyle w:val="TableParagraph"/>
              <w:spacing w:before="25"/>
              <w:ind w:left="100" w:right="74"/>
              <w:jc w:val="center"/>
              <w:rPr>
                <w:sz w:val="12"/>
              </w:rPr>
            </w:pPr>
            <w:r>
              <w:rPr>
                <w:w w:val="105"/>
                <w:sz w:val="12"/>
              </w:rPr>
              <w:t>6,11</w:t>
            </w:r>
          </w:p>
        </w:tc>
        <w:tc>
          <w:tcPr>
            <w:tcW w:w="531" w:type="dxa"/>
            <w:tcBorders>
              <w:top w:val="nil"/>
              <w:bottom w:val="nil"/>
            </w:tcBorders>
          </w:tcPr>
          <w:p>
            <w:pPr>
              <w:pStyle w:val="TableParagraph"/>
              <w:spacing w:before="25"/>
              <w:ind w:left="110" w:right="81"/>
              <w:jc w:val="center"/>
              <w:rPr>
                <w:sz w:val="12"/>
              </w:rPr>
            </w:pPr>
            <w:r>
              <w:rPr>
                <w:w w:val="105"/>
                <w:sz w:val="12"/>
              </w:rPr>
              <w:t>9,87</w:t>
            </w:r>
          </w:p>
        </w:tc>
      </w:tr>
      <w:tr>
        <w:trPr>
          <w:trHeight w:val="216" w:hRule="atLeast"/>
        </w:trPr>
        <w:tc>
          <w:tcPr>
            <w:tcW w:w="862" w:type="dxa"/>
            <w:tcBorders>
              <w:top w:val="nil"/>
              <w:bottom w:val="nil"/>
            </w:tcBorders>
          </w:tcPr>
          <w:p>
            <w:pPr>
              <w:pStyle w:val="TableParagraph"/>
              <w:spacing w:before="18"/>
              <w:ind w:left="57"/>
              <w:rPr>
                <w:b/>
                <w:sz w:val="13"/>
              </w:rPr>
            </w:pPr>
            <w:r>
              <w:rPr>
                <w:b/>
                <w:w w:val="105"/>
                <w:sz w:val="13"/>
              </w:rPr>
              <w:t>ICIA</w:t>
            </w:r>
          </w:p>
        </w:tc>
        <w:tc>
          <w:tcPr>
            <w:tcW w:w="528" w:type="dxa"/>
            <w:tcBorders>
              <w:top w:val="nil"/>
              <w:bottom w:val="nil"/>
            </w:tcBorders>
          </w:tcPr>
          <w:p>
            <w:pPr>
              <w:pStyle w:val="TableParagraph"/>
              <w:spacing w:before="24"/>
              <w:ind w:left="93" w:right="84"/>
              <w:jc w:val="center"/>
              <w:rPr>
                <w:sz w:val="12"/>
              </w:rPr>
            </w:pPr>
            <w:r>
              <w:rPr>
                <w:w w:val="105"/>
                <w:sz w:val="12"/>
              </w:rPr>
              <w:t>9,63</w:t>
            </w:r>
          </w:p>
        </w:tc>
        <w:tc>
          <w:tcPr>
            <w:tcW w:w="525" w:type="dxa"/>
            <w:tcBorders>
              <w:top w:val="nil"/>
              <w:bottom w:val="nil"/>
            </w:tcBorders>
          </w:tcPr>
          <w:p>
            <w:pPr>
              <w:pStyle w:val="TableParagraph"/>
              <w:spacing w:before="24"/>
              <w:ind w:left="89" w:right="81"/>
              <w:jc w:val="center"/>
              <w:rPr>
                <w:sz w:val="12"/>
              </w:rPr>
            </w:pPr>
            <w:r>
              <w:rPr>
                <w:w w:val="105"/>
                <w:sz w:val="12"/>
              </w:rPr>
              <w:t>9,92</w:t>
            </w:r>
          </w:p>
        </w:tc>
        <w:tc>
          <w:tcPr>
            <w:tcW w:w="527" w:type="dxa"/>
            <w:tcBorders>
              <w:top w:val="nil"/>
              <w:bottom w:val="nil"/>
            </w:tcBorders>
          </w:tcPr>
          <w:p>
            <w:pPr>
              <w:pStyle w:val="TableParagraph"/>
              <w:spacing w:before="24"/>
              <w:ind w:left="93" w:right="81"/>
              <w:jc w:val="center"/>
              <w:rPr>
                <w:sz w:val="12"/>
              </w:rPr>
            </w:pPr>
            <w:r>
              <w:rPr>
                <w:w w:val="105"/>
                <w:sz w:val="12"/>
              </w:rPr>
              <w:t>7,33</w:t>
            </w:r>
          </w:p>
        </w:tc>
        <w:tc>
          <w:tcPr>
            <w:tcW w:w="527" w:type="dxa"/>
            <w:tcBorders>
              <w:top w:val="nil"/>
              <w:bottom w:val="nil"/>
            </w:tcBorders>
          </w:tcPr>
          <w:p>
            <w:pPr>
              <w:pStyle w:val="TableParagraph"/>
              <w:spacing w:before="24"/>
              <w:ind w:left="93" w:right="81"/>
              <w:jc w:val="center"/>
              <w:rPr>
                <w:sz w:val="12"/>
              </w:rPr>
            </w:pPr>
            <w:r>
              <w:rPr>
                <w:w w:val="105"/>
                <w:sz w:val="12"/>
              </w:rPr>
              <w:t>10,51</w:t>
            </w:r>
          </w:p>
        </w:tc>
        <w:tc>
          <w:tcPr>
            <w:tcW w:w="525" w:type="dxa"/>
            <w:tcBorders>
              <w:top w:val="nil"/>
              <w:bottom w:val="nil"/>
            </w:tcBorders>
          </w:tcPr>
          <w:p>
            <w:pPr>
              <w:pStyle w:val="TableParagraph"/>
              <w:spacing w:before="24"/>
              <w:ind w:left="95" w:right="81"/>
              <w:jc w:val="center"/>
              <w:rPr>
                <w:sz w:val="12"/>
              </w:rPr>
            </w:pPr>
            <w:r>
              <w:rPr>
                <w:w w:val="105"/>
                <w:sz w:val="12"/>
              </w:rPr>
              <w:t>8,06</w:t>
            </w:r>
          </w:p>
        </w:tc>
        <w:tc>
          <w:tcPr>
            <w:tcW w:w="527" w:type="dxa"/>
            <w:tcBorders>
              <w:top w:val="nil"/>
              <w:bottom w:val="nil"/>
            </w:tcBorders>
          </w:tcPr>
          <w:p>
            <w:pPr>
              <w:pStyle w:val="TableParagraph"/>
              <w:spacing w:before="24"/>
              <w:ind w:left="99" w:right="81"/>
              <w:jc w:val="center"/>
              <w:rPr>
                <w:sz w:val="12"/>
              </w:rPr>
            </w:pPr>
            <w:r>
              <w:rPr>
                <w:w w:val="105"/>
                <w:sz w:val="12"/>
              </w:rPr>
              <w:t>9,81</w:t>
            </w:r>
          </w:p>
        </w:tc>
        <w:tc>
          <w:tcPr>
            <w:tcW w:w="527" w:type="dxa"/>
            <w:tcBorders>
              <w:top w:val="nil"/>
              <w:bottom w:val="nil"/>
            </w:tcBorders>
          </w:tcPr>
          <w:p>
            <w:pPr>
              <w:pStyle w:val="TableParagraph"/>
              <w:spacing w:before="24"/>
              <w:ind w:left="100" w:right="78"/>
              <w:jc w:val="center"/>
              <w:rPr>
                <w:sz w:val="12"/>
              </w:rPr>
            </w:pPr>
            <w:r>
              <w:rPr>
                <w:w w:val="105"/>
                <w:sz w:val="12"/>
              </w:rPr>
              <w:t>10,01</w:t>
            </w:r>
          </w:p>
        </w:tc>
        <w:tc>
          <w:tcPr>
            <w:tcW w:w="528" w:type="dxa"/>
            <w:tcBorders>
              <w:top w:val="nil"/>
              <w:bottom w:val="nil"/>
            </w:tcBorders>
          </w:tcPr>
          <w:p>
            <w:pPr>
              <w:pStyle w:val="TableParagraph"/>
              <w:spacing w:before="24"/>
              <w:ind w:left="99" w:right="80"/>
              <w:jc w:val="center"/>
              <w:rPr>
                <w:sz w:val="12"/>
              </w:rPr>
            </w:pPr>
            <w:r>
              <w:rPr>
                <w:w w:val="105"/>
                <w:sz w:val="12"/>
              </w:rPr>
              <w:t>11,62</w:t>
            </w:r>
          </w:p>
        </w:tc>
        <w:tc>
          <w:tcPr>
            <w:tcW w:w="525" w:type="dxa"/>
            <w:tcBorders>
              <w:top w:val="nil"/>
              <w:bottom w:val="nil"/>
            </w:tcBorders>
          </w:tcPr>
          <w:p>
            <w:pPr>
              <w:pStyle w:val="TableParagraph"/>
              <w:spacing w:before="24"/>
              <w:ind w:left="97" w:right="72"/>
              <w:jc w:val="center"/>
              <w:rPr>
                <w:sz w:val="12"/>
              </w:rPr>
            </w:pPr>
            <w:r>
              <w:rPr>
                <w:w w:val="105"/>
                <w:sz w:val="12"/>
              </w:rPr>
              <w:t>7,90</w:t>
            </w:r>
          </w:p>
        </w:tc>
        <w:tc>
          <w:tcPr>
            <w:tcW w:w="527" w:type="dxa"/>
            <w:tcBorders>
              <w:top w:val="nil"/>
              <w:bottom w:val="nil"/>
            </w:tcBorders>
          </w:tcPr>
          <w:p>
            <w:pPr>
              <w:pStyle w:val="TableParagraph"/>
              <w:spacing w:before="24"/>
              <w:ind w:left="100" w:right="76"/>
              <w:jc w:val="center"/>
              <w:rPr>
                <w:sz w:val="12"/>
              </w:rPr>
            </w:pPr>
            <w:r>
              <w:rPr>
                <w:w w:val="105"/>
                <w:sz w:val="12"/>
              </w:rPr>
              <w:t>7,69</w:t>
            </w:r>
          </w:p>
        </w:tc>
        <w:tc>
          <w:tcPr>
            <w:tcW w:w="527" w:type="dxa"/>
            <w:tcBorders>
              <w:top w:val="nil"/>
              <w:bottom w:val="nil"/>
            </w:tcBorders>
          </w:tcPr>
          <w:p>
            <w:pPr>
              <w:pStyle w:val="TableParagraph"/>
              <w:spacing w:before="24"/>
              <w:ind w:left="100" w:right="74"/>
              <w:jc w:val="center"/>
              <w:rPr>
                <w:sz w:val="12"/>
              </w:rPr>
            </w:pPr>
            <w:r>
              <w:rPr>
                <w:w w:val="105"/>
                <w:sz w:val="12"/>
              </w:rPr>
              <w:t>7,87</w:t>
            </w:r>
          </w:p>
        </w:tc>
        <w:tc>
          <w:tcPr>
            <w:tcW w:w="531" w:type="dxa"/>
            <w:tcBorders>
              <w:top w:val="nil"/>
              <w:bottom w:val="nil"/>
            </w:tcBorders>
          </w:tcPr>
          <w:p>
            <w:pPr>
              <w:pStyle w:val="TableParagraph"/>
              <w:spacing w:before="24"/>
              <w:ind w:left="110" w:right="81"/>
              <w:jc w:val="center"/>
              <w:rPr>
                <w:sz w:val="12"/>
              </w:rPr>
            </w:pPr>
            <w:r>
              <w:rPr>
                <w:w w:val="105"/>
                <w:sz w:val="12"/>
              </w:rPr>
              <w:t>5,48</w:t>
            </w:r>
          </w:p>
        </w:tc>
      </w:tr>
      <w:tr>
        <w:trPr>
          <w:trHeight w:val="216" w:hRule="atLeast"/>
        </w:trPr>
        <w:tc>
          <w:tcPr>
            <w:tcW w:w="862" w:type="dxa"/>
            <w:tcBorders>
              <w:top w:val="nil"/>
              <w:bottom w:val="nil"/>
            </w:tcBorders>
          </w:tcPr>
          <w:p>
            <w:pPr>
              <w:pStyle w:val="TableParagraph"/>
              <w:spacing w:before="17"/>
              <w:ind w:left="57"/>
              <w:rPr>
                <w:b/>
                <w:sz w:val="13"/>
              </w:rPr>
            </w:pPr>
            <w:r>
              <w:rPr>
                <w:b/>
                <w:w w:val="105"/>
                <w:sz w:val="13"/>
              </w:rPr>
              <w:t>ICAVI</w:t>
            </w:r>
          </w:p>
        </w:tc>
        <w:tc>
          <w:tcPr>
            <w:tcW w:w="528" w:type="dxa"/>
            <w:tcBorders>
              <w:top w:val="nil"/>
              <w:bottom w:val="nil"/>
            </w:tcBorders>
          </w:tcPr>
          <w:p>
            <w:pPr>
              <w:pStyle w:val="TableParagraph"/>
              <w:spacing w:before="25"/>
              <w:ind w:left="93" w:right="84"/>
              <w:jc w:val="center"/>
              <w:rPr>
                <w:sz w:val="12"/>
              </w:rPr>
            </w:pPr>
            <w:r>
              <w:rPr>
                <w:w w:val="105"/>
                <w:sz w:val="12"/>
              </w:rPr>
              <w:t>9,15</w:t>
            </w:r>
          </w:p>
        </w:tc>
        <w:tc>
          <w:tcPr>
            <w:tcW w:w="525" w:type="dxa"/>
            <w:tcBorders>
              <w:top w:val="nil"/>
              <w:bottom w:val="nil"/>
            </w:tcBorders>
          </w:tcPr>
          <w:p>
            <w:pPr>
              <w:pStyle w:val="TableParagraph"/>
              <w:spacing w:before="25"/>
              <w:ind w:left="89" w:right="81"/>
              <w:jc w:val="center"/>
              <w:rPr>
                <w:sz w:val="12"/>
              </w:rPr>
            </w:pPr>
            <w:r>
              <w:rPr>
                <w:w w:val="105"/>
                <w:sz w:val="12"/>
              </w:rPr>
              <w:t>5,53</w:t>
            </w:r>
          </w:p>
        </w:tc>
        <w:tc>
          <w:tcPr>
            <w:tcW w:w="527" w:type="dxa"/>
            <w:tcBorders>
              <w:top w:val="nil"/>
              <w:bottom w:val="nil"/>
            </w:tcBorders>
          </w:tcPr>
          <w:p>
            <w:pPr>
              <w:pStyle w:val="TableParagraph"/>
              <w:spacing w:before="25"/>
              <w:ind w:left="93" w:right="81"/>
              <w:jc w:val="center"/>
              <w:rPr>
                <w:sz w:val="12"/>
              </w:rPr>
            </w:pPr>
            <w:r>
              <w:rPr>
                <w:w w:val="105"/>
                <w:sz w:val="12"/>
              </w:rPr>
              <w:t>5,96</w:t>
            </w:r>
          </w:p>
        </w:tc>
        <w:tc>
          <w:tcPr>
            <w:tcW w:w="527" w:type="dxa"/>
            <w:tcBorders>
              <w:top w:val="nil"/>
              <w:bottom w:val="nil"/>
            </w:tcBorders>
          </w:tcPr>
          <w:p>
            <w:pPr>
              <w:pStyle w:val="TableParagraph"/>
              <w:spacing w:before="25"/>
              <w:ind w:left="95" w:right="81"/>
              <w:jc w:val="center"/>
              <w:rPr>
                <w:sz w:val="12"/>
              </w:rPr>
            </w:pPr>
            <w:r>
              <w:rPr>
                <w:w w:val="105"/>
                <w:sz w:val="12"/>
              </w:rPr>
              <w:t>5,38</w:t>
            </w:r>
          </w:p>
        </w:tc>
        <w:tc>
          <w:tcPr>
            <w:tcW w:w="525" w:type="dxa"/>
            <w:tcBorders>
              <w:top w:val="nil"/>
              <w:bottom w:val="nil"/>
            </w:tcBorders>
          </w:tcPr>
          <w:p>
            <w:pPr>
              <w:pStyle w:val="TableParagraph"/>
              <w:spacing w:before="25"/>
              <w:ind w:left="95" w:right="81"/>
              <w:jc w:val="center"/>
              <w:rPr>
                <w:sz w:val="12"/>
              </w:rPr>
            </w:pPr>
            <w:r>
              <w:rPr>
                <w:w w:val="105"/>
                <w:sz w:val="12"/>
              </w:rPr>
              <w:t>5,97</w:t>
            </w:r>
          </w:p>
        </w:tc>
        <w:tc>
          <w:tcPr>
            <w:tcW w:w="527" w:type="dxa"/>
            <w:tcBorders>
              <w:top w:val="nil"/>
              <w:bottom w:val="nil"/>
            </w:tcBorders>
          </w:tcPr>
          <w:p>
            <w:pPr>
              <w:pStyle w:val="TableParagraph"/>
              <w:spacing w:before="25"/>
              <w:ind w:left="99" w:right="81"/>
              <w:jc w:val="center"/>
              <w:rPr>
                <w:sz w:val="12"/>
              </w:rPr>
            </w:pPr>
            <w:r>
              <w:rPr>
                <w:w w:val="105"/>
                <w:sz w:val="12"/>
              </w:rPr>
              <w:t>5,60</w:t>
            </w:r>
          </w:p>
        </w:tc>
        <w:tc>
          <w:tcPr>
            <w:tcW w:w="527" w:type="dxa"/>
            <w:tcBorders>
              <w:top w:val="nil"/>
              <w:bottom w:val="nil"/>
            </w:tcBorders>
          </w:tcPr>
          <w:p>
            <w:pPr>
              <w:pStyle w:val="TableParagraph"/>
              <w:spacing w:before="25"/>
              <w:ind w:left="100" w:right="80"/>
              <w:jc w:val="center"/>
              <w:rPr>
                <w:sz w:val="12"/>
              </w:rPr>
            </w:pPr>
            <w:r>
              <w:rPr>
                <w:w w:val="105"/>
                <w:sz w:val="12"/>
              </w:rPr>
              <w:t>8,16</w:t>
            </w:r>
          </w:p>
        </w:tc>
        <w:tc>
          <w:tcPr>
            <w:tcW w:w="528" w:type="dxa"/>
            <w:tcBorders>
              <w:top w:val="nil"/>
              <w:bottom w:val="nil"/>
            </w:tcBorders>
          </w:tcPr>
          <w:p>
            <w:pPr>
              <w:pStyle w:val="TableParagraph"/>
              <w:spacing w:before="25"/>
              <w:ind w:left="99" w:right="78"/>
              <w:jc w:val="center"/>
              <w:rPr>
                <w:sz w:val="12"/>
              </w:rPr>
            </w:pPr>
            <w:r>
              <w:rPr>
                <w:w w:val="105"/>
                <w:sz w:val="12"/>
              </w:rPr>
              <w:t>5,35</w:t>
            </w:r>
          </w:p>
        </w:tc>
        <w:tc>
          <w:tcPr>
            <w:tcW w:w="525" w:type="dxa"/>
            <w:tcBorders>
              <w:top w:val="nil"/>
              <w:bottom w:val="nil"/>
            </w:tcBorders>
          </w:tcPr>
          <w:p>
            <w:pPr>
              <w:pStyle w:val="TableParagraph"/>
              <w:spacing w:before="25"/>
              <w:ind w:left="97" w:right="72"/>
              <w:jc w:val="center"/>
              <w:rPr>
                <w:sz w:val="12"/>
              </w:rPr>
            </w:pPr>
            <w:r>
              <w:rPr>
                <w:w w:val="105"/>
                <w:sz w:val="12"/>
              </w:rPr>
              <w:t>8,89</w:t>
            </w:r>
          </w:p>
        </w:tc>
        <w:tc>
          <w:tcPr>
            <w:tcW w:w="527" w:type="dxa"/>
            <w:tcBorders>
              <w:top w:val="nil"/>
              <w:bottom w:val="nil"/>
            </w:tcBorders>
          </w:tcPr>
          <w:p>
            <w:pPr>
              <w:pStyle w:val="TableParagraph"/>
              <w:spacing w:before="25"/>
              <w:ind w:left="100" w:right="76"/>
              <w:jc w:val="center"/>
              <w:rPr>
                <w:sz w:val="12"/>
              </w:rPr>
            </w:pPr>
            <w:r>
              <w:rPr>
                <w:w w:val="105"/>
                <w:sz w:val="12"/>
              </w:rPr>
              <w:t>7,61</w:t>
            </w:r>
          </w:p>
        </w:tc>
        <w:tc>
          <w:tcPr>
            <w:tcW w:w="527" w:type="dxa"/>
            <w:tcBorders>
              <w:top w:val="nil"/>
              <w:bottom w:val="nil"/>
            </w:tcBorders>
          </w:tcPr>
          <w:p>
            <w:pPr>
              <w:pStyle w:val="TableParagraph"/>
              <w:spacing w:before="25"/>
              <w:ind w:left="100" w:right="74"/>
              <w:jc w:val="center"/>
              <w:rPr>
                <w:sz w:val="12"/>
              </w:rPr>
            </w:pPr>
            <w:r>
              <w:rPr>
                <w:w w:val="105"/>
                <w:sz w:val="12"/>
              </w:rPr>
              <w:t>7,37</w:t>
            </w:r>
          </w:p>
        </w:tc>
        <w:tc>
          <w:tcPr>
            <w:tcW w:w="531" w:type="dxa"/>
            <w:tcBorders>
              <w:top w:val="nil"/>
              <w:bottom w:val="nil"/>
            </w:tcBorders>
          </w:tcPr>
          <w:p>
            <w:pPr>
              <w:pStyle w:val="TableParagraph"/>
              <w:spacing w:before="25"/>
              <w:ind w:left="109" w:right="82"/>
              <w:jc w:val="center"/>
              <w:rPr>
                <w:sz w:val="12"/>
              </w:rPr>
            </w:pPr>
            <w:r>
              <w:rPr>
                <w:w w:val="105"/>
                <w:sz w:val="12"/>
              </w:rPr>
              <w:t>11,68</w:t>
            </w:r>
          </w:p>
        </w:tc>
      </w:tr>
      <w:tr>
        <w:trPr>
          <w:trHeight w:val="205" w:hRule="atLeast"/>
        </w:trPr>
        <w:tc>
          <w:tcPr>
            <w:tcW w:w="862" w:type="dxa"/>
            <w:tcBorders>
              <w:top w:val="nil"/>
              <w:bottom w:val="nil"/>
            </w:tcBorders>
          </w:tcPr>
          <w:p>
            <w:pPr>
              <w:pStyle w:val="TableParagraph"/>
              <w:spacing w:before="18"/>
              <w:ind w:left="57"/>
              <w:rPr>
                <w:b/>
                <w:sz w:val="13"/>
              </w:rPr>
            </w:pPr>
            <w:r>
              <w:rPr>
                <w:b/>
                <w:w w:val="105"/>
                <w:sz w:val="13"/>
              </w:rPr>
              <w:t>SCE</w:t>
            </w:r>
          </w:p>
        </w:tc>
        <w:tc>
          <w:tcPr>
            <w:tcW w:w="528" w:type="dxa"/>
            <w:tcBorders>
              <w:top w:val="nil"/>
              <w:bottom w:val="nil"/>
            </w:tcBorders>
          </w:tcPr>
          <w:p>
            <w:pPr>
              <w:pStyle w:val="TableParagraph"/>
              <w:spacing w:before="24"/>
              <w:ind w:left="93" w:right="84"/>
              <w:jc w:val="center"/>
              <w:rPr>
                <w:sz w:val="12"/>
              </w:rPr>
            </w:pPr>
            <w:r>
              <w:rPr>
                <w:w w:val="105"/>
                <w:sz w:val="12"/>
              </w:rPr>
              <w:t>7,76</w:t>
            </w:r>
          </w:p>
        </w:tc>
        <w:tc>
          <w:tcPr>
            <w:tcW w:w="525" w:type="dxa"/>
            <w:tcBorders>
              <w:top w:val="nil"/>
              <w:bottom w:val="nil"/>
            </w:tcBorders>
          </w:tcPr>
          <w:p>
            <w:pPr>
              <w:pStyle w:val="TableParagraph"/>
              <w:spacing w:before="24"/>
              <w:ind w:left="89" w:right="81"/>
              <w:jc w:val="center"/>
              <w:rPr>
                <w:sz w:val="12"/>
              </w:rPr>
            </w:pPr>
            <w:r>
              <w:rPr>
                <w:w w:val="105"/>
                <w:sz w:val="12"/>
              </w:rPr>
              <w:t>6,08</w:t>
            </w:r>
          </w:p>
        </w:tc>
        <w:tc>
          <w:tcPr>
            <w:tcW w:w="527" w:type="dxa"/>
            <w:tcBorders>
              <w:top w:val="nil"/>
              <w:bottom w:val="nil"/>
            </w:tcBorders>
          </w:tcPr>
          <w:p>
            <w:pPr>
              <w:pStyle w:val="TableParagraph"/>
              <w:spacing w:before="24"/>
              <w:ind w:left="93" w:right="81"/>
              <w:jc w:val="center"/>
              <w:rPr>
                <w:sz w:val="12"/>
              </w:rPr>
            </w:pPr>
            <w:r>
              <w:rPr>
                <w:w w:val="105"/>
                <w:sz w:val="12"/>
              </w:rPr>
              <w:t>6,14</w:t>
            </w:r>
          </w:p>
        </w:tc>
        <w:tc>
          <w:tcPr>
            <w:tcW w:w="527" w:type="dxa"/>
            <w:tcBorders>
              <w:top w:val="nil"/>
              <w:bottom w:val="nil"/>
            </w:tcBorders>
          </w:tcPr>
          <w:p>
            <w:pPr>
              <w:pStyle w:val="TableParagraph"/>
              <w:spacing w:before="24"/>
              <w:ind w:left="95" w:right="81"/>
              <w:jc w:val="center"/>
              <w:rPr>
                <w:sz w:val="12"/>
              </w:rPr>
            </w:pPr>
            <w:r>
              <w:rPr>
                <w:w w:val="105"/>
                <w:sz w:val="12"/>
              </w:rPr>
              <w:t>6,71</w:t>
            </w:r>
          </w:p>
        </w:tc>
        <w:tc>
          <w:tcPr>
            <w:tcW w:w="525" w:type="dxa"/>
            <w:tcBorders>
              <w:top w:val="nil"/>
              <w:bottom w:val="nil"/>
            </w:tcBorders>
          </w:tcPr>
          <w:p>
            <w:pPr>
              <w:pStyle w:val="TableParagraph"/>
              <w:spacing w:before="24"/>
              <w:ind w:left="95" w:right="81"/>
              <w:jc w:val="center"/>
              <w:rPr>
                <w:sz w:val="12"/>
              </w:rPr>
            </w:pPr>
            <w:r>
              <w:rPr>
                <w:w w:val="105"/>
                <w:sz w:val="12"/>
              </w:rPr>
              <w:t>6,61</w:t>
            </w:r>
          </w:p>
        </w:tc>
        <w:tc>
          <w:tcPr>
            <w:tcW w:w="527" w:type="dxa"/>
            <w:tcBorders>
              <w:top w:val="nil"/>
              <w:bottom w:val="nil"/>
            </w:tcBorders>
          </w:tcPr>
          <w:p>
            <w:pPr>
              <w:pStyle w:val="TableParagraph"/>
              <w:spacing w:before="24"/>
              <w:ind w:left="99" w:right="81"/>
              <w:jc w:val="center"/>
              <w:rPr>
                <w:sz w:val="12"/>
              </w:rPr>
            </w:pPr>
            <w:r>
              <w:rPr>
                <w:w w:val="105"/>
                <w:sz w:val="12"/>
              </w:rPr>
              <w:t>5,53</w:t>
            </w:r>
          </w:p>
        </w:tc>
        <w:tc>
          <w:tcPr>
            <w:tcW w:w="527" w:type="dxa"/>
            <w:tcBorders>
              <w:top w:val="nil"/>
              <w:bottom w:val="nil"/>
            </w:tcBorders>
          </w:tcPr>
          <w:p>
            <w:pPr>
              <w:pStyle w:val="TableParagraph"/>
              <w:spacing w:before="24"/>
              <w:ind w:left="100" w:right="80"/>
              <w:jc w:val="center"/>
              <w:rPr>
                <w:sz w:val="12"/>
              </w:rPr>
            </w:pPr>
            <w:r>
              <w:rPr>
                <w:w w:val="105"/>
                <w:sz w:val="12"/>
              </w:rPr>
              <w:t>5,21</w:t>
            </w:r>
          </w:p>
        </w:tc>
        <w:tc>
          <w:tcPr>
            <w:tcW w:w="528" w:type="dxa"/>
            <w:tcBorders>
              <w:top w:val="nil"/>
              <w:bottom w:val="nil"/>
            </w:tcBorders>
          </w:tcPr>
          <w:p>
            <w:pPr>
              <w:pStyle w:val="TableParagraph"/>
              <w:spacing w:before="24"/>
              <w:ind w:left="99" w:right="78"/>
              <w:jc w:val="center"/>
              <w:rPr>
                <w:sz w:val="12"/>
              </w:rPr>
            </w:pPr>
            <w:r>
              <w:rPr>
                <w:w w:val="105"/>
                <w:sz w:val="12"/>
              </w:rPr>
              <w:t>5,91</w:t>
            </w:r>
          </w:p>
        </w:tc>
        <w:tc>
          <w:tcPr>
            <w:tcW w:w="525" w:type="dxa"/>
            <w:tcBorders>
              <w:top w:val="nil"/>
              <w:bottom w:val="nil"/>
            </w:tcBorders>
          </w:tcPr>
          <w:p>
            <w:pPr>
              <w:pStyle w:val="TableParagraph"/>
              <w:spacing w:before="24"/>
              <w:ind w:left="97" w:right="72"/>
              <w:jc w:val="center"/>
              <w:rPr>
                <w:sz w:val="12"/>
              </w:rPr>
            </w:pPr>
            <w:r>
              <w:rPr>
                <w:w w:val="105"/>
                <w:sz w:val="12"/>
              </w:rPr>
              <w:t>4,59</w:t>
            </w:r>
          </w:p>
        </w:tc>
        <w:tc>
          <w:tcPr>
            <w:tcW w:w="527" w:type="dxa"/>
            <w:tcBorders>
              <w:top w:val="nil"/>
              <w:bottom w:val="nil"/>
            </w:tcBorders>
          </w:tcPr>
          <w:p>
            <w:pPr>
              <w:pStyle w:val="TableParagraph"/>
              <w:spacing w:before="24"/>
              <w:ind w:left="100" w:right="76"/>
              <w:jc w:val="center"/>
              <w:rPr>
                <w:sz w:val="12"/>
              </w:rPr>
            </w:pPr>
            <w:r>
              <w:rPr>
                <w:w w:val="105"/>
                <w:sz w:val="12"/>
              </w:rPr>
              <w:t>6,84</w:t>
            </w:r>
          </w:p>
        </w:tc>
        <w:tc>
          <w:tcPr>
            <w:tcW w:w="527" w:type="dxa"/>
            <w:tcBorders>
              <w:top w:val="nil"/>
              <w:bottom w:val="nil"/>
            </w:tcBorders>
          </w:tcPr>
          <w:p>
            <w:pPr>
              <w:pStyle w:val="TableParagraph"/>
              <w:spacing w:before="24"/>
              <w:ind w:left="100" w:right="74"/>
              <w:jc w:val="center"/>
              <w:rPr>
                <w:sz w:val="12"/>
              </w:rPr>
            </w:pPr>
            <w:r>
              <w:rPr>
                <w:w w:val="105"/>
                <w:sz w:val="12"/>
              </w:rPr>
              <w:t>5,68</w:t>
            </w:r>
          </w:p>
        </w:tc>
        <w:tc>
          <w:tcPr>
            <w:tcW w:w="531" w:type="dxa"/>
            <w:tcBorders>
              <w:top w:val="nil"/>
              <w:bottom w:val="nil"/>
            </w:tcBorders>
          </w:tcPr>
          <w:p>
            <w:pPr>
              <w:pStyle w:val="TableParagraph"/>
              <w:spacing w:before="24"/>
              <w:ind w:left="110" w:right="81"/>
              <w:jc w:val="center"/>
              <w:rPr>
                <w:sz w:val="12"/>
              </w:rPr>
            </w:pPr>
            <w:r>
              <w:rPr>
                <w:w w:val="105"/>
                <w:sz w:val="12"/>
              </w:rPr>
              <w:t>6,63</w:t>
            </w:r>
          </w:p>
        </w:tc>
      </w:tr>
      <w:tr>
        <w:trPr>
          <w:trHeight w:val="217" w:hRule="atLeast"/>
        </w:trPr>
        <w:tc>
          <w:tcPr>
            <w:tcW w:w="862" w:type="dxa"/>
            <w:tcBorders>
              <w:top w:val="nil"/>
              <w:bottom w:val="nil"/>
            </w:tcBorders>
            <w:shd w:val="clear" w:color="auto" w:fill="F1F1F1"/>
          </w:tcPr>
          <w:p>
            <w:pPr>
              <w:pStyle w:val="TableParagraph"/>
              <w:spacing w:before="29"/>
              <w:ind w:left="57"/>
              <w:rPr>
                <w:b/>
                <w:sz w:val="13"/>
              </w:rPr>
            </w:pPr>
            <w:r>
              <w:rPr>
                <w:b/>
                <w:w w:val="105"/>
                <w:sz w:val="13"/>
              </w:rPr>
              <w:t>SCS</w:t>
            </w:r>
          </w:p>
        </w:tc>
        <w:tc>
          <w:tcPr>
            <w:tcW w:w="528" w:type="dxa"/>
            <w:tcBorders>
              <w:top w:val="nil"/>
              <w:bottom w:val="nil"/>
            </w:tcBorders>
            <w:shd w:val="clear" w:color="auto" w:fill="F1F1F1"/>
          </w:tcPr>
          <w:p>
            <w:pPr>
              <w:pStyle w:val="TableParagraph"/>
              <w:spacing w:before="37"/>
              <w:ind w:left="93" w:right="84"/>
              <w:jc w:val="center"/>
              <w:rPr>
                <w:b/>
                <w:sz w:val="12"/>
              </w:rPr>
            </w:pPr>
            <w:r>
              <w:rPr>
                <w:b/>
                <w:w w:val="105"/>
                <w:sz w:val="12"/>
              </w:rPr>
              <w:t>12,86</w:t>
            </w:r>
          </w:p>
        </w:tc>
        <w:tc>
          <w:tcPr>
            <w:tcW w:w="525" w:type="dxa"/>
            <w:tcBorders>
              <w:top w:val="nil"/>
              <w:bottom w:val="nil"/>
            </w:tcBorders>
            <w:shd w:val="clear" w:color="auto" w:fill="F1F1F1"/>
          </w:tcPr>
          <w:p>
            <w:pPr>
              <w:pStyle w:val="TableParagraph"/>
              <w:spacing w:before="37"/>
              <w:ind w:left="89" w:right="81"/>
              <w:jc w:val="center"/>
              <w:rPr>
                <w:b/>
                <w:sz w:val="12"/>
              </w:rPr>
            </w:pPr>
            <w:r>
              <w:rPr>
                <w:b/>
                <w:w w:val="105"/>
                <w:sz w:val="12"/>
              </w:rPr>
              <w:t>11,77</w:t>
            </w:r>
          </w:p>
        </w:tc>
        <w:tc>
          <w:tcPr>
            <w:tcW w:w="527" w:type="dxa"/>
            <w:tcBorders>
              <w:top w:val="nil"/>
              <w:bottom w:val="nil"/>
            </w:tcBorders>
            <w:shd w:val="clear" w:color="auto" w:fill="F1F1F1"/>
          </w:tcPr>
          <w:p>
            <w:pPr>
              <w:pStyle w:val="TableParagraph"/>
              <w:spacing w:before="37"/>
              <w:ind w:left="93" w:right="81"/>
              <w:jc w:val="center"/>
              <w:rPr>
                <w:b/>
                <w:sz w:val="12"/>
              </w:rPr>
            </w:pPr>
            <w:r>
              <w:rPr>
                <w:b/>
                <w:w w:val="105"/>
                <w:sz w:val="12"/>
              </w:rPr>
              <w:t>12,41</w:t>
            </w:r>
          </w:p>
        </w:tc>
        <w:tc>
          <w:tcPr>
            <w:tcW w:w="527" w:type="dxa"/>
            <w:tcBorders>
              <w:top w:val="nil"/>
              <w:bottom w:val="nil"/>
            </w:tcBorders>
            <w:shd w:val="clear" w:color="auto" w:fill="F1F1F1"/>
          </w:tcPr>
          <w:p>
            <w:pPr>
              <w:pStyle w:val="TableParagraph"/>
              <w:spacing w:before="37"/>
              <w:ind w:left="95" w:right="81"/>
              <w:jc w:val="center"/>
              <w:rPr>
                <w:b/>
                <w:sz w:val="12"/>
              </w:rPr>
            </w:pPr>
            <w:r>
              <w:rPr>
                <w:b/>
                <w:w w:val="105"/>
                <w:sz w:val="12"/>
              </w:rPr>
              <w:t>14,61</w:t>
            </w:r>
          </w:p>
        </w:tc>
        <w:tc>
          <w:tcPr>
            <w:tcW w:w="525" w:type="dxa"/>
            <w:tcBorders>
              <w:top w:val="nil"/>
              <w:bottom w:val="nil"/>
            </w:tcBorders>
            <w:shd w:val="clear" w:color="auto" w:fill="F1F1F1"/>
          </w:tcPr>
          <w:p>
            <w:pPr>
              <w:pStyle w:val="TableParagraph"/>
              <w:spacing w:before="37"/>
              <w:ind w:left="96" w:right="81"/>
              <w:jc w:val="center"/>
              <w:rPr>
                <w:b/>
                <w:sz w:val="12"/>
              </w:rPr>
            </w:pPr>
            <w:r>
              <w:rPr>
                <w:b/>
                <w:w w:val="105"/>
                <w:sz w:val="12"/>
              </w:rPr>
              <w:t>17,37</w:t>
            </w:r>
          </w:p>
        </w:tc>
        <w:tc>
          <w:tcPr>
            <w:tcW w:w="527" w:type="dxa"/>
            <w:tcBorders>
              <w:top w:val="nil"/>
              <w:bottom w:val="nil"/>
            </w:tcBorders>
            <w:shd w:val="clear" w:color="auto" w:fill="F1F1F1"/>
          </w:tcPr>
          <w:p>
            <w:pPr>
              <w:pStyle w:val="TableParagraph"/>
              <w:spacing w:before="37"/>
              <w:ind w:left="99" w:right="81"/>
              <w:jc w:val="center"/>
              <w:rPr>
                <w:b/>
                <w:sz w:val="12"/>
              </w:rPr>
            </w:pPr>
            <w:r>
              <w:rPr>
                <w:b/>
                <w:w w:val="105"/>
                <w:sz w:val="12"/>
              </w:rPr>
              <w:t>18,28</w:t>
            </w:r>
          </w:p>
        </w:tc>
        <w:tc>
          <w:tcPr>
            <w:tcW w:w="527" w:type="dxa"/>
            <w:tcBorders>
              <w:top w:val="nil"/>
              <w:bottom w:val="nil"/>
            </w:tcBorders>
            <w:shd w:val="clear" w:color="auto" w:fill="F1F1F1"/>
          </w:tcPr>
          <w:p>
            <w:pPr>
              <w:pStyle w:val="TableParagraph"/>
              <w:spacing w:before="37"/>
              <w:ind w:left="100" w:right="80"/>
              <w:jc w:val="center"/>
              <w:rPr>
                <w:b/>
                <w:sz w:val="12"/>
              </w:rPr>
            </w:pPr>
            <w:r>
              <w:rPr>
                <w:b/>
                <w:w w:val="105"/>
                <w:sz w:val="12"/>
              </w:rPr>
              <w:t>15,67</w:t>
            </w:r>
          </w:p>
        </w:tc>
        <w:tc>
          <w:tcPr>
            <w:tcW w:w="528" w:type="dxa"/>
            <w:tcBorders>
              <w:top w:val="nil"/>
              <w:bottom w:val="nil"/>
            </w:tcBorders>
            <w:shd w:val="clear" w:color="auto" w:fill="F1F1F1"/>
          </w:tcPr>
          <w:p>
            <w:pPr>
              <w:pStyle w:val="TableParagraph"/>
              <w:spacing w:before="37"/>
              <w:ind w:left="99" w:right="78"/>
              <w:jc w:val="center"/>
              <w:rPr>
                <w:b/>
                <w:sz w:val="12"/>
              </w:rPr>
            </w:pPr>
            <w:r>
              <w:rPr>
                <w:b/>
                <w:w w:val="105"/>
                <w:sz w:val="12"/>
              </w:rPr>
              <w:t>20,82</w:t>
            </w:r>
          </w:p>
        </w:tc>
        <w:tc>
          <w:tcPr>
            <w:tcW w:w="525" w:type="dxa"/>
            <w:tcBorders>
              <w:top w:val="nil"/>
              <w:bottom w:val="nil"/>
            </w:tcBorders>
            <w:shd w:val="clear" w:color="auto" w:fill="F1F1F1"/>
          </w:tcPr>
          <w:p>
            <w:pPr>
              <w:pStyle w:val="TableParagraph"/>
              <w:spacing w:before="37"/>
              <w:ind w:left="97" w:right="72"/>
              <w:jc w:val="center"/>
              <w:rPr>
                <w:b/>
                <w:sz w:val="12"/>
              </w:rPr>
            </w:pPr>
            <w:r>
              <w:rPr>
                <w:b/>
                <w:w w:val="105"/>
                <w:sz w:val="12"/>
              </w:rPr>
              <w:t>24,23</w:t>
            </w:r>
          </w:p>
        </w:tc>
        <w:tc>
          <w:tcPr>
            <w:tcW w:w="527" w:type="dxa"/>
            <w:tcBorders>
              <w:top w:val="nil"/>
              <w:bottom w:val="nil"/>
            </w:tcBorders>
            <w:shd w:val="clear" w:color="auto" w:fill="F1F1F1"/>
          </w:tcPr>
          <w:p>
            <w:pPr>
              <w:pStyle w:val="TableParagraph"/>
              <w:spacing w:before="37"/>
              <w:ind w:left="100" w:right="75"/>
              <w:jc w:val="center"/>
              <w:rPr>
                <w:b/>
                <w:sz w:val="12"/>
              </w:rPr>
            </w:pPr>
            <w:r>
              <w:rPr>
                <w:b/>
                <w:w w:val="105"/>
                <w:sz w:val="12"/>
              </w:rPr>
              <w:t>34,17</w:t>
            </w:r>
          </w:p>
        </w:tc>
        <w:tc>
          <w:tcPr>
            <w:tcW w:w="527" w:type="dxa"/>
            <w:tcBorders>
              <w:top w:val="nil"/>
              <w:bottom w:val="nil"/>
            </w:tcBorders>
            <w:shd w:val="clear" w:color="auto" w:fill="F1F1F1"/>
          </w:tcPr>
          <w:p>
            <w:pPr>
              <w:pStyle w:val="TableParagraph"/>
              <w:spacing w:before="37"/>
              <w:ind w:left="100" w:right="73"/>
              <w:jc w:val="center"/>
              <w:rPr>
                <w:b/>
                <w:sz w:val="12"/>
              </w:rPr>
            </w:pPr>
            <w:r>
              <w:rPr>
                <w:b/>
                <w:w w:val="105"/>
                <w:sz w:val="12"/>
              </w:rPr>
              <w:t>37,94</w:t>
            </w:r>
          </w:p>
        </w:tc>
        <w:tc>
          <w:tcPr>
            <w:tcW w:w="531" w:type="dxa"/>
            <w:tcBorders>
              <w:top w:val="nil"/>
              <w:bottom w:val="nil"/>
            </w:tcBorders>
            <w:shd w:val="clear" w:color="auto" w:fill="F1F1F1"/>
          </w:tcPr>
          <w:p>
            <w:pPr>
              <w:pStyle w:val="TableParagraph"/>
              <w:spacing w:before="37"/>
              <w:ind w:left="110" w:right="81"/>
              <w:jc w:val="center"/>
              <w:rPr>
                <w:b/>
                <w:sz w:val="12"/>
              </w:rPr>
            </w:pPr>
            <w:r>
              <w:rPr>
                <w:b/>
                <w:w w:val="105"/>
                <w:sz w:val="12"/>
              </w:rPr>
              <w:t>43,39</w:t>
            </w:r>
          </w:p>
        </w:tc>
      </w:tr>
      <w:tr>
        <w:trPr>
          <w:trHeight w:val="227" w:hRule="atLeast"/>
        </w:trPr>
        <w:tc>
          <w:tcPr>
            <w:tcW w:w="862" w:type="dxa"/>
            <w:tcBorders>
              <w:top w:val="nil"/>
              <w:bottom w:val="nil"/>
            </w:tcBorders>
          </w:tcPr>
          <w:p>
            <w:pPr>
              <w:pStyle w:val="TableParagraph"/>
              <w:spacing w:before="29"/>
              <w:ind w:left="57"/>
              <w:rPr>
                <w:b/>
                <w:sz w:val="13"/>
              </w:rPr>
            </w:pPr>
            <w:r>
              <w:rPr>
                <w:b/>
                <w:w w:val="105"/>
                <w:sz w:val="13"/>
              </w:rPr>
              <w:t>RTVC</w:t>
            </w:r>
          </w:p>
        </w:tc>
        <w:tc>
          <w:tcPr>
            <w:tcW w:w="528" w:type="dxa"/>
            <w:tcBorders>
              <w:top w:val="nil"/>
              <w:bottom w:val="nil"/>
            </w:tcBorders>
          </w:tcPr>
          <w:p>
            <w:pPr>
              <w:pStyle w:val="TableParagraph"/>
              <w:spacing w:before="35"/>
              <w:ind w:left="93" w:right="84"/>
              <w:jc w:val="center"/>
              <w:rPr>
                <w:sz w:val="12"/>
              </w:rPr>
            </w:pPr>
            <w:r>
              <w:rPr>
                <w:w w:val="105"/>
                <w:sz w:val="12"/>
              </w:rPr>
              <w:t>7,06</w:t>
            </w:r>
          </w:p>
        </w:tc>
        <w:tc>
          <w:tcPr>
            <w:tcW w:w="525" w:type="dxa"/>
            <w:tcBorders>
              <w:top w:val="nil"/>
              <w:bottom w:val="nil"/>
            </w:tcBorders>
          </w:tcPr>
          <w:p>
            <w:pPr>
              <w:pStyle w:val="TableParagraph"/>
              <w:spacing w:before="35"/>
              <w:ind w:left="89" w:right="81"/>
              <w:jc w:val="center"/>
              <w:rPr>
                <w:sz w:val="12"/>
              </w:rPr>
            </w:pPr>
            <w:r>
              <w:rPr>
                <w:w w:val="105"/>
                <w:sz w:val="12"/>
              </w:rPr>
              <w:t>5,54</w:t>
            </w:r>
          </w:p>
        </w:tc>
        <w:tc>
          <w:tcPr>
            <w:tcW w:w="527" w:type="dxa"/>
            <w:tcBorders>
              <w:top w:val="nil"/>
              <w:bottom w:val="nil"/>
            </w:tcBorders>
          </w:tcPr>
          <w:p>
            <w:pPr>
              <w:pStyle w:val="TableParagraph"/>
              <w:spacing w:before="35"/>
              <w:ind w:left="93" w:right="81"/>
              <w:jc w:val="center"/>
              <w:rPr>
                <w:sz w:val="12"/>
              </w:rPr>
            </w:pPr>
            <w:r>
              <w:rPr>
                <w:w w:val="105"/>
                <w:sz w:val="12"/>
              </w:rPr>
              <w:t>8,68</w:t>
            </w:r>
          </w:p>
        </w:tc>
        <w:tc>
          <w:tcPr>
            <w:tcW w:w="527" w:type="dxa"/>
            <w:tcBorders>
              <w:top w:val="nil"/>
              <w:bottom w:val="nil"/>
            </w:tcBorders>
          </w:tcPr>
          <w:p>
            <w:pPr>
              <w:pStyle w:val="TableParagraph"/>
              <w:spacing w:before="35"/>
              <w:ind w:left="95" w:right="81"/>
              <w:jc w:val="center"/>
              <w:rPr>
                <w:sz w:val="12"/>
              </w:rPr>
            </w:pPr>
            <w:r>
              <w:rPr>
                <w:w w:val="105"/>
                <w:sz w:val="12"/>
              </w:rPr>
              <w:t>5,47</w:t>
            </w:r>
          </w:p>
        </w:tc>
        <w:tc>
          <w:tcPr>
            <w:tcW w:w="525" w:type="dxa"/>
            <w:tcBorders>
              <w:top w:val="nil"/>
              <w:bottom w:val="nil"/>
            </w:tcBorders>
          </w:tcPr>
          <w:p>
            <w:pPr>
              <w:pStyle w:val="TableParagraph"/>
              <w:spacing w:before="35"/>
              <w:ind w:left="95" w:right="81"/>
              <w:jc w:val="center"/>
              <w:rPr>
                <w:sz w:val="12"/>
              </w:rPr>
            </w:pPr>
            <w:r>
              <w:rPr>
                <w:w w:val="105"/>
                <w:sz w:val="12"/>
              </w:rPr>
              <w:t>6,93</w:t>
            </w:r>
          </w:p>
        </w:tc>
        <w:tc>
          <w:tcPr>
            <w:tcW w:w="527" w:type="dxa"/>
            <w:tcBorders>
              <w:top w:val="nil"/>
              <w:bottom w:val="nil"/>
            </w:tcBorders>
          </w:tcPr>
          <w:p>
            <w:pPr>
              <w:pStyle w:val="TableParagraph"/>
              <w:spacing w:before="35"/>
              <w:ind w:left="97" w:right="81"/>
              <w:jc w:val="center"/>
              <w:rPr>
                <w:sz w:val="12"/>
              </w:rPr>
            </w:pPr>
            <w:r>
              <w:rPr>
                <w:w w:val="105"/>
                <w:sz w:val="12"/>
              </w:rPr>
              <w:t>10,20</w:t>
            </w:r>
          </w:p>
        </w:tc>
        <w:tc>
          <w:tcPr>
            <w:tcW w:w="527" w:type="dxa"/>
            <w:tcBorders>
              <w:top w:val="nil"/>
              <w:bottom w:val="nil"/>
            </w:tcBorders>
          </w:tcPr>
          <w:p>
            <w:pPr>
              <w:pStyle w:val="TableParagraph"/>
              <w:spacing w:before="35"/>
              <w:ind w:left="100" w:right="80"/>
              <w:jc w:val="center"/>
              <w:rPr>
                <w:sz w:val="12"/>
              </w:rPr>
            </w:pPr>
            <w:r>
              <w:rPr>
                <w:w w:val="105"/>
                <w:sz w:val="12"/>
              </w:rPr>
              <w:t>5,07</w:t>
            </w:r>
          </w:p>
        </w:tc>
        <w:tc>
          <w:tcPr>
            <w:tcW w:w="528" w:type="dxa"/>
            <w:tcBorders>
              <w:top w:val="nil"/>
              <w:bottom w:val="nil"/>
            </w:tcBorders>
          </w:tcPr>
          <w:p>
            <w:pPr>
              <w:pStyle w:val="TableParagraph"/>
              <w:spacing w:before="35"/>
              <w:ind w:left="99" w:right="80"/>
              <w:jc w:val="center"/>
              <w:rPr>
                <w:sz w:val="12"/>
              </w:rPr>
            </w:pPr>
            <w:r>
              <w:rPr>
                <w:w w:val="105"/>
                <w:sz w:val="12"/>
              </w:rPr>
              <w:t>10,41</w:t>
            </w:r>
          </w:p>
        </w:tc>
        <w:tc>
          <w:tcPr>
            <w:tcW w:w="525" w:type="dxa"/>
            <w:tcBorders>
              <w:top w:val="nil"/>
              <w:bottom w:val="nil"/>
            </w:tcBorders>
          </w:tcPr>
          <w:p>
            <w:pPr>
              <w:pStyle w:val="TableParagraph"/>
              <w:spacing w:before="35"/>
              <w:ind w:left="97" w:right="72"/>
              <w:jc w:val="center"/>
              <w:rPr>
                <w:sz w:val="12"/>
              </w:rPr>
            </w:pPr>
            <w:r>
              <w:rPr>
                <w:w w:val="105"/>
                <w:sz w:val="12"/>
              </w:rPr>
              <w:t>7,82</w:t>
            </w:r>
          </w:p>
        </w:tc>
        <w:tc>
          <w:tcPr>
            <w:tcW w:w="527" w:type="dxa"/>
            <w:tcBorders>
              <w:top w:val="nil"/>
              <w:bottom w:val="nil"/>
            </w:tcBorders>
          </w:tcPr>
          <w:p>
            <w:pPr>
              <w:pStyle w:val="TableParagraph"/>
              <w:spacing w:before="35"/>
              <w:ind w:left="100" w:right="76"/>
              <w:jc w:val="center"/>
              <w:rPr>
                <w:sz w:val="12"/>
              </w:rPr>
            </w:pPr>
            <w:r>
              <w:rPr>
                <w:w w:val="105"/>
                <w:sz w:val="12"/>
              </w:rPr>
              <w:t>8,02</w:t>
            </w:r>
          </w:p>
        </w:tc>
        <w:tc>
          <w:tcPr>
            <w:tcW w:w="527" w:type="dxa"/>
            <w:tcBorders>
              <w:top w:val="nil"/>
              <w:bottom w:val="nil"/>
            </w:tcBorders>
          </w:tcPr>
          <w:p>
            <w:pPr>
              <w:pStyle w:val="TableParagraph"/>
              <w:spacing w:before="35"/>
              <w:ind w:left="100" w:right="74"/>
              <w:jc w:val="center"/>
              <w:rPr>
                <w:sz w:val="12"/>
              </w:rPr>
            </w:pPr>
            <w:r>
              <w:rPr>
                <w:w w:val="105"/>
                <w:sz w:val="12"/>
              </w:rPr>
              <w:t>6,23</w:t>
            </w:r>
          </w:p>
        </w:tc>
        <w:tc>
          <w:tcPr>
            <w:tcW w:w="531" w:type="dxa"/>
            <w:tcBorders>
              <w:top w:val="nil"/>
              <w:bottom w:val="nil"/>
            </w:tcBorders>
          </w:tcPr>
          <w:p>
            <w:pPr>
              <w:pStyle w:val="TableParagraph"/>
              <w:spacing w:before="35"/>
              <w:ind w:left="110" w:right="81"/>
              <w:jc w:val="center"/>
              <w:rPr>
                <w:sz w:val="12"/>
              </w:rPr>
            </w:pPr>
            <w:r>
              <w:rPr>
                <w:w w:val="105"/>
                <w:sz w:val="12"/>
              </w:rPr>
              <w:t>2,97</w:t>
            </w:r>
          </w:p>
        </w:tc>
      </w:tr>
      <w:tr>
        <w:trPr>
          <w:trHeight w:val="216" w:hRule="atLeast"/>
        </w:trPr>
        <w:tc>
          <w:tcPr>
            <w:tcW w:w="862" w:type="dxa"/>
            <w:tcBorders>
              <w:top w:val="nil"/>
              <w:bottom w:val="nil"/>
            </w:tcBorders>
          </w:tcPr>
          <w:p>
            <w:pPr>
              <w:pStyle w:val="TableParagraph"/>
              <w:spacing w:before="17"/>
              <w:ind w:left="57"/>
              <w:rPr>
                <w:b/>
                <w:sz w:val="13"/>
              </w:rPr>
            </w:pPr>
            <w:r>
              <w:rPr>
                <w:b/>
                <w:w w:val="105"/>
                <w:sz w:val="13"/>
              </w:rPr>
              <w:t>APMN</w:t>
            </w:r>
          </w:p>
        </w:tc>
        <w:tc>
          <w:tcPr>
            <w:tcW w:w="528" w:type="dxa"/>
            <w:tcBorders>
              <w:top w:val="nil"/>
              <w:bottom w:val="nil"/>
            </w:tcBorders>
          </w:tcPr>
          <w:p>
            <w:pPr>
              <w:pStyle w:val="TableParagraph"/>
              <w:spacing w:before="25"/>
              <w:ind w:left="91" w:right="84"/>
              <w:jc w:val="center"/>
              <w:rPr>
                <w:sz w:val="12"/>
              </w:rPr>
            </w:pPr>
            <w:r>
              <w:rPr>
                <w:w w:val="105"/>
                <w:sz w:val="12"/>
              </w:rPr>
              <w:t>11,90</w:t>
            </w:r>
          </w:p>
        </w:tc>
        <w:tc>
          <w:tcPr>
            <w:tcW w:w="525" w:type="dxa"/>
            <w:tcBorders>
              <w:top w:val="nil"/>
              <w:bottom w:val="nil"/>
            </w:tcBorders>
          </w:tcPr>
          <w:p>
            <w:pPr>
              <w:pStyle w:val="TableParagraph"/>
              <w:spacing w:before="25"/>
              <w:ind w:left="87" w:right="81"/>
              <w:jc w:val="center"/>
              <w:rPr>
                <w:sz w:val="12"/>
              </w:rPr>
            </w:pPr>
            <w:r>
              <w:rPr>
                <w:w w:val="105"/>
                <w:sz w:val="12"/>
              </w:rPr>
              <w:t>11,64</w:t>
            </w:r>
          </w:p>
        </w:tc>
        <w:tc>
          <w:tcPr>
            <w:tcW w:w="527" w:type="dxa"/>
            <w:tcBorders>
              <w:top w:val="nil"/>
              <w:bottom w:val="nil"/>
            </w:tcBorders>
          </w:tcPr>
          <w:p>
            <w:pPr>
              <w:pStyle w:val="TableParagraph"/>
              <w:spacing w:before="25"/>
              <w:ind w:left="91" w:right="81"/>
              <w:jc w:val="center"/>
              <w:rPr>
                <w:sz w:val="12"/>
              </w:rPr>
            </w:pPr>
            <w:r>
              <w:rPr>
                <w:w w:val="105"/>
                <w:sz w:val="12"/>
              </w:rPr>
              <w:t>12,20</w:t>
            </w:r>
          </w:p>
        </w:tc>
        <w:tc>
          <w:tcPr>
            <w:tcW w:w="527" w:type="dxa"/>
            <w:tcBorders>
              <w:top w:val="nil"/>
              <w:bottom w:val="nil"/>
            </w:tcBorders>
          </w:tcPr>
          <w:p>
            <w:pPr>
              <w:pStyle w:val="TableParagraph"/>
              <w:spacing w:before="25"/>
              <w:ind w:left="93" w:right="81"/>
              <w:jc w:val="center"/>
              <w:rPr>
                <w:sz w:val="12"/>
              </w:rPr>
            </w:pPr>
            <w:r>
              <w:rPr>
                <w:w w:val="105"/>
                <w:sz w:val="12"/>
              </w:rPr>
              <w:t>11,56</w:t>
            </w:r>
          </w:p>
        </w:tc>
        <w:tc>
          <w:tcPr>
            <w:tcW w:w="525" w:type="dxa"/>
            <w:tcBorders>
              <w:top w:val="nil"/>
              <w:bottom w:val="nil"/>
            </w:tcBorders>
          </w:tcPr>
          <w:p>
            <w:pPr>
              <w:pStyle w:val="TableParagraph"/>
              <w:spacing w:before="25"/>
              <w:ind w:left="93" w:right="81"/>
              <w:jc w:val="center"/>
              <w:rPr>
                <w:sz w:val="12"/>
              </w:rPr>
            </w:pPr>
            <w:r>
              <w:rPr>
                <w:w w:val="105"/>
                <w:sz w:val="12"/>
              </w:rPr>
              <w:t>15,90</w:t>
            </w:r>
          </w:p>
        </w:tc>
        <w:tc>
          <w:tcPr>
            <w:tcW w:w="527" w:type="dxa"/>
            <w:tcBorders>
              <w:top w:val="nil"/>
              <w:bottom w:val="nil"/>
            </w:tcBorders>
          </w:tcPr>
          <w:p>
            <w:pPr>
              <w:pStyle w:val="TableParagraph"/>
              <w:spacing w:before="25"/>
              <w:ind w:left="97" w:right="81"/>
              <w:jc w:val="center"/>
              <w:rPr>
                <w:sz w:val="12"/>
              </w:rPr>
            </w:pPr>
            <w:r>
              <w:rPr>
                <w:w w:val="105"/>
                <w:sz w:val="12"/>
              </w:rPr>
              <w:t>21,30</w:t>
            </w:r>
          </w:p>
        </w:tc>
        <w:tc>
          <w:tcPr>
            <w:tcW w:w="527" w:type="dxa"/>
            <w:tcBorders>
              <w:top w:val="nil"/>
              <w:bottom w:val="nil"/>
            </w:tcBorders>
          </w:tcPr>
          <w:p>
            <w:pPr>
              <w:pStyle w:val="TableParagraph"/>
              <w:spacing w:before="25"/>
              <w:ind w:left="100" w:right="78"/>
              <w:jc w:val="center"/>
              <w:rPr>
                <w:sz w:val="12"/>
              </w:rPr>
            </w:pPr>
            <w:r>
              <w:rPr>
                <w:w w:val="105"/>
                <w:sz w:val="12"/>
              </w:rPr>
              <w:t>17,63</w:t>
            </w:r>
          </w:p>
        </w:tc>
        <w:tc>
          <w:tcPr>
            <w:tcW w:w="528" w:type="dxa"/>
            <w:tcBorders>
              <w:top w:val="nil"/>
              <w:bottom w:val="nil"/>
            </w:tcBorders>
          </w:tcPr>
          <w:p>
            <w:pPr>
              <w:pStyle w:val="TableParagraph"/>
              <w:spacing w:before="25"/>
              <w:ind w:left="99" w:right="80"/>
              <w:jc w:val="center"/>
              <w:rPr>
                <w:sz w:val="12"/>
              </w:rPr>
            </w:pPr>
            <w:r>
              <w:rPr>
                <w:w w:val="105"/>
                <w:sz w:val="12"/>
              </w:rPr>
              <w:t>22,36</w:t>
            </w:r>
          </w:p>
        </w:tc>
        <w:tc>
          <w:tcPr>
            <w:tcW w:w="525" w:type="dxa"/>
            <w:tcBorders>
              <w:top w:val="nil"/>
              <w:bottom w:val="nil"/>
            </w:tcBorders>
          </w:tcPr>
          <w:p>
            <w:pPr>
              <w:pStyle w:val="TableParagraph"/>
              <w:spacing w:before="25"/>
              <w:ind w:left="97" w:right="74"/>
              <w:jc w:val="center"/>
              <w:rPr>
                <w:sz w:val="12"/>
              </w:rPr>
            </w:pPr>
            <w:r>
              <w:rPr>
                <w:w w:val="105"/>
                <w:sz w:val="12"/>
              </w:rPr>
              <w:t>25,57</w:t>
            </w:r>
          </w:p>
        </w:tc>
        <w:tc>
          <w:tcPr>
            <w:tcW w:w="527" w:type="dxa"/>
            <w:tcBorders>
              <w:top w:val="nil"/>
              <w:bottom w:val="nil"/>
            </w:tcBorders>
          </w:tcPr>
          <w:p>
            <w:pPr>
              <w:pStyle w:val="TableParagraph"/>
              <w:spacing w:before="25"/>
              <w:ind w:left="100" w:right="77"/>
              <w:jc w:val="center"/>
              <w:rPr>
                <w:sz w:val="12"/>
              </w:rPr>
            </w:pPr>
            <w:r>
              <w:rPr>
                <w:w w:val="105"/>
                <w:sz w:val="12"/>
              </w:rPr>
              <w:t>42,19</w:t>
            </w:r>
          </w:p>
        </w:tc>
        <w:tc>
          <w:tcPr>
            <w:tcW w:w="527" w:type="dxa"/>
            <w:tcBorders>
              <w:top w:val="nil"/>
              <w:bottom w:val="nil"/>
            </w:tcBorders>
          </w:tcPr>
          <w:p>
            <w:pPr>
              <w:pStyle w:val="TableParagraph"/>
              <w:spacing w:before="25"/>
              <w:ind w:left="100" w:right="76"/>
              <w:jc w:val="center"/>
              <w:rPr>
                <w:sz w:val="12"/>
              </w:rPr>
            </w:pPr>
            <w:r>
              <w:rPr>
                <w:w w:val="105"/>
                <w:sz w:val="12"/>
              </w:rPr>
              <w:t>40,04</w:t>
            </w:r>
          </w:p>
        </w:tc>
        <w:tc>
          <w:tcPr>
            <w:tcW w:w="531" w:type="dxa"/>
            <w:tcBorders>
              <w:top w:val="nil"/>
              <w:bottom w:val="nil"/>
            </w:tcBorders>
          </w:tcPr>
          <w:p>
            <w:pPr>
              <w:pStyle w:val="TableParagraph"/>
              <w:spacing w:before="25"/>
              <w:ind w:left="109" w:right="82"/>
              <w:jc w:val="center"/>
              <w:rPr>
                <w:sz w:val="12"/>
              </w:rPr>
            </w:pPr>
            <w:r>
              <w:rPr>
                <w:w w:val="105"/>
                <w:sz w:val="12"/>
              </w:rPr>
              <w:t>25,02</w:t>
            </w:r>
          </w:p>
        </w:tc>
      </w:tr>
      <w:tr>
        <w:trPr>
          <w:trHeight w:val="216" w:hRule="atLeast"/>
        </w:trPr>
        <w:tc>
          <w:tcPr>
            <w:tcW w:w="862" w:type="dxa"/>
            <w:tcBorders>
              <w:top w:val="nil"/>
              <w:bottom w:val="nil"/>
            </w:tcBorders>
          </w:tcPr>
          <w:p>
            <w:pPr>
              <w:pStyle w:val="TableParagraph"/>
              <w:spacing w:before="18"/>
              <w:ind w:left="57"/>
              <w:rPr>
                <w:b/>
                <w:sz w:val="13"/>
              </w:rPr>
            </w:pPr>
            <w:r>
              <w:rPr>
                <w:b/>
                <w:w w:val="105"/>
                <w:sz w:val="13"/>
              </w:rPr>
              <w:t>ATC</w:t>
            </w:r>
          </w:p>
        </w:tc>
        <w:tc>
          <w:tcPr>
            <w:tcW w:w="528" w:type="dxa"/>
            <w:tcBorders>
              <w:top w:val="nil"/>
              <w:bottom w:val="nil"/>
            </w:tcBorders>
          </w:tcPr>
          <w:p>
            <w:pPr>
              <w:pStyle w:val="TableParagraph"/>
              <w:spacing w:before="24"/>
              <w:ind w:left="93" w:right="84"/>
              <w:jc w:val="center"/>
              <w:rPr>
                <w:sz w:val="12"/>
              </w:rPr>
            </w:pPr>
            <w:r>
              <w:rPr>
                <w:w w:val="105"/>
                <w:sz w:val="12"/>
              </w:rPr>
              <w:t>6,80</w:t>
            </w:r>
          </w:p>
        </w:tc>
        <w:tc>
          <w:tcPr>
            <w:tcW w:w="525" w:type="dxa"/>
            <w:tcBorders>
              <w:top w:val="nil"/>
              <w:bottom w:val="nil"/>
            </w:tcBorders>
          </w:tcPr>
          <w:p>
            <w:pPr>
              <w:pStyle w:val="TableParagraph"/>
              <w:spacing w:before="24"/>
              <w:ind w:left="89" w:right="81"/>
              <w:jc w:val="center"/>
              <w:rPr>
                <w:sz w:val="12"/>
              </w:rPr>
            </w:pPr>
            <w:r>
              <w:rPr>
                <w:w w:val="105"/>
                <w:sz w:val="12"/>
              </w:rPr>
              <w:t>3,78</w:t>
            </w:r>
          </w:p>
        </w:tc>
        <w:tc>
          <w:tcPr>
            <w:tcW w:w="527" w:type="dxa"/>
            <w:tcBorders>
              <w:top w:val="nil"/>
              <w:bottom w:val="nil"/>
            </w:tcBorders>
          </w:tcPr>
          <w:p>
            <w:pPr>
              <w:pStyle w:val="TableParagraph"/>
              <w:spacing w:before="24"/>
              <w:ind w:left="91" w:right="81"/>
              <w:jc w:val="center"/>
              <w:rPr>
                <w:sz w:val="12"/>
              </w:rPr>
            </w:pPr>
            <w:r>
              <w:rPr>
                <w:w w:val="105"/>
                <w:sz w:val="12"/>
              </w:rPr>
              <w:t>21,64</w:t>
            </w:r>
          </w:p>
        </w:tc>
        <w:tc>
          <w:tcPr>
            <w:tcW w:w="527" w:type="dxa"/>
            <w:tcBorders>
              <w:top w:val="nil"/>
              <w:bottom w:val="nil"/>
            </w:tcBorders>
          </w:tcPr>
          <w:p>
            <w:pPr>
              <w:pStyle w:val="TableParagraph"/>
              <w:spacing w:before="24"/>
              <w:ind w:left="93" w:right="81"/>
              <w:jc w:val="center"/>
              <w:rPr>
                <w:sz w:val="12"/>
              </w:rPr>
            </w:pPr>
            <w:r>
              <w:rPr>
                <w:w w:val="105"/>
                <w:sz w:val="12"/>
              </w:rPr>
              <w:t>40,81</w:t>
            </w:r>
          </w:p>
        </w:tc>
        <w:tc>
          <w:tcPr>
            <w:tcW w:w="525" w:type="dxa"/>
            <w:tcBorders>
              <w:top w:val="nil"/>
              <w:bottom w:val="nil"/>
            </w:tcBorders>
          </w:tcPr>
          <w:p>
            <w:pPr>
              <w:pStyle w:val="TableParagraph"/>
              <w:spacing w:before="24"/>
              <w:ind w:left="95" w:right="81"/>
              <w:jc w:val="center"/>
              <w:rPr>
                <w:sz w:val="12"/>
              </w:rPr>
            </w:pPr>
            <w:r>
              <w:rPr>
                <w:w w:val="105"/>
                <w:sz w:val="12"/>
              </w:rPr>
              <w:t>7,10</w:t>
            </w:r>
          </w:p>
        </w:tc>
        <w:tc>
          <w:tcPr>
            <w:tcW w:w="527" w:type="dxa"/>
            <w:tcBorders>
              <w:top w:val="nil"/>
              <w:bottom w:val="nil"/>
            </w:tcBorders>
          </w:tcPr>
          <w:p>
            <w:pPr>
              <w:pStyle w:val="TableParagraph"/>
              <w:spacing w:before="24"/>
              <w:ind w:left="99" w:right="81"/>
              <w:jc w:val="center"/>
              <w:rPr>
                <w:sz w:val="12"/>
              </w:rPr>
            </w:pPr>
            <w:r>
              <w:rPr>
                <w:w w:val="105"/>
                <w:sz w:val="12"/>
              </w:rPr>
              <w:t>6,49</w:t>
            </w:r>
          </w:p>
        </w:tc>
        <w:tc>
          <w:tcPr>
            <w:tcW w:w="527" w:type="dxa"/>
            <w:tcBorders>
              <w:top w:val="nil"/>
              <w:bottom w:val="nil"/>
            </w:tcBorders>
          </w:tcPr>
          <w:p>
            <w:pPr>
              <w:pStyle w:val="TableParagraph"/>
              <w:spacing w:before="24"/>
              <w:ind w:left="100" w:right="80"/>
              <w:jc w:val="center"/>
              <w:rPr>
                <w:sz w:val="12"/>
              </w:rPr>
            </w:pPr>
            <w:r>
              <w:rPr>
                <w:w w:val="105"/>
                <w:sz w:val="12"/>
              </w:rPr>
              <w:t>5,75</w:t>
            </w:r>
          </w:p>
        </w:tc>
        <w:tc>
          <w:tcPr>
            <w:tcW w:w="528" w:type="dxa"/>
            <w:tcBorders>
              <w:top w:val="nil"/>
              <w:bottom w:val="nil"/>
            </w:tcBorders>
          </w:tcPr>
          <w:p>
            <w:pPr>
              <w:pStyle w:val="TableParagraph"/>
              <w:spacing w:before="24"/>
              <w:ind w:left="99" w:right="78"/>
              <w:jc w:val="center"/>
              <w:rPr>
                <w:sz w:val="12"/>
              </w:rPr>
            </w:pPr>
            <w:r>
              <w:rPr>
                <w:w w:val="105"/>
                <w:sz w:val="12"/>
              </w:rPr>
              <w:t>9,92</w:t>
            </w:r>
          </w:p>
        </w:tc>
        <w:tc>
          <w:tcPr>
            <w:tcW w:w="525" w:type="dxa"/>
            <w:tcBorders>
              <w:top w:val="nil"/>
              <w:bottom w:val="nil"/>
            </w:tcBorders>
          </w:tcPr>
          <w:p>
            <w:pPr>
              <w:pStyle w:val="TableParagraph"/>
              <w:spacing w:before="24"/>
              <w:ind w:left="97" w:right="72"/>
              <w:jc w:val="center"/>
              <w:rPr>
                <w:sz w:val="12"/>
              </w:rPr>
            </w:pPr>
            <w:r>
              <w:rPr>
                <w:w w:val="105"/>
                <w:sz w:val="12"/>
              </w:rPr>
              <w:t>5,03</w:t>
            </w:r>
          </w:p>
        </w:tc>
        <w:tc>
          <w:tcPr>
            <w:tcW w:w="527" w:type="dxa"/>
            <w:tcBorders>
              <w:top w:val="nil"/>
              <w:bottom w:val="nil"/>
            </w:tcBorders>
          </w:tcPr>
          <w:p>
            <w:pPr>
              <w:pStyle w:val="TableParagraph"/>
              <w:spacing w:before="24"/>
              <w:ind w:left="100" w:right="77"/>
              <w:jc w:val="center"/>
              <w:rPr>
                <w:sz w:val="12"/>
              </w:rPr>
            </w:pPr>
            <w:r>
              <w:rPr>
                <w:w w:val="105"/>
                <w:sz w:val="12"/>
              </w:rPr>
              <w:t>23,96</w:t>
            </w:r>
          </w:p>
        </w:tc>
        <w:tc>
          <w:tcPr>
            <w:tcW w:w="527" w:type="dxa"/>
            <w:tcBorders>
              <w:top w:val="nil"/>
              <w:bottom w:val="nil"/>
            </w:tcBorders>
          </w:tcPr>
          <w:p>
            <w:pPr>
              <w:pStyle w:val="TableParagraph"/>
              <w:spacing w:before="24"/>
              <w:ind w:left="100" w:right="76"/>
              <w:jc w:val="center"/>
              <w:rPr>
                <w:sz w:val="12"/>
              </w:rPr>
            </w:pPr>
            <w:r>
              <w:rPr>
                <w:w w:val="105"/>
                <w:sz w:val="12"/>
              </w:rPr>
              <w:t>21,97</w:t>
            </w:r>
          </w:p>
        </w:tc>
        <w:tc>
          <w:tcPr>
            <w:tcW w:w="531" w:type="dxa"/>
            <w:tcBorders>
              <w:top w:val="nil"/>
              <w:bottom w:val="nil"/>
            </w:tcBorders>
          </w:tcPr>
          <w:p>
            <w:pPr>
              <w:pStyle w:val="TableParagraph"/>
              <w:spacing w:before="24"/>
              <w:ind w:left="109" w:right="82"/>
              <w:jc w:val="center"/>
              <w:rPr>
                <w:sz w:val="12"/>
              </w:rPr>
            </w:pPr>
            <w:r>
              <w:rPr>
                <w:w w:val="105"/>
                <w:sz w:val="12"/>
              </w:rPr>
              <w:t>11,19</w:t>
            </w:r>
          </w:p>
        </w:tc>
      </w:tr>
      <w:tr>
        <w:trPr>
          <w:trHeight w:val="216" w:hRule="atLeast"/>
        </w:trPr>
        <w:tc>
          <w:tcPr>
            <w:tcW w:w="862" w:type="dxa"/>
            <w:tcBorders>
              <w:top w:val="nil"/>
              <w:bottom w:val="nil"/>
            </w:tcBorders>
          </w:tcPr>
          <w:p>
            <w:pPr>
              <w:pStyle w:val="TableParagraph"/>
              <w:spacing w:before="17"/>
              <w:ind w:left="57"/>
              <w:rPr>
                <w:b/>
                <w:sz w:val="13"/>
              </w:rPr>
            </w:pPr>
            <w:r>
              <w:rPr>
                <w:b/>
                <w:w w:val="105"/>
                <w:sz w:val="13"/>
              </w:rPr>
              <w:t>CES</w:t>
            </w:r>
          </w:p>
        </w:tc>
        <w:tc>
          <w:tcPr>
            <w:tcW w:w="528" w:type="dxa"/>
            <w:tcBorders>
              <w:top w:val="nil"/>
              <w:bottom w:val="nil"/>
            </w:tcBorders>
          </w:tcPr>
          <w:p>
            <w:pPr>
              <w:pStyle w:val="TableParagraph"/>
              <w:spacing w:before="25"/>
              <w:ind w:left="93" w:right="84"/>
              <w:jc w:val="center"/>
              <w:rPr>
                <w:sz w:val="12"/>
              </w:rPr>
            </w:pPr>
            <w:r>
              <w:rPr>
                <w:w w:val="105"/>
                <w:sz w:val="12"/>
              </w:rPr>
              <w:t>6,54</w:t>
            </w:r>
          </w:p>
        </w:tc>
        <w:tc>
          <w:tcPr>
            <w:tcW w:w="525" w:type="dxa"/>
            <w:tcBorders>
              <w:top w:val="nil"/>
              <w:bottom w:val="nil"/>
            </w:tcBorders>
          </w:tcPr>
          <w:p>
            <w:pPr>
              <w:pStyle w:val="TableParagraph"/>
              <w:spacing w:before="25"/>
              <w:ind w:left="89" w:right="81"/>
              <w:jc w:val="center"/>
              <w:rPr>
                <w:sz w:val="12"/>
              </w:rPr>
            </w:pPr>
            <w:r>
              <w:rPr>
                <w:w w:val="105"/>
                <w:sz w:val="12"/>
              </w:rPr>
              <w:t>6,00</w:t>
            </w:r>
          </w:p>
        </w:tc>
        <w:tc>
          <w:tcPr>
            <w:tcW w:w="527" w:type="dxa"/>
            <w:tcBorders>
              <w:top w:val="nil"/>
              <w:bottom w:val="nil"/>
            </w:tcBorders>
          </w:tcPr>
          <w:p>
            <w:pPr>
              <w:pStyle w:val="TableParagraph"/>
              <w:spacing w:before="25"/>
              <w:ind w:left="93" w:right="81"/>
              <w:jc w:val="center"/>
              <w:rPr>
                <w:sz w:val="12"/>
              </w:rPr>
            </w:pPr>
            <w:r>
              <w:rPr>
                <w:w w:val="105"/>
                <w:sz w:val="12"/>
              </w:rPr>
              <w:t>4,64</w:t>
            </w:r>
          </w:p>
        </w:tc>
        <w:tc>
          <w:tcPr>
            <w:tcW w:w="527" w:type="dxa"/>
            <w:tcBorders>
              <w:top w:val="nil"/>
              <w:bottom w:val="nil"/>
            </w:tcBorders>
          </w:tcPr>
          <w:p>
            <w:pPr>
              <w:pStyle w:val="TableParagraph"/>
              <w:spacing w:before="25"/>
              <w:ind w:left="95" w:right="81"/>
              <w:jc w:val="center"/>
              <w:rPr>
                <w:sz w:val="12"/>
              </w:rPr>
            </w:pPr>
            <w:r>
              <w:rPr>
                <w:w w:val="105"/>
                <w:sz w:val="12"/>
              </w:rPr>
              <w:t>7,40</w:t>
            </w:r>
          </w:p>
        </w:tc>
        <w:tc>
          <w:tcPr>
            <w:tcW w:w="525" w:type="dxa"/>
            <w:tcBorders>
              <w:top w:val="nil"/>
              <w:bottom w:val="nil"/>
            </w:tcBorders>
          </w:tcPr>
          <w:p>
            <w:pPr>
              <w:pStyle w:val="TableParagraph"/>
              <w:spacing w:before="25"/>
              <w:ind w:left="93" w:right="81"/>
              <w:jc w:val="center"/>
              <w:rPr>
                <w:sz w:val="12"/>
              </w:rPr>
            </w:pPr>
            <w:r>
              <w:rPr>
                <w:w w:val="105"/>
                <w:sz w:val="12"/>
              </w:rPr>
              <w:t>15,28</w:t>
            </w:r>
          </w:p>
        </w:tc>
        <w:tc>
          <w:tcPr>
            <w:tcW w:w="527" w:type="dxa"/>
            <w:tcBorders>
              <w:top w:val="nil"/>
              <w:bottom w:val="nil"/>
            </w:tcBorders>
          </w:tcPr>
          <w:p>
            <w:pPr>
              <w:pStyle w:val="TableParagraph"/>
              <w:spacing w:before="25"/>
              <w:ind w:left="99" w:right="81"/>
              <w:jc w:val="center"/>
              <w:rPr>
                <w:sz w:val="12"/>
              </w:rPr>
            </w:pPr>
            <w:r>
              <w:rPr>
                <w:w w:val="105"/>
                <w:sz w:val="12"/>
              </w:rPr>
              <w:t>2,97</w:t>
            </w:r>
          </w:p>
        </w:tc>
        <w:tc>
          <w:tcPr>
            <w:tcW w:w="527" w:type="dxa"/>
            <w:tcBorders>
              <w:top w:val="nil"/>
              <w:bottom w:val="nil"/>
            </w:tcBorders>
          </w:tcPr>
          <w:p>
            <w:pPr>
              <w:pStyle w:val="TableParagraph"/>
              <w:spacing w:before="25"/>
              <w:ind w:left="100" w:right="80"/>
              <w:jc w:val="center"/>
              <w:rPr>
                <w:sz w:val="12"/>
              </w:rPr>
            </w:pPr>
            <w:r>
              <w:rPr>
                <w:w w:val="105"/>
                <w:sz w:val="12"/>
              </w:rPr>
              <w:t>6,86</w:t>
            </w:r>
          </w:p>
        </w:tc>
        <w:tc>
          <w:tcPr>
            <w:tcW w:w="528" w:type="dxa"/>
            <w:tcBorders>
              <w:top w:val="nil"/>
              <w:bottom w:val="nil"/>
            </w:tcBorders>
          </w:tcPr>
          <w:p>
            <w:pPr>
              <w:pStyle w:val="TableParagraph"/>
              <w:spacing w:before="25"/>
              <w:ind w:left="99" w:right="78"/>
              <w:jc w:val="center"/>
              <w:rPr>
                <w:sz w:val="12"/>
              </w:rPr>
            </w:pPr>
            <w:r>
              <w:rPr>
                <w:w w:val="105"/>
                <w:sz w:val="12"/>
              </w:rPr>
              <w:t>6,14</w:t>
            </w:r>
          </w:p>
        </w:tc>
        <w:tc>
          <w:tcPr>
            <w:tcW w:w="525" w:type="dxa"/>
            <w:tcBorders>
              <w:top w:val="nil"/>
              <w:bottom w:val="nil"/>
            </w:tcBorders>
          </w:tcPr>
          <w:p>
            <w:pPr>
              <w:pStyle w:val="TableParagraph"/>
              <w:spacing w:before="25"/>
              <w:ind w:left="97" w:right="72"/>
              <w:jc w:val="center"/>
              <w:rPr>
                <w:sz w:val="12"/>
              </w:rPr>
            </w:pPr>
            <w:r>
              <w:rPr>
                <w:w w:val="105"/>
                <w:sz w:val="12"/>
              </w:rPr>
              <w:t>5,22</w:t>
            </w:r>
          </w:p>
        </w:tc>
        <w:tc>
          <w:tcPr>
            <w:tcW w:w="527" w:type="dxa"/>
            <w:tcBorders>
              <w:top w:val="nil"/>
              <w:bottom w:val="nil"/>
            </w:tcBorders>
          </w:tcPr>
          <w:p>
            <w:pPr>
              <w:pStyle w:val="TableParagraph"/>
              <w:spacing w:before="25"/>
              <w:ind w:left="100" w:right="76"/>
              <w:jc w:val="center"/>
              <w:rPr>
                <w:sz w:val="12"/>
              </w:rPr>
            </w:pPr>
            <w:r>
              <w:rPr>
                <w:w w:val="105"/>
                <w:sz w:val="12"/>
              </w:rPr>
              <w:t>8,44</w:t>
            </w:r>
          </w:p>
        </w:tc>
        <w:tc>
          <w:tcPr>
            <w:tcW w:w="527" w:type="dxa"/>
            <w:tcBorders>
              <w:top w:val="nil"/>
              <w:bottom w:val="nil"/>
            </w:tcBorders>
          </w:tcPr>
          <w:p>
            <w:pPr>
              <w:pStyle w:val="TableParagraph"/>
              <w:spacing w:before="25"/>
              <w:ind w:left="100" w:right="76"/>
              <w:jc w:val="center"/>
              <w:rPr>
                <w:sz w:val="12"/>
              </w:rPr>
            </w:pPr>
            <w:r>
              <w:rPr>
                <w:w w:val="105"/>
                <w:sz w:val="12"/>
              </w:rPr>
              <w:t>11,26</w:t>
            </w:r>
          </w:p>
        </w:tc>
        <w:tc>
          <w:tcPr>
            <w:tcW w:w="531" w:type="dxa"/>
            <w:tcBorders>
              <w:top w:val="nil"/>
              <w:bottom w:val="nil"/>
            </w:tcBorders>
          </w:tcPr>
          <w:p>
            <w:pPr>
              <w:pStyle w:val="TableParagraph"/>
              <w:spacing w:before="25"/>
              <w:ind w:left="110" w:right="81"/>
              <w:jc w:val="center"/>
              <w:rPr>
                <w:sz w:val="12"/>
              </w:rPr>
            </w:pPr>
            <w:r>
              <w:rPr>
                <w:w w:val="105"/>
                <w:sz w:val="12"/>
              </w:rPr>
              <w:t>5,33</w:t>
            </w:r>
          </w:p>
        </w:tc>
      </w:tr>
      <w:tr>
        <w:trPr>
          <w:trHeight w:val="206" w:hRule="atLeast"/>
        </w:trPr>
        <w:tc>
          <w:tcPr>
            <w:tcW w:w="862" w:type="dxa"/>
            <w:tcBorders>
              <w:top w:val="nil"/>
            </w:tcBorders>
          </w:tcPr>
          <w:p>
            <w:pPr>
              <w:pStyle w:val="TableParagraph"/>
              <w:spacing w:before="18"/>
              <w:ind w:left="57"/>
              <w:rPr>
                <w:b/>
                <w:sz w:val="13"/>
              </w:rPr>
            </w:pPr>
            <w:r>
              <w:rPr>
                <w:b/>
                <w:w w:val="105"/>
                <w:sz w:val="13"/>
              </w:rPr>
              <w:t>CR</w:t>
            </w:r>
          </w:p>
        </w:tc>
        <w:tc>
          <w:tcPr>
            <w:tcW w:w="528" w:type="dxa"/>
            <w:tcBorders>
              <w:top w:val="nil"/>
            </w:tcBorders>
          </w:tcPr>
          <w:p>
            <w:pPr>
              <w:pStyle w:val="TableParagraph"/>
              <w:spacing w:before="24"/>
              <w:ind w:left="8"/>
              <w:jc w:val="center"/>
              <w:rPr>
                <w:sz w:val="12"/>
              </w:rPr>
            </w:pPr>
            <w:r>
              <w:rPr>
                <w:w w:val="105"/>
                <w:sz w:val="12"/>
              </w:rPr>
              <w:t>-</w:t>
            </w:r>
          </w:p>
        </w:tc>
        <w:tc>
          <w:tcPr>
            <w:tcW w:w="525" w:type="dxa"/>
            <w:tcBorders>
              <w:top w:val="nil"/>
            </w:tcBorders>
          </w:tcPr>
          <w:p>
            <w:pPr>
              <w:pStyle w:val="TableParagraph"/>
              <w:spacing w:before="24"/>
              <w:ind w:left="7"/>
              <w:jc w:val="center"/>
              <w:rPr>
                <w:sz w:val="12"/>
              </w:rPr>
            </w:pPr>
            <w:r>
              <w:rPr>
                <w:w w:val="105"/>
                <w:sz w:val="12"/>
              </w:rPr>
              <w:t>-</w:t>
            </w:r>
          </w:p>
        </w:tc>
        <w:tc>
          <w:tcPr>
            <w:tcW w:w="527" w:type="dxa"/>
            <w:tcBorders>
              <w:top w:val="nil"/>
            </w:tcBorders>
          </w:tcPr>
          <w:p>
            <w:pPr>
              <w:pStyle w:val="TableParagraph"/>
              <w:spacing w:before="24"/>
              <w:ind w:left="11"/>
              <w:jc w:val="center"/>
              <w:rPr>
                <w:sz w:val="12"/>
              </w:rPr>
            </w:pPr>
            <w:r>
              <w:rPr>
                <w:w w:val="105"/>
                <w:sz w:val="12"/>
              </w:rPr>
              <w:t>-</w:t>
            </w:r>
          </w:p>
        </w:tc>
        <w:tc>
          <w:tcPr>
            <w:tcW w:w="527" w:type="dxa"/>
            <w:tcBorders>
              <w:top w:val="nil"/>
            </w:tcBorders>
          </w:tcPr>
          <w:p>
            <w:pPr>
              <w:pStyle w:val="TableParagraph"/>
              <w:spacing w:before="24"/>
              <w:ind w:left="13"/>
              <w:jc w:val="center"/>
              <w:rPr>
                <w:sz w:val="12"/>
              </w:rPr>
            </w:pPr>
            <w:r>
              <w:rPr>
                <w:w w:val="105"/>
                <w:sz w:val="12"/>
              </w:rPr>
              <w:t>-</w:t>
            </w:r>
          </w:p>
        </w:tc>
        <w:tc>
          <w:tcPr>
            <w:tcW w:w="525" w:type="dxa"/>
            <w:tcBorders>
              <w:top w:val="nil"/>
            </w:tcBorders>
          </w:tcPr>
          <w:p>
            <w:pPr>
              <w:pStyle w:val="TableParagraph"/>
              <w:spacing w:before="24"/>
              <w:ind w:left="13"/>
              <w:jc w:val="center"/>
              <w:rPr>
                <w:sz w:val="12"/>
              </w:rPr>
            </w:pPr>
            <w:r>
              <w:rPr>
                <w:w w:val="105"/>
                <w:sz w:val="12"/>
              </w:rPr>
              <w:t>-</w:t>
            </w:r>
          </w:p>
        </w:tc>
        <w:tc>
          <w:tcPr>
            <w:tcW w:w="527" w:type="dxa"/>
            <w:tcBorders>
              <w:top w:val="nil"/>
            </w:tcBorders>
          </w:tcPr>
          <w:p>
            <w:pPr>
              <w:pStyle w:val="TableParagraph"/>
              <w:spacing w:before="24"/>
              <w:ind w:left="17"/>
              <w:jc w:val="center"/>
              <w:rPr>
                <w:sz w:val="12"/>
              </w:rPr>
            </w:pPr>
            <w:r>
              <w:rPr>
                <w:w w:val="105"/>
                <w:sz w:val="12"/>
              </w:rPr>
              <w:t>-</w:t>
            </w:r>
          </w:p>
        </w:tc>
        <w:tc>
          <w:tcPr>
            <w:tcW w:w="527" w:type="dxa"/>
            <w:tcBorders>
              <w:top w:val="nil"/>
            </w:tcBorders>
          </w:tcPr>
          <w:p>
            <w:pPr>
              <w:pStyle w:val="TableParagraph"/>
              <w:spacing w:before="24"/>
              <w:ind w:left="19"/>
              <w:jc w:val="center"/>
              <w:rPr>
                <w:sz w:val="12"/>
              </w:rPr>
            </w:pPr>
            <w:r>
              <w:rPr>
                <w:w w:val="105"/>
                <w:sz w:val="12"/>
              </w:rPr>
              <w:t>-</w:t>
            </w:r>
          </w:p>
        </w:tc>
        <w:tc>
          <w:tcPr>
            <w:tcW w:w="528" w:type="dxa"/>
            <w:tcBorders>
              <w:top w:val="nil"/>
            </w:tcBorders>
          </w:tcPr>
          <w:p>
            <w:pPr>
              <w:pStyle w:val="TableParagraph"/>
              <w:spacing w:before="24"/>
              <w:ind w:left="21"/>
              <w:jc w:val="center"/>
              <w:rPr>
                <w:sz w:val="12"/>
              </w:rPr>
            </w:pPr>
            <w:r>
              <w:rPr>
                <w:w w:val="105"/>
                <w:sz w:val="12"/>
              </w:rPr>
              <w:t>-</w:t>
            </w:r>
          </w:p>
        </w:tc>
        <w:tc>
          <w:tcPr>
            <w:tcW w:w="525" w:type="dxa"/>
            <w:tcBorders>
              <w:top w:val="nil"/>
            </w:tcBorders>
          </w:tcPr>
          <w:p>
            <w:pPr>
              <w:pStyle w:val="TableParagraph"/>
              <w:spacing w:before="24"/>
              <w:ind w:left="24"/>
              <w:jc w:val="center"/>
              <w:rPr>
                <w:sz w:val="12"/>
              </w:rPr>
            </w:pPr>
            <w:r>
              <w:rPr>
                <w:w w:val="105"/>
                <w:sz w:val="12"/>
              </w:rPr>
              <w:t>-</w:t>
            </w:r>
          </w:p>
        </w:tc>
        <w:tc>
          <w:tcPr>
            <w:tcW w:w="527" w:type="dxa"/>
            <w:tcBorders>
              <w:top w:val="nil"/>
            </w:tcBorders>
          </w:tcPr>
          <w:p>
            <w:pPr>
              <w:pStyle w:val="TableParagraph"/>
              <w:spacing w:before="24"/>
              <w:ind w:left="23"/>
              <w:jc w:val="center"/>
              <w:rPr>
                <w:sz w:val="12"/>
              </w:rPr>
            </w:pPr>
            <w:r>
              <w:rPr>
                <w:w w:val="105"/>
                <w:sz w:val="12"/>
              </w:rPr>
              <w:t>-</w:t>
            </w:r>
          </w:p>
        </w:tc>
        <w:tc>
          <w:tcPr>
            <w:tcW w:w="527" w:type="dxa"/>
            <w:tcBorders>
              <w:top w:val="nil"/>
            </w:tcBorders>
          </w:tcPr>
          <w:p>
            <w:pPr>
              <w:pStyle w:val="TableParagraph"/>
              <w:spacing w:before="24"/>
              <w:ind w:left="25"/>
              <w:jc w:val="center"/>
              <w:rPr>
                <w:sz w:val="12"/>
              </w:rPr>
            </w:pPr>
            <w:r>
              <w:rPr>
                <w:w w:val="105"/>
                <w:sz w:val="12"/>
              </w:rPr>
              <w:t>-</w:t>
            </w:r>
          </w:p>
        </w:tc>
        <w:tc>
          <w:tcPr>
            <w:tcW w:w="531" w:type="dxa"/>
            <w:tcBorders>
              <w:top w:val="nil"/>
            </w:tcBorders>
          </w:tcPr>
          <w:p>
            <w:pPr>
              <w:pStyle w:val="TableParagraph"/>
              <w:spacing w:before="24"/>
              <w:ind w:left="28"/>
              <w:jc w:val="center"/>
              <w:rPr>
                <w:sz w:val="12"/>
              </w:rPr>
            </w:pPr>
            <w:r>
              <w:rPr>
                <w:w w:val="105"/>
                <w:sz w:val="12"/>
              </w:rPr>
              <w:t>-</w:t>
            </w:r>
          </w:p>
        </w:tc>
      </w:tr>
    </w:tbl>
    <w:p>
      <w:pPr>
        <w:spacing w:before="3"/>
        <w:ind w:left="2096" w:right="0" w:firstLine="0"/>
        <w:jc w:val="left"/>
        <w:rPr>
          <w:sz w:val="13"/>
        </w:rPr>
      </w:pPr>
      <w:r>
        <w:rPr>
          <w:w w:val="105"/>
          <w:sz w:val="13"/>
        </w:rPr>
        <w:t>Fuente: Consejería de Hacienda y Relaciones con la Unión Europea del Gobierno de Canarias</w:t>
      </w:r>
    </w:p>
    <w:p>
      <w:pPr>
        <w:pStyle w:val="BodyText"/>
        <w:spacing w:before="8"/>
        <w:rPr>
          <w:sz w:val="16"/>
        </w:rPr>
      </w:pPr>
    </w:p>
    <w:p>
      <w:pPr>
        <w:pStyle w:val="ListParagraph"/>
        <w:numPr>
          <w:ilvl w:val="0"/>
          <w:numId w:val="33"/>
        </w:numPr>
        <w:tabs>
          <w:tab w:pos="2335" w:val="left" w:leader="none"/>
        </w:tabs>
        <w:spacing w:line="242" w:lineRule="auto" w:before="0" w:after="0"/>
        <w:ind w:left="2334" w:right="1139" w:hanging="238"/>
        <w:jc w:val="both"/>
        <w:rPr>
          <w:sz w:val="20"/>
        </w:rPr>
      </w:pPr>
      <w:r>
        <w:rPr>
          <w:sz w:val="20"/>
        </w:rPr>
        <w:t>Para revertir la capacidad del ICHH para atender sus compromisos de gastos y evitar la morosidad de la deuda comercial en sucesivos ejercicios, se aprobó, a finales de 2021, la modificación de tarifas de los hemoderivados, derivados plasmáticos y otras determinaciones</w:t>
      </w:r>
      <w:r>
        <w:rPr>
          <w:spacing w:val="-10"/>
          <w:sz w:val="20"/>
        </w:rPr>
        <w:t> </w:t>
      </w:r>
      <w:r>
        <w:rPr>
          <w:sz w:val="20"/>
        </w:rPr>
        <w:t>por</w:t>
      </w:r>
      <w:r>
        <w:rPr>
          <w:spacing w:val="-7"/>
          <w:sz w:val="20"/>
        </w:rPr>
        <w:t> </w:t>
      </w:r>
      <w:r>
        <w:rPr>
          <w:sz w:val="20"/>
        </w:rPr>
        <w:t>la</w:t>
      </w:r>
      <w:r>
        <w:rPr>
          <w:spacing w:val="-7"/>
          <w:sz w:val="20"/>
        </w:rPr>
        <w:t> </w:t>
      </w:r>
      <w:r>
        <w:rPr>
          <w:sz w:val="20"/>
        </w:rPr>
        <w:t>Consejería</w:t>
      </w:r>
      <w:r>
        <w:rPr>
          <w:spacing w:val="-11"/>
          <w:sz w:val="20"/>
        </w:rPr>
        <w:t> </w:t>
      </w:r>
      <w:r>
        <w:rPr>
          <w:sz w:val="20"/>
        </w:rPr>
        <w:t>de</w:t>
      </w:r>
      <w:r>
        <w:rPr>
          <w:spacing w:val="-9"/>
          <w:sz w:val="20"/>
        </w:rPr>
        <w:t> </w:t>
      </w:r>
      <w:r>
        <w:rPr>
          <w:sz w:val="20"/>
        </w:rPr>
        <w:t>Sanidad.</w:t>
      </w:r>
      <w:r>
        <w:rPr>
          <w:spacing w:val="-10"/>
          <w:sz w:val="20"/>
        </w:rPr>
        <w:t> </w:t>
      </w:r>
      <w:r>
        <w:rPr>
          <w:sz w:val="20"/>
        </w:rPr>
        <w:t>A</w:t>
      </w:r>
      <w:r>
        <w:rPr>
          <w:spacing w:val="-9"/>
          <w:sz w:val="20"/>
        </w:rPr>
        <w:t> </w:t>
      </w:r>
      <w:r>
        <w:rPr>
          <w:sz w:val="20"/>
        </w:rPr>
        <w:t>pesar</w:t>
      </w:r>
      <w:r>
        <w:rPr>
          <w:spacing w:val="-9"/>
          <w:sz w:val="20"/>
        </w:rPr>
        <w:t> </w:t>
      </w:r>
      <w:r>
        <w:rPr>
          <w:sz w:val="20"/>
        </w:rPr>
        <w:t>de</w:t>
      </w:r>
      <w:r>
        <w:rPr>
          <w:spacing w:val="-9"/>
          <w:sz w:val="20"/>
        </w:rPr>
        <w:t> </w:t>
      </w:r>
      <w:r>
        <w:rPr>
          <w:sz w:val="20"/>
        </w:rPr>
        <w:t>este</w:t>
      </w:r>
      <w:r>
        <w:rPr>
          <w:spacing w:val="-7"/>
          <w:sz w:val="20"/>
        </w:rPr>
        <w:t> </w:t>
      </w:r>
      <w:r>
        <w:rPr>
          <w:sz w:val="20"/>
        </w:rPr>
        <w:t>incremento</w:t>
      </w:r>
      <w:r>
        <w:rPr>
          <w:spacing w:val="-10"/>
          <w:sz w:val="20"/>
        </w:rPr>
        <w:t> </w:t>
      </w:r>
      <w:r>
        <w:rPr>
          <w:sz w:val="20"/>
        </w:rPr>
        <w:t>de</w:t>
      </w:r>
      <w:r>
        <w:rPr>
          <w:spacing w:val="-9"/>
          <w:sz w:val="20"/>
        </w:rPr>
        <w:t> </w:t>
      </w:r>
      <w:r>
        <w:rPr>
          <w:sz w:val="20"/>
        </w:rPr>
        <w:t>precios, ICHH continuó incumpliendo el</w:t>
      </w:r>
      <w:r>
        <w:rPr>
          <w:spacing w:val="-3"/>
          <w:sz w:val="20"/>
        </w:rPr>
        <w:t> </w:t>
      </w:r>
      <w:r>
        <w:rPr>
          <w:sz w:val="20"/>
        </w:rPr>
        <w:t>PMP.</w:t>
      </w:r>
    </w:p>
    <w:p>
      <w:pPr>
        <w:pStyle w:val="BodyText"/>
        <w:spacing w:before="4"/>
        <w:rPr>
          <w:sz w:val="23"/>
        </w:rPr>
      </w:pPr>
    </w:p>
    <w:p>
      <w:pPr>
        <w:pStyle w:val="BodyText"/>
        <w:spacing w:before="61"/>
        <w:ind w:left="7897"/>
        <w:jc w:val="center"/>
      </w:pPr>
      <w:r>
        <w:rPr/>
        <w:t>70</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51" name="image5.png"/>
                  <wp:cNvGraphicFramePr>
                    <a:graphicFrameLocks noChangeAspect="1"/>
                  </wp:cNvGraphicFramePr>
                  <a:graphic>
                    <a:graphicData uri="http://schemas.openxmlformats.org/drawingml/2006/picture">
                      <pic:pic>
                        <pic:nvPicPr>
                          <pic:cNvPr id="15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72/247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0"/>
          <w:numId w:val="31"/>
        </w:numPr>
        <w:tabs>
          <w:tab w:pos="2335" w:val="left" w:leader="none"/>
        </w:tabs>
        <w:spacing w:line="240" w:lineRule="auto" w:before="61" w:after="0"/>
        <w:ind w:left="2334" w:right="0" w:hanging="239"/>
        <w:jc w:val="left"/>
        <w:rPr>
          <w:b/>
          <w:sz w:val="20"/>
        </w:rPr>
      </w:pPr>
      <w:r>
        <w:rPr>
          <w:b/>
          <w:sz w:val="20"/>
        </w:rPr>
        <w:t>Resultado</w:t>
      </w:r>
      <w:r>
        <w:rPr>
          <w:b/>
          <w:spacing w:val="1"/>
          <w:sz w:val="20"/>
        </w:rPr>
        <w:t> </w:t>
      </w:r>
      <w:r>
        <w:rPr>
          <w:b/>
          <w:sz w:val="20"/>
        </w:rPr>
        <w:t>presupuestario.</w:t>
      </w:r>
    </w:p>
    <w:p>
      <w:pPr>
        <w:pStyle w:val="BodyText"/>
        <w:spacing w:before="7"/>
        <w:rPr>
          <w:b/>
          <w:sz w:val="16"/>
        </w:rPr>
      </w:pPr>
    </w:p>
    <w:tbl>
      <w:tblPr>
        <w:tblW w:w="0" w:type="auto"/>
        <w:jc w:val="left"/>
        <w:tblInd w:w="2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21"/>
        <w:gridCol w:w="919"/>
        <w:gridCol w:w="889"/>
      </w:tblGrid>
      <w:tr>
        <w:trPr>
          <w:trHeight w:val="330" w:hRule="atLeast"/>
        </w:trPr>
        <w:tc>
          <w:tcPr>
            <w:tcW w:w="5321" w:type="dxa"/>
            <w:shd w:val="clear" w:color="auto" w:fill="DEEAF6"/>
          </w:tcPr>
          <w:p>
            <w:pPr>
              <w:pStyle w:val="TableParagraph"/>
              <w:spacing w:before="87"/>
              <w:ind w:left="1343"/>
              <w:rPr>
                <w:b/>
                <w:sz w:val="13"/>
              </w:rPr>
            </w:pPr>
            <w:r>
              <w:rPr>
                <w:b/>
                <w:w w:val="105"/>
                <w:sz w:val="13"/>
              </w:rPr>
              <w:t>Resultado Presupuestario Ajustado (</w:t>
            </w:r>
            <w:r>
              <w:rPr>
                <w:w w:val="105"/>
                <w:sz w:val="13"/>
              </w:rPr>
              <w:t>miles de €</w:t>
            </w:r>
            <w:r>
              <w:rPr>
                <w:b/>
                <w:w w:val="105"/>
                <w:sz w:val="13"/>
              </w:rPr>
              <w:t>)</w:t>
            </w:r>
          </w:p>
        </w:tc>
        <w:tc>
          <w:tcPr>
            <w:tcW w:w="919" w:type="dxa"/>
            <w:tcBorders>
              <w:right w:val="nil"/>
            </w:tcBorders>
            <w:shd w:val="clear" w:color="auto" w:fill="DEEAF6"/>
          </w:tcPr>
          <w:p>
            <w:pPr>
              <w:pStyle w:val="TableParagraph"/>
              <w:spacing w:before="87"/>
              <w:ind w:left="291"/>
              <w:rPr>
                <w:b/>
                <w:sz w:val="13"/>
              </w:rPr>
            </w:pPr>
            <w:r>
              <w:rPr>
                <w:b/>
                <w:w w:val="105"/>
                <w:sz w:val="13"/>
              </w:rPr>
              <w:t>2022</w:t>
            </w:r>
          </w:p>
        </w:tc>
        <w:tc>
          <w:tcPr>
            <w:tcW w:w="889" w:type="dxa"/>
            <w:tcBorders>
              <w:left w:val="nil"/>
            </w:tcBorders>
            <w:shd w:val="clear" w:color="auto" w:fill="DEEAF6"/>
          </w:tcPr>
          <w:p>
            <w:pPr>
              <w:pStyle w:val="TableParagraph"/>
              <w:spacing w:before="87"/>
              <w:ind w:left="279"/>
              <w:rPr>
                <w:b/>
                <w:sz w:val="13"/>
              </w:rPr>
            </w:pPr>
            <w:r>
              <w:rPr>
                <w:b/>
                <w:w w:val="105"/>
                <w:sz w:val="13"/>
              </w:rPr>
              <w:t>2021</w:t>
            </w:r>
          </w:p>
        </w:tc>
      </w:tr>
      <w:tr>
        <w:trPr>
          <w:trHeight w:val="321" w:hRule="atLeast"/>
        </w:trPr>
        <w:tc>
          <w:tcPr>
            <w:tcW w:w="5321" w:type="dxa"/>
            <w:tcBorders>
              <w:bottom w:val="nil"/>
            </w:tcBorders>
          </w:tcPr>
          <w:p>
            <w:pPr>
              <w:pStyle w:val="TableParagraph"/>
              <w:spacing w:before="80"/>
              <w:ind w:left="57"/>
              <w:rPr>
                <w:sz w:val="13"/>
              </w:rPr>
            </w:pPr>
            <w:r>
              <w:rPr>
                <w:w w:val="105"/>
                <w:sz w:val="13"/>
              </w:rPr>
              <w:t>Operaciones corrientes</w:t>
            </w:r>
          </w:p>
        </w:tc>
        <w:tc>
          <w:tcPr>
            <w:tcW w:w="919" w:type="dxa"/>
            <w:tcBorders>
              <w:bottom w:val="nil"/>
              <w:right w:val="nil"/>
            </w:tcBorders>
          </w:tcPr>
          <w:p>
            <w:pPr>
              <w:pStyle w:val="TableParagraph"/>
              <w:spacing w:before="80"/>
              <w:ind w:right="113"/>
              <w:jc w:val="right"/>
              <w:rPr>
                <w:sz w:val="13"/>
              </w:rPr>
            </w:pPr>
            <w:r>
              <w:rPr>
                <w:sz w:val="13"/>
              </w:rPr>
              <w:t>-192.157,14</w:t>
            </w:r>
          </w:p>
        </w:tc>
        <w:tc>
          <w:tcPr>
            <w:tcW w:w="889" w:type="dxa"/>
            <w:tcBorders>
              <w:left w:val="nil"/>
              <w:bottom w:val="nil"/>
            </w:tcBorders>
          </w:tcPr>
          <w:p>
            <w:pPr>
              <w:pStyle w:val="TableParagraph"/>
              <w:spacing w:before="80"/>
              <w:ind w:left="153"/>
              <w:rPr>
                <w:sz w:val="13"/>
              </w:rPr>
            </w:pPr>
            <w:r>
              <w:rPr>
                <w:w w:val="105"/>
                <w:sz w:val="13"/>
              </w:rPr>
              <w:t>-95.047,49</w:t>
            </w:r>
          </w:p>
        </w:tc>
      </w:tr>
      <w:tr>
        <w:trPr>
          <w:trHeight w:val="293" w:hRule="atLeast"/>
        </w:trPr>
        <w:tc>
          <w:tcPr>
            <w:tcW w:w="5321" w:type="dxa"/>
            <w:tcBorders>
              <w:top w:val="nil"/>
              <w:bottom w:val="nil"/>
            </w:tcBorders>
          </w:tcPr>
          <w:p>
            <w:pPr>
              <w:pStyle w:val="TableParagraph"/>
              <w:spacing w:before="61"/>
              <w:ind w:left="57"/>
              <w:rPr>
                <w:sz w:val="13"/>
              </w:rPr>
            </w:pPr>
            <w:r>
              <w:rPr>
                <w:w w:val="105"/>
                <w:sz w:val="13"/>
              </w:rPr>
              <w:t>Operaciones de capital</w:t>
            </w:r>
          </w:p>
        </w:tc>
        <w:tc>
          <w:tcPr>
            <w:tcW w:w="919" w:type="dxa"/>
            <w:tcBorders>
              <w:top w:val="nil"/>
              <w:bottom w:val="nil"/>
              <w:right w:val="nil"/>
            </w:tcBorders>
          </w:tcPr>
          <w:p>
            <w:pPr>
              <w:pStyle w:val="TableParagraph"/>
              <w:spacing w:before="61"/>
              <w:ind w:right="113"/>
              <w:jc w:val="right"/>
              <w:rPr>
                <w:sz w:val="13"/>
              </w:rPr>
            </w:pPr>
            <w:r>
              <w:rPr>
                <w:w w:val="105"/>
                <w:sz w:val="13"/>
              </w:rPr>
              <w:t>144.179,19</w:t>
            </w:r>
          </w:p>
        </w:tc>
        <w:tc>
          <w:tcPr>
            <w:tcW w:w="889" w:type="dxa"/>
            <w:tcBorders>
              <w:top w:val="nil"/>
              <w:left w:val="nil"/>
              <w:bottom w:val="nil"/>
            </w:tcBorders>
          </w:tcPr>
          <w:p>
            <w:pPr>
              <w:pStyle w:val="TableParagraph"/>
              <w:spacing w:before="61"/>
              <w:ind w:left="124"/>
              <w:rPr>
                <w:sz w:val="13"/>
              </w:rPr>
            </w:pPr>
            <w:r>
              <w:rPr>
                <w:w w:val="105"/>
                <w:sz w:val="13"/>
              </w:rPr>
              <w:t>205.460,78</w:t>
            </w:r>
          </w:p>
        </w:tc>
      </w:tr>
      <w:tr>
        <w:trPr>
          <w:trHeight w:val="284" w:hRule="atLeast"/>
        </w:trPr>
        <w:tc>
          <w:tcPr>
            <w:tcW w:w="5321" w:type="dxa"/>
            <w:tcBorders>
              <w:top w:val="nil"/>
              <w:bottom w:val="nil"/>
            </w:tcBorders>
          </w:tcPr>
          <w:p>
            <w:pPr>
              <w:pStyle w:val="TableParagraph"/>
              <w:spacing w:before="52"/>
              <w:ind w:left="57"/>
              <w:rPr>
                <w:sz w:val="13"/>
              </w:rPr>
            </w:pPr>
            <w:r>
              <w:rPr>
                <w:w w:val="105"/>
                <w:sz w:val="13"/>
              </w:rPr>
              <w:t>Operaciones comerciales</w:t>
            </w:r>
          </w:p>
        </w:tc>
        <w:tc>
          <w:tcPr>
            <w:tcW w:w="919" w:type="dxa"/>
            <w:tcBorders>
              <w:top w:val="nil"/>
              <w:bottom w:val="nil"/>
              <w:right w:val="nil"/>
            </w:tcBorders>
          </w:tcPr>
          <w:p>
            <w:pPr>
              <w:pStyle w:val="TableParagraph"/>
              <w:spacing w:before="52"/>
              <w:ind w:right="113"/>
              <w:jc w:val="right"/>
              <w:rPr>
                <w:sz w:val="13"/>
              </w:rPr>
            </w:pPr>
            <w:r>
              <w:rPr>
                <w:sz w:val="13"/>
              </w:rPr>
              <w:t>496,98</w:t>
            </w:r>
          </w:p>
        </w:tc>
        <w:tc>
          <w:tcPr>
            <w:tcW w:w="889" w:type="dxa"/>
            <w:tcBorders>
              <w:top w:val="nil"/>
              <w:left w:val="nil"/>
              <w:bottom w:val="nil"/>
            </w:tcBorders>
          </w:tcPr>
          <w:p>
            <w:pPr>
              <w:pStyle w:val="TableParagraph"/>
              <w:spacing w:before="52"/>
              <w:ind w:left="219"/>
              <w:rPr>
                <w:sz w:val="13"/>
              </w:rPr>
            </w:pPr>
            <w:r>
              <w:rPr>
                <w:w w:val="105"/>
                <w:sz w:val="13"/>
              </w:rPr>
              <w:t>-2.312,50</w:t>
            </w:r>
          </w:p>
        </w:tc>
      </w:tr>
      <w:tr>
        <w:trPr>
          <w:trHeight w:val="283" w:hRule="atLeast"/>
        </w:trPr>
        <w:tc>
          <w:tcPr>
            <w:tcW w:w="5321" w:type="dxa"/>
            <w:tcBorders>
              <w:top w:val="nil"/>
              <w:bottom w:val="nil"/>
            </w:tcBorders>
          </w:tcPr>
          <w:p>
            <w:pPr>
              <w:pStyle w:val="TableParagraph"/>
              <w:spacing w:before="52"/>
              <w:ind w:left="57"/>
              <w:rPr>
                <w:sz w:val="13"/>
              </w:rPr>
            </w:pPr>
            <w:r>
              <w:rPr>
                <w:w w:val="105"/>
                <w:sz w:val="13"/>
              </w:rPr>
              <w:t>Activos financieros</w:t>
            </w:r>
          </w:p>
        </w:tc>
        <w:tc>
          <w:tcPr>
            <w:tcW w:w="919" w:type="dxa"/>
            <w:tcBorders>
              <w:top w:val="nil"/>
              <w:bottom w:val="nil"/>
              <w:right w:val="nil"/>
            </w:tcBorders>
          </w:tcPr>
          <w:p>
            <w:pPr>
              <w:pStyle w:val="TableParagraph"/>
              <w:spacing w:before="52"/>
              <w:ind w:right="113"/>
              <w:jc w:val="right"/>
              <w:rPr>
                <w:sz w:val="13"/>
              </w:rPr>
            </w:pPr>
            <w:r>
              <w:rPr>
                <w:w w:val="105"/>
                <w:sz w:val="13"/>
              </w:rPr>
              <w:t>-1.542,53</w:t>
            </w:r>
          </w:p>
        </w:tc>
        <w:tc>
          <w:tcPr>
            <w:tcW w:w="889" w:type="dxa"/>
            <w:tcBorders>
              <w:top w:val="nil"/>
              <w:left w:val="nil"/>
              <w:bottom w:val="nil"/>
            </w:tcBorders>
          </w:tcPr>
          <w:p>
            <w:pPr>
              <w:pStyle w:val="TableParagraph"/>
              <w:spacing w:before="52"/>
              <w:ind w:left="261"/>
              <w:rPr>
                <w:sz w:val="13"/>
              </w:rPr>
            </w:pPr>
            <w:r>
              <w:rPr>
                <w:w w:val="105"/>
                <w:sz w:val="13"/>
              </w:rPr>
              <w:t>5.161,25</w:t>
            </w:r>
          </w:p>
        </w:tc>
      </w:tr>
      <w:tr>
        <w:trPr>
          <w:trHeight w:val="291" w:hRule="atLeast"/>
        </w:trPr>
        <w:tc>
          <w:tcPr>
            <w:tcW w:w="5321" w:type="dxa"/>
            <w:tcBorders>
              <w:top w:val="nil"/>
              <w:bottom w:val="nil"/>
            </w:tcBorders>
          </w:tcPr>
          <w:p>
            <w:pPr>
              <w:pStyle w:val="TableParagraph"/>
              <w:spacing w:before="51"/>
              <w:ind w:left="57"/>
              <w:rPr>
                <w:sz w:val="13"/>
              </w:rPr>
            </w:pPr>
            <w:r>
              <w:rPr>
                <w:w w:val="105"/>
                <w:sz w:val="13"/>
              </w:rPr>
              <w:t>Pasivos financieros</w:t>
            </w:r>
          </w:p>
        </w:tc>
        <w:tc>
          <w:tcPr>
            <w:tcW w:w="919" w:type="dxa"/>
            <w:tcBorders>
              <w:top w:val="nil"/>
              <w:bottom w:val="nil"/>
              <w:right w:val="nil"/>
            </w:tcBorders>
          </w:tcPr>
          <w:p>
            <w:pPr>
              <w:pStyle w:val="TableParagraph"/>
              <w:spacing w:before="51"/>
              <w:ind w:right="113"/>
              <w:jc w:val="right"/>
              <w:rPr>
                <w:sz w:val="13"/>
              </w:rPr>
            </w:pPr>
            <w:r>
              <w:rPr>
                <w:w w:val="105"/>
                <w:sz w:val="13"/>
              </w:rPr>
              <w:t>-1253,75</w:t>
            </w:r>
          </w:p>
        </w:tc>
        <w:tc>
          <w:tcPr>
            <w:tcW w:w="889" w:type="dxa"/>
            <w:tcBorders>
              <w:top w:val="nil"/>
              <w:left w:val="nil"/>
              <w:bottom w:val="nil"/>
            </w:tcBorders>
          </w:tcPr>
          <w:p>
            <w:pPr>
              <w:pStyle w:val="TableParagraph"/>
              <w:spacing w:before="51"/>
              <w:ind w:right="142"/>
              <w:jc w:val="right"/>
              <w:rPr>
                <w:sz w:val="13"/>
              </w:rPr>
            </w:pPr>
            <w:r>
              <w:rPr>
                <w:sz w:val="13"/>
              </w:rPr>
              <w:t>0,00</w:t>
            </w:r>
          </w:p>
        </w:tc>
      </w:tr>
      <w:tr>
        <w:trPr>
          <w:trHeight w:val="294" w:hRule="atLeast"/>
        </w:trPr>
        <w:tc>
          <w:tcPr>
            <w:tcW w:w="5321" w:type="dxa"/>
            <w:tcBorders>
              <w:top w:val="nil"/>
            </w:tcBorders>
          </w:tcPr>
          <w:p>
            <w:pPr>
              <w:pStyle w:val="TableParagraph"/>
              <w:spacing w:before="60"/>
              <w:ind w:left="57"/>
              <w:rPr>
                <w:b/>
                <w:sz w:val="13"/>
              </w:rPr>
            </w:pPr>
            <w:r>
              <w:rPr>
                <w:b/>
                <w:w w:val="105"/>
                <w:sz w:val="13"/>
              </w:rPr>
              <w:t>Resultado Presupuestario (1)</w:t>
            </w:r>
          </w:p>
        </w:tc>
        <w:tc>
          <w:tcPr>
            <w:tcW w:w="919" w:type="dxa"/>
            <w:tcBorders>
              <w:top w:val="nil"/>
              <w:right w:val="nil"/>
            </w:tcBorders>
          </w:tcPr>
          <w:p>
            <w:pPr>
              <w:pStyle w:val="TableParagraph"/>
              <w:spacing w:before="60"/>
              <w:ind w:right="113"/>
              <w:jc w:val="right"/>
              <w:rPr>
                <w:b/>
                <w:sz w:val="13"/>
              </w:rPr>
            </w:pPr>
            <w:r>
              <w:rPr>
                <w:b/>
                <w:w w:val="105"/>
                <w:sz w:val="13"/>
              </w:rPr>
              <w:t>-50.277,35</w:t>
            </w:r>
          </w:p>
        </w:tc>
        <w:tc>
          <w:tcPr>
            <w:tcW w:w="889" w:type="dxa"/>
            <w:tcBorders>
              <w:top w:val="nil"/>
              <w:left w:val="nil"/>
            </w:tcBorders>
          </w:tcPr>
          <w:p>
            <w:pPr>
              <w:pStyle w:val="TableParagraph"/>
              <w:spacing w:before="60"/>
              <w:ind w:left="122"/>
              <w:rPr>
                <w:b/>
                <w:sz w:val="13"/>
              </w:rPr>
            </w:pPr>
            <w:r>
              <w:rPr>
                <w:b/>
                <w:w w:val="105"/>
                <w:sz w:val="13"/>
              </w:rPr>
              <w:t>113.262,04</w:t>
            </w:r>
          </w:p>
        </w:tc>
      </w:tr>
      <w:tr>
        <w:trPr>
          <w:trHeight w:val="294" w:hRule="atLeast"/>
        </w:trPr>
        <w:tc>
          <w:tcPr>
            <w:tcW w:w="5321" w:type="dxa"/>
            <w:tcBorders>
              <w:bottom w:val="nil"/>
            </w:tcBorders>
          </w:tcPr>
          <w:p>
            <w:pPr>
              <w:pStyle w:val="TableParagraph"/>
              <w:spacing w:before="63"/>
              <w:ind w:left="57"/>
              <w:rPr>
                <w:b/>
                <w:sz w:val="13"/>
              </w:rPr>
            </w:pPr>
            <w:r>
              <w:rPr>
                <w:w w:val="105"/>
                <w:sz w:val="13"/>
              </w:rPr>
              <w:t>(+) Créditos gastados financiados con remanente de tesorería NO afectado </w:t>
            </w:r>
            <w:r>
              <w:rPr>
                <w:b/>
                <w:w w:val="105"/>
                <w:sz w:val="13"/>
              </w:rPr>
              <w:t>(2)</w:t>
            </w:r>
          </w:p>
        </w:tc>
        <w:tc>
          <w:tcPr>
            <w:tcW w:w="919" w:type="dxa"/>
            <w:tcBorders>
              <w:bottom w:val="nil"/>
              <w:right w:val="nil"/>
            </w:tcBorders>
          </w:tcPr>
          <w:p>
            <w:pPr>
              <w:pStyle w:val="TableParagraph"/>
              <w:spacing w:before="63"/>
              <w:ind w:right="113"/>
              <w:jc w:val="right"/>
              <w:rPr>
                <w:sz w:val="13"/>
              </w:rPr>
            </w:pPr>
            <w:r>
              <w:rPr>
                <w:w w:val="105"/>
                <w:sz w:val="13"/>
              </w:rPr>
              <w:t>132.644,58</w:t>
            </w:r>
          </w:p>
        </w:tc>
        <w:tc>
          <w:tcPr>
            <w:tcW w:w="889" w:type="dxa"/>
            <w:tcBorders>
              <w:left w:val="nil"/>
              <w:bottom w:val="nil"/>
            </w:tcBorders>
          </w:tcPr>
          <w:p>
            <w:pPr>
              <w:pStyle w:val="TableParagraph"/>
              <w:spacing w:before="63"/>
              <w:ind w:left="193"/>
              <w:rPr>
                <w:sz w:val="13"/>
              </w:rPr>
            </w:pPr>
            <w:r>
              <w:rPr>
                <w:w w:val="105"/>
                <w:sz w:val="13"/>
              </w:rPr>
              <w:t>78.754,73</w:t>
            </w:r>
          </w:p>
        </w:tc>
      </w:tr>
      <w:tr>
        <w:trPr>
          <w:trHeight w:val="283" w:hRule="atLeast"/>
        </w:trPr>
        <w:tc>
          <w:tcPr>
            <w:tcW w:w="5321" w:type="dxa"/>
            <w:tcBorders>
              <w:top w:val="nil"/>
              <w:bottom w:val="nil"/>
            </w:tcBorders>
          </w:tcPr>
          <w:p>
            <w:pPr>
              <w:pStyle w:val="TableParagraph"/>
              <w:spacing w:before="52"/>
              <w:ind w:left="57"/>
              <w:rPr>
                <w:b/>
                <w:sz w:val="13"/>
              </w:rPr>
            </w:pPr>
            <w:r>
              <w:rPr>
                <w:w w:val="105"/>
                <w:sz w:val="13"/>
              </w:rPr>
              <w:t>(-)</w:t>
            </w:r>
            <w:r>
              <w:rPr>
                <w:spacing w:val="-9"/>
                <w:w w:val="105"/>
                <w:sz w:val="13"/>
              </w:rPr>
              <w:t> </w:t>
            </w:r>
            <w:r>
              <w:rPr>
                <w:w w:val="105"/>
                <w:sz w:val="13"/>
              </w:rPr>
              <w:t>Desviaciones</w:t>
            </w:r>
            <w:r>
              <w:rPr>
                <w:spacing w:val="-6"/>
                <w:w w:val="105"/>
                <w:sz w:val="13"/>
              </w:rPr>
              <w:t> </w:t>
            </w:r>
            <w:r>
              <w:rPr>
                <w:w w:val="105"/>
                <w:sz w:val="13"/>
              </w:rPr>
              <w:t>de</w:t>
            </w:r>
            <w:r>
              <w:rPr>
                <w:spacing w:val="-9"/>
                <w:w w:val="105"/>
                <w:sz w:val="13"/>
              </w:rPr>
              <w:t> </w:t>
            </w:r>
            <w:r>
              <w:rPr>
                <w:w w:val="105"/>
                <w:sz w:val="13"/>
              </w:rPr>
              <w:t>financiación</w:t>
            </w:r>
            <w:r>
              <w:rPr>
                <w:spacing w:val="-8"/>
                <w:w w:val="105"/>
                <w:sz w:val="13"/>
              </w:rPr>
              <w:t> </w:t>
            </w:r>
            <w:r>
              <w:rPr>
                <w:w w:val="105"/>
                <w:sz w:val="13"/>
              </w:rPr>
              <w:t>positivas</w:t>
            </w:r>
            <w:r>
              <w:rPr>
                <w:spacing w:val="-8"/>
                <w:w w:val="105"/>
                <w:sz w:val="13"/>
              </w:rPr>
              <w:t> </w:t>
            </w:r>
            <w:r>
              <w:rPr>
                <w:w w:val="105"/>
                <w:sz w:val="13"/>
              </w:rPr>
              <w:t>de</w:t>
            </w:r>
            <w:r>
              <w:rPr>
                <w:spacing w:val="-9"/>
                <w:w w:val="105"/>
                <w:sz w:val="13"/>
              </w:rPr>
              <w:t> </w:t>
            </w:r>
            <w:r>
              <w:rPr>
                <w:w w:val="105"/>
                <w:sz w:val="13"/>
              </w:rPr>
              <w:t>recursos</w:t>
            </w:r>
            <w:r>
              <w:rPr>
                <w:spacing w:val="-8"/>
                <w:w w:val="105"/>
                <w:sz w:val="13"/>
              </w:rPr>
              <w:t> </w:t>
            </w:r>
            <w:r>
              <w:rPr>
                <w:w w:val="105"/>
                <w:sz w:val="13"/>
              </w:rPr>
              <w:t>del</w:t>
            </w:r>
            <w:r>
              <w:rPr>
                <w:spacing w:val="-8"/>
                <w:w w:val="105"/>
                <w:sz w:val="13"/>
              </w:rPr>
              <w:t> </w:t>
            </w:r>
            <w:r>
              <w:rPr>
                <w:w w:val="105"/>
                <w:sz w:val="13"/>
              </w:rPr>
              <w:t>ejercicio</w:t>
            </w:r>
            <w:r>
              <w:rPr>
                <w:spacing w:val="-8"/>
                <w:w w:val="105"/>
                <w:sz w:val="13"/>
              </w:rPr>
              <w:t> </w:t>
            </w:r>
            <w:r>
              <w:rPr>
                <w:w w:val="105"/>
                <w:sz w:val="13"/>
              </w:rPr>
              <w:t>con</w:t>
            </w:r>
            <w:r>
              <w:rPr>
                <w:spacing w:val="-7"/>
                <w:w w:val="105"/>
                <w:sz w:val="13"/>
              </w:rPr>
              <w:t> </w:t>
            </w:r>
            <w:r>
              <w:rPr>
                <w:w w:val="105"/>
                <w:sz w:val="13"/>
              </w:rPr>
              <w:t>financiación</w:t>
            </w:r>
            <w:r>
              <w:rPr>
                <w:spacing w:val="-8"/>
                <w:w w:val="105"/>
                <w:sz w:val="13"/>
              </w:rPr>
              <w:t> </w:t>
            </w:r>
            <w:r>
              <w:rPr>
                <w:w w:val="105"/>
                <w:sz w:val="13"/>
              </w:rPr>
              <w:t>afectada</w:t>
            </w:r>
            <w:r>
              <w:rPr>
                <w:spacing w:val="-6"/>
                <w:w w:val="105"/>
                <w:sz w:val="13"/>
              </w:rPr>
              <w:t> </w:t>
            </w:r>
            <w:r>
              <w:rPr>
                <w:b/>
                <w:w w:val="105"/>
                <w:sz w:val="13"/>
              </w:rPr>
              <w:t>(3)</w:t>
            </w:r>
          </w:p>
        </w:tc>
        <w:tc>
          <w:tcPr>
            <w:tcW w:w="919" w:type="dxa"/>
            <w:tcBorders>
              <w:top w:val="nil"/>
              <w:bottom w:val="nil"/>
              <w:right w:val="nil"/>
            </w:tcBorders>
          </w:tcPr>
          <w:p>
            <w:pPr>
              <w:pStyle w:val="TableParagraph"/>
              <w:spacing w:before="52"/>
              <w:ind w:right="113"/>
              <w:jc w:val="right"/>
              <w:rPr>
                <w:sz w:val="13"/>
              </w:rPr>
            </w:pPr>
            <w:r>
              <w:rPr>
                <w:w w:val="105"/>
                <w:sz w:val="13"/>
              </w:rPr>
              <w:t>133.380,18</w:t>
            </w:r>
          </w:p>
        </w:tc>
        <w:tc>
          <w:tcPr>
            <w:tcW w:w="889" w:type="dxa"/>
            <w:tcBorders>
              <w:top w:val="nil"/>
              <w:left w:val="nil"/>
              <w:bottom w:val="nil"/>
            </w:tcBorders>
          </w:tcPr>
          <w:p>
            <w:pPr>
              <w:pStyle w:val="TableParagraph"/>
              <w:spacing w:before="52"/>
              <w:ind w:left="124"/>
              <w:rPr>
                <w:sz w:val="13"/>
              </w:rPr>
            </w:pPr>
            <w:r>
              <w:rPr>
                <w:w w:val="105"/>
                <w:sz w:val="13"/>
              </w:rPr>
              <w:t>176.263,31</w:t>
            </w:r>
          </w:p>
        </w:tc>
      </w:tr>
      <w:tr>
        <w:trPr>
          <w:trHeight w:val="272" w:hRule="atLeast"/>
        </w:trPr>
        <w:tc>
          <w:tcPr>
            <w:tcW w:w="5321" w:type="dxa"/>
            <w:tcBorders>
              <w:top w:val="nil"/>
            </w:tcBorders>
          </w:tcPr>
          <w:p>
            <w:pPr>
              <w:pStyle w:val="TableParagraph"/>
              <w:spacing w:before="51"/>
              <w:ind w:left="57"/>
              <w:rPr>
                <w:b/>
                <w:sz w:val="13"/>
              </w:rPr>
            </w:pPr>
            <w:r>
              <w:rPr>
                <w:w w:val="105"/>
                <w:sz w:val="13"/>
              </w:rPr>
              <w:t>(+) Desviaciones de financiación negativas del ejercicio en gastos con financiación afectada </w:t>
            </w:r>
            <w:r>
              <w:rPr>
                <w:b/>
                <w:w w:val="105"/>
                <w:sz w:val="13"/>
              </w:rPr>
              <w:t>(4)</w:t>
            </w:r>
          </w:p>
        </w:tc>
        <w:tc>
          <w:tcPr>
            <w:tcW w:w="919" w:type="dxa"/>
            <w:tcBorders>
              <w:top w:val="nil"/>
              <w:right w:val="nil"/>
            </w:tcBorders>
          </w:tcPr>
          <w:p>
            <w:pPr>
              <w:pStyle w:val="TableParagraph"/>
              <w:spacing w:before="51"/>
              <w:ind w:right="113"/>
              <w:jc w:val="right"/>
              <w:rPr>
                <w:sz w:val="13"/>
              </w:rPr>
            </w:pPr>
            <w:r>
              <w:rPr>
                <w:w w:val="105"/>
                <w:sz w:val="13"/>
              </w:rPr>
              <w:t>87.222,14</w:t>
            </w:r>
          </w:p>
        </w:tc>
        <w:tc>
          <w:tcPr>
            <w:tcW w:w="889" w:type="dxa"/>
            <w:tcBorders>
              <w:top w:val="nil"/>
              <w:left w:val="nil"/>
            </w:tcBorders>
          </w:tcPr>
          <w:p>
            <w:pPr>
              <w:pStyle w:val="TableParagraph"/>
              <w:spacing w:before="51"/>
              <w:ind w:left="193"/>
              <w:rPr>
                <w:sz w:val="13"/>
              </w:rPr>
            </w:pPr>
            <w:r>
              <w:rPr>
                <w:w w:val="105"/>
                <w:sz w:val="13"/>
              </w:rPr>
              <w:t>70.517,46</w:t>
            </w:r>
          </w:p>
        </w:tc>
      </w:tr>
      <w:tr>
        <w:trPr>
          <w:trHeight w:val="282" w:hRule="atLeast"/>
        </w:trPr>
        <w:tc>
          <w:tcPr>
            <w:tcW w:w="5321" w:type="dxa"/>
          </w:tcPr>
          <w:p>
            <w:pPr>
              <w:pStyle w:val="TableParagraph"/>
              <w:spacing w:before="60"/>
              <w:ind w:left="57"/>
              <w:rPr>
                <w:b/>
                <w:sz w:val="13"/>
              </w:rPr>
            </w:pPr>
            <w:r>
              <w:rPr>
                <w:b/>
                <w:w w:val="105"/>
                <w:sz w:val="13"/>
              </w:rPr>
              <w:t>Resultado Presupuestario ajustado</w:t>
            </w:r>
          </w:p>
        </w:tc>
        <w:tc>
          <w:tcPr>
            <w:tcW w:w="919" w:type="dxa"/>
            <w:tcBorders>
              <w:right w:val="nil"/>
            </w:tcBorders>
          </w:tcPr>
          <w:p>
            <w:pPr>
              <w:pStyle w:val="TableParagraph"/>
              <w:spacing w:before="60"/>
              <w:ind w:right="113"/>
              <w:jc w:val="right"/>
              <w:rPr>
                <w:b/>
                <w:sz w:val="13"/>
              </w:rPr>
            </w:pPr>
            <w:r>
              <w:rPr>
                <w:b/>
                <w:w w:val="105"/>
                <w:sz w:val="13"/>
              </w:rPr>
              <w:t>36.209,19</w:t>
            </w:r>
          </w:p>
        </w:tc>
        <w:tc>
          <w:tcPr>
            <w:tcW w:w="889" w:type="dxa"/>
            <w:tcBorders>
              <w:left w:val="nil"/>
            </w:tcBorders>
          </w:tcPr>
          <w:p>
            <w:pPr>
              <w:pStyle w:val="TableParagraph"/>
              <w:spacing w:before="60"/>
              <w:ind w:right="46"/>
              <w:jc w:val="right"/>
              <w:rPr>
                <w:sz w:val="13"/>
              </w:rPr>
            </w:pPr>
            <w:r>
              <w:rPr>
                <w:b/>
                <w:w w:val="105"/>
                <w:sz w:val="13"/>
              </w:rPr>
              <w:t>86.270,91</w:t>
            </w:r>
            <w:r>
              <w:rPr>
                <w:w w:val="105"/>
                <w:sz w:val="13"/>
              </w:rPr>
              <w:t>*</w:t>
            </w:r>
          </w:p>
        </w:tc>
      </w:tr>
    </w:tbl>
    <w:p>
      <w:pPr>
        <w:spacing w:before="3"/>
        <w:ind w:left="2096" w:right="0" w:firstLine="0"/>
        <w:jc w:val="left"/>
        <w:rPr>
          <w:sz w:val="13"/>
        </w:rPr>
      </w:pPr>
      <w:r>
        <w:rPr>
          <w:w w:val="105"/>
          <w:sz w:val="13"/>
        </w:rPr>
        <w:t>* No incluye las cifras de ICI.</w:t>
      </w:r>
    </w:p>
    <w:p>
      <w:pPr>
        <w:pStyle w:val="BodyText"/>
        <w:spacing w:before="10"/>
        <w:rPr>
          <w:sz w:val="29"/>
        </w:rPr>
      </w:pPr>
    </w:p>
    <w:tbl>
      <w:tblPr>
        <w:tblW w:w="0" w:type="auto"/>
        <w:jc w:val="left"/>
        <w:tblInd w:w="2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0"/>
        <w:gridCol w:w="1014"/>
        <w:gridCol w:w="931"/>
        <w:gridCol w:w="934"/>
        <w:gridCol w:w="931"/>
        <w:gridCol w:w="1002"/>
      </w:tblGrid>
      <w:tr>
        <w:trPr>
          <w:trHeight w:val="194" w:hRule="atLeast"/>
        </w:trPr>
        <w:tc>
          <w:tcPr>
            <w:tcW w:w="2310" w:type="dxa"/>
            <w:tcBorders>
              <w:bottom w:val="nil"/>
            </w:tcBorders>
          </w:tcPr>
          <w:p>
            <w:pPr>
              <w:pStyle w:val="TableParagraph"/>
              <w:rPr>
                <w:rFonts w:ascii="Times New Roman"/>
                <w:sz w:val="12"/>
              </w:rPr>
            </w:pPr>
          </w:p>
        </w:tc>
        <w:tc>
          <w:tcPr>
            <w:tcW w:w="1014" w:type="dxa"/>
            <w:tcBorders>
              <w:bottom w:val="nil"/>
            </w:tcBorders>
            <w:shd w:val="clear" w:color="auto" w:fill="DEEAF6"/>
          </w:tcPr>
          <w:p>
            <w:pPr>
              <w:pStyle w:val="TableParagraph"/>
              <w:rPr>
                <w:rFonts w:ascii="Times New Roman"/>
                <w:sz w:val="12"/>
              </w:rPr>
            </w:pPr>
          </w:p>
        </w:tc>
        <w:tc>
          <w:tcPr>
            <w:tcW w:w="931" w:type="dxa"/>
            <w:tcBorders>
              <w:bottom w:val="nil"/>
            </w:tcBorders>
            <w:shd w:val="clear" w:color="auto" w:fill="DEEAF6"/>
          </w:tcPr>
          <w:p>
            <w:pPr>
              <w:pStyle w:val="TableParagraph"/>
              <w:rPr>
                <w:rFonts w:ascii="Times New Roman"/>
                <w:sz w:val="12"/>
              </w:rPr>
            </w:pPr>
          </w:p>
        </w:tc>
        <w:tc>
          <w:tcPr>
            <w:tcW w:w="934" w:type="dxa"/>
            <w:tcBorders>
              <w:bottom w:val="nil"/>
            </w:tcBorders>
            <w:shd w:val="clear" w:color="auto" w:fill="DEEAF6"/>
          </w:tcPr>
          <w:p>
            <w:pPr>
              <w:pStyle w:val="TableParagraph"/>
              <w:rPr>
                <w:rFonts w:ascii="Times New Roman"/>
                <w:sz w:val="12"/>
              </w:rPr>
            </w:pPr>
          </w:p>
        </w:tc>
        <w:tc>
          <w:tcPr>
            <w:tcW w:w="931" w:type="dxa"/>
            <w:tcBorders>
              <w:bottom w:val="nil"/>
            </w:tcBorders>
            <w:shd w:val="clear" w:color="auto" w:fill="DEEAF6"/>
          </w:tcPr>
          <w:p>
            <w:pPr>
              <w:pStyle w:val="TableParagraph"/>
              <w:rPr>
                <w:rFonts w:ascii="Times New Roman"/>
                <w:sz w:val="12"/>
              </w:rPr>
            </w:pPr>
          </w:p>
        </w:tc>
        <w:tc>
          <w:tcPr>
            <w:tcW w:w="1002" w:type="dxa"/>
            <w:tcBorders>
              <w:bottom w:val="nil"/>
            </w:tcBorders>
            <w:shd w:val="clear" w:color="auto" w:fill="DEEAF6"/>
          </w:tcPr>
          <w:p>
            <w:pPr>
              <w:pStyle w:val="TableParagraph"/>
              <w:spacing w:line="153" w:lineRule="exact" w:before="22"/>
              <w:ind w:left="217"/>
              <w:rPr>
                <w:b/>
                <w:sz w:val="13"/>
              </w:rPr>
            </w:pPr>
            <w:r>
              <w:rPr>
                <w:b/>
                <w:w w:val="105"/>
                <w:sz w:val="13"/>
              </w:rPr>
              <w:t>Resultado</w:t>
            </w:r>
          </w:p>
        </w:tc>
      </w:tr>
      <w:tr>
        <w:trPr>
          <w:trHeight w:val="164" w:hRule="atLeast"/>
        </w:trPr>
        <w:tc>
          <w:tcPr>
            <w:tcW w:w="2310" w:type="dxa"/>
            <w:tcBorders>
              <w:top w:val="nil"/>
              <w:bottom w:val="nil"/>
            </w:tcBorders>
          </w:tcPr>
          <w:p>
            <w:pPr>
              <w:pStyle w:val="TableParagraph"/>
              <w:rPr>
                <w:rFonts w:ascii="Times New Roman"/>
                <w:sz w:val="10"/>
              </w:rPr>
            </w:pPr>
          </w:p>
        </w:tc>
        <w:tc>
          <w:tcPr>
            <w:tcW w:w="1014" w:type="dxa"/>
            <w:tcBorders>
              <w:top w:val="nil"/>
              <w:bottom w:val="nil"/>
            </w:tcBorders>
            <w:shd w:val="clear" w:color="auto" w:fill="DEEAF6"/>
          </w:tcPr>
          <w:p>
            <w:pPr>
              <w:pStyle w:val="TableParagraph"/>
              <w:spacing w:line="144" w:lineRule="exact"/>
              <w:ind w:left="409" w:right="400"/>
              <w:jc w:val="center"/>
              <w:rPr>
                <w:b/>
                <w:sz w:val="13"/>
              </w:rPr>
            </w:pPr>
            <w:r>
              <w:rPr>
                <w:b/>
                <w:w w:val="105"/>
                <w:sz w:val="13"/>
              </w:rPr>
              <w:t>(1)</w:t>
            </w:r>
          </w:p>
        </w:tc>
        <w:tc>
          <w:tcPr>
            <w:tcW w:w="931" w:type="dxa"/>
            <w:tcBorders>
              <w:top w:val="nil"/>
              <w:bottom w:val="nil"/>
            </w:tcBorders>
            <w:shd w:val="clear" w:color="auto" w:fill="DEEAF6"/>
          </w:tcPr>
          <w:p>
            <w:pPr>
              <w:pStyle w:val="TableParagraph"/>
              <w:spacing w:line="144" w:lineRule="exact"/>
              <w:ind w:left="292" w:right="285"/>
              <w:jc w:val="center"/>
              <w:rPr>
                <w:b/>
                <w:sz w:val="13"/>
              </w:rPr>
            </w:pPr>
            <w:r>
              <w:rPr>
                <w:b/>
                <w:w w:val="105"/>
                <w:sz w:val="13"/>
              </w:rPr>
              <w:t>(3)</w:t>
            </w:r>
          </w:p>
        </w:tc>
        <w:tc>
          <w:tcPr>
            <w:tcW w:w="934" w:type="dxa"/>
            <w:tcBorders>
              <w:top w:val="nil"/>
              <w:bottom w:val="nil"/>
            </w:tcBorders>
            <w:shd w:val="clear" w:color="auto" w:fill="DEEAF6"/>
          </w:tcPr>
          <w:p>
            <w:pPr>
              <w:pStyle w:val="TableParagraph"/>
              <w:spacing w:line="144" w:lineRule="exact"/>
              <w:ind w:left="368" w:right="360"/>
              <w:jc w:val="center"/>
              <w:rPr>
                <w:b/>
                <w:sz w:val="13"/>
              </w:rPr>
            </w:pPr>
            <w:r>
              <w:rPr>
                <w:b/>
                <w:w w:val="105"/>
                <w:sz w:val="13"/>
              </w:rPr>
              <w:t>(4)</w:t>
            </w:r>
          </w:p>
        </w:tc>
        <w:tc>
          <w:tcPr>
            <w:tcW w:w="931" w:type="dxa"/>
            <w:tcBorders>
              <w:top w:val="nil"/>
              <w:bottom w:val="nil"/>
            </w:tcBorders>
            <w:shd w:val="clear" w:color="auto" w:fill="DEEAF6"/>
          </w:tcPr>
          <w:p>
            <w:pPr>
              <w:pStyle w:val="TableParagraph"/>
              <w:spacing w:line="144" w:lineRule="exact"/>
              <w:ind w:left="291" w:right="285"/>
              <w:jc w:val="center"/>
              <w:rPr>
                <w:b/>
                <w:sz w:val="13"/>
              </w:rPr>
            </w:pPr>
            <w:r>
              <w:rPr>
                <w:b/>
                <w:w w:val="105"/>
                <w:sz w:val="13"/>
              </w:rPr>
              <w:t>(5)</w:t>
            </w:r>
          </w:p>
        </w:tc>
        <w:tc>
          <w:tcPr>
            <w:tcW w:w="1002" w:type="dxa"/>
            <w:tcBorders>
              <w:top w:val="nil"/>
              <w:bottom w:val="nil"/>
            </w:tcBorders>
            <w:shd w:val="clear" w:color="auto" w:fill="DEEAF6"/>
          </w:tcPr>
          <w:p>
            <w:pPr>
              <w:pStyle w:val="TableParagraph"/>
              <w:spacing w:line="144" w:lineRule="exact"/>
              <w:ind w:right="69"/>
              <w:jc w:val="right"/>
              <w:rPr>
                <w:b/>
                <w:sz w:val="13"/>
              </w:rPr>
            </w:pPr>
            <w:r>
              <w:rPr>
                <w:b/>
                <w:sz w:val="13"/>
              </w:rPr>
              <w:t>Presupuestario</w:t>
            </w:r>
          </w:p>
        </w:tc>
      </w:tr>
      <w:tr>
        <w:trPr>
          <w:trHeight w:val="172" w:hRule="atLeast"/>
        </w:trPr>
        <w:tc>
          <w:tcPr>
            <w:tcW w:w="2310" w:type="dxa"/>
            <w:tcBorders>
              <w:top w:val="nil"/>
              <w:bottom w:val="nil"/>
            </w:tcBorders>
          </w:tcPr>
          <w:p>
            <w:pPr>
              <w:pStyle w:val="TableParagraph"/>
              <w:rPr>
                <w:rFonts w:ascii="Times New Roman"/>
                <w:sz w:val="10"/>
              </w:rPr>
            </w:pPr>
          </w:p>
        </w:tc>
        <w:tc>
          <w:tcPr>
            <w:tcW w:w="1014" w:type="dxa"/>
            <w:tcBorders>
              <w:top w:val="nil"/>
            </w:tcBorders>
            <w:shd w:val="clear" w:color="auto" w:fill="DEEAF6"/>
          </w:tcPr>
          <w:p>
            <w:pPr>
              <w:pStyle w:val="TableParagraph"/>
              <w:rPr>
                <w:rFonts w:ascii="Times New Roman"/>
                <w:sz w:val="10"/>
              </w:rPr>
            </w:pPr>
          </w:p>
        </w:tc>
        <w:tc>
          <w:tcPr>
            <w:tcW w:w="931" w:type="dxa"/>
            <w:tcBorders>
              <w:top w:val="nil"/>
            </w:tcBorders>
            <w:shd w:val="clear" w:color="auto" w:fill="DEEAF6"/>
          </w:tcPr>
          <w:p>
            <w:pPr>
              <w:pStyle w:val="TableParagraph"/>
              <w:rPr>
                <w:rFonts w:ascii="Times New Roman"/>
                <w:sz w:val="10"/>
              </w:rPr>
            </w:pPr>
          </w:p>
        </w:tc>
        <w:tc>
          <w:tcPr>
            <w:tcW w:w="934" w:type="dxa"/>
            <w:tcBorders>
              <w:top w:val="nil"/>
            </w:tcBorders>
            <w:shd w:val="clear" w:color="auto" w:fill="DEEAF6"/>
          </w:tcPr>
          <w:p>
            <w:pPr>
              <w:pStyle w:val="TableParagraph"/>
              <w:rPr>
                <w:rFonts w:ascii="Times New Roman"/>
                <w:sz w:val="10"/>
              </w:rPr>
            </w:pPr>
          </w:p>
        </w:tc>
        <w:tc>
          <w:tcPr>
            <w:tcW w:w="931" w:type="dxa"/>
            <w:tcBorders>
              <w:top w:val="nil"/>
            </w:tcBorders>
            <w:shd w:val="clear" w:color="auto" w:fill="DEEAF6"/>
          </w:tcPr>
          <w:p>
            <w:pPr>
              <w:pStyle w:val="TableParagraph"/>
              <w:rPr>
                <w:rFonts w:ascii="Times New Roman"/>
                <w:sz w:val="10"/>
              </w:rPr>
            </w:pPr>
          </w:p>
        </w:tc>
        <w:tc>
          <w:tcPr>
            <w:tcW w:w="1002" w:type="dxa"/>
            <w:tcBorders>
              <w:top w:val="nil"/>
            </w:tcBorders>
            <w:shd w:val="clear" w:color="auto" w:fill="DEEAF6"/>
          </w:tcPr>
          <w:p>
            <w:pPr>
              <w:pStyle w:val="TableParagraph"/>
              <w:spacing w:line="150" w:lineRule="exact"/>
              <w:ind w:left="247"/>
              <w:rPr>
                <w:b/>
                <w:sz w:val="13"/>
              </w:rPr>
            </w:pPr>
            <w:r>
              <w:rPr>
                <w:b/>
                <w:w w:val="105"/>
                <w:sz w:val="13"/>
              </w:rPr>
              <w:t>Ajustado</w:t>
            </w:r>
          </w:p>
        </w:tc>
      </w:tr>
      <w:tr>
        <w:trPr>
          <w:trHeight w:val="206" w:hRule="atLeast"/>
        </w:trPr>
        <w:tc>
          <w:tcPr>
            <w:tcW w:w="2310" w:type="dxa"/>
            <w:tcBorders>
              <w:top w:val="nil"/>
              <w:bottom w:val="nil"/>
            </w:tcBorders>
          </w:tcPr>
          <w:p>
            <w:pPr>
              <w:pStyle w:val="TableParagraph"/>
              <w:spacing w:before="14"/>
              <w:ind w:left="704"/>
              <w:rPr>
                <w:b/>
                <w:sz w:val="13"/>
              </w:rPr>
            </w:pPr>
            <w:r>
              <w:rPr>
                <w:b/>
                <w:w w:val="105"/>
                <w:sz w:val="13"/>
              </w:rPr>
              <w:t>ICAP</w:t>
            </w:r>
          </w:p>
        </w:tc>
        <w:tc>
          <w:tcPr>
            <w:tcW w:w="1014" w:type="dxa"/>
            <w:tcBorders>
              <w:bottom w:val="nil"/>
            </w:tcBorders>
          </w:tcPr>
          <w:p>
            <w:pPr>
              <w:pStyle w:val="TableParagraph"/>
              <w:spacing w:before="19"/>
              <w:ind w:right="48"/>
              <w:jc w:val="right"/>
              <w:rPr>
                <w:sz w:val="12"/>
              </w:rPr>
            </w:pPr>
            <w:r>
              <w:rPr>
                <w:w w:val="105"/>
                <w:sz w:val="12"/>
              </w:rPr>
              <w:t>1.024,93</w:t>
            </w:r>
          </w:p>
        </w:tc>
        <w:tc>
          <w:tcPr>
            <w:tcW w:w="931" w:type="dxa"/>
            <w:tcBorders>
              <w:bottom w:val="nil"/>
            </w:tcBorders>
          </w:tcPr>
          <w:p>
            <w:pPr>
              <w:pStyle w:val="TableParagraph"/>
              <w:rPr>
                <w:rFonts w:ascii="Times New Roman"/>
                <w:sz w:val="14"/>
              </w:rPr>
            </w:pPr>
          </w:p>
        </w:tc>
        <w:tc>
          <w:tcPr>
            <w:tcW w:w="934" w:type="dxa"/>
            <w:tcBorders>
              <w:bottom w:val="nil"/>
            </w:tcBorders>
          </w:tcPr>
          <w:p>
            <w:pPr>
              <w:pStyle w:val="TableParagraph"/>
              <w:spacing w:before="19"/>
              <w:ind w:right="48"/>
              <w:jc w:val="right"/>
              <w:rPr>
                <w:sz w:val="12"/>
              </w:rPr>
            </w:pPr>
            <w:r>
              <w:rPr>
                <w:w w:val="105"/>
                <w:sz w:val="12"/>
              </w:rPr>
              <w:t>780,49</w:t>
            </w:r>
          </w:p>
        </w:tc>
        <w:tc>
          <w:tcPr>
            <w:tcW w:w="931" w:type="dxa"/>
            <w:tcBorders>
              <w:bottom w:val="nil"/>
            </w:tcBorders>
          </w:tcPr>
          <w:p>
            <w:pPr>
              <w:pStyle w:val="TableParagraph"/>
              <w:rPr>
                <w:rFonts w:ascii="Times New Roman"/>
                <w:sz w:val="14"/>
              </w:rPr>
            </w:pPr>
          </w:p>
        </w:tc>
        <w:tc>
          <w:tcPr>
            <w:tcW w:w="1002" w:type="dxa"/>
            <w:tcBorders>
              <w:bottom w:val="nil"/>
            </w:tcBorders>
          </w:tcPr>
          <w:p>
            <w:pPr>
              <w:pStyle w:val="TableParagraph"/>
              <w:spacing w:before="19"/>
              <w:ind w:right="50"/>
              <w:jc w:val="right"/>
              <w:rPr>
                <w:sz w:val="12"/>
              </w:rPr>
            </w:pPr>
            <w:r>
              <w:rPr>
                <w:w w:val="105"/>
                <w:sz w:val="12"/>
              </w:rPr>
              <w:t>244,44</w:t>
            </w:r>
          </w:p>
        </w:tc>
      </w:tr>
      <w:tr>
        <w:trPr>
          <w:trHeight w:val="203" w:hRule="atLeast"/>
        </w:trPr>
        <w:tc>
          <w:tcPr>
            <w:tcW w:w="2310" w:type="dxa"/>
            <w:tcBorders>
              <w:top w:val="nil"/>
              <w:bottom w:val="nil"/>
            </w:tcBorders>
          </w:tcPr>
          <w:p>
            <w:pPr>
              <w:pStyle w:val="TableParagraph"/>
              <w:spacing w:before="11"/>
              <w:ind w:left="704"/>
              <w:rPr>
                <w:b/>
                <w:sz w:val="13"/>
              </w:rPr>
            </w:pPr>
            <w:r>
              <w:rPr>
                <w:b/>
                <w:w w:val="105"/>
                <w:sz w:val="13"/>
              </w:rPr>
              <w:t>ISTAC</w:t>
            </w:r>
          </w:p>
        </w:tc>
        <w:tc>
          <w:tcPr>
            <w:tcW w:w="1014" w:type="dxa"/>
            <w:tcBorders>
              <w:top w:val="nil"/>
              <w:bottom w:val="nil"/>
            </w:tcBorders>
          </w:tcPr>
          <w:p>
            <w:pPr>
              <w:pStyle w:val="TableParagraph"/>
              <w:spacing w:before="19"/>
              <w:ind w:right="48"/>
              <w:jc w:val="right"/>
              <w:rPr>
                <w:sz w:val="12"/>
              </w:rPr>
            </w:pPr>
            <w:r>
              <w:rPr>
                <w:w w:val="105"/>
                <w:sz w:val="12"/>
              </w:rPr>
              <w:t>1.103,84</w:t>
            </w:r>
          </w:p>
        </w:tc>
        <w:tc>
          <w:tcPr>
            <w:tcW w:w="931" w:type="dxa"/>
            <w:tcBorders>
              <w:top w:val="nil"/>
              <w:bottom w:val="nil"/>
            </w:tcBorders>
          </w:tcPr>
          <w:p>
            <w:pPr>
              <w:pStyle w:val="TableParagraph"/>
              <w:rPr>
                <w:rFonts w:ascii="Times New Roman"/>
                <w:sz w:val="14"/>
              </w:rPr>
            </w:pPr>
          </w:p>
        </w:tc>
        <w:tc>
          <w:tcPr>
            <w:tcW w:w="934" w:type="dxa"/>
            <w:tcBorders>
              <w:top w:val="nil"/>
              <w:bottom w:val="nil"/>
            </w:tcBorders>
          </w:tcPr>
          <w:p>
            <w:pPr>
              <w:pStyle w:val="TableParagraph"/>
              <w:spacing w:before="19"/>
              <w:ind w:right="48"/>
              <w:jc w:val="right"/>
              <w:rPr>
                <w:sz w:val="12"/>
              </w:rPr>
            </w:pPr>
            <w:r>
              <w:rPr>
                <w:w w:val="105"/>
                <w:sz w:val="12"/>
              </w:rPr>
              <w:t>332,74</w:t>
            </w:r>
          </w:p>
        </w:tc>
        <w:tc>
          <w:tcPr>
            <w:tcW w:w="931" w:type="dxa"/>
            <w:tcBorders>
              <w:top w:val="nil"/>
              <w:bottom w:val="nil"/>
            </w:tcBorders>
          </w:tcPr>
          <w:p>
            <w:pPr>
              <w:pStyle w:val="TableParagraph"/>
              <w:rPr>
                <w:rFonts w:ascii="Times New Roman"/>
                <w:sz w:val="14"/>
              </w:rPr>
            </w:pPr>
          </w:p>
        </w:tc>
        <w:tc>
          <w:tcPr>
            <w:tcW w:w="1002" w:type="dxa"/>
            <w:tcBorders>
              <w:top w:val="nil"/>
              <w:bottom w:val="nil"/>
            </w:tcBorders>
          </w:tcPr>
          <w:p>
            <w:pPr>
              <w:pStyle w:val="TableParagraph"/>
              <w:spacing w:before="19"/>
              <w:ind w:right="50"/>
              <w:jc w:val="right"/>
              <w:rPr>
                <w:sz w:val="12"/>
              </w:rPr>
            </w:pPr>
            <w:r>
              <w:rPr>
                <w:w w:val="105"/>
                <w:sz w:val="12"/>
              </w:rPr>
              <w:t>771,10</w:t>
            </w:r>
          </w:p>
        </w:tc>
      </w:tr>
      <w:tr>
        <w:trPr>
          <w:trHeight w:val="204" w:hRule="atLeast"/>
        </w:trPr>
        <w:tc>
          <w:tcPr>
            <w:tcW w:w="2310" w:type="dxa"/>
            <w:tcBorders>
              <w:top w:val="nil"/>
              <w:bottom w:val="nil"/>
            </w:tcBorders>
          </w:tcPr>
          <w:p>
            <w:pPr>
              <w:pStyle w:val="TableParagraph"/>
              <w:spacing w:before="11"/>
              <w:ind w:left="704"/>
              <w:rPr>
                <w:b/>
                <w:sz w:val="13"/>
              </w:rPr>
            </w:pPr>
            <w:r>
              <w:rPr>
                <w:b/>
                <w:w w:val="105"/>
                <w:sz w:val="13"/>
              </w:rPr>
              <w:t>SCE</w:t>
            </w:r>
          </w:p>
        </w:tc>
        <w:tc>
          <w:tcPr>
            <w:tcW w:w="1014" w:type="dxa"/>
            <w:tcBorders>
              <w:top w:val="nil"/>
              <w:bottom w:val="nil"/>
            </w:tcBorders>
          </w:tcPr>
          <w:p>
            <w:pPr>
              <w:pStyle w:val="TableParagraph"/>
              <w:spacing w:before="19"/>
              <w:ind w:right="48"/>
              <w:jc w:val="right"/>
              <w:rPr>
                <w:sz w:val="12"/>
              </w:rPr>
            </w:pPr>
            <w:r>
              <w:rPr>
                <w:w w:val="105"/>
                <w:sz w:val="12"/>
              </w:rPr>
              <w:t>- 42.504,38</w:t>
            </w:r>
          </w:p>
        </w:tc>
        <w:tc>
          <w:tcPr>
            <w:tcW w:w="931" w:type="dxa"/>
            <w:tcBorders>
              <w:top w:val="nil"/>
              <w:bottom w:val="nil"/>
            </w:tcBorders>
          </w:tcPr>
          <w:p>
            <w:pPr>
              <w:pStyle w:val="TableParagraph"/>
              <w:spacing w:before="19"/>
              <w:ind w:right="48"/>
              <w:jc w:val="right"/>
              <w:rPr>
                <w:sz w:val="12"/>
              </w:rPr>
            </w:pPr>
            <w:r>
              <w:rPr>
                <w:w w:val="105"/>
                <w:sz w:val="12"/>
              </w:rPr>
              <w:t>44.768,06</w:t>
            </w:r>
          </w:p>
        </w:tc>
        <w:tc>
          <w:tcPr>
            <w:tcW w:w="934" w:type="dxa"/>
            <w:tcBorders>
              <w:top w:val="nil"/>
              <w:bottom w:val="nil"/>
            </w:tcBorders>
          </w:tcPr>
          <w:p>
            <w:pPr>
              <w:pStyle w:val="TableParagraph"/>
              <w:spacing w:before="19"/>
              <w:ind w:right="49"/>
              <w:jc w:val="right"/>
              <w:rPr>
                <w:sz w:val="12"/>
              </w:rPr>
            </w:pPr>
            <w:r>
              <w:rPr>
                <w:w w:val="105"/>
                <w:sz w:val="12"/>
              </w:rPr>
              <w:t>52.801,12</w:t>
            </w:r>
          </w:p>
        </w:tc>
        <w:tc>
          <w:tcPr>
            <w:tcW w:w="931" w:type="dxa"/>
            <w:tcBorders>
              <w:top w:val="nil"/>
              <w:bottom w:val="nil"/>
            </w:tcBorders>
          </w:tcPr>
          <w:p>
            <w:pPr>
              <w:pStyle w:val="TableParagraph"/>
              <w:spacing w:before="19"/>
              <w:ind w:right="48"/>
              <w:jc w:val="right"/>
              <w:rPr>
                <w:sz w:val="12"/>
              </w:rPr>
            </w:pPr>
            <w:r>
              <w:rPr>
                <w:w w:val="105"/>
                <w:sz w:val="12"/>
              </w:rPr>
              <w:t>67.506,85</w:t>
            </w:r>
          </w:p>
        </w:tc>
        <w:tc>
          <w:tcPr>
            <w:tcW w:w="1002" w:type="dxa"/>
            <w:tcBorders>
              <w:top w:val="nil"/>
              <w:bottom w:val="nil"/>
            </w:tcBorders>
          </w:tcPr>
          <w:p>
            <w:pPr>
              <w:pStyle w:val="TableParagraph"/>
              <w:spacing w:before="19"/>
              <w:ind w:right="51"/>
              <w:jc w:val="right"/>
              <w:rPr>
                <w:sz w:val="12"/>
              </w:rPr>
            </w:pPr>
            <w:r>
              <w:rPr>
                <w:w w:val="105"/>
                <w:sz w:val="12"/>
              </w:rPr>
              <w:t>16.969,41</w:t>
            </w:r>
          </w:p>
        </w:tc>
      </w:tr>
      <w:tr>
        <w:trPr>
          <w:trHeight w:val="204" w:hRule="atLeast"/>
        </w:trPr>
        <w:tc>
          <w:tcPr>
            <w:tcW w:w="2310" w:type="dxa"/>
            <w:tcBorders>
              <w:top w:val="nil"/>
              <w:bottom w:val="nil"/>
            </w:tcBorders>
          </w:tcPr>
          <w:p>
            <w:pPr>
              <w:pStyle w:val="TableParagraph"/>
              <w:spacing w:before="12"/>
              <w:ind w:left="704"/>
              <w:rPr>
                <w:b/>
                <w:sz w:val="13"/>
              </w:rPr>
            </w:pPr>
            <w:r>
              <w:rPr>
                <w:b/>
                <w:w w:val="105"/>
                <w:sz w:val="13"/>
              </w:rPr>
              <w:t>ICIA</w:t>
            </w:r>
          </w:p>
        </w:tc>
        <w:tc>
          <w:tcPr>
            <w:tcW w:w="1014" w:type="dxa"/>
            <w:tcBorders>
              <w:top w:val="nil"/>
              <w:bottom w:val="nil"/>
            </w:tcBorders>
          </w:tcPr>
          <w:p>
            <w:pPr>
              <w:pStyle w:val="TableParagraph"/>
              <w:spacing w:before="18"/>
              <w:ind w:right="48"/>
              <w:jc w:val="right"/>
              <w:rPr>
                <w:sz w:val="12"/>
              </w:rPr>
            </w:pPr>
            <w:r>
              <w:rPr>
                <w:w w:val="105"/>
                <w:sz w:val="12"/>
              </w:rPr>
              <w:t>1.979,68</w:t>
            </w:r>
          </w:p>
        </w:tc>
        <w:tc>
          <w:tcPr>
            <w:tcW w:w="931" w:type="dxa"/>
            <w:tcBorders>
              <w:top w:val="nil"/>
              <w:bottom w:val="nil"/>
            </w:tcBorders>
          </w:tcPr>
          <w:p>
            <w:pPr>
              <w:pStyle w:val="TableParagraph"/>
              <w:rPr>
                <w:rFonts w:ascii="Times New Roman"/>
                <w:sz w:val="14"/>
              </w:rPr>
            </w:pPr>
          </w:p>
        </w:tc>
        <w:tc>
          <w:tcPr>
            <w:tcW w:w="934" w:type="dxa"/>
            <w:tcBorders>
              <w:top w:val="nil"/>
              <w:bottom w:val="nil"/>
            </w:tcBorders>
          </w:tcPr>
          <w:p>
            <w:pPr>
              <w:pStyle w:val="TableParagraph"/>
              <w:spacing w:before="18"/>
              <w:ind w:right="48"/>
              <w:jc w:val="right"/>
              <w:rPr>
                <w:sz w:val="12"/>
              </w:rPr>
            </w:pPr>
            <w:r>
              <w:rPr>
                <w:w w:val="105"/>
                <w:sz w:val="12"/>
              </w:rPr>
              <w:t>49,30</w:t>
            </w:r>
          </w:p>
        </w:tc>
        <w:tc>
          <w:tcPr>
            <w:tcW w:w="931" w:type="dxa"/>
            <w:tcBorders>
              <w:top w:val="nil"/>
              <w:bottom w:val="nil"/>
            </w:tcBorders>
          </w:tcPr>
          <w:p>
            <w:pPr>
              <w:pStyle w:val="TableParagraph"/>
              <w:spacing w:before="18"/>
              <w:ind w:right="48"/>
              <w:jc w:val="right"/>
              <w:rPr>
                <w:sz w:val="12"/>
              </w:rPr>
            </w:pPr>
            <w:r>
              <w:rPr>
                <w:w w:val="105"/>
                <w:sz w:val="12"/>
              </w:rPr>
              <w:t>211,09</w:t>
            </w:r>
          </w:p>
        </w:tc>
        <w:tc>
          <w:tcPr>
            <w:tcW w:w="1002" w:type="dxa"/>
            <w:tcBorders>
              <w:top w:val="nil"/>
              <w:bottom w:val="nil"/>
            </w:tcBorders>
          </w:tcPr>
          <w:p>
            <w:pPr>
              <w:pStyle w:val="TableParagraph"/>
              <w:spacing w:before="18"/>
              <w:ind w:right="50"/>
              <w:jc w:val="right"/>
              <w:rPr>
                <w:sz w:val="12"/>
              </w:rPr>
            </w:pPr>
            <w:r>
              <w:rPr>
                <w:w w:val="105"/>
                <w:sz w:val="12"/>
              </w:rPr>
              <w:t>2.141,47</w:t>
            </w:r>
          </w:p>
        </w:tc>
      </w:tr>
      <w:tr>
        <w:trPr>
          <w:trHeight w:val="184" w:hRule="atLeast"/>
        </w:trPr>
        <w:tc>
          <w:tcPr>
            <w:tcW w:w="2310" w:type="dxa"/>
            <w:tcBorders>
              <w:top w:val="nil"/>
              <w:bottom w:val="nil"/>
            </w:tcBorders>
          </w:tcPr>
          <w:p>
            <w:pPr>
              <w:pStyle w:val="TableParagraph"/>
              <w:spacing w:line="152" w:lineRule="exact" w:before="12"/>
              <w:ind w:left="704"/>
              <w:rPr>
                <w:b/>
                <w:sz w:val="13"/>
              </w:rPr>
            </w:pPr>
            <w:r>
              <w:rPr>
                <w:b/>
                <w:w w:val="105"/>
                <w:sz w:val="13"/>
              </w:rPr>
              <w:t>ICHH</w:t>
            </w:r>
          </w:p>
        </w:tc>
        <w:tc>
          <w:tcPr>
            <w:tcW w:w="1014" w:type="dxa"/>
            <w:tcBorders>
              <w:top w:val="nil"/>
              <w:bottom w:val="nil"/>
            </w:tcBorders>
          </w:tcPr>
          <w:p>
            <w:pPr>
              <w:pStyle w:val="TableParagraph"/>
              <w:spacing w:before="17"/>
              <w:ind w:right="48"/>
              <w:jc w:val="right"/>
              <w:rPr>
                <w:sz w:val="12"/>
              </w:rPr>
            </w:pPr>
            <w:r>
              <w:rPr>
                <w:w w:val="105"/>
                <w:sz w:val="12"/>
              </w:rPr>
              <w:t>1.206,44</w:t>
            </w:r>
          </w:p>
        </w:tc>
        <w:tc>
          <w:tcPr>
            <w:tcW w:w="931" w:type="dxa"/>
            <w:tcBorders>
              <w:top w:val="nil"/>
              <w:bottom w:val="nil"/>
            </w:tcBorders>
          </w:tcPr>
          <w:p>
            <w:pPr>
              <w:pStyle w:val="TableParagraph"/>
              <w:rPr>
                <w:rFonts w:ascii="Times New Roman"/>
                <w:sz w:val="12"/>
              </w:rPr>
            </w:pPr>
          </w:p>
        </w:tc>
        <w:tc>
          <w:tcPr>
            <w:tcW w:w="934" w:type="dxa"/>
            <w:tcBorders>
              <w:top w:val="nil"/>
              <w:bottom w:val="nil"/>
            </w:tcBorders>
          </w:tcPr>
          <w:p>
            <w:pPr>
              <w:pStyle w:val="TableParagraph"/>
              <w:spacing w:before="17"/>
              <w:ind w:right="48"/>
              <w:jc w:val="right"/>
              <w:rPr>
                <w:sz w:val="12"/>
              </w:rPr>
            </w:pPr>
            <w:r>
              <w:rPr>
                <w:w w:val="105"/>
                <w:sz w:val="12"/>
              </w:rPr>
              <w:t>107,82</w:t>
            </w:r>
          </w:p>
        </w:tc>
        <w:tc>
          <w:tcPr>
            <w:tcW w:w="931" w:type="dxa"/>
            <w:tcBorders>
              <w:top w:val="nil"/>
              <w:bottom w:val="nil"/>
            </w:tcBorders>
          </w:tcPr>
          <w:p>
            <w:pPr>
              <w:pStyle w:val="TableParagraph"/>
              <w:rPr>
                <w:rFonts w:ascii="Times New Roman"/>
                <w:sz w:val="12"/>
              </w:rPr>
            </w:pPr>
          </w:p>
        </w:tc>
        <w:tc>
          <w:tcPr>
            <w:tcW w:w="1002" w:type="dxa"/>
            <w:tcBorders>
              <w:top w:val="nil"/>
              <w:bottom w:val="nil"/>
            </w:tcBorders>
          </w:tcPr>
          <w:p>
            <w:pPr>
              <w:pStyle w:val="TableParagraph"/>
              <w:spacing w:before="17"/>
              <w:ind w:right="50"/>
              <w:jc w:val="right"/>
              <w:rPr>
                <w:sz w:val="12"/>
              </w:rPr>
            </w:pPr>
            <w:r>
              <w:rPr>
                <w:w w:val="105"/>
                <w:sz w:val="12"/>
              </w:rPr>
              <w:t>1.098,62</w:t>
            </w:r>
          </w:p>
        </w:tc>
      </w:tr>
      <w:tr>
        <w:trPr>
          <w:trHeight w:val="203" w:hRule="atLeast"/>
        </w:trPr>
        <w:tc>
          <w:tcPr>
            <w:tcW w:w="2310" w:type="dxa"/>
            <w:tcBorders>
              <w:top w:val="nil"/>
              <w:bottom w:val="nil"/>
            </w:tcBorders>
            <w:shd w:val="clear" w:color="auto" w:fill="F1F1F1"/>
          </w:tcPr>
          <w:p>
            <w:pPr>
              <w:pStyle w:val="TableParagraph"/>
              <w:spacing w:line="152" w:lineRule="exact" w:before="31"/>
              <w:ind w:left="704"/>
              <w:rPr>
                <w:b/>
                <w:sz w:val="13"/>
              </w:rPr>
            </w:pPr>
            <w:r>
              <w:rPr>
                <w:b/>
                <w:w w:val="105"/>
                <w:sz w:val="13"/>
              </w:rPr>
              <w:t>SCS</w:t>
            </w:r>
          </w:p>
        </w:tc>
        <w:tc>
          <w:tcPr>
            <w:tcW w:w="1014" w:type="dxa"/>
            <w:tcBorders>
              <w:top w:val="nil"/>
              <w:bottom w:val="nil"/>
            </w:tcBorders>
            <w:shd w:val="clear" w:color="auto" w:fill="F1F1F1"/>
          </w:tcPr>
          <w:p>
            <w:pPr>
              <w:pStyle w:val="TableParagraph"/>
              <w:spacing w:line="145" w:lineRule="exact" w:before="39"/>
              <w:ind w:right="48"/>
              <w:jc w:val="right"/>
              <w:rPr>
                <w:b/>
                <w:sz w:val="12"/>
              </w:rPr>
            </w:pPr>
            <w:r>
              <w:rPr>
                <w:b/>
                <w:w w:val="105"/>
                <w:sz w:val="12"/>
              </w:rPr>
              <w:t>- 34.590,56</w:t>
            </w:r>
          </w:p>
        </w:tc>
        <w:tc>
          <w:tcPr>
            <w:tcW w:w="931" w:type="dxa"/>
            <w:tcBorders>
              <w:top w:val="nil"/>
              <w:bottom w:val="nil"/>
            </w:tcBorders>
            <w:shd w:val="clear" w:color="auto" w:fill="F1F1F1"/>
          </w:tcPr>
          <w:p>
            <w:pPr>
              <w:pStyle w:val="TableParagraph"/>
              <w:spacing w:line="145" w:lineRule="exact" w:before="39"/>
              <w:ind w:right="48"/>
              <w:jc w:val="right"/>
              <w:rPr>
                <w:b/>
                <w:sz w:val="12"/>
              </w:rPr>
            </w:pPr>
            <w:r>
              <w:rPr>
                <w:b/>
                <w:w w:val="105"/>
                <w:sz w:val="12"/>
              </w:rPr>
              <w:t>48.830,92</w:t>
            </w:r>
          </w:p>
        </w:tc>
        <w:tc>
          <w:tcPr>
            <w:tcW w:w="934" w:type="dxa"/>
            <w:tcBorders>
              <w:top w:val="nil"/>
              <w:bottom w:val="nil"/>
            </w:tcBorders>
            <w:shd w:val="clear" w:color="auto" w:fill="F1F1F1"/>
          </w:tcPr>
          <w:p>
            <w:pPr>
              <w:pStyle w:val="TableParagraph"/>
              <w:spacing w:line="145" w:lineRule="exact" w:before="39"/>
              <w:ind w:right="49"/>
              <w:jc w:val="right"/>
              <w:rPr>
                <w:b/>
                <w:sz w:val="12"/>
              </w:rPr>
            </w:pPr>
            <w:r>
              <w:rPr>
                <w:b/>
                <w:w w:val="105"/>
                <w:sz w:val="12"/>
              </w:rPr>
              <w:t>35.294,24</w:t>
            </w:r>
          </w:p>
        </w:tc>
        <w:tc>
          <w:tcPr>
            <w:tcW w:w="931" w:type="dxa"/>
            <w:tcBorders>
              <w:top w:val="nil"/>
              <w:bottom w:val="nil"/>
            </w:tcBorders>
            <w:shd w:val="clear" w:color="auto" w:fill="F1F1F1"/>
          </w:tcPr>
          <w:p>
            <w:pPr>
              <w:pStyle w:val="TableParagraph"/>
              <w:spacing w:line="145" w:lineRule="exact" w:before="39"/>
              <w:ind w:right="48"/>
              <w:jc w:val="right"/>
              <w:rPr>
                <w:b/>
                <w:sz w:val="12"/>
              </w:rPr>
            </w:pPr>
            <w:r>
              <w:rPr>
                <w:b/>
                <w:w w:val="105"/>
                <w:sz w:val="12"/>
              </w:rPr>
              <w:t>5.932,65</w:t>
            </w:r>
          </w:p>
        </w:tc>
        <w:tc>
          <w:tcPr>
            <w:tcW w:w="1002" w:type="dxa"/>
            <w:tcBorders>
              <w:top w:val="nil"/>
              <w:bottom w:val="nil"/>
            </w:tcBorders>
            <w:shd w:val="clear" w:color="auto" w:fill="F1F1F1"/>
          </w:tcPr>
          <w:p>
            <w:pPr>
              <w:pStyle w:val="TableParagraph"/>
              <w:spacing w:line="145" w:lineRule="exact" w:before="39"/>
              <w:ind w:right="51"/>
              <w:jc w:val="right"/>
              <w:rPr>
                <w:b/>
                <w:sz w:val="12"/>
              </w:rPr>
            </w:pPr>
            <w:r>
              <w:rPr>
                <w:b/>
                <w:w w:val="105"/>
                <w:sz w:val="12"/>
              </w:rPr>
              <w:t>- 15.121,23</w:t>
            </w:r>
          </w:p>
        </w:tc>
      </w:tr>
      <w:tr>
        <w:trPr>
          <w:trHeight w:val="224" w:hRule="atLeast"/>
        </w:trPr>
        <w:tc>
          <w:tcPr>
            <w:tcW w:w="2310" w:type="dxa"/>
            <w:tcBorders>
              <w:top w:val="nil"/>
              <w:bottom w:val="nil"/>
            </w:tcBorders>
          </w:tcPr>
          <w:p>
            <w:pPr>
              <w:pStyle w:val="TableParagraph"/>
              <w:spacing w:before="31"/>
              <w:ind w:left="704"/>
              <w:rPr>
                <w:b/>
                <w:sz w:val="13"/>
              </w:rPr>
            </w:pPr>
            <w:r>
              <w:rPr>
                <w:b/>
                <w:w w:val="105"/>
                <w:sz w:val="13"/>
              </w:rPr>
              <w:t>ACCUEE</w:t>
            </w:r>
          </w:p>
        </w:tc>
        <w:tc>
          <w:tcPr>
            <w:tcW w:w="1014" w:type="dxa"/>
            <w:tcBorders>
              <w:top w:val="nil"/>
              <w:bottom w:val="nil"/>
            </w:tcBorders>
          </w:tcPr>
          <w:p>
            <w:pPr>
              <w:pStyle w:val="TableParagraph"/>
              <w:spacing w:before="39"/>
              <w:ind w:right="48"/>
              <w:jc w:val="right"/>
              <w:rPr>
                <w:sz w:val="12"/>
              </w:rPr>
            </w:pPr>
            <w:r>
              <w:rPr>
                <w:w w:val="105"/>
                <w:sz w:val="12"/>
              </w:rPr>
              <w:t>243,86</w:t>
            </w:r>
          </w:p>
        </w:tc>
        <w:tc>
          <w:tcPr>
            <w:tcW w:w="931" w:type="dxa"/>
            <w:tcBorders>
              <w:top w:val="nil"/>
              <w:bottom w:val="nil"/>
            </w:tcBorders>
          </w:tcPr>
          <w:p>
            <w:pPr>
              <w:pStyle w:val="TableParagraph"/>
              <w:rPr>
                <w:rFonts w:ascii="Times New Roman"/>
                <w:sz w:val="14"/>
              </w:rPr>
            </w:pPr>
          </w:p>
        </w:tc>
        <w:tc>
          <w:tcPr>
            <w:tcW w:w="934" w:type="dxa"/>
            <w:tcBorders>
              <w:top w:val="nil"/>
              <w:bottom w:val="nil"/>
            </w:tcBorders>
          </w:tcPr>
          <w:p>
            <w:pPr>
              <w:pStyle w:val="TableParagraph"/>
              <w:rPr>
                <w:rFonts w:ascii="Times New Roman"/>
                <w:sz w:val="14"/>
              </w:rPr>
            </w:pPr>
          </w:p>
        </w:tc>
        <w:tc>
          <w:tcPr>
            <w:tcW w:w="931" w:type="dxa"/>
            <w:tcBorders>
              <w:top w:val="nil"/>
              <w:bottom w:val="nil"/>
            </w:tcBorders>
          </w:tcPr>
          <w:p>
            <w:pPr>
              <w:pStyle w:val="TableParagraph"/>
              <w:rPr>
                <w:rFonts w:ascii="Times New Roman"/>
                <w:sz w:val="14"/>
              </w:rPr>
            </w:pPr>
          </w:p>
        </w:tc>
        <w:tc>
          <w:tcPr>
            <w:tcW w:w="1002" w:type="dxa"/>
            <w:tcBorders>
              <w:top w:val="nil"/>
              <w:bottom w:val="nil"/>
            </w:tcBorders>
          </w:tcPr>
          <w:p>
            <w:pPr>
              <w:pStyle w:val="TableParagraph"/>
              <w:spacing w:before="39"/>
              <w:ind w:right="50"/>
              <w:jc w:val="right"/>
              <w:rPr>
                <w:sz w:val="12"/>
              </w:rPr>
            </w:pPr>
            <w:r>
              <w:rPr>
                <w:w w:val="105"/>
                <w:sz w:val="12"/>
              </w:rPr>
              <w:t>243,86</w:t>
            </w:r>
          </w:p>
        </w:tc>
      </w:tr>
      <w:tr>
        <w:trPr>
          <w:trHeight w:val="204" w:hRule="atLeast"/>
        </w:trPr>
        <w:tc>
          <w:tcPr>
            <w:tcW w:w="2310" w:type="dxa"/>
            <w:tcBorders>
              <w:top w:val="nil"/>
              <w:bottom w:val="nil"/>
            </w:tcBorders>
          </w:tcPr>
          <w:p>
            <w:pPr>
              <w:pStyle w:val="TableParagraph"/>
              <w:spacing w:before="12"/>
              <w:ind w:left="704"/>
              <w:rPr>
                <w:b/>
                <w:sz w:val="13"/>
              </w:rPr>
            </w:pPr>
            <w:r>
              <w:rPr>
                <w:b/>
                <w:w w:val="105"/>
                <w:sz w:val="13"/>
              </w:rPr>
              <w:t>ICAVI</w:t>
            </w:r>
          </w:p>
        </w:tc>
        <w:tc>
          <w:tcPr>
            <w:tcW w:w="1014" w:type="dxa"/>
            <w:tcBorders>
              <w:top w:val="nil"/>
              <w:bottom w:val="nil"/>
            </w:tcBorders>
          </w:tcPr>
          <w:p>
            <w:pPr>
              <w:pStyle w:val="TableParagraph"/>
              <w:spacing w:before="18"/>
              <w:ind w:right="48"/>
              <w:jc w:val="right"/>
              <w:rPr>
                <w:sz w:val="12"/>
              </w:rPr>
            </w:pPr>
            <w:r>
              <w:rPr>
                <w:w w:val="105"/>
                <w:sz w:val="12"/>
              </w:rPr>
              <w:t>40.752,56</w:t>
            </w:r>
          </w:p>
        </w:tc>
        <w:tc>
          <w:tcPr>
            <w:tcW w:w="931" w:type="dxa"/>
            <w:tcBorders>
              <w:top w:val="nil"/>
              <w:bottom w:val="nil"/>
            </w:tcBorders>
          </w:tcPr>
          <w:p>
            <w:pPr>
              <w:pStyle w:val="TableParagraph"/>
              <w:rPr>
                <w:rFonts w:ascii="Times New Roman"/>
                <w:sz w:val="14"/>
              </w:rPr>
            </w:pPr>
          </w:p>
        </w:tc>
        <w:tc>
          <w:tcPr>
            <w:tcW w:w="934" w:type="dxa"/>
            <w:tcBorders>
              <w:top w:val="nil"/>
              <w:bottom w:val="nil"/>
            </w:tcBorders>
          </w:tcPr>
          <w:p>
            <w:pPr>
              <w:pStyle w:val="TableParagraph"/>
              <w:spacing w:before="18"/>
              <w:ind w:right="49"/>
              <w:jc w:val="right"/>
              <w:rPr>
                <w:sz w:val="12"/>
              </w:rPr>
            </w:pPr>
            <w:r>
              <w:rPr>
                <w:w w:val="105"/>
                <w:sz w:val="12"/>
              </w:rPr>
              <w:t>44.014,47</w:t>
            </w:r>
          </w:p>
        </w:tc>
        <w:tc>
          <w:tcPr>
            <w:tcW w:w="931" w:type="dxa"/>
            <w:tcBorders>
              <w:top w:val="nil"/>
              <w:bottom w:val="nil"/>
            </w:tcBorders>
          </w:tcPr>
          <w:p>
            <w:pPr>
              <w:pStyle w:val="TableParagraph"/>
              <w:spacing w:before="18"/>
              <w:ind w:right="48"/>
              <w:jc w:val="right"/>
              <w:rPr>
                <w:sz w:val="12"/>
              </w:rPr>
            </w:pPr>
            <w:r>
              <w:rPr>
                <w:w w:val="105"/>
                <w:sz w:val="12"/>
              </w:rPr>
              <w:t>13.571,55</w:t>
            </w:r>
          </w:p>
        </w:tc>
        <w:tc>
          <w:tcPr>
            <w:tcW w:w="1002" w:type="dxa"/>
            <w:tcBorders>
              <w:top w:val="nil"/>
              <w:bottom w:val="nil"/>
            </w:tcBorders>
          </w:tcPr>
          <w:p>
            <w:pPr>
              <w:pStyle w:val="TableParagraph"/>
              <w:spacing w:before="18"/>
              <w:ind w:right="51"/>
              <w:jc w:val="right"/>
              <w:rPr>
                <w:sz w:val="12"/>
              </w:rPr>
            </w:pPr>
            <w:r>
              <w:rPr>
                <w:w w:val="105"/>
                <w:sz w:val="12"/>
              </w:rPr>
              <w:t>10.309,64</w:t>
            </w:r>
          </w:p>
        </w:tc>
      </w:tr>
      <w:tr>
        <w:trPr>
          <w:trHeight w:val="203" w:hRule="atLeast"/>
        </w:trPr>
        <w:tc>
          <w:tcPr>
            <w:tcW w:w="2310" w:type="dxa"/>
            <w:tcBorders>
              <w:top w:val="nil"/>
              <w:bottom w:val="nil"/>
            </w:tcBorders>
          </w:tcPr>
          <w:p>
            <w:pPr>
              <w:pStyle w:val="TableParagraph"/>
              <w:spacing w:before="11"/>
              <w:ind w:left="704"/>
              <w:rPr>
                <w:b/>
                <w:sz w:val="13"/>
              </w:rPr>
            </w:pPr>
            <w:r>
              <w:rPr>
                <w:b/>
                <w:w w:val="105"/>
                <w:sz w:val="13"/>
              </w:rPr>
              <w:t>ICCA</w:t>
            </w:r>
          </w:p>
        </w:tc>
        <w:tc>
          <w:tcPr>
            <w:tcW w:w="1014" w:type="dxa"/>
            <w:tcBorders>
              <w:top w:val="nil"/>
              <w:bottom w:val="nil"/>
            </w:tcBorders>
          </w:tcPr>
          <w:p>
            <w:pPr>
              <w:pStyle w:val="TableParagraph"/>
              <w:spacing w:before="17"/>
              <w:ind w:right="48"/>
              <w:jc w:val="right"/>
              <w:rPr>
                <w:sz w:val="12"/>
              </w:rPr>
            </w:pPr>
            <w:r>
              <w:rPr>
                <w:w w:val="105"/>
                <w:sz w:val="12"/>
              </w:rPr>
              <w:t>2.010,31</w:t>
            </w:r>
          </w:p>
        </w:tc>
        <w:tc>
          <w:tcPr>
            <w:tcW w:w="931" w:type="dxa"/>
            <w:tcBorders>
              <w:top w:val="nil"/>
              <w:bottom w:val="nil"/>
            </w:tcBorders>
          </w:tcPr>
          <w:p>
            <w:pPr>
              <w:pStyle w:val="TableParagraph"/>
              <w:rPr>
                <w:rFonts w:ascii="Times New Roman"/>
                <w:sz w:val="14"/>
              </w:rPr>
            </w:pPr>
          </w:p>
        </w:tc>
        <w:tc>
          <w:tcPr>
            <w:tcW w:w="934" w:type="dxa"/>
            <w:tcBorders>
              <w:top w:val="nil"/>
              <w:bottom w:val="nil"/>
            </w:tcBorders>
          </w:tcPr>
          <w:p>
            <w:pPr>
              <w:pStyle w:val="TableParagraph"/>
              <w:rPr>
                <w:rFonts w:ascii="Times New Roman"/>
                <w:sz w:val="14"/>
              </w:rPr>
            </w:pPr>
          </w:p>
        </w:tc>
        <w:tc>
          <w:tcPr>
            <w:tcW w:w="931" w:type="dxa"/>
            <w:tcBorders>
              <w:top w:val="nil"/>
              <w:bottom w:val="nil"/>
            </w:tcBorders>
          </w:tcPr>
          <w:p>
            <w:pPr>
              <w:pStyle w:val="TableParagraph"/>
              <w:rPr>
                <w:rFonts w:ascii="Times New Roman"/>
                <w:sz w:val="14"/>
              </w:rPr>
            </w:pPr>
          </w:p>
        </w:tc>
        <w:tc>
          <w:tcPr>
            <w:tcW w:w="1002" w:type="dxa"/>
            <w:tcBorders>
              <w:top w:val="nil"/>
              <w:bottom w:val="nil"/>
            </w:tcBorders>
          </w:tcPr>
          <w:p>
            <w:pPr>
              <w:pStyle w:val="TableParagraph"/>
              <w:spacing w:before="17"/>
              <w:ind w:right="50"/>
              <w:jc w:val="right"/>
              <w:rPr>
                <w:sz w:val="12"/>
              </w:rPr>
            </w:pPr>
            <w:r>
              <w:rPr>
                <w:w w:val="105"/>
                <w:sz w:val="12"/>
              </w:rPr>
              <w:t>2.010,31</w:t>
            </w:r>
          </w:p>
        </w:tc>
      </w:tr>
      <w:tr>
        <w:trPr>
          <w:trHeight w:val="203" w:hRule="atLeast"/>
        </w:trPr>
        <w:tc>
          <w:tcPr>
            <w:tcW w:w="2310" w:type="dxa"/>
            <w:tcBorders>
              <w:top w:val="nil"/>
              <w:bottom w:val="nil"/>
            </w:tcBorders>
          </w:tcPr>
          <w:p>
            <w:pPr>
              <w:pStyle w:val="TableParagraph"/>
              <w:spacing w:before="11"/>
              <w:ind w:left="704"/>
              <w:rPr>
                <w:b/>
                <w:sz w:val="13"/>
              </w:rPr>
            </w:pPr>
            <w:r>
              <w:rPr>
                <w:b/>
                <w:w w:val="105"/>
                <w:sz w:val="13"/>
              </w:rPr>
              <w:t>RTVC</w:t>
            </w:r>
          </w:p>
        </w:tc>
        <w:tc>
          <w:tcPr>
            <w:tcW w:w="1014" w:type="dxa"/>
            <w:tcBorders>
              <w:top w:val="nil"/>
              <w:bottom w:val="nil"/>
            </w:tcBorders>
          </w:tcPr>
          <w:p>
            <w:pPr>
              <w:pStyle w:val="TableParagraph"/>
              <w:spacing w:before="19"/>
              <w:ind w:right="48"/>
              <w:jc w:val="right"/>
              <w:rPr>
                <w:sz w:val="12"/>
              </w:rPr>
            </w:pPr>
            <w:r>
              <w:rPr>
                <w:w w:val="105"/>
                <w:sz w:val="12"/>
              </w:rPr>
              <w:t>135,03</w:t>
            </w:r>
          </w:p>
        </w:tc>
        <w:tc>
          <w:tcPr>
            <w:tcW w:w="931" w:type="dxa"/>
            <w:tcBorders>
              <w:top w:val="nil"/>
              <w:bottom w:val="nil"/>
            </w:tcBorders>
          </w:tcPr>
          <w:p>
            <w:pPr>
              <w:pStyle w:val="TableParagraph"/>
              <w:rPr>
                <w:rFonts w:ascii="Times New Roman"/>
                <w:sz w:val="14"/>
              </w:rPr>
            </w:pPr>
          </w:p>
        </w:tc>
        <w:tc>
          <w:tcPr>
            <w:tcW w:w="934" w:type="dxa"/>
            <w:tcBorders>
              <w:top w:val="nil"/>
              <w:bottom w:val="nil"/>
            </w:tcBorders>
          </w:tcPr>
          <w:p>
            <w:pPr>
              <w:pStyle w:val="TableParagraph"/>
              <w:rPr>
                <w:rFonts w:ascii="Times New Roman"/>
                <w:sz w:val="14"/>
              </w:rPr>
            </w:pPr>
          </w:p>
        </w:tc>
        <w:tc>
          <w:tcPr>
            <w:tcW w:w="931" w:type="dxa"/>
            <w:tcBorders>
              <w:top w:val="nil"/>
              <w:bottom w:val="nil"/>
            </w:tcBorders>
          </w:tcPr>
          <w:p>
            <w:pPr>
              <w:pStyle w:val="TableParagraph"/>
              <w:rPr>
                <w:rFonts w:ascii="Times New Roman"/>
                <w:sz w:val="14"/>
              </w:rPr>
            </w:pPr>
          </w:p>
        </w:tc>
        <w:tc>
          <w:tcPr>
            <w:tcW w:w="1002" w:type="dxa"/>
            <w:tcBorders>
              <w:top w:val="nil"/>
              <w:bottom w:val="nil"/>
            </w:tcBorders>
          </w:tcPr>
          <w:p>
            <w:pPr>
              <w:pStyle w:val="TableParagraph"/>
              <w:spacing w:before="19"/>
              <w:ind w:right="50"/>
              <w:jc w:val="right"/>
              <w:rPr>
                <w:sz w:val="12"/>
              </w:rPr>
            </w:pPr>
            <w:r>
              <w:rPr>
                <w:w w:val="105"/>
                <w:sz w:val="12"/>
              </w:rPr>
              <w:t>135,03</w:t>
            </w:r>
          </w:p>
        </w:tc>
      </w:tr>
      <w:tr>
        <w:trPr>
          <w:trHeight w:val="204" w:hRule="atLeast"/>
        </w:trPr>
        <w:tc>
          <w:tcPr>
            <w:tcW w:w="2310" w:type="dxa"/>
            <w:tcBorders>
              <w:top w:val="nil"/>
              <w:bottom w:val="nil"/>
            </w:tcBorders>
          </w:tcPr>
          <w:p>
            <w:pPr>
              <w:pStyle w:val="TableParagraph"/>
              <w:spacing w:before="11"/>
              <w:ind w:left="704"/>
              <w:rPr>
                <w:b/>
                <w:sz w:val="13"/>
              </w:rPr>
            </w:pPr>
            <w:r>
              <w:rPr>
                <w:b/>
                <w:w w:val="105"/>
                <w:sz w:val="13"/>
              </w:rPr>
              <w:t>APMN</w:t>
            </w:r>
          </w:p>
        </w:tc>
        <w:tc>
          <w:tcPr>
            <w:tcW w:w="1014" w:type="dxa"/>
            <w:tcBorders>
              <w:top w:val="nil"/>
              <w:bottom w:val="nil"/>
            </w:tcBorders>
          </w:tcPr>
          <w:p>
            <w:pPr>
              <w:pStyle w:val="TableParagraph"/>
              <w:spacing w:before="19"/>
              <w:ind w:right="48"/>
              <w:jc w:val="right"/>
              <w:rPr>
                <w:sz w:val="12"/>
              </w:rPr>
            </w:pPr>
            <w:r>
              <w:rPr>
                <w:w w:val="105"/>
                <w:sz w:val="12"/>
              </w:rPr>
              <w:t>7.791,72</w:t>
            </w:r>
          </w:p>
        </w:tc>
        <w:tc>
          <w:tcPr>
            <w:tcW w:w="931" w:type="dxa"/>
            <w:tcBorders>
              <w:top w:val="nil"/>
              <w:bottom w:val="nil"/>
            </w:tcBorders>
          </w:tcPr>
          <w:p>
            <w:pPr>
              <w:pStyle w:val="TableParagraph"/>
              <w:rPr>
                <w:rFonts w:ascii="Times New Roman"/>
                <w:sz w:val="14"/>
              </w:rPr>
            </w:pPr>
          </w:p>
        </w:tc>
        <w:tc>
          <w:tcPr>
            <w:tcW w:w="934" w:type="dxa"/>
            <w:tcBorders>
              <w:top w:val="nil"/>
              <w:bottom w:val="nil"/>
            </w:tcBorders>
          </w:tcPr>
          <w:p>
            <w:pPr>
              <w:pStyle w:val="TableParagraph"/>
              <w:rPr>
                <w:rFonts w:ascii="Times New Roman"/>
                <w:sz w:val="14"/>
              </w:rPr>
            </w:pPr>
          </w:p>
        </w:tc>
        <w:tc>
          <w:tcPr>
            <w:tcW w:w="931" w:type="dxa"/>
            <w:tcBorders>
              <w:top w:val="nil"/>
              <w:bottom w:val="nil"/>
            </w:tcBorders>
          </w:tcPr>
          <w:p>
            <w:pPr>
              <w:pStyle w:val="TableParagraph"/>
              <w:rPr>
                <w:rFonts w:ascii="Times New Roman"/>
                <w:sz w:val="14"/>
              </w:rPr>
            </w:pPr>
          </w:p>
        </w:tc>
        <w:tc>
          <w:tcPr>
            <w:tcW w:w="1002" w:type="dxa"/>
            <w:tcBorders>
              <w:top w:val="nil"/>
              <w:bottom w:val="nil"/>
            </w:tcBorders>
          </w:tcPr>
          <w:p>
            <w:pPr>
              <w:pStyle w:val="TableParagraph"/>
              <w:spacing w:before="19"/>
              <w:ind w:right="50"/>
              <w:jc w:val="right"/>
              <w:rPr>
                <w:sz w:val="12"/>
              </w:rPr>
            </w:pPr>
            <w:r>
              <w:rPr>
                <w:w w:val="105"/>
                <w:sz w:val="12"/>
              </w:rPr>
              <w:t>7.791,72</w:t>
            </w:r>
          </w:p>
        </w:tc>
      </w:tr>
      <w:tr>
        <w:trPr>
          <w:trHeight w:val="204" w:hRule="atLeast"/>
        </w:trPr>
        <w:tc>
          <w:tcPr>
            <w:tcW w:w="2310" w:type="dxa"/>
            <w:tcBorders>
              <w:top w:val="nil"/>
              <w:bottom w:val="nil"/>
            </w:tcBorders>
          </w:tcPr>
          <w:p>
            <w:pPr>
              <w:pStyle w:val="TableParagraph"/>
              <w:spacing w:before="12"/>
              <w:ind w:left="704"/>
              <w:rPr>
                <w:b/>
                <w:sz w:val="13"/>
              </w:rPr>
            </w:pPr>
            <w:r>
              <w:rPr>
                <w:b/>
                <w:w w:val="105"/>
                <w:sz w:val="13"/>
              </w:rPr>
              <w:t>ATC</w:t>
            </w:r>
          </w:p>
        </w:tc>
        <w:tc>
          <w:tcPr>
            <w:tcW w:w="1014" w:type="dxa"/>
            <w:tcBorders>
              <w:top w:val="nil"/>
              <w:bottom w:val="nil"/>
            </w:tcBorders>
          </w:tcPr>
          <w:p>
            <w:pPr>
              <w:pStyle w:val="TableParagraph"/>
              <w:spacing w:before="18"/>
              <w:ind w:right="48"/>
              <w:jc w:val="right"/>
              <w:rPr>
                <w:sz w:val="12"/>
              </w:rPr>
            </w:pPr>
            <w:r>
              <w:rPr>
                <w:w w:val="105"/>
                <w:sz w:val="12"/>
              </w:rPr>
              <w:t>- 29.579,62</w:t>
            </w:r>
          </w:p>
        </w:tc>
        <w:tc>
          <w:tcPr>
            <w:tcW w:w="931" w:type="dxa"/>
            <w:tcBorders>
              <w:top w:val="nil"/>
              <w:bottom w:val="nil"/>
            </w:tcBorders>
          </w:tcPr>
          <w:p>
            <w:pPr>
              <w:pStyle w:val="TableParagraph"/>
              <w:spacing w:before="18"/>
              <w:ind w:right="48"/>
              <w:jc w:val="right"/>
              <w:rPr>
                <w:sz w:val="12"/>
              </w:rPr>
            </w:pPr>
            <w:r>
              <w:rPr>
                <w:w w:val="105"/>
                <w:sz w:val="12"/>
              </w:rPr>
              <w:t>39.045,60</w:t>
            </w:r>
          </w:p>
        </w:tc>
        <w:tc>
          <w:tcPr>
            <w:tcW w:w="934" w:type="dxa"/>
            <w:tcBorders>
              <w:top w:val="nil"/>
              <w:bottom w:val="nil"/>
            </w:tcBorders>
          </w:tcPr>
          <w:p>
            <w:pPr>
              <w:pStyle w:val="TableParagraph"/>
              <w:rPr>
                <w:rFonts w:ascii="Times New Roman"/>
                <w:sz w:val="14"/>
              </w:rPr>
            </w:pPr>
          </w:p>
        </w:tc>
        <w:tc>
          <w:tcPr>
            <w:tcW w:w="931" w:type="dxa"/>
            <w:tcBorders>
              <w:top w:val="nil"/>
              <w:bottom w:val="nil"/>
            </w:tcBorders>
          </w:tcPr>
          <w:p>
            <w:pPr>
              <w:pStyle w:val="TableParagraph"/>
              <w:rPr>
                <w:rFonts w:ascii="Times New Roman"/>
                <w:sz w:val="14"/>
              </w:rPr>
            </w:pPr>
          </w:p>
        </w:tc>
        <w:tc>
          <w:tcPr>
            <w:tcW w:w="1002" w:type="dxa"/>
            <w:tcBorders>
              <w:top w:val="nil"/>
              <w:bottom w:val="nil"/>
            </w:tcBorders>
          </w:tcPr>
          <w:p>
            <w:pPr>
              <w:pStyle w:val="TableParagraph"/>
              <w:spacing w:before="18"/>
              <w:ind w:right="50"/>
              <w:jc w:val="right"/>
              <w:rPr>
                <w:sz w:val="12"/>
              </w:rPr>
            </w:pPr>
            <w:r>
              <w:rPr>
                <w:w w:val="105"/>
                <w:sz w:val="12"/>
              </w:rPr>
              <w:t>9.465,98</w:t>
            </w:r>
          </w:p>
        </w:tc>
      </w:tr>
      <w:tr>
        <w:trPr>
          <w:trHeight w:val="182" w:hRule="atLeast"/>
        </w:trPr>
        <w:tc>
          <w:tcPr>
            <w:tcW w:w="2310" w:type="dxa"/>
            <w:tcBorders>
              <w:top w:val="nil"/>
            </w:tcBorders>
          </w:tcPr>
          <w:p>
            <w:pPr>
              <w:pStyle w:val="TableParagraph"/>
              <w:spacing w:line="151" w:lineRule="exact" w:before="11"/>
              <w:ind w:left="704"/>
              <w:rPr>
                <w:b/>
                <w:sz w:val="13"/>
              </w:rPr>
            </w:pPr>
            <w:r>
              <w:rPr>
                <w:b/>
                <w:w w:val="105"/>
                <w:sz w:val="13"/>
              </w:rPr>
              <w:t>CES</w:t>
            </w:r>
          </w:p>
        </w:tc>
        <w:tc>
          <w:tcPr>
            <w:tcW w:w="1014" w:type="dxa"/>
            <w:tcBorders>
              <w:top w:val="nil"/>
            </w:tcBorders>
          </w:tcPr>
          <w:p>
            <w:pPr>
              <w:pStyle w:val="TableParagraph"/>
              <w:spacing w:line="146" w:lineRule="exact" w:before="17"/>
              <w:ind w:right="48"/>
              <w:jc w:val="right"/>
              <w:rPr>
                <w:sz w:val="12"/>
              </w:rPr>
            </w:pPr>
            <w:r>
              <w:rPr>
                <w:w w:val="105"/>
                <w:sz w:val="12"/>
              </w:rPr>
              <w:t>148,84</w:t>
            </w:r>
          </w:p>
        </w:tc>
        <w:tc>
          <w:tcPr>
            <w:tcW w:w="931" w:type="dxa"/>
            <w:tcBorders>
              <w:top w:val="nil"/>
            </w:tcBorders>
          </w:tcPr>
          <w:p>
            <w:pPr>
              <w:pStyle w:val="TableParagraph"/>
              <w:rPr>
                <w:rFonts w:ascii="Times New Roman"/>
                <w:sz w:val="12"/>
              </w:rPr>
            </w:pPr>
          </w:p>
        </w:tc>
        <w:tc>
          <w:tcPr>
            <w:tcW w:w="934" w:type="dxa"/>
            <w:tcBorders>
              <w:top w:val="nil"/>
            </w:tcBorders>
          </w:tcPr>
          <w:p>
            <w:pPr>
              <w:pStyle w:val="TableParagraph"/>
              <w:rPr>
                <w:rFonts w:ascii="Times New Roman"/>
                <w:sz w:val="12"/>
              </w:rPr>
            </w:pPr>
          </w:p>
        </w:tc>
        <w:tc>
          <w:tcPr>
            <w:tcW w:w="931" w:type="dxa"/>
            <w:tcBorders>
              <w:top w:val="nil"/>
            </w:tcBorders>
          </w:tcPr>
          <w:p>
            <w:pPr>
              <w:pStyle w:val="TableParagraph"/>
              <w:rPr>
                <w:rFonts w:ascii="Times New Roman"/>
                <w:sz w:val="12"/>
              </w:rPr>
            </w:pPr>
          </w:p>
        </w:tc>
        <w:tc>
          <w:tcPr>
            <w:tcW w:w="1002" w:type="dxa"/>
            <w:tcBorders>
              <w:top w:val="nil"/>
            </w:tcBorders>
          </w:tcPr>
          <w:p>
            <w:pPr>
              <w:pStyle w:val="TableParagraph"/>
              <w:spacing w:line="146" w:lineRule="exact" w:before="17"/>
              <w:ind w:right="50"/>
              <w:jc w:val="right"/>
              <w:rPr>
                <w:sz w:val="12"/>
              </w:rPr>
            </w:pPr>
            <w:r>
              <w:rPr>
                <w:w w:val="105"/>
                <w:sz w:val="12"/>
              </w:rPr>
              <w:t>148,84</w:t>
            </w:r>
          </w:p>
        </w:tc>
      </w:tr>
      <w:tr>
        <w:trPr>
          <w:trHeight w:val="270" w:hRule="atLeast"/>
        </w:trPr>
        <w:tc>
          <w:tcPr>
            <w:tcW w:w="2310" w:type="dxa"/>
            <w:shd w:val="clear" w:color="auto" w:fill="D9D9D9"/>
          </w:tcPr>
          <w:p>
            <w:pPr>
              <w:pStyle w:val="TableParagraph"/>
              <w:spacing w:before="56"/>
              <w:ind w:left="635"/>
              <w:rPr>
                <w:b/>
                <w:sz w:val="13"/>
              </w:rPr>
            </w:pPr>
            <w:r>
              <w:rPr>
                <w:b/>
                <w:w w:val="105"/>
                <w:sz w:val="13"/>
              </w:rPr>
              <w:t>TOTAL (</w:t>
            </w:r>
            <w:r>
              <w:rPr>
                <w:w w:val="105"/>
                <w:sz w:val="13"/>
              </w:rPr>
              <w:t>miles de €</w:t>
            </w:r>
            <w:r>
              <w:rPr>
                <w:b/>
                <w:w w:val="105"/>
                <w:sz w:val="13"/>
              </w:rPr>
              <w:t>)</w:t>
            </w:r>
          </w:p>
        </w:tc>
        <w:tc>
          <w:tcPr>
            <w:tcW w:w="1014" w:type="dxa"/>
            <w:shd w:val="clear" w:color="auto" w:fill="D9D9D9"/>
          </w:tcPr>
          <w:p>
            <w:pPr>
              <w:pStyle w:val="TableParagraph"/>
              <w:spacing w:before="62"/>
              <w:ind w:right="48"/>
              <w:jc w:val="right"/>
              <w:rPr>
                <w:b/>
                <w:sz w:val="12"/>
              </w:rPr>
            </w:pPr>
            <w:r>
              <w:rPr>
                <w:b/>
                <w:w w:val="105"/>
                <w:sz w:val="12"/>
              </w:rPr>
              <w:t>- 50.277,35</w:t>
            </w:r>
          </w:p>
        </w:tc>
        <w:tc>
          <w:tcPr>
            <w:tcW w:w="931" w:type="dxa"/>
            <w:shd w:val="clear" w:color="auto" w:fill="D9D9D9"/>
          </w:tcPr>
          <w:p>
            <w:pPr>
              <w:pStyle w:val="TableParagraph"/>
              <w:spacing w:before="62"/>
              <w:ind w:right="47"/>
              <w:jc w:val="right"/>
              <w:rPr>
                <w:b/>
                <w:sz w:val="12"/>
              </w:rPr>
            </w:pPr>
            <w:r>
              <w:rPr>
                <w:b/>
                <w:w w:val="105"/>
                <w:sz w:val="12"/>
              </w:rPr>
              <w:t>132.644,58</w:t>
            </w:r>
          </w:p>
        </w:tc>
        <w:tc>
          <w:tcPr>
            <w:tcW w:w="934" w:type="dxa"/>
            <w:shd w:val="clear" w:color="auto" w:fill="D9D9D9"/>
          </w:tcPr>
          <w:p>
            <w:pPr>
              <w:pStyle w:val="TableParagraph"/>
              <w:spacing w:before="62"/>
              <w:ind w:right="48"/>
              <w:jc w:val="right"/>
              <w:rPr>
                <w:b/>
                <w:sz w:val="12"/>
              </w:rPr>
            </w:pPr>
            <w:r>
              <w:rPr>
                <w:b/>
                <w:w w:val="105"/>
                <w:sz w:val="12"/>
              </w:rPr>
              <w:t>133.380,18</w:t>
            </w:r>
          </w:p>
        </w:tc>
        <w:tc>
          <w:tcPr>
            <w:tcW w:w="931" w:type="dxa"/>
            <w:shd w:val="clear" w:color="auto" w:fill="D9D9D9"/>
          </w:tcPr>
          <w:p>
            <w:pPr>
              <w:pStyle w:val="TableParagraph"/>
              <w:spacing w:before="62"/>
              <w:ind w:right="48"/>
              <w:jc w:val="right"/>
              <w:rPr>
                <w:b/>
                <w:sz w:val="12"/>
              </w:rPr>
            </w:pPr>
            <w:r>
              <w:rPr>
                <w:b/>
                <w:w w:val="105"/>
                <w:sz w:val="12"/>
              </w:rPr>
              <w:t>87.222,14</w:t>
            </w:r>
          </w:p>
        </w:tc>
        <w:tc>
          <w:tcPr>
            <w:tcW w:w="1002" w:type="dxa"/>
            <w:shd w:val="clear" w:color="auto" w:fill="D9D9D9"/>
          </w:tcPr>
          <w:p>
            <w:pPr>
              <w:pStyle w:val="TableParagraph"/>
              <w:spacing w:before="62"/>
              <w:ind w:right="50"/>
              <w:jc w:val="right"/>
              <w:rPr>
                <w:b/>
                <w:sz w:val="12"/>
              </w:rPr>
            </w:pPr>
            <w:r>
              <w:rPr>
                <w:b/>
                <w:w w:val="105"/>
                <w:sz w:val="12"/>
              </w:rPr>
              <w:t>36.209,19</w:t>
            </w:r>
          </w:p>
        </w:tc>
      </w:tr>
    </w:tbl>
    <w:p>
      <w:pPr>
        <w:pStyle w:val="BodyText"/>
        <w:spacing w:before="7"/>
        <w:rPr>
          <w:sz w:val="16"/>
        </w:rPr>
      </w:pPr>
    </w:p>
    <w:p>
      <w:pPr>
        <w:pStyle w:val="ListParagraph"/>
        <w:numPr>
          <w:ilvl w:val="0"/>
          <w:numId w:val="34"/>
        </w:numPr>
        <w:tabs>
          <w:tab w:pos="2097" w:val="left" w:leader="none"/>
        </w:tabs>
        <w:spacing w:line="242" w:lineRule="auto" w:before="0" w:after="0"/>
        <w:ind w:left="2096" w:right="1136" w:hanging="238"/>
        <w:jc w:val="both"/>
        <w:rPr>
          <w:sz w:val="20"/>
        </w:rPr>
      </w:pPr>
      <w:r>
        <w:rPr>
          <w:sz w:val="20"/>
        </w:rPr>
        <w:t>Después de aplicar al resultado presupuestario del ejercicio los ajustes de créditos financiados con remanente de tesorería no afectado y las desviaciones de financiación, se obtiene un resultado ajustado de 36,2 millones de €, lo supone una disminución respecto al ejercicio 2021 de 50,1 millones de €. En el resultado obtenido influye de forma decisiva el SCE e ICAVI, con 17 y 10,3 millones, respectivamente, que se compensa, no obstante, con la cifra negativa de 15,1 millones de € obtenida por el</w:t>
      </w:r>
      <w:r>
        <w:rPr>
          <w:spacing w:val="15"/>
          <w:sz w:val="20"/>
        </w:rPr>
        <w:t> </w:t>
      </w:r>
      <w:r>
        <w:rPr>
          <w:sz w:val="20"/>
        </w:rPr>
        <w:t>SCS.</w:t>
      </w:r>
    </w:p>
    <w:p>
      <w:pPr>
        <w:pStyle w:val="BodyText"/>
      </w:pPr>
    </w:p>
    <w:p>
      <w:pPr>
        <w:pStyle w:val="BodyText"/>
        <w:spacing w:before="1"/>
        <w:rPr>
          <w:sz w:val="18"/>
        </w:rPr>
      </w:pPr>
    </w:p>
    <w:p>
      <w:pPr>
        <w:pStyle w:val="BodyText"/>
        <w:spacing w:before="1"/>
        <w:ind w:left="7897"/>
        <w:jc w:val="center"/>
      </w:pPr>
      <w:r>
        <w:rPr/>
        <w:t>71</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53" name="image5.png"/>
                  <wp:cNvGraphicFramePr>
                    <a:graphicFrameLocks noChangeAspect="1"/>
                  </wp:cNvGraphicFramePr>
                  <a:graphic>
                    <a:graphicData uri="http://schemas.openxmlformats.org/drawingml/2006/picture">
                      <pic:pic>
                        <pic:nvPicPr>
                          <pic:cNvPr id="15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73/247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0"/>
          <w:numId w:val="34"/>
        </w:numPr>
        <w:tabs>
          <w:tab w:pos="2097" w:val="left" w:leader="none"/>
        </w:tabs>
        <w:spacing w:line="242" w:lineRule="auto" w:before="61" w:after="0"/>
        <w:ind w:left="2096" w:right="1137" w:hanging="238"/>
        <w:jc w:val="both"/>
        <w:rPr>
          <w:sz w:val="20"/>
        </w:rPr>
      </w:pPr>
      <w:r>
        <w:rPr>
          <w:sz w:val="20"/>
        </w:rPr>
        <w:t>El ICHH es la única entidad que realiza operaciones comerciales, relacionadas con la extracción y distribución de sangre humana, de las que obtiene un resultado ajustado de 1,1 millones de €. Como se comentó en el epígrafe anterior, a finales de 2021, se incrementaron los precios de venta de los productos de este Organismo, lo cual ha tenido reflejo en el saldo de operaciones comerciales, que fue de 0,5 millones de € en 2022, cambiando el signo negativo de los últimos años para este tipo de operaciones. Sin embargo, los recursos del ICHH continúan siendo insuficientes para hacer frente a sus pagos, incumpliendo nuevamente en 2022 con el periodo de 30 días exigido legalmente.</w:t>
      </w:r>
    </w:p>
    <w:p>
      <w:pPr>
        <w:pStyle w:val="BodyText"/>
        <w:spacing w:before="2"/>
        <w:rPr>
          <w:sz w:val="16"/>
        </w:rPr>
      </w:pPr>
    </w:p>
    <w:p>
      <w:pPr>
        <w:pStyle w:val="Heading1"/>
        <w:numPr>
          <w:ilvl w:val="0"/>
          <w:numId w:val="31"/>
        </w:numPr>
        <w:tabs>
          <w:tab w:pos="2335" w:val="left" w:leader="none"/>
        </w:tabs>
        <w:spacing w:line="240" w:lineRule="auto" w:before="0" w:after="0"/>
        <w:ind w:left="2334" w:right="0" w:hanging="239"/>
        <w:jc w:val="left"/>
      </w:pPr>
      <w:r>
        <w:rPr/>
        <w:t>Remanente de</w:t>
      </w:r>
      <w:r>
        <w:rPr>
          <w:spacing w:val="1"/>
        </w:rPr>
        <w:t> </w:t>
      </w:r>
      <w:r>
        <w:rPr/>
        <w:t>Tesorería.</w:t>
      </w:r>
    </w:p>
    <w:p>
      <w:pPr>
        <w:pStyle w:val="BodyText"/>
        <w:spacing w:before="7"/>
        <w:rPr>
          <w:b/>
          <w:sz w:val="16"/>
        </w:rPr>
      </w:pPr>
    </w:p>
    <w:tbl>
      <w:tblPr>
        <w:tblW w:w="0" w:type="auto"/>
        <w:jc w:val="left"/>
        <w:tblInd w:w="2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0"/>
        <w:gridCol w:w="1470"/>
        <w:gridCol w:w="1280"/>
      </w:tblGrid>
      <w:tr>
        <w:trPr>
          <w:trHeight w:val="187" w:hRule="atLeast"/>
        </w:trPr>
        <w:tc>
          <w:tcPr>
            <w:tcW w:w="4430"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153" w:lineRule="exact" w:before="14"/>
              <w:ind w:left="1194"/>
              <w:rPr>
                <w:b/>
                <w:sz w:val="13"/>
              </w:rPr>
            </w:pPr>
            <w:r>
              <w:rPr>
                <w:b/>
                <w:w w:val="105"/>
                <w:sz w:val="13"/>
              </w:rPr>
              <w:t>Remanente de Tesorería (</w:t>
            </w:r>
            <w:r>
              <w:rPr>
                <w:w w:val="105"/>
                <w:sz w:val="13"/>
              </w:rPr>
              <w:t>miles de €</w:t>
            </w:r>
            <w:r>
              <w:rPr>
                <w:b/>
                <w:w w:val="105"/>
                <w:sz w:val="13"/>
              </w:rPr>
              <w:t>)</w:t>
            </w:r>
          </w:p>
        </w:tc>
        <w:tc>
          <w:tcPr>
            <w:tcW w:w="1470" w:type="dxa"/>
            <w:tcBorders>
              <w:top w:val="single" w:sz="4" w:space="0" w:color="000000"/>
              <w:left w:val="single" w:sz="4" w:space="0" w:color="000000"/>
              <w:bottom w:val="single" w:sz="4" w:space="0" w:color="000000"/>
            </w:tcBorders>
            <w:shd w:val="clear" w:color="auto" w:fill="DEEAF6"/>
          </w:tcPr>
          <w:p>
            <w:pPr>
              <w:pStyle w:val="TableParagraph"/>
              <w:spacing w:line="153" w:lineRule="exact" w:before="14"/>
              <w:ind w:left="561" w:right="586"/>
              <w:jc w:val="center"/>
              <w:rPr>
                <w:b/>
                <w:sz w:val="13"/>
              </w:rPr>
            </w:pPr>
            <w:r>
              <w:rPr>
                <w:b/>
                <w:w w:val="105"/>
                <w:sz w:val="13"/>
              </w:rPr>
              <w:t>2022</w:t>
            </w:r>
          </w:p>
        </w:tc>
        <w:tc>
          <w:tcPr>
            <w:tcW w:w="1280" w:type="dxa"/>
            <w:tcBorders>
              <w:top w:val="single" w:sz="4" w:space="0" w:color="000000"/>
              <w:bottom w:val="single" w:sz="4" w:space="0" w:color="000000"/>
              <w:right w:val="single" w:sz="4" w:space="0" w:color="000000"/>
            </w:tcBorders>
            <w:shd w:val="clear" w:color="auto" w:fill="DEEAF6"/>
          </w:tcPr>
          <w:p>
            <w:pPr>
              <w:pStyle w:val="TableParagraph"/>
              <w:spacing w:line="153" w:lineRule="exact" w:before="14"/>
              <w:ind w:left="471" w:right="487"/>
              <w:jc w:val="center"/>
              <w:rPr>
                <w:b/>
                <w:sz w:val="13"/>
              </w:rPr>
            </w:pPr>
            <w:r>
              <w:rPr>
                <w:b/>
                <w:w w:val="105"/>
                <w:sz w:val="13"/>
              </w:rPr>
              <w:t>2021</w:t>
            </w:r>
          </w:p>
        </w:tc>
      </w:tr>
      <w:tr>
        <w:trPr>
          <w:trHeight w:val="202" w:hRule="atLeast"/>
        </w:trPr>
        <w:tc>
          <w:tcPr>
            <w:tcW w:w="4430" w:type="dxa"/>
            <w:tcBorders>
              <w:top w:val="single" w:sz="4" w:space="0" w:color="000000"/>
              <w:left w:val="single" w:sz="4" w:space="0" w:color="000000"/>
              <w:right w:val="single" w:sz="4" w:space="0" w:color="000000"/>
            </w:tcBorders>
          </w:tcPr>
          <w:p>
            <w:pPr>
              <w:pStyle w:val="TableParagraph"/>
              <w:spacing w:before="16"/>
              <w:ind w:left="57"/>
              <w:rPr>
                <w:b/>
                <w:sz w:val="13"/>
              </w:rPr>
            </w:pPr>
            <w:r>
              <w:rPr>
                <w:b/>
                <w:w w:val="105"/>
                <w:sz w:val="13"/>
              </w:rPr>
              <w:t>Derechos pendientes de cobro</w:t>
            </w:r>
          </w:p>
        </w:tc>
        <w:tc>
          <w:tcPr>
            <w:tcW w:w="1470" w:type="dxa"/>
            <w:tcBorders>
              <w:top w:val="single" w:sz="4" w:space="0" w:color="000000"/>
              <w:left w:val="single" w:sz="4" w:space="0" w:color="000000"/>
            </w:tcBorders>
          </w:tcPr>
          <w:p>
            <w:pPr>
              <w:pStyle w:val="TableParagraph"/>
              <w:spacing w:before="16"/>
              <w:ind w:right="321"/>
              <w:jc w:val="right"/>
              <w:rPr>
                <w:b/>
                <w:sz w:val="13"/>
              </w:rPr>
            </w:pPr>
            <w:r>
              <w:rPr>
                <w:b/>
                <w:w w:val="105"/>
                <w:sz w:val="13"/>
              </w:rPr>
              <w:t>290.797,50</w:t>
            </w:r>
          </w:p>
        </w:tc>
        <w:tc>
          <w:tcPr>
            <w:tcW w:w="1280" w:type="dxa"/>
            <w:tcBorders>
              <w:top w:val="single" w:sz="4" w:space="0" w:color="000000"/>
              <w:right w:val="single" w:sz="4" w:space="0" w:color="000000"/>
            </w:tcBorders>
          </w:tcPr>
          <w:p>
            <w:pPr>
              <w:pStyle w:val="TableParagraph"/>
              <w:spacing w:before="16"/>
              <w:ind w:left="372"/>
              <w:rPr>
                <w:b/>
                <w:sz w:val="13"/>
              </w:rPr>
            </w:pPr>
            <w:r>
              <w:rPr>
                <w:b/>
                <w:w w:val="105"/>
                <w:sz w:val="13"/>
              </w:rPr>
              <w:t>477.164,96</w:t>
            </w:r>
          </w:p>
        </w:tc>
      </w:tr>
      <w:tr>
        <w:trPr>
          <w:trHeight w:val="190" w:hRule="atLeast"/>
        </w:trPr>
        <w:tc>
          <w:tcPr>
            <w:tcW w:w="4430" w:type="dxa"/>
            <w:tcBorders>
              <w:left w:val="single" w:sz="4" w:space="0" w:color="000000"/>
              <w:right w:val="single" w:sz="4" w:space="0" w:color="000000"/>
            </w:tcBorders>
          </w:tcPr>
          <w:p>
            <w:pPr>
              <w:pStyle w:val="TableParagraph"/>
              <w:spacing w:before="5"/>
              <w:ind w:left="57"/>
              <w:rPr>
                <w:sz w:val="13"/>
              </w:rPr>
            </w:pPr>
            <w:r>
              <w:rPr>
                <w:w w:val="105"/>
                <w:sz w:val="13"/>
              </w:rPr>
              <w:t>(+) Operaciones presupuestarias de corriente</w:t>
            </w:r>
          </w:p>
        </w:tc>
        <w:tc>
          <w:tcPr>
            <w:tcW w:w="1470" w:type="dxa"/>
            <w:tcBorders>
              <w:left w:val="single" w:sz="4" w:space="0" w:color="000000"/>
            </w:tcBorders>
          </w:tcPr>
          <w:p>
            <w:pPr>
              <w:pStyle w:val="TableParagraph"/>
              <w:spacing w:before="5"/>
              <w:ind w:right="321"/>
              <w:jc w:val="right"/>
              <w:rPr>
                <w:sz w:val="13"/>
              </w:rPr>
            </w:pPr>
            <w:r>
              <w:rPr>
                <w:w w:val="105"/>
                <w:sz w:val="13"/>
              </w:rPr>
              <w:t>48.177,40</w:t>
            </w:r>
          </w:p>
        </w:tc>
        <w:tc>
          <w:tcPr>
            <w:tcW w:w="1280" w:type="dxa"/>
            <w:tcBorders>
              <w:right w:val="single" w:sz="4" w:space="0" w:color="000000"/>
            </w:tcBorders>
          </w:tcPr>
          <w:p>
            <w:pPr>
              <w:pStyle w:val="TableParagraph"/>
              <w:spacing w:before="5"/>
              <w:ind w:left="374"/>
              <w:rPr>
                <w:sz w:val="13"/>
              </w:rPr>
            </w:pPr>
            <w:r>
              <w:rPr>
                <w:w w:val="105"/>
                <w:sz w:val="13"/>
              </w:rPr>
              <w:t>298.179,36</w:t>
            </w:r>
          </w:p>
        </w:tc>
      </w:tr>
      <w:tr>
        <w:trPr>
          <w:trHeight w:val="190" w:hRule="atLeast"/>
        </w:trPr>
        <w:tc>
          <w:tcPr>
            <w:tcW w:w="4430" w:type="dxa"/>
            <w:tcBorders>
              <w:left w:val="single" w:sz="4" w:space="0" w:color="000000"/>
              <w:right w:val="single" w:sz="4" w:space="0" w:color="000000"/>
            </w:tcBorders>
          </w:tcPr>
          <w:p>
            <w:pPr>
              <w:pStyle w:val="TableParagraph"/>
              <w:spacing w:before="4"/>
              <w:ind w:left="57"/>
              <w:rPr>
                <w:sz w:val="13"/>
              </w:rPr>
            </w:pPr>
            <w:r>
              <w:rPr>
                <w:w w:val="105"/>
                <w:sz w:val="13"/>
              </w:rPr>
              <w:t>(+) Operaciones presupuestarias de cerrados</w:t>
            </w:r>
          </w:p>
        </w:tc>
        <w:tc>
          <w:tcPr>
            <w:tcW w:w="1470" w:type="dxa"/>
            <w:tcBorders>
              <w:left w:val="single" w:sz="4" w:space="0" w:color="000000"/>
            </w:tcBorders>
          </w:tcPr>
          <w:p>
            <w:pPr>
              <w:pStyle w:val="TableParagraph"/>
              <w:spacing w:before="4"/>
              <w:ind w:right="321"/>
              <w:jc w:val="right"/>
              <w:rPr>
                <w:sz w:val="13"/>
              </w:rPr>
            </w:pPr>
            <w:r>
              <w:rPr>
                <w:w w:val="105"/>
                <w:sz w:val="13"/>
              </w:rPr>
              <w:t>229.066,84</w:t>
            </w:r>
          </w:p>
        </w:tc>
        <w:tc>
          <w:tcPr>
            <w:tcW w:w="1280" w:type="dxa"/>
            <w:tcBorders>
              <w:right w:val="single" w:sz="4" w:space="0" w:color="000000"/>
            </w:tcBorders>
          </w:tcPr>
          <w:p>
            <w:pPr>
              <w:pStyle w:val="TableParagraph"/>
              <w:spacing w:before="4"/>
              <w:ind w:left="374"/>
              <w:rPr>
                <w:sz w:val="13"/>
              </w:rPr>
            </w:pPr>
            <w:r>
              <w:rPr>
                <w:w w:val="105"/>
                <w:sz w:val="13"/>
              </w:rPr>
              <w:t>166.529,79</w:t>
            </w:r>
          </w:p>
        </w:tc>
      </w:tr>
      <w:tr>
        <w:trPr>
          <w:trHeight w:val="191" w:hRule="atLeast"/>
        </w:trPr>
        <w:tc>
          <w:tcPr>
            <w:tcW w:w="4430" w:type="dxa"/>
            <w:tcBorders>
              <w:left w:val="single" w:sz="4" w:space="0" w:color="000000"/>
              <w:right w:val="single" w:sz="4" w:space="0" w:color="000000"/>
            </w:tcBorders>
          </w:tcPr>
          <w:p>
            <w:pPr>
              <w:pStyle w:val="TableParagraph"/>
              <w:spacing w:before="5"/>
              <w:ind w:left="57"/>
              <w:rPr>
                <w:sz w:val="13"/>
              </w:rPr>
            </w:pPr>
            <w:r>
              <w:rPr>
                <w:w w:val="105"/>
                <w:sz w:val="13"/>
              </w:rPr>
              <w:t>(+) Operaciones no presupuestarias</w:t>
            </w:r>
          </w:p>
        </w:tc>
        <w:tc>
          <w:tcPr>
            <w:tcW w:w="1470" w:type="dxa"/>
            <w:tcBorders>
              <w:left w:val="single" w:sz="4" w:space="0" w:color="000000"/>
            </w:tcBorders>
          </w:tcPr>
          <w:p>
            <w:pPr>
              <w:pStyle w:val="TableParagraph"/>
              <w:spacing w:before="5"/>
              <w:ind w:right="321"/>
              <w:jc w:val="right"/>
              <w:rPr>
                <w:sz w:val="13"/>
              </w:rPr>
            </w:pPr>
            <w:r>
              <w:rPr>
                <w:w w:val="105"/>
                <w:sz w:val="13"/>
              </w:rPr>
              <w:t>10.346,55</w:t>
            </w:r>
          </w:p>
        </w:tc>
        <w:tc>
          <w:tcPr>
            <w:tcW w:w="1280" w:type="dxa"/>
            <w:tcBorders>
              <w:right w:val="single" w:sz="4" w:space="0" w:color="000000"/>
            </w:tcBorders>
          </w:tcPr>
          <w:p>
            <w:pPr>
              <w:pStyle w:val="TableParagraph"/>
              <w:spacing w:before="5"/>
              <w:ind w:left="442"/>
              <w:rPr>
                <w:sz w:val="13"/>
              </w:rPr>
            </w:pPr>
            <w:r>
              <w:rPr>
                <w:w w:val="105"/>
                <w:sz w:val="13"/>
              </w:rPr>
              <w:t>10.202,00</w:t>
            </w:r>
          </w:p>
        </w:tc>
      </w:tr>
      <w:tr>
        <w:trPr>
          <w:trHeight w:val="190" w:hRule="atLeast"/>
        </w:trPr>
        <w:tc>
          <w:tcPr>
            <w:tcW w:w="4430" w:type="dxa"/>
            <w:tcBorders>
              <w:left w:val="single" w:sz="4" w:space="0" w:color="000000"/>
              <w:right w:val="single" w:sz="4" w:space="0" w:color="000000"/>
            </w:tcBorders>
          </w:tcPr>
          <w:p>
            <w:pPr>
              <w:pStyle w:val="TableParagraph"/>
              <w:spacing w:before="5"/>
              <w:ind w:left="57"/>
              <w:rPr>
                <w:sz w:val="13"/>
              </w:rPr>
            </w:pPr>
            <w:r>
              <w:rPr>
                <w:w w:val="105"/>
                <w:sz w:val="13"/>
              </w:rPr>
              <w:t>(+) Operaciones comerciales</w:t>
            </w:r>
          </w:p>
        </w:tc>
        <w:tc>
          <w:tcPr>
            <w:tcW w:w="1470" w:type="dxa"/>
            <w:tcBorders>
              <w:left w:val="single" w:sz="4" w:space="0" w:color="000000"/>
            </w:tcBorders>
          </w:tcPr>
          <w:p>
            <w:pPr>
              <w:pStyle w:val="TableParagraph"/>
              <w:spacing w:before="5"/>
              <w:ind w:right="321"/>
              <w:jc w:val="right"/>
              <w:rPr>
                <w:sz w:val="13"/>
              </w:rPr>
            </w:pPr>
            <w:r>
              <w:rPr>
                <w:w w:val="105"/>
                <w:sz w:val="13"/>
              </w:rPr>
              <w:t>3.206,71</w:t>
            </w:r>
          </w:p>
        </w:tc>
        <w:tc>
          <w:tcPr>
            <w:tcW w:w="1280" w:type="dxa"/>
            <w:tcBorders>
              <w:right w:val="single" w:sz="4" w:space="0" w:color="000000"/>
            </w:tcBorders>
          </w:tcPr>
          <w:p>
            <w:pPr>
              <w:pStyle w:val="TableParagraph"/>
              <w:spacing w:before="5"/>
              <w:ind w:left="511"/>
              <w:rPr>
                <w:sz w:val="13"/>
              </w:rPr>
            </w:pPr>
            <w:r>
              <w:rPr>
                <w:w w:val="105"/>
                <w:sz w:val="13"/>
              </w:rPr>
              <w:t>2.253,80</w:t>
            </w:r>
          </w:p>
        </w:tc>
      </w:tr>
      <w:tr>
        <w:trPr>
          <w:trHeight w:val="190" w:hRule="atLeast"/>
        </w:trPr>
        <w:tc>
          <w:tcPr>
            <w:tcW w:w="4430" w:type="dxa"/>
            <w:tcBorders>
              <w:left w:val="single" w:sz="4" w:space="0" w:color="000000"/>
              <w:right w:val="single" w:sz="4" w:space="0" w:color="000000"/>
            </w:tcBorders>
          </w:tcPr>
          <w:p>
            <w:pPr>
              <w:pStyle w:val="TableParagraph"/>
              <w:spacing w:before="4"/>
              <w:ind w:left="57"/>
              <w:rPr>
                <w:b/>
                <w:sz w:val="13"/>
              </w:rPr>
            </w:pPr>
            <w:r>
              <w:rPr>
                <w:b/>
                <w:w w:val="105"/>
                <w:sz w:val="13"/>
              </w:rPr>
              <w:t>Obligaciones pendientes de pago</w:t>
            </w:r>
          </w:p>
        </w:tc>
        <w:tc>
          <w:tcPr>
            <w:tcW w:w="1470" w:type="dxa"/>
            <w:tcBorders>
              <w:left w:val="single" w:sz="4" w:space="0" w:color="000000"/>
            </w:tcBorders>
          </w:tcPr>
          <w:p>
            <w:pPr>
              <w:pStyle w:val="TableParagraph"/>
              <w:spacing w:before="4"/>
              <w:ind w:right="321"/>
              <w:jc w:val="right"/>
              <w:rPr>
                <w:b/>
                <w:sz w:val="13"/>
              </w:rPr>
            </w:pPr>
            <w:r>
              <w:rPr>
                <w:b/>
                <w:w w:val="105"/>
                <w:sz w:val="13"/>
              </w:rPr>
              <w:t>431.541,77</w:t>
            </w:r>
          </w:p>
        </w:tc>
        <w:tc>
          <w:tcPr>
            <w:tcW w:w="1280" w:type="dxa"/>
            <w:tcBorders>
              <w:right w:val="single" w:sz="4" w:space="0" w:color="000000"/>
            </w:tcBorders>
          </w:tcPr>
          <w:p>
            <w:pPr>
              <w:pStyle w:val="TableParagraph"/>
              <w:spacing w:before="4"/>
              <w:ind w:left="372"/>
              <w:rPr>
                <w:b/>
                <w:sz w:val="13"/>
              </w:rPr>
            </w:pPr>
            <w:r>
              <w:rPr>
                <w:b/>
                <w:w w:val="105"/>
                <w:sz w:val="13"/>
              </w:rPr>
              <w:t>406.626,89</w:t>
            </w:r>
          </w:p>
        </w:tc>
      </w:tr>
      <w:tr>
        <w:trPr>
          <w:trHeight w:val="190" w:hRule="atLeast"/>
        </w:trPr>
        <w:tc>
          <w:tcPr>
            <w:tcW w:w="4430" w:type="dxa"/>
            <w:tcBorders>
              <w:left w:val="single" w:sz="4" w:space="0" w:color="000000"/>
              <w:right w:val="single" w:sz="4" w:space="0" w:color="000000"/>
            </w:tcBorders>
          </w:tcPr>
          <w:p>
            <w:pPr>
              <w:pStyle w:val="TableParagraph"/>
              <w:spacing w:before="5"/>
              <w:ind w:left="57"/>
              <w:rPr>
                <w:sz w:val="13"/>
              </w:rPr>
            </w:pPr>
            <w:r>
              <w:rPr>
                <w:w w:val="105"/>
                <w:sz w:val="13"/>
              </w:rPr>
              <w:t>(-) Operaciones presupuestarias de corriente</w:t>
            </w:r>
          </w:p>
        </w:tc>
        <w:tc>
          <w:tcPr>
            <w:tcW w:w="1470" w:type="dxa"/>
            <w:tcBorders>
              <w:left w:val="single" w:sz="4" w:space="0" w:color="000000"/>
            </w:tcBorders>
          </w:tcPr>
          <w:p>
            <w:pPr>
              <w:pStyle w:val="TableParagraph"/>
              <w:spacing w:before="5"/>
              <w:ind w:right="321"/>
              <w:jc w:val="right"/>
              <w:rPr>
                <w:sz w:val="13"/>
              </w:rPr>
            </w:pPr>
            <w:r>
              <w:rPr>
                <w:w w:val="105"/>
                <w:sz w:val="13"/>
              </w:rPr>
              <w:t>340.658,14</w:t>
            </w:r>
          </w:p>
        </w:tc>
        <w:tc>
          <w:tcPr>
            <w:tcW w:w="1280" w:type="dxa"/>
            <w:tcBorders>
              <w:right w:val="single" w:sz="4" w:space="0" w:color="000000"/>
            </w:tcBorders>
          </w:tcPr>
          <w:p>
            <w:pPr>
              <w:pStyle w:val="TableParagraph"/>
              <w:spacing w:before="5"/>
              <w:ind w:left="374"/>
              <w:rPr>
                <w:sz w:val="13"/>
              </w:rPr>
            </w:pPr>
            <w:r>
              <w:rPr>
                <w:w w:val="105"/>
                <w:sz w:val="13"/>
              </w:rPr>
              <w:t>338.444,99</w:t>
            </w:r>
          </w:p>
        </w:tc>
      </w:tr>
      <w:tr>
        <w:trPr>
          <w:trHeight w:val="190" w:hRule="atLeast"/>
        </w:trPr>
        <w:tc>
          <w:tcPr>
            <w:tcW w:w="4430" w:type="dxa"/>
            <w:tcBorders>
              <w:left w:val="single" w:sz="4" w:space="0" w:color="000000"/>
              <w:right w:val="single" w:sz="4" w:space="0" w:color="000000"/>
            </w:tcBorders>
          </w:tcPr>
          <w:p>
            <w:pPr>
              <w:pStyle w:val="TableParagraph"/>
              <w:spacing w:before="4"/>
              <w:ind w:left="57"/>
              <w:rPr>
                <w:sz w:val="13"/>
              </w:rPr>
            </w:pPr>
            <w:r>
              <w:rPr>
                <w:w w:val="105"/>
                <w:sz w:val="13"/>
              </w:rPr>
              <w:t>(-) Operaciones presupuestarias de cerrados</w:t>
            </w:r>
          </w:p>
        </w:tc>
        <w:tc>
          <w:tcPr>
            <w:tcW w:w="1470" w:type="dxa"/>
            <w:tcBorders>
              <w:left w:val="single" w:sz="4" w:space="0" w:color="000000"/>
            </w:tcBorders>
          </w:tcPr>
          <w:p>
            <w:pPr>
              <w:pStyle w:val="TableParagraph"/>
              <w:spacing w:before="4"/>
              <w:ind w:right="321"/>
              <w:jc w:val="right"/>
              <w:rPr>
                <w:sz w:val="13"/>
              </w:rPr>
            </w:pPr>
            <w:r>
              <w:rPr>
                <w:sz w:val="13"/>
              </w:rPr>
              <w:t>18,99</w:t>
            </w:r>
          </w:p>
        </w:tc>
        <w:tc>
          <w:tcPr>
            <w:tcW w:w="1280" w:type="dxa"/>
            <w:tcBorders>
              <w:right w:val="single" w:sz="4" w:space="0" w:color="000000"/>
            </w:tcBorders>
          </w:tcPr>
          <w:p>
            <w:pPr>
              <w:pStyle w:val="TableParagraph"/>
              <w:spacing w:before="4"/>
              <w:ind w:right="284"/>
              <w:jc w:val="right"/>
              <w:rPr>
                <w:sz w:val="13"/>
              </w:rPr>
            </w:pPr>
            <w:r>
              <w:rPr>
                <w:sz w:val="13"/>
              </w:rPr>
              <w:t>24,07</w:t>
            </w:r>
          </w:p>
        </w:tc>
      </w:tr>
      <w:tr>
        <w:trPr>
          <w:trHeight w:val="190" w:hRule="atLeast"/>
        </w:trPr>
        <w:tc>
          <w:tcPr>
            <w:tcW w:w="4430" w:type="dxa"/>
            <w:tcBorders>
              <w:left w:val="single" w:sz="4" w:space="0" w:color="000000"/>
              <w:right w:val="single" w:sz="4" w:space="0" w:color="000000"/>
            </w:tcBorders>
          </w:tcPr>
          <w:p>
            <w:pPr>
              <w:pStyle w:val="TableParagraph"/>
              <w:spacing w:before="5"/>
              <w:ind w:left="57"/>
              <w:rPr>
                <w:sz w:val="13"/>
              </w:rPr>
            </w:pPr>
            <w:r>
              <w:rPr>
                <w:w w:val="105"/>
                <w:sz w:val="13"/>
              </w:rPr>
              <w:t>(-) Operaciones no presupuestarias</w:t>
            </w:r>
          </w:p>
        </w:tc>
        <w:tc>
          <w:tcPr>
            <w:tcW w:w="1470" w:type="dxa"/>
            <w:tcBorders>
              <w:left w:val="single" w:sz="4" w:space="0" w:color="000000"/>
            </w:tcBorders>
          </w:tcPr>
          <w:p>
            <w:pPr>
              <w:pStyle w:val="TableParagraph"/>
              <w:spacing w:before="5"/>
              <w:ind w:right="321"/>
              <w:jc w:val="right"/>
              <w:rPr>
                <w:sz w:val="13"/>
              </w:rPr>
            </w:pPr>
            <w:r>
              <w:rPr>
                <w:w w:val="105"/>
                <w:sz w:val="13"/>
              </w:rPr>
              <w:t>86.797,38</w:t>
            </w:r>
          </w:p>
        </w:tc>
        <w:tc>
          <w:tcPr>
            <w:tcW w:w="1280" w:type="dxa"/>
            <w:tcBorders>
              <w:right w:val="single" w:sz="4" w:space="0" w:color="000000"/>
            </w:tcBorders>
          </w:tcPr>
          <w:p>
            <w:pPr>
              <w:pStyle w:val="TableParagraph"/>
              <w:spacing w:before="5"/>
              <w:ind w:left="442"/>
              <w:rPr>
                <w:sz w:val="13"/>
              </w:rPr>
            </w:pPr>
            <w:r>
              <w:rPr>
                <w:w w:val="105"/>
                <w:sz w:val="13"/>
              </w:rPr>
              <w:t>63.695,53</w:t>
            </w:r>
          </w:p>
        </w:tc>
      </w:tr>
      <w:tr>
        <w:trPr>
          <w:trHeight w:val="190" w:hRule="atLeast"/>
        </w:trPr>
        <w:tc>
          <w:tcPr>
            <w:tcW w:w="4430" w:type="dxa"/>
            <w:tcBorders>
              <w:left w:val="single" w:sz="4" w:space="0" w:color="000000"/>
              <w:right w:val="single" w:sz="4" w:space="0" w:color="000000"/>
            </w:tcBorders>
          </w:tcPr>
          <w:p>
            <w:pPr>
              <w:pStyle w:val="TableParagraph"/>
              <w:spacing w:before="4"/>
              <w:ind w:left="57"/>
              <w:rPr>
                <w:sz w:val="13"/>
              </w:rPr>
            </w:pPr>
            <w:r>
              <w:rPr>
                <w:w w:val="105"/>
                <w:sz w:val="13"/>
              </w:rPr>
              <w:t>(-) Operaciones comerciales</w:t>
            </w:r>
          </w:p>
        </w:tc>
        <w:tc>
          <w:tcPr>
            <w:tcW w:w="1470" w:type="dxa"/>
            <w:tcBorders>
              <w:left w:val="single" w:sz="4" w:space="0" w:color="000000"/>
            </w:tcBorders>
          </w:tcPr>
          <w:p>
            <w:pPr>
              <w:pStyle w:val="TableParagraph"/>
              <w:spacing w:before="4"/>
              <w:ind w:right="321"/>
              <w:jc w:val="right"/>
              <w:rPr>
                <w:sz w:val="13"/>
              </w:rPr>
            </w:pPr>
            <w:r>
              <w:rPr>
                <w:w w:val="105"/>
                <w:sz w:val="13"/>
              </w:rPr>
              <w:t>4.067,26</w:t>
            </w:r>
          </w:p>
        </w:tc>
        <w:tc>
          <w:tcPr>
            <w:tcW w:w="1280" w:type="dxa"/>
            <w:tcBorders>
              <w:right w:val="single" w:sz="4" w:space="0" w:color="000000"/>
            </w:tcBorders>
          </w:tcPr>
          <w:p>
            <w:pPr>
              <w:pStyle w:val="TableParagraph"/>
              <w:spacing w:before="4"/>
              <w:ind w:left="511"/>
              <w:rPr>
                <w:sz w:val="13"/>
              </w:rPr>
            </w:pPr>
            <w:r>
              <w:rPr>
                <w:w w:val="105"/>
                <w:sz w:val="13"/>
              </w:rPr>
              <w:t>4.462,30</w:t>
            </w:r>
          </w:p>
        </w:tc>
      </w:tr>
      <w:tr>
        <w:trPr>
          <w:trHeight w:val="191" w:hRule="atLeast"/>
        </w:trPr>
        <w:tc>
          <w:tcPr>
            <w:tcW w:w="4430" w:type="dxa"/>
            <w:tcBorders>
              <w:left w:val="single" w:sz="4" w:space="0" w:color="000000"/>
              <w:right w:val="single" w:sz="4" w:space="0" w:color="000000"/>
            </w:tcBorders>
          </w:tcPr>
          <w:p>
            <w:pPr>
              <w:pStyle w:val="TableParagraph"/>
              <w:spacing w:before="5"/>
              <w:ind w:left="57"/>
              <w:rPr>
                <w:b/>
                <w:sz w:val="13"/>
              </w:rPr>
            </w:pPr>
            <w:r>
              <w:rPr>
                <w:b/>
                <w:w w:val="105"/>
                <w:sz w:val="13"/>
              </w:rPr>
              <w:t>Partidas pendientes de aplicación</w:t>
            </w:r>
          </w:p>
        </w:tc>
        <w:tc>
          <w:tcPr>
            <w:tcW w:w="1470" w:type="dxa"/>
            <w:tcBorders>
              <w:left w:val="single" w:sz="4" w:space="0" w:color="000000"/>
            </w:tcBorders>
          </w:tcPr>
          <w:p>
            <w:pPr>
              <w:pStyle w:val="TableParagraph"/>
              <w:spacing w:before="5"/>
              <w:ind w:right="320"/>
              <w:jc w:val="right"/>
              <w:rPr>
                <w:b/>
                <w:sz w:val="13"/>
              </w:rPr>
            </w:pPr>
            <w:r>
              <w:rPr>
                <w:b/>
                <w:w w:val="105"/>
                <w:sz w:val="13"/>
              </w:rPr>
              <w:t>-131.107,55</w:t>
            </w:r>
          </w:p>
        </w:tc>
        <w:tc>
          <w:tcPr>
            <w:tcW w:w="1280" w:type="dxa"/>
            <w:tcBorders>
              <w:right w:val="single" w:sz="4" w:space="0" w:color="000000"/>
            </w:tcBorders>
          </w:tcPr>
          <w:p>
            <w:pPr>
              <w:pStyle w:val="TableParagraph"/>
              <w:spacing w:before="5"/>
              <w:ind w:left="329"/>
              <w:rPr>
                <w:b/>
                <w:sz w:val="13"/>
              </w:rPr>
            </w:pPr>
            <w:r>
              <w:rPr>
                <w:b/>
                <w:w w:val="105"/>
                <w:sz w:val="13"/>
              </w:rPr>
              <w:t>-148.945,76</w:t>
            </w:r>
          </w:p>
        </w:tc>
      </w:tr>
      <w:tr>
        <w:trPr>
          <w:trHeight w:val="190" w:hRule="atLeast"/>
        </w:trPr>
        <w:tc>
          <w:tcPr>
            <w:tcW w:w="4430" w:type="dxa"/>
            <w:tcBorders>
              <w:left w:val="single" w:sz="4" w:space="0" w:color="000000"/>
              <w:right w:val="single" w:sz="4" w:space="0" w:color="000000"/>
            </w:tcBorders>
          </w:tcPr>
          <w:p>
            <w:pPr>
              <w:pStyle w:val="TableParagraph"/>
              <w:spacing w:before="5"/>
              <w:ind w:left="57"/>
              <w:rPr>
                <w:sz w:val="13"/>
              </w:rPr>
            </w:pPr>
            <w:r>
              <w:rPr>
                <w:w w:val="105"/>
                <w:sz w:val="13"/>
              </w:rPr>
              <w:t>(-) Cobros pendientes de aplicación definitiva</w:t>
            </w:r>
          </w:p>
        </w:tc>
        <w:tc>
          <w:tcPr>
            <w:tcW w:w="1470" w:type="dxa"/>
            <w:tcBorders>
              <w:left w:val="single" w:sz="4" w:space="0" w:color="000000"/>
            </w:tcBorders>
          </w:tcPr>
          <w:p>
            <w:pPr>
              <w:pStyle w:val="TableParagraph"/>
              <w:spacing w:before="5"/>
              <w:ind w:right="321"/>
              <w:jc w:val="right"/>
              <w:rPr>
                <w:sz w:val="13"/>
              </w:rPr>
            </w:pPr>
            <w:r>
              <w:rPr>
                <w:w w:val="105"/>
                <w:sz w:val="13"/>
              </w:rPr>
              <w:t>131.110,56</w:t>
            </w:r>
          </w:p>
        </w:tc>
        <w:tc>
          <w:tcPr>
            <w:tcW w:w="1280" w:type="dxa"/>
            <w:tcBorders>
              <w:right w:val="single" w:sz="4" w:space="0" w:color="000000"/>
            </w:tcBorders>
          </w:tcPr>
          <w:p>
            <w:pPr>
              <w:pStyle w:val="TableParagraph"/>
              <w:spacing w:before="5"/>
              <w:ind w:left="374"/>
              <w:rPr>
                <w:sz w:val="13"/>
              </w:rPr>
            </w:pPr>
            <w:r>
              <w:rPr>
                <w:w w:val="105"/>
                <w:sz w:val="13"/>
              </w:rPr>
              <w:t>148.948,76</w:t>
            </w:r>
          </w:p>
        </w:tc>
      </w:tr>
      <w:tr>
        <w:trPr>
          <w:trHeight w:val="190" w:hRule="atLeast"/>
        </w:trPr>
        <w:tc>
          <w:tcPr>
            <w:tcW w:w="4430" w:type="dxa"/>
            <w:tcBorders>
              <w:left w:val="single" w:sz="4" w:space="0" w:color="000000"/>
              <w:right w:val="single" w:sz="4" w:space="0" w:color="000000"/>
            </w:tcBorders>
          </w:tcPr>
          <w:p>
            <w:pPr>
              <w:pStyle w:val="TableParagraph"/>
              <w:spacing w:before="4"/>
              <w:ind w:left="57"/>
              <w:rPr>
                <w:sz w:val="13"/>
              </w:rPr>
            </w:pPr>
            <w:r>
              <w:rPr>
                <w:w w:val="105"/>
                <w:sz w:val="13"/>
              </w:rPr>
              <w:t>(+) Pagos pendientes de aplicación definitiva</w:t>
            </w:r>
          </w:p>
        </w:tc>
        <w:tc>
          <w:tcPr>
            <w:tcW w:w="1470" w:type="dxa"/>
            <w:tcBorders>
              <w:left w:val="single" w:sz="4" w:space="0" w:color="000000"/>
            </w:tcBorders>
          </w:tcPr>
          <w:p>
            <w:pPr>
              <w:pStyle w:val="TableParagraph"/>
              <w:spacing w:before="4"/>
              <w:ind w:right="321"/>
              <w:jc w:val="right"/>
              <w:rPr>
                <w:sz w:val="13"/>
              </w:rPr>
            </w:pPr>
            <w:r>
              <w:rPr>
                <w:sz w:val="13"/>
              </w:rPr>
              <w:t>3,01</w:t>
            </w:r>
          </w:p>
        </w:tc>
        <w:tc>
          <w:tcPr>
            <w:tcW w:w="1280" w:type="dxa"/>
            <w:tcBorders>
              <w:right w:val="single" w:sz="4" w:space="0" w:color="000000"/>
            </w:tcBorders>
          </w:tcPr>
          <w:p>
            <w:pPr>
              <w:pStyle w:val="TableParagraph"/>
              <w:spacing w:before="4"/>
              <w:ind w:right="284"/>
              <w:jc w:val="right"/>
              <w:rPr>
                <w:sz w:val="13"/>
              </w:rPr>
            </w:pPr>
            <w:r>
              <w:rPr>
                <w:sz w:val="13"/>
              </w:rPr>
              <w:t>3,00</w:t>
            </w:r>
          </w:p>
        </w:tc>
      </w:tr>
      <w:tr>
        <w:trPr>
          <w:trHeight w:val="180" w:hRule="atLeast"/>
        </w:trPr>
        <w:tc>
          <w:tcPr>
            <w:tcW w:w="4430" w:type="dxa"/>
            <w:tcBorders>
              <w:left w:val="single" w:sz="4" w:space="0" w:color="000000"/>
              <w:right w:val="single" w:sz="4" w:space="0" w:color="000000"/>
            </w:tcBorders>
          </w:tcPr>
          <w:p>
            <w:pPr>
              <w:pStyle w:val="TableParagraph"/>
              <w:spacing w:line="154" w:lineRule="exact" w:before="6"/>
              <w:ind w:left="57"/>
              <w:rPr>
                <w:b/>
                <w:sz w:val="13"/>
              </w:rPr>
            </w:pPr>
            <w:r>
              <w:rPr>
                <w:w w:val="105"/>
                <w:sz w:val="13"/>
              </w:rPr>
              <w:t>(+) </w:t>
            </w:r>
            <w:r>
              <w:rPr>
                <w:b/>
                <w:w w:val="105"/>
                <w:sz w:val="13"/>
              </w:rPr>
              <w:t>Fondos Líquidos</w:t>
            </w:r>
          </w:p>
        </w:tc>
        <w:tc>
          <w:tcPr>
            <w:tcW w:w="1470" w:type="dxa"/>
            <w:tcBorders>
              <w:left w:val="single" w:sz="4" w:space="0" w:color="000000"/>
            </w:tcBorders>
          </w:tcPr>
          <w:p>
            <w:pPr>
              <w:pStyle w:val="TableParagraph"/>
              <w:spacing w:line="154" w:lineRule="exact" w:before="6"/>
              <w:ind w:right="321"/>
              <w:jc w:val="right"/>
              <w:rPr>
                <w:b/>
                <w:sz w:val="13"/>
              </w:rPr>
            </w:pPr>
            <w:r>
              <w:rPr>
                <w:b/>
                <w:w w:val="105"/>
                <w:sz w:val="13"/>
              </w:rPr>
              <w:t>989.427,14</w:t>
            </w:r>
          </w:p>
        </w:tc>
        <w:tc>
          <w:tcPr>
            <w:tcW w:w="1280" w:type="dxa"/>
            <w:tcBorders>
              <w:right w:val="single" w:sz="4" w:space="0" w:color="000000"/>
            </w:tcBorders>
          </w:tcPr>
          <w:p>
            <w:pPr>
              <w:pStyle w:val="TableParagraph"/>
              <w:spacing w:line="154" w:lineRule="exact" w:before="6"/>
              <w:ind w:left="372"/>
              <w:rPr>
                <w:b/>
                <w:sz w:val="13"/>
              </w:rPr>
            </w:pPr>
            <w:r>
              <w:rPr>
                <w:b/>
                <w:w w:val="105"/>
                <w:sz w:val="13"/>
              </w:rPr>
              <w:t>883.921,55</w:t>
            </w:r>
          </w:p>
        </w:tc>
      </w:tr>
      <w:tr>
        <w:trPr>
          <w:trHeight w:val="189" w:hRule="atLeast"/>
        </w:trPr>
        <w:tc>
          <w:tcPr>
            <w:tcW w:w="4430" w:type="dxa"/>
            <w:tcBorders>
              <w:left w:val="single" w:sz="4" w:space="0" w:color="000000"/>
              <w:right w:val="single" w:sz="4" w:space="0" w:color="000000"/>
            </w:tcBorders>
            <w:shd w:val="clear" w:color="auto" w:fill="F1F1F1"/>
          </w:tcPr>
          <w:p>
            <w:pPr>
              <w:pStyle w:val="TableParagraph"/>
              <w:spacing w:line="154" w:lineRule="exact" w:before="15"/>
              <w:ind w:left="57"/>
              <w:rPr>
                <w:b/>
                <w:sz w:val="13"/>
              </w:rPr>
            </w:pPr>
            <w:r>
              <w:rPr>
                <w:b/>
                <w:w w:val="105"/>
                <w:sz w:val="13"/>
              </w:rPr>
              <w:t>Remanente de Tesorería Total</w:t>
            </w:r>
          </w:p>
        </w:tc>
        <w:tc>
          <w:tcPr>
            <w:tcW w:w="1470" w:type="dxa"/>
            <w:tcBorders>
              <w:left w:val="single" w:sz="4" w:space="0" w:color="000000"/>
            </w:tcBorders>
            <w:shd w:val="clear" w:color="auto" w:fill="F1F1F1"/>
          </w:tcPr>
          <w:p>
            <w:pPr>
              <w:pStyle w:val="TableParagraph"/>
              <w:spacing w:line="154" w:lineRule="exact" w:before="15"/>
              <w:ind w:right="321"/>
              <w:jc w:val="right"/>
              <w:rPr>
                <w:b/>
                <w:sz w:val="13"/>
              </w:rPr>
            </w:pPr>
            <w:r>
              <w:rPr>
                <w:b/>
                <w:w w:val="105"/>
                <w:sz w:val="13"/>
              </w:rPr>
              <w:t>717.575,32</w:t>
            </w:r>
          </w:p>
        </w:tc>
        <w:tc>
          <w:tcPr>
            <w:tcW w:w="1280" w:type="dxa"/>
            <w:tcBorders>
              <w:right w:val="single" w:sz="4" w:space="0" w:color="000000"/>
            </w:tcBorders>
            <w:shd w:val="clear" w:color="auto" w:fill="F1F1F1"/>
          </w:tcPr>
          <w:p>
            <w:pPr>
              <w:pStyle w:val="TableParagraph"/>
              <w:spacing w:line="154" w:lineRule="exact" w:before="15"/>
              <w:ind w:left="372"/>
              <w:rPr>
                <w:b/>
                <w:sz w:val="13"/>
              </w:rPr>
            </w:pPr>
            <w:r>
              <w:rPr>
                <w:b/>
                <w:w w:val="105"/>
                <w:sz w:val="13"/>
              </w:rPr>
              <w:t>805.513,86</w:t>
            </w:r>
          </w:p>
        </w:tc>
      </w:tr>
      <w:tr>
        <w:trPr>
          <w:trHeight w:val="203" w:hRule="atLeast"/>
        </w:trPr>
        <w:tc>
          <w:tcPr>
            <w:tcW w:w="4430" w:type="dxa"/>
            <w:tcBorders>
              <w:left w:val="single" w:sz="4" w:space="0" w:color="000000"/>
              <w:right w:val="single" w:sz="4" w:space="0" w:color="000000"/>
            </w:tcBorders>
          </w:tcPr>
          <w:p>
            <w:pPr>
              <w:pStyle w:val="TableParagraph"/>
              <w:spacing w:before="17"/>
              <w:ind w:left="57"/>
              <w:rPr>
                <w:sz w:val="13"/>
              </w:rPr>
            </w:pPr>
            <w:r>
              <w:rPr>
                <w:w w:val="105"/>
                <w:sz w:val="13"/>
              </w:rPr>
              <w:t>(-) Exceso de financiación afectada</w:t>
            </w:r>
          </w:p>
        </w:tc>
        <w:tc>
          <w:tcPr>
            <w:tcW w:w="1470" w:type="dxa"/>
            <w:tcBorders>
              <w:left w:val="single" w:sz="4" w:space="0" w:color="000000"/>
            </w:tcBorders>
          </w:tcPr>
          <w:p>
            <w:pPr>
              <w:pStyle w:val="TableParagraph"/>
              <w:spacing w:before="17"/>
              <w:ind w:right="321"/>
              <w:jc w:val="right"/>
              <w:rPr>
                <w:sz w:val="13"/>
              </w:rPr>
            </w:pPr>
            <w:r>
              <w:rPr>
                <w:w w:val="105"/>
                <w:sz w:val="13"/>
              </w:rPr>
              <w:t>264.298,87</w:t>
            </w:r>
          </w:p>
        </w:tc>
        <w:tc>
          <w:tcPr>
            <w:tcW w:w="1280" w:type="dxa"/>
            <w:tcBorders>
              <w:right w:val="single" w:sz="4" w:space="0" w:color="000000"/>
            </w:tcBorders>
          </w:tcPr>
          <w:p>
            <w:pPr>
              <w:pStyle w:val="TableParagraph"/>
              <w:spacing w:before="17"/>
              <w:ind w:left="374"/>
              <w:rPr>
                <w:sz w:val="13"/>
              </w:rPr>
            </w:pPr>
            <w:r>
              <w:rPr>
                <w:w w:val="105"/>
                <w:sz w:val="13"/>
              </w:rPr>
              <w:t>220.455,71</w:t>
            </w:r>
          </w:p>
        </w:tc>
      </w:tr>
      <w:tr>
        <w:trPr>
          <w:trHeight w:val="179" w:hRule="atLeast"/>
        </w:trPr>
        <w:tc>
          <w:tcPr>
            <w:tcW w:w="4430" w:type="dxa"/>
            <w:tcBorders>
              <w:left w:val="single" w:sz="4" w:space="0" w:color="000000"/>
              <w:right w:val="single" w:sz="4" w:space="0" w:color="000000"/>
            </w:tcBorders>
          </w:tcPr>
          <w:p>
            <w:pPr>
              <w:pStyle w:val="TableParagraph"/>
              <w:spacing w:line="154" w:lineRule="exact" w:before="5"/>
              <w:ind w:left="57"/>
              <w:rPr>
                <w:sz w:val="13"/>
              </w:rPr>
            </w:pPr>
            <w:r>
              <w:rPr>
                <w:w w:val="105"/>
                <w:sz w:val="13"/>
              </w:rPr>
              <w:t>(-) Saldo de dudoso cobro</w:t>
            </w:r>
          </w:p>
        </w:tc>
        <w:tc>
          <w:tcPr>
            <w:tcW w:w="1470" w:type="dxa"/>
            <w:tcBorders>
              <w:left w:val="single" w:sz="4" w:space="0" w:color="000000"/>
            </w:tcBorders>
          </w:tcPr>
          <w:p>
            <w:pPr>
              <w:pStyle w:val="TableParagraph"/>
              <w:spacing w:line="154" w:lineRule="exact" w:before="5"/>
              <w:ind w:right="321"/>
              <w:jc w:val="right"/>
              <w:rPr>
                <w:sz w:val="13"/>
              </w:rPr>
            </w:pPr>
            <w:r>
              <w:rPr>
                <w:w w:val="105"/>
                <w:sz w:val="13"/>
              </w:rPr>
              <w:t>74.494,95</w:t>
            </w:r>
          </w:p>
        </w:tc>
        <w:tc>
          <w:tcPr>
            <w:tcW w:w="1280" w:type="dxa"/>
            <w:tcBorders>
              <w:right w:val="single" w:sz="4" w:space="0" w:color="000000"/>
            </w:tcBorders>
          </w:tcPr>
          <w:p>
            <w:pPr>
              <w:pStyle w:val="TableParagraph"/>
              <w:spacing w:line="154" w:lineRule="exact" w:before="5"/>
              <w:ind w:left="442"/>
              <w:rPr>
                <w:sz w:val="13"/>
              </w:rPr>
            </w:pPr>
            <w:r>
              <w:rPr>
                <w:w w:val="105"/>
                <w:sz w:val="13"/>
              </w:rPr>
              <w:t>80.364,46</w:t>
            </w:r>
          </w:p>
        </w:tc>
      </w:tr>
      <w:tr>
        <w:trPr>
          <w:trHeight w:val="189" w:hRule="atLeast"/>
        </w:trPr>
        <w:tc>
          <w:tcPr>
            <w:tcW w:w="4430" w:type="dxa"/>
            <w:tcBorders>
              <w:left w:val="single" w:sz="4" w:space="0" w:color="000000"/>
              <w:right w:val="single" w:sz="4" w:space="0" w:color="000000"/>
            </w:tcBorders>
            <w:shd w:val="clear" w:color="auto" w:fill="F1F1F1"/>
          </w:tcPr>
          <w:p>
            <w:pPr>
              <w:pStyle w:val="TableParagraph"/>
              <w:spacing w:line="154" w:lineRule="exact" w:before="15"/>
              <w:ind w:left="57"/>
              <w:rPr>
                <w:b/>
                <w:sz w:val="13"/>
              </w:rPr>
            </w:pPr>
            <w:r>
              <w:rPr>
                <w:b/>
                <w:w w:val="105"/>
                <w:sz w:val="13"/>
              </w:rPr>
              <w:t>Remanente de Tesorería No afectado</w:t>
            </w:r>
          </w:p>
        </w:tc>
        <w:tc>
          <w:tcPr>
            <w:tcW w:w="1470" w:type="dxa"/>
            <w:tcBorders>
              <w:left w:val="single" w:sz="4" w:space="0" w:color="000000"/>
            </w:tcBorders>
            <w:shd w:val="clear" w:color="auto" w:fill="F1F1F1"/>
          </w:tcPr>
          <w:p>
            <w:pPr>
              <w:pStyle w:val="TableParagraph"/>
              <w:spacing w:line="154" w:lineRule="exact" w:before="15"/>
              <w:ind w:right="321"/>
              <w:jc w:val="right"/>
              <w:rPr>
                <w:b/>
                <w:sz w:val="13"/>
              </w:rPr>
            </w:pPr>
            <w:r>
              <w:rPr>
                <w:b/>
                <w:w w:val="105"/>
                <w:sz w:val="13"/>
              </w:rPr>
              <w:t>378.781,50</w:t>
            </w:r>
          </w:p>
        </w:tc>
        <w:tc>
          <w:tcPr>
            <w:tcW w:w="1280" w:type="dxa"/>
            <w:tcBorders>
              <w:right w:val="single" w:sz="4" w:space="0" w:color="000000"/>
            </w:tcBorders>
            <w:shd w:val="clear" w:color="auto" w:fill="F1F1F1"/>
          </w:tcPr>
          <w:p>
            <w:pPr>
              <w:pStyle w:val="TableParagraph"/>
              <w:spacing w:line="154" w:lineRule="exact" w:before="15"/>
              <w:ind w:left="372"/>
              <w:rPr>
                <w:b/>
                <w:sz w:val="13"/>
              </w:rPr>
            </w:pPr>
            <w:r>
              <w:rPr>
                <w:b/>
                <w:w w:val="105"/>
                <w:sz w:val="13"/>
              </w:rPr>
              <w:t>504.693,69</w:t>
            </w:r>
          </w:p>
        </w:tc>
      </w:tr>
      <w:tr>
        <w:trPr>
          <w:trHeight w:val="202" w:hRule="atLeast"/>
        </w:trPr>
        <w:tc>
          <w:tcPr>
            <w:tcW w:w="4430" w:type="dxa"/>
            <w:tcBorders>
              <w:left w:val="single" w:sz="4" w:space="0" w:color="000000"/>
              <w:right w:val="single" w:sz="4" w:space="0" w:color="000000"/>
            </w:tcBorders>
          </w:tcPr>
          <w:p>
            <w:pPr>
              <w:pStyle w:val="TableParagraph"/>
              <w:spacing w:before="17"/>
              <w:ind w:left="57"/>
              <w:rPr>
                <w:sz w:val="13"/>
              </w:rPr>
            </w:pPr>
            <w:r>
              <w:rPr>
                <w:w w:val="105"/>
                <w:sz w:val="13"/>
              </w:rPr>
              <w:t>(-) Saldo de la cuenta 413</w:t>
            </w:r>
          </w:p>
        </w:tc>
        <w:tc>
          <w:tcPr>
            <w:tcW w:w="1470" w:type="dxa"/>
            <w:tcBorders>
              <w:left w:val="single" w:sz="4" w:space="0" w:color="000000"/>
            </w:tcBorders>
          </w:tcPr>
          <w:p>
            <w:pPr>
              <w:pStyle w:val="TableParagraph"/>
              <w:spacing w:before="17"/>
              <w:ind w:right="321"/>
              <w:jc w:val="right"/>
              <w:rPr>
                <w:sz w:val="13"/>
              </w:rPr>
            </w:pPr>
            <w:r>
              <w:rPr>
                <w:w w:val="105"/>
                <w:sz w:val="13"/>
              </w:rPr>
              <w:t>129.116,47</w:t>
            </w:r>
          </w:p>
        </w:tc>
        <w:tc>
          <w:tcPr>
            <w:tcW w:w="1280" w:type="dxa"/>
            <w:tcBorders>
              <w:right w:val="single" w:sz="4" w:space="0" w:color="000000"/>
            </w:tcBorders>
          </w:tcPr>
          <w:p>
            <w:pPr>
              <w:pStyle w:val="TableParagraph"/>
              <w:spacing w:before="17"/>
              <w:ind w:left="442"/>
              <w:rPr>
                <w:sz w:val="13"/>
              </w:rPr>
            </w:pPr>
            <w:r>
              <w:rPr>
                <w:w w:val="105"/>
                <w:sz w:val="13"/>
              </w:rPr>
              <w:t>90.456,86</w:t>
            </w:r>
          </w:p>
        </w:tc>
      </w:tr>
      <w:tr>
        <w:trPr>
          <w:trHeight w:val="178" w:hRule="atLeast"/>
        </w:trPr>
        <w:tc>
          <w:tcPr>
            <w:tcW w:w="4430" w:type="dxa"/>
            <w:tcBorders>
              <w:left w:val="single" w:sz="4" w:space="0" w:color="000000"/>
              <w:right w:val="single" w:sz="4" w:space="0" w:color="000000"/>
            </w:tcBorders>
          </w:tcPr>
          <w:p>
            <w:pPr>
              <w:pStyle w:val="TableParagraph"/>
              <w:spacing w:line="154" w:lineRule="exact" w:before="4"/>
              <w:ind w:left="57"/>
              <w:rPr>
                <w:sz w:val="13"/>
              </w:rPr>
            </w:pPr>
            <w:r>
              <w:rPr>
                <w:w w:val="105"/>
                <w:sz w:val="13"/>
              </w:rPr>
              <w:t>(-) Por devoluciones de ingresos</w:t>
            </w:r>
          </w:p>
        </w:tc>
        <w:tc>
          <w:tcPr>
            <w:tcW w:w="1470" w:type="dxa"/>
            <w:tcBorders>
              <w:left w:val="single" w:sz="4" w:space="0" w:color="000000"/>
            </w:tcBorders>
          </w:tcPr>
          <w:p>
            <w:pPr>
              <w:pStyle w:val="TableParagraph"/>
              <w:spacing w:line="154" w:lineRule="exact" w:before="4"/>
              <w:ind w:right="321"/>
              <w:jc w:val="right"/>
              <w:rPr>
                <w:sz w:val="13"/>
              </w:rPr>
            </w:pPr>
            <w:r>
              <w:rPr>
                <w:w w:val="105"/>
                <w:sz w:val="13"/>
              </w:rPr>
              <w:t>2.300,85</w:t>
            </w:r>
          </w:p>
        </w:tc>
        <w:tc>
          <w:tcPr>
            <w:tcW w:w="1280" w:type="dxa"/>
            <w:tcBorders>
              <w:right w:val="single" w:sz="4" w:space="0" w:color="000000"/>
            </w:tcBorders>
          </w:tcPr>
          <w:p>
            <w:pPr>
              <w:pStyle w:val="TableParagraph"/>
              <w:spacing w:line="154" w:lineRule="exact" w:before="4"/>
              <w:ind w:left="511"/>
              <w:rPr>
                <w:sz w:val="13"/>
              </w:rPr>
            </w:pPr>
            <w:r>
              <w:rPr>
                <w:w w:val="105"/>
                <w:sz w:val="13"/>
              </w:rPr>
              <w:t>1.903,89</w:t>
            </w:r>
          </w:p>
        </w:tc>
      </w:tr>
      <w:tr>
        <w:trPr>
          <w:trHeight w:val="190" w:hRule="atLeast"/>
        </w:trPr>
        <w:tc>
          <w:tcPr>
            <w:tcW w:w="4430" w:type="dxa"/>
            <w:tcBorders>
              <w:left w:val="single" w:sz="4" w:space="0" w:color="000000"/>
              <w:bottom w:val="single" w:sz="4" w:space="0" w:color="000000"/>
              <w:right w:val="single" w:sz="4" w:space="0" w:color="000000"/>
            </w:tcBorders>
            <w:shd w:val="clear" w:color="auto" w:fill="F1F1F1"/>
          </w:tcPr>
          <w:p>
            <w:pPr>
              <w:pStyle w:val="TableParagraph"/>
              <w:spacing w:line="153" w:lineRule="exact" w:before="17"/>
              <w:ind w:left="57"/>
              <w:rPr>
                <w:b/>
                <w:sz w:val="13"/>
              </w:rPr>
            </w:pPr>
            <w:r>
              <w:rPr>
                <w:b/>
                <w:w w:val="105"/>
                <w:sz w:val="13"/>
              </w:rPr>
              <w:t>Remanente de Tesorería Teórico o libre disposición</w:t>
            </w:r>
          </w:p>
        </w:tc>
        <w:tc>
          <w:tcPr>
            <w:tcW w:w="1470" w:type="dxa"/>
            <w:tcBorders>
              <w:left w:val="single" w:sz="4" w:space="0" w:color="000000"/>
              <w:bottom w:val="single" w:sz="4" w:space="0" w:color="000000"/>
            </w:tcBorders>
            <w:shd w:val="clear" w:color="auto" w:fill="F1F1F1"/>
          </w:tcPr>
          <w:p>
            <w:pPr>
              <w:pStyle w:val="TableParagraph"/>
              <w:spacing w:line="153" w:lineRule="exact" w:before="17"/>
              <w:ind w:right="321"/>
              <w:jc w:val="right"/>
              <w:rPr>
                <w:b/>
                <w:sz w:val="13"/>
              </w:rPr>
            </w:pPr>
            <w:r>
              <w:rPr>
                <w:b/>
                <w:w w:val="105"/>
                <w:sz w:val="13"/>
              </w:rPr>
              <w:t>247.364,18</w:t>
            </w:r>
          </w:p>
        </w:tc>
        <w:tc>
          <w:tcPr>
            <w:tcW w:w="1280" w:type="dxa"/>
            <w:tcBorders>
              <w:bottom w:val="single" w:sz="4" w:space="0" w:color="000000"/>
              <w:right w:val="single" w:sz="4" w:space="0" w:color="000000"/>
            </w:tcBorders>
            <w:shd w:val="clear" w:color="auto" w:fill="F1F1F1"/>
          </w:tcPr>
          <w:p>
            <w:pPr>
              <w:pStyle w:val="TableParagraph"/>
              <w:spacing w:line="153" w:lineRule="exact" w:before="17"/>
              <w:ind w:right="190"/>
              <w:jc w:val="right"/>
              <w:rPr>
                <w:sz w:val="13"/>
              </w:rPr>
            </w:pPr>
            <w:r>
              <w:rPr>
                <w:b/>
                <w:w w:val="105"/>
                <w:sz w:val="13"/>
              </w:rPr>
              <w:t>412.332,94</w:t>
            </w:r>
            <w:r>
              <w:rPr>
                <w:w w:val="105"/>
                <w:sz w:val="13"/>
              </w:rPr>
              <w:t>*</w:t>
            </w:r>
          </w:p>
        </w:tc>
      </w:tr>
    </w:tbl>
    <w:p>
      <w:pPr>
        <w:spacing w:before="3"/>
        <w:ind w:left="2126" w:right="0" w:firstLine="0"/>
        <w:jc w:val="left"/>
        <w:rPr>
          <w:sz w:val="13"/>
        </w:rPr>
      </w:pPr>
      <w:r>
        <w:rPr>
          <w:w w:val="105"/>
          <w:sz w:val="13"/>
        </w:rPr>
        <w:t>* No incluye las cifras de ICI. Y se han realizado los ajustes del Informe de la Audiencia de Cuentas en 2021 para la cuenta 413.</w:t>
      </w:r>
    </w:p>
    <w:p>
      <w:pPr>
        <w:pStyle w:val="BodyText"/>
        <w:spacing w:before="7"/>
        <w:rPr>
          <w:sz w:val="16"/>
        </w:rPr>
      </w:pPr>
    </w:p>
    <w:tbl>
      <w:tblPr>
        <w:tblW w:w="0" w:type="auto"/>
        <w:jc w:val="left"/>
        <w:tblInd w:w="2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7"/>
        <w:gridCol w:w="1325"/>
        <w:gridCol w:w="1549"/>
        <w:gridCol w:w="1417"/>
        <w:gridCol w:w="1699"/>
      </w:tblGrid>
      <w:tr>
        <w:trPr>
          <w:trHeight w:val="202" w:hRule="atLeast"/>
        </w:trPr>
        <w:tc>
          <w:tcPr>
            <w:tcW w:w="1157"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2874" w:type="dxa"/>
            <w:gridSpan w:val="2"/>
            <w:tcBorders>
              <w:top w:val="single" w:sz="4" w:space="0" w:color="000000"/>
              <w:left w:val="single" w:sz="4" w:space="0" w:color="000000"/>
              <w:right w:val="single" w:sz="4" w:space="0" w:color="000000"/>
            </w:tcBorders>
            <w:shd w:val="clear" w:color="auto" w:fill="DEEAF6"/>
          </w:tcPr>
          <w:p>
            <w:pPr>
              <w:pStyle w:val="TableParagraph"/>
              <w:spacing w:before="16"/>
              <w:ind w:left="637"/>
              <w:rPr>
                <w:b/>
                <w:sz w:val="13"/>
              </w:rPr>
            </w:pPr>
            <w:r>
              <w:rPr>
                <w:b/>
                <w:w w:val="105"/>
                <w:sz w:val="13"/>
              </w:rPr>
              <w:t>Exceso financiación afectada</w:t>
            </w:r>
          </w:p>
        </w:tc>
        <w:tc>
          <w:tcPr>
            <w:tcW w:w="3116" w:type="dxa"/>
            <w:gridSpan w:val="2"/>
            <w:tcBorders>
              <w:top w:val="single" w:sz="4" w:space="0" w:color="000000"/>
              <w:left w:val="single" w:sz="4" w:space="0" w:color="000000"/>
              <w:right w:val="single" w:sz="4" w:space="0" w:color="000000"/>
            </w:tcBorders>
            <w:shd w:val="clear" w:color="auto" w:fill="DEEAF6"/>
          </w:tcPr>
          <w:p>
            <w:pPr>
              <w:pStyle w:val="TableParagraph"/>
              <w:spacing w:before="16"/>
              <w:ind w:left="317"/>
              <w:rPr>
                <w:b/>
                <w:sz w:val="13"/>
              </w:rPr>
            </w:pPr>
            <w:r>
              <w:rPr>
                <w:b/>
                <w:w w:val="105"/>
                <w:sz w:val="13"/>
              </w:rPr>
              <w:t>Remanente de Tesorería de libre disposición</w:t>
            </w:r>
          </w:p>
        </w:tc>
      </w:tr>
      <w:tr>
        <w:trPr>
          <w:trHeight w:val="178" w:hRule="atLeast"/>
        </w:trPr>
        <w:tc>
          <w:tcPr>
            <w:tcW w:w="1157" w:type="dxa"/>
            <w:tcBorders>
              <w:left w:val="single" w:sz="4" w:space="0" w:color="000000"/>
              <w:right w:val="single" w:sz="4" w:space="0" w:color="000000"/>
            </w:tcBorders>
          </w:tcPr>
          <w:p>
            <w:pPr>
              <w:pStyle w:val="TableParagraph"/>
              <w:rPr>
                <w:rFonts w:ascii="Times New Roman"/>
                <w:sz w:val="12"/>
              </w:rPr>
            </w:pPr>
          </w:p>
        </w:tc>
        <w:tc>
          <w:tcPr>
            <w:tcW w:w="2874" w:type="dxa"/>
            <w:gridSpan w:val="2"/>
            <w:tcBorders>
              <w:left w:val="single" w:sz="4" w:space="0" w:color="000000"/>
              <w:bottom w:val="single" w:sz="4" w:space="0" w:color="000000"/>
              <w:right w:val="single" w:sz="4" w:space="0" w:color="000000"/>
            </w:tcBorders>
            <w:shd w:val="clear" w:color="auto" w:fill="DEEAF6"/>
          </w:tcPr>
          <w:p>
            <w:pPr>
              <w:pStyle w:val="TableParagraph"/>
              <w:tabs>
                <w:tab w:pos="2026" w:val="left" w:leader="none"/>
              </w:tabs>
              <w:spacing w:line="153" w:lineRule="exact" w:before="5"/>
              <w:ind w:left="589"/>
              <w:rPr>
                <w:b/>
                <w:sz w:val="13"/>
              </w:rPr>
            </w:pPr>
            <w:r>
              <w:rPr>
                <w:b/>
                <w:w w:val="105"/>
                <w:sz w:val="13"/>
              </w:rPr>
              <w:t>2022</w:t>
              <w:tab/>
              <w:t>2021</w:t>
            </w:r>
          </w:p>
        </w:tc>
        <w:tc>
          <w:tcPr>
            <w:tcW w:w="3116" w:type="dxa"/>
            <w:gridSpan w:val="2"/>
            <w:tcBorders>
              <w:left w:val="single" w:sz="4" w:space="0" w:color="000000"/>
              <w:bottom w:val="single" w:sz="4" w:space="0" w:color="000000"/>
              <w:right w:val="single" w:sz="4" w:space="0" w:color="000000"/>
            </w:tcBorders>
            <w:shd w:val="clear" w:color="auto" w:fill="DEEAF6"/>
          </w:tcPr>
          <w:p>
            <w:pPr>
              <w:pStyle w:val="TableParagraph"/>
              <w:tabs>
                <w:tab w:pos="2203" w:val="left" w:leader="none"/>
              </w:tabs>
              <w:spacing w:line="153" w:lineRule="exact" w:before="5"/>
              <w:ind w:left="645"/>
              <w:rPr>
                <w:b/>
                <w:sz w:val="13"/>
              </w:rPr>
            </w:pPr>
            <w:r>
              <w:rPr>
                <w:b/>
                <w:w w:val="105"/>
                <w:sz w:val="13"/>
              </w:rPr>
              <w:t>2022</w:t>
              <w:tab/>
              <w:t>2021</w:t>
            </w:r>
          </w:p>
        </w:tc>
      </w:tr>
      <w:tr>
        <w:trPr>
          <w:trHeight w:val="201" w:hRule="atLeast"/>
        </w:trPr>
        <w:tc>
          <w:tcPr>
            <w:tcW w:w="1157" w:type="dxa"/>
            <w:tcBorders>
              <w:left w:val="single" w:sz="4" w:space="0" w:color="000000"/>
              <w:right w:val="single" w:sz="4" w:space="0" w:color="000000"/>
            </w:tcBorders>
          </w:tcPr>
          <w:p>
            <w:pPr>
              <w:pStyle w:val="TableParagraph"/>
              <w:spacing w:before="16"/>
              <w:ind w:left="236"/>
              <w:rPr>
                <w:b/>
                <w:sz w:val="13"/>
              </w:rPr>
            </w:pPr>
            <w:r>
              <w:rPr>
                <w:b/>
                <w:w w:val="105"/>
                <w:sz w:val="13"/>
              </w:rPr>
              <w:t>ICAP</w:t>
            </w:r>
          </w:p>
        </w:tc>
        <w:tc>
          <w:tcPr>
            <w:tcW w:w="1325" w:type="dxa"/>
            <w:tcBorders>
              <w:top w:val="single" w:sz="4" w:space="0" w:color="000000"/>
              <w:left w:val="single" w:sz="4" w:space="0" w:color="000000"/>
            </w:tcBorders>
          </w:tcPr>
          <w:p>
            <w:pPr>
              <w:pStyle w:val="TableParagraph"/>
              <w:spacing w:before="16"/>
              <w:ind w:right="376"/>
              <w:jc w:val="right"/>
              <w:rPr>
                <w:sz w:val="13"/>
              </w:rPr>
            </w:pPr>
            <w:r>
              <w:rPr>
                <w:w w:val="105"/>
                <w:sz w:val="13"/>
              </w:rPr>
              <w:t>3.376,92</w:t>
            </w:r>
          </w:p>
        </w:tc>
        <w:tc>
          <w:tcPr>
            <w:tcW w:w="1549" w:type="dxa"/>
            <w:tcBorders>
              <w:top w:val="single" w:sz="4" w:space="0" w:color="000000"/>
              <w:right w:val="single" w:sz="4" w:space="0" w:color="000000"/>
            </w:tcBorders>
          </w:tcPr>
          <w:p>
            <w:pPr>
              <w:pStyle w:val="TableParagraph"/>
              <w:spacing w:before="16"/>
              <w:ind w:right="605"/>
              <w:jc w:val="right"/>
              <w:rPr>
                <w:sz w:val="13"/>
              </w:rPr>
            </w:pPr>
            <w:r>
              <w:rPr>
                <w:w w:val="105"/>
                <w:sz w:val="13"/>
              </w:rPr>
              <w:t>2.596,44</w:t>
            </w:r>
          </w:p>
        </w:tc>
        <w:tc>
          <w:tcPr>
            <w:tcW w:w="1417" w:type="dxa"/>
            <w:tcBorders>
              <w:top w:val="single" w:sz="4" w:space="0" w:color="000000"/>
              <w:left w:val="single" w:sz="4" w:space="0" w:color="000000"/>
            </w:tcBorders>
          </w:tcPr>
          <w:p>
            <w:pPr>
              <w:pStyle w:val="TableParagraph"/>
              <w:spacing w:before="16"/>
              <w:ind w:right="460"/>
              <w:jc w:val="right"/>
              <w:rPr>
                <w:sz w:val="13"/>
              </w:rPr>
            </w:pPr>
            <w:r>
              <w:rPr>
                <w:w w:val="105"/>
                <w:sz w:val="13"/>
              </w:rPr>
              <w:t>6.058,32</w:t>
            </w:r>
          </w:p>
        </w:tc>
        <w:tc>
          <w:tcPr>
            <w:tcW w:w="1699" w:type="dxa"/>
            <w:tcBorders>
              <w:top w:val="single" w:sz="4" w:space="0" w:color="000000"/>
              <w:right w:val="single" w:sz="4" w:space="0" w:color="000000"/>
            </w:tcBorders>
          </w:tcPr>
          <w:p>
            <w:pPr>
              <w:pStyle w:val="TableParagraph"/>
              <w:spacing w:before="16"/>
              <w:ind w:right="608"/>
              <w:jc w:val="right"/>
              <w:rPr>
                <w:sz w:val="13"/>
              </w:rPr>
            </w:pPr>
            <w:r>
              <w:rPr>
                <w:w w:val="105"/>
                <w:sz w:val="13"/>
              </w:rPr>
              <w:t>5.821,96</w:t>
            </w:r>
          </w:p>
        </w:tc>
      </w:tr>
      <w:tr>
        <w:trPr>
          <w:trHeight w:val="190" w:hRule="atLeast"/>
        </w:trPr>
        <w:tc>
          <w:tcPr>
            <w:tcW w:w="1157" w:type="dxa"/>
            <w:tcBorders>
              <w:left w:val="single" w:sz="4" w:space="0" w:color="000000"/>
              <w:right w:val="single" w:sz="4" w:space="0" w:color="000000"/>
            </w:tcBorders>
          </w:tcPr>
          <w:p>
            <w:pPr>
              <w:pStyle w:val="TableParagraph"/>
              <w:spacing w:before="4"/>
              <w:ind w:left="236"/>
              <w:rPr>
                <w:b/>
                <w:sz w:val="13"/>
              </w:rPr>
            </w:pPr>
            <w:r>
              <w:rPr>
                <w:b/>
                <w:w w:val="105"/>
                <w:sz w:val="13"/>
              </w:rPr>
              <w:t>ISTAC</w:t>
            </w:r>
          </w:p>
        </w:tc>
        <w:tc>
          <w:tcPr>
            <w:tcW w:w="1325" w:type="dxa"/>
            <w:tcBorders>
              <w:left w:val="single" w:sz="4" w:space="0" w:color="000000"/>
            </w:tcBorders>
          </w:tcPr>
          <w:p>
            <w:pPr>
              <w:pStyle w:val="TableParagraph"/>
              <w:spacing w:before="4"/>
              <w:ind w:right="376"/>
              <w:jc w:val="right"/>
              <w:rPr>
                <w:sz w:val="13"/>
              </w:rPr>
            </w:pPr>
            <w:r>
              <w:rPr>
                <w:sz w:val="13"/>
              </w:rPr>
              <w:t>332,74</w:t>
            </w:r>
          </w:p>
        </w:tc>
        <w:tc>
          <w:tcPr>
            <w:tcW w:w="1549" w:type="dxa"/>
            <w:tcBorders>
              <w:right w:val="single" w:sz="4" w:space="0" w:color="000000"/>
            </w:tcBorders>
          </w:tcPr>
          <w:p>
            <w:pPr>
              <w:pStyle w:val="TableParagraph"/>
              <w:spacing w:before="4"/>
              <w:ind w:right="607"/>
              <w:jc w:val="right"/>
              <w:rPr>
                <w:sz w:val="13"/>
              </w:rPr>
            </w:pPr>
            <w:r>
              <w:rPr>
                <w:sz w:val="13"/>
              </w:rPr>
              <w:t>0,00</w:t>
            </w:r>
          </w:p>
        </w:tc>
        <w:tc>
          <w:tcPr>
            <w:tcW w:w="1417" w:type="dxa"/>
            <w:tcBorders>
              <w:left w:val="single" w:sz="4" w:space="0" w:color="000000"/>
            </w:tcBorders>
          </w:tcPr>
          <w:p>
            <w:pPr>
              <w:pStyle w:val="TableParagraph"/>
              <w:spacing w:before="4"/>
              <w:ind w:right="460"/>
              <w:jc w:val="right"/>
              <w:rPr>
                <w:sz w:val="13"/>
              </w:rPr>
            </w:pPr>
            <w:r>
              <w:rPr>
                <w:w w:val="105"/>
                <w:sz w:val="13"/>
              </w:rPr>
              <w:t>3.124,12</w:t>
            </w:r>
          </w:p>
        </w:tc>
        <w:tc>
          <w:tcPr>
            <w:tcW w:w="1699" w:type="dxa"/>
            <w:tcBorders>
              <w:right w:val="single" w:sz="4" w:space="0" w:color="000000"/>
            </w:tcBorders>
          </w:tcPr>
          <w:p>
            <w:pPr>
              <w:pStyle w:val="TableParagraph"/>
              <w:spacing w:before="4"/>
              <w:ind w:right="608"/>
              <w:jc w:val="right"/>
              <w:rPr>
                <w:sz w:val="13"/>
              </w:rPr>
            </w:pPr>
            <w:r>
              <w:rPr>
                <w:w w:val="105"/>
                <w:sz w:val="13"/>
              </w:rPr>
              <w:t>2.354,09</w:t>
            </w:r>
          </w:p>
        </w:tc>
      </w:tr>
      <w:tr>
        <w:trPr>
          <w:trHeight w:val="190" w:hRule="atLeast"/>
        </w:trPr>
        <w:tc>
          <w:tcPr>
            <w:tcW w:w="1157" w:type="dxa"/>
            <w:tcBorders>
              <w:left w:val="single" w:sz="4" w:space="0" w:color="000000"/>
              <w:right w:val="single" w:sz="4" w:space="0" w:color="000000"/>
            </w:tcBorders>
          </w:tcPr>
          <w:p>
            <w:pPr>
              <w:pStyle w:val="TableParagraph"/>
              <w:spacing w:before="5"/>
              <w:ind w:left="236"/>
              <w:rPr>
                <w:b/>
                <w:sz w:val="13"/>
              </w:rPr>
            </w:pPr>
            <w:r>
              <w:rPr>
                <w:b/>
                <w:w w:val="105"/>
                <w:sz w:val="13"/>
              </w:rPr>
              <w:t>SCE</w:t>
            </w:r>
          </w:p>
        </w:tc>
        <w:tc>
          <w:tcPr>
            <w:tcW w:w="1325" w:type="dxa"/>
            <w:tcBorders>
              <w:left w:val="single" w:sz="4" w:space="0" w:color="000000"/>
            </w:tcBorders>
          </w:tcPr>
          <w:p>
            <w:pPr>
              <w:pStyle w:val="TableParagraph"/>
              <w:spacing w:before="5"/>
              <w:ind w:right="376"/>
              <w:jc w:val="right"/>
              <w:rPr>
                <w:sz w:val="13"/>
              </w:rPr>
            </w:pPr>
            <w:r>
              <w:rPr>
                <w:w w:val="105"/>
                <w:sz w:val="13"/>
              </w:rPr>
              <w:t>75.893,34</w:t>
            </w:r>
          </w:p>
        </w:tc>
        <w:tc>
          <w:tcPr>
            <w:tcW w:w="1549" w:type="dxa"/>
            <w:tcBorders>
              <w:right w:val="single" w:sz="4" w:space="0" w:color="000000"/>
            </w:tcBorders>
          </w:tcPr>
          <w:p>
            <w:pPr>
              <w:pStyle w:val="TableParagraph"/>
              <w:spacing w:before="5"/>
              <w:ind w:right="605"/>
              <w:jc w:val="right"/>
              <w:rPr>
                <w:sz w:val="13"/>
              </w:rPr>
            </w:pPr>
            <w:r>
              <w:rPr>
                <w:w w:val="105"/>
                <w:sz w:val="13"/>
              </w:rPr>
              <w:t>90.492,07</w:t>
            </w:r>
          </w:p>
        </w:tc>
        <w:tc>
          <w:tcPr>
            <w:tcW w:w="1417" w:type="dxa"/>
            <w:tcBorders>
              <w:left w:val="single" w:sz="4" w:space="0" w:color="000000"/>
            </w:tcBorders>
          </w:tcPr>
          <w:p>
            <w:pPr>
              <w:pStyle w:val="TableParagraph"/>
              <w:spacing w:before="5"/>
              <w:ind w:right="460"/>
              <w:jc w:val="right"/>
              <w:rPr>
                <w:sz w:val="13"/>
              </w:rPr>
            </w:pPr>
            <w:r>
              <w:rPr>
                <w:w w:val="105"/>
                <w:sz w:val="13"/>
              </w:rPr>
              <w:t>180.688,25</w:t>
            </w:r>
          </w:p>
        </w:tc>
        <w:tc>
          <w:tcPr>
            <w:tcW w:w="1699" w:type="dxa"/>
            <w:tcBorders>
              <w:right w:val="single" w:sz="4" w:space="0" w:color="000000"/>
            </w:tcBorders>
          </w:tcPr>
          <w:p>
            <w:pPr>
              <w:pStyle w:val="TableParagraph"/>
              <w:spacing w:before="5"/>
              <w:ind w:right="608"/>
              <w:jc w:val="right"/>
              <w:rPr>
                <w:sz w:val="13"/>
              </w:rPr>
            </w:pPr>
            <w:r>
              <w:rPr>
                <w:w w:val="105"/>
                <w:sz w:val="13"/>
              </w:rPr>
              <w:t>213.112,45</w:t>
            </w:r>
          </w:p>
        </w:tc>
      </w:tr>
      <w:tr>
        <w:trPr>
          <w:trHeight w:val="190" w:hRule="atLeast"/>
        </w:trPr>
        <w:tc>
          <w:tcPr>
            <w:tcW w:w="1157" w:type="dxa"/>
            <w:tcBorders>
              <w:left w:val="single" w:sz="4" w:space="0" w:color="000000"/>
              <w:right w:val="single" w:sz="4" w:space="0" w:color="000000"/>
            </w:tcBorders>
          </w:tcPr>
          <w:p>
            <w:pPr>
              <w:pStyle w:val="TableParagraph"/>
              <w:spacing w:before="5"/>
              <w:ind w:left="236"/>
              <w:rPr>
                <w:b/>
                <w:sz w:val="13"/>
              </w:rPr>
            </w:pPr>
            <w:r>
              <w:rPr>
                <w:b/>
                <w:w w:val="105"/>
                <w:sz w:val="13"/>
              </w:rPr>
              <w:t>ICIA</w:t>
            </w:r>
          </w:p>
        </w:tc>
        <w:tc>
          <w:tcPr>
            <w:tcW w:w="1325" w:type="dxa"/>
            <w:tcBorders>
              <w:left w:val="single" w:sz="4" w:space="0" w:color="000000"/>
            </w:tcBorders>
          </w:tcPr>
          <w:p>
            <w:pPr>
              <w:pStyle w:val="TableParagraph"/>
              <w:spacing w:before="5"/>
              <w:ind w:right="376"/>
              <w:jc w:val="right"/>
              <w:rPr>
                <w:sz w:val="13"/>
              </w:rPr>
            </w:pPr>
            <w:r>
              <w:rPr>
                <w:sz w:val="13"/>
              </w:rPr>
              <w:t>47,70</w:t>
            </w:r>
          </w:p>
        </w:tc>
        <w:tc>
          <w:tcPr>
            <w:tcW w:w="1549" w:type="dxa"/>
            <w:tcBorders>
              <w:right w:val="single" w:sz="4" w:space="0" w:color="000000"/>
            </w:tcBorders>
          </w:tcPr>
          <w:p>
            <w:pPr>
              <w:pStyle w:val="TableParagraph"/>
              <w:spacing w:before="5"/>
              <w:ind w:right="605"/>
              <w:jc w:val="right"/>
              <w:rPr>
                <w:sz w:val="13"/>
              </w:rPr>
            </w:pPr>
            <w:r>
              <w:rPr>
                <w:sz w:val="13"/>
              </w:rPr>
              <w:t>125,00</w:t>
            </w:r>
          </w:p>
        </w:tc>
        <w:tc>
          <w:tcPr>
            <w:tcW w:w="1417" w:type="dxa"/>
            <w:tcBorders>
              <w:left w:val="single" w:sz="4" w:space="0" w:color="000000"/>
            </w:tcBorders>
          </w:tcPr>
          <w:p>
            <w:pPr>
              <w:pStyle w:val="TableParagraph"/>
              <w:spacing w:before="5"/>
              <w:ind w:right="460"/>
              <w:jc w:val="right"/>
              <w:rPr>
                <w:sz w:val="13"/>
              </w:rPr>
            </w:pPr>
            <w:r>
              <w:rPr>
                <w:w w:val="105"/>
                <w:sz w:val="13"/>
              </w:rPr>
              <w:t>10.783,45</w:t>
            </w:r>
          </w:p>
        </w:tc>
        <w:tc>
          <w:tcPr>
            <w:tcW w:w="1699" w:type="dxa"/>
            <w:tcBorders>
              <w:right w:val="single" w:sz="4" w:space="0" w:color="000000"/>
            </w:tcBorders>
          </w:tcPr>
          <w:p>
            <w:pPr>
              <w:pStyle w:val="TableParagraph"/>
              <w:spacing w:before="5"/>
              <w:ind w:right="608"/>
              <w:jc w:val="right"/>
              <w:rPr>
                <w:sz w:val="13"/>
              </w:rPr>
            </w:pPr>
            <w:r>
              <w:rPr>
                <w:w w:val="105"/>
                <w:sz w:val="13"/>
              </w:rPr>
              <w:t>8.475,34</w:t>
            </w:r>
          </w:p>
        </w:tc>
      </w:tr>
      <w:tr>
        <w:trPr>
          <w:trHeight w:val="179" w:hRule="atLeast"/>
        </w:trPr>
        <w:tc>
          <w:tcPr>
            <w:tcW w:w="1157" w:type="dxa"/>
            <w:tcBorders>
              <w:left w:val="single" w:sz="4" w:space="0" w:color="000000"/>
              <w:right w:val="single" w:sz="4" w:space="0" w:color="000000"/>
            </w:tcBorders>
          </w:tcPr>
          <w:p>
            <w:pPr>
              <w:pStyle w:val="TableParagraph"/>
              <w:spacing w:line="154" w:lineRule="exact" w:before="5"/>
              <w:ind w:left="236"/>
              <w:rPr>
                <w:b/>
                <w:sz w:val="13"/>
              </w:rPr>
            </w:pPr>
            <w:r>
              <w:rPr>
                <w:b/>
                <w:w w:val="105"/>
                <w:sz w:val="13"/>
              </w:rPr>
              <w:t>ICHH</w:t>
            </w:r>
          </w:p>
        </w:tc>
        <w:tc>
          <w:tcPr>
            <w:tcW w:w="1325" w:type="dxa"/>
            <w:tcBorders>
              <w:left w:val="single" w:sz="4" w:space="0" w:color="000000"/>
            </w:tcBorders>
          </w:tcPr>
          <w:p>
            <w:pPr>
              <w:pStyle w:val="TableParagraph"/>
              <w:spacing w:line="154" w:lineRule="exact" w:before="5"/>
              <w:ind w:right="376"/>
              <w:jc w:val="right"/>
              <w:rPr>
                <w:sz w:val="13"/>
              </w:rPr>
            </w:pPr>
            <w:r>
              <w:rPr>
                <w:sz w:val="13"/>
              </w:rPr>
              <w:t>107,82</w:t>
            </w:r>
          </w:p>
        </w:tc>
        <w:tc>
          <w:tcPr>
            <w:tcW w:w="1549" w:type="dxa"/>
            <w:tcBorders>
              <w:right w:val="single" w:sz="4" w:space="0" w:color="000000"/>
            </w:tcBorders>
          </w:tcPr>
          <w:p>
            <w:pPr>
              <w:pStyle w:val="TableParagraph"/>
              <w:spacing w:line="154" w:lineRule="exact" w:before="5"/>
              <w:ind w:right="607"/>
              <w:jc w:val="right"/>
              <w:rPr>
                <w:sz w:val="13"/>
              </w:rPr>
            </w:pPr>
            <w:r>
              <w:rPr>
                <w:sz w:val="13"/>
              </w:rPr>
              <w:t>0,00</w:t>
            </w:r>
          </w:p>
        </w:tc>
        <w:tc>
          <w:tcPr>
            <w:tcW w:w="1417" w:type="dxa"/>
            <w:tcBorders>
              <w:left w:val="single" w:sz="4" w:space="0" w:color="000000"/>
            </w:tcBorders>
          </w:tcPr>
          <w:p>
            <w:pPr>
              <w:pStyle w:val="TableParagraph"/>
              <w:spacing w:line="154" w:lineRule="exact" w:before="5"/>
              <w:ind w:right="460"/>
              <w:jc w:val="right"/>
              <w:rPr>
                <w:sz w:val="13"/>
              </w:rPr>
            </w:pPr>
            <w:r>
              <w:rPr>
                <w:w w:val="105"/>
                <w:sz w:val="13"/>
              </w:rPr>
              <w:t>-2.242,99</w:t>
            </w:r>
          </w:p>
        </w:tc>
        <w:tc>
          <w:tcPr>
            <w:tcW w:w="1699" w:type="dxa"/>
            <w:tcBorders>
              <w:right w:val="single" w:sz="4" w:space="0" w:color="000000"/>
            </w:tcBorders>
          </w:tcPr>
          <w:p>
            <w:pPr>
              <w:pStyle w:val="TableParagraph"/>
              <w:spacing w:line="154" w:lineRule="exact" w:before="5"/>
              <w:ind w:right="608"/>
              <w:jc w:val="right"/>
              <w:rPr>
                <w:sz w:val="13"/>
              </w:rPr>
            </w:pPr>
            <w:r>
              <w:rPr>
                <w:w w:val="105"/>
                <w:sz w:val="13"/>
              </w:rPr>
              <w:t>-4.480,80</w:t>
            </w:r>
          </w:p>
        </w:tc>
      </w:tr>
      <w:tr>
        <w:trPr>
          <w:trHeight w:val="189" w:hRule="atLeast"/>
        </w:trPr>
        <w:tc>
          <w:tcPr>
            <w:tcW w:w="1157" w:type="dxa"/>
            <w:tcBorders>
              <w:left w:val="single" w:sz="4" w:space="0" w:color="000000"/>
              <w:right w:val="single" w:sz="4" w:space="0" w:color="000000"/>
            </w:tcBorders>
            <w:shd w:val="clear" w:color="auto" w:fill="F1F1F1"/>
          </w:tcPr>
          <w:p>
            <w:pPr>
              <w:pStyle w:val="TableParagraph"/>
              <w:spacing w:line="154" w:lineRule="exact" w:before="15"/>
              <w:ind w:left="236"/>
              <w:rPr>
                <w:b/>
                <w:sz w:val="13"/>
              </w:rPr>
            </w:pPr>
            <w:r>
              <w:rPr>
                <w:b/>
                <w:w w:val="105"/>
                <w:sz w:val="13"/>
              </w:rPr>
              <w:t>SCS</w:t>
            </w:r>
          </w:p>
        </w:tc>
        <w:tc>
          <w:tcPr>
            <w:tcW w:w="1325" w:type="dxa"/>
            <w:tcBorders>
              <w:left w:val="single" w:sz="4" w:space="0" w:color="000000"/>
            </w:tcBorders>
            <w:shd w:val="clear" w:color="auto" w:fill="F1F1F1"/>
          </w:tcPr>
          <w:p>
            <w:pPr>
              <w:pStyle w:val="TableParagraph"/>
              <w:spacing w:line="154" w:lineRule="exact" w:before="15"/>
              <w:ind w:right="377"/>
              <w:jc w:val="right"/>
              <w:rPr>
                <w:b/>
                <w:sz w:val="13"/>
              </w:rPr>
            </w:pPr>
            <w:r>
              <w:rPr>
                <w:b/>
                <w:w w:val="105"/>
                <w:sz w:val="13"/>
              </w:rPr>
              <w:t>80.326,56</w:t>
            </w:r>
          </w:p>
        </w:tc>
        <w:tc>
          <w:tcPr>
            <w:tcW w:w="1549" w:type="dxa"/>
            <w:tcBorders>
              <w:right w:val="single" w:sz="4" w:space="0" w:color="000000"/>
            </w:tcBorders>
            <w:shd w:val="clear" w:color="auto" w:fill="F1F1F1"/>
          </w:tcPr>
          <w:p>
            <w:pPr>
              <w:pStyle w:val="TableParagraph"/>
              <w:spacing w:line="154" w:lineRule="exact" w:before="15"/>
              <w:ind w:right="605"/>
              <w:jc w:val="right"/>
              <w:rPr>
                <w:b/>
                <w:sz w:val="13"/>
              </w:rPr>
            </w:pPr>
            <w:r>
              <w:rPr>
                <w:b/>
                <w:w w:val="105"/>
                <w:sz w:val="13"/>
              </w:rPr>
              <w:t>50.964,59</w:t>
            </w:r>
          </w:p>
        </w:tc>
        <w:tc>
          <w:tcPr>
            <w:tcW w:w="1417" w:type="dxa"/>
            <w:tcBorders>
              <w:left w:val="single" w:sz="4" w:space="0" w:color="000000"/>
            </w:tcBorders>
            <w:shd w:val="clear" w:color="auto" w:fill="F1F1F1"/>
          </w:tcPr>
          <w:p>
            <w:pPr>
              <w:pStyle w:val="TableParagraph"/>
              <w:spacing w:line="154" w:lineRule="exact" w:before="15"/>
              <w:ind w:right="459"/>
              <w:jc w:val="right"/>
              <w:rPr>
                <w:b/>
                <w:sz w:val="13"/>
              </w:rPr>
            </w:pPr>
            <w:r>
              <w:rPr>
                <w:b/>
                <w:w w:val="105"/>
                <w:sz w:val="13"/>
              </w:rPr>
              <w:t>-160.539,86</w:t>
            </w:r>
          </w:p>
        </w:tc>
        <w:tc>
          <w:tcPr>
            <w:tcW w:w="1699" w:type="dxa"/>
            <w:tcBorders>
              <w:right w:val="single" w:sz="4" w:space="0" w:color="000000"/>
            </w:tcBorders>
            <w:shd w:val="clear" w:color="auto" w:fill="F1F1F1"/>
          </w:tcPr>
          <w:p>
            <w:pPr>
              <w:pStyle w:val="TableParagraph"/>
              <w:spacing w:line="154" w:lineRule="exact" w:before="15"/>
              <w:ind w:right="608"/>
              <w:jc w:val="right"/>
              <w:rPr>
                <w:b/>
                <w:sz w:val="13"/>
              </w:rPr>
            </w:pPr>
            <w:r>
              <w:rPr>
                <w:b/>
                <w:w w:val="105"/>
                <w:sz w:val="13"/>
              </w:rPr>
              <w:t>-32.272,38</w:t>
            </w:r>
          </w:p>
        </w:tc>
      </w:tr>
      <w:tr>
        <w:trPr>
          <w:trHeight w:val="203" w:hRule="atLeast"/>
        </w:trPr>
        <w:tc>
          <w:tcPr>
            <w:tcW w:w="1157" w:type="dxa"/>
            <w:tcBorders>
              <w:left w:val="single" w:sz="4" w:space="0" w:color="000000"/>
              <w:right w:val="single" w:sz="4" w:space="0" w:color="000000"/>
            </w:tcBorders>
          </w:tcPr>
          <w:p>
            <w:pPr>
              <w:pStyle w:val="TableParagraph"/>
              <w:spacing w:before="17"/>
              <w:ind w:left="236"/>
              <w:rPr>
                <w:b/>
                <w:sz w:val="13"/>
              </w:rPr>
            </w:pPr>
            <w:r>
              <w:rPr>
                <w:b/>
                <w:w w:val="105"/>
                <w:sz w:val="13"/>
              </w:rPr>
              <w:t>ACCUEE</w:t>
            </w:r>
          </w:p>
        </w:tc>
        <w:tc>
          <w:tcPr>
            <w:tcW w:w="1325" w:type="dxa"/>
            <w:tcBorders>
              <w:left w:val="single" w:sz="4" w:space="0" w:color="000000"/>
            </w:tcBorders>
          </w:tcPr>
          <w:p>
            <w:pPr>
              <w:pStyle w:val="TableParagraph"/>
              <w:spacing w:before="17"/>
              <w:ind w:right="376"/>
              <w:jc w:val="right"/>
              <w:rPr>
                <w:sz w:val="13"/>
              </w:rPr>
            </w:pPr>
            <w:r>
              <w:rPr>
                <w:sz w:val="13"/>
              </w:rPr>
              <w:t>0,00</w:t>
            </w:r>
          </w:p>
        </w:tc>
        <w:tc>
          <w:tcPr>
            <w:tcW w:w="1549" w:type="dxa"/>
            <w:tcBorders>
              <w:right w:val="single" w:sz="4" w:space="0" w:color="000000"/>
            </w:tcBorders>
          </w:tcPr>
          <w:p>
            <w:pPr>
              <w:pStyle w:val="TableParagraph"/>
              <w:spacing w:before="17"/>
              <w:ind w:right="607"/>
              <w:jc w:val="right"/>
              <w:rPr>
                <w:sz w:val="13"/>
              </w:rPr>
            </w:pPr>
            <w:r>
              <w:rPr>
                <w:sz w:val="13"/>
              </w:rPr>
              <w:t>0,00</w:t>
            </w:r>
          </w:p>
        </w:tc>
        <w:tc>
          <w:tcPr>
            <w:tcW w:w="1417" w:type="dxa"/>
            <w:tcBorders>
              <w:left w:val="single" w:sz="4" w:space="0" w:color="000000"/>
            </w:tcBorders>
          </w:tcPr>
          <w:p>
            <w:pPr>
              <w:pStyle w:val="TableParagraph"/>
              <w:spacing w:before="17"/>
              <w:ind w:right="460"/>
              <w:jc w:val="right"/>
              <w:rPr>
                <w:sz w:val="13"/>
              </w:rPr>
            </w:pPr>
            <w:r>
              <w:rPr>
                <w:w w:val="105"/>
                <w:sz w:val="13"/>
              </w:rPr>
              <w:t>1.716,28</w:t>
            </w:r>
          </w:p>
        </w:tc>
        <w:tc>
          <w:tcPr>
            <w:tcW w:w="1699" w:type="dxa"/>
            <w:tcBorders>
              <w:right w:val="single" w:sz="4" w:space="0" w:color="000000"/>
            </w:tcBorders>
          </w:tcPr>
          <w:p>
            <w:pPr>
              <w:pStyle w:val="TableParagraph"/>
              <w:spacing w:before="17"/>
              <w:ind w:right="608"/>
              <w:jc w:val="right"/>
              <w:rPr>
                <w:sz w:val="13"/>
              </w:rPr>
            </w:pPr>
            <w:r>
              <w:rPr>
                <w:w w:val="105"/>
                <w:sz w:val="13"/>
              </w:rPr>
              <w:t>1.471,95</w:t>
            </w:r>
          </w:p>
        </w:tc>
      </w:tr>
      <w:tr>
        <w:trPr>
          <w:trHeight w:val="190" w:hRule="atLeast"/>
        </w:trPr>
        <w:tc>
          <w:tcPr>
            <w:tcW w:w="1157" w:type="dxa"/>
            <w:tcBorders>
              <w:left w:val="single" w:sz="4" w:space="0" w:color="000000"/>
              <w:right w:val="single" w:sz="4" w:space="0" w:color="000000"/>
            </w:tcBorders>
          </w:tcPr>
          <w:p>
            <w:pPr>
              <w:pStyle w:val="TableParagraph"/>
              <w:spacing w:before="5"/>
              <w:ind w:left="236"/>
              <w:rPr>
                <w:b/>
                <w:sz w:val="13"/>
              </w:rPr>
            </w:pPr>
            <w:r>
              <w:rPr>
                <w:b/>
                <w:w w:val="105"/>
                <w:sz w:val="13"/>
              </w:rPr>
              <w:t>ICAVI</w:t>
            </w:r>
          </w:p>
        </w:tc>
        <w:tc>
          <w:tcPr>
            <w:tcW w:w="1325" w:type="dxa"/>
            <w:tcBorders>
              <w:left w:val="single" w:sz="4" w:space="0" w:color="000000"/>
            </w:tcBorders>
          </w:tcPr>
          <w:p>
            <w:pPr>
              <w:pStyle w:val="TableParagraph"/>
              <w:spacing w:before="5"/>
              <w:ind w:right="376"/>
              <w:jc w:val="right"/>
              <w:rPr>
                <w:sz w:val="13"/>
              </w:rPr>
            </w:pPr>
            <w:r>
              <w:rPr>
                <w:w w:val="105"/>
                <w:sz w:val="13"/>
              </w:rPr>
              <w:t>104.213,79</w:t>
            </w:r>
          </w:p>
        </w:tc>
        <w:tc>
          <w:tcPr>
            <w:tcW w:w="1549" w:type="dxa"/>
            <w:tcBorders>
              <w:right w:val="single" w:sz="4" w:space="0" w:color="000000"/>
            </w:tcBorders>
          </w:tcPr>
          <w:p>
            <w:pPr>
              <w:pStyle w:val="TableParagraph"/>
              <w:spacing w:before="5"/>
              <w:ind w:right="605"/>
              <w:jc w:val="right"/>
              <w:rPr>
                <w:sz w:val="13"/>
              </w:rPr>
            </w:pPr>
            <w:r>
              <w:rPr>
                <w:w w:val="105"/>
                <w:sz w:val="13"/>
              </w:rPr>
              <w:t>76.277,64</w:t>
            </w:r>
          </w:p>
        </w:tc>
        <w:tc>
          <w:tcPr>
            <w:tcW w:w="1417" w:type="dxa"/>
            <w:tcBorders>
              <w:left w:val="single" w:sz="4" w:space="0" w:color="000000"/>
            </w:tcBorders>
          </w:tcPr>
          <w:p>
            <w:pPr>
              <w:pStyle w:val="TableParagraph"/>
              <w:spacing w:before="5"/>
              <w:ind w:right="460"/>
              <w:jc w:val="right"/>
              <w:rPr>
                <w:sz w:val="13"/>
              </w:rPr>
            </w:pPr>
            <w:r>
              <w:rPr>
                <w:w w:val="105"/>
                <w:sz w:val="13"/>
              </w:rPr>
              <w:t>139.360,51</w:t>
            </w:r>
          </w:p>
        </w:tc>
        <w:tc>
          <w:tcPr>
            <w:tcW w:w="1699" w:type="dxa"/>
            <w:tcBorders>
              <w:right w:val="single" w:sz="4" w:space="0" w:color="000000"/>
            </w:tcBorders>
          </w:tcPr>
          <w:p>
            <w:pPr>
              <w:pStyle w:val="TableParagraph"/>
              <w:spacing w:before="5"/>
              <w:ind w:right="608"/>
              <w:jc w:val="right"/>
              <w:rPr>
                <w:sz w:val="13"/>
              </w:rPr>
            </w:pPr>
            <w:r>
              <w:rPr>
                <w:w w:val="105"/>
                <w:sz w:val="13"/>
              </w:rPr>
              <w:t>126.248,40</w:t>
            </w:r>
          </w:p>
        </w:tc>
      </w:tr>
      <w:tr>
        <w:trPr>
          <w:trHeight w:val="183" w:hRule="atLeast"/>
        </w:trPr>
        <w:tc>
          <w:tcPr>
            <w:tcW w:w="1157" w:type="dxa"/>
            <w:tcBorders>
              <w:left w:val="single" w:sz="4" w:space="0" w:color="000000"/>
              <w:right w:val="single" w:sz="4" w:space="0" w:color="000000"/>
            </w:tcBorders>
          </w:tcPr>
          <w:p>
            <w:pPr>
              <w:pStyle w:val="TableParagraph"/>
              <w:spacing w:before="4"/>
              <w:ind w:left="236"/>
              <w:rPr>
                <w:b/>
                <w:sz w:val="13"/>
              </w:rPr>
            </w:pPr>
            <w:r>
              <w:rPr>
                <w:b/>
                <w:w w:val="105"/>
                <w:sz w:val="13"/>
              </w:rPr>
              <w:t>ICCA</w:t>
            </w:r>
          </w:p>
        </w:tc>
        <w:tc>
          <w:tcPr>
            <w:tcW w:w="1325" w:type="dxa"/>
            <w:tcBorders>
              <w:left w:val="single" w:sz="4" w:space="0" w:color="000000"/>
            </w:tcBorders>
          </w:tcPr>
          <w:p>
            <w:pPr>
              <w:pStyle w:val="TableParagraph"/>
              <w:spacing w:before="4"/>
              <w:ind w:right="376"/>
              <w:jc w:val="right"/>
              <w:rPr>
                <w:sz w:val="13"/>
              </w:rPr>
            </w:pPr>
            <w:r>
              <w:rPr>
                <w:sz w:val="13"/>
              </w:rPr>
              <w:t>0,00</w:t>
            </w:r>
          </w:p>
        </w:tc>
        <w:tc>
          <w:tcPr>
            <w:tcW w:w="1549" w:type="dxa"/>
            <w:tcBorders>
              <w:right w:val="single" w:sz="4" w:space="0" w:color="000000"/>
            </w:tcBorders>
          </w:tcPr>
          <w:p>
            <w:pPr>
              <w:pStyle w:val="TableParagraph"/>
              <w:spacing w:before="4"/>
              <w:ind w:right="607"/>
              <w:jc w:val="right"/>
              <w:rPr>
                <w:sz w:val="13"/>
              </w:rPr>
            </w:pPr>
            <w:r>
              <w:rPr>
                <w:sz w:val="13"/>
              </w:rPr>
              <w:t>0,00</w:t>
            </w:r>
          </w:p>
        </w:tc>
        <w:tc>
          <w:tcPr>
            <w:tcW w:w="1417" w:type="dxa"/>
            <w:tcBorders>
              <w:left w:val="single" w:sz="4" w:space="0" w:color="000000"/>
            </w:tcBorders>
          </w:tcPr>
          <w:p>
            <w:pPr>
              <w:pStyle w:val="TableParagraph"/>
              <w:spacing w:before="4"/>
              <w:ind w:right="460"/>
              <w:jc w:val="right"/>
              <w:rPr>
                <w:sz w:val="13"/>
              </w:rPr>
            </w:pPr>
            <w:r>
              <w:rPr>
                <w:w w:val="105"/>
                <w:sz w:val="13"/>
              </w:rPr>
              <w:t>9.005,50</w:t>
            </w:r>
          </w:p>
        </w:tc>
        <w:tc>
          <w:tcPr>
            <w:tcW w:w="1699" w:type="dxa"/>
            <w:tcBorders>
              <w:right w:val="single" w:sz="4" w:space="0" w:color="000000"/>
            </w:tcBorders>
          </w:tcPr>
          <w:p>
            <w:pPr>
              <w:pStyle w:val="TableParagraph"/>
              <w:spacing w:before="4"/>
              <w:ind w:right="608"/>
              <w:jc w:val="right"/>
              <w:rPr>
                <w:sz w:val="13"/>
              </w:rPr>
            </w:pPr>
            <w:r>
              <w:rPr>
                <w:w w:val="105"/>
                <w:sz w:val="13"/>
              </w:rPr>
              <w:t>6.937,92</w:t>
            </w:r>
          </w:p>
        </w:tc>
      </w:tr>
      <w:tr>
        <w:trPr>
          <w:trHeight w:val="185" w:hRule="atLeast"/>
        </w:trPr>
        <w:tc>
          <w:tcPr>
            <w:tcW w:w="1157" w:type="dxa"/>
            <w:tcBorders>
              <w:left w:val="single" w:sz="4" w:space="0" w:color="000000"/>
              <w:bottom w:val="single" w:sz="4" w:space="0" w:color="000000"/>
              <w:right w:val="single" w:sz="4" w:space="0" w:color="000000"/>
            </w:tcBorders>
          </w:tcPr>
          <w:p>
            <w:pPr>
              <w:pStyle w:val="TableParagraph"/>
              <w:spacing w:line="153" w:lineRule="exact" w:before="12"/>
              <w:ind w:left="236"/>
              <w:rPr>
                <w:b/>
                <w:sz w:val="13"/>
              </w:rPr>
            </w:pPr>
            <w:r>
              <w:rPr>
                <w:b/>
                <w:w w:val="105"/>
                <w:sz w:val="13"/>
              </w:rPr>
              <w:t>RTVC</w:t>
            </w:r>
          </w:p>
        </w:tc>
        <w:tc>
          <w:tcPr>
            <w:tcW w:w="1325" w:type="dxa"/>
            <w:tcBorders>
              <w:left w:val="single" w:sz="4" w:space="0" w:color="000000"/>
              <w:bottom w:val="single" w:sz="4" w:space="0" w:color="000000"/>
            </w:tcBorders>
          </w:tcPr>
          <w:p>
            <w:pPr>
              <w:pStyle w:val="TableParagraph"/>
              <w:spacing w:line="153" w:lineRule="exact" w:before="12"/>
              <w:ind w:right="376"/>
              <w:jc w:val="right"/>
              <w:rPr>
                <w:sz w:val="13"/>
              </w:rPr>
            </w:pPr>
            <w:r>
              <w:rPr>
                <w:sz w:val="13"/>
              </w:rPr>
              <w:t>0,00</w:t>
            </w:r>
          </w:p>
        </w:tc>
        <w:tc>
          <w:tcPr>
            <w:tcW w:w="1549" w:type="dxa"/>
            <w:tcBorders>
              <w:bottom w:val="single" w:sz="4" w:space="0" w:color="000000"/>
              <w:right w:val="single" w:sz="4" w:space="0" w:color="000000"/>
            </w:tcBorders>
          </w:tcPr>
          <w:p>
            <w:pPr>
              <w:pStyle w:val="TableParagraph"/>
              <w:spacing w:line="157" w:lineRule="exact"/>
              <w:ind w:right="607"/>
              <w:jc w:val="right"/>
              <w:rPr>
                <w:sz w:val="13"/>
              </w:rPr>
            </w:pPr>
            <w:r>
              <w:rPr>
                <w:sz w:val="13"/>
              </w:rPr>
              <w:t>0,00</w:t>
            </w:r>
          </w:p>
        </w:tc>
        <w:tc>
          <w:tcPr>
            <w:tcW w:w="1417" w:type="dxa"/>
            <w:tcBorders>
              <w:left w:val="single" w:sz="4" w:space="0" w:color="000000"/>
              <w:bottom w:val="single" w:sz="4" w:space="0" w:color="000000"/>
            </w:tcBorders>
          </w:tcPr>
          <w:p>
            <w:pPr>
              <w:pStyle w:val="TableParagraph"/>
              <w:spacing w:line="153" w:lineRule="exact" w:before="12"/>
              <w:ind w:right="460"/>
              <w:jc w:val="right"/>
              <w:rPr>
                <w:sz w:val="13"/>
              </w:rPr>
            </w:pPr>
            <w:r>
              <w:rPr>
                <w:w w:val="105"/>
                <w:sz w:val="13"/>
              </w:rPr>
              <w:t>2.730,20</w:t>
            </w:r>
          </w:p>
        </w:tc>
        <w:tc>
          <w:tcPr>
            <w:tcW w:w="1699" w:type="dxa"/>
            <w:tcBorders>
              <w:bottom w:val="single" w:sz="4" w:space="0" w:color="000000"/>
              <w:right w:val="single" w:sz="4" w:space="0" w:color="000000"/>
            </w:tcBorders>
          </w:tcPr>
          <w:p>
            <w:pPr>
              <w:pStyle w:val="TableParagraph"/>
              <w:spacing w:line="153" w:lineRule="exact" w:before="12"/>
              <w:ind w:right="608"/>
              <w:jc w:val="right"/>
              <w:rPr>
                <w:sz w:val="13"/>
              </w:rPr>
            </w:pPr>
            <w:r>
              <w:rPr>
                <w:w w:val="105"/>
                <w:sz w:val="13"/>
              </w:rPr>
              <w:t>2.597,90</w:t>
            </w:r>
          </w:p>
        </w:tc>
      </w:tr>
    </w:tbl>
    <w:p>
      <w:pPr>
        <w:pStyle w:val="BodyText"/>
        <w:spacing w:before="114"/>
        <w:ind w:left="7897"/>
        <w:jc w:val="center"/>
      </w:pPr>
      <w:r>
        <w:rPr/>
        <w:t>72</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55" name="image5.png"/>
                  <wp:cNvGraphicFramePr>
                    <a:graphicFrameLocks noChangeAspect="1"/>
                  </wp:cNvGraphicFramePr>
                  <a:graphic>
                    <a:graphicData uri="http://schemas.openxmlformats.org/drawingml/2006/picture">
                      <pic:pic>
                        <pic:nvPicPr>
                          <pic:cNvPr id="15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74/247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2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7"/>
        <w:gridCol w:w="1291"/>
        <w:gridCol w:w="1582"/>
        <w:gridCol w:w="1416"/>
        <w:gridCol w:w="1701"/>
      </w:tblGrid>
      <w:tr>
        <w:trPr>
          <w:trHeight w:val="378" w:hRule="atLeast"/>
        </w:trPr>
        <w:tc>
          <w:tcPr>
            <w:tcW w:w="1157" w:type="dxa"/>
          </w:tcPr>
          <w:p>
            <w:pPr>
              <w:pStyle w:val="TableParagraph"/>
              <w:rPr>
                <w:rFonts w:ascii="Times New Roman"/>
                <w:sz w:val="16"/>
              </w:rPr>
            </w:pPr>
          </w:p>
        </w:tc>
        <w:tc>
          <w:tcPr>
            <w:tcW w:w="2873" w:type="dxa"/>
            <w:gridSpan w:val="2"/>
            <w:shd w:val="clear" w:color="auto" w:fill="DEEAF6"/>
          </w:tcPr>
          <w:p>
            <w:pPr>
              <w:pStyle w:val="TableParagraph"/>
              <w:spacing w:before="16"/>
              <w:ind w:left="637"/>
              <w:rPr>
                <w:b/>
                <w:sz w:val="13"/>
              </w:rPr>
            </w:pPr>
            <w:r>
              <w:rPr>
                <w:b/>
                <w:w w:val="105"/>
                <w:sz w:val="13"/>
              </w:rPr>
              <w:t>Exceso financiación afectada</w:t>
            </w:r>
          </w:p>
          <w:p>
            <w:pPr>
              <w:pStyle w:val="TableParagraph"/>
              <w:tabs>
                <w:tab w:pos="2026" w:val="left" w:leader="none"/>
              </w:tabs>
              <w:spacing w:line="153" w:lineRule="exact" w:before="31"/>
              <w:ind w:left="589"/>
              <w:rPr>
                <w:b/>
                <w:sz w:val="13"/>
              </w:rPr>
            </w:pPr>
            <w:r>
              <w:rPr>
                <w:b/>
                <w:w w:val="105"/>
                <w:sz w:val="13"/>
              </w:rPr>
              <w:t>2022</w:t>
              <w:tab/>
              <w:t>2021</w:t>
            </w:r>
          </w:p>
        </w:tc>
        <w:tc>
          <w:tcPr>
            <w:tcW w:w="3117" w:type="dxa"/>
            <w:gridSpan w:val="2"/>
            <w:shd w:val="clear" w:color="auto" w:fill="DEEAF6"/>
          </w:tcPr>
          <w:p>
            <w:pPr>
              <w:pStyle w:val="TableParagraph"/>
              <w:spacing w:before="16"/>
              <w:ind w:left="4"/>
              <w:jc w:val="center"/>
              <w:rPr>
                <w:b/>
                <w:sz w:val="13"/>
              </w:rPr>
            </w:pPr>
            <w:r>
              <w:rPr>
                <w:b/>
                <w:w w:val="105"/>
                <w:sz w:val="13"/>
              </w:rPr>
              <w:t>Remanente de Tesorería de libre disposición</w:t>
            </w:r>
          </w:p>
          <w:p>
            <w:pPr>
              <w:pStyle w:val="TableParagraph"/>
              <w:tabs>
                <w:tab w:pos="1576" w:val="left" w:leader="none"/>
              </w:tabs>
              <w:spacing w:line="153" w:lineRule="exact" w:before="31"/>
              <w:ind w:left="18"/>
              <w:jc w:val="center"/>
              <w:rPr>
                <w:b/>
                <w:sz w:val="13"/>
              </w:rPr>
            </w:pPr>
            <w:r>
              <w:rPr>
                <w:b/>
                <w:w w:val="105"/>
                <w:sz w:val="13"/>
              </w:rPr>
              <w:t>2022</w:t>
              <w:tab/>
              <w:t>2021</w:t>
            </w:r>
          </w:p>
        </w:tc>
      </w:tr>
      <w:tr>
        <w:trPr>
          <w:trHeight w:val="194" w:hRule="atLeast"/>
        </w:trPr>
        <w:tc>
          <w:tcPr>
            <w:tcW w:w="1157" w:type="dxa"/>
            <w:tcBorders>
              <w:bottom w:val="nil"/>
            </w:tcBorders>
          </w:tcPr>
          <w:p>
            <w:pPr>
              <w:pStyle w:val="TableParagraph"/>
              <w:spacing w:before="16"/>
              <w:ind w:left="236"/>
              <w:rPr>
                <w:b/>
                <w:sz w:val="13"/>
              </w:rPr>
            </w:pPr>
            <w:r>
              <w:rPr>
                <w:b/>
                <w:w w:val="105"/>
                <w:sz w:val="13"/>
              </w:rPr>
              <w:t>APMN</w:t>
            </w:r>
          </w:p>
        </w:tc>
        <w:tc>
          <w:tcPr>
            <w:tcW w:w="1291" w:type="dxa"/>
            <w:tcBorders>
              <w:bottom w:val="nil"/>
              <w:right w:val="nil"/>
            </w:tcBorders>
          </w:tcPr>
          <w:p>
            <w:pPr>
              <w:pStyle w:val="TableParagraph"/>
              <w:spacing w:before="16"/>
              <w:ind w:right="342"/>
              <w:jc w:val="right"/>
              <w:rPr>
                <w:sz w:val="13"/>
              </w:rPr>
            </w:pPr>
            <w:r>
              <w:rPr>
                <w:sz w:val="13"/>
              </w:rPr>
              <w:t>0,00</w:t>
            </w:r>
          </w:p>
        </w:tc>
        <w:tc>
          <w:tcPr>
            <w:tcW w:w="1582" w:type="dxa"/>
            <w:tcBorders>
              <w:left w:val="nil"/>
              <w:bottom w:val="nil"/>
            </w:tcBorders>
          </w:tcPr>
          <w:p>
            <w:pPr>
              <w:pStyle w:val="TableParagraph"/>
              <w:spacing w:before="4"/>
              <w:ind w:right="606"/>
              <w:jc w:val="right"/>
              <w:rPr>
                <w:sz w:val="13"/>
              </w:rPr>
            </w:pPr>
            <w:r>
              <w:rPr>
                <w:sz w:val="13"/>
              </w:rPr>
              <w:t>0,00</w:t>
            </w:r>
          </w:p>
        </w:tc>
        <w:tc>
          <w:tcPr>
            <w:tcW w:w="1416" w:type="dxa"/>
            <w:tcBorders>
              <w:bottom w:val="nil"/>
              <w:right w:val="nil"/>
            </w:tcBorders>
          </w:tcPr>
          <w:p>
            <w:pPr>
              <w:pStyle w:val="TableParagraph"/>
              <w:spacing w:before="16"/>
              <w:ind w:right="458"/>
              <w:jc w:val="right"/>
              <w:rPr>
                <w:sz w:val="13"/>
              </w:rPr>
            </w:pPr>
            <w:r>
              <w:rPr>
                <w:w w:val="105"/>
                <w:sz w:val="13"/>
              </w:rPr>
              <w:t>43.510,03</w:t>
            </w:r>
          </w:p>
        </w:tc>
        <w:tc>
          <w:tcPr>
            <w:tcW w:w="1701" w:type="dxa"/>
            <w:tcBorders>
              <w:left w:val="nil"/>
              <w:bottom w:val="nil"/>
            </w:tcBorders>
          </w:tcPr>
          <w:p>
            <w:pPr>
              <w:pStyle w:val="TableParagraph"/>
              <w:spacing w:before="16"/>
              <w:ind w:right="608"/>
              <w:jc w:val="right"/>
              <w:rPr>
                <w:sz w:val="13"/>
              </w:rPr>
            </w:pPr>
            <w:r>
              <w:rPr>
                <w:w w:val="105"/>
                <w:sz w:val="13"/>
              </w:rPr>
              <w:t>40.526,00</w:t>
            </w:r>
          </w:p>
        </w:tc>
      </w:tr>
      <w:tr>
        <w:trPr>
          <w:trHeight w:val="191" w:hRule="atLeast"/>
        </w:trPr>
        <w:tc>
          <w:tcPr>
            <w:tcW w:w="1157" w:type="dxa"/>
            <w:tcBorders>
              <w:top w:val="nil"/>
              <w:bottom w:val="nil"/>
            </w:tcBorders>
          </w:tcPr>
          <w:p>
            <w:pPr>
              <w:pStyle w:val="TableParagraph"/>
              <w:spacing w:before="12"/>
              <w:ind w:left="236"/>
              <w:rPr>
                <w:b/>
                <w:sz w:val="13"/>
              </w:rPr>
            </w:pPr>
            <w:r>
              <w:rPr>
                <w:b/>
                <w:w w:val="105"/>
                <w:sz w:val="13"/>
              </w:rPr>
              <w:t>ATC</w:t>
            </w:r>
          </w:p>
        </w:tc>
        <w:tc>
          <w:tcPr>
            <w:tcW w:w="1291" w:type="dxa"/>
            <w:tcBorders>
              <w:top w:val="nil"/>
              <w:bottom w:val="nil"/>
              <w:right w:val="nil"/>
            </w:tcBorders>
          </w:tcPr>
          <w:p>
            <w:pPr>
              <w:pStyle w:val="TableParagraph"/>
              <w:spacing w:before="12"/>
              <w:ind w:right="342"/>
              <w:jc w:val="right"/>
              <w:rPr>
                <w:sz w:val="13"/>
              </w:rPr>
            </w:pPr>
            <w:r>
              <w:rPr>
                <w:sz w:val="13"/>
              </w:rPr>
              <w:t>0,00</w:t>
            </w:r>
          </w:p>
        </w:tc>
        <w:tc>
          <w:tcPr>
            <w:tcW w:w="1582" w:type="dxa"/>
            <w:tcBorders>
              <w:top w:val="nil"/>
              <w:left w:val="nil"/>
              <w:bottom w:val="nil"/>
            </w:tcBorders>
          </w:tcPr>
          <w:p>
            <w:pPr>
              <w:pStyle w:val="TableParagraph"/>
              <w:spacing w:line="157" w:lineRule="exact"/>
              <w:ind w:right="606"/>
              <w:jc w:val="right"/>
              <w:rPr>
                <w:sz w:val="13"/>
              </w:rPr>
            </w:pPr>
            <w:r>
              <w:rPr>
                <w:sz w:val="13"/>
              </w:rPr>
              <w:t>0,00</w:t>
            </w:r>
          </w:p>
        </w:tc>
        <w:tc>
          <w:tcPr>
            <w:tcW w:w="1416" w:type="dxa"/>
            <w:tcBorders>
              <w:top w:val="nil"/>
              <w:bottom w:val="nil"/>
              <w:right w:val="nil"/>
            </w:tcBorders>
          </w:tcPr>
          <w:p>
            <w:pPr>
              <w:pStyle w:val="TableParagraph"/>
              <w:spacing w:before="12"/>
              <w:ind w:right="458"/>
              <w:jc w:val="right"/>
              <w:rPr>
                <w:sz w:val="13"/>
              </w:rPr>
            </w:pPr>
            <w:r>
              <w:rPr>
                <w:w w:val="105"/>
                <w:sz w:val="13"/>
              </w:rPr>
              <w:t>11.273,90</w:t>
            </w:r>
          </w:p>
        </w:tc>
        <w:tc>
          <w:tcPr>
            <w:tcW w:w="1701" w:type="dxa"/>
            <w:tcBorders>
              <w:top w:val="nil"/>
              <w:left w:val="nil"/>
              <w:bottom w:val="nil"/>
            </w:tcBorders>
          </w:tcPr>
          <w:p>
            <w:pPr>
              <w:pStyle w:val="TableParagraph"/>
              <w:spacing w:before="12"/>
              <w:ind w:right="608"/>
              <w:jc w:val="right"/>
              <w:rPr>
                <w:sz w:val="13"/>
              </w:rPr>
            </w:pPr>
            <w:r>
              <w:rPr>
                <w:w w:val="105"/>
                <w:sz w:val="13"/>
              </w:rPr>
              <w:t>39.793,50</w:t>
            </w:r>
          </w:p>
        </w:tc>
      </w:tr>
      <w:tr>
        <w:trPr>
          <w:trHeight w:val="183" w:hRule="atLeast"/>
        </w:trPr>
        <w:tc>
          <w:tcPr>
            <w:tcW w:w="1157" w:type="dxa"/>
            <w:tcBorders>
              <w:top w:val="nil"/>
            </w:tcBorders>
          </w:tcPr>
          <w:p>
            <w:pPr>
              <w:pStyle w:val="TableParagraph"/>
              <w:spacing w:line="153" w:lineRule="exact" w:before="10"/>
              <w:ind w:left="236"/>
              <w:rPr>
                <w:b/>
                <w:sz w:val="13"/>
              </w:rPr>
            </w:pPr>
            <w:r>
              <w:rPr>
                <w:b/>
                <w:w w:val="105"/>
                <w:sz w:val="13"/>
              </w:rPr>
              <w:t>CES</w:t>
            </w:r>
          </w:p>
        </w:tc>
        <w:tc>
          <w:tcPr>
            <w:tcW w:w="1291" w:type="dxa"/>
            <w:tcBorders>
              <w:top w:val="nil"/>
              <w:right w:val="nil"/>
            </w:tcBorders>
          </w:tcPr>
          <w:p>
            <w:pPr>
              <w:pStyle w:val="TableParagraph"/>
              <w:spacing w:line="153" w:lineRule="exact" w:before="10"/>
              <w:ind w:right="342"/>
              <w:jc w:val="right"/>
              <w:rPr>
                <w:sz w:val="13"/>
              </w:rPr>
            </w:pPr>
            <w:r>
              <w:rPr>
                <w:sz w:val="13"/>
              </w:rPr>
              <w:t>0,00</w:t>
            </w:r>
          </w:p>
        </w:tc>
        <w:tc>
          <w:tcPr>
            <w:tcW w:w="1582" w:type="dxa"/>
            <w:tcBorders>
              <w:top w:val="nil"/>
              <w:left w:val="nil"/>
            </w:tcBorders>
          </w:tcPr>
          <w:p>
            <w:pPr>
              <w:pStyle w:val="TableParagraph"/>
              <w:spacing w:line="157" w:lineRule="exact"/>
              <w:ind w:right="606"/>
              <w:jc w:val="right"/>
              <w:rPr>
                <w:sz w:val="13"/>
              </w:rPr>
            </w:pPr>
            <w:r>
              <w:rPr>
                <w:sz w:val="13"/>
              </w:rPr>
              <w:t>0,00</w:t>
            </w:r>
          </w:p>
        </w:tc>
        <w:tc>
          <w:tcPr>
            <w:tcW w:w="1416" w:type="dxa"/>
            <w:tcBorders>
              <w:top w:val="nil"/>
              <w:right w:val="nil"/>
            </w:tcBorders>
          </w:tcPr>
          <w:p>
            <w:pPr>
              <w:pStyle w:val="TableParagraph"/>
              <w:spacing w:line="153" w:lineRule="exact" w:before="10"/>
              <w:ind w:right="458"/>
              <w:jc w:val="right"/>
              <w:rPr>
                <w:sz w:val="13"/>
              </w:rPr>
            </w:pPr>
            <w:r>
              <w:rPr>
                <w:w w:val="105"/>
                <w:sz w:val="13"/>
              </w:rPr>
              <w:t>1.896,44</w:t>
            </w:r>
          </w:p>
        </w:tc>
        <w:tc>
          <w:tcPr>
            <w:tcW w:w="1701" w:type="dxa"/>
            <w:tcBorders>
              <w:top w:val="nil"/>
              <w:left w:val="nil"/>
            </w:tcBorders>
          </w:tcPr>
          <w:p>
            <w:pPr>
              <w:pStyle w:val="TableParagraph"/>
              <w:spacing w:line="153" w:lineRule="exact" w:before="10"/>
              <w:ind w:right="608"/>
              <w:jc w:val="right"/>
              <w:rPr>
                <w:sz w:val="13"/>
              </w:rPr>
            </w:pPr>
            <w:r>
              <w:rPr>
                <w:w w:val="105"/>
                <w:sz w:val="13"/>
              </w:rPr>
              <w:t>1.746,40</w:t>
            </w:r>
          </w:p>
        </w:tc>
      </w:tr>
      <w:tr>
        <w:trPr>
          <w:trHeight w:val="237" w:hRule="atLeast"/>
        </w:trPr>
        <w:tc>
          <w:tcPr>
            <w:tcW w:w="1157" w:type="dxa"/>
            <w:shd w:val="clear" w:color="auto" w:fill="D9D9D9"/>
          </w:tcPr>
          <w:p>
            <w:pPr>
              <w:pStyle w:val="TableParagraph"/>
              <w:spacing w:before="40"/>
              <w:ind w:left="59"/>
              <w:rPr>
                <w:b/>
                <w:sz w:val="13"/>
              </w:rPr>
            </w:pPr>
            <w:r>
              <w:rPr>
                <w:b/>
                <w:w w:val="105"/>
                <w:sz w:val="13"/>
              </w:rPr>
              <w:t>TOTAL (</w:t>
            </w:r>
            <w:r>
              <w:rPr>
                <w:w w:val="105"/>
                <w:sz w:val="13"/>
              </w:rPr>
              <w:t>miles de €</w:t>
            </w:r>
            <w:r>
              <w:rPr>
                <w:b/>
                <w:w w:val="105"/>
                <w:sz w:val="13"/>
              </w:rPr>
              <w:t>)</w:t>
            </w:r>
          </w:p>
        </w:tc>
        <w:tc>
          <w:tcPr>
            <w:tcW w:w="1291" w:type="dxa"/>
            <w:tcBorders>
              <w:right w:val="nil"/>
            </w:tcBorders>
            <w:shd w:val="clear" w:color="auto" w:fill="D9D9D9"/>
          </w:tcPr>
          <w:p>
            <w:pPr>
              <w:pStyle w:val="TableParagraph"/>
              <w:spacing w:before="40"/>
              <w:ind w:right="341"/>
              <w:jc w:val="right"/>
              <w:rPr>
                <w:b/>
                <w:sz w:val="13"/>
              </w:rPr>
            </w:pPr>
            <w:r>
              <w:rPr>
                <w:b/>
                <w:w w:val="105"/>
                <w:sz w:val="13"/>
              </w:rPr>
              <w:t>264.298,87</w:t>
            </w:r>
          </w:p>
        </w:tc>
        <w:tc>
          <w:tcPr>
            <w:tcW w:w="1582" w:type="dxa"/>
            <w:tcBorders>
              <w:left w:val="nil"/>
            </w:tcBorders>
            <w:shd w:val="clear" w:color="auto" w:fill="D9D9D9"/>
          </w:tcPr>
          <w:p>
            <w:pPr>
              <w:pStyle w:val="TableParagraph"/>
              <w:spacing w:before="40"/>
              <w:ind w:right="605"/>
              <w:jc w:val="right"/>
              <w:rPr>
                <w:b/>
                <w:sz w:val="13"/>
              </w:rPr>
            </w:pPr>
            <w:r>
              <w:rPr>
                <w:b/>
                <w:w w:val="105"/>
                <w:sz w:val="13"/>
              </w:rPr>
              <w:t>220.455,74</w:t>
            </w:r>
          </w:p>
        </w:tc>
        <w:tc>
          <w:tcPr>
            <w:tcW w:w="1416" w:type="dxa"/>
            <w:tcBorders>
              <w:right w:val="nil"/>
            </w:tcBorders>
            <w:shd w:val="clear" w:color="auto" w:fill="D9D9D9"/>
          </w:tcPr>
          <w:p>
            <w:pPr>
              <w:pStyle w:val="TableParagraph"/>
              <w:spacing w:before="40"/>
              <w:ind w:right="458"/>
              <w:jc w:val="right"/>
              <w:rPr>
                <w:b/>
                <w:sz w:val="13"/>
              </w:rPr>
            </w:pPr>
            <w:r>
              <w:rPr>
                <w:b/>
                <w:w w:val="105"/>
                <w:sz w:val="13"/>
              </w:rPr>
              <w:t>247.364,15</w:t>
            </w:r>
          </w:p>
        </w:tc>
        <w:tc>
          <w:tcPr>
            <w:tcW w:w="1701" w:type="dxa"/>
            <w:tcBorders>
              <w:left w:val="nil"/>
            </w:tcBorders>
            <w:shd w:val="clear" w:color="auto" w:fill="D9D9D9"/>
          </w:tcPr>
          <w:p>
            <w:pPr>
              <w:pStyle w:val="TableParagraph"/>
              <w:spacing w:before="40"/>
              <w:ind w:right="608"/>
              <w:jc w:val="right"/>
              <w:rPr>
                <w:b/>
                <w:sz w:val="13"/>
              </w:rPr>
            </w:pPr>
            <w:r>
              <w:rPr>
                <w:b/>
                <w:w w:val="105"/>
                <w:sz w:val="13"/>
              </w:rPr>
              <w:t>412.332,94</w:t>
            </w:r>
          </w:p>
        </w:tc>
      </w:tr>
    </w:tbl>
    <w:p>
      <w:pPr>
        <w:pStyle w:val="BodyText"/>
        <w:spacing w:before="10"/>
        <w:rPr>
          <w:b/>
          <w:sz w:val="19"/>
        </w:rPr>
      </w:pPr>
    </w:p>
    <w:p>
      <w:pPr>
        <w:pStyle w:val="ListParagraph"/>
        <w:numPr>
          <w:ilvl w:val="0"/>
          <w:numId w:val="35"/>
        </w:numPr>
        <w:tabs>
          <w:tab w:pos="2335" w:val="left" w:leader="none"/>
        </w:tabs>
        <w:spacing w:line="242" w:lineRule="auto" w:before="61" w:after="0"/>
        <w:ind w:left="2334" w:right="1138" w:hanging="238"/>
        <w:jc w:val="both"/>
        <w:rPr>
          <w:sz w:val="20"/>
        </w:rPr>
      </w:pPr>
      <w:r>
        <w:rPr>
          <w:sz w:val="20"/>
        </w:rPr>
        <w:t>El remanente de tesorería, teórico o de libre disposición al final del ejercicio era positivo y ascendía a 247,4 millones de €, destacando, como en ejercicios anteriores, el obtenido por el SCE, ICAVI y APMN por 180,7 millones, 139,4 millones y 43,5 millones de €, que se compensa con el saldo negativo del SCS e ICHH, de 160,5 y 2,2 millones de €, respectivamente. Sin embargo, estos datos habría que considerarlos con prudencia pues no todas las entidades registran adecuadamente el remanente afectado o exceso de financiación, siendo nulo para seis de ellas, al igual que en años anteriores.</w:t>
      </w:r>
    </w:p>
    <w:p>
      <w:pPr>
        <w:pStyle w:val="BodyText"/>
        <w:spacing w:before="1"/>
        <w:rPr>
          <w:sz w:val="16"/>
        </w:rPr>
      </w:pPr>
    </w:p>
    <w:p>
      <w:pPr>
        <w:pStyle w:val="ListParagraph"/>
        <w:numPr>
          <w:ilvl w:val="0"/>
          <w:numId w:val="35"/>
        </w:numPr>
        <w:tabs>
          <w:tab w:pos="2335" w:val="left" w:leader="none"/>
        </w:tabs>
        <w:spacing w:line="240" w:lineRule="auto" w:before="0" w:after="0"/>
        <w:ind w:left="2334" w:right="1137" w:hanging="238"/>
        <w:jc w:val="both"/>
        <w:rPr>
          <w:sz w:val="20"/>
        </w:rPr>
      </w:pPr>
      <w:r>
        <w:rPr>
          <w:sz w:val="20"/>
        </w:rPr>
        <w:t>Comparado con el saldo de libre disposición ejercicio anterior, aunque se reduce en 165 millones de €, continúa siendo elevado. La causa principal de dicha reducción es la contabilización de un menor pendiente de cobro en el ejercicio corriente, que disminuye</w:t>
      </w:r>
      <w:r>
        <w:rPr>
          <w:spacing w:val="-9"/>
          <w:sz w:val="20"/>
        </w:rPr>
        <w:t> </w:t>
      </w:r>
      <w:r>
        <w:rPr>
          <w:sz w:val="20"/>
        </w:rPr>
        <w:t>en</w:t>
      </w:r>
      <w:r>
        <w:rPr>
          <w:spacing w:val="-7"/>
          <w:sz w:val="20"/>
        </w:rPr>
        <w:t> </w:t>
      </w:r>
      <w:r>
        <w:rPr>
          <w:sz w:val="20"/>
        </w:rPr>
        <w:t>250</w:t>
      </w:r>
      <w:r>
        <w:rPr>
          <w:spacing w:val="-8"/>
          <w:sz w:val="20"/>
        </w:rPr>
        <w:t> </w:t>
      </w:r>
      <w:r>
        <w:rPr>
          <w:sz w:val="20"/>
        </w:rPr>
        <w:t>millones</w:t>
      </w:r>
      <w:r>
        <w:rPr>
          <w:spacing w:val="-5"/>
          <w:sz w:val="20"/>
        </w:rPr>
        <w:t> </w:t>
      </w:r>
      <w:r>
        <w:rPr>
          <w:sz w:val="20"/>
        </w:rPr>
        <w:t>de</w:t>
      </w:r>
      <w:r>
        <w:rPr>
          <w:spacing w:val="-7"/>
          <w:sz w:val="20"/>
        </w:rPr>
        <w:t> </w:t>
      </w:r>
      <w:r>
        <w:rPr>
          <w:sz w:val="20"/>
        </w:rPr>
        <w:t>€.</w:t>
      </w:r>
      <w:r>
        <w:rPr>
          <w:spacing w:val="-6"/>
          <w:sz w:val="20"/>
        </w:rPr>
        <w:t> </w:t>
      </w:r>
      <w:r>
        <w:rPr>
          <w:sz w:val="20"/>
        </w:rPr>
        <w:t>Este</w:t>
      </w:r>
      <w:r>
        <w:rPr>
          <w:spacing w:val="-7"/>
          <w:sz w:val="20"/>
        </w:rPr>
        <w:t> </w:t>
      </w:r>
      <w:r>
        <w:rPr>
          <w:sz w:val="20"/>
        </w:rPr>
        <w:t>menor</w:t>
      </w:r>
      <w:r>
        <w:rPr>
          <w:spacing w:val="-7"/>
          <w:sz w:val="20"/>
        </w:rPr>
        <w:t> </w:t>
      </w:r>
      <w:r>
        <w:rPr>
          <w:sz w:val="20"/>
        </w:rPr>
        <w:t>importe</w:t>
      </w:r>
      <w:r>
        <w:rPr>
          <w:spacing w:val="-8"/>
          <w:sz w:val="20"/>
        </w:rPr>
        <w:t> </w:t>
      </w:r>
      <w:r>
        <w:rPr>
          <w:sz w:val="20"/>
        </w:rPr>
        <w:t>se</w:t>
      </w:r>
      <w:r>
        <w:rPr>
          <w:spacing w:val="-7"/>
          <w:sz w:val="20"/>
        </w:rPr>
        <w:t> </w:t>
      </w:r>
      <w:r>
        <w:rPr>
          <w:sz w:val="20"/>
        </w:rPr>
        <w:t>contrarresta</w:t>
      </w:r>
      <w:r>
        <w:rPr>
          <w:spacing w:val="-7"/>
          <w:sz w:val="20"/>
        </w:rPr>
        <w:t> </w:t>
      </w:r>
      <w:r>
        <w:rPr>
          <w:sz w:val="20"/>
        </w:rPr>
        <w:t>con</w:t>
      </w:r>
      <w:r>
        <w:rPr>
          <w:spacing w:val="-7"/>
          <w:sz w:val="20"/>
        </w:rPr>
        <w:t> </w:t>
      </w:r>
      <w:r>
        <w:rPr>
          <w:sz w:val="20"/>
        </w:rPr>
        <w:t>el</w:t>
      </w:r>
      <w:r>
        <w:rPr>
          <w:spacing w:val="-9"/>
          <w:sz w:val="20"/>
        </w:rPr>
        <w:t> </w:t>
      </w:r>
      <w:r>
        <w:rPr>
          <w:sz w:val="20"/>
        </w:rPr>
        <w:t>pendiente de cobro del ejercicio anterior, contabilizado ahora en operaciones cerradas, el cual se incrementa en 62,5 millones de € respecto a</w:t>
      </w:r>
      <w:r>
        <w:rPr>
          <w:spacing w:val="5"/>
          <w:sz w:val="20"/>
        </w:rPr>
        <w:t> </w:t>
      </w:r>
      <w:r>
        <w:rPr>
          <w:sz w:val="20"/>
        </w:rPr>
        <w:t>2021.</w:t>
      </w:r>
    </w:p>
    <w:p>
      <w:pPr>
        <w:pStyle w:val="BodyText"/>
        <w:spacing w:before="4"/>
        <w:rPr>
          <w:sz w:val="17"/>
        </w:rPr>
      </w:pPr>
    </w:p>
    <w:p>
      <w:pPr>
        <w:pStyle w:val="ListParagraph"/>
        <w:numPr>
          <w:ilvl w:val="0"/>
          <w:numId w:val="35"/>
        </w:numPr>
        <w:tabs>
          <w:tab w:pos="2335" w:val="left" w:leader="none"/>
        </w:tabs>
        <w:spacing w:line="242" w:lineRule="auto" w:before="0" w:after="0"/>
        <w:ind w:left="2334" w:right="1136" w:hanging="238"/>
        <w:jc w:val="both"/>
        <w:rPr>
          <w:sz w:val="13"/>
        </w:rPr>
      </w:pPr>
      <w:r>
        <w:rPr>
          <w:sz w:val="20"/>
        </w:rPr>
        <w:t>A diferencia de ejercicios anteriores, a partir del cierre de cuentas de 2022, los remanentes no aplicados que procedan de transferencias internas, contempladas en los presupuestos de estas entidades, devengará una obligación de reembolso a la Consejería a la que se encuentre adscrita tras la rendición de las cuentas</w:t>
      </w:r>
      <w:r>
        <w:rPr>
          <w:spacing w:val="22"/>
          <w:sz w:val="20"/>
        </w:rPr>
        <w:t> </w:t>
      </w:r>
      <w:r>
        <w:rPr>
          <w:sz w:val="20"/>
        </w:rPr>
        <w:t>anuales.</w:t>
      </w:r>
      <w:r>
        <w:rPr>
          <w:position w:val="7"/>
          <w:sz w:val="13"/>
        </w:rPr>
        <w:t>16</w:t>
      </w:r>
    </w:p>
    <w:p>
      <w:pPr>
        <w:pStyle w:val="ListParagraph"/>
        <w:numPr>
          <w:ilvl w:val="0"/>
          <w:numId w:val="35"/>
        </w:numPr>
        <w:tabs>
          <w:tab w:pos="2335" w:val="left" w:leader="none"/>
        </w:tabs>
        <w:spacing w:line="240" w:lineRule="auto" w:before="197" w:after="0"/>
        <w:ind w:left="2334" w:right="1143" w:hanging="238"/>
        <w:jc w:val="both"/>
        <w:rPr>
          <w:sz w:val="13"/>
        </w:rPr>
      </w:pPr>
      <w:r>
        <w:rPr>
          <w:sz w:val="20"/>
        </w:rPr>
        <w:t>Lo anterior no es aplicable a la APMN para los ingresos que procedan de sanciones pecuniarias por infracciones en materia medioambiental y, por tanto, no son objeto de reembolso, sino que tales cantidades deben aplicarse al control de la legalidad territorial y medioambiental, así como a financiar programas para la protección, restauración o mejora del territorio</w:t>
      </w:r>
      <w:r>
        <w:rPr>
          <w:spacing w:val="5"/>
          <w:sz w:val="20"/>
        </w:rPr>
        <w:t> </w:t>
      </w:r>
      <w:r>
        <w:rPr>
          <w:sz w:val="20"/>
        </w:rPr>
        <w:t>canario.</w:t>
      </w:r>
      <w:r>
        <w:rPr>
          <w:position w:val="7"/>
          <w:sz w:val="13"/>
        </w:rPr>
        <w:t>17</w:t>
      </w:r>
    </w:p>
    <w:p>
      <w:pPr>
        <w:pStyle w:val="BodyText"/>
        <w:spacing w:before="12"/>
        <w:rPr>
          <w:sz w:val="16"/>
        </w:rPr>
      </w:pPr>
    </w:p>
    <w:p>
      <w:pPr>
        <w:pStyle w:val="BodyText"/>
        <w:spacing w:line="242" w:lineRule="auto"/>
        <w:ind w:left="2334" w:right="1142"/>
        <w:jc w:val="both"/>
      </w:pPr>
      <w:r>
        <w:rPr/>
        <w:t>La DA 63ª de Ley de Presupuestos de la CAC para 2023 recoge que la APMN podrá generar crédito por las sanciones recaudadas, cuando exceda de las previsiones iniciales, que tendrán como destino las actuaciones medioambientales de su competencia.</w:t>
      </w:r>
    </w:p>
    <w:p>
      <w:pPr>
        <w:pStyle w:val="BodyText"/>
        <w:spacing w:before="5"/>
        <w:rPr>
          <w:sz w:val="28"/>
        </w:rPr>
      </w:pPr>
      <w:r>
        <w:rPr/>
        <w:pict>
          <v:shape style="position:absolute;margin-left:142.816818pt;margin-top:19.673271pt;width:120.95pt;height:.1pt;mso-position-horizontal-relative:page;mso-position-vertical-relative:paragraph;z-index:-251469824;mso-wrap-distance-left:0;mso-wrap-distance-right:0" coordorigin="2856,393" coordsize="2419,0" path="m2856,393l5275,393e" filled="false" stroked="true" strokeweight=".604535pt" strokecolor="#000000">
            <v:path arrowok="t"/>
            <v:stroke dashstyle="solid"/>
            <w10:wrap type="topAndBottom"/>
          </v:shape>
        </w:pict>
      </w:r>
    </w:p>
    <w:p>
      <w:pPr>
        <w:spacing w:line="207" w:lineRule="exact" w:before="51"/>
        <w:ind w:left="2096" w:right="0" w:firstLine="0"/>
        <w:jc w:val="left"/>
        <w:rPr>
          <w:sz w:val="16"/>
        </w:rPr>
      </w:pPr>
      <w:r>
        <w:rPr>
          <w:w w:val="105"/>
          <w:position w:val="6"/>
          <w:sz w:val="11"/>
        </w:rPr>
        <w:t>16 </w:t>
      </w:r>
      <w:r>
        <w:rPr>
          <w:w w:val="105"/>
          <w:sz w:val="16"/>
        </w:rPr>
        <w:t>DA 5ª de la Ley de Presupuestos de la CAC para 2022.</w:t>
      </w:r>
    </w:p>
    <w:p>
      <w:pPr>
        <w:spacing w:line="207" w:lineRule="exact" w:before="0"/>
        <w:ind w:left="2096" w:right="0" w:firstLine="0"/>
        <w:jc w:val="left"/>
        <w:rPr>
          <w:sz w:val="16"/>
        </w:rPr>
      </w:pPr>
      <w:r>
        <w:rPr>
          <w:w w:val="105"/>
          <w:position w:val="6"/>
          <w:sz w:val="11"/>
        </w:rPr>
        <w:t>17 </w:t>
      </w:r>
      <w:r>
        <w:rPr>
          <w:w w:val="105"/>
          <w:sz w:val="16"/>
        </w:rPr>
        <w:t>Art. 402 de la Ley 4/2017, de 13 de julio, del Suelo y de los Espacios Naturales Protegidos de Canarias.</w:t>
      </w:r>
    </w:p>
    <w:p>
      <w:pPr>
        <w:pStyle w:val="BodyText"/>
        <w:spacing w:before="2"/>
        <w:ind w:left="9035"/>
      </w:pPr>
      <w:r>
        <w:rPr/>
        <w:t>73</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57" name="image5.png"/>
                  <wp:cNvGraphicFramePr>
                    <a:graphicFrameLocks noChangeAspect="1"/>
                  </wp:cNvGraphicFramePr>
                  <a:graphic>
                    <a:graphicData uri="http://schemas.openxmlformats.org/drawingml/2006/picture">
                      <pic:pic>
                        <pic:nvPicPr>
                          <pic:cNvPr id="15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75/247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34" w:right="1138"/>
        <w:jc w:val="both"/>
      </w:pPr>
      <w:r>
        <w:rPr/>
        <w:t>Esta Agencia recaudó 639.787 euros por este concepto en 2022, contabilizado en el capítulo 2 de ingresos, además de lo acumulado en ejercicios anteriores. A la APMN se le ha dado de alta en el módulo de financiación afectada de SEFLogiC y se está tramitando el procedimiento para la afectación de estos ingresos.</w:t>
      </w:r>
    </w:p>
    <w:p>
      <w:pPr>
        <w:pStyle w:val="BodyText"/>
        <w:spacing w:before="1"/>
        <w:rPr>
          <w:sz w:val="17"/>
        </w:rPr>
      </w:pPr>
    </w:p>
    <w:p>
      <w:pPr>
        <w:pStyle w:val="BodyText"/>
        <w:spacing w:line="242" w:lineRule="auto"/>
        <w:ind w:left="2334" w:right="1136"/>
        <w:jc w:val="both"/>
      </w:pPr>
      <w:r>
        <w:rPr/>
        <w:t>Además, hay que señalar que su remanente es de 43,5 millones de € en 2022 (40,5 millones en 2021), cifra que supera en más de cuatro veces su presupuesto inicial, que</w:t>
      </w:r>
      <w:r>
        <w:rPr>
          <w:spacing w:val="-4"/>
        </w:rPr>
        <w:t> </w:t>
      </w:r>
      <w:r>
        <w:rPr/>
        <w:t>es</w:t>
      </w:r>
      <w:r>
        <w:rPr>
          <w:spacing w:val="-4"/>
        </w:rPr>
        <w:t> </w:t>
      </w:r>
      <w:r>
        <w:rPr/>
        <w:t>de</w:t>
      </w:r>
      <w:r>
        <w:rPr>
          <w:spacing w:val="-4"/>
        </w:rPr>
        <w:t> </w:t>
      </w:r>
      <w:r>
        <w:rPr/>
        <w:t>10,3</w:t>
      </w:r>
      <w:r>
        <w:rPr>
          <w:spacing w:val="-4"/>
        </w:rPr>
        <w:t> </w:t>
      </w:r>
      <w:r>
        <w:rPr/>
        <w:t>millones</w:t>
      </w:r>
      <w:r>
        <w:rPr>
          <w:spacing w:val="-6"/>
        </w:rPr>
        <w:t> </w:t>
      </w:r>
      <w:r>
        <w:rPr/>
        <w:t>de</w:t>
      </w:r>
      <w:r>
        <w:rPr>
          <w:spacing w:val="-1"/>
        </w:rPr>
        <w:t> </w:t>
      </w:r>
      <w:r>
        <w:rPr/>
        <w:t>€,</w:t>
      </w:r>
      <w:r>
        <w:rPr>
          <w:spacing w:val="-4"/>
        </w:rPr>
        <w:t> </w:t>
      </w:r>
      <w:r>
        <w:rPr/>
        <w:t>situación</w:t>
      </w:r>
      <w:r>
        <w:rPr>
          <w:spacing w:val="-4"/>
        </w:rPr>
        <w:t> </w:t>
      </w:r>
      <w:r>
        <w:rPr/>
        <w:t>que</w:t>
      </w:r>
      <w:r>
        <w:rPr>
          <w:spacing w:val="-2"/>
        </w:rPr>
        <w:t> </w:t>
      </w:r>
      <w:r>
        <w:rPr/>
        <w:t>se</w:t>
      </w:r>
      <w:r>
        <w:rPr>
          <w:spacing w:val="-4"/>
        </w:rPr>
        <w:t> </w:t>
      </w:r>
      <w:r>
        <w:rPr/>
        <w:t>repite</w:t>
      </w:r>
      <w:r>
        <w:rPr>
          <w:spacing w:val="-3"/>
        </w:rPr>
        <w:t> </w:t>
      </w:r>
      <w:r>
        <w:rPr/>
        <w:t>en</w:t>
      </w:r>
      <w:r>
        <w:rPr>
          <w:spacing w:val="-3"/>
        </w:rPr>
        <w:t> </w:t>
      </w:r>
      <w:r>
        <w:rPr/>
        <w:t>ejercicios</w:t>
      </w:r>
      <w:r>
        <w:rPr>
          <w:spacing w:val="-2"/>
        </w:rPr>
        <w:t> </w:t>
      </w:r>
      <w:r>
        <w:rPr/>
        <w:t>anteriores.</w:t>
      </w:r>
      <w:r>
        <w:rPr>
          <w:spacing w:val="-3"/>
        </w:rPr>
        <w:t> </w:t>
      </w:r>
      <w:r>
        <w:rPr/>
        <w:t>Un</w:t>
      </w:r>
      <w:r>
        <w:rPr>
          <w:spacing w:val="-4"/>
        </w:rPr>
        <w:t> </w:t>
      </w:r>
      <w:r>
        <w:rPr/>
        <w:t>gran volumen de dicho remanente tiene su origen en el pendiente de cobro de ejercicios cerrados (27,3 millones en 2022 y 22,4 millones en</w:t>
      </w:r>
      <w:r>
        <w:rPr>
          <w:spacing w:val="6"/>
        </w:rPr>
        <w:t> </w:t>
      </w:r>
      <w:r>
        <w:rPr/>
        <w:t>2021).</w:t>
      </w:r>
    </w:p>
    <w:p>
      <w:pPr>
        <w:pStyle w:val="BodyText"/>
        <w:spacing w:before="5"/>
        <w:rPr>
          <w:sz w:val="16"/>
        </w:rPr>
      </w:pPr>
    </w:p>
    <w:p>
      <w:pPr>
        <w:pStyle w:val="ListParagraph"/>
        <w:numPr>
          <w:ilvl w:val="0"/>
          <w:numId w:val="35"/>
        </w:numPr>
        <w:tabs>
          <w:tab w:pos="2335" w:val="left" w:leader="none"/>
        </w:tabs>
        <w:spacing w:line="240" w:lineRule="auto" w:before="0" w:after="0"/>
        <w:ind w:left="2334" w:right="1143" w:hanging="238"/>
        <w:jc w:val="both"/>
        <w:rPr>
          <w:sz w:val="20"/>
        </w:rPr>
      </w:pPr>
      <w:r>
        <w:rPr>
          <w:sz w:val="20"/>
        </w:rPr>
        <w:t>Con respecto a 2021, el pendiente de pago se incrementa en 24,9 millones de €, teniendo el 92,7 % un origen extrapresupuestario. Lo contario y en mayor medida sucede para el pendiente de cobro, que registra una reducción de</w:t>
      </w:r>
      <w:r>
        <w:rPr>
          <w:spacing w:val="6"/>
          <w:sz w:val="20"/>
        </w:rPr>
        <w:t> </w:t>
      </w:r>
      <w:r>
        <w:rPr>
          <w:sz w:val="20"/>
        </w:rPr>
        <w:t>186,4 millones de</w:t>
      </w:r>
    </w:p>
    <w:p>
      <w:pPr>
        <w:pStyle w:val="BodyText"/>
        <w:spacing w:before="5"/>
        <w:ind w:left="2334" w:right="1143"/>
        <w:jc w:val="both"/>
      </w:pPr>
      <w:r>
        <w:rPr/>
        <w:t>€, a causa de la disminución en 250 millones de este saldo en el ejercicio corriente aunque, en parte, compensado con un mayor pendiente de cobro en ejercicios cerrados, que se incrementa en 62,5 millones de €.</w:t>
      </w:r>
    </w:p>
    <w:p>
      <w:pPr>
        <w:pStyle w:val="BodyText"/>
        <w:spacing w:before="11"/>
        <w:rPr>
          <w:sz w:val="16"/>
        </w:rPr>
      </w:pPr>
    </w:p>
    <w:p>
      <w:pPr>
        <w:pStyle w:val="ListParagraph"/>
        <w:numPr>
          <w:ilvl w:val="0"/>
          <w:numId w:val="35"/>
        </w:numPr>
        <w:tabs>
          <w:tab w:pos="2335" w:val="left" w:leader="none"/>
        </w:tabs>
        <w:spacing w:line="240" w:lineRule="auto" w:before="0" w:after="0"/>
        <w:ind w:left="2334" w:right="1139" w:hanging="238"/>
        <w:jc w:val="both"/>
        <w:rPr>
          <w:sz w:val="20"/>
        </w:rPr>
      </w:pPr>
      <w:r>
        <w:rPr>
          <w:sz w:val="20"/>
        </w:rPr>
        <w:t>Es relevante el pendiente de cobro de ejercicios cerrados, por este orden, para ICAVI (97,6 millones de €), SCS (88,6 millones de €), APMN (22,4 millones de €) y SCE (19,1 millones de €). Estas entidades coinciden con las de mayores remanentes de libre disposición para 2022: ICAVI (139,4 millones de €), APMN (43,5 millones de €) y SCE (180,7 millones de €), el remanente del SCS en 2022 es</w:t>
      </w:r>
      <w:r>
        <w:rPr>
          <w:spacing w:val="4"/>
          <w:sz w:val="20"/>
        </w:rPr>
        <w:t> </w:t>
      </w:r>
      <w:r>
        <w:rPr>
          <w:sz w:val="20"/>
        </w:rPr>
        <w:t>negativo.</w:t>
      </w:r>
    </w:p>
    <w:p>
      <w:pPr>
        <w:pStyle w:val="BodyText"/>
        <w:spacing w:before="3"/>
        <w:rPr>
          <w:sz w:val="17"/>
        </w:rPr>
      </w:pPr>
    </w:p>
    <w:p>
      <w:pPr>
        <w:pStyle w:val="BodyText"/>
        <w:spacing w:line="242" w:lineRule="auto"/>
        <w:ind w:left="2334" w:right="1141"/>
        <w:jc w:val="both"/>
      </w:pPr>
      <w:r>
        <w:rPr/>
        <w:t>En especial llama la atención el incremento en 81,9 millones del pendiente de cobro para ICAVI con respecto a 2021, reconocidos en su mayor parte como transferencias de ese ejercicio, especialmente de capital (83,9 %), con destino a la rehabilitación y vivienda social mediante fondos MRR, y el Plan de Vivienda.</w:t>
      </w:r>
    </w:p>
    <w:p>
      <w:pPr>
        <w:pStyle w:val="BodyText"/>
        <w:spacing w:before="5"/>
        <w:rPr>
          <w:sz w:val="16"/>
        </w:rPr>
      </w:pPr>
    </w:p>
    <w:p>
      <w:pPr>
        <w:pStyle w:val="BodyText"/>
        <w:ind w:left="2334" w:right="1139"/>
        <w:jc w:val="both"/>
      </w:pPr>
      <w:r>
        <w:rPr/>
        <w:t>Del pendiente del SCE y SCS, 15,5 millones (80,8 %) y 46,6 millones (42,6 %), respectivamente, se había reconocido antes de 2018. De ese importe, para el SCE, el 56,2 % está registrado en el capítulo 3 del presupuesto de ingresos.</w:t>
      </w:r>
    </w:p>
    <w:p>
      <w:pPr>
        <w:pStyle w:val="BodyText"/>
        <w:spacing w:before="11"/>
        <w:rPr>
          <w:sz w:val="16"/>
        </w:rPr>
      </w:pPr>
    </w:p>
    <w:p>
      <w:pPr>
        <w:pStyle w:val="BodyText"/>
        <w:spacing w:before="1"/>
        <w:ind w:left="2334" w:right="1138"/>
        <w:jc w:val="both"/>
      </w:pPr>
      <w:r>
        <w:rPr/>
        <w:t>En</w:t>
      </w:r>
      <w:r>
        <w:rPr>
          <w:spacing w:val="-8"/>
        </w:rPr>
        <w:t> </w:t>
      </w:r>
      <w:r>
        <w:rPr/>
        <w:t>cuanto</w:t>
      </w:r>
      <w:r>
        <w:rPr>
          <w:spacing w:val="-10"/>
        </w:rPr>
        <w:t> </w:t>
      </w:r>
      <w:r>
        <w:rPr/>
        <w:t>al</w:t>
      </w:r>
      <w:r>
        <w:rPr>
          <w:spacing w:val="-9"/>
        </w:rPr>
        <w:t> </w:t>
      </w:r>
      <w:r>
        <w:rPr/>
        <w:t>APMN,</w:t>
      </w:r>
      <w:r>
        <w:rPr>
          <w:spacing w:val="-10"/>
        </w:rPr>
        <w:t> </w:t>
      </w:r>
      <w:r>
        <w:rPr/>
        <w:t>sigue</w:t>
      </w:r>
      <w:r>
        <w:rPr>
          <w:spacing w:val="-10"/>
        </w:rPr>
        <w:t> </w:t>
      </w:r>
      <w:r>
        <w:rPr/>
        <w:t>repitiéndose</w:t>
      </w:r>
      <w:r>
        <w:rPr>
          <w:spacing w:val="-9"/>
        </w:rPr>
        <w:t> </w:t>
      </w:r>
      <w:r>
        <w:rPr/>
        <w:t>la</w:t>
      </w:r>
      <w:r>
        <w:rPr>
          <w:spacing w:val="-8"/>
        </w:rPr>
        <w:t> </w:t>
      </w:r>
      <w:r>
        <w:rPr/>
        <w:t>situación</w:t>
      </w:r>
      <w:r>
        <w:rPr>
          <w:spacing w:val="-10"/>
        </w:rPr>
        <w:t> </w:t>
      </w:r>
      <w:r>
        <w:rPr/>
        <w:t>de</w:t>
      </w:r>
      <w:r>
        <w:rPr>
          <w:spacing w:val="-9"/>
        </w:rPr>
        <w:t> </w:t>
      </w:r>
      <w:r>
        <w:rPr/>
        <w:t>antigüedad</w:t>
      </w:r>
      <w:r>
        <w:rPr>
          <w:spacing w:val="-9"/>
        </w:rPr>
        <w:t> </w:t>
      </w:r>
      <w:r>
        <w:rPr/>
        <w:t>del</w:t>
      </w:r>
      <w:r>
        <w:rPr>
          <w:spacing w:val="-8"/>
        </w:rPr>
        <w:t> </w:t>
      </w:r>
      <w:r>
        <w:rPr/>
        <w:t>saldo</w:t>
      </w:r>
      <w:r>
        <w:rPr>
          <w:spacing w:val="-13"/>
        </w:rPr>
        <w:t> </w:t>
      </w:r>
      <w:r>
        <w:rPr/>
        <w:t>pendiente de cobro, que se incrementa anualmente. De este saldo para 2022,</w:t>
      </w:r>
      <w:r>
        <w:rPr>
          <w:spacing w:val="7"/>
        </w:rPr>
        <w:t> </w:t>
      </w:r>
      <w:r>
        <w:rPr/>
        <w:t>19,6 millones de</w:t>
      </w:r>
    </w:p>
    <w:p>
      <w:pPr>
        <w:pStyle w:val="BodyText"/>
        <w:spacing w:before="3"/>
        <w:ind w:left="2334"/>
        <w:jc w:val="both"/>
      </w:pPr>
      <w:r>
        <w:rPr/>
        <w:t>€ provienen de ejercicios anteriores al 2018 (87,5 %).</w:t>
      </w:r>
    </w:p>
    <w:p>
      <w:pPr>
        <w:pStyle w:val="BodyText"/>
      </w:pPr>
    </w:p>
    <w:p>
      <w:pPr>
        <w:pStyle w:val="BodyText"/>
      </w:pPr>
    </w:p>
    <w:p>
      <w:pPr>
        <w:pStyle w:val="BodyText"/>
      </w:pPr>
    </w:p>
    <w:p>
      <w:pPr>
        <w:pStyle w:val="BodyText"/>
      </w:pPr>
    </w:p>
    <w:p>
      <w:pPr>
        <w:pStyle w:val="BodyText"/>
        <w:spacing w:before="4"/>
      </w:pPr>
    </w:p>
    <w:p>
      <w:pPr>
        <w:pStyle w:val="BodyText"/>
        <w:spacing w:before="61"/>
        <w:ind w:left="7897"/>
        <w:jc w:val="center"/>
      </w:pPr>
      <w:r>
        <w:rPr/>
        <w:t>74</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59" name="image5.png"/>
                  <wp:cNvGraphicFramePr>
                    <a:graphicFrameLocks noChangeAspect="1"/>
                  </wp:cNvGraphicFramePr>
                  <a:graphic>
                    <a:graphicData uri="http://schemas.openxmlformats.org/drawingml/2006/picture">
                      <pic:pic>
                        <pic:nvPicPr>
                          <pic:cNvPr id="16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76/247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6"/>
        <w:gridCol w:w="1911"/>
        <w:gridCol w:w="867"/>
        <w:gridCol w:w="1987"/>
        <w:gridCol w:w="952"/>
      </w:tblGrid>
      <w:tr>
        <w:trPr>
          <w:trHeight w:val="174" w:hRule="atLeast"/>
        </w:trPr>
        <w:tc>
          <w:tcPr>
            <w:tcW w:w="1306" w:type="dxa"/>
            <w:tcBorders>
              <w:top w:val="single" w:sz="4" w:space="0" w:color="000000"/>
              <w:left w:val="single" w:sz="4" w:space="0" w:color="000000"/>
              <w:right w:val="single" w:sz="4" w:space="0" w:color="000000"/>
            </w:tcBorders>
          </w:tcPr>
          <w:p>
            <w:pPr>
              <w:pStyle w:val="TableParagraph"/>
              <w:rPr>
                <w:rFonts w:ascii="Times New Roman"/>
                <w:sz w:val="10"/>
              </w:rPr>
            </w:pPr>
          </w:p>
        </w:tc>
        <w:tc>
          <w:tcPr>
            <w:tcW w:w="5717" w:type="dxa"/>
            <w:gridSpan w:val="4"/>
            <w:tcBorders>
              <w:top w:val="single" w:sz="4" w:space="0" w:color="000000"/>
              <w:left w:val="single" w:sz="4" w:space="0" w:color="000000"/>
              <w:right w:val="single" w:sz="4" w:space="0" w:color="000000"/>
            </w:tcBorders>
            <w:shd w:val="clear" w:color="auto" w:fill="DEEAF6"/>
          </w:tcPr>
          <w:p>
            <w:pPr>
              <w:pStyle w:val="TableParagraph"/>
              <w:spacing w:line="153" w:lineRule="exact" w:before="2"/>
              <w:ind w:left="2280" w:right="2277"/>
              <w:jc w:val="center"/>
              <w:rPr>
                <w:b/>
                <w:sz w:val="13"/>
              </w:rPr>
            </w:pPr>
            <w:r>
              <w:rPr>
                <w:b/>
                <w:w w:val="105"/>
                <w:sz w:val="13"/>
              </w:rPr>
              <w:t>Pendiente de cobro</w:t>
            </w:r>
          </w:p>
        </w:tc>
      </w:tr>
      <w:tr>
        <w:trPr>
          <w:trHeight w:val="151" w:hRule="atLeast"/>
        </w:trPr>
        <w:tc>
          <w:tcPr>
            <w:tcW w:w="1306" w:type="dxa"/>
            <w:tcBorders>
              <w:left w:val="single" w:sz="4" w:space="0" w:color="000000"/>
              <w:right w:val="single" w:sz="4" w:space="0" w:color="000000"/>
            </w:tcBorders>
          </w:tcPr>
          <w:p>
            <w:pPr>
              <w:pStyle w:val="TableParagraph"/>
              <w:rPr>
                <w:rFonts w:ascii="Times New Roman"/>
                <w:sz w:val="8"/>
              </w:rPr>
            </w:pPr>
          </w:p>
        </w:tc>
        <w:tc>
          <w:tcPr>
            <w:tcW w:w="1911" w:type="dxa"/>
            <w:tcBorders>
              <w:left w:val="single" w:sz="4" w:space="0" w:color="000000"/>
              <w:bottom w:val="single" w:sz="4" w:space="0" w:color="000000"/>
            </w:tcBorders>
            <w:shd w:val="clear" w:color="auto" w:fill="DEEAF6"/>
          </w:tcPr>
          <w:p>
            <w:pPr>
              <w:pStyle w:val="TableParagraph"/>
              <w:spacing w:line="132" w:lineRule="exact"/>
              <w:ind w:left="883"/>
              <w:rPr>
                <w:b/>
                <w:sz w:val="13"/>
              </w:rPr>
            </w:pPr>
            <w:r>
              <w:rPr>
                <w:b/>
                <w:w w:val="105"/>
                <w:sz w:val="13"/>
              </w:rPr>
              <w:t>Ejercicio</w:t>
            </w:r>
            <w:r>
              <w:rPr>
                <w:b/>
                <w:spacing w:val="-14"/>
                <w:w w:val="105"/>
                <w:sz w:val="13"/>
              </w:rPr>
              <w:t> </w:t>
            </w:r>
            <w:r>
              <w:rPr>
                <w:b/>
                <w:w w:val="105"/>
                <w:sz w:val="13"/>
              </w:rPr>
              <w:t>corriente</w:t>
            </w:r>
          </w:p>
        </w:tc>
        <w:tc>
          <w:tcPr>
            <w:tcW w:w="867" w:type="dxa"/>
            <w:tcBorders>
              <w:bottom w:val="single" w:sz="4" w:space="0" w:color="000000"/>
            </w:tcBorders>
            <w:shd w:val="clear" w:color="auto" w:fill="DEEAF6"/>
          </w:tcPr>
          <w:p>
            <w:pPr>
              <w:pStyle w:val="TableParagraph"/>
              <w:rPr>
                <w:rFonts w:ascii="Times New Roman"/>
                <w:sz w:val="8"/>
              </w:rPr>
            </w:pPr>
          </w:p>
        </w:tc>
        <w:tc>
          <w:tcPr>
            <w:tcW w:w="2939" w:type="dxa"/>
            <w:gridSpan w:val="2"/>
            <w:tcBorders>
              <w:bottom w:val="single" w:sz="4" w:space="0" w:color="000000"/>
              <w:right w:val="single" w:sz="4" w:space="0" w:color="000000"/>
            </w:tcBorders>
            <w:shd w:val="clear" w:color="auto" w:fill="DEEAF6"/>
          </w:tcPr>
          <w:p>
            <w:pPr>
              <w:pStyle w:val="TableParagraph"/>
              <w:spacing w:line="132" w:lineRule="exact"/>
              <w:ind w:left="980" w:right="971"/>
              <w:jc w:val="center"/>
              <w:rPr>
                <w:b/>
                <w:sz w:val="13"/>
              </w:rPr>
            </w:pPr>
            <w:r>
              <w:rPr>
                <w:b/>
                <w:w w:val="105"/>
                <w:sz w:val="13"/>
              </w:rPr>
              <w:t>Ejercicio cerrado</w:t>
            </w:r>
          </w:p>
        </w:tc>
      </w:tr>
      <w:tr>
        <w:trPr>
          <w:trHeight w:val="161" w:hRule="atLeast"/>
        </w:trPr>
        <w:tc>
          <w:tcPr>
            <w:tcW w:w="1306" w:type="dxa"/>
            <w:tcBorders>
              <w:left w:val="single" w:sz="4" w:space="0" w:color="000000"/>
              <w:right w:val="single" w:sz="4" w:space="0" w:color="000000"/>
            </w:tcBorders>
          </w:tcPr>
          <w:p>
            <w:pPr>
              <w:pStyle w:val="TableParagraph"/>
              <w:rPr>
                <w:rFonts w:ascii="Times New Roman"/>
                <w:sz w:val="10"/>
              </w:rPr>
            </w:pPr>
          </w:p>
        </w:tc>
        <w:tc>
          <w:tcPr>
            <w:tcW w:w="1911" w:type="dxa"/>
            <w:tcBorders>
              <w:top w:val="single" w:sz="4" w:space="0" w:color="000000"/>
              <w:left w:val="single" w:sz="4" w:space="0" w:color="000000"/>
              <w:bottom w:val="single" w:sz="4" w:space="0" w:color="000000"/>
            </w:tcBorders>
            <w:shd w:val="clear" w:color="auto" w:fill="DEEAF6"/>
          </w:tcPr>
          <w:p>
            <w:pPr>
              <w:pStyle w:val="TableParagraph"/>
              <w:spacing w:line="139" w:lineRule="exact" w:before="2"/>
              <w:ind w:left="541"/>
              <w:rPr>
                <w:b/>
                <w:sz w:val="13"/>
              </w:rPr>
            </w:pPr>
            <w:r>
              <w:rPr>
                <w:b/>
                <w:w w:val="105"/>
                <w:sz w:val="13"/>
              </w:rPr>
              <w:t>2022</w:t>
            </w:r>
          </w:p>
        </w:tc>
        <w:tc>
          <w:tcPr>
            <w:tcW w:w="867" w:type="dxa"/>
            <w:tcBorders>
              <w:top w:val="single" w:sz="4" w:space="0" w:color="000000"/>
              <w:bottom w:val="single" w:sz="4" w:space="0" w:color="000000"/>
              <w:right w:val="single" w:sz="4" w:space="0" w:color="000000"/>
            </w:tcBorders>
            <w:shd w:val="clear" w:color="auto" w:fill="DEEAF6"/>
          </w:tcPr>
          <w:p>
            <w:pPr>
              <w:pStyle w:val="TableParagraph"/>
              <w:spacing w:line="139" w:lineRule="exact" w:before="2"/>
              <w:ind w:left="24"/>
              <w:rPr>
                <w:b/>
                <w:sz w:val="13"/>
              </w:rPr>
            </w:pPr>
            <w:r>
              <w:rPr>
                <w:b/>
                <w:w w:val="105"/>
                <w:sz w:val="13"/>
              </w:rPr>
              <w:t>2021</w:t>
            </w:r>
          </w:p>
        </w:tc>
        <w:tc>
          <w:tcPr>
            <w:tcW w:w="1987" w:type="dxa"/>
            <w:tcBorders>
              <w:top w:val="single" w:sz="4" w:space="0" w:color="000000"/>
              <w:left w:val="single" w:sz="4" w:space="0" w:color="000000"/>
              <w:bottom w:val="single" w:sz="4" w:space="0" w:color="000000"/>
            </w:tcBorders>
            <w:shd w:val="clear" w:color="auto" w:fill="DEEAF6"/>
          </w:tcPr>
          <w:p>
            <w:pPr>
              <w:pStyle w:val="TableParagraph"/>
              <w:spacing w:line="139" w:lineRule="exact" w:before="2"/>
              <w:ind w:left="575"/>
              <w:rPr>
                <w:b/>
                <w:sz w:val="13"/>
              </w:rPr>
            </w:pPr>
            <w:r>
              <w:rPr>
                <w:b/>
                <w:w w:val="105"/>
                <w:sz w:val="13"/>
              </w:rPr>
              <w:t>2022</w:t>
            </w:r>
          </w:p>
        </w:tc>
        <w:tc>
          <w:tcPr>
            <w:tcW w:w="952" w:type="dxa"/>
            <w:tcBorders>
              <w:top w:val="single" w:sz="4" w:space="0" w:color="000000"/>
              <w:bottom w:val="single" w:sz="4" w:space="0" w:color="000000"/>
              <w:right w:val="single" w:sz="4" w:space="0" w:color="000000"/>
            </w:tcBorders>
            <w:shd w:val="clear" w:color="auto" w:fill="DEEAF6"/>
          </w:tcPr>
          <w:p>
            <w:pPr>
              <w:pStyle w:val="TableParagraph"/>
              <w:spacing w:line="139" w:lineRule="exact" w:before="2"/>
              <w:ind w:left="62"/>
              <w:rPr>
                <w:b/>
                <w:sz w:val="13"/>
              </w:rPr>
            </w:pPr>
            <w:r>
              <w:rPr>
                <w:b/>
                <w:w w:val="105"/>
                <w:sz w:val="13"/>
              </w:rPr>
              <w:t>2021</w:t>
            </w:r>
          </w:p>
        </w:tc>
      </w:tr>
      <w:tr>
        <w:trPr>
          <w:trHeight w:val="175" w:hRule="atLeast"/>
        </w:trPr>
        <w:tc>
          <w:tcPr>
            <w:tcW w:w="1306" w:type="dxa"/>
            <w:tcBorders>
              <w:left w:val="single" w:sz="4" w:space="0" w:color="000000"/>
              <w:right w:val="single" w:sz="4" w:space="0" w:color="000000"/>
            </w:tcBorders>
          </w:tcPr>
          <w:p>
            <w:pPr>
              <w:pStyle w:val="TableParagraph"/>
              <w:spacing w:line="152" w:lineRule="exact" w:before="4"/>
              <w:ind w:left="59"/>
              <w:rPr>
                <w:b/>
                <w:sz w:val="13"/>
              </w:rPr>
            </w:pPr>
            <w:r>
              <w:rPr>
                <w:b/>
                <w:w w:val="105"/>
                <w:sz w:val="13"/>
              </w:rPr>
              <w:t>ICAP</w:t>
            </w:r>
          </w:p>
        </w:tc>
        <w:tc>
          <w:tcPr>
            <w:tcW w:w="1911" w:type="dxa"/>
            <w:tcBorders>
              <w:top w:val="single" w:sz="4" w:space="0" w:color="000000"/>
              <w:left w:val="single" w:sz="4" w:space="0" w:color="000000"/>
            </w:tcBorders>
          </w:tcPr>
          <w:p>
            <w:pPr>
              <w:pStyle w:val="TableParagraph"/>
              <w:spacing w:line="152" w:lineRule="exact" w:before="4"/>
              <w:ind w:left="1057"/>
              <w:rPr>
                <w:sz w:val="13"/>
              </w:rPr>
            </w:pPr>
            <w:r>
              <w:rPr>
                <w:w w:val="105"/>
                <w:sz w:val="13"/>
              </w:rPr>
              <w:t>1,79</w:t>
            </w:r>
          </w:p>
        </w:tc>
        <w:tc>
          <w:tcPr>
            <w:tcW w:w="867" w:type="dxa"/>
            <w:tcBorders>
              <w:top w:val="single" w:sz="4" w:space="0" w:color="000000"/>
              <w:right w:val="single" w:sz="4" w:space="0" w:color="000000"/>
            </w:tcBorders>
          </w:tcPr>
          <w:p>
            <w:pPr>
              <w:pStyle w:val="TableParagraph"/>
              <w:spacing w:line="152" w:lineRule="exact" w:before="4"/>
              <w:ind w:right="44"/>
              <w:jc w:val="right"/>
              <w:rPr>
                <w:sz w:val="13"/>
              </w:rPr>
            </w:pPr>
            <w:r>
              <w:rPr>
                <w:sz w:val="13"/>
              </w:rPr>
              <w:t>0,00</w:t>
            </w:r>
          </w:p>
        </w:tc>
        <w:tc>
          <w:tcPr>
            <w:tcW w:w="1987" w:type="dxa"/>
            <w:tcBorders>
              <w:top w:val="single" w:sz="4" w:space="0" w:color="000000"/>
              <w:left w:val="single" w:sz="4" w:space="0" w:color="000000"/>
            </w:tcBorders>
          </w:tcPr>
          <w:p>
            <w:pPr>
              <w:pStyle w:val="TableParagraph"/>
              <w:spacing w:line="152" w:lineRule="exact" w:before="4"/>
              <w:ind w:right="615"/>
              <w:jc w:val="right"/>
              <w:rPr>
                <w:sz w:val="13"/>
              </w:rPr>
            </w:pPr>
            <w:r>
              <w:rPr>
                <w:sz w:val="13"/>
              </w:rPr>
              <w:t>0,00</w:t>
            </w:r>
          </w:p>
        </w:tc>
        <w:tc>
          <w:tcPr>
            <w:tcW w:w="952" w:type="dxa"/>
            <w:tcBorders>
              <w:top w:val="single" w:sz="4" w:space="0" w:color="000000"/>
              <w:right w:val="single" w:sz="4" w:space="0" w:color="000000"/>
            </w:tcBorders>
          </w:tcPr>
          <w:p>
            <w:pPr>
              <w:pStyle w:val="TableParagraph"/>
              <w:spacing w:line="152" w:lineRule="exact" w:before="4"/>
              <w:ind w:right="44"/>
              <w:jc w:val="right"/>
              <w:rPr>
                <w:sz w:val="13"/>
              </w:rPr>
            </w:pPr>
            <w:r>
              <w:rPr>
                <w:sz w:val="13"/>
              </w:rPr>
              <w:t>0,00</w:t>
            </w:r>
          </w:p>
        </w:tc>
      </w:tr>
      <w:tr>
        <w:trPr>
          <w:trHeight w:val="163" w:hRule="atLeast"/>
        </w:trPr>
        <w:tc>
          <w:tcPr>
            <w:tcW w:w="1306" w:type="dxa"/>
            <w:tcBorders>
              <w:left w:val="single" w:sz="4" w:space="0" w:color="000000"/>
              <w:right w:val="single" w:sz="4" w:space="0" w:color="000000"/>
            </w:tcBorders>
          </w:tcPr>
          <w:p>
            <w:pPr>
              <w:pStyle w:val="TableParagraph"/>
              <w:spacing w:line="143" w:lineRule="exact"/>
              <w:ind w:left="59"/>
              <w:rPr>
                <w:b/>
                <w:sz w:val="13"/>
              </w:rPr>
            </w:pPr>
            <w:r>
              <w:rPr>
                <w:b/>
                <w:w w:val="105"/>
                <w:sz w:val="13"/>
              </w:rPr>
              <w:t>ISTAC</w:t>
            </w:r>
          </w:p>
        </w:tc>
        <w:tc>
          <w:tcPr>
            <w:tcW w:w="1911" w:type="dxa"/>
            <w:tcBorders>
              <w:left w:val="single" w:sz="4" w:space="0" w:color="000000"/>
            </w:tcBorders>
          </w:tcPr>
          <w:p>
            <w:pPr>
              <w:pStyle w:val="TableParagraph"/>
              <w:spacing w:line="143" w:lineRule="exact"/>
              <w:ind w:left="920"/>
              <w:rPr>
                <w:sz w:val="13"/>
              </w:rPr>
            </w:pPr>
            <w:r>
              <w:rPr>
                <w:w w:val="105"/>
                <w:sz w:val="13"/>
              </w:rPr>
              <w:t>298,68</w:t>
            </w:r>
          </w:p>
        </w:tc>
        <w:tc>
          <w:tcPr>
            <w:tcW w:w="867" w:type="dxa"/>
            <w:tcBorders>
              <w:right w:val="single" w:sz="4" w:space="0" w:color="000000"/>
            </w:tcBorders>
          </w:tcPr>
          <w:p>
            <w:pPr>
              <w:pStyle w:val="TableParagraph"/>
              <w:spacing w:line="143" w:lineRule="exact"/>
              <w:ind w:right="44"/>
              <w:jc w:val="right"/>
              <w:rPr>
                <w:sz w:val="13"/>
              </w:rPr>
            </w:pPr>
            <w:r>
              <w:rPr>
                <w:sz w:val="13"/>
              </w:rPr>
              <w:t>0,00</w:t>
            </w:r>
          </w:p>
        </w:tc>
        <w:tc>
          <w:tcPr>
            <w:tcW w:w="1987" w:type="dxa"/>
            <w:tcBorders>
              <w:left w:val="single" w:sz="4" w:space="0" w:color="000000"/>
            </w:tcBorders>
          </w:tcPr>
          <w:p>
            <w:pPr>
              <w:pStyle w:val="TableParagraph"/>
              <w:spacing w:line="143" w:lineRule="exact"/>
              <w:ind w:right="615"/>
              <w:jc w:val="right"/>
              <w:rPr>
                <w:sz w:val="13"/>
              </w:rPr>
            </w:pPr>
            <w:r>
              <w:rPr>
                <w:sz w:val="13"/>
              </w:rPr>
              <w:t>0,00</w:t>
            </w:r>
          </w:p>
        </w:tc>
        <w:tc>
          <w:tcPr>
            <w:tcW w:w="952" w:type="dxa"/>
            <w:tcBorders>
              <w:right w:val="single" w:sz="4" w:space="0" w:color="000000"/>
            </w:tcBorders>
          </w:tcPr>
          <w:p>
            <w:pPr>
              <w:pStyle w:val="TableParagraph"/>
              <w:spacing w:line="143" w:lineRule="exact"/>
              <w:ind w:right="44"/>
              <w:jc w:val="right"/>
              <w:rPr>
                <w:sz w:val="13"/>
              </w:rPr>
            </w:pPr>
            <w:r>
              <w:rPr>
                <w:sz w:val="13"/>
              </w:rPr>
              <w:t>0,00</w:t>
            </w:r>
          </w:p>
        </w:tc>
      </w:tr>
      <w:tr>
        <w:trPr>
          <w:trHeight w:val="164" w:hRule="atLeast"/>
        </w:trPr>
        <w:tc>
          <w:tcPr>
            <w:tcW w:w="1306" w:type="dxa"/>
            <w:tcBorders>
              <w:left w:val="single" w:sz="4" w:space="0" w:color="000000"/>
              <w:right w:val="single" w:sz="4" w:space="0" w:color="000000"/>
            </w:tcBorders>
          </w:tcPr>
          <w:p>
            <w:pPr>
              <w:pStyle w:val="TableParagraph"/>
              <w:spacing w:line="144" w:lineRule="exact"/>
              <w:ind w:left="89"/>
              <w:rPr>
                <w:b/>
                <w:sz w:val="13"/>
              </w:rPr>
            </w:pPr>
            <w:r>
              <w:rPr>
                <w:b/>
                <w:w w:val="105"/>
                <w:sz w:val="13"/>
              </w:rPr>
              <w:t>SCE</w:t>
            </w:r>
          </w:p>
        </w:tc>
        <w:tc>
          <w:tcPr>
            <w:tcW w:w="1911" w:type="dxa"/>
            <w:tcBorders>
              <w:left w:val="single" w:sz="4" w:space="0" w:color="000000"/>
            </w:tcBorders>
          </w:tcPr>
          <w:p>
            <w:pPr>
              <w:pStyle w:val="TableParagraph"/>
              <w:spacing w:line="144" w:lineRule="exact"/>
              <w:ind w:left="819"/>
              <w:rPr>
                <w:sz w:val="13"/>
              </w:rPr>
            </w:pPr>
            <w:r>
              <w:rPr>
                <w:w w:val="105"/>
                <w:sz w:val="13"/>
              </w:rPr>
              <w:t>1.755,45</w:t>
            </w:r>
          </w:p>
        </w:tc>
        <w:tc>
          <w:tcPr>
            <w:tcW w:w="867" w:type="dxa"/>
            <w:tcBorders>
              <w:right w:val="single" w:sz="4" w:space="0" w:color="000000"/>
            </w:tcBorders>
          </w:tcPr>
          <w:p>
            <w:pPr>
              <w:pStyle w:val="TableParagraph"/>
              <w:spacing w:line="144" w:lineRule="exact"/>
              <w:ind w:right="44"/>
              <w:jc w:val="right"/>
              <w:rPr>
                <w:sz w:val="13"/>
              </w:rPr>
            </w:pPr>
            <w:r>
              <w:rPr>
                <w:w w:val="105"/>
                <w:sz w:val="13"/>
              </w:rPr>
              <w:t>16.036,05</w:t>
            </w:r>
          </w:p>
        </w:tc>
        <w:tc>
          <w:tcPr>
            <w:tcW w:w="1987" w:type="dxa"/>
            <w:tcBorders>
              <w:left w:val="single" w:sz="4" w:space="0" w:color="000000"/>
            </w:tcBorders>
          </w:tcPr>
          <w:p>
            <w:pPr>
              <w:pStyle w:val="TableParagraph"/>
              <w:spacing w:line="144" w:lineRule="exact"/>
              <w:ind w:right="615"/>
              <w:jc w:val="right"/>
              <w:rPr>
                <w:sz w:val="13"/>
              </w:rPr>
            </w:pPr>
            <w:r>
              <w:rPr>
                <w:w w:val="105"/>
                <w:sz w:val="13"/>
              </w:rPr>
              <w:t>19.078,47</w:t>
            </w:r>
          </w:p>
        </w:tc>
        <w:tc>
          <w:tcPr>
            <w:tcW w:w="952" w:type="dxa"/>
            <w:tcBorders>
              <w:right w:val="single" w:sz="4" w:space="0" w:color="000000"/>
            </w:tcBorders>
          </w:tcPr>
          <w:p>
            <w:pPr>
              <w:pStyle w:val="TableParagraph"/>
              <w:spacing w:line="144" w:lineRule="exact"/>
              <w:ind w:right="44"/>
              <w:jc w:val="right"/>
              <w:rPr>
                <w:sz w:val="13"/>
              </w:rPr>
            </w:pPr>
            <w:r>
              <w:rPr>
                <w:w w:val="105"/>
                <w:sz w:val="13"/>
              </w:rPr>
              <w:t>18.374,49</w:t>
            </w:r>
          </w:p>
        </w:tc>
      </w:tr>
      <w:tr>
        <w:trPr>
          <w:trHeight w:val="164" w:hRule="atLeast"/>
        </w:trPr>
        <w:tc>
          <w:tcPr>
            <w:tcW w:w="1306" w:type="dxa"/>
            <w:tcBorders>
              <w:left w:val="single" w:sz="4" w:space="0" w:color="000000"/>
              <w:right w:val="single" w:sz="4" w:space="0" w:color="000000"/>
            </w:tcBorders>
          </w:tcPr>
          <w:p>
            <w:pPr>
              <w:pStyle w:val="TableParagraph"/>
              <w:spacing w:line="144" w:lineRule="exact"/>
              <w:ind w:left="59"/>
              <w:rPr>
                <w:b/>
                <w:sz w:val="13"/>
              </w:rPr>
            </w:pPr>
            <w:r>
              <w:rPr>
                <w:b/>
                <w:w w:val="105"/>
                <w:sz w:val="13"/>
              </w:rPr>
              <w:t>ICIA</w:t>
            </w:r>
          </w:p>
        </w:tc>
        <w:tc>
          <w:tcPr>
            <w:tcW w:w="1911" w:type="dxa"/>
            <w:tcBorders>
              <w:left w:val="single" w:sz="4" w:space="0" w:color="000000"/>
            </w:tcBorders>
          </w:tcPr>
          <w:p>
            <w:pPr>
              <w:pStyle w:val="TableParagraph"/>
              <w:spacing w:line="144" w:lineRule="exact"/>
              <w:ind w:left="988"/>
              <w:rPr>
                <w:sz w:val="13"/>
              </w:rPr>
            </w:pPr>
            <w:r>
              <w:rPr>
                <w:w w:val="105"/>
                <w:sz w:val="13"/>
              </w:rPr>
              <w:t>46,93</w:t>
            </w:r>
          </w:p>
        </w:tc>
        <w:tc>
          <w:tcPr>
            <w:tcW w:w="867" w:type="dxa"/>
            <w:tcBorders>
              <w:right w:val="single" w:sz="4" w:space="0" w:color="000000"/>
            </w:tcBorders>
          </w:tcPr>
          <w:p>
            <w:pPr>
              <w:pStyle w:val="TableParagraph"/>
              <w:spacing w:line="144" w:lineRule="exact"/>
              <w:ind w:right="44"/>
              <w:jc w:val="right"/>
              <w:rPr>
                <w:sz w:val="13"/>
              </w:rPr>
            </w:pPr>
            <w:r>
              <w:rPr>
                <w:sz w:val="13"/>
              </w:rPr>
              <w:t>54,88</w:t>
            </w:r>
          </w:p>
        </w:tc>
        <w:tc>
          <w:tcPr>
            <w:tcW w:w="1987" w:type="dxa"/>
            <w:tcBorders>
              <w:left w:val="single" w:sz="4" w:space="0" w:color="000000"/>
            </w:tcBorders>
          </w:tcPr>
          <w:p>
            <w:pPr>
              <w:pStyle w:val="TableParagraph"/>
              <w:spacing w:line="144" w:lineRule="exact"/>
              <w:ind w:right="615"/>
              <w:jc w:val="right"/>
              <w:rPr>
                <w:sz w:val="13"/>
              </w:rPr>
            </w:pPr>
            <w:r>
              <w:rPr>
                <w:sz w:val="13"/>
              </w:rPr>
              <w:t>787,97</w:t>
            </w:r>
          </w:p>
        </w:tc>
        <w:tc>
          <w:tcPr>
            <w:tcW w:w="952" w:type="dxa"/>
            <w:tcBorders>
              <w:right w:val="single" w:sz="4" w:space="0" w:color="000000"/>
            </w:tcBorders>
          </w:tcPr>
          <w:p>
            <w:pPr>
              <w:pStyle w:val="TableParagraph"/>
              <w:spacing w:line="144" w:lineRule="exact"/>
              <w:ind w:right="44"/>
              <w:jc w:val="right"/>
              <w:rPr>
                <w:sz w:val="13"/>
              </w:rPr>
            </w:pPr>
            <w:r>
              <w:rPr>
                <w:sz w:val="13"/>
              </w:rPr>
              <w:t>787,97</w:t>
            </w:r>
          </w:p>
        </w:tc>
      </w:tr>
      <w:tr>
        <w:trPr>
          <w:trHeight w:val="153" w:hRule="atLeast"/>
        </w:trPr>
        <w:tc>
          <w:tcPr>
            <w:tcW w:w="1306" w:type="dxa"/>
            <w:tcBorders>
              <w:left w:val="single" w:sz="4" w:space="0" w:color="000000"/>
              <w:right w:val="single" w:sz="4" w:space="0" w:color="000000"/>
            </w:tcBorders>
          </w:tcPr>
          <w:p>
            <w:pPr>
              <w:pStyle w:val="TableParagraph"/>
              <w:spacing w:line="134" w:lineRule="exact"/>
              <w:ind w:left="59"/>
              <w:rPr>
                <w:b/>
                <w:sz w:val="13"/>
              </w:rPr>
            </w:pPr>
            <w:r>
              <w:rPr>
                <w:b/>
                <w:w w:val="105"/>
                <w:sz w:val="13"/>
              </w:rPr>
              <w:t>ICHH</w:t>
            </w:r>
          </w:p>
        </w:tc>
        <w:tc>
          <w:tcPr>
            <w:tcW w:w="1911" w:type="dxa"/>
            <w:tcBorders>
              <w:left w:val="single" w:sz="4" w:space="0" w:color="000000"/>
            </w:tcBorders>
          </w:tcPr>
          <w:p>
            <w:pPr>
              <w:pStyle w:val="TableParagraph"/>
              <w:spacing w:line="134" w:lineRule="exact"/>
              <w:ind w:left="988"/>
              <w:rPr>
                <w:sz w:val="13"/>
              </w:rPr>
            </w:pPr>
            <w:r>
              <w:rPr>
                <w:w w:val="105"/>
                <w:sz w:val="13"/>
              </w:rPr>
              <w:t>13,26</w:t>
            </w:r>
          </w:p>
        </w:tc>
        <w:tc>
          <w:tcPr>
            <w:tcW w:w="867" w:type="dxa"/>
            <w:tcBorders>
              <w:right w:val="single" w:sz="4" w:space="0" w:color="000000"/>
            </w:tcBorders>
          </w:tcPr>
          <w:p>
            <w:pPr>
              <w:pStyle w:val="TableParagraph"/>
              <w:spacing w:line="134" w:lineRule="exact"/>
              <w:ind w:right="44"/>
              <w:jc w:val="right"/>
              <w:rPr>
                <w:sz w:val="13"/>
              </w:rPr>
            </w:pPr>
            <w:r>
              <w:rPr>
                <w:sz w:val="13"/>
              </w:rPr>
              <w:t>2,25</w:t>
            </w:r>
          </w:p>
        </w:tc>
        <w:tc>
          <w:tcPr>
            <w:tcW w:w="1987" w:type="dxa"/>
            <w:tcBorders>
              <w:left w:val="single" w:sz="4" w:space="0" w:color="000000"/>
            </w:tcBorders>
          </w:tcPr>
          <w:p>
            <w:pPr>
              <w:pStyle w:val="TableParagraph"/>
              <w:spacing w:line="134" w:lineRule="exact"/>
              <w:ind w:right="615"/>
              <w:jc w:val="right"/>
              <w:rPr>
                <w:sz w:val="13"/>
              </w:rPr>
            </w:pPr>
            <w:r>
              <w:rPr>
                <w:sz w:val="13"/>
              </w:rPr>
              <w:t>0,56</w:t>
            </w:r>
          </w:p>
        </w:tc>
        <w:tc>
          <w:tcPr>
            <w:tcW w:w="952" w:type="dxa"/>
            <w:tcBorders>
              <w:right w:val="single" w:sz="4" w:space="0" w:color="000000"/>
            </w:tcBorders>
          </w:tcPr>
          <w:p>
            <w:pPr>
              <w:pStyle w:val="TableParagraph"/>
              <w:spacing w:line="134" w:lineRule="exact"/>
              <w:ind w:right="44"/>
              <w:jc w:val="right"/>
              <w:rPr>
                <w:sz w:val="13"/>
              </w:rPr>
            </w:pPr>
            <w:r>
              <w:rPr>
                <w:sz w:val="13"/>
              </w:rPr>
              <w:t>5,47</w:t>
            </w:r>
          </w:p>
        </w:tc>
      </w:tr>
      <w:tr>
        <w:trPr>
          <w:trHeight w:val="163" w:hRule="atLeast"/>
        </w:trPr>
        <w:tc>
          <w:tcPr>
            <w:tcW w:w="1306" w:type="dxa"/>
            <w:tcBorders>
              <w:left w:val="single" w:sz="4" w:space="0" w:color="000000"/>
              <w:right w:val="single" w:sz="4" w:space="0" w:color="000000"/>
            </w:tcBorders>
            <w:shd w:val="clear" w:color="auto" w:fill="F1F1F1"/>
          </w:tcPr>
          <w:p>
            <w:pPr>
              <w:pStyle w:val="TableParagraph"/>
              <w:spacing w:line="140" w:lineRule="exact" w:before="3"/>
              <w:ind w:left="59"/>
              <w:rPr>
                <w:b/>
                <w:sz w:val="13"/>
              </w:rPr>
            </w:pPr>
            <w:r>
              <w:rPr>
                <w:b/>
                <w:w w:val="105"/>
                <w:sz w:val="13"/>
              </w:rPr>
              <w:t>SCS</w:t>
            </w:r>
          </w:p>
        </w:tc>
        <w:tc>
          <w:tcPr>
            <w:tcW w:w="1911" w:type="dxa"/>
            <w:tcBorders>
              <w:left w:val="single" w:sz="4" w:space="0" w:color="000000"/>
            </w:tcBorders>
            <w:shd w:val="clear" w:color="auto" w:fill="F1F1F1"/>
          </w:tcPr>
          <w:p>
            <w:pPr>
              <w:pStyle w:val="TableParagraph"/>
              <w:spacing w:line="140" w:lineRule="exact" w:before="3"/>
              <w:ind w:left="746"/>
              <w:rPr>
                <w:b/>
                <w:sz w:val="13"/>
              </w:rPr>
            </w:pPr>
            <w:r>
              <w:rPr>
                <w:b/>
                <w:w w:val="105"/>
                <w:sz w:val="13"/>
              </w:rPr>
              <w:t>30.358,60</w:t>
            </w:r>
          </w:p>
        </w:tc>
        <w:tc>
          <w:tcPr>
            <w:tcW w:w="867" w:type="dxa"/>
            <w:tcBorders>
              <w:right w:val="single" w:sz="4" w:space="0" w:color="000000"/>
            </w:tcBorders>
            <w:shd w:val="clear" w:color="auto" w:fill="F1F1F1"/>
          </w:tcPr>
          <w:p>
            <w:pPr>
              <w:pStyle w:val="TableParagraph"/>
              <w:spacing w:line="140" w:lineRule="exact" w:before="3"/>
              <w:ind w:right="44"/>
              <w:jc w:val="right"/>
              <w:rPr>
                <w:b/>
                <w:sz w:val="13"/>
              </w:rPr>
            </w:pPr>
            <w:r>
              <w:rPr>
                <w:b/>
                <w:w w:val="105"/>
                <w:sz w:val="13"/>
              </w:rPr>
              <w:t>188.347,59</w:t>
            </w:r>
          </w:p>
        </w:tc>
        <w:tc>
          <w:tcPr>
            <w:tcW w:w="1987" w:type="dxa"/>
            <w:tcBorders>
              <w:left w:val="single" w:sz="4" w:space="0" w:color="000000"/>
            </w:tcBorders>
            <w:shd w:val="clear" w:color="auto" w:fill="F1F1F1"/>
          </w:tcPr>
          <w:p>
            <w:pPr>
              <w:pStyle w:val="TableParagraph"/>
              <w:spacing w:line="140" w:lineRule="exact" w:before="3"/>
              <w:ind w:right="615"/>
              <w:jc w:val="right"/>
              <w:rPr>
                <w:b/>
                <w:sz w:val="13"/>
              </w:rPr>
            </w:pPr>
            <w:r>
              <w:rPr>
                <w:b/>
                <w:w w:val="105"/>
                <w:sz w:val="13"/>
              </w:rPr>
              <w:t>88.611,86</w:t>
            </w:r>
          </w:p>
        </w:tc>
        <w:tc>
          <w:tcPr>
            <w:tcW w:w="952" w:type="dxa"/>
            <w:tcBorders>
              <w:right w:val="single" w:sz="4" w:space="0" w:color="000000"/>
            </w:tcBorders>
            <w:shd w:val="clear" w:color="auto" w:fill="F1F1F1"/>
          </w:tcPr>
          <w:p>
            <w:pPr>
              <w:pStyle w:val="TableParagraph"/>
              <w:spacing w:line="140" w:lineRule="exact" w:before="3"/>
              <w:ind w:right="44"/>
              <w:jc w:val="right"/>
              <w:rPr>
                <w:b/>
                <w:sz w:val="13"/>
              </w:rPr>
            </w:pPr>
            <w:r>
              <w:rPr>
                <w:b/>
                <w:w w:val="105"/>
                <w:sz w:val="13"/>
              </w:rPr>
              <w:t>103.826,11</w:t>
            </w:r>
          </w:p>
        </w:tc>
      </w:tr>
      <w:tr>
        <w:trPr>
          <w:trHeight w:val="174" w:hRule="atLeast"/>
        </w:trPr>
        <w:tc>
          <w:tcPr>
            <w:tcW w:w="1306" w:type="dxa"/>
            <w:tcBorders>
              <w:left w:val="single" w:sz="4" w:space="0" w:color="000000"/>
              <w:right w:val="single" w:sz="4" w:space="0" w:color="000000"/>
            </w:tcBorders>
          </w:tcPr>
          <w:p>
            <w:pPr>
              <w:pStyle w:val="TableParagraph"/>
              <w:spacing w:line="152" w:lineRule="exact" w:before="3"/>
              <w:ind w:left="59"/>
              <w:rPr>
                <w:b/>
                <w:sz w:val="13"/>
              </w:rPr>
            </w:pPr>
            <w:r>
              <w:rPr>
                <w:b/>
                <w:w w:val="105"/>
                <w:sz w:val="13"/>
              </w:rPr>
              <w:t>ACCUEE</w:t>
            </w:r>
          </w:p>
        </w:tc>
        <w:tc>
          <w:tcPr>
            <w:tcW w:w="1911" w:type="dxa"/>
            <w:tcBorders>
              <w:left w:val="single" w:sz="4" w:space="0" w:color="000000"/>
            </w:tcBorders>
          </w:tcPr>
          <w:p>
            <w:pPr>
              <w:pStyle w:val="TableParagraph"/>
              <w:spacing w:line="152" w:lineRule="exact" w:before="3"/>
              <w:ind w:left="1057"/>
              <w:rPr>
                <w:sz w:val="13"/>
              </w:rPr>
            </w:pPr>
            <w:r>
              <w:rPr>
                <w:w w:val="105"/>
                <w:sz w:val="13"/>
              </w:rPr>
              <w:t>0,00</w:t>
            </w:r>
          </w:p>
        </w:tc>
        <w:tc>
          <w:tcPr>
            <w:tcW w:w="867" w:type="dxa"/>
            <w:tcBorders>
              <w:right w:val="single" w:sz="4" w:space="0" w:color="000000"/>
            </w:tcBorders>
          </w:tcPr>
          <w:p>
            <w:pPr>
              <w:pStyle w:val="TableParagraph"/>
              <w:spacing w:line="152" w:lineRule="exact" w:before="3"/>
              <w:ind w:right="44"/>
              <w:jc w:val="right"/>
              <w:rPr>
                <w:sz w:val="13"/>
              </w:rPr>
            </w:pPr>
            <w:r>
              <w:rPr>
                <w:sz w:val="13"/>
              </w:rPr>
              <w:t>0,00</w:t>
            </w:r>
          </w:p>
        </w:tc>
        <w:tc>
          <w:tcPr>
            <w:tcW w:w="1987" w:type="dxa"/>
            <w:tcBorders>
              <w:left w:val="single" w:sz="4" w:space="0" w:color="000000"/>
            </w:tcBorders>
          </w:tcPr>
          <w:p>
            <w:pPr>
              <w:pStyle w:val="TableParagraph"/>
              <w:spacing w:line="152" w:lineRule="exact" w:before="3"/>
              <w:ind w:right="615"/>
              <w:jc w:val="right"/>
              <w:rPr>
                <w:sz w:val="13"/>
              </w:rPr>
            </w:pPr>
            <w:r>
              <w:rPr>
                <w:sz w:val="13"/>
              </w:rPr>
              <w:t>0,00</w:t>
            </w:r>
          </w:p>
        </w:tc>
        <w:tc>
          <w:tcPr>
            <w:tcW w:w="952" w:type="dxa"/>
            <w:tcBorders>
              <w:right w:val="single" w:sz="4" w:space="0" w:color="000000"/>
            </w:tcBorders>
          </w:tcPr>
          <w:p>
            <w:pPr>
              <w:pStyle w:val="TableParagraph"/>
              <w:spacing w:line="152" w:lineRule="exact" w:before="3"/>
              <w:ind w:right="44"/>
              <w:jc w:val="right"/>
              <w:rPr>
                <w:sz w:val="13"/>
              </w:rPr>
            </w:pPr>
            <w:r>
              <w:rPr>
                <w:sz w:val="13"/>
              </w:rPr>
              <w:t>0,00</w:t>
            </w:r>
          </w:p>
        </w:tc>
      </w:tr>
      <w:tr>
        <w:trPr>
          <w:trHeight w:val="164" w:hRule="atLeast"/>
        </w:trPr>
        <w:tc>
          <w:tcPr>
            <w:tcW w:w="1306" w:type="dxa"/>
            <w:tcBorders>
              <w:left w:val="single" w:sz="4" w:space="0" w:color="000000"/>
              <w:right w:val="single" w:sz="4" w:space="0" w:color="000000"/>
            </w:tcBorders>
          </w:tcPr>
          <w:p>
            <w:pPr>
              <w:pStyle w:val="TableParagraph"/>
              <w:spacing w:line="144" w:lineRule="exact"/>
              <w:ind w:left="59"/>
              <w:rPr>
                <w:b/>
                <w:sz w:val="13"/>
              </w:rPr>
            </w:pPr>
            <w:r>
              <w:rPr>
                <w:b/>
                <w:w w:val="105"/>
                <w:sz w:val="13"/>
              </w:rPr>
              <w:t>ICAVI</w:t>
            </w:r>
          </w:p>
        </w:tc>
        <w:tc>
          <w:tcPr>
            <w:tcW w:w="1911" w:type="dxa"/>
            <w:tcBorders>
              <w:left w:val="single" w:sz="4" w:space="0" w:color="000000"/>
            </w:tcBorders>
          </w:tcPr>
          <w:p>
            <w:pPr>
              <w:pStyle w:val="TableParagraph"/>
              <w:spacing w:line="144" w:lineRule="exact"/>
              <w:ind w:left="819"/>
              <w:rPr>
                <w:sz w:val="13"/>
              </w:rPr>
            </w:pPr>
            <w:r>
              <w:rPr>
                <w:w w:val="105"/>
                <w:sz w:val="13"/>
              </w:rPr>
              <w:t>6.055,90</w:t>
            </w:r>
          </w:p>
        </w:tc>
        <w:tc>
          <w:tcPr>
            <w:tcW w:w="867" w:type="dxa"/>
            <w:tcBorders>
              <w:right w:val="single" w:sz="4" w:space="0" w:color="000000"/>
            </w:tcBorders>
          </w:tcPr>
          <w:p>
            <w:pPr>
              <w:pStyle w:val="TableParagraph"/>
              <w:spacing w:line="144" w:lineRule="exact"/>
              <w:ind w:right="44"/>
              <w:jc w:val="right"/>
              <w:rPr>
                <w:sz w:val="13"/>
              </w:rPr>
            </w:pPr>
            <w:r>
              <w:rPr>
                <w:w w:val="105"/>
                <w:sz w:val="13"/>
              </w:rPr>
              <w:t>92.027,98</w:t>
            </w:r>
          </w:p>
        </w:tc>
        <w:tc>
          <w:tcPr>
            <w:tcW w:w="1987" w:type="dxa"/>
            <w:tcBorders>
              <w:left w:val="single" w:sz="4" w:space="0" w:color="000000"/>
            </w:tcBorders>
          </w:tcPr>
          <w:p>
            <w:pPr>
              <w:pStyle w:val="TableParagraph"/>
              <w:spacing w:line="144" w:lineRule="exact"/>
              <w:ind w:right="615"/>
              <w:jc w:val="right"/>
              <w:rPr>
                <w:sz w:val="13"/>
              </w:rPr>
            </w:pPr>
            <w:r>
              <w:rPr>
                <w:w w:val="105"/>
                <w:sz w:val="13"/>
              </w:rPr>
              <w:t>97.598,24</w:t>
            </w:r>
          </w:p>
        </w:tc>
        <w:tc>
          <w:tcPr>
            <w:tcW w:w="952" w:type="dxa"/>
            <w:tcBorders>
              <w:right w:val="single" w:sz="4" w:space="0" w:color="000000"/>
            </w:tcBorders>
          </w:tcPr>
          <w:p>
            <w:pPr>
              <w:pStyle w:val="TableParagraph"/>
              <w:spacing w:line="144" w:lineRule="exact"/>
              <w:ind w:right="44"/>
              <w:jc w:val="right"/>
              <w:rPr>
                <w:sz w:val="13"/>
              </w:rPr>
            </w:pPr>
            <w:r>
              <w:rPr>
                <w:w w:val="105"/>
                <w:sz w:val="13"/>
              </w:rPr>
              <w:t>15.694,94</w:t>
            </w:r>
          </w:p>
        </w:tc>
      </w:tr>
      <w:tr>
        <w:trPr>
          <w:trHeight w:val="164" w:hRule="atLeast"/>
        </w:trPr>
        <w:tc>
          <w:tcPr>
            <w:tcW w:w="1306" w:type="dxa"/>
            <w:tcBorders>
              <w:left w:val="single" w:sz="4" w:space="0" w:color="000000"/>
              <w:right w:val="single" w:sz="4" w:space="0" w:color="000000"/>
            </w:tcBorders>
          </w:tcPr>
          <w:p>
            <w:pPr>
              <w:pStyle w:val="TableParagraph"/>
              <w:spacing w:line="144" w:lineRule="exact"/>
              <w:ind w:left="59"/>
              <w:rPr>
                <w:b/>
                <w:sz w:val="13"/>
              </w:rPr>
            </w:pPr>
            <w:r>
              <w:rPr>
                <w:b/>
                <w:w w:val="105"/>
                <w:sz w:val="13"/>
              </w:rPr>
              <w:t>ICCA</w:t>
            </w:r>
          </w:p>
        </w:tc>
        <w:tc>
          <w:tcPr>
            <w:tcW w:w="1911" w:type="dxa"/>
            <w:tcBorders>
              <w:left w:val="single" w:sz="4" w:space="0" w:color="000000"/>
            </w:tcBorders>
          </w:tcPr>
          <w:p>
            <w:pPr>
              <w:pStyle w:val="TableParagraph"/>
              <w:spacing w:line="144" w:lineRule="exact"/>
              <w:ind w:left="988"/>
              <w:rPr>
                <w:sz w:val="13"/>
              </w:rPr>
            </w:pPr>
            <w:r>
              <w:rPr>
                <w:w w:val="105"/>
                <w:sz w:val="13"/>
              </w:rPr>
              <w:t>26,21</w:t>
            </w:r>
          </w:p>
        </w:tc>
        <w:tc>
          <w:tcPr>
            <w:tcW w:w="867" w:type="dxa"/>
            <w:tcBorders>
              <w:right w:val="single" w:sz="4" w:space="0" w:color="000000"/>
            </w:tcBorders>
          </w:tcPr>
          <w:p>
            <w:pPr>
              <w:pStyle w:val="TableParagraph"/>
              <w:spacing w:line="144" w:lineRule="exact"/>
              <w:ind w:right="44"/>
              <w:jc w:val="right"/>
              <w:rPr>
                <w:sz w:val="13"/>
              </w:rPr>
            </w:pPr>
            <w:r>
              <w:rPr>
                <w:sz w:val="13"/>
              </w:rPr>
              <w:t>66,85</w:t>
            </w:r>
          </w:p>
        </w:tc>
        <w:tc>
          <w:tcPr>
            <w:tcW w:w="1987" w:type="dxa"/>
            <w:tcBorders>
              <w:left w:val="single" w:sz="4" w:space="0" w:color="000000"/>
            </w:tcBorders>
          </w:tcPr>
          <w:p>
            <w:pPr>
              <w:pStyle w:val="TableParagraph"/>
              <w:spacing w:line="144" w:lineRule="exact"/>
              <w:ind w:right="615"/>
              <w:jc w:val="right"/>
              <w:rPr>
                <w:sz w:val="13"/>
              </w:rPr>
            </w:pPr>
            <w:r>
              <w:rPr>
                <w:sz w:val="13"/>
              </w:rPr>
              <w:t>590,60</w:t>
            </w:r>
          </w:p>
        </w:tc>
        <w:tc>
          <w:tcPr>
            <w:tcW w:w="952" w:type="dxa"/>
            <w:tcBorders>
              <w:right w:val="single" w:sz="4" w:space="0" w:color="000000"/>
            </w:tcBorders>
          </w:tcPr>
          <w:p>
            <w:pPr>
              <w:pStyle w:val="TableParagraph"/>
              <w:spacing w:line="144" w:lineRule="exact"/>
              <w:ind w:right="44"/>
              <w:jc w:val="right"/>
              <w:rPr>
                <w:sz w:val="13"/>
              </w:rPr>
            </w:pPr>
            <w:r>
              <w:rPr>
                <w:sz w:val="13"/>
              </w:rPr>
              <w:t>529,15</w:t>
            </w:r>
          </w:p>
        </w:tc>
      </w:tr>
      <w:tr>
        <w:trPr>
          <w:trHeight w:val="163" w:hRule="atLeast"/>
        </w:trPr>
        <w:tc>
          <w:tcPr>
            <w:tcW w:w="1306" w:type="dxa"/>
            <w:tcBorders>
              <w:left w:val="single" w:sz="4" w:space="0" w:color="000000"/>
              <w:right w:val="single" w:sz="4" w:space="0" w:color="000000"/>
            </w:tcBorders>
          </w:tcPr>
          <w:p>
            <w:pPr>
              <w:pStyle w:val="TableParagraph"/>
              <w:spacing w:line="143" w:lineRule="exact"/>
              <w:ind w:left="59"/>
              <w:rPr>
                <w:b/>
                <w:sz w:val="13"/>
              </w:rPr>
            </w:pPr>
            <w:r>
              <w:rPr>
                <w:b/>
                <w:w w:val="105"/>
                <w:sz w:val="13"/>
              </w:rPr>
              <w:t>APMN</w:t>
            </w:r>
          </w:p>
        </w:tc>
        <w:tc>
          <w:tcPr>
            <w:tcW w:w="1911" w:type="dxa"/>
            <w:tcBorders>
              <w:left w:val="single" w:sz="4" w:space="0" w:color="000000"/>
            </w:tcBorders>
          </w:tcPr>
          <w:p>
            <w:pPr>
              <w:pStyle w:val="TableParagraph"/>
              <w:spacing w:line="143" w:lineRule="exact"/>
              <w:ind w:left="819"/>
              <w:rPr>
                <w:sz w:val="13"/>
              </w:rPr>
            </w:pPr>
            <w:r>
              <w:rPr>
                <w:w w:val="105"/>
                <w:sz w:val="13"/>
              </w:rPr>
              <w:t>3.620,58</w:t>
            </w:r>
          </w:p>
        </w:tc>
        <w:tc>
          <w:tcPr>
            <w:tcW w:w="867" w:type="dxa"/>
            <w:tcBorders>
              <w:right w:val="single" w:sz="4" w:space="0" w:color="000000"/>
            </w:tcBorders>
          </w:tcPr>
          <w:p>
            <w:pPr>
              <w:pStyle w:val="TableParagraph"/>
              <w:spacing w:line="143" w:lineRule="exact"/>
              <w:ind w:right="44"/>
              <w:jc w:val="right"/>
              <w:rPr>
                <w:sz w:val="13"/>
              </w:rPr>
            </w:pPr>
            <w:r>
              <w:rPr>
                <w:w w:val="105"/>
                <w:sz w:val="13"/>
              </w:rPr>
              <w:t>1.643,82</w:t>
            </w:r>
          </w:p>
        </w:tc>
        <w:tc>
          <w:tcPr>
            <w:tcW w:w="1987" w:type="dxa"/>
            <w:tcBorders>
              <w:left w:val="single" w:sz="4" w:space="0" w:color="000000"/>
            </w:tcBorders>
          </w:tcPr>
          <w:p>
            <w:pPr>
              <w:pStyle w:val="TableParagraph"/>
              <w:spacing w:line="143" w:lineRule="exact"/>
              <w:ind w:right="615"/>
              <w:jc w:val="right"/>
              <w:rPr>
                <w:sz w:val="13"/>
              </w:rPr>
            </w:pPr>
            <w:r>
              <w:rPr>
                <w:w w:val="105"/>
                <w:sz w:val="13"/>
              </w:rPr>
              <w:t>22.399,13</w:t>
            </w:r>
          </w:p>
        </w:tc>
        <w:tc>
          <w:tcPr>
            <w:tcW w:w="952" w:type="dxa"/>
            <w:tcBorders>
              <w:right w:val="single" w:sz="4" w:space="0" w:color="000000"/>
            </w:tcBorders>
          </w:tcPr>
          <w:p>
            <w:pPr>
              <w:pStyle w:val="TableParagraph"/>
              <w:spacing w:line="143" w:lineRule="exact"/>
              <w:ind w:right="44"/>
              <w:jc w:val="right"/>
              <w:rPr>
                <w:sz w:val="13"/>
              </w:rPr>
            </w:pPr>
            <w:r>
              <w:rPr>
                <w:w w:val="105"/>
                <w:sz w:val="13"/>
              </w:rPr>
              <w:t>27.311,60</w:t>
            </w:r>
          </w:p>
        </w:tc>
      </w:tr>
      <w:tr>
        <w:trPr>
          <w:trHeight w:val="164" w:hRule="atLeast"/>
        </w:trPr>
        <w:tc>
          <w:tcPr>
            <w:tcW w:w="1306" w:type="dxa"/>
            <w:tcBorders>
              <w:left w:val="single" w:sz="4" w:space="0" w:color="000000"/>
              <w:right w:val="single" w:sz="4" w:space="0" w:color="000000"/>
            </w:tcBorders>
          </w:tcPr>
          <w:p>
            <w:pPr>
              <w:pStyle w:val="TableParagraph"/>
              <w:spacing w:line="144" w:lineRule="exact"/>
              <w:ind w:left="59"/>
              <w:rPr>
                <w:b/>
                <w:sz w:val="13"/>
              </w:rPr>
            </w:pPr>
            <w:r>
              <w:rPr>
                <w:b/>
                <w:w w:val="105"/>
                <w:sz w:val="13"/>
              </w:rPr>
              <w:t>CES</w:t>
            </w:r>
          </w:p>
        </w:tc>
        <w:tc>
          <w:tcPr>
            <w:tcW w:w="1911" w:type="dxa"/>
            <w:tcBorders>
              <w:left w:val="single" w:sz="4" w:space="0" w:color="000000"/>
            </w:tcBorders>
          </w:tcPr>
          <w:p>
            <w:pPr>
              <w:pStyle w:val="TableParagraph"/>
              <w:spacing w:line="144" w:lineRule="exact"/>
              <w:ind w:left="1057"/>
              <w:rPr>
                <w:sz w:val="13"/>
              </w:rPr>
            </w:pPr>
            <w:r>
              <w:rPr>
                <w:w w:val="105"/>
                <w:sz w:val="13"/>
              </w:rPr>
              <w:t>0,00</w:t>
            </w:r>
          </w:p>
        </w:tc>
        <w:tc>
          <w:tcPr>
            <w:tcW w:w="867" w:type="dxa"/>
            <w:tcBorders>
              <w:right w:val="single" w:sz="4" w:space="0" w:color="000000"/>
            </w:tcBorders>
          </w:tcPr>
          <w:p>
            <w:pPr>
              <w:pStyle w:val="TableParagraph"/>
              <w:spacing w:line="144" w:lineRule="exact"/>
              <w:ind w:right="44"/>
              <w:jc w:val="right"/>
              <w:rPr>
                <w:sz w:val="13"/>
              </w:rPr>
            </w:pPr>
            <w:r>
              <w:rPr>
                <w:sz w:val="13"/>
              </w:rPr>
              <w:t>0,00</w:t>
            </w:r>
          </w:p>
        </w:tc>
        <w:tc>
          <w:tcPr>
            <w:tcW w:w="1987" w:type="dxa"/>
            <w:tcBorders>
              <w:left w:val="single" w:sz="4" w:space="0" w:color="000000"/>
            </w:tcBorders>
          </w:tcPr>
          <w:p>
            <w:pPr>
              <w:pStyle w:val="TableParagraph"/>
              <w:spacing w:line="144" w:lineRule="exact"/>
              <w:ind w:right="615"/>
              <w:jc w:val="right"/>
              <w:rPr>
                <w:sz w:val="13"/>
              </w:rPr>
            </w:pPr>
            <w:r>
              <w:rPr>
                <w:sz w:val="13"/>
              </w:rPr>
              <w:t>0,00</w:t>
            </w:r>
          </w:p>
        </w:tc>
        <w:tc>
          <w:tcPr>
            <w:tcW w:w="952" w:type="dxa"/>
            <w:tcBorders>
              <w:right w:val="single" w:sz="4" w:space="0" w:color="000000"/>
            </w:tcBorders>
          </w:tcPr>
          <w:p>
            <w:pPr>
              <w:pStyle w:val="TableParagraph"/>
              <w:spacing w:line="144" w:lineRule="exact"/>
              <w:ind w:right="44"/>
              <w:jc w:val="right"/>
              <w:rPr>
                <w:sz w:val="13"/>
              </w:rPr>
            </w:pPr>
            <w:r>
              <w:rPr>
                <w:sz w:val="13"/>
              </w:rPr>
              <w:t>0,00</w:t>
            </w:r>
          </w:p>
        </w:tc>
      </w:tr>
      <w:tr>
        <w:trPr>
          <w:trHeight w:val="164" w:hRule="atLeast"/>
        </w:trPr>
        <w:tc>
          <w:tcPr>
            <w:tcW w:w="1306" w:type="dxa"/>
            <w:tcBorders>
              <w:left w:val="single" w:sz="4" w:space="0" w:color="000000"/>
              <w:right w:val="single" w:sz="4" w:space="0" w:color="000000"/>
            </w:tcBorders>
          </w:tcPr>
          <w:p>
            <w:pPr>
              <w:pStyle w:val="TableParagraph"/>
              <w:spacing w:line="144" w:lineRule="exact"/>
              <w:ind w:left="59"/>
              <w:rPr>
                <w:b/>
                <w:sz w:val="13"/>
              </w:rPr>
            </w:pPr>
            <w:r>
              <w:rPr>
                <w:b/>
                <w:w w:val="105"/>
                <w:sz w:val="13"/>
              </w:rPr>
              <w:t>RTVC</w:t>
            </w:r>
          </w:p>
        </w:tc>
        <w:tc>
          <w:tcPr>
            <w:tcW w:w="1911" w:type="dxa"/>
            <w:tcBorders>
              <w:left w:val="single" w:sz="4" w:space="0" w:color="000000"/>
            </w:tcBorders>
          </w:tcPr>
          <w:p>
            <w:pPr>
              <w:pStyle w:val="TableParagraph"/>
              <w:spacing w:line="144" w:lineRule="exact"/>
              <w:ind w:left="819"/>
              <w:rPr>
                <w:sz w:val="13"/>
              </w:rPr>
            </w:pPr>
            <w:r>
              <w:rPr>
                <w:w w:val="105"/>
                <w:sz w:val="13"/>
              </w:rPr>
              <w:t>6.000,00</w:t>
            </w:r>
          </w:p>
        </w:tc>
        <w:tc>
          <w:tcPr>
            <w:tcW w:w="867" w:type="dxa"/>
            <w:tcBorders>
              <w:right w:val="single" w:sz="4" w:space="0" w:color="000000"/>
            </w:tcBorders>
          </w:tcPr>
          <w:p>
            <w:pPr>
              <w:pStyle w:val="TableParagraph"/>
              <w:spacing w:line="144" w:lineRule="exact"/>
              <w:ind w:right="44"/>
              <w:jc w:val="right"/>
              <w:rPr>
                <w:sz w:val="13"/>
              </w:rPr>
            </w:pPr>
            <w:r>
              <w:rPr>
                <w:sz w:val="13"/>
              </w:rPr>
              <w:t>0,00</w:t>
            </w:r>
          </w:p>
        </w:tc>
        <w:tc>
          <w:tcPr>
            <w:tcW w:w="1987" w:type="dxa"/>
            <w:tcBorders>
              <w:left w:val="single" w:sz="4" w:space="0" w:color="000000"/>
            </w:tcBorders>
          </w:tcPr>
          <w:p>
            <w:pPr>
              <w:pStyle w:val="TableParagraph"/>
              <w:spacing w:line="144" w:lineRule="exact"/>
              <w:ind w:right="615"/>
              <w:jc w:val="right"/>
              <w:rPr>
                <w:sz w:val="13"/>
              </w:rPr>
            </w:pPr>
            <w:r>
              <w:rPr>
                <w:sz w:val="13"/>
              </w:rPr>
              <w:t>0,00</w:t>
            </w:r>
          </w:p>
        </w:tc>
        <w:tc>
          <w:tcPr>
            <w:tcW w:w="952" w:type="dxa"/>
            <w:tcBorders>
              <w:right w:val="single" w:sz="4" w:space="0" w:color="000000"/>
            </w:tcBorders>
          </w:tcPr>
          <w:p>
            <w:pPr>
              <w:pStyle w:val="TableParagraph"/>
              <w:spacing w:line="144" w:lineRule="exact"/>
              <w:ind w:right="44"/>
              <w:jc w:val="right"/>
              <w:rPr>
                <w:sz w:val="13"/>
              </w:rPr>
            </w:pPr>
            <w:r>
              <w:rPr>
                <w:sz w:val="13"/>
              </w:rPr>
              <w:t>0,00</w:t>
            </w:r>
          </w:p>
        </w:tc>
      </w:tr>
      <w:tr>
        <w:trPr>
          <w:trHeight w:val="152" w:hRule="atLeast"/>
        </w:trPr>
        <w:tc>
          <w:tcPr>
            <w:tcW w:w="1306" w:type="dxa"/>
            <w:tcBorders>
              <w:left w:val="single" w:sz="4" w:space="0" w:color="000000"/>
              <w:bottom w:val="single" w:sz="4" w:space="0" w:color="000000"/>
              <w:right w:val="single" w:sz="4" w:space="0" w:color="000000"/>
            </w:tcBorders>
          </w:tcPr>
          <w:p>
            <w:pPr>
              <w:pStyle w:val="TableParagraph"/>
              <w:spacing w:line="133" w:lineRule="exact"/>
              <w:ind w:left="59"/>
              <w:rPr>
                <w:b/>
                <w:sz w:val="13"/>
              </w:rPr>
            </w:pPr>
            <w:r>
              <w:rPr>
                <w:b/>
                <w:w w:val="105"/>
                <w:sz w:val="13"/>
              </w:rPr>
              <w:t>ATC</w:t>
            </w:r>
          </w:p>
        </w:tc>
        <w:tc>
          <w:tcPr>
            <w:tcW w:w="1911" w:type="dxa"/>
            <w:tcBorders>
              <w:left w:val="single" w:sz="4" w:space="0" w:color="000000"/>
              <w:bottom w:val="single" w:sz="4" w:space="0" w:color="000000"/>
            </w:tcBorders>
          </w:tcPr>
          <w:p>
            <w:pPr>
              <w:pStyle w:val="TableParagraph"/>
              <w:spacing w:line="133" w:lineRule="exact"/>
              <w:ind w:left="1057"/>
              <w:rPr>
                <w:sz w:val="13"/>
              </w:rPr>
            </w:pPr>
            <w:r>
              <w:rPr>
                <w:w w:val="105"/>
                <w:sz w:val="13"/>
              </w:rPr>
              <w:t>0,00</w:t>
            </w:r>
          </w:p>
        </w:tc>
        <w:tc>
          <w:tcPr>
            <w:tcW w:w="867" w:type="dxa"/>
            <w:tcBorders>
              <w:bottom w:val="single" w:sz="4" w:space="0" w:color="000000"/>
              <w:right w:val="single" w:sz="4" w:space="0" w:color="000000"/>
            </w:tcBorders>
          </w:tcPr>
          <w:p>
            <w:pPr>
              <w:pStyle w:val="TableParagraph"/>
              <w:spacing w:line="133" w:lineRule="exact"/>
              <w:ind w:right="44"/>
              <w:jc w:val="right"/>
              <w:rPr>
                <w:sz w:val="13"/>
              </w:rPr>
            </w:pPr>
            <w:r>
              <w:rPr>
                <w:sz w:val="13"/>
              </w:rPr>
              <w:t>0,00</w:t>
            </w:r>
          </w:p>
        </w:tc>
        <w:tc>
          <w:tcPr>
            <w:tcW w:w="1987" w:type="dxa"/>
            <w:tcBorders>
              <w:left w:val="single" w:sz="4" w:space="0" w:color="000000"/>
              <w:bottom w:val="single" w:sz="4" w:space="0" w:color="000000"/>
            </w:tcBorders>
          </w:tcPr>
          <w:p>
            <w:pPr>
              <w:pStyle w:val="TableParagraph"/>
              <w:spacing w:line="133" w:lineRule="exact"/>
              <w:ind w:right="615"/>
              <w:jc w:val="right"/>
              <w:rPr>
                <w:sz w:val="13"/>
              </w:rPr>
            </w:pPr>
            <w:r>
              <w:rPr>
                <w:sz w:val="13"/>
              </w:rPr>
              <w:t>0,00</w:t>
            </w:r>
          </w:p>
        </w:tc>
        <w:tc>
          <w:tcPr>
            <w:tcW w:w="952" w:type="dxa"/>
            <w:tcBorders>
              <w:bottom w:val="single" w:sz="4" w:space="0" w:color="000000"/>
              <w:right w:val="single" w:sz="4" w:space="0" w:color="000000"/>
            </w:tcBorders>
          </w:tcPr>
          <w:p>
            <w:pPr>
              <w:pStyle w:val="TableParagraph"/>
              <w:spacing w:line="133" w:lineRule="exact"/>
              <w:ind w:right="44"/>
              <w:jc w:val="right"/>
              <w:rPr>
                <w:sz w:val="13"/>
              </w:rPr>
            </w:pPr>
            <w:r>
              <w:rPr>
                <w:sz w:val="13"/>
              </w:rPr>
              <w:t>0,00</w:t>
            </w:r>
          </w:p>
        </w:tc>
      </w:tr>
      <w:tr>
        <w:trPr>
          <w:trHeight w:val="191" w:hRule="atLeast"/>
        </w:trPr>
        <w:tc>
          <w:tcPr>
            <w:tcW w:w="130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155" w:lineRule="exact" w:before="16"/>
              <w:ind w:left="138"/>
              <w:rPr>
                <w:b/>
                <w:sz w:val="13"/>
              </w:rPr>
            </w:pPr>
            <w:r>
              <w:rPr>
                <w:b/>
                <w:w w:val="105"/>
                <w:sz w:val="13"/>
              </w:rPr>
              <w:t>TOTAL (</w:t>
            </w:r>
            <w:r>
              <w:rPr>
                <w:w w:val="105"/>
                <w:sz w:val="13"/>
              </w:rPr>
              <w:t>miles de €</w:t>
            </w:r>
            <w:r>
              <w:rPr>
                <w:b/>
                <w:w w:val="105"/>
                <w:sz w:val="13"/>
              </w:rPr>
              <w:t>)</w:t>
            </w:r>
          </w:p>
        </w:tc>
        <w:tc>
          <w:tcPr>
            <w:tcW w:w="1911" w:type="dxa"/>
            <w:tcBorders>
              <w:top w:val="single" w:sz="4" w:space="0" w:color="000000"/>
              <w:left w:val="single" w:sz="4" w:space="0" w:color="000000"/>
              <w:bottom w:val="single" w:sz="4" w:space="0" w:color="000000"/>
            </w:tcBorders>
            <w:shd w:val="clear" w:color="auto" w:fill="D9D9D9"/>
          </w:tcPr>
          <w:p>
            <w:pPr>
              <w:pStyle w:val="TableParagraph"/>
              <w:spacing w:line="155" w:lineRule="exact" w:before="16"/>
              <w:ind w:left="746"/>
              <w:rPr>
                <w:b/>
                <w:sz w:val="13"/>
              </w:rPr>
            </w:pPr>
            <w:r>
              <w:rPr>
                <w:b/>
                <w:w w:val="105"/>
                <w:sz w:val="13"/>
              </w:rPr>
              <w:t>48.177,40</w:t>
            </w:r>
          </w:p>
        </w:tc>
        <w:tc>
          <w:tcPr>
            <w:tcW w:w="867" w:type="dxa"/>
            <w:tcBorders>
              <w:top w:val="single" w:sz="4" w:space="0" w:color="000000"/>
              <w:bottom w:val="single" w:sz="4" w:space="0" w:color="000000"/>
              <w:right w:val="single" w:sz="4" w:space="0" w:color="000000"/>
            </w:tcBorders>
            <w:shd w:val="clear" w:color="auto" w:fill="D9D9D9"/>
          </w:tcPr>
          <w:p>
            <w:pPr>
              <w:pStyle w:val="TableParagraph"/>
              <w:spacing w:line="155" w:lineRule="exact" w:before="16"/>
              <w:ind w:right="44"/>
              <w:jc w:val="right"/>
              <w:rPr>
                <w:b/>
                <w:sz w:val="13"/>
              </w:rPr>
            </w:pPr>
            <w:r>
              <w:rPr>
                <w:b/>
                <w:w w:val="105"/>
                <w:sz w:val="13"/>
              </w:rPr>
              <w:t>298.179,43</w:t>
            </w:r>
          </w:p>
        </w:tc>
        <w:tc>
          <w:tcPr>
            <w:tcW w:w="1987" w:type="dxa"/>
            <w:tcBorders>
              <w:top w:val="single" w:sz="4" w:space="0" w:color="000000"/>
              <w:left w:val="single" w:sz="4" w:space="0" w:color="000000"/>
              <w:bottom w:val="single" w:sz="4" w:space="0" w:color="000000"/>
            </w:tcBorders>
            <w:shd w:val="clear" w:color="auto" w:fill="D9D9D9"/>
          </w:tcPr>
          <w:p>
            <w:pPr>
              <w:pStyle w:val="TableParagraph"/>
              <w:spacing w:line="155" w:lineRule="exact" w:before="16"/>
              <w:ind w:right="615"/>
              <w:jc w:val="right"/>
              <w:rPr>
                <w:b/>
                <w:sz w:val="13"/>
              </w:rPr>
            </w:pPr>
            <w:r>
              <w:rPr>
                <w:b/>
                <w:w w:val="105"/>
                <w:sz w:val="13"/>
              </w:rPr>
              <w:t>229.066,84</w:t>
            </w:r>
          </w:p>
        </w:tc>
        <w:tc>
          <w:tcPr>
            <w:tcW w:w="952" w:type="dxa"/>
            <w:tcBorders>
              <w:top w:val="single" w:sz="4" w:space="0" w:color="000000"/>
              <w:bottom w:val="single" w:sz="4" w:space="0" w:color="000000"/>
              <w:right w:val="single" w:sz="4" w:space="0" w:color="000000"/>
            </w:tcBorders>
            <w:shd w:val="clear" w:color="auto" w:fill="D9D9D9"/>
          </w:tcPr>
          <w:p>
            <w:pPr>
              <w:pStyle w:val="TableParagraph"/>
              <w:spacing w:line="155" w:lineRule="exact" w:before="16"/>
              <w:ind w:right="44"/>
              <w:jc w:val="right"/>
              <w:rPr>
                <w:b/>
                <w:sz w:val="13"/>
              </w:rPr>
            </w:pPr>
            <w:r>
              <w:rPr>
                <w:b/>
                <w:w w:val="105"/>
                <w:sz w:val="13"/>
              </w:rPr>
              <w:t>166.529,74</w:t>
            </w:r>
          </w:p>
        </w:tc>
      </w:tr>
    </w:tbl>
    <w:p>
      <w:pPr>
        <w:pStyle w:val="BodyText"/>
        <w:spacing w:before="5" w:after="1"/>
        <w:rPr>
          <w:b/>
          <w:sz w:val="18"/>
        </w:rPr>
      </w:pPr>
    </w:p>
    <w:tbl>
      <w:tblPr>
        <w:tblW w:w="0" w:type="auto"/>
        <w:jc w:val="left"/>
        <w:tblInd w:w="2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2"/>
        <w:gridCol w:w="1348"/>
        <w:gridCol w:w="1026"/>
        <w:gridCol w:w="1037"/>
        <w:gridCol w:w="938"/>
        <w:gridCol w:w="1275"/>
      </w:tblGrid>
      <w:tr>
        <w:trPr>
          <w:trHeight w:val="187" w:hRule="atLeast"/>
        </w:trPr>
        <w:tc>
          <w:tcPr>
            <w:tcW w:w="1542" w:type="dxa"/>
            <w:vMerge w:val="restart"/>
            <w:tcBorders>
              <w:top w:val="single" w:sz="4" w:space="0" w:color="000000"/>
              <w:left w:val="single" w:sz="4" w:space="0" w:color="000000"/>
              <w:right w:val="single" w:sz="4" w:space="0" w:color="000000"/>
            </w:tcBorders>
          </w:tcPr>
          <w:p>
            <w:pPr>
              <w:pStyle w:val="TableParagraph"/>
              <w:rPr>
                <w:b/>
                <w:sz w:val="14"/>
              </w:rPr>
            </w:pPr>
          </w:p>
          <w:p>
            <w:pPr>
              <w:pStyle w:val="TableParagraph"/>
              <w:spacing w:before="10"/>
              <w:rPr>
                <w:b/>
                <w:sz w:val="19"/>
              </w:rPr>
            </w:pPr>
          </w:p>
          <w:p>
            <w:pPr>
              <w:pStyle w:val="TableParagraph"/>
              <w:ind w:left="87"/>
              <w:rPr>
                <w:b/>
                <w:sz w:val="13"/>
              </w:rPr>
            </w:pPr>
            <w:r>
              <w:rPr>
                <w:b/>
                <w:w w:val="105"/>
                <w:sz w:val="13"/>
              </w:rPr>
              <w:t>SCE</w:t>
            </w:r>
          </w:p>
          <w:p>
            <w:pPr>
              <w:pStyle w:val="TableParagraph"/>
              <w:spacing w:line="190" w:lineRule="atLeast" w:before="2"/>
              <w:ind w:left="87" w:right="1157"/>
              <w:rPr>
                <w:b/>
                <w:sz w:val="13"/>
              </w:rPr>
            </w:pPr>
            <w:r>
              <w:rPr>
                <w:b/>
                <w:w w:val="105"/>
                <w:sz w:val="13"/>
              </w:rPr>
              <w:t>ICIA </w:t>
            </w:r>
            <w:r>
              <w:rPr>
                <w:b/>
                <w:sz w:val="13"/>
              </w:rPr>
              <w:t>ICHH</w:t>
            </w:r>
          </w:p>
        </w:tc>
        <w:tc>
          <w:tcPr>
            <w:tcW w:w="5624" w:type="dxa"/>
            <w:gridSpan w:val="5"/>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153" w:lineRule="exact" w:before="14"/>
              <w:ind w:left="1206"/>
              <w:rPr>
                <w:b/>
                <w:sz w:val="13"/>
              </w:rPr>
            </w:pPr>
            <w:r>
              <w:rPr>
                <w:b/>
                <w:w w:val="105"/>
                <w:sz w:val="13"/>
              </w:rPr>
              <w:t>Antigüedad del pendiente de cobro de ejercicios cerrados</w:t>
            </w:r>
          </w:p>
        </w:tc>
      </w:tr>
      <w:tr>
        <w:trPr>
          <w:trHeight w:val="189" w:hRule="atLeast"/>
        </w:trPr>
        <w:tc>
          <w:tcPr>
            <w:tcW w:w="1542" w:type="dxa"/>
            <w:vMerge/>
            <w:tcBorders>
              <w:top w:val="nil"/>
              <w:left w:val="single" w:sz="4" w:space="0" w:color="000000"/>
              <w:right w:val="single" w:sz="4" w:space="0" w:color="000000"/>
            </w:tcBorders>
          </w:tcPr>
          <w:p>
            <w:pPr>
              <w:rPr>
                <w:sz w:val="2"/>
                <w:szCs w:val="2"/>
              </w:rPr>
            </w:pPr>
          </w:p>
        </w:tc>
        <w:tc>
          <w:tcPr>
            <w:tcW w:w="1348" w:type="dxa"/>
            <w:tcBorders>
              <w:top w:val="single" w:sz="4" w:space="0" w:color="000000"/>
              <w:left w:val="single" w:sz="4" w:space="0" w:color="000000"/>
              <w:bottom w:val="single" w:sz="4" w:space="0" w:color="000000"/>
            </w:tcBorders>
            <w:shd w:val="clear" w:color="auto" w:fill="DEEAF6"/>
          </w:tcPr>
          <w:p>
            <w:pPr>
              <w:pStyle w:val="TableParagraph"/>
              <w:spacing w:line="153" w:lineRule="exact" w:before="16"/>
              <w:ind w:right="242"/>
              <w:jc w:val="right"/>
              <w:rPr>
                <w:b/>
                <w:sz w:val="13"/>
              </w:rPr>
            </w:pPr>
            <w:r>
              <w:rPr>
                <w:b/>
                <w:w w:val="105"/>
                <w:sz w:val="13"/>
              </w:rPr>
              <w:t>Anteriores 2018</w:t>
            </w:r>
          </w:p>
        </w:tc>
        <w:tc>
          <w:tcPr>
            <w:tcW w:w="1026" w:type="dxa"/>
            <w:tcBorders>
              <w:top w:val="single" w:sz="4" w:space="0" w:color="000000"/>
              <w:bottom w:val="single" w:sz="4" w:space="0" w:color="000000"/>
            </w:tcBorders>
            <w:shd w:val="clear" w:color="auto" w:fill="DEEAF6"/>
          </w:tcPr>
          <w:p>
            <w:pPr>
              <w:pStyle w:val="TableParagraph"/>
              <w:spacing w:line="153" w:lineRule="exact" w:before="16"/>
              <w:ind w:right="219"/>
              <w:jc w:val="right"/>
              <w:rPr>
                <w:b/>
                <w:sz w:val="13"/>
              </w:rPr>
            </w:pPr>
            <w:r>
              <w:rPr>
                <w:b/>
                <w:sz w:val="13"/>
              </w:rPr>
              <w:t>2019</w:t>
            </w:r>
          </w:p>
        </w:tc>
        <w:tc>
          <w:tcPr>
            <w:tcW w:w="1037" w:type="dxa"/>
            <w:tcBorders>
              <w:top w:val="single" w:sz="4" w:space="0" w:color="000000"/>
              <w:bottom w:val="single" w:sz="4" w:space="0" w:color="000000"/>
            </w:tcBorders>
            <w:shd w:val="clear" w:color="auto" w:fill="DEEAF6"/>
          </w:tcPr>
          <w:p>
            <w:pPr>
              <w:pStyle w:val="TableParagraph"/>
              <w:spacing w:line="153" w:lineRule="exact" w:before="16"/>
              <w:ind w:right="253"/>
              <w:jc w:val="right"/>
              <w:rPr>
                <w:b/>
                <w:sz w:val="13"/>
              </w:rPr>
            </w:pPr>
            <w:r>
              <w:rPr>
                <w:b/>
                <w:sz w:val="13"/>
              </w:rPr>
              <w:t>2020</w:t>
            </w:r>
          </w:p>
        </w:tc>
        <w:tc>
          <w:tcPr>
            <w:tcW w:w="938" w:type="dxa"/>
            <w:tcBorders>
              <w:top w:val="single" w:sz="4" w:space="0" w:color="000000"/>
              <w:bottom w:val="single" w:sz="4" w:space="0" w:color="000000"/>
              <w:right w:val="single" w:sz="4" w:space="0" w:color="000000"/>
            </w:tcBorders>
            <w:shd w:val="clear" w:color="auto" w:fill="DEEAF6"/>
          </w:tcPr>
          <w:p>
            <w:pPr>
              <w:pStyle w:val="TableParagraph"/>
              <w:spacing w:line="153" w:lineRule="exact" w:before="16"/>
              <w:ind w:right="47"/>
              <w:jc w:val="right"/>
              <w:rPr>
                <w:b/>
                <w:sz w:val="13"/>
              </w:rPr>
            </w:pPr>
            <w:r>
              <w:rPr>
                <w:b/>
                <w:sz w:val="13"/>
              </w:rPr>
              <w:t>2021</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153" w:lineRule="exact" w:before="16"/>
              <w:ind w:right="46"/>
              <w:jc w:val="right"/>
              <w:rPr>
                <w:b/>
                <w:sz w:val="13"/>
              </w:rPr>
            </w:pPr>
            <w:r>
              <w:rPr>
                <w:b/>
                <w:w w:val="105"/>
                <w:sz w:val="13"/>
              </w:rPr>
              <w:t>TOTAL (</w:t>
            </w:r>
            <w:r>
              <w:rPr>
                <w:w w:val="105"/>
                <w:sz w:val="13"/>
              </w:rPr>
              <w:t>miles de €</w:t>
            </w:r>
            <w:r>
              <w:rPr>
                <w:b/>
                <w:w w:val="105"/>
                <w:sz w:val="13"/>
              </w:rPr>
              <w:t>)</w:t>
            </w:r>
          </w:p>
        </w:tc>
      </w:tr>
      <w:tr>
        <w:trPr>
          <w:trHeight w:val="571" w:hRule="atLeast"/>
        </w:trPr>
        <w:tc>
          <w:tcPr>
            <w:tcW w:w="1542" w:type="dxa"/>
            <w:vMerge/>
            <w:tcBorders>
              <w:top w:val="nil"/>
              <w:left w:val="single" w:sz="4" w:space="0" w:color="000000"/>
              <w:right w:val="single" w:sz="4" w:space="0" w:color="000000"/>
            </w:tcBorders>
          </w:tcPr>
          <w:p>
            <w:pPr>
              <w:rPr>
                <w:sz w:val="2"/>
                <w:szCs w:val="2"/>
              </w:rPr>
            </w:pPr>
          </w:p>
        </w:tc>
        <w:tc>
          <w:tcPr>
            <w:tcW w:w="1348" w:type="dxa"/>
            <w:tcBorders>
              <w:top w:val="single" w:sz="4" w:space="0" w:color="000000"/>
              <w:left w:val="single" w:sz="4" w:space="0" w:color="000000"/>
            </w:tcBorders>
          </w:tcPr>
          <w:p>
            <w:pPr>
              <w:pStyle w:val="TableParagraph"/>
              <w:spacing w:before="16"/>
              <w:ind w:right="242"/>
              <w:jc w:val="right"/>
              <w:rPr>
                <w:sz w:val="13"/>
              </w:rPr>
            </w:pPr>
            <w:r>
              <w:rPr>
                <w:spacing w:val="-1"/>
                <w:w w:val="105"/>
                <w:sz w:val="13"/>
              </w:rPr>
              <w:t>15.419,30</w:t>
            </w:r>
          </w:p>
          <w:p>
            <w:pPr>
              <w:pStyle w:val="TableParagraph"/>
              <w:spacing w:before="33"/>
              <w:ind w:right="244"/>
              <w:jc w:val="right"/>
              <w:rPr>
                <w:sz w:val="13"/>
              </w:rPr>
            </w:pPr>
            <w:r>
              <w:rPr>
                <w:sz w:val="13"/>
              </w:rPr>
              <w:t>770,87</w:t>
            </w:r>
          </w:p>
          <w:p>
            <w:pPr>
              <w:pStyle w:val="TableParagraph"/>
              <w:spacing w:line="154" w:lineRule="exact" w:before="30"/>
              <w:ind w:right="242"/>
              <w:jc w:val="right"/>
              <w:rPr>
                <w:sz w:val="13"/>
              </w:rPr>
            </w:pPr>
            <w:r>
              <w:rPr>
                <w:w w:val="103"/>
                <w:sz w:val="13"/>
              </w:rPr>
              <w:t>-</w:t>
            </w:r>
          </w:p>
        </w:tc>
        <w:tc>
          <w:tcPr>
            <w:tcW w:w="1026" w:type="dxa"/>
            <w:tcBorders>
              <w:top w:val="single" w:sz="4" w:space="0" w:color="000000"/>
            </w:tcBorders>
          </w:tcPr>
          <w:p>
            <w:pPr>
              <w:pStyle w:val="TableParagraph"/>
              <w:spacing w:before="16"/>
              <w:ind w:right="219"/>
              <w:jc w:val="right"/>
              <w:rPr>
                <w:sz w:val="13"/>
              </w:rPr>
            </w:pPr>
            <w:r>
              <w:rPr>
                <w:spacing w:val="-1"/>
                <w:w w:val="105"/>
                <w:sz w:val="13"/>
              </w:rPr>
              <w:t>1.187,99</w:t>
            </w:r>
          </w:p>
          <w:p>
            <w:pPr>
              <w:pStyle w:val="TableParagraph"/>
              <w:spacing w:before="33"/>
              <w:ind w:right="221"/>
              <w:jc w:val="right"/>
              <w:rPr>
                <w:sz w:val="13"/>
              </w:rPr>
            </w:pPr>
            <w:r>
              <w:rPr>
                <w:sz w:val="13"/>
              </w:rPr>
              <w:t>15,96</w:t>
            </w:r>
          </w:p>
          <w:p>
            <w:pPr>
              <w:pStyle w:val="TableParagraph"/>
              <w:spacing w:line="154" w:lineRule="exact" w:before="30"/>
              <w:ind w:right="250"/>
              <w:jc w:val="right"/>
              <w:rPr>
                <w:sz w:val="13"/>
              </w:rPr>
            </w:pPr>
            <w:r>
              <w:rPr>
                <w:w w:val="103"/>
                <w:sz w:val="13"/>
              </w:rPr>
              <w:t>-</w:t>
            </w:r>
          </w:p>
        </w:tc>
        <w:tc>
          <w:tcPr>
            <w:tcW w:w="1037" w:type="dxa"/>
            <w:tcBorders>
              <w:top w:val="single" w:sz="4" w:space="0" w:color="000000"/>
            </w:tcBorders>
          </w:tcPr>
          <w:p>
            <w:pPr>
              <w:pStyle w:val="TableParagraph"/>
              <w:spacing w:before="16"/>
              <w:ind w:right="253"/>
              <w:jc w:val="right"/>
              <w:rPr>
                <w:sz w:val="13"/>
              </w:rPr>
            </w:pPr>
            <w:r>
              <w:rPr>
                <w:spacing w:val="-1"/>
                <w:w w:val="105"/>
                <w:sz w:val="13"/>
              </w:rPr>
              <w:t>1.381,48</w:t>
            </w:r>
          </w:p>
          <w:p>
            <w:pPr>
              <w:pStyle w:val="TableParagraph"/>
              <w:spacing w:before="33"/>
              <w:ind w:right="255"/>
              <w:jc w:val="right"/>
              <w:rPr>
                <w:sz w:val="13"/>
              </w:rPr>
            </w:pPr>
            <w:r>
              <w:rPr>
                <w:sz w:val="13"/>
              </w:rPr>
              <w:t>1,14</w:t>
            </w:r>
          </w:p>
          <w:p>
            <w:pPr>
              <w:pStyle w:val="TableParagraph"/>
              <w:spacing w:line="154" w:lineRule="exact" w:before="30"/>
              <w:ind w:right="284"/>
              <w:jc w:val="right"/>
              <w:rPr>
                <w:sz w:val="13"/>
              </w:rPr>
            </w:pPr>
            <w:r>
              <w:rPr>
                <w:w w:val="103"/>
                <w:sz w:val="13"/>
              </w:rPr>
              <w:t>-</w:t>
            </w:r>
          </w:p>
        </w:tc>
        <w:tc>
          <w:tcPr>
            <w:tcW w:w="938" w:type="dxa"/>
            <w:tcBorders>
              <w:top w:val="single" w:sz="4" w:space="0" w:color="000000"/>
              <w:right w:val="single" w:sz="4" w:space="0" w:color="000000"/>
            </w:tcBorders>
          </w:tcPr>
          <w:p>
            <w:pPr>
              <w:pStyle w:val="TableParagraph"/>
              <w:spacing w:before="16"/>
              <w:ind w:right="47"/>
              <w:jc w:val="right"/>
              <w:rPr>
                <w:sz w:val="13"/>
              </w:rPr>
            </w:pPr>
            <w:r>
              <w:rPr>
                <w:spacing w:val="-1"/>
                <w:w w:val="105"/>
                <w:sz w:val="13"/>
              </w:rPr>
              <w:t>1.089,70</w:t>
            </w:r>
          </w:p>
          <w:p>
            <w:pPr>
              <w:pStyle w:val="TableParagraph"/>
              <w:spacing w:before="33"/>
              <w:ind w:right="49"/>
              <w:jc w:val="right"/>
              <w:rPr>
                <w:sz w:val="13"/>
              </w:rPr>
            </w:pPr>
            <w:r>
              <w:rPr>
                <w:sz w:val="13"/>
              </w:rPr>
              <w:t>0,00</w:t>
            </w:r>
          </w:p>
          <w:p>
            <w:pPr>
              <w:pStyle w:val="TableParagraph"/>
              <w:spacing w:line="154" w:lineRule="exact" w:before="30"/>
              <w:ind w:right="78"/>
              <w:jc w:val="right"/>
              <w:rPr>
                <w:sz w:val="13"/>
              </w:rPr>
            </w:pPr>
            <w:r>
              <w:rPr>
                <w:w w:val="103"/>
                <w:sz w:val="13"/>
              </w:rPr>
              <w:t>-</w:t>
            </w:r>
          </w:p>
        </w:tc>
        <w:tc>
          <w:tcPr>
            <w:tcW w:w="1275" w:type="dxa"/>
            <w:tcBorders>
              <w:top w:val="single" w:sz="4" w:space="0" w:color="000000"/>
              <w:left w:val="single" w:sz="4" w:space="0" w:color="000000"/>
              <w:right w:val="single" w:sz="4" w:space="0" w:color="000000"/>
            </w:tcBorders>
          </w:tcPr>
          <w:p>
            <w:pPr>
              <w:pStyle w:val="TableParagraph"/>
              <w:spacing w:before="16"/>
              <w:ind w:right="95"/>
              <w:jc w:val="right"/>
              <w:rPr>
                <w:b/>
                <w:sz w:val="13"/>
              </w:rPr>
            </w:pPr>
            <w:r>
              <w:rPr>
                <w:b/>
                <w:spacing w:val="-1"/>
                <w:w w:val="105"/>
                <w:sz w:val="13"/>
              </w:rPr>
              <w:t>19.078,47</w:t>
            </w:r>
          </w:p>
          <w:p>
            <w:pPr>
              <w:pStyle w:val="TableParagraph"/>
              <w:spacing w:before="33"/>
              <w:ind w:right="94"/>
              <w:jc w:val="right"/>
              <w:rPr>
                <w:b/>
                <w:sz w:val="13"/>
              </w:rPr>
            </w:pPr>
            <w:r>
              <w:rPr>
                <w:b/>
                <w:spacing w:val="-1"/>
                <w:w w:val="105"/>
                <w:sz w:val="13"/>
              </w:rPr>
              <w:t>787,97</w:t>
            </w:r>
          </w:p>
          <w:p>
            <w:pPr>
              <w:pStyle w:val="TableParagraph"/>
              <w:spacing w:line="154" w:lineRule="exact" w:before="30"/>
              <w:ind w:right="45"/>
              <w:jc w:val="right"/>
              <w:rPr>
                <w:sz w:val="13"/>
              </w:rPr>
            </w:pPr>
            <w:r>
              <w:rPr>
                <w:b/>
                <w:spacing w:val="-1"/>
                <w:w w:val="105"/>
                <w:sz w:val="13"/>
              </w:rPr>
              <w:t>0,56</w:t>
            </w:r>
            <w:r>
              <w:rPr>
                <w:spacing w:val="-1"/>
                <w:w w:val="105"/>
                <w:sz w:val="13"/>
              </w:rPr>
              <w:t>*</w:t>
            </w:r>
          </w:p>
        </w:tc>
      </w:tr>
      <w:tr>
        <w:trPr>
          <w:trHeight w:val="191" w:hRule="atLeast"/>
        </w:trPr>
        <w:tc>
          <w:tcPr>
            <w:tcW w:w="1542" w:type="dxa"/>
            <w:tcBorders>
              <w:left w:val="single" w:sz="4" w:space="0" w:color="000000"/>
              <w:right w:val="single" w:sz="4" w:space="0" w:color="000000"/>
            </w:tcBorders>
            <w:shd w:val="clear" w:color="auto" w:fill="F1F1F1"/>
          </w:tcPr>
          <w:p>
            <w:pPr>
              <w:pStyle w:val="TableParagraph"/>
              <w:spacing w:line="154" w:lineRule="exact" w:before="17"/>
              <w:ind w:left="87"/>
              <w:rPr>
                <w:b/>
                <w:sz w:val="13"/>
              </w:rPr>
            </w:pPr>
            <w:r>
              <w:rPr>
                <w:b/>
                <w:w w:val="105"/>
                <w:sz w:val="13"/>
              </w:rPr>
              <w:t>SCS</w:t>
            </w:r>
          </w:p>
        </w:tc>
        <w:tc>
          <w:tcPr>
            <w:tcW w:w="1348" w:type="dxa"/>
            <w:tcBorders>
              <w:left w:val="single" w:sz="4" w:space="0" w:color="000000"/>
            </w:tcBorders>
            <w:shd w:val="clear" w:color="auto" w:fill="F1F1F1"/>
          </w:tcPr>
          <w:p>
            <w:pPr>
              <w:pStyle w:val="TableParagraph"/>
              <w:spacing w:line="154" w:lineRule="exact" w:before="17"/>
              <w:ind w:right="241"/>
              <w:jc w:val="right"/>
              <w:rPr>
                <w:b/>
                <w:sz w:val="13"/>
              </w:rPr>
            </w:pPr>
            <w:r>
              <w:rPr>
                <w:b/>
                <w:w w:val="105"/>
                <w:sz w:val="13"/>
              </w:rPr>
              <w:t>46.649,28</w:t>
            </w:r>
          </w:p>
        </w:tc>
        <w:tc>
          <w:tcPr>
            <w:tcW w:w="1026" w:type="dxa"/>
            <w:shd w:val="clear" w:color="auto" w:fill="F1F1F1"/>
          </w:tcPr>
          <w:p>
            <w:pPr>
              <w:pStyle w:val="TableParagraph"/>
              <w:spacing w:line="154" w:lineRule="exact" w:before="17"/>
              <w:ind w:right="219"/>
              <w:jc w:val="right"/>
              <w:rPr>
                <w:b/>
                <w:sz w:val="13"/>
              </w:rPr>
            </w:pPr>
            <w:r>
              <w:rPr>
                <w:b/>
                <w:w w:val="105"/>
                <w:sz w:val="13"/>
              </w:rPr>
              <w:t>12.314,82</w:t>
            </w:r>
          </w:p>
        </w:tc>
        <w:tc>
          <w:tcPr>
            <w:tcW w:w="1037" w:type="dxa"/>
            <w:shd w:val="clear" w:color="auto" w:fill="F1F1F1"/>
          </w:tcPr>
          <w:p>
            <w:pPr>
              <w:pStyle w:val="TableParagraph"/>
              <w:spacing w:line="154" w:lineRule="exact" w:before="17"/>
              <w:ind w:right="253"/>
              <w:jc w:val="right"/>
              <w:rPr>
                <w:b/>
                <w:sz w:val="13"/>
              </w:rPr>
            </w:pPr>
            <w:r>
              <w:rPr>
                <w:b/>
                <w:w w:val="105"/>
                <w:sz w:val="13"/>
              </w:rPr>
              <w:t>12.603,15</w:t>
            </w:r>
          </w:p>
        </w:tc>
        <w:tc>
          <w:tcPr>
            <w:tcW w:w="938" w:type="dxa"/>
            <w:tcBorders>
              <w:right w:val="single" w:sz="4" w:space="0" w:color="000000"/>
            </w:tcBorders>
            <w:shd w:val="clear" w:color="auto" w:fill="F1F1F1"/>
          </w:tcPr>
          <w:p>
            <w:pPr>
              <w:pStyle w:val="TableParagraph"/>
              <w:spacing w:line="154" w:lineRule="exact" w:before="17"/>
              <w:ind w:right="47"/>
              <w:jc w:val="right"/>
              <w:rPr>
                <w:b/>
                <w:sz w:val="13"/>
              </w:rPr>
            </w:pPr>
            <w:r>
              <w:rPr>
                <w:b/>
                <w:w w:val="105"/>
                <w:sz w:val="13"/>
              </w:rPr>
              <w:t>17.046,13</w:t>
            </w:r>
          </w:p>
        </w:tc>
        <w:tc>
          <w:tcPr>
            <w:tcW w:w="1275" w:type="dxa"/>
            <w:tcBorders>
              <w:left w:val="single" w:sz="4" w:space="0" w:color="000000"/>
              <w:right w:val="single" w:sz="4" w:space="0" w:color="000000"/>
            </w:tcBorders>
            <w:shd w:val="clear" w:color="auto" w:fill="F1F1F1"/>
          </w:tcPr>
          <w:p>
            <w:pPr>
              <w:pStyle w:val="TableParagraph"/>
              <w:spacing w:line="154" w:lineRule="exact" w:before="17"/>
              <w:ind w:right="93"/>
              <w:jc w:val="right"/>
              <w:rPr>
                <w:b/>
                <w:sz w:val="13"/>
              </w:rPr>
            </w:pPr>
            <w:r>
              <w:rPr>
                <w:b/>
                <w:w w:val="105"/>
                <w:sz w:val="13"/>
              </w:rPr>
              <w:t>88.611,86</w:t>
            </w:r>
          </w:p>
        </w:tc>
      </w:tr>
      <w:tr>
        <w:trPr>
          <w:trHeight w:val="200" w:hRule="atLeast"/>
        </w:trPr>
        <w:tc>
          <w:tcPr>
            <w:tcW w:w="1542" w:type="dxa"/>
            <w:tcBorders>
              <w:left w:val="single" w:sz="4" w:space="0" w:color="000000"/>
              <w:right w:val="single" w:sz="4" w:space="0" w:color="000000"/>
            </w:tcBorders>
          </w:tcPr>
          <w:p>
            <w:pPr>
              <w:pStyle w:val="TableParagraph"/>
              <w:spacing w:before="15"/>
              <w:ind w:left="87"/>
              <w:rPr>
                <w:b/>
                <w:sz w:val="13"/>
              </w:rPr>
            </w:pPr>
            <w:r>
              <w:rPr>
                <w:b/>
                <w:w w:val="105"/>
                <w:sz w:val="13"/>
              </w:rPr>
              <w:t>ICAVI</w:t>
            </w:r>
          </w:p>
        </w:tc>
        <w:tc>
          <w:tcPr>
            <w:tcW w:w="1348" w:type="dxa"/>
            <w:tcBorders>
              <w:left w:val="single" w:sz="4" w:space="0" w:color="000000"/>
            </w:tcBorders>
          </w:tcPr>
          <w:p>
            <w:pPr>
              <w:pStyle w:val="TableParagraph"/>
              <w:spacing w:before="15"/>
              <w:ind w:right="242"/>
              <w:jc w:val="right"/>
              <w:rPr>
                <w:sz w:val="13"/>
              </w:rPr>
            </w:pPr>
            <w:r>
              <w:rPr>
                <w:w w:val="105"/>
                <w:sz w:val="13"/>
              </w:rPr>
              <w:t>15.075,30</w:t>
            </w:r>
          </w:p>
        </w:tc>
        <w:tc>
          <w:tcPr>
            <w:tcW w:w="1026" w:type="dxa"/>
          </w:tcPr>
          <w:p>
            <w:pPr>
              <w:pStyle w:val="TableParagraph"/>
              <w:spacing w:before="15"/>
              <w:ind w:right="219"/>
              <w:jc w:val="right"/>
              <w:rPr>
                <w:sz w:val="13"/>
              </w:rPr>
            </w:pPr>
            <w:r>
              <w:rPr>
                <w:sz w:val="13"/>
              </w:rPr>
              <w:t>322,53</w:t>
            </w:r>
          </w:p>
        </w:tc>
        <w:tc>
          <w:tcPr>
            <w:tcW w:w="1037" w:type="dxa"/>
          </w:tcPr>
          <w:p>
            <w:pPr>
              <w:pStyle w:val="TableParagraph"/>
              <w:spacing w:before="15"/>
              <w:ind w:right="253"/>
              <w:jc w:val="right"/>
              <w:rPr>
                <w:sz w:val="13"/>
              </w:rPr>
            </w:pPr>
            <w:r>
              <w:rPr>
                <w:sz w:val="13"/>
              </w:rPr>
              <w:t>121,57</w:t>
            </w:r>
          </w:p>
        </w:tc>
        <w:tc>
          <w:tcPr>
            <w:tcW w:w="938" w:type="dxa"/>
            <w:tcBorders>
              <w:right w:val="single" w:sz="4" w:space="0" w:color="000000"/>
            </w:tcBorders>
          </w:tcPr>
          <w:p>
            <w:pPr>
              <w:pStyle w:val="TableParagraph"/>
              <w:spacing w:before="15"/>
              <w:ind w:right="47"/>
              <w:jc w:val="right"/>
              <w:rPr>
                <w:sz w:val="13"/>
              </w:rPr>
            </w:pPr>
            <w:r>
              <w:rPr>
                <w:w w:val="105"/>
                <w:sz w:val="13"/>
              </w:rPr>
              <w:t>81.903,30</w:t>
            </w:r>
          </w:p>
        </w:tc>
        <w:tc>
          <w:tcPr>
            <w:tcW w:w="1275" w:type="dxa"/>
            <w:tcBorders>
              <w:left w:val="single" w:sz="4" w:space="0" w:color="000000"/>
              <w:right w:val="single" w:sz="4" w:space="0" w:color="000000"/>
            </w:tcBorders>
          </w:tcPr>
          <w:p>
            <w:pPr>
              <w:pStyle w:val="TableParagraph"/>
              <w:spacing w:before="15"/>
              <w:ind w:right="93"/>
              <w:jc w:val="right"/>
              <w:rPr>
                <w:b/>
                <w:sz w:val="13"/>
              </w:rPr>
            </w:pPr>
            <w:r>
              <w:rPr>
                <w:b/>
                <w:w w:val="105"/>
                <w:sz w:val="13"/>
              </w:rPr>
              <w:t>97.598,24</w:t>
            </w:r>
          </w:p>
        </w:tc>
      </w:tr>
      <w:tr>
        <w:trPr>
          <w:trHeight w:val="190" w:hRule="atLeast"/>
        </w:trPr>
        <w:tc>
          <w:tcPr>
            <w:tcW w:w="1542" w:type="dxa"/>
            <w:tcBorders>
              <w:left w:val="single" w:sz="4" w:space="0" w:color="000000"/>
              <w:right w:val="single" w:sz="4" w:space="0" w:color="000000"/>
            </w:tcBorders>
          </w:tcPr>
          <w:p>
            <w:pPr>
              <w:pStyle w:val="TableParagraph"/>
              <w:spacing w:before="5"/>
              <w:ind w:left="87"/>
              <w:rPr>
                <w:b/>
                <w:sz w:val="13"/>
              </w:rPr>
            </w:pPr>
            <w:r>
              <w:rPr>
                <w:b/>
                <w:w w:val="105"/>
                <w:sz w:val="13"/>
              </w:rPr>
              <w:t>ICCA</w:t>
            </w:r>
          </w:p>
        </w:tc>
        <w:tc>
          <w:tcPr>
            <w:tcW w:w="1348" w:type="dxa"/>
            <w:tcBorders>
              <w:left w:val="single" w:sz="4" w:space="0" w:color="000000"/>
            </w:tcBorders>
          </w:tcPr>
          <w:p>
            <w:pPr>
              <w:pStyle w:val="TableParagraph"/>
              <w:spacing w:before="5"/>
              <w:ind w:right="242"/>
              <w:jc w:val="right"/>
              <w:rPr>
                <w:sz w:val="13"/>
              </w:rPr>
            </w:pPr>
            <w:r>
              <w:rPr>
                <w:sz w:val="13"/>
              </w:rPr>
              <w:t>509,85</w:t>
            </w:r>
          </w:p>
        </w:tc>
        <w:tc>
          <w:tcPr>
            <w:tcW w:w="1026" w:type="dxa"/>
          </w:tcPr>
          <w:p>
            <w:pPr>
              <w:pStyle w:val="TableParagraph"/>
              <w:spacing w:before="5"/>
              <w:ind w:right="219"/>
              <w:jc w:val="right"/>
              <w:rPr>
                <w:sz w:val="13"/>
              </w:rPr>
            </w:pPr>
            <w:r>
              <w:rPr>
                <w:sz w:val="13"/>
              </w:rPr>
              <w:t>17,70</w:t>
            </w:r>
          </w:p>
        </w:tc>
        <w:tc>
          <w:tcPr>
            <w:tcW w:w="1037" w:type="dxa"/>
          </w:tcPr>
          <w:p>
            <w:pPr>
              <w:pStyle w:val="TableParagraph"/>
              <w:rPr>
                <w:rFonts w:ascii="Times New Roman"/>
                <w:sz w:val="12"/>
              </w:rPr>
            </w:pPr>
          </w:p>
        </w:tc>
        <w:tc>
          <w:tcPr>
            <w:tcW w:w="938" w:type="dxa"/>
            <w:tcBorders>
              <w:right w:val="single" w:sz="4" w:space="0" w:color="000000"/>
            </w:tcBorders>
          </w:tcPr>
          <w:p>
            <w:pPr>
              <w:pStyle w:val="TableParagraph"/>
              <w:spacing w:before="5"/>
              <w:ind w:right="47"/>
              <w:jc w:val="right"/>
              <w:rPr>
                <w:sz w:val="13"/>
              </w:rPr>
            </w:pPr>
            <w:r>
              <w:rPr>
                <w:sz w:val="13"/>
              </w:rPr>
              <w:t>63,05</w:t>
            </w:r>
          </w:p>
        </w:tc>
        <w:tc>
          <w:tcPr>
            <w:tcW w:w="1275" w:type="dxa"/>
            <w:tcBorders>
              <w:left w:val="single" w:sz="4" w:space="0" w:color="000000"/>
              <w:right w:val="single" w:sz="4" w:space="0" w:color="000000"/>
            </w:tcBorders>
          </w:tcPr>
          <w:p>
            <w:pPr>
              <w:pStyle w:val="TableParagraph"/>
              <w:spacing w:before="5"/>
              <w:ind w:right="94"/>
              <w:jc w:val="right"/>
              <w:rPr>
                <w:b/>
                <w:sz w:val="13"/>
              </w:rPr>
            </w:pPr>
            <w:r>
              <w:rPr>
                <w:b/>
                <w:sz w:val="13"/>
              </w:rPr>
              <w:t>590,60</w:t>
            </w:r>
          </w:p>
        </w:tc>
      </w:tr>
      <w:tr>
        <w:trPr>
          <w:trHeight w:val="177" w:hRule="atLeast"/>
        </w:trPr>
        <w:tc>
          <w:tcPr>
            <w:tcW w:w="1542" w:type="dxa"/>
            <w:tcBorders>
              <w:left w:val="single" w:sz="4" w:space="0" w:color="000000"/>
              <w:bottom w:val="single" w:sz="4" w:space="0" w:color="000000"/>
              <w:right w:val="single" w:sz="4" w:space="0" w:color="000000"/>
            </w:tcBorders>
          </w:tcPr>
          <w:p>
            <w:pPr>
              <w:pStyle w:val="TableParagraph"/>
              <w:spacing w:line="153" w:lineRule="exact" w:before="4"/>
              <w:ind w:left="87"/>
              <w:rPr>
                <w:b/>
                <w:sz w:val="13"/>
              </w:rPr>
            </w:pPr>
            <w:r>
              <w:rPr>
                <w:b/>
                <w:w w:val="105"/>
                <w:sz w:val="13"/>
              </w:rPr>
              <w:t>APMN</w:t>
            </w:r>
          </w:p>
        </w:tc>
        <w:tc>
          <w:tcPr>
            <w:tcW w:w="1348" w:type="dxa"/>
            <w:tcBorders>
              <w:left w:val="single" w:sz="4" w:space="0" w:color="000000"/>
              <w:bottom w:val="single" w:sz="4" w:space="0" w:color="000000"/>
            </w:tcBorders>
          </w:tcPr>
          <w:p>
            <w:pPr>
              <w:pStyle w:val="TableParagraph"/>
              <w:spacing w:line="153" w:lineRule="exact" w:before="4"/>
              <w:ind w:right="242"/>
              <w:jc w:val="right"/>
              <w:rPr>
                <w:sz w:val="13"/>
              </w:rPr>
            </w:pPr>
            <w:r>
              <w:rPr>
                <w:w w:val="105"/>
                <w:sz w:val="13"/>
              </w:rPr>
              <w:t>19.601,58</w:t>
            </w:r>
          </w:p>
        </w:tc>
        <w:tc>
          <w:tcPr>
            <w:tcW w:w="1026" w:type="dxa"/>
            <w:tcBorders>
              <w:bottom w:val="single" w:sz="4" w:space="0" w:color="000000"/>
            </w:tcBorders>
          </w:tcPr>
          <w:p>
            <w:pPr>
              <w:pStyle w:val="TableParagraph"/>
              <w:spacing w:line="153" w:lineRule="exact" w:before="4"/>
              <w:ind w:right="219"/>
              <w:jc w:val="right"/>
              <w:rPr>
                <w:sz w:val="13"/>
              </w:rPr>
            </w:pPr>
            <w:r>
              <w:rPr>
                <w:sz w:val="13"/>
              </w:rPr>
              <w:t>891,49</w:t>
            </w:r>
          </w:p>
        </w:tc>
        <w:tc>
          <w:tcPr>
            <w:tcW w:w="1037" w:type="dxa"/>
            <w:tcBorders>
              <w:bottom w:val="single" w:sz="4" w:space="0" w:color="000000"/>
            </w:tcBorders>
          </w:tcPr>
          <w:p>
            <w:pPr>
              <w:pStyle w:val="TableParagraph"/>
              <w:spacing w:line="153" w:lineRule="exact" w:before="4"/>
              <w:ind w:right="253"/>
              <w:jc w:val="right"/>
              <w:rPr>
                <w:sz w:val="13"/>
              </w:rPr>
            </w:pPr>
            <w:r>
              <w:rPr>
                <w:sz w:val="13"/>
              </w:rPr>
              <w:t>372,18</w:t>
            </w:r>
          </w:p>
        </w:tc>
        <w:tc>
          <w:tcPr>
            <w:tcW w:w="938" w:type="dxa"/>
            <w:tcBorders>
              <w:bottom w:val="single" w:sz="4" w:space="0" w:color="000000"/>
              <w:right w:val="single" w:sz="4" w:space="0" w:color="000000"/>
            </w:tcBorders>
          </w:tcPr>
          <w:p>
            <w:pPr>
              <w:pStyle w:val="TableParagraph"/>
              <w:spacing w:line="153" w:lineRule="exact" w:before="4"/>
              <w:ind w:right="47"/>
              <w:jc w:val="right"/>
              <w:rPr>
                <w:sz w:val="13"/>
              </w:rPr>
            </w:pPr>
            <w:r>
              <w:rPr>
                <w:w w:val="105"/>
                <w:sz w:val="13"/>
              </w:rPr>
              <w:t>1.533,88</w:t>
            </w:r>
          </w:p>
        </w:tc>
        <w:tc>
          <w:tcPr>
            <w:tcW w:w="1275" w:type="dxa"/>
            <w:tcBorders>
              <w:left w:val="single" w:sz="4" w:space="0" w:color="000000"/>
              <w:bottom w:val="single" w:sz="4" w:space="0" w:color="000000"/>
              <w:right w:val="single" w:sz="4" w:space="0" w:color="000000"/>
            </w:tcBorders>
          </w:tcPr>
          <w:p>
            <w:pPr>
              <w:pStyle w:val="TableParagraph"/>
              <w:spacing w:line="153" w:lineRule="exact" w:before="4"/>
              <w:ind w:right="95"/>
              <w:jc w:val="right"/>
              <w:rPr>
                <w:b/>
                <w:sz w:val="13"/>
              </w:rPr>
            </w:pPr>
            <w:r>
              <w:rPr>
                <w:b/>
                <w:w w:val="105"/>
                <w:sz w:val="13"/>
              </w:rPr>
              <w:t>22.399,13</w:t>
            </w:r>
          </w:p>
        </w:tc>
      </w:tr>
      <w:tr>
        <w:trPr>
          <w:trHeight w:val="189" w:hRule="atLeast"/>
        </w:trPr>
        <w:tc>
          <w:tcPr>
            <w:tcW w:w="1542"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153" w:lineRule="exact" w:before="16"/>
              <w:ind w:left="267"/>
              <w:rPr>
                <w:b/>
                <w:sz w:val="13"/>
              </w:rPr>
            </w:pPr>
            <w:r>
              <w:rPr>
                <w:b/>
                <w:w w:val="105"/>
                <w:sz w:val="13"/>
              </w:rPr>
              <w:t>TOTAL (</w:t>
            </w:r>
            <w:r>
              <w:rPr>
                <w:w w:val="105"/>
                <w:sz w:val="13"/>
              </w:rPr>
              <w:t>miles de €</w:t>
            </w:r>
            <w:r>
              <w:rPr>
                <w:b/>
                <w:w w:val="105"/>
                <w:sz w:val="13"/>
              </w:rPr>
              <w:t>)</w:t>
            </w:r>
          </w:p>
        </w:tc>
        <w:tc>
          <w:tcPr>
            <w:tcW w:w="1348" w:type="dxa"/>
            <w:tcBorders>
              <w:top w:val="single" w:sz="4" w:space="0" w:color="000000"/>
              <w:left w:val="single" w:sz="4" w:space="0" w:color="000000"/>
              <w:bottom w:val="single" w:sz="4" w:space="0" w:color="000000"/>
            </w:tcBorders>
            <w:shd w:val="clear" w:color="auto" w:fill="D9D9D9"/>
          </w:tcPr>
          <w:p>
            <w:pPr>
              <w:pStyle w:val="TableParagraph"/>
              <w:spacing w:line="153" w:lineRule="exact" w:before="16"/>
              <w:ind w:right="243"/>
              <w:jc w:val="right"/>
              <w:rPr>
                <w:b/>
                <w:sz w:val="13"/>
              </w:rPr>
            </w:pPr>
            <w:r>
              <w:rPr>
                <w:b/>
                <w:w w:val="105"/>
                <w:sz w:val="13"/>
              </w:rPr>
              <w:t>98.026,18</w:t>
            </w:r>
          </w:p>
        </w:tc>
        <w:tc>
          <w:tcPr>
            <w:tcW w:w="1026" w:type="dxa"/>
            <w:tcBorders>
              <w:top w:val="single" w:sz="4" w:space="0" w:color="000000"/>
              <w:bottom w:val="single" w:sz="4" w:space="0" w:color="000000"/>
            </w:tcBorders>
            <w:shd w:val="clear" w:color="auto" w:fill="D9D9D9"/>
          </w:tcPr>
          <w:p>
            <w:pPr>
              <w:pStyle w:val="TableParagraph"/>
              <w:spacing w:line="153" w:lineRule="exact" w:before="16"/>
              <w:ind w:right="221"/>
              <w:jc w:val="right"/>
              <w:rPr>
                <w:b/>
                <w:sz w:val="13"/>
              </w:rPr>
            </w:pPr>
            <w:r>
              <w:rPr>
                <w:b/>
                <w:w w:val="105"/>
                <w:sz w:val="13"/>
              </w:rPr>
              <w:t>14.750,50</w:t>
            </w:r>
          </w:p>
        </w:tc>
        <w:tc>
          <w:tcPr>
            <w:tcW w:w="1037" w:type="dxa"/>
            <w:tcBorders>
              <w:top w:val="single" w:sz="4" w:space="0" w:color="000000"/>
              <w:bottom w:val="single" w:sz="4" w:space="0" w:color="000000"/>
            </w:tcBorders>
            <w:shd w:val="clear" w:color="auto" w:fill="D9D9D9"/>
          </w:tcPr>
          <w:p>
            <w:pPr>
              <w:pStyle w:val="TableParagraph"/>
              <w:spacing w:line="153" w:lineRule="exact" w:before="16"/>
              <w:ind w:right="255"/>
              <w:jc w:val="right"/>
              <w:rPr>
                <w:b/>
                <w:sz w:val="13"/>
              </w:rPr>
            </w:pPr>
            <w:r>
              <w:rPr>
                <w:b/>
                <w:w w:val="105"/>
                <w:sz w:val="13"/>
              </w:rPr>
              <w:t>14.479,52</w:t>
            </w:r>
          </w:p>
        </w:tc>
        <w:tc>
          <w:tcPr>
            <w:tcW w:w="938" w:type="dxa"/>
            <w:tcBorders>
              <w:top w:val="single" w:sz="4" w:space="0" w:color="000000"/>
              <w:bottom w:val="single" w:sz="4" w:space="0" w:color="000000"/>
            </w:tcBorders>
            <w:shd w:val="clear" w:color="auto" w:fill="D9D9D9"/>
          </w:tcPr>
          <w:p>
            <w:pPr>
              <w:pStyle w:val="TableParagraph"/>
              <w:spacing w:line="153" w:lineRule="exact" w:before="16"/>
              <w:ind w:right="54"/>
              <w:jc w:val="right"/>
              <w:rPr>
                <w:b/>
                <w:sz w:val="13"/>
              </w:rPr>
            </w:pPr>
            <w:r>
              <w:rPr>
                <w:b/>
                <w:w w:val="105"/>
                <w:sz w:val="13"/>
              </w:rPr>
              <w:t>101.636,26</w:t>
            </w:r>
          </w:p>
        </w:tc>
        <w:tc>
          <w:tcPr>
            <w:tcW w:w="1275" w:type="dxa"/>
            <w:tcBorders>
              <w:top w:val="single" w:sz="4" w:space="0" w:color="000000"/>
              <w:bottom w:val="single" w:sz="4" w:space="0" w:color="000000"/>
              <w:right w:val="single" w:sz="4" w:space="0" w:color="000000"/>
            </w:tcBorders>
            <w:shd w:val="clear" w:color="auto" w:fill="D9D9D9"/>
          </w:tcPr>
          <w:p>
            <w:pPr>
              <w:pStyle w:val="TableParagraph"/>
              <w:spacing w:line="153" w:lineRule="exact" w:before="16"/>
              <w:ind w:right="93"/>
              <w:jc w:val="right"/>
              <w:rPr>
                <w:b/>
                <w:sz w:val="13"/>
              </w:rPr>
            </w:pPr>
            <w:r>
              <w:rPr>
                <w:b/>
                <w:w w:val="105"/>
                <w:sz w:val="13"/>
              </w:rPr>
              <w:t>229.066,84</w:t>
            </w:r>
          </w:p>
        </w:tc>
      </w:tr>
    </w:tbl>
    <w:p>
      <w:pPr>
        <w:spacing w:before="3"/>
        <w:ind w:left="2096" w:right="0" w:firstLine="0"/>
        <w:jc w:val="left"/>
        <w:rPr>
          <w:sz w:val="13"/>
        </w:rPr>
      </w:pPr>
      <w:r>
        <w:rPr>
          <w:w w:val="105"/>
          <w:sz w:val="13"/>
        </w:rPr>
        <w:t>* ICHH no presenta detalle sobre el año de reconocimiento del pendiente de cobro de ejercicios cerrados.</w:t>
      </w:r>
    </w:p>
    <w:p>
      <w:pPr>
        <w:pStyle w:val="BodyText"/>
        <w:spacing w:before="11"/>
        <w:rPr>
          <w:sz w:val="16"/>
        </w:rPr>
      </w:pPr>
    </w:p>
    <w:p>
      <w:pPr>
        <w:pStyle w:val="ListParagraph"/>
        <w:numPr>
          <w:ilvl w:val="0"/>
          <w:numId w:val="35"/>
        </w:numPr>
        <w:tabs>
          <w:tab w:pos="2335" w:val="left" w:leader="none"/>
        </w:tabs>
        <w:spacing w:line="240" w:lineRule="auto" w:before="0" w:after="0"/>
        <w:ind w:left="2334" w:right="1138" w:hanging="238"/>
        <w:jc w:val="both"/>
        <w:rPr>
          <w:sz w:val="20"/>
        </w:rPr>
      </w:pPr>
      <w:r>
        <w:rPr>
          <w:sz w:val="20"/>
        </w:rPr>
        <w:t>El</w:t>
      </w:r>
      <w:r>
        <w:rPr>
          <w:spacing w:val="-2"/>
          <w:sz w:val="20"/>
        </w:rPr>
        <w:t> </w:t>
      </w:r>
      <w:r>
        <w:rPr>
          <w:sz w:val="20"/>
        </w:rPr>
        <w:t>importe</w:t>
      </w:r>
      <w:r>
        <w:rPr>
          <w:spacing w:val="-3"/>
          <w:sz w:val="20"/>
        </w:rPr>
        <w:t> </w:t>
      </w:r>
      <w:r>
        <w:rPr>
          <w:sz w:val="20"/>
        </w:rPr>
        <w:t>de</w:t>
      </w:r>
      <w:r>
        <w:rPr>
          <w:spacing w:val="-3"/>
          <w:sz w:val="20"/>
        </w:rPr>
        <w:t> </w:t>
      </w:r>
      <w:r>
        <w:rPr>
          <w:sz w:val="20"/>
        </w:rPr>
        <w:t>las</w:t>
      </w:r>
      <w:r>
        <w:rPr>
          <w:spacing w:val="-4"/>
          <w:sz w:val="20"/>
        </w:rPr>
        <w:t> </w:t>
      </w:r>
      <w:r>
        <w:rPr>
          <w:sz w:val="20"/>
        </w:rPr>
        <w:t>provisiones</w:t>
      </w:r>
      <w:r>
        <w:rPr>
          <w:spacing w:val="-1"/>
          <w:sz w:val="20"/>
        </w:rPr>
        <w:t> </w:t>
      </w:r>
      <w:r>
        <w:rPr>
          <w:sz w:val="20"/>
        </w:rPr>
        <w:t>refleja</w:t>
      </w:r>
      <w:r>
        <w:rPr>
          <w:spacing w:val="-1"/>
          <w:sz w:val="20"/>
        </w:rPr>
        <w:t> </w:t>
      </w:r>
      <w:r>
        <w:rPr>
          <w:sz w:val="20"/>
        </w:rPr>
        <w:t>la</w:t>
      </w:r>
      <w:r>
        <w:rPr>
          <w:spacing w:val="-3"/>
          <w:sz w:val="20"/>
        </w:rPr>
        <w:t> </w:t>
      </w:r>
      <w:r>
        <w:rPr>
          <w:sz w:val="20"/>
        </w:rPr>
        <w:t>evolución</w:t>
      </w:r>
      <w:r>
        <w:rPr>
          <w:spacing w:val="-3"/>
          <w:sz w:val="20"/>
        </w:rPr>
        <w:t> </w:t>
      </w:r>
      <w:r>
        <w:rPr>
          <w:sz w:val="20"/>
        </w:rPr>
        <w:t>del</w:t>
      </w:r>
      <w:r>
        <w:rPr>
          <w:spacing w:val="-1"/>
          <w:sz w:val="20"/>
        </w:rPr>
        <w:t> </w:t>
      </w:r>
      <w:r>
        <w:rPr>
          <w:sz w:val="20"/>
        </w:rPr>
        <w:t>pendiente</w:t>
      </w:r>
      <w:r>
        <w:rPr>
          <w:spacing w:val="-3"/>
          <w:sz w:val="20"/>
        </w:rPr>
        <w:t> </w:t>
      </w:r>
      <w:r>
        <w:rPr>
          <w:sz w:val="20"/>
        </w:rPr>
        <w:t>de</w:t>
      </w:r>
      <w:r>
        <w:rPr>
          <w:spacing w:val="-4"/>
          <w:sz w:val="20"/>
        </w:rPr>
        <w:t> </w:t>
      </w:r>
      <w:r>
        <w:rPr>
          <w:sz w:val="20"/>
        </w:rPr>
        <w:t>cobro</w:t>
      </w:r>
      <w:r>
        <w:rPr>
          <w:spacing w:val="-3"/>
          <w:sz w:val="20"/>
        </w:rPr>
        <w:t> </w:t>
      </w:r>
      <w:r>
        <w:rPr>
          <w:sz w:val="20"/>
        </w:rPr>
        <w:t>de</w:t>
      </w:r>
      <w:r>
        <w:rPr>
          <w:spacing w:val="-3"/>
          <w:sz w:val="20"/>
        </w:rPr>
        <w:t> </w:t>
      </w:r>
      <w:r>
        <w:rPr>
          <w:sz w:val="20"/>
        </w:rPr>
        <w:t>ejercicios cerrados comentada en el apartado anterior, excepto para la APMN que, aun viendo incrementada la antigüedad de su saldo, reduce la dotación en</w:t>
      </w:r>
      <w:r>
        <w:rPr>
          <w:spacing w:val="7"/>
          <w:sz w:val="20"/>
        </w:rPr>
        <w:t> </w:t>
      </w:r>
      <w:r>
        <w:rPr>
          <w:sz w:val="20"/>
        </w:rPr>
        <w:t>2022.</w:t>
      </w:r>
    </w:p>
    <w:p>
      <w:pPr>
        <w:pStyle w:val="BodyText"/>
        <w:spacing w:before="10"/>
        <w:rPr>
          <w:sz w:val="16"/>
        </w:rPr>
      </w:pPr>
    </w:p>
    <w:tbl>
      <w:tblPr>
        <w:tblW w:w="0" w:type="auto"/>
        <w:jc w:val="left"/>
        <w:tblInd w:w="2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4"/>
        <w:gridCol w:w="1424"/>
        <w:gridCol w:w="1289"/>
        <w:gridCol w:w="449"/>
        <w:gridCol w:w="1170"/>
        <w:gridCol w:w="1206"/>
      </w:tblGrid>
      <w:tr>
        <w:trPr>
          <w:trHeight w:val="189" w:hRule="atLeast"/>
        </w:trPr>
        <w:tc>
          <w:tcPr>
            <w:tcW w:w="1514" w:type="dxa"/>
            <w:vMerge w:val="restart"/>
            <w:tcBorders>
              <w:top w:val="single" w:sz="4" w:space="0" w:color="000000"/>
              <w:left w:val="single" w:sz="4" w:space="0" w:color="000000"/>
              <w:right w:val="single" w:sz="4" w:space="0" w:color="000000"/>
            </w:tcBorders>
          </w:tcPr>
          <w:p>
            <w:pPr>
              <w:pStyle w:val="TableParagraph"/>
              <w:rPr>
                <w:sz w:val="14"/>
              </w:rPr>
            </w:pPr>
          </w:p>
          <w:p>
            <w:pPr>
              <w:pStyle w:val="TableParagraph"/>
              <w:spacing w:before="10"/>
              <w:rPr>
                <w:sz w:val="19"/>
              </w:rPr>
            </w:pPr>
          </w:p>
          <w:p>
            <w:pPr>
              <w:pStyle w:val="TableParagraph"/>
              <w:spacing w:line="154" w:lineRule="exact"/>
              <w:ind w:left="57"/>
              <w:rPr>
                <w:b/>
                <w:sz w:val="13"/>
              </w:rPr>
            </w:pPr>
            <w:r>
              <w:rPr>
                <w:b/>
                <w:w w:val="105"/>
                <w:sz w:val="13"/>
              </w:rPr>
              <w:t>SCE</w:t>
            </w:r>
          </w:p>
        </w:tc>
        <w:tc>
          <w:tcPr>
            <w:tcW w:w="5538" w:type="dxa"/>
            <w:gridSpan w:val="5"/>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153" w:lineRule="exact" w:before="16"/>
              <w:ind w:left="2101" w:right="2092"/>
              <w:jc w:val="center"/>
              <w:rPr>
                <w:b/>
                <w:sz w:val="13"/>
              </w:rPr>
            </w:pPr>
            <w:r>
              <w:rPr>
                <w:b/>
                <w:w w:val="105"/>
                <w:sz w:val="13"/>
              </w:rPr>
              <w:t>Saldo de dudoso cobro</w:t>
            </w:r>
          </w:p>
        </w:tc>
      </w:tr>
      <w:tr>
        <w:trPr>
          <w:trHeight w:val="187" w:hRule="atLeast"/>
        </w:trPr>
        <w:tc>
          <w:tcPr>
            <w:tcW w:w="1514" w:type="dxa"/>
            <w:vMerge/>
            <w:tcBorders>
              <w:top w:val="nil"/>
              <w:left w:val="single" w:sz="4" w:space="0" w:color="000000"/>
              <w:right w:val="single" w:sz="4" w:space="0" w:color="000000"/>
            </w:tcBorders>
          </w:tcPr>
          <w:p>
            <w:pPr>
              <w:rPr>
                <w:sz w:val="2"/>
                <w:szCs w:val="2"/>
              </w:rPr>
            </w:pPr>
          </w:p>
        </w:tc>
        <w:tc>
          <w:tcPr>
            <w:tcW w:w="1424" w:type="dxa"/>
            <w:tcBorders>
              <w:top w:val="single" w:sz="4" w:space="0" w:color="000000"/>
              <w:left w:val="single" w:sz="4" w:space="0" w:color="000000"/>
              <w:bottom w:val="single" w:sz="4" w:space="0" w:color="000000"/>
            </w:tcBorders>
            <w:shd w:val="clear" w:color="auto" w:fill="DEEAF6"/>
          </w:tcPr>
          <w:p>
            <w:pPr>
              <w:pStyle w:val="TableParagraph"/>
              <w:spacing w:line="153" w:lineRule="exact" w:before="14"/>
              <w:ind w:left="368" w:right="335"/>
              <w:jc w:val="center"/>
              <w:rPr>
                <w:b/>
                <w:sz w:val="13"/>
              </w:rPr>
            </w:pPr>
            <w:r>
              <w:rPr>
                <w:b/>
                <w:w w:val="105"/>
                <w:sz w:val="13"/>
              </w:rPr>
              <w:t>2022</w:t>
            </w:r>
          </w:p>
        </w:tc>
        <w:tc>
          <w:tcPr>
            <w:tcW w:w="1289" w:type="dxa"/>
            <w:tcBorders>
              <w:top w:val="single" w:sz="4" w:space="0" w:color="000000"/>
              <w:bottom w:val="single" w:sz="4" w:space="0" w:color="000000"/>
            </w:tcBorders>
            <w:shd w:val="clear" w:color="auto" w:fill="DEEAF6"/>
          </w:tcPr>
          <w:p>
            <w:pPr>
              <w:pStyle w:val="TableParagraph"/>
              <w:spacing w:line="153" w:lineRule="exact" w:before="14"/>
              <w:ind w:left="625"/>
              <w:rPr>
                <w:b/>
                <w:sz w:val="13"/>
              </w:rPr>
            </w:pPr>
            <w:r>
              <w:rPr>
                <w:b/>
                <w:w w:val="105"/>
                <w:sz w:val="13"/>
              </w:rPr>
              <w:t>2021</w:t>
            </w:r>
          </w:p>
        </w:tc>
        <w:tc>
          <w:tcPr>
            <w:tcW w:w="449" w:type="dxa"/>
            <w:tcBorders>
              <w:top w:val="single" w:sz="4" w:space="0" w:color="000000"/>
              <w:bottom w:val="single" w:sz="4" w:space="0" w:color="000000"/>
            </w:tcBorders>
            <w:shd w:val="clear" w:color="auto" w:fill="DEEAF6"/>
          </w:tcPr>
          <w:p>
            <w:pPr>
              <w:pStyle w:val="TableParagraph"/>
              <w:rPr>
                <w:rFonts w:ascii="Times New Roman"/>
                <w:sz w:val="12"/>
              </w:rPr>
            </w:pPr>
          </w:p>
        </w:tc>
        <w:tc>
          <w:tcPr>
            <w:tcW w:w="1170" w:type="dxa"/>
            <w:tcBorders>
              <w:top w:val="single" w:sz="4" w:space="0" w:color="000000"/>
              <w:bottom w:val="single" w:sz="4" w:space="0" w:color="000000"/>
            </w:tcBorders>
            <w:shd w:val="clear" w:color="auto" w:fill="DEEAF6"/>
          </w:tcPr>
          <w:p>
            <w:pPr>
              <w:pStyle w:val="TableParagraph"/>
              <w:spacing w:line="153" w:lineRule="exact" w:before="14"/>
              <w:ind w:left="195"/>
              <w:rPr>
                <w:b/>
                <w:sz w:val="13"/>
              </w:rPr>
            </w:pPr>
            <w:r>
              <w:rPr>
                <w:b/>
                <w:w w:val="105"/>
                <w:sz w:val="13"/>
              </w:rPr>
              <w:t>Diferencia</w:t>
            </w:r>
          </w:p>
        </w:tc>
        <w:tc>
          <w:tcPr>
            <w:tcW w:w="1206" w:type="dxa"/>
            <w:tcBorders>
              <w:top w:val="single" w:sz="4" w:space="0" w:color="000000"/>
              <w:bottom w:val="single" w:sz="4" w:space="0" w:color="000000"/>
              <w:right w:val="single" w:sz="4" w:space="0" w:color="000000"/>
            </w:tcBorders>
            <w:shd w:val="clear" w:color="auto" w:fill="DEEAF6"/>
          </w:tcPr>
          <w:p>
            <w:pPr>
              <w:pStyle w:val="TableParagraph"/>
              <w:spacing w:line="153" w:lineRule="exact" w:before="14"/>
              <w:ind w:left="399" w:right="347"/>
              <w:jc w:val="center"/>
              <w:rPr>
                <w:b/>
                <w:sz w:val="13"/>
              </w:rPr>
            </w:pPr>
            <w:r>
              <w:rPr>
                <w:b/>
                <w:w w:val="105"/>
                <w:sz w:val="13"/>
              </w:rPr>
              <w:t>% 2022</w:t>
            </w:r>
          </w:p>
        </w:tc>
      </w:tr>
      <w:tr>
        <w:trPr>
          <w:trHeight w:val="190" w:hRule="atLeast"/>
        </w:trPr>
        <w:tc>
          <w:tcPr>
            <w:tcW w:w="1514" w:type="dxa"/>
            <w:vMerge/>
            <w:tcBorders>
              <w:top w:val="nil"/>
              <w:left w:val="single" w:sz="4" w:space="0" w:color="000000"/>
              <w:right w:val="single" w:sz="4" w:space="0" w:color="000000"/>
            </w:tcBorders>
          </w:tcPr>
          <w:p>
            <w:pPr>
              <w:rPr>
                <w:sz w:val="2"/>
                <w:szCs w:val="2"/>
              </w:rPr>
            </w:pPr>
          </w:p>
        </w:tc>
        <w:tc>
          <w:tcPr>
            <w:tcW w:w="1424" w:type="dxa"/>
            <w:tcBorders>
              <w:top w:val="single" w:sz="4" w:space="0" w:color="000000"/>
              <w:left w:val="single" w:sz="4" w:space="0" w:color="000000"/>
            </w:tcBorders>
          </w:tcPr>
          <w:p>
            <w:pPr>
              <w:pStyle w:val="TableParagraph"/>
              <w:spacing w:line="154" w:lineRule="exact" w:before="16"/>
              <w:ind w:left="359" w:right="396"/>
              <w:jc w:val="center"/>
              <w:rPr>
                <w:sz w:val="13"/>
              </w:rPr>
            </w:pPr>
            <w:r>
              <w:rPr>
                <w:w w:val="105"/>
                <w:sz w:val="13"/>
              </w:rPr>
              <w:t>7.963,27</w:t>
            </w:r>
          </w:p>
        </w:tc>
        <w:tc>
          <w:tcPr>
            <w:tcW w:w="1289" w:type="dxa"/>
            <w:tcBorders>
              <w:top w:val="single" w:sz="4" w:space="0" w:color="000000"/>
            </w:tcBorders>
          </w:tcPr>
          <w:p>
            <w:pPr>
              <w:pStyle w:val="TableParagraph"/>
              <w:spacing w:line="154" w:lineRule="exact" w:before="16"/>
              <w:ind w:right="321"/>
              <w:jc w:val="right"/>
              <w:rPr>
                <w:sz w:val="13"/>
              </w:rPr>
            </w:pPr>
            <w:r>
              <w:rPr>
                <w:sz w:val="13"/>
              </w:rPr>
              <w:t>7.861,80</w:t>
            </w:r>
          </w:p>
        </w:tc>
        <w:tc>
          <w:tcPr>
            <w:tcW w:w="449" w:type="dxa"/>
            <w:tcBorders>
              <w:top w:val="single" w:sz="4" w:space="0" w:color="000000"/>
            </w:tcBorders>
          </w:tcPr>
          <w:p>
            <w:pPr>
              <w:pStyle w:val="TableParagraph"/>
              <w:rPr>
                <w:rFonts w:ascii="Times New Roman"/>
                <w:sz w:val="12"/>
              </w:rPr>
            </w:pPr>
          </w:p>
        </w:tc>
        <w:tc>
          <w:tcPr>
            <w:tcW w:w="1170" w:type="dxa"/>
            <w:tcBorders>
              <w:top w:val="single" w:sz="4" w:space="0" w:color="000000"/>
            </w:tcBorders>
          </w:tcPr>
          <w:p>
            <w:pPr>
              <w:pStyle w:val="TableParagraph"/>
              <w:spacing w:line="154" w:lineRule="exact" w:before="16"/>
              <w:ind w:left="233"/>
              <w:rPr>
                <w:sz w:val="13"/>
              </w:rPr>
            </w:pPr>
            <w:r>
              <w:rPr>
                <w:w w:val="105"/>
                <w:sz w:val="13"/>
              </w:rPr>
              <w:t>101,47</w:t>
            </w:r>
          </w:p>
        </w:tc>
        <w:tc>
          <w:tcPr>
            <w:tcW w:w="1206" w:type="dxa"/>
            <w:tcBorders>
              <w:top w:val="single" w:sz="4" w:space="0" w:color="000000"/>
              <w:right w:val="single" w:sz="4" w:space="0" w:color="000000"/>
            </w:tcBorders>
          </w:tcPr>
          <w:p>
            <w:pPr>
              <w:pStyle w:val="TableParagraph"/>
              <w:spacing w:line="154" w:lineRule="exact" w:before="16"/>
              <w:ind w:left="399" w:right="350"/>
              <w:jc w:val="center"/>
              <w:rPr>
                <w:sz w:val="13"/>
              </w:rPr>
            </w:pPr>
            <w:r>
              <w:rPr>
                <w:w w:val="105"/>
                <w:sz w:val="13"/>
              </w:rPr>
              <w:t>11,69%</w:t>
            </w:r>
          </w:p>
        </w:tc>
      </w:tr>
      <w:tr>
        <w:trPr>
          <w:trHeight w:val="191" w:hRule="atLeast"/>
        </w:trPr>
        <w:tc>
          <w:tcPr>
            <w:tcW w:w="1514" w:type="dxa"/>
            <w:tcBorders>
              <w:left w:val="single" w:sz="4" w:space="0" w:color="000000"/>
              <w:right w:val="single" w:sz="4" w:space="0" w:color="000000"/>
            </w:tcBorders>
            <w:shd w:val="clear" w:color="auto" w:fill="F1F1F1"/>
          </w:tcPr>
          <w:p>
            <w:pPr>
              <w:pStyle w:val="TableParagraph"/>
              <w:spacing w:line="154" w:lineRule="exact" w:before="17"/>
              <w:ind w:left="57"/>
              <w:rPr>
                <w:b/>
                <w:sz w:val="13"/>
              </w:rPr>
            </w:pPr>
            <w:r>
              <w:rPr>
                <w:b/>
                <w:w w:val="105"/>
                <w:sz w:val="13"/>
              </w:rPr>
              <w:t>SCS</w:t>
            </w:r>
          </w:p>
        </w:tc>
        <w:tc>
          <w:tcPr>
            <w:tcW w:w="1424" w:type="dxa"/>
            <w:tcBorders>
              <w:left w:val="single" w:sz="4" w:space="0" w:color="000000"/>
            </w:tcBorders>
            <w:shd w:val="clear" w:color="auto" w:fill="F1F1F1"/>
          </w:tcPr>
          <w:p>
            <w:pPr>
              <w:pStyle w:val="TableParagraph"/>
              <w:spacing w:line="154" w:lineRule="exact" w:before="17"/>
              <w:ind w:left="309" w:right="396"/>
              <w:jc w:val="center"/>
              <w:rPr>
                <w:b/>
                <w:sz w:val="13"/>
              </w:rPr>
            </w:pPr>
            <w:r>
              <w:rPr>
                <w:b/>
                <w:w w:val="105"/>
                <w:sz w:val="13"/>
              </w:rPr>
              <w:t>56.434,31</w:t>
            </w:r>
          </w:p>
        </w:tc>
        <w:tc>
          <w:tcPr>
            <w:tcW w:w="1289" w:type="dxa"/>
            <w:shd w:val="clear" w:color="auto" w:fill="F1F1F1"/>
          </w:tcPr>
          <w:p>
            <w:pPr>
              <w:pStyle w:val="TableParagraph"/>
              <w:spacing w:line="154" w:lineRule="exact" w:before="17"/>
              <w:ind w:right="311"/>
              <w:jc w:val="right"/>
              <w:rPr>
                <w:b/>
                <w:sz w:val="13"/>
              </w:rPr>
            </w:pPr>
            <w:r>
              <w:rPr>
                <w:b/>
                <w:w w:val="105"/>
                <w:sz w:val="13"/>
              </w:rPr>
              <w:t>60.784,20</w:t>
            </w:r>
          </w:p>
        </w:tc>
        <w:tc>
          <w:tcPr>
            <w:tcW w:w="449" w:type="dxa"/>
            <w:shd w:val="clear" w:color="auto" w:fill="F1F1F1"/>
          </w:tcPr>
          <w:p>
            <w:pPr>
              <w:pStyle w:val="TableParagraph"/>
              <w:spacing w:line="154" w:lineRule="exact" w:before="17"/>
              <w:ind w:right="146"/>
              <w:jc w:val="right"/>
              <w:rPr>
                <w:b/>
                <w:sz w:val="13"/>
              </w:rPr>
            </w:pPr>
            <w:r>
              <w:rPr>
                <w:b/>
                <w:w w:val="103"/>
                <w:sz w:val="13"/>
              </w:rPr>
              <w:t>-</w:t>
            </w:r>
          </w:p>
        </w:tc>
        <w:tc>
          <w:tcPr>
            <w:tcW w:w="1170" w:type="dxa"/>
            <w:shd w:val="clear" w:color="auto" w:fill="F1F1F1"/>
          </w:tcPr>
          <w:p>
            <w:pPr>
              <w:pStyle w:val="TableParagraph"/>
              <w:spacing w:line="154" w:lineRule="exact" w:before="17"/>
              <w:ind w:left="155"/>
              <w:rPr>
                <w:b/>
                <w:sz w:val="13"/>
              </w:rPr>
            </w:pPr>
            <w:r>
              <w:rPr>
                <w:b/>
                <w:w w:val="105"/>
                <w:sz w:val="13"/>
              </w:rPr>
              <w:t>4.349,89</w:t>
            </w:r>
          </w:p>
        </w:tc>
        <w:tc>
          <w:tcPr>
            <w:tcW w:w="1206" w:type="dxa"/>
            <w:tcBorders>
              <w:right w:val="single" w:sz="4" w:space="0" w:color="000000"/>
            </w:tcBorders>
            <w:shd w:val="clear" w:color="auto" w:fill="F1F1F1"/>
          </w:tcPr>
          <w:p>
            <w:pPr>
              <w:pStyle w:val="TableParagraph"/>
              <w:spacing w:line="154" w:lineRule="exact" w:before="17"/>
              <w:ind w:left="399" w:right="350"/>
              <w:jc w:val="center"/>
              <w:rPr>
                <w:b/>
                <w:sz w:val="13"/>
              </w:rPr>
            </w:pPr>
            <w:r>
              <w:rPr>
                <w:b/>
                <w:w w:val="105"/>
                <w:sz w:val="13"/>
              </w:rPr>
              <w:t>15,76%</w:t>
            </w:r>
          </w:p>
        </w:tc>
      </w:tr>
      <w:tr>
        <w:trPr>
          <w:trHeight w:val="200" w:hRule="atLeast"/>
        </w:trPr>
        <w:tc>
          <w:tcPr>
            <w:tcW w:w="1514" w:type="dxa"/>
            <w:tcBorders>
              <w:left w:val="single" w:sz="4" w:space="0" w:color="000000"/>
              <w:right w:val="single" w:sz="4" w:space="0" w:color="000000"/>
            </w:tcBorders>
          </w:tcPr>
          <w:p>
            <w:pPr>
              <w:pStyle w:val="TableParagraph"/>
              <w:spacing w:before="15"/>
              <w:ind w:left="57"/>
              <w:rPr>
                <w:b/>
                <w:sz w:val="13"/>
              </w:rPr>
            </w:pPr>
            <w:r>
              <w:rPr>
                <w:b/>
                <w:w w:val="105"/>
                <w:sz w:val="13"/>
              </w:rPr>
              <w:t>ICAVI</w:t>
            </w:r>
          </w:p>
        </w:tc>
        <w:tc>
          <w:tcPr>
            <w:tcW w:w="1424" w:type="dxa"/>
            <w:tcBorders>
              <w:left w:val="single" w:sz="4" w:space="0" w:color="000000"/>
            </w:tcBorders>
          </w:tcPr>
          <w:p>
            <w:pPr>
              <w:pStyle w:val="TableParagraph"/>
              <w:spacing w:before="15"/>
              <w:ind w:left="359" w:right="396"/>
              <w:jc w:val="center"/>
              <w:rPr>
                <w:sz w:val="13"/>
              </w:rPr>
            </w:pPr>
            <w:r>
              <w:rPr>
                <w:w w:val="105"/>
                <w:sz w:val="13"/>
              </w:rPr>
              <w:t>5.516,88</w:t>
            </w:r>
          </w:p>
        </w:tc>
        <w:tc>
          <w:tcPr>
            <w:tcW w:w="1289" w:type="dxa"/>
          </w:tcPr>
          <w:p>
            <w:pPr>
              <w:pStyle w:val="TableParagraph"/>
              <w:spacing w:before="15"/>
              <w:ind w:right="321"/>
              <w:jc w:val="right"/>
              <w:rPr>
                <w:sz w:val="13"/>
              </w:rPr>
            </w:pPr>
            <w:r>
              <w:rPr>
                <w:sz w:val="13"/>
              </w:rPr>
              <w:t>5.516,90</w:t>
            </w:r>
          </w:p>
        </w:tc>
        <w:tc>
          <w:tcPr>
            <w:tcW w:w="449" w:type="dxa"/>
          </w:tcPr>
          <w:p>
            <w:pPr>
              <w:pStyle w:val="TableParagraph"/>
              <w:spacing w:before="15"/>
              <w:ind w:right="146"/>
              <w:jc w:val="right"/>
              <w:rPr>
                <w:sz w:val="13"/>
              </w:rPr>
            </w:pPr>
            <w:r>
              <w:rPr>
                <w:w w:val="103"/>
                <w:sz w:val="13"/>
              </w:rPr>
              <w:t>-</w:t>
            </w:r>
          </w:p>
        </w:tc>
        <w:tc>
          <w:tcPr>
            <w:tcW w:w="1170" w:type="dxa"/>
          </w:tcPr>
          <w:p>
            <w:pPr>
              <w:pStyle w:val="TableParagraph"/>
              <w:spacing w:before="15"/>
              <w:ind w:left="366"/>
              <w:rPr>
                <w:sz w:val="13"/>
              </w:rPr>
            </w:pPr>
            <w:r>
              <w:rPr>
                <w:w w:val="105"/>
                <w:sz w:val="13"/>
              </w:rPr>
              <w:t>0,02</w:t>
            </w:r>
          </w:p>
        </w:tc>
        <w:tc>
          <w:tcPr>
            <w:tcW w:w="1206" w:type="dxa"/>
            <w:tcBorders>
              <w:right w:val="single" w:sz="4" w:space="0" w:color="000000"/>
            </w:tcBorders>
          </w:tcPr>
          <w:p>
            <w:pPr>
              <w:pStyle w:val="TableParagraph"/>
              <w:spacing w:before="15"/>
              <w:ind w:left="399" w:right="348"/>
              <w:jc w:val="center"/>
              <w:rPr>
                <w:sz w:val="13"/>
              </w:rPr>
            </w:pPr>
            <w:r>
              <w:rPr>
                <w:w w:val="105"/>
                <w:sz w:val="13"/>
              </w:rPr>
              <w:t>7,41%</w:t>
            </w:r>
          </w:p>
        </w:tc>
      </w:tr>
      <w:tr>
        <w:trPr>
          <w:trHeight w:val="191" w:hRule="atLeast"/>
        </w:trPr>
        <w:tc>
          <w:tcPr>
            <w:tcW w:w="1514" w:type="dxa"/>
            <w:tcBorders>
              <w:left w:val="single" w:sz="4" w:space="0" w:color="000000"/>
              <w:right w:val="single" w:sz="4" w:space="0" w:color="000000"/>
            </w:tcBorders>
          </w:tcPr>
          <w:p>
            <w:pPr>
              <w:pStyle w:val="TableParagraph"/>
              <w:spacing w:before="5"/>
              <w:ind w:left="57"/>
              <w:rPr>
                <w:b/>
                <w:sz w:val="13"/>
              </w:rPr>
            </w:pPr>
            <w:r>
              <w:rPr>
                <w:b/>
                <w:w w:val="105"/>
                <w:sz w:val="13"/>
              </w:rPr>
              <w:t>ICCA</w:t>
            </w:r>
          </w:p>
        </w:tc>
        <w:tc>
          <w:tcPr>
            <w:tcW w:w="1424" w:type="dxa"/>
            <w:tcBorders>
              <w:left w:val="single" w:sz="4" w:space="0" w:color="000000"/>
            </w:tcBorders>
          </w:tcPr>
          <w:p>
            <w:pPr>
              <w:pStyle w:val="TableParagraph"/>
              <w:spacing w:before="5"/>
              <w:ind w:left="368" w:right="277"/>
              <w:jc w:val="center"/>
              <w:rPr>
                <w:sz w:val="13"/>
              </w:rPr>
            </w:pPr>
            <w:r>
              <w:rPr>
                <w:w w:val="105"/>
                <w:sz w:val="13"/>
              </w:rPr>
              <w:t>89,77</w:t>
            </w:r>
          </w:p>
        </w:tc>
        <w:tc>
          <w:tcPr>
            <w:tcW w:w="1289" w:type="dxa"/>
          </w:tcPr>
          <w:p>
            <w:pPr>
              <w:pStyle w:val="TableParagraph"/>
              <w:spacing w:before="5"/>
              <w:ind w:right="333"/>
              <w:jc w:val="right"/>
              <w:rPr>
                <w:sz w:val="13"/>
              </w:rPr>
            </w:pPr>
            <w:r>
              <w:rPr>
                <w:sz w:val="13"/>
              </w:rPr>
              <w:t>105,80</w:t>
            </w:r>
          </w:p>
        </w:tc>
        <w:tc>
          <w:tcPr>
            <w:tcW w:w="449" w:type="dxa"/>
          </w:tcPr>
          <w:p>
            <w:pPr>
              <w:pStyle w:val="TableParagraph"/>
              <w:spacing w:before="5"/>
              <w:ind w:right="146"/>
              <w:jc w:val="right"/>
              <w:rPr>
                <w:sz w:val="13"/>
              </w:rPr>
            </w:pPr>
            <w:r>
              <w:rPr>
                <w:w w:val="103"/>
                <w:sz w:val="13"/>
              </w:rPr>
              <w:t>-</w:t>
            </w:r>
          </w:p>
        </w:tc>
        <w:tc>
          <w:tcPr>
            <w:tcW w:w="1170" w:type="dxa"/>
          </w:tcPr>
          <w:p>
            <w:pPr>
              <w:pStyle w:val="TableParagraph"/>
              <w:spacing w:before="5"/>
              <w:ind w:left="306"/>
              <w:rPr>
                <w:sz w:val="13"/>
              </w:rPr>
            </w:pPr>
            <w:r>
              <w:rPr>
                <w:w w:val="105"/>
                <w:sz w:val="13"/>
              </w:rPr>
              <w:t>16,03</w:t>
            </w:r>
          </w:p>
        </w:tc>
        <w:tc>
          <w:tcPr>
            <w:tcW w:w="1206" w:type="dxa"/>
            <w:tcBorders>
              <w:right w:val="single" w:sz="4" w:space="0" w:color="000000"/>
            </w:tcBorders>
          </w:tcPr>
          <w:p>
            <w:pPr>
              <w:pStyle w:val="TableParagraph"/>
              <w:spacing w:before="5"/>
              <w:ind w:left="399" w:right="348"/>
              <w:jc w:val="center"/>
              <w:rPr>
                <w:sz w:val="13"/>
              </w:rPr>
            </w:pPr>
            <w:r>
              <w:rPr>
                <w:w w:val="105"/>
                <w:sz w:val="13"/>
              </w:rPr>
              <w:t>0,12%</w:t>
            </w:r>
          </w:p>
        </w:tc>
      </w:tr>
      <w:tr>
        <w:trPr>
          <w:trHeight w:val="179" w:hRule="atLeast"/>
        </w:trPr>
        <w:tc>
          <w:tcPr>
            <w:tcW w:w="1514" w:type="dxa"/>
            <w:tcBorders>
              <w:left w:val="single" w:sz="4" w:space="0" w:color="000000"/>
              <w:right w:val="single" w:sz="4" w:space="0" w:color="000000"/>
            </w:tcBorders>
          </w:tcPr>
          <w:p>
            <w:pPr>
              <w:pStyle w:val="TableParagraph"/>
              <w:spacing w:line="154" w:lineRule="exact" w:before="5"/>
              <w:ind w:left="57"/>
              <w:rPr>
                <w:b/>
                <w:sz w:val="13"/>
              </w:rPr>
            </w:pPr>
            <w:r>
              <w:rPr>
                <w:b/>
                <w:w w:val="105"/>
                <w:sz w:val="13"/>
              </w:rPr>
              <w:t>APMN</w:t>
            </w:r>
          </w:p>
        </w:tc>
        <w:tc>
          <w:tcPr>
            <w:tcW w:w="1424" w:type="dxa"/>
            <w:tcBorders>
              <w:left w:val="single" w:sz="4" w:space="0" w:color="000000"/>
            </w:tcBorders>
          </w:tcPr>
          <w:p>
            <w:pPr>
              <w:pStyle w:val="TableParagraph"/>
              <w:spacing w:line="154" w:lineRule="exact" w:before="5"/>
              <w:ind w:left="359" w:right="396"/>
              <w:jc w:val="center"/>
              <w:rPr>
                <w:sz w:val="13"/>
              </w:rPr>
            </w:pPr>
            <w:r>
              <w:rPr>
                <w:w w:val="105"/>
                <w:sz w:val="13"/>
              </w:rPr>
              <w:t>4.490,72</w:t>
            </w:r>
          </w:p>
        </w:tc>
        <w:tc>
          <w:tcPr>
            <w:tcW w:w="1289" w:type="dxa"/>
          </w:tcPr>
          <w:p>
            <w:pPr>
              <w:pStyle w:val="TableParagraph"/>
              <w:spacing w:line="154" w:lineRule="exact" w:before="5"/>
              <w:ind w:right="321"/>
              <w:jc w:val="right"/>
              <w:rPr>
                <w:sz w:val="13"/>
              </w:rPr>
            </w:pPr>
            <w:r>
              <w:rPr>
                <w:sz w:val="13"/>
              </w:rPr>
              <w:t>6.095,84</w:t>
            </w:r>
          </w:p>
        </w:tc>
        <w:tc>
          <w:tcPr>
            <w:tcW w:w="449" w:type="dxa"/>
          </w:tcPr>
          <w:p>
            <w:pPr>
              <w:pStyle w:val="TableParagraph"/>
              <w:spacing w:line="142" w:lineRule="exact" w:before="17"/>
              <w:ind w:right="146"/>
              <w:jc w:val="right"/>
              <w:rPr>
                <w:sz w:val="13"/>
              </w:rPr>
            </w:pPr>
            <w:r>
              <w:rPr>
                <w:w w:val="103"/>
                <w:sz w:val="13"/>
              </w:rPr>
              <w:t>-</w:t>
            </w:r>
          </w:p>
        </w:tc>
        <w:tc>
          <w:tcPr>
            <w:tcW w:w="1170" w:type="dxa"/>
          </w:tcPr>
          <w:p>
            <w:pPr>
              <w:pStyle w:val="TableParagraph"/>
              <w:spacing w:line="142" w:lineRule="exact" w:before="17"/>
              <w:ind w:left="155"/>
              <w:rPr>
                <w:sz w:val="13"/>
              </w:rPr>
            </w:pPr>
            <w:r>
              <w:rPr>
                <w:w w:val="105"/>
                <w:sz w:val="13"/>
              </w:rPr>
              <w:t>1.605,12</w:t>
            </w:r>
          </w:p>
        </w:tc>
        <w:tc>
          <w:tcPr>
            <w:tcW w:w="1206" w:type="dxa"/>
            <w:tcBorders>
              <w:right w:val="single" w:sz="4" w:space="0" w:color="000000"/>
            </w:tcBorders>
          </w:tcPr>
          <w:p>
            <w:pPr>
              <w:pStyle w:val="TableParagraph"/>
              <w:spacing w:line="154" w:lineRule="exact" w:before="5"/>
              <w:ind w:left="399" w:right="348"/>
              <w:jc w:val="center"/>
              <w:rPr>
                <w:sz w:val="13"/>
              </w:rPr>
            </w:pPr>
            <w:r>
              <w:rPr>
                <w:w w:val="105"/>
                <w:sz w:val="13"/>
              </w:rPr>
              <w:t>6,03%</w:t>
            </w:r>
          </w:p>
        </w:tc>
      </w:tr>
      <w:tr>
        <w:trPr>
          <w:trHeight w:val="188" w:hRule="atLeast"/>
        </w:trPr>
        <w:tc>
          <w:tcPr>
            <w:tcW w:w="1514" w:type="dxa"/>
            <w:tcBorders>
              <w:left w:val="single" w:sz="4" w:space="0" w:color="000000"/>
              <w:bottom w:val="single" w:sz="4" w:space="0" w:color="000000"/>
              <w:right w:val="single" w:sz="4" w:space="0" w:color="000000"/>
            </w:tcBorders>
            <w:shd w:val="clear" w:color="auto" w:fill="D9D9D9"/>
          </w:tcPr>
          <w:p>
            <w:pPr>
              <w:pStyle w:val="TableParagraph"/>
              <w:spacing w:line="153" w:lineRule="exact" w:before="15"/>
              <w:ind w:left="57"/>
              <w:rPr>
                <w:b/>
                <w:sz w:val="13"/>
              </w:rPr>
            </w:pPr>
            <w:r>
              <w:rPr>
                <w:b/>
                <w:w w:val="105"/>
                <w:sz w:val="13"/>
              </w:rPr>
              <w:t>TOTAL (</w:t>
            </w:r>
            <w:r>
              <w:rPr>
                <w:w w:val="105"/>
                <w:sz w:val="13"/>
              </w:rPr>
              <w:t>miles de €</w:t>
            </w:r>
            <w:r>
              <w:rPr>
                <w:b/>
                <w:w w:val="105"/>
                <w:sz w:val="13"/>
              </w:rPr>
              <w:t>)</w:t>
            </w:r>
          </w:p>
        </w:tc>
        <w:tc>
          <w:tcPr>
            <w:tcW w:w="1424" w:type="dxa"/>
            <w:tcBorders>
              <w:left w:val="single" w:sz="4" w:space="0" w:color="000000"/>
              <w:bottom w:val="single" w:sz="4" w:space="0" w:color="000000"/>
            </w:tcBorders>
            <w:shd w:val="clear" w:color="auto" w:fill="D9D9D9"/>
          </w:tcPr>
          <w:p>
            <w:pPr>
              <w:pStyle w:val="TableParagraph"/>
              <w:spacing w:line="153" w:lineRule="exact" w:before="15"/>
              <w:ind w:left="368" w:right="337"/>
              <w:jc w:val="center"/>
              <w:rPr>
                <w:b/>
                <w:sz w:val="13"/>
              </w:rPr>
            </w:pPr>
            <w:r>
              <w:rPr>
                <w:b/>
                <w:w w:val="105"/>
                <w:sz w:val="13"/>
              </w:rPr>
              <w:t>74.494,95</w:t>
            </w:r>
          </w:p>
        </w:tc>
        <w:tc>
          <w:tcPr>
            <w:tcW w:w="1289" w:type="dxa"/>
            <w:tcBorders>
              <w:bottom w:val="single" w:sz="4" w:space="0" w:color="000000"/>
            </w:tcBorders>
            <w:shd w:val="clear" w:color="auto" w:fill="D9D9D9"/>
          </w:tcPr>
          <w:p>
            <w:pPr>
              <w:pStyle w:val="TableParagraph"/>
              <w:spacing w:line="153" w:lineRule="exact" w:before="15"/>
              <w:ind w:right="250"/>
              <w:jc w:val="right"/>
              <w:rPr>
                <w:b/>
                <w:sz w:val="13"/>
              </w:rPr>
            </w:pPr>
            <w:r>
              <w:rPr>
                <w:b/>
                <w:w w:val="105"/>
                <w:sz w:val="13"/>
              </w:rPr>
              <w:t>80.364,54</w:t>
            </w:r>
          </w:p>
        </w:tc>
        <w:tc>
          <w:tcPr>
            <w:tcW w:w="449" w:type="dxa"/>
            <w:tcBorders>
              <w:bottom w:val="single" w:sz="4" w:space="0" w:color="000000"/>
            </w:tcBorders>
            <w:shd w:val="clear" w:color="auto" w:fill="D9D9D9"/>
          </w:tcPr>
          <w:p>
            <w:pPr>
              <w:pStyle w:val="TableParagraph"/>
              <w:spacing w:line="153" w:lineRule="exact" w:before="15"/>
              <w:ind w:right="146"/>
              <w:jc w:val="right"/>
              <w:rPr>
                <w:b/>
                <w:sz w:val="13"/>
              </w:rPr>
            </w:pPr>
            <w:r>
              <w:rPr>
                <w:b/>
                <w:w w:val="103"/>
                <w:sz w:val="13"/>
              </w:rPr>
              <w:t>-</w:t>
            </w:r>
          </w:p>
        </w:tc>
        <w:tc>
          <w:tcPr>
            <w:tcW w:w="1170" w:type="dxa"/>
            <w:tcBorders>
              <w:bottom w:val="single" w:sz="4" w:space="0" w:color="000000"/>
            </w:tcBorders>
            <w:shd w:val="clear" w:color="auto" w:fill="D9D9D9"/>
          </w:tcPr>
          <w:p>
            <w:pPr>
              <w:pStyle w:val="TableParagraph"/>
              <w:spacing w:line="153" w:lineRule="exact" w:before="15"/>
              <w:ind w:left="155"/>
              <w:rPr>
                <w:b/>
                <w:sz w:val="13"/>
              </w:rPr>
            </w:pPr>
            <w:r>
              <w:rPr>
                <w:b/>
                <w:w w:val="105"/>
                <w:sz w:val="13"/>
              </w:rPr>
              <w:t>5.869,59</w:t>
            </w:r>
          </w:p>
        </w:tc>
        <w:tc>
          <w:tcPr>
            <w:tcW w:w="1206" w:type="dxa"/>
            <w:tcBorders>
              <w:bottom w:val="single" w:sz="4" w:space="0" w:color="000000"/>
              <w:right w:val="single" w:sz="4" w:space="0" w:color="000000"/>
            </w:tcBorders>
            <w:shd w:val="clear" w:color="auto" w:fill="D9D9D9"/>
          </w:tcPr>
          <w:p>
            <w:pPr>
              <w:pStyle w:val="TableParagraph"/>
              <w:rPr>
                <w:rFonts w:ascii="Times New Roman"/>
                <w:sz w:val="12"/>
              </w:rPr>
            </w:pPr>
          </w:p>
        </w:tc>
      </w:tr>
    </w:tbl>
    <w:p>
      <w:pPr>
        <w:pStyle w:val="BodyText"/>
        <w:spacing w:before="7"/>
        <w:rPr>
          <w:sz w:val="16"/>
        </w:rPr>
      </w:pPr>
    </w:p>
    <w:p>
      <w:pPr>
        <w:pStyle w:val="ListParagraph"/>
        <w:numPr>
          <w:ilvl w:val="0"/>
          <w:numId w:val="35"/>
        </w:numPr>
        <w:tabs>
          <w:tab w:pos="2335" w:val="left" w:leader="none"/>
        </w:tabs>
        <w:spacing w:line="242" w:lineRule="auto" w:before="0" w:after="0"/>
        <w:ind w:left="2334" w:right="1140" w:hanging="238"/>
        <w:jc w:val="both"/>
        <w:rPr>
          <w:sz w:val="20"/>
        </w:rPr>
      </w:pPr>
      <w:r>
        <w:rPr>
          <w:sz w:val="20"/>
        </w:rPr>
        <w:t>Para del control y regularización del pendiente de cobro contabilizado en SefLogic y, especialmente, en PICCAC (SICOIN), el Gobierno acordó, el 1 de agosto de 2013, que se efectuara por parte de la IGCAC un seguimiento de las Subvenciones y Aportaciones</w:t>
      </w:r>
      <w:r>
        <w:rPr>
          <w:spacing w:val="-9"/>
          <w:sz w:val="20"/>
        </w:rPr>
        <w:t> </w:t>
      </w:r>
      <w:r>
        <w:rPr>
          <w:sz w:val="20"/>
        </w:rPr>
        <w:t>dinerarias</w:t>
      </w:r>
      <w:r>
        <w:rPr>
          <w:spacing w:val="-8"/>
          <w:sz w:val="20"/>
        </w:rPr>
        <w:t> </w:t>
      </w:r>
      <w:r>
        <w:rPr>
          <w:sz w:val="20"/>
        </w:rPr>
        <w:t>sin</w:t>
      </w:r>
      <w:r>
        <w:rPr>
          <w:spacing w:val="-7"/>
          <w:sz w:val="20"/>
        </w:rPr>
        <w:t> </w:t>
      </w:r>
      <w:r>
        <w:rPr>
          <w:sz w:val="20"/>
        </w:rPr>
        <w:t>justificar</w:t>
      </w:r>
      <w:r>
        <w:rPr>
          <w:spacing w:val="-7"/>
          <w:sz w:val="20"/>
        </w:rPr>
        <w:t> </w:t>
      </w:r>
      <w:r>
        <w:rPr>
          <w:sz w:val="20"/>
        </w:rPr>
        <w:t>con</w:t>
      </w:r>
      <w:r>
        <w:rPr>
          <w:spacing w:val="-7"/>
          <w:sz w:val="20"/>
        </w:rPr>
        <w:t> </w:t>
      </w:r>
      <w:r>
        <w:rPr>
          <w:sz w:val="20"/>
        </w:rPr>
        <w:t>plazo</w:t>
      </w:r>
      <w:r>
        <w:rPr>
          <w:spacing w:val="-6"/>
          <w:sz w:val="20"/>
        </w:rPr>
        <w:t> </w:t>
      </w:r>
      <w:r>
        <w:rPr>
          <w:sz w:val="20"/>
        </w:rPr>
        <w:t>vencido.</w:t>
      </w:r>
      <w:r>
        <w:rPr>
          <w:spacing w:val="-7"/>
          <w:sz w:val="20"/>
        </w:rPr>
        <w:t> </w:t>
      </w:r>
      <w:r>
        <w:rPr>
          <w:sz w:val="20"/>
        </w:rPr>
        <w:t>Asimismo,</w:t>
      </w:r>
      <w:r>
        <w:rPr>
          <w:spacing w:val="-7"/>
          <w:sz w:val="20"/>
        </w:rPr>
        <w:t> </w:t>
      </w:r>
      <w:r>
        <w:rPr>
          <w:sz w:val="20"/>
        </w:rPr>
        <w:t>y</w:t>
      </w:r>
      <w:r>
        <w:rPr>
          <w:spacing w:val="-8"/>
          <w:sz w:val="20"/>
        </w:rPr>
        <w:t> </w:t>
      </w:r>
      <w:r>
        <w:rPr>
          <w:sz w:val="20"/>
        </w:rPr>
        <w:t>en</w:t>
      </w:r>
      <w:r>
        <w:rPr>
          <w:spacing w:val="-6"/>
          <w:sz w:val="20"/>
        </w:rPr>
        <w:t> </w:t>
      </w:r>
      <w:r>
        <w:rPr>
          <w:sz w:val="20"/>
        </w:rPr>
        <w:t>cumplimiento de ese Acuerdo, el 30 de junio de 2022, el Gobierno de Canarias establece que, por parte de la IGCAC, se adopten todas las actuaciones necesarias para depurar las cantidades pendientes de justificar sin resolución de reintegro en ambos</w:t>
      </w:r>
      <w:r>
        <w:rPr>
          <w:spacing w:val="12"/>
          <w:sz w:val="20"/>
        </w:rPr>
        <w:t> </w:t>
      </w:r>
      <w:r>
        <w:rPr>
          <w:sz w:val="20"/>
        </w:rPr>
        <w:t>sistemas.</w:t>
      </w:r>
    </w:p>
    <w:p>
      <w:pPr>
        <w:pStyle w:val="BodyText"/>
        <w:spacing w:before="50"/>
        <w:ind w:right="1136"/>
        <w:jc w:val="right"/>
      </w:pPr>
      <w:r>
        <w:rPr/>
        <w:t>75</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61" name="image5.png"/>
                  <wp:cNvGraphicFramePr>
                    <a:graphicFrameLocks noChangeAspect="1"/>
                  </wp:cNvGraphicFramePr>
                  <a:graphic>
                    <a:graphicData uri="http://schemas.openxmlformats.org/drawingml/2006/picture">
                      <pic:pic>
                        <pic:nvPicPr>
                          <pic:cNvPr id="16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77/247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34" w:right="1141"/>
        <w:jc w:val="both"/>
      </w:pPr>
      <w:r>
        <w:rPr/>
        <w:t>De acuerdo con el informe de la IGCAC, a 31 de diciembre de 2022, en total las siguientes entidades registran 313 millones de € de subvenciones pendientes de justificar, de los que 70 millones se contabilizan en SICOIN, situación que es muy similar a la del ejercicio anterior.</w:t>
      </w:r>
    </w:p>
    <w:p>
      <w:pPr>
        <w:pStyle w:val="BodyText"/>
        <w:rPr>
          <w:sz w:val="17"/>
        </w:rPr>
      </w:pPr>
    </w:p>
    <w:tbl>
      <w:tblPr>
        <w:tblW w:w="0" w:type="auto"/>
        <w:jc w:val="left"/>
        <w:tblInd w:w="2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4"/>
        <w:gridCol w:w="1233"/>
        <w:gridCol w:w="703"/>
        <w:gridCol w:w="1282"/>
        <w:gridCol w:w="697"/>
        <w:gridCol w:w="1241"/>
        <w:gridCol w:w="741"/>
      </w:tblGrid>
      <w:tr>
        <w:trPr>
          <w:trHeight w:val="165" w:hRule="atLeast"/>
        </w:trPr>
        <w:tc>
          <w:tcPr>
            <w:tcW w:w="954" w:type="dxa"/>
            <w:tcBorders>
              <w:bottom w:val="nil"/>
            </w:tcBorders>
          </w:tcPr>
          <w:p>
            <w:pPr>
              <w:pStyle w:val="TableParagraph"/>
              <w:rPr>
                <w:rFonts w:ascii="Times New Roman"/>
                <w:sz w:val="10"/>
              </w:rPr>
            </w:pPr>
          </w:p>
        </w:tc>
        <w:tc>
          <w:tcPr>
            <w:tcW w:w="5897" w:type="dxa"/>
            <w:gridSpan w:val="6"/>
            <w:shd w:val="clear" w:color="auto" w:fill="DEEAF6"/>
          </w:tcPr>
          <w:p>
            <w:pPr>
              <w:pStyle w:val="TableParagraph"/>
              <w:spacing w:line="141" w:lineRule="exact" w:before="4"/>
              <w:ind w:left="1380"/>
              <w:rPr>
                <w:b/>
                <w:sz w:val="13"/>
              </w:rPr>
            </w:pPr>
            <w:r>
              <w:rPr>
                <w:b/>
                <w:w w:val="105"/>
                <w:sz w:val="13"/>
              </w:rPr>
              <w:t>Subvenciones pendientes de justificar a 31 de diciembre</w:t>
            </w:r>
          </w:p>
        </w:tc>
      </w:tr>
      <w:tr>
        <w:trPr>
          <w:trHeight w:val="187" w:hRule="atLeast"/>
        </w:trPr>
        <w:tc>
          <w:tcPr>
            <w:tcW w:w="954" w:type="dxa"/>
            <w:tcBorders>
              <w:top w:val="nil"/>
              <w:bottom w:val="nil"/>
            </w:tcBorders>
          </w:tcPr>
          <w:p>
            <w:pPr>
              <w:pStyle w:val="TableParagraph"/>
              <w:rPr>
                <w:rFonts w:ascii="Times New Roman"/>
                <w:sz w:val="12"/>
              </w:rPr>
            </w:pPr>
          </w:p>
        </w:tc>
        <w:tc>
          <w:tcPr>
            <w:tcW w:w="1233" w:type="dxa"/>
            <w:tcBorders>
              <w:right w:val="nil"/>
            </w:tcBorders>
            <w:shd w:val="clear" w:color="auto" w:fill="DEEAF6"/>
          </w:tcPr>
          <w:p>
            <w:pPr>
              <w:pStyle w:val="TableParagraph"/>
              <w:spacing w:line="141" w:lineRule="exact" w:before="26"/>
              <w:ind w:left="772"/>
              <w:rPr>
                <w:b/>
                <w:sz w:val="13"/>
              </w:rPr>
            </w:pPr>
            <w:r>
              <w:rPr>
                <w:b/>
                <w:w w:val="105"/>
                <w:sz w:val="13"/>
              </w:rPr>
              <w:t>SICOIN</w:t>
            </w:r>
          </w:p>
        </w:tc>
        <w:tc>
          <w:tcPr>
            <w:tcW w:w="703" w:type="dxa"/>
            <w:tcBorders>
              <w:left w:val="nil"/>
              <w:right w:val="nil"/>
            </w:tcBorders>
            <w:shd w:val="clear" w:color="auto" w:fill="DEEAF6"/>
          </w:tcPr>
          <w:p>
            <w:pPr>
              <w:pStyle w:val="TableParagraph"/>
              <w:rPr>
                <w:rFonts w:ascii="Times New Roman"/>
                <w:sz w:val="12"/>
              </w:rPr>
            </w:pPr>
          </w:p>
        </w:tc>
        <w:tc>
          <w:tcPr>
            <w:tcW w:w="1282" w:type="dxa"/>
            <w:tcBorders>
              <w:left w:val="nil"/>
              <w:right w:val="nil"/>
            </w:tcBorders>
            <w:shd w:val="clear" w:color="auto" w:fill="DEEAF6"/>
          </w:tcPr>
          <w:p>
            <w:pPr>
              <w:pStyle w:val="TableParagraph"/>
              <w:spacing w:line="141" w:lineRule="exact" w:before="26"/>
              <w:ind w:left="727"/>
              <w:rPr>
                <w:b/>
                <w:sz w:val="13"/>
              </w:rPr>
            </w:pPr>
            <w:r>
              <w:rPr>
                <w:b/>
                <w:w w:val="105"/>
                <w:sz w:val="13"/>
              </w:rPr>
              <w:t>SEFLOGIC</w:t>
            </w:r>
          </w:p>
        </w:tc>
        <w:tc>
          <w:tcPr>
            <w:tcW w:w="697" w:type="dxa"/>
            <w:tcBorders>
              <w:left w:val="nil"/>
              <w:right w:val="nil"/>
            </w:tcBorders>
            <w:shd w:val="clear" w:color="auto" w:fill="DEEAF6"/>
          </w:tcPr>
          <w:p>
            <w:pPr>
              <w:pStyle w:val="TableParagraph"/>
              <w:rPr>
                <w:rFonts w:ascii="Times New Roman"/>
                <w:sz w:val="12"/>
              </w:rPr>
            </w:pPr>
          </w:p>
        </w:tc>
        <w:tc>
          <w:tcPr>
            <w:tcW w:w="1241" w:type="dxa"/>
            <w:tcBorders>
              <w:left w:val="nil"/>
              <w:right w:val="nil"/>
            </w:tcBorders>
            <w:shd w:val="clear" w:color="auto" w:fill="DEEAF6"/>
          </w:tcPr>
          <w:p>
            <w:pPr>
              <w:pStyle w:val="TableParagraph"/>
              <w:spacing w:line="141" w:lineRule="exact" w:before="26"/>
              <w:ind w:left="812"/>
              <w:rPr>
                <w:b/>
                <w:sz w:val="13"/>
              </w:rPr>
            </w:pPr>
            <w:r>
              <w:rPr>
                <w:b/>
                <w:w w:val="105"/>
                <w:sz w:val="13"/>
              </w:rPr>
              <w:t>TOTAL</w:t>
            </w:r>
          </w:p>
        </w:tc>
        <w:tc>
          <w:tcPr>
            <w:tcW w:w="741" w:type="dxa"/>
            <w:tcBorders>
              <w:left w:val="nil"/>
            </w:tcBorders>
            <w:shd w:val="clear" w:color="auto" w:fill="DEEAF6"/>
          </w:tcPr>
          <w:p>
            <w:pPr>
              <w:pStyle w:val="TableParagraph"/>
              <w:rPr>
                <w:rFonts w:ascii="Times New Roman"/>
                <w:sz w:val="12"/>
              </w:rPr>
            </w:pPr>
          </w:p>
        </w:tc>
      </w:tr>
      <w:tr>
        <w:trPr>
          <w:trHeight w:val="163" w:hRule="atLeast"/>
        </w:trPr>
        <w:tc>
          <w:tcPr>
            <w:tcW w:w="954" w:type="dxa"/>
            <w:tcBorders>
              <w:top w:val="nil"/>
              <w:bottom w:val="nil"/>
            </w:tcBorders>
          </w:tcPr>
          <w:p>
            <w:pPr>
              <w:pStyle w:val="TableParagraph"/>
              <w:rPr>
                <w:rFonts w:ascii="Times New Roman"/>
                <w:sz w:val="10"/>
              </w:rPr>
            </w:pPr>
          </w:p>
        </w:tc>
        <w:tc>
          <w:tcPr>
            <w:tcW w:w="1233" w:type="dxa"/>
            <w:tcBorders>
              <w:right w:val="nil"/>
            </w:tcBorders>
            <w:shd w:val="clear" w:color="auto" w:fill="DEEAF6"/>
          </w:tcPr>
          <w:p>
            <w:pPr>
              <w:pStyle w:val="TableParagraph"/>
              <w:spacing w:line="141" w:lineRule="exact" w:before="2"/>
              <w:ind w:left="335"/>
              <w:rPr>
                <w:b/>
                <w:sz w:val="13"/>
              </w:rPr>
            </w:pPr>
            <w:r>
              <w:rPr>
                <w:b/>
                <w:w w:val="105"/>
                <w:sz w:val="13"/>
              </w:rPr>
              <w:t>2022</w:t>
            </w:r>
          </w:p>
        </w:tc>
        <w:tc>
          <w:tcPr>
            <w:tcW w:w="703" w:type="dxa"/>
            <w:tcBorders>
              <w:left w:val="nil"/>
            </w:tcBorders>
            <w:shd w:val="clear" w:color="auto" w:fill="DEEAF6"/>
          </w:tcPr>
          <w:p>
            <w:pPr>
              <w:pStyle w:val="TableParagraph"/>
              <w:spacing w:line="141" w:lineRule="exact" w:before="2"/>
              <w:ind w:left="74"/>
              <w:rPr>
                <w:b/>
                <w:sz w:val="13"/>
              </w:rPr>
            </w:pPr>
            <w:r>
              <w:rPr>
                <w:b/>
                <w:w w:val="105"/>
                <w:sz w:val="13"/>
              </w:rPr>
              <w:t>2021</w:t>
            </w:r>
          </w:p>
        </w:tc>
        <w:tc>
          <w:tcPr>
            <w:tcW w:w="1282" w:type="dxa"/>
            <w:tcBorders>
              <w:right w:val="nil"/>
            </w:tcBorders>
            <w:shd w:val="clear" w:color="auto" w:fill="DEEAF6"/>
          </w:tcPr>
          <w:p>
            <w:pPr>
              <w:pStyle w:val="TableParagraph"/>
              <w:spacing w:line="141" w:lineRule="exact" w:before="2"/>
              <w:ind w:left="386"/>
              <w:rPr>
                <w:b/>
                <w:sz w:val="13"/>
              </w:rPr>
            </w:pPr>
            <w:r>
              <w:rPr>
                <w:b/>
                <w:w w:val="105"/>
                <w:sz w:val="13"/>
              </w:rPr>
              <w:t>2022</w:t>
            </w:r>
          </w:p>
        </w:tc>
        <w:tc>
          <w:tcPr>
            <w:tcW w:w="697" w:type="dxa"/>
            <w:tcBorders>
              <w:left w:val="nil"/>
            </w:tcBorders>
            <w:shd w:val="clear" w:color="auto" w:fill="DEEAF6"/>
          </w:tcPr>
          <w:p>
            <w:pPr>
              <w:pStyle w:val="TableParagraph"/>
              <w:spacing w:line="141" w:lineRule="exact" w:before="2"/>
              <w:ind w:left="98"/>
              <w:rPr>
                <w:b/>
                <w:sz w:val="13"/>
              </w:rPr>
            </w:pPr>
            <w:r>
              <w:rPr>
                <w:b/>
                <w:w w:val="105"/>
                <w:sz w:val="13"/>
              </w:rPr>
              <w:t>2021</w:t>
            </w:r>
          </w:p>
        </w:tc>
        <w:tc>
          <w:tcPr>
            <w:tcW w:w="1241" w:type="dxa"/>
            <w:tcBorders>
              <w:right w:val="nil"/>
            </w:tcBorders>
            <w:shd w:val="clear" w:color="auto" w:fill="DEEAF6"/>
          </w:tcPr>
          <w:p>
            <w:pPr>
              <w:pStyle w:val="TableParagraph"/>
              <w:spacing w:line="141" w:lineRule="exact" w:before="2"/>
              <w:ind w:left="342"/>
              <w:rPr>
                <w:b/>
                <w:sz w:val="13"/>
              </w:rPr>
            </w:pPr>
            <w:r>
              <w:rPr>
                <w:b/>
                <w:w w:val="105"/>
                <w:sz w:val="13"/>
              </w:rPr>
              <w:t>2022</w:t>
            </w:r>
          </w:p>
        </w:tc>
        <w:tc>
          <w:tcPr>
            <w:tcW w:w="741" w:type="dxa"/>
            <w:tcBorders>
              <w:left w:val="nil"/>
            </w:tcBorders>
            <w:shd w:val="clear" w:color="auto" w:fill="DEEAF6"/>
          </w:tcPr>
          <w:p>
            <w:pPr>
              <w:pStyle w:val="TableParagraph"/>
              <w:spacing w:line="141" w:lineRule="exact" w:before="2"/>
              <w:ind w:left="95"/>
              <w:rPr>
                <w:b/>
                <w:sz w:val="13"/>
              </w:rPr>
            </w:pPr>
            <w:r>
              <w:rPr>
                <w:b/>
                <w:w w:val="105"/>
                <w:sz w:val="13"/>
              </w:rPr>
              <w:t>2021</w:t>
            </w:r>
          </w:p>
        </w:tc>
      </w:tr>
      <w:tr>
        <w:trPr>
          <w:trHeight w:val="199" w:hRule="atLeast"/>
        </w:trPr>
        <w:tc>
          <w:tcPr>
            <w:tcW w:w="954" w:type="dxa"/>
            <w:tcBorders>
              <w:top w:val="nil"/>
              <w:bottom w:val="nil"/>
            </w:tcBorders>
          </w:tcPr>
          <w:p>
            <w:pPr>
              <w:pStyle w:val="TableParagraph"/>
              <w:spacing w:before="14"/>
              <w:ind w:left="59"/>
              <w:rPr>
                <w:b/>
                <w:sz w:val="13"/>
              </w:rPr>
            </w:pPr>
            <w:r>
              <w:rPr>
                <w:b/>
                <w:w w:val="105"/>
                <w:sz w:val="13"/>
              </w:rPr>
              <w:t>SCS</w:t>
            </w:r>
          </w:p>
        </w:tc>
        <w:tc>
          <w:tcPr>
            <w:tcW w:w="1233" w:type="dxa"/>
            <w:tcBorders>
              <w:bottom w:val="nil"/>
              <w:right w:val="nil"/>
            </w:tcBorders>
          </w:tcPr>
          <w:p>
            <w:pPr>
              <w:pStyle w:val="TableParagraph"/>
              <w:spacing w:before="14"/>
              <w:ind w:left="508"/>
              <w:rPr>
                <w:sz w:val="13"/>
              </w:rPr>
            </w:pPr>
            <w:r>
              <w:rPr>
                <w:w w:val="105"/>
                <w:sz w:val="13"/>
              </w:rPr>
              <w:t>184,55</w:t>
            </w:r>
          </w:p>
        </w:tc>
        <w:tc>
          <w:tcPr>
            <w:tcW w:w="703" w:type="dxa"/>
            <w:tcBorders>
              <w:left w:val="nil"/>
              <w:bottom w:val="nil"/>
            </w:tcBorders>
          </w:tcPr>
          <w:p>
            <w:pPr>
              <w:pStyle w:val="TableParagraph"/>
              <w:spacing w:before="14"/>
              <w:ind w:right="47"/>
              <w:jc w:val="right"/>
              <w:rPr>
                <w:sz w:val="13"/>
              </w:rPr>
            </w:pPr>
            <w:r>
              <w:rPr>
                <w:sz w:val="13"/>
              </w:rPr>
              <w:t>184,55</w:t>
            </w:r>
          </w:p>
        </w:tc>
        <w:tc>
          <w:tcPr>
            <w:tcW w:w="1282" w:type="dxa"/>
            <w:tcBorders>
              <w:bottom w:val="nil"/>
              <w:right w:val="nil"/>
            </w:tcBorders>
          </w:tcPr>
          <w:p>
            <w:pPr>
              <w:pStyle w:val="TableParagraph"/>
              <w:spacing w:before="14"/>
              <w:ind w:left="509"/>
              <w:rPr>
                <w:sz w:val="13"/>
              </w:rPr>
            </w:pPr>
            <w:r>
              <w:rPr>
                <w:w w:val="105"/>
                <w:sz w:val="13"/>
              </w:rPr>
              <w:t>7.519,50</w:t>
            </w:r>
          </w:p>
        </w:tc>
        <w:tc>
          <w:tcPr>
            <w:tcW w:w="697" w:type="dxa"/>
            <w:tcBorders>
              <w:left w:val="nil"/>
              <w:bottom w:val="nil"/>
            </w:tcBorders>
          </w:tcPr>
          <w:p>
            <w:pPr>
              <w:pStyle w:val="TableParagraph"/>
              <w:spacing w:before="14"/>
              <w:ind w:right="45"/>
              <w:jc w:val="right"/>
              <w:rPr>
                <w:sz w:val="13"/>
              </w:rPr>
            </w:pPr>
            <w:r>
              <w:rPr>
                <w:w w:val="105"/>
                <w:sz w:val="13"/>
              </w:rPr>
              <w:t>7.240,87</w:t>
            </w:r>
          </w:p>
        </w:tc>
        <w:tc>
          <w:tcPr>
            <w:tcW w:w="1241" w:type="dxa"/>
            <w:tcBorders>
              <w:bottom w:val="nil"/>
              <w:right w:val="nil"/>
            </w:tcBorders>
          </w:tcPr>
          <w:p>
            <w:pPr>
              <w:pStyle w:val="TableParagraph"/>
              <w:spacing w:before="14"/>
              <w:ind w:left="422"/>
              <w:rPr>
                <w:sz w:val="13"/>
              </w:rPr>
            </w:pPr>
            <w:r>
              <w:rPr>
                <w:w w:val="105"/>
                <w:sz w:val="13"/>
              </w:rPr>
              <w:t>7.704,05</w:t>
            </w:r>
          </w:p>
        </w:tc>
        <w:tc>
          <w:tcPr>
            <w:tcW w:w="741" w:type="dxa"/>
            <w:tcBorders>
              <w:left w:val="nil"/>
              <w:bottom w:val="nil"/>
            </w:tcBorders>
          </w:tcPr>
          <w:p>
            <w:pPr>
              <w:pStyle w:val="TableParagraph"/>
              <w:spacing w:before="14"/>
              <w:ind w:right="46"/>
              <w:jc w:val="right"/>
              <w:rPr>
                <w:sz w:val="13"/>
              </w:rPr>
            </w:pPr>
            <w:r>
              <w:rPr>
                <w:w w:val="105"/>
                <w:sz w:val="13"/>
              </w:rPr>
              <w:t>7.425,42</w:t>
            </w:r>
          </w:p>
        </w:tc>
      </w:tr>
      <w:tr>
        <w:trPr>
          <w:trHeight w:val="188" w:hRule="atLeast"/>
        </w:trPr>
        <w:tc>
          <w:tcPr>
            <w:tcW w:w="954" w:type="dxa"/>
            <w:tcBorders>
              <w:top w:val="nil"/>
              <w:bottom w:val="nil"/>
            </w:tcBorders>
          </w:tcPr>
          <w:p>
            <w:pPr>
              <w:pStyle w:val="TableParagraph"/>
              <w:spacing w:before="4"/>
              <w:ind w:left="59"/>
              <w:rPr>
                <w:b/>
                <w:sz w:val="13"/>
              </w:rPr>
            </w:pPr>
            <w:r>
              <w:rPr>
                <w:b/>
                <w:w w:val="105"/>
                <w:sz w:val="13"/>
              </w:rPr>
              <w:t>ICAP</w:t>
            </w:r>
          </w:p>
        </w:tc>
        <w:tc>
          <w:tcPr>
            <w:tcW w:w="1233" w:type="dxa"/>
            <w:tcBorders>
              <w:top w:val="nil"/>
              <w:bottom w:val="nil"/>
              <w:right w:val="nil"/>
            </w:tcBorders>
          </w:tcPr>
          <w:p>
            <w:pPr>
              <w:pStyle w:val="TableParagraph"/>
              <w:rPr>
                <w:rFonts w:ascii="Times New Roman"/>
                <w:sz w:val="12"/>
              </w:rPr>
            </w:pPr>
          </w:p>
        </w:tc>
        <w:tc>
          <w:tcPr>
            <w:tcW w:w="703" w:type="dxa"/>
            <w:tcBorders>
              <w:top w:val="nil"/>
              <w:left w:val="nil"/>
              <w:bottom w:val="nil"/>
            </w:tcBorders>
          </w:tcPr>
          <w:p>
            <w:pPr>
              <w:pStyle w:val="TableParagraph"/>
              <w:rPr>
                <w:rFonts w:ascii="Times New Roman"/>
                <w:sz w:val="12"/>
              </w:rPr>
            </w:pPr>
          </w:p>
        </w:tc>
        <w:tc>
          <w:tcPr>
            <w:tcW w:w="1282" w:type="dxa"/>
            <w:tcBorders>
              <w:top w:val="nil"/>
              <w:bottom w:val="nil"/>
              <w:right w:val="nil"/>
            </w:tcBorders>
          </w:tcPr>
          <w:p>
            <w:pPr>
              <w:pStyle w:val="TableParagraph"/>
              <w:rPr>
                <w:rFonts w:ascii="Times New Roman"/>
                <w:sz w:val="12"/>
              </w:rPr>
            </w:pPr>
          </w:p>
        </w:tc>
        <w:tc>
          <w:tcPr>
            <w:tcW w:w="697" w:type="dxa"/>
            <w:tcBorders>
              <w:top w:val="nil"/>
              <w:left w:val="nil"/>
              <w:bottom w:val="nil"/>
            </w:tcBorders>
          </w:tcPr>
          <w:p>
            <w:pPr>
              <w:pStyle w:val="TableParagraph"/>
              <w:spacing w:before="4"/>
              <w:ind w:right="45"/>
              <w:jc w:val="right"/>
              <w:rPr>
                <w:sz w:val="13"/>
              </w:rPr>
            </w:pPr>
            <w:r>
              <w:rPr>
                <w:sz w:val="13"/>
              </w:rPr>
              <w:t>40,38</w:t>
            </w:r>
          </w:p>
        </w:tc>
        <w:tc>
          <w:tcPr>
            <w:tcW w:w="1241" w:type="dxa"/>
            <w:tcBorders>
              <w:top w:val="nil"/>
              <w:bottom w:val="nil"/>
              <w:right w:val="nil"/>
            </w:tcBorders>
          </w:tcPr>
          <w:p>
            <w:pPr>
              <w:pStyle w:val="TableParagraph"/>
              <w:rPr>
                <w:rFonts w:ascii="Times New Roman"/>
                <w:sz w:val="12"/>
              </w:rPr>
            </w:pPr>
          </w:p>
        </w:tc>
        <w:tc>
          <w:tcPr>
            <w:tcW w:w="741" w:type="dxa"/>
            <w:tcBorders>
              <w:top w:val="nil"/>
              <w:left w:val="nil"/>
              <w:bottom w:val="nil"/>
            </w:tcBorders>
          </w:tcPr>
          <w:p>
            <w:pPr>
              <w:pStyle w:val="TableParagraph"/>
              <w:spacing w:before="4"/>
              <w:ind w:right="45"/>
              <w:jc w:val="right"/>
              <w:rPr>
                <w:sz w:val="13"/>
              </w:rPr>
            </w:pPr>
            <w:r>
              <w:rPr>
                <w:sz w:val="13"/>
              </w:rPr>
              <w:t>40,38</w:t>
            </w:r>
          </w:p>
        </w:tc>
      </w:tr>
      <w:tr>
        <w:trPr>
          <w:trHeight w:val="187" w:hRule="atLeast"/>
        </w:trPr>
        <w:tc>
          <w:tcPr>
            <w:tcW w:w="954" w:type="dxa"/>
            <w:tcBorders>
              <w:top w:val="nil"/>
              <w:bottom w:val="nil"/>
            </w:tcBorders>
          </w:tcPr>
          <w:p>
            <w:pPr>
              <w:pStyle w:val="TableParagraph"/>
              <w:spacing w:before="3"/>
              <w:ind w:left="59"/>
              <w:rPr>
                <w:b/>
                <w:sz w:val="13"/>
              </w:rPr>
            </w:pPr>
            <w:r>
              <w:rPr>
                <w:b/>
                <w:w w:val="105"/>
                <w:sz w:val="13"/>
              </w:rPr>
              <w:t>ICI</w:t>
            </w:r>
          </w:p>
        </w:tc>
        <w:tc>
          <w:tcPr>
            <w:tcW w:w="1233" w:type="dxa"/>
            <w:tcBorders>
              <w:top w:val="nil"/>
              <w:bottom w:val="nil"/>
              <w:right w:val="nil"/>
            </w:tcBorders>
          </w:tcPr>
          <w:p>
            <w:pPr>
              <w:pStyle w:val="TableParagraph"/>
              <w:spacing w:before="3"/>
              <w:ind w:left="576"/>
              <w:rPr>
                <w:sz w:val="13"/>
              </w:rPr>
            </w:pPr>
            <w:r>
              <w:rPr>
                <w:w w:val="105"/>
                <w:sz w:val="13"/>
              </w:rPr>
              <w:t>45,79</w:t>
            </w:r>
          </w:p>
        </w:tc>
        <w:tc>
          <w:tcPr>
            <w:tcW w:w="703" w:type="dxa"/>
            <w:tcBorders>
              <w:top w:val="nil"/>
              <w:left w:val="nil"/>
              <w:bottom w:val="nil"/>
            </w:tcBorders>
          </w:tcPr>
          <w:p>
            <w:pPr>
              <w:pStyle w:val="TableParagraph"/>
              <w:spacing w:before="3"/>
              <w:ind w:right="47"/>
              <w:jc w:val="right"/>
              <w:rPr>
                <w:sz w:val="13"/>
              </w:rPr>
            </w:pPr>
            <w:r>
              <w:rPr>
                <w:sz w:val="13"/>
              </w:rPr>
              <w:t>45,79</w:t>
            </w:r>
          </w:p>
        </w:tc>
        <w:tc>
          <w:tcPr>
            <w:tcW w:w="1282" w:type="dxa"/>
            <w:tcBorders>
              <w:top w:val="nil"/>
              <w:bottom w:val="nil"/>
              <w:right w:val="nil"/>
            </w:tcBorders>
          </w:tcPr>
          <w:p>
            <w:pPr>
              <w:pStyle w:val="TableParagraph"/>
              <w:spacing w:before="3"/>
              <w:ind w:left="609"/>
              <w:rPr>
                <w:sz w:val="13"/>
              </w:rPr>
            </w:pPr>
            <w:r>
              <w:rPr>
                <w:w w:val="105"/>
                <w:sz w:val="13"/>
              </w:rPr>
              <w:t>307,36</w:t>
            </w:r>
          </w:p>
        </w:tc>
        <w:tc>
          <w:tcPr>
            <w:tcW w:w="697" w:type="dxa"/>
            <w:tcBorders>
              <w:top w:val="nil"/>
              <w:left w:val="nil"/>
              <w:bottom w:val="nil"/>
            </w:tcBorders>
          </w:tcPr>
          <w:p>
            <w:pPr>
              <w:pStyle w:val="TableParagraph"/>
              <w:spacing w:before="3"/>
              <w:ind w:right="45"/>
              <w:jc w:val="right"/>
              <w:rPr>
                <w:sz w:val="13"/>
              </w:rPr>
            </w:pPr>
            <w:r>
              <w:rPr>
                <w:sz w:val="13"/>
              </w:rPr>
              <w:t>79,56</w:t>
            </w:r>
          </w:p>
        </w:tc>
        <w:tc>
          <w:tcPr>
            <w:tcW w:w="1241" w:type="dxa"/>
            <w:tcBorders>
              <w:top w:val="nil"/>
              <w:bottom w:val="nil"/>
              <w:right w:val="nil"/>
            </w:tcBorders>
          </w:tcPr>
          <w:p>
            <w:pPr>
              <w:pStyle w:val="TableParagraph"/>
              <w:spacing w:before="3"/>
              <w:ind w:left="523"/>
              <w:rPr>
                <w:sz w:val="13"/>
              </w:rPr>
            </w:pPr>
            <w:r>
              <w:rPr>
                <w:w w:val="105"/>
                <w:sz w:val="13"/>
              </w:rPr>
              <w:t>353,15</w:t>
            </w:r>
          </w:p>
        </w:tc>
        <w:tc>
          <w:tcPr>
            <w:tcW w:w="741" w:type="dxa"/>
            <w:tcBorders>
              <w:top w:val="nil"/>
              <w:left w:val="nil"/>
              <w:bottom w:val="nil"/>
            </w:tcBorders>
          </w:tcPr>
          <w:p>
            <w:pPr>
              <w:pStyle w:val="TableParagraph"/>
              <w:spacing w:before="3"/>
              <w:ind w:right="46"/>
              <w:jc w:val="right"/>
              <w:rPr>
                <w:sz w:val="13"/>
              </w:rPr>
            </w:pPr>
            <w:r>
              <w:rPr>
                <w:sz w:val="13"/>
              </w:rPr>
              <w:t>125,36</w:t>
            </w:r>
          </w:p>
        </w:tc>
      </w:tr>
      <w:tr>
        <w:trPr>
          <w:trHeight w:val="188" w:hRule="atLeast"/>
        </w:trPr>
        <w:tc>
          <w:tcPr>
            <w:tcW w:w="954" w:type="dxa"/>
            <w:tcBorders>
              <w:top w:val="nil"/>
              <w:bottom w:val="nil"/>
            </w:tcBorders>
          </w:tcPr>
          <w:p>
            <w:pPr>
              <w:pStyle w:val="TableParagraph"/>
              <w:spacing w:before="3"/>
              <w:ind w:left="59"/>
              <w:rPr>
                <w:b/>
                <w:sz w:val="13"/>
              </w:rPr>
            </w:pPr>
            <w:r>
              <w:rPr>
                <w:b/>
                <w:w w:val="105"/>
                <w:sz w:val="13"/>
              </w:rPr>
              <w:t>ICAVI</w:t>
            </w:r>
          </w:p>
        </w:tc>
        <w:tc>
          <w:tcPr>
            <w:tcW w:w="1233" w:type="dxa"/>
            <w:tcBorders>
              <w:top w:val="nil"/>
              <w:bottom w:val="nil"/>
              <w:right w:val="nil"/>
            </w:tcBorders>
          </w:tcPr>
          <w:p>
            <w:pPr>
              <w:pStyle w:val="TableParagraph"/>
              <w:spacing w:before="3"/>
              <w:ind w:left="339"/>
              <w:rPr>
                <w:sz w:val="13"/>
              </w:rPr>
            </w:pPr>
            <w:r>
              <w:rPr>
                <w:w w:val="105"/>
                <w:sz w:val="13"/>
              </w:rPr>
              <w:t>50.809,39</w:t>
            </w:r>
          </w:p>
        </w:tc>
        <w:tc>
          <w:tcPr>
            <w:tcW w:w="703" w:type="dxa"/>
            <w:tcBorders>
              <w:top w:val="nil"/>
              <w:left w:val="nil"/>
              <w:bottom w:val="nil"/>
            </w:tcBorders>
          </w:tcPr>
          <w:p>
            <w:pPr>
              <w:pStyle w:val="TableParagraph"/>
              <w:spacing w:before="3"/>
              <w:ind w:left="102"/>
              <w:rPr>
                <w:sz w:val="13"/>
              </w:rPr>
            </w:pPr>
            <w:r>
              <w:rPr>
                <w:w w:val="105"/>
                <w:sz w:val="13"/>
              </w:rPr>
              <w:t>50.809,39</w:t>
            </w:r>
          </w:p>
        </w:tc>
        <w:tc>
          <w:tcPr>
            <w:tcW w:w="1282" w:type="dxa"/>
            <w:tcBorders>
              <w:top w:val="nil"/>
              <w:bottom w:val="nil"/>
              <w:right w:val="nil"/>
            </w:tcBorders>
          </w:tcPr>
          <w:p>
            <w:pPr>
              <w:pStyle w:val="TableParagraph"/>
              <w:spacing w:before="3"/>
              <w:ind w:left="440"/>
              <w:rPr>
                <w:sz w:val="13"/>
              </w:rPr>
            </w:pPr>
            <w:r>
              <w:rPr>
                <w:w w:val="105"/>
                <w:sz w:val="13"/>
              </w:rPr>
              <w:t>81.901,40</w:t>
            </w:r>
          </w:p>
        </w:tc>
        <w:tc>
          <w:tcPr>
            <w:tcW w:w="697" w:type="dxa"/>
            <w:tcBorders>
              <w:top w:val="nil"/>
              <w:left w:val="nil"/>
              <w:bottom w:val="nil"/>
            </w:tcBorders>
          </w:tcPr>
          <w:p>
            <w:pPr>
              <w:pStyle w:val="TableParagraph"/>
              <w:spacing w:before="3"/>
              <w:ind w:right="45"/>
              <w:jc w:val="right"/>
              <w:rPr>
                <w:sz w:val="13"/>
              </w:rPr>
            </w:pPr>
            <w:r>
              <w:rPr>
                <w:w w:val="105"/>
                <w:sz w:val="13"/>
              </w:rPr>
              <w:t>93.566,22</w:t>
            </w:r>
          </w:p>
        </w:tc>
        <w:tc>
          <w:tcPr>
            <w:tcW w:w="1241" w:type="dxa"/>
            <w:tcBorders>
              <w:top w:val="nil"/>
              <w:bottom w:val="nil"/>
              <w:right w:val="nil"/>
            </w:tcBorders>
          </w:tcPr>
          <w:p>
            <w:pPr>
              <w:pStyle w:val="TableParagraph"/>
              <w:spacing w:before="3"/>
              <w:ind w:left="285"/>
              <w:rPr>
                <w:sz w:val="13"/>
              </w:rPr>
            </w:pPr>
            <w:r>
              <w:rPr>
                <w:w w:val="105"/>
                <w:sz w:val="13"/>
              </w:rPr>
              <w:t>132.710,80</w:t>
            </w:r>
          </w:p>
        </w:tc>
        <w:tc>
          <w:tcPr>
            <w:tcW w:w="741" w:type="dxa"/>
            <w:tcBorders>
              <w:top w:val="nil"/>
              <w:left w:val="nil"/>
              <w:bottom w:val="nil"/>
            </w:tcBorders>
          </w:tcPr>
          <w:p>
            <w:pPr>
              <w:pStyle w:val="TableParagraph"/>
              <w:spacing w:before="3"/>
              <w:ind w:left="73"/>
              <w:rPr>
                <w:sz w:val="13"/>
              </w:rPr>
            </w:pPr>
            <w:r>
              <w:rPr>
                <w:w w:val="105"/>
                <w:sz w:val="13"/>
              </w:rPr>
              <w:t>144.375,61</w:t>
            </w:r>
          </w:p>
        </w:tc>
      </w:tr>
      <w:tr>
        <w:trPr>
          <w:trHeight w:val="176" w:hRule="atLeast"/>
        </w:trPr>
        <w:tc>
          <w:tcPr>
            <w:tcW w:w="954" w:type="dxa"/>
            <w:tcBorders>
              <w:top w:val="nil"/>
            </w:tcBorders>
          </w:tcPr>
          <w:p>
            <w:pPr>
              <w:pStyle w:val="TableParagraph"/>
              <w:spacing w:line="151" w:lineRule="exact" w:before="5"/>
              <w:ind w:left="59"/>
              <w:rPr>
                <w:b/>
                <w:sz w:val="13"/>
              </w:rPr>
            </w:pPr>
            <w:r>
              <w:rPr>
                <w:b/>
                <w:w w:val="105"/>
                <w:sz w:val="13"/>
              </w:rPr>
              <w:t>SCE</w:t>
            </w:r>
          </w:p>
        </w:tc>
        <w:tc>
          <w:tcPr>
            <w:tcW w:w="1233" w:type="dxa"/>
            <w:tcBorders>
              <w:top w:val="nil"/>
              <w:right w:val="nil"/>
            </w:tcBorders>
          </w:tcPr>
          <w:p>
            <w:pPr>
              <w:pStyle w:val="TableParagraph"/>
              <w:spacing w:line="151" w:lineRule="exact" w:before="5"/>
              <w:ind w:left="339"/>
              <w:rPr>
                <w:sz w:val="13"/>
              </w:rPr>
            </w:pPr>
            <w:r>
              <w:rPr>
                <w:w w:val="105"/>
                <w:sz w:val="13"/>
              </w:rPr>
              <w:t>18.934,63</w:t>
            </w:r>
          </w:p>
        </w:tc>
        <w:tc>
          <w:tcPr>
            <w:tcW w:w="703" w:type="dxa"/>
            <w:tcBorders>
              <w:top w:val="nil"/>
              <w:left w:val="nil"/>
            </w:tcBorders>
          </w:tcPr>
          <w:p>
            <w:pPr>
              <w:pStyle w:val="TableParagraph"/>
              <w:spacing w:line="151" w:lineRule="exact" w:before="5"/>
              <w:ind w:left="102"/>
              <w:rPr>
                <w:sz w:val="13"/>
              </w:rPr>
            </w:pPr>
            <w:r>
              <w:rPr>
                <w:w w:val="105"/>
                <w:sz w:val="13"/>
              </w:rPr>
              <w:t>18.979,25</w:t>
            </w:r>
          </w:p>
        </w:tc>
        <w:tc>
          <w:tcPr>
            <w:tcW w:w="1282" w:type="dxa"/>
            <w:tcBorders>
              <w:top w:val="nil"/>
              <w:right w:val="nil"/>
            </w:tcBorders>
          </w:tcPr>
          <w:p>
            <w:pPr>
              <w:pStyle w:val="TableParagraph"/>
              <w:spacing w:line="151" w:lineRule="exact" w:before="5"/>
              <w:ind w:left="372"/>
              <w:rPr>
                <w:sz w:val="13"/>
              </w:rPr>
            </w:pPr>
            <w:r>
              <w:rPr>
                <w:w w:val="105"/>
                <w:sz w:val="13"/>
              </w:rPr>
              <w:t>153.302,48</w:t>
            </w:r>
          </w:p>
        </w:tc>
        <w:tc>
          <w:tcPr>
            <w:tcW w:w="697" w:type="dxa"/>
            <w:tcBorders>
              <w:top w:val="nil"/>
              <w:left w:val="nil"/>
            </w:tcBorders>
          </w:tcPr>
          <w:p>
            <w:pPr>
              <w:pStyle w:val="TableParagraph"/>
              <w:spacing w:line="151" w:lineRule="exact" w:before="5"/>
              <w:ind w:right="45"/>
              <w:jc w:val="right"/>
              <w:rPr>
                <w:sz w:val="13"/>
              </w:rPr>
            </w:pPr>
            <w:r>
              <w:rPr>
                <w:w w:val="105"/>
                <w:sz w:val="13"/>
              </w:rPr>
              <w:t>175.150,77</w:t>
            </w:r>
          </w:p>
        </w:tc>
        <w:tc>
          <w:tcPr>
            <w:tcW w:w="1241" w:type="dxa"/>
            <w:tcBorders>
              <w:top w:val="nil"/>
              <w:right w:val="nil"/>
            </w:tcBorders>
          </w:tcPr>
          <w:p>
            <w:pPr>
              <w:pStyle w:val="TableParagraph"/>
              <w:spacing w:line="151" w:lineRule="exact" w:before="5"/>
              <w:ind w:left="285"/>
              <w:rPr>
                <w:sz w:val="13"/>
              </w:rPr>
            </w:pPr>
            <w:r>
              <w:rPr>
                <w:w w:val="105"/>
                <w:sz w:val="13"/>
              </w:rPr>
              <w:t>172.237,11</w:t>
            </w:r>
          </w:p>
        </w:tc>
        <w:tc>
          <w:tcPr>
            <w:tcW w:w="741" w:type="dxa"/>
            <w:tcBorders>
              <w:top w:val="nil"/>
              <w:left w:val="nil"/>
            </w:tcBorders>
          </w:tcPr>
          <w:p>
            <w:pPr>
              <w:pStyle w:val="TableParagraph"/>
              <w:spacing w:line="151" w:lineRule="exact" w:before="5"/>
              <w:ind w:left="73"/>
              <w:rPr>
                <w:sz w:val="13"/>
              </w:rPr>
            </w:pPr>
            <w:r>
              <w:rPr>
                <w:w w:val="105"/>
                <w:sz w:val="13"/>
              </w:rPr>
              <w:t>194.130,02</w:t>
            </w:r>
          </w:p>
        </w:tc>
      </w:tr>
      <w:tr>
        <w:trPr>
          <w:trHeight w:val="326" w:hRule="atLeast"/>
        </w:trPr>
        <w:tc>
          <w:tcPr>
            <w:tcW w:w="954" w:type="dxa"/>
            <w:shd w:val="clear" w:color="auto" w:fill="D9D9D9"/>
          </w:tcPr>
          <w:p>
            <w:pPr>
              <w:pStyle w:val="TableParagraph"/>
              <w:spacing w:before="2"/>
              <w:ind w:left="59"/>
              <w:rPr>
                <w:sz w:val="13"/>
              </w:rPr>
            </w:pPr>
            <w:r>
              <w:rPr>
                <w:b/>
                <w:w w:val="105"/>
                <w:sz w:val="13"/>
              </w:rPr>
              <w:t>TOTAL (</w:t>
            </w:r>
            <w:r>
              <w:rPr>
                <w:w w:val="105"/>
                <w:sz w:val="13"/>
              </w:rPr>
              <w:t>miles</w:t>
            </w:r>
          </w:p>
          <w:p>
            <w:pPr>
              <w:pStyle w:val="TableParagraph"/>
              <w:spacing w:line="141" w:lineRule="exact" w:before="4"/>
              <w:ind w:left="59"/>
              <w:rPr>
                <w:b/>
                <w:sz w:val="13"/>
              </w:rPr>
            </w:pPr>
            <w:r>
              <w:rPr>
                <w:w w:val="105"/>
                <w:sz w:val="13"/>
              </w:rPr>
              <w:t>de €</w:t>
            </w:r>
            <w:r>
              <w:rPr>
                <w:b/>
                <w:w w:val="105"/>
                <w:sz w:val="13"/>
              </w:rPr>
              <w:t>)</w:t>
            </w:r>
          </w:p>
        </w:tc>
        <w:tc>
          <w:tcPr>
            <w:tcW w:w="1233" w:type="dxa"/>
            <w:tcBorders>
              <w:right w:val="nil"/>
            </w:tcBorders>
            <w:shd w:val="clear" w:color="auto" w:fill="D9D9D9"/>
          </w:tcPr>
          <w:p>
            <w:pPr>
              <w:pStyle w:val="TableParagraph"/>
              <w:spacing w:before="85"/>
              <w:ind w:left="337"/>
              <w:rPr>
                <w:b/>
                <w:sz w:val="13"/>
              </w:rPr>
            </w:pPr>
            <w:r>
              <w:rPr>
                <w:b/>
                <w:w w:val="105"/>
                <w:sz w:val="13"/>
              </w:rPr>
              <w:t>69.974,36</w:t>
            </w:r>
          </w:p>
        </w:tc>
        <w:tc>
          <w:tcPr>
            <w:tcW w:w="703" w:type="dxa"/>
            <w:tcBorders>
              <w:left w:val="nil"/>
            </w:tcBorders>
            <w:shd w:val="clear" w:color="auto" w:fill="D9D9D9"/>
          </w:tcPr>
          <w:p>
            <w:pPr>
              <w:pStyle w:val="TableParagraph"/>
              <w:spacing w:before="85"/>
              <w:ind w:left="98"/>
              <w:rPr>
                <w:b/>
                <w:sz w:val="13"/>
              </w:rPr>
            </w:pPr>
            <w:r>
              <w:rPr>
                <w:b/>
                <w:w w:val="105"/>
                <w:sz w:val="13"/>
              </w:rPr>
              <w:t>70.018,98</w:t>
            </w:r>
          </w:p>
        </w:tc>
        <w:tc>
          <w:tcPr>
            <w:tcW w:w="1282" w:type="dxa"/>
            <w:tcBorders>
              <w:right w:val="nil"/>
            </w:tcBorders>
            <w:shd w:val="clear" w:color="auto" w:fill="D9D9D9"/>
          </w:tcPr>
          <w:p>
            <w:pPr>
              <w:pStyle w:val="TableParagraph"/>
              <w:spacing w:before="85"/>
              <w:ind w:left="372"/>
              <w:rPr>
                <w:b/>
                <w:sz w:val="13"/>
              </w:rPr>
            </w:pPr>
            <w:r>
              <w:rPr>
                <w:b/>
                <w:w w:val="105"/>
                <w:sz w:val="13"/>
              </w:rPr>
              <w:t>243.030,74</w:t>
            </w:r>
          </w:p>
        </w:tc>
        <w:tc>
          <w:tcPr>
            <w:tcW w:w="697" w:type="dxa"/>
            <w:tcBorders>
              <w:left w:val="nil"/>
            </w:tcBorders>
            <w:shd w:val="clear" w:color="auto" w:fill="D9D9D9"/>
          </w:tcPr>
          <w:p>
            <w:pPr>
              <w:pStyle w:val="TableParagraph"/>
              <w:spacing w:before="85"/>
              <w:ind w:right="45"/>
              <w:jc w:val="right"/>
              <w:rPr>
                <w:b/>
                <w:sz w:val="13"/>
              </w:rPr>
            </w:pPr>
            <w:r>
              <w:rPr>
                <w:b/>
                <w:w w:val="105"/>
                <w:sz w:val="13"/>
              </w:rPr>
              <w:t>276.077,80</w:t>
            </w:r>
          </w:p>
        </w:tc>
        <w:tc>
          <w:tcPr>
            <w:tcW w:w="1241" w:type="dxa"/>
            <w:tcBorders>
              <w:right w:val="nil"/>
            </w:tcBorders>
            <w:shd w:val="clear" w:color="auto" w:fill="D9D9D9"/>
          </w:tcPr>
          <w:p>
            <w:pPr>
              <w:pStyle w:val="TableParagraph"/>
              <w:spacing w:before="85"/>
              <w:ind w:left="285"/>
              <w:rPr>
                <w:b/>
                <w:sz w:val="13"/>
              </w:rPr>
            </w:pPr>
            <w:r>
              <w:rPr>
                <w:b/>
                <w:w w:val="105"/>
                <w:sz w:val="13"/>
              </w:rPr>
              <w:t>313.005,10</w:t>
            </w:r>
          </w:p>
        </w:tc>
        <w:tc>
          <w:tcPr>
            <w:tcW w:w="741" w:type="dxa"/>
            <w:tcBorders>
              <w:left w:val="nil"/>
            </w:tcBorders>
            <w:shd w:val="clear" w:color="auto" w:fill="D9D9D9"/>
          </w:tcPr>
          <w:p>
            <w:pPr>
              <w:pStyle w:val="TableParagraph"/>
              <w:spacing w:before="85"/>
              <w:ind w:left="71"/>
              <w:rPr>
                <w:b/>
                <w:sz w:val="13"/>
              </w:rPr>
            </w:pPr>
            <w:r>
              <w:rPr>
                <w:b/>
                <w:w w:val="105"/>
                <w:sz w:val="13"/>
              </w:rPr>
              <w:t>346.096,79</w:t>
            </w:r>
          </w:p>
        </w:tc>
      </w:tr>
    </w:tbl>
    <w:p>
      <w:pPr>
        <w:pStyle w:val="BodyText"/>
        <w:spacing w:before="7"/>
        <w:rPr>
          <w:sz w:val="16"/>
        </w:rPr>
      </w:pPr>
    </w:p>
    <w:p>
      <w:pPr>
        <w:pStyle w:val="BodyText"/>
        <w:ind w:left="2334" w:right="1136" w:firstLine="2"/>
        <w:jc w:val="both"/>
      </w:pPr>
      <w:r>
        <w:rPr/>
        <w:t>Estos importes afectan especialmente a ICAVI y SCE por su magnitud y reiteración en el tiempo, lo que se evidencia anualmente en los informes de seguimiento de la IGCAC y de la Audiencia de Cuentas</w:t>
      </w:r>
    </w:p>
    <w:p>
      <w:pPr>
        <w:pStyle w:val="BodyText"/>
        <w:spacing w:before="11"/>
        <w:rPr>
          <w:sz w:val="16"/>
        </w:rPr>
      </w:pPr>
    </w:p>
    <w:p>
      <w:pPr>
        <w:pStyle w:val="BodyText"/>
        <w:spacing w:line="242" w:lineRule="auto"/>
        <w:ind w:left="2334" w:right="1136" w:firstLine="2"/>
        <w:jc w:val="both"/>
      </w:pPr>
      <w:r>
        <w:rPr/>
        <w:t>ICAVI contrata en 2022 con una empresa auditora para la localización, análisis, comprobación, ordenación y propuesta de actuación para una selección de 421 expedientes de subvenciones pendientes de justificar con plazo vencido, registrados en SICOIN, que suman un total de 31 millones de €. El informe emitido por dicha empresa pone de manifiesto, como limitación al alcance, que no se ha tenido acceso a 224 expedientes, y que para los 197 restantes se ha clasificado una deuda de tres millones de € para 108 expedientes.</w:t>
      </w:r>
    </w:p>
    <w:p>
      <w:pPr>
        <w:pStyle w:val="BodyText"/>
        <w:spacing w:before="3"/>
        <w:rPr>
          <w:sz w:val="16"/>
        </w:rPr>
      </w:pPr>
    </w:p>
    <w:p>
      <w:pPr>
        <w:pStyle w:val="BodyText"/>
        <w:ind w:left="2334" w:right="1137" w:firstLine="2"/>
        <w:jc w:val="both"/>
      </w:pPr>
      <w:r>
        <w:rPr/>
        <w:t>Además,</w:t>
      </w:r>
      <w:r>
        <w:rPr>
          <w:spacing w:val="-3"/>
        </w:rPr>
        <w:t> </w:t>
      </w:r>
      <w:r>
        <w:rPr/>
        <w:t>IGCAC</w:t>
      </w:r>
      <w:r>
        <w:rPr>
          <w:spacing w:val="-2"/>
        </w:rPr>
        <w:t> </w:t>
      </w:r>
      <w:r>
        <w:rPr/>
        <w:t>emite,</w:t>
      </w:r>
      <w:r>
        <w:rPr>
          <w:spacing w:val="-3"/>
        </w:rPr>
        <w:t> </w:t>
      </w:r>
      <w:r>
        <w:rPr/>
        <w:t>en</w:t>
      </w:r>
      <w:r>
        <w:rPr>
          <w:spacing w:val="-2"/>
        </w:rPr>
        <w:t> </w:t>
      </w:r>
      <w:r>
        <w:rPr/>
        <w:t>marzo</w:t>
      </w:r>
      <w:r>
        <w:rPr>
          <w:spacing w:val="-3"/>
        </w:rPr>
        <w:t> </w:t>
      </w:r>
      <w:r>
        <w:rPr/>
        <w:t>de</w:t>
      </w:r>
      <w:r>
        <w:rPr>
          <w:spacing w:val="-3"/>
        </w:rPr>
        <w:t> </w:t>
      </w:r>
      <w:r>
        <w:rPr/>
        <w:t>2022,</w:t>
      </w:r>
      <w:r>
        <w:rPr>
          <w:spacing w:val="-4"/>
        </w:rPr>
        <w:t> </w:t>
      </w:r>
      <w:r>
        <w:rPr/>
        <w:t>un</w:t>
      </w:r>
      <w:r>
        <w:rPr>
          <w:spacing w:val="-2"/>
        </w:rPr>
        <w:t> </w:t>
      </w:r>
      <w:r>
        <w:rPr/>
        <w:t>informe</w:t>
      </w:r>
      <w:r>
        <w:rPr>
          <w:spacing w:val="-1"/>
        </w:rPr>
        <w:t> </w:t>
      </w:r>
      <w:r>
        <w:rPr/>
        <w:t>instando</w:t>
      </w:r>
      <w:r>
        <w:rPr>
          <w:spacing w:val="-4"/>
        </w:rPr>
        <w:t> </w:t>
      </w:r>
      <w:r>
        <w:rPr/>
        <w:t>al</w:t>
      </w:r>
      <w:r>
        <w:rPr>
          <w:spacing w:val="-1"/>
        </w:rPr>
        <w:t> </w:t>
      </w:r>
      <w:r>
        <w:rPr/>
        <w:t>ICAVI</w:t>
      </w:r>
      <w:r>
        <w:rPr>
          <w:spacing w:val="-2"/>
        </w:rPr>
        <w:t> </w:t>
      </w:r>
      <w:r>
        <w:rPr/>
        <w:t>a</w:t>
      </w:r>
      <w:r>
        <w:rPr>
          <w:spacing w:val="-3"/>
        </w:rPr>
        <w:t> </w:t>
      </w:r>
      <w:r>
        <w:rPr/>
        <w:t>que</w:t>
      </w:r>
      <w:r>
        <w:rPr>
          <w:spacing w:val="-2"/>
        </w:rPr>
        <w:t> </w:t>
      </w:r>
      <w:r>
        <w:rPr/>
        <w:t>elabore un plan anual de actuación para comprobar la efectiva realización de las actividades subvencionadas por sus beneficiarios, tal y como establece el Art. 36.2 del Decreto 36/2009, de 31 de marzo, que regula el régimen general de subvenciones de la CAC. A este efecto, en julio de 2022, se presenta un Plan de Acción para el cierre de los expedientes del ICAVI que contempla las medidas a llevar a cabo, así como un plan preventivo, el personal necesario y un calendario de tareas. Sin embargo, este no se ha podido ejecutar, entre otros motivos, por la falta de personal, entre ellos, del técnico coordinador y de un tesorero, y la necesidad de gestionar los distintos programas.</w:t>
      </w:r>
    </w:p>
    <w:p>
      <w:pPr>
        <w:pStyle w:val="BodyText"/>
        <w:spacing w:before="12"/>
        <w:rPr>
          <w:sz w:val="17"/>
        </w:rPr>
      </w:pPr>
    </w:p>
    <w:p>
      <w:pPr>
        <w:pStyle w:val="ListParagraph"/>
        <w:numPr>
          <w:ilvl w:val="0"/>
          <w:numId w:val="35"/>
        </w:numPr>
        <w:tabs>
          <w:tab w:pos="2335" w:val="left" w:leader="none"/>
        </w:tabs>
        <w:spacing w:line="242" w:lineRule="auto" w:before="0" w:after="0"/>
        <w:ind w:left="2334" w:right="1140" w:hanging="238"/>
        <w:jc w:val="both"/>
        <w:rPr>
          <w:sz w:val="20"/>
        </w:rPr>
      </w:pPr>
      <w:r>
        <w:rPr>
          <w:sz w:val="20"/>
        </w:rPr>
        <w:t>Al</w:t>
      </w:r>
      <w:r>
        <w:rPr>
          <w:spacing w:val="-2"/>
          <w:sz w:val="20"/>
        </w:rPr>
        <w:t> </w:t>
      </w:r>
      <w:r>
        <w:rPr>
          <w:sz w:val="20"/>
        </w:rPr>
        <w:t>igual</w:t>
      </w:r>
      <w:r>
        <w:rPr>
          <w:spacing w:val="-3"/>
          <w:sz w:val="20"/>
        </w:rPr>
        <w:t> </w:t>
      </w:r>
      <w:r>
        <w:rPr>
          <w:sz w:val="20"/>
        </w:rPr>
        <w:t>que</w:t>
      </w:r>
      <w:r>
        <w:rPr>
          <w:spacing w:val="-4"/>
          <w:sz w:val="20"/>
        </w:rPr>
        <w:t> </w:t>
      </w:r>
      <w:r>
        <w:rPr>
          <w:sz w:val="20"/>
        </w:rPr>
        <w:t>en</w:t>
      </w:r>
      <w:r>
        <w:rPr>
          <w:spacing w:val="-2"/>
          <w:sz w:val="20"/>
        </w:rPr>
        <w:t> </w:t>
      </w:r>
      <w:r>
        <w:rPr>
          <w:sz w:val="20"/>
        </w:rPr>
        <w:t>2021,</w:t>
      </w:r>
      <w:r>
        <w:rPr>
          <w:spacing w:val="-3"/>
          <w:sz w:val="20"/>
        </w:rPr>
        <w:t> </w:t>
      </w:r>
      <w:r>
        <w:rPr>
          <w:sz w:val="20"/>
        </w:rPr>
        <w:t>la</w:t>
      </w:r>
      <w:r>
        <w:rPr>
          <w:spacing w:val="-6"/>
          <w:sz w:val="20"/>
        </w:rPr>
        <w:t> </w:t>
      </w:r>
      <w:r>
        <w:rPr>
          <w:sz w:val="20"/>
        </w:rPr>
        <w:t>Tesorería</w:t>
      </w:r>
      <w:r>
        <w:rPr>
          <w:spacing w:val="-3"/>
          <w:sz w:val="20"/>
        </w:rPr>
        <w:t> </w:t>
      </w:r>
      <w:r>
        <w:rPr>
          <w:sz w:val="20"/>
        </w:rPr>
        <w:t>acumulada</w:t>
      </w:r>
      <w:r>
        <w:rPr>
          <w:spacing w:val="-6"/>
          <w:sz w:val="20"/>
        </w:rPr>
        <w:t> </w:t>
      </w:r>
      <w:r>
        <w:rPr>
          <w:sz w:val="20"/>
        </w:rPr>
        <w:t>en</w:t>
      </w:r>
      <w:r>
        <w:rPr>
          <w:spacing w:val="-2"/>
          <w:sz w:val="20"/>
        </w:rPr>
        <w:t> </w:t>
      </w:r>
      <w:r>
        <w:rPr>
          <w:sz w:val="20"/>
        </w:rPr>
        <w:t>2022</w:t>
      </w:r>
      <w:r>
        <w:rPr>
          <w:spacing w:val="-4"/>
          <w:sz w:val="20"/>
        </w:rPr>
        <w:t> </w:t>
      </w:r>
      <w:r>
        <w:rPr>
          <w:sz w:val="20"/>
        </w:rPr>
        <w:t>es</w:t>
      </w:r>
      <w:r>
        <w:rPr>
          <w:spacing w:val="-3"/>
          <w:sz w:val="20"/>
        </w:rPr>
        <w:t> </w:t>
      </w:r>
      <w:r>
        <w:rPr>
          <w:sz w:val="20"/>
        </w:rPr>
        <w:t>significativa,</w:t>
      </w:r>
      <w:r>
        <w:rPr>
          <w:spacing w:val="-4"/>
          <w:sz w:val="20"/>
        </w:rPr>
        <w:t> </w:t>
      </w:r>
      <w:r>
        <w:rPr>
          <w:sz w:val="20"/>
        </w:rPr>
        <w:t>con</w:t>
      </w:r>
      <w:r>
        <w:rPr>
          <w:spacing w:val="-5"/>
          <w:sz w:val="20"/>
        </w:rPr>
        <w:t> </w:t>
      </w:r>
      <w:r>
        <w:rPr>
          <w:sz w:val="20"/>
        </w:rPr>
        <w:t>un</w:t>
      </w:r>
      <w:r>
        <w:rPr>
          <w:spacing w:val="-2"/>
          <w:sz w:val="20"/>
        </w:rPr>
        <w:t> </w:t>
      </w:r>
      <w:r>
        <w:rPr>
          <w:sz w:val="20"/>
        </w:rPr>
        <w:t>saldo</w:t>
      </w:r>
      <w:r>
        <w:rPr>
          <w:spacing w:val="-4"/>
          <w:sz w:val="20"/>
        </w:rPr>
        <w:t> </w:t>
      </w:r>
      <w:r>
        <w:rPr>
          <w:sz w:val="20"/>
        </w:rPr>
        <w:t>de 883,9 millones de € (105,5 millones más que en 2021). De este incremento de la Tesorería</w:t>
      </w:r>
      <w:r>
        <w:rPr>
          <w:spacing w:val="4"/>
          <w:sz w:val="20"/>
        </w:rPr>
        <w:t> </w:t>
      </w:r>
      <w:r>
        <w:rPr>
          <w:sz w:val="20"/>
        </w:rPr>
        <w:t>es</w:t>
      </w:r>
      <w:r>
        <w:rPr>
          <w:spacing w:val="5"/>
          <w:sz w:val="20"/>
        </w:rPr>
        <w:t> </w:t>
      </w:r>
      <w:r>
        <w:rPr>
          <w:sz w:val="20"/>
        </w:rPr>
        <w:t>notable</w:t>
      </w:r>
      <w:r>
        <w:rPr>
          <w:spacing w:val="4"/>
          <w:sz w:val="20"/>
        </w:rPr>
        <w:t> </w:t>
      </w:r>
      <w:r>
        <w:rPr>
          <w:sz w:val="20"/>
        </w:rPr>
        <w:t>el</w:t>
      </w:r>
      <w:r>
        <w:rPr>
          <w:spacing w:val="7"/>
          <w:sz w:val="20"/>
        </w:rPr>
        <w:t> </w:t>
      </w:r>
      <w:r>
        <w:rPr>
          <w:sz w:val="20"/>
        </w:rPr>
        <w:t>aumento</w:t>
      </w:r>
      <w:r>
        <w:rPr>
          <w:spacing w:val="6"/>
          <w:sz w:val="20"/>
        </w:rPr>
        <w:t> </w:t>
      </w:r>
      <w:r>
        <w:rPr>
          <w:sz w:val="20"/>
        </w:rPr>
        <w:t>de</w:t>
      </w:r>
      <w:r>
        <w:rPr>
          <w:spacing w:val="4"/>
          <w:sz w:val="20"/>
        </w:rPr>
        <w:t> </w:t>
      </w:r>
      <w:r>
        <w:rPr>
          <w:sz w:val="20"/>
        </w:rPr>
        <w:t>los</w:t>
      </w:r>
      <w:r>
        <w:rPr>
          <w:spacing w:val="5"/>
          <w:sz w:val="20"/>
        </w:rPr>
        <w:t> </w:t>
      </w:r>
      <w:r>
        <w:rPr>
          <w:sz w:val="20"/>
        </w:rPr>
        <w:t>fondos</w:t>
      </w:r>
      <w:r>
        <w:rPr>
          <w:spacing w:val="6"/>
          <w:sz w:val="20"/>
        </w:rPr>
        <w:t> </w:t>
      </w:r>
      <w:r>
        <w:rPr>
          <w:sz w:val="20"/>
        </w:rPr>
        <w:t>líquidos</w:t>
      </w:r>
      <w:r>
        <w:rPr>
          <w:spacing w:val="5"/>
          <w:sz w:val="20"/>
        </w:rPr>
        <w:t> </w:t>
      </w:r>
      <w:r>
        <w:rPr>
          <w:sz w:val="20"/>
        </w:rPr>
        <w:t>del</w:t>
      </w:r>
      <w:r>
        <w:rPr>
          <w:spacing w:val="4"/>
          <w:sz w:val="20"/>
        </w:rPr>
        <w:t> </w:t>
      </w:r>
      <w:r>
        <w:rPr>
          <w:sz w:val="20"/>
        </w:rPr>
        <w:t>SCS</w:t>
      </w:r>
      <w:r>
        <w:rPr>
          <w:spacing w:val="4"/>
          <w:sz w:val="20"/>
        </w:rPr>
        <w:t> </w:t>
      </w:r>
      <w:r>
        <w:rPr>
          <w:sz w:val="20"/>
        </w:rPr>
        <w:t>en</w:t>
      </w:r>
      <w:r>
        <w:rPr>
          <w:spacing w:val="6"/>
          <w:sz w:val="20"/>
        </w:rPr>
        <w:t> </w:t>
      </w:r>
      <w:r>
        <w:rPr>
          <w:sz w:val="20"/>
        </w:rPr>
        <w:t>121,9</w:t>
      </w:r>
      <w:r>
        <w:rPr>
          <w:spacing w:val="5"/>
          <w:sz w:val="20"/>
        </w:rPr>
        <w:t> </w:t>
      </w:r>
      <w:r>
        <w:rPr>
          <w:sz w:val="20"/>
        </w:rPr>
        <w:t>millones</w:t>
      </w:r>
      <w:r>
        <w:rPr>
          <w:spacing w:val="5"/>
          <w:sz w:val="20"/>
        </w:rPr>
        <w:t> </w:t>
      </w:r>
      <w:r>
        <w:rPr>
          <w:sz w:val="20"/>
        </w:rPr>
        <w:t>de</w:t>
      </w:r>
    </w:p>
    <w:p>
      <w:pPr>
        <w:pStyle w:val="BodyText"/>
        <w:spacing w:before="4"/>
        <w:rPr>
          <w:sz w:val="26"/>
        </w:rPr>
      </w:pPr>
    </w:p>
    <w:p>
      <w:pPr>
        <w:pStyle w:val="BodyText"/>
        <w:spacing w:before="61"/>
        <w:ind w:left="7897"/>
        <w:jc w:val="center"/>
      </w:pPr>
      <w:r>
        <w:rPr/>
        <w:t>76</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63" name="image5.png"/>
                  <wp:cNvGraphicFramePr>
                    <a:graphicFrameLocks noChangeAspect="1"/>
                  </wp:cNvGraphicFramePr>
                  <a:graphic>
                    <a:graphicData uri="http://schemas.openxmlformats.org/drawingml/2006/picture">
                      <pic:pic>
                        <pic:nvPicPr>
                          <pic:cNvPr id="16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78/247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34" w:right="1045"/>
      </w:pPr>
      <w:r>
        <w:rPr/>
        <w:t>€, los cuales no fueron, sin embargo, suficientes para compensar el saldo negativo de su remanente.</w:t>
      </w:r>
    </w:p>
    <w:p>
      <w:pPr>
        <w:pStyle w:val="BodyText"/>
        <w:spacing w:before="10"/>
        <w:rPr>
          <w:sz w:val="16"/>
        </w:rPr>
      </w:pPr>
    </w:p>
    <w:p>
      <w:pPr>
        <w:pStyle w:val="ListParagraph"/>
        <w:numPr>
          <w:ilvl w:val="0"/>
          <w:numId w:val="35"/>
        </w:numPr>
        <w:tabs>
          <w:tab w:pos="2335" w:val="left" w:leader="none"/>
        </w:tabs>
        <w:spacing w:line="240" w:lineRule="auto" w:before="0" w:after="0"/>
        <w:ind w:left="2334" w:right="1136" w:hanging="357"/>
        <w:jc w:val="both"/>
        <w:rPr>
          <w:sz w:val="20"/>
        </w:rPr>
      </w:pPr>
      <w:r>
        <w:rPr>
          <w:sz w:val="20"/>
        </w:rPr>
        <w:t>Por último, los acreedores por operaciones devengadas pendientes de aplicar al presupuesto (cuenta 413) ascienden al final del ejercicio a 129,1 millones de €, correspondiendo al SCS el 92,3 %. En general, esta partida ha venido reduciéndose en los últimos años para todas las entidades, sin embargo, en 2022 se invierte la tendencia para el SCS, que se acrecienta en 38,7 millones y que tiene reflejo en el incumplimiento del PMP para este</w:t>
      </w:r>
      <w:r>
        <w:rPr>
          <w:spacing w:val="-1"/>
          <w:sz w:val="20"/>
        </w:rPr>
        <w:t> </w:t>
      </w:r>
      <w:r>
        <w:rPr>
          <w:sz w:val="20"/>
        </w:rPr>
        <w:t>OA.</w:t>
      </w:r>
    </w:p>
    <w:p>
      <w:pPr>
        <w:pStyle w:val="BodyText"/>
        <w:spacing w:before="5"/>
        <w:rPr>
          <w:sz w:val="17"/>
        </w:rPr>
      </w:pPr>
    </w:p>
    <w:tbl>
      <w:tblPr>
        <w:tblW w:w="0" w:type="auto"/>
        <w:jc w:val="left"/>
        <w:tblInd w:w="2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7"/>
        <w:gridCol w:w="1507"/>
        <w:gridCol w:w="1136"/>
        <w:gridCol w:w="899"/>
        <w:gridCol w:w="1576"/>
      </w:tblGrid>
      <w:tr>
        <w:trPr>
          <w:trHeight w:val="187" w:hRule="atLeast"/>
        </w:trPr>
        <w:tc>
          <w:tcPr>
            <w:tcW w:w="1187"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5118" w:type="dxa"/>
            <w:gridSpan w:val="4"/>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153" w:lineRule="exact" w:before="14"/>
              <w:ind w:left="1426"/>
              <w:rPr>
                <w:b/>
                <w:sz w:val="13"/>
              </w:rPr>
            </w:pPr>
            <w:r>
              <w:rPr>
                <w:b/>
                <w:w w:val="105"/>
                <w:sz w:val="13"/>
              </w:rPr>
              <w:t>Acreedores por operaciones devengadas</w:t>
            </w:r>
          </w:p>
        </w:tc>
      </w:tr>
      <w:tr>
        <w:trPr>
          <w:trHeight w:val="189" w:hRule="atLeast"/>
        </w:trPr>
        <w:tc>
          <w:tcPr>
            <w:tcW w:w="1187" w:type="dxa"/>
            <w:tcBorders>
              <w:left w:val="single" w:sz="4" w:space="0" w:color="000000"/>
              <w:right w:val="single" w:sz="4" w:space="0" w:color="000000"/>
            </w:tcBorders>
          </w:tcPr>
          <w:p>
            <w:pPr>
              <w:pStyle w:val="TableParagraph"/>
              <w:rPr>
                <w:rFonts w:ascii="Times New Roman"/>
                <w:sz w:val="12"/>
              </w:rPr>
            </w:pPr>
          </w:p>
        </w:tc>
        <w:tc>
          <w:tcPr>
            <w:tcW w:w="1507" w:type="dxa"/>
            <w:tcBorders>
              <w:top w:val="single" w:sz="4" w:space="0" w:color="000000"/>
              <w:left w:val="single" w:sz="4" w:space="0" w:color="000000"/>
              <w:bottom w:val="single" w:sz="4" w:space="0" w:color="000000"/>
            </w:tcBorders>
            <w:shd w:val="clear" w:color="auto" w:fill="DEEAF6"/>
          </w:tcPr>
          <w:p>
            <w:pPr>
              <w:pStyle w:val="TableParagraph"/>
              <w:spacing w:line="153" w:lineRule="exact" w:before="16"/>
              <w:ind w:left="499" w:right="686"/>
              <w:jc w:val="center"/>
              <w:rPr>
                <w:b/>
                <w:sz w:val="13"/>
              </w:rPr>
            </w:pPr>
            <w:r>
              <w:rPr>
                <w:b/>
                <w:w w:val="105"/>
                <w:sz w:val="13"/>
              </w:rPr>
              <w:t>2020</w:t>
            </w:r>
          </w:p>
        </w:tc>
        <w:tc>
          <w:tcPr>
            <w:tcW w:w="1136" w:type="dxa"/>
            <w:tcBorders>
              <w:top w:val="single" w:sz="4" w:space="0" w:color="000000"/>
              <w:bottom w:val="single" w:sz="4" w:space="0" w:color="000000"/>
            </w:tcBorders>
            <w:shd w:val="clear" w:color="auto" w:fill="DEEAF6"/>
          </w:tcPr>
          <w:p>
            <w:pPr>
              <w:pStyle w:val="TableParagraph"/>
              <w:spacing w:line="153" w:lineRule="exact" w:before="16"/>
              <w:ind w:left="254"/>
              <w:rPr>
                <w:b/>
                <w:sz w:val="13"/>
              </w:rPr>
            </w:pPr>
            <w:r>
              <w:rPr>
                <w:b/>
                <w:w w:val="105"/>
                <w:sz w:val="13"/>
              </w:rPr>
              <w:t>2021</w:t>
            </w:r>
          </w:p>
        </w:tc>
        <w:tc>
          <w:tcPr>
            <w:tcW w:w="899" w:type="dxa"/>
            <w:tcBorders>
              <w:top w:val="single" w:sz="4" w:space="0" w:color="000000"/>
              <w:bottom w:val="single" w:sz="4" w:space="0" w:color="000000"/>
              <w:right w:val="single" w:sz="4" w:space="0" w:color="000000"/>
            </w:tcBorders>
            <w:shd w:val="clear" w:color="auto" w:fill="DEEAF6"/>
          </w:tcPr>
          <w:p>
            <w:pPr>
              <w:pStyle w:val="TableParagraph"/>
              <w:spacing w:line="153" w:lineRule="exact" w:before="16"/>
              <w:ind w:left="235"/>
              <w:rPr>
                <w:b/>
                <w:sz w:val="13"/>
              </w:rPr>
            </w:pPr>
            <w:r>
              <w:rPr>
                <w:b/>
                <w:w w:val="105"/>
                <w:sz w:val="13"/>
              </w:rPr>
              <w:t>2022</w:t>
            </w:r>
          </w:p>
        </w:tc>
        <w:tc>
          <w:tcPr>
            <w:tcW w:w="157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153" w:lineRule="exact" w:before="16"/>
              <w:ind w:left="194"/>
              <w:rPr>
                <w:b/>
                <w:sz w:val="13"/>
              </w:rPr>
            </w:pPr>
            <w:r>
              <w:rPr>
                <w:b/>
                <w:w w:val="105"/>
                <w:sz w:val="13"/>
              </w:rPr>
              <w:t>Diferencia 2022-2021</w:t>
            </w:r>
          </w:p>
        </w:tc>
      </w:tr>
      <w:tr>
        <w:trPr>
          <w:trHeight w:val="201" w:hRule="atLeast"/>
        </w:trPr>
        <w:tc>
          <w:tcPr>
            <w:tcW w:w="1187" w:type="dxa"/>
            <w:tcBorders>
              <w:left w:val="single" w:sz="4" w:space="0" w:color="000000"/>
              <w:right w:val="single" w:sz="4" w:space="0" w:color="000000"/>
            </w:tcBorders>
          </w:tcPr>
          <w:p>
            <w:pPr>
              <w:pStyle w:val="TableParagraph"/>
              <w:spacing w:before="16"/>
              <w:ind w:left="59"/>
              <w:rPr>
                <w:b/>
                <w:sz w:val="13"/>
              </w:rPr>
            </w:pPr>
            <w:r>
              <w:rPr>
                <w:b/>
                <w:w w:val="105"/>
                <w:sz w:val="13"/>
              </w:rPr>
              <w:t>ICAP</w:t>
            </w:r>
          </w:p>
        </w:tc>
        <w:tc>
          <w:tcPr>
            <w:tcW w:w="1507" w:type="dxa"/>
            <w:tcBorders>
              <w:top w:val="single" w:sz="4" w:space="0" w:color="000000"/>
              <w:left w:val="single" w:sz="4" w:space="0" w:color="000000"/>
            </w:tcBorders>
          </w:tcPr>
          <w:p>
            <w:pPr>
              <w:pStyle w:val="TableParagraph"/>
              <w:spacing w:before="16"/>
              <w:ind w:right="243"/>
              <w:jc w:val="right"/>
              <w:rPr>
                <w:sz w:val="13"/>
              </w:rPr>
            </w:pPr>
            <w:r>
              <w:rPr>
                <w:sz w:val="13"/>
              </w:rPr>
              <w:t>0,4</w:t>
            </w:r>
          </w:p>
        </w:tc>
        <w:tc>
          <w:tcPr>
            <w:tcW w:w="1136" w:type="dxa"/>
            <w:tcBorders>
              <w:top w:val="single" w:sz="4" w:space="0" w:color="000000"/>
            </w:tcBorders>
          </w:tcPr>
          <w:p>
            <w:pPr>
              <w:pStyle w:val="TableParagraph"/>
              <w:spacing w:before="16"/>
              <w:ind w:right="218"/>
              <w:jc w:val="right"/>
              <w:rPr>
                <w:sz w:val="13"/>
              </w:rPr>
            </w:pPr>
            <w:r>
              <w:rPr>
                <w:sz w:val="13"/>
              </w:rPr>
              <w:t>0,2</w:t>
            </w:r>
          </w:p>
        </w:tc>
        <w:tc>
          <w:tcPr>
            <w:tcW w:w="899" w:type="dxa"/>
            <w:tcBorders>
              <w:top w:val="single" w:sz="4" w:space="0" w:color="000000"/>
              <w:right w:val="single" w:sz="4" w:space="0" w:color="000000"/>
            </w:tcBorders>
          </w:tcPr>
          <w:p>
            <w:pPr>
              <w:pStyle w:val="TableParagraph"/>
              <w:spacing w:before="16"/>
              <w:ind w:right="44"/>
              <w:jc w:val="right"/>
              <w:rPr>
                <w:sz w:val="13"/>
              </w:rPr>
            </w:pPr>
            <w:r>
              <w:rPr>
                <w:sz w:val="13"/>
              </w:rPr>
              <w:t>8,3</w:t>
            </w:r>
          </w:p>
        </w:tc>
        <w:tc>
          <w:tcPr>
            <w:tcW w:w="1576" w:type="dxa"/>
            <w:tcBorders>
              <w:top w:val="single" w:sz="4" w:space="0" w:color="000000"/>
              <w:left w:val="single" w:sz="4" w:space="0" w:color="000000"/>
              <w:right w:val="single" w:sz="4" w:space="0" w:color="000000"/>
            </w:tcBorders>
          </w:tcPr>
          <w:p>
            <w:pPr>
              <w:pStyle w:val="TableParagraph"/>
              <w:spacing w:before="16"/>
              <w:ind w:right="44"/>
              <w:jc w:val="right"/>
              <w:rPr>
                <w:sz w:val="13"/>
              </w:rPr>
            </w:pPr>
            <w:r>
              <w:rPr>
                <w:sz w:val="13"/>
              </w:rPr>
              <w:t>8,1</w:t>
            </w:r>
          </w:p>
        </w:tc>
      </w:tr>
      <w:tr>
        <w:trPr>
          <w:trHeight w:val="190" w:hRule="atLeast"/>
        </w:trPr>
        <w:tc>
          <w:tcPr>
            <w:tcW w:w="1187" w:type="dxa"/>
            <w:tcBorders>
              <w:left w:val="single" w:sz="4" w:space="0" w:color="000000"/>
              <w:right w:val="single" w:sz="4" w:space="0" w:color="000000"/>
            </w:tcBorders>
          </w:tcPr>
          <w:p>
            <w:pPr>
              <w:pStyle w:val="TableParagraph"/>
              <w:spacing w:before="4"/>
              <w:ind w:left="59"/>
              <w:rPr>
                <w:b/>
                <w:sz w:val="13"/>
              </w:rPr>
            </w:pPr>
            <w:r>
              <w:rPr>
                <w:b/>
                <w:w w:val="105"/>
                <w:sz w:val="13"/>
              </w:rPr>
              <w:t>ISTAC</w:t>
            </w:r>
          </w:p>
        </w:tc>
        <w:tc>
          <w:tcPr>
            <w:tcW w:w="1507" w:type="dxa"/>
            <w:tcBorders>
              <w:left w:val="single" w:sz="4" w:space="0" w:color="000000"/>
            </w:tcBorders>
          </w:tcPr>
          <w:p>
            <w:pPr>
              <w:pStyle w:val="TableParagraph"/>
              <w:rPr>
                <w:rFonts w:ascii="Times New Roman"/>
                <w:sz w:val="12"/>
              </w:rPr>
            </w:pPr>
          </w:p>
        </w:tc>
        <w:tc>
          <w:tcPr>
            <w:tcW w:w="1136" w:type="dxa"/>
          </w:tcPr>
          <w:p>
            <w:pPr>
              <w:pStyle w:val="TableParagraph"/>
              <w:spacing w:before="4"/>
              <w:ind w:right="218"/>
              <w:jc w:val="right"/>
              <w:rPr>
                <w:sz w:val="13"/>
              </w:rPr>
            </w:pPr>
            <w:r>
              <w:rPr>
                <w:sz w:val="13"/>
              </w:rPr>
              <w:t>0,1</w:t>
            </w:r>
          </w:p>
        </w:tc>
        <w:tc>
          <w:tcPr>
            <w:tcW w:w="899" w:type="dxa"/>
            <w:tcBorders>
              <w:right w:val="single" w:sz="4" w:space="0" w:color="000000"/>
            </w:tcBorders>
          </w:tcPr>
          <w:p>
            <w:pPr>
              <w:pStyle w:val="TableParagraph"/>
              <w:spacing w:before="4"/>
              <w:ind w:right="44"/>
              <w:jc w:val="right"/>
              <w:rPr>
                <w:sz w:val="13"/>
              </w:rPr>
            </w:pPr>
            <w:r>
              <w:rPr>
                <w:sz w:val="13"/>
              </w:rPr>
              <w:t>1,2</w:t>
            </w:r>
          </w:p>
        </w:tc>
        <w:tc>
          <w:tcPr>
            <w:tcW w:w="1576" w:type="dxa"/>
            <w:tcBorders>
              <w:left w:val="single" w:sz="4" w:space="0" w:color="000000"/>
              <w:right w:val="single" w:sz="4" w:space="0" w:color="000000"/>
            </w:tcBorders>
          </w:tcPr>
          <w:p>
            <w:pPr>
              <w:pStyle w:val="TableParagraph"/>
              <w:spacing w:before="4"/>
              <w:ind w:right="44"/>
              <w:jc w:val="right"/>
              <w:rPr>
                <w:sz w:val="13"/>
              </w:rPr>
            </w:pPr>
            <w:r>
              <w:rPr>
                <w:sz w:val="13"/>
              </w:rPr>
              <w:t>1,1</w:t>
            </w:r>
          </w:p>
        </w:tc>
      </w:tr>
      <w:tr>
        <w:trPr>
          <w:trHeight w:val="191" w:hRule="atLeast"/>
        </w:trPr>
        <w:tc>
          <w:tcPr>
            <w:tcW w:w="1187" w:type="dxa"/>
            <w:tcBorders>
              <w:left w:val="single" w:sz="4" w:space="0" w:color="000000"/>
              <w:right w:val="single" w:sz="4" w:space="0" w:color="000000"/>
            </w:tcBorders>
          </w:tcPr>
          <w:p>
            <w:pPr>
              <w:pStyle w:val="TableParagraph"/>
              <w:spacing w:before="5"/>
              <w:ind w:left="59"/>
              <w:rPr>
                <w:b/>
                <w:sz w:val="13"/>
              </w:rPr>
            </w:pPr>
            <w:r>
              <w:rPr>
                <w:b/>
                <w:w w:val="105"/>
                <w:sz w:val="13"/>
              </w:rPr>
              <w:t>SCE</w:t>
            </w:r>
          </w:p>
        </w:tc>
        <w:tc>
          <w:tcPr>
            <w:tcW w:w="1507" w:type="dxa"/>
            <w:tcBorders>
              <w:left w:val="single" w:sz="4" w:space="0" w:color="000000"/>
            </w:tcBorders>
          </w:tcPr>
          <w:p>
            <w:pPr>
              <w:pStyle w:val="TableParagraph"/>
              <w:spacing w:before="5"/>
              <w:ind w:right="243"/>
              <w:jc w:val="right"/>
              <w:rPr>
                <w:sz w:val="13"/>
              </w:rPr>
            </w:pPr>
            <w:r>
              <w:rPr>
                <w:sz w:val="13"/>
              </w:rPr>
              <w:t>65,2</w:t>
            </w:r>
          </w:p>
        </w:tc>
        <w:tc>
          <w:tcPr>
            <w:tcW w:w="1136" w:type="dxa"/>
          </w:tcPr>
          <w:p>
            <w:pPr>
              <w:pStyle w:val="TableParagraph"/>
              <w:spacing w:before="5"/>
              <w:ind w:right="218"/>
              <w:jc w:val="right"/>
              <w:rPr>
                <w:sz w:val="13"/>
              </w:rPr>
            </w:pPr>
            <w:r>
              <w:rPr>
                <w:sz w:val="13"/>
              </w:rPr>
              <w:t>65,6</w:t>
            </w:r>
          </w:p>
        </w:tc>
        <w:tc>
          <w:tcPr>
            <w:tcW w:w="899" w:type="dxa"/>
            <w:tcBorders>
              <w:right w:val="single" w:sz="4" w:space="0" w:color="000000"/>
            </w:tcBorders>
          </w:tcPr>
          <w:p>
            <w:pPr>
              <w:pStyle w:val="TableParagraph"/>
              <w:spacing w:before="5"/>
              <w:ind w:right="44"/>
              <w:jc w:val="right"/>
              <w:rPr>
                <w:sz w:val="13"/>
              </w:rPr>
            </w:pPr>
            <w:r>
              <w:rPr>
                <w:w w:val="105"/>
                <w:sz w:val="13"/>
              </w:rPr>
              <w:t>4.129,5</w:t>
            </w:r>
          </w:p>
        </w:tc>
        <w:tc>
          <w:tcPr>
            <w:tcW w:w="1576" w:type="dxa"/>
            <w:tcBorders>
              <w:left w:val="single" w:sz="4" w:space="0" w:color="000000"/>
              <w:right w:val="single" w:sz="4" w:space="0" w:color="000000"/>
            </w:tcBorders>
          </w:tcPr>
          <w:p>
            <w:pPr>
              <w:pStyle w:val="TableParagraph"/>
              <w:spacing w:before="5"/>
              <w:ind w:right="44"/>
              <w:jc w:val="right"/>
              <w:rPr>
                <w:sz w:val="13"/>
              </w:rPr>
            </w:pPr>
            <w:r>
              <w:rPr>
                <w:w w:val="105"/>
                <w:sz w:val="13"/>
              </w:rPr>
              <w:t>4.063,9</w:t>
            </w:r>
          </w:p>
        </w:tc>
      </w:tr>
      <w:tr>
        <w:trPr>
          <w:trHeight w:val="190" w:hRule="atLeast"/>
        </w:trPr>
        <w:tc>
          <w:tcPr>
            <w:tcW w:w="1187" w:type="dxa"/>
            <w:tcBorders>
              <w:left w:val="single" w:sz="4" w:space="0" w:color="000000"/>
              <w:right w:val="single" w:sz="4" w:space="0" w:color="000000"/>
            </w:tcBorders>
          </w:tcPr>
          <w:p>
            <w:pPr>
              <w:pStyle w:val="TableParagraph"/>
              <w:spacing w:before="5"/>
              <w:ind w:left="59"/>
              <w:rPr>
                <w:b/>
                <w:sz w:val="13"/>
              </w:rPr>
            </w:pPr>
            <w:r>
              <w:rPr>
                <w:b/>
                <w:w w:val="105"/>
                <w:sz w:val="13"/>
              </w:rPr>
              <w:t>ICI</w:t>
            </w:r>
          </w:p>
        </w:tc>
        <w:tc>
          <w:tcPr>
            <w:tcW w:w="1507" w:type="dxa"/>
            <w:tcBorders>
              <w:left w:val="single" w:sz="4" w:space="0" w:color="000000"/>
            </w:tcBorders>
          </w:tcPr>
          <w:p>
            <w:pPr>
              <w:pStyle w:val="TableParagraph"/>
              <w:rPr>
                <w:rFonts w:ascii="Times New Roman"/>
                <w:sz w:val="12"/>
              </w:rPr>
            </w:pPr>
          </w:p>
        </w:tc>
        <w:tc>
          <w:tcPr>
            <w:tcW w:w="1136" w:type="dxa"/>
          </w:tcPr>
          <w:p>
            <w:pPr>
              <w:pStyle w:val="TableParagraph"/>
              <w:rPr>
                <w:rFonts w:ascii="Times New Roman"/>
                <w:sz w:val="12"/>
              </w:rPr>
            </w:pPr>
          </w:p>
        </w:tc>
        <w:tc>
          <w:tcPr>
            <w:tcW w:w="899" w:type="dxa"/>
            <w:tcBorders>
              <w:right w:val="single" w:sz="4" w:space="0" w:color="000000"/>
            </w:tcBorders>
          </w:tcPr>
          <w:p>
            <w:pPr>
              <w:pStyle w:val="TableParagraph"/>
              <w:rPr>
                <w:rFonts w:ascii="Times New Roman"/>
                <w:sz w:val="12"/>
              </w:rPr>
            </w:pPr>
          </w:p>
        </w:tc>
        <w:tc>
          <w:tcPr>
            <w:tcW w:w="1576" w:type="dxa"/>
            <w:tcBorders>
              <w:left w:val="single" w:sz="4" w:space="0" w:color="000000"/>
              <w:right w:val="single" w:sz="4" w:space="0" w:color="000000"/>
            </w:tcBorders>
          </w:tcPr>
          <w:p>
            <w:pPr>
              <w:pStyle w:val="TableParagraph"/>
              <w:rPr>
                <w:rFonts w:ascii="Times New Roman"/>
                <w:sz w:val="12"/>
              </w:rPr>
            </w:pPr>
          </w:p>
        </w:tc>
      </w:tr>
      <w:tr>
        <w:trPr>
          <w:trHeight w:val="190" w:hRule="atLeast"/>
        </w:trPr>
        <w:tc>
          <w:tcPr>
            <w:tcW w:w="1187" w:type="dxa"/>
            <w:tcBorders>
              <w:left w:val="single" w:sz="4" w:space="0" w:color="000000"/>
              <w:right w:val="single" w:sz="4" w:space="0" w:color="000000"/>
            </w:tcBorders>
          </w:tcPr>
          <w:p>
            <w:pPr>
              <w:pStyle w:val="TableParagraph"/>
              <w:spacing w:before="4"/>
              <w:ind w:left="59"/>
              <w:rPr>
                <w:b/>
                <w:sz w:val="13"/>
              </w:rPr>
            </w:pPr>
            <w:r>
              <w:rPr>
                <w:b/>
                <w:w w:val="105"/>
                <w:sz w:val="13"/>
              </w:rPr>
              <w:t>ICIA</w:t>
            </w:r>
          </w:p>
        </w:tc>
        <w:tc>
          <w:tcPr>
            <w:tcW w:w="1507" w:type="dxa"/>
            <w:tcBorders>
              <w:left w:val="single" w:sz="4" w:space="0" w:color="000000"/>
            </w:tcBorders>
          </w:tcPr>
          <w:p>
            <w:pPr>
              <w:pStyle w:val="TableParagraph"/>
              <w:spacing w:before="4"/>
              <w:ind w:right="243"/>
              <w:jc w:val="right"/>
              <w:rPr>
                <w:sz w:val="13"/>
              </w:rPr>
            </w:pPr>
            <w:r>
              <w:rPr>
                <w:sz w:val="13"/>
              </w:rPr>
              <w:t>35,0</w:t>
            </w:r>
          </w:p>
        </w:tc>
        <w:tc>
          <w:tcPr>
            <w:tcW w:w="1136" w:type="dxa"/>
          </w:tcPr>
          <w:p>
            <w:pPr>
              <w:pStyle w:val="TableParagraph"/>
              <w:spacing w:before="4"/>
              <w:ind w:right="218"/>
              <w:jc w:val="right"/>
              <w:rPr>
                <w:sz w:val="13"/>
              </w:rPr>
            </w:pPr>
            <w:r>
              <w:rPr>
                <w:sz w:val="13"/>
              </w:rPr>
              <w:t>378,8</w:t>
            </w:r>
          </w:p>
        </w:tc>
        <w:tc>
          <w:tcPr>
            <w:tcW w:w="899" w:type="dxa"/>
            <w:tcBorders>
              <w:right w:val="single" w:sz="4" w:space="0" w:color="000000"/>
            </w:tcBorders>
          </w:tcPr>
          <w:p>
            <w:pPr>
              <w:pStyle w:val="TableParagraph"/>
              <w:spacing w:before="4"/>
              <w:ind w:right="44"/>
              <w:jc w:val="right"/>
              <w:rPr>
                <w:sz w:val="13"/>
              </w:rPr>
            </w:pPr>
            <w:r>
              <w:rPr>
                <w:sz w:val="13"/>
              </w:rPr>
              <w:t>126,9</w:t>
            </w:r>
          </w:p>
        </w:tc>
        <w:tc>
          <w:tcPr>
            <w:tcW w:w="1576" w:type="dxa"/>
            <w:tcBorders>
              <w:left w:val="single" w:sz="4" w:space="0" w:color="000000"/>
              <w:right w:val="single" w:sz="4" w:space="0" w:color="000000"/>
            </w:tcBorders>
          </w:tcPr>
          <w:p>
            <w:pPr>
              <w:pStyle w:val="TableParagraph"/>
              <w:spacing w:before="4"/>
              <w:ind w:right="44"/>
              <w:jc w:val="right"/>
              <w:rPr>
                <w:sz w:val="13"/>
              </w:rPr>
            </w:pPr>
            <w:r>
              <w:rPr>
                <w:sz w:val="13"/>
              </w:rPr>
              <w:t>251,9</w:t>
            </w:r>
          </w:p>
        </w:tc>
      </w:tr>
      <w:tr>
        <w:trPr>
          <w:trHeight w:val="179" w:hRule="atLeast"/>
        </w:trPr>
        <w:tc>
          <w:tcPr>
            <w:tcW w:w="1187" w:type="dxa"/>
            <w:tcBorders>
              <w:left w:val="single" w:sz="4" w:space="0" w:color="000000"/>
              <w:right w:val="single" w:sz="4" w:space="0" w:color="000000"/>
            </w:tcBorders>
          </w:tcPr>
          <w:p>
            <w:pPr>
              <w:pStyle w:val="TableParagraph"/>
              <w:spacing w:line="154" w:lineRule="exact" w:before="5"/>
              <w:ind w:left="59"/>
              <w:rPr>
                <w:b/>
                <w:sz w:val="13"/>
              </w:rPr>
            </w:pPr>
            <w:r>
              <w:rPr>
                <w:b/>
                <w:w w:val="105"/>
                <w:sz w:val="13"/>
              </w:rPr>
              <w:t>ICHH</w:t>
            </w:r>
          </w:p>
        </w:tc>
        <w:tc>
          <w:tcPr>
            <w:tcW w:w="1507" w:type="dxa"/>
            <w:tcBorders>
              <w:left w:val="single" w:sz="4" w:space="0" w:color="000000"/>
            </w:tcBorders>
          </w:tcPr>
          <w:p>
            <w:pPr>
              <w:pStyle w:val="TableParagraph"/>
              <w:rPr>
                <w:rFonts w:ascii="Times New Roman"/>
                <w:sz w:val="12"/>
              </w:rPr>
            </w:pPr>
          </w:p>
        </w:tc>
        <w:tc>
          <w:tcPr>
            <w:tcW w:w="1136" w:type="dxa"/>
          </w:tcPr>
          <w:p>
            <w:pPr>
              <w:pStyle w:val="TableParagraph"/>
              <w:spacing w:line="154" w:lineRule="exact" w:before="5"/>
              <w:ind w:right="218"/>
              <w:jc w:val="right"/>
              <w:rPr>
                <w:sz w:val="13"/>
              </w:rPr>
            </w:pPr>
            <w:r>
              <w:rPr>
                <w:w w:val="105"/>
                <w:sz w:val="13"/>
              </w:rPr>
              <w:t>1.870,0</w:t>
            </w:r>
          </w:p>
        </w:tc>
        <w:tc>
          <w:tcPr>
            <w:tcW w:w="899" w:type="dxa"/>
            <w:tcBorders>
              <w:right w:val="single" w:sz="4" w:space="0" w:color="000000"/>
            </w:tcBorders>
          </w:tcPr>
          <w:p>
            <w:pPr>
              <w:pStyle w:val="TableParagraph"/>
              <w:rPr>
                <w:rFonts w:ascii="Times New Roman"/>
                <w:sz w:val="12"/>
              </w:rPr>
            </w:pPr>
          </w:p>
        </w:tc>
        <w:tc>
          <w:tcPr>
            <w:tcW w:w="1576" w:type="dxa"/>
            <w:tcBorders>
              <w:left w:val="single" w:sz="4" w:space="0" w:color="000000"/>
              <w:right w:val="single" w:sz="4" w:space="0" w:color="000000"/>
            </w:tcBorders>
          </w:tcPr>
          <w:p>
            <w:pPr>
              <w:pStyle w:val="TableParagraph"/>
              <w:spacing w:line="154" w:lineRule="exact" w:before="5"/>
              <w:ind w:right="44"/>
              <w:jc w:val="right"/>
              <w:rPr>
                <w:sz w:val="13"/>
              </w:rPr>
            </w:pPr>
            <w:r>
              <w:rPr>
                <w:w w:val="105"/>
                <w:sz w:val="13"/>
              </w:rPr>
              <w:t>1.870,0</w:t>
            </w:r>
          </w:p>
        </w:tc>
      </w:tr>
      <w:tr>
        <w:trPr>
          <w:trHeight w:val="189" w:hRule="atLeast"/>
        </w:trPr>
        <w:tc>
          <w:tcPr>
            <w:tcW w:w="1187" w:type="dxa"/>
            <w:tcBorders>
              <w:left w:val="single" w:sz="4" w:space="0" w:color="000000"/>
              <w:right w:val="single" w:sz="4" w:space="0" w:color="000000"/>
            </w:tcBorders>
            <w:shd w:val="clear" w:color="auto" w:fill="F1F1F1"/>
          </w:tcPr>
          <w:p>
            <w:pPr>
              <w:pStyle w:val="TableParagraph"/>
              <w:spacing w:line="154" w:lineRule="exact" w:before="15"/>
              <w:ind w:left="59"/>
              <w:rPr>
                <w:b/>
                <w:sz w:val="13"/>
              </w:rPr>
            </w:pPr>
            <w:r>
              <w:rPr>
                <w:b/>
                <w:w w:val="105"/>
                <w:sz w:val="13"/>
              </w:rPr>
              <w:t>SCS</w:t>
            </w:r>
          </w:p>
        </w:tc>
        <w:tc>
          <w:tcPr>
            <w:tcW w:w="1507" w:type="dxa"/>
            <w:tcBorders>
              <w:left w:val="single" w:sz="4" w:space="0" w:color="000000"/>
            </w:tcBorders>
            <w:shd w:val="clear" w:color="auto" w:fill="F1F1F1"/>
          </w:tcPr>
          <w:p>
            <w:pPr>
              <w:pStyle w:val="TableParagraph"/>
              <w:spacing w:line="154" w:lineRule="exact" w:before="15"/>
              <w:ind w:right="243"/>
              <w:jc w:val="right"/>
              <w:rPr>
                <w:b/>
                <w:sz w:val="13"/>
              </w:rPr>
            </w:pPr>
            <w:r>
              <w:rPr>
                <w:b/>
                <w:w w:val="105"/>
                <w:sz w:val="13"/>
              </w:rPr>
              <w:t>92.337,9</w:t>
            </w:r>
          </w:p>
        </w:tc>
        <w:tc>
          <w:tcPr>
            <w:tcW w:w="1136" w:type="dxa"/>
            <w:shd w:val="clear" w:color="auto" w:fill="F1F1F1"/>
          </w:tcPr>
          <w:p>
            <w:pPr>
              <w:pStyle w:val="TableParagraph"/>
              <w:spacing w:line="154" w:lineRule="exact" w:before="15"/>
              <w:ind w:right="218"/>
              <w:jc w:val="right"/>
              <w:rPr>
                <w:b/>
                <w:sz w:val="13"/>
              </w:rPr>
            </w:pPr>
            <w:r>
              <w:rPr>
                <w:b/>
                <w:w w:val="105"/>
                <w:sz w:val="13"/>
              </w:rPr>
              <w:t>81.103,30</w:t>
            </w:r>
          </w:p>
        </w:tc>
        <w:tc>
          <w:tcPr>
            <w:tcW w:w="899" w:type="dxa"/>
            <w:tcBorders>
              <w:right w:val="single" w:sz="4" w:space="0" w:color="000000"/>
            </w:tcBorders>
            <w:shd w:val="clear" w:color="auto" w:fill="F1F1F1"/>
          </w:tcPr>
          <w:p>
            <w:pPr>
              <w:pStyle w:val="TableParagraph"/>
              <w:spacing w:line="154" w:lineRule="exact" w:before="15"/>
              <w:ind w:right="44"/>
              <w:jc w:val="right"/>
              <w:rPr>
                <w:b/>
                <w:sz w:val="13"/>
              </w:rPr>
            </w:pPr>
            <w:r>
              <w:rPr>
                <w:b/>
                <w:w w:val="105"/>
                <w:sz w:val="13"/>
              </w:rPr>
              <w:t>119.171,2</w:t>
            </w:r>
          </w:p>
        </w:tc>
        <w:tc>
          <w:tcPr>
            <w:tcW w:w="1576" w:type="dxa"/>
            <w:tcBorders>
              <w:left w:val="single" w:sz="4" w:space="0" w:color="000000"/>
              <w:right w:val="single" w:sz="4" w:space="0" w:color="000000"/>
            </w:tcBorders>
            <w:shd w:val="clear" w:color="auto" w:fill="F1F1F1"/>
          </w:tcPr>
          <w:p>
            <w:pPr>
              <w:pStyle w:val="TableParagraph"/>
              <w:spacing w:line="154" w:lineRule="exact" w:before="15"/>
              <w:ind w:right="44"/>
              <w:jc w:val="right"/>
              <w:rPr>
                <w:b/>
                <w:sz w:val="13"/>
              </w:rPr>
            </w:pPr>
            <w:r>
              <w:rPr>
                <w:b/>
                <w:w w:val="105"/>
                <w:sz w:val="13"/>
              </w:rPr>
              <w:t>38.067,9</w:t>
            </w:r>
          </w:p>
        </w:tc>
      </w:tr>
      <w:tr>
        <w:trPr>
          <w:trHeight w:val="203" w:hRule="atLeast"/>
        </w:trPr>
        <w:tc>
          <w:tcPr>
            <w:tcW w:w="1187" w:type="dxa"/>
            <w:tcBorders>
              <w:left w:val="single" w:sz="4" w:space="0" w:color="000000"/>
              <w:right w:val="single" w:sz="4" w:space="0" w:color="000000"/>
            </w:tcBorders>
          </w:tcPr>
          <w:p>
            <w:pPr>
              <w:pStyle w:val="TableParagraph"/>
              <w:spacing w:before="17"/>
              <w:ind w:left="59"/>
              <w:rPr>
                <w:b/>
                <w:sz w:val="13"/>
              </w:rPr>
            </w:pPr>
            <w:r>
              <w:rPr>
                <w:b/>
                <w:w w:val="105"/>
                <w:sz w:val="13"/>
              </w:rPr>
              <w:t>ACCUEE</w:t>
            </w:r>
          </w:p>
        </w:tc>
        <w:tc>
          <w:tcPr>
            <w:tcW w:w="1507" w:type="dxa"/>
            <w:tcBorders>
              <w:left w:val="single" w:sz="4" w:space="0" w:color="000000"/>
            </w:tcBorders>
          </w:tcPr>
          <w:p>
            <w:pPr>
              <w:pStyle w:val="TableParagraph"/>
              <w:spacing w:before="17"/>
              <w:ind w:right="243"/>
              <w:jc w:val="right"/>
              <w:rPr>
                <w:sz w:val="13"/>
              </w:rPr>
            </w:pPr>
            <w:r>
              <w:rPr>
                <w:sz w:val="13"/>
              </w:rPr>
              <w:t>3,5</w:t>
            </w:r>
          </w:p>
        </w:tc>
        <w:tc>
          <w:tcPr>
            <w:tcW w:w="1136" w:type="dxa"/>
          </w:tcPr>
          <w:p>
            <w:pPr>
              <w:pStyle w:val="TableParagraph"/>
              <w:spacing w:before="17"/>
              <w:ind w:right="218"/>
              <w:jc w:val="right"/>
              <w:rPr>
                <w:sz w:val="13"/>
              </w:rPr>
            </w:pPr>
            <w:r>
              <w:rPr>
                <w:sz w:val="13"/>
              </w:rPr>
              <w:t>4,0</w:t>
            </w:r>
          </w:p>
        </w:tc>
        <w:tc>
          <w:tcPr>
            <w:tcW w:w="899" w:type="dxa"/>
            <w:tcBorders>
              <w:right w:val="single" w:sz="4" w:space="0" w:color="000000"/>
            </w:tcBorders>
          </w:tcPr>
          <w:p>
            <w:pPr>
              <w:pStyle w:val="TableParagraph"/>
              <w:spacing w:before="17"/>
              <w:ind w:right="44"/>
              <w:jc w:val="right"/>
              <w:rPr>
                <w:sz w:val="13"/>
              </w:rPr>
            </w:pPr>
            <w:r>
              <w:rPr>
                <w:sz w:val="13"/>
              </w:rPr>
              <w:t>3,6</w:t>
            </w:r>
          </w:p>
        </w:tc>
        <w:tc>
          <w:tcPr>
            <w:tcW w:w="1576" w:type="dxa"/>
            <w:tcBorders>
              <w:left w:val="single" w:sz="4" w:space="0" w:color="000000"/>
              <w:right w:val="single" w:sz="4" w:space="0" w:color="000000"/>
            </w:tcBorders>
          </w:tcPr>
          <w:p>
            <w:pPr>
              <w:pStyle w:val="TableParagraph"/>
              <w:spacing w:before="17"/>
              <w:ind w:right="44"/>
              <w:jc w:val="right"/>
              <w:rPr>
                <w:sz w:val="13"/>
              </w:rPr>
            </w:pPr>
            <w:r>
              <w:rPr>
                <w:sz w:val="13"/>
              </w:rPr>
              <w:t>0,4</w:t>
            </w:r>
          </w:p>
        </w:tc>
      </w:tr>
      <w:tr>
        <w:trPr>
          <w:trHeight w:val="190" w:hRule="atLeast"/>
        </w:trPr>
        <w:tc>
          <w:tcPr>
            <w:tcW w:w="1187" w:type="dxa"/>
            <w:tcBorders>
              <w:left w:val="single" w:sz="4" w:space="0" w:color="000000"/>
              <w:right w:val="single" w:sz="4" w:space="0" w:color="000000"/>
            </w:tcBorders>
          </w:tcPr>
          <w:p>
            <w:pPr>
              <w:pStyle w:val="TableParagraph"/>
              <w:spacing w:before="5"/>
              <w:ind w:left="59"/>
              <w:rPr>
                <w:b/>
                <w:sz w:val="13"/>
              </w:rPr>
            </w:pPr>
            <w:r>
              <w:rPr>
                <w:b/>
                <w:w w:val="105"/>
                <w:sz w:val="13"/>
              </w:rPr>
              <w:t>ICV</w:t>
            </w:r>
          </w:p>
        </w:tc>
        <w:tc>
          <w:tcPr>
            <w:tcW w:w="1507" w:type="dxa"/>
            <w:tcBorders>
              <w:left w:val="single" w:sz="4" w:space="0" w:color="000000"/>
            </w:tcBorders>
          </w:tcPr>
          <w:p>
            <w:pPr>
              <w:pStyle w:val="TableParagraph"/>
              <w:spacing w:before="5"/>
              <w:ind w:right="243"/>
              <w:jc w:val="right"/>
              <w:rPr>
                <w:sz w:val="13"/>
              </w:rPr>
            </w:pPr>
            <w:r>
              <w:rPr>
                <w:w w:val="105"/>
                <w:sz w:val="13"/>
              </w:rPr>
              <w:t>7.996,5</w:t>
            </w:r>
          </w:p>
        </w:tc>
        <w:tc>
          <w:tcPr>
            <w:tcW w:w="1136" w:type="dxa"/>
          </w:tcPr>
          <w:p>
            <w:pPr>
              <w:pStyle w:val="TableParagraph"/>
              <w:spacing w:before="5"/>
              <w:ind w:right="218"/>
              <w:jc w:val="right"/>
              <w:rPr>
                <w:sz w:val="13"/>
              </w:rPr>
            </w:pPr>
            <w:r>
              <w:rPr>
                <w:w w:val="105"/>
                <w:sz w:val="13"/>
              </w:rPr>
              <w:t>7.697,0</w:t>
            </w:r>
          </w:p>
        </w:tc>
        <w:tc>
          <w:tcPr>
            <w:tcW w:w="899" w:type="dxa"/>
            <w:tcBorders>
              <w:right w:val="single" w:sz="4" w:space="0" w:color="000000"/>
            </w:tcBorders>
          </w:tcPr>
          <w:p>
            <w:pPr>
              <w:pStyle w:val="TableParagraph"/>
              <w:spacing w:before="5"/>
              <w:ind w:right="44"/>
              <w:jc w:val="right"/>
              <w:rPr>
                <w:sz w:val="13"/>
              </w:rPr>
            </w:pPr>
            <w:r>
              <w:rPr>
                <w:w w:val="105"/>
                <w:sz w:val="13"/>
              </w:rPr>
              <w:t>7.401,3</w:t>
            </w:r>
          </w:p>
        </w:tc>
        <w:tc>
          <w:tcPr>
            <w:tcW w:w="1576" w:type="dxa"/>
            <w:tcBorders>
              <w:left w:val="single" w:sz="4" w:space="0" w:color="000000"/>
              <w:right w:val="single" w:sz="4" w:space="0" w:color="000000"/>
            </w:tcBorders>
          </w:tcPr>
          <w:p>
            <w:pPr>
              <w:pStyle w:val="TableParagraph"/>
              <w:spacing w:before="5"/>
              <w:ind w:right="44"/>
              <w:jc w:val="right"/>
              <w:rPr>
                <w:sz w:val="13"/>
              </w:rPr>
            </w:pPr>
            <w:r>
              <w:rPr>
                <w:sz w:val="13"/>
              </w:rPr>
              <w:t>295,7</w:t>
            </w:r>
          </w:p>
        </w:tc>
      </w:tr>
      <w:tr>
        <w:trPr>
          <w:trHeight w:val="190" w:hRule="atLeast"/>
        </w:trPr>
        <w:tc>
          <w:tcPr>
            <w:tcW w:w="1187" w:type="dxa"/>
            <w:tcBorders>
              <w:left w:val="single" w:sz="4" w:space="0" w:color="000000"/>
              <w:right w:val="single" w:sz="4" w:space="0" w:color="000000"/>
            </w:tcBorders>
          </w:tcPr>
          <w:p>
            <w:pPr>
              <w:pStyle w:val="TableParagraph"/>
              <w:spacing w:before="4"/>
              <w:ind w:left="59"/>
              <w:rPr>
                <w:b/>
                <w:sz w:val="13"/>
              </w:rPr>
            </w:pPr>
            <w:r>
              <w:rPr>
                <w:b/>
                <w:w w:val="105"/>
                <w:sz w:val="13"/>
              </w:rPr>
              <w:t>ICCA</w:t>
            </w:r>
          </w:p>
        </w:tc>
        <w:tc>
          <w:tcPr>
            <w:tcW w:w="1507" w:type="dxa"/>
            <w:tcBorders>
              <w:left w:val="single" w:sz="4" w:space="0" w:color="000000"/>
            </w:tcBorders>
          </w:tcPr>
          <w:p>
            <w:pPr>
              <w:pStyle w:val="TableParagraph"/>
              <w:spacing w:before="4"/>
              <w:ind w:right="243"/>
              <w:jc w:val="right"/>
              <w:rPr>
                <w:sz w:val="13"/>
              </w:rPr>
            </w:pPr>
            <w:r>
              <w:rPr>
                <w:sz w:val="13"/>
              </w:rPr>
              <w:t>19,1</w:t>
            </w:r>
          </w:p>
        </w:tc>
        <w:tc>
          <w:tcPr>
            <w:tcW w:w="1136" w:type="dxa"/>
          </w:tcPr>
          <w:p>
            <w:pPr>
              <w:pStyle w:val="TableParagraph"/>
              <w:spacing w:before="4"/>
              <w:ind w:right="218"/>
              <w:jc w:val="right"/>
              <w:rPr>
                <w:sz w:val="13"/>
              </w:rPr>
            </w:pPr>
            <w:r>
              <w:rPr>
                <w:sz w:val="13"/>
              </w:rPr>
              <w:t>71,3</w:t>
            </w:r>
          </w:p>
        </w:tc>
        <w:tc>
          <w:tcPr>
            <w:tcW w:w="899" w:type="dxa"/>
            <w:tcBorders>
              <w:right w:val="single" w:sz="4" w:space="0" w:color="000000"/>
            </w:tcBorders>
          </w:tcPr>
          <w:p>
            <w:pPr>
              <w:pStyle w:val="TableParagraph"/>
              <w:spacing w:before="4"/>
              <w:ind w:right="43"/>
              <w:jc w:val="right"/>
              <w:rPr>
                <w:sz w:val="13"/>
              </w:rPr>
            </w:pPr>
            <w:r>
              <w:rPr>
                <w:sz w:val="13"/>
              </w:rPr>
              <w:t>28,4</w:t>
            </w:r>
          </w:p>
        </w:tc>
        <w:tc>
          <w:tcPr>
            <w:tcW w:w="1576" w:type="dxa"/>
            <w:tcBorders>
              <w:left w:val="single" w:sz="4" w:space="0" w:color="000000"/>
              <w:right w:val="single" w:sz="4" w:space="0" w:color="000000"/>
            </w:tcBorders>
          </w:tcPr>
          <w:p>
            <w:pPr>
              <w:pStyle w:val="TableParagraph"/>
              <w:spacing w:before="4"/>
              <w:ind w:right="44"/>
              <w:jc w:val="right"/>
              <w:rPr>
                <w:sz w:val="13"/>
              </w:rPr>
            </w:pPr>
            <w:r>
              <w:rPr>
                <w:sz w:val="13"/>
              </w:rPr>
              <w:t>42,9</w:t>
            </w:r>
          </w:p>
        </w:tc>
      </w:tr>
      <w:tr>
        <w:trPr>
          <w:trHeight w:val="190" w:hRule="atLeast"/>
        </w:trPr>
        <w:tc>
          <w:tcPr>
            <w:tcW w:w="1187" w:type="dxa"/>
            <w:tcBorders>
              <w:left w:val="single" w:sz="4" w:space="0" w:color="000000"/>
              <w:right w:val="single" w:sz="4" w:space="0" w:color="000000"/>
            </w:tcBorders>
          </w:tcPr>
          <w:p>
            <w:pPr>
              <w:pStyle w:val="TableParagraph"/>
              <w:spacing w:before="5"/>
              <w:ind w:left="59"/>
              <w:rPr>
                <w:b/>
                <w:sz w:val="13"/>
              </w:rPr>
            </w:pPr>
            <w:r>
              <w:rPr>
                <w:b/>
                <w:w w:val="105"/>
                <w:sz w:val="13"/>
              </w:rPr>
              <w:t>APMN</w:t>
            </w:r>
          </w:p>
        </w:tc>
        <w:tc>
          <w:tcPr>
            <w:tcW w:w="1507" w:type="dxa"/>
            <w:tcBorders>
              <w:left w:val="single" w:sz="4" w:space="0" w:color="000000"/>
            </w:tcBorders>
          </w:tcPr>
          <w:p>
            <w:pPr>
              <w:pStyle w:val="TableParagraph"/>
              <w:spacing w:before="5"/>
              <w:ind w:right="243"/>
              <w:jc w:val="right"/>
              <w:rPr>
                <w:sz w:val="13"/>
              </w:rPr>
            </w:pPr>
            <w:r>
              <w:rPr>
                <w:sz w:val="13"/>
              </w:rPr>
              <w:t>23,3</w:t>
            </w:r>
          </w:p>
        </w:tc>
        <w:tc>
          <w:tcPr>
            <w:tcW w:w="1136" w:type="dxa"/>
          </w:tcPr>
          <w:p>
            <w:pPr>
              <w:pStyle w:val="TableParagraph"/>
              <w:spacing w:before="5"/>
              <w:ind w:right="218"/>
              <w:jc w:val="right"/>
              <w:rPr>
                <w:sz w:val="13"/>
              </w:rPr>
            </w:pPr>
            <w:r>
              <w:rPr>
                <w:sz w:val="13"/>
              </w:rPr>
              <w:t>11,8</w:t>
            </w:r>
          </w:p>
        </w:tc>
        <w:tc>
          <w:tcPr>
            <w:tcW w:w="899" w:type="dxa"/>
            <w:tcBorders>
              <w:right w:val="single" w:sz="4" w:space="0" w:color="000000"/>
            </w:tcBorders>
          </w:tcPr>
          <w:p>
            <w:pPr>
              <w:pStyle w:val="TableParagraph"/>
              <w:spacing w:before="5"/>
              <w:ind w:right="43"/>
              <w:jc w:val="right"/>
              <w:rPr>
                <w:sz w:val="13"/>
              </w:rPr>
            </w:pPr>
            <w:r>
              <w:rPr>
                <w:sz w:val="13"/>
              </w:rPr>
              <w:t>49,9</w:t>
            </w:r>
          </w:p>
        </w:tc>
        <w:tc>
          <w:tcPr>
            <w:tcW w:w="1576" w:type="dxa"/>
            <w:tcBorders>
              <w:left w:val="single" w:sz="4" w:space="0" w:color="000000"/>
              <w:right w:val="single" w:sz="4" w:space="0" w:color="000000"/>
            </w:tcBorders>
          </w:tcPr>
          <w:p>
            <w:pPr>
              <w:pStyle w:val="TableParagraph"/>
              <w:spacing w:before="5"/>
              <w:ind w:right="44"/>
              <w:jc w:val="right"/>
              <w:rPr>
                <w:sz w:val="13"/>
              </w:rPr>
            </w:pPr>
            <w:r>
              <w:rPr>
                <w:sz w:val="13"/>
              </w:rPr>
              <w:t>38,2</w:t>
            </w:r>
          </w:p>
        </w:tc>
      </w:tr>
      <w:tr>
        <w:trPr>
          <w:trHeight w:val="190" w:hRule="atLeast"/>
        </w:trPr>
        <w:tc>
          <w:tcPr>
            <w:tcW w:w="1187" w:type="dxa"/>
            <w:tcBorders>
              <w:left w:val="single" w:sz="4" w:space="0" w:color="000000"/>
              <w:right w:val="single" w:sz="4" w:space="0" w:color="000000"/>
            </w:tcBorders>
          </w:tcPr>
          <w:p>
            <w:pPr>
              <w:pStyle w:val="TableParagraph"/>
              <w:spacing w:before="4"/>
              <w:ind w:left="59"/>
              <w:rPr>
                <w:b/>
                <w:sz w:val="13"/>
              </w:rPr>
            </w:pPr>
            <w:r>
              <w:rPr>
                <w:b/>
                <w:w w:val="105"/>
                <w:sz w:val="13"/>
              </w:rPr>
              <w:t>CES</w:t>
            </w:r>
          </w:p>
        </w:tc>
        <w:tc>
          <w:tcPr>
            <w:tcW w:w="1507" w:type="dxa"/>
            <w:tcBorders>
              <w:left w:val="single" w:sz="4" w:space="0" w:color="000000"/>
            </w:tcBorders>
          </w:tcPr>
          <w:p>
            <w:pPr>
              <w:pStyle w:val="TableParagraph"/>
              <w:spacing w:before="4"/>
              <w:ind w:right="243"/>
              <w:jc w:val="right"/>
              <w:rPr>
                <w:sz w:val="13"/>
              </w:rPr>
            </w:pPr>
            <w:r>
              <w:rPr>
                <w:sz w:val="13"/>
              </w:rPr>
              <w:t>2,01</w:t>
            </w:r>
          </w:p>
        </w:tc>
        <w:tc>
          <w:tcPr>
            <w:tcW w:w="1136" w:type="dxa"/>
          </w:tcPr>
          <w:p>
            <w:pPr>
              <w:pStyle w:val="TableParagraph"/>
              <w:spacing w:before="4"/>
              <w:ind w:right="218"/>
              <w:jc w:val="right"/>
              <w:rPr>
                <w:sz w:val="13"/>
              </w:rPr>
            </w:pPr>
            <w:r>
              <w:rPr>
                <w:sz w:val="13"/>
              </w:rPr>
              <w:t>1,8</w:t>
            </w:r>
          </w:p>
        </w:tc>
        <w:tc>
          <w:tcPr>
            <w:tcW w:w="899" w:type="dxa"/>
            <w:tcBorders>
              <w:right w:val="single" w:sz="4" w:space="0" w:color="000000"/>
            </w:tcBorders>
          </w:tcPr>
          <w:p>
            <w:pPr>
              <w:pStyle w:val="TableParagraph"/>
              <w:spacing w:before="4"/>
              <w:ind w:right="44"/>
              <w:jc w:val="right"/>
              <w:rPr>
                <w:sz w:val="13"/>
              </w:rPr>
            </w:pPr>
            <w:r>
              <w:rPr>
                <w:sz w:val="13"/>
              </w:rPr>
              <w:t>0,4</w:t>
            </w:r>
          </w:p>
        </w:tc>
        <w:tc>
          <w:tcPr>
            <w:tcW w:w="1576" w:type="dxa"/>
            <w:tcBorders>
              <w:left w:val="single" w:sz="4" w:space="0" w:color="000000"/>
              <w:right w:val="single" w:sz="4" w:space="0" w:color="000000"/>
            </w:tcBorders>
          </w:tcPr>
          <w:p>
            <w:pPr>
              <w:pStyle w:val="TableParagraph"/>
              <w:spacing w:before="4"/>
              <w:ind w:right="44"/>
              <w:jc w:val="right"/>
              <w:rPr>
                <w:sz w:val="13"/>
              </w:rPr>
            </w:pPr>
            <w:r>
              <w:rPr>
                <w:sz w:val="13"/>
              </w:rPr>
              <w:t>1,3</w:t>
            </w:r>
          </w:p>
        </w:tc>
      </w:tr>
      <w:tr>
        <w:trPr>
          <w:trHeight w:val="190" w:hRule="atLeast"/>
        </w:trPr>
        <w:tc>
          <w:tcPr>
            <w:tcW w:w="1187" w:type="dxa"/>
            <w:tcBorders>
              <w:left w:val="single" w:sz="4" w:space="0" w:color="000000"/>
              <w:right w:val="single" w:sz="4" w:space="0" w:color="000000"/>
            </w:tcBorders>
          </w:tcPr>
          <w:p>
            <w:pPr>
              <w:pStyle w:val="TableParagraph"/>
              <w:spacing w:before="5"/>
              <w:ind w:left="59"/>
              <w:rPr>
                <w:b/>
                <w:sz w:val="13"/>
              </w:rPr>
            </w:pPr>
            <w:r>
              <w:rPr>
                <w:b/>
                <w:w w:val="105"/>
                <w:sz w:val="13"/>
              </w:rPr>
              <w:t>RTVC</w:t>
            </w:r>
          </w:p>
        </w:tc>
        <w:tc>
          <w:tcPr>
            <w:tcW w:w="1507" w:type="dxa"/>
            <w:tcBorders>
              <w:left w:val="single" w:sz="4" w:space="0" w:color="000000"/>
            </w:tcBorders>
          </w:tcPr>
          <w:p>
            <w:pPr>
              <w:pStyle w:val="TableParagraph"/>
              <w:spacing w:before="5"/>
              <w:ind w:right="243"/>
              <w:jc w:val="right"/>
              <w:rPr>
                <w:sz w:val="13"/>
              </w:rPr>
            </w:pPr>
            <w:r>
              <w:rPr>
                <w:w w:val="105"/>
                <w:sz w:val="13"/>
              </w:rPr>
              <w:t>2.600,4</w:t>
            </w:r>
          </w:p>
        </w:tc>
        <w:tc>
          <w:tcPr>
            <w:tcW w:w="1136" w:type="dxa"/>
          </w:tcPr>
          <w:p>
            <w:pPr>
              <w:pStyle w:val="TableParagraph"/>
              <w:spacing w:before="5"/>
              <w:ind w:right="218"/>
              <w:jc w:val="right"/>
              <w:rPr>
                <w:sz w:val="13"/>
              </w:rPr>
            </w:pPr>
            <w:r>
              <w:rPr>
                <w:sz w:val="13"/>
              </w:rPr>
              <w:t>0,9</w:t>
            </w:r>
          </w:p>
        </w:tc>
        <w:tc>
          <w:tcPr>
            <w:tcW w:w="899" w:type="dxa"/>
            <w:tcBorders>
              <w:right w:val="single" w:sz="4" w:space="0" w:color="000000"/>
            </w:tcBorders>
          </w:tcPr>
          <w:p>
            <w:pPr>
              <w:pStyle w:val="TableParagraph"/>
              <w:spacing w:before="5"/>
              <w:ind w:right="44"/>
              <w:jc w:val="right"/>
              <w:rPr>
                <w:sz w:val="13"/>
              </w:rPr>
            </w:pPr>
            <w:r>
              <w:rPr>
                <w:sz w:val="13"/>
              </w:rPr>
              <w:t>3,7</w:t>
            </w:r>
          </w:p>
        </w:tc>
        <w:tc>
          <w:tcPr>
            <w:tcW w:w="1576" w:type="dxa"/>
            <w:tcBorders>
              <w:left w:val="single" w:sz="4" w:space="0" w:color="000000"/>
              <w:right w:val="single" w:sz="4" w:space="0" w:color="000000"/>
            </w:tcBorders>
          </w:tcPr>
          <w:p>
            <w:pPr>
              <w:pStyle w:val="TableParagraph"/>
              <w:spacing w:before="5"/>
              <w:ind w:right="44"/>
              <w:jc w:val="right"/>
              <w:rPr>
                <w:sz w:val="13"/>
              </w:rPr>
            </w:pPr>
            <w:r>
              <w:rPr>
                <w:sz w:val="13"/>
              </w:rPr>
              <w:t>2,8</w:t>
            </w:r>
          </w:p>
        </w:tc>
      </w:tr>
      <w:tr>
        <w:trPr>
          <w:trHeight w:val="177" w:hRule="atLeast"/>
        </w:trPr>
        <w:tc>
          <w:tcPr>
            <w:tcW w:w="1187" w:type="dxa"/>
            <w:tcBorders>
              <w:left w:val="single" w:sz="4" w:space="0" w:color="000000"/>
              <w:bottom w:val="single" w:sz="4" w:space="0" w:color="000000"/>
              <w:right w:val="single" w:sz="4" w:space="0" w:color="000000"/>
            </w:tcBorders>
          </w:tcPr>
          <w:p>
            <w:pPr>
              <w:pStyle w:val="TableParagraph"/>
              <w:spacing w:line="153" w:lineRule="exact" w:before="4"/>
              <w:ind w:left="59"/>
              <w:rPr>
                <w:b/>
                <w:sz w:val="13"/>
              </w:rPr>
            </w:pPr>
            <w:r>
              <w:rPr>
                <w:b/>
                <w:w w:val="105"/>
                <w:sz w:val="13"/>
              </w:rPr>
              <w:t>ATC</w:t>
            </w:r>
          </w:p>
        </w:tc>
        <w:tc>
          <w:tcPr>
            <w:tcW w:w="1507" w:type="dxa"/>
            <w:tcBorders>
              <w:left w:val="single" w:sz="4" w:space="0" w:color="000000"/>
              <w:bottom w:val="single" w:sz="4" w:space="0" w:color="000000"/>
            </w:tcBorders>
          </w:tcPr>
          <w:p>
            <w:pPr>
              <w:pStyle w:val="TableParagraph"/>
              <w:spacing w:line="153" w:lineRule="exact" w:before="4"/>
              <w:ind w:right="243"/>
              <w:jc w:val="right"/>
              <w:rPr>
                <w:sz w:val="13"/>
              </w:rPr>
            </w:pPr>
            <w:r>
              <w:rPr>
                <w:w w:val="105"/>
                <w:sz w:val="13"/>
              </w:rPr>
              <w:t>29.986,6</w:t>
            </w:r>
          </w:p>
        </w:tc>
        <w:tc>
          <w:tcPr>
            <w:tcW w:w="1136" w:type="dxa"/>
            <w:tcBorders>
              <w:bottom w:val="single" w:sz="4" w:space="0" w:color="000000"/>
            </w:tcBorders>
          </w:tcPr>
          <w:p>
            <w:pPr>
              <w:pStyle w:val="TableParagraph"/>
              <w:spacing w:line="153" w:lineRule="exact" w:before="4"/>
              <w:ind w:right="218"/>
              <w:jc w:val="right"/>
              <w:rPr>
                <w:sz w:val="13"/>
              </w:rPr>
            </w:pPr>
            <w:r>
              <w:rPr>
                <w:w w:val="105"/>
                <w:sz w:val="13"/>
              </w:rPr>
              <w:t>-747,9</w:t>
            </w:r>
          </w:p>
        </w:tc>
        <w:tc>
          <w:tcPr>
            <w:tcW w:w="899" w:type="dxa"/>
            <w:tcBorders>
              <w:bottom w:val="single" w:sz="4" w:space="0" w:color="000000"/>
              <w:right w:val="single" w:sz="4" w:space="0" w:color="000000"/>
            </w:tcBorders>
          </w:tcPr>
          <w:p>
            <w:pPr>
              <w:pStyle w:val="TableParagraph"/>
              <w:spacing w:line="153" w:lineRule="exact" w:before="4"/>
              <w:ind w:right="44"/>
              <w:jc w:val="right"/>
              <w:rPr>
                <w:sz w:val="13"/>
              </w:rPr>
            </w:pPr>
            <w:r>
              <w:rPr>
                <w:w w:val="105"/>
                <w:sz w:val="13"/>
              </w:rPr>
              <w:t>1.807,9</w:t>
            </w:r>
          </w:p>
        </w:tc>
        <w:tc>
          <w:tcPr>
            <w:tcW w:w="1576" w:type="dxa"/>
            <w:tcBorders>
              <w:left w:val="single" w:sz="4" w:space="0" w:color="000000"/>
              <w:bottom w:val="single" w:sz="4" w:space="0" w:color="000000"/>
              <w:right w:val="single" w:sz="4" w:space="0" w:color="000000"/>
            </w:tcBorders>
          </w:tcPr>
          <w:p>
            <w:pPr>
              <w:pStyle w:val="TableParagraph"/>
              <w:spacing w:line="153" w:lineRule="exact" w:before="4"/>
              <w:ind w:right="44"/>
              <w:jc w:val="right"/>
              <w:rPr>
                <w:sz w:val="13"/>
              </w:rPr>
            </w:pPr>
            <w:r>
              <w:rPr>
                <w:w w:val="105"/>
                <w:sz w:val="13"/>
              </w:rPr>
              <w:t>1.060,1</w:t>
            </w:r>
          </w:p>
        </w:tc>
      </w:tr>
      <w:tr>
        <w:trPr>
          <w:trHeight w:val="189" w:hRule="atLeast"/>
        </w:trPr>
        <w:tc>
          <w:tcPr>
            <w:tcW w:w="1187"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153" w:lineRule="exact" w:before="16"/>
              <w:ind w:left="77"/>
              <w:rPr>
                <w:b/>
                <w:sz w:val="13"/>
              </w:rPr>
            </w:pPr>
            <w:r>
              <w:rPr>
                <w:b/>
                <w:w w:val="105"/>
                <w:sz w:val="13"/>
              </w:rPr>
              <w:t>TOTAL (</w:t>
            </w:r>
            <w:r>
              <w:rPr>
                <w:w w:val="105"/>
                <w:sz w:val="13"/>
              </w:rPr>
              <w:t>miles de €</w:t>
            </w:r>
            <w:r>
              <w:rPr>
                <w:b/>
                <w:w w:val="105"/>
                <w:sz w:val="13"/>
              </w:rPr>
              <w:t>)</w:t>
            </w:r>
          </w:p>
        </w:tc>
        <w:tc>
          <w:tcPr>
            <w:tcW w:w="1507" w:type="dxa"/>
            <w:tcBorders>
              <w:top w:val="single" w:sz="4" w:space="0" w:color="000000"/>
              <w:left w:val="single" w:sz="4" w:space="0" w:color="000000"/>
              <w:bottom w:val="single" w:sz="4" w:space="0" w:color="000000"/>
            </w:tcBorders>
            <w:shd w:val="clear" w:color="auto" w:fill="D9D9D9"/>
          </w:tcPr>
          <w:p>
            <w:pPr>
              <w:pStyle w:val="TableParagraph"/>
              <w:spacing w:line="153" w:lineRule="exact" w:before="16"/>
              <w:ind w:right="243"/>
              <w:jc w:val="right"/>
              <w:rPr>
                <w:b/>
                <w:sz w:val="13"/>
              </w:rPr>
            </w:pPr>
            <w:r>
              <w:rPr>
                <w:b/>
                <w:w w:val="105"/>
                <w:sz w:val="13"/>
              </w:rPr>
              <w:t>133.070,0</w:t>
            </w:r>
          </w:p>
        </w:tc>
        <w:tc>
          <w:tcPr>
            <w:tcW w:w="1136" w:type="dxa"/>
            <w:tcBorders>
              <w:top w:val="single" w:sz="4" w:space="0" w:color="000000"/>
              <w:bottom w:val="single" w:sz="4" w:space="0" w:color="000000"/>
            </w:tcBorders>
            <w:shd w:val="clear" w:color="auto" w:fill="D9D9D9"/>
          </w:tcPr>
          <w:p>
            <w:pPr>
              <w:pStyle w:val="TableParagraph"/>
              <w:spacing w:line="153" w:lineRule="exact" w:before="16"/>
              <w:ind w:right="218"/>
              <w:jc w:val="right"/>
              <w:rPr>
                <w:b/>
                <w:sz w:val="13"/>
              </w:rPr>
            </w:pPr>
            <w:r>
              <w:rPr>
                <w:b/>
                <w:w w:val="105"/>
                <w:sz w:val="13"/>
              </w:rPr>
              <w:t>90.456,90</w:t>
            </w:r>
          </w:p>
        </w:tc>
        <w:tc>
          <w:tcPr>
            <w:tcW w:w="899" w:type="dxa"/>
            <w:tcBorders>
              <w:top w:val="single" w:sz="4" w:space="0" w:color="000000"/>
              <w:bottom w:val="single" w:sz="4" w:space="0" w:color="000000"/>
              <w:right w:val="single" w:sz="4" w:space="0" w:color="000000"/>
            </w:tcBorders>
            <w:shd w:val="clear" w:color="auto" w:fill="D9D9D9"/>
          </w:tcPr>
          <w:p>
            <w:pPr>
              <w:pStyle w:val="TableParagraph"/>
              <w:spacing w:line="153" w:lineRule="exact" w:before="16"/>
              <w:ind w:right="44"/>
              <w:jc w:val="right"/>
              <w:rPr>
                <w:b/>
                <w:sz w:val="13"/>
              </w:rPr>
            </w:pPr>
            <w:r>
              <w:rPr>
                <w:b/>
                <w:w w:val="105"/>
                <w:sz w:val="13"/>
              </w:rPr>
              <w:t>129.116,48</w:t>
            </w:r>
          </w:p>
        </w:tc>
        <w:tc>
          <w:tcPr>
            <w:tcW w:w="157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153" w:lineRule="exact" w:before="16"/>
              <w:ind w:right="44"/>
              <w:jc w:val="right"/>
              <w:rPr>
                <w:b/>
                <w:sz w:val="13"/>
              </w:rPr>
            </w:pPr>
            <w:r>
              <w:rPr>
                <w:b/>
                <w:w w:val="105"/>
                <w:sz w:val="13"/>
              </w:rPr>
              <w:t>38.659,58</w:t>
            </w:r>
          </w:p>
        </w:tc>
      </w:tr>
    </w:tbl>
    <w:p>
      <w:pPr>
        <w:pStyle w:val="BodyText"/>
        <w:spacing w:before="7"/>
        <w:rPr>
          <w:sz w:val="16"/>
        </w:rPr>
      </w:pPr>
    </w:p>
    <w:p>
      <w:pPr>
        <w:pStyle w:val="Heading1"/>
        <w:numPr>
          <w:ilvl w:val="2"/>
          <w:numId w:val="26"/>
        </w:numPr>
        <w:tabs>
          <w:tab w:pos="2691" w:val="left" w:leader="none"/>
        </w:tabs>
        <w:spacing w:line="240" w:lineRule="auto" w:before="0" w:after="0"/>
        <w:ind w:left="2690" w:right="0" w:hanging="605"/>
        <w:jc w:val="left"/>
      </w:pPr>
      <w:r>
        <w:rPr>
          <w:color w:val="53A1B9"/>
        </w:rPr>
        <w:t>Ingresos.</w:t>
      </w:r>
    </w:p>
    <w:p>
      <w:pPr>
        <w:pStyle w:val="BodyText"/>
        <w:spacing w:before="7"/>
        <w:rPr>
          <w:b/>
          <w:sz w:val="16"/>
        </w:rPr>
      </w:pPr>
    </w:p>
    <w:tbl>
      <w:tblPr>
        <w:tblW w:w="0" w:type="auto"/>
        <w:jc w:val="left"/>
        <w:tblInd w:w="2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6"/>
        <w:gridCol w:w="1750"/>
        <w:gridCol w:w="1253"/>
        <w:gridCol w:w="1458"/>
      </w:tblGrid>
      <w:tr>
        <w:trPr>
          <w:trHeight w:val="356" w:hRule="atLeast"/>
        </w:trPr>
        <w:tc>
          <w:tcPr>
            <w:tcW w:w="2666" w:type="dxa"/>
            <w:tcBorders>
              <w:top w:val="single" w:sz="4" w:space="0" w:color="000000"/>
              <w:left w:val="single" w:sz="4" w:space="0" w:color="000000"/>
              <w:bottom w:val="single" w:sz="4" w:space="0" w:color="000000"/>
            </w:tcBorders>
            <w:shd w:val="clear" w:color="auto" w:fill="DEEAF6"/>
          </w:tcPr>
          <w:p>
            <w:pPr>
              <w:pStyle w:val="TableParagraph"/>
              <w:spacing w:before="101"/>
              <w:ind w:left="1114" w:right="978"/>
              <w:jc w:val="center"/>
              <w:rPr>
                <w:b/>
                <w:sz w:val="13"/>
              </w:rPr>
            </w:pPr>
            <w:r>
              <w:rPr>
                <w:b/>
                <w:w w:val="105"/>
                <w:sz w:val="13"/>
              </w:rPr>
              <w:t>Capítulos</w:t>
            </w:r>
          </w:p>
        </w:tc>
        <w:tc>
          <w:tcPr>
            <w:tcW w:w="1750" w:type="dxa"/>
            <w:tcBorders>
              <w:top w:val="single" w:sz="4" w:space="0" w:color="000000"/>
              <w:bottom w:val="single" w:sz="4" w:space="0" w:color="000000"/>
            </w:tcBorders>
            <w:shd w:val="clear" w:color="auto" w:fill="DEEAF6"/>
          </w:tcPr>
          <w:p>
            <w:pPr>
              <w:pStyle w:val="TableParagraph"/>
              <w:spacing w:line="160" w:lineRule="atLeast" w:before="17"/>
              <w:ind w:left="484" w:firstLine="90"/>
              <w:rPr>
                <w:b/>
                <w:sz w:val="13"/>
              </w:rPr>
            </w:pPr>
            <w:r>
              <w:rPr>
                <w:b/>
                <w:w w:val="105"/>
                <w:sz w:val="13"/>
              </w:rPr>
              <w:t>Derechos Reconocidos</w:t>
            </w:r>
          </w:p>
        </w:tc>
        <w:tc>
          <w:tcPr>
            <w:tcW w:w="1253" w:type="dxa"/>
            <w:tcBorders>
              <w:top w:val="single" w:sz="4" w:space="0" w:color="000000"/>
              <w:bottom w:val="single" w:sz="4" w:space="0" w:color="000000"/>
            </w:tcBorders>
            <w:shd w:val="clear" w:color="auto" w:fill="DEEAF6"/>
          </w:tcPr>
          <w:p>
            <w:pPr>
              <w:pStyle w:val="TableParagraph"/>
              <w:spacing w:before="101"/>
              <w:ind w:left="281"/>
              <w:rPr>
                <w:b/>
                <w:sz w:val="13"/>
              </w:rPr>
            </w:pPr>
            <w:r>
              <w:rPr>
                <w:b/>
                <w:w w:val="105"/>
                <w:sz w:val="13"/>
              </w:rPr>
              <w:t>Cobros</w:t>
            </w:r>
          </w:p>
        </w:tc>
        <w:tc>
          <w:tcPr>
            <w:tcW w:w="1458" w:type="dxa"/>
            <w:tcBorders>
              <w:top w:val="single" w:sz="4" w:space="0" w:color="000000"/>
              <w:bottom w:val="single" w:sz="4" w:space="0" w:color="000000"/>
              <w:right w:val="single" w:sz="4" w:space="0" w:color="000000"/>
            </w:tcBorders>
            <w:shd w:val="clear" w:color="auto" w:fill="DEEAF6"/>
          </w:tcPr>
          <w:p>
            <w:pPr>
              <w:pStyle w:val="TableParagraph"/>
              <w:spacing w:before="101"/>
              <w:ind w:left="143"/>
              <w:rPr>
                <w:b/>
                <w:sz w:val="13"/>
              </w:rPr>
            </w:pPr>
            <w:r>
              <w:rPr>
                <w:b/>
                <w:w w:val="105"/>
                <w:sz w:val="13"/>
              </w:rPr>
              <w:t>Pendiente de cobro</w:t>
            </w:r>
          </w:p>
        </w:tc>
      </w:tr>
      <w:tr>
        <w:trPr>
          <w:trHeight w:val="227" w:hRule="atLeast"/>
        </w:trPr>
        <w:tc>
          <w:tcPr>
            <w:tcW w:w="2666" w:type="dxa"/>
            <w:tcBorders>
              <w:top w:val="single" w:sz="4" w:space="0" w:color="000000"/>
              <w:left w:val="single" w:sz="4" w:space="0" w:color="000000"/>
            </w:tcBorders>
          </w:tcPr>
          <w:p>
            <w:pPr>
              <w:pStyle w:val="TableParagraph"/>
              <w:spacing w:before="28"/>
              <w:ind w:left="57"/>
              <w:rPr>
                <w:sz w:val="13"/>
              </w:rPr>
            </w:pPr>
            <w:r>
              <w:rPr>
                <w:w w:val="105"/>
                <w:sz w:val="13"/>
              </w:rPr>
              <w:t>3 Tasas y otros ingresos</w:t>
            </w:r>
          </w:p>
        </w:tc>
        <w:tc>
          <w:tcPr>
            <w:tcW w:w="1750" w:type="dxa"/>
            <w:tcBorders>
              <w:top w:val="single" w:sz="4" w:space="0" w:color="000000"/>
            </w:tcBorders>
          </w:tcPr>
          <w:p>
            <w:pPr>
              <w:pStyle w:val="TableParagraph"/>
              <w:spacing w:before="28"/>
              <w:ind w:right="272"/>
              <w:jc w:val="right"/>
              <w:rPr>
                <w:sz w:val="13"/>
              </w:rPr>
            </w:pPr>
            <w:r>
              <w:rPr>
                <w:w w:val="105"/>
                <w:sz w:val="13"/>
              </w:rPr>
              <w:t>72.641,23</w:t>
            </w:r>
          </w:p>
        </w:tc>
        <w:tc>
          <w:tcPr>
            <w:tcW w:w="1253" w:type="dxa"/>
            <w:tcBorders>
              <w:top w:val="single" w:sz="4" w:space="0" w:color="000000"/>
            </w:tcBorders>
          </w:tcPr>
          <w:p>
            <w:pPr>
              <w:pStyle w:val="TableParagraph"/>
              <w:spacing w:before="28"/>
              <w:ind w:right="134"/>
              <w:jc w:val="right"/>
              <w:rPr>
                <w:sz w:val="13"/>
              </w:rPr>
            </w:pPr>
            <w:r>
              <w:rPr>
                <w:w w:val="105"/>
                <w:sz w:val="13"/>
              </w:rPr>
              <w:t>45.628,35</w:t>
            </w:r>
          </w:p>
        </w:tc>
        <w:tc>
          <w:tcPr>
            <w:tcW w:w="1458" w:type="dxa"/>
            <w:tcBorders>
              <w:top w:val="single" w:sz="4" w:space="0" w:color="000000"/>
              <w:right w:val="single" w:sz="4" w:space="0" w:color="000000"/>
            </w:tcBorders>
          </w:tcPr>
          <w:p>
            <w:pPr>
              <w:pStyle w:val="TableParagraph"/>
              <w:spacing w:before="28"/>
              <w:ind w:right="46"/>
              <w:jc w:val="right"/>
              <w:rPr>
                <w:sz w:val="13"/>
              </w:rPr>
            </w:pPr>
            <w:r>
              <w:rPr>
                <w:w w:val="105"/>
                <w:sz w:val="13"/>
              </w:rPr>
              <w:t>27.012,88</w:t>
            </w:r>
          </w:p>
        </w:tc>
      </w:tr>
      <w:tr>
        <w:trPr>
          <w:trHeight w:val="216" w:hRule="atLeast"/>
        </w:trPr>
        <w:tc>
          <w:tcPr>
            <w:tcW w:w="2666" w:type="dxa"/>
            <w:tcBorders>
              <w:left w:val="single" w:sz="4" w:space="0" w:color="000000"/>
            </w:tcBorders>
          </w:tcPr>
          <w:p>
            <w:pPr>
              <w:pStyle w:val="TableParagraph"/>
              <w:spacing w:before="18"/>
              <w:ind w:left="57"/>
              <w:rPr>
                <w:sz w:val="13"/>
              </w:rPr>
            </w:pPr>
            <w:r>
              <w:rPr>
                <w:w w:val="105"/>
                <w:sz w:val="13"/>
              </w:rPr>
              <w:t>4 Transferencias corrientes</w:t>
            </w:r>
          </w:p>
        </w:tc>
        <w:tc>
          <w:tcPr>
            <w:tcW w:w="1750" w:type="dxa"/>
          </w:tcPr>
          <w:p>
            <w:pPr>
              <w:pStyle w:val="TableParagraph"/>
              <w:spacing w:before="18"/>
              <w:ind w:right="272"/>
              <w:jc w:val="right"/>
              <w:rPr>
                <w:sz w:val="13"/>
              </w:rPr>
            </w:pPr>
            <w:r>
              <w:rPr>
                <w:w w:val="105"/>
                <w:sz w:val="13"/>
              </w:rPr>
              <w:t>4.321.280,56</w:t>
            </w:r>
          </w:p>
        </w:tc>
        <w:tc>
          <w:tcPr>
            <w:tcW w:w="1253" w:type="dxa"/>
          </w:tcPr>
          <w:p>
            <w:pPr>
              <w:pStyle w:val="TableParagraph"/>
              <w:spacing w:before="18"/>
              <w:ind w:right="134"/>
              <w:jc w:val="right"/>
              <w:rPr>
                <w:sz w:val="13"/>
              </w:rPr>
            </w:pPr>
            <w:r>
              <w:rPr>
                <w:w w:val="105"/>
                <w:sz w:val="13"/>
              </w:rPr>
              <w:t>4.305.534,22</w:t>
            </w:r>
          </w:p>
        </w:tc>
        <w:tc>
          <w:tcPr>
            <w:tcW w:w="1458" w:type="dxa"/>
            <w:tcBorders>
              <w:right w:val="single" w:sz="4" w:space="0" w:color="000000"/>
            </w:tcBorders>
          </w:tcPr>
          <w:p>
            <w:pPr>
              <w:pStyle w:val="TableParagraph"/>
              <w:spacing w:before="18"/>
              <w:ind w:right="46"/>
              <w:jc w:val="right"/>
              <w:rPr>
                <w:sz w:val="13"/>
              </w:rPr>
            </w:pPr>
            <w:r>
              <w:rPr>
                <w:w w:val="105"/>
                <w:sz w:val="13"/>
              </w:rPr>
              <w:t>15.746,34</w:t>
            </w:r>
          </w:p>
        </w:tc>
      </w:tr>
      <w:tr>
        <w:trPr>
          <w:trHeight w:val="215" w:hRule="atLeast"/>
        </w:trPr>
        <w:tc>
          <w:tcPr>
            <w:tcW w:w="2666" w:type="dxa"/>
            <w:tcBorders>
              <w:left w:val="single" w:sz="4" w:space="0" w:color="000000"/>
            </w:tcBorders>
          </w:tcPr>
          <w:p>
            <w:pPr>
              <w:pStyle w:val="TableParagraph"/>
              <w:spacing w:before="17"/>
              <w:ind w:left="57"/>
              <w:rPr>
                <w:sz w:val="13"/>
              </w:rPr>
            </w:pPr>
            <w:r>
              <w:rPr>
                <w:w w:val="105"/>
                <w:sz w:val="13"/>
              </w:rPr>
              <w:t>5 Ingresos patrimoniales</w:t>
            </w:r>
          </w:p>
        </w:tc>
        <w:tc>
          <w:tcPr>
            <w:tcW w:w="1750" w:type="dxa"/>
          </w:tcPr>
          <w:p>
            <w:pPr>
              <w:pStyle w:val="TableParagraph"/>
              <w:spacing w:before="17"/>
              <w:ind w:right="272"/>
              <w:jc w:val="right"/>
              <w:rPr>
                <w:sz w:val="13"/>
              </w:rPr>
            </w:pPr>
            <w:r>
              <w:rPr>
                <w:w w:val="105"/>
                <w:sz w:val="13"/>
              </w:rPr>
              <w:t>4.345,27</w:t>
            </w:r>
          </w:p>
        </w:tc>
        <w:tc>
          <w:tcPr>
            <w:tcW w:w="1253" w:type="dxa"/>
          </w:tcPr>
          <w:p>
            <w:pPr>
              <w:pStyle w:val="TableParagraph"/>
              <w:spacing w:before="17"/>
              <w:ind w:right="134"/>
              <w:jc w:val="right"/>
              <w:rPr>
                <w:sz w:val="13"/>
              </w:rPr>
            </w:pPr>
            <w:r>
              <w:rPr>
                <w:w w:val="105"/>
                <w:sz w:val="13"/>
              </w:rPr>
              <w:t>2.610,70</w:t>
            </w:r>
          </w:p>
        </w:tc>
        <w:tc>
          <w:tcPr>
            <w:tcW w:w="1458" w:type="dxa"/>
            <w:tcBorders>
              <w:right w:val="single" w:sz="4" w:space="0" w:color="000000"/>
            </w:tcBorders>
          </w:tcPr>
          <w:p>
            <w:pPr>
              <w:pStyle w:val="TableParagraph"/>
              <w:spacing w:before="17"/>
              <w:ind w:right="46"/>
              <w:jc w:val="right"/>
              <w:rPr>
                <w:sz w:val="13"/>
              </w:rPr>
            </w:pPr>
            <w:r>
              <w:rPr>
                <w:w w:val="105"/>
                <w:sz w:val="13"/>
              </w:rPr>
              <w:t>1.734,57</w:t>
            </w:r>
          </w:p>
        </w:tc>
      </w:tr>
      <w:tr>
        <w:trPr>
          <w:trHeight w:val="215" w:hRule="atLeast"/>
        </w:trPr>
        <w:tc>
          <w:tcPr>
            <w:tcW w:w="2666" w:type="dxa"/>
            <w:tcBorders>
              <w:left w:val="single" w:sz="4" w:space="0" w:color="000000"/>
            </w:tcBorders>
          </w:tcPr>
          <w:p>
            <w:pPr>
              <w:pStyle w:val="TableParagraph"/>
              <w:spacing w:before="17"/>
              <w:ind w:left="57"/>
              <w:rPr>
                <w:b/>
                <w:sz w:val="13"/>
              </w:rPr>
            </w:pPr>
            <w:r>
              <w:rPr>
                <w:b/>
                <w:w w:val="105"/>
                <w:sz w:val="13"/>
              </w:rPr>
              <w:t>Operaciones corrientes</w:t>
            </w:r>
          </w:p>
        </w:tc>
        <w:tc>
          <w:tcPr>
            <w:tcW w:w="1750" w:type="dxa"/>
          </w:tcPr>
          <w:p>
            <w:pPr>
              <w:pStyle w:val="TableParagraph"/>
              <w:spacing w:before="17"/>
              <w:ind w:right="272"/>
              <w:jc w:val="right"/>
              <w:rPr>
                <w:b/>
                <w:sz w:val="13"/>
              </w:rPr>
            </w:pPr>
            <w:r>
              <w:rPr>
                <w:b/>
                <w:w w:val="105"/>
                <w:sz w:val="13"/>
              </w:rPr>
              <w:t>4.398.267,05</w:t>
            </w:r>
          </w:p>
        </w:tc>
        <w:tc>
          <w:tcPr>
            <w:tcW w:w="1253" w:type="dxa"/>
          </w:tcPr>
          <w:p>
            <w:pPr>
              <w:pStyle w:val="TableParagraph"/>
              <w:spacing w:before="17"/>
              <w:ind w:right="134"/>
              <w:jc w:val="right"/>
              <w:rPr>
                <w:b/>
                <w:sz w:val="13"/>
              </w:rPr>
            </w:pPr>
            <w:r>
              <w:rPr>
                <w:b/>
                <w:w w:val="105"/>
                <w:sz w:val="13"/>
              </w:rPr>
              <w:t>4.353.773,27</w:t>
            </w:r>
          </w:p>
        </w:tc>
        <w:tc>
          <w:tcPr>
            <w:tcW w:w="1458" w:type="dxa"/>
            <w:tcBorders>
              <w:right w:val="single" w:sz="4" w:space="0" w:color="000000"/>
            </w:tcBorders>
          </w:tcPr>
          <w:p>
            <w:pPr>
              <w:pStyle w:val="TableParagraph"/>
              <w:spacing w:before="17"/>
              <w:ind w:right="46"/>
              <w:jc w:val="right"/>
              <w:rPr>
                <w:b/>
                <w:sz w:val="13"/>
              </w:rPr>
            </w:pPr>
            <w:r>
              <w:rPr>
                <w:b/>
                <w:w w:val="105"/>
                <w:sz w:val="13"/>
              </w:rPr>
              <w:t>44.493,79</w:t>
            </w:r>
          </w:p>
        </w:tc>
      </w:tr>
      <w:tr>
        <w:trPr>
          <w:trHeight w:val="215" w:hRule="atLeast"/>
        </w:trPr>
        <w:tc>
          <w:tcPr>
            <w:tcW w:w="2666" w:type="dxa"/>
            <w:tcBorders>
              <w:left w:val="single" w:sz="4" w:space="0" w:color="000000"/>
            </w:tcBorders>
          </w:tcPr>
          <w:p>
            <w:pPr>
              <w:pStyle w:val="TableParagraph"/>
              <w:spacing w:before="17"/>
              <w:ind w:left="57"/>
              <w:rPr>
                <w:sz w:val="13"/>
              </w:rPr>
            </w:pPr>
            <w:r>
              <w:rPr>
                <w:w w:val="105"/>
                <w:sz w:val="13"/>
              </w:rPr>
              <w:t>7 Transferencias de capital</w:t>
            </w:r>
          </w:p>
        </w:tc>
        <w:tc>
          <w:tcPr>
            <w:tcW w:w="1750" w:type="dxa"/>
          </w:tcPr>
          <w:p>
            <w:pPr>
              <w:pStyle w:val="TableParagraph"/>
              <w:spacing w:before="17"/>
              <w:ind w:right="272"/>
              <w:jc w:val="right"/>
              <w:rPr>
                <w:sz w:val="13"/>
              </w:rPr>
            </w:pPr>
            <w:r>
              <w:rPr>
                <w:w w:val="105"/>
                <w:sz w:val="13"/>
              </w:rPr>
              <w:t>372.971,52</w:t>
            </w:r>
          </w:p>
        </w:tc>
        <w:tc>
          <w:tcPr>
            <w:tcW w:w="1253" w:type="dxa"/>
          </w:tcPr>
          <w:p>
            <w:pPr>
              <w:pStyle w:val="TableParagraph"/>
              <w:spacing w:before="17"/>
              <w:ind w:right="134"/>
              <w:jc w:val="right"/>
              <w:rPr>
                <w:sz w:val="13"/>
              </w:rPr>
            </w:pPr>
            <w:r>
              <w:rPr>
                <w:w w:val="105"/>
                <w:sz w:val="13"/>
              </w:rPr>
              <w:t>369.303,87</w:t>
            </w:r>
          </w:p>
        </w:tc>
        <w:tc>
          <w:tcPr>
            <w:tcW w:w="1458" w:type="dxa"/>
            <w:tcBorders>
              <w:right w:val="single" w:sz="4" w:space="0" w:color="000000"/>
            </w:tcBorders>
          </w:tcPr>
          <w:p>
            <w:pPr>
              <w:pStyle w:val="TableParagraph"/>
              <w:spacing w:before="17"/>
              <w:ind w:right="46"/>
              <w:jc w:val="right"/>
              <w:rPr>
                <w:sz w:val="13"/>
              </w:rPr>
            </w:pPr>
            <w:r>
              <w:rPr>
                <w:w w:val="105"/>
                <w:sz w:val="13"/>
              </w:rPr>
              <w:t>3.667,65</w:t>
            </w:r>
          </w:p>
        </w:tc>
      </w:tr>
      <w:tr>
        <w:trPr>
          <w:trHeight w:val="204" w:hRule="atLeast"/>
        </w:trPr>
        <w:tc>
          <w:tcPr>
            <w:tcW w:w="2666" w:type="dxa"/>
            <w:tcBorders>
              <w:left w:val="single" w:sz="4" w:space="0" w:color="000000"/>
            </w:tcBorders>
          </w:tcPr>
          <w:p>
            <w:pPr>
              <w:pStyle w:val="TableParagraph"/>
              <w:spacing w:before="17"/>
              <w:ind w:left="57"/>
              <w:rPr>
                <w:b/>
                <w:sz w:val="13"/>
              </w:rPr>
            </w:pPr>
            <w:r>
              <w:rPr>
                <w:b/>
                <w:w w:val="105"/>
                <w:sz w:val="13"/>
              </w:rPr>
              <w:t>Operaciones de capital</w:t>
            </w:r>
          </w:p>
        </w:tc>
        <w:tc>
          <w:tcPr>
            <w:tcW w:w="1750" w:type="dxa"/>
          </w:tcPr>
          <w:p>
            <w:pPr>
              <w:pStyle w:val="TableParagraph"/>
              <w:spacing w:before="17"/>
              <w:ind w:right="272"/>
              <w:jc w:val="right"/>
              <w:rPr>
                <w:b/>
                <w:sz w:val="13"/>
              </w:rPr>
            </w:pPr>
            <w:r>
              <w:rPr>
                <w:b/>
                <w:w w:val="105"/>
                <w:sz w:val="13"/>
              </w:rPr>
              <w:t>372.971,52</w:t>
            </w:r>
          </w:p>
        </w:tc>
        <w:tc>
          <w:tcPr>
            <w:tcW w:w="1253" w:type="dxa"/>
          </w:tcPr>
          <w:p>
            <w:pPr>
              <w:pStyle w:val="TableParagraph"/>
              <w:spacing w:before="17"/>
              <w:ind w:right="134"/>
              <w:jc w:val="right"/>
              <w:rPr>
                <w:b/>
                <w:sz w:val="13"/>
              </w:rPr>
            </w:pPr>
            <w:r>
              <w:rPr>
                <w:b/>
                <w:w w:val="105"/>
                <w:sz w:val="13"/>
              </w:rPr>
              <w:t>369.303,87</w:t>
            </w:r>
          </w:p>
        </w:tc>
        <w:tc>
          <w:tcPr>
            <w:tcW w:w="1458" w:type="dxa"/>
            <w:tcBorders>
              <w:right w:val="single" w:sz="4" w:space="0" w:color="000000"/>
            </w:tcBorders>
          </w:tcPr>
          <w:p>
            <w:pPr>
              <w:pStyle w:val="TableParagraph"/>
              <w:spacing w:before="17"/>
              <w:ind w:right="46"/>
              <w:jc w:val="right"/>
              <w:rPr>
                <w:b/>
                <w:sz w:val="13"/>
              </w:rPr>
            </w:pPr>
            <w:r>
              <w:rPr>
                <w:b/>
                <w:w w:val="105"/>
                <w:sz w:val="13"/>
              </w:rPr>
              <w:t>3.667,65</w:t>
            </w:r>
          </w:p>
        </w:tc>
      </w:tr>
      <w:tr>
        <w:trPr>
          <w:trHeight w:val="215" w:hRule="atLeast"/>
        </w:trPr>
        <w:tc>
          <w:tcPr>
            <w:tcW w:w="2666" w:type="dxa"/>
            <w:tcBorders>
              <w:left w:val="single" w:sz="4" w:space="0" w:color="000000"/>
            </w:tcBorders>
            <w:shd w:val="clear" w:color="auto" w:fill="F1F1F1"/>
          </w:tcPr>
          <w:p>
            <w:pPr>
              <w:pStyle w:val="TableParagraph"/>
              <w:spacing w:before="29"/>
              <w:ind w:left="613"/>
              <w:rPr>
                <w:b/>
                <w:sz w:val="13"/>
              </w:rPr>
            </w:pPr>
            <w:r>
              <w:rPr>
                <w:b/>
                <w:w w:val="105"/>
                <w:sz w:val="13"/>
              </w:rPr>
              <w:t>Operaciones NO Financieras</w:t>
            </w:r>
          </w:p>
        </w:tc>
        <w:tc>
          <w:tcPr>
            <w:tcW w:w="1750" w:type="dxa"/>
            <w:shd w:val="clear" w:color="auto" w:fill="F1F1F1"/>
          </w:tcPr>
          <w:p>
            <w:pPr>
              <w:pStyle w:val="TableParagraph"/>
              <w:spacing w:before="29"/>
              <w:ind w:right="272"/>
              <w:jc w:val="right"/>
              <w:rPr>
                <w:b/>
                <w:sz w:val="13"/>
              </w:rPr>
            </w:pPr>
            <w:r>
              <w:rPr>
                <w:b/>
                <w:w w:val="105"/>
                <w:sz w:val="13"/>
              </w:rPr>
              <w:t>4.771.238,57</w:t>
            </w:r>
          </w:p>
        </w:tc>
        <w:tc>
          <w:tcPr>
            <w:tcW w:w="1253" w:type="dxa"/>
            <w:shd w:val="clear" w:color="auto" w:fill="F1F1F1"/>
          </w:tcPr>
          <w:p>
            <w:pPr>
              <w:pStyle w:val="TableParagraph"/>
              <w:spacing w:before="29"/>
              <w:ind w:right="134"/>
              <w:jc w:val="right"/>
              <w:rPr>
                <w:b/>
                <w:sz w:val="13"/>
              </w:rPr>
            </w:pPr>
            <w:r>
              <w:rPr>
                <w:b/>
                <w:w w:val="105"/>
                <w:sz w:val="13"/>
              </w:rPr>
              <w:t>4.723.077,13</w:t>
            </w:r>
          </w:p>
        </w:tc>
        <w:tc>
          <w:tcPr>
            <w:tcW w:w="1458" w:type="dxa"/>
            <w:tcBorders>
              <w:right w:val="single" w:sz="4" w:space="0" w:color="000000"/>
            </w:tcBorders>
            <w:shd w:val="clear" w:color="auto" w:fill="F1F1F1"/>
          </w:tcPr>
          <w:p>
            <w:pPr>
              <w:pStyle w:val="TableParagraph"/>
              <w:spacing w:before="29"/>
              <w:ind w:right="46"/>
              <w:jc w:val="right"/>
              <w:rPr>
                <w:b/>
                <w:sz w:val="13"/>
              </w:rPr>
            </w:pPr>
            <w:r>
              <w:rPr>
                <w:b/>
                <w:w w:val="105"/>
                <w:sz w:val="13"/>
              </w:rPr>
              <w:t>48.161,44</w:t>
            </w:r>
          </w:p>
        </w:tc>
      </w:tr>
      <w:tr>
        <w:trPr>
          <w:trHeight w:val="215" w:hRule="atLeast"/>
        </w:trPr>
        <w:tc>
          <w:tcPr>
            <w:tcW w:w="2666" w:type="dxa"/>
            <w:tcBorders>
              <w:left w:val="single" w:sz="4" w:space="0" w:color="000000"/>
            </w:tcBorders>
          </w:tcPr>
          <w:p>
            <w:pPr>
              <w:pStyle w:val="TableParagraph"/>
              <w:spacing w:before="29"/>
              <w:ind w:left="57"/>
              <w:rPr>
                <w:sz w:val="13"/>
              </w:rPr>
            </w:pPr>
            <w:r>
              <w:rPr>
                <w:w w:val="105"/>
                <w:sz w:val="13"/>
              </w:rPr>
              <w:t>8 Activos financieros</w:t>
            </w:r>
          </w:p>
        </w:tc>
        <w:tc>
          <w:tcPr>
            <w:tcW w:w="1750" w:type="dxa"/>
          </w:tcPr>
          <w:p>
            <w:pPr>
              <w:pStyle w:val="TableParagraph"/>
              <w:spacing w:before="29"/>
              <w:ind w:right="272"/>
              <w:jc w:val="right"/>
              <w:rPr>
                <w:sz w:val="13"/>
              </w:rPr>
            </w:pPr>
            <w:r>
              <w:rPr>
                <w:w w:val="105"/>
                <w:sz w:val="13"/>
              </w:rPr>
              <w:t>11.680,64</w:t>
            </w:r>
          </w:p>
        </w:tc>
        <w:tc>
          <w:tcPr>
            <w:tcW w:w="1253" w:type="dxa"/>
          </w:tcPr>
          <w:p>
            <w:pPr>
              <w:pStyle w:val="TableParagraph"/>
              <w:spacing w:before="29"/>
              <w:ind w:right="134"/>
              <w:jc w:val="right"/>
              <w:rPr>
                <w:sz w:val="13"/>
              </w:rPr>
            </w:pPr>
            <w:r>
              <w:rPr>
                <w:w w:val="105"/>
                <w:sz w:val="13"/>
              </w:rPr>
              <w:t>11.664,68</w:t>
            </w:r>
          </w:p>
        </w:tc>
        <w:tc>
          <w:tcPr>
            <w:tcW w:w="1458" w:type="dxa"/>
            <w:tcBorders>
              <w:right w:val="single" w:sz="4" w:space="0" w:color="000000"/>
            </w:tcBorders>
          </w:tcPr>
          <w:p>
            <w:pPr>
              <w:pStyle w:val="TableParagraph"/>
              <w:spacing w:before="29"/>
              <w:ind w:right="45"/>
              <w:jc w:val="right"/>
              <w:rPr>
                <w:sz w:val="13"/>
              </w:rPr>
            </w:pPr>
            <w:r>
              <w:rPr>
                <w:sz w:val="13"/>
              </w:rPr>
              <w:t>15,96</w:t>
            </w:r>
          </w:p>
        </w:tc>
      </w:tr>
      <w:tr>
        <w:trPr>
          <w:trHeight w:val="215" w:hRule="atLeast"/>
        </w:trPr>
        <w:tc>
          <w:tcPr>
            <w:tcW w:w="2666" w:type="dxa"/>
            <w:tcBorders>
              <w:left w:val="single" w:sz="4" w:space="0" w:color="000000"/>
              <w:bottom w:val="single" w:sz="4" w:space="0" w:color="000000"/>
            </w:tcBorders>
            <w:shd w:val="clear" w:color="auto" w:fill="F1F1F1"/>
          </w:tcPr>
          <w:p>
            <w:pPr>
              <w:pStyle w:val="TableParagraph"/>
              <w:spacing w:before="29"/>
              <w:ind w:left="718"/>
              <w:rPr>
                <w:b/>
                <w:sz w:val="13"/>
              </w:rPr>
            </w:pPr>
            <w:r>
              <w:rPr>
                <w:b/>
                <w:w w:val="105"/>
                <w:sz w:val="13"/>
              </w:rPr>
              <w:t>Operaciones Financieras</w:t>
            </w:r>
          </w:p>
        </w:tc>
        <w:tc>
          <w:tcPr>
            <w:tcW w:w="1750" w:type="dxa"/>
            <w:tcBorders>
              <w:bottom w:val="single" w:sz="4" w:space="0" w:color="000000"/>
            </w:tcBorders>
            <w:shd w:val="clear" w:color="auto" w:fill="F1F1F1"/>
          </w:tcPr>
          <w:p>
            <w:pPr>
              <w:pStyle w:val="TableParagraph"/>
              <w:spacing w:before="29"/>
              <w:ind w:right="272"/>
              <w:jc w:val="right"/>
              <w:rPr>
                <w:b/>
                <w:sz w:val="13"/>
              </w:rPr>
            </w:pPr>
            <w:r>
              <w:rPr>
                <w:b/>
                <w:w w:val="105"/>
                <w:sz w:val="13"/>
              </w:rPr>
              <w:t>11.680,64</w:t>
            </w:r>
          </w:p>
        </w:tc>
        <w:tc>
          <w:tcPr>
            <w:tcW w:w="1253" w:type="dxa"/>
            <w:tcBorders>
              <w:bottom w:val="single" w:sz="4" w:space="0" w:color="000000"/>
            </w:tcBorders>
            <w:shd w:val="clear" w:color="auto" w:fill="F1F1F1"/>
          </w:tcPr>
          <w:p>
            <w:pPr>
              <w:pStyle w:val="TableParagraph"/>
              <w:spacing w:before="29"/>
              <w:ind w:right="134"/>
              <w:jc w:val="right"/>
              <w:rPr>
                <w:b/>
                <w:sz w:val="13"/>
              </w:rPr>
            </w:pPr>
            <w:r>
              <w:rPr>
                <w:b/>
                <w:w w:val="105"/>
                <w:sz w:val="13"/>
              </w:rPr>
              <w:t>11.664,68</w:t>
            </w:r>
          </w:p>
        </w:tc>
        <w:tc>
          <w:tcPr>
            <w:tcW w:w="1458" w:type="dxa"/>
            <w:tcBorders>
              <w:bottom w:val="single" w:sz="4" w:space="0" w:color="000000"/>
              <w:right w:val="single" w:sz="4" w:space="0" w:color="000000"/>
            </w:tcBorders>
            <w:shd w:val="clear" w:color="auto" w:fill="F1F1F1"/>
          </w:tcPr>
          <w:p>
            <w:pPr>
              <w:pStyle w:val="TableParagraph"/>
              <w:spacing w:before="29"/>
              <w:ind w:right="45"/>
              <w:jc w:val="right"/>
              <w:rPr>
                <w:b/>
                <w:sz w:val="13"/>
              </w:rPr>
            </w:pPr>
            <w:r>
              <w:rPr>
                <w:b/>
                <w:w w:val="105"/>
                <w:sz w:val="13"/>
              </w:rPr>
              <w:t>15,96</w:t>
            </w:r>
          </w:p>
        </w:tc>
      </w:tr>
      <w:tr>
        <w:trPr>
          <w:trHeight w:val="215" w:hRule="atLeast"/>
        </w:trPr>
        <w:tc>
          <w:tcPr>
            <w:tcW w:w="2666" w:type="dxa"/>
            <w:tcBorders>
              <w:top w:val="single" w:sz="4" w:space="0" w:color="000000"/>
              <w:left w:val="single" w:sz="4" w:space="0" w:color="000000"/>
              <w:bottom w:val="single" w:sz="4" w:space="0" w:color="000000"/>
            </w:tcBorders>
            <w:shd w:val="clear" w:color="auto" w:fill="D9D9D9"/>
          </w:tcPr>
          <w:p>
            <w:pPr>
              <w:pStyle w:val="TableParagraph"/>
              <w:spacing w:before="28"/>
              <w:ind w:left="883"/>
              <w:rPr>
                <w:b/>
                <w:sz w:val="13"/>
              </w:rPr>
            </w:pPr>
            <w:r>
              <w:rPr>
                <w:b/>
                <w:w w:val="105"/>
                <w:sz w:val="13"/>
              </w:rPr>
              <w:t>TOTAL (</w:t>
            </w:r>
            <w:r>
              <w:rPr>
                <w:w w:val="105"/>
                <w:sz w:val="13"/>
              </w:rPr>
              <w:t>miles de €</w:t>
            </w:r>
            <w:r>
              <w:rPr>
                <w:b/>
                <w:w w:val="105"/>
                <w:sz w:val="13"/>
              </w:rPr>
              <w:t>)</w:t>
            </w:r>
          </w:p>
        </w:tc>
        <w:tc>
          <w:tcPr>
            <w:tcW w:w="1750" w:type="dxa"/>
            <w:tcBorders>
              <w:top w:val="single" w:sz="4" w:space="0" w:color="000000"/>
              <w:bottom w:val="single" w:sz="4" w:space="0" w:color="000000"/>
            </w:tcBorders>
            <w:shd w:val="clear" w:color="auto" w:fill="D9D9D9"/>
          </w:tcPr>
          <w:p>
            <w:pPr>
              <w:pStyle w:val="TableParagraph"/>
              <w:spacing w:before="28"/>
              <w:ind w:right="272"/>
              <w:jc w:val="right"/>
              <w:rPr>
                <w:b/>
                <w:sz w:val="13"/>
              </w:rPr>
            </w:pPr>
            <w:r>
              <w:rPr>
                <w:b/>
                <w:w w:val="105"/>
                <w:sz w:val="13"/>
              </w:rPr>
              <w:t>4.782.919,21</w:t>
            </w:r>
          </w:p>
        </w:tc>
        <w:tc>
          <w:tcPr>
            <w:tcW w:w="1253" w:type="dxa"/>
            <w:tcBorders>
              <w:top w:val="single" w:sz="4" w:space="0" w:color="000000"/>
              <w:bottom w:val="single" w:sz="4" w:space="0" w:color="000000"/>
            </w:tcBorders>
            <w:shd w:val="clear" w:color="auto" w:fill="D9D9D9"/>
          </w:tcPr>
          <w:p>
            <w:pPr>
              <w:pStyle w:val="TableParagraph"/>
              <w:spacing w:before="28"/>
              <w:ind w:right="134"/>
              <w:jc w:val="right"/>
              <w:rPr>
                <w:b/>
                <w:sz w:val="13"/>
              </w:rPr>
            </w:pPr>
            <w:r>
              <w:rPr>
                <w:b/>
                <w:w w:val="105"/>
                <w:sz w:val="13"/>
              </w:rPr>
              <w:t>4.734.741,82</w:t>
            </w:r>
          </w:p>
        </w:tc>
        <w:tc>
          <w:tcPr>
            <w:tcW w:w="1458" w:type="dxa"/>
            <w:tcBorders>
              <w:top w:val="single" w:sz="4" w:space="0" w:color="000000"/>
              <w:bottom w:val="single" w:sz="4" w:space="0" w:color="000000"/>
              <w:right w:val="single" w:sz="4" w:space="0" w:color="000000"/>
            </w:tcBorders>
            <w:shd w:val="clear" w:color="auto" w:fill="D9D9D9"/>
          </w:tcPr>
          <w:p>
            <w:pPr>
              <w:pStyle w:val="TableParagraph"/>
              <w:spacing w:before="28"/>
              <w:ind w:right="46"/>
              <w:jc w:val="right"/>
              <w:rPr>
                <w:b/>
                <w:sz w:val="13"/>
              </w:rPr>
            </w:pPr>
            <w:r>
              <w:rPr>
                <w:b/>
                <w:w w:val="105"/>
                <w:sz w:val="13"/>
              </w:rPr>
              <w:t>48.177,40</w:t>
            </w:r>
          </w:p>
        </w:tc>
      </w:tr>
    </w:tbl>
    <w:p>
      <w:pPr>
        <w:pStyle w:val="BodyText"/>
        <w:spacing w:before="7"/>
        <w:rPr>
          <w:b/>
          <w:sz w:val="16"/>
        </w:rPr>
      </w:pPr>
    </w:p>
    <w:p>
      <w:pPr>
        <w:pStyle w:val="ListParagraph"/>
        <w:numPr>
          <w:ilvl w:val="0"/>
          <w:numId w:val="36"/>
        </w:numPr>
        <w:tabs>
          <w:tab w:pos="238" w:val="left" w:leader="none"/>
        </w:tabs>
        <w:spacing w:line="240" w:lineRule="auto" w:before="0" w:after="0"/>
        <w:ind w:left="2334" w:right="1142" w:hanging="2335"/>
        <w:jc w:val="right"/>
        <w:rPr>
          <w:sz w:val="20"/>
        </w:rPr>
      </w:pPr>
      <w:r>
        <w:rPr>
          <w:sz w:val="20"/>
        </w:rPr>
        <w:t>De</w:t>
      </w:r>
      <w:r>
        <w:rPr>
          <w:spacing w:val="10"/>
          <w:sz w:val="20"/>
        </w:rPr>
        <w:t> </w:t>
      </w:r>
      <w:r>
        <w:rPr>
          <w:sz w:val="20"/>
        </w:rPr>
        <w:t>la</w:t>
      </w:r>
      <w:r>
        <w:rPr>
          <w:spacing w:val="10"/>
          <w:sz w:val="20"/>
        </w:rPr>
        <w:t> </w:t>
      </w:r>
      <w:r>
        <w:rPr>
          <w:sz w:val="20"/>
        </w:rPr>
        <w:t>comparativa</w:t>
      </w:r>
      <w:r>
        <w:rPr>
          <w:spacing w:val="11"/>
          <w:sz w:val="20"/>
        </w:rPr>
        <w:t> </w:t>
      </w:r>
      <w:r>
        <w:rPr>
          <w:sz w:val="20"/>
        </w:rPr>
        <w:t>con</w:t>
      </w:r>
      <w:r>
        <w:rPr>
          <w:spacing w:val="10"/>
          <w:sz w:val="20"/>
        </w:rPr>
        <w:t> </w:t>
      </w:r>
      <w:r>
        <w:rPr>
          <w:sz w:val="20"/>
        </w:rPr>
        <w:t>los</w:t>
      </w:r>
      <w:r>
        <w:rPr>
          <w:spacing w:val="10"/>
          <w:sz w:val="20"/>
        </w:rPr>
        <w:t> </w:t>
      </w:r>
      <w:r>
        <w:rPr>
          <w:sz w:val="20"/>
        </w:rPr>
        <w:t>derechos</w:t>
      </w:r>
      <w:r>
        <w:rPr>
          <w:spacing w:val="10"/>
          <w:sz w:val="20"/>
        </w:rPr>
        <w:t> </w:t>
      </w:r>
      <w:r>
        <w:rPr>
          <w:sz w:val="20"/>
        </w:rPr>
        <w:t>reconocidos</w:t>
      </w:r>
      <w:r>
        <w:rPr>
          <w:spacing w:val="9"/>
          <w:sz w:val="20"/>
        </w:rPr>
        <w:t> </w:t>
      </w:r>
      <w:r>
        <w:rPr>
          <w:sz w:val="20"/>
        </w:rPr>
        <w:t>en</w:t>
      </w:r>
      <w:r>
        <w:rPr>
          <w:spacing w:val="11"/>
          <w:sz w:val="20"/>
        </w:rPr>
        <w:t> </w:t>
      </w:r>
      <w:r>
        <w:rPr>
          <w:sz w:val="20"/>
        </w:rPr>
        <w:t>el</w:t>
      </w:r>
      <w:r>
        <w:rPr>
          <w:spacing w:val="11"/>
          <w:sz w:val="20"/>
        </w:rPr>
        <w:t> </w:t>
      </w:r>
      <w:r>
        <w:rPr>
          <w:sz w:val="20"/>
        </w:rPr>
        <w:t>ejercicio</w:t>
      </w:r>
      <w:r>
        <w:rPr>
          <w:spacing w:val="10"/>
          <w:sz w:val="20"/>
        </w:rPr>
        <w:t> </w:t>
      </w:r>
      <w:r>
        <w:rPr>
          <w:sz w:val="20"/>
        </w:rPr>
        <w:t>anterior,</w:t>
      </w:r>
      <w:r>
        <w:rPr>
          <w:spacing w:val="11"/>
          <w:sz w:val="20"/>
        </w:rPr>
        <w:t> </w:t>
      </w:r>
      <w:r>
        <w:rPr>
          <w:sz w:val="20"/>
        </w:rPr>
        <w:t>se</w:t>
      </w:r>
      <w:r>
        <w:rPr>
          <w:spacing w:val="10"/>
          <w:sz w:val="20"/>
        </w:rPr>
        <w:t> </w:t>
      </w:r>
      <w:r>
        <w:rPr>
          <w:sz w:val="20"/>
        </w:rPr>
        <w:t>observa</w:t>
      </w:r>
    </w:p>
    <w:p>
      <w:pPr>
        <w:pStyle w:val="BodyText"/>
        <w:spacing w:before="2"/>
        <w:ind w:right="1139"/>
        <w:jc w:val="right"/>
      </w:pPr>
      <w:r>
        <w:rPr/>
        <w:t>una   disminución   en   141,2   millones   de   €   (3   %   menos),   principalmente </w:t>
      </w:r>
      <w:r>
        <w:rPr>
          <w:spacing w:val="12"/>
        </w:rPr>
        <w:t> </w:t>
      </w:r>
      <w:r>
        <w:rPr/>
        <w:t>por</w:t>
      </w:r>
    </w:p>
    <w:p>
      <w:pPr>
        <w:pStyle w:val="BodyText"/>
        <w:spacing w:before="10"/>
        <w:rPr>
          <w:sz w:val="21"/>
        </w:rPr>
      </w:pPr>
    </w:p>
    <w:p>
      <w:pPr>
        <w:pStyle w:val="BodyText"/>
        <w:spacing w:before="61"/>
        <w:ind w:left="7897"/>
        <w:jc w:val="center"/>
      </w:pPr>
      <w:r>
        <w:rPr/>
        <w:t>77</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65" name="image5.png"/>
                  <wp:cNvGraphicFramePr>
                    <a:graphicFrameLocks noChangeAspect="1"/>
                  </wp:cNvGraphicFramePr>
                  <a:graphic>
                    <a:graphicData uri="http://schemas.openxmlformats.org/drawingml/2006/picture">
                      <pic:pic>
                        <pic:nvPicPr>
                          <pic:cNvPr id="16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79/247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34"/>
        <w:jc w:val="both"/>
      </w:pPr>
      <w:r>
        <w:rPr/>
        <w:t>trasferencias corrientes (112 millones de €) y, en menor medida, de capital (18,8</w:t>
      </w:r>
    </w:p>
    <w:p>
      <w:pPr>
        <w:pStyle w:val="BodyText"/>
        <w:spacing w:before="2"/>
        <w:ind w:left="2334"/>
        <w:jc w:val="both"/>
      </w:pPr>
      <w:r>
        <w:rPr/>
        <w:t>millones de €).</w:t>
      </w:r>
    </w:p>
    <w:p>
      <w:pPr>
        <w:pStyle w:val="BodyText"/>
        <w:spacing w:before="8"/>
        <w:rPr>
          <w:sz w:val="16"/>
        </w:rPr>
      </w:pPr>
    </w:p>
    <w:p>
      <w:pPr>
        <w:pStyle w:val="ListParagraph"/>
        <w:numPr>
          <w:ilvl w:val="0"/>
          <w:numId w:val="36"/>
        </w:numPr>
        <w:tabs>
          <w:tab w:pos="2335" w:val="left" w:leader="none"/>
        </w:tabs>
        <w:spacing w:line="240" w:lineRule="auto" w:before="0" w:after="0"/>
        <w:ind w:left="2334" w:right="1141" w:hanging="238"/>
        <w:jc w:val="both"/>
        <w:rPr>
          <w:sz w:val="20"/>
        </w:rPr>
      </w:pPr>
      <w:r>
        <w:rPr>
          <w:sz w:val="20"/>
        </w:rPr>
        <w:t>La mayoría de los derechos reconocidos en el ejercicio 2022 consisten en transferencias corrientes (90,3 %), que con las de capital totalizan un 98,1 %. Estas proceden, fundamentalmente, de la CAC (85,4 %), siendo su mayor beneficiario el SCS al percibir el 77,8 % de las mismas. En el ejercicio anterior esta dependencia sumaba un 84,9 % (el 77,6 % al</w:t>
      </w:r>
      <w:r>
        <w:rPr>
          <w:spacing w:val="-3"/>
          <w:sz w:val="20"/>
        </w:rPr>
        <w:t> </w:t>
      </w:r>
      <w:r>
        <w:rPr>
          <w:sz w:val="20"/>
        </w:rPr>
        <w:t>SCS).</w:t>
      </w:r>
    </w:p>
    <w:p>
      <w:pPr>
        <w:pStyle w:val="BodyText"/>
        <w:spacing w:before="1"/>
        <w:rPr>
          <w:sz w:val="17"/>
        </w:rPr>
      </w:pPr>
    </w:p>
    <w:tbl>
      <w:tblPr>
        <w:tblW w:w="0" w:type="auto"/>
        <w:jc w:val="left"/>
        <w:tblInd w:w="2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1"/>
        <w:gridCol w:w="1129"/>
        <w:gridCol w:w="1312"/>
        <w:gridCol w:w="1260"/>
        <w:gridCol w:w="1101"/>
        <w:gridCol w:w="1177"/>
      </w:tblGrid>
      <w:tr>
        <w:trPr>
          <w:trHeight w:val="492" w:hRule="atLeast"/>
        </w:trPr>
        <w:tc>
          <w:tcPr>
            <w:tcW w:w="1191"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129" w:type="dxa"/>
            <w:tcBorders>
              <w:top w:val="single" w:sz="4" w:space="0" w:color="000000"/>
              <w:left w:val="single" w:sz="4" w:space="0" w:color="000000"/>
              <w:bottom w:val="single" w:sz="4" w:space="0" w:color="000000"/>
            </w:tcBorders>
            <w:shd w:val="clear" w:color="auto" w:fill="DEEAF6"/>
          </w:tcPr>
          <w:p>
            <w:pPr>
              <w:pStyle w:val="TableParagraph"/>
              <w:spacing w:line="249" w:lineRule="auto" w:before="85"/>
              <w:ind w:left="146" w:right="96" w:firstLine="90"/>
              <w:rPr>
                <w:b/>
                <w:sz w:val="13"/>
              </w:rPr>
            </w:pPr>
            <w:r>
              <w:rPr>
                <w:b/>
                <w:w w:val="105"/>
                <w:sz w:val="13"/>
              </w:rPr>
              <w:t>Derechos Reconocidos</w:t>
            </w:r>
          </w:p>
        </w:tc>
        <w:tc>
          <w:tcPr>
            <w:tcW w:w="1312" w:type="dxa"/>
            <w:tcBorders>
              <w:top w:val="single" w:sz="4" w:space="0" w:color="000000"/>
              <w:bottom w:val="single" w:sz="4" w:space="0" w:color="000000"/>
            </w:tcBorders>
            <w:shd w:val="clear" w:color="auto" w:fill="DEEAF6"/>
          </w:tcPr>
          <w:p>
            <w:pPr>
              <w:pStyle w:val="TableParagraph"/>
              <w:spacing w:line="247" w:lineRule="auto" w:before="4"/>
              <w:ind w:left="191" w:right="252" w:hanging="1"/>
              <w:jc w:val="center"/>
              <w:rPr>
                <w:b/>
                <w:sz w:val="13"/>
              </w:rPr>
            </w:pPr>
            <w:r>
              <w:rPr>
                <w:b/>
                <w:w w:val="105"/>
                <w:sz w:val="13"/>
              </w:rPr>
              <w:t>Transferencias corrientes de </w:t>
            </w:r>
            <w:r>
              <w:rPr>
                <w:b/>
                <w:spacing w:val="-7"/>
                <w:w w:val="105"/>
                <w:sz w:val="13"/>
              </w:rPr>
              <w:t>la</w:t>
            </w:r>
          </w:p>
          <w:p>
            <w:pPr>
              <w:pStyle w:val="TableParagraph"/>
              <w:spacing w:line="141" w:lineRule="exact"/>
              <w:ind w:left="367" w:right="424"/>
              <w:jc w:val="center"/>
              <w:rPr>
                <w:b/>
                <w:sz w:val="13"/>
              </w:rPr>
            </w:pPr>
            <w:r>
              <w:rPr>
                <w:b/>
                <w:w w:val="105"/>
                <w:sz w:val="13"/>
              </w:rPr>
              <w:t>CAC</w:t>
            </w:r>
          </w:p>
        </w:tc>
        <w:tc>
          <w:tcPr>
            <w:tcW w:w="1260" w:type="dxa"/>
            <w:tcBorders>
              <w:top w:val="single" w:sz="4" w:space="0" w:color="000000"/>
              <w:bottom w:val="single" w:sz="4" w:space="0" w:color="000000"/>
            </w:tcBorders>
            <w:shd w:val="clear" w:color="auto" w:fill="DEEAF6"/>
          </w:tcPr>
          <w:p>
            <w:pPr>
              <w:pStyle w:val="TableParagraph"/>
              <w:spacing w:line="247" w:lineRule="auto" w:before="4"/>
              <w:ind w:left="193" w:right="8" w:firstLine="110"/>
              <w:rPr>
                <w:b/>
                <w:sz w:val="13"/>
              </w:rPr>
            </w:pPr>
            <w:r>
              <w:rPr>
                <w:b/>
                <w:w w:val="105"/>
                <w:sz w:val="13"/>
              </w:rPr>
              <w:t>Transferencias de capital de la</w:t>
            </w:r>
          </w:p>
          <w:p>
            <w:pPr>
              <w:pStyle w:val="TableParagraph"/>
              <w:spacing w:line="141" w:lineRule="exact"/>
              <w:ind w:left="483" w:right="509"/>
              <w:jc w:val="center"/>
              <w:rPr>
                <w:b/>
                <w:sz w:val="13"/>
              </w:rPr>
            </w:pPr>
            <w:r>
              <w:rPr>
                <w:b/>
                <w:w w:val="105"/>
                <w:sz w:val="13"/>
              </w:rPr>
              <w:t>CAC</w:t>
            </w:r>
          </w:p>
        </w:tc>
        <w:tc>
          <w:tcPr>
            <w:tcW w:w="1101" w:type="dxa"/>
            <w:tcBorders>
              <w:top w:val="single" w:sz="4" w:space="0" w:color="000000"/>
              <w:bottom w:val="single" w:sz="4" w:space="0" w:color="000000"/>
            </w:tcBorders>
            <w:shd w:val="clear" w:color="auto" w:fill="DEEAF6"/>
          </w:tcPr>
          <w:p>
            <w:pPr>
              <w:pStyle w:val="TableParagraph"/>
              <w:spacing w:before="8"/>
              <w:rPr>
                <w:sz w:val="13"/>
              </w:rPr>
            </w:pPr>
          </w:p>
          <w:p>
            <w:pPr>
              <w:pStyle w:val="TableParagraph"/>
              <w:ind w:left="330"/>
              <w:rPr>
                <w:b/>
                <w:sz w:val="13"/>
              </w:rPr>
            </w:pPr>
            <w:r>
              <w:rPr>
                <w:b/>
                <w:w w:val="105"/>
                <w:sz w:val="13"/>
              </w:rPr>
              <w:t>TOTAL</w:t>
            </w:r>
          </w:p>
        </w:tc>
        <w:tc>
          <w:tcPr>
            <w:tcW w:w="1177" w:type="dxa"/>
            <w:tcBorders>
              <w:top w:val="single" w:sz="4" w:space="0" w:color="000000"/>
              <w:bottom w:val="single" w:sz="4" w:space="0" w:color="000000"/>
              <w:right w:val="single" w:sz="4" w:space="0" w:color="000000"/>
            </w:tcBorders>
            <w:shd w:val="clear" w:color="auto" w:fill="DEEAF6"/>
          </w:tcPr>
          <w:p>
            <w:pPr>
              <w:pStyle w:val="TableParagraph"/>
              <w:spacing w:line="249" w:lineRule="auto" w:before="85"/>
              <w:ind w:left="339" w:right="70" w:hanging="103"/>
              <w:rPr>
                <w:b/>
                <w:sz w:val="13"/>
              </w:rPr>
            </w:pPr>
            <w:r>
              <w:rPr>
                <w:b/>
                <w:w w:val="105"/>
                <w:sz w:val="13"/>
              </w:rPr>
              <w:t>Dependencia de la CAC</w:t>
            </w:r>
          </w:p>
        </w:tc>
      </w:tr>
      <w:tr>
        <w:trPr>
          <w:trHeight w:val="235" w:hRule="atLeast"/>
        </w:trPr>
        <w:tc>
          <w:tcPr>
            <w:tcW w:w="1191" w:type="dxa"/>
            <w:tcBorders>
              <w:left w:val="single" w:sz="4" w:space="0" w:color="000000"/>
              <w:right w:val="single" w:sz="4" w:space="0" w:color="000000"/>
            </w:tcBorders>
          </w:tcPr>
          <w:p>
            <w:pPr>
              <w:pStyle w:val="TableParagraph"/>
              <w:spacing w:before="32"/>
              <w:ind w:left="57"/>
              <w:rPr>
                <w:b/>
                <w:sz w:val="13"/>
              </w:rPr>
            </w:pPr>
            <w:r>
              <w:rPr>
                <w:b/>
                <w:w w:val="105"/>
                <w:sz w:val="13"/>
              </w:rPr>
              <w:t>ICAP</w:t>
            </w:r>
          </w:p>
        </w:tc>
        <w:tc>
          <w:tcPr>
            <w:tcW w:w="1129" w:type="dxa"/>
            <w:tcBorders>
              <w:top w:val="single" w:sz="4" w:space="0" w:color="000000"/>
              <w:left w:val="single" w:sz="4" w:space="0" w:color="000000"/>
            </w:tcBorders>
          </w:tcPr>
          <w:p>
            <w:pPr>
              <w:pStyle w:val="TableParagraph"/>
              <w:spacing w:before="32"/>
              <w:ind w:right="181"/>
              <w:jc w:val="right"/>
              <w:rPr>
                <w:sz w:val="13"/>
              </w:rPr>
            </w:pPr>
            <w:r>
              <w:rPr>
                <w:w w:val="105"/>
                <w:sz w:val="13"/>
              </w:rPr>
              <w:t>3.389,65</w:t>
            </w:r>
          </w:p>
        </w:tc>
        <w:tc>
          <w:tcPr>
            <w:tcW w:w="1312" w:type="dxa"/>
            <w:tcBorders>
              <w:top w:val="single" w:sz="4" w:space="0" w:color="000000"/>
            </w:tcBorders>
          </w:tcPr>
          <w:p>
            <w:pPr>
              <w:pStyle w:val="TableParagraph"/>
              <w:spacing w:before="32"/>
              <w:ind w:right="183"/>
              <w:jc w:val="right"/>
              <w:rPr>
                <w:sz w:val="13"/>
              </w:rPr>
            </w:pPr>
            <w:r>
              <w:rPr>
                <w:sz w:val="13"/>
              </w:rPr>
              <w:t>1.643,22</w:t>
            </w:r>
          </w:p>
        </w:tc>
        <w:tc>
          <w:tcPr>
            <w:tcW w:w="1260" w:type="dxa"/>
            <w:tcBorders>
              <w:top w:val="single" w:sz="4" w:space="0" w:color="000000"/>
            </w:tcBorders>
          </w:tcPr>
          <w:p>
            <w:pPr>
              <w:pStyle w:val="TableParagraph"/>
              <w:spacing w:before="32"/>
              <w:ind w:right="152"/>
              <w:jc w:val="right"/>
              <w:rPr>
                <w:sz w:val="13"/>
              </w:rPr>
            </w:pPr>
            <w:r>
              <w:rPr>
                <w:sz w:val="13"/>
              </w:rPr>
              <w:t>79,00</w:t>
            </w:r>
          </w:p>
        </w:tc>
        <w:tc>
          <w:tcPr>
            <w:tcW w:w="1101" w:type="dxa"/>
            <w:tcBorders>
              <w:top w:val="single" w:sz="4" w:space="0" w:color="000000"/>
            </w:tcBorders>
          </w:tcPr>
          <w:p>
            <w:pPr>
              <w:pStyle w:val="TableParagraph"/>
              <w:spacing w:before="32"/>
              <w:ind w:right="226"/>
              <w:jc w:val="right"/>
              <w:rPr>
                <w:sz w:val="13"/>
              </w:rPr>
            </w:pPr>
            <w:r>
              <w:rPr>
                <w:w w:val="105"/>
                <w:sz w:val="13"/>
              </w:rPr>
              <w:t>1.722,22</w:t>
            </w:r>
          </w:p>
        </w:tc>
        <w:tc>
          <w:tcPr>
            <w:tcW w:w="1177" w:type="dxa"/>
            <w:tcBorders>
              <w:top w:val="single" w:sz="4" w:space="0" w:color="000000"/>
              <w:right w:val="single" w:sz="4" w:space="0" w:color="000000"/>
            </w:tcBorders>
          </w:tcPr>
          <w:p>
            <w:pPr>
              <w:pStyle w:val="TableParagraph"/>
              <w:spacing w:before="32"/>
              <w:ind w:left="376" w:right="344"/>
              <w:jc w:val="center"/>
              <w:rPr>
                <w:sz w:val="13"/>
              </w:rPr>
            </w:pPr>
            <w:r>
              <w:rPr>
                <w:w w:val="105"/>
                <w:sz w:val="13"/>
              </w:rPr>
              <w:t>50,8%</w:t>
            </w:r>
          </w:p>
        </w:tc>
      </w:tr>
      <w:tr>
        <w:trPr>
          <w:trHeight w:val="225" w:hRule="atLeast"/>
        </w:trPr>
        <w:tc>
          <w:tcPr>
            <w:tcW w:w="1191" w:type="dxa"/>
            <w:tcBorders>
              <w:left w:val="single" w:sz="4" w:space="0" w:color="000000"/>
              <w:right w:val="single" w:sz="4" w:space="0" w:color="000000"/>
            </w:tcBorders>
          </w:tcPr>
          <w:p>
            <w:pPr>
              <w:pStyle w:val="TableParagraph"/>
              <w:spacing w:before="23"/>
              <w:ind w:left="57"/>
              <w:rPr>
                <w:b/>
                <w:sz w:val="13"/>
              </w:rPr>
            </w:pPr>
            <w:r>
              <w:rPr>
                <w:b/>
                <w:w w:val="105"/>
                <w:sz w:val="13"/>
              </w:rPr>
              <w:t>ISTAC</w:t>
            </w:r>
          </w:p>
        </w:tc>
        <w:tc>
          <w:tcPr>
            <w:tcW w:w="1129" w:type="dxa"/>
            <w:tcBorders>
              <w:left w:val="single" w:sz="4" w:space="0" w:color="000000"/>
            </w:tcBorders>
          </w:tcPr>
          <w:p>
            <w:pPr>
              <w:pStyle w:val="TableParagraph"/>
              <w:spacing w:before="23"/>
              <w:ind w:right="181"/>
              <w:jc w:val="right"/>
              <w:rPr>
                <w:sz w:val="13"/>
              </w:rPr>
            </w:pPr>
            <w:r>
              <w:rPr>
                <w:w w:val="105"/>
                <w:sz w:val="13"/>
              </w:rPr>
              <w:t>5.340,48</w:t>
            </w:r>
          </w:p>
        </w:tc>
        <w:tc>
          <w:tcPr>
            <w:tcW w:w="1312" w:type="dxa"/>
          </w:tcPr>
          <w:p>
            <w:pPr>
              <w:pStyle w:val="TableParagraph"/>
              <w:spacing w:before="23"/>
              <w:ind w:right="183"/>
              <w:jc w:val="right"/>
              <w:rPr>
                <w:sz w:val="13"/>
              </w:rPr>
            </w:pPr>
            <w:r>
              <w:rPr>
                <w:sz w:val="13"/>
              </w:rPr>
              <w:t>2.012,37</w:t>
            </w:r>
          </w:p>
        </w:tc>
        <w:tc>
          <w:tcPr>
            <w:tcW w:w="1260" w:type="dxa"/>
          </w:tcPr>
          <w:p>
            <w:pPr>
              <w:pStyle w:val="TableParagraph"/>
              <w:spacing w:before="23"/>
              <w:ind w:right="152"/>
              <w:jc w:val="right"/>
              <w:rPr>
                <w:sz w:val="13"/>
              </w:rPr>
            </w:pPr>
            <w:r>
              <w:rPr>
                <w:w w:val="105"/>
                <w:sz w:val="13"/>
              </w:rPr>
              <w:t>3.212,74</w:t>
            </w:r>
          </w:p>
        </w:tc>
        <w:tc>
          <w:tcPr>
            <w:tcW w:w="1101" w:type="dxa"/>
          </w:tcPr>
          <w:p>
            <w:pPr>
              <w:pStyle w:val="TableParagraph"/>
              <w:spacing w:before="23"/>
              <w:ind w:right="226"/>
              <w:jc w:val="right"/>
              <w:rPr>
                <w:sz w:val="13"/>
              </w:rPr>
            </w:pPr>
            <w:r>
              <w:rPr>
                <w:w w:val="105"/>
                <w:sz w:val="13"/>
              </w:rPr>
              <w:t>5.225,11</w:t>
            </w:r>
          </w:p>
        </w:tc>
        <w:tc>
          <w:tcPr>
            <w:tcW w:w="1177" w:type="dxa"/>
            <w:tcBorders>
              <w:right w:val="single" w:sz="4" w:space="0" w:color="000000"/>
            </w:tcBorders>
          </w:tcPr>
          <w:p>
            <w:pPr>
              <w:pStyle w:val="TableParagraph"/>
              <w:spacing w:before="23"/>
              <w:ind w:left="376" w:right="344"/>
              <w:jc w:val="center"/>
              <w:rPr>
                <w:sz w:val="13"/>
              </w:rPr>
            </w:pPr>
            <w:r>
              <w:rPr>
                <w:w w:val="105"/>
                <w:sz w:val="13"/>
              </w:rPr>
              <w:t>97,8%</w:t>
            </w:r>
          </w:p>
        </w:tc>
      </w:tr>
      <w:tr>
        <w:trPr>
          <w:trHeight w:val="226" w:hRule="atLeast"/>
        </w:trPr>
        <w:tc>
          <w:tcPr>
            <w:tcW w:w="1191" w:type="dxa"/>
            <w:tcBorders>
              <w:left w:val="single" w:sz="4" w:space="0" w:color="000000"/>
              <w:right w:val="single" w:sz="4" w:space="0" w:color="000000"/>
            </w:tcBorders>
          </w:tcPr>
          <w:p>
            <w:pPr>
              <w:pStyle w:val="TableParagraph"/>
              <w:spacing w:before="23"/>
              <w:ind w:left="57"/>
              <w:rPr>
                <w:b/>
                <w:sz w:val="13"/>
              </w:rPr>
            </w:pPr>
            <w:r>
              <w:rPr>
                <w:b/>
                <w:w w:val="105"/>
                <w:sz w:val="13"/>
              </w:rPr>
              <w:t>SCE</w:t>
            </w:r>
          </w:p>
        </w:tc>
        <w:tc>
          <w:tcPr>
            <w:tcW w:w="1129" w:type="dxa"/>
            <w:tcBorders>
              <w:left w:val="single" w:sz="4" w:space="0" w:color="000000"/>
            </w:tcBorders>
          </w:tcPr>
          <w:p>
            <w:pPr>
              <w:pStyle w:val="TableParagraph"/>
              <w:spacing w:before="23"/>
              <w:ind w:right="181"/>
              <w:jc w:val="right"/>
              <w:rPr>
                <w:sz w:val="13"/>
              </w:rPr>
            </w:pPr>
            <w:r>
              <w:rPr>
                <w:w w:val="105"/>
                <w:sz w:val="13"/>
              </w:rPr>
              <w:t>375.140,71</w:t>
            </w:r>
          </w:p>
        </w:tc>
        <w:tc>
          <w:tcPr>
            <w:tcW w:w="1312" w:type="dxa"/>
          </w:tcPr>
          <w:p>
            <w:pPr>
              <w:pStyle w:val="TableParagraph"/>
              <w:spacing w:before="23"/>
              <w:ind w:right="183"/>
              <w:jc w:val="right"/>
              <w:rPr>
                <w:sz w:val="13"/>
              </w:rPr>
            </w:pPr>
            <w:r>
              <w:rPr>
                <w:sz w:val="13"/>
              </w:rPr>
              <w:t>81.178,62</w:t>
            </w:r>
          </w:p>
        </w:tc>
        <w:tc>
          <w:tcPr>
            <w:tcW w:w="1260" w:type="dxa"/>
          </w:tcPr>
          <w:p>
            <w:pPr>
              <w:pStyle w:val="TableParagraph"/>
              <w:spacing w:before="23"/>
              <w:ind w:right="152"/>
              <w:jc w:val="right"/>
              <w:rPr>
                <w:sz w:val="13"/>
              </w:rPr>
            </w:pPr>
            <w:r>
              <w:rPr>
                <w:w w:val="105"/>
                <w:sz w:val="13"/>
              </w:rPr>
              <w:t>8.691,88</w:t>
            </w:r>
          </w:p>
        </w:tc>
        <w:tc>
          <w:tcPr>
            <w:tcW w:w="1101" w:type="dxa"/>
          </w:tcPr>
          <w:p>
            <w:pPr>
              <w:pStyle w:val="TableParagraph"/>
              <w:spacing w:before="23"/>
              <w:ind w:right="226"/>
              <w:jc w:val="right"/>
              <w:rPr>
                <w:sz w:val="13"/>
              </w:rPr>
            </w:pPr>
            <w:r>
              <w:rPr>
                <w:w w:val="105"/>
                <w:sz w:val="13"/>
              </w:rPr>
              <w:t>89.870,50</w:t>
            </w:r>
          </w:p>
        </w:tc>
        <w:tc>
          <w:tcPr>
            <w:tcW w:w="1177" w:type="dxa"/>
            <w:tcBorders>
              <w:right w:val="single" w:sz="4" w:space="0" w:color="000000"/>
            </w:tcBorders>
          </w:tcPr>
          <w:p>
            <w:pPr>
              <w:pStyle w:val="TableParagraph"/>
              <w:spacing w:before="23"/>
              <w:ind w:left="376" w:right="344"/>
              <w:jc w:val="center"/>
              <w:rPr>
                <w:sz w:val="13"/>
              </w:rPr>
            </w:pPr>
            <w:r>
              <w:rPr>
                <w:w w:val="105"/>
                <w:sz w:val="13"/>
              </w:rPr>
              <w:t>24,0%</w:t>
            </w:r>
          </w:p>
        </w:tc>
      </w:tr>
      <w:tr>
        <w:trPr>
          <w:trHeight w:val="226" w:hRule="atLeast"/>
        </w:trPr>
        <w:tc>
          <w:tcPr>
            <w:tcW w:w="1191" w:type="dxa"/>
            <w:tcBorders>
              <w:left w:val="single" w:sz="4" w:space="0" w:color="000000"/>
              <w:right w:val="single" w:sz="4" w:space="0" w:color="000000"/>
            </w:tcBorders>
          </w:tcPr>
          <w:p>
            <w:pPr>
              <w:pStyle w:val="TableParagraph"/>
              <w:spacing w:before="24"/>
              <w:ind w:left="57"/>
              <w:rPr>
                <w:b/>
                <w:sz w:val="13"/>
              </w:rPr>
            </w:pPr>
            <w:r>
              <w:rPr>
                <w:b/>
                <w:w w:val="105"/>
                <w:sz w:val="13"/>
              </w:rPr>
              <w:t>ICIA</w:t>
            </w:r>
          </w:p>
        </w:tc>
        <w:tc>
          <w:tcPr>
            <w:tcW w:w="1129" w:type="dxa"/>
            <w:tcBorders>
              <w:left w:val="single" w:sz="4" w:space="0" w:color="000000"/>
            </w:tcBorders>
          </w:tcPr>
          <w:p>
            <w:pPr>
              <w:pStyle w:val="TableParagraph"/>
              <w:spacing w:before="24"/>
              <w:ind w:right="181"/>
              <w:jc w:val="right"/>
              <w:rPr>
                <w:sz w:val="13"/>
              </w:rPr>
            </w:pPr>
            <w:r>
              <w:rPr>
                <w:w w:val="105"/>
                <w:sz w:val="13"/>
              </w:rPr>
              <w:t>10.620,21</w:t>
            </w:r>
          </w:p>
        </w:tc>
        <w:tc>
          <w:tcPr>
            <w:tcW w:w="1312" w:type="dxa"/>
          </w:tcPr>
          <w:p>
            <w:pPr>
              <w:pStyle w:val="TableParagraph"/>
              <w:spacing w:before="24"/>
              <w:ind w:right="183"/>
              <w:jc w:val="right"/>
              <w:rPr>
                <w:sz w:val="13"/>
              </w:rPr>
            </w:pPr>
            <w:r>
              <w:rPr>
                <w:sz w:val="13"/>
              </w:rPr>
              <w:t>5.290,97</w:t>
            </w:r>
          </w:p>
        </w:tc>
        <w:tc>
          <w:tcPr>
            <w:tcW w:w="1260" w:type="dxa"/>
          </w:tcPr>
          <w:p>
            <w:pPr>
              <w:pStyle w:val="TableParagraph"/>
              <w:spacing w:before="24"/>
              <w:ind w:right="152"/>
              <w:jc w:val="right"/>
              <w:rPr>
                <w:sz w:val="13"/>
              </w:rPr>
            </w:pPr>
            <w:r>
              <w:rPr>
                <w:w w:val="105"/>
                <w:sz w:val="13"/>
              </w:rPr>
              <w:t>4.108,37</w:t>
            </w:r>
          </w:p>
        </w:tc>
        <w:tc>
          <w:tcPr>
            <w:tcW w:w="1101" w:type="dxa"/>
          </w:tcPr>
          <w:p>
            <w:pPr>
              <w:pStyle w:val="TableParagraph"/>
              <w:spacing w:before="24"/>
              <w:ind w:right="226"/>
              <w:jc w:val="right"/>
              <w:rPr>
                <w:sz w:val="13"/>
              </w:rPr>
            </w:pPr>
            <w:r>
              <w:rPr>
                <w:w w:val="105"/>
                <w:sz w:val="13"/>
              </w:rPr>
              <w:t>9.399,34</w:t>
            </w:r>
          </w:p>
        </w:tc>
        <w:tc>
          <w:tcPr>
            <w:tcW w:w="1177" w:type="dxa"/>
            <w:tcBorders>
              <w:right w:val="single" w:sz="4" w:space="0" w:color="000000"/>
            </w:tcBorders>
          </w:tcPr>
          <w:p>
            <w:pPr>
              <w:pStyle w:val="TableParagraph"/>
              <w:spacing w:before="24"/>
              <w:ind w:left="376" w:right="344"/>
              <w:jc w:val="center"/>
              <w:rPr>
                <w:sz w:val="13"/>
              </w:rPr>
            </w:pPr>
            <w:r>
              <w:rPr>
                <w:w w:val="105"/>
                <w:sz w:val="13"/>
              </w:rPr>
              <w:t>88,5%</w:t>
            </w:r>
          </w:p>
        </w:tc>
      </w:tr>
      <w:tr>
        <w:trPr>
          <w:trHeight w:val="213" w:hRule="atLeast"/>
        </w:trPr>
        <w:tc>
          <w:tcPr>
            <w:tcW w:w="1191" w:type="dxa"/>
            <w:tcBorders>
              <w:left w:val="single" w:sz="4" w:space="0" w:color="000000"/>
              <w:right w:val="single" w:sz="4" w:space="0" w:color="000000"/>
            </w:tcBorders>
          </w:tcPr>
          <w:p>
            <w:pPr>
              <w:pStyle w:val="TableParagraph"/>
              <w:spacing w:before="23"/>
              <w:ind w:left="57"/>
              <w:rPr>
                <w:b/>
                <w:sz w:val="13"/>
              </w:rPr>
            </w:pPr>
            <w:r>
              <w:rPr>
                <w:b/>
                <w:w w:val="105"/>
                <w:sz w:val="13"/>
              </w:rPr>
              <w:t>ICHH</w:t>
            </w:r>
          </w:p>
        </w:tc>
        <w:tc>
          <w:tcPr>
            <w:tcW w:w="1129" w:type="dxa"/>
            <w:tcBorders>
              <w:left w:val="single" w:sz="4" w:space="0" w:color="000000"/>
            </w:tcBorders>
          </w:tcPr>
          <w:p>
            <w:pPr>
              <w:pStyle w:val="TableParagraph"/>
              <w:spacing w:before="23"/>
              <w:ind w:right="181"/>
              <w:jc w:val="right"/>
              <w:rPr>
                <w:sz w:val="13"/>
              </w:rPr>
            </w:pPr>
            <w:r>
              <w:rPr>
                <w:w w:val="105"/>
                <w:sz w:val="13"/>
              </w:rPr>
              <w:t>3.213,61</w:t>
            </w:r>
          </w:p>
        </w:tc>
        <w:tc>
          <w:tcPr>
            <w:tcW w:w="1312" w:type="dxa"/>
          </w:tcPr>
          <w:p>
            <w:pPr>
              <w:pStyle w:val="TableParagraph"/>
              <w:spacing w:before="23"/>
              <w:ind w:right="183"/>
              <w:jc w:val="right"/>
              <w:rPr>
                <w:sz w:val="13"/>
              </w:rPr>
            </w:pPr>
            <w:r>
              <w:rPr>
                <w:sz w:val="13"/>
              </w:rPr>
              <w:t>2.995,84</w:t>
            </w:r>
          </w:p>
        </w:tc>
        <w:tc>
          <w:tcPr>
            <w:tcW w:w="1260" w:type="dxa"/>
          </w:tcPr>
          <w:p>
            <w:pPr>
              <w:pStyle w:val="TableParagraph"/>
              <w:spacing w:before="23"/>
              <w:ind w:right="152"/>
              <w:jc w:val="right"/>
              <w:rPr>
                <w:sz w:val="13"/>
              </w:rPr>
            </w:pPr>
            <w:r>
              <w:rPr>
                <w:sz w:val="13"/>
              </w:rPr>
              <w:t>200,00</w:t>
            </w:r>
          </w:p>
        </w:tc>
        <w:tc>
          <w:tcPr>
            <w:tcW w:w="1101" w:type="dxa"/>
          </w:tcPr>
          <w:p>
            <w:pPr>
              <w:pStyle w:val="TableParagraph"/>
              <w:spacing w:before="23"/>
              <w:ind w:right="226"/>
              <w:jc w:val="right"/>
              <w:rPr>
                <w:sz w:val="13"/>
              </w:rPr>
            </w:pPr>
            <w:r>
              <w:rPr>
                <w:w w:val="105"/>
                <w:sz w:val="13"/>
              </w:rPr>
              <w:t>3.195,84</w:t>
            </w:r>
          </w:p>
        </w:tc>
        <w:tc>
          <w:tcPr>
            <w:tcW w:w="1177" w:type="dxa"/>
            <w:tcBorders>
              <w:right w:val="single" w:sz="4" w:space="0" w:color="000000"/>
            </w:tcBorders>
          </w:tcPr>
          <w:p>
            <w:pPr>
              <w:pStyle w:val="TableParagraph"/>
              <w:spacing w:before="23"/>
              <w:ind w:left="376" w:right="344"/>
              <w:jc w:val="center"/>
              <w:rPr>
                <w:sz w:val="13"/>
              </w:rPr>
            </w:pPr>
            <w:r>
              <w:rPr>
                <w:w w:val="105"/>
                <w:sz w:val="13"/>
              </w:rPr>
              <w:t>99,4%</w:t>
            </w:r>
          </w:p>
        </w:tc>
      </w:tr>
      <w:tr>
        <w:trPr>
          <w:trHeight w:val="225" w:hRule="atLeast"/>
        </w:trPr>
        <w:tc>
          <w:tcPr>
            <w:tcW w:w="1191" w:type="dxa"/>
            <w:tcBorders>
              <w:left w:val="single" w:sz="4" w:space="0" w:color="000000"/>
              <w:right w:val="single" w:sz="4" w:space="0" w:color="000000"/>
            </w:tcBorders>
            <w:shd w:val="clear" w:color="auto" w:fill="F1F1F1"/>
          </w:tcPr>
          <w:p>
            <w:pPr>
              <w:pStyle w:val="TableParagraph"/>
              <w:spacing w:before="35"/>
              <w:ind w:left="57"/>
              <w:rPr>
                <w:b/>
                <w:sz w:val="13"/>
              </w:rPr>
            </w:pPr>
            <w:r>
              <w:rPr>
                <w:b/>
                <w:w w:val="105"/>
                <w:sz w:val="13"/>
              </w:rPr>
              <w:t>SCS</w:t>
            </w:r>
          </w:p>
        </w:tc>
        <w:tc>
          <w:tcPr>
            <w:tcW w:w="1129" w:type="dxa"/>
            <w:tcBorders>
              <w:left w:val="single" w:sz="4" w:space="0" w:color="000000"/>
            </w:tcBorders>
            <w:shd w:val="clear" w:color="auto" w:fill="F1F1F1"/>
          </w:tcPr>
          <w:p>
            <w:pPr>
              <w:pStyle w:val="TableParagraph"/>
              <w:spacing w:before="35"/>
              <w:ind w:right="181"/>
              <w:jc w:val="right"/>
              <w:rPr>
                <w:b/>
                <w:sz w:val="13"/>
              </w:rPr>
            </w:pPr>
            <w:r>
              <w:rPr>
                <w:b/>
                <w:w w:val="105"/>
                <w:sz w:val="13"/>
              </w:rPr>
              <w:t>4.040.151,48</w:t>
            </w:r>
          </w:p>
        </w:tc>
        <w:tc>
          <w:tcPr>
            <w:tcW w:w="1312" w:type="dxa"/>
            <w:shd w:val="clear" w:color="auto" w:fill="F1F1F1"/>
          </w:tcPr>
          <w:p>
            <w:pPr>
              <w:pStyle w:val="TableParagraph"/>
              <w:spacing w:before="35"/>
              <w:ind w:right="183"/>
              <w:jc w:val="right"/>
              <w:rPr>
                <w:b/>
                <w:sz w:val="13"/>
              </w:rPr>
            </w:pPr>
            <w:r>
              <w:rPr>
                <w:b/>
                <w:w w:val="105"/>
                <w:sz w:val="13"/>
              </w:rPr>
              <w:t>3.563.010,63</w:t>
            </w:r>
          </w:p>
        </w:tc>
        <w:tc>
          <w:tcPr>
            <w:tcW w:w="1260" w:type="dxa"/>
            <w:shd w:val="clear" w:color="auto" w:fill="F1F1F1"/>
          </w:tcPr>
          <w:p>
            <w:pPr>
              <w:pStyle w:val="TableParagraph"/>
              <w:spacing w:before="35"/>
              <w:ind w:right="151"/>
              <w:jc w:val="right"/>
              <w:rPr>
                <w:b/>
                <w:sz w:val="13"/>
              </w:rPr>
            </w:pPr>
            <w:r>
              <w:rPr>
                <w:b/>
                <w:w w:val="105"/>
                <w:sz w:val="13"/>
              </w:rPr>
              <w:t>157.246,08</w:t>
            </w:r>
          </w:p>
        </w:tc>
        <w:tc>
          <w:tcPr>
            <w:tcW w:w="1101" w:type="dxa"/>
            <w:shd w:val="clear" w:color="auto" w:fill="F1F1F1"/>
          </w:tcPr>
          <w:p>
            <w:pPr>
              <w:pStyle w:val="TableParagraph"/>
              <w:spacing w:before="35"/>
              <w:ind w:right="224"/>
              <w:jc w:val="right"/>
              <w:rPr>
                <w:b/>
                <w:sz w:val="13"/>
              </w:rPr>
            </w:pPr>
            <w:r>
              <w:rPr>
                <w:b/>
                <w:w w:val="105"/>
                <w:sz w:val="13"/>
              </w:rPr>
              <w:t>3.720.256,71</w:t>
            </w:r>
          </w:p>
        </w:tc>
        <w:tc>
          <w:tcPr>
            <w:tcW w:w="1177" w:type="dxa"/>
            <w:tcBorders>
              <w:right w:val="single" w:sz="4" w:space="0" w:color="000000"/>
            </w:tcBorders>
            <w:shd w:val="clear" w:color="auto" w:fill="F1F1F1"/>
          </w:tcPr>
          <w:p>
            <w:pPr>
              <w:pStyle w:val="TableParagraph"/>
              <w:spacing w:before="35"/>
              <w:ind w:left="378" w:right="344"/>
              <w:jc w:val="center"/>
              <w:rPr>
                <w:b/>
                <w:sz w:val="13"/>
              </w:rPr>
            </w:pPr>
            <w:r>
              <w:rPr>
                <w:b/>
                <w:w w:val="105"/>
                <w:sz w:val="13"/>
              </w:rPr>
              <w:t>92,1%</w:t>
            </w:r>
          </w:p>
        </w:tc>
      </w:tr>
      <w:tr>
        <w:trPr>
          <w:trHeight w:val="238" w:hRule="atLeast"/>
        </w:trPr>
        <w:tc>
          <w:tcPr>
            <w:tcW w:w="1191" w:type="dxa"/>
            <w:tcBorders>
              <w:left w:val="single" w:sz="4" w:space="0" w:color="000000"/>
              <w:right w:val="single" w:sz="4" w:space="0" w:color="000000"/>
            </w:tcBorders>
          </w:tcPr>
          <w:p>
            <w:pPr>
              <w:pStyle w:val="TableParagraph"/>
              <w:spacing w:before="35"/>
              <w:ind w:left="57"/>
              <w:rPr>
                <w:b/>
                <w:sz w:val="13"/>
              </w:rPr>
            </w:pPr>
            <w:r>
              <w:rPr>
                <w:b/>
                <w:w w:val="105"/>
                <w:sz w:val="13"/>
              </w:rPr>
              <w:t>ACCUEE</w:t>
            </w:r>
          </w:p>
        </w:tc>
        <w:tc>
          <w:tcPr>
            <w:tcW w:w="1129" w:type="dxa"/>
            <w:tcBorders>
              <w:left w:val="single" w:sz="4" w:space="0" w:color="000000"/>
            </w:tcBorders>
          </w:tcPr>
          <w:p>
            <w:pPr>
              <w:pStyle w:val="TableParagraph"/>
              <w:spacing w:before="35"/>
              <w:ind w:right="181"/>
              <w:jc w:val="right"/>
              <w:rPr>
                <w:sz w:val="13"/>
              </w:rPr>
            </w:pPr>
            <w:r>
              <w:rPr>
                <w:w w:val="105"/>
                <w:sz w:val="13"/>
              </w:rPr>
              <w:t>1.365,36</w:t>
            </w:r>
          </w:p>
        </w:tc>
        <w:tc>
          <w:tcPr>
            <w:tcW w:w="1312" w:type="dxa"/>
          </w:tcPr>
          <w:p>
            <w:pPr>
              <w:pStyle w:val="TableParagraph"/>
              <w:spacing w:before="35"/>
              <w:ind w:right="183"/>
              <w:jc w:val="right"/>
              <w:rPr>
                <w:sz w:val="13"/>
              </w:rPr>
            </w:pPr>
            <w:r>
              <w:rPr>
                <w:sz w:val="13"/>
              </w:rPr>
              <w:t>1.339,07</w:t>
            </w:r>
          </w:p>
        </w:tc>
        <w:tc>
          <w:tcPr>
            <w:tcW w:w="1260" w:type="dxa"/>
          </w:tcPr>
          <w:p>
            <w:pPr>
              <w:pStyle w:val="TableParagraph"/>
              <w:spacing w:before="35"/>
              <w:ind w:right="152"/>
              <w:jc w:val="right"/>
              <w:rPr>
                <w:sz w:val="13"/>
              </w:rPr>
            </w:pPr>
            <w:r>
              <w:rPr>
                <w:sz w:val="13"/>
              </w:rPr>
              <w:t>34,50</w:t>
            </w:r>
          </w:p>
        </w:tc>
        <w:tc>
          <w:tcPr>
            <w:tcW w:w="1101" w:type="dxa"/>
          </w:tcPr>
          <w:p>
            <w:pPr>
              <w:pStyle w:val="TableParagraph"/>
              <w:spacing w:before="35"/>
              <w:ind w:right="226"/>
              <w:jc w:val="right"/>
              <w:rPr>
                <w:sz w:val="13"/>
              </w:rPr>
            </w:pPr>
            <w:r>
              <w:rPr>
                <w:w w:val="105"/>
                <w:sz w:val="13"/>
              </w:rPr>
              <w:t>1.373,57</w:t>
            </w:r>
          </w:p>
        </w:tc>
        <w:tc>
          <w:tcPr>
            <w:tcW w:w="1177" w:type="dxa"/>
            <w:tcBorders>
              <w:right w:val="single" w:sz="4" w:space="0" w:color="000000"/>
            </w:tcBorders>
          </w:tcPr>
          <w:p>
            <w:pPr>
              <w:pStyle w:val="TableParagraph"/>
              <w:spacing w:before="35"/>
              <w:ind w:left="378" w:right="344"/>
              <w:jc w:val="center"/>
              <w:rPr>
                <w:sz w:val="13"/>
              </w:rPr>
            </w:pPr>
            <w:r>
              <w:rPr>
                <w:w w:val="105"/>
                <w:sz w:val="13"/>
              </w:rPr>
              <w:t>100,6%</w:t>
            </w:r>
          </w:p>
        </w:tc>
      </w:tr>
      <w:tr>
        <w:trPr>
          <w:trHeight w:val="225" w:hRule="atLeast"/>
        </w:trPr>
        <w:tc>
          <w:tcPr>
            <w:tcW w:w="1191" w:type="dxa"/>
            <w:tcBorders>
              <w:left w:val="single" w:sz="4" w:space="0" w:color="000000"/>
              <w:right w:val="single" w:sz="4" w:space="0" w:color="000000"/>
            </w:tcBorders>
          </w:tcPr>
          <w:p>
            <w:pPr>
              <w:pStyle w:val="TableParagraph"/>
              <w:spacing w:before="23"/>
              <w:ind w:left="57"/>
              <w:rPr>
                <w:b/>
                <w:sz w:val="13"/>
              </w:rPr>
            </w:pPr>
            <w:r>
              <w:rPr>
                <w:b/>
                <w:w w:val="105"/>
                <w:sz w:val="13"/>
              </w:rPr>
              <w:t>ICAVI</w:t>
            </w:r>
          </w:p>
        </w:tc>
        <w:tc>
          <w:tcPr>
            <w:tcW w:w="1129" w:type="dxa"/>
            <w:tcBorders>
              <w:left w:val="single" w:sz="4" w:space="0" w:color="000000"/>
            </w:tcBorders>
          </w:tcPr>
          <w:p>
            <w:pPr>
              <w:pStyle w:val="TableParagraph"/>
              <w:spacing w:before="23"/>
              <w:ind w:right="181"/>
              <w:jc w:val="right"/>
              <w:rPr>
                <w:sz w:val="13"/>
              </w:rPr>
            </w:pPr>
            <w:r>
              <w:rPr>
                <w:w w:val="105"/>
                <w:sz w:val="13"/>
              </w:rPr>
              <w:t>196.202,31</w:t>
            </w:r>
          </w:p>
        </w:tc>
        <w:tc>
          <w:tcPr>
            <w:tcW w:w="1312" w:type="dxa"/>
          </w:tcPr>
          <w:p>
            <w:pPr>
              <w:pStyle w:val="TableParagraph"/>
              <w:spacing w:before="23"/>
              <w:ind w:right="183"/>
              <w:jc w:val="right"/>
              <w:rPr>
                <w:sz w:val="13"/>
              </w:rPr>
            </w:pPr>
            <w:r>
              <w:rPr>
                <w:sz w:val="13"/>
              </w:rPr>
              <w:t>29.637,18</w:t>
            </w:r>
          </w:p>
        </w:tc>
        <w:tc>
          <w:tcPr>
            <w:tcW w:w="1260" w:type="dxa"/>
          </w:tcPr>
          <w:p>
            <w:pPr>
              <w:pStyle w:val="TableParagraph"/>
              <w:spacing w:before="23"/>
              <w:ind w:right="152"/>
              <w:jc w:val="right"/>
              <w:rPr>
                <w:sz w:val="13"/>
              </w:rPr>
            </w:pPr>
            <w:r>
              <w:rPr>
                <w:w w:val="105"/>
                <w:sz w:val="13"/>
              </w:rPr>
              <w:t>82.745,68</w:t>
            </w:r>
          </w:p>
        </w:tc>
        <w:tc>
          <w:tcPr>
            <w:tcW w:w="1101" w:type="dxa"/>
          </w:tcPr>
          <w:p>
            <w:pPr>
              <w:pStyle w:val="TableParagraph"/>
              <w:spacing w:before="23"/>
              <w:ind w:right="226"/>
              <w:jc w:val="right"/>
              <w:rPr>
                <w:sz w:val="13"/>
              </w:rPr>
            </w:pPr>
            <w:r>
              <w:rPr>
                <w:w w:val="105"/>
                <w:sz w:val="13"/>
              </w:rPr>
              <w:t>112.382,86</w:t>
            </w:r>
          </w:p>
        </w:tc>
        <w:tc>
          <w:tcPr>
            <w:tcW w:w="1177" w:type="dxa"/>
            <w:tcBorders>
              <w:right w:val="single" w:sz="4" w:space="0" w:color="000000"/>
            </w:tcBorders>
          </w:tcPr>
          <w:p>
            <w:pPr>
              <w:pStyle w:val="TableParagraph"/>
              <w:spacing w:before="23"/>
              <w:ind w:left="376" w:right="344"/>
              <w:jc w:val="center"/>
              <w:rPr>
                <w:sz w:val="13"/>
              </w:rPr>
            </w:pPr>
            <w:r>
              <w:rPr>
                <w:w w:val="105"/>
                <w:sz w:val="13"/>
              </w:rPr>
              <w:t>57,3%</w:t>
            </w:r>
          </w:p>
        </w:tc>
      </w:tr>
      <w:tr>
        <w:trPr>
          <w:trHeight w:val="225" w:hRule="atLeast"/>
        </w:trPr>
        <w:tc>
          <w:tcPr>
            <w:tcW w:w="1191" w:type="dxa"/>
            <w:tcBorders>
              <w:left w:val="single" w:sz="4" w:space="0" w:color="000000"/>
              <w:right w:val="single" w:sz="4" w:space="0" w:color="000000"/>
            </w:tcBorders>
          </w:tcPr>
          <w:p>
            <w:pPr>
              <w:pStyle w:val="TableParagraph"/>
              <w:spacing w:before="23"/>
              <w:ind w:left="57"/>
              <w:rPr>
                <w:b/>
                <w:sz w:val="13"/>
              </w:rPr>
            </w:pPr>
            <w:r>
              <w:rPr>
                <w:b/>
                <w:w w:val="105"/>
                <w:sz w:val="13"/>
              </w:rPr>
              <w:t>ICCA</w:t>
            </w:r>
          </w:p>
        </w:tc>
        <w:tc>
          <w:tcPr>
            <w:tcW w:w="1129" w:type="dxa"/>
            <w:tcBorders>
              <w:left w:val="single" w:sz="4" w:space="0" w:color="000000"/>
            </w:tcBorders>
          </w:tcPr>
          <w:p>
            <w:pPr>
              <w:pStyle w:val="TableParagraph"/>
              <w:spacing w:before="23"/>
              <w:ind w:right="181"/>
              <w:jc w:val="right"/>
              <w:rPr>
                <w:sz w:val="13"/>
              </w:rPr>
            </w:pPr>
            <w:r>
              <w:rPr>
                <w:w w:val="105"/>
                <w:sz w:val="13"/>
              </w:rPr>
              <w:t>7.202,55</w:t>
            </w:r>
          </w:p>
        </w:tc>
        <w:tc>
          <w:tcPr>
            <w:tcW w:w="1312" w:type="dxa"/>
          </w:tcPr>
          <w:p>
            <w:pPr>
              <w:pStyle w:val="TableParagraph"/>
              <w:spacing w:before="23"/>
              <w:ind w:right="183"/>
              <w:jc w:val="right"/>
              <w:rPr>
                <w:sz w:val="13"/>
              </w:rPr>
            </w:pPr>
            <w:r>
              <w:rPr>
                <w:sz w:val="13"/>
              </w:rPr>
              <w:t>3.955,43</w:t>
            </w:r>
          </w:p>
        </w:tc>
        <w:tc>
          <w:tcPr>
            <w:tcW w:w="1260" w:type="dxa"/>
          </w:tcPr>
          <w:p>
            <w:pPr>
              <w:pStyle w:val="TableParagraph"/>
              <w:spacing w:before="23"/>
              <w:ind w:right="152"/>
              <w:jc w:val="right"/>
              <w:rPr>
                <w:sz w:val="13"/>
              </w:rPr>
            </w:pPr>
            <w:r>
              <w:rPr>
                <w:w w:val="105"/>
                <w:sz w:val="13"/>
              </w:rPr>
              <w:t>3.130,53</w:t>
            </w:r>
          </w:p>
        </w:tc>
        <w:tc>
          <w:tcPr>
            <w:tcW w:w="1101" w:type="dxa"/>
          </w:tcPr>
          <w:p>
            <w:pPr>
              <w:pStyle w:val="TableParagraph"/>
              <w:spacing w:before="23"/>
              <w:ind w:right="226"/>
              <w:jc w:val="right"/>
              <w:rPr>
                <w:sz w:val="13"/>
              </w:rPr>
            </w:pPr>
            <w:r>
              <w:rPr>
                <w:w w:val="105"/>
                <w:sz w:val="13"/>
              </w:rPr>
              <w:t>7.085,96</w:t>
            </w:r>
          </w:p>
        </w:tc>
        <w:tc>
          <w:tcPr>
            <w:tcW w:w="1177" w:type="dxa"/>
            <w:tcBorders>
              <w:right w:val="single" w:sz="4" w:space="0" w:color="000000"/>
            </w:tcBorders>
          </w:tcPr>
          <w:p>
            <w:pPr>
              <w:pStyle w:val="TableParagraph"/>
              <w:spacing w:before="23"/>
              <w:ind w:left="376" w:right="344"/>
              <w:jc w:val="center"/>
              <w:rPr>
                <w:sz w:val="13"/>
              </w:rPr>
            </w:pPr>
            <w:r>
              <w:rPr>
                <w:w w:val="105"/>
                <w:sz w:val="13"/>
              </w:rPr>
              <w:t>98,4%</w:t>
            </w:r>
          </w:p>
        </w:tc>
      </w:tr>
      <w:tr>
        <w:trPr>
          <w:trHeight w:val="225" w:hRule="atLeast"/>
        </w:trPr>
        <w:tc>
          <w:tcPr>
            <w:tcW w:w="1191" w:type="dxa"/>
            <w:tcBorders>
              <w:left w:val="single" w:sz="4" w:space="0" w:color="000000"/>
              <w:right w:val="single" w:sz="4" w:space="0" w:color="000000"/>
            </w:tcBorders>
          </w:tcPr>
          <w:p>
            <w:pPr>
              <w:pStyle w:val="TableParagraph"/>
              <w:spacing w:before="23"/>
              <w:ind w:left="57"/>
              <w:rPr>
                <w:b/>
                <w:sz w:val="13"/>
              </w:rPr>
            </w:pPr>
            <w:r>
              <w:rPr>
                <w:b/>
                <w:w w:val="105"/>
                <w:sz w:val="13"/>
              </w:rPr>
              <w:t>APMN</w:t>
            </w:r>
          </w:p>
        </w:tc>
        <w:tc>
          <w:tcPr>
            <w:tcW w:w="1129" w:type="dxa"/>
            <w:tcBorders>
              <w:left w:val="single" w:sz="4" w:space="0" w:color="000000"/>
            </w:tcBorders>
          </w:tcPr>
          <w:p>
            <w:pPr>
              <w:pStyle w:val="TableParagraph"/>
              <w:spacing w:before="23"/>
              <w:ind w:right="179"/>
              <w:jc w:val="right"/>
              <w:rPr>
                <w:sz w:val="13"/>
              </w:rPr>
            </w:pPr>
            <w:r>
              <w:rPr>
                <w:w w:val="105"/>
                <w:sz w:val="13"/>
              </w:rPr>
              <w:t>14.058,46</w:t>
            </w:r>
          </w:p>
        </w:tc>
        <w:tc>
          <w:tcPr>
            <w:tcW w:w="1312" w:type="dxa"/>
          </w:tcPr>
          <w:p>
            <w:pPr>
              <w:pStyle w:val="TableParagraph"/>
              <w:spacing w:before="23"/>
              <w:ind w:right="181"/>
              <w:jc w:val="right"/>
              <w:rPr>
                <w:sz w:val="13"/>
              </w:rPr>
            </w:pPr>
            <w:r>
              <w:rPr>
                <w:w w:val="105"/>
                <w:sz w:val="13"/>
              </w:rPr>
              <w:t>5.888,70</w:t>
            </w:r>
          </w:p>
        </w:tc>
        <w:tc>
          <w:tcPr>
            <w:tcW w:w="1260" w:type="dxa"/>
          </w:tcPr>
          <w:p>
            <w:pPr>
              <w:pStyle w:val="TableParagraph"/>
              <w:spacing w:before="23"/>
              <w:ind w:right="150"/>
              <w:jc w:val="right"/>
              <w:rPr>
                <w:sz w:val="13"/>
              </w:rPr>
            </w:pPr>
            <w:r>
              <w:rPr>
                <w:w w:val="105"/>
                <w:sz w:val="13"/>
              </w:rPr>
              <w:t>3.673,31</w:t>
            </w:r>
          </w:p>
        </w:tc>
        <w:tc>
          <w:tcPr>
            <w:tcW w:w="1101" w:type="dxa"/>
          </w:tcPr>
          <w:p>
            <w:pPr>
              <w:pStyle w:val="TableParagraph"/>
              <w:spacing w:before="23"/>
              <w:ind w:right="226"/>
              <w:jc w:val="right"/>
              <w:rPr>
                <w:sz w:val="13"/>
              </w:rPr>
            </w:pPr>
            <w:r>
              <w:rPr>
                <w:w w:val="105"/>
                <w:sz w:val="13"/>
              </w:rPr>
              <w:t>9.562,01</w:t>
            </w:r>
          </w:p>
        </w:tc>
        <w:tc>
          <w:tcPr>
            <w:tcW w:w="1177" w:type="dxa"/>
            <w:tcBorders>
              <w:right w:val="single" w:sz="4" w:space="0" w:color="000000"/>
            </w:tcBorders>
          </w:tcPr>
          <w:p>
            <w:pPr>
              <w:pStyle w:val="TableParagraph"/>
              <w:spacing w:before="23"/>
              <w:ind w:left="376" w:right="344"/>
              <w:jc w:val="center"/>
              <w:rPr>
                <w:sz w:val="13"/>
              </w:rPr>
            </w:pPr>
            <w:r>
              <w:rPr>
                <w:w w:val="105"/>
                <w:sz w:val="13"/>
              </w:rPr>
              <w:t>68,0%</w:t>
            </w:r>
          </w:p>
        </w:tc>
      </w:tr>
      <w:tr>
        <w:trPr>
          <w:trHeight w:val="225" w:hRule="atLeast"/>
        </w:trPr>
        <w:tc>
          <w:tcPr>
            <w:tcW w:w="1191" w:type="dxa"/>
            <w:tcBorders>
              <w:left w:val="single" w:sz="4" w:space="0" w:color="000000"/>
              <w:right w:val="single" w:sz="4" w:space="0" w:color="000000"/>
            </w:tcBorders>
          </w:tcPr>
          <w:p>
            <w:pPr>
              <w:pStyle w:val="TableParagraph"/>
              <w:spacing w:before="23"/>
              <w:ind w:left="57"/>
              <w:rPr>
                <w:b/>
                <w:sz w:val="13"/>
              </w:rPr>
            </w:pPr>
            <w:r>
              <w:rPr>
                <w:b/>
                <w:w w:val="105"/>
                <w:sz w:val="13"/>
              </w:rPr>
              <w:t>CES</w:t>
            </w:r>
          </w:p>
        </w:tc>
        <w:tc>
          <w:tcPr>
            <w:tcW w:w="1129" w:type="dxa"/>
            <w:tcBorders>
              <w:left w:val="single" w:sz="4" w:space="0" w:color="000000"/>
            </w:tcBorders>
          </w:tcPr>
          <w:p>
            <w:pPr>
              <w:pStyle w:val="TableParagraph"/>
              <w:spacing w:before="23"/>
              <w:ind w:right="179"/>
              <w:jc w:val="right"/>
              <w:rPr>
                <w:sz w:val="13"/>
              </w:rPr>
            </w:pPr>
            <w:r>
              <w:rPr>
                <w:sz w:val="13"/>
              </w:rPr>
              <w:t>883,63</w:t>
            </w:r>
          </w:p>
        </w:tc>
        <w:tc>
          <w:tcPr>
            <w:tcW w:w="1312" w:type="dxa"/>
          </w:tcPr>
          <w:p>
            <w:pPr>
              <w:pStyle w:val="TableParagraph"/>
              <w:spacing w:before="23"/>
              <w:ind w:right="181"/>
              <w:jc w:val="right"/>
              <w:rPr>
                <w:sz w:val="13"/>
              </w:rPr>
            </w:pPr>
            <w:r>
              <w:rPr>
                <w:sz w:val="13"/>
              </w:rPr>
              <w:t>801,97</w:t>
            </w:r>
          </w:p>
        </w:tc>
        <w:tc>
          <w:tcPr>
            <w:tcW w:w="1260" w:type="dxa"/>
          </w:tcPr>
          <w:p>
            <w:pPr>
              <w:pStyle w:val="TableParagraph"/>
              <w:spacing w:before="23"/>
              <w:ind w:right="150"/>
              <w:jc w:val="right"/>
              <w:rPr>
                <w:sz w:val="13"/>
              </w:rPr>
            </w:pPr>
            <w:r>
              <w:rPr>
                <w:sz w:val="13"/>
              </w:rPr>
              <w:t>75,06</w:t>
            </w:r>
          </w:p>
        </w:tc>
        <w:tc>
          <w:tcPr>
            <w:tcW w:w="1101" w:type="dxa"/>
          </w:tcPr>
          <w:p>
            <w:pPr>
              <w:pStyle w:val="TableParagraph"/>
              <w:spacing w:before="23"/>
              <w:ind w:right="226"/>
              <w:jc w:val="right"/>
              <w:rPr>
                <w:sz w:val="13"/>
              </w:rPr>
            </w:pPr>
            <w:r>
              <w:rPr>
                <w:sz w:val="13"/>
              </w:rPr>
              <w:t>877,03</w:t>
            </w:r>
          </w:p>
        </w:tc>
        <w:tc>
          <w:tcPr>
            <w:tcW w:w="1177" w:type="dxa"/>
            <w:tcBorders>
              <w:right w:val="single" w:sz="4" w:space="0" w:color="000000"/>
            </w:tcBorders>
          </w:tcPr>
          <w:p>
            <w:pPr>
              <w:pStyle w:val="TableParagraph"/>
              <w:spacing w:before="23"/>
              <w:ind w:left="376" w:right="344"/>
              <w:jc w:val="center"/>
              <w:rPr>
                <w:sz w:val="13"/>
              </w:rPr>
            </w:pPr>
            <w:r>
              <w:rPr>
                <w:w w:val="105"/>
                <w:sz w:val="13"/>
              </w:rPr>
              <w:t>99,3%</w:t>
            </w:r>
          </w:p>
        </w:tc>
      </w:tr>
      <w:tr>
        <w:trPr>
          <w:trHeight w:val="225" w:hRule="atLeast"/>
        </w:trPr>
        <w:tc>
          <w:tcPr>
            <w:tcW w:w="1191" w:type="dxa"/>
            <w:tcBorders>
              <w:left w:val="single" w:sz="4" w:space="0" w:color="000000"/>
              <w:right w:val="single" w:sz="4" w:space="0" w:color="000000"/>
            </w:tcBorders>
          </w:tcPr>
          <w:p>
            <w:pPr>
              <w:pStyle w:val="TableParagraph"/>
              <w:spacing w:before="23"/>
              <w:ind w:left="57"/>
              <w:rPr>
                <w:b/>
                <w:sz w:val="13"/>
              </w:rPr>
            </w:pPr>
            <w:r>
              <w:rPr>
                <w:b/>
                <w:w w:val="105"/>
                <w:sz w:val="13"/>
              </w:rPr>
              <w:t>RTVC</w:t>
            </w:r>
          </w:p>
        </w:tc>
        <w:tc>
          <w:tcPr>
            <w:tcW w:w="1129" w:type="dxa"/>
            <w:tcBorders>
              <w:left w:val="single" w:sz="4" w:space="0" w:color="000000"/>
            </w:tcBorders>
          </w:tcPr>
          <w:p>
            <w:pPr>
              <w:pStyle w:val="TableParagraph"/>
              <w:spacing w:before="23"/>
              <w:ind w:right="179"/>
              <w:jc w:val="right"/>
              <w:rPr>
                <w:sz w:val="13"/>
              </w:rPr>
            </w:pPr>
            <w:r>
              <w:rPr>
                <w:w w:val="105"/>
                <w:sz w:val="13"/>
              </w:rPr>
              <w:t>70.595,31</w:t>
            </w:r>
          </w:p>
        </w:tc>
        <w:tc>
          <w:tcPr>
            <w:tcW w:w="1312" w:type="dxa"/>
          </w:tcPr>
          <w:p>
            <w:pPr>
              <w:pStyle w:val="TableParagraph"/>
              <w:spacing w:before="23"/>
              <w:ind w:right="181"/>
              <w:jc w:val="right"/>
              <w:rPr>
                <w:sz w:val="13"/>
              </w:rPr>
            </w:pPr>
            <w:r>
              <w:rPr>
                <w:w w:val="105"/>
                <w:sz w:val="13"/>
              </w:rPr>
              <w:t>66.201,17</w:t>
            </w:r>
          </w:p>
        </w:tc>
        <w:tc>
          <w:tcPr>
            <w:tcW w:w="1260" w:type="dxa"/>
          </w:tcPr>
          <w:p>
            <w:pPr>
              <w:pStyle w:val="TableParagraph"/>
              <w:spacing w:before="23"/>
              <w:ind w:right="150"/>
              <w:jc w:val="right"/>
              <w:rPr>
                <w:sz w:val="13"/>
              </w:rPr>
            </w:pPr>
            <w:r>
              <w:rPr>
                <w:w w:val="105"/>
                <w:sz w:val="13"/>
              </w:rPr>
              <w:t>4.329,12</w:t>
            </w:r>
          </w:p>
        </w:tc>
        <w:tc>
          <w:tcPr>
            <w:tcW w:w="1101" w:type="dxa"/>
          </w:tcPr>
          <w:p>
            <w:pPr>
              <w:pStyle w:val="TableParagraph"/>
              <w:spacing w:before="23"/>
              <w:ind w:right="226"/>
              <w:jc w:val="right"/>
              <w:rPr>
                <w:sz w:val="13"/>
              </w:rPr>
            </w:pPr>
            <w:r>
              <w:rPr>
                <w:w w:val="105"/>
                <w:sz w:val="13"/>
              </w:rPr>
              <w:t>70.530,29</w:t>
            </w:r>
          </w:p>
        </w:tc>
        <w:tc>
          <w:tcPr>
            <w:tcW w:w="1177" w:type="dxa"/>
            <w:tcBorders>
              <w:right w:val="single" w:sz="4" w:space="0" w:color="000000"/>
            </w:tcBorders>
          </w:tcPr>
          <w:p>
            <w:pPr>
              <w:pStyle w:val="TableParagraph"/>
              <w:spacing w:before="23"/>
              <w:ind w:left="376" w:right="344"/>
              <w:jc w:val="center"/>
              <w:rPr>
                <w:sz w:val="13"/>
              </w:rPr>
            </w:pPr>
            <w:r>
              <w:rPr>
                <w:w w:val="105"/>
                <w:sz w:val="13"/>
              </w:rPr>
              <w:t>99,9%</w:t>
            </w:r>
          </w:p>
        </w:tc>
      </w:tr>
      <w:tr>
        <w:trPr>
          <w:trHeight w:val="214" w:hRule="atLeast"/>
        </w:trPr>
        <w:tc>
          <w:tcPr>
            <w:tcW w:w="1191" w:type="dxa"/>
            <w:tcBorders>
              <w:left w:val="single" w:sz="4" w:space="0" w:color="000000"/>
              <w:bottom w:val="single" w:sz="4" w:space="0" w:color="000000"/>
              <w:right w:val="single" w:sz="4" w:space="0" w:color="000000"/>
            </w:tcBorders>
          </w:tcPr>
          <w:p>
            <w:pPr>
              <w:pStyle w:val="TableParagraph"/>
              <w:spacing w:before="23"/>
              <w:ind w:left="57"/>
              <w:rPr>
                <w:b/>
                <w:sz w:val="13"/>
              </w:rPr>
            </w:pPr>
            <w:r>
              <w:rPr>
                <w:b/>
                <w:w w:val="105"/>
                <w:sz w:val="13"/>
              </w:rPr>
              <w:t>ATC</w:t>
            </w:r>
          </w:p>
        </w:tc>
        <w:tc>
          <w:tcPr>
            <w:tcW w:w="1129" w:type="dxa"/>
            <w:tcBorders>
              <w:left w:val="single" w:sz="4" w:space="0" w:color="000000"/>
              <w:bottom w:val="single" w:sz="4" w:space="0" w:color="000000"/>
            </w:tcBorders>
          </w:tcPr>
          <w:p>
            <w:pPr>
              <w:pStyle w:val="TableParagraph"/>
              <w:spacing w:before="23"/>
              <w:ind w:right="179"/>
              <w:jc w:val="right"/>
              <w:rPr>
                <w:sz w:val="13"/>
              </w:rPr>
            </w:pPr>
            <w:r>
              <w:rPr>
                <w:w w:val="105"/>
                <w:sz w:val="13"/>
              </w:rPr>
              <w:t>54.755,44</w:t>
            </w:r>
          </w:p>
        </w:tc>
        <w:tc>
          <w:tcPr>
            <w:tcW w:w="1312" w:type="dxa"/>
            <w:tcBorders>
              <w:bottom w:val="single" w:sz="4" w:space="0" w:color="000000"/>
            </w:tcBorders>
          </w:tcPr>
          <w:p>
            <w:pPr>
              <w:pStyle w:val="TableParagraph"/>
              <w:spacing w:before="23"/>
              <w:ind w:right="181"/>
              <w:jc w:val="right"/>
              <w:rPr>
                <w:sz w:val="13"/>
              </w:rPr>
            </w:pPr>
            <w:r>
              <w:rPr>
                <w:w w:val="105"/>
                <w:sz w:val="13"/>
              </w:rPr>
              <w:t>37.092,88</w:t>
            </w:r>
          </w:p>
        </w:tc>
        <w:tc>
          <w:tcPr>
            <w:tcW w:w="1260" w:type="dxa"/>
            <w:tcBorders>
              <w:bottom w:val="single" w:sz="4" w:space="0" w:color="000000"/>
            </w:tcBorders>
          </w:tcPr>
          <w:p>
            <w:pPr>
              <w:pStyle w:val="TableParagraph"/>
              <w:spacing w:before="23"/>
              <w:ind w:right="150"/>
              <w:jc w:val="right"/>
              <w:rPr>
                <w:sz w:val="13"/>
              </w:rPr>
            </w:pPr>
            <w:r>
              <w:rPr>
                <w:w w:val="105"/>
                <w:sz w:val="13"/>
              </w:rPr>
              <w:t>17.121,41</w:t>
            </w:r>
          </w:p>
        </w:tc>
        <w:tc>
          <w:tcPr>
            <w:tcW w:w="1101" w:type="dxa"/>
            <w:tcBorders>
              <w:bottom w:val="single" w:sz="4" w:space="0" w:color="000000"/>
            </w:tcBorders>
          </w:tcPr>
          <w:p>
            <w:pPr>
              <w:pStyle w:val="TableParagraph"/>
              <w:spacing w:before="23"/>
              <w:ind w:right="226"/>
              <w:jc w:val="right"/>
              <w:rPr>
                <w:sz w:val="13"/>
              </w:rPr>
            </w:pPr>
            <w:r>
              <w:rPr>
                <w:w w:val="105"/>
                <w:sz w:val="13"/>
              </w:rPr>
              <w:t>54.214,28</w:t>
            </w:r>
          </w:p>
        </w:tc>
        <w:tc>
          <w:tcPr>
            <w:tcW w:w="1177" w:type="dxa"/>
            <w:tcBorders>
              <w:bottom w:val="single" w:sz="4" w:space="0" w:color="000000"/>
              <w:right w:val="single" w:sz="4" w:space="0" w:color="000000"/>
            </w:tcBorders>
          </w:tcPr>
          <w:p>
            <w:pPr>
              <w:pStyle w:val="TableParagraph"/>
              <w:spacing w:before="23"/>
              <w:ind w:left="376" w:right="344"/>
              <w:jc w:val="center"/>
              <w:rPr>
                <w:sz w:val="13"/>
              </w:rPr>
            </w:pPr>
            <w:r>
              <w:rPr>
                <w:w w:val="105"/>
                <w:sz w:val="13"/>
              </w:rPr>
              <w:t>99,0%</w:t>
            </w:r>
          </w:p>
        </w:tc>
      </w:tr>
      <w:tr>
        <w:trPr>
          <w:trHeight w:val="334" w:hRule="atLeast"/>
        </w:trPr>
        <w:tc>
          <w:tcPr>
            <w:tcW w:w="1191"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89"/>
              <w:ind w:left="77"/>
              <w:rPr>
                <w:b/>
                <w:sz w:val="13"/>
              </w:rPr>
            </w:pPr>
            <w:r>
              <w:rPr>
                <w:b/>
                <w:w w:val="105"/>
                <w:sz w:val="13"/>
              </w:rPr>
              <w:t>TOTAL (</w:t>
            </w:r>
            <w:r>
              <w:rPr>
                <w:w w:val="105"/>
                <w:sz w:val="13"/>
              </w:rPr>
              <w:t>miles de €</w:t>
            </w:r>
            <w:r>
              <w:rPr>
                <w:b/>
                <w:w w:val="105"/>
                <w:sz w:val="13"/>
              </w:rPr>
              <w:t>)</w:t>
            </w:r>
          </w:p>
        </w:tc>
        <w:tc>
          <w:tcPr>
            <w:tcW w:w="1129" w:type="dxa"/>
            <w:tcBorders>
              <w:top w:val="single" w:sz="4" w:space="0" w:color="000000"/>
              <w:left w:val="single" w:sz="4" w:space="0" w:color="000000"/>
              <w:bottom w:val="single" w:sz="4" w:space="0" w:color="000000"/>
            </w:tcBorders>
            <w:shd w:val="clear" w:color="auto" w:fill="D9D9D9"/>
          </w:tcPr>
          <w:p>
            <w:pPr>
              <w:pStyle w:val="TableParagraph"/>
              <w:spacing w:before="89"/>
              <w:ind w:right="181"/>
              <w:jc w:val="right"/>
              <w:rPr>
                <w:b/>
                <w:sz w:val="13"/>
              </w:rPr>
            </w:pPr>
            <w:r>
              <w:rPr>
                <w:b/>
                <w:w w:val="105"/>
                <w:sz w:val="13"/>
              </w:rPr>
              <w:t>4.782.919,21</w:t>
            </w:r>
          </w:p>
        </w:tc>
        <w:tc>
          <w:tcPr>
            <w:tcW w:w="1312" w:type="dxa"/>
            <w:tcBorders>
              <w:top w:val="single" w:sz="4" w:space="0" w:color="000000"/>
              <w:bottom w:val="single" w:sz="4" w:space="0" w:color="000000"/>
            </w:tcBorders>
            <w:shd w:val="clear" w:color="auto" w:fill="D9D9D9"/>
          </w:tcPr>
          <w:p>
            <w:pPr>
              <w:pStyle w:val="TableParagraph"/>
              <w:spacing w:before="89"/>
              <w:ind w:right="183"/>
              <w:jc w:val="right"/>
              <w:rPr>
                <w:b/>
                <w:sz w:val="13"/>
              </w:rPr>
            </w:pPr>
            <w:r>
              <w:rPr>
                <w:b/>
                <w:w w:val="105"/>
                <w:sz w:val="13"/>
              </w:rPr>
              <w:t>3.801.048,06</w:t>
            </w:r>
          </w:p>
        </w:tc>
        <w:tc>
          <w:tcPr>
            <w:tcW w:w="1260" w:type="dxa"/>
            <w:tcBorders>
              <w:top w:val="single" w:sz="4" w:space="0" w:color="000000"/>
              <w:bottom w:val="single" w:sz="4" w:space="0" w:color="000000"/>
            </w:tcBorders>
            <w:shd w:val="clear" w:color="auto" w:fill="D9D9D9"/>
          </w:tcPr>
          <w:p>
            <w:pPr>
              <w:pStyle w:val="TableParagraph"/>
              <w:spacing w:before="89"/>
              <w:ind w:right="151"/>
              <w:jc w:val="right"/>
              <w:rPr>
                <w:b/>
                <w:sz w:val="13"/>
              </w:rPr>
            </w:pPr>
            <w:r>
              <w:rPr>
                <w:b/>
                <w:w w:val="105"/>
                <w:sz w:val="13"/>
              </w:rPr>
              <w:t>284.647,66</w:t>
            </w:r>
          </w:p>
        </w:tc>
        <w:tc>
          <w:tcPr>
            <w:tcW w:w="1101" w:type="dxa"/>
            <w:tcBorders>
              <w:top w:val="single" w:sz="4" w:space="0" w:color="000000"/>
              <w:bottom w:val="single" w:sz="4" w:space="0" w:color="000000"/>
            </w:tcBorders>
            <w:shd w:val="clear" w:color="auto" w:fill="D9D9D9"/>
          </w:tcPr>
          <w:p>
            <w:pPr>
              <w:pStyle w:val="TableParagraph"/>
              <w:spacing w:before="89"/>
              <w:ind w:right="224"/>
              <w:jc w:val="right"/>
              <w:rPr>
                <w:b/>
                <w:sz w:val="13"/>
              </w:rPr>
            </w:pPr>
            <w:r>
              <w:rPr>
                <w:b/>
                <w:w w:val="105"/>
                <w:sz w:val="13"/>
              </w:rPr>
              <w:t>4.085.695,72</w:t>
            </w:r>
          </w:p>
        </w:tc>
        <w:tc>
          <w:tcPr>
            <w:tcW w:w="1177" w:type="dxa"/>
            <w:tcBorders>
              <w:top w:val="single" w:sz="4" w:space="0" w:color="000000"/>
              <w:bottom w:val="single" w:sz="4" w:space="0" w:color="000000"/>
              <w:right w:val="single" w:sz="4" w:space="0" w:color="000000"/>
            </w:tcBorders>
            <w:shd w:val="clear" w:color="auto" w:fill="D9D9D9"/>
          </w:tcPr>
          <w:p>
            <w:pPr>
              <w:pStyle w:val="TableParagraph"/>
              <w:spacing w:before="89"/>
              <w:ind w:left="346" w:right="344"/>
              <w:jc w:val="center"/>
              <w:rPr>
                <w:b/>
                <w:sz w:val="13"/>
              </w:rPr>
            </w:pPr>
            <w:r>
              <w:rPr>
                <w:b/>
                <w:w w:val="105"/>
                <w:sz w:val="13"/>
              </w:rPr>
              <w:t>85,4%</w:t>
            </w:r>
          </w:p>
        </w:tc>
      </w:tr>
    </w:tbl>
    <w:p>
      <w:pPr>
        <w:pStyle w:val="BodyText"/>
        <w:spacing w:before="7"/>
        <w:rPr>
          <w:sz w:val="16"/>
        </w:rPr>
      </w:pPr>
    </w:p>
    <w:p>
      <w:pPr>
        <w:pStyle w:val="ListParagraph"/>
        <w:numPr>
          <w:ilvl w:val="0"/>
          <w:numId w:val="36"/>
        </w:numPr>
        <w:tabs>
          <w:tab w:pos="2335" w:val="left" w:leader="none"/>
        </w:tabs>
        <w:spacing w:line="242" w:lineRule="auto" w:before="0" w:after="0"/>
        <w:ind w:left="2334" w:right="1143" w:hanging="238"/>
        <w:jc w:val="both"/>
        <w:rPr>
          <w:sz w:val="20"/>
        </w:rPr>
      </w:pPr>
      <w:r>
        <w:rPr>
          <w:sz w:val="20"/>
        </w:rPr>
        <w:t>Del cuadro anterior también se desprende que no todas las entidades percibieron transferencias de la CAC en igual proporción. Esto se debe a que, para las siguientes entidades, la financiación se completa con recursos del</w:t>
      </w:r>
      <w:r>
        <w:rPr>
          <w:spacing w:val="3"/>
          <w:sz w:val="20"/>
        </w:rPr>
        <w:t> </w:t>
      </w:r>
      <w:r>
        <w:rPr>
          <w:sz w:val="20"/>
        </w:rPr>
        <w:t>Estado.</w:t>
      </w:r>
    </w:p>
    <w:p>
      <w:pPr>
        <w:pStyle w:val="BodyText"/>
        <w:spacing w:before="5"/>
        <w:rPr>
          <w:sz w:val="16"/>
        </w:rPr>
      </w:pPr>
    </w:p>
    <w:tbl>
      <w:tblPr>
        <w:tblW w:w="0" w:type="auto"/>
        <w:jc w:val="left"/>
        <w:tblInd w:w="2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1"/>
        <w:gridCol w:w="1129"/>
        <w:gridCol w:w="1312"/>
        <w:gridCol w:w="1313"/>
        <w:gridCol w:w="1049"/>
        <w:gridCol w:w="1178"/>
      </w:tblGrid>
      <w:tr>
        <w:trPr>
          <w:trHeight w:val="489" w:hRule="atLeast"/>
        </w:trPr>
        <w:tc>
          <w:tcPr>
            <w:tcW w:w="1191" w:type="dxa"/>
            <w:vMerge w:val="restart"/>
            <w:tcBorders>
              <w:top w:val="single" w:sz="4" w:space="0" w:color="000000"/>
              <w:left w:val="single" w:sz="4" w:space="0" w:color="000000"/>
              <w:right w:val="single" w:sz="4" w:space="0" w:color="000000"/>
            </w:tcBorders>
          </w:tcPr>
          <w:p>
            <w:pPr>
              <w:pStyle w:val="TableParagraph"/>
              <w:rPr>
                <w:sz w:val="14"/>
              </w:rPr>
            </w:pPr>
          </w:p>
          <w:p>
            <w:pPr>
              <w:pStyle w:val="TableParagraph"/>
              <w:rPr>
                <w:sz w:val="14"/>
              </w:rPr>
            </w:pPr>
          </w:p>
          <w:p>
            <w:pPr>
              <w:pStyle w:val="TableParagraph"/>
              <w:spacing w:line="230" w:lineRule="atLeast" w:before="123"/>
              <w:ind w:left="57" w:right="852"/>
              <w:rPr>
                <w:b/>
                <w:sz w:val="13"/>
              </w:rPr>
            </w:pPr>
            <w:r>
              <w:rPr>
                <w:b/>
                <w:sz w:val="13"/>
              </w:rPr>
              <w:t>ICAP </w:t>
            </w:r>
            <w:r>
              <w:rPr>
                <w:b/>
                <w:w w:val="105"/>
                <w:sz w:val="13"/>
              </w:rPr>
              <w:t>SCE</w:t>
            </w:r>
          </w:p>
        </w:tc>
        <w:tc>
          <w:tcPr>
            <w:tcW w:w="1129" w:type="dxa"/>
            <w:tcBorders>
              <w:top w:val="single" w:sz="4" w:space="0" w:color="000000"/>
              <w:left w:val="single" w:sz="4" w:space="0" w:color="000000"/>
              <w:bottom w:val="single" w:sz="4" w:space="0" w:color="000000"/>
            </w:tcBorders>
            <w:shd w:val="clear" w:color="auto" w:fill="DEEAF6"/>
          </w:tcPr>
          <w:p>
            <w:pPr>
              <w:pStyle w:val="TableParagraph"/>
              <w:spacing w:line="247" w:lineRule="auto" w:before="85"/>
              <w:ind w:left="146" w:right="96" w:firstLine="90"/>
              <w:rPr>
                <w:b/>
                <w:sz w:val="13"/>
              </w:rPr>
            </w:pPr>
            <w:r>
              <w:rPr>
                <w:b/>
                <w:w w:val="105"/>
                <w:sz w:val="13"/>
              </w:rPr>
              <w:t>Derechos Reconocidos</w:t>
            </w:r>
          </w:p>
        </w:tc>
        <w:tc>
          <w:tcPr>
            <w:tcW w:w="1312" w:type="dxa"/>
            <w:tcBorders>
              <w:top w:val="single" w:sz="4" w:space="0" w:color="000000"/>
              <w:bottom w:val="single" w:sz="4" w:space="0" w:color="000000"/>
            </w:tcBorders>
            <w:shd w:val="clear" w:color="auto" w:fill="DEEAF6"/>
          </w:tcPr>
          <w:p>
            <w:pPr>
              <w:pStyle w:val="TableParagraph"/>
              <w:spacing w:line="247" w:lineRule="auto" w:before="2"/>
              <w:ind w:left="191" w:right="252" w:hanging="1"/>
              <w:jc w:val="center"/>
              <w:rPr>
                <w:b/>
                <w:sz w:val="13"/>
              </w:rPr>
            </w:pPr>
            <w:r>
              <w:rPr>
                <w:b/>
                <w:w w:val="105"/>
                <w:sz w:val="13"/>
              </w:rPr>
              <w:t>Transferencias corrientes de </w:t>
            </w:r>
            <w:r>
              <w:rPr>
                <w:b/>
                <w:spacing w:val="-7"/>
                <w:w w:val="105"/>
                <w:sz w:val="13"/>
              </w:rPr>
              <w:t>la</w:t>
            </w:r>
          </w:p>
          <w:p>
            <w:pPr>
              <w:pStyle w:val="TableParagraph"/>
              <w:spacing w:line="139" w:lineRule="exact" w:before="1"/>
              <w:ind w:left="367" w:right="424"/>
              <w:jc w:val="center"/>
              <w:rPr>
                <w:b/>
                <w:sz w:val="13"/>
              </w:rPr>
            </w:pPr>
            <w:r>
              <w:rPr>
                <w:b/>
                <w:w w:val="105"/>
                <w:sz w:val="13"/>
              </w:rPr>
              <w:t>CAC</w:t>
            </w:r>
          </w:p>
        </w:tc>
        <w:tc>
          <w:tcPr>
            <w:tcW w:w="1313" w:type="dxa"/>
            <w:tcBorders>
              <w:top w:val="single" w:sz="4" w:space="0" w:color="000000"/>
              <w:bottom w:val="single" w:sz="4" w:space="0" w:color="000000"/>
            </w:tcBorders>
            <w:shd w:val="clear" w:color="auto" w:fill="DEEAF6"/>
          </w:tcPr>
          <w:p>
            <w:pPr>
              <w:pStyle w:val="TableParagraph"/>
              <w:spacing w:line="247" w:lineRule="auto" w:before="2"/>
              <w:ind w:left="193" w:right="61" w:firstLine="110"/>
              <w:rPr>
                <w:b/>
                <w:sz w:val="13"/>
              </w:rPr>
            </w:pPr>
            <w:r>
              <w:rPr>
                <w:b/>
                <w:w w:val="105"/>
                <w:sz w:val="13"/>
              </w:rPr>
              <w:t>Transferencias de capital de la</w:t>
            </w:r>
          </w:p>
          <w:p>
            <w:pPr>
              <w:pStyle w:val="TableParagraph"/>
              <w:spacing w:line="139" w:lineRule="exact" w:before="1"/>
              <w:ind w:left="483" w:right="562"/>
              <w:jc w:val="center"/>
              <w:rPr>
                <w:b/>
                <w:sz w:val="13"/>
              </w:rPr>
            </w:pPr>
            <w:r>
              <w:rPr>
                <w:b/>
                <w:w w:val="105"/>
                <w:sz w:val="13"/>
              </w:rPr>
              <w:t>CAC</w:t>
            </w:r>
          </w:p>
        </w:tc>
        <w:tc>
          <w:tcPr>
            <w:tcW w:w="1049" w:type="dxa"/>
            <w:tcBorders>
              <w:top w:val="single" w:sz="4" w:space="0" w:color="000000"/>
              <w:bottom w:val="single" w:sz="4" w:space="0" w:color="000000"/>
            </w:tcBorders>
            <w:shd w:val="clear" w:color="auto" w:fill="DEEAF6"/>
          </w:tcPr>
          <w:p>
            <w:pPr>
              <w:pStyle w:val="TableParagraph"/>
              <w:spacing w:before="6"/>
              <w:rPr>
                <w:sz w:val="13"/>
              </w:rPr>
            </w:pPr>
          </w:p>
          <w:p>
            <w:pPr>
              <w:pStyle w:val="TableParagraph"/>
              <w:ind w:left="277"/>
              <w:rPr>
                <w:b/>
                <w:sz w:val="13"/>
              </w:rPr>
            </w:pPr>
            <w:r>
              <w:rPr>
                <w:b/>
                <w:w w:val="105"/>
                <w:sz w:val="13"/>
              </w:rPr>
              <w:t>TOTAL</w:t>
            </w:r>
          </w:p>
        </w:tc>
        <w:tc>
          <w:tcPr>
            <w:tcW w:w="1178" w:type="dxa"/>
            <w:tcBorders>
              <w:top w:val="single" w:sz="4" w:space="0" w:color="000000"/>
              <w:bottom w:val="single" w:sz="4" w:space="0" w:color="000000"/>
              <w:right w:val="single" w:sz="4" w:space="0" w:color="000000"/>
            </w:tcBorders>
            <w:shd w:val="clear" w:color="auto" w:fill="DEEAF6"/>
          </w:tcPr>
          <w:p>
            <w:pPr>
              <w:pStyle w:val="TableParagraph"/>
              <w:spacing w:line="247" w:lineRule="auto" w:before="85"/>
              <w:ind w:left="338" w:right="72" w:hanging="103"/>
              <w:rPr>
                <w:b/>
                <w:sz w:val="13"/>
              </w:rPr>
            </w:pPr>
            <w:r>
              <w:rPr>
                <w:b/>
                <w:w w:val="105"/>
                <w:sz w:val="13"/>
              </w:rPr>
              <w:t>Dependencia de la CAC</w:t>
            </w:r>
          </w:p>
        </w:tc>
      </w:tr>
      <w:tr>
        <w:trPr>
          <w:trHeight w:val="458" w:hRule="atLeast"/>
        </w:trPr>
        <w:tc>
          <w:tcPr>
            <w:tcW w:w="1191" w:type="dxa"/>
            <w:vMerge/>
            <w:tcBorders>
              <w:top w:val="nil"/>
              <w:left w:val="single" w:sz="4" w:space="0" w:color="000000"/>
              <w:right w:val="single" w:sz="4" w:space="0" w:color="000000"/>
            </w:tcBorders>
          </w:tcPr>
          <w:p>
            <w:pPr>
              <w:rPr>
                <w:sz w:val="2"/>
                <w:szCs w:val="2"/>
              </w:rPr>
            </w:pPr>
          </w:p>
        </w:tc>
        <w:tc>
          <w:tcPr>
            <w:tcW w:w="1129" w:type="dxa"/>
            <w:tcBorders>
              <w:top w:val="single" w:sz="4" w:space="0" w:color="000000"/>
              <w:left w:val="single" w:sz="4" w:space="0" w:color="000000"/>
            </w:tcBorders>
          </w:tcPr>
          <w:p>
            <w:pPr>
              <w:pStyle w:val="TableParagraph"/>
              <w:spacing w:before="36"/>
              <w:ind w:right="179"/>
              <w:jc w:val="right"/>
              <w:rPr>
                <w:sz w:val="13"/>
              </w:rPr>
            </w:pPr>
            <w:r>
              <w:rPr>
                <w:spacing w:val="-1"/>
                <w:w w:val="105"/>
                <w:sz w:val="13"/>
              </w:rPr>
              <w:t>3.389,65</w:t>
            </w:r>
          </w:p>
          <w:p>
            <w:pPr>
              <w:pStyle w:val="TableParagraph"/>
              <w:spacing w:before="71"/>
              <w:ind w:right="179"/>
              <w:jc w:val="right"/>
              <w:rPr>
                <w:sz w:val="13"/>
              </w:rPr>
            </w:pPr>
            <w:r>
              <w:rPr>
                <w:spacing w:val="-1"/>
                <w:w w:val="105"/>
                <w:sz w:val="13"/>
              </w:rPr>
              <w:t>375.140,71</w:t>
            </w:r>
          </w:p>
        </w:tc>
        <w:tc>
          <w:tcPr>
            <w:tcW w:w="1312" w:type="dxa"/>
            <w:tcBorders>
              <w:top w:val="single" w:sz="4" w:space="0" w:color="000000"/>
            </w:tcBorders>
          </w:tcPr>
          <w:p>
            <w:pPr>
              <w:pStyle w:val="TableParagraph"/>
              <w:spacing w:before="36"/>
              <w:ind w:right="181"/>
              <w:jc w:val="right"/>
              <w:rPr>
                <w:sz w:val="13"/>
              </w:rPr>
            </w:pPr>
            <w:r>
              <w:rPr>
                <w:spacing w:val="-1"/>
                <w:w w:val="105"/>
                <w:sz w:val="13"/>
              </w:rPr>
              <w:t>1.642,74</w:t>
            </w:r>
          </w:p>
          <w:p>
            <w:pPr>
              <w:pStyle w:val="TableParagraph"/>
              <w:spacing w:before="71"/>
              <w:ind w:right="181"/>
              <w:jc w:val="right"/>
              <w:rPr>
                <w:sz w:val="13"/>
              </w:rPr>
            </w:pPr>
            <w:r>
              <w:rPr>
                <w:spacing w:val="-1"/>
                <w:w w:val="105"/>
                <w:sz w:val="13"/>
              </w:rPr>
              <w:t>263.766,10</w:t>
            </w:r>
          </w:p>
        </w:tc>
        <w:tc>
          <w:tcPr>
            <w:tcW w:w="1313" w:type="dxa"/>
            <w:tcBorders>
              <w:top w:val="single" w:sz="4" w:space="0" w:color="000000"/>
            </w:tcBorders>
          </w:tcPr>
          <w:p>
            <w:pPr>
              <w:pStyle w:val="TableParagraph"/>
              <w:spacing w:before="36"/>
              <w:ind w:right="203"/>
              <w:jc w:val="right"/>
              <w:rPr>
                <w:sz w:val="13"/>
              </w:rPr>
            </w:pPr>
            <w:r>
              <w:rPr>
                <w:sz w:val="13"/>
              </w:rPr>
              <w:t>79,00</w:t>
            </w:r>
          </w:p>
          <w:p>
            <w:pPr>
              <w:pStyle w:val="TableParagraph"/>
              <w:spacing w:before="71"/>
              <w:ind w:right="203"/>
              <w:jc w:val="right"/>
              <w:rPr>
                <w:sz w:val="13"/>
              </w:rPr>
            </w:pPr>
            <w:r>
              <w:rPr>
                <w:spacing w:val="-1"/>
                <w:w w:val="105"/>
                <w:sz w:val="13"/>
              </w:rPr>
              <w:t>6.083,41</w:t>
            </w:r>
          </w:p>
        </w:tc>
        <w:tc>
          <w:tcPr>
            <w:tcW w:w="1049" w:type="dxa"/>
            <w:tcBorders>
              <w:top w:val="single" w:sz="4" w:space="0" w:color="000000"/>
            </w:tcBorders>
          </w:tcPr>
          <w:p>
            <w:pPr>
              <w:pStyle w:val="TableParagraph"/>
              <w:spacing w:before="36"/>
              <w:ind w:right="225"/>
              <w:jc w:val="right"/>
              <w:rPr>
                <w:sz w:val="13"/>
              </w:rPr>
            </w:pPr>
            <w:r>
              <w:rPr>
                <w:spacing w:val="-1"/>
                <w:w w:val="105"/>
                <w:sz w:val="13"/>
              </w:rPr>
              <w:t>1.721,74</w:t>
            </w:r>
          </w:p>
          <w:p>
            <w:pPr>
              <w:pStyle w:val="TableParagraph"/>
              <w:spacing w:before="71"/>
              <w:ind w:right="226"/>
              <w:jc w:val="right"/>
              <w:rPr>
                <w:sz w:val="13"/>
              </w:rPr>
            </w:pPr>
            <w:r>
              <w:rPr>
                <w:spacing w:val="-1"/>
                <w:w w:val="105"/>
                <w:sz w:val="13"/>
              </w:rPr>
              <w:t>269.849,51</w:t>
            </w:r>
          </w:p>
        </w:tc>
        <w:tc>
          <w:tcPr>
            <w:tcW w:w="1178" w:type="dxa"/>
            <w:tcBorders>
              <w:top w:val="single" w:sz="4" w:space="0" w:color="000000"/>
              <w:right w:val="single" w:sz="4" w:space="0" w:color="000000"/>
            </w:tcBorders>
          </w:tcPr>
          <w:p>
            <w:pPr>
              <w:pStyle w:val="TableParagraph"/>
              <w:spacing w:before="36"/>
              <w:ind w:left="401"/>
              <w:rPr>
                <w:sz w:val="13"/>
              </w:rPr>
            </w:pPr>
            <w:r>
              <w:rPr>
                <w:w w:val="105"/>
                <w:sz w:val="13"/>
              </w:rPr>
              <w:t>50,79%</w:t>
            </w:r>
          </w:p>
          <w:p>
            <w:pPr>
              <w:pStyle w:val="TableParagraph"/>
              <w:spacing w:before="71"/>
              <w:ind w:left="401"/>
              <w:rPr>
                <w:sz w:val="13"/>
              </w:rPr>
            </w:pPr>
            <w:r>
              <w:rPr>
                <w:w w:val="105"/>
                <w:sz w:val="13"/>
              </w:rPr>
              <w:t>71,93%</w:t>
            </w:r>
          </w:p>
        </w:tc>
      </w:tr>
      <w:tr>
        <w:trPr>
          <w:trHeight w:val="231" w:hRule="atLeast"/>
        </w:trPr>
        <w:tc>
          <w:tcPr>
            <w:tcW w:w="1191" w:type="dxa"/>
            <w:tcBorders>
              <w:left w:val="single" w:sz="4" w:space="0" w:color="000000"/>
              <w:right w:val="single" w:sz="4" w:space="0" w:color="000000"/>
            </w:tcBorders>
            <w:shd w:val="clear" w:color="auto" w:fill="F1F1F1"/>
          </w:tcPr>
          <w:p>
            <w:pPr>
              <w:pStyle w:val="TableParagraph"/>
              <w:spacing w:before="37"/>
              <w:ind w:left="57"/>
              <w:rPr>
                <w:b/>
                <w:sz w:val="13"/>
              </w:rPr>
            </w:pPr>
            <w:r>
              <w:rPr>
                <w:b/>
                <w:w w:val="105"/>
                <w:sz w:val="13"/>
              </w:rPr>
              <w:t>SCS</w:t>
            </w:r>
          </w:p>
        </w:tc>
        <w:tc>
          <w:tcPr>
            <w:tcW w:w="1129" w:type="dxa"/>
            <w:tcBorders>
              <w:left w:val="single" w:sz="4" w:space="0" w:color="000000"/>
            </w:tcBorders>
            <w:shd w:val="clear" w:color="auto" w:fill="F1F1F1"/>
          </w:tcPr>
          <w:p>
            <w:pPr>
              <w:pStyle w:val="TableParagraph"/>
              <w:spacing w:before="37"/>
              <w:ind w:right="179"/>
              <w:jc w:val="right"/>
              <w:rPr>
                <w:b/>
                <w:sz w:val="13"/>
              </w:rPr>
            </w:pPr>
            <w:r>
              <w:rPr>
                <w:b/>
                <w:w w:val="105"/>
                <w:sz w:val="13"/>
              </w:rPr>
              <w:t>4.040.151,48</w:t>
            </w:r>
          </w:p>
        </w:tc>
        <w:tc>
          <w:tcPr>
            <w:tcW w:w="1312" w:type="dxa"/>
            <w:shd w:val="clear" w:color="auto" w:fill="F1F1F1"/>
          </w:tcPr>
          <w:p>
            <w:pPr>
              <w:pStyle w:val="TableParagraph"/>
              <w:spacing w:before="37"/>
              <w:ind w:right="181"/>
              <w:jc w:val="right"/>
              <w:rPr>
                <w:b/>
                <w:sz w:val="13"/>
              </w:rPr>
            </w:pPr>
            <w:r>
              <w:rPr>
                <w:b/>
                <w:w w:val="105"/>
                <w:sz w:val="13"/>
              </w:rPr>
              <w:t>247.349,65</w:t>
            </w:r>
          </w:p>
        </w:tc>
        <w:tc>
          <w:tcPr>
            <w:tcW w:w="1313" w:type="dxa"/>
            <w:shd w:val="clear" w:color="auto" w:fill="F1F1F1"/>
          </w:tcPr>
          <w:p>
            <w:pPr>
              <w:pStyle w:val="TableParagraph"/>
              <w:spacing w:before="37"/>
              <w:ind w:right="204"/>
              <w:jc w:val="right"/>
              <w:rPr>
                <w:b/>
                <w:sz w:val="13"/>
              </w:rPr>
            </w:pPr>
            <w:r>
              <w:rPr>
                <w:b/>
                <w:w w:val="105"/>
                <w:sz w:val="13"/>
              </w:rPr>
              <w:t>26.630,37</w:t>
            </w:r>
          </w:p>
        </w:tc>
        <w:tc>
          <w:tcPr>
            <w:tcW w:w="1049" w:type="dxa"/>
            <w:shd w:val="clear" w:color="auto" w:fill="F1F1F1"/>
          </w:tcPr>
          <w:p>
            <w:pPr>
              <w:pStyle w:val="TableParagraph"/>
              <w:spacing w:before="37"/>
              <w:ind w:left="204"/>
              <w:rPr>
                <w:b/>
                <w:sz w:val="13"/>
              </w:rPr>
            </w:pPr>
            <w:r>
              <w:rPr>
                <w:b/>
                <w:w w:val="105"/>
                <w:sz w:val="13"/>
              </w:rPr>
              <w:t>273.980,02</w:t>
            </w:r>
          </w:p>
        </w:tc>
        <w:tc>
          <w:tcPr>
            <w:tcW w:w="1178" w:type="dxa"/>
            <w:tcBorders>
              <w:right w:val="single" w:sz="4" w:space="0" w:color="000000"/>
            </w:tcBorders>
            <w:shd w:val="clear" w:color="auto" w:fill="F1F1F1"/>
          </w:tcPr>
          <w:p>
            <w:pPr>
              <w:pStyle w:val="TableParagraph"/>
              <w:spacing w:before="37"/>
              <w:ind w:left="376" w:right="345"/>
              <w:jc w:val="center"/>
              <w:rPr>
                <w:b/>
                <w:sz w:val="13"/>
              </w:rPr>
            </w:pPr>
            <w:r>
              <w:rPr>
                <w:b/>
                <w:w w:val="105"/>
                <w:sz w:val="13"/>
              </w:rPr>
              <w:t>6,78%</w:t>
            </w:r>
          </w:p>
        </w:tc>
      </w:tr>
      <w:tr>
        <w:trPr>
          <w:trHeight w:val="228" w:hRule="atLeast"/>
        </w:trPr>
        <w:tc>
          <w:tcPr>
            <w:tcW w:w="1191" w:type="dxa"/>
            <w:tcBorders>
              <w:left w:val="single" w:sz="4" w:space="0" w:color="000000"/>
              <w:bottom w:val="single" w:sz="4" w:space="0" w:color="000000"/>
              <w:right w:val="single" w:sz="4" w:space="0" w:color="000000"/>
            </w:tcBorders>
          </w:tcPr>
          <w:p>
            <w:pPr>
              <w:pStyle w:val="TableParagraph"/>
              <w:spacing w:before="35"/>
              <w:ind w:left="57"/>
              <w:rPr>
                <w:b/>
                <w:sz w:val="13"/>
              </w:rPr>
            </w:pPr>
            <w:r>
              <w:rPr>
                <w:b/>
                <w:w w:val="105"/>
                <w:sz w:val="13"/>
              </w:rPr>
              <w:t>ICAVI</w:t>
            </w:r>
          </w:p>
        </w:tc>
        <w:tc>
          <w:tcPr>
            <w:tcW w:w="1129" w:type="dxa"/>
            <w:tcBorders>
              <w:left w:val="single" w:sz="4" w:space="0" w:color="000000"/>
              <w:bottom w:val="single" w:sz="4" w:space="0" w:color="000000"/>
            </w:tcBorders>
          </w:tcPr>
          <w:p>
            <w:pPr>
              <w:pStyle w:val="TableParagraph"/>
              <w:spacing w:before="35"/>
              <w:ind w:right="179"/>
              <w:jc w:val="right"/>
              <w:rPr>
                <w:sz w:val="13"/>
              </w:rPr>
            </w:pPr>
            <w:r>
              <w:rPr>
                <w:w w:val="105"/>
                <w:sz w:val="13"/>
              </w:rPr>
              <w:t>196.202,31</w:t>
            </w:r>
          </w:p>
        </w:tc>
        <w:tc>
          <w:tcPr>
            <w:tcW w:w="1312" w:type="dxa"/>
            <w:tcBorders>
              <w:bottom w:val="single" w:sz="4" w:space="0" w:color="000000"/>
            </w:tcBorders>
          </w:tcPr>
          <w:p>
            <w:pPr>
              <w:pStyle w:val="TableParagraph"/>
              <w:spacing w:before="35"/>
              <w:ind w:right="181"/>
              <w:jc w:val="right"/>
              <w:rPr>
                <w:sz w:val="13"/>
              </w:rPr>
            </w:pPr>
            <w:r>
              <w:rPr>
                <w:w w:val="105"/>
                <w:sz w:val="13"/>
              </w:rPr>
              <w:t>28.885,43</w:t>
            </w:r>
          </w:p>
        </w:tc>
        <w:tc>
          <w:tcPr>
            <w:tcW w:w="1313" w:type="dxa"/>
            <w:tcBorders>
              <w:bottom w:val="single" w:sz="4" w:space="0" w:color="000000"/>
            </w:tcBorders>
          </w:tcPr>
          <w:p>
            <w:pPr>
              <w:pStyle w:val="TableParagraph"/>
              <w:spacing w:before="35"/>
              <w:ind w:right="203"/>
              <w:jc w:val="right"/>
              <w:rPr>
                <w:sz w:val="13"/>
              </w:rPr>
            </w:pPr>
            <w:r>
              <w:rPr>
                <w:w w:val="105"/>
                <w:sz w:val="13"/>
              </w:rPr>
              <w:t>54.839,50</w:t>
            </w:r>
          </w:p>
        </w:tc>
        <w:tc>
          <w:tcPr>
            <w:tcW w:w="1049" w:type="dxa"/>
            <w:tcBorders>
              <w:bottom w:val="single" w:sz="4" w:space="0" w:color="000000"/>
            </w:tcBorders>
          </w:tcPr>
          <w:p>
            <w:pPr>
              <w:pStyle w:val="TableParagraph"/>
              <w:spacing w:before="35"/>
              <w:ind w:left="275"/>
              <w:rPr>
                <w:sz w:val="13"/>
              </w:rPr>
            </w:pPr>
            <w:r>
              <w:rPr>
                <w:w w:val="105"/>
                <w:sz w:val="13"/>
              </w:rPr>
              <w:t>83.724,93</w:t>
            </w:r>
          </w:p>
        </w:tc>
        <w:tc>
          <w:tcPr>
            <w:tcW w:w="1178" w:type="dxa"/>
            <w:tcBorders>
              <w:bottom w:val="single" w:sz="4" w:space="0" w:color="000000"/>
              <w:right w:val="single" w:sz="4" w:space="0" w:color="000000"/>
            </w:tcBorders>
          </w:tcPr>
          <w:p>
            <w:pPr>
              <w:pStyle w:val="TableParagraph"/>
              <w:spacing w:before="35"/>
              <w:ind w:left="376" w:right="345"/>
              <w:jc w:val="center"/>
              <w:rPr>
                <w:sz w:val="13"/>
              </w:rPr>
            </w:pPr>
            <w:r>
              <w:rPr>
                <w:w w:val="105"/>
                <w:sz w:val="13"/>
              </w:rPr>
              <w:t>42,67%</w:t>
            </w:r>
          </w:p>
        </w:tc>
      </w:tr>
      <w:tr>
        <w:trPr>
          <w:trHeight w:val="310" w:hRule="atLeast"/>
        </w:trPr>
        <w:tc>
          <w:tcPr>
            <w:tcW w:w="1191"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77"/>
              <w:ind w:left="77"/>
              <w:rPr>
                <w:b/>
                <w:sz w:val="13"/>
              </w:rPr>
            </w:pPr>
            <w:r>
              <w:rPr>
                <w:b/>
                <w:w w:val="105"/>
                <w:sz w:val="13"/>
              </w:rPr>
              <w:t>TOTAL (</w:t>
            </w:r>
            <w:r>
              <w:rPr>
                <w:w w:val="105"/>
                <w:sz w:val="13"/>
              </w:rPr>
              <w:t>miles de €</w:t>
            </w:r>
            <w:r>
              <w:rPr>
                <w:b/>
                <w:w w:val="105"/>
                <w:sz w:val="13"/>
              </w:rPr>
              <w:t>)</w:t>
            </w:r>
          </w:p>
        </w:tc>
        <w:tc>
          <w:tcPr>
            <w:tcW w:w="1129" w:type="dxa"/>
            <w:tcBorders>
              <w:top w:val="single" w:sz="4" w:space="0" w:color="000000"/>
              <w:left w:val="single" w:sz="4" w:space="0" w:color="000000"/>
              <w:bottom w:val="single" w:sz="4" w:space="0" w:color="000000"/>
            </w:tcBorders>
            <w:shd w:val="clear" w:color="auto" w:fill="D9D9D9"/>
          </w:tcPr>
          <w:p>
            <w:pPr>
              <w:pStyle w:val="TableParagraph"/>
              <w:spacing w:before="77"/>
              <w:ind w:right="179"/>
              <w:jc w:val="right"/>
              <w:rPr>
                <w:b/>
                <w:sz w:val="13"/>
              </w:rPr>
            </w:pPr>
            <w:r>
              <w:rPr>
                <w:b/>
                <w:w w:val="105"/>
                <w:sz w:val="13"/>
              </w:rPr>
              <w:t>4.758.240,54</w:t>
            </w:r>
          </w:p>
        </w:tc>
        <w:tc>
          <w:tcPr>
            <w:tcW w:w="1312" w:type="dxa"/>
            <w:tcBorders>
              <w:top w:val="single" w:sz="4" w:space="0" w:color="000000"/>
              <w:bottom w:val="single" w:sz="4" w:space="0" w:color="000000"/>
            </w:tcBorders>
            <w:shd w:val="clear" w:color="auto" w:fill="D9D9D9"/>
          </w:tcPr>
          <w:p>
            <w:pPr>
              <w:pStyle w:val="TableParagraph"/>
              <w:spacing w:before="77"/>
              <w:ind w:right="181"/>
              <w:jc w:val="right"/>
              <w:rPr>
                <w:b/>
                <w:sz w:val="13"/>
              </w:rPr>
            </w:pPr>
            <w:r>
              <w:rPr>
                <w:b/>
                <w:w w:val="105"/>
                <w:sz w:val="13"/>
              </w:rPr>
              <w:t>541.643,92</w:t>
            </w:r>
          </w:p>
        </w:tc>
        <w:tc>
          <w:tcPr>
            <w:tcW w:w="1313" w:type="dxa"/>
            <w:tcBorders>
              <w:top w:val="single" w:sz="4" w:space="0" w:color="000000"/>
              <w:bottom w:val="single" w:sz="4" w:space="0" w:color="000000"/>
            </w:tcBorders>
            <w:shd w:val="clear" w:color="auto" w:fill="D9D9D9"/>
          </w:tcPr>
          <w:p>
            <w:pPr>
              <w:pStyle w:val="TableParagraph"/>
              <w:spacing w:before="77"/>
              <w:ind w:right="204"/>
              <w:jc w:val="right"/>
              <w:rPr>
                <w:b/>
                <w:sz w:val="13"/>
              </w:rPr>
            </w:pPr>
            <w:r>
              <w:rPr>
                <w:b/>
                <w:w w:val="105"/>
                <w:sz w:val="13"/>
              </w:rPr>
              <w:t>87.632,27</w:t>
            </w:r>
          </w:p>
        </w:tc>
        <w:tc>
          <w:tcPr>
            <w:tcW w:w="1049" w:type="dxa"/>
            <w:tcBorders>
              <w:top w:val="single" w:sz="4" w:space="0" w:color="000000"/>
              <w:bottom w:val="single" w:sz="4" w:space="0" w:color="000000"/>
            </w:tcBorders>
            <w:shd w:val="clear" w:color="auto" w:fill="D9D9D9"/>
          </w:tcPr>
          <w:p>
            <w:pPr>
              <w:pStyle w:val="TableParagraph"/>
              <w:spacing w:before="77"/>
              <w:ind w:left="204"/>
              <w:rPr>
                <w:b/>
                <w:sz w:val="13"/>
              </w:rPr>
            </w:pPr>
            <w:r>
              <w:rPr>
                <w:b/>
                <w:w w:val="105"/>
                <w:sz w:val="13"/>
              </w:rPr>
              <w:t>629.276,19</w:t>
            </w:r>
          </w:p>
        </w:tc>
        <w:tc>
          <w:tcPr>
            <w:tcW w:w="1178" w:type="dxa"/>
            <w:tcBorders>
              <w:top w:val="single" w:sz="4" w:space="0" w:color="000000"/>
              <w:bottom w:val="single" w:sz="4" w:space="0" w:color="000000"/>
              <w:right w:val="single" w:sz="4" w:space="0" w:color="000000"/>
            </w:tcBorders>
            <w:shd w:val="clear" w:color="auto" w:fill="D9D9D9"/>
          </w:tcPr>
          <w:p>
            <w:pPr>
              <w:pStyle w:val="TableParagraph"/>
              <w:spacing w:before="77"/>
              <w:ind w:left="376" w:right="345"/>
              <w:jc w:val="center"/>
              <w:rPr>
                <w:b/>
                <w:sz w:val="13"/>
              </w:rPr>
            </w:pPr>
            <w:r>
              <w:rPr>
                <w:b/>
                <w:w w:val="105"/>
                <w:sz w:val="13"/>
              </w:rPr>
              <w:t>13,22%</w:t>
            </w:r>
          </w:p>
        </w:tc>
      </w:tr>
    </w:tbl>
    <w:p>
      <w:pPr>
        <w:pStyle w:val="BodyText"/>
        <w:spacing w:before="7"/>
        <w:rPr>
          <w:sz w:val="16"/>
        </w:rPr>
      </w:pPr>
    </w:p>
    <w:p>
      <w:pPr>
        <w:pStyle w:val="BodyText"/>
        <w:ind w:left="2334" w:right="1137"/>
        <w:jc w:val="both"/>
      </w:pPr>
      <w:r>
        <w:rPr/>
        <w:t>Sobresale, entre ellas, el SCE, pues el 71,9 % proviene de esta Administración para su aplicación, básicamente, a políticas activas del empleo del INEM (PAES) y al Plan Integral de Empleo de Canarias (PIEC). Para ICAVI, consiste en aportaciones</w:t>
      </w:r>
      <w:r>
        <w:rPr>
          <w:spacing w:val="3"/>
        </w:rPr>
        <w:t> </w:t>
      </w:r>
      <w:r>
        <w:rPr/>
        <w:t>finalistas</w:t>
      </w:r>
    </w:p>
    <w:p>
      <w:pPr>
        <w:pStyle w:val="BodyText"/>
        <w:spacing w:before="116"/>
        <w:ind w:right="1136"/>
        <w:jc w:val="right"/>
      </w:pPr>
      <w:r>
        <w:rPr>
          <w:spacing w:val="-1"/>
        </w:rPr>
        <w:t>78</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16"/>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67" name="image5.png"/>
                  <wp:cNvGraphicFramePr>
                    <a:graphicFrameLocks noChangeAspect="1"/>
                  </wp:cNvGraphicFramePr>
                  <a:graphic>
                    <a:graphicData uri="http://schemas.openxmlformats.org/drawingml/2006/picture">
                      <pic:pic>
                        <pic:nvPicPr>
                          <pic:cNvPr id="16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80/247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34" w:right="510"/>
      </w:pPr>
      <w:r>
        <w:rPr/>
        <w:t>al Plan Estatal de acceso a la vivienda 2022-2025, además de las actuaciones de los programas cubiertos con fondos MRR y del Bono de Alquiler Joven.</w:t>
      </w:r>
    </w:p>
    <w:p>
      <w:pPr>
        <w:pStyle w:val="BodyText"/>
        <w:spacing w:before="10"/>
        <w:rPr>
          <w:sz w:val="16"/>
        </w:rPr>
      </w:pPr>
    </w:p>
    <w:p>
      <w:pPr>
        <w:pStyle w:val="ListParagraph"/>
        <w:numPr>
          <w:ilvl w:val="0"/>
          <w:numId w:val="36"/>
        </w:numPr>
        <w:tabs>
          <w:tab w:pos="2335" w:val="left" w:leader="none"/>
        </w:tabs>
        <w:spacing w:line="240" w:lineRule="auto" w:before="0" w:after="0"/>
        <w:ind w:left="2334" w:right="1135" w:hanging="238"/>
        <w:jc w:val="both"/>
        <w:rPr>
          <w:sz w:val="20"/>
        </w:rPr>
      </w:pPr>
      <w:r>
        <w:rPr>
          <w:sz w:val="20"/>
        </w:rPr>
        <w:t>Para</w:t>
      </w:r>
      <w:r>
        <w:rPr>
          <w:spacing w:val="-4"/>
          <w:sz w:val="20"/>
        </w:rPr>
        <w:t> </w:t>
      </w:r>
      <w:r>
        <w:rPr>
          <w:sz w:val="20"/>
        </w:rPr>
        <w:t>la</w:t>
      </w:r>
      <w:r>
        <w:rPr>
          <w:spacing w:val="-3"/>
          <w:sz w:val="20"/>
        </w:rPr>
        <w:t> </w:t>
      </w:r>
      <w:r>
        <w:rPr>
          <w:sz w:val="20"/>
        </w:rPr>
        <w:t>APMN,</w:t>
      </w:r>
      <w:r>
        <w:rPr>
          <w:spacing w:val="-3"/>
          <w:sz w:val="20"/>
        </w:rPr>
        <w:t> </w:t>
      </w:r>
      <w:r>
        <w:rPr>
          <w:sz w:val="20"/>
        </w:rPr>
        <w:t>la</w:t>
      </w:r>
      <w:r>
        <w:rPr>
          <w:spacing w:val="-5"/>
          <w:sz w:val="20"/>
        </w:rPr>
        <w:t> </w:t>
      </w:r>
      <w:r>
        <w:rPr>
          <w:sz w:val="20"/>
        </w:rPr>
        <w:t>financiación</w:t>
      </w:r>
      <w:r>
        <w:rPr>
          <w:spacing w:val="-2"/>
          <w:sz w:val="20"/>
        </w:rPr>
        <w:t> </w:t>
      </w:r>
      <w:r>
        <w:rPr>
          <w:sz w:val="20"/>
        </w:rPr>
        <w:t>se</w:t>
      </w:r>
      <w:r>
        <w:rPr>
          <w:spacing w:val="-3"/>
          <w:sz w:val="20"/>
        </w:rPr>
        <w:t> </w:t>
      </w:r>
      <w:r>
        <w:rPr>
          <w:sz w:val="20"/>
        </w:rPr>
        <w:t>completa</w:t>
      </w:r>
      <w:r>
        <w:rPr>
          <w:spacing w:val="-3"/>
          <w:sz w:val="20"/>
        </w:rPr>
        <w:t> </w:t>
      </w:r>
      <w:r>
        <w:rPr>
          <w:sz w:val="20"/>
        </w:rPr>
        <w:t>con</w:t>
      </w:r>
      <w:r>
        <w:rPr>
          <w:spacing w:val="-2"/>
          <w:sz w:val="20"/>
        </w:rPr>
        <w:t> </w:t>
      </w:r>
      <w:r>
        <w:rPr>
          <w:sz w:val="20"/>
        </w:rPr>
        <w:t>la</w:t>
      </w:r>
      <w:r>
        <w:rPr>
          <w:spacing w:val="-3"/>
          <w:sz w:val="20"/>
        </w:rPr>
        <w:t> </w:t>
      </w:r>
      <w:r>
        <w:rPr>
          <w:sz w:val="20"/>
        </w:rPr>
        <w:t>recaudación</w:t>
      </w:r>
      <w:r>
        <w:rPr>
          <w:spacing w:val="-3"/>
          <w:sz w:val="20"/>
        </w:rPr>
        <w:t> </w:t>
      </w:r>
      <w:r>
        <w:rPr>
          <w:sz w:val="20"/>
        </w:rPr>
        <w:t>de</w:t>
      </w:r>
      <w:r>
        <w:rPr>
          <w:spacing w:val="-6"/>
          <w:sz w:val="20"/>
        </w:rPr>
        <w:t> </w:t>
      </w:r>
      <w:r>
        <w:rPr>
          <w:sz w:val="20"/>
        </w:rPr>
        <w:t>tasas</w:t>
      </w:r>
      <w:r>
        <w:rPr>
          <w:spacing w:val="-3"/>
          <w:sz w:val="20"/>
        </w:rPr>
        <w:t> </w:t>
      </w:r>
      <w:r>
        <w:rPr>
          <w:sz w:val="20"/>
        </w:rPr>
        <w:t>y</w:t>
      </w:r>
      <w:r>
        <w:rPr>
          <w:spacing w:val="-4"/>
          <w:sz w:val="20"/>
        </w:rPr>
        <w:t> </w:t>
      </w:r>
      <w:r>
        <w:rPr>
          <w:sz w:val="20"/>
        </w:rPr>
        <w:t>multas</w:t>
      </w:r>
      <w:r>
        <w:rPr>
          <w:spacing w:val="-1"/>
          <w:sz w:val="20"/>
        </w:rPr>
        <w:t> </w:t>
      </w:r>
      <w:r>
        <w:rPr>
          <w:sz w:val="20"/>
        </w:rPr>
        <w:t>en</w:t>
      </w:r>
      <w:r>
        <w:rPr>
          <w:spacing w:val="-2"/>
          <w:sz w:val="20"/>
        </w:rPr>
        <w:t> </w:t>
      </w:r>
      <w:r>
        <w:rPr>
          <w:sz w:val="20"/>
        </w:rPr>
        <w:t>un 30,1 %, pero esta no se materializa en cobro, salvo un 2 %, quedando el resto pendiente de cobro como tendencia</w:t>
      </w:r>
      <w:r>
        <w:rPr>
          <w:spacing w:val="-1"/>
          <w:sz w:val="20"/>
        </w:rPr>
        <w:t> </w:t>
      </w:r>
      <w:r>
        <w:rPr>
          <w:sz w:val="20"/>
        </w:rPr>
        <w:t>estructural.</w:t>
      </w:r>
    </w:p>
    <w:p>
      <w:pPr>
        <w:pStyle w:val="Heading1"/>
        <w:numPr>
          <w:ilvl w:val="2"/>
          <w:numId w:val="26"/>
        </w:numPr>
        <w:tabs>
          <w:tab w:pos="2691" w:val="left" w:leader="none"/>
        </w:tabs>
        <w:spacing w:line="240" w:lineRule="auto" w:before="106" w:after="0"/>
        <w:ind w:left="2690" w:right="0" w:hanging="605"/>
        <w:jc w:val="both"/>
      </w:pPr>
      <w:r>
        <w:rPr>
          <w:color w:val="53A1B9"/>
        </w:rPr>
        <w:t>Gastos.</w:t>
      </w:r>
    </w:p>
    <w:p>
      <w:pPr>
        <w:pStyle w:val="BodyText"/>
        <w:spacing w:before="6" w:after="1"/>
        <w:rPr>
          <w:b/>
          <w:sz w:val="16"/>
        </w:rPr>
      </w:pPr>
    </w:p>
    <w:tbl>
      <w:tblPr>
        <w:tblW w:w="0" w:type="auto"/>
        <w:jc w:val="left"/>
        <w:tblInd w:w="2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1"/>
        <w:gridCol w:w="2146"/>
        <w:gridCol w:w="1064"/>
        <w:gridCol w:w="1314"/>
      </w:tblGrid>
      <w:tr>
        <w:trPr>
          <w:trHeight w:val="324" w:hRule="atLeast"/>
        </w:trPr>
        <w:tc>
          <w:tcPr>
            <w:tcW w:w="2651" w:type="dxa"/>
            <w:tcBorders>
              <w:top w:val="single" w:sz="4" w:space="0" w:color="000000"/>
              <w:left w:val="single" w:sz="4" w:space="0" w:color="000000"/>
              <w:bottom w:val="single" w:sz="4" w:space="0" w:color="000000"/>
            </w:tcBorders>
            <w:shd w:val="clear" w:color="auto" w:fill="DEEAF6"/>
          </w:tcPr>
          <w:p>
            <w:pPr>
              <w:pStyle w:val="TableParagraph"/>
              <w:spacing w:before="85"/>
              <w:ind w:left="1056" w:right="914"/>
              <w:jc w:val="center"/>
              <w:rPr>
                <w:b/>
                <w:sz w:val="13"/>
              </w:rPr>
            </w:pPr>
            <w:r>
              <w:rPr>
                <w:b/>
                <w:w w:val="105"/>
                <w:sz w:val="13"/>
              </w:rPr>
              <w:t>CAPÍTULOS</w:t>
            </w:r>
          </w:p>
        </w:tc>
        <w:tc>
          <w:tcPr>
            <w:tcW w:w="2146" w:type="dxa"/>
            <w:tcBorders>
              <w:top w:val="single" w:sz="4" w:space="0" w:color="000000"/>
              <w:bottom w:val="single" w:sz="4" w:space="0" w:color="000000"/>
            </w:tcBorders>
            <w:shd w:val="clear" w:color="auto" w:fill="DEEAF6"/>
          </w:tcPr>
          <w:p>
            <w:pPr>
              <w:pStyle w:val="TableParagraph"/>
              <w:spacing w:before="85"/>
              <w:ind w:left="338"/>
              <w:rPr>
                <w:b/>
                <w:sz w:val="13"/>
              </w:rPr>
            </w:pPr>
            <w:r>
              <w:rPr>
                <w:b/>
                <w:w w:val="105"/>
                <w:sz w:val="13"/>
              </w:rPr>
              <w:t>Obligaciones Reconocidas</w:t>
            </w:r>
          </w:p>
        </w:tc>
        <w:tc>
          <w:tcPr>
            <w:tcW w:w="1064" w:type="dxa"/>
            <w:tcBorders>
              <w:top w:val="single" w:sz="4" w:space="0" w:color="000000"/>
              <w:bottom w:val="single" w:sz="4" w:space="0" w:color="000000"/>
            </w:tcBorders>
            <w:shd w:val="clear" w:color="auto" w:fill="DEEAF6"/>
          </w:tcPr>
          <w:p>
            <w:pPr>
              <w:pStyle w:val="TableParagraph"/>
              <w:spacing w:before="85"/>
              <w:ind w:left="260"/>
              <w:rPr>
                <w:b/>
                <w:sz w:val="13"/>
              </w:rPr>
            </w:pPr>
            <w:r>
              <w:rPr>
                <w:b/>
                <w:w w:val="105"/>
                <w:sz w:val="13"/>
              </w:rPr>
              <w:t>Pagos</w:t>
            </w:r>
          </w:p>
        </w:tc>
        <w:tc>
          <w:tcPr>
            <w:tcW w:w="1314" w:type="dxa"/>
            <w:tcBorders>
              <w:top w:val="single" w:sz="4" w:space="0" w:color="000000"/>
              <w:bottom w:val="single" w:sz="4" w:space="0" w:color="000000"/>
              <w:right w:val="single" w:sz="4" w:space="0" w:color="000000"/>
            </w:tcBorders>
            <w:shd w:val="clear" w:color="auto" w:fill="DEEAF6"/>
          </w:tcPr>
          <w:p>
            <w:pPr>
              <w:pStyle w:val="TableParagraph"/>
              <w:spacing w:before="85"/>
              <w:ind w:left="112"/>
              <w:rPr>
                <w:b/>
                <w:sz w:val="13"/>
              </w:rPr>
            </w:pPr>
            <w:r>
              <w:rPr>
                <w:b/>
                <w:w w:val="105"/>
                <w:sz w:val="13"/>
              </w:rPr>
              <w:t>Pendiente de pago</w:t>
            </w:r>
          </w:p>
        </w:tc>
      </w:tr>
      <w:tr>
        <w:trPr>
          <w:trHeight w:val="222" w:hRule="atLeast"/>
        </w:trPr>
        <w:tc>
          <w:tcPr>
            <w:tcW w:w="2651" w:type="dxa"/>
            <w:tcBorders>
              <w:top w:val="single" w:sz="4" w:space="0" w:color="000000"/>
              <w:left w:val="single" w:sz="4" w:space="0" w:color="000000"/>
            </w:tcBorders>
          </w:tcPr>
          <w:p>
            <w:pPr>
              <w:pStyle w:val="TableParagraph"/>
              <w:spacing w:before="26"/>
              <w:ind w:left="57"/>
              <w:rPr>
                <w:sz w:val="13"/>
              </w:rPr>
            </w:pPr>
            <w:r>
              <w:rPr>
                <w:w w:val="105"/>
                <w:sz w:val="13"/>
              </w:rPr>
              <w:t>1 Gastos de personal</w:t>
            </w:r>
          </w:p>
        </w:tc>
        <w:tc>
          <w:tcPr>
            <w:tcW w:w="2146" w:type="dxa"/>
            <w:tcBorders>
              <w:top w:val="single" w:sz="4" w:space="0" w:color="000000"/>
            </w:tcBorders>
          </w:tcPr>
          <w:p>
            <w:pPr>
              <w:pStyle w:val="TableParagraph"/>
              <w:spacing w:before="26"/>
              <w:ind w:right="228"/>
              <w:jc w:val="right"/>
              <w:rPr>
                <w:sz w:val="13"/>
              </w:rPr>
            </w:pPr>
            <w:r>
              <w:rPr>
                <w:w w:val="105"/>
                <w:sz w:val="13"/>
              </w:rPr>
              <w:t>2.204.468,26</w:t>
            </w:r>
          </w:p>
        </w:tc>
        <w:tc>
          <w:tcPr>
            <w:tcW w:w="1064" w:type="dxa"/>
            <w:tcBorders>
              <w:top w:val="single" w:sz="4" w:space="0" w:color="000000"/>
            </w:tcBorders>
          </w:tcPr>
          <w:p>
            <w:pPr>
              <w:pStyle w:val="TableParagraph"/>
              <w:spacing w:before="26"/>
              <w:ind w:right="102"/>
              <w:jc w:val="right"/>
              <w:rPr>
                <w:sz w:val="13"/>
              </w:rPr>
            </w:pPr>
            <w:r>
              <w:rPr>
                <w:w w:val="105"/>
                <w:sz w:val="13"/>
              </w:rPr>
              <w:t>2.204.468,26</w:t>
            </w:r>
          </w:p>
        </w:tc>
        <w:tc>
          <w:tcPr>
            <w:tcW w:w="1314" w:type="dxa"/>
            <w:tcBorders>
              <w:top w:val="single" w:sz="4" w:space="0" w:color="000000"/>
              <w:right w:val="single" w:sz="4" w:space="0" w:color="000000"/>
            </w:tcBorders>
          </w:tcPr>
          <w:p>
            <w:pPr>
              <w:pStyle w:val="TableParagraph"/>
              <w:spacing w:before="26"/>
              <w:ind w:right="45"/>
              <w:jc w:val="right"/>
              <w:rPr>
                <w:sz w:val="13"/>
              </w:rPr>
            </w:pPr>
            <w:r>
              <w:rPr>
                <w:sz w:val="13"/>
              </w:rPr>
              <w:t>0,00</w:t>
            </w:r>
          </w:p>
        </w:tc>
      </w:tr>
      <w:tr>
        <w:trPr>
          <w:trHeight w:val="212" w:hRule="atLeast"/>
        </w:trPr>
        <w:tc>
          <w:tcPr>
            <w:tcW w:w="2651" w:type="dxa"/>
            <w:tcBorders>
              <w:left w:val="single" w:sz="4" w:space="0" w:color="000000"/>
            </w:tcBorders>
          </w:tcPr>
          <w:p>
            <w:pPr>
              <w:pStyle w:val="TableParagraph"/>
              <w:spacing w:before="16"/>
              <w:ind w:left="57"/>
              <w:rPr>
                <w:sz w:val="13"/>
              </w:rPr>
            </w:pPr>
            <w:r>
              <w:rPr>
                <w:w w:val="105"/>
                <w:sz w:val="13"/>
              </w:rPr>
              <w:t>2 Compra de bienes corrientes y servicios</w:t>
            </w:r>
          </w:p>
        </w:tc>
        <w:tc>
          <w:tcPr>
            <w:tcW w:w="2146" w:type="dxa"/>
          </w:tcPr>
          <w:p>
            <w:pPr>
              <w:pStyle w:val="TableParagraph"/>
              <w:spacing w:before="16"/>
              <w:ind w:right="228"/>
              <w:jc w:val="right"/>
              <w:rPr>
                <w:sz w:val="13"/>
              </w:rPr>
            </w:pPr>
            <w:r>
              <w:rPr>
                <w:w w:val="105"/>
                <w:sz w:val="13"/>
              </w:rPr>
              <w:t>1.119.266,47</w:t>
            </w:r>
          </w:p>
        </w:tc>
        <w:tc>
          <w:tcPr>
            <w:tcW w:w="1064" w:type="dxa"/>
          </w:tcPr>
          <w:p>
            <w:pPr>
              <w:pStyle w:val="TableParagraph"/>
              <w:spacing w:before="16"/>
              <w:ind w:right="102"/>
              <w:jc w:val="right"/>
              <w:rPr>
                <w:sz w:val="13"/>
              </w:rPr>
            </w:pPr>
            <w:r>
              <w:rPr>
                <w:w w:val="105"/>
                <w:sz w:val="13"/>
              </w:rPr>
              <w:t>1.065.472,24</w:t>
            </w:r>
          </w:p>
        </w:tc>
        <w:tc>
          <w:tcPr>
            <w:tcW w:w="1314" w:type="dxa"/>
            <w:tcBorders>
              <w:right w:val="single" w:sz="4" w:space="0" w:color="000000"/>
            </w:tcBorders>
          </w:tcPr>
          <w:p>
            <w:pPr>
              <w:pStyle w:val="TableParagraph"/>
              <w:spacing w:before="16"/>
              <w:ind w:right="47"/>
              <w:jc w:val="right"/>
              <w:rPr>
                <w:sz w:val="13"/>
              </w:rPr>
            </w:pPr>
            <w:r>
              <w:rPr>
                <w:sz w:val="13"/>
              </w:rPr>
              <w:t>53.794,23</w:t>
            </w:r>
          </w:p>
        </w:tc>
      </w:tr>
      <w:tr>
        <w:trPr>
          <w:trHeight w:val="212" w:hRule="atLeast"/>
        </w:trPr>
        <w:tc>
          <w:tcPr>
            <w:tcW w:w="2651" w:type="dxa"/>
            <w:tcBorders>
              <w:left w:val="single" w:sz="4" w:space="0" w:color="000000"/>
            </w:tcBorders>
          </w:tcPr>
          <w:p>
            <w:pPr>
              <w:pStyle w:val="TableParagraph"/>
              <w:spacing w:before="16"/>
              <w:ind w:left="57"/>
              <w:rPr>
                <w:sz w:val="13"/>
              </w:rPr>
            </w:pPr>
            <w:r>
              <w:rPr>
                <w:w w:val="105"/>
                <w:sz w:val="13"/>
              </w:rPr>
              <w:t>3 Gastos Financieros</w:t>
            </w:r>
          </w:p>
        </w:tc>
        <w:tc>
          <w:tcPr>
            <w:tcW w:w="2146" w:type="dxa"/>
          </w:tcPr>
          <w:p>
            <w:pPr>
              <w:pStyle w:val="TableParagraph"/>
              <w:spacing w:before="16"/>
              <w:ind w:right="228"/>
              <w:jc w:val="right"/>
              <w:rPr>
                <w:sz w:val="13"/>
              </w:rPr>
            </w:pPr>
            <w:r>
              <w:rPr>
                <w:sz w:val="13"/>
              </w:rPr>
              <w:t>651,41</w:t>
            </w:r>
          </w:p>
        </w:tc>
        <w:tc>
          <w:tcPr>
            <w:tcW w:w="1064" w:type="dxa"/>
          </w:tcPr>
          <w:p>
            <w:pPr>
              <w:pStyle w:val="TableParagraph"/>
              <w:spacing w:before="16"/>
              <w:ind w:right="103"/>
              <w:jc w:val="right"/>
              <w:rPr>
                <w:sz w:val="13"/>
              </w:rPr>
            </w:pPr>
            <w:r>
              <w:rPr>
                <w:sz w:val="13"/>
              </w:rPr>
              <w:t>651,37</w:t>
            </w:r>
          </w:p>
        </w:tc>
        <w:tc>
          <w:tcPr>
            <w:tcW w:w="1314" w:type="dxa"/>
            <w:tcBorders>
              <w:right w:val="single" w:sz="4" w:space="0" w:color="000000"/>
            </w:tcBorders>
          </w:tcPr>
          <w:p>
            <w:pPr>
              <w:pStyle w:val="TableParagraph"/>
              <w:spacing w:before="16"/>
              <w:ind w:right="47"/>
              <w:jc w:val="right"/>
              <w:rPr>
                <w:sz w:val="13"/>
              </w:rPr>
            </w:pPr>
            <w:r>
              <w:rPr>
                <w:sz w:val="13"/>
              </w:rPr>
              <w:t>0,03</w:t>
            </w:r>
          </w:p>
        </w:tc>
      </w:tr>
      <w:tr>
        <w:trPr>
          <w:trHeight w:val="212" w:hRule="atLeast"/>
        </w:trPr>
        <w:tc>
          <w:tcPr>
            <w:tcW w:w="2651" w:type="dxa"/>
            <w:tcBorders>
              <w:left w:val="single" w:sz="4" w:space="0" w:color="000000"/>
            </w:tcBorders>
          </w:tcPr>
          <w:p>
            <w:pPr>
              <w:pStyle w:val="TableParagraph"/>
              <w:spacing w:before="15"/>
              <w:ind w:left="57"/>
              <w:rPr>
                <w:sz w:val="13"/>
              </w:rPr>
            </w:pPr>
            <w:r>
              <w:rPr>
                <w:w w:val="105"/>
                <w:sz w:val="13"/>
              </w:rPr>
              <w:t>4 Transferencias corrientes</w:t>
            </w:r>
          </w:p>
        </w:tc>
        <w:tc>
          <w:tcPr>
            <w:tcW w:w="2146" w:type="dxa"/>
          </w:tcPr>
          <w:p>
            <w:pPr>
              <w:pStyle w:val="TableParagraph"/>
              <w:spacing w:before="15"/>
              <w:ind w:right="228"/>
              <w:jc w:val="right"/>
              <w:rPr>
                <w:sz w:val="13"/>
              </w:rPr>
            </w:pPr>
            <w:r>
              <w:rPr>
                <w:w w:val="105"/>
                <w:sz w:val="13"/>
              </w:rPr>
              <w:t>1.266.038,17</w:t>
            </w:r>
          </w:p>
        </w:tc>
        <w:tc>
          <w:tcPr>
            <w:tcW w:w="1064" w:type="dxa"/>
          </w:tcPr>
          <w:p>
            <w:pPr>
              <w:pStyle w:val="TableParagraph"/>
              <w:spacing w:before="15"/>
              <w:ind w:right="102"/>
              <w:jc w:val="right"/>
              <w:rPr>
                <w:sz w:val="13"/>
              </w:rPr>
            </w:pPr>
            <w:r>
              <w:rPr>
                <w:w w:val="105"/>
                <w:sz w:val="13"/>
              </w:rPr>
              <w:t>1.044.858,77</w:t>
            </w:r>
          </w:p>
        </w:tc>
        <w:tc>
          <w:tcPr>
            <w:tcW w:w="1314" w:type="dxa"/>
            <w:tcBorders>
              <w:right w:val="single" w:sz="4" w:space="0" w:color="000000"/>
            </w:tcBorders>
          </w:tcPr>
          <w:p>
            <w:pPr>
              <w:pStyle w:val="TableParagraph"/>
              <w:spacing w:before="15"/>
              <w:ind w:right="47"/>
              <w:jc w:val="right"/>
              <w:rPr>
                <w:sz w:val="13"/>
              </w:rPr>
            </w:pPr>
            <w:r>
              <w:rPr>
                <w:w w:val="105"/>
                <w:sz w:val="13"/>
              </w:rPr>
              <w:t>221.179,40</w:t>
            </w:r>
          </w:p>
        </w:tc>
      </w:tr>
      <w:tr>
        <w:trPr>
          <w:trHeight w:val="212" w:hRule="atLeast"/>
        </w:trPr>
        <w:tc>
          <w:tcPr>
            <w:tcW w:w="2651" w:type="dxa"/>
            <w:tcBorders>
              <w:left w:val="single" w:sz="4" w:space="0" w:color="000000"/>
            </w:tcBorders>
          </w:tcPr>
          <w:p>
            <w:pPr>
              <w:pStyle w:val="TableParagraph"/>
              <w:spacing w:before="16"/>
              <w:ind w:left="57"/>
              <w:rPr>
                <w:b/>
                <w:sz w:val="13"/>
              </w:rPr>
            </w:pPr>
            <w:r>
              <w:rPr>
                <w:b/>
                <w:w w:val="105"/>
                <w:sz w:val="13"/>
              </w:rPr>
              <w:t>Operaciones corrientes</w:t>
            </w:r>
          </w:p>
        </w:tc>
        <w:tc>
          <w:tcPr>
            <w:tcW w:w="2146" w:type="dxa"/>
          </w:tcPr>
          <w:p>
            <w:pPr>
              <w:pStyle w:val="TableParagraph"/>
              <w:spacing w:before="16"/>
              <w:ind w:right="228"/>
              <w:jc w:val="right"/>
              <w:rPr>
                <w:b/>
                <w:sz w:val="13"/>
              </w:rPr>
            </w:pPr>
            <w:r>
              <w:rPr>
                <w:b/>
                <w:w w:val="105"/>
                <w:sz w:val="13"/>
              </w:rPr>
              <w:t>4.590.424,30</w:t>
            </w:r>
          </w:p>
        </w:tc>
        <w:tc>
          <w:tcPr>
            <w:tcW w:w="1064" w:type="dxa"/>
          </w:tcPr>
          <w:p>
            <w:pPr>
              <w:pStyle w:val="TableParagraph"/>
              <w:spacing w:before="16"/>
              <w:ind w:right="102"/>
              <w:jc w:val="right"/>
              <w:rPr>
                <w:b/>
                <w:sz w:val="13"/>
              </w:rPr>
            </w:pPr>
            <w:r>
              <w:rPr>
                <w:b/>
                <w:w w:val="105"/>
                <w:sz w:val="13"/>
              </w:rPr>
              <w:t>4.315.450,63</w:t>
            </w:r>
          </w:p>
        </w:tc>
        <w:tc>
          <w:tcPr>
            <w:tcW w:w="1314" w:type="dxa"/>
            <w:tcBorders>
              <w:right w:val="single" w:sz="4" w:space="0" w:color="000000"/>
            </w:tcBorders>
          </w:tcPr>
          <w:p>
            <w:pPr>
              <w:pStyle w:val="TableParagraph"/>
              <w:spacing w:before="16"/>
              <w:ind w:right="47"/>
              <w:jc w:val="right"/>
              <w:rPr>
                <w:b/>
                <w:sz w:val="13"/>
              </w:rPr>
            </w:pPr>
            <w:r>
              <w:rPr>
                <w:b/>
                <w:w w:val="105"/>
                <w:sz w:val="13"/>
              </w:rPr>
              <w:t>274.973,66</w:t>
            </w:r>
          </w:p>
        </w:tc>
      </w:tr>
      <w:tr>
        <w:trPr>
          <w:trHeight w:val="212" w:hRule="atLeast"/>
        </w:trPr>
        <w:tc>
          <w:tcPr>
            <w:tcW w:w="2651" w:type="dxa"/>
            <w:tcBorders>
              <w:left w:val="single" w:sz="4" w:space="0" w:color="000000"/>
            </w:tcBorders>
          </w:tcPr>
          <w:p>
            <w:pPr>
              <w:pStyle w:val="TableParagraph"/>
              <w:spacing w:before="15"/>
              <w:ind w:left="57"/>
              <w:rPr>
                <w:sz w:val="13"/>
              </w:rPr>
            </w:pPr>
            <w:r>
              <w:rPr>
                <w:w w:val="105"/>
                <w:sz w:val="13"/>
              </w:rPr>
              <w:t>6 Inversiones reales</w:t>
            </w:r>
          </w:p>
        </w:tc>
        <w:tc>
          <w:tcPr>
            <w:tcW w:w="2146" w:type="dxa"/>
          </w:tcPr>
          <w:p>
            <w:pPr>
              <w:pStyle w:val="TableParagraph"/>
              <w:spacing w:before="15"/>
              <w:ind w:right="228"/>
              <w:jc w:val="right"/>
              <w:rPr>
                <w:sz w:val="13"/>
              </w:rPr>
            </w:pPr>
            <w:r>
              <w:rPr>
                <w:w w:val="105"/>
                <w:sz w:val="13"/>
              </w:rPr>
              <w:t>108.675,72</w:t>
            </w:r>
          </w:p>
        </w:tc>
        <w:tc>
          <w:tcPr>
            <w:tcW w:w="1064" w:type="dxa"/>
          </w:tcPr>
          <w:p>
            <w:pPr>
              <w:pStyle w:val="TableParagraph"/>
              <w:spacing w:before="15"/>
              <w:ind w:right="103"/>
              <w:jc w:val="right"/>
              <w:rPr>
                <w:sz w:val="13"/>
              </w:rPr>
            </w:pPr>
            <w:r>
              <w:rPr>
                <w:sz w:val="13"/>
              </w:rPr>
              <w:t>80.132,69</w:t>
            </w:r>
          </w:p>
        </w:tc>
        <w:tc>
          <w:tcPr>
            <w:tcW w:w="1314" w:type="dxa"/>
            <w:tcBorders>
              <w:right w:val="single" w:sz="4" w:space="0" w:color="000000"/>
            </w:tcBorders>
          </w:tcPr>
          <w:p>
            <w:pPr>
              <w:pStyle w:val="TableParagraph"/>
              <w:spacing w:before="15"/>
              <w:ind w:right="47"/>
              <w:jc w:val="right"/>
              <w:rPr>
                <w:sz w:val="13"/>
              </w:rPr>
            </w:pPr>
            <w:r>
              <w:rPr>
                <w:sz w:val="13"/>
              </w:rPr>
              <w:t>28.543,03</w:t>
            </w:r>
          </w:p>
        </w:tc>
      </w:tr>
      <w:tr>
        <w:trPr>
          <w:trHeight w:val="212" w:hRule="atLeast"/>
        </w:trPr>
        <w:tc>
          <w:tcPr>
            <w:tcW w:w="2651" w:type="dxa"/>
            <w:tcBorders>
              <w:left w:val="single" w:sz="4" w:space="0" w:color="000000"/>
            </w:tcBorders>
          </w:tcPr>
          <w:p>
            <w:pPr>
              <w:pStyle w:val="TableParagraph"/>
              <w:spacing w:before="16"/>
              <w:ind w:left="57"/>
              <w:rPr>
                <w:sz w:val="13"/>
              </w:rPr>
            </w:pPr>
            <w:r>
              <w:rPr>
                <w:w w:val="105"/>
                <w:sz w:val="13"/>
              </w:rPr>
              <w:t>7 Transferencias de capital</w:t>
            </w:r>
          </w:p>
        </w:tc>
        <w:tc>
          <w:tcPr>
            <w:tcW w:w="2146" w:type="dxa"/>
          </w:tcPr>
          <w:p>
            <w:pPr>
              <w:pStyle w:val="TableParagraph"/>
              <w:spacing w:before="16"/>
              <w:ind w:right="228"/>
              <w:jc w:val="right"/>
              <w:rPr>
                <w:sz w:val="13"/>
              </w:rPr>
            </w:pPr>
            <w:r>
              <w:rPr>
                <w:w w:val="105"/>
                <w:sz w:val="13"/>
              </w:rPr>
              <w:t>120.116,60</w:t>
            </w:r>
          </w:p>
        </w:tc>
        <w:tc>
          <w:tcPr>
            <w:tcW w:w="1064" w:type="dxa"/>
          </w:tcPr>
          <w:p>
            <w:pPr>
              <w:pStyle w:val="TableParagraph"/>
              <w:spacing w:before="16"/>
              <w:ind w:right="103"/>
              <w:jc w:val="right"/>
              <w:rPr>
                <w:sz w:val="13"/>
              </w:rPr>
            </w:pPr>
            <w:r>
              <w:rPr>
                <w:sz w:val="13"/>
              </w:rPr>
              <w:t>82.975,16</w:t>
            </w:r>
          </w:p>
        </w:tc>
        <w:tc>
          <w:tcPr>
            <w:tcW w:w="1314" w:type="dxa"/>
            <w:tcBorders>
              <w:right w:val="single" w:sz="4" w:space="0" w:color="000000"/>
            </w:tcBorders>
          </w:tcPr>
          <w:p>
            <w:pPr>
              <w:pStyle w:val="TableParagraph"/>
              <w:spacing w:before="16"/>
              <w:ind w:right="47"/>
              <w:jc w:val="right"/>
              <w:rPr>
                <w:sz w:val="13"/>
              </w:rPr>
            </w:pPr>
            <w:r>
              <w:rPr>
                <w:sz w:val="13"/>
              </w:rPr>
              <w:t>37.141,45</w:t>
            </w:r>
          </w:p>
        </w:tc>
      </w:tr>
      <w:tr>
        <w:trPr>
          <w:trHeight w:val="199" w:hRule="atLeast"/>
        </w:trPr>
        <w:tc>
          <w:tcPr>
            <w:tcW w:w="2651" w:type="dxa"/>
            <w:tcBorders>
              <w:left w:val="single" w:sz="4" w:space="0" w:color="000000"/>
            </w:tcBorders>
          </w:tcPr>
          <w:p>
            <w:pPr>
              <w:pStyle w:val="TableParagraph"/>
              <w:spacing w:before="15"/>
              <w:ind w:left="57"/>
              <w:rPr>
                <w:b/>
                <w:sz w:val="13"/>
              </w:rPr>
            </w:pPr>
            <w:r>
              <w:rPr>
                <w:b/>
                <w:w w:val="105"/>
                <w:sz w:val="13"/>
              </w:rPr>
              <w:t>Operaciones de capital</w:t>
            </w:r>
          </w:p>
        </w:tc>
        <w:tc>
          <w:tcPr>
            <w:tcW w:w="2146" w:type="dxa"/>
          </w:tcPr>
          <w:p>
            <w:pPr>
              <w:pStyle w:val="TableParagraph"/>
              <w:spacing w:before="15"/>
              <w:ind w:right="228"/>
              <w:jc w:val="right"/>
              <w:rPr>
                <w:b/>
                <w:sz w:val="13"/>
              </w:rPr>
            </w:pPr>
            <w:r>
              <w:rPr>
                <w:b/>
                <w:w w:val="105"/>
                <w:sz w:val="13"/>
              </w:rPr>
              <w:t>228.792,32</w:t>
            </w:r>
          </w:p>
        </w:tc>
        <w:tc>
          <w:tcPr>
            <w:tcW w:w="1064" w:type="dxa"/>
          </w:tcPr>
          <w:p>
            <w:pPr>
              <w:pStyle w:val="TableParagraph"/>
              <w:spacing w:before="15"/>
              <w:ind w:right="102"/>
              <w:jc w:val="right"/>
              <w:rPr>
                <w:b/>
                <w:sz w:val="13"/>
              </w:rPr>
            </w:pPr>
            <w:r>
              <w:rPr>
                <w:b/>
                <w:w w:val="105"/>
                <w:sz w:val="13"/>
              </w:rPr>
              <w:t>163.107,84</w:t>
            </w:r>
          </w:p>
        </w:tc>
        <w:tc>
          <w:tcPr>
            <w:tcW w:w="1314" w:type="dxa"/>
            <w:tcBorders>
              <w:right w:val="single" w:sz="4" w:space="0" w:color="000000"/>
            </w:tcBorders>
          </w:tcPr>
          <w:p>
            <w:pPr>
              <w:pStyle w:val="TableParagraph"/>
              <w:spacing w:before="15"/>
              <w:ind w:right="47"/>
              <w:jc w:val="right"/>
              <w:rPr>
                <w:b/>
                <w:sz w:val="13"/>
              </w:rPr>
            </w:pPr>
            <w:r>
              <w:rPr>
                <w:b/>
                <w:w w:val="105"/>
                <w:sz w:val="13"/>
              </w:rPr>
              <w:t>65.684,48</w:t>
            </w:r>
          </w:p>
        </w:tc>
      </w:tr>
      <w:tr>
        <w:trPr>
          <w:trHeight w:val="213" w:hRule="atLeast"/>
        </w:trPr>
        <w:tc>
          <w:tcPr>
            <w:tcW w:w="2651" w:type="dxa"/>
            <w:tcBorders>
              <w:left w:val="single" w:sz="4" w:space="0" w:color="000000"/>
            </w:tcBorders>
            <w:shd w:val="clear" w:color="auto" w:fill="F1F1F1"/>
          </w:tcPr>
          <w:p>
            <w:pPr>
              <w:pStyle w:val="TableParagraph"/>
              <w:spacing w:before="27"/>
              <w:ind w:left="609"/>
              <w:rPr>
                <w:b/>
                <w:sz w:val="13"/>
              </w:rPr>
            </w:pPr>
            <w:r>
              <w:rPr>
                <w:b/>
                <w:w w:val="105"/>
                <w:sz w:val="13"/>
              </w:rPr>
              <w:t>Operaciones NO Financieras</w:t>
            </w:r>
          </w:p>
        </w:tc>
        <w:tc>
          <w:tcPr>
            <w:tcW w:w="2146" w:type="dxa"/>
            <w:shd w:val="clear" w:color="auto" w:fill="F1F1F1"/>
          </w:tcPr>
          <w:p>
            <w:pPr>
              <w:pStyle w:val="TableParagraph"/>
              <w:spacing w:before="27"/>
              <w:ind w:right="228"/>
              <w:jc w:val="right"/>
              <w:rPr>
                <w:b/>
                <w:sz w:val="13"/>
              </w:rPr>
            </w:pPr>
            <w:r>
              <w:rPr>
                <w:b/>
                <w:w w:val="105"/>
                <w:sz w:val="13"/>
              </w:rPr>
              <w:t>4.819.216,62</w:t>
            </w:r>
          </w:p>
        </w:tc>
        <w:tc>
          <w:tcPr>
            <w:tcW w:w="1064" w:type="dxa"/>
            <w:shd w:val="clear" w:color="auto" w:fill="F1F1F1"/>
          </w:tcPr>
          <w:p>
            <w:pPr>
              <w:pStyle w:val="TableParagraph"/>
              <w:spacing w:before="27"/>
              <w:ind w:right="102"/>
              <w:jc w:val="right"/>
              <w:rPr>
                <w:b/>
                <w:sz w:val="13"/>
              </w:rPr>
            </w:pPr>
            <w:r>
              <w:rPr>
                <w:b/>
                <w:w w:val="105"/>
                <w:sz w:val="13"/>
              </w:rPr>
              <w:t>4.478.558,48</w:t>
            </w:r>
          </w:p>
        </w:tc>
        <w:tc>
          <w:tcPr>
            <w:tcW w:w="1314" w:type="dxa"/>
            <w:tcBorders>
              <w:right w:val="single" w:sz="4" w:space="0" w:color="000000"/>
            </w:tcBorders>
            <w:shd w:val="clear" w:color="auto" w:fill="F1F1F1"/>
          </w:tcPr>
          <w:p>
            <w:pPr>
              <w:pStyle w:val="TableParagraph"/>
              <w:spacing w:before="27"/>
              <w:ind w:right="45"/>
              <w:jc w:val="right"/>
              <w:rPr>
                <w:b/>
                <w:sz w:val="13"/>
              </w:rPr>
            </w:pPr>
            <w:r>
              <w:rPr>
                <w:b/>
                <w:w w:val="105"/>
                <w:sz w:val="13"/>
              </w:rPr>
              <w:t>340.658,14</w:t>
            </w:r>
          </w:p>
        </w:tc>
      </w:tr>
      <w:tr>
        <w:trPr>
          <w:trHeight w:val="425" w:hRule="atLeast"/>
        </w:trPr>
        <w:tc>
          <w:tcPr>
            <w:tcW w:w="2651" w:type="dxa"/>
            <w:tcBorders>
              <w:left w:val="single" w:sz="4" w:space="0" w:color="000000"/>
            </w:tcBorders>
          </w:tcPr>
          <w:p>
            <w:pPr>
              <w:pStyle w:val="TableParagraph"/>
              <w:numPr>
                <w:ilvl w:val="0"/>
                <w:numId w:val="37"/>
              </w:numPr>
              <w:tabs>
                <w:tab w:pos="157" w:val="left" w:leader="none"/>
              </w:tabs>
              <w:spacing w:line="240" w:lineRule="auto" w:before="27" w:after="0"/>
              <w:ind w:left="156" w:right="0" w:hanging="100"/>
              <w:jc w:val="left"/>
              <w:rPr>
                <w:sz w:val="13"/>
              </w:rPr>
            </w:pPr>
            <w:r>
              <w:rPr>
                <w:sz w:val="13"/>
              </w:rPr>
              <w:t>Activos</w:t>
            </w:r>
            <w:r>
              <w:rPr>
                <w:spacing w:val="24"/>
                <w:sz w:val="13"/>
              </w:rPr>
              <w:t> </w:t>
            </w:r>
            <w:r>
              <w:rPr>
                <w:sz w:val="13"/>
              </w:rPr>
              <w:t>financieros</w:t>
            </w:r>
          </w:p>
          <w:p>
            <w:pPr>
              <w:pStyle w:val="TableParagraph"/>
              <w:numPr>
                <w:ilvl w:val="0"/>
                <w:numId w:val="37"/>
              </w:numPr>
              <w:tabs>
                <w:tab w:pos="157" w:val="left" w:leader="none"/>
              </w:tabs>
              <w:spacing w:line="240" w:lineRule="auto" w:before="53" w:after="0"/>
              <w:ind w:left="156" w:right="0" w:hanging="100"/>
              <w:jc w:val="left"/>
              <w:rPr>
                <w:sz w:val="13"/>
              </w:rPr>
            </w:pPr>
            <w:r>
              <w:rPr>
                <w:sz w:val="13"/>
              </w:rPr>
              <w:t>Pasivos</w:t>
            </w:r>
            <w:r>
              <w:rPr>
                <w:spacing w:val="24"/>
                <w:sz w:val="13"/>
              </w:rPr>
              <w:t> </w:t>
            </w:r>
            <w:r>
              <w:rPr>
                <w:sz w:val="13"/>
              </w:rPr>
              <w:t>financieros</w:t>
            </w:r>
          </w:p>
        </w:tc>
        <w:tc>
          <w:tcPr>
            <w:tcW w:w="2146" w:type="dxa"/>
          </w:tcPr>
          <w:p>
            <w:pPr>
              <w:pStyle w:val="TableParagraph"/>
              <w:spacing w:before="27"/>
              <w:ind w:right="228"/>
              <w:jc w:val="right"/>
              <w:rPr>
                <w:sz w:val="13"/>
              </w:rPr>
            </w:pPr>
            <w:r>
              <w:rPr>
                <w:spacing w:val="-1"/>
                <w:w w:val="105"/>
                <w:sz w:val="13"/>
              </w:rPr>
              <w:t>228.792,32</w:t>
            </w:r>
          </w:p>
          <w:p>
            <w:pPr>
              <w:pStyle w:val="TableParagraph"/>
              <w:spacing w:before="53"/>
              <w:ind w:right="228"/>
              <w:jc w:val="right"/>
              <w:rPr>
                <w:sz w:val="13"/>
              </w:rPr>
            </w:pPr>
            <w:r>
              <w:rPr>
                <w:spacing w:val="-1"/>
                <w:w w:val="105"/>
                <w:sz w:val="13"/>
              </w:rPr>
              <w:t>1.253,75</w:t>
            </w:r>
          </w:p>
        </w:tc>
        <w:tc>
          <w:tcPr>
            <w:tcW w:w="1064" w:type="dxa"/>
          </w:tcPr>
          <w:p>
            <w:pPr>
              <w:pStyle w:val="TableParagraph"/>
              <w:spacing w:before="27"/>
              <w:ind w:right="103"/>
              <w:jc w:val="right"/>
              <w:rPr>
                <w:sz w:val="13"/>
              </w:rPr>
            </w:pPr>
            <w:r>
              <w:rPr>
                <w:spacing w:val="-1"/>
                <w:w w:val="105"/>
                <w:sz w:val="13"/>
              </w:rPr>
              <w:t>163.107,84</w:t>
            </w:r>
          </w:p>
          <w:p>
            <w:pPr>
              <w:pStyle w:val="TableParagraph"/>
              <w:spacing w:before="53"/>
              <w:ind w:right="103"/>
              <w:jc w:val="right"/>
              <w:rPr>
                <w:sz w:val="13"/>
              </w:rPr>
            </w:pPr>
            <w:r>
              <w:rPr>
                <w:spacing w:val="-1"/>
                <w:w w:val="105"/>
                <w:sz w:val="13"/>
              </w:rPr>
              <w:t>1.253,75</w:t>
            </w:r>
          </w:p>
        </w:tc>
        <w:tc>
          <w:tcPr>
            <w:tcW w:w="1314" w:type="dxa"/>
            <w:tcBorders>
              <w:right w:val="single" w:sz="4" w:space="0" w:color="000000"/>
            </w:tcBorders>
          </w:tcPr>
          <w:p>
            <w:pPr>
              <w:pStyle w:val="TableParagraph"/>
              <w:spacing w:before="3"/>
              <w:ind w:right="45"/>
              <w:jc w:val="right"/>
              <w:rPr>
                <w:sz w:val="13"/>
              </w:rPr>
            </w:pPr>
            <w:r>
              <w:rPr>
                <w:sz w:val="13"/>
              </w:rPr>
              <w:t>0,00</w:t>
            </w:r>
          </w:p>
          <w:p>
            <w:pPr>
              <w:pStyle w:val="TableParagraph"/>
              <w:spacing w:before="53"/>
              <w:ind w:right="45"/>
              <w:jc w:val="right"/>
              <w:rPr>
                <w:sz w:val="13"/>
              </w:rPr>
            </w:pPr>
            <w:r>
              <w:rPr>
                <w:sz w:val="13"/>
              </w:rPr>
              <w:t>0,00</w:t>
            </w:r>
          </w:p>
        </w:tc>
      </w:tr>
      <w:tr>
        <w:trPr>
          <w:trHeight w:val="210" w:hRule="atLeast"/>
        </w:trPr>
        <w:tc>
          <w:tcPr>
            <w:tcW w:w="2651" w:type="dxa"/>
            <w:tcBorders>
              <w:left w:val="single" w:sz="4" w:space="0" w:color="000000"/>
              <w:bottom w:val="single" w:sz="4" w:space="0" w:color="000000"/>
            </w:tcBorders>
            <w:shd w:val="clear" w:color="auto" w:fill="F1F1F1"/>
          </w:tcPr>
          <w:p>
            <w:pPr>
              <w:pStyle w:val="TableParagraph"/>
              <w:spacing w:before="27"/>
              <w:ind w:left="714"/>
              <w:rPr>
                <w:b/>
                <w:sz w:val="13"/>
              </w:rPr>
            </w:pPr>
            <w:r>
              <w:rPr>
                <w:b/>
                <w:w w:val="105"/>
                <w:sz w:val="13"/>
              </w:rPr>
              <w:t>Operaciones Financieras</w:t>
            </w:r>
          </w:p>
        </w:tc>
        <w:tc>
          <w:tcPr>
            <w:tcW w:w="2146" w:type="dxa"/>
            <w:tcBorders>
              <w:bottom w:val="single" w:sz="4" w:space="0" w:color="000000"/>
            </w:tcBorders>
            <w:shd w:val="clear" w:color="auto" w:fill="F1F1F1"/>
          </w:tcPr>
          <w:p>
            <w:pPr>
              <w:pStyle w:val="TableParagraph"/>
              <w:spacing w:before="27"/>
              <w:ind w:right="228"/>
              <w:jc w:val="right"/>
              <w:rPr>
                <w:b/>
                <w:sz w:val="13"/>
              </w:rPr>
            </w:pPr>
            <w:r>
              <w:rPr>
                <w:b/>
                <w:w w:val="105"/>
                <w:sz w:val="13"/>
              </w:rPr>
              <w:t>14.476,92</w:t>
            </w:r>
          </w:p>
        </w:tc>
        <w:tc>
          <w:tcPr>
            <w:tcW w:w="1064" w:type="dxa"/>
            <w:tcBorders>
              <w:bottom w:val="single" w:sz="4" w:space="0" w:color="000000"/>
            </w:tcBorders>
            <w:shd w:val="clear" w:color="auto" w:fill="F1F1F1"/>
          </w:tcPr>
          <w:p>
            <w:pPr>
              <w:pStyle w:val="TableParagraph"/>
              <w:spacing w:before="27"/>
              <w:ind w:right="102"/>
              <w:jc w:val="right"/>
              <w:rPr>
                <w:b/>
                <w:sz w:val="13"/>
              </w:rPr>
            </w:pPr>
            <w:r>
              <w:rPr>
                <w:b/>
                <w:w w:val="105"/>
                <w:sz w:val="13"/>
              </w:rPr>
              <w:t>14.476,92</w:t>
            </w:r>
          </w:p>
        </w:tc>
        <w:tc>
          <w:tcPr>
            <w:tcW w:w="1314" w:type="dxa"/>
            <w:tcBorders>
              <w:bottom w:val="single" w:sz="4" w:space="0" w:color="000000"/>
              <w:right w:val="single" w:sz="4" w:space="0" w:color="000000"/>
            </w:tcBorders>
            <w:shd w:val="clear" w:color="auto" w:fill="F1F1F1"/>
          </w:tcPr>
          <w:p>
            <w:pPr>
              <w:pStyle w:val="TableParagraph"/>
              <w:spacing w:before="3"/>
              <w:ind w:right="47"/>
              <w:jc w:val="right"/>
              <w:rPr>
                <w:b/>
                <w:sz w:val="13"/>
              </w:rPr>
            </w:pPr>
            <w:r>
              <w:rPr>
                <w:b/>
                <w:w w:val="105"/>
                <w:sz w:val="13"/>
              </w:rPr>
              <w:t>0,00</w:t>
            </w:r>
          </w:p>
        </w:tc>
      </w:tr>
      <w:tr>
        <w:trPr>
          <w:trHeight w:val="163" w:hRule="atLeast"/>
        </w:trPr>
        <w:tc>
          <w:tcPr>
            <w:tcW w:w="2651" w:type="dxa"/>
            <w:tcBorders>
              <w:top w:val="single" w:sz="4" w:space="0" w:color="000000"/>
              <w:left w:val="single" w:sz="4" w:space="0" w:color="000000"/>
              <w:bottom w:val="single" w:sz="4" w:space="0" w:color="000000"/>
            </w:tcBorders>
            <w:shd w:val="clear" w:color="auto" w:fill="D9D9D9"/>
          </w:tcPr>
          <w:p>
            <w:pPr>
              <w:pStyle w:val="TableParagraph"/>
              <w:spacing w:line="141" w:lineRule="exact" w:before="2"/>
              <w:ind w:left="877"/>
              <w:rPr>
                <w:b/>
                <w:sz w:val="13"/>
              </w:rPr>
            </w:pPr>
            <w:r>
              <w:rPr>
                <w:b/>
                <w:w w:val="105"/>
                <w:sz w:val="13"/>
              </w:rPr>
              <w:t>TOTAL (</w:t>
            </w:r>
            <w:r>
              <w:rPr>
                <w:w w:val="105"/>
                <w:sz w:val="13"/>
              </w:rPr>
              <w:t>miles de €</w:t>
            </w:r>
            <w:r>
              <w:rPr>
                <w:b/>
                <w:w w:val="105"/>
                <w:sz w:val="13"/>
              </w:rPr>
              <w:t>)</w:t>
            </w:r>
          </w:p>
        </w:tc>
        <w:tc>
          <w:tcPr>
            <w:tcW w:w="2146" w:type="dxa"/>
            <w:tcBorders>
              <w:top w:val="single" w:sz="4" w:space="0" w:color="000000"/>
              <w:bottom w:val="single" w:sz="4" w:space="0" w:color="000000"/>
            </w:tcBorders>
            <w:shd w:val="clear" w:color="auto" w:fill="D9D9D9"/>
          </w:tcPr>
          <w:p>
            <w:pPr>
              <w:pStyle w:val="TableParagraph"/>
              <w:spacing w:line="141" w:lineRule="exact" w:before="2"/>
              <w:ind w:right="228"/>
              <w:jc w:val="right"/>
              <w:rPr>
                <w:b/>
                <w:sz w:val="13"/>
              </w:rPr>
            </w:pPr>
            <w:r>
              <w:rPr>
                <w:b/>
                <w:w w:val="105"/>
                <w:sz w:val="13"/>
              </w:rPr>
              <w:t>4.833.693,54</w:t>
            </w:r>
          </w:p>
        </w:tc>
        <w:tc>
          <w:tcPr>
            <w:tcW w:w="1064" w:type="dxa"/>
            <w:tcBorders>
              <w:top w:val="single" w:sz="4" w:space="0" w:color="000000"/>
              <w:bottom w:val="single" w:sz="4" w:space="0" w:color="000000"/>
            </w:tcBorders>
            <w:shd w:val="clear" w:color="auto" w:fill="D9D9D9"/>
          </w:tcPr>
          <w:p>
            <w:pPr>
              <w:pStyle w:val="TableParagraph"/>
              <w:spacing w:line="141" w:lineRule="exact" w:before="2"/>
              <w:ind w:right="102"/>
              <w:jc w:val="right"/>
              <w:rPr>
                <w:b/>
                <w:sz w:val="13"/>
              </w:rPr>
            </w:pPr>
            <w:r>
              <w:rPr>
                <w:b/>
                <w:w w:val="105"/>
                <w:sz w:val="13"/>
              </w:rPr>
              <w:t>4.493.035,40</w:t>
            </w:r>
          </w:p>
        </w:tc>
        <w:tc>
          <w:tcPr>
            <w:tcW w:w="1314" w:type="dxa"/>
            <w:tcBorders>
              <w:top w:val="single" w:sz="4" w:space="0" w:color="000000"/>
              <w:bottom w:val="single" w:sz="4" w:space="0" w:color="000000"/>
              <w:right w:val="single" w:sz="4" w:space="0" w:color="000000"/>
            </w:tcBorders>
            <w:shd w:val="clear" w:color="auto" w:fill="D9D9D9"/>
          </w:tcPr>
          <w:p>
            <w:pPr>
              <w:pStyle w:val="TableParagraph"/>
              <w:spacing w:line="141" w:lineRule="exact" w:before="2"/>
              <w:ind w:right="47"/>
              <w:jc w:val="right"/>
              <w:rPr>
                <w:b/>
                <w:sz w:val="13"/>
              </w:rPr>
            </w:pPr>
            <w:r>
              <w:rPr>
                <w:b/>
                <w:w w:val="105"/>
                <w:sz w:val="13"/>
              </w:rPr>
              <w:t>340.658,14</w:t>
            </w:r>
          </w:p>
        </w:tc>
      </w:tr>
    </w:tbl>
    <w:p>
      <w:pPr>
        <w:pStyle w:val="BodyText"/>
        <w:spacing w:before="7"/>
        <w:rPr>
          <w:b/>
          <w:sz w:val="16"/>
        </w:rPr>
      </w:pPr>
    </w:p>
    <w:p>
      <w:pPr>
        <w:pStyle w:val="ListParagraph"/>
        <w:numPr>
          <w:ilvl w:val="0"/>
          <w:numId w:val="38"/>
        </w:numPr>
        <w:tabs>
          <w:tab w:pos="2335" w:val="left" w:leader="none"/>
        </w:tabs>
        <w:spacing w:line="242" w:lineRule="auto" w:before="0" w:after="0"/>
        <w:ind w:left="2334" w:right="1138" w:hanging="238"/>
        <w:jc w:val="both"/>
        <w:rPr>
          <w:sz w:val="20"/>
        </w:rPr>
      </w:pPr>
      <w:r>
        <w:rPr>
          <w:sz w:val="20"/>
        </w:rPr>
        <w:t>La mayoría de las obligaciones reconocidas se registran como operaciones corrientes (95,1 %), distribuidas entre gastos de personal (46,6 %), compra de bienes y servicios (23,2 %) y transferencias corrientes (26,2 %), estas últimas registradas, prácticamente, en el SCS (17,3 %) y el SCE (8,2 %). El 86,3 % de estas transferencias en el SCS, dieron cobertura al gasto de recetas farmacéuticas (666,4 millones de €). En el caso del SCE, se aplican a las políticas activas de empleo, entre las que</w:t>
      </w:r>
      <w:r>
        <w:rPr>
          <w:spacing w:val="-31"/>
          <w:sz w:val="20"/>
        </w:rPr>
        <w:t> </w:t>
      </w:r>
      <w:r>
        <w:rPr>
          <w:sz w:val="20"/>
        </w:rPr>
        <w:t>destacan las de inserción y reinserción de desempleados, por importe de 270 millones de</w:t>
      </w:r>
      <w:r>
        <w:rPr>
          <w:spacing w:val="16"/>
          <w:sz w:val="20"/>
        </w:rPr>
        <w:t> </w:t>
      </w:r>
      <w:r>
        <w:rPr>
          <w:sz w:val="20"/>
        </w:rPr>
        <w:t>€.</w:t>
      </w:r>
    </w:p>
    <w:p>
      <w:pPr>
        <w:pStyle w:val="BodyText"/>
        <w:spacing w:before="1"/>
        <w:rPr>
          <w:sz w:val="16"/>
        </w:rPr>
      </w:pPr>
    </w:p>
    <w:p>
      <w:pPr>
        <w:pStyle w:val="ListParagraph"/>
        <w:numPr>
          <w:ilvl w:val="0"/>
          <w:numId w:val="38"/>
        </w:numPr>
        <w:tabs>
          <w:tab w:pos="2335" w:val="left" w:leader="none"/>
        </w:tabs>
        <w:spacing w:line="240" w:lineRule="auto" w:before="0" w:after="0"/>
        <w:ind w:left="2334" w:right="1141" w:hanging="238"/>
        <w:jc w:val="both"/>
        <w:rPr>
          <w:sz w:val="20"/>
        </w:rPr>
      </w:pPr>
      <w:r>
        <w:rPr>
          <w:sz w:val="20"/>
        </w:rPr>
        <w:t>Si se compara los gastos con los registrados en 2021, estos disminuyen en 4,7 millones de € a causa, en especial, por el decremento en las partidas de operaciones corrientes: gastos de personal (en 2,2 millones de €), compra de bienes y servicios (en 2,2 millones de €) y transferencias corrientes (en 1,2 millones de</w:t>
      </w:r>
      <w:r>
        <w:rPr>
          <w:spacing w:val="7"/>
          <w:sz w:val="20"/>
        </w:rPr>
        <w:t> </w:t>
      </w:r>
      <w:r>
        <w:rPr>
          <w:sz w:val="20"/>
        </w:rPr>
        <w:t>€).</w:t>
      </w:r>
    </w:p>
    <w:p>
      <w:pPr>
        <w:pStyle w:val="BodyText"/>
        <w:spacing w:before="1"/>
        <w:rPr>
          <w:sz w:val="17"/>
        </w:rPr>
      </w:pPr>
    </w:p>
    <w:p>
      <w:pPr>
        <w:pStyle w:val="ListParagraph"/>
        <w:numPr>
          <w:ilvl w:val="0"/>
          <w:numId w:val="38"/>
        </w:numPr>
        <w:tabs>
          <w:tab w:pos="2335" w:val="left" w:leader="none"/>
        </w:tabs>
        <w:spacing w:line="242" w:lineRule="auto" w:before="0" w:after="0"/>
        <w:ind w:left="2334" w:right="1138" w:hanging="238"/>
        <w:jc w:val="both"/>
        <w:rPr>
          <w:sz w:val="20"/>
        </w:rPr>
      </w:pPr>
      <w:r>
        <w:rPr>
          <w:sz w:val="20"/>
        </w:rPr>
        <w:t>El mayor gasto corresponde al personal con 2.204,5 millones de €, donde el SCS acumula el 96,6 % (2.128,7 millones de €). No obstante, si se descuenta el efecto del SCS, el gasto de personal sólo representa el 10 % del total de las obligaciones reconocidas para estas</w:t>
      </w:r>
      <w:r>
        <w:rPr>
          <w:spacing w:val="-3"/>
          <w:sz w:val="20"/>
        </w:rPr>
        <w:t> </w:t>
      </w:r>
      <w:r>
        <w:rPr>
          <w:sz w:val="20"/>
        </w:rPr>
        <w:t>entidades.</w:t>
      </w:r>
    </w:p>
    <w:p>
      <w:pPr>
        <w:pStyle w:val="BodyText"/>
      </w:pPr>
    </w:p>
    <w:p>
      <w:pPr>
        <w:pStyle w:val="BodyText"/>
        <w:spacing w:before="1"/>
        <w:rPr>
          <w:sz w:val="18"/>
        </w:rPr>
      </w:pPr>
    </w:p>
    <w:p>
      <w:pPr>
        <w:pStyle w:val="BodyText"/>
        <w:spacing w:before="61"/>
        <w:ind w:left="7897"/>
        <w:jc w:val="center"/>
      </w:pPr>
      <w:r>
        <w:rPr/>
        <w:t>79</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69" name="image5.png"/>
                  <wp:cNvGraphicFramePr>
                    <a:graphicFrameLocks noChangeAspect="1"/>
                  </wp:cNvGraphicFramePr>
                  <a:graphic>
                    <a:graphicData uri="http://schemas.openxmlformats.org/drawingml/2006/picture">
                      <pic:pic>
                        <pic:nvPicPr>
                          <pic:cNvPr id="17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81/247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2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8"/>
        <w:gridCol w:w="1308"/>
        <w:gridCol w:w="1727"/>
        <w:gridCol w:w="1725"/>
      </w:tblGrid>
      <w:tr>
        <w:trPr>
          <w:trHeight w:val="189" w:hRule="atLeast"/>
        </w:trPr>
        <w:tc>
          <w:tcPr>
            <w:tcW w:w="2378" w:type="dxa"/>
            <w:tcBorders>
              <w:bottom w:val="nil"/>
            </w:tcBorders>
          </w:tcPr>
          <w:p>
            <w:pPr>
              <w:pStyle w:val="TableParagraph"/>
              <w:rPr>
                <w:rFonts w:ascii="Times New Roman"/>
                <w:sz w:val="12"/>
              </w:rPr>
            </w:pPr>
          </w:p>
        </w:tc>
        <w:tc>
          <w:tcPr>
            <w:tcW w:w="4760" w:type="dxa"/>
            <w:gridSpan w:val="3"/>
            <w:shd w:val="clear" w:color="auto" w:fill="DEEAF6"/>
          </w:tcPr>
          <w:p>
            <w:pPr>
              <w:pStyle w:val="TableParagraph"/>
              <w:spacing w:line="153" w:lineRule="exact" w:before="16"/>
              <w:ind w:left="1323"/>
              <w:rPr>
                <w:b/>
                <w:sz w:val="13"/>
              </w:rPr>
            </w:pPr>
            <w:r>
              <w:rPr>
                <w:b/>
                <w:w w:val="105"/>
                <w:sz w:val="13"/>
              </w:rPr>
              <w:t>Obligaciones Reconocidas (</w:t>
            </w:r>
            <w:r>
              <w:rPr>
                <w:w w:val="105"/>
                <w:sz w:val="13"/>
              </w:rPr>
              <w:t>miles de €</w:t>
            </w:r>
            <w:r>
              <w:rPr>
                <w:b/>
                <w:w w:val="105"/>
                <w:sz w:val="13"/>
              </w:rPr>
              <w:t>)</w:t>
            </w:r>
          </w:p>
        </w:tc>
      </w:tr>
      <w:tr>
        <w:trPr>
          <w:trHeight w:val="189" w:hRule="atLeast"/>
        </w:trPr>
        <w:tc>
          <w:tcPr>
            <w:tcW w:w="2378" w:type="dxa"/>
            <w:tcBorders>
              <w:top w:val="nil"/>
              <w:bottom w:val="nil"/>
            </w:tcBorders>
          </w:tcPr>
          <w:p>
            <w:pPr>
              <w:pStyle w:val="TableParagraph"/>
              <w:rPr>
                <w:rFonts w:ascii="Times New Roman"/>
                <w:sz w:val="12"/>
              </w:rPr>
            </w:pPr>
          </w:p>
        </w:tc>
        <w:tc>
          <w:tcPr>
            <w:tcW w:w="1308" w:type="dxa"/>
            <w:tcBorders>
              <w:right w:val="nil"/>
            </w:tcBorders>
            <w:shd w:val="clear" w:color="auto" w:fill="DEEAF6"/>
          </w:tcPr>
          <w:p>
            <w:pPr>
              <w:pStyle w:val="TableParagraph"/>
              <w:spacing w:line="153" w:lineRule="exact" w:before="16"/>
              <w:ind w:left="450" w:right="444"/>
              <w:jc w:val="center"/>
              <w:rPr>
                <w:b/>
                <w:sz w:val="13"/>
              </w:rPr>
            </w:pPr>
            <w:r>
              <w:rPr>
                <w:b/>
                <w:w w:val="105"/>
                <w:sz w:val="13"/>
              </w:rPr>
              <w:t>TOTAL</w:t>
            </w:r>
          </w:p>
        </w:tc>
        <w:tc>
          <w:tcPr>
            <w:tcW w:w="1727" w:type="dxa"/>
            <w:tcBorders>
              <w:left w:val="nil"/>
              <w:right w:val="nil"/>
            </w:tcBorders>
            <w:shd w:val="clear" w:color="auto" w:fill="DEEAF6"/>
          </w:tcPr>
          <w:p>
            <w:pPr>
              <w:pStyle w:val="TableParagraph"/>
              <w:spacing w:line="153" w:lineRule="exact" w:before="16"/>
              <w:ind w:left="835" w:right="650"/>
              <w:jc w:val="center"/>
              <w:rPr>
                <w:b/>
                <w:sz w:val="13"/>
              </w:rPr>
            </w:pPr>
            <w:r>
              <w:rPr>
                <w:b/>
                <w:w w:val="105"/>
                <w:sz w:val="13"/>
              </w:rPr>
              <w:t>SCS</w:t>
            </w:r>
          </w:p>
        </w:tc>
        <w:tc>
          <w:tcPr>
            <w:tcW w:w="1725" w:type="dxa"/>
            <w:tcBorders>
              <w:left w:val="nil"/>
            </w:tcBorders>
            <w:shd w:val="clear" w:color="auto" w:fill="DEEAF6"/>
          </w:tcPr>
          <w:p>
            <w:pPr>
              <w:pStyle w:val="TableParagraph"/>
              <w:spacing w:line="153" w:lineRule="exact" w:before="16"/>
              <w:ind w:left="391" w:right="203"/>
              <w:jc w:val="center"/>
              <w:rPr>
                <w:b/>
                <w:sz w:val="13"/>
              </w:rPr>
            </w:pPr>
            <w:r>
              <w:rPr>
                <w:b/>
                <w:w w:val="105"/>
                <w:sz w:val="13"/>
              </w:rPr>
              <w:t>Resto de entidades</w:t>
            </w:r>
          </w:p>
        </w:tc>
      </w:tr>
      <w:tr>
        <w:trPr>
          <w:trHeight w:val="200" w:hRule="atLeast"/>
        </w:trPr>
        <w:tc>
          <w:tcPr>
            <w:tcW w:w="2378" w:type="dxa"/>
            <w:tcBorders>
              <w:top w:val="nil"/>
              <w:bottom w:val="nil"/>
            </w:tcBorders>
          </w:tcPr>
          <w:p>
            <w:pPr>
              <w:pStyle w:val="TableParagraph"/>
              <w:spacing w:before="14"/>
              <w:ind w:left="57"/>
              <w:rPr>
                <w:sz w:val="13"/>
              </w:rPr>
            </w:pPr>
            <w:r>
              <w:rPr>
                <w:w w:val="105"/>
                <w:sz w:val="13"/>
              </w:rPr>
              <w:t>Gastos de personal (A)</w:t>
            </w:r>
          </w:p>
        </w:tc>
        <w:tc>
          <w:tcPr>
            <w:tcW w:w="1308" w:type="dxa"/>
            <w:tcBorders>
              <w:bottom w:val="nil"/>
            </w:tcBorders>
          </w:tcPr>
          <w:p>
            <w:pPr>
              <w:pStyle w:val="TableParagraph"/>
              <w:spacing w:before="14"/>
              <w:ind w:left="191" w:right="179"/>
              <w:jc w:val="center"/>
              <w:rPr>
                <w:sz w:val="13"/>
              </w:rPr>
            </w:pPr>
            <w:r>
              <w:rPr>
                <w:w w:val="105"/>
                <w:sz w:val="13"/>
              </w:rPr>
              <w:t>2.204.468,26</w:t>
            </w:r>
          </w:p>
        </w:tc>
        <w:tc>
          <w:tcPr>
            <w:tcW w:w="1727" w:type="dxa"/>
            <w:tcBorders>
              <w:bottom w:val="nil"/>
              <w:right w:val="nil"/>
            </w:tcBorders>
          </w:tcPr>
          <w:p>
            <w:pPr>
              <w:pStyle w:val="TableParagraph"/>
              <w:spacing w:before="14"/>
              <w:ind w:left="564" w:right="384"/>
              <w:jc w:val="center"/>
              <w:rPr>
                <w:sz w:val="13"/>
              </w:rPr>
            </w:pPr>
            <w:r>
              <w:rPr>
                <w:w w:val="105"/>
                <w:sz w:val="13"/>
              </w:rPr>
              <w:t>2.128.731,35</w:t>
            </w:r>
          </w:p>
        </w:tc>
        <w:tc>
          <w:tcPr>
            <w:tcW w:w="1725" w:type="dxa"/>
            <w:tcBorders>
              <w:left w:val="nil"/>
              <w:bottom w:val="nil"/>
            </w:tcBorders>
          </w:tcPr>
          <w:p>
            <w:pPr>
              <w:pStyle w:val="TableParagraph"/>
              <w:spacing w:before="14"/>
              <w:ind w:left="391" w:right="142"/>
              <w:jc w:val="center"/>
              <w:rPr>
                <w:sz w:val="13"/>
              </w:rPr>
            </w:pPr>
            <w:r>
              <w:rPr>
                <w:w w:val="105"/>
                <w:sz w:val="13"/>
              </w:rPr>
              <w:t>75.736,91</w:t>
            </w:r>
          </w:p>
        </w:tc>
      </w:tr>
      <w:tr>
        <w:trPr>
          <w:trHeight w:val="190" w:hRule="atLeast"/>
        </w:trPr>
        <w:tc>
          <w:tcPr>
            <w:tcW w:w="2378" w:type="dxa"/>
            <w:tcBorders>
              <w:top w:val="nil"/>
              <w:bottom w:val="nil"/>
            </w:tcBorders>
          </w:tcPr>
          <w:p>
            <w:pPr>
              <w:pStyle w:val="TableParagraph"/>
              <w:spacing w:before="5"/>
              <w:ind w:left="57"/>
              <w:rPr>
                <w:sz w:val="13"/>
              </w:rPr>
            </w:pPr>
            <w:r>
              <w:rPr>
                <w:b/>
                <w:w w:val="105"/>
                <w:sz w:val="13"/>
              </w:rPr>
              <w:t>TOTAL Obligaciones Reconocidas </w:t>
            </w:r>
            <w:r>
              <w:rPr>
                <w:w w:val="105"/>
                <w:sz w:val="13"/>
              </w:rPr>
              <w:t>(B)</w:t>
            </w:r>
          </w:p>
        </w:tc>
        <w:tc>
          <w:tcPr>
            <w:tcW w:w="1308" w:type="dxa"/>
            <w:tcBorders>
              <w:top w:val="nil"/>
              <w:bottom w:val="nil"/>
            </w:tcBorders>
          </w:tcPr>
          <w:p>
            <w:pPr>
              <w:pStyle w:val="TableParagraph"/>
              <w:spacing w:before="5"/>
              <w:ind w:left="189" w:right="179"/>
              <w:jc w:val="center"/>
              <w:rPr>
                <w:b/>
                <w:sz w:val="13"/>
              </w:rPr>
            </w:pPr>
            <w:r>
              <w:rPr>
                <w:b/>
                <w:w w:val="105"/>
                <w:sz w:val="13"/>
              </w:rPr>
              <w:t>4.833.693,54</w:t>
            </w:r>
          </w:p>
        </w:tc>
        <w:tc>
          <w:tcPr>
            <w:tcW w:w="1727" w:type="dxa"/>
            <w:tcBorders>
              <w:top w:val="nil"/>
              <w:bottom w:val="nil"/>
              <w:right w:val="nil"/>
            </w:tcBorders>
          </w:tcPr>
          <w:p>
            <w:pPr>
              <w:pStyle w:val="TableParagraph"/>
              <w:spacing w:before="5"/>
              <w:ind w:left="564" w:right="386"/>
              <w:jc w:val="center"/>
              <w:rPr>
                <w:b/>
                <w:sz w:val="13"/>
              </w:rPr>
            </w:pPr>
            <w:r>
              <w:rPr>
                <w:b/>
                <w:w w:val="105"/>
                <w:sz w:val="13"/>
              </w:rPr>
              <w:t>4.074.742,05</w:t>
            </w:r>
          </w:p>
        </w:tc>
        <w:tc>
          <w:tcPr>
            <w:tcW w:w="1725" w:type="dxa"/>
            <w:tcBorders>
              <w:top w:val="nil"/>
              <w:left w:val="nil"/>
              <w:bottom w:val="nil"/>
            </w:tcBorders>
          </w:tcPr>
          <w:p>
            <w:pPr>
              <w:pStyle w:val="TableParagraph"/>
              <w:spacing w:before="5"/>
              <w:ind w:left="390" w:right="203"/>
              <w:jc w:val="center"/>
              <w:rPr>
                <w:b/>
                <w:sz w:val="13"/>
              </w:rPr>
            </w:pPr>
            <w:r>
              <w:rPr>
                <w:b/>
                <w:w w:val="105"/>
                <w:sz w:val="13"/>
              </w:rPr>
              <w:t>758.951,49</w:t>
            </w:r>
          </w:p>
        </w:tc>
      </w:tr>
      <w:tr>
        <w:trPr>
          <w:trHeight w:val="179" w:hRule="atLeast"/>
        </w:trPr>
        <w:tc>
          <w:tcPr>
            <w:tcW w:w="2378" w:type="dxa"/>
            <w:tcBorders>
              <w:top w:val="nil"/>
            </w:tcBorders>
          </w:tcPr>
          <w:p>
            <w:pPr>
              <w:pStyle w:val="TableParagraph"/>
              <w:spacing w:line="155" w:lineRule="exact" w:before="4"/>
              <w:ind w:left="966"/>
              <w:rPr>
                <w:b/>
                <w:sz w:val="13"/>
              </w:rPr>
            </w:pPr>
            <w:r>
              <w:rPr>
                <w:b/>
                <w:w w:val="105"/>
                <w:sz w:val="13"/>
              </w:rPr>
              <w:t>(A) / (B)</w:t>
            </w:r>
          </w:p>
        </w:tc>
        <w:tc>
          <w:tcPr>
            <w:tcW w:w="1308" w:type="dxa"/>
            <w:tcBorders>
              <w:top w:val="nil"/>
            </w:tcBorders>
          </w:tcPr>
          <w:p>
            <w:pPr>
              <w:pStyle w:val="TableParagraph"/>
              <w:spacing w:line="155" w:lineRule="exact" w:before="4"/>
              <w:ind w:left="189" w:right="179"/>
              <w:jc w:val="center"/>
              <w:rPr>
                <w:sz w:val="13"/>
              </w:rPr>
            </w:pPr>
            <w:r>
              <w:rPr>
                <w:w w:val="105"/>
                <w:sz w:val="13"/>
              </w:rPr>
              <w:t>45,61%</w:t>
            </w:r>
          </w:p>
        </w:tc>
        <w:tc>
          <w:tcPr>
            <w:tcW w:w="1727" w:type="dxa"/>
            <w:tcBorders>
              <w:top w:val="nil"/>
              <w:right w:val="nil"/>
            </w:tcBorders>
          </w:tcPr>
          <w:p>
            <w:pPr>
              <w:pStyle w:val="TableParagraph"/>
              <w:spacing w:line="155" w:lineRule="exact" w:before="4"/>
              <w:ind w:left="564" w:right="386"/>
              <w:jc w:val="center"/>
              <w:rPr>
                <w:sz w:val="13"/>
              </w:rPr>
            </w:pPr>
            <w:r>
              <w:rPr>
                <w:w w:val="105"/>
                <w:sz w:val="13"/>
              </w:rPr>
              <w:t>52,24%</w:t>
            </w:r>
          </w:p>
        </w:tc>
        <w:tc>
          <w:tcPr>
            <w:tcW w:w="1725" w:type="dxa"/>
            <w:tcBorders>
              <w:top w:val="nil"/>
              <w:left w:val="nil"/>
            </w:tcBorders>
          </w:tcPr>
          <w:p>
            <w:pPr>
              <w:pStyle w:val="TableParagraph"/>
              <w:spacing w:line="155" w:lineRule="exact" w:before="4"/>
              <w:ind w:left="391" w:right="202"/>
              <w:jc w:val="center"/>
              <w:rPr>
                <w:sz w:val="13"/>
              </w:rPr>
            </w:pPr>
            <w:r>
              <w:rPr>
                <w:w w:val="105"/>
                <w:sz w:val="13"/>
              </w:rPr>
              <w:t>9,98%</w:t>
            </w:r>
          </w:p>
        </w:tc>
      </w:tr>
    </w:tbl>
    <w:p>
      <w:pPr>
        <w:pStyle w:val="BodyText"/>
        <w:spacing w:before="7"/>
        <w:rPr>
          <w:b/>
          <w:sz w:val="11"/>
        </w:rPr>
      </w:pPr>
    </w:p>
    <w:p>
      <w:pPr>
        <w:pStyle w:val="BodyText"/>
        <w:spacing w:before="61"/>
        <w:ind w:left="2334" w:right="1139"/>
        <w:jc w:val="both"/>
      </w:pPr>
      <w:r>
        <w:rPr/>
        <w:t>A</w:t>
      </w:r>
      <w:r>
        <w:rPr>
          <w:spacing w:val="-8"/>
        </w:rPr>
        <w:t> </w:t>
      </w:r>
      <w:r>
        <w:rPr/>
        <w:t>continuación,</w:t>
      </w:r>
      <w:r>
        <w:rPr>
          <w:spacing w:val="-7"/>
        </w:rPr>
        <w:t> </w:t>
      </w:r>
      <w:r>
        <w:rPr/>
        <w:t>se</w:t>
      </w:r>
      <w:r>
        <w:rPr>
          <w:spacing w:val="-10"/>
        </w:rPr>
        <w:t> </w:t>
      </w:r>
      <w:r>
        <w:rPr/>
        <w:t>analiza</w:t>
      </w:r>
      <w:r>
        <w:rPr>
          <w:spacing w:val="-7"/>
        </w:rPr>
        <w:t> </w:t>
      </w:r>
      <w:r>
        <w:rPr/>
        <w:t>el</w:t>
      </w:r>
      <w:r>
        <w:rPr>
          <w:spacing w:val="-8"/>
        </w:rPr>
        <w:t> </w:t>
      </w:r>
      <w:r>
        <w:rPr/>
        <w:t>grado</w:t>
      </w:r>
      <w:r>
        <w:rPr>
          <w:spacing w:val="-9"/>
        </w:rPr>
        <w:t> </w:t>
      </w:r>
      <w:r>
        <w:rPr/>
        <w:t>de</w:t>
      </w:r>
      <w:r>
        <w:rPr>
          <w:spacing w:val="-8"/>
        </w:rPr>
        <w:t> </w:t>
      </w:r>
      <w:r>
        <w:rPr/>
        <w:t>cobertura</w:t>
      </w:r>
      <w:r>
        <w:rPr>
          <w:spacing w:val="-9"/>
        </w:rPr>
        <w:t> </w:t>
      </w:r>
      <w:r>
        <w:rPr/>
        <w:t>de</w:t>
      </w:r>
      <w:r>
        <w:rPr>
          <w:spacing w:val="-8"/>
        </w:rPr>
        <w:t> </w:t>
      </w:r>
      <w:r>
        <w:rPr/>
        <w:t>personal</w:t>
      </w:r>
      <w:r>
        <w:rPr>
          <w:spacing w:val="-5"/>
        </w:rPr>
        <w:t> </w:t>
      </w:r>
      <w:r>
        <w:rPr/>
        <w:t>que</w:t>
      </w:r>
      <w:r>
        <w:rPr>
          <w:spacing w:val="-8"/>
        </w:rPr>
        <w:t> </w:t>
      </w:r>
      <w:r>
        <w:rPr/>
        <w:t>tuvo</w:t>
      </w:r>
      <w:r>
        <w:rPr>
          <w:spacing w:val="-7"/>
        </w:rPr>
        <w:t> </w:t>
      </w:r>
      <w:r>
        <w:rPr/>
        <w:t>estas</w:t>
      </w:r>
      <w:r>
        <w:rPr>
          <w:spacing w:val="-10"/>
        </w:rPr>
        <w:t> </w:t>
      </w:r>
      <w:r>
        <w:rPr/>
        <w:t>entidades en</w:t>
      </w:r>
      <w:r>
        <w:rPr>
          <w:spacing w:val="-5"/>
        </w:rPr>
        <w:t> </w:t>
      </w:r>
      <w:r>
        <w:rPr/>
        <w:t>2022,</w:t>
      </w:r>
      <w:r>
        <w:rPr>
          <w:spacing w:val="-7"/>
        </w:rPr>
        <w:t> </w:t>
      </w:r>
      <w:r>
        <w:rPr/>
        <w:t>de</w:t>
      </w:r>
      <w:r>
        <w:rPr>
          <w:spacing w:val="-8"/>
        </w:rPr>
        <w:t> </w:t>
      </w:r>
      <w:r>
        <w:rPr/>
        <w:t>lo</w:t>
      </w:r>
      <w:r>
        <w:rPr>
          <w:spacing w:val="-7"/>
        </w:rPr>
        <w:t> </w:t>
      </w:r>
      <w:r>
        <w:rPr/>
        <w:t>que</w:t>
      </w:r>
      <w:r>
        <w:rPr>
          <w:spacing w:val="-6"/>
        </w:rPr>
        <w:t> </w:t>
      </w:r>
      <w:r>
        <w:rPr/>
        <w:t>se</w:t>
      </w:r>
      <w:r>
        <w:rPr>
          <w:spacing w:val="-7"/>
        </w:rPr>
        <w:t> </w:t>
      </w:r>
      <w:r>
        <w:rPr/>
        <w:t>desprende</w:t>
      </w:r>
      <w:r>
        <w:rPr>
          <w:spacing w:val="-8"/>
        </w:rPr>
        <w:t> </w:t>
      </w:r>
      <w:r>
        <w:rPr/>
        <w:t>que,</w:t>
      </w:r>
      <w:r>
        <w:rPr>
          <w:spacing w:val="-5"/>
        </w:rPr>
        <w:t> </w:t>
      </w:r>
      <w:r>
        <w:rPr/>
        <w:t>para</w:t>
      </w:r>
      <w:r>
        <w:rPr>
          <w:spacing w:val="-6"/>
        </w:rPr>
        <w:t> </w:t>
      </w:r>
      <w:r>
        <w:rPr/>
        <w:t>la</w:t>
      </w:r>
      <w:r>
        <w:rPr>
          <w:spacing w:val="-7"/>
        </w:rPr>
        <w:t> </w:t>
      </w:r>
      <w:r>
        <w:rPr/>
        <w:t>mayoría,</w:t>
      </w:r>
      <w:r>
        <w:rPr>
          <w:spacing w:val="-6"/>
        </w:rPr>
        <w:t> </w:t>
      </w:r>
      <w:r>
        <w:rPr/>
        <w:t>dicha</w:t>
      </w:r>
      <w:r>
        <w:rPr>
          <w:spacing w:val="-7"/>
        </w:rPr>
        <w:t> </w:t>
      </w:r>
      <w:r>
        <w:rPr/>
        <w:t>tasa</w:t>
      </w:r>
      <w:r>
        <w:rPr>
          <w:spacing w:val="-6"/>
        </w:rPr>
        <w:t> </w:t>
      </w:r>
      <w:r>
        <w:rPr/>
        <w:t>es</w:t>
      </w:r>
      <w:r>
        <w:rPr>
          <w:spacing w:val="-7"/>
        </w:rPr>
        <w:t> </w:t>
      </w:r>
      <w:r>
        <w:rPr/>
        <w:t>negativa,</w:t>
      </w:r>
      <w:r>
        <w:rPr>
          <w:spacing w:val="-5"/>
        </w:rPr>
        <w:t> </w:t>
      </w:r>
      <w:r>
        <w:rPr/>
        <w:t>excepto para el SCS, ICHH, ACCUE y</w:t>
      </w:r>
      <w:r>
        <w:rPr>
          <w:spacing w:val="2"/>
        </w:rPr>
        <w:t> </w:t>
      </w:r>
      <w:r>
        <w:rPr/>
        <w:t>RTVC.</w:t>
      </w:r>
    </w:p>
    <w:p>
      <w:pPr>
        <w:pStyle w:val="BodyText"/>
        <w:spacing w:before="11"/>
        <w:rPr>
          <w:sz w:val="16"/>
        </w:rPr>
      </w:pPr>
    </w:p>
    <w:p>
      <w:pPr>
        <w:pStyle w:val="BodyText"/>
        <w:ind w:left="2334" w:right="1138"/>
        <w:jc w:val="both"/>
        <w:rPr>
          <w:sz w:val="13"/>
        </w:rPr>
      </w:pPr>
      <w:r>
        <w:rPr/>
        <w:t>Del SCS se hace un análisis específico en el epígrafe 4.4. Sin tener en cuenta a este Organismo, la diferencia agregada entre la plantilla orgánica y los efectivos reales es de</w:t>
      </w:r>
      <w:r>
        <w:rPr>
          <w:spacing w:val="-4"/>
        </w:rPr>
        <w:t> </w:t>
      </w:r>
      <w:r>
        <w:rPr/>
        <w:t>-</w:t>
      </w:r>
      <w:r>
        <w:rPr>
          <w:spacing w:val="-1"/>
        </w:rPr>
        <w:t> </w:t>
      </w:r>
      <w:r>
        <w:rPr/>
        <w:t>558</w:t>
      </w:r>
      <w:r>
        <w:rPr>
          <w:spacing w:val="-3"/>
        </w:rPr>
        <w:t> </w:t>
      </w:r>
      <w:r>
        <w:rPr/>
        <w:t>trabajadores</w:t>
      </w:r>
      <w:r>
        <w:rPr>
          <w:spacing w:val="-4"/>
        </w:rPr>
        <w:t> </w:t>
      </w:r>
      <w:r>
        <w:rPr/>
        <w:t>para</w:t>
      </w:r>
      <w:r>
        <w:rPr>
          <w:spacing w:val="-2"/>
        </w:rPr>
        <w:t> </w:t>
      </w:r>
      <w:r>
        <w:rPr/>
        <w:t>el</w:t>
      </w:r>
      <w:r>
        <w:rPr>
          <w:spacing w:val="-3"/>
        </w:rPr>
        <w:t> </w:t>
      </w:r>
      <w:r>
        <w:rPr/>
        <w:t>resto</w:t>
      </w:r>
      <w:r>
        <w:rPr>
          <w:spacing w:val="-4"/>
        </w:rPr>
        <w:t> </w:t>
      </w:r>
      <w:r>
        <w:rPr/>
        <w:t>de</w:t>
      </w:r>
      <w:r>
        <w:rPr>
          <w:spacing w:val="-1"/>
        </w:rPr>
        <w:t> </w:t>
      </w:r>
      <w:r>
        <w:rPr/>
        <w:t>las</w:t>
      </w:r>
      <w:r>
        <w:rPr>
          <w:spacing w:val="-4"/>
        </w:rPr>
        <w:t> </w:t>
      </w:r>
      <w:r>
        <w:rPr/>
        <w:t>entidades, quedando</w:t>
      </w:r>
      <w:r>
        <w:rPr>
          <w:spacing w:val="-4"/>
        </w:rPr>
        <w:t> </w:t>
      </w:r>
      <w:r>
        <w:rPr/>
        <w:t>sin</w:t>
      </w:r>
      <w:r>
        <w:rPr>
          <w:spacing w:val="-3"/>
        </w:rPr>
        <w:t> </w:t>
      </w:r>
      <w:r>
        <w:rPr/>
        <w:t>cubrir</w:t>
      </w:r>
      <w:r>
        <w:rPr>
          <w:spacing w:val="-2"/>
        </w:rPr>
        <w:t> </w:t>
      </w:r>
      <w:r>
        <w:rPr/>
        <w:t>el</w:t>
      </w:r>
      <w:r>
        <w:rPr>
          <w:spacing w:val="-5"/>
        </w:rPr>
        <w:t> </w:t>
      </w:r>
      <w:r>
        <w:rPr/>
        <w:t>27,1</w:t>
      </w:r>
      <w:r>
        <w:rPr>
          <w:spacing w:val="-4"/>
        </w:rPr>
        <w:t> </w:t>
      </w:r>
      <w:r>
        <w:rPr/>
        <w:t>%</w:t>
      </w:r>
      <w:r>
        <w:rPr>
          <w:spacing w:val="-3"/>
        </w:rPr>
        <w:t> </w:t>
      </w:r>
      <w:r>
        <w:rPr/>
        <w:t>de la plantilla total. En términos absolutos, destacan las desviaciones de signo negativo del SCE y</w:t>
      </w:r>
      <w:r>
        <w:rPr>
          <w:spacing w:val="-1"/>
        </w:rPr>
        <w:t> </w:t>
      </w:r>
      <w:r>
        <w:rPr/>
        <w:t>ATC.</w:t>
      </w:r>
      <w:r>
        <w:rPr>
          <w:position w:val="7"/>
          <w:sz w:val="13"/>
        </w:rPr>
        <w:t>18</w:t>
      </w:r>
    </w:p>
    <w:p>
      <w:pPr>
        <w:pStyle w:val="BodyText"/>
        <w:spacing w:before="11"/>
        <w:rPr>
          <w:sz w:val="16"/>
        </w:rPr>
      </w:pPr>
    </w:p>
    <w:tbl>
      <w:tblPr>
        <w:tblW w:w="0" w:type="auto"/>
        <w:jc w:val="left"/>
        <w:tblInd w:w="3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
        <w:gridCol w:w="1896"/>
        <w:gridCol w:w="1968"/>
      </w:tblGrid>
      <w:tr>
        <w:trPr>
          <w:trHeight w:val="235" w:hRule="atLeast"/>
        </w:trPr>
        <w:tc>
          <w:tcPr>
            <w:tcW w:w="1118"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896" w:type="dxa"/>
            <w:tcBorders>
              <w:top w:val="single" w:sz="4" w:space="0" w:color="000000"/>
              <w:left w:val="single" w:sz="4" w:space="0" w:color="000000"/>
            </w:tcBorders>
            <w:shd w:val="clear" w:color="auto" w:fill="DEEAF6"/>
          </w:tcPr>
          <w:p>
            <w:pPr>
              <w:pStyle w:val="TableParagraph"/>
              <w:spacing w:before="22"/>
              <w:ind w:left="466" w:right="423"/>
              <w:jc w:val="center"/>
              <w:rPr>
                <w:b/>
                <w:sz w:val="13"/>
              </w:rPr>
            </w:pPr>
            <w:r>
              <w:rPr>
                <w:b/>
                <w:w w:val="105"/>
                <w:sz w:val="13"/>
              </w:rPr>
              <w:t>Diferencia ER-PO</w:t>
            </w:r>
          </w:p>
        </w:tc>
        <w:tc>
          <w:tcPr>
            <w:tcW w:w="1968" w:type="dxa"/>
            <w:tcBorders>
              <w:top w:val="single" w:sz="4" w:space="0" w:color="000000"/>
              <w:right w:val="single" w:sz="4" w:space="0" w:color="000000"/>
            </w:tcBorders>
            <w:shd w:val="clear" w:color="auto" w:fill="DEEAF6"/>
          </w:tcPr>
          <w:p>
            <w:pPr>
              <w:pStyle w:val="TableParagraph"/>
              <w:spacing w:line="110" w:lineRule="exact" w:before="105"/>
              <w:ind w:left="431" w:right="381"/>
              <w:jc w:val="center"/>
              <w:rPr>
                <w:b/>
                <w:sz w:val="13"/>
              </w:rPr>
            </w:pPr>
            <w:r>
              <w:rPr>
                <w:b/>
                <w:w w:val="105"/>
                <w:sz w:val="13"/>
              </w:rPr>
              <w:t>Grado de cobertura</w:t>
            </w:r>
          </w:p>
        </w:tc>
      </w:tr>
      <w:tr>
        <w:trPr>
          <w:trHeight w:val="129" w:hRule="atLeast"/>
        </w:trPr>
        <w:tc>
          <w:tcPr>
            <w:tcW w:w="1118" w:type="dxa"/>
            <w:tcBorders>
              <w:left w:val="single" w:sz="4" w:space="0" w:color="000000"/>
              <w:right w:val="single" w:sz="4" w:space="0" w:color="000000"/>
            </w:tcBorders>
          </w:tcPr>
          <w:p>
            <w:pPr>
              <w:pStyle w:val="TableParagraph"/>
              <w:rPr>
                <w:rFonts w:ascii="Times New Roman"/>
                <w:sz w:val="6"/>
              </w:rPr>
            </w:pPr>
          </w:p>
        </w:tc>
        <w:tc>
          <w:tcPr>
            <w:tcW w:w="1896" w:type="dxa"/>
            <w:tcBorders>
              <w:left w:val="single" w:sz="4" w:space="0" w:color="000000"/>
              <w:bottom w:val="single" w:sz="4" w:space="0" w:color="000000"/>
            </w:tcBorders>
            <w:shd w:val="clear" w:color="auto" w:fill="DEEAF6"/>
          </w:tcPr>
          <w:p>
            <w:pPr>
              <w:pStyle w:val="TableParagraph"/>
              <w:spacing w:line="109" w:lineRule="exact"/>
              <w:ind w:left="466" w:right="400"/>
              <w:jc w:val="center"/>
              <w:rPr>
                <w:b/>
                <w:sz w:val="13"/>
              </w:rPr>
            </w:pPr>
            <w:r>
              <w:rPr>
                <w:b/>
                <w:w w:val="105"/>
                <w:sz w:val="13"/>
              </w:rPr>
              <w:t>(</w:t>
            </w:r>
            <w:r>
              <w:rPr>
                <w:w w:val="105"/>
                <w:sz w:val="13"/>
              </w:rPr>
              <w:t>nº de personas</w:t>
            </w:r>
            <w:r>
              <w:rPr>
                <w:b/>
                <w:w w:val="105"/>
                <w:sz w:val="13"/>
              </w:rPr>
              <w:t>)</w:t>
            </w:r>
          </w:p>
        </w:tc>
        <w:tc>
          <w:tcPr>
            <w:tcW w:w="1968" w:type="dxa"/>
            <w:tcBorders>
              <w:bottom w:val="single" w:sz="4" w:space="0" w:color="000000"/>
              <w:right w:val="single" w:sz="4" w:space="0" w:color="000000"/>
            </w:tcBorders>
            <w:shd w:val="clear" w:color="auto" w:fill="DEEAF6"/>
          </w:tcPr>
          <w:p>
            <w:pPr>
              <w:pStyle w:val="TableParagraph"/>
              <w:rPr>
                <w:rFonts w:ascii="Times New Roman"/>
                <w:sz w:val="6"/>
              </w:rPr>
            </w:pPr>
          </w:p>
        </w:tc>
      </w:tr>
      <w:tr>
        <w:trPr>
          <w:trHeight w:val="194" w:hRule="atLeast"/>
        </w:trPr>
        <w:tc>
          <w:tcPr>
            <w:tcW w:w="1118" w:type="dxa"/>
            <w:tcBorders>
              <w:left w:val="single" w:sz="4" w:space="0" w:color="000000"/>
              <w:right w:val="single" w:sz="4" w:space="0" w:color="000000"/>
            </w:tcBorders>
          </w:tcPr>
          <w:p>
            <w:pPr>
              <w:pStyle w:val="TableParagraph"/>
              <w:spacing w:before="16"/>
              <w:ind w:left="59"/>
              <w:rPr>
                <w:b/>
                <w:sz w:val="13"/>
              </w:rPr>
            </w:pPr>
            <w:r>
              <w:rPr>
                <w:b/>
                <w:w w:val="105"/>
                <w:sz w:val="13"/>
              </w:rPr>
              <w:t>ICAP</w:t>
            </w:r>
          </w:p>
        </w:tc>
        <w:tc>
          <w:tcPr>
            <w:tcW w:w="1896" w:type="dxa"/>
            <w:tcBorders>
              <w:top w:val="single" w:sz="4" w:space="0" w:color="000000"/>
              <w:left w:val="single" w:sz="4" w:space="0" w:color="000000"/>
            </w:tcBorders>
          </w:tcPr>
          <w:p>
            <w:pPr>
              <w:pStyle w:val="TableParagraph"/>
              <w:spacing w:before="16"/>
              <w:ind w:left="463" w:right="423"/>
              <w:jc w:val="center"/>
              <w:rPr>
                <w:sz w:val="13"/>
              </w:rPr>
            </w:pPr>
            <w:r>
              <w:rPr>
                <w:w w:val="105"/>
                <w:sz w:val="13"/>
              </w:rPr>
              <w:t>-5</w:t>
            </w:r>
          </w:p>
        </w:tc>
        <w:tc>
          <w:tcPr>
            <w:tcW w:w="1968" w:type="dxa"/>
            <w:tcBorders>
              <w:top w:val="single" w:sz="4" w:space="0" w:color="000000"/>
              <w:right w:val="single" w:sz="4" w:space="0" w:color="000000"/>
            </w:tcBorders>
          </w:tcPr>
          <w:p>
            <w:pPr>
              <w:pStyle w:val="TableParagraph"/>
              <w:spacing w:before="16"/>
              <w:ind w:left="431" w:right="379"/>
              <w:jc w:val="center"/>
              <w:rPr>
                <w:sz w:val="13"/>
              </w:rPr>
            </w:pPr>
            <w:r>
              <w:rPr>
                <w:w w:val="105"/>
                <w:sz w:val="13"/>
              </w:rPr>
              <w:t>-16,1%</w:t>
            </w:r>
          </w:p>
        </w:tc>
      </w:tr>
      <w:tr>
        <w:trPr>
          <w:trHeight w:val="197" w:hRule="atLeast"/>
        </w:trPr>
        <w:tc>
          <w:tcPr>
            <w:tcW w:w="1118" w:type="dxa"/>
            <w:tcBorders>
              <w:left w:val="single" w:sz="4" w:space="0" w:color="000000"/>
              <w:right w:val="single" w:sz="4" w:space="0" w:color="000000"/>
            </w:tcBorders>
          </w:tcPr>
          <w:p>
            <w:pPr>
              <w:pStyle w:val="TableParagraph"/>
              <w:spacing w:before="12"/>
              <w:ind w:left="59"/>
              <w:rPr>
                <w:b/>
                <w:sz w:val="13"/>
              </w:rPr>
            </w:pPr>
            <w:r>
              <w:rPr>
                <w:b/>
                <w:w w:val="105"/>
                <w:sz w:val="13"/>
              </w:rPr>
              <w:t>ISTAC</w:t>
            </w:r>
          </w:p>
        </w:tc>
        <w:tc>
          <w:tcPr>
            <w:tcW w:w="1896" w:type="dxa"/>
            <w:tcBorders>
              <w:left w:val="single" w:sz="4" w:space="0" w:color="000000"/>
            </w:tcBorders>
          </w:tcPr>
          <w:p>
            <w:pPr>
              <w:pStyle w:val="TableParagraph"/>
              <w:spacing w:line="157" w:lineRule="exact"/>
              <w:ind w:left="463" w:right="423"/>
              <w:jc w:val="center"/>
              <w:rPr>
                <w:sz w:val="13"/>
              </w:rPr>
            </w:pPr>
            <w:r>
              <w:rPr>
                <w:w w:val="105"/>
                <w:sz w:val="13"/>
              </w:rPr>
              <w:t>-5</w:t>
            </w:r>
          </w:p>
        </w:tc>
        <w:tc>
          <w:tcPr>
            <w:tcW w:w="1968" w:type="dxa"/>
            <w:tcBorders>
              <w:right w:val="single" w:sz="4" w:space="0" w:color="000000"/>
            </w:tcBorders>
          </w:tcPr>
          <w:p>
            <w:pPr>
              <w:pStyle w:val="TableParagraph"/>
              <w:spacing w:line="157" w:lineRule="exact"/>
              <w:ind w:left="431" w:right="379"/>
              <w:jc w:val="center"/>
              <w:rPr>
                <w:sz w:val="13"/>
              </w:rPr>
            </w:pPr>
            <w:r>
              <w:rPr>
                <w:w w:val="105"/>
                <w:sz w:val="13"/>
              </w:rPr>
              <w:t>-12,8%</w:t>
            </w:r>
          </w:p>
        </w:tc>
      </w:tr>
      <w:tr>
        <w:trPr>
          <w:trHeight w:val="190" w:hRule="atLeast"/>
        </w:trPr>
        <w:tc>
          <w:tcPr>
            <w:tcW w:w="1118" w:type="dxa"/>
            <w:tcBorders>
              <w:left w:val="single" w:sz="4" w:space="0" w:color="000000"/>
              <w:right w:val="single" w:sz="4" w:space="0" w:color="000000"/>
            </w:tcBorders>
          </w:tcPr>
          <w:p>
            <w:pPr>
              <w:pStyle w:val="TableParagraph"/>
              <w:spacing w:before="4"/>
              <w:ind w:left="59"/>
              <w:rPr>
                <w:b/>
                <w:sz w:val="13"/>
              </w:rPr>
            </w:pPr>
            <w:r>
              <w:rPr>
                <w:b/>
                <w:w w:val="105"/>
                <w:sz w:val="13"/>
              </w:rPr>
              <w:t>SCE</w:t>
            </w:r>
          </w:p>
        </w:tc>
        <w:tc>
          <w:tcPr>
            <w:tcW w:w="1896" w:type="dxa"/>
            <w:tcBorders>
              <w:left w:val="single" w:sz="4" w:space="0" w:color="000000"/>
            </w:tcBorders>
          </w:tcPr>
          <w:p>
            <w:pPr>
              <w:pStyle w:val="TableParagraph"/>
              <w:spacing w:before="4"/>
              <w:ind w:left="463" w:right="423"/>
              <w:jc w:val="center"/>
              <w:rPr>
                <w:sz w:val="13"/>
              </w:rPr>
            </w:pPr>
            <w:r>
              <w:rPr>
                <w:w w:val="105"/>
                <w:sz w:val="13"/>
              </w:rPr>
              <w:t>-317</w:t>
            </w:r>
          </w:p>
        </w:tc>
        <w:tc>
          <w:tcPr>
            <w:tcW w:w="1968" w:type="dxa"/>
            <w:tcBorders>
              <w:right w:val="single" w:sz="4" w:space="0" w:color="000000"/>
            </w:tcBorders>
          </w:tcPr>
          <w:p>
            <w:pPr>
              <w:pStyle w:val="TableParagraph"/>
              <w:spacing w:before="4"/>
              <w:ind w:left="431" w:right="379"/>
              <w:jc w:val="center"/>
              <w:rPr>
                <w:sz w:val="13"/>
              </w:rPr>
            </w:pPr>
            <w:r>
              <w:rPr>
                <w:w w:val="105"/>
                <w:sz w:val="13"/>
              </w:rPr>
              <w:t>-62,4%</w:t>
            </w:r>
          </w:p>
        </w:tc>
      </w:tr>
      <w:tr>
        <w:trPr>
          <w:trHeight w:val="191" w:hRule="atLeast"/>
        </w:trPr>
        <w:tc>
          <w:tcPr>
            <w:tcW w:w="1118" w:type="dxa"/>
            <w:tcBorders>
              <w:left w:val="single" w:sz="4" w:space="0" w:color="000000"/>
              <w:right w:val="single" w:sz="4" w:space="0" w:color="000000"/>
            </w:tcBorders>
          </w:tcPr>
          <w:p>
            <w:pPr>
              <w:pStyle w:val="TableParagraph"/>
              <w:spacing w:before="5"/>
              <w:ind w:left="59"/>
              <w:rPr>
                <w:b/>
                <w:sz w:val="13"/>
              </w:rPr>
            </w:pPr>
            <w:r>
              <w:rPr>
                <w:b/>
                <w:w w:val="105"/>
                <w:sz w:val="13"/>
              </w:rPr>
              <w:t>ICIA</w:t>
            </w:r>
          </w:p>
        </w:tc>
        <w:tc>
          <w:tcPr>
            <w:tcW w:w="1896" w:type="dxa"/>
            <w:tcBorders>
              <w:left w:val="single" w:sz="4" w:space="0" w:color="000000"/>
            </w:tcBorders>
          </w:tcPr>
          <w:p>
            <w:pPr>
              <w:pStyle w:val="TableParagraph"/>
              <w:spacing w:before="5"/>
              <w:ind w:left="461" w:right="423"/>
              <w:jc w:val="center"/>
              <w:rPr>
                <w:sz w:val="13"/>
              </w:rPr>
            </w:pPr>
            <w:r>
              <w:rPr>
                <w:w w:val="105"/>
                <w:sz w:val="13"/>
              </w:rPr>
              <w:t>nd</w:t>
            </w:r>
          </w:p>
        </w:tc>
        <w:tc>
          <w:tcPr>
            <w:tcW w:w="1968" w:type="dxa"/>
            <w:tcBorders>
              <w:right w:val="single" w:sz="4" w:space="0" w:color="000000"/>
            </w:tcBorders>
          </w:tcPr>
          <w:p>
            <w:pPr>
              <w:pStyle w:val="TableParagraph"/>
              <w:spacing w:before="5"/>
              <w:ind w:left="431" w:right="381"/>
              <w:jc w:val="center"/>
              <w:rPr>
                <w:sz w:val="13"/>
              </w:rPr>
            </w:pPr>
            <w:r>
              <w:rPr>
                <w:w w:val="105"/>
                <w:sz w:val="13"/>
              </w:rPr>
              <w:t>nd</w:t>
            </w:r>
          </w:p>
        </w:tc>
      </w:tr>
      <w:tr>
        <w:trPr>
          <w:trHeight w:val="177" w:hRule="atLeast"/>
        </w:trPr>
        <w:tc>
          <w:tcPr>
            <w:tcW w:w="1118" w:type="dxa"/>
            <w:tcBorders>
              <w:left w:val="single" w:sz="4" w:space="0" w:color="000000"/>
              <w:right w:val="single" w:sz="4" w:space="0" w:color="000000"/>
            </w:tcBorders>
          </w:tcPr>
          <w:p>
            <w:pPr>
              <w:pStyle w:val="TableParagraph"/>
              <w:spacing w:line="152" w:lineRule="exact" w:before="5"/>
              <w:ind w:left="59"/>
              <w:rPr>
                <w:b/>
                <w:sz w:val="13"/>
              </w:rPr>
            </w:pPr>
            <w:r>
              <w:rPr>
                <w:b/>
                <w:w w:val="105"/>
                <w:sz w:val="13"/>
              </w:rPr>
              <w:t>ICHH</w:t>
            </w:r>
          </w:p>
        </w:tc>
        <w:tc>
          <w:tcPr>
            <w:tcW w:w="1896" w:type="dxa"/>
            <w:tcBorders>
              <w:left w:val="single" w:sz="4" w:space="0" w:color="000000"/>
            </w:tcBorders>
          </w:tcPr>
          <w:p>
            <w:pPr>
              <w:pStyle w:val="TableParagraph"/>
              <w:spacing w:line="152" w:lineRule="exact" w:before="5"/>
              <w:ind w:left="465" w:right="423"/>
              <w:jc w:val="center"/>
              <w:rPr>
                <w:sz w:val="13"/>
              </w:rPr>
            </w:pPr>
            <w:r>
              <w:rPr>
                <w:w w:val="105"/>
                <w:sz w:val="13"/>
              </w:rPr>
              <w:t>189</w:t>
            </w:r>
          </w:p>
        </w:tc>
        <w:tc>
          <w:tcPr>
            <w:tcW w:w="1968" w:type="dxa"/>
            <w:tcBorders>
              <w:right w:val="single" w:sz="4" w:space="0" w:color="000000"/>
            </w:tcBorders>
          </w:tcPr>
          <w:p>
            <w:pPr>
              <w:pStyle w:val="TableParagraph"/>
              <w:spacing w:line="152" w:lineRule="exact" w:before="5"/>
              <w:ind w:left="431" w:right="381"/>
              <w:jc w:val="center"/>
              <w:rPr>
                <w:sz w:val="13"/>
              </w:rPr>
            </w:pPr>
            <w:r>
              <w:rPr>
                <w:w w:val="105"/>
                <w:sz w:val="13"/>
              </w:rPr>
              <w:t>309,8%</w:t>
            </w:r>
          </w:p>
        </w:tc>
      </w:tr>
      <w:tr>
        <w:trPr>
          <w:trHeight w:val="191" w:hRule="atLeast"/>
        </w:trPr>
        <w:tc>
          <w:tcPr>
            <w:tcW w:w="1118" w:type="dxa"/>
            <w:tcBorders>
              <w:left w:val="single" w:sz="4" w:space="0" w:color="000000"/>
              <w:right w:val="single" w:sz="4" w:space="0" w:color="000000"/>
            </w:tcBorders>
            <w:shd w:val="clear" w:color="auto" w:fill="F1F1F1"/>
          </w:tcPr>
          <w:p>
            <w:pPr>
              <w:pStyle w:val="TableParagraph"/>
              <w:spacing w:line="154" w:lineRule="exact" w:before="17"/>
              <w:ind w:left="59"/>
              <w:rPr>
                <w:b/>
                <w:sz w:val="13"/>
              </w:rPr>
            </w:pPr>
            <w:r>
              <w:rPr>
                <w:b/>
                <w:w w:val="105"/>
                <w:sz w:val="13"/>
              </w:rPr>
              <w:t>SCS</w:t>
            </w:r>
          </w:p>
        </w:tc>
        <w:tc>
          <w:tcPr>
            <w:tcW w:w="1896" w:type="dxa"/>
            <w:tcBorders>
              <w:left w:val="single" w:sz="4" w:space="0" w:color="000000"/>
            </w:tcBorders>
            <w:shd w:val="clear" w:color="auto" w:fill="F1F1F1"/>
          </w:tcPr>
          <w:p>
            <w:pPr>
              <w:pStyle w:val="TableParagraph"/>
              <w:spacing w:line="154" w:lineRule="exact" w:before="17"/>
              <w:ind w:left="465" w:right="423"/>
              <w:jc w:val="center"/>
              <w:rPr>
                <w:b/>
                <w:sz w:val="13"/>
              </w:rPr>
            </w:pPr>
            <w:r>
              <w:rPr>
                <w:b/>
                <w:w w:val="105"/>
                <w:sz w:val="13"/>
              </w:rPr>
              <w:t>16.273</w:t>
            </w:r>
          </w:p>
        </w:tc>
        <w:tc>
          <w:tcPr>
            <w:tcW w:w="1968" w:type="dxa"/>
            <w:tcBorders>
              <w:right w:val="single" w:sz="4" w:space="0" w:color="000000"/>
            </w:tcBorders>
            <w:shd w:val="clear" w:color="auto" w:fill="F1F1F1"/>
          </w:tcPr>
          <w:p>
            <w:pPr>
              <w:pStyle w:val="TableParagraph"/>
              <w:spacing w:line="154" w:lineRule="exact" w:before="17"/>
              <w:ind w:left="431" w:right="381"/>
              <w:jc w:val="center"/>
              <w:rPr>
                <w:b/>
                <w:sz w:val="13"/>
              </w:rPr>
            </w:pPr>
            <w:r>
              <w:rPr>
                <w:b/>
                <w:w w:val="105"/>
                <w:sz w:val="13"/>
              </w:rPr>
              <w:t>172,0%</w:t>
            </w:r>
          </w:p>
        </w:tc>
      </w:tr>
      <w:tr>
        <w:trPr>
          <w:trHeight w:val="202" w:hRule="atLeast"/>
        </w:trPr>
        <w:tc>
          <w:tcPr>
            <w:tcW w:w="1118" w:type="dxa"/>
            <w:tcBorders>
              <w:left w:val="single" w:sz="4" w:space="0" w:color="000000"/>
              <w:right w:val="single" w:sz="4" w:space="0" w:color="000000"/>
            </w:tcBorders>
          </w:tcPr>
          <w:p>
            <w:pPr>
              <w:pStyle w:val="TableParagraph"/>
              <w:spacing w:before="17"/>
              <w:ind w:left="59"/>
              <w:rPr>
                <w:b/>
                <w:sz w:val="13"/>
              </w:rPr>
            </w:pPr>
            <w:r>
              <w:rPr>
                <w:b/>
                <w:w w:val="105"/>
                <w:sz w:val="13"/>
              </w:rPr>
              <w:t>ACCUE</w:t>
            </w:r>
          </w:p>
        </w:tc>
        <w:tc>
          <w:tcPr>
            <w:tcW w:w="1896" w:type="dxa"/>
            <w:tcBorders>
              <w:left w:val="single" w:sz="4" w:space="0" w:color="000000"/>
            </w:tcBorders>
          </w:tcPr>
          <w:p>
            <w:pPr>
              <w:pStyle w:val="TableParagraph"/>
              <w:spacing w:before="17"/>
              <w:ind w:left="461" w:right="423"/>
              <w:jc w:val="center"/>
              <w:rPr>
                <w:sz w:val="13"/>
              </w:rPr>
            </w:pPr>
            <w:r>
              <w:rPr>
                <w:w w:val="105"/>
                <w:sz w:val="13"/>
              </w:rPr>
              <w:t>14</w:t>
            </w:r>
          </w:p>
        </w:tc>
        <w:tc>
          <w:tcPr>
            <w:tcW w:w="1968" w:type="dxa"/>
            <w:tcBorders>
              <w:right w:val="single" w:sz="4" w:space="0" w:color="000000"/>
            </w:tcBorders>
          </w:tcPr>
          <w:p>
            <w:pPr>
              <w:pStyle w:val="TableParagraph"/>
              <w:spacing w:before="17"/>
              <w:ind w:left="431" w:right="381"/>
              <w:jc w:val="center"/>
              <w:rPr>
                <w:sz w:val="13"/>
              </w:rPr>
            </w:pPr>
            <w:r>
              <w:rPr>
                <w:w w:val="105"/>
                <w:sz w:val="13"/>
              </w:rPr>
              <w:t>155,6%</w:t>
            </w:r>
          </w:p>
        </w:tc>
      </w:tr>
      <w:tr>
        <w:trPr>
          <w:trHeight w:val="190" w:hRule="atLeast"/>
        </w:trPr>
        <w:tc>
          <w:tcPr>
            <w:tcW w:w="1118" w:type="dxa"/>
            <w:tcBorders>
              <w:left w:val="single" w:sz="4" w:space="0" w:color="000000"/>
              <w:right w:val="single" w:sz="4" w:space="0" w:color="000000"/>
            </w:tcBorders>
          </w:tcPr>
          <w:p>
            <w:pPr>
              <w:pStyle w:val="TableParagraph"/>
              <w:spacing w:before="4"/>
              <w:ind w:left="59"/>
              <w:rPr>
                <w:b/>
                <w:sz w:val="13"/>
              </w:rPr>
            </w:pPr>
            <w:r>
              <w:rPr>
                <w:b/>
                <w:w w:val="105"/>
                <w:sz w:val="13"/>
              </w:rPr>
              <w:t>ICAVI</w:t>
            </w:r>
          </w:p>
        </w:tc>
        <w:tc>
          <w:tcPr>
            <w:tcW w:w="1896" w:type="dxa"/>
            <w:tcBorders>
              <w:left w:val="single" w:sz="4" w:space="0" w:color="000000"/>
            </w:tcBorders>
          </w:tcPr>
          <w:p>
            <w:pPr>
              <w:pStyle w:val="TableParagraph"/>
              <w:spacing w:before="4"/>
              <w:ind w:left="463" w:right="423"/>
              <w:jc w:val="center"/>
              <w:rPr>
                <w:sz w:val="13"/>
              </w:rPr>
            </w:pPr>
            <w:r>
              <w:rPr>
                <w:w w:val="105"/>
                <w:sz w:val="13"/>
              </w:rPr>
              <w:t>-30</w:t>
            </w:r>
          </w:p>
        </w:tc>
        <w:tc>
          <w:tcPr>
            <w:tcW w:w="1968" w:type="dxa"/>
            <w:tcBorders>
              <w:right w:val="single" w:sz="4" w:space="0" w:color="000000"/>
            </w:tcBorders>
          </w:tcPr>
          <w:p>
            <w:pPr>
              <w:pStyle w:val="TableParagraph"/>
              <w:spacing w:before="4"/>
              <w:ind w:left="431" w:right="379"/>
              <w:jc w:val="center"/>
              <w:rPr>
                <w:sz w:val="13"/>
              </w:rPr>
            </w:pPr>
            <w:r>
              <w:rPr>
                <w:w w:val="105"/>
                <w:sz w:val="13"/>
              </w:rPr>
              <w:t>-13,6%</w:t>
            </w:r>
          </w:p>
        </w:tc>
      </w:tr>
      <w:tr>
        <w:trPr>
          <w:trHeight w:val="190" w:hRule="atLeast"/>
        </w:trPr>
        <w:tc>
          <w:tcPr>
            <w:tcW w:w="1118" w:type="dxa"/>
            <w:tcBorders>
              <w:left w:val="single" w:sz="4" w:space="0" w:color="000000"/>
              <w:right w:val="single" w:sz="4" w:space="0" w:color="000000"/>
            </w:tcBorders>
          </w:tcPr>
          <w:p>
            <w:pPr>
              <w:pStyle w:val="TableParagraph"/>
              <w:spacing w:before="6"/>
              <w:ind w:left="59"/>
              <w:rPr>
                <w:b/>
                <w:sz w:val="13"/>
              </w:rPr>
            </w:pPr>
            <w:r>
              <w:rPr>
                <w:b/>
                <w:w w:val="105"/>
                <w:sz w:val="13"/>
              </w:rPr>
              <w:t>ICCA</w:t>
            </w:r>
          </w:p>
        </w:tc>
        <w:tc>
          <w:tcPr>
            <w:tcW w:w="1896" w:type="dxa"/>
            <w:tcBorders>
              <w:left w:val="single" w:sz="4" w:space="0" w:color="000000"/>
            </w:tcBorders>
          </w:tcPr>
          <w:p>
            <w:pPr>
              <w:pStyle w:val="TableParagraph"/>
              <w:spacing w:before="6"/>
              <w:ind w:left="466" w:right="393"/>
              <w:jc w:val="center"/>
              <w:rPr>
                <w:sz w:val="13"/>
              </w:rPr>
            </w:pPr>
            <w:r>
              <w:rPr>
                <w:w w:val="105"/>
                <w:sz w:val="13"/>
              </w:rPr>
              <w:t>-19</w:t>
            </w:r>
          </w:p>
        </w:tc>
        <w:tc>
          <w:tcPr>
            <w:tcW w:w="1968" w:type="dxa"/>
            <w:tcBorders>
              <w:right w:val="single" w:sz="4" w:space="0" w:color="000000"/>
            </w:tcBorders>
          </w:tcPr>
          <w:p>
            <w:pPr>
              <w:pStyle w:val="TableParagraph"/>
              <w:spacing w:before="6"/>
              <w:ind w:left="431" w:right="379"/>
              <w:jc w:val="center"/>
              <w:rPr>
                <w:sz w:val="13"/>
              </w:rPr>
            </w:pPr>
            <w:r>
              <w:rPr>
                <w:w w:val="105"/>
                <w:sz w:val="13"/>
              </w:rPr>
              <w:t>-28,8%</w:t>
            </w:r>
          </w:p>
        </w:tc>
      </w:tr>
      <w:tr>
        <w:trPr>
          <w:trHeight w:val="190" w:hRule="atLeast"/>
        </w:trPr>
        <w:tc>
          <w:tcPr>
            <w:tcW w:w="1118" w:type="dxa"/>
            <w:tcBorders>
              <w:left w:val="single" w:sz="4" w:space="0" w:color="000000"/>
              <w:right w:val="single" w:sz="4" w:space="0" w:color="000000"/>
            </w:tcBorders>
          </w:tcPr>
          <w:p>
            <w:pPr>
              <w:pStyle w:val="TableParagraph"/>
              <w:spacing w:before="4"/>
              <w:ind w:left="59"/>
              <w:rPr>
                <w:b/>
                <w:sz w:val="13"/>
              </w:rPr>
            </w:pPr>
            <w:r>
              <w:rPr>
                <w:b/>
                <w:w w:val="105"/>
                <w:sz w:val="13"/>
              </w:rPr>
              <w:t>APMUN</w:t>
            </w:r>
          </w:p>
        </w:tc>
        <w:tc>
          <w:tcPr>
            <w:tcW w:w="1896" w:type="dxa"/>
            <w:tcBorders>
              <w:left w:val="single" w:sz="4" w:space="0" w:color="000000"/>
            </w:tcBorders>
          </w:tcPr>
          <w:p>
            <w:pPr>
              <w:pStyle w:val="TableParagraph"/>
              <w:spacing w:before="4"/>
              <w:ind w:left="463" w:right="423"/>
              <w:jc w:val="center"/>
              <w:rPr>
                <w:sz w:val="13"/>
              </w:rPr>
            </w:pPr>
            <w:r>
              <w:rPr>
                <w:w w:val="105"/>
                <w:sz w:val="13"/>
              </w:rPr>
              <w:t>-50</w:t>
            </w:r>
          </w:p>
        </w:tc>
        <w:tc>
          <w:tcPr>
            <w:tcW w:w="1968" w:type="dxa"/>
            <w:tcBorders>
              <w:right w:val="single" w:sz="4" w:space="0" w:color="000000"/>
            </w:tcBorders>
          </w:tcPr>
          <w:p>
            <w:pPr>
              <w:pStyle w:val="TableParagraph"/>
              <w:spacing w:before="4"/>
              <w:ind w:left="431" w:right="379"/>
              <w:jc w:val="center"/>
              <w:rPr>
                <w:sz w:val="13"/>
              </w:rPr>
            </w:pPr>
            <w:r>
              <w:rPr>
                <w:w w:val="105"/>
                <w:sz w:val="13"/>
              </w:rPr>
              <w:t>-31,8%</w:t>
            </w:r>
          </w:p>
        </w:tc>
      </w:tr>
      <w:tr>
        <w:trPr>
          <w:trHeight w:val="191" w:hRule="atLeast"/>
        </w:trPr>
        <w:tc>
          <w:tcPr>
            <w:tcW w:w="1118" w:type="dxa"/>
            <w:tcBorders>
              <w:left w:val="single" w:sz="4" w:space="0" w:color="000000"/>
              <w:right w:val="single" w:sz="4" w:space="0" w:color="000000"/>
            </w:tcBorders>
          </w:tcPr>
          <w:p>
            <w:pPr>
              <w:pStyle w:val="TableParagraph"/>
              <w:spacing w:before="5"/>
              <w:ind w:left="59"/>
              <w:rPr>
                <w:b/>
                <w:sz w:val="13"/>
              </w:rPr>
            </w:pPr>
            <w:r>
              <w:rPr>
                <w:b/>
                <w:w w:val="105"/>
                <w:sz w:val="13"/>
              </w:rPr>
              <w:t>CES</w:t>
            </w:r>
          </w:p>
        </w:tc>
        <w:tc>
          <w:tcPr>
            <w:tcW w:w="1896" w:type="dxa"/>
            <w:tcBorders>
              <w:left w:val="single" w:sz="4" w:space="0" w:color="000000"/>
            </w:tcBorders>
          </w:tcPr>
          <w:p>
            <w:pPr>
              <w:pStyle w:val="TableParagraph"/>
              <w:spacing w:before="5"/>
              <w:ind w:left="38"/>
              <w:jc w:val="center"/>
              <w:rPr>
                <w:sz w:val="13"/>
              </w:rPr>
            </w:pPr>
            <w:r>
              <w:rPr>
                <w:w w:val="103"/>
                <w:sz w:val="13"/>
              </w:rPr>
              <w:t>0</w:t>
            </w:r>
          </w:p>
        </w:tc>
        <w:tc>
          <w:tcPr>
            <w:tcW w:w="1968" w:type="dxa"/>
            <w:tcBorders>
              <w:right w:val="single" w:sz="4" w:space="0" w:color="000000"/>
            </w:tcBorders>
          </w:tcPr>
          <w:p>
            <w:pPr>
              <w:pStyle w:val="TableParagraph"/>
              <w:spacing w:before="5"/>
              <w:ind w:left="431" w:right="379"/>
              <w:jc w:val="center"/>
              <w:rPr>
                <w:sz w:val="13"/>
              </w:rPr>
            </w:pPr>
            <w:r>
              <w:rPr>
                <w:w w:val="105"/>
                <w:sz w:val="13"/>
              </w:rPr>
              <w:t>0,0%</w:t>
            </w:r>
          </w:p>
        </w:tc>
      </w:tr>
      <w:tr>
        <w:trPr>
          <w:trHeight w:val="190" w:hRule="atLeast"/>
        </w:trPr>
        <w:tc>
          <w:tcPr>
            <w:tcW w:w="1118" w:type="dxa"/>
            <w:tcBorders>
              <w:left w:val="single" w:sz="4" w:space="0" w:color="000000"/>
              <w:right w:val="single" w:sz="4" w:space="0" w:color="000000"/>
            </w:tcBorders>
          </w:tcPr>
          <w:p>
            <w:pPr>
              <w:pStyle w:val="TableParagraph"/>
              <w:spacing w:before="5"/>
              <w:ind w:left="59"/>
              <w:rPr>
                <w:b/>
                <w:sz w:val="13"/>
              </w:rPr>
            </w:pPr>
            <w:r>
              <w:rPr>
                <w:b/>
                <w:w w:val="105"/>
                <w:sz w:val="13"/>
              </w:rPr>
              <w:t>RTVC</w:t>
            </w:r>
          </w:p>
        </w:tc>
        <w:tc>
          <w:tcPr>
            <w:tcW w:w="1896" w:type="dxa"/>
            <w:tcBorders>
              <w:left w:val="single" w:sz="4" w:space="0" w:color="000000"/>
            </w:tcBorders>
          </w:tcPr>
          <w:p>
            <w:pPr>
              <w:pStyle w:val="TableParagraph"/>
              <w:spacing w:before="5"/>
              <w:ind w:left="38"/>
              <w:jc w:val="center"/>
              <w:rPr>
                <w:sz w:val="13"/>
              </w:rPr>
            </w:pPr>
            <w:r>
              <w:rPr>
                <w:w w:val="103"/>
                <w:sz w:val="13"/>
              </w:rPr>
              <w:t>2</w:t>
            </w:r>
          </w:p>
        </w:tc>
        <w:tc>
          <w:tcPr>
            <w:tcW w:w="1968" w:type="dxa"/>
            <w:tcBorders>
              <w:right w:val="single" w:sz="4" w:space="0" w:color="000000"/>
            </w:tcBorders>
          </w:tcPr>
          <w:p>
            <w:pPr>
              <w:pStyle w:val="TableParagraph"/>
              <w:spacing w:before="5"/>
              <w:ind w:left="431" w:right="379"/>
              <w:jc w:val="center"/>
              <w:rPr>
                <w:sz w:val="13"/>
              </w:rPr>
            </w:pPr>
            <w:r>
              <w:rPr>
                <w:w w:val="105"/>
                <w:sz w:val="13"/>
              </w:rPr>
              <w:t>25,0%</w:t>
            </w:r>
          </w:p>
        </w:tc>
      </w:tr>
      <w:tr>
        <w:trPr>
          <w:trHeight w:val="177" w:hRule="atLeast"/>
        </w:trPr>
        <w:tc>
          <w:tcPr>
            <w:tcW w:w="1118" w:type="dxa"/>
            <w:tcBorders>
              <w:left w:val="single" w:sz="4" w:space="0" w:color="000000"/>
              <w:bottom w:val="single" w:sz="4" w:space="0" w:color="000000"/>
              <w:right w:val="single" w:sz="4" w:space="0" w:color="000000"/>
            </w:tcBorders>
          </w:tcPr>
          <w:p>
            <w:pPr>
              <w:pStyle w:val="TableParagraph"/>
              <w:spacing w:line="153" w:lineRule="exact" w:before="4"/>
              <w:ind w:left="59"/>
              <w:rPr>
                <w:b/>
                <w:sz w:val="13"/>
              </w:rPr>
            </w:pPr>
            <w:r>
              <w:rPr>
                <w:b/>
                <w:w w:val="105"/>
                <w:sz w:val="13"/>
              </w:rPr>
              <w:t>ATC</w:t>
            </w:r>
          </w:p>
        </w:tc>
        <w:tc>
          <w:tcPr>
            <w:tcW w:w="1896" w:type="dxa"/>
            <w:tcBorders>
              <w:left w:val="single" w:sz="4" w:space="0" w:color="000000"/>
              <w:bottom w:val="single" w:sz="4" w:space="0" w:color="000000"/>
            </w:tcBorders>
          </w:tcPr>
          <w:p>
            <w:pPr>
              <w:pStyle w:val="TableParagraph"/>
              <w:spacing w:line="153" w:lineRule="exact" w:before="4"/>
              <w:ind w:left="463" w:right="423"/>
              <w:jc w:val="center"/>
              <w:rPr>
                <w:sz w:val="13"/>
              </w:rPr>
            </w:pPr>
            <w:r>
              <w:rPr>
                <w:w w:val="105"/>
                <w:sz w:val="13"/>
              </w:rPr>
              <w:t>-282</w:t>
            </w:r>
          </w:p>
        </w:tc>
        <w:tc>
          <w:tcPr>
            <w:tcW w:w="1968" w:type="dxa"/>
            <w:tcBorders>
              <w:bottom w:val="single" w:sz="4" w:space="0" w:color="000000"/>
              <w:right w:val="single" w:sz="4" w:space="0" w:color="000000"/>
            </w:tcBorders>
          </w:tcPr>
          <w:p>
            <w:pPr>
              <w:pStyle w:val="TableParagraph"/>
              <w:spacing w:line="153" w:lineRule="exact" w:before="4"/>
              <w:ind w:left="431" w:right="379"/>
              <w:jc w:val="center"/>
              <w:rPr>
                <w:sz w:val="13"/>
              </w:rPr>
            </w:pPr>
            <w:r>
              <w:rPr>
                <w:w w:val="105"/>
                <w:sz w:val="13"/>
              </w:rPr>
              <w:t>-38,0%</w:t>
            </w:r>
          </w:p>
        </w:tc>
      </w:tr>
    </w:tbl>
    <w:p>
      <w:pPr>
        <w:spacing w:before="31"/>
        <w:ind w:left="3235" w:right="0" w:firstLine="0"/>
        <w:jc w:val="left"/>
        <w:rPr>
          <w:sz w:val="13"/>
        </w:rPr>
      </w:pPr>
      <w:r>
        <w:rPr>
          <w:b/>
          <w:w w:val="105"/>
          <w:sz w:val="13"/>
        </w:rPr>
        <w:t>ER: </w:t>
      </w:r>
      <w:r>
        <w:rPr>
          <w:w w:val="105"/>
          <w:sz w:val="13"/>
        </w:rPr>
        <w:t>Efectivos Reales según la Memoria de las Cuentas Generales de 2022</w:t>
      </w:r>
    </w:p>
    <w:p>
      <w:pPr>
        <w:spacing w:before="5"/>
        <w:ind w:left="3235" w:right="0" w:firstLine="0"/>
        <w:jc w:val="left"/>
        <w:rPr>
          <w:sz w:val="13"/>
        </w:rPr>
      </w:pPr>
      <w:r>
        <w:rPr>
          <w:b/>
          <w:w w:val="105"/>
          <w:sz w:val="13"/>
        </w:rPr>
        <w:t>PO: </w:t>
      </w:r>
      <w:r>
        <w:rPr>
          <w:w w:val="105"/>
          <w:sz w:val="13"/>
        </w:rPr>
        <w:t>plantilla orgánica contenida en la Ley de Presupuestos de la CAC para 2022</w:t>
      </w:r>
    </w:p>
    <w:p>
      <w:pPr>
        <w:pStyle w:val="BodyText"/>
        <w:spacing w:before="10"/>
        <w:rPr>
          <w:sz w:val="18"/>
        </w:rPr>
      </w:pPr>
    </w:p>
    <w:p>
      <w:pPr>
        <w:pStyle w:val="ListParagraph"/>
        <w:numPr>
          <w:ilvl w:val="0"/>
          <w:numId w:val="38"/>
        </w:numPr>
        <w:tabs>
          <w:tab w:pos="2335" w:val="left" w:leader="none"/>
        </w:tabs>
        <w:spacing w:line="242" w:lineRule="auto" w:before="0" w:after="0"/>
        <w:ind w:left="2334" w:right="1141" w:hanging="238"/>
        <w:jc w:val="both"/>
        <w:rPr>
          <w:sz w:val="20"/>
        </w:rPr>
      </w:pPr>
      <w:r>
        <w:rPr>
          <w:sz w:val="20"/>
        </w:rPr>
        <w:t>A la vista de los notables porcentajes registrados en algunas de las entidades, no puede conducirnos al equívoco de que los entes de menor tamaño se encuentran mejor dotados de personal, como efectivamente así se desprende de su respectivo grado de cobertura. En el siguiente cuadro puede observarse con mayor detalle esa falta</w:t>
      </w:r>
      <w:r>
        <w:rPr>
          <w:spacing w:val="-6"/>
          <w:sz w:val="20"/>
        </w:rPr>
        <w:t> </w:t>
      </w:r>
      <w:r>
        <w:rPr>
          <w:sz w:val="20"/>
        </w:rPr>
        <w:t>de</w:t>
      </w:r>
      <w:r>
        <w:rPr>
          <w:spacing w:val="-3"/>
          <w:sz w:val="20"/>
        </w:rPr>
        <w:t> </w:t>
      </w:r>
      <w:r>
        <w:rPr>
          <w:sz w:val="20"/>
        </w:rPr>
        <w:t>personal</w:t>
      </w:r>
      <w:r>
        <w:rPr>
          <w:spacing w:val="-4"/>
          <w:sz w:val="20"/>
        </w:rPr>
        <w:t> </w:t>
      </w:r>
      <w:r>
        <w:rPr>
          <w:sz w:val="20"/>
        </w:rPr>
        <w:t>en</w:t>
      </w:r>
      <w:r>
        <w:rPr>
          <w:spacing w:val="-2"/>
          <w:sz w:val="20"/>
        </w:rPr>
        <w:t> </w:t>
      </w:r>
      <w:r>
        <w:rPr>
          <w:sz w:val="20"/>
        </w:rPr>
        <w:t>las</w:t>
      </w:r>
      <w:r>
        <w:rPr>
          <w:spacing w:val="-5"/>
          <w:sz w:val="20"/>
        </w:rPr>
        <w:t> </w:t>
      </w:r>
      <w:r>
        <w:rPr>
          <w:sz w:val="20"/>
        </w:rPr>
        <w:t>pequeñas</w:t>
      </w:r>
      <w:r>
        <w:rPr>
          <w:spacing w:val="-4"/>
          <w:sz w:val="20"/>
        </w:rPr>
        <w:t> </w:t>
      </w:r>
      <w:r>
        <w:rPr>
          <w:sz w:val="20"/>
        </w:rPr>
        <w:t>entidades,</w:t>
      </w:r>
      <w:r>
        <w:rPr>
          <w:spacing w:val="-3"/>
          <w:sz w:val="20"/>
        </w:rPr>
        <w:t> </w:t>
      </w:r>
      <w:r>
        <w:rPr>
          <w:sz w:val="20"/>
        </w:rPr>
        <w:t>situación</w:t>
      </w:r>
      <w:r>
        <w:rPr>
          <w:spacing w:val="-2"/>
          <w:sz w:val="20"/>
        </w:rPr>
        <w:t> </w:t>
      </w:r>
      <w:r>
        <w:rPr>
          <w:sz w:val="20"/>
        </w:rPr>
        <w:t>que,</w:t>
      </w:r>
      <w:r>
        <w:rPr>
          <w:spacing w:val="-4"/>
          <w:sz w:val="20"/>
        </w:rPr>
        <w:t> </w:t>
      </w:r>
      <w:r>
        <w:rPr>
          <w:sz w:val="20"/>
        </w:rPr>
        <w:t>en</w:t>
      </w:r>
      <w:r>
        <w:rPr>
          <w:spacing w:val="-2"/>
          <w:sz w:val="20"/>
        </w:rPr>
        <w:t> </w:t>
      </w:r>
      <w:r>
        <w:rPr>
          <w:sz w:val="20"/>
        </w:rPr>
        <w:t>general,</w:t>
      </w:r>
      <w:r>
        <w:rPr>
          <w:spacing w:val="-3"/>
          <w:sz w:val="20"/>
        </w:rPr>
        <w:t> </w:t>
      </w:r>
      <w:r>
        <w:rPr>
          <w:sz w:val="20"/>
        </w:rPr>
        <w:t>se</w:t>
      </w:r>
      <w:r>
        <w:rPr>
          <w:spacing w:val="-4"/>
          <w:sz w:val="20"/>
        </w:rPr>
        <w:t> </w:t>
      </w:r>
      <w:r>
        <w:rPr>
          <w:sz w:val="20"/>
        </w:rPr>
        <w:t>repite</w:t>
      </w:r>
      <w:r>
        <w:rPr>
          <w:spacing w:val="-5"/>
          <w:sz w:val="20"/>
        </w:rPr>
        <w:t> </w:t>
      </w:r>
      <w:r>
        <w:rPr>
          <w:sz w:val="20"/>
        </w:rPr>
        <w:t>para cada una de las categorías de</w:t>
      </w:r>
      <w:r>
        <w:rPr>
          <w:spacing w:val="-1"/>
          <w:sz w:val="20"/>
        </w:rPr>
        <w:t> </w:t>
      </w:r>
      <w:r>
        <w:rPr>
          <w:sz w:val="20"/>
        </w:rPr>
        <w:t>personal:</w:t>
      </w:r>
    </w:p>
    <w:p>
      <w:pPr>
        <w:pStyle w:val="BodyText"/>
      </w:pPr>
    </w:p>
    <w:p>
      <w:pPr>
        <w:pStyle w:val="BodyText"/>
      </w:pPr>
    </w:p>
    <w:p>
      <w:pPr>
        <w:pStyle w:val="BodyText"/>
        <w:spacing w:before="3"/>
        <w:rPr>
          <w:sz w:val="28"/>
        </w:rPr>
      </w:pPr>
      <w:r>
        <w:rPr/>
        <w:pict>
          <v:shape style="position:absolute;margin-left:142.816818pt;margin-top:19.578365pt;width:120.95pt;height:.1pt;mso-position-horizontal-relative:page;mso-position-vertical-relative:paragraph;z-index:-251468800;mso-wrap-distance-left:0;mso-wrap-distance-right:0" coordorigin="2856,392" coordsize="2419,0" path="m2856,392l5275,392e" filled="false" stroked="true" strokeweight=".604535pt" strokecolor="#000000">
            <v:path arrowok="t"/>
            <v:stroke dashstyle="solid"/>
            <w10:wrap type="topAndBottom"/>
          </v:shape>
        </w:pict>
      </w:r>
    </w:p>
    <w:p>
      <w:pPr>
        <w:spacing w:line="252" w:lineRule="auto" w:before="51"/>
        <w:ind w:left="2096" w:right="1045" w:firstLine="0"/>
        <w:jc w:val="left"/>
        <w:rPr>
          <w:sz w:val="16"/>
        </w:rPr>
      </w:pPr>
      <w:r>
        <w:rPr>
          <w:w w:val="105"/>
          <w:position w:val="6"/>
          <w:sz w:val="11"/>
        </w:rPr>
        <w:t>18 </w:t>
      </w:r>
      <w:r>
        <w:rPr>
          <w:w w:val="105"/>
          <w:sz w:val="16"/>
        </w:rPr>
        <w:t>Para ATC, al no ofrecer datos en la Memoria de sus cuentas anuales, se ha tomado como referencia el dato totalizado de efectivos a 16.05.23, publicado en su página web de Transparencia.</w:t>
      </w:r>
    </w:p>
    <w:p>
      <w:pPr>
        <w:pStyle w:val="BodyText"/>
        <w:spacing w:line="237" w:lineRule="exact"/>
        <w:ind w:left="7897"/>
        <w:jc w:val="center"/>
      </w:pPr>
      <w:r>
        <w:rPr/>
        <w:t>80</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71" name="image5.png"/>
                  <wp:cNvGraphicFramePr>
                    <a:graphicFrameLocks noChangeAspect="1"/>
                  </wp:cNvGraphicFramePr>
                  <a:graphic>
                    <a:graphicData uri="http://schemas.openxmlformats.org/drawingml/2006/picture">
                      <pic:pic>
                        <pic:nvPicPr>
                          <pic:cNvPr id="17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82/247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2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0"/>
        <w:gridCol w:w="863"/>
        <w:gridCol w:w="1236"/>
        <w:gridCol w:w="734"/>
        <w:gridCol w:w="1059"/>
        <w:gridCol w:w="1252"/>
        <w:gridCol w:w="1163"/>
      </w:tblGrid>
      <w:tr>
        <w:trPr>
          <w:trHeight w:val="701" w:hRule="atLeast"/>
        </w:trPr>
        <w:tc>
          <w:tcPr>
            <w:tcW w:w="166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36" w:type="dxa"/>
            <w:tcBorders>
              <w:top w:val="single" w:sz="4" w:space="0" w:color="000000"/>
              <w:left w:val="single" w:sz="4" w:space="0" w:color="000000"/>
              <w:bottom w:val="single" w:sz="4" w:space="0" w:color="000000"/>
            </w:tcBorders>
            <w:shd w:val="clear" w:color="auto" w:fill="DEEAF6"/>
          </w:tcPr>
          <w:p>
            <w:pPr>
              <w:pStyle w:val="TableParagraph"/>
              <w:spacing w:line="247" w:lineRule="auto" w:before="109"/>
              <w:ind w:left="41" w:right="84"/>
              <w:jc w:val="center"/>
              <w:rPr>
                <w:b/>
                <w:sz w:val="13"/>
              </w:rPr>
            </w:pPr>
            <w:r>
              <w:rPr>
                <w:b/>
                <w:w w:val="105"/>
                <w:sz w:val="13"/>
              </w:rPr>
              <w:t>TOTAL Ley de presupuestos 2022</w:t>
            </w:r>
          </w:p>
          <w:p>
            <w:pPr>
              <w:pStyle w:val="TableParagraph"/>
              <w:spacing w:line="139" w:lineRule="exact" w:before="106"/>
              <w:ind w:left="41" w:right="83"/>
              <w:jc w:val="center"/>
              <w:rPr>
                <w:b/>
                <w:sz w:val="13"/>
              </w:rPr>
            </w:pPr>
            <w:r>
              <w:rPr>
                <w:b/>
                <w:w w:val="105"/>
                <w:sz w:val="13"/>
              </w:rPr>
              <w:t>PO = (a) + (b)</w:t>
            </w:r>
          </w:p>
        </w:tc>
        <w:tc>
          <w:tcPr>
            <w:tcW w:w="734" w:type="dxa"/>
            <w:tcBorders>
              <w:top w:val="single" w:sz="4" w:space="0" w:color="000000"/>
              <w:bottom w:val="single" w:sz="4" w:space="0" w:color="000000"/>
            </w:tcBorders>
            <w:shd w:val="clear" w:color="auto" w:fill="DEEAF6"/>
          </w:tcPr>
          <w:p>
            <w:pPr>
              <w:pStyle w:val="TableParagraph"/>
              <w:spacing w:before="4"/>
              <w:rPr>
                <w:b/>
                <w:sz w:val="11"/>
              </w:rPr>
            </w:pPr>
          </w:p>
          <w:p>
            <w:pPr>
              <w:pStyle w:val="TableParagraph"/>
              <w:spacing w:before="1"/>
              <w:ind w:left="94" w:right="82"/>
              <w:jc w:val="center"/>
              <w:rPr>
                <w:b/>
                <w:sz w:val="13"/>
              </w:rPr>
            </w:pPr>
            <w:r>
              <w:rPr>
                <w:b/>
                <w:w w:val="105"/>
                <w:sz w:val="13"/>
              </w:rPr>
              <w:t>Vacantes</w:t>
            </w:r>
          </w:p>
          <w:p>
            <w:pPr>
              <w:pStyle w:val="TableParagraph"/>
              <w:rPr>
                <w:b/>
                <w:sz w:val="20"/>
              </w:rPr>
            </w:pPr>
          </w:p>
          <w:p>
            <w:pPr>
              <w:pStyle w:val="TableParagraph"/>
              <w:spacing w:line="139" w:lineRule="exact"/>
              <w:ind w:left="94" w:right="82"/>
              <w:jc w:val="center"/>
              <w:rPr>
                <w:b/>
                <w:sz w:val="13"/>
              </w:rPr>
            </w:pPr>
            <w:r>
              <w:rPr>
                <w:b/>
                <w:w w:val="105"/>
                <w:sz w:val="13"/>
              </w:rPr>
              <w:t>(a)</w:t>
            </w:r>
          </w:p>
        </w:tc>
        <w:tc>
          <w:tcPr>
            <w:tcW w:w="1059" w:type="dxa"/>
            <w:tcBorders>
              <w:top w:val="single" w:sz="4" w:space="0" w:color="000000"/>
              <w:bottom w:val="single" w:sz="4" w:space="0" w:color="000000"/>
              <w:right w:val="single" w:sz="4" w:space="0" w:color="000000"/>
            </w:tcBorders>
            <w:shd w:val="clear" w:color="auto" w:fill="DEEAF6"/>
          </w:tcPr>
          <w:p>
            <w:pPr>
              <w:pStyle w:val="TableParagraph"/>
              <w:spacing w:before="26"/>
              <w:ind w:left="85" w:right="23"/>
              <w:jc w:val="center"/>
              <w:rPr>
                <w:b/>
                <w:sz w:val="13"/>
              </w:rPr>
            </w:pPr>
            <w:r>
              <w:rPr>
                <w:b/>
                <w:w w:val="105"/>
                <w:sz w:val="13"/>
              </w:rPr>
              <w:t>ER</w:t>
            </w:r>
          </w:p>
          <w:p>
            <w:pPr>
              <w:pStyle w:val="TableParagraph"/>
              <w:spacing w:before="5"/>
              <w:ind w:left="86" w:right="23"/>
              <w:jc w:val="center"/>
              <w:rPr>
                <w:b/>
                <w:sz w:val="13"/>
              </w:rPr>
            </w:pPr>
            <w:r>
              <w:rPr>
                <w:b/>
                <w:w w:val="105"/>
                <w:sz w:val="13"/>
              </w:rPr>
              <w:t>presupuestados</w:t>
            </w:r>
          </w:p>
          <w:p>
            <w:pPr>
              <w:pStyle w:val="TableParagraph"/>
              <w:spacing w:before="10"/>
              <w:rPr>
                <w:b/>
                <w:sz w:val="15"/>
              </w:rPr>
            </w:pPr>
          </w:p>
          <w:p>
            <w:pPr>
              <w:pStyle w:val="TableParagraph"/>
              <w:spacing w:line="139" w:lineRule="exact"/>
              <w:ind w:left="86" w:right="22"/>
              <w:jc w:val="center"/>
              <w:rPr>
                <w:b/>
                <w:sz w:val="13"/>
              </w:rPr>
            </w:pPr>
            <w:r>
              <w:rPr>
                <w:b/>
                <w:w w:val="105"/>
                <w:sz w:val="13"/>
              </w:rPr>
              <w:t>(b)</w:t>
            </w:r>
          </w:p>
        </w:tc>
        <w:tc>
          <w:tcPr>
            <w:tcW w:w="125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26"/>
              <w:ind w:left="190" w:right="179" w:firstLine="26"/>
              <w:jc w:val="both"/>
              <w:rPr>
                <w:sz w:val="13"/>
              </w:rPr>
            </w:pPr>
            <w:r>
              <w:rPr>
                <w:b/>
                <w:w w:val="105"/>
                <w:sz w:val="13"/>
              </w:rPr>
              <w:t>Memoria de la Cuenta </w:t>
            </w:r>
            <w:r>
              <w:rPr>
                <w:b/>
                <w:spacing w:val="-3"/>
                <w:w w:val="105"/>
                <w:sz w:val="13"/>
              </w:rPr>
              <w:t>General </w:t>
            </w:r>
            <w:r>
              <w:rPr>
                <w:w w:val="105"/>
                <w:sz w:val="13"/>
              </w:rPr>
              <w:t>ER a 31.12.22</w:t>
            </w:r>
          </w:p>
          <w:p>
            <w:pPr>
              <w:pStyle w:val="TableParagraph"/>
              <w:spacing w:line="139" w:lineRule="exact" w:before="26"/>
              <w:ind w:left="502" w:right="492"/>
              <w:jc w:val="center"/>
              <w:rPr>
                <w:b/>
                <w:sz w:val="13"/>
              </w:rPr>
            </w:pPr>
            <w:r>
              <w:rPr>
                <w:b/>
                <w:w w:val="105"/>
                <w:sz w:val="13"/>
              </w:rPr>
              <w:t>(2)</w:t>
            </w:r>
          </w:p>
        </w:tc>
        <w:tc>
          <w:tcPr>
            <w:tcW w:w="1163"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352" w:lineRule="exact" w:before="31"/>
              <w:ind w:left="236" w:hanging="160"/>
              <w:rPr>
                <w:b/>
                <w:sz w:val="13"/>
              </w:rPr>
            </w:pPr>
            <w:r>
              <w:rPr>
                <w:b/>
                <w:w w:val="105"/>
                <w:sz w:val="13"/>
              </w:rPr>
              <w:t>Tasa de cobertura (2) - (1) = (3)</w:t>
            </w:r>
          </w:p>
        </w:tc>
      </w:tr>
      <w:tr>
        <w:trPr>
          <w:trHeight w:val="144" w:hRule="atLeast"/>
        </w:trPr>
        <w:tc>
          <w:tcPr>
            <w:tcW w:w="800" w:type="dxa"/>
            <w:tcBorders>
              <w:top w:val="single" w:sz="4" w:space="0" w:color="000000"/>
              <w:left w:val="single" w:sz="4" w:space="0" w:color="000000"/>
              <w:right w:val="single" w:sz="4" w:space="0" w:color="000000"/>
            </w:tcBorders>
          </w:tcPr>
          <w:p>
            <w:pPr>
              <w:pStyle w:val="TableParagraph"/>
              <w:rPr>
                <w:rFonts w:ascii="Times New Roman"/>
                <w:sz w:val="8"/>
              </w:rPr>
            </w:pPr>
          </w:p>
        </w:tc>
        <w:tc>
          <w:tcPr>
            <w:tcW w:w="863" w:type="dxa"/>
            <w:tcBorders>
              <w:top w:val="single" w:sz="4" w:space="0" w:color="000000"/>
              <w:left w:val="single" w:sz="4" w:space="0" w:color="000000"/>
              <w:right w:val="single" w:sz="4" w:space="0" w:color="000000"/>
            </w:tcBorders>
          </w:tcPr>
          <w:p>
            <w:pPr>
              <w:pStyle w:val="TableParagraph"/>
              <w:spacing w:line="125" w:lineRule="exact"/>
              <w:ind w:left="335" w:right="329"/>
              <w:jc w:val="center"/>
              <w:rPr>
                <w:sz w:val="13"/>
              </w:rPr>
            </w:pPr>
            <w:r>
              <w:rPr>
                <w:w w:val="105"/>
                <w:sz w:val="13"/>
              </w:rPr>
              <w:t>A1</w:t>
            </w:r>
          </w:p>
        </w:tc>
        <w:tc>
          <w:tcPr>
            <w:tcW w:w="1236" w:type="dxa"/>
            <w:tcBorders>
              <w:top w:val="single" w:sz="4" w:space="0" w:color="000000"/>
              <w:left w:val="single" w:sz="4" w:space="0" w:color="000000"/>
            </w:tcBorders>
          </w:tcPr>
          <w:p>
            <w:pPr>
              <w:pStyle w:val="TableParagraph"/>
              <w:spacing w:line="125" w:lineRule="exact"/>
              <w:ind w:left="524"/>
              <w:rPr>
                <w:sz w:val="13"/>
              </w:rPr>
            </w:pPr>
            <w:r>
              <w:rPr>
                <w:w w:val="105"/>
                <w:sz w:val="13"/>
              </w:rPr>
              <w:t>78</w:t>
            </w:r>
          </w:p>
        </w:tc>
        <w:tc>
          <w:tcPr>
            <w:tcW w:w="734" w:type="dxa"/>
            <w:tcBorders>
              <w:top w:val="single" w:sz="4" w:space="0" w:color="000000"/>
            </w:tcBorders>
          </w:tcPr>
          <w:p>
            <w:pPr>
              <w:pStyle w:val="TableParagraph"/>
              <w:spacing w:line="125" w:lineRule="exact"/>
              <w:ind w:left="92" w:right="82"/>
              <w:jc w:val="center"/>
              <w:rPr>
                <w:sz w:val="13"/>
              </w:rPr>
            </w:pPr>
            <w:r>
              <w:rPr>
                <w:w w:val="105"/>
                <w:sz w:val="13"/>
              </w:rPr>
              <w:t>11</w:t>
            </w:r>
          </w:p>
        </w:tc>
        <w:tc>
          <w:tcPr>
            <w:tcW w:w="1059" w:type="dxa"/>
            <w:tcBorders>
              <w:top w:val="single" w:sz="4" w:space="0" w:color="000000"/>
              <w:right w:val="single" w:sz="4" w:space="0" w:color="000000"/>
            </w:tcBorders>
          </w:tcPr>
          <w:p>
            <w:pPr>
              <w:pStyle w:val="TableParagraph"/>
              <w:spacing w:line="125" w:lineRule="exact"/>
              <w:ind w:right="424"/>
              <w:jc w:val="right"/>
              <w:rPr>
                <w:sz w:val="13"/>
              </w:rPr>
            </w:pPr>
            <w:r>
              <w:rPr>
                <w:sz w:val="13"/>
              </w:rPr>
              <w:t>67</w:t>
            </w:r>
          </w:p>
        </w:tc>
        <w:tc>
          <w:tcPr>
            <w:tcW w:w="1252" w:type="dxa"/>
            <w:tcBorders>
              <w:top w:val="single" w:sz="4" w:space="0" w:color="000000"/>
              <w:left w:val="single" w:sz="4" w:space="0" w:color="000000"/>
              <w:right w:val="single" w:sz="4" w:space="0" w:color="000000"/>
            </w:tcBorders>
          </w:tcPr>
          <w:p>
            <w:pPr>
              <w:pStyle w:val="TableParagraph"/>
              <w:spacing w:line="125" w:lineRule="exact"/>
              <w:ind w:left="498" w:right="492"/>
              <w:jc w:val="center"/>
              <w:rPr>
                <w:sz w:val="13"/>
              </w:rPr>
            </w:pPr>
            <w:r>
              <w:rPr>
                <w:w w:val="105"/>
                <w:sz w:val="13"/>
              </w:rPr>
              <w:t>90</w:t>
            </w:r>
          </w:p>
        </w:tc>
        <w:tc>
          <w:tcPr>
            <w:tcW w:w="1163" w:type="dxa"/>
            <w:tcBorders>
              <w:top w:val="single" w:sz="4" w:space="0" w:color="000000"/>
              <w:left w:val="single" w:sz="4" w:space="0" w:color="000000"/>
              <w:right w:val="single" w:sz="4" w:space="0" w:color="000000"/>
            </w:tcBorders>
          </w:tcPr>
          <w:p>
            <w:pPr>
              <w:pStyle w:val="TableParagraph"/>
              <w:spacing w:line="125" w:lineRule="exact"/>
              <w:ind w:right="489"/>
              <w:jc w:val="right"/>
              <w:rPr>
                <w:sz w:val="13"/>
              </w:rPr>
            </w:pPr>
            <w:r>
              <w:rPr>
                <w:sz w:val="13"/>
              </w:rPr>
              <w:t>12</w:t>
            </w:r>
          </w:p>
        </w:tc>
      </w:tr>
      <w:tr>
        <w:trPr>
          <w:trHeight w:val="172" w:hRule="atLeast"/>
        </w:trPr>
        <w:tc>
          <w:tcPr>
            <w:tcW w:w="800" w:type="dxa"/>
            <w:tcBorders>
              <w:left w:val="single" w:sz="4" w:space="0" w:color="000000"/>
              <w:right w:val="single" w:sz="4" w:space="0" w:color="000000"/>
            </w:tcBorders>
          </w:tcPr>
          <w:p>
            <w:pPr>
              <w:pStyle w:val="TableParagraph"/>
              <w:rPr>
                <w:rFonts w:ascii="Times New Roman"/>
                <w:sz w:val="10"/>
              </w:rPr>
            </w:pPr>
          </w:p>
        </w:tc>
        <w:tc>
          <w:tcPr>
            <w:tcW w:w="863" w:type="dxa"/>
            <w:tcBorders>
              <w:left w:val="single" w:sz="4" w:space="0" w:color="000000"/>
              <w:right w:val="single" w:sz="4" w:space="0" w:color="000000"/>
            </w:tcBorders>
          </w:tcPr>
          <w:p>
            <w:pPr>
              <w:pStyle w:val="TableParagraph"/>
              <w:spacing w:line="152" w:lineRule="exact"/>
              <w:ind w:left="335" w:right="329"/>
              <w:jc w:val="center"/>
              <w:rPr>
                <w:sz w:val="13"/>
              </w:rPr>
            </w:pPr>
            <w:r>
              <w:rPr>
                <w:w w:val="105"/>
                <w:sz w:val="13"/>
              </w:rPr>
              <w:t>A2</w:t>
            </w:r>
          </w:p>
        </w:tc>
        <w:tc>
          <w:tcPr>
            <w:tcW w:w="1236" w:type="dxa"/>
            <w:tcBorders>
              <w:left w:val="single" w:sz="4" w:space="0" w:color="000000"/>
            </w:tcBorders>
          </w:tcPr>
          <w:p>
            <w:pPr>
              <w:pStyle w:val="TableParagraph"/>
              <w:spacing w:line="152" w:lineRule="exact"/>
              <w:ind w:left="524"/>
              <w:rPr>
                <w:sz w:val="13"/>
              </w:rPr>
            </w:pPr>
            <w:r>
              <w:rPr>
                <w:w w:val="105"/>
                <w:sz w:val="13"/>
              </w:rPr>
              <w:t>58</w:t>
            </w:r>
          </w:p>
        </w:tc>
        <w:tc>
          <w:tcPr>
            <w:tcW w:w="734" w:type="dxa"/>
          </w:tcPr>
          <w:p>
            <w:pPr>
              <w:pStyle w:val="TableParagraph"/>
              <w:spacing w:line="152" w:lineRule="exact"/>
              <w:ind w:left="10"/>
              <w:jc w:val="center"/>
              <w:rPr>
                <w:sz w:val="13"/>
              </w:rPr>
            </w:pPr>
            <w:r>
              <w:rPr>
                <w:w w:val="103"/>
                <w:sz w:val="13"/>
              </w:rPr>
              <w:t>3</w:t>
            </w:r>
          </w:p>
        </w:tc>
        <w:tc>
          <w:tcPr>
            <w:tcW w:w="1059" w:type="dxa"/>
            <w:tcBorders>
              <w:right w:val="single" w:sz="4" w:space="0" w:color="000000"/>
            </w:tcBorders>
          </w:tcPr>
          <w:p>
            <w:pPr>
              <w:pStyle w:val="TableParagraph"/>
              <w:spacing w:line="152" w:lineRule="exact"/>
              <w:ind w:right="424"/>
              <w:jc w:val="right"/>
              <w:rPr>
                <w:sz w:val="13"/>
              </w:rPr>
            </w:pPr>
            <w:r>
              <w:rPr>
                <w:sz w:val="13"/>
              </w:rPr>
              <w:t>55</w:t>
            </w:r>
          </w:p>
        </w:tc>
        <w:tc>
          <w:tcPr>
            <w:tcW w:w="1252" w:type="dxa"/>
            <w:tcBorders>
              <w:left w:val="single" w:sz="4" w:space="0" w:color="000000"/>
              <w:right w:val="single" w:sz="4" w:space="0" w:color="000000"/>
            </w:tcBorders>
          </w:tcPr>
          <w:p>
            <w:pPr>
              <w:pStyle w:val="TableParagraph"/>
              <w:spacing w:line="152" w:lineRule="exact"/>
              <w:ind w:left="498" w:right="492"/>
              <w:jc w:val="center"/>
              <w:rPr>
                <w:sz w:val="13"/>
              </w:rPr>
            </w:pPr>
            <w:r>
              <w:rPr>
                <w:w w:val="105"/>
                <w:sz w:val="13"/>
              </w:rPr>
              <w:t>45</w:t>
            </w:r>
          </w:p>
        </w:tc>
        <w:tc>
          <w:tcPr>
            <w:tcW w:w="1163" w:type="dxa"/>
            <w:tcBorders>
              <w:left w:val="single" w:sz="4" w:space="0" w:color="000000"/>
              <w:right w:val="single" w:sz="4" w:space="0" w:color="000000"/>
            </w:tcBorders>
          </w:tcPr>
          <w:p>
            <w:pPr>
              <w:pStyle w:val="TableParagraph"/>
              <w:spacing w:line="152" w:lineRule="exact"/>
              <w:ind w:right="481"/>
              <w:jc w:val="right"/>
              <w:rPr>
                <w:sz w:val="13"/>
              </w:rPr>
            </w:pPr>
            <w:r>
              <w:rPr>
                <w:sz w:val="13"/>
              </w:rPr>
              <w:t>-13</w:t>
            </w:r>
          </w:p>
        </w:tc>
      </w:tr>
      <w:tr>
        <w:trPr>
          <w:trHeight w:val="344" w:hRule="atLeast"/>
        </w:trPr>
        <w:tc>
          <w:tcPr>
            <w:tcW w:w="800" w:type="dxa"/>
            <w:tcBorders>
              <w:left w:val="single" w:sz="4" w:space="0" w:color="000000"/>
              <w:right w:val="single" w:sz="4" w:space="0" w:color="000000"/>
            </w:tcBorders>
          </w:tcPr>
          <w:p>
            <w:pPr>
              <w:pStyle w:val="TableParagraph"/>
              <w:spacing w:before="82"/>
              <w:ind w:left="57"/>
              <w:rPr>
                <w:b/>
                <w:sz w:val="13"/>
              </w:rPr>
            </w:pPr>
            <w:r>
              <w:rPr>
                <w:b/>
                <w:w w:val="105"/>
                <w:sz w:val="13"/>
              </w:rPr>
              <w:t>Funcionario</w:t>
            </w:r>
          </w:p>
        </w:tc>
        <w:tc>
          <w:tcPr>
            <w:tcW w:w="863" w:type="dxa"/>
            <w:tcBorders>
              <w:left w:val="single" w:sz="4" w:space="0" w:color="000000"/>
              <w:right w:val="single" w:sz="4" w:space="0" w:color="000000"/>
            </w:tcBorders>
          </w:tcPr>
          <w:p>
            <w:pPr>
              <w:pStyle w:val="TableParagraph"/>
              <w:spacing w:line="154" w:lineRule="exact"/>
              <w:ind w:left="335" w:right="327"/>
              <w:jc w:val="center"/>
              <w:rPr>
                <w:sz w:val="13"/>
              </w:rPr>
            </w:pPr>
            <w:r>
              <w:rPr>
                <w:w w:val="105"/>
                <w:sz w:val="13"/>
              </w:rPr>
              <w:t>C1</w:t>
            </w:r>
          </w:p>
          <w:p>
            <w:pPr>
              <w:pStyle w:val="TableParagraph"/>
              <w:spacing w:line="156" w:lineRule="exact" w:before="14"/>
              <w:ind w:left="335" w:right="327"/>
              <w:jc w:val="center"/>
              <w:rPr>
                <w:sz w:val="13"/>
              </w:rPr>
            </w:pPr>
            <w:r>
              <w:rPr>
                <w:w w:val="105"/>
                <w:sz w:val="13"/>
              </w:rPr>
              <w:t>C2</w:t>
            </w:r>
          </w:p>
        </w:tc>
        <w:tc>
          <w:tcPr>
            <w:tcW w:w="1236" w:type="dxa"/>
            <w:tcBorders>
              <w:left w:val="single" w:sz="4" w:space="0" w:color="000000"/>
            </w:tcBorders>
          </w:tcPr>
          <w:p>
            <w:pPr>
              <w:pStyle w:val="TableParagraph"/>
              <w:spacing w:line="154" w:lineRule="exact"/>
              <w:ind w:left="41" w:right="83"/>
              <w:jc w:val="center"/>
              <w:rPr>
                <w:sz w:val="13"/>
              </w:rPr>
            </w:pPr>
            <w:r>
              <w:rPr>
                <w:w w:val="105"/>
                <w:sz w:val="13"/>
              </w:rPr>
              <w:t>56</w:t>
            </w:r>
          </w:p>
          <w:p>
            <w:pPr>
              <w:pStyle w:val="TableParagraph"/>
              <w:spacing w:line="156" w:lineRule="exact" w:before="14"/>
              <w:ind w:left="41" w:right="83"/>
              <w:jc w:val="center"/>
              <w:rPr>
                <w:sz w:val="13"/>
              </w:rPr>
            </w:pPr>
            <w:r>
              <w:rPr>
                <w:w w:val="105"/>
                <w:sz w:val="13"/>
              </w:rPr>
              <w:t>89</w:t>
            </w:r>
          </w:p>
        </w:tc>
        <w:tc>
          <w:tcPr>
            <w:tcW w:w="734" w:type="dxa"/>
          </w:tcPr>
          <w:p>
            <w:pPr>
              <w:pStyle w:val="TableParagraph"/>
              <w:spacing w:line="154" w:lineRule="exact"/>
              <w:ind w:left="92" w:right="82"/>
              <w:jc w:val="center"/>
              <w:rPr>
                <w:sz w:val="13"/>
              </w:rPr>
            </w:pPr>
            <w:r>
              <w:rPr>
                <w:w w:val="105"/>
                <w:sz w:val="13"/>
              </w:rPr>
              <w:t>17</w:t>
            </w:r>
          </w:p>
          <w:p>
            <w:pPr>
              <w:pStyle w:val="TableParagraph"/>
              <w:spacing w:line="156" w:lineRule="exact" w:before="14"/>
              <w:ind w:left="92" w:right="82"/>
              <w:jc w:val="center"/>
              <w:rPr>
                <w:sz w:val="13"/>
              </w:rPr>
            </w:pPr>
            <w:r>
              <w:rPr>
                <w:w w:val="105"/>
                <w:sz w:val="13"/>
              </w:rPr>
              <w:t>21</w:t>
            </w:r>
          </w:p>
        </w:tc>
        <w:tc>
          <w:tcPr>
            <w:tcW w:w="1059" w:type="dxa"/>
            <w:tcBorders>
              <w:right w:val="single" w:sz="4" w:space="0" w:color="000000"/>
            </w:tcBorders>
          </w:tcPr>
          <w:p>
            <w:pPr>
              <w:pStyle w:val="TableParagraph"/>
              <w:spacing w:line="154" w:lineRule="exact"/>
              <w:ind w:left="86" w:right="22"/>
              <w:jc w:val="center"/>
              <w:rPr>
                <w:sz w:val="13"/>
              </w:rPr>
            </w:pPr>
            <w:r>
              <w:rPr>
                <w:w w:val="105"/>
                <w:sz w:val="13"/>
              </w:rPr>
              <w:t>39</w:t>
            </w:r>
          </w:p>
          <w:p>
            <w:pPr>
              <w:pStyle w:val="TableParagraph"/>
              <w:spacing w:line="156" w:lineRule="exact" w:before="14"/>
              <w:ind w:left="86" w:right="22"/>
              <w:jc w:val="center"/>
              <w:rPr>
                <w:sz w:val="13"/>
              </w:rPr>
            </w:pPr>
            <w:r>
              <w:rPr>
                <w:w w:val="105"/>
                <w:sz w:val="13"/>
              </w:rPr>
              <w:t>68</w:t>
            </w:r>
          </w:p>
        </w:tc>
        <w:tc>
          <w:tcPr>
            <w:tcW w:w="1252" w:type="dxa"/>
            <w:tcBorders>
              <w:left w:val="single" w:sz="4" w:space="0" w:color="000000"/>
              <w:right w:val="single" w:sz="4" w:space="0" w:color="000000"/>
            </w:tcBorders>
          </w:tcPr>
          <w:p>
            <w:pPr>
              <w:pStyle w:val="TableParagraph"/>
              <w:spacing w:line="154" w:lineRule="exact"/>
              <w:ind w:left="498" w:right="492"/>
              <w:jc w:val="center"/>
              <w:rPr>
                <w:sz w:val="13"/>
              </w:rPr>
            </w:pPr>
            <w:r>
              <w:rPr>
                <w:w w:val="105"/>
                <w:sz w:val="13"/>
              </w:rPr>
              <w:t>44</w:t>
            </w:r>
          </w:p>
          <w:p>
            <w:pPr>
              <w:pStyle w:val="TableParagraph"/>
              <w:spacing w:line="156" w:lineRule="exact" w:before="14"/>
              <w:ind w:left="498" w:right="492"/>
              <w:jc w:val="center"/>
              <w:rPr>
                <w:sz w:val="13"/>
              </w:rPr>
            </w:pPr>
            <w:r>
              <w:rPr>
                <w:w w:val="105"/>
                <w:sz w:val="13"/>
              </w:rPr>
              <w:t>66</w:t>
            </w:r>
          </w:p>
        </w:tc>
        <w:tc>
          <w:tcPr>
            <w:tcW w:w="1163" w:type="dxa"/>
            <w:tcBorders>
              <w:left w:val="single" w:sz="4" w:space="0" w:color="000000"/>
              <w:right w:val="single" w:sz="4" w:space="0" w:color="000000"/>
            </w:tcBorders>
          </w:tcPr>
          <w:p>
            <w:pPr>
              <w:pStyle w:val="TableParagraph"/>
              <w:spacing w:line="154" w:lineRule="exact"/>
              <w:ind w:left="210" w:right="203"/>
              <w:jc w:val="center"/>
              <w:rPr>
                <w:sz w:val="13"/>
              </w:rPr>
            </w:pPr>
            <w:r>
              <w:rPr>
                <w:w w:val="105"/>
                <w:sz w:val="13"/>
              </w:rPr>
              <w:t>-12</w:t>
            </w:r>
          </w:p>
          <w:p>
            <w:pPr>
              <w:pStyle w:val="TableParagraph"/>
              <w:spacing w:line="156" w:lineRule="exact" w:before="14"/>
              <w:ind w:left="210" w:right="203"/>
              <w:jc w:val="center"/>
              <w:rPr>
                <w:sz w:val="13"/>
              </w:rPr>
            </w:pPr>
            <w:r>
              <w:rPr>
                <w:w w:val="105"/>
                <w:sz w:val="13"/>
              </w:rPr>
              <w:t>-23</w:t>
            </w:r>
          </w:p>
        </w:tc>
      </w:tr>
      <w:tr>
        <w:trPr>
          <w:trHeight w:val="172" w:hRule="atLeast"/>
        </w:trPr>
        <w:tc>
          <w:tcPr>
            <w:tcW w:w="800" w:type="dxa"/>
            <w:tcBorders>
              <w:left w:val="single" w:sz="4" w:space="0" w:color="000000"/>
              <w:right w:val="single" w:sz="4" w:space="0" w:color="000000"/>
            </w:tcBorders>
          </w:tcPr>
          <w:p>
            <w:pPr>
              <w:pStyle w:val="TableParagraph"/>
              <w:rPr>
                <w:rFonts w:ascii="Times New Roman"/>
                <w:sz w:val="10"/>
              </w:rPr>
            </w:pPr>
          </w:p>
        </w:tc>
        <w:tc>
          <w:tcPr>
            <w:tcW w:w="863" w:type="dxa"/>
            <w:tcBorders>
              <w:left w:val="single" w:sz="4" w:space="0" w:color="000000"/>
              <w:right w:val="single" w:sz="4" w:space="0" w:color="000000"/>
            </w:tcBorders>
          </w:tcPr>
          <w:p>
            <w:pPr>
              <w:pStyle w:val="TableParagraph"/>
              <w:spacing w:line="152" w:lineRule="exact"/>
              <w:ind w:left="5"/>
              <w:jc w:val="center"/>
              <w:rPr>
                <w:sz w:val="13"/>
              </w:rPr>
            </w:pPr>
            <w:r>
              <w:rPr>
                <w:w w:val="103"/>
                <w:sz w:val="13"/>
              </w:rPr>
              <w:t>E</w:t>
            </w:r>
          </w:p>
        </w:tc>
        <w:tc>
          <w:tcPr>
            <w:tcW w:w="1236" w:type="dxa"/>
            <w:tcBorders>
              <w:left w:val="single" w:sz="4" w:space="0" w:color="000000"/>
            </w:tcBorders>
          </w:tcPr>
          <w:p>
            <w:pPr>
              <w:pStyle w:val="TableParagraph"/>
              <w:spacing w:line="152" w:lineRule="exact"/>
              <w:ind w:left="559"/>
              <w:rPr>
                <w:sz w:val="13"/>
              </w:rPr>
            </w:pPr>
            <w:r>
              <w:rPr>
                <w:w w:val="103"/>
                <w:sz w:val="13"/>
              </w:rPr>
              <w:t>4</w:t>
            </w:r>
          </w:p>
        </w:tc>
        <w:tc>
          <w:tcPr>
            <w:tcW w:w="734" w:type="dxa"/>
          </w:tcPr>
          <w:p>
            <w:pPr>
              <w:pStyle w:val="TableParagraph"/>
              <w:spacing w:line="152" w:lineRule="exact"/>
              <w:ind w:left="10"/>
              <w:jc w:val="center"/>
              <w:rPr>
                <w:sz w:val="13"/>
              </w:rPr>
            </w:pPr>
            <w:r>
              <w:rPr>
                <w:w w:val="103"/>
                <w:sz w:val="13"/>
              </w:rPr>
              <w:t>0</w:t>
            </w:r>
          </w:p>
        </w:tc>
        <w:tc>
          <w:tcPr>
            <w:tcW w:w="1059" w:type="dxa"/>
            <w:tcBorders>
              <w:right w:val="single" w:sz="4" w:space="0" w:color="000000"/>
            </w:tcBorders>
          </w:tcPr>
          <w:p>
            <w:pPr>
              <w:pStyle w:val="TableParagraph"/>
              <w:spacing w:line="152" w:lineRule="exact"/>
              <w:ind w:right="458"/>
              <w:jc w:val="right"/>
              <w:rPr>
                <w:sz w:val="13"/>
              </w:rPr>
            </w:pPr>
            <w:r>
              <w:rPr>
                <w:w w:val="103"/>
                <w:sz w:val="13"/>
              </w:rPr>
              <w:t>4</w:t>
            </w:r>
          </w:p>
        </w:tc>
        <w:tc>
          <w:tcPr>
            <w:tcW w:w="1252" w:type="dxa"/>
            <w:tcBorders>
              <w:left w:val="single" w:sz="4" w:space="0" w:color="000000"/>
              <w:right w:val="single" w:sz="4" w:space="0" w:color="000000"/>
            </w:tcBorders>
          </w:tcPr>
          <w:p>
            <w:pPr>
              <w:pStyle w:val="TableParagraph"/>
              <w:spacing w:line="152" w:lineRule="exact"/>
              <w:ind w:left="5"/>
              <w:jc w:val="center"/>
              <w:rPr>
                <w:sz w:val="13"/>
              </w:rPr>
            </w:pPr>
            <w:r>
              <w:rPr>
                <w:w w:val="103"/>
                <w:sz w:val="13"/>
              </w:rPr>
              <w:t>4</w:t>
            </w:r>
          </w:p>
        </w:tc>
        <w:tc>
          <w:tcPr>
            <w:tcW w:w="1163" w:type="dxa"/>
            <w:tcBorders>
              <w:left w:val="single" w:sz="4" w:space="0" w:color="000000"/>
              <w:right w:val="single" w:sz="4" w:space="0" w:color="000000"/>
            </w:tcBorders>
          </w:tcPr>
          <w:p>
            <w:pPr>
              <w:pStyle w:val="TableParagraph"/>
              <w:spacing w:line="152" w:lineRule="exact"/>
              <w:ind w:right="507"/>
              <w:jc w:val="right"/>
              <w:rPr>
                <w:sz w:val="13"/>
              </w:rPr>
            </w:pPr>
            <w:r>
              <w:rPr>
                <w:w w:val="103"/>
                <w:sz w:val="13"/>
              </w:rPr>
              <w:t>0</w:t>
            </w:r>
          </w:p>
        </w:tc>
      </w:tr>
      <w:tr>
        <w:trPr>
          <w:trHeight w:val="155" w:hRule="atLeast"/>
        </w:trPr>
        <w:tc>
          <w:tcPr>
            <w:tcW w:w="800" w:type="dxa"/>
            <w:tcBorders>
              <w:left w:val="single" w:sz="4" w:space="0" w:color="000000"/>
              <w:bottom w:val="single" w:sz="4" w:space="0" w:color="000000"/>
              <w:right w:val="single" w:sz="4" w:space="0" w:color="000000"/>
            </w:tcBorders>
          </w:tcPr>
          <w:p>
            <w:pPr>
              <w:pStyle w:val="TableParagraph"/>
              <w:rPr>
                <w:rFonts w:ascii="Times New Roman"/>
                <w:sz w:val="10"/>
              </w:rPr>
            </w:pPr>
          </w:p>
        </w:tc>
        <w:tc>
          <w:tcPr>
            <w:tcW w:w="863" w:type="dxa"/>
            <w:tcBorders>
              <w:left w:val="single" w:sz="4" w:space="0" w:color="000000"/>
              <w:bottom w:val="single" w:sz="4" w:space="0" w:color="000000"/>
              <w:right w:val="single" w:sz="4" w:space="0" w:color="000000"/>
            </w:tcBorders>
          </w:tcPr>
          <w:p>
            <w:pPr>
              <w:pStyle w:val="TableParagraph"/>
              <w:rPr>
                <w:rFonts w:ascii="Times New Roman"/>
                <w:sz w:val="10"/>
              </w:rPr>
            </w:pPr>
          </w:p>
        </w:tc>
        <w:tc>
          <w:tcPr>
            <w:tcW w:w="1236" w:type="dxa"/>
            <w:tcBorders>
              <w:left w:val="single" w:sz="4" w:space="0" w:color="000000"/>
              <w:bottom w:val="single" w:sz="4" w:space="0" w:color="000000"/>
            </w:tcBorders>
          </w:tcPr>
          <w:p>
            <w:pPr>
              <w:pStyle w:val="TableParagraph"/>
              <w:spacing w:line="136" w:lineRule="exact"/>
              <w:ind w:left="490"/>
              <w:rPr>
                <w:b/>
                <w:sz w:val="13"/>
              </w:rPr>
            </w:pPr>
            <w:r>
              <w:rPr>
                <w:b/>
                <w:w w:val="105"/>
                <w:sz w:val="13"/>
              </w:rPr>
              <w:t>285</w:t>
            </w:r>
          </w:p>
        </w:tc>
        <w:tc>
          <w:tcPr>
            <w:tcW w:w="734" w:type="dxa"/>
            <w:tcBorders>
              <w:bottom w:val="single" w:sz="4" w:space="0" w:color="000000"/>
            </w:tcBorders>
          </w:tcPr>
          <w:p>
            <w:pPr>
              <w:pStyle w:val="TableParagraph"/>
              <w:spacing w:line="136" w:lineRule="exact"/>
              <w:ind w:left="92" w:right="82"/>
              <w:jc w:val="center"/>
              <w:rPr>
                <w:b/>
                <w:sz w:val="13"/>
              </w:rPr>
            </w:pPr>
            <w:r>
              <w:rPr>
                <w:b/>
                <w:w w:val="105"/>
                <w:sz w:val="13"/>
              </w:rPr>
              <w:t>52</w:t>
            </w:r>
          </w:p>
        </w:tc>
        <w:tc>
          <w:tcPr>
            <w:tcW w:w="1059" w:type="dxa"/>
            <w:tcBorders>
              <w:bottom w:val="single" w:sz="4" w:space="0" w:color="000000"/>
              <w:right w:val="single" w:sz="4" w:space="0" w:color="000000"/>
            </w:tcBorders>
          </w:tcPr>
          <w:p>
            <w:pPr>
              <w:pStyle w:val="TableParagraph"/>
              <w:spacing w:line="136" w:lineRule="exact"/>
              <w:ind w:right="390"/>
              <w:jc w:val="right"/>
              <w:rPr>
                <w:b/>
                <w:sz w:val="13"/>
              </w:rPr>
            </w:pPr>
            <w:r>
              <w:rPr>
                <w:b/>
                <w:sz w:val="13"/>
              </w:rPr>
              <w:t>233</w:t>
            </w:r>
          </w:p>
        </w:tc>
        <w:tc>
          <w:tcPr>
            <w:tcW w:w="1252" w:type="dxa"/>
            <w:tcBorders>
              <w:left w:val="single" w:sz="4" w:space="0" w:color="000000"/>
              <w:bottom w:val="single" w:sz="4" w:space="0" w:color="000000"/>
              <w:right w:val="single" w:sz="4" w:space="0" w:color="000000"/>
            </w:tcBorders>
          </w:tcPr>
          <w:p>
            <w:pPr>
              <w:pStyle w:val="TableParagraph"/>
              <w:spacing w:line="136" w:lineRule="exact"/>
              <w:ind w:left="502" w:right="492"/>
              <w:jc w:val="center"/>
              <w:rPr>
                <w:b/>
                <w:sz w:val="13"/>
              </w:rPr>
            </w:pPr>
            <w:r>
              <w:rPr>
                <w:b/>
                <w:w w:val="105"/>
                <w:sz w:val="13"/>
              </w:rPr>
              <w:t>249</w:t>
            </w:r>
          </w:p>
        </w:tc>
        <w:tc>
          <w:tcPr>
            <w:tcW w:w="1163" w:type="dxa"/>
            <w:tcBorders>
              <w:left w:val="single" w:sz="4" w:space="0" w:color="000000"/>
              <w:bottom w:val="single" w:sz="4" w:space="0" w:color="000000"/>
              <w:right w:val="single" w:sz="4" w:space="0" w:color="000000"/>
            </w:tcBorders>
          </w:tcPr>
          <w:p>
            <w:pPr>
              <w:pStyle w:val="TableParagraph"/>
              <w:spacing w:line="136" w:lineRule="exact"/>
              <w:ind w:right="481"/>
              <w:jc w:val="right"/>
              <w:rPr>
                <w:b/>
                <w:sz w:val="13"/>
              </w:rPr>
            </w:pPr>
            <w:r>
              <w:rPr>
                <w:b/>
                <w:sz w:val="13"/>
              </w:rPr>
              <w:t>-36</w:t>
            </w:r>
          </w:p>
        </w:tc>
      </w:tr>
      <w:tr>
        <w:trPr>
          <w:trHeight w:val="209" w:hRule="atLeast"/>
        </w:trPr>
        <w:tc>
          <w:tcPr>
            <w:tcW w:w="80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863" w:type="dxa"/>
            <w:tcBorders>
              <w:top w:val="single" w:sz="4" w:space="0" w:color="000000"/>
              <w:left w:val="single" w:sz="4" w:space="0" w:color="000000"/>
              <w:right w:val="single" w:sz="4" w:space="0" w:color="000000"/>
            </w:tcBorders>
          </w:tcPr>
          <w:p>
            <w:pPr>
              <w:pStyle w:val="TableParagraph"/>
              <w:spacing w:before="18"/>
              <w:ind w:left="209"/>
              <w:rPr>
                <w:sz w:val="13"/>
              </w:rPr>
            </w:pPr>
            <w:r>
              <w:rPr>
                <w:w w:val="105"/>
                <w:sz w:val="13"/>
              </w:rPr>
              <w:t>Grupo 1</w:t>
            </w:r>
          </w:p>
        </w:tc>
        <w:tc>
          <w:tcPr>
            <w:tcW w:w="1236" w:type="dxa"/>
            <w:tcBorders>
              <w:top w:val="single" w:sz="4" w:space="0" w:color="000000"/>
              <w:left w:val="single" w:sz="4" w:space="0" w:color="000000"/>
            </w:tcBorders>
          </w:tcPr>
          <w:p>
            <w:pPr>
              <w:pStyle w:val="TableParagraph"/>
              <w:spacing w:before="18"/>
              <w:ind w:left="559"/>
              <w:rPr>
                <w:sz w:val="13"/>
              </w:rPr>
            </w:pPr>
            <w:r>
              <w:rPr>
                <w:w w:val="103"/>
                <w:sz w:val="13"/>
              </w:rPr>
              <w:t>0</w:t>
            </w:r>
          </w:p>
        </w:tc>
        <w:tc>
          <w:tcPr>
            <w:tcW w:w="734" w:type="dxa"/>
            <w:tcBorders>
              <w:top w:val="single" w:sz="4" w:space="0" w:color="000000"/>
            </w:tcBorders>
          </w:tcPr>
          <w:p>
            <w:pPr>
              <w:pStyle w:val="TableParagraph"/>
              <w:rPr>
                <w:rFonts w:ascii="Times New Roman"/>
                <w:sz w:val="14"/>
              </w:rPr>
            </w:pPr>
          </w:p>
        </w:tc>
        <w:tc>
          <w:tcPr>
            <w:tcW w:w="1059" w:type="dxa"/>
            <w:tcBorders>
              <w:top w:val="single" w:sz="4" w:space="0" w:color="000000"/>
              <w:right w:val="single" w:sz="4" w:space="0" w:color="000000"/>
            </w:tcBorders>
          </w:tcPr>
          <w:p>
            <w:pPr>
              <w:pStyle w:val="TableParagraph"/>
              <w:rPr>
                <w:rFonts w:ascii="Times New Roman"/>
                <w:sz w:val="14"/>
              </w:rPr>
            </w:pPr>
          </w:p>
        </w:tc>
        <w:tc>
          <w:tcPr>
            <w:tcW w:w="1252"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163" w:type="dxa"/>
            <w:tcBorders>
              <w:top w:val="single" w:sz="4" w:space="0" w:color="000000"/>
              <w:left w:val="single" w:sz="4" w:space="0" w:color="000000"/>
              <w:right w:val="single" w:sz="4" w:space="0" w:color="000000"/>
            </w:tcBorders>
          </w:tcPr>
          <w:p>
            <w:pPr>
              <w:pStyle w:val="TableParagraph"/>
              <w:rPr>
                <w:rFonts w:ascii="Times New Roman"/>
                <w:sz w:val="14"/>
              </w:rPr>
            </w:pPr>
          </w:p>
        </w:tc>
      </w:tr>
      <w:tr>
        <w:trPr>
          <w:trHeight w:val="202" w:hRule="atLeast"/>
        </w:trPr>
        <w:tc>
          <w:tcPr>
            <w:tcW w:w="800" w:type="dxa"/>
            <w:tcBorders>
              <w:left w:val="single" w:sz="4" w:space="0" w:color="000000"/>
              <w:right w:val="single" w:sz="4" w:space="0" w:color="000000"/>
            </w:tcBorders>
          </w:tcPr>
          <w:p>
            <w:pPr>
              <w:pStyle w:val="TableParagraph"/>
              <w:rPr>
                <w:rFonts w:ascii="Times New Roman"/>
                <w:sz w:val="14"/>
              </w:rPr>
            </w:pPr>
          </w:p>
        </w:tc>
        <w:tc>
          <w:tcPr>
            <w:tcW w:w="863" w:type="dxa"/>
            <w:tcBorders>
              <w:left w:val="single" w:sz="4" w:space="0" w:color="000000"/>
              <w:right w:val="single" w:sz="4" w:space="0" w:color="000000"/>
            </w:tcBorders>
          </w:tcPr>
          <w:p>
            <w:pPr>
              <w:pStyle w:val="TableParagraph"/>
              <w:spacing w:before="10"/>
              <w:ind w:left="209"/>
              <w:rPr>
                <w:sz w:val="13"/>
              </w:rPr>
            </w:pPr>
            <w:r>
              <w:rPr>
                <w:w w:val="105"/>
                <w:sz w:val="13"/>
              </w:rPr>
              <w:t>Grupo 2</w:t>
            </w:r>
          </w:p>
        </w:tc>
        <w:tc>
          <w:tcPr>
            <w:tcW w:w="1236" w:type="dxa"/>
            <w:tcBorders>
              <w:left w:val="single" w:sz="4" w:space="0" w:color="000000"/>
            </w:tcBorders>
          </w:tcPr>
          <w:p>
            <w:pPr>
              <w:pStyle w:val="TableParagraph"/>
              <w:spacing w:before="10"/>
              <w:ind w:left="524"/>
              <w:rPr>
                <w:sz w:val="13"/>
              </w:rPr>
            </w:pPr>
            <w:r>
              <w:rPr>
                <w:w w:val="105"/>
                <w:sz w:val="13"/>
              </w:rPr>
              <w:t>39</w:t>
            </w:r>
          </w:p>
        </w:tc>
        <w:tc>
          <w:tcPr>
            <w:tcW w:w="734" w:type="dxa"/>
          </w:tcPr>
          <w:p>
            <w:pPr>
              <w:pStyle w:val="TableParagraph"/>
              <w:spacing w:before="10"/>
              <w:ind w:left="10"/>
              <w:jc w:val="center"/>
              <w:rPr>
                <w:sz w:val="13"/>
              </w:rPr>
            </w:pPr>
            <w:r>
              <w:rPr>
                <w:w w:val="103"/>
                <w:sz w:val="13"/>
              </w:rPr>
              <w:t>7</w:t>
            </w:r>
          </w:p>
        </w:tc>
        <w:tc>
          <w:tcPr>
            <w:tcW w:w="1059" w:type="dxa"/>
            <w:tcBorders>
              <w:right w:val="single" w:sz="4" w:space="0" w:color="000000"/>
            </w:tcBorders>
          </w:tcPr>
          <w:p>
            <w:pPr>
              <w:pStyle w:val="TableParagraph"/>
              <w:spacing w:before="10"/>
              <w:ind w:right="424"/>
              <w:jc w:val="right"/>
              <w:rPr>
                <w:sz w:val="13"/>
              </w:rPr>
            </w:pPr>
            <w:r>
              <w:rPr>
                <w:sz w:val="13"/>
              </w:rPr>
              <w:t>32</w:t>
            </w:r>
          </w:p>
        </w:tc>
        <w:tc>
          <w:tcPr>
            <w:tcW w:w="1252" w:type="dxa"/>
            <w:tcBorders>
              <w:left w:val="single" w:sz="4" w:space="0" w:color="000000"/>
              <w:right w:val="single" w:sz="4" w:space="0" w:color="000000"/>
            </w:tcBorders>
          </w:tcPr>
          <w:p>
            <w:pPr>
              <w:pStyle w:val="TableParagraph"/>
              <w:spacing w:before="10"/>
              <w:ind w:left="498" w:right="492"/>
              <w:jc w:val="center"/>
              <w:rPr>
                <w:sz w:val="13"/>
              </w:rPr>
            </w:pPr>
            <w:r>
              <w:rPr>
                <w:w w:val="105"/>
                <w:sz w:val="13"/>
              </w:rPr>
              <w:t>38</w:t>
            </w:r>
          </w:p>
        </w:tc>
        <w:tc>
          <w:tcPr>
            <w:tcW w:w="1163" w:type="dxa"/>
            <w:tcBorders>
              <w:left w:val="single" w:sz="4" w:space="0" w:color="000000"/>
              <w:right w:val="single" w:sz="4" w:space="0" w:color="000000"/>
            </w:tcBorders>
          </w:tcPr>
          <w:p>
            <w:pPr>
              <w:pStyle w:val="TableParagraph"/>
              <w:spacing w:before="10"/>
              <w:ind w:right="515"/>
              <w:jc w:val="right"/>
              <w:rPr>
                <w:sz w:val="13"/>
              </w:rPr>
            </w:pPr>
            <w:r>
              <w:rPr>
                <w:sz w:val="13"/>
              </w:rPr>
              <w:t>-1</w:t>
            </w:r>
          </w:p>
        </w:tc>
      </w:tr>
      <w:tr>
        <w:trPr>
          <w:trHeight w:val="405" w:hRule="atLeast"/>
        </w:trPr>
        <w:tc>
          <w:tcPr>
            <w:tcW w:w="800" w:type="dxa"/>
            <w:tcBorders>
              <w:left w:val="single" w:sz="4" w:space="0" w:color="000000"/>
              <w:right w:val="single" w:sz="4" w:space="0" w:color="000000"/>
            </w:tcBorders>
          </w:tcPr>
          <w:p>
            <w:pPr>
              <w:pStyle w:val="TableParagraph"/>
              <w:spacing w:before="112"/>
              <w:ind w:left="57"/>
              <w:rPr>
                <w:b/>
                <w:sz w:val="13"/>
              </w:rPr>
            </w:pPr>
            <w:r>
              <w:rPr>
                <w:b/>
                <w:w w:val="105"/>
                <w:sz w:val="13"/>
              </w:rPr>
              <w:t>Laboral</w:t>
            </w:r>
          </w:p>
        </w:tc>
        <w:tc>
          <w:tcPr>
            <w:tcW w:w="863" w:type="dxa"/>
            <w:tcBorders>
              <w:left w:val="single" w:sz="4" w:space="0" w:color="000000"/>
              <w:right w:val="single" w:sz="4" w:space="0" w:color="000000"/>
            </w:tcBorders>
          </w:tcPr>
          <w:p>
            <w:pPr>
              <w:pStyle w:val="TableParagraph"/>
              <w:spacing w:before="11"/>
              <w:ind w:left="209"/>
              <w:rPr>
                <w:sz w:val="13"/>
              </w:rPr>
            </w:pPr>
            <w:r>
              <w:rPr>
                <w:w w:val="105"/>
                <w:sz w:val="13"/>
              </w:rPr>
              <w:t>Grupo</w:t>
            </w:r>
            <w:r>
              <w:rPr>
                <w:spacing w:val="-11"/>
                <w:w w:val="105"/>
                <w:sz w:val="13"/>
              </w:rPr>
              <w:t> </w:t>
            </w:r>
            <w:r>
              <w:rPr>
                <w:w w:val="105"/>
                <w:sz w:val="13"/>
              </w:rPr>
              <w:t>3</w:t>
            </w:r>
          </w:p>
          <w:p>
            <w:pPr>
              <w:pStyle w:val="TableParagraph"/>
              <w:spacing w:before="43"/>
              <w:ind w:left="209"/>
              <w:rPr>
                <w:sz w:val="13"/>
              </w:rPr>
            </w:pPr>
            <w:r>
              <w:rPr>
                <w:w w:val="105"/>
                <w:sz w:val="13"/>
              </w:rPr>
              <w:t>Grupo</w:t>
            </w:r>
            <w:r>
              <w:rPr>
                <w:spacing w:val="-11"/>
                <w:w w:val="105"/>
                <w:sz w:val="13"/>
              </w:rPr>
              <w:t> </w:t>
            </w:r>
            <w:r>
              <w:rPr>
                <w:w w:val="105"/>
                <w:sz w:val="13"/>
              </w:rPr>
              <w:t>4</w:t>
            </w:r>
          </w:p>
        </w:tc>
        <w:tc>
          <w:tcPr>
            <w:tcW w:w="1236" w:type="dxa"/>
            <w:tcBorders>
              <w:left w:val="single" w:sz="4" w:space="0" w:color="000000"/>
            </w:tcBorders>
          </w:tcPr>
          <w:p>
            <w:pPr>
              <w:pStyle w:val="TableParagraph"/>
              <w:spacing w:before="11"/>
              <w:ind w:left="41" w:right="83"/>
              <w:jc w:val="center"/>
              <w:rPr>
                <w:sz w:val="13"/>
              </w:rPr>
            </w:pPr>
            <w:r>
              <w:rPr>
                <w:w w:val="105"/>
                <w:sz w:val="13"/>
              </w:rPr>
              <w:t>61</w:t>
            </w:r>
          </w:p>
          <w:p>
            <w:pPr>
              <w:pStyle w:val="TableParagraph"/>
              <w:spacing w:before="43"/>
              <w:ind w:left="41" w:right="83"/>
              <w:jc w:val="center"/>
              <w:rPr>
                <w:sz w:val="13"/>
              </w:rPr>
            </w:pPr>
            <w:r>
              <w:rPr>
                <w:w w:val="105"/>
                <w:sz w:val="13"/>
              </w:rPr>
              <w:t>49</w:t>
            </w:r>
          </w:p>
        </w:tc>
        <w:tc>
          <w:tcPr>
            <w:tcW w:w="734" w:type="dxa"/>
          </w:tcPr>
          <w:p>
            <w:pPr>
              <w:pStyle w:val="TableParagraph"/>
              <w:spacing w:before="11"/>
              <w:ind w:left="92" w:right="82"/>
              <w:jc w:val="center"/>
              <w:rPr>
                <w:sz w:val="13"/>
              </w:rPr>
            </w:pPr>
            <w:r>
              <w:rPr>
                <w:w w:val="105"/>
                <w:sz w:val="13"/>
              </w:rPr>
              <w:t>10</w:t>
            </w:r>
          </w:p>
          <w:p>
            <w:pPr>
              <w:pStyle w:val="TableParagraph"/>
              <w:spacing w:before="43"/>
              <w:ind w:left="92" w:right="82"/>
              <w:jc w:val="center"/>
              <w:rPr>
                <w:sz w:val="13"/>
              </w:rPr>
            </w:pPr>
            <w:r>
              <w:rPr>
                <w:w w:val="105"/>
                <w:sz w:val="13"/>
              </w:rPr>
              <w:t>11</w:t>
            </w:r>
          </w:p>
        </w:tc>
        <w:tc>
          <w:tcPr>
            <w:tcW w:w="1059" w:type="dxa"/>
            <w:tcBorders>
              <w:right w:val="single" w:sz="4" w:space="0" w:color="000000"/>
            </w:tcBorders>
          </w:tcPr>
          <w:p>
            <w:pPr>
              <w:pStyle w:val="TableParagraph"/>
              <w:spacing w:before="11"/>
              <w:ind w:left="86" w:right="22"/>
              <w:jc w:val="center"/>
              <w:rPr>
                <w:sz w:val="13"/>
              </w:rPr>
            </w:pPr>
            <w:r>
              <w:rPr>
                <w:w w:val="105"/>
                <w:sz w:val="13"/>
              </w:rPr>
              <w:t>51</w:t>
            </w:r>
          </w:p>
          <w:p>
            <w:pPr>
              <w:pStyle w:val="TableParagraph"/>
              <w:spacing w:before="43"/>
              <w:ind w:left="86" w:right="22"/>
              <w:jc w:val="center"/>
              <w:rPr>
                <w:sz w:val="13"/>
              </w:rPr>
            </w:pPr>
            <w:r>
              <w:rPr>
                <w:w w:val="105"/>
                <w:sz w:val="13"/>
              </w:rPr>
              <w:t>38</w:t>
            </w:r>
          </w:p>
        </w:tc>
        <w:tc>
          <w:tcPr>
            <w:tcW w:w="1252" w:type="dxa"/>
            <w:tcBorders>
              <w:left w:val="single" w:sz="4" w:space="0" w:color="000000"/>
              <w:right w:val="single" w:sz="4" w:space="0" w:color="000000"/>
            </w:tcBorders>
          </w:tcPr>
          <w:p>
            <w:pPr>
              <w:pStyle w:val="TableParagraph"/>
              <w:spacing w:before="11"/>
              <w:ind w:left="498" w:right="492"/>
              <w:jc w:val="center"/>
              <w:rPr>
                <w:sz w:val="13"/>
              </w:rPr>
            </w:pPr>
            <w:r>
              <w:rPr>
                <w:w w:val="105"/>
                <w:sz w:val="13"/>
              </w:rPr>
              <w:t>47</w:t>
            </w:r>
          </w:p>
          <w:p>
            <w:pPr>
              <w:pStyle w:val="TableParagraph"/>
              <w:spacing w:before="43"/>
              <w:ind w:left="498" w:right="492"/>
              <w:jc w:val="center"/>
              <w:rPr>
                <w:sz w:val="13"/>
              </w:rPr>
            </w:pPr>
            <w:r>
              <w:rPr>
                <w:w w:val="105"/>
                <w:sz w:val="13"/>
              </w:rPr>
              <w:t>54</w:t>
            </w:r>
          </w:p>
        </w:tc>
        <w:tc>
          <w:tcPr>
            <w:tcW w:w="1163" w:type="dxa"/>
            <w:tcBorders>
              <w:left w:val="single" w:sz="4" w:space="0" w:color="000000"/>
              <w:right w:val="single" w:sz="4" w:space="0" w:color="000000"/>
            </w:tcBorders>
          </w:tcPr>
          <w:p>
            <w:pPr>
              <w:pStyle w:val="TableParagraph"/>
              <w:spacing w:before="11"/>
              <w:ind w:left="210" w:right="203"/>
              <w:jc w:val="center"/>
              <w:rPr>
                <w:sz w:val="13"/>
              </w:rPr>
            </w:pPr>
            <w:r>
              <w:rPr>
                <w:w w:val="105"/>
                <w:sz w:val="13"/>
              </w:rPr>
              <w:t>-14</w:t>
            </w:r>
          </w:p>
          <w:p>
            <w:pPr>
              <w:pStyle w:val="TableParagraph"/>
              <w:spacing w:before="43"/>
              <w:ind w:left="65"/>
              <w:jc w:val="center"/>
              <w:rPr>
                <w:sz w:val="13"/>
              </w:rPr>
            </w:pPr>
            <w:r>
              <w:rPr>
                <w:w w:val="103"/>
                <w:sz w:val="13"/>
              </w:rPr>
              <w:t>5</w:t>
            </w:r>
          </w:p>
        </w:tc>
      </w:tr>
      <w:tr>
        <w:trPr>
          <w:trHeight w:val="202" w:hRule="atLeast"/>
        </w:trPr>
        <w:tc>
          <w:tcPr>
            <w:tcW w:w="800" w:type="dxa"/>
            <w:tcBorders>
              <w:left w:val="single" w:sz="4" w:space="0" w:color="000000"/>
              <w:right w:val="single" w:sz="4" w:space="0" w:color="000000"/>
            </w:tcBorders>
          </w:tcPr>
          <w:p>
            <w:pPr>
              <w:pStyle w:val="TableParagraph"/>
              <w:rPr>
                <w:rFonts w:ascii="Times New Roman"/>
                <w:sz w:val="14"/>
              </w:rPr>
            </w:pPr>
          </w:p>
        </w:tc>
        <w:tc>
          <w:tcPr>
            <w:tcW w:w="863" w:type="dxa"/>
            <w:tcBorders>
              <w:left w:val="single" w:sz="4" w:space="0" w:color="000000"/>
              <w:right w:val="single" w:sz="4" w:space="0" w:color="000000"/>
            </w:tcBorders>
          </w:tcPr>
          <w:p>
            <w:pPr>
              <w:pStyle w:val="TableParagraph"/>
              <w:spacing w:before="12"/>
              <w:ind w:left="209"/>
              <w:rPr>
                <w:sz w:val="13"/>
              </w:rPr>
            </w:pPr>
            <w:r>
              <w:rPr>
                <w:w w:val="105"/>
                <w:sz w:val="13"/>
              </w:rPr>
              <w:t>Grupo 5</w:t>
            </w:r>
          </w:p>
        </w:tc>
        <w:tc>
          <w:tcPr>
            <w:tcW w:w="1236" w:type="dxa"/>
            <w:tcBorders>
              <w:left w:val="single" w:sz="4" w:space="0" w:color="000000"/>
            </w:tcBorders>
          </w:tcPr>
          <w:p>
            <w:pPr>
              <w:pStyle w:val="TableParagraph"/>
              <w:spacing w:before="12"/>
              <w:ind w:left="524"/>
              <w:rPr>
                <w:sz w:val="13"/>
              </w:rPr>
            </w:pPr>
            <w:r>
              <w:rPr>
                <w:w w:val="105"/>
                <w:sz w:val="13"/>
              </w:rPr>
              <w:t>94</w:t>
            </w:r>
          </w:p>
        </w:tc>
        <w:tc>
          <w:tcPr>
            <w:tcW w:w="734" w:type="dxa"/>
          </w:tcPr>
          <w:p>
            <w:pPr>
              <w:pStyle w:val="TableParagraph"/>
              <w:spacing w:before="12"/>
              <w:ind w:left="92" w:right="82"/>
              <w:jc w:val="center"/>
              <w:rPr>
                <w:sz w:val="13"/>
              </w:rPr>
            </w:pPr>
            <w:r>
              <w:rPr>
                <w:w w:val="105"/>
                <w:sz w:val="13"/>
              </w:rPr>
              <w:t>25</w:t>
            </w:r>
          </w:p>
        </w:tc>
        <w:tc>
          <w:tcPr>
            <w:tcW w:w="1059" w:type="dxa"/>
            <w:tcBorders>
              <w:right w:val="single" w:sz="4" w:space="0" w:color="000000"/>
            </w:tcBorders>
          </w:tcPr>
          <w:p>
            <w:pPr>
              <w:pStyle w:val="TableParagraph"/>
              <w:spacing w:before="12"/>
              <w:ind w:right="424"/>
              <w:jc w:val="right"/>
              <w:rPr>
                <w:sz w:val="13"/>
              </w:rPr>
            </w:pPr>
            <w:r>
              <w:rPr>
                <w:sz w:val="13"/>
              </w:rPr>
              <w:t>69</w:t>
            </w:r>
          </w:p>
        </w:tc>
        <w:tc>
          <w:tcPr>
            <w:tcW w:w="1252" w:type="dxa"/>
            <w:tcBorders>
              <w:left w:val="single" w:sz="4" w:space="0" w:color="000000"/>
              <w:right w:val="single" w:sz="4" w:space="0" w:color="000000"/>
            </w:tcBorders>
          </w:tcPr>
          <w:p>
            <w:pPr>
              <w:pStyle w:val="TableParagraph"/>
              <w:spacing w:before="12"/>
              <w:ind w:left="498" w:right="492"/>
              <w:jc w:val="center"/>
              <w:rPr>
                <w:sz w:val="13"/>
              </w:rPr>
            </w:pPr>
            <w:r>
              <w:rPr>
                <w:w w:val="105"/>
                <w:sz w:val="13"/>
              </w:rPr>
              <w:t>55</w:t>
            </w:r>
          </w:p>
        </w:tc>
        <w:tc>
          <w:tcPr>
            <w:tcW w:w="1163" w:type="dxa"/>
            <w:tcBorders>
              <w:left w:val="single" w:sz="4" w:space="0" w:color="000000"/>
              <w:right w:val="single" w:sz="4" w:space="0" w:color="000000"/>
            </w:tcBorders>
          </w:tcPr>
          <w:p>
            <w:pPr>
              <w:pStyle w:val="TableParagraph"/>
              <w:spacing w:before="12"/>
              <w:ind w:right="481"/>
              <w:jc w:val="right"/>
              <w:rPr>
                <w:sz w:val="13"/>
              </w:rPr>
            </w:pPr>
            <w:r>
              <w:rPr>
                <w:sz w:val="13"/>
              </w:rPr>
              <w:t>-39</w:t>
            </w:r>
          </w:p>
        </w:tc>
      </w:tr>
      <w:tr>
        <w:trPr>
          <w:trHeight w:val="185" w:hRule="atLeast"/>
        </w:trPr>
        <w:tc>
          <w:tcPr>
            <w:tcW w:w="800"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863"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1236" w:type="dxa"/>
            <w:tcBorders>
              <w:left w:val="single" w:sz="4" w:space="0" w:color="000000"/>
              <w:bottom w:val="single" w:sz="4" w:space="0" w:color="000000"/>
            </w:tcBorders>
          </w:tcPr>
          <w:p>
            <w:pPr>
              <w:pStyle w:val="TableParagraph"/>
              <w:spacing w:line="155" w:lineRule="exact" w:before="10"/>
              <w:ind w:left="524"/>
              <w:rPr>
                <w:b/>
                <w:sz w:val="13"/>
              </w:rPr>
            </w:pPr>
            <w:r>
              <w:rPr>
                <w:b/>
                <w:w w:val="105"/>
                <w:sz w:val="13"/>
              </w:rPr>
              <w:t>15</w:t>
            </w:r>
          </w:p>
        </w:tc>
        <w:tc>
          <w:tcPr>
            <w:tcW w:w="734" w:type="dxa"/>
            <w:tcBorders>
              <w:bottom w:val="single" w:sz="4" w:space="0" w:color="000000"/>
            </w:tcBorders>
          </w:tcPr>
          <w:p>
            <w:pPr>
              <w:pStyle w:val="TableParagraph"/>
              <w:spacing w:line="155" w:lineRule="exact" w:before="10"/>
              <w:ind w:left="10"/>
              <w:jc w:val="center"/>
              <w:rPr>
                <w:b/>
                <w:sz w:val="13"/>
              </w:rPr>
            </w:pPr>
            <w:r>
              <w:rPr>
                <w:b/>
                <w:w w:val="103"/>
                <w:sz w:val="13"/>
              </w:rPr>
              <w:t>8</w:t>
            </w:r>
          </w:p>
        </w:tc>
        <w:tc>
          <w:tcPr>
            <w:tcW w:w="1059" w:type="dxa"/>
            <w:tcBorders>
              <w:bottom w:val="single" w:sz="4" w:space="0" w:color="000000"/>
              <w:right w:val="single" w:sz="4" w:space="0" w:color="000000"/>
            </w:tcBorders>
          </w:tcPr>
          <w:p>
            <w:pPr>
              <w:pStyle w:val="TableParagraph"/>
              <w:spacing w:line="155" w:lineRule="exact" w:before="10"/>
              <w:ind w:right="458"/>
              <w:jc w:val="right"/>
              <w:rPr>
                <w:b/>
                <w:sz w:val="13"/>
              </w:rPr>
            </w:pPr>
            <w:r>
              <w:rPr>
                <w:b/>
                <w:w w:val="103"/>
                <w:sz w:val="13"/>
              </w:rPr>
              <w:t>7</w:t>
            </w:r>
          </w:p>
        </w:tc>
        <w:tc>
          <w:tcPr>
            <w:tcW w:w="1252" w:type="dxa"/>
            <w:tcBorders>
              <w:left w:val="single" w:sz="4" w:space="0" w:color="000000"/>
              <w:bottom w:val="single" w:sz="4" w:space="0" w:color="000000"/>
              <w:right w:val="single" w:sz="4" w:space="0" w:color="000000"/>
            </w:tcBorders>
          </w:tcPr>
          <w:p>
            <w:pPr>
              <w:pStyle w:val="TableParagraph"/>
              <w:spacing w:line="155" w:lineRule="exact" w:before="10"/>
              <w:ind w:left="5"/>
              <w:jc w:val="center"/>
              <w:rPr>
                <w:b/>
                <w:sz w:val="13"/>
              </w:rPr>
            </w:pPr>
            <w:r>
              <w:rPr>
                <w:b/>
                <w:w w:val="103"/>
                <w:sz w:val="13"/>
              </w:rPr>
              <w:t>7</w:t>
            </w:r>
          </w:p>
        </w:tc>
        <w:tc>
          <w:tcPr>
            <w:tcW w:w="1163" w:type="dxa"/>
            <w:tcBorders>
              <w:left w:val="single" w:sz="4" w:space="0" w:color="000000"/>
              <w:bottom w:val="single" w:sz="4" w:space="0" w:color="000000"/>
              <w:right w:val="single" w:sz="4" w:space="0" w:color="000000"/>
            </w:tcBorders>
          </w:tcPr>
          <w:p>
            <w:pPr>
              <w:pStyle w:val="TableParagraph"/>
              <w:spacing w:line="155" w:lineRule="exact" w:before="10"/>
              <w:ind w:right="515"/>
              <w:jc w:val="right"/>
              <w:rPr>
                <w:b/>
                <w:sz w:val="13"/>
              </w:rPr>
            </w:pPr>
            <w:r>
              <w:rPr>
                <w:b/>
                <w:sz w:val="13"/>
              </w:rPr>
              <w:t>-8</w:t>
            </w:r>
          </w:p>
        </w:tc>
      </w:tr>
      <w:tr>
        <w:trPr>
          <w:trHeight w:val="191" w:hRule="atLeast"/>
        </w:trPr>
        <w:tc>
          <w:tcPr>
            <w:tcW w:w="800" w:type="dxa"/>
            <w:tcBorders>
              <w:top w:val="single" w:sz="4" w:space="0" w:color="000000"/>
              <w:left w:val="single" w:sz="4" w:space="0" w:color="000000"/>
              <w:bottom w:val="single" w:sz="4" w:space="0" w:color="000000"/>
            </w:tcBorders>
            <w:shd w:val="clear" w:color="auto" w:fill="D9D9D9"/>
          </w:tcPr>
          <w:p>
            <w:pPr>
              <w:pStyle w:val="TableParagraph"/>
              <w:rPr>
                <w:rFonts w:ascii="Times New Roman"/>
                <w:sz w:val="12"/>
              </w:rPr>
            </w:pPr>
          </w:p>
        </w:tc>
        <w:tc>
          <w:tcPr>
            <w:tcW w:w="863" w:type="dxa"/>
            <w:tcBorders>
              <w:top w:val="single" w:sz="4" w:space="0" w:color="000000"/>
              <w:bottom w:val="single" w:sz="4" w:space="0" w:color="000000"/>
            </w:tcBorders>
            <w:shd w:val="clear" w:color="auto" w:fill="D9D9D9"/>
          </w:tcPr>
          <w:p>
            <w:pPr>
              <w:pStyle w:val="TableParagraph"/>
              <w:spacing w:line="155" w:lineRule="exact" w:before="16"/>
              <w:ind w:left="494"/>
              <w:rPr>
                <w:b/>
                <w:sz w:val="13"/>
              </w:rPr>
            </w:pPr>
            <w:r>
              <w:rPr>
                <w:b/>
                <w:sz w:val="13"/>
              </w:rPr>
              <w:t>TOTAL</w:t>
            </w:r>
          </w:p>
        </w:tc>
        <w:tc>
          <w:tcPr>
            <w:tcW w:w="1236" w:type="dxa"/>
            <w:tcBorders>
              <w:top w:val="single" w:sz="4" w:space="0" w:color="000000"/>
              <w:bottom w:val="single" w:sz="4" w:space="0" w:color="000000"/>
            </w:tcBorders>
            <w:shd w:val="clear" w:color="auto" w:fill="D9D9D9"/>
          </w:tcPr>
          <w:p>
            <w:pPr>
              <w:pStyle w:val="TableParagraph"/>
              <w:spacing w:line="155" w:lineRule="exact" w:before="16"/>
              <w:ind w:left="495"/>
              <w:rPr>
                <w:b/>
                <w:sz w:val="13"/>
              </w:rPr>
            </w:pPr>
            <w:r>
              <w:rPr>
                <w:b/>
                <w:w w:val="105"/>
                <w:sz w:val="13"/>
              </w:rPr>
              <w:t>258</w:t>
            </w:r>
          </w:p>
        </w:tc>
        <w:tc>
          <w:tcPr>
            <w:tcW w:w="734" w:type="dxa"/>
            <w:tcBorders>
              <w:top w:val="single" w:sz="4" w:space="0" w:color="000000"/>
              <w:bottom w:val="single" w:sz="4" w:space="0" w:color="000000"/>
            </w:tcBorders>
            <w:shd w:val="clear" w:color="auto" w:fill="D9D9D9"/>
          </w:tcPr>
          <w:p>
            <w:pPr>
              <w:pStyle w:val="TableParagraph"/>
              <w:spacing w:line="155" w:lineRule="exact" w:before="16"/>
              <w:ind w:left="92" w:right="82"/>
              <w:jc w:val="center"/>
              <w:rPr>
                <w:b/>
                <w:sz w:val="13"/>
              </w:rPr>
            </w:pPr>
            <w:r>
              <w:rPr>
                <w:b/>
                <w:w w:val="105"/>
                <w:sz w:val="13"/>
              </w:rPr>
              <w:t>61</w:t>
            </w:r>
          </w:p>
        </w:tc>
        <w:tc>
          <w:tcPr>
            <w:tcW w:w="1059" w:type="dxa"/>
            <w:tcBorders>
              <w:top w:val="single" w:sz="4" w:space="0" w:color="000000"/>
              <w:bottom w:val="single" w:sz="4" w:space="0" w:color="000000"/>
            </w:tcBorders>
            <w:shd w:val="clear" w:color="auto" w:fill="D9D9D9"/>
          </w:tcPr>
          <w:p>
            <w:pPr>
              <w:pStyle w:val="TableParagraph"/>
              <w:spacing w:line="155" w:lineRule="exact" w:before="16"/>
              <w:ind w:right="395"/>
              <w:jc w:val="right"/>
              <w:rPr>
                <w:b/>
                <w:sz w:val="13"/>
              </w:rPr>
            </w:pPr>
            <w:r>
              <w:rPr>
                <w:b/>
                <w:sz w:val="13"/>
              </w:rPr>
              <w:t>197</w:t>
            </w:r>
          </w:p>
        </w:tc>
        <w:tc>
          <w:tcPr>
            <w:tcW w:w="1252" w:type="dxa"/>
            <w:tcBorders>
              <w:top w:val="single" w:sz="4" w:space="0" w:color="000000"/>
              <w:bottom w:val="single" w:sz="4" w:space="0" w:color="000000"/>
            </w:tcBorders>
            <w:shd w:val="clear" w:color="auto" w:fill="D9D9D9"/>
          </w:tcPr>
          <w:p>
            <w:pPr>
              <w:pStyle w:val="TableParagraph"/>
              <w:spacing w:line="155" w:lineRule="exact" w:before="16"/>
              <w:ind w:left="25" w:right="15"/>
              <w:jc w:val="center"/>
              <w:rPr>
                <w:b/>
                <w:sz w:val="13"/>
              </w:rPr>
            </w:pPr>
            <w:r>
              <w:rPr>
                <w:b/>
                <w:w w:val="105"/>
                <w:sz w:val="13"/>
              </w:rPr>
              <w:t>201</w:t>
            </w:r>
          </w:p>
        </w:tc>
        <w:tc>
          <w:tcPr>
            <w:tcW w:w="1163" w:type="dxa"/>
            <w:tcBorders>
              <w:top w:val="single" w:sz="4" w:space="0" w:color="000000"/>
              <w:bottom w:val="single" w:sz="4" w:space="0" w:color="000000"/>
              <w:right w:val="single" w:sz="4" w:space="0" w:color="000000"/>
            </w:tcBorders>
            <w:shd w:val="clear" w:color="auto" w:fill="D9D9D9"/>
          </w:tcPr>
          <w:p>
            <w:pPr>
              <w:pStyle w:val="TableParagraph"/>
              <w:spacing w:line="155" w:lineRule="exact" w:before="16"/>
              <w:ind w:right="481"/>
              <w:jc w:val="right"/>
              <w:rPr>
                <w:b/>
                <w:sz w:val="13"/>
              </w:rPr>
            </w:pPr>
            <w:r>
              <w:rPr>
                <w:b/>
                <w:sz w:val="13"/>
              </w:rPr>
              <w:t>-57</w:t>
            </w:r>
          </w:p>
        </w:tc>
      </w:tr>
    </w:tbl>
    <w:p>
      <w:pPr>
        <w:spacing w:before="3"/>
        <w:ind w:left="2108" w:right="0" w:firstLine="0"/>
        <w:jc w:val="left"/>
        <w:rPr>
          <w:sz w:val="13"/>
        </w:rPr>
      </w:pPr>
      <w:r>
        <w:rPr>
          <w:w w:val="105"/>
          <w:sz w:val="13"/>
        </w:rPr>
        <w:t>Sin datos de SCS, ICHH, ICI, SCE, ICIA, CR ni ATC</w:t>
      </w:r>
    </w:p>
    <w:p>
      <w:pPr>
        <w:pStyle w:val="BodyText"/>
        <w:spacing w:before="4"/>
        <w:rPr>
          <w:sz w:val="14"/>
        </w:rPr>
      </w:pPr>
    </w:p>
    <w:p>
      <w:pPr>
        <w:pStyle w:val="BodyText"/>
        <w:spacing w:before="61"/>
        <w:ind w:left="2334" w:right="1143"/>
        <w:jc w:val="both"/>
      </w:pPr>
      <w:r>
        <w:rPr/>
        <w:t>El cuadro anterior no contiene datos de ICI y CR, al no haber rendido sus cuentas anuales, ni de ATC al no ofrecer información de sus efectivos reales en la Memoria de las cuentas anuales. Tampoco se incluye al SCE e ICIA por contener sólo datos totalizados en sus cuentas anuales, ni al ICHH ya que tiene una regulación propia en cuanto a la contratación de</w:t>
      </w:r>
      <w:r>
        <w:rPr>
          <w:spacing w:val="-2"/>
        </w:rPr>
        <w:t> </w:t>
      </w:r>
      <w:r>
        <w:rPr/>
        <w:t>personal.</w:t>
      </w:r>
    </w:p>
    <w:p>
      <w:pPr>
        <w:pStyle w:val="BodyText"/>
        <w:spacing w:before="2"/>
        <w:rPr>
          <w:sz w:val="17"/>
        </w:rPr>
      </w:pPr>
    </w:p>
    <w:p>
      <w:pPr>
        <w:pStyle w:val="ListParagraph"/>
        <w:numPr>
          <w:ilvl w:val="0"/>
          <w:numId w:val="38"/>
        </w:numPr>
        <w:tabs>
          <w:tab w:pos="2335" w:val="left" w:leader="none"/>
        </w:tabs>
        <w:spacing w:line="240" w:lineRule="auto" w:before="1" w:after="0"/>
        <w:ind w:left="2334" w:right="1139" w:hanging="238"/>
        <w:jc w:val="both"/>
        <w:rPr>
          <w:sz w:val="20"/>
        </w:rPr>
      </w:pPr>
      <w:r>
        <w:rPr>
          <w:sz w:val="20"/>
        </w:rPr>
        <w:t>El caso del ICHH es especial, ya que las sucesivas Leyes de presupuestos de la CAC contienen un precepto que le permite incrementar personal laboral en función de la recaudación efectiva por su actividad,</w:t>
      </w:r>
      <w:r>
        <w:rPr>
          <w:position w:val="7"/>
          <w:sz w:val="13"/>
        </w:rPr>
        <w:t>19 </w:t>
      </w:r>
      <w:r>
        <w:rPr>
          <w:sz w:val="20"/>
        </w:rPr>
        <w:t>lo que ha conlleva que en esa Ley figuren menos trabajadores de los existentes. Así, para 2022 la plantilla orgánica asciende a un total de 49 trabajadores, cuando en la realidad es de</w:t>
      </w:r>
      <w:r>
        <w:rPr>
          <w:spacing w:val="2"/>
          <w:sz w:val="20"/>
        </w:rPr>
        <w:t> </w:t>
      </w:r>
      <w:r>
        <w:rPr>
          <w:sz w:val="20"/>
        </w:rPr>
        <w:t>250.</w:t>
      </w:r>
    </w:p>
    <w:p>
      <w:pPr>
        <w:pStyle w:val="BodyText"/>
        <w:spacing w:before="11"/>
        <w:rPr>
          <w:sz w:val="16"/>
        </w:rPr>
      </w:pPr>
    </w:p>
    <w:p>
      <w:pPr>
        <w:pStyle w:val="ListParagraph"/>
        <w:numPr>
          <w:ilvl w:val="0"/>
          <w:numId w:val="38"/>
        </w:numPr>
        <w:tabs>
          <w:tab w:pos="2335" w:val="left" w:leader="none"/>
        </w:tabs>
        <w:spacing w:line="242" w:lineRule="auto" w:before="0" w:after="0"/>
        <w:ind w:left="2334" w:right="1139" w:hanging="238"/>
        <w:jc w:val="both"/>
        <w:rPr>
          <w:sz w:val="20"/>
        </w:rPr>
      </w:pPr>
      <w:r>
        <w:rPr>
          <w:sz w:val="20"/>
        </w:rPr>
        <w:t>Como se observa en el siguiente cuadro, existe correlación entre la falta de personal, reflejado</w:t>
      </w:r>
      <w:r>
        <w:rPr>
          <w:spacing w:val="-4"/>
          <w:sz w:val="20"/>
        </w:rPr>
        <w:t> </w:t>
      </w:r>
      <w:r>
        <w:rPr>
          <w:sz w:val="20"/>
        </w:rPr>
        <w:t>con</w:t>
      </w:r>
      <w:r>
        <w:rPr>
          <w:spacing w:val="-3"/>
          <w:sz w:val="20"/>
        </w:rPr>
        <w:t> </w:t>
      </w:r>
      <w:r>
        <w:rPr>
          <w:sz w:val="20"/>
        </w:rPr>
        <w:t>un</w:t>
      </w:r>
      <w:r>
        <w:rPr>
          <w:spacing w:val="-3"/>
          <w:sz w:val="20"/>
        </w:rPr>
        <w:t> </w:t>
      </w:r>
      <w:r>
        <w:rPr>
          <w:sz w:val="20"/>
        </w:rPr>
        <w:t>grado</w:t>
      </w:r>
      <w:r>
        <w:rPr>
          <w:spacing w:val="-3"/>
          <w:sz w:val="20"/>
        </w:rPr>
        <w:t> </w:t>
      </w:r>
      <w:r>
        <w:rPr>
          <w:sz w:val="20"/>
        </w:rPr>
        <w:t>de</w:t>
      </w:r>
      <w:r>
        <w:rPr>
          <w:spacing w:val="-3"/>
          <w:sz w:val="20"/>
        </w:rPr>
        <w:t> </w:t>
      </w:r>
      <w:r>
        <w:rPr>
          <w:sz w:val="20"/>
        </w:rPr>
        <w:t>cobertura</w:t>
      </w:r>
      <w:r>
        <w:rPr>
          <w:spacing w:val="-5"/>
          <w:sz w:val="20"/>
        </w:rPr>
        <w:t> </w:t>
      </w:r>
      <w:r>
        <w:rPr>
          <w:sz w:val="20"/>
        </w:rPr>
        <w:t>negativo,</w:t>
      </w:r>
      <w:r>
        <w:rPr>
          <w:spacing w:val="-3"/>
          <w:sz w:val="20"/>
        </w:rPr>
        <w:t> </w:t>
      </w:r>
      <w:r>
        <w:rPr>
          <w:sz w:val="20"/>
        </w:rPr>
        <w:t>y</w:t>
      </w:r>
      <w:r>
        <w:rPr>
          <w:spacing w:val="-5"/>
          <w:sz w:val="20"/>
        </w:rPr>
        <w:t> </w:t>
      </w:r>
      <w:r>
        <w:rPr>
          <w:sz w:val="20"/>
        </w:rPr>
        <w:t>el</w:t>
      </w:r>
      <w:r>
        <w:rPr>
          <w:spacing w:val="-3"/>
          <w:sz w:val="20"/>
        </w:rPr>
        <w:t> </w:t>
      </w:r>
      <w:r>
        <w:rPr>
          <w:sz w:val="20"/>
        </w:rPr>
        <w:t>grado</w:t>
      </w:r>
      <w:r>
        <w:rPr>
          <w:spacing w:val="-5"/>
          <w:sz w:val="20"/>
        </w:rPr>
        <w:t> </w:t>
      </w:r>
      <w:r>
        <w:rPr>
          <w:sz w:val="20"/>
        </w:rPr>
        <w:t>de</w:t>
      </w:r>
      <w:r>
        <w:rPr>
          <w:spacing w:val="-3"/>
          <w:sz w:val="20"/>
        </w:rPr>
        <w:t> </w:t>
      </w:r>
      <w:r>
        <w:rPr>
          <w:sz w:val="20"/>
        </w:rPr>
        <w:t>ejecución</w:t>
      </w:r>
      <w:r>
        <w:rPr>
          <w:spacing w:val="-4"/>
          <w:sz w:val="20"/>
        </w:rPr>
        <w:t> </w:t>
      </w:r>
      <w:r>
        <w:rPr>
          <w:sz w:val="20"/>
        </w:rPr>
        <w:t>presupuestaria del</w:t>
      </w:r>
      <w:r>
        <w:rPr>
          <w:spacing w:val="-8"/>
          <w:sz w:val="20"/>
        </w:rPr>
        <w:t> </w:t>
      </w:r>
      <w:r>
        <w:rPr>
          <w:sz w:val="20"/>
        </w:rPr>
        <w:t>gasto.</w:t>
      </w:r>
      <w:r>
        <w:rPr>
          <w:spacing w:val="-8"/>
          <w:sz w:val="20"/>
        </w:rPr>
        <w:t> </w:t>
      </w:r>
      <w:r>
        <w:rPr>
          <w:sz w:val="20"/>
        </w:rPr>
        <w:t>Se</w:t>
      </w:r>
      <w:r>
        <w:rPr>
          <w:spacing w:val="-7"/>
          <w:sz w:val="20"/>
        </w:rPr>
        <w:t> </w:t>
      </w:r>
      <w:r>
        <w:rPr>
          <w:sz w:val="20"/>
        </w:rPr>
        <w:t>han</w:t>
      </w:r>
      <w:r>
        <w:rPr>
          <w:spacing w:val="-8"/>
          <w:sz w:val="20"/>
        </w:rPr>
        <w:t> </w:t>
      </w:r>
      <w:r>
        <w:rPr>
          <w:sz w:val="20"/>
        </w:rPr>
        <w:t>sólo</w:t>
      </w:r>
      <w:r>
        <w:rPr>
          <w:spacing w:val="-10"/>
          <w:sz w:val="20"/>
        </w:rPr>
        <w:t> </w:t>
      </w:r>
      <w:r>
        <w:rPr>
          <w:sz w:val="20"/>
        </w:rPr>
        <w:t>tomado</w:t>
      </w:r>
      <w:r>
        <w:rPr>
          <w:spacing w:val="-7"/>
          <w:sz w:val="20"/>
        </w:rPr>
        <w:t> </w:t>
      </w:r>
      <w:r>
        <w:rPr>
          <w:sz w:val="20"/>
        </w:rPr>
        <w:t>los</w:t>
      </w:r>
      <w:r>
        <w:rPr>
          <w:spacing w:val="-8"/>
          <w:sz w:val="20"/>
        </w:rPr>
        <w:t> </w:t>
      </w:r>
      <w:r>
        <w:rPr>
          <w:sz w:val="20"/>
        </w:rPr>
        <w:t>capítulos</w:t>
      </w:r>
      <w:r>
        <w:rPr>
          <w:spacing w:val="-8"/>
          <w:sz w:val="20"/>
        </w:rPr>
        <w:t> </w:t>
      </w:r>
      <w:r>
        <w:rPr>
          <w:sz w:val="20"/>
        </w:rPr>
        <w:t>2,</w:t>
      </w:r>
      <w:r>
        <w:rPr>
          <w:spacing w:val="-7"/>
          <w:sz w:val="20"/>
        </w:rPr>
        <w:t> </w:t>
      </w:r>
      <w:r>
        <w:rPr>
          <w:sz w:val="20"/>
        </w:rPr>
        <w:t>4,</w:t>
      </w:r>
      <w:r>
        <w:rPr>
          <w:spacing w:val="-10"/>
          <w:sz w:val="20"/>
        </w:rPr>
        <w:t> </w:t>
      </w:r>
      <w:r>
        <w:rPr>
          <w:sz w:val="20"/>
        </w:rPr>
        <w:t>6</w:t>
      </w:r>
      <w:r>
        <w:rPr>
          <w:spacing w:val="-10"/>
          <w:sz w:val="20"/>
        </w:rPr>
        <w:t> </w:t>
      </w:r>
      <w:r>
        <w:rPr>
          <w:sz w:val="20"/>
        </w:rPr>
        <w:t>y</w:t>
      </w:r>
      <w:r>
        <w:rPr>
          <w:spacing w:val="-9"/>
          <w:sz w:val="20"/>
        </w:rPr>
        <w:t> </w:t>
      </w:r>
      <w:r>
        <w:rPr>
          <w:sz w:val="20"/>
        </w:rPr>
        <w:t>7</w:t>
      </w:r>
      <w:r>
        <w:rPr>
          <w:spacing w:val="-7"/>
          <w:sz w:val="20"/>
        </w:rPr>
        <w:t> </w:t>
      </w:r>
      <w:r>
        <w:rPr>
          <w:sz w:val="20"/>
        </w:rPr>
        <w:t>porque</w:t>
      </w:r>
      <w:r>
        <w:rPr>
          <w:spacing w:val="-10"/>
          <w:sz w:val="20"/>
        </w:rPr>
        <w:t> </w:t>
      </w:r>
      <w:r>
        <w:rPr>
          <w:sz w:val="20"/>
        </w:rPr>
        <w:t>para</w:t>
      </w:r>
      <w:r>
        <w:rPr>
          <w:spacing w:val="-8"/>
          <w:sz w:val="20"/>
        </w:rPr>
        <w:t> </w:t>
      </w:r>
      <w:r>
        <w:rPr>
          <w:sz w:val="20"/>
        </w:rPr>
        <w:t>su</w:t>
      </w:r>
      <w:r>
        <w:rPr>
          <w:spacing w:val="-7"/>
          <w:sz w:val="20"/>
        </w:rPr>
        <w:t> </w:t>
      </w:r>
      <w:r>
        <w:rPr>
          <w:sz w:val="20"/>
        </w:rPr>
        <w:t>gestión</w:t>
      </w:r>
      <w:r>
        <w:rPr>
          <w:spacing w:val="-8"/>
          <w:sz w:val="20"/>
        </w:rPr>
        <w:t> </w:t>
      </w:r>
      <w:r>
        <w:rPr>
          <w:sz w:val="20"/>
        </w:rPr>
        <w:t>precisan, normalmente, de cierto impulso por parte del empleado</w:t>
      </w:r>
      <w:r>
        <w:rPr>
          <w:spacing w:val="-1"/>
          <w:sz w:val="20"/>
        </w:rPr>
        <w:t> </w:t>
      </w:r>
      <w:r>
        <w:rPr>
          <w:sz w:val="20"/>
        </w:rPr>
        <w:t>público.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3"/>
        </w:rPr>
      </w:pPr>
      <w:r>
        <w:rPr/>
        <w:pict>
          <v:shape style="position:absolute;margin-left:142.816818pt;margin-top:10.399749pt;width:120.95pt;height:.1pt;mso-position-horizontal-relative:page;mso-position-vertical-relative:paragraph;z-index:-251467776;mso-wrap-distance-left:0;mso-wrap-distance-right:0" coordorigin="2856,208" coordsize="2419,0" path="m2856,208l5275,208e" filled="false" stroked="true" strokeweight=".604535pt" strokecolor="#000000">
            <v:path arrowok="t"/>
            <v:stroke dashstyle="solid"/>
            <w10:wrap type="topAndBottom"/>
          </v:shape>
        </w:pict>
      </w:r>
    </w:p>
    <w:p>
      <w:pPr>
        <w:spacing w:before="51"/>
        <w:ind w:left="2096" w:right="0" w:firstLine="0"/>
        <w:jc w:val="left"/>
        <w:rPr>
          <w:sz w:val="16"/>
        </w:rPr>
      </w:pPr>
      <w:r>
        <w:rPr>
          <w:w w:val="105"/>
          <w:position w:val="6"/>
          <w:sz w:val="11"/>
        </w:rPr>
        <w:t>19 </w:t>
      </w:r>
      <w:r>
        <w:rPr>
          <w:w w:val="105"/>
          <w:sz w:val="16"/>
        </w:rPr>
        <w:t>DA segunda de la Ley de Presupuestos de la CAC para 2022.</w:t>
      </w:r>
    </w:p>
    <w:p>
      <w:pPr>
        <w:pStyle w:val="BodyText"/>
        <w:spacing w:before="2"/>
        <w:ind w:left="9035"/>
      </w:pPr>
      <w:r>
        <w:rPr/>
        <w:t>81</w:t>
      </w:r>
    </w:p>
    <w:p>
      <w:pPr>
        <w:pStyle w:val="Heading1"/>
        <w:spacing w:before="2"/>
        <w:ind w:left="5192"/>
        <w:jc w:val="left"/>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73" name="image5.png"/>
                  <wp:cNvGraphicFramePr>
                    <a:graphicFrameLocks noChangeAspect="1"/>
                  </wp:cNvGraphicFramePr>
                  <a:graphic>
                    <a:graphicData uri="http://schemas.openxmlformats.org/drawingml/2006/picture">
                      <pic:pic>
                        <pic:nvPicPr>
                          <pic:cNvPr id="17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83/247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2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8"/>
        <w:gridCol w:w="1458"/>
        <w:gridCol w:w="1394"/>
        <w:gridCol w:w="1522"/>
        <w:gridCol w:w="1242"/>
      </w:tblGrid>
      <w:tr>
        <w:trPr>
          <w:trHeight w:val="306" w:hRule="atLeast"/>
        </w:trPr>
        <w:tc>
          <w:tcPr>
            <w:tcW w:w="1538" w:type="dxa"/>
            <w:vMerge w:val="restart"/>
            <w:tcBorders>
              <w:top w:val="single" w:sz="4" w:space="0" w:color="000000"/>
              <w:left w:val="single" w:sz="4" w:space="0" w:color="000000"/>
              <w:right w:val="single" w:sz="4" w:space="0" w:color="000000"/>
            </w:tcBorders>
          </w:tcPr>
          <w:p>
            <w:pPr>
              <w:pStyle w:val="TableParagraph"/>
              <w:rPr>
                <w:rFonts w:ascii="Times New Roman"/>
                <w:sz w:val="12"/>
              </w:rPr>
            </w:pPr>
          </w:p>
        </w:tc>
        <w:tc>
          <w:tcPr>
            <w:tcW w:w="4374" w:type="dxa"/>
            <w:gridSpan w:val="3"/>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74"/>
              <w:ind w:left="1022"/>
              <w:rPr>
                <w:b/>
                <w:sz w:val="13"/>
              </w:rPr>
            </w:pPr>
            <w:r>
              <w:rPr>
                <w:b/>
                <w:w w:val="105"/>
                <w:sz w:val="13"/>
              </w:rPr>
              <w:t>Capítulos de Gastos 2, 4, 6 y 7 (</w:t>
            </w:r>
            <w:r>
              <w:rPr>
                <w:w w:val="105"/>
                <w:sz w:val="13"/>
              </w:rPr>
              <w:t>miles de €</w:t>
            </w:r>
            <w:r>
              <w:rPr>
                <w:b/>
                <w:w w:val="105"/>
                <w:sz w:val="13"/>
              </w:rPr>
              <w:t>)</w:t>
            </w:r>
          </w:p>
        </w:tc>
        <w:tc>
          <w:tcPr>
            <w:tcW w:w="1242" w:type="dxa"/>
            <w:vMerge w:val="restart"/>
            <w:tcBorders>
              <w:top w:val="single" w:sz="4" w:space="0" w:color="000000"/>
              <w:left w:val="single" w:sz="4" w:space="0" w:color="000000"/>
              <w:right w:val="single" w:sz="4" w:space="0" w:color="000000"/>
            </w:tcBorders>
            <w:shd w:val="clear" w:color="auto" w:fill="DEEAF6"/>
          </w:tcPr>
          <w:p>
            <w:pPr>
              <w:pStyle w:val="TableParagraph"/>
              <w:rPr>
                <w:b/>
                <w:sz w:val="15"/>
              </w:rPr>
            </w:pPr>
          </w:p>
          <w:p>
            <w:pPr>
              <w:pStyle w:val="TableParagraph"/>
              <w:spacing w:line="148" w:lineRule="exact"/>
              <w:ind w:left="165"/>
              <w:rPr>
                <w:b/>
                <w:sz w:val="13"/>
              </w:rPr>
            </w:pPr>
            <w:r>
              <w:rPr>
                <w:b/>
                <w:w w:val="105"/>
                <w:sz w:val="13"/>
              </w:rPr>
              <w:t>grado cobertura</w:t>
            </w:r>
          </w:p>
        </w:tc>
      </w:tr>
      <w:tr>
        <w:trPr>
          <w:trHeight w:val="34" w:hRule="atLeast"/>
        </w:trPr>
        <w:tc>
          <w:tcPr>
            <w:tcW w:w="1538" w:type="dxa"/>
            <w:vMerge/>
            <w:tcBorders>
              <w:top w:val="nil"/>
              <w:left w:val="single" w:sz="4" w:space="0" w:color="000000"/>
              <w:right w:val="single" w:sz="4" w:space="0" w:color="000000"/>
            </w:tcBorders>
          </w:tcPr>
          <w:p>
            <w:pPr>
              <w:rPr>
                <w:sz w:val="2"/>
                <w:szCs w:val="2"/>
              </w:rPr>
            </w:pPr>
          </w:p>
        </w:tc>
        <w:tc>
          <w:tcPr>
            <w:tcW w:w="1458" w:type="dxa"/>
            <w:vMerge w:val="restart"/>
            <w:tcBorders>
              <w:top w:val="single" w:sz="4" w:space="0" w:color="000000"/>
              <w:left w:val="single" w:sz="4" w:space="0" w:color="000000"/>
              <w:bottom w:val="single" w:sz="4" w:space="0" w:color="000000"/>
            </w:tcBorders>
            <w:shd w:val="clear" w:color="auto" w:fill="DEEAF6"/>
          </w:tcPr>
          <w:p>
            <w:pPr>
              <w:pStyle w:val="TableParagraph"/>
              <w:spacing w:line="252" w:lineRule="auto" w:before="38"/>
              <w:ind w:left="397" w:right="533" w:firstLine="58"/>
              <w:rPr>
                <w:b/>
                <w:sz w:val="12"/>
              </w:rPr>
            </w:pPr>
            <w:r>
              <w:rPr>
                <w:b/>
                <w:w w:val="105"/>
                <w:sz w:val="12"/>
              </w:rPr>
              <w:t>Crédito definitivo</w:t>
            </w:r>
          </w:p>
        </w:tc>
        <w:tc>
          <w:tcPr>
            <w:tcW w:w="1394" w:type="dxa"/>
            <w:vMerge w:val="restart"/>
            <w:tcBorders>
              <w:top w:val="single" w:sz="4" w:space="0" w:color="000000"/>
              <w:bottom w:val="single" w:sz="4" w:space="0" w:color="000000"/>
            </w:tcBorders>
            <w:shd w:val="clear" w:color="auto" w:fill="DEEAF6"/>
          </w:tcPr>
          <w:p>
            <w:pPr>
              <w:pStyle w:val="TableParagraph"/>
              <w:spacing w:line="252" w:lineRule="auto" w:before="38"/>
              <w:ind w:left="228" w:right="487" w:hanging="11"/>
              <w:rPr>
                <w:b/>
                <w:sz w:val="12"/>
              </w:rPr>
            </w:pPr>
            <w:r>
              <w:rPr>
                <w:b/>
                <w:w w:val="105"/>
                <w:sz w:val="12"/>
              </w:rPr>
              <w:t>Obligaciones Reconocidas</w:t>
            </w:r>
          </w:p>
        </w:tc>
        <w:tc>
          <w:tcPr>
            <w:tcW w:w="1522" w:type="dxa"/>
            <w:vMerge w:val="restart"/>
            <w:tcBorders>
              <w:top w:val="single" w:sz="4" w:space="0" w:color="000000"/>
              <w:bottom w:val="single" w:sz="4" w:space="0" w:color="000000"/>
              <w:right w:val="single" w:sz="4" w:space="0" w:color="000000"/>
            </w:tcBorders>
            <w:shd w:val="clear" w:color="auto" w:fill="DEEAF6"/>
          </w:tcPr>
          <w:p>
            <w:pPr>
              <w:pStyle w:val="TableParagraph"/>
              <w:spacing w:before="4"/>
              <w:rPr>
                <w:b/>
                <w:sz w:val="9"/>
              </w:rPr>
            </w:pPr>
          </w:p>
          <w:p>
            <w:pPr>
              <w:pStyle w:val="TableParagraph"/>
              <w:ind w:left="193"/>
              <w:rPr>
                <w:b/>
                <w:sz w:val="12"/>
              </w:rPr>
            </w:pPr>
            <w:r>
              <w:rPr>
                <w:b/>
                <w:w w:val="105"/>
                <w:sz w:val="12"/>
              </w:rPr>
              <w:t>Grado de ejecución</w:t>
            </w:r>
          </w:p>
        </w:tc>
        <w:tc>
          <w:tcPr>
            <w:tcW w:w="1242" w:type="dxa"/>
            <w:vMerge/>
            <w:tcBorders>
              <w:top w:val="nil"/>
              <w:left w:val="single" w:sz="4" w:space="0" w:color="000000"/>
              <w:right w:val="single" w:sz="4" w:space="0" w:color="000000"/>
            </w:tcBorders>
            <w:shd w:val="clear" w:color="auto" w:fill="DEEAF6"/>
          </w:tcPr>
          <w:p>
            <w:pPr>
              <w:rPr>
                <w:sz w:val="2"/>
                <w:szCs w:val="2"/>
              </w:rPr>
            </w:pPr>
          </w:p>
        </w:tc>
      </w:tr>
      <w:tr>
        <w:trPr>
          <w:trHeight w:val="328" w:hRule="atLeast"/>
        </w:trPr>
        <w:tc>
          <w:tcPr>
            <w:tcW w:w="1538" w:type="dxa"/>
            <w:tcBorders>
              <w:left w:val="single" w:sz="4" w:space="0" w:color="000000"/>
              <w:right w:val="single" w:sz="4" w:space="0" w:color="000000"/>
            </w:tcBorders>
          </w:tcPr>
          <w:p>
            <w:pPr>
              <w:pStyle w:val="TableParagraph"/>
              <w:rPr>
                <w:rFonts w:ascii="Times New Roman"/>
                <w:sz w:val="12"/>
              </w:rPr>
            </w:pPr>
          </w:p>
        </w:tc>
        <w:tc>
          <w:tcPr>
            <w:tcW w:w="1458" w:type="dxa"/>
            <w:vMerge/>
            <w:tcBorders>
              <w:top w:val="nil"/>
              <w:left w:val="single" w:sz="4" w:space="0" w:color="000000"/>
              <w:bottom w:val="single" w:sz="4" w:space="0" w:color="000000"/>
            </w:tcBorders>
            <w:shd w:val="clear" w:color="auto" w:fill="DEEAF6"/>
          </w:tcPr>
          <w:p>
            <w:pPr>
              <w:rPr>
                <w:sz w:val="2"/>
                <w:szCs w:val="2"/>
              </w:rPr>
            </w:pPr>
          </w:p>
        </w:tc>
        <w:tc>
          <w:tcPr>
            <w:tcW w:w="1394" w:type="dxa"/>
            <w:vMerge/>
            <w:tcBorders>
              <w:top w:val="nil"/>
              <w:bottom w:val="single" w:sz="4" w:space="0" w:color="000000"/>
            </w:tcBorders>
            <w:shd w:val="clear" w:color="auto" w:fill="DEEAF6"/>
          </w:tcPr>
          <w:p>
            <w:pPr>
              <w:rPr>
                <w:sz w:val="2"/>
                <w:szCs w:val="2"/>
              </w:rPr>
            </w:pPr>
          </w:p>
        </w:tc>
        <w:tc>
          <w:tcPr>
            <w:tcW w:w="1522" w:type="dxa"/>
            <w:vMerge/>
            <w:tcBorders>
              <w:top w:val="nil"/>
              <w:bottom w:val="single" w:sz="4" w:space="0" w:color="000000"/>
              <w:right w:val="single" w:sz="4" w:space="0" w:color="000000"/>
            </w:tcBorders>
            <w:shd w:val="clear" w:color="auto" w:fill="DEEAF6"/>
          </w:tcPr>
          <w:p>
            <w:pPr>
              <w:rPr>
                <w:sz w:val="2"/>
                <w:szCs w:val="2"/>
              </w:rPr>
            </w:pPr>
          </w:p>
        </w:tc>
        <w:tc>
          <w:tcPr>
            <w:tcW w:w="1242" w:type="dxa"/>
            <w:tcBorders>
              <w:left w:val="single" w:sz="4" w:space="0" w:color="000000"/>
              <w:bottom w:val="single" w:sz="4" w:space="0" w:color="000000"/>
              <w:right w:val="single" w:sz="4" w:space="0" w:color="000000"/>
            </w:tcBorders>
            <w:shd w:val="clear" w:color="auto" w:fill="DEEAF6"/>
          </w:tcPr>
          <w:p>
            <w:pPr>
              <w:pStyle w:val="TableParagraph"/>
              <w:spacing w:line="146" w:lineRule="exact"/>
              <w:ind w:left="250" w:right="243"/>
              <w:jc w:val="center"/>
              <w:rPr>
                <w:b/>
                <w:sz w:val="13"/>
              </w:rPr>
            </w:pPr>
            <w:r>
              <w:rPr>
                <w:b/>
                <w:w w:val="105"/>
                <w:sz w:val="13"/>
              </w:rPr>
              <w:t>del personal</w:t>
            </w:r>
          </w:p>
        </w:tc>
      </w:tr>
      <w:tr>
        <w:trPr>
          <w:trHeight w:val="204" w:hRule="atLeast"/>
        </w:trPr>
        <w:tc>
          <w:tcPr>
            <w:tcW w:w="1538" w:type="dxa"/>
            <w:tcBorders>
              <w:left w:val="single" w:sz="4" w:space="0" w:color="000000"/>
              <w:right w:val="single" w:sz="4" w:space="0" w:color="000000"/>
            </w:tcBorders>
          </w:tcPr>
          <w:p>
            <w:pPr>
              <w:pStyle w:val="TableParagraph"/>
              <w:spacing w:before="22"/>
              <w:ind w:left="57"/>
              <w:rPr>
                <w:b/>
                <w:sz w:val="13"/>
              </w:rPr>
            </w:pPr>
            <w:r>
              <w:rPr>
                <w:b/>
                <w:w w:val="105"/>
                <w:sz w:val="13"/>
              </w:rPr>
              <w:t>ICAP</w:t>
            </w:r>
          </w:p>
        </w:tc>
        <w:tc>
          <w:tcPr>
            <w:tcW w:w="1458" w:type="dxa"/>
            <w:tcBorders>
              <w:top w:val="single" w:sz="4" w:space="0" w:color="000000"/>
              <w:left w:val="single" w:sz="4" w:space="0" w:color="000000"/>
            </w:tcBorders>
          </w:tcPr>
          <w:p>
            <w:pPr>
              <w:pStyle w:val="TableParagraph"/>
              <w:spacing w:before="22"/>
              <w:ind w:right="210"/>
              <w:jc w:val="right"/>
              <w:rPr>
                <w:sz w:val="13"/>
              </w:rPr>
            </w:pPr>
            <w:r>
              <w:rPr>
                <w:w w:val="105"/>
                <w:sz w:val="13"/>
              </w:rPr>
              <w:t>2.065,71</w:t>
            </w:r>
          </w:p>
        </w:tc>
        <w:tc>
          <w:tcPr>
            <w:tcW w:w="1394" w:type="dxa"/>
            <w:tcBorders>
              <w:top w:val="single" w:sz="4" w:space="0" w:color="000000"/>
            </w:tcBorders>
          </w:tcPr>
          <w:p>
            <w:pPr>
              <w:pStyle w:val="TableParagraph"/>
              <w:spacing w:before="22"/>
              <w:ind w:right="184"/>
              <w:jc w:val="right"/>
              <w:rPr>
                <w:sz w:val="13"/>
              </w:rPr>
            </w:pPr>
            <w:r>
              <w:rPr>
                <w:w w:val="105"/>
                <w:sz w:val="13"/>
              </w:rPr>
              <w:t>1.163,33</w:t>
            </w:r>
          </w:p>
        </w:tc>
        <w:tc>
          <w:tcPr>
            <w:tcW w:w="1522" w:type="dxa"/>
            <w:tcBorders>
              <w:top w:val="single" w:sz="4" w:space="0" w:color="000000"/>
              <w:right w:val="single" w:sz="4" w:space="0" w:color="000000"/>
            </w:tcBorders>
          </w:tcPr>
          <w:p>
            <w:pPr>
              <w:pStyle w:val="TableParagraph"/>
              <w:spacing w:before="22"/>
              <w:ind w:left="497"/>
              <w:rPr>
                <w:sz w:val="13"/>
              </w:rPr>
            </w:pPr>
            <w:r>
              <w:rPr>
                <w:w w:val="105"/>
                <w:sz w:val="13"/>
              </w:rPr>
              <w:t>56,32%</w:t>
            </w:r>
          </w:p>
        </w:tc>
        <w:tc>
          <w:tcPr>
            <w:tcW w:w="1242" w:type="dxa"/>
            <w:tcBorders>
              <w:top w:val="single" w:sz="4" w:space="0" w:color="000000"/>
              <w:left w:val="single" w:sz="4" w:space="0" w:color="000000"/>
              <w:right w:val="single" w:sz="4" w:space="0" w:color="000000"/>
            </w:tcBorders>
          </w:tcPr>
          <w:p>
            <w:pPr>
              <w:pStyle w:val="TableParagraph"/>
              <w:spacing w:before="22"/>
              <w:ind w:left="246" w:right="243"/>
              <w:jc w:val="center"/>
              <w:rPr>
                <w:sz w:val="13"/>
              </w:rPr>
            </w:pPr>
            <w:r>
              <w:rPr>
                <w:w w:val="105"/>
                <w:sz w:val="13"/>
              </w:rPr>
              <w:t>-16,1%</w:t>
            </w:r>
          </w:p>
        </w:tc>
      </w:tr>
      <w:tr>
        <w:trPr>
          <w:trHeight w:val="211" w:hRule="atLeast"/>
        </w:trPr>
        <w:tc>
          <w:tcPr>
            <w:tcW w:w="1538" w:type="dxa"/>
            <w:tcBorders>
              <w:left w:val="single" w:sz="4" w:space="0" w:color="000000"/>
              <w:right w:val="single" w:sz="4" w:space="0" w:color="000000"/>
            </w:tcBorders>
          </w:tcPr>
          <w:p>
            <w:pPr>
              <w:pStyle w:val="TableParagraph"/>
              <w:spacing w:before="19"/>
              <w:ind w:left="57"/>
              <w:rPr>
                <w:b/>
                <w:sz w:val="13"/>
              </w:rPr>
            </w:pPr>
            <w:r>
              <w:rPr>
                <w:b/>
                <w:w w:val="105"/>
                <w:sz w:val="13"/>
              </w:rPr>
              <w:t>ISTAC</w:t>
            </w:r>
          </w:p>
        </w:tc>
        <w:tc>
          <w:tcPr>
            <w:tcW w:w="1458" w:type="dxa"/>
            <w:tcBorders>
              <w:left w:val="single" w:sz="4" w:space="0" w:color="000000"/>
            </w:tcBorders>
          </w:tcPr>
          <w:p>
            <w:pPr>
              <w:pStyle w:val="TableParagraph"/>
              <w:spacing w:before="19"/>
              <w:ind w:right="210"/>
              <w:jc w:val="right"/>
              <w:rPr>
                <w:sz w:val="13"/>
              </w:rPr>
            </w:pPr>
            <w:r>
              <w:rPr>
                <w:w w:val="105"/>
                <w:sz w:val="13"/>
              </w:rPr>
              <w:t>3.520,66</w:t>
            </w:r>
          </w:p>
        </w:tc>
        <w:tc>
          <w:tcPr>
            <w:tcW w:w="1394" w:type="dxa"/>
          </w:tcPr>
          <w:p>
            <w:pPr>
              <w:pStyle w:val="TableParagraph"/>
              <w:spacing w:before="19"/>
              <w:ind w:right="184"/>
              <w:jc w:val="right"/>
              <w:rPr>
                <w:sz w:val="13"/>
              </w:rPr>
            </w:pPr>
            <w:r>
              <w:rPr>
                <w:w w:val="105"/>
                <w:sz w:val="13"/>
              </w:rPr>
              <w:t>2.710,87</w:t>
            </w:r>
          </w:p>
        </w:tc>
        <w:tc>
          <w:tcPr>
            <w:tcW w:w="1522" w:type="dxa"/>
            <w:tcBorders>
              <w:right w:val="single" w:sz="4" w:space="0" w:color="000000"/>
            </w:tcBorders>
          </w:tcPr>
          <w:p>
            <w:pPr>
              <w:pStyle w:val="TableParagraph"/>
              <w:spacing w:before="19"/>
              <w:ind w:left="497"/>
              <w:rPr>
                <w:sz w:val="13"/>
              </w:rPr>
            </w:pPr>
            <w:r>
              <w:rPr>
                <w:w w:val="105"/>
                <w:sz w:val="13"/>
              </w:rPr>
              <w:t>77,00%</w:t>
            </w:r>
          </w:p>
        </w:tc>
        <w:tc>
          <w:tcPr>
            <w:tcW w:w="1242" w:type="dxa"/>
            <w:tcBorders>
              <w:left w:val="single" w:sz="4" w:space="0" w:color="000000"/>
              <w:right w:val="single" w:sz="4" w:space="0" w:color="000000"/>
            </w:tcBorders>
          </w:tcPr>
          <w:p>
            <w:pPr>
              <w:pStyle w:val="TableParagraph"/>
              <w:spacing w:before="1"/>
              <w:ind w:left="246" w:right="243"/>
              <w:jc w:val="center"/>
              <w:rPr>
                <w:sz w:val="13"/>
              </w:rPr>
            </w:pPr>
            <w:r>
              <w:rPr>
                <w:w w:val="105"/>
                <w:sz w:val="13"/>
              </w:rPr>
              <w:t>-12,8%</w:t>
            </w:r>
          </w:p>
        </w:tc>
      </w:tr>
      <w:tr>
        <w:trPr>
          <w:trHeight w:val="202" w:hRule="atLeast"/>
        </w:trPr>
        <w:tc>
          <w:tcPr>
            <w:tcW w:w="1538" w:type="dxa"/>
            <w:tcBorders>
              <w:left w:val="single" w:sz="4" w:space="0" w:color="000000"/>
              <w:right w:val="single" w:sz="4" w:space="0" w:color="000000"/>
            </w:tcBorders>
          </w:tcPr>
          <w:p>
            <w:pPr>
              <w:pStyle w:val="TableParagraph"/>
              <w:spacing w:before="11"/>
              <w:ind w:left="57"/>
              <w:rPr>
                <w:b/>
                <w:sz w:val="13"/>
              </w:rPr>
            </w:pPr>
            <w:r>
              <w:rPr>
                <w:b/>
                <w:w w:val="105"/>
                <w:sz w:val="13"/>
              </w:rPr>
              <w:t>SCE</w:t>
            </w:r>
          </w:p>
        </w:tc>
        <w:tc>
          <w:tcPr>
            <w:tcW w:w="1458" w:type="dxa"/>
            <w:tcBorders>
              <w:left w:val="single" w:sz="4" w:space="0" w:color="000000"/>
            </w:tcBorders>
          </w:tcPr>
          <w:p>
            <w:pPr>
              <w:pStyle w:val="TableParagraph"/>
              <w:spacing w:before="11"/>
              <w:ind w:right="209"/>
              <w:jc w:val="right"/>
              <w:rPr>
                <w:sz w:val="13"/>
              </w:rPr>
            </w:pPr>
            <w:r>
              <w:rPr>
                <w:w w:val="105"/>
                <w:sz w:val="13"/>
              </w:rPr>
              <w:t>459.558,47</w:t>
            </w:r>
          </w:p>
        </w:tc>
        <w:tc>
          <w:tcPr>
            <w:tcW w:w="1394" w:type="dxa"/>
          </w:tcPr>
          <w:p>
            <w:pPr>
              <w:pStyle w:val="TableParagraph"/>
              <w:spacing w:before="11"/>
              <w:ind w:right="184"/>
              <w:jc w:val="right"/>
              <w:rPr>
                <w:sz w:val="13"/>
              </w:rPr>
            </w:pPr>
            <w:r>
              <w:rPr>
                <w:w w:val="105"/>
                <w:sz w:val="13"/>
              </w:rPr>
              <w:t>384.211,55</w:t>
            </w:r>
          </w:p>
        </w:tc>
        <w:tc>
          <w:tcPr>
            <w:tcW w:w="1522" w:type="dxa"/>
            <w:tcBorders>
              <w:right w:val="single" w:sz="4" w:space="0" w:color="000000"/>
            </w:tcBorders>
          </w:tcPr>
          <w:p>
            <w:pPr>
              <w:pStyle w:val="TableParagraph"/>
              <w:spacing w:before="11"/>
              <w:ind w:left="497"/>
              <w:rPr>
                <w:sz w:val="13"/>
              </w:rPr>
            </w:pPr>
            <w:r>
              <w:rPr>
                <w:w w:val="105"/>
                <w:sz w:val="13"/>
              </w:rPr>
              <w:t>83,60%</w:t>
            </w:r>
          </w:p>
        </w:tc>
        <w:tc>
          <w:tcPr>
            <w:tcW w:w="1242" w:type="dxa"/>
            <w:tcBorders>
              <w:left w:val="single" w:sz="4" w:space="0" w:color="000000"/>
              <w:right w:val="single" w:sz="4" w:space="0" w:color="000000"/>
            </w:tcBorders>
          </w:tcPr>
          <w:p>
            <w:pPr>
              <w:pStyle w:val="TableParagraph"/>
              <w:spacing w:before="11"/>
              <w:ind w:left="246" w:right="243"/>
              <w:jc w:val="center"/>
              <w:rPr>
                <w:sz w:val="13"/>
              </w:rPr>
            </w:pPr>
            <w:r>
              <w:rPr>
                <w:w w:val="105"/>
                <w:sz w:val="13"/>
              </w:rPr>
              <w:t>-62,4%</w:t>
            </w:r>
          </w:p>
        </w:tc>
      </w:tr>
      <w:tr>
        <w:trPr>
          <w:trHeight w:val="202" w:hRule="atLeast"/>
        </w:trPr>
        <w:tc>
          <w:tcPr>
            <w:tcW w:w="1538" w:type="dxa"/>
            <w:tcBorders>
              <w:left w:val="single" w:sz="4" w:space="0" w:color="000000"/>
              <w:right w:val="single" w:sz="4" w:space="0" w:color="000000"/>
            </w:tcBorders>
          </w:tcPr>
          <w:p>
            <w:pPr>
              <w:pStyle w:val="TableParagraph"/>
              <w:spacing w:before="10"/>
              <w:ind w:left="57"/>
              <w:rPr>
                <w:b/>
                <w:sz w:val="13"/>
              </w:rPr>
            </w:pPr>
            <w:r>
              <w:rPr>
                <w:b/>
                <w:w w:val="105"/>
                <w:sz w:val="13"/>
              </w:rPr>
              <w:t>ICIA</w:t>
            </w:r>
          </w:p>
        </w:tc>
        <w:tc>
          <w:tcPr>
            <w:tcW w:w="1458" w:type="dxa"/>
            <w:tcBorders>
              <w:left w:val="single" w:sz="4" w:space="0" w:color="000000"/>
            </w:tcBorders>
          </w:tcPr>
          <w:p>
            <w:pPr>
              <w:pStyle w:val="TableParagraph"/>
              <w:spacing w:before="10"/>
              <w:ind w:right="210"/>
              <w:jc w:val="right"/>
              <w:rPr>
                <w:sz w:val="13"/>
              </w:rPr>
            </w:pPr>
            <w:r>
              <w:rPr>
                <w:w w:val="105"/>
                <w:sz w:val="13"/>
              </w:rPr>
              <w:t>5.669,39</w:t>
            </w:r>
          </w:p>
        </w:tc>
        <w:tc>
          <w:tcPr>
            <w:tcW w:w="1394" w:type="dxa"/>
          </w:tcPr>
          <w:p>
            <w:pPr>
              <w:pStyle w:val="TableParagraph"/>
              <w:spacing w:before="10"/>
              <w:ind w:right="184"/>
              <w:jc w:val="right"/>
              <w:rPr>
                <w:sz w:val="13"/>
              </w:rPr>
            </w:pPr>
            <w:r>
              <w:rPr>
                <w:w w:val="105"/>
                <w:sz w:val="13"/>
              </w:rPr>
              <w:t>3.802,23</w:t>
            </w:r>
          </w:p>
        </w:tc>
        <w:tc>
          <w:tcPr>
            <w:tcW w:w="1522" w:type="dxa"/>
            <w:tcBorders>
              <w:right w:val="single" w:sz="4" w:space="0" w:color="000000"/>
            </w:tcBorders>
          </w:tcPr>
          <w:p>
            <w:pPr>
              <w:pStyle w:val="TableParagraph"/>
              <w:spacing w:before="10"/>
              <w:ind w:left="497"/>
              <w:rPr>
                <w:sz w:val="13"/>
              </w:rPr>
            </w:pPr>
            <w:r>
              <w:rPr>
                <w:w w:val="105"/>
                <w:sz w:val="13"/>
              </w:rPr>
              <w:t>67,07%</w:t>
            </w:r>
          </w:p>
        </w:tc>
        <w:tc>
          <w:tcPr>
            <w:tcW w:w="1242" w:type="dxa"/>
            <w:tcBorders>
              <w:left w:val="single" w:sz="4" w:space="0" w:color="000000"/>
              <w:right w:val="single" w:sz="4" w:space="0" w:color="000000"/>
            </w:tcBorders>
          </w:tcPr>
          <w:p>
            <w:pPr>
              <w:pStyle w:val="TableParagraph"/>
              <w:spacing w:before="10"/>
              <w:ind w:left="245" w:right="243"/>
              <w:jc w:val="center"/>
              <w:rPr>
                <w:sz w:val="13"/>
              </w:rPr>
            </w:pPr>
            <w:r>
              <w:rPr>
                <w:w w:val="105"/>
                <w:sz w:val="13"/>
              </w:rPr>
              <w:t>nd</w:t>
            </w:r>
          </w:p>
        </w:tc>
      </w:tr>
      <w:tr>
        <w:trPr>
          <w:trHeight w:val="189" w:hRule="atLeast"/>
        </w:trPr>
        <w:tc>
          <w:tcPr>
            <w:tcW w:w="1538" w:type="dxa"/>
            <w:tcBorders>
              <w:left w:val="single" w:sz="4" w:space="0" w:color="000000"/>
              <w:right w:val="single" w:sz="4" w:space="0" w:color="000000"/>
            </w:tcBorders>
          </w:tcPr>
          <w:p>
            <w:pPr>
              <w:pStyle w:val="TableParagraph"/>
              <w:spacing w:line="158" w:lineRule="exact" w:before="11"/>
              <w:ind w:left="57"/>
              <w:rPr>
                <w:b/>
                <w:sz w:val="13"/>
              </w:rPr>
            </w:pPr>
            <w:r>
              <w:rPr>
                <w:b/>
                <w:w w:val="105"/>
                <w:sz w:val="13"/>
              </w:rPr>
              <w:t>ICHH</w:t>
            </w:r>
          </w:p>
        </w:tc>
        <w:tc>
          <w:tcPr>
            <w:tcW w:w="1458" w:type="dxa"/>
            <w:tcBorders>
              <w:left w:val="single" w:sz="4" w:space="0" w:color="000000"/>
            </w:tcBorders>
          </w:tcPr>
          <w:p>
            <w:pPr>
              <w:pStyle w:val="TableParagraph"/>
              <w:spacing w:line="158" w:lineRule="exact" w:before="11"/>
              <w:ind w:right="209"/>
              <w:jc w:val="right"/>
              <w:rPr>
                <w:sz w:val="13"/>
              </w:rPr>
            </w:pPr>
            <w:r>
              <w:rPr>
                <w:sz w:val="13"/>
              </w:rPr>
              <w:t>525,59</w:t>
            </w:r>
          </w:p>
        </w:tc>
        <w:tc>
          <w:tcPr>
            <w:tcW w:w="1394" w:type="dxa"/>
          </w:tcPr>
          <w:p>
            <w:pPr>
              <w:pStyle w:val="TableParagraph"/>
              <w:spacing w:line="158" w:lineRule="exact" w:before="11"/>
              <w:ind w:right="184"/>
              <w:jc w:val="right"/>
              <w:rPr>
                <w:sz w:val="13"/>
              </w:rPr>
            </w:pPr>
            <w:r>
              <w:rPr>
                <w:sz w:val="13"/>
              </w:rPr>
              <w:t>701,59</w:t>
            </w:r>
          </w:p>
        </w:tc>
        <w:tc>
          <w:tcPr>
            <w:tcW w:w="1522" w:type="dxa"/>
            <w:tcBorders>
              <w:right w:val="single" w:sz="4" w:space="0" w:color="000000"/>
            </w:tcBorders>
          </w:tcPr>
          <w:p>
            <w:pPr>
              <w:pStyle w:val="TableParagraph"/>
              <w:spacing w:line="158" w:lineRule="exact" w:before="11"/>
              <w:ind w:left="463"/>
              <w:rPr>
                <w:sz w:val="13"/>
              </w:rPr>
            </w:pPr>
            <w:r>
              <w:rPr>
                <w:w w:val="105"/>
                <w:sz w:val="13"/>
              </w:rPr>
              <w:t>133,49%</w:t>
            </w:r>
          </w:p>
        </w:tc>
        <w:tc>
          <w:tcPr>
            <w:tcW w:w="1242" w:type="dxa"/>
            <w:tcBorders>
              <w:left w:val="single" w:sz="4" w:space="0" w:color="000000"/>
              <w:right w:val="single" w:sz="4" w:space="0" w:color="000000"/>
            </w:tcBorders>
          </w:tcPr>
          <w:p>
            <w:pPr>
              <w:pStyle w:val="TableParagraph"/>
              <w:spacing w:line="158" w:lineRule="exact" w:before="11"/>
              <w:ind w:left="248" w:right="243"/>
              <w:jc w:val="center"/>
              <w:rPr>
                <w:sz w:val="13"/>
              </w:rPr>
            </w:pPr>
            <w:r>
              <w:rPr>
                <w:w w:val="105"/>
                <w:sz w:val="13"/>
              </w:rPr>
              <w:t>309,8%</w:t>
            </w:r>
          </w:p>
        </w:tc>
      </w:tr>
      <w:tr>
        <w:trPr>
          <w:trHeight w:val="213" w:hRule="atLeast"/>
        </w:trPr>
        <w:tc>
          <w:tcPr>
            <w:tcW w:w="1538" w:type="dxa"/>
            <w:tcBorders>
              <w:left w:val="single" w:sz="4" w:space="0" w:color="000000"/>
              <w:right w:val="single" w:sz="4" w:space="0" w:color="000000"/>
            </w:tcBorders>
            <w:shd w:val="clear" w:color="auto" w:fill="F1F1F1"/>
          </w:tcPr>
          <w:p>
            <w:pPr>
              <w:pStyle w:val="TableParagraph"/>
              <w:spacing w:before="27"/>
              <w:ind w:left="57"/>
              <w:rPr>
                <w:b/>
                <w:sz w:val="13"/>
              </w:rPr>
            </w:pPr>
            <w:r>
              <w:rPr>
                <w:b/>
                <w:w w:val="105"/>
                <w:sz w:val="13"/>
              </w:rPr>
              <w:t>SCS</w:t>
            </w:r>
          </w:p>
        </w:tc>
        <w:tc>
          <w:tcPr>
            <w:tcW w:w="1458" w:type="dxa"/>
            <w:tcBorders>
              <w:left w:val="single" w:sz="4" w:space="0" w:color="000000"/>
            </w:tcBorders>
            <w:shd w:val="clear" w:color="auto" w:fill="F1F1F1"/>
          </w:tcPr>
          <w:p>
            <w:pPr>
              <w:pStyle w:val="TableParagraph"/>
              <w:spacing w:before="27"/>
              <w:ind w:right="208"/>
              <w:jc w:val="right"/>
              <w:rPr>
                <w:b/>
                <w:sz w:val="13"/>
              </w:rPr>
            </w:pPr>
            <w:r>
              <w:rPr>
                <w:b/>
                <w:w w:val="105"/>
                <w:sz w:val="13"/>
              </w:rPr>
              <w:t>1.991.849,44</w:t>
            </w:r>
          </w:p>
        </w:tc>
        <w:tc>
          <w:tcPr>
            <w:tcW w:w="1394" w:type="dxa"/>
            <w:shd w:val="clear" w:color="auto" w:fill="F1F1F1"/>
          </w:tcPr>
          <w:p>
            <w:pPr>
              <w:pStyle w:val="TableParagraph"/>
              <w:spacing w:before="27"/>
              <w:ind w:right="183"/>
              <w:jc w:val="right"/>
              <w:rPr>
                <w:b/>
                <w:sz w:val="13"/>
              </w:rPr>
            </w:pPr>
            <w:r>
              <w:rPr>
                <w:b/>
                <w:w w:val="105"/>
                <w:sz w:val="13"/>
              </w:rPr>
              <w:t>1.923.961,28</w:t>
            </w:r>
          </w:p>
        </w:tc>
        <w:tc>
          <w:tcPr>
            <w:tcW w:w="1522" w:type="dxa"/>
            <w:tcBorders>
              <w:right w:val="single" w:sz="4" w:space="0" w:color="000000"/>
            </w:tcBorders>
            <w:shd w:val="clear" w:color="auto" w:fill="F1F1F1"/>
          </w:tcPr>
          <w:p>
            <w:pPr>
              <w:pStyle w:val="TableParagraph"/>
              <w:spacing w:before="27"/>
              <w:ind w:left="495"/>
              <w:rPr>
                <w:b/>
                <w:sz w:val="13"/>
              </w:rPr>
            </w:pPr>
            <w:r>
              <w:rPr>
                <w:b/>
                <w:w w:val="105"/>
                <w:sz w:val="13"/>
              </w:rPr>
              <w:t>96,59%</w:t>
            </w:r>
          </w:p>
        </w:tc>
        <w:tc>
          <w:tcPr>
            <w:tcW w:w="1242" w:type="dxa"/>
            <w:tcBorders>
              <w:left w:val="single" w:sz="4" w:space="0" w:color="000000"/>
              <w:right w:val="single" w:sz="4" w:space="0" w:color="000000"/>
            </w:tcBorders>
            <w:shd w:val="clear" w:color="auto" w:fill="F1F1F1"/>
          </w:tcPr>
          <w:p>
            <w:pPr>
              <w:pStyle w:val="TableParagraph"/>
              <w:spacing w:before="27"/>
              <w:ind w:left="249" w:right="243"/>
              <w:jc w:val="center"/>
              <w:rPr>
                <w:b/>
                <w:sz w:val="13"/>
              </w:rPr>
            </w:pPr>
            <w:r>
              <w:rPr>
                <w:b/>
                <w:w w:val="105"/>
                <w:sz w:val="13"/>
              </w:rPr>
              <w:t>172,0%</w:t>
            </w:r>
          </w:p>
        </w:tc>
      </w:tr>
      <w:tr>
        <w:trPr>
          <w:trHeight w:val="223" w:hRule="atLeast"/>
        </w:trPr>
        <w:tc>
          <w:tcPr>
            <w:tcW w:w="1538" w:type="dxa"/>
            <w:tcBorders>
              <w:left w:val="single" w:sz="4" w:space="0" w:color="000000"/>
              <w:right w:val="single" w:sz="4" w:space="0" w:color="000000"/>
            </w:tcBorders>
          </w:tcPr>
          <w:p>
            <w:pPr>
              <w:pStyle w:val="TableParagraph"/>
              <w:spacing w:before="27"/>
              <w:ind w:left="57"/>
              <w:rPr>
                <w:b/>
                <w:sz w:val="13"/>
              </w:rPr>
            </w:pPr>
            <w:r>
              <w:rPr>
                <w:b/>
                <w:w w:val="105"/>
                <w:sz w:val="13"/>
              </w:rPr>
              <w:t>ACCUE</w:t>
            </w:r>
          </w:p>
        </w:tc>
        <w:tc>
          <w:tcPr>
            <w:tcW w:w="1458" w:type="dxa"/>
            <w:tcBorders>
              <w:left w:val="single" w:sz="4" w:space="0" w:color="000000"/>
            </w:tcBorders>
          </w:tcPr>
          <w:p>
            <w:pPr>
              <w:pStyle w:val="TableParagraph"/>
              <w:spacing w:before="27"/>
              <w:ind w:right="209"/>
              <w:jc w:val="right"/>
              <w:rPr>
                <w:sz w:val="13"/>
              </w:rPr>
            </w:pPr>
            <w:r>
              <w:rPr>
                <w:sz w:val="13"/>
              </w:rPr>
              <w:t>672,02</w:t>
            </w:r>
          </w:p>
        </w:tc>
        <w:tc>
          <w:tcPr>
            <w:tcW w:w="1394" w:type="dxa"/>
          </w:tcPr>
          <w:p>
            <w:pPr>
              <w:pStyle w:val="TableParagraph"/>
              <w:spacing w:before="27"/>
              <w:ind w:right="184"/>
              <w:jc w:val="right"/>
              <w:rPr>
                <w:sz w:val="13"/>
              </w:rPr>
            </w:pPr>
            <w:r>
              <w:rPr>
                <w:sz w:val="13"/>
              </w:rPr>
              <w:t>453,68</w:t>
            </w:r>
          </w:p>
        </w:tc>
        <w:tc>
          <w:tcPr>
            <w:tcW w:w="1522" w:type="dxa"/>
            <w:tcBorders>
              <w:right w:val="single" w:sz="4" w:space="0" w:color="000000"/>
            </w:tcBorders>
          </w:tcPr>
          <w:p>
            <w:pPr>
              <w:pStyle w:val="TableParagraph"/>
              <w:spacing w:before="27"/>
              <w:ind w:left="497"/>
              <w:rPr>
                <w:sz w:val="13"/>
              </w:rPr>
            </w:pPr>
            <w:r>
              <w:rPr>
                <w:w w:val="105"/>
                <w:sz w:val="13"/>
              </w:rPr>
              <w:t>67,51%</w:t>
            </w:r>
          </w:p>
        </w:tc>
        <w:tc>
          <w:tcPr>
            <w:tcW w:w="1242" w:type="dxa"/>
            <w:tcBorders>
              <w:left w:val="single" w:sz="4" w:space="0" w:color="000000"/>
              <w:right w:val="single" w:sz="4" w:space="0" w:color="000000"/>
            </w:tcBorders>
          </w:tcPr>
          <w:p>
            <w:pPr>
              <w:pStyle w:val="TableParagraph"/>
              <w:spacing w:before="27"/>
              <w:ind w:left="248" w:right="243"/>
              <w:jc w:val="center"/>
              <w:rPr>
                <w:sz w:val="13"/>
              </w:rPr>
            </w:pPr>
            <w:r>
              <w:rPr>
                <w:w w:val="105"/>
                <w:sz w:val="13"/>
              </w:rPr>
              <w:t>155,6%</w:t>
            </w:r>
          </w:p>
        </w:tc>
      </w:tr>
      <w:tr>
        <w:trPr>
          <w:trHeight w:val="212" w:hRule="atLeast"/>
        </w:trPr>
        <w:tc>
          <w:tcPr>
            <w:tcW w:w="1538" w:type="dxa"/>
            <w:tcBorders>
              <w:left w:val="single" w:sz="4" w:space="0" w:color="000000"/>
              <w:right w:val="single" w:sz="4" w:space="0" w:color="000000"/>
            </w:tcBorders>
          </w:tcPr>
          <w:p>
            <w:pPr>
              <w:pStyle w:val="TableParagraph"/>
              <w:spacing w:before="15"/>
              <w:ind w:left="57"/>
              <w:rPr>
                <w:b/>
                <w:sz w:val="13"/>
              </w:rPr>
            </w:pPr>
            <w:r>
              <w:rPr>
                <w:b/>
                <w:w w:val="105"/>
                <w:sz w:val="13"/>
              </w:rPr>
              <w:t>ICAVI</w:t>
            </w:r>
          </w:p>
        </w:tc>
        <w:tc>
          <w:tcPr>
            <w:tcW w:w="1458" w:type="dxa"/>
            <w:tcBorders>
              <w:left w:val="single" w:sz="4" w:space="0" w:color="000000"/>
            </w:tcBorders>
          </w:tcPr>
          <w:p>
            <w:pPr>
              <w:pStyle w:val="TableParagraph"/>
              <w:spacing w:before="15"/>
              <w:ind w:right="209"/>
              <w:jc w:val="right"/>
              <w:rPr>
                <w:sz w:val="13"/>
              </w:rPr>
            </w:pPr>
            <w:r>
              <w:rPr>
                <w:w w:val="105"/>
                <w:sz w:val="13"/>
              </w:rPr>
              <w:t>178.483,45</w:t>
            </w:r>
          </w:p>
        </w:tc>
        <w:tc>
          <w:tcPr>
            <w:tcW w:w="1394" w:type="dxa"/>
          </w:tcPr>
          <w:p>
            <w:pPr>
              <w:pStyle w:val="TableParagraph"/>
              <w:spacing w:before="15"/>
              <w:ind w:right="184"/>
              <w:jc w:val="right"/>
              <w:rPr>
                <w:sz w:val="13"/>
              </w:rPr>
            </w:pPr>
            <w:r>
              <w:rPr>
                <w:w w:val="105"/>
                <w:sz w:val="13"/>
              </w:rPr>
              <w:t>48.018,06</w:t>
            </w:r>
          </w:p>
        </w:tc>
        <w:tc>
          <w:tcPr>
            <w:tcW w:w="1522" w:type="dxa"/>
            <w:tcBorders>
              <w:right w:val="single" w:sz="4" w:space="0" w:color="000000"/>
            </w:tcBorders>
          </w:tcPr>
          <w:p>
            <w:pPr>
              <w:pStyle w:val="TableParagraph"/>
              <w:spacing w:before="15"/>
              <w:ind w:left="497"/>
              <w:rPr>
                <w:sz w:val="13"/>
              </w:rPr>
            </w:pPr>
            <w:r>
              <w:rPr>
                <w:w w:val="105"/>
                <w:sz w:val="13"/>
              </w:rPr>
              <w:t>26,90%</w:t>
            </w:r>
          </w:p>
        </w:tc>
        <w:tc>
          <w:tcPr>
            <w:tcW w:w="1242" w:type="dxa"/>
            <w:tcBorders>
              <w:left w:val="single" w:sz="4" w:space="0" w:color="000000"/>
              <w:right w:val="single" w:sz="4" w:space="0" w:color="000000"/>
            </w:tcBorders>
          </w:tcPr>
          <w:p>
            <w:pPr>
              <w:pStyle w:val="TableParagraph"/>
              <w:spacing w:before="15"/>
              <w:ind w:left="246" w:right="243"/>
              <w:jc w:val="center"/>
              <w:rPr>
                <w:sz w:val="13"/>
              </w:rPr>
            </w:pPr>
            <w:r>
              <w:rPr>
                <w:w w:val="105"/>
                <w:sz w:val="13"/>
              </w:rPr>
              <w:t>-13,6%</w:t>
            </w:r>
          </w:p>
        </w:tc>
      </w:tr>
      <w:tr>
        <w:trPr>
          <w:trHeight w:val="210" w:hRule="atLeast"/>
        </w:trPr>
        <w:tc>
          <w:tcPr>
            <w:tcW w:w="1538" w:type="dxa"/>
            <w:tcBorders>
              <w:left w:val="single" w:sz="4" w:space="0" w:color="000000"/>
              <w:right w:val="single" w:sz="4" w:space="0" w:color="000000"/>
            </w:tcBorders>
          </w:tcPr>
          <w:p>
            <w:pPr>
              <w:pStyle w:val="TableParagraph"/>
              <w:spacing w:before="16"/>
              <w:ind w:left="57"/>
              <w:rPr>
                <w:b/>
                <w:sz w:val="13"/>
              </w:rPr>
            </w:pPr>
            <w:r>
              <w:rPr>
                <w:b/>
                <w:w w:val="105"/>
                <w:sz w:val="13"/>
              </w:rPr>
              <w:t>ICCA</w:t>
            </w:r>
          </w:p>
        </w:tc>
        <w:tc>
          <w:tcPr>
            <w:tcW w:w="1458" w:type="dxa"/>
            <w:tcBorders>
              <w:left w:val="single" w:sz="4" w:space="0" w:color="000000"/>
            </w:tcBorders>
          </w:tcPr>
          <w:p>
            <w:pPr>
              <w:pStyle w:val="TableParagraph"/>
              <w:spacing w:before="16"/>
              <w:ind w:right="210"/>
              <w:jc w:val="right"/>
              <w:rPr>
                <w:sz w:val="13"/>
              </w:rPr>
            </w:pPr>
            <w:r>
              <w:rPr>
                <w:w w:val="105"/>
                <w:sz w:val="13"/>
              </w:rPr>
              <w:t>4.341,33</w:t>
            </w:r>
          </w:p>
        </w:tc>
        <w:tc>
          <w:tcPr>
            <w:tcW w:w="1394" w:type="dxa"/>
          </w:tcPr>
          <w:p>
            <w:pPr>
              <w:pStyle w:val="TableParagraph"/>
              <w:spacing w:before="16"/>
              <w:ind w:right="184"/>
              <w:jc w:val="right"/>
              <w:rPr>
                <w:sz w:val="13"/>
              </w:rPr>
            </w:pPr>
            <w:r>
              <w:rPr>
                <w:w w:val="105"/>
                <w:sz w:val="13"/>
              </w:rPr>
              <w:t>2.422,06</w:t>
            </w:r>
          </w:p>
        </w:tc>
        <w:tc>
          <w:tcPr>
            <w:tcW w:w="1522" w:type="dxa"/>
            <w:tcBorders>
              <w:right w:val="single" w:sz="4" w:space="0" w:color="000000"/>
            </w:tcBorders>
          </w:tcPr>
          <w:p>
            <w:pPr>
              <w:pStyle w:val="TableParagraph"/>
              <w:spacing w:before="16"/>
              <w:ind w:left="497"/>
              <w:rPr>
                <w:sz w:val="13"/>
              </w:rPr>
            </w:pPr>
            <w:r>
              <w:rPr>
                <w:w w:val="105"/>
                <w:sz w:val="13"/>
              </w:rPr>
              <w:t>55,79%</w:t>
            </w:r>
          </w:p>
        </w:tc>
        <w:tc>
          <w:tcPr>
            <w:tcW w:w="1242" w:type="dxa"/>
            <w:tcBorders>
              <w:left w:val="single" w:sz="4" w:space="0" w:color="000000"/>
              <w:right w:val="single" w:sz="4" w:space="0" w:color="000000"/>
            </w:tcBorders>
          </w:tcPr>
          <w:p>
            <w:pPr>
              <w:pStyle w:val="TableParagraph"/>
              <w:spacing w:before="16"/>
              <w:ind w:left="246" w:right="243"/>
              <w:jc w:val="center"/>
              <w:rPr>
                <w:sz w:val="13"/>
              </w:rPr>
            </w:pPr>
            <w:r>
              <w:rPr>
                <w:w w:val="105"/>
                <w:sz w:val="13"/>
              </w:rPr>
              <w:t>-28,8%</w:t>
            </w:r>
          </w:p>
        </w:tc>
      </w:tr>
      <w:tr>
        <w:trPr>
          <w:trHeight w:val="193" w:hRule="atLeast"/>
        </w:trPr>
        <w:tc>
          <w:tcPr>
            <w:tcW w:w="1538" w:type="dxa"/>
            <w:tcBorders>
              <w:left w:val="single" w:sz="4" w:space="0" w:color="000000"/>
              <w:right w:val="single" w:sz="4" w:space="0" w:color="000000"/>
            </w:tcBorders>
          </w:tcPr>
          <w:p>
            <w:pPr>
              <w:pStyle w:val="TableParagraph"/>
              <w:spacing w:before="14"/>
              <w:ind w:left="57"/>
              <w:rPr>
                <w:b/>
                <w:sz w:val="13"/>
              </w:rPr>
            </w:pPr>
            <w:r>
              <w:rPr>
                <w:b/>
                <w:w w:val="105"/>
                <w:sz w:val="13"/>
              </w:rPr>
              <w:t>APMUN</w:t>
            </w:r>
          </w:p>
        </w:tc>
        <w:tc>
          <w:tcPr>
            <w:tcW w:w="1458" w:type="dxa"/>
            <w:tcBorders>
              <w:left w:val="single" w:sz="4" w:space="0" w:color="000000"/>
              <w:bottom w:val="single" w:sz="4" w:space="0" w:color="000000"/>
            </w:tcBorders>
          </w:tcPr>
          <w:p>
            <w:pPr>
              <w:pStyle w:val="TableParagraph"/>
              <w:spacing w:before="14"/>
              <w:ind w:right="210"/>
              <w:jc w:val="right"/>
              <w:rPr>
                <w:sz w:val="13"/>
              </w:rPr>
            </w:pPr>
            <w:r>
              <w:rPr>
                <w:w w:val="105"/>
                <w:sz w:val="13"/>
              </w:rPr>
              <w:t>4.732,22</w:t>
            </w:r>
          </w:p>
        </w:tc>
        <w:tc>
          <w:tcPr>
            <w:tcW w:w="1394" w:type="dxa"/>
            <w:tcBorders>
              <w:bottom w:val="single" w:sz="4" w:space="0" w:color="000000"/>
            </w:tcBorders>
          </w:tcPr>
          <w:p>
            <w:pPr>
              <w:pStyle w:val="TableParagraph"/>
              <w:spacing w:before="14"/>
              <w:ind w:right="184"/>
              <w:jc w:val="right"/>
              <w:rPr>
                <w:sz w:val="13"/>
              </w:rPr>
            </w:pPr>
            <w:r>
              <w:rPr>
                <w:w w:val="105"/>
                <w:sz w:val="13"/>
              </w:rPr>
              <w:t>1.203,31</w:t>
            </w:r>
          </w:p>
        </w:tc>
        <w:tc>
          <w:tcPr>
            <w:tcW w:w="1522" w:type="dxa"/>
            <w:tcBorders>
              <w:bottom w:val="single" w:sz="4" w:space="0" w:color="000000"/>
              <w:right w:val="single" w:sz="4" w:space="0" w:color="000000"/>
            </w:tcBorders>
          </w:tcPr>
          <w:p>
            <w:pPr>
              <w:pStyle w:val="TableParagraph"/>
              <w:spacing w:before="14"/>
              <w:ind w:left="497"/>
              <w:rPr>
                <w:sz w:val="13"/>
              </w:rPr>
            </w:pPr>
            <w:r>
              <w:rPr>
                <w:w w:val="105"/>
                <w:sz w:val="13"/>
              </w:rPr>
              <w:t>25,43%</w:t>
            </w:r>
          </w:p>
        </w:tc>
        <w:tc>
          <w:tcPr>
            <w:tcW w:w="1242" w:type="dxa"/>
            <w:tcBorders>
              <w:left w:val="single" w:sz="4" w:space="0" w:color="000000"/>
              <w:right w:val="single" w:sz="4" w:space="0" w:color="000000"/>
            </w:tcBorders>
          </w:tcPr>
          <w:p>
            <w:pPr>
              <w:pStyle w:val="TableParagraph"/>
              <w:spacing w:before="14"/>
              <w:ind w:left="246" w:right="243"/>
              <w:jc w:val="center"/>
              <w:rPr>
                <w:sz w:val="13"/>
              </w:rPr>
            </w:pPr>
            <w:r>
              <w:rPr>
                <w:w w:val="105"/>
                <w:sz w:val="13"/>
              </w:rPr>
              <w:t>-31,8%</w:t>
            </w:r>
          </w:p>
        </w:tc>
      </w:tr>
      <w:tr>
        <w:trPr>
          <w:trHeight w:val="212" w:hRule="atLeast"/>
        </w:trPr>
        <w:tc>
          <w:tcPr>
            <w:tcW w:w="1538" w:type="dxa"/>
            <w:tcBorders>
              <w:left w:val="single" w:sz="4" w:space="0" w:color="000000"/>
              <w:right w:val="single" w:sz="4" w:space="0" w:color="000000"/>
            </w:tcBorders>
          </w:tcPr>
          <w:p>
            <w:pPr>
              <w:pStyle w:val="TableParagraph"/>
              <w:spacing w:before="20"/>
              <w:ind w:left="57"/>
              <w:rPr>
                <w:b/>
                <w:sz w:val="13"/>
              </w:rPr>
            </w:pPr>
            <w:r>
              <w:rPr>
                <w:b/>
                <w:w w:val="105"/>
                <w:sz w:val="13"/>
              </w:rPr>
              <w:t>CES</w:t>
            </w:r>
          </w:p>
        </w:tc>
        <w:tc>
          <w:tcPr>
            <w:tcW w:w="1458" w:type="dxa"/>
            <w:tcBorders>
              <w:top w:val="single" w:sz="4" w:space="0" w:color="000000"/>
              <w:left w:val="single" w:sz="4" w:space="0" w:color="000000"/>
            </w:tcBorders>
          </w:tcPr>
          <w:p>
            <w:pPr>
              <w:pStyle w:val="TableParagraph"/>
              <w:spacing w:before="20"/>
              <w:ind w:right="209"/>
              <w:jc w:val="right"/>
              <w:rPr>
                <w:sz w:val="13"/>
              </w:rPr>
            </w:pPr>
            <w:r>
              <w:rPr>
                <w:sz w:val="13"/>
              </w:rPr>
              <w:t>215,81</w:t>
            </w:r>
          </w:p>
        </w:tc>
        <w:tc>
          <w:tcPr>
            <w:tcW w:w="1394" w:type="dxa"/>
            <w:tcBorders>
              <w:top w:val="single" w:sz="4" w:space="0" w:color="000000"/>
            </w:tcBorders>
          </w:tcPr>
          <w:p>
            <w:pPr>
              <w:pStyle w:val="TableParagraph"/>
              <w:spacing w:before="20"/>
              <w:ind w:right="184"/>
              <w:jc w:val="right"/>
              <w:rPr>
                <w:sz w:val="13"/>
              </w:rPr>
            </w:pPr>
            <w:r>
              <w:rPr>
                <w:sz w:val="13"/>
              </w:rPr>
              <w:t>136,43</w:t>
            </w:r>
          </w:p>
        </w:tc>
        <w:tc>
          <w:tcPr>
            <w:tcW w:w="1522" w:type="dxa"/>
            <w:tcBorders>
              <w:top w:val="single" w:sz="4" w:space="0" w:color="000000"/>
              <w:right w:val="single" w:sz="4" w:space="0" w:color="000000"/>
            </w:tcBorders>
          </w:tcPr>
          <w:p>
            <w:pPr>
              <w:pStyle w:val="TableParagraph"/>
              <w:spacing w:before="20"/>
              <w:ind w:left="497"/>
              <w:rPr>
                <w:sz w:val="13"/>
              </w:rPr>
            </w:pPr>
            <w:r>
              <w:rPr>
                <w:w w:val="105"/>
                <w:sz w:val="13"/>
              </w:rPr>
              <w:t>63,22%</w:t>
            </w:r>
          </w:p>
        </w:tc>
        <w:tc>
          <w:tcPr>
            <w:tcW w:w="1242" w:type="dxa"/>
            <w:tcBorders>
              <w:left w:val="single" w:sz="4" w:space="0" w:color="000000"/>
              <w:right w:val="single" w:sz="4" w:space="0" w:color="000000"/>
            </w:tcBorders>
          </w:tcPr>
          <w:p>
            <w:pPr>
              <w:pStyle w:val="TableParagraph"/>
              <w:spacing w:before="20"/>
              <w:ind w:left="246" w:right="243"/>
              <w:jc w:val="center"/>
              <w:rPr>
                <w:sz w:val="13"/>
              </w:rPr>
            </w:pPr>
            <w:r>
              <w:rPr>
                <w:w w:val="105"/>
                <w:sz w:val="13"/>
              </w:rPr>
              <w:t>0,0%</w:t>
            </w:r>
          </w:p>
        </w:tc>
      </w:tr>
      <w:tr>
        <w:trPr>
          <w:trHeight w:val="205" w:hRule="atLeast"/>
        </w:trPr>
        <w:tc>
          <w:tcPr>
            <w:tcW w:w="1538" w:type="dxa"/>
            <w:tcBorders>
              <w:left w:val="single" w:sz="4" w:space="0" w:color="000000"/>
              <w:right w:val="single" w:sz="4" w:space="0" w:color="000000"/>
            </w:tcBorders>
          </w:tcPr>
          <w:p>
            <w:pPr>
              <w:pStyle w:val="TableParagraph"/>
              <w:spacing w:before="11"/>
              <w:ind w:left="57"/>
              <w:rPr>
                <w:b/>
                <w:sz w:val="13"/>
              </w:rPr>
            </w:pPr>
            <w:r>
              <w:rPr>
                <w:b/>
                <w:w w:val="105"/>
                <w:sz w:val="13"/>
              </w:rPr>
              <w:t>RTVC</w:t>
            </w:r>
          </w:p>
        </w:tc>
        <w:tc>
          <w:tcPr>
            <w:tcW w:w="1458" w:type="dxa"/>
            <w:tcBorders>
              <w:left w:val="single" w:sz="4" w:space="0" w:color="000000"/>
            </w:tcBorders>
          </w:tcPr>
          <w:p>
            <w:pPr>
              <w:pStyle w:val="TableParagraph"/>
              <w:spacing w:before="11"/>
              <w:ind w:right="209"/>
              <w:jc w:val="right"/>
              <w:rPr>
                <w:sz w:val="13"/>
              </w:rPr>
            </w:pPr>
            <w:r>
              <w:rPr>
                <w:w w:val="105"/>
                <w:sz w:val="13"/>
              </w:rPr>
              <w:t>69.939,58</w:t>
            </w:r>
          </w:p>
        </w:tc>
        <w:tc>
          <w:tcPr>
            <w:tcW w:w="1394" w:type="dxa"/>
          </w:tcPr>
          <w:p>
            <w:pPr>
              <w:pStyle w:val="TableParagraph"/>
              <w:spacing w:before="11"/>
              <w:ind w:right="184"/>
              <w:jc w:val="right"/>
              <w:rPr>
                <w:sz w:val="13"/>
              </w:rPr>
            </w:pPr>
            <w:r>
              <w:rPr>
                <w:w w:val="105"/>
                <w:sz w:val="13"/>
              </w:rPr>
              <w:t>65.580,18</w:t>
            </w:r>
          </w:p>
        </w:tc>
        <w:tc>
          <w:tcPr>
            <w:tcW w:w="1522" w:type="dxa"/>
            <w:tcBorders>
              <w:right w:val="single" w:sz="4" w:space="0" w:color="000000"/>
            </w:tcBorders>
          </w:tcPr>
          <w:p>
            <w:pPr>
              <w:pStyle w:val="TableParagraph"/>
              <w:spacing w:before="11"/>
              <w:ind w:left="497"/>
              <w:rPr>
                <w:sz w:val="13"/>
              </w:rPr>
            </w:pPr>
            <w:r>
              <w:rPr>
                <w:w w:val="105"/>
                <w:sz w:val="13"/>
              </w:rPr>
              <w:t>93,77%</w:t>
            </w:r>
          </w:p>
        </w:tc>
        <w:tc>
          <w:tcPr>
            <w:tcW w:w="1242" w:type="dxa"/>
            <w:tcBorders>
              <w:left w:val="single" w:sz="4" w:space="0" w:color="000000"/>
              <w:right w:val="single" w:sz="4" w:space="0" w:color="000000"/>
            </w:tcBorders>
          </w:tcPr>
          <w:p>
            <w:pPr>
              <w:pStyle w:val="TableParagraph"/>
              <w:spacing w:before="11"/>
              <w:ind w:left="246" w:right="243"/>
              <w:jc w:val="center"/>
              <w:rPr>
                <w:sz w:val="13"/>
              </w:rPr>
            </w:pPr>
            <w:r>
              <w:rPr>
                <w:w w:val="105"/>
                <w:sz w:val="13"/>
              </w:rPr>
              <w:t>25,0%</w:t>
            </w:r>
          </w:p>
        </w:tc>
      </w:tr>
      <w:tr>
        <w:trPr>
          <w:trHeight w:val="197" w:hRule="atLeast"/>
        </w:trPr>
        <w:tc>
          <w:tcPr>
            <w:tcW w:w="1538" w:type="dxa"/>
            <w:tcBorders>
              <w:left w:val="single" w:sz="4" w:space="0" w:color="000000"/>
              <w:bottom w:val="single" w:sz="4" w:space="0" w:color="000000"/>
              <w:right w:val="single" w:sz="4" w:space="0" w:color="000000"/>
            </w:tcBorders>
          </w:tcPr>
          <w:p>
            <w:pPr>
              <w:pStyle w:val="TableParagraph"/>
              <w:spacing w:before="13"/>
              <w:ind w:left="57"/>
              <w:rPr>
                <w:b/>
                <w:sz w:val="13"/>
              </w:rPr>
            </w:pPr>
            <w:r>
              <w:rPr>
                <w:b/>
                <w:w w:val="105"/>
                <w:sz w:val="13"/>
              </w:rPr>
              <w:t>ATC</w:t>
            </w:r>
          </w:p>
        </w:tc>
        <w:tc>
          <w:tcPr>
            <w:tcW w:w="1458" w:type="dxa"/>
            <w:tcBorders>
              <w:left w:val="single" w:sz="4" w:space="0" w:color="000000"/>
              <w:bottom w:val="single" w:sz="4" w:space="0" w:color="000000"/>
            </w:tcBorders>
          </w:tcPr>
          <w:p>
            <w:pPr>
              <w:pStyle w:val="TableParagraph"/>
              <w:spacing w:before="13"/>
              <w:ind w:right="209"/>
              <w:jc w:val="right"/>
              <w:rPr>
                <w:sz w:val="13"/>
              </w:rPr>
            </w:pPr>
            <w:r>
              <w:rPr>
                <w:w w:val="105"/>
                <w:sz w:val="13"/>
              </w:rPr>
              <w:t>71.886,38</w:t>
            </w:r>
          </w:p>
        </w:tc>
        <w:tc>
          <w:tcPr>
            <w:tcW w:w="1394" w:type="dxa"/>
            <w:tcBorders>
              <w:bottom w:val="single" w:sz="4" w:space="0" w:color="000000"/>
            </w:tcBorders>
          </w:tcPr>
          <w:p>
            <w:pPr>
              <w:pStyle w:val="TableParagraph"/>
              <w:spacing w:before="13"/>
              <w:ind w:right="184"/>
              <w:jc w:val="right"/>
              <w:rPr>
                <w:sz w:val="13"/>
              </w:rPr>
            </w:pPr>
            <w:r>
              <w:rPr>
                <w:w w:val="105"/>
                <w:sz w:val="13"/>
              </w:rPr>
              <w:t>59.633,55</w:t>
            </w:r>
          </w:p>
        </w:tc>
        <w:tc>
          <w:tcPr>
            <w:tcW w:w="1522" w:type="dxa"/>
            <w:tcBorders>
              <w:bottom w:val="single" w:sz="4" w:space="0" w:color="000000"/>
              <w:right w:val="single" w:sz="4" w:space="0" w:color="000000"/>
            </w:tcBorders>
          </w:tcPr>
          <w:p>
            <w:pPr>
              <w:pStyle w:val="TableParagraph"/>
              <w:spacing w:before="13"/>
              <w:ind w:left="497"/>
              <w:rPr>
                <w:sz w:val="13"/>
              </w:rPr>
            </w:pPr>
            <w:r>
              <w:rPr>
                <w:w w:val="105"/>
                <w:sz w:val="13"/>
              </w:rPr>
              <w:t>82,96%</w:t>
            </w:r>
          </w:p>
        </w:tc>
        <w:tc>
          <w:tcPr>
            <w:tcW w:w="1242" w:type="dxa"/>
            <w:tcBorders>
              <w:left w:val="single" w:sz="4" w:space="0" w:color="000000"/>
              <w:bottom w:val="single" w:sz="4" w:space="0" w:color="000000"/>
              <w:right w:val="single" w:sz="4" w:space="0" w:color="000000"/>
            </w:tcBorders>
          </w:tcPr>
          <w:p>
            <w:pPr>
              <w:pStyle w:val="TableParagraph"/>
              <w:spacing w:before="13"/>
              <w:ind w:left="246" w:right="243"/>
              <w:jc w:val="center"/>
              <w:rPr>
                <w:sz w:val="13"/>
              </w:rPr>
            </w:pPr>
            <w:r>
              <w:rPr>
                <w:w w:val="105"/>
                <w:sz w:val="13"/>
              </w:rPr>
              <w:t>-38,0%</w:t>
            </w:r>
          </w:p>
        </w:tc>
      </w:tr>
    </w:tbl>
    <w:p>
      <w:pPr>
        <w:pStyle w:val="BodyText"/>
        <w:spacing w:before="7"/>
        <w:rPr>
          <w:b/>
          <w:sz w:val="11"/>
        </w:rPr>
      </w:pPr>
    </w:p>
    <w:p>
      <w:pPr>
        <w:pStyle w:val="BodyText"/>
        <w:spacing w:before="61"/>
        <w:ind w:left="2334" w:right="1139"/>
        <w:jc w:val="both"/>
      </w:pPr>
      <w:r>
        <w:rPr/>
        <w:t>Llama la atención el comportamiento de ACCUE y CES que, a pesar de haber contado con personal suficiente, no han ejecutado gran parte del presupuesto, sin embargo, estas tienen una escasa actividad si se compara con las demás entidades, de ahí que el importe de sus gastos sean los más bajos de la tabla.</w:t>
      </w:r>
    </w:p>
    <w:p>
      <w:pPr>
        <w:pStyle w:val="BodyText"/>
        <w:rPr>
          <w:sz w:val="17"/>
        </w:rPr>
      </w:pPr>
    </w:p>
    <w:p>
      <w:pPr>
        <w:pStyle w:val="Heading1"/>
        <w:numPr>
          <w:ilvl w:val="2"/>
          <w:numId w:val="26"/>
        </w:numPr>
        <w:tabs>
          <w:tab w:pos="2691" w:val="left" w:leader="none"/>
        </w:tabs>
        <w:spacing w:line="240" w:lineRule="auto" w:before="1" w:after="0"/>
        <w:ind w:left="2690" w:right="0" w:hanging="605"/>
        <w:jc w:val="left"/>
      </w:pPr>
      <w:r>
        <w:rPr>
          <w:color w:val="53A1B9"/>
        </w:rPr>
        <w:t>Balance.</w:t>
      </w:r>
    </w:p>
    <w:p>
      <w:pPr>
        <w:pStyle w:val="BodyText"/>
        <w:spacing w:before="6" w:after="1"/>
        <w:rPr>
          <w:b/>
          <w:sz w:val="16"/>
        </w:rPr>
      </w:pPr>
    </w:p>
    <w:tbl>
      <w:tblPr>
        <w:tblW w:w="0" w:type="auto"/>
        <w:jc w:val="left"/>
        <w:tblInd w:w="2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93"/>
        <w:gridCol w:w="2206"/>
        <w:gridCol w:w="1497"/>
      </w:tblGrid>
      <w:tr>
        <w:trPr>
          <w:trHeight w:val="213" w:hRule="atLeast"/>
        </w:trPr>
        <w:tc>
          <w:tcPr>
            <w:tcW w:w="3493"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2206" w:type="dxa"/>
            <w:tcBorders>
              <w:top w:val="single" w:sz="4" w:space="0" w:color="000000"/>
              <w:left w:val="single" w:sz="4" w:space="0" w:color="000000"/>
              <w:bottom w:val="single" w:sz="4" w:space="0" w:color="000000"/>
            </w:tcBorders>
            <w:shd w:val="clear" w:color="auto" w:fill="DEEAF6"/>
          </w:tcPr>
          <w:p>
            <w:pPr>
              <w:pStyle w:val="TableParagraph"/>
              <w:spacing w:before="28"/>
              <w:ind w:left="809" w:right="1075"/>
              <w:jc w:val="center"/>
              <w:rPr>
                <w:b/>
                <w:sz w:val="13"/>
              </w:rPr>
            </w:pPr>
            <w:r>
              <w:rPr>
                <w:b/>
                <w:w w:val="105"/>
                <w:sz w:val="13"/>
              </w:rPr>
              <w:t>2022</w:t>
            </w:r>
          </w:p>
        </w:tc>
        <w:tc>
          <w:tcPr>
            <w:tcW w:w="1497" w:type="dxa"/>
            <w:tcBorders>
              <w:top w:val="single" w:sz="4" w:space="0" w:color="000000"/>
              <w:bottom w:val="single" w:sz="4" w:space="0" w:color="000000"/>
              <w:right w:val="single" w:sz="4" w:space="0" w:color="000000"/>
            </w:tcBorders>
            <w:shd w:val="clear" w:color="auto" w:fill="DEEAF6"/>
          </w:tcPr>
          <w:p>
            <w:pPr>
              <w:pStyle w:val="TableParagraph"/>
              <w:spacing w:before="28"/>
              <w:ind w:left="478"/>
              <w:rPr>
                <w:b/>
                <w:sz w:val="13"/>
              </w:rPr>
            </w:pPr>
            <w:r>
              <w:rPr>
                <w:b/>
                <w:w w:val="105"/>
                <w:sz w:val="13"/>
              </w:rPr>
              <w:t>2021</w:t>
            </w:r>
          </w:p>
        </w:tc>
      </w:tr>
      <w:tr>
        <w:trPr>
          <w:trHeight w:val="224" w:hRule="atLeast"/>
        </w:trPr>
        <w:tc>
          <w:tcPr>
            <w:tcW w:w="3493" w:type="dxa"/>
            <w:tcBorders>
              <w:left w:val="single" w:sz="4" w:space="0" w:color="000000"/>
              <w:right w:val="single" w:sz="4" w:space="0" w:color="000000"/>
            </w:tcBorders>
          </w:tcPr>
          <w:p>
            <w:pPr>
              <w:pStyle w:val="TableParagraph"/>
              <w:spacing w:before="26"/>
              <w:ind w:left="57"/>
              <w:rPr>
                <w:b/>
                <w:sz w:val="13"/>
              </w:rPr>
            </w:pPr>
            <w:r>
              <w:rPr>
                <w:b/>
                <w:w w:val="105"/>
                <w:sz w:val="13"/>
              </w:rPr>
              <w:t>ACTIVO</w:t>
            </w:r>
          </w:p>
        </w:tc>
        <w:tc>
          <w:tcPr>
            <w:tcW w:w="2206" w:type="dxa"/>
            <w:tcBorders>
              <w:top w:val="single" w:sz="4" w:space="0" w:color="000000"/>
              <w:left w:val="single" w:sz="4" w:space="0" w:color="000000"/>
            </w:tcBorders>
          </w:tcPr>
          <w:p>
            <w:pPr>
              <w:pStyle w:val="TableParagraph"/>
              <w:rPr>
                <w:rFonts w:ascii="Times New Roman"/>
                <w:sz w:val="12"/>
              </w:rPr>
            </w:pPr>
          </w:p>
        </w:tc>
        <w:tc>
          <w:tcPr>
            <w:tcW w:w="1497" w:type="dxa"/>
            <w:tcBorders>
              <w:top w:val="single" w:sz="4" w:space="0" w:color="000000"/>
              <w:right w:val="single" w:sz="4" w:space="0" w:color="000000"/>
            </w:tcBorders>
          </w:tcPr>
          <w:p>
            <w:pPr>
              <w:pStyle w:val="TableParagraph"/>
              <w:rPr>
                <w:rFonts w:ascii="Times New Roman"/>
                <w:sz w:val="12"/>
              </w:rPr>
            </w:pPr>
          </w:p>
        </w:tc>
      </w:tr>
      <w:tr>
        <w:trPr>
          <w:trHeight w:val="226" w:hRule="atLeast"/>
        </w:trPr>
        <w:tc>
          <w:tcPr>
            <w:tcW w:w="3493" w:type="dxa"/>
            <w:tcBorders>
              <w:left w:val="single" w:sz="4" w:space="0" w:color="000000"/>
              <w:right w:val="single" w:sz="4" w:space="0" w:color="000000"/>
            </w:tcBorders>
          </w:tcPr>
          <w:p>
            <w:pPr>
              <w:pStyle w:val="TableParagraph"/>
              <w:spacing w:before="17"/>
              <w:ind w:left="57"/>
              <w:rPr>
                <w:sz w:val="13"/>
              </w:rPr>
            </w:pPr>
            <w:r>
              <w:rPr>
                <w:w w:val="105"/>
                <w:sz w:val="13"/>
              </w:rPr>
              <w:t>A) Activo No Corriente</w:t>
            </w:r>
          </w:p>
        </w:tc>
        <w:tc>
          <w:tcPr>
            <w:tcW w:w="2206" w:type="dxa"/>
            <w:tcBorders>
              <w:left w:val="single" w:sz="4" w:space="0" w:color="000000"/>
            </w:tcBorders>
          </w:tcPr>
          <w:p>
            <w:pPr>
              <w:pStyle w:val="TableParagraph"/>
              <w:spacing w:before="42"/>
              <w:ind w:right="469"/>
              <w:jc w:val="right"/>
              <w:rPr>
                <w:b/>
                <w:sz w:val="13"/>
              </w:rPr>
            </w:pPr>
            <w:r>
              <w:rPr>
                <w:b/>
                <w:w w:val="105"/>
                <w:sz w:val="13"/>
              </w:rPr>
              <w:t>1.417.913,07</w:t>
            </w:r>
          </w:p>
        </w:tc>
        <w:tc>
          <w:tcPr>
            <w:tcW w:w="1497" w:type="dxa"/>
            <w:tcBorders>
              <w:right w:val="single" w:sz="4" w:space="0" w:color="000000"/>
            </w:tcBorders>
          </w:tcPr>
          <w:p>
            <w:pPr>
              <w:pStyle w:val="TableParagraph"/>
              <w:spacing w:before="42"/>
              <w:ind w:right="189"/>
              <w:jc w:val="right"/>
              <w:rPr>
                <w:b/>
                <w:sz w:val="13"/>
              </w:rPr>
            </w:pPr>
            <w:r>
              <w:rPr>
                <w:b/>
                <w:w w:val="105"/>
                <w:sz w:val="13"/>
              </w:rPr>
              <w:t>1.339.315,86</w:t>
            </w:r>
          </w:p>
        </w:tc>
      </w:tr>
      <w:tr>
        <w:trPr>
          <w:trHeight w:val="213" w:hRule="atLeast"/>
        </w:trPr>
        <w:tc>
          <w:tcPr>
            <w:tcW w:w="3493" w:type="dxa"/>
            <w:tcBorders>
              <w:left w:val="single" w:sz="4" w:space="0" w:color="000000"/>
              <w:right w:val="single" w:sz="4" w:space="0" w:color="000000"/>
            </w:tcBorders>
          </w:tcPr>
          <w:p>
            <w:pPr>
              <w:pStyle w:val="TableParagraph"/>
              <w:spacing w:before="4"/>
              <w:ind w:left="343"/>
              <w:rPr>
                <w:sz w:val="13"/>
              </w:rPr>
            </w:pPr>
            <w:r>
              <w:rPr>
                <w:w w:val="105"/>
                <w:sz w:val="13"/>
              </w:rPr>
              <w:t>I. Inmovilizado intangible</w:t>
            </w:r>
          </w:p>
        </w:tc>
        <w:tc>
          <w:tcPr>
            <w:tcW w:w="2206" w:type="dxa"/>
            <w:tcBorders>
              <w:left w:val="single" w:sz="4" w:space="0" w:color="000000"/>
            </w:tcBorders>
          </w:tcPr>
          <w:p>
            <w:pPr>
              <w:pStyle w:val="TableParagraph"/>
              <w:spacing w:before="29"/>
              <w:ind w:right="469"/>
              <w:jc w:val="right"/>
              <w:rPr>
                <w:sz w:val="13"/>
              </w:rPr>
            </w:pPr>
            <w:r>
              <w:rPr>
                <w:w w:val="105"/>
                <w:sz w:val="13"/>
              </w:rPr>
              <w:t>26.902,50</w:t>
            </w:r>
          </w:p>
        </w:tc>
        <w:tc>
          <w:tcPr>
            <w:tcW w:w="1497" w:type="dxa"/>
            <w:tcBorders>
              <w:right w:val="single" w:sz="4" w:space="0" w:color="000000"/>
            </w:tcBorders>
          </w:tcPr>
          <w:p>
            <w:pPr>
              <w:pStyle w:val="TableParagraph"/>
              <w:spacing w:before="29"/>
              <w:ind w:right="189"/>
              <w:jc w:val="right"/>
              <w:rPr>
                <w:sz w:val="13"/>
              </w:rPr>
            </w:pPr>
            <w:r>
              <w:rPr>
                <w:w w:val="105"/>
                <w:sz w:val="13"/>
              </w:rPr>
              <w:t>22.113,92</w:t>
            </w:r>
          </w:p>
        </w:tc>
      </w:tr>
      <w:tr>
        <w:trPr>
          <w:trHeight w:val="214" w:hRule="atLeast"/>
        </w:trPr>
        <w:tc>
          <w:tcPr>
            <w:tcW w:w="3493" w:type="dxa"/>
            <w:tcBorders>
              <w:left w:val="single" w:sz="4" w:space="0" w:color="000000"/>
              <w:right w:val="single" w:sz="4" w:space="0" w:color="000000"/>
            </w:tcBorders>
          </w:tcPr>
          <w:p>
            <w:pPr>
              <w:pStyle w:val="TableParagraph"/>
              <w:spacing w:before="4"/>
              <w:ind w:left="343"/>
              <w:rPr>
                <w:sz w:val="13"/>
              </w:rPr>
            </w:pPr>
            <w:r>
              <w:rPr>
                <w:w w:val="105"/>
                <w:sz w:val="13"/>
              </w:rPr>
              <w:t>II. Inmovilizado material</w:t>
            </w:r>
          </w:p>
        </w:tc>
        <w:tc>
          <w:tcPr>
            <w:tcW w:w="2206" w:type="dxa"/>
            <w:tcBorders>
              <w:left w:val="single" w:sz="4" w:space="0" w:color="000000"/>
            </w:tcBorders>
          </w:tcPr>
          <w:p>
            <w:pPr>
              <w:pStyle w:val="TableParagraph"/>
              <w:spacing w:before="31"/>
              <w:ind w:right="469"/>
              <w:jc w:val="right"/>
              <w:rPr>
                <w:sz w:val="13"/>
              </w:rPr>
            </w:pPr>
            <w:r>
              <w:rPr>
                <w:w w:val="105"/>
                <w:sz w:val="13"/>
              </w:rPr>
              <w:t>1.385.493,46</w:t>
            </w:r>
          </w:p>
        </w:tc>
        <w:tc>
          <w:tcPr>
            <w:tcW w:w="1497" w:type="dxa"/>
            <w:tcBorders>
              <w:right w:val="single" w:sz="4" w:space="0" w:color="000000"/>
            </w:tcBorders>
          </w:tcPr>
          <w:p>
            <w:pPr>
              <w:pStyle w:val="TableParagraph"/>
              <w:spacing w:before="31"/>
              <w:ind w:right="189"/>
              <w:jc w:val="right"/>
              <w:rPr>
                <w:sz w:val="13"/>
              </w:rPr>
            </w:pPr>
            <w:r>
              <w:rPr>
                <w:w w:val="105"/>
                <w:sz w:val="13"/>
              </w:rPr>
              <w:t>1.311.687,40</w:t>
            </w:r>
          </w:p>
        </w:tc>
      </w:tr>
      <w:tr>
        <w:trPr>
          <w:trHeight w:val="214" w:hRule="atLeast"/>
        </w:trPr>
        <w:tc>
          <w:tcPr>
            <w:tcW w:w="3493" w:type="dxa"/>
            <w:tcBorders>
              <w:left w:val="single" w:sz="4" w:space="0" w:color="000000"/>
              <w:right w:val="single" w:sz="4" w:space="0" w:color="000000"/>
            </w:tcBorders>
          </w:tcPr>
          <w:p>
            <w:pPr>
              <w:pStyle w:val="TableParagraph"/>
              <w:spacing w:before="3"/>
              <w:ind w:left="343"/>
              <w:rPr>
                <w:sz w:val="13"/>
              </w:rPr>
            </w:pPr>
            <w:r>
              <w:rPr>
                <w:w w:val="105"/>
                <w:sz w:val="13"/>
              </w:rPr>
              <w:t>III. Inversiones inmobiliarias</w:t>
            </w:r>
          </w:p>
        </w:tc>
        <w:tc>
          <w:tcPr>
            <w:tcW w:w="2206" w:type="dxa"/>
            <w:tcBorders>
              <w:left w:val="single" w:sz="4" w:space="0" w:color="000000"/>
            </w:tcBorders>
          </w:tcPr>
          <w:p>
            <w:pPr>
              <w:pStyle w:val="TableParagraph"/>
              <w:spacing w:before="30"/>
              <w:ind w:right="470"/>
              <w:jc w:val="right"/>
              <w:rPr>
                <w:sz w:val="13"/>
              </w:rPr>
            </w:pPr>
            <w:r>
              <w:rPr>
                <w:sz w:val="13"/>
              </w:rPr>
              <w:t>0,00</w:t>
            </w:r>
          </w:p>
        </w:tc>
        <w:tc>
          <w:tcPr>
            <w:tcW w:w="1497" w:type="dxa"/>
            <w:tcBorders>
              <w:right w:val="single" w:sz="4" w:space="0" w:color="000000"/>
            </w:tcBorders>
          </w:tcPr>
          <w:p>
            <w:pPr>
              <w:pStyle w:val="TableParagraph"/>
              <w:spacing w:before="30"/>
              <w:ind w:right="189"/>
              <w:jc w:val="right"/>
              <w:rPr>
                <w:sz w:val="13"/>
              </w:rPr>
            </w:pPr>
            <w:r>
              <w:rPr>
                <w:w w:val="105"/>
                <w:sz w:val="13"/>
              </w:rPr>
              <w:t>- 3,92</w:t>
            </w:r>
          </w:p>
        </w:tc>
      </w:tr>
      <w:tr>
        <w:trPr>
          <w:trHeight w:val="213" w:hRule="atLeast"/>
        </w:trPr>
        <w:tc>
          <w:tcPr>
            <w:tcW w:w="3493" w:type="dxa"/>
            <w:tcBorders>
              <w:left w:val="single" w:sz="4" w:space="0" w:color="000000"/>
              <w:right w:val="single" w:sz="4" w:space="0" w:color="000000"/>
            </w:tcBorders>
          </w:tcPr>
          <w:p>
            <w:pPr>
              <w:pStyle w:val="TableParagraph"/>
              <w:spacing w:before="4"/>
              <w:ind w:left="343"/>
              <w:rPr>
                <w:sz w:val="13"/>
              </w:rPr>
            </w:pPr>
            <w:r>
              <w:rPr>
                <w:w w:val="105"/>
                <w:sz w:val="13"/>
              </w:rPr>
              <w:t>V. Inversiones financieras a largo plazo</w:t>
            </w:r>
          </w:p>
        </w:tc>
        <w:tc>
          <w:tcPr>
            <w:tcW w:w="2206" w:type="dxa"/>
            <w:tcBorders>
              <w:left w:val="single" w:sz="4" w:space="0" w:color="000000"/>
            </w:tcBorders>
          </w:tcPr>
          <w:p>
            <w:pPr>
              <w:pStyle w:val="TableParagraph"/>
              <w:spacing w:before="29"/>
              <w:ind w:right="468"/>
              <w:jc w:val="right"/>
              <w:rPr>
                <w:sz w:val="13"/>
              </w:rPr>
            </w:pPr>
            <w:r>
              <w:rPr>
                <w:w w:val="105"/>
                <w:sz w:val="13"/>
              </w:rPr>
              <w:t>5.517,11</w:t>
            </w:r>
          </w:p>
        </w:tc>
        <w:tc>
          <w:tcPr>
            <w:tcW w:w="1497" w:type="dxa"/>
            <w:tcBorders>
              <w:right w:val="single" w:sz="4" w:space="0" w:color="000000"/>
            </w:tcBorders>
          </w:tcPr>
          <w:p>
            <w:pPr>
              <w:pStyle w:val="TableParagraph"/>
              <w:spacing w:before="29"/>
              <w:ind w:right="189"/>
              <w:jc w:val="right"/>
              <w:rPr>
                <w:sz w:val="13"/>
              </w:rPr>
            </w:pPr>
            <w:r>
              <w:rPr>
                <w:w w:val="105"/>
                <w:sz w:val="13"/>
              </w:rPr>
              <w:t>5.518,46</w:t>
            </w:r>
          </w:p>
        </w:tc>
      </w:tr>
      <w:tr>
        <w:trPr>
          <w:trHeight w:val="213" w:hRule="atLeast"/>
        </w:trPr>
        <w:tc>
          <w:tcPr>
            <w:tcW w:w="3493" w:type="dxa"/>
            <w:tcBorders>
              <w:left w:val="single" w:sz="4" w:space="0" w:color="000000"/>
              <w:right w:val="single" w:sz="4" w:space="0" w:color="000000"/>
            </w:tcBorders>
          </w:tcPr>
          <w:p>
            <w:pPr>
              <w:pStyle w:val="TableParagraph"/>
              <w:spacing w:before="4"/>
              <w:ind w:left="57"/>
              <w:rPr>
                <w:sz w:val="13"/>
              </w:rPr>
            </w:pPr>
            <w:r>
              <w:rPr>
                <w:w w:val="105"/>
                <w:sz w:val="13"/>
              </w:rPr>
              <w:t>B) Activo Corriente</w:t>
            </w:r>
          </w:p>
        </w:tc>
        <w:tc>
          <w:tcPr>
            <w:tcW w:w="2206" w:type="dxa"/>
            <w:tcBorders>
              <w:left w:val="single" w:sz="4" w:space="0" w:color="000000"/>
            </w:tcBorders>
          </w:tcPr>
          <w:p>
            <w:pPr>
              <w:pStyle w:val="TableParagraph"/>
              <w:spacing w:before="29"/>
              <w:ind w:right="469"/>
              <w:jc w:val="right"/>
              <w:rPr>
                <w:b/>
                <w:sz w:val="13"/>
              </w:rPr>
            </w:pPr>
            <w:r>
              <w:rPr>
                <w:b/>
                <w:w w:val="105"/>
                <w:sz w:val="13"/>
              </w:rPr>
              <w:t>1.305.577,81</w:t>
            </w:r>
          </w:p>
        </w:tc>
        <w:tc>
          <w:tcPr>
            <w:tcW w:w="1497" w:type="dxa"/>
            <w:tcBorders>
              <w:right w:val="single" w:sz="4" w:space="0" w:color="000000"/>
            </w:tcBorders>
          </w:tcPr>
          <w:p>
            <w:pPr>
              <w:pStyle w:val="TableParagraph"/>
              <w:spacing w:before="29"/>
              <w:ind w:right="189"/>
              <w:jc w:val="right"/>
              <w:rPr>
                <w:b/>
                <w:sz w:val="13"/>
              </w:rPr>
            </w:pPr>
            <w:r>
              <w:rPr>
                <w:b/>
                <w:w w:val="105"/>
                <w:sz w:val="13"/>
              </w:rPr>
              <w:t>1.434.230,03</w:t>
            </w:r>
          </w:p>
        </w:tc>
      </w:tr>
      <w:tr>
        <w:trPr>
          <w:trHeight w:val="214" w:hRule="atLeast"/>
        </w:trPr>
        <w:tc>
          <w:tcPr>
            <w:tcW w:w="3493" w:type="dxa"/>
            <w:tcBorders>
              <w:left w:val="single" w:sz="4" w:space="0" w:color="000000"/>
              <w:right w:val="single" w:sz="4" w:space="0" w:color="000000"/>
            </w:tcBorders>
          </w:tcPr>
          <w:p>
            <w:pPr>
              <w:pStyle w:val="TableParagraph"/>
              <w:spacing w:before="4"/>
              <w:ind w:left="343"/>
              <w:rPr>
                <w:sz w:val="13"/>
              </w:rPr>
            </w:pPr>
            <w:r>
              <w:rPr>
                <w:w w:val="105"/>
                <w:sz w:val="13"/>
              </w:rPr>
              <w:t>II. Existencias</w:t>
            </w:r>
          </w:p>
        </w:tc>
        <w:tc>
          <w:tcPr>
            <w:tcW w:w="2206" w:type="dxa"/>
            <w:tcBorders>
              <w:left w:val="single" w:sz="4" w:space="0" w:color="000000"/>
            </w:tcBorders>
          </w:tcPr>
          <w:p>
            <w:pPr>
              <w:pStyle w:val="TableParagraph"/>
              <w:spacing w:before="31"/>
              <w:ind w:right="469"/>
              <w:jc w:val="right"/>
              <w:rPr>
                <w:sz w:val="13"/>
              </w:rPr>
            </w:pPr>
            <w:r>
              <w:rPr>
                <w:w w:val="105"/>
                <w:sz w:val="13"/>
              </w:rPr>
              <w:t>76.116,21</w:t>
            </w:r>
          </w:p>
        </w:tc>
        <w:tc>
          <w:tcPr>
            <w:tcW w:w="1497" w:type="dxa"/>
            <w:tcBorders>
              <w:right w:val="single" w:sz="4" w:space="0" w:color="000000"/>
            </w:tcBorders>
          </w:tcPr>
          <w:p>
            <w:pPr>
              <w:pStyle w:val="TableParagraph"/>
              <w:spacing w:before="31"/>
              <w:ind w:right="189"/>
              <w:jc w:val="right"/>
              <w:rPr>
                <w:sz w:val="13"/>
              </w:rPr>
            </w:pPr>
            <w:r>
              <w:rPr>
                <w:w w:val="105"/>
                <w:sz w:val="13"/>
              </w:rPr>
              <w:t>139.276,11</w:t>
            </w:r>
          </w:p>
        </w:tc>
      </w:tr>
      <w:tr>
        <w:trPr>
          <w:trHeight w:val="214" w:hRule="atLeast"/>
        </w:trPr>
        <w:tc>
          <w:tcPr>
            <w:tcW w:w="3493" w:type="dxa"/>
            <w:tcBorders>
              <w:left w:val="single" w:sz="4" w:space="0" w:color="000000"/>
              <w:right w:val="single" w:sz="4" w:space="0" w:color="000000"/>
            </w:tcBorders>
          </w:tcPr>
          <w:p>
            <w:pPr>
              <w:pStyle w:val="TableParagraph"/>
              <w:spacing w:before="3"/>
              <w:ind w:left="343"/>
              <w:rPr>
                <w:sz w:val="13"/>
              </w:rPr>
            </w:pPr>
            <w:r>
              <w:rPr>
                <w:w w:val="105"/>
                <w:sz w:val="13"/>
              </w:rPr>
              <w:t>III. Deudores y otras cuentas a cobrar</w:t>
            </w:r>
          </w:p>
        </w:tc>
        <w:tc>
          <w:tcPr>
            <w:tcW w:w="2206" w:type="dxa"/>
            <w:tcBorders>
              <w:left w:val="single" w:sz="4" w:space="0" w:color="000000"/>
            </w:tcBorders>
          </w:tcPr>
          <w:p>
            <w:pPr>
              <w:pStyle w:val="TableParagraph"/>
              <w:spacing w:before="30"/>
              <w:ind w:right="469"/>
              <w:jc w:val="right"/>
              <w:rPr>
                <w:sz w:val="13"/>
              </w:rPr>
            </w:pPr>
            <w:r>
              <w:rPr>
                <w:w w:val="105"/>
                <w:sz w:val="13"/>
              </w:rPr>
              <w:t>224.616,19</w:t>
            </w:r>
          </w:p>
        </w:tc>
        <w:tc>
          <w:tcPr>
            <w:tcW w:w="1497" w:type="dxa"/>
            <w:tcBorders>
              <w:right w:val="single" w:sz="4" w:space="0" w:color="000000"/>
            </w:tcBorders>
          </w:tcPr>
          <w:p>
            <w:pPr>
              <w:pStyle w:val="TableParagraph"/>
              <w:spacing w:before="30"/>
              <w:ind w:right="189"/>
              <w:jc w:val="right"/>
              <w:rPr>
                <w:sz w:val="13"/>
              </w:rPr>
            </w:pPr>
            <w:r>
              <w:rPr>
                <w:w w:val="105"/>
                <w:sz w:val="13"/>
              </w:rPr>
              <w:t>380.068,81</w:t>
            </w:r>
          </w:p>
        </w:tc>
      </w:tr>
      <w:tr>
        <w:trPr>
          <w:trHeight w:val="213" w:hRule="atLeast"/>
        </w:trPr>
        <w:tc>
          <w:tcPr>
            <w:tcW w:w="3493" w:type="dxa"/>
            <w:tcBorders>
              <w:left w:val="single" w:sz="4" w:space="0" w:color="000000"/>
              <w:right w:val="single" w:sz="4" w:space="0" w:color="000000"/>
            </w:tcBorders>
          </w:tcPr>
          <w:p>
            <w:pPr>
              <w:pStyle w:val="TableParagraph"/>
              <w:spacing w:before="4"/>
              <w:ind w:left="343"/>
              <w:rPr>
                <w:sz w:val="13"/>
              </w:rPr>
            </w:pPr>
            <w:r>
              <w:rPr>
                <w:w w:val="105"/>
                <w:sz w:val="13"/>
              </w:rPr>
              <w:t>V. Inversiones financieras a corto plazo</w:t>
            </w:r>
          </w:p>
        </w:tc>
        <w:tc>
          <w:tcPr>
            <w:tcW w:w="2206" w:type="dxa"/>
            <w:tcBorders>
              <w:left w:val="single" w:sz="4" w:space="0" w:color="000000"/>
            </w:tcBorders>
          </w:tcPr>
          <w:p>
            <w:pPr>
              <w:pStyle w:val="TableParagraph"/>
              <w:spacing w:before="29"/>
              <w:ind w:right="469"/>
              <w:jc w:val="right"/>
              <w:rPr>
                <w:sz w:val="13"/>
              </w:rPr>
            </w:pPr>
            <w:r>
              <w:rPr>
                <w:w w:val="105"/>
                <w:sz w:val="13"/>
              </w:rPr>
              <w:t>15.383,86</w:t>
            </w:r>
          </w:p>
        </w:tc>
        <w:tc>
          <w:tcPr>
            <w:tcW w:w="1497" w:type="dxa"/>
            <w:tcBorders>
              <w:right w:val="single" w:sz="4" w:space="0" w:color="000000"/>
            </w:tcBorders>
          </w:tcPr>
          <w:p>
            <w:pPr>
              <w:pStyle w:val="TableParagraph"/>
              <w:spacing w:before="29"/>
              <w:ind w:right="189"/>
              <w:jc w:val="right"/>
              <w:rPr>
                <w:sz w:val="13"/>
              </w:rPr>
            </w:pPr>
            <w:r>
              <w:rPr>
                <w:w w:val="105"/>
                <w:sz w:val="13"/>
              </w:rPr>
              <w:t>81.548,43</w:t>
            </w:r>
          </w:p>
        </w:tc>
      </w:tr>
      <w:tr>
        <w:trPr>
          <w:trHeight w:val="213" w:hRule="atLeast"/>
        </w:trPr>
        <w:tc>
          <w:tcPr>
            <w:tcW w:w="3493" w:type="dxa"/>
            <w:tcBorders>
              <w:left w:val="single" w:sz="4" w:space="0" w:color="000000"/>
              <w:right w:val="single" w:sz="4" w:space="0" w:color="000000"/>
            </w:tcBorders>
          </w:tcPr>
          <w:p>
            <w:pPr>
              <w:pStyle w:val="TableParagraph"/>
              <w:spacing w:before="4"/>
              <w:ind w:left="343"/>
              <w:rPr>
                <w:sz w:val="13"/>
              </w:rPr>
            </w:pPr>
            <w:r>
              <w:rPr>
                <w:w w:val="105"/>
                <w:sz w:val="13"/>
              </w:rPr>
              <w:t>VI. Ajustes de periodificación</w:t>
            </w:r>
          </w:p>
        </w:tc>
        <w:tc>
          <w:tcPr>
            <w:tcW w:w="2206" w:type="dxa"/>
            <w:tcBorders>
              <w:left w:val="single" w:sz="4" w:space="0" w:color="000000"/>
            </w:tcBorders>
          </w:tcPr>
          <w:p>
            <w:pPr>
              <w:pStyle w:val="TableParagraph"/>
              <w:spacing w:before="29"/>
              <w:ind w:right="468"/>
              <w:jc w:val="right"/>
              <w:rPr>
                <w:sz w:val="13"/>
              </w:rPr>
            </w:pPr>
            <w:r>
              <w:rPr>
                <w:sz w:val="13"/>
              </w:rPr>
              <w:t>34,42</w:t>
            </w:r>
          </w:p>
        </w:tc>
        <w:tc>
          <w:tcPr>
            <w:tcW w:w="1497" w:type="dxa"/>
            <w:tcBorders>
              <w:right w:val="single" w:sz="4" w:space="0" w:color="000000"/>
            </w:tcBorders>
          </w:tcPr>
          <w:p>
            <w:pPr>
              <w:pStyle w:val="TableParagraph"/>
              <w:spacing w:before="29"/>
              <w:ind w:right="189"/>
              <w:jc w:val="right"/>
              <w:rPr>
                <w:sz w:val="13"/>
              </w:rPr>
            </w:pPr>
            <w:r>
              <w:rPr>
                <w:sz w:val="13"/>
              </w:rPr>
              <w:t>26,10</w:t>
            </w:r>
          </w:p>
        </w:tc>
      </w:tr>
      <w:tr>
        <w:trPr>
          <w:trHeight w:val="190" w:hRule="atLeast"/>
        </w:trPr>
        <w:tc>
          <w:tcPr>
            <w:tcW w:w="3493" w:type="dxa"/>
            <w:tcBorders>
              <w:left w:val="single" w:sz="4" w:space="0" w:color="000000"/>
              <w:right w:val="single" w:sz="4" w:space="0" w:color="000000"/>
            </w:tcBorders>
          </w:tcPr>
          <w:p>
            <w:pPr>
              <w:pStyle w:val="TableParagraph"/>
              <w:spacing w:before="4"/>
              <w:ind w:left="343"/>
              <w:rPr>
                <w:sz w:val="13"/>
              </w:rPr>
            </w:pPr>
            <w:r>
              <w:rPr>
                <w:w w:val="105"/>
                <w:sz w:val="13"/>
              </w:rPr>
              <w:t>VII. Efectivo y otros activos líquidos equivalentes</w:t>
            </w:r>
          </w:p>
        </w:tc>
        <w:tc>
          <w:tcPr>
            <w:tcW w:w="2206" w:type="dxa"/>
            <w:tcBorders>
              <w:left w:val="single" w:sz="4" w:space="0" w:color="000000"/>
            </w:tcBorders>
          </w:tcPr>
          <w:p>
            <w:pPr>
              <w:pStyle w:val="TableParagraph"/>
              <w:spacing w:line="140" w:lineRule="exact" w:before="31"/>
              <w:ind w:right="469"/>
              <w:jc w:val="right"/>
              <w:rPr>
                <w:sz w:val="13"/>
              </w:rPr>
            </w:pPr>
            <w:r>
              <w:rPr>
                <w:w w:val="105"/>
                <w:sz w:val="13"/>
              </w:rPr>
              <w:t>989.427,14</w:t>
            </w:r>
          </w:p>
        </w:tc>
        <w:tc>
          <w:tcPr>
            <w:tcW w:w="1497" w:type="dxa"/>
            <w:tcBorders>
              <w:right w:val="single" w:sz="4" w:space="0" w:color="000000"/>
            </w:tcBorders>
          </w:tcPr>
          <w:p>
            <w:pPr>
              <w:pStyle w:val="TableParagraph"/>
              <w:spacing w:line="140" w:lineRule="exact" w:before="31"/>
              <w:ind w:right="189"/>
              <w:jc w:val="right"/>
              <w:rPr>
                <w:sz w:val="13"/>
              </w:rPr>
            </w:pPr>
            <w:r>
              <w:rPr>
                <w:w w:val="105"/>
                <w:sz w:val="13"/>
              </w:rPr>
              <w:t>833.310,57</w:t>
            </w:r>
          </w:p>
        </w:tc>
      </w:tr>
      <w:tr>
        <w:trPr>
          <w:trHeight w:val="212" w:hRule="atLeast"/>
        </w:trPr>
        <w:tc>
          <w:tcPr>
            <w:tcW w:w="3493" w:type="dxa"/>
            <w:tcBorders>
              <w:left w:val="single" w:sz="4" w:space="0" w:color="000000"/>
              <w:bottom w:val="single" w:sz="4" w:space="0" w:color="000000"/>
              <w:right w:val="single" w:sz="4" w:space="0" w:color="000000"/>
            </w:tcBorders>
            <w:shd w:val="clear" w:color="auto" w:fill="D9D9D9"/>
          </w:tcPr>
          <w:p>
            <w:pPr>
              <w:pStyle w:val="TableParagraph"/>
              <w:spacing w:before="27"/>
              <w:ind w:left="57"/>
              <w:rPr>
                <w:b/>
                <w:sz w:val="13"/>
              </w:rPr>
            </w:pPr>
            <w:r>
              <w:rPr>
                <w:b/>
                <w:w w:val="105"/>
                <w:sz w:val="13"/>
              </w:rPr>
              <w:t>Total (A+B) – Miles de €</w:t>
            </w:r>
          </w:p>
        </w:tc>
        <w:tc>
          <w:tcPr>
            <w:tcW w:w="2206" w:type="dxa"/>
            <w:tcBorders>
              <w:left w:val="single" w:sz="4" w:space="0" w:color="000000"/>
              <w:bottom w:val="single" w:sz="4" w:space="0" w:color="000000"/>
            </w:tcBorders>
            <w:shd w:val="clear" w:color="auto" w:fill="D9D9D9"/>
          </w:tcPr>
          <w:p>
            <w:pPr>
              <w:pStyle w:val="TableParagraph"/>
              <w:spacing w:before="27"/>
              <w:ind w:right="469"/>
              <w:jc w:val="right"/>
              <w:rPr>
                <w:b/>
                <w:sz w:val="13"/>
              </w:rPr>
            </w:pPr>
            <w:r>
              <w:rPr>
                <w:b/>
                <w:w w:val="105"/>
                <w:sz w:val="13"/>
              </w:rPr>
              <w:t>2.723.490,88</w:t>
            </w:r>
          </w:p>
        </w:tc>
        <w:tc>
          <w:tcPr>
            <w:tcW w:w="1497" w:type="dxa"/>
            <w:tcBorders>
              <w:bottom w:val="single" w:sz="4" w:space="0" w:color="000000"/>
              <w:right w:val="single" w:sz="4" w:space="0" w:color="000000"/>
            </w:tcBorders>
            <w:shd w:val="clear" w:color="auto" w:fill="D9D9D9"/>
          </w:tcPr>
          <w:p>
            <w:pPr>
              <w:pStyle w:val="TableParagraph"/>
              <w:spacing w:before="27"/>
              <w:ind w:right="189"/>
              <w:jc w:val="right"/>
              <w:rPr>
                <w:b/>
                <w:sz w:val="13"/>
              </w:rPr>
            </w:pPr>
            <w:r>
              <w:rPr>
                <w:b/>
                <w:w w:val="105"/>
                <w:sz w:val="13"/>
              </w:rPr>
              <w:t>2.773.545,88</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7"/>
        </w:rPr>
      </w:pPr>
    </w:p>
    <w:p>
      <w:pPr>
        <w:pStyle w:val="BodyText"/>
        <w:spacing w:before="61"/>
        <w:ind w:left="7897"/>
        <w:jc w:val="center"/>
      </w:pPr>
      <w:r>
        <w:rPr/>
        <w:t>82</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75" name="image5.png"/>
                  <wp:cNvGraphicFramePr>
                    <a:graphicFrameLocks noChangeAspect="1"/>
                  </wp:cNvGraphicFramePr>
                  <a:graphic>
                    <a:graphicData uri="http://schemas.openxmlformats.org/drawingml/2006/picture">
                      <pic:pic>
                        <pic:nvPicPr>
                          <pic:cNvPr id="17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84/247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2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93"/>
        <w:gridCol w:w="2256"/>
        <w:gridCol w:w="1446"/>
      </w:tblGrid>
      <w:tr>
        <w:trPr>
          <w:trHeight w:val="225" w:hRule="atLeast"/>
        </w:trPr>
        <w:tc>
          <w:tcPr>
            <w:tcW w:w="3493" w:type="dxa"/>
            <w:tcBorders>
              <w:top w:val="single" w:sz="4" w:space="0" w:color="000000"/>
              <w:left w:val="single" w:sz="4" w:space="0" w:color="000000"/>
              <w:right w:val="single" w:sz="4" w:space="0" w:color="000000"/>
            </w:tcBorders>
          </w:tcPr>
          <w:p>
            <w:pPr>
              <w:pStyle w:val="TableParagraph"/>
              <w:spacing w:before="28"/>
              <w:ind w:left="57"/>
              <w:rPr>
                <w:b/>
                <w:sz w:val="13"/>
              </w:rPr>
            </w:pPr>
            <w:r>
              <w:rPr>
                <w:b/>
                <w:w w:val="105"/>
                <w:sz w:val="13"/>
              </w:rPr>
              <w:t>PATRIMONIO NETO Y PASIVO</w:t>
            </w:r>
          </w:p>
        </w:tc>
        <w:tc>
          <w:tcPr>
            <w:tcW w:w="2256" w:type="dxa"/>
            <w:tcBorders>
              <w:top w:val="single" w:sz="4" w:space="0" w:color="000000"/>
              <w:left w:val="single" w:sz="4" w:space="0" w:color="000000"/>
            </w:tcBorders>
          </w:tcPr>
          <w:p>
            <w:pPr>
              <w:pStyle w:val="TableParagraph"/>
              <w:rPr>
                <w:rFonts w:ascii="Times New Roman"/>
                <w:sz w:val="14"/>
              </w:rPr>
            </w:pPr>
          </w:p>
        </w:tc>
        <w:tc>
          <w:tcPr>
            <w:tcW w:w="1446" w:type="dxa"/>
            <w:tcBorders>
              <w:top w:val="single" w:sz="4" w:space="0" w:color="000000"/>
              <w:right w:val="single" w:sz="4" w:space="0" w:color="000000"/>
            </w:tcBorders>
          </w:tcPr>
          <w:p>
            <w:pPr>
              <w:pStyle w:val="TableParagraph"/>
              <w:rPr>
                <w:rFonts w:ascii="Times New Roman"/>
                <w:sz w:val="14"/>
              </w:rPr>
            </w:pPr>
          </w:p>
        </w:tc>
      </w:tr>
      <w:tr>
        <w:trPr>
          <w:trHeight w:val="213" w:hRule="atLeast"/>
        </w:trPr>
        <w:tc>
          <w:tcPr>
            <w:tcW w:w="3493" w:type="dxa"/>
            <w:tcBorders>
              <w:left w:val="single" w:sz="4" w:space="0" w:color="000000"/>
              <w:right w:val="single" w:sz="4" w:space="0" w:color="000000"/>
            </w:tcBorders>
          </w:tcPr>
          <w:p>
            <w:pPr>
              <w:pStyle w:val="TableParagraph"/>
              <w:spacing w:before="16"/>
              <w:ind w:left="57"/>
              <w:rPr>
                <w:sz w:val="13"/>
              </w:rPr>
            </w:pPr>
            <w:r>
              <w:rPr>
                <w:w w:val="105"/>
                <w:sz w:val="13"/>
              </w:rPr>
              <w:t>A) Patrimonio Neto</w:t>
            </w:r>
          </w:p>
        </w:tc>
        <w:tc>
          <w:tcPr>
            <w:tcW w:w="2256" w:type="dxa"/>
            <w:tcBorders>
              <w:left w:val="single" w:sz="4" w:space="0" w:color="000000"/>
            </w:tcBorders>
          </w:tcPr>
          <w:p>
            <w:pPr>
              <w:pStyle w:val="TableParagraph"/>
              <w:spacing w:before="16"/>
              <w:ind w:right="519"/>
              <w:jc w:val="right"/>
              <w:rPr>
                <w:b/>
                <w:sz w:val="13"/>
              </w:rPr>
            </w:pPr>
            <w:r>
              <w:rPr>
                <w:b/>
                <w:w w:val="105"/>
                <w:sz w:val="13"/>
              </w:rPr>
              <w:t>1.969.696,77</w:t>
            </w:r>
          </w:p>
        </w:tc>
        <w:tc>
          <w:tcPr>
            <w:tcW w:w="1446" w:type="dxa"/>
            <w:tcBorders>
              <w:right w:val="single" w:sz="4" w:space="0" w:color="000000"/>
            </w:tcBorders>
          </w:tcPr>
          <w:p>
            <w:pPr>
              <w:pStyle w:val="TableParagraph"/>
              <w:spacing w:before="16"/>
              <w:ind w:right="188"/>
              <w:jc w:val="right"/>
              <w:rPr>
                <w:b/>
                <w:sz w:val="13"/>
              </w:rPr>
            </w:pPr>
            <w:r>
              <w:rPr>
                <w:b/>
                <w:w w:val="105"/>
                <w:sz w:val="13"/>
              </w:rPr>
              <w:t>2.045.501,98</w:t>
            </w:r>
          </w:p>
        </w:tc>
      </w:tr>
      <w:tr>
        <w:trPr>
          <w:trHeight w:val="213" w:hRule="atLeast"/>
        </w:trPr>
        <w:tc>
          <w:tcPr>
            <w:tcW w:w="3493" w:type="dxa"/>
            <w:tcBorders>
              <w:left w:val="single" w:sz="4" w:space="0" w:color="000000"/>
              <w:right w:val="single" w:sz="4" w:space="0" w:color="000000"/>
            </w:tcBorders>
          </w:tcPr>
          <w:p>
            <w:pPr>
              <w:pStyle w:val="TableParagraph"/>
              <w:spacing w:before="16"/>
              <w:ind w:left="343"/>
              <w:rPr>
                <w:sz w:val="13"/>
              </w:rPr>
            </w:pPr>
            <w:r>
              <w:rPr>
                <w:w w:val="105"/>
                <w:sz w:val="13"/>
              </w:rPr>
              <w:t>I. Patrimonio aportado</w:t>
            </w:r>
          </w:p>
        </w:tc>
        <w:tc>
          <w:tcPr>
            <w:tcW w:w="2256" w:type="dxa"/>
            <w:tcBorders>
              <w:left w:val="single" w:sz="4" w:space="0" w:color="000000"/>
            </w:tcBorders>
          </w:tcPr>
          <w:p>
            <w:pPr>
              <w:pStyle w:val="TableParagraph"/>
              <w:spacing w:before="16"/>
              <w:ind w:right="519"/>
              <w:jc w:val="right"/>
              <w:rPr>
                <w:sz w:val="13"/>
              </w:rPr>
            </w:pPr>
            <w:r>
              <w:rPr>
                <w:w w:val="105"/>
                <w:sz w:val="13"/>
              </w:rPr>
              <w:t>1.531.761,34</w:t>
            </w:r>
          </w:p>
        </w:tc>
        <w:tc>
          <w:tcPr>
            <w:tcW w:w="1446" w:type="dxa"/>
            <w:tcBorders>
              <w:right w:val="single" w:sz="4" w:space="0" w:color="000000"/>
            </w:tcBorders>
          </w:tcPr>
          <w:p>
            <w:pPr>
              <w:pStyle w:val="TableParagraph"/>
              <w:spacing w:before="16"/>
              <w:ind w:right="188"/>
              <w:jc w:val="right"/>
              <w:rPr>
                <w:sz w:val="13"/>
              </w:rPr>
            </w:pPr>
            <w:r>
              <w:rPr>
                <w:w w:val="105"/>
                <w:sz w:val="13"/>
              </w:rPr>
              <w:t>1.535.018,25</w:t>
            </w:r>
          </w:p>
        </w:tc>
      </w:tr>
      <w:tr>
        <w:trPr>
          <w:trHeight w:val="214" w:hRule="atLeast"/>
        </w:trPr>
        <w:tc>
          <w:tcPr>
            <w:tcW w:w="3493" w:type="dxa"/>
            <w:tcBorders>
              <w:left w:val="single" w:sz="4" w:space="0" w:color="000000"/>
              <w:right w:val="single" w:sz="4" w:space="0" w:color="000000"/>
            </w:tcBorders>
          </w:tcPr>
          <w:p>
            <w:pPr>
              <w:pStyle w:val="TableParagraph"/>
              <w:spacing w:before="16"/>
              <w:ind w:left="343"/>
              <w:rPr>
                <w:sz w:val="13"/>
              </w:rPr>
            </w:pPr>
            <w:r>
              <w:rPr>
                <w:w w:val="105"/>
                <w:sz w:val="13"/>
              </w:rPr>
              <w:t>II. Patrimonio generado</w:t>
            </w:r>
          </w:p>
        </w:tc>
        <w:tc>
          <w:tcPr>
            <w:tcW w:w="2256" w:type="dxa"/>
            <w:tcBorders>
              <w:left w:val="single" w:sz="4" w:space="0" w:color="000000"/>
            </w:tcBorders>
          </w:tcPr>
          <w:p>
            <w:pPr>
              <w:pStyle w:val="TableParagraph"/>
              <w:spacing w:before="16"/>
              <w:ind w:right="519"/>
              <w:jc w:val="right"/>
              <w:rPr>
                <w:sz w:val="13"/>
              </w:rPr>
            </w:pPr>
            <w:r>
              <w:rPr>
                <w:w w:val="105"/>
                <w:sz w:val="13"/>
              </w:rPr>
              <w:t>255.447,39</w:t>
            </w:r>
          </w:p>
        </w:tc>
        <w:tc>
          <w:tcPr>
            <w:tcW w:w="1446" w:type="dxa"/>
            <w:tcBorders>
              <w:right w:val="single" w:sz="4" w:space="0" w:color="000000"/>
            </w:tcBorders>
          </w:tcPr>
          <w:p>
            <w:pPr>
              <w:pStyle w:val="TableParagraph"/>
              <w:spacing w:before="16"/>
              <w:ind w:right="188"/>
              <w:jc w:val="right"/>
              <w:rPr>
                <w:sz w:val="13"/>
              </w:rPr>
            </w:pPr>
            <w:r>
              <w:rPr>
                <w:w w:val="105"/>
                <w:sz w:val="13"/>
              </w:rPr>
              <w:t>229.721,70</w:t>
            </w:r>
          </w:p>
        </w:tc>
      </w:tr>
      <w:tr>
        <w:trPr>
          <w:trHeight w:val="214" w:hRule="atLeast"/>
        </w:trPr>
        <w:tc>
          <w:tcPr>
            <w:tcW w:w="3493" w:type="dxa"/>
            <w:tcBorders>
              <w:left w:val="single" w:sz="4" w:space="0" w:color="000000"/>
              <w:right w:val="single" w:sz="4" w:space="0" w:color="000000"/>
            </w:tcBorders>
          </w:tcPr>
          <w:p>
            <w:pPr>
              <w:pStyle w:val="TableParagraph"/>
              <w:spacing w:before="17"/>
              <w:ind w:left="343"/>
              <w:rPr>
                <w:sz w:val="13"/>
              </w:rPr>
            </w:pPr>
            <w:r>
              <w:rPr>
                <w:w w:val="105"/>
                <w:sz w:val="13"/>
              </w:rPr>
              <w:t>IV. Otros incrementos ptes. de imputar al resultado</w:t>
            </w:r>
          </w:p>
        </w:tc>
        <w:tc>
          <w:tcPr>
            <w:tcW w:w="2256" w:type="dxa"/>
            <w:tcBorders>
              <w:left w:val="single" w:sz="4" w:space="0" w:color="000000"/>
            </w:tcBorders>
          </w:tcPr>
          <w:p>
            <w:pPr>
              <w:pStyle w:val="TableParagraph"/>
              <w:spacing w:before="17"/>
              <w:ind w:right="519"/>
              <w:jc w:val="right"/>
              <w:rPr>
                <w:sz w:val="13"/>
              </w:rPr>
            </w:pPr>
            <w:r>
              <w:rPr>
                <w:w w:val="105"/>
                <w:sz w:val="13"/>
              </w:rPr>
              <w:t>262.493,21</w:t>
            </w:r>
          </w:p>
        </w:tc>
        <w:tc>
          <w:tcPr>
            <w:tcW w:w="1446" w:type="dxa"/>
            <w:tcBorders>
              <w:right w:val="single" w:sz="4" w:space="0" w:color="000000"/>
            </w:tcBorders>
          </w:tcPr>
          <w:p>
            <w:pPr>
              <w:pStyle w:val="TableParagraph"/>
              <w:spacing w:before="17"/>
              <w:ind w:right="188"/>
              <w:jc w:val="right"/>
              <w:rPr>
                <w:sz w:val="13"/>
              </w:rPr>
            </w:pPr>
            <w:r>
              <w:rPr>
                <w:w w:val="105"/>
                <w:sz w:val="13"/>
              </w:rPr>
              <w:t>218.784,14</w:t>
            </w:r>
          </w:p>
        </w:tc>
      </w:tr>
      <w:tr>
        <w:trPr>
          <w:trHeight w:val="213" w:hRule="atLeast"/>
        </w:trPr>
        <w:tc>
          <w:tcPr>
            <w:tcW w:w="3493" w:type="dxa"/>
            <w:tcBorders>
              <w:left w:val="single" w:sz="4" w:space="0" w:color="000000"/>
              <w:right w:val="single" w:sz="4" w:space="0" w:color="000000"/>
            </w:tcBorders>
          </w:tcPr>
          <w:p>
            <w:pPr>
              <w:pStyle w:val="TableParagraph"/>
              <w:spacing w:before="16"/>
              <w:ind w:left="343"/>
              <w:rPr>
                <w:sz w:val="13"/>
              </w:rPr>
            </w:pPr>
            <w:r>
              <w:rPr>
                <w:w w:val="105"/>
                <w:sz w:val="13"/>
              </w:rPr>
              <w:t>V. Resultado del ejercicio</w:t>
            </w:r>
          </w:p>
        </w:tc>
        <w:tc>
          <w:tcPr>
            <w:tcW w:w="2256" w:type="dxa"/>
            <w:tcBorders>
              <w:left w:val="single" w:sz="4" w:space="0" w:color="000000"/>
            </w:tcBorders>
          </w:tcPr>
          <w:p>
            <w:pPr>
              <w:pStyle w:val="TableParagraph"/>
              <w:spacing w:before="16"/>
              <w:ind w:right="519"/>
              <w:jc w:val="right"/>
              <w:rPr>
                <w:sz w:val="13"/>
              </w:rPr>
            </w:pPr>
            <w:r>
              <w:rPr>
                <w:sz w:val="13"/>
              </w:rPr>
              <w:t>-80.283,62</w:t>
            </w:r>
          </w:p>
        </w:tc>
        <w:tc>
          <w:tcPr>
            <w:tcW w:w="1446" w:type="dxa"/>
            <w:tcBorders>
              <w:right w:val="single" w:sz="4" w:space="0" w:color="000000"/>
            </w:tcBorders>
          </w:tcPr>
          <w:p>
            <w:pPr>
              <w:pStyle w:val="TableParagraph"/>
              <w:spacing w:before="16"/>
              <w:ind w:right="188"/>
              <w:jc w:val="right"/>
              <w:rPr>
                <w:sz w:val="13"/>
              </w:rPr>
            </w:pPr>
            <w:r>
              <w:rPr>
                <w:w w:val="105"/>
                <w:sz w:val="13"/>
              </w:rPr>
              <w:t>61.977,89</w:t>
            </w:r>
          </w:p>
        </w:tc>
      </w:tr>
      <w:tr>
        <w:trPr>
          <w:trHeight w:val="213" w:hRule="atLeast"/>
        </w:trPr>
        <w:tc>
          <w:tcPr>
            <w:tcW w:w="3493" w:type="dxa"/>
            <w:tcBorders>
              <w:left w:val="single" w:sz="4" w:space="0" w:color="000000"/>
              <w:right w:val="single" w:sz="4" w:space="0" w:color="000000"/>
            </w:tcBorders>
          </w:tcPr>
          <w:p>
            <w:pPr>
              <w:pStyle w:val="TableParagraph"/>
              <w:spacing w:before="16"/>
              <w:ind w:left="57"/>
              <w:rPr>
                <w:sz w:val="13"/>
              </w:rPr>
            </w:pPr>
            <w:r>
              <w:rPr>
                <w:w w:val="105"/>
                <w:sz w:val="13"/>
              </w:rPr>
              <w:t>B) Pasivo No Corriente</w:t>
            </w:r>
          </w:p>
        </w:tc>
        <w:tc>
          <w:tcPr>
            <w:tcW w:w="2256" w:type="dxa"/>
            <w:tcBorders>
              <w:left w:val="single" w:sz="4" w:space="0" w:color="000000"/>
            </w:tcBorders>
          </w:tcPr>
          <w:p>
            <w:pPr>
              <w:pStyle w:val="TableParagraph"/>
              <w:spacing w:before="16"/>
              <w:ind w:right="519"/>
              <w:jc w:val="right"/>
              <w:rPr>
                <w:b/>
                <w:sz w:val="13"/>
              </w:rPr>
            </w:pPr>
            <w:r>
              <w:rPr>
                <w:b/>
                <w:w w:val="105"/>
                <w:sz w:val="13"/>
              </w:rPr>
              <w:t>34.334,21</w:t>
            </w:r>
          </w:p>
        </w:tc>
        <w:tc>
          <w:tcPr>
            <w:tcW w:w="1446" w:type="dxa"/>
            <w:tcBorders>
              <w:right w:val="single" w:sz="4" w:space="0" w:color="000000"/>
            </w:tcBorders>
          </w:tcPr>
          <w:p>
            <w:pPr>
              <w:pStyle w:val="TableParagraph"/>
              <w:spacing w:before="16"/>
              <w:ind w:right="188"/>
              <w:jc w:val="right"/>
              <w:rPr>
                <w:b/>
                <w:sz w:val="13"/>
              </w:rPr>
            </w:pPr>
            <w:r>
              <w:rPr>
                <w:b/>
                <w:w w:val="105"/>
                <w:sz w:val="13"/>
              </w:rPr>
              <w:t>30.606,58</w:t>
            </w:r>
          </w:p>
        </w:tc>
      </w:tr>
      <w:tr>
        <w:trPr>
          <w:trHeight w:val="214" w:hRule="atLeast"/>
        </w:trPr>
        <w:tc>
          <w:tcPr>
            <w:tcW w:w="3493" w:type="dxa"/>
            <w:tcBorders>
              <w:left w:val="single" w:sz="4" w:space="0" w:color="000000"/>
              <w:right w:val="single" w:sz="4" w:space="0" w:color="000000"/>
            </w:tcBorders>
          </w:tcPr>
          <w:p>
            <w:pPr>
              <w:pStyle w:val="TableParagraph"/>
              <w:spacing w:before="16"/>
              <w:ind w:left="343"/>
              <w:rPr>
                <w:sz w:val="13"/>
              </w:rPr>
            </w:pPr>
            <w:r>
              <w:rPr>
                <w:w w:val="105"/>
                <w:sz w:val="13"/>
              </w:rPr>
              <w:t>I. Provisiones a L/P</w:t>
            </w:r>
          </w:p>
        </w:tc>
        <w:tc>
          <w:tcPr>
            <w:tcW w:w="2256" w:type="dxa"/>
            <w:tcBorders>
              <w:left w:val="single" w:sz="4" w:space="0" w:color="000000"/>
            </w:tcBorders>
          </w:tcPr>
          <w:p>
            <w:pPr>
              <w:pStyle w:val="TableParagraph"/>
              <w:spacing w:before="16"/>
              <w:ind w:right="519"/>
              <w:jc w:val="right"/>
              <w:rPr>
                <w:sz w:val="13"/>
              </w:rPr>
            </w:pPr>
            <w:r>
              <w:rPr>
                <w:w w:val="105"/>
                <w:sz w:val="13"/>
              </w:rPr>
              <w:t>19.829,42</w:t>
            </w:r>
          </w:p>
        </w:tc>
        <w:tc>
          <w:tcPr>
            <w:tcW w:w="1446" w:type="dxa"/>
            <w:tcBorders>
              <w:right w:val="single" w:sz="4" w:space="0" w:color="000000"/>
            </w:tcBorders>
          </w:tcPr>
          <w:p>
            <w:pPr>
              <w:pStyle w:val="TableParagraph"/>
              <w:spacing w:before="16"/>
              <w:ind w:right="188"/>
              <w:jc w:val="right"/>
              <w:rPr>
                <w:sz w:val="13"/>
              </w:rPr>
            </w:pPr>
            <w:r>
              <w:rPr>
                <w:w w:val="105"/>
                <w:sz w:val="13"/>
              </w:rPr>
              <w:t>14.669,74</w:t>
            </w:r>
          </w:p>
        </w:tc>
      </w:tr>
      <w:tr>
        <w:trPr>
          <w:trHeight w:val="214" w:hRule="atLeast"/>
        </w:trPr>
        <w:tc>
          <w:tcPr>
            <w:tcW w:w="3493" w:type="dxa"/>
            <w:tcBorders>
              <w:left w:val="single" w:sz="4" w:space="0" w:color="000000"/>
              <w:right w:val="single" w:sz="4" w:space="0" w:color="000000"/>
            </w:tcBorders>
          </w:tcPr>
          <w:p>
            <w:pPr>
              <w:pStyle w:val="TableParagraph"/>
              <w:spacing w:before="17"/>
              <w:ind w:left="343"/>
              <w:rPr>
                <w:sz w:val="13"/>
              </w:rPr>
            </w:pPr>
            <w:r>
              <w:rPr>
                <w:w w:val="105"/>
                <w:sz w:val="13"/>
              </w:rPr>
              <w:t>II. Deudas a L/P</w:t>
            </w:r>
          </w:p>
        </w:tc>
        <w:tc>
          <w:tcPr>
            <w:tcW w:w="2256" w:type="dxa"/>
            <w:tcBorders>
              <w:left w:val="single" w:sz="4" w:space="0" w:color="000000"/>
            </w:tcBorders>
          </w:tcPr>
          <w:p>
            <w:pPr>
              <w:pStyle w:val="TableParagraph"/>
              <w:spacing w:before="17"/>
              <w:ind w:right="519"/>
              <w:jc w:val="right"/>
              <w:rPr>
                <w:sz w:val="13"/>
              </w:rPr>
            </w:pPr>
            <w:r>
              <w:rPr>
                <w:w w:val="105"/>
                <w:sz w:val="13"/>
              </w:rPr>
              <w:t>14.504,80</w:t>
            </w:r>
          </w:p>
        </w:tc>
        <w:tc>
          <w:tcPr>
            <w:tcW w:w="1446" w:type="dxa"/>
            <w:tcBorders>
              <w:right w:val="single" w:sz="4" w:space="0" w:color="000000"/>
            </w:tcBorders>
          </w:tcPr>
          <w:p>
            <w:pPr>
              <w:pStyle w:val="TableParagraph"/>
              <w:spacing w:before="17"/>
              <w:ind w:right="188"/>
              <w:jc w:val="right"/>
              <w:rPr>
                <w:sz w:val="13"/>
              </w:rPr>
            </w:pPr>
            <w:r>
              <w:rPr>
                <w:w w:val="105"/>
                <w:sz w:val="13"/>
              </w:rPr>
              <w:t>15.936,84</w:t>
            </w:r>
          </w:p>
        </w:tc>
      </w:tr>
      <w:tr>
        <w:trPr>
          <w:trHeight w:val="213" w:hRule="atLeast"/>
        </w:trPr>
        <w:tc>
          <w:tcPr>
            <w:tcW w:w="3493" w:type="dxa"/>
            <w:tcBorders>
              <w:left w:val="single" w:sz="4" w:space="0" w:color="000000"/>
              <w:right w:val="single" w:sz="4" w:space="0" w:color="000000"/>
            </w:tcBorders>
          </w:tcPr>
          <w:p>
            <w:pPr>
              <w:pStyle w:val="TableParagraph"/>
              <w:spacing w:before="16"/>
              <w:ind w:left="57"/>
              <w:rPr>
                <w:sz w:val="13"/>
              </w:rPr>
            </w:pPr>
            <w:r>
              <w:rPr>
                <w:w w:val="105"/>
                <w:sz w:val="13"/>
              </w:rPr>
              <w:t>C) Pasivo Corriente</w:t>
            </w:r>
          </w:p>
        </w:tc>
        <w:tc>
          <w:tcPr>
            <w:tcW w:w="2256" w:type="dxa"/>
            <w:tcBorders>
              <w:left w:val="single" w:sz="4" w:space="0" w:color="000000"/>
            </w:tcBorders>
          </w:tcPr>
          <w:p>
            <w:pPr>
              <w:pStyle w:val="TableParagraph"/>
              <w:spacing w:before="16"/>
              <w:ind w:right="519"/>
              <w:jc w:val="right"/>
              <w:rPr>
                <w:b/>
                <w:sz w:val="13"/>
              </w:rPr>
            </w:pPr>
            <w:r>
              <w:rPr>
                <w:b/>
                <w:w w:val="105"/>
                <w:sz w:val="13"/>
              </w:rPr>
              <w:t>719.459,89</w:t>
            </w:r>
          </w:p>
        </w:tc>
        <w:tc>
          <w:tcPr>
            <w:tcW w:w="1446" w:type="dxa"/>
            <w:tcBorders>
              <w:right w:val="single" w:sz="4" w:space="0" w:color="000000"/>
            </w:tcBorders>
          </w:tcPr>
          <w:p>
            <w:pPr>
              <w:pStyle w:val="TableParagraph"/>
              <w:spacing w:before="16"/>
              <w:ind w:right="188"/>
              <w:jc w:val="right"/>
              <w:rPr>
                <w:b/>
                <w:sz w:val="13"/>
              </w:rPr>
            </w:pPr>
            <w:r>
              <w:rPr>
                <w:b/>
                <w:w w:val="105"/>
                <w:sz w:val="13"/>
              </w:rPr>
              <w:t>697.437,33</w:t>
            </w:r>
          </w:p>
        </w:tc>
      </w:tr>
      <w:tr>
        <w:trPr>
          <w:trHeight w:val="213" w:hRule="atLeast"/>
        </w:trPr>
        <w:tc>
          <w:tcPr>
            <w:tcW w:w="3493" w:type="dxa"/>
            <w:tcBorders>
              <w:left w:val="single" w:sz="4" w:space="0" w:color="000000"/>
              <w:right w:val="single" w:sz="4" w:space="0" w:color="000000"/>
            </w:tcBorders>
          </w:tcPr>
          <w:p>
            <w:pPr>
              <w:pStyle w:val="TableParagraph"/>
              <w:spacing w:before="16"/>
              <w:ind w:left="343"/>
              <w:rPr>
                <w:sz w:val="13"/>
              </w:rPr>
            </w:pPr>
            <w:r>
              <w:rPr>
                <w:w w:val="105"/>
                <w:sz w:val="13"/>
              </w:rPr>
              <w:t>I. Provisiones a C/P</w:t>
            </w:r>
          </w:p>
        </w:tc>
        <w:tc>
          <w:tcPr>
            <w:tcW w:w="2256" w:type="dxa"/>
            <w:tcBorders>
              <w:left w:val="single" w:sz="4" w:space="0" w:color="000000"/>
            </w:tcBorders>
          </w:tcPr>
          <w:p>
            <w:pPr>
              <w:pStyle w:val="TableParagraph"/>
              <w:spacing w:before="16"/>
              <w:ind w:right="518"/>
              <w:jc w:val="right"/>
              <w:rPr>
                <w:sz w:val="13"/>
              </w:rPr>
            </w:pPr>
            <w:r>
              <w:rPr>
                <w:w w:val="105"/>
                <w:sz w:val="13"/>
              </w:rPr>
              <w:t>4.718,39</w:t>
            </w:r>
          </w:p>
        </w:tc>
        <w:tc>
          <w:tcPr>
            <w:tcW w:w="1446" w:type="dxa"/>
            <w:tcBorders>
              <w:right w:val="single" w:sz="4" w:space="0" w:color="000000"/>
            </w:tcBorders>
          </w:tcPr>
          <w:p>
            <w:pPr>
              <w:pStyle w:val="TableParagraph"/>
              <w:spacing w:before="16"/>
              <w:ind w:right="188"/>
              <w:jc w:val="right"/>
              <w:rPr>
                <w:sz w:val="13"/>
              </w:rPr>
            </w:pPr>
            <w:r>
              <w:rPr>
                <w:w w:val="105"/>
                <w:sz w:val="13"/>
              </w:rPr>
              <w:t>8.183,84</w:t>
            </w:r>
          </w:p>
        </w:tc>
      </w:tr>
      <w:tr>
        <w:trPr>
          <w:trHeight w:val="214" w:hRule="atLeast"/>
        </w:trPr>
        <w:tc>
          <w:tcPr>
            <w:tcW w:w="3493" w:type="dxa"/>
            <w:tcBorders>
              <w:left w:val="single" w:sz="4" w:space="0" w:color="000000"/>
              <w:right w:val="single" w:sz="4" w:space="0" w:color="000000"/>
            </w:tcBorders>
          </w:tcPr>
          <w:p>
            <w:pPr>
              <w:pStyle w:val="TableParagraph"/>
              <w:spacing w:before="16"/>
              <w:ind w:left="343"/>
              <w:rPr>
                <w:sz w:val="13"/>
              </w:rPr>
            </w:pPr>
            <w:r>
              <w:rPr>
                <w:w w:val="105"/>
                <w:sz w:val="13"/>
              </w:rPr>
              <w:t>II. Deudas a corto plazo</w:t>
            </w:r>
          </w:p>
        </w:tc>
        <w:tc>
          <w:tcPr>
            <w:tcW w:w="2256" w:type="dxa"/>
            <w:tcBorders>
              <w:left w:val="single" w:sz="4" w:space="0" w:color="000000"/>
            </w:tcBorders>
          </w:tcPr>
          <w:p>
            <w:pPr>
              <w:pStyle w:val="TableParagraph"/>
              <w:spacing w:before="16"/>
              <w:ind w:right="520"/>
              <w:jc w:val="right"/>
              <w:rPr>
                <w:sz w:val="13"/>
              </w:rPr>
            </w:pPr>
            <w:r>
              <w:rPr>
                <w:sz w:val="13"/>
              </w:rPr>
              <w:t>0,00</w:t>
            </w:r>
          </w:p>
        </w:tc>
        <w:tc>
          <w:tcPr>
            <w:tcW w:w="1446" w:type="dxa"/>
            <w:tcBorders>
              <w:right w:val="single" w:sz="4" w:space="0" w:color="000000"/>
            </w:tcBorders>
          </w:tcPr>
          <w:p>
            <w:pPr>
              <w:pStyle w:val="TableParagraph"/>
              <w:spacing w:before="16"/>
              <w:ind w:right="188"/>
              <w:jc w:val="right"/>
              <w:rPr>
                <w:sz w:val="13"/>
              </w:rPr>
            </w:pPr>
            <w:r>
              <w:rPr>
                <w:sz w:val="13"/>
              </w:rPr>
              <w:t>0,00</w:t>
            </w:r>
          </w:p>
        </w:tc>
      </w:tr>
      <w:tr>
        <w:trPr>
          <w:trHeight w:val="202" w:hRule="atLeast"/>
        </w:trPr>
        <w:tc>
          <w:tcPr>
            <w:tcW w:w="3493" w:type="dxa"/>
            <w:tcBorders>
              <w:left w:val="single" w:sz="4" w:space="0" w:color="000000"/>
              <w:right w:val="single" w:sz="4" w:space="0" w:color="000000"/>
            </w:tcBorders>
          </w:tcPr>
          <w:p>
            <w:pPr>
              <w:pStyle w:val="TableParagraph"/>
              <w:spacing w:before="18"/>
              <w:ind w:left="343"/>
              <w:rPr>
                <w:sz w:val="13"/>
              </w:rPr>
            </w:pPr>
            <w:r>
              <w:rPr>
                <w:w w:val="105"/>
                <w:sz w:val="13"/>
              </w:rPr>
              <w:t>IV. Acreedores y otras cuentas a pagar</w:t>
            </w:r>
          </w:p>
        </w:tc>
        <w:tc>
          <w:tcPr>
            <w:tcW w:w="2256" w:type="dxa"/>
            <w:tcBorders>
              <w:left w:val="single" w:sz="4" w:space="0" w:color="000000"/>
            </w:tcBorders>
          </w:tcPr>
          <w:p>
            <w:pPr>
              <w:pStyle w:val="TableParagraph"/>
              <w:spacing w:before="18"/>
              <w:ind w:right="519"/>
              <w:jc w:val="right"/>
              <w:rPr>
                <w:sz w:val="13"/>
              </w:rPr>
            </w:pPr>
            <w:r>
              <w:rPr>
                <w:w w:val="105"/>
                <w:sz w:val="13"/>
              </w:rPr>
              <w:t>714.741,50</w:t>
            </w:r>
          </w:p>
        </w:tc>
        <w:tc>
          <w:tcPr>
            <w:tcW w:w="1446" w:type="dxa"/>
            <w:tcBorders>
              <w:right w:val="single" w:sz="4" w:space="0" w:color="000000"/>
            </w:tcBorders>
          </w:tcPr>
          <w:p>
            <w:pPr>
              <w:pStyle w:val="TableParagraph"/>
              <w:spacing w:before="18"/>
              <w:ind w:right="188"/>
              <w:jc w:val="right"/>
              <w:rPr>
                <w:sz w:val="13"/>
              </w:rPr>
            </w:pPr>
            <w:r>
              <w:rPr>
                <w:w w:val="105"/>
                <w:sz w:val="13"/>
              </w:rPr>
              <w:t>689.253,49</w:t>
            </w:r>
          </w:p>
        </w:tc>
      </w:tr>
      <w:tr>
        <w:trPr>
          <w:trHeight w:val="214" w:hRule="atLeast"/>
        </w:trPr>
        <w:tc>
          <w:tcPr>
            <w:tcW w:w="3493" w:type="dxa"/>
            <w:tcBorders>
              <w:left w:val="single" w:sz="4" w:space="0" w:color="000000"/>
              <w:bottom w:val="single" w:sz="4" w:space="0" w:color="000000"/>
              <w:right w:val="single" w:sz="4" w:space="0" w:color="000000"/>
            </w:tcBorders>
            <w:shd w:val="clear" w:color="auto" w:fill="D9D9D9"/>
          </w:tcPr>
          <w:p>
            <w:pPr>
              <w:pStyle w:val="TableParagraph"/>
              <w:spacing w:before="29"/>
              <w:ind w:left="57"/>
              <w:rPr>
                <w:b/>
                <w:sz w:val="13"/>
              </w:rPr>
            </w:pPr>
            <w:r>
              <w:rPr>
                <w:b/>
                <w:w w:val="105"/>
                <w:sz w:val="13"/>
              </w:rPr>
              <w:t>Total (A+B+C) - Miles de €</w:t>
            </w:r>
          </w:p>
        </w:tc>
        <w:tc>
          <w:tcPr>
            <w:tcW w:w="2256" w:type="dxa"/>
            <w:tcBorders>
              <w:left w:val="single" w:sz="4" w:space="0" w:color="000000"/>
              <w:bottom w:val="single" w:sz="4" w:space="0" w:color="000000"/>
            </w:tcBorders>
            <w:shd w:val="clear" w:color="auto" w:fill="D9D9D9"/>
          </w:tcPr>
          <w:p>
            <w:pPr>
              <w:pStyle w:val="TableParagraph"/>
              <w:spacing w:before="29"/>
              <w:ind w:right="519"/>
              <w:jc w:val="right"/>
              <w:rPr>
                <w:b/>
                <w:sz w:val="13"/>
              </w:rPr>
            </w:pPr>
            <w:r>
              <w:rPr>
                <w:b/>
                <w:w w:val="105"/>
                <w:sz w:val="13"/>
              </w:rPr>
              <w:t>2.723.490,88</w:t>
            </w:r>
          </w:p>
        </w:tc>
        <w:tc>
          <w:tcPr>
            <w:tcW w:w="1446" w:type="dxa"/>
            <w:tcBorders>
              <w:bottom w:val="single" w:sz="4" w:space="0" w:color="000000"/>
              <w:right w:val="single" w:sz="4" w:space="0" w:color="000000"/>
            </w:tcBorders>
            <w:shd w:val="clear" w:color="auto" w:fill="D9D9D9"/>
          </w:tcPr>
          <w:p>
            <w:pPr>
              <w:pStyle w:val="TableParagraph"/>
              <w:spacing w:before="29"/>
              <w:ind w:right="188"/>
              <w:jc w:val="right"/>
              <w:rPr>
                <w:b/>
                <w:sz w:val="13"/>
              </w:rPr>
            </w:pPr>
            <w:r>
              <w:rPr>
                <w:b/>
                <w:w w:val="105"/>
                <w:sz w:val="13"/>
              </w:rPr>
              <w:t>2.773.545,88</w:t>
            </w:r>
          </w:p>
        </w:tc>
      </w:tr>
    </w:tbl>
    <w:p>
      <w:pPr>
        <w:pStyle w:val="BodyText"/>
        <w:spacing w:before="4"/>
        <w:rPr>
          <w:b/>
          <w:sz w:val="13"/>
        </w:rPr>
      </w:pPr>
    </w:p>
    <w:tbl>
      <w:tblPr>
        <w:tblW w:w="0" w:type="auto"/>
        <w:jc w:val="left"/>
        <w:tblInd w:w="3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1948"/>
        <w:gridCol w:w="1303"/>
      </w:tblGrid>
      <w:tr>
        <w:trPr>
          <w:trHeight w:val="288" w:hRule="atLeast"/>
        </w:trPr>
        <w:tc>
          <w:tcPr>
            <w:tcW w:w="1537"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948" w:type="dxa"/>
            <w:tcBorders>
              <w:top w:val="single" w:sz="4" w:space="0" w:color="000000"/>
              <w:left w:val="single" w:sz="4" w:space="0" w:color="000000"/>
              <w:bottom w:val="single" w:sz="4" w:space="0" w:color="000000"/>
            </w:tcBorders>
            <w:shd w:val="clear" w:color="auto" w:fill="DEEAF6"/>
          </w:tcPr>
          <w:p>
            <w:pPr>
              <w:pStyle w:val="TableParagraph"/>
              <w:spacing w:before="64"/>
              <w:ind w:left="892"/>
              <w:rPr>
                <w:b/>
                <w:sz w:val="13"/>
              </w:rPr>
            </w:pPr>
            <w:r>
              <w:rPr>
                <w:b/>
                <w:w w:val="105"/>
                <w:sz w:val="13"/>
              </w:rPr>
              <w:t>Balance</w:t>
            </w:r>
          </w:p>
        </w:tc>
        <w:tc>
          <w:tcPr>
            <w:tcW w:w="1303" w:type="dxa"/>
            <w:tcBorders>
              <w:top w:val="single" w:sz="4" w:space="0" w:color="000000"/>
              <w:bottom w:val="single" w:sz="4" w:space="0" w:color="000000"/>
              <w:right w:val="single" w:sz="4" w:space="0" w:color="000000"/>
            </w:tcBorders>
            <w:shd w:val="clear" w:color="auto" w:fill="DEEAF6"/>
          </w:tcPr>
          <w:p>
            <w:pPr>
              <w:pStyle w:val="TableParagraph"/>
              <w:spacing w:before="64"/>
              <w:ind w:left="473" w:right="179"/>
              <w:jc w:val="center"/>
              <w:rPr>
                <w:b/>
                <w:sz w:val="13"/>
              </w:rPr>
            </w:pPr>
            <w:r>
              <w:rPr>
                <w:b/>
                <w:w w:val="105"/>
                <w:sz w:val="13"/>
              </w:rPr>
              <w:t>% del total</w:t>
            </w:r>
          </w:p>
        </w:tc>
      </w:tr>
      <w:tr>
        <w:trPr>
          <w:trHeight w:val="222" w:hRule="atLeast"/>
        </w:trPr>
        <w:tc>
          <w:tcPr>
            <w:tcW w:w="1537" w:type="dxa"/>
            <w:tcBorders>
              <w:left w:val="single" w:sz="4" w:space="0" w:color="000000"/>
              <w:right w:val="single" w:sz="4" w:space="0" w:color="000000"/>
            </w:tcBorders>
          </w:tcPr>
          <w:p>
            <w:pPr>
              <w:pStyle w:val="TableParagraph"/>
              <w:spacing w:before="26"/>
              <w:ind w:left="57"/>
              <w:rPr>
                <w:b/>
                <w:sz w:val="13"/>
              </w:rPr>
            </w:pPr>
            <w:r>
              <w:rPr>
                <w:b/>
                <w:w w:val="105"/>
                <w:sz w:val="13"/>
              </w:rPr>
              <w:t>ICAP</w:t>
            </w:r>
          </w:p>
        </w:tc>
        <w:tc>
          <w:tcPr>
            <w:tcW w:w="1948" w:type="dxa"/>
            <w:tcBorders>
              <w:top w:val="single" w:sz="4" w:space="0" w:color="000000"/>
              <w:left w:val="single" w:sz="4" w:space="0" w:color="000000"/>
            </w:tcBorders>
          </w:tcPr>
          <w:p>
            <w:pPr>
              <w:pStyle w:val="TableParagraph"/>
              <w:spacing w:before="26"/>
              <w:ind w:right="486"/>
              <w:jc w:val="right"/>
              <w:rPr>
                <w:sz w:val="13"/>
              </w:rPr>
            </w:pPr>
            <w:r>
              <w:rPr>
                <w:w w:val="105"/>
                <w:sz w:val="13"/>
              </w:rPr>
              <w:t>11.093,28</w:t>
            </w:r>
          </w:p>
        </w:tc>
        <w:tc>
          <w:tcPr>
            <w:tcW w:w="1303" w:type="dxa"/>
            <w:tcBorders>
              <w:top w:val="single" w:sz="4" w:space="0" w:color="000000"/>
              <w:right w:val="single" w:sz="4" w:space="0" w:color="000000"/>
            </w:tcBorders>
          </w:tcPr>
          <w:p>
            <w:pPr>
              <w:pStyle w:val="TableParagraph"/>
              <w:spacing w:before="26"/>
              <w:ind w:left="473" w:right="178"/>
              <w:jc w:val="center"/>
              <w:rPr>
                <w:sz w:val="13"/>
              </w:rPr>
            </w:pPr>
            <w:r>
              <w:rPr>
                <w:w w:val="105"/>
                <w:sz w:val="13"/>
              </w:rPr>
              <w:t>0,43%</w:t>
            </w:r>
          </w:p>
        </w:tc>
      </w:tr>
      <w:tr>
        <w:trPr>
          <w:trHeight w:val="211" w:hRule="atLeast"/>
        </w:trPr>
        <w:tc>
          <w:tcPr>
            <w:tcW w:w="1537" w:type="dxa"/>
            <w:tcBorders>
              <w:left w:val="single" w:sz="4" w:space="0" w:color="000000"/>
              <w:right w:val="single" w:sz="4" w:space="0" w:color="000000"/>
            </w:tcBorders>
          </w:tcPr>
          <w:p>
            <w:pPr>
              <w:pStyle w:val="TableParagraph"/>
              <w:spacing w:before="15"/>
              <w:ind w:left="57"/>
              <w:rPr>
                <w:b/>
                <w:sz w:val="13"/>
              </w:rPr>
            </w:pPr>
            <w:r>
              <w:rPr>
                <w:b/>
                <w:w w:val="105"/>
                <w:sz w:val="13"/>
              </w:rPr>
              <w:t>ISTAC</w:t>
            </w:r>
          </w:p>
        </w:tc>
        <w:tc>
          <w:tcPr>
            <w:tcW w:w="1948" w:type="dxa"/>
            <w:tcBorders>
              <w:left w:val="single" w:sz="4" w:space="0" w:color="000000"/>
            </w:tcBorders>
          </w:tcPr>
          <w:p>
            <w:pPr>
              <w:pStyle w:val="TableParagraph"/>
              <w:spacing w:before="15"/>
              <w:ind w:right="486"/>
              <w:jc w:val="right"/>
              <w:rPr>
                <w:sz w:val="13"/>
              </w:rPr>
            </w:pPr>
            <w:r>
              <w:rPr>
                <w:w w:val="105"/>
                <w:sz w:val="13"/>
              </w:rPr>
              <w:t>13.627,68</w:t>
            </w:r>
          </w:p>
        </w:tc>
        <w:tc>
          <w:tcPr>
            <w:tcW w:w="1303" w:type="dxa"/>
            <w:tcBorders>
              <w:right w:val="single" w:sz="4" w:space="0" w:color="000000"/>
            </w:tcBorders>
          </w:tcPr>
          <w:p>
            <w:pPr>
              <w:pStyle w:val="TableParagraph"/>
              <w:spacing w:before="15"/>
              <w:ind w:left="473" w:right="178"/>
              <w:jc w:val="center"/>
              <w:rPr>
                <w:sz w:val="13"/>
              </w:rPr>
            </w:pPr>
            <w:r>
              <w:rPr>
                <w:w w:val="105"/>
                <w:sz w:val="13"/>
              </w:rPr>
              <w:t>0,53%</w:t>
            </w:r>
          </w:p>
        </w:tc>
      </w:tr>
      <w:tr>
        <w:trPr>
          <w:trHeight w:val="211" w:hRule="atLeast"/>
        </w:trPr>
        <w:tc>
          <w:tcPr>
            <w:tcW w:w="1537" w:type="dxa"/>
            <w:tcBorders>
              <w:left w:val="single" w:sz="4" w:space="0" w:color="000000"/>
              <w:right w:val="single" w:sz="4" w:space="0" w:color="000000"/>
            </w:tcBorders>
          </w:tcPr>
          <w:p>
            <w:pPr>
              <w:pStyle w:val="TableParagraph"/>
              <w:spacing w:before="15"/>
              <w:ind w:left="57"/>
              <w:rPr>
                <w:b/>
                <w:sz w:val="13"/>
              </w:rPr>
            </w:pPr>
            <w:r>
              <w:rPr>
                <w:b/>
                <w:w w:val="105"/>
                <w:sz w:val="13"/>
              </w:rPr>
              <w:t>SCE</w:t>
            </w:r>
          </w:p>
        </w:tc>
        <w:tc>
          <w:tcPr>
            <w:tcW w:w="1948" w:type="dxa"/>
            <w:tcBorders>
              <w:left w:val="single" w:sz="4" w:space="0" w:color="000000"/>
            </w:tcBorders>
          </w:tcPr>
          <w:p>
            <w:pPr>
              <w:pStyle w:val="TableParagraph"/>
              <w:spacing w:before="15"/>
              <w:ind w:right="486"/>
              <w:jc w:val="right"/>
              <w:rPr>
                <w:sz w:val="13"/>
              </w:rPr>
            </w:pPr>
            <w:r>
              <w:rPr>
                <w:w w:val="105"/>
                <w:sz w:val="13"/>
              </w:rPr>
              <w:t>466.899,01</w:t>
            </w:r>
          </w:p>
        </w:tc>
        <w:tc>
          <w:tcPr>
            <w:tcW w:w="1303" w:type="dxa"/>
            <w:tcBorders>
              <w:right w:val="single" w:sz="4" w:space="0" w:color="000000"/>
            </w:tcBorders>
          </w:tcPr>
          <w:p>
            <w:pPr>
              <w:pStyle w:val="TableParagraph"/>
              <w:spacing w:before="15"/>
              <w:ind w:left="472" w:right="179"/>
              <w:jc w:val="center"/>
              <w:rPr>
                <w:sz w:val="13"/>
              </w:rPr>
            </w:pPr>
            <w:r>
              <w:rPr>
                <w:w w:val="105"/>
                <w:sz w:val="13"/>
              </w:rPr>
              <w:t>18,08%</w:t>
            </w:r>
          </w:p>
        </w:tc>
      </w:tr>
      <w:tr>
        <w:trPr>
          <w:trHeight w:val="211" w:hRule="atLeast"/>
        </w:trPr>
        <w:tc>
          <w:tcPr>
            <w:tcW w:w="1537" w:type="dxa"/>
            <w:tcBorders>
              <w:left w:val="single" w:sz="4" w:space="0" w:color="000000"/>
              <w:right w:val="single" w:sz="4" w:space="0" w:color="000000"/>
            </w:tcBorders>
          </w:tcPr>
          <w:p>
            <w:pPr>
              <w:pStyle w:val="TableParagraph"/>
              <w:spacing w:before="15"/>
              <w:ind w:left="57"/>
              <w:rPr>
                <w:b/>
                <w:sz w:val="13"/>
              </w:rPr>
            </w:pPr>
            <w:r>
              <w:rPr>
                <w:b/>
                <w:w w:val="105"/>
                <w:sz w:val="13"/>
              </w:rPr>
              <w:t>ICIA</w:t>
            </w:r>
          </w:p>
        </w:tc>
        <w:tc>
          <w:tcPr>
            <w:tcW w:w="1948" w:type="dxa"/>
            <w:tcBorders>
              <w:left w:val="single" w:sz="4" w:space="0" w:color="000000"/>
            </w:tcBorders>
          </w:tcPr>
          <w:p>
            <w:pPr>
              <w:pStyle w:val="TableParagraph"/>
              <w:spacing w:before="15"/>
              <w:ind w:right="486"/>
              <w:jc w:val="right"/>
              <w:rPr>
                <w:sz w:val="13"/>
              </w:rPr>
            </w:pPr>
            <w:r>
              <w:rPr>
                <w:w w:val="105"/>
                <w:sz w:val="13"/>
              </w:rPr>
              <w:t>46.280,42</w:t>
            </w:r>
          </w:p>
        </w:tc>
        <w:tc>
          <w:tcPr>
            <w:tcW w:w="1303" w:type="dxa"/>
            <w:tcBorders>
              <w:right w:val="single" w:sz="4" w:space="0" w:color="000000"/>
            </w:tcBorders>
          </w:tcPr>
          <w:p>
            <w:pPr>
              <w:pStyle w:val="TableParagraph"/>
              <w:spacing w:before="15"/>
              <w:ind w:left="473" w:right="178"/>
              <w:jc w:val="center"/>
              <w:rPr>
                <w:sz w:val="13"/>
              </w:rPr>
            </w:pPr>
            <w:r>
              <w:rPr>
                <w:w w:val="105"/>
                <w:sz w:val="13"/>
              </w:rPr>
              <w:t>1,79%</w:t>
            </w:r>
          </w:p>
        </w:tc>
      </w:tr>
      <w:tr>
        <w:trPr>
          <w:trHeight w:val="199" w:hRule="atLeast"/>
        </w:trPr>
        <w:tc>
          <w:tcPr>
            <w:tcW w:w="1537" w:type="dxa"/>
            <w:tcBorders>
              <w:left w:val="single" w:sz="4" w:space="0" w:color="000000"/>
              <w:right w:val="single" w:sz="4" w:space="0" w:color="000000"/>
            </w:tcBorders>
          </w:tcPr>
          <w:p>
            <w:pPr>
              <w:pStyle w:val="TableParagraph"/>
              <w:spacing w:before="15"/>
              <w:ind w:left="57"/>
              <w:rPr>
                <w:b/>
                <w:sz w:val="13"/>
              </w:rPr>
            </w:pPr>
            <w:r>
              <w:rPr>
                <w:b/>
                <w:w w:val="105"/>
                <w:sz w:val="13"/>
              </w:rPr>
              <w:t>ICHH</w:t>
            </w:r>
          </w:p>
        </w:tc>
        <w:tc>
          <w:tcPr>
            <w:tcW w:w="1948" w:type="dxa"/>
            <w:tcBorders>
              <w:left w:val="single" w:sz="4" w:space="0" w:color="000000"/>
            </w:tcBorders>
          </w:tcPr>
          <w:p>
            <w:pPr>
              <w:pStyle w:val="TableParagraph"/>
              <w:spacing w:before="15"/>
              <w:ind w:right="486"/>
              <w:jc w:val="right"/>
              <w:rPr>
                <w:sz w:val="13"/>
              </w:rPr>
            </w:pPr>
            <w:r>
              <w:rPr>
                <w:w w:val="105"/>
                <w:sz w:val="13"/>
              </w:rPr>
              <w:t>11.911,20</w:t>
            </w:r>
          </w:p>
        </w:tc>
        <w:tc>
          <w:tcPr>
            <w:tcW w:w="1303" w:type="dxa"/>
            <w:tcBorders>
              <w:right w:val="single" w:sz="4" w:space="0" w:color="000000"/>
            </w:tcBorders>
          </w:tcPr>
          <w:p>
            <w:pPr>
              <w:pStyle w:val="TableParagraph"/>
              <w:spacing w:before="15"/>
              <w:ind w:left="473" w:right="178"/>
              <w:jc w:val="center"/>
              <w:rPr>
                <w:sz w:val="13"/>
              </w:rPr>
            </w:pPr>
            <w:r>
              <w:rPr>
                <w:w w:val="105"/>
                <w:sz w:val="13"/>
              </w:rPr>
              <w:t>0,46%</w:t>
            </w:r>
          </w:p>
        </w:tc>
      </w:tr>
      <w:tr>
        <w:trPr>
          <w:trHeight w:val="211" w:hRule="atLeast"/>
        </w:trPr>
        <w:tc>
          <w:tcPr>
            <w:tcW w:w="1537" w:type="dxa"/>
            <w:tcBorders>
              <w:left w:val="single" w:sz="4" w:space="0" w:color="000000"/>
              <w:right w:val="single" w:sz="4" w:space="0" w:color="000000"/>
            </w:tcBorders>
            <w:shd w:val="clear" w:color="auto" w:fill="F1F1F1"/>
          </w:tcPr>
          <w:p>
            <w:pPr>
              <w:pStyle w:val="TableParagraph"/>
              <w:spacing w:before="27"/>
              <w:ind w:left="57"/>
              <w:rPr>
                <w:b/>
                <w:sz w:val="13"/>
              </w:rPr>
            </w:pPr>
            <w:r>
              <w:rPr>
                <w:b/>
                <w:w w:val="105"/>
                <w:sz w:val="13"/>
              </w:rPr>
              <w:t>SCS</w:t>
            </w:r>
          </w:p>
        </w:tc>
        <w:tc>
          <w:tcPr>
            <w:tcW w:w="1948" w:type="dxa"/>
            <w:tcBorders>
              <w:left w:val="single" w:sz="4" w:space="0" w:color="000000"/>
            </w:tcBorders>
            <w:shd w:val="clear" w:color="auto" w:fill="F1F1F1"/>
          </w:tcPr>
          <w:p>
            <w:pPr>
              <w:pStyle w:val="TableParagraph"/>
              <w:spacing w:before="27"/>
              <w:ind w:right="486"/>
              <w:jc w:val="right"/>
              <w:rPr>
                <w:b/>
                <w:sz w:val="13"/>
              </w:rPr>
            </w:pPr>
            <w:r>
              <w:rPr>
                <w:b/>
                <w:w w:val="105"/>
                <w:sz w:val="13"/>
              </w:rPr>
              <w:t>1.361.148,30</w:t>
            </w:r>
          </w:p>
        </w:tc>
        <w:tc>
          <w:tcPr>
            <w:tcW w:w="1303" w:type="dxa"/>
            <w:tcBorders>
              <w:right w:val="single" w:sz="4" w:space="0" w:color="000000"/>
            </w:tcBorders>
            <w:shd w:val="clear" w:color="auto" w:fill="F1F1F1"/>
          </w:tcPr>
          <w:p>
            <w:pPr>
              <w:pStyle w:val="TableParagraph"/>
              <w:spacing w:before="27"/>
              <w:ind w:left="472" w:right="179"/>
              <w:jc w:val="center"/>
              <w:rPr>
                <w:b/>
                <w:sz w:val="13"/>
              </w:rPr>
            </w:pPr>
            <w:r>
              <w:rPr>
                <w:b/>
                <w:w w:val="105"/>
                <w:sz w:val="13"/>
              </w:rPr>
              <w:t>52,72%</w:t>
            </w:r>
          </w:p>
        </w:tc>
      </w:tr>
      <w:tr>
        <w:trPr>
          <w:trHeight w:val="223" w:hRule="atLeast"/>
        </w:trPr>
        <w:tc>
          <w:tcPr>
            <w:tcW w:w="1537" w:type="dxa"/>
            <w:tcBorders>
              <w:left w:val="single" w:sz="4" w:space="0" w:color="000000"/>
              <w:right w:val="single" w:sz="4" w:space="0" w:color="000000"/>
            </w:tcBorders>
          </w:tcPr>
          <w:p>
            <w:pPr>
              <w:pStyle w:val="TableParagraph"/>
              <w:spacing w:before="27"/>
              <w:ind w:left="57"/>
              <w:rPr>
                <w:b/>
                <w:sz w:val="13"/>
              </w:rPr>
            </w:pPr>
            <w:r>
              <w:rPr>
                <w:b/>
                <w:w w:val="105"/>
                <w:sz w:val="13"/>
              </w:rPr>
              <w:t>ACCUEE</w:t>
            </w:r>
          </w:p>
        </w:tc>
        <w:tc>
          <w:tcPr>
            <w:tcW w:w="1948" w:type="dxa"/>
            <w:tcBorders>
              <w:left w:val="single" w:sz="4" w:space="0" w:color="000000"/>
            </w:tcBorders>
          </w:tcPr>
          <w:p>
            <w:pPr>
              <w:pStyle w:val="TableParagraph"/>
              <w:spacing w:before="27"/>
              <w:ind w:right="486"/>
              <w:jc w:val="right"/>
              <w:rPr>
                <w:sz w:val="13"/>
              </w:rPr>
            </w:pPr>
            <w:r>
              <w:rPr>
                <w:w w:val="105"/>
                <w:sz w:val="13"/>
              </w:rPr>
              <w:t>1.834,78</w:t>
            </w:r>
          </w:p>
        </w:tc>
        <w:tc>
          <w:tcPr>
            <w:tcW w:w="1303" w:type="dxa"/>
            <w:tcBorders>
              <w:right w:val="single" w:sz="4" w:space="0" w:color="000000"/>
            </w:tcBorders>
          </w:tcPr>
          <w:p>
            <w:pPr>
              <w:pStyle w:val="TableParagraph"/>
              <w:spacing w:before="27"/>
              <w:ind w:left="473" w:right="178"/>
              <w:jc w:val="center"/>
              <w:rPr>
                <w:sz w:val="13"/>
              </w:rPr>
            </w:pPr>
            <w:r>
              <w:rPr>
                <w:w w:val="105"/>
                <w:sz w:val="13"/>
              </w:rPr>
              <w:t>0,07%</w:t>
            </w:r>
          </w:p>
        </w:tc>
      </w:tr>
      <w:tr>
        <w:trPr>
          <w:trHeight w:val="211" w:hRule="atLeast"/>
        </w:trPr>
        <w:tc>
          <w:tcPr>
            <w:tcW w:w="1537" w:type="dxa"/>
            <w:tcBorders>
              <w:left w:val="single" w:sz="4" w:space="0" w:color="000000"/>
              <w:right w:val="single" w:sz="4" w:space="0" w:color="000000"/>
            </w:tcBorders>
          </w:tcPr>
          <w:p>
            <w:pPr>
              <w:pStyle w:val="TableParagraph"/>
              <w:spacing w:before="15"/>
              <w:ind w:left="57"/>
              <w:rPr>
                <w:b/>
                <w:sz w:val="13"/>
              </w:rPr>
            </w:pPr>
            <w:r>
              <w:rPr>
                <w:b/>
                <w:w w:val="105"/>
                <w:sz w:val="13"/>
              </w:rPr>
              <w:t>ICAVI</w:t>
            </w:r>
          </w:p>
        </w:tc>
        <w:tc>
          <w:tcPr>
            <w:tcW w:w="1948" w:type="dxa"/>
            <w:tcBorders>
              <w:left w:val="single" w:sz="4" w:space="0" w:color="000000"/>
            </w:tcBorders>
          </w:tcPr>
          <w:p>
            <w:pPr>
              <w:pStyle w:val="TableParagraph"/>
              <w:spacing w:before="15"/>
              <w:ind w:right="486"/>
              <w:jc w:val="right"/>
              <w:rPr>
                <w:sz w:val="13"/>
              </w:rPr>
            </w:pPr>
            <w:r>
              <w:rPr>
                <w:w w:val="105"/>
                <w:sz w:val="13"/>
              </w:rPr>
              <w:t>658.900,88</w:t>
            </w:r>
          </w:p>
        </w:tc>
        <w:tc>
          <w:tcPr>
            <w:tcW w:w="1303" w:type="dxa"/>
            <w:tcBorders>
              <w:right w:val="single" w:sz="4" w:space="0" w:color="000000"/>
            </w:tcBorders>
          </w:tcPr>
          <w:p>
            <w:pPr>
              <w:pStyle w:val="TableParagraph"/>
              <w:spacing w:before="15"/>
              <w:ind w:left="472" w:right="179"/>
              <w:jc w:val="center"/>
              <w:rPr>
                <w:sz w:val="13"/>
              </w:rPr>
            </w:pPr>
            <w:r>
              <w:rPr>
                <w:w w:val="105"/>
                <w:sz w:val="13"/>
              </w:rPr>
              <w:t>25,52%</w:t>
            </w:r>
          </w:p>
        </w:tc>
      </w:tr>
      <w:tr>
        <w:trPr>
          <w:trHeight w:val="211" w:hRule="atLeast"/>
        </w:trPr>
        <w:tc>
          <w:tcPr>
            <w:tcW w:w="1537" w:type="dxa"/>
            <w:tcBorders>
              <w:left w:val="single" w:sz="4" w:space="0" w:color="000000"/>
              <w:right w:val="single" w:sz="4" w:space="0" w:color="000000"/>
            </w:tcBorders>
          </w:tcPr>
          <w:p>
            <w:pPr>
              <w:pStyle w:val="TableParagraph"/>
              <w:spacing w:before="15"/>
              <w:ind w:left="57"/>
              <w:rPr>
                <w:b/>
                <w:sz w:val="13"/>
              </w:rPr>
            </w:pPr>
            <w:r>
              <w:rPr>
                <w:b/>
                <w:w w:val="105"/>
                <w:sz w:val="13"/>
              </w:rPr>
              <w:t>ICCA</w:t>
            </w:r>
          </w:p>
        </w:tc>
        <w:tc>
          <w:tcPr>
            <w:tcW w:w="1948" w:type="dxa"/>
            <w:tcBorders>
              <w:left w:val="single" w:sz="4" w:space="0" w:color="000000"/>
            </w:tcBorders>
          </w:tcPr>
          <w:p>
            <w:pPr>
              <w:pStyle w:val="TableParagraph"/>
              <w:spacing w:before="15"/>
              <w:ind w:right="486"/>
              <w:jc w:val="right"/>
              <w:rPr>
                <w:sz w:val="13"/>
              </w:rPr>
            </w:pPr>
            <w:r>
              <w:rPr>
                <w:w w:val="105"/>
                <w:sz w:val="13"/>
              </w:rPr>
              <w:t>10.333,50</w:t>
            </w:r>
          </w:p>
        </w:tc>
        <w:tc>
          <w:tcPr>
            <w:tcW w:w="1303" w:type="dxa"/>
            <w:tcBorders>
              <w:right w:val="single" w:sz="4" w:space="0" w:color="000000"/>
            </w:tcBorders>
          </w:tcPr>
          <w:p>
            <w:pPr>
              <w:pStyle w:val="TableParagraph"/>
              <w:spacing w:before="15"/>
              <w:ind w:left="473" w:right="178"/>
              <w:jc w:val="center"/>
              <w:rPr>
                <w:sz w:val="13"/>
              </w:rPr>
            </w:pPr>
            <w:r>
              <w:rPr>
                <w:w w:val="105"/>
                <w:sz w:val="13"/>
              </w:rPr>
              <w:t>0,40%</w:t>
            </w:r>
          </w:p>
        </w:tc>
      </w:tr>
      <w:tr>
        <w:trPr>
          <w:trHeight w:val="211" w:hRule="atLeast"/>
        </w:trPr>
        <w:tc>
          <w:tcPr>
            <w:tcW w:w="1537" w:type="dxa"/>
            <w:tcBorders>
              <w:left w:val="single" w:sz="4" w:space="0" w:color="000000"/>
              <w:right w:val="single" w:sz="4" w:space="0" w:color="000000"/>
            </w:tcBorders>
          </w:tcPr>
          <w:p>
            <w:pPr>
              <w:pStyle w:val="TableParagraph"/>
              <w:spacing w:before="15"/>
              <w:ind w:left="57"/>
              <w:rPr>
                <w:b/>
                <w:sz w:val="13"/>
              </w:rPr>
            </w:pPr>
            <w:r>
              <w:rPr>
                <w:b/>
                <w:w w:val="105"/>
                <w:sz w:val="13"/>
              </w:rPr>
              <w:t>APMN</w:t>
            </w:r>
          </w:p>
        </w:tc>
        <w:tc>
          <w:tcPr>
            <w:tcW w:w="1948" w:type="dxa"/>
            <w:tcBorders>
              <w:left w:val="single" w:sz="4" w:space="0" w:color="000000"/>
            </w:tcBorders>
          </w:tcPr>
          <w:p>
            <w:pPr>
              <w:pStyle w:val="TableParagraph"/>
              <w:spacing w:before="15"/>
              <w:ind w:right="486"/>
              <w:jc w:val="right"/>
              <w:rPr>
                <w:sz w:val="13"/>
              </w:rPr>
            </w:pPr>
            <w:r>
              <w:rPr>
                <w:w w:val="105"/>
                <w:sz w:val="13"/>
              </w:rPr>
              <w:t>56.144,81</w:t>
            </w:r>
          </w:p>
        </w:tc>
        <w:tc>
          <w:tcPr>
            <w:tcW w:w="1303" w:type="dxa"/>
            <w:tcBorders>
              <w:right w:val="single" w:sz="4" w:space="0" w:color="000000"/>
            </w:tcBorders>
          </w:tcPr>
          <w:p>
            <w:pPr>
              <w:pStyle w:val="TableParagraph"/>
              <w:spacing w:before="15"/>
              <w:ind w:left="473" w:right="178"/>
              <w:jc w:val="center"/>
              <w:rPr>
                <w:sz w:val="13"/>
              </w:rPr>
            </w:pPr>
            <w:r>
              <w:rPr>
                <w:w w:val="105"/>
                <w:sz w:val="13"/>
              </w:rPr>
              <w:t>2,06%</w:t>
            </w:r>
          </w:p>
        </w:tc>
      </w:tr>
      <w:tr>
        <w:trPr>
          <w:trHeight w:val="211" w:hRule="atLeast"/>
        </w:trPr>
        <w:tc>
          <w:tcPr>
            <w:tcW w:w="1537" w:type="dxa"/>
            <w:tcBorders>
              <w:left w:val="single" w:sz="4" w:space="0" w:color="000000"/>
              <w:right w:val="single" w:sz="4" w:space="0" w:color="000000"/>
            </w:tcBorders>
          </w:tcPr>
          <w:p>
            <w:pPr>
              <w:pStyle w:val="TableParagraph"/>
              <w:spacing w:before="16"/>
              <w:ind w:left="57"/>
              <w:rPr>
                <w:b/>
                <w:sz w:val="13"/>
              </w:rPr>
            </w:pPr>
            <w:r>
              <w:rPr>
                <w:b/>
                <w:w w:val="105"/>
                <w:sz w:val="13"/>
              </w:rPr>
              <w:t>CES</w:t>
            </w:r>
          </w:p>
        </w:tc>
        <w:tc>
          <w:tcPr>
            <w:tcW w:w="1948" w:type="dxa"/>
            <w:tcBorders>
              <w:left w:val="single" w:sz="4" w:space="0" w:color="000000"/>
            </w:tcBorders>
          </w:tcPr>
          <w:p>
            <w:pPr>
              <w:pStyle w:val="TableParagraph"/>
              <w:spacing w:before="16"/>
              <w:ind w:right="486"/>
              <w:jc w:val="right"/>
              <w:rPr>
                <w:sz w:val="13"/>
              </w:rPr>
            </w:pPr>
            <w:r>
              <w:rPr>
                <w:w w:val="105"/>
                <w:sz w:val="13"/>
              </w:rPr>
              <w:t>2.062,37</w:t>
            </w:r>
          </w:p>
        </w:tc>
        <w:tc>
          <w:tcPr>
            <w:tcW w:w="1303" w:type="dxa"/>
            <w:tcBorders>
              <w:right w:val="single" w:sz="4" w:space="0" w:color="000000"/>
            </w:tcBorders>
          </w:tcPr>
          <w:p>
            <w:pPr>
              <w:pStyle w:val="TableParagraph"/>
              <w:spacing w:before="16"/>
              <w:ind w:left="473" w:right="178"/>
              <w:jc w:val="center"/>
              <w:rPr>
                <w:sz w:val="13"/>
              </w:rPr>
            </w:pPr>
            <w:r>
              <w:rPr>
                <w:w w:val="105"/>
                <w:sz w:val="13"/>
              </w:rPr>
              <w:t>0,08%</w:t>
            </w:r>
          </w:p>
        </w:tc>
      </w:tr>
      <w:tr>
        <w:trPr>
          <w:trHeight w:val="211" w:hRule="atLeast"/>
        </w:trPr>
        <w:tc>
          <w:tcPr>
            <w:tcW w:w="1537" w:type="dxa"/>
            <w:tcBorders>
              <w:left w:val="single" w:sz="4" w:space="0" w:color="000000"/>
              <w:right w:val="single" w:sz="4" w:space="0" w:color="000000"/>
            </w:tcBorders>
          </w:tcPr>
          <w:p>
            <w:pPr>
              <w:pStyle w:val="TableParagraph"/>
              <w:spacing w:before="15"/>
              <w:ind w:left="57"/>
              <w:rPr>
                <w:b/>
                <w:sz w:val="13"/>
              </w:rPr>
            </w:pPr>
            <w:r>
              <w:rPr>
                <w:b/>
                <w:w w:val="105"/>
                <w:sz w:val="13"/>
              </w:rPr>
              <w:t>RTVC</w:t>
            </w:r>
          </w:p>
        </w:tc>
        <w:tc>
          <w:tcPr>
            <w:tcW w:w="1948" w:type="dxa"/>
            <w:tcBorders>
              <w:left w:val="single" w:sz="4" w:space="0" w:color="000000"/>
            </w:tcBorders>
          </w:tcPr>
          <w:p>
            <w:pPr>
              <w:pStyle w:val="TableParagraph"/>
              <w:spacing w:before="15"/>
              <w:ind w:right="486"/>
              <w:jc w:val="right"/>
              <w:rPr>
                <w:sz w:val="13"/>
              </w:rPr>
            </w:pPr>
            <w:r>
              <w:rPr>
                <w:w w:val="105"/>
                <w:sz w:val="13"/>
              </w:rPr>
              <w:t>16.801,79</w:t>
            </w:r>
          </w:p>
        </w:tc>
        <w:tc>
          <w:tcPr>
            <w:tcW w:w="1303" w:type="dxa"/>
            <w:tcBorders>
              <w:right w:val="single" w:sz="4" w:space="0" w:color="000000"/>
            </w:tcBorders>
          </w:tcPr>
          <w:p>
            <w:pPr>
              <w:pStyle w:val="TableParagraph"/>
              <w:spacing w:before="15"/>
              <w:ind w:left="473" w:right="178"/>
              <w:jc w:val="center"/>
              <w:rPr>
                <w:sz w:val="13"/>
              </w:rPr>
            </w:pPr>
            <w:r>
              <w:rPr>
                <w:w w:val="105"/>
                <w:sz w:val="13"/>
              </w:rPr>
              <w:t>0,62%</w:t>
            </w:r>
          </w:p>
        </w:tc>
      </w:tr>
      <w:tr>
        <w:trPr>
          <w:trHeight w:val="199" w:hRule="atLeast"/>
        </w:trPr>
        <w:tc>
          <w:tcPr>
            <w:tcW w:w="1537" w:type="dxa"/>
            <w:tcBorders>
              <w:left w:val="single" w:sz="4" w:space="0" w:color="000000"/>
              <w:bottom w:val="single" w:sz="4" w:space="0" w:color="000000"/>
              <w:right w:val="single" w:sz="4" w:space="0" w:color="000000"/>
            </w:tcBorders>
          </w:tcPr>
          <w:p>
            <w:pPr>
              <w:pStyle w:val="TableParagraph"/>
              <w:spacing w:before="15"/>
              <w:ind w:left="57"/>
              <w:rPr>
                <w:b/>
                <w:sz w:val="13"/>
              </w:rPr>
            </w:pPr>
            <w:r>
              <w:rPr>
                <w:b/>
                <w:w w:val="105"/>
                <w:sz w:val="13"/>
              </w:rPr>
              <w:t>ATC</w:t>
            </w:r>
          </w:p>
        </w:tc>
        <w:tc>
          <w:tcPr>
            <w:tcW w:w="1948" w:type="dxa"/>
            <w:tcBorders>
              <w:left w:val="single" w:sz="4" w:space="0" w:color="000000"/>
              <w:bottom w:val="single" w:sz="4" w:space="0" w:color="000000"/>
            </w:tcBorders>
          </w:tcPr>
          <w:p>
            <w:pPr>
              <w:pStyle w:val="TableParagraph"/>
              <w:spacing w:before="15"/>
              <w:ind w:right="486"/>
              <w:jc w:val="right"/>
              <w:rPr>
                <w:sz w:val="13"/>
              </w:rPr>
            </w:pPr>
            <w:r>
              <w:rPr>
                <w:w w:val="105"/>
                <w:sz w:val="13"/>
              </w:rPr>
              <w:t>66.452,87</w:t>
            </w:r>
          </w:p>
        </w:tc>
        <w:tc>
          <w:tcPr>
            <w:tcW w:w="1303" w:type="dxa"/>
            <w:tcBorders>
              <w:bottom w:val="single" w:sz="4" w:space="0" w:color="000000"/>
              <w:right w:val="single" w:sz="4" w:space="0" w:color="000000"/>
            </w:tcBorders>
          </w:tcPr>
          <w:p>
            <w:pPr>
              <w:pStyle w:val="TableParagraph"/>
              <w:spacing w:before="15"/>
              <w:ind w:left="473" w:right="178"/>
              <w:jc w:val="center"/>
              <w:rPr>
                <w:sz w:val="13"/>
              </w:rPr>
            </w:pPr>
            <w:r>
              <w:rPr>
                <w:w w:val="105"/>
                <w:sz w:val="13"/>
              </w:rPr>
              <w:t>2,44%</w:t>
            </w:r>
          </w:p>
        </w:tc>
      </w:tr>
      <w:tr>
        <w:trPr>
          <w:trHeight w:val="209" w:hRule="atLeast"/>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26"/>
              <w:ind w:left="289"/>
              <w:rPr>
                <w:b/>
                <w:sz w:val="13"/>
              </w:rPr>
            </w:pPr>
            <w:r>
              <w:rPr>
                <w:b/>
                <w:w w:val="105"/>
                <w:sz w:val="13"/>
              </w:rPr>
              <w:t>Total (</w:t>
            </w:r>
            <w:r>
              <w:rPr>
                <w:w w:val="105"/>
                <w:sz w:val="13"/>
              </w:rPr>
              <w:t>miles de €</w:t>
            </w:r>
            <w:r>
              <w:rPr>
                <w:b/>
                <w:w w:val="105"/>
                <w:sz w:val="13"/>
              </w:rPr>
              <w:t>)</w:t>
            </w:r>
          </w:p>
        </w:tc>
        <w:tc>
          <w:tcPr>
            <w:tcW w:w="3251" w:type="dxa"/>
            <w:gridSpan w:val="2"/>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26"/>
              <w:ind w:left="733"/>
              <w:rPr>
                <w:b/>
                <w:sz w:val="13"/>
              </w:rPr>
            </w:pPr>
            <w:r>
              <w:rPr>
                <w:b/>
                <w:w w:val="105"/>
                <w:sz w:val="13"/>
              </w:rPr>
              <w:t>2.723.490,88</w:t>
            </w:r>
          </w:p>
        </w:tc>
      </w:tr>
    </w:tbl>
    <w:p>
      <w:pPr>
        <w:pStyle w:val="BodyText"/>
        <w:spacing w:before="7"/>
        <w:rPr>
          <w:b/>
          <w:sz w:val="11"/>
        </w:rPr>
      </w:pPr>
    </w:p>
    <w:p>
      <w:pPr>
        <w:pStyle w:val="ListParagraph"/>
        <w:numPr>
          <w:ilvl w:val="0"/>
          <w:numId w:val="39"/>
        </w:numPr>
        <w:tabs>
          <w:tab w:pos="2335" w:val="left" w:leader="none"/>
        </w:tabs>
        <w:spacing w:line="240" w:lineRule="auto" w:before="61" w:after="0"/>
        <w:ind w:left="2334" w:right="1143" w:hanging="238"/>
        <w:jc w:val="left"/>
        <w:rPr>
          <w:sz w:val="20"/>
        </w:rPr>
      </w:pPr>
      <w:r>
        <w:rPr>
          <w:sz w:val="20"/>
        </w:rPr>
        <w:t>Las entidades que mayores importes registran en el Balance coinciden con aquellas que mayor presupuesto gestionan, y que son SCS (52,7 %), ICAVI (25,5 %) y SCE</w:t>
      </w:r>
      <w:r>
        <w:rPr>
          <w:spacing w:val="-17"/>
          <w:sz w:val="20"/>
        </w:rPr>
        <w:t> </w:t>
      </w:r>
      <w:r>
        <w:rPr>
          <w:sz w:val="20"/>
        </w:rPr>
        <w:t>(18,1</w:t>
      </w:r>
    </w:p>
    <w:p>
      <w:pPr>
        <w:pStyle w:val="BodyText"/>
        <w:spacing w:before="3"/>
        <w:ind w:left="2334"/>
      </w:pPr>
      <w:r>
        <w:rPr/>
        <w:t>%).</w:t>
      </w:r>
    </w:p>
    <w:p>
      <w:pPr>
        <w:pStyle w:val="BodyText"/>
        <w:spacing w:before="8"/>
        <w:rPr>
          <w:sz w:val="16"/>
        </w:rPr>
      </w:pPr>
    </w:p>
    <w:p>
      <w:pPr>
        <w:pStyle w:val="ListParagraph"/>
        <w:numPr>
          <w:ilvl w:val="0"/>
          <w:numId w:val="39"/>
        </w:numPr>
        <w:tabs>
          <w:tab w:pos="2335" w:val="left" w:leader="none"/>
        </w:tabs>
        <w:spacing w:line="244" w:lineRule="auto" w:before="0" w:after="0"/>
        <w:ind w:left="2334" w:right="1139" w:hanging="238"/>
        <w:jc w:val="left"/>
        <w:rPr>
          <w:sz w:val="20"/>
        </w:rPr>
      </w:pPr>
      <w:r>
        <w:rPr>
          <w:sz w:val="20"/>
        </w:rPr>
        <w:t>Las mayores partidas del Activo las conforman el inmovilizado material (50,8 %), Efectivo y otros activos líquidos (36,3 %) y Deudores y otras cuentas a cobrar (8,2</w:t>
      </w:r>
      <w:r>
        <w:rPr>
          <w:spacing w:val="-15"/>
          <w:sz w:val="20"/>
        </w:rPr>
        <w:t> </w:t>
      </w:r>
      <w:r>
        <w:rPr>
          <w:sz w:val="20"/>
        </w:rPr>
        <w:t>%).</w:t>
      </w:r>
    </w:p>
    <w:p>
      <w:pPr>
        <w:pStyle w:val="BodyText"/>
        <w:spacing w:before="2"/>
        <w:rPr>
          <w:sz w:val="16"/>
        </w:rPr>
      </w:pPr>
    </w:p>
    <w:p>
      <w:pPr>
        <w:pStyle w:val="BodyText"/>
        <w:spacing w:line="242" w:lineRule="auto"/>
        <w:ind w:left="2334" w:right="1201"/>
      </w:pPr>
      <w:r>
        <w:rPr/>
        <w:t>Del lado del Pasivo, son el patrimonio aportado (56,2 %), seguido de Acreedores y otras cuentas a pagar (26,2 %), del pasivo corriente.</w:t>
      </w:r>
    </w:p>
    <w:p>
      <w:pPr>
        <w:pStyle w:val="BodyText"/>
        <w:spacing w:before="5"/>
        <w:rPr>
          <w:sz w:val="16"/>
        </w:rPr>
      </w:pPr>
    </w:p>
    <w:p>
      <w:pPr>
        <w:pStyle w:val="ListParagraph"/>
        <w:numPr>
          <w:ilvl w:val="0"/>
          <w:numId w:val="39"/>
        </w:numPr>
        <w:tabs>
          <w:tab w:pos="2335" w:val="left" w:leader="none"/>
        </w:tabs>
        <w:spacing w:line="240" w:lineRule="auto" w:before="0" w:after="0"/>
        <w:ind w:left="2334" w:right="1143" w:hanging="238"/>
        <w:jc w:val="both"/>
        <w:rPr>
          <w:sz w:val="20"/>
        </w:rPr>
      </w:pPr>
      <w:r>
        <w:rPr>
          <w:sz w:val="20"/>
        </w:rPr>
        <w:t>ICHH refleja la situación acumulada de resultados negativos que han minorado su patrimonio neto en los últimos ejercicios, como consecuencia de que los ingresos obtenidos de su actividad comercial no daban cobertura suficiente a los</w:t>
      </w:r>
      <w:r>
        <w:rPr>
          <w:spacing w:val="38"/>
          <w:sz w:val="20"/>
        </w:rPr>
        <w:t> </w:t>
      </w:r>
      <w:r>
        <w:rPr>
          <w:sz w:val="20"/>
        </w:rPr>
        <w:t>costes</w:t>
      </w:r>
    </w:p>
    <w:p>
      <w:pPr>
        <w:pStyle w:val="BodyText"/>
        <w:spacing w:before="148"/>
        <w:ind w:right="1136"/>
        <w:jc w:val="right"/>
      </w:pPr>
      <w:r>
        <w:rPr/>
        <w:t>83</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77" name="image5.png"/>
                  <wp:cNvGraphicFramePr>
                    <a:graphicFrameLocks noChangeAspect="1"/>
                  </wp:cNvGraphicFramePr>
                  <a:graphic>
                    <a:graphicData uri="http://schemas.openxmlformats.org/drawingml/2006/picture">
                      <pic:pic>
                        <pic:nvPicPr>
                          <pic:cNvPr id="17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85/247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34" w:right="1142"/>
        <w:jc w:val="both"/>
      </w:pPr>
      <w:r>
        <w:rPr/>
        <w:t>soportados. Esta situación se revierte en el ejercicio 2021, ya que el Instituto recibe un crédito extraordinario de 6,4 millones de € para el abono de las facturas pendientes que, junto con la actualización de las tarifas en diciembre de 2021, hace que su situación patrimonial y financiera cambie considerablemente. No obstante, a pesar de las medidas adoptadas, persisten los resultados de gestión ordinaria negativos en un importe de 191.753 euros, aunque inferior a los pasados ejercicios.</w:t>
      </w:r>
    </w:p>
    <w:p>
      <w:pPr>
        <w:pStyle w:val="BodyText"/>
        <w:spacing w:before="4"/>
        <w:rPr>
          <w:sz w:val="17"/>
        </w:rPr>
      </w:pPr>
    </w:p>
    <w:p>
      <w:pPr>
        <w:pStyle w:val="ListParagraph"/>
        <w:numPr>
          <w:ilvl w:val="0"/>
          <w:numId w:val="39"/>
        </w:numPr>
        <w:tabs>
          <w:tab w:pos="2335" w:val="left" w:leader="none"/>
        </w:tabs>
        <w:spacing w:line="242" w:lineRule="auto" w:before="0" w:after="0"/>
        <w:ind w:left="2334" w:right="1144" w:hanging="238"/>
        <w:jc w:val="both"/>
        <w:rPr>
          <w:sz w:val="20"/>
        </w:rPr>
      </w:pPr>
      <w:r>
        <w:rPr>
          <w:sz w:val="20"/>
        </w:rPr>
        <w:t>El Inmovilizado registrado para cada una de las entidades es el siguiente, donde el material se reparte, prácticamente, entre el SCS (73,8 %) e ICAVI (17,7 %) por las infraestructuras y equipamientos de los servicios sanitarios y de</w:t>
      </w:r>
      <w:r>
        <w:rPr>
          <w:spacing w:val="5"/>
          <w:sz w:val="20"/>
        </w:rPr>
        <w:t> </w:t>
      </w:r>
      <w:r>
        <w:rPr>
          <w:sz w:val="20"/>
        </w:rPr>
        <w:t>vivienda.</w:t>
      </w:r>
    </w:p>
    <w:p>
      <w:pPr>
        <w:pStyle w:val="BodyText"/>
        <w:spacing w:before="6"/>
        <w:rPr>
          <w:sz w:val="16"/>
        </w:rPr>
      </w:pPr>
    </w:p>
    <w:tbl>
      <w:tblPr>
        <w:tblW w:w="0" w:type="auto"/>
        <w:jc w:val="left"/>
        <w:tblInd w:w="3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1"/>
        <w:gridCol w:w="1603"/>
        <w:gridCol w:w="1742"/>
      </w:tblGrid>
      <w:tr>
        <w:trPr>
          <w:trHeight w:val="213" w:hRule="atLeast"/>
        </w:trPr>
        <w:tc>
          <w:tcPr>
            <w:tcW w:w="1521"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3345" w:type="dxa"/>
            <w:gridSpan w:val="2"/>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28"/>
              <w:ind w:left="1288" w:right="1279"/>
              <w:jc w:val="center"/>
              <w:rPr>
                <w:b/>
                <w:sz w:val="13"/>
              </w:rPr>
            </w:pPr>
            <w:r>
              <w:rPr>
                <w:b/>
                <w:w w:val="105"/>
                <w:sz w:val="13"/>
              </w:rPr>
              <w:t>Inmovilizado</w:t>
            </w:r>
          </w:p>
        </w:tc>
      </w:tr>
      <w:tr>
        <w:trPr>
          <w:trHeight w:val="213" w:hRule="atLeast"/>
        </w:trPr>
        <w:tc>
          <w:tcPr>
            <w:tcW w:w="1521" w:type="dxa"/>
            <w:tcBorders>
              <w:left w:val="single" w:sz="4" w:space="0" w:color="000000"/>
              <w:right w:val="single" w:sz="4" w:space="0" w:color="000000"/>
            </w:tcBorders>
          </w:tcPr>
          <w:p>
            <w:pPr>
              <w:pStyle w:val="TableParagraph"/>
              <w:rPr>
                <w:rFonts w:ascii="Times New Roman"/>
                <w:sz w:val="14"/>
              </w:rPr>
            </w:pPr>
          </w:p>
        </w:tc>
        <w:tc>
          <w:tcPr>
            <w:tcW w:w="1603" w:type="dxa"/>
            <w:tcBorders>
              <w:top w:val="single" w:sz="4" w:space="0" w:color="000000"/>
              <w:left w:val="single" w:sz="4" w:space="0" w:color="000000"/>
              <w:bottom w:val="single" w:sz="4" w:space="0" w:color="000000"/>
            </w:tcBorders>
            <w:shd w:val="clear" w:color="auto" w:fill="DEEAF6"/>
          </w:tcPr>
          <w:p>
            <w:pPr>
              <w:pStyle w:val="TableParagraph"/>
              <w:spacing w:before="28"/>
              <w:ind w:right="538"/>
              <w:jc w:val="right"/>
              <w:rPr>
                <w:b/>
                <w:sz w:val="13"/>
              </w:rPr>
            </w:pPr>
            <w:r>
              <w:rPr>
                <w:b/>
                <w:w w:val="105"/>
                <w:sz w:val="13"/>
              </w:rPr>
              <w:t>Intangible</w:t>
            </w:r>
          </w:p>
        </w:tc>
        <w:tc>
          <w:tcPr>
            <w:tcW w:w="1742" w:type="dxa"/>
            <w:tcBorders>
              <w:top w:val="single" w:sz="4" w:space="0" w:color="000000"/>
              <w:bottom w:val="single" w:sz="4" w:space="0" w:color="000000"/>
              <w:right w:val="single" w:sz="4" w:space="0" w:color="000000"/>
            </w:tcBorders>
            <w:shd w:val="clear" w:color="auto" w:fill="DEEAF6"/>
          </w:tcPr>
          <w:p>
            <w:pPr>
              <w:pStyle w:val="TableParagraph"/>
              <w:spacing w:before="28"/>
              <w:ind w:left="589" w:right="622"/>
              <w:jc w:val="center"/>
              <w:rPr>
                <w:b/>
                <w:sz w:val="13"/>
              </w:rPr>
            </w:pPr>
            <w:r>
              <w:rPr>
                <w:b/>
                <w:w w:val="105"/>
                <w:sz w:val="13"/>
              </w:rPr>
              <w:t>Material</w:t>
            </w:r>
          </w:p>
        </w:tc>
      </w:tr>
      <w:tr>
        <w:trPr>
          <w:trHeight w:val="226" w:hRule="atLeast"/>
        </w:trPr>
        <w:tc>
          <w:tcPr>
            <w:tcW w:w="1521" w:type="dxa"/>
            <w:tcBorders>
              <w:left w:val="single" w:sz="4" w:space="0" w:color="000000"/>
              <w:right w:val="single" w:sz="4" w:space="0" w:color="000000"/>
            </w:tcBorders>
          </w:tcPr>
          <w:p>
            <w:pPr>
              <w:pStyle w:val="TableParagraph"/>
              <w:spacing w:before="28"/>
              <w:ind w:left="59"/>
              <w:rPr>
                <w:b/>
                <w:sz w:val="13"/>
              </w:rPr>
            </w:pPr>
            <w:r>
              <w:rPr>
                <w:b/>
                <w:w w:val="105"/>
                <w:sz w:val="13"/>
              </w:rPr>
              <w:t>ICAP</w:t>
            </w:r>
          </w:p>
        </w:tc>
        <w:tc>
          <w:tcPr>
            <w:tcW w:w="1603" w:type="dxa"/>
            <w:tcBorders>
              <w:top w:val="single" w:sz="4" w:space="0" w:color="000000"/>
              <w:left w:val="single" w:sz="4" w:space="0" w:color="000000"/>
            </w:tcBorders>
          </w:tcPr>
          <w:p>
            <w:pPr>
              <w:pStyle w:val="TableParagraph"/>
              <w:spacing w:before="28"/>
              <w:ind w:right="530"/>
              <w:jc w:val="right"/>
              <w:rPr>
                <w:sz w:val="13"/>
              </w:rPr>
            </w:pPr>
            <w:r>
              <w:rPr>
                <w:sz w:val="13"/>
              </w:rPr>
              <w:t>0,00</w:t>
            </w:r>
          </w:p>
        </w:tc>
        <w:tc>
          <w:tcPr>
            <w:tcW w:w="1742" w:type="dxa"/>
            <w:tcBorders>
              <w:top w:val="single" w:sz="4" w:space="0" w:color="000000"/>
              <w:right w:val="single" w:sz="4" w:space="0" w:color="000000"/>
            </w:tcBorders>
          </w:tcPr>
          <w:p>
            <w:pPr>
              <w:pStyle w:val="TableParagraph"/>
              <w:spacing w:before="28"/>
              <w:ind w:right="471"/>
              <w:jc w:val="right"/>
              <w:rPr>
                <w:sz w:val="13"/>
              </w:rPr>
            </w:pPr>
            <w:r>
              <w:rPr>
                <w:w w:val="105"/>
                <w:sz w:val="13"/>
              </w:rPr>
              <w:t>1.415,13</w:t>
            </w:r>
          </w:p>
        </w:tc>
      </w:tr>
      <w:tr>
        <w:trPr>
          <w:trHeight w:val="215" w:hRule="atLeast"/>
        </w:trPr>
        <w:tc>
          <w:tcPr>
            <w:tcW w:w="1521" w:type="dxa"/>
            <w:tcBorders>
              <w:left w:val="single" w:sz="4" w:space="0" w:color="000000"/>
              <w:right w:val="single" w:sz="4" w:space="0" w:color="000000"/>
            </w:tcBorders>
          </w:tcPr>
          <w:p>
            <w:pPr>
              <w:pStyle w:val="TableParagraph"/>
              <w:spacing w:before="17"/>
              <w:ind w:left="59"/>
              <w:rPr>
                <w:b/>
                <w:sz w:val="13"/>
              </w:rPr>
            </w:pPr>
            <w:r>
              <w:rPr>
                <w:b/>
                <w:w w:val="105"/>
                <w:sz w:val="13"/>
              </w:rPr>
              <w:t>ISTAC</w:t>
            </w:r>
          </w:p>
        </w:tc>
        <w:tc>
          <w:tcPr>
            <w:tcW w:w="1603" w:type="dxa"/>
            <w:tcBorders>
              <w:left w:val="single" w:sz="4" w:space="0" w:color="000000"/>
            </w:tcBorders>
          </w:tcPr>
          <w:p>
            <w:pPr>
              <w:pStyle w:val="TableParagraph"/>
              <w:spacing w:before="17"/>
              <w:ind w:right="530"/>
              <w:jc w:val="right"/>
              <w:rPr>
                <w:sz w:val="13"/>
              </w:rPr>
            </w:pPr>
            <w:r>
              <w:rPr>
                <w:w w:val="105"/>
                <w:sz w:val="13"/>
              </w:rPr>
              <w:t>6.417,07</w:t>
            </w:r>
          </w:p>
        </w:tc>
        <w:tc>
          <w:tcPr>
            <w:tcW w:w="1742" w:type="dxa"/>
            <w:tcBorders>
              <w:right w:val="single" w:sz="4" w:space="0" w:color="000000"/>
            </w:tcBorders>
          </w:tcPr>
          <w:p>
            <w:pPr>
              <w:pStyle w:val="TableParagraph"/>
              <w:spacing w:before="17"/>
              <w:ind w:right="471"/>
              <w:jc w:val="right"/>
              <w:rPr>
                <w:sz w:val="13"/>
              </w:rPr>
            </w:pPr>
            <w:r>
              <w:rPr>
                <w:w w:val="105"/>
                <w:sz w:val="13"/>
              </w:rPr>
              <w:t>2.540,11</w:t>
            </w:r>
          </w:p>
        </w:tc>
      </w:tr>
      <w:tr>
        <w:trPr>
          <w:trHeight w:val="215" w:hRule="atLeast"/>
        </w:trPr>
        <w:tc>
          <w:tcPr>
            <w:tcW w:w="1521" w:type="dxa"/>
            <w:tcBorders>
              <w:left w:val="single" w:sz="4" w:space="0" w:color="000000"/>
              <w:right w:val="single" w:sz="4" w:space="0" w:color="000000"/>
            </w:tcBorders>
          </w:tcPr>
          <w:p>
            <w:pPr>
              <w:pStyle w:val="TableParagraph"/>
              <w:spacing w:before="17"/>
              <w:ind w:left="59"/>
              <w:rPr>
                <w:b/>
                <w:sz w:val="13"/>
              </w:rPr>
            </w:pPr>
            <w:r>
              <w:rPr>
                <w:b/>
                <w:w w:val="105"/>
                <w:sz w:val="13"/>
              </w:rPr>
              <w:t>SCE</w:t>
            </w:r>
          </w:p>
        </w:tc>
        <w:tc>
          <w:tcPr>
            <w:tcW w:w="1603" w:type="dxa"/>
            <w:tcBorders>
              <w:left w:val="single" w:sz="4" w:space="0" w:color="000000"/>
            </w:tcBorders>
          </w:tcPr>
          <w:p>
            <w:pPr>
              <w:pStyle w:val="TableParagraph"/>
              <w:spacing w:before="17"/>
              <w:ind w:right="530"/>
              <w:jc w:val="right"/>
              <w:rPr>
                <w:sz w:val="13"/>
              </w:rPr>
            </w:pPr>
            <w:r>
              <w:rPr>
                <w:sz w:val="13"/>
              </w:rPr>
              <w:t>472,76</w:t>
            </w:r>
          </w:p>
        </w:tc>
        <w:tc>
          <w:tcPr>
            <w:tcW w:w="1742" w:type="dxa"/>
            <w:tcBorders>
              <w:right w:val="single" w:sz="4" w:space="0" w:color="000000"/>
            </w:tcBorders>
          </w:tcPr>
          <w:p>
            <w:pPr>
              <w:pStyle w:val="TableParagraph"/>
              <w:spacing w:before="17"/>
              <w:ind w:right="471"/>
              <w:jc w:val="right"/>
              <w:rPr>
                <w:sz w:val="13"/>
              </w:rPr>
            </w:pPr>
            <w:r>
              <w:rPr>
                <w:w w:val="105"/>
                <w:sz w:val="13"/>
              </w:rPr>
              <w:t>54.122,01</w:t>
            </w:r>
          </w:p>
        </w:tc>
      </w:tr>
      <w:tr>
        <w:trPr>
          <w:trHeight w:val="215" w:hRule="atLeast"/>
        </w:trPr>
        <w:tc>
          <w:tcPr>
            <w:tcW w:w="1521" w:type="dxa"/>
            <w:tcBorders>
              <w:left w:val="single" w:sz="4" w:space="0" w:color="000000"/>
              <w:right w:val="single" w:sz="4" w:space="0" w:color="000000"/>
            </w:tcBorders>
          </w:tcPr>
          <w:p>
            <w:pPr>
              <w:pStyle w:val="TableParagraph"/>
              <w:spacing w:before="17"/>
              <w:ind w:left="59"/>
              <w:rPr>
                <w:b/>
                <w:sz w:val="13"/>
              </w:rPr>
            </w:pPr>
            <w:r>
              <w:rPr>
                <w:b/>
                <w:w w:val="105"/>
                <w:sz w:val="13"/>
              </w:rPr>
              <w:t>ICIA</w:t>
            </w:r>
          </w:p>
        </w:tc>
        <w:tc>
          <w:tcPr>
            <w:tcW w:w="1603" w:type="dxa"/>
            <w:tcBorders>
              <w:left w:val="single" w:sz="4" w:space="0" w:color="000000"/>
            </w:tcBorders>
          </w:tcPr>
          <w:p>
            <w:pPr>
              <w:pStyle w:val="TableParagraph"/>
              <w:spacing w:before="17"/>
              <w:ind w:right="530"/>
              <w:jc w:val="right"/>
              <w:rPr>
                <w:sz w:val="13"/>
              </w:rPr>
            </w:pPr>
            <w:r>
              <w:rPr>
                <w:sz w:val="13"/>
              </w:rPr>
              <w:t>235,16</w:t>
            </w:r>
          </w:p>
        </w:tc>
        <w:tc>
          <w:tcPr>
            <w:tcW w:w="1742" w:type="dxa"/>
            <w:tcBorders>
              <w:right w:val="single" w:sz="4" w:space="0" w:color="000000"/>
            </w:tcBorders>
          </w:tcPr>
          <w:p>
            <w:pPr>
              <w:pStyle w:val="TableParagraph"/>
              <w:spacing w:before="17"/>
              <w:ind w:right="471"/>
              <w:jc w:val="right"/>
              <w:rPr>
                <w:sz w:val="13"/>
              </w:rPr>
            </w:pPr>
            <w:r>
              <w:rPr>
                <w:w w:val="105"/>
                <w:sz w:val="13"/>
              </w:rPr>
              <w:t>33.964,13</w:t>
            </w:r>
          </w:p>
        </w:tc>
      </w:tr>
      <w:tr>
        <w:trPr>
          <w:trHeight w:val="206" w:hRule="atLeast"/>
        </w:trPr>
        <w:tc>
          <w:tcPr>
            <w:tcW w:w="1521" w:type="dxa"/>
            <w:tcBorders>
              <w:left w:val="single" w:sz="4" w:space="0" w:color="000000"/>
              <w:right w:val="single" w:sz="4" w:space="0" w:color="000000"/>
            </w:tcBorders>
          </w:tcPr>
          <w:p>
            <w:pPr>
              <w:pStyle w:val="TableParagraph"/>
              <w:spacing w:before="17"/>
              <w:ind w:left="59"/>
              <w:rPr>
                <w:b/>
                <w:sz w:val="13"/>
              </w:rPr>
            </w:pPr>
            <w:r>
              <w:rPr>
                <w:b/>
                <w:w w:val="105"/>
                <w:sz w:val="13"/>
              </w:rPr>
              <w:t>ICHH</w:t>
            </w:r>
          </w:p>
        </w:tc>
        <w:tc>
          <w:tcPr>
            <w:tcW w:w="1603" w:type="dxa"/>
            <w:tcBorders>
              <w:left w:val="single" w:sz="4" w:space="0" w:color="000000"/>
            </w:tcBorders>
          </w:tcPr>
          <w:p>
            <w:pPr>
              <w:pStyle w:val="TableParagraph"/>
              <w:spacing w:before="17"/>
              <w:ind w:right="530"/>
              <w:jc w:val="right"/>
              <w:rPr>
                <w:sz w:val="13"/>
              </w:rPr>
            </w:pPr>
            <w:r>
              <w:rPr>
                <w:sz w:val="13"/>
              </w:rPr>
              <w:t>61,72</w:t>
            </w:r>
          </w:p>
        </w:tc>
        <w:tc>
          <w:tcPr>
            <w:tcW w:w="1742" w:type="dxa"/>
            <w:tcBorders>
              <w:right w:val="single" w:sz="4" w:space="0" w:color="000000"/>
            </w:tcBorders>
          </w:tcPr>
          <w:p>
            <w:pPr>
              <w:pStyle w:val="TableParagraph"/>
              <w:spacing w:before="17"/>
              <w:ind w:right="471"/>
              <w:jc w:val="right"/>
              <w:rPr>
                <w:sz w:val="13"/>
              </w:rPr>
            </w:pPr>
            <w:r>
              <w:rPr>
                <w:w w:val="105"/>
                <w:sz w:val="13"/>
              </w:rPr>
              <w:t>4.585,40</w:t>
            </w:r>
          </w:p>
        </w:tc>
      </w:tr>
      <w:tr>
        <w:trPr>
          <w:trHeight w:val="215" w:hRule="atLeast"/>
        </w:trPr>
        <w:tc>
          <w:tcPr>
            <w:tcW w:w="1521" w:type="dxa"/>
            <w:tcBorders>
              <w:left w:val="single" w:sz="4" w:space="0" w:color="000000"/>
              <w:right w:val="single" w:sz="4" w:space="0" w:color="000000"/>
            </w:tcBorders>
            <w:shd w:val="clear" w:color="auto" w:fill="F1F1F1"/>
          </w:tcPr>
          <w:p>
            <w:pPr>
              <w:pStyle w:val="TableParagraph"/>
              <w:spacing w:before="29"/>
              <w:ind w:left="59"/>
              <w:rPr>
                <w:b/>
                <w:sz w:val="13"/>
              </w:rPr>
            </w:pPr>
            <w:r>
              <w:rPr>
                <w:b/>
                <w:w w:val="105"/>
                <w:sz w:val="13"/>
              </w:rPr>
              <w:t>SCS</w:t>
            </w:r>
          </w:p>
        </w:tc>
        <w:tc>
          <w:tcPr>
            <w:tcW w:w="1603" w:type="dxa"/>
            <w:tcBorders>
              <w:left w:val="single" w:sz="4" w:space="0" w:color="000000"/>
            </w:tcBorders>
            <w:shd w:val="clear" w:color="auto" w:fill="F1F1F1"/>
          </w:tcPr>
          <w:p>
            <w:pPr>
              <w:pStyle w:val="TableParagraph"/>
              <w:spacing w:before="29"/>
              <w:ind w:right="530"/>
              <w:jc w:val="right"/>
              <w:rPr>
                <w:b/>
                <w:sz w:val="13"/>
              </w:rPr>
            </w:pPr>
            <w:r>
              <w:rPr>
                <w:b/>
                <w:w w:val="105"/>
                <w:sz w:val="13"/>
              </w:rPr>
              <w:t>10.409,57</w:t>
            </w:r>
          </w:p>
        </w:tc>
        <w:tc>
          <w:tcPr>
            <w:tcW w:w="1742" w:type="dxa"/>
            <w:tcBorders>
              <w:right w:val="single" w:sz="4" w:space="0" w:color="000000"/>
            </w:tcBorders>
            <w:shd w:val="clear" w:color="auto" w:fill="F1F1F1"/>
          </w:tcPr>
          <w:p>
            <w:pPr>
              <w:pStyle w:val="TableParagraph"/>
              <w:spacing w:before="29"/>
              <w:ind w:right="471"/>
              <w:jc w:val="right"/>
              <w:rPr>
                <w:b/>
                <w:sz w:val="13"/>
              </w:rPr>
            </w:pPr>
            <w:r>
              <w:rPr>
                <w:b/>
                <w:w w:val="105"/>
                <w:sz w:val="13"/>
              </w:rPr>
              <w:t>1.022.500,61</w:t>
            </w:r>
          </w:p>
        </w:tc>
      </w:tr>
      <w:tr>
        <w:trPr>
          <w:trHeight w:val="227" w:hRule="atLeast"/>
        </w:trPr>
        <w:tc>
          <w:tcPr>
            <w:tcW w:w="1521" w:type="dxa"/>
            <w:tcBorders>
              <w:left w:val="single" w:sz="4" w:space="0" w:color="000000"/>
              <w:right w:val="single" w:sz="4" w:space="0" w:color="000000"/>
            </w:tcBorders>
          </w:tcPr>
          <w:p>
            <w:pPr>
              <w:pStyle w:val="TableParagraph"/>
              <w:spacing w:before="29"/>
              <w:ind w:left="59"/>
              <w:rPr>
                <w:b/>
                <w:sz w:val="13"/>
              </w:rPr>
            </w:pPr>
            <w:r>
              <w:rPr>
                <w:b/>
                <w:w w:val="105"/>
                <w:sz w:val="13"/>
              </w:rPr>
              <w:t>ACCUEE</w:t>
            </w:r>
          </w:p>
        </w:tc>
        <w:tc>
          <w:tcPr>
            <w:tcW w:w="1603" w:type="dxa"/>
            <w:tcBorders>
              <w:left w:val="single" w:sz="4" w:space="0" w:color="000000"/>
            </w:tcBorders>
          </w:tcPr>
          <w:p>
            <w:pPr>
              <w:pStyle w:val="TableParagraph"/>
              <w:spacing w:before="29"/>
              <w:ind w:right="530"/>
              <w:jc w:val="right"/>
              <w:rPr>
                <w:sz w:val="13"/>
              </w:rPr>
            </w:pPr>
            <w:r>
              <w:rPr>
                <w:sz w:val="13"/>
              </w:rPr>
              <w:t>0,00</w:t>
            </w:r>
          </w:p>
        </w:tc>
        <w:tc>
          <w:tcPr>
            <w:tcW w:w="1742" w:type="dxa"/>
            <w:tcBorders>
              <w:right w:val="single" w:sz="4" w:space="0" w:color="000000"/>
            </w:tcBorders>
          </w:tcPr>
          <w:p>
            <w:pPr>
              <w:pStyle w:val="TableParagraph"/>
              <w:spacing w:before="29"/>
              <w:ind w:right="471"/>
              <w:jc w:val="right"/>
              <w:rPr>
                <w:sz w:val="13"/>
              </w:rPr>
            </w:pPr>
            <w:r>
              <w:rPr>
                <w:sz w:val="13"/>
              </w:rPr>
              <w:t>17,84</w:t>
            </w:r>
          </w:p>
        </w:tc>
      </w:tr>
      <w:tr>
        <w:trPr>
          <w:trHeight w:val="215" w:hRule="atLeast"/>
        </w:trPr>
        <w:tc>
          <w:tcPr>
            <w:tcW w:w="1521" w:type="dxa"/>
            <w:tcBorders>
              <w:left w:val="single" w:sz="4" w:space="0" w:color="000000"/>
              <w:right w:val="single" w:sz="4" w:space="0" w:color="000000"/>
            </w:tcBorders>
          </w:tcPr>
          <w:p>
            <w:pPr>
              <w:pStyle w:val="TableParagraph"/>
              <w:spacing w:before="17"/>
              <w:ind w:left="59"/>
              <w:rPr>
                <w:b/>
                <w:sz w:val="13"/>
              </w:rPr>
            </w:pPr>
            <w:r>
              <w:rPr>
                <w:b/>
                <w:w w:val="105"/>
                <w:sz w:val="13"/>
              </w:rPr>
              <w:t>ICAVI</w:t>
            </w:r>
          </w:p>
        </w:tc>
        <w:tc>
          <w:tcPr>
            <w:tcW w:w="1603" w:type="dxa"/>
            <w:tcBorders>
              <w:left w:val="single" w:sz="4" w:space="0" w:color="000000"/>
            </w:tcBorders>
          </w:tcPr>
          <w:p>
            <w:pPr>
              <w:pStyle w:val="TableParagraph"/>
              <w:spacing w:before="17"/>
              <w:ind w:right="530"/>
              <w:jc w:val="right"/>
              <w:rPr>
                <w:sz w:val="13"/>
              </w:rPr>
            </w:pPr>
            <w:r>
              <w:rPr>
                <w:sz w:val="13"/>
              </w:rPr>
              <w:t>165,70</w:t>
            </w:r>
          </w:p>
        </w:tc>
        <w:tc>
          <w:tcPr>
            <w:tcW w:w="1742" w:type="dxa"/>
            <w:tcBorders>
              <w:right w:val="single" w:sz="4" w:space="0" w:color="000000"/>
            </w:tcBorders>
          </w:tcPr>
          <w:p>
            <w:pPr>
              <w:pStyle w:val="TableParagraph"/>
              <w:spacing w:before="17"/>
              <w:ind w:right="471"/>
              <w:jc w:val="right"/>
              <w:rPr>
                <w:sz w:val="13"/>
              </w:rPr>
            </w:pPr>
            <w:r>
              <w:rPr>
                <w:w w:val="105"/>
                <w:sz w:val="13"/>
              </w:rPr>
              <w:t>245.731,02</w:t>
            </w:r>
          </w:p>
        </w:tc>
      </w:tr>
      <w:tr>
        <w:trPr>
          <w:trHeight w:val="215" w:hRule="atLeast"/>
        </w:trPr>
        <w:tc>
          <w:tcPr>
            <w:tcW w:w="1521" w:type="dxa"/>
            <w:tcBorders>
              <w:left w:val="single" w:sz="4" w:space="0" w:color="000000"/>
              <w:right w:val="single" w:sz="4" w:space="0" w:color="000000"/>
            </w:tcBorders>
          </w:tcPr>
          <w:p>
            <w:pPr>
              <w:pStyle w:val="TableParagraph"/>
              <w:spacing w:before="17"/>
              <w:ind w:left="59"/>
              <w:rPr>
                <w:b/>
                <w:sz w:val="13"/>
              </w:rPr>
            </w:pPr>
            <w:r>
              <w:rPr>
                <w:b/>
                <w:w w:val="105"/>
                <w:sz w:val="13"/>
              </w:rPr>
              <w:t>ICCA</w:t>
            </w:r>
          </w:p>
        </w:tc>
        <w:tc>
          <w:tcPr>
            <w:tcW w:w="1603" w:type="dxa"/>
            <w:tcBorders>
              <w:left w:val="single" w:sz="4" w:space="0" w:color="000000"/>
            </w:tcBorders>
          </w:tcPr>
          <w:p>
            <w:pPr>
              <w:pStyle w:val="TableParagraph"/>
              <w:spacing w:before="17"/>
              <w:ind w:right="530"/>
              <w:jc w:val="right"/>
              <w:rPr>
                <w:sz w:val="13"/>
              </w:rPr>
            </w:pPr>
            <w:r>
              <w:rPr>
                <w:sz w:val="13"/>
              </w:rPr>
              <w:t>37,75</w:t>
            </w:r>
          </w:p>
        </w:tc>
        <w:tc>
          <w:tcPr>
            <w:tcW w:w="1742" w:type="dxa"/>
            <w:tcBorders>
              <w:right w:val="single" w:sz="4" w:space="0" w:color="000000"/>
            </w:tcBorders>
          </w:tcPr>
          <w:p>
            <w:pPr>
              <w:pStyle w:val="TableParagraph"/>
              <w:spacing w:before="17"/>
              <w:ind w:right="471"/>
              <w:jc w:val="right"/>
              <w:rPr>
                <w:sz w:val="13"/>
              </w:rPr>
            </w:pPr>
            <w:r>
              <w:rPr>
                <w:sz w:val="13"/>
              </w:rPr>
              <w:t>493,67</w:t>
            </w:r>
          </w:p>
        </w:tc>
      </w:tr>
      <w:tr>
        <w:trPr>
          <w:trHeight w:val="215" w:hRule="atLeast"/>
        </w:trPr>
        <w:tc>
          <w:tcPr>
            <w:tcW w:w="1521" w:type="dxa"/>
            <w:tcBorders>
              <w:left w:val="single" w:sz="4" w:space="0" w:color="000000"/>
              <w:right w:val="single" w:sz="4" w:space="0" w:color="000000"/>
            </w:tcBorders>
          </w:tcPr>
          <w:p>
            <w:pPr>
              <w:pStyle w:val="TableParagraph"/>
              <w:spacing w:before="17"/>
              <w:ind w:left="59"/>
              <w:rPr>
                <w:b/>
                <w:sz w:val="13"/>
              </w:rPr>
            </w:pPr>
            <w:r>
              <w:rPr>
                <w:b/>
                <w:w w:val="105"/>
                <w:sz w:val="13"/>
              </w:rPr>
              <w:t>ACPMN</w:t>
            </w:r>
          </w:p>
        </w:tc>
        <w:tc>
          <w:tcPr>
            <w:tcW w:w="1603" w:type="dxa"/>
            <w:tcBorders>
              <w:left w:val="single" w:sz="4" w:space="0" w:color="000000"/>
            </w:tcBorders>
          </w:tcPr>
          <w:p>
            <w:pPr>
              <w:pStyle w:val="TableParagraph"/>
              <w:spacing w:before="17"/>
              <w:ind w:right="530"/>
              <w:jc w:val="right"/>
              <w:rPr>
                <w:sz w:val="13"/>
              </w:rPr>
            </w:pPr>
            <w:r>
              <w:rPr>
                <w:sz w:val="13"/>
              </w:rPr>
              <w:t>2,75</w:t>
            </w:r>
          </w:p>
        </w:tc>
        <w:tc>
          <w:tcPr>
            <w:tcW w:w="1742" w:type="dxa"/>
            <w:tcBorders>
              <w:right w:val="single" w:sz="4" w:space="0" w:color="000000"/>
            </w:tcBorders>
          </w:tcPr>
          <w:p>
            <w:pPr>
              <w:pStyle w:val="TableParagraph"/>
              <w:spacing w:before="17"/>
              <w:ind w:right="471"/>
              <w:jc w:val="right"/>
              <w:rPr>
                <w:sz w:val="13"/>
              </w:rPr>
            </w:pPr>
            <w:r>
              <w:rPr>
                <w:w w:val="105"/>
                <w:sz w:val="13"/>
              </w:rPr>
              <w:t>1.830,06</w:t>
            </w:r>
          </w:p>
        </w:tc>
      </w:tr>
      <w:tr>
        <w:trPr>
          <w:trHeight w:val="215" w:hRule="atLeast"/>
        </w:trPr>
        <w:tc>
          <w:tcPr>
            <w:tcW w:w="1521" w:type="dxa"/>
            <w:tcBorders>
              <w:left w:val="single" w:sz="4" w:space="0" w:color="000000"/>
              <w:right w:val="single" w:sz="4" w:space="0" w:color="000000"/>
            </w:tcBorders>
          </w:tcPr>
          <w:p>
            <w:pPr>
              <w:pStyle w:val="TableParagraph"/>
              <w:spacing w:before="17"/>
              <w:ind w:left="59"/>
              <w:rPr>
                <w:b/>
                <w:sz w:val="13"/>
              </w:rPr>
            </w:pPr>
            <w:r>
              <w:rPr>
                <w:b/>
                <w:w w:val="105"/>
                <w:sz w:val="13"/>
              </w:rPr>
              <w:t>CES</w:t>
            </w:r>
          </w:p>
        </w:tc>
        <w:tc>
          <w:tcPr>
            <w:tcW w:w="1603" w:type="dxa"/>
            <w:tcBorders>
              <w:left w:val="single" w:sz="4" w:space="0" w:color="000000"/>
            </w:tcBorders>
          </w:tcPr>
          <w:p>
            <w:pPr>
              <w:pStyle w:val="TableParagraph"/>
              <w:spacing w:before="17"/>
              <w:ind w:right="530"/>
              <w:jc w:val="right"/>
              <w:rPr>
                <w:sz w:val="13"/>
              </w:rPr>
            </w:pPr>
            <w:r>
              <w:rPr>
                <w:sz w:val="13"/>
              </w:rPr>
              <w:t>10,26</w:t>
            </w:r>
          </w:p>
        </w:tc>
        <w:tc>
          <w:tcPr>
            <w:tcW w:w="1742" w:type="dxa"/>
            <w:tcBorders>
              <w:right w:val="single" w:sz="4" w:space="0" w:color="000000"/>
            </w:tcBorders>
          </w:tcPr>
          <w:p>
            <w:pPr>
              <w:pStyle w:val="TableParagraph"/>
              <w:spacing w:before="17"/>
              <w:ind w:right="471"/>
              <w:jc w:val="right"/>
              <w:rPr>
                <w:sz w:val="13"/>
              </w:rPr>
            </w:pPr>
            <w:r>
              <w:rPr>
                <w:sz w:val="13"/>
              </w:rPr>
              <w:t>81,91</w:t>
            </w:r>
          </w:p>
        </w:tc>
      </w:tr>
      <w:tr>
        <w:trPr>
          <w:trHeight w:val="215" w:hRule="atLeast"/>
        </w:trPr>
        <w:tc>
          <w:tcPr>
            <w:tcW w:w="1521" w:type="dxa"/>
            <w:tcBorders>
              <w:left w:val="single" w:sz="4" w:space="0" w:color="000000"/>
              <w:right w:val="single" w:sz="4" w:space="0" w:color="000000"/>
            </w:tcBorders>
          </w:tcPr>
          <w:p>
            <w:pPr>
              <w:pStyle w:val="TableParagraph"/>
              <w:spacing w:before="18"/>
              <w:ind w:left="59"/>
              <w:rPr>
                <w:b/>
                <w:sz w:val="13"/>
              </w:rPr>
            </w:pPr>
            <w:r>
              <w:rPr>
                <w:b/>
                <w:w w:val="105"/>
                <w:sz w:val="13"/>
              </w:rPr>
              <w:t>RTVC</w:t>
            </w:r>
          </w:p>
        </w:tc>
        <w:tc>
          <w:tcPr>
            <w:tcW w:w="1603" w:type="dxa"/>
            <w:tcBorders>
              <w:left w:val="single" w:sz="4" w:space="0" w:color="000000"/>
            </w:tcBorders>
          </w:tcPr>
          <w:p>
            <w:pPr>
              <w:pStyle w:val="TableParagraph"/>
              <w:spacing w:before="18"/>
              <w:ind w:right="530"/>
              <w:jc w:val="right"/>
              <w:rPr>
                <w:sz w:val="13"/>
              </w:rPr>
            </w:pPr>
            <w:r>
              <w:rPr>
                <w:sz w:val="13"/>
              </w:rPr>
              <w:t>0,00</w:t>
            </w:r>
          </w:p>
        </w:tc>
        <w:tc>
          <w:tcPr>
            <w:tcW w:w="1742" w:type="dxa"/>
            <w:tcBorders>
              <w:right w:val="single" w:sz="4" w:space="0" w:color="000000"/>
            </w:tcBorders>
          </w:tcPr>
          <w:p>
            <w:pPr>
              <w:pStyle w:val="TableParagraph"/>
              <w:spacing w:before="18"/>
              <w:ind w:right="471"/>
              <w:jc w:val="right"/>
              <w:rPr>
                <w:sz w:val="13"/>
              </w:rPr>
            </w:pPr>
            <w:r>
              <w:rPr>
                <w:sz w:val="13"/>
              </w:rPr>
              <w:t>27,56</w:t>
            </w:r>
          </w:p>
        </w:tc>
      </w:tr>
      <w:tr>
        <w:trPr>
          <w:trHeight w:val="203" w:hRule="atLeast"/>
        </w:trPr>
        <w:tc>
          <w:tcPr>
            <w:tcW w:w="1521" w:type="dxa"/>
            <w:tcBorders>
              <w:left w:val="single" w:sz="4" w:space="0" w:color="000000"/>
              <w:bottom w:val="single" w:sz="4" w:space="0" w:color="000000"/>
              <w:right w:val="single" w:sz="4" w:space="0" w:color="000000"/>
            </w:tcBorders>
          </w:tcPr>
          <w:p>
            <w:pPr>
              <w:pStyle w:val="TableParagraph"/>
              <w:spacing w:before="17"/>
              <w:ind w:left="59"/>
              <w:rPr>
                <w:b/>
                <w:sz w:val="13"/>
              </w:rPr>
            </w:pPr>
            <w:r>
              <w:rPr>
                <w:b/>
                <w:w w:val="105"/>
                <w:sz w:val="13"/>
              </w:rPr>
              <w:t>ATC</w:t>
            </w:r>
          </w:p>
        </w:tc>
        <w:tc>
          <w:tcPr>
            <w:tcW w:w="1603" w:type="dxa"/>
            <w:tcBorders>
              <w:left w:val="single" w:sz="4" w:space="0" w:color="000000"/>
              <w:bottom w:val="single" w:sz="4" w:space="0" w:color="000000"/>
            </w:tcBorders>
          </w:tcPr>
          <w:p>
            <w:pPr>
              <w:pStyle w:val="TableParagraph"/>
              <w:spacing w:before="17"/>
              <w:ind w:right="530"/>
              <w:jc w:val="right"/>
              <w:rPr>
                <w:sz w:val="13"/>
              </w:rPr>
            </w:pPr>
            <w:r>
              <w:rPr>
                <w:w w:val="105"/>
                <w:sz w:val="13"/>
              </w:rPr>
              <w:t>9.089,75</w:t>
            </w:r>
          </w:p>
        </w:tc>
        <w:tc>
          <w:tcPr>
            <w:tcW w:w="1742" w:type="dxa"/>
            <w:tcBorders>
              <w:bottom w:val="single" w:sz="4" w:space="0" w:color="000000"/>
              <w:right w:val="single" w:sz="4" w:space="0" w:color="000000"/>
            </w:tcBorders>
          </w:tcPr>
          <w:p>
            <w:pPr>
              <w:pStyle w:val="TableParagraph"/>
              <w:spacing w:before="17"/>
              <w:ind w:right="471"/>
              <w:jc w:val="right"/>
              <w:rPr>
                <w:sz w:val="13"/>
              </w:rPr>
            </w:pPr>
            <w:r>
              <w:rPr>
                <w:w w:val="105"/>
                <w:sz w:val="13"/>
              </w:rPr>
              <w:t>18.184,01</w:t>
            </w:r>
          </w:p>
        </w:tc>
      </w:tr>
      <w:tr>
        <w:trPr>
          <w:trHeight w:val="215" w:hRule="atLeast"/>
        </w:trPr>
        <w:tc>
          <w:tcPr>
            <w:tcW w:w="1521"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28"/>
              <w:ind w:left="283"/>
              <w:rPr>
                <w:b/>
                <w:sz w:val="13"/>
              </w:rPr>
            </w:pPr>
            <w:r>
              <w:rPr>
                <w:b/>
                <w:w w:val="105"/>
                <w:sz w:val="13"/>
              </w:rPr>
              <w:t>Total (</w:t>
            </w:r>
            <w:r>
              <w:rPr>
                <w:w w:val="105"/>
                <w:sz w:val="13"/>
              </w:rPr>
              <w:t>miles de €</w:t>
            </w:r>
            <w:r>
              <w:rPr>
                <w:b/>
                <w:w w:val="105"/>
                <w:sz w:val="13"/>
              </w:rPr>
              <w:t>)</w:t>
            </w:r>
          </w:p>
        </w:tc>
        <w:tc>
          <w:tcPr>
            <w:tcW w:w="1603" w:type="dxa"/>
            <w:tcBorders>
              <w:top w:val="single" w:sz="4" w:space="0" w:color="000000"/>
              <w:left w:val="single" w:sz="4" w:space="0" w:color="000000"/>
              <w:bottom w:val="single" w:sz="4" w:space="0" w:color="000000"/>
            </w:tcBorders>
            <w:shd w:val="clear" w:color="auto" w:fill="D9D9D9"/>
          </w:tcPr>
          <w:p>
            <w:pPr>
              <w:pStyle w:val="TableParagraph"/>
              <w:spacing w:before="28"/>
              <w:ind w:right="530"/>
              <w:jc w:val="right"/>
              <w:rPr>
                <w:b/>
                <w:sz w:val="13"/>
              </w:rPr>
            </w:pPr>
            <w:r>
              <w:rPr>
                <w:b/>
                <w:w w:val="105"/>
                <w:sz w:val="13"/>
              </w:rPr>
              <w:t>26.902,50</w:t>
            </w:r>
          </w:p>
        </w:tc>
        <w:tc>
          <w:tcPr>
            <w:tcW w:w="1742" w:type="dxa"/>
            <w:tcBorders>
              <w:top w:val="single" w:sz="4" w:space="0" w:color="000000"/>
              <w:bottom w:val="single" w:sz="4" w:space="0" w:color="000000"/>
              <w:right w:val="single" w:sz="4" w:space="0" w:color="000000"/>
            </w:tcBorders>
            <w:shd w:val="clear" w:color="auto" w:fill="D9D9D9"/>
          </w:tcPr>
          <w:p>
            <w:pPr>
              <w:pStyle w:val="TableParagraph"/>
              <w:spacing w:before="28"/>
              <w:ind w:right="471"/>
              <w:jc w:val="right"/>
              <w:rPr>
                <w:b/>
                <w:sz w:val="13"/>
              </w:rPr>
            </w:pPr>
            <w:r>
              <w:rPr>
                <w:b/>
                <w:w w:val="105"/>
                <w:sz w:val="13"/>
              </w:rPr>
              <w:t>1.385.493,46</w:t>
            </w:r>
          </w:p>
        </w:tc>
      </w:tr>
    </w:tbl>
    <w:p>
      <w:pPr>
        <w:pStyle w:val="BodyText"/>
        <w:spacing w:before="7"/>
        <w:rPr>
          <w:sz w:val="16"/>
        </w:rPr>
      </w:pPr>
    </w:p>
    <w:p>
      <w:pPr>
        <w:pStyle w:val="ListParagraph"/>
        <w:numPr>
          <w:ilvl w:val="0"/>
          <w:numId w:val="39"/>
        </w:numPr>
        <w:tabs>
          <w:tab w:pos="2335" w:val="left" w:leader="none"/>
        </w:tabs>
        <w:spacing w:line="240" w:lineRule="auto" w:before="0" w:after="0"/>
        <w:ind w:left="2334" w:right="1142" w:hanging="238"/>
        <w:jc w:val="both"/>
        <w:rPr>
          <w:sz w:val="20"/>
        </w:rPr>
      </w:pPr>
      <w:r>
        <w:rPr>
          <w:sz w:val="20"/>
        </w:rPr>
        <w:t>Para cubrir litigios y otras contingencias e incertidumbres relevantes, como recursos y expedientes de responsabilidad patrimonial, se dotan provisiones por valor de 21,5 millones de €, que no reúnen los requisitos para ser registradas como deuda de la cuenta 413. El SCE es el que más provisión para responsabilidades dota, por importe de 12,3 millones de € (en 2021 era de ocho millones de</w:t>
      </w:r>
      <w:r>
        <w:rPr>
          <w:spacing w:val="9"/>
          <w:sz w:val="20"/>
        </w:rPr>
        <w:t> </w:t>
      </w:r>
      <w:r>
        <w:rPr>
          <w:sz w:val="20"/>
        </w:rPr>
        <w:t>€).</w:t>
      </w:r>
    </w:p>
    <w:p>
      <w:pPr>
        <w:pStyle w:val="BodyText"/>
        <w:spacing w:before="10"/>
        <w:rPr>
          <w:sz w:val="8"/>
        </w:rPr>
      </w:pPr>
    </w:p>
    <w:tbl>
      <w:tblPr>
        <w:tblW w:w="0" w:type="auto"/>
        <w:jc w:val="left"/>
        <w:tblInd w:w="2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7"/>
        <w:gridCol w:w="1711"/>
        <w:gridCol w:w="1923"/>
        <w:gridCol w:w="1287"/>
      </w:tblGrid>
      <w:tr>
        <w:trPr>
          <w:trHeight w:val="288" w:hRule="atLeast"/>
        </w:trPr>
        <w:tc>
          <w:tcPr>
            <w:tcW w:w="1187" w:type="dxa"/>
            <w:vMerge w:val="restart"/>
            <w:tcBorders>
              <w:top w:val="single" w:sz="4" w:space="0" w:color="000000"/>
              <w:left w:val="single" w:sz="4" w:space="0" w:color="000000"/>
              <w:right w:val="single" w:sz="4" w:space="0" w:color="000000"/>
            </w:tcBorders>
          </w:tcPr>
          <w:p>
            <w:pPr>
              <w:pStyle w:val="TableParagraph"/>
              <w:rPr>
                <w:sz w:val="14"/>
              </w:rPr>
            </w:pPr>
          </w:p>
          <w:p>
            <w:pPr>
              <w:pStyle w:val="TableParagraph"/>
              <w:spacing w:before="11"/>
              <w:rPr>
                <w:sz w:val="12"/>
              </w:rPr>
            </w:pPr>
          </w:p>
          <w:p>
            <w:pPr>
              <w:pStyle w:val="TableParagraph"/>
              <w:ind w:left="57"/>
              <w:rPr>
                <w:b/>
                <w:sz w:val="13"/>
              </w:rPr>
            </w:pPr>
            <w:r>
              <w:rPr>
                <w:b/>
                <w:w w:val="105"/>
                <w:sz w:val="13"/>
              </w:rPr>
              <w:t>SCE</w:t>
            </w:r>
          </w:p>
        </w:tc>
        <w:tc>
          <w:tcPr>
            <w:tcW w:w="1711" w:type="dxa"/>
            <w:tcBorders>
              <w:top w:val="single" w:sz="4" w:space="0" w:color="000000"/>
              <w:left w:val="single" w:sz="4" w:space="0" w:color="000000"/>
              <w:bottom w:val="single" w:sz="4" w:space="0" w:color="000000"/>
            </w:tcBorders>
            <w:shd w:val="clear" w:color="auto" w:fill="DEEAF6"/>
          </w:tcPr>
          <w:p>
            <w:pPr>
              <w:pStyle w:val="TableParagraph"/>
              <w:spacing w:before="66"/>
              <w:ind w:right="173"/>
              <w:jc w:val="right"/>
              <w:rPr>
                <w:b/>
                <w:sz w:val="13"/>
              </w:rPr>
            </w:pPr>
            <w:r>
              <w:rPr>
                <w:b/>
                <w:w w:val="105"/>
                <w:sz w:val="13"/>
              </w:rPr>
              <w:t>Saldo de dudoso cobro</w:t>
            </w:r>
          </w:p>
        </w:tc>
        <w:tc>
          <w:tcPr>
            <w:tcW w:w="3210" w:type="dxa"/>
            <w:gridSpan w:val="2"/>
            <w:tcBorders>
              <w:top w:val="single" w:sz="4" w:space="0" w:color="000000"/>
              <w:bottom w:val="single" w:sz="4" w:space="0" w:color="000000"/>
              <w:right w:val="single" w:sz="4" w:space="0" w:color="000000"/>
            </w:tcBorders>
            <w:shd w:val="clear" w:color="auto" w:fill="DEEAF6"/>
          </w:tcPr>
          <w:p>
            <w:pPr>
              <w:pStyle w:val="TableParagraph"/>
              <w:tabs>
                <w:tab w:pos="2624" w:val="left" w:leader="none"/>
              </w:tabs>
              <w:spacing w:before="66"/>
              <w:ind w:left="185"/>
              <w:rPr>
                <w:b/>
                <w:sz w:val="13"/>
              </w:rPr>
            </w:pPr>
            <w:r>
              <w:rPr>
                <w:b/>
                <w:w w:val="105"/>
                <w:sz w:val="13"/>
              </w:rPr>
              <w:t>Provisión</w:t>
            </w:r>
            <w:r>
              <w:rPr>
                <w:b/>
                <w:spacing w:val="-10"/>
                <w:w w:val="105"/>
                <w:sz w:val="13"/>
              </w:rPr>
              <w:t> </w:t>
            </w:r>
            <w:r>
              <w:rPr>
                <w:b/>
                <w:w w:val="105"/>
                <w:sz w:val="13"/>
              </w:rPr>
              <w:t>para</w:t>
            </w:r>
            <w:r>
              <w:rPr>
                <w:b/>
                <w:spacing w:val="-8"/>
                <w:w w:val="105"/>
                <w:sz w:val="13"/>
              </w:rPr>
              <w:t> </w:t>
            </w:r>
            <w:r>
              <w:rPr>
                <w:b/>
                <w:w w:val="105"/>
                <w:sz w:val="13"/>
              </w:rPr>
              <w:t>responsabilidades</w:t>
              <w:tab/>
              <w:t>%</w:t>
            </w:r>
          </w:p>
        </w:tc>
      </w:tr>
      <w:tr>
        <w:trPr>
          <w:trHeight w:val="218" w:hRule="atLeast"/>
        </w:trPr>
        <w:tc>
          <w:tcPr>
            <w:tcW w:w="1187" w:type="dxa"/>
            <w:vMerge/>
            <w:tcBorders>
              <w:top w:val="nil"/>
              <w:left w:val="single" w:sz="4" w:space="0" w:color="000000"/>
              <w:right w:val="single" w:sz="4" w:space="0" w:color="000000"/>
            </w:tcBorders>
          </w:tcPr>
          <w:p>
            <w:pPr>
              <w:rPr>
                <w:sz w:val="2"/>
                <w:szCs w:val="2"/>
              </w:rPr>
            </w:pPr>
          </w:p>
        </w:tc>
        <w:tc>
          <w:tcPr>
            <w:tcW w:w="1711" w:type="dxa"/>
            <w:tcBorders>
              <w:top w:val="single" w:sz="4" w:space="0" w:color="000000"/>
              <w:left w:val="single" w:sz="4" w:space="0" w:color="000000"/>
            </w:tcBorders>
          </w:tcPr>
          <w:p>
            <w:pPr>
              <w:pStyle w:val="TableParagraph"/>
              <w:spacing w:before="30"/>
              <w:ind w:right="217"/>
              <w:jc w:val="right"/>
              <w:rPr>
                <w:sz w:val="13"/>
              </w:rPr>
            </w:pPr>
            <w:r>
              <w:rPr>
                <w:w w:val="105"/>
                <w:sz w:val="13"/>
              </w:rPr>
              <w:t>7.963,27</w:t>
            </w:r>
          </w:p>
        </w:tc>
        <w:tc>
          <w:tcPr>
            <w:tcW w:w="1923" w:type="dxa"/>
            <w:tcBorders>
              <w:top w:val="single" w:sz="4" w:space="0" w:color="000000"/>
            </w:tcBorders>
          </w:tcPr>
          <w:p>
            <w:pPr>
              <w:pStyle w:val="TableParagraph"/>
              <w:spacing w:before="30"/>
              <w:ind w:right="534"/>
              <w:jc w:val="right"/>
              <w:rPr>
                <w:sz w:val="13"/>
              </w:rPr>
            </w:pPr>
            <w:r>
              <w:rPr>
                <w:w w:val="105"/>
                <w:sz w:val="13"/>
              </w:rPr>
              <w:t>12.362,27</w:t>
            </w:r>
          </w:p>
        </w:tc>
        <w:tc>
          <w:tcPr>
            <w:tcW w:w="1287" w:type="dxa"/>
            <w:tcBorders>
              <w:top w:val="single" w:sz="4" w:space="0" w:color="000000"/>
              <w:right w:val="single" w:sz="4" w:space="0" w:color="000000"/>
            </w:tcBorders>
          </w:tcPr>
          <w:p>
            <w:pPr>
              <w:pStyle w:val="TableParagraph"/>
              <w:spacing w:before="30"/>
              <w:ind w:right="326"/>
              <w:jc w:val="right"/>
              <w:rPr>
                <w:sz w:val="13"/>
              </w:rPr>
            </w:pPr>
            <w:r>
              <w:rPr>
                <w:sz w:val="13"/>
              </w:rPr>
              <w:t>57,57%</w:t>
            </w:r>
          </w:p>
        </w:tc>
      </w:tr>
      <w:tr>
        <w:trPr>
          <w:trHeight w:val="219" w:hRule="atLeast"/>
        </w:trPr>
        <w:tc>
          <w:tcPr>
            <w:tcW w:w="1187" w:type="dxa"/>
            <w:tcBorders>
              <w:left w:val="single" w:sz="4" w:space="0" w:color="000000"/>
              <w:right w:val="single" w:sz="4" w:space="0" w:color="000000"/>
            </w:tcBorders>
            <w:shd w:val="clear" w:color="auto" w:fill="F1F1F1"/>
          </w:tcPr>
          <w:p>
            <w:pPr>
              <w:pStyle w:val="TableParagraph"/>
              <w:spacing w:before="31"/>
              <w:ind w:left="57"/>
              <w:rPr>
                <w:b/>
                <w:sz w:val="13"/>
              </w:rPr>
            </w:pPr>
            <w:r>
              <w:rPr>
                <w:b/>
                <w:w w:val="105"/>
                <w:sz w:val="13"/>
              </w:rPr>
              <w:t>SCS</w:t>
            </w:r>
          </w:p>
        </w:tc>
        <w:tc>
          <w:tcPr>
            <w:tcW w:w="1711" w:type="dxa"/>
            <w:tcBorders>
              <w:left w:val="single" w:sz="4" w:space="0" w:color="000000"/>
            </w:tcBorders>
            <w:shd w:val="clear" w:color="auto" w:fill="F1F1F1"/>
          </w:tcPr>
          <w:p>
            <w:pPr>
              <w:pStyle w:val="TableParagraph"/>
              <w:spacing w:before="31"/>
              <w:ind w:right="217"/>
              <w:jc w:val="right"/>
              <w:rPr>
                <w:b/>
                <w:sz w:val="13"/>
              </w:rPr>
            </w:pPr>
            <w:r>
              <w:rPr>
                <w:b/>
                <w:w w:val="105"/>
                <w:sz w:val="13"/>
              </w:rPr>
              <w:t>56.434,31</w:t>
            </w:r>
          </w:p>
        </w:tc>
        <w:tc>
          <w:tcPr>
            <w:tcW w:w="1923" w:type="dxa"/>
            <w:shd w:val="clear" w:color="auto" w:fill="F1F1F1"/>
          </w:tcPr>
          <w:p>
            <w:pPr>
              <w:pStyle w:val="TableParagraph"/>
              <w:spacing w:before="31"/>
              <w:ind w:right="534"/>
              <w:jc w:val="right"/>
              <w:rPr>
                <w:b/>
                <w:sz w:val="13"/>
              </w:rPr>
            </w:pPr>
            <w:r>
              <w:rPr>
                <w:b/>
                <w:w w:val="105"/>
                <w:sz w:val="13"/>
              </w:rPr>
              <w:t>2.736,80</w:t>
            </w:r>
          </w:p>
        </w:tc>
        <w:tc>
          <w:tcPr>
            <w:tcW w:w="1287" w:type="dxa"/>
            <w:tcBorders>
              <w:right w:val="single" w:sz="4" w:space="0" w:color="000000"/>
            </w:tcBorders>
            <w:shd w:val="clear" w:color="auto" w:fill="F1F1F1"/>
          </w:tcPr>
          <w:p>
            <w:pPr>
              <w:pStyle w:val="TableParagraph"/>
              <w:spacing w:before="31"/>
              <w:ind w:right="324"/>
              <w:jc w:val="right"/>
              <w:rPr>
                <w:b/>
                <w:sz w:val="13"/>
              </w:rPr>
            </w:pPr>
            <w:r>
              <w:rPr>
                <w:b/>
                <w:w w:val="105"/>
                <w:sz w:val="13"/>
              </w:rPr>
              <w:t>12,75%</w:t>
            </w:r>
          </w:p>
        </w:tc>
      </w:tr>
      <w:tr>
        <w:trPr>
          <w:trHeight w:val="231" w:hRule="atLeast"/>
        </w:trPr>
        <w:tc>
          <w:tcPr>
            <w:tcW w:w="1187" w:type="dxa"/>
            <w:tcBorders>
              <w:left w:val="single" w:sz="4" w:space="0" w:color="000000"/>
              <w:right w:val="single" w:sz="4" w:space="0" w:color="000000"/>
            </w:tcBorders>
          </w:tcPr>
          <w:p>
            <w:pPr>
              <w:pStyle w:val="TableParagraph"/>
              <w:spacing w:before="32"/>
              <w:ind w:left="57"/>
              <w:rPr>
                <w:b/>
                <w:sz w:val="13"/>
              </w:rPr>
            </w:pPr>
            <w:r>
              <w:rPr>
                <w:b/>
                <w:w w:val="105"/>
                <w:sz w:val="13"/>
              </w:rPr>
              <w:t>ICAVI</w:t>
            </w:r>
          </w:p>
        </w:tc>
        <w:tc>
          <w:tcPr>
            <w:tcW w:w="1711" w:type="dxa"/>
            <w:tcBorders>
              <w:left w:val="single" w:sz="4" w:space="0" w:color="000000"/>
            </w:tcBorders>
          </w:tcPr>
          <w:p>
            <w:pPr>
              <w:pStyle w:val="TableParagraph"/>
              <w:spacing w:before="32"/>
              <w:ind w:right="217"/>
              <w:jc w:val="right"/>
              <w:rPr>
                <w:sz w:val="13"/>
              </w:rPr>
            </w:pPr>
            <w:r>
              <w:rPr>
                <w:w w:val="105"/>
                <w:sz w:val="13"/>
              </w:rPr>
              <w:t>5.513,88</w:t>
            </w:r>
          </w:p>
        </w:tc>
        <w:tc>
          <w:tcPr>
            <w:tcW w:w="1923" w:type="dxa"/>
          </w:tcPr>
          <w:p>
            <w:pPr>
              <w:pStyle w:val="TableParagraph"/>
              <w:spacing w:before="32"/>
              <w:ind w:right="534"/>
              <w:jc w:val="right"/>
              <w:rPr>
                <w:sz w:val="13"/>
              </w:rPr>
            </w:pPr>
            <w:r>
              <w:rPr>
                <w:w w:val="105"/>
                <w:sz w:val="13"/>
              </w:rPr>
              <w:t>1.968,26</w:t>
            </w:r>
          </w:p>
        </w:tc>
        <w:tc>
          <w:tcPr>
            <w:tcW w:w="1287" w:type="dxa"/>
            <w:tcBorders>
              <w:right w:val="single" w:sz="4" w:space="0" w:color="000000"/>
            </w:tcBorders>
          </w:tcPr>
          <w:p>
            <w:pPr>
              <w:pStyle w:val="TableParagraph"/>
              <w:spacing w:before="32"/>
              <w:ind w:right="359"/>
              <w:jc w:val="right"/>
              <w:rPr>
                <w:sz w:val="13"/>
              </w:rPr>
            </w:pPr>
            <w:r>
              <w:rPr>
                <w:sz w:val="13"/>
              </w:rPr>
              <w:t>9,17%</w:t>
            </w:r>
          </w:p>
        </w:tc>
      </w:tr>
      <w:tr>
        <w:trPr>
          <w:trHeight w:val="218" w:hRule="atLeast"/>
        </w:trPr>
        <w:tc>
          <w:tcPr>
            <w:tcW w:w="1187" w:type="dxa"/>
            <w:tcBorders>
              <w:left w:val="single" w:sz="4" w:space="0" w:color="000000"/>
              <w:right w:val="single" w:sz="4" w:space="0" w:color="000000"/>
            </w:tcBorders>
          </w:tcPr>
          <w:p>
            <w:pPr>
              <w:pStyle w:val="TableParagraph"/>
              <w:spacing w:before="19"/>
              <w:ind w:left="57"/>
              <w:rPr>
                <w:b/>
                <w:sz w:val="13"/>
              </w:rPr>
            </w:pPr>
            <w:r>
              <w:rPr>
                <w:b/>
                <w:w w:val="105"/>
                <w:sz w:val="13"/>
              </w:rPr>
              <w:t>ICCA</w:t>
            </w:r>
          </w:p>
        </w:tc>
        <w:tc>
          <w:tcPr>
            <w:tcW w:w="1711" w:type="dxa"/>
            <w:tcBorders>
              <w:left w:val="single" w:sz="4" w:space="0" w:color="000000"/>
            </w:tcBorders>
          </w:tcPr>
          <w:p>
            <w:pPr>
              <w:pStyle w:val="TableParagraph"/>
              <w:spacing w:before="19"/>
              <w:ind w:right="217"/>
              <w:jc w:val="right"/>
              <w:rPr>
                <w:sz w:val="13"/>
              </w:rPr>
            </w:pPr>
            <w:r>
              <w:rPr>
                <w:sz w:val="13"/>
              </w:rPr>
              <w:t>89,77</w:t>
            </w:r>
          </w:p>
        </w:tc>
        <w:tc>
          <w:tcPr>
            <w:tcW w:w="1923" w:type="dxa"/>
          </w:tcPr>
          <w:p>
            <w:pPr>
              <w:pStyle w:val="TableParagraph"/>
              <w:rPr>
                <w:rFonts w:ascii="Times New Roman"/>
                <w:sz w:val="14"/>
              </w:rPr>
            </w:pPr>
          </w:p>
        </w:tc>
        <w:tc>
          <w:tcPr>
            <w:tcW w:w="1287" w:type="dxa"/>
            <w:tcBorders>
              <w:right w:val="single" w:sz="4" w:space="0" w:color="000000"/>
            </w:tcBorders>
          </w:tcPr>
          <w:p>
            <w:pPr>
              <w:pStyle w:val="TableParagraph"/>
              <w:rPr>
                <w:rFonts w:ascii="Times New Roman"/>
                <w:sz w:val="14"/>
              </w:rPr>
            </w:pPr>
          </w:p>
        </w:tc>
      </w:tr>
      <w:tr>
        <w:trPr>
          <w:trHeight w:val="207" w:hRule="atLeast"/>
        </w:trPr>
        <w:tc>
          <w:tcPr>
            <w:tcW w:w="1187" w:type="dxa"/>
            <w:tcBorders>
              <w:left w:val="single" w:sz="4" w:space="0" w:color="000000"/>
              <w:right w:val="single" w:sz="4" w:space="0" w:color="000000"/>
            </w:tcBorders>
          </w:tcPr>
          <w:p>
            <w:pPr>
              <w:pStyle w:val="TableParagraph"/>
              <w:spacing w:before="18"/>
              <w:ind w:left="57"/>
              <w:rPr>
                <w:b/>
                <w:sz w:val="13"/>
              </w:rPr>
            </w:pPr>
            <w:r>
              <w:rPr>
                <w:b/>
                <w:w w:val="105"/>
                <w:sz w:val="13"/>
              </w:rPr>
              <w:t>ICHH</w:t>
            </w:r>
          </w:p>
        </w:tc>
        <w:tc>
          <w:tcPr>
            <w:tcW w:w="1711" w:type="dxa"/>
            <w:tcBorders>
              <w:left w:val="single" w:sz="4" w:space="0" w:color="000000"/>
            </w:tcBorders>
          </w:tcPr>
          <w:p>
            <w:pPr>
              <w:pStyle w:val="TableParagraph"/>
              <w:rPr>
                <w:rFonts w:ascii="Times New Roman"/>
                <w:sz w:val="14"/>
              </w:rPr>
            </w:pPr>
          </w:p>
        </w:tc>
        <w:tc>
          <w:tcPr>
            <w:tcW w:w="1923" w:type="dxa"/>
          </w:tcPr>
          <w:p>
            <w:pPr>
              <w:pStyle w:val="TableParagraph"/>
              <w:spacing w:before="18"/>
              <w:ind w:right="534"/>
              <w:jc w:val="right"/>
              <w:rPr>
                <w:sz w:val="13"/>
              </w:rPr>
            </w:pPr>
            <w:r>
              <w:rPr>
                <w:sz w:val="13"/>
              </w:rPr>
              <w:t>52,40</w:t>
            </w:r>
          </w:p>
        </w:tc>
        <w:tc>
          <w:tcPr>
            <w:tcW w:w="1287" w:type="dxa"/>
            <w:tcBorders>
              <w:right w:val="single" w:sz="4" w:space="0" w:color="000000"/>
            </w:tcBorders>
          </w:tcPr>
          <w:p>
            <w:pPr>
              <w:pStyle w:val="TableParagraph"/>
              <w:spacing w:before="18"/>
              <w:ind w:right="359"/>
              <w:jc w:val="right"/>
              <w:rPr>
                <w:sz w:val="13"/>
              </w:rPr>
            </w:pPr>
            <w:r>
              <w:rPr>
                <w:sz w:val="13"/>
              </w:rPr>
              <w:t>0,24%</w:t>
            </w:r>
          </w:p>
        </w:tc>
      </w:tr>
      <w:tr>
        <w:trPr>
          <w:trHeight w:val="196" w:hRule="atLeast"/>
        </w:trPr>
        <w:tc>
          <w:tcPr>
            <w:tcW w:w="1187" w:type="dxa"/>
            <w:tcBorders>
              <w:left w:val="single" w:sz="4" w:space="0" w:color="000000"/>
              <w:right w:val="single" w:sz="4" w:space="0" w:color="000000"/>
            </w:tcBorders>
          </w:tcPr>
          <w:p>
            <w:pPr>
              <w:pStyle w:val="TableParagraph"/>
              <w:spacing w:before="8"/>
              <w:ind w:left="57"/>
              <w:rPr>
                <w:b/>
                <w:sz w:val="13"/>
              </w:rPr>
            </w:pPr>
            <w:r>
              <w:rPr>
                <w:b/>
                <w:w w:val="105"/>
                <w:sz w:val="13"/>
              </w:rPr>
              <w:t>ACPMN</w:t>
            </w:r>
          </w:p>
        </w:tc>
        <w:tc>
          <w:tcPr>
            <w:tcW w:w="1711" w:type="dxa"/>
            <w:tcBorders>
              <w:left w:val="single" w:sz="4" w:space="0" w:color="000000"/>
            </w:tcBorders>
          </w:tcPr>
          <w:p>
            <w:pPr>
              <w:pStyle w:val="TableParagraph"/>
              <w:spacing w:before="8"/>
              <w:ind w:right="217"/>
              <w:jc w:val="right"/>
              <w:rPr>
                <w:sz w:val="13"/>
              </w:rPr>
            </w:pPr>
            <w:r>
              <w:rPr>
                <w:w w:val="105"/>
                <w:sz w:val="13"/>
              </w:rPr>
              <w:t>4.490,72</w:t>
            </w:r>
          </w:p>
        </w:tc>
        <w:tc>
          <w:tcPr>
            <w:tcW w:w="1923" w:type="dxa"/>
          </w:tcPr>
          <w:p>
            <w:pPr>
              <w:pStyle w:val="TableParagraph"/>
              <w:spacing w:before="8"/>
              <w:ind w:right="534"/>
              <w:jc w:val="right"/>
              <w:rPr>
                <w:sz w:val="13"/>
              </w:rPr>
            </w:pPr>
            <w:r>
              <w:rPr>
                <w:w w:val="103"/>
                <w:sz w:val="13"/>
              </w:rPr>
              <w:t>-</w:t>
            </w:r>
          </w:p>
        </w:tc>
        <w:tc>
          <w:tcPr>
            <w:tcW w:w="1287" w:type="dxa"/>
            <w:tcBorders>
              <w:right w:val="single" w:sz="4" w:space="0" w:color="000000"/>
            </w:tcBorders>
          </w:tcPr>
          <w:p>
            <w:pPr>
              <w:pStyle w:val="TableParagraph"/>
              <w:rPr>
                <w:rFonts w:ascii="Times New Roman"/>
                <w:sz w:val="12"/>
              </w:rPr>
            </w:pPr>
          </w:p>
        </w:tc>
      </w:tr>
      <w:tr>
        <w:trPr>
          <w:trHeight w:val="194" w:hRule="atLeast"/>
        </w:trPr>
        <w:tc>
          <w:tcPr>
            <w:tcW w:w="1187" w:type="dxa"/>
            <w:tcBorders>
              <w:left w:val="single" w:sz="4" w:space="0" w:color="000000"/>
              <w:bottom w:val="single" w:sz="4" w:space="0" w:color="000000"/>
              <w:right w:val="single" w:sz="4" w:space="0" w:color="000000"/>
            </w:tcBorders>
          </w:tcPr>
          <w:p>
            <w:pPr>
              <w:pStyle w:val="TableParagraph"/>
              <w:spacing w:before="7"/>
              <w:ind w:left="57"/>
              <w:rPr>
                <w:b/>
                <w:sz w:val="13"/>
              </w:rPr>
            </w:pPr>
            <w:r>
              <w:rPr>
                <w:b/>
                <w:w w:val="105"/>
                <w:sz w:val="13"/>
              </w:rPr>
              <w:t>RTVC</w:t>
            </w:r>
          </w:p>
        </w:tc>
        <w:tc>
          <w:tcPr>
            <w:tcW w:w="1711" w:type="dxa"/>
            <w:tcBorders>
              <w:left w:val="single" w:sz="4" w:space="0" w:color="000000"/>
              <w:bottom w:val="single" w:sz="4" w:space="0" w:color="000000"/>
            </w:tcBorders>
          </w:tcPr>
          <w:p>
            <w:pPr>
              <w:pStyle w:val="TableParagraph"/>
              <w:rPr>
                <w:rFonts w:ascii="Times New Roman"/>
                <w:sz w:val="12"/>
              </w:rPr>
            </w:pPr>
          </w:p>
        </w:tc>
        <w:tc>
          <w:tcPr>
            <w:tcW w:w="1923" w:type="dxa"/>
            <w:tcBorders>
              <w:bottom w:val="single" w:sz="4" w:space="0" w:color="000000"/>
            </w:tcBorders>
          </w:tcPr>
          <w:p>
            <w:pPr>
              <w:pStyle w:val="TableParagraph"/>
              <w:spacing w:before="7"/>
              <w:ind w:right="534"/>
              <w:jc w:val="right"/>
              <w:rPr>
                <w:sz w:val="13"/>
              </w:rPr>
            </w:pPr>
            <w:r>
              <w:rPr>
                <w:w w:val="105"/>
                <w:sz w:val="13"/>
              </w:rPr>
              <w:t>4.352,69</w:t>
            </w:r>
          </w:p>
        </w:tc>
        <w:tc>
          <w:tcPr>
            <w:tcW w:w="1287" w:type="dxa"/>
            <w:tcBorders>
              <w:bottom w:val="single" w:sz="4" w:space="0" w:color="000000"/>
              <w:right w:val="single" w:sz="4" w:space="0" w:color="000000"/>
            </w:tcBorders>
          </w:tcPr>
          <w:p>
            <w:pPr>
              <w:pStyle w:val="TableParagraph"/>
              <w:spacing w:before="7"/>
              <w:ind w:right="326"/>
              <w:jc w:val="right"/>
              <w:rPr>
                <w:sz w:val="13"/>
              </w:rPr>
            </w:pPr>
            <w:r>
              <w:rPr>
                <w:sz w:val="13"/>
              </w:rPr>
              <w:t>20,27%</w:t>
            </w:r>
          </w:p>
        </w:tc>
      </w:tr>
      <w:tr>
        <w:trPr>
          <w:trHeight w:val="217" w:hRule="atLeast"/>
        </w:trPr>
        <w:tc>
          <w:tcPr>
            <w:tcW w:w="1187"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0"/>
              <w:ind w:left="57"/>
              <w:rPr>
                <w:b/>
                <w:sz w:val="13"/>
              </w:rPr>
            </w:pPr>
            <w:r>
              <w:rPr>
                <w:b/>
                <w:w w:val="105"/>
                <w:sz w:val="13"/>
              </w:rPr>
              <w:t>Total (</w:t>
            </w:r>
            <w:r>
              <w:rPr>
                <w:w w:val="105"/>
                <w:sz w:val="13"/>
              </w:rPr>
              <w:t>miles de €</w:t>
            </w:r>
            <w:r>
              <w:rPr>
                <w:b/>
                <w:w w:val="105"/>
                <w:sz w:val="13"/>
              </w:rPr>
              <w:t>)</w:t>
            </w:r>
          </w:p>
        </w:tc>
        <w:tc>
          <w:tcPr>
            <w:tcW w:w="1711" w:type="dxa"/>
            <w:tcBorders>
              <w:top w:val="single" w:sz="4" w:space="0" w:color="000000"/>
              <w:left w:val="single" w:sz="4" w:space="0" w:color="000000"/>
              <w:bottom w:val="single" w:sz="4" w:space="0" w:color="000000"/>
            </w:tcBorders>
            <w:shd w:val="clear" w:color="auto" w:fill="D9D9D9"/>
          </w:tcPr>
          <w:p>
            <w:pPr>
              <w:pStyle w:val="TableParagraph"/>
              <w:spacing w:before="30"/>
              <w:ind w:right="217"/>
              <w:jc w:val="right"/>
              <w:rPr>
                <w:b/>
                <w:sz w:val="13"/>
              </w:rPr>
            </w:pPr>
            <w:r>
              <w:rPr>
                <w:b/>
                <w:w w:val="105"/>
                <w:sz w:val="13"/>
              </w:rPr>
              <w:t>74.491,95</w:t>
            </w:r>
          </w:p>
        </w:tc>
        <w:tc>
          <w:tcPr>
            <w:tcW w:w="1923" w:type="dxa"/>
            <w:tcBorders>
              <w:top w:val="single" w:sz="4" w:space="0" w:color="000000"/>
              <w:bottom w:val="single" w:sz="4" w:space="0" w:color="000000"/>
            </w:tcBorders>
            <w:shd w:val="clear" w:color="auto" w:fill="D9D9D9"/>
          </w:tcPr>
          <w:p>
            <w:pPr>
              <w:pStyle w:val="TableParagraph"/>
              <w:spacing w:before="30"/>
              <w:ind w:right="534"/>
              <w:jc w:val="right"/>
              <w:rPr>
                <w:b/>
                <w:sz w:val="13"/>
              </w:rPr>
            </w:pPr>
            <w:r>
              <w:rPr>
                <w:b/>
                <w:w w:val="105"/>
                <w:sz w:val="13"/>
              </w:rPr>
              <w:t>21.472,42</w:t>
            </w:r>
          </w:p>
        </w:tc>
        <w:tc>
          <w:tcPr>
            <w:tcW w:w="1287" w:type="dxa"/>
            <w:tcBorders>
              <w:top w:val="single" w:sz="4" w:space="0" w:color="000000"/>
              <w:bottom w:val="single" w:sz="4" w:space="0" w:color="000000"/>
              <w:right w:val="single" w:sz="4" w:space="0" w:color="000000"/>
            </w:tcBorders>
            <w:shd w:val="clear" w:color="auto" w:fill="D9D9D9"/>
          </w:tcPr>
          <w:p>
            <w:pPr>
              <w:pStyle w:val="TableParagraph"/>
              <w:rPr>
                <w:rFonts w:ascii="Times New Roman"/>
                <w:sz w:val="14"/>
              </w:rPr>
            </w:pPr>
          </w:p>
        </w:tc>
      </w:tr>
    </w:tbl>
    <w:p>
      <w:pPr>
        <w:pStyle w:val="BodyText"/>
        <w:spacing w:before="3"/>
        <w:rPr>
          <w:sz w:val="11"/>
        </w:rPr>
      </w:pPr>
    </w:p>
    <w:p>
      <w:pPr>
        <w:pStyle w:val="BodyText"/>
        <w:spacing w:before="61"/>
        <w:ind w:left="7897"/>
        <w:jc w:val="center"/>
      </w:pPr>
      <w:r>
        <w:rPr/>
        <w:t>84</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79" name="image5.png"/>
                  <wp:cNvGraphicFramePr>
                    <a:graphicFrameLocks noChangeAspect="1"/>
                  </wp:cNvGraphicFramePr>
                  <a:graphic>
                    <a:graphicData uri="http://schemas.openxmlformats.org/drawingml/2006/picture">
                      <pic:pic>
                        <pic:nvPicPr>
                          <pic:cNvPr id="18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86/247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2"/>
          <w:numId w:val="26"/>
        </w:numPr>
        <w:tabs>
          <w:tab w:pos="2691" w:val="left" w:leader="none"/>
        </w:tabs>
        <w:spacing w:line="240" w:lineRule="auto" w:before="61" w:after="0"/>
        <w:ind w:left="2690" w:right="0" w:hanging="605"/>
        <w:jc w:val="left"/>
        <w:rPr>
          <w:b/>
          <w:sz w:val="20"/>
        </w:rPr>
      </w:pPr>
      <w:r>
        <w:rPr>
          <w:b/>
          <w:color w:val="53A1B9"/>
          <w:sz w:val="20"/>
        </w:rPr>
        <w:t>Contratación.</w:t>
      </w:r>
    </w:p>
    <w:p>
      <w:pPr>
        <w:pStyle w:val="BodyText"/>
        <w:spacing w:before="8"/>
        <w:rPr>
          <w:b/>
          <w:sz w:val="16"/>
        </w:rPr>
      </w:pPr>
    </w:p>
    <w:p>
      <w:pPr>
        <w:pStyle w:val="ListParagraph"/>
        <w:numPr>
          <w:ilvl w:val="0"/>
          <w:numId w:val="40"/>
        </w:numPr>
        <w:tabs>
          <w:tab w:pos="2351" w:val="left" w:leader="none"/>
        </w:tabs>
        <w:spacing w:line="240" w:lineRule="auto" w:before="0" w:after="0"/>
        <w:ind w:left="2096" w:right="1389" w:firstLine="0"/>
        <w:jc w:val="left"/>
        <w:rPr>
          <w:b/>
          <w:sz w:val="20"/>
        </w:rPr>
      </w:pPr>
      <w:r>
        <w:rPr>
          <w:b/>
          <w:sz w:val="20"/>
        </w:rPr>
        <w:t>Cumplimiento de las obligaciones de remisión de información y documentación de contratos, convenios y encargos a medios</w:t>
      </w:r>
      <w:r>
        <w:rPr>
          <w:b/>
          <w:spacing w:val="2"/>
          <w:sz w:val="20"/>
        </w:rPr>
        <w:t> </w:t>
      </w:r>
      <w:r>
        <w:rPr>
          <w:b/>
          <w:sz w:val="20"/>
        </w:rPr>
        <w:t>propios.</w:t>
      </w:r>
    </w:p>
    <w:p>
      <w:pPr>
        <w:pStyle w:val="BodyText"/>
        <w:spacing w:before="10"/>
        <w:rPr>
          <w:b/>
          <w:sz w:val="16"/>
        </w:rPr>
      </w:pPr>
    </w:p>
    <w:p>
      <w:pPr>
        <w:spacing w:before="0"/>
        <w:ind w:left="2096" w:right="0" w:firstLine="0"/>
        <w:jc w:val="left"/>
        <w:rPr>
          <w:b/>
          <w:sz w:val="20"/>
        </w:rPr>
      </w:pPr>
      <w:r>
        <w:rPr>
          <w:b/>
          <w:sz w:val="20"/>
        </w:rPr>
        <w:t>Plazo y contenido de la rendición.</w:t>
      </w:r>
    </w:p>
    <w:p>
      <w:pPr>
        <w:pStyle w:val="BodyText"/>
        <w:spacing w:before="7"/>
        <w:rPr>
          <w:b/>
          <w:sz w:val="16"/>
        </w:rPr>
      </w:pPr>
    </w:p>
    <w:p>
      <w:pPr>
        <w:pStyle w:val="ListParagraph"/>
        <w:numPr>
          <w:ilvl w:val="0"/>
          <w:numId w:val="41"/>
        </w:numPr>
        <w:tabs>
          <w:tab w:pos="2335" w:val="left" w:leader="none"/>
        </w:tabs>
        <w:spacing w:line="242" w:lineRule="auto" w:before="1" w:after="0"/>
        <w:ind w:left="2334" w:right="1138" w:hanging="238"/>
        <w:jc w:val="both"/>
        <w:rPr>
          <w:sz w:val="20"/>
        </w:rPr>
      </w:pPr>
      <w:r>
        <w:rPr>
          <w:sz w:val="20"/>
        </w:rPr>
        <w:t>En</w:t>
      </w:r>
      <w:r>
        <w:rPr>
          <w:spacing w:val="-1"/>
          <w:sz w:val="20"/>
        </w:rPr>
        <w:t> </w:t>
      </w:r>
      <w:r>
        <w:rPr>
          <w:sz w:val="20"/>
        </w:rPr>
        <w:t>virtud</w:t>
      </w:r>
      <w:r>
        <w:rPr>
          <w:spacing w:val="-3"/>
          <w:sz w:val="20"/>
        </w:rPr>
        <w:t> </w:t>
      </w:r>
      <w:r>
        <w:rPr>
          <w:sz w:val="20"/>
        </w:rPr>
        <w:t>de</w:t>
      </w:r>
      <w:r>
        <w:rPr>
          <w:spacing w:val="-4"/>
          <w:sz w:val="20"/>
        </w:rPr>
        <w:t> </w:t>
      </w:r>
      <w:r>
        <w:rPr>
          <w:sz w:val="20"/>
        </w:rPr>
        <w:t>los</w:t>
      </w:r>
      <w:r>
        <w:rPr>
          <w:spacing w:val="-4"/>
          <w:sz w:val="20"/>
        </w:rPr>
        <w:t> </w:t>
      </w:r>
      <w:r>
        <w:rPr>
          <w:sz w:val="20"/>
        </w:rPr>
        <w:t>dispuesto</w:t>
      </w:r>
      <w:r>
        <w:rPr>
          <w:spacing w:val="-2"/>
          <w:sz w:val="20"/>
        </w:rPr>
        <w:t> </w:t>
      </w:r>
      <w:r>
        <w:rPr>
          <w:sz w:val="20"/>
        </w:rPr>
        <w:t>en</w:t>
      </w:r>
      <w:r>
        <w:rPr>
          <w:spacing w:val="-2"/>
          <w:sz w:val="20"/>
        </w:rPr>
        <w:t> </w:t>
      </w:r>
      <w:r>
        <w:rPr>
          <w:sz w:val="20"/>
        </w:rPr>
        <w:t>la</w:t>
      </w:r>
      <w:r>
        <w:rPr>
          <w:spacing w:val="-2"/>
          <w:sz w:val="20"/>
        </w:rPr>
        <w:t> </w:t>
      </w:r>
      <w:r>
        <w:rPr>
          <w:sz w:val="20"/>
        </w:rPr>
        <w:t>Instrucción</w:t>
      </w:r>
      <w:r>
        <w:rPr>
          <w:spacing w:val="-3"/>
          <w:sz w:val="20"/>
        </w:rPr>
        <w:t> </w:t>
      </w:r>
      <w:r>
        <w:rPr>
          <w:sz w:val="20"/>
        </w:rPr>
        <w:t>de</w:t>
      </w:r>
      <w:r>
        <w:rPr>
          <w:spacing w:val="-4"/>
          <w:sz w:val="20"/>
        </w:rPr>
        <w:t> </w:t>
      </w:r>
      <w:r>
        <w:rPr>
          <w:sz w:val="20"/>
        </w:rPr>
        <w:t>rendición</w:t>
      </w:r>
      <w:r>
        <w:rPr>
          <w:spacing w:val="-3"/>
          <w:sz w:val="20"/>
        </w:rPr>
        <w:t> </w:t>
      </w:r>
      <w:r>
        <w:rPr>
          <w:sz w:val="20"/>
        </w:rPr>
        <w:t>de</w:t>
      </w:r>
      <w:r>
        <w:rPr>
          <w:spacing w:val="-6"/>
          <w:sz w:val="20"/>
        </w:rPr>
        <w:t> </w:t>
      </w:r>
      <w:r>
        <w:rPr>
          <w:sz w:val="20"/>
        </w:rPr>
        <w:t>determinada</w:t>
      </w:r>
      <w:r>
        <w:rPr>
          <w:spacing w:val="-4"/>
          <w:sz w:val="20"/>
        </w:rPr>
        <w:t> </w:t>
      </w:r>
      <w:r>
        <w:rPr>
          <w:sz w:val="20"/>
        </w:rPr>
        <w:t>información a la Audiencia de Cuentas de Canarias,</w:t>
      </w:r>
      <w:r>
        <w:rPr>
          <w:position w:val="7"/>
          <w:sz w:val="13"/>
        </w:rPr>
        <w:t>20 </w:t>
      </w:r>
      <w:r>
        <w:rPr>
          <w:sz w:val="20"/>
        </w:rPr>
        <w:t>se establece la obligación, por parte de los órganos de contratación, de la remisión de los extractos de los expedientes de contratación y de convenios que superen un determinado importe, así como de las relaciones anuales de los contratos, convenios y encargos a medios propios personificados.</w:t>
      </w:r>
    </w:p>
    <w:p>
      <w:pPr>
        <w:pStyle w:val="BodyText"/>
        <w:rPr>
          <w:sz w:val="16"/>
        </w:rPr>
      </w:pPr>
    </w:p>
    <w:p>
      <w:pPr>
        <w:pStyle w:val="ListParagraph"/>
        <w:numPr>
          <w:ilvl w:val="0"/>
          <w:numId w:val="41"/>
        </w:numPr>
        <w:tabs>
          <w:tab w:pos="2335" w:val="left" w:leader="none"/>
        </w:tabs>
        <w:spacing w:line="240" w:lineRule="auto" w:before="1" w:after="0"/>
        <w:ind w:left="2334" w:right="1140" w:hanging="238"/>
        <w:jc w:val="both"/>
        <w:rPr>
          <w:sz w:val="13"/>
        </w:rPr>
      </w:pPr>
      <w:r>
        <w:rPr>
          <w:sz w:val="20"/>
        </w:rPr>
        <w:t>El cumplimiento de la rendición de las relaciones anuales se ha efectuado en las siguientes fechas en el caso de las entidades dependientes de la Administración autonómica:</w:t>
      </w:r>
      <w:r>
        <w:rPr>
          <w:position w:val="7"/>
          <w:sz w:val="13"/>
        </w:rPr>
        <w:t>21</w:t>
      </w:r>
    </w:p>
    <w:p>
      <w:pPr>
        <w:pStyle w:val="BodyText"/>
        <w:spacing w:before="6"/>
        <w:rPr>
          <w:sz w:val="16"/>
        </w:rPr>
      </w:pPr>
    </w:p>
    <w:tbl>
      <w:tblPr>
        <w:tblW w:w="0" w:type="auto"/>
        <w:jc w:val="left"/>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3"/>
        <w:gridCol w:w="1717"/>
        <w:gridCol w:w="1302"/>
        <w:gridCol w:w="1226"/>
        <w:gridCol w:w="1227"/>
      </w:tblGrid>
      <w:tr>
        <w:trPr>
          <w:trHeight w:val="326" w:hRule="atLeast"/>
        </w:trPr>
        <w:tc>
          <w:tcPr>
            <w:tcW w:w="1463"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717" w:type="dxa"/>
            <w:tcBorders>
              <w:top w:val="single" w:sz="4" w:space="0" w:color="000000"/>
              <w:left w:val="single" w:sz="4" w:space="0" w:color="000000"/>
              <w:bottom w:val="single" w:sz="4" w:space="0" w:color="000000"/>
            </w:tcBorders>
            <w:shd w:val="clear" w:color="auto" w:fill="DEEAF6"/>
          </w:tcPr>
          <w:p>
            <w:pPr>
              <w:pStyle w:val="TableParagraph"/>
              <w:spacing w:before="85"/>
              <w:ind w:left="474" w:right="341"/>
              <w:jc w:val="center"/>
              <w:rPr>
                <w:b/>
                <w:sz w:val="13"/>
              </w:rPr>
            </w:pPr>
            <w:r>
              <w:rPr>
                <w:b/>
                <w:w w:val="105"/>
                <w:sz w:val="13"/>
              </w:rPr>
              <w:t>Contratos LCSP</w:t>
            </w:r>
          </w:p>
        </w:tc>
        <w:tc>
          <w:tcPr>
            <w:tcW w:w="1302" w:type="dxa"/>
            <w:tcBorders>
              <w:top w:val="single" w:sz="4" w:space="0" w:color="000000"/>
              <w:bottom w:val="single" w:sz="4" w:space="0" w:color="000000"/>
            </w:tcBorders>
            <w:shd w:val="clear" w:color="auto" w:fill="DEEAF6"/>
          </w:tcPr>
          <w:p>
            <w:pPr>
              <w:pStyle w:val="TableParagraph"/>
              <w:spacing w:before="2"/>
              <w:ind w:left="427"/>
              <w:rPr>
                <w:b/>
                <w:sz w:val="13"/>
              </w:rPr>
            </w:pPr>
            <w:r>
              <w:rPr>
                <w:b/>
                <w:w w:val="105"/>
                <w:sz w:val="13"/>
              </w:rPr>
              <w:t>Contratos</w:t>
            </w:r>
          </w:p>
          <w:p>
            <w:pPr>
              <w:pStyle w:val="TableParagraph"/>
              <w:spacing w:line="141" w:lineRule="exact" w:before="4"/>
              <w:ind w:left="462"/>
              <w:rPr>
                <w:b/>
                <w:sz w:val="13"/>
              </w:rPr>
            </w:pPr>
            <w:r>
              <w:rPr>
                <w:b/>
                <w:w w:val="105"/>
                <w:sz w:val="13"/>
              </w:rPr>
              <w:t>Privados</w:t>
            </w:r>
          </w:p>
        </w:tc>
        <w:tc>
          <w:tcPr>
            <w:tcW w:w="1226" w:type="dxa"/>
            <w:tcBorders>
              <w:top w:val="single" w:sz="4" w:space="0" w:color="000000"/>
              <w:bottom w:val="single" w:sz="4" w:space="0" w:color="000000"/>
            </w:tcBorders>
            <w:shd w:val="clear" w:color="auto" w:fill="DEEAF6"/>
          </w:tcPr>
          <w:p>
            <w:pPr>
              <w:pStyle w:val="TableParagraph"/>
              <w:spacing w:before="85"/>
              <w:ind w:left="259" w:right="265"/>
              <w:jc w:val="center"/>
              <w:rPr>
                <w:b/>
                <w:sz w:val="13"/>
              </w:rPr>
            </w:pPr>
            <w:r>
              <w:rPr>
                <w:b/>
                <w:w w:val="105"/>
                <w:sz w:val="13"/>
              </w:rPr>
              <w:t>Convenios</w:t>
            </w:r>
          </w:p>
        </w:tc>
        <w:tc>
          <w:tcPr>
            <w:tcW w:w="1227" w:type="dxa"/>
            <w:tcBorders>
              <w:top w:val="single" w:sz="4" w:space="0" w:color="000000"/>
              <w:bottom w:val="single" w:sz="4" w:space="0" w:color="000000"/>
              <w:right w:val="single" w:sz="4" w:space="0" w:color="000000"/>
            </w:tcBorders>
            <w:shd w:val="clear" w:color="auto" w:fill="DEEAF6"/>
          </w:tcPr>
          <w:p>
            <w:pPr>
              <w:pStyle w:val="TableParagraph"/>
              <w:spacing w:before="85"/>
              <w:ind w:left="275" w:right="245"/>
              <w:jc w:val="center"/>
              <w:rPr>
                <w:b/>
                <w:sz w:val="13"/>
              </w:rPr>
            </w:pPr>
            <w:r>
              <w:rPr>
                <w:b/>
                <w:w w:val="105"/>
                <w:sz w:val="13"/>
              </w:rPr>
              <w:t>Encargos</w:t>
            </w:r>
          </w:p>
        </w:tc>
      </w:tr>
      <w:tr>
        <w:trPr>
          <w:trHeight w:val="223" w:hRule="atLeast"/>
        </w:trPr>
        <w:tc>
          <w:tcPr>
            <w:tcW w:w="1463" w:type="dxa"/>
            <w:tcBorders>
              <w:left w:val="single" w:sz="4" w:space="0" w:color="000000"/>
              <w:right w:val="single" w:sz="4" w:space="0" w:color="000000"/>
            </w:tcBorders>
          </w:tcPr>
          <w:p>
            <w:pPr>
              <w:pStyle w:val="TableParagraph"/>
              <w:spacing w:before="26"/>
              <w:ind w:left="130"/>
              <w:rPr>
                <w:b/>
                <w:sz w:val="13"/>
              </w:rPr>
            </w:pPr>
            <w:r>
              <w:rPr>
                <w:b/>
                <w:w w:val="105"/>
                <w:sz w:val="13"/>
              </w:rPr>
              <w:t>ACCUE</w:t>
            </w:r>
          </w:p>
        </w:tc>
        <w:tc>
          <w:tcPr>
            <w:tcW w:w="1717" w:type="dxa"/>
            <w:tcBorders>
              <w:top w:val="single" w:sz="4" w:space="0" w:color="000000"/>
              <w:left w:val="single" w:sz="4" w:space="0" w:color="000000"/>
            </w:tcBorders>
          </w:tcPr>
          <w:p>
            <w:pPr>
              <w:pStyle w:val="TableParagraph"/>
              <w:spacing w:before="26"/>
              <w:ind w:left="474" w:right="340"/>
              <w:jc w:val="center"/>
              <w:rPr>
                <w:sz w:val="13"/>
              </w:rPr>
            </w:pPr>
            <w:r>
              <w:rPr>
                <w:w w:val="105"/>
                <w:sz w:val="13"/>
              </w:rPr>
              <w:t>28/02/2023</w:t>
            </w:r>
          </w:p>
        </w:tc>
        <w:tc>
          <w:tcPr>
            <w:tcW w:w="1302" w:type="dxa"/>
            <w:tcBorders>
              <w:top w:val="single" w:sz="4" w:space="0" w:color="000000"/>
            </w:tcBorders>
          </w:tcPr>
          <w:p>
            <w:pPr>
              <w:pStyle w:val="TableParagraph"/>
              <w:spacing w:before="26"/>
              <w:ind w:left="351" w:right="250"/>
              <w:jc w:val="center"/>
              <w:rPr>
                <w:sz w:val="13"/>
              </w:rPr>
            </w:pPr>
            <w:r>
              <w:rPr>
                <w:w w:val="105"/>
                <w:sz w:val="13"/>
              </w:rPr>
              <w:t>No</w:t>
            </w:r>
          </w:p>
        </w:tc>
        <w:tc>
          <w:tcPr>
            <w:tcW w:w="1226" w:type="dxa"/>
            <w:tcBorders>
              <w:top w:val="single" w:sz="4" w:space="0" w:color="000000"/>
            </w:tcBorders>
          </w:tcPr>
          <w:p>
            <w:pPr>
              <w:pStyle w:val="TableParagraph"/>
              <w:spacing w:before="26"/>
              <w:ind w:left="260" w:right="265"/>
              <w:jc w:val="center"/>
              <w:rPr>
                <w:sz w:val="13"/>
              </w:rPr>
            </w:pPr>
            <w:r>
              <w:rPr>
                <w:w w:val="105"/>
                <w:sz w:val="13"/>
              </w:rPr>
              <w:t>No</w:t>
            </w:r>
          </w:p>
        </w:tc>
        <w:tc>
          <w:tcPr>
            <w:tcW w:w="1227" w:type="dxa"/>
            <w:tcBorders>
              <w:top w:val="single" w:sz="4" w:space="0" w:color="000000"/>
              <w:right w:val="single" w:sz="4" w:space="0" w:color="000000"/>
            </w:tcBorders>
          </w:tcPr>
          <w:p>
            <w:pPr>
              <w:pStyle w:val="TableParagraph"/>
              <w:spacing w:before="26"/>
              <w:ind w:left="276" w:right="245"/>
              <w:jc w:val="center"/>
              <w:rPr>
                <w:sz w:val="13"/>
              </w:rPr>
            </w:pPr>
            <w:r>
              <w:rPr>
                <w:w w:val="105"/>
                <w:sz w:val="13"/>
              </w:rPr>
              <w:t>No</w:t>
            </w:r>
          </w:p>
        </w:tc>
      </w:tr>
      <w:tr>
        <w:trPr>
          <w:trHeight w:val="213" w:hRule="atLeast"/>
        </w:trPr>
        <w:tc>
          <w:tcPr>
            <w:tcW w:w="1463" w:type="dxa"/>
            <w:tcBorders>
              <w:left w:val="single" w:sz="4" w:space="0" w:color="000000"/>
              <w:right w:val="single" w:sz="4" w:space="0" w:color="000000"/>
            </w:tcBorders>
          </w:tcPr>
          <w:p>
            <w:pPr>
              <w:pStyle w:val="TableParagraph"/>
              <w:spacing w:before="16"/>
              <w:ind w:left="130"/>
              <w:rPr>
                <w:b/>
                <w:sz w:val="13"/>
              </w:rPr>
            </w:pPr>
            <w:r>
              <w:rPr>
                <w:b/>
                <w:w w:val="105"/>
                <w:sz w:val="13"/>
              </w:rPr>
              <w:t>ICAP</w:t>
            </w:r>
          </w:p>
        </w:tc>
        <w:tc>
          <w:tcPr>
            <w:tcW w:w="1717" w:type="dxa"/>
            <w:tcBorders>
              <w:left w:val="single" w:sz="4" w:space="0" w:color="000000"/>
            </w:tcBorders>
          </w:tcPr>
          <w:p>
            <w:pPr>
              <w:pStyle w:val="TableParagraph"/>
              <w:spacing w:before="16"/>
              <w:ind w:left="474" w:right="340"/>
              <w:jc w:val="center"/>
              <w:rPr>
                <w:sz w:val="13"/>
              </w:rPr>
            </w:pPr>
            <w:r>
              <w:rPr>
                <w:w w:val="105"/>
                <w:sz w:val="13"/>
              </w:rPr>
              <w:t>23/02/2023</w:t>
            </w:r>
          </w:p>
        </w:tc>
        <w:tc>
          <w:tcPr>
            <w:tcW w:w="1302" w:type="dxa"/>
          </w:tcPr>
          <w:p>
            <w:pPr>
              <w:pStyle w:val="TableParagraph"/>
              <w:spacing w:before="16"/>
              <w:ind w:left="353" w:right="250"/>
              <w:jc w:val="center"/>
              <w:rPr>
                <w:sz w:val="13"/>
              </w:rPr>
            </w:pPr>
            <w:r>
              <w:rPr>
                <w:w w:val="105"/>
                <w:sz w:val="13"/>
              </w:rPr>
              <w:t>23/02/2023</w:t>
            </w:r>
          </w:p>
        </w:tc>
        <w:tc>
          <w:tcPr>
            <w:tcW w:w="1226" w:type="dxa"/>
          </w:tcPr>
          <w:p>
            <w:pPr>
              <w:pStyle w:val="TableParagraph"/>
              <w:spacing w:before="16"/>
              <w:ind w:left="262" w:right="265"/>
              <w:jc w:val="center"/>
              <w:rPr>
                <w:sz w:val="13"/>
              </w:rPr>
            </w:pPr>
            <w:r>
              <w:rPr>
                <w:w w:val="105"/>
                <w:sz w:val="13"/>
              </w:rPr>
              <w:t>23/02/2023</w:t>
            </w:r>
          </w:p>
        </w:tc>
        <w:tc>
          <w:tcPr>
            <w:tcW w:w="1227" w:type="dxa"/>
            <w:tcBorders>
              <w:right w:val="single" w:sz="4" w:space="0" w:color="000000"/>
            </w:tcBorders>
          </w:tcPr>
          <w:p>
            <w:pPr>
              <w:pStyle w:val="TableParagraph"/>
              <w:spacing w:before="16"/>
              <w:ind w:left="277" w:right="245"/>
              <w:jc w:val="center"/>
              <w:rPr>
                <w:sz w:val="13"/>
              </w:rPr>
            </w:pPr>
            <w:r>
              <w:rPr>
                <w:w w:val="105"/>
                <w:sz w:val="13"/>
              </w:rPr>
              <w:t>23/02/2023</w:t>
            </w:r>
          </w:p>
        </w:tc>
      </w:tr>
      <w:tr>
        <w:trPr>
          <w:trHeight w:val="213" w:hRule="atLeast"/>
        </w:trPr>
        <w:tc>
          <w:tcPr>
            <w:tcW w:w="1463" w:type="dxa"/>
            <w:tcBorders>
              <w:left w:val="single" w:sz="4" w:space="0" w:color="000000"/>
              <w:right w:val="single" w:sz="4" w:space="0" w:color="000000"/>
            </w:tcBorders>
          </w:tcPr>
          <w:p>
            <w:pPr>
              <w:pStyle w:val="TableParagraph"/>
              <w:spacing w:before="16"/>
              <w:ind w:left="130"/>
              <w:rPr>
                <w:b/>
                <w:sz w:val="13"/>
              </w:rPr>
            </w:pPr>
            <w:r>
              <w:rPr>
                <w:b/>
                <w:w w:val="105"/>
                <w:sz w:val="13"/>
              </w:rPr>
              <w:t>ICAVI</w:t>
            </w:r>
          </w:p>
        </w:tc>
        <w:tc>
          <w:tcPr>
            <w:tcW w:w="1717" w:type="dxa"/>
            <w:tcBorders>
              <w:left w:val="single" w:sz="4" w:space="0" w:color="000000"/>
            </w:tcBorders>
          </w:tcPr>
          <w:p>
            <w:pPr>
              <w:pStyle w:val="TableParagraph"/>
              <w:spacing w:before="16"/>
              <w:ind w:left="474" w:right="340"/>
              <w:jc w:val="center"/>
              <w:rPr>
                <w:sz w:val="13"/>
              </w:rPr>
            </w:pPr>
            <w:r>
              <w:rPr>
                <w:w w:val="105"/>
                <w:sz w:val="13"/>
              </w:rPr>
              <w:t>29/03/2023</w:t>
            </w:r>
          </w:p>
        </w:tc>
        <w:tc>
          <w:tcPr>
            <w:tcW w:w="1302" w:type="dxa"/>
          </w:tcPr>
          <w:p>
            <w:pPr>
              <w:pStyle w:val="TableParagraph"/>
              <w:spacing w:before="16"/>
              <w:ind w:left="351" w:right="250"/>
              <w:jc w:val="center"/>
              <w:rPr>
                <w:sz w:val="13"/>
              </w:rPr>
            </w:pPr>
            <w:r>
              <w:rPr>
                <w:w w:val="105"/>
                <w:sz w:val="13"/>
              </w:rPr>
              <w:t>No</w:t>
            </w:r>
          </w:p>
        </w:tc>
        <w:tc>
          <w:tcPr>
            <w:tcW w:w="1226" w:type="dxa"/>
          </w:tcPr>
          <w:p>
            <w:pPr>
              <w:pStyle w:val="TableParagraph"/>
              <w:spacing w:before="16"/>
              <w:ind w:left="262" w:right="265"/>
              <w:jc w:val="center"/>
              <w:rPr>
                <w:sz w:val="13"/>
              </w:rPr>
            </w:pPr>
            <w:r>
              <w:rPr>
                <w:w w:val="105"/>
                <w:sz w:val="13"/>
              </w:rPr>
              <w:t>29/03/2023</w:t>
            </w:r>
          </w:p>
        </w:tc>
        <w:tc>
          <w:tcPr>
            <w:tcW w:w="1227" w:type="dxa"/>
            <w:tcBorders>
              <w:right w:val="single" w:sz="4" w:space="0" w:color="000000"/>
            </w:tcBorders>
          </w:tcPr>
          <w:p>
            <w:pPr>
              <w:pStyle w:val="TableParagraph"/>
              <w:spacing w:before="16"/>
              <w:ind w:left="277" w:right="245"/>
              <w:jc w:val="center"/>
              <w:rPr>
                <w:sz w:val="13"/>
              </w:rPr>
            </w:pPr>
            <w:r>
              <w:rPr>
                <w:w w:val="105"/>
                <w:sz w:val="13"/>
              </w:rPr>
              <w:t>29/03/2023</w:t>
            </w:r>
          </w:p>
        </w:tc>
      </w:tr>
      <w:tr>
        <w:trPr>
          <w:trHeight w:val="213" w:hRule="atLeast"/>
        </w:trPr>
        <w:tc>
          <w:tcPr>
            <w:tcW w:w="1463" w:type="dxa"/>
            <w:tcBorders>
              <w:left w:val="single" w:sz="4" w:space="0" w:color="000000"/>
              <w:right w:val="single" w:sz="4" w:space="0" w:color="000000"/>
            </w:tcBorders>
          </w:tcPr>
          <w:p>
            <w:pPr>
              <w:pStyle w:val="TableParagraph"/>
              <w:spacing w:before="16"/>
              <w:ind w:left="130"/>
              <w:rPr>
                <w:b/>
                <w:sz w:val="13"/>
              </w:rPr>
            </w:pPr>
            <w:r>
              <w:rPr>
                <w:b/>
                <w:w w:val="105"/>
                <w:sz w:val="13"/>
              </w:rPr>
              <w:t>ICCA</w:t>
            </w:r>
          </w:p>
        </w:tc>
        <w:tc>
          <w:tcPr>
            <w:tcW w:w="1717" w:type="dxa"/>
            <w:tcBorders>
              <w:left w:val="single" w:sz="4" w:space="0" w:color="000000"/>
            </w:tcBorders>
          </w:tcPr>
          <w:p>
            <w:pPr>
              <w:pStyle w:val="TableParagraph"/>
              <w:spacing w:before="16"/>
              <w:ind w:left="474" w:right="340"/>
              <w:jc w:val="center"/>
              <w:rPr>
                <w:sz w:val="13"/>
              </w:rPr>
            </w:pPr>
            <w:r>
              <w:rPr>
                <w:w w:val="105"/>
                <w:sz w:val="13"/>
              </w:rPr>
              <w:t>3/04/2023</w:t>
            </w:r>
          </w:p>
        </w:tc>
        <w:tc>
          <w:tcPr>
            <w:tcW w:w="1302" w:type="dxa"/>
          </w:tcPr>
          <w:p>
            <w:pPr>
              <w:pStyle w:val="TableParagraph"/>
              <w:spacing w:before="16"/>
              <w:ind w:left="353" w:right="250"/>
              <w:jc w:val="center"/>
              <w:rPr>
                <w:sz w:val="13"/>
              </w:rPr>
            </w:pPr>
            <w:r>
              <w:rPr>
                <w:w w:val="105"/>
                <w:sz w:val="13"/>
              </w:rPr>
              <w:t>3/04/2023</w:t>
            </w:r>
          </w:p>
        </w:tc>
        <w:tc>
          <w:tcPr>
            <w:tcW w:w="1226" w:type="dxa"/>
          </w:tcPr>
          <w:p>
            <w:pPr>
              <w:pStyle w:val="TableParagraph"/>
              <w:spacing w:before="16"/>
              <w:ind w:left="262" w:right="265"/>
              <w:jc w:val="center"/>
              <w:rPr>
                <w:sz w:val="13"/>
              </w:rPr>
            </w:pPr>
            <w:r>
              <w:rPr>
                <w:w w:val="105"/>
                <w:sz w:val="13"/>
              </w:rPr>
              <w:t>3/04/2023</w:t>
            </w:r>
          </w:p>
        </w:tc>
        <w:tc>
          <w:tcPr>
            <w:tcW w:w="1227" w:type="dxa"/>
            <w:tcBorders>
              <w:right w:val="single" w:sz="4" w:space="0" w:color="000000"/>
            </w:tcBorders>
          </w:tcPr>
          <w:p>
            <w:pPr>
              <w:pStyle w:val="TableParagraph"/>
              <w:spacing w:before="16"/>
              <w:ind w:left="277" w:right="245"/>
              <w:jc w:val="center"/>
              <w:rPr>
                <w:sz w:val="13"/>
              </w:rPr>
            </w:pPr>
            <w:r>
              <w:rPr>
                <w:w w:val="105"/>
                <w:sz w:val="13"/>
              </w:rPr>
              <w:t>3/04/2023</w:t>
            </w:r>
          </w:p>
        </w:tc>
      </w:tr>
      <w:tr>
        <w:trPr>
          <w:trHeight w:val="212" w:hRule="atLeast"/>
        </w:trPr>
        <w:tc>
          <w:tcPr>
            <w:tcW w:w="1463" w:type="dxa"/>
            <w:tcBorders>
              <w:left w:val="single" w:sz="4" w:space="0" w:color="000000"/>
              <w:right w:val="single" w:sz="4" w:space="0" w:color="000000"/>
            </w:tcBorders>
          </w:tcPr>
          <w:p>
            <w:pPr>
              <w:pStyle w:val="TableParagraph"/>
              <w:spacing w:before="17"/>
              <w:ind w:left="130"/>
              <w:rPr>
                <w:b/>
                <w:sz w:val="13"/>
              </w:rPr>
            </w:pPr>
            <w:r>
              <w:rPr>
                <w:b/>
                <w:w w:val="105"/>
                <w:sz w:val="13"/>
              </w:rPr>
              <w:t>ICHH</w:t>
            </w:r>
          </w:p>
        </w:tc>
        <w:tc>
          <w:tcPr>
            <w:tcW w:w="1717" w:type="dxa"/>
            <w:tcBorders>
              <w:left w:val="single" w:sz="4" w:space="0" w:color="000000"/>
            </w:tcBorders>
          </w:tcPr>
          <w:p>
            <w:pPr>
              <w:pStyle w:val="TableParagraph"/>
              <w:spacing w:before="17"/>
              <w:ind w:left="474" w:right="340"/>
              <w:jc w:val="center"/>
              <w:rPr>
                <w:sz w:val="13"/>
              </w:rPr>
            </w:pPr>
            <w:r>
              <w:rPr>
                <w:w w:val="105"/>
                <w:sz w:val="13"/>
              </w:rPr>
              <w:t>24/02/2023</w:t>
            </w:r>
          </w:p>
        </w:tc>
        <w:tc>
          <w:tcPr>
            <w:tcW w:w="1302" w:type="dxa"/>
          </w:tcPr>
          <w:p>
            <w:pPr>
              <w:pStyle w:val="TableParagraph"/>
              <w:spacing w:before="17"/>
              <w:ind w:left="351" w:right="250"/>
              <w:jc w:val="center"/>
              <w:rPr>
                <w:sz w:val="13"/>
              </w:rPr>
            </w:pPr>
            <w:r>
              <w:rPr>
                <w:w w:val="105"/>
                <w:sz w:val="13"/>
              </w:rPr>
              <w:t>No</w:t>
            </w:r>
          </w:p>
        </w:tc>
        <w:tc>
          <w:tcPr>
            <w:tcW w:w="1226" w:type="dxa"/>
          </w:tcPr>
          <w:p>
            <w:pPr>
              <w:pStyle w:val="TableParagraph"/>
              <w:spacing w:before="17"/>
              <w:ind w:left="262" w:right="265"/>
              <w:jc w:val="center"/>
              <w:rPr>
                <w:sz w:val="13"/>
              </w:rPr>
            </w:pPr>
            <w:r>
              <w:rPr>
                <w:w w:val="105"/>
                <w:sz w:val="13"/>
              </w:rPr>
              <w:t>24/02/2023</w:t>
            </w:r>
          </w:p>
        </w:tc>
        <w:tc>
          <w:tcPr>
            <w:tcW w:w="1227" w:type="dxa"/>
            <w:tcBorders>
              <w:right w:val="single" w:sz="4" w:space="0" w:color="000000"/>
            </w:tcBorders>
          </w:tcPr>
          <w:p>
            <w:pPr>
              <w:pStyle w:val="TableParagraph"/>
              <w:spacing w:before="17"/>
              <w:ind w:left="277" w:right="245"/>
              <w:jc w:val="center"/>
              <w:rPr>
                <w:sz w:val="13"/>
              </w:rPr>
            </w:pPr>
            <w:r>
              <w:rPr>
                <w:w w:val="105"/>
                <w:sz w:val="13"/>
              </w:rPr>
              <w:t>24/02/2023</w:t>
            </w:r>
          </w:p>
        </w:tc>
      </w:tr>
      <w:tr>
        <w:trPr>
          <w:trHeight w:val="202" w:hRule="atLeast"/>
        </w:trPr>
        <w:tc>
          <w:tcPr>
            <w:tcW w:w="1463" w:type="dxa"/>
            <w:tcBorders>
              <w:left w:val="single" w:sz="4" w:space="0" w:color="000000"/>
              <w:right w:val="single" w:sz="4" w:space="0" w:color="000000"/>
            </w:tcBorders>
          </w:tcPr>
          <w:p>
            <w:pPr>
              <w:pStyle w:val="TableParagraph"/>
              <w:spacing w:before="15"/>
              <w:ind w:left="130"/>
              <w:rPr>
                <w:b/>
                <w:sz w:val="13"/>
              </w:rPr>
            </w:pPr>
            <w:r>
              <w:rPr>
                <w:b/>
                <w:w w:val="105"/>
                <w:sz w:val="13"/>
              </w:rPr>
              <w:t>ICI</w:t>
            </w:r>
          </w:p>
        </w:tc>
        <w:tc>
          <w:tcPr>
            <w:tcW w:w="1717" w:type="dxa"/>
            <w:tcBorders>
              <w:left w:val="single" w:sz="4" w:space="0" w:color="000000"/>
            </w:tcBorders>
          </w:tcPr>
          <w:p>
            <w:pPr>
              <w:pStyle w:val="TableParagraph"/>
              <w:spacing w:before="15"/>
              <w:ind w:left="474" w:right="340"/>
              <w:jc w:val="center"/>
              <w:rPr>
                <w:sz w:val="13"/>
              </w:rPr>
            </w:pPr>
            <w:r>
              <w:rPr>
                <w:w w:val="105"/>
                <w:sz w:val="13"/>
              </w:rPr>
              <w:t>27/02/2023</w:t>
            </w:r>
          </w:p>
        </w:tc>
        <w:tc>
          <w:tcPr>
            <w:tcW w:w="1302" w:type="dxa"/>
          </w:tcPr>
          <w:p>
            <w:pPr>
              <w:pStyle w:val="TableParagraph"/>
              <w:spacing w:before="15"/>
              <w:ind w:left="353" w:right="250"/>
              <w:jc w:val="center"/>
              <w:rPr>
                <w:sz w:val="13"/>
              </w:rPr>
            </w:pPr>
            <w:r>
              <w:rPr>
                <w:w w:val="105"/>
                <w:sz w:val="13"/>
              </w:rPr>
              <w:t>27/02/2023</w:t>
            </w:r>
          </w:p>
        </w:tc>
        <w:tc>
          <w:tcPr>
            <w:tcW w:w="1226" w:type="dxa"/>
          </w:tcPr>
          <w:p>
            <w:pPr>
              <w:pStyle w:val="TableParagraph"/>
              <w:spacing w:before="15"/>
              <w:ind w:left="262" w:right="265"/>
              <w:jc w:val="center"/>
              <w:rPr>
                <w:sz w:val="13"/>
              </w:rPr>
            </w:pPr>
            <w:r>
              <w:rPr>
                <w:w w:val="105"/>
                <w:sz w:val="13"/>
              </w:rPr>
              <w:t>27/02/2023</w:t>
            </w:r>
          </w:p>
        </w:tc>
        <w:tc>
          <w:tcPr>
            <w:tcW w:w="1227" w:type="dxa"/>
            <w:tcBorders>
              <w:right w:val="single" w:sz="4" w:space="0" w:color="000000"/>
            </w:tcBorders>
          </w:tcPr>
          <w:p>
            <w:pPr>
              <w:pStyle w:val="TableParagraph"/>
              <w:spacing w:before="15"/>
              <w:ind w:left="277" w:right="245"/>
              <w:jc w:val="center"/>
              <w:rPr>
                <w:sz w:val="13"/>
              </w:rPr>
            </w:pPr>
            <w:r>
              <w:rPr>
                <w:w w:val="105"/>
                <w:sz w:val="13"/>
              </w:rPr>
              <w:t>27/02/2023</w:t>
            </w:r>
          </w:p>
        </w:tc>
      </w:tr>
      <w:tr>
        <w:trPr>
          <w:trHeight w:val="213" w:hRule="atLeast"/>
        </w:trPr>
        <w:tc>
          <w:tcPr>
            <w:tcW w:w="1463" w:type="dxa"/>
            <w:tcBorders>
              <w:left w:val="single" w:sz="4" w:space="0" w:color="000000"/>
              <w:right w:val="single" w:sz="4" w:space="0" w:color="000000"/>
            </w:tcBorders>
            <w:shd w:val="clear" w:color="auto" w:fill="F1F1F1"/>
          </w:tcPr>
          <w:p>
            <w:pPr>
              <w:pStyle w:val="TableParagraph"/>
              <w:spacing w:before="27"/>
              <w:ind w:left="130"/>
              <w:rPr>
                <w:b/>
                <w:sz w:val="13"/>
              </w:rPr>
            </w:pPr>
            <w:r>
              <w:rPr>
                <w:b/>
                <w:w w:val="105"/>
                <w:sz w:val="13"/>
              </w:rPr>
              <w:t>ICIA</w:t>
            </w:r>
          </w:p>
        </w:tc>
        <w:tc>
          <w:tcPr>
            <w:tcW w:w="1717" w:type="dxa"/>
            <w:tcBorders>
              <w:left w:val="single" w:sz="4" w:space="0" w:color="000000"/>
            </w:tcBorders>
            <w:shd w:val="clear" w:color="auto" w:fill="F1F1F1"/>
          </w:tcPr>
          <w:p>
            <w:pPr>
              <w:pStyle w:val="TableParagraph"/>
              <w:spacing w:before="27"/>
              <w:ind w:left="473" w:right="341"/>
              <w:jc w:val="center"/>
              <w:rPr>
                <w:sz w:val="13"/>
              </w:rPr>
            </w:pPr>
            <w:r>
              <w:rPr>
                <w:w w:val="105"/>
                <w:sz w:val="13"/>
              </w:rPr>
              <w:t>No</w:t>
            </w:r>
          </w:p>
        </w:tc>
        <w:tc>
          <w:tcPr>
            <w:tcW w:w="1302" w:type="dxa"/>
            <w:shd w:val="clear" w:color="auto" w:fill="F1F1F1"/>
          </w:tcPr>
          <w:p>
            <w:pPr>
              <w:pStyle w:val="TableParagraph"/>
              <w:spacing w:before="27"/>
              <w:ind w:left="351" w:right="250"/>
              <w:jc w:val="center"/>
              <w:rPr>
                <w:sz w:val="13"/>
              </w:rPr>
            </w:pPr>
            <w:r>
              <w:rPr>
                <w:w w:val="105"/>
                <w:sz w:val="13"/>
              </w:rPr>
              <w:t>No</w:t>
            </w:r>
          </w:p>
        </w:tc>
        <w:tc>
          <w:tcPr>
            <w:tcW w:w="1226" w:type="dxa"/>
            <w:shd w:val="clear" w:color="auto" w:fill="F1F1F1"/>
          </w:tcPr>
          <w:p>
            <w:pPr>
              <w:pStyle w:val="TableParagraph"/>
              <w:spacing w:before="27"/>
              <w:ind w:left="260" w:right="265"/>
              <w:jc w:val="center"/>
              <w:rPr>
                <w:sz w:val="13"/>
              </w:rPr>
            </w:pPr>
            <w:r>
              <w:rPr>
                <w:w w:val="105"/>
                <w:sz w:val="13"/>
              </w:rPr>
              <w:t>No</w:t>
            </w:r>
          </w:p>
        </w:tc>
        <w:tc>
          <w:tcPr>
            <w:tcW w:w="1227" w:type="dxa"/>
            <w:tcBorders>
              <w:right w:val="single" w:sz="4" w:space="0" w:color="000000"/>
            </w:tcBorders>
            <w:shd w:val="clear" w:color="auto" w:fill="F1F1F1"/>
          </w:tcPr>
          <w:p>
            <w:pPr>
              <w:pStyle w:val="TableParagraph"/>
              <w:spacing w:before="27"/>
              <w:ind w:left="276" w:right="245"/>
              <w:jc w:val="center"/>
              <w:rPr>
                <w:sz w:val="13"/>
              </w:rPr>
            </w:pPr>
            <w:r>
              <w:rPr>
                <w:w w:val="105"/>
                <w:sz w:val="13"/>
              </w:rPr>
              <w:t>No</w:t>
            </w:r>
          </w:p>
        </w:tc>
      </w:tr>
      <w:tr>
        <w:trPr>
          <w:trHeight w:val="224" w:hRule="atLeast"/>
        </w:trPr>
        <w:tc>
          <w:tcPr>
            <w:tcW w:w="1463" w:type="dxa"/>
            <w:tcBorders>
              <w:left w:val="single" w:sz="4" w:space="0" w:color="000000"/>
              <w:right w:val="single" w:sz="4" w:space="0" w:color="000000"/>
            </w:tcBorders>
          </w:tcPr>
          <w:p>
            <w:pPr>
              <w:pStyle w:val="TableParagraph"/>
              <w:spacing w:before="27"/>
              <w:ind w:left="130"/>
              <w:rPr>
                <w:b/>
                <w:sz w:val="13"/>
              </w:rPr>
            </w:pPr>
            <w:r>
              <w:rPr>
                <w:b/>
                <w:w w:val="105"/>
                <w:sz w:val="13"/>
              </w:rPr>
              <w:t>ISTAC</w:t>
            </w:r>
          </w:p>
        </w:tc>
        <w:tc>
          <w:tcPr>
            <w:tcW w:w="1717" w:type="dxa"/>
            <w:tcBorders>
              <w:left w:val="single" w:sz="4" w:space="0" w:color="000000"/>
            </w:tcBorders>
          </w:tcPr>
          <w:p>
            <w:pPr>
              <w:pStyle w:val="TableParagraph"/>
              <w:spacing w:before="27"/>
              <w:ind w:left="474" w:right="340"/>
              <w:jc w:val="center"/>
              <w:rPr>
                <w:sz w:val="13"/>
              </w:rPr>
            </w:pPr>
            <w:r>
              <w:rPr>
                <w:w w:val="105"/>
                <w:sz w:val="13"/>
              </w:rPr>
              <w:t>10/02/2023</w:t>
            </w:r>
          </w:p>
        </w:tc>
        <w:tc>
          <w:tcPr>
            <w:tcW w:w="1302" w:type="dxa"/>
          </w:tcPr>
          <w:p>
            <w:pPr>
              <w:pStyle w:val="TableParagraph"/>
              <w:spacing w:before="27"/>
              <w:ind w:left="353" w:right="250"/>
              <w:jc w:val="center"/>
              <w:rPr>
                <w:sz w:val="13"/>
              </w:rPr>
            </w:pPr>
            <w:r>
              <w:rPr>
                <w:w w:val="105"/>
                <w:sz w:val="13"/>
              </w:rPr>
              <w:t>10/02/2023</w:t>
            </w:r>
          </w:p>
        </w:tc>
        <w:tc>
          <w:tcPr>
            <w:tcW w:w="1226" w:type="dxa"/>
          </w:tcPr>
          <w:p>
            <w:pPr>
              <w:pStyle w:val="TableParagraph"/>
              <w:spacing w:before="27"/>
              <w:ind w:left="262" w:right="265"/>
              <w:jc w:val="center"/>
              <w:rPr>
                <w:sz w:val="13"/>
              </w:rPr>
            </w:pPr>
            <w:r>
              <w:rPr>
                <w:w w:val="105"/>
                <w:sz w:val="13"/>
              </w:rPr>
              <w:t>13/02/2023</w:t>
            </w:r>
          </w:p>
        </w:tc>
        <w:tc>
          <w:tcPr>
            <w:tcW w:w="1227" w:type="dxa"/>
            <w:tcBorders>
              <w:right w:val="single" w:sz="4" w:space="0" w:color="000000"/>
            </w:tcBorders>
          </w:tcPr>
          <w:p>
            <w:pPr>
              <w:pStyle w:val="TableParagraph"/>
              <w:spacing w:before="27"/>
              <w:ind w:left="277" w:right="245"/>
              <w:jc w:val="center"/>
              <w:rPr>
                <w:sz w:val="13"/>
              </w:rPr>
            </w:pPr>
            <w:r>
              <w:rPr>
                <w:w w:val="105"/>
                <w:sz w:val="13"/>
              </w:rPr>
              <w:t>10/02/2023</w:t>
            </w:r>
          </w:p>
        </w:tc>
      </w:tr>
      <w:tr>
        <w:trPr>
          <w:trHeight w:val="213" w:hRule="atLeast"/>
        </w:trPr>
        <w:tc>
          <w:tcPr>
            <w:tcW w:w="1463" w:type="dxa"/>
            <w:tcBorders>
              <w:left w:val="single" w:sz="4" w:space="0" w:color="000000"/>
              <w:right w:val="single" w:sz="4" w:space="0" w:color="000000"/>
            </w:tcBorders>
          </w:tcPr>
          <w:p>
            <w:pPr>
              <w:pStyle w:val="TableParagraph"/>
              <w:spacing w:before="16"/>
              <w:ind w:left="130"/>
              <w:rPr>
                <w:b/>
                <w:sz w:val="13"/>
              </w:rPr>
            </w:pPr>
            <w:r>
              <w:rPr>
                <w:b/>
                <w:w w:val="105"/>
                <w:sz w:val="13"/>
              </w:rPr>
              <w:t>SCE</w:t>
            </w:r>
          </w:p>
        </w:tc>
        <w:tc>
          <w:tcPr>
            <w:tcW w:w="1717" w:type="dxa"/>
            <w:tcBorders>
              <w:left w:val="single" w:sz="4" w:space="0" w:color="000000"/>
            </w:tcBorders>
          </w:tcPr>
          <w:p>
            <w:pPr>
              <w:pStyle w:val="TableParagraph"/>
              <w:spacing w:before="16"/>
              <w:ind w:left="474" w:right="340"/>
              <w:jc w:val="center"/>
              <w:rPr>
                <w:sz w:val="13"/>
              </w:rPr>
            </w:pPr>
            <w:r>
              <w:rPr>
                <w:w w:val="105"/>
                <w:sz w:val="13"/>
              </w:rPr>
              <w:t>28/02/2023</w:t>
            </w:r>
          </w:p>
        </w:tc>
        <w:tc>
          <w:tcPr>
            <w:tcW w:w="1302" w:type="dxa"/>
          </w:tcPr>
          <w:p>
            <w:pPr>
              <w:pStyle w:val="TableParagraph"/>
              <w:spacing w:before="16"/>
              <w:ind w:left="351" w:right="250"/>
              <w:jc w:val="center"/>
              <w:rPr>
                <w:sz w:val="13"/>
              </w:rPr>
            </w:pPr>
            <w:r>
              <w:rPr>
                <w:w w:val="105"/>
                <w:sz w:val="13"/>
              </w:rPr>
              <w:t>No</w:t>
            </w:r>
          </w:p>
        </w:tc>
        <w:tc>
          <w:tcPr>
            <w:tcW w:w="1226" w:type="dxa"/>
          </w:tcPr>
          <w:p>
            <w:pPr>
              <w:pStyle w:val="TableParagraph"/>
              <w:spacing w:before="16"/>
              <w:ind w:left="260" w:right="265"/>
              <w:jc w:val="center"/>
              <w:rPr>
                <w:sz w:val="13"/>
              </w:rPr>
            </w:pPr>
            <w:r>
              <w:rPr>
                <w:w w:val="105"/>
                <w:sz w:val="13"/>
              </w:rPr>
              <w:t>No</w:t>
            </w:r>
          </w:p>
        </w:tc>
        <w:tc>
          <w:tcPr>
            <w:tcW w:w="1227" w:type="dxa"/>
            <w:tcBorders>
              <w:right w:val="single" w:sz="4" w:space="0" w:color="000000"/>
            </w:tcBorders>
          </w:tcPr>
          <w:p>
            <w:pPr>
              <w:pStyle w:val="TableParagraph"/>
              <w:spacing w:before="16"/>
              <w:ind w:left="276" w:right="245"/>
              <w:jc w:val="center"/>
              <w:rPr>
                <w:sz w:val="13"/>
              </w:rPr>
            </w:pPr>
            <w:r>
              <w:rPr>
                <w:w w:val="105"/>
                <w:sz w:val="13"/>
              </w:rPr>
              <w:t>No</w:t>
            </w:r>
          </w:p>
        </w:tc>
      </w:tr>
      <w:tr>
        <w:trPr>
          <w:trHeight w:val="213" w:hRule="atLeast"/>
        </w:trPr>
        <w:tc>
          <w:tcPr>
            <w:tcW w:w="1463" w:type="dxa"/>
            <w:tcBorders>
              <w:left w:val="single" w:sz="4" w:space="0" w:color="000000"/>
              <w:right w:val="single" w:sz="4" w:space="0" w:color="000000"/>
            </w:tcBorders>
          </w:tcPr>
          <w:p>
            <w:pPr>
              <w:pStyle w:val="TableParagraph"/>
              <w:spacing w:before="16"/>
              <w:ind w:left="130"/>
              <w:rPr>
                <w:b/>
                <w:sz w:val="13"/>
              </w:rPr>
            </w:pPr>
            <w:r>
              <w:rPr>
                <w:b/>
                <w:w w:val="105"/>
                <w:sz w:val="13"/>
              </w:rPr>
              <w:t>ATC</w:t>
            </w:r>
          </w:p>
        </w:tc>
        <w:tc>
          <w:tcPr>
            <w:tcW w:w="1717" w:type="dxa"/>
            <w:tcBorders>
              <w:left w:val="single" w:sz="4" w:space="0" w:color="000000"/>
            </w:tcBorders>
          </w:tcPr>
          <w:p>
            <w:pPr>
              <w:pStyle w:val="TableParagraph"/>
              <w:spacing w:before="16"/>
              <w:ind w:left="474" w:right="340"/>
              <w:jc w:val="center"/>
              <w:rPr>
                <w:sz w:val="13"/>
              </w:rPr>
            </w:pPr>
            <w:r>
              <w:rPr>
                <w:w w:val="105"/>
                <w:sz w:val="13"/>
              </w:rPr>
              <w:t>28/02/2023</w:t>
            </w:r>
          </w:p>
        </w:tc>
        <w:tc>
          <w:tcPr>
            <w:tcW w:w="1302" w:type="dxa"/>
          </w:tcPr>
          <w:p>
            <w:pPr>
              <w:pStyle w:val="TableParagraph"/>
              <w:spacing w:before="16"/>
              <w:ind w:left="351" w:right="250"/>
              <w:jc w:val="center"/>
              <w:rPr>
                <w:sz w:val="13"/>
              </w:rPr>
            </w:pPr>
            <w:r>
              <w:rPr>
                <w:w w:val="105"/>
                <w:sz w:val="13"/>
              </w:rPr>
              <w:t>No</w:t>
            </w:r>
          </w:p>
        </w:tc>
        <w:tc>
          <w:tcPr>
            <w:tcW w:w="1226" w:type="dxa"/>
          </w:tcPr>
          <w:p>
            <w:pPr>
              <w:pStyle w:val="TableParagraph"/>
              <w:spacing w:before="16"/>
              <w:ind w:left="262" w:right="265"/>
              <w:jc w:val="center"/>
              <w:rPr>
                <w:sz w:val="13"/>
              </w:rPr>
            </w:pPr>
            <w:r>
              <w:rPr>
                <w:w w:val="105"/>
                <w:sz w:val="13"/>
              </w:rPr>
              <w:t>28/02/2023</w:t>
            </w:r>
          </w:p>
        </w:tc>
        <w:tc>
          <w:tcPr>
            <w:tcW w:w="1227" w:type="dxa"/>
            <w:tcBorders>
              <w:right w:val="single" w:sz="4" w:space="0" w:color="000000"/>
            </w:tcBorders>
          </w:tcPr>
          <w:p>
            <w:pPr>
              <w:pStyle w:val="TableParagraph"/>
              <w:spacing w:before="16"/>
              <w:ind w:left="276" w:right="245"/>
              <w:jc w:val="center"/>
              <w:rPr>
                <w:sz w:val="13"/>
              </w:rPr>
            </w:pPr>
            <w:r>
              <w:rPr>
                <w:w w:val="105"/>
                <w:sz w:val="13"/>
              </w:rPr>
              <w:t>No</w:t>
            </w:r>
          </w:p>
        </w:tc>
      </w:tr>
      <w:tr>
        <w:trPr>
          <w:trHeight w:val="212" w:hRule="atLeast"/>
        </w:trPr>
        <w:tc>
          <w:tcPr>
            <w:tcW w:w="1463" w:type="dxa"/>
            <w:tcBorders>
              <w:left w:val="single" w:sz="4" w:space="0" w:color="000000"/>
              <w:right w:val="single" w:sz="4" w:space="0" w:color="000000"/>
            </w:tcBorders>
          </w:tcPr>
          <w:p>
            <w:pPr>
              <w:pStyle w:val="TableParagraph"/>
              <w:spacing w:before="16"/>
              <w:ind w:left="130"/>
              <w:rPr>
                <w:b/>
                <w:sz w:val="13"/>
              </w:rPr>
            </w:pPr>
            <w:r>
              <w:rPr>
                <w:b/>
                <w:w w:val="105"/>
                <w:sz w:val="13"/>
              </w:rPr>
              <w:t>CES</w:t>
            </w:r>
          </w:p>
        </w:tc>
        <w:tc>
          <w:tcPr>
            <w:tcW w:w="1717" w:type="dxa"/>
            <w:tcBorders>
              <w:left w:val="single" w:sz="4" w:space="0" w:color="000000"/>
            </w:tcBorders>
          </w:tcPr>
          <w:p>
            <w:pPr>
              <w:pStyle w:val="TableParagraph"/>
              <w:spacing w:before="16"/>
              <w:ind w:left="474" w:right="340"/>
              <w:jc w:val="center"/>
              <w:rPr>
                <w:sz w:val="13"/>
              </w:rPr>
            </w:pPr>
            <w:r>
              <w:rPr>
                <w:w w:val="105"/>
                <w:sz w:val="13"/>
              </w:rPr>
              <w:t>23/02/2023</w:t>
            </w:r>
          </w:p>
        </w:tc>
        <w:tc>
          <w:tcPr>
            <w:tcW w:w="1302" w:type="dxa"/>
          </w:tcPr>
          <w:p>
            <w:pPr>
              <w:pStyle w:val="TableParagraph"/>
              <w:spacing w:before="16"/>
              <w:ind w:left="353" w:right="250"/>
              <w:jc w:val="center"/>
              <w:rPr>
                <w:sz w:val="13"/>
              </w:rPr>
            </w:pPr>
            <w:r>
              <w:rPr>
                <w:w w:val="105"/>
                <w:sz w:val="13"/>
              </w:rPr>
              <w:t>23/02/2023</w:t>
            </w:r>
          </w:p>
        </w:tc>
        <w:tc>
          <w:tcPr>
            <w:tcW w:w="1226" w:type="dxa"/>
          </w:tcPr>
          <w:p>
            <w:pPr>
              <w:pStyle w:val="TableParagraph"/>
              <w:spacing w:before="16"/>
              <w:ind w:left="262" w:right="265"/>
              <w:jc w:val="center"/>
              <w:rPr>
                <w:sz w:val="13"/>
              </w:rPr>
            </w:pPr>
            <w:r>
              <w:rPr>
                <w:w w:val="105"/>
                <w:sz w:val="13"/>
              </w:rPr>
              <w:t>23/02/2023</w:t>
            </w:r>
          </w:p>
        </w:tc>
        <w:tc>
          <w:tcPr>
            <w:tcW w:w="1227" w:type="dxa"/>
            <w:tcBorders>
              <w:right w:val="single" w:sz="4" w:space="0" w:color="000000"/>
            </w:tcBorders>
          </w:tcPr>
          <w:p>
            <w:pPr>
              <w:pStyle w:val="TableParagraph"/>
              <w:spacing w:before="16"/>
              <w:ind w:left="277" w:right="245"/>
              <w:jc w:val="center"/>
              <w:rPr>
                <w:sz w:val="13"/>
              </w:rPr>
            </w:pPr>
            <w:r>
              <w:rPr>
                <w:w w:val="105"/>
                <w:sz w:val="13"/>
              </w:rPr>
              <w:t>23/02/2023</w:t>
            </w:r>
          </w:p>
        </w:tc>
      </w:tr>
      <w:tr>
        <w:trPr>
          <w:trHeight w:val="212" w:hRule="atLeast"/>
        </w:trPr>
        <w:tc>
          <w:tcPr>
            <w:tcW w:w="1463" w:type="dxa"/>
            <w:tcBorders>
              <w:left w:val="single" w:sz="4" w:space="0" w:color="000000"/>
              <w:right w:val="single" w:sz="4" w:space="0" w:color="000000"/>
            </w:tcBorders>
          </w:tcPr>
          <w:p>
            <w:pPr>
              <w:pStyle w:val="TableParagraph"/>
              <w:spacing w:before="15"/>
              <w:ind w:left="130"/>
              <w:rPr>
                <w:b/>
                <w:sz w:val="13"/>
              </w:rPr>
            </w:pPr>
            <w:r>
              <w:rPr>
                <w:b/>
                <w:w w:val="105"/>
                <w:sz w:val="13"/>
              </w:rPr>
              <w:t>RTVC</w:t>
            </w:r>
          </w:p>
        </w:tc>
        <w:tc>
          <w:tcPr>
            <w:tcW w:w="1717" w:type="dxa"/>
            <w:tcBorders>
              <w:left w:val="single" w:sz="4" w:space="0" w:color="000000"/>
            </w:tcBorders>
          </w:tcPr>
          <w:p>
            <w:pPr>
              <w:pStyle w:val="TableParagraph"/>
              <w:spacing w:before="15"/>
              <w:ind w:left="474" w:right="340"/>
              <w:jc w:val="center"/>
              <w:rPr>
                <w:sz w:val="13"/>
              </w:rPr>
            </w:pPr>
            <w:r>
              <w:rPr>
                <w:w w:val="105"/>
                <w:sz w:val="13"/>
              </w:rPr>
              <w:t>10/02/2003</w:t>
            </w:r>
          </w:p>
        </w:tc>
        <w:tc>
          <w:tcPr>
            <w:tcW w:w="1302" w:type="dxa"/>
          </w:tcPr>
          <w:p>
            <w:pPr>
              <w:pStyle w:val="TableParagraph"/>
              <w:spacing w:before="15"/>
              <w:ind w:left="353" w:right="250"/>
              <w:jc w:val="center"/>
              <w:rPr>
                <w:sz w:val="13"/>
              </w:rPr>
            </w:pPr>
            <w:r>
              <w:rPr>
                <w:w w:val="105"/>
                <w:sz w:val="13"/>
              </w:rPr>
              <w:t>10/02/2003</w:t>
            </w:r>
          </w:p>
        </w:tc>
        <w:tc>
          <w:tcPr>
            <w:tcW w:w="1226" w:type="dxa"/>
          </w:tcPr>
          <w:p>
            <w:pPr>
              <w:pStyle w:val="TableParagraph"/>
              <w:spacing w:before="15"/>
              <w:ind w:left="262" w:right="265"/>
              <w:jc w:val="center"/>
              <w:rPr>
                <w:sz w:val="13"/>
              </w:rPr>
            </w:pPr>
            <w:r>
              <w:rPr>
                <w:w w:val="105"/>
                <w:sz w:val="13"/>
              </w:rPr>
              <w:t>10/02/2003</w:t>
            </w:r>
          </w:p>
        </w:tc>
        <w:tc>
          <w:tcPr>
            <w:tcW w:w="1227" w:type="dxa"/>
            <w:tcBorders>
              <w:right w:val="single" w:sz="4" w:space="0" w:color="000000"/>
            </w:tcBorders>
          </w:tcPr>
          <w:p>
            <w:pPr>
              <w:pStyle w:val="TableParagraph"/>
              <w:spacing w:before="15"/>
              <w:ind w:left="277" w:right="245"/>
              <w:jc w:val="center"/>
              <w:rPr>
                <w:sz w:val="13"/>
              </w:rPr>
            </w:pPr>
            <w:r>
              <w:rPr>
                <w:w w:val="105"/>
                <w:sz w:val="13"/>
              </w:rPr>
              <w:t>10/02/2003</w:t>
            </w:r>
          </w:p>
        </w:tc>
      </w:tr>
      <w:tr>
        <w:trPr>
          <w:trHeight w:val="213" w:hRule="atLeast"/>
        </w:trPr>
        <w:tc>
          <w:tcPr>
            <w:tcW w:w="1463" w:type="dxa"/>
            <w:tcBorders>
              <w:left w:val="single" w:sz="4" w:space="0" w:color="000000"/>
              <w:right w:val="single" w:sz="4" w:space="0" w:color="000000"/>
            </w:tcBorders>
          </w:tcPr>
          <w:p>
            <w:pPr>
              <w:pStyle w:val="TableParagraph"/>
              <w:spacing w:before="16"/>
              <w:ind w:left="130"/>
              <w:rPr>
                <w:b/>
                <w:sz w:val="13"/>
              </w:rPr>
            </w:pPr>
            <w:r>
              <w:rPr>
                <w:b/>
                <w:w w:val="105"/>
                <w:sz w:val="13"/>
              </w:rPr>
              <w:t>APMN</w:t>
            </w:r>
          </w:p>
        </w:tc>
        <w:tc>
          <w:tcPr>
            <w:tcW w:w="1717" w:type="dxa"/>
            <w:tcBorders>
              <w:left w:val="single" w:sz="4" w:space="0" w:color="000000"/>
            </w:tcBorders>
          </w:tcPr>
          <w:p>
            <w:pPr>
              <w:pStyle w:val="TableParagraph"/>
              <w:spacing w:before="16"/>
              <w:ind w:left="474" w:right="340"/>
              <w:jc w:val="center"/>
              <w:rPr>
                <w:sz w:val="13"/>
              </w:rPr>
            </w:pPr>
            <w:r>
              <w:rPr>
                <w:w w:val="105"/>
                <w:sz w:val="13"/>
              </w:rPr>
              <w:t>28/02/2023</w:t>
            </w:r>
          </w:p>
        </w:tc>
        <w:tc>
          <w:tcPr>
            <w:tcW w:w="1302" w:type="dxa"/>
          </w:tcPr>
          <w:p>
            <w:pPr>
              <w:pStyle w:val="TableParagraph"/>
              <w:spacing w:before="16"/>
              <w:ind w:left="353" w:right="250"/>
              <w:jc w:val="center"/>
              <w:rPr>
                <w:sz w:val="13"/>
              </w:rPr>
            </w:pPr>
            <w:r>
              <w:rPr>
                <w:w w:val="105"/>
                <w:sz w:val="13"/>
              </w:rPr>
              <w:t>28/02/2023</w:t>
            </w:r>
          </w:p>
        </w:tc>
        <w:tc>
          <w:tcPr>
            <w:tcW w:w="1226" w:type="dxa"/>
          </w:tcPr>
          <w:p>
            <w:pPr>
              <w:pStyle w:val="TableParagraph"/>
              <w:spacing w:before="16"/>
              <w:ind w:left="260" w:right="265"/>
              <w:jc w:val="center"/>
              <w:rPr>
                <w:sz w:val="13"/>
              </w:rPr>
            </w:pPr>
            <w:r>
              <w:rPr>
                <w:w w:val="105"/>
                <w:sz w:val="13"/>
              </w:rPr>
              <w:t>No</w:t>
            </w:r>
          </w:p>
        </w:tc>
        <w:tc>
          <w:tcPr>
            <w:tcW w:w="1227" w:type="dxa"/>
            <w:tcBorders>
              <w:right w:val="single" w:sz="4" w:space="0" w:color="000000"/>
            </w:tcBorders>
          </w:tcPr>
          <w:p>
            <w:pPr>
              <w:pStyle w:val="TableParagraph"/>
              <w:spacing w:before="16"/>
              <w:ind w:left="276" w:right="245"/>
              <w:jc w:val="center"/>
              <w:rPr>
                <w:sz w:val="13"/>
              </w:rPr>
            </w:pPr>
            <w:r>
              <w:rPr>
                <w:w w:val="105"/>
                <w:sz w:val="13"/>
              </w:rPr>
              <w:t>No</w:t>
            </w:r>
          </w:p>
        </w:tc>
      </w:tr>
      <w:tr>
        <w:trPr>
          <w:trHeight w:val="202" w:hRule="atLeast"/>
        </w:trPr>
        <w:tc>
          <w:tcPr>
            <w:tcW w:w="1463" w:type="dxa"/>
            <w:tcBorders>
              <w:left w:val="single" w:sz="4" w:space="0" w:color="000000"/>
              <w:bottom w:val="single" w:sz="4" w:space="0" w:color="000000"/>
              <w:right w:val="single" w:sz="4" w:space="0" w:color="000000"/>
            </w:tcBorders>
          </w:tcPr>
          <w:p>
            <w:pPr>
              <w:pStyle w:val="TableParagraph"/>
              <w:spacing w:before="16"/>
              <w:ind w:left="130"/>
              <w:rPr>
                <w:b/>
                <w:sz w:val="13"/>
              </w:rPr>
            </w:pPr>
            <w:r>
              <w:rPr>
                <w:b/>
                <w:w w:val="105"/>
                <w:sz w:val="13"/>
              </w:rPr>
              <w:t>CR</w:t>
            </w:r>
          </w:p>
        </w:tc>
        <w:tc>
          <w:tcPr>
            <w:tcW w:w="1717" w:type="dxa"/>
            <w:tcBorders>
              <w:left w:val="single" w:sz="4" w:space="0" w:color="000000"/>
              <w:bottom w:val="single" w:sz="4" w:space="0" w:color="000000"/>
            </w:tcBorders>
          </w:tcPr>
          <w:p>
            <w:pPr>
              <w:pStyle w:val="TableParagraph"/>
              <w:spacing w:before="16"/>
              <w:ind w:left="474" w:right="340"/>
              <w:jc w:val="center"/>
              <w:rPr>
                <w:sz w:val="13"/>
              </w:rPr>
            </w:pPr>
            <w:r>
              <w:rPr>
                <w:w w:val="105"/>
                <w:sz w:val="13"/>
              </w:rPr>
              <w:t>22/03/2023</w:t>
            </w:r>
          </w:p>
        </w:tc>
        <w:tc>
          <w:tcPr>
            <w:tcW w:w="1302" w:type="dxa"/>
            <w:tcBorders>
              <w:bottom w:val="single" w:sz="4" w:space="0" w:color="000000"/>
            </w:tcBorders>
          </w:tcPr>
          <w:p>
            <w:pPr>
              <w:pStyle w:val="TableParagraph"/>
              <w:spacing w:before="16"/>
              <w:ind w:left="353" w:right="250"/>
              <w:jc w:val="center"/>
              <w:rPr>
                <w:sz w:val="13"/>
              </w:rPr>
            </w:pPr>
            <w:r>
              <w:rPr>
                <w:w w:val="105"/>
                <w:sz w:val="13"/>
              </w:rPr>
              <w:t>22/03/2023</w:t>
            </w:r>
          </w:p>
        </w:tc>
        <w:tc>
          <w:tcPr>
            <w:tcW w:w="1226" w:type="dxa"/>
            <w:tcBorders>
              <w:bottom w:val="single" w:sz="4" w:space="0" w:color="000000"/>
            </w:tcBorders>
          </w:tcPr>
          <w:p>
            <w:pPr>
              <w:pStyle w:val="TableParagraph"/>
              <w:spacing w:before="16"/>
              <w:ind w:left="262" w:right="265"/>
              <w:jc w:val="center"/>
              <w:rPr>
                <w:sz w:val="13"/>
              </w:rPr>
            </w:pPr>
            <w:r>
              <w:rPr>
                <w:w w:val="105"/>
                <w:sz w:val="13"/>
              </w:rPr>
              <w:t>22/03/2023</w:t>
            </w:r>
          </w:p>
        </w:tc>
        <w:tc>
          <w:tcPr>
            <w:tcW w:w="1227" w:type="dxa"/>
            <w:tcBorders>
              <w:bottom w:val="single" w:sz="4" w:space="0" w:color="000000"/>
              <w:right w:val="single" w:sz="4" w:space="0" w:color="000000"/>
            </w:tcBorders>
          </w:tcPr>
          <w:p>
            <w:pPr>
              <w:pStyle w:val="TableParagraph"/>
              <w:spacing w:before="16"/>
              <w:ind w:left="277" w:right="245"/>
              <w:jc w:val="center"/>
              <w:rPr>
                <w:sz w:val="13"/>
              </w:rPr>
            </w:pPr>
            <w:r>
              <w:rPr>
                <w:w w:val="105"/>
                <w:sz w:val="13"/>
              </w:rPr>
              <w:t>22/03/2023</w:t>
            </w:r>
          </w:p>
        </w:tc>
      </w:tr>
    </w:tbl>
    <w:p>
      <w:pPr>
        <w:pStyle w:val="BodyText"/>
        <w:spacing w:before="7"/>
        <w:rPr>
          <w:sz w:val="16"/>
        </w:rPr>
      </w:pPr>
    </w:p>
    <w:p>
      <w:pPr>
        <w:pStyle w:val="ListParagraph"/>
        <w:numPr>
          <w:ilvl w:val="0"/>
          <w:numId w:val="41"/>
        </w:numPr>
        <w:tabs>
          <w:tab w:pos="2335" w:val="left" w:leader="none"/>
        </w:tabs>
        <w:spacing w:line="240" w:lineRule="auto" w:before="0" w:after="0"/>
        <w:ind w:left="2334" w:right="1144" w:hanging="238"/>
        <w:jc w:val="both"/>
        <w:rPr>
          <w:sz w:val="20"/>
        </w:rPr>
      </w:pPr>
      <w:r>
        <w:rPr>
          <w:sz w:val="20"/>
        </w:rPr>
        <w:t>Siete entidades remiten la información completa: ICAP, ICCA, ICI, ISTAC, CES, RTVC y CR, aunque esta última e ICCA lo hicieron fuera de</w:t>
      </w:r>
      <w:r>
        <w:rPr>
          <w:spacing w:val="5"/>
          <w:sz w:val="20"/>
        </w:rPr>
        <w:t> </w:t>
      </w:r>
      <w:r>
        <w:rPr>
          <w:sz w:val="20"/>
        </w:rPr>
        <w:t>plazo.</w:t>
      </w:r>
    </w:p>
    <w:p>
      <w:pPr>
        <w:pStyle w:val="BodyText"/>
      </w:pPr>
    </w:p>
    <w:p>
      <w:pPr>
        <w:pStyle w:val="BodyText"/>
        <w:spacing w:before="11"/>
        <w:rPr>
          <w:sz w:val="18"/>
        </w:rPr>
      </w:pPr>
      <w:r>
        <w:rPr/>
        <w:pict>
          <v:shape style="position:absolute;margin-left:142.816818pt;margin-top:13.840191pt;width:120.95pt;height:.1pt;mso-position-horizontal-relative:page;mso-position-vertical-relative:paragraph;z-index:-251466752;mso-wrap-distance-left:0;mso-wrap-distance-right:0" coordorigin="2856,277" coordsize="2419,0" path="m2856,277l5275,277e" filled="false" stroked="true" strokeweight=".604484pt" strokecolor="#000000">
            <v:path arrowok="t"/>
            <v:stroke dashstyle="solid"/>
            <w10:wrap type="topAndBottom"/>
          </v:shape>
        </w:pict>
      </w:r>
    </w:p>
    <w:p>
      <w:pPr>
        <w:spacing w:line="252" w:lineRule="auto" w:before="51"/>
        <w:ind w:left="2096" w:right="1139" w:firstLine="0"/>
        <w:jc w:val="both"/>
        <w:rPr>
          <w:sz w:val="16"/>
        </w:rPr>
      </w:pPr>
      <w:r>
        <w:rPr>
          <w:w w:val="105"/>
          <w:position w:val="6"/>
          <w:sz w:val="11"/>
        </w:rPr>
        <w:t>20</w:t>
      </w:r>
      <w:r>
        <w:rPr>
          <w:spacing w:val="8"/>
          <w:w w:val="105"/>
          <w:position w:val="6"/>
          <w:sz w:val="11"/>
        </w:rPr>
        <w:t> </w:t>
      </w:r>
      <w:r>
        <w:rPr>
          <w:w w:val="105"/>
          <w:sz w:val="16"/>
        </w:rPr>
        <w:t>Instrucción</w:t>
      </w:r>
      <w:r>
        <w:rPr>
          <w:spacing w:val="-4"/>
          <w:w w:val="105"/>
          <w:sz w:val="16"/>
        </w:rPr>
        <w:t> </w:t>
      </w:r>
      <w:r>
        <w:rPr>
          <w:w w:val="105"/>
          <w:sz w:val="16"/>
        </w:rPr>
        <w:t>de</w:t>
      </w:r>
      <w:r>
        <w:rPr>
          <w:spacing w:val="-3"/>
          <w:w w:val="105"/>
          <w:sz w:val="16"/>
        </w:rPr>
        <w:t> </w:t>
      </w:r>
      <w:r>
        <w:rPr>
          <w:w w:val="105"/>
          <w:sz w:val="16"/>
        </w:rPr>
        <w:t>29</w:t>
      </w:r>
      <w:r>
        <w:rPr>
          <w:spacing w:val="-3"/>
          <w:w w:val="105"/>
          <w:sz w:val="16"/>
        </w:rPr>
        <w:t> </w:t>
      </w:r>
      <w:r>
        <w:rPr>
          <w:w w:val="105"/>
          <w:sz w:val="16"/>
        </w:rPr>
        <w:t>de</w:t>
      </w:r>
      <w:r>
        <w:rPr>
          <w:spacing w:val="-5"/>
          <w:w w:val="105"/>
          <w:sz w:val="16"/>
        </w:rPr>
        <w:t> </w:t>
      </w:r>
      <w:r>
        <w:rPr>
          <w:w w:val="105"/>
          <w:sz w:val="16"/>
        </w:rPr>
        <w:t>noviembre</w:t>
      </w:r>
      <w:r>
        <w:rPr>
          <w:spacing w:val="-3"/>
          <w:w w:val="105"/>
          <w:sz w:val="16"/>
        </w:rPr>
        <w:t> </w:t>
      </w:r>
      <w:r>
        <w:rPr>
          <w:w w:val="105"/>
          <w:sz w:val="16"/>
        </w:rPr>
        <w:t>de</w:t>
      </w:r>
      <w:r>
        <w:rPr>
          <w:spacing w:val="-3"/>
          <w:w w:val="105"/>
          <w:sz w:val="16"/>
        </w:rPr>
        <w:t> </w:t>
      </w:r>
      <w:r>
        <w:rPr>
          <w:w w:val="105"/>
          <w:sz w:val="16"/>
        </w:rPr>
        <w:t>2018,</w:t>
      </w:r>
      <w:r>
        <w:rPr>
          <w:spacing w:val="-2"/>
          <w:w w:val="105"/>
          <w:sz w:val="16"/>
        </w:rPr>
        <w:t> </w:t>
      </w:r>
      <w:r>
        <w:rPr>
          <w:w w:val="105"/>
          <w:sz w:val="16"/>
        </w:rPr>
        <w:t>relativa</w:t>
      </w:r>
      <w:r>
        <w:rPr>
          <w:spacing w:val="-2"/>
          <w:w w:val="105"/>
          <w:sz w:val="16"/>
        </w:rPr>
        <w:t> </w:t>
      </w:r>
      <w:r>
        <w:rPr>
          <w:w w:val="105"/>
          <w:sz w:val="16"/>
        </w:rPr>
        <w:t>a</w:t>
      </w:r>
      <w:r>
        <w:rPr>
          <w:spacing w:val="-2"/>
          <w:w w:val="105"/>
          <w:sz w:val="16"/>
        </w:rPr>
        <w:t> </w:t>
      </w:r>
      <w:r>
        <w:rPr>
          <w:w w:val="105"/>
          <w:sz w:val="16"/>
        </w:rPr>
        <w:t>la</w:t>
      </w:r>
      <w:r>
        <w:rPr>
          <w:spacing w:val="-5"/>
          <w:w w:val="105"/>
          <w:sz w:val="16"/>
        </w:rPr>
        <w:t> </w:t>
      </w:r>
      <w:r>
        <w:rPr>
          <w:w w:val="105"/>
          <w:sz w:val="16"/>
        </w:rPr>
        <w:t>remisión</w:t>
      </w:r>
      <w:r>
        <w:rPr>
          <w:spacing w:val="-2"/>
          <w:w w:val="105"/>
          <w:sz w:val="16"/>
        </w:rPr>
        <w:t> </w:t>
      </w:r>
      <w:r>
        <w:rPr>
          <w:w w:val="105"/>
          <w:sz w:val="16"/>
        </w:rPr>
        <w:t>telemática</w:t>
      </w:r>
      <w:r>
        <w:rPr>
          <w:spacing w:val="-2"/>
          <w:w w:val="105"/>
          <w:sz w:val="16"/>
        </w:rPr>
        <w:t> </w:t>
      </w:r>
      <w:r>
        <w:rPr>
          <w:w w:val="105"/>
          <w:sz w:val="16"/>
        </w:rPr>
        <w:t>a</w:t>
      </w:r>
      <w:r>
        <w:rPr>
          <w:spacing w:val="-2"/>
          <w:w w:val="105"/>
          <w:sz w:val="16"/>
        </w:rPr>
        <w:t> </w:t>
      </w:r>
      <w:r>
        <w:rPr>
          <w:w w:val="105"/>
          <w:sz w:val="16"/>
        </w:rPr>
        <w:t>la</w:t>
      </w:r>
      <w:r>
        <w:rPr>
          <w:spacing w:val="-2"/>
          <w:w w:val="105"/>
          <w:sz w:val="16"/>
        </w:rPr>
        <w:t> </w:t>
      </w:r>
      <w:r>
        <w:rPr>
          <w:w w:val="105"/>
          <w:sz w:val="16"/>
        </w:rPr>
        <w:t>Audiencia</w:t>
      </w:r>
      <w:r>
        <w:rPr>
          <w:spacing w:val="-3"/>
          <w:w w:val="105"/>
          <w:sz w:val="16"/>
        </w:rPr>
        <w:t> </w:t>
      </w:r>
      <w:r>
        <w:rPr>
          <w:w w:val="105"/>
          <w:sz w:val="16"/>
        </w:rPr>
        <w:t>de</w:t>
      </w:r>
      <w:r>
        <w:rPr>
          <w:spacing w:val="-3"/>
          <w:w w:val="105"/>
          <w:sz w:val="16"/>
        </w:rPr>
        <w:t> </w:t>
      </w:r>
      <w:r>
        <w:rPr>
          <w:w w:val="105"/>
          <w:sz w:val="16"/>
        </w:rPr>
        <w:t>Cuentas</w:t>
      </w:r>
      <w:r>
        <w:rPr>
          <w:spacing w:val="-2"/>
          <w:w w:val="105"/>
          <w:sz w:val="16"/>
        </w:rPr>
        <w:t> </w:t>
      </w:r>
      <w:r>
        <w:rPr>
          <w:w w:val="105"/>
          <w:sz w:val="16"/>
        </w:rPr>
        <w:t>de Canarias de los extractos de los expedientes de contratación y convenios y de las relaciones anuales de los contratos, convenios y encargos a medios propios personificados celebrados por las entidades del Sector Público Autonómico de la CAC al amparo de la Ley 9/2017, de 8 de</w:t>
      </w:r>
      <w:r>
        <w:rPr>
          <w:spacing w:val="-10"/>
          <w:w w:val="105"/>
          <w:sz w:val="16"/>
        </w:rPr>
        <w:t> </w:t>
      </w:r>
      <w:r>
        <w:rPr>
          <w:w w:val="105"/>
          <w:sz w:val="16"/>
        </w:rPr>
        <w:t>noviembre.</w:t>
      </w:r>
    </w:p>
    <w:p>
      <w:pPr>
        <w:spacing w:line="195" w:lineRule="exact" w:before="0"/>
        <w:ind w:left="2096" w:right="0" w:firstLine="0"/>
        <w:jc w:val="both"/>
        <w:rPr>
          <w:sz w:val="16"/>
        </w:rPr>
      </w:pPr>
      <w:r>
        <w:rPr>
          <w:w w:val="105"/>
          <w:position w:val="6"/>
          <w:sz w:val="11"/>
        </w:rPr>
        <w:t>21 </w:t>
      </w:r>
      <w:r>
        <w:rPr>
          <w:w w:val="105"/>
          <w:sz w:val="16"/>
        </w:rPr>
        <w:t>Del SCS se hace un análisis específico en el apartado 4.4.4.</w:t>
      </w:r>
    </w:p>
    <w:p>
      <w:pPr>
        <w:pStyle w:val="BodyText"/>
        <w:spacing w:before="2"/>
        <w:ind w:left="7897"/>
        <w:jc w:val="center"/>
      </w:pPr>
      <w:r>
        <w:rPr/>
        <w:t>85</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81" name="image5.png"/>
                  <wp:cNvGraphicFramePr>
                    <a:graphicFrameLocks noChangeAspect="1"/>
                  </wp:cNvGraphicFramePr>
                  <a:graphic>
                    <a:graphicData uri="http://schemas.openxmlformats.org/drawingml/2006/picture">
                      <pic:pic>
                        <pic:nvPicPr>
                          <pic:cNvPr id="18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87/247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0"/>
          <w:numId w:val="41"/>
        </w:numPr>
        <w:tabs>
          <w:tab w:pos="2335" w:val="left" w:leader="none"/>
        </w:tabs>
        <w:spacing w:line="240" w:lineRule="auto" w:before="61" w:after="0"/>
        <w:ind w:left="2334" w:right="1139" w:hanging="238"/>
        <w:jc w:val="both"/>
        <w:rPr>
          <w:sz w:val="20"/>
        </w:rPr>
      </w:pPr>
      <w:r>
        <w:rPr>
          <w:sz w:val="20"/>
        </w:rPr>
        <w:t>ICIA no ha rendido ninguna información. ACCUE y SCE solo remite la relación de contratos sujetos a la LCSP, e ICHH e ICAVI no remitieron la relación de contratos privados. APMN tampoco remite las relaciones de convenios y encargos, y ATC las de contratos privados y encargos a medios</w:t>
      </w:r>
      <w:r>
        <w:rPr>
          <w:spacing w:val="-1"/>
          <w:sz w:val="20"/>
        </w:rPr>
        <w:t> </w:t>
      </w:r>
      <w:r>
        <w:rPr>
          <w:sz w:val="20"/>
        </w:rPr>
        <w:t>propios.</w:t>
      </w:r>
    </w:p>
    <w:p>
      <w:pPr>
        <w:pStyle w:val="BodyText"/>
        <w:spacing w:before="1"/>
        <w:rPr>
          <w:sz w:val="17"/>
        </w:rPr>
      </w:pPr>
    </w:p>
    <w:p>
      <w:pPr>
        <w:pStyle w:val="Heading1"/>
        <w:ind w:left="2096"/>
        <w:jc w:val="left"/>
      </w:pPr>
      <w:r>
        <w:rPr/>
        <w:t>Observaciones a los contratos de la LCSP remitidos.</w:t>
      </w:r>
    </w:p>
    <w:p>
      <w:pPr>
        <w:pStyle w:val="BodyText"/>
        <w:spacing w:before="8"/>
        <w:rPr>
          <w:b/>
          <w:sz w:val="16"/>
        </w:rPr>
      </w:pPr>
    </w:p>
    <w:p>
      <w:pPr>
        <w:pStyle w:val="ListParagraph"/>
        <w:numPr>
          <w:ilvl w:val="0"/>
          <w:numId w:val="42"/>
        </w:numPr>
        <w:tabs>
          <w:tab w:pos="2335" w:val="left" w:leader="none"/>
        </w:tabs>
        <w:spacing w:line="242" w:lineRule="auto" w:before="0" w:after="0"/>
        <w:ind w:left="2334" w:right="1137" w:hanging="238"/>
        <w:jc w:val="both"/>
        <w:rPr>
          <w:sz w:val="20"/>
        </w:rPr>
      </w:pPr>
      <w:r>
        <w:rPr>
          <w:sz w:val="20"/>
        </w:rPr>
        <w:t>La información remitida contiene diversas incidencias, que se muestran en el anexo XII del presente Informe. Entre ellas, no consta para todos los contratos el campo de fecha de formalización, y se incluyen contratos no formalizados en 2022. Para los contratos menores, que no siempre consta la fecha de adjudicación, además hay contratos que no corresponden al ejercicio 2022 y otros con importe superior a los límites previstos en la LCSP para este tipo de</w:t>
      </w:r>
      <w:r>
        <w:rPr>
          <w:spacing w:val="3"/>
          <w:sz w:val="20"/>
        </w:rPr>
        <w:t> </w:t>
      </w:r>
      <w:r>
        <w:rPr>
          <w:sz w:val="20"/>
        </w:rPr>
        <w:t>contratos.</w:t>
      </w:r>
    </w:p>
    <w:p>
      <w:pPr>
        <w:pStyle w:val="BodyText"/>
        <w:spacing w:before="4"/>
        <w:rPr>
          <w:sz w:val="16"/>
        </w:rPr>
      </w:pPr>
    </w:p>
    <w:p>
      <w:pPr>
        <w:pStyle w:val="ListParagraph"/>
        <w:numPr>
          <w:ilvl w:val="0"/>
          <w:numId w:val="42"/>
        </w:numPr>
        <w:tabs>
          <w:tab w:pos="2335" w:val="left" w:leader="none"/>
        </w:tabs>
        <w:spacing w:line="240" w:lineRule="auto" w:before="0" w:after="0"/>
        <w:ind w:left="2334" w:right="1142" w:hanging="238"/>
        <w:jc w:val="both"/>
        <w:rPr>
          <w:sz w:val="20"/>
        </w:rPr>
      </w:pPr>
      <w:r>
        <w:rPr>
          <w:sz w:val="20"/>
        </w:rPr>
        <w:t>La información aportada en las relaciones anuales, en cuanto a número de contratos e importe, contiene importantes diferencias con respecto a la obtenida del módulo RECO del Seflogic. Estas diferencias se muestran en el anexo</w:t>
      </w:r>
      <w:r>
        <w:rPr>
          <w:spacing w:val="5"/>
          <w:sz w:val="20"/>
        </w:rPr>
        <w:t> </w:t>
      </w:r>
      <w:r>
        <w:rPr>
          <w:sz w:val="20"/>
        </w:rPr>
        <w:t>XI.</w:t>
      </w:r>
    </w:p>
    <w:p>
      <w:pPr>
        <w:pStyle w:val="BodyText"/>
        <w:spacing w:before="11"/>
        <w:rPr>
          <w:sz w:val="16"/>
        </w:rPr>
      </w:pPr>
    </w:p>
    <w:p>
      <w:pPr>
        <w:pStyle w:val="ListParagraph"/>
        <w:numPr>
          <w:ilvl w:val="0"/>
          <w:numId w:val="42"/>
        </w:numPr>
        <w:tabs>
          <w:tab w:pos="2335" w:val="left" w:leader="none"/>
        </w:tabs>
        <w:spacing w:line="240" w:lineRule="auto" w:before="0" w:after="0"/>
        <w:ind w:left="2334" w:right="1143" w:hanging="238"/>
        <w:jc w:val="both"/>
        <w:rPr>
          <w:sz w:val="20"/>
        </w:rPr>
      </w:pPr>
      <w:r>
        <w:rPr>
          <w:sz w:val="20"/>
        </w:rPr>
        <w:t>Por lo que se refiere a la obligación de remitir la copia contrato formalizado acompañada de un extracto del expediente cuando supere los importes que establece el Art. 335 de la</w:t>
      </w:r>
      <w:r>
        <w:rPr>
          <w:spacing w:val="-4"/>
          <w:sz w:val="20"/>
        </w:rPr>
        <w:t> </w:t>
      </w:r>
      <w:r>
        <w:rPr>
          <w:sz w:val="20"/>
        </w:rPr>
        <w:t>LCSP:</w:t>
      </w:r>
    </w:p>
    <w:p>
      <w:pPr>
        <w:pStyle w:val="BodyText"/>
        <w:spacing w:before="11"/>
        <w:rPr>
          <w:sz w:val="16"/>
        </w:rPr>
      </w:pPr>
    </w:p>
    <w:p>
      <w:pPr>
        <w:pStyle w:val="ListParagraph"/>
        <w:numPr>
          <w:ilvl w:val="1"/>
          <w:numId w:val="42"/>
        </w:numPr>
        <w:tabs>
          <w:tab w:pos="2574" w:val="left" w:leader="none"/>
        </w:tabs>
        <w:spacing w:line="242" w:lineRule="auto" w:before="0" w:after="0"/>
        <w:ind w:left="2573" w:right="1137" w:hanging="240"/>
        <w:jc w:val="both"/>
        <w:rPr>
          <w:sz w:val="20"/>
        </w:rPr>
      </w:pPr>
      <w:r>
        <w:rPr>
          <w:sz w:val="20"/>
        </w:rPr>
        <w:t>El</w:t>
      </w:r>
      <w:r>
        <w:rPr>
          <w:spacing w:val="-5"/>
          <w:sz w:val="20"/>
        </w:rPr>
        <w:t> </w:t>
      </w:r>
      <w:r>
        <w:rPr>
          <w:sz w:val="20"/>
        </w:rPr>
        <w:t>SCE,</w:t>
      </w:r>
      <w:r>
        <w:rPr>
          <w:spacing w:val="-5"/>
          <w:sz w:val="20"/>
        </w:rPr>
        <w:t> </w:t>
      </w:r>
      <w:r>
        <w:rPr>
          <w:sz w:val="20"/>
        </w:rPr>
        <w:t>de</w:t>
      </w:r>
      <w:r>
        <w:rPr>
          <w:spacing w:val="-4"/>
          <w:sz w:val="20"/>
        </w:rPr>
        <w:t> </w:t>
      </w:r>
      <w:r>
        <w:rPr>
          <w:sz w:val="20"/>
        </w:rPr>
        <w:t>los</w:t>
      </w:r>
      <w:r>
        <w:rPr>
          <w:spacing w:val="-4"/>
          <w:sz w:val="20"/>
        </w:rPr>
        <w:t> </w:t>
      </w:r>
      <w:r>
        <w:rPr>
          <w:sz w:val="20"/>
        </w:rPr>
        <w:t>cinco</w:t>
      </w:r>
      <w:r>
        <w:rPr>
          <w:spacing w:val="-6"/>
          <w:sz w:val="20"/>
        </w:rPr>
        <w:t> </w:t>
      </w:r>
      <w:r>
        <w:rPr>
          <w:sz w:val="20"/>
        </w:rPr>
        <w:t>contratos</w:t>
      </w:r>
      <w:r>
        <w:rPr>
          <w:spacing w:val="-6"/>
          <w:sz w:val="20"/>
        </w:rPr>
        <w:t> </w:t>
      </w:r>
      <w:r>
        <w:rPr>
          <w:sz w:val="20"/>
        </w:rPr>
        <w:t>que</w:t>
      </w:r>
      <w:r>
        <w:rPr>
          <w:spacing w:val="-6"/>
          <w:sz w:val="20"/>
        </w:rPr>
        <w:t> </w:t>
      </w:r>
      <w:r>
        <w:rPr>
          <w:sz w:val="20"/>
        </w:rPr>
        <w:t>superan</w:t>
      </w:r>
      <w:r>
        <w:rPr>
          <w:spacing w:val="-4"/>
          <w:sz w:val="20"/>
        </w:rPr>
        <w:t> </w:t>
      </w:r>
      <w:r>
        <w:rPr>
          <w:sz w:val="20"/>
        </w:rPr>
        <w:t>los</w:t>
      </w:r>
      <w:r>
        <w:rPr>
          <w:spacing w:val="-7"/>
          <w:sz w:val="20"/>
        </w:rPr>
        <w:t> </w:t>
      </w:r>
      <w:r>
        <w:rPr>
          <w:sz w:val="20"/>
        </w:rPr>
        <w:t>límites</w:t>
      </w:r>
      <w:r>
        <w:rPr>
          <w:spacing w:val="-6"/>
          <w:sz w:val="20"/>
        </w:rPr>
        <w:t> </w:t>
      </w:r>
      <w:r>
        <w:rPr>
          <w:sz w:val="20"/>
        </w:rPr>
        <w:t>del</w:t>
      </w:r>
      <w:r>
        <w:rPr>
          <w:spacing w:val="-2"/>
          <w:sz w:val="20"/>
        </w:rPr>
        <w:t> </w:t>
      </w:r>
      <w:r>
        <w:rPr>
          <w:sz w:val="20"/>
        </w:rPr>
        <w:t>Art.</w:t>
      </w:r>
      <w:r>
        <w:rPr>
          <w:spacing w:val="-7"/>
          <w:sz w:val="20"/>
        </w:rPr>
        <w:t> </w:t>
      </w:r>
      <w:r>
        <w:rPr>
          <w:sz w:val="20"/>
        </w:rPr>
        <w:t>335</w:t>
      </w:r>
      <w:r>
        <w:rPr>
          <w:spacing w:val="-6"/>
          <w:sz w:val="20"/>
        </w:rPr>
        <w:t> </w:t>
      </w:r>
      <w:r>
        <w:rPr>
          <w:sz w:val="20"/>
        </w:rPr>
        <w:t>de</w:t>
      </w:r>
      <w:r>
        <w:rPr>
          <w:spacing w:val="-6"/>
          <w:sz w:val="20"/>
        </w:rPr>
        <w:t> </w:t>
      </w:r>
      <w:r>
        <w:rPr>
          <w:sz w:val="20"/>
        </w:rPr>
        <w:t>la</w:t>
      </w:r>
      <w:r>
        <w:rPr>
          <w:spacing w:val="-6"/>
          <w:sz w:val="20"/>
        </w:rPr>
        <w:t> </w:t>
      </w:r>
      <w:r>
        <w:rPr>
          <w:sz w:val="20"/>
        </w:rPr>
        <w:t>LCSP,</w:t>
      </w:r>
      <w:r>
        <w:rPr>
          <w:spacing w:val="-3"/>
          <w:sz w:val="20"/>
        </w:rPr>
        <w:t> </w:t>
      </w:r>
      <w:r>
        <w:rPr>
          <w:sz w:val="20"/>
        </w:rPr>
        <w:t>según la relación de contratos remitida, solo ha remitido un expediente. Lo mismo para ATC, en número y rendición de contratos por importe superior del Art.</w:t>
      </w:r>
      <w:r>
        <w:rPr>
          <w:spacing w:val="9"/>
          <w:sz w:val="20"/>
        </w:rPr>
        <w:t> </w:t>
      </w:r>
      <w:r>
        <w:rPr>
          <w:sz w:val="20"/>
        </w:rPr>
        <w:t>335.</w:t>
      </w:r>
    </w:p>
    <w:p>
      <w:pPr>
        <w:pStyle w:val="BodyText"/>
        <w:spacing w:before="6"/>
        <w:rPr>
          <w:sz w:val="16"/>
        </w:rPr>
      </w:pPr>
    </w:p>
    <w:p>
      <w:pPr>
        <w:pStyle w:val="Heading1"/>
        <w:ind w:left="2086"/>
        <w:jc w:val="left"/>
      </w:pPr>
      <w:r>
        <w:rPr/>
        <w:t>Observaciones a los convenios remitidos.</w:t>
      </w:r>
    </w:p>
    <w:p>
      <w:pPr>
        <w:pStyle w:val="BodyText"/>
        <w:spacing w:before="8"/>
        <w:rPr>
          <w:b/>
          <w:sz w:val="16"/>
        </w:rPr>
      </w:pPr>
    </w:p>
    <w:p>
      <w:pPr>
        <w:pStyle w:val="ListParagraph"/>
        <w:numPr>
          <w:ilvl w:val="0"/>
          <w:numId w:val="43"/>
        </w:numPr>
        <w:tabs>
          <w:tab w:pos="2335" w:val="left" w:leader="none"/>
        </w:tabs>
        <w:spacing w:line="240" w:lineRule="auto" w:before="0" w:after="0"/>
        <w:ind w:left="2334" w:right="1143" w:hanging="238"/>
        <w:jc w:val="both"/>
        <w:rPr>
          <w:sz w:val="20"/>
        </w:rPr>
      </w:pPr>
      <w:r>
        <w:rPr>
          <w:sz w:val="20"/>
        </w:rPr>
        <w:t>De las nueve entidades que remitieron información al respecto, solo tres celebraron convenios en 2022: ICI (3), ISTAC (2) y ATC (9). ICAP, ICCA, ICHH, CES, RTVC y CR comunican que no han formalizado</w:t>
      </w:r>
      <w:r>
        <w:rPr>
          <w:spacing w:val="-3"/>
          <w:sz w:val="20"/>
        </w:rPr>
        <w:t> </w:t>
      </w:r>
      <w:r>
        <w:rPr>
          <w:sz w:val="20"/>
        </w:rPr>
        <w:t>ninguno.</w:t>
      </w:r>
    </w:p>
    <w:p>
      <w:pPr>
        <w:pStyle w:val="BodyText"/>
        <w:spacing w:before="11"/>
        <w:rPr>
          <w:sz w:val="16"/>
        </w:rPr>
      </w:pPr>
    </w:p>
    <w:p>
      <w:pPr>
        <w:pStyle w:val="ListParagraph"/>
        <w:numPr>
          <w:ilvl w:val="0"/>
          <w:numId w:val="43"/>
        </w:numPr>
        <w:tabs>
          <w:tab w:pos="2335" w:val="left" w:leader="none"/>
        </w:tabs>
        <w:spacing w:line="240" w:lineRule="auto" w:before="1" w:after="0"/>
        <w:ind w:left="2334" w:right="1138" w:hanging="238"/>
        <w:jc w:val="both"/>
        <w:rPr>
          <w:sz w:val="20"/>
        </w:rPr>
      </w:pPr>
      <w:r>
        <w:rPr>
          <w:sz w:val="20"/>
        </w:rPr>
        <w:t>Tanto</w:t>
      </w:r>
      <w:r>
        <w:rPr>
          <w:spacing w:val="-6"/>
          <w:sz w:val="20"/>
        </w:rPr>
        <w:t> </w:t>
      </w:r>
      <w:r>
        <w:rPr>
          <w:sz w:val="20"/>
        </w:rPr>
        <w:t>ICI</w:t>
      </w:r>
      <w:r>
        <w:rPr>
          <w:spacing w:val="-6"/>
          <w:sz w:val="20"/>
        </w:rPr>
        <w:t> </w:t>
      </w:r>
      <w:r>
        <w:rPr>
          <w:sz w:val="20"/>
        </w:rPr>
        <w:t>y</w:t>
      </w:r>
      <w:r>
        <w:rPr>
          <w:spacing w:val="-8"/>
          <w:sz w:val="20"/>
        </w:rPr>
        <w:t> </w:t>
      </w:r>
      <w:r>
        <w:rPr>
          <w:sz w:val="20"/>
        </w:rPr>
        <w:t>ATC</w:t>
      </w:r>
      <w:r>
        <w:rPr>
          <w:spacing w:val="-9"/>
          <w:sz w:val="20"/>
        </w:rPr>
        <w:t> </w:t>
      </w:r>
      <w:r>
        <w:rPr>
          <w:sz w:val="20"/>
        </w:rPr>
        <w:t>no</w:t>
      </w:r>
      <w:r>
        <w:rPr>
          <w:spacing w:val="-7"/>
          <w:sz w:val="20"/>
        </w:rPr>
        <w:t> </w:t>
      </w:r>
      <w:r>
        <w:rPr>
          <w:sz w:val="20"/>
        </w:rPr>
        <w:t>tendrían</w:t>
      </w:r>
      <w:r>
        <w:rPr>
          <w:spacing w:val="-4"/>
          <w:sz w:val="20"/>
        </w:rPr>
        <w:t> </w:t>
      </w:r>
      <w:r>
        <w:rPr>
          <w:sz w:val="20"/>
        </w:rPr>
        <w:t>que</w:t>
      </w:r>
      <w:r>
        <w:rPr>
          <w:spacing w:val="-8"/>
          <w:sz w:val="20"/>
        </w:rPr>
        <w:t> </w:t>
      </w:r>
      <w:r>
        <w:rPr>
          <w:sz w:val="20"/>
        </w:rPr>
        <w:t>haberse</w:t>
      </w:r>
      <w:r>
        <w:rPr>
          <w:spacing w:val="-7"/>
          <w:sz w:val="20"/>
        </w:rPr>
        <w:t> </w:t>
      </w:r>
      <w:r>
        <w:rPr>
          <w:sz w:val="20"/>
        </w:rPr>
        <w:t>incorporado</w:t>
      </w:r>
      <w:r>
        <w:rPr>
          <w:spacing w:val="-5"/>
          <w:sz w:val="20"/>
        </w:rPr>
        <w:t> </w:t>
      </w:r>
      <w:r>
        <w:rPr>
          <w:sz w:val="20"/>
        </w:rPr>
        <w:t>uno</w:t>
      </w:r>
      <w:r>
        <w:rPr>
          <w:spacing w:val="-8"/>
          <w:sz w:val="20"/>
        </w:rPr>
        <w:t> </w:t>
      </w:r>
      <w:r>
        <w:rPr>
          <w:sz w:val="20"/>
        </w:rPr>
        <w:t>de</w:t>
      </w:r>
      <w:r>
        <w:rPr>
          <w:spacing w:val="-7"/>
          <w:sz w:val="20"/>
        </w:rPr>
        <w:t> </w:t>
      </w:r>
      <w:r>
        <w:rPr>
          <w:sz w:val="20"/>
        </w:rPr>
        <w:t>los</w:t>
      </w:r>
      <w:r>
        <w:rPr>
          <w:spacing w:val="-5"/>
          <w:sz w:val="20"/>
        </w:rPr>
        <w:t> </w:t>
      </w:r>
      <w:r>
        <w:rPr>
          <w:sz w:val="20"/>
        </w:rPr>
        <w:t>registros</w:t>
      </w:r>
      <w:r>
        <w:rPr>
          <w:spacing w:val="-9"/>
          <w:sz w:val="20"/>
        </w:rPr>
        <w:t> </w:t>
      </w:r>
      <w:r>
        <w:rPr>
          <w:sz w:val="20"/>
        </w:rPr>
        <w:t>a</w:t>
      </w:r>
      <w:r>
        <w:rPr>
          <w:spacing w:val="-7"/>
          <w:sz w:val="20"/>
        </w:rPr>
        <w:t> </w:t>
      </w:r>
      <w:r>
        <w:rPr>
          <w:sz w:val="20"/>
        </w:rPr>
        <w:t>la</w:t>
      </w:r>
      <w:r>
        <w:rPr>
          <w:spacing w:val="-8"/>
          <w:sz w:val="20"/>
        </w:rPr>
        <w:t> </w:t>
      </w:r>
      <w:r>
        <w:rPr>
          <w:sz w:val="20"/>
        </w:rPr>
        <w:t>relación remitida, por no tratarse de un convenio de 2022, sino de una adenda a un convenio de</w:t>
      </w:r>
      <w:r>
        <w:rPr>
          <w:spacing w:val="1"/>
          <w:sz w:val="20"/>
        </w:rPr>
        <w:t> </w:t>
      </w:r>
      <w:r>
        <w:rPr>
          <w:sz w:val="20"/>
        </w:rPr>
        <w:t>2020.</w:t>
      </w:r>
    </w:p>
    <w:p>
      <w:pPr>
        <w:pStyle w:val="BodyText"/>
        <w:spacing w:before="11"/>
        <w:rPr>
          <w:sz w:val="16"/>
        </w:rPr>
      </w:pPr>
    </w:p>
    <w:p>
      <w:pPr>
        <w:pStyle w:val="ListParagraph"/>
        <w:numPr>
          <w:ilvl w:val="0"/>
          <w:numId w:val="43"/>
        </w:numPr>
        <w:tabs>
          <w:tab w:pos="2335" w:val="left" w:leader="none"/>
        </w:tabs>
        <w:spacing w:line="240" w:lineRule="auto" w:before="0" w:after="0"/>
        <w:ind w:left="2334" w:right="0" w:hanging="239"/>
        <w:jc w:val="left"/>
        <w:rPr>
          <w:sz w:val="20"/>
        </w:rPr>
      </w:pPr>
      <w:r>
        <w:rPr>
          <w:sz w:val="20"/>
        </w:rPr>
        <w:t>ATC no aporta los importes de los</w:t>
      </w:r>
      <w:r>
        <w:rPr>
          <w:spacing w:val="1"/>
          <w:sz w:val="20"/>
        </w:rPr>
        <w:t> </w:t>
      </w:r>
      <w:r>
        <w:rPr>
          <w:sz w:val="20"/>
        </w:rPr>
        <w:t>convenios.</w:t>
      </w:r>
    </w:p>
    <w:p>
      <w:pPr>
        <w:pStyle w:val="BodyText"/>
        <w:spacing w:before="8"/>
        <w:rPr>
          <w:sz w:val="16"/>
        </w:rPr>
      </w:pPr>
    </w:p>
    <w:p>
      <w:pPr>
        <w:pStyle w:val="ListParagraph"/>
        <w:numPr>
          <w:ilvl w:val="0"/>
          <w:numId w:val="43"/>
        </w:numPr>
        <w:tabs>
          <w:tab w:pos="2335" w:val="left" w:leader="none"/>
        </w:tabs>
        <w:spacing w:line="240" w:lineRule="auto" w:before="0" w:after="0"/>
        <w:ind w:left="2334" w:right="1138" w:hanging="238"/>
        <w:jc w:val="both"/>
        <w:rPr>
          <w:sz w:val="20"/>
        </w:rPr>
      </w:pPr>
      <w:r>
        <w:rPr>
          <w:sz w:val="20"/>
        </w:rPr>
        <w:t>Al no incorporar el importe en la relación facilitada por ATC, tampoco se ha podido verificar para esta entidad el cumplimiento que se refiere a la remisión de la copia del</w:t>
      </w:r>
      <w:r>
        <w:rPr>
          <w:spacing w:val="9"/>
          <w:sz w:val="20"/>
        </w:rPr>
        <w:t> </w:t>
      </w:r>
      <w:r>
        <w:rPr>
          <w:sz w:val="20"/>
        </w:rPr>
        <w:t>documento</w:t>
      </w:r>
      <w:r>
        <w:rPr>
          <w:spacing w:val="8"/>
          <w:sz w:val="20"/>
        </w:rPr>
        <w:t> </w:t>
      </w:r>
      <w:r>
        <w:rPr>
          <w:sz w:val="20"/>
        </w:rPr>
        <w:t>formalizado</w:t>
      </w:r>
      <w:r>
        <w:rPr>
          <w:spacing w:val="9"/>
          <w:sz w:val="20"/>
        </w:rPr>
        <w:t> </w:t>
      </w:r>
      <w:r>
        <w:rPr>
          <w:sz w:val="20"/>
        </w:rPr>
        <w:t>y</w:t>
      </w:r>
      <w:r>
        <w:rPr>
          <w:spacing w:val="8"/>
          <w:sz w:val="20"/>
        </w:rPr>
        <w:t> </w:t>
      </w:r>
      <w:r>
        <w:rPr>
          <w:sz w:val="20"/>
        </w:rPr>
        <w:t>la</w:t>
      </w:r>
      <w:r>
        <w:rPr>
          <w:spacing w:val="9"/>
          <w:sz w:val="20"/>
        </w:rPr>
        <w:t> </w:t>
      </w:r>
      <w:r>
        <w:rPr>
          <w:sz w:val="20"/>
        </w:rPr>
        <w:t>memoria</w:t>
      </w:r>
      <w:r>
        <w:rPr>
          <w:spacing w:val="9"/>
          <w:sz w:val="20"/>
        </w:rPr>
        <w:t> </w:t>
      </w:r>
      <w:r>
        <w:rPr>
          <w:sz w:val="20"/>
        </w:rPr>
        <w:t>justificativa</w:t>
      </w:r>
      <w:r>
        <w:rPr>
          <w:spacing w:val="9"/>
          <w:sz w:val="20"/>
        </w:rPr>
        <w:t> </w:t>
      </w:r>
      <w:r>
        <w:rPr>
          <w:sz w:val="20"/>
        </w:rPr>
        <w:t>sobre</w:t>
      </w:r>
      <w:r>
        <w:rPr>
          <w:spacing w:val="9"/>
          <w:sz w:val="20"/>
        </w:rPr>
        <w:t> </w:t>
      </w:r>
      <w:r>
        <w:rPr>
          <w:sz w:val="20"/>
        </w:rPr>
        <w:t>su</w:t>
      </w:r>
      <w:r>
        <w:rPr>
          <w:spacing w:val="9"/>
          <w:sz w:val="20"/>
        </w:rPr>
        <w:t> </w:t>
      </w:r>
      <w:r>
        <w:rPr>
          <w:sz w:val="20"/>
        </w:rPr>
        <w:t>necesidad</w:t>
      </w:r>
      <w:r>
        <w:rPr>
          <w:spacing w:val="8"/>
          <w:sz w:val="20"/>
        </w:rPr>
        <w:t> </w:t>
      </w:r>
      <w:r>
        <w:rPr>
          <w:sz w:val="20"/>
        </w:rPr>
        <w:t>e</w:t>
      </w:r>
      <w:r>
        <w:rPr>
          <w:spacing w:val="9"/>
          <w:sz w:val="20"/>
        </w:rPr>
        <w:t> </w:t>
      </w:r>
      <w:r>
        <w:rPr>
          <w:sz w:val="20"/>
        </w:rPr>
        <w:t>impacto</w:t>
      </w:r>
    </w:p>
    <w:p>
      <w:pPr>
        <w:pStyle w:val="BodyText"/>
        <w:spacing w:before="7"/>
        <w:rPr>
          <w:sz w:val="13"/>
        </w:rPr>
      </w:pPr>
    </w:p>
    <w:p>
      <w:pPr>
        <w:pStyle w:val="BodyText"/>
        <w:spacing w:before="61"/>
        <w:ind w:left="7897"/>
        <w:jc w:val="center"/>
      </w:pPr>
      <w:r>
        <w:rPr/>
        <w:t>86</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83" name="image5.png"/>
                  <wp:cNvGraphicFramePr>
                    <a:graphicFrameLocks noChangeAspect="1"/>
                  </wp:cNvGraphicFramePr>
                  <a:graphic>
                    <a:graphicData uri="http://schemas.openxmlformats.org/drawingml/2006/picture">
                      <pic:pic>
                        <pic:nvPicPr>
                          <pic:cNvPr id="18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88/247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34" w:right="1139"/>
        <w:jc w:val="both"/>
      </w:pPr>
      <w:r>
        <w:rPr/>
        <w:t>económico, en caso de que los convenios asuman compromisos económicos que superen los 600.000 euros.</w:t>
      </w:r>
    </w:p>
    <w:p>
      <w:pPr>
        <w:pStyle w:val="BodyText"/>
        <w:spacing w:before="10"/>
        <w:rPr>
          <w:sz w:val="16"/>
        </w:rPr>
      </w:pPr>
    </w:p>
    <w:p>
      <w:pPr>
        <w:pStyle w:val="Heading1"/>
        <w:numPr>
          <w:ilvl w:val="0"/>
          <w:numId w:val="40"/>
        </w:numPr>
        <w:tabs>
          <w:tab w:pos="2314" w:val="left" w:leader="none"/>
        </w:tabs>
        <w:spacing w:line="240" w:lineRule="auto" w:before="0" w:after="0"/>
        <w:ind w:left="2313" w:right="0" w:hanging="218"/>
        <w:jc w:val="left"/>
      </w:pPr>
      <w:r>
        <w:rPr/>
        <w:t>Planes de</w:t>
      </w:r>
      <w:r>
        <w:rPr>
          <w:spacing w:val="1"/>
        </w:rPr>
        <w:t> </w:t>
      </w:r>
      <w:r>
        <w:rPr/>
        <w:t>contratación.</w:t>
      </w:r>
    </w:p>
    <w:p>
      <w:pPr>
        <w:pStyle w:val="BodyText"/>
        <w:spacing w:before="8"/>
        <w:rPr>
          <w:b/>
          <w:sz w:val="16"/>
        </w:rPr>
      </w:pPr>
    </w:p>
    <w:p>
      <w:pPr>
        <w:pStyle w:val="ListParagraph"/>
        <w:numPr>
          <w:ilvl w:val="0"/>
          <w:numId w:val="44"/>
        </w:numPr>
        <w:tabs>
          <w:tab w:pos="2335" w:val="left" w:leader="none"/>
        </w:tabs>
        <w:spacing w:line="240" w:lineRule="auto" w:before="0" w:after="0"/>
        <w:ind w:left="2334" w:right="1138" w:hanging="238"/>
        <w:jc w:val="both"/>
        <w:rPr>
          <w:sz w:val="20"/>
        </w:rPr>
      </w:pPr>
      <w:r>
        <w:rPr>
          <w:sz w:val="20"/>
        </w:rPr>
        <w:t>El</w:t>
      </w:r>
      <w:r>
        <w:rPr>
          <w:spacing w:val="-3"/>
          <w:sz w:val="20"/>
        </w:rPr>
        <w:t> </w:t>
      </w:r>
      <w:r>
        <w:rPr>
          <w:sz w:val="20"/>
        </w:rPr>
        <w:t>Art.</w:t>
      </w:r>
      <w:r>
        <w:rPr>
          <w:spacing w:val="-3"/>
          <w:sz w:val="20"/>
        </w:rPr>
        <w:t> </w:t>
      </w:r>
      <w:r>
        <w:rPr>
          <w:sz w:val="20"/>
        </w:rPr>
        <w:t>28.4</w:t>
      </w:r>
      <w:r>
        <w:rPr>
          <w:spacing w:val="-4"/>
          <w:sz w:val="20"/>
        </w:rPr>
        <w:t> </w:t>
      </w:r>
      <w:r>
        <w:rPr>
          <w:sz w:val="20"/>
        </w:rPr>
        <w:t>de</w:t>
      </w:r>
      <w:r>
        <w:rPr>
          <w:spacing w:val="-4"/>
          <w:sz w:val="20"/>
        </w:rPr>
        <w:t> </w:t>
      </w:r>
      <w:r>
        <w:rPr>
          <w:sz w:val="20"/>
        </w:rPr>
        <w:t>la</w:t>
      </w:r>
      <w:r>
        <w:rPr>
          <w:spacing w:val="-4"/>
          <w:sz w:val="20"/>
        </w:rPr>
        <w:t> </w:t>
      </w:r>
      <w:r>
        <w:rPr>
          <w:sz w:val="20"/>
        </w:rPr>
        <w:t>LCSP</w:t>
      </w:r>
      <w:r>
        <w:rPr>
          <w:spacing w:val="-4"/>
          <w:sz w:val="20"/>
        </w:rPr>
        <w:t> </w:t>
      </w:r>
      <w:r>
        <w:rPr>
          <w:sz w:val="20"/>
        </w:rPr>
        <w:t>establece</w:t>
      </w:r>
      <w:r>
        <w:rPr>
          <w:spacing w:val="-4"/>
          <w:sz w:val="20"/>
        </w:rPr>
        <w:t> </w:t>
      </w:r>
      <w:r>
        <w:rPr>
          <w:sz w:val="20"/>
        </w:rPr>
        <w:t>que</w:t>
      </w:r>
      <w:r>
        <w:rPr>
          <w:spacing w:val="-4"/>
          <w:sz w:val="20"/>
        </w:rPr>
        <w:t> </w:t>
      </w:r>
      <w:r>
        <w:rPr>
          <w:sz w:val="20"/>
        </w:rPr>
        <w:t>“las</w:t>
      </w:r>
      <w:r>
        <w:rPr>
          <w:spacing w:val="-3"/>
          <w:sz w:val="20"/>
        </w:rPr>
        <w:t> </w:t>
      </w:r>
      <w:r>
        <w:rPr>
          <w:sz w:val="20"/>
        </w:rPr>
        <w:t>entidades</w:t>
      </w:r>
      <w:r>
        <w:rPr>
          <w:spacing w:val="-3"/>
          <w:sz w:val="20"/>
        </w:rPr>
        <w:t> </w:t>
      </w:r>
      <w:r>
        <w:rPr>
          <w:sz w:val="20"/>
        </w:rPr>
        <w:t>del</w:t>
      </w:r>
      <w:r>
        <w:rPr>
          <w:spacing w:val="-4"/>
          <w:sz w:val="20"/>
        </w:rPr>
        <w:t> </w:t>
      </w:r>
      <w:r>
        <w:rPr>
          <w:sz w:val="20"/>
        </w:rPr>
        <w:t>sector</w:t>
      </w:r>
      <w:r>
        <w:rPr>
          <w:spacing w:val="-4"/>
          <w:sz w:val="20"/>
        </w:rPr>
        <w:t> </w:t>
      </w:r>
      <w:r>
        <w:rPr>
          <w:sz w:val="20"/>
        </w:rPr>
        <w:t>público</w:t>
      </w:r>
      <w:r>
        <w:rPr>
          <w:spacing w:val="-4"/>
          <w:sz w:val="20"/>
        </w:rPr>
        <w:t> </w:t>
      </w:r>
      <w:r>
        <w:rPr>
          <w:sz w:val="20"/>
        </w:rPr>
        <w:t>programarán</w:t>
      </w:r>
      <w:r>
        <w:rPr>
          <w:spacing w:val="-3"/>
          <w:sz w:val="20"/>
        </w:rPr>
        <w:t> </w:t>
      </w:r>
      <w:r>
        <w:rPr>
          <w:sz w:val="20"/>
        </w:rPr>
        <w:t>la actividad de contratación pública, que desarrollarán en un ejercicio presupuestario o períodos plurianuales y darán a conocer su plan de contratación anticipadamente mediante un anuncio de información previa previsto en el Art. 134 que al menos recoja aquellos contratos que quedarán sujetos a una regulación</w:t>
      </w:r>
      <w:r>
        <w:rPr>
          <w:spacing w:val="8"/>
          <w:sz w:val="20"/>
        </w:rPr>
        <w:t> </w:t>
      </w:r>
      <w:r>
        <w:rPr>
          <w:sz w:val="20"/>
        </w:rPr>
        <w:t>armonizada”.</w:t>
      </w:r>
    </w:p>
    <w:p>
      <w:pPr>
        <w:pStyle w:val="BodyText"/>
        <w:spacing w:before="5"/>
        <w:rPr>
          <w:sz w:val="17"/>
        </w:rPr>
      </w:pPr>
    </w:p>
    <w:p>
      <w:pPr>
        <w:pStyle w:val="BodyText"/>
        <w:ind w:left="2334" w:right="1139"/>
        <w:jc w:val="both"/>
      </w:pPr>
      <w:r>
        <w:rPr/>
        <w:t>Además de una exigencia legal de la LCSP, la planificación de la actividad contractual es fundamental para la organización y el uso óptimo de recursos y procesos. Esto se hace,</w:t>
      </w:r>
      <w:r>
        <w:rPr>
          <w:spacing w:val="-4"/>
        </w:rPr>
        <w:t> </w:t>
      </w:r>
      <w:r>
        <w:rPr/>
        <w:t>asimismo,</w:t>
      </w:r>
      <w:r>
        <w:rPr>
          <w:spacing w:val="-5"/>
        </w:rPr>
        <w:t> </w:t>
      </w:r>
      <w:r>
        <w:rPr/>
        <w:t>necesario</w:t>
      </w:r>
      <w:r>
        <w:rPr>
          <w:spacing w:val="-3"/>
        </w:rPr>
        <w:t> </w:t>
      </w:r>
      <w:r>
        <w:rPr/>
        <w:t>para</w:t>
      </w:r>
      <w:r>
        <w:rPr>
          <w:spacing w:val="-3"/>
        </w:rPr>
        <w:t> </w:t>
      </w:r>
      <w:r>
        <w:rPr/>
        <w:t>evitar</w:t>
      </w:r>
      <w:r>
        <w:rPr>
          <w:spacing w:val="-6"/>
        </w:rPr>
        <w:t> </w:t>
      </w:r>
      <w:r>
        <w:rPr/>
        <w:t>abusos</w:t>
      </w:r>
      <w:r>
        <w:rPr>
          <w:spacing w:val="-3"/>
        </w:rPr>
        <w:t> </w:t>
      </w:r>
      <w:r>
        <w:rPr/>
        <w:t>en</w:t>
      </w:r>
      <w:r>
        <w:rPr>
          <w:spacing w:val="-5"/>
        </w:rPr>
        <w:t> </w:t>
      </w:r>
      <w:r>
        <w:rPr/>
        <w:t>el</w:t>
      </w:r>
      <w:r>
        <w:rPr>
          <w:spacing w:val="-4"/>
        </w:rPr>
        <w:t> </w:t>
      </w:r>
      <w:r>
        <w:rPr/>
        <w:t>uso</w:t>
      </w:r>
      <w:r>
        <w:rPr>
          <w:spacing w:val="-5"/>
        </w:rPr>
        <w:t> </w:t>
      </w:r>
      <w:r>
        <w:rPr/>
        <w:t>de</w:t>
      </w:r>
      <w:r>
        <w:rPr>
          <w:spacing w:val="-5"/>
        </w:rPr>
        <w:t> </w:t>
      </w:r>
      <w:r>
        <w:rPr/>
        <w:t>la</w:t>
      </w:r>
      <w:r>
        <w:rPr>
          <w:spacing w:val="-5"/>
        </w:rPr>
        <w:t> </w:t>
      </w:r>
      <w:r>
        <w:rPr/>
        <w:t>contratación</w:t>
      </w:r>
      <w:r>
        <w:rPr>
          <w:spacing w:val="-7"/>
        </w:rPr>
        <w:t> </w:t>
      </w:r>
      <w:r>
        <w:rPr/>
        <w:t>menor</w:t>
      </w:r>
      <w:r>
        <w:rPr>
          <w:spacing w:val="-5"/>
        </w:rPr>
        <w:t> </w:t>
      </w:r>
      <w:r>
        <w:rPr/>
        <w:t>y</w:t>
      </w:r>
      <w:r>
        <w:rPr>
          <w:spacing w:val="-4"/>
        </w:rPr>
        <w:t> </w:t>
      </w:r>
      <w:r>
        <w:rPr/>
        <w:t>las nulidades, que no pueden ser objeto de prestaciones recurrentes, previendo su contratación mediante procedimientos</w:t>
      </w:r>
      <w:r>
        <w:rPr>
          <w:spacing w:val="-2"/>
        </w:rPr>
        <w:t> </w:t>
      </w:r>
      <w:r>
        <w:rPr/>
        <w:t>ordinarios.</w:t>
      </w:r>
    </w:p>
    <w:p>
      <w:pPr>
        <w:pStyle w:val="BodyText"/>
        <w:spacing w:before="2"/>
        <w:rPr>
          <w:sz w:val="17"/>
        </w:rPr>
      </w:pPr>
    </w:p>
    <w:p>
      <w:pPr>
        <w:pStyle w:val="ListParagraph"/>
        <w:numPr>
          <w:ilvl w:val="0"/>
          <w:numId w:val="44"/>
        </w:numPr>
        <w:tabs>
          <w:tab w:pos="2335" w:val="left" w:leader="none"/>
        </w:tabs>
        <w:spacing w:line="240" w:lineRule="auto" w:before="0" w:after="0"/>
        <w:ind w:left="2334" w:right="1135" w:hanging="303"/>
        <w:jc w:val="both"/>
        <w:rPr>
          <w:sz w:val="20"/>
        </w:rPr>
      </w:pPr>
      <w:r>
        <w:rPr>
          <w:sz w:val="20"/>
        </w:rPr>
        <w:t>Cinco</w:t>
      </w:r>
      <w:r>
        <w:rPr>
          <w:spacing w:val="-6"/>
          <w:sz w:val="20"/>
        </w:rPr>
        <w:t> </w:t>
      </w:r>
      <w:r>
        <w:rPr>
          <w:sz w:val="20"/>
        </w:rPr>
        <w:t>entidades</w:t>
      </w:r>
      <w:r>
        <w:rPr>
          <w:spacing w:val="-5"/>
          <w:sz w:val="20"/>
        </w:rPr>
        <w:t> </w:t>
      </w:r>
      <w:r>
        <w:rPr>
          <w:sz w:val="20"/>
        </w:rPr>
        <w:t>no</w:t>
      </w:r>
      <w:r>
        <w:rPr>
          <w:spacing w:val="-5"/>
          <w:sz w:val="20"/>
        </w:rPr>
        <w:t> </w:t>
      </w:r>
      <w:r>
        <w:rPr>
          <w:sz w:val="20"/>
        </w:rPr>
        <w:t>han</w:t>
      </w:r>
      <w:r>
        <w:rPr>
          <w:spacing w:val="-6"/>
          <w:sz w:val="20"/>
        </w:rPr>
        <w:t> </w:t>
      </w:r>
      <w:r>
        <w:rPr>
          <w:sz w:val="20"/>
        </w:rPr>
        <w:t>remitido</w:t>
      </w:r>
      <w:r>
        <w:rPr>
          <w:spacing w:val="-5"/>
          <w:sz w:val="20"/>
        </w:rPr>
        <w:t> </w:t>
      </w:r>
      <w:r>
        <w:rPr>
          <w:sz w:val="20"/>
        </w:rPr>
        <w:t>el</w:t>
      </w:r>
      <w:r>
        <w:rPr>
          <w:spacing w:val="-7"/>
          <w:sz w:val="20"/>
        </w:rPr>
        <w:t> </w:t>
      </w:r>
      <w:r>
        <w:rPr>
          <w:sz w:val="20"/>
        </w:rPr>
        <w:t>plan</w:t>
      </w:r>
      <w:r>
        <w:rPr>
          <w:spacing w:val="-7"/>
          <w:sz w:val="20"/>
        </w:rPr>
        <w:t> </w:t>
      </w:r>
      <w:r>
        <w:rPr>
          <w:sz w:val="20"/>
        </w:rPr>
        <w:t>de</w:t>
      </w:r>
      <w:r>
        <w:rPr>
          <w:spacing w:val="-7"/>
          <w:sz w:val="20"/>
        </w:rPr>
        <w:t> </w:t>
      </w:r>
      <w:r>
        <w:rPr>
          <w:sz w:val="20"/>
        </w:rPr>
        <w:t>contratación</w:t>
      </w:r>
      <w:r>
        <w:rPr>
          <w:spacing w:val="-4"/>
          <w:sz w:val="20"/>
        </w:rPr>
        <w:t> </w:t>
      </w:r>
      <w:r>
        <w:rPr>
          <w:sz w:val="20"/>
        </w:rPr>
        <w:t>solicitado</w:t>
      </w:r>
      <w:r>
        <w:rPr>
          <w:spacing w:val="-5"/>
          <w:sz w:val="20"/>
        </w:rPr>
        <w:t> </w:t>
      </w:r>
      <w:r>
        <w:rPr>
          <w:sz w:val="20"/>
        </w:rPr>
        <w:t>por</w:t>
      </w:r>
      <w:r>
        <w:rPr>
          <w:spacing w:val="-6"/>
          <w:sz w:val="20"/>
        </w:rPr>
        <w:t> </w:t>
      </w:r>
      <w:r>
        <w:rPr>
          <w:sz w:val="20"/>
        </w:rPr>
        <w:t>esta</w:t>
      </w:r>
      <w:r>
        <w:rPr>
          <w:spacing w:val="-7"/>
          <w:sz w:val="20"/>
        </w:rPr>
        <w:t> </w:t>
      </w:r>
      <w:r>
        <w:rPr>
          <w:sz w:val="20"/>
        </w:rPr>
        <w:t>Audiencia de Cuentas: ICAVI, ICCA, SCS, SCE y CR. No obstante, en el Portal de Transparencia se publica el plan de contratación del SCS, aprobado por la Consejería de Sanidad en cumplimiento de la Orden de 26 de diciembre de</w:t>
      </w:r>
      <w:r>
        <w:rPr>
          <w:spacing w:val="4"/>
          <w:sz w:val="20"/>
        </w:rPr>
        <w:t> </w:t>
      </w:r>
      <w:r>
        <w:rPr>
          <w:sz w:val="20"/>
        </w:rPr>
        <w:t>2018.</w:t>
      </w:r>
    </w:p>
    <w:p>
      <w:pPr>
        <w:pStyle w:val="BodyText"/>
        <w:spacing w:before="1"/>
        <w:rPr>
          <w:sz w:val="17"/>
        </w:rPr>
      </w:pPr>
    </w:p>
    <w:p>
      <w:pPr>
        <w:pStyle w:val="ListParagraph"/>
        <w:numPr>
          <w:ilvl w:val="0"/>
          <w:numId w:val="44"/>
        </w:numPr>
        <w:tabs>
          <w:tab w:pos="2335" w:val="left" w:leader="none"/>
        </w:tabs>
        <w:spacing w:line="242" w:lineRule="auto" w:before="0" w:after="0"/>
        <w:ind w:left="2334" w:right="1141" w:hanging="303"/>
        <w:jc w:val="both"/>
        <w:rPr>
          <w:sz w:val="20"/>
        </w:rPr>
      </w:pPr>
      <w:r>
        <w:rPr>
          <w:sz w:val="20"/>
        </w:rPr>
        <w:t>De las 10 que han respondido a la solicitud, cuatro declaran que no han dispuesto de plan de contratación en el ejercicio 2022: ICHH, ICCA, APMUN y</w:t>
      </w:r>
      <w:r>
        <w:rPr>
          <w:spacing w:val="9"/>
          <w:sz w:val="20"/>
        </w:rPr>
        <w:t> </w:t>
      </w:r>
      <w:r>
        <w:rPr>
          <w:sz w:val="20"/>
        </w:rPr>
        <w:t>CES.</w:t>
      </w:r>
    </w:p>
    <w:p>
      <w:pPr>
        <w:pStyle w:val="BodyText"/>
        <w:spacing w:before="5"/>
        <w:rPr>
          <w:sz w:val="16"/>
        </w:rPr>
      </w:pPr>
    </w:p>
    <w:p>
      <w:pPr>
        <w:pStyle w:val="ListParagraph"/>
        <w:numPr>
          <w:ilvl w:val="0"/>
          <w:numId w:val="44"/>
        </w:numPr>
        <w:tabs>
          <w:tab w:pos="2335" w:val="left" w:leader="none"/>
        </w:tabs>
        <w:spacing w:line="240" w:lineRule="auto" w:before="0" w:after="0"/>
        <w:ind w:left="2334" w:right="1141" w:hanging="303"/>
        <w:jc w:val="both"/>
        <w:rPr>
          <w:sz w:val="20"/>
        </w:rPr>
      </w:pPr>
      <w:r>
        <w:rPr>
          <w:sz w:val="20"/>
        </w:rPr>
        <w:t>De</w:t>
      </w:r>
      <w:r>
        <w:rPr>
          <w:spacing w:val="-7"/>
          <w:sz w:val="20"/>
        </w:rPr>
        <w:t> </w:t>
      </w:r>
      <w:r>
        <w:rPr>
          <w:sz w:val="20"/>
        </w:rPr>
        <w:t>las</w:t>
      </w:r>
      <w:r>
        <w:rPr>
          <w:spacing w:val="-4"/>
          <w:sz w:val="20"/>
        </w:rPr>
        <w:t> </w:t>
      </w:r>
      <w:r>
        <w:rPr>
          <w:sz w:val="20"/>
        </w:rPr>
        <w:t>seis</w:t>
      </w:r>
      <w:r>
        <w:rPr>
          <w:spacing w:val="-6"/>
          <w:sz w:val="20"/>
        </w:rPr>
        <w:t> </w:t>
      </w:r>
      <w:r>
        <w:rPr>
          <w:sz w:val="20"/>
        </w:rPr>
        <w:t>entidades</w:t>
      </w:r>
      <w:r>
        <w:rPr>
          <w:spacing w:val="-6"/>
          <w:sz w:val="20"/>
        </w:rPr>
        <w:t> </w:t>
      </w:r>
      <w:r>
        <w:rPr>
          <w:sz w:val="20"/>
        </w:rPr>
        <w:t>que</w:t>
      </w:r>
      <w:r>
        <w:rPr>
          <w:spacing w:val="-6"/>
          <w:sz w:val="20"/>
        </w:rPr>
        <w:t> </w:t>
      </w:r>
      <w:r>
        <w:rPr>
          <w:sz w:val="20"/>
        </w:rPr>
        <w:t>remitieron</w:t>
      </w:r>
      <w:r>
        <w:rPr>
          <w:spacing w:val="-5"/>
          <w:sz w:val="20"/>
        </w:rPr>
        <w:t> </w:t>
      </w:r>
      <w:r>
        <w:rPr>
          <w:sz w:val="20"/>
        </w:rPr>
        <w:t>el</w:t>
      </w:r>
      <w:r>
        <w:rPr>
          <w:spacing w:val="-6"/>
          <w:sz w:val="20"/>
        </w:rPr>
        <w:t> </w:t>
      </w:r>
      <w:r>
        <w:rPr>
          <w:sz w:val="20"/>
        </w:rPr>
        <w:t>plan</w:t>
      </w:r>
      <w:r>
        <w:rPr>
          <w:spacing w:val="-5"/>
          <w:sz w:val="20"/>
        </w:rPr>
        <w:t> </w:t>
      </w:r>
      <w:r>
        <w:rPr>
          <w:sz w:val="20"/>
        </w:rPr>
        <w:t>de</w:t>
      </w:r>
      <w:r>
        <w:rPr>
          <w:spacing w:val="-6"/>
          <w:sz w:val="20"/>
        </w:rPr>
        <w:t> </w:t>
      </w:r>
      <w:r>
        <w:rPr>
          <w:sz w:val="20"/>
        </w:rPr>
        <w:t>contratación,</w:t>
      </w:r>
      <w:r>
        <w:rPr>
          <w:spacing w:val="-7"/>
          <w:sz w:val="20"/>
        </w:rPr>
        <w:t> </w:t>
      </w:r>
      <w:r>
        <w:rPr>
          <w:sz w:val="20"/>
        </w:rPr>
        <w:t>en</w:t>
      </w:r>
      <w:r>
        <w:rPr>
          <w:spacing w:val="-5"/>
          <w:sz w:val="20"/>
        </w:rPr>
        <w:t> </w:t>
      </w:r>
      <w:r>
        <w:rPr>
          <w:sz w:val="20"/>
        </w:rPr>
        <w:t>solo</w:t>
      </w:r>
      <w:r>
        <w:rPr>
          <w:spacing w:val="-5"/>
          <w:sz w:val="20"/>
        </w:rPr>
        <w:t> </w:t>
      </w:r>
      <w:r>
        <w:rPr>
          <w:sz w:val="20"/>
        </w:rPr>
        <w:t>dos</w:t>
      </w:r>
      <w:r>
        <w:rPr>
          <w:spacing w:val="-4"/>
          <w:sz w:val="20"/>
        </w:rPr>
        <w:t> </w:t>
      </w:r>
      <w:r>
        <w:rPr>
          <w:sz w:val="20"/>
        </w:rPr>
        <w:t>casos</w:t>
      </w:r>
      <w:r>
        <w:rPr>
          <w:spacing w:val="-4"/>
          <w:sz w:val="20"/>
        </w:rPr>
        <w:t> </w:t>
      </w:r>
      <w:r>
        <w:rPr>
          <w:sz w:val="20"/>
        </w:rPr>
        <w:t>consta su aprobación: ACCUEE y</w:t>
      </w:r>
      <w:r>
        <w:rPr>
          <w:spacing w:val="1"/>
          <w:sz w:val="20"/>
        </w:rPr>
        <w:t> </w:t>
      </w:r>
      <w:r>
        <w:rPr>
          <w:sz w:val="20"/>
        </w:rPr>
        <w:t>ATC.</w:t>
      </w:r>
    </w:p>
    <w:p>
      <w:pPr>
        <w:pStyle w:val="BodyText"/>
        <w:spacing w:before="9"/>
        <w:rPr>
          <w:sz w:val="16"/>
        </w:rPr>
      </w:pPr>
    </w:p>
    <w:p>
      <w:pPr>
        <w:pStyle w:val="ListParagraph"/>
        <w:numPr>
          <w:ilvl w:val="0"/>
          <w:numId w:val="44"/>
        </w:numPr>
        <w:tabs>
          <w:tab w:pos="2335" w:val="left" w:leader="none"/>
        </w:tabs>
        <w:spacing w:line="244" w:lineRule="auto" w:before="1" w:after="0"/>
        <w:ind w:left="2334" w:right="1144" w:hanging="301"/>
        <w:jc w:val="both"/>
        <w:rPr>
          <w:sz w:val="20"/>
        </w:rPr>
      </w:pPr>
      <w:r>
        <w:rPr>
          <w:sz w:val="20"/>
        </w:rPr>
        <w:t>Del análisis del contenido de los seis planes remitidos, se han obtenido las siguientes incidencias:</w:t>
      </w:r>
    </w:p>
    <w:p>
      <w:pPr>
        <w:pStyle w:val="BodyText"/>
        <w:spacing w:before="1"/>
        <w:rPr>
          <w:sz w:val="16"/>
        </w:rPr>
      </w:pPr>
    </w:p>
    <w:p>
      <w:pPr>
        <w:pStyle w:val="ListParagraph"/>
        <w:numPr>
          <w:ilvl w:val="1"/>
          <w:numId w:val="44"/>
        </w:numPr>
        <w:tabs>
          <w:tab w:pos="2691" w:val="left" w:leader="none"/>
        </w:tabs>
        <w:spacing w:line="240" w:lineRule="auto" w:before="0" w:after="0"/>
        <w:ind w:left="2690" w:right="1142" w:hanging="238"/>
        <w:jc w:val="both"/>
        <w:rPr>
          <w:sz w:val="20"/>
        </w:rPr>
      </w:pPr>
      <w:r>
        <w:rPr>
          <w:sz w:val="20"/>
        </w:rPr>
        <w:t>El Plan de ACCUEE incluye dos contratos no sometidos a regulación armonizada, para los que se informa de su objeto, procedimiento de adjudicación, fechas previstas para su tramitación, sin embargo, no se indica el valor estimado ni de su plazo de</w:t>
      </w:r>
      <w:r>
        <w:rPr>
          <w:spacing w:val="-1"/>
          <w:sz w:val="20"/>
        </w:rPr>
        <w:t> </w:t>
      </w:r>
      <w:r>
        <w:rPr>
          <w:sz w:val="20"/>
        </w:rPr>
        <w:t>duración.</w:t>
      </w:r>
    </w:p>
    <w:p>
      <w:pPr>
        <w:pStyle w:val="ListParagraph"/>
        <w:numPr>
          <w:ilvl w:val="1"/>
          <w:numId w:val="44"/>
        </w:numPr>
        <w:tabs>
          <w:tab w:pos="2691" w:val="left" w:leader="none"/>
        </w:tabs>
        <w:spacing w:line="242" w:lineRule="auto" w:before="6" w:after="0"/>
        <w:ind w:left="2690" w:right="1141" w:hanging="238"/>
        <w:jc w:val="both"/>
        <w:rPr>
          <w:sz w:val="20"/>
        </w:rPr>
      </w:pPr>
      <w:r>
        <w:rPr>
          <w:sz w:val="20"/>
        </w:rPr>
        <w:t>ICI aporta, como plan de contratación, una relación de 29 contratos con la siguiente información: órgano gestor y de contratación, tipo de contrato, código CPV, objeto, valor estimado, plazo previsto de ejecución, si es o no plurianual, si tiene división en lotes, posibilidad de prórroga y si es SARA. Pero no informa ni del procedimiento ni de la fecha prevista para su</w:t>
      </w:r>
      <w:r>
        <w:rPr>
          <w:spacing w:val="2"/>
          <w:sz w:val="20"/>
        </w:rPr>
        <w:t> </w:t>
      </w:r>
      <w:r>
        <w:rPr>
          <w:sz w:val="20"/>
        </w:rPr>
        <w:t>tramitación.</w:t>
      </w:r>
    </w:p>
    <w:p>
      <w:pPr>
        <w:pStyle w:val="BodyText"/>
        <w:spacing w:before="12"/>
        <w:rPr>
          <w:sz w:val="24"/>
        </w:rPr>
      </w:pPr>
    </w:p>
    <w:p>
      <w:pPr>
        <w:pStyle w:val="BodyText"/>
        <w:spacing w:before="61"/>
        <w:ind w:left="7897"/>
        <w:jc w:val="center"/>
      </w:pPr>
      <w:r>
        <w:rPr/>
        <w:t>87</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85" name="image5.png"/>
                  <wp:cNvGraphicFramePr>
                    <a:graphicFrameLocks noChangeAspect="1"/>
                  </wp:cNvGraphicFramePr>
                  <a:graphic>
                    <a:graphicData uri="http://schemas.openxmlformats.org/drawingml/2006/picture">
                      <pic:pic>
                        <pic:nvPicPr>
                          <pic:cNvPr id="18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89/247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ListParagraph"/>
        <w:numPr>
          <w:ilvl w:val="1"/>
          <w:numId w:val="44"/>
        </w:numPr>
        <w:tabs>
          <w:tab w:pos="2691" w:val="left" w:leader="none"/>
        </w:tabs>
        <w:spacing w:line="242" w:lineRule="auto" w:before="173" w:after="0"/>
        <w:ind w:left="2690" w:right="1141" w:hanging="238"/>
        <w:jc w:val="both"/>
        <w:rPr>
          <w:sz w:val="20"/>
        </w:rPr>
      </w:pPr>
      <w:r>
        <w:rPr>
          <w:sz w:val="20"/>
        </w:rPr>
        <w:t>ICAP aporta, como previsión de su contratación, una relación con 112 contratos, con</w:t>
      </w:r>
      <w:r>
        <w:rPr>
          <w:spacing w:val="-3"/>
          <w:sz w:val="20"/>
        </w:rPr>
        <w:t> </w:t>
      </w:r>
      <w:r>
        <w:rPr>
          <w:sz w:val="20"/>
        </w:rPr>
        <w:t>información</w:t>
      </w:r>
      <w:r>
        <w:rPr>
          <w:spacing w:val="-3"/>
          <w:sz w:val="20"/>
        </w:rPr>
        <w:t> </w:t>
      </w:r>
      <w:r>
        <w:rPr>
          <w:sz w:val="20"/>
        </w:rPr>
        <w:t>sobre</w:t>
      </w:r>
      <w:r>
        <w:rPr>
          <w:spacing w:val="-5"/>
          <w:sz w:val="20"/>
        </w:rPr>
        <w:t> </w:t>
      </w:r>
      <w:r>
        <w:rPr>
          <w:sz w:val="20"/>
        </w:rPr>
        <w:t>el</w:t>
      </w:r>
      <w:r>
        <w:rPr>
          <w:spacing w:val="-6"/>
          <w:sz w:val="20"/>
        </w:rPr>
        <w:t> </w:t>
      </w:r>
      <w:r>
        <w:rPr>
          <w:sz w:val="20"/>
        </w:rPr>
        <w:t>tipo,</w:t>
      </w:r>
      <w:r>
        <w:rPr>
          <w:spacing w:val="-5"/>
          <w:sz w:val="20"/>
        </w:rPr>
        <w:t> </w:t>
      </w:r>
      <w:r>
        <w:rPr>
          <w:sz w:val="20"/>
        </w:rPr>
        <w:t>objeto</w:t>
      </w:r>
      <w:r>
        <w:rPr>
          <w:spacing w:val="-4"/>
          <w:sz w:val="20"/>
        </w:rPr>
        <w:t> </w:t>
      </w:r>
      <w:r>
        <w:rPr>
          <w:sz w:val="20"/>
        </w:rPr>
        <w:t>y</w:t>
      </w:r>
      <w:r>
        <w:rPr>
          <w:spacing w:val="-5"/>
          <w:sz w:val="20"/>
        </w:rPr>
        <w:t> </w:t>
      </w:r>
      <w:r>
        <w:rPr>
          <w:sz w:val="20"/>
        </w:rPr>
        <w:t>valor</w:t>
      </w:r>
      <w:r>
        <w:rPr>
          <w:spacing w:val="-3"/>
          <w:sz w:val="20"/>
        </w:rPr>
        <w:t> </w:t>
      </w:r>
      <w:r>
        <w:rPr>
          <w:sz w:val="20"/>
        </w:rPr>
        <w:t>estimado,</w:t>
      </w:r>
      <w:r>
        <w:rPr>
          <w:spacing w:val="-4"/>
          <w:sz w:val="20"/>
        </w:rPr>
        <w:t> </w:t>
      </w:r>
      <w:r>
        <w:rPr>
          <w:sz w:val="20"/>
        </w:rPr>
        <w:t>sin</w:t>
      </w:r>
      <w:r>
        <w:rPr>
          <w:spacing w:val="-3"/>
          <w:sz w:val="20"/>
        </w:rPr>
        <w:t> </w:t>
      </w:r>
      <w:r>
        <w:rPr>
          <w:sz w:val="20"/>
        </w:rPr>
        <w:t>embargo,</w:t>
      </w:r>
      <w:r>
        <w:rPr>
          <w:spacing w:val="-6"/>
          <w:sz w:val="20"/>
        </w:rPr>
        <w:t> </w:t>
      </w:r>
      <w:r>
        <w:rPr>
          <w:sz w:val="20"/>
        </w:rPr>
        <w:t>no</w:t>
      </w:r>
      <w:r>
        <w:rPr>
          <w:spacing w:val="-3"/>
          <w:sz w:val="20"/>
        </w:rPr>
        <w:t> </w:t>
      </w:r>
      <w:r>
        <w:rPr>
          <w:sz w:val="20"/>
        </w:rPr>
        <w:t>señala</w:t>
      </w:r>
      <w:r>
        <w:rPr>
          <w:spacing w:val="-4"/>
          <w:sz w:val="20"/>
        </w:rPr>
        <w:t> </w:t>
      </w:r>
      <w:r>
        <w:rPr>
          <w:sz w:val="20"/>
        </w:rPr>
        <w:t>el plazo</w:t>
      </w:r>
      <w:r>
        <w:rPr>
          <w:spacing w:val="-12"/>
          <w:sz w:val="20"/>
        </w:rPr>
        <w:t> </w:t>
      </w:r>
      <w:r>
        <w:rPr>
          <w:sz w:val="20"/>
        </w:rPr>
        <w:t>ni</w:t>
      </w:r>
      <w:r>
        <w:rPr>
          <w:spacing w:val="-8"/>
          <w:sz w:val="20"/>
        </w:rPr>
        <w:t> </w:t>
      </w:r>
      <w:r>
        <w:rPr>
          <w:sz w:val="20"/>
        </w:rPr>
        <w:t>la</w:t>
      </w:r>
      <w:r>
        <w:rPr>
          <w:spacing w:val="-10"/>
          <w:sz w:val="20"/>
        </w:rPr>
        <w:t> </w:t>
      </w:r>
      <w:r>
        <w:rPr>
          <w:sz w:val="20"/>
        </w:rPr>
        <w:t>fecha</w:t>
      </w:r>
      <w:r>
        <w:rPr>
          <w:spacing w:val="-9"/>
          <w:sz w:val="20"/>
        </w:rPr>
        <w:t> </w:t>
      </w:r>
      <w:r>
        <w:rPr>
          <w:sz w:val="20"/>
        </w:rPr>
        <w:t>prevista</w:t>
      </w:r>
      <w:r>
        <w:rPr>
          <w:spacing w:val="-11"/>
          <w:sz w:val="20"/>
        </w:rPr>
        <w:t> </w:t>
      </w:r>
      <w:r>
        <w:rPr>
          <w:sz w:val="20"/>
        </w:rPr>
        <w:t>para</w:t>
      </w:r>
      <w:r>
        <w:rPr>
          <w:spacing w:val="-10"/>
          <w:sz w:val="20"/>
        </w:rPr>
        <w:t> </w:t>
      </w:r>
      <w:r>
        <w:rPr>
          <w:sz w:val="20"/>
        </w:rPr>
        <w:t>su</w:t>
      </w:r>
      <w:r>
        <w:rPr>
          <w:spacing w:val="-11"/>
          <w:sz w:val="20"/>
        </w:rPr>
        <w:t> </w:t>
      </w:r>
      <w:r>
        <w:rPr>
          <w:sz w:val="20"/>
        </w:rPr>
        <w:t>tramitación.</w:t>
      </w:r>
      <w:r>
        <w:rPr>
          <w:spacing w:val="-11"/>
          <w:sz w:val="20"/>
        </w:rPr>
        <w:t> </w:t>
      </w:r>
      <w:r>
        <w:rPr>
          <w:sz w:val="20"/>
        </w:rPr>
        <w:t>Todos</w:t>
      </w:r>
      <w:r>
        <w:rPr>
          <w:spacing w:val="-9"/>
          <w:sz w:val="20"/>
        </w:rPr>
        <w:t> </w:t>
      </w:r>
      <w:r>
        <w:rPr>
          <w:sz w:val="20"/>
        </w:rPr>
        <w:t>los</w:t>
      </w:r>
      <w:r>
        <w:rPr>
          <w:spacing w:val="-9"/>
          <w:sz w:val="20"/>
        </w:rPr>
        <w:t> </w:t>
      </w:r>
      <w:r>
        <w:rPr>
          <w:sz w:val="20"/>
        </w:rPr>
        <w:t>contratos</w:t>
      </w:r>
      <w:r>
        <w:rPr>
          <w:spacing w:val="-10"/>
          <w:sz w:val="20"/>
        </w:rPr>
        <w:t> </w:t>
      </w:r>
      <w:r>
        <w:rPr>
          <w:sz w:val="20"/>
        </w:rPr>
        <w:t>son</w:t>
      </w:r>
      <w:r>
        <w:rPr>
          <w:spacing w:val="-9"/>
          <w:sz w:val="20"/>
        </w:rPr>
        <w:t> </w:t>
      </w:r>
      <w:r>
        <w:rPr>
          <w:sz w:val="20"/>
        </w:rPr>
        <w:t>de</w:t>
      </w:r>
      <w:r>
        <w:rPr>
          <w:spacing w:val="-10"/>
          <w:sz w:val="20"/>
        </w:rPr>
        <w:t> </w:t>
      </w:r>
      <w:r>
        <w:rPr>
          <w:sz w:val="20"/>
        </w:rPr>
        <w:t>servicios y de importe inferior a 15.000 euros, para los que se prevé su adjudicación mediante tramitación ordinaria.</w:t>
      </w:r>
    </w:p>
    <w:p>
      <w:pPr>
        <w:pStyle w:val="ListParagraph"/>
        <w:numPr>
          <w:ilvl w:val="1"/>
          <w:numId w:val="44"/>
        </w:numPr>
        <w:tabs>
          <w:tab w:pos="2691" w:val="left" w:leader="none"/>
        </w:tabs>
        <w:spacing w:line="242" w:lineRule="auto" w:before="0" w:after="0"/>
        <w:ind w:left="2690" w:right="1138" w:hanging="238"/>
        <w:jc w:val="both"/>
        <w:rPr>
          <w:sz w:val="20"/>
        </w:rPr>
      </w:pPr>
      <w:r>
        <w:rPr>
          <w:sz w:val="20"/>
        </w:rPr>
        <w:t>ISTAC incorpora una relación de seis contratos, indicando su objeto, procedimiento, fecha prevista, estado y su relación con el objetivo de planificación estratégica. No se informa, en cambio, ni del valor estimado ni de su</w:t>
      </w:r>
      <w:r>
        <w:rPr>
          <w:spacing w:val="1"/>
          <w:sz w:val="20"/>
        </w:rPr>
        <w:t> </w:t>
      </w:r>
      <w:r>
        <w:rPr>
          <w:sz w:val="20"/>
        </w:rPr>
        <w:t>duración.</w:t>
      </w:r>
    </w:p>
    <w:p>
      <w:pPr>
        <w:pStyle w:val="ListParagraph"/>
        <w:numPr>
          <w:ilvl w:val="1"/>
          <w:numId w:val="44"/>
        </w:numPr>
        <w:tabs>
          <w:tab w:pos="2691" w:val="left" w:leader="none"/>
        </w:tabs>
        <w:spacing w:line="242" w:lineRule="auto" w:before="0" w:after="0"/>
        <w:ind w:left="2690" w:right="1142" w:hanging="238"/>
        <w:jc w:val="both"/>
        <w:rPr>
          <w:sz w:val="20"/>
        </w:rPr>
      </w:pPr>
      <w:r>
        <w:rPr>
          <w:sz w:val="20"/>
        </w:rPr>
        <w:t>RTVC no ha dispuesto de un auténtico plan anual, en su lugar, remite relaciones mensuales</w:t>
      </w:r>
      <w:r>
        <w:rPr>
          <w:spacing w:val="-4"/>
          <w:sz w:val="20"/>
        </w:rPr>
        <w:t> </w:t>
      </w:r>
      <w:r>
        <w:rPr>
          <w:sz w:val="20"/>
        </w:rPr>
        <w:t>con</w:t>
      </w:r>
      <w:r>
        <w:rPr>
          <w:spacing w:val="-3"/>
          <w:sz w:val="20"/>
        </w:rPr>
        <w:t> </w:t>
      </w:r>
      <w:r>
        <w:rPr>
          <w:sz w:val="20"/>
        </w:rPr>
        <w:t>las</w:t>
      </w:r>
      <w:r>
        <w:rPr>
          <w:spacing w:val="-6"/>
          <w:sz w:val="20"/>
        </w:rPr>
        <w:t> </w:t>
      </w:r>
      <w:r>
        <w:rPr>
          <w:sz w:val="20"/>
        </w:rPr>
        <w:t>previsiones</w:t>
      </w:r>
      <w:r>
        <w:rPr>
          <w:spacing w:val="-3"/>
          <w:sz w:val="20"/>
        </w:rPr>
        <w:t> </w:t>
      </w:r>
      <w:r>
        <w:rPr>
          <w:sz w:val="20"/>
        </w:rPr>
        <w:t>de</w:t>
      </w:r>
      <w:r>
        <w:rPr>
          <w:spacing w:val="-4"/>
          <w:sz w:val="20"/>
        </w:rPr>
        <w:t> </w:t>
      </w:r>
      <w:r>
        <w:rPr>
          <w:sz w:val="20"/>
        </w:rPr>
        <w:t>contratos</w:t>
      </w:r>
      <w:r>
        <w:rPr>
          <w:spacing w:val="-4"/>
          <w:sz w:val="20"/>
        </w:rPr>
        <w:t> </w:t>
      </w:r>
      <w:r>
        <w:rPr>
          <w:sz w:val="20"/>
        </w:rPr>
        <w:t>a</w:t>
      </w:r>
      <w:r>
        <w:rPr>
          <w:spacing w:val="-3"/>
          <w:sz w:val="20"/>
        </w:rPr>
        <w:t> </w:t>
      </w:r>
      <w:r>
        <w:rPr>
          <w:sz w:val="20"/>
        </w:rPr>
        <w:t>celebrar,</w:t>
      </w:r>
      <w:r>
        <w:rPr>
          <w:spacing w:val="-4"/>
          <w:sz w:val="20"/>
        </w:rPr>
        <w:t> </w:t>
      </w:r>
      <w:r>
        <w:rPr>
          <w:sz w:val="20"/>
        </w:rPr>
        <w:t>que</w:t>
      </w:r>
      <w:r>
        <w:rPr>
          <w:spacing w:val="-6"/>
          <w:sz w:val="20"/>
        </w:rPr>
        <w:t> </w:t>
      </w:r>
      <w:r>
        <w:rPr>
          <w:sz w:val="20"/>
        </w:rPr>
        <w:t>no</w:t>
      </w:r>
      <w:r>
        <w:rPr>
          <w:spacing w:val="-3"/>
          <w:sz w:val="20"/>
        </w:rPr>
        <w:t> </w:t>
      </w:r>
      <w:r>
        <w:rPr>
          <w:sz w:val="20"/>
        </w:rPr>
        <w:t>incluye</w:t>
      </w:r>
      <w:r>
        <w:rPr>
          <w:spacing w:val="-4"/>
          <w:sz w:val="20"/>
        </w:rPr>
        <w:t> </w:t>
      </w:r>
      <w:r>
        <w:rPr>
          <w:sz w:val="20"/>
        </w:rPr>
        <w:t>elementos esenciales</w:t>
      </w:r>
      <w:r>
        <w:rPr>
          <w:spacing w:val="-6"/>
          <w:sz w:val="20"/>
        </w:rPr>
        <w:t> </w:t>
      </w:r>
      <w:r>
        <w:rPr>
          <w:sz w:val="20"/>
        </w:rPr>
        <w:t>como</w:t>
      </w:r>
      <w:r>
        <w:rPr>
          <w:spacing w:val="-6"/>
          <w:sz w:val="20"/>
        </w:rPr>
        <w:t> </w:t>
      </w:r>
      <w:r>
        <w:rPr>
          <w:sz w:val="20"/>
        </w:rPr>
        <w:t>el</w:t>
      </w:r>
      <w:r>
        <w:rPr>
          <w:spacing w:val="-7"/>
          <w:sz w:val="20"/>
        </w:rPr>
        <w:t> </w:t>
      </w:r>
      <w:r>
        <w:rPr>
          <w:sz w:val="20"/>
        </w:rPr>
        <w:t>procedimiento</w:t>
      </w:r>
      <w:r>
        <w:rPr>
          <w:spacing w:val="-5"/>
          <w:sz w:val="20"/>
        </w:rPr>
        <w:t> </w:t>
      </w:r>
      <w:r>
        <w:rPr>
          <w:sz w:val="20"/>
        </w:rPr>
        <w:t>de</w:t>
      </w:r>
      <w:r>
        <w:rPr>
          <w:spacing w:val="-7"/>
          <w:sz w:val="20"/>
        </w:rPr>
        <w:t> </w:t>
      </w:r>
      <w:r>
        <w:rPr>
          <w:sz w:val="20"/>
        </w:rPr>
        <w:t>adjudicación,</w:t>
      </w:r>
      <w:r>
        <w:rPr>
          <w:spacing w:val="-4"/>
          <w:sz w:val="20"/>
        </w:rPr>
        <w:t> </w:t>
      </w:r>
      <w:r>
        <w:rPr>
          <w:sz w:val="20"/>
        </w:rPr>
        <w:t>el</w:t>
      </w:r>
      <w:r>
        <w:rPr>
          <w:spacing w:val="-7"/>
          <w:sz w:val="20"/>
        </w:rPr>
        <w:t> </w:t>
      </w:r>
      <w:r>
        <w:rPr>
          <w:sz w:val="20"/>
        </w:rPr>
        <w:t>valor</w:t>
      </w:r>
      <w:r>
        <w:rPr>
          <w:spacing w:val="-6"/>
          <w:sz w:val="20"/>
        </w:rPr>
        <w:t> </w:t>
      </w:r>
      <w:r>
        <w:rPr>
          <w:sz w:val="20"/>
        </w:rPr>
        <w:t>estimado,</w:t>
      </w:r>
      <w:r>
        <w:rPr>
          <w:spacing w:val="-7"/>
          <w:sz w:val="20"/>
        </w:rPr>
        <w:t> </w:t>
      </w:r>
      <w:r>
        <w:rPr>
          <w:sz w:val="20"/>
        </w:rPr>
        <w:t>la</w:t>
      </w:r>
      <w:r>
        <w:rPr>
          <w:spacing w:val="-6"/>
          <w:sz w:val="20"/>
        </w:rPr>
        <w:t> </w:t>
      </w:r>
      <w:r>
        <w:rPr>
          <w:sz w:val="20"/>
        </w:rPr>
        <w:t>duración y la fecha aproximada de la</w:t>
      </w:r>
      <w:r>
        <w:rPr>
          <w:spacing w:val="1"/>
          <w:sz w:val="20"/>
        </w:rPr>
        <w:t> </w:t>
      </w:r>
      <w:r>
        <w:rPr>
          <w:sz w:val="20"/>
        </w:rPr>
        <w:t>licitación.</w:t>
      </w:r>
    </w:p>
    <w:p>
      <w:pPr>
        <w:pStyle w:val="ListParagraph"/>
        <w:numPr>
          <w:ilvl w:val="1"/>
          <w:numId w:val="44"/>
        </w:numPr>
        <w:tabs>
          <w:tab w:pos="2691" w:val="left" w:leader="none"/>
        </w:tabs>
        <w:spacing w:line="240" w:lineRule="auto" w:before="0" w:after="0"/>
        <w:ind w:left="2690" w:right="1139" w:hanging="238"/>
        <w:jc w:val="both"/>
        <w:rPr>
          <w:sz w:val="20"/>
        </w:rPr>
      </w:pPr>
      <w:r>
        <w:rPr>
          <w:sz w:val="20"/>
        </w:rPr>
        <w:t>El</w:t>
      </w:r>
      <w:r>
        <w:rPr>
          <w:spacing w:val="-4"/>
          <w:sz w:val="20"/>
        </w:rPr>
        <w:t> </w:t>
      </w:r>
      <w:r>
        <w:rPr>
          <w:sz w:val="20"/>
        </w:rPr>
        <w:t>documento</w:t>
      </w:r>
      <w:r>
        <w:rPr>
          <w:spacing w:val="-8"/>
          <w:sz w:val="20"/>
        </w:rPr>
        <w:t> </w:t>
      </w:r>
      <w:r>
        <w:rPr>
          <w:sz w:val="20"/>
        </w:rPr>
        <w:t>de</w:t>
      </w:r>
      <w:r>
        <w:rPr>
          <w:spacing w:val="-4"/>
          <w:sz w:val="20"/>
        </w:rPr>
        <w:t> </w:t>
      </w:r>
      <w:r>
        <w:rPr>
          <w:sz w:val="20"/>
        </w:rPr>
        <w:t>ATC</w:t>
      </w:r>
      <w:r>
        <w:rPr>
          <w:spacing w:val="-6"/>
          <w:sz w:val="20"/>
        </w:rPr>
        <w:t> </w:t>
      </w:r>
      <w:r>
        <w:rPr>
          <w:sz w:val="20"/>
        </w:rPr>
        <w:t>es</w:t>
      </w:r>
      <w:r>
        <w:rPr>
          <w:spacing w:val="-6"/>
          <w:sz w:val="20"/>
        </w:rPr>
        <w:t> </w:t>
      </w:r>
      <w:r>
        <w:rPr>
          <w:sz w:val="20"/>
        </w:rPr>
        <w:t>aprobado</w:t>
      </w:r>
      <w:r>
        <w:rPr>
          <w:spacing w:val="-6"/>
          <w:sz w:val="20"/>
        </w:rPr>
        <w:t> </w:t>
      </w:r>
      <w:r>
        <w:rPr>
          <w:sz w:val="20"/>
        </w:rPr>
        <w:t>por</w:t>
      </w:r>
      <w:r>
        <w:rPr>
          <w:spacing w:val="-5"/>
          <w:sz w:val="20"/>
        </w:rPr>
        <w:t> </w:t>
      </w:r>
      <w:r>
        <w:rPr>
          <w:sz w:val="20"/>
        </w:rPr>
        <w:t>su</w:t>
      </w:r>
      <w:r>
        <w:rPr>
          <w:spacing w:val="-6"/>
          <w:sz w:val="20"/>
        </w:rPr>
        <w:t> </w:t>
      </w:r>
      <w:r>
        <w:rPr>
          <w:sz w:val="20"/>
        </w:rPr>
        <w:t>Directora</w:t>
      </w:r>
      <w:r>
        <w:rPr>
          <w:spacing w:val="-4"/>
          <w:sz w:val="20"/>
        </w:rPr>
        <w:t> </w:t>
      </w:r>
      <w:r>
        <w:rPr>
          <w:sz w:val="20"/>
        </w:rPr>
        <w:t>y</w:t>
      </w:r>
      <w:r>
        <w:rPr>
          <w:spacing w:val="-4"/>
          <w:sz w:val="20"/>
        </w:rPr>
        <w:t> </w:t>
      </w:r>
      <w:r>
        <w:rPr>
          <w:sz w:val="20"/>
        </w:rPr>
        <w:t>contiene</w:t>
      </w:r>
      <w:r>
        <w:rPr>
          <w:spacing w:val="-6"/>
          <w:sz w:val="20"/>
        </w:rPr>
        <w:t> </w:t>
      </w:r>
      <w:r>
        <w:rPr>
          <w:sz w:val="20"/>
        </w:rPr>
        <w:t>los</w:t>
      </w:r>
      <w:r>
        <w:rPr>
          <w:spacing w:val="-6"/>
          <w:sz w:val="20"/>
        </w:rPr>
        <w:t> </w:t>
      </w:r>
      <w:r>
        <w:rPr>
          <w:sz w:val="20"/>
        </w:rPr>
        <w:t>elementos</w:t>
      </w:r>
      <w:r>
        <w:rPr>
          <w:spacing w:val="-4"/>
          <w:sz w:val="20"/>
        </w:rPr>
        <w:t> </w:t>
      </w:r>
      <w:r>
        <w:rPr>
          <w:sz w:val="20"/>
        </w:rPr>
        <w:t>que debe contener un plan de</w:t>
      </w:r>
      <w:r>
        <w:rPr>
          <w:spacing w:val="-1"/>
          <w:sz w:val="20"/>
        </w:rPr>
        <w:t> </w:t>
      </w:r>
      <w:r>
        <w:rPr>
          <w:sz w:val="20"/>
        </w:rPr>
        <w:t>contratación.</w:t>
      </w:r>
    </w:p>
    <w:p>
      <w:pPr>
        <w:pStyle w:val="BodyText"/>
        <w:spacing w:before="2"/>
        <w:rPr>
          <w:sz w:val="16"/>
        </w:rPr>
      </w:pPr>
    </w:p>
    <w:p>
      <w:pPr>
        <w:pStyle w:val="Heading1"/>
        <w:numPr>
          <w:ilvl w:val="0"/>
          <w:numId w:val="40"/>
        </w:numPr>
        <w:tabs>
          <w:tab w:pos="2171" w:val="left" w:leader="none"/>
        </w:tabs>
        <w:spacing w:line="240" w:lineRule="auto" w:before="0" w:after="0"/>
        <w:ind w:left="2170" w:right="0" w:hanging="194"/>
        <w:jc w:val="left"/>
      </w:pPr>
      <w:r>
        <w:rPr/>
        <w:t>Análisis de la</w:t>
      </w:r>
      <w:r>
        <w:rPr>
          <w:spacing w:val="-3"/>
        </w:rPr>
        <w:t> </w:t>
      </w:r>
      <w:r>
        <w:rPr/>
        <w:t>contratación.</w:t>
      </w:r>
    </w:p>
    <w:p>
      <w:pPr>
        <w:pStyle w:val="BodyText"/>
        <w:spacing w:before="8"/>
        <w:rPr>
          <w:b/>
          <w:sz w:val="16"/>
        </w:rPr>
      </w:pPr>
    </w:p>
    <w:p>
      <w:pPr>
        <w:pStyle w:val="BodyText"/>
        <w:ind w:left="2096" w:right="510" w:firstLine="594"/>
      </w:pPr>
      <w:r>
        <w:rPr/>
        <w:t>A continuación, se presenta la información agrupada por tipos de contratos y procedimientos de contratación.</w:t>
      </w:r>
    </w:p>
    <w:p>
      <w:pPr>
        <w:pStyle w:val="BodyText"/>
        <w:spacing w:before="11"/>
        <w:rPr>
          <w:sz w:val="16"/>
        </w:rPr>
      </w:pPr>
    </w:p>
    <w:tbl>
      <w:tblPr>
        <w:tblW w:w="0" w:type="auto"/>
        <w:jc w:val="left"/>
        <w:tblInd w:w="2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1"/>
        <w:gridCol w:w="1170"/>
        <w:gridCol w:w="1182"/>
        <w:gridCol w:w="1196"/>
        <w:gridCol w:w="878"/>
        <w:gridCol w:w="717"/>
      </w:tblGrid>
      <w:tr>
        <w:trPr>
          <w:trHeight w:val="379" w:hRule="atLeast"/>
        </w:trPr>
        <w:tc>
          <w:tcPr>
            <w:tcW w:w="6064" w:type="dxa"/>
            <w:gridSpan w:val="6"/>
            <w:tcBorders>
              <w:top w:val="single" w:sz="4" w:space="0" w:color="000000"/>
              <w:left w:val="single" w:sz="4" w:space="0" w:color="000000"/>
              <w:right w:val="single" w:sz="4" w:space="0" w:color="000000"/>
            </w:tcBorders>
            <w:shd w:val="clear" w:color="auto" w:fill="DEEAF6"/>
          </w:tcPr>
          <w:p>
            <w:pPr>
              <w:pStyle w:val="TableParagraph"/>
              <w:spacing w:line="127" w:lineRule="exact" w:before="12"/>
              <w:ind w:left="277" w:right="154"/>
              <w:jc w:val="center"/>
              <w:rPr>
                <w:b/>
                <w:sz w:val="13"/>
              </w:rPr>
            </w:pPr>
            <w:r>
              <w:rPr>
                <w:b/>
                <w:w w:val="105"/>
                <w:sz w:val="13"/>
              </w:rPr>
              <w:t>Tipo de contrato</w:t>
            </w:r>
          </w:p>
          <w:p>
            <w:pPr>
              <w:pStyle w:val="TableParagraph"/>
              <w:tabs>
                <w:tab w:pos="5518" w:val="left" w:leader="none"/>
              </w:tabs>
              <w:spacing w:line="95" w:lineRule="exact"/>
              <w:ind w:right="154"/>
              <w:jc w:val="center"/>
              <w:rPr>
                <w:b/>
                <w:sz w:val="13"/>
              </w:rPr>
            </w:pPr>
            <w:r>
              <w:rPr>
                <w:b/>
                <w:w w:val="105"/>
                <w:sz w:val="13"/>
              </w:rPr>
              <w:t>Entidades</w:t>
              <w:tab/>
              <w:t>%</w:t>
            </w:r>
          </w:p>
          <w:p>
            <w:pPr>
              <w:pStyle w:val="TableParagraph"/>
              <w:tabs>
                <w:tab w:pos="1005" w:val="left" w:leader="none"/>
                <w:tab w:pos="2275" w:val="left" w:leader="none"/>
                <w:tab w:pos="3577" w:val="left" w:leader="none"/>
              </w:tabs>
              <w:spacing w:line="126" w:lineRule="exact"/>
              <w:ind w:left="97"/>
              <w:jc w:val="center"/>
              <w:rPr>
                <w:b/>
                <w:sz w:val="13"/>
              </w:rPr>
            </w:pPr>
            <w:r>
              <w:rPr>
                <w:b/>
                <w:w w:val="105"/>
                <w:sz w:val="13"/>
              </w:rPr>
              <w:t>Obras</w:t>
              <w:tab/>
              <w:t>Suministros</w:t>
              <w:tab/>
              <w:t>Servicios</w:t>
              <w:tab/>
            </w:r>
            <w:r>
              <w:rPr>
                <w:b/>
                <w:spacing w:val="-3"/>
                <w:w w:val="105"/>
                <w:sz w:val="13"/>
              </w:rPr>
              <w:t>Total</w:t>
            </w:r>
          </w:p>
        </w:tc>
      </w:tr>
      <w:tr>
        <w:trPr>
          <w:trHeight w:val="198" w:hRule="atLeast"/>
        </w:trPr>
        <w:tc>
          <w:tcPr>
            <w:tcW w:w="921" w:type="dxa"/>
            <w:tcBorders>
              <w:left w:val="single" w:sz="4" w:space="0" w:color="000000"/>
            </w:tcBorders>
          </w:tcPr>
          <w:p>
            <w:pPr>
              <w:pStyle w:val="TableParagraph"/>
              <w:spacing w:before="13"/>
              <w:ind w:left="113"/>
              <w:rPr>
                <w:sz w:val="13"/>
              </w:rPr>
            </w:pPr>
            <w:r>
              <w:rPr>
                <w:w w:val="105"/>
                <w:sz w:val="13"/>
              </w:rPr>
              <w:t>ICAP</w:t>
            </w:r>
          </w:p>
        </w:tc>
        <w:tc>
          <w:tcPr>
            <w:tcW w:w="1170" w:type="dxa"/>
          </w:tcPr>
          <w:p>
            <w:pPr>
              <w:pStyle w:val="TableParagraph"/>
              <w:spacing w:before="13"/>
              <w:ind w:right="281"/>
              <w:jc w:val="right"/>
              <w:rPr>
                <w:sz w:val="13"/>
              </w:rPr>
            </w:pPr>
            <w:r>
              <w:rPr>
                <w:sz w:val="13"/>
              </w:rPr>
              <w:t>42,78</w:t>
            </w:r>
          </w:p>
        </w:tc>
        <w:tc>
          <w:tcPr>
            <w:tcW w:w="1182" w:type="dxa"/>
          </w:tcPr>
          <w:p>
            <w:pPr>
              <w:pStyle w:val="TableParagraph"/>
              <w:spacing w:before="13"/>
              <w:ind w:right="374"/>
              <w:jc w:val="right"/>
              <w:rPr>
                <w:sz w:val="13"/>
              </w:rPr>
            </w:pPr>
            <w:r>
              <w:rPr>
                <w:sz w:val="13"/>
              </w:rPr>
              <w:t>48,18</w:t>
            </w:r>
          </w:p>
        </w:tc>
        <w:tc>
          <w:tcPr>
            <w:tcW w:w="1196" w:type="dxa"/>
          </w:tcPr>
          <w:p>
            <w:pPr>
              <w:pStyle w:val="TableParagraph"/>
              <w:spacing w:before="13"/>
              <w:ind w:left="546"/>
              <w:rPr>
                <w:sz w:val="13"/>
              </w:rPr>
            </w:pPr>
            <w:r>
              <w:rPr>
                <w:w w:val="105"/>
                <w:sz w:val="13"/>
              </w:rPr>
              <w:t>535,10</w:t>
            </w:r>
          </w:p>
        </w:tc>
        <w:tc>
          <w:tcPr>
            <w:tcW w:w="878" w:type="dxa"/>
          </w:tcPr>
          <w:p>
            <w:pPr>
              <w:pStyle w:val="TableParagraph"/>
              <w:spacing w:before="13"/>
              <w:ind w:right="64"/>
              <w:jc w:val="right"/>
              <w:rPr>
                <w:sz w:val="13"/>
              </w:rPr>
            </w:pPr>
            <w:r>
              <w:rPr>
                <w:sz w:val="13"/>
              </w:rPr>
              <w:t>626,06</w:t>
            </w:r>
          </w:p>
        </w:tc>
        <w:tc>
          <w:tcPr>
            <w:tcW w:w="717" w:type="dxa"/>
            <w:tcBorders>
              <w:right w:val="single" w:sz="4" w:space="0" w:color="000000"/>
            </w:tcBorders>
          </w:tcPr>
          <w:p>
            <w:pPr>
              <w:pStyle w:val="TableParagraph"/>
              <w:spacing w:before="13"/>
              <w:ind w:left="175" w:right="154"/>
              <w:jc w:val="center"/>
              <w:rPr>
                <w:b/>
                <w:sz w:val="13"/>
              </w:rPr>
            </w:pPr>
            <w:r>
              <w:rPr>
                <w:b/>
                <w:w w:val="105"/>
                <w:sz w:val="13"/>
              </w:rPr>
              <w:t>1,1%</w:t>
            </w:r>
          </w:p>
        </w:tc>
      </w:tr>
      <w:tr>
        <w:trPr>
          <w:trHeight w:val="190" w:hRule="atLeast"/>
        </w:trPr>
        <w:tc>
          <w:tcPr>
            <w:tcW w:w="921" w:type="dxa"/>
            <w:tcBorders>
              <w:left w:val="single" w:sz="4" w:space="0" w:color="000000"/>
            </w:tcBorders>
          </w:tcPr>
          <w:p>
            <w:pPr>
              <w:pStyle w:val="TableParagraph"/>
              <w:spacing w:before="4"/>
              <w:ind w:left="113"/>
              <w:rPr>
                <w:sz w:val="13"/>
              </w:rPr>
            </w:pPr>
            <w:r>
              <w:rPr>
                <w:w w:val="105"/>
                <w:sz w:val="13"/>
              </w:rPr>
              <w:t>ISTAC</w:t>
            </w:r>
          </w:p>
        </w:tc>
        <w:tc>
          <w:tcPr>
            <w:tcW w:w="1170" w:type="dxa"/>
          </w:tcPr>
          <w:p>
            <w:pPr>
              <w:pStyle w:val="TableParagraph"/>
              <w:spacing w:before="4"/>
              <w:ind w:right="308"/>
              <w:jc w:val="right"/>
              <w:rPr>
                <w:sz w:val="13"/>
              </w:rPr>
            </w:pPr>
            <w:r>
              <w:rPr>
                <w:w w:val="103"/>
                <w:sz w:val="13"/>
              </w:rPr>
              <w:t>-</w:t>
            </w:r>
          </w:p>
        </w:tc>
        <w:tc>
          <w:tcPr>
            <w:tcW w:w="1182" w:type="dxa"/>
          </w:tcPr>
          <w:p>
            <w:pPr>
              <w:pStyle w:val="TableParagraph"/>
              <w:spacing w:before="4"/>
              <w:ind w:right="374"/>
              <w:jc w:val="right"/>
              <w:rPr>
                <w:sz w:val="13"/>
              </w:rPr>
            </w:pPr>
            <w:r>
              <w:rPr>
                <w:sz w:val="13"/>
              </w:rPr>
              <w:t>21,11</w:t>
            </w:r>
          </w:p>
        </w:tc>
        <w:tc>
          <w:tcPr>
            <w:tcW w:w="1196" w:type="dxa"/>
          </w:tcPr>
          <w:p>
            <w:pPr>
              <w:pStyle w:val="TableParagraph"/>
              <w:spacing w:before="4"/>
              <w:ind w:left="449"/>
              <w:rPr>
                <w:sz w:val="13"/>
              </w:rPr>
            </w:pPr>
            <w:r>
              <w:rPr>
                <w:w w:val="105"/>
                <w:sz w:val="13"/>
              </w:rPr>
              <w:t>2.577,31</w:t>
            </w:r>
          </w:p>
        </w:tc>
        <w:tc>
          <w:tcPr>
            <w:tcW w:w="878" w:type="dxa"/>
          </w:tcPr>
          <w:p>
            <w:pPr>
              <w:pStyle w:val="TableParagraph"/>
              <w:spacing w:before="4"/>
              <w:ind w:right="74"/>
              <w:jc w:val="right"/>
              <w:rPr>
                <w:sz w:val="13"/>
              </w:rPr>
            </w:pPr>
            <w:r>
              <w:rPr>
                <w:sz w:val="13"/>
              </w:rPr>
              <w:t>2.598,42</w:t>
            </w:r>
          </w:p>
        </w:tc>
        <w:tc>
          <w:tcPr>
            <w:tcW w:w="717" w:type="dxa"/>
            <w:tcBorders>
              <w:right w:val="single" w:sz="4" w:space="0" w:color="000000"/>
            </w:tcBorders>
          </w:tcPr>
          <w:p>
            <w:pPr>
              <w:pStyle w:val="TableParagraph"/>
              <w:spacing w:before="4"/>
              <w:ind w:left="175" w:right="154"/>
              <w:jc w:val="center"/>
              <w:rPr>
                <w:b/>
                <w:sz w:val="13"/>
              </w:rPr>
            </w:pPr>
            <w:r>
              <w:rPr>
                <w:b/>
                <w:w w:val="105"/>
                <w:sz w:val="13"/>
              </w:rPr>
              <w:t>4,7%</w:t>
            </w:r>
          </w:p>
        </w:tc>
      </w:tr>
      <w:tr>
        <w:trPr>
          <w:trHeight w:val="191" w:hRule="atLeast"/>
        </w:trPr>
        <w:tc>
          <w:tcPr>
            <w:tcW w:w="921" w:type="dxa"/>
            <w:tcBorders>
              <w:left w:val="single" w:sz="4" w:space="0" w:color="000000"/>
            </w:tcBorders>
          </w:tcPr>
          <w:p>
            <w:pPr>
              <w:pStyle w:val="TableParagraph"/>
              <w:spacing w:before="5"/>
              <w:ind w:left="113"/>
              <w:rPr>
                <w:sz w:val="13"/>
              </w:rPr>
            </w:pPr>
            <w:r>
              <w:rPr>
                <w:w w:val="105"/>
                <w:sz w:val="13"/>
              </w:rPr>
              <w:t>SCE</w:t>
            </w:r>
          </w:p>
        </w:tc>
        <w:tc>
          <w:tcPr>
            <w:tcW w:w="1170" w:type="dxa"/>
          </w:tcPr>
          <w:p>
            <w:pPr>
              <w:pStyle w:val="TableParagraph"/>
              <w:spacing w:before="5"/>
              <w:ind w:right="285"/>
              <w:jc w:val="right"/>
              <w:rPr>
                <w:sz w:val="13"/>
              </w:rPr>
            </w:pPr>
            <w:r>
              <w:rPr>
                <w:sz w:val="13"/>
              </w:rPr>
              <w:t>3.375,73</w:t>
            </w:r>
          </w:p>
        </w:tc>
        <w:tc>
          <w:tcPr>
            <w:tcW w:w="1182" w:type="dxa"/>
          </w:tcPr>
          <w:p>
            <w:pPr>
              <w:pStyle w:val="TableParagraph"/>
              <w:spacing w:before="5"/>
              <w:ind w:right="380"/>
              <w:jc w:val="right"/>
              <w:rPr>
                <w:sz w:val="13"/>
              </w:rPr>
            </w:pPr>
            <w:r>
              <w:rPr>
                <w:sz w:val="13"/>
              </w:rPr>
              <w:t>1.294,39</w:t>
            </w:r>
          </w:p>
        </w:tc>
        <w:tc>
          <w:tcPr>
            <w:tcW w:w="1196" w:type="dxa"/>
          </w:tcPr>
          <w:p>
            <w:pPr>
              <w:pStyle w:val="TableParagraph"/>
              <w:spacing w:before="5"/>
              <w:ind w:left="449"/>
              <w:rPr>
                <w:sz w:val="13"/>
              </w:rPr>
            </w:pPr>
            <w:r>
              <w:rPr>
                <w:w w:val="105"/>
                <w:sz w:val="13"/>
              </w:rPr>
              <w:t>6.646,40</w:t>
            </w:r>
          </w:p>
        </w:tc>
        <w:tc>
          <w:tcPr>
            <w:tcW w:w="878" w:type="dxa"/>
          </w:tcPr>
          <w:p>
            <w:pPr>
              <w:pStyle w:val="TableParagraph"/>
              <w:spacing w:before="5"/>
              <w:ind w:right="70"/>
              <w:jc w:val="right"/>
              <w:rPr>
                <w:sz w:val="13"/>
              </w:rPr>
            </w:pPr>
            <w:r>
              <w:rPr>
                <w:sz w:val="13"/>
              </w:rPr>
              <w:t>11.316,52</w:t>
            </w:r>
          </w:p>
        </w:tc>
        <w:tc>
          <w:tcPr>
            <w:tcW w:w="717" w:type="dxa"/>
            <w:tcBorders>
              <w:right w:val="single" w:sz="4" w:space="0" w:color="000000"/>
            </w:tcBorders>
          </w:tcPr>
          <w:p>
            <w:pPr>
              <w:pStyle w:val="TableParagraph"/>
              <w:spacing w:before="5"/>
              <w:ind w:left="175" w:right="154"/>
              <w:jc w:val="center"/>
              <w:rPr>
                <w:b/>
                <w:sz w:val="13"/>
              </w:rPr>
            </w:pPr>
            <w:r>
              <w:rPr>
                <w:b/>
                <w:w w:val="105"/>
                <w:sz w:val="13"/>
              </w:rPr>
              <w:t>20,6%</w:t>
            </w:r>
          </w:p>
        </w:tc>
      </w:tr>
      <w:tr>
        <w:trPr>
          <w:trHeight w:val="190" w:hRule="atLeast"/>
        </w:trPr>
        <w:tc>
          <w:tcPr>
            <w:tcW w:w="921" w:type="dxa"/>
            <w:tcBorders>
              <w:left w:val="single" w:sz="4" w:space="0" w:color="000000"/>
            </w:tcBorders>
          </w:tcPr>
          <w:p>
            <w:pPr>
              <w:pStyle w:val="TableParagraph"/>
              <w:spacing w:before="5"/>
              <w:ind w:left="113"/>
              <w:rPr>
                <w:sz w:val="13"/>
              </w:rPr>
            </w:pPr>
            <w:r>
              <w:rPr>
                <w:w w:val="105"/>
                <w:sz w:val="13"/>
              </w:rPr>
              <w:t>ICI</w:t>
            </w:r>
          </w:p>
        </w:tc>
        <w:tc>
          <w:tcPr>
            <w:tcW w:w="1170" w:type="dxa"/>
          </w:tcPr>
          <w:p>
            <w:pPr>
              <w:pStyle w:val="TableParagraph"/>
              <w:spacing w:before="5"/>
              <w:ind w:right="308"/>
              <w:jc w:val="right"/>
              <w:rPr>
                <w:sz w:val="13"/>
              </w:rPr>
            </w:pPr>
            <w:r>
              <w:rPr>
                <w:w w:val="103"/>
                <w:sz w:val="13"/>
              </w:rPr>
              <w:t>-</w:t>
            </w:r>
          </w:p>
        </w:tc>
        <w:tc>
          <w:tcPr>
            <w:tcW w:w="1182" w:type="dxa"/>
          </w:tcPr>
          <w:p>
            <w:pPr>
              <w:pStyle w:val="TableParagraph"/>
              <w:spacing w:before="5"/>
              <w:ind w:right="401"/>
              <w:jc w:val="right"/>
              <w:rPr>
                <w:sz w:val="13"/>
              </w:rPr>
            </w:pPr>
            <w:r>
              <w:rPr>
                <w:w w:val="103"/>
                <w:sz w:val="13"/>
              </w:rPr>
              <w:t>-</w:t>
            </w:r>
          </w:p>
        </w:tc>
        <w:tc>
          <w:tcPr>
            <w:tcW w:w="1196" w:type="dxa"/>
          </w:tcPr>
          <w:p>
            <w:pPr>
              <w:pStyle w:val="TableParagraph"/>
              <w:spacing w:before="5"/>
              <w:ind w:right="304"/>
              <w:jc w:val="right"/>
              <w:rPr>
                <w:sz w:val="13"/>
              </w:rPr>
            </w:pPr>
            <w:r>
              <w:rPr>
                <w:w w:val="103"/>
                <w:sz w:val="13"/>
              </w:rPr>
              <w:t>-</w:t>
            </w:r>
          </w:p>
        </w:tc>
        <w:tc>
          <w:tcPr>
            <w:tcW w:w="878" w:type="dxa"/>
          </w:tcPr>
          <w:p>
            <w:pPr>
              <w:pStyle w:val="TableParagraph"/>
              <w:spacing w:before="5"/>
              <w:ind w:right="95"/>
              <w:jc w:val="right"/>
              <w:rPr>
                <w:sz w:val="13"/>
              </w:rPr>
            </w:pPr>
            <w:r>
              <w:rPr>
                <w:w w:val="103"/>
                <w:sz w:val="13"/>
              </w:rPr>
              <w:t>-</w:t>
            </w:r>
          </w:p>
        </w:tc>
        <w:tc>
          <w:tcPr>
            <w:tcW w:w="717" w:type="dxa"/>
            <w:tcBorders>
              <w:right w:val="single" w:sz="4" w:space="0" w:color="000000"/>
            </w:tcBorders>
          </w:tcPr>
          <w:p>
            <w:pPr>
              <w:pStyle w:val="TableParagraph"/>
              <w:spacing w:before="5"/>
              <w:ind w:left="175" w:right="154"/>
              <w:jc w:val="center"/>
              <w:rPr>
                <w:b/>
                <w:sz w:val="13"/>
              </w:rPr>
            </w:pPr>
            <w:r>
              <w:rPr>
                <w:b/>
                <w:w w:val="105"/>
                <w:sz w:val="13"/>
              </w:rPr>
              <w:t>0,0%</w:t>
            </w:r>
          </w:p>
        </w:tc>
      </w:tr>
      <w:tr>
        <w:trPr>
          <w:trHeight w:val="190" w:hRule="atLeast"/>
        </w:trPr>
        <w:tc>
          <w:tcPr>
            <w:tcW w:w="921" w:type="dxa"/>
            <w:tcBorders>
              <w:left w:val="single" w:sz="4" w:space="0" w:color="000000"/>
            </w:tcBorders>
          </w:tcPr>
          <w:p>
            <w:pPr>
              <w:pStyle w:val="TableParagraph"/>
              <w:spacing w:before="4"/>
              <w:ind w:left="113"/>
              <w:rPr>
                <w:sz w:val="13"/>
              </w:rPr>
            </w:pPr>
            <w:r>
              <w:rPr>
                <w:w w:val="105"/>
                <w:sz w:val="13"/>
              </w:rPr>
              <w:t>ICIA</w:t>
            </w:r>
          </w:p>
        </w:tc>
        <w:tc>
          <w:tcPr>
            <w:tcW w:w="1170" w:type="dxa"/>
          </w:tcPr>
          <w:p>
            <w:pPr>
              <w:pStyle w:val="TableParagraph"/>
              <w:spacing w:before="4"/>
              <w:ind w:right="291"/>
              <w:jc w:val="right"/>
              <w:rPr>
                <w:sz w:val="13"/>
              </w:rPr>
            </w:pPr>
            <w:r>
              <w:rPr>
                <w:sz w:val="13"/>
              </w:rPr>
              <w:t>368,87</w:t>
            </w:r>
          </w:p>
        </w:tc>
        <w:tc>
          <w:tcPr>
            <w:tcW w:w="1182" w:type="dxa"/>
          </w:tcPr>
          <w:p>
            <w:pPr>
              <w:pStyle w:val="TableParagraph"/>
              <w:spacing w:before="4"/>
              <w:ind w:right="380"/>
              <w:jc w:val="right"/>
              <w:rPr>
                <w:sz w:val="13"/>
              </w:rPr>
            </w:pPr>
            <w:r>
              <w:rPr>
                <w:sz w:val="13"/>
              </w:rPr>
              <w:t>1.117,49</w:t>
            </w:r>
          </w:p>
        </w:tc>
        <w:tc>
          <w:tcPr>
            <w:tcW w:w="1196" w:type="dxa"/>
          </w:tcPr>
          <w:p>
            <w:pPr>
              <w:pStyle w:val="TableParagraph"/>
              <w:spacing w:before="4"/>
              <w:ind w:left="449"/>
              <w:rPr>
                <w:sz w:val="13"/>
              </w:rPr>
            </w:pPr>
            <w:r>
              <w:rPr>
                <w:w w:val="105"/>
                <w:sz w:val="13"/>
              </w:rPr>
              <w:t>1.369,66</w:t>
            </w:r>
          </w:p>
        </w:tc>
        <w:tc>
          <w:tcPr>
            <w:tcW w:w="878" w:type="dxa"/>
          </w:tcPr>
          <w:p>
            <w:pPr>
              <w:pStyle w:val="TableParagraph"/>
              <w:spacing w:before="4"/>
              <w:ind w:right="74"/>
              <w:jc w:val="right"/>
              <w:rPr>
                <w:sz w:val="13"/>
              </w:rPr>
            </w:pPr>
            <w:r>
              <w:rPr>
                <w:sz w:val="13"/>
              </w:rPr>
              <w:t>2.856,02</w:t>
            </w:r>
          </w:p>
        </w:tc>
        <w:tc>
          <w:tcPr>
            <w:tcW w:w="717" w:type="dxa"/>
            <w:tcBorders>
              <w:right w:val="single" w:sz="4" w:space="0" w:color="000000"/>
            </w:tcBorders>
          </w:tcPr>
          <w:p>
            <w:pPr>
              <w:pStyle w:val="TableParagraph"/>
              <w:spacing w:before="4"/>
              <w:ind w:left="175" w:right="154"/>
              <w:jc w:val="center"/>
              <w:rPr>
                <w:b/>
                <w:sz w:val="13"/>
              </w:rPr>
            </w:pPr>
            <w:r>
              <w:rPr>
                <w:b/>
                <w:w w:val="105"/>
                <w:sz w:val="13"/>
              </w:rPr>
              <w:t>5,2%</w:t>
            </w:r>
          </w:p>
        </w:tc>
      </w:tr>
      <w:tr>
        <w:trPr>
          <w:trHeight w:val="190" w:hRule="atLeast"/>
        </w:trPr>
        <w:tc>
          <w:tcPr>
            <w:tcW w:w="921" w:type="dxa"/>
            <w:tcBorders>
              <w:left w:val="single" w:sz="4" w:space="0" w:color="000000"/>
            </w:tcBorders>
          </w:tcPr>
          <w:p>
            <w:pPr>
              <w:pStyle w:val="TableParagraph"/>
              <w:spacing w:before="5"/>
              <w:ind w:left="113"/>
              <w:rPr>
                <w:sz w:val="13"/>
              </w:rPr>
            </w:pPr>
            <w:r>
              <w:rPr>
                <w:w w:val="105"/>
                <w:sz w:val="13"/>
              </w:rPr>
              <w:t>ICHH</w:t>
            </w:r>
          </w:p>
        </w:tc>
        <w:tc>
          <w:tcPr>
            <w:tcW w:w="1170" w:type="dxa"/>
          </w:tcPr>
          <w:p>
            <w:pPr>
              <w:pStyle w:val="TableParagraph"/>
              <w:spacing w:before="5"/>
              <w:ind w:right="308"/>
              <w:jc w:val="right"/>
              <w:rPr>
                <w:sz w:val="13"/>
              </w:rPr>
            </w:pPr>
            <w:r>
              <w:rPr>
                <w:w w:val="103"/>
                <w:sz w:val="13"/>
              </w:rPr>
              <w:t>-</w:t>
            </w:r>
          </w:p>
        </w:tc>
        <w:tc>
          <w:tcPr>
            <w:tcW w:w="1182" w:type="dxa"/>
          </w:tcPr>
          <w:p>
            <w:pPr>
              <w:pStyle w:val="TableParagraph"/>
              <w:spacing w:before="5"/>
              <w:ind w:right="380"/>
              <w:jc w:val="right"/>
              <w:rPr>
                <w:sz w:val="13"/>
              </w:rPr>
            </w:pPr>
            <w:r>
              <w:rPr>
                <w:sz w:val="13"/>
              </w:rPr>
              <w:t>6.653,09</w:t>
            </w:r>
          </w:p>
        </w:tc>
        <w:tc>
          <w:tcPr>
            <w:tcW w:w="1196" w:type="dxa"/>
          </w:tcPr>
          <w:p>
            <w:pPr>
              <w:pStyle w:val="TableParagraph"/>
              <w:spacing w:before="5"/>
              <w:ind w:left="610"/>
              <w:rPr>
                <w:sz w:val="13"/>
              </w:rPr>
            </w:pPr>
            <w:r>
              <w:rPr>
                <w:w w:val="105"/>
                <w:sz w:val="13"/>
              </w:rPr>
              <w:t>83,03</w:t>
            </w:r>
          </w:p>
        </w:tc>
        <w:tc>
          <w:tcPr>
            <w:tcW w:w="878" w:type="dxa"/>
          </w:tcPr>
          <w:p>
            <w:pPr>
              <w:pStyle w:val="TableParagraph"/>
              <w:spacing w:before="5"/>
              <w:ind w:right="74"/>
              <w:jc w:val="right"/>
              <w:rPr>
                <w:sz w:val="13"/>
              </w:rPr>
            </w:pPr>
            <w:r>
              <w:rPr>
                <w:sz w:val="13"/>
              </w:rPr>
              <w:t>6.736,12</w:t>
            </w:r>
          </w:p>
        </w:tc>
        <w:tc>
          <w:tcPr>
            <w:tcW w:w="717" w:type="dxa"/>
            <w:tcBorders>
              <w:right w:val="single" w:sz="4" w:space="0" w:color="000000"/>
            </w:tcBorders>
          </w:tcPr>
          <w:p>
            <w:pPr>
              <w:pStyle w:val="TableParagraph"/>
              <w:spacing w:before="5"/>
              <w:ind w:left="175" w:right="154"/>
              <w:jc w:val="center"/>
              <w:rPr>
                <w:b/>
                <w:sz w:val="13"/>
              </w:rPr>
            </w:pPr>
            <w:r>
              <w:rPr>
                <w:b/>
                <w:w w:val="105"/>
                <w:sz w:val="13"/>
              </w:rPr>
              <w:t>12,3%</w:t>
            </w:r>
          </w:p>
        </w:tc>
      </w:tr>
      <w:tr>
        <w:trPr>
          <w:trHeight w:val="190" w:hRule="atLeast"/>
        </w:trPr>
        <w:tc>
          <w:tcPr>
            <w:tcW w:w="921" w:type="dxa"/>
            <w:tcBorders>
              <w:left w:val="single" w:sz="4" w:space="0" w:color="000000"/>
            </w:tcBorders>
          </w:tcPr>
          <w:p>
            <w:pPr>
              <w:pStyle w:val="TableParagraph"/>
              <w:spacing w:before="4"/>
              <w:ind w:left="113"/>
              <w:rPr>
                <w:sz w:val="13"/>
              </w:rPr>
            </w:pPr>
            <w:r>
              <w:rPr>
                <w:w w:val="105"/>
                <w:sz w:val="13"/>
              </w:rPr>
              <w:t>ACCUEE</w:t>
            </w:r>
          </w:p>
        </w:tc>
        <w:tc>
          <w:tcPr>
            <w:tcW w:w="1170" w:type="dxa"/>
          </w:tcPr>
          <w:p>
            <w:pPr>
              <w:pStyle w:val="TableParagraph"/>
              <w:spacing w:before="4"/>
              <w:ind w:right="308"/>
              <w:jc w:val="right"/>
              <w:rPr>
                <w:sz w:val="13"/>
              </w:rPr>
            </w:pPr>
            <w:r>
              <w:rPr>
                <w:w w:val="103"/>
                <w:sz w:val="13"/>
              </w:rPr>
              <w:t>-</w:t>
            </w:r>
          </w:p>
        </w:tc>
        <w:tc>
          <w:tcPr>
            <w:tcW w:w="1182" w:type="dxa"/>
          </w:tcPr>
          <w:p>
            <w:pPr>
              <w:pStyle w:val="TableParagraph"/>
              <w:spacing w:before="4"/>
              <w:ind w:right="374"/>
              <w:jc w:val="right"/>
              <w:rPr>
                <w:sz w:val="13"/>
              </w:rPr>
            </w:pPr>
            <w:r>
              <w:rPr>
                <w:sz w:val="13"/>
              </w:rPr>
              <w:t>20,03</w:t>
            </w:r>
          </w:p>
        </w:tc>
        <w:tc>
          <w:tcPr>
            <w:tcW w:w="1196" w:type="dxa"/>
          </w:tcPr>
          <w:p>
            <w:pPr>
              <w:pStyle w:val="TableParagraph"/>
              <w:spacing w:before="4"/>
              <w:ind w:left="546"/>
              <w:rPr>
                <w:sz w:val="13"/>
              </w:rPr>
            </w:pPr>
            <w:r>
              <w:rPr>
                <w:w w:val="105"/>
                <w:sz w:val="13"/>
              </w:rPr>
              <w:t>243,91</w:t>
            </w:r>
          </w:p>
        </w:tc>
        <w:tc>
          <w:tcPr>
            <w:tcW w:w="878" w:type="dxa"/>
          </w:tcPr>
          <w:p>
            <w:pPr>
              <w:pStyle w:val="TableParagraph"/>
              <w:spacing w:before="4"/>
              <w:ind w:right="64"/>
              <w:jc w:val="right"/>
              <w:rPr>
                <w:sz w:val="13"/>
              </w:rPr>
            </w:pPr>
            <w:r>
              <w:rPr>
                <w:sz w:val="13"/>
              </w:rPr>
              <w:t>263,94</w:t>
            </w:r>
          </w:p>
        </w:tc>
        <w:tc>
          <w:tcPr>
            <w:tcW w:w="717" w:type="dxa"/>
            <w:tcBorders>
              <w:right w:val="single" w:sz="4" w:space="0" w:color="000000"/>
            </w:tcBorders>
          </w:tcPr>
          <w:p>
            <w:pPr>
              <w:pStyle w:val="TableParagraph"/>
              <w:spacing w:before="4"/>
              <w:ind w:left="175" w:right="154"/>
              <w:jc w:val="center"/>
              <w:rPr>
                <w:b/>
                <w:sz w:val="13"/>
              </w:rPr>
            </w:pPr>
            <w:r>
              <w:rPr>
                <w:b/>
                <w:w w:val="105"/>
                <w:sz w:val="13"/>
              </w:rPr>
              <w:t>0,5%</w:t>
            </w:r>
          </w:p>
        </w:tc>
      </w:tr>
      <w:tr>
        <w:trPr>
          <w:trHeight w:val="190" w:hRule="atLeast"/>
        </w:trPr>
        <w:tc>
          <w:tcPr>
            <w:tcW w:w="921" w:type="dxa"/>
            <w:tcBorders>
              <w:left w:val="single" w:sz="4" w:space="0" w:color="000000"/>
            </w:tcBorders>
          </w:tcPr>
          <w:p>
            <w:pPr>
              <w:pStyle w:val="TableParagraph"/>
              <w:spacing w:before="5"/>
              <w:ind w:left="113"/>
              <w:rPr>
                <w:sz w:val="13"/>
              </w:rPr>
            </w:pPr>
            <w:r>
              <w:rPr>
                <w:w w:val="105"/>
                <w:sz w:val="13"/>
              </w:rPr>
              <w:t>ICAVI</w:t>
            </w:r>
          </w:p>
        </w:tc>
        <w:tc>
          <w:tcPr>
            <w:tcW w:w="1170" w:type="dxa"/>
          </w:tcPr>
          <w:p>
            <w:pPr>
              <w:pStyle w:val="TableParagraph"/>
              <w:spacing w:before="5"/>
              <w:ind w:right="285"/>
              <w:jc w:val="right"/>
              <w:rPr>
                <w:sz w:val="13"/>
              </w:rPr>
            </w:pPr>
            <w:r>
              <w:rPr>
                <w:sz w:val="13"/>
              </w:rPr>
              <w:t>9.952,75</w:t>
            </w:r>
          </w:p>
        </w:tc>
        <w:tc>
          <w:tcPr>
            <w:tcW w:w="1182" w:type="dxa"/>
          </w:tcPr>
          <w:p>
            <w:pPr>
              <w:pStyle w:val="TableParagraph"/>
              <w:spacing w:before="5"/>
              <w:ind w:right="380"/>
              <w:jc w:val="right"/>
              <w:rPr>
                <w:sz w:val="13"/>
              </w:rPr>
            </w:pPr>
            <w:r>
              <w:rPr>
                <w:sz w:val="13"/>
              </w:rPr>
              <w:t>6.888,08</w:t>
            </w:r>
          </w:p>
        </w:tc>
        <w:tc>
          <w:tcPr>
            <w:tcW w:w="1196" w:type="dxa"/>
          </w:tcPr>
          <w:p>
            <w:pPr>
              <w:pStyle w:val="TableParagraph"/>
              <w:spacing w:before="5"/>
              <w:ind w:left="449"/>
              <w:rPr>
                <w:sz w:val="13"/>
              </w:rPr>
            </w:pPr>
            <w:r>
              <w:rPr>
                <w:w w:val="105"/>
                <w:sz w:val="13"/>
              </w:rPr>
              <w:t>2.346,28</w:t>
            </w:r>
          </w:p>
        </w:tc>
        <w:tc>
          <w:tcPr>
            <w:tcW w:w="878" w:type="dxa"/>
          </w:tcPr>
          <w:p>
            <w:pPr>
              <w:pStyle w:val="TableParagraph"/>
              <w:spacing w:before="5"/>
              <w:ind w:right="70"/>
              <w:jc w:val="right"/>
              <w:rPr>
                <w:sz w:val="13"/>
              </w:rPr>
            </w:pPr>
            <w:r>
              <w:rPr>
                <w:sz w:val="13"/>
              </w:rPr>
              <w:t>19.187,11</w:t>
            </w:r>
          </w:p>
        </w:tc>
        <w:tc>
          <w:tcPr>
            <w:tcW w:w="717" w:type="dxa"/>
            <w:tcBorders>
              <w:right w:val="single" w:sz="4" w:space="0" w:color="000000"/>
            </w:tcBorders>
          </w:tcPr>
          <w:p>
            <w:pPr>
              <w:pStyle w:val="TableParagraph"/>
              <w:spacing w:before="5"/>
              <w:ind w:left="175" w:right="154"/>
              <w:jc w:val="center"/>
              <w:rPr>
                <w:b/>
                <w:sz w:val="13"/>
              </w:rPr>
            </w:pPr>
            <w:r>
              <w:rPr>
                <w:b/>
                <w:w w:val="105"/>
                <w:sz w:val="13"/>
              </w:rPr>
              <w:t>34,9%</w:t>
            </w:r>
          </w:p>
        </w:tc>
      </w:tr>
      <w:tr>
        <w:trPr>
          <w:trHeight w:val="190" w:hRule="atLeast"/>
        </w:trPr>
        <w:tc>
          <w:tcPr>
            <w:tcW w:w="921" w:type="dxa"/>
            <w:tcBorders>
              <w:left w:val="single" w:sz="4" w:space="0" w:color="000000"/>
            </w:tcBorders>
          </w:tcPr>
          <w:p>
            <w:pPr>
              <w:pStyle w:val="TableParagraph"/>
              <w:spacing w:before="4"/>
              <w:ind w:left="113"/>
              <w:rPr>
                <w:sz w:val="13"/>
              </w:rPr>
            </w:pPr>
            <w:r>
              <w:rPr>
                <w:w w:val="105"/>
                <w:sz w:val="13"/>
              </w:rPr>
              <w:t>ICCA</w:t>
            </w:r>
          </w:p>
        </w:tc>
        <w:tc>
          <w:tcPr>
            <w:tcW w:w="1170" w:type="dxa"/>
          </w:tcPr>
          <w:p>
            <w:pPr>
              <w:pStyle w:val="TableParagraph"/>
              <w:spacing w:before="4"/>
              <w:ind w:right="308"/>
              <w:jc w:val="right"/>
              <w:rPr>
                <w:sz w:val="13"/>
              </w:rPr>
            </w:pPr>
            <w:r>
              <w:rPr>
                <w:w w:val="103"/>
                <w:sz w:val="13"/>
              </w:rPr>
              <w:t>-</w:t>
            </w:r>
          </w:p>
        </w:tc>
        <w:tc>
          <w:tcPr>
            <w:tcW w:w="1182" w:type="dxa"/>
          </w:tcPr>
          <w:p>
            <w:pPr>
              <w:pStyle w:val="TableParagraph"/>
              <w:spacing w:before="4"/>
              <w:ind w:right="374"/>
              <w:jc w:val="right"/>
              <w:rPr>
                <w:sz w:val="13"/>
              </w:rPr>
            </w:pPr>
            <w:r>
              <w:rPr>
                <w:sz w:val="13"/>
              </w:rPr>
              <w:t>37,21</w:t>
            </w:r>
          </w:p>
        </w:tc>
        <w:tc>
          <w:tcPr>
            <w:tcW w:w="1196" w:type="dxa"/>
          </w:tcPr>
          <w:p>
            <w:pPr>
              <w:pStyle w:val="TableParagraph"/>
              <w:spacing w:before="4"/>
              <w:ind w:left="449"/>
              <w:rPr>
                <w:sz w:val="13"/>
              </w:rPr>
            </w:pPr>
            <w:r>
              <w:rPr>
                <w:w w:val="105"/>
                <w:sz w:val="13"/>
              </w:rPr>
              <w:t>1.054,16</w:t>
            </w:r>
          </w:p>
        </w:tc>
        <w:tc>
          <w:tcPr>
            <w:tcW w:w="878" w:type="dxa"/>
          </w:tcPr>
          <w:p>
            <w:pPr>
              <w:pStyle w:val="TableParagraph"/>
              <w:spacing w:before="4"/>
              <w:ind w:right="74"/>
              <w:jc w:val="right"/>
              <w:rPr>
                <w:sz w:val="13"/>
              </w:rPr>
            </w:pPr>
            <w:r>
              <w:rPr>
                <w:sz w:val="13"/>
              </w:rPr>
              <w:t>1.091,37</w:t>
            </w:r>
          </w:p>
        </w:tc>
        <w:tc>
          <w:tcPr>
            <w:tcW w:w="717" w:type="dxa"/>
            <w:tcBorders>
              <w:right w:val="single" w:sz="4" w:space="0" w:color="000000"/>
            </w:tcBorders>
          </w:tcPr>
          <w:p>
            <w:pPr>
              <w:pStyle w:val="TableParagraph"/>
              <w:spacing w:before="4"/>
              <w:ind w:left="175" w:right="154"/>
              <w:jc w:val="center"/>
              <w:rPr>
                <w:b/>
                <w:sz w:val="13"/>
              </w:rPr>
            </w:pPr>
            <w:r>
              <w:rPr>
                <w:b/>
                <w:w w:val="105"/>
                <w:sz w:val="13"/>
              </w:rPr>
              <w:t>2,0%</w:t>
            </w:r>
          </w:p>
        </w:tc>
      </w:tr>
      <w:tr>
        <w:trPr>
          <w:trHeight w:val="191" w:hRule="atLeast"/>
        </w:trPr>
        <w:tc>
          <w:tcPr>
            <w:tcW w:w="921" w:type="dxa"/>
            <w:tcBorders>
              <w:left w:val="single" w:sz="4" w:space="0" w:color="000000"/>
            </w:tcBorders>
          </w:tcPr>
          <w:p>
            <w:pPr>
              <w:pStyle w:val="TableParagraph"/>
              <w:spacing w:before="5"/>
              <w:ind w:left="113"/>
              <w:rPr>
                <w:sz w:val="13"/>
              </w:rPr>
            </w:pPr>
            <w:r>
              <w:rPr>
                <w:w w:val="105"/>
                <w:sz w:val="13"/>
              </w:rPr>
              <w:t>APMN</w:t>
            </w:r>
          </w:p>
        </w:tc>
        <w:tc>
          <w:tcPr>
            <w:tcW w:w="1170" w:type="dxa"/>
          </w:tcPr>
          <w:p>
            <w:pPr>
              <w:pStyle w:val="TableParagraph"/>
              <w:spacing w:before="5"/>
              <w:ind w:right="308"/>
              <w:jc w:val="right"/>
              <w:rPr>
                <w:sz w:val="13"/>
              </w:rPr>
            </w:pPr>
            <w:r>
              <w:rPr>
                <w:w w:val="103"/>
                <w:sz w:val="13"/>
              </w:rPr>
              <w:t>-</w:t>
            </w:r>
          </w:p>
        </w:tc>
        <w:tc>
          <w:tcPr>
            <w:tcW w:w="1182" w:type="dxa"/>
          </w:tcPr>
          <w:p>
            <w:pPr>
              <w:pStyle w:val="TableParagraph"/>
              <w:spacing w:before="5"/>
              <w:ind w:right="370"/>
              <w:jc w:val="right"/>
              <w:rPr>
                <w:sz w:val="13"/>
              </w:rPr>
            </w:pPr>
            <w:r>
              <w:rPr>
                <w:sz w:val="13"/>
              </w:rPr>
              <w:t>170,68</w:t>
            </w:r>
          </w:p>
        </w:tc>
        <w:tc>
          <w:tcPr>
            <w:tcW w:w="1196" w:type="dxa"/>
          </w:tcPr>
          <w:p>
            <w:pPr>
              <w:pStyle w:val="TableParagraph"/>
              <w:spacing w:before="5"/>
              <w:ind w:left="546"/>
              <w:rPr>
                <w:sz w:val="13"/>
              </w:rPr>
            </w:pPr>
            <w:r>
              <w:rPr>
                <w:w w:val="105"/>
                <w:sz w:val="13"/>
              </w:rPr>
              <w:t>346,46</w:t>
            </w:r>
          </w:p>
        </w:tc>
        <w:tc>
          <w:tcPr>
            <w:tcW w:w="878" w:type="dxa"/>
          </w:tcPr>
          <w:p>
            <w:pPr>
              <w:pStyle w:val="TableParagraph"/>
              <w:spacing w:before="5"/>
              <w:ind w:right="64"/>
              <w:jc w:val="right"/>
              <w:rPr>
                <w:sz w:val="13"/>
              </w:rPr>
            </w:pPr>
            <w:r>
              <w:rPr>
                <w:sz w:val="13"/>
              </w:rPr>
              <w:t>517,14</w:t>
            </w:r>
          </w:p>
        </w:tc>
        <w:tc>
          <w:tcPr>
            <w:tcW w:w="717" w:type="dxa"/>
            <w:tcBorders>
              <w:right w:val="single" w:sz="4" w:space="0" w:color="000000"/>
            </w:tcBorders>
          </w:tcPr>
          <w:p>
            <w:pPr>
              <w:pStyle w:val="TableParagraph"/>
              <w:spacing w:before="5"/>
              <w:ind w:left="175" w:right="154"/>
              <w:jc w:val="center"/>
              <w:rPr>
                <w:b/>
                <w:sz w:val="13"/>
              </w:rPr>
            </w:pPr>
            <w:r>
              <w:rPr>
                <w:b/>
                <w:w w:val="105"/>
                <w:sz w:val="13"/>
              </w:rPr>
              <w:t>0,9%</w:t>
            </w:r>
          </w:p>
        </w:tc>
      </w:tr>
      <w:tr>
        <w:trPr>
          <w:trHeight w:val="190" w:hRule="atLeast"/>
        </w:trPr>
        <w:tc>
          <w:tcPr>
            <w:tcW w:w="921" w:type="dxa"/>
            <w:tcBorders>
              <w:left w:val="single" w:sz="4" w:space="0" w:color="000000"/>
            </w:tcBorders>
          </w:tcPr>
          <w:p>
            <w:pPr>
              <w:pStyle w:val="TableParagraph"/>
              <w:spacing w:before="5"/>
              <w:ind w:left="113"/>
              <w:rPr>
                <w:sz w:val="13"/>
              </w:rPr>
            </w:pPr>
            <w:r>
              <w:rPr>
                <w:w w:val="105"/>
                <w:sz w:val="13"/>
              </w:rPr>
              <w:t>CES</w:t>
            </w:r>
          </w:p>
        </w:tc>
        <w:tc>
          <w:tcPr>
            <w:tcW w:w="1170" w:type="dxa"/>
          </w:tcPr>
          <w:p>
            <w:pPr>
              <w:pStyle w:val="TableParagraph"/>
              <w:spacing w:before="5"/>
              <w:ind w:right="283"/>
              <w:jc w:val="right"/>
              <w:rPr>
                <w:sz w:val="13"/>
              </w:rPr>
            </w:pPr>
            <w:r>
              <w:rPr>
                <w:sz w:val="13"/>
              </w:rPr>
              <w:t>8,90</w:t>
            </w:r>
          </w:p>
        </w:tc>
        <w:tc>
          <w:tcPr>
            <w:tcW w:w="1182" w:type="dxa"/>
          </w:tcPr>
          <w:p>
            <w:pPr>
              <w:pStyle w:val="TableParagraph"/>
              <w:spacing w:before="5"/>
              <w:ind w:right="374"/>
              <w:jc w:val="right"/>
              <w:rPr>
                <w:sz w:val="13"/>
              </w:rPr>
            </w:pPr>
            <w:r>
              <w:rPr>
                <w:sz w:val="13"/>
              </w:rPr>
              <w:t>12,12</w:t>
            </w:r>
          </w:p>
        </w:tc>
        <w:tc>
          <w:tcPr>
            <w:tcW w:w="1196" w:type="dxa"/>
          </w:tcPr>
          <w:p>
            <w:pPr>
              <w:pStyle w:val="TableParagraph"/>
              <w:spacing w:before="5"/>
              <w:ind w:left="610"/>
              <w:rPr>
                <w:sz w:val="13"/>
              </w:rPr>
            </w:pPr>
            <w:r>
              <w:rPr>
                <w:w w:val="105"/>
                <w:sz w:val="13"/>
              </w:rPr>
              <w:t>76,27</w:t>
            </w:r>
          </w:p>
        </w:tc>
        <w:tc>
          <w:tcPr>
            <w:tcW w:w="878" w:type="dxa"/>
          </w:tcPr>
          <w:p>
            <w:pPr>
              <w:pStyle w:val="TableParagraph"/>
              <w:spacing w:before="5"/>
              <w:ind w:right="68"/>
              <w:jc w:val="right"/>
              <w:rPr>
                <w:sz w:val="13"/>
              </w:rPr>
            </w:pPr>
            <w:r>
              <w:rPr>
                <w:sz w:val="13"/>
              </w:rPr>
              <w:t>97,29</w:t>
            </w:r>
          </w:p>
        </w:tc>
        <w:tc>
          <w:tcPr>
            <w:tcW w:w="717" w:type="dxa"/>
            <w:tcBorders>
              <w:right w:val="single" w:sz="4" w:space="0" w:color="000000"/>
            </w:tcBorders>
          </w:tcPr>
          <w:p>
            <w:pPr>
              <w:pStyle w:val="TableParagraph"/>
              <w:spacing w:before="5"/>
              <w:ind w:left="175" w:right="154"/>
              <w:jc w:val="center"/>
              <w:rPr>
                <w:b/>
                <w:sz w:val="13"/>
              </w:rPr>
            </w:pPr>
            <w:r>
              <w:rPr>
                <w:b/>
                <w:w w:val="105"/>
                <w:sz w:val="13"/>
              </w:rPr>
              <w:t>0,2%</w:t>
            </w:r>
          </w:p>
        </w:tc>
      </w:tr>
      <w:tr>
        <w:trPr>
          <w:trHeight w:val="190" w:hRule="atLeast"/>
        </w:trPr>
        <w:tc>
          <w:tcPr>
            <w:tcW w:w="921" w:type="dxa"/>
            <w:tcBorders>
              <w:left w:val="single" w:sz="4" w:space="0" w:color="000000"/>
            </w:tcBorders>
          </w:tcPr>
          <w:p>
            <w:pPr>
              <w:pStyle w:val="TableParagraph"/>
              <w:spacing w:before="4"/>
              <w:ind w:left="113"/>
              <w:rPr>
                <w:sz w:val="13"/>
              </w:rPr>
            </w:pPr>
            <w:r>
              <w:rPr>
                <w:w w:val="105"/>
                <w:sz w:val="13"/>
              </w:rPr>
              <w:t>RTVC</w:t>
            </w:r>
          </w:p>
        </w:tc>
        <w:tc>
          <w:tcPr>
            <w:tcW w:w="1170" w:type="dxa"/>
          </w:tcPr>
          <w:p>
            <w:pPr>
              <w:pStyle w:val="TableParagraph"/>
              <w:spacing w:before="4"/>
              <w:ind w:right="308"/>
              <w:jc w:val="right"/>
              <w:rPr>
                <w:sz w:val="13"/>
              </w:rPr>
            </w:pPr>
            <w:r>
              <w:rPr>
                <w:w w:val="103"/>
                <w:sz w:val="13"/>
              </w:rPr>
              <w:t>-</w:t>
            </w:r>
          </w:p>
        </w:tc>
        <w:tc>
          <w:tcPr>
            <w:tcW w:w="1182" w:type="dxa"/>
          </w:tcPr>
          <w:p>
            <w:pPr>
              <w:pStyle w:val="TableParagraph"/>
              <w:spacing w:before="4"/>
              <w:ind w:right="374"/>
              <w:jc w:val="right"/>
              <w:rPr>
                <w:sz w:val="13"/>
              </w:rPr>
            </w:pPr>
            <w:r>
              <w:rPr>
                <w:sz w:val="13"/>
              </w:rPr>
              <w:t>28,44</w:t>
            </w:r>
          </w:p>
        </w:tc>
        <w:tc>
          <w:tcPr>
            <w:tcW w:w="1196" w:type="dxa"/>
          </w:tcPr>
          <w:p>
            <w:pPr>
              <w:pStyle w:val="TableParagraph"/>
              <w:spacing w:before="4"/>
              <w:ind w:left="546"/>
              <w:rPr>
                <w:sz w:val="13"/>
              </w:rPr>
            </w:pPr>
            <w:r>
              <w:rPr>
                <w:w w:val="105"/>
                <w:sz w:val="13"/>
              </w:rPr>
              <w:t>132,36</w:t>
            </w:r>
          </w:p>
        </w:tc>
        <w:tc>
          <w:tcPr>
            <w:tcW w:w="878" w:type="dxa"/>
          </w:tcPr>
          <w:p>
            <w:pPr>
              <w:pStyle w:val="TableParagraph"/>
              <w:spacing w:before="4"/>
              <w:ind w:right="64"/>
              <w:jc w:val="right"/>
              <w:rPr>
                <w:sz w:val="13"/>
              </w:rPr>
            </w:pPr>
            <w:r>
              <w:rPr>
                <w:sz w:val="13"/>
              </w:rPr>
              <w:t>160,80</w:t>
            </w:r>
          </w:p>
        </w:tc>
        <w:tc>
          <w:tcPr>
            <w:tcW w:w="717" w:type="dxa"/>
            <w:tcBorders>
              <w:right w:val="single" w:sz="4" w:space="0" w:color="000000"/>
            </w:tcBorders>
          </w:tcPr>
          <w:p>
            <w:pPr>
              <w:pStyle w:val="TableParagraph"/>
              <w:spacing w:before="4"/>
              <w:ind w:left="175" w:right="154"/>
              <w:jc w:val="center"/>
              <w:rPr>
                <w:b/>
                <w:sz w:val="13"/>
              </w:rPr>
            </w:pPr>
            <w:r>
              <w:rPr>
                <w:b/>
                <w:w w:val="105"/>
                <w:sz w:val="13"/>
              </w:rPr>
              <w:t>0,3%</w:t>
            </w:r>
          </w:p>
        </w:tc>
      </w:tr>
      <w:tr>
        <w:trPr>
          <w:trHeight w:val="190" w:hRule="atLeast"/>
        </w:trPr>
        <w:tc>
          <w:tcPr>
            <w:tcW w:w="921" w:type="dxa"/>
            <w:tcBorders>
              <w:left w:val="single" w:sz="4" w:space="0" w:color="000000"/>
            </w:tcBorders>
          </w:tcPr>
          <w:p>
            <w:pPr>
              <w:pStyle w:val="TableParagraph"/>
              <w:spacing w:before="5"/>
              <w:ind w:left="113"/>
              <w:rPr>
                <w:sz w:val="13"/>
              </w:rPr>
            </w:pPr>
            <w:r>
              <w:rPr>
                <w:w w:val="105"/>
                <w:sz w:val="13"/>
              </w:rPr>
              <w:t>ATC</w:t>
            </w:r>
          </w:p>
        </w:tc>
        <w:tc>
          <w:tcPr>
            <w:tcW w:w="1170" w:type="dxa"/>
          </w:tcPr>
          <w:p>
            <w:pPr>
              <w:pStyle w:val="TableParagraph"/>
              <w:spacing w:before="5"/>
              <w:ind w:right="285"/>
              <w:jc w:val="right"/>
              <w:rPr>
                <w:sz w:val="13"/>
              </w:rPr>
            </w:pPr>
            <w:r>
              <w:rPr>
                <w:sz w:val="13"/>
              </w:rPr>
              <w:t>4.634,48</w:t>
            </w:r>
          </w:p>
        </w:tc>
        <w:tc>
          <w:tcPr>
            <w:tcW w:w="1182" w:type="dxa"/>
          </w:tcPr>
          <w:p>
            <w:pPr>
              <w:pStyle w:val="TableParagraph"/>
              <w:spacing w:before="5"/>
              <w:ind w:right="380"/>
              <w:jc w:val="right"/>
              <w:rPr>
                <w:sz w:val="13"/>
              </w:rPr>
            </w:pPr>
            <w:r>
              <w:rPr>
                <w:sz w:val="13"/>
              </w:rPr>
              <w:t>3.176,33</w:t>
            </w:r>
          </w:p>
        </w:tc>
        <w:tc>
          <w:tcPr>
            <w:tcW w:w="1196" w:type="dxa"/>
          </w:tcPr>
          <w:p>
            <w:pPr>
              <w:pStyle w:val="TableParagraph"/>
              <w:spacing w:before="5"/>
              <w:ind w:left="449"/>
              <w:rPr>
                <w:sz w:val="13"/>
              </w:rPr>
            </w:pPr>
            <w:r>
              <w:rPr>
                <w:w w:val="105"/>
                <w:sz w:val="13"/>
              </w:rPr>
              <w:t>1.637,29</w:t>
            </w:r>
          </w:p>
        </w:tc>
        <w:tc>
          <w:tcPr>
            <w:tcW w:w="878" w:type="dxa"/>
          </w:tcPr>
          <w:p>
            <w:pPr>
              <w:pStyle w:val="TableParagraph"/>
              <w:spacing w:before="5"/>
              <w:ind w:right="74"/>
              <w:jc w:val="right"/>
              <w:rPr>
                <w:sz w:val="13"/>
              </w:rPr>
            </w:pPr>
            <w:r>
              <w:rPr>
                <w:sz w:val="13"/>
              </w:rPr>
              <w:t>9.448,11</w:t>
            </w:r>
          </w:p>
        </w:tc>
        <w:tc>
          <w:tcPr>
            <w:tcW w:w="717" w:type="dxa"/>
            <w:tcBorders>
              <w:right w:val="single" w:sz="4" w:space="0" w:color="000000"/>
            </w:tcBorders>
          </w:tcPr>
          <w:p>
            <w:pPr>
              <w:pStyle w:val="TableParagraph"/>
              <w:spacing w:before="5"/>
              <w:ind w:left="175" w:right="154"/>
              <w:jc w:val="center"/>
              <w:rPr>
                <w:b/>
                <w:sz w:val="13"/>
              </w:rPr>
            </w:pPr>
            <w:r>
              <w:rPr>
                <w:b/>
                <w:w w:val="105"/>
                <w:sz w:val="13"/>
              </w:rPr>
              <w:t>17,2%</w:t>
            </w:r>
          </w:p>
        </w:tc>
      </w:tr>
      <w:tr>
        <w:trPr>
          <w:trHeight w:val="182" w:hRule="atLeast"/>
        </w:trPr>
        <w:tc>
          <w:tcPr>
            <w:tcW w:w="921" w:type="dxa"/>
            <w:tcBorders>
              <w:left w:val="single" w:sz="4" w:space="0" w:color="000000"/>
            </w:tcBorders>
          </w:tcPr>
          <w:p>
            <w:pPr>
              <w:pStyle w:val="TableParagraph"/>
              <w:spacing w:line="158" w:lineRule="exact" w:before="4"/>
              <w:ind w:left="113"/>
              <w:rPr>
                <w:sz w:val="13"/>
              </w:rPr>
            </w:pPr>
            <w:r>
              <w:rPr>
                <w:w w:val="105"/>
                <w:sz w:val="13"/>
              </w:rPr>
              <w:t>RINCON</w:t>
            </w:r>
          </w:p>
        </w:tc>
        <w:tc>
          <w:tcPr>
            <w:tcW w:w="1170" w:type="dxa"/>
          </w:tcPr>
          <w:p>
            <w:pPr>
              <w:pStyle w:val="TableParagraph"/>
              <w:spacing w:line="158" w:lineRule="exact" w:before="4"/>
              <w:ind w:right="308"/>
              <w:jc w:val="right"/>
              <w:rPr>
                <w:sz w:val="13"/>
              </w:rPr>
            </w:pPr>
            <w:r>
              <w:rPr>
                <w:w w:val="103"/>
                <w:sz w:val="13"/>
              </w:rPr>
              <w:t>-</w:t>
            </w:r>
          </w:p>
        </w:tc>
        <w:tc>
          <w:tcPr>
            <w:tcW w:w="1182" w:type="dxa"/>
          </w:tcPr>
          <w:p>
            <w:pPr>
              <w:pStyle w:val="TableParagraph"/>
              <w:spacing w:line="158" w:lineRule="exact" w:before="4"/>
              <w:ind w:right="401"/>
              <w:jc w:val="right"/>
              <w:rPr>
                <w:sz w:val="13"/>
              </w:rPr>
            </w:pPr>
            <w:r>
              <w:rPr>
                <w:w w:val="103"/>
                <w:sz w:val="13"/>
              </w:rPr>
              <w:t>-</w:t>
            </w:r>
          </w:p>
        </w:tc>
        <w:tc>
          <w:tcPr>
            <w:tcW w:w="1196" w:type="dxa"/>
          </w:tcPr>
          <w:p>
            <w:pPr>
              <w:pStyle w:val="TableParagraph"/>
              <w:spacing w:line="158" w:lineRule="exact" w:before="4"/>
              <w:ind w:right="304"/>
              <w:jc w:val="right"/>
              <w:rPr>
                <w:sz w:val="13"/>
              </w:rPr>
            </w:pPr>
            <w:r>
              <w:rPr>
                <w:w w:val="103"/>
                <w:sz w:val="13"/>
              </w:rPr>
              <w:t>-</w:t>
            </w:r>
          </w:p>
        </w:tc>
        <w:tc>
          <w:tcPr>
            <w:tcW w:w="878" w:type="dxa"/>
          </w:tcPr>
          <w:p>
            <w:pPr>
              <w:pStyle w:val="TableParagraph"/>
              <w:spacing w:line="158" w:lineRule="exact" w:before="4"/>
              <w:ind w:right="95"/>
              <w:jc w:val="right"/>
              <w:rPr>
                <w:sz w:val="13"/>
              </w:rPr>
            </w:pPr>
            <w:r>
              <w:rPr>
                <w:w w:val="103"/>
                <w:sz w:val="13"/>
              </w:rPr>
              <w:t>-</w:t>
            </w:r>
          </w:p>
        </w:tc>
        <w:tc>
          <w:tcPr>
            <w:tcW w:w="717" w:type="dxa"/>
            <w:tcBorders>
              <w:right w:val="single" w:sz="4" w:space="0" w:color="000000"/>
            </w:tcBorders>
          </w:tcPr>
          <w:p>
            <w:pPr>
              <w:pStyle w:val="TableParagraph"/>
              <w:spacing w:line="158" w:lineRule="exact" w:before="4"/>
              <w:ind w:left="175" w:right="154"/>
              <w:jc w:val="center"/>
              <w:rPr>
                <w:b/>
                <w:sz w:val="13"/>
              </w:rPr>
            </w:pPr>
            <w:r>
              <w:rPr>
                <w:b/>
                <w:w w:val="105"/>
                <w:sz w:val="13"/>
              </w:rPr>
              <w:t>0,0%</w:t>
            </w:r>
          </w:p>
        </w:tc>
      </w:tr>
      <w:tr>
        <w:trPr>
          <w:trHeight w:val="191" w:hRule="atLeast"/>
        </w:trPr>
        <w:tc>
          <w:tcPr>
            <w:tcW w:w="921" w:type="dxa"/>
            <w:tcBorders>
              <w:left w:val="single" w:sz="4" w:space="0" w:color="000000"/>
            </w:tcBorders>
            <w:shd w:val="clear" w:color="auto" w:fill="D9D9D9"/>
          </w:tcPr>
          <w:p>
            <w:pPr>
              <w:pStyle w:val="TableParagraph"/>
              <w:spacing w:line="158" w:lineRule="exact" w:before="13"/>
              <w:ind w:left="240"/>
              <w:rPr>
                <w:b/>
                <w:sz w:val="13"/>
              </w:rPr>
            </w:pPr>
            <w:r>
              <w:rPr>
                <w:b/>
                <w:w w:val="105"/>
                <w:sz w:val="13"/>
              </w:rPr>
              <w:t>TOTAL</w:t>
            </w:r>
          </w:p>
        </w:tc>
        <w:tc>
          <w:tcPr>
            <w:tcW w:w="1170" w:type="dxa"/>
            <w:shd w:val="clear" w:color="auto" w:fill="D9D9D9"/>
          </w:tcPr>
          <w:p>
            <w:pPr>
              <w:pStyle w:val="TableParagraph"/>
              <w:spacing w:line="158" w:lineRule="exact" w:before="13"/>
              <w:ind w:right="281"/>
              <w:jc w:val="right"/>
              <w:rPr>
                <w:b/>
                <w:sz w:val="13"/>
              </w:rPr>
            </w:pPr>
            <w:r>
              <w:rPr>
                <w:b/>
                <w:w w:val="105"/>
                <w:sz w:val="13"/>
              </w:rPr>
              <w:t>18.383,51</w:t>
            </w:r>
          </w:p>
        </w:tc>
        <w:tc>
          <w:tcPr>
            <w:tcW w:w="1182" w:type="dxa"/>
            <w:shd w:val="clear" w:color="auto" w:fill="D9D9D9"/>
          </w:tcPr>
          <w:p>
            <w:pPr>
              <w:pStyle w:val="TableParagraph"/>
              <w:spacing w:line="158" w:lineRule="exact" w:before="13"/>
              <w:ind w:right="374"/>
              <w:jc w:val="right"/>
              <w:rPr>
                <w:b/>
                <w:sz w:val="13"/>
              </w:rPr>
            </w:pPr>
            <w:r>
              <w:rPr>
                <w:b/>
                <w:w w:val="105"/>
                <w:sz w:val="13"/>
              </w:rPr>
              <w:t>19.467,14</w:t>
            </w:r>
          </w:p>
        </w:tc>
        <w:tc>
          <w:tcPr>
            <w:tcW w:w="1196" w:type="dxa"/>
            <w:shd w:val="clear" w:color="auto" w:fill="D9D9D9"/>
          </w:tcPr>
          <w:p>
            <w:pPr>
              <w:pStyle w:val="TableParagraph"/>
              <w:spacing w:line="158" w:lineRule="exact" w:before="13"/>
              <w:ind w:left="366"/>
              <w:rPr>
                <w:b/>
                <w:sz w:val="13"/>
              </w:rPr>
            </w:pPr>
            <w:r>
              <w:rPr>
                <w:b/>
                <w:w w:val="105"/>
                <w:sz w:val="13"/>
              </w:rPr>
              <w:t>17.048,23</w:t>
            </w:r>
          </w:p>
        </w:tc>
        <w:tc>
          <w:tcPr>
            <w:tcW w:w="878" w:type="dxa"/>
            <w:shd w:val="clear" w:color="auto" w:fill="D9D9D9"/>
          </w:tcPr>
          <w:p>
            <w:pPr>
              <w:pStyle w:val="TableParagraph"/>
              <w:spacing w:line="158" w:lineRule="exact" w:before="13"/>
              <w:ind w:right="68"/>
              <w:jc w:val="right"/>
              <w:rPr>
                <w:b/>
                <w:sz w:val="13"/>
              </w:rPr>
            </w:pPr>
            <w:r>
              <w:rPr>
                <w:b/>
                <w:w w:val="105"/>
                <w:sz w:val="13"/>
              </w:rPr>
              <w:t>54.898,88</w:t>
            </w:r>
          </w:p>
        </w:tc>
        <w:tc>
          <w:tcPr>
            <w:tcW w:w="717" w:type="dxa"/>
            <w:tcBorders>
              <w:right w:val="single" w:sz="4" w:space="0" w:color="000000"/>
            </w:tcBorders>
            <w:shd w:val="clear" w:color="auto" w:fill="D9D9D9"/>
          </w:tcPr>
          <w:p>
            <w:pPr>
              <w:pStyle w:val="TableParagraph"/>
              <w:rPr>
                <w:rFonts w:ascii="Times New Roman"/>
                <w:sz w:val="12"/>
              </w:rPr>
            </w:pPr>
          </w:p>
        </w:tc>
      </w:tr>
      <w:tr>
        <w:trPr>
          <w:trHeight w:val="188" w:hRule="atLeast"/>
        </w:trPr>
        <w:tc>
          <w:tcPr>
            <w:tcW w:w="921" w:type="dxa"/>
            <w:tcBorders>
              <w:left w:val="single" w:sz="4" w:space="0" w:color="000000"/>
              <w:bottom w:val="single" w:sz="4" w:space="0" w:color="000000"/>
            </w:tcBorders>
            <w:shd w:val="clear" w:color="auto" w:fill="D9D9D9"/>
          </w:tcPr>
          <w:p>
            <w:pPr>
              <w:pStyle w:val="TableParagraph"/>
              <w:spacing w:line="155" w:lineRule="exact" w:before="13"/>
              <w:ind w:right="88"/>
              <w:jc w:val="center"/>
              <w:rPr>
                <w:b/>
                <w:sz w:val="13"/>
              </w:rPr>
            </w:pPr>
            <w:r>
              <w:rPr>
                <w:b/>
                <w:w w:val="103"/>
                <w:sz w:val="13"/>
              </w:rPr>
              <w:t>%</w:t>
            </w:r>
          </w:p>
        </w:tc>
        <w:tc>
          <w:tcPr>
            <w:tcW w:w="1170" w:type="dxa"/>
            <w:tcBorders>
              <w:bottom w:val="single" w:sz="4" w:space="0" w:color="000000"/>
            </w:tcBorders>
            <w:shd w:val="clear" w:color="auto" w:fill="D9D9D9"/>
          </w:tcPr>
          <w:p>
            <w:pPr>
              <w:pStyle w:val="TableParagraph"/>
              <w:spacing w:line="155" w:lineRule="exact" w:before="13"/>
              <w:ind w:right="243"/>
              <w:jc w:val="right"/>
              <w:rPr>
                <w:b/>
                <w:sz w:val="13"/>
              </w:rPr>
            </w:pPr>
            <w:r>
              <w:rPr>
                <w:b/>
                <w:w w:val="105"/>
                <w:sz w:val="13"/>
              </w:rPr>
              <w:t>33,5%</w:t>
            </w:r>
          </w:p>
        </w:tc>
        <w:tc>
          <w:tcPr>
            <w:tcW w:w="1182" w:type="dxa"/>
            <w:tcBorders>
              <w:bottom w:val="single" w:sz="4" w:space="0" w:color="000000"/>
            </w:tcBorders>
            <w:shd w:val="clear" w:color="auto" w:fill="D9D9D9"/>
          </w:tcPr>
          <w:p>
            <w:pPr>
              <w:pStyle w:val="TableParagraph"/>
              <w:spacing w:line="155" w:lineRule="exact" w:before="13"/>
              <w:ind w:right="352"/>
              <w:jc w:val="right"/>
              <w:rPr>
                <w:b/>
                <w:sz w:val="13"/>
              </w:rPr>
            </w:pPr>
            <w:r>
              <w:rPr>
                <w:b/>
                <w:w w:val="105"/>
                <w:sz w:val="13"/>
              </w:rPr>
              <w:t>35,5%</w:t>
            </w:r>
          </w:p>
        </w:tc>
        <w:tc>
          <w:tcPr>
            <w:tcW w:w="1196" w:type="dxa"/>
            <w:tcBorders>
              <w:bottom w:val="single" w:sz="4" w:space="0" w:color="000000"/>
            </w:tcBorders>
            <w:shd w:val="clear" w:color="auto" w:fill="D9D9D9"/>
          </w:tcPr>
          <w:p>
            <w:pPr>
              <w:pStyle w:val="TableParagraph"/>
              <w:spacing w:line="155" w:lineRule="exact" w:before="13"/>
              <w:ind w:right="240"/>
              <w:jc w:val="right"/>
              <w:rPr>
                <w:b/>
                <w:sz w:val="13"/>
              </w:rPr>
            </w:pPr>
            <w:r>
              <w:rPr>
                <w:b/>
                <w:w w:val="105"/>
                <w:sz w:val="13"/>
              </w:rPr>
              <w:t>31,1%</w:t>
            </w:r>
          </w:p>
        </w:tc>
        <w:tc>
          <w:tcPr>
            <w:tcW w:w="878" w:type="dxa"/>
            <w:tcBorders>
              <w:bottom w:val="single" w:sz="4" w:space="0" w:color="000000"/>
            </w:tcBorders>
            <w:shd w:val="clear" w:color="auto" w:fill="D9D9D9"/>
          </w:tcPr>
          <w:p>
            <w:pPr>
              <w:pStyle w:val="TableParagraph"/>
              <w:rPr>
                <w:rFonts w:ascii="Times New Roman"/>
                <w:sz w:val="12"/>
              </w:rPr>
            </w:pPr>
          </w:p>
        </w:tc>
        <w:tc>
          <w:tcPr>
            <w:tcW w:w="717" w:type="dxa"/>
            <w:tcBorders>
              <w:bottom w:val="single" w:sz="4" w:space="0" w:color="000000"/>
              <w:right w:val="single" w:sz="4" w:space="0" w:color="000000"/>
            </w:tcBorders>
          </w:tcPr>
          <w:p>
            <w:pPr>
              <w:pStyle w:val="TableParagraph"/>
              <w:rPr>
                <w:rFonts w:ascii="Times New Roman"/>
                <w:sz w:val="12"/>
              </w:rPr>
            </w:pPr>
          </w:p>
        </w:tc>
      </w:tr>
    </w:tbl>
    <w:p>
      <w:pPr>
        <w:pStyle w:val="BodyText"/>
      </w:pPr>
    </w:p>
    <w:p>
      <w:pPr>
        <w:pStyle w:val="BodyText"/>
      </w:pPr>
    </w:p>
    <w:p>
      <w:pPr>
        <w:pStyle w:val="BodyText"/>
      </w:pPr>
    </w:p>
    <w:p>
      <w:pPr>
        <w:pStyle w:val="BodyText"/>
      </w:pPr>
    </w:p>
    <w:p>
      <w:pPr>
        <w:pStyle w:val="BodyText"/>
        <w:spacing w:before="9"/>
        <w:rPr>
          <w:sz w:val="25"/>
        </w:rPr>
      </w:pPr>
    </w:p>
    <w:p>
      <w:pPr>
        <w:pStyle w:val="BodyText"/>
        <w:spacing w:before="61"/>
        <w:ind w:left="7897"/>
        <w:jc w:val="center"/>
      </w:pPr>
      <w:r>
        <w:rPr/>
        <w:t>88</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87" name="image5.png"/>
                  <wp:cNvGraphicFramePr>
                    <a:graphicFrameLocks noChangeAspect="1"/>
                  </wp:cNvGraphicFramePr>
                  <a:graphic>
                    <a:graphicData uri="http://schemas.openxmlformats.org/drawingml/2006/picture">
                      <pic:pic>
                        <pic:nvPicPr>
                          <pic:cNvPr id="18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90/247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1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6"/>
        <w:gridCol w:w="1057"/>
        <w:gridCol w:w="1094"/>
        <w:gridCol w:w="1359"/>
        <w:gridCol w:w="1140"/>
        <w:gridCol w:w="913"/>
        <w:gridCol w:w="1077"/>
      </w:tblGrid>
      <w:tr>
        <w:trPr>
          <w:trHeight w:val="601" w:hRule="atLeast"/>
        </w:trPr>
        <w:tc>
          <w:tcPr>
            <w:tcW w:w="806" w:type="dxa"/>
            <w:tcBorders>
              <w:top w:val="single" w:sz="4" w:space="0" w:color="000000"/>
              <w:left w:val="single" w:sz="4" w:space="0" w:color="000000"/>
            </w:tcBorders>
            <w:shd w:val="clear" w:color="auto" w:fill="DEEAF6"/>
          </w:tcPr>
          <w:p>
            <w:pPr>
              <w:pStyle w:val="TableParagraph"/>
              <w:spacing w:before="10"/>
              <w:rPr>
                <w:b/>
                <w:sz w:val="17"/>
              </w:rPr>
            </w:pPr>
          </w:p>
          <w:p>
            <w:pPr>
              <w:pStyle w:val="TableParagraph"/>
              <w:ind w:left="136"/>
              <w:rPr>
                <w:b/>
                <w:sz w:val="13"/>
              </w:rPr>
            </w:pPr>
            <w:r>
              <w:rPr>
                <w:b/>
                <w:w w:val="105"/>
                <w:sz w:val="13"/>
              </w:rPr>
              <w:t>Entidades</w:t>
            </w:r>
          </w:p>
        </w:tc>
        <w:tc>
          <w:tcPr>
            <w:tcW w:w="1057" w:type="dxa"/>
            <w:tcBorders>
              <w:top w:val="single" w:sz="4" w:space="0" w:color="000000"/>
            </w:tcBorders>
            <w:shd w:val="clear" w:color="auto" w:fill="DEEAF6"/>
          </w:tcPr>
          <w:p>
            <w:pPr>
              <w:pStyle w:val="TableParagraph"/>
              <w:spacing w:before="9"/>
              <w:rPr>
                <w:b/>
                <w:sz w:val="10"/>
              </w:rPr>
            </w:pPr>
          </w:p>
          <w:p>
            <w:pPr>
              <w:pStyle w:val="TableParagraph"/>
              <w:spacing w:line="261" w:lineRule="auto"/>
              <w:ind w:left="324" w:hanging="200"/>
              <w:rPr>
                <w:b/>
                <w:sz w:val="13"/>
              </w:rPr>
            </w:pPr>
            <w:r>
              <w:rPr>
                <w:b/>
                <w:sz w:val="13"/>
              </w:rPr>
              <w:t>Procedimiento </w:t>
            </w:r>
            <w:r>
              <w:rPr>
                <w:b/>
                <w:w w:val="105"/>
                <w:sz w:val="13"/>
              </w:rPr>
              <w:t>Abierto</w:t>
            </w:r>
          </w:p>
        </w:tc>
        <w:tc>
          <w:tcPr>
            <w:tcW w:w="1094" w:type="dxa"/>
            <w:tcBorders>
              <w:top w:val="single" w:sz="4" w:space="0" w:color="000000"/>
            </w:tcBorders>
            <w:shd w:val="clear" w:color="auto" w:fill="DEEAF6"/>
          </w:tcPr>
          <w:p>
            <w:pPr>
              <w:pStyle w:val="TableParagraph"/>
              <w:spacing w:before="9"/>
              <w:rPr>
                <w:b/>
                <w:sz w:val="10"/>
              </w:rPr>
            </w:pPr>
          </w:p>
          <w:p>
            <w:pPr>
              <w:pStyle w:val="TableParagraph"/>
              <w:spacing w:line="261" w:lineRule="auto"/>
              <w:ind w:left="188" w:hanging="115"/>
              <w:rPr>
                <w:b/>
                <w:sz w:val="13"/>
              </w:rPr>
            </w:pPr>
            <w:r>
              <w:rPr>
                <w:b/>
                <w:sz w:val="13"/>
              </w:rPr>
              <w:t>Procedimiento </w:t>
            </w:r>
            <w:r>
              <w:rPr>
                <w:b/>
                <w:w w:val="105"/>
                <w:sz w:val="13"/>
              </w:rPr>
              <w:t>Negociado</w:t>
            </w:r>
          </w:p>
        </w:tc>
        <w:tc>
          <w:tcPr>
            <w:tcW w:w="2499" w:type="dxa"/>
            <w:gridSpan w:val="2"/>
            <w:tcBorders>
              <w:top w:val="single" w:sz="4" w:space="0" w:color="000000"/>
            </w:tcBorders>
            <w:shd w:val="clear" w:color="auto" w:fill="DEEAF6"/>
          </w:tcPr>
          <w:p>
            <w:pPr>
              <w:pStyle w:val="TableParagraph"/>
              <w:spacing w:before="42"/>
              <w:ind w:left="535"/>
              <w:rPr>
                <w:b/>
                <w:sz w:val="13"/>
              </w:rPr>
            </w:pPr>
            <w:r>
              <w:rPr>
                <w:b/>
                <w:w w:val="105"/>
                <w:sz w:val="13"/>
              </w:rPr>
              <w:t>Adjudicación Directa</w:t>
            </w:r>
          </w:p>
          <w:p>
            <w:pPr>
              <w:pStyle w:val="TableParagraph"/>
              <w:tabs>
                <w:tab w:pos="1402" w:val="left" w:leader="none"/>
              </w:tabs>
              <w:spacing w:before="55"/>
              <w:ind w:left="177"/>
              <w:rPr>
                <w:b/>
                <w:sz w:val="13"/>
              </w:rPr>
            </w:pPr>
            <w:r>
              <w:rPr>
                <w:b/>
                <w:w w:val="105"/>
                <w:sz w:val="13"/>
              </w:rPr>
              <w:t>Contratos</w:t>
              <w:tab/>
              <w:t>Contratos</w:t>
            </w:r>
          </w:p>
          <w:p>
            <w:pPr>
              <w:pStyle w:val="TableParagraph"/>
              <w:tabs>
                <w:tab w:pos="1349" w:val="left" w:leader="none"/>
              </w:tabs>
              <w:spacing w:line="150" w:lineRule="exact" w:before="17"/>
              <w:ind w:left="203"/>
              <w:rPr>
                <w:b/>
                <w:sz w:val="13"/>
              </w:rPr>
            </w:pPr>
            <w:r>
              <w:rPr>
                <w:b/>
                <w:w w:val="105"/>
                <w:sz w:val="13"/>
              </w:rPr>
              <w:t>menores</w:t>
              <w:tab/>
              <w:t>Emergencia</w:t>
            </w:r>
          </w:p>
        </w:tc>
        <w:tc>
          <w:tcPr>
            <w:tcW w:w="913" w:type="dxa"/>
            <w:tcBorders>
              <w:top w:val="single" w:sz="4" w:space="0" w:color="000000"/>
            </w:tcBorders>
            <w:shd w:val="clear" w:color="auto" w:fill="DEEAF6"/>
          </w:tcPr>
          <w:p>
            <w:pPr>
              <w:pStyle w:val="TableParagraph"/>
              <w:spacing w:before="10"/>
              <w:rPr>
                <w:b/>
                <w:sz w:val="17"/>
              </w:rPr>
            </w:pPr>
          </w:p>
          <w:p>
            <w:pPr>
              <w:pStyle w:val="TableParagraph"/>
              <w:ind w:left="219"/>
              <w:rPr>
                <w:b/>
                <w:sz w:val="13"/>
              </w:rPr>
            </w:pPr>
            <w:r>
              <w:rPr>
                <w:b/>
                <w:w w:val="105"/>
                <w:sz w:val="13"/>
              </w:rPr>
              <w:t>Otros</w:t>
            </w:r>
          </w:p>
        </w:tc>
        <w:tc>
          <w:tcPr>
            <w:tcW w:w="1077" w:type="dxa"/>
            <w:tcBorders>
              <w:top w:val="single" w:sz="4" w:space="0" w:color="000000"/>
              <w:right w:val="single" w:sz="4" w:space="0" w:color="000000"/>
            </w:tcBorders>
            <w:shd w:val="clear" w:color="auto" w:fill="DEEAF6"/>
          </w:tcPr>
          <w:p>
            <w:pPr>
              <w:pStyle w:val="TableParagraph"/>
              <w:spacing w:before="10"/>
              <w:rPr>
                <w:b/>
                <w:sz w:val="17"/>
              </w:rPr>
            </w:pPr>
          </w:p>
          <w:p>
            <w:pPr>
              <w:pStyle w:val="TableParagraph"/>
              <w:ind w:left="134" w:right="126"/>
              <w:jc w:val="center"/>
              <w:rPr>
                <w:b/>
                <w:sz w:val="13"/>
              </w:rPr>
            </w:pPr>
            <w:r>
              <w:rPr>
                <w:b/>
                <w:w w:val="105"/>
                <w:sz w:val="13"/>
              </w:rPr>
              <w:t>TOTAL</w:t>
            </w:r>
          </w:p>
        </w:tc>
      </w:tr>
      <w:tr>
        <w:trPr>
          <w:trHeight w:val="182" w:hRule="atLeast"/>
        </w:trPr>
        <w:tc>
          <w:tcPr>
            <w:tcW w:w="806" w:type="dxa"/>
            <w:tcBorders>
              <w:left w:val="single" w:sz="4" w:space="0" w:color="000000"/>
            </w:tcBorders>
          </w:tcPr>
          <w:p>
            <w:pPr>
              <w:pStyle w:val="TableParagraph"/>
              <w:spacing w:line="158" w:lineRule="exact" w:before="5"/>
              <w:ind w:left="113"/>
              <w:rPr>
                <w:sz w:val="13"/>
              </w:rPr>
            </w:pPr>
            <w:r>
              <w:rPr>
                <w:w w:val="105"/>
                <w:sz w:val="13"/>
              </w:rPr>
              <w:t>ICAP</w:t>
            </w:r>
          </w:p>
        </w:tc>
        <w:tc>
          <w:tcPr>
            <w:tcW w:w="1057" w:type="dxa"/>
          </w:tcPr>
          <w:p>
            <w:pPr>
              <w:pStyle w:val="TableParagraph"/>
              <w:spacing w:line="158" w:lineRule="exact" w:before="5"/>
              <w:ind w:right="91"/>
              <w:jc w:val="right"/>
              <w:rPr>
                <w:sz w:val="13"/>
              </w:rPr>
            </w:pPr>
            <w:r>
              <w:rPr>
                <w:sz w:val="13"/>
              </w:rPr>
              <w:t>122,02</w:t>
            </w:r>
          </w:p>
        </w:tc>
        <w:tc>
          <w:tcPr>
            <w:tcW w:w="1094" w:type="dxa"/>
          </w:tcPr>
          <w:p>
            <w:pPr>
              <w:pStyle w:val="TableParagraph"/>
              <w:spacing w:line="158" w:lineRule="exact" w:before="5"/>
              <w:ind w:right="186"/>
              <w:jc w:val="right"/>
              <w:rPr>
                <w:sz w:val="13"/>
              </w:rPr>
            </w:pPr>
            <w:r>
              <w:rPr>
                <w:sz w:val="13"/>
              </w:rPr>
              <w:t>7,22</w:t>
            </w:r>
          </w:p>
        </w:tc>
        <w:tc>
          <w:tcPr>
            <w:tcW w:w="1359" w:type="dxa"/>
          </w:tcPr>
          <w:p>
            <w:pPr>
              <w:pStyle w:val="TableParagraph"/>
              <w:spacing w:line="158" w:lineRule="exact" w:before="5"/>
              <w:ind w:right="418"/>
              <w:jc w:val="right"/>
              <w:rPr>
                <w:sz w:val="13"/>
              </w:rPr>
            </w:pPr>
            <w:r>
              <w:rPr>
                <w:sz w:val="13"/>
              </w:rPr>
              <w:t>496,82</w:t>
            </w:r>
          </w:p>
        </w:tc>
        <w:tc>
          <w:tcPr>
            <w:tcW w:w="1140" w:type="dxa"/>
          </w:tcPr>
          <w:p>
            <w:pPr>
              <w:pStyle w:val="TableParagraph"/>
              <w:spacing w:line="158" w:lineRule="exact" w:before="5"/>
              <w:ind w:right="287"/>
              <w:jc w:val="right"/>
              <w:rPr>
                <w:sz w:val="13"/>
              </w:rPr>
            </w:pPr>
            <w:r>
              <w:rPr>
                <w:w w:val="103"/>
                <w:sz w:val="13"/>
              </w:rPr>
              <w:t>-</w:t>
            </w:r>
          </w:p>
        </w:tc>
        <w:tc>
          <w:tcPr>
            <w:tcW w:w="913" w:type="dxa"/>
          </w:tcPr>
          <w:p>
            <w:pPr>
              <w:pStyle w:val="TableParagraph"/>
              <w:spacing w:line="158" w:lineRule="exact" w:before="5"/>
              <w:ind w:right="105"/>
              <w:jc w:val="right"/>
              <w:rPr>
                <w:sz w:val="13"/>
              </w:rPr>
            </w:pPr>
            <w:r>
              <w:rPr>
                <w:w w:val="103"/>
                <w:sz w:val="13"/>
              </w:rPr>
              <w:t>-</w:t>
            </w:r>
          </w:p>
        </w:tc>
        <w:tc>
          <w:tcPr>
            <w:tcW w:w="1077" w:type="dxa"/>
            <w:tcBorders>
              <w:right w:val="single" w:sz="4" w:space="0" w:color="000000"/>
            </w:tcBorders>
          </w:tcPr>
          <w:p>
            <w:pPr>
              <w:pStyle w:val="TableParagraph"/>
              <w:spacing w:line="158" w:lineRule="exact" w:before="5"/>
              <w:ind w:right="88"/>
              <w:jc w:val="right"/>
              <w:rPr>
                <w:b/>
                <w:sz w:val="13"/>
              </w:rPr>
            </w:pPr>
            <w:r>
              <w:rPr>
                <w:b/>
                <w:sz w:val="13"/>
              </w:rPr>
              <w:t>626,06</w:t>
            </w:r>
          </w:p>
        </w:tc>
      </w:tr>
      <w:tr>
        <w:trPr>
          <w:trHeight w:val="174" w:hRule="atLeast"/>
        </w:trPr>
        <w:tc>
          <w:tcPr>
            <w:tcW w:w="806" w:type="dxa"/>
            <w:tcBorders>
              <w:left w:val="single" w:sz="4" w:space="0" w:color="000000"/>
            </w:tcBorders>
          </w:tcPr>
          <w:p>
            <w:pPr>
              <w:pStyle w:val="TableParagraph"/>
              <w:spacing w:line="154" w:lineRule="exact"/>
              <w:ind w:left="113"/>
              <w:rPr>
                <w:sz w:val="13"/>
              </w:rPr>
            </w:pPr>
            <w:r>
              <w:rPr>
                <w:w w:val="105"/>
                <w:sz w:val="13"/>
              </w:rPr>
              <w:t>ISTAC</w:t>
            </w:r>
          </w:p>
        </w:tc>
        <w:tc>
          <w:tcPr>
            <w:tcW w:w="1057" w:type="dxa"/>
          </w:tcPr>
          <w:p>
            <w:pPr>
              <w:pStyle w:val="TableParagraph"/>
              <w:spacing w:line="154" w:lineRule="exact"/>
              <w:ind w:right="85"/>
              <w:jc w:val="right"/>
              <w:rPr>
                <w:sz w:val="13"/>
              </w:rPr>
            </w:pPr>
            <w:r>
              <w:rPr>
                <w:sz w:val="13"/>
              </w:rPr>
              <w:t>2.267,21</w:t>
            </w:r>
          </w:p>
        </w:tc>
        <w:tc>
          <w:tcPr>
            <w:tcW w:w="1094" w:type="dxa"/>
          </w:tcPr>
          <w:p>
            <w:pPr>
              <w:pStyle w:val="TableParagraph"/>
              <w:spacing w:line="154" w:lineRule="exact"/>
              <w:ind w:right="210"/>
              <w:jc w:val="right"/>
              <w:rPr>
                <w:sz w:val="13"/>
              </w:rPr>
            </w:pPr>
            <w:r>
              <w:rPr>
                <w:w w:val="103"/>
                <w:sz w:val="13"/>
              </w:rPr>
              <w:t>-</w:t>
            </w:r>
          </w:p>
        </w:tc>
        <w:tc>
          <w:tcPr>
            <w:tcW w:w="1359" w:type="dxa"/>
          </w:tcPr>
          <w:p>
            <w:pPr>
              <w:pStyle w:val="TableParagraph"/>
              <w:spacing w:line="154" w:lineRule="exact"/>
              <w:ind w:right="418"/>
              <w:jc w:val="right"/>
              <w:rPr>
                <w:sz w:val="13"/>
              </w:rPr>
            </w:pPr>
            <w:r>
              <w:rPr>
                <w:sz w:val="13"/>
              </w:rPr>
              <w:t>329,32</w:t>
            </w:r>
          </w:p>
        </w:tc>
        <w:tc>
          <w:tcPr>
            <w:tcW w:w="1140" w:type="dxa"/>
          </w:tcPr>
          <w:p>
            <w:pPr>
              <w:pStyle w:val="TableParagraph"/>
              <w:spacing w:line="154" w:lineRule="exact"/>
              <w:ind w:right="287"/>
              <w:jc w:val="right"/>
              <w:rPr>
                <w:sz w:val="13"/>
              </w:rPr>
            </w:pPr>
            <w:r>
              <w:rPr>
                <w:w w:val="103"/>
                <w:sz w:val="13"/>
              </w:rPr>
              <w:t>-</w:t>
            </w:r>
          </w:p>
        </w:tc>
        <w:tc>
          <w:tcPr>
            <w:tcW w:w="913" w:type="dxa"/>
          </w:tcPr>
          <w:p>
            <w:pPr>
              <w:pStyle w:val="TableParagraph"/>
              <w:spacing w:line="154" w:lineRule="exact"/>
              <w:ind w:right="83"/>
              <w:jc w:val="right"/>
              <w:rPr>
                <w:sz w:val="13"/>
              </w:rPr>
            </w:pPr>
            <w:r>
              <w:rPr>
                <w:sz w:val="13"/>
              </w:rPr>
              <w:t>1,89</w:t>
            </w:r>
          </w:p>
        </w:tc>
        <w:tc>
          <w:tcPr>
            <w:tcW w:w="1077" w:type="dxa"/>
            <w:tcBorders>
              <w:right w:val="single" w:sz="4" w:space="0" w:color="000000"/>
            </w:tcBorders>
          </w:tcPr>
          <w:p>
            <w:pPr>
              <w:pStyle w:val="TableParagraph"/>
              <w:spacing w:line="154" w:lineRule="exact"/>
              <w:ind w:right="104"/>
              <w:jc w:val="right"/>
              <w:rPr>
                <w:b/>
                <w:sz w:val="13"/>
              </w:rPr>
            </w:pPr>
            <w:r>
              <w:rPr>
                <w:b/>
                <w:w w:val="105"/>
                <w:sz w:val="13"/>
              </w:rPr>
              <w:t>2.598,42</w:t>
            </w:r>
          </w:p>
        </w:tc>
      </w:tr>
      <w:tr>
        <w:trPr>
          <w:trHeight w:val="174" w:hRule="atLeast"/>
        </w:trPr>
        <w:tc>
          <w:tcPr>
            <w:tcW w:w="806" w:type="dxa"/>
            <w:tcBorders>
              <w:left w:val="single" w:sz="4" w:space="0" w:color="000000"/>
            </w:tcBorders>
          </w:tcPr>
          <w:p>
            <w:pPr>
              <w:pStyle w:val="TableParagraph"/>
              <w:spacing w:line="154" w:lineRule="exact"/>
              <w:ind w:left="113"/>
              <w:rPr>
                <w:sz w:val="13"/>
              </w:rPr>
            </w:pPr>
            <w:r>
              <w:rPr>
                <w:w w:val="105"/>
                <w:sz w:val="13"/>
              </w:rPr>
              <w:t>SCE</w:t>
            </w:r>
          </w:p>
        </w:tc>
        <w:tc>
          <w:tcPr>
            <w:tcW w:w="1057" w:type="dxa"/>
          </w:tcPr>
          <w:p>
            <w:pPr>
              <w:pStyle w:val="TableParagraph"/>
              <w:spacing w:line="154" w:lineRule="exact"/>
              <w:ind w:right="85"/>
              <w:jc w:val="right"/>
              <w:rPr>
                <w:sz w:val="13"/>
              </w:rPr>
            </w:pPr>
            <w:r>
              <w:rPr>
                <w:sz w:val="13"/>
              </w:rPr>
              <w:t>8.787,26</w:t>
            </w:r>
          </w:p>
        </w:tc>
        <w:tc>
          <w:tcPr>
            <w:tcW w:w="1094" w:type="dxa"/>
          </w:tcPr>
          <w:p>
            <w:pPr>
              <w:pStyle w:val="TableParagraph"/>
              <w:spacing w:line="154" w:lineRule="exact"/>
              <w:ind w:right="194"/>
              <w:jc w:val="right"/>
              <w:rPr>
                <w:sz w:val="13"/>
              </w:rPr>
            </w:pPr>
            <w:r>
              <w:rPr>
                <w:sz w:val="13"/>
              </w:rPr>
              <w:t>659,70</w:t>
            </w:r>
          </w:p>
        </w:tc>
        <w:tc>
          <w:tcPr>
            <w:tcW w:w="1359" w:type="dxa"/>
          </w:tcPr>
          <w:p>
            <w:pPr>
              <w:pStyle w:val="TableParagraph"/>
              <w:spacing w:line="154" w:lineRule="exact"/>
              <w:ind w:right="426"/>
              <w:jc w:val="right"/>
              <w:rPr>
                <w:sz w:val="13"/>
              </w:rPr>
            </w:pPr>
            <w:r>
              <w:rPr>
                <w:sz w:val="13"/>
              </w:rPr>
              <w:t>1.202,20</w:t>
            </w:r>
          </w:p>
        </w:tc>
        <w:tc>
          <w:tcPr>
            <w:tcW w:w="1140" w:type="dxa"/>
          </w:tcPr>
          <w:p>
            <w:pPr>
              <w:pStyle w:val="TableParagraph"/>
              <w:spacing w:line="154" w:lineRule="exact"/>
              <w:ind w:left="504"/>
              <w:rPr>
                <w:sz w:val="13"/>
              </w:rPr>
            </w:pPr>
            <w:r>
              <w:rPr>
                <w:w w:val="105"/>
                <w:sz w:val="13"/>
              </w:rPr>
              <w:t>530,51</w:t>
            </w:r>
          </w:p>
        </w:tc>
        <w:tc>
          <w:tcPr>
            <w:tcW w:w="913" w:type="dxa"/>
          </w:tcPr>
          <w:p>
            <w:pPr>
              <w:pStyle w:val="TableParagraph"/>
              <w:spacing w:line="154" w:lineRule="exact"/>
              <w:ind w:right="75"/>
              <w:jc w:val="right"/>
              <w:rPr>
                <w:sz w:val="13"/>
              </w:rPr>
            </w:pPr>
            <w:r>
              <w:rPr>
                <w:sz w:val="13"/>
              </w:rPr>
              <w:t>136,85</w:t>
            </w:r>
          </w:p>
        </w:tc>
        <w:tc>
          <w:tcPr>
            <w:tcW w:w="1077" w:type="dxa"/>
            <w:tcBorders>
              <w:right w:val="single" w:sz="4" w:space="0" w:color="000000"/>
            </w:tcBorders>
          </w:tcPr>
          <w:p>
            <w:pPr>
              <w:pStyle w:val="TableParagraph"/>
              <w:spacing w:line="154" w:lineRule="exact"/>
              <w:ind w:right="96"/>
              <w:jc w:val="right"/>
              <w:rPr>
                <w:b/>
                <w:sz w:val="13"/>
              </w:rPr>
            </w:pPr>
            <w:r>
              <w:rPr>
                <w:b/>
                <w:w w:val="105"/>
                <w:sz w:val="13"/>
              </w:rPr>
              <w:t>11.316,52</w:t>
            </w:r>
          </w:p>
        </w:tc>
      </w:tr>
      <w:tr>
        <w:trPr>
          <w:trHeight w:val="175" w:hRule="atLeast"/>
        </w:trPr>
        <w:tc>
          <w:tcPr>
            <w:tcW w:w="806" w:type="dxa"/>
            <w:tcBorders>
              <w:left w:val="single" w:sz="4" w:space="0" w:color="000000"/>
            </w:tcBorders>
          </w:tcPr>
          <w:p>
            <w:pPr>
              <w:pStyle w:val="TableParagraph"/>
              <w:spacing w:line="155" w:lineRule="exact"/>
              <w:ind w:left="113"/>
              <w:rPr>
                <w:sz w:val="13"/>
              </w:rPr>
            </w:pPr>
            <w:r>
              <w:rPr>
                <w:w w:val="105"/>
                <w:sz w:val="13"/>
              </w:rPr>
              <w:t>ICI</w:t>
            </w:r>
          </w:p>
        </w:tc>
        <w:tc>
          <w:tcPr>
            <w:tcW w:w="1057" w:type="dxa"/>
          </w:tcPr>
          <w:p>
            <w:pPr>
              <w:pStyle w:val="TableParagraph"/>
              <w:spacing w:line="155" w:lineRule="exact"/>
              <w:ind w:right="122"/>
              <w:jc w:val="right"/>
              <w:rPr>
                <w:sz w:val="13"/>
              </w:rPr>
            </w:pPr>
            <w:r>
              <w:rPr>
                <w:w w:val="103"/>
                <w:sz w:val="13"/>
              </w:rPr>
              <w:t>-</w:t>
            </w:r>
          </w:p>
        </w:tc>
        <w:tc>
          <w:tcPr>
            <w:tcW w:w="1094" w:type="dxa"/>
          </w:tcPr>
          <w:p>
            <w:pPr>
              <w:pStyle w:val="TableParagraph"/>
              <w:spacing w:line="155" w:lineRule="exact"/>
              <w:ind w:right="210"/>
              <w:jc w:val="right"/>
              <w:rPr>
                <w:sz w:val="13"/>
              </w:rPr>
            </w:pPr>
            <w:r>
              <w:rPr>
                <w:w w:val="103"/>
                <w:sz w:val="13"/>
              </w:rPr>
              <w:t>-</w:t>
            </w:r>
          </w:p>
        </w:tc>
        <w:tc>
          <w:tcPr>
            <w:tcW w:w="1359" w:type="dxa"/>
          </w:tcPr>
          <w:p>
            <w:pPr>
              <w:pStyle w:val="TableParagraph"/>
              <w:spacing w:line="155" w:lineRule="exact"/>
              <w:ind w:right="449"/>
              <w:jc w:val="right"/>
              <w:rPr>
                <w:sz w:val="13"/>
              </w:rPr>
            </w:pPr>
            <w:r>
              <w:rPr>
                <w:w w:val="103"/>
                <w:sz w:val="13"/>
              </w:rPr>
              <w:t>-</w:t>
            </w:r>
          </w:p>
        </w:tc>
        <w:tc>
          <w:tcPr>
            <w:tcW w:w="1140" w:type="dxa"/>
          </w:tcPr>
          <w:p>
            <w:pPr>
              <w:pStyle w:val="TableParagraph"/>
              <w:spacing w:line="155" w:lineRule="exact"/>
              <w:ind w:right="287"/>
              <w:jc w:val="right"/>
              <w:rPr>
                <w:sz w:val="13"/>
              </w:rPr>
            </w:pPr>
            <w:r>
              <w:rPr>
                <w:w w:val="103"/>
                <w:sz w:val="13"/>
              </w:rPr>
              <w:t>-</w:t>
            </w:r>
          </w:p>
        </w:tc>
        <w:tc>
          <w:tcPr>
            <w:tcW w:w="913" w:type="dxa"/>
          </w:tcPr>
          <w:p>
            <w:pPr>
              <w:pStyle w:val="TableParagraph"/>
              <w:spacing w:line="155" w:lineRule="exact"/>
              <w:ind w:right="105"/>
              <w:jc w:val="right"/>
              <w:rPr>
                <w:sz w:val="13"/>
              </w:rPr>
            </w:pPr>
            <w:r>
              <w:rPr>
                <w:w w:val="103"/>
                <w:sz w:val="13"/>
              </w:rPr>
              <w:t>-</w:t>
            </w:r>
          </w:p>
        </w:tc>
        <w:tc>
          <w:tcPr>
            <w:tcW w:w="1077" w:type="dxa"/>
            <w:tcBorders>
              <w:right w:val="single" w:sz="4" w:space="0" w:color="000000"/>
            </w:tcBorders>
          </w:tcPr>
          <w:p>
            <w:pPr>
              <w:pStyle w:val="TableParagraph"/>
              <w:spacing w:line="155" w:lineRule="exact"/>
              <w:ind w:right="149"/>
              <w:jc w:val="right"/>
              <w:rPr>
                <w:b/>
                <w:sz w:val="13"/>
              </w:rPr>
            </w:pPr>
            <w:r>
              <w:rPr>
                <w:b/>
                <w:w w:val="103"/>
                <w:sz w:val="13"/>
              </w:rPr>
              <w:t>-</w:t>
            </w:r>
          </w:p>
        </w:tc>
      </w:tr>
      <w:tr>
        <w:trPr>
          <w:trHeight w:val="175" w:hRule="atLeast"/>
        </w:trPr>
        <w:tc>
          <w:tcPr>
            <w:tcW w:w="806" w:type="dxa"/>
            <w:tcBorders>
              <w:left w:val="single" w:sz="4" w:space="0" w:color="000000"/>
            </w:tcBorders>
          </w:tcPr>
          <w:p>
            <w:pPr>
              <w:pStyle w:val="TableParagraph"/>
              <w:spacing w:line="155" w:lineRule="exact"/>
              <w:ind w:left="113"/>
              <w:rPr>
                <w:sz w:val="13"/>
              </w:rPr>
            </w:pPr>
            <w:r>
              <w:rPr>
                <w:w w:val="105"/>
                <w:sz w:val="13"/>
              </w:rPr>
              <w:t>ICIA</w:t>
            </w:r>
          </w:p>
        </w:tc>
        <w:tc>
          <w:tcPr>
            <w:tcW w:w="1057" w:type="dxa"/>
          </w:tcPr>
          <w:p>
            <w:pPr>
              <w:pStyle w:val="TableParagraph"/>
              <w:spacing w:line="155" w:lineRule="exact"/>
              <w:ind w:right="91"/>
              <w:jc w:val="right"/>
              <w:rPr>
                <w:sz w:val="13"/>
              </w:rPr>
            </w:pPr>
            <w:r>
              <w:rPr>
                <w:sz w:val="13"/>
              </w:rPr>
              <w:t>599,91</w:t>
            </w:r>
          </w:p>
        </w:tc>
        <w:tc>
          <w:tcPr>
            <w:tcW w:w="1094" w:type="dxa"/>
          </w:tcPr>
          <w:p>
            <w:pPr>
              <w:pStyle w:val="TableParagraph"/>
              <w:spacing w:line="155" w:lineRule="exact"/>
              <w:ind w:right="210"/>
              <w:jc w:val="right"/>
              <w:rPr>
                <w:sz w:val="13"/>
              </w:rPr>
            </w:pPr>
            <w:r>
              <w:rPr>
                <w:w w:val="103"/>
                <w:sz w:val="13"/>
              </w:rPr>
              <w:t>-</w:t>
            </w:r>
          </w:p>
        </w:tc>
        <w:tc>
          <w:tcPr>
            <w:tcW w:w="1359" w:type="dxa"/>
          </w:tcPr>
          <w:p>
            <w:pPr>
              <w:pStyle w:val="TableParagraph"/>
              <w:spacing w:line="155" w:lineRule="exact"/>
              <w:ind w:right="426"/>
              <w:jc w:val="right"/>
              <w:rPr>
                <w:sz w:val="13"/>
              </w:rPr>
            </w:pPr>
            <w:r>
              <w:rPr>
                <w:sz w:val="13"/>
              </w:rPr>
              <w:t>2.254,00</w:t>
            </w:r>
          </w:p>
        </w:tc>
        <w:tc>
          <w:tcPr>
            <w:tcW w:w="1140" w:type="dxa"/>
          </w:tcPr>
          <w:p>
            <w:pPr>
              <w:pStyle w:val="TableParagraph"/>
              <w:spacing w:line="155" w:lineRule="exact"/>
              <w:ind w:right="287"/>
              <w:jc w:val="right"/>
              <w:rPr>
                <w:sz w:val="13"/>
              </w:rPr>
            </w:pPr>
            <w:r>
              <w:rPr>
                <w:w w:val="103"/>
                <w:sz w:val="13"/>
              </w:rPr>
              <w:t>-</w:t>
            </w:r>
          </w:p>
        </w:tc>
        <w:tc>
          <w:tcPr>
            <w:tcW w:w="913" w:type="dxa"/>
          </w:tcPr>
          <w:p>
            <w:pPr>
              <w:pStyle w:val="TableParagraph"/>
              <w:spacing w:line="155" w:lineRule="exact"/>
              <w:ind w:right="83"/>
              <w:jc w:val="right"/>
              <w:rPr>
                <w:sz w:val="13"/>
              </w:rPr>
            </w:pPr>
            <w:r>
              <w:rPr>
                <w:sz w:val="13"/>
              </w:rPr>
              <w:t>2,10</w:t>
            </w:r>
          </w:p>
        </w:tc>
        <w:tc>
          <w:tcPr>
            <w:tcW w:w="1077" w:type="dxa"/>
            <w:tcBorders>
              <w:right w:val="single" w:sz="4" w:space="0" w:color="000000"/>
            </w:tcBorders>
          </w:tcPr>
          <w:p>
            <w:pPr>
              <w:pStyle w:val="TableParagraph"/>
              <w:spacing w:line="155" w:lineRule="exact"/>
              <w:ind w:right="104"/>
              <w:jc w:val="right"/>
              <w:rPr>
                <w:b/>
                <w:sz w:val="13"/>
              </w:rPr>
            </w:pPr>
            <w:r>
              <w:rPr>
                <w:b/>
                <w:w w:val="105"/>
                <w:sz w:val="13"/>
              </w:rPr>
              <w:t>2.856,02</w:t>
            </w:r>
          </w:p>
        </w:tc>
      </w:tr>
      <w:tr>
        <w:trPr>
          <w:trHeight w:val="175" w:hRule="atLeast"/>
        </w:trPr>
        <w:tc>
          <w:tcPr>
            <w:tcW w:w="806" w:type="dxa"/>
            <w:tcBorders>
              <w:left w:val="single" w:sz="4" w:space="0" w:color="000000"/>
            </w:tcBorders>
          </w:tcPr>
          <w:p>
            <w:pPr>
              <w:pStyle w:val="TableParagraph"/>
              <w:spacing w:line="155" w:lineRule="exact"/>
              <w:ind w:left="113"/>
              <w:rPr>
                <w:sz w:val="13"/>
              </w:rPr>
            </w:pPr>
            <w:r>
              <w:rPr>
                <w:w w:val="105"/>
                <w:sz w:val="13"/>
              </w:rPr>
              <w:t>ICHH</w:t>
            </w:r>
          </w:p>
        </w:tc>
        <w:tc>
          <w:tcPr>
            <w:tcW w:w="1057" w:type="dxa"/>
          </w:tcPr>
          <w:p>
            <w:pPr>
              <w:pStyle w:val="TableParagraph"/>
              <w:spacing w:line="155" w:lineRule="exact"/>
              <w:ind w:right="85"/>
              <w:jc w:val="right"/>
              <w:rPr>
                <w:sz w:val="13"/>
              </w:rPr>
            </w:pPr>
            <w:r>
              <w:rPr>
                <w:sz w:val="13"/>
              </w:rPr>
              <w:t>6.653,09</w:t>
            </w:r>
          </w:p>
        </w:tc>
        <w:tc>
          <w:tcPr>
            <w:tcW w:w="1094" w:type="dxa"/>
          </w:tcPr>
          <w:p>
            <w:pPr>
              <w:pStyle w:val="TableParagraph"/>
              <w:spacing w:line="155" w:lineRule="exact"/>
              <w:ind w:right="210"/>
              <w:jc w:val="right"/>
              <w:rPr>
                <w:sz w:val="13"/>
              </w:rPr>
            </w:pPr>
            <w:r>
              <w:rPr>
                <w:w w:val="103"/>
                <w:sz w:val="13"/>
              </w:rPr>
              <w:t>-</w:t>
            </w:r>
          </w:p>
        </w:tc>
        <w:tc>
          <w:tcPr>
            <w:tcW w:w="1359" w:type="dxa"/>
          </w:tcPr>
          <w:p>
            <w:pPr>
              <w:pStyle w:val="TableParagraph"/>
              <w:spacing w:line="155" w:lineRule="exact"/>
              <w:ind w:right="449"/>
              <w:jc w:val="right"/>
              <w:rPr>
                <w:sz w:val="13"/>
              </w:rPr>
            </w:pPr>
            <w:r>
              <w:rPr>
                <w:w w:val="103"/>
                <w:sz w:val="13"/>
              </w:rPr>
              <w:t>-</w:t>
            </w:r>
          </w:p>
        </w:tc>
        <w:tc>
          <w:tcPr>
            <w:tcW w:w="1140" w:type="dxa"/>
          </w:tcPr>
          <w:p>
            <w:pPr>
              <w:pStyle w:val="TableParagraph"/>
              <w:spacing w:line="155" w:lineRule="exact"/>
              <w:ind w:right="287"/>
              <w:jc w:val="right"/>
              <w:rPr>
                <w:sz w:val="13"/>
              </w:rPr>
            </w:pPr>
            <w:r>
              <w:rPr>
                <w:w w:val="103"/>
                <w:sz w:val="13"/>
              </w:rPr>
              <w:t>-</w:t>
            </w:r>
          </w:p>
        </w:tc>
        <w:tc>
          <w:tcPr>
            <w:tcW w:w="913" w:type="dxa"/>
          </w:tcPr>
          <w:p>
            <w:pPr>
              <w:pStyle w:val="TableParagraph"/>
              <w:spacing w:line="155" w:lineRule="exact"/>
              <w:ind w:right="78"/>
              <w:jc w:val="right"/>
              <w:rPr>
                <w:sz w:val="13"/>
              </w:rPr>
            </w:pPr>
            <w:r>
              <w:rPr>
                <w:sz w:val="13"/>
              </w:rPr>
              <w:t>83,03</w:t>
            </w:r>
          </w:p>
        </w:tc>
        <w:tc>
          <w:tcPr>
            <w:tcW w:w="1077" w:type="dxa"/>
            <w:tcBorders>
              <w:right w:val="single" w:sz="4" w:space="0" w:color="000000"/>
            </w:tcBorders>
          </w:tcPr>
          <w:p>
            <w:pPr>
              <w:pStyle w:val="TableParagraph"/>
              <w:spacing w:line="155" w:lineRule="exact"/>
              <w:ind w:right="104"/>
              <w:jc w:val="right"/>
              <w:rPr>
                <w:b/>
                <w:sz w:val="13"/>
              </w:rPr>
            </w:pPr>
            <w:r>
              <w:rPr>
                <w:b/>
                <w:w w:val="105"/>
                <w:sz w:val="13"/>
              </w:rPr>
              <w:t>6.736,12</w:t>
            </w:r>
          </w:p>
        </w:tc>
      </w:tr>
      <w:tr>
        <w:trPr>
          <w:trHeight w:val="174" w:hRule="atLeast"/>
        </w:trPr>
        <w:tc>
          <w:tcPr>
            <w:tcW w:w="806" w:type="dxa"/>
            <w:tcBorders>
              <w:left w:val="single" w:sz="4" w:space="0" w:color="000000"/>
            </w:tcBorders>
          </w:tcPr>
          <w:p>
            <w:pPr>
              <w:pStyle w:val="TableParagraph"/>
              <w:spacing w:line="154" w:lineRule="exact"/>
              <w:ind w:left="113"/>
              <w:rPr>
                <w:sz w:val="13"/>
              </w:rPr>
            </w:pPr>
            <w:r>
              <w:rPr>
                <w:w w:val="105"/>
                <w:sz w:val="13"/>
              </w:rPr>
              <w:t>ACCUEE</w:t>
            </w:r>
          </w:p>
        </w:tc>
        <w:tc>
          <w:tcPr>
            <w:tcW w:w="1057" w:type="dxa"/>
          </w:tcPr>
          <w:p>
            <w:pPr>
              <w:pStyle w:val="TableParagraph"/>
              <w:spacing w:line="154" w:lineRule="exact"/>
              <w:ind w:right="95"/>
              <w:jc w:val="right"/>
              <w:rPr>
                <w:sz w:val="13"/>
              </w:rPr>
            </w:pPr>
            <w:r>
              <w:rPr>
                <w:sz w:val="13"/>
              </w:rPr>
              <w:t>26,07</w:t>
            </w:r>
          </w:p>
        </w:tc>
        <w:tc>
          <w:tcPr>
            <w:tcW w:w="1094" w:type="dxa"/>
          </w:tcPr>
          <w:p>
            <w:pPr>
              <w:pStyle w:val="TableParagraph"/>
              <w:spacing w:line="154" w:lineRule="exact"/>
              <w:ind w:right="182"/>
              <w:jc w:val="right"/>
              <w:rPr>
                <w:sz w:val="13"/>
              </w:rPr>
            </w:pPr>
            <w:r>
              <w:rPr>
                <w:sz w:val="13"/>
              </w:rPr>
              <w:t>63,79</w:t>
            </w:r>
          </w:p>
        </w:tc>
        <w:tc>
          <w:tcPr>
            <w:tcW w:w="1359" w:type="dxa"/>
          </w:tcPr>
          <w:p>
            <w:pPr>
              <w:pStyle w:val="TableParagraph"/>
              <w:spacing w:line="154" w:lineRule="exact"/>
              <w:ind w:right="418"/>
              <w:jc w:val="right"/>
              <w:rPr>
                <w:sz w:val="13"/>
              </w:rPr>
            </w:pPr>
            <w:r>
              <w:rPr>
                <w:sz w:val="13"/>
              </w:rPr>
              <w:t>174,08</w:t>
            </w:r>
          </w:p>
        </w:tc>
        <w:tc>
          <w:tcPr>
            <w:tcW w:w="1140" w:type="dxa"/>
          </w:tcPr>
          <w:p>
            <w:pPr>
              <w:pStyle w:val="TableParagraph"/>
              <w:spacing w:line="154" w:lineRule="exact"/>
              <w:ind w:right="287"/>
              <w:jc w:val="right"/>
              <w:rPr>
                <w:sz w:val="13"/>
              </w:rPr>
            </w:pPr>
            <w:r>
              <w:rPr>
                <w:w w:val="103"/>
                <w:sz w:val="13"/>
              </w:rPr>
              <w:t>-</w:t>
            </w:r>
          </w:p>
        </w:tc>
        <w:tc>
          <w:tcPr>
            <w:tcW w:w="913" w:type="dxa"/>
          </w:tcPr>
          <w:p>
            <w:pPr>
              <w:pStyle w:val="TableParagraph"/>
              <w:spacing w:line="154" w:lineRule="exact"/>
              <w:ind w:right="105"/>
              <w:jc w:val="right"/>
              <w:rPr>
                <w:sz w:val="13"/>
              </w:rPr>
            </w:pPr>
            <w:r>
              <w:rPr>
                <w:w w:val="103"/>
                <w:sz w:val="13"/>
              </w:rPr>
              <w:t>-</w:t>
            </w:r>
          </w:p>
        </w:tc>
        <w:tc>
          <w:tcPr>
            <w:tcW w:w="1077" w:type="dxa"/>
            <w:tcBorders>
              <w:right w:val="single" w:sz="4" w:space="0" w:color="000000"/>
            </w:tcBorders>
          </w:tcPr>
          <w:p>
            <w:pPr>
              <w:pStyle w:val="TableParagraph"/>
              <w:spacing w:line="154" w:lineRule="exact"/>
              <w:ind w:right="88"/>
              <w:jc w:val="right"/>
              <w:rPr>
                <w:b/>
                <w:sz w:val="13"/>
              </w:rPr>
            </w:pPr>
            <w:r>
              <w:rPr>
                <w:b/>
                <w:sz w:val="13"/>
              </w:rPr>
              <w:t>263,94</w:t>
            </w:r>
          </w:p>
        </w:tc>
      </w:tr>
      <w:tr>
        <w:trPr>
          <w:trHeight w:val="174" w:hRule="atLeast"/>
        </w:trPr>
        <w:tc>
          <w:tcPr>
            <w:tcW w:w="806" w:type="dxa"/>
            <w:tcBorders>
              <w:left w:val="single" w:sz="4" w:space="0" w:color="000000"/>
            </w:tcBorders>
          </w:tcPr>
          <w:p>
            <w:pPr>
              <w:pStyle w:val="TableParagraph"/>
              <w:spacing w:line="154" w:lineRule="exact"/>
              <w:ind w:left="113"/>
              <w:rPr>
                <w:sz w:val="13"/>
              </w:rPr>
            </w:pPr>
            <w:r>
              <w:rPr>
                <w:w w:val="105"/>
                <w:sz w:val="13"/>
              </w:rPr>
              <w:t>ICAVI</w:t>
            </w:r>
          </w:p>
        </w:tc>
        <w:tc>
          <w:tcPr>
            <w:tcW w:w="1057" w:type="dxa"/>
          </w:tcPr>
          <w:p>
            <w:pPr>
              <w:pStyle w:val="TableParagraph"/>
              <w:spacing w:line="154" w:lineRule="exact"/>
              <w:ind w:right="85"/>
              <w:jc w:val="right"/>
              <w:rPr>
                <w:sz w:val="13"/>
              </w:rPr>
            </w:pPr>
            <w:r>
              <w:rPr>
                <w:sz w:val="13"/>
              </w:rPr>
              <w:t>3.712,04</w:t>
            </w:r>
          </w:p>
        </w:tc>
        <w:tc>
          <w:tcPr>
            <w:tcW w:w="1094" w:type="dxa"/>
          </w:tcPr>
          <w:p>
            <w:pPr>
              <w:pStyle w:val="TableParagraph"/>
              <w:spacing w:line="154" w:lineRule="exact"/>
              <w:ind w:right="182"/>
              <w:jc w:val="right"/>
              <w:rPr>
                <w:sz w:val="13"/>
              </w:rPr>
            </w:pPr>
            <w:r>
              <w:rPr>
                <w:sz w:val="13"/>
              </w:rPr>
              <w:t>60,53</w:t>
            </w:r>
          </w:p>
        </w:tc>
        <w:tc>
          <w:tcPr>
            <w:tcW w:w="1359" w:type="dxa"/>
          </w:tcPr>
          <w:p>
            <w:pPr>
              <w:pStyle w:val="TableParagraph"/>
              <w:spacing w:line="154" w:lineRule="exact"/>
              <w:ind w:right="426"/>
              <w:jc w:val="right"/>
              <w:rPr>
                <w:sz w:val="13"/>
              </w:rPr>
            </w:pPr>
            <w:r>
              <w:rPr>
                <w:sz w:val="13"/>
              </w:rPr>
              <w:t>5.931,92</w:t>
            </w:r>
          </w:p>
        </w:tc>
        <w:tc>
          <w:tcPr>
            <w:tcW w:w="1140" w:type="dxa"/>
          </w:tcPr>
          <w:p>
            <w:pPr>
              <w:pStyle w:val="TableParagraph"/>
              <w:spacing w:line="154" w:lineRule="exact"/>
              <w:ind w:left="408"/>
              <w:rPr>
                <w:sz w:val="13"/>
              </w:rPr>
            </w:pPr>
            <w:r>
              <w:rPr>
                <w:w w:val="105"/>
                <w:sz w:val="13"/>
              </w:rPr>
              <w:t>9.456,21</w:t>
            </w:r>
          </w:p>
        </w:tc>
        <w:tc>
          <w:tcPr>
            <w:tcW w:w="913" w:type="dxa"/>
          </w:tcPr>
          <w:p>
            <w:pPr>
              <w:pStyle w:val="TableParagraph"/>
              <w:spacing w:line="154" w:lineRule="exact"/>
              <w:ind w:right="78"/>
              <w:jc w:val="right"/>
              <w:rPr>
                <w:sz w:val="13"/>
              </w:rPr>
            </w:pPr>
            <w:r>
              <w:rPr>
                <w:sz w:val="13"/>
              </w:rPr>
              <w:t>26,40</w:t>
            </w:r>
          </w:p>
        </w:tc>
        <w:tc>
          <w:tcPr>
            <w:tcW w:w="1077" w:type="dxa"/>
            <w:tcBorders>
              <w:right w:val="single" w:sz="4" w:space="0" w:color="000000"/>
            </w:tcBorders>
          </w:tcPr>
          <w:p>
            <w:pPr>
              <w:pStyle w:val="TableParagraph"/>
              <w:spacing w:line="154" w:lineRule="exact"/>
              <w:ind w:right="96"/>
              <w:jc w:val="right"/>
              <w:rPr>
                <w:b/>
                <w:sz w:val="13"/>
              </w:rPr>
            </w:pPr>
            <w:r>
              <w:rPr>
                <w:b/>
                <w:w w:val="105"/>
                <w:sz w:val="13"/>
              </w:rPr>
              <w:t>19.187,11</w:t>
            </w:r>
          </w:p>
        </w:tc>
      </w:tr>
      <w:tr>
        <w:trPr>
          <w:trHeight w:val="175" w:hRule="atLeast"/>
        </w:trPr>
        <w:tc>
          <w:tcPr>
            <w:tcW w:w="806" w:type="dxa"/>
            <w:tcBorders>
              <w:left w:val="single" w:sz="4" w:space="0" w:color="000000"/>
            </w:tcBorders>
          </w:tcPr>
          <w:p>
            <w:pPr>
              <w:pStyle w:val="TableParagraph"/>
              <w:spacing w:line="155" w:lineRule="exact"/>
              <w:ind w:left="113"/>
              <w:rPr>
                <w:sz w:val="13"/>
              </w:rPr>
            </w:pPr>
            <w:r>
              <w:rPr>
                <w:w w:val="105"/>
                <w:sz w:val="13"/>
              </w:rPr>
              <w:t>ICCA</w:t>
            </w:r>
          </w:p>
        </w:tc>
        <w:tc>
          <w:tcPr>
            <w:tcW w:w="1057" w:type="dxa"/>
          </w:tcPr>
          <w:p>
            <w:pPr>
              <w:pStyle w:val="TableParagraph"/>
              <w:spacing w:line="155" w:lineRule="exact"/>
              <w:ind w:right="91"/>
              <w:jc w:val="right"/>
              <w:rPr>
                <w:sz w:val="13"/>
              </w:rPr>
            </w:pPr>
            <w:r>
              <w:rPr>
                <w:sz w:val="13"/>
              </w:rPr>
              <w:t>321,22</w:t>
            </w:r>
          </w:p>
        </w:tc>
        <w:tc>
          <w:tcPr>
            <w:tcW w:w="1094" w:type="dxa"/>
          </w:tcPr>
          <w:p>
            <w:pPr>
              <w:pStyle w:val="TableParagraph"/>
              <w:spacing w:line="155" w:lineRule="exact"/>
              <w:ind w:right="194"/>
              <w:jc w:val="right"/>
              <w:rPr>
                <w:sz w:val="13"/>
              </w:rPr>
            </w:pPr>
            <w:r>
              <w:rPr>
                <w:sz w:val="13"/>
              </w:rPr>
              <w:t>105,27</w:t>
            </w:r>
          </w:p>
        </w:tc>
        <w:tc>
          <w:tcPr>
            <w:tcW w:w="1359" w:type="dxa"/>
          </w:tcPr>
          <w:p>
            <w:pPr>
              <w:pStyle w:val="TableParagraph"/>
              <w:spacing w:line="155" w:lineRule="exact"/>
              <w:ind w:right="418"/>
              <w:jc w:val="right"/>
              <w:rPr>
                <w:sz w:val="13"/>
              </w:rPr>
            </w:pPr>
            <w:r>
              <w:rPr>
                <w:sz w:val="13"/>
              </w:rPr>
              <w:t>660,80</w:t>
            </w:r>
          </w:p>
        </w:tc>
        <w:tc>
          <w:tcPr>
            <w:tcW w:w="1140" w:type="dxa"/>
          </w:tcPr>
          <w:p>
            <w:pPr>
              <w:pStyle w:val="TableParagraph"/>
              <w:spacing w:line="155" w:lineRule="exact"/>
              <w:ind w:right="287"/>
              <w:jc w:val="right"/>
              <w:rPr>
                <w:sz w:val="13"/>
              </w:rPr>
            </w:pPr>
            <w:r>
              <w:rPr>
                <w:w w:val="103"/>
                <w:sz w:val="13"/>
              </w:rPr>
              <w:t>-</w:t>
            </w:r>
          </w:p>
        </w:tc>
        <w:tc>
          <w:tcPr>
            <w:tcW w:w="913" w:type="dxa"/>
          </w:tcPr>
          <w:p>
            <w:pPr>
              <w:pStyle w:val="TableParagraph"/>
              <w:spacing w:line="155" w:lineRule="exact"/>
              <w:ind w:right="83"/>
              <w:jc w:val="right"/>
              <w:rPr>
                <w:sz w:val="13"/>
              </w:rPr>
            </w:pPr>
            <w:r>
              <w:rPr>
                <w:sz w:val="13"/>
              </w:rPr>
              <w:t>4,08</w:t>
            </w:r>
          </w:p>
        </w:tc>
        <w:tc>
          <w:tcPr>
            <w:tcW w:w="1077" w:type="dxa"/>
            <w:tcBorders>
              <w:right w:val="single" w:sz="4" w:space="0" w:color="000000"/>
            </w:tcBorders>
          </w:tcPr>
          <w:p>
            <w:pPr>
              <w:pStyle w:val="TableParagraph"/>
              <w:spacing w:line="155" w:lineRule="exact"/>
              <w:ind w:right="104"/>
              <w:jc w:val="right"/>
              <w:rPr>
                <w:b/>
                <w:sz w:val="13"/>
              </w:rPr>
            </w:pPr>
            <w:r>
              <w:rPr>
                <w:b/>
                <w:w w:val="105"/>
                <w:sz w:val="13"/>
              </w:rPr>
              <w:t>1.091,37</w:t>
            </w:r>
          </w:p>
        </w:tc>
      </w:tr>
      <w:tr>
        <w:trPr>
          <w:trHeight w:val="175" w:hRule="atLeast"/>
        </w:trPr>
        <w:tc>
          <w:tcPr>
            <w:tcW w:w="806" w:type="dxa"/>
            <w:tcBorders>
              <w:left w:val="single" w:sz="4" w:space="0" w:color="000000"/>
            </w:tcBorders>
          </w:tcPr>
          <w:p>
            <w:pPr>
              <w:pStyle w:val="TableParagraph"/>
              <w:spacing w:line="155" w:lineRule="exact"/>
              <w:ind w:left="113"/>
              <w:rPr>
                <w:sz w:val="13"/>
              </w:rPr>
            </w:pPr>
            <w:r>
              <w:rPr>
                <w:w w:val="105"/>
                <w:sz w:val="13"/>
              </w:rPr>
              <w:t>APMN</w:t>
            </w:r>
          </w:p>
        </w:tc>
        <w:tc>
          <w:tcPr>
            <w:tcW w:w="1057" w:type="dxa"/>
          </w:tcPr>
          <w:p>
            <w:pPr>
              <w:pStyle w:val="TableParagraph"/>
              <w:spacing w:line="155" w:lineRule="exact"/>
              <w:ind w:right="91"/>
              <w:jc w:val="right"/>
              <w:rPr>
                <w:sz w:val="13"/>
              </w:rPr>
            </w:pPr>
            <w:r>
              <w:rPr>
                <w:sz w:val="13"/>
              </w:rPr>
              <w:t>177,90</w:t>
            </w:r>
          </w:p>
        </w:tc>
        <w:tc>
          <w:tcPr>
            <w:tcW w:w="1094" w:type="dxa"/>
          </w:tcPr>
          <w:p>
            <w:pPr>
              <w:pStyle w:val="TableParagraph"/>
              <w:spacing w:line="155" w:lineRule="exact"/>
              <w:ind w:right="182"/>
              <w:jc w:val="right"/>
              <w:rPr>
                <w:sz w:val="13"/>
              </w:rPr>
            </w:pPr>
            <w:r>
              <w:rPr>
                <w:sz w:val="13"/>
              </w:rPr>
              <w:t>21,40</w:t>
            </w:r>
          </w:p>
        </w:tc>
        <w:tc>
          <w:tcPr>
            <w:tcW w:w="1359" w:type="dxa"/>
          </w:tcPr>
          <w:p>
            <w:pPr>
              <w:pStyle w:val="TableParagraph"/>
              <w:spacing w:line="155" w:lineRule="exact"/>
              <w:ind w:right="418"/>
              <w:jc w:val="right"/>
              <w:rPr>
                <w:sz w:val="13"/>
              </w:rPr>
            </w:pPr>
            <w:r>
              <w:rPr>
                <w:sz w:val="13"/>
              </w:rPr>
              <w:t>281,09</w:t>
            </w:r>
          </w:p>
        </w:tc>
        <w:tc>
          <w:tcPr>
            <w:tcW w:w="1140" w:type="dxa"/>
          </w:tcPr>
          <w:p>
            <w:pPr>
              <w:pStyle w:val="TableParagraph"/>
              <w:spacing w:line="155" w:lineRule="exact"/>
              <w:ind w:right="287"/>
              <w:jc w:val="right"/>
              <w:rPr>
                <w:sz w:val="13"/>
              </w:rPr>
            </w:pPr>
            <w:r>
              <w:rPr>
                <w:w w:val="103"/>
                <w:sz w:val="13"/>
              </w:rPr>
              <w:t>-</w:t>
            </w:r>
          </w:p>
        </w:tc>
        <w:tc>
          <w:tcPr>
            <w:tcW w:w="913" w:type="dxa"/>
          </w:tcPr>
          <w:p>
            <w:pPr>
              <w:pStyle w:val="TableParagraph"/>
              <w:spacing w:line="155" w:lineRule="exact"/>
              <w:ind w:right="78"/>
              <w:jc w:val="right"/>
              <w:rPr>
                <w:sz w:val="13"/>
              </w:rPr>
            </w:pPr>
            <w:r>
              <w:rPr>
                <w:sz w:val="13"/>
              </w:rPr>
              <w:t>36,75</w:t>
            </w:r>
          </w:p>
        </w:tc>
        <w:tc>
          <w:tcPr>
            <w:tcW w:w="1077" w:type="dxa"/>
            <w:tcBorders>
              <w:right w:val="single" w:sz="4" w:space="0" w:color="000000"/>
            </w:tcBorders>
          </w:tcPr>
          <w:p>
            <w:pPr>
              <w:pStyle w:val="TableParagraph"/>
              <w:spacing w:line="155" w:lineRule="exact"/>
              <w:ind w:right="88"/>
              <w:jc w:val="right"/>
              <w:rPr>
                <w:b/>
                <w:sz w:val="13"/>
              </w:rPr>
            </w:pPr>
            <w:r>
              <w:rPr>
                <w:b/>
                <w:sz w:val="13"/>
              </w:rPr>
              <w:t>517,14</w:t>
            </w:r>
          </w:p>
        </w:tc>
      </w:tr>
      <w:tr>
        <w:trPr>
          <w:trHeight w:val="175" w:hRule="atLeast"/>
        </w:trPr>
        <w:tc>
          <w:tcPr>
            <w:tcW w:w="806" w:type="dxa"/>
            <w:tcBorders>
              <w:left w:val="single" w:sz="4" w:space="0" w:color="000000"/>
            </w:tcBorders>
          </w:tcPr>
          <w:p>
            <w:pPr>
              <w:pStyle w:val="TableParagraph"/>
              <w:spacing w:line="156" w:lineRule="exact"/>
              <w:ind w:left="113"/>
              <w:rPr>
                <w:sz w:val="13"/>
              </w:rPr>
            </w:pPr>
            <w:r>
              <w:rPr>
                <w:w w:val="105"/>
                <w:sz w:val="13"/>
              </w:rPr>
              <w:t>CES</w:t>
            </w:r>
          </w:p>
        </w:tc>
        <w:tc>
          <w:tcPr>
            <w:tcW w:w="1057" w:type="dxa"/>
          </w:tcPr>
          <w:p>
            <w:pPr>
              <w:pStyle w:val="TableParagraph"/>
              <w:spacing w:line="156" w:lineRule="exact"/>
              <w:ind w:right="83"/>
              <w:jc w:val="right"/>
              <w:rPr>
                <w:sz w:val="13"/>
              </w:rPr>
            </w:pPr>
            <w:r>
              <w:rPr>
                <w:sz w:val="13"/>
              </w:rPr>
              <w:t>8,13</w:t>
            </w:r>
          </w:p>
        </w:tc>
        <w:tc>
          <w:tcPr>
            <w:tcW w:w="1094" w:type="dxa"/>
          </w:tcPr>
          <w:p>
            <w:pPr>
              <w:pStyle w:val="TableParagraph"/>
              <w:spacing w:line="156" w:lineRule="exact"/>
              <w:ind w:right="210"/>
              <w:jc w:val="right"/>
              <w:rPr>
                <w:sz w:val="13"/>
              </w:rPr>
            </w:pPr>
            <w:r>
              <w:rPr>
                <w:w w:val="103"/>
                <w:sz w:val="13"/>
              </w:rPr>
              <w:t>-</w:t>
            </w:r>
          </w:p>
        </w:tc>
        <w:tc>
          <w:tcPr>
            <w:tcW w:w="1359" w:type="dxa"/>
          </w:tcPr>
          <w:p>
            <w:pPr>
              <w:pStyle w:val="TableParagraph"/>
              <w:spacing w:line="156" w:lineRule="exact"/>
              <w:ind w:right="420"/>
              <w:jc w:val="right"/>
              <w:rPr>
                <w:sz w:val="13"/>
              </w:rPr>
            </w:pPr>
            <w:r>
              <w:rPr>
                <w:sz w:val="13"/>
              </w:rPr>
              <w:t>89,16</w:t>
            </w:r>
          </w:p>
        </w:tc>
        <w:tc>
          <w:tcPr>
            <w:tcW w:w="1140" w:type="dxa"/>
          </w:tcPr>
          <w:p>
            <w:pPr>
              <w:pStyle w:val="TableParagraph"/>
              <w:spacing w:line="156" w:lineRule="exact"/>
              <w:ind w:right="287"/>
              <w:jc w:val="right"/>
              <w:rPr>
                <w:sz w:val="13"/>
              </w:rPr>
            </w:pPr>
            <w:r>
              <w:rPr>
                <w:w w:val="103"/>
                <w:sz w:val="13"/>
              </w:rPr>
              <w:t>-</w:t>
            </w:r>
          </w:p>
        </w:tc>
        <w:tc>
          <w:tcPr>
            <w:tcW w:w="913" w:type="dxa"/>
          </w:tcPr>
          <w:p>
            <w:pPr>
              <w:pStyle w:val="TableParagraph"/>
              <w:spacing w:line="156" w:lineRule="exact"/>
              <w:ind w:right="105"/>
              <w:jc w:val="right"/>
              <w:rPr>
                <w:sz w:val="13"/>
              </w:rPr>
            </w:pPr>
            <w:r>
              <w:rPr>
                <w:w w:val="103"/>
                <w:sz w:val="13"/>
              </w:rPr>
              <w:t>-</w:t>
            </w:r>
          </w:p>
        </w:tc>
        <w:tc>
          <w:tcPr>
            <w:tcW w:w="1077" w:type="dxa"/>
            <w:tcBorders>
              <w:right w:val="single" w:sz="4" w:space="0" w:color="000000"/>
            </w:tcBorders>
          </w:tcPr>
          <w:p>
            <w:pPr>
              <w:pStyle w:val="TableParagraph"/>
              <w:spacing w:line="156" w:lineRule="exact"/>
              <w:ind w:right="96"/>
              <w:jc w:val="right"/>
              <w:rPr>
                <w:b/>
                <w:sz w:val="13"/>
              </w:rPr>
            </w:pPr>
            <w:r>
              <w:rPr>
                <w:b/>
                <w:w w:val="105"/>
                <w:sz w:val="13"/>
              </w:rPr>
              <w:t>97,29</w:t>
            </w:r>
          </w:p>
        </w:tc>
      </w:tr>
      <w:tr>
        <w:trPr>
          <w:trHeight w:val="174" w:hRule="atLeast"/>
        </w:trPr>
        <w:tc>
          <w:tcPr>
            <w:tcW w:w="806" w:type="dxa"/>
            <w:tcBorders>
              <w:left w:val="single" w:sz="4" w:space="0" w:color="000000"/>
            </w:tcBorders>
          </w:tcPr>
          <w:p>
            <w:pPr>
              <w:pStyle w:val="TableParagraph"/>
              <w:spacing w:line="155" w:lineRule="exact"/>
              <w:ind w:left="113"/>
              <w:rPr>
                <w:sz w:val="13"/>
              </w:rPr>
            </w:pPr>
            <w:r>
              <w:rPr>
                <w:w w:val="105"/>
                <w:sz w:val="13"/>
              </w:rPr>
              <w:t>RTVC</w:t>
            </w:r>
          </w:p>
        </w:tc>
        <w:tc>
          <w:tcPr>
            <w:tcW w:w="1057" w:type="dxa"/>
          </w:tcPr>
          <w:p>
            <w:pPr>
              <w:pStyle w:val="TableParagraph"/>
              <w:spacing w:line="155" w:lineRule="exact"/>
              <w:ind w:right="95"/>
              <w:jc w:val="right"/>
              <w:rPr>
                <w:sz w:val="13"/>
              </w:rPr>
            </w:pPr>
            <w:r>
              <w:rPr>
                <w:sz w:val="13"/>
              </w:rPr>
              <w:t>51,59</w:t>
            </w:r>
          </w:p>
        </w:tc>
        <w:tc>
          <w:tcPr>
            <w:tcW w:w="1094" w:type="dxa"/>
          </w:tcPr>
          <w:p>
            <w:pPr>
              <w:pStyle w:val="TableParagraph"/>
              <w:spacing w:line="155" w:lineRule="exact"/>
              <w:ind w:right="210"/>
              <w:jc w:val="right"/>
              <w:rPr>
                <w:sz w:val="13"/>
              </w:rPr>
            </w:pPr>
            <w:r>
              <w:rPr>
                <w:w w:val="103"/>
                <w:sz w:val="13"/>
              </w:rPr>
              <w:t>-</w:t>
            </w:r>
          </w:p>
        </w:tc>
        <w:tc>
          <w:tcPr>
            <w:tcW w:w="1359" w:type="dxa"/>
          </w:tcPr>
          <w:p>
            <w:pPr>
              <w:pStyle w:val="TableParagraph"/>
              <w:spacing w:line="155" w:lineRule="exact"/>
              <w:ind w:right="418"/>
              <w:jc w:val="right"/>
              <w:rPr>
                <w:sz w:val="13"/>
              </w:rPr>
            </w:pPr>
            <w:r>
              <w:rPr>
                <w:sz w:val="13"/>
              </w:rPr>
              <w:t>109,20</w:t>
            </w:r>
          </w:p>
        </w:tc>
        <w:tc>
          <w:tcPr>
            <w:tcW w:w="1140" w:type="dxa"/>
          </w:tcPr>
          <w:p>
            <w:pPr>
              <w:pStyle w:val="TableParagraph"/>
              <w:spacing w:line="155" w:lineRule="exact"/>
              <w:ind w:right="287"/>
              <w:jc w:val="right"/>
              <w:rPr>
                <w:sz w:val="13"/>
              </w:rPr>
            </w:pPr>
            <w:r>
              <w:rPr>
                <w:w w:val="103"/>
                <w:sz w:val="13"/>
              </w:rPr>
              <w:t>-</w:t>
            </w:r>
          </w:p>
        </w:tc>
        <w:tc>
          <w:tcPr>
            <w:tcW w:w="913" w:type="dxa"/>
          </w:tcPr>
          <w:p>
            <w:pPr>
              <w:pStyle w:val="TableParagraph"/>
              <w:spacing w:line="155" w:lineRule="exact"/>
              <w:ind w:right="105"/>
              <w:jc w:val="right"/>
              <w:rPr>
                <w:sz w:val="13"/>
              </w:rPr>
            </w:pPr>
            <w:r>
              <w:rPr>
                <w:w w:val="103"/>
                <w:sz w:val="13"/>
              </w:rPr>
              <w:t>-</w:t>
            </w:r>
          </w:p>
        </w:tc>
        <w:tc>
          <w:tcPr>
            <w:tcW w:w="1077" w:type="dxa"/>
            <w:tcBorders>
              <w:right w:val="single" w:sz="4" w:space="0" w:color="000000"/>
            </w:tcBorders>
          </w:tcPr>
          <w:p>
            <w:pPr>
              <w:pStyle w:val="TableParagraph"/>
              <w:spacing w:line="155" w:lineRule="exact"/>
              <w:ind w:right="88"/>
              <w:jc w:val="right"/>
              <w:rPr>
                <w:b/>
                <w:sz w:val="13"/>
              </w:rPr>
            </w:pPr>
            <w:r>
              <w:rPr>
                <w:b/>
                <w:sz w:val="13"/>
              </w:rPr>
              <w:t>160,80</w:t>
            </w:r>
          </w:p>
        </w:tc>
      </w:tr>
      <w:tr>
        <w:trPr>
          <w:trHeight w:val="174" w:hRule="atLeast"/>
        </w:trPr>
        <w:tc>
          <w:tcPr>
            <w:tcW w:w="806" w:type="dxa"/>
            <w:tcBorders>
              <w:left w:val="single" w:sz="4" w:space="0" w:color="000000"/>
            </w:tcBorders>
          </w:tcPr>
          <w:p>
            <w:pPr>
              <w:pStyle w:val="TableParagraph"/>
              <w:spacing w:line="154" w:lineRule="exact"/>
              <w:ind w:left="113"/>
              <w:rPr>
                <w:sz w:val="13"/>
              </w:rPr>
            </w:pPr>
            <w:r>
              <w:rPr>
                <w:w w:val="105"/>
                <w:sz w:val="13"/>
              </w:rPr>
              <w:t>ATC</w:t>
            </w:r>
          </w:p>
        </w:tc>
        <w:tc>
          <w:tcPr>
            <w:tcW w:w="1057" w:type="dxa"/>
          </w:tcPr>
          <w:p>
            <w:pPr>
              <w:pStyle w:val="TableParagraph"/>
              <w:spacing w:line="154" w:lineRule="exact"/>
              <w:ind w:right="85"/>
              <w:jc w:val="right"/>
              <w:rPr>
                <w:sz w:val="13"/>
              </w:rPr>
            </w:pPr>
            <w:r>
              <w:rPr>
                <w:sz w:val="13"/>
              </w:rPr>
              <w:t>5.958,10</w:t>
            </w:r>
          </w:p>
        </w:tc>
        <w:tc>
          <w:tcPr>
            <w:tcW w:w="1094" w:type="dxa"/>
          </w:tcPr>
          <w:p>
            <w:pPr>
              <w:pStyle w:val="TableParagraph"/>
              <w:spacing w:line="154" w:lineRule="exact"/>
              <w:ind w:right="194"/>
              <w:jc w:val="right"/>
              <w:rPr>
                <w:sz w:val="13"/>
              </w:rPr>
            </w:pPr>
            <w:r>
              <w:rPr>
                <w:sz w:val="13"/>
              </w:rPr>
              <w:t>112,88</w:t>
            </w:r>
          </w:p>
        </w:tc>
        <w:tc>
          <w:tcPr>
            <w:tcW w:w="1359" w:type="dxa"/>
          </w:tcPr>
          <w:p>
            <w:pPr>
              <w:pStyle w:val="TableParagraph"/>
              <w:spacing w:line="154" w:lineRule="exact"/>
              <w:ind w:right="418"/>
              <w:jc w:val="right"/>
              <w:rPr>
                <w:sz w:val="13"/>
              </w:rPr>
            </w:pPr>
            <w:r>
              <w:rPr>
                <w:sz w:val="13"/>
              </w:rPr>
              <w:t>333,09</w:t>
            </w:r>
          </w:p>
        </w:tc>
        <w:tc>
          <w:tcPr>
            <w:tcW w:w="1140" w:type="dxa"/>
          </w:tcPr>
          <w:p>
            <w:pPr>
              <w:pStyle w:val="TableParagraph"/>
              <w:spacing w:line="154" w:lineRule="exact"/>
              <w:ind w:right="287"/>
              <w:jc w:val="right"/>
              <w:rPr>
                <w:sz w:val="13"/>
              </w:rPr>
            </w:pPr>
            <w:r>
              <w:rPr>
                <w:w w:val="103"/>
                <w:sz w:val="13"/>
              </w:rPr>
              <w:t>-</w:t>
            </w:r>
          </w:p>
        </w:tc>
        <w:tc>
          <w:tcPr>
            <w:tcW w:w="913" w:type="dxa"/>
          </w:tcPr>
          <w:p>
            <w:pPr>
              <w:pStyle w:val="TableParagraph"/>
              <w:spacing w:line="154" w:lineRule="exact"/>
              <w:ind w:right="85"/>
              <w:jc w:val="right"/>
              <w:rPr>
                <w:sz w:val="13"/>
              </w:rPr>
            </w:pPr>
            <w:r>
              <w:rPr>
                <w:sz w:val="13"/>
              </w:rPr>
              <w:t>3.044,04</w:t>
            </w:r>
          </w:p>
        </w:tc>
        <w:tc>
          <w:tcPr>
            <w:tcW w:w="1077" w:type="dxa"/>
            <w:tcBorders>
              <w:right w:val="single" w:sz="4" w:space="0" w:color="000000"/>
            </w:tcBorders>
          </w:tcPr>
          <w:p>
            <w:pPr>
              <w:pStyle w:val="TableParagraph"/>
              <w:spacing w:line="154" w:lineRule="exact"/>
              <w:ind w:right="104"/>
              <w:jc w:val="right"/>
              <w:rPr>
                <w:b/>
                <w:sz w:val="13"/>
              </w:rPr>
            </w:pPr>
            <w:r>
              <w:rPr>
                <w:b/>
                <w:w w:val="105"/>
                <w:sz w:val="13"/>
              </w:rPr>
              <w:t>9.448,11</w:t>
            </w:r>
          </w:p>
        </w:tc>
      </w:tr>
      <w:tr>
        <w:trPr>
          <w:trHeight w:val="167" w:hRule="atLeast"/>
        </w:trPr>
        <w:tc>
          <w:tcPr>
            <w:tcW w:w="806" w:type="dxa"/>
            <w:tcBorders>
              <w:left w:val="single" w:sz="4" w:space="0" w:color="000000"/>
            </w:tcBorders>
          </w:tcPr>
          <w:p>
            <w:pPr>
              <w:pStyle w:val="TableParagraph"/>
              <w:spacing w:line="148" w:lineRule="exact"/>
              <w:ind w:left="113"/>
              <w:rPr>
                <w:sz w:val="13"/>
              </w:rPr>
            </w:pPr>
            <w:r>
              <w:rPr>
                <w:w w:val="105"/>
                <w:sz w:val="13"/>
              </w:rPr>
              <w:t>RINCON</w:t>
            </w:r>
          </w:p>
        </w:tc>
        <w:tc>
          <w:tcPr>
            <w:tcW w:w="1057" w:type="dxa"/>
          </w:tcPr>
          <w:p>
            <w:pPr>
              <w:pStyle w:val="TableParagraph"/>
              <w:spacing w:line="148" w:lineRule="exact"/>
              <w:ind w:right="122"/>
              <w:jc w:val="right"/>
              <w:rPr>
                <w:sz w:val="13"/>
              </w:rPr>
            </w:pPr>
            <w:r>
              <w:rPr>
                <w:w w:val="103"/>
                <w:sz w:val="13"/>
              </w:rPr>
              <w:t>-</w:t>
            </w:r>
          </w:p>
        </w:tc>
        <w:tc>
          <w:tcPr>
            <w:tcW w:w="1094" w:type="dxa"/>
          </w:tcPr>
          <w:p>
            <w:pPr>
              <w:pStyle w:val="TableParagraph"/>
              <w:spacing w:line="148" w:lineRule="exact"/>
              <w:ind w:right="210"/>
              <w:jc w:val="right"/>
              <w:rPr>
                <w:sz w:val="13"/>
              </w:rPr>
            </w:pPr>
            <w:r>
              <w:rPr>
                <w:w w:val="103"/>
                <w:sz w:val="13"/>
              </w:rPr>
              <w:t>-</w:t>
            </w:r>
          </w:p>
        </w:tc>
        <w:tc>
          <w:tcPr>
            <w:tcW w:w="1359" w:type="dxa"/>
          </w:tcPr>
          <w:p>
            <w:pPr>
              <w:pStyle w:val="TableParagraph"/>
              <w:spacing w:line="148" w:lineRule="exact"/>
              <w:ind w:right="449"/>
              <w:jc w:val="right"/>
              <w:rPr>
                <w:sz w:val="13"/>
              </w:rPr>
            </w:pPr>
            <w:r>
              <w:rPr>
                <w:w w:val="103"/>
                <w:sz w:val="13"/>
              </w:rPr>
              <w:t>-</w:t>
            </w:r>
          </w:p>
        </w:tc>
        <w:tc>
          <w:tcPr>
            <w:tcW w:w="1140" w:type="dxa"/>
          </w:tcPr>
          <w:p>
            <w:pPr>
              <w:pStyle w:val="TableParagraph"/>
              <w:spacing w:line="148" w:lineRule="exact"/>
              <w:ind w:right="287"/>
              <w:jc w:val="right"/>
              <w:rPr>
                <w:sz w:val="13"/>
              </w:rPr>
            </w:pPr>
            <w:r>
              <w:rPr>
                <w:w w:val="103"/>
                <w:sz w:val="13"/>
              </w:rPr>
              <w:t>-</w:t>
            </w:r>
          </w:p>
        </w:tc>
        <w:tc>
          <w:tcPr>
            <w:tcW w:w="913" w:type="dxa"/>
          </w:tcPr>
          <w:p>
            <w:pPr>
              <w:pStyle w:val="TableParagraph"/>
              <w:spacing w:line="148" w:lineRule="exact"/>
              <w:ind w:right="105"/>
              <w:jc w:val="right"/>
              <w:rPr>
                <w:sz w:val="13"/>
              </w:rPr>
            </w:pPr>
            <w:r>
              <w:rPr>
                <w:w w:val="103"/>
                <w:sz w:val="13"/>
              </w:rPr>
              <w:t>-</w:t>
            </w:r>
          </w:p>
        </w:tc>
        <w:tc>
          <w:tcPr>
            <w:tcW w:w="1077" w:type="dxa"/>
            <w:tcBorders>
              <w:right w:val="single" w:sz="4" w:space="0" w:color="000000"/>
            </w:tcBorders>
          </w:tcPr>
          <w:p>
            <w:pPr>
              <w:pStyle w:val="TableParagraph"/>
              <w:spacing w:line="148" w:lineRule="exact"/>
              <w:ind w:right="149"/>
              <w:jc w:val="right"/>
              <w:rPr>
                <w:b/>
                <w:sz w:val="13"/>
              </w:rPr>
            </w:pPr>
            <w:r>
              <w:rPr>
                <w:b/>
                <w:w w:val="103"/>
                <w:sz w:val="13"/>
              </w:rPr>
              <w:t>-</w:t>
            </w:r>
          </w:p>
        </w:tc>
      </w:tr>
      <w:tr>
        <w:trPr>
          <w:trHeight w:val="175" w:hRule="atLeast"/>
        </w:trPr>
        <w:tc>
          <w:tcPr>
            <w:tcW w:w="806" w:type="dxa"/>
            <w:tcBorders>
              <w:left w:val="single" w:sz="4" w:space="0" w:color="000000"/>
            </w:tcBorders>
            <w:shd w:val="clear" w:color="auto" w:fill="D9D9D9"/>
          </w:tcPr>
          <w:p>
            <w:pPr>
              <w:pStyle w:val="TableParagraph"/>
              <w:spacing w:line="150" w:lineRule="exact" w:before="5"/>
              <w:ind w:left="236"/>
              <w:rPr>
                <w:b/>
                <w:sz w:val="13"/>
              </w:rPr>
            </w:pPr>
            <w:r>
              <w:rPr>
                <w:b/>
                <w:w w:val="105"/>
                <w:sz w:val="13"/>
              </w:rPr>
              <w:t>TOTAL</w:t>
            </w:r>
          </w:p>
        </w:tc>
        <w:tc>
          <w:tcPr>
            <w:tcW w:w="1057" w:type="dxa"/>
            <w:shd w:val="clear" w:color="auto" w:fill="D9D9D9"/>
          </w:tcPr>
          <w:p>
            <w:pPr>
              <w:pStyle w:val="TableParagraph"/>
              <w:spacing w:line="150" w:lineRule="exact" w:before="5"/>
              <w:ind w:right="95"/>
              <w:jc w:val="right"/>
              <w:rPr>
                <w:b/>
                <w:sz w:val="13"/>
              </w:rPr>
            </w:pPr>
            <w:r>
              <w:rPr>
                <w:b/>
                <w:w w:val="105"/>
                <w:sz w:val="13"/>
              </w:rPr>
              <w:t>28.684,53</w:t>
            </w:r>
          </w:p>
        </w:tc>
        <w:tc>
          <w:tcPr>
            <w:tcW w:w="1094" w:type="dxa"/>
            <w:shd w:val="clear" w:color="auto" w:fill="D9D9D9"/>
          </w:tcPr>
          <w:p>
            <w:pPr>
              <w:pStyle w:val="TableParagraph"/>
              <w:spacing w:line="150" w:lineRule="exact" w:before="5"/>
              <w:ind w:right="186"/>
              <w:jc w:val="right"/>
              <w:rPr>
                <w:b/>
                <w:sz w:val="13"/>
              </w:rPr>
            </w:pPr>
            <w:r>
              <w:rPr>
                <w:b/>
                <w:w w:val="105"/>
                <w:sz w:val="13"/>
              </w:rPr>
              <w:t>1.030,80</w:t>
            </w:r>
          </w:p>
        </w:tc>
        <w:tc>
          <w:tcPr>
            <w:tcW w:w="1359" w:type="dxa"/>
            <w:shd w:val="clear" w:color="auto" w:fill="D9D9D9"/>
          </w:tcPr>
          <w:p>
            <w:pPr>
              <w:pStyle w:val="TableParagraph"/>
              <w:spacing w:line="150" w:lineRule="exact" w:before="5"/>
              <w:ind w:right="422"/>
              <w:jc w:val="right"/>
              <w:rPr>
                <w:b/>
                <w:sz w:val="13"/>
              </w:rPr>
            </w:pPr>
            <w:r>
              <w:rPr>
                <w:b/>
                <w:w w:val="105"/>
                <w:sz w:val="13"/>
              </w:rPr>
              <w:t>11.861,70</w:t>
            </w:r>
          </w:p>
        </w:tc>
        <w:tc>
          <w:tcPr>
            <w:tcW w:w="1140" w:type="dxa"/>
            <w:shd w:val="clear" w:color="auto" w:fill="D9D9D9"/>
          </w:tcPr>
          <w:p>
            <w:pPr>
              <w:pStyle w:val="TableParagraph"/>
              <w:spacing w:line="150" w:lineRule="exact" w:before="5"/>
              <w:ind w:left="408"/>
              <w:rPr>
                <w:b/>
                <w:sz w:val="13"/>
              </w:rPr>
            </w:pPr>
            <w:r>
              <w:rPr>
                <w:b/>
                <w:w w:val="105"/>
                <w:sz w:val="13"/>
              </w:rPr>
              <w:t>9.986,72</w:t>
            </w:r>
          </w:p>
        </w:tc>
        <w:tc>
          <w:tcPr>
            <w:tcW w:w="913" w:type="dxa"/>
            <w:shd w:val="clear" w:color="auto" w:fill="D9D9D9"/>
          </w:tcPr>
          <w:p>
            <w:pPr>
              <w:pStyle w:val="TableParagraph"/>
              <w:spacing w:line="150" w:lineRule="exact" w:before="5"/>
              <w:ind w:right="83"/>
              <w:jc w:val="right"/>
              <w:rPr>
                <w:b/>
                <w:sz w:val="13"/>
              </w:rPr>
            </w:pPr>
            <w:r>
              <w:rPr>
                <w:b/>
                <w:w w:val="105"/>
                <w:sz w:val="13"/>
              </w:rPr>
              <w:t>3.335,13</w:t>
            </w:r>
          </w:p>
        </w:tc>
        <w:tc>
          <w:tcPr>
            <w:tcW w:w="1077" w:type="dxa"/>
            <w:tcBorders>
              <w:right w:val="single" w:sz="4" w:space="0" w:color="000000"/>
            </w:tcBorders>
            <w:shd w:val="clear" w:color="auto" w:fill="D9D9D9"/>
          </w:tcPr>
          <w:p>
            <w:pPr>
              <w:pStyle w:val="TableParagraph"/>
              <w:spacing w:line="150" w:lineRule="exact" w:before="5"/>
              <w:ind w:right="74"/>
              <w:jc w:val="right"/>
              <w:rPr>
                <w:b/>
                <w:sz w:val="13"/>
              </w:rPr>
            </w:pPr>
            <w:r>
              <w:rPr>
                <w:b/>
                <w:w w:val="105"/>
                <w:sz w:val="13"/>
              </w:rPr>
              <w:t>54.898,88</w:t>
            </w:r>
          </w:p>
        </w:tc>
      </w:tr>
      <w:tr>
        <w:trPr>
          <w:trHeight w:val="174" w:hRule="atLeast"/>
        </w:trPr>
        <w:tc>
          <w:tcPr>
            <w:tcW w:w="806" w:type="dxa"/>
            <w:tcBorders>
              <w:left w:val="single" w:sz="4" w:space="0" w:color="000000"/>
              <w:bottom w:val="single" w:sz="4" w:space="0" w:color="000000"/>
            </w:tcBorders>
            <w:shd w:val="clear" w:color="auto" w:fill="D9D9D9"/>
          </w:tcPr>
          <w:p>
            <w:pPr>
              <w:pStyle w:val="TableParagraph"/>
              <w:spacing w:line="149" w:lineRule="exact" w:before="5"/>
              <w:ind w:left="16"/>
              <w:jc w:val="center"/>
              <w:rPr>
                <w:b/>
                <w:sz w:val="13"/>
              </w:rPr>
            </w:pPr>
            <w:r>
              <w:rPr>
                <w:b/>
                <w:w w:val="103"/>
                <w:sz w:val="13"/>
              </w:rPr>
              <w:t>%</w:t>
            </w:r>
          </w:p>
        </w:tc>
        <w:tc>
          <w:tcPr>
            <w:tcW w:w="1057" w:type="dxa"/>
            <w:tcBorders>
              <w:bottom w:val="single" w:sz="4" w:space="0" w:color="000000"/>
            </w:tcBorders>
            <w:shd w:val="clear" w:color="auto" w:fill="D9D9D9"/>
          </w:tcPr>
          <w:p>
            <w:pPr>
              <w:pStyle w:val="TableParagraph"/>
              <w:spacing w:line="149" w:lineRule="exact" w:before="5"/>
              <w:ind w:right="65"/>
              <w:jc w:val="right"/>
              <w:rPr>
                <w:b/>
                <w:sz w:val="13"/>
              </w:rPr>
            </w:pPr>
            <w:r>
              <w:rPr>
                <w:b/>
                <w:w w:val="105"/>
                <w:sz w:val="13"/>
              </w:rPr>
              <w:t>52,2%</w:t>
            </w:r>
          </w:p>
        </w:tc>
        <w:tc>
          <w:tcPr>
            <w:tcW w:w="1094" w:type="dxa"/>
            <w:tcBorders>
              <w:bottom w:val="single" w:sz="4" w:space="0" w:color="000000"/>
            </w:tcBorders>
            <w:shd w:val="clear" w:color="auto" w:fill="D9D9D9"/>
          </w:tcPr>
          <w:p>
            <w:pPr>
              <w:pStyle w:val="TableParagraph"/>
              <w:spacing w:line="149" w:lineRule="exact" w:before="5"/>
              <w:ind w:right="170"/>
              <w:jc w:val="right"/>
              <w:rPr>
                <w:b/>
                <w:sz w:val="13"/>
              </w:rPr>
            </w:pPr>
            <w:r>
              <w:rPr>
                <w:b/>
                <w:w w:val="105"/>
                <w:sz w:val="13"/>
              </w:rPr>
              <w:t>1,9%</w:t>
            </w:r>
          </w:p>
        </w:tc>
        <w:tc>
          <w:tcPr>
            <w:tcW w:w="1359" w:type="dxa"/>
            <w:tcBorders>
              <w:bottom w:val="single" w:sz="4" w:space="0" w:color="000000"/>
            </w:tcBorders>
            <w:shd w:val="clear" w:color="auto" w:fill="D9D9D9"/>
          </w:tcPr>
          <w:p>
            <w:pPr>
              <w:pStyle w:val="TableParagraph"/>
              <w:spacing w:line="149" w:lineRule="exact" w:before="5"/>
              <w:ind w:right="402"/>
              <w:jc w:val="right"/>
              <w:rPr>
                <w:b/>
                <w:sz w:val="13"/>
              </w:rPr>
            </w:pPr>
            <w:r>
              <w:rPr>
                <w:b/>
                <w:w w:val="105"/>
                <w:sz w:val="13"/>
              </w:rPr>
              <w:t>21,6%</w:t>
            </w:r>
          </w:p>
        </w:tc>
        <w:tc>
          <w:tcPr>
            <w:tcW w:w="1140" w:type="dxa"/>
            <w:tcBorders>
              <w:bottom w:val="single" w:sz="4" w:space="0" w:color="000000"/>
            </w:tcBorders>
            <w:shd w:val="clear" w:color="auto" w:fill="D9D9D9"/>
          </w:tcPr>
          <w:p>
            <w:pPr>
              <w:pStyle w:val="TableParagraph"/>
              <w:spacing w:line="149" w:lineRule="exact" w:before="5"/>
              <w:ind w:right="215"/>
              <w:jc w:val="right"/>
              <w:rPr>
                <w:b/>
                <w:sz w:val="13"/>
              </w:rPr>
            </w:pPr>
            <w:r>
              <w:rPr>
                <w:b/>
                <w:w w:val="105"/>
                <w:sz w:val="13"/>
              </w:rPr>
              <w:t>36,4%</w:t>
            </w:r>
          </w:p>
        </w:tc>
        <w:tc>
          <w:tcPr>
            <w:tcW w:w="913" w:type="dxa"/>
            <w:tcBorders>
              <w:bottom w:val="single" w:sz="4" w:space="0" w:color="000000"/>
            </w:tcBorders>
            <w:shd w:val="clear" w:color="auto" w:fill="D9D9D9"/>
          </w:tcPr>
          <w:p>
            <w:pPr>
              <w:pStyle w:val="TableParagraph"/>
              <w:spacing w:line="149" w:lineRule="exact" w:before="5"/>
              <w:ind w:right="54"/>
              <w:jc w:val="right"/>
              <w:rPr>
                <w:b/>
                <w:sz w:val="13"/>
              </w:rPr>
            </w:pPr>
            <w:r>
              <w:rPr>
                <w:b/>
                <w:w w:val="105"/>
                <w:sz w:val="13"/>
              </w:rPr>
              <w:t>6,1%</w:t>
            </w:r>
          </w:p>
        </w:tc>
        <w:tc>
          <w:tcPr>
            <w:tcW w:w="1077" w:type="dxa"/>
            <w:tcBorders>
              <w:bottom w:val="single" w:sz="4" w:space="0" w:color="000000"/>
              <w:right w:val="single" w:sz="4" w:space="0" w:color="000000"/>
            </w:tcBorders>
          </w:tcPr>
          <w:p>
            <w:pPr>
              <w:pStyle w:val="TableParagraph"/>
              <w:rPr>
                <w:rFonts w:ascii="Times New Roman"/>
                <w:sz w:val="10"/>
              </w:rPr>
            </w:pPr>
          </w:p>
        </w:tc>
      </w:tr>
    </w:tbl>
    <w:p>
      <w:pPr>
        <w:pStyle w:val="BodyText"/>
        <w:spacing w:before="7"/>
        <w:rPr>
          <w:b/>
          <w:sz w:val="11"/>
        </w:rPr>
      </w:pPr>
    </w:p>
    <w:p>
      <w:pPr>
        <w:pStyle w:val="ListParagraph"/>
        <w:numPr>
          <w:ilvl w:val="1"/>
          <w:numId w:val="40"/>
        </w:numPr>
        <w:tabs>
          <w:tab w:pos="2335" w:val="left" w:leader="none"/>
        </w:tabs>
        <w:spacing w:line="240" w:lineRule="auto" w:before="61" w:after="0"/>
        <w:ind w:left="2334" w:right="1137" w:hanging="238"/>
        <w:jc w:val="both"/>
        <w:rPr>
          <w:sz w:val="20"/>
        </w:rPr>
      </w:pPr>
      <w:r>
        <w:rPr>
          <w:sz w:val="20"/>
        </w:rPr>
        <w:t>Se aprecia una distribución similar al ejercicio anterior, la proporción por tipo de contrato</w:t>
      </w:r>
      <w:r>
        <w:rPr>
          <w:spacing w:val="-4"/>
          <w:sz w:val="20"/>
        </w:rPr>
        <w:t> </w:t>
      </w:r>
      <w:r>
        <w:rPr>
          <w:sz w:val="20"/>
        </w:rPr>
        <w:t>está</w:t>
      </w:r>
      <w:r>
        <w:rPr>
          <w:spacing w:val="-3"/>
          <w:sz w:val="20"/>
        </w:rPr>
        <w:t> </w:t>
      </w:r>
      <w:r>
        <w:rPr>
          <w:sz w:val="20"/>
        </w:rPr>
        <w:t>muy</w:t>
      </w:r>
      <w:r>
        <w:rPr>
          <w:spacing w:val="-5"/>
          <w:sz w:val="20"/>
        </w:rPr>
        <w:t> </w:t>
      </w:r>
      <w:r>
        <w:rPr>
          <w:sz w:val="20"/>
        </w:rPr>
        <w:t>equiparada:</w:t>
      </w:r>
      <w:r>
        <w:rPr>
          <w:spacing w:val="-1"/>
          <w:sz w:val="20"/>
        </w:rPr>
        <w:t> </w:t>
      </w:r>
      <w:r>
        <w:rPr>
          <w:sz w:val="20"/>
        </w:rPr>
        <w:t>suministro,</w:t>
      </w:r>
      <w:r>
        <w:rPr>
          <w:spacing w:val="-5"/>
          <w:sz w:val="20"/>
        </w:rPr>
        <w:t> </w:t>
      </w:r>
      <w:r>
        <w:rPr>
          <w:sz w:val="20"/>
        </w:rPr>
        <w:t>un</w:t>
      </w:r>
      <w:r>
        <w:rPr>
          <w:spacing w:val="-5"/>
          <w:sz w:val="20"/>
        </w:rPr>
        <w:t> </w:t>
      </w:r>
      <w:r>
        <w:rPr>
          <w:sz w:val="20"/>
        </w:rPr>
        <w:t>35,5</w:t>
      </w:r>
      <w:r>
        <w:rPr>
          <w:spacing w:val="-3"/>
          <w:sz w:val="20"/>
        </w:rPr>
        <w:t> </w:t>
      </w:r>
      <w:r>
        <w:rPr>
          <w:sz w:val="20"/>
        </w:rPr>
        <w:t>%,</w:t>
      </w:r>
      <w:r>
        <w:rPr>
          <w:spacing w:val="-5"/>
          <w:sz w:val="20"/>
        </w:rPr>
        <w:t> </w:t>
      </w:r>
      <w:r>
        <w:rPr>
          <w:sz w:val="20"/>
        </w:rPr>
        <w:t>obras,</w:t>
      </w:r>
      <w:r>
        <w:rPr>
          <w:spacing w:val="-6"/>
          <w:sz w:val="20"/>
        </w:rPr>
        <w:t> </w:t>
      </w:r>
      <w:r>
        <w:rPr>
          <w:sz w:val="20"/>
        </w:rPr>
        <w:t>un</w:t>
      </w:r>
      <w:r>
        <w:rPr>
          <w:spacing w:val="-3"/>
          <w:sz w:val="20"/>
        </w:rPr>
        <w:t> </w:t>
      </w:r>
      <w:r>
        <w:rPr>
          <w:sz w:val="20"/>
        </w:rPr>
        <w:t>33,5</w:t>
      </w:r>
      <w:r>
        <w:rPr>
          <w:spacing w:val="-4"/>
          <w:sz w:val="20"/>
        </w:rPr>
        <w:t> </w:t>
      </w:r>
      <w:r>
        <w:rPr>
          <w:sz w:val="20"/>
        </w:rPr>
        <w:t>%,</w:t>
      </w:r>
      <w:r>
        <w:rPr>
          <w:spacing w:val="-4"/>
          <w:sz w:val="20"/>
        </w:rPr>
        <w:t> </w:t>
      </w:r>
      <w:r>
        <w:rPr>
          <w:sz w:val="20"/>
        </w:rPr>
        <w:t>y</w:t>
      </w:r>
      <w:r>
        <w:rPr>
          <w:spacing w:val="-4"/>
          <w:sz w:val="20"/>
        </w:rPr>
        <w:t> </w:t>
      </w:r>
      <w:r>
        <w:rPr>
          <w:sz w:val="20"/>
        </w:rPr>
        <w:t>servicios</w:t>
      </w:r>
      <w:r>
        <w:rPr>
          <w:spacing w:val="-3"/>
          <w:sz w:val="20"/>
        </w:rPr>
        <w:t> </w:t>
      </w:r>
      <w:r>
        <w:rPr>
          <w:sz w:val="20"/>
        </w:rPr>
        <w:t>un 31 % del total.</w:t>
      </w:r>
    </w:p>
    <w:p>
      <w:pPr>
        <w:pStyle w:val="BodyText"/>
        <w:spacing w:before="11"/>
        <w:rPr>
          <w:sz w:val="16"/>
        </w:rPr>
      </w:pPr>
    </w:p>
    <w:p>
      <w:pPr>
        <w:pStyle w:val="ListParagraph"/>
        <w:numPr>
          <w:ilvl w:val="1"/>
          <w:numId w:val="40"/>
        </w:numPr>
        <w:tabs>
          <w:tab w:pos="2335" w:val="left" w:leader="none"/>
        </w:tabs>
        <w:spacing w:line="240" w:lineRule="auto" w:before="0" w:after="0"/>
        <w:ind w:left="2334" w:right="1141" w:hanging="238"/>
        <w:jc w:val="both"/>
        <w:rPr>
          <w:sz w:val="20"/>
        </w:rPr>
      </w:pPr>
      <w:r>
        <w:rPr>
          <w:sz w:val="20"/>
        </w:rPr>
        <w:t>Lo que se refiere a los procedimientos de contratación, el más utilizado es el procedimiento abierto, que representa del 52,2 %, seguido de la adjudicación</w:t>
      </w:r>
      <w:r>
        <w:rPr>
          <w:spacing w:val="-33"/>
          <w:sz w:val="20"/>
        </w:rPr>
        <w:t> </w:t>
      </w:r>
      <w:r>
        <w:rPr>
          <w:sz w:val="20"/>
        </w:rPr>
        <w:t>directa con un 39,8 % del total, distinguiendo un 21,6 % en contratos menores y un 18,2 % en contratos de emergencia, la mayoría en el</w:t>
      </w:r>
      <w:r>
        <w:rPr>
          <w:spacing w:val="6"/>
          <w:sz w:val="20"/>
        </w:rPr>
        <w:t> </w:t>
      </w:r>
      <w:r>
        <w:rPr>
          <w:sz w:val="20"/>
        </w:rPr>
        <w:t>ICAVI.</w:t>
      </w:r>
    </w:p>
    <w:p>
      <w:pPr>
        <w:pStyle w:val="BodyText"/>
        <w:spacing w:before="1"/>
        <w:rPr>
          <w:sz w:val="17"/>
        </w:rPr>
      </w:pPr>
    </w:p>
    <w:p>
      <w:pPr>
        <w:pStyle w:val="Heading1"/>
        <w:ind w:left="2096"/>
        <w:jc w:val="both"/>
      </w:pPr>
      <w:r>
        <w:rPr/>
        <w:t>Expedientes de nulidad.</w:t>
      </w:r>
    </w:p>
    <w:p>
      <w:pPr>
        <w:pStyle w:val="BodyText"/>
        <w:spacing w:before="8"/>
        <w:rPr>
          <w:b/>
          <w:sz w:val="16"/>
        </w:rPr>
      </w:pPr>
    </w:p>
    <w:p>
      <w:pPr>
        <w:pStyle w:val="BodyText"/>
        <w:spacing w:line="242" w:lineRule="auto"/>
        <w:ind w:left="2096" w:right="1137"/>
        <w:jc w:val="both"/>
      </w:pPr>
      <w:r>
        <w:rPr/>
        <w:t>Se observa un aumento del importe de los expedientes tramitados como nulidades, sin tener en cuenta el SCS, que no rinde información en 2022. Todas las entidades, a excepción de RTVC, incrementan el saldo de nulidades en 2022, entre las que destaca el SCE, que multiplica en más de cuatro veces la cifra tramitada en 2021.</w:t>
      </w:r>
    </w:p>
    <w:p>
      <w:pPr>
        <w:pStyle w:val="BodyText"/>
        <w:spacing w:before="4"/>
        <w:rPr>
          <w:sz w:val="16"/>
        </w:rPr>
      </w:pPr>
    </w:p>
    <w:tbl>
      <w:tblPr>
        <w:tblW w:w="0" w:type="auto"/>
        <w:jc w:val="left"/>
        <w:tblInd w:w="3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4"/>
        <w:gridCol w:w="1609"/>
        <w:gridCol w:w="1388"/>
      </w:tblGrid>
      <w:tr>
        <w:trPr>
          <w:trHeight w:val="364" w:hRule="atLeast"/>
        </w:trPr>
        <w:tc>
          <w:tcPr>
            <w:tcW w:w="1374" w:type="dxa"/>
            <w:vMerge w:val="restart"/>
            <w:tcBorders>
              <w:top w:val="single" w:sz="4" w:space="0" w:color="000000"/>
              <w:left w:val="single" w:sz="4" w:space="0" w:color="000000"/>
              <w:right w:val="single" w:sz="4" w:space="0" w:color="000000"/>
            </w:tcBorders>
          </w:tcPr>
          <w:p>
            <w:pPr>
              <w:pStyle w:val="TableParagraph"/>
              <w:rPr>
                <w:sz w:val="14"/>
              </w:rPr>
            </w:pPr>
          </w:p>
          <w:p>
            <w:pPr>
              <w:pStyle w:val="TableParagraph"/>
              <w:spacing w:before="2"/>
              <w:rPr>
                <w:sz w:val="14"/>
              </w:rPr>
            </w:pPr>
          </w:p>
          <w:p>
            <w:pPr>
              <w:pStyle w:val="TableParagraph"/>
              <w:spacing w:line="220" w:lineRule="atLeast"/>
              <w:ind w:left="59" w:right="1017"/>
              <w:rPr>
                <w:b/>
                <w:sz w:val="13"/>
              </w:rPr>
            </w:pPr>
            <w:r>
              <w:rPr>
                <w:b/>
                <w:w w:val="105"/>
                <w:sz w:val="13"/>
              </w:rPr>
              <w:t>SCE </w:t>
            </w:r>
            <w:r>
              <w:rPr>
                <w:b/>
                <w:sz w:val="13"/>
              </w:rPr>
              <w:t>ICHH</w:t>
            </w:r>
          </w:p>
        </w:tc>
        <w:tc>
          <w:tcPr>
            <w:tcW w:w="2997" w:type="dxa"/>
            <w:gridSpan w:val="2"/>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20"/>
              <w:ind w:left="525"/>
              <w:rPr>
                <w:b/>
                <w:sz w:val="13"/>
              </w:rPr>
            </w:pPr>
            <w:r>
              <w:rPr>
                <w:b/>
                <w:w w:val="105"/>
                <w:sz w:val="13"/>
              </w:rPr>
              <w:t>Expedientes de nulidad tramitados</w:t>
            </w:r>
          </w:p>
          <w:p>
            <w:pPr>
              <w:pStyle w:val="TableParagraph"/>
              <w:tabs>
                <w:tab w:pos="2103" w:val="left" w:leader="none"/>
              </w:tabs>
              <w:spacing w:line="141" w:lineRule="exact" w:before="25"/>
              <w:ind w:left="606"/>
              <w:rPr>
                <w:b/>
                <w:sz w:val="13"/>
              </w:rPr>
            </w:pPr>
            <w:r>
              <w:rPr>
                <w:b/>
                <w:w w:val="105"/>
                <w:sz w:val="13"/>
              </w:rPr>
              <w:t>2021</w:t>
              <w:tab/>
              <w:t>2022</w:t>
            </w:r>
          </w:p>
        </w:tc>
      </w:tr>
      <w:tr>
        <w:trPr>
          <w:trHeight w:val="442" w:hRule="atLeast"/>
        </w:trPr>
        <w:tc>
          <w:tcPr>
            <w:tcW w:w="1374" w:type="dxa"/>
            <w:vMerge/>
            <w:tcBorders>
              <w:top w:val="nil"/>
              <w:left w:val="single" w:sz="4" w:space="0" w:color="000000"/>
              <w:right w:val="single" w:sz="4" w:space="0" w:color="000000"/>
            </w:tcBorders>
          </w:tcPr>
          <w:p>
            <w:pPr>
              <w:rPr>
                <w:sz w:val="2"/>
                <w:szCs w:val="2"/>
              </w:rPr>
            </w:pPr>
          </w:p>
        </w:tc>
        <w:tc>
          <w:tcPr>
            <w:tcW w:w="1609" w:type="dxa"/>
            <w:tcBorders>
              <w:top w:val="single" w:sz="4" w:space="0" w:color="000000"/>
              <w:left w:val="single" w:sz="4" w:space="0" w:color="000000"/>
            </w:tcBorders>
          </w:tcPr>
          <w:p>
            <w:pPr>
              <w:pStyle w:val="TableParagraph"/>
              <w:spacing w:before="30"/>
              <w:ind w:left="906"/>
              <w:rPr>
                <w:sz w:val="13"/>
              </w:rPr>
            </w:pPr>
            <w:r>
              <w:rPr>
                <w:w w:val="105"/>
                <w:sz w:val="13"/>
              </w:rPr>
              <w:t>237,48</w:t>
            </w:r>
          </w:p>
          <w:p>
            <w:pPr>
              <w:pStyle w:val="TableParagraph"/>
              <w:spacing w:before="63"/>
              <w:ind w:left="906"/>
              <w:rPr>
                <w:sz w:val="13"/>
              </w:rPr>
            </w:pPr>
            <w:r>
              <w:rPr>
                <w:w w:val="105"/>
                <w:sz w:val="13"/>
              </w:rPr>
              <w:t>528,81</w:t>
            </w:r>
          </w:p>
        </w:tc>
        <w:tc>
          <w:tcPr>
            <w:tcW w:w="1388" w:type="dxa"/>
            <w:tcBorders>
              <w:top w:val="single" w:sz="4" w:space="0" w:color="000000"/>
              <w:right w:val="single" w:sz="4" w:space="0" w:color="000000"/>
            </w:tcBorders>
          </w:tcPr>
          <w:p>
            <w:pPr>
              <w:pStyle w:val="TableParagraph"/>
              <w:spacing w:before="30"/>
              <w:ind w:left="330"/>
              <w:rPr>
                <w:sz w:val="13"/>
              </w:rPr>
            </w:pPr>
            <w:r>
              <w:rPr>
                <w:w w:val="105"/>
                <w:sz w:val="13"/>
              </w:rPr>
              <w:t>1.018,09</w:t>
            </w:r>
          </w:p>
          <w:p>
            <w:pPr>
              <w:pStyle w:val="TableParagraph"/>
              <w:spacing w:before="63"/>
              <w:ind w:left="421"/>
              <w:rPr>
                <w:sz w:val="13"/>
              </w:rPr>
            </w:pPr>
            <w:r>
              <w:rPr>
                <w:w w:val="105"/>
                <w:sz w:val="13"/>
              </w:rPr>
              <w:t>746,87</w:t>
            </w:r>
          </w:p>
        </w:tc>
      </w:tr>
      <w:tr>
        <w:trPr>
          <w:trHeight w:val="221" w:hRule="atLeast"/>
        </w:trPr>
        <w:tc>
          <w:tcPr>
            <w:tcW w:w="1374" w:type="dxa"/>
            <w:tcBorders>
              <w:left w:val="single" w:sz="4" w:space="0" w:color="000000"/>
              <w:right w:val="single" w:sz="4" w:space="0" w:color="000000"/>
            </w:tcBorders>
            <w:shd w:val="clear" w:color="auto" w:fill="F1F1F1"/>
          </w:tcPr>
          <w:p>
            <w:pPr>
              <w:pStyle w:val="TableParagraph"/>
              <w:spacing w:before="31"/>
              <w:ind w:left="59"/>
              <w:rPr>
                <w:b/>
                <w:sz w:val="13"/>
              </w:rPr>
            </w:pPr>
            <w:r>
              <w:rPr>
                <w:b/>
                <w:w w:val="105"/>
                <w:sz w:val="13"/>
              </w:rPr>
              <w:t>SCS</w:t>
            </w:r>
          </w:p>
        </w:tc>
        <w:tc>
          <w:tcPr>
            <w:tcW w:w="1609" w:type="dxa"/>
            <w:tcBorders>
              <w:left w:val="single" w:sz="4" w:space="0" w:color="000000"/>
            </w:tcBorders>
            <w:shd w:val="clear" w:color="auto" w:fill="F1F1F1"/>
          </w:tcPr>
          <w:p>
            <w:pPr>
              <w:pStyle w:val="TableParagraph"/>
              <w:spacing w:before="31"/>
              <w:ind w:right="318"/>
              <w:jc w:val="right"/>
              <w:rPr>
                <w:b/>
                <w:sz w:val="13"/>
              </w:rPr>
            </w:pPr>
            <w:r>
              <w:rPr>
                <w:b/>
                <w:w w:val="105"/>
                <w:sz w:val="13"/>
              </w:rPr>
              <w:t>485.116,84</w:t>
            </w:r>
          </w:p>
        </w:tc>
        <w:tc>
          <w:tcPr>
            <w:tcW w:w="1388" w:type="dxa"/>
            <w:tcBorders>
              <w:right w:val="single" w:sz="4" w:space="0" w:color="000000"/>
            </w:tcBorders>
            <w:shd w:val="clear" w:color="auto" w:fill="F1F1F1"/>
          </w:tcPr>
          <w:p>
            <w:pPr>
              <w:pStyle w:val="TableParagraph"/>
              <w:spacing w:before="31"/>
              <w:ind w:left="380"/>
              <w:rPr>
                <w:b/>
                <w:sz w:val="13"/>
              </w:rPr>
            </w:pPr>
            <w:r>
              <w:rPr>
                <w:b/>
                <w:w w:val="105"/>
                <w:sz w:val="13"/>
              </w:rPr>
              <w:t>Sin datos</w:t>
            </w:r>
          </w:p>
        </w:tc>
      </w:tr>
      <w:tr>
        <w:trPr>
          <w:trHeight w:val="232" w:hRule="atLeast"/>
        </w:trPr>
        <w:tc>
          <w:tcPr>
            <w:tcW w:w="1374" w:type="dxa"/>
            <w:tcBorders>
              <w:left w:val="single" w:sz="4" w:space="0" w:color="000000"/>
              <w:right w:val="single" w:sz="4" w:space="0" w:color="000000"/>
            </w:tcBorders>
          </w:tcPr>
          <w:p>
            <w:pPr>
              <w:pStyle w:val="TableParagraph"/>
              <w:spacing w:before="32"/>
              <w:ind w:left="59"/>
              <w:rPr>
                <w:b/>
                <w:sz w:val="13"/>
              </w:rPr>
            </w:pPr>
            <w:r>
              <w:rPr>
                <w:b/>
                <w:w w:val="105"/>
                <w:sz w:val="13"/>
              </w:rPr>
              <w:t>ICCA</w:t>
            </w:r>
          </w:p>
        </w:tc>
        <w:tc>
          <w:tcPr>
            <w:tcW w:w="1609" w:type="dxa"/>
            <w:tcBorders>
              <w:left w:val="single" w:sz="4" w:space="0" w:color="000000"/>
            </w:tcBorders>
          </w:tcPr>
          <w:p>
            <w:pPr>
              <w:pStyle w:val="TableParagraph"/>
              <w:spacing w:before="32"/>
              <w:ind w:right="319"/>
              <w:jc w:val="right"/>
              <w:rPr>
                <w:sz w:val="13"/>
              </w:rPr>
            </w:pPr>
            <w:r>
              <w:rPr>
                <w:sz w:val="13"/>
              </w:rPr>
              <w:t>5,03</w:t>
            </w:r>
          </w:p>
        </w:tc>
        <w:tc>
          <w:tcPr>
            <w:tcW w:w="1388" w:type="dxa"/>
            <w:tcBorders>
              <w:right w:val="single" w:sz="4" w:space="0" w:color="000000"/>
            </w:tcBorders>
          </w:tcPr>
          <w:p>
            <w:pPr>
              <w:pStyle w:val="TableParagraph"/>
              <w:spacing w:before="32"/>
              <w:ind w:left="461" w:right="570"/>
              <w:jc w:val="center"/>
              <w:rPr>
                <w:sz w:val="13"/>
              </w:rPr>
            </w:pPr>
            <w:r>
              <w:rPr>
                <w:w w:val="105"/>
                <w:sz w:val="13"/>
              </w:rPr>
              <w:t>64,12</w:t>
            </w:r>
          </w:p>
        </w:tc>
      </w:tr>
      <w:tr>
        <w:trPr>
          <w:trHeight w:val="221" w:hRule="atLeast"/>
        </w:trPr>
        <w:tc>
          <w:tcPr>
            <w:tcW w:w="1374" w:type="dxa"/>
            <w:tcBorders>
              <w:left w:val="single" w:sz="4" w:space="0" w:color="000000"/>
              <w:right w:val="single" w:sz="4" w:space="0" w:color="000000"/>
            </w:tcBorders>
          </w:tcPr>
          <w:p>
            <w:pPr>
              <w:pStyle w:val="TableParagraph"/>
              <w:spacing w:before="20"/>
              <w:ind w:left="59"/>
              <w:rPr>
                <w:b/>
                <w:sz w:val="13"/>
              </w:rPr>
            </w:pPr>
            <w:r>
              <w:rPr>
                <w:b/>
                <w:w w:val="105"/>
                <w:sz w:val="13"/>
              </w:rPr>
              <w:t>ACPMN</w:t>
            </w:r>
          </w:p>
        </w:tc>
        <w:tc>
          <w:tcPr>
            <w:tcW w:w="1609" w:type="dxa"/>
            <w:tcBorders>
              <w:left w:val="single" w:sz="4" w:space="0" w:color="000000"/>
            </w:tcBorders>
          </w:tcPr>
          <w:p>
            <w:pPr>
              <w:pStyle w:val="TableParagraph"/>
              <w:spacing w:before="20"/>
              <w:ind w:right="319"/>
              <w:jc w:val="right"/>
              <w:rPr>
                <w:sz w:val="13"/>
              </w:rPr>
            </w:pPr>
            <w:r>
              <w:rPr>
                <w:sz w:val="13"/>
              </w:rPr>
              <w:t>35,06</w:t>
            </w:r>
          </w:p>
        </w:tc>
        <w:tc>
          <w:tcPr>
            <w:tcW w:w="1388" w:type="dxa"/>
            <w:tcBorders>
              <w:right w:val="single" w:sz="4" w:space="0" w:color="000000"/>
            </w:tcBorders>
          </w:tcPr>
          <w:p>
            <w:pPr>
              <w:pStyle w:val="TableParagraph"/>
              <w:spacing w:before="20"/>
              <w:ind w:left="421"/>
              <w:rPr>
                <w:sz w:val="13"/>
              </w:rPr>
            </w:pPr>
            <w:r>
              <w:rPr>
                <w:w w:val="105"/>
                <w:sz w:val="13"/>
              </w:rPr>
              <w:t>240,37</w:t>
            </w:r>
          </w:p>
        </w:tc>
      </w:tr>
      <w:tr>
        <w:trPr>
          <w:trHeight w:val="221" w:hRule="atLeast"/>
        </w:trPr>
        <w:tc>
          <w:tcPr>
            <w:tcW w:w="1374" w:type="dxa"/>
            <w:tcBorders>
              <w:left w:val="single" w:sz="4" w:space="0" w:color="000000"/>
              <w:right w:val="single" w:sz="4" w:space="0" w:color="000000"/>
            </w:tcBorders>
          </w:tcPr>
          <w:p>
            <w:pPr>
              <w:pStyle w:val="TableParagraph"/>
              <w:spacing w:before="20"/>
              <w:ind w:left="59"/>
              <w:rPr>
                <w:b/>
                <w:sz w:val="13"/>
              </w:rPr>
            </w:pPr>
            <w:r>
              <w:rPr>
                <w:b/>
                <w:w w:val="105"/>
                <w:sz w:val="13"/>
              </w:rPr>
              <w:t>ATC</w:t>
            </w:r>
          </w:p>
        </w:tc>
        <w:tc>
          <w:tcPr>
            <w:tcW w:w="1609" w:type="dxa"/>
            <w:tcBorders>
              <w:left w:val="single" w:sz="4" w:space="0" w:color="000000"/>
            </w:tcBorders>
          </w:tcPr>
          <w:p>
            <w:pPr>
              <w:pStyle w:val="TableParagraph"/>
              <w:spacing w:before="20"/>
              <w:ind w:right="320"/>
              <w:jc w:val="right"/>
              <w:rPr>
                <w:sz w:val="13"/>
              </w:rPr>
            </w:pPr>
            <w:r>
              <w:rPr>
                <w:w w:val="103"/>
                <w:sz w:val="13"/>
              </w:rPr>
              <w:t>0</w:t>
            </w:r>
          </w:p>
        </w:tc>
        <w:tc>
          <w:tcPr>
            <w:tcW w:w="1388" w:type="dxa"/>
            <w:tcBorders>
              <w:right w:val="single" w:sz="4" w:space="0" w:color="000000"/>
            </w:tcBorders>
          </w:tcPr>
          <w:p>
            <w:pPr>
              <w:pStyle w:val="TableParagraph"/>
              <w:spacing w:before="20"/>
              <w:ind w:left="421"/>
              <w:rPr>
                <w:sz w:val="13"/>
              </w:rPr>
            </w:pPr>
            <w:r>
              <w:rPr>
                <w:w w:val="105"/>
                <w:sz w:val="13"/>
              </w:rPr>
              <w:t>101,37</w:t>
            </w:r>
          </w:p>
        </w:tc>
      </w:tr>
      <w:tr>
        <w:trPr>
          <w:trHeight w:val="210" w:hRule="atLeast"/>
        </w:trPr>
        <w:tc>
          <w:tcPr>
            <w:tcW w:w="1374" w:type="dxa"/>
            <w:tcBorders>
              <w:left w:val="single" w:sz="4" w:space="0" w:color="000000"/>
              <w:bottom w:val="single" w:sz="4" w:space="0" w:color="000000"/>
              <w:right w:val="single" w:sz="4" w:space="0" w:color="000000"/>
            </w:tcBorders>
          </w:tcPr>
          <w:p>
            <w:pPr>
              <w:pStyle w:val="TableParagraph"/>
              <w:spacing w:before="20"/>
              <w:ind w:left="59"/>
              <w:rPr>
                <w:b/>
                <w:sz w:val="13"/>
              </w:rPr>
            </w:pPr>
            <w:r>
              <w:rPr>
                <w:b/>
                <w:w w:val="105"/>
                <w:sz w:val="13"/>
              </w:rPr>
              <w:t>RTVC</w:t>
            </w:r>
          </w:p>
        </w:tc>
        <w:tc>
          <w:tcPr>
            <w:tcW w:w="1609" w:type="dxa"/>
            <w:tcBorders>
              <w:left w:val="single" w:sz="4" w:space="0" w:color="000000"/>
              <w:bottom w:val="single" w:sz="4" w:space="0" w:color="000000"/>
            </w:tcBorders>
          </w:tcPr>
          <w:p>
            <w:pPr>
              <w:pStyle w:val="TableParagraph"/>
              <w:spacing w:before="20"/>
              <w:ind w:right="319"/>
              <w:jc w:val="right"/>
              <w:rPr>
                <w:sz w:val="13"/>
              </w:rPr>
            </w:pPr>
            <w:r>
              <w:rPr>
                <w:sz w:val="13"/>
              </w:rPr>
              <w:t>96,64</w:t>
            </w:r>
          </w:p>
        </w:tc>
        <w:tc>
          <w:tcPr>
            <w:tcW w:w="1388" w:type="dxa"/>
            <w:tcBorders>
              <w:bottom w:val="single" w:sz="4" w:space="0" w:color="000000"/>
              <w:right w:val="single" w:sz="4" w:space="0" w:color="000000"/>
            </w:tcBorders>
          </w:tcPr>
          <w:p>
            <w:pPr>
              <w:pStyle w:val="TableParagraph"/>
              <w:spacing w:before="20"/>
              <w:ind w:left="461" w:right="518"/>
              <w:jc w:val="center"/>
              <w:rPr>
                <w:sz w:val="13"/>
              </w:rPr>
            </w:pPr>
            <w:r>
              <w:rPr>
                <w:w w:val="105"/>
                <w:sz w:val="13"/>
              </w:rPr>
              <w:t>1,50</w:t>
            </w:r>
          </w:p>
        </w:tc>
      </w:tr>
      <w:tr>
        <w:trPr>
          <w:trHeight w:val="294" w:hRule="atLeast"/>
        </w:trPr>
        <w:tc>
          <w:tcPr>
            <w:tcW w:w="1374" w:type="dxa"/>
            <w:tcBorders>
              <w:top w:val="single" w:sz="4" w:space="0" w:color="000000"/>
              <w:left w:val="single" w:sz="4" w:space="0" w:color="000000"/>
              <w:bottom w:val="single" w:sz="4" w:space="0" w:color="000000"/>
            </w:tcBorders>
            <w:shd w:val="clear" w:color="auto" w:fill="D9D9D9"/>
          </w:tcPr>
          <w:p>
            <w:pPr>
              <w:pStyle w:val="TableParagraph"/>
              <w:spacing w:before="68"/>
              <w:ind w:left="172"/>
              <w:rPr>
                <w:b/>
                <w:sz w:val="13"/>
              </w:rPr>
            </w:pPr>
            <w:r>
              <w:rPr>
                <w:b/>
                <w:w w:val="105"/>
                <w:sz w:val="13"/>
              </w:rPr>
              <w:t>TOTAL (</w:t>
            </w:r>
            <w:r>
              <w:rPr>
                <w:w w:val="105"/>
                <w:sz w:val="13"/>
              </w:rPr>
              <w:t>miles de €</w:t>
            </w:r>
            <w:r>
              <w:rPr>
                <w:b/>
                <w:w w:val="105"/>
                <w:sz w:val="13"/>
              </w:rPr>
              <w:t>)</w:t>
            </w:r>
          </w:p>
        </w:tc>
        <w:tc>
          <w:tcPr>
            <w:tcW w:w="1609" w:type="dxa"/>
            <w:tcBorders>
              <w:top w:val="single" w:sz="4" w:space="0" w:color="000000"/>
              <w:bottom w:val="single" w:sz="4" w:space="0" w:color="000000"/>
            </w:tcBorders>
            <w:shd w:val="clear" w:color="auto" w:fill="D9D9D9"/>
          </w:tcPr>
          <w:p>
            <w:pPr>
              <w:pStyle w:val="TableParagraph"/>
              <w:spacing w:before="68"/>
              <w:ind w:right="320"/>
              <w:jc w:val="right"/>
              <w:rPr>
                <w:b/>
                <w:sz w:val="13"/>
              </w:rPr>
            </w:pPr>
            <w:r>
              <w:rPr>
                <w:b/>
                <w:w w:val="105"/>
                <w:sz w:val="13"/>
              </w:rPr>
              <w:t>486.019,86</w:t>
            </w:r>
          </w:p>
        </w:tc>
        <w:tc>
          <w:tcPr>
            <w:tcW w:w="1388" w:type="dxa"/>
            <w:tcBorders>
              <w:top w:val="single" w:sz="4" w:space="0" w:color="000000"/>
              <w:bottom w:val="single" w:sz="4" w:space="0" w:color="000000"/>
              <w:right w:val="single" w:sz="4" w:space="0" w:color="000000"/>
            </w:tcBorders>
            <w:shd w:val="clear" w:color="auto" w:fill="D9D9D9"/>
          </w:tcPr>
          <w:p>
            <w:pPr>
              <w:pStyle w:val="TableParagraph"/>
              <w:spacing w:before="68"/>
              <w:ind w:left="330"/>
              <w:rPr>
                <w:b/>
                <w:sz w:val="13"/>
              </w:rPr>
            </w:pPr>
            <w:r>
              <w:rPr>
                <w:b/>
                <w:w w:val="105"/>
                <w:sz w:val="13"/>
              </w:rPr>
              <w:t>2.172,32</w:t>
            </w:r>
          </w:p>
        </w:tc>
      </w:tr>
    </w:tbl>
    <w:p>
      <w:pPr>
        <w:pStyle w:val="BodyText"/>
        <w:spacing w:before="5"/>
        <w:rPr>
          <w:sz w:val="15"/>
        </w:rPr>
      </w:pPr>
    </w:p>
    <w:p>
      <w:pPr>
        <w:pStyle w:val="BodyText"/>
        <w:spacing w:before="60"/>
        <w:ind w:left="7897"/>
        <w:jc w:val="center"/>
      </w:pPr>
      <w:r>
        <w:rPr/>
        <w:t>89</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89" name="image5.png"/>
                  <wp:cNvGraphicFramePr>
                    <a:graphicFrameLocks noChangeAspect="1"/>
                  </wp:cNvGraphicFramePr>
                  <a:graphic>
                    <a:graphicData uri="http://schemas.openxmlformats.org/drawingml/2006/picture">
                      <pic:pic>
                        <pic:nvPicPr>
                          <pic:cNvPr id="19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91/247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1"/>
          <w:numId w:val="26"/>
        </w:numPr>
        <w:tabs>
          <w:tab w:pos="2581" w:val="left" w:leader="none"/>
          <w:tab w:pos="2582" w:val="left" w:leader="none"/>
        </w:tabs>
        <w:spacing w:line="240" w:lineRule="auto" w:before="61" w:after="0"/>
        <w:ind w:left="2581" w:right="0" w:hanging="486"/>
        <w:jc w:val="left"/>
        <w:rPr>
          <w:b/>
          <w:sz w:val="20"/>
        </w:rPr>
      </w:pPr>
      <w:r>
        <w:rPr>
          <w:b/>
          <w:color w:val="53A1B9"/>
          <w:sz w:val="20"/>
        </w:rPr>
        <w:t>SERVICIO CANARIO DE LA</w:t>
      </w:r>
      <w:r>
        <w:rPr>
          <w:b/>
          <w:color w:val="53A1B9"/>
          <w:spacing w:val="2"/>
          <w:sz w:val="20"/>
        </w:rPr>
        <w:t> </w:t>
      </w:r>
      <w:r>
        <w:rPr>
          <w:b/>
          <w:color w:val="53A1B9"/>
          <w:sz w:val="20"/>
        </w:rPr>
        <w:t>SALUD.</w:t>
      </w:r>
    </w:p>
    <w:p>
      <w:pPr>
        <w:pStyle w:val="BodyText"/>
        <w:spacing w:before="8"/>
        <w:rPr>
          <w:b/>
          <w:sz w:val="16"/>
        </w:rPr>
      </w:pPr>
    </w:p>
    <w:p>
      <w:pPr>
        <w:pStyle w:val="Heading1"/>
        <w:numPr>
          <w:ilvl w:val="2"/>
          <w:numId w:val="26"/>
        </w:numPr>
        <w:tabs>
          <w:tab w:pos="2691" w:val="left" w:leader="none"/>
        </w:tabs>
        <w:spacing w:line="240" w:lineRule="auto" w:before="0" w:after="0"/>
        <w:ind w:left="2690" w:right="0" w:hanging="605"/>
        <w:jc w:val="left"/>
      </w:pPr>
      <w:bookmarkStart w:name="_TOC_250021" w:id="1"/>
      <w:bookmarkEnd w:id="1"/>
      <w:r>
        <w:rPr>
          <w:color w:val="53A1B9"/>
        </w:rPr>
        <w:t>Organización.</w:t>
      </w:r>
    </w:p>
    <w:p>
      <w:pPr>
        <w:pStyle w:val="BodyText"/>
        <w:spacing w:before="8"/>
        <w:rPr>
          <w:b/>
          <w:sz w:val="16"/>
        </w:rPr>
      </w:pPr>
    </w:p>
    <w:p>
      <w:pPr>
        <w:pStyle w:val="ListParagraph"/>
        <w:numPr>
          <w:ilvl w:val="0"/>
          <w:numId w:val="45"/>
        </w:numPr>
        <w:tabs>
          <w:tab w:pos="2453" w:val="left" w:leader="none"/>
        </w:tabs>
        <w:spacing w:line="242" w:lineRule="auto" w:before="0" w:after="0"/>
        <w:ind w:left="2452" w:right="1137" w:hanging="357"/>
        <w:jc w:val="both"/>
        <w:rPr>
          <w:sz w:val="20"/>
        </w:rPr>
      </w:pPr>
      <w:r>
        <w:rPr>
          <w:sz w:val="20"/>
        </w:rPr>
        <w:t>El Decreto 32/1995, de 24 de febrero, por el que se aprueba el Reglamento de Organización y Funcionamiento del SCS, establece la configuración de su estructura básica, constituida por 24 órganos, así como la asignación a cada uno de ellos de su esquema funcional. Para ello se dota al Servicio de una estructura especializada, distinguiendo, dentro de la misma, los principales procesos de gestión sanitaria, en particular, los de ordenación y planificación sanitaria, de aquellos otros de intervención administrativa, de prestación de servicio y de administración y control de recursos, sin que tenga reflejo, no obstante, su estructura orgánica actual en el Decreto</w:t>
      </w:r>
      <w:r>
        <w:rPr>
          <w:spacing w:val="1"/>
          <w:sz w:val="20"/>
        </w:rPr>
        <w:t> </w:t>
      </w:r>
      <w:r>
        <w:rPr>
          <w:sz w:val="20"/>
        </w:rPr>
        <w:t>32/1995.</w:t>
      </w:r>
    </w:p>
    <w:p>
      <w:pPr>
        <w:pStyle w:val="BodyText"/>
        <w:spacing w:before="2"/>
        <w:rPr>
          <w:sz w:val="16"/>
        </w:rPr>
      </w:pPr>
    </w:p>
    <w:p>
      <w:pPr>
        <w:pStyle w:val="ListParagraph"/>
        <w:numPr>
          <w:ilvl w:val="0"/>
          <w:numId w:val="45"/>
        </w:numPr>
        <w:tabs>
          <w:tab w:pos="2453" w:val="left" w:leader="none"/>
        </w:tabs>
        <w:spacing w:line="240" w:lineRule="auto" w:before="0" w:after="0"/>
        <w:ind w:left="2452" w:right="1140" w:hanging="357"/>
        <w:jc w:val="both"/>
        <w:rPr>
          <w:sz w:val="20"/>
        </w:rPr>
      </w:pPr>
      <w:r>
        <w:rPr>
          <w:sz w:val="20"/>
        </w:rPr>
        <w:t>A la Dirección del SCS le corresponde la regulación interna de los servicios, gestión económica y contable, ejecución y evaluación. Bajo su dependencia están las Direcciones Generales de Programas Asistenciales, de Recursos Económicos, de Recursos Humanos y de Salud</w:t>
      </w:r>
      <w:r>
        <w:rPr>
          <w:spacing w:val="-2"/>
          <w:sz w:val="20"/>
        </w:rPr>
        <w:t> </w:t>
      </w:r>
      <w:r>
        <w:rPr>
          <w:sz w:val="20"/>
        </w:rPr>
        <w:t>Pública.</w:t>
      </w:r>
    </w:p>
    <w:p>
      <w:pPr>
        <w:pStyle w:val="BodyText"/>
        <w:spacing w:before="1"/>
        <w:rPr>
          <w:sz w:val="17"/>
        </w:rPr>
      </w:pPr>
    </w:p>
    <w:p>
      <w:pPr>
        <w:pStyle w:val="BodyText"/>
        <w:spacing w:line="242" w:lineRule="auto"/>
        <w:ind w:left="2452" w:right="1139"/>
        <w:jc w:val="both"/>
      </w:pPr>
      <w:r>
        <w:rPr/>
        <w:t>Además, para garantizar la adecuada gestión de los proyectos financiados con fondos europeos del MRR y REACT-EU, la Orden conjunta de 23 de diciembre de 2021 crea las siguientes Unidades Administrativas con carácter provisional, con una plantilla específica, y que también dependen de la Dirección del SCS. Esta Unidades son las previstas en el Instrumento de Planificación Estratégico aprobado en octubre</w:t>
      </w:r>
      <w:r>
        <w:rPr>
          <w:spacing w:val="-4"/>
        </w:rPr>
        <w:t> </w:t>
      </w:r>
      <w:r>
        <w:rPr/>
        <w:t>de</w:t>
      </w:r>
      <w:r>
        <w:rPr>
          <w:spacing w:val="-4"/>
        </w:rPr>
        <w:t> </w:t>
      </w:r>
      <w:r>
        <w:rPr/>
        <w:t>2021</w:t>
      </w:r>
      <w:r>
        <w:rPr>
          <w:spacing w:val="-3"/>
        </w:rPr>
        <w:t> </w:t>
      </w:r>
      <w:r>
        <w:rPr/>
        <w:t>por</w:t>
      </w:r>
      <w:r>
        <w:rPr>
          <w:spacing w:val="-4"/>
        </w:rPr>
        <w:t> </w:t>
      </w:r>
      <w:r>
        <w:rPr/>
        <w:t>la</w:t>
      </w:r>
      <w:r>
        <w:rPr>
          <w:spacing w:val="-1"/>
        </w:rPr>
        <w:t> </w:t>
      </w:r>
      <w:r>
        <w:rPr/>
        <w:t>Comisión</w:t>
      </w:r>
      <w:r>
        <w:rPr>
          <w:spacing w:val="-3"/>
        </w:rPr>
        <w:t> </w:t>
      </w:r>
      <w:r>
        <w:rPr/>
        <w:t>de</w:t>
      </w:r>
      <w:r>
        <w:rPr>
          <w:spacing w:val="-5"/>
        </w:rPr>
        <w:t> </w:t>
      </w:r>
      <w:r>
        <w:rPr/>
        <w:t>Planificación</w:t>
      </w:r>
      <w:r>
        <w:rPr>
          <w:spacing w:val="-5"/>
        </w:rPr>
        <w:t> </w:t>
      </w:r>
      <w:r>
        <w:rPr/>
        <w:t>y</w:t>
      </w:r>
      <w:r>
        <w:rPr>
          <w:spacing w:val="-2"/>
        </w:rPr>
        <w:t> </w:t>
      </w:r>
      <w:r>
        <w:rPr/>
        <w:t>Gobernanza</w:t>
      </w:r>
      <w:r>
        <w:rPr>
          <w:spacing w:val="-4"/>
        </w:rPr>
        <w:t> </w:t>
      </w:r>
      <w:r>
        <w:rPr/>
        <w:t>de</w:t>
      </w:r>
      <w:r>
        <w:rPr>
          <w:spacing w:val="-3"/>
        </w:rPr>
        <w:t> </w:t>
      </w:r>
      <w:r>
        <w:rPr/>
        <w:t>los</w:t>
      </w:r>
      <w:r>
        <w:rPr>
          <w:spacing w:val="-4"/>
        </w:rPr>
        <w:t> </w:t>
      </w:r>
      <w:r>
        <w:rPr/>
        <w:t>fondos</w:t>
      </w:r>
      <w:r>
        <w:rPr>
          <w:spacing w:val="-2"/>
        </w:rPr>
        <w:t> </w:t>
      </w:r>
      <w:r>
        <w:rPr/>
        <w:t>«Next Generation EU»:</w:t>
      </w:r>
    </w:p>
    <w:p>
      <w:pPr>
        <w:pStyle w:val="BodyText"/>
        <w:spacing w:before="3"/>
        <w:rPr>
          <w:sz w:val="16"/>
        </w:rPr>
      </w:pPr>
    </w:p>
    <w:p>
      <w:pPr>
        <w:pStyle w:val="ListParagraph"/>
        <w:numPr>
          <w:ilvl w:val="1"/>
          <w:numId w:val="45"/>
        </w:numPr>
        <w:tabs>
          <w:tab w:pos="2691" w:val="left" w:leader="none"/>
        </w:tabs>
        <w:spacing w:line="240" w:lineRule="auto" w:before="0" w:after="0"/>
        <w:ind w:left="2690" w:right="0" w:hanging="236"/>
        <w:jc w:val="left"/>
        <w:rPr>
          <w:sz w:val="20"/>
        </w:rPr>
      </w:pPr>
      <w:r>
        <w:rPr>
          <w:sz w:val="20"/>
        </w:rPr>
        <w:t>Subdirección de Gestión de Asuntos Generales.</w:t>
      </w:r>
    </w:p>
    <w:p>
      <w:pPr>
        <w:pStyle w:val="ListParagraph"/>
        <w:numPr>
          <w:ilvl w:val="1"/>
          <w:numId w:val="45"/>
        </w:numPr>
        <w:tabs>
          <w:tab w:pos="2691" w:val="left" w:leader="none"/>
        </w:tabs>
        <w:spacing w:line="240" w:lineRule="auto" w:before="2" w:after="0"/>
        <w:ind w:left="2690" w:right="0" w:hanging="236"/>
        <w:jc w:val="left"/>
        <w:rPr>
          <w:sz w:val="20"/>
        </w:rPr>
      </w:pPr>
      <w:r>
        <w:rPr>
          <w:sz w:val="20"/>
        </w:rPr>
        <w:t>Subdirección de Gestión de Coordinación Económico-Administrativa.</w:t>
      </w:r>
    </w:p>
    <w:p>
      <w:pPr>
        <w:pStyle w:val="ListParagraph"/>
        <w:numPr>
          <w:ilvl w:val="1"/>
          <w:numId w:val="45"/>
        </w:numPr>
        <w:tabs>
          <w:tab w:pos="2691" w:val="left" w:leader="none"/>
        </w:tabs>
        <w:spacing w:line="240" w:lineRule="auto" w:before="1" w:after="0"/>
        <w:ind w:left="2690" w:right="0" w:hanging="236"/>
        <w:jc w:val="left"/>
        <w:rPr>
          <w:sz w:val="20"/>
        </w:rPr>
      </w:pPr>
      <w:r>
        <w:rPr>
          <w:sz w:val="20"/>
        </w:rPr>
        <w:t>Subdirección de Gestión de</w:t>
      </w:r>
      <w:r>
        <w:rPr>
          <w:spacing w:val="-1"/>
          <w:sz w:val="20"/>
        </w:rPr>
        <w:t> </w:t>
      </w:r>
      <w:r>
        <w:rPr>
          <w:sz w:val="20"/>
        </w:rPr>
        <w:t>Contratación.</w:t>
      </w:r>
    </w:p>
    <w:p>
      <w:pPr>
        <w:pStyle w:val="ListParagraph"/>
        <w:numPr>
          <w:ilvl w:val="1"/>
          <w:numId w:val="45"/>
        </w:numPr>
        <w:tabs>
          <w:tab w:pos="2691" w:val="left" w:leader="none"/>
        </w:tabs>
        <w:spacing w:line="240" w:lineRule="auto" w:before="2" w:after="0"/>
        <w:ind w:left="2690" w:right="0" w:hanging="236"/>
        <w:jc w:val="left"/>
        <w:rPr>
          <w:sz w:val="20"/>
        </w:rPr>
      </w:pPr>
      <w:r>
        <w:rPr>
          <w:sz w:val="20"/>
        </w:rPr>
        <w:t>Subdirección de Gestión de la Innovación y Salud</w:t>
      </w:r>
      <w:r>
        <w:rPr>
          <w:spacing w:val="-2"/>
          <w:sz w:val="20"/>
        </w:rPr>
        <w:t> </w:t>
      </w:r>
      <w:r>
        <w:rPr>
          <w:sz w:val="20"/>
        </w:rPr>
        <w:t>Digital.</w:t>
      </w:r>
    </w:p>
    <w:p>
      <w:pPr>
        <w:pStyle w:val="ListParagraph"/>
        <w:numPr>
          <w:ilvl w:val="1"/>
          <w:numId w:val="45"/>
        </w:numPr>
        <w:tabs>
          <w:tab w:pos="2691" w:val="left" w:leader="none"/>
        </w:tabs>
        <w:spacing w:line="240" w:lineRule="auto" w:before="2" w:after="0"/>
        <w:ind w:left="2690" w:right="0" w:hanging="236"/>
        <w:jc w:val="left"/>
        <w:rPr>
          <w:sz w:val="20"/>
        </w:rPr>
      </w:pPr>
      <w:r>
        <w:rPr>
          <w:sz w:val="20"/>
        </w:rPr>
        <w:t>Subdirección de Gestión de Gestión de Proyectos</w:t>
      </w:r>
      <w:r>
        <w:rPr>
          <w:spacing w:val="-2"/>
          <w:sz w:val="20"/>
        </w:rPr>
        <w:t> </w:t>
      </w:r>
      <w:r>
        <w:rPr>
          <w:sz w:val="20"/>
        </w:rPr>
        <w:t>Europeos.</w:t>
      </w:r>
    </w:p>
    <w:p>
      <w:pPr>
        <w:pStyle w:val="ListParagraph"/>
        <w:numPr>
          <w:ilvl w:val="1"/>
          <w:numId w:val="45"/>
        </w:numPr>
        <w:tabs>
          <w:tab w:pos="2691" w:val="left" w:leader="none"/>
        </w:tabs>
        <w:spacing w:line="240" w:lineRule="auto" w:before="2" w:after="0"/>
        <w:ind w:left="2690" w:right="0" w:hanging="239"/>
        <w:jc w:val="left"/>
        <w:rPr>
          <w:sz w:val="20"/>
        </w:rPr>
      </w:pPr>
      <w:r>
        <w:rPr>
          <w:sz w:val="20"/>
        </w:rPr>
        <w:t>Subdirección de Gestión de Sostenibilidad y Transición</w:t>
      </w:r>
      <w:r>
        <w:rPr>
          <w:spacing w:val="2"/>
          <w:sz w:val="20"/>
        </w:rPr>
        <w:t> </w:t>
      </w:r>
      <w:r>
        <w:rPr>
          <w:sz w:val="20"/>
        </w:rPr>
        <w:t>Ecológica.</w:t>
      </w:r>
    </w:p>
    <w:p>
      <w:pPr>
        <w:pStyle w:val="BodyText"/>
        <w:spacing w:before="7"/>
        <w:rPr>
          <w:sz w:val="16"/>
        </w:rPr>
      </w:pPr>
    </w:p>
    <w:p>
      <w:pPr>
        <w:pStyle w:val="ListParagraph"/>
        <w:numPr>
          <w:ilvl w:val="0"/>
          <w:numId w:val="45"/>
        </w:numPr>
        <w:tabs>
          <w:tab w:pos="2456" w:val="left" w:leader="none"/>
        </w:tabs>
        <w:spacing w:line="242" w:lineRule="auto" w:before="0" w:after="0"/>
        <w:ind w:left="2455" w:right="1137" w:hanging="359"/>
        <w:jc w:val="both"/>
        <w:rPr>
          <w:sz w:val="20"/>
        </w:rPr>
      </w:pPr>
      <w:r>
        <w:rPr>
          <w:sz w:val="20"/>
        </w:rPr>
        <w:t>Territorialmente,</w:t>
      </w:r>
      <w:r>
        <w:rPr>
          <w:spacing w:val="-2"/>
          <w:sz w:val="20"/>
        </w:rPr>
        <w:t> </w:t>
      </w:r>
      <w:r>
        <w:rPr>
          <w:sz w:val="20"/>
        </w:rPr>
        <w:t>el</w:t>
      </w:r>
      <w:r>
        <w:rPr>
          <w:spacing w:val="-5"/>
          <w:sz w:val="20"/>
        </w:rPr>
        <w:t> </w:t>
      </w:r>
      <w:r>
        <w:rPr>
          <w:sz w:val="20"/>
        </w:rPr>
        <w:t>SCS</w:t>
      </w:r>
      <w:r>
        <w:rPr>
          <w:spacing w:val="-3"/>
          <w:sz w:val="20"/>
        </w:rPr>
        <w:t> </w:t>
      </w:r>
      <w:r>
        <w:rPr>
          <w:sz w:val="20"/>
        </w:rPr>
        <w:t>se</w:t>
      </w:r>
      <w:r>
        <w:rPr>
          <w:spacing w:val="-2"/>
          <w:sz w:val="20"/>
        </w:rPr>
        <w:t> </w:t>
      </w:r>
      <w:r>
        <w:rPr>
          <w:sz w:val="20"/>
        </w:rPr>
        <w:t>estructura</w:t>
      </w:r>
      <w:r>
        <w:rPr>
          <w:spacing w:val="-2"/>
          <w:sz w:val="20"/>
        </w:rPr>
        <w:t> </w:t>
      </w:r>
      <w:r>
        <w:rPr>
          <w:sz w:val="20"/>
        </w:rPr>
        <w:t>en</w:t>
      </w:r>
      <w:r>
        <w:rPr>
          <w:spacing w:val="-4"/>
          <w:sz w:val="20"/>
        </w:rPr>
        <w:t> </w:t>
      </w:r>
      <w:r>
        <w:rPr>
          <w:sz w:val="20"/>
        </w:rPr>
        <w:t>un</w:t>
      </w:r>
      <w:r>
        <w:rPr>
          <w:spacing w:val="-4"/>
          <w:sz w:val="20"/>
        </w:rPr>
        <w:t> </w:t>
      </w:r>
      <w:r>
        <w:rPr>
          <w:sz w:val="20"/>
        </w:rPr>
        <w:t>Área</w:t>
      </w:r>
      <w:r>
        <w:rPr>
          <w:spacing w:val="-4"/>
          <w:sz w:val="20"/>
        </w:rPr>
        <w:t> </w:t>
      </w:r>
      <w:r>
        <w:rPr>
          <w:sz w:val="20"/>
        </w:rPr>
        <w:t>de</w:t>
      </w:r>
      <w:r>
        <w:rPr>
          <w:spacing w:val="-2"/>
          <w:sz w:val="20"/>
        </w:rPr>
        <w:t> </w:t>
      </w:r>
      <w:r>
        <w:rPr>
          <w:sz w:val="20"/>
        </w:rPr>
        <w:t>Salud</w:t>
      </w:r>
      <w:r>
        <w:rPr>
          <w:spacing w:val="-3"/>
          <w:sz w:val="20"/>
        </w:rPr>
        <w:t> </w:t>
      </w:r>
      <w:r>
        <w:rPr>
          <w:sz w:val="20"/>
        </w:rPr>
        <w:t>por</w:t>
      </w:r>
      <w:r>
        <w:rPr>
          <w:spacing w:val="-4"/>
          <w:sz w:val="20"/>
        </w:rPr>
        <w:t> </w:t>
      </w:r>
      <w:r>
        <w:rPr>
          <w:sz w:val="20"/>
        </w:rPr>
        <w:t>cada</w:t>
      </w:r>
      <w:r>
        <w:rPr>
          <w:spacing w:val="-4"/>
          <w:sz w:val="20"/>
        </w:rPr>
        <w:t> </w:t>
      </w:r>
      <w:r>
        <w:rPr>
          <w:sz w:val="20"/>
        </w:rPr>
        <w:t>isla,</w:t>
      </w:r>
      <w:r>
        <w:rPr>
          <w:spacing w:val="-2"/>
          <w:sz w:val="20"/>
        </w:rPr>
        <w:t> </w:t>
      </w:r>
      <w:r>
        <w:rPr>
          <w:sz w:val="20"/>
        </w:rPr>
        <w:t>a</w:t>
      </w:r>
      <w:r>
        <w:rPr>
          <w:spacing w:val="-4"/>
          <w:sz w:val="20"/>
        </w:rPr>
        <w:t> </w:t>
      </w:r>
      <w:r>
        <w:rPr>
          <w:sz w:val="20"/>
        </w:rPr>
        <w:t>las</w:t>
      </w:r>
      <w:r>
        <w:rPr>
          <w:spacing w:val="-2"/>
          <w:sz w:val="20"/>
        </w:rPr>
        <w:t> </w:t>
      </w:r>
      <w:r>
        <w:rPr>
          <w:sz w:val="20"/>
        </w:rPr>
        <w:t>que</w:t>
      </w:r>
      <w:r>
        <w:rPr>
          <w:spacing w:val="-2"/>
          <w:sz w:val="20"/>
        </w:rPr>
        <w:t> </w:t>
      </w:r>
      <w:r>
        <w:rPr>
          <w:sz w:val="20"/>
        </w:rPr>
        <w:t>se les atribuye, en su ámbito geográfico, la coordinación de los servicios sanitarios de atención primaria y especializada, con sus respectivos Consejos de Dirección, Direcciones, Gerencias y Zonas Básicas de Salud, completándose, para Gran</w:t>
      </w:r>
      <w:r>
        <w:rPr>
          <w:spacing w:val="-31"/>
          <w:sz w:val="20"/>
        </w:rPr>
        <w:t> </w:t>
      </w:r>
      <w:r>
        <w:rPr>
          <w:sz w:val="20"/>
        </w:rPr>
        <w:t>Canaria y Tenerife, con las Direcciones-Gerencias de los centros hospitalarios que, además de</w:t>
      </w:r>
      <w:r>
        <w:rPr>
          <w:spacing w:val="31"/>
          <w:sz w:val="20"/>
        </w:rPr>
        <w:t> </w:t>
      </w:r>
      <w:r>
        <w:rPr>
          <w:sz w:val="20"/>
        </w:rPr>
        <w:t>atender</w:t>
      </w:r>
      <w:r>
        <w:rPr>
          <w:spacing w:val="30"/>
          <w:sz w:val="20"/>
        </w:rPr>
        <w:t> </w:t>
      </w:r>
      <w:r>
        <w:rPr>
          <w:sz w:val="20"/>
        </w:rPr>
        <w:t>a</w:t>
      </w:r>
      <w:r>
        <w:rPr>
          <w:spacing w:val="32"/>
          <w:sz w:val="20"/>
        </w:rPr>
        <w:t> </w:t>
      </w:r>
      <w:r>
        <w:rPr>
          <w:sz w:val="20"/>
        </w:rPr>
        <w:t>su</w:t>
      </w:r>
      <w:r>
        <w:rPr>
          <w:spacing w:val="30"/>
          <w:sz w:val="20"/>
        </w:rPr>
        <w:t> </w:t>
      </w:r>
      <w:r>
        <w:rPr>
          <w:sz w:val="20"/>
        </w:rPr>
        <w:t>población,</w:t>
      </w:r>
      <w:r>
        <w:rPr>
          <w:spacing w:val="31"/>
          <w:sz w:val="20"/>
        </w:rPr>
        <w:t> </w:t>
      </w:r>
      <w:r>
        <w:rPr>
          <w:sz w:val="20"/>
        </w:rPr>
        <w:t>son</w:t>
      </w:r>
      <w:r>
        <w:rPr>
          <w:spacing w:val="32"/>
          <w:sz w:val="20"/>
        </w:rPr>
        <w:t> </w:t>
      </w:r>
      <w:r>
        <w:rPr>
          <w:sz w:val="20"/>
        </w:rPr>
        <w:t>referencia</w:t>
      </w:r>
      <w:r>
        <w:rPr>
          <w:spacing w:val="30"/>
          <w:sz w:val="20"/>
        </w:rPr>
        <w:t> </w:t>
      </w:r>
      <w:r>
        <w:rPr>
          <w:sz w:val="20"/>
        </w:rPr>
        <w:t>para</w:t>
      </w:r>
      <w:r>
        <w:rPr>
          <w:spacing w:val="32"/>
          <w:sz w:val="20"/>
        </w:rPr>
        <w:t> </w:t>
      </w:r>
      <w:r>
        <w:rPr>
          <w:sz w:val="20"/>
        </w:rPr>
        <w:t>las</w:t>
      </w:r>
      <w:r>
        <w:rPr>
          <w:spacing w:val="29"/>
          <w:sz w:val="20"/>
        </w:rPr>
        <w:t> </w:t>
      </w:r>
      <w:r>
        <w:rPr>
          <w:sz w:val="20"/>
        </w:rPr>
        <w:t>islas</w:t>
      </w:r>
      <w:r>
        <w:rPr>
          <w:spacing w:val="30"/>
          <w:sz w:val="20"/>
        </w:rPr>
        <w:t> </w:t>
      </w:r>
      <w:r>
        <w:rPr>
          <w:sz w:val="20"/>
        </w:rPr>
        <w:t>no</w:t>
      </w:r>
      <w:r>
        <w:rPr>
          <w:spacing w:val="32"/>
          <w:sz w:val="20"/>
        </w:rPr>
        <w:t> </w:t>
      </w:r>
      <w:r>
        <w:rPr>
          <w:sz w:val="20"/>
        </w:rPr>
        <w:t>capitalinas</w:t>
      </w:r>
      <w:r>
        <w:rPr>
          <w:spacing w:val="32"/>
          <w:sz w:val="20"/>
        </w:rPr>
        <w:t> </w:t>
      </w:r>
      <w:r>
        <w:rPr>
          <w:sz w:val="20"/>
        </w:rPr>
        <w:t>en</w:t>
      </w:r>
    </w:p>
    <w:p>
      <w:pPr>
        <w:pStyle w:val="BodyText"/>
        <w:spacing w:before="4"/>
        <w:rPr>
          <w:sz w:val="19"/>
        </w:rPr>
      </w:pPr>
    </w:p>
    <w:p>
      <w:pPr>
        <w:pStyle w:val="BodyText"/>
        <w:spacing w:before="61"/>
        <w:ind w:left="7897"/>
        <w:jc w:val="center"/>
      </w:pPr>
      <w:r>
        <w:rPr/>
        <w:t>90</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16"/>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91" name="image5.png"/>
                  <wp:cNvGraphicFramePr>
                    <a:graphicFrameLocks noChangeAspect="1"/>
                  </wp:cNvGraphicFramePr>
                  <a:graphic>
                    <a:graphicData uri="http://schemas.openxmlformats.org/drawingml/2006/picture">
                      <pic:pic>
                        <pic:nvPicPr>
                          <pic:cNvPr id="19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92/247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455" w:right="1201"/>
      </w:pPr>
      <w:r>
        <w:rPr/>
        <w:t>hospitalización y apoyo de especialidades que sobrepasen los recursos de sus respectivas Áreas de Salud.</w:t>
      </w:r>
    </w:p>
    <w:p>
      <w:pPr>
        <w:pStyle w:val="BodyText"/>
        <w:spacing w:before="10"/>
        <w:rPr>
          <w:sz w:val="16"/>
        </w:rPr>
      </w:pPr>
    </w:p>
    <w:p>
      <w:pPr>
        <w:pStyle w:val="Heading1"/>
        <w:numPr>
          <w:ilvl w:val="2"/>
          <w:numId w:val="26"/>
        </w:numPr>
        <w:tabs>
          <w:tab w:pos="2691" w:val="left" w:leader="none"/>
        </w:tabs>
        <w:spacing w:line="240" w:lineRule="auto" w:before="0" w:after="0"/>
        <w:ind w:left="2690" w:right="0" w:hanging="595"/>
        <w:jc w:val="left"/>
      </w:pPr>
      <w:bookmarkStart w:name="_TOC_250020" w:id="2"/>
      <w:r>
        <w:rPr>
          <w:color w:val="53A1B9"/>
        </w:rPr>
        <w:t>Cuentas</w:t>
      </w:r>
      <w:r>
        <w:rPr>
          <w:color w:val="53A1B9"/>
          <w:spacing w:val="1"/>
        </w:rPr>
        <w:t> </w:t>
      </w:r>
      <w:bookmarkEnd w:id="2"/>
      <w:r>
        <w:rPr>
          <w:color w:val="53A1B9"/>
        </w:rPr>
        <w:t>Anuales.</w:t>
      </w:r>
    </w:p>
    <w:p>
      <w:pPr>
        <w:pStyle w:val="BodyText"/>
        <w:spacing w:before="8"/>
        <w:rPr>
          <w:b/>
          <w:sz w:val="16"/>
        </w:rPr>
      </w:pPr>
    </w:p>
    <w:p>
      <w:pPr>
        <w:pStyle w:val="ListParagraph"/>
        <w:numPr>
          <w:ilvl w:val="0"/>
          <w:numId w:val="46"/>
        </w:numPr>
        <w:tabs>
          <w:tab w:pos="2304" w:val="left" w:leader="none"/>
        </w:tabs>
        <w:spacing w:line="240" w:lineRule="auto" w:before="0" w:after="0"/>
        <w:ind w:left="2303" w:right="0" w:hanging="208"/>
        <w:jc w:val="left"/>
        <w:rPr>
          <w:b/>
          <w:sz w:val="20"/>
        </w:rPr>
      </w:pPr>
      <w:r>
        <w:rPr>
          <w:b/>
          <w:sz w:val="20"/>
        </w:rPr>
        <w:t>Presupuesto inicial y</w:t>
      </w:r>
      <w:r>
        <w:rPr>
          <w:b/>
          <w:spacing w:val="-4"/>
          <w:sz w:val="20"/>
        </w:rPr>
        <w:t> </w:t>
      </w:r>
      <w:r>
        <w:rPr>
          <w:b/>
          <w:sz w:val="20"/>
        </w:rPr>
        <w:t>definitivo.</w:t>
      </w:r>
    </w:p>
    <w:p>
      <w:pPr>
        <w:pStyle w:val="BodyText"/>
        <w:spacing w:before="7"/>
        <w:rPr>
          <w:b/>
          <w:sz w:val="16"/>
        </w:rPr>
      </w:pPr>
    </w:p>
    <w:p>
      <w:pPr>
        <w:pStyle w:val="ListParagraph"/>
        <w:numPr>
          <w:ilvl w:val="0"/>
          <w:numId w:val="47"/>
        </w:numPr>
        <w:tabs>
          <w:tab w:pos="2335" w:val="left" w:leader="none"/>
        </w:tabs>
        <w:spacing w:line="240" w:lineRule="auto" w:before="1" w:after="0"/>
        <w:ind w:left="2334" w:right="0" w:hanging="239"/>
        <w:jc w:val="left"/>
        <w:rPr>
          <w:sz w:val="20"/>
        </w:rPr>
      </w:pPr>
      <w:r>
        <w:rPr>
          <w:sz w:val="20"/>
        </w:rPr>
        <w:t>El presupuesto inicial del SCS en 2022 asciende a 3.461,3 millones de €, un 4,8</w:t>
      </w:r>
      <w:r>
        <w:rPr>
          <w:spacing w:val="23"/>
          <w:sz w:val="20"/>
        </w:rPr>
        <w:t> </w:t>
      </w:r>
      <w:r>
        <w:rPr>
          <w:sz w:val="20"/>
        </w:rPr>
        <w:t>%</w:t>
      </w:r>
    </w:p>
    <w:p>
      <w:pPr>
        <w:pStyle w:val="BodyText"/>
        <w:spacing w:before="1"/>
        <w:ind w:left="2334"/>
      </w:pPr>
      <w:r>
        <w:rPr/>
        <w:t>superior al de 2021, aunque con un incremento porcentualmente inferior en un 5,1</w:t>
      </w:r>
    </w:p>
    <w:p>
      <w:pPr>
        <w:pStyle w:val="BodyText"/>
        <w:spacing w:before="2"/>
        <w:ind w:left="2334" w:right="1201"/>
      </w:pPr>
      <w:r>
        <w:rPr/>
        <w:t>% al experimentado en los últimos ejercicios, debido, en gran parte, a la necesidad de hacer frente a la crisis sanitaria provocada por la</w:t>
      </w:r>
      <w:r>
        <w:rPr>
          <w:spacing w:val="-2"/>
        </w:rPr>
        <w:t> </w:t>
      </w:r>
      <w:r>
        <w:rPr/>
        <w:t>COVID.</w:t>
      </w:r>
    </w:p>
    <w:p>
      <w:pPr>
        <w:pStyle w:val="BodyText"/>
        <w:spacing w:before="2"/>
        <w:rPr>
          <w:sz w:val="17"/>
        </w:rPr>
      </w:pPr>
    </w:p>
    <w:p>
      <w:pPr>
        <w:spacing w:before="0"/>
        <w:ind w:left="8636" w:right="0" w:firstLine="0"/>
        <w:jc w:val="left"/>
        <w:rPr>
          <w:b/>
          <w:sz w:val="13"/>
        </w:rPr>
      </w:pPr>
      <w:r>
        <w:rPr>
          <w:b/>
          <w:w w:val="105"/>
          <w:sz w:val="13"/>
        </w:rPr>
        <w:t>miles de €</w:t>
      </w:r>
    </w:p>
    <w:tbl>
      <w:tblPr>
        <w:tblW w:w="0" w:type="auto"/>
        <w:jc w:val="lef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7"/>
        <w:gridCol w:w="1126"/>
        <w:gridCol w:w="982"/>
        <w:gridCol w:w="562"/>
        <w:gridCol w:w="1049"/>
        <w:gridCol w:w="1114"/>
        <w:gridCol w:w="984"/>
      </w:tblGrid>
      <w:tr>
        <w:trPr>
          <w:trHeight w:val="372" w:hRule="atLeast"/>
        </w:trPr>
        <w:tc>
          <w:tcPr>
            <w:tcW w:w="1107" w:type="dxa"/>
            <w:tcBorders>
              <w:right w:val="nil"/>
            </w:tcBorders>
            <w:shd w:val="clear" w:color="auto" w:fill="DEEAF6"/>
          </w:tcPr>
          <w:p>
            <w:pPr>
              <w:pStyle w:val="TableParagraph"/>
              <w:spacing w:before="107"/>
              <w:ind w:left="136" w:right="198"/>
              <w:jc w:val="center"/>
              <w:rPr>
                <w:b/>
                <w:sz w:val="13"/>
              </w:rPr>
            </w:pPr>
            <w:r>
              <w:rPr>
                <w:b/>
                <w:w w:val="105"/>
                <w:sz w:val="13"/>
              </w:rPr>
              <w:t>2022</w:t>
            </w:r>
          </w:p>
        </w:tc>
        <w:tc>
          <w:tcPr>
            <w:tcW w:w="1126" w:type="dxa"/>
            <w:tcBorders>
              <w:left w:val="nil"/>
              <w:right w:val="nil"/>
            </w:tcBorders>
            <w:shd w:val="clear" w:color="auto" w:fill="DEEAF6"/>
          </w:tcPr>
          <w:p>
            <w:pPr>
              <w:pStyle w:val="TableParagraph"/>
              <w:spacing w:before="107"/>
              <w:ind w:left="97" w:right="149"/>
              <w:jc w:val="center"/>
              <w:rPr>
                <w:b/>
                <w:sz w:val="13"/>
              </w:rPr>
            </w:pPr>
            <w:r>
              <w:rPr>
                <w:b/>
                <w:w w:val="105"/>
                <w:sz w:val="13"/>
              </w:rPr>
              <w:t>2021</w:t>
            </w:r>
          </w:p>
        </w:tc>
        <w:tc>
          <w:tcPr>
            <w:tcW w:w="1544" w:type="dxa"/>
            <w:gridSpan w:val="2"/>
            <w:tcBorders>
              <w:left w:val="nil"/>
            </w:tcBorders>
            <w:shd w:val="clear" w:color="auto" w:fill="DEEAF6"/>
          </w:tcPr>
          <w:p>
            <w:pPr>
              <w:pStyle w:val="TableParagraph"/>
              <w:tabs>
                <w:tab w:pos="1259" w:val="left" w:leader="none"/>
              </w:tabs>
              <w:spacing w:line="163" w:lineRule="auto" w:before="40"/>
              <w:ind w:left="241" w:right="178" w:firstLine="8"/>
              <w:rPr>
                <w:b/>
                <w:sz w:val="13"/>
              </w:rPr>
            </w:pPr>
            <w:r>
              <w:rPr>
                <w:b/>
                <w:w w:val="105"/>
                <w:sz w:val="13"/>
              </w:rPr>
              <w:t>Diferencia</w:t>
              <w:tab/>
            </w:r>
            <w:r>
              <w:rPr>
                <w:b/>
                <w:spacing w:val="-17"/>
                <w:w w:val="105"/>
                <w:position w:val="-7"/>
                <w:sz w:val="13"/>
              </w:rPr>
              <w:t>% </w:t>
            </w:r>
            <w:r>
              <w:rPr>
                <w:b/>
                <w:w w:val="105"/>
                <w:sz w:val="13"/>
              </w:rPr>
              <w:t>2022-2021</w:t>
            </w:r>
          </w:p>
        </w:tc>
        <w:tc>
          <w:tcPr>
            <w:tcW w:w="1049" w:type="dxa"/>
            <w:tcBorders>
              <w:right w:val="nil"/>
            </w:tcBorders>
            <w:shd w:val="clear" w:color="auto" w:fill="DEEAF6"/>
          </w:tcPr>
          <w:p>
            <w:pPr>
              <w:pStyle w:val="TableParagraph"/>
              <w:spacing w:before="107"/>
              <w:ind w:left="139" w:right="139"/>
              <w:jc w:val="center"/>
              <w:rPr>
                <w:b/>
                <w:sz w:val="13"/>
              </w:rPr>
            </w:pPr>
            <w:r>
              <w:rPr>
                <w:b/>
                <w:w w:val="105"/>
                <w:sz w:val="13"/>
              </w:rPr>
              <w:t>2020</w:t>
            </w:r>
          </w:p>
        </w:tc>
        <w:tc>
          <w:tcPr>
            <w:tcW w:w="2098" w:type="dxa"/>
            <w:gridSpan w:val="2"/>
            <w:tcBorders>
              <w:left w:val="nil"/>
            </w:tcBorders>
            <w:shd w:val="clear" w:color="auto" w:fill="DEEAF6"/>
          </w:tcPr>
          <w:p>
            <w:pPr>
              <w:pStyle w:val="TableParagraph"/>
              <w:tabs>
                <w:tab w:pos="1532" w:val="left" w:leader="none"/>
              </w:tabs>
              <w:spacing w:line="160" w:lineRule="auto" w:before="41"/>
              <w:ind w:left="243"/>
              <w:rPr>
                <w:b/>
                <w:sz w:val="13"/>
              </w:rPr>
            </w:pPr>
            <w:r>
              <w:rPr>
                <w:b/>
                <w:w w:val="105"/>
                <w:sz w:val="13"/>
              </w:rPr>
              <w:t>Diferencia</w:t>
              <w:tab/>
            </w:r>
            <w:r>
              <w:rPr>
                <w:b/>
                <w:w w:val="105"/>
                <w:position w:val="-7"/>
                <w:sz w:val="13"/>
              </w:rPr>
              <w:t>%</w:t>
            </w:r>
          </w:p>
          <w:p>
            <w:pPr>
              <w:pStyle w:val="TableParagraph"/>
              <w:spacing w:line="121" w:lineRule="exact"/>
              <w:ind w:left="235"/>
              <w:rPr>
                <w:b/>
                <w:sz w:val="13"/>
              </w:rPr>
            </w:pPr>
            <w:r>
              <w:rPr>
                <w:b/>
                <w:w w:val="105"/>
                <w:sz w:val="13"/>
              </w:rPr>
              <w:t>2021-2020</w:t>
            </w:r>
          </w:p>
        </w:tc>
      </w:tr>
      <w:tr>
        <w:trPr>
          <w:trHeight w:val="203" w:hRule="atLeast"/>
        </w:trPr>
        <w:tc>
          <w:tcPr>
            <w:tcW w:w="1107" w:type="dxa"/>
            <w:tcBorders>
              <w:right w:val="nil"/>
            </w:tcBorders>
          </w:tcPr>
          <w:p>
            <w:pPr>
              <w:pStyle w:val="TableParagraph"/>
              <w:spacing w:before="22"/>
              <w:ind w:left="136" w:right="200"/>
              <w:jc w:val="center"/>
              <w:rPr>
                <w:sz w:val="13"/>
              </w:rPr>
            </w:pPr>
            <w:r>
              <w:rPr>
                <w:w w:val="105"/>
                <w:sz w:val="13"/>
              </w:rPr>
              <w:t>3.461.308,27</w:t>
            </w:r>
          </w:p>
        </w:tc>
        <w:tc>
          <w:tcPr>
            <w:tcW w:w="1126" w:type="dxa"/>
            <w:tcBorders>
              <w:left w:val="nil"/>
              <w:right w:val="nil"/>
            </w:tcBorders>
          </w:tcPr>
          <w:p>
            <w:pPr>
              <w:pStyle w:val="TableParagraph"/>
              <w:spacing w:before="22"/>
              <w:ind w:left="211" w:right="149"/>
              <w:jc w:val="center"/>
              <w:rPr>
                <w:sz w:val="13"/>
              </w:rPr>
            </w:pPr>
            <w:r>
              <w:rPr>
                <w:w w:val="105"/>
                <w:sz w:val="13"/>
              </w:rPr>
              <w:t>3.301.248,25</w:t>
            </w:r>
          </w:p>
        </w:tc>
        <w:tc>
          <w:tcPr>
            <w:tcW w:w="982" w:type="dxa"/>
            <w:tcBorders>
              <w:left w:val="nil"/>
              <w:right w:val="nil"/>
            </w:tcBorders>
          </w:tcPr>
          <w:p>
            <w:pPr>
              <w:pStyle w:val="TableParagraph"/>
              <w:spacing w:before="22"/>
              <w:ind w:left="183"/>
              <w:rPr>
                <w:sz w:val="13"/>
              </w:rPr>
            </w:pPr>
            <w:r>
              <w:rPr>
                <w:w w:val="105"/>
                <w:sz w:val="13"/>
              </w:rPr>
              <w:t>160.060,02</w:t>
            </w:r>
          </w:p>
        </w:tc>
        <w:tc>
          <w:tcPr>
            <w:tcW w:w="562" w:type="dxa"/>
            <w:tcBorders>
              <w:left w:val="nil"/>
            </w:tcBorders>
          </w:tcPr>
          <w:p>
            <w:pPr>
              <w:pStyle w:val="TableParagraph"/>
              <w:spacing w:before="22"/>
              <w:ind w:left="195"/>
              <w:rPr>
                <w:sz w:val="13"/>
              </w:rPr>
            </w:pPr>
            <w:r>
              <w:rPr>
                <w:w w:val="105"/>
                <w:sz w:val="13"/>
              </w:rPr>
              <w:t>4,8%</w:t>
            </w:r>
          </w:p>
        </w:tc>
        <w:tc>
          <w:tcPr>
            <w:tcW w:w="1049" w:type="dxa"/>
            <w:tcBorders>
              <w:right w:val="nil"/>
            </w:tcBorders>
          </w:tcPr>
          <w:p>
            <w:pPr>
              <w:pStyle w:val="TableParagraph"/>
              <w:spacing w:before="22"/>
              <w:ind w:left="139" w:right="139"/>
              <w:jc w:val="center"/>
              <w:rPr>
                <w:sz w:val="13"/>
              </w:rPr>
            </w:pPr>
            <w:r>
              <w:rPr>
                <w:w w:val="105"/>
                <w:sz w:val="13"/>
              </w:rPr>
              <w:t>3.140.359,89</w:t>
            </w:r>
          </w:p>
        </w:tc>
        <w:tc>
          <w:tcPr>
            <w:tcW w:w="1114" w:type="dxa"/>
            <w:tcBorders>
              <w:left w:val="nil"/>
              <w:right w:val="nil"/>
            </w:tcBorders>
          </w:tcPr>
          <w:p>
            <w:pPr>
              <w:pStyle w:val="TableParagraph"/>
              <w:spacing w:before="22"/>
              <w:ind w:left="176"/>
              <w:rPr>
                <w:sz w:val="13"/>
              </w:rPr>
            </w:pPr>
            <w:r>
              <w:rPr>
                <w:w w:val="105"/>
                <w:sz w:val="13"/>
              </w:rPr>
              <w:t>160.888,36</w:t>
            </w:r>
          </w:p>
        </w:tc>
        <w:tc>
          <w:tcPr>
            <w:tcW w:w="984" w:type="dxa"/>
            <w:tcBorders>
              <w:left w:val="nil"/>
            </w:tcBorders>
          </w:tcPr>
          <w:p>
            <w:pPr>
              <w:pStyle w:val="TableParagraph"/>
              <w:spacing w:before="22"/>
              <w:ind w:left="316" w:right="353"/>
              <w:jc w:val="center"/>
              <w:rPr>
                <w:sz w:val="13"/>
              </w:rPr>
            </w:pPr>
            <w:r>
              <w:rPr>
                <w:w w:val="105"/>
                <w:sz w:val="13"/>
              </w:rPr>
              <w:t>5,1%</w:t>
            </w:r>
          </w:p>
        </w:tc>
      </w:tr>
    </w:tbl>
    <w:p>
      <w:pPr>
        <w:pStyle w:val="BodyText"/>
        <w:spacing w:before="7"/>
        <w:rPr>
          <w:b/>
          <w:sz w:val="16"/>
        </w:rPr>
      </w:pPr>
    </w:p>
    <w:p>
      <w:pPr>
        <w:pStyle w:val="ListParagraph"/>
        <w:numPr>
          <w:ilvl w:val="0"/>
          <w:numId w:val="47"/>
        </w:numPr>
        <w:tabs>
          <w:tab w:pos="2335" w:val="left" w:leader="none"/>
        </w:tabs>
        <w:spacing w:line="240" w:lineRule="auto" w:before="0" w:after="0"/>
        <w:ind w:left="2334" w:right="1138" w:hanging="238"/>
        <w:jc w:val="both"/>
        <w:rPr>
          <w:sz w:val="20"/>
        </w:rPr>
      </w:pPr>
      <w:r>
        <w:rPr>
          <w:sz w:val="20"/>
        </w:rPr>
        <w:t>El aumento del presupuesto de gastos e ingresos, tras las modificaciones, se cifra en 679,8 y 620,8 millones de € respectivamente, lo que provoca un desequilibrio presupuestario de 59 millones de €, los cuales corresponden a ampliaciones de crédito sin cobertura presupuestaria para atender gastos de recetas farmacéuticas y material sanitario</w:t>
      </w:r>
      <w:r>
        <w:rPr>
          <w:spacing w:val="-2"/>
          <w:sz w:val="20"/>
        </w:rPr>
        <w:t> </w:t>
      </w:r>
      <w:r>
        <w:rPr>
          <w:sz w:val="20"/>
        </w:rPr>
        <w:t>desechable.</w:t>
      </w:r>
    </w:p>
    <w:p>
      <w:pPr>
        <w:pStyle w:val="BodyText"/>
        <w:spacing w:before="2"/>
        <w:rPr>
          <w:sz w:val="17"/>
        </w:rPr>
      </w:pPr>
    </w:p>
    <w:p>
      <w:pPr>
        <w:pStyle w:val="BodyText"/>
        <w:spacing w:line="242" w:lineRule="auto"/>
        <w:ind w:left="2334" w:right="1137"/>
        <w:jc w:val="both"/>
      </w:pPr>
      <w:r>
        <w:rPr/>
        <w:t>Asimismo, el SCS fue el único organismo autónomo que recurrió a la suplementación de</w:t>
      </w:r>
      <w:r>
        <w:rPr>
          <w:spacing w:val="-6"/>
        </w:rPr>
        <w:t> </w:t>
      </w:r>
      <w:r>
        <w:rPr/>
        <w:t>créditos</w:t>
      </w:r>
      <w:r>
        <w:rPr>
          <w:spacing w:val="-8"/>
        </w:rPr>
        <w:t> </w:t>
      </w:r>
      <w:r>
        <w:rPr/>
        <w:t>por</w:t>
      </w:r>
      <w:r>
        <w:rPr>
          <w:spacing w:val="-7"/>
        </w:rPr>
        <w:t> </w:t>
      </w:r>
      <w:r>
        <w:rPr/>
        <w:t>importe</w:t>
      </w:r>
      <w:r>
        <w:rPr>
          <w:spacing w:val="-8"/>
        </w:rPr>
        <w:t> </w:t>
      </w:r>
      <w:r>
        <w:rPr/>
        <w:t>de</w:t>
      </w:r>
      <w:r>
        <w:rPr>
          <w:spacing w:val="-5"/>
        </w:rPr>
        <w:t> </w:t>
      </w:r>
      <w:r>
        <w:rPr/>
        <w:t>48,8</w:t>
      </w:r>
      <w:r>
        <w:rPr>
          <w:spacing w:val="-7"/>
        </w:rPr>
        <w:t> </w:t>
      </w:r>
      <w:r>
        <w:rPr/>
        <w:t>millones</w:t>
      </w:r>
      <w:r>
        <w:rPr>
          <w:spacing w:val="-7"/>
        </w:rPr>
        <w:t> </w:t>
      </w:r>
      <w:r>
        <w:rPr/>
        <w:t>de</w:t>
      </w:r>
      <w:r>
        <w:rPr>
          <w:spacing w:val="-8"/>
        </w:rPr>
        <w:t> </w:t>
      </w:r>
      <w:r>
        <w:rPr/>
        <w:t>€,</w:t>
      </w:r>
      <w:r>
        <w:rPr>
          <w:spacing w:val="-6"/>
        </w:rPr>
        <w:t> </w:t>
      </w:r>
      <w:r>
        <w:rPr/>
        <w:t>financiado</w:t>
      </w:r>
      <w:r>
        <w:rPr>
          <w:spacing w:val="-7"/>
        </w:rPr>
        <w:t> </w:t>
      </w:r>
      <w:r>
        <w:rPr/>
        <w:t>con</w:t>
      </w:r>
      <w:r>
        <w:rPr>
          <w:spacing w:val="-7"/>
        </w:rPr>
        <w:t> </w:t>
      </w:r>
      <w:r>
        <w:rPr/>
        <w:t>remanente</w:t>
      </w:r>
      <w:r>
        <w:rPr>
          <w:spacing w:val="-7"/>
        </w:rPr>
        <w:t> </w:t>
      </w:r>
      <w:r>
        <w:rPr/>
        <w:t>de</w:t>
      </w:r>
      <w:r>
        <w:rPr>
          <w:spacing w:val="-6"/>
        </w:rPr>
        <w:t> </w:t>
      </w:r>
      <w:r>
        <w:rPr/>
        <w:t>tesorería no afectado; destinándose el 96 % al gasto farmacéutico del programa 312C de atención especializada, especialmente para los hospitales de La Palma, HUNSC, HUC y Dr. Negrín.</w:t>
      </w:r>
    </w:p>
    <w:p>
      <w:pPr>
        <w:pStyle w:val="BodyText"/>
        <w:spacing w:before="5"/>
        <w:rPr>
          <w:sz w:val="16"/>
        </w:rPr>
      </w:pPr>
    </w:p>
    <w:p>
      <w:pPr>
        <w:pStyle w:val="BodyText"/>
        <w:ind w:left="2334"/>
        <w:jc w:val="both"/>
      </w:pPr>
      <w:r>
        <w:rPr/>
        <w:t>También se tramitaron generaciones de ingresos por un importe de 536 millones de</w:t>
      </w:r>
    </w:p>
    <w:p>
      <w:pPr>
        <w:pStyle w:val="BodyText"/>
        <w:spacing w:before="2"/>
        <w:ind w:left="2334" w:right="1143"/>
        <w:jc w:val="both"/>
      </w:pPr>
      <w:r>
        <w:rPr/>
        <w:t>€ e incorporaciones de crédito por 23,5 millones de €. El 98,9 % de estas últimas corresponden a Fondos MRR, destinados a financiar inversiones, principalmente en maquinaria, elementos de transporte e instalaciones técnicas.</w:t>
      </w:r>
    </w:p>
    <w:p>
      <w:pPr>
        <w:pStyle w:val="BodyText"/>
        <w:spacing w:before="10"/>
        <w:rPr>
          <w:sz w:val="16"/>
        </w:rPr>
      </w:pPr>
    </w:p>
    <w:p>
      <w:pPr>
        <w:spacing w:before="0"/>
        <w:ind w:left="8604" w:right="0" w:firstLine="0"/>
        <w:jc w:val="left"/>
        <w:rPr>
          <w:b/>
          <w:sz w:val="15"/>
        </w:rPr>
      </w:pPr>
      <w:r>
        <w:rPr>
          <w:b/>
          <w:sz w:val="15"/>
        </w:rPr>
        <w:t>miles de</w:t>
      </w:r>
      <w:r>
        <w:rPr>
          <w:b/>
          <w:spacing w:val="1"/>
          <w:sz w:val="15"/>
        </w:rPr>
        <w:t> </w:t>
      </w:r>
      <w:r>
        <w:rPr>
          <w:b/>
          <w:sz w:val="15"/>
        </w:rPr>
        <w:t>€</w:t>
      </w:r>
    </w:p>
    <w:tbl>
      <w:tblPr>
        <w:tblW w:w="0" w:type="auto"/>
        <w:jc w:val="lef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1"/>
        <w:gridCol w:w="2738"/>
        <w:gridCol w:w="3039"/>
      </w:tblGrid>
      <w:tr>
        <w:trPr>
          <w:trHeight w:val="264" w:hRule="atLeast"/>
        </w:trPr>
        <w:tc>
          <w:tcPr>
            <w:tcW w:w="1191" w:type="dxa"/>
            <w:vMerge w:val="restart"/>
            <w:shd w:val="clear" w:color="auto" w:fill="DEEAF6"/>
          </w:tcPr>
          <w:p>
            <w:pPr>
              <w:pStyle w:val="TableParagraph"/>
              <w:spacing w:line="247" w:lineRule="auto" w:before="111"/>
              <w:ind w:left="367" w:hanging="93"/>
              <w:rPr>
                <w:b/>
                <w:sz w:val="13"/>
              </w:rPr>
            </w:pPr>
            <w:r>
              <w:rPr>
                <w:b/>
                <w:w w:val="105"/>
                <w:sz w:val="13"/>
              </w:rPr>
              <w:t>Previsiones Iniciales</w:t>
            </w:r>
          </w:p>
        </w:tc>
        <w:tc>
          <w:tcPr>
            <w:tcW w:w="2738" w:type="dxa"/>
            <w:shd w:val="clear" w:color="auto" w:fill="DEEAF6"/>
          </w:tcPr>
          <w:p>
            <w:pPr>
              <w:pStyle w:val="TableParagraph"/>
              <w:spacing w:before="54"/>
              <w:ind w:left="1110" w:right="1104"/>
              <w:jc w:val="center"/>
              <w:rPr>
                <w:b/>
                <w:sz w:val="13"/>
              </w:rPr>
            </w:pPr>
            <w:r>
              <w:rPr>
                <w:b/>
                <w:w w:val="105"/>
                <w:sz w:val="13"/>
              </w:rPr>
              <w:t>Ingresos</w:t>
            </w:r>
          </w:p>
        </w:tc>
        <w:tc>
          <w:tcPr>
            <w:tcW w:w="3039" w:type="dxa"/>
            <w:shd w:val="clear" w:color="auto" w:fill="DEEAF6"/>
          </w:tcPr>
          <w:p>
            <w:pPr>
              <w:pStyle w:val="TableParagraph"/>
              <w:spacing w:before="54"/>
              <w:ind w:left="87" w:right="75"/>
              <w:jc w:val="center"/>
              <w:rPr>
                <w:b/>
                <w:sz w:val="13"/>
              </w:rPr>
            </w:pPr>
            <w:r>
              <w:rPr>
                <w:b/>
                <w:w w:val="105"/>
                <w:sz w:val="13"/>
              </w:rPr>
              <w:t>Gastos</w:t>
            </w:r>
          </w:p>
        </w:tc>
      </w:tr>
      <w:tr>
        <w:trPr>
          <w:trHeight w:val="266" w:hRule="atLeast"/>
        </w:trPr>
        <w:tc>
          <w:tcPr>
            <w:tcW w:w="1191" w:type="dxa"/>
            <w:vMerge/>
            <w:tcBorders>
              <w:top w:val="nil"/>
            </w:tcBorders>
            <w:shd w:val="clear" w:color="auto" w:fill="DEEAF6"/>
          </w:tcPr>
          <w:p>
            <w:pPr>
              <w:rPr>
                <w:sz w:val="2"/>
                <w:szCs w:val="2"/>
              </w:rPr>
            </w:pPr>
          </w:p>
        </w:tc>
        <w:tc>
          <w:tcPr>
            <w:tcW w:w="2738" w:type="dxa"/>
            <w:shd w:val="clear" w:color="auto" w:fill="DEEAF6"/>
          </w:tcPr>
          <w:p>
            <w:pPr>
              <w:pStyle w:val="TableParagraph"/>
              <w:tabs>
                <w:tab w:pos="1391" w:val="left" w:leader="none"/>
              </w:tabs>
              <w:spacing w:before="54"/>
              <w:ind w:left="229"/>
              <w:rPr>
                <w:b/>
                <w:sz w:val="13"/>
              </w:rPr>
            </w:pPr>
            <w:r>
              <w:rPr>
                <w:b/>
                <w:w w:val="105"/>
                <w:sz w:val="13"/>
              </w:rPr>
              <w:t>Modificaciones</w:t>
              <w:tab/>
              <w:t>Previsiones</w:t>
            </w:r>
            <w:r>
              <w:rPr>
                <w:b/>
                <w:spacing w:val="-7"/>
                <w:w w:val="105"/>
                <w:sz w:val="13"/>
              </w:rPr>
              <w:t> </w:t>
            </w:r>
            <w:r>
              <w:rPr>
                <w:b/>
                <w:w w:val="105"/>
                <w:sz w:val="13"/>
              </w:rPr>
              <w:t>Definitivas</w:t>
            </w:r>
          </w:p>
        </w:tc>
        <w:tc>
          <w:tcPr>
            <w:tcW w:w="3039" w:type="dxa"/>
            <w:shd w:val="clear" w:color="auto" w:fill="DEEAF6"/>
          </w:tcPr>
          <w:p>
            <w:pPr>
              <w:pStyle w:val="TableParagraph"/>
              <w:tabs>
                <w:tab w:pos="1394" w:val="left" w:leader="none"/>
              </w:tabs>
              <w:spacing w:before="54"/>
              <w:ind w:right="75"/>
              <w:jc w:val="center"/>
              <w:rPr>
                <w:b/>
                <w:sz w:val="13"/>
              </w:rPr>
            </w:pPr>
            <w:r>
              <w:rPr>
                <w:b/>
                <w:w w:val="105"/>
                <w:sz w:val="13"/>
              </w:rPr>
              <w:t>Modificaciones</w:t>
              <w:tab/>
              <w:t>Créditos</w:t>
            </w:r>
            <w:r>
              <w:rPr>
                <w:b/>
                <w:spacing w:val="-4"/>
                <w:w w:val="105"/>
                <w:sz w:val="13"/>
              </w:rPr>
              <w:t> </w:t>
            </w:r>
            <w:r>
              <w:rPr>
                <w:b/>
                <w:w w:val="105"/>
                <w:sz w:val="13"/>
              </w:rPr>
              <w:t>Definitivos</w:t>
            </w:r>
          </w:p>
        </w:tc>
      </w:tr>
      <w:tr>
        <w:trPr>
          <w:trHeight w:val="268" w:hRule="atLeast"/>
        </w:trPr>
        <w:tc>
          <w:tcPr>
            <w:tcW w:w="1191" w:type="dxa"/>
          </w:tcPr>
          <w:p>
            <w:pPr>
              <w:pStyle w:val="TableParagraph"/>
              <w:spacing w:before="57"/>
              <w:ind w:left="236"/>
              <w:rPr>
                <w:sz w:val="13"/>
              </w:rPr>
            </w:pPr>
            <w:r>
              <w:rPr>
                <w:w w:val="105"/>
                <w:sz w:val="13"/>
              </w:rPr>
              <w:t>3.461.308,27</w:t>
            </w:r>
          </w:p>
        </w:tc>
        <w:tc>
          <w:tcPr>
            <w:tcW w:w="2738" w:type="dxa"/>
          </w:tcPr>
          <w:p>
            <w:pPr>
              <w:pStyle w:val="TableParagraph"/>
              <w:tabs>
                <w:tab w:pos="1666" w:val="left" w:leader="none"/>
              </w:tabs>
              <w:spacing w:before="57"/>
              <w:ind w:left="348"/>
              <w:rPr>
                <w:sz w:val="13"/>
              </w:rPr>
            </w:pPr>
            <w:r>
              <w:rPr>
                <w:w w:val="105"/>
                <w:sz w:val="13"/>
              </w:rPr>
              <w:t>620.805,31</w:t>
              <w:tab/>
              <w:t>4.082.113,58</w:t>
            </w:r>
          </w:p>
        </w:tc>
        <w:tc>
          <w:tcPr>
            <w:tcW w:w="3039" w:type="dxa"/>
          </w:tcPr>
          <w:p>
            <w:pPr>
              <w:pStyle w:val="TableParagraph"/>
              <w:tabs>
                <w:tab w:pos="1469" w:val="left" w:leader="none"/>
              </w:tabs>
              <w:spacing w:before="57"/>
              <w:ind w:right="148"/>
              <w:jc w:val="center"/>
              <w:rPr>
                <w:sz w:val="13"/>
              </w:rPr>
            </w:pPr>
            <w:r>
              <w:rPr>
                <w:w w:val="105"/>
                <w:sz w:val="13"/>
              </w:rPr>
              <w:t>679.805,31</w:t>
              <w:tab/>
              <w:t>4.141.113,58</w:t>
            </w:r>
          </w:p>
        </w:tc>
      </w:tr>
    </w:tbl>
    <w:p>
      <w:pPr>
        <w:pStyle w:val="BodyText"/>
        <w:rPr>
          <w:b/>
        </w:rPr>
      </w:pPr>
    </w:p>
    <w:p>
      <w:pPr>
        <w:pStyle w:val="BodyText"/>
        <w:rPr>
          <w:b/>
        </w:rPr>
      </w:pPr>
    </w:p>
    <w:p>
      <w:pPr>
        <w:pStyle w:val="BodyText"/>
        <w:rPr>
          <w:b/>
        </w:rPr>
      </w:pPr>
    </w:p>
    <w:p>
      <w:pPr>
        <w:pStyle w:val="BodyText"/>
        <w:spacing w:before="11"/>
        <w:rPr>
          <w:b/>
          <w:sz w:val="21"/>
        </w:rPr>
      </w:pPr>
    </w:p>
    <w:p>
      <w:pPr>
        <w:pStyle w:val="BodyText"/>
        <w:spacing w:before="61"/>
        <w:ind w:left="7897"/>
        <w:jc w:val="center"/>
      </w:pPr>
      <w:r>
        <w:rPr/>
        <w:t>91</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93" name="image5.png"/>
                  <wp:cNvGraphicFramePr>
                    <a:graphicFrameLocks noChangeAspect="1"/>
                  </wp:cNvGraphicFramePr>
                  <a:graphic>
                    <a:graphicData uri="http://schemas.openxmlformats.org/drawingml/2006/picture">
                      <pic:pic>
                        <pic:nvPicPr>
                          <pic:cNvPr id="19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93/247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3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57"/>
      </w:tblGrid>
      <w:tr>
        <w:trPr>
          <w:trHeight w:val="231" w:hRule="atLeast"/>
        </w:trPr>
        <w:tc>
          <w:tcPr>
            <w:tcW w:w="4557" w:type="dxa"/>
            <w:shd w:val="clear" w:color="auto" w:fill="DEEAF6"/>
          </w:tcPr>
          <w:p>
            <w:pPr>
              <w:pStyle w:val="TableParagraph"/>
              <w:spacing w:before="38"/>
              <w:ind w:left="57"/>
              <w:rPr>
                <w:b/>
                <w:sz w:val="13"/>
              </w:rPr>
            </w:pPr>
            <w:r>
              <w:rPr>
                <w:b/>
                <w:w w:val="105"/>
                <w:sz w:val="13"/>
              </w:rPr>
              <w:t>Modificaciones de crédito</w:t>
            </w:r>
          </w:p>
        </w:tc>
      </w:tr>
      <w:tr>
        <w:trPr>
          <w:trHeight w:val="1404" w:hRule="atLeast"/>
        </w:trPr>
        <w:tc>
          <w:tcPr>
            <w:tcW w:w="4557" w:type="dxa"/>
          </w:tcPr>
          <w:p>
            <w:pPr>
              <w:pStyle w:val="TableParagraph"/>
              <w:tabs>
                <w:tab w:pos="3465" w:val="left" w:leader="none"/>
              </w:tabs>
              <w:spacing w:before="38"/>
              <w:ind w:left="57"/>
              <w:rPr>
                <w:sz w:val="13"/>
              </w:rPr>
            </w:pPr>
            <w:r>
              <w:rPr>
                <w:w w:val="105"/>
                <w:sz w:val="13"/>
              </w:rPr>
              <w:t>Suplementos</w:t>
            </w:r>
            <w:r>
              <w:rPr>
                <w:spacing w:val="-9"/>
                <w:w w:val="105"/>
                <w:sz w:val="13"/>
              </w:rPr>
              <w:t> </w:t>
            </w:r>
            <w:r>
              <w:rPr>
                <w:w w:val="105"/>
                <w:sz w:val="13"/>
              </w:rPr>
              <w:t>de</w:t>
            </w:r>
            <w:r>
              <w:rPr>
                <w:spacing w:val="-8"/>
                <w:w w:val="105"/>
                <w:sz w:val="13"/>
              </w:rPr>
              <w:t> </w:t>
            </w:r>
            <w:r>
              <w:rPr>
                <w:w w:val="105"/>
                <w:sz w:val="13"/>
              </w:rPr>
              <w:t>Crédito</w:t>
              <w:tab/>
              <w:t>48.830.924,87</w:t>
            </w:r>
          </w:p>
          <w:p>
            <w:pPr>
              <w:pStyle w:val="TableParagraph"/>
              <w:tabs>
                <w:tab w:pos="3465" w:val="left" w:leader="none"/>
              </w:tabs>
              <w:spacing w:before="75"/>
              <w:ind w:left="57"/>
              <w:rPr>
                <w:sz w:val="13"/>
              </w:rPr>
            </w:pPr>
            <w:r>
              <w:rPr>
                <w:w w:val="105"/>
                <w:sz w:val="13"/>
              </w:rPr>
              <w:t>Ampliaciones</w:t>
            </w:r>
            <w:r>
              <w:rPr>
                <w:spacing w:val="-9"/>
                <w:w w:val="105"/>
                <w:sz w:val="13"/>
              </w:rPr>
              <w:t> </w:t>
            </w:r>
            <w:r>
              <w:rPr>
                <w:w w:val="105"/>
                <w:sz w:val="13"/>
              </w:rPr>
              <w:t>de</w:t>
            </w:r>
            <w:r>
              <w:rPr>
                <w:spacing w:val="-9"/>
                <w:w w:val="105"/>
                <w:sz w:val="13"/>
              </w:rPr>
              <w:t> </w:t>
            </w:r>
            <w:r>
              <w:rPr>
                <w:w w:val="105"/>
                <w:sz w:val="13"/>
              </w:rPr>
              <w:t>Crédito</w:t>
              <w:tab/>
              <w:t>71.363.591,34</w:t>
            </w:r>
          </w:p>
          <w:p>
            <w:pPr>
              <w:pStyle w:val="TableParagraph"/>
              <w:tabs>
                <w:tab w:pos="3396" w:val="left" w:leader="none"/>
              </w:tabs>
              <w:spacing w:before="77"/>
              <w:ind w:left="57"/>
              <w:rPr>
                <w:sz w:val="13"/>
              </w:rPr>
            </w:pPr>
            <w:r>
              <w:rPr>
                <w:w w:val="105"/>
                <w:sz w:val="13"/>
              </w:rPr>
              <w:t>Transferencias de</w:t>
            </w:r>
            <w:r>
              <w:rPr>
                <w:spacing w:val="-18"/>
                <w:w w:val="105"/>
                <w:sz w:val="13"/>
              </w:rPr>
              <w:t> </w:t>
            </w:r>
            <w:r>
              <w:rPr>
                <w:w w:val="105"/>
                <w:sz w:val="13"/>
              </w:rPr>
              <w:t>crédito</w:t>
            </w:r>
            <w:r>
              <w:rPr>
                <w:spacing w:val="-8"/>
                <w:w w:val="105"/>
                <w:sz w:val="13"/>
              </w:rPr>
              <w:t> </w:t>
            </w:r>
            <w:r>
              <w:rPr>
                <w:w w:val="105"/>
                <w:sz w:val="13"/>
              </w:rPr>
              <w:t>Positivas</w:t>
              <w:tab/>
              <w:t>136.119.716,06</w:t>
            </w:r>
          </w:p>
          <w:p>
            <w:pPr>
              <w:pStyle w:val="TableParagraph"/>
              <w:tabs>
                <w:tab w:pos="3356" w:val="left" w:leader="none"/>
              </w:tabs>
              <w:spacing w:before="75"/>
              <w:ind w:left="57"/>
              <w:rPr>
                <w:sz w:val="13"/>
              </w:rPr>
            </w:pPr>
            <w:r>
              <w:rPr>
                <w:w w:val="105"/>
                <w:sz w:val="13"/>
              </w:rPr>
              <w:t>Transferencias de</w:t>
            </w:r>
            <w:r>
              <w:rPr>
                <w:spacing w:val="-18"/>
                <w:w w:val="105"/>
                <w:sz w:val="13"/>
              </w:rPr>
              <w:t> </w:t>
            </w:r>
            <w:r>
              <w:rPr>
                <w:w w:val="105"/>
                <w:sz w:val="13"/>
              </w:rPr>
              <w:t>crédito</w:t>
            </w:r>
            <w:r>
              <w:rPr>
                <w:spacing w:val="-9"/>
                <w:w w:val="105"/>
                <w:sz w:val="13"/>
              </w:rPr>
              <w:t> </w:t>
            </w:r>
            <w:r>
              <w:rPr>
                <w:w w:val="105"/>
                <w:sz w:val="13"/>
              </w:rPr>
              <w:t>Negativas</w:t>
              <w:tab/>
              <w:t>-136.119.716,06</w:t>
            </w:r>
          </w:p>
          <w:p>
            <w:pPr>
              <w:pStyle w:val="TableParagraph"/>
              <w:tabs>
                <w:tab w:pos="3396" w:val="left" w:leader="none"/>
              </w:tabs>
              <w:spacing w:before="75"/>
              <w:ind w:left="57"/>
              <w:rPr>
                <w:sz w:val="13"/>
              </w:rPr>
            </w:pPr>
            <w:r>
              <w:rPr>
                <w:w w:val="105"/>
                <w:sz w:val="13"/>
              </w:rPr>
              <w:t>Créditos Generados</w:t>
            </w:r>
            <w:r>
              <w:rPr>
                <w:spacing w:val="-17"/>
                <w:w w:val="105"/>
                <w:sz w:val="13"/>
              </w:rPr>
              <w:t> </w:t>
            </w:r>
            <w:r>
              <w:rPr>
                <w:w w:val="105"/>
                <w:sz w:val="13"/>
              </w:rPr>
              <w:t>por</w:t>
            </w:r>
            <w:r>
              <w:rPr>
                <w:spacing w:val="-9"/>
                <w:w w:val="105"/>
                <w:sz w:val="13"/>
              </w:rPr>
              <w:t> </w:t>
            </w:r>
            <w:r>
              <w:rPr>
                <w:w w:val="105"/>
                <w:sz w:val="13"/>
              </w:rPr>
              <w:t>Ingresos</w:t>
              <w:tab/>
              <w:t>536.082.680,99</w:t>
            </w:r>
          </w:p>
          <w:p>
            <w:pPr>
              <w:pStyle w:val="TableParagraph"/>
              <w:tabs>
                <w:tab w:pos="3465" w:val="left" w:leader="none"/>
              </w:tabs>
              <w:spacing w:before="75"/>
              <w:ind w:left="57"/>
              <w:rPr>
                <w:sz w:val="13"/>
              </w:rPr>
            </w:pPr>
            <w:r>
              <w:rPr>
                <w:w w:val="105"/>
                <w:sz w:val="13"/>
              </w:rPr>
              <w:t>Incorporaciones</w:t>
            </w:r>
            <w:r>
              <w:rPr>
                <w:spacing w:val="-9"/>
                <w:w w:val="105"/>
                <w:sz w:val="13"/>
              </w:rPr>
              <w:t> </w:t>
            </w:r>
            <w:r>
              <w:rPr>
                <w:w w:val="105"/>
                <w:sz w:val="13"/>
              </w:rPr>
              <w:t>de</w:t>
            </w:r>
            <w:r>
              <w:rPr>
                <w:spacing w:val="-9"/>
                <w:w w:val="105"/>
                <w:sz w:val="13"/>
              </w:rPr>
              <w:t> </w:t>
            </w:r>
            <w:r>
              <w:rPr>
                <w:w w:val="105"/>
                <w:sz w:val="13"/>
              </w:rPr>
              <w:t>crédito</w:t>
              <w:tab/>
              <w:t>23.528.117,60</w:t>
            </w:r>
          </w:p>
        </w:tc>
      </w:tr>
      <w:tr>
        <w:trPr>
          <w:trHeight w:val="233" w:hRule="atLeast"/>
        </w:trPr>
        <w:tc>
          <w:tcPr>
            <w:tcW w:w="4557" w:type="dxa"/>
            <w:shd w:val="clear" w:color="auto" w:fill="D9D9D9"/>
          </w:tcPr>
          <w:p>
            <w:pPr>
              <w:pStyle w:val="TableParagraph"/>
              <w:tabs>
                <w:tab w:pos="3394" w:val="left" w:leader="none"/>
              </w:tabs>
              <w:spacing w:before="38"/>
              <w:ind w:left="1191"/>
              <w:rPr>
                <w:b/>
                <w:sz w:val="13"/>
              </w:rPr>
            </w:pPr>
            <w:r>
              <w:rPr>
                <w:b/>
                <w:w w:val="105"/>
                <w:sz w:val="13"/>
              </w:rPr>
              <w:t>Total</w:t>
            </w:r>
            <w:r>
              <w:rPr>
                <w:b/>
                <w:spacing w:val="-7"/>
                <w:w w:val="105"/>
                <w:sz w:val="13"/>
              </w:rPr>
              <w:t> </w:t>
            </w:r>
            <w:r>
              <w:rPr>
                <w:b/>
                <w:w w:val="105"/>
                <w:sz w:val="13"/>
              </w:rPr>
              <w:t>(</w:t>
            </w:r>
            <w:r>
              <w:rPr>
                <w:w w:val="105"/>
                <w:sz w:val="13"/>
              </w:rPr>
              <w:t>euros</w:t>
            </w:r>
            <w:r>
              <w:rPr>
                <w:b/>
                <w:w w:val="105"/>
                <w:sz w:val="13"/>
              </w:rPr>
              <w:t>)</w:t>
              <w:tab/>
              <w:t>679.805.314,80</w:t>
            </w:r>
          </w:p>
        </w:tc>
      </w:tr>
    </w:tbl>
    <w:p>
      <w:pPr>
        <w:pStyle w:val="BodyText"/>
        <w:spacing w:before="7"/>
        <w:rPr>
          <w:b/>
          <w:sz w:val="11"/>
        </w:rPr>
      </w:pPr>
    </w:p>
    <w:p>
      <w:pPr>
        <w:pStyle w:val="ListParagraph"/>
        <w:numPr>
          <w:ilvl w:val="0"/>
          <w:numId w:val="46"/>
        </w:numPr>
        <w:tabs>
          <w:tab w:pos="2314" w:val="left" w:leader="none"/>
        </w:tabs>
        <w:spacing w:line="240" w:lineRule="auto" w:before="61" w:after="0"/>
        <w:ind w:left="2313" w:right="0" w:hanging="218"/>
        <w:jc w:val="left"/>
        <w:rPr>
          <w:b/>
          <w:sz w:val="20"/>
        </w:rPr>
      </w:pPr>
      <w:r>
        <w:rPr>
          <w:b/>
          <w:sz w:val="20"/>
        </w:rPr>
        <w:t>Ejecución</w:t>
      </w:r>
      <w:r>
        <w:rPr>
          <w:b/>
          <w:spacing w:val="1"/>
          <w:sz w:val="20"/>
        </w:rPr>
        <w:t> </w:t>
      </w:r>
      <w:r>
        <w:rPr>
          <w:b/>
          <w:sz w:val="20"/>
        </w:rPr>
        <w:t>presupuestaria.</w:t>
      </w:r>
    </w:p>
    <w:p>
      <w:pPr>
        <w:pStyle w:val="BodyText"/>
        <w:spacing w:before="8"/>
        <w:rPr>
          <w:b/>
          <w:sz w:val="16"/>
        </w:rPr>
      </w:pPr>
    </w:p>
    <w:p>
      <w:pPr>
        <w:pStyle w:val="ListParagraph"/>
        <w:numPr>
          <w:ilvl w:val="0"/>
          <w:numId w:val="47"/>
        </w:numPr>
        <w:tabs>
          <w:tab w:pos="2335" w:val="left" w:leader="none"/>
        </w:tabs>
        <w:spacing w:line="240" w:lineRule="auto" w:before="0" w:after="0"/>
        <w:ind w:left="2334" w:right="1143" w:hanging="238"/>
        <w:jc w:val="both"/>
        <w:rPr>
          <w:sz w:val="20"/>
        </w:rPr>
      </w:pPr>
      <w:r>
        <w:rPr>
          <w:sz w:val="20"/>
        </w:rPr>
        <w:t>El grado de ejecución presupuestaria, para ingresos y gastos, está próximo al 100 %. Lo mismo sucede para el grado de realización de los cobros y los</w:t>
      </w:r>
      <w:r>
        <w:rPr>
          <w:spacing w:val="6"/>
          <w:sz w:val="20"/>
        </w:rPr>
        <w:t> </w:t>
      </w:r>
      <w:r>
        <w:rPr>
          <w:sz w:val="20"/>
        </w:rPr>
        <w:t>pagos.</w:t>
      </w:r>
    </w:p>
    <w:p>
      <w:pPr>
        <w:pStyle w:val="BodyText"/>
        <w:spacing w:before="9"/>
        <w:rPr>
          <w:sz w:val="16"/>
        </w:rPr>
      </w:pPr>
    </w:p>
    <w:p>
      <w:pPr>
        <w:spacing w:before="0"/>
        <w:ind w:left="0" w:right="1139" w:firstLine="0"/>
        <w:jc w:val="right"/>
        <w:rPr>
          <w:b/>
          <w:sz w:val="15"/>
        </w:rPr>
      </w:pPr>
      <w:r>
        <w:rPr>
          <w:b/>
          <w:sz w:val="15"/>
        </w:rPr>
        <w:t>miles de €</w:t>
      </w:r>
    </w:p>
    <w:tbl>
      <w:tblPr>
        <w:tblW w:w="0" w:type="auto"/>
        <w:jc w:val="lef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4"/>
        <w:gridCol w:w="1574"/>
        <w:gridCol w:w="1766"/>
        <w:gridCol w:w="1449"/>
      </w:tblGrid>
      <w:tr>
        <w:trPr>
          <w:trHeight w:val="284" w:hRule="atLeast"/>
        </w:trPr>
        <w:tc>
          <w:tcPr>
            <w:tcW w:w="3708" w:type="dxa"/>
            <w:gridSpan w:val="2"/>
            <w:shd w:val="clear" w:color="auto" w:fill="DEEAF6"/>
          </w:tcPr>
          <w:p>
            <w:pPr>
              <w:pStyle w:val="TableParagraph"/>
              <w:spacing w:before="64"/>
              <w:ind w:left="1595" w:right="1588"/>
              <w:jc w:val="center"/>
              <w:rPr>
                <w:b/>
                <w:sz w:val="13"/>
              </w:rPr>
            </w:pPr>
            <w:r>
              <w:rPr>
                <w:b/>
                <w:w w:val="105"/>
                <w:sz w:val="13"/>
              </w:rPr>
              <w:t>Ingresos</w:t>
            </w:r>
          </w:p>
        </w:tc>
        <w:tc>
          <w:tcPr>
            <w:tcW w:w="3215" w:type="dxa"/>
            <w:gridSpan w:val="2"/>
            <w:shd w:val="clear" w:color="auto" w:fill="DEEAF6"/>
          </w:tcPr>
          <w:p>
            <w:pPr>
              <w:pStyle w:val="TableParagraph"/>
              <w:spacing w:before="64"/>
              <w:ind w:left="1394" w:right="1386"/>
              <w:jc w:val="center"/>
              <w:rPr>
                <w:b/>
                <w:sz w:val="13"/>
              </w:rPr>
            </w:pPr>
            <w:r>
              <w:rPr>
                <w:b/>
                <w:w w:val="105"/>
                <w:sz w:val="13"/>
              </w:rPr>
              <w:t>Gastos</w:t>
            </w:r>
          </w:p>
        </w:tc>
      </w:tr>
      <w:tr>
        <w:trPr>
          <w:trHeight w:val="163" w:hRule="atLeast"/>
        </w:trPr>
        <w:tc>
          <w:tcPr>
            <w:tcW w:w="2134" w:type="dxa"/>
            <w:vMerge w:val="restart"/>
            <w:shd w:val="clear" w:color="auto" w:fill="DEEAF6"/>
          </w:tcPr>
          <w:p>
            <w:pPr>
              <w:pStyle w:val="TableParagraph"/>
              <w:spacing w:line="121" w:lineRule="exact" w:before="56"/>
              <w:ind w:left="323"/>
              <w:rPr>
                <w:b/>
                <w:sz w:val="13"/>
              </w:rPr>
            </w:pPr>
            <w:r>
              <w:rPr>
                <w:b/>
                <w:w w:val="105"/>
                <w:sz w:val="13"/>
              </w:rPr>
              <w:t>Derechos</w:t>
            </w:r>
          </w:p>
          <w:p>
            <w:pPr>
              <w:pStyle w:val="TableParagraph"/>
              <w:tabs>
                <w:tab w:pos="1458" w:val="left" w:leader="none"/>
              </w:tabs>
              <w:spacing w:line="201" w:lineRule="exact"/>
              <w:ind w:left="234"/>
              <w:rPr>
                <w:b/>
                <w:sz w:val="13"/>
              </w:rPr>
            </w:pPr>
            <w:r>
              <w:rPr>
                <w:b/>
                <w:w w:val="105"/>
                <w:sz w:val="13"/>
              </w:rPr>
              <w:t>Reconocidos</w:t>
              <w:tab/>
            </w:r>
            <w:r>
              <w:rPr>
                <w:b/>
                <w:w w:val="105"/>
                <w:position w:val="8"/>
                <w:sz w:val="13"/>
              </w:rPr>
              <w:t>Cobros</w:t>
            </w:r>
          </w:p>
        </w:tc>
        <w:tc>
          <w:tcPr>
            <w:tcW w:w="1574" w:type="dxa"/>
            <w:shd w:val="clear" w:color="auto" w:fill="DEEAF6"/>
          </w:tcPr>
          <w:p>
            <w:pPr>
              <w:pStyle w:val="TableParagraph"/>
              <w:spacing w:line="141" w:lineRule="exact" w:before="2"/>
              <w:ind w:left="590" w:right="583"/>
              <w:jc w:val="center"/>
              <w:rPr>
                <w:b/>
                <w:sz w:val="13"/>
              </w:rPr>
            </w:pPr>
            <w:r>
              <w:rPr>
                <w:b/>
                <w:w w:val="105"/>
                <w:sz w:val="13"/>
              </w:rPr>
              <w:t>Grado</w:t>
            </w:r>
          </w:p>
        </w:tc>
        <w:tc>
          <w:tcPr>
            <w:tcW w:w="1766" w:type="dxa"/>
            <w:vMerge w:val="restart"/>
            <w:shd w:val="clear" w:color="auto" w:fill="DEEAF6"/>
          </w:tcPr>
          <w:p>
            <w:pPr>
              <w:pStyle w:val="TableParagraph"/>
              <w:tabs>
                <w:tab w:pos="1158" w:val="left" w:leader="none"/>
              </w:tabs>
              <w:spacing w:line="163" w:lineRule="auto" w:before="96"/>
              <w:ind w:left="106" w:right="267" w:hanging="25"/>
              <w:rPr>
                <w:b/>
                <w:sz w:val="13"/>
              </w:rPr>
            </w:pPr>
            <w:r>
              <w:rPr>
                <w:b/>
                <w:w w:val="105"/>
                <w:sz w:val="13"/>
              </w:rPr>
              <w:t>Obligaciones reconocidas</w:t>
              <w:tab/>
            </w:r>
            <w:r>
              <w:rPr>
                <w:b/>
                <w:spacing w:val="-5"/>
                <w:w w:val="105"/>
                <w:position w:val="8"/>
                <w:sz w:val="13"/>
              </w:rPr>
              <w:t>Pagos</w:t>
            </w:r>
          </w:p>
        </w:tc>
        <w:tc>
          <w:tcPr>
            <w:tcW w:w="1449" w:type="dxa"/>
            <w:shd w:val="clear" w:color="auto" w:fill="DEEAF6"/>
          </w:tcPr>
          <w:p>
            <w:pPr>
              <w:pStyle w:val="TableParagraph"/>
              <w:spacing w:line="141" w:lineRule="exact" w:before="2"/>
              <w:ind w:left="36" w:right="26"/>
              <w:jc w:val="center"/>
              <w:rPr>
                <w:b/>
                <w:sz w:val="13"/>
              </w:rPr>
            </w:pPr>
            <w:r>
              <w:rPr>
                <w:b/>
                <w:w w:val="105"/>
                <w:sz w:val="13"/>
              </w:rPr>
              <w:t>Grado</w:t>
            </w:r>
          </w:p>
        </w:tc>
      </w:tr>
      <w:tr>
        <w:trPr>
          <w:trHeight w:val="260" w:hRule="atLeast"/>
        </w:trPr>
        <w:tc>
          <w:tcPr>
            <w:tcW w:w="2134" w:type="dxa"/>
            <w:vMerge/>
            <w:tcBorders>
              <w:top w:val="nil"/>
            </w:tcBorders>
            <w:shd w:val="clear" w:color="auto" w:fill="DEEAF6"/>
          </w:tcPr>
          <w:p>
            <w:pPr>
              <w:rPr>
                <w:sz w:val="2"/>
                <w:szCs w:val="2"/>
              </w:rPr>
            </w:pPr>
          </w:p>
        </w:tc>
        <w:tc>
          <w:tcPr>
            <w:tcW w:w="1574" w:type="dxa"/>
            <w:shd w:val="clear" w:color="auto" w:fill="DEEAF6"/>
          </w:tcPr>
          <w:p>
            <w:pPr>
              <w:pStyle w:val="TableParagraph"/>
              <w:tabs>
                <w:tab w:pos="860" w:val="left" w:leader="none"/>
              </w:tabs>
              <w:spacing w:before="50"/>
              <w:ind w:left="106"/>
              <w:rPr>
                <w:b/>
                <w:sz w:val="13"/>
              </w:rPr>
            </w:pPr>
            <w:r>
              <w:rPr>
                <w:b/>
                <w:w w:val="105"/>
                <w:sz w:val="13"/>
              </w:rPr>
              <w:t>ejecución</w:t>
              <w:tab/>
              <w:t>realización</w:t>
            </w:r>
          </w:p>
        </w:tc>
        <w:tc>
          <w:tcPr>
            <w:tcW w:w="1766" w:type="dxa"/>
            <w:vMerge/>
            <w:tcBorders>
              <w:top w:val="nil"/>
            </w:tcBorders>
            <w:shd w:val="clear" w:color="auto" w:fill="DEEAF6"/>
          </w:tcPr>
          <w:p>
            <w:pPr>
              <w:rPr>
                <w:sz w:val="2"/>
                <w:szCs w:val="2"/>
              </w:rPr>
            </w:pPr>
          </w:p>
        </w:tc>
        <w:tc>
          <w:tcPr>
            <w:tcW w:w="1449" w:type="dxa"/>
            <w:shd w:val="clear" w:color="auto" w:fill="D9E1F3"/>
          </w:tcPr>
          <w:p>
            <w:pPr>
              <w:pStyle w:val="TableParagraph"/>
              <w:spacing w:before="50"/>
              <w:ind w:left="31" w:right="26"/>
              <w:jc w:val="center"/>
              <w:rPr>
                <w:b/>
                <w:sz w:val="13"/>
              </w:rPr>
            </w:pPr>
            <w:r>
              <w:rPr>
                <w:b/>
                <w:w w:val="105"/>
                <w:sz w:val="13"/>
              </w:rPr>
              <w:t>ejecución realización</w:t>
            </w:r>
          </w:p>
        </w:tc>
      </w:tr>
      <w:tr>
        <w:trPr>
          <w:trHeight w:val="260" w:hRule="atLeast"/>
        </w:trPr>
        <w:tc>
          <w:tcPr>
            <w:tcW w:w="2134" w:type="dxa"/>
          </w:tcPr>
          <w:p>
            <w:pPr>
              <w:pStyle w:val="TableParagraph"/>
              <w:tabs>
                <w:tab w:pos="1361" w:val="left" w:leader="none"/>
              </w:tabs>
              <w:spacing w:before="50"/>
              <w:ind w:left="402"/>
              <w:rPr>
                <w:sz w:val="13"/>
              </w:rPr>
            </w:pPr>
            <w:r>
              <w:rPr>
                <w:w w:val="105"/>
                <w:sz w:val="13"/>
              </w:rPr>
              <w:t>4.040.151,48</w:t>
              <w:tab/>
              <w:t>4.009.792,88</w:t>
            </w:r>
          </w:p>
        </w:tc>
        <w:tc>
          <w:tcPr>
            <w:tcW w:w="1574" w:type="dxa"/>
          </w:tcPr>
          <w:p>
            <w:pPr>
              <w:pStyle w:val="TableParagraph"/>
              <w:tabs>
                <w:tab w:pos="958" w:val="left" w:leader="none"/>
              </w:tabs>
              <w:spacing w:before="50"/>
              <w:ind w:left="170"/>
              <w:rPr>
                <w:sz w:val="13"/>
              </w:rPr>
            </w:pPr>
            <w:r>
              <w:rPr>
                <w:w w:val="105"/>
                <w:sz w:val="13"/>
              </w:rPr>
              <w:t>98,97%</w:t>
              <w:tab/>
              <w:t>99,25%</w:t>
            </w:r>
          </w:p>
        </w:tc>
        <w:tc>
          <w:tcPr>
            <w:tcW w:w="1766" w:type="dxa"/>
          </w:tcPr>
          <w:p>
            <w:pPr>
              <w:pStyle w:val="TableParagraph"/>
              <w:spacing w:before="50"/>
              <w:ind w:left="110"/>
              <w:rPr>
                <w:sz w:val="13"/>
              </w:rPr>
            </w:pPr>
            <w:r>
              <w:rPr>
                <w:w w:val="105"/>
                <w:sz w:val="13"/>
              </w:rPr>
              <w:t>4.074.742,05 3.942.156,98</w:t>
            </w:r>
          </w:p>
        </w:tc>
        <w:tc>
          <w:tcPr>
            <w:tcW w:w="1449" w:type="dxa"/>
          </w:tcPr>
          <w:p>
            <w:pPr>
              <w:pStyle w:val="TableParagraph"/>
              <w:tabs>
                <w:tab w:pos="723" w:val="left" w:leader="none"/>
              </w:tabs>
              <w:spacing w:before="50"/>
              <w:ind w:right="26"/>
              <w:jc w:val="center"/>
              <w:rPr>
                <w:sz w:val="13"/>
              </w:rPr>
            </w:pPr>
            <w:r>
              <w:rPr>
                <w:w w:val="105"/>
                <w:sz w:val="13"/>
              </w:rPr>
              <w:t>98,40%</w:t>
              <w:tab/>
              <w:t>96,75%</w:t>
            </w:r>
          </w:p>
        </w:tc>
      </w:tr>
    </w:tbl>
    <w:p>
      <w:pPr>
        <w:pStyle w:val="BodyText"/>
        <w:spacing w:before="7"/>
        <w:rPr>
          <w:b/>
          <w:sz w:val="16"/>
        </w:rPr>
      </w:pPr>
    </w:p>
    <w:p>
      <w:pPr>
        <w:pStyle w:val="ListParagraph"/>
        <w:numPr>
          <w:ilvl w:val="0"/>
          <w:numId w:val="47"/>
        </w:numPr>
        <w:tabs>
          <w:tab w:pos="2335" w:val="left" w:leader="none"/>
        </w:tabs>
        <w:spacing w:line="242" w:lineRule="auto" w:before="0" w:after="0"/>
        <w:ind w:left="2334" w:right="1136" w:hanging="238"/>
        <w:jc w:val="both"/>
        <w:rPr>
          <w:sz w:val="20"/>
        </w:rPr>
      </w:pPr>
      <w:r>
        <w:rPr>
          <w:sz w:val="20"/>
        </w:rPr>
        <w:t>En la clasificación económica del gasto, la mayoría de los gastos son corrientes (3.994,2</w:t>
      </w:r>
      <w:r>
        <w:rPr>
          <w:spacing w:val="-5"/>
          <w:sz w:val="20"/>
        </w:rPr>
        <w:t> </w:t>
      </w:r>
      <w:r>
        <w:rPr>
          <w:sz w:val="20"/>
        </w:rPr>
        <w:t>millones</w:t>
      </w:r>
      <w:r>
        <w:rPr>
          <w:spacing w:val="-4"/>
          <w:sz w:val="20"/>
        </w:rPr>
        <w:t> </w:t>
      </w:r>
      <w:r>
        <w:rPr>
          <w:sz w:val="20"/>
        </w:rPr>
        <w:t>de</w:t>
      </w:r>
      <w:r>
        <w:rPr>
          <w:spacing w:val="-4"/>
          <w:sz w:val="20"/>
        </w:rPr>
        <w:t> </w:t>
      </w:r>
      <w:r>
        <w:rPr>
          <w:sz w:val="20"/>
        </w:rPr>
        <w:t>€),</w:t>
      </w:r>
      <w:r>
        <w:rPr>
          <w:spacing w:val="-6"/>
          <w:sz w:val="20"/>
        </w:rPr>
        <w:t> </w:t>
      </w:r>
      <w:r>
        <w:rPr>
          <w:sz w:val="20"/>
        </w:rPr>
        <w:t>concentrados</w:t>
      </w:r>
      <w:r>
        <w:rPr>
          <w:spacing w:val="-4"/>
          <w:sz w:val="20"/>
        </w:rPr>
        <w:t> </w:t>
      </w:r>
      <w:r>
        <w:rPr>
          <w:sz w:val="20"/>
        </w:rPr>
        <w:t>en</w:t>
      </w:r>
      <w:r>
        <w:rPr>
          <w:spacing w:val="-4"/>
          <w:sz w:val="20"/>
        </w:rPr>
        <w:t> </w:t>
      </w:r>
      <w:r>
        <w:rPr>
          <w:sz w:val="20"/>
        </w:rPr>
        <w:t>el</w:t>
      </w:r>
      <w:r>
        <w:rPr>
          <w:spacing w:val="-6"/>
          <w:sz w:val="20"/>
        </w:rPr>
        <w:t> </w:t>
      </w:r>
      <w:r>
        <w:rPr>
          <w:sz w:val="20"/>
        </w:rPr>
        <w:t>personal</w:t>
      </w:r>
      <w:r>
        <w:rPr>
          <w:spacing w:val="-4"/>
          <w:sz w:val="20"/>
        </w:rPr>
        <w:t> </w:t>
      </w:r>
      <w:r>
        <w:rPr>
          <w:sz w:val="20"/>
        </w:rPr>
        <w:t>(52,2</w:t>
      </w:r>
      <w:r>
        <w:rPr>
          <w:spacing w:val="-6"/>
          <w:sz w:val="20"/>
        </w:rPr>
        <w:t> </w:t>
      </w:r>
      <w:r>
        <w:rPr>
          <w:sz w:val="20"/>
        </w:rPr>
        <w:t>%),</w:t>
      </w:r>
      <w:r>
        <w:rPr>
          <w:spacing w:val="-5"/>
          <w:sz w:val="20"/>
        </w:rPr>
        <w:t> </w:t>
      </w:r>
      <w:r>
        <w:rPr>
          <w:sz w:val="20"/>
        </w:rPr>
        <w:t>en</w:t>
      </w:r>
      <w:r>
        <w:rPr>
          <w:spacing w:val="-4"/>
          <w:sz w:val="20"/>
        </w:rPr>
        <w:t> </w:t>
      </w:r>
      <w:r>
        <w:rPr>
          <w:sz w:val="20"/>
        </w:rPr>
        <w:t>la</w:t>
      </w:r>
      <w:r>
        <w:rPr>
          <w:spacing w:val="-6"/>
          <w:sz w:val="20"/>
        </w:rPr>
        <w:t> </w:t>
      </w:r>
      <w:r>
        <w:rPr>
          <w:sz w:val="20"/>
        </w:rPr>
        <w:t>compra</w:t>
      </w:r>
      <w:r>
        <w:rPr>
          <w:spacing w:val="-4"/>
          <w:sz w:val="20"/>
        </w:rPr>
        <w:t> </w:t>
      </w:r>
      <w:r>
        <w:rPr>
          <w:sz w:val="20"/>
        </w:rPr>
        <w:t>de</w:t>
      </w:r>
      <w:r>
        <w:rPr>
          <w:spacing w:val="-6"/>
          <w:sz w:val="20"/>
        </w:rPr>
        <w:t> </w:t>
      </w:r>
      <w:r>
        <w:rPr>
          <w:sz w:val="20"/>
        </w:rPr>
        <w:t>bienes y</w:t>
      </w:r>
      <w:r>
        <w:rPr>
          <w:spacing w:val="-5"/>
          <w:sz w:val="20"/>
        </w:rPr>
        <w:t> </w:t>
      </w:r>
      <w:r>
        <w:rPr>
          <w:sz w:val="20"/>
        </w:rPr>
        <w:t>servicios</w:t>
      </w:r>
      <w:r>
        <w:rPr>
          <w:spacing w:val="-4"/>
          <w:sz w:val="20"/>
        </w:rPr>
        <w:t> </w:t>
      </w:r>
      <w:r>
        <w:rPr>
          <w:sz w:val="20"/>
        </w:rPr>
        <w:t>(26,8</w:t>
      </w:r>
      <w:r>
        <w:rPr>
          <w:spacing w:val="-6"/>
          <w:sz w:val="20"/>
        </w:rPr>
        <w:t> </w:t>
      </w:r>
      <w:r>
        <w:rPr>
          <w:sz w:val="20"/>
        </w:rPr>
        <w:t>%)</w:t>
      </w:r>
      <w:r>
        <w:rPr>
          <w:spacing w:val="-4"/>
          <w:sz w:val="20"/>
        </w:rPr>
        <w:t> </w:t>
      </w:r>
      <w:r>
        <w:rPr>
          <w:sz w:val="20"/>
        </w:rPr>
        <w:t>y</w:t>
      </w:r>
      <w:r>
        <w:rPr>
          <w:spacing w:val="-7"/>
          <w:sz w:val="20"/>
        </w:rPr>
        <w:t> </w:t>
      </w:r>
      <w:r>
        <w:rPr>
          <w:sz w:val="20"/>
        </w:rPr>
        <w:t>en</w:t>
      </w:r>
      <w:r>
        <w:rPr>
          <w:spacing w:val="-6"/>
          <w:sz w:val="20"/>
        </w:rPr>
        <w:t> </w:t>
      </w:r>
      <w:r>
        <w:rPr>
          <w:sz w:val="20"/>
        </w:rPr>
        <w:t>transferencias</w:t>
      </w:r>
      <w:r>
        <w:rPr>
          <w:spacing w:val="-5"/>
          <w:sz w:val="20"/>
        </w:rPr>
        <w:t> </w:t>
      </w:r>
      <w:r>
        <w:rPr>
          <w:sz w:val="20"/>
        </w:rPr>
        <w:t>corrientes</w:t>
      </w:r>
      <w:r>
        <w:rPr>
          <w:spacing w:val="-8"/>
          <w:sz w:val="20"/>
        </w:rPr>
        <w:t> </w:t>
      </w:r>
      <w:r>
        <w:rPr>
          <w:sz w:val="20"/>
        </w:rPr>
        <w:t>(18,9</w:t>
      </w:r>
      <w:r>
        <w:rPr>
          <w:spacing w:val="-5"/>
          <w:sz w:val="20"/>
        </w:rPr>
        <w:t> </w:t>
      </w:r>
      <w:r>
        <w:rPr>
          <w:sz w:val="20"/>
        </w:rPr>
        <w:t>%).</w:t>
      </w:r>
      <w:r>
        <w:rPr>
          <w:spacing w:val="-5"/>
          <w:sz w:val="20"/>
        </w:rPr>
        <w:t> </w:t>
      </w:r>
      <w:r>
        <w:rPr>
          <w:sz w:val="20"/>
        </w:rPr>
        <w:t>El</w:t>
      </w:r>
      <w:r>
        <w:rPr>
          <w:spacing w:val="-5"/>
          <w:sz w:val="20"/>
        </w:rPr>
        <w:t> </w:t>
      </w:r>
      <w:r>
        <w:rPr>
          <w:sz w:val="20"/>
        </w:rPr>
        <w:t>total</w:t>
      </w:r>
      <w:r>
        <w:rPr>
          <w:spacing w:val="-8"/>
          <w:sz w:val="20"/>
        </w:rPr>
        <w:t> </w:t>
      </w:r>
      <w:r>
        <w:rPr>
          <w:sz w:val="20"/>
        </w:rPr>
        <w:t>de</w:t>
      </w:r>
      <w:r>
        <w:rPr>
          <w:spacing w:val="-2"/>
          <w:sz w:val="20"/>
        </w:rPr>
        <w:t> </w:t>
      </w:r>
      <w:r>
        <w:rPr>
          <w:sz w:val="20"/>
        </w:rPr>
        <w:t>las</w:t>
      </w:r>
      <w:r>
        <w:rPr>
          <w:spacing w:val="-4"/>
          <w:sz w:val="20"/>
        </w:rPr>
        <w:t> </w:t>
      </w:r>
      <w:r>
        <w:rPr>
          <w:sz w:val="20"/>
        </w:rPr>
        <w:t>obligaciones que quedaron pendientes de pago al final del ejercicio ascienden a 132,6</w:t>
      </w:r>
      <w:r>
        <w:rPr>
          <w:spacing w:val="20"/>
          <w:sz w:val="20"/>
        </w:rPr>
        <w:t> </w:t>
      </w:r>
      <w:r>
        <w:rPr>
          <w:sz w:val="20"/>
        </w:rPr>
        <w:t>millones.</w:t>
      </w:r>
    </w:p>
    <w:p>
      <w:pPr>
        <w:pStyle w:val="BodyText"/>
        <w:spacing w:before="4"/>
        <w:rPr>
          <w:sz w:val="16"/>
        </w:rPr>
      </w:pPr>
    </w:p>
    <w:tbl>
      <w:tblPr>
        <w:tblW w:w="0" w:type="auto"/>
        <w:jc w:val="left"/>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2"/>
        <w:gridCol w:w="844"/>
        <w:gridCol w:w="987"/>
        <w:gridCol w:w="889"/>
        <w:gridCol w:w="926"/>
        <w:gridCol w:w="838"/>
      </w:tblGrid>
      <w:tr>
        <w:trPr>
          <w:trHeight w:val="465" w:hRule="atLeast"/>
        </w:trPr>
        <w:tc>
          <w:tcPr>
            <w:tcW w:w="2382" w:type="dxa"/>
            <w:tcBorders>
              <w:top w:val="single" w:sz="4" w:space="0" w:color="000000"/>
              <w:left w:val="single" w:sz="4" w:space="0" w:color="000000"/>
              <w:bottom w:val="single" w:sz="4" w:space="0" w:color="000000"/>
            </w:tcBorders>
            <w:shd w:val="clear" w:color="auto" w:fill="DEEAF6"/>
          </w:tcPr>
          <w:p>
            <w:pPr>
              <w:pStyle w:val="TableParagraph"/>
              <w:spacing w:before="6"/>
              <w:rPr>
                <w:sz w:val="12"/>
              </w:rPr>
            </w:pPr>
          </w:p>
          <w:p>
            <w:pPr>
              <w:pStyle w:val="TableParagraph"/>
              <w:spacing w:before="1"/>
              <w:ind w:left="850" w:right="850"/>
              <w:jc w:val="center"/>
              <w:rPr>
                <w:b/>
                <w:sz w:val="13"/>
              </w:rPr>
            </w:pPr>
            <w:r>
              <w:rPr>
                <w:b/>
                <w:w w:val="105"/>
                <w:sz w:val="13"/>
              </w:rPr>
              <w:t>CAPÍTULOS</w:t>
            </w:r>
          </w:p>
        </w:tc>
        <w:tc>
          <w:tcPr>
            <w:tcW w:w="844" w:type="dxa"/>
            <w:tcBorders>
              <w:top w:val="single" w:sz="4" w:space="0" w:color="000000"/>
              <w:bottom w:val="single" w:sz="4" w:space="0" w:color="000000"/>
            </w:tcBorders>
            <w:shd w:val="clear" w:color="auto" w:fill="DEEAF6"/>
          </w:tcPr>
          <w:p>
            <w:pPr>
              <w:pStyle w:val="TableParagraph"/>
              <w:spacing w:line="247" w:lineRule="auto" w:before="72"/>
              <w:ind w:left="260" w:hanging="43"/>
              <w:rPr>
                <w:b/>
                <w:sz w:val="13"/>
              </w:rPr>
            </w:pPr>
            <w:r>
              <w:rPr>
                <w:b/>
                <w:w w:val="105"/>
                <w:sz w:val="13"/>
              </w:rPr>
              <w:t>Crédito inicial</w:t>
            </w:r>
          </w:p>
        </w:tc>
        <w:tc>
          <w:tcPr>
            <w:tcW w:w="987" w:type="dxa"/>
            <w:tcBorders>
              <w:top w:val="single" w:sz="4" w:space="0" w:color="000000"/>
              <w:bottom w:val="single" w:sz="4" w:space="0" w:color="000000"/>
            </w:tcBorders>
            <w:shd w:val="clear" w:color="auto" w:fill="DEEAF6"/>
          </w:tcPr>
          <w:p>
            <w:pPr>
              <w:pStyle w:val="TableParagraph"/>
              <w:spacing w:before="6"/>
              <w:rPr>
                <w:sz w:val="12"/>
              </w:rPr>
            </w:pPr>
          </w:p>
          <w:p>
            <w:pPr>
              <w:pStyle w:val="TableParagraph"/>
              <w:spacing w:before="1"/>
              <w:ind w:right="74"/>
              <w:jc w:val="right"/>
              <w:rPr>
                <w:b/>
                <w:sz w:val="13"/>
              </w:rPr>
            </w:pPr>
            <w:r>
              <w:rPr>
                <w:b/>
                <w:sz w:val="13"/>
              </w:rPr>
              <w:t>Modificaciones</w:t>
            </w:r>
          </w:p>
        </w:tc>
        <w:tc>
          <w:tcPr>
            <w:tcW w:w="889" w:type="dxa"/>
            <w:tcBorders>
              <w:top w:val="single" w:sz="4" w:space="0" w:color="000000"/>
              <w:bottom w:val="single" w:sz="4" w:space="0" w:color="000000"/>
            </w:tcBorders>
            <w:shd w:val="clear" w:color="auto" w:fill="DEEAF6"/>
          </w:tcPr>
          <w:p>
            <w:pPr>
              <w:pStyle w:val="TableParagraph"/>
              <w:spacing w:line="247" w:lineRule="auto" w:before="72"/>
              <w:ind w:left="152" w:firstLine="62"/>
              <w:rPr>
                <w:b/>
                <w:sz w:val="13"/>
              </w:rPr>
            </w:pPr>
            <w:r>
              <w:rPr>
                <w:b/>
                <w:w w:val="105"/>
                <w:sz w:val="13"/>
              </w:rPr>
              <w:t>Crédito definitivo</w:t>
            </w:r>
          </w:p>
        </w:tc>
        <w:tc>
          <w:tcPr>
            <w:tcW w:w="926" w:type="dxa"/>
            <w:tcBorders>
              <w:top w:val="single" w:sz="4" w:space="0" w:color="000000"/>
              <w:bottom w:val="single" w:sz="4" w:space="0" w:color="000000"/>
            </w:tcBorders>
            <w:shd w:val="clear" w:color="auto" w:fill="DEEAF6"/>
          </w:tcPr>
          <w:p>
            <w:pPr>
              <w:pStyle w:val="TableParagraph"/>
              <w:spacing w:line="247" w:lineRule="auto" w:before="72"/>
              <w:ind w:left="102" w:hanging="11"/>
              <w:rPr>
                <w:b/>
                <w:sz w:val="13"/>
              </w:rPr>
            </w:pPr>
            <w:r>
              <w:rPr>
                <w:b/>
                <w:w w:val="105"/>
                <w:sz w:val="13"/>
              </w:rPr>
              <w:t>Obligaciones </w:t>
            </w:r>
            <w:r>
              <w:rPr>
                <w:b/>
                <w:sz w:val="13"/>
              </w:rPr>
              <w:t>Reconocidas</w:t>
            </w:r>
          </w:p>
        </w:tc>
        <w:tc>
          <w:tcPr>
            <w:tcW w:w="838" w:type="dxa"/>
            <w:tcBorders>
              <w:top w:val="single" w:sz="4" w:space="0" w:color="000000"/>
              <w:bottom w:val="single" w:sz="4" w:space="0" w:color="000000"/>
              <w:right w:val="single" w:sz="4" w:space="0" w:color="000000"/>
            </w:tcBorders>
            <w:shd w:val="clear" w:color="auto" w:fill="DEEAF6"/>
          </w:tcPr>
          <w:p>
            <w:pPr>
              <w:pStyle w:val="TableParagraph"/>
              <w:spacing w:before="6"/>
              <w:rPr>
                <w:sz w:val="12"/>
              </w:rPr>
            </w:pPr>
          </w:p>
          <w:p>
            <w:pPr>
              <w:pStyle w:val="TableParagraph"/>
              <w:spacing w:before="1"/>
              <w:ind w:left="256"/>
              <w:rPr>
                <w:b/>
                <w:sz w:val="13"/>
              </w:rPr>
            </w:pPr>
            <w:r>
              <w:rPr>
                <w:b/>
                <w:w w:val="105"/>
                <w:sz w:val="13"/>
              </w:rPr>
              <w:t>Pagos</w:t>
            </w:r>
          </w:p>
        </w:tc>
      </w:tr>
      <w:tr>
        <w:trPr>
          <w:trHeight w:val="242" w:hRule="atLeast"/>
        </w:trPr>
        <w:tc>
          <w:tcPr>
            <w:tcW w:w="2382" w:type="dxa"/>
            <w:tcBorders>
              <w:top w:val="single" w:sz="4" w:space="0" w:color="000000"/>
              <w:left w:val="single" w:sz="4" w:space="0" w:color="000000"/>
            </w:tcBorders>
          </w:tcPr>
          <w:p>
            <w:pPr>
              <w:pStyle w:val="TableParagraph"/>
              <w:spacing w:before="36"/>
              <w:ind w:left="57"/>
              <w:rPr>
                <w:sz w:val="13"/>
              </w:rPr>
            </w:pPr>
            <w:r>
              <w:rPr>
                <w:w w:val="105"/>
                <w:sz w:val="13"/>
              </w:rPr>
              <w:t>1 Gastos de personal</w:t>
            </w:r>
          </w:p>
        </w:tc>
        <w:tc>
          <w:tcPr>
            <w:tcW w:w="844" w:type="dxa"/>
            <w:tcBorders>
              <w:top w:val="single" w:sz="4" w:space="0" w:color="000000"/>
            </w:tcBorders>
          </w:tcPr>
          <w:p>
            <w:pPr>
              <w:pStyle w:val="TableParagraph"/>
              <w:spacing w:before="36"/>
              <w:ind w:right="51"/>
              <w:jc w:val="right"/>
              <w:rPr>
                <w:sz w:val="13"/>
              </w:rPr>
            </w:pPr>
            <w:r>
              <w:rPr>
                <w:w w:val="105"/>
                <w:sz w:val="13"/>
              </w:rPr>
              <w:t>1.854.984,65</w:t>
            </w:r>
          </w:p>
        </w:tc>
        <w:tc>
          <w:tcPr>
            <w:tcW w:w="987" w:type="dxa"/>
            <w:tcBorders>
              <w:top w:val="single" w:sz="4" w:space="0" w:color="000000"/>
            </w:tcBorders>
          </w:tcPr>
          <w:p>
            <w:pPr>
              <w:pStyle w:val="TableParagraph"/>
              <w:spacing w:before="36"/>
              <w:ind w:right="73"/>
              <w:jc w:val="right"/>
              <w:rPr>
                <w:sz w:val="13"/>
              </w:rPr>
            </w:pPr>
            <w:r>
              <w:rPr>
                <w:w w:val="105"/>
                <w:sz w:val="13"/>
              </w:rPr>
              <w:t>279.662,14</w:t>
            </w:r>
          </w:p>
        </w:tc>
        <w:tc>
          <w:tcPr>
            <w:tcW w:w="889" w:type="dxa"/>
            <w:tcBorders>
              <w:top w:val="single" w:sz="4" w:space="0" w:color="000000"/>
            </w:tcBorders>
          </w:tcPr>
          <w:p>
            <w:pPr>
              <w:pStyle w:val="TableParagraph"/>
              <w:spacing w:before="36"/>
              <w:ind w:right="83"/>
              <w:jc w:val="right"/>
              <w:rPr>
                <w:sz w:val="13"/>
              </w:rPr>
            </w:pPr>
            <w:r>
              <w:rPr>
                <w:w w:val="105"/>
                <w:sz w:val="13"/>
              </w:rPr>
              <w:t>2.134.646,79</w:t>
            </w:r>
          </w:p>
        </w:tc>
        <w:tc>
          <w:tcPr>
            <w:tcW w:w="926" w:type="dxa"/>
            <w:tcBorders>
              <w:top w:val="single" w:sz="4" w:space="0" w:color="000000"/>
            </w:tcBorders>
          </w:tcPr>
          <w:p>
            <w:pPr>
              <w:pStyle w:val="TableParagraph"/>
              <w:spacing w:before="36"/>
              <w:ind w:right="52"/>
              <w:jc w:val="right"/>
              <w:rPr>
                <w:sz w:val="13"/>
              </w:rPr>
            </w:pPr>
            <w:r>
              <w:rPr>
                <w:w w:val="105"/>
                <w:sz w:val="13"/>
              </w:rPr>
              <w:t>2.128.731,35</w:t>
            </w:r>
          </w:p>
        </w:tc>
        <w:tc>
          <w:tcPr>
            <w:tcW w:w="838" w:type="dxa"/>
            <w:tcBorders>
              <w:top w:val="single" w:sz="4" w:space="0" w:color="000000"/>
              <w:right w:val="single" w:sz="4" w:space="0" w:color="000000"/>
            </w:tcBorders>
          </w:tcPr>
          <w:p>
            <w:pPr>
              <w:pStyle w:val="TableParagraph"/>
              <w:spacing w:before="36"/>
              <w:ind w:right="48"/>
              <w:jc w:val="right"/>
              <w:rPr>
                <w:sz w:val="13"/>
              </w:rPr>
            </w:pPr>
            <w:r>
              <w:rPr>
                <w:w w:val="105"/>
                <w:sz w:val="13"/>
              </w:rPr>
              <w:t>2.128.731,35</w:t>
            </w:r>
          </w:p>
        </w:tc>
      </w:tr>
      <w:tr>
        <w:trPr>
          <w:trHeight w:val="231" w:hRule="atLeast"/>
        </w:trPr>
        <w:tc>
          <w:tcPr>
            <w:tcW w:w="2382" w:type="dxa"/>
            <w:tcBorders>
              <w:left w:val="single" w:sz="4" w:space="0" w:color="000000"/>
            </w:tcBorders>
          </w:tcPr>
          <w:p>
            <w:pPr>
              <w:pStyle w:val="TableParagraph"/>
              <w:spacing w:before="26"/>
              <w:ind w:left="57"/>
              <w:rPr>
                <w:sz w:val="13"/>
              </w:rPr>
            </w:pPr>
            <w:r>
              <w:rPr>
                <w:w w:val="105"/>
                <w:sz w:val="13"/>
              </w:rPr>
              <w:t>2 Compra de bienes corrientes y servicios</w:t>
            </w:r>
          </w:p>
        </w:tc>
        <w:tc>
          <w:tcPr>
            <w:tcW w:w="844" w:type="dxa"/>
          </w:tcPr>
          <w:p>
            <w:pPr>
              <w:pStyle w:val="TableParagraph"/>
              <w:spacing w:before="26"/>
              <w:ind w:right="52"/>
              <w:jc w:val="right"/>
              <w:rPr>
                <w:sz w:val="13"/>
              </w:rPr>
            </w:pPr>
            <w:r>
              <w:rPr>
                <w:w w:val="105"/>
                <w:sz w:val="13"/>
              </w:rPr>
              <w:t>869.404,90</w:t>
            </w:r>
          </w:p>
        </w:tc>
        <w:tc>
          <w:tcPr>
            <w:tcW w:w="987" w:type="dxa"/>
          </w:tcPr>
          <w:p>
            <w:pPr>
              <w:pStyle w:val="TableParagraph"/>
              <w:spacing w:before="26"/>
              <w:ind w:right="73"/>
              <w:jc w:val="right"/>
              <w:rPr>
                <w:sz w:val="13"/>
              </w:rPr>
            </w:pPr>
            <w:r>
              <w:rPr>
                <w:w w:val="105"/>
                <w:sz w:val="13"/>
              </w:rPr>
              <w:t>233.163,02</w:t>
            </w:r>
          </w:p>
        </w:tc>
        <w:tc>
          <w:tcPr>
            <w:tcW w:w="889" w:type="dxa"/>
          </w:tcPr>
          <w:p>
            <w:pPr>
              <w:pStyle w:val="TableParagraph"/>
              <w:spacing w:before="26"/>
              <w:ind w:right="83"/>
              <w:jc w:val="right"/>
              <w:rPr>
                <w:sz w:val="13"/>
              </w:rPr>
            </w:pPr>
            <w:r>
              <w:rPr>
                <w:w w:val="105"/>
                <w:sz w:val="13"/>
              </w:rPr>
              <w:t>1.102.617,92</w:t>
            </w:r>
          </w:p>
        </w:tc>
        <w:tc>
          <w:tcPr>
            <w:tcW w:w="926" w:type="dxa"/>
          </w:tcPr>
          <w:p>
            <w:pPr>
              <w:pStyle w:val="TableParagraph"/>
              <w:spacing w:before="26"/>
              <w:ind w:right="52"/>
              <w:jc w:val="right"/>
              <w:rPr>
                <w:sz w:val="13"/>
              </w:rPr>
            </w:pPr>
            <w:r>
              <w:rPr>
                <w:w w:val="105"/>
                <w:sz w:val="13"/>
              </w:rPr>
              <w:t>1.092.878,01</w:t>
            </w:r>
          </w:p>
        </w:tc>
        <w:tc>
          <w:tcPr>
            <w:tcW w:w="838" w:type="dxa"/>
            <w:tcBorders>
              <w:right w:val="single" w:sz="4" w:space="0" w:color="000000"/>
            </w:tcBorders>
          </w:tcPr>
          <w:p>
            <w:pPr>
              <w:pStyle w:val="TableParagraph"/>
              <w:spacing w:before="26"/>
              <w:ind w:right="48"/>
              <w:jc w:val="right"/>
              <w:rPr>
                <w:sz w:val="13"/>
              </w:rPr>
            </w:pPr>
            <w:r>
              <w:rPr>
                <w:w w:val="105"/>
                <w:sz w:val="13"/>
              </w:rPr>
              <w:t>1.044.971,99</w:t>
            </w:r>
          </w:p>
        </w:tc>
      </w:tr>
      <w:tr>
        <w:trPr>
          <w:trHeight w:val="231" w:hRule="atLeast"/>
        </w:trPr>
        <w:tc>
          <w:tcPr>
            <w:tcW w:w="2382" w:type="dxa"/>
            <w:tcBorders>
              <w:left w:val="single" w:sz="4" w:space="0" w:color="000000"/>
            </w:tcBorders>
          </w:tcPr>
          <w:p>
            <w:pPr>
              <w:pStyle w:val="TableParagraph"/>
              <w:spacing w:before="26"/>
              <w:ind w:left="57"/>
              <w:rPr>
                <w:sz w:val="13"/>
              </w:rPr>
            </w:pPr>
            <w:r>
              <w:rPr>
                <w:w w:val="105"/>
                <w:sz w:val="13"/>
              </w:rPr>
              <w:t>3 Gastos Financieros</w:t>
            </w:r>
          </w:p>
        </w:tc>
        <w:tc>
          <w:tcPr>
            <w:tcW w:w="844" w:type="dxa"/>
          </w:tcPr>
          <w:p>
            <w:pPr>
              <w:pStyle w:val="TableParagraph"/>
              <w:spacing w:before="26"/>
              <w:ind w:right="51"/>
              <w:jc w:val="right"/>
              <w:rPr>
                <w:sz w:val="13"/>
              </w:rPr>
            </w:pPr>
            <w:r>
              <w:rPr>
                <w:w w:val="105"/>
                <w:sz w:val="13"/>
              </w:rPr>
              <w:t>1.000,00</w:t>
            </w:r>
          </w:p>
        </w:tc>
        <w:tc>
          <w:tcPr>
            <w:tcW w:w="987" w:type="dxa"/>
          </w:tcPr>
          <w:p>
            <w:pPr>
              <w:pStyle w:val="TableParagraph"/>
              <w:spacing w:before="26"/>
              <w:ind w:right="73"/>
              <w:jc w:val="right"/>
              <w:rPr>
                <w:sz w:val="13"/>
              </w:rPr>
            </w:pPr>
            <w:r>
              <w:rPr>
                <w:sz w:val="13"/>
              </w:rPr>
              <w:t>0,00</w:t>
            </w:r>
          </w:p>
        </w:tc>
        <w:tc>
          <w:tcPr>
            <w:tcW w:w="889" w:type="dxa"/>
          </w:tcPr>
          <w:p>
            <w:pPr>
              <w:pStyle w:val="TableParagraph"/>
              <w:spacing w:before="26"/>
              <w:ind w:right="83"/>
              <w:jc w:val="right"/>
              <w:rPr>
                <w:sz w:val="13"/>
              </w:rPr>
            </w:pPr>
            <w:r>
              <w:rPr>
                <w:w w:val="105"/>
                <w:sz w:val="13"/>
              </w:rPr>
              <w:t>1.000,00</w:t>
            </w:r>
          </w:p>
        </w:tc>
        <w:tc>
          <w:tcPr>
            <w:tcW w:w="926" w:type="dxa"/>
          </w:tcPr>
          <w:p>
            <w:pPr>
              <w:pStyle w:val="TableParagraph"/>
              <w:spacing w:before="26"/>
              <w:ind w:right="52"/>
              <w:jc w:val="right"/>
              <w:rPr>
                <w:sz w:val="13"/>
              </w:rPr>
            </w:pPr>
            <w:r>
              <w:rPr>
                <w:sz w:val="13"/>
              </w:rPr>
              <w:t>604,82</w:t>
            </w:r>
          </w:p>
        </w:tc>
        <w:tc>
          <w:tcPr>
            <w:tcW w:w="838" w:type="dxa"/>
            <w:tcBorders>
              <w:right w:val="single" w:sz="4" w:space="0" w:color="000000"/>
            </w:tcBorders>
          </w:tcPr>
          <w:p>
            <w:pPr>
              <w:pStyle w:val="TableParagraph"/>
              <w:spacing w:before="26"/>
              <w:ind w:right="48"/>
              <w:jc w:val="right"/>
              <w:rPr>
                <w:sz w:val="13"/>
              </w:rPr>
            </w:pPr>
            <w:r>
              <w:rPr>
                <w:sz w:val="13"/>
              </w:rPr>
              <w:t>604,79</w:t>
            </w:r>
          </w:p>
        </w:tc>
      </w:tr>
      <w:tr>
        <w:trPr>
          <w:trHeight w:val="231" w:hRule="atLeast"/>
        </w:trPr>
        <w:tc>
          <w:tcPr>
            <w:tcW w:w="2382" w:type="dxa"/>
            <w:tcBorders>
              <w:left w:val="single" w:sz="4" w:space="0" w:color="000000"/>
            </w:tcBorders>
          </w:tcPr>
          <w:p>
            <w:pPr>
              <w:pStyle w:val="TableParagraph"/>
              <w:spacing w:before="26"/>
              <w:ind w:left="57"/>
              <w:rPr>
                <w:sz w:val="13"/>
              </w:rPr>
            </w:pPr>
            <w:r>
              <w:rPr>
                <w:w w:val="105"/>
                <w:sz w:val="13"/>
              </w:rPr>
              <w:t>4 Transferencias corrientes</w:t>
            </w:r>
          </w:p>
        </w:tc>
        <w:tc>
          <w:tcPr>
            <w:tcW w:w="844" w:type="dxa"/>
          </w:tcPr>
          <w:p>
            <w:pPr>
              <w:pStyle w:val="TableParagraph"/>
              <w:spacing w:before="26"/>
              <w:ind w:right="52"/>
              <w:jc w:val="right"/>
              <w:rPr>
                <w:sz w:val="13"/>
              </w:rPr>
            </w:pPr>
            <w:r>
              <w:rPr>
                <w:w w:val="105"/>
                <w:sz w:val="13"/>
              </w:rPr>
              <w:t>621.290,23</w:t>
            </w:r>
          </w:p>
        </w:tc>
        <w:tc>
          <w:tcPr>
            <w:tcW w:w="987" w:type="dxa"/>
          </w:tcPr>
          <w:p>
            <w:pPr>
              <w:pStyle w:val="TableParagraph"/>
              <w:spacing w:before="26"/>
              <w:ind w:right="73"/>
              <w:jc w:val="right"/>
              <w:rPr>
                <w:sz w:val="13"/>
              </w:rPr>
            </w:pPr>
            <w:r>
              <w:rPr>
                <w:w w:val="105"/>
                <w:sz w:val="13"/>
              </w:rPr>
              <w:t>153.572,45</w:t>
            </w:r>
          </w:p>
        </w:tc>
        <w:tc>
          <w:tcPr>
            <w:tcW w:w="889" w:type="dxa"/>
          </w:tcPr>
          <w:p>
            <w:pPr>
              <w:pStyle w:val="TableParagraph"/>
              <w:spacing w:before="26"/>
              <w:ind w:right="84"/>
              <w:jc w:val="right"/>
              <w:rPr>
                <w:sz w:val="13"/>
              </w:rPr>
            </w:pPr>
            <w:r>
              <w:rPr>
                <w:w w:val="105"/>
                <w:sz w:val="13"/>
              </w:rPr>
              <w:t>774.892,68</w:t>
            </w:r>
          </w:p>
        </w:tc>
        <w:tc>
          <w:tcPr>
            <w:tcW w:w="926" w:type="dxa"/>
          </w:tcPr>
          <w:p>
            <w:pPr>
              <w:pStyle w:val="TableParagraph"/>
              <w:spacing w:before="26"/>
              <w:ind w:right="52"/>
              <w:jc w:val="right"/>
              <w:rPr>
                <w:sz w:val="13"/>
              </w:rPr>
            </w:pPr>
            <w:r>
              <w:rPr>
                <w:w w:val="105"/>
                <w:sz w:val="13"/>
              </w:rPr>
              <w:t>772.027,00</w:t>
            </w:r>
          </w:p>
        </w:tc>
        <w:tc>
          <w:tcPr>
            <w:tcW w:w="838" w:type="dxa"/>
            <w:tcBorders>
              <w:right w:val="single" w:sz="4" w:space="0" w:color="000000"/>
            </w:tcBorders>
          </w:tcPr>
          <w:p>
            <w:pPr>
              <w:pStyle w:val="TableParagraph"/>
              <w:spacing w:before="26"/>
              <w:ind w:right="49"/>
              <w:jc w:val="right"/>
              <w:rPr>
                <w:sz w:val="13"/>
              </w:rPr>
            </w:pPr>
            <w:r>
              <w:rPr>
                <w:w w:val="105"/>
                <w:sz w:val="13"/>
              </w:rPr>
              <w:t>709.635,81</w:t>
            </w:r>
          </w:p>
        </w:tc>
      </w:tr>
      <w:tr>
        <w:trPr>
          <w:trHeight w:val="231" w:hRule="atLeast"/>
        </w:trPr>
        <w:tc>
          <w:tcPr>
            <w:tcW w:w="2382" w:type="dxa"/>
            <w:tcBorders>
              <w:left w:val="single" w:sz="4" w:space="0" w:color="000000"/>
            </w:tcBorders>
          </w:tcPr>
          <w:p>
            <w:pPr>
              <w:pStyle w:val="TableParagraph"/>
              <w:spacing w:before="26"/>
              <w:ind w:left="57"/>
              <w:rPr>
                <w:b/>
                <w:sz w:val="13"/>
              </w:rPr>
            </w:pPr>
            <w:r>
              <w:rPr>
                <w:b/>
                <w:w w:val="105"/>
                <w:sz w:val="13"/>
              </w:rPr>
              <w:t>Operaciones corrientes</w:t>
            </w:r>
          </w:p>
        </w:tc>
        <w:tc>
          <w:tcPr>
            <w:tcW w:w="844" w:type="dxa"/>
          </w:tcPr>
          <w:p>
            <w:pPr>
              <w:pStyle w:val="TableParagraph"/>
              <w:spacing w:before="26"/>
              <w:ind w:right="51"/>
              <w:jc w:val="right"/>
              <w:rPr>
                <w:b/>
                <w:sz w:val="13"/>
              </w:rPr>
            </w:pPr>
            <w:r>
              <w:rPr>
                <w:b/>
                <w:w w:val="105"/>
                <w:sz w:val="13"/>
              </w:rPr>
              <w:t>3.346.679,78</w:t>
            </w:r>
          </w:p>
        </w:tc>
        <w:tc>
          <w:tcPr>
            <w:tcW w:w="987" w:type="dxa"/>
          </w:tcPr>
          <w:p>
            <w:pPr>
              <w:pStyle w:val="TableParagraph"/>
              <w:spacing w:before="26"/>
              <w:ind w:right="73"/>
              <w:jc w:val="right"/>
              <w:rPr>
                <w:b/>
                <w:sz w:val="13"/>
              </w:rPr>
            </w:pPr>
            <w:r>
              <w:rPr>
                <w:b/>
                <w:w w:val="105"/>
                <w:sz w:val="13"/>
              </w:rPr>
              <w:t>666.397,61</w:t>
            </w:r>
          </w:p>
        </w:tc>
        <w:tc>
          <w:tcPr>
            <w:tcW w:w="889" w:type="dxa"/>
          </w:tcPr>
          <w:p>
            <w:pPr>
              <w:pStyle w:val="TableParagraph"/>
              <w:spacing w:before="26"/>
              <w:ind w:right="83"/>
              <w:jc w:val="right"/>
              <w:rPr>
                <w:b/>
                <w:sz w:val="13"/>
              </w:rPr>
            </w:pPr>
            <w:r>
              <w:rPr>
                <w:b/>
                <w:w w:val="105"/>
                <w:sz w:val="13"/>
              </w:rPr>
              <w:t>4.013.157,40</w:t>
            </w:r>
          </w:p>
        </w:tc>
        <w:tc>
          <w:tcPr>
            <w:tcW w:w="926" w:type="dxa"/>
          </w:tcPr>
          <w:p>
            <w:pPr>
              <w:pStyle w:val="TableParagraph"/>
              <w:spacing w:before="26"/>
              <w:ind w:right="52"/>
              <w:jc w:val="right"/>
              <w:rPr>
                <w:b/>
                <w:sz w:val="13"/>
              </w:rPr>
            </w:pPr>
            <w:r>
              <w:rPr>
                <w:b/>
                <w:w w:val="105"/>
                <w:sz w:val="13"/>
              </w:rPr>
              <w:t>3.994.241,18</w:t>
            </w:r>
          </w:p>
        </w:tc>
        <w:tc>
          <w:tcPr>
            <w:tcW w:w="838" w:type="dxa"/>
            <w:tcBorders>
              <w:right w:val="single" w:sz="4" w:space="0" w:color="000000"/>
            </w:tcBorders>
          </w:tcPr>
          <w:p>
            <w:pPr>
              <w:pStyle w:val="TableParagraph"/>
              <w:spacing w:before="26"/>
              <w:ind w:right="48"/>
              <w:jc w:val="right"/>
              <w:rPr>
                <w:b/>
                <w:sz w:val="13"/>
              </w:rPr>
            </w:pPr>
            <w:r>
              <w:rPr>
                <w:b/>
                <w:w w:val="105"/>
                <w:sz w:val="13"/>
              </w:rPr>
              <w:t>3.883.943,93</w:t>
            </w:r>
          </w:p>
        </w:tc>
      </w:tr>
      <w:tr>
        <w:trPr>
          <w:trHeight w:val="231" w:hRule="atLeast"/>
        </w:trPr>
        <w:tc>
          <w:tcPr>
            <w:tcW w:w="2382" w:type="dxa"/>
            <w:tcBorders>
              <w:left w:val="single" w:sz="4" w:space="0" w:color="000000"/>
            </w:tcBorders>
          </w:tcPr>
          <w:p>
            <w:pPr>
              <w:pStyle w:val="TableParagraph"/>
              <w:spacing w:before="26"/>
              <w:ind w:left="57"/>
              <w:rPr>
                <w:sz w:val="13"/>
              </w:rPr>
            </w:pPr>
            <w:r>
              <w:rPr>
                <w:w w:val="105"/>
                <w:sz w:val="13"/>
              </w:rPr>
              <w:t>6 Inversiones reales</w:t>
            </w:r>
          </w:p>
        </w:tc>
        <w:tc>
          <w:tcPr>
            <w:tcW w:w="844" w:type="dxa"/>
          </w:tcPr>
          <w:p>
            <w:pPr>
              <w:pStyle w:val="TableParagraph"/>
              <w:spacing w:before="26"/>
              <w:ind w:right="52"/>
              <w:jc w:val="right"/>
              <w:rPr>
                <w:sz w:val="13"/>
              </w:rPr>
            </w:pPr>
            <w:r>
              <w:rPr>
                <w:w w:val="105"/>
                <w:sz w:val="13"/>
              </w:rPr>
              <w:t>109.402,63</w:t>
            </w:r>
          </w:p>
        </w:tc>
        <w:tc>
          <w:tcPr>
            <w:tcW w:w="987" w:type="dxa"/>
          </w:tcPr>
          <w:p>
            <w:pPr>
              <w:pStyle w:val="TableParagraph"/>
              <w:spacing w:before="26"/>
              <w:ind w:right="73"/>
              <w:jc w:val="right"/>
              <w:rPr>
                <w:sz w:val="13"/>
              </w:rPr>
            </w:pPr>
            <w:r>
              <w:rPr>
                <w:w w:val="105"/>
                <w:sz w:val="13"/>
              </w:rPr>
              <w:t>-2.655,48</w:t>
            </w:r>
          </w:p>
        </w:tc>
        <w:tc>
          <w:tcPr>
            <w:tcW w:w="889" w:type="dxa"/>
          </w:tcPr>
          <w:p>
            <w:pPr>
              <w:pStyle w:val="TableParagraph"/>
              <w:spacing w:before="26"/>
              <w:ind w:right="84"/>
              <w:jc w:val="right"/>
              <w:rPr>
                <w:sz w:val="13"/>
              </w:rPr>
            </w:pPr>
            <w:r>
              <w:rPr>
                <w:w w:val="105"/>
                <w:sz w:val="13"/>
              </w:rPr>
              <w:t>106.467,15</w:t>
            </w:r>
          </w:p>
        </w:tc>
        <w:tc>
          <w:tcPr>
            <w:tcW w:w="926" w:type="dxa"/>
          </w:tcPr>
          <w:p>
            <w:pPr>
              <w:pStyle w:val="TableParagraph"/>
              <w:spacing w:before="26"/>
              <w:ind w:right="52"/>
              <w:jc w:val="right"/>
              <w:rPr>
                <w:sz w:val="13"/>
              </w:rPr>
            </w:pPr>
            <w:r>
              <w:rPr>
                <w:w w:val="105"/>
                <w:sz w:val="13"/>
              </w:rPr>
              <w:t>59.056,27</w:t>
            </w:r>
          </w:p>
        </w:tc>
        <w:tc>
          <w:tcPr>
            <w:tcW w:w="838" w:type="dxa"/>
            <w:tcBorders>
              <w:right w:val="single" w:sz="4" w:space="0" w:color="000000"/>
            </w:tcBorders>
          </w:tcPr>
          <w:p>
            <w:pPr>
              <w:pStyle w:val="TableParagraph"/>
              <w:spacing w:before="26"/>
              <w:ind w:right="49"/>
              <w:jc w:val="right"/>
              <w:rPr>
                <w:sz w:val="13"/>
              </w:rPr>
            </w:pPr>
            <w:r>
              <w:rPr>
                <w:w w:val="105"/>
                <w:sz w:val="13"/>
              </w:rPr>
              <w:t>41.694,30</w:t>
            </w:r>
          </w:p>
        </w:tc>
      </w:tr>
      <w:tr>
        <w:trPr>
          <w:trHeight w:val="231" w:hRule="atLeast"/>
        </w:trPr>
        <w:tc>
          <w:tcPr>
            <w:tcW w:w="2382" w:type="dxa"/>
            <w:tcBorders>
              <w:left w:val="single" w:sz="4" w:space="0" w:color="000000"/>
            </w:tcBorders>
          </w:tcPr>
          <w:p>
            <w:pPr>
              <w:pStyle w:val="TableParagraph"/>
              <w:spacing w:before="26"/>
              <w:ind w:left="57"/>
              <w:rPr>
                <w:sz w:val="13"/>
              </w:rPr>
            </w:pPr>
            <w:r>
              <w:rPr>
                <w:w w:val="105"/>
                <w:sz w:val="13"/>
              </w:rPr>
              <w:t>7 Transferencias de capital</w:t>
            </w:r>
          </w:p>
        </w:tc>
        <w:tc>
          <w:tcPr>
            <w:tcW w:w="844" w:type="dxa"/>
          </w:tcPr>
          <w:p>
            <w:pPr>
              <w:pStyle w:val="TableParagraph"/>
              <w:spacing w:before="26"/>
              <w:ind w:right="51"/>
              <w:jc w:val="right"/>
              <w:rPr>
                <w:sz w:val="13"/>
              </w:rPr>
            </w:pPr>
            <w:r>
              <w:rPr>
                <w:w w:val="105"/>
                <w:sz w:val="13"/>
              </w:rPr>
              <w:t>5.225,85</w:t>
            </w:r>
          </w:p>
        </w:tc>
        <w:tc>
          <w:tcPr>
            <w:tcW w:w="987" w:type="dxa"/>
          </w:tcPr>
          <w:p>
            <w:pPr>
              <w:pStyle w:val="TableParagraph"/>
              <w:spacing w:before="26"/>
              <w:ind w:right="73"/>
              <w:jc w:val="right"/>
              <w:rPr>
                <w:sz w:val="13"/>
              </w:rPr>
            </w:pPr>
            <w:r>
              <w:rPr>
                <w:w w:val="105"/>
                <w:sz w:val="13"/>
              </w:rPr>
              <w:t>2.445,84</w:t>
            </w:r>
          </w:p>
        </w:tc>
        <w:tc>
          <w:tcPr>
            <w:tcW w:w="889" w:type="dxa"/>
          </w:tcPr>
          <w:p>
            <w:pPr>
              <w:pStyle w:val="TableParagraph"/>
              <w:spacing w:before="26"/>
              <w:ind w:right="83"/>
              <w:jc w:val="right"/>
              <w:rPr>
                <w:sz w:val="13"/>
              </w:rPr>
            </w:pPr>
            <w:r>
              <w:rPr>
                <w:w w:val="105"/>
                <w:sz w:val="13"/>
              </w:rPr>
              <w:t>7.871,69</w:t>
            </w:r>
          </w:p>
        </w:tc>
        <w:tc>
          <w:tcPr>
            <w:tcW w:w="926" w:type="dxa"/>
          </w:tcPr>
          <w:p>
            <w:pPr>
              <w:pStyle w:val="TableParagraph"/>
              <w:spacing w:before="26"/>
              <w:ind w:right="52"/>
              <w:jc w:val="right"/>
              <w:rPr>
                <w:sz w:val="13"/>
              </w:rPr>
            </w:pPr>
            <w:r>
              <w:rPr>
                <w:w w:val="105"/>
                <w:sz w:val="13"/>
              </w:rPr>
              <w:t>7.871,69</w:t>
            </w:r>
          </w:p>
        </w:tc>
        <w:tc>
          <w:tcPr>
            <w:tcW w:w="838" w:type="dxa"/>
            <w:tcBorders>
              <w:right w:val="single" w:sz="4" w:space="0" w:color="000000"/>
            </w:tcBorders>
          </w:tcPr>
          <w:p>
            <w:pPr>
              <w:pStyle w:val="TableParagraph"/>
              <w:spacing w:before="26"/>
              <w:ind w:right="49"/>
              <w:jc w:val="right"/>
              <w:rPr>
                <w:sz w:val="13"/>
              </w:rPr>
            </w:pPr>
            <w:r>
              <w:rPr>
                <w:w w:val="105"/>
                <w:sz w:val="13"/>
              </w:rPr>
              <w:t>2.945,84</w:t>
            </w:r>
          </w:p>
        </w:tc>
      </w:tr>
      <w:tr>
        <w:trPr>
          <w:trHeight w:val="220" w:hRule="atLeast"/>
        </w:trPr>
        <w:tc>
          <w:tcPr>
            <w:tcW w:w="2382" w:type="dxa"/>
            <w:tcBorders>
              <w:left w:val="single" w:sz="4" w:space="0" w:color="000000"/>
            </w:tcBorders>
          </w:tcPr>
          <w:p>
            <w:pPr>
              <w:pStyle w:val="TableParagraph"/>
              <w:spacing w:before="26"/>
              <w:ind w:left="57"/>
              <w:rPr>
                <w:b/>
                <w:sz w:val="13"/>
              </w:rPr>
            </w:pPr>
            <w:r>
              <w:rPr>
                <w:b/>
                <w:w w:val="105"/>
                <w:sz w:val="13"/>
              </w:rPr>
              <w:t>Operaciones de capital</w:t>
            </w:r>
          </w:p>
        </w:tc>
        <w:tc>
          <w:tcPr>
            <w:tcW w:w="844" w:type="dxa"/>
          </w:tcPr>
          <w:p>
            <w:pPr>
              <w:pStyle w:val="TableParagraph"/>
              <w:spacing w:before="26"/>
              <w:ind w:right="51"/>
              <w:jc w:val="right"/>
              <w:rPr>
                <w:b/>
                <w:sz w:val="13"/>
              </w:rPr>
            </w:pPr>
            <w:r>
              <w:rPr>
                <w:b/>
                <w:w w:val="105"/>
                <w:sz w:val="13"/>
              </w:rPr>
              <w:t>114.628,49</w:t>
            </w:r>
          </w:p>
        </w:tc>
        <w:tc>
          <w:tcPr>
            <w:tcW w:w="987" w:type="dxa"/>
          </w:tcPr>
          <w:p>
            <w:pPr>
              <w:pStyle w:val="TableParagraph"/>
              <w:spacing w:before="26"/>
              <w:ind w:right="73"/>
              <w:jc w:val="right"/>
              <w:rPr>
                <w:b/>
                <w:sz w:val="13"/>
              </w:rPr>
            </w:pPr>
            <w:r>
              <w:rPr>
                <w:b/>
                <w:sz w:val="13"/>
              </w:rPr>
              <w:t>-209,64</w:t>
            </w:r>
          </w:p>
        </w:tc>
        <w:tc>
          <w:tcPr>
            <w:tcW w:w="889" w:type="dxa"/>
          </w:tcPr>
          <w:p>
            <w:pPr>
              <w:pStyle w:val="TableParagraph"/>
              <w:spacing w:before="26"/>
              <w:ind w:right="83"/>
              <w:jc w:val="right"/>
              <w:rPr>
                <w:b/>
                <w:sz w:val="13"/>
              </w:rPr>
            </w:pPr>
            <w:r>
              <w:rPr>
                <w:b/>
                <w:w w:val="105"/>
                <w:sz w:val="13"/>
              </w:rPr>
              <w:t>114.338,84</w:t>
            </w:r>
          </w:p>
        </w:tc>
        <w:tc>
          <w:tcPr>
            <w:tcW w:w="926" w:type="dxa"/>
          </w:tcPr>
          <w:p>
            <w:pPr>
              <w:pStyle w:val="TableParagraph"/>
              <w:spacing w:before="26"/>
              <w:ind w:right="52"/>
              <w:jc w:val="right"/>
              <w:rPr>
                <w:b/>
                <w:sz w:val="13"/>
              </w:rPr>
            </w:pPr>
            <w:r>
              <w:rPr>
                <w:b/>
                <w:w w:val="105"/>
                <w:sz w:val="13"/>
              </w:rPr>
              <w:t>66.927,96</w:t>
            </w:r>
          </w:p>
        </w:tc>
        <w:tc>
          <w:tcPr>
            <w:tcW w:w="838" w:type="dxa"/>
            <w:tcBorders>
              <w:right w:val="single" w:sz="4" w:space="0" w:color="000000"/>
            </w:tcBorders>
          </w:tcPr>
          <w:p>
            <w:pPr>
              <w:pStyle w:val="TableParagraph"/>
              <w:spacing w:before="26"/>
              <w:ind w:right="49"/>
              <w:jc w:val="right"/>
              <w:rPr>
                <w:b/>
                <w:sz w:val="13"/>
              </w:rPr>
            </w:pPr>
            <w:r>
              <w:rPr>
                <w:b/>
                <w:w w:val="105"/>
                <w:sz w:val="13"/>
              </w:rPr>
              <w:t>44.640,14</w:t>
            </w:r>
          </w:p>
        </w:tc>
      </w:tr>
      <w:tr>
        <w:trPr>
          <w:trHeight w:val="231" w:hRule="atLeast"/>
        </w:trPr>
        <w:tc>
          <w:tcPr>
            <w:tcW w:w="2382" w:type="dxa"/>
            <w:tcBorders>
              <w:left w:val="single" w:sz="4" w:space="0" w:color="000000"/>
            </w:tcBorders>
            <w:shd w:val="clear" w:color="auto" w:fill="F1F1F1"/>
          </w:tcPr>
          <w:p>
            <w:pPr>
              <w:pStyle w:val="TableParagraph"/>
              <w:spacing w:before="37"/>
              <w:ind w:left="402"/>
              <w:rPr>
                <w:b/>
                <w:sz w:val="13"/>
              </w:rPr>
            </w:pPr>
            <w:r>
              <w:rPr>
                <w:b/>
                <w:w w:val="105"/>
                <w:sz w:val="13"/>
              </w:rPr>
              <w:t>Operaciones NO Financieras</w:t>
            </w:r>
          </w:p>
        </w:tc>
        <w:tc>
          <w:tcPr>
            <w:tcW w:w="844" w:type="dxa"/>
            <w:shd w:val="clear" w:color="auto" w:fill="F1F1F1"/>
          </w:tcPr>
          <w:p>
            <w:pPr>
              <w:pStyle w:val="TableParagraph"/>
              <w:spacing w:before="37"/>
              <w:ind w:right="51"/>
              <w:jc w:val="right"/>
              <w:rPr>
                <w:b/>
                <w:sz w:val="13"/>
              </w:rPr>
            </w:pPr>
            <w:r>
              <w:rPr>
                <w:b/>
                <w:w w:val="105"/>
                <w:sz w:val="13"/>
              </w:rPr>
              <w:t>3.461.308,27</w:t>
            </w:r>
          </w:p>
        </w:tc>
        <w:tc>
          <w:tcPr>
            <w:tcW w:w="987" w:type="dxa"/>
            <w:shd w:val="clear" w:color="auto" w:fill="F1F1F1"/>
          </w:tcPr>
          <w:p>
            <w:pPr>
              <w:pStyle w:val="TableParagraph"/>
              <w:spacing w:before="37"/>
              <w:ind w:right="73"/>
              <w:jc w:val="right"/>
              <w:rPr>
                <w:b/>
                <w:sz w:val="13"/>
              </w:rPr>
            </w:pPr>
            <w:r>
              <w:rPr>
                <w:b/>
                <w:w w:val="105"/>
                <w:sz w:val="13"/>
              </w:rPr>
              <w:t>666.187,97</w:t>
            </w:r>
          </w:p>
        </w:tc>
        <w:tc>
          <w:tcPr>
            <w:tcW w:w="889" w:type="dxa"/>
            <w:shd w:val="clear" w:color="auto" w:fill="F1F1F1"/>
          </w:tcPr>
          <w:p>
            <w:pPr>
              <w:pStyle w:val="TableParagraph"/>
              <w:spacing w:before="37"/>
              <w:ind w:right="83"/>
              <w:jc w:val="right"/>
              <w:rPr>
                <w:b/>
                <w:sz w:val="13"/>
              </w:rPr>
            </w:pPr>
            <w:r>
              <w:rPr>
                <w:b/>
                <w:w w:val="105"/>
                <w:sz w:val="13"/>
              </w:rPr>
              <w:t>4.127.496,24</w:t>
            </w:r>
          </w:p>
        </w:tc>
        <w:tc>
          <w:tcPr>
            <w:tcW w:w="926" w:type="dxa"/>
            <w:shd w:val="clear" w:color="auto" w:fill="F1F1F1"/>
          </w:tcPr>
          <w:p>
            <w:pPr>
              <w:pStyle w:val="TableParagraph"/>
              <w:spacing w:before="37"/>
              <w:ind w:right="52"/>
              <w:jc w:val="right"/>
              <w:rPr>
                <w:b/>
                <w:sz w:val="13"/>
              </w:rPr>
            </w:pPr>
            <w:r>
              <w:rPr>
                <w:b/>
                <w:w w:val="105"/>
                <w:sz w:val="13"/>
              </w:rPr>
              <w:t>4.061.169,14</w:t>
            </w:r>
          </w:p>
        </w:tc>
        <w:tc>
          <w:tcPr>
            <w:tcW w:w="838" w:type="dxa"/>
            <w:tcBorders>
              <w:right w:val="single" w:sz="4" w:space="0" w:color="000000"/>
            </w:tcBorders>
            <w:shd w:val="clear" w:color="auto" w:fill="F1F1F1"/>
          </w:tcPr>
          <w:p>
            <w:pPr>
              <w:pStyle w:val="TableParagraph"/>
              <w:spacing w:before="37"/>
              <w:ind w:right="48"/>
              <w:jc w:val="right"/>
              <w:rPr>
                <w:b/>
                <w:sz w:val="13"/>
              </w:rPr>
            </w:pPr>
            <w:r>
              <w:rPr>
                <w:b/>
                <w:w w:val="105"/>
                <w:sz w:val="13"/>
              </w:rPr>
              <w:t>3.928.584,07</w:t>
            </w:r>
          </w:p>
        </w:tc>
      </w:tr>
      <w:tr>
        <w:trPr>
          <w:trHeight w:val="243" w:hRule="atLeast"/>
        </w:trPr>
        <w:tc>
          <w:tcPr>
            <w:tcW w:w="2382" w:type="dxa"/>
            <w:tcBorders>
              <w:left w:val="single" w:sz="4" w:space="0" w:color="000000"/>
            </w:tcBorders>
          </w:tcPr>
          <w:p>
            <w:pPr>
              <w:pStyle w:val="TableParagraph"/>
              <w:spacing w:before="38"/>
              <w:ind w:left="57"/>
              <w:rPr>
                <w:sz w:val="13"/>
              </w:rPr>
            </w:pPr>
            <w:r>
              <w:rPr>
                <w:w w:val="105"/>
                <w:sz w:val="13"/>
              </w:rPr>
              <w:t>8 Activos financieros</w:t>
            </w:r>
          </w:p>
        </w:tc>
        <w:tc>
          <w:tcPr>
            <w:tcW w:w="844" w:type="dxa"/>
          </w:tcPr>
          <w:p>
            <w:pPr>
              <w:pStyle w:val="TableParagraph"/>
              <w:spacing w:before="38"/>
              <w:ind w:right="51"/>
              <w:jc w:val="right"/>
              <w:rPr>
                <w:sz w:val="13"/>
              </w:rPr>
            </w:pPr>
            <w:r>
              <w:rPr>
                <w:sz w:val="13"/>
              </w:rPr>
              <w:t>0,00</w:t>
            </w:r>
          </w:p>
        </w:tc>
        <w:tc>
          <w:tcPr>
            <w:tcW w:w="987" w:type="dxa"/>
          </w:tcPr>
          <w:p>
            <w:pPr>
              <w:pStyle w:val="TableParagraph"/>
              <w:spacing w:before="38"/>
              <w:ind w:right="73"/>
              <w:jc w:val="right"/>
              <w:rPr>
                <w:sz w:val="13"/>
              </w:rPr>
            </w:pPr>
            <w:r>
              <w:rPr>
                <w:w w:val="105"/>
                <w:sz w:val="13"/>
              </w:rPr>
              <w:t>12.363,59</w:t>
            </w:r>
          </w:p>
        </w:tc>
        <w:tc>
          <w:tcPr>
            <w:tcW w:w="889" w:type="dxa"/>
          </w:tcPr>
          <w:p>
            <w:pPr>
              <w:pStyle w:val="TableParagraph"/>
              <w:spacing w:before="38"/>
              <w:ind w:right="84"/>
              <w:jc w:val="right"/>
              <w:rPr>
                <w:sz w:val="13"/>
              </w:rPr>
            </w:pPr>
            <w:r>
              <w:rPr>
                <w:w w:val="105"/>
                <w:sz w:val="13"/>
              </w:rPr>
              <w:t>12.363,59</w:t>
            </w:r>
          </w:p>
        </w:tc>
        <w:tc>
          <w:tcPr>
            <w:tcW w:w="926" w:type="dxa"/>
          </w:tcPr>
          <w:p>
            <w:pPr>
              <w:pStyle w:val="TableParagraph"/>
              <w:spacing w:before="38"/>
              <w:ind w:right="52"/>
              <w:jc w:val="right"/>
              <w:rPr>
                <w:sz w:val="13"/>
              </w:rPr>
            </w:pPr>
            <w:r>
              <w:rPr>
                <w:w w:val="105"/>
                <w:sz w:val="13"/>
              </w:rPr>
              <w:t>12.319,16</w:t>
            </w:r>
          </w:p>
        </w:tc>
        <w:tc>
          <w:tcPr>
            <w:tcW w:w="838" w:type="dxa"/>
            <w:tcBorders>
              <w:right w:val="single" w:sz="4" w:space="0" w:color="000000"/>
            </w:tcBorders>
          </w:tcPr>
          <w:p>
            <w:pPr>
              <w:pStyle w:val="TableParagraph"/>
              <w:spacing w:before="38"/>
              <w:ind w:right="49"/>
              <w:jc w:val="right"/>
              <w:rPr>
                <w:sz w:val="13"/>
              </w:rPr>
            </w:pPr>
            <w:r>
              <w:rPr>
                <w:w w:val="105"/>
                <w:sz w:val="13"/>
              </w:rPr>
              <w:t>12.319,16</w:t>
            </w:r>
          </w:p>
        </w:tc>
      </w:tr>
      <w:tr>
        <w:trPr>
          <w:trHeight w:val="220" w:hRule="atLeast"/>
        </w:trPr>
        <w:tc>
          <w:tcPr>
            <w:tcW w:w="2382" w:type="dxa"/>
            <w:tcBorders>
              <w:left w:val="single" w:sz="4" w:space="0" w:color="000000"/>
            </w:tcBorders>
          </w:tcPr>
          <w:p>
            <w:pPr>
              <w:pStyle w:val="TableParagraph"/>
              <w:spacing w:before="26"/>
              <w:ind w:left="57"/>
              <w:rPr>
                <w:sz w:val="13"/>
              </w:rPr>
            </w:pPr>
            <w:r>
              <w:rPr>
                <w:w w:val="105"/>
                <w:sz w:val="13"/>
              </w:rPr>
              <w:t>9 Pasivos financieros</w:t>
            </w:r>
          </w:p>
        </w:tc>
        <w:tc>
          <w:tcPr>
            <w:tcW w:w="844" w:type="dxa"/>
          </w:tcPr>
          <w:p>
            <w:pPr>
              <w:pStyle w:val="TableParagraph"/>
              <w:spacing w:before="26"/>
              <w:ind w:right="51"/>
              <w:jc w:val="right"/>
              <w:rPr>
                <w:sz w:val="13"/>
              </w:rPr>
            </w:pPr>
            <w:r>
              <w:rPr>
                <w:sz w:val="13"/>
              </w:rPr>
              <w:t>0,00</w:t>
            </w:r>
          </w:p>
        </w:tc>
        <w:tc>
          <w:tcPr>
            <w:tcW w:w="987" w:type="dxa"/>
          </w:tcPr>
          <w:p>
            <w:pPr>
              <w:pStyle w:val="TableParagraph"/>
              <w:spacing w:before="26"/>
              <w:ind w:right="73"/>
              <w:jc w:val="right"/>
              <w:rPr>
                <w:sz w:val="13"/>
              </w:rPr>
            </w:pPr>
            <w:r>
              <w:rPr>
                <w:w w:val="105"/>
                <w:sz w:val="13"/>
              </w:rPr>
              <w:t>1.253,75</w:t>
            </w:r>
          </w:p>
        </w:tc>
        <w:tc>
          <w:tcPr>
            <w:tcW w:w="889" w:type="dxa"/>
          </w:tcPr>
          <w:p>
            <w:pPr>
              <w:pStyle w:val="TableParagraph"/>
              <w:spacing w:before="26"/>
              <w:ind w:right="83"/>
              <w:jc w:val="right"/>
              <w:rPr>
                <w:sz w:val="13"/>
              </w:rPr>
            </w:pPr>
            <w:r>
              <w:rPr>
                <w:w w:val="105"/>
                <w:sz w:val="13"/>
              </w:rPr>
              <w:t>1.253,75</w:t>
            </w:r>
          </w:p>
        </w:tc>
        <w:tc>
          <w:tcPr>
            <w:tcW w:w="926" w:type="dxa"/>
          </w:tcPr>
          <w:p>
            <w:pPr>
              <w:pStyle w:val="TableParagraph"/>
              <w:spacing w:before="26"/>
              <w:ind w:right="52"/>
              <w:jc w:val="right"/>
              <w:rPr>
                <w:sz w:val="13"/>
              </w:rPr>
            </w:pPr>
            <w:r>
              <w:rPr>
                <w:w w:val="105"/>
                <w:sz w:val="13"/>
              </w:rPr>
              <w:t>1.253,75</w:t>
            </w:r>
          </w:p>
        </w:tc>
        <w:tc>
          <w:tcPr>
            <w:tcW w:w="838" w:type="dxa"/>
            <w:tcBorders>
              <w:right w:val="single" w:sz="4" w:space="0" w:color="000000"/>
            </w:tcBorders>
          </w:tcPr>
          <w:p>
            <w:pPr>
              <w:pStyle w:val="TableParagraph"/>
              <w:spacing w:before="26"/>
              <w:ind w:right="49"/>
              <w:jc w:val="right"/>
              <w:rPr>
                <w:sz w:val="13"/>
              </w:rPr>
            </w:pPr>
            <w:r>
              <w:rPr>
                <w:w w:val="105"/>
                <w:sz w:val="13"/>
              </w:rPr>
              <w:t>1.253,75</w:t>
            </w:r>
          </w:p>
        </w:tc>
      </w:tr>
      <w:tr>
        <w:trPr>
          <w:trHeight w:val="230" w:hRule="atLeast"/>
        </w:trPr>
        <w:tc>
          <w:tcPr>
            <w:tcW w:w="2382" w:type="dxa"/>
            <w:tcBorders>
              <w:left w:val="single" w:sz="4" w:space="0" w:color="000000"/>
              <w:bottom w:val="single" w:sz="4" w:space="0" w:color="000000"/>
            </w:tcBorders>
            <w:shd w:val="clear" w:color="auto" w:fill="F1F1F1"/>
          </w:tcPr>
          <w:p>
            <w:pPr>
              <w:pStyle w:val="TableParagraph"/>
              <w:spacing w:before="37"/>
              <w:ind w:left="506"/>
              <w:rPr>
                <w:b/>
                <w:sz w:val="13"/>
              </w:rPr>
            </w:pPr>
            <w:r>
              <w:rPr>
                <w:b/>
                <w:w w:val="105"/>
                <w:sz w:val="13"/>
              </w:rPr>
              <w:t>Operaciones Financieras</w:t>
            </w:r>
          </w:p>
        </w:tc>
        <w:tc>
          <w:tcPr>
            <w:tcW w:w="844" w:type="dxa"/>
            <w:tcBorders>
              <w:bottom w:val="single" w:sz="4" w:space="0" w:color="000000"/>
            </w:tcBorders>
            <w:shd w:val="clear" w:color="auto" w:fill="F1F1F1"/>
          </w:tcPr>
          <w:p>
            <w:pPr>
              <w:pStyle w:val="TableParagraph"/>
              <w:spacing w:before="37"/>
              <w:ind w:right="53"/>
              <w:jc w:val="right"/>
              <w:rPr>
                <w:b/>
                <w:sz w:val="13"/>
              </w:rPr>
            </w:pPr>
            <w:r>
              <w:rPr>
                <w:b/>
                <w:w w:val="105"/>
                <w:sz w:val="13"/>
              </w:rPr>
              <w:t>0,00</w:t>
            </w:r>
          </w:p>
        </w:tc>
        <w:tc>
          <w:tcPr>
            <w:tcW w:w="987" w:type="dxa"/>
            <w:tcBorders>
              <w:bottom w:val="single" w:sz="4" w:space="0" w:color="000000"/>
            </w:tcBorders>
            <w:shd w:val="clear" w:color="auto" w:fill="F1F1F1"/>
          </w:tcPr>
          <w:p>
            <w:pPr>
              <w:pStyle w:val="TableParagraph"/>
              <w:spacing w:before="37"/>
              <w:ind w:right="73"/>
              <w:jc w:val="right"/>
              <w:rPr>
                <w:b/>
                <w:sz w:val="13"/>
              </w:rPr>
            </w:pPr>
            <w:r>
              <w:rPr>
                <w:b/>
                <w:w w:val="105"/>
                <w:sz w:val="13"/>
              </w:rPr>
              <w:t>13.617,34</w:t>
            </w:r>
          </w:p>
        </w:tc>
        <w:tc>
          <w:tcPr>
            <w:tcW w:w="889" w:type="dxa"/>
            <w:tcBorders>
              <w:bottom w:val="single" w:sz="4" w:space="0" w:color="000000"/>
            </w:tcBorders>
            <w:shd w:val="clear" w:color="auto" w:fill="F1F1F1"/>
          </w:tcPr>
          <w:p>
            <w:pPr>
              <w:pStyle w:val="TableParagraph"/>
              <w:spacing w:before="37"/>
              <w:ind w:right="83"/>
              <w:jc w:val="right"/>
              <w:rPr>
                <w:b/>
                <w:sz w:val="13"/>
              </w:rPr>
            </w:pPr>
            <w:r>
              <w:rPr>
                <w:b/>
                <w:w w:val="105"/>
                <w:sz w:val="13"/>
              </w:rPr>
              <w:t>13.617,34</w:t>
            </w:r>
          </w:p>
        </w:tc>
        <w:tc>
          <w:tcPr>
            <w:tcW w:w="926" w:type="dxa"/>
            <w:tcBorders>
              <w:bottom w:val="single" w:sz="4" w:space="0" w:color="000000"/>
            </w:tcBorders>
            <w:shd w:val="clear" w:color="auto" w:fill="F1F1F1"/>
          </w:tcPr>
          <w:p>
            <w:pPr>
              <w:pStyle w:val="TableParagraph"/>
              <w:spacing w:before="37"/>
              <w:ind w:right="52"/>
              <w:jc w:val="right"/>
              <w:rPr>
                <w:b/>
                <w:sz w:val="13"/>
              </w:rPr>
            </w:pPr>
            <w:r>
              <w:rPr>
                <w:b/>
                <w:w w:val="105"/>
                <w:sz w:val="13"/>
              </w:rPr>
              <w:t>13.572,91</w:t>
            </w:r>
          </w:p>
        </w:tc>
        <w:tc>
          <w:tcPr>
            <w:tcW w:w="838" w:type="dxa"/>
            <w:tcBorders>
              <w:bottom w:val="single" w:sz="4" w:space="0" w:color="000000"/>
              <w:right w:val="single" w:sz="4" w:space="0" w:color="000000"/>
            </w:tcBorders>
            <w:shd w:val="clear" w:color="auto" w:fill="F1F1F1"/>
          </w:tcPr>
          <w:p>
            <w:pPr>
              <w:pStyle w:val="TableParagraph"/>
              <w:spacing w:before="37"/>
              <w:ind w:right="49"/>
              <w:jc w:val="right"/>
              <w:rPr>
                <w:b/>
                <w:sz w:val="13"/>
              </w:rPr>
            </w:pPr>
            <w:r>
              <w:rPr>
                <w:b/>
                <w:w w:val="105"/>
                <w:sz w:val="13"/>
              </w:rPr>
              <w:t>13.572,91</w:t>
            </w:r>
          </w:p>
        </w:tc>
      </w:tr>
      <w:tr>
        <w:trPr>
          <w:trHeight w:val="300" w:hRule="atLeast"/>
        </w:trPr>
        <w:tc>
          <w:tcPr>
            <w:tcW w:w="2382" w:type="dxa"/>
            <w:tcBorders>
              <w:top w:val="single" w:sz="4" w:space="0" w:color="000000"/>
              <w:left w:val="single" w:sz="4" w:space="0" w:color="000000"/>
              <w:bottom w:val="single" w:sz="4" w:space="0" w:color="000000"/>
            </w:tcBorders>
            <w:shd w:val="clear" w:color="auto" w:fill="D9D9D9"/>
          </w:tcPr>
          <w:p>
            <w:pPr>
              <w:pStyle w:val="TableParagraph"/>
              <w:spacing w:before="70"/>
              <w:ind w:left="672"/>
              <w:rPr>
                <w:b/>
                <w:sz w:val="13"/>
              </w:rPr>
            </w:pPr>
            <w:r>
              <w:rPr>
                <w:b/>
                <w:w w:val="105"/>
                <w:sz w:val="13"/>
              </w:rPr>
              <w:t>TOTAL (</w:t>
            </w:r>
            <w:r>
              <w:rPr>
                <w:w w:val="105"/>
                <w:sz w:val="13"/>
              </w:rPr>
              <w:t>miles de €</w:t>
            </w:r>
            <w:r>
              <w:rPr>
                <w:b/>
                <w:w w:val="105"/>
                <w:sz w:val="13"/>
              </w:rPr>
              <w:t>)</w:t>
            </w:r>
          </w:p>
        </w:tc>
        <w:tc>
          <w:tcPr>
            <w:tcW w:w="844" w:type="dxa"/>
            <w:tcBorders>
              <w:top w:val="single" w:sz="4" w:space="0" w:color="000000"/>
              <w:bottom w:val="single" w:sz="4" w:space="0" w:color="000000"/>
            </w:tcBorders>
            <w:shd w:val="clear" w:color="auto" w:fill="D9D9D9"/>
          </w:tcPr>
          <w:p>
            <w:pPr>
              <w:pStyle w:val="TableParagraph"/>
              <w:spacing w:before="70"/>
              <w:ind w:right="51"/>
              <w:jc w:val="right"/>
              <w:rPr>
                <w:b/>
                <w:sz w:val="13"/>
              </w:rPr>
            </w:pPr>
            <w:r>
              <w:rPr>
                <w:b/>
                <w:w w:val="105"/>
                <w:sz w:val="13"/>
              </w:rPr>
              <w:t>3.461.308,27</w:t>
            </w:r>
          </w:p>
        </w:tc>
        <w:tc>
          <w:tcPr>
            <w:tcW w:w="987" w:type="dxa"/>
            <w:tcBorders>
              <w:top w:val="single" w:sz="4" w:space="0" w:color="000000"/>
              <w:bottom w:val="single" w:sz="4" w:space="0" w:color="000000"/>
            </w:tcBorders>
            <w:shd w:val="clear" w:color="auto" w:fill="D9D9D9"/>
          </w:tcPr>
          <w:p>
            <w:pPr>
              <w:pStyle w:val="TableParagraph"/>
              <w:spacing w:before="70"/>
              <w:ind w:right="73"/>
              <w:jc w:val="right"/>
              <w:rPr>
                <w:b/>
                <w:sz w:val="13"/>
              </w:rPr>
            </w:pPr>
            <w:r>
              <w:rPr>
                <w:b/>
                <w:w w:val="105"/>
                <w:sz w:val="13"/>
              </w:rPr>
              <w:t>679.805,31</w:t>
            </w:r>
          </w:p>
        </w:tc>
        <w:tc>
          <w:tcPr>
            <w:tcW w:w="889" w:type="dxa"/>
            <w:tcBorders>
              <w:top w:val="single" w:sz="4" w:space="0" w:color="000000"/>
              <w:bottom w:val="single" w:sz="4" w:space="0" w:color="000000"/>
            </w:tcBorders>
            <w:shd w:val="clear" w:color="auto" w:fill="D9D9D9"/>
          </w:tcPr>
          <w:p>
            <w:pPr>
              <w:pStyle w:val="TableParagraph"/>
              <w:spacing w:before="70"/>
              <w:ind w:right="83"/>
              <w:jc w:val="right"/>
              <w:rPr>
                <w:b/>
                <w:sz w:val="13"/>
              </w:rPr>
            </w:pPr>
            <w:r>
              <w:rPr>
                <w:b/>
                <w:w w:val="105"/>
                <w:sz w:val="13"/>
              </w:rPr>
              <w:t>4.141.113,58</w:t>
            </w:r>
          </w:p>
        </w:tc>
        <w:tc>
          <w:tcPr>
            <w:tcW w:w="926" w:type="dxa"/>
            <w:tcBorders>
              <w:top w:val="single" w:sz="4" w:space="0" w:color="000000"/>
              <w:bottom w:val="single" w:sz="4" w:space="0" w:color="000000"/>
            </w:tcBorders>
            <w:shd w:val="clear" w:color="auto" w:fill="D9D9D9"/>
          </w:tcPr>
          <w:p>
            <w:pPr>
              <w:pStyle w:val="TableParagraph"/>
              <w:spacing w:before="70"/>
              <w:ind w:right="52"/>
              <w:jc w:val="right"/>
              <w:rPr>
                <w:b/>
                <w:sz w:val="13"/>
              </w:rPr>
            </w:pPr>
            <w:r>
              <w:rPr>
                <w:b/>
                <w:w w:val="105"/>
                <w:sz w:val="13"/>
              </w:rPr>
              <w:t>4.074.742,05</w:t>
            </w:r>
          </w:p>
        </w:tc>
        <w:tc>
          <w:tcPr>
            <w:tcW w:w="838" w:type="dxa"/>
            <w:tcBorders>
              <w:top w:val="single" w:sz="4" w:space="0" w:color="000000"/>
              <w:bottom w:val="single" w:sz="4" w:space="0" w:color="000000"/>
              <w:right w:val="single" w:sz="4" w:space="0" w:color="000000"/>
            </w:tcBorders>
            <w:shd w:val="clear" w:color="auto" w:fill="D9D9D9"/>
          </w:tcPr>
          <w:p>
            <w:pPr>
              <w:pStyle w:val="TableParagraph"/>
              <w:spacing w:before="70"/>
              <w:ind w:right="48"/>
              <w:jc w:val="right"/>
              <w:rPr>
                <w:b/>
                <w:sz w:val="13"/>
              </w:rPr>
            </w:pPr>
            <w:r>
              <w:rPr>
                <w:b/>
                <w:w w:val="105"/>
                <w:sz w:val="13"/>
              </w:rPr>
              <w:t>3.942.156,98</w:t>
            </w:r>
          </w:p>
        </w:tc>
      </w:tr>
    </w:tbl>
    <w:p>
      <w:pPr>
        <w:pStyle w:val="BodyText"/>
      </w:pPr>
    </w:p>
    <w:p>
      <w:pPr>
        <w:pStyle w:val="BodyText"/>
        <w:rPr>
          <w:sz w:val="17"/>
        </w:rPr>
      </w:pPr>
    </w:p>
    <w:p>
      <w:pPr>
        <w:pStyle w:val="BodyText"/>
        <w:ind w:left="7897"/>
        <w:jc w:val="center"/>
      </w:pPr>
      <w:r>
        <w:rPr/>
        <w:t>92</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95" name="image5.png"/>
                  <wp:cNvGraphicFramePr>
                    <a:graphicFrameLocks noChangeAspect="1"/>
                  </wp:cNvGraphicFramePr>
                  <a:graphic>
                    <a:graphicData uri="http://schemas.openxmlformats.org/drawingml/2006/picture">
                      <pic:pic>
                        <pic:nvPicPr>
                          <pic:cNvPr id="19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94/247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0"/>
          <w:numId w:val="47"/>
        </w:numPr>
        <w:tabs>
          <w:tab w:pos="2335" w:val="left" w:leader="none"/>
        </w:tabs>
        <w:spacing w:line="242" w:lineRule="auto" w:before="61" w:after="0"/>
        <w:ind w:left="2334" w:right="1138" w:hanging="238"/>
        <w:jc w:val="both"/>
        <w:rPr>
          <w:sz w:val="20"/>
        </w:rPr>
      </w:pPr>
      <w:r>
        <w:rPr>
          <w:sz w:val="20"/>
        </w:rPr>
        <w:t>Por otro lado, en la clasificación por programas, como en ejercicios anteriores, el destino principal de los gastos del SCS corresponde al 312C “Atención especializada” (62,9 %), seguido del programa 312F “Atención primaria” (30,8 %). La atención primera se desarrolla en los consultorios, que es la base del sistema sanitario, que se complementa con la atención especializada y da continuidad a la misma para procesos de mayor complejidad técnica, la cual comprende actividades asistenciales, diagnósticas,</w:t>
      </w:r>
      <w:r>
        <w:rPr>
          <w:spacing w:val="-4"/>
          <w:sz w:val="20"/>
        </w:rPr>
        <w:t> </w:t>
      </w:r>
      <w:r>
        <w:rPr>
          <w:sz w:val="20"/>
        </w:rPr>
        <w:t>terapéuticas,</w:t>
      </w:r>
      <w:r>
        <w:rPr>
          <w:spacing w:val="-4"/>
          <w:sz w:val="20"/>
        </w:rPr>
        <w:t> </w:t>
      </w:r>
      <w:r>
        <w:rPr>
          <w:sz w:val="20"/>
        </w:rPr>
        <w:t>de</w:t>
      </w:r>
      <w:r>
        <w:rPr>
          <w:spacing w:val="-3"/>
          <w:sz w:val="20"/>
        </w:rPr>
        <w:t> </w:t>
      </w:r>
      <w:r>
        <w:rPr>
          <w:sz w:val="20"/>
        </w:rPr>
        <w:t>rehabilitación</w:t>
      </w:r>
      <w:r>
        <w:rPr>
          <w:spacing w:val="-4"/>
          <w:sz w:val="20"/>
        </w:rPr>
        <w:t> </w:t>
      </w:r>
      <w:r>
        <w:rPr>
          <w:sz w:val="20"/>
        </w:rPr>
        <w:t>y</w:t>
      </w:r>
      <w:r>
        <w:rPr>
          <w:spacing w:val="-4"/>
          <w:sz w:val="20"/>
        </w:rPr>
        <w:t> </w:t>
      </w:r>
      <w:r>
        <w:rPr>
          <w:sz w:val="20"/>
        </w:rPr>
        <w:t>cuidados,</w:t>
      </w:r>
      <w:r>
        <w:rPr>
          <w:spacing w:val="-3"/>
          <w:sz w:val="20"/>
        </w:rPr>
        <w:t> </w:t>
      </w:r>
      <w:r>
        <w:rPr>
          <w:sz w:val="20"/>
        </w:rPr>
        <w:t>así</w:t>
      </w:r>
      <w:r>
        <w:rPr>
          <w:spacing w:val="-3"/>
          <w:sz w:val="20"/>
        </w:rPr>
        <w:t> </w:t>
      </w:r>
      <w:r>
        <w:rPr>
          <w:sz w:val="20"/>
        </w:rPr>
        <w:t>como</w:t>
      </w:r>
      <w:r>
        <w:rPr>
          <w:spacing w:val="-5"/>
          <w:sz w:val="20"/>
        </w:rPr>
        <w:t> </w:t>
      </w:r>
      <w:r>
        <w:rPr>
          <w:sz w:val="20"/>
        </w:rPr>
        <w:t>de</w:t>
      </w:r>
      <w:r>
        <w:rPr>
          <w:spacing w:val="-5"/>
          <w:sz w:val="20"/>
        </w:rPr>
        <w:t> </w:t>
      </w:r>
      <w:r>
        <w:rPr>
          <w:sz w:val="20"/>
        </w:rPr>
        <w:t>promoción</w:t>
      </w:r>
      <w:r>
        <w:rPr>
          <w:spacing w:val="-2"/>
          <w:sz w:val="20"/>
        </w:rPr>
        <w:t> </w:t>
      </w:r>
      <w:r>
        <w:rPr>
          <w:sz w:val="20"/>
        </w:rPr>
        <w:t>de</w:t>
      </w:r>
      <w:r>
        <w:rPr>
          <w:spacing w:val="-3"/>
          <w:sz w:val="20"/>
        </w:rPr>
        <w:t> </w:t>
      </w:r>
      <w:r>
        <w:rPr>
          <w:sz w:val="20"/>
        </w:rPr>
        <w:t>la salud tanto en consultas externas como hospitalizaciones. Los programas más relevantes del gasto del SCS han sido los</w:t>
      </w:r>
      <w:r>
        <w:rPr>
          <w:spacing w:val="-1"/>
          <w:sz w:val="20"/>
        </w:rPr>
        <w:t> </w:t>
      </w:r>
      <w:r>
        <w:rPr>
          <w:sz w:val="20"/>
        </w:rPr>
        <w:t>siguientes:</w:t>
      </w:r>
    </w:p>
    <w:p>
      <w:pPr>
        <w:pStyle w:val="BodyText"/>
        <w:spacing w:before="1"/>
        <w:rPr>
          <w:sz w:val="16"/>
        </w:rPr>
      </w:pPr>
    </w:p>
    <w:tbl>
      <w:tblPr>
        <w:tblW w:w="0" w:type="auto"/>
        <w:jc w:val="left"/>
        <w:tblInd w:w="3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03"/>
        <w:gridCol w:w="455"/>
        <w:gridCol w:w="1691"/>
      </w:tblGrid>
      <w:tr>
        <w:trPr>
          <w:trHeight w:val="312" w:hRule="atLeast"/>
        </w:trPr>
        <w:tc>
          <w:tcPr>
            <w:tcW w:w="3458" w:type="dxa"/>
            <w:gridSpan w:val="2"/>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73"/>
              <w:ind w:left="1405" w:right="1394"/>
              <w:jc w:val="center"/>
              <w:rPr>
                <w:b/>
                <w:sz w:val="13"/>
              </w:rPr>
            </w:pPr>
            <w:r>
              <w:rPr>
                <w:b/>
                <w:w w:val="105"/>
                <w:sz w:val="13"/>
              </w:rPr>
              <w:t>Programas</w:t>
            </w:r>
          </w:p>
        </w:tc>
        <w:tc>
          <w:tcPr>
            <w:tcW w:w="1691"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73"/>
              <w:ind w:left="124"/>
              <w:rPr>
                <w:b/>
                <w:sz w:val="13"/>
              </w:rPr>
            </w:pPr>
            <w:r>
              <w:rPr>
                <w:b/>
                <w:w w:val="105"/>
                <w:sz w:val="13"/>
              </w:rPr>
              <w:t>Obligaciones Reconocidas</w:t>
            </w:r>
          </w:p>
        </w:tc>
      </w:tr>
      <w:tr>
        <w:trPr>
          <w:trHeight w:val="230" w:hRule="atLeast"/>
        </w:trPr>
        <w:tc>
          <w:tcPr>
            <w:tcW w:w="3003" w:type="dxa"/>
            <w:tcBorders>
              <w:top w:val="single" w:sz="4" w:space="0" w:color="000000"/>
              <w:left w:val="single" w:sz="4" w:space="0" w:color="000000"/>
            </w:tcBorders>
          </w:tcPr>
          <w:p>
            <w:pPr>
              <w:pStyle w:val="TableParagraph"/>
              <w:spacing w:before="28"/>
              <w:ind w:left="59"/>
              <w:rPr>
                <w:sz w:val="13"/>
              </w:rPr>
            </w:pPr>
            <w:r>
              <w:rPr>
                <w:w w:val="105"/>
                <w:sz w:val="13"/>
              </w:rPr>
              <w:t>312 H Atención Primaria REACT EU</w:t>
            </w:r>
          </w:p>
        </w:tc>
        <w:tc>
          <w:tcPr>
            <w:tcW w:w="455" w:type="dxa"/>
            <w:tcBorders>
              <w:top w:val="single" w:sz="4" w:space="0" w:color="000000"/>
              <w:right w:val="single" w:sz="4" w:space="0" w:color="000000"/>
            </w:tcBorders>
          </w:tcPr>
          <w:p>
            <w:pPr>
              <w:pStyle w:val="TableParagraph"/>
              <w:rPr>
                <w:rFonts w:ascii="Times New Roman"/>
                <w:sz w:val="16"/>
              </w:rPr>
            </w:pPr>
          </w:p>
        </w:tc>
        <w:tc>
          <w:tcPr>
            <w:tcW w:w="1691" w:type="dxa"/>
            <w:tcBorders>
              <w:top w:val="single" w:sz="4" w:space="0" w:color="000000"/>
              <w:left w:val="single" w:sz="4" w:space="0" w:color="000000"/>
              <w:right w:val="single" w:sz="4" w:space="0" w:color="000000"/>
            </w:tcBorders>
          </w:tcPr>
          <w:p>
            <w:pPr>
              <w:pStyle w:val="TableParagraph"/>
              <w:spacing w:before="28"/>
              <w:ind w:left="590"/>
              <w:rPr>
                <w:sz w:val="13"/>
              </w:rPr>
            </w:pPr>
            <w:r>
              <w:rPr>
                <w:w w:val="105"/>
                <w:sz w:val="13"/>
              </w:rPr>
              <w:t>18.297,88</w:t>
            </w:r>
          </w:p>
        </w:tc>
      </w:tr>
      <w:tr>
        <w:trPr>
          <w:trHeight w:val="222" w:hRule="atLeast"/>
        </w:trPr>
        <w:tc>
          <w:tcPr>
            <w:tcW w:w="3003" w:type="dxa"/>
            <w:tcBorders>
              <w:left w:val="single" w:sz="4" w:space="0" w:color="000000"/>
            </w:tcBorders>
          </w:tcPr>
          <w:p>
            <w:pPr>
              <w:pStyle w:val="TableParagraph"/>
              <w:spacing w:before="22"/>
              <w:ind w:left="59"/>
              <w:rPr>
                <w:sz w:val="13"/>
              </w:rPr>
            </w:pPr>
            <w:r>
              <w:rPr>
                <w:w w:val="105"/>
                <w:sz w:val="13"/>
              </w:rPr>
              <w:t>312E Atención Especializada REACT EU</w:t>
            </w:r>
          </w:p>
        </w:tc>
        <w:tc>
          <w:tcPr>
            <w:tcW w:w="455" w:type="dxa"/>
            <w:tcBorders>
              <w:right w:val="single" w:sz="4" w:space="0" w:color="000000"/>
            </w:tcBorders>
          </w:tcPr>
          <w:p>
            <w:pPr>
              <w:pStyle w:val="TableParagraph"/>
              <w:rPr>
                <w:rFonts w:ascii="Times New Roman"/>
                <w:sz w:val="14"/>
              </w:rPr>
            </w:pPr>
          </w:p>
        </w:tc>
        <w:tc>
          <w:tcPr>
            <w:tcW w:w="1691" w:type="dxa"/>
            <w:tcBorders>
              <w:left w:val="single" w:sz="4" w:space="0" w:color="000000"/>
              <w:right w:val="single" w:sz="4" w:space="0" w:color="000000"/>
            </w:tcBorders>
          </w:tcPr>
          <w:p>
            <w:pPr>
              <w:pStyle w:val="TableParagraph"/>
              <w:spacing w:before="22"/>
              <w:ind w:left="590"/>
              <w:rPr>
                <w:sz w:val="13"/>
              </w:rPr>
            </w:pPr>
            <w:r>
              <w:rPr>
                <w:w w:val="105"/>
                <w:sz w:val="13"/>
              </w:rPr>
              <w:t>53.240,47</w:t>
            </w:r>
          </w:p>
        </w:tc>
      </w:tr>
      <w:tr>
        <w:trPr>
          <w:trHeight w:val="222" w:hRule="atLeast"/>
        </w:trPr>
        <w:tc>
          <w:tcPr>
            <w:tcW w:w="3003" w:type="dxa"/>
            <w:tcBorders>
              <w:left w:val="single" w:sz="4" w:space="0" w:color="000000"/>
            </w:tcBorders>
          </w:tcPr>
          <w:p>
            <w:pPr>
              <w:pStyle w:val="TableParagraph"/>
              <w:spacing w:before="20"/>
              <w:ind w:left="59"/>
              <w:rPr>
                <w:sz w:val="13"/>
              </w:rPr>
            </w:pPr>
            <w:r>
              <w:rPr>
                <w:w w:val="105"/>
                <w:sz w:val="13"/>
              </w:rPr>
              <w:t>311A Dirección Administrativa y Servicios Generales</w:t>
            </w:r>
          </w:p>
        </w:tc>
        <w:tc>
          <w:tcPr>
            <w:tcW w:w="455" w:type="dxa"/>
            <w:tcBorders>
              <w:right w:val="single" w:sz="4" w:space="0" w:color="000000"/>
            </w:tcBorders>
          </w:tcPr>
          <w:p>
            <w:pPr>
              <w:pStyle w:val="TableParagraph"/>
              <w:rPr>
                <w:rFonts w:ascii="Times New Roman"/>
                <w:sz w:val="14"/>
              </w:rPr>
            </w:pPr>
          </w:p>
        </w:tc>
        <w:tc>
          <w:tcPr>
            <w:tcW w:w="1691" w:type="dxa"/>
            <w:tcBorders>
              <w:left w:val="single" w:sz="4" w:space="0" w:color="000000"/>
              <w:right w:val="single" w:sz="4" w:space="0" w:color="000000"/>
            </w:tcBorders>
          </w:tcPr>
          <w:p>
            <w:pPr>
              <w:pStyle w:val="TableParagraph"/>
              <w:spacing w:before="20"/>
              <w:ind w:left="590"/>
              <w:rPr>
                <w:sz w:val="13"/>
              </w:rPr>
            </w:pPr>
            <w:r>
              <w:rPr>
                <w:w w:val="105"/>
                <w:sz w:val="13"/>
              </w:rPr>
              <w:t>53.795,49</w:t>
            </w:r>
          </w:p>
        </w:tc>
      </w:tr>
      <w:tr>
        <w:trPr>
          <w:trHeight w:val="223" w:hRule="atLeast"/>
        </w:trPr>
        <w:tc>
          <w:tcPr>
            <w:tcW w:w="3003" w:type="dxa"/>
            <w:tcBorders>
              <w:left w:val="single" w:sz="4" w:space="0" w:color="000000"/>
            </w:tcBorders>
          </w:tcPr>
          <w:p>
            <w:pPr>
              <w:pStyle w:val="TableParagraph"/>
              <w:spacing w:before="22"/>
              <w:ind w:left="59"/>
              <w:rPr>
                <w:sz w:val="13"/>
              </w:rPr>
            </w:pPr>
            <w:r>
              <w:rPr>
                <w:w w:val="105"/>
                <w:sz w:val="13"/>
              </w:rPr>
              <w:t>311C Formación del Personal Sanitario</w:t>
            </w:r>
          </w:p>
        </w:tc>
        <w:tc>
          <w:tcPr>
            <w:tcW w:w="455" w:type="dxa"/>
            <w:tcBorders>
              <w:right w:val="single" w:sz="4" w:space="0" w:color="000000"/>
            </w:tcBorders>
          </w:tcPr>
          <w:p>
            <w:pPr>
              <w:pStyle w:val="TableParagraph"/>
              <w:rPr>
                <w:rFonts w:ascii="Times New Roman"/>
                <w:sz w:val="14"/>
              </w:rPr>
            </w:pPr>
          </w:p>
        </w:tc>
        <w:tc>
          <w:tcPr>
            <w:tcW w:w="1691" w:type="dxa"/>
            <w:tcBorders>
              <w:left w:val="single" w:sz="4" w:space="0" w:color="000000"/>
              <w:right w:val="single" w:sz="4" w:space="0" w:color="000000"/>
            </w:tcBorders>
          </w:tcPr>
          <w:p>
            <w:pPr>
              <w:pStyle w:val="TableParagraph"/>
              <w:spacing w:before="22"/>
              <w:ind w:left="590"/>
              <w:rPr>
                <w:sz w:val="13"/>
              </w:rPr>
            </w:pPr>
            <w:r>
              <w:rPr>
                <w:w w:val="105"/>
                <w:sz w:val="13"/>
              </w:rPr>
              <w:t>70.105,91</w:t>
            </w:r>
          </w:p>
        </w:tc>
      </w:tr>
      <w:tr>
        <w:trPr>
          <w:trHeight w:val="223" w:hRule="atLeast"/>
        </w:trPr>
        <w:tc>
          <w:tcPr>
            <w:tcW w:w="3003" w:type="dxa"/>
            <w:tcBorders>
              <w:left w:val="single" w:sz="4" w:space="0" w:color="000000"/>
            </w:tcBorders>
          </w:tcPr>
          <w:p>
            <w:pPr>
              <w:pStyle w:val="TableParagraph"/>
              <w:spacing w:before="22"/>
              <w:ind w:left="59"/>
              <w:rPr>
                <w:sz w:val="13"/>
              </w:rPr>
            </w:pPr>
            <w:r>
              <w:rPr>
                <w:w w:val="105"/>
                <w:sz w:val="13"/>
              </w:rPr>
              <w:t>312C Atención Especializada</w:t>
            </w:r>
          </w:p>
        </w:tc>
        <w:tc>
          <w:tcPr>
            <w:tcW w:w="455" w:type="dxa"/>
            <w:tcBorders>
              <w:right w:val="single" w:sz="4" w:space="0" w:color="000000"/>
            </w:tcBorders>
          </w:tcPr>
          <w:p>
            <w:pPr>
              <w:pStyle w:val="TableParagraph"/>
              <w:rPr>
                <w:rFonts w:ascii="Times New Roman"/>
                <w:sz w:val="14"/>
              </w:rPr>
            </w:pPr>
          </w:p>
        </w:tc>
        <w:tc>
          <w:tcPr>
            <w:tcW w:w="1691" w:type="dxa"/>
            <w:tcBorders>
              <w:left w:val="single" w:sz="4" w:space="0" w:color="000000"/>
              <w:right w:val="single" w:sz="4" w:space="0" w:color="000000"/>
            </w:tcBorders>
          </w:tcPr>
          <w:p>
            <w:pPr>
              <w:pStyle w:val="TableParagraph"/>
              <w:spacing w:before="22"/>
              <w:ind w:left="420"/>
              <w:rPr>
                <w:sz w:val="13"/>
              </w:rPr>
            </w:pPr>
            <w:r>
              <w:rPr>
                <w:w w:val="105"/>
                <w:sz w:val="13"/>
              </w:rPr>
              <w:t>2.565.091,23</w:t>
            </w:r>
          </w:p>
        </w:tc>
      </w:tr>
      <w:tr>
        <w:trPr>
          <w:trHeight w:val="226" w:hRule="atLeast"/>
        </w:trPr>
        <w:tc>
          <w:tcPr>
            <w:tcW w:w="3003" w:type="dxa"/>
            <w:tcBorders>
              <w:left w:val="single" w:sz="4" w:space="0" w:color="000000"/>
            </w:tcBorders>
          </w:tcPr>
          <w:p>
            <w:pPr>
              <w:pStyle w:val="TableParagraph"/>
              <w:spacing w:before="22"/>
              <w:ind w:left="59"/>
              <w:rPr>
                <w:sz w:val="13"/>
              </w:rPr>
            </w:pPr>
            <w:r>
              <w:rPr>
                <w:w w:val="105"/>
                <w:sz w:val="13"/>
              </w:rPr>
              <w:t>312F Atención Primaria</w:t>
            </w:r>
          </w:p>
        </w:tc>
        <w:tc>
          <w:tcPr>
            <w:tcW w:w="455" w:type="dxa"/>
            <w:tcBorders>
              <w:right w:val="single" w:sz="4" w:space="0" w:color="000000"/>
            </w:tcBorders>
          </w:tcPr>
          <w:p>
            <w:pPr>
              <w:pStyle w:val="TableParagraph"/>
              <w:rPr>
                <w:rFonts w:ascii="Times New Roman"/>
                <w:sz w:val="16"/>
              </w:rPr>
            </w:pPr>
          </w:p>
        </w:tc>
        <w:tc>
          <w:tcPr>
            <w:tcW w:w="1691" w:type="dxa"/>
            <w:tcBorders>
              <w:left w:val="single" w:sz="4" w:space="0" w:color="000000"/>
              <w:right w:val="single" w:sz="4" w:space="0" w:color="000000"/>
            </w:tcBorders>
          </w:tcPr>
          <w:p>
            <w:pPr>
              <w:pStyle w:val="TableParagraph"/>
              <w:spacing w:before="22"/>
              <w:ind w:left="420"/>
              <w:rPr>
                <w:sz w:val="13"/>
              </w:rPr>
            </w:pPr>
            <w:r>
              <w:rPr>
                <w:w w:val="105"/>
                <w:sz w:val="13"/>
              </w:rPr>
              <w:t>1.256.772,72</w:t>
            </w:r>
          </w:p>
        </w:tc>
      </w:tr>
      <w:tr>
        <w:trPr>
          <w:trHeight w:val="231" w:hRule="atLeast"/>
        </w:trPr>
        <w:tc>
          <w:tcPr>
            <w:tcW w:w="3003" w:type="dxa"/>
            <w:tcBorders>
              <w:left w:val="single" w:sz="4" w:space="0" w:color="000000"/>
            </w:tcBorders>
          </w:tcPr>
          <w:p>
            <w:pPr>
              <w:pStyle w:val="TableParagraph"/>
              <w:spacing w:before="25"/>
              <w:ind w:left="59"/>
              <w:rPr>
                <w:sz w:val="13"/>
              </w:rPr>
            </w:pPr>
            <w:r>
              <w:rPr>
                <w:w w:val="105"/>
                <w:sz w:val="13"/>
              </w:rPr>
              <w:t>313A Salud Pública</w:t>
            </w:r>
          </w:p>
        </w:tc>
        <w:tc>
          <w:tcPr>
            <w:tcW w:w="455" w:type="dxa"/>
            <w:tcBorders>
              <w:right w:val="single" w:sz="4" w:space="0" w:color="000000"/>
            </w:tcBorders>
          </w:tcPr>
          <w:p>
            <w:pPr>
              <w:pStyle w:val="TableParagraph"/>
              <w:rPr>
                <w:rFonts w:ascii="Times New Roman"/>
                <w:sz w:val="16"/>
              </w:rPr>
            </w:pPr>
          </w:p>
        </w:tc>
        <w:tc>
          <w:tcPr>
            <w:tcW w:w="1691" w:type="dxa"/>
            <w:tcBorders>
              <w:left w:val="single" w:sz="4" w:space="0" w:color="000000"/>
              <w:right w:val="single" w:sz="4" w:space="0" w:color="000000"/>
            </w:tcBorders>
          </w:tcPr>
          <w:p>
            <w:pPr>
              <w:pStyle w:val="TableParagraph"/>
              <w:spacing w:before="25"/>
              <w:ind w:left="590"/>
              <w:rPr>
                <w:sz w:val="13"/>
              </w:rPr>
            </w:pPr>
            <w:r>
              <w:rPr>
                <w:w w:val="105"/>
                <w:sz w:val="13"/>
              </w:rPr>
              <w:t>36.739,73</w:t>
            </w:r>
          </w:p>
        </w:tc>
      </w:tr>
      <w:tr>
        <w:trPr>
          <w:trHeight w:val="228" w:hRule="atLeast"/>
        </w:trPr>
        <w:tc>
          <w:tcPr>
            <w:tcW w:w="3003" w:type="dxa"/>
            <w:tcBorders>
              <w:left w:val="single" w:sz="4" w:space="0" w:color="000000"/>
              <w:bottom w:val="single" w:sz="4" w:space="0" w:color="000000"/>
            </w:tcBorders>
          </w:tcPr>
          <w:p>
            <w:pPr>
              <w:pStyle w:val="TableParagraph"/>
              <w:rPr>
                <w:rFonts w:ascii="Times New Roman"/>
                <w:sz w:val="16"/>
              </w:rPr>
            </w:pPr>
          </w:p>
        </w:tc>
        <w:tc>
          <w:tcPr>
            <w:tcW w:w="455" w:type="dxa"/>
            <w:tcBorders>
              <w:bottom w:val="single" w:sz="4" w:space="0" w:color="000000"/>
              <w:right w:val="single" w:sz="4" w:space="0" w:color="000000"/>
            </w:tcBorders>
          </w:tcPr>
          <w:p>
            <w:pPr>
              <w:pStyle w:val="TableParagraph"/>
              <w:spacing w:before="27"/>
              <w:ind w:left="116"/>
              <w:rPr>
                <w:b/>
                <w:sz w:val="13"/>
              </w:rPr>
            </w:pPr>
            <w:r>
              <w:rPr>
                <w:b/>
                <w:w w:val="105"/>
                <w:sz w:val="13"/>
              </w:rPr>
              <w:t>Total</w:t>
            </w:r>
          </w:p>
        </w:tc>
        <w:tc>
          <w:tcPr>
            <w:tcW w:w="1691" w:type="dxa"/>
            <w:tcBorders>
              <w:left w:val="single" w:sz="4" w:space="0" w:color="000000"/>
              <w:bottom w:val="single" w:sz="4" w:space="0" w:color="000000"/>
              <w:right w:val="single" w:sz="4" w:space="0" w:color="000000"/>
            </w:tcBorders>
          </w:tcPr>
          <w:p>
            <w:pPr>
              <w:pStyle w:val="TableParagraph"/>
              <w:spacing w:before="27"/>
              <w:ind w:left="414"/>
              <w:rPr>
                <w:b/>
                <w:sz w:val="13"/>
              </w:rPr>
            </w:pPr>
            <w:r>
              <w:rPr>
                <w:b/>
                <w:w w:val="105"/>
                <w:sz w:val="13"/>
              </w:rPr>
              <w:t>4.054.043,43</w:t>
            </w:r>
          </w:p>
        </w:tc>
      </w:tr>
      <w:tr>
        <w:trPr>
          <w:trHeight w:val="233" w:hRule="atLeast"/>
        </w:trPr>
        <w:tc>
          <w:tcPr>
            <w:tcW w:w="3003" w:type="dxa"/>
            <w:tcBorders>
              <w:top w:val="single" w:sz="4" w:space="0" w:color="000000"/>
              <w:left w:val="single" w:sz="4" w:space="0" w:color="000000"/>
              <w:bottom w:val="single" w:sz="4" w:space="0" w:color="000000"/>
            </w:tcBorders>
            <w:shd w:val="clear" w:color="auto" w:fill="D9D9D9"/>
          </w:tcPr>
          <w:p>
            <w:pPr>
              <w:pStyle w:val="TableParagraph"/>
              <w:spacing w:before="32"/>
              <w:ind w:left="1099"/>
              <w:rPr>
                <w:b/>
                <w:sz w:val="13"/>
              </w:rPr>
            </w:pPr>
            <w:r>
              <w:rPr>
                <w:b/>
                <w:w w:val="105"/>
                <w:sz w:val="13"/>
              </w:rPr>
              <w:t>TOTAL SCS (</w:t>
            </w:r>
            <w:r>
              <w:rPr>
                <w:w w:val="105"/>
                <w:sz w:val="13"/>
              </w:rPr>
              <w:t>miles de €</w:t>
            </w:r>
            <w:r>
              <w:rPr>
                <w:b/>
                <w:w w:val="105"/>
                <w:sz w:val="13"/>
              </w:rPr>
              <w:t>)</w:t>
            </w:r>
          </w:p>
        </w:tc>
        <w:tc>
          <w:tcPr>
            <w:tcW w:w="455" w:type="dxa"/>
            <w:tcBorders>
              <w:top w:val="single" w:sz="4" w:space="0" w:color="000000"/>
              <w:bottom w:val="single" w:sz="4" w:space="0" w:color="000000"/>
            </w:tcBorders>
            <w:shd w:val="clear" w:color="auto" w:fill="D9D9D9"/>
          </w:tcPr>
          <w:p>
            <w:pPr>
              <w:pStyle w:val="TableParagraph"/>
              <w:rPr>
                <w:rFonts w:ascii="Times New Roman"/>
                <w:sz w:val="16"/>
              </w:rPr>
            </w:pPr>
          </w:p>
        </w:tc>
        <w:tc>
          <w:tcPr>
            <w:tcW w:w="1691" w:type="dxa"/>
            <w:tcBorders>
              <w:top w:val="single" w:sz="4" w:space="0" w:color="000000"/>
              <w:bottom w:val="single" w:sz="4" w:space="0" w:color="000000"/>
              <w:right w:val="single" w:sz="4" w:space="0" w:color="000000"/>
            </w:tcBorders>
            <w:shd w:val="clear" w:color="auto" w:fill="D9D9D9"/>
          </w:tcPr>
          <w:p>
            <w:pPr>
              <w:pStyle w:val="TableParagraph"/>
              <w:spacing w:before="32"/>
              <w:ind w:left="239"/>
              <w:rPr>
                <w:b/>
                <w:sz w:val="13"/>
              </w:rPr>
            </w:pPr>
            <w:r>
              <w:rPr>
                <w:b/>
                <w:w w:val="105"/>
                <w:sz w:val="13"/>
              </w:rPr>
              <w:t>4.074.742,05</w:t>
            </w:r>
          </w:p>
        </w:tc>
      </w:tr>
    </w:tbl>
    <w:p>
      <w:pPr>
        <w:pStyle w:val="BodyText"/>
        <w:spacing w:before="7"/>
        <w:rPr>
          <w:sz w:val="16"/>
        </w:rPr>
      </w:pPr>
    </w:p>
    <w:p>
      <w:pPr>
        <w:pStyle w:val="ListParagraph"/>
        <w:numPr>
          <w:ilvl w:val="0"/>
          <w:numId w:val="47"/>
        </w:numPr>
        <w:tabs>
          <w:tab w:pos="2335" w:val="left" w:leader="none"/>
        </w:tabs>
        <w:spacing w:line="242" w:lineRule="auto" w:before="0" w:after="0"/>
        <w:ind w:left="2334" w:right="1138" w:hanging="238"/>
        <w:jc w:val="both"/>
        <w:rPr>
          <w:sz w:val="20"/>
        </w:rPr>
      </w:pPr>
      <w:r>
        <w:rPr>
          <w:sz w:val="20"/>
        </w:rPr>
        <w:t>El gasto más relevante para el SCS es, por tanto, el aplicado a su personal (52,2 %), que además representa el 53,1 % del total gasto de personal del sector público con presupuesto limitativo de la CAC. El número de efectivos al cierre del ejercicio asciende a 36.127, según los datos publicados en transparencia, donde la mitad está adscrito</w:t>
      </w:r>
      <w:r>
        <w:rPr>
          <w:spacing w:val="-6"/>
          <w:sz w:val="20"/>
        </w:rPr>
        <w:t> </w:t>
      </w:r>
      <w:r>
        <w:rPr>
          <w:sz w:val="20"/>
        </w:rPr>
        <w:t>a</w:t>
      </w:r>
      <w:r>
        <w:rPr>
          <w:spacing w:val="-5"/>
          <w:sz w:val="20"/>
        </w:rPr>
        <w:t> </w:t>
      </w:r>
      <w:r>
        <w:rPr>
          <w:sz w:val="20"/>
        </w:rPr>
        <w:t>los</w:t>
      </w:r>
      <w:r>
        <w:rPr>
          <w:spacing w:val="-5"/>
          <w:sz w:val="20"/>
        </w:rPr>
        <w:t> </w:t>
      </w:r>
      <w:r>
        <w:rPr>
          <w:sz w:val="20"/>
        </w:rPr>
        <w:t>Hospitales</w:t>
      </w:r>
      <w:r>
        <w:rPr>
          <w:spacing w:val="-8"/>
          <w:sz w:val="20"/>
        </w:rPr>
        <w:t> </w:t>
      </w:r>
      <w:r>
        <w:rPr>
          <w:sz w:val="20"/>
        </w:rPr>
        <w:t>de</w:t>
      </w:r>
      <w:r>
        <w:rPr>
          <w:spacing w:val="-5"/>
          <w:sz w:val="20"/>
        </w:rPr>
        <w:t> </w:t>
      </w:r>
      <w:r>
        <w:rPr>
          <w:sz w:val="20"/>
        </w:rPr>
        <w:t>las</w:t>
      </w:r>
      <w:r>
        <w:rPr>
          <w:spacing w:val="-5"/>
          <w:sz w:val="20"/>
        </w:rPr>
        <w:t> </w:t>
      </w:r>
      <w:r>
        <w:rPr>
          <w:sz w:val="20"/>
        </w:rPr>
        <w:t>islas</w:t>
      </w:r>
      <w:r>
        <w:rPr>
          <w:spacing w:val="-5"/>
          <w:sz w:val="20"/>
        </w:rPr>
        <w:t> </w:t>
      </w:r>
      <w:r>
        <w:rPr>
          <w:sz w:val="20"/>
        </w:rPr>
        <w:t>capitalinas.</w:t>
      </w:r>
      <w:r>
        <w:rPr>
          <w:spacing w:val="-6"/>
          <w:sz w:val="20"/>
        </w:rPr>
        <w:t> </w:t>
      </w:r>
      <w:r>
        <w:rPr>
          <w:sz w:val="20"/>
        </w:rPr>
        <w:t>En</w:t>
      </w:r>
      <w:r>
        <w:rPr>
          <w:spacing w:val="-6"/>
          <w:sz w:val="20"/>
        </w:rPr>
        <w:t> </w:t>
      </w:r>
      <w:r>
        <w:rPr>
          <w:sz w:val="20"/>
        </w:rPr>
        <w:t>este</w:t>
      </w:r>
      <w:r>
        <w:rPr>
          <w:spacing w:val="-5"/>
          <w:sz w:val="20"/>
        </w:rPr>
        <w:t> </w:t>
      </w:r>
      <w:r>
        <w:rPr>
          <w:sz w:val="20"/>
        </w:rPr>
        <w:t>punto</w:t>
      </w:r>
      <w:r>
        <w:rPr>
          <w:spacing w:val="-5"/>
          <w:sz w:val="20"/>
        </w:rPr>
        <w:t> </w:t>
      </w:r>
      <w:r>
        <w:rPr>
          <w:sz w:val="20"/>
        </w:rPr>
        <w:t>habría</w:t>
      </w:r>
      <w:r>
        <w:rPr>
          <w:spacing w:val="-8"/>
          <w:sz w:val="20"/>
        </w:rPr>
        <w:t> </w:t>
      </w:r>
      <w:r>
        <w:rPr>
          <w:sz w:val="20"/>
        </w:rPr>
        <w:t>que</w:t>
      </w:r>
      <w:r>
        <w:rPr>
          <w:spacing w:val="-5"/>
          <w:sz w:val="20"/>
        </w:rPr>
        <w:t> </w:t>
      </w:r>
      <w:r>
        <w:rPr>
          <w:sz w:val="20"/>
        </w:rPr>
        <w:t>señalar</w:t>
      </w:r>
      <w:r>
        <w:rPr>
          <w:spacing w:val="-5"/>
          <w:sz w:val="20"/>
        </w:rPr>
        <w:t> </w:t>
      </w:r>
      <w:r>
        <w:rPr>
          <w:sz w:val="20"/>
        </w:rPr>
        <w:t>que, el número de efectivos reales superan a la plantilla orgánica de manera significativa, tanto la publicada en transparencia como la que se adjunta a la Ley de Presupuestos, siendo notable esta diferencia para los hospitales de las islas de Gran Canaria y Tenerife en términos absolutos; no así si se analiza según el grado de cobertura, donde destaca el incremento de las plantillas de las Gerencias de Servicios sanitarios de las islas menores y la de Atención Primaria en general. Esta discrepancia en el número de efectivos se debe a la contratación significativa de personal para necesidades no previstas en la plantilla orgánica en determinados</w:t>
      </w:r>
      <w:r>
        <w:rPr>
          <w:spacing w:val="6"/>
          <w:sz w:val="20"/>
        </w:rPr>
        <w:t> </w:t>
      </w:r>
      <w:r>
        <w:rPr>
          <w:sz w:val="20"/>
        </w:rPr>
        <w:t>servicios.</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5"/>
        </w:rPr>
      </w:pPr>
    </w:p>
    <w:p>
      <w:pPr>
        <w:pStyle w:val="BodyText"/>
        <w:ind w:left="7897"/>
        <w:jc w:val="center"/>
      </w:pPr>
      <w:r>
        <w:rPr/>
        <w:t>93</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97" name="image5.png"/>
                  <wp:cNvGraphicFramePr>
                    <a:graphicFrameLocks noChangeAspect="1"/>
                  </wp:cNvGraphicFramePr>
                  <a:graphic>
                    <a:graphicData uri="http://schemas.openxmlformats.org/drawingml/2006/picture">
                      <pic:pic>
                        <pic:nvPicPr>
                          <pic:cNvPr id="19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95/247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2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8"/>
        <w:gridCol w:w="600"/>
        <w:gridCol w:w="765"/>
        <w:gridCol w:w="783"/>
        <w:gridCol w:w="965"/>
        <w:gridCol w:w="963"/>
        <w:gridCol w:w="664"/>
        <w:gridCol w:w="591"/>
      </w:tblGrid>
      <w:tr>
        <w:trPr>
          <w:trHeight w:val="400" w:hRule="atLeast"/>
        </w:trPr>
        <w:tc>
          <w:tcPr>
            <w:tcW w:w="1848"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600" w:type="dxa"/>
            <w:vMerge w:val="restart"/>
            <w:tcBorders>
              <w:top w:val="single" w:sz="4" w:space="0" w:color="000000"/>
              <w:left w:val="single" w:sz="4" w:space="0" w:color="000000"/>
              <w:bottom w:val="single" w:sz="4" w:space="0" w:color="000000"/>
            </w:tcBorders>
            <w:shd w:val="clear" w:color="auto" w:fill="DEEAF6"/>
          </w:tcPr>
          <w:p>
            <w:pPr>
              <w:pStyle w:val="TableParagraph"/>
              <w:spacing w:line="252" w:lineRule="auto" w:before="26"/>
              <w:ind w:left="61" w:right="67"/>
              <w:jc w:val="center"/>
              <w:rPr>
                <w:b/>
                <w:sz w:val="12"/>
              </w:rPr>
            </w:pPr>
            <w:r>
              <w:rPr>
                <w:b/>
                <w:w w:val="105"/>
                <w:sz w:val="12"/>
              </w:rPr>
              <w:t>vacantes 2022</w:t>
            </w:r>
          </w:p>
          <w:p>
            <w:pPr>
              <w:pStyle w:val="TableParagraph"/>
              <w:spacing w:before="7"/>
              <w:rPr>
                <w:b/>
                <w:sz w:val="12"/>
              </w:rPr>
            </w:pPr>
          </w:p>
          <w:p>
            <w:pPr>
              <w:pStyle w:val="TableParagraph"/>
              <w:ind w:left="58" w:right="67"/>
              <w:jc w:val="center"/>
              <w:rPr>
                <w:sz w:val="12"/>
              </w:rPr>
            </w:pPr>
            <w:r>
              <w:rPr>
                <w:w w:val="105"/>
                <w:sz w:val="12"/>
              </w:rPr>
              <w:t>(a)</w:t>
            </w:r>
          </w:p>
        </w:tc>
        <w:tc>
          <w:tcPr>
            <w:tcW w:w="765" w:type="dxa"/>
            <w:vMerge w:val="restart"/>
            <w:tcBorders>
              <w:top w:val="single" w:sz="4" w:space="0" w:color="000000"/>
              <w:bottom w:val="single" w:sz="4" w:space="0" w:color="000000"/>
            </w:tcBorders>
            <w:shd w:val="clear" w:color="auto" w:fill="DEEAF6"/>
          </w:tcPr>
          <w:p>
            <w:pPr>
              <w:pStyle w:val="TableParagraph"/>
              <w:spacing w:before="37"/>
              <w:ind w:left="58" w:right="64"/>
              <w:jc w:val="center"/>
              <w:rPr>
                <w:b/>
                <w:sz w:val="11"/>
              </w:rPr>
            </w:pPr>
            <w:r>
              <w:rPr>
                <w:b/>
                <w:w w:val="105"/>
                <w:sz w:val="11"/>
              </w:rPr>
              <w:t>ER</w:t>
            </w:r>
          </w:p>
          <w:p>
            <w:pPr>
              <w:pStyle w:val="TableParagraph"/>
              <w:spacing w:before="9"/>
              <w:ind w:left="61" w:right="64"/>
              <w:jc w:val="center"/>
              <w:rPr>
                <w:b/>
                <w:sz w:val="11"/>
              </w:rPr>
            </w:pPr>
            <w:r>
              <w:rPr>
                <w:b/>
                <w:w w:val="105"/>
                <w:sz w:val="11"/>
              </w:rPr>
              <w:t>presupuesto</w:t>
            </w:r>
          </w:p>
          <w:p>
            <w:pPr>
              <w:pStyle w:val="TableParagraph"/>
              <w:spacing w:before="3"/>
              <w:rPr>
                <w:b/>
                <w:sz w:val="13"/>
              </w:rPr>
            </w:pPr>
          </w:p>
          <w:p>
            <w:pPr>
              <w:pStyle w:val="TableParagraph"/>
              <w:spacing w:before="1"/>
              <w:ind w:left="59" w:right="64"/>
              <w:jc w:val="center"/>
              <w:rPr>
                <w:sz w:val="12"/>
              </w:rPr>
            </w:pPr>
            <w:r>
              <w:rPr>
                <w:w w:val="105"/>
                <w:sz w:val="12"/>
              </w:rPr>
              <w:t>(b)</w:t>
            </w:r>
          </w:p>
        </w:tc>
        <w:tc>
          <w:tcPr>
            <w:tcW w:w="783" w:type="dxa"/>
            <w:vMerge w:val="restart"/>
            <w:tcBorders>
              <w:top w:val="single" w:sz="4" w:space="0" w:color="000000"/>
              <w:bottom w:val="single" w:sz="4" w:space="0" w:color="000000"/>
              <w:right w:val="single" w:sz="4" w:space="0" w:color="000000"/>
            </w:tcBorders>
            <w:shd w:val="clear" w:color="auto" w:fill="DEEAF6"/>
          </w:tcPr>
          <w:p>
            <w:pPr>
              <w:pStyle w:val="TableParagraph"/>
              <w:spacing w:line="256" w:lineRule="auto" w:before="43"/>
              <w:ind w:left="66" w:right="54" w:hanging="1"/>
              <w:jc w:val="center"/>
              <w:rPr>
                <w:b/>
                <w:sz w:val="11"/>
              </w:rPr>
            </w:pPr>
            <w:r>
              <w:rPr>
                <w:b/>
                <w:w w:val="105"/>
                <w:sz w:val="11"/>
              </w:rPr>
              <w:t>Total Ley de presupuestos RPT 2022</w:t>
            </w:r>
          </w:p>
          <w:p>
            <w:pPr>
              <w:pStyle w:val="TableParagraph"/>
              <w:spacing w:line="143" w:lineRule="exact"/>
              <w:ind w:left="43" w:right="34"/>
              <w:jc w:val="center"/>
              <w:rPr>
                <w:sz w:val="12"/>
              </w:rPr>
            </w:pPr>
            <w:r>
              <w:rPr>
                <w:w w:val="105"/>
                <w:sz w:val="12"/>
              </w:rPr>
              <w:t>(1) = (a) + (b)</w:t>
            </w:r>
          </w:p>
        </w:tc>
        <w:tc>
          <w:tcPr>
            <w:tcW w:w="965" w:type="dxa"/>
            <w:tcBorders>
              <w:top w:val="single" w:sz="4" w:space="0" w:color="000000"/>
              <w:left w:val="single" w:sz="4" w:space="0" w:color="000000"/>
            </w:tcBorders>
            <w:shd w:val="clear" w:color="auto" w:fill="DEEAF6"/>
          </w:tcPr>
          <w:p>
            <w:pPr>
              <w:pStyle w:val="TableParagraph"/>
              <w:spacing w:line="256" w:lineRule="auto" w:before="37"/>
              <w:ind w:left="66" w:right="60" w:firstLine="155"/>
              <w:rPr>
                <w:b/>
                <w:sz w:val="11"/>
              </w:rPr>
            </w:pPr>
            <w:r>
              <w:rPr>
                <w:b/>
                <w:w w:val="105"/>
                <w:sz w:val="11"/>
              </w:rPr>
              <w:t>TOTAL SCS TRANSPARENCIA</w:t>
            </w:r>
          </w:p>
        </w:tc>
        <w:tc>
          <w:tcPr>
            <w:tcW w:w="963" w:type="dxa"/>
            <w:tcBorders>
              <w:top w:val="single" w:sz="4" w:space="0" w:color="000000"/>
            </w:tcBorders>
            <w:shd w:val="clear" w:color="auto" w:fill="DEEAF6"/>
          </w:tcPr>
          <w:p>
            <w:pPr>
              <w:pStyle w:val="TableParagraph"/>
              <w:spacing w:line="256" w:lineRule="auto" w:before="37"/>
              <w:ind w:left="65" w:right="64" w:firstLine="155"/>
              <w:rPr>
                <w:b/>
                <w:sz w:val="11"/>
              </w:rPr>
            </w:pPr>
            <w:r>
              <w:rPr>
                <w:b/>
                <w:w w:val="105"/>
                <w:sz w:val="11"/>
              </w:rPr>
              <w:t>TOTAL SCS TRANSPARENCIA</w:t>
            </w:r>
          </w:p>
        </w:tc>
        <w:tc>
          <w:tcPr>
            <w:tcW w:w="1255" w:type="dxa"/>
            <w:gridSpan w:val="2"/>
            <w:tcBorders>
              <w:top w:val="single" w:sz="4" w:space="0" w:color="000000"/>
              <w:right w:val="single" w:sz="4" w:space="0" w:color="000000"/>
            </w:tcBorders>
            <w:shd w:val="clear" w:color="auto" w:fill="DEEAF6"/>
          </w:tcPr>
          <w:p>
            <w:pPr>
              <w:pStyle w:val="TableParagraph"/>
              <w:tabs>
                <w:tab w:pos="906" w:val="left" w:leader="none"/>
              </w:tabs>
              <w:spacing w:line="256" w:lineRule="auto" w:before="37"/>
              <w:ind w:left="70" w:right="54" w:firstLine="62"/>
              <w:rPr>
                <w:b/>
                <w:sz w:val="11"/>
              </w:rPr>
            </w:pPr>
            <w:r>
              <w:rPr>
                <w:b/>
                <w:w w:val="105"/>
                <w:sz w:val="11"/>
              </w:rPr>
              <w:t>Tasa de</w:t>
              <w:tab/>
              <w:t>% Cobertura</w:t>
            </w:r>
            <w:r>
              <w:rPr>
                <w:b/>
                <w:spacing w:val="4"/>
                <w:w w:val="105"/>
                <w:sz w:val="11"/>
              </w:rPr>
              <w:t> </w:t>
            </w:r>
            <w:r>
              <w:rPr>
                <w:b/>
                <w:spacing w:val="-3"/>
                <w:w w:val="105"/>
                <w:sz w:val="11"/>
              </w:rPr>
              <w:t>Cobertura</w:t>
            </w:r>
          </w:p>
        </w:tc>
      </w:tr>
      <w:tr>
        <w:trPr>
          <w:trHeight w:val="246" w:hRule="atLeast"/>
        </w:trPr>
        <w:tc>
          <w:tcPr>
            <w:tcW w:w="1848" w:type="dxa"/>
            <w:tcBorders>
              <w:left w:val="single" w:sz="4" w:space="0" w:color="000000"/>
              <w:right w:val="single" w:sz="4" w:space="0" w:color="000000"/>
            </w:tcBorders>
          </w:tcPr>
          <w:p>
            <w:pPr>
              <w:pStyle w:val="TableParagraph"/>
              <w:rPr>
                <w:rFonts w:ascii="Times New Roman"/>
                <w:sz w:val="14"/>
              </w:rPr>
            </w:pPr>
          </w:p>
        </w:tc>
        <w:tc>
          <w:tcPr>
            <w:tcW w:w="600" w:type="dxa"/>
            <w:vMerge/>
            <w:tcBorders>
              <w:top w:val="nil"/>
              <w:left w:val="single" w:sz="4" w:space="0" w:color="000000"/>
              <w:bottom w:val="single" w:sz="4" w:space="0" w:color="000000"/>
            </w:tcBorders>
            <w:shd w:val="clear" w:color="auto" w:fill="DEEAF6"/>
          </w:tcPr>
          <w:p>
            <w:pPr>
              <w:rPr>
                <w:sz w:val="2"/>
                <w:szCs w:val="2"/>
              </w:rPr>
            </w:pPr>
          </w:p>
        </w:tc>
        <w:tc>
          <w:tcPr>
            <w:tcW w:w="765" w:type="dxa"/>
            <w:vMerge/>
            <w:tcBorders>
              <w:top w:val="nil"/>
              <w:bottom w:val="single" w:sz="4" w:space="0" w:color="000000"/>
            </w:tcBorders>
            <w:shd w:val="clear" w:color="auto" w:fill="DEEAF6"/>
          </w:tcPr>
          <w:p>
            <w:pPr>
              <w:rPr>
                <w:sz w:val="2"/>
                <w:szCs w:val="2"/>
              </w:rPr>
            </w:pPr>
          </w:p>
        </w:tc>
        <w:tc>
          <w:tcPr>
            <w:tcW w:w="783" w:type="dxa"/>
            <w:vMerge/>
            <w:tcBorders>
              <w:top w:val="nil"/>
              <w:bottom w:val="single" w:sz="4" w:space="0" w:color="000000"/>
              <w:right w:val="single" w:sz="4" w:space="0" w:color="000000"/>
            </w:tcBorders>
            <w:shd w:val="clear" w:color="auto" w:fill="DEEAF6"/>
          </w:tcPr>
          <w:p>
            <w:pPr>
              <w:rPr>
                <w:sz w:val="2"/>
                <w:szCs w:val="2"/>
              </w:rPr>
            </w:pPr>
          </w:p>
        </w:tc>
        <w:tc>
          <w:tcPr>
            <w:tcW w:w="965" w:type="dxa"/>
            <w:tcBorders>
              <w:left w:val="single" w:sz="4" w:space="0" w:color="000000"/>
              <w:bottom w:val="single" w:sz="4" w:space="0" w:color="000000"/>
            </w:tcBorders>
            <w:shd w:val="clear" w:color="auto" w:fill="DEEAF6"/>
          </w:tcPr>
          <w:p>
            <w:pPr>
              <w:pStyle w:val="TableParagraph"/>
              <w:spacing w:before="67"/>
              <w:ind w:left="235"/>
              <w:rPr>
                <w:sz w:val="12"/>
              </w:rPr>
            </w:pPr>
            <w:r>
              <w:rPr>
                <w:w w:val="105"/>
                <w:sz w:val="12"/>
              </w:rPr>
              <w:t>(PO) = (2)</w:t>
            </w:r>
          </w:p>
        </w:tc>
        <w:tc>
          <w:tcPr>
            <w:tcW w:w="963" w:type="dxa"/>
            <w:tcBorders>
              <w:bottom w:val="single" w:sz="4" w:space="0" w:color="000000"/>
            </w:tcBorders>
            <w:shd w:val="clear" w:color="auto" w:fill="DEEAF6"/>
          </w:tcPr>
          <w:p>
            <w:pPr>
              <w:pStyle w:val="TableParagraph"/>
              <w:spacing w:before="67"/>
              <w:ind w:left="245"/>
              <w:rPr>
                <w:sz w:val="12"/>
              </w:rPr>
            </w:pPr>
            <w:r>
              <w:rPr>
                <w:w w:val="105"/>
                <w:sz w:val="12"/>
              </w:rPr>
              <w:t>(ER) = (3)</w:t>
            </w:r>
          </w:p>
        </w:tc>
        <w:tc>
          <w:tcPr>
            <w:tcW w:w="664" w:type="dxa"/>
            <w:tcBorders>
              <w:bottom w:val="single" w:sz="4" w:space="0" w:color="000000"/>
            </w:tcBorders>
            <w:shd w:val="clear" w:color="auto" w:fill="DEEAF6"/>
          </w:tcPr>
          <w:p>
            <w:pPr>
              <w:pStyle w:val="TableParagraph"/>
              <w:spacing w:before="67"/>
              <w:ind w:left="142"/>
              <w:rPr>
                <w:sz w:val="12"/>
              </w:rPr>
            </w:pPr>
            <w:r>
              <w:rPr>
                <w:w w:val="105"/>
                <w:sz w:val="12"/>
              </w:rPr>
              <w:t>(3) - (2)</w:t>
            </w:r>
          </w:p>
        </w:tc>
        <w:tc>
          <w:tcPr>
            <w:tcW w:w="591" w:type="dxa"/>
            <w:tcBorders>
              <w:bottom w:val="single" w:sz="4" w:space="0" w:color="000000"/>
              <w:right w:val="single" w:sz="4" w:space="0" w:color="000000"/>
            </w:tcBorders>
            <w:shd w:val="clear" w:color="auto" w:fill="DEEAF6"/>
          </w:tcPr>
          <w:p>
            <w:pPr>
              <w:pStyle w:val="TableParagraph"/>
              <w:spacing w:before="67"/>
              <w:ind w:right="105"/>
              <w:jc w:val="right"/>
              <w:rPr>
                <w:sz w:val="12"/>
              </w:rPr>
            </w:pPr>
            <w:r>
              <w:rPr>
                <w:w w:val="105"/>
                <w:sz w:val="12"/>
              </w:rPr>
              <w:t>(3) / (2)</w:t>
            </w:r>
          </w:p>
        </w:tc>
      </w:tr>
      <w:tr>
        <w:trPr>
          <w:trHeight w:val="220" w:hRule="atLeast"/>
        </w:trPr>
        <w:tc>
          <w:tcPr>
            <w:tcW w:w="1848" w:type="dxa"/>
            <w:tcBorders>
              <w:left w:val="single" w:sz="4" w:space="0" w:color="000000"/>
              <w:right w:val="single" w:sz="4" w:space="0" w:color="000000"/>
            </w:tcBorders>
          </w:tcPr>
          <w:p>
            <w:pPr>
              <w:pStyle w:val="TableParagraph"/>
              <w:spacing w:before="34"/>
              <w:ind w:left="57"/>
              <w:rPr>
                <w:b/>
                <w:sz w:val="12"/>
              </w:rPr>
            </w:pPr>
            <w:r>
              <w:rPr>
                <w:b/>
                <w:w w:val="105"/>
                <w:sz w:val="12"/>
              </w:rPr>
              <w:t>Hospitales TFE y Gran Canaria</w:t>
            </w:r>
          </w:p>
        </w:tc>
        <w:tc>
          <w:tcPr>
            <w:tcW w:w="600" w:type="dxa"/>
            <w:tcBorders>
              <w:top w:val="single" w:sz="4" w:space="0" w:color="000000"/>
              <w:left w:val="single" w:sz="4" w:space="0" w:color="000000"/>
            </w:tcBorders>
          </w:tcPr>
          <w:p>
            <w:pPr>
              <w:pStyle w:val="TableParagraph"/>
              <w:spacing w:before="34"/>
              <w:ind w:right="64"/>
              <w:jc w:val="right"/>
              <w:rPr>
                <w:b/>
                <w:sz w:val="12"/>
              </w:rPr>
            </w:pPr>
            <w:r>
              <w:rPr>
                <w:b/>
                <w:w w:val="105"/>
                <w:sz w:val="12"/>
              </w:rPr>
              <w:t>14.220</w:t>
            </w:r>
          </w:p>
        </w:tc>
        <w:tc>
          <w:tcPr>
            <w:tcW w:w="765" w:type="dxa"/>
            <w:tcBorders>
              <w:top w:val="single" w:sz="4" w:space="0" w:color="000000"/>
            </w:tcBorders>
          </w:tcPr>
          <w:p>
            <w:pPr>
              <w:pStyle w:val="TableParagraph"/>
              <w:spacing w:before="34"/>
              <w:ind w:right="54"/>
              <w:jc w:val="right"/>
              <w:rPr>
                <w:b/>
                <w:sz w:val="12"/>
              </w:rPr>
            </w:pPr>
            <w:r>
              <w:rPr>
                <w:b/>
                <w:w w:val="105"/>
                <w:sz w:val="12"/>
              </w:rPr>
              <w:t>0</w:t>
            </w:r>
          </w:p>
        </w:tc>
        <w:tc>
          <w:tcPr>
            <w:tcW w:w="783" w:type="dxa"/>
            <w:tcBorders>
              <w:top w:val="single" w:sz="4" w:space="0" w:color="000000"/>
              <w:right w:val="single" w:sz="4" w:space="0" w:color="000000"/>
            </w:tcBorders>
          </w:tcPr>
          <w:p>
            <w:pPr>
              <w:pStyle w:val="TableParagraph"/>
              <w:spacing w:before="34"/>
              <w:ind w:right="47"/>
              <w:jc w:val="right"/>
              <w:rPr>
                <w:b/>
                <w:sz w:val="12"/>
              </w:rPr>
            </w:pPr>
            <w:r>
              <w:rPr>
                <w:b/>
                <w:w w:val="105"/>
                <w:sz w:val="12"/>
              </w:rPr>
              <w:t>14.220</w:t>
            </w:r>
          </w:p>
        </w:tc>
        <w:tc>
          <w:tcPr>
            <w:tcW w:w="965" w:type="dxa"/>
            <w:tcBorders>
              <w:top w:val="single" w:sz="4" w:space="0" w:color="000000"/>
              <w:left w:val="single" w:sz="4" w:space="0" w:color="000000"/>
            </w:tcBorders>
          </w:tcPr>
          <w:p>
            <w:pPr>
              <w:pStyle w:val="TableParagraph"/>
              <w:spacing w:before="34"/>
              <w:ind w:right="55"/>
              <w:jc w:val="right"/>
              <w:rPr>
                <w:b/>
                <w:sz w:val="12"/>
              </w:rPr>
            </w:pPr>
            <w:r>
              <w:rPr>
                <w:b/>
                <w:w w:val="105"/>
                <w:sz w:val="12"/>
              </w:rPr>
              <w:t>16.040</w:t>
            </w:r>
          </w:p>
        </w:tc>
        <w:tc>
          <w:tcPr>
            <w:tcW w:w="963" w:type="dxa"/>
            <w:tcBorders>
              <w:top w:val="single" w:sz="4" w:space="0" w:color="000000"/>
            </w:tcBorders>
          </w:tcPr>
          <w:p>
            <w:pPr>
              <w:pStyle w:val="TableParagraph"/>
              <w:spacing w:before="34"/>
              <w:ind w:right="59"/>
              <w:jc w:val="right"/>
              <w:rPr>
                <w:b/>
                <w:sz w:val="12"/>
              </w:rPr>
            </w:pPr>
            <w:r>
              <w:rPr>
                <w:b/>
                <w:w w:val="105"/>
                <w:sz w:val="12"/>
              </w:rPr>
              <w:t>21.408</w:t>
            </w:r>
          </w:p>
        </w:tc>
        <w:tc>
          <w:tcPr>
            <w:tcW w:w="664" w:type="dxa"/>
            <w:tcBorders>
              <w:top w:val="single" w:sz="4" w:space="0" w:color="000000"/>
            </w:tcBorders>
          </w:tcPr>
          <w:p>
            <w:pPr>
              <w:pStyle w:val="TableParagraph"/>
              <w:spacing w:before="34"/>
              <w:ind w:right="80"/>
              <w:jc w:val="right"/>
              <w:rPr>
                <w:b/>
                <w:sz w:val="12"/>
              </w:rPr>
            </w:pPr>
            <w:r>
              <w:rPr>
                <w:b/>
                <w:w w:val="105"/>
                <w:sz w:val="12"/>
              </w:rPr>
              <w:t>5.368</w:t>
            </w:r>
          </w:p>
        </w:tc>
        <w:tc>
          <w:tcPr>
            <w:tcW w:w="591" w:type="dxa"/>
            <w:tcBorders>
              <w:top w:val="single" w:sz="4" w:space="0" w:color="000000"/>
              <w:right w:val="single" w:sz="4" w:space="0" w:color="000000"/>
            </w:tcBorders>
          </w:tcPr>
          <w:p>
            <w:pPr>
              <w:pStyle w:val="TableParagraph"/>
              <w:spacing w:before="34"/>
              <w:ind w:right="45"/>
              <w:jc w:val="right"/>
              <w:rPr>
                <w:b/>
                <w:sz w:val="12"/>
              </w:rPr>
            </w:pPr>
            <w:r>
              <w:rPr>
                <w:b/>
                <w:w w:val="105"/>
                <w:sz w:val="12"/>
              </w:rPr>
              <w:t>33,5%</w:t>
            </w:r>
          </w:p>
        </w:tc>
      </w:tr>
      <w:tr>
        <w:trPr>
          <w:trHeight w:val="193" w:hRule="atLeast"/>
        </w:trPr>
        <w:tc>
          <w:tcPr>
            <w:tcW w:w="1848" w:type="dxa"/>
            <w:tcBorders>
              <w:left w:val="single" w:sz="4" w:space="0" w:color="000000"/>
              <w:right w:val="single" w:sz="4" w:space="0" w:color="000000"/>
            </w:tcBorders>
          </w:tcPr>
          <w:p>
            <w:pPr>
              <w:pStyle w:val="TableParagraph"/>
              <w:spacing w:before="21"/>
              <w:ind w:left="57"/>
              <w:rPr>
                <w:b/>
                <w:sz w:val="12"/>
              </w:rPr>
            </w:pPr>
            <w:r>
              <w:rPr>
                <w:b/>
                <w:w w:val="105"/>
                <w:sz w:val="12"/>
              </w:rPr>
              <w:t>Direcciones de Área de Salud</w:t>
            </w:r>
          </w:p>
        </w:tc>
        <w:tc>
          <w:tcPr>
            <w:tcW w:w="600" w:type="dxa"/>
            <w:tcBorders>
              <w:left w:val="single" w:sz="4" w:space="0" w:color="000000"/>
            </w:tcBorders>
          </w:tcPr>
          <w:p>
            <w:pPr>
              <w:pStyle w:val="TableParagraph"/>
              <w:spacing w:before="21"/>
              <w:ind w:right="63"/>
              <w:jc w:val="right"/>
              <w:rPr>
                <w:b/>
                <w:sz w:val="12"/>
              </w:rPr>
            </w:pPr>
            <w:r>
              <w:rPr>
                <w:b/>
                <w:w w:val="105"/>
                <w:sz w:val="12"/>
              </w:rPr>
              <w:t>315</w:t>
            </w:r>
          </w:p>
        </w:tc>
        <w:tc>
          <w:tcPr>
            <w:tcW w:w="765" w:type="dxa"/>
          </w:tcPr>
          <w:p>
            <w:pPr>
              <w:pStyle w:val="TableParagraph"/>
              <w:spacing w:before="21"/>
              <w:ind w:right="52"/>
              <w:jc w:val="right"/>
              <w:rPr>
                <w:b/>
                <w:sz w:val="12"/>
              </w:rPr>
            </w:pPr>
            <w:r>
              <w:rPr>
                <w:b/>
                <w:w w:val="105"/>
                <w:sz w:val="12"/>
              </w:rPr>
              <w:t>77</w:t>
            </w:r>
          </w:p>
        </w:tc>
        <w:tc>
          <w:tcPr>
            <w:tcW w:w="783" w:type="dxa"/>
            <w:tcBorders>
              <w:right w:val="single" w:sz="4" w:space="0" w:color="000000"/>
            </w:tcBorders>
          </w:tcPr>
          <w:p>
            <w:pPr>
              <w:pStyle w:val="TableParagraph"/>
              <w:spacing w:before="21"/>
              <w:ind w:right="46"/>
              <w:jc w:val="right"/>
              <w:rPr>
                <w:b/>
                <w:sz w:val="12"/>
              </w:rPr>
            </w:pPr>
            <w:r>
              <w:rPr>
                <w:b/>
                <w:w w:val="105"/>
                <w:sz w:val="12"/>
              </w:rPr>
              <w:t>238</w:t>
            </w:r>
          </w:p>
        </w:tc>
        <w:tc>
          <w:tcPr>
            <w:tcW w:w="965" w:type="dxa"/>
            <w:tcBorders>
              <w:left w:val="single" w:sz="4" w:space="0" w:color="000000"/>
            </w:tcBorders>
          </w:tcPr>
          <w:p>
            <w:pPr>
              <w:pStyle w:val="TableParagraph"/>
              <w:spacing w:before="21"/>
              <w:ind w:right="54"/>
              <w:jc w:val="right"/>
              <w:rPr>
                <w:sz w:val="12"/>
              </w:rPr>
            </w:pPr>
            <w:r>
              <w:rPr>
                <w:w w:val="105"/>
                <w:sz w:val="12"/>
              </w:rPr>
              <w:t>Nd</w:t>
            </w:r>
          </w:p>
        </w:tc>
        <w:tc>
          <w:tcPr>
            <w:tcW w:w="963" w:type="dxa"/>
          </w:tcPr>
          <w:p>
            <w:pPr>
              <w:pStyle w:val="TableParagraph"/>
              <w:spacing w:before="21"/>
              <w:ind w:right="58"/>
              <w:jc w:val="right"/>
              <w:rPr>
                <w:sz w:val="12"/>
              </w:rPr>
            </w:pPr>
            <w:r>
              <w:rPr>
                <w:w w:val="105"/>
                <w:sz w:val="12"/>
              </w:rPr>
              <w:t>Nd</w:t>
            </w:r>
          </w:p>
        </w:tc>
        <w:tc>
          <w:tcPr>
            <w:tcW w:w="664" w:type="dxa"/>
          </w:tcPr>
          <w:p>
            <w:pPr>
              <w:pStyle w:val="TableParagraph"/>
              <w:spacing w:before="21"/>
              <w:ind w:right="81"/>
              <w:jc w:val="right"/>
              <w:rPr>
                <w:b/>
                <w:sz w:val="12"/>
              </w:rPr>
            </w:pPr>
            <w:r>
              <w:rPr>
                <w:b/>
                <w:w w:val="105"/>
                <w:sz w:val="12"/>
              </w:rPr>
              <w:t>-</w:t>
            </w:r>
          </w:p>
        </w:tc>
        <w:tc>
          <w:tcPr>
            <w:tcW w:w="591" w:type="dxa"/>
            <w:tcBorders>
              <w:right w:val="single" w:sz="4" w:space="0" w:color="000000"/>
            </w:tcBorders>
          </w:tcPr>
          <w:p>
            <w:pPr>
              <w:pStyle w:val="TableParagraph"/>
              <w:spacing w:before="21"/>
              <w:ind w:right="46"/>
              <w:jc w:val="right"/>
              <w:rPr>
                <w:b/>
                <w:sz w:val="12"/>
              </w:rPr>
            </w:pPr>
            <w:r>
              <w:rPr>
                <w:b/>
                <w:w w:val="105"/>
                <w:sz w:val="12"/>
              </w:rPr>
              <w:t>-</w:t>
            </w:r>
          </w:p>
        </w:tc>
      </w:tr>
      <w:tr>
        <w:trPr>
          <w:trHeight w:val="182" w:hRule="atLeast"/>
        </w:trPr>
        <w:tc>
          <w:tcPr>
            <w:tcW w:w="1848" w:type="dxa"/>
            <w:tcBorders>
              <w:left w:val="single" w:sz="4" w:space="0" w:color="000000"/>
              <w:right w:val="single" w:sz="4" w:space="0" w:color="000000"/>
            </w:tcBorders>
          </w:tcPr>
          <w:p>
            <w:pPr>
              <w:pStyle w:val="TableParagraph"/>
              <w:spacing w:before="7"/>
              <w:ind w:left="57"/>
              <w:rPr>
                <w:b/>
                <w:sz w:val="12"/>
              </w:rPr>
            </w:pPr>
            <w:r>
              <w:rPr>
                <w:b/>
                <w:w w:val="105"/>
                <w:sz w:val="12"/>
              </w:rPr>
              <w:t>Gerencias Ss islas NO capitalinas</w:t>
            </w:r>
          </w:p>
        </w:tc>
        <w:tc>
          <w:tcPr>
            <w:tcW w:w="600" w:type="dxa"/>
            <w:tcBorders>
              <w:left w:val="single" w:sz="4" w:space="0" w:color="000000"/>
            </w:tcBorders>
          </w:tcPr>
          <w:p>
            <w:pPr>
              <w:pStyle w:val="TableParagraph"/>
              <w:spacing w:before="7"/>
              <w:ind w:right="63"/>
              <w:jc w:val="right"/>
              <w:rPr>
                <w:b/>
                <w:sz w:val="12"/>
              </w:rPr>
            </w:pPr>
            <w:r>
              <w:rPr>
                <w:b/>
                <w:w w:val="105"/>
                <w:sz w:val="12"/>
              </w:rPr>
              <w:t>2.667</w:t>
            </w:r>
          </w:p>
        </w:tc>
        <w:tc>
          <w:tcPr>
            <w:tcW w:w="765" w:type="dxa"/>
          </w:tcPr>
          <w:p>
            <w:pPr>
              <w:pStyle w:val="TableParagraph"/>
              <w:spacing w:before="7"/>
              <w:ind w:right="54"/>
              <w:jc w:val="right"/>
              <w:rPr>
                <w:b/>
                <w:sz w:val="12"/>
              </w:rPr>
            </w:pPr>
            <w:r>
              <w:rPr>
                <w:b/>
                <w:w w:val="105"/>
                <w:sz w:val="12"/>
              </w:rPr>
              <w:t>0</w:t>
            </w:r>
          </w:p>
        </w:tc>
        <w:tc>
          <w:tcPr>
            <w:tcW w:w="783" w:type="dxa"/>
            <w:tcBorders>
              <w:right w:val="single" w:sz="4" w:space="0" w:color="000000"/>
            </w:tcBorders>
          </w:tcPr>
          <w:p>
            <w:pPr>
              <w:pStyle w:val="TableParagraph"/>
              <w:spacing w:before="7"/>
              <w:ind w:right="46"/>
              <w:jc w:val="right"/>
              <w:rPr>
                <w:b/>
                <w:sz w:val="12"/>
              </w:rPr>
            </w:pPr>
            <w:r>
              <w:rPr>
                <w:b/>
                <w:w w:val="105"/>
                <w:sz w:val="12"/>
              </w:rPr>
              <w:t>2.667</w:t>
            </w:r>
          </w:p>
        </w:tc>
        <w:tc>
          <w:tcPr>
            <w:tcW w:w="965" w:type="dxa"/>
            <w:tcBorders>
              <w:left w:val="single" w:sz="4" w:space="0" w:color="000000"/>
            </w:tcBorders>
          </w:tcPr>
          <w:p>
            <w:pPr>
              <w:pStyle w:val="TableParagraph"/>
              <w:spacing w:before="7"/>
              <w:ind w:right="55"/>
              <w:jc w:val="right"/>
              <w:rPr>
                <w:b/>
                <w:sz w:val="12"/>
              </w:rPr>
            </w:pPr>
            <w:r>
              <w:rPr>
                <w:b/>
                <w:w w:val="105"/>
                <w:sz w:val="12"/>
              </w:rPr>
              <w:t>3.264</w:t>
            </w:r>
          </w:p>
        </w:tc>
        <w:tc>
          <w:tcPr>
            <w:tcW w:w="963" w:type="dxa"/>
          </w:tcPr>
          <w:p>
            <w:pPr>
              <w:pStyle w:val="TableParagraph"/>
              <w:spacing w:before="7"/>
              <w:ind w:right="59"/>
              <w:jc w:val="right"/>
              <w:rPr>
                <w:b/>
                <w:sz w:val="12"/>
              </w:rPr>
            </w:pPr>
            <w:r>
              <w:rPr>
                <w:b/>
                <w:w w:val="105"/>
                <w:sz w:val="12"/>
              </w:rPr>
              <w:t>5.477</w:t>
            </w:r>
          </w:p>
        </w:tc>
        <w:tc>
          <w:tcPr>
            <w:tcW w:w="664" w:type="dxa"/>
          </w:tcPr>
          <w:p>
            <w:pPr>
              <w:pStyle w:val="TableParagraph"/>
              <w:spacing w:before="7"/>
              <w:ind w:right="80"/>
              <w:jc w:val="right"/>
              <w:rPr>
                <w:b/>
                <w:sz w:val="12"/>
              </w:rPr>
            </w:pPr>
            <w:r>
              <w:rPr>
                <w:b/>
                <w:w w:val="105"/>
                <w:sz w:val="12"/>
              </w:rPr>
              <w:t>2.213</w:t>
            </w:r>
          </w:p>
        </w:tc>
        <w:tc>
          <w:tcPr>
            <w:tcW w:w="591" w:type="dxa"/>
            <w:tcBorders>
              <w:right w:val="single" w:sz="4" w:space="0" w:color="000000"/>
            </w:tcBorders>
          </w:tcPr>
          <w:p>
            <w:pPr>
              <w:pStyle w:val="TableParagraph"/>
              <w:spacing w:before="7"/>
              <w:ind w:right="45"/>
              <w:jc w:val="right"/>
              <w:rPr>
                <w:b/>
                <w:sz w:val="12"/>
              </w:rPr>
            </w:pPr>
            <w:r>
              <w:rPr>
                <w:b/>
                <w:w w:val="105"/>
                <w:sz w:val="12"/>
              </w:rPr>
              <w:t>67,8%</w:t>
            </w:r>
          </w:p>
        </w:tc>
      </w:tr>
      <w:tr>
        <w:trPr>
          <w:trHeight w:val="199" w:hRule="atLeast"/>
        </w:trPr>
        <w:tc>
          <w:tcPr>
            <w:tcW w:w="1848" w:type="dxa"/>
            <w:tcBorders>
              <w:left w:val="single" w:sz="4" w:space="0" w:color="000000"/>
              <w:right w:val="single" w:sz="4" w:space="0" w:color="000000"/>
            </w:tcBorders>
          </w:tcPr>
          <w:p>
            <w:pPr>
              <w:pStyle w:val="TableParagraph"/>
              <w:spacing w:before="10"/>
              <w:ind w:left="57"/>
              <w:rPr>
                <w:b/>
                <w:sz w:val="12"/>
              </w:rPr>
            </w:pPr>
            <w:r>
              <w:rPr>
                <w:b/>
                <w:w w:val="105"/>
                <w:sz w:val="12"/>
              </w:rPr>
              <w:t>Atención Primaria islas NO capit.</w:t>
            </w:r>
          </w:p>
        </w:tc>
        <w:tc>
          <w:tcPr>
            <w:tcW w:w="600" w:type="dxa"/>
            <w:tcBorders>
              <w:left w:val="single" w:sz="4" w:space="0" w:color="000000"/>
            </w:tcBorders>
          </w:tcPr>
          <w:p>
            <w:pPr>
              <w:pStyle w:val="TableParagraph"/>
              <w:spacing w:before="10"/>
              <w:ind w:right="63"/>
              <w:jc w:val="right"/>
              <w:rPr>
                <w:b/>
                <w:sz w:val="12"/>
              </w:rPr>
            </w:pPr>
            <w:r>
              <w:rPr>
                <w:b/>
                <w:w w:val="105"/>
                <w:sz w:val="12"/>
              </w:rPr>
              <w:t>790</w:t>
            </w:r>
          </w:p>
        </w:tc>
        <w:tc>
          <w:tcPr>
            <w:tcW w:w="765" w:type="dxa"/>
          </w:tcPr>
          <w:p>
            <w:pPr>
              <w:pStyle w:val="TableParagraph"/>
              <w:spacing w:before="10"/>
              <w:ind w:right="52"/>
              <w:jc w:val="right"/>
              <w:rPr>
                <w:b/>
                <w:sz w:val="12"/>
              </w:rPr>
            </w:pPr>
            <w:r>
              <w:rPr>
                <w:b/>
                <w:w w:val="105"/>
                <w:sz w:val="12"/>
              </w:rPr>
              <w:t>16</w:t>
            </w:r>
          </w:p>
        </w:tc>
        <w:tc>
          <w:tcPr>
            <w:tcW w:w="783" w:type="dxa"/>
            <w:tcBorders>
              <w:right w:val="single" w:sz="4" w:space="0" w:color="000000"/>
            </w:tcBorders>
          </w:tcPr>
          <w:p>
            <w:pPr>
              <w:pStyle w:val="TableParagraph"/>
              <w:spacing w:before="10"/>
              <w:ind w:right="46"/>
              <w:jc w:val="right"/>
              <w:rPr>
                <w:b/>
                <w:sz w:val="12"/>
              </w:rPr>
            </w:pPr>
            <w:r>
              <w:rPr>
                <w:b/>
                <w:w w:val="105"/>
                <w:sz w:val="12"/>
              </w:rPr>
              <w:t>774</w:t>
            </w:r>
          </w:p>
        </w:tc>
        <w:tc>
          <w:tcPr>
            <w:tcW w:w="965" w:type="dxa"/>
            <w:tcBorders>
              <w:left w:val="single" w:sz="4" w:space="0" w:color="000000"/>
            </w:tcBorders>
          </w:tcPr>
          <w:p>
            <w:pPr>
              <w:pStyle w:val="TableParagraph"/>
              <w:spacing w:before="10"/>
              <w:ind w:right="55"/>
              <w:jc w:val="right"/>
              <w:rPr>
                <w:b/>
                <w:sz w:val="12"/>
              </w:rPr>
            </w:pPr>
            <w:r>
              <w:rPr>
                <w:b/>
                <w:w w:val="105"/>
                <w:sz w:val="12"/>
              </w:rPr>
              <w:t>1.011</w:t>
            </w:r>
          </w:p>
        </w:tc>
        <w:tc>
          <w:tcPr>
            <w:tcW w:w="963" w:type="dxa"/>
          </w:tcPr>
          <w:p>
            <w:pPr>
              <w:pStyle w:val="TableParagraph"/>
              <w:spacing w:before="10"/>
              <w:ind w:right="59"/>
              <w:jc w:val="right"/>
              <w:rPr>
                <w:b/>
                <w:sz w:val="12"/>
              </w:rPr>
            </w:pPr>
            <w:r>
              <w:rPr>
                <w:b/>
                <w:w w:val="105"/>
                <w:sz w:val="12"/>
              </w:rPr>
              <w:t>1.720</w:t>
            </w:r>
          </w:p>
        </w:tc>
        <w:tc>
          <w:tcPr>
            <w:tcW w:w="664" w:type="dxa"/>
          </w:tcPr>
          <w:p>
            <w:pPr>
              <w:pStyle w:val="TableParagraph"/>
              <w:spacing w:before="10"/>
              <w:ind w:right="80"/>
              <w:jc w:val="right"/>
              <w:rPr>
                <w:b/>
                <w:sz w:val="12"/>
              </w:rPr>
            </w:pPr>
            <w:r>
              <w:rPr>
                <w:b/>
                <w:w w:val="105"/>
                <w:sz w:val="12"/>
              </w:rPr>
              <w:t>709</w:t>
            </w:r>
          </w:p>
        </w:tc>
        <w:tc>
          <w:tcPr>
            <w:tcW w:w="591" w:type="dxa"/>
            <w:tcBorders>
              <w:right w:val="single" w:sz="4" w:space="0" w:color="000000"/>
            </w:tcBorders>
          </w:tcPr>
          <w:p>
            <w:pPr>
              <w:pStyle w:val="TableParagraph"/>
              <w:spacing w:before="10"/>
              <w:ind w:right="45"/>
              <w:jc w:val="right"/>
              <w:rPr>
                <w:b/>
                <w:sz w:val="12"/>
              </w:rPr>
            </w:pPr>
            <w:r>
              <w:rPr>
                <w:b/>
                <w:w w:val="105"/>
                <w:sz w:val="12"/>
              </w:rPr>
              <w:t>70,1%</w:t>
            </w:r>
          </w:p>
        </w:tc>
      </w:tr>
      <w:tr>
        <w:trPr>
          <w:trHeight w:val="203" w:hRule="atLeast"/>
        </w:trPr>
        <w:tc>
          <w:tcPr>
            <w:tcW w:w="1848" w:type="dxa"/>
            <w:tcBorders>
              <w:left w:val="single" w:sz="4" w:space="0" w:color="000000"/>
              <w:right w:val="single" w:sz="4" w:space="0" w:color="000000"/>
            </w:tcBorders>
          </w:tcPr>
          <w:p>
            <w:pPr>
              <w:pStyle w:val="TableParagraph"/>
              <w:spacing w:before="24"/>
              <w:ind w:left="57"/>
              <w:rPr>
                <w:b/>
                <w:sz w:val="12"/>
              </w:rPr>
            </w:pPr>
            <w:r>
              <w:rPr>
                <w:b/>
                <w:w w:val="105"/>
                <w:sz w:val="12"/>
              </w:rPr>
              <w:t>Atención Primaria GC y TFE</w:t>
            </w:r>
          </w:p>
        </w:tc>
        <w:tc>
          <w:tcPr>
            <w:tcW w:w="600" w:type="dxa"/>
            <w:tcBorders>
              <w:left w:val="single" w:sz="4" w:space="0" w:color="000000"/>
            </w:tcBorders>
          </w:tcPr>
          <w:p>
            <w:pPr>
              <w:pStyle w:val="TableParagraph"/>
              <w:spacing w:before="24"/>
              <w:ind w:right="63"/>
              <w:jc w:val="right"/>
              <w:rPr>
                <w:b/>
                <w:sz w:val="12"/>
              </w:rPr>
            </w:pPr>
            <w:r>
              <w:rPr>
                <w:b/>
                <w:w w:val="105"/>
                <w:sz w:val="12"/>
              </w:rPr>
              <w:t>4.026</w:t>
            </w:r>
          </w:p>
        </w:tc>
        <w:tc>
          <w:tcPr>
            <w:tcW w:w="765" w:type="dxa"/>
          </w:tcPr>
          <w:p>
            <w:pPr>
              <w:pStyle w:val="TableParagraph"/>
              <w:spacing w:before="24"/>
              <w:ind w:right="52"/>
              <w:jc w:val="right"/>
              <w:rPr>
                <w:b/>
                <w:sz w:val="12"/>
              </w:rPr>
            </w:pPr>
            <w:r>
              <w:rPr>
                <w:b/>
                <w:w w:val="105"/>
                <w:sz w:val="12"/>
              </w:rPr>
              <w:t>71</w:t>
            </w:r>
          </w:p>
        </w:tc>
        <w:tc>
          <w:tcPr>
            <w:tcW w:w="783" w:type="dxa"/>
            <w:tcBorders>
              <w:right w:val="single" w:sz="4" w:space="0" w:color="000000"/>
            </w:tcBorders>
          </w:tcPr>
          <w:p>
            <w:pPr>
              <w:pStyle w:val="TableParagraph"/>
              <w:spacing w:before="24"/>
              <w:ind w:right="46"/>
              <w:jc w:val="right"/>
              <w:rPr>
                <w:b/>
                <w:sz w:val="12"/>
              </w:rPr>
            </w:pPr>
            <w:r>
              <w:rPr>
                <w:b/>
                <w:w w:val="105"/>
                <w:sz w:val="12"/>
              </w:rPr>
              <w:t>3.955</w:t>
            </w:r>
          </w:p>
        </w:tc>
        <w:tc>
          <w:tcPr>
            <w:tcW w:w="965" w:type="dxa"/>
            <w:tcBorders>
              <w:left w:val="single" w:sz="4" w:space="0" w:color="000000"/>
            </w:tcBorders>
          </w:tcPr>
          <w:p>
            <w:pPr>
              <w:pStyle w:val="TableParagraph"/>
              <w:spacing w:before="24"/>
              <w:ind w:right="55"/>
              <w:jc w:val="right"/>
              <w:rPr>
                <w:b/>
                <w:sz w:val="12"/>
              </w:rPr>
            </w:pPr>
            <w:r>
              <w:rPr>
                <w:b/>
                <w:w w:val="105"/>
                <w:sz w:val="12"/>
              </w:rPr>
              <w:t>4.632</w:t>
            </w:r>
          </w:p>
        </w:tc>
        <w:tc>
          <w:tcPr>
            <w:tcW w:w="963" w:type="dxa"/>
          </w:tcPr>
          <w:p>
            <w:pPr>
              <w:pStyle w:val="TableParagraph"/>
              <w:spacing w:before="24"/>
              <w:ind w:right="59"/>
              <w:jc w:val="right"/>
              <w:rPr>
                <w:b/>
                <w:sz w:val="12"/>
              </w:rPr>
            </w:pPr>
            <w:r>
              <w:rPr>
                <w:b/>
                <w:w w:val="105"/>
                <w:sz w:val="12"/>
              </w:rPr>
              <w:t>7.522</w:t>
            </w:r>
          </w:p>
        </w:tc>
        <w:tc>
          <w:tcPr>
            <w:tcW w:w="664" w:type="dxa"/>
          </w:tcPr>
          <w:p>
            <w:pPr>
              <w:pStyle w:val="TableParagraph"/>
              <w:spacing w:before="24"/>
              <w:ind w:right="80"/>
              <w:jc w:val="right"/>
              <w:rPr>
                <w:b/>
                <w:sz w:val="12"/>
              </w:rPr>
            </w:pPr>
            <w:r>
              <w:rPr>
                <w:b/>
                <w:w w:val="105"/>
                <w:sz w:val="12"/>
              </w:rPr>
              <w:t>2.890</w:t>
            </w:r>
          </w:p>
        </w:tc>
        <w:tc>
          <w:tcPr>
            <w:tcW w:w="591" w:type="dxa"/>
            <w:tcBorders>
              <w:right w:val="single" w:sz="4" w:space="0" w:color="000000"/>
            </w:tcBorders>
          </w:tcPr>
          <w:p>
            <w:pPr>
              <w:pStyle w:val="TableParagraph"/>
              <w:spacing w:before="24"/>
              <w:ind w:right="45"/>
              <w:jc w:val="right"/>
              <w:rPr>
                <w:b/>
                <w:sz w:val="12"/>
              </w:rPr>
            </w:pPr>
            <w:r>
              <w:rPr>
                <w:b/>
                <w:w w:val="105"/>
                <w:sz w:val="12"/>
              </w:rPr>
              <w:t>62,4%</w:t>
            </w:r>
          </w:p>
        </w:tc>
      </w:tr>
      <w:tr>
        <w:trPr>
          <w:trHeight w:val="281" w:hRule="atLeast"/>
        </w:trPr>
        <w:tc>
          <w:tcPr>
            <w:tcW w:w="1848" w:type="dxa"/>
            <w:tcBorders>
              <w:left w:val="single" w:sz="4" w:space="0" w:color="000000"/>
              <w:right w:val="single" w:sz="4" w:space="0" w:color="000000"/>
            </w:tcBorders>
            <w:shd w:val="clear" w:color="auto" w:fill="F1F1F1"/>
          </w:tcPr>
          <w:p>
            <w:pPr>
              <w:pStyle w:val="TableParagraph"/>
              <w:spacing w:before="73"/>
              <w:ind w:left="57"/>
              <w:rPr>
                <w:sz w:val="12"/>
              </w:rPr>
            </w:pPr>
            <w:r>
              <w:rPr>
                <w:w w:val="105"/>
                <w:sz w:val="12"/>
              </w:rPr>
              <w:t>SCS - Dirección</w:t>
            </w:r>
          </w:p>
        </w:tc>
        <w:tc>
          <w:tcPr>
            <w:tcW w:w="600" w:type="dxa"/>
            <w:tcBorders>
              <w:left w:val="single" w:sz="4" w:space="0" w:color="000000"/>
            </w:tcBorders>
            <w:shd w:val="clear" w:color="auto" w:fill="F1F1F1"/>
          </w:tcPr>
          <w:p>
            <w:pPr>
              <w:pStyle w:val="TableParagraph"/>
              <w:spacing w:before="73"/>
              <w:ind w:right="63"/>
              <w:jc w:val="right"/>
              <w:rPr>
                <w:sz w:val="12"/>
              </w:rPr>
            </w:pPr>
            <w:r>
              <w:rPr>
                <w:w w:val="105"/>
                <w:sz w:val="12"/>
              </w:rPr>
              <w:t>58</w:t>
            </w:r>
          </w:p>
        </w:tc>
        <w:tc>
          <w:tcPr>
            <w:tcW w:w="765" w:type="dxa"/>
            <w:shd w:val="clear" w:color="auto" w:fill="F1F1F1"/>
          </w:tcPr>
          <w:p>
            <w:pPr>
              <w:pStyle w:val="TableParagraph"/>
              <w:spacing w:before="73"/>
              <w:ind w:right="52"/>
              <w:jc w:val="right"/>
              <w:rPr>
                <w:sz w:val="12"/>
              </w:rPr>
            </w:pPr>
            <w:r>
              <w:rPr>
                <w:w w:val="105"/>
                <w:sz w:val="12"/>
              </w:rPr>
              <w:t>19</w:t>
            </w:r>
          </w:p>
        </w:tc>
        <w:tc>
          <w:tcPr>
            <w:tcW w:w="783" w:type="dxa"/>
            <w:tcBorders>
              <w:right w:val="single" w:sz="4" w:space="0" w:color="000000"/>
            </w:tcBorders>
            <w:shd w:val="clear" w:color="auto" w:fill="F1F1F1"/>
          </w:tcPr>
          <w:p>
            <w:pPr>
              <w:pStyle w:val="TableParagraph"/>
              <w:spacing w:before="73"/>
              <w:ind w:right="46"/>
              <w:jc w:val="right"/>
              <w:rPr>
                <w:sz w:val="12"/>
              </w:rPr>
            </w:pPr>
            <w:r>
              <w:rPr>
                <w:w w:val="105"/>
                <w:sz w:val="12"/>
              </w:rPr>
              <w:t>39</w:t>
            </w:r>
          </w:p>
        </w:tc>
        <w:tc>
          <w:tcPr>
            <w:tcW w:w="965" w:type="dxa"/>
            <w:tcBorders>
              <w:left w:val="single" w:sz="4" w:space="0" w:color="000000"/>
            </w:tcBorders>
            <w:shd w:val="clear" w:color="auto" w:fill="F1F1F1"/>
          </w:tcPr>
          <w:p>
            <w:pPr>
              <w:pStyle w:val="TableParagraph"/>
              <w:spacing w:before="73"/>
              <w:ind w:right="54"/>
              <w:jc w:val="right"/>
              <w:rPr>
                <w:sz w:val="12"/>
              </w:rPr>
            </w:pPr>
            <w:r>
              <w:rPr>
                <w:w w:val="105"/>
                <w:sz w:val="12"/>
              </w:rPr>
              <w:t>Nd</w:t>
            </w:r>
          </w:p>
        </w:tc>
        <w:tc>
          <w:tcPr>
            <w:tcW w:w="963" w:type="dxa"/>
            <w:shd w:val="clear" w:color="auto" w:fill="F1F1F1"/>
          </w:tcPr>
          <w:p>
            <w:pPr>
              <w:pStyle w:val="TableParagraph"/>
              <w:spacing w:before="73"/>
              <w:ind w:right="58"/>
              <w:jc w:val="right"/>
              <w:rPr>
                <w:sz w:val="12"/>
              </w:rPr>
            </w:pPr>
            <w:r>
              <w:rPr>
                <w:w w:val="105"/>
                <w:sz w:val="12"/>
              </w:rPr>
              <w:t>Nd</w:t>
            </w:r>
          </w:p>
        </w:tc>
        <w:tc>
          <w:tcPr>
            <w:tcW w:w="664" w:type="dxa"/>
            <w:shd w:val="clear" w:color="auto" w:fill="F1F1F1"/>
          </w:tcPr>
          <w:p>
            <w:pPr>
              <w:pStyle w:val="TableParagraph"/>
              <w:spacing w:before="73"/>
              <w:ind w:right="81"/>
              <w:jc w:val="right"/>
              <w:rPr>
                <w:sz w:val="12"/>
              </w:rPr>
            </w:pPr>
            <w:r>
              <w:rPr>
                <w:w w:val="105"/>
                <w:sz w:val="12"/>
              </w:rPr>
              <w:t>-</w:t>
            </w:r>
          </w:p>
        </w:tc>
        <w:tc>
          <w:tcPr>
            <w:tcW w:w="591" w:type="dxa"/>
            <w:tcBorders>
              <w:right w:val="single" w:sz="4" w:space="0" w:color="000000"/>
            </w:tcBorders>
            <w:shd w:val="clear" w:color="auto" w:fill="F1F1F1"/>
          </w:tcPr>
          <w:p>
            <w:pPr>
              <w:pStyle w:val="TableParagraph"/>
              <w:spacing w:before="73"/>
              <w:ind w:right="46"/>
              <w:jc w:val="right"/>
              <w:rPr>
                <w:sz w:val="12"/>
              </w:rPr>
            </w:pPr>
            <w:r>
              <w:rPr>
                <w:w w:val="105"/>
                <w:sz w:val="12"/>
              </w:rPr>
              <w:t>-</w:t>
            </w:r>
          </w:p>
        </w:tc>
      </w:tr>
      <w:tr>
        <w:trPr>
          <w:trHeight w:val="232" w:hRule="atLeast"/>
        </w:trPr>
        <w:tc>
          <w:tcPr>
            <w:tcW w:w="1848" w:type="dxa"/>
            <w:tcBorders>
              <w:left w:val="single" w:sz="4" w:space="0" w:color="000000"/>
              <w:right w:val="single" w:sz="4" w:space="0" w:color="000000"/>
            </w:tcBorders>
            <w:shd w:val="clear" w:color="auto" w:fill="F1F1F1"/>
          </w:tcPr>
          <w:p>
            <w:pPr>
              <w:pStyle w:val="TableParagraph"/>
              <w:spacing w:before="43"/>
              <w:ind w:left="57"/>
              <w:rPr>
                <w:sz w:val="12"/>
              </w:rPr>
            </w:pPr>
            <w:r>
              <w:rPr>
                <w:w w:val="105"/>
                <w:sz w:val="12"/>
              </w:rPr>
              <w:t>SCS - Secretaría</w:t>
            </w:r>
          </w:p>
        </w:tc>
        <w:tc>
          <w:tcPr>
            <w:tcW w:w="600" w:type="dxa"/>
            <w:tcBorders>
              <w:left w:val="single" w:sz="4" w:space="0" w:color="000000"/>
            </w:tcBorders>
            <w:shd w:val="clear" w:color="auto" w:fill="F1F1F1"/>
          </w:tcPr>
          <w:p>
            <w:pPr>
              <w:pStyle w:val="TableParagraph"/>
              <w:spacing w:before="43"/>
              <w:ind w:right="63"/>
              <w:jc w:val="right"/>
              <w:rPr>
                <w:sz w:val="12"/>
              </w:rPr>
            </w:pPr>
            <w:r>
              <w:rPr>
                <w:w w:val="105"/>
                <w:sz w:val="12"/>
              </w:rPr>
              <w:t>130</w:t>
            </w:r>
          </w:p>
        </w:tc>
        <w:tc>
          <w:tcPr>
            <w:tcW w:w="765" w:type="dxa"/>
            <w:shd w:val="clear" w:color="auto" w:fill="F1F1F1"/>
          </w:tcPr>
          <w:p>
            <w:pPr>
              <w:pStyle w:val="TableParagraph"/>
              <w:spacing w:before="43"/>
              <w:ind w:right="52"/>
              <w:jc w:val="right"/>
              <w:rPr>
                <w:sz w:val="12"/>
              </w:rPr>
            </w:pPr>
            <w:r>
              <w:rPr>
                <w:w w:val="105"/>
                <w:sz w:val="12"/>
              </w:rPr>
              <w:t>36</w:t>
            </w:r>
          </w:p>
        </w:tc>
        <w:tc>
          <w:tcPr>
            <w:tcW w:w="783" w:type="dxa"/>
            <w:tcBorders>
              <w:right w:val="single" w:sz="4" w:space="0" w:color="000000"/>
            </w:tcBorders>
            <w:shd w:val="clear" w:color="auto" w:fill="F1F1F1"/>
          </w:tcPr>
          <w:p>
            <w:pPr>
              <w:pStyle w:val="TableParagraph"/>
              <w:spacing w:before="43"/>
              <w:ind w:right="46"/>
              <w:jc w:val="right"/>
              <w:rPr>
                <w:sz w:val="12"/>
              </w:rPr>
            </w:pPr>
            <w:r>
              <w:rPr>
                <w:w w:val="105"/>
                <w:sz w:val="12"/>
              </w:rPr>
              <w:t>94</w:t>
            </w:r>
          </w:p>
        </w:tc>
        <w:tc>
          <w:tcPr>
            <w:tcW w:w="965" w:type="dxa"/>
            <w:tcBorders>
              <w:left w:val="single" w:sz="4" w:space="0" w:color="000000"/>
            </w:tcBorders>
            <w:shd w:val="clear" w:color="auto" w:fill="F1F1F1"/>
          </w:tcPr>
          <w:p>
            <w:pPr>
              <w:pStyle w:val="TableParagraph"/>
              <w:spacing w:before="43"/>
              <w:ind w:right="54"/>
              <w:jc w:val="right"/>
              <w:rPr>
                <w:sz w:val="12"/>
              </w:rPr>
            </w:pPr>
            <w:r>
              <w:rPr>
                <w:w w:val="105"/>
                <w:sz w:val="12"/>
              </w:rPr>
              <w:t>Nd</w:t>
            </w:r>
          </w:p>
        </w:tc>
        <w:tc>
          <w:tcPr>
            <w:tcW w:w="963" w:type="dxa"/>
            <w:shd w:val="clear" w:color="auto" w:fill="F1F1F1"/>
          </w:tcPr>
          <w:p>
            <w:pPr>
              <w:pStyle w:val="TableParagraph"/>
              <w:spacing w:before="43"/>
              <w:ind w:right="58"/>
              <w:jc w:val="right"/>
              <w:rPr>
                <w:sz w:val="12"/>
              </w:rPr>
            </w:pPr>
            <w:r>
              <w:rPr>
                <w:w w:val="105"/>
                <w:sz w:val="12"/>
              </w:rPr>
              <w:t>Nd</w:t>
            </w:r>
          </w:p>
        </w:tc>
        <w:tc>
          <w:tcPr>
            <w:tcW w:w="664" w:type="dxa"/>
            <w:shd w:val="clear" w:color="auto" w:fill="F1F1F1"/>
          </w:tcPr>
          <w:p>
            <w:pPr>
              <w:pStyle w:val="TableParagraph"/>
              <w:spacing w:before="43"/>
              <w:ind w:right="81"/>
              <w:jc w:val="right"/>
              <w:rPr>
                <w:sz w:val="12"/>
              </w:rPr>
            </w:pPr>
            <w:r>
              <w:rPr>
                <w:w w:val="105"/>
                <w:sz w:val="12"/>
              </w:rPr>
              <w:t>-</w:t>
            </w:r>
          </w:p>
        </w:tc>
        <w:tc>
          <w:tcPr>
            <w:tcW w:w="591" w:type="dxa"/>
            <w:tcBorders>
              <w:right w:val="single" w:sz="4" w:space="0" w:color="000000"/>
            </w:tcBorders>
            <w:shd w:val="clear" w:color="auto" w:fill="F1F1F1"/>
          </w:tcPr>
          <w:p>
            <w:pPr>
              <w:pStyle w:val="TableParagraph"/>
              <w:spacing w:before="43"/>
              <w:ind w:right="46"/>
              <w:jc w:val="right"/>
              <w:rPr>
                <w:sz w:val="12"/>
              </w:rPr>
            </w:pPr>
            <w:r>
              <w:rPr>
                <w:w w:val="105"/>
                <w:sz w:val="12"/>
              </w:rPr>
              <w:t>-</w:t>
            </w:r>
          </w:p>
        </w:tc>
      </w:tr>
      <w:tr>
        <w:trPr>
          <w:trHeight w:val="213" w:hRule="atLeast"/>
        </w:trPr>
        <w:tc>
          <w:tcPr>
            <w:tcW w:w="1848" w:type="dxa"/>
            <w:tcBorders>
              <w:left w:val="single" w:sz="4" w:space="0" w:color="000000"/>
              <w:right w:val="single" w:sz="4" w:space="0" w:color="000000"/>
            </w:tcBorders>
            <w:shd w:val="clear" w:color="auto" w:fill="F1F1F1"/>
          </w:tcPr>
          <w:p>
            <w:pPr>
              <w:pStyle w:val="TableParagraph"/>
              <w:spacing w:before="24"/>
              <w:ind w:left="57"/>
              <w:rPr>
                <w:sz w:val="12"/>
              </w:rPr>
            </w:pPr>
            <w:r>
              <w:rPr>
                <w:w w:val="105"/>
                <w:sz w:val="12"/>
              </w:rPr>
              <w:t>SCS – Salud pública - Drogodep.</w:t>
            </w:r>
          </w:p>
        </w:tc>
        <w:tc>
          <w:tcPr>
            <w:tcW w:w="600" w:type="dxa"/>
            <w:tcBorders>
              <w:left w:val="single" w:sz="4" w:space="0" w:color="000000"/>
            </w:tcBorders>
            <w:shd w:val="clear" w:color="auto" w:fill="F1F1F1"/>
          </w:tcPr>
          <w:p>
            <w:pPr>
              <w:pStyle w:val="TableParagraph"/>
              <w:spacing w:before="24"/>
              <w:ind w:right="63"/>
              <w:jc w:val="right"/>
              <w:rPr>
                <w:sz w:val="12"/>
              </w:rPr>
            </w:pPr>
            <w:r>
              <w:rPr>
                <w:w w:val="105"/>
                <w:sz w:val="12"/>
              </w:rPr>
              <w:t>150</w:t>
            </w:r>
          </w:p>
        </w:tc>
        <w:tc>
          <w:tcPr>
            <w:tcW w:w="765" w:type="dxa"/>
            <w:shd w:val="clear" w:color="auto" w:fill="F1F1F1"/>
          </w:tcPr>
          <w:p>
            <w:pPr>
              <w:pStyle w:val="TableParagraph"/>
              <w:spacing w:before="24"/>
              <w:ind w:right="52"/>
              <w:jc w:val="right"/>
              <w:rPr>
                <w:sz w:val="12"/>
              </w:rPr>
            </w:pPr>
            <w:r>
              <w:rPr>
                <w:w w:val="105"/>
                <w:sz w:val="12"/>
              </w:rPr>
              <w:t>49</w:t>
            </w:r>
          </w:p>
        </w:tc>
        <w:tc>
          <w:tcPr>
            <w:tcW w:w="783" w:type="dxa"/>
            <w:tcBorders>
              <w:right w:val="single" w:sz="4" w:space="0" w:color="000000"/>
            </w:tcBorders>
            <w:shd w:val="clear" w:color="auto" w:fill="F1F1F1"/>
          </w:tcPr>
          <w:p>
            <w:pPr>
              <w:pStyle w:val="TableParagraph"/>
              <w:spacing w:before="24"/>
              <w:ind w:right="46"/>
              <w:jc w:val="right"/>
              <w:rPr>
                <w:sz w:val="12"/>
              </w:rPr>
            </w:pPr>
            <w:r>
              <w:rPr>
                <w:w w:val="105"/>
                <w:sz w:val="12"/>
              </w:rPr>
              <w:t>101</w:t>
            </w:r>
          </w:p>
        </w:tc>
        <w:tc>
          <w:tcPr>
            <w:tcW w:w="965" w:type="dxa"/>
            <w:tcBorders>
              <w:left w:val="single" w:sz="4" w:space="0" w:color="000000"/>
            </w:tcBorders>
            <w:shd w:val="clear" w:color="auto" w:fill="F1F1F1"/>
          </w:tcPr>
          <w:p>
            <w:pPr>
              <w:pStyle w:val="TableParagraph"/>
              <w:spacing w:before="24"/>
              <w:ind w:right="54"/>
              <w:jc w:val="right"/>
              <w:rPr>
                <w:sz w:val="12"/>
              </w:rPr>
            </w:pPr>
            <w:r>
              <w:rPr>
                <w:w w:val="105"/>
                <w:sz w:val="12"/>
              </w:rPr>
              <w:t>Nd</w:t>
            </w:r>
          </w:p>
        </w:tc>
        <w:tc>
          <w:tcPr>
            <w:tcW w:w="963" w:type="dxa"/>
            <w:shd w:val="clear" w:color="auto" w:fill="F1F1F1"/>
          </w:tcPr>
          <w:p>
            <w:pPr>
              <w:pStyle w:val="TableParagraph"/>
              <w:spacing w:before="24"/>
              <w:ind w:right="58"/>
              <w:jc w:val="right"/>
              <w:rPr>
                <w:sz w:val="12"/>
              </w:rPr>
            </w:pPr>
            <w:r>
              <w:rPr>
                <w:w w:val="105"/>
                <w:sz w:val="12"/>
              </w:rPr>
              <w:t>Nd</w:t>
            </w:r>
          </w:p>
        </w:tc>
        <w:tc>
          <w:tcPr>
            <w:tcW w:w="664" w:type="dxa"/>
            <w:shd w:val="clear" w:color="auto" w:fill="F1F1F1"/>
          </w:tcPr>
          <w:p>
            <w:pPr>
              <w:pStyle w:val="TableParagraph"/>
              <w:spacing w:before="24"/>
              <w:ind w:right="81"/>
              <w:jc w:val="right"/>
              <w:rPr>
                <w:sz w:val="12"/>
              </w:rPr>
            </w:pPr>
            <w:r>
              <w:rPr>
                <w:w w:val="105"/>
                <w:sz w:val="12"/>
              </w:rPr>
              <w:t>-</w:t>
            </w:r>
          </w:p>
        </w:tc>
        <w:tc>
          <w:tcPr>
            <w:tcW w:w="591" w:type="dxa"/>
            <w:tcBorders>
              <w:right w:val="single" w:sz="4" w:space="0" w:color="000000"/>
            </w:tcBorders>
            <w:shd w:val="clear" w:color="auto" w:fill="F1F1F1"/>
          </w:tcPr>
          <w:p>
            <w:pPr>
              <w:pStyle w:val="TableParagraph"/>
              <w:spacing w:before="24"/>
              <w:ind w:right="46"/>
              <w:jc w:val="right"/>
              <w:rPr>
                <w:sz w:val="12"/>
              </w:rPr>
            </w:pPr>
            <w:r>
              <w:rPr>
                <w:w w:val="105"/>
                <w:sz w:val="12"/>
              </w:rPr>
              <w:t>-</w:t>
            </w:r>
          </w:p>
        </w:tc>
      </w:tr>
      <w:tr>
        <w:trPr>
          <w:trHeight w:val="213" w:hRule="atLeast"/>
        </w:trPr>
        <w:tc>
          <w:tcPr>
            <w:tcW w:w="1848" w:type="dxa"/>
            <w:tcBorders>
              <w:left w:val="single" w:sz="4" w:space="0" w:color="000000"/>
              <w:right w:val="single" w:sz="4" w:space="0" w:color="000000"/>
            </w:tcBorders>
            <w:shd w:val="clear" w:color="auto" w:fill="F1F1F1"/>
          </w:tcPr>
          <w:p>
            <w:pPr>
              <w:pStyle w:val="TableParagraph"/>
              <w:spacing w:before="24"/>
              <w:ind w:left="57"/>
              <w:rPr>
                <w:sz w:val="12"/>
              </w:rPr>
            </w:pPr>
            <w:r>
              <w:rPr>
                <w:w w:val="105"/>
                <w:sz w:val="12"/>
              </w:rPr>
              <w:t>SCS - DG Programas Asistenciales</w:t>
            </w:r>
          </w:p>
        </w:tc>
        <w:tc>
          <w:tcPr>
            <w:tcW w:w="600" w:type="dxa"/>
            <w:tcBorders>
              <w:left w:val="single" w:sz="4" w:space="0" w:color="000000"/>
            </w:tcBorders>
            <w:shd w:val="clear" w:color="auto" w:fill="F1F1F1"/>
          </w:tcPr>
          <w:p>
            <w:pPr>
              <w:pStyle w:val="TableParagraph"/>
              <w:spacing w:before="24"/>
              <w:ind w:right="63"/>
              <w:jc w:val="right"/>
              <w:rPr>
                <w:sz w:val="12"/>
              </w:rPr>
            </w:pPr>
            <w:r>
              <w:rPr>
                <w:w w:val="105"/>
                <w:sz w:val="12"/>
              </w:rPr>
              <w:t>72</w:t>
            </w:r>
          </w:p>
        </w:tc>
        <w:tc>
          <w:tcPr>
            <w:tcW w:w="765" w:type="dxa"/>
            <w:shd w:val="clear" w:color="auto" w:fill="F1F1F1"/>
          </w:tcPr>
          <w:p>
            <w:pPr>
              <w:pStyle w:val="TableParagraph"/>
              <w:spacing w:before="24"/>
              <w:ind w:right="52"/>
              <w:jc w:val="right"/>
              <w:rPr>
                <w:sz w:val="12"/>
              </w:rPr>
            </w:pPr>
            <w:r>
              <w:rPr>
                <w:w w:val="105"/>
                <w:sz w:val="12"/>
              </w:rPr>
              <w:t>35</w:t>
            </w:r>
          </w:p>
        </w:tc>
        <w:tc>
          <w:tcPr>
            <w:tcW w:w="783" w:type="dxa"/>
            <w:tcBorders>
              <w:right w:val="single" w:sz="4" w:space="0" w:color="000000"/>
            </w:tcBorders>
            <w:shd w:val="clear" w:color="auto" w:fill="F1F1F1"/>
          </w:tcPr>
          <w:p>
            <w:pPr>
              <w:pStyle w:val="TableParagraph"/>
              <w:spacing w:before="24"/>
              <w:ind w:right="46"/>
              <w:jc w:val="right"/>
              <w:rPr>
                <w:sz w:val="12"/>
              </w:rPr>
            </w:pPr>
            <w:r>
              <w:rPr>
                <w:w w:val="105"/>
                <w:sz w:val="12"/>
              </w:rPr>
              <w:t>37</w:t>
            </w:r>
          </w:p>
        </w:tc>
        <w:tc>
          <w:tcPr>
            <w:tcW w:w="965" w:type="dxa"/>
            <w:tcBorders>
              <w:left w:val="single" w:sz="4" w:space="0" w:color="000000"/>
            </w:tcBorders>
            <w:shd w:val="clear" w:color="auto" w:fill="F1F1F1"/>
          </w:tcPr>
          <w:p>
            <w:pPr>
              <w:pStyle w:val="TableParagraph"/>
              <w:spacing w:before="24"/>
              <w:ind w:right="54"/>
              <w:jc w:val="right"/>
              <w:rPr>
                <w:sz w:val="12"/>
              </w:rPr>
            </w:pPr>
            <w:r>
              <w:rPr>
                <w:w w:val="105"/>
                <w:sz w:val="12"/>
              </w:rPr>
              <w:t>Nd</w:t>
            </w:r>
          </w:p>
        </w:tc>
        <w:tc>
          <w:tcPr>
            <w:tcW w:w="963" w:type="dxa"/>
            <w:shd w:val="clear" w:color="auto" w:fill="F1F1F1"/>
          </w:tcPr>
          <w:p>
            <w:pPr>
              <w:pStyle w:val="TableParagraph"/>
              <w:spacing w:before="24"/>
              <w:ind w:right="58"/>
              <w:jc w:val="right"/>
              <w:rPr>
                <w:sz w:val="12"/>
              </w:rPr>
            </w:pPr>
            <w:r>
              <w:rPr>
                <w:w w:val="105"/>
                <w:sz w:val="12"/>
              </w:rPr>
              <w:t>Nd</w:t>
            </w:r>
          </w:p>
        </w:tc>
        <w:tc>
          <w:tcPr>
            <w:tcW w:w="664" w:type="dxa"/>
            <w:shd w:val="clear" w:color="auto" w:fill="F1F1F1"/>
          </w:tcPr>
          <w:p>
            <w:pPr>
              <w:pStyle w:val="TableParagraph"/>
              <w:spacing w:before="24"/>
              <w:ind w:right="81"/>
              <w:jc w:val="right"/>
              <w:rPr>
                <w:sz w:val="12"/>
              </w:rPr>
            </w:pPr>
            <w:r>
              <w:rPr>
                <w:w w:val="105"/>
                <w:sz w:val="12"/>
              </w:rPr>
              <w:t>-</w:t>
            </w:r>
          </w:p>
        </w:tc>
        <w:tc>
          <w:tcPr>
            <w:tcW w:w="591" w:type="dxa"/>
            <w:tcBorders>
              <w:right w:val="single" w:sz="4" w:space="0" w:color="000000"/>
            </w:tcBorders>
            <w:shd w:val="clear" w:color="auto" w:fill="F1F1F1"/>
          </w:tcPr>
          <w:p>
            <w:pPr>
              <w:pStyle w:val="TableParagraph"/>
              <w:spacing w:before="24"/>
              <w:ind w:right="46"/>
              <w:jc w:val="right"/>
              <w:rPr>
                <w:sz w:val="12"/>
              </w:rPr>
            </w:pPr>
            <w:r>
              <w:rPr>
                <w:w w:val="105"/>
                <w:sz w:val="12"/>
              </w:rPr>
              <w:t>-</w:t>
            </w:r>
          </w:p>
        </w:tc>
      </w:tr>
      <w:tr>
        <w:trPr>
          <w:trHeight w:val="213" w:hRule="atLeast"/>
        </w:trPr>
        <w:tc>
          <w:tcPr>
            <w:tcW w:w="1848" w:type="dxa"/>
            <w:tcBorders>
              <w:left w:val="single" w:sz="4" w:space="0" w:color="000000"/>
              <w:right w:val="single" w:sz="4" w:space="0" w:color="000000"/>
            </w:tcBorders>
            <w:shd w:val="clear" w:color="auto" w:fill="F1F1F1"/>
          </w:tcPr>
          <w:p>
            <w:pPr>
              <w:pStyle w:val="TableParagraph"/>
              <w:spacing w:before="24"/>
              <w:ind w:left="57"/>
              <w:rPr>
                <w:sz w:val="12"/>
              </w:rPr>
            </w:pPr>
            <w:r>
              <w:rPr>
                <w:w w:val="105"/>
                <w:sz w:val="12"/>
              </w:rPr>
              <w:t>SCS - DG RREE</w:t>
            </w:r>
          </w:p>
        </w:tc>
        <w:tc>
          <w:tcPr>
            <w:tcW w:w="600" w:type="dxa"/>
            <w:tcBorders>
              <w:left w:val="single" w:sz="4" w:space="0" w:color="000000"/>
            </w:tcBorders>
            <w:shd w:val="clear" w:color="auto" w:fill="F1F1F1"/>
          </w:tcPr>
          <w:p>
            <w:pPr>
              <w:pStyle w:val="TableParagraph"/>
              <w:spacing w:before="24"/>
              <w:ind w:right="63"/>
              <w:jc w:val="right"/>
              <w:rPr>
                <w:sz w:val="12"/>
              </w:rPr>
            </w:pPr>
            <w:r>
              <w:rPr>
                <w:w w:val="105"/>
                <w:sz w:val="12"/>
              </w:rPr>
              <w:t>85</w:t>
            </w:r>
          </w:p>
        </w:tc>
        <w:tc>
          <w:tcPr>
            <w:tcW w:w="765" w:type="dxa"/>
            <w:shd w:val="clear" w:color="auto" w:fill="F1F1F1"/>
          </w:tcPr>
          <w:p>
            <w:pPr>
              <w:pStyle w:val="TableParagraph"/>
              <w:spacing w:before="24"/>
              <w:ind w:right="52"/>
              <w:jc w:val="right"/>
              <w:rPr>
                <w:sz w:val="12"/>
              </w:rPr>
            </w:pPr>
            <w:r>
              <w:rPr>
                <w:w w:val="105"/>
                <w:sz w:val="12"/>
              </w:rPr>
              <w:t>26</w:t>
            </w:r>
          </w:p>
        </w:tc>
        <w:tc>
          <w:tcPr>
            <w:tcW w:w="783" w:type="dxa"/>
            <w:tcBorders>
              <w:right w:val="single" w:sz="4" w:space="0" w:color="000000"/>
            </w:tcBorders>
            <w:shd w:val="clear" w:color="auto" w:fill="F1F1F1"/>
          </w:tcPr>
          <w:p>
            <w:pPr>
              <w:pStyle w:val="TableParagraph"/>
              <w:spacing w:before="24"/>
              <w:ind w:right="46"/>
              <w:jc w:val="right"/>
              <w:rPr>
                <w:sz w:val="12"/>
              </w:rPr>
            </w:pPr>
            <w:r>
              <w:rPr>
                <w:w w:val="105"/>
                <w:sz w:val="12"/>
              </w:rPr>
              <w:t>59</w:t>
            </w:r>
          </w:p>
        </w:tc>
        <w:tc>
          <w:tcPr>
            <w:tcW w:w="965" w:type="dxa"/>
            <w:tcBorders>
              <w:left w:val="single" w:sz="4" w:space="0" w:color="000000"/>
            </w:tcBorders>
            <w:shd w:val="clear" w:color="auto" w:fill="F1F1F1"/>
          </w:tcPr>
          <w:p>
            <w:pPr>
              <w:pStyle w:val="TableParagraph"/>
              <w:spacing w:before="24"/>
              <w:ind w:right="54"/>
              <w:jc w:val="right"/>
              <w:rPr>
                <w:sz w:val="12"/>
              </w:rPr>
            </w:pPr>
            <w:r>
              <w:rPr>
                <w:w w:val="105"/>
                <w:sz w:val="12"/>
              </w:rPr>
              <w:t>Nd</w:t>
            </w:r>
          </w:p>
        </w:tc>
        <w:tc>
          <w:tcPr>
            <w:tcW w:w="963" w:type="dxa"/>
            <w:shd w:val="clear" w:color="auto" w:fill="F1F1F1"/>
          </w:tcPr>
          <w:p>
            <w:pPr>
              <w:pStyle w:val="TableParagraph"/>
              <w:spacing w:before="24"/>
              <w:ind w:right="58"/>
              <w:jc w:val="right"/>
              <w:rPr>
                <w:sz w:val="12"/>
              </w:rPr>
            </w:pPr>
            <w:r>
              <w:rPr>
                <w:w w:val="105"/>
                <w:sz w:val="12"/>
              </w:rPr>
              <w:t>Nd</w:t>
            </w:r>
          </w:p>
        </w:tc>
        <w:tc>
          <w:tcPr>
            <w:tcW w:w="664" w:type="dxa"/>
            <w:shd w:val="clear" w:color="auto" w:fill="F1F1F1"/>
          </w:tcPr>
          <w:p>
            <w:pPr>
              <w:pStyle w:val="TableParagraph"/>
              <w:spacing w:before="24"/>
              <w:ind w:right="81"/>
              <w:jc w:val="right"/>
              <w:rPr>
                <w:sz w:val="12"/>
              </w:rPr>
            </w:pPr>
            <w:r>
              <w:rPr>
                <w:w w:val="105"/>
                <w:sz w:val="12"/>
              </w:rPr>
              <w:t>-</w:t>
            </w:r>
          </w:p>
        </w:tc>
        <w:tc>
          <w:tcPr>
            <w:tcW w:w="591" w:type="dxa"/>
            <w:tcBorders>
              <w:right w:val="single" w:sz="4" w:space="0" w:color="000000"/>
            </w:tcBorders>
            <w:shd w:val="clear" w:color="auto" w:fill="F1F1F1"/>
          </w:tcPr>
          <w:p>
            <w:pPr>
              <w:pStyle w:val="TableParagraph"/>
              <w:spacing w:before="24"/>
              <w:ind w:right="46"/>
              <w:jc w:val="right"/>
              <w:rPr>
                <w:sz w:val="12"/>
              </w:rPr>
            </w:pPr>
            <w:r>
              <w:rPr>
                <w:w w:val="105"/>
                <w:sz w:val="12"/>
              </w:rPr>
              <w:t>-</w:t>
            </w:r>
          </w:p>
        </w:tc>
      </w:tr>
      <w:tr>
        <w:trPr>
          <w:trHeight w:val="203" w:hRule="atLeast"/>
        </w:trPr>
        <w:tc>
          <w:tcPr>
            <w:tcW w:w="1848" w:type="dxa"/>
            <w:tcBorders>
              <w:left w:val="single" w:sz="4" w:space="0" w:color="000000"/>
              <w:right w:val="single" w:sz="4" w:space="0" w:color="000000"/>
            </w:tcBorders>
            <w:shd w:val="clear" w:color="auto" w:fill="F1F1F1"/>
          </w:tcPr>
          <w:p>
            <w:pPr>
              <w:pStyle w:val="TableParagraph"/>
              <w:spacing w:before="24"/>
              <w:ind w:left="57"/>
              <w:rPr>
                <w:sz w:val="12"/>
              </w:rPr>
            </w:pPr>
            <w:r>
              <w:rPr>
                <w:w w:val="105"/>
                <w:sz w:val="12"/>
              </w:rPr>
              <w:t>SCS - DG RRHH</w:t>
            </w:r>
          </w:p>
        </w:tc>
        <w:tc>
          <w:tcPr>
            <w:tcW w:w="600" w:type="dxa"/>
            <w:tcBorders>
              <w:left w:val="single" w:sz="4" w:space="0" w:color="000000"/>
            </w:tcBorders>
            <w:shd w:val="clear" w:color="auto" w:fill="F1F1F1"/>
          </w:tcPr>
          <w:p>
            <w:pPr>
              <w:pStyle w:val="TableParagraph"/>
              <w:spacing w:before="24"/>
              <w:ind w:right="63"/>
              <w:jc w:val="right"/>
              <w:rPr>
                <w:sz w:val="12"/>
              </w:rPr>
            </w:pPr>
            <w:r>
              <w:rPr>
                <w:w w:val="105"/>
                <w:sz w:val="12"/>
              </w:rPr>
              <w:t>83</w:t>
            </w:r>
          </w:p>
        </w:tc>
        <w:tc>
          <w:tcPr>
            <w:tcW w:w="765" w:type="dxa"/>
            <w:shd w:val="clear" w:color="auto" w:fill="F1F1F1"/>
          </w:tcPr>
          <w:p>
            <w:pPr>
              <w:pStyle w:val="TableParagraph"/>
              <w:spacing w:before="24"/>
              <w:ind w:right="52"/>
              <w:jc w:val="right"/>
              <w:rPr>
                <w:sz w:val="12"/>
              </w:rPr>
            </w:pPr>
            <w:r>
              <w:rPr>
                <w:w w:val="105"/>
                <w:sz w:val="12"/>
              </w:rPr>
              <w:t>28</w:t>
            </w:r>
          </w:p>
        </w:tc>
        <w:tc>
          <w:tcPr>
            <w:tcW w:w="783" w:type="dxa"/>
            <w:tcBorders>
              <w:right w:val="single" w:sz="4" w:space="0" w:color="000000"/>
            </w:tcBorders>
            <w:shd w:val="clear" w:color="auto" w:fill="F1F1F1"/>
          </w:tcPr>
          <w:p>
            <w:pPr>
              <w:pStyle w:val="TableParagraph"/>
              <w:spacing w:before="24"/>
              <w:ind w:right="46"/>
              <w:jc w:val="right"/>
              <w:rPr>
                <w:sz w:val="12"/>
              </w:rPr>
            </w:pPr>
            <w:r>
              <w:rPr>
                <w:w w:val="105"/>
                <w:sz w:val="12"/>
              </w:rPr>
              <w:t>55</w:t>
            </w:r>
          </w:p>
        </w:tc>
        <w:tc>
          <w:tcPr>
            <w:tcW w:w="965" w:type="dxa"/>
            <w:tcBorders>
              <w:left w:val="single" w:sz="4" w:space="0" w:color="000000"/>
            </w:tcBorders>
            <w:shd w:val="clear" w:color="auto" w:fill="F1F1F1"/>
          </w:tcPr>
          <w:p>
            <w:pPr>
              <w:pStyle w:val="TableParagraph"/>
              <w:spacing w:before="24"/>
              <w:ind w:right="54"/>
              <w:jc w:val="right"/>
              <w:rPr>
                <w:sz w:val="12"/>
              </w:rPr>
            </w:pPr>
            <w:r>
              <w:rPr>
                <w:w w:val="105"/>
                <w:sz w:val="12"/>
              </w:rPr>
              <w:t>Nd</w:t>
            </w:r>
          </w:p>
        </w:tc>
        <w:tc>
          <w:tcPr>
            <w:tcW w:w="963" w:type="dxa"/>
            <w:shd w:val="clear" w:color="auto" w:fill="F1F1F1"/>
          </w:tcPr>
          <w:p>
            <w:pPr>
              <w:pStyle w:val="TableParagraph"/>
              <w:spacing w:before="24"/>
              <w:ind w:right="58"/>
              <w:jc w:val="right"/>
              <w:rPr>
                <w:sz w:val="12"/>
              </w:rPr>
            </w:pPr>
            <w:r>
              <w:rPr>
                <w:w w:val="105"/>
                <w:sz w:val="12"/>
              </w:rPr>
              <w:t>Nd</w:t>
            </w:r>
          </w:p>
        </w:tc>
        <w:tc>
          <w:tcPr>
            <w:tcW w:w="664" w:type="dxa"/>
            <w:shd w:val="clear" w:color="auto" w:fill="F1F1F1"/>
          </w:tcPr>
          <w:p>
            <w:pPr>
              <w:pStyle w:val="TableParagraph"/>
              <w:spacing w:before="24"/>
              <w:ind w:right="81"/>
              <w:jc w:val="right"/>
              <w:rPr>
                <w:sz w:val="12"/>
              </w:rPr>
            </w:pPr>
            <w:r>
              <w:rPr>
                <w:w w:val="105"/>
                <w:sz w:val="12"/>
              </w:rPr>
              <w:t>-</w:t>
            </w:r>
          </w:p>
        </w:tc>
        <w:tc>
          <w:tcPr>
            <w:tcW w:w="591" w:type="dxa"/>
            <w:tcBorders>
              <w:right w:val="single" w:sz="4" w:space="0" w:color="000000"/>
            </w:tcBorders>
            <w:shd w:val="clear" w:color="auto" w:fill="F1F1F1"/>
          </w:tcPr>
          <w:p>
            <w:pPr>
              <w:pStyle w:val="TableParagraph"/>
              <w:spacing w:before="24"/>
              <w:ind w:right="46"/>
              <w:jc w:val="right"/>
              <w:rPr>
                <w:sz w:val="12"/>
              </w:rPr>
            </w:pPr>
            <w:r>
              <w:rPr>
                <w:w w:val="105"/>
                <w:sz w:val="12"/>
              </w:rPr>
              <w:t>-</w:t>
            </w:r>
          </w:p>
        </w:tc>
      </w:tr>
      <w:tr>
        <w:trPr>
          <w:trHeight w:val="212" w:hRule="atLeast"/>
        </w:trPr>
        <w:tc>
          <w:tcPr>
            <w:tcW w:w="1848" w:type="dxa"/>
            <w:tcBorders>
              <w:left w:val="single" w:sz="4" w:space="0" w:color="000000"/>
              <w:bottom w:val="single" w:sz="4" w:space="0" w:color="000000"/>
              <w:right w:val="single" w:sz="4" w:space="0" w:color="000000"/>
            </w:tcBorders>
          </w:tcPr>
          <w:p>
            <w:pPr>
              <w:pStyle w:val="TableParagraph"/>
              <w:spacing w:before="35"/>
              <w:ind w:left="57"/>
              <w:rPr>
                <w:b/>
                <w:sz w:val="12"/>
              </w:rPr>
            </w:pPr>
            <w:r>
              <w:rPr>
                <w:b/>
                <w:w w:val="105"/>
                <w:sz w:val="12"/>
              </w:rPr>
              <w:t>Otros (Dirección SCS)</w:t>
            </w:r>
          </w:p>
        </w:tc>
        <w:tc>
          <w:tcPr>
            <w:tcW w:w="600" w:type="dxa"/>
            <w:tcBorders>
              <w:left w:val="single" w:sz="4" w:space="0" w:color="000000"/>
              <w:bottom w:val="single" w:sz="4" w:space="0" w:color="000000"/>
            </w:tcBorders>
          </w:tcPr>
          <w:p>
            <w:pPr>
              <w:pStyle w:val="TableParagraph"/>
              <w:spacing w:before="35"/>
              <w:ind w:right="63"/>
              <w:jc w:val="right"/>
              <w:rPr>
                <w:b/>
                <w:sz w:val="12"/>
              </w:rPr>
            </w:pPr>
            <w:r>
              <w:rPr>
                <w:b/>
                <w:w w:val="105"/>
                <w:sz w:val="12"/>
              </w:rPr>
              <w:t>578</w:t>
            </w:r>
          </w:p>
        </w:tc>
        <w:tc>
          <w:tcPr>
            <w:tcW w:w="765" w:type="dxa"/>
            <w:tcBorders>
              <w:bottom w:val="single" w:sz="4" w:space="0" w:color="000000"/>
            </w:tcBorders>
          </w:tcPr>
          <w:p>
            <w:pPr>
              <w:pStyle w:val="TableParagraph"/>
              <w:spacing w:before="35"/>
              <w:ind w:right="52"/>
              <w:jc w:val="right"/>
              <w:rPr>
                <w:b/>
                <w:sz w:val="12"/>
              </w:rPr>
            </w:pPr>
            <w:r>
              <w:rPr>
                <w:b/>
                <w:w w:val="105"/>
                <w:sz w:val="12"/>
              </w:rPr>
              <w:t>193</w:t>
            </w:r>
          </w:p>
        </w:tc>
        <w:tc>
          <w:tcPr>
            <w:tcW w:w="783" w:type="dxa"/>
            <w:tcBorders>
              <w:bottom w:val="single" w:sz="4" w:space="0" w:color="000000"/>
              <w:right w:val="single" w:sz="4" w:space="0" w:color="000000"/>
            </w:tcBorders>
          </w:tcPr>
          <w:p>
            <w:pPr>
              <w:pStyle w:val="TableParagraph"/>
              <w:spacing w:before="35"/>
              <w:ind w:right="46"/>
              <w:jc w:val="right"/>
              <w:rPr>
                <w:b/>
                <w:sz w:val="12"/>
              </w:rPr>
            </w:pPr>
            <w:r>
              <w:rPr>
                <w:b/>
                <w:w w:val="105"/>
                <w:sz w:val="12"/>
              </w:rPr>
              <w:t>385</w:t>
            </w:r>
          </w:p>
        </w:tc>
        <w:tc>
          <w:tcPr>
            <w:tcW w:w="965" w:type="dxa"/>
            <w:tcBorders>
              <w:left w:val="single" w:sz="4" w:space="0" w:color="000000"/>
              <w:bottom w:val="single" w:sz="4" w:space="0" w:color="000000"/>
            </w:tcBorders>
          </w:tcPr>
          <w:p>
            <w:pPr>
              <w:pStyle w:val="TableParagraph"/>
              <w:spacing w:before="35"/>
              <w:ind w:right="54"/>
              <w:jc w:val="right"/>
              <w:rPr>
                <w:b/>
                <w:sz w:val="12"/>
              </w:rPr>
            </w:pPr>
            <w:r>
              <w:rPr>
                <w:b/>
                <w:w w:val="105"/>
                <w:sz w:val="12"/>
              </w:rPr>
              <w:t>Nd</w:t>
            </w:r>
          </w:p>
        </w:tc>
        <w:tc>
          <w:tcPr>
            <w:tcW w:w="963" w:type="dxa"/>
            <w:tcBorders>
              <w:bottom w:val="single" w:sz="4" w:space="0" w:color="000000"/>
            </w:tcBorders>
          </w:tcPr>
          <w:p>
            <w:pPr>
              <w:pStyle w:val="TableParagraph"/>
              <w:spacing w:before="35"/>
              <w:ind w:right="58"/>
              <w:jc w:val="right"/>
              <w:rPr>
                <w:b/>
                <w:sz w:val="12"/>
              </w:rPr>
            </w:pPr>
            <w:r>
              <w:rPr>
                <w:b/>
                <w:w w:val="105"/>
                <w:sz w:val="12"/>
              </w:rPr>
              <w:t>Nd</w:t>
            </w:r>
          </w:p>
        </w:tc>
        <w:tc>
          <w:tcPr>
            <w:tcW w:w="664" w:type="dxa"/>
            <w:tcBorders>
              <w:bottom w:val="single" w:sz="4" w:space="0" w:color="000000"/>
            </w:tcBorders>
          </w:tcPr>
          <w:p>
            <w:pPr>
              <w:pStyle w:val="TableParagraph"/>
              <w:spacing w:before="35"/>
              <w:ind w:right="81"/>
              <w:jc w:val="right"/>
              <w:rPr>
                <w:b/>
                <w:sz w:val="12"/>
              </w:rPr>
            </w:pPr>
            <w:r>
              <w:rPr>
                <w:b/>
                <w:w w:val="105"/>
                <w:sz w:val="12"/>
              </w:rPr>
              <w:t>-</w:t>
            </w:r>
          </w:p>
        </w:tc>
        <w:tc>
          <w:tcPr>
            <w:tcW w:w="591" w:type="dxa"/>
            <w:tcBorders>
              <w:bottom w:val="single" w:sz="4" w:space="0" w:color="000000"/>
              <w:right w:val="single" w:sz="4" w:space="0" w:color="000000"/>
            </w:tcBorders>
          </w:tcPr>
          <w:p>
            <w:pPr>
              <w:pStyle w:val="TableParagraph"/>
              <w:spacing w:before="35"/>
              <w:ind w:right="46"/>
              <w:jc w:val="right"/>
              <w:rPr>
                <w:b/>
                <w:sz w:val="12"/>
              </w:rPr>
            </w:pPr>
            <w:r>
              <w:rPr>
                <w:b/>
                <w:w w:val="105"/>
                <w:sz w:val="12"/>
              </w:rPr>
              <w:t>-</w:t>
            </w:r>
          </w:p>
        </w:tc>
      </w:tr>
      <w:tr>
        <w:trPr>
          <w:trHeight w:val="393" w:hRule="atLeast"/>
        </w:trPr>
        <w:tc>
          <w:tcPr>
            <w:tcW w:w="184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17"/>
              <w:ind w:left="220"/>
              <w:rPr>
                <w:b/>
                <w:sz w:val="13"/>
              </w:rPr>
            </w:pPr>
            <w:r>
              <w:rPr>
                <w:b/>
                <w:w w:val="105"/>
                <w:sz w:val="13"/>
              </w:rPr>
              <w:t>TOTAL (</w:t>
            </w:r>
            <w:r>
              <w:rPr>
                <w:w w:val="105"/>
                <w:sz w:val="13"/>
              </w:rPr>
              <w:t>nº de empleados</w:t>
            </w:r>
            <w:r>
              <w:rPr>
                <w:b/>
                <w:w w:val="105"/>
                <w:sz w:val="13"/>
              </w:rPr>
              <w:t>)</w:t>
            </w:r>
          </w:p>
        </w:tc>
        <w:tc>
          <w:tcPr>
            <w:tcW w:w="600" w:type="dxa"/>
            <w:tcBorders>
              <w:top w:val="single" w:sz="4" w:space="0" w:color="000000"/>
              <w:left w:val="single" w:sz="4" w:space="0" w:color="000000"/>
              <w:bottom w:val="single" w:sz="4" w:space="0" w:color="000000"/>
            </w:tcBorders>
            <w:shd w:val="clear" w:color="auto" w:fill="D9D9D9"/>
          </w:tcPr>
          <w:p>
            <w:pPr>
              <w:pStyle w:val="TableParagraph"/>
              <w:spacing w:before="117"/>
              <w:ind w:right="63"/>
              <w:jc w:val="right"/>
              <w:rPr>
                <w:b/>
                <w:sz w:val="13"/>
              </w:rPr>
            </w:pPr>
            <w:r>
              <w:rPr>
                <w:b/>
                <w:sz w:val="13"/>
              </w:rPr>
              <w:t>22.596</w:t>
            </w:r>
          </w:p>
        </w:tc>
        <w:tc>
          <w:tcPr>
            <w:tcW w:w="765" w:type="dxa"/>
            <w:tcBorders>
              <w:top w:val="single" w:sz="4" w:space="0" w:color="000000"/>
              <w:bottom w:val="single" w:sz="4" w:space="0" w:color="000000"/>
            </w:tcBorders>
            <w:shd w:val="clear" w:color="auto" w:fill="D9D9D9"/>
          </w:tcPr>
          <w:p>
            <w:pPr>
              <w:pStyle w:val="TableParagraph"/>
              <w:spacing w:before="117"/>
              <w:ind w:right="52"/>
              <w:jc w:val="right"/>
              <w:rPr>
                <w:b/>
                <w:sz w:val="13"/>
              </w:rPr>
            </w:pPr>
            <w:r>
              <w:rPr>
                <w:b/>
                <w:sz w:val="13"/>
              </w:rPr>
              <w:t>357</w:t>
            </w:r>
          </w:p>
        </w:tc>
        <w:tc>
          <w:tcPr>
            <w:tcW w:w="783" w:type="dxa"/>
            <w:tcBorders>
              <w:top w:val="single" w:sz="4" w:space="0" w:color="000000"/>
              <w:bottom w:val="single" w:sz="4" w:space="0" w:color="000000"/>
              <w:right w:val="single" w:sz="4" w:space="0" w:color="000000"/>
            </w:tcBorders>
            <w:shd w:val="clear" w:color="auto" w:fill="D9D9D9"/>
          </w:tcPr>
          <w:p>
            <w:pPr>
              <w:pStyle w:val="TableParagraph"/>
              <w:spacing w:before="117"/>
              <w:ind w:right="46"/>
              <w:jc w:val="right"/>
              <w:rPr>
                <w:b/>
                <w:sz w:val="13"/>
              </w:rPr>
            </w:pPr>
            <w:r>
              <w:rPr>
                <w:b/>
                <w:sz w:val="13"/>
              </w:rPr>
              <w:t>22.239</w:t>
            </w:r>
          </w:p>
        </w:tc>
        <w:tc>
          <w:tcPr>
            <w:tcW w:w="965" w:type="dxa"/>
            <w:tcBorders>
              <w:top w:val="single" w:sz="4" w:space="0" w:color="000000"/>
              <w:left w:val="single" w:sz="4" w:space="0" w:color="000000"/>
              <w:bottom w:val="single" w:sz="4" w:space="0" w:color="000000"/>
            </w:tcBorders>
            <w:shd w:val="clear" w:color="auto" w:fill="D9D9D9"/>
          </w:tcPr>
          <w:p>
            <w:pPr>
              <w:pStyle w:val="TableParagraph"/>
              <w:spacing w:before="117"/>
              <w:ind w:right="55"/>
              <w:jc w:val="right"/>
              <w:rPr>
                <w:b/>
                <w:sz w:val="13"/>
              </w:rPr>
            </w:pPr>
            <w:r>
              <w:rPr>
                <w:b/>
                <w:sz w:val="13"/>
              </w:rPr>
              <w:t>24.947</w:t>
            </w:r>
          </w:p>
        </w:tc>
        <w:tc>
          <w:tcPr>
            <w:tcW w:w="963" w:type="dxa"/>
            <w:tcBorders>
              <w:top w:val="single" w:sz="4" w:space="0" w:color="000000"/>
              <w:bottom w:val="single" w:sz="4" w:space="0" w:color="000000"/>
            </w:tcBorders>
            <w:shd w:val="clear" w:color="auto" w:fill="D9D9D9"/>
          </w:tcPr>
          <w:p>
            <w:pPr>
              <w:pStyle w:val="TableParagraph"/>
              <w:spacing w:before="117"/>
              <w:ind w:right="59"/>
              <w:jc w:val="right"/>
              <w:rPr>
                <w:b/>
                <w:sz w:val="13"/>
              </w:rPr>
            </w:pPr>
            <w:r>
              <w:rPr>
                <w:b/>
                <w:sz w:val="13"/>
              </w:rPr>
              <w:t>36.127</w:t>
            </w:r>
          </w:p>
        </w:tc>
        <w:tc>
          <w:tcPr>
            <w:tcW w:w="664" w:type="dxa"/>
            <w:tcBorders>
              <w:top w:val="single" w:sz="4" w:space="0" w:color="000000"/>
              <w:bottom w:val="single" w:sz="4" w:space="0" w:color="000000"/>
            </w:tcBorders>
            <w:shd w:val="clear" w:color="auto" w:fill="D9D9D9"/>
          </w:tcPr>
          <w:p>
            <w:pPr>
              <w:pStyle w:val="TableParagraph"/>
              <w:spacing w:before="117"/>
              <w:ind w:right="80"/>
              <w:jc w:val="right"/>
              <w:rPr>
                <w:b/>
                <w:sz w:val="13"/>
              </w:rPr>
            </w:pPr>
            <w:r>
              <w:rPr>
                <w:b/>
                <w:sz w:val="13"/>
              </w:rPr>
              <w:t>11.180</w:t>
            </w:r>
          </w:p>
        </w:tc>
        <w:tc>
          <w:tcPr>
            <w:tcW w:w="591" w:type="dxa"/>
            <w:tcBorders>
              <w:top w:val="single" w:sz="4" w:space="0" w:color="000000"/>
              <w:bottom w:val="single" w:sz="4" w:space="0" w:color="000000"/>
              <w:right w:val="single" w:sz="4" w:space="0" w:color="000000"/>
            </w:tcBorders>
            <w:shd w:val="clear" w:color="auto" w:fill="D9D9D9"/>
          </w:tcPr>
          <w:p>
            <w:pPr>
              <w:pStyle w:val="TableParagraph"/>
              <w:spacing w:before="117"/>
              <w:ind w:right="45"/>
              <w:jc w:val="right"/>
              <w:rPr>
                <w:b/>
                <w:sz w:val="13"/>
              </w:rPr>
            </w:pPr>
            <w:r>
              <w:rPr>
                <w:b/>
                <w:w w:val="105"/>
                <w:sz w:val="13"/>
              </w:rPr>
              <w:t>87,0%</w:t>
            </w:r>
          </w:p>
        </w:tc>
      </w:tr>
    </w:tbl>
    <w:p>
      <w:pPr>
        <w:spacing w:before="3"/>
        <w:ind w:left="2096" w:right="0" w:firstLine="0"/>
        <w:jc w:val="left"/>
        <w:rPr>
          <w:sz w:val="13"/>
        </w:rPr>
      </w:pPr>
      <w:r>
        <w:rPr>
          <w:b/>
          <w:w w:val="105"/>
          <w:sz w:val="13"/>
        </w:rPr>
        <w:t>ER: </w:t>
      </w:r>
      <w:r>
        <w:rPr>
          <w:w w:val="105"/>
          <w:sz w:val="13"/>
        </w:rPr>
        <w:t>Efectivos Reales; </w:t>
      </w:r>
      <w:r>
        <w:rPr>
          <w:b/>
          <w:w w:val="105"/>
          <w:sz w:val="13"/>
        </w:rPr>
        <w:t>PO: </w:t>
      </w:r>
      <w:r>
        <w:rPr>
          <w:w w:val="105"/>
          <w:sz w:val="13"/>
        </w:rPr>
        <w:t>plantilla orgánica</w:t>
      </w:r>
    </w:p>
    <w:p>
      <w:pPr>
        <w:pStyle w:val="BodyText"/>
        <w:spacing w:before="8"/>
        <w:rPr>
          <w:sz w:val="16"/>
        </w:rPr>
      </w:pPr>
    </w:p>
    <w:p>
      <w:pPr>
        <w:pStyle w:val="BodyText"/>
        <w:spacing w:line="242" w:lineRule="auto"/>
        <w:ind w:left="2334" w:right="1138"/>
        <w:jc w:val="both"/>
      </w:pPr>
      <w:r>
        <w:rPr/>
        <w:t>Para realizar la comparativa anterior, hay que tener presente cómo se organiza este Organismo. En cuanto a los datos reflejados, estos no son coincidentes según la fuente de información utilizada. Así, el personal de la RPT contenido en la memoria de la Ley de presupuestos de 2022 (22.239) no concuerda con la plantilla orgánica publicada en transparencia (24.947). Sucede lo mismo para la cifra de efectivos al cierre</w:t>
      </w:r>
      <w:r>
        <w:rPr>
          <w:spacing w:val="-5"/>
        </w:rPr>
        <w:t> </w:t>
      </w:r>
      <w:r>
        <w:rPr/>
        <w:t>del</w:t>
      </w:r>
      <w:r>
        <w:rPr>
          <w:spacing w:val="-4"/>
        </w:rPr>
        <w:t> </w:t>
      </w:r>
      <w:r>
        <w:rPr/>
        <w:t>ejercicio</w:t>
      </w:r>
      <w:r>
        <w:rPr>
          <w:spacing w:val="-4"/>
        </w:rPr>
        <w:t> </w:t>
      </w:r>
      <w:r>
        <w:rPr/>
        <w:t>(36.127)</w:t>
      </w:r>
      <w:r>
        <w:rPr>
          <w:spacing w:val="-5"/>
        </w:rPr>
        <w:t> </w:t>
      </w:r>
      <w:r>
        <w:rPr/>
        <w:t>respecto</w:t>
      </w:r>
      <w:r>
        <w:rPr>
          <w:spacing w:val="-4"/>
        </w:rPr>
        <w:t> </w:t>
      </w:r>
      <w:r>
        <w:rPr/>
        <w:t>a</w:t>
      </w:r>
      <w:r>
        <w:rPr>
          <w:spacing w:val="-6"/>
        </w:rPr>
        <w:t> </w:t>
      </w:r>
      <w:r>
        <w:rPr/>
        <w:t>la</w:t>
      </w:r>
      <w:r>
        <w:rPr>
          <w:spacing w:val="-7"/>
        </w:rPr>
        <w:t> </w:t>
      </w:r>
      <w:r>
        <w:rPr/>
        <w:t>información</w:t>
      </w:r>
      <w:r>
        <w:rPr>
          <w:spacing w:val="-3"/>
        </w:rPr>
        <w:t> </w:t>
      </w:r>
      <w:r>
        <w:rPr/>
        <w:t>contenida</w:t>
      </w:r>
      <w:r>
        <w:rPr>
          <w:spacing w:val="-6"/>
        </w:rPr>
        <w:t> </w:t>
      </w:r>
      <w:r>
        <w:rPr/>
        <w:t>en</w:t>
      </w:r>
      <w:r>
        <w:rPr>
          <w:spacing w:val="-5"/>
        </w:rPr>
        <w:t> </w:t>
      </w:r>
      <w:r>
        <w:rPr/>
        <w:t>la</w:t>
      </w:r>
      <w:r>
        <w:rPr>
          <w:spacing w:val="-6"/>
        </w:rPr>
        <w:t> </w:t>
      </w:r>
      <w:r>
        <w:rPr/>
        <w:t>Memoria</w:t>
      </w:r>
      <w:r>
        <w:rPr>
          <w:spacing w:val="-4"/>
        </w:rPr>
        <w:t> </w:t>
      </w:r>
      <w:r>
        <w:rPr/>
        <w:t>de</w:t>
      </w:r>
      <w:r>
        <w:rPr>
          <w:spacing w:val="-4"/>
        </w:rPr>
        <w:t> </w:t>
      </w:r>
      <w:r>
        <w:rPr/>
        <w:t>las cuentas anuales (38.869), en su mayor parte y en el caso de la Ley de Presupuestos, por no incluir a los servicios centrales del SCS ni de las Áreas de Salud, así como al personal en formación, y por tomar como referencia fechas distintas.</w:t>
      </w:r>
    </w:p>
    <w:p>
      <w:pPr>
        <w:pStyle w:val="BodyText"/>
        <w:spacing w:before="2"/>
        <w:rPr>
          <w:sz w:val="16"/>
        </w:rPr>
      </w:pPr>
    </w:p>
    <w:p>
      <w:pPr>
        <w:pStyle w:val="ListParagraph"/>
        <w:numPr>
          <w:ilvl w:val="0"/>
          <w:numId w:val="47"/>
        </w:numPr>
        <w:tabs>
          <w:tab w:pos="2335" w:val="left" w:leader="none"/>
        </w:tabs>
        <w:spacing w:line="240" w:lineRule="auto" w:before="0" w:after="0"/>
        <w:ind w:left="2334" w:right="1140" w:hanging="238"/>
        <w:jc w:val="both"/>
        <w:rPr>
          <w:sz w:val="20"/>
        </w:rPr>
      </w:pPr>
      <w:r>
        <w:rPr>
          <w:sz w:val="20"/>
        </w:rPr>
        <w:t>Por categorías, las mayores desviaciones en 2022 respecto a la plantilla orgánica se producen en el “personal sanitario no facultativo”, especialmente enfermeros y auxiliares de enfermería. También las diferencias para el “personal no sanitario” son relevantes, como se observa a continuación: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6"/>
        </w:rPr>
      </w:pPr>
    </w:p>
    <w:p>
      <w:pPr>
        <w:pStyle w:val="BodyText"/>
        <w:spacing w:before="61"/>
        <w:ind w:left="7897"/>
        <w:jc w:val="center"/>
      </w:pPr>
      <w:r>
        <w:rPr/>
        <w:t>94</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199" name="image5.png"/>
                  <wp:cNvGraphicFramePr>
                    <a:graphicFrameLocks noChangeAspect="1"/>
                  </wp:cNvGraphicFramePr>
                  <a:graphic>
                    <a:graphicData uri="http://schemas.openxmlformats.org/drawingml/2006/picture">
                      <pic:pic>
                        <pic:nvPicPr>
                          <pic:cNvPr id="20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96/247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4"/>
        <w:gridCol w:w="1389"/>
        <w:gridCol w:w="1084"/>
        <w:gridCol w:w="1603"/>
      </w:tblGrid>
      <w:tr>
        <w:trPr>
          <w:trHeight w:val="326" w:hRule="atLeast"/>
        </w:trPr>
        <w:tc>
          <w:tcPr>
            <w:tcW w:w="2884"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389" w:type="dxa"/>
            <w:tcBorders>
              <w:top w:val="single" w:sz="4" w:space="0" w:color="000000"/>
              <w:left w:val="single" w:sz="4" w:space="0" w:color="000000"/>
              <w:bottom w:val="single" w:sz="4" w:space="0" w:color="000000"/>
            </w:tcBorders>
            <w:shd w:val="clear" w:color="auto" w:fill="DEEAF6"/>
          </w:tcPr>
          <w:p>
            <w:pPr>
              <w:pStyle w:val="TableParagraph"/>
              <w:spacing w:before="85"/>
              <w:ind w:right="353"/>
              <w:jc w:val="right"/>
              <w:rPr>
                <w:b/>
                <w:sz w:val="13"/>
              </w:rPr>
            </w:pPr>
            <w:r>
              <w:rPr>
                <w:b/>
                <w:w w:val="105"/>
                <w:sz w:val="13"/>
              </w:rPr>
              <w:t>PO (1)</w:t>
            </w:r>
          </w:p>
        </w:tc>
        <w:tc>
          <w:tcPr>
            <w:tcW w:w="1084" w:type="dxa"/>
            <w:tcBorders>
              <w:top w:val="single" w:sz="4" w:space="0" w:color="000000"/>
              <w:bottom w:val="single" w:sz="4" w:space="0" w:color="000000"/>
            </w:tcBorders>
            <w:shd w:val="clear" w:color="auto" w:fill="DEEAF6"/>
          </w:tcPr>
          <w:p>
            <w:pPr>
              <w:pStyle w:val="TableParagraph"/>
              <w:spacing w:before="85"/>
              <w:ind w:right="338"/>
              <w:jc w:val="right"/>
              <w:rPr>
                <w:b/>
                <w:sz w:val="13"/>
              </w:rPr>
            </w:pPr>
            <w:r>
              <w:rPr>
                <w:b/>
                <w:w w:val="105"/>
                <w:sz w:val="13"/>
              </w:rPr>
              <w:t>ER (2)</w:t>
            </w:r>
          </w:p>
        </w:tc>
        <w:tc>
          <w:tcPr>
            <w:tcW w:w="1603" w:type="dxa"/>
            <w:tcBorders>
              <w:top w:val="single" w:sz="4" w:space="0" w:color="000000"/>
              <w:bottom w:val="single" w:sz="4" w:space="0" w:color="000000"/>
              <w:right w:val="single" w:sz="4" w:space="0" w:color="000000"/>
            </w:tcBorders>
            <w:shd w:val="clear" w:color="auto" w:fill="DEEAF6"/>
          </w:tcPr>
          <w:p>
            <w:pPr>
              <w:pStyle w:val="TableParagraph"/>
              <w:spacing w:before="2"/>
              <w:ind w:left="323" w:right="217"/>
              <w:jc w:val="center"/>
              <w:rPr>
                <w:b/>
                <w:sz w:val="13"/>
              </w:rPr>
            </w:pPr>
            <w:r>
              <w:rPr>
                <w:b/>
                <w:w w:val="105"/>
                <w:sz w:val="13"/>
              </w:rPr>
              <w:t>Tasa de cobertura</w:t>
            </w:r>
          </w:p>
          <w:p>
            <w:pPr>
              <w:pStyle w:val="TableParagraph"/>
              <w:spacing w:line="139" w:lineRule="exact" w:before="6"/>
              <w:ind w:left="323" w:right="216"/>
              <w:jc w:val="center"/>
              <w:rPr>
                <w:b/>
                <w:sz w:val="13"/>
              </w:rPr>
            </w:pPr>
            <w:r>
              <w:rPr>
                <w:b/>
                <w:w w:val="105"/>
                <w:sz w:val="13"/>
              </w:rPr>
              <w:t>(2) - (1)</w:t>
            </w:r>
          </w:p>
        </w:tc>
      </w:tr>
      <w:tr>
        <w:trPr>
          <w:trHeight w:val="214" w:hRule="atLeast"/>
        </w:trPr>
        <w:tc>
          <w:tcPr>
            <w:tcW w:w="2884" w:type="dxa"/>
            <w:tcBorders>
              <w:left w:val="single" w:sz="4" w:space="0" w:color="000000"/>
              <w:right w:val="single" w:sz="4" w:space="0" w:color="000000"/>
            </w:tcBorders>
          </w:tcPr>
          <w:p>
            <w:pPr>
              <w:pStyle w:val="TableParagraph"/>
              <w:spacing w:before="22"/>
              <w:ind w:left="57"/>
              <w:rPr>
                <w:b/>
                <w:sz w:val="13"/>
              </w:rPr>
            </w:pPr>
            <w:r>
              <w:rPr>
                <w:b/>
                <w:w w:val="105"/>
                <w:sz w:val="13"/>
              </w:rPr>
              <w:t>Puestos directivos y de gestión</w:t>
            </w:r>
          </w:p>
        </w:tc>
        <w:tc>
          <w:tcPr>
            <w:tcW w:w="1389" w:type="dxa"/>
            <w:tcBorders>
              <w:top w:val="single" w:sz="4" w:space="0" w:color="000000"/>
              <w:left w:val="single" w:sz="4" w:space="0" w:color="000000"/>
            </w:tcBorders>
          </w:tcPr>
          <w:p>
            <w:pPr>
              <w:pStyle w:val="TableParagraph"/>
              <w:spacing w:before="22"/>
              <w:ind w:right="352"/>
              <w:jc w:val="right"/>
              <w:rPr>
                <w:b/>
                <w:sz w:val="13"/>
              </w:rPr>
            </w:pPr>
            <w:r>
              <w:rPr>
                <w:b/>
                <w:sz w:val="13"/>
              </w:rPr>
              <w:t>508</w:t>
            </w:r>
          </w:p>
        </w:tc>
        <w:tc>
          <w:tcPr>
            <w:tcW w:w="1084" w:type="dxa"/>
            <w:tcBorders>
              <w:top w:val="single" w:sz="4" w:space="0" w:color="000000"/>
            </w:tcBorders>
          </w:tcPr>
          <w:p>
            <w:pPr>
              <w:pStyle w:val="TableParagraph"/>
              <w:spacing w:before="22"/>
              <w:ind w:right="340"/>
              <w:jc w:val="right"/>
              <w:rPr>
                <w:b/>
                <w:sz w:val="13"/>
              </w:rPr>
            </w:pPr>
            <w:r>
              <w:rPr>
                <w:b/>
                <w:sz w:val="13"/>
              </w:rPr>
              <w:t>87</w:t>
            </w:r>
          </w:p>
        </w:tc>
        <w:tc>
          <w:tcPr>
            <w:tcW w:w="1603" w:type="dxa"/>
            <w:tcBorders>
              <w:top w:val="single" w:sz="4" w:space="0" w:color="000000"/>
              <w:right w:val="single" w:sz="4" w:space="0" w:color="000000"/>
            </w:tcBorders>
          </w:tcPr>
          <w:p>
            <w:pPr>
              <w:pStyle w:val="TableParagraph"/>
              <w:spacing w:before="22"/>
              <w:ind w:right="662"/>
              <w:jc w:val="right"/>
              <w:rPr>
                <w:b/>
                <w:sz w:val="13"/>
              </w:rPr>
            </w:pPr>
            <w:r>
              <w:rPr>
                <w:b/>
                <w:w w:val="105"/>
                <w:sz w:val="13"/>
              </w:rPr>
              <w:t>- 421</w:t>
            </w:r>
          </w:p>
        </w:tc>
      </w:tr>
      <w:tr>
        <w:trPr>
          <w:trHeight w:val="204" w:hRule="atLeast"/>
        </w:trPr>
        <w:tc>
          <w:tcPr>
            <w:tcW w:w="2884" w:type="dxa"/>
            <w:tcBorders>
              <w:left w:val="single" w:sz="4" w:space="0" w:color="000000"/>
              <w:right w:val="single" w:sz="4" w:space="0" w:color="000000"/>
            </w:tcBorders>
          </w:tcPr>
          <w:p>
            <w:pPr>
              <w:pStyle w:val="TableParagraph"/>
              <w:spacing w:before="11"/>
              <w:ind w:left="57"/>
              <w:rPr>
                <w:b/>
                <w:sz w:val="13"/>
              </w:rPr>
            </w:pPr>
            <w:r>
              <w:rPr>
                <w:b/>
                <w:w w:val="105"/>
                <w:sz w:val="13"/>
              </w:rPr>
              <w:t>Personal facultativo: médicos/as</w:t>
            </w:r>
          </w:p>
        </w:tc>
        <w:tc>
          <w:tcPr>
            <w:tcW w:w="1389" w:type="dxa"/>
            <w:tcBorders>
              <w:left w:val="single" w:sz="4" w:space="0" w:color="000000"/>
            </w:tcBorders>
          </w:tcPr>
          <w:p>
            <w:pPr>
              <w:pStyle w:val="TableParagraph"/>
              <w:spacing w:before="11"/>
              <w:ind w:right="353"/>
              <w:jc w:val="right"/>
              <w:rPr>
                <w:b/>
                <w:sz w:val="13"/>
              </w:rPr>
            </w:pPr>
            <w:r>
              <w:rPr>
                <w:b/>
                <w:sz w:val="13"/>
              </w:rPr>
              <w:t>5.359</w:t>
            </w:r>
          </w:p>
        </w:tc>
        <w:tc>
          <w:tcPr>
            <w:tcW w:w="1084" w:type="dxa"/>
          </w:tcPr>
          <w:p>
            <w:pPr>
              <w:pStyle w:val="TableParagraph"/>
              <w:spacing w:before="11"/>
              <w:ind w:right="338"/>
              <w:jc w:val="right"/>
              <w:rPr>
                <w:b/>
                <w:sz w:val="13"/>
              </w:rPr>
            </w:pPr>
            <w:r>
              <w:rPr>
                <w:b/>
                <w:sz w:val="13"/>
              </w:rPr>
              <w:t>5.975</w:t>
            </w:r>
          </w:p>
        </w:tc>
        <w:tc>
          <w:tcPr>
            <w:tcW w:w="1603" w:type="dxa"/>
            <w:tcBorders>
              <w:right w:val="single" w:sz="4" w:space="0" w:color="000000"/>
            </w:tcBorders>
          </w:tcPr>
          <w:p>
            <w:pPr>
              <w:pStyle w:val="TableParagraph"/>
              <w:spacing w:before="11"/>
              <w:ind w:right="662"/>
              <w:jc w:val="right"/>
              <w:rPr>
                <w:b/>
                <w:sz w:val="13"/>
              </w:rPr>
            </w:pPr>
            <w:r>
              <w:rPr>
                <w:b/>
                <w:sz w:val="13"/>
              </w:rPr>
              <w:t>616</w:t>
            </w:r>
          </w:p>
        </w:tc>
      </w:tr>
      <w:tr>
        <w:trPr>
          <w:trHeight w:val="204" w:hRule="atLeast"/>
        </w:trPr>
        <w:tc>
          <w:tcPr>
            <w:tcW w:w="2884" w:type="dxa"/>
            <w:tcBorders>
              <w:left w:val="single" w:sz="4" w:space="0" w:color="000000"/>
              <w:right w:val="single" w:sz="4" w:space="0" w:color="000000"/>
            </w:tcBorders>
          </w:tcPr>
          <w:p>
            <w:pPr>
              <w:pStyle w:val="TableParagraph"/>
              <w:spacing w:before="12"/>
              <w:ind w:left="57"/>
              <w:rPr>
                <w:b/>
                <w:sz w:val="13"/>
              </w:rPr>
            </w:pPr>
            <w:r>
              <w:rPr>
                <w:b/>
                <w:w w:val="105"/>
                <w:sz w:val="13"/>
              </w:rPr>
              <w:t>Personal sanitario no facultativo</w:t>
            </w:r>
          </w:p>
        </w:tc>
        <w:tc>
          <w:tcPr>
            <w:tcW w:w="1389" w:type="dxa"/>
            <w:tcBorders>
              <w:left w:val="single" w:sz="4" w:space="0" w:color="000000"/>
            </w:tcBorders>
          </w:tcPr>
          <w:p>
            <w:pPr>
              <w:pStyle w:val="TableParagraph"/>
              <w:spacing w:before="12"/>
              <w:ind w:right="353"/>
              <w:jc w:val="right"/>
              <w:rPr>
                <w:b/>
                <w:sz w:val="13"/>
              </w:rPr>
            </w:pPr>
            <w:r>
              <w:rPr>
                <w:b/>
                <w:sz w:val="13"/>
              </w:rPr>
              <w:t>12.527</w:t>
            </w:r>
          </w:p>
        </w:tc>
        <w:tc>
          <w:tcPr>
            <w:tcW w:w="1084" w:type="dxa"/>
          </w:tcPr>
          <w:p>
            <w:pPr>
              <w:pStyle w:val="TableParagraph"/>
              <w:spacing w:before="12"/>
              <w:ind w:right="338"/>
              <w:jc w:val="right"/>
              <w:rPr>
                <w:b/>
                <w:sz w:val="13"/>
              </w:rPr>
            </w:pPr>
            <w:r>
              <w:rPr>
                <w:b/>
                <w:sz w:val="13"/>
              </w:rPr>
              <w:t>19.925</w:t>
            </w:r>
          </w:p>
        </w:tc>
        <w:tc>
          <w:tcPr>
            <w:tcW w:w="1603" w:type="dxa"/>
            <w:tcBorders>
              <w:right w:val="single" w:sz="4" w:space="0" w:color="000000"/>
            </w:tcBorders>
          </w:tcPr>
          <w:p>
            <w:pPr>
              <w:pStyle w:val="TableParagraph"/>
              <w:spacing w:before="12"/>
              <w:ind w:right="662"/>
              <w:jc w:val="right"/>
              <w:rPr>
                <w:b/>
                <w:sz w:val="13"/>
              </w:rPr>
            </w:pPr>
            <w:r>
              <w:rPr>
                <w:b/>
                <w:sz w:val="13"/>
              </w:rPr>
              <w:t>7.398</w:t>
            </w:r>
          </w:p>
        </w:tc>
      </w:tr>
      <w:tr>
        <w:trPr>
          <w:trHeight w:val="203" w:hRule="atLeast"/>
        </w:trPr>
        <w:tc>
          <w:tcPr>
            <w:tcW w:w="2884" w:type="dxa"/>
            <w:tcBorders>
              <w:left w:val="single" w:sz="4" w:space="0" w:color="000000"/>
              <w:right w:val="single" w:sz="4" w:space="0" w:color="000000"/>
            </w:tcBorders>
          </w:tcPr>
          <w:p>
            <w:pPr>
              <w:pStyle w:val="TableParagraph"/>
              <w:spacing w:before="11"/>
              <w:ind w:left="57"/>
              <w:rPr>
                <w:sz w:val="13"/>
              </w:rPr>
            </w:pPr>
            <w:r>
              <w:rPr>
                <w:w w:val="105"/>
                <w:sz w:val="13"/>
              </w:rPr>
              <w:t>Enfermeros/as</w:t>
            </w:r>
          </w:p>
        </w:tc>
        <w:tc>
          <w:tcPr>
            <w:tcW w:w="1389" w:type="dxa"/>
            <w:tcBorders>
              <w:left w:val="single" w:sz="4" w:space="0" w:color="000000"/>
            </w:tcBorders>
          </w:tcPr>
          <w:p>
            <w:pPr>
              <w:pStyle w:val="TableParagraph"/>
              <w:spacing w:before="11"/>
              <w:ind w:right="353"/>
              <w:jc w:val="right"/>
              <w:rPr>
                <w:sz w:val="13"/>
              </w:rPr>
            </w:pPr>
            <w:r>
              <w:rPr>
                <w:sz w:val="13"/>
              </w:rPr>
              <w:t>6.574</w:t>
            </w:r>
          </w:p>
        </w:tc>
        <w:tc>
          <w:tcPr>
            <w:tcW w:w="1084" w:type="dxa"/>
          </w:tcPr>
          <w:p>
            <w:pPr>
              <w:pStyle w:val="TableParagraph"/>
              <w:spacing w:before="11"/>
              <w:ind w:right="338"/>
              <w:jc w:val="right"/>
              <w:rPr>
                <w:sz w:val="13"/>
              </w:rPr>
            </w:pPr>
            <w:r>
              <w:rPr>
                <w:sz w:val="13"/>
              </w:rPr>
              <w:t>9.804</w:t>
            </w:r>
          </w:p>
        </w:tc>
        <w:tc>
          <w:tcPr>
            <w:tcW w:w="1603" w:type="dxa"/>
            <w:tcBorders>
              <w:right w:val="single" w:sz="4" w:space="0" w:color="000000"/>
            </w:tcBorders>
          </w:tcPr>
          <w:p>
            <w:pPr>
              <w:pStyle w:val="TableParagraph"/>
              <w:spacing w:before="11"/>
              <w:ind w:right="662"/>
              <w:jc w:val="right"/>
              <w:rPr>
                <w:sz w:val="13"/>
              </w:rPr>
            </w:pPr>
            <w:r>
              <w:rPr>
                <w:sz w:val="13"/>
              </w:rPr>
              <w:t>3.230</w:t>
            </w:r>
          </w:p>
        </w:tc>
      </w:tr>
      <w:tr>
        <w:trPr>
          <w:trHeight w:val="203" w:hRule="atLeast"/>
        </w:trPr>
        <w:tc>
          <w:tcPr>
            <w:tcW w:w="2884" w:type="dxa"/>
            <w:tcBorders>
              <w:left w:val="single" w:sz="4" w:space="0" w:color="000000"/>
              <w:right w:val="single" w:sz="4" w:space="0" w:color="000000"/>
            </w:tcBorders>
          </w:tcPr>
          <w:p>
            <w:pPr>
              <w:pStyle w:val="TableParagraph"/>
              <w:spacing w:before="11"/>
              <w:ind w:left="57"/>
              <w:rPr>
                <w:sz w:val="13"/>
              </w:rPr>
            </w:pPr>
            <w:r>
              <w:rPr>
                <w:w w:val="105"/>
                <w:sz w:val="13"/>
              </w:rPr>
              <w:t>Fisioterapeuta</w:t>
            </w:r>
          </w:p>
        </w:tc>
        <w:tc>
          <w:tcPr>
            <w:tcW w:w="1389" w:type="dxa"/>
            <w:tcBorders>
              <w:left w:val="single" w:sz="4" w:space="0" w:color="000000"/>
            </w:tcBorders>
          </w:tcPr>
          <w:p>
            <w:pPr>
              <w:pStyle w:val="TableParagraph"/>
              <w:spacing w:before="11"/>
              <w:ind w:right="352"/>
              <w:jc w:val="right"/>
              <w:rPr>
                <w:sz w:val="13"/>
              </w:rPr>
            </w:pPr>
            <w:r>
              <w:rPr>
                <w:sz w:val="13"/>
              </w:rPr>
              <w:t>230</w:t>
            </w:r>
          </w:p>
        </w:tc>
        <w:tc>
          <w:tcPr>
            <w:tcW w:w="1084" w:type="dxa"/>
          </w:tcPr>
          <w:p>
            <w:pPr>
              <w:pStyle w:val="TableParagraph"/>
              <w:spacing w:before="11"/>
              <w:ind w:right="338"/>
              <w:jc w:val="right"/>
              <w:rPr>
                <w:sz w:val="13"/>
              </w:rPr>
            </w:pPr>
            <w:r>
              <w:rPr>
                <w:sz w:val="13"/>
              </w:rPr>
              <w:t>425</w:t>
            </w:r>
          </w:p>
        </w:tc>
        <w:tc>
          <w:tcPr>
            <w:tcW w:w="1603" w:type="dxa"/>
            <w:tcBorders>
              <w:right w:val="single" w:sz="4" w:space="0" w:color="000000"/>
            </w:tcBorders>
          </w:tcPr>
          <w:p>
            <w:pPr>
              <w:pStyle w:val="TableParagraph"/>
              <w:spacing w:before="11"/>
              <w:ind w:right="662"/>
              <w:jc w:val="right"/>
              <w:rPr>
                <w:sz w:val="13"/>
              </w:rPr>
            </w:pPr>
            <w:r>
              <w:rPr>
                <w:sz w:val="13"/>
              </w:rPr>
              <w:t>195</w:t>
            </w:r>
          </w:p>
        </w:tc>
      </w:tr>
      <w:tr>
        <w:trPr>
          <w:trHeight w:val="204" w:hRule="atLeast"/>
        </w:trPr>
        <w:tc>
          <w:tcPr>
            <w:tcW w:w="2884" w:type="dxa"/>
            <w:tcBorders>
              <w:left w:val="single" w:sz="4" w:space="0" w:color="000000"/>
              <w:right w:val="single" w:sz="4" w:space="0" w:color="000000"/>
            </w:tcBorders>
          </w:tcPr>
          <w:p>
            <w:pPr>
              <w:pStyle w:val="TableParagraph"/>
              <w:spacing w:before="11"/>
              <w:ind w:left="57"/>
              <w:rPr>
                <w:sz w:val="13"/>
              </w:rPr>
            </w:pPr>
            <w:r>
              <w:rPr>
                <w:w w:val="105"/>
                <w:sz w:val="13"/>
              </w:rPr>
              <w:t>Matronos/as</w:t>
            </w:r>
          </w:p>
        </w:tc>
        <w:tc>
          <w:tcPr>
            <w:tcW w:w="1389" w:type="dxa"/>
            <w:tcBorders>
              <w:left w:val="single" w:sz="4" w:space="0" w:color="000000"/>
            </w:tcBorders>
          </w:tcPr>
          <w:p>
            <w:pPr>
              <w:pStyle w:val="TableParagraph"/>
              <w:spacing w:before="11"/>
              <w:ind w:right="352"/>
              <w:jc w:val="right"/>
              <w:rPr>
                <w:sz w:val="13"/>
              </w:rPr>
            </w:pPr>
            <w:r>
              <w:rPr>
                <w:sz w:val="13"/>
              </w:rPr>
              <w:t>261</w:t>
            </w:r>
          </w:p>
        </w:tc>
        <w:tc>
          <w:tcPr>
            <w:tcW w:w="1084" w:type="dxa"/>
          </w:tcPr>
          <w:p>
            <w:pPr>
              <w:pStyle w:val="TableParagraph"/>
              <w:spacing w:before="11"/>
              <w:ind w:right="338"/>
              <w:jc w:val="right"/>
              <w:rPr>
                <w:sz w:val="13"/>
              </w:rPr>
            </w:pPr>
            <w:r>
              <w:rPr>
                <w:sz w:val="13"/>
              </w:rPr>
              <w:t>345</w:t>
            </w:r>
          </w:p>
        </w:tc>
        <w:tc>
          <w:tcPr>
            <w:tcW w:w="1603" w:type="dxa"/>
            <w:tcBorders>
              <w:right w:val="single" w:sz="4" w:space="0" w:color="000000"/>
            </w:tcBorders>
          </w:tcPr>
          <w:p>
            <w:pPr>
              <w:pStyle w:val="TableParagraph"/>
              <w:spacing w:before="11"/>
              <w:ind w:right="664"/>
              <w:jc w:val="right"/>
              <w:rPr>
                <w:sz w:val="13"/>
              </w:rPr>
            </w:pPr>
            <w:r>
              <w:rPr>
                <w:sz w:val="13"/>
              </w:rPr>
              <w:t>84</w:t>
            </w:r>
          </w:p>
        </w:tc>
      </w:tr>
      <w:tr>
        <w:trPr>
          <w:trHeight w:val="204" w:hRule="atLeast"/>
        </w:trPr>
        <w:tc>
          <w:tcPr>
            <w:tcW w:w="2884" w:type="dxa"/>
            <w:tcBorders>
              <w:left w:val="single" w:sz="4" w:space="0" w:color="000000"/>
              <w:right w:val="single" w:sz="4" w:space="0" w:color="000000"/>
            </w:tcBorders>
          </w:tcPr>
          <w:p>
            <w:pPr>
              <w:pStyle w:val="TableParagraph"/>
              <w:spacing w:before="12"/>
              <w:ind w:left="57"/>
              <w:rPr>
                <w:sz w:val="13"/>
              </w:rPr>
            </w:pPr>
            <w:r>
              <w:rPr>
                <w:w w:val="105"/>
                <w:sz w:val="13"/>
              </w:rPr>
              <w:t>Técnico/a</w:t>
            </w:r>
          </w:p>
        </w:tc>
        <w:tc>
          <w:tcPr>
            <w:tcW w:w="1389" w:type="dxa"/>
            <w:tcBorders>
              <w:left w:val="single" w:sz="4" w:space="0" w:color="000000"/>
            </w:tcBorders>
          </w:tcPr>
          <w:p>
            <w:pPr>
              <w:pStyle w:val="TableParagraph"/>
              <w:spacing w:before="12"/>
              <w:ind w:right="353"/>
              <w:jc w:val="right"/>
              <w:rPr>
                <w:sz w:val="13"/>
              </w:rPr>
            </w:pPr>
            <w:r>
              <w:rPr>
                <w:sz w:val="13"/>
              </w:rPr>
              <w:t>1.018</w:t>
            </w:r>
          </w:p>
        </w:tc>
        <w:tc>
          <w:tcPr>
            <w:tcW w:w="1084" w:type="dxa"/>
          </w:tcPr>
          <w:p>
            <w:pPr>
              <w:pStyle w:val="TableParagraph"/>
              <w:spacing w:before="12"/>
              <w:ind w:right="338"/>
              <w:jc w:val="right"/>
              <w:rPr>
                <w:sz w:val="13"/>
              </w:rPr>
            </w:pPr>
            <w:r>
              <w:rPr>
                <w:sz w:val="13"/>
              </w:rPr>
              <w:t>1.747</w:t>
            </w:r>
          </w:p>
        </w:tc>
        <w:tc>
          <w:tcPr>
            <w:tcW w:w="1603" w:type="dxa"/>
            <w:tcBorders>
              <w:right w:val="single" w:sz="4" w:space="0" w:color="000000"/>
            </w:tcBorders>
          </w:tcPr>
          <w:p>
            <w:pPr>
              <w:pStyle w:val="TableParagraph"/>
              <w:spacing w:before="12"/>
              <w:ind w:right="662"/>
              <w:jc w:val="right"/>
              <w:rPr>
                <w:sz w:val="13"/>
              </w:rPr>
            </w:pPr>
            <w:r>
              <w:rPr>
                <w:sz w:val="13"/>
              </w:rPr>
              <w:t>729</w:t>
            </w:r>
          </w:p>
        </w:tc>
      </w:tr>
      <w:tr>
        <w:trPr>
          <w:trHeight w:val="193" w:hRule="atLeast"/>
        </w:trPr>
        <w:tc>
          <w:tcPr>
            <w:tcW w:w="2884" w:type="dxa"/>
            <w:tcBorders>
              <w:left w:val="single" w:sz="4" w:space="0" w:color="000000"/>
              <w:right w:val="single" w:sz="4" w:space="0" w:color="000000"/>
            </w:tcBorders>
          </w:tcPr>
          <w:p>
            <w:pPr>
              <w:pStyle w:val="TableParagraph"/>
              <w:spacing w:before="11"/>
              <w:ind w:left="57"/>
              <w:rPr>
                <w:sz w:val="13"/>
              </w:rPr>
            </w:pPr>
            <w:r>
              <w:rPr>
                <w:w w:val="105"/>
                <w:sz w:val="13"/>
              </w:rPr>
              <w:t>Auxiliar de Enfermería</w:t>
            </w:r>
          </w:p>
        </w:tc>
        <w:tc>
          <w:tcPr>
            <w:tcW w:w="1389" w:type="dxa"/>
            <w:tcBorders>
              <w:left w:val="single" w:sz="4" w:space="0" w:color="000000"/>
            </w:tcBorders>
          </w:tcPr>
          <w:p>
            <w:pPr>
              <w:pStyle w:val="TableParagraph"/>
              <w:spacing w:before="11"/>
              <w:ind w:right="353"/>
              <w:jc w:val="right"/>
              <w:rPr>
                <w:sz w:val="13"/>
              </w:rPr>
            </w:pPr>
            <w:r>
              <w:rPr>
                <w:sz w:val="13"/>
              </w:rPr>
              <w:t>4.356</w:t>
            </w:r>
          </w:p>
        </w:tc>
        <w:tc>
          <w:tcPr>
            <w:tcW w:w="1084" w:type="dxa"/>
          </w:tcPr>
          <w:p>
            <w:pPr>
              <w:pStyle w:val="TableParagraph"/>
              <w:spacing w:before="11"/>
              <w:ind w:right="338"/>
              <w:jc w:val="right"/>
              <w:rPr>
                <w:sz w:val="13"/>
              </w:rPr>
            </w:pPr>
            <w:r>
              <w:rPr>
                <w:sz w:val="13"/>
              </w:rPr>
              <w:t>7.409</w:t>
            </w:r>
          </w:p>
        </w:tc>
        <w:tc>
          <w:tcPr>
            <w:tcW w:w="1603" w:type="dxa"/>
            <w:tcBorders>
              <w:right w:val="single" w:sz="4" w:space="0" w:color="000000"/>
            </w:tcBorders>
          </w:tcPr>
          <w:p>
            <w:pPr>
              <w:pStyle w:val="TableParagraph"/>
              <w:spacing w:before="11"/>
              <w:ind w:right="662"/>
              <w:jc w:val="right"/>
              <w:rPr>
                <w:sz w:val="13"/>
              </w:rPr>
            </w:pPr>
            <w:r>
              <w:rPr>
                <w:sz w:val="13"/>
              </w:rPr>
              <w:t>3.053</w:t>
            </w:r>
          </w:p>
        </w:tc>
      </w:tr>
      <w:tr>
        <w:trPr>
          <w:trHeight w:val="184" w:hRule="atLeast"/>
        </w:trPr>
        <w:tc>
          <w:tcPr>
            <w:tcW w:w="2884" w:type="dxa"/>
            <w:tcBorders>
              <w:left w:val="single" w:sz="4" w:space="0" w:color="000000"/>
              <w:right w:val="single" w:sz="4" w:space="0" w:color="000000"/>
            </w:tcBorders>
          </w:tcPr>
          <w:p>
            <w:pPr>
              <w:pStyle w:val="TableParagraph"/>
              <w:spacing w:before="1"/>
              <w:ind w:left="57"/>
              <w:rPr>
                <w:sz w:val="13"/>
              </w:rPr>
            </w:pPr>
            <w:r>
              <w:rPr>
                <w:w w:val="105"/>
                <w:sz w:val="13"/>
              </w:rPr>
              <w:t>Otros Sanitarios</w:t>
            </w:r>
          </w:p>
        </w:tc>
        <w:tc>
          <w:tcPr>
            <w:tcW w:w="1389" w:type="dxa"/>
            <w:tcBorders>
              <w:left w:val="single" w:sz="4" w:space="0" w:color="000000"/>
            </w:tcBorders>
          </w:tcPr>
          <w:p>
            <w:pPr>
              <w:pStyle w:val="TableParagraph"/>
              <w:spacing w:before="1"/>
              <w:ind w:right="354"/>
              <w:jc w:val="right"/>
              <w:rPr>
                <w:sz w:val="13"/>
              </w:rPr>
            </w:pPr>
            <w:r>
              <w:rPr>
                <w:sz w:val="13"/>
              </w:rPr>
              <w:t>88</w:t>
            </w:r>
          </w:p>
        </w:tc>
        <w:tc>
          <w:tcPr>
            <w:tcW w:w="1084" w:type="dxa"/>
          </w:tcPr>
          <w:p>
            <w:pPr>
              <w:pStyle w:val="TableParagraph"/>
              <w:spacing w:before="1"/>
              <w:ind w:right="338"/>
              <w:jc w:val="right"/>
              <w:rPr>
                <w:sz w:val="13"/>
              </w:rPr>
            </w:pPr>
            <w:r>
              <w:rPr>
                <w:sz w:val="13"/>
              </w:rPr>
              <w:t>195</w:t>
            </w:r>
          </w:p>
        </w:tc>
        <w:tc>
          <w:tcPr>
            <w:tcW w:w="1603" w:type="dxa"/>
            <w:tcBorders>
              <w:right w:val="single" w:sz="4" w:space="0" w:color="000000"/>
            </w:tcBorders>
          </w:tcPr>
          <w:p>
            <w:pPr>
              <w:pStyle w:val="TableParagraph"/>
              <w:spacing w:before="1"/>
              <w:ind w:right="662"/>
              <w:jc w:val="right"/>
              <w:rPr>
                <w:sz w:val="13"/>
              </w:rPr>
            </w:pPr>
            <w:r>
              <w:rPr>
                <w:sz w:val="13"/>
              </w:rPr>
              <w:t>107</w:t>
            </w:r>
          </w:p>
        </w:tc>
      </w:tr>
      <w:tr>
        <w:trPr>
          <w:trHeight w:val="194" w:hRule="atLeast"/>
        </w:trPr>
        <w:tc>
          <w:tcPr>
            <w:tcW w:w="2884" w:type="dxa"/>
            <w:tcBorders>
              <w:left w:val="single" w:sz="4" w:space="0" w:color="000000"/>
              <w:right w:val="single" w:sz="4" w:space="0" w:color="000000"/>
            </w:tcBorders>
          </w:tcPr>
          <w:p>
            <w:pPr>
              <w:pStyle w:val="TableParagraph"/>
              <w:spacing w:before="2"/>
              <w:ind w:left="57"/>
              <w:rPr>
                <w:b/>
                <w:sz w:val="13"/>
              </w:rPr>
            </w:pPr>
            <w:r>
              <w:rPr>
                <w:b/>
                <w:w w:val="105"/>
                <w:sz w:val="13"/>
              </w:rPr>
              <w:t>Personal no sanitario</w:t>
            </w:r>
          </w:p>
        </w:tc>
        <w:tc>
          <w:tcPr>
            <w:tcW w:w="1389" w:type="dxa"/>
            <w:tcBorders>
              <w:left w:val="single" w:sz="4" w:space="0" w:color="000000"/>
            </w:tcBorders>
          </w:tcPr>
          <w:p>
            <w:pPr>
              <w:pStyle w:val="TableParagraph"/>
              <w:spacing w:before="2"/>
              <w:ind w:right="353"/>
              <w:jc w:val="right"/>
              <w:rPr>
                <w:b/>
                <w:sz w:val="13"/>
              </w:rPr>
            </w:pPr>
            <w:r>
              <w:rPr>
                <w:b/>
                <w:sz w:val="13"/>
              </w:rPr>
              <w:t>6.553</w:t>
            </w:r>
          </w:p>
        </w:tc>
        <w:tc>
          <w:tcPr>
            <w:tcW w:w="1084" w:type="dxa"/>
          </w:tcPr>
          <w:p>
            <w:pPr>
              <w:pStyle w:val="TableParagraph"/>
              <w:spacing w:before="2"/>
              <w:ind w:right="338"/>
              <w:jc w:val="right"/>
              <w:rPr>
                <w:b/>
                <w:sz w:val="13"/>
              </w:rPr>
            </w:pPr>
            <w:r>
              <w:rPr>
                <w:b/>
                <w:sz w:val="13"/>
              </w:rPr>
              <w:t>10.140</w:t>
            </w:r>
          </w:p>
        </w:tc>
        <w:tc>
          <w:tcPr>
            <w:tcW w:w="1603" w:type="dxa"/>
            <w:tcBorders>
              <w:right w:val="single" w:sz="4" w:space="0" w:color="000000"/>
            </w:tcBorders>
          </w:tcPr>
          <w:p>
            <w:pPr>
              <w:pStyle w:val="TableParagraph"/>
              <w:spacing w:before="2"/>
              <w:ind w:right="662"/>
              <w:jc w:val="right"/>
              <w:rPr>
                <w:b/>
                <w:sz w:val="13"/>
              </w:rPr>
            </w:pPr>
            <w:r>
              <w:rPr>
                <w:b/>
                <w:sz w:val="13"/>
              </w:rPr>
              <w:t>3.587</w:t>
            </w:r>
          </w:p>
        </w:tc>
      </w:tr>
      <w:tr>
        <w:trPr>
          <w:trHeight w:val="204" w:hRule="atLeast"/>
        </w:trPr>
        <w:tc>
          <w:tcPr>
            <w:tcW w:w="2884" w:type="dxa"/>
            <w:tcBorders>
              <w:left w:val="single" w:sz="4" w:space="0" w:color="000000"/>
              <w:right w:val="single" w:sz="4" w:space="0" w:color="000000"/>
            </w:tcBorders>
          </w:tcPr>
          <w:p>
            <w:pPr>
              <w:pStyle w:val="TableParagraph"/>
              <w:spacing w:before="11"/>
              <w:ind w:left="57"/>
              <w:rPr>
                <w:sz w:val="13"/>
              </w:rPr>
            </w:pPr>
            <w:r>
              <w:rPr>
                <w:w w:val="105"/>
                <w:sz w:val="13"/>
              </w:rPr>
              <w:t>Funciones administrativas</w:t>
            </w:r>
          </w:p>
        </w:tc>
        <w:tc>
          <w:tcPr>
            <w:tcW w:w="1389" w:type="dxa"/>
            <w:tcBorders>
              <w:left w:val="single" w:sz="4" w:space="0" w:color="000000"/>
            </w:tcBorders>
          </w:tcPr>
          <w:p>
            <w:pPr>
              <w:pStyle w:val="TableParagraph"/>
              <w:spacing w:before="11"/>
              <w:ind w:right="353"/>
              <w:jc w:val="right"/>
              <w:rPr>
                <w:sz w:val="13"/>
              </w:rPr>
            </w:pPr>
            <w:r>
              <w:rPr>
                <w:sz w:val="13"/>
              </w:rPr>
              <w:t>3.144</w:t>
            </w:r>
          </w:p>
        </w:tc>
        <w:tc>
          <w:tcPr>
            <w:tcW w:w="1084" w:type="dxa"/>
          </w:tcPr>
          <w:p>
            <w:pPr>
              <w:pStyle w:val="TableParagraph"/>
              <w:spacing w:before="11"/>
              <w:ind w:right="338"/>
              <w:jc w:val="right"/>
              <w:rPr>
                <w:sz w:val="13"/>
              </w:rPr>
            </w:pPr>
            <w:r>
              <w:rPr>
                <w:sz w:val="13"/>
              </w:rPr>
              <w:t>4.670</w:t>
            </w:r>
          </w:p>
        </w:tc>
        <w:tc>
          <w:tcPr>
            <w:tcW w:w="1603" w:type="dxa"/>
            <w:tcBorders>
              <w:right w:val="single" w:sz="4" w:space="0" w:color="000000"/>
            </w:tcBorders>
          </w:tcPr>
          <w:p>
            <w:pPr>
              <w:pStyle w:val="TableParagraph"/>
              <w:spacing w:before="11"/>
              <w:ind w:right="662"/>
              <w:jc w:val="right"/>
              <w:rPr>
                <w:sz w:val="13"/>
              </w:rPr>
            </w:pPr>
            <w:r>
              <w:rPr>
                <w:sz w:val="13"/>
              </w:rPr>
              <w:t>1.526</w:t>
            </w:r>
          </w:p>
        </w:tc>
      </w:tr>
      <w:tr>
        <w:trPr>
          <w:trHeight w:val="192" w:hRule="atLeast"/>
        </w:trPr>
        <w:tc>
          <w:tcPr>
            <w:tcW w:w="2884" w:type="dxa"/>
            <w:tcBorders>
              <w:left w:val="single" w:sz="4" w:space="0" w:color="000000"/>
              <w:bottom w:val="single" w:sz="4" w:space="0" w:color="000000"/>
              <w:right w:val="single" w:sz="4" w:space="0" w:color="000000"/>
            </w:tcBorders>
          </w:tcPr>
          <w:p>
            <w:pPr>
              <w:pStyle w:val="TableParagraph"/>
              <w:spacing w:before="13"/>
              <w:ind w:left="57"/>
              <w:rPr>
                <w:sz w:val="13"/>
              </w:rPr>
            </w:pPr>
            <w:r>
              <w:rPr>
                <w:w w:val="105"/>
                <w:sz w:val="13"/>
              </w:rPr>
              <w:t>Otros no sanitarios</w:t>
            </w:r>
          </w:p>
        </w:tc>
        <w:tc>
          <w:tcPr>
            <w:tcW w:w="1389" w:type="dxa"/>
            <w:tcBorders>
              <w:left w:val="single" w:sz="4" w:space="0" w:color="000000"/>
              <w:bottom w:val="single" w:sz="4" w:space="0" w:color="000000"/>
            </w:tcBorders>
          </w:tcPr>
          <w:p>
            <w:pPr>
              <w:pStyle w:val="TableParagraph"/>
              <w:spacing w:before="13"/>
              <w:ind w:right="353"/>
              <w:jc w:val="right"/>
              <w:rPr>
                <w:sz w:val="13"/>
              </w:rPr>
            </w:pPr>
            <w:r>
              <w:rPr>
                <w:sz w:val="13"/>
              </w:rPr>
              <w:t>3.409</w:t>
            </w:r>
          </w:p>
        </w:tc>
        <w:tc>
          <w:tcPr>
            <w:tcW w:w="1084" w:type="dxa"/>
            <w:tcBorders>
              <w:bottom w:val="single" w:sz="4" w:space="0" w:color="000000"/>
            </w:tcBorders>
          </w:tcPr>
          <w:p>
            <w:pPr>
              <w:pStyle w:val="TableParagraph"/>
              <w:spacing w:before="13"/>
              <w:ind w:right="338"/>
              <w:jc w:val="right"/>
              <w:rPr>
                <w:sz w:val="13"/>
              </w:rPr>
            </w:pPr>
            <w:r>
              <w:rPr>
                <w:sz w:val="13"/>
              </w:rPr>
              <w:t>5.470</w:t>
            </w:r>
          </w:p>
        </w:tc>
        <w:tc>
          <w:tcPr>
            <w:tcW w:w="1603" w:type="dxa"/>
            <w:tcBorders>
              <w:bottom w:val="single" w:sz="4" w:space="0" w:color="000000"/>
              <w:right w:val="single" w:sz="4" w:space="0" w:color="000000"/>
            </w:tcBorders>
          </w:tcPr>
          <w:p>
            <w:pPr>
              <w:pStyle w:val="TableParagraph"/>
              <w:spacing w:before="13"/>
              <w:ind w:right="662"/>
              <w:jc w:val="right"/>
              <w:rPr>
                <w:sz w:val="13"/>
              </w:rPr>
            </w:pPr>
            <w:r>
              <w:rPr>
                <w:sz w:val="13"/>
              </w:rPr>
              <w:t>2.061</w:t>
            </w:r>
          </w:p>
        </w:tc>
      </w:tr>
      <w:tr>
        <w:trPr>
          <w:trHeight w:val="298" w:hRule="atLeast"/>
        </w:trPr>
        <w:tc>
          <w:tcPr>
            <w:tcW w:w="2884"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70"/>
              <w:ind w:left="739"/>
              <w:rPr>
                <w:b/>
                <w:sz w:val="13"/>
              </w:rPr>
            </w:pPr>
            <w:r>
              <w:rPr>
                <w:b/>
                <w:w w:val="105"/>
                <w:sz w:val="13"/>
              </w:rPr>
              <w:t>TOTAL (</w:t>
            </w:r>
            <w:r>
              <w:rPr>
                <w:w w:val="105"/>
                <w:sz w:val="13"/>
              </w:rPr>
              <w:t>nº de empleados</w:t>
            </w:r>
            <w:r>
              <w:rPr>
                <w:b/>
                <w:w w:val="105"/>
                <w:sz w:val="13"/>
              </w:rPr>
              <w:t>)</w:t>
            </w:r>
          </w:p>
        </w:tc>
        <w:tc>
          <w:tcPr>
            <w:tcW w:w="1389" w:type="dxa"/>
            <w:tcBorders>
              <w:top w:val="single" w:sz="4" w:space="0" w:color="000000"/>
              <w:left w:val="single" w:sz="4" w:space="0" w:color="000000"/>
              <w:bottom w:val="single" w:sz="4" w:space="0" w:color="000000"/>
            </w:tcBorders>
            <w:shd w:val="clear" w:color="auto" w:fill="D9D9D9"/>
          </w:tcPr>
          <w:p>
            <w:pPr>
              <w:pStyle w:val="TableParagraph"/>
              <w:spacing w:before="70"/>
              <w:ind w:right="353"/>
              <w:jc w:val="right"/>
              <w:rPr>
                <w:b/>
                <w:sz w:val="13"/>
              </w:rPr>
            </w:pPr>
            <w:r>
              <w:rPr>
                <w:b/>
                <w:sz w:val="13"/>
              </w:rPr>
              <w:t>24.947</w:t>
            </w:r>
          </w:p>
        </w:tc>
        <w:tc>
          <w:tcPr>
            <w:tcW w:w="1084" w:type="dxa"/>
            <w:tcBorders>
              <w:top w:val="single" w:sz="4" w:space="0" w:color="000000"/>
              <w:bottom w:val="single" w:sz="4" w:space="0" w:color="000000"/>
            </w:tcBorders>
            <w:shd w:val="clear" w:color="auto" w:fill="D9D9D9"/>
          </w:tcPr>
          <w:p>
            <w:pPr>
              <w:pStyle w:val="TableParagraph"/>
              <w:spacing w:before="70"/>
              <w:ind w:right="338"/>
              <w:jc w:val="right"/>
              <w:rPr>
                <w:b/>
                <w:sz w:val="13"/>
              </w:rPr>
            </w:pPr>
            <w:r>
              <w:rPr>
                <w:b/>
                <w:sz w:val="13"/>
              </w:rPr>
              <w:t>36.127</w:t>
            </w:r>
          </w:p>
        </w:tc>
        <w:tc>
          <w:tcPr>
            <w:tcW w:w="1603" w:type="dxa"/>
            <w:tcBorders>
              <w:top w:val="single" w:sz="4" w:space="0" w:color="000000"/>
              <w:bottom w:val="single" w:sz="4" w:space="0" w:color="000000"/>
              <w:right w:val="single" w:sz="4" w:space="0" w:color="000000"/>
            </w:tcBorders>
            <w:shd w:val="clear" w:color="auto" w:fill="D9D9D9"/>
          </w:tcPr>
          <w:p>
            <w:pPr>
              <w:pStyle w:val="TableParagraph"/>
              <w:spacing w:before="70"/>
              <w:ind w:right="662"/>
              <w:jc w:val="right"/>
              <w:rPr>
                <w:b/>
                <w:sz w:val="13"/>
              </w:rPr>
            </w:pPr>
            <w:r>
              <w:rPr>
                <w:b/>
                <w:sz w:val="13"/>
              </w:rPr>
              <w:t>11.180</w:t>
            </w:r>
          </w:p>
        </w:tc>
      </w:tr>
    </w:tbl>
    <w:p>
      <w:pPr>
        <w:spacing w:before="3"/>
        <w:ind w:left="2334" w:right="0" w:firstLine="0"/>
        <w:jc w:val="left"/>
        <w:rPr>
          <w:sz w:val="13"/>
        </w:rPr>
      </w:pPr>
      <w:r>
        <w:rPr>
          <w:w w:val="105"/>
          <w:sz w:val="13"/>
        </w:rPr>
        <w:t>Fuente: Transparencia SCS</w:t>
      </w:r>
    </w:p>
    <w:p>
      <w:pPr>
        <w:pStyle w:val="BodyText"/>
        <w:spacing w:before="10"/>
        <w:rPr>
          <w:sz w:val="16"/>
        </w:rPr>
      </w:pPr>
    </w:p>
    <w:p>
      <w:pPr>
        <w:pStyle w:val="ListParagraph"/>
        <w:numPr>
          <w:ilvl w:val="0"/>
          <w:numId w:val="47"/>
        </w:numPr>
        <w:tabs>
          <w:tab w:pos="2335" w:val="left" w:leader="none"/>
        </w:tabs>
        <w:spacing w:line="240" w:lineRule="auto" w:before="0" w:after="0"/>
        <w:ind w:left="2334" w:right="1139" w:hanging="238"/>
        <w:jc w:val="both"/>
        <w:rPr>
          <w:sz w:val="20"/>
        </w:rPr>
      </w:pPr>
      <w:r>
        <w:rPr/>
        <w:pict>
          <v:shape style="position:absolute;margin-left:187.449768pt;margin-top:71.483727pt;width:168.5pt;height:64.1pt;mso-position-horizontal-relative:page;mso-position-vertical-relative:paragraph;z-index:25185177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2"/>
                    <w:gridCol w:w="2116"/>
                  </w:tblGrid>
                  <w:tr>
                    <w:trPr>
                      <w:trHeight w:val="384" w:hRule="atLeast"/>
                    </w:trPr>
                    <w:tc>
                      <w:tcPr>
                        <w:tcW w:w="1242" w:type="dxa"/>
                        <w:vMerge w:val="restart"/>
                      </w:tcPr>
                      <w:p>
                        <w:pPr>
                          <w:pStyle w:val="TableParagraph"/>
                          <w:rPr>
                            <w:b/>
                            <w:sz w:val="14"/>
                          </w:rPr>
                        </w:pPr>
                      </w:p>
                      <w:p>
                        <w:pPr>
                          <w:pStyle w:val="TableParagraph"/>
                          <w:spacing w:before="6"/>
                          <w:rPr>
                            <w:b/>
                            <w:sz w:val="18"/>
                          </w:rPr>
                        </w:pPr>
                      </w:p>
                      <w:p>
                        <w:pPr>
                          <w:pStyle w:val="TableParagraph"/>
                          <w:spacing w:line="292" w:lineRule="auto"/>
                          <w:ind w:left="57" w:right="58"/>
                          <w:rPr>
                            <w:b/>
                            <w:sz w:val="13"/>
                          </w:rPr>
                        </w:pPr>
                        <w:r>
                          <w:rPr>
                            <w:b/>
                            <w:w w:val="105"/>
                            <w:sz w:val="13"/>
                          </w:rPr>
                          <w:t>Facultativo Sanitario</w:t>
                        </w:r>
                      </w:p>
                      <w:p>
                        <w:pPr>
                          <w:pStyle w:val="TableParagraph"/>
                          <w:spacing w:line="139" w:lineRule="exact" w:before="2"/>
                          <w:ind w:left="57"/>
                          <w:rPr>
                            <w:b/>
                            <w:sz w:val="13"/>
                          </w:rPr>
                        </w:pPr>
                        <w:r>
                          <w:rPr>
                            <w:b/>
                            <w:w w:val="105"/>
                            <w:sz w:val="13"/>
                          </w:rPr>
                          <w:t>No sanitario</w:t>
                        </w:r>
                      </w:p>
                    </w:tc>
                    <w:tc>
                      <w:tcPr>
                        <w:tcW w:w="2116" w:type="dxa"/>
                        <w:shd w:val="clear" w:color="auto" w:fill="DEEAF6"/>
                      </w:tcPr>
                      <w:p>
                        <w:pPr>
                          <w:pStyle w:val="TableParagraph"/>
                          <w:tabs>
                            <w:tab w:pos="1261" w:val="left" w:leader="none"/>
                          </w:tabs>
                          <w:spacing w:before="113"/>
                          <w:ind w:right="345"/>
                          <w:jc w:val="right"/>
                          <w:rPr>
                            <w:b/>
                            <w:sz w:val="13"/>
                          </w:rPr>
                        </w:pPr>
                        <w:r>
                          <w:rPr>
                            <w:b/>
                            <w:w w:val="105"/>
                            <w:sz w:val="13"/>
                          </w:rPr>
                          <w:t>Permisos</w:t>
                        </w:r>
                        <w:r>
                          <w:rPr>
                            <w:b/>
                            <w:spacing w:val="-5"/>
                            <w:w w:val="105"/>
                            <w:sz w:val="13"/>
                          </w:rPr>
                          <w:t> </w:t>
                        </w:r>
                        <w:r>
                          <w:rPr>
                            <w:b/>
                            <w:w w:val="105"/>
                            <w:sz w:val="13"/>
                          </w:rPr>
                          <w:t>2022</w:t>
                          <w:tab/>
                          <w:t>IT</w:t>
                        </w:r>
                        <w:r>
                          <w:rPr>
                            <w:b/>
                            <w:spacing w:val="-5"/>
                            <w:w w:val="105"/>
                            <w:sz w:val="13"/>
                          </w:rPr>
                          <w:t> </w:t>
                        </w:r>
                        <w:r>
                          <w:rPr>
                            <w:b/>
                            <w:w w:val="105"/>
                            <w:sz w:val="13"/>
                          </w:rPr>
                          <w:t>2022</w:t>
                        </w:r>
                      </w:p>
                    </w:tc>
                  </w:tr>
                  <w:tr>
                    <w:trPr>
                      <w:trHeight w:val="550" w:hRule="atLeast"/>
                    </w:trPr>
                    <w:tc>
                      <w:tcPr>
                        <w:tcW w:w="1242" w:type="dxa"/>
                        <w:vMerge/>
                        <w:tcBorders>
                          <w:top w:val="nil"/>
                        </w:tcBorders>
                      </w:tcPr>
                      <w:p>
                        <w:pPr>
                          <w:rPr>
                            <w:sz w:val="2"/>
                            <w:szCs w:val="2"/>
                          </w:rPr>
                        </w:pPr>
                      </w:p>
                    </w:tc>
                    <w:tc>
                      <w:tcPr>
                        <w:tcW w:w="2116" w:type="dxa"/>
                      </w:tcPr>
                      <w:p>
                        <w:pPr>
                          <w:pStyle w:val="TableParagraph"/>
                          <w:tabs>
                            <w:tab w:pos="1367" w:val="left" w:leader="none"/>
                          </w:tabs>
                          <w:spacing w:before="2"/>
                          <w:ind w:left="309"/>
                          <w:rPr>
                            <w:sz w:val="13"/>
                          </w:rPr>
                        </w:pPr>
                        <w:r>
                          <w:rPr>
                            <w:w w:val="105"/>
                            <w:sz w:val="13"/>
                          </w:rPr>
                          <w:t>55.105</w:t>
                          <w:tab/>
                          <w:t>45.398</w:t>
                        </w:r>
                      </w:p>
                      <w:p>
                        <w:pPr>
                          <w:pStyle w:val="TableParagraph"/>
                          <w:tabs>
                            <w:tab w:pos="1367" w:val="left" w:leader="none"/>
                          </w:tabs>
                          <w:spacing w:before="35"/>
                          <w:ind w:left="309"/>
                          <w:rPr>
                            <w:sz w:val="13"/>
                          </w:rPr>
                        </w:pPr>
                        <w:r>
                          <w:rPr>
                            <w:w w:val="105"/>
                            <w:sz w:val="13"/>
                          </w:rPr>
                          <w:t>74.764</w:t>
                          <w:tab/>
                          <w:t>82.735</w:t>
                        </w:r>
                      </w:p>
                      <w:p>
                        <w:pPr>
                          <w:pStyle w:val="TableParagraph"/>
                          <w:tabs>
                            <w:tab w:pos="1367" w:val="left" w:leader="none"/>
                          </w:tabs>
                          <w:spacing w:line="139" w:lineRule="exact" w:before="37"/>
                          <w:ind w:left="309"/>
                          <w:rPr>
                            <w:sz w:val="13"/>
                          </w:rPr>
                        </w:pPr>
                        <w:r>
                          <w:rPr>
                            <w:w w:val="105"/>
                            <w:sz w:val="13"/>
                          </w:rPr>
                          <w:t>38.370</w:t>
                          <w:tab/>
                          <w:t>40.629</w:t>
                        </w:r>
                      </w:p>
                    </w:tc>
                  </w:tr>
                  <w:tr>
                    <w:trPr>
                      <w:trHeight w:val="308" w:hRule="atLeast"/>
                    </w:trPr>
                    <w:tc>
                      <w:tcPr>
                        <w:tcW w:w="1242" w:type="dxa"/>
                        <w:shd w:val="clear" w:color="auto" w:fill="D9D9D9"/>
                      </w:tcPr>
                      <w:p>
                        <w:pPr>
                          <w:pStyle w:val="TableParagraph"/>
                          <w:spacing w:before="76"/>
                          <w:ind w:left="237"/>
                          <w:rPr>
                            <w:b/>
                            <w:sz w:val="13"/>
                          </w:rPr>
                        </w:pPr>
                        <w:r>
                          <w:rPr>
                            <w:b/>
                            <w:w w:val="105"/>
                            <w:sz w:val="13"/>
                          </w:rPr>
                          <w:t>Total (</w:t>
                        </w:r>
                        <w:r>
                          <w:rPr>
                            <w:w w:val="105"/>
                            <w:sz w:val="13"/>
                          </w:rPr>
                          <w:t>nº de días</w:t>
                        </w:r>
                        <w:r>
                          <w:rPr>
                            <w:b/>
                            <w:w w:val="105"/>
                            <w:sz w:val="13"/>
                          </w:rPr>
                          <w:t>)</w:t>
                        </w:r>
                      </w:p>
                    </w:tc>
                    <w:tc>
                      <w:tcPr>
                        <w:tcW w:w="2116" w:type="dxa"/>
                        <w:shd w:val="clear" w:color="auto" w:fill="D9D9D9"/>
                      </w:tcPr>
                      <w:p>
                        <w:pPr>
                          <w:pStyle w:val="TableParagraph"/>
                          <w:tabs>
                            <w:tab w:pos="1058" w:val="left" w:leader="none"/>
                          </w:tabs>
                          <w:spacing w:before="76"/>
                          <w:ind w:right="325"/>
                          <w:jc w:val="right"/>
                          <w:rPr>
                            <w:b/>
                            <w:sz w:val="13"/>
                          </w:rPr>
                        </w:pPr>
                        <w:r>
                          <w:rPr>
                            <w:b/>
                            <w:w w:val="105"/>
                            <w:sz w:val="13"/>
                          </w:rPr>
                          <w:t>168.239</w:t>
                          <w:tab/>
                        </w:r>
                        <w:r>
                          <w:rPr>
                            <w:b/>
                            <w:sz w:val="13"/>
                          </w:rPr>
                          <w:t>168.762</w:t>
                        </w:r>
                      </w:p>
                    </w:tc>
                  </w:tr>
                </w:tbl>
                <w:p>
                  <w:pPr>
                    <w:pStyle w:val="BodyText"/>
                  </w:pPr>
                </w:p>
              </w:txbxContent>
            </v:textbox>
            <w10:wrap type="none"/>
          </v:shape>
        </w:pict>
      </w:r>
      <w:r>
        <w:rPr>
          <w:sz w:val="20"/>
        </w:rPr>
        <w:t>Es preciso también señalar que, en 2022, el periodo de incapacidad temporal (IT) del personal del SCS asciende a 168.762 días (31.722 más que en 2021), equiparándose casi al número de días de permiso (168.239, con 1.616 días más que en 2021). El personal más afectado ha sido el sanitario, que acumula el 49 % de los días de IT, seguido del facultativo (con un 26,9 %).</w:t>
      </w:r>
    </w:p>
    <w:p>
      <w:pPr>
        <w:pStyle w:val="BodyText"/>
      </w:pPr>
    </w:p>
    <w:p>
      <w:pPr>
        <w:pStyle w:val="BodyText"/>
      </w:pPr>
    </w:p>
    <w:p>
      <w:pPr>
        <w:pStyle w:val="BodyText"/>
      </w:pPr>
    </w:p>
    <w:p>
      <w:pPr>
        <w:pStyle w:val="BodyText"/>
      </w:pPr>
    </w:p>
    <w:p>
      <w:pPr>
        <w:pStyle w:val="BodyText"/>
        <w:spacing w:before="5"/>
        <w:rPr>
          <w:sz w:val="28"/>
        </w:rPr>
      </w:pPr>
    </w:p>
    <w:p>
      <w:pPr>
        <w:spacing w:before="0"/>
        <w:ind w:left="6358" w:right="0" w:firstLine="0"/>
        <w:jc w:val="left"/>
        <w:rPr>
          <w:sz w:val="13"/>
        </w:rPr>
      </w:pPr>
      <w:r>
        <w:rPr>
          <w:w w:val="105"/>
          <w:sz w:val="13"/>
        </w:rPr>
        <w:t>Fuente: Transparencia SCS</w:t>
      </w:r>
    </w:p>
    <w:p>
      <w:pPr>
        <w:pStyle w:val="BodyText"/>
        <w:spacing w:before="11"/>
        <w:rPr>
          <w:sz w:val="15"/>
        </w:rPr>
      </w:pPr>
      <w:r>
        <w:rPr/>
        <w:pict>
          <v:group style="position:absolute;margin-left:148.761154pt;margin-top:11.70275pt;width:351.4pt;height:115.1pt;mso-position-horizontal-relative:page;mso-position-vertical-relative:paragraph;z-index:-251465728;mso-wrap-distance-left:0;mso-wrap-distance-right:0" coordorigin="2975,234" coordsize="7028,2302">
            <v:shape style="position:absolute;left:6381;top:349;width:3622;height:2089" type="#_x0000_t75" stroked="false">
              <v:imagedata r:id="rId17" o:title=""/>
            </v:shape>
            <v:shape style="position:absolute;left:2975;top:234;width:3469;height:2302" type="#_x0000_t75" stroked="false">
              <v:imagedata r:id="rId18" o:title=""/>
            </v:shape>
            <w10:wrap type="topAndBottom"/>
          </v:group>
        </w:pict>
      </w:r>
    </w:p>
    <w:p>
      <w:pPr>
        <w:pStyle w:val="BodyText"/>
        <w:spacing w:before="3"/>
        <w:rPr>
          <w:sz w:val="14"/>
        </w:rPr>
      </w:pPr>
    </w:p>
    <w:p>
      <w:pPr>
        <w:pStyle w:val="ListParagraph"/>
        <w:numPr>
          <w:ilvl w:val="0"/>
          <w:numId w:val="47"/>
        </w:numPr>
        <w:tabs>
          <w:tab w:pos="2335" w:val="left" w:leader="none"/>
        </w:tabs>
        <w:spacing w:line="242" w:lineRule="auto" w:before="0" w:after="0"/>
        <w:ind w:left="2334" w:right="1139" w:hanging="238"/>
        <w:jc w:val="both"/>
        <w:rPr>
          <w:sz w:val="20"/>
        </w:rPr>
      </w:pPr>
      <w:r>
        <w:rPr>
          <w:sz w:val="20"/>
        </w:rPr>
        <w:t>El personal del SCS ha acumulado la mitad de dicho gasto para el conjunto del sector público con presupuesto limitativo, el cual se ha venido incrementando progresivamente en cada ejercicio, pasando de 1.633,4 millones de € de 2019</w:t>
      </w:r>
      <w:r>
        <w:rPr>
          <w:spacing w:val="28"/>
          <w:sz w:val="20"/>
        </w:rPr>
        <w:t> </w:t>
      </w:r>
      <w:r>
        <w:rPr>
          <w:sz w:val="20"/>
        </w:rPr>
        <w:t>(año</w:t>
      </w:r>
    </w:p>
    <w:p>
      <w:pPr>
        <w:pStyle w:val="BodyText"/>
        <w:spacing w:before="10"/>
        <w:rPr>
          <w:sz w:val="15"/>
        </w:rPr>
      </w:pPr>
    </w:p>
    <w:p>
      <w:pPr>
        <w:pStyle w:val="BodyText"/>
        <w:spacing w:before="61"/>
        <w:ind w:left="7897"/>
        <w:jc w:val="center"/>
      </w:pPr>
      <w:r>
        <w:rPr/>
        <w:t>95</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01" name="image5.png"/>
                  <wp:cNvGraphicFramePr>
                    <a:graphicFrameLocks noChangeAspect="1"/>
                  </wp:cNvGraphicFramePr>
                  <a:graphic>
                    <a:graphicData uri="http://schemas.openxmlformats.org/drawingml/2006/picture">
                      <pic:pic>
                        <pic:nvPicPr>
                          <pic:cNvPr id="20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97/247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34" w:right="1201"/>
      </w:pPr>
      <w:r>
        <w:rPr/>
        <w:t>anterior a la Covid19) a 2.128,7 millones de 2022, lo que resulta una diferencia de 495,3 millones, en gran parte, como respuesta a la pandemia.</w:t>
      </w:r>
    </w:p>
    <w:p>
      <w:pPr>
        <w:pStyle w:val="BodyText"/>
        <w:spacing w:before="9"/>
        <w:rPr>
          <w:sz w:val="16"/>
        </w:rPr>
      </w:pPr>
    </w:p>
    <w:tbl>
      <w:tblPr>
        <w:tblW w:w="0" w:type="auto"/>
        <w:jc w:val="lef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6"/>
        <w:gridCol w:w="1025"/>
        <w:gridCol w:w="3236"/>
      </w:tblGrid>
      <w:tr>
        <w:trPr>
          <w:trHeight w:val="247" w:hRule="atLeast"/>
        </w:trPr>
        <w:tc>
          <w:tcPr>
            <w:tcW w:w="2626" w:type="dxa"/>
            <w:vMerge w:val="restart"/>
            <w:shd w:val="clear" w:color="auto" w:fill="DEEAF6"/>
          </w:tcPr>
          <w:p>
            <w:pPr>
              <w:pStyle w:val="TableParagraph"/>
              <w:spacing w:before="8"/>
              <w:rPr>
                <w:sz w:val="13"/>
              </w:rPr>
            </w:pPr>
          </w:p>
          <w:p>
            <w:pPr>
              <w:pStyle w:val="TableParagraph"/>
              <w:ind w:left="955" w:right="949"/>
              <w:jc w:val="center"/>
              <w:rPr>
                <w:b/>
                <w:sz w:val="13"/>
              </w:rPr>
            </w:pPr>
            <w:r>
              <w:rPr>
                <w:b/>
                <w:w w:val="105"/>
                <w:sz w:val="13"/>
              </w:rPr>
              <w:t>CAPÍTULO 1</w:t>
            </w:r>
          </w:p>
        </w:tc>
        <w:tc>
          <w:tcPr>
            <w:tcW w:w="1025" w:type="dxa"/>
            <w:vMerge w:val="restart"/>
            <w:shd w:val="clear" w:color="auto" w:fill="DEEAF6"/>
          </w:tcPr>
          <w:p>
            <w:pPr>
              <w:pStyle w:val="TableParagraph"/>
              <w:spacing w:before="2"/>
              <w:ind w:left="136" w:firstLine="40"/>
              <w:rPr>
                <w:b/>
                <w:sz w:val="13"/>
              </w:rPr>
            </w:pPr>
            <w:r>
              <w:rPr>
                <w:b/>
                <w:w w:val="105"/>
                <w:sz w:val="13"/>
              </w:rPr>
              <w:t>Proyecto de</w:t>
            </w:r>
          </w:p>
          <w:p>
            <w:pPr>
              <w:pStyle w:val="TableParagraph"/>
              <w:spacing w:line="160" w:lineRule="atLeast" w:before="5"/>
              <w:ind w:left="376" w:hanging="240"/>
              <w:rPr>
                <w:b/>
                <w:sz w:val="13"/>
              </w:rPr>
            </w:pPr>
            <w:r>
              <w:rPr>
                <w:b/>
                <w:w w:val="105"/>
                <w:sz w:val="13"/>
              </w:rPr>
              <w:t>Presupuestos 2023</w:t>
            </w:r>
          </w:p>
        </w:tc>
        <w:tc>
          <w:tcPr>
            <w:tcW w:w="3236" w:type="dxa"/>
            <w:shd w:val="clear" w:color="auto" w:fill="DEEAF6"/>
          </w:tcPr>
          <w:p>
            <w:pPr>
              <w:pStyle w:val="TableParagraph"/>
              <w:spacing w:before="44"/>
              <w:ind w:left="14"/>
              <w:jc w:val="center"/>
              <w:rPr>
                <w:b/>
                <w:sz w:val="13"/>
              </w:rPr>
            </w:pPr>
            <w:r>
              <w:rPr>
                <w:b/>
                <w:w w:val="105"/>
                <w:sz w:val="13"/>
              </w:rPr>
              <w:t>Obligaciones Reconocidas</w:t>
            </w:r>
          </w:p>
        </w:tc>
      </w:tr>
      <w:tr>
        <w:trPr>
          <w:trHeight w:val="231" w:hRule="atLeast"/>
        </w:trPr>
        <w:tc>
          <w:tcPr>
            <w:tcW w:w="2626" w:type="dxa"/>
            <w:vMerge/>
            <w:tcBorders>
              <w:top w:val="nil"/>
            </w:tcBorders>
            <w:shd w:val="clear" w:color="auto" w:fill="DEEAF6"/>
          </w:tcPr>
          <w:p>
            <w:pPr>
              <w:rPr>
                <w:sz w:val="2"/>
                <w:szCs w:val="2"/>
              </w:rPr>
            </w:pPr>
          </w:p>
        </w:tc>
        <w:tc>
          <w:tcPr>
            <w:tcW w:w="1025" w:type="dxa"/>
            <w:vMerge/>
            <w:tcBorders>
              <w:top w:val="nil"/>
            </w:tcBorders>
            <w:shd w:val="clear" w:color="auto" w:fill="DEEAF6"/>
          </w:tcPr>
          <w:p>
            <w:pPr>
              <w:rPr>
                <w:sz w:val="2"/>
                <w:szCs w:val="2"/>
              </w:rPr>
            </w:pPr>
          </w:p>
        </w:tc>
        <w:tc>
          <w:tcPr>
            <w:tcW w:w="3236" w:type="dxa"/>
            <w:shd w:val="clear" w:color="auto" w:fill="DEEAF6"/>
          </w:tcPr>
          <w:p>
            <w:pPr>
              <w:pStyle w:val="TableParagraph"/>
              <w:tabs>
                <w:tab w:pos="821" w:val="left" w:leader="none"/>
                <w:tab w:pos="1629" w:val="left" w:leader="none"/>
                <w:tab w:pos="2437" w:val="left" w:leader="none"/>
              </w:tabs>
              <w:spacing w:before="38"/>
              <w:ind w:left="12"/>
              <w:jc w:val="center"/>
              <w:rPr>
                <w:b/>
                <w:sz w:val="13"/>
              </w:rPr>
            </w:pPr>
            <w:r>
              <w:rPr>
                <w:b/>
                <w:w w:val="105"/>
                <w:sz w:val="13"/>
              </w:rPr>
              <w:t>2022</w:t>
              <w:tab/>
              <w:t>2021</w:t>
              <w:tab/>
              <w:t>2020</w:t>
              <w:tab/>
              <w:t>2019</w:t>
            </w:r>
          </w:p>
        </w:tc>
      </w:tr>
      <w:tr>
        <w:trPr>
          <w:trHeight w:val="243" w:hRule="atLeast"/>
        </w:trPr>
        <w:tc>
          <w:tcPr>
            <w:tcW w:w="2626" w:type="dxa"/>
            <w:tcBorders>
              <w:bottom w:val="nil"/>
            </w:tcBorders>
          </w:tcPr>
          <w:p>
            <w:pPr>
              <w:pStyle w:val="TableParagraph"/>
              <w:spacing w:before="44"/>
              <w:ind w:left="57"/>
              <w:rPr>
                <w:b/>
                <w:sz w:val="12"/>
              </w:rPr>
            </w:pPr>
            <w:r>
              <w:rPr>
                <w:b/>
                <w:w w:val="105"/>
                <w:sz w:val="12"/>
              </w:rPr>
              <w:t>A) SCS (</w:t>
            </w:r>
            <w:r>
              <w:rPr>
                <w:w w:val="105"/>
                <w:sz w:val="12"/>
              </w:rPr>
              <w:t>euros</w:t>
            </w:r>
            <w:r>
              <w:rPr>
                <w:b/>
                <w:w w:val="105"/>
                <w:sz w:val="12"/>
              </w:rPr>
              <w:t>)</w:t>
            </w:r>
          </w:p>
        </w:tc>
        <w:tc>
          <w:tcPr>
            <w:tcW w:w="1025" w:type="dxa"/>
            <w:tcBorders>
              <w:bottom w:val="nil"/>
            </w:tcBorders>
          </w:tcPr>
          <w:p>
            <w:pPr>
              <w:pStyle w:val="TableParagraph"/>
              <w:spacing w:before="51"/>
              <w:ind w:left="151" w:right="146"/>
              <w:jc w:val="center"/>
              <w:rPr>
                <w:sz w:val="11"/>
              </w:rPr>
            </w:pPr>
            <w:r>
              <w:rPr>
                <w:w w:val="105"/>
                <w:sz w:val="11"/>
              </w:rPr>
              <w:t>2.064.331.017</w:t>
            </w:r>
          </w:p>
        </w:tc>
        <w:tc>
          <w:tcPr>
            <w:tcW w:w="3236" w:type="dxa"/>
            <w:tcBorders>
              <w:bottom w:val="nil"/>
            </w:tcBorders>
          </w:tcPr>
          <w:p>
            <w:pPr>
              <w:pStyle w:val="TableParagraph"/>
              <w:spacing w:before="51"/>
              <w:ind w:left="8"/>
              <w:jc w:val="center"/>
              <w:rPr>
                <w:sz w:val="11"/>
              </w:rPr>
            </w:pPr>
            <w:r>
              <w:rPr>
                <w:w w:val="105"/>
                <w:sz w:val="11"/>
              </w:rPr>
              <w:t>2.128.731.349 1.998.269.400 1.801.917.441 1.633.429.951</w:t>
            </w:r>
          </w:p>
        </w:tc>
      </w:tr>
      <w:tr>
        <w:trPr>
          <w:trHeight w:val="213" w:hRule="atLeast"/>
        </w:trPr>
        <w:tc>
          <w:tcPr>
            <w:tcW w:w="2626" w:type="dxa"/>
            <w:tcBorders>
              <w:top w:val="nil"/>
              <w:bottom w:val="nil"/>
            </w:tcBorders>
          </w:tcPr>
          <w:p>
            <w:pPr>
              <w:pStyle w:val="TableParagraph"/>
              <w:spacing w:before="34"/>
              <w:ind w:left="57"/>
              <w:rPr>
                <w:b/>
                <w:sz w:val="12"/>
              </w:rPr>
            </w:pPr>
            <w:r>
              <w:rPr>
                <w:b/>
                <w:w w:val="105"/>
                <w:sz w:val="12"/>
              </w:rPr>
              <w:t>B) TOTAL ENTES CON PPTO. LIMITATIVO (</w:t>
            </w:r>
            <w:r>
              <w:rPr>
                <w:w w:val="105"/>
                <w:sz w:val="12"/>
              </w:rPr>
              <w:t>euros</w:t>
            </w:r>
            <w:r>
              <w:rPr>
                <w:b/>
                <w:w w:val="105"/>
                <w:sz w:val="12"/>
              </w:rPr>
              <w:t>)</w:t>
            </w:r>
          </w:p>
        </w:tc>
        <w:tc>
          <w:tcPr>
            <w:tcW w:w="1025" w:type="dxa"/>
            <w:tcBorders>
              <w:top w:val="nil"/>
              <w:bottom w:val="nil"/>
            </w:tcBorders>
          </w:tcPr>
          <w:p>
            <w:pPr>
              <w:pStyle w:val="TableParagraph"/>
              <w:spacing w:before="40"/>
              <w:ind w:left="151" w:right="146"/>
              <w:jc w:val="center"/>
              <w:rPr>
                <w:b/>
                <w:sz w:val="11"/>
              </w:rPr>
            </w:pPr>
            <w:r>
              <w:rPr>
                <w:b/>
                <w:w w:val="105"/>
                <w:sz w:val="11"/>
              </w:rPr>
              <w:t>4.120.554.113</w:t>
            </w:r>
          </w:p>
        </w:tc>
        <w:tc>
          <w:tcPr>
            <w:tcW w:w="3236" w:type="dxa"/>
            <w:tcBorders>
              <w:top w:val="nil"/>
              <w:bottom w:val="nil"/>
            </w:tcBorders>
          </w:tcPr>
          <w:p>
            <w:pPr>
              <w:pStyle w:val="TableParagraph"/>
              <w:spacing w:before="40"/>
              <w:ind w:left="8"/>
              <w:jc w:val="center"/>
              <w:rPr>
                <w:b/>
                <w:sz w:val="11"/>
              </w:rPr>
            </w:pPr>
            <w:r>
              <w:rPr>
                <w:b/>
                <w:w w:val="105"/>
                <w:sz w:val="11"/>
              </w:rPr>
              <w:t>4.009.017.726 3.576.350.218 3.462.968.696 3.163.768.111</w:t>
            </w:r>
          </w:p>
        </w:tc>
      </w:tr>
      <w:tr>
        <w:trPr>
          <w:trHeight w:val="171" w:hRule="atLeast"/>
        </w:trPr>
        <w:tc>
          <w:tcPr>
            <w:tcW w:w="2626" w:type="dxa"/>
            <w:tcBorders>
              <w:top w:val="nil"/>
            </w:tcBorders>
          </w:tcPr>
          <w:p>
            <w:pPr>
              <w:pStyle w:val="TableParagraph"/>
              <w:spacing w:line="141" w:lineRule="exact" w:before="10"/>
              <w:ind w:left="1089"/>
              <w:rPr>
                <w:b/>
                <w:sz w:val="13"/>
              </w:rPr>
            </w:pPr>
            <w:r>
              <w:rPr>
                <w:b/>
                <w:w w:val="105"/>
                <w:sz w:val="13"/>
              </w:rPr>
              <w:t>(A) / (B)</w:t>
            </w:r>
          </w:p>
        </w:tc>
        <w:tc>
          <w:tcPr>
            <w:tcW w:w="1025" w:type="dxa"/>
            <w:tcBorders>
              <w:top w:val="nil"/>
            </w:tcBorders>
          </w:tcPr>
          <w:p>
            <w:pPr>
              <w:pStyle w:val="TableParagraph"/>
              <w:spacing w:line="141" w:lineRule="exact" w:before="10"/>
              <w:ind w:left="151" w:right="142"/>
              <w:jc w:val="center"/>
              <w:rPr>
                <w:sz w:val="13"/>
              </w:rPr>
            </w:pPr>
            <w:r>
              <w:rPr>
                <w:w w:val="105"/>
                <w:sz w:val="13"/>
              </w:rPr>
              <w:t>53,1%</w:t>
            </w:r>
          </w:p>
        </w:tc>
        <w:tc>
          <w:tcPr>
            <w:tcW w:w="3236" w:type="dxa"/>
            <w:tcBorders>
              <w:top w:val="nil"/>
            </w:tcBorders>
          </w:tcPr>
          <w:p>
            <w:pPr>
              <w:pStyle w:val="TableParagraph"/>
              <w:tabs>
                <w:tab w:pos="788" w:val="left" w:leader="none"/>
                <w:tab w:pos="1628" w:val="left" w:leader="none"/>
                <w:tab w:pos="2439" w:val="left" w:leader="none"/>
              </w:tabs>
              <w:spacing w:line="141" w:lineRule="exact" w:before="10"/>
              <w:ind w:left="12"/>
              <w:jc w:val="center"/>
              <w:rPr>
                <w:sz w:val="13"/>
              </w:rPr>
            </w:pPr>
            <w:r>
              <w:rPr>
                <w:w w:val="105"/>
                <w:sz w:val="13"/>
              </w:rPr>
              <w:t>53,1%</w:t>
              <w:tab/>
              <w:t>55,87%</w:t>
              <w:tab/>
              <w:t>52,0%</w:t>
              <w:tab/>
              <w:t>51,6%</w:t>
            </w:r>
          </w:p>
        </w:tc>
      </w:tr>
    </w:tbl>
    <w:p>
      <w:pPr>
        <w:pStyle w:val="BodyText"/>
        <w:spacing w:before="4"/>
        <w:rPr>
          <w:sz w:val="13"/>
        </w:rPr>
      </w:pPr>
    </w:p>
    <w:tbl>
      <w:tblPr>
        <w:tblW w:w="0" w:type="auto"/>
        <w:jc w:val="lef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9"/>
        <w:gridCol w:w="1082"/>
        <w:gridCol w:w="1056"/>
        <w:gridCol w:w="1042"/>
        <w:gridCol w:w="1044"/>
      </w:tblGrid>
      <w:tr>
        <w:trPr>
          <w:trHeight w:val="241" w:hRule="atLeast"/>
        </w:trPr>
        <w:tc>
          <w:tcPr>
            <w:tcW w:w="2679" w:type="dxa"/>
            <w:tcBorders>
              <w:bottom w:val="nil"/>
            </w:tcBorders>
          </w:tcPr>
          <w:p>
            <w:pPr>
              <w:pStyle w:val="TableParagraph"/>
              <w:rPr>
                <w:rFonts w:ascii="Times New Roman"/>
                <w:sz w:val="14"/>
              </w:rPr>
            </w:pPr>
          </w:p>
        </w:tc>
        <w:tc>
          <w:tcPr>
            <w:tcW w:w="1082" w:type="dxa"/>
            <w:tcBorders>
              <w:right w:val="nil"/>
            </w:tcBorders>
            <w:shd w:val="clear" w:color="auto" w:fill="DEEAF6"/>
          </w:tcPr>
          <w:p>
            <w:pPr>
              <w:pStyle w:val="TableParagraph"/>
              <w:spacing w:before="42"/>
              <w:ind w:left="46" w:right="30"/>
              <w:jc w:val="center"/>
              <w:rPr>
                <w:b/>
                <w:sz w:val="13"/>
              </w:rPr>
            </w:pPr>
            <w:r>
              <w:rPr>
                <w:b/>
                <w:w w:val="105"/>
                <w:sz w:val="13"/>
              </w:rPr>
              <w:t>2022/2021</w:t>
            </w:r>
          </w:p>
        </w:tc>
        <w:tc>
          <w:tcPr>
            <w:tcW w:w="1056" w:type="dxa"/>
            <w:tcBorders>
              <w:left w:val="nil"/>
              <w:right w:val="nil"/>
            </w:tcBorders>
            <w:shd w:val="clear" w:color="auto" w:fill="DEEAF6"/>
          </w:tcPr>
          <w:p>
            <w:pPr>
              <w:pStyle w:val="TableParagraph"/>
              <w:spacing w:before="42"/>
              <w:ind w:left="237"/>
              <w:rPr>
                <w:b/>
                <w:sz w:val="13"/>
              </w:rPr>
            </w:pPr>
            <w:r>
              <w:rPr>
                <w:b/>
                <w:w w:val="105"/>
                <w:sz w:val="13"/>
              </w:rPr>
              <w:t>2021/2020</w:t>
            </w:r>
          </w:p>
        </w:tc>
        <w:tc>
          <w:tcPr>
            <w:tcW w:w="1042" w:type="dxa"/>
            <w:tcBorders>
              <w:left w:val="nil"/>
            </w:tcBorders>
            <w:shd w:val="clear" w:color="auto" w:fill="DEEAF6"/>
          </w:tcPr>
          <w:p>
            <w:pPr>
              <w:pStyle w:val="TableParagraph"/>
              <w:spacing w:before="42"/>
              <w:ind w:right="206"/>
              <w:jc w:val="right"/>
              <w:rPr>
                <w:b/>
                <w:sz w:val="13"/>
              </w:rPr>
            </w:pPr>
            <w:r>
              <w:rPr>
                <w:b/>
                <w:w w:val="105"/>
                <w:sz w:val="13"/>
              </w:rPr>
              <w:t>2020/2019</w:t>
            </w:r>
          </w:p>
        </w:tc>
        <w:tc>
          <w:tcPr>
            <w:tcW w:w="1044" w:type="dxa"/>
            <w:shd w:val="clear" w:color="auto" w:fill="DEEAF6"/>
          </w:tcPr>
          <w:p>
            <w:pPr>
              <w:pStyle w:val="TableParagraph"/>
              <w:spacing w:before="42"/>
              <w:ind w:left="100" w:right="92"/>
              <w:jc w:val="center"/>
              <w:rPr>
                <w:b/>
                <w:sz w:val="13"/>
              </w:rPr>
            </w:pPr>
            <w:r>
              <w:rPr>
                <w:b/>
                <w:w w:val="105"/>
                <w:sz w:val="13"/>
              </w:rPr>
              <w:t>TOTAL</w:t>
            </w:r>
          </w:p>
        </w:tc>
      </w:tr>
      <w:tr>
        <w:trPr>
          <w:trHeight w:val="264" w:hRule="atLeast"/>
        </w:trPr>
        <w:tc>
          <w:tcPr>
            <w:tcW w:w="2679" w:type="dxa"/>
            <w:tcBorders>
              <w:top w:val="nil"/>
              <w:bottom w:val="nil"/>
            </w:tcBorders>
          </w:tcPr>
          <w:p>
            <w:pPr>
              <w:pStyle w:val="TableParagraph"/>
              <w:spacing w:before="50"/>
              <w:ind w:left="57"/>
              <w:rPr>
                <w:sz w:val="13"/>
              </w:rPr>
            </w:pPr>
            <w:r>
              <w:rPr>
                <w:w w:val="105"/>
                <w:sz w:val="13"/>
              </w:rPr>
              <w:t>Incremento SCS (Gasto del CAPÍTULO 1)</w:t>
            </w:r>
          </w:p>
        </w:tc>
        <w:tc>
          <w:tcPr>
            <w:tcW w:w="1082" w:type="dxa"/>
            <w:tcBorders>
              <w:bottom w:val="nil"/>
              <w:right w:val="nil"/>
            </w:tcBorders>
          </w:tcPr>
          <w:p>
            <w:pPr>
              <w:pStyle w:val="TableParagraph"/>
              <w:spacing w:before="50"/>
              <w:ind w:left="44" w:right="30"/>
              <w:jc w:val="center"/>
              <w:rPr>
                <w:sz w:val="13"/>
              </w:rPr>
            </w:pPr>
            <w:r>
              <w:rPr>
                <w:w w:val="105"/>
                <w:sz w:val="13"/>
              </w:rPr>
              <w:t>130.461.949</w:t>
            </w:r>
          </w:p>
        </w:tc>
        <w:tc>
          <w:tcPr>
            <w:tcW w:w="1056" w:type="dxa"/>
            <w:tcBorders>
              <w:left w:val="nil"/>
              <w:bottom w:val="nil"/>
              <w:right w:val="nil"/>
            </w:tcBorders>
          </w:tcPr>
          <w:p>
            <w:pPr>
              <w:pStyle w:val="TableParagraph"/>
              <w:spacing w:before="50"/>
              <w:ind w:left="197"/>
              <w:rPr>
                <w:sz w:val="13"/>
              </w:rPr>
            </w:pPr>
            <w:r>
              <w:rPr>
                <w:w w:val="105"/>
                <w:sz w:val="13"/>
              </w:rPr>
              <w:t>196.351.959</w:t>
            </w:r>
          </w:p>
        </w:tc>
        <w:tc>
          <w:tcPr>
            <w:tcW w:w="1042" w:type="dxa"/>
            <w:tcBorders>
              <w:left w:val="nil"/>
              <w:bottom w:val="nil"/>
            </w:tcBorders>
          </w:tcPr>
          <w:p>
            <w:pPr>
              <w:pStyle w:val="TableParagraph"/>
              <w:spacing w:before="50"/>
              <w:ind w:right="169"/>
              <w:jc w:val="right"/>
              <w:rPr>
                <w:sz w:val="13"/>
              </w:rPr>
            </w:pPr>
            <w:r>
              <w:rPr>
                <w:sz w:val="13"/>
              </w:rPr>
              <w:t>168.487.490</w:t>
            </w:r>
          </w:p>
        </w:tc>
        <w:tc>
          <w:tcPr>
            <w:tcW w:w="1044" w:type="dxa"/>
            <w:tcBorders>
              <w:bottom w:val="nil"/>
            </w:tcBorders>
          </w:tcPr>
          <w:p>
            <w:pPr>
              <w:pStyle w:val="TableParagraph"/>
              <w:spacing w:before="50"/>
              <w:ind w:left="100" w:right="91"/>
              <w:jc w:val="center"/>
              <w:rPr>
                <w:b/>
                <w:sz w:val="13"/>
              </w:rPr>
            </w:pPr>
            <w:r>
              <w:rPr>
                <w:b/>
                <w:w w:val="105"/>
                <w:sz w:val="13"/>
              </w:rPr>
              <w:t>495.301.398</w:t>
            </w:r>
          </w:p>
        </w:tc>
      </w:tr>
      <w:tr>
        <w:trPr>
          <w:trHeight w:val="231" w:hRule="atLeast"/>
        </w:trPr>
        <w:tc>
          <w:tcPr>
            <w:tcW w:w="2679" w:type="dxa"/>
            <w:tcBorders>
              <w:top w:val="nil"/>
            </w:tcBorders>
          </w:tcPr>
          <w:p>
            <w:pPr>
              <w:pStyle w:val="TableParagraph"/>
              <w:spacing w:before="34"/>
              <w:ind w:left="57"/>
              <w:rPr>
                <w:sz w:val="13"/>
              </w:rPr>
            </w:pPr>
            <w:r>
              <w:rPr>
                <w:w w:val="105"/>
                <w:sz w:val="13"/>
              </w:rPr>
              <w:t>Incremento del gasto directo Covid19</w:t>
            </w:r>
          </w:p>
        </w:tc>
        <w:tc>
          <w:tcPr>
            <w:tcW w:w="1082" w:type="dxa"/>
            <w:tcBorders>
              <w:top w:val="nil"/>
              <w:right w:val="nil"/>
            </w:tcBorders>
          </w:tcPr>
          <w:p>
            <w:pPr>
              <w:pStyle w:val="TableParagraph"/>
              <w:spacing w:before="34"/>
              <w:ind w:left="44" w:right="30"/>
              <w:jc w:val="center"/>
              <w:rPr>
                <w:sz w:val="13"/>
              </w:rPr>
            </w:pPr>
            <w:r>
              <w:rPr>
                <w:w w:val="105"/>
                <w:sz w:val="13"/>
              </w:rPr>
              <w:t>136.906.440</w:t>
            </w:r>
          </w:p>
        </w:tc>
        <w:tc>
          <w:tcPr>
            <w:tcW w:w="1056" w:type="dxa"/>
            <w:tcBorders>
              <w:top w:val="nil"/>
              <w:left w:val="nil"/>
              <w:right w:val="nil"/>
            </w:tcBorders>
          </w:tcPr>
          <w:p>
            <w:pPr>
              <w:pStyle w:val="TableParagraph"/>
              <w:spacing w:before="34"/>
              <w:ind w:left="197"/>
              <w:rPr>
                <w:sz w:val="13"/>
              </w:rPr>
            </w:pPr>
            <w:r>
              <w:rPr>
                <w:w w:val="105"/>
                <w:sz w:val="13"/>
              </w:rPr>
              <w:t>143.288.790</w:t>
            </w:r>
          </w:p>
        </w:tc>
        <w:tc>
          <w:tcPr>
            <w:tcW w:w="1042" w:type="dxa"/>
            <w:tcBorders>
              <w:top w:val="nil"/>
              <w:left w:val="nil"/>
            </w:tcBorders>
          </w:tcPr>
          <w:p>
            <w:pPr>
              <w:pStyle w:val="TableParagraph"/>
              <w:spacing w:before="34"/>
              <w:ind w:right="156"/>
              <w:jc w:val="right"/>
              <w:rPr>
                <w:sz w:val="13"/>
              </w:rPr>
            </w:pPr>
            <w:r>
              <w:rPr>
                <w:w w:val="105"/>
                <w:sz w:val="13"/>
              </w:rPr>
              <w:t>61.382.940</w:t>
            </w:r>
          </w:p>
        </w:tc>
        <w:tc>
          <w:tcPr>
            <w:tcW w:w="1044" w:type="dxa"/>
            <w:tcBorders>
              <w:top w:val="nil"/>
            </w:tcBorders>
          </w:tcPr>
          <w:p>
            <w:pPr>
              <w:pStyle w:val="TableParagraph"/>
              <w:spacing w:before="34"/>
              <w:ind w:left="100" w:right="91"/>
              <w:jc w:val="center"/>
              <w:rPr>
                <w:b/>
                <w:sz w:val="13"/>
              </w:rPr>
            </w:pPr>
            <w:r>
              <w:rPr>
                <w:b/>
                <w:w w:val="105"/>
                <w:sz w:val="13"/>
              </w:rPr>
              <w:t>341.578.170</w:t>
            </w:r>
          </w:p>
        </w:tc>
      </w:tr>
    </w:tbl>
    <w:p>
      <w:pPr>
        <w:spacing w:before="3"/>
        <w:ind w:left="2334" w:right="0" w:firstLine="0"/>
        <w:jc w:val="left"/>
        <w:rPr>
          <w:sz w:val="13"/>
        </w:rPr>
      </w:pPr>
      <w:r>
        <w:rPr>
          <w:w w:val="105"/>
          <w:sz w:val="13"/>
        </w:rPr>
        <w:t>Fuente: Cuenta General de la CAC</w:t>
      </w:r>
    </w:p>
    <w:p>
      <w:pPr>
        <w:pStyle w:val="BodyText"/>
        <w:spacing w:before="8"/>
        <w:rPr>
          <w:sz w:val="16"/>
        </w:rPr>
      </w:pPr>
    </w:p>
    <w:p>
      <w:pPr>
        <w:pStyle w:val="ListParagraph"/>
        <w:numPr>
          <w:ilvl w:val="0"/>
          <w:numId w:val="47"/>
        </w:numPr>
        <w:tabs>
          <w:tab w:pos="2335" w:val="left" w:leader="none"/>
        </w:tabs>
        <w:spacing w:line="242" w:lineRule="auto" w:before="0" w:after="0"/>
        <w:ind w:left="2334" w:right="1137" w:hanging="357"/>
        <w:jc w:val="both"/>
        <w:rPr>
          <w:sz w:val="20"/>
        </w:rPr>
      </w:pPr>
      <w:r>
        <w:rPr>
          <w:sz w:val="20"/>
        </w:rPr>
        <w:t>Si se analiza la evolución de la plantilla para estos ejercicios, obtenemos que el crecimiento de efectivos desde 2019 ha ascendido a 11.779, concentrando los mayores incrementos el personal “sanitario”, facultativo (1.415) y no facultativo (7.236). Por Áreas de Salud y en proporción, este personal tiene mayor peso en Tenerife y Gran Canaria, sucediendo lo contrario para el “no sanitario”, donde es superior la proporción en las islas no capitalinas, aumentado, además, dicho porcentaje</w:t>
      </w:r>
      <w:r>
        <w:rPr>
          <w:spacing w:val="-9"/>
          <w:sz w:val="20"/>
        </w:rPr>
        <w:t> </w:t>
      </w:r>
      <w:r>
        <w:rPr>
          <w:sz w:val="20"/>
        </w:rPr>
        <w:t>en</w:t>
      </w:r>
      <w:r>
        <w:rPr>
          <w:spacing w:val="-8"/>
          <w:sz w:val="20"/>
        </w:rPr>
        <w:t> </w:t>
      </w:r>
      <w:r>
        <w:rPr>
          <w:sz w:val="20"/>
        </w:rPr>
        <w:t>los</w:t>
      </w:r>
      <w:r>
        <w:rPr>
          <w:spacing w:val="-9"/>
          <w:sz w:val="20"/>
        </w:rPr>
        <w:t> </w:t>
      </w:r>
      <w:r>
        <w:rPr>
          <w:sz w:val="20"/>
        </w:rPr>
        <w:t>últimos</w:t>
      </w:r>
      <w:r>
        <w:rPr>
          <w:spacing w:val="-10"/>
          <w:sz w:val="20"/>
        </w:rPr>
        <w:t> </w:t>
      </w:r>
      <w:r>
        <w:rPr>
          <w:sz w:val="20"/>
        </w:rPr>
        <w:t>años,</w:t>
      </w:r>
      <w:r>
        <w:rPr>
          <w:spacing w:val="-9"/>
          <w:sz w:val="20"/>
        </w:rPr>
        <w:t> </w:t>
      </w:r>
      <w:r>
        <w:rPr>
          <w:sz w:val="20"/>
        </w:rPr>
        <w:t>lo</w:t>
      </w:r>
      <w:r>
        <w:rPr>
          <w:spacing w:val="-9"/>
          <w:sz w:val="20"/>
        </w:rPr>
        <w:t> </w:t>
      </w:r>
      <w:r>
        <w:rPr>
          <w:sz w:val="20"/>
        </w:rPr>
        <w:t>que</w:t>
      </w:r>
      <w:r>
        <w:rPr>
          <w:spacing w:val="-9"/>
          <w:sz w:val="20"/>
        </w:rPr>
        <w:t> </w:t>
      </w:r>
      <w:r>
        <w:rPr>
          <w:sz w:val="20"/>
        </w:rPr>
        <w:t>evidencia</w:t>
      </w:r>
      <w:r>
        <w:rPr>
          <w:spacing w:val="-7"/>
          <w:sz w:val="20"/>
        </w:rPr>
        <w:t> </w:t>
      </w:r>
      <w:r>
        <w:rPr>
          <w:sz w:val="20"/>
        </w:rPr>
        <w:t>la</w:t>
      </w:r>
      <w:r>
        <w:rPr>
          <w:spacing w:val="-11"/>
          <w:sz w:val="20"/>
        </w:rPr>
        <w:t> </w:t>
      </w:r>
      <w:r>
        <w:rPr>
          <w:sz w:val="20"/>
        </w:rPr>
        <w:t>necesidad</w:t>
      </w:r>
      <w:r>
        <w:rPr>
          <w:spacing w:val="-9"/>
          <w:sz w:val="20"/>
        </w:rPr>
        <w:t> </w:t>
      </w:r>
      <w:r>
        <w:rPr>
          <w:sz w:val="20"/>
        </w:rPr>
        <w:t>de</w:t>
      </w:r>
      <w:r>
        <w:rPr>
          <w:spacing w:val="-9"/>
          <w:sz w:val="20"/>
        </w:rPr>
        <w:t> </w:t>
      </w:r>
      <w:r>
        <w:rPr>
          <w:sz w:val="20"/>
        </w:rPr>
        <w:t>efectuar</w:t>
      </w:r>
      <w:r>
        <w:rPr>
          <w:spacing w:val="-9"/>
          <w:sz w:val="20"/>
        </w:rPr>
        <w:t> </w:t>
      </w:r>
      <w:r>
        <w:rPr>
          <w:sz w:val="20"/>
        </w:rPr>
        <w:t>en</w:t>
      </w:r>
      <w:r>
        <w:rPr>
          <w:spacing w:val="-9"/>
          <w:sz w:val="20"/>
        </w:rPr>
        <w:t> </w:t>
      </w:r>
      <w:r>
        <w:rPr>
          <w:sz w:val="20"/>
        </w:rPr>
        <w:t>un</w:t>
      </w:r>
      <w:r>
        <w:rPr>
          <w:spacing w:val="-11"/>
          <w:sz w:val="20"/>
        </w:rPr>
        <w:t> </w:t>
      </w:r>
      <w:r>
        <w:rPr>
          <w:sz w:val="20"/>
        </w:rPr>
        <w:t>futuro un análisis de estas diferencias por parte del SCS.</w:t>
      </w:r>
    </w:p>
    <w:p>
      <w:pPr>
        <w:pStyle w:val="BodyText"/>
        <w:spacing w:before="1" w:after="1"/>
        <w:rPr>
          <w:sz w:val="16"/>
        </w:rPr>
      </w:pPr>
    </w:p>
    <w:tbl>
      <w:tblPr>
        <w:tblW w:w="0" w:type="auto"/>
        <w:jc w:val="left"/>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0"/>
        <w:gridCol w:w="1365"/>
        <w:gridCol w:w="1122"/>
        <w:gridCol w:w="1143"/>
        <w:gridCol w:w="902"/>
      </w:tblGrid>
      <w:tr>
        <w:trPr>
          <w:trHeight w:val="284" w:hRule="atLeast"/>
        </w:trPr>
        <w:tc>
          <w:tcPr>
            <w:tcW w:w="241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365" w:type="dxa"/>
            <w:tcBorders>
              <w:top w:val="single" w:sz="4" w:space="0" w:color="000000"/>
              <w:left w:val="single" w:sz="4" w:space="0" w:color="000000"/>
              <w:bottom w:val="single" w:sz="4" w:space="0" w:color="000000"/>
            </w:tcBorders>
            <w:shd w:val="clear" w:color="auto" w:fill="DEEAF6"/>
          </w:tcPr>
          <w:p>
            <w:pPr>
              <w:pStyle w:val="TableParagraph"/>
              <w:spacing w:before="62"/>
              <w:ind w:right="340"/>
              <w:jc w:val="right"/>
              <w:rPr>
                <w:b/>
                <w:sz w:val="13"/>
              </w:rPr>
            </w:pPr>
            <w:r>
              <w:rPr>
                <w:b/>
                <w:w w:val="105"/>
                <w:sz w:val="13"/>
              </w:rPr>
              <w:t>ER 2022</w:t>
            </w:r>
          </w:p>
        </w:tc>
        <w:tc>
          <w:tcPr>
            <w:tcW w:w="1122" w:type="dxa"/>
            <w:tcBorders>
              <w:top w:val="single" w:sz="4" w:space="0" w:color="000000"/>
              <w:bottom w:val="single" w:sz="4" w:space="0" w:color="000000"/>
            </w:tcBorders>
            <w:shd w:val="clear" w:color="auto" w:fill="DEEAF6"/>
          </w:tcPr>
          <w:p>
            <w:pPr>
              <w:pStyle w:val="TableParagraph"/>
              <w:spacing w:before="62"/>
              <w:ind w:right="292"/>
              <w:jc w:val="right"/>
              <w:rPr>
                <w:b/>
                <w:sz w:val="13"/>
              </w:rPr>
            </w:pPr>
            <w:r>
              <w:rPr>
                <w:b/>
                <w:w w:val="105"/>
                <w:sz w:val="13"/>
              </w:rPr>
              <w:t>ER 2021</w:t>
            </w:r>
          </w:p>
        </w:tc>
        <w:tc>
          <w:tcPr>
            <w:tcW w:w="1143" w:type="dxa"/>
            <w:tcBorders>
              <w:top w:val="single" w:sz="4" w:space="0" w:color="000000"/>
              <w:bottom w:val="single" w:sz="4" w:space="0" w:color="000000"/>
            </w:tcBorders>
            <w:shd w:val="clear" w:color="auto" w:fill="DEEAF6"/>
          </w:tcPr>
          <w:p>
            <w:pPr>
              <w:pStyle w:val="TableParagraph"/>
              <w:spacing w:before="62"/>
              <w:ind w:right="360"/>
              <w:jc w:val="right"/>
              <w:rPr>
                <w:b/>
                <w:sz w:val="13"/>
              </w:rPr>
            </w:pPr>
            <w:r>
              <w:rPr>
                <w:b/>
                <w:w w:val="105"/>
                <w:sz w:val="13"/>
              </w:rPr>
              <w:t>ER 2020</w:t>
            </w:r>
          </w:p>
        </w:tc>
        <w:tc>
          <w:tcPr>
            <w:tcW w:w="902" w:type="dxa"/>
            <w:tcBorders>
              <w:top w:val="single" w:sz="4" w:space="0" w:color="000000"/>
              <w:bottom w:val="single" w:sz="4" w:space="0" w:color="000000"/>
              <w:right w:val="single" w:sz="4" w:space="0" w:color="000000"/>
            </w:tcBorders>
            <w:shd w:val="clear" w:color="auto" w:fill="DEEAF6"/>
          </w:tcPr>
          <w:p>
            <w:pPr>
              <w:pStyle w:val="TableParagraph"/>
              <w:spacing w:before="62"/>
              <w:ind w:right="44"/>
              <w:jc w:val="right"/>
              <w:rPr>
                <w:b/>
                <w:sz w:val="13"/>
              </w:rPr>
            </w:pPr>
            <w:r>
              <w:rPr>
                <w:b/>
                <w:w w:val="105"/>
                <w:sz w:val="13"/>
              </w:rPr>
              <w:t>ER 2019</w:t>
            </w:r>
          </w:p>
        </w:tc>
      </w:tr>
      <w:tr>
        <w:trPr>
          <w:trHeight w:val="215" w:hRule="atLeast"/>
        </w:trPr>
        <w:tc>
          <w:tcPr>
            <w:tcW w:w="2410" w:type="dxa"/>
            <w:tcBorders>
              <w:left w:val="single" w:sz="4" w:space="0" w:color="000000"/>
              <w:right w:val="single" w:sz="4" w:space="0" w:color="000000"/>
            </w:tcBorders>
          </w:tcPr>
          <w:p>
            <w:pPr>
              <w:pStyle w:val="TableParagraph"/>
              <w:spacing w:before="22"/>
              <w:ind w:left="57"/>
              <w:rPr>
                <w:sz w:val="13"/>
              </w:rPr>
            </w:pPr>
            <w:r>
              <w:rPr>
                <w:w w:val="105"/>
                <w:sz w:val="13"/>
              </w:rPr>
              <w:t>personal funcionario y estatutario (RPT)</w:t>
            </w:r>
          </w:p>
        </w:tc>
        <w:tc>
          <w:tcPr>
            <w:tcW w:w="1365" w:type="dxa"/>
            <w:tcBorders>
              <w:top w:val="single" w:sz="4" w:space="0" w:color="000000"/>
              <w:left w:val="single" w:sz="4" w:space="0" w:color="000000"/>
            </w:tcBorders>
          </w:tcPr>
          <w:p>
            <w:pPr>
              <w:pStyle w:val="TableParagraph"/>
              <w:spacing w:before="22"/>
              <w:ind w:right="340"/>
              <w:jc w:val="right"/>
              <w:rPr>
                <w:sz w:val="13"/>
              </w:rPr>
            </w:pPr>
            <w:r>
              <w:rPr>
                <w:sz w:val="13"/>
              </w:rPr>
              <w:t>405</w:t>
            </w:r>
          </w:p>
        </w:tc>
        <w:tc>
          <w:tcPr>
            <w:tcW w:w="1122" w:type="dxa"/>
            <w:tcBorders>
              <w:top w:val="single" w:sz="4" w:space="0" w:color="000000"/>
            </w:tcBorders>
          </w:tcPr>
          <w:p>
            <w:pPr>
              <w:pStyle w:val="TableParagraph"/>
              <w:spacing w:before="22"/>
              <w:ind w:right="291"/>
              <w:jc w:val="right"/>
              <w:rPr>
                <w:sz w:val="13"/>
              </w:rPr>
            </w:pPr>
            <w:r>
              <w:rPr>
                <w:sz w:val="13"/>
              </w:rPr>
              <w:t>425</w:t>
            </w:r>
          </w:p>
        </w:tc>
        <w:tc>
          <w:tcPr>
            <w:tcW w:w="1143" w:type="dxa"/>
            <w:tcBorders>
              <w:top w:val="single" w:sz="4" w:space="0" w:color="000000"/>
            </w:tcBorders>
          </w:tcPr>
          <w:p>
            <w:pPr>
              <w:pStyle w:val="TableParagraph"/>
              <w:spacing w:before="22"/>
              <w:ind w:right="360"/>
              <w:jc w:val="right"/>
              <w:rPr>
                <w:sz w:val="13"/>
              </w:rPr>
            </w:pPr>
            <w:r>
              <w:rPr>
                <w:sz w:val="13"/>
              </w:rPr>
              <w:t>403</w:t>
            </w:r>
          </w:p>
        </w:tc>
        <w:tc>
          <w:tcPr>
            <w:tcW w:w="902" w:type="dxa"/>
            <w:tcBorders>
              <w:top w:val="single" w:sz="4" w:space="0" w:color="000000"/>
              <w:right w:val="single" w:sz="4" w:space="0" w:color="000000"/>
            </w:tcBorders>
          </w:tcPr>
          <w:p>
            <w:pPr>
              <w:pStyle w:val="TableParagraph"/>
              <w:spacing w:before="22"/>
              <w:ind w:right="43"/>
              <w:jc w:val="right"/>
              <w:rPr>
                <w:sz w:val="13"/>
              </w:rPr>
            </w:pPr>
            <w:r>
              <w:rPr>
                <w:sz w:val="13"/>
              </w:rPr>
              <w:t>723</w:t>
            </w:r>
          </w:p>
        </w:tc>
      </w:tr>
      <w:tr>
        <w:trPr>
          <w:trHeight w:val="205" w:hRule="atLeast"/>
        </w:trPr>
        <w:tc>
          <w:tcPr>
            <w:tcW w:w="2410" w:type="dxa"/>
            <w:tcBorders>
              <w:left w:val="single" w:sz="4" w:space="0" w:color="000000"/>
              <w:right w:val="single" w:sz="4" w:space="0" w:color="000000"/>
            </w:tcBorders>
          </w:tcPr>
          <w:p>
            <w:pPr>
              <w:pStyle w:val="TableParagraph"/>
              <w:spacing w:before="12"/>
              <w:ind w:left="57"/>
              <w:rPr>
                <w:sz w:val="13"/>
              </w:rPr>
            </w:pPr>
            <w:r>
              <w:rPr>
                <w:w w:val="105"/>
                <w:sz w:val="13"/>
              </w:rPr>
              <w:t>equipos directivos</w:t>
            </w:r>
          </w:p>
        </w:tc>
        <w:tc>
          <w:tcPr>
            <w:tcW w:w="1365" w:type="dxa"/>
            <w:tcBorders>
              <w:left w:val="single" w:sz="4" w:space="0" w:color="000000"/>
            </w:tcBorders>
          </w:tcPr>
          <w:p>
            <w:pPr>
              <w:pStyle w:val="TableParagraph"/>
              <w:spacing w:before="12"/>
              <w:ind w:right="340"/>
              <w:jc w:val="right"/>
              <w:rPr>
                <w:sz w:val="13"/>
              </w:rPr>
            </w:pPr>
            <w:r>
              <w:rPr>
                <w:sz w:val="13"/>
              </w:rPr>
              <w:t>100</w:t>
            </w:r>
          </w:p>
        </w:tc>
        <w:tc>
          <w:tcPr>
            <w:tcW w:w="1122" w:type="dxa"/>
          </w:tcPr>
          <w:p>
            <w:pPr>
              <w:pStyle w:val="TableParagraph"/>
              <w:spacing w:before="12"/>
              <w:ind w:right="293"/>
              <w:jc w:val="right"/>
              <w:rPr>
                <w:sz w:val="13"/>
              </w:rPr>
            </w:pPr>
            <w:r>
              <w:rPr>
                <w:sz w:val="13"/>
              </w:rPr>
              <w:t>96</w:t>
            </w:r>
          </w:p>
        </w:tc>
        <w:tc>
          <w:tcPr>
            <w:tcW w:w="1143" w:type="dxa"/>
          </w:tcPr>
          <w:p>
            <w:pPr>
              <w:pStyle w:val="TableParagraph"/>
              <w:spacing w:before="12"/>
              <w:ind w:right="362"/>
              <w:jc w:val="right"/>
              <w:rPr>
                <w:sz w:val="13"/>
              </w:rPr>
            </w:pPr>
            <w:r>
              <w:rPr>
                <w:sz w:val="13"/>
              </w:rPr>
              <w:t>94</w:t>
            </w:r>
          </w:p>
        </w:tc>
        <w:tc>
          <w:tcPr>
            <w:tcW w:w="902" w:type="dxa"/>
            <w:tcBorders>
              <w:right w:val="single" w:sz="4" w:space="0" w:color="000000"/>
            </w:tcBorders>
          </w:tcPr>
          <w:p>
            <w:pPr>
              <w:pStyle w:val="TableParagraph"/>
              <w:spacing w:before="12"/>
              <w:ind w:right="43"/>
              <w:jc w:val="right"/>
              <w:rPr>
                <w:sz w:val="13"/>
              </w:rPr>
            </w:pPr>
            <w:r>
              <w:rPr>
                <w:sz w:val="13"/>
              </w:rPr>
              <w:t>127</w:t>
            </w:r>
          </w:p>
        </w:tc>
      </w:tr>
      <w:tr>
        <w:trPr>
          <w:trHeight w:val="204" w:hRule="atLeast"/>
        </w:trPr>
        <w:tc>
          <w:tcPr>
            <w:tcW w:w="2410" w:type="dxa"/>
            <w:tcBorders>
              <w:left w:val="single" w:sz="4" w:space="0" w:color="000000"/>
              <w:right w:val="single" w:sz="4" w:space="0" w:color="000000"/>
            </w:tcBorders>
          </w:tcPr>
          <w:p>
            <w:pPr>
              <w:pStyle w:val="TableParagraph"/>
              <w:spacing w:before="12"/>
              <w:ind w:left="57"/>
              <w:rPr>
                <w:sz w:val="13"/>
              </w:rPr>
            </w:pPr>
            <w:r>
              <w:rPr>
                <w:w w:val="105"/>
                <w:sz w:val="13"/>
              </w:rPr>
              <w:t>sanitarios facultativos</w:t>
            </w:r>
          </w:p>
        </w:tc>
        <w:tc>
          <w:tcPr>
            <w:tcW w:w="1365" w:type="dxa"/>
            <w:tcBorders>
              <w:left w:val="single" w:sz="4" w:space="0" w:color="000000"/>
            </w:tcBorders>
          </w:tcPr>
          <w:p>
            <w:pPr>
              <w:pStyle w:val="TableParagraph"/>
              <w:spacing w:before="12"/>
              <w:ind w:right="340"/>
              <w:jc w:val="right"/>
              <w:rPr>
                <w:sz w:val="13"/>
              </w:rPr>
            </w:pPr>
            <w:r>
              <w:rPr>
                <w:sz w:val="13"/>
              </w:rPr>
              <w:t>6.750</w:t>
            </w:r>
          </w:p>
        </w:tc>
        <w:tc>
          <w:tcPr>
            <w:tcW w:w="1122" w:type="dxa"/>
          </w:tcPr>
          <w:p>
            <w:pPr>
              <w:pStyle w:val="TableParagraph"/>
              <w:spacing w:before="12"/>
              <w:ind w:right="291"/>
              <w:jc w:val="right"/>
              <w:rPr>
                <w:sz w:val="13"/>
              </w:rPr>
            </w:pPr>
            <w:r>
              <w:rPr>
                <w:sz w:val="13"/>
              </w:rPr>
              <w:t>6.603</w:t>
            </w:r>
          </w:p>
        </w:tc>
        <w:tc>
          <w:tcPr>
            <w:tcW w:w="1143" w:type="dxa"/>
          </w:tcPr>
          <w:p>
            <w:pPr>
              <w:pStyle w:val="TableParagraph"/>
              <w:spacing w:before="12"/>
              <w:ind w:right="360"/>
              <w:jc w:val="right"/>
              <w:rPr>
                <w:sz w:val="13"/>
              </w:rPr>
            </w:pPr>
            <w:r>
              <w:rPr>
                <w:sz w:val="13"/>
              </w:rPr>
              <w:t>6.336</w:t>
            </w:r>
          </w:p>
        </w:tc>
        <w:tc>
          <w:tcPr>
            <w:tcW w:w="902" w:type="dxa"/>
            <w:tcBorders>
              <w:right w:val="single" w:sz="4" w:space="0" w:color="000000"/>
            </w:tcBorders>
          </w:tcPr>
          <w:p>
            <w:pPr>
              <w:pStyle w:val="TableParagraph"/>
              <w:spacing w:before="12"/>
              <w:ind w:right="44"/>
              <w:jc w:val="right"/>
              <w:rPr>
                <w:sz w:val="13"/>
              </w:rPr>
            </w:pPr>
            <w:r>
              <w:rPr>
                <w:sz w:val="13"/>
              </w:rPr>
              <w:t>5.335</w:t>
            </w:r>
          </w:p>
        </w:tc>
      </w:tr>
      <w:tr>
        <w:trPr>
          <w:trHeight w:val="204" w:hRule="atLeast"/>
        </w:trPr>
        <w:tc>
          <w:tcPr>
            <w:tcW w:w="2410" w:type="dxa"/>
            <w:tcBorders>
              <w:left w:val="single" w:sz="4" w:space="0" w:color="000000"/>
              <w:right w:val="single" w:sz="4" w:space="0" w:color="000000"/>
            </w:tcBorders>
          </w:tcPr>
          <w:p>
            <w:pPr>
              <w:pStyle w:val="TableParagraph"/>
              <w:spacing w:before="11"/>
              <w:ind w:left="57"/>
              <w:rPr>
                <w:sz w:val="13"/>
              </w:rPr>
            </w:pPr>
            <w:r>
              <w:rPr>
                <w:w w:val="105"/>
                <w:sz w:val="13"/>
              </w:rPr>
              <w:t>sanitarios no facultativos</w:t>
            </w:r>
          </w:p>
        </w:tc>
        <w:tc>
          <w:tcPr>
            <w:tcW w:w="1365" w:type="dxa"/>
            <w:tcBorders>
              <w:left w:val="single" w:sz="4" w:space="0" w:color="000000"/>
            </w:tcBorders>
          </w:tcPr>
          <w:p>
            <w:pPr>
              <w:pStyle w:val="TableParagraph"/>
              <w:spacing w:before="11"/>
              <w:ind w:right="340"/>
              <w:jc w:val="right"/>
              <w:rPr>
                <w:sz w:val="13"/>
              </w:rPr>
            </w:pPr>
            <w:r>
              <w:rPr>
                <w:sz w:val="13"/>
              </w:rPr>
              <w:t>19.747</w:t>
            </w:r>
          </w:p>
        </w:tc>
        <w:tc>
          <w:tcPr>
            <w:tcW w:w="1122" w:type="dxa"/>
          </w:tcPr>
          <w:p>
            <w:pPr>
              <w:pStyle w:val="TableParagraph"/>
              <w:spacing w:before="11"/>
              <w:ind w:right="292"/>
              <w:jc w:val="right"/>
              <w:rPr>
                <w:sz w:val="13"/>
              </w:rPr>
            </w:pPr>
            <w:r>
              <w:rPr>
                <w:sz w:val="13"/>
              </w:rPr>
              <w:t>19.522</w:t>
            </w:r>
          </w:p>
        </w:tc>
        <w:tc>
          <w:tcPr>
            <w:tcW w:w="1143" w:type="dxa"/>
          </w:tcPr>
          <w:p>
            <w:pPr>
              <w:pStyle w:val="TableParagraph"/>
              <w:spacing w:before="11"/>
              <w:ind w:right="360"/>
              <w:jc w:val="right"/>
              <w:rPr>
                <w:sz w:val="13"/>
              </w:rPr>
            </w:pPr>
            <w:r>
              <w:rPr>
                <w:sz w:val="13"/>
              </w:rPr>
              <w:t>18.774</w:t>
            </w:r>
          </w:p>
        </w:tc>
        <w:tc>
          <w:tcPr>
            <w:tcW w:w="902" w:type="dxa"/>
            <w:tcBorders>
              <w:right w:val="single" w:sz="4" w:space="0" w:color="000000"/>
            </w:tcBorders>
          </w:tcPr>
          <w:p>
            <w:pPr>
              <w:pStyle w:val="TableParagraph"/>
              <w:spacing w:before="11"/>
              <w:ind w:right="44"/>
              <w:jc w:val="right"/>
              <w:rPr>
                <w:sz w:val="13"/>
              </w:rPr>
            </w:pPr>
            <w:r>
              <w:rPr>
                <w:sz w:val="13"/>
              </w:rPr>
              <w:t>12.511</w:t>
            </w:r>
          </w:p>
        </w:tc>
      </w:tr>
      <w:tr>
        <w:trPr>
          <w:trHeight w:val="205" w:hRule="atLeast"/>
        </w:trPr>
        <w:tc>
          <w:tcPr>
            <w:tcW w:w="2410" w:type="dxa"/>
            <w:tcBorders>
              <w:left w:val="single" w:sz="4" w:space="0" w:color="000000"/>
              <w:right w:val="single" w:sz="4" w:space="0" w:color="000000"/>
            </w:tcBorders>
          </w:tcPr>
          <w:p>
            <w:pPr>
              <w:pStyle w:val="TableParagraph"/>
              <w:spacing w:before="12"/>
              <w:ind w:left="57"/>
              <w:rPr>
                <w:sz w:val="13"/>
              </w:rPr>
            </w:pPr>
            <w:r>
              <w:rPr>
                <w:w w:val="105"/>
                <w:sz w:val="13"/>
              </w:rPr>
              <w:t>No sanitarios</w:t>
            </w:r>
          </w:p>
        </w:tc>
        <w:tc>
          <w:tcPr>
            <w:tcW w:w="1365" w:type="dxa"/>
            <w:tcBorders>
              <w:left w:val="single" w:sz="4" w:space="0" w:color="000000"/>
            </w:tcBorders>
          </w:tcPr>
          <w:p>
            <w:pPr>
              <w:pStyle w:val="TableParagraph"/>
              <w:spacing w:before="12"/>
              <w:ind w:right="340"/>
              <w:jc w:val="right"/>
              <w:rPr>
                <w:sz w:val="13"/>
              </w:rPr>
            </w:pPr>
            <w:r>
              <w:rPr>
                <w:sz w:val="13"/>
              </w:rPr>
              <w:t>9.052</w:t>
            </w:r>
          </w:p>
        </w:tc>
        <w:tc>
          <w:tcPr>
            <w:tcW w:w="1122" w:type="dxa"/>
          </w:tcPr>
          <w:p>
            <w:pPr>
              <w:pStyle w:val="TableParagraph"/>
              <w:spacing w:before="12"/>
              <w:ind w:right="291"/>
              <w:jc w:val="right"/>
              <w:rPr>
                <w:sz w:val="13"/>
              </w:rPr>
            </w:pPr>
            <w:r>
              <w:rPr>
                <w:sz w:val="13"/>
              </w:rPr>
              <w:t>8.872</w:t>
            </w:r>
          </w:p>
        </w:tc>
        <w:tc>
          <w:tcPr>
            <w:tcW w:w="1143" w:type="dxa"/>
          </w:tcPr>
          <w:p>
            <w:pPr>
              <w:pStyle w:val="TableParagraph"/>
              <w:spacing w:before="12"/>
              <w:ind w:right="360"/>
              <w:jc w:val="right"/>
              <w:rPr>
                <w:sz w:val="13"/>
              </w:rPr>
            </w:pPr>
            <w:r>
              <w:rPr>
                <w:sz w:val="13"/>
              </w:rPr>
              <w:t>8.599</w:t>
            </w:r>
          </w:p>
        </w:tc>
        <w:tc>
          <w:tcPr>
            <w:tcW w:w="902" w:type="dxa"/>
            <w:tcBorders>
              <w:right w:val="single" w:sz="4" w:space="0" w:color="000000"/>
            </w:tcBorders>
          </w:tcPr>
          <w:p>
            <w:pPr>
              <w:pStyle w:val="TableParagraph"/>
              <w:spacing w:before="12"/>
              <w:ind w:right="44"/>
              <w:jc w:val="right"/>
              <w:rPr>
                <w:sz w:val="13"/>
              </w:rPr>
            </w:pPr>
            <w:r>
              <w:rPr>
                <w:sz w:val="13"/>
              </w:rPr>
              <w:t>6.947</w:t>
            </w:r>
          </w:p>
        </w:tc>
      </w:tr>
      <w:tr>
        <w:trPr>
          <w:trHeight w:val="191" w:hRule="atLeast"/>
        </w:trPr>
        <w:tc>
          <w:tcPr>
            <w:tcW w:w="2410" w:type="dxa"/>
            <w:tcBorders>
              <w:left w:val="single" w:sz="4" w:space="0" w:color="000000"/>
              <w:bottom w:val="single" w:sz="4" w:space="0" w:color="000000"/>
              <w:right w:val="single" w:sz="4" w:space="0" w:color="000000"/>
            </w:tcBorders>
          </w:tcPr>
          <w:p>
            <w:pPr>
              <w:pStyle w:val="TableParagraph"/>
              <w:spacing w:before="12"/>
              <w:ind w:left="57"/>
              <w:rPr>
                <w:sz w:val="13"/>
              </w:rPr>
            </w:pPr>
            <w:r>
              <w:rPr>
                <w:w w:val="105"/>
                <w:sz w:val="13"/>
              </w:rPr>
              <w:t>Personal laboral (RPT)</w:t>
            </w:r>
          </w:p>
        </w:tc>
        <w:tc>
          <w:tcPr>
            <w:tcW w:w="1365" w:type="dxa"/>
            <w:tcBorders>
              <w:left w:val="single" w:sz="4" w:space="0" w:color="000000"/>
              <w:bottom w:val="single" w:sz="4" w:space="0" w:color="000000"/>
            </w:tcBorders>
          </w:tcPr>
          <w:p>
            <w:pPr>
              <w:pStyle w:val="TableParagraph"/>
              <w:spacing w:before="12"/>
              <w:ind w:right="340"/>
              <w:jc w:val="right"/>
              <w:rPr>
                <w:sz w:val="13"/>
              </w:rPr>
            </w:pPr>
            <w:r>
              <w:rPr>
                <w:sz w:val="13"/>
              </w:rPr>
              <w:t>1.153</w:t>
            </w:r>
          </w:p>
        </w:tc>
        <w:tc>
          <w:tcPr>
            <w:tcW w:w="1122" w:type="dxa"/>
            <w:tcBorders>
              <w:bottom w:val="single" w:sz="4" w:space="0" w:color="000000"/>
            </w:tcBorders>
          </w:tcPr>
          <w:p>
            <w:pPr>
              <w:pStyle w:val="TableParagraph"/>
              <w:spacing w:before="12"/>
              <w:ind w:right="291"/>
              <w:jc w:val="right"/>
              <w:rPr>
                <w:sz w:val="13"/>
              </w:rPr>
            </w:pPr>
            <w:r>
              <w:rPr>
                <w:sz w:val="13"/>
              </w:rPr>
              <w:t>1.192</w:t>
            </w:r>
          </w:p>
        </w:tc>
        <w:tc>
          <w:tcPr>
            <w:tcW w:w="1143" w:type="dxa"/>
            <w:tcBorders>
              <w:bottom w:val="single" w:sz="4" w:space="0" w:color="000000"/>
            </w:tcBorders>
          </w:tcPr>
          <w:p>
            <w:pPr>
              <w:pStyle w:val="TableParagraph"/>
              <w:spacing w:before="12"/>
              <w:ind w:right="360"/>
              <w:jc w:val="right"/>
              <w:rPr>
                <w:sz w:val="13"/>
              </w:rPr>
            </w:pPr>
            <w:r>
              <w:rPr>
                <w:sz w:val="13"/>
              </w:rPr>
              <w:t>179</w:t>
            </w:r>
          </w:p>
        </w:tc>
        <w:tc>
          <w:tcPr>
            <w:tcW w:w="902" w:type="dxa"/>
            <w:tcBorders>
              <w:bottom w:val="single" w:sz="4" w:space="0" w:color="000000"/>
              <w:right w:val="single" w:sz="4" w:space="0" w:color="000000"/>
            </w:tcBorders>
          </w:tcPr>
          <w:p>
            <w:pPr>
              <w:pStyle w:val="TableParagraph"/>
              <w:spacing w:before="12"/>
              <w:ind w:right="43"/>
              <w:jc w:val="right"/>
              <w:rPr>
                <w:sz w:val="13"/>
              </w:rPr>
            </w:pPr>
            <w:r>
              <w:rPr>
                <w:sz w:val="13"/>
              </w:rPr>
              <w:t>257</w:t>
            </w:r>
          </w:p>
        </w:tc>
      </w:tr>
      <w:tr>
        <w:trPr>
          <w:trHeight w:val="216" w:hRule="atLeast"/>
        </w:trPr>
        <w:tc>
          <w:tcPr>
            <w:tcW w:w="2410" w:type="dxa"/>
            <w:tcBorders>
              <w:top w:val="single" w:sz="4" w:space="0" w:color="000000"/>
              <w:left w:val="single" w:sz="4" w:space="0" w:color="000000"/>
              <w:right w:val="single" w:sz="4" w:space="0" w:color="000000"/>
            </w:tcBorders>
          </w:tcPr>
          <w:p>
            <w:pPr>
              <w:pStyle w:val="TableParagraph"/>
              <w:spacing w:before="24"/>
              <w:ind w:right="46"/>
              <w:jc w:val="right"/>
              <w:rPr>
                <w:b/>
                <w:sz w:val="13"/>
              </w:rPr>
            </w:pPr>
            <w:r>
              <w:rPr>
                <w:b/>
                <w:sz w:val="13"/>
              </w:rPr>
              <w:t>SUBTOTAL</w:t>
            </w:r>
          </w:p>
        </w:tc>
        <w:tc>
          <w:tcPr>
            <w:tcW w:w="1365" w:type="dxa"/>
            <w:tcBorders>
              <w:top w:val="single" w:sz="4" w:space="0" w:color="000000"/>
              <w:left w:val="single" w:sz="4" w:space="0" w:color="000000"/>
            </w:tcBorders>
          </w:tcPr>
          <w:p>
            <w:pPr>
              <w:pStyle w:val="TableParagraph"/>
              <w:spacing w:before="24"/>
              <w:ind w:right="340"/>
              <w:jc w:val="right"/>
              <w:rPr>
                <w:b/>
                <w:sz w:val="13"/>
              </w:rPr>
            </w:pPr>
            <w:r>
              <w:rPr>
                <w:b/>
                <w:sz w:val="13"/>
              </w:rPr>
              <w:t>37.207</w:t>
            </w:r>
          </w:p>
        </w:tc>
        <w:tc>
          <w:tcPr>
            <w:tcW w:w="1122" w:type="dxa"/>
            <w:tcBorders>
              <w:top w:val="single" w:sz="4" w:space="0" w:color="000000"/>
            </w:tcBorders>
          </w:tcPr>
          <w:p>
            <w:pPr>
              <w:pStyle w:val="TableParagraph"/>
              <w:spacing w:before="24"/>
              <w:ind w:right="291"/>
              <w:jc w:val="right"/>
              <w:rPr>
                <w:b/>
                <w:sz w:val="13"/>
              </w:rPr>
            </w:pPr>
            <w:r>
              <w:rPr>
                <w:b/>
                <w:sz w:val="13"/>
              </w:rPr>
              <w:t>36.710</w:t>
            </w:r>
          </w:p>
        </w:tc>
        <w:tc>
          <w:tcPr>
            <w:tcW w:w="1143" w:type="dxa"/>
            <w:tcBorders>
              <w:top w:val="single" w:sz="4" w:space="0" w:color="000000"/>
            </w:tcBorders>
          </w:tcPr>
          <w:p>
            <w:pPr>
              <w:pStyle w:val="TableParagraph"/>
              <w:spacing w:before="24"/>
              <w:ind w:right="360"/>
              <w:jc w:val="right"/>
              <w:rPr>
                <w:b/>
                <w:sz w:val="13"/>
              </w:rPr>
            </w:pPr>
            <w:r>
              <w:rPr>
                <w:b/>
                <w:sz w:val="13"/>
              </w:rPr>
              <w:t>34.385</w:t>
            </w:r>
          </w:p>
        </w:tc>
        <w:tc>
          <w:tcPr>
            <w:tcW w:w="902" w:type="dxa"/>
            <w:tcBorders>
              <w:top w:val="single" w:sz="4" w:space="0" w:color="000000"/>
              <w:right w:val="single" w:sz="4" w:space="0" w:color="000000"/>
            </w:tcBorders>
          </w:tcPr>
          <w:p>
            <w:pPr>
              <w:pStyle w:val="TableParagraph"/>
              <w:spacing w:before="24"/>
              <w:ind w:right="44"/>
              <w:jc w:val="right"/>
              <w:rPr>
                <w:b/>
                <w:sz w:val="13"/>
              </w:rPr>
            </w:pPr>
            <w:r>
              <w:rPr>
                <w:b/>
                <w:sz w:val="13"/>
              </w:rPr>
              <w:t>25.900</w:t>
            </w:r>
          </w:p>
        </w:tc>
      </w:tr>
      <w:tr>
        <w:trPr>
          <w:trHeight w:val="204" w:hRule="atLeast"/>
        </w:trPr>
        <w:tc>
          <w:tcPr>
            <w:tcW w:w="2410" w:type="dxa"/>
            <w:tcBorders>
              <w:left w:val="single" w:sz="4" w:space="0" w:color="000000"/>
              <w:right w:val="single" w:sz="4" w:space="0" w:color="000000"/>
            </w:tcBorders>
          </w:tcPr>
          <w:p>
            <w:pPr>
              <w:pStyle w:val="TableParagraph"/>
              <w:spacing w:before="11"/>
              <w:ind w:left="57"/>
              <w:rPr>
                <w:sz w:val="13"/>
              </w:rPr>
            </w:pPr>
            <w:r>
              <w:rPr>
                <w:w w:val="105"/>
                <w:sz w:val="13"/>
              </w:rPr>
              <w:t>Personal sanitario en formación</w:t>
            </w:r>
          </w:p>
        </w:tc>
        <w:tc>
          <w:tcPr>
            <w:tcW w:w="1365" w:type="dxa"/>
            <w:tcBorders>
              <w:left w:val="single" w:sz="4" w:space="0" w:color="000000"/>
            </w:tcBorders>
          </w:tcPr>
          <w:p>
            <w:pPr>
              <w:pStyle w:val="TableParagraph"/>
              <w:spacing w:before="11"/>
              <w:ind w:right="340"/>
              <w:jc w:val="right"/>
              <w:rPr>
                <w:sz w:val="13"/>
              </w:rPr>
            </w:pPr>
            <w:r>
              <w:rPr>
                <w:sz w:val="13"/>
              </w:rPr>
              <w:t>1.427</w:t>
            </w:r>
          </w:p>
        </w:tc>
        <w:tc>
          <w:tcPr>
            <w:tcW w:w="1122" w:type="dxa"/>
          </w:tcPr>
          <w:p>
            <w:pPr>
              <w:pStyle w:val="TableParagraph"/>
              <w:spacing w:before="11"/>
              <w:ind w:right="291"/>
              <w:jc w:val="right"/>
              <w:rPr>
                <w:sz w:val="13"/>
              </w:rPr>
            </w:pPr>
            <w:r>
              <w:rPr>
                <w:sz w:val="13"/>
              </w:rPr>
              <w:t>1.356</w:t>
            </w:r>
          </w:p>
        </w:tc>
        <w:tc>
          <w:tcPr>
            <w:tcW w:w="1143" w:type="dxa"/>
          </w:tcPr>
          <w:p>
            <w:pPr>
              <w:pStyle w:val="TableParagraph"/>
              <w:spacing w:before="11"/>
              <w:ind w:right="360"/>
              <w:jc w:val="right"/>
              <w:rPr>
                <w:sz w:val="13"/>
              </w:rPr>
            </w:pPr>
            <w:r>
              <w:rPr>
                <w:sz w:val="13"/>
              </w:rPr>
              <w:t>1.245</w:t>
            </w:r>
          </w:p>
        </w:tc>
        <w:tc>
          <w:tcPr>
            <w:tcW w:w="902" w:type="dxa"/>
            <w:tcBorders>
              <w:right w:val="single" w:sz="4" w:space="0" w:color="000000"/>
            </w:tcBorders>
          </w:tcPr>
          <w:p>
            <w:pPr>
              <w:pStyle w:val="TableParagraph"/>
              <w:spacing w:before="11"/>
              <w:ind w:right="44"/>
              <w:jc w:val="right"/>
              <w:rPr>
                <w:sz w:val="13"/>
              </w:rPr>
            </w:pPr>
            <w:r>
              <w:rPr>
                <w:sz w:val="13"/>
              </w:rPr>
              <w:t>1.190</w:t>
            </w:r>
          </w:p>
        </w:tc>
      </w:tr>
      <w:tr>
        <w:trPr>
          <w:trHeight w:val="191" w:hRule="atLeast"/>
        </w:trPr>
        <w:tc>
          <w:tcPr>
            <w:tcW w:w="2410" w:type="dxa"/>
            <w:tcBorders>
              <w:left w:val="single" w:sz="4" w:space="0" w:color="000000"/>
              <w:bottom w:val="single" w:sz="4" w:space="0" w:color="000000"/>
              <w:right w:val="single" w:sz="4" w:space="0" w:color="000000"/>
            </w:tcBorders>
          </w:tcPr>
          <w:p>
            <w:pPr>
              <w:pStyle w:val="TableParagraph"/>
              <w:spacing w:before="12"/>
              <w:ind w:left="57"/>
              <w:rPr>
                <w:sz w:val="13"/>
              </w:rPr>
            </w:pPr>
            <w:r>
              <w:rPr>
                <w:w w:val="105"/>
                <w:sz w:val="13"/>
              </w:rPr>
              <w:t>Otro personal</w:t>
            </w:r>
          </w:p>
        </w:tc>
        <w:tc>
          <w:tcPr>
            <w:tcW w:w="1365" w:type="dxa"/>
            <w:tcBorders>
              <w:left w:val="single" w:sz="4" w:space="0" w:color="000000"/>
              <w:bottom w:val="single" w:sz="4" w:space="0" w:color="000000"/>
            </w:tcBorders>
          </w:tcPr>
          <w:p>
            <w:pPr>
              <w:pStyle w:val="TableParagraph"/>
              <w:spacing w:before="12"/>
              <w:ind w:right="340"/>
              <w:jc w:val="right"/>
              <w:rPr>
                <w:sz w:val="13"/>
              </w:rPr>
            </w:pPr>
            <w:r>
              <w:rPr>
                <w:sz w:val="13"/>
              </w:rPr>
              <w:t>235</w:t>
            </w:r>
          </w:p>
        </w:tc>
        <w:tc>
          <w:tcPr>
            <w:tcW w:w="1122" w:type="dxa"/>
            <w:tcBorders>
              <w:bottom w:val="single" w:sz="4" w:space="0" w:color="000000"/>
            </w:tcBorders>
          </w:tcPr>
          <w:p>
            <w:pPr>
              <w:pStyle w:val="TableParagraph"/>
              <w:spacing w:before="12"/>
              <w:ind w:right="291"/>
              <w:jc w:val="right"/>
              <w:rPr>
                <w:sz w:val="13"/>
              </w:rPr>
            </w:pPr>
            <w:r>
              <w:rPr>
                <w:sz w:val="13"/>
              </w:rPr>
              <w:t>244</w:t>
            </w:r>
          </w:p>
        </w:tc>
        <w:tc>
          <w:tcPr>
            <w:tcW w:w="1143" w:type="dxa"/>
            <w:tcBorders>
              <w:bottom w:val="single" w:sz="4" w:space="0" w:color="000000"/>
            </w:tcBorders>
          </w:tcPr>
          <w:p>
            <w:pPr>
              <w:pStyle w:val="TableParagraph"/>
              <w:spacing w:before="12"/>
              <w:ind w:right="360"/>
              <w:jc w:val="right"/>
              <w:rPr>
                <w:sz w:val="13"/>
              </w:rPr>
            </w:pPr>
            <w:r>
              <w:rPr>
                <w:sz w:val="13"/>
              </w:rPr>
              <w:t>222</w:t>
            </w:r>
          </w:p>
        </w:tc>
        <w:tc>
          <w:tcPr>
            <w:tcW w:w="902" w:type="dxa"/>
            <w:tcBorders>
              <w:bottom w:val="single" w:sz="4" w:space="0" w:color="000000"/>
              <w:right w:val="single" w:sz="4" w:space="0" w:color="000000"/>
            </w:tcBorders>
          </w:tcPr>
          <w:p>
            <w:pPr>
              <w:pStyle w:val="TableParagraph"/>
              <w:rPr>
                <w:rFonts w:ascii="Times New Roman"/>
                <w:sz w:val="12"/>
              </w:rPr>
            </w:pPr>
          </w:p>
        </w:tc>
      </w:tr>
      <w:tr>
        <w:trPr>
          <w:trHeight w:val="243" w:hRule="atLeast"/>
        </w:trPr>
        <w:tc>
          <w:tcPr>
            <w:tcW w:w="2410" w:type="dxa"/>
            <w:tcBorders>
              <w:top w:val="single" w:sz="4" w:space="0" w:color="000000"/>
              <w:left w:val="single" w:sz="4" w:space="0" w:color="000000"/>
              <w:bottom w:val="single" w:sz="4" w:space="0" w:color="000000"/>
            </w:tcBorders>
            <w:shd w:val="clear" w:color="auto" w:fill="D9D9D9"/>
          </w:tcPr>
          <w:p>
            <w:pPr>
              <w:pStyle w:val="TableParagraph"/>
              <w:spacing w:before="44"/>
              <w:ind w:right="54"/>
              <w:jc w:val="right"/>
              <w:rPr>
                <w:b/>
                <w:sz w:val="13"/>
              </w:rPr>
            </w:pPr>
            <w:r>
              <w:rPr>
                <w:b/>
                <w:w w:val="105"/>
                <w:sz w:val="13"/>
              </w:rPr>
              <w:t>TOTAL (</w:t>
            </w:r>
            <w:r>
              <w:rPr>
                <w:w w:val="105"/>
                <w:sz w:val="13"/>
              </w:rPr>
              <w:t>nº de empleados</w:t>
            </w:r>
            <w:r>
              <w:rPr>
                <w:b/>
                <w:w w:val="105"/>
                <w:sz w:val="13"/>
              </w:rPr>
              <w:t>)</w:t>
            </w:r>
          </w:p>
        </w:tc>
        <w:tc>
          <w:tcPr>
            <w:tcW w:w="1365" w:type="dxa"/>
            <w:tcBorders>
              <w:top w:val="single" w:sz="4" w:space="0" w:color="000000"/>
              <w:bottom w:val="single" w:sz="4" w:space="0" w:color="000000"/>
            </w:tcBorders>
            <w:shd w:val="clear" w:color="auto" w:fill="D9D9D9"/>
          </w:tcPr>
          <w:p>
            <w:pPr>
              <w:pStyle w:val="TableParagraph"/>
              <w:spacing w:before="44"/>
              <w:ind w:right="340"/>
              <w:jc w:val="right"/>
              <w:rPr>
                <w:b/>
                <w:sz w:val="13"/>
              </w:rPr>
            </w:pPr>
            <w:r>
              <w:rPr>
                <w:b/>
                <w:sz w:val="13"/>
              </w:rPr>
              <w:t>38.869</w:t>
            </w:r>
          </w:p>
        </w:tc>
        <w:tc>
          <w:tcPr>
            <w:tcW w:w="1122" w:type="dxa"/>
            <w:tcBorders>
              <w:top w:val="single" w:sz="4" w:space="0" w:color="000000"/>
              <w:bottom w:val="single" w:sz="4" w:space="0" w:color="000000"/>
            </w:tcBorders>
            <w:shd w:val="clear" w:color="auto" w:fill="D9D9D9"/>
          </w:tcPr>
          <w:p>
            <w:pPr>
              <w:pStyle w:val="TableParagraph"/>
              <w:spacing w:before="44"/>
              <w:ind w:right="291"/>
              <w:jc w:val="right"/>
              <w:rPr>
                <w:b/>
                <w:sz w:val="13"/>
              </w:rPr>
            </w:pPr>
            <w:r>
              <w:rPr>
                <w:b/>
                <w:sz w:val="13"/>
              </w:rPr>
              <w:t>38.310</w:t>
            </w:r>
          </w:p>
        </w:tc>
        <w:tc>
          <w:tcPr>
            <w:tcW w:w="1143" w:type="dxa"/>
            <w:tcBorders>
              <w:top w:val="single" w:sz="4" w:space="0" w:color="000000"/>
              <w:bottom w:val="single" w:sz="4" w:space="0" w:color="000000"/>
            </w:tcBorders>
            <w:shd w:val="clear" w:color="auto" w:fill="D9D9D9"/>
          </w:tcPr>
          <w:p>
            <w:pPr>
              <w:pStyle w:val="TableParagraph"/>
              <w:spacing w:before="44"/>
              <w:ind w:right="360"/>
              <w:jc w:val="right"/>
              <w:rPr>
                <w:b/>
                <w:sz w:val="13"/>
              </w:rPr>
            </w:pPr>
            <w:r>
              <w:rPr>
                <w:b/>
                <w:sz w:val="13"/>
              </w:rPr>
              <w:t>35.852</w:t>
            </w:r>
          </w:p>
        </w:tc>
        <w:tc>
          <w:tcPr>
            <w:tcW w:w="902" w:type="dxa"/>
            <w:tcBorders>
              <w:top w:val="single" w:sz="4" w:space="0" w:color="000000"/>
              <w:bottom w:val="single" w:sz="4" w:space="0" w:color="000000"/>
              <w:right w:val="single" w:sz="4" w:space="0" w:color="000000"/>
            </w:tcBorders>
            <w:shd w:val="clear" w:color="auto" w:fill="D9D9D9"/>
          </w:tcPr>
          <w:p>
            <w:pPr>
              <w:pStyle w:val="TableParagraph"/>
              <w:spacing w:before="44"/>
              <w:ind w:right="44"/>
              <w:jc w:val="right"/>
              <w:rPr>
                <w:b/>
                <w:sz w:val="13"/>
              </w:rPr>
            </w:pPr>
            <w:r>
              <w:rPr>
                <w:b/>
                <w:sz w:val="13"/>
              </w:rPr>
              <w:t>27.090</w:t>
            </w:r>
          </w:p>
        </w:tc>
      </w:tr>
    </w:tbl>
    <w:p>
      <w:pPr>
        <w:pStyle w:val="BodyText"/>
        <w:spacing w:before="9"/>
        <w:rPr>
          <w:sz w:val="21"/>
        </w:rPr>
      </w:pPr>
    </w:p>
    <w:tbl>
      <w:tblPr>
        <w:tblW w:w="0" w:type="auto"/>
        <w:jc w:val="lef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5"/>
        <w:gridCol w:w="1380"/>
        <w:gridCol w:w="1132"/>
        <w:gridCol w:w="1126"/>
        <w:gridCol w:w="878"/>
      </w:tblGrid>
      <w:tr>
        <w:trPr>
          <w:trHeight w:val="231" w:hRule="atLeast"/>
        </w:trPr>
        <w:tc>
          <w:tcPr>
            <w:tcW w:w="2435" w:type="dxa"/>
            <w:vMerge w:val="restart"/>
          </w:tcPr>
          <w:p>
            <w:pPr>
              <w:pStyle w:val="TableParagraph"/>
              <w:spacing w:before="12"/>
              <w:rPr>
                <w:sz w:val="19"/>
              </w:rPr>
            </w:pPr>
          </w:p>
          <w:p>
            <w:pPr>
              <w:pStyle w:val="TableParagraph"/>
              <w:ind w:left="57"/>
              <w:rPr>
                <w:b/>
                <w:sz w:val="13"/>
              </w:rPr>
            </w:pPr>
            <w:r>
              <w:rPr>
                <w:b/>
                <w:w w:val="105"/>
                <w:sz w:val="13"/>
              </w:rPr>
              <w:t>GRAN CANARIA + TENERIFE</w:t>
            </w:r>
          </w:p>
          <w:p>
            <w:pPr>
              <w:pStyle w:val="TableParagraph"/>
              <w:spacing w:line="170" w:lineRule="atLeast" w:before="8"/>
              <w:ind w:left="57"/>
              <w:rPr>
                <w:sz w:val="13"/>
              </w:rPr>
            </w:pPr>
            <w:r>
              <w:rPr>
                <w:w w:val="105"/>
                <w:sz w:val="13"/>
              </w:rPr>
              <w:t>Sanitarios (facultativos y no facultativos) No sanitarios</w:t>
            </w:r>
          </w:p>
        </w:tc>
        <w:tc>
          <w:tcPr>
            <w:tcW w:w="1380" w:type="dxa"/>
            <w:tcBorders>
              <w:right w:val="nil"/>
            </w:tcBorders>
            <w:shd w:val="clear" w:color="auto" w:fill="DEEAF6"/>
          </w:tcPr>
          <w:p>
            <w:pPr>
              <w:pStyle w:val="TableParagraph"/>
              <w:spacing w:before="36"/>
              <w:ind w:right="346"/>
              <w:jc w:val="right"/>
              <w:rPr>
                <w:b/>
                <w:sz w:val="13"/>
              </w:rPr>
            </w:pPr>
            <w:r>
              <w:rPr>
                <w:b/>
                <w:w w:val="105"/>
                <w:sz w:val="13"/>
              </w:rPr>
              <w:t>ER 2022</w:t>
            </w:r>
          </w:p>
        </w:tc>
        <w:tc>
          <w:tcPr>
            <w:tcW w:w="1132" w:type="dxa"/>
            <w:tcBorders>
              <w:left w:val="nil"/>
              <w:right w:val="nil"/>
            </w:tcBorders>
            <w:shd w:val="clear" w:color="auto" w:fill="DEEAF6"/>
          </w:tcPr>
          <w:p>
            <w:pPr>
              <w:pStyle w:val="TableParagraph"/>
              <w:spacing w:before="36"/>
              <w:ind w:right="299"/>
              <w:jc w:val="right"/>
              <w:rPr>
                <w:b/>
                <w:sz w:val="13"/>
              </w:rPr>
            </w:pPr>
            <w:r>
              <w:rPr>
                <w:b/>
                <w:w w:val="105"/>
                <w:sz w:val="13"/>
              </w:rPr>
              <w:t>ER 2021</w:t>
            </w:r>
          </w:p>
        </w:tc>
        <w:tc>
          <w:tcPr>
            <w:tcW w:w="1126" w:type="dxa"/>
            <w:tcBorders>
              <w:left w:val="nil"/>
              <w:right w:val="nil"/>
            </w:tcBorders>
            <w:shd w:val="clear" w:color="auto" w:fill="DEEAF6"/>
          </w:tcPr>
          <w:p>
            <w:pPr>
              <w:pStyle w:val="TableParagraph"/>
              <w:spacing w:before="36"/>
              <w:ind w:right="341"/>
              <w:jc w:val="right"/>
              <w:rPr>
                <w:b/>
                <w:sz w:val="13"/>
              </w:rPr>
            </w:pPr>
            <w:r>
              <w:rPr>
                <w:b/>
                <w:w w:val="105"/>
                <w:sz w:val="13"/>
              </w:rPr>
              <w:t>ER 2020</w:t>
            </w:r>
          </w:p>
        </w:tc>
        <w:tc>
          <w:tcPr>
            <w:tcW w:w="878" w:type="dxa"/>
            <w:tcBorders>
              <w:left w:val="nil"/>
            </w:tcBorders>
            <w:shd w:val="clear" w:color="auto" w:fill="DEEAF6"/>
          </w:tcPr>
          <w:p>
            <w:pPr>
              <w:pStyle w:val="TableParagraph"/>
              <w:spacing w:before="36"/>
              <w:ind w:right="47"/>
              <w:jc w:val="right"/>
              <w:rPr>
                <w:b/>
                <w:sz w:val="13"/>
              </w:rPr>
            </w:pPr>
            <w:r>
              <w:rPr>
                <w:b/>
                <w:w w:val="105"/>
                <w:sz w:val="13"/>
              </w:rPr>
              <w:t>ER 2019</w:t>
            </w:r>
          </w:p>
        </w:tc>
      </w:tr>
      <w:tr>
        <w:trPr>
          <w:trHeight w:val="516" w:hRule="atLeast"/>
        </w:trPr>
        <w:tc>
          <w:tcPr>
            <w:tcW w:w="2435" w:type="dxa"/>
            <w:vMerge/>
            <w:tcBorders>
              <w:top w:val="nil"/>
            </w:tcBorders>
          </w:tcPr>
          <w:p>
            <w:pPr>
              <w:rPr>
                <w:sz w:val="2"/>
                <w:szCs w:val="2"/>
              </w:rPr>
            </w:pPr>
          </w:p>
        </w:tc>
        <w:tc>
          <w:tcPr>
            <w:tcW w:w="1380" w:type="dxa"/>
            <w:tcBorders>
              <w:right w:val="nil"/>
            </w:tcBorders>
          </w:tcPr>
          <w:p>
            <w:pPr>
              <w:pStyle w:val="TableParagraph"/>
              <w:spacing w:before="9"/>
              <w:rPr>
                <w:sz w:val="14"/>
              </w:rPr>
            </w:pPr>
          </w:p>
          <w:p>
            <w:pPr>
              <w:pStyle w:val="TableParagraph"/>
              <w:ind w:left="649"/>
              <w:rPr>
                <w:sz w:val="13"/>
              </w:rPr>
            </w:pPr>
            <w:r>
              <w:rPr>
                <w:w w:val="105"/>
                <w:sz w:val="13"/>
              </w:rPr>
              <w:t>24.276</w:t>
            </w:r>
          </w:p>
          <w:p>
            <w:pPr>
              <w:pStyle w:val="TableParagraph"/>
              <w:spacing w:line="141" w:lineRule="exact" w:before="16"/>
              <w:ind w:left="718"/>
              <w:rPr>
                <w:sz w:val="13"/>
              </w:rPr>
            </w:pPr>
            <w:r>
              <w:rPr>
                <w:w w:val="105"/>
                <w:sz w:val="13"/>
              </w:rPr>
              <w:t>8.293</w:t>
            </w:r>
          </w:p>
        </w:tc>
        <w:tc>
          <w:tcPr>
            <w:tcW w:w="1132" w:type="dxa"/>
            <w:tcBorders>
              <w:left w:val="nil"/>
              <w:right w:val="nil"/>
            </w:tcBorders>
          </w:tcPr>
          <w:p>
            <w:pPr>
              <w:pStyle w:val="TableParagraph"/>
              <w:spacing w:before="9"/>
              <w:rPr>
                <w:sz w:val="14"/>
              </w:rPr>
            </w:pPr>
          </w:p>
          <w:p>
            <w:pPr>
              <w:pStyle w:val="TableParagraph"/>
              <w:ind w:left="453"/>
              <w:rPr>
                <w:sz w:val="13"/>
              </w:rPr>
            </w:pPr>
            <w:r>
              <w:rPr>
                <w:w w:val="105"/>
                <w:sz w:val="13"/>
              </w:rPr>
              <w:t>23.127</w:t>
            </w:r>
          </w:p>
          <w:p>
            <w:pPr>
              <w:pStyle w:val="TableParagraph"/>
              <w:spacing w:line="141" w:lineRule="exact" w:before="16"/>
              <w:ind w:left="522"/>
              <w:rPr>
                <w:sz w:val="13"/>
              </w:rPr>
            </w:pPr>
            <w:r>
              <w:rPr>
                <w:w w:val="105"/>
                <w:sz w:val="13"/>
              </w:rPr>
              <w:t>8.123</w:t>
            </w:r>
          </w:p>
        </w:tc>
        <w:tc>
          <w:tcPr>
            <w:tcW w:w="1126" w:type="dxa"/>
            <w:tcBorders>
              <w:left w:val="nil"/>
              <w:right w:val="nil"/>
            </w:tcBorders>
          </w:tcPr>
          <w:p>
            <w:pPr>
              <w:pStyle w:val="TableParagraph"/>
              <w:spacing w:before="9"/>
              <w:rPr>
                <w:sz w:val="14"/>
              </w:rPr>
            </w:pPr>
          </w:p>
          <w:p>
            <w:pPr>
              <w:pStyle w:val="TableParagraph"/>
              <w:ind w:left="406"/>
              <w:rPr>
                <w:sz w:val="13"/>
              </w:rPr>
            </w:pPr>
            <w:r>
              <w:rPr>
                <w:w w:val="105"/>
                <w:sz w:val="13"/>
              </w:rPr>
              <w:t>21.862</w:t>
            </w:r>
          </w:p>
          <w:p>
            <w:pPr>
              <w:pStyle w:val="TableParagraph"/>
              <w:spacing w:line="141" w:lineRule="exact" w:before="16"/>
              <w:ind w:left="474"/>
              <w:rPr>
                <w:sz w:val="13"/>
              </w:rPr>
            </w:pPr>
            <w:r>
              <w:rPr>
                <w:w w:val="105"/>
                <w:sz w:val="13"/>
              </w:rPr>
              <w:t>7.352</w:t>
            </w:r>
          </w:p>
        </w:tc>
        <w:tc>
          <w:tcPr>
            <w:tcW w:w="878" w:type="dxa"/>
            <w:tcBorders>
              <w:left w:val="nil"/>
            </w:tcBorders>
          </w:tcPr>
          <w:p>
            <w:pPr>
              <w:pStyle w:val="TableParagraph"/>
              <w:spacing w:before="9"/>
              <w:rPr>
                <w:sz w:val="14"/>
              </w:rPr>
            </w:pPr>
          </w:p>
          <w:p>
            <w:pPr>
              <w:pStyle w:val="TableParagraph"/>
              <w:ind w:left="447"/>
              <w:rPr>
                <w:sz w:val="13"/>
              </w:rPr>
            </w:pPr>
            <w:r>
              <w:rPr>
                <w:w w:val="105"/>
                <w:sz w:val="13"/>
              </w:rPr>
              <w:t>19.215</w:t>
            </w:r>
          </w:p>
          <w:p>
            <w:pPr>
              <w:pStyle w:val="TableParagraph"/>
              <w:spacing w:line="141" w:lineRule="exact" w:before="16"/>
              <w:ind w:left="515"/>
              <w:rPr>
                <w:sz w:val="13"/>
              </w:rPr>
            </w:pPr>
            <w:r>
              <w:rPr>
                <w:w w:val="105"/>
                <w:sz w:val="13"/>
              </w:rPr>
              <w:t>7.176</w:t>
            </w:r>
          </w:p>
        </w:tc>
      </w:tr>
      <w:tr>
        <w:trPr>
          <w:trHeight w:val="171" w:hRule="atLeast"/>
        </w:trPr>
        <w:tc>
          <w:tcPr>
            <w:tcW w:w="2435" w:type="dxa"/>
          </w:tcPr>
          <w:p>
            <w:pPr>
              <w:pStyle w:val="TableParagraph"/>
              <w:rPr>
                <w:rFonts w:ascii="Times New Roman"/>
                <w:sz w:val="10"/>
              </w:rPr>
            </w:pPr>
          </w:p>
        </w:tc>
        <w:tc>
          <w:tcPr>
            <w:tcW w:w="1380" w:type="dxa"/>
            <w:tcBorders>
              <w:right w:val="nil"/>
            </w:tcBorders>
          </w:tcPr>
          <w:p>
            <w:pPr>
              <w:pStyle w:val="TableParagraph"/>
              <w:spacing w:line="145" w:lineRule="exact" w:before="6"/>
              <w:ind w:right="346"/>
              <w:jc w:val="right"/>
              <w:rPr>
                <w:b/>
                <w:sz w:val="13"/>
              </w:rPr>
            </w:pPr>
            <w:r>
              <w:rPr>
                <w:b/>
                <w:sz w:val="13"/>
              </w:rPr>
              <w:t>32.569</w:t>
            </w:r>
          </w:p>
        </w:tc>
        <w:tc>
          <w:tcPr>
            <w:tcW w:w="1132" w:type="dxa"/>
            <w:tcBorders>
              <w:left w:val="nil"/>
              <w:right w:val="nil"/>
            </w:tcBorders>
          </w:tcPr>
          <w:p>
            <w:pPr>
              <w:pStyle w:val="TableParagraph"/>
              <w:spacing w:line="145" w:lineRule="exact" w:before="6"/>
              <w:ind w:right="299"/>
              <w:jc w:val="right"/>
              <w:rPr>
                <w:b/>
                <w:sz w:val="13"/>
              </w:rPr>
            </w:pPr>
            <w:r>
              <w:rPr>
                <w:b/>
                <w:sz w:val="13"/>
              </w:rPr>
              <w:t>31.250</w:t>
            </w:r>
          </w:p>
        </w:tc>
        <w:tc>
          <w:tcPr>
            <w:tcW w:w="1126" w:type="dxa"/>
            <w:tcBorders>
              <w:left w:val="nil"/>
              <w:right w:val="nil"/>
            </w:tcBorders>
          </w:tcPr>
          <w:p>
            <w:pPr>
              <w:pStyle w:val="TableParagraph"/>
              <w:spacing w:line="145" w:lineRule="exact" w:before="6"/>
              <w:ind w:right="341"/>
              <w:jc w:val="right"/>
              <w:rPr>
                <w:b/>
                <w:sz w:val="13"/>
              </w:rPr>
            </w:pPr>
            <w:r>
              <w:rPr>
                <w:b/>
                <w:sz w:val="13"/>
              </w:rPr>
              <w:t>29.214</w:t>
            </w:r>
          </w:p>
        </w:tc>
        <w:tc>
          <w:tcPr>
            <w:tcW w:w="878" w:type="dxa"/>
            <w:tcBorders>
              <w:left w:val="nil"/>
            </w:tcBorders>
          </w:tcPr>
          <w:p>
            <w:pPr>
              <w:pStyle w:val="TableParagraph"/>
              <w:spacing w:line="145" w:lineRule="exact" w:before="6"/>
              <w:ind w:right="47"/>
              <w:jc w:val="right"/>
              <w:rPr>
                <w:b/>
                <w:sz w:val="13"/>
              </w:rPr>
            </w:pPr>
            <w:r>
              <w:rPr>
                <w:b/>
                <w:sz w:val="13"/>
              </w:rPr>
              <w:t>26.391</w:t>
            </w:r>
          </w:p>
        </w:tc>
      </w:tr>
      <w:tr>
        <w:trPr>
          <w:trHeight w:val="179" w:hRule="atLeast"/>
        </w:trPr>
        <w:tc>
          <w:tcPr>
            <w:tcW w:w="2435" w:type="dxa"/>
            <w:tcBorders>
              <w:bottom w:val="nil"/>
            </w:tcBorders>
          </w:tcPr>
          <w:p>
            <w:pPr>
              <w:pStyle w:val="TableParagraph"/>
              <w:spacing w:line="158" w:lineRule="exact" w:before="2"/>
              <w:ind w:left="57"/>
              <w:rPr>
                <w:b/>
                <w:sz w:val="13"/>
              </w:rPr>
            </w:pPr>
            <w:r>
              <w:rPr>
                <w:b/>
                <w:w w:val="105"/>
                <w:sz w:val="13"/>
              </w:rPr>
              <w:t>RESTO DE ISLAS</w:t>
            </w:r>
          </w:p>
        </w:tc>
        <w:tc>
          <w:tcPr>
            <w:tcW w:w="1380" w:type="dxa"/>
            <w:tcBorders>
              <w:bottom w:val="nil"/>
              <w:right w:val="nil"/>
            </w:tcBorders>
          </w:tcPr>
          <w:p>
            <w:pPr>
              <w:pStyle w:val="TableParagraph"/>
              <w:rPr>
                <w:rFonts w:ascii="Times New Roman"/>
                <w:sz w:val="12"/>
              </w:rPr>
            </w:pPr>
          </w:p>
        </w:tc>
        <w:tc>
          <w:tcPr>
            <w:tcW w:w="1132" w:type="dxa"/>
            <w:tcBorders>
              <w:left w:val="nil"/>
              <w:bottom w:val="nil"/>
              <w:right w:val="nil"/>
            </w:tcBorders>
          </w:tcPr>
          <w:p>
            <w:pPr>
              <w:pStyle w:val="TableParagraph"/>
              <w:rPr>
                <w:rFonts w:ascii="Times New Roman"/>
                <w:sz w:val="12"/>
              </w:rPr>
            </w:pPr>
          </w:p>
        </w:tc>
        <w:tc>
          <w:tcPr>
            <w:tcW w:w="1126" w:type="dxa"/>
            <w:tcBorders>
              <w:left w:val="nil"/>
              <w:bottom w:val="nil"/>
              <w:right w:val="nil"/>
            </w:tcBorders>
          </w:tcPr>
          <w:p>
            <w:pPr>
              <w:pStyle w:val="TableParagraph"/>
              <w:rPr>
                <w:rFonts w:ascii="Times New Roman"/>
                <w:sz w:val="12"/>
              </w:rPr>
            </w:pPr>
          </w:p>
        </w:tc>
        <w:tc>
          <w:tcPr>
            <w:tcW w:w="878" w:type="dxa"/>
            <w:tcBorders>
              <w:left w:val="nil"/>
              <w:bottom w:val="nil"/>
            </w:tcBorders>
          </w:tcPr>
          <w:p>
            <w:pPr>
              <w:pStyle w:val="TableParagraph"/>
              <w:rPr>
                <w:rFonts w:ascii="Times New Roman"/>
                <w:sz w:val="12"/>
              </w:rPr>
            </w:pPr>
          </w:p>
        </w:tc>
      </w:tr>
      <w:tr>
        <w:trPr>
          <w:trHeight w:val="188" w:hRule="atLeast"/>
        </w:trPr>
        <w:tc>
          <w:tcPr>
            <w:tcW w:w="2435" w:type="dxa"/>
            <w:tcBorders>
              <w:top w:val="nil"/>
              <w:bottom w:val="nil"/>
            </w:tcBorders>
          </w:tcPr>
          <w:p>
            <w:pPr>
              <w:pStyle w:val="TableParagraph"/>
              <w:spacing w:before="9"/>
              <w:ind w:left="57"/>
              <w:rPr>
                <w:sz w:val="13"/>
              </w:rPr>
            </w:pPr>
            <w:r>
              <w:rPr>
                <w:w w:val="105"/>
                <w:sz w:val="13"/>
              </w:rPr>
              <w:t>Sanitarios (facultativo y no facultativo)</w:t>
            </w:r>
          </w:p>
        </w:tc>
        <w:tc>
          <w:tcPr>
            <w:tcW w:w="1380" w:type="dxa"/>
            <w:tcBorders>
              <w:top w:val="nil"/>
              <w:bottom w:val="nil"/>
              <w:right w:val="nil"/>
            </w:tcBorders>
          </w:tcPr>
          <w:p>
            <w:pPr>
              <w:pStyle w:val="TableParagraph"/>
              <w:spacing w:line="156" w:lineRule="exact"/>
              <w:ind w:right="346"/>
              <w:jc w:val="right"/>
              <w:rPr>
                <w:sz w:val="13"/>
              </w:rPr>
            </w:pPr>
            <w:r>
              <w:rPr>
                <w:sz w:val="13"/>
              </w:rPr>
              <w:t>4.053</w:t>
            </w:r>
          </w:p>
        </w:tc>
        <w:tc>
          <w:tcPr>
            <w:tcW w:w="1132" w:type="dxa"/>
            <w:tcBorders>
              <w:top w:val="nil"/>
              <w:left w:val="nil"/>
              <w:bottom w:val="nil"/>
              <w:right w:val="nil"/>
            </w:tcBorders>
          </w:tcPr>
          <w:p>
            <w:pPr>
              <w:pStyle w:val="TableParagraph"/>
              <w:spacing w:line="156" w:lineRule="exact"/>
              <w:ind w:right="299"/>
              <w:jc w:val="right"/>
              <w:rPr>
                <w:sz w:val="13"/>
              </w:rPr>
            </w:pPr>
            <w:r>
              <w:rPr>
                <w:sz w:val="13"/>
              </w:rPr>
              <w:t>4.567</w:t>
            </w:r>
          </w:p>
        </w:tc>
        <w:tc>
          <w:tcPr>
            <w:tcW w:w="1126" w:type="dxa"/>
            <w:tcBorders>
              <w:top w:val="nil"/>
              <w:left w:val="nil"/>
              <w:bottom w:val="nil"/>
              <w:right w:val="nil"/>
            </w:tcBorders>
          </w:tcPr>
          <w:p>
            <w:pPr>
              <w:pStyle w:val="TableParagraph"/>
              <w:spacing w:line="156" w:lineRule="exact"/>
              <w:ind w:right="341"/>
              <w:jc w:val="right"/>
              <w:rPr>
                <w:sz w:val="13"/>
              </w:rPr>
            </w:pPr>
            <w:r>
              <w:rPr>
                <w:sz w:val="13"/>
              </w:rPr>
              <w:t>4.720</w:t>
            </w:r>
          </w:p>
        </w:tc>
        <w:tc>
          <w:tcPr>
            <w:tcW w:w="878" w:type="dxa"/>
            <w:tcBorders>
              <w:top w:val="nil"/>
              <w:left w:val="nil"/>
              <w:bottom w:val="nil"/>
            </w:tcBorders>
          </w:tcPr>
          <w:p>
            <w:pPr>
              <w:pStyle w:val="TableParagraph"/>
              <w:spacing w:line="156" w:lineRule="exact"/>
              <w:ind w:right="46"/>
              <w:jc w:val="right"/>
              <w:rPr>
                <w:sz w:val="13"/>
              </w:rPr>
            </w:pPr>
            <w:r>
              <w:rPr>
                <w:sz w:val="13"/>
              </w:rPr>
              <w:t>374</w:t>
            </w:r>
          </w:p>
        </w:tc>
      </w:tr>
      <w:tr>
        <w:trPr>
          <w:trHeight w:val="169" w:hRule="atLeast"/>
        </w:trPr>
        <w:tc>
          <w:tcPr>
            <w:tcW w:w="2435" w:type="dxa"/>
            <w:tcBorders>
              <w:top w:val="nil"/>
            </w:tcBorders>
          </w:tcPr>
          <w:p>
            <w:pPr>
              <w:pStyle w:val="TableParagraph"/>
              <w:spacing w:line="139" w:lineRule="exact" w:before="10"/>
              <w:ind w:left="57"/>
              <w:rPr>
                <w:sz w:val="13"/>
              </w:rPr>
            </w:pPr>
            <w:r>
              <w:rPr>
                <w:w w:val="105"/>
                <w:sz w:val="13"/>
              </w:rPr>
              <w:t>No sanitarios</w:t>
            </w:r>
          </w:p>
        </w:tc>
        <w:tc>
          <w:tcPr>
            <w:tcW w:w="1380" w:type="dxa"/>
            <w:tcBorders>
              <w:top w:val="nil"/>
              <w:right w:val="nil"/>
            </w:tcBorders>
          </w:tcPr>
          <w:p>
            <w:pPr>
              <w:pStyle w:val="TableParagraph"/>
              <w:spacing w:line="150" w:lineRule="exact"/>
              <w:ind w:right="346"/>
              <w:jc w:val="right"/>
              <w:rPr>
                <w:sz w:val="13"/>
              </w:rPr>
            </w:pPr>
            <w:r>
              <w:rPr>
                <w:sz w:val="13"/>
              </w:rPr>
              <w:t>2.247</w:t>
            </w:r>
          </w:p>
        </w:tc>
        <w:tc>
          <w:tcPr>
            <w:tcW w:w="1132" w:type="dxa"/>
            <w:tcBorders>
              <w:top w:val="nil"/>
              <w:left w:val="nil"/>
              <w:right w:val="nil"/>
            </w:tcBorders>
          </w:tcPr>
          <w:p>
            <w:pPr>
              <w:pStyle w:val="TableParagraph"/>
              <w:spacing w:line="150" w:lineRule="exact"/>
              <w:ind w:right="299"/>
              <w:jc w:val="right"/>
              <w:rPr>
                <w:sz w:val="13"/>
              </w:rPr>
            </w:pPr>
            <w:r>
              <w:rPr>
                <w:sz w:val="13"/>
              </w:rPr>
              <w:t>2.281</w:t>
            </w:r>
          </w:p>
        </w:tc>
        <w:tc>
          <w:tcPr>
            <w:tcW w:w="1126" w:type="dxa"/>
            <w:tcBorders>
              <w:top w:val="nil"/>
              <w:left w:val="nil"/>
              <w:right w:val="nil"/>
            </w:tcBorders>
          </w:tcPr>
          <w:p>
            <w:pPr>
              <w:pStyle w:val="TableParagraph"/>
              <w:spacing w:line="150" w:lineRule="exact"/>
              <w:ind w:right="341"/>
              <w:jc w:val="right"/>
              <w:rPr>
                <w:sz w:val="13"/>
              </w:rPr>
            </w:pPr>
            <w:r>
              <w:rPr>
                <w:sz w:val="13"/>
              </w:rPr>
              <w:t>1.742</w:t>
            </w:r>
          </w:p>
        </w:tc>
        <w:tc>
          <w:tcPr>
            <w:tcW w:w="878" w:type="dxa"/>
            <w:tcBorders>
              <w:top w:val="nil"/>
              <w:left w:val="nil"/>
            </w:tcBorders>
          </w:tcPr>
          <w:p>
            <w:pPr>
              <w:pStyle w:val="TableParagraph"/>
              <w:spacing w:line="150" w:lineRule="exact"/>
              <w:ind w:right="46"/>
              <w:jc w:val="right"/>
              <w:rPr>
                <w:sz w:val="13"/>
              </w:rPr>
            </w:pPr>
            <w:r>
              <w:rPr>
                <w:sz w:val="13"/>
              </w:rPr>
              <w:t>155</w:t>
            </w:r>
          </w:p>
        </w:tc>
      </w:tr>
      <w:tr>
        <w:trPr>
          <w:trHeight w:val="266" w:hRule="atLeast"/>
        </w:trPr>
        <w:tc>
          <w:tcPr>
            <w:tcW w:w="2435" w:type="dxa"/>
            <w:shd w:val="clear" w:color="auto" w:fill="D9D9D9"/>
          </w:tcPr>
          <w:p>
            <w:pPr>
              <w:pStyle w:val="TableParagraph"/>
              <w:spacing w:before="54"/>
              <w:ind w:left="980"/>
              <w:rPr>
                <w:sz w:val="13"/>
              </w:rPr>
            </w:pPr>
            <w:r>
              <w:rPr>
                <w:w w:val="105"/>
                <w:sz w:val="13"/>
              </w:rPr>
              <w:t>TOTAL (nº de empleados)</w:t>
            </w:r>
          </w:p>
        </w:tc>
        <w:tc>
          <w:tcPr>
            <w:tcW w:w="1380" w:type="dxa"/>
            <w:tcBorders>
              <w:right w:val="nil"/>
            </w:tcBorders>
            <w:shd w:val="clear" w:color="auto" w:fill="D9D9D9"/>
          </w:tcPr>
          <w:p>
            <w:pPr>
              <w:pStyle w:val="TableParagraph"/>
              <w:spacing w:before="54"/>
              <w:ind w:right="346"/>
              <w:jc w:val="right"/>
              <w:rPr>
                <w:b/>
                <w:sz w:val="13"/>
              </w:rPr>
            </w:pPr>
            <w:r>
              <w:rPr>
                <w:b/>
                <w:sz w:val="13"/>
              </w:rPr>
              <w:t>6.300</w:t>
            </w:r>
          </w:p>
        </w:tc>
        <w:tc>
          <w:tcPr>
            <w:tcW w:w="1132" w:type="dxa"/>
            <w:tcBorders>
              <w:left w:val="nil"/>
              <w:right w:val="nil"/>
            </w:tcBorders>
            <w:shd w:val="clear" w:color="auto" w:fill="D9D9D9"/>
          </w:tcPr>
          <w:p>
            <w:pPr>
              <w:pStyle w:val="TableParagraph"/>
              <w:spacing w:before="54"/>
              <w:ind w:right="299"/>
              <w:jc w:val="right"/>
              <w:rPr>
                <w:b/>
                <w:sz w:val="13"/>
              </w:rPr>
            </w:pPr>
            <w:r>
              <w:rPr>
                <w:b/>
                <w:sz w:val="13"/>
              </w:rPr>
              <w:t>6.848</w:t>
            </w:r>
          </w:p>
        </w:tc>
        <w:tc>
          <w:tcPr>
            <w:tcW w:w="1126" w:type="dxa"/>
            <w:tcBorders>
              <w:left w:val="nil"/>
              <w:right w:val="nil"/>
            </w:tcBorders>
            <w:shd w:val="clear" w:color="auto" w:fill="D9D9D9"/>
          </w:tcPr>
          <w:p>
            <w:pPr>
              <w:pStyle w:val="TableParagraph"/>
              <w:spacing w:before="54"/>
              <w:ind w:right="341"/>
              <w:jc w:val="right"/>
              <w:rPr>
                <w:b/>
                <w:sz w:val="13"/>
              </w:rPr>
            </w:pPr>
            <w:r>
              <w:rPr>
                <w:b/>
                <w:sz w:val="13"/>
              </w:rPr>
              <w:t>6.462</w:t>
            </w:r>
          </w:p>
        </w:tc>
        <w:tc>
          <w:tcPr>
            <w:tcW w:w="878" w:type="dxa"/>
            <w:tcBorders>
              <w:left w:val="nil"/>
            </w:tcBorders>
            <w:shd w:val="clear" w:color="auto" w:fill="D9D9D9"/>
          </w:tcPr>
          <w:p>
            <w:pPr>
              <w:pStyle w:val="TableParagraph"/>
              <w:spacing w:before="54"/>
              <w:ind w:right="46"/>
              <w:jc w:val="right"/>
              <w:rPr>
                <w:b/>
                <w:sz w:val="13"/>
              </w:rPr>
            </w:pPr>
            <w:r>
              <w:rPr>
                <w:b/>
                <w:sz w:val="13"/>
              </w:rPr>
              <w:t>529</w:t>
            </w:r>
          </w:p>
        </w:tc>
      </w:tr>
    </w:tbl>
    <w:p>
      <w:pPr>
        <w:pStyle w:val="BodyText"/>
        <w:spacing w:before="105"/>
        <w:ind w:left="7897"/>
        <w:jc w:val="center"/>
      </w:pPr>
      <w:r>
        <w:rPr/>
        <w:t>96</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03" name="image5.png"/>
                  <wp:cNvGraphicFramePr>
                    <a:graphicFrameLocks noChangeAspect="1"/>
                  </wp:cNvGraphicFramePr>
                  <a:graphic>
                    <a:graphicData uri="http://schemas.openxmlformats.org/drawingml/2006/picture">
                      <pic:pic>
                        <pic:nvPicPr>
                          <pic:cNvPr id="20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98/247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rPr>
          <w:b/>
        </w:rPr>
      </w:pPr>
    </w:p>
    <w:p>
      <w:pPr>
        <w:pStyle w:val="BodyText"/>
        <w:spacing w:before="10"/>
        <w:rPr>
          <w:b/>
        </w:rPr>
      </w:pPr>
    </w:p>
    <w:tbl>
      <w:tblPr>
        <w:tblW w:w="0" w:type="auto"/>
        <w:jc w:val="lef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4"/>
        <w:gridCol w:w="1469"/>
        <w:gridCol w:w="1467"/>
        <w:gridCol w:w="1469"/>
        <w:gridCol w:w="1572"/>
      </w:tblGrid>
      <w:tr>
        <w:trPr>
          <w:trHeight w:val="225" w:hRule="atLeast"/>
        </w:trPr>
        <w:tc>
          <w:tcPr>
            <w:tcW w:w="964" w:type="dxa"/>
            <w:vMerge w:val="restart"/>
          </w:tcPr>
          <w:p>
            <w:pPr>
              <w:pStyle w:val="TableParagraph"/>
              <w:rPr>
                <w:b/>
                <w:sz w:val="14"/>
              </w:rPr>
            </w:pPr>
          </w:p>
          <w:p>
            <w:pPr>
              <w:pStyle w:val="TableParagraph"/>
              <w:spacing w:before="8"/>
              <w:rPr>
                <w:b/>
                <w:sz w:val="15"/>
              </w:rPr>
            </w:pPr>
          </w:p>
          <w:p>
            <w:pPr>
              <w:pStyle w:val="TableParagraph"/>
              <w:spacing w:line="250" w:lineRule="atLeast"/>
              <w:ind w:left="57" w:right="157"/>
              <w:rPr>
                <w:b/>
                <w:sz w:val="13"/>
              </w:rPr>
            </w:pPr>
            <w:r>
              <w:rPr>
                <w:b/>
                <w:w w:val="105"/>
                <w:sz w:val="13"/>
              </w:rPr>
              <w:t>sanitarios No</w:t>
            </w:r>
            <w:r>
              <w:rPr>
                <w:b/>
                <w:spacing w:val="1"/>
                <w:w w:val="105"/>
                <w:sz w:val="13"/>
              </w:rPr>
              <w:t> </w:t>
            </w:r>
            <w:r>
              <w:rPr>
                <w:b/>
                <w:spacing w:val="-3"/>
                <w:w w:val="105"/>
                <w:sz w:val="13"/>
              </w:rPr>
              <w:t>sanitarios</w:t>
            </w:r>
          </w:p>
        </w:tc>
        <w:tc>
          <w:tcPr>
            <w:tcW w:w="5977" w:type="dxa"/>
            <w:gridSpan w:val="4"/>
            <w:shd w:val="clear" w:color="auto" w:fill="D9E1F3"/>
          </w:tcPr>
          <w:p>
            <w:pPr>
              <w:pStyle w:val="TableParagraph"/>
              <w:tabs>
                <w:tab w:pos="1963" w:val="left" w:leader="none"/>
                <w:tab w:pos="3430" w:val="left" w:leader="none"/>
                <w:tab w:pos="4952" w:val="left" w:leader="none"/>
              </w:tabs>
              <w:spacing w:before="34"/>
              <w:ind w:left="494"/>
              <w:rPr>
                <w:b/>
                <w:sz w:val="13"/>
              </w:rPr>
            </w:pPr>
            <w:r>
              <w:rPr>
                <w:b/>
                <w:w w:val="105"/>
                <w:sz w:val="13"/>
              </w:rPr>
              <w:t>ER</w:t>
            </w:r>
            <w:r>
              <w:rPr>
                <w:b/>
                <w:spacing w:val="27"/>
                <w:w w:val="105"/>
                <w:sz w:val="13"/>
              </w:rPr>
              <w:t> </w:t>
            </w:r>
            <w:r>
              <w:rPr>
                <w:b/>
                <w:w w:val="105"/>
                <w:sz w:val="13"/>
              </w:rPr>
              <w:t>2022</w:t>
              <w:tab/>
              <w:t>ER</w:t>
            </w:r>
            <w:r>
              <w:rPr>
                <w:b/>
                <w:spacing w:val="27"/>
                <w:w w:val="105"/>
                <w:sz w:val="13"/>
              </w:rPr>
              <w:t> </w:t>
            </w:r>
            <w:r>
              <w:rPr>
                <w:b/>
                <w:w w:val="105"/>
                <w:sz w:val="13"/>
              </w:rPr>
              <w:t>2021</w:t>
              <w:tab/>
              <w:t>ER</w:t>
            </w:r>
            <w:r>
              <w:rPr>
                <w:b/>
                <w:spacing w:val="27"/>
                <w:w w:val="105"/>
                <w:sz w:val="13"/>
              </w:rPr>
              <w:t> </w:t>
            </w:r>
            <w:r>
              <w:rPr>
                <w:b/>
                <w:w w:val="105"/>
                <w:sz w:val="13"/>
              </w:rPr>
              <w:t>2020</w:t>
              <w:tab/>
              <w:t>ER</w:t>
            </w:r>
            <w:r>
              <w:rPr>
                <w:b/>
                <w:spacing w:val="29"/>
                <w:w w:val="105"/>
                <w:sz w:val="13"/>
              </w:rPr>
              <w:t> </w:t>
            </w:r>
            <w:r>
              <w:rPr>
                <w:b/>
                <w:w w:val="105"/>
                <w:sz w:val="13"/>
              </w:rPr>
              <w:t>2019</w:t>
            </w:r>
          </w:p>
        </w:tc>
      </w:tr>
      <w:tr>
        <w:trPr>
          <w:trHeight w:val="163" w:hRule="atLeast"/>
        </w:trPr>
        <w:tc>
          <w:tcPr>
            <w:tcW w:w="964" w:type="dxa"/>
            <w:vMerge/>
            <w:tcBorders>
              <w:top w:val="nil"/>
            </w:tcBorders>
          </w:tcPr>
          <w:p>
            <w:pPr>
              <w:rPr>
                <w:sz w:val="2"/>
                <w:szCs w:val="2"/>
              </w:rPr>
            </w:pPr>
          </w:p>
        </w:tc>
        <w:tc>
          <w:tcPr>
            <w:tcW w:w="1469" w:type="dxa"/>
            <w:shd w:val="clear" w:color="auto" w:fill="D9E1F3"/>
          </w:tcPr>
          <w:p>
            <w:pPr>
              <w:pStyle w:val="TableParagraph"/>
              <w:tabs>
                <w:tab w:pos="774" w:val="left" w:leader="none"/>
              </w:tabs>
              <w:spacing w:line="139" w:lineRule="exact" w:before="4"/>
              <w:ind w:left="95"/>
              <w:rPr>
                <w:b/>
                <w:sz w:val="13"/>
              </w:rPr>
            </w:pPr>
            <w:r>
              <w:rPr>
                <w:b/>
                <w:w w:val="105"/>
                <w:sz w:val="13"/>
              </w:rPr>
              <w:t>TFE</w:t>
            </w:r>
            <w:r>
              <w:rPr>
                <w:b/>
                <w:spacing w:val="-3"/>
                <w:w w:val="105"/>
                <w:sz w:val="13"/>
              </w:rPr>
              <w:t> </w:t>
            </w:r>
            <w:r>
              <w:rPr>
                <w:b/>
                <w:w w:val="105"/>
                <w:sz w:val="13"/>
              </w:rPr>
              <w:t>+</w:t>
            </w:r>
            <w:r>
              <w:rPr>
                <w:b/>
                <w:spacing w:val="-3"/>
                <w:w w:val="105"/>
                <w:sz w:val="13"/>
              </w:rPr>
              <w:t> </w:t>
            </w:r>
            <w:r>
              <w:rPr>
                <w:b/>
                <w:w w:val="105"/>
                <w:sz w:val="13"/>
              </w:rPr>
              <w:t>GC</w:t>
              <w:tab/>
              <w:t>Resto</w:t>
            </w:r>
            <w:r>
              <w:rPr>
                <w:b/>
                <w:spacing w:val="-3"/>
                <w:w w:val="105"/>
                <w:sz w:val="13"/>
              </w:rPr>
              <w:t> </w:t>
            </w:r>
            <w:r>
              <w:rPr>
                <w:b/>
                <w:w w:val="105"/>
                <w:sz w:val="13"/>
              </w:rPr>
              <w:t>Islas</w:t>
            </w:r>
          </w:p>
        </w:tc>
        <w:tc>
          <w:tcPr>
            <w:tcW w:w="1467" w:type="dxa"/>
            <w:shd w:val="clear" w:color="auto" w:fill="D9E1F3"/>
          </w:tcPr>
          <w:p>
            <w:pPr>
              <w:pStyle w:val="TableParagraph"/>
              <w:spacing w:line="139" w:lineRule="exact" w:before="4"/>
              <w:ind w:left="95"/>
              <w:rPr>
                <w:b/>
                <w:sz w:val="13"/>
              </w:rPr>
            </w:pPr>
            <w:r>
              <w:rPr>
                <w:b/>
                <w:w w:val="105"/>
                <w:sz w:val="13"/>
              </w:rPr>
              <w:t>TFE + GC Resto Islas</w:t>
            </w:r>
          </w:p>
        </w:tc>
        <w:tc>
          <w:tcPr>
            <w:tcW w:w="1469" w:type="dxa"/>
            <w:shd w:val="clear" w:color="auto" w:fill="D9E1F3"/>
          </w:tcPr>
          <w:p>
            <w:pPr>
              <w:pStyle w:val="TableParagraph"/>
              <w:tabs>
                <w:tab w:pos="775" w:val="left" w:leader="none"/>
              </w:tabs>
              <w:spacing w:line="139" w:lineRule="exact" w:before="4"/>
              <w:ind w:left="95"/>
              <w:rPr>
                <w:b/>
                <w:sz w:val="13"/>
              </w:rPr>
            </w:pPr>
            <w:r>
              <w:rPr>
                <w:b/>
                <w:w w:val="105"/>
                <w:sz w:val="13"/>
              </w:rPr>
              <w:t>TFE</w:t>
            </w:r>
            <w:r>
              <w:rPr>
                <w:b/>
                <w:spacing w:val="-3"/>
                <w:w w:val="105"/>
                <w:sz w:val="13"/>
              </w:rPr>
              <w:t> </w:t>
            </w:r>
            <w:r>
              <w:rPr>
                <w:b/>
                <w:w w:val="105"/>
                <w:sz w:val="13"/>
              </w:rPr>
              <w:t>+</w:t>
            </w:r>
            <w:r>
              <w:rPr>
                <w:b/>
                <w:spacing w:val="-3"/>
                <w:w w:val="105"/>
                <w:sz w:val="13"/>
              </w:rPr>
              <w:t> </w:t>
            </w:r>
            <w:r>
              <w:rPr>
                <w:b/>
                <w:w w:val="105"/>
                <w:sz w:val="13"/>
              </w:rPr>
              <w:t>GC</w:t>
              <w:tab/>
              <w:t>Resto</w:t>
            </w:r>
            <w:r>
              <w:rPr>
                <w:b/>
                <w:spacing w:val="-3"/>
                <w:w w:val="105"/>
                <w:sz w:val="13"/>
              </w:rPr>
              <w:t> </w:t>
            </w:r>
            <w:r>
              <w:rPr>
                <w:b/>
                <w:w w:val="105"/>
                <w:sz w:val="13"/>
              </w:rPr>
              <w:t>Islas</w:t>
            </w:r>
          </w:p>
        </w:tc>
        <w:tc>
          <w:tcPr>
            <w:tcW w:w="1572" w:type="dxa"/>
            <w:shd w:val="clear" w:color="auto" w:fill="D9E1F3"/>
          </w:tcPr>
          <w:p>
            <w:pPr>
              <w:pStyle w:val="TableParagraph"/>
              <w:tabs>
                <w:tab w:pos="845" w:val="left" w:leader="none"/>
              </w:tabs>
              <w:spacing w:line="139" w:lineRule="exact" w:before="4"/>
              <w:ind w:left="116"/>
              <w:rPr>
                <w:b/>
                <w:sz w:val="13"/>
              </w:rPr>
            </w:pPr>
            <w:r>
              <w:rPr>
                <w:b/>
                <w:w w:val="105"/>
                <w:sz w:val="13"/>
              </w:rPr>
              <w:t>TFE</w:t>
            </w:r>
            <w:r>
              <w:rPr>
                <w:b/>
                <w:spacing w:val="-3"/>
                <w:w w:val="105"/>
                <w:sz w:val="13"/>
              </w:rPr>
              <w:t> </w:t>
            </w:r>
            <w:r>
              <w:rPr>
                <w:b/>
                <w:w w:val="105"/>
                <w:sz w:val="13"/>
              </w:rPr>
              <w:t>+</w:t>
            </w:r>
            <w:r>
              <w:rPr>
                <w:b/>
                <w:spacing w:val="-3"/>
                <w:w w:val="105"/>
                <w:sz w:val="13"/>
              </w:rPr>
              <w:t> </w:t>
            </w:r>
            <w:r>
              <w:rPr>
                <w:b/>
                <w:w w:val="105"/>
                <w:sz w:val="13"/>
              </w:rPr>
              <w:t>GC</w:t>
              <w:tab/>
              <w:t>Resto</w:t>
            </w:r>
            <w:r>
              <w:rPr>
                <w:b/>
                <w:spacing w:val="-3"/>
                <w:w w:val="105"/>
                <w:sz w:val="13"/>
              </w:rPr>
              <w:t> </w:t>
            </w:r>
            <w:r>
              <w:rPr>
                <w:b/>
                <w:w w:val="105"/>
                <w:sz w:val="13"/>
              </w:rPr>
              <w:t>Islas</w:t>
            </w:r>
          </w:p>
        </w:tc>
      </w:tr>
      <w:tr>
        <w:trPr>
          <w:trHeight w:val="509" w:hRule="atLeast"/>
        </w:trPr>
        <w:tc>
          <w:tcPr>
            <w:tcW w:w="964" w:type="dxa"/>
            <w:vMerge/>
            <w:tcBorders>
              <w:top w:val="nil"/>
            </w:tcBorders>
          </w:tcPr>
          <w:p>
            <w:pPr>
              <w:rPr>
                <w:sz w:val="2"/>
                <w:szCs w:val="2"/>
              </w:rPr>
            </w:pPr>
          </w:p>
        </w:tc>
        <w:tc>
          <w:tcPr>
            <w:tcW w:w="1469" w:type="dxa"/>
          </w:tcPr>
          <w:p>
            <w:pPr>
              <w:pStyle w:val="TableParagraph"/>
              <w:tabs>
                <w:tab w:pos="869" w:val="left" w:leader="none"/>
              </w:tabs>
              <w:spacing w:before="44"/>
              <w:ind w:left="133"/>
              <w:rPr>
                <w:sz w:val="13"/>
              </w:rPr>
            </w:pPr>
            <w:r>
              <w:rPr>
                <w:w w:val="105"/>
                <w:sz w:val="13"/>
              </w:rPr>
              <w:t>74,54%</w:t>
              <w:tab/>
              <w:t>64,33%</w:t>
            </w:r>
          </w:p>
          <w:p>
            <w:pPr>
              <w:pStyle w:val="TableParagraph"/>
              <w:tabs>
                <w:tab w:pos="869" w:val="left" w:leader="none"/>
              </w:tabs>
              <w:spacing w:before="97"/>
              <w:ind w:left="133"/>
              <w:rPr>
                <w:sz w:val="13"/>
              </w:rPr>
            </w:pPr>
            <w:r>
              <w:rPr>
                <w:w w:val="105"/>
                <w:sz w:val="13"/>
              </w:rPr>
              <w:t>25,46%</w:t>
              <w:tab/>
              <w:t>35,67%</w:t>
            </w:r>
          </w:p>
        </w:tc>
        <w:tc>
          <w:tcPr>
            <w:tcW w:w="1467" w:type="dxa"/>
          </w:tcPr>
          <w:p>
            <w:pPr>
              <w:pStyle w:val="TableParagraph"/>
              <w:tabs>
                <w:tab w:pos="867" w:val="left" w:leader="none"/>
              </w:tabs>
              <w:spacing w:before="44"/>
              <w:ind w:left="133"/>
              <w:rPr>
                <w:sz w:val="13"/>
              </w:rPr>
            </w:pPr>
            <w:r>
              <w:rPr>
                <w:w w:val="105"/>
                <w:sz w:val="13"/>
              </w:rPr>
              <w:t>74,18%</w:t>
              <w:tab/>
              <w:t>66,69%</w:t>
            </w:r>
          </w:p>
          <w:p>
            <w:pPr>
              <w:pStyle w:val="TableParagraph"/>
              <w:tabs>
                <w:tab w:pos="867" w:val="left" w:leader="none"/>
              </w:tabs>
              <w:spacing w:before="97"/>
              <w:ind w:left="133"/>
              <w:rPr>
                <w:sz w:val="13"/>
              </w:rPr>
            </w:pPr>
            <w:r>
              <w:rPr>
                <w:w w:val="105"/>
                <w:sz w:val="13"/>
              </w:rPr>
              <w:t>25,82%</w:t>
              <w:tab/>
              <w:t>33,31%</w:t>
            </w:r>
          </w:p>
        </w:tc>
        <w:tc>
          <w:tcPr>
            <w:tcW w:w="1469" w:type="dxa"/>
          </w:tcPr>
          <w:p>
            <w:pPr>
              <w:pStyle w:val="TableParagraph"/>
              <w:tabs>
                <w:tab w:pos="869" w:val="left" w:leader="none"/>
              </w:tabs>
              <w:spacing w:before="44"/>
              <w:ind w:left="133"/>
              <w:rPr>
                <w:sz w:val="13"/>
              </w:rPr>
            </w:pPr>
            <w:r>
              <w:rPr>
                <w:w w:val="105"/>
                <w:sz w:val="13"/>
              </w:rPr>
              <w:t>74,98%</w:t>
              <w:tab/>
              <w:t>73,04%</w:t>
            </w:r>
          </w:p>
          <w:p>
            <w:pPr>
              <w:pStyle w:val="TableParagraph"/>
              <w:tabs>
                <w:tab w:pos="869" w:val="left" w:leader="none"/>
              </w:tabs>
              <w:spacing w:before="97"/>
              <w:ind w:left="133"/>
              <w:rPr>
                <w:sz w:val="13"/>
              </w:rPr>
            </w:pPr>
            <w:r>
              <w:rPr>
                <w:w w:val="105"/>
                <w:sz w:val="13"/>
              </w:rPr>
              <w:t>25,02%</w:t>
              <w:tab/>
              <w:t>26,96%</w:t>
            </w:r>
          </w:p>
        </w:tc>
        <w:tc>
          <w:tcPr>
            <w:tcW w:w="1572" w:type="dxa"/>
          </w:tcPr>
          <w:p>
            <w:pPr>
              <w:pStyle w:val="TableParagraph"/>
              <w:tabs>
                <w:tab w:pos="940" w:val="left" w:leader="none"/>
              </w:tabs>
              <w:spacing w:before="44"/>
              <w:ind w:left="154"/>
              <w:rPr>
                <w:sz w:val="13"/>
              </w:rPr>
            </w:pPr>
            <w:r>
              <w:rPr>
                <w:w w:val="105"/>
                <w:sz w:val="13"/>
              </w:rPr>
              <w:t>72,98%</w:t>
              <w:tab/>
              <w:t>70,70%</w:t>
            </w:r>
          </w:p>
          <w:p>
            <w:pPr>
              <w:pStyle w:val="TableParagraph"/>
              <w:tabs>
                <w:tab w:pos="940" w:val="left" w:leader="none"/>
              </w:tabs>
              <w:spacing w:before="97"/>
              <w:ind w:left="154"/>
              <w:rPr>
                <w:sz w:val="13"/>
              </w:rPr>
            </w:pPr>
            <w:r>
              <w:rPr>
                <w:w w:val="105"/>
                <w:sz w:val="13"/>
              </w:rPr>
              <w:t>27,02%</w:t>
              <w:tab/>
              <w:t>29,30%</w:t>
            </w:r>
          </w:p>
        </w:tc>
      </w:tr>
    </w:tbl>
    <w:p>
      <w:pPr>
        <w:spacing w:before="3"/>
        <w:ind w:left="2334" w:right="0" w:firstLine="0"/>
        <w:jc w:val="left"/>
        <w:rPr>
          <w:sz w:val="13"/>
        </w:rPr>
      </w:pPr>
      <w:r>
        <w:rPr>
          <w:w w:val="105"/>
          <w:sz w:val="13"/>
        </w:rPr>
        <w:t>Fuente: Memoria de la cuenta general del SCS - </w:t>
      </w:r>
      <w:r>
        <w:rPr>
          <w:b/>
          <w:w w:val="105"/>
          <w:sz w:val="13"/>
        </w:rPr>
        <w:t>ER: </w:t>
      </w:r>
      <w:r>
        <w:rPr>
          <w:w w:val="105"/>
          <w:sz w:val="13"/>
        </w:rPr>
        <w:t>Efectivos Reales</w:t>
      </w:r>
    </w:p>
    <w:p>
      <w:pPr>
        <w:pStyle w:val="BodyText"/>
        <w:spacing w:before="8"/>
        <w:rPr>
          <w:sz w:val="16"/>
        </w:rPr>
      </w:pPr>
    </w:p>
    <w:p>
      <w:pPr>
        <w:pStyle w:val="ListParagraph"/>
        <w:numPr>
          <w:ilvl w:val="0"/>
          <w:numId w:val="47"/>
        </w:numPr>
        <w:tabs>
          <w:tab w:pos="2335" w:val="left" w:leader="none"/>
        </w:tabs>
        <w:spacing w:line="242" w:lineRule="auto" w:before="0" w:after="0"/>
        <w:ind w:left="2334" w:right="1139" w:hanging="357"/>
        <w:jc w:val="both"/>
        <w:rPr>
          <w:sz w:val="20"/>
        </w:rPr>
      </w:pPr>
      <w:r>
        <w:rPr>
          <w:sz w:val="20"/>
        </w:rPr>
        <w:t>En</w:t>
      </w:r>
      <w:r>
        <w:rPr>
          <w:spacing w:val="-3"/>
          <w:sz w:val="20"/>
        </w:rPr>
        <w:t> </w:t>
      </w:r>
      <w:r>
        <w:rPr>
          <w:sz w:val="20"/>
        </w:rPr>
        <w:t>2022</w:t>
      </w:r>
      <w:r>
        <w:rPr>
          <w:spacing w:val="-2"/>
          <w:sz w:val="20"/>
        </w:rPr>
        <w:t> </w:t>
      </w:r>
      <w:r>
        <w:rPr>
          <w:sz w:val="20"/>
        </w:rPr>
        <w:t>se</w:t>
      </w:r>
      <w:r>
        <w:rPr>
          <w:spacing w:val="-4"/>
          <w:sz w:val="20"/>
        </w:rPr>
        <w:t> </w:t>
      </w:r>
      <w:r>
        <w:rPr>
          <w:sz w:val="20"/>
        </w:rPr>
        <w:t>inicia</w:t>
      </w:r>
      <w:r>
        <w:rPr>
          <w:spacing w:val="-4"/>
          <w:sz w:val="20"/>
        </w:rPr>
        <w:t> </w:t>
      </w:r>
      <w:r>
        <w:rPr>
          <w:sz w:val="20"/>
        </w:rPr>
        <w:t>un</w:t>
      </w:r>
      <w:r>
        <w:rPr>
          <w:spacing w:val="-5"/>
          <w:sz w:val="20"/>
        </w:rPr>
        <w:t> </w:t>
      </w:r>
      <w:r>
        <w:rPr>
          <w:sz w:val="20"/>
        </w:rPr>
        <w:t>nuevo</w:t>
      </w:r>
      <w:r>
        <w:rPr>
          <w:spacing w:val="-4"/>
          <w:sz w:val="20"/>
        </w:rPr>
        <w:t> </w:t>
      </w:r>
      <w:r>
        <w:rPr>
          <w:sz w:val="20"/>
        </w:rPr>
        <w:t>proceso</w:t>
      </w:r>
      <w:r>
        <w:rPr>
          <w:spacing w:val="-5"/>
          <w:sz w:val="20"/>
        </w:rPr>
        <w:t> </w:t>
      </w:r>
      <w:r>
        <w:rPr>
          <w:sz w:val="20"/>
        </w:rPr>
        <w:t>de</w:t>
      </w:r>
      <w:r>
        <w:rPr>
          <w:spacing w:val="-4"/>
          <w:sz w:val="20"/>
        </w:rPr>
        <w:t> </w:t>
      </w:r>
      <w:r>
        <w:rPr>
          <w:sz w:val="20"/>
        </w:rPr>
        <w:t>estabilización</w:t>
      </w:r>
      <w:r>
        <w:rPr>
          <w:spacing w:val="-2"/>
          <w:sz w:val="20"/>
        </w:rPr>
        <w:t> </w:t>
      </w:r>
      <w:r>
        <w:rPr>
          <w:sz w:val="20"/>
        </w:rPr>
        <w:t>del</w:t>
      </w:r>
      <w:r>
        <w:rPr>
          <w:spacing w:val="-6"/>
          <w:sz w:val="20"/>
        </w:rPr>
        <w:t> </w:t>
      </w:r>
      <w:r>
        <w:rPr>
          <w:sz w:val="20"/>
        </w:rPr>
        <w:t>personal</w:t>
      </w:r>
      <w:r>
        <w:rPr>
          <w:spacing w:val="-6"/>
          <w:sz w:val="20"/>
        </w:rPr>
        <w:t> </w:t>
      </w:r>
      <w:r>
        <w:rPr>
          <w:sz w:val="20"/>
        </w:rPr>
        <w:t>del</w:t>
      </w:r>
      <w:r>
        <w:rPr>
          <w:spacing w:val="-3"/>
          <w:sz w:val="20"/>
        </w:rPr>
        <w:t> </w:t>
      </w:r>
      <w:r>
        <w:rPr>
          <w:sz w:val="20"/>
        </w:rPr>
        <w:t>SCS</w:t>
      </w:r>
      <w:r>
        <w:rPr>
          <w:spacing w:val="-5"/>
          <w:sz w:val="20"/>
        </w:rPr>
        <w:t> </w:t>
      </w:r>
      <w:r>
        <w:rPr>
          <w:sz w:val="20"/>
        </w:rPr>
        <w:t>y,</w:t>
      </w:r>
      <w:r>
        <w:rPr>
          <w:spacing w:val="-4"/>
          <w:sz w:val="20"/>
        </w:rPr>
        <w:t> </w:t>
      </w:r>
      <w:r>
        <w:rPr>
          <w:sz w:val="20"/>
        </w:rPr>
        <w:t>por</w:t>
      </w:r>
      <w:r>
        <w:rPr>
          <w:spacing w:val="-4"/>
          <w:sz w:val="20"/>
        </w:rPr>
        <w:t> </w:t>
      </w:r>
      <w:r>
        <w:rPr>
          <w:sz w:val="20"/>
        </w:rPr>
        <w:t>ende, una reducción de la temporalidad en su contratación mediante la ampliación de la plantilla orgánica, generando plazas vacantes de interinos, en aplicación del Real Decreto-ley 12/2022, de 5 de julio, que modifica la Ley 55/2003, de 16 de diciembre, del</w:t>
      </w:r>
      <w:r>
        <w:rPr>
          <w:spacing w:val="-4"/>
          <w:sz w:val="20"/>
        </w:rPr>
        <w:t> </w:t>
      </w:r>
      <w:r>
        <w:rPr>
          <w:sz w:val="20"/>
        </w:rPr>
        <w:t>Estatuto</w:t>
      </w:r>
      <w:r>
        <w:rPr>
          <w:spacing w:val="-5"/>
          <w:sz w:val="20"/>
        </w:rPr>
        <w:t> </w:t>
      </w:r>
      <w:r>
        <w:rPr>
          <w:sz w:val="20"/>
        </w:rPr>
        <w:t>Marco</w:t>
      </w:r>
      <w:r>
        <w:rPr>
          <w:spacing w:val="-5"/>
          <w:sz w:val="20"/>
        </w:rPr>
        <w:t> </w:t>
      </w:r>
      <w:r>
        <w:rPr>
          <w:sz w:val="20"/>
        </w:rPr>
        <w:t>del</w:t>
      </w:r>
      <w:r>
        <w:rPr>
          <w:spacing w:val="-3"/>
          <w:sz w:val="20"/>
        </w:rPr>
        <w:t> </w:t>
      </w:r>
      <w:r>
        <w:rPr>
          <w:sz w:val="20"/>
        </w:rPr>
        <w:t>personal</w:t>
      </w:r>
      <w:r>
        <w:rPr>
          <w:spacing w:val="-5"/>
          <w:sz w:val="20"/>
        </w:rPr>
        <w:t> </w:t>
      </w:r>
      <w:r>
        <w:rPr>
          <w:sz w:val="20"/>
        </w:rPr>
        <w:t>estatutario.</w:t>
      </w:r>
      <w:r>
        <w:rPr>
          <w:spacing w:val="-4"/>
          <w:sz w:val="20"/>
        </w:rPr>
        <w:t> </w:t>
      </w:r>
      <w:r>
        <w:rPr>
          <w:sz w:val="20"/>
        </w:rPr>
        <w:t>Se</w:t>
      </w:r>
      <w:r>
        <w:rPr>
          <w:spacing w:val="-3"/>
          <w:sz w:val="20"/>
        </w:rPr>
        <w:t> </w:t>
      </w:r>
      <w:r>
        <w:rPr>
          <w:sz w:val="20"/>
        </w:rPr>
        <w:t>obliga,</w:t>
      </w:r>
      <w:r>
        <w:rPr>
          <w:spacing w:val="-3"/>
          <w:sz w:val="20"/>
        </w:rPr>
        <w:t> </w:t>
      </w:r>
      <w:r>
        <w:rPr>
          <w:sz w:val="20"/>
        </w:rPr>
        <w:t>asimismo,</w:t>
      </w:r>
      <w:r>
        <w:rPr>
          <w:spacing w:val="-5"/>
          <w:sz w:val="20"/>
        </w:rPr>
        <w:t> </w:t>
      </w:r>
      <w:r>
        <w:rPr>
          <w:sz w:val="20"/>
        </w:rPr>
        <w:t>al</w:t>
      </w:r>
      <w:r>
        <w:rPr>
          <w:spacing w:val="-3"/>
          <w:sz w:val="20"/>
        </w:rPr>
        <w:t> </w:t>
      </w:r>
      <w:r>
        <w:rPr>
          <w:sz w:val="20"/>
        </w:rPr>
        <w:t>SCS</w:t>
      </w:r>
      <w:r>
        <w:rPr>
          <w:spacing w:val="-4"/>
          <w:sz w:val="20"/>
        </w:rPr>
        <w:t> </w:t>
      </w:r>
      <w:r>
        <w:rPr>
          <w:sz w:val="20"/>
        </w:rPr>
        <w:t>a</w:t>
      </w:r>
      <w:r>
        <w:rPr>
          <w:spacing w:val="-7"/>
          <w:sz w:val="20"/>
        </w:rPr>
        <w:t> </w:t>
      </w:r>
      <w:r>
        <w:rPr>
          <w:sz w:val="20"/>
        </w:rPr>
        <w:t>elaborar</w:t>
      </w:r>
      <w:r>
        <w:rPr>
          <w:spacing w:val="-5"/>
          <w:sz w:val="20"/>
        </w:rPr>
        <w:t> </w:t>
      </w:r>
      <w:r>
        <w:rPr>
          <w:sz w:val="20"/>
        </w:rPr>
        <w:t>un instrumento de planificación plurianual, donde la plantilla orgánica se adapte a las necesidades reales del servicio, con su consiguiente financiación.</w:t>
      </w:r>
      <w:r>
        <w:rPr>
          <w:position w:val="7"/>
          <w:sz w:val="13"/>
        </w:rPr>
        <w:t>22 </w:t>
      </w:r>
      <w:r>
        <w:rPr>
          <w:sz w:val="20"/>
        </w:rPr>
        <w:t>Este instrumento será aprobado por el Gobierno y servirá de base para la tasa de</w:t>
      </w:r>
      <w:r>
        <w:rPr>
          <w:spacing w:val="2"/>
          <w:sz w:val="20"/>
        </w:rPr>
        <w:t> </w:t>
      </w:r>
      <w:r>
        <w:rPr>
          <w:sz w:val="20"/>
        </w:rPr>
        <w:t>reposición.</w:t>
      </w:r>
    </w:p>
    <w:p>
      <w:pPr>
        <w:pStyle w:val="BodyText"/>
        <w:rPr>
          <w:sz w:val="16"/>
        </w:rPr>
      </w:pPr>
    </w:p>
    <w:p>
      <w:pPr>
        <w:pStyle w:val="ListParagraph"/>
        <w:numPr>
          <w:ilvl w:val="0"/>
          <w:numId w:val="47"/>
        </w:numPr>
        <w:tabs>
          <w:tab w:pos="2335" w:val="left" w:leader="none"/>
        </w:tabs>
        <w:spacing w:line="242" w:lineRule="auto" w:before="0" w:after="0"/>
        <w:ind w:left="2334" w:right="1137" w:hanging="357"/>
        <w:jc w:val="both"/>
        <w:rPr>
          <w:sz w:val="20"/>
        </w:rPr>
      </w:pPr>
      <w:r>
        <w:rPr>
          <w:sz w:val="20"/>
        </w:rPr>
        <w:t>Entre los gastos corrientes del SCS (3.994,2 millones de €) destaca, con el 86,8 %, el gasto en bienes y servicios (capítulo 2). El 36,9 % del importe de este capítulo se destina a la compra de productos farmacéuticos, tanto para el consumo en los propios centros sanitarios del SCS o dispensados por estos (33,8 %) como los distribuidos por centros privados (3,1 %) al no poder proveerse por las oficinas de farmacia. El resto de los suministros sanitarios supone el 28,7 % del gasto de este capítulo. Por otro lado, el 18,4 % lo concentra los servicios sanitarios prestados por terceros: el 12,2 % es realizado por centros hospitalarios ajenos al SCS, así como en el extranjero a los beneficiarios de la Seguridad Social (subconcepto de entidades privadas) y, el 6,2 % se aplica a la asistencia ambulatoria (hemodiálisis, oxigenoterapia, rehabilitación, resonancias magnéticas, medicina nuclear y logopedia).</w:t>
      </w:r>
      <w:r>
        <w:rPr>
          <w:spacing w:val="-6"/>
          <w:sz w:val="20"/>
        </w:rPr>
        <w:t> </w:t>
      </w:r>
      <w:r>
        <w:rPr>
          <w:sz w:val="20"/>
        </w:rPr>
        <w:t>Por</w:t>
      </w:r>
      <w:r>
        <w:rPr>
          <w:spacing w:val="-5"/>
          <w:sz w:val="20"/>
        </w:rPr>
        <w:t> </w:t>
      </w:r>
      <w:r>
        <w:rPr>
          <w:sz w:val="20"/>
        </w:rPr>
        <w:t>último,</w:t>
      </w:r>
      <w:r>
        <w:rPr>
          <w:spacing w:val="-7"/>
          <w:sz w:val="20"/>
        </w:rPr>
        <w:t> </w:t>
      </w:r>
      <w:r>
        <w:rPr>
          <w:sz w:val="20"/>
        </w:rPr>
        <w:t>por</w:t>
      </w:r>
      <w:r>
        <w:rPr>
          <w:spacing w:val="-4"/>
          <w:sz w:val="20"/>
        </w:rPr>
        <w:t> </w:t>
      </w:r>
      <w:r>
        <w:rPr>
          <w:sz w:val="20"/>
        </w:rPr>
        <w:t>su</w:t>
      </w:r>
      <w:r>
        <w:rPr>
          <w:spacing w:val="-5"/>
          <w:sz w:val="20"/>
        </w:rPr>
        <w:t> </w:t>
      </w:r>
      <w:r>
        <w:rPr>
          <w:sz w:val="20"/>
        </w:rPr>
        <w:t>relevancia,</w:t>
      </w:r>
      <w:r>
        <w:rPr>
          <w:spacing w:val="-4"/>
          <w:sz w:val="20"/>
        </w:rPr>
        <w:t> </w:t>
      </w:r>
      <w:r>
        <w:rPr>
          <w:sz w:val="20"/>
        </w:rPr>
        <w:t>también</w:t>
      </w:r>
      <w:r>
        <w:rPr>
          <w:spacing w:val="-6"/>
          <w:sz w:val="20"/>
        </w:rPr>
        <w:t> </w:t>
      </w:r>
      <w:r>
        <w:rPr>
          <w:sz w:val="20"/>
        </w:rPr>
        <w:t>destacan</w:t>
      </w:r>
      <w:r>
        <w:rPr>
          <w:spacing w:val="-5"/>
          <w:sz w:val="20"/>
        </w:rPr>
        <w:t> </w:t>
      </w:r>
      <w:r>
        <w:rPr>
          <w:sz w:val="20"/>
        </w:rPr>
        <w:t>los</w:t>
      </w:r>
      <w:r>
        <w:rPr>
          <w:spacing w:val="-4"/>
          <w:sz w:val="20"/>
        </w:rPr>
        <w:t> </w:t>
      </w:r>
      <w:r>
        <w:rPr>
          <w:sz w:val="20"/>
        </w:rPr>
        <w:t>gastos</w:t>
      </w:r>
      <w:r>
        <w:rPr>
          <w:spacing w:val="-5"/>
          <w:sz w:val="20"/>
        </w:rPr>
        <w:t> </w:t>
      </w:r>
      <w:r>
        <w:rPr>
          <w:sz w:val="20"/>
        </w:rPr>
        <w:t>asociados</w:t>
      </w:r>
      <w:r>
        <w:rPr>
          <w:spacing w:val="-5"/>
          <w:sz w:val="20"/>
        </w:rPr>
        <w:t> </w:t>
      </w:r>
      <w:r>
        <w:rPr>
          <w:sz w:val="20"/>
        </w:rPr>
        <w:t>a</w:t>
      </w:r>
      <w:r>
        <w:rPr>
          <w:spacing w:val="-4"/>
          <w:sz w:val="20"/>
        </w:rPr>
        <w:t> </w:t>
      </w:r>
      <w:r>
        <w:rPr>
          <w:sz w:val="20"/>
        </w:rPr>
        <w:t>los servicios de limpieza y seguridad de los centros del SCS (5,8 %).</w:t>
      </w:r>
    </w:p>
    <w:p>
      <w:pPr>
        <w:pStyle w:val="BodyText"/>
        <w:spacing w:before="8"/>
        <w:rPr>
          <w:sz w:val="15"/>
        </w:rPr>
      </w:pPr>
    </w:p>
    <w:tbl>
      <w:tblPr>
        <w:tblW w:w="0" w:type="auto"/>
        <w:jc w:val="left"/>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1"/>
        <w:gridCol w:w="1683"/>
        <w:gridCol w:w="1794"/>
      </w:tblGrid>
      <w:tr>
        <w:trPr>
          <w:trHeight w:val="294" w:hRule="atLeast"/>
        </w:trPr>
        <w:tc>
          <w:tcPr>
            <w:tcW w:w="5134" w:type="dxa"/>
            <w:gridSpan w:val="2"/>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8"/>
              <w:ind w:left="1744" w:right="1739"/>
              <w:jc w:val="center"/>
              <w:rPr>
                <w:b/>
                <w:sz w:val="13"/>
              </w:rPr>
            </w:pPr>
            <w:r>
              <w:rPr>
                <w:b/>
                <w:w w:val="105"/>
                <w:sz w:val="13"/>
              </w:rPr>
              <w:t>Subconceptos del Capítulo 2</w:t>
            </w:r>
          </w:p>
        </w:tc>
        <w:tc>
          <w:tcPr>
            <w:tcW w:w="1794"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8"/>
              <w:ind w:right="162"/>
              <w:jc w:val="right"/>
              <w:rPr>
                <w:b/>
                <w:sz w:val="13"/>
              </w:rPr>
            </w:pPr>
            <w:r>
              <w:rPr>
                <w:b/>
                <w:sz w:val="13"/>
              </w:rPr>
              <w:t>Obligaciones Reconocidos</w:t>
            </w:r>
          </w:p>
        </w:tc>
      </w:tr>
      <w:tr>
        <w:trPr>
          <w:trHeight w:val="226" w:hRule="atLeast"/>
        </w:trPr>
        <w:tc>
          <w:tcPr>
            <w:tcW w:w="3451" w:type="dxa"/>
            <w:tcBorders>
              <w:top w:val="single" w:sz="4" w:space="0" w:color="000000"/>
              <w:left w:val="single" w:sz="4" w:space="0" w:color="000000"/>
            </w:tcBorders>
          </w:tcPr>
          <w:p>
            <w:pPr>
              <w:pStyle w:val="TableParagraph"/>
              <w:spacing w:before="28"/>
              <w:ind w:left="57"/>
              <w:rPr>
                <w:b/>
                <w:sz w:val="13"/>
              </w:rPr>
            </w:pPr>
            <w:r>
              <w:rPr>
                <w:b/>
                <w:w w:val="105"/>
                <w:sz w:val="13"/>
              </w:rPr>
              <w:t>Productos farmacéuticos</w:t>
            </w:r>
          </w:p>
        </w:tc>
        <w:tc>
          <w:tcPr>
            <w:tcW w:w="1683" w:type="dxa"/>
            <w:tcBorders>
              <w:top w:val="single" w:sz="4" w:space="0" w:color="000000"/>
              <w:right w:val="single" w:sz="4" w:space="0" w:color="000000"/>
            </w:tcBorders>
          </w:tcPr>
          <w:p>
            <w:pPr>
              <w:pStyle w:val="TableParagraph"/>
              <w:spacing w:before="28"/>
              <w:ind w:left="422"/>
              <w:rPr>
                <w:sz w:val="13"/>
              </w:rPr>
            </w:pPr>
            <w:r>
              <w:rPr>
                <w:w w:val="105"/>
                <w:sz w:val="13"/>
              </w:rPr>
              <w:t>22005</w:t>
            </w:r>
          </w:p>
        </w:tc>
        <w:tc>
          <w:tcPr>
            <w:tcW w:w="1794" w:type="dxa"/>
            <w:tcBorders>
              <w:top w:val="single" w:sz="4" w:space="0" w:color="000000"/>
              <w:left w:val="single" w:sz="4" w:space="0" w:color="000000"/>
              <w:right w:val="single" w:sz="4" w:space="0" w:color="000000"/>
            </w:tcBorders>
          </w:tcPr>
          <w:p>
            <w:pPr>
              <w:pStyle w:val="TableParagraph"/>
              <w:spacing w:before="28"/>
              <w:ind w:right="235"/>
              <w:jc w:val="right"/>
              <w:rPr>
                <w:b/>
                <w:sz w:val="13"/>
              </w:rPr>
            </w:pPr>
            <w:r>
              <w:rPr>
                <w:b/>
                <w:w w:val="105"/>
                <w:sz w:val="13"/>
              </w:rPr>
              <w:t>370.031,10</w:t>
            </w:r>
          </w:p>
        </w:tc>
      </w:tr>
      <w:tr>
        <w:trPr>
          <w:trHeight w:val="202" w:hRule="atLeast"/>
        </w:trPr>
        <w:tc>
          <w:tcPr>
            <w:tcW w:w="3451" w:type="dxa"/>
            <w:tcBorders>
              <w:left w:val="single" w:sz="4" w:space="0" w:color="000000"/>
            </w:tcBorders>
          </w:tcPr>
          <w:p>
            <w:pPr>
              <w:pStyle w:val="TableParagraph"/>
              <w:spacing w:before="17"/>
              <w:ind w:left="57"/>
              <w:rPr>
                <w:b/>
                <w:sz w:val="13"/>
              </w:rPr>
            </w:pPr>
            <w:r>
              <w:rPr>
                <w:b/>
                <w:w w:val="105"/>
                <w:sz w:val="13"/>
              </w:rPr>
              <w:t>Otros suministros sanitarios</w:t>
            </w:r>
          </w:p>
        </w:tc>
        <w:tc>
          <w:tcPr>
            <w:tcW w:w="1683" w:type="dxa"/>
            <w:tcBorders>
              <w:right w:val="single" w:sz="4" w:space="0" w:color="000000"/>
            </w:tcBorders>
          </w:tcPr>
          <w:p>
            <w:pPr>
              <w:pStyle w:val="TableParagraph"/>
              <w:spacing w:before="17"/>
              <w:ind w:left="422"/>
              <w:rPr>
                <w:sz w:val="13"/>
              </w:rPr>
            </w:pPr>
            <w:r>
              <w:rPr>
                <w:w w:val="105"/>
                <w:sz w:val="13"/>
              </w:rPr>
              <w:t>22006</w:t>
            </w:r>
          </w:p>
        </w:tc>
        <w:tc>
          <w:tcPr>
            <w:tcW w:w="1794" w:type="dxa"/>
            <w:tcBorders>
              <w:left w:val="single" w:sz="4" w:space="0" w:color="000000"/>
              <w:right w:val="single" w:sz="4" w:space="0" w:color="000000"/>
            </w:tcBorders>
          </w:tcPr>
          <w:p>
            <w:pPr>
              <w:pStyle w:val="TableParagraph"/>
              <w:spacing w:before="17"/>
              <w:ind w:right="235"/>
              <w:jc w:val="right"/>
              <w:rPr>
                <w:b/>
                <w:sz w:val="13"/>
              </w:rPr>
            </w:pPr>
            <w:r>
              <w:rPr>
                <w:b/>
                <w:w w:val="105"/>
                <w:sz w:val="13"/>
              </w:rPr>
              <w:t>313.780,00</w:t>
            </w:r>
          </w:p>
        </w:tc>
      </w:tr>
      <w:tr>
        <w:trPr>
          <w:trHeight w:val="193" w:hRule="atLeast"/>
        </w:trPr>
        <w:tc>
          <w:tcPr>
            <w:tcW w:w="3451" w:type="dxa"/>
            <w:tcBorders>
              <w:left w:val="single" w:sz="4" w:space="0" w:color="000000"/>
            </w:tcBorders>
          </w:tcPr>
          <w:p>
            <w:pPr>
              <w:pStyle w:val="TableParagraph"/>
              <w:spacing w:before="4"/>
              <w:ind w:left="57"/>
              <w:rPr>
                <w:b/>
                <w:sz w:val="13"/>
              </w:rPr>
            </w:pPr>
            <w:r>
              <w:rPr>
                <w:b/>
                <w:w w:val="105"/>
                <w:sz w:val="13"/>
              </w:rPr>
              <w:t>Limpieza y aseo</w:t>
            </w:r>
          </w:p>
        </w:tc>
        <w:tc>
          <w:tcPr>
            <w:tcW w:w="1683" w:type="dxa"/>
            <w:tcBorders>
              <w:right w:val="single" w:sz="4" w:space="0" w:color="000000"/>
            </w:tcBorders>
          </w:tcPr>
          <w:p>
            <w:pPr>
              <w:pStyle w:val="TableParagraph"/>
              <w:spacing w:before="4"/>
              <w:ind w:left="422"/>
              <w:rPr>
                <w:sz w:val="13"/>
              </w:rPr>
            </w:pPr>
            <w:r>
              <w:rPr>
                <w:w w:val="105"/>
                <w:sz w:val="13"/>
              </w:rPr>
              <w:t>22700</w:t>
            </w:r>
          </w:p>
        </w:tc>
        <w:tc>
          <w:tcPr>
            <w:tcW w:w="1794" w:type="dxa"/>
            <w:tcBorders>
              <w:left w:val="single" w:sz="4" w:space="0" w:color="000000"/>
              <w:right w:val="single" w:sz="4" w:space="0" w:color="000000"/>
            </w:tcBorders>
          </w:tcPr>
          <w:p>
            <w:pPr>
              <w:pStyle w:val="TableParagraph"/>
              <w:spacing w:before="4"/>
              <w:ind w:right="235"/>
              <w:jc w:val="right"/>
              <w:rPr>
                <w:b/>
                <w:sz w:val="13"/>
              </w:rPr>
            </w:pPr>
            <w:r>
              <w:rPr>
                <w:b/>
                <w:w w:val="105"/>
                <w:sz w:val="13"/>
              </w:rPr>
              <w:t>46.729,43</w:t>
            </w:r>
          </w:p>
        </w:tc>
      </w:tr>
      <w:tr>
        <w:trPr>
          <w:trHeight w:val="197" w:hRule="atLeast"/>
        </w:trPr>
        <w:tc>
          <w:tcPr>
            <w:tcW w:w="3451" w:type="dxa"/>
            <w:tcBorders>
              <w:left w:val="single" w:sz="4" w:space="0" w:color="000000"/>
            </w:tcBorders>
          </w:tcPr>
          <w:p>
            <w:pPr>
              <w:pStyle w:val="TableParagraph"/>
              <w:spacing w:before="8"/>
              <w:ind w:left="57"/>
              <w:rPr>
                <w:b/>
                <w:sz w:val="13"/>
              </w:rPr>
            </w:pPr>
            <w:r>
              <w:rPr>
                <w:b/>
                <w:w w:val="105"/>
                <w:sz w:val="13"/>
              </w:rPr>
              <w:t>Seguridad</w:t>
            </w:r>
          </w:p>
        </w:tc>
        <w:tc>
          <w:tcPr>
            <w:tcW w:w="1683" w:type="dxa"/>
            <w:tcBorders>
              <w:right w:val="single" w:sz="4" w:space="0" w:color="000000"/>
            </w:tcBorders>
          </w:tcPr>
          <w:p>
            <w:pPr>
              <w:pStyle w:val="TableParagraph"/>
              <w:spacing w:before="8"/>
              <w:ind w:left="422"/>
              <w:rPr>
                <w:sz w:val="13"/>
              </w:rPr>
            </w:pPr>
            <w:r>
              <w:rPr>
                <w:w w:val="105"/>
                <w:sz w:val="13"/>
              </w:rPr>
              <w:t>22701</w:t>
            </w:r>
          </w:p>
        </w:tc>
        <w:tc>
          <w:tcPr>
            <w:tcW w:w="1794" w:type="dxa"/>
            <w:tcBorders>
              <w:left w:val="single" w:sz="4" w:space="0" w:color="000000"/>
              <w:right w:val="single" w:sz="4" w:space="0" w:color="000000"/>
            </w:tcBorders>
          </w:tcPr>
          <w:p>
            <w:pPr>
              <w:pStyle w:val="TableParagraph"/>
              <w:spacing w:before="8"/>
              <w:ind w:right="235"/>
              <w:jc w:val="right"/>
              <w:rPr>
                <w:b/>
                <w:sz w:val="13"/>
              </w:rPr>
            </w:pPr>
            <w:r>
              <w:rPr>
                <w:b/>
                <w:w w:val="105"/>
                <w:sz w:val="13"/>
              </w:rPr>
              <w:t>17.076,14</w:t>
            </w:r>
          </w:p>
        </w:tc>
      </w:tr>
      <w:tr>
        <w:trPr>
          <w:trHeight w:val="235" w:hRule="atLeast"/>
        </w:trPr>
        <w:tc>
          <w:tcPr>
            <w:tcW w:w="3451" w:type="dxa"/>
            <w:tcBorders>
              <w:left w:val="single" w:sz="4" w:space="0" w:color="000000"/>
            </w:tcBorders>
          </w:tcPr>
          <w:p>
            <w:pPr>
              <w:pStyle w:val="TableParagraph"/>
              <w:spacing w:before="8"/>
              <w:ind w:left="57"/>
              <w:rPr>
                <w:b/>
                <w:sz w:val="13"/>
              </w:rPr>
            </w:pPr>
            <w:r>
              <w:rPr>
                <w:b/>
                <w:w w:val="105"/>
                <w:sz w:val="13"/>
              </w:rPr>
              <w:t>Entidades privadas, productos farmacéuticos</w:t>
            </w:r>
          </w:p>
        </w:tc>
        <w:tc>
          <w:tcPr>
            <w:tcW w:w="1683" w:type="dxa"/>
            <w:tcBorders>
              <w:right w:val="single" w:sz="4" w:space="0" w:color="000000"/>
            </w:tcBorders>
          </w:tcPr>
          <w:p>
            <w:pPr>
              <w:pStyle w:val="TableParagraph"/>
              <w:spacing w:before="8"/>
              <w:ind w:left="422"/>
              <w:rPr>
                <w:sz w:val="13"/>
              </w:rPr>
            </w:pPr>
            <w:r>
              <w:rPr>
                <w:w w:val="105"/>
                <w:sz w:val="13"/>
              </w:rPr>
              <w:t>25207</w:t>
            </w:r>
          </w:p>
        </w:tc>
        <w:tc>
          <w:tcPr>
            <w:tcW w:w="1794" w:type="dxa"/>
            <w:tcBorders>
              <w:left w:val="single" w:sz="4" w:space="0" w:color="000000"/>
              <w:right w:val="single" w:sz="4" w:space="0" w:color="000000"/>
            </w:tcBorders>
          </w:tcPr>
          <w:p>
            <w:pPr>
              <w:pStyle w:val="TableParagraph"/>
              <w:spacing w:before="8"/>
              <w:ind w:right="235"/>
              <w:jc w:val="right"/>
              <w:rPr>
                <w:b/>
                <w:sz w:val="13"/>
              </w:rPr>
            </w:pPr>
            <w:r>
              <w:rPr>
                <w:b/>
                <w:w w:val="105"/>
                <w:sz w:val="13"/>
              </w:rPr>
              <w:t>27,33</w:t>
            </w:r>
          </w:p>
        </w:tc>
      </w:tr>
      <w:tr>
        <w:trPr>
          <w:trHeight w:val="314" w:hRule="atLeast"/>
        </w:trPr>
        <w:tc>
          <w:tcPr>
            <w:tcW w:w="3451" w:type="dxa"/>
            <w:tcBorders>
              <w:left w:val="single" w:sz="4" w:space="0" w:color="000000"/>
              <w:bottom w:val="single" w:sz="4" w:space="0" w:color="000000"/>
            </w:tcBorders>
          </w:tcPr>
          <w:p>
            <w:pPr>
              <w:pStyle w:val="TableParagraph"/>
              <w:spacing w:before="46"/>
              <w:ind w:left="57"/>
              <w:rPr>
                <w:b/>
                <w:sz w:val="13"/>
              </w:rPr>
            </w:pPr>
            <w:r>
              <w:rPr>
                <w:b/>
                <w:w w:val="105"/>
                <w:sz w:val="13"/>
              </w:rPr>
              <w:t>TOTAL prestaciones sanitarias realizadas por terceros</w:t>
            </w:r>
          </w:p>
        </w:tc>
        <w:tc>
          <w:tcPr>
            <w:tcW w:w="1683" w:type="dxa"/>
            <w:tcBorders>
              <w:bottom w:val="single" w:sz="4" w:space="0" w:color="000000"/>
              <w:right w:val="single" w:sz="4" w:space="0" w:color="000000"/>
            </w:tcBorders>
          </w:tcPr>
          <w:p>
            <w:pPr>
              <w:pStyle w:val="TableParagraph"/>
              <w:rPr>
                <w:rFonts w:ascii="Times New Roman"/>
                <w:sz w:val="16"/>
              </w:rPr>
            </w:pPr>
          </w:p>
        </w:tc>
        <w:tc>
          <w:tcPr>
            <w:tcW w:w="1794" w:type="dxa"/>
            <w:tcBorders>
              <w:left w:val="single" w:sz="4" w:space="0" w:color="000000"/>
              <w:bottom w:val="single" w:sz="4" w:space="0" w:color="000000"/>
              <w:right w:val="single" w:sz="4" w:space="0" w:color="000000"/>
            </w:tcBorders>
          </w:tcPr>
          <w:p>
            <w:pPr>
              <w:pStyle w:val="TableParagraph"/>
              <w:spacing w:before="46"/>
              <w:ind w:right="235"/>
              <w:jc w:val="right"/>
              <w:rPr>
                <w:b/>
                <w:sz w:val="13"/>
              </w:rPr>
            </w:pPr>
            <w:r>
              <w:rPr>
                <w:b/>
                <w:w w:val="105"/>
                <w:sz w:val="13"/>
              </w:rPr>
              <w:t>201.070,54</w:t>
            </w:r>
          </w:p>
        </w:tc>
      </w:tr>
    </w:tbl>
    <w:p>
      <w:pPr>
        <w:pStyle w:val="BodyText"/>
        <w:spacing w:before="2"/>
        <w:rPr>
          <w:sz w:val="19"/>
        </w:rPr>
      </w:pPr>
      <w:r>
        <w:rPr/>
        <w:pict>
          <v:shape style="position:absolute;margin-left:142.816818pt;margin-top:14.004459pt;width:120.95pt;height:.1pt;mso-position-horizontal-relative:page;mso-position-vertical-relative:paragraph;z-index:-251463680;mso-wrap-distance-left:0;mso-wrap-distance-right:0" coordorigin="2856,280" coordsize="2419,0" path="m2856,280l5275,280e" filled="false" stroked="true" strokeweight=".604535pt" strokecolor="#000000">
            <v:path arrowok="t"/>
            <v:stroke dashstyle="solid"/>
            <w10:wrap type="topAndBottom"/>
          </v:shape>
        </w:pict>
      </w:r>
    </w:p>
    <w:p>
      <w:pPr>
        <w:spacing w:line="252" w:lineRule="auto" w:before="49"/>
        <w:ind w:left="2096" w:right="1148" w:firstLine="0"/>
        <w:jc w:val="both"/>
        <w:rPr>
          <w:sz w:val="16"/>
        </w:rPr>
      </w:pPr>
      <w:r>
        <w:rPr>
          <w:w w:val="105"/>
          <w:position w:val="6"/>
          <w:sz w:val="11"/>
        </w:rPr>
        <w:t>22 </w:t>
      </w:r>
      <w:r>
        <w:rPr>
          <w:w w:val="105"/>
          <w:sz w:val="16"/>
        </w:rPr>
        <w:t>Este incremento de las plazas estructurales de las plantillas orgánicas del SCS y su planificación plurianual, con objeto de adaptarlas a la modificación operada en el Real Decreto ley 12/2022, de 5 de julio, se contempla en la DA 25ª de la Ley de presupuestos de la CAC para 2023.</w:t>
      </w:r>
    </w:p>
    <w:p>
      <w:pPr>
        <w:pStyle w:val="BodyText"/>
        <w:spacing w:line="238" w:lineRule="exact"/>
        <w:ind w:left="7897"/>
        <w:jc w:val="center"/>
      </w:pPr>
      <w:r>
        <w:rPr/>
        <w:t>97</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05" name="image5.png"/>
                  <wp:cNvGraphicFramePr>
                    <a:graphicFrameLocks noChangeAspect="1"/>
                  </wp:cNvGraphicFramePr>
                  <a:graphic>
                    <a:graphicData uri="http://schemas.openxmlformats.org/drawingml/2006/picture">
                      <pic:pic>
                        <pic:nvPicPr>
                          <pic:cNvPr id="20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34"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1"/>
                <w:position w:val="1"/>
                <w:sz w:val="11"/>
              </w:rPr>
              <w:t> </w:t>
            </w:r>
            <w:r>
              <w:rPr>
                <w:rFonts w:ascii="Arial" w:hAnsi="Arial"/>
                <w:color w:val="3F3F3F"/>
                <w:position w:val="1"/>
                <w:sz w:val="11"/>
              </w:rPr>
              <w:t>99/247</w:t>
            </w:r>
            <w:r>
              <w:rPr>
                <w:rFonts w:ascii="Arial" w:hAnsi="Arial"/>
                <w:color w:val="3F3F3F"/>
                <w:spacing w:val="2"/>
                <w:position w:val="1"/>
                <w:sz w:val="11"/>
              </w:rPr>
              <w:t> </w:t>
            </w:r>
            <w:r>
              <w:rPr>
                <w:rFonts w:ascii="Arial" w:hAnsi="Arial"/>
                <w:color w:val="3F3F3F"/>
                <w:position w:val="1"/>
                <w:sz w:val="11"/>
              </w:rPr>
              <w:t>-</w:t>
              <w:tab/>
            </w:r>
            <w:r>
              <w:rPr>
                <w:rFonts w:ascii="Arial" w:hAnsi="Arial"/>
                <w:sz w:val="11"/>
              </w:rPr>
              <w:t>Fecha de emisión de esta copia: 29-12-2023</w:t>
            </w:r>
            <w:r>
              <w:rPr>
                <w:rFonts w:ascii="Arial" w:hAnsi="Arial"/>
                <w:spacing w:val="30"/>
                <w:sz w:val="11"/>
              </w:rPr>
              <w:t> </w:t>
            </w:r>
            <w:r>
              <w:rPr>
                <w:rFonts w:ascii="Arial" w:hAnsi="Arial"/>
                <w:sz w:val="11"/>
              </w:rPr>
              <w:t>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9"/>
        <w:gridCol w:w="1324"/>
        <w:gridCol w:w="1794"/>
      </w:tblGrid>
      <w:tr>
        <w:trPr>
          <w:trHeight w:val="294" w:hRule="atLeast"/>
        </w:trPr>
        <w:tc>
          <w:tcPr>
            <w:tcW w:w="5133" w:type="dxa"/>
            <w:gridSpan w:val="2"/>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8"/>
              <w:ind w:left="1744" w:right="1738"/>
              <w:jc w:val="center"/>
              <w:rPr>
                <w:b/>
                <w:sz w:val="13"/>
              </w:rPr>
            </w:pPr>
            <w:r>
              <w:rPr>
                <w:b/>
                <w:w w:val="105"/>
                <w:sz w:val="13"/>
              </w:rPr>
              <w:t>Subconceptos del Capítulo 2</w:t>
            </w:r>
          </w:p>
        </w:tc>
        <w:tc>
          <w:tcPr>
            <w:tcW w:w="1794"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8"/>
              <w:ind w:right="161"/>
              <w:jc w:val="right"/>
              <w:rPr>
                <w:b/>
                <w:sz w:val="13"/>
              </w:rPr>
            </w:pPr>
            <w:r>
              <w:rPr>
                <w:b/>
                <w:sz w:val="13"/>
              </w:rPr>
              <w:t>Obligaciones Reconocidos</w:t>
            </w:r>
          </w:p>
        </w:tc>
      </w:tr>
      <w:tr>
        <w:trPr>
          <w:trHeight w:val="225" w:hRule="atLeast"/>
        </w:trPr>
        <w:tc>
          <w:tcPr>
            <w:tcW w:w="3809" w:type="dxa"/>
            <w:tcBorders>
              <w:top w:val="single" w:sz="4" w:space="0" w:color="000000"/>
              <w:left w:val="single" w:sz="4" w:space="0" w:color="000000"/>
            </w:tcBorders>
          </w:tcPr>
          <w:p>
            <w:pPr>
              <w:pStyle w:val="TableParagraph"/>
              <w:spacing w:before="28"/>
              <w:ind w:right="53"/>
              <w:jc w:val="right"/>
              <w:rPr>
                <w:sz w:val="13"/>
              </w:rPr>
            </w:pPr>
            <w:r>
              <w:rPr>
                <w:sz w:val="13"/>
              </w:rPr>
              <w:t>Entidades privadas</w:t>
            </w:r>
          </w:p>
        </w:tc>
        <w:tc>
          <w:tcPr>
            <w:tcW w:w="1324" w:type="dxa"/>
            <w:tcBorders>
              <w:top w:val="single" w:sz="4" w:space="0" w:color="000000"/>
              <w:right w:val="single" w:sz="4" w:space="0" w:color="000000"/>
            </w:tcBorders>
          </w:tcPr>
          <w:p>
            <w:pPr>
              <w:pStyle w:val="TableParagraph"/>
              <w:spacing w:before="28"/>
              <w:ind w:left="64"/>
              <w:rPr>
                <w:sz w:val="13"/>
              </w:rPr>
            </w:pPr>
            <w:r>
              <w:rPr>
                <w:w w:val="105"/>
                <w:sz w:val="13"/>
              </w:rPr>
              <w:t>25206</w:t>
            </w:r>
          </w:p>
        </w:tc>
        <w:tc>
          <w:tcPr>
            <w:tcW w:w="1794" w:type="dxa"/>
            <w:tcBorders>
              <w:top w:val="single" w:sz="4" w:space="0" w:color="000000"/>
              <w:left w:val="single" w:sz="4" w:space="0" w:color="000000"/>
              <w:right w:val="single" w:sz="4" w:space="0" w:color="000000"/>
            </w:tcBorders>
          </w:tcPr>
          <w:p>
            <w:pPr>
              <w:pStyle w:val="TableParagraph"/>
              <w:spacing w:before="28"/>
              <w:ind w:right="235"/>
              <w:jc w:val="right"/>
              <w:rPr>
                <w:sz w:val="13"/>
              </w:rPr>
            </w:pPr>
            <w:r>
              <w:rPr>
                <w:w w:val="105"/>
                <w:sz w:val="13"/>
              </w:rPr>
              <w:t>133.787,61</w:t>
            </w:r>
          </w:p>
        </w:tc>
      </w:tr>
      <w:tr>
        <w:trPr>
          <w:trHeight w:val="214" w:hRule="atLeast"/>
        </w:trPr>
        <w:tc>
          <w:tcPr>
            <w:tcW w:w="3809" w:type="dxa"/>
            <w:tcBorders>
              <w:left w:val="single" w:sz="4" w:space="0" w:color="000000"/>
            </w:tcBorders>
          </w:tcPr>
          <w:p>
            <w:pPr>
              <w:pStyle w:val="TableParagraph"/>
              <w:spacing w:before="16"/>
              <w:ind w:right="55"/>
              <w:jc w:val="right"/>
              <w:rPr>
                <w:sz w:val="13"/>
              </w:rPr>
            </w:pPr>
            <w:r>
              <w:rPr>
                <w:w w:val="105"/>
                <w:sz w:val="13"/>
              </w:rPr>
              <w:t>Hemodiálisis en centros hospitalarios</w:t>
            </w:r>
          </w:p>
        </w:tc>
        <w:tc>
          <w:tcPr>
            <w:tcW w:w="1324" w:type="dxa"/>
            <w:tcBorders>
              <w:right w:val="single" w:sz="4" w:space="0" w:color="000000"/>
            </w:tcBorders>
          </w:tcPr>
          <w:p>
            <w:pPr>
              <w:pStyle w:val="TableParagraph"/>
              <w:spacing w:before="16"/>
              <w:ind w:left="64"/>
              <w:rPr>
                <w:sz w:val="13"/>
              </w:rPr>
            </w:pPr>
            <w:r>
              <w:rPr>
                <w:w w:val="105"/>
                <w:sz w:val="13"/>
              </w:rPr>
              <w:t>25300</w:t>
            </w:r>
          </w:p>
        </w:tc>
        <w:tc>
          <w:tcPr>
            <w:tcW w:w="1794" w:type="dxa"/>
            <w:tcBorders>
              <w:left w:val="single" w:sz="4" w:space="0" w:color="000000"/>
              <w:right w:val="single" w:sz="4" w:space="0" w:color="000000"/>
            </w:tcBorders>
          </w:tcPr>
          <w:p>
            <w:pPr>
              <w:pStyle w:val="TableParagraph"/>
              <w:spacing w:before="16"/>
              <w:ind w:right="235"/>
              <w:jc w:val="right"/>
              <w:rPr>
                <w:sz w:val="13"/>
              </w:rPr>
            </w:pPr>
            <w:r>
              <w:rPr>
                <w:w w:val="105"/>
                <w:sz w:val="13"/>
              </w:rPr>
              <w:t>9.142,62</w:t>
            </w:r>
          </w:p>
        </w:tc>
      </w:tr>
      <w:tr>
        <w:trPr>
          <w:trHeight w:val="215" w:hRule="atLeast"/>
        </w:trPr>
        <w:tc>
          <w:tcPr>
            <w:tcW w:w="3809" w:type="dxa"/>
            <w:tcBorders>
              <w:left w:val="single" w:sz="4" w:space="0" w:color="000000"/>
            </w:tcBorders>
          </w:tcPr>
          <w:p>
            <w:pPr>
              <w:pStyle w:val="TableParagraph"/>
              <w:spacing w:before="17"/>
              <w:ind w:right="54"/>
              <w:jc w:val="right"/>
              <w:rPr>
                <w:sz w:val="13"/>
              </w:rPr>
            </w:pPr>
            <w:r>
              <w:rPr>
                <w:w w:val="105"/>
                <w:sz w:val="13"/>
              </w:rPr>
              <w:t>Club de diálisis</w:t>
            </w:r>
          </w:p>
        </w:tc>
        <w:tc>
          <w:tcPr>
            <w:tcW w:w="1324" w:type="dxa"/>
            <w:tcBorders>
              <w:right w:val="single" w:sz="4" w:space="0" w:color="000000"/>
            </w:tcBorders>
          </w:tcPr>
          <w:p>
            <w:pPr>
              <w:pStyle w:val="TableParagraph"/>
              <w:spacing w:before="17"/>
              <w:ind w:left="64"/>
              <w:rPr>
                <w:sz w:val="13"/>
              </w:rPr>
            </w:pPr>
            <w:r>
              <w:rPr>
                <w:w w:val="105"/>
                <w:sz w:val="13"/>
              </w:rPr>
              <w:t>25301</w:t>
            </w:r>
          </w:p>
        </w:tc>
        <w:tc>
          <w:tcPr>
            <w:tcW w:w="1794" w:type="dxa"/>
            <w:tcBorders>
              <w:left w:val="single" w:sz="4" w:space="0" w:color="000000"/>
              <w:right w:val="single" w:sz="4" w:space="0" w:color="000000"/>
            </w:tcBorders>
          </w:tcPr>
          <w:p>
            <w:pPr>
              <w:pStyle w:val="TableParagraph"/>
              <w:spacing w:before="17"/>
              <w:ind w:right="235"/>
              <w:jc w:val="right"/>
              <w:rPr>
                <w:sz w:val="13"/>
              </w:rPr>
            </w:pPr>
            <w:r>
              <w:rPr>
                <w:w w:val="105"/>
                <w:sz w:val="13"/>
              </w:rPr>
              <w:t>13.022,82</w:t>
            </w:r>
          </w:p>
        </w:tc>
      </w:tr>
      <w:tr>
        <w:trPr>
          <w:trHeight w:val="214" w:hRule="atLeast"/>
        </w:trPr>
        <w:tc>
          <w:tcPr>
            <w:tcW w:w="3809" w:type="dxa"/>
            <w:tcBorders>
              <w:left w:val="single" w:sz="4" w:space="0" w:color="000000"/>
            </w:tcBorders>
          </w:tcPr>
          <w:p>
            <w:pPr>
              <w:pStyle w:val="TableParagraph"/>
              <w:spacing w:before="17"/>
              <w:ind w:right="56"/>
              <w:jc w:val="right"/>
              <w:rPr>
                <w:sz w:val="13"/>
              </w:rPr>
            </w:pPr>
            <w:r>
              <w:rPr>
                <w:w w:val="105"/>
                <w:sz w:val="13"/>
              </w:rPr>
              <w:t>Otras hemodiálisis en centros no hospitalarios</w:t>
            </w:r>
          </w:p>
        </w:tc>
        <w:tc>
          <w:tcPr>
            <w:tcW w:w="1324" w:type="dxa"/>
            <w:tcBorders>
              <w:right w:val="single" w:sz="4" w:space="0" w:color="000000"/>
            </w:tcBorders>
          </w:tcPr>
          <w:p>
            <w:pPr>
              <w:pStyle w:val="TableParagraph"/>
              <w:spacing w:before="17"/>
              <w:ind w:left="64"/>
              <w:rPr>
                <w:sz w:val="13"/>
              </w:rPr>
            </w:pPr>
            <w:r>
              <w:rPr>
                <w:w w:val="105"/>
                <w:sz w:val="13"/>
              </w:rPr>
              <w:t>25302</w:t>
            </w:r>
          </w:p>
        </w:tc>
        <w:tc>
          <w:tcPr>
            <w:tcW w:w="1794" w:type="dxa"/>
            <w:tcBorders>
              <w:left w:val="single" w:sz="4" w:space="0" w:color="000000"/>
              <w:right w:val="single" w:sz="4" w:space="0" w:color="000000"/>
            </w:tcBorders>
          </w:tcPr>
          <w:p>
            <w:pPr>
              <w:pStyle w:val="TableParagraph"/>
              <w:spacing w:before="17"/>
              <w:ind w:right="235"/>
              <w:jc w:val="right"/>
              <w:rPr>
                <w:sz w:val="13"/>
              </w:rPr>
            </w:pPr>
            <w:r>
              <w:rPr>
                <w:w w:val="105"/>
                <w:sz w:val="13"/>
              </w:rPr>
              <w:t>10.726,16</w:t>
            </w:r>
          </w:p>
        </w:tc>
      </w:tr>
      <w:tr>
        <w:trPr>
          <w:trHeight w:val="214" w:hRule="atLeast"/>
        </w:trPr>
        <w:tc>
          <w:tcPr>
            <w:tcW w:w="3809" w:type="dxa"/>
            <w:tcBorders>
              <w:left w:val="single" w:sz="4" w:space="0" w:color="000000"/>
            </w:tcBorders>
          </w:tcPr>
          <w:p>
            <w:pPr>
              <w:pStyle w:val="TableParagraph"/>
              <w:spacing w:before="16"/>
              <w:ind w:right="54"/>
              <w:jc w:val="right"/>
              <w:rPr>
                <w:sz w:val="13"/>
              </w:rPr>
            </w:pPr>
            <w:r>
              <w:rPr>
                <w:w w:val="105"/>
                <w:sz w:val="13"/>
              </w:rPr>
              <w:t>Oxigenoterapia en domicilio</w:t>
            </w:r>
          </w:p>
        </w:tc>
        <w:tc>
          <w:tcPr>
            <w:tcW w:w="1324" w:type="dxa"/>
            <w:tcBorders>
              <w:right w:val="single" w:sz="4" w:space="0" w:color="000000"/>
            </w:tcBorders>
          </w:tcPr>
          <w:p>
            <w:pPr>
              <w:pStyle w:val="TableParagraph"/>
              <w:spacing w:before="16"/>
              <w:ind w:left="64"/>
              <w:rPr>
                <w:sz w:val="13"/>
              </w:rPr>
            </w:pPr>
            <w:r>
              <w:rPr>
                <w:w w:val="105"/>
                <w:sz w:val="13"/>
              </w:rPr>
              <w:t>25401</w:t>
            </w:r>
          </w:p>
        </w:tc>
        <w:tc>
          <w:tcPr>
            <w:tcW w:w="1794" w:type="dxa"/>
            <w:tcBorders>
              <w:left w:val="single" w:sz="4" w:space="0" w:color="000000"/>
              <w:right w:val="single" w:sz="4" w:space="0" w:color="000000"/>
            </w:tcBorders>
          </w:tcPr>
          <w:p>
            <w:pPr>
              <w:pStyle w:val="TableParagraph"/>
              <w:spacing w:before="16"/>
              <w:ind w:right="235"/>
              <w:jc w:val="right"/>
              <w:rPr>
                <w:sz w:val="13"/>
              </w:rPr>
            </w:pPr>
            <w:r>
              <w:rPr>
                <w:w w:val="105"/>
                <w:sz w:val="13"/>
              </w:rPr>
              <w:t>10.840,03</w:t>
            </w:r>
          </w:p>
        </w:tc>
      </w:tr>
      <w:tr>
        <w:trPr>
          <w:trHeight w:val="215" w:hRule="atLeast"/>
        </w:trPr>
        <w:tc>
          <w:tcPr>
            <w:tcW w:w="3809" w:type="dxa"/>
            <w:tcBorders>
              <w:left w:val="single" w:sz="4" w:space="0" w:color="000000"/>
            </w:tcBorders>
          </w:tcPr>
          <w:p>
            <w:pPr>
              <w:pStyle w:val="TableParagraph"/>
              <w:spacing w:before="17"/>
              <w:ind w:right="54"/>
              <w:jc w:val="right"/>
              <w:rPr>
                <w:sz w:val="13"/>
              </w:rPr>
            </w:pPr>
            <w:r>
              <w:rPr>
                <w:sz w:val="13"/>
              </w:rPr>
              <w:t>Concierto Rehabilitación</w:t>
            </w:r>
          </w:p>
        </w:tc>
        <w:tc>
          <w:tcPr>
            <w:tcW w:w="1324" w:type="dxa"/>
            <w:tcBorders>
              <w:right w:val="single" w:sz="4" w:space="0" w:color="000000"/>
            </w:tcBorders>
          </w:tcPr>
          <w:p>
            <w:pPr>
              <w:pStyle w:val="TableParagraph"/>
              <w:spacing w:before="17"/>
              <w:ind w:left="64"/>
              <w:rPr>
                <w:sz w:val="13"/>
              </w:rPr>
            </w:pPr>
            <w:r>
              <w:rPr>
                <w:w w:val="105"/>
                <w:sz w:val="13"/>
              </w:rPr>
              <w:t>25402</w:t>
            </w:r>
          </w:p>
        </w:tc>
        <w:tc>
          <w:tcPr>
            <w:tcW w:w="1794" w:type="dxa"/>
            <w:tcBorders>
              <w:left w:val="single" w:sz="4" w:space="0" w:color="000000"/>
              <w:right w:val="single" w:sz="4" w:space="0" w:color="000000"/>
            </w:tcBorders>
          </w:tcPr>
          <w:p>
            <w:pPr>
              <w:pStyle w:val="TableParagraph"/>
              <w:spacing w:before="17"/>
              <w:ind w:right="235"/>
              <w:jc w:val="right"/>
              <w:rPr>
                <w:sz w:val="13"/>
              </w:rPr>
            </w:pPr>
            <w:r>
              <w:rPr>
                <w:w w:val="105"/>
                <w:sz w:val="13"/>
              </w:rPr>
              <w:t>8.916,18</w:t>
            </w:r>
          </w:p>
        </w:tc>
      </w:tr>
      <w:tr>
        <w:trPr>
          <w:trHeight w:val="214" w:hRule="atLeast"/>
        </w:trPr>
        <w:tc>
          <w:tcPr>
            <w:tcW w:w="3809" w:type="dxa"/>
            <w:tcBorders>
              <w:left w:val="single" w:sz="4" w:space="0" w:color="000000"/>
            </w:tcBorders>
          </w:tcPr>
          <w:p>
            <w:pPr>
              <w:pStyle w:val="TableParagraph"/>
              <w:spacing w:before="17"/>
              <w:ind w:right="55"/>
              <w:jc w:val="right"/>
              <w:rPr>
                <w:sz w:val="13"/>
              </w:rPr>
            </w:pPr>
            <w:r>
              <w:rPr>
                <w:sz w:val="13"/>
              </w:rPr>
              <w:t>Concierto Resonancia Magnética</w:t>
            </w:r>
          </w:p>
        </w:tc>
        <w:tc>
          <w:tcPr>
            <w:tcW w:w="1324" w:type="dxa"/>
            <w:tcBorders>
              <w:right w:val="single" w:sz="4" w:space="0" w:color="000000"/>
            </w:tcBorders>
          </w:tcPr>
          <w:p>
            <w:pPr>
              <w:pStyle w:val="TableParagraph"/>
              <w:spacing w:before="17"/>
              <w:ind w:left="64"/>
              <w:rPr>
                <w:sz w:val="13"/>
              </w:rPr>
            </w:pPr>
            <w:r>
              <w:rPr>
                <w:w w:val="105"/>
                <w:sz w:val="13"/>
              </w:rPr>
              <w:t>25407</w:t>
            </w:r>
          </w:p>
        </w:tc>
        <w:tc>
          <w:tcPr>
            <w:tcW w:w="1794" w:type="dxa"/>
            <w:tcBorders>
              <w:left w:val="single" w:sz="4" w:space="0" w:color="000000"/>
              <w:right w:val="single" w:sz="4" w:space="0" w:color="000000"/>
            </w:tcBorders>
          </w:tcPr>
          <w:p>
            <w:pPr>
              <w:pStyle w:val="TableParagraph"/>
              <w:spacing w:before="17"/>
              <w:ind w:right="235"/>
              <w:jc w:val="right"/>
              <w:rPr>
                <w:sz w:val="13"/>
              </w:rPr>
            </w:pPr>
            <w:r>
              <w:rPr>
                <w:w w:val="105"/>
                <w:sz w:val="13"/>
              </w:rPr>
              <w:t>10.050,29</w:t>
            </w:r>
          </w:p>
        </w:tc>
      </w:tr>
      <w:tr>
        <w:trPr>
          <w:trHeight w:val="214" w:hRule="atLeast"/>
        </w:trPr>
        <w:tc>
          <w:tcPr>
            <w:tcW w:w="3809" w:type="dxa"/>
            <w:tcBorders>
              <w:left w:val="single" w:sz="4" w:space="0" w:color="000000"/>
            </w:tcBorders>
          </w:tcPr>
          <w:p>
            <w:pPr>
              <w:pStyle w:val="TableParagraph"/>
              <w:spacing w:before="16"/>
              <w:ind w:right="54"/>
              <w:jc w:val="right"/>
              <w:rPr>
                <w:sz w:val="13"/>
              </w:rPr>
            </w:pPr>
            <w:r>
              <w:rPr>
                <w:w w:val="105"/>
                <w:sz w:val="13"/>
              </w:rPr>
              <w:t>Concierto Medicina Nuclear</w:t>
            </w:r>
          </w:p>
        </w:tc>
        <w:tc>
          <w:tcPr>
            <w:tcW w:w="1324" w:type="dxa"/>
            <w:tcBorders>
              <w:right w:val="single" w:sz="4" w:space="0" w:color="000000"/>
            </w:tcBorders>
          </w:tcPr>
          <w:p>
            <w:pPr>
              <w:pStyle w:val="TableParagraph"/>
              <w:spacing w:before="16"/>
              <w:ind w:left="64"/>
              <w:rPr>
                <w:sz w:val="13"/>
              </w:rPr>
            </w:pPr>
            <w:r>
              <w:rPr>
                <w:w w:val="105"/>
                <w:sz w:val="13"/>
              </w:rPr>
              <w:t>25408</w:t>
            </w:r>
          </w:p>
        </w:tc>
        <w:tc>
          <w:tcPr>
            <w:tcW w:w="1794" w:type="dxa"/>
            <w:tcBorders>
              <w:left w:val="single" w:sz="4" w:space="0" w:color="000000"/>
              <w:right w:val="single" w:sz="4" w:space="0" w:color="000000"/>
            </w:tcBorders>
          </w:tcPr>
          <w:p>
            <w:pPr>
              <w:pStyle w:val="TableParagraph"/>
              <w:spacing w:before="16"/>
              <w:ind w:right="235"/>
              <w:jc w:val="right"/>
              <w:rPr>
                <w:sz w:val="13"/>
              </w:rPr>
            </w:pPr>
            <w:r>
              <w:rPr>
                <w:w w:val="105"/>
                <w:sz w:val="13"/>
              </w:rPr>
              <w:t>3.584,82</w:t>
            </w:r>
          </w:p>
        </w:tc>
      </w:tr>
      <w:tr>
        <w:trPr>
          <w:trHeight w:val="203" w:hRule="atLeast"/>
        </w:trPr>
        <w:tc>
          <w:tcPr>
            <w:tcW w:w="3809" w:type="dxa"/>
            <w:tcBorders>
              <w:left w:val="single" w:sz="4" w:space="0" w:color="000000"/>
              <w:bottom w:val="single" w:sz="4" w:space="0" w:color="000000"/>
            </w:tcBorders>
          </w:tcPr>
          <w:p>
            <w:pPr>
              <w:pStyle w:val="TableParagraph"/>
              <w:spacing w:before="17"/>
              <w:ind w:right="54"/>
              <w:jc w:val="right"/>
              <w:rPr>
                <w:sz w:val="13"/>
              </w:rPr>
            </w:pPr>
            <w:r>
              <w:rPr>
                <w:sz w:val="13"/>
              </w:rPr>
              <w:t>Concierto Logopedia</w:t>
            </w:r>
          </w:p>
        </w:tc>
        <w:tc>
          <w:tcPr>
            <w:tcW w:w="1324" w:type="dxa"/>
            <w:tcBorders>
              <w:bottom w:val="single" w:sz="4" w:space="0" w:color="000000"/>
              <w:right w:val="single" w:sz="4" w:space="0" w:color="000000"/>
            </w:tcBorders>
          </w:tcPr>
          <w:p>
            <w:pPr>
              <w:pStyle w:val="TableParagraph"/>
              <w:spacing w:before="17"/>
              <w:ind w:left="64"/>
              <w:rPr>
                <w:sz w:val="13"/>
              </w:rPr>
            </w:pPr>
            <w:r>
              <w:rPr>
                <w:w w:val="105"/>
                <w:sz w:val="13"/>
              </w:rPr>
              <w:t>25409</w:t>
            </w:r>
          </w:p>
        </w:tc>
        <w:tc>
          <w:tcPr>
            <w:tcW w:w="1794" w:type="dxa"/>
            <w:tcBorders>
              <w:left w:val="single" w:sz="4" w:space="0" w:color="000000"/>
              <w:bottom w:val="single" w:sz="4" w:space="0" w:color="000000"/>
              <w:right w:val="single" w:sz="4" w:space="0" w:color="000000"/>
            </w:tcBorders>
          </w:tcPr>
          <w:p>
            <w:pPr>
              <w:pStyle w:val="TableParagraph"/>
              <w:spacing w:before="17"/>
              <w:ind w:right="235"/>
              <w:jc w:val="right"/>
              <w:rPr>
                <w:sz w:val="13"/>
              </w:rPr>
            </w:pPr>
            <w:r>
              <w:rPr>
                <w:w w:val="105"/>
                <w:sz w:val="13"/>
              </w:rPr>
              <w:t>1.000,01</w:t>
            </w:r>
          </w:p>
        </w:tc>
      </w:tr>
      <w:tr>
        <w:trPr>
          <w:trHeight w:val="213" w:hRule="atLeast"/>
        </w:trPr>
        <w:tc>
          <w:tcPr>
            <w:tcW w:w="5133" w:type="dxa"/>
            <w:gridSpan w:val="2"/>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28"/>
              <w:ind w:left="1510"/>
              <w:rPr>
                <w:b/>
                <w:sz w:val="13"/>
              </w:rPr>
            </w:pPr>
            <w:r>
              <w:rPr>
                <w:b/>
                <w:w w:val="105"/>
                <w:sz w:val="13"/>
              </w:rPr>
              <w:t>TOTAL (</w:t>
            </w:r>
            <w:r>
              <w:rPr>
                <w:w w:val="105"/>
                <w:sz w:val="13"/>
              </w:rPr>
              <w:t>euros</w:t>
            </w:r>
            <w:r>
              <w:rPr>
                <w:b/>
                <w:w w:val="105"/>
                <w:sz w:val="13"/>
              </w:rPr>
              <w:t>)</w:t>
            </w:r>
          </w:p>
        </w:tc>
        <w:tc>
          <w:tcPr>
            <w:tcW w:w="1794"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28"/>
              <w:ind w:right="234"/>
              <w:jc w:val="right"/>
              <w:rPr>
                <w:b/>
                <w:sz w:val="13"/>
              </w:rPr>
            </w:pPr>
            <w:r>
              <w:rPr>
                <w:b/>
                <w:w w:val="105"/>
                <w:sz w:val="13"/>
              </w:rPr>
              <w:t>948.714,53</w:t>
            </w:r>
          </w:p>
        </w:tc>
      </w:tr>
      <w:tr>
        <w:trPr>
          <w:trHeight w:val="214" w:hRule="atLeast"/>
        </w:trPr>
        <w:tc>
          <w:tcPr>
            <w:tcW w:w="3809" w:type="dxa"/>
            <w:tcBorders>
              <w:top w:val="single" w:sz="4" w:space="0" w:color="000000"/>
              <w:left w:val="single" w:sz="4" w:space="0" w:color="000000"/>
              <w:bottom w:val="single" w:sz="4" w:space="0" w:color="000000"/>
            </w:tcBorders>
            <w:shd w:val="clear" w:color="auto" w:fill="D9D9D9"/>
          </w:tcPr>
          <w:p>
            <w:pPr>
              <w:pStyle w:val="TableParagraph"/>
              <w:spacing w:before="29"/>
              <w:ind w:left="1214"/>
              <w:rPr>
                <w:b/>
                <w:sz w:val="13"/>
              </w:rPr>
            </w:pPr>
            <w:r>
              <w:rPr>
                <w:b/>
                <w:w w:val="105"/>
                <w:sz w:val="13"/>
              </w:rPr>
              <w:t>TOTAL Capítulo 2 (</w:t>
            </w:r>
            <w:r>
              <w:rPr>
                <w:w w:val="105"/>
                <w:sz w:val="13"/>
              </w:rPr>
              <w:t>euros</w:t>
            </w:r>
            <w:r>
              <w:rPr>
                <w:b/>
                <w:w w:val="105"/>
                <w:sz w:val="13"/>
              </w:rPr>
              <w:t>)</w:t>
            </w:r>
          </w:p>
        </w:tc>
        <w:tc>
          <w:tcPr>
            <w:tcW w:w="1324" w:type="dxa"/>
            <w:tcBorders>
              <w:top w:val="single" w:sz="4" w:space="0" w:color="000000"/>
              <w:bottom w:val="single" w:sz="4" w:space="0" w:color="000000"/>
            </w:tcBorders>
            <w:shd w:val="clear" w:color="auto" w:fill="D9D9D9"/>
          </w:tcPr>
          <w:p>
            <w:pPr>
              <w:pStyle w:val="TableParagraph"/>
              <w:rPr>
                <w:rFonts w:ascii="Times New Roman"/>
                <w:sz w:val="14"/>
              </w:rPr>
            </w:pPr>
          </w:p>
        </w:tc>
        <w:tc>
          <w:tcPr>
            <w:tcW w:w="1794" w:type="dxa"/>
            <w:tcBorders>
              <w:top w:val="single" w:sz="4" w:space="0" w:color="000000"/>
              <w:bottom w:val="single" w:sz="4" w:space="0" w:color="000000"/>
              <w:right w:val="single" w:sz="4" w:space="0" w:color="000000"/>
            </w:tcBorders>
            <w:shd w:val="clear" w:color="auto" w:fill="D9D9D9"/>
          </w:tcPr>
          <w:p>
            <w:pPr>
              <w:pStyle w:val="TableParagraph"/>
              <w:spacing w:before="29"/>
              <w:ind w:right="234"/>
              <w:jc w:val="right"/>
              <w:rPr>
                <w:b/>
                <w:sz w:val="13"/>
              </w:rPr>
            </w:pPr>
            <w:r>
              <w:rPr>
                <w:b/>
                <w:w w:val="105"/>
                <w:sz w:val="13"/>
              </w:rPr>
              <w:t>1.092.878,01</w:t>
            </w:r>
          </w:p>
        </w:tc>
      </w:tr>
    </w:tbl>
    <w:p>
      <w:pPr>
        <w:pStyle w:val="BodyText"/>
        <w:spacing w:before="7"/>
        <w:rPr>
          <w:b/>
          <w:sz w:val="11"/>
        </w:rPr>
      </w:pPr>
    </w:p>
    <w:p>
      <w:pPr>
        <w:pStyle w:val="ListParagraph"/>
        <w:numPr>
          <w:ilvl w:val="0"/>
          <w:numId w:val="47"/>
        </w:numPr>
        <w:tabs>
          <w:tab w:pos="2335" w:val="left" w:leader="none"/>
        </w:tabs>
        <w:spacing w:line="240" w:lineRule="auto" w:before="61" w:after="0"/>
        <w:ind w:left="2334" w:right="1139" w:hanging="357"/>
        <w:jc w:val="both"/>
        <w:rPr>
          <w:sz w:val="20"/>
        </w:rPr>
      </w:pPr>
      <w:r>
        <w:rPr>
          <w:sz w:val="20"/>
        </w:rPr>
        <w:t>Del análisis del Art. 25 “asistencia sanitaria con medios ajenos” por centro gestor del SCS se obtiene que, como en años anteriores, son las gerencias las que reflejan las mayores desviaciones presupuestarias. Entre ellas destaca el exceso de gastos con respecto al presupuesto de las gerencias de servicios sanitarios de Fuerteventura (317,2 %) y de la Palma (182,8 %), así como los Hospitales de La Candelaria (153,6 %) y Dr. Negrín (127,4 %), consecuencia de la tramitación de gastos no previstos en los presupuestos para hemodiálisis, oxigenoterapia y pruebas de diagnóstico por resonancias</w:t>
      </w:r>
      <w:r>
        <w:rPr>
          <w:spacing w:val="1"/>
          <w:sz w:val="20"/>
        </w:rPr>
        <w:t> </w:t>
      </w:r>
      <w:r>
        <w:rPr>
          <w:sz w:val="20"/>
        </w:rPr>
        <w:t>magnéticas.</w:t>
      </w:r>
    </w:p>
    <w:p>
      <w:pPr>
        <w:pStyle w:val="BodyText"/>
        <w:spacing w:before="7"/>
        <w:rPr>
          <w:sz w:val="17"/>
        </w:rPr>
      </w:pPr>
    </w:p>
    <w:p>
      <w:pPr>
        <w:pStyle w:val="ListParagraph"/>
        <w:numPr>
          <w:ilvl w:val="0"/>
          <w:numId w:val="47"/>
        </w:numPr>
        <w:tabs>
          <w:tab w:pos="2335" w:val="left" w:leader="none"/>
        </w:tabs>
        <w:spacing w:line="242" w:lineRule="auto" w:before="0" w:after="0"/>
        <w:ind w:left="2334" w:right="1137" w:hanging="357"/>
        <w:jc w:val="both"/>
        <w:rPr>
          <w:sz w:val="20"/>
        </w:rPr>
      </w:pPr>
      <w:r>
        <w:rPr>
          <w:sz w:val="20"/>
        </w:rPr>
        <w:t>El</w:t>
      </w:r>
      <w:r>
        <w:rPr>
          <w:spacing w:val="-2"/>
          <w:sz w:val="20"/>
        </w:rPr>
        <w:t> </w:t>
      </w:r>
      <w:r>
        <w:rPr>
          <w:sz w:val="20"/>
        </w:rPr>
        <w:t>grado</w:t>
      </w:r>
      <w:r>
        <w:rPr>
          <w:spacing w:val="-3"/>
          <w:sz w:val="20"/>
        </w:rPr>
        <w:t> </w:t>
      </w:r>
      <w:r>
        <w:rPr>
          <w:sz w:val="20"/>
        </w:rPr>
        <w:t>de</w:t>
      </w:r>
      <w:r>
        <w:rPr>
          <w:spacing w:val="-4"/>
          <w:sz w:val="20"/>
        </w:rPr>
        <w:t> </w:t>
      </w:r>
      <w:r>
        <w:rPr>
          <w:sz w:val="20"/>
        </w:rPr>
        <w:t>realización</w:t>
      </w:r>
      <w:r>
        <w:rPr>
          <w:spacing w:val="-2"/>
          <w:sz w:val="20"/>
        </w:rPr>
        <w:t> </w:t>
      </w:r>
      <w:r>
        <w:rPr>
          <w:sz w:val="20"/>
        </w:rPr>
        <w:t>de</w:t>
      </w:r>
      <w:r>
        <w:rPr>
          <w:spacing w:val="-2"/>
          <w:sz w:val="20"/>
        </w:rPr>
        <w:t> </w:t>
      </w:r>
      <w:r>
        <w:rPr>
          <w:sz w:val="20"/>
        </w:rPr>
        <w:t>los</w:t>
      </w:r>
      <w:r>
        <w:rPr>
          <w:spacing w:val="-3"/>
          <w:sz w:val="20"/>
        </w:rPr>
        <w:t> </w:t>
      </w:r>
      <w:r>
        <w:rPr>
          <w:sz w:val="20"/>
        </w:rPr>
        <w:t>pagos</w:t>
      </w:r>
      <w:r>
        <w:rPr>
          <w:spacing w:val="-5"/>
          <w:sz w:val="20"/>
        </w:rPr>
        <w:t> </w:t>
      </w:r>
      <w:r>
        <w:rPr>
          <w:sz w:val="20"/>
        </w:rPr>
        <w:t>del</w:t>
      </w:r>
      <w:r>
        <w:rPr>
          <w:spacing w:val="-3"/>
          <w:sz w:val="20"/>
        </w:rPr>
        <w:t> </w:t>
      </w:r>
      <w:r>
        <w:rPr>
          <w:sz w:val="20"/>
        </w:rPr>
        <w:t>SCS</w:t>
      </w:r>
      <w:r>
        <w:rPr>
          <w:spacing w:val="-5"/>
          <w:sz w:val="20"/>
        </w:rPr>
        <w:t> </w:t>
      </w:r>
      <w:r>
        <w:rPr>
          <w:sz w:val="20"/>
        </w:rPr>
        <w:t>fue</w:t>
      </w:r>
      <w:r>
        <w:rPr>
          <w:spacing w:val="-3"/>
          <w:sz w:val="20"/>
        </w:rPr>
        <w:t> </w:t>
      </w:r>
      <w:r>
        <w:rPr>
          <w:sz w:val="20"/>
        </w:rPr>
        <w:t>del</w:t>
      </w:r>
      <w:r>
        <w:rPr>
          <w:spacing w:val="-2"/>
          <w:sz w:val="20"/>
        </w:rPr>
        <w:t> </w:t>
      </w:r>
      <w:r>
        <w:rPr>
          <w:sz w:val="20"/>
        </w:rPr>
        <w:t>96,7</w:t>
      </w:r>
      <w:r>
        <w:rPr>
          <w:spacing w:val="-3"/>
          <w:sz w:val="20"/>
        </w:rPr>
        <w:t> </w:t>
      </w:r>
      <w:r>
        <w:rPr>
          <w:sz w:val="20"/>
        </w:rPr>
        <w:t>%,</w:t>
      </w:r>
      <w:r>
        <w:rPr>
          <w:spacing w:val="-2"/>
          <w:sz w:val="20"/>
        </w:rPr>
        <w:t> </w:t>
      </w:r>
      <w:r>
        <w:rPr>
          <w:sz w:val="20"/>
        </w:rPr>
        <w:t>sin</w:t>
      </w:r>
      <w:r>
        <w:rPr>
          <w:spacing w:val="-3"/>
          <w:sz w:val="20"/>
        </w:rPr>
        <w:t> </w:t>
      </w:r>
      <w:r>
        <w:rPr>
          <w:sz w:val="20"/>
        </w:rPr>
        <w:t>embargo,</w:t>
      </w:r>
      <w:r>
        <w:rPr>
          <w:spacing w:val="-2"/>
          <w:sz w:val="20"/>
        </w:rPr>
        <w:t> </w:t>
      </w:r>
      <w:r>
        <w:rPr>
          <w:sz w:val="20"/>
        </w:rPr>
        <w:t>se</w:t>
      </w:r>
      <w:r>
        <w:rPr>
          <w:spacing w:val="-1"/>
          <w:sz w:val="20"/>
        </w:rPr>
        <w:t> </w:t>
      </w:r>
      <w:r>
        <w:rPr>
          <w:sz w:val="20"/>
        </w:rPr>
        <w:t>incumplió con el</w:t>
      </w:r>
      <w:r>
        <w:rPr>
          <w:spacing w:val="-4"/>
          <w:sz w:val="20"/>
        </w:rPr>
        <w:t> </w:t>
      </w:r>
      <w:r>
        <w:rPr>
          <w:sz w:val="20"/>
        </w:rPr>
        <w:t>PMP</w:t>
      </w:r>
      <w:r>
        <w:rPr>
          <w:spacing w:val="-3"/>
          <w:sz w:val="20"/>
        </w:rPr>
        <w:t> </w:t>
      </w:r>
      <w:r>
        <w:rPr>
          <w:sz w:val="20"/>
        </w:rPr>
        <w:t>de</w:t>
      </w:r>
      <w:r>
        <w:rPr>
          <w:spacing w:val="-3"/>
          <w:sz w:val="20"/>
        </w:rPr>
        <w:t> </w:t>
      </w:r>
      <w:r>
        <w:rPr>
          <w:sz w:val="20"/>
        </w:rPr>
        <w:t>30</w:t>
      </w:r>
      <w:r>
        <w:rPr>
          <w:spacing w:val="-2"/>
          <w:sz w:val="20"/>
        </w:rPr>
        <w:t> </w:t>
      </w:r>
      <w:r>
        <w:rPr>
          <w:sz w:val="20"/>
        </w:rPr>
        <w:t>días</w:t>
      </w:r>
      <w:r>
        <w:rPr>
          <w:spacing w:val="-3"/>
          <w:sz w:val="20"/>
        </w:rPr>
        <w:t> </w:t>
      </w:r>
      <w:r>
        <w:rPr>
          <w:sz w:val="20"/>
        </w:rPr>
        <w:t>para</w:t>
      </w:r>
      <w:r>
        <w:rPr>
          <w:spacing w:val="-1"/>
          <w:sz w:val="20"/>
        </w:rPr>
        <w:t> </w:t>
      </w:r>
      <w:r>
        <w:rPr>
          <w:sz w:val="20"/>
        </w:rPr>
        <w:t>el</w:t>
      </w:r>
      <w:r>
        <w:rPr>
          <w:spacing w:val="-3"/>
          <w:sz w:val="20"/>
        </w:rPr>
        <w:t> </w:t>
      </w:r>
      <w:r>
        <w:rPr>
          <w:sz w:val="20"/>
        </w:rPr>
        <w:t>último</w:t>
      </w:r>
      <w:r>
        <w:rPr>
          <w:spacing w:val="-3"/>
          <w:sz w:val="20"/>
        </w:rPr>
        <w:t> </w:t>
      </w:r>
      <w:r>
        <w:rPr>
          <w:sz w:val="20"/>
        </w:rPr>
        <w:t>trimestre</w:t>
      </w:r>
      <w:r>
        <w:rPr>
          <w:spacing w:val="-4"/>
          <w:sz w:val="20"/>
        </w:rPr>
        <w:t> </w:t>
      </w:r>
      <w:r>
        <w:rPr>
          <w:sz w:val="20"/>
        </w:rPr>
        <w:t>de</w:t>
      </w:r>
      <w:r>
        <w:rPr>
          <w:spacing w:val="-5"/>
          <w:sz w:val="20"/>
        </w:rPr>
        <w:t> </w:t>
      </w:r>
      <w:r>
        <w:rPr>
          <w:sz w:val="20"/>
        </w:rPr>
        <w:t>2022,</w:t>
      </w:r>
      <w:r>
        <w:rPr>
          <w:spacing w:val="-3"/>
          <w:sz w:val="20"/>
        </w:rPr>
        <w:t> </w:t>
      </w:r>
      <w:r>
        <w:rPr>
          <w:sz w:val="20"/>
        </w:rPr>
        <w:t>establecido</w:t>
      </w:r>
      <w:r>
        <w:rPr>
          <w:spacing w:val="-1"/>
          <w:sz w:val="20"/>
        </w:rPr>
        <w:t> </w:t>
      </w:r>
      <w:r>
        <w:rPr>
          <w:sz w:val="20"/>
        </w:rPr>
        <w:t>en</w:t>
      </w:r>
      <w:r>
        <w:rPr>
          <w:spacing w:val="-1"/>
          <w:sz w:val="20"/>
        </w:rPr>
        <w:t> </w:t>
      </w:r>
      <w:r>
        <w:rPr>
          <w:sz w:val="20"/>
        </w:rPr>
        <w:t>la</w:t>
      </w:r>
      <w:r>
        <w:rPr>
          <w:spacing w:val="-3"/>
          <w:sz w:val="20"/>
        </w:rPr>
        <w:t> </w:t>
      </w:r>
      <w:r>
        <w:rPr>
          <w:sz w:val="20"/>
        </w:rPr>
        <w:t>Ley</w:t>
      </w:r>
      <w:r>
        <w:rPr>
          <w:spacing w:val="-1"/>
          <w:sz w:val="20"/>
        </w:rPr>
        <w:t> </w:t>
      </w:r>
      <w:r>
        <w:rPr>
          <w:sz w:val="20"/>
        </w:rPr>
        <w:t>3/2004, de 29 de diciembre, de medidas de lucha contra la morosidad en las operaciones comerciales. Esto mismo sucedió en el ejercicio 2021 y en el primer cuatrimestre de 2023.</w:t>
      </w:r>
    </w:p>
    <w:p>
      <w:pPr>
        <w:pStyle w:val="BodyText"/>
        <w:spacing w:before="5"/>
        <w:rPr>
          <w:sz w:val="16"/>
        </w:rPr>
      </w:pPr>
    </w:p>
    <w:p>
      <w:pPr>
        <w:pStyle w:val="BodyText"/>
        <w:ind w:left="2334" w:right="1140"/>
        <w:jc w:val="both"/>
      </w:pPr>
      <w:r>
        <w:rPr/>
        <w:t>Dada la relevancia del gasto del SCS en el sector público autonómico, pudiendo, por tanto, afectar sus desviaciones a los compromisos de estabilidad presupuestaria, la IGCAC emitió un Informe de actuación en mayo de 2022 y en abril de 2023 para que se adoptaran medidas de gestión y correctoras en este OA a causa de los retrasos producidos en el PMP, pues la suspensión de las reglas fiscales, no se extienden al cumplimiento de los plazos de pago de la deuda comercial.</w:t>
      </w:r>
    </w:p>
    <w:p>
      <w:pPr>
        <w:pStyle w:val="BodyText"/>
        <w:spacing w:before="3"/>
        <w:rPr>
          <w:sz w:val="17"/>
        </w:rPr>
      </w:pPr>
    </w:p>
    <w:tbl>
      <w:tblPr>
        <w:tblW w:w="0" w:type="auto"/>
        <w:jc w:val="lef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581"/>
        <w:gridCol w:w="535"/>
        <w:gridCol w:w="536"/>
        <w:gridCol w:w="536"/>
        <w:gridCol w:w="536"/>
        <w:gridCol w:w="535"/>
        <w:gridCol w:w="536"/>
        <w:gridCol w:w="536"/>
        <w:gridCol w:w="535"/>
        <w:gridCol w:w="614"/>
        <w:gridCol w:w="775"/>
      </w:tblGrid>
      <w:tr>
        <w:trPr>
          <w:trHeight w:val="209" w:hRule="atLeast"/>
        </w:trPr>
        <w:tc>
          <w:tcPr>
            <w:tcW w:w="6929" w:type="dxa"/>
            <w:gridSpan w:val="12"/>
            <w:shd w:val="clear" w:color="auto" w:fill="DEEAF6"/>
          </w:tcPr>
          <w:p>
            <w:pPr>
              <w:pStyle w:val="TableParagraph"/>
              <w:spacing w:before="26"/>
              <w:ind w:left="2467" w:right="2450"/>
              <w:jc w:val="center"/>
              <w:rPr>
                <w:b/>
                <w:sz w:val="13"/>
              </w:rPr>
            </w:pPr>
            <w:r>
              <w:rPr>
                <w:b/>
                <w:color w:val="221F1F"/>
                <w:w w:val="105"/>
                <w:sz w:val="13"/>
              </w:rPr>
              <w:t>Periodo medio de pago 2022 (</w:t>
            </w:r>
            <w:r>
              <w:rPr>
                <w:w w:val="105"/>
                <w:sz w:val="13"/>
              </w:rPr>
              <w:t>días</w:t>
            </w:r>
            <w:r>
              <w:rPr>
                <w:b/>
                <w:color w:val="221F1F"/>
                <w:w w:val="105"/>
                <w:sz w:val="13"/>
              </w:rPr>
              <w:t>)</w:t>
            </w:r>
          </w:p>
        </w:tc>
      </w:tr>
      <w:tr>
        <w:trPr>
          <w:trHeight w:val="248" w:hRule="atLeast"/>
        </w:trPr>
        <w:tc>
          <w:tcPr>
            <w:tcW w:w="674" w:type="dxa"/>
            <w:tcBorders>
              <w:right w:val="nil"/>
            </w:tcBorders>
            <w:shd w:val="clear" w:color="auto" w:fill="DEEAF6"/>
          </w:tcPr>
          <w:p>
            <w:pPr>
              <w:pStyle w:val="TableParagraph"/>
              <w:spacing w:before="45"/>
              <w:ind w:left="183" w:right="133"/>
              <w:jc w:val="center"/>
              <w:rPr>
                <w:b/>
                <w:sz w:val="13"/>
              </w:rPr>
            </w:pPr>
            <w:r>
              <w:rPr>
                <w:b/>
                <w:w w:val="105"/>
                <w:sz w:val="13"/>
              </w:rPr>
              <w:t>ENE</w:t>
            </w:r>
          </w:p>
        </w:tc>
        <w:tc>
          <w:tcPr>
            <w:tcW w:w="581" w:type="dxa"/>
            <w:tcBorders>
              <w:left w:val="nil"/>
              <w:right w:val="nil"/>
            </w:tcBorders>
            <w:shd w:val="clear" w:color="auto" w:fill="DEEAF6"/>
          </w:tcPr>
          <w:p>
            <w:pPr>
              <w:pStyle w:val="TableParagraph"/>
              <w:spacing w:before="45"/>
              <w:ind w:left="142" w:right="87"/>
              <w:jc w:val="center"/>
              <w:rPr>
                <w:b/>
                <w:sz w:val="13"/>
              </w:rPr>
            </w:pPr>
            <w:r>
              <w:rPr>
                <w:b/>
                <w:w w:val="105"/>
                <w:sz w:val="13"/>
              </w:rPr>
              <w:t>FEB</w:t>
            </w:r>
          </w:p>
        </w:tc>
        <w:tc>
          <w:tcPr>
            <w:tcW w:w="535" w:type="dxa"/>
            <w:tcBorders>
              <w:left w:val="nil"/>
              <w:right w:val="nil"/>
            </w:tcBorders>
            <w:shd w:val="clear" w:color="auto" w:fill="DEEAF6"/>
          </w:tcPr>
          <w:p>
            <w:pPr>
              <w:pStyle w:val="TableParagraph"/>
              <w:spacing w:before="45"/>
              <w:ind w:left="28" w:right="20"/>
              <w:jc w:val="center"/>
              <w:rPr>
                <w:b/>
                <w:sz w:val="13"/>
              </w:rPr>
            </w:pPr>
            <w:r>
              <w:rPr>
                <w:b/>
                <w:w w:val="105"/>
                <w:sz w:val="13"/>
              </w:rPr>
              <w:t>MAR</w:t>
            </w:r>
          </w:p>
        </w:tc>
        <w:tc>
          <w:tcPr>
            <w:tcW w:w="536" w:type="dxa"/>
            <w:tcBorders>
              <w:left w:val="nil"/>
              <w:right w:val="nil"/>
            </w:tcBorders>
            <w:shd w:val="clear" w:color="auto" w:fill="DEEAF6"/>
          </w:tcPr>
          <w:p>
            <w:pPr>
              <w:pStyle w:val="TableParagraph"/>
              <w:spacing w:before="45"/>
              <w:ind w:left="97" w:right="86"/>
              <w:jc w:val="center"/>
              <w:rPr>
                <w:b/>
                <w:sz w:val="13"/>
              </w:rPr>
            </w:pPr>
            <w:r>
              <w:rPr>
                <w:b/>
                <w:w w:val="105"/>
                <w:sz w:val="13"/>
              </w:rPr>
              <w:t>ABR</w:t>
            </w:r>
          </w:p>
        </w:tc>
        <w:tc>
          <w:tcPr>
            <w:tcW w:w="536" w:type="dxa"/>
            <w:tcBorders>
              <w:left w:val="nil"/>
              <w:right w:val="nil"/>
            </w:tcBorders>
            <w:shd w:val="clear" w:color="auto" w:fill="DEEAF6"/>
          </w:tcPr>
          <w:p>
            <w:pPr>
              <w:pStyle w:val="TableParagraph"/>
              <w:spacing w:before="45"/>
              <w:ind w:left="138"/>
              <w:rPr>
                <w:b/>
                <w:sz w:val="13"/>
              </w:rPr>
            </w:pPr>
            <w:r>
              <w:rPr>
                <w:b/>
                <w:w w:val="105"/>
                <w:sz w:val="13"/>
              </w:rPr>
              <w:t>MAY</w:t>
            </w:r>
          </w:p>
        </w:tc>
        <w:tc>
          <w:tcPr>
            <w:tcW w:w="536" w:type="dxa"/>
            <w:tcBorders>
              <w:left w:val="nil"/>
              <w:right w:val="nil"/>
            </w:tcBorders>
            <w:shd w:val="clear" w:color="auto" w:fill="DEEAF6"/>
          </w:tcPr>
          <w:p>
            <w:pPr>
              <w:pStyle w:val="TableParagraph"/>
              <w:spacing w:before="45"/>
              <w:ind w:left="165"/>
              <w:rPr>
                <w:b/>
                <w:sz w:val="13"/>
              </w:rPr>
            </w:pPr>
            <w:r>
              <w:rPr>
                <w:b/>
                <w:w w:val="105"/>
                <w:sz w:val="13"/>
              </w:rPr>
              <w:t>JUN</w:t>
            </w:r>
          </w:p>
        </w:tc>
        <w:tc>
          <w:tcPr>
            <w:tcW w:w="535" w:type="dxa"/>
            <w:tcBorders>
              <w:left w:val="nil"/>
              <w:right w:val="nil"/>
            </w:tcBorders>
            <w:shd w:val="clear" w:color="auto" w:fill="DEEAF6"/>
          </w:tcPr>
          <w:p>
            <w:pPr>
              <w:pStyle w:val="TableParagraph"/>
              <w:spacing w:before="45"/>
              <w:ind w:left="37" w:right="20"/>
              <w:jc w:val="center"/>
              <w:rPr>
                <w:b/>
                <w:sz w:val="13"/>
              </w:rPr>
            </w:pPr>
            <w:r>
              <w:rPr>
                <w:b/>
                <w:w w:val="105"/>
                <w:sz w:val="13"/>
              </w:rPr>
              <w:t>JUL</w:t>
            </w:r>
          </w:p>
        </w:tc>
        <w:tc>
          <w:tcPr>
            <w:tcW w:w="536" w:type="dxa"/>
            <w:tcBorders>
              <w:left w:val="nil"/>
              <w:right w:val="nil"/>
            </w:tcBorders>
            <w:shd w:val="clear" w:color="auto" w:fill="DEEAF6"/>
          </w:tcPr>
          <w:p>
            <w:pPr>
              <w:pStyle w:val="TableParagraph"/>
              <w:spacing w:before="45"/>
              <w:ind w:left="148"/>
              <w:rPr>
                <w:b/>
                <w:sz w:val="13"/>
              </w:rPr>
            </w:pPr>
            <w:r>
              <w:rPr>
                <w:b/>
                <w:w w:val="105"/>
                <w:sz w:val="13"/>
              </w:rPr>
              <w:t>AGO</w:t>
            </w:r>
          </w:p>
        </w:tc>
        <w:tc>
          <w:tcPr>
            <w:tcW w:w="536" w:type="dxa"/>
            <w:tcBorders>
              <w:left w:val="nil"/>
              <w:right w:val="nil"/>
            </w:tcBorders>
            <w:shd w:val="clear" w:color="auto" w:fill="DEEAF6"/>
          </w:tcPr>
          <w:p>
            <w:pPr>
              <w:pStyle w:val="TableParagraph"/>
              <w:spacing w:before="45"/>
              <w:ind w:left="179"/>
              <w:rPr>
                <w:b/>
                <w:sz w:val="13"/>
              </w:rPr>
            </w:pPr>
            <w:r>
              <w:rPr>
                <w:b/>
                <w:w w:val="105"/>
                <w:sz w:val="13"/>
              </w:rPr>
              <w:t>SEP</w:t>
            </w:r>
          </w:p>
        </w:tc>
        <w:tc>
          <w:tcPr>
            <w:tcW w:w="535" w:type="dxa"/>
            <w:tcBorders>
              <w:left w:val="nil"/>
              <w:right w:val="nil"/>
            </w:tcBorders>
            <w:shd w:val="clear" w:color="auto" w:fill="DEEAF6"/>
          </w:tcPr>
          <w:p>
            <w:pPr>
              <w:pStyle w:val="TableParagraph"/>
              <w:spacing w:before="45"/>
              <w:ind w:left="44" w:right="20"/>
              <w:jc w:val="center"/>
              <w:rPr>
                <w:b/>
                <w:sz w:val="13"/>
              </w:rPr>
            </w:pPr>
            <w:r>
              <w:rPr>
                <w:b/>
                <w:w w:val="105"/>
                <w:sz w:val="13"/>
              </w:rPr>
              <w:t>OCT</w:t>
            </w:r>
          </w:p>
        </w:tc>
        <w:tc>
          <w:tcPr>
            <w:tcW w:w="614" w:type="dxa"/>
            <w:tcBorders>
              <w:left w:val="nil"/>
              <w:right w:val="nil"/>
            </w:tcBorders>
            <w:shd w:val="clear" w:color="auto" w:fill="DEEAF6"/>
          </w:tcPr>
          <w:p>
            <w:pPr>
              <w:pStyle w:val="TableParagraph"/>
              <w:spacing w:before="45"/>
              <w:ind w:left="151"/>
              <w:rPr>
                <w:b/>
                <w:sz w:val="13"/>
              </w:rPr>
            </w:pPr>
            <w:r>
              <w:rPr>
                <w:b/>
                <w:w w:val="105"/>
                <w:sz w:val="13"/>
              </w:rPr>
              <w:t>NOV</w:t>
            </w:r>
          </w:p>
        </w:tc>
        <w:tc>
          <w:tcPr>
            <w:tcW w:w="775" w:type="dxa"/>
            <w:tcBorders>
              <w:left w:val="nil"/>
            </w:tcBorders>
            <w:shd w:val="clear" w:color="auto" w:fill="DEEAF6"/>
          </w:tcPr>
          <w:p>
            <w:pPr>
              <w:pStyle w:val="TableParagraph"/>
              <w:spacing w:before="45"/>
              <w:ind w:left="265"/>
              <w:rPr>
                <w:b/>
                <w:sz w:val="13"/>
              </w:rPr>
            </w:pPr>
            <w:r>
              <w:rPr>
                <w:b/>
                <w:w w:val="105"/>
                <w:sz w:val="13"/>
              </w:rPr>
              <w:t>DIC</w:t>
            </w:r>
          </w:p>
        </w:tc>
      </w:tr>
      <w:tr>
        <w:trPr>
          <w:trHeight w:val="419" w:hRule="atLeast"/>
        </w:trPr>
        <w:tc>
          <w:tcPr>
            <w:tcW w:w="674" w:type="dxa"/>
            <w:tcBorders>
              <w:right w:val="nil"/>
            </w:tcBorders>
          </w:tcPr>
          <w:p>
            <w:pPr>
              <w:pStyle w:val="TableParagraph"/>
              <w:spacing w:before="9"/>
              <w:rPr>
                <w:sz w:val="10"/>
              </w:rPr>
            </w:pPr>
          </w:p>
          <w:p>
            <w:pPr>
              <w:pStyle w:val="TableParagraph"/>
              <w:ind w:left="183" w:right="135"/>
              <w:jc w:val="center"/>
              <w:rPr>
                <w:sz w:val="13"/>
              </w:rPr>
            </w:pPr>
            <w:r>
              <w:rPr>
                <w:w w:val="105"/>
                <w:sz w:val="13"/>
              </w:rPr>
              <w:t>12,86</w:t>
            </w:r>
          </w:p>
        </w:tc>
        <w:tc>
          <w:tcPr>
            <w:tcW w:w="581" w:type="dxa"/>
            <w:tcBorders>
              <w:left w:val="nil"/>
              <w:right w:val="nil"/>
            </w:tcBorders>
          </w:tcPr>
          <w:p>
            <w:pPr>
              <w:pStyle w:val="TableParagraph"/>
              <w:spacing w:before="9"/>
              <w:rPr>
                <w:sz w:val="10"/>
              </w:rPr>
            </w:pPr>
          </w:p>
          <w:p>
            <w:pPr>
              <w:pStyle w:val="TableParagraph"/>
              <w:ind w:left="143" w:right="87"/>
              <w:jc w:val="center"/>
              <w:rPr>
                <w:sz w:val="13"/>
              </w:rPr>
            </w:pPr>
            <w:r>
              <w:rPr>
                <w:w w:val="105"/>
                <w:sz w:val="13"/>
              </w:rPr>
              <w:t>11,77</w:t>
            </w:r>
          </w:p>
        </w:tc>
        <w:tc>
          <w:tcPr>
            <w:tcW w:w="535" w:type="dxa"/>
            <w:tcBorders>
              <w:left w:val="nil"/>
              <w:right w:val="nil"/>
            </w:tcBorders>
          </w:tcPr>
          <w:p>
            <w:pPr>
              <w:pStyle w:val="TableParagraph"/>
              <w:spacing w:before="9"/>
              <w:rPr>
                <w:sz w:val="10"/>
              </w:rPr>
            </w:pPr>
          </w:p>
          <w:p>
            <w:pPr>
              <w:pStyle w:val="TableParagraph"/>
              <w:ind w:left="28" w:right="20"/>
              <w:jc w:val="center"/>
              <w:rPr>
                <w:sz w:val="13"/>
              </w:rPr>
            </w:pPr>
            <w:r>
              <w:rPr>
                <w:w w:val="105"/>
                <w:sz w:val="13"/>
              </w:rPr>
              <w:t>12,41</w:t>
            </w:r>
          </w:p>
        </w:tc>
        <w:tc>
          <w:tcPr>
            <w:tcW w:w="536" w:type="dxa"/>
            <w:tcBorders>
              <w:left w:val="nil"/>
              <w:right w:val="nil"/>
            </w:tcBorders>
          </w:tcPr>
          <w:p>
            <w:pPr>
              <w:pStyle w:val="TableParagraph"/>
              <w:spacing w:before="9"/>
              <w:rPr>
                <w:sz w:val="10"/>
              </w:rPr>
            </w:pPr>
          </w:p>
          <w:p>
            <w:pPr>
              <w:pStyle w:val="TableParagraph"/>
              <w:ind w:left="99" w:right="86"/>
              <w:jc w:val="center"/>
              <w:rPr>
                <w:sz w:val="13"/>
              </w:rPr>
            </w:pPr>
            <w:r>
              <w:rPr>
                <w:w w:val="105"/>
                <w:sz w:val="13"/>
              </w:rPr>
              <w:t>14,61</w:t>
            </w:r>
          </w:p>
        </w:tc>
        <w:tc>
          <w:tcPr>
            <w:tcW w:w="536" w:type="dxa"/>
            <w:tcBorders>
              <w:left w:val="nil"/>
              <w:right w:val="nil"/>
            </w:tcBorders>
          </w:tcPr>
          <w:p>
            <w:pPr>
              <w:pStyle w:val="TableParagraph"/>
              <w:spacing w:before="9"/>
              <w:rPr>
                <w:sz w:val="10"/>
              </w:rPr>
            </w:pPr>
          </w:p>
          <w:p>
            <w:pPr>
              <w:pStyle w:val="TableParagraph"/>
              <w:ind w:left="120"/>
              <w:rPr>
                <w:sz w:val="13"/>
              </w:rPr>
            </w:pPr>
            <w:r>
              <w:rPr>
                <w:w w:val="105"/>
                <w:sz w:val="13"/>
              </w:rPr>
              <w:t>17,37</w:t>
            </w:r>
          </w:p>
        </w:tc>
        <w:tc>
          <w:tcPr>
            <w:tcW w:w="536" w:type="dxa"/>
            <w:tcBorders>
              <w:left w:val="nil"/>
              <w:right w:val="nil"/>
            </w:tcBorders>
          </w:tcPr>
          <w:p>
            <w:pPr>
              <w:pStyle w:val="TableParagraph"/>
              <w:spacing w:before="9"/>
              <w:rPr>
                <w:sz w:val="10"/>
              </w:rPr>
            </w:pPr>
          </w:p>
          <w:p>
            <w:pPr>
              <w:pStyle w:val="TableParagraph"/>
              <w:ind w:left="123"/>
              <w:rPr>
                <w:sz w:val="13"/>
              </w:rPr>
            </w:pPr>
            <w:r>
              <w:rPr>
                <w:w w:val="105"/>
                <w:sz w:val="13"/>
              </w:rPr>
              <w:t>18,28</w:t>
            </w:r>
          </w:p>
        </w:tc>
        <w:tc>
          <w:tcPr>
            <w:tcW w:w="535" w:type="dxa"/>
            <w:tcBorders>
              <w:left w:val="nil"/>
              <w:right w:val="nil"/>
            </w:tcBorders>
          </w:tcPr>
          <w:p>
            <w:pPr>
              <w:pStyle w:val="TableParagraph"/>
              <w:spacing w:before="9"/>
              <w:rPr>
                <w:sz w:val="10"/>
              </w:rPr>
            </w:pPr>
          </w:p>
          <w:p>
            <w:pPr>
              <w:pStyle w:val="TableParagraph"/>
              <w:ind w:left="39" w:right="20"/>
              <w:jc w:val="center"/>
              <w:rPr>
                <w:sz w:val="13"/>
              </w:rPr>
            </w:pPr>
            <w:r>
              <w:rPr>
                <w:w w:val="105"/>
                <w:sz w:val="13"/>
              </w:rPr>
              <w:t>15,67</w:t>
            </w:r>
          </w:p>
        </w:tc>
        <w:tc>
          <w:tcPr>
            <w:tcW w:w="536" w:type="dxa"/>
            <w:tcBorders>
              <w:left w:val="nil"/>
              <w:right w:val="nil"/>
            </w:tcBorders>
          </w:tcPr>
          <w:p>
            <w:pPr>
              <w:pStyle w:val="TableParagraph"/>
              <w:spacing w:before="9"/>
              <w:rPr>
                <w:sz w:val="10"/>
              </w:rPr>
            </w:pPr>
          </w:p>
          <w:p>
            <w:pPr>
              <w:pStyle w:val="TableParagraph"/>
              <w:ind w:left="124"/>
              <w:rPr>
                <w:sz w:val="13"/>
              </w:rPr>
            </w:pPr>
            <w:r>
              <w:rPr>
                <w:w w:val="105"/>
                <w:sz w:val="13"/>
              </w:rPr>
              <w:t>20,82</w:t>
            </w:r>
          </w:p>
        </w:tc>
        <w:tc>
          <w:tcPr>
            <w:tcW w:w="536" w:type="dxa"/>
            <w:tcBorders>
              <w:left w:val="nil"/>
              <w:right w:val="nil"/>
            </w:tcBorders>
          </w:tcPr>
          <w:p>
            <w:pPr>
              <w:pStyle w:val="TableParagraph"/>
              <w:spacing w:before="9"/>
              <w:rPr>
                <w:sz w:val="10"/>
              </w:rPr>
            </w:pPr>
          </w:p>
          <w:p>
            <w:pPr>
              <w:pStyle w:val="TableParagraph"/>
              <w:ind w:left="126"/>
              <w:rPr>
                <w:sz w:val="13"/>
              </w:rPr>
            </w:pPr>
            <w:r>
              <w:rPr>
                <w:w w:val="105"/>
                <w:sz w:val="13"/>
              </w:rPr>
              <w:t>24,23</w:t>
            </w:r>
          </w:p>
        </w:tc>
        <w:tc>
          <w:tcPr>
            <w:tcW w:w="535" w:type="dxa"/>
            <w:tcBorders>
              <w:left w:val="nil"/>
              <w:right w:val="nil"/>
            </w:tcBorders>
          </w:tcPr>
          <w:p>
            <w:pPr>
              <w:pStyle w:val="TableParagraph"/>
              <w:spacing w:before="9"/>
              <w:rPr>
                <w:sz w:val="10"/>
              </w:rPr>
            </w:pPr>
          </w:p>
          <w:p>
            <w:pPr>
              <w:pStyle w:val="TableParagraph"/>
              <w:ind w:left="46" w:right="20"/>
              <w:jc w:val="center"/>
              <w:rPr>
                <w:sz w:val="13"/>
              </w:rPr>
            </w:pPr>
            <w:r>
              <w:rPr>
                <w:w w:val="105"/>
                <w:sz w:val="13"/>
              </w:rPr>
              <w:t>34,17</w:t>
            </w:r>
          </w:p>
        </w:tc>
        <w:tc>
          <w:tcPr>
            <w:tcW w:w="614" w:type="dxa"/>
            <w:tcBorders>
              <w:left w:val="nil"/>
              <w:right w:val="nil"/>
            </w:tcBorders>
          </w:tcPr>
          <w:p>
            <w:pPr>
              <w:pStyle w:val="TableParagraph"/>
              <w:spacing w:before="9"/>
              <w:rPr>
                <w:sz w:val="10"/>
              </w:rPr>
            </w:pPr>
          </w:p>
          <w:p>
            <w:pPr>
              <w:pStyle w:val="TableParagraph"/>
              <w:ind w:left="127"/>
              <w:rPr>
                <w:sz w:val="13"/>
              </w:rPr>
            </w:pPr>
            <w:r>
              <w:rPr>
                <w:w w:val="105"/>
                <w:sz w:val="13"/>
              </w:rPr>
              <w:t>37,94</w:t>
            </w:r>
          </w:p>
        </w:tc>
        <w:tc>
          <w:tcPr>
            <w:tcW w:w="775" w:type="dxa"/>
            <w:tcBorders>
              <w:left w:val="nil"/>
            </w:tcBorders>
          </w:tcPr>
          <w:p>
            <w:pPr>
              <w:pStyle w:val="TableParagraph"/>
              <w:spacing w:before="9"/>
              <w:rPr>
                <w:sz w:val="10"/>
              </w:rPr>
            </w:pPr>
          </w:p>
          <w:p>
            <w:pPr>
              <w:pStyle w:val="TableParagraph"/>
              <w:ind w:left="206"/>
              <w:rPr>
                <w:sz w:val="13"/>
              </w:rPr>
            </w:pPr>
            <w:r>
              <w:rPr>
                <w:w w:val="105"/>
                <w:sz w:val="13"/>
              </w:rPr>
              <w:t>43,39</w:t>
            </w:r>
          </w:p>
        </w:tc>
      </w:tr>
    </w:tbl>
    <w:p>
      <w:pPr>
        <w:spacing w:before="3"/>
        <w:ind w:left="2334" w:right="0" w:firstLine="0"/>
        <w:jc w:val="both"/>
        <w:rPr>
          <w:sz w:val="13"/>
        </w:rPr>
      </w:pPr>
      <w:r>
        <w:rPr>
          <w:w w:val="105"/>
          <w:sz w:val="13"/>
        </w:rPr>
        <w:t>Fuente: Consejería de Hacienda y Relaciones con la Unión Europea del Gobierno de Canarias</w:t>
      </w:r>
    </w:p>
    <w:p>
      <w:pPr>
        <w:pStyle w:val="BodyText"/>
      </w:pPr>
    </w:p>
    <w:p>
      <w:pPr>
        <w:pStyle w:val="BodyText"/>
        <w:spacing w:before="5"/>
        <w:rPr>
          <w:sz w:val="25"/>
        </w:rPr>
      </w:pPr>
    </w:p>
    <w:p>
      <w:pPr>
        <w:pStyle w:val="BodyText"/>
        <w:spacing w:before="60"/>
        <w:ind w:left="7897"/>
        <w:jc w:val="center"/>
      </w:pPr>
      <w:r>
        <w:rPr/>
        <w:t>98</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07" name="image5.png"/>
                  <wp:cNvGraphicFramePr>
                    <a:graphicFrameLocks noChangeAspect="1"/>
                  </wp:cNvGraphicFramePr>
                  <a:graphic>
                    <a:graphicData uri="http://schemas.openxmlformats.org/drawingml/2006/picture">
                      <pic:pic>
                        <pic:nvPicPr>
                          <pic:cNvPr id="20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03"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100/247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0"/>
          <w:numId w:val="47"/>
        </w:numPr>
        <w:tabs>
          <w:tab w:pos="2335" w:val="left" w:leader="none"/>
        </w:tabs>
        <w:spacing w:line="240" w:lineRule="auto" w:before="61" w:after="0"/>
        <w:ind w:left="2334" w:right="1136" w:hanging="357"/>
        <w:jc w:val="both"/>
        <w:rPr>
          <w:sz w:val="20"/>
        </w:rPr>
      </w:pPr>
      <w:r>
        <w:rPr>
          <w:sz w:val="20"/>
        </w:rPr>
        <w:t>Por</w:t>
      </w:r>
      <w:r>
        <w:rPr>
          <w:spacing w:val="-6"/>
          <w:sz w:val="20"/>
        </w:rPr>
        <w:t> </w:t>
      </w:r>
      <w:r>
        <w:rPr>
          <w:sz w:val="20"/>
        </w:rPr>
        <w:t>el</w:t>
      </w:r>
      <w:r>
        <w:rPr>
          <w:spacing w:val="-6"/>
          <w:sz w:val="20"/>
        </w:rPr>
        <w:t> </w:t>
      </w:r>
      <w:r>
        <w:rPr>
          <w:sz w:val="20"/>
        </w:rPr>
        <w:t>lado</w:t>
      </w:r>
      <w:r>
        <w:rPr>
          <w:spacing w:val="-8"/>
          <w:sz w:val="20"/>
        </w:rPr>
        <w:t> </w:t>
      </w:r>
      <w:r>
        <w:rPr>
          <w:sz w:val="20"/>
        </w:rPr>
        <w:t>de</w:t>
      </w:r>
      <w:r>
        <w:rPr>
          <w:spacing w:val="-8"/>
          <w:sz w:val="20"/>
        </w:rPr>
        <w:t> </w:t>
      </w:r>
      <w:r>
        <w:rPr>
          <w:sz w:val="20"/>
        </w:rPr>
        <w:t>los</w:t>
      </w:r>
      <w:r>
        <w:rPr>
          <w:spacing w:val="-6"/>
          <w:sz w:val="20"/>
        </w:rPr>
        <w:t> </w:t>
      </w:r>
      <w:r>
        <w:rPr>
          <w:sz w:val="20"/>
        </w:rPr>
        <w:t>ingresos,</w:t>
      </w:r>
      <w:r>
        <w:rPr>
          <w:spacing w:val="-7"/>
          <w:sz w:val="20"/>
        </w:rPr>
        <w:t> </w:t>
      </w:r>
      <w:r>
        <w:rPr>
          <w:sz w:val="20"/>
        </w:rPr>
        <w:t>el</w:t>
      </w:r>
      <w:r>
        <w:rPr>
          <w:spacing w:val="-8"/>
          <w:sz w:val="20"/>
        </w:rPr>
        <w:t> </w:t>
      </w:r>
      <w:r>
        <w:rPr>
          <w:sz w:val="20"/>
        </w:rPr>
        <w:t>93,8</w:t>
      </w:r>
      <w:r>
        <w:rPr>
          <w:spacing w:val="-8"/>
          <w:sz w:val="20"/>
        </w:rPr>
        <w:t> </w:t>
      </w:r>
      <w:r>
        <w:rPr>
          <w:sz w:val="20"/>
        </w:rPr>
        <w:t>%</w:t>
      </w:r>
      <w:r>
        <w:rPr>
          <w:spacing w:val="-7"/>
          <w:sz w:val="20"/>
        </w:rPr>
        <w:t> </w:t>
      </w:r>
      <w:r>
        <w:rPr>
          <w:sz w:val="20"/>
        </w:rPr>
        <w:t>tuvo</w:t>
      </w:r>
      <w:r>
        <w:rPr>
          <w:spacing w:val="-6"/>
          <w:sz w:val="20"/>
        </w:rPr>
        <w:t> </w:t>
      </w:r>
      <w:r>
        <w:rPr>
          <w:sz w:val="20"/>
        </w:rPr>
        <w:t>su</w:t>
      </w:r>
      <w:r>
        <w:rPr>
          <w:spacing w:val="-6"/>
          <w:sz w:val="20"/>
        </w:rPr>
        <w:t> </w:t>
      </w:r>
      <w:r>
        <w:rPr>
          <w:sz w:val="20"/>
        </w:rPr>
        <w:t>origen</w:t>
      </w:r>
      <w:r>
        <w:rPr>
          <w:spacing w:val="-6"/>
          <w:sz w:val="20"/>
        </w:rPr>
        <w:t> </w:t>
      </w:r>
      <w:r>
        <w:rPr>
          <w:sz w:val="20"/>
        </w:rPr>
        <w:t>en</w:t>
      </w:r>
      <w:r>
        <w:rPr>
          <w:spacing w:val="-8"/>
          <w:sz w:val="20"/>
        </w:rPr>
        <w:t> </w:t>
      </w:r>
      <w:r>
        <w:rPr>
          <w:sz w:val="20"/>
        </w:rPr>
        <w:t>transferencias</w:t>
      </w:r>
      <w:r>
        <w:rPr>
          <w:spacing w:val="-6"/>
          <w:sz w:val="20"/>
        </w:rPr>
        <w:t> </w:t>
      </w:r>
      <w:r>
        <w:rPr>
          <w:sz w:val="20"/>
        </w:rPr>
        <w:t>corrientes</w:t>
      </w:r>
      <w:r>
        <w:rPr>
          <w:spacing w:val="-7"/>
          <w:sz w:val="20"/>
        </w:rPr>
        <w:t> </w:t>
      </w:r>
      <w:r>
        <w:rPr>
          <w:sz w:val="20"/>
        </w:rPr>
        <w:t>y</w:t>
      </w:r>
      <w:r>
        <w:rPr>
          <w:spacing w:val="-7"/>
          <w:sz w:val="20"/>
        </w:rPr>
        <w:t> </w:t>
      </w:r>
      <w:r>
        <w:rPr>
          <w:sz w:val="20"/>
        </w:rPr>
        <w:t>sólo el 4,5 % en transferencias de capital, que es aquella financiación que tiene como destino inversiones y adquisición de inmovilizado. Los derechos reconocidos netos ascendieron a 4.040,1 millones de €, de los cuales el 94 % son transferencias de la Administración de la CAC (3.562,7 millones de</w:t>
      </w:r>
      <w:r>
        <w:rPr>
          <w:spacing w:val="-3"/>
          <w:sz w:val="20"/>
        </w:rPr>
        <w:t> </w:t>
      </w:r>
      <w:r>
        <w:rPr>
          <w:sz w:val="20"/>
        </w:rPr>
        <w:t>€)</w:t>
      </w:r>
    </w:p>
    <w:p>
      <w:pPr>
        <w:pStyle w:val="BodyText"/>
        <w:spacing w:before="2"/>
        <w:rPr>
          <w:sz w:val="17"/>
        </w:rPr>
      </w:pPr>
    </w:p>
    <w:tbl>
      <w:tblPr>
        <w:tblW w:w="0" w:type="auto"/>
        <w:jc w:val="left"/>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1"/>
        <w:gridCol w:w="1082"/>
        <w:gridCol w:w="1110"/>
        <w:gridCol w:w="981"/>
        <w:gridCol w:w="943"/>
        <w:gridCol w:w="970"/>
      </w:tblGrid>
      <w:tr>
        <w:trPr>
          <w:trHeight w:val="634" w:hRule="atLeast"/>
        </w:trPr>
        <w:tc>
          <w:tcPr>
            <w:tcW w:w="1921" w:type="dxa"/>
            <w:tcBorders>
              <w:top w:val="single" w:sz="4" w:space="0" w:color="000000"/>
              <w:left w:val="single" w:sz="4" w:space="0" w:color="000000"/>
              <w:bottom w:val="single" w:sz="4" w:space="0" w:color="000000"/>
            </w:tcBorders>
            <w:shd w:val="clear" w:color="auto" w:fill="DEEAF6"/>
          </w:tcPr>
          <w:p>
            <w:pPr>
              <w:pStyle w:val="TableParagraph"/>
              <w:spacing w:before="6"/>
              <w:rPr>
                <w:sz w:val="19"/>
              </w:rPr>
            </w:pPr>
          </w:p>
          <w:p>
            <w:pPr>
              <w:pStyle w:val="TableParagraph"/>
              <w:ind w:left="622" w:right="617"/>
              <w:jc w:val="center"/>
              <w:rPr>
                <w:b/>
                <w:sz w:val="13"/>
              </w:rPr>
            </w:pPr>
            <w:r>
              <w:rPr>
                <w:b/>
                <w:w w:val="105"/>
                <w:sz w:val="13"/>
              </w:rPr>
              <w:t>CAPÍTULOS</w:t>
            </w:r>
          </w:p>
        </w:tc>
        <w:tc>
          <w:tcPr>
            <w:tcW w:w="1082" w:type="dxa"/>
            <w:tcBorders>
              <w:top w:val="single" w:sz="4" w:space="0" w:color="000000"/>
              <w:bottom w:val="single" w:sz="4" w:space="0" w:color="000000"/>
            </w:tcBorders>
            <w:shd w:val="clear" w:color="auto" w:fill="DEEAF6"/>
          </w:tcPr>
          <w:p>
            <w:pPr>
              <w:pStyle w:val="TableParagraph"/>
              <w:spacing w:before="6"/>
              <w:rPr>
                <w:sz w:val="19"/>
              </w:rPr>
            </w:pPr>
          </w:p>
          <w:p>
            <w:pPr>
              <w:pStyle w:val="TableParagraph"/>
              <w:ind w:right="110"/>
              <w:jc w:val="right"/>
              <w:rPr>
                <w:b/>
                <w:sz w:val="13"/>
              </w:rPr>
            </w:pPr>
            <w:r>
              <w:rPr>
                <w:b/>
                <w:w w:val="105"/>
                <w:sz w:val="13"/>
              </w:rPr>
              <w:t>Previsión inicial</w:t>
            </w:r>
          </w:p>
        </w:tc>
        <w:tc>
          <w:tcPr>
            <w:tcW w:w="1110" w:type="dxa"/>
            <w:tcBorders>
              <w:top w:val="single" w:sz="4" w:space="0" w:color="000000"/>
              <w:bottom w:val="single" w:sz="4" w:space="0" w:color="000000"/>
            </w:tcBorders>
            <w:shd w:val="clear" w:color="auto" w:fill="DEEAF6"/>
          </w:tcPr>
          <w:p>
            <w:pPr>
              <w:pStyle w:val="TableParagraph"/>
              <w:spacing w:before="6"/>
              <w:rPr>
                <w:sz w:val="19"/>
              </w:rPr>
            </w:pPr>
          </w:p>
          <w:p>
            <w:pPr>
              <w:pStyle w:val="TableParagraph"/>
              <w:ind w:left="88"/>
              <w:rPr>
                <w:b/>
                <w:sz w:val="13"/>
              </w:rPr>
            </w:pPr>
            <w:r>
              <w:rPr>
                <w:b/>
                <w:w w:val="105"/>
                <w:sz w:val="13"/>
              </w:rPr>
              <w:t>Modificaciones</w:t>
            </w:r>
          </w:p>
        </w:tc>
        <w:tc>
          <w:tcPr>
            <w:tcW w:w="981" w:type="dxa"/>
            <w:tcBorders>
              <w:top w:val="single" w:sz="4" w:space="0" w:color="000000"/>
              <w:bottom w:val="single" w:sz="4" w:space="0" w:color="000000"/>
            </w:tcBorders>
            <w:shd w:val="clear" w:color="auto" w:fill="DEEAF6"/>
          </w:tcPr>
          <w:p>
            <w:pPr>
              <w:pStyle w:val="TableParagraph"/>
              <w:spacing w:before="10"/>
              <w:rPr>
                <w:sz w:val="12"/>
              </w:rPr>
            </w:pPr>
          </w:p>
          <w:p>
            <w:pPr>
              <w:pStyle w:val="TableParagraph"/>
              <w:spacing w:line="247" w:lineRule="auto" w:before="1"/>
              <w:ind w:left="153" w:hanging="27"/>
              <w:rPr>
                <w:b/>
                <w:sz w:val="13"/>
              </w:rPr>
            </w:pPr>
            <w:r>
              <w:rPr>
                <w:b/>
                <w:w w:val="105"/>
                <w:sz w:val="13"/>
              </w:rPr>
              <w:t>Previsiones definitivas</w:t>
            </w:r>
          </w:p>
        </w:tc>
        <w:tc>
          <w:tcPr>
            <w:tcW w:w="943" w:type="dxa"/>
            <w:tcBorders>
              <w:top w:val="single" w:sz="4" w:space="0" w:color="000000"/>
              <w:bottom w:val="single" w:sz="4" w:space="0" w:color="000000"/>
            </w:tcBorders>
            <w:shd w:val="clear" w:color="auto" w:fill="DEEAF6"/>
          </w:tcPr>
          <w:p>
            <w:pPr>
              <w:pStyle w:val="TableParagraph"/>
              <w:spacing w:before="10"/>
              <w:rPr>
                <w:sz w:val="12"/>
              </w:rPr>
            </w:pPr>
          </w:p>
          <w:p>
            <w:pPr>
              <w:pStyle w:val="TableParagraph"/>
              <w:spacing w:line="247" w:lineRule="auto" w:before="1"/>
              <w:ind w:left="98" w:firstLine="76"/>
              <w:rPr>
                <w:b/>
                <w:sz w:val="13"/>
              </w:rPr>
            </w:pPr>
            <w:r>
              <w:rPr>
                <w:b/>
                <w:w w:val="105"/>
                <w:sz w:val="13"/>
              </w:rPr>
              <w:t>Derechos reconocidos</w:t>
            </w:r>
          </w:p>
        </w:tc>
        <w:tc>
          <w:tcPr>
            <w:tcW w:w="970" w:type="dxa"/>
            <w:tcBorders>
              <w:top w:val="single" w:sz="4" w:space="0" w:color="000000"/>
              <w:bottom w:val="single" w:sz="4" w:space="0" w:color="000000"/>
              <w:right w:val="single" w:sz="4" w:space="0" w:color="000000"/>
            </w:tcBorders>
            <w:shd w:val="clear" w:color="auto" w:fill="DEEAF6"/>
          </w:tcPr>
          <w:p>
            <w:pPr>
              <w:pStyle w:val="TableParagraph"/>
              <w:spacing w:before="6"/>
              <w:rPr>
                <w:sz w:val="19"/>
              </w:rPr>
            </w:pPr>
          </w:p>
          <w:p>
            <w:pPr>
              <w:pStyle w:val="TableParagraph"/>
              <w:ind w:left="112"/>
              <w:rPr>
                <w:b/>
                <w:sz w:val="13"/>
              </w:rPr>
            </w:pPr>
            <w:r>
              <w:rPr>
                <w:b/>
                <w:w w:val="105"/>
                <w:sz w:val="13"/>
              </w:rPr>
              <w:t>Recaudación</w:t>
            </w:r>
          </w:p>
        </w:tc>
      </w:tr>
      <w:tr>
        <w:trPr>
          <w:trHeight w:val="219" w:hRule="atLeast"/>
        </w:trPr>
        <w:tc>
          <w:tcPr>
            <w:tcW w:w="1921" w:type="dxa"/>
            <w:tcBorders>
              <w:top w:val="single" w:sz="4" w:space="0" w:color="000000"/>
              <w:left w:val="single" w:sz="4" w:space="0" w:color="000000"/>
            </w:tcBorders>
          </w:tcPr>
          <w:p>
            <w:pPr>
              <w:pStyle w:val="TableParagraph"/>
              <w:spacing w:before="24"/>
              <w:ind w:left="57"/>
              <w:rPr>
                <w:sz w:val="13"/>
              </w:rPr>
            </w:pPr>
            <w:r>
              <w:rPr>
                <w:w w:val="105"/>
                <w:sz w:val="13"/>
              </w:rPr>
              <w:t>3 Tasas y otros ingresos</w:t>
            </w:r>
          </w:p>
        </w:tc>
        <w:tc>
          <w:tcPr>
            <w:tcW w:w="1082" w:type="dxa"/>
            <w:tcBorders>
              <w:top w:val="single" w:sz="4" w:space="0" w:color="000000"/>
            </w:tcBorders>
          </w:tcPr>
          <w:p>
            <w:pPr>
              <w:pStyle w:val="TableParagraph"/>
              <w:spacing w:before="24"/>
              <w:ind w:right="76"/>
              <w:jc w:val="right"/>
              <w:rPr>
                <w:sz w:val="13"/>
              </w:rPr>
            </w:pPr>
            <w:r>
              <w:rPr>
                <w:w w:val="105"/>
                <w:sz w:val="13"/>
              </w:rPr>
              <w:t>47.352,08</w:t>
            </w:r>
          </w:p>
        </w:tc>
        <w:tc>
          <w:tcPr>
            <w:tcW w:w="1110" w:type="dxa"/>
            <w:tcBorders>
              <w:top w:val="single" w:sz="4" w:space="0" w:color="000000"/>
            </w:tcBorders>
          </w:tcPr>
          <w:p>
            <w:pPr>
              <w:pStyle w:val="TableParagraph"/>
              <w:spacing w:before="24"/>
              <w:ind w:right="114"/>
              <w:jc w:val="right"/>
              <w:rPr>
                <w:sz w:val="13"/>
              </w:rPr>
            </w:pPr>
            <w:r>
              <w:rPr>
                <w:sz w:val="13"/>
              </w:rPr>
              <w:t>0,81</w:t>
            </w:r>
          </w:p>
        </w:tc>
        <w:tc>
          <w:tcPr>
            <w:tcW w:w="981" w:type="dxa"/>
            <w:tcBorders>
              <w:top w:val="single" w:sz="4" w:space="0" w:color="000000"/>
            </w:tcBorders>
          </w:tcPr>
          <w:p>
            <w:pPr>
              <w:pStyle w:val="TableParagraph"/>
              <w:spacing w:before="24"/>
              <w:ind w:right="84"/>
              <w:jc w:val="right"/>
              <w:rPr>
                <w:sz w:val="13"/>
              </w:rPr>
            </w:pPr>
            <w:r>
              <w:rPr>
                <w:w w:val="105"/>
                <w:sz w:val="13"/>
              </w:rPr>
              <w:t>47.352,89</w:t>
            </w:r>
          </w:p>
        </w:tc>
        <w:tc>
          <w:tcPr>
            <w:tcW w:w="943" w:type="dxa"/>
            <w:tcBorders>
              <w:top w:val="single" w:sz="4" w:space="0" w:color="000000"/>
            </w:tcBorders>
          </w:tcPr>
          <w:p>
            <w:pPr>
              <w:pStyle w:val="TableParagraph"/>
              <w:spacing w:before="24"/>
              <w:ind w:right="95"/>
              <w:jc w:val="right"/>
              <w:rPr>
                <w:sz w:val="13"/>
              </w:rPr>
            </w:pPr>
            <w:r>
              <w:rPr>
                <w:w w:val="105"/>
                <w:sz w:val="13"/>
              </w:rPr>
              <w:t>52.326,34</w:t>
            </w:r>
          </w:p>
        </w:tc>
        <w:tc>
          <w:tcPr>
            <w:tcW w:w="970" w:type="dxa"/>
            <w:tcBorders>
              <w:top w:val="single" w:sz="4" w:space="0" w:color="000000"/>
              <w:right w:val="single" w:sz="4" w:space="0" w:color="000000"/>
            </w:tcBorders>
          </w:tcPr>
          <w:p>
            <w:pPr>
              <w:pStyle w:val="TableParagraph"/>
              <w:spacing w:before="24"/>
              <w:ind w:right="42"/>
              <w:jc w:val="right"/>
              <w:rPr>
                <w:sz w:val="13"/>
              </w:rPr>
            </w:pPr>
            <w:r>
              <w:rPr>
                <w:w w:val="105"/>
                <w:sz w:val="13"/>
              </w:rPr>
              <w:t>30.754,69</w:t>
            </w:r>
          </w:p>
        </w:tc>
      </w:tr>
      <w:tr>
        <w:trPr>
          <w:trHeight w:val="208" w:hRule="atLeast"/>
        </w:trPr>
        <w:tc>
          <w:tcPr>
            <w:tcW w:w="1921" w:type="dxa"/>
            <w:tcBorders>
              <w:left w:val="single" w:sz="4" w:space="0" w:color="000000"/>
            </w:tcBorders>
          </w:tcPr>
          <w:p>
            <w:pPr>
              <w:pStyle w:val="TableParagraph"/>
              <w:spacing w:before="14"/>
              <w:ind w:left="57"/>
              <w:rPr>
                <w:sz w:val="13"/>
              </w:rPr>
            </w:pPr>
            <w:r>
              <w:rPr>
                <w:w w:val="105"/>
                <w:sz w:val="13"/>
              </w:rPr>
              <w:t>4 Transferencias corrientes</w:t>
            </w:r>
          </w:p>
        </w:tc>
        <w:tc>
          <w:tcPr>
            <w:tcW w:w="1082" w:type="dxa"/>
          </w:tcPr>
          <w:p>
            <w:pPr>
              <w:pStyle w:val="TableParagraph"/>
              <w:spacing w:before="14"/>
              <w:ind w:right="76"/>
              <w:jc w:val="right"/>
              <w:rPr>
                <w:sz w:val="13"/>
              </w:rPr>
            </w:pPr>
            <w:r>
              <w:rPr>
                <w:w w:val="105"/>
                <w:sz w:val="13"/>
              </w:rPr>
              <w:t>3.296.121,32</w:t>
            </w:r>
          </w:p>
        </w:tc>
        <w:tc>
          <w:tcPr>
            <w:tcW w:w="1110" w:type="dxa"/>
          </w:tcPr>
          <w:p>
            <w:pPr>
              <w:pStyle w:val="TableParagraph"/>
              <w:spacing w:before="14"/>
              <w:ind w:right="114"/>
              <w:jc w:val="right"/>
              <w:rPr>
                <w:sz w:val="13"/>
              </w:rPr>
            </w:pPr>
            <w:r>
              <w:rPr>
                <w:w w:val="105"/>
                <w:sz w:val="13"/>
              </w:rPr>
              <w:t>471.040,78</w:t>
            </w:r>
          </w:p>
        </w:tc>
        <w:tc>
          <w:tcPr>
            <w:tcW w:w="981" w:type="dxa"/>
          </w:tcPr>
          <w:p>
            <w:pPr>
              <w:pStyle w:val="TableParagraph"/>
              <w:spacing w:before="14"/>
              <w:ind w:right="83"/>
              <w:jc w:val="right"/>
              <w:rPr>
                <w:sz w:val="13"/>
              </w:rPr>
            </w:pPr>
            <w:r>
              <w:rPr>
                <w:w w:val="105"/>
                <w:sz w:val="13"/>
              </w:rPr>
              <w:t>3.767.162,10</w:t>
            </w:r>
          </w:p>
        </w:tc>
        <w:tc>
          <w:tcPr>
            <w:tcW w:w="943" w:type="dxa"/>
          </w:tcPr>
          <w:p>
            <w:pPr>
              <w:pStyle w:val="TableParagraph"/>
              <w:spacing w:before="14"/>
              <w:ind w:right="95"/>
              <w:jc w:val="right"/>
              <w:rPr>
                <w:sz w:val="13"/>
              </w:rPr>
            </w:pPr>
            <w:r>
              <w:rPr>
                <w:w w:val="105"/>
                <w:sz w:val="13"/>
              </w:rPr>
              <w:t>3.788.768,14</w:t>
            </w:r>
          </w:p>
        </w:tc>
        <w:tc>
          <w:tcPr>
            <w:tcW w:w="970" w:type="dxa"/>
            <w:tcBorders>
              <w:right w:val="single" w:sz="4" w:space="0" w:color="000000"/>
            </w:tcBorders>
          </w:tcPr>
          <w:p>
            <w:pPr>
              <w:pStyle w:val="TableParagraph"/>
              <w:spacing w:before="14"/>
              <w:ind w:right="42"/>
              <w:jc w:val="right"/>
              <w:rPr>
                <w:sz w:val="13"/>
              </w:rPr>
            </w:pPr>
            <w:r>
              <w:rPr>
                <w:w w:val="105"/>
                <w:sz w:val="13"/>
              </w:rPr>
              <w:t>3.782.272,65</w:t>
            </w:r>
          </w:p>
        </w:tc>
      </w:tr>
      <w:tr>
        <w:trPr>
          <w:trHeight w:val="208" w:hRule="atLeast"/>
        </w:trPr>
        <w:tc>
          <w:tcPr>
            <w:tcW w:w="1921" w:type="dxa"/>
            <w:tcBorders>
              <w:left w:val="single" w:sz="4" w:space="0" w:color="000000"/>
            </w:tcBorders>
          </w:tcPr>
          <w:p>
            <w:pPr>
              <w:pStyle w:val="TableParagraph"/>
              <w:spacing w:before="14"/>
              <w:ind w:left="57"/>
              <w:rPr>
                <w:sz w:val="13"/>
              </w:rPr>
            </w:pPr>
            <w:r>
              <w:rPr>
                <w:w w:val="105"/>
                <w:sz w:val="13"/>
              </w:rPr>
              <w:t>5 Ingresos Patrimoniales</w:t>
            </w:r>
          </w:p>
        </w:tc>
        <w:tc>
          <w:tcPr>
            <w:tcW w:w="1082" w:type="dxa"/>
          </w:tcPr>
          <w:p>
            <w:pPr>
              <w:pStyle w:val="TableParagraph"/>
              <w:spacing w:before="14"/>
              <w:ind w:right="76"/>
              <w:jc w:val="right"/>
              <w:rPr>
                <w:sz w:val="13"/>
              </w:rPr>
            </w:pPr>
            <w:r>
              <w:rPr>
                <w:w w:val="105"/>
                <w:sz w:val="13"/>
              </w:rPr>
              <w:t>3.206,38</w:t>
            </w:r>
          </w:p>
        </w:tc>
        <w:tc>
          <w:tcPr>
            <w:tcW w:w="1110" w:type="dxa"/>
          </w:tcPr>
          <w:p>
            <w:pPr>
              <w:pStyle w:val="TableParagraph"/>
              <w:spacing w:before="14"/>
              <w:ind w:right="114"/>
              <w:jc w:val="right"/>
              <w:rPr>
                <w:sz w:val="13"/>
              </w:rPr>
            </w:pPr>
            <w:r>
              <w:rPr>
                <w:sz w:val="13"/>
              </w:rPr>
              <w:t>0,00</w:t>
            </w:r>
          </w:p>
        </w:tc>
        <w:tc>
          <w:tcPr>
            <w:tcW w:w="981" w:type="dxa"/>
          </w:tcPr>
          <w:p>
            <w:pPr>
              <w:pStyle w:val="TableParagraph"/>
              <w:spacing w:before="14"/>
              <w:ind w:right="83"/>
              <w:jc w:val="right"/>
              <w:rPr>
                <w:sz w:val="13"/>
              </w:rPr>
            </w:pPr>
            <w:r>
              <w:rPr>
                <w:w w:val="105"/>
                <w:sz w:val="13"/>
              </w:rPr>
              <w:t>3.206,38</w:t>
            </w:r>
          </w:p>
        </w:tc>
        <w:tc>
          <w:tcPr>
            <w:tcW w:w="943" w:type="dxa"/>
          </w:tcPr>
          <w:p>
            <w:pPr>
              <w:pStyle w:val="TableParagraph"/>
              <w:spacing w:before="14"/>
              <w:ind w:right="95"/>
              <w:jc w:val="right"/>
              <w:rPr>
                <w:sz w:val="13"/>
              </w:rPr>
            </w:pPr>
            <w:r>
              <w:rPr>
                <w:w w:val="105"/>
                <w:sz w:val="13"/>
              </w:rPr>
              <w:t>4.334,68</w:t>
            </w:r>
          </w:p>
        </w:tc>
        <w:tc>
          <w:tcPr>
            <w:tcW w:w="970" w:type="dxa"/>
            <w:tcBorders>
              <w:right w:val="single" w:sz="4" w:space="0" w:color="000000"/>
            </w:tcBorders>
          </w:tcPr>
          <w:p>
            <w:pPr>
              <w:pStyle w:val="TableParagraph"/>
              <w:spacing w:before="14"/>
              <w:ind w:right="42"/>
              <w:jc w:val="right"/>
              <w:rPr>
                <w:sz w:val="13"/>
              </w:rPr>
            </w:pPr>
            <w:r>
              <w:rPr>
                <w:w w:val="105"/>
                <w:sz w:val="13"/>
              </w:rPr>
              <w:t>2.602,89</w:t>
            </w:r>
          </w:p>
        </w:tc>
      </w:tr>
      <w:tr>
        <w:trPr>
          <w:trHeight w:val="209" w:hRule="atLeast"/>
        </w:trPr>
        <w:tc>
          <w:tcPr>
            <w:tcW w:w="1921" w:type="dxa"/>
            <w:tcBorders>
              <w:left w:val="single" w:sz="4" w:space="0" w:color="000000"/>
            </w:tcBorders>
          </w:tcPr>
          <w:p>
            <w:pPr>
              <w:pStyle w:val="TableParagraph"/>
              <w:spacing w:before="14"/>
              <w:ind w:left="57"/>
              <w:rPr>
                <w:b/>
                <w:sz w:val="13"/>
              </w:rPr>
            </w:pPr>
            <w:r>
              <w:rPr>
                <w:b/>
                <w:w w:val="105"/>
                <w:sz w:val="13"/>
              </w:rPr>
              <w:t>Operaciones corrientes</w:t>
            </w:r>
          </w:p>
        </w:tc>
        <w:tc>
          <w:tcPr>
            <w:tcW w:w="1082" w:type="dxa"/>
          </w:tcPr>
          <w:p>
            <w:pPr>
              <w:pStyle w:val="TableParagraph"/>
              <w:spacing w:before="14"/>
              <w:ind w:right="76"/>
              <w:jc w:val="right"/>
              <w:rPr>
                <w:b/>
                <w:sz w:val="13"/>
              </w:rPr>
            </w:pPr>
            <w:r>
              <w:rPr>
                <w:b/>
                <w:w w:val="105"/>
                <w:sz w:val="13"/>
              </w:rPr>
              <w:t>3.346.679,78</w:t>
            </w:r>
          </w:p>
        </w:tc>
        <w:tc>
          <w:tcPr>
            <w:tcW w:w="1110" w:type="dxa"/>
          </w:tcPr>
          <w:p>
            <w:pPr>
              <w:pStyle w:val="TableParagraph"/>
              <w:spacing w:before="14"/>
              <w:ind w:right="114"/>
              <w:jc w:val="right"/>
              <w:rPr>
                <w:b/>
                <w:sz w:val="13"/>
              </w:rPr>
            </w:pPr>
            <w:r>
              <w:rPr>
                <w:b/>
                <w:w w:val="105"/>
                <w:sz w:val="13"/>
              </w:rPr>
              <w:t>471.041,59</w:t>
            </w:r>
          </w:p>
        </w:tc>
        <w:tc>
          <w:tcPr>
            <w:tcW w:w="981" w:type="dxa"/>
          </w:tcPr>
          <w:p>
            <w:pPr>
              <w:pStyle w:val="TableParagraph"/>
              <w:spacing w:before="14"/>
              <w:ind w:right="83"/>
              <w:jc w:val="right"/>
              <w:rPr>
                <w:b/>
                <w:sz w:val="13"/>
              </w:rPr>
            </w:pPr>
            <w:r>
              <w:rPr>
                <w:b/>
                <w:w w:val="105"/>
                <w:sz w:val="13"/>
              </w:rPr>
              <w:t>3.817.721,37</w:t>
            </w:r>
          </w:p>
        </w:tc>
        <w:tc>
          <w:tcPr>
            <w:tcW w:w="943" w:type="dxa"/>
          </w:tcPr>
          <w:p>
            <w:pPr>
              <w:pStyle w:val="TableParagraph"/>
              <w:spacing w:before="14"/>
              <w:ind w:right="95"/>
              <w:jc w:val="right"/>
              <w:rPr>
                <w:b/>
                <w:sz w:val="13"/>
              </w:rPr>
            </w:pPr>
            <w:r>
              <w:rPr>
                <w:b/>
                <w:w w:val="105"/>
                <w:sz w:val="13"/>
              </w:rPr>
              <w:t>3.845.429,15</w:t>
            </w:r>
          </w:p>
        </w:tc>
        <w:tc>
          <w:tcPr>
            <w:tcW w:w="970" w:type="dxa"/>
            <w:tcBorders>
              <w:right w:val="single" w:sz="4" w:space="0" w:color="000000"/>
            </w:tcBorders>
          </w:tcPr>
          <w:p>
            <w:pPr>
              <w:pStyle w:val="TableParagraph"/>
              <w:spacing w:before="14"/>
              <w:ind w:right="42"/>
              <w:jc w:val="right"/>
              <w:rPr>
                <w:b/>
                <w:sz w:val="13"/>
              </w:rPr>
            </w:pPr>
            <w:r>
              <w:rPr>
                <w:b/>
                <w:w w:val="105"/>
                <w:sz w:val="13"/>
              </w:rPr>
              <w:t>3.815.630,23</w:t>
            </w:r>
          </w:p>
        </w:tc>
      </w:tr>
      <w:tr>
        <w:trPr>
          <w:trHeight w:val="209" w:hRule="atLeast"/>
        </w:trPr>
        <w:tc>
          <w:tcPr>
            <w:tcW w:w="1921" w:type="dxa"/>
            <w:tcBorders>
              <w:left w:val="single" w:sz="4" w:space="0" w:color="000000"/>
            </w:tcBorders>
          </w:tcPr>
          <w:p>
            <w:pPr>
              <w:pStyle w:val="TableParagraph"/>
              <w:spacing w:before="14"/>
              <w:ind w:left="57"/>
              <w:rPr>
                <w:sz w:val="13"/>
              </w:rPr>
            </w:pPr>
            <w:r>
              <w:rPr>
                <w:w w:val="105"/>
                <w:sz w:val="13"/>
              </w:rPr>
              <w:t>6 Enajenación inversiones reales</w:t>
            </w:r>
          </w:p>
        </w:tc>
        <w:tc>
          <w:tcPr>
            <w:tcW w:w="1082" w:type="dxa"/>
          </w:tcPr>
          <w:p>
            <w:pPr>
              <w:pStyle w:val="TableParagraph"/>
              <w:spacing w:before="14"/>
              <w:ind w:right="76"/>
              <w:jc w:val="right"/>
              <w:rPr>
                <w:sz w:val="13"/>
              </w:rPr>
            </w:pPr>
            <w:r>
              <w:rPr>
                <w:sz w:val="13"/>
              </w:rPr>
              <w:t>0,00</w:t>
            </w:r>
          </w:p>
        </w:tc>
        <w:tc>
          <w:tcPr>
            <w:tcW w:w="1110" w:type="dxa"/>
          </w:tcPr>
          <w:p>
            <w:pPr>
              <w:pStyle w:val="TableParagraph"/>
              <w:spacing w:before="14"/>
              <w:ind w:right="114"/>
              <w:jc w:val="right"/>
              <w:rPr>
                <w:sz w:val="13"/>
              </w:rPr>
            </w:pPr>
            <w:r>
              <w:rPr>
                <w:sz w:val="13"/>
              </w:rPr>
              <w:t>0,00</w:t>
            </w:r>
          </w:p>
        </w:tc>
        <w:tc>
          <w:tcPr>
            <w:tcW w:w="981" w:type="dxa"/>
          </w:tcPr>
          <w:p>
            <w:pPr>
              <w:pStyle w:val="TableParagraph"/>
              <w:spacing w:before="14"/>
              <w:ind w:right="83"/>
              <w:jc w:val="right"/>
              <w:rPr>
                <w:sz w:val="13"/>
              </w:rPr>
            </w:pPr>
            <w:r>
              <w:rPr>
                <w:sz w:val="13"/>
              </w:rPr>
              <w:t>0,00</w:t>
            </w:r>
          </w:p>
        </w:tc>
        <w:tc>
          <w:tcPr>
            <w:tcW w:w="943" w:type="dxa"/>
          </w:tcPr>
          <w:p>
            <w:pPr>
              <w:pStyle w:val="TableParagraph"/>
              <w:spacing w:before="14"/>
              <w:ind w:right="95"/>
              <w:jc w:val="right"/>
              <w:rPr>
                <w:sz w:val="13"/>
              </w:rPr>
            </w:pPr>
            <w:r>
              <w:rPr>
                <w:sz w:val="13"/>
              </w:rPr>
              <w:t>0,00</w:t>
            </w:r>
          </w:p>
        </w:tc>
        <w:tc>
          <w:tcPr>
            <w:tcW w:w="970" w:type="dxa"/>
            <w:tcBorders>
              <w:right w:val="single" w:sz="4" w:space="0" w:color="000000"/>
            </w:tcBorders>
          </w:tcPr>
          <w:p>
            <w:pPr>
              <w:pStyle w:val="TableParagraph"/>
              <w:spacing w:before="14"/>
              <w:ind w:right="42"/>
              <w:jc w:val="right"/>
              <w:rPr>
                <w:sz w:val="13"/>
              </w:rPr>
            </w:pPr>
            <w:r>
              <w:rPr>
                <w:sz w:val="13"/>
              </w:rPr>
              <w:t>0,00</w:t>
            </w:r>
          </w:p>
        </w:tc>
      </w:tr>
      <w:tr>
        <w:trPr>
          <w:trHeight w:val="208" w:hRule="atLeast"/>
        </w:trPr>
        <w:tc>
          <w:tcPr>
            <w:tcW w:w="1921" w:type="dxa"/>
            <w:tcBorders>
              <w:left w:val="single" w:sz="4" w:space="0" w:color="000000"/>
            </w:tcBorders>
          </w:tcPr>
          <w:p>
            <w:pPr>
              <w:pStyle w:val="TableParagraph"/>
              <w:spacing w:before="14"/>
              <w:ind w:left="57"/>
              <w:rPr>
                <w:sz w:val="13"/>
              </w:rPr>
            </w:pPr>
            <w:r>
              <w:rPr>
                <w:w w:val="105"/>
                <w:sz w:val="13"/>
              </w:rPr>
              <w:t>7 Transferencias de Capital</w:t>
            </w:r>
          </w:p>
        </w:tc>
        <w:tc>
          <w:tcPr>
            <w:tcW w:w="1082" w:type="dxa"/>
          </w:tcPr>
          <w:p>
            <w:pPr>
              <w:pStyle w:val="TableParagraph"/>
              <w:spacing w:before="14"/>
              <w:ind w:right="77"/>
              <w:jc w:val="right"/>
              <w:rPr>
                <w:sz w:val="13"/>
              </w:rPr>
            </w:pPr>
            <w:r>
              <w:rPr>
                <w:w w:val="105"/>
                <w:sz w:val="13"/>
              </w:rPr>
              <w:t>114.628,49</w:t>
            </w:r>
          </w:p>
        </w:tc>
        <w:tc>
          <w:tcPr>
            <w:tcW w:w="1110" w:type="dxa"/>
          </w:tcPr>
          <w:p>
            <w:pPr>
              <w:pStyle w:val="TableParagraph"/>
              <w:spacing w:before="14"/>
              <w:ind w:right="114"/>
              <w:jc w:val="right"/>
              <w:rPr>
                <w:sz w:val="13"/>
              </w:rPr>
            </w:pPr>
            <w:r>
              <w:rPr>
                <w:w w:val="105"/>
                <w:sz w:val="13"/>
              </w:rPr>
              <w:t>61.441,75</w:t>
            </w:r>
          </w:p>
        </w:tc>
        <w:tc>
          <w:tcPr>
            <w:tcW w:w="981" w:type="dxa"/>
          </w:tcPr>
          <w:p>
            <w:pPr>
              <w:pStyle w:val="TableParagraph"/>
              <w:spacing w:before="14"/>
              <w:ind w:right="84"/>
              <w:jc w:val="right"/>
              <w:rPr>
                <w:sz w:val="13"/>
              </w:rPr>
            </w:pPr>
            <w:r>
              <w:rPr>
                <w:w w:val="105"/>
                <w:sz w:val="13"/>
              </w:rPr>
              <w:t>176.070,23</w:t>
            </w:r>
          </w:p>
        </w:tc>
        <w:tc>
          <w:tcPr>
            <w:tcW w:w="943" w:type="dxa"/>
          </w:tcPr>
          <w:p>
            <w:pPr>
              <w:pStyle w:val="TableParagraph"/>
              <w:spacing w:before="14"/>
              <w:ind w:right="95"/>
              <w:jc w:val="right"/>
              <w:rPr>
                <w:sz w:val="13"/>
              </w:rPr>
            </w:pPr>
            <w:r>
              <w:rPr>
                <w:w w:val="105"/>
                <w:sz w:val="13"/>
              </w:rPr>
              <w:t>183.902,28</w:t>
            </w:r>
          </w:p>
        </w:tc>
        <w:tc>
          <w:tcPr>
            <w:tcW w:w="970" w:type="dxa"/>
            <w:tcBorders>
              <w:right w:val="single" w:sz="4" w:space="0" w:color="000000"/>
            </w:tcBorders>
          </w:tcPr>
          <w:p>
            <w:pPr>
              <w:pStyle w:val="TableParagraph"/>
              <w:spacing w:before="14"/>
              <w:ind w:right="43"/>
              <w:jc w:val="right"/>
              <w:rPr>
                <w:sz w:val="13"/>
              </w:rPr>
            </w:pPr>
            <w:r>
              <w:rPr>
                <w:w w:val="105"/>
                <w:sz w:val="13"/>
              </w:rPr>
              <w:t>183.345,31</w:t>
            </w:r>
          </w:p>
        </w:tc>
      </w:tr>
      <w:tr>
        <w:trPr>
          <w:trHeight w:val="197" w:hRule="atLeast"/>
        </w:trPr>
        <w:tc>
          <w:tcPr>
            <w:tcW w:w="1921" w:type="dxa"/>
            <w:tcBorders>
              <w:left w:val="single" w:sz="4" w:space="0" w:color="000000"/>
            </w:tcBorders>
          </w:tcPr>
          <w:p>
            <w:pPr>
              <w:pStyle w:val="TableParagraph"/>
              <w:spacing w:before="13"/>
              <w:ind w:left="57"/>
              <w:rPr>
                <w:b/>
                <w:sz w:val="13"/>
              </w:rPr>
            </w:pPr>
            <w:r>
              <w:rPr>
                <w:b/>
                <w:w w:val="105"/>
                <w:sz w:val="13"/>
              </w:rPr>
              <w:t>Operaciones de capital</w:t>
            </w:r>
          </w:p>
        </w:tc>
        <w:tc>
          <w:tcPr>
            <w:tcW w:w="1082" w:type="dxa"/>
          </w:tcPr>
          <w:p>
            <w:pPr>
              <w:pStyle w:val="TableParagraph"/>
              <w:spacing w:before="13"/>
              <w:ind w:right="76"/>
              <w:jc w:val="right"/>
              <w:rPr>
                <w:b/>
                <w:sz w:val="13"/>
              </w:rPr>
            </w:pPr>
            <w:r>
              <w:rPr>
                <w:b/>
                <w:w w:val="105"/>
                <w:sz w:val="13"/>
              </w:rPr>
              <w:t>114.628,49</w:t>
            </w:r>
          </w:p>
        </w:tc>
        <w:tc>
          <w:tcPr>
            <w:tcW w:w="1110" w:type="dxa"/>
          </w:tcPr>
          <w:p>
            <w:pPr>
              <w:pStyle w:val="TableParagraph"/>
              <w:spacing w:before="13"/>
              <w:ind w:right="114"/>
              <w:jc w:val="right"/>
              <w:rPr>
                <w:b/>
                <w:sz w:val="13"/>
              </w:rPr>
            </w:pPr>
            <w:r>
              <w:rPr>
                <w:b/>
                <w:w w:val="105"/>
                <w:sz w:val="13"/>
              </w:rPr>
              <w:t>61.441,75</w:t>
            </w:r>
          </w:p>
        </w:tc>
        <w:tc>
          <w:tcPr>
            <w:tcW w:w="981" w:type="dxa"/>
          </w:tcPr>
          <w:p>
            <w:pPr>
              <w:pStyle w:val="TableParagraph"/>
              <w:spacing w:before="13"/>
              <w:ind w:right="83"/>
              <w:jc w:val="right"/>
              <w:rPr>
                <w:b/>
                <w:sz w:val="13"/>
              </w:rPr>
            </w:pPr>
            <w:r>
              <w:rPr>
                <w:b/>
                <w:w w:val="105"/>
                <w:sz w:val="13"/>
              </w:rPr>
              <w:t>176.070,23</w:t>
            </w:r>
          </w:p>
        </w:tc>
        <w:tc>
          <w:tcPr>
            <w:tcW w:w="943" w:type="dxa"/>
          </w:tcPr>
          <w:p>
            <w:pPr>
              <w:pStyle w:val="TableParagraph"/>
              <w:spacing w:before="13"/>
              <w:ind w:right="95"/>
              <w:jc w:val="right"/>
              <w:rPr>
                <w:b/>
                <w:sz w:val="13"/>
              </w:rPr>
            </w:pPr>
            <w:r>
              <w:rPr>
                <w:b/>
                <w:w w:val="105"/>
                <w:sz w:val="13"/>
              </w:rPr>
              <w:t>183.902,28</w:t>
            </w:r>
          </w:p>
        </w:tc>
        <w:tc>
          <w:tcPr>
            <w:tcW w:w="970" w:type="dxa"/>
            <w:tcBorders>
              <w:right w:val="single" w:sz="4" w:space="0" w:color="000000"/>
            </w:tcBorders>
          </w:tcPr>
          <w:p>
            <w:pPr>
              <w:pStyle w:val="TableParagraph"/>
              <w:spacing w:before="13"/>
              <w:ind w:right="42"/>
              <w:jc w:val="right"/>
              <w:rPr>
                <w:b/>
                <w:sz w:val="13"/>
              </w:rPr>
            </w:pPr>
            <w:r>
              <w:rPr>
                <w:b/>
                <w:w w:val="105"/>
                <w:sz w:val="13"/>
              </w:rPr>
              <w:t>183.345,31</w:t>
            </w:r>
          </w:p>
        </w:tc>
      </w:tr>
      <w:tr>
        <w:trPr>
          <w:trHeight w:val="209" w:hRule="atLeast"/>
        </w:trPr>
        <w:tc>
          <w:tcPr>
            <w:tcW w:w="1921" w:type="dxa"/>
            <w:tcBorders>
              <w:left w:val="single" w:sz="4" w:space="0" w:color="000000"/>
            </w:tcBorders>
            <w:shd w:val="clear" w:color="auto" w:fill="F1F1F1"/>
          </w:tcPr>
          <w:p>
            <w:pPr>
              <w:pStyle w:val="TableParagraph"/>
              <w:spacing w:before="25"/>
              <w:ind w:left="176"/>
              <w:rPr>
                <w:b/>
                <w:sz w:val="13"/>
              </w:rPr>
            </w:pPr>
            <w:r>
              <w:rPr>
                <w:b/>
                <w:w w:val="105"/>
                <w:sz w:val="13"/>
              </w:rPr>
              <w:t>Operaciones NO Financieras</w:t>
            </w:r>
          </w:p>
        </w:tc>
        <w:tc>
          <w:tcPr>
            <w:tcW w:w="1082" w:type="dxa"/>
            <w:shd w:val="clear" w:color="auto" w:fill="F1F1F1"/>
          </w:tcPr>
          <w:p>
            <w:pPr>
              <w:pStyle w:val="TableParagraph"/>
              <w:spacing w:before="25"/>
              <w:ind w:right="76"/>
              <w:jc w:val="right"/>
              <w:rPr>
                <w:b/>
                <w:sz w:val="13"/>
              </w:rPr>
            </w:pPr>
            <w:r>
              <w:rPr>
                <w:b/>
                <w:w w:val="105"/>
                <w:sz w:val="13"/>
              </w:rPr>
              <w:t>3.461.308,27</w:t>
            </w:r>
          </w:p>
        </w:tc>
        <w:tc>
          <w:tcPr>
            <w:tcW w:w="1110" w:type="dxa"/>
            <w:shd w:val="clear" w:color="auto" w:fill="F1F1F1"/>
          </w:tcPr>
          <w:p>
            <w:pPr>
              <w:pStyle w:val="TableParagraph"/>
              <w:spacing w:before="25"/>
              <w:ind w:right="114"/>
              <w:jc w:val="right"/>
              <w:rPr>
                <w:b/>
                <w:sz w:val="13"/>
              </w:rPr>
            </w:pPr>
            <w:r>
              <w:rPr>
                <w:b/>
                <w:w w:val="105"/>
                <w:sz w:val="13"/>
              </w:rPr>
              <w:t>532.483,33</w:t>
            </w:r>
          </w:p>
        </w:tc>
        <w:tc>
          <w:tcPr>
            <w:tcW w:w="981" w:type="dxa"/>
            <w:shd w:val="clear" w:color="auto" w:fill="F1F1F1"/>
          </w:tcPr>
          <w:p>
            <w:pPr>
              <w:pStyle w:val="TableParagraph"/>
              <w:spacing w:before="25"/>
              <w:ind w:right="83"/>
              <w:jc w:val="right"/>
              <w:rPr>
                <w:b/>
                <w:sz w:val="13"/>
              </w:rPr>
            </w:pPr>
            <w:r>
              <w:rPr>
                <w:b/>
                <w:w w:val="105"/>
                <w:sz w:val="13"/>
              </w:rPr>
              <w:t>3.993.791,60</w:t>
            </w:r>
          </w:p>
        </w:tc>
        <w:tc>
          <w:tcPr>
            <w:tcW w:w="943" w:type="dxa"/>
            <w:shd w:val="clear" w:color="auto" w:fill="F1F1F1"/>
          </w:tcPr>
          <w:p>
            <w:pPr>
              <w:pStyle w:val="TableParagraph"/>
              <w:spacing w:before="25"/>
              <w:ind w:right="95"/>
              <w:jc w:val="right"/>
              <w:rPr>
                <w:b/>
                <w:sz w:val="13"/>
              </w:rPr>
            </w:pPr>
            <w:r>
              <w:rPr>
                <w:b/>
                <w:w w:val="105"/>
                <w:sz w:val="13"/>
              </w:rPr>
              <w:t>4.029.331,44</w:t>
            </w:r>
          </w:p>
        </w:tc>
        <w:tc>
          <w:tcPr>
            <w:tcW w:w="970" w:type="dxa"/>
            <w:tcBorders>
              <w:right w:val="single" w:sz="4" w:space="0" w:color="000000"/>
            </w:tcBorders>
            <w:shd w:val="clear" w:color="auto" w:fill="F1F1F1"/>
          </w:tcPr>
          <w:p>
            <w:pPr>
              <w:pStyle w:val="TableParagraph"/>
              <w:spacing w:before="25"/>
              <w:ind w:right="42"/>
              <w:jc w:val="right"/>
              <w:rPr>
                <w:b/>
                <w:sz w:val="13"/>
              </w:rPr>
            </w:pPr>
            <w:r>
              <w:rPr>
                <w:b/>
                <w:w w:val="105"/>
                <w:sz w:val="13"/>
              </w:rPr>
              <w:t>3.998.975,53</w:t>
            </w:r>
          </w:p>
        </w:tc>
      </w:tr>
      <w:tr>
        <w:trPr>
          <w:trHeight w:val="220" w:hRule="atLeast"/>
        </w:trPr>
        <w:tc>
          <w:tcPr>
            <w:tcW w:w="1921" w:type="dxa"/>
            <w:tcBorders>
              <w:left w:val="single" w:sz="4" w:space="0" w:color="000000"/>
            </w:tcBorders>
          </w:tcPr>
          <w:p>
            <w:pPr>
              <w:pStyle w:val="TableParagraph"/>
              <w:spacing w:before="25"/>
              <w:ind w:left="57"/>
              <w:rPr>
                <w:sz w:val="13"/>
              </w:rPr>
            </w:pPr>
            <w:r>
              <w:rPr>
                <w:w w:val="105"/>
                <w:sz w:val="13"/>
              </w:rPr>
              <w:t>8 Activos financieros</w:t>
            </w:r>
          </w:p>
        </w:tc>
        <w:tc>
          <w:tcPr>
            <w:tcW w:w="1082" w:type="dxa"/>
          </w:tcPr>
          <w:p>
            <w:pPr>
              <w:pStyle w:val="TableParagraph"/>
              <w:spacing w:before="25"/>
              <w:ind w:right="76"/>
              <w:jc w:val="right"/>
              <w:rPr>
                <w:sz w:val="13"/>
              </w:rPr>
            </w:pPr>
            <w:r>
              <w:rPr>
                <w:sz w:val="13"/>
              </w:rPr>
              <w:t>0,00</w:t>
            </w:r>
          </w:p>
        </w:tc>
        <w:tc>
          <w:tcPr>
            <w:tcW w:w="1110" w:type="dxa"/>
          </w:tcPr>
          <w:p>
            <w:pPr>
              <w:pStyle w:val="TableParagraph"/>
              <w:spacing w:before="25"/>
              <w:ind w:right="114"/>
              <w:jc w:val="right"/>
              <w:rPr>
                <w:sz w:val="13"/>
              </w:rPr>
            </w:pPr>
            <w:r>
              <w:rPr>
                <w:w w:val="105"/>
                <w:sz w:val="13"/>
              </w:rPr>
              <w:t>88.321,98</w:t>
            </w:r>
          </w:p>
        </w:tc>
        <w:tc>
          <w:tcPr>
            <w:tcW w:w="981" w:type="dxa"/>
          </w:tcPr>
          <w:p>
            <w:pPr>
              <w:pStyle w:val="TableParagraph"/>
              <w:spacing w:before="25"/>
              <w:ind w:right="84"/>
              <w:jc w:val="right"/>
              <w:rPr>
                <w:sz w:val="13"/>
              </w:rPr>
            </w:pPr>
            <w:r>
              <w:rPr>
                <w:w w:val="105"/>
                <w:sz w:val="13"/>
              </w:rPr>
              <w:t>88.321,98</w:t>
            </w:r>
          </w:p>
        </w:tc>
        <w:tc>
          <w:tcPr>
            <w:tcW w:w="943" w:type="dxa"/>
          </w:tcPr>
          <w:p>
            <w:pPr>
              <w:pStyle w:val="TableParagraph"/>
              <w:spacing w:before="25"/>
              <w:ind w:right="95"/>
              <w:jc w:val="right"/>
              <w:rPr>
                <w:sz w:val="13"/>
              </w:rPr>
            </w:pPr>
            <w:r>
              <w:rPr>
                <w:w w:val="105"/>
                <w:sz w:val="13"/>
              </w:rPr>
              <w:t>10.820,04</w:t>
            </w:r>
          </w:p>
        </w:tc>
        <w:tc>
          <w:tcPr>
            <w:tcW w:w="970" w:type="dxa"/>
            <w:tcBorders>
              <w:right w:val="single" w:sz="4" w:space="0" w:color="000000"/>
            </w:tcBorders>
          </w:tcPr>
          <w:p>
            <w:pPr>
              <w:pStyle w:val="TableParagraph"/>
              <w:spacing w:before="25"/>
              <w:ind w:right="42"/>
              <w:jc w:val="right"/>
              <w:rPr>
                <w:sz w:val="13"/>
              </w:rPr>
            </w:pPr>
            <w:r>
              <w:rPr>
                <w:w w:val="105"/>
                <w:sz w:val="13"/>
              </w:rPr>
              <w:t>10.817,35</w:t>
            </w:r>
          </w:p>
        </w:tc>
      </w:tr>
      <w:tr>
        <w:trPr>
          <w:trHeight w:val="196" w:hRule="atLeast"/>
        </w:trPr>
        <w:tc>
          <w:tcPr>
            <w:tcW w:w="1921" w:type="dxa"/>
            <w:tcBorders>
              <w:left w:val="single" w:sz="4" w:space="0" w:color="000000"/>
            </w:tcBorders>
          </w:tcPr>
          <w:p>
            <w:pPr>
              <w:pStyle w:val="TableParagraph"/>
              <w:spacing w:before="14"/>
              <w:ind w:left="57"/>
              <w:rPr>
                <w:sz w:val="13"/>
              </w:rPr>
            </w:pPr>
            <w:r>
              <w:rPr>
                <w:w w:val="105"/>
                <w:sz w:val="13"/>
              </w:rPr>
              <w:t>9 Pasivos financieros</w:t>
            </w:r>
          </w:p>
        </w:tc>
        <w:tc>
          <w:tcPr>
            <w:tcW w:w="1082" w:type="dxa"/>
          </w:tcPr>
          <w:p>
            <w:pPr>
              <w:pStyle w:val="TableParagraph"/>
              <w:spacing w:before="14"/>
              <w:ind w:right="76"/>
              <w:jc w:val="right"/>
              <w:rPr>
                <w:sz w:val="13"/>
              </w:rPr>
            </w:pPr>
            <w:r>
              <w:rPr>
                <w:sz w:val="13"/>
              </w:rPr>
              <w:t>0,00</w:t>
            </w:r>
          </w:p>
        </w:tc>
        <w:tc>
          <w:tcPr>
            <w:tcW w:w="1110" w:type="dxa"/>
          </w:tcPr>
          <w:p>
            <w:pPr>
              <w:pStyle w:val="TableParagraph"/>
              <w:spacing w:before="14"/>
              <w:ind w:right="114"/>
              <w:jc w:val="right"/>
              <w:rPr>
                <w:sz w:val="13"/>
              </w:rPr>
            </w:pPr>
            <w:r>
              <w:rPr>
                <w:sz w:val="13"/>
              </w:rPr>
              <w:t>0,00</w:t>
            </w:r>
          </w:p>
        </w:tc>
        <w:tc>
          <w:tcPr>
            <w:tcW w:w="981" w:type="dxa"/>
          </w:tcPr>
          <w:p>
            <w:pPr>
              <w:pStyle w:val="TableParagraph"/>
              <w:spacing w:before="14"/>
              <w:ind w:right="83"/>
              <w:jc w:val="right"/>
              <w:rPr>
                <w:sz w:val="13"/>
              </w:rPr>
            </w:pPr>
            <w:r>
              <w:rPr>
                <w:sz w:val="13"/>
              </w:rPr>
              <w:t>0,00</w:t>
            </w:r>
          </w:p>
        </w:tc>
        <w:tc>
          <w:tcPr>
            <w:tcW w:w="943" w:type="dxa"/>
          </w:tcPr>
          <w:p>
            <w:pPr>
              <w:pStyle w:val="TableParagraph"/>
              <w:spacing w:before="14"/>
              <w:ind w:right="95"/>
              <w:jc w:val="right"/>
              <w:rPr>
                <w:sz w:val="13"/>
              </w:rPr>
            </w:pPr>
            <w:r>
              <w:rPr>
                <w:sz w:val="13"/>
              </w:rPr>
              <w:t>0,00</w:t>
            </w:r>
          </w:p>
        </w:tc>
        <w:tc>
          <w:tcPr>
            <w:tcW w:w="970" w:type="dxa"/>
            <w:tcBorders>
              <w:right w:val="single" w:sz="4" w:space="0" w:color="000000"/>
            </w:tcBorders>
          </w:tcPr>
          <w:p>
            <w:pPr>
              <w:pStyle w:val="TableParagraph"/>
              <w:spacing w:before="14"/>
              <w:ind w:right="42"/>
              <w:jc w:val="right"/>
              <w:rPr>
                <w:sz w:val="13"/>
              </w:rPr>
            </w:pPr>
            <w:r>
              <w:rPr>
                <w:sz w:val="13"/>
              </w:rPr>
              <w:t>0,00</w:t>
            </w:r>
          </w:p>
        </w:tc>
      </w:tr>
      <w:tr>
        <w:trPr>
          <w:trHeight w:val="208" w:hRule="atLeast"/>
        </w:trPr>
        <w:tc>
          <w:tcPr>
            <w:tcW w:w="1921" w:type="dxa"/>
            <w:tcBorders>
              <w:left w:val="single" w:sz="4" w:space="0" w:color="000000"/>
              <w:bottom w:val="single" w:sz="4" w:space="0" w:color="000000"/>
            </w:tcBorders>
            <w:shd w:val="clear" w:color="auto" w:fill="F1F1F1"/>
          </w:tcPr>
          <w:p>
            <w:pPr>
              <w:pStyle w:val="TableParagraph"/>
              <w:spacing w:before="25"/>
              <w:ind w:left="281"/>
              <w:rPr>
                <w:b/>
                <w:sz w:val="13"/>
              </w:rPr>
            </w:pPr>
            <w:r>
              <w:rPr>
                <w:b/>
                <w:w w:val="105"/>
                <w:sz w:val="13"/>
              </w:rPr>
              <w:t>Operaciones Financieras</w:t>
            </w:r>
          </w:p>
        </w:tc>
        <w:tc>
          <w:tcPr>
            <w:tcW w:w="1082" w:type="dxa"/>
            <w:tcBorders>
              <w:bottom w:val="single" w:sz="4" w:space="0" w:color="000000"/>
            </w:tcBorders>
            <w:shd w:val="clear" w:color="auto" w:fill="F1F1F1"/>
          </w:tcPr>
          <w:p>
            <w:pPr>
              <w:pStyle w:val="TableParagraph"/>
              <w:spacing w:before="25"/>
              <w:ind w:right="78"/>
              <w:jc w:val="right"/>
              <w:rPr>
                <w:b/>
                <w:sz w:val="13"/>
              </w:rPr>
            </w:pPr>
            <w:r>
              <w:rPr>
                <w:b/>
                <w:w w:val="105"/>
                <w:sz w:val="13"/>
              </w:rPr>
              <w:t>0,00</w:t>
            </w:r>
          </w:p>
        </w:tc>
        <w:tc>
          <w:tcPr>
            <w:tcW w:w="1110" w:type="dxa"/>
            <w:tcBorders>
              <w:bottom w:val="single" w:sz="4" w:space="0" w:color="000000"/>
            </w:tcBorders>
            <w:shd w:val="clear" w:color="auto" w:fill="F1F1F1"/>
          </w:tcPr>
          <w:p>
            <w:pPr>
              <w:pStyle w:val="TableParagraph"/>
              <w:spacing w:before="25"/>
              <w:ind w:right="114"/>
              <w:jc w:val="right"/>
              <w:rPr>
                <w:b/>
                <w:sz w:val="13"/>
              </w:rPr>
            </w:pPr>
            <w:r>
              <w:rPr>
                <w:b/>
                <w:w w:val="105"/>
                <w:sz w:val="13"/>
              </w:rPr>
              <w:t>88.321,98</w:t>
            </w:r>
          </w:p>
        </w:tc>
        <w:tc>
          <w:tcPr>
            <w:tcW w:w="981" w:type="dxa"/>
            <w:tcBorders>
              <w:bottom w:val="single" w:sz="4" w:space="0" w:color="000000"/>
            </w:tcBorders>
            <w:shd w:val="clear" w:color="auto" w:fill="F1F1F1"/>
          </w:tcPr>
          <w:p>
            <w:pPr>
              <w:pStyle w:val="TableParagraph"/>
              <w:spacing w:before="25"/>
              <w:ind w:right="85"/>
              <w:jc w:val="right"/>
              <w:rPr>
                <w:b/>
                <w:sz w:val="13"/>
              </w:rPr>
            </w:pPr>
            <w:r>
              <w:rPr>
                <w:b/>
                <w:w w:val="105"/>
                <w:sz w:val="13"/>
              </w:rPr>
              <w:t>88.321,98</w:t>
            </w:r>
          </w:p>
        </w:tc>
        <w:tc>
          <w:tcPr>
            <w:tcW w:w="943" w:type="dxa"/>
            <w:tcBorders>
              <w:bottom w:val="single" w:sz="4" w:space="0" w:color="000000"/>
            </w:tcBorders>
            <w:shd w:val="clear" w:color="auto" w:fill="F1F1F1"/>
          </w:tcPr>
          <w:p>
            <w:pPr>
              <w:pStyle w:val="TableParagraph"/>
              <w:spacing w:before="25"/>
              <w:ind w:right="95"/>
              <w:jc w:val="right"/>
              <w:rPr>
                <w:b/>
                <w:sz w:val="13"/>
              </w:rPr>
            </w:pPr>
            <w:r>
              <w:rPr>
                <w:b/>
                <w:w w:val="105"/>
                <w:sz w:val="13"/>
              </w:rPr>
              <w:t>10.820,04</w:t>
            </w:r>
          </w:p>
        </w:tc>
        <w:tc>
          <w:tcPr>
            <w:tcW w:w="970" w:type="dxa"/>
            <w:tcBorders>
              <w:bottom w:val="single" w:sz="4" w:space="0" w:color="000000"/>
              <w:right w:val="single" w:sz="4" w:space="0" w:color="000000"/>
            </w:tcBorders>
            <w:shd w:val="clear" w:color="auto" w:fill="F1F1F1"/>
          </w:tcPr>
          <w:p>
            <w:pPr>
              <w:pStyle w:val="TableParagraph"/>
              <w:spacing w:before="25"/>
              <w:ind w:right="42"/>
              <w:jc w:val="right"/>
              <w:rPr>
                <w:b/>
                <w:sz w:val="13"/>
              </w:rPr>
            </w:pPr>
            <w:r>
              <w:rPr>
                <w:b/>
                <w:w w:val="105"/>
                <w:sz w:val="13"/>
              </w:rPr>
              <w:t>10.817,35</w:t>
            </w:r>
          </w:p>
        </w:tc>
      </w:tr>
      <w:tr>
        <w:trPr>
          <w:trHeight w:val="270" w:hRule="atLeast"/>
        </w:trPr>
        <w:tc>
          <w:tcPr>
            <w:tcW w:w="1921" w:type="dxa"/>
            <w:tcBorders>
              <w:top w:val="single" w:sz="4" w:space="0" w:color="000000"/>
              <w:left w:val="single" w:sz="4" w:space="0" w:color="000000"/>
              <w:bottom w:val="single" w:sz="4" w:space="0" w:color="000000"/>
            </w:tcBorders>
            <w:shd w:val="clear" w:color="auto" w:fill="D9D9D9"/>
          </w:tcPr>
          <w:p>
            <w:pPr>
              <w:pStyle w:val="TableParagraph"/>
              <w:spacing w:before="56"/>
              <w:ind w:left="444"/>
              <w:rPr>
                <w:b/>
                <w:sz w:val="13"/>
              </w:rPr>
            </w:pPr>
            <w:r>
              <w:rPr>
                <w:b/>
                <w:w w:val="105"/>
                <w:sz w:val="13"/>
              </w:rPr>
              <w:t>TOTAL (</w:t>
            </w:r>
            <w:r>
              <w:rPr>
                <w:w w:val="105"/>
                <w:sz w:val="13"/>
              </w:rPr>
              <w:t>miles de €</w:t>
            </w:r>
            <w:r>
              <w:rPr>
                <w:b/>
                <w:w w:val="105"/>
                <w:sz w:val="13"/>
              </w:rPr>
              <w:t>)</w:t>
            </w:r>
          </w:p>
        </w:tc>
        <w:tc>
          <w:tcPr>
            <w:tcW w:w="1082" w:type="dxa"/>
            <w:tcBorders>
              <w:top w:val="single" w:sz="4" w:space="0" w:color="000000"/>
              <w:bottom w:val="single" w:sz="4" w:space="0" w:color="000000"/>
            </w:tcBorders>
            <w:shd w:val="clear" w:color="auto" w:fill="D9D9D9"/>
          </w:tcPr>
          <w:p>
            <w:pPr>
              <w:pStyle w:val="TableParagraph"/>
              <w:spacing w:before="56"/>
              <w:ind w:right="76"/>
              <w:jc w:val="right"/>
              <w:rPr>
                <w:b/>
                <w:sz w:val="13"/>
              </w:rPr>
            </w:pPr>
            <w:r>
              <w:rPr>
                <w:b/>
                <w:w w:val="105"/>
                <w:sz w:val="13"/>
              </w:rPr>
              <w:t>3.461.308,27</w:t>
            </w:r>
          </w:p>
        </w:tc>
        <w:tc>
          <w:tcPr>
            <w:tcW w:w="1110" w:type="dxa"/>
            <w:tcBorders>
              <w:top w:val="single" w:sz="4" w:space="0" w:color="000000"/>
              <w:bottom w:val="single" w:sz="4" w:space="0" w:color="000000"/>
            </w:tcBorders>
            <w:shd w:val="clear" w:color="auto" w:fill="D9D9D9"/>
          </w:tcPr>
          <w:p>
            <w:pPr>
              <w:pStyle w:val="TableParagraph"/>
              <w:spacing w:before="56"/>
              <w:ind w:right="114"/>
              <w:jc w:val="right"/>
              <w:rPr>
                <w:b/>
                <w:sz w:val="13"/>
              </w:rPr>
            </w:pPr>
            <w:r>
              <w:rPr>
                <w:b/>
                <w:w w:val="105"/>
                <w:sz w:val="13"/>
              </w:rPr>
              <w:t>620.805,31</w:t>
            </w:r>
          </w:p>
        </w:tc>
        <w:tc>
          <w:tcPr>
            <w:tcW w:w="981" w:type="dxa"/>
            <w:tcBorders>
              <w:top w:val="single" w:sz="4" w:space="0" w:color="000000"/>
              <w:bottom w:val="single" w:sz="4" w:space="0" w:color="000000"/>
            </w:tcBorders>
            <w:shd w:val="clear" w:color="auto" w:fill="D9D9D9"/>
          </w:tcPr>
          <w:p>
            <w:pPr>
              <w:pStyle w:val="TableParagraph"/>
              <w:spacing w:before="56"/>
              <w:ind w:right="83"/>
              <w:jc w:val="right"/>
              <w:rPr>
                <w:b/>
                <w:sz w:val="13"/>
              </w:rPr>
            </w:pPr>
            <w:r>
              <w:rPr>
                <w:b/>
                <w:w w:val="105"/>
                <w:sz w:val="13"/>
              </w:rPr>
              <w:t>4.082.113,58</w:t>
            </w:r>
          </w:p>
        </w:tc>
        <w:tc>
          <w:tcPr>
            <w:tcW w:w="943" w:type="dxa"/>
            <w:tcBorders>
              <w:top w:val="single" w:sz="4" w:space="0" w:color="000000"/>
              <w:bottom w:val="single" w:sz="4" w:space="0" w:color="000000"/>
            </w:tcBorders>
            <w:shd w:val="clear" w:color="auto" w:fill="D9D9D9"/>
          </w:tcPr>
          <w:p>
            <w:pPr>
              <w:pStyle w:val="TableParagraph"/>
              <w:spacing w:before="56"/>
              <w:ind w:right="95"/>
              <w:jc w:val="right"/>
              <w:rPr>
                <w:b/>
                <w:sz w:val="13"/>
              </w:rPr>
            </w:pPr>
            <w:r>
              <w:rPr>
                <w:b/>
                <w:w w:val="105"/>
                <w:sz w:val="13"/>
              </w:rPr>
              <w:t>4.040.151,48</w:t>
            </w:r>
          </w:p>
        </w:tc>
        <w:tc>
          <w:tcPr>
            <w:tcW w:w="970" w:type="dxa"/>
            <w:tcBorders>
              <w:top w:val="single" w:sz="4" w:space="0" w:color="000000"/>
              <w:bottom w:val="single" w:sz="4" w:space="0" w:color="000000"/>
              <w:right w:val="single" w:sz="4" w:space="0" w:color="000000"/>
            </w:tcBorders>
            <w:shd w:val="clear" w:color="auto" w:fill="D9D9D9"/>
          </w:tcPr>
          <w:p>
            <w:pPr>
              <w:pStyle w:val="TableParagraph"/>
              <w:spacing w:before="56"/>
              <w:ind w:right="42"/>
              <w:jc w:val="right"/>
              <w:rPr>
                <w:b/>
                <w:sz w:val="13"/>
              </w:rPr>
            </w:pPr>
            <w:r>
              <w:rPr>
                <w:b/>
                <w:w w:val="105"/>
                <w:sz w:val="13"/>
              </w:rPr>
              <w:t>4.009.792,88</w:t>
            </w:r>
          </w:p>
        </w:tc>
      </w:tr>
    </w:tbl>
    <w:p>
      <w:pPr>
        <w:pStyle w:val="BodyText"/>
        <w:spacing w:before="7"/>
        <w:rPr>
          <w:sz w:val="16"/>
        </w:rPr>
      </w:pPr>
    </w:p>
    <w:p>
      <w:pPr>
        <w:pStyle w:val="Heading1"/>
        <w:numPr>
          <w:ilvl w:val="0"/>
          <w:numId w:val="46"/>
        </w:numPr>
        <w:tabs>
          <w:tab w:pos="2335" w:val="left" w:leader="none"/>
        </w:tabs>
        <w:spacing w:line="240" w:lineRule="auto" w:before="0" w:after="0"/>
        <w:ind w:left="2334" w:right="0" w:hanging="239"/>
        <w:jc w:val="left"/>
      </w:pPr>
      <w:r>
        <w:rPr/>
        <w:t>Resultado</w:t>
      </w:r>
      <w:r>
        <w:rPr>
          <w:spacing w:val="1"/>
        </w:rPr>
        <w:t> </w:t>
      </w:r>
      <w:r>
        <w:rPr/>
        <w:t>presupuestario.</w:t>
      </w:r>
    </w:p>
    <w:p>
      <w:pPr>
        <w:pStyle w:val="BodyText"/>
        <w:spacing w:before="1"/>
        <w:rPr>
          <w:b/>
          <w:sz w:val="17"/>
        </w:rPr>
      </w:pPr>
    </w:p>
    <w:p>
      <w:pPr>
        <w:pStyle w:val="BodyText"/>
        <w:ind w:left="2334"/>
        <w:rPr>
          <w:sz w:val="2"/>
        </w:rPr>
      </w:pPr>
      <w:r>
        <w:rPr>
          <w:w w:val="160"/>
          <w:sz w:val="2"/>
        </w:rPr>
        <w:t>d)</w:t>
      </w:r>
    </w:p>
    <w:p>
      <w:pPr>
        <w:pStyle w:val="BodyText"/>
        <w:spacing w:before="4" w:after="1"/>
        <w:rPr>
          <w:sz w:val="8"/>
        </w:rPr>
      </w:pPr>
    </w:p>
    <w:tbl>
      <w:tblPr>
        <w:tblW w:w="0" w:type="auto"/>
        <w:jc w:val="lef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20"/>
        <w:gridCol w:w="1063"/>
        <w:gridCol w:w="842"/>
      </w:tblGrid>
      <w:tr>
        <w:trPr>
          <w:trHeight w:val="320" w:hRule="atLeast"/>
        </w:trPr>
        <w:tc>
          <w:tcPr>
            <w:tcW w:w="5120" w:type="dxa"/>
            <w:shd w:val="clear" w:color="auto" w:fill="DEEAF6"/>
          </w:tcPr>
          <w:p>
            <w:pPr>
              <w:pStyle w:val="TableParagraph"/>
              <w:spacing w:before="83"/>
              <w:ind w:left="2075"/>
              <w:rPr>
                <w:b/>
                <w:sz w:val="13"/>
              </w:rPr>
            </w:pPr>
            <w:r>
              <w:rPr>
                <w:b/>
                <w:w w:val="105"/>
                <w:sz w:val="13"/>
              </w:rPr>
              <w:t>Resultado Presupuestario Ajustado (</w:t>
            </w:r>
            <w:r>
              <w:rPr>
                <w:w w:val="105"/>
                <w:sz w:val="13"/>
              </w:rPr>
              <w:t>miles de €</w:t>
            </w:r>
            <w:r>
              <w:rPr>
                <w:b/>
                <w:w w:val="105"/>
                <w:sz w:val="13"/>
              </w:rPr>
              <w:t>)</w:t>
            </w:r>
          </w:p>
        </w:tc>
        <w:tc>
          <w:tcPr>
            <w:tcW w:w="1063" w:type="dxa"/>
            <w:tcBorders>
              <w:right w:val="nil"/>
            </w:tcBorders>
            <w:shd w:val="clear" w:color="auto" w:fill="DEEAF6"/>
          </w:tcPr>
          <w:p>
            <w:pPr>
              <w:pStyle w:val="TableParagraph"/>
              <w:spacing w:before="83"/>
              <w:ind w:left="337"/>
              <w:rPr>
                <w:b/>
                <w:sz w:val="13"/>
              </w:rPr>
            </w:pPr>
            <w:r>
              <w:rPr>
                <w:b/>
                <w:w w:val="105"/>
                <w:sz w:val="13"/>
              </w:rPr>
              <w:t>2022</w:t>
            </w:r>
          </w:p>
        </w:tc>
        <w:tc>
          <w:tcPr>
            <w:tcW w:w="842" w:type="dxa"/>
            <w:tcBorders>
              <w:left w:val="nil"/>
            </w:tcBorders>
            <w:shd w:val="clear" w:color="auto" w:fill="DEEAF6"/>
          </w:tcPr>
          <w:p>
            <w:pPr>
              <w:pStyle w:val="TableParagraph"/>
              <w:spacing w:before="83"/>
              <w:ind w:left="232"/>
              <w:rPr>
                <w:b/>
                <w:sz w:val="13"/>
              </w:rPr>
            </w:pPr>
            <w:r>
              <w:rPr>
                <w:b/>
                <w:w w:val="105"/>
                <w:sz w:val="13"/>
              </w:rPr>
              <w:t>2021</w:t>
            </w:r>
          </w:p>
        </w:tc>
      </w:tr>
      <w:tr>
        <w:trPr>
          <w:trHeight w:val="255" w:hRule="atLeast"/>
        </w:trPr>
        <w:tc>
          <w:tcPr>
            <w:tcW w:w="5120" w:type="dxa"/>
            <w:tcBorders>
              <w:bottom w:val="nil"/>
            </w:tcBorders>
          </w:tcPr>
          <w:p>
            <w:pPr>
              <w:pStyle w:val="TableParagraph"/>
              <w:spacing w:before="42"/>
              <w:ind w:left="57"/>
              <w:rPr>
                <w:sz w:val="13"/>
              </w:rPr>
            </w:pPr>
            <w:r>
              <w:rPr>
                <w:w w:val="105"/>
                <w:sz w:val="13"/>
              </w:rPr>
              <w:t>Operaciones corrientes</w:t>
            </w:r>
          </w:p>
        </w:tc>
        <w:tc>
          <w:tcPr>
            <w:tcW w:w="1063" w:type="dxa"/>
            <w:tcBorders>
              <w:bottom w:val="nil"/>
              <w:right w:val="nil"/>
            </w:tcBorders>
          </w:tcPr>
          <w:p>
            <w:pPr>
              <w:pStyle w:val="TableParagraph"/>
              <w:spacing w:before="42"/>
              <w:ind w:right="162"/>
              <w:jc w:val="right"/>
              <w:rPr>
                <w:sz w:val="13"/>
              </w:rPr>
            </w:pPr>
            <w:r>
              <w:rPr>
                <w:sz w:val="13"/>
              </w:rPr>
              <w:t>-148.812,02</w:t>
            </w:r>
          </w:p>
        </w:tc>
        <w:tc>
          <w:tcPr>
            <w:tcW w:w="842" w:type="dxa"/>
            <w:tcBorders>
              <w:left w:val="nil"/>
              <w:bottom w:val="nil"/>
            </w:tcBorders>
          </w:tcPr>
          <w:p>
            <w:pPr>
              <w:pStyle w:val="TableParagraph"/>
              <w:spacing w:before="42"/>
              <w:ind w:right="46"/>
              <w:jc w:val="right"/>
              <w:rPr>
                <w:sz w:val="13"/>
              </w:rPr>
            </w:pPr>
            <w:r>
              <w:rPr>
                <w:w w:val="105"/>
                <w:sz w:val="13"/>
              </w:rPr>
              <w:t>- 56.253,87</w:t>
            </w:r>
          </w:p>
        </w:tc>
      </w:tr>
      <w:tr>
        <w:trPr>
          <w:trHeight w:val="244" w:hRule="atLeast"/>
        </w:trPr>
        <w:tc>
          <w:tcPr>
            <w:tcW w:w="5120" w:type="dxa"/>
            <w:tcBorders>
              <w:top w:val="nil"/>
              <w:bottom w:val="nil"/>
            </w:tcBorders>
          </w:tcPr>
          <w:p>
            <w:pPr>
              <w:pStyle w:val="TableParagraph"/>
              <w:spacing w:before="33"/>
              <w:ind w:left="57"/>
              <w:rPr>
                <w:sz w:val="13"/>
              </w:rPr>
            </w:pPr>
            <w:r>
              <w:rPr>
                <w:w w:val="105"/>
                <w:sz w:val="13"/>
              </w:rPr>
              <w:t>Operaciones de capital</w:t>
            </w:r>
          </w:p>
        </w:tc>
        <w:tc>
          <w:tcPr>
            <w:tcW w:w="1063" w:type="dxa"/>
            <w:tcBorders>
              <w:top w:val="nil"/>
              <w:bottom w:val="nil"/>
              <w:right w:val="nil"/>
            </w:tcBorders>
          </w:tcPr>
          <w:p>
            <w:pPr>
              <w:pStyle w:val="TableParagraph"/>
              <w:spacing w:before="33"/>
              <w:ind w:right="163"/>
              <w:jc w:val="right"/>
              <w:rPr>
                <w:sz w:val="13"/>
              </w:rPr>
            </w:pPr>
            <w:r>
              <w:rPr>
                <w:w w:val="105"/>
                <w:sz w:val="13"/>
              </w:rPr>
              <w:t>116.974,32</w:t>
            </w:r>
          </w:p>
        </w:tc>
        <w:tc>
          <w:tcPr>
            <w:tcW w:w="842" w:type="dxa"/>
            <w:tcBorders>
              <w:top w:val="nil"/>
              <w:left w:val="nil"/>
              <w:bottom w:val="nil"/>
            </w:tcBorders>
          </w:tcPr>
          <w:p>
            <w:pPr>
              <w:pStyle w:val="TableParagraph"/>
              <w:spacing w:before="33"/>
              <w:ind w:right="47"/>
              <w:jc w:val="right"/>
              <w:rPr>
                <w:sz w:val="13"/>
              </w:rPr>
            </w:pPr>
            <w:r>
              <w:rPr>
                <w:w w:val="105"/>
                <w:sz w:val="13"/>
              </w:rPr>
              <w:t>122.560,51</w:t>
            </w:r>
          </w:p>
        </w:tc>
      </w:tr>
      <w:tr>
        <w:trPr>
          <w:trHeight w:val="243" w:hRule="atLeast"/>
        </w:trPr>
        <w:tc>
          <w:tcPr>
            <w:tcW w:w="5120" w:type="dxa"/>
            <w:tcBorders>
              <w:top w:val="nil"/>
              <w:bottom w:val="nil"/>
            </w:tcBorders>
          </w:tcPr>
          <w:p>
            <w:pPr>
              <w:pStyle w:val="TableParagraph"/>
              <w:spacing w:before="32"/>
              <w:ind w:left="57"/>
              <w:rPr>
                <w:sz w:val="13"/>
              </w:rPr>
            </w:pPr>
            <w:r>
              <w:rPr>
                <w:w w:val="105"/>
                <w:sz w:val="13"/>
              </w:rPr>
              <w:t>Activos financieros</w:t>
            </w:r>
          </w:p>
        </w:tc>
        <w:tc>
          <w:tcPr>
            <w:tcW w:w="1063" w:type="dxa"/>
            <w:tcBorders>
              <w:top w:val="nil"/>
              <w:bottom w:val="nil"/>
              <w:right w:val="nil"/>
            </w:tcBorders>
          </w:tcPr>
          <w:p>
            <w:pPr>
              <w:pStyle w:val="TableParagraph"/>
              <w:spacing w:before="32"/>
              <w:ind w:right="163"/>
              <w:jc w:val="right"/>
              <w:rPr>
                <w:sz w:val="13"/>
              </w:rPr>
            </w:pPr>
            <w:r>
              <w:rPr>
                <w:w w:val="105"/>
                <w:sz w:val="13"/>
              </w:rPr>
              <w:t>-1.499,11</w:t>
            </w:r>
          </w:p>
        </w:tc>
        <w:tc>
          <w:tcPr>
            <w:tcW w:w="842" w:type="dxa"/>
            <w:tcBorders>
              <w:top w:val="nil"/>
              <w:left w:val="nil"/>
              <w:bottom w:val="nil"/>
            </w:tcBorders>
          </w:tcPr>
          <w:p>
            <w:pPr>
              <w:pStyle w:val="TableParagraph"/>
              <w:spacing w:before="32"/>
              <w:ind w:right="46"/>
              <w:jc w:val="right"/>
              <w:rPr>
                <w:sz w:val="13"/>
              </w:rPr>
            </w:pPr>
            <w:r>
              <w:rPr>
                <w:w w:val="105"/>
                <w:sz w:val="13"/>
              </w:rPr>
              <w:t>- 2.216,53</w:t>
            </w:r>
          </w:p>
        </w:tc>
      </w:tr>
      <w:tr>
        <w:trPr>
          <w:trHeight w:val="223" w:hRule="atLeast"/>
        </w:trPr>
        <w:tc>
          <w:tcPr>
            <w:tcW w:w="5120" w:type="dxa"/>
            <w:tcBorders>
              <w:top w:val="nil"/>
              <w:bottom w:val="nil"/>
            </w:tcBorders>
          </w:tcPr>
          <w:p>
            <w:pPr>
              <w:pStyle w:val="TableParagraph"/>
              <w:spacing w:before="32"/>
              <w:ind w:left="57"/>
              <w:rPr>
                <w:sz w:val="13"/>
              </w:rPr>
            </w:pPr>
            <w:r>
              <w:rPr>
                <w:w w:val="105"/>
                <w:sz w:val="13"/>
              </w:rPr>
              <w:t>Pasivos financieros</w:t>
            </w:r>
          </w:p>
        </w:tc>
        <w:tc>
          <w:tcPr>
            <w:tcW w:w="1063" w:type="dxa"/>
            <w:tcBorders>
              <w:top w:val="nil"/>
              <w:bottom w:val="nil"/>
              <w:right w:val="nil"/>
            </w:tcBorders>
          </w:tcPr>
          <w:p>
            <w:pPr>
              <w:pStyle w:val="TableParagraph"/>
              <w:spacing w:before="32"/>
              <w:ind w:right="163"/>
              <w:jc w:val="right"/>
              <w:rPr>
                <w:sz w:val="13"/>
              </w:rPr>
            </w:pPr>
            <w:r>
              <w:rPr>
                <w:w w:val="105"/>
                <w:sz w:val="13"/>
              </w:rPr>
              <w:t>-1.253,75</w:t>
            </w:r>
          </w:p>
        </w:tc>
        <w:tc>
          <w:tcPr>
            <w:tcW w:w="842" w:type="dxa"/>
            <w:tcBorders>
              <w:top w:val="nil"/>
              <w:left w:val="nil"/>
              <w:bottom w:val="nil"/>
            </w:tcBorders>
          </w:tcPr>
          <w:p>
            <w:pPr>
              <w:pStyle w:val="TableParagraph"/>
              <w:spacing w:before="32"/>
              <w:ind w:right="46"/>
              <w:jc w:val="right"/>
              <w:rPr>
                <w:sz w:val="13"/>
              </w:rPr>
            </w:pPr>
            <w:r>
              <w:rPr>
                <w:sz w:val="13"/>
              </w:rPr>
              <w:t>0,00</w:t>
            </w:r>
          </w:p>
        </w:tc>
      </w:tr>
      <w:tr>
        <w:trPr>
          <w:trHeight w:val="172" w:hRule="atLeast"/>
        </w:trPr>
        <w:tc>
          <w:tcPr>
            <w:tcW w:w="5120" w:type="dxa"/>
            <w:tcBorders>
              <w:top w:val="nil"/>
            </w:tcBorders>
          </w:tcPr>
          <w:p>
            <w:pPr>
              <w:pStyle w:val="TableParagraph"/>
              <w:spacing w:line="141" w:lineRule="exact" w:before="11"/>
              <w:ind w:left="57"/>
              <w:rPr>
                <w:b/>
                <w:sz w:val="13"/>
              </w:rPr>
            </w:pPr>
            <w:r>
              <w:rPr>
                <w:b/>
                <w:w w:val="105"/>
                <w:sz w:val="13"/>
              </w:rPr>
              <w:t>Resultado Presupuestario del ejercicio</w:t>
            </w:r>
          </w:p>
        </w:tc>
        <w:tc>
          <w:tcPr>
            <w:tcW w:w="1063" w:type="dxa"/>
            <w:tcBorders>
              <w:top w:val="nil"/>
              <w:right w:val="nil"/>
            </w:tcBorders>
          </w:tcPr>
          <w:p>
            <w:pPr>
              <w:pStyle w:val="TableParagraph"/>
              <w:spacing w:line="141" w:lineRule="exact" w:before="11"/>
              <w:ind w:right="162"/>
              <w:jc w:val="right"/>
              <w:rPr>
                <w:b/>
                <w:sz w:val="13"/>
              </w:rPr>
            </w:pPr>
            <w:r>
              <w:rPr>
                <w:b/>
                <w:w w:val="105"/>
                <w:sz w:val="13"/>
              </w:rPr>
              <w:t>-34.590,56</w:t>
            </w:r>
          </w:p>
        </w:tc>
        <w:tc>
          <w:tcPr>
            <w:tcW w:w="842" w:type="dxa"/>
            <w:tcBorders>
              <w:top w:val="nil"/>
              <w:left w:val="nil"/>
            </w:tcBorders>
          </w:tcPr>
          <w:p>
            <w:pPr>
              <w:pStyle w:val="TableParagraph"/>
              <w:spacing w:line="141" w:lineRule="exact" w:before="11"/>
              <w:ind w:right="46"/>
              <w:jc w:val="right"/>
              <w:rPr>
                <w:b/>
                <w:sz w:val="13"/>
              </w:rPr>
            </w:pPr>
            <w:r>
              <w:rPr>
                <w:b/>
                <w:w w:val="105"/>
                <w:sz w:val="13"/>
              </w:rPr>
              <w:t>64.090,11</w:t>
            </w:r>
          </w:p>
        </w:tc>
      </w:tr>
      <w:tr>
        <w:trPr>
          <w:trHeight w:val="266" w:hRule="atLeast"/>
        </w:trPr>
        <w:tc>
          <w:tcPr>
            <w:tcW w:w="5120" w:type="dxa"/>
            <w:tcBorders>
              <w:bottom w:val="nil"/>
            </w:tcBorders>
          </w:tcPr>
          <w:p>
            <w:pPr>
              <w:pStyle w:val="TableParagraph"/>
              <w:spacing w:before="50"/>
              <w:ind w:left="57"/>
              <w:rPr>
                <w:sz w:val="13"/>
              </w:rPr>
            </w:pPr>
            <w:r>
              <w:rPr>
                <w:w w:val="105"/>
                <w:sz w:val="13"/>
              </w:rPr>
              <w:t>(+) Créditos gastados financiados con remanente de tesorería NO afectado</w:t>
            </w:r>
          </w:p>
        </w:tc>
        <w:tc>
          <w:tcPr>
            <w:tcW w:w="1063" w:type="dxa"/>
            <w:tcBorders>
              <w:bottom w:val="nil"/>
              <w:right w:val="nil"/>
            </w:tcBorders>
          </w:tcPr>
          <w:p>
            <w:pPr>
              <w:pStyle w:val="TableParagraph"/>
              <w:spacing w:before="50"/>
              <w:ind w:right="163"/>
              <w:jc w:val="right"/>
              <w:rPr>
                <w:sz w:val="13"/>
              </w:rPr>
            </w:pPr>
            <w:r>
              <w:rPr>
                <w:w w:val="105"/>
                <w:sz w:val="13"/>
              </w:rPr>
              <w:t>48.830,92</w:t>
            </w:r>
          </w:p>
        </w:tc>
        <w:tc>
          <w:tcPr>
            <w:tcW w:w="842" w:type="dxa"/>
            <w:tcBorders>
              <w:left w:val="nil"/>
              <w:bottom w:val="nil"/>
            </w:tcBorders>
          </w:tcPr>
          <w:p>
            <w:pPr>
              <w:pStyle w:val="TableParagraph"/>
              <w:spacing w:before="50"/>
              <w:ind w:right="46"/>
              <w:jc w:val="right"/>
              <w:rPr>
                <w:sz w:val="13"/>
              </w:rPr>
            </w:pPr>
            <w:r>
              <w:rPr>
                <w:w w:val="105"/>
                <w:sz w:val="13"/>
              </w:rPr>
              <w:t>14.754,73</w:t>
            </w:r>
          </w:p>
        </w:tc>
      </w:tr>
      <w:tr>
        <w:trPr>
          <w:trHeight w:val="251" w:hRule="atLeast"/>
        </w:trPr>
        <w:tc>
          <w:tcPr>
            <w:tcW w:w="5120" w:type="dxa"/>
            <w:tcBorders>
              <w:top w:val="nil"/>
              <w:bottom w:val="nil"/>
            </w:tcBorders>
          </w:tcPr>
          <w:p>
            <w:pPr>
              <w:pStyle w:val="TableParagraph"/>
              <w:spacing w:before="36"/>
              <w:ind w:left="57"/>
              <w:rPr>
                <w:sz w:val="13"/>
              </w:rPr>
            </w:pPr>
            <w:r>
              <w:rPr>
                <w:w w:val="105"/>
                <w:sz w:val="13"/>
              </w:rPr>
              <w:t>(-) Desviaciones de financiación positivas del ejercicio</w:t>
            </w:r>
          </w:p>
        </w:tc>
        <w:tc>
          <w:tcPr>
            <w:tcW w:w="1063" w:type="dxa"/>
            <w:tcBorders>
              <w:top w:val="nil"/>
              <w:bottom w:val="nil"/>
              <w:right w:val="nil"/>
            </w:tcBorders>
          </w:tcPr>
          <w:p>
            <w:pPr>
              <w:pStyle w:val="TableParagraph"/>
              <w:spacing w:before="36"/>
              <w:ind w:right="163"/>
              <w:jc w:val="right"/>
              <w:rPr>
                <w:sz w:val="13"/>
              </w:rPr>
            </w:pPr>
            <w:r>
              <w:rPr>
                <w:w w:val="105"/>
                <w:sz w:val="13"/>
              </w:rPr>
              <w:t>35.294,24</w:t>
            </w:r>
          </w:p>
        </w:tc>
        <w:tc>
          <w:tcPr>
            <w:tcW w:w="842" w:type="dxa"/>
            <w:tcBorders>
              <w:top w:val="nil"/>
              <w:left w:val="nil"/>
              <w:bottom w:val="nil"/>
            </w:tcBorders>
          </w:tcPr>
          <w:p>
            <w:pPr>
              <w:pStyle w:val="TableParagraph"/>
              <w:spacing w:before="36"/>
              <w:ind w:right="46"/>
              <w:jc w:val="right"/>
              <w:rPr>
                <w:sz w:val="13"/>
              </w:rPr>
            </w:pPr>
            <w:r>
              <w:rPr>
                <w:w w:val="105"/>
                <w:sz w:val="13"/>
              </w:rPr>
              <w:t>38.192,00</w:t>
            </w:r>
          </w:p>
        </w:tc>
      </w:tr>
      <w:tr>
        <w:trPr>
          <w:trHeight w:val="243" w:hRule="atLeast"/>
        </w:trPr>
        <w:tc>
          <w:tcPr>
            <w:tcW w:w="5120" w:type="dxa"/>
            <w:tcBorders>
              <w:top w:val="nil"/>
            </w:tcBorders>
          </w:tcPr>
          <w:p>
            <w:pPr>
              <w:pStyle w:val="TableParagraph"/>
              <w:spacing w:before="36"/>
              <w:ind w:left="57"/>
              <w:rPr>
                <w:sz w:val="13"/>
              </w:rPr>
            </w:pPr>
            <w:r>
              <w:rPr>
                <w:w w:val="105"/>
                <w:sz w:val="13"/>
              </w:rPr>
              <w:t>(+) Desviaciones de financiación negativas del ejercicio</w:t>
            </w:r>
          </w:p>
        </w:tc>
        <w:tc>
          <w:tcPr>
            <w:tcW w:w="1063" w:type="dxa"/>
            <w:tcBorders>
              <w:top w:val="nil"/>
              <w:right w:val="nil"/>
            </w:tcBorders>
          </w:tcPr>
          <w:p>
            <w:pPr>
              <w:pStyle w:val="TableParagraph"/>
              <w:spacing w:before="36"/>
              <w:ind w:right="163"/>
              <w:jc w:val="right"/>
              <w:rPr>
                <w:sz w:val="13"/>
              </w:rPr>
            </w:pPr>
            <w:r>
              <w:rPr>
                <w:w w:val="105"/>
                <w:sz w:val="13"/>
              </w:rPr>
              <w:t>5.932,65</w:t>
            </w:r>
          </w:p>
        </w:tc>
        <w:tc>
          <w:tcPr>
            <w:tcW w:w="842" w:type="dxa"/>
            <w:tcBorders>
              <w:top w:val="nil"/>
              <w:left w:val="nil"/>
            </w:tcBorders>
          </w:tcPr>
          <w:p>
            <w:pPr>
              <w:pStyle w:val="TableParagraph"/>
              <w:spacing w:before="36"/>
              <w:ind w:right="46"/>
              <w:jc w:val="right"/>
              <w:rPr>
                <w:sz w:val="13"/>
              </w:rPr>
            </w:pPr>
            <w:r>
              <w:rPr>
                <w:sz w:val="13"/>
              </w:rPr>
              <w:t>625,28</w:t>
            </w:r>
          </w:p>
        </w:tc>
      </w:tr>
      <w:tr>
        <w:trPr>
          <w:trHeight w:val="217" w:hRule="atLeast"/>
        </w:trPr>
        <w:tc>
          <w:tcPr>
            <w:tcW w:w="5120" w:type="dxa"/>
          </w:tcPr>
          <w:p>
            <w:pPr>
              <w:pStyle w:val="TableParagraph"/>
              <w:spacing w:before="30"/>
              <w:ind w:left="57"/>
              <w:rPr>
                <w:b/>
                <w:sz w:val="13"/>
              </w:rPr>
            </w:pPr>
            <w:r>
              <w:rPr>
                <w:b/>
                <w:w w:val="105"/>
                <w:sz w:val="13"/>
              </w:rPr>
              <w:t>Resultado Presupuestario Ajustado</w:t>
            </w:r>
          </w:p>
        </w:tc>
        <w:tc>
          <w:tcPr>
            <w:tcW w:w="1063" w:type="dxa"/>
            <w:tcBorders>
              <w:right w:val="nil"/>
            </w:tcBorders>
          </w:tcPr>
          <w:p>
            <w:pPr>
              <w:pStyle w:val="TableParagraph"/>
              <w:spacing w:before="30"/>
              <w:ind w:right="162"/>
              <w:jc w:val="right"/>
              <w:rPr>
                <w:b/>
                <w:sz w:val="13"/>
              </w:rPr>
            </w:pPr>
            <w:r>
              <w:rPr>
                <w:b/>
                <w:w w:val="105"/>
                <w:sz w:val="13"/>
              </w:rPr>
              <w:t>-15.121,23</w:t>
            </w:r>
          </w:p>
        </w:tc>
        <w:tc>
          <w:tcPr>
            <w:tcW w:w="842" w:type="dxa"/>
            <w:tcBorders>
              <w:left w:val="nil"/>
            </w:tcBorders>
          </w:tcPr>
          <w:p>
            <w:pPr>
              <w:pStyle w:val="TableParagraph"/>
              <w:spacing w:before="30"/>
              <w:ind w:right="46"/>
              <w:jc w:val="right"/>
              <w:rPr>
                <w:b/>
                <w:sz w:val="13"/>
              </w:rPr>
            </w:pPr>
            <w:r>
              <w:rPr>
                <w:b/>
                <w:w w:val="105"/>
                <w:sz w:val="13"/>
              </w:rPr>
              <w:t>41.278,12</w:t>
            </w:r>
          </w:p>
        </w:tc>
      </w:tr>
    </w:tbl>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spacing w:before="7"/>
        <w:rPr>
          <w:sz w:val="2"/>
        </w:rPr>
      </w:pPr>
    </w:p>
    <w:p>
      <w:pPr>
        <w:pStyle w:val="BodyText"/>
        <w:spacing w:line="242" w:lineRule="auto"/>
        <w:ind w:left="2334" w:right="1140"/>
        <w:jc w:val="both"/>
      </w:pPr>
      <w:r>
        <w:rPr/>
        <w:t>El</w:t>
      </w:r>
      <w:r>
        <w:rPr>
          <w:spacing w:val="-4"/>
        </w:rPr>
        <w:t> </w:t>
      </w:r>
      <w:r>
        <w:rPr/>
        <w:t>SCS</w:t>
      </w:r>
      <w:r>
        <w:rPr>
          <w:spacing w:val="-4"/>
        </w:rPr>
        <w:t> </w:t>
      </w:r>
      <w:r>
        <w:rPr/>
        <w:t>presenta</w:t>
      </w:r>
      <w:r>
        <w:rPr>
          <w:spacing w:val="-3"/>
        </w:rPr>
        <w:t> </w:t>
      </w:r>
      <w:r>
        <w:rPr/>
        <w:t>un</w:t>
      </w:r>
      <w:r>
        <w:rPr>
          <w:spacing w:val="-4"/>
        </w:rPr>
        <w:t> </w:t>
      </w:r>
      <w:r>
        <w:rPr/>
        <w:t>resultado presupuestario</w:t>
      </w:r>
      <w:r>
        <w:rPr>
          <w:spacing w:val="-2"/>
        </w:rPr>
        <w:t> </w:t>
      </w:r>
      <w:r>
        <w:rPr/>
        <w:t>ajustado</w:t>
      </w:r>
      <w:r>
        <w:rPr>
          <w:spacing w:val="-3"/>
        </w:rPr>
        <w:t> </w:t>
      </w:r>
      <w:r>
        <w:rPr/>
        <w:t>negativo</w:t>
      </w:r>
      <w:r>
        <w:rPr>
          <w:spacing w:val="-4"/>
        </w:rPr>
        <w:t> </w:t>
      </w:r>
      <w:r>
        <w:rPr/>
        <w:t>de</w:t>
      </w:r>
      <w:r>
        <w:rPr>
          <w:spacing w:val="-3"/>
        </w:rPr>
        <w:t> </w:t>
      </w:r>
      <w:r>
        <w:rPr/>
        <w:t>15,1</w:t>
      </w:r>
      <w:r>
        <w:rPr>
          <w:spacing w:val="-3"/>
        </w:rPr>
        <w:t> </w:t>
      </w:r>
      <w:r>
        <w:rPr/>
        <w:t>millones</w:t>
      </w:r>
      <w:r>
        <w:rPr>
          <w:spacing w:val="-4"/>
        </w:rPr>
        <w:t> </w:t>
      </w:r>
      <w:r>
        <w:rPr/>
        <w:t>de</w:t>
      </w:r>
      <w:r>
        <w:rPr>
          <w:spacing w:val="-5"/>
        </w:rPr>
        <w:t> </w:t>
      </w:r>
      <w:r>
        <w:rPr/>
        <w:t>€, originado, principalmente, en operaciones corrientes. Ese ajuste incluye el crédito suplementado para atender los gastos farmacéuticos en atención especializada. Un resultado negativo muestra un déficit de financiación, que indica que los recursos obtenidos en el periodo han sido insuficientes para hacer frente a los gastos del ejercicio. Con este saldo negativo se rompe la senda positiva de los últimos años (en 2021, el resultado ajustado ascendía a 41,3 millones de</w:t>
      </w:r>
      <w:r>
        <w:rPr>
          <w:spacing w:val="7"/>
        </w:rPr>
        <w:t> </w:t>
      </w:r>
      <w:r>
        <w:rPr/>
        <w:t>€).</w:t>
      </w:r>
    </w:p>
    <w:p>
      <w:pPr>
        <w:pStyle w:val="BodyText"/>
        <w:spacing w:before="15"/>
        <w:ind w:left="7897"/>
        <w:jc w:val="center"/>
      </w:pPr>
      <w:r>
        <w:rPr/>
        <w:t>99</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09" name="image5.png"/>
                  <wp:cNvGraphicFramePr>
                    <a:graphicFrameLocks noChangeAspect="1"/>
                  </wp:cNvGraphicFramePr>
                  <a:graphic>
                    <a:graphicData uri="http://schemas.openxmlformats.org/drawingml/2006/picture">
                      <pic:pic>
                        <pic:nvPicPr>
                          <pic:cNvPr id="21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03"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101/247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0"/>
          <w:numId w:val="46"/>
        </w:numPr>
        <w:tabs>
          <w:tab w:pos="2335" w:val="left" w:leader="none"/>
        </w:tabs>
        <w:spacing w:line="240" w:lineRule="auto" w:before="61" w:after="0"/>
        <w:ind w:left="2334" w:right="0" w:hanging="239"/>
        <w:jc w:val="left"/>
        <w:rPr>
          <w:b/>
          <w:sz w:val="20"/>
        </w:rPr>
      </w:pPr>
      <w:r>
        <w:rPr>
          <w:b/>
          <w:sz w:val="20"/>
        </w:rPr>
        <w:t>Remanente de</w:t>
      </w:r>
      <w:r>
        <w:rPr>
          <w:b/>
          <w:spacing w:val="1"/>
          <w:sz w:val="20"/>
        </w:rPr>
        <w:t> </w:t>
      </w:r>
      <w:r>
        <w:rPr>
          <w:b/>
          <w:sz w:val="20"/>
        </w:rPr>
        <w:t>tesorería.</w:t>
      </w:r>
    </w:p>
    <w:p>
      <w:pPr>
        <w:pStyle w:val="BodyText"/>
        <w:spacing w:before="7"/>
        <w:rPr>
          <w:b/>
          <w:sz w:val="16"/>
        </w:rPr>
      </w:pPr>
    </w:p>
    <w:tbl>
      <w:tblPr>
        <w:tblW w:w="0" w:type="auto"/>
        <w:jc w:val="left"/>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6"/>
        <w:gridCol w:w="1508"/>
        <w:gridCol w:w="988"/>
      </w:tblGrid>
      <w:tr>
        <w:trPr>
          <w:trHeight w:val="339" w:hRule="atLeast"/>
        </w:trPr>
        <w:tc>
          <w:tcPr>
            <w:tcW w:w="4406" w:type="dxa"/>
            <w:tcBorders>
              <w:top w:val="single" w:sz="4" w:space="0" w:color="000000"/>
              <w:left w:val="single" w:sz="4" w:space="0" w:color="000000"/>
              <w:right w:val="single" w:sz="4" w:space="0" w:color="000000"/>
            </w:tcBorders>
            <w:shd w:val="clear" w:color="auto" w:fill="DEEAF6"/>
          </w:tcPr>
          <w:p>
            <w:pPr>
              <w:pStyle w:val="TableParagraph"/>
              <w:spacing w:before="91"/>
              <w:ind w:left="1266"/>
              <w:rPr>
                <w:b/>
                <w:sz w:val="13"/>
              </w:rPr>
            </w:pPr>
            <w:r>
              <w:rPr>
                <w:b/>
                <w:w w:val="105"/>
                <w:sz w:val="13"/>
              </w:rPr>
              <w:t>Remanente de Tesorería (</w:t>
            </w:r>
            <w:r>
              <w:rPr>
                <w:w w:val="105"/>
                <w:sz w:val="13"/>
              </w:rPr>
              <w:t>miles €</w:t>
            </w:r>
            <w:r>
              <w:rPr>
                <w:b/>
                <w:w w:val="105"/>
                <w:sz w:val="13"/>
              </w:rPr>
              <w:t>)</w:t>
            </w:r>
          </w:p>
        </w:tc>
        <w:tc>
          <w:tcPr>
            <w:tcW w:w="1508" w:type="dxa"/>
            <w:tcBorders>
              <w:top w:val="single" w:sz="4" w:space="0" w:color="000000"/>
              <w:left w:val="single" w:sz="4" w:space="0" w:color="000000"/>
            </w:tcBorders>
            <w:shd w:val="clear" w:color="auto" w:fill="DEEAF6"/>
          </w:tcPr>
          <w:p>
            <w:pPr>
              <w:pStyle w:val="TableParagraph"/>
              <w:spacing w:before="91"/>
              <w:ind w:left="497" w:right="689"/>
              <w:jc w:val="center"/>
              <w:rPr>
                <w:b/>
                <w:sz w:val="13"/>
              </w:rPr>
            </w:pPr>
            <w:r>
              <w:rPr>
                <w:b/>
                <w:w w:val="105"/>
                <w:sz w:val="13"/>
              </w:rPr>
              <w:t>2022</w:t>
            </w:r>
          </w:p>
        </w:tc>
        <w:tc>
          <w:tcPr>
            <w:tcW w:w="988" w:type="dxa"/>
            <w:tcBorders>
              <w:top w:val="single" w:sz="4" w:space="0" w:color="000000"/>
              <w:right w:val="single" w:sz="4" w:space="0" w:color="000000"/>
            </w:tcBorders>
            <w:shd w:val="clear" w:color="auto" w:fill="DEEAF6"/>
          </w:tcPr>
          <w:p>
            <w:pPr>
              <w:pStyle w:val="TableParagraph"/>
              <w:spacing w:before="91"/>
              <w:ind w:left="259"/>
              <w:rPr>
                <w:b/>
                <w:sz w:val="13"/>
              </w:rPr>
            </w:pPr>
            <w:r>
              <w:rPr>
                <w:b/>
                <w:w w:val="105"/>
                <w:sz w:val="13"/>
              </w:rPr>
              <w:t>2021</w:t>
            </w:r>
          </w:p>
        </w:tc>
      </w:tr>
      <w:tr>
        <w:trPr>
          <w:trHeight w:val="224" w:hRule="atLeast"/>
        </w:trPr>
        <w:tc>
          <w:tcPr>
            <w:tcW w:w="4406" w:type="dxa"/>
            <w:tcBorders>
              <w:left w:val="single" w:sz="4" w:space="0" w:color="000000"/>
              <w:right w:val="single" w:sz="4" w:space="0" w:color="000000"/>
            </w:tcBorders>
          </w:tcPr>
          <w:p>
            <w:pPr>
              <w:pStyle w:val="TableParagraph"/>
              <w:spacing w:before="27"/>
              <w:ind w:left="57"/>
              <w:rPr>
                <w:b/>
                <w:sz w:val="13"/>
              </w:rPr>
            </w:pPr>
            <w:r>
              <w:rPr>
                <w:b/>
                <w:w w:val="105"/>
                <w:sz w:val="13"/>
              </w:rPr>
              <w:t>Derechos pendientes de cobro</w:t>
            </w:r>
          </w:p>
        </w:tc>
        <w:tc>
          <w:tcPr>
            <w:tcW w:w="1508" w:type="dxa"/>
            <w:tcBorders>
              <w:left w:val="single" w:sz="4" w:space="0" w:color="000000"/>
            </w:tcBorders>
          </w:tcPr>
          <w:p>
            <w:pPr>
              <w:pStyle w:val="TableParagraph"/>
              <w:spacing w:before="27"/>
              <w:ind w:right="250"/>
              <w:jc w:val="right"/>
              <w:rPr>
                <w:b/>
                <w:sz w:val="13"/>
              </w:rPr>
            </w:pPr>
            <w:r>
              <w:rPr>
                <w:b/>
                <w:w w:val="105"/>
                <w:sz w:val="13"/>
              </w:rPr>
              <w:t>118.822,30</w:t>
            </w:r>
          </w:p>
        </w:tc>
        <w:tc>
          <w:tcPr>
            <w:tcW w:w="988" w:type="dxa"/>
            <w:tcBorders>
              <w:right w:val="single" w:sz="4" w:space="0" w:color="000000"/>
            </w:tcBorders>
          </w:tcPr>
          <w:p>
            <w:pPr>
              <w:pStyle w:val="TableParagraph"/>
              <w:spacing w:before="27"/>
              <w:ind w:right="48"/>
              <w:jc w:val="right"/>
              <w:rPr>
                <w:b/>
                <w:sz w:val="13"/>
              </w:rPr>
            </w:pPr>
            <w:r>
              <w:rPr>
                <w:b/>
                <w:w w:val="105"/>
                <w:sz w:val="13"/>
              </w:rPr>
              <w:t>292.025,67</w:t>
            </w:r>
          </w:p>
        </w:tc>
      </w:tr>
      <w:tr>
        <w:trPr>
          <w:trHeight w:val="212" w:hRule="atLeast"/>
        </w:trPr>
        <w:tc>
          <w:tcPr>
            <w:tcW w:w="4406" w:type="dxa"/>
            <w:tcBorders>
              <w:left w:val="single" w:sz="4" w:space="0" w:color="000000"/>
              <w:right w:val="single" w:sz="4" w:space="0" w:color="000000"/>
            </w:tcBorders>
          </w:tcPr>
          <w:p>
            <w:pPr>
              <w:pStyle w:val="TableParagraph"/>
              <w:spacing w:before="16"/>
              <w:ind w:left="57"/>
              <w:rPr>
                <w:sz w:val="13"/>
              </w:rPr>
            </w:pPr>
            <w:r>
              <w:rPr>
                <w:w w:val="105"/>
                <w:sz w:val="13"/>
              </w:rPr>
              <w:t>(+) Operaciones presupuestarias de corriente</w:t>
            </w:r>
          </w:p>
        </w:tc>
        <w:tc>
          <w:tcPr>
            <w:tcW w:w="1508" w:type="dxa"/>
            <w:tcBorders>
              <w:left w:val="single" w:sz="4" w:space="0" w:color="000000"/>
            </w:tcBorders>
          </w:tcPr>
          <w:p>
            <w:pPr>
              <w:pStyle w:val="TableParagraph"/>
              <w:spacing w:before="16"/>
              <w:ind w:right="250"/>
              <w:jc w:val="right"/>
              <w:rPr>
                <w:sz w:val="13"/>
              </w:rPr>
            </w:pPr>
            <w:r>
              <w:rPr>
                <w:w w:val="105"/>
                <w:sz w:val="13"/>
              </w:rPr>
              <w:t>30.358,60</w:t>
            </w:r>
          </w:p>
        </w:tc>
        <w:tc>
          <w:tcPr>
            <w:tcW w:w="988" w:type="dxa"/>
            <w:tcBorders>
              <w:right w:val="single" w:sz="4" w:space="0" w:color="000000"/>
            </w:tcBorders>
          </w:tcPr>
          <w:p>
            <w:pPr>
              <w:pStyle w:val="TableParagraph"/>
              <w:spacing w:before="16"/>
              <w:ind w:right="48"/>
              <w:jc w:val="right"/>
              <w:rPr>
                <w:sz w:val="13"/>
              </w:rPr>
            </w:pPr>
            <w:r>
              <w:rPr>
                <w:w w:val="105"/>
                <w:sz w:val="13"/>
              </w:rPr>
              <w:t>188.347,59</w:t>
            </w:r>
          </w:p>
        </w:tc>
      </w:tr>
      <w:tr>
        <w:trPr>
          <w:trHeight w:val="212" w:hRule="atLeast"/>
        </w:trPr>
        <w:tc>
          <w:tcPr>
            <w:tcW w:w="4406" w:type="dxa"/>
            <w:tcBorders>
              <w:left w:val="single" w:sz="4" w:space="0" w:color="000000"/>
              <w:right w:val="single" w:sz="4" w:space="0" w:color="000000"/>
            </w:tcBorders>
          </w:tcPr>
          <w:p>
            <w:pPr>
              <w:pStyle w:val="TableParagraph"/>
              <w:spacing w:before="15"/>
              <w:ind w:left="57"/>
              <w:rPr>
                <w:sz w:val="13"/>
              </w:rPr>
            </w:pPr>
            <w:r>
              <w:rPr>
                <w:w w:val="105"/>
                <w:sz w:val="13"/>
              </w:rPr>
              <w:t>(+) Operaciones presupuestarias de cerrados</w:t>
            </w:r>
          </w:p>
        </w:tc>
        <w:tc>
          <w:tcPr>
            <w:tcW w:w="1508" w:type="dxa"/>
            <w:tcBorders>
              <w:left w:val="single" w:sz="4" w:space="0" w:color="000000"/>
            </w:tcBorders>
          </w:tcPr>
          <w:p>
            <w:pPr>
              <w:pStyle w:val="TableParagraph"/>
              <w:spacing w:before="15"/>
              <w:ind w:right="250"/>
              <w:jc w:val="right"/>
              <w:rPr>
                <w:sz w:val="13"/>
              </w:rPr>
            </w:pPr>
            <w:r>
              <w:rPr>
                <w:w w:val="105"/>
                <w:sz w:val="13"/>
              </w:rPr>
              <w:t>88.611,86</w:t>
            </w:r>
          </w:p>
        </w:tc>
        <w:tc>
          <w:tcPr>
            <w:tcW w:w="988" w:type="dxa"/>
            <w:tcBorders>
              <w:right w:val="single" w:sz="4" w:space="0" w:color="000000"/>
            </w:tcBorders>
          </w:tcPr>
          <w:p>
            <w:pPr>
              <w:pStyle w:val="TableParagraph"/>
              <w:spacing w:before="15"/>
              <w:ind w:right="48"/>
              <w:jc w:val="right"/>
              <w:rPr>
                <w:sz w:val="13"/>
              </w:rPr>
            </w:pPr>
            <w:r>
              <w:rPr>
                <w:w w:val="105"/>
                <w:sz w:val="13"/>
              </w:rPr>
              <w:t>103.826,11</w:t>
            </w:r>
          </w:p>
        </w:tc>
      </w:tr>
      <w:tr>
        <w:trPr>
          <w:trHeight w:val="200" w:hRule="atLeast"/>
        </w:trPr>
        <w:tc>
          <w:tcPr>
            <w:tcW w:w="4406" w:type="dxa"/>
            <w:tcBorders>
              <w:left w:val="single" w:sz="4" w:space="0" w:color="000000"/>
              <w:right w:val="single" w:sz="4" w:space="0" w:color="000000"/>
            </w:tcBorders>
          </w:tcPr>
          <w:p>
            <w:pPr>
              <w:pStyle w:val="TableParagraph"/>
              <w:spacing w:before="16"/>
              <w:ind w:left="57"/>
              <w:rPr>
                <w:sz w:val="13"/>
              </w:rPr>
            </w:pPr>
            <w:r>
              <w:rPr>
                <w:w w:val="105"/>
                <w:sz w:val="13"/>
              </w:rPr>
              <w:t>(+) Operaciones no presupuestarias</w:t>
            </w:r>
          </w:p>
        </w:tc>
        <w:tc>
          <w:tcPr>
            <w:tcW w:w="1508" w:type="dxa"/>
            <w:tcBorders>
              <w:left w:val="single" w:sz="4" w:space="0" w:color="000000"/>
            </w:tcBorders>
          </w:tcPr>
          <w:p>
            <w:pPr>
              <w:pStyle w:val="TableParagraph"/>
              <w:spacing w:before="16"/>
              <w:ind w:right="250"/>
              <w:jc w:val="right"/>
              <w:rPr>
                <w:sz w:val="13"/>
              </w:rPr>
            </w:pPr>
            <w:r>
              <w:rPr>
                <w:w w:val="105"/>
                <w:sz w:val="13"/>
              </w:rPr>
              <w:t>-148,16</w:t>
            </w:r>
          </w:p>
        </w:tc>
        <w:tc>
          <w:tcPr>
            <w:tcW w:w="988" w:type="dxa"/>
            <w:tcBorders>
              <w:right w:val="single" w:sz="4" w:space="0" w:color="000000"/>
            </w:tcBorders>
          </w:tcPr>
          <w:p>
            <w:pPr>
              <w:pStyle w:val="TableParagraph"/>
              <w:spacing w:before="16"/>
              <w:ind w:right="48"/>
              <w:jc w:val="right"/>
              <w:rPr>
                <w:sz w:val="13"/>
              </w:rPr>
            </w:pPr>
            <w:r>
              <w:rPr>
                <w:w w:val="105"/>
                <w:sz w:val="13"/>
              </w:rPr>
              <w:t>-148,03</w:t>
            </w:r>
          </w:p>
        </w:tc>
      </w:tr>
      <w:tr>
        <w:trPr>
          <w:trHeight w:val="187" w:hRule="atLeast"/>
        </w:trPr>
        <w:tc>
          <w:tcPr>
            <w:tcW w:w="4406" w:type="dxa"/>
            <w:tcBorders>
              <w:left w:val="single" w:sz="4" w:space="0" w:color="000000"/>
              <w:right w:val="single" w:sz="4" w:space="0" w:color="000000"/>
            </w:tcBorders>
          </w:tcPr>
          <w:p>
            <w:pPr>
              <w:pStyle w:val="TableParagraph"/>
              <w:spacing w:before="3"/>
              <w:ind w:left="57"/>
              <w:rPr>
                <w:sz w:val="13"/>
              </w:rPr>
            </w:pPr>
            <w:r>
              <w:rPr>
                <w:w w:val="105"/>
                <w:sz w:val="13"/>
              </w:rPr>
              <w:t>(+) Operaciones comerciales</w:t>
            </w:r>
          </w:p>
        </w:tc>
        <w:tc>
          <w:tcPr>
            <w:tcW w:w="1508" w:type="dxa"/>
            <w:tcBorders>
              <w:left w:val="single" w:sz="4" w:space="0" w:color="000000"/>
            </w:tcBorders>
          </w:tcPr>
          <w:p>
            <w:pPr>
              <w:pStyle w:val="TableParagraph"/>
              <w:spacing w:before="3"/>
              <w:ind w:right="252"/>
              <w:jc w:val="right"/>
              <w:rPr>
                <w:sz w:val="13"/>
              </w:rPr>
            </w:pPr>
            <w:r>
              <w:rPr>
                <w:w w:val="103"/>
                <w:sz w:val="13"/>
              </w:rPr>
              <w:t>0</w:t>
            </w:r>
          </w:p>
        </w:tc>
        <w:tc>
          <w:tcPr>
            <w:tcW w:w="988" w:type="dxa"/>
            <w:tcBorders>
              <w:right w:val="single" w:sz="4" w:space="0" w:color="000000"/>
            </w:tcBorders>
          </w:tcPr>
          <w:p>
            <w:pPr>
              <w:pStyle w:val="TableParagraph"/>
              <w:spacing w:before="3"/>
              <w:ind w:right="50"/>
              <w:jc w:val="right"/>
              <w:rPr>
                <w:sz w:val="13"/>
              </w:rPr>
            </w:pPr>
            <w:r>
              <w:rPr>
                <w:w w:val="103"/>
                <w:sz w:val="13"/>
              </w:rPr>
              <w:t>0</w:t>
            </w:r>
          </w:p>
        </w:tc>
      </w:tr>
      <w:tr>
        <w:trPr>
          <w:trHeight w:val="200" w:hRule="atLeast"/>
        </w:trPr>
        <w:tc>
          <w:tcPr>
            <w:tcW w:w="4406" w:type="dxa"/>
            <w:tcBorders>
              <w:left w:val="single" w:sz="4" w:space="0" w:color="000000"/>
              <w:right w:val="single" w:sz="4" w:space="0" w:color="000000"/>
            </w:tcBorders>
          </w:tcPr>
          <w:p>
            <w:pPr>
              <w:pStyle w:val="TableParagraph"/>
              <w:spacing w:before="3"/>
              <w:ind w:left="57"/>
              <w:rPr>
                <w:b/>
                <w:sz w:val="13"/>
              </w:rPr>
            </w:pPr>
            <w:r>
              <w:rPr>
                <w:b/>
                <w:w w:val="105"/>
                <w:sz w:val="13"/>
              </w:rPr>
              <w:t>Obligaciones pendientes de pago</w:t>
            </w:r>
          </w:p>
        </w:tc>
        <w:tc>
          <w:tcPr>
            <w:tcW w:w="1508" w:type="dxa"/>
            <w:tcBorders>
              <w:left w:val="single" w:sz="4" w:space="0" w:color="000000"/>
            </w:tcBorders>
          </w:tcPr>
          <w:p>
            <w:pPr>
              <w:pStyle w:val="TableParagraph"/>
              <w:spacing w:before="3"/>
              <w:ind w:right="250"/>
              <w:jc w:val="right"/>
              <w:rPr>
                <w:b/>
                <w:sz w:val="13"/>
              </w:rPr>
            </w:pPr>
            <w:r>
              <w:rPr>
                <w:b/>
                <w:w w:val="105"/>
                <w:sz w:val="13"/>
              </w:rPr>
              <w:t>192.487,79</w:t>
            </w:r>
          </w:p>
        </w:tc>
        <w:tc>
          <w:tcPr>
            <w:tcW w:w="988" w:type="dxa"/>
            <w:tcBorders>
              <w:right w:val="single" w:sz="4" w:space="0" w:color="000000"/>
            </w:tcBorders>
          </w:tcPr>
          <w:p>
            <w:pPr>
              <w:pStyle w:val="TableParagraph"/>
              <w:spacing w:before="3"/>
              <w:ind w:right="48"/>
              <w:jc w:val="right"/>
              <w:rPr>
                <w:b/>
                <w:sz w:val="13"/>
              </w:rPr>
            </w:pPr>
            <w:r>
              <w:rPr>
                <w:b/>
                <w:w w:val="105"/>
                <w:sz w:val="13"/>
              </w:rPr>
              <w:t>178.224,63</w:t>
            </w:r>
          </w:p>
        </w:tc>
      </w:tr>
      <w:tr>
        <w:trPr>
          <w:trHeight w:val="212" w:hRule="atLeast"/>
        </w:trPr>
        <w:tc>
          <w:tcPr>
            <w:tcW w:w="4406" w:type="dxa"/>
            <w:tcBorders>
              <w:left w:val="single" w:sz="4" w:space="0" w:color="000000"/>
              <w:right w:val="single" w:sz="4" w:space="0" w:color="000000"/>
            </w:tcBorders>
          </w:tcPr>
          <w:p>
            <w:pPr>
              <w:pStyle w:val="TableParagraph"/>
              <w:spacing w:before="16"/>
              <w:ind w:left="57"/>
              <w:rPr>
                <w:sz w:val="13"/>
              </w:rPr>
            </w:pPr>
            <w:r>
              <w:rPr>
                <w:w w:val="105"/>
                <w:sz w:val="13"/>
              </w:rPr>
              <w:t>(-) Operaciones presupuestarias de corriente</w:t>
            </w:r>
          </w:p>
        </w:tc>
        <w:tc>
          <w:tcPr>
            <w:tcW w:w="1508" w:type="dxa"/>
            <w:tcBorders>
              <w:left w:val="single" w:sz="4" w:space="0" w:color="000000"/>
            </w:tcBorders>
          </w:tcPr>
          <w:p>
            <w:pPr>
              <w:pStyle w:val="TableParagraph"/>
              <w:spacing w:before="16"/>
              <w:ind w:right="250"/>
              <w:jc w:val="right"/>
              <w:rPr>
                <w:sz w:val="13"/>
              </w:rPr>
            </w:pPr>
            <w:r>
              <w:rPr>
                <w:w w:val="105"/>
                <w:sz w:val="13"/>
              </w:rPr>
              <w:t>132.585,07</w:t>
            </w:r>
          </w:p>
        </w:tc>
        <w:tc>
          <w:tcPr>
            <w:tcW w:w="988" w:type="dxa"/>
            <w:tcBorders>
              <w:right w:val="single" w:sz="4" w:space="0" w:color="000000"/>
            </w:tcBorders>
          </w:tcPr>
          <w:p>
            <w:pPr>
              <w:pStyle w:val="TableParagraph"/>
              <w:spacing w:before="16"/>
              <w:ind w:right="48"/>
              <w:jc w:val="right"/>
              <w:rPr>
                <w:sz w:val="13"/>
              </w:rPr>
            </w:pPr>
            <w:r>
              <w:rPr>
                <w:w w:val="105"/>
                <w:sz w:val="13"/>
              </w:rPr>
              <w:t>117.988,99</w:t>
            </w:r>
          </w:p>
        </w:tc>
      </w:tr>
      <w:tr>
        <w:trPr>
          <w:trHeight w:val="212" w:hRule="atLeast"/>
        </w:trPr>
        <w:tc>
          <w:tcPr>
            <w:tcW w:w="4406" w:type="dxa"/>
            <w:tcBorders>
              <w:left w:val="single" w:sz="4" w:space="0" w:color="000000"/>
              <w:right w:val="single" w:sz="4" w:space="0" w:color="000000"/>
            </w:tcBorders>
          </w:tcPr>
          <w:p>
            <w:pPr>
              <w:pStyle w:val="TableParagraph"/>
              <w:spacing w:before="15"/>
              <w:ind w:left="57"/>
              <w:rPr>
                <w:sz w:val="13"/>
              </w:rPr>
            </w:pPr>
            <w:r>
              <w:rPr>
                <w:w w:val="105"/>
                <w:sz w:val="13"/>
              </w:rPr>
              <w:t>(-) Operaciones presupuestarias de cerrados</w:t>
            </w:r>
          </w:p>
        </w:tc>
        <w:tc>
          <w:tcPr>
            <w:tcW w:w="1508" w:type="dxa"/>
            <w:tcBorders>
              <w:left w:val="single" w:sz="4" w:space="0" w:color="000000"/>
            </w:tcBorders>
          </w:tcPr>
          <w:p>
            <w:pPr>
              <w:pStyle w:val="TableParagraph"/>
              <w:spacing w:before="15"/>
              <w:ind w:right="250"/>
              <w:jc w:val="right"/>
              <w:rPr>
                <w:sz w:val="13"/>
              </w:rPr>
            </w:pPr>
            <w:r>
              <w:rPr>
                <w:sz w:val="13"/>
              </w:rPr>
              <w:t>15,17</w:t>
            </w:r>
          </w:p>
        </w:tc>
        <w:tc>
          <w:tcPr>
            <w:tcW w:w="988" w:type="dxa"/>
            <w:tcBorders>
              <w:right w:val="single" w:sz="4" w:space="0" w:color="000000"/>
            </w:tcBorders>
          </w:tcPr>
          <w:p>
            <w:pPr>
              <w:pStyle w:val="TableParagraph"/>
              <w:spacing w:before="15"/>
              <w:ind w:right="48"/>
              <w:jc w:val="right"/>
              <w:rPr>
                <w:sz w:val="13"/>
              </w:rPr>
            </w:pPr>
            <w:r>
              <w:rPr>
                <w:sz w:val="13"/>
              </w:rPr>
              <w:t>21,03</w:t>
            </w:r>
          </w:p>
        </w:tc>
      </w:tr>
      <w:tr>
        <w:trPr>
          <w:trHeight w:val="212" w:hRule="atLeast"/>
        </w:trPr>
        <w:tc>
          <w:tcPr>
            <w:tcW w:w="4406" w:type="dxa"/>
            <w:tcBorders>
              <w:left w:val="single" w:sz="4" w:space="0" w:color="000000"/>
              <w:right w:val="single" w:sz="4" w:space="0" w:color="000000"/>
            </w:tcBorders>
          </w:tcPr>
          <w:p>
            <w:pPr>
              <w:pStyle w:val="TableParagraph"/>
              <w:spacing w:before="17"/>
              <w:ind w:left="57"/>
              <w:rPr>
                <w:sz w:val="13"/>
              </w:rPr>
            </w:pPr>
            <w:r>
              <w:rPr>
                <w:w w:val="105"/>
                <w:sz w:val="13"/>
              </w:rPr>
              <w:t>(-) Operaciones no presupuestarias</w:t>
            </w:r>
          </w:p>
        </w:tc>
        <w:tc>
          <w:tcPr>
            <w:tcW w:w="1508" w:type="dxa"/>
            <w:tcBorders>
              <w:left w:val="single" w:sz="4" w:space="0" w:color="000000"/>
            </w:tcBorders>
          </w:tcPr>
          <w:p>
            <w:pPr>
              <w:pStyle w:val="TableParagraph"/>
              <w:spacing w:before="17"/>
              <w:ind w:right="250"/>
              <w:jc w:val="right"/>
              <w:rPr>
                <w:sz w:val="13"/>
              </w:rPr>
            </w:pPr>
            <w:r>
              <w:rPr>
                <w:w w:val="105"/>
                <w:sz w:val="13"/>
              </w:rPr>
              <w:t>59.887,55</w:t>
            </w:r>
          </w:p>
        </w:tc>
        <w:tc>
          <w:tcPr>
            <w:tcW w:w="988" w:type="dxa"/>
            <w:tcBorders>
              <w:right w:val="single" w:sz="4" w:space="0" w:color="000000"/>
            </w:tcBorders>
          </w:tcPr>
          <w:p>
            <w:pPr>
              <w:pStyle w:val="TableParagraph"/>
              <w:spacing w:before="17"/>
              <w:ind w:right="48"/>
              <w:jc w:val="right"/>
              <w:rPr>
                <w:sz w:val="13"/>
              </w:rPr>
            </w:pPr>
            <w:r>
              <w:rPr>
                <w:w w:val="105"/>
                <w:sz w:val="13"/>
              </w:rPr>
              <w:t>60.214,61</w:t>
            </w:r>
          </w:p>
        </w:tc>
      </w:tr>
      <w:tr>
        <w:trPr>
          <w:trHeight w:val="212" w:hRule="atLeast"/>
        </w:trPr>
        <w:tc>
          <w:tcPr>
            <w:tcW w:w="4406" w:type="dxa"/>
            <w:tcBorders>
              <w:left w:val="single" w:sz="4" w:space="0" w:color="000000"/>
              <w:right w:val="single" w:sz="4" w:space="0" w:color="000000"/>
            </w:tcBorders>
          </w:tcPr>
          <w:p>
            <w:pPr>
              <w:pStyle w:val="TableParagraph"/>
              <w:spacing w:before="15"/>
              <w:ind w:left="57"/>
              <w:rPr>
                <w:sz w:val="13"/>
              </w:rPr>
            </w:pPr>
            <w:r>
              <w:rPr>
                <w:w w:val="105"/>
                <w:sz w:val="13"/>
              </w:rPr>
              <w:t>(-) Operaciones comerciales</w:t>
            </w:r>
          </w:p>
        </w:tc>
        <w:tc>
          <w:tcPr>
            <w:tcW w:w="1508" w:type="dxa"/>
            <w:tcBorders>
              <w:left w:val="single" w:sz="4" w:space="0" w:color="000000"/>
            </w:tcBorders>
          </w:tcPr>
          <w:p>
            <w:pPr>
              <w:pStyle w:val="TableParagraph"/>
              <w:spacing w:before="15"/>
              <w:ind w:right="252"/>
              <w:jc w:val="right"/>
              <w:rPr>
                <w:sz w:val="13"/>
              </w:rPr>
            </w:pPr>
            <w:r>
              <w:rPr>
                <w:w w:val="103"/>
                <w:sz w:val="13"/>
              </w:rPr>
              <w:t>0</w:t>
            </w:r>
          </w:p>
        </w:tc>
        <w:tc>
          <w:tcPr>
            <w:tcW w:w="988" w:type="dxa"/>
            <w:tcBorders>
              <w:right w:val="single" w:sz="4" w:space="0" w:color="000000"/>
            </w:tcBorders>
          </w:tcPr>
          <w:p>
            <w:pPr>
              <w:pStyle w:val="TableParagraph"/>
              <w:spacing w:before="15"/>
              <w:ind w:right="50"/>
              <w:jc w:val="right"/>
              <w:rPr>
                <w:sz w:val="13"/>
              </w:rPr>
            </w:pPr>
            <w:r>
              <w:rPr>
                <w:w w:val="103"/>
                <w:sz w:val="13"/>
              </w:rPr>
              <w:t>0</w:t>
            </w:r>
          </w:p>
        </w:tc>
      </w:tr>
      <w:tr>
        <w:trPr>
          <w:trHeight w:val="212" w:hRule="atLeast"/>
        </w:trPr>
        <w:tc>
          <w:tcPr>
            <w:tcW w:w="4406" w:type="dxa"/>
            <w:tcBorders>
              <w:left w:val="single" w:sz="4" w:space="0" w:color="000000"/>
              <w:right w:val="single" w:sz="4" w:space="0" w:color="000000"/>
            </w:tcBorders>
          </w:tcPr>
          <w:p>
            <w:pPr>
              <w:pStyle w:val="TableParagraph"/>
              <w:spacing w:before="16"/>
              <w:ind w:left="57"/>
              <w:rPr>
                <w:b/>
                <w:sz w:val="13"/>
              </w:rPr>
            </w:pPr>
            <w:r>
              <w:rPr>
                <w:b/>
                <w:w w:val="105"/>
                <w:sz w:val="13"/>
              </w:rPr>
              <w:t>Partidas pendientes de aplicación</w:t>
            </w:r>
          </w:p>
        </w:tc>
        <w:tc>
          <w:tcPr>
            <w:tcW w:w="1508" w:type="dxa"/>
            <w:tcBorders>
              <w:left w:val="single" w:sz="4" w:space="0" w:color="000000"/>
            </w:tcBorders>
          </w:tcPr>
          <w:p>
            <w:pPr>
              <w:pStyle w:val="TableParagraph"/>
              <w:spacing w:before="16"/>
              <w:ind w:right="250"/>
              <w:jc w:val="right"/>
              <w:rPr>
                <w:b/>
                <w:sz w:val="13"/>
              </w:rPr>
            </w:pPr>
            <w:r>
              <w:rPr>
                <w:b/>
                <w:sz w:val="13"/>
              </w:rPr>
              <w:t>-757,46</w:t>
            </w:r>
          </w:p>
        </w:tc>
        <w:tc>
          <w:tcPr>
            <w:tcW w:w="988" w:type="dxa"/>
            <w:tcBorders>
              <w:right w:val="single" w:sz="4" w:space="0" w:color="000000"/>
            </w:tcBorders>
          </w:tcPr>
          <w:p>
            <w:pPr>
              <w:pStyle w:val="TableParagraph"/>
              <w:spacing w:before="16"/>
              <w:ind w:right="48"/>
              <w:jc w:val="right"/>
              <w:rPr>
                <w:b/>
                <w:sz w:val="13"/>
              </w:rPr>
            </w:pPr>
            <w:r>
              <w:rPr>
                <w:b/>
                <w:w w:val="105"/>
                <w:sz w:val="13"/>
              </w:rPr>
              <w:t>-1.248,19</w:t>
            </w:r>
          </w:p>
        </w:tc>
      </w:tr>
      <w:tr>
        <w:trPr>
          <w:trHeight w:val="211" w:hRule="atLeast"/>
        </w:trPr>
        <w:tc>
          <w:tcPr>
            <w:tcW w:w="4406" w:type="dxa"/>
            <w:tcBorders>
              <w:left w:val="single" w:sz="4" w:space="0" w:color="000000"/>
              <w:right w:val="single" w:sz="4" w:space="0" w:color="000000"/>
            </w:tcBorders>
          </w:tcPr>
          <w:p>
            <w:pPr>
              <w:pStyle w:val="TableParagraph"/>
              <w:spacing w:before="15"/>
              <w:ind w:left="57"/>
              <w:rPr>
                <w:sz w:val="13"/>
              </w:rPr>
            </w:pPr>
            <w:r>
              <w:rPr>
                <w:w w:val="105"/>
                <w:sz w:val="13"/>
              </w:rPr>
              <w:t>(-) Cobros pendientes de aplicación definitiva</w:t>
            </w:r>
          </w:p>
        </w:tc>
        <w:tc>
          <w:tcPr>
            <w:tcW w:w="1508" w:type="dxa"/>
            <w:tcBorders>
              <w:left w:val="single" w:sz="4" w:space="0" w:color="000000"/>
            </w:tcBorders>
          </w:tcPr>
          <w:p>
            <w:pPr>
              <w:pStyle w:val="TableParagraph"/>
              <w:spacing w:before="15"/>
              <w:ind w:right="250"/>
              <w:jc w:val="right"/>
              <w:rPr>
                <w:sz w:val="13"/>
              </w:rPr>
            </w:pPr>
            <w:r>
              <w:rPr>
                <w:sz w:val="13"/>
              </w:rPr>
              <w:t>757,46</w:t>
            </w:r>
          </w:p>
        </w:tc>
        <w:tc>
          <w:tcPr>
            <w:tcW w:w="988" w:type="dxa"/>
            <w:tcBorders>
              <w:right w:val="single" w:sz="4" w:space="0" w:color="000000"/>
            </w:tcBorders>
          </w:tcPr>
          <w:p>
            <w:pPr>
              <w:pStyle w:val="TableParagraph"/>
              <w:spacing w:before="15"/>
              <w:ind w:right="48"/>
              <w:jc w:val="right"/>
              <w:rPr>
                <w:sz w:val="13"/>
              </w:rPr>
            </w:pPr>
            <w:r>
              <w:rPr>
                <w:w w:val="105"/>
                <w:sz w:val="13"/>
              </w:rPr>
              <w:t>1.248,19</w:t>
            </w:r>
          </w:p>
        </w:tc>
      </w:tr>
      <w:tr>
        <w:trPr>
          <w:trHeight w:val="212" w:hRule="atLeast"/>
        </w:trPr>
        <w:tc>
          <w:tcPr>
            <w:tcW w:w="4406" w:type="dxa"/>
            <w:tcBorders>
              <w:left w:val="single" w:sz="4" w:space="0" w:color="000000"/>
              <w:right w:val="single" w:sz="4" w:space="0" w:color="000000"/>
            </w:tcBorders>
          </w:tcPr>
          <w:p>
            <w:pPr>
              <w:pStyle w:val="TableParagraph"/>
              <w:spacing w:before="15"/>
              <w:ind w:left="57"/>
              <w:rPr>
                <w:sz w:val="13"/>
              </w:rPr>
            </w:pPr>
            <w:r>
              <w:rPr>
                <w:w w:val="105"/>
                <w:sz w:val="13"/>
              </w:rPr>
              <w:t>(+) Pagos pendientes de aplicación definitiva</w:t>
            </w:r>
          </w:p>
        </w:tc>
        <w:tc>
          <w:tcPr>
            <w:tcW w:w="1508" w:type="dxa"/>
            <w:tcBorders>
              <w:left w:val="single" w:sz="4" w:space="0" w:color="000000"/>
            </w:tcBorders>
          </w:tcPr>
          <w:p>
            <w:pPr>
              <w:pStyle w:val="TableParagraph"/>
              <w:spacing w:before="15"/>
              <w:ind w:right="252"/>
              <w:jc w:val="right"/>
              <w:rPr>
                <w:sz w:val="13"/>
              </w:rPr>
            </w:pPr>
            <w:r>
              <w:rPr>
                <w:w w:val="103"/>
                <w:sz w:val="13"/>
              </w:rPr>
              <w:t>0</w:t>
            </w:r>
          </w:p>
        </w:tc>
        <w:tc>
          <w:tcPr>
            <w:tcW w:w="988" w:type="dxa"/>
            <w:tcBorders>
              <w:right w:val="single" w:sz="4" w:space="0" w:color="000000"/>
            </w:tcBorders>
          </w:tcPr>
          <w:p>
            <w:pPr>
              <w:pStyle w:val="TableParagraph"/>
              <w:spacing w:before="15"/>
              <w:ind w:right="50"/>
              <w:jc w:val="right"/>
              <w:rPr>
                <w:sz w:val="13"/>
              </w:rPr>
            </w:pPr>
            <w:r>
              <w:rPr>
                <w:w w:val="103"/>
                <w:sz w:val="13"/>
              </w:rPr>
              <w:t>0</w:t>
            </w:r>
          </w:p>
        </w:tc>
      </w:tr>
      <w:tr>
        <w:trPr>
          <w:trHeight w:val="200" w:hRule="atLeast"/>
        </w:trPr>
        <w:tc>
          <w:tcPr>
            <w:tcW w:w="4406" w:type="dxa"/>
            <w:tcBorders>
              <w:left w:val="single" w:sz="4" w:space="0" w:color="000000"/>
              <w:right w:val="single" w:sz="4" w:space="0" w:color="000000"/>
            </w:tcBorders>
          </w:tcPr>
          <w:p>
            <w:pPr>
              <w:pStyle w:val="TableParagraph"/>
              <w:spacing w:before="16"/>
              <w:ind w:left="57"/>
              <w:rPr>
                <w:b/>
                <w:sz w:val="13"/>
              </w:rPr>
            </w:pPr>
            <w:r>
              <w:rPr>
                <w:w w:val="105"/>
                <w:sz w:val="13"/>
              </w:rPr>
              <w:t>(+) </w:t>
            </w:r>
            <w:r>
              <w:rPr>
                <w:b/>
                <w:w w:val="105"/>
                <w:sz w:val="13"/>
              </w:rPr>
              <w:t>Fondos Líquidos</w:t>
            </w:r>
          </w:p>
        </w:tc>
        <w:tc>
          <w:tcPr>
            <w:tcW w:w="1508" w:type="dxa"/>
            <w:tcBorders>
              <w:left w:val="single" w:sz="4" w:space="0" w:color="000000"/>
            </w:tcBorders>
          </w:tcPr>
          <w:p>
            <w:pPr>
              <w:pStyle w:val="TableParagraph"/>
              <w:spacing w:before="16"/>
              <w:ind w:right="250"/>
              <w:jc w:val="right"/>
              <w:rPr>
                <w:b/>
                <w:sz w:val="13"/>
              </w:rPr>
            </w:pPr>
            <w:r>
              <w:rPr>
                <w:b/>
                <w:w w:val="105"/>
                <w:sz w:val="13"/>
              </w:rPr>
              <w:t>170.020,94</w:t>
            </w:r>
          </w:p>
        </w:tc>
        <w:tc>
          <w:tcPr>
            <w:tcW w:w="988" w:type="dxa"/>
            <w:tcBorders>
              <w:right w:val="single" w:sz="4" w:space="0" w:color="000000"/>
            </w:tcBorders>
          </w:tcPr>
          <w:p>
            <w:pPr>
              <w:pStyle w:val="TableParagraph"/>
              <w:spacing w:before="16"/>
              <w:ind w:right="48"/>
              <w:jc w:val="right"/>
              <w:rPr>
                <w:b/>
                <w:sz w:val="13"/>
              </w:rPr>
            </w:pPr>
            <w:r>
              <w:rPr>
                <w:b/>
                <w:w w:val="105"/>
                <w:sz w:val="13"/>
              </w:rPr>
              <w:t>48.026,87</w:t>
            </w:r>
          </w:p>
        </w:tc>
      </w:tr>
      <w:tr>
        <w:trPr>
          <w:trHeight w:val="213" w:hRule="atLeast"/>
        </w:trPr>
        <w:tc>
          <w:tcPr>
            <w:tcW w:w="4406" w:type="dxa"/>
            <w:tcBorders>
              <w:left w:val="single" w:sz="4" w:space="0" w:color="000000"/>
              <w:right w:val="single" w:sz="4" w:space="0" w:color="000000"/>
            </w:tcBorders>
            <w:shd w:val="clear" w:color="auto" w:fill="F1F1F1"/>
          </w:tcPr>
          <w:p>
            <w:pPr>
              <w:pStyle w:val="TableParagraph"/>
              <w:spacing w:before="27"/>
              <w:ind w:left="57"/>
              <w:rPr>
                <w:b/>
                <w:sz w:val="13"/>
              </w:rPr>
            </w:pPr>
            <w:r>
              <w:rPr>
                <w:b/>
                <w:w w:val="105"/>
                <w:sz w:val="13"/>
              </w:rPr>
              <w:t>Remanente de Tesorería Total</w:t>
            </w:r>
          </w:p>
        </w:tc>
        <w:tc>
          <w:tcPr>
            <w:tcW w:w="1508" w:type="dxa"/>
            <w:tcBorders>
              <w:left w:val="single" w:sz="4" w:space="0" w:color="000000"/>
            </w:tcBorders>
            <w:shd w:val="clear" w:color="auto" w:fill="F1F1F1"/>
          </w:tcPr>
          <w:p>
            <w:pPr>
              <w:pStyle w:val="TableParagraph"/>
              <w:spacing w:before="27"/>
              <w:ind w:right="250"/>
              <w:jc w:val="right"/>
              <w:rPr>
                <w:b/>
                <w:sz w:val="13"/>
              </w:rPr>
            </w:pPr>
            <w:r>
              <w:rPr>
                <w:b/>
                <w:w w:val="105"/>
                <w:sz w:val="13"/>
              </w:rPr>
              <w:t>95.597,99</w:t>
            </w:r>
          </w:p>
        </w:tc>
        <w:tc>
          <w:tcPr>
            <w:tcW w:w="988" w:type="dxa"/>
            <w:tcBorders>
              <w:right w:val="single" w:sz="4" w:space="0" w:color="000000"/>
            </w:tcBorders>
            <w:shd w:val="clear" w:color="auto" w:fill="F1F1F1"/>
          </w:tcPr>
          <w:p>
            <w:pPr>
              <w:pStyle w:val="TableParagraph"/>
              <w:spacing w:before="27"/>
              <w:ind w:right="48"/>
              <w:jc w:val="right"/>
              <w:rPr>
                <w:b/>
                <w:sz w:val="13"/>
              </w:rPr>
            </w:pPr>
            <w:r>
              <w:rPr>
                <w:b/>
                <w:w w:val="105"/>
                <w:sz w:val="13"/>
              </w:rPr>
              <w:t>160.579,72</w:t>
            </w:r>
          </w:p>
        </w:tc>
      </w:tr>
      <w:tr>
        <w:trPr>
          <w:trHeight w:val="223" w:hRule="atLeast"/>
        </w:trPr>
        <w:tc>
          <w:tcPr>
            <w:tcW w:w="4406" w:type="dxa"/>
            <w:tcBorders>
              <w:left w:val="single" w:sz="4" w:space="0" w:color="000000"/>
              <w:right w:val="single" w:sz="4" w:space="0" w:color="000000"/>
            </w:tcBorders>
          </w:tcPr>
          <w:p>
            <w:pPr>
              <w:pStyle w:val="TableParagraph"/>
              <w:spacing w:before="27"/>
              <w:ind w:left="57"/>
              <w:rPr>
                <w:sz w:val="13"/>
              </w:rPr>
            </w:pPr>
            <w:r>
              <w:rPr>
                <w:w w:val="105"/>
                <w:sz w:val="13"/>
              </w:rPr>
              <w:t>(-) Exceso de financiación afectada</w:t>
            </w:r>
          </w:p>
        </w:tc>
        <w:tc>
          <w:tcPr>
            <w:tcW w:w="1508" w:type="dxa"/>
            <w:tcBorders>
              <w:left w:val="single" w:sz="4" w:space="0" w:color="000000"/>
            </w:tcBorders>
          </w:tcPr>
          <w:p>
            <w:pPr>
              <w:pStyle w:val="TableParagraph"/>
              <w:spacing w:before="27"/>
              <w:ind w:right="250"/>
              <w:jc w:val="right"/>
              <w:rPr>
                <w:sz w:val="13"/>
              </w:rPr>
            </w:pPr>
            <w:r>
              <w:rPr>
                <w:w w:val="105"/>
                <w:sz w:val="13"/>
              </w:rPr>
              <w:t>80.326,56</w:t>
            </w:r>
          </w:p>
        </w:tc>
        <w:tc>
          <w:tcPr>
            <w:tcW w:w="988" w:type="dxa"/>
            <w:tcBorders>
              <w:right w:val="single" w:sz="4" w:space="0" w:color="000000"/>
            </w:tcBorders>
          </w:tcPr>
          <w:p>
            <w:pPr>
              <w:pStyle w:val="TableParagraph"/>
              <w:spacing w:before="27"/>
              <w:ind w:right="48"/>
              <w:jc w:val="right"/>
              <w:rPr>
                <w:sz w:val="13"/>
              </w:rPr>
            </w:pPr>
            <w:r>
              <w:rPr>
                <w:w w:val="105"/>
                <w:sz w:val="13"/>
              </w:rPr>
              <w:t>50.964,59</w:t>
            </w:r>
          </w:p>
        </w:tc>
      </w:tr>
      <w:tr>
        <w:trPr>
          <w:trHeight w:val="199" w:hRule="atLeast"/>
        </w:trPr>
        <w:tc>
          <w:tcPr>
            <w:tcW w:w="4406" w:type="dxa"/>
            <w:tcBorders>
              <w:left w:val="single" w:sz="4" w:space="0" w:color="000000"/>
              <w:right w:val="single" w:sz="4" w:space="0" w:color="000000"/>
            </w:tcBorders>
          </w:tcPr>
          <w:p>
            <w:pPr>
              <w:pStyle w:val="TableParagraph"/>
              <w:spacing w:before="15"/>
              <w:ind w:left="57"/>
              <w:rPr>
                <w:sz w:val="13"/>
              </w:rPr>
            </w:pPr>
            <w:r>
              <w:rPr>
                <w:w w:val="105"/>
                <w:sz w:val="13"/>
              </w:rPr>
              <w:t>(-) Saldo de dudoso cobro</w:t>
            </w:r>
          </w:p>
        </w:tc>
        <w:tc>
          <w:tcPr>
            <w:tcW w:w="1508" w:type="dxa"/>
            <w:tcBorders>
              <w:left w:val="single" w:sz="4" w:space="0" w:color="000000"/>
            </w:tcBorders>
          </w:tcPr>
          <w:p>
            <w:pPr>
              <w:pStyle w:val="TableParagraph"/>
              <w:spacing w:before="15"/>
              <w:ind w:right="250"/>
              <w:jc w:val="right"/>
              <w:rPr>
                <w:sz w:val="13"/>
              </w:rPr>
            </w:pPr>
            <w:r>
              <w:rPr>
                <w:w w:val="105"/>
                <w:sz w:val="13"/>
              </w:rPr>
              <w:t>56.434,31</w:t>
            </w:r>
          </w:p>
        </w:tc>
        <w:tc>
          <w:tcPr>
            <w:tcW w:w="988" w:type="dxa"/>
            <w:tcBorders>
              <w:right w:val="single" w:sz="4" w:space="0" w:color="000000"/>
            </w:tcBorders>
          </w:tcPr>
          <w:p>
            <w:pPr>
              <w:pStyle w:val="TableParagraph"/>
              <w:spacing w:before="15"/>
              <w:ind w:right="48"/>
              <w:jc w:val="right"/>
              <w:rPr>
                <w:sz w:val="13"/>
              </w:rPr>
            </w:pPr>
            <w:r>
              <w:rPr>
                <w:w w:val="105"/>
                <w:sz w:val="13"/>
              </w:rPr>
              <w:t>60.784,21</w:t>
            </w:r>
          </w:p>
        </w:tc>
      </w:tr>
      <w:tr>
        <w:trPr>
          <w:trHeight w:val="213" w:hRule="atLeast"/>
        </w:trPr>
        <w:tc>
          <w:tcPr>
            <w:tcW w:w="4406" w:type="dxa"/>
            <w:tcBorders>
              <w:left w:val="single" w:sz="4" w:space="0" w:color="000000"/>
              <w:right w:val="single" w:sz="4" w:space="0" w:color="000000"/>
            </w:tcBorders>
            <w:shd w:val="clear" w:color="auto" w:fill="F1F1F1"/>
          </w:tcPr>
          <w:p>
            <w:pPr>
              <w:pStyle w:val="TableParagraph"/>
              <w:spacing w:before="27"/>
              <w:ind w:left="57"/>
              <w:rPr>
                <w:b/>
                <w:sz w:val="13"/>
              </w:rPr>
            </w:pPr>
            <w:r>
              <w:rPr>
                <w:b/>
                <w:w w:val="105"/>
                <w:sz w:val="13"/>
              </w:rPr>
              <w:t>Remanente de Tesorería No afectado</w:t>
            </w:r>
          </w:p>
        </w:tc>
        <w:tc>
          <w:tcPr>
            <w:tcW w:w="1508" w:type="dxa"/>
            <w:tcBorders>
              <w:left w:val="single" w:sz="4" w:space="0" w:color="000000"/>
            </w:tcBorders>
            <w:shd w:val="clear" w:color="auto" w:fill="F1F1F1"/>
          </w:tcPr>
          <w:p>
            <w:pPr>
              <w:pStyle w:val="TableParagraph"/>
              <w:spacing w:before="27"/>
              <w:ind w:right="250"/>
              <w:jc w:val="right"/>
              <w:rPr>
                <w:b/>
                <w:sz w:val="13"/>
              </w:rPr>
            </w:pPr>
            <w:r>
              <w:rPr>
                <w:b/>
                <w:w w:val="105"/>
                <w:sz w:val="13"/>
              </w:rPr>
              <w:t>-41.162,88</w:t>
            </w:r>
          </w:p>
        </w:tc>
        <w:tc>
          <w:tcPr>
            <w:tcW w:w="988" w:type="dxa"/>
            <w:tcBorders>
              <w:right w:val="single" w:sz="4" w:space="0" w:color="000000"/>
            </w:tcBorders>
            <w:shd w:val="clear" w:color="auto" w:fill="F1F1F1"/>
          </w:tcPr>
          <w:p>
            <w:pPr>
              <w:pStyle w:val="TableParagraph"/>
              <w:spacing w:before="27"/>
              <w:ind w:right="48"/>
              <w:jc w:val="right"/>
              <w:rPr>
                <w:b/>
                <w:sz w:val="13"/>
              </w:rPr>
            </w:pPr>
            <w:r>
              <w:rPr>
                <w:b/>
                <w:w w:val="105"/>
                <w:sz w:val="13"/>
              </w:rPr>
              <w:t>48.830,92</w:t>
            </w:r>
          </w:p>
        </w:tc>
      </w:tr>
      <w:tr>
        <w:trPr>
          <w:trHeight w:val="223" w:hRule="atLeast"/>
        </w:trPr>
        <w:tc>
          <w:tcPr>
            <w:tcW w:w="4406" w:type="dxa"/>
            <w:tcBorders>
              <w:left w:val="single" w:sz="4" w:space="0" w:color="000000"/>
              <w:right w:val="single" w:sz="4" w:space="0" w:color="000000"/>
            </w:tcBorders>
          </w:tcPr>
          <w:p>
            <w:pPr>
              <w:pStyle w:val="TableParagraph"/>
              <w:spacing w:before="27"/>
              <w:ind w:left="57"/>
              <w:rPr>
                <w:sz w:val="13"/>
              </w:rPr>
            </w:pPr>
            <w:r>
              <w:rPr>
                <w:w w:val="105"/>
                <w:sz w:val="13"/>
              </w:rPr>
              <w:t>(-) Saldo de la cuenta 413</w:t>
            </w:r>
          </w:p>
        </w:tc>
        <w:tc>
          <w:tcPr>
            <w:tcW w:w="1508" w:type="dxa"/>
            <w:tcBorders>
              <w:left w:val="single" w:sz="4" w:space="0" w:color="000000"/>
            </w:tcBorders>
          </w:tcPr>
          <w:p>
            <w:pPr>
              <w:pStyle w:val="TableParagraph"/>
              <w:spacing w:before="27"/>
              <w:ind w:right="250"/>
              <w:jc w:val="right"/>
              <w:rPr>
                <w:sz w:val="13"/>
              </w:rPr>
            </w:pPr>
            <w:r>
              <w:rPr>
                <w:w w:val="105"/>
                <w:sz w:val="13"/>
              </w:rPr>
              <w:t>119.171,24</w:t>
            </w:r>
          </w:p>
        </w:tc>
        <w:tc>
          <w:tcPr>
            <w:tcW w:w="988" w:type="dxa"/>
            <w:tcBorders>
              <w:right w:val="single" w:sz="4" w:space="0" w:color="000000"/>
            </w:tcBorders>
          </w:tcPr>
          <w:p>
            <w:pPr>
              <w:pStyle w:val="TableParagraph"/>
              <w:spacing w:before="27"/>
              <w:ind w:right="48"/>
              <w:jc w:val="right"/>
              <w:rPr>
                <w:sz w:val="13"/>
              </w:rPr>
            </w:pPr>
            <w:r>
              <w:rPr>
                <w:w w:val="105"/>
                <w:sz w:val="13"/>
              </w:rPr>
              <w:t>81.103,30</w:t>
            </w:r>
          </w:p>
        </w:tc>
      </w:tr>
      <w:tr>
        <w:trPr>
          <w:trHeight w:val="202" w:hRule="atLeast"/>
        </w:trPr>
        <w:tc>
          <w:tcPr>
            <w:tcW w:w="4406" w:type="dxa"/>
            <w:tcBorders>
              <w:left w:val="single" w:sz="4" w:space="0" w:color="000000"/>
              <w:right w:val="single" w:sz="4" w:space="0" w:color="000000"/>
            </w:tcBorders>
          </w:tcPr>
          <w:p>
            <w:pPr>
              <w:pStyle w:val="TableParagraph"/>
              <w:spacing w:before="15"/>
              <w:ind w:left="57"/>
              <w:rPr>
                <w:sz w:val="13"/>
              </w:rPr>
            </w:pPr>
            <w:r>
              <w:rPr>
                <w:w w:val="105"/>
                <w:sz w:val="13"/>
              </w:rPr>
              <w:t>(-) Por devoluciones de ingresos</w:t>
            </w:r>
          </w:p>
        </w:tc>
        <w:tc>
          <w:tcPr>
            <w:tcW w:w="1508" w:type="dxa"/>
            <w:tcBorders>
              <w:left w:val="single" w:sz="4" w:space="0" w:color="000000"/>
            </w:tcBorders>
          </w:tcPr>
          <w:p>
            <w:pPr>
              <w:pStyle w:val="TableParagraph"/>
              <w:spacing w:before="15"/>
              <w:ind w:right="250"/>
              <w:jc w:val="right"/>
              <w:rPr>
                <w:sz w:val="13"/>
              </w:rPr>
            </w:pPr>
            <w:r>
              <w:rPr>
                <w:sz w:val="13"/>
              </w:rPr>
              <w:t>205,74</w:t>
            </w:r>
          </w:p>
        </w:tc>
        <w:tc>
          <w:tcPr>
            <w:tcW w:w="988" w:type="dxa"/>
            <w:tcBorders>
              <w:right w:val="single" w:sz="4" w:space="0" w:color="000000"/>
            </w:tcBorders>
          </w:tcPr>
          <w:p>
            <w:pPr>
              <w:pStyle w:val="TableParagraph"/>
              <w:spacing w:before="15"/>
              <w:ind w:right="50"/>
              <w:jc w:val="right"/>
              <w:rPr>
                <w:sz w:val="13"/>
              </w:rPr>
            </w:pPr>
            <w:r>
              <w:rPr>
                <w:w w:val="103"/>
                <w:sz w:val="13"/>
              </w:rPr>
              <w:t>0</w:t>
            </w:r>
          </w:p>
        </w:tc>
      </w:tr>
      <w:tr>
        <w:trPr>
          <w:trHeight w:val="210" w:hRule="atLeast"/>
        </w:trPr>
        <w:tc>
          <w:tcPr>
            <w:tcW w:w="4406" w:type="dxa"/>
            <w:tcBorders>
              <w:left w:val="single" w:sz="4" w:space="0" w:color="000000"/>
              <w:bottom w:val="single" w:sz="4" w:space="0" w:color="000000"/>
              <w:right w:val="single" w:sz="4" w:space="0" w:color="000000"/>
            </w:tcBorders>
            <w:shd w:val="clear" w:color="auto" w:fill="F1F1F1"/>
          </w:tcPr>
          <w:p>
            <w:pPr>
              <w:pStyle w:val="TableParagraph"/>
              <w:spacing w:before="27"/>
              <w:ind w:left="57"/>
              <w:rPr>
                <w:b/>
                <w:sz w:val="13"/>
              </w:rPr>
            </w:pPr>
            <w:r>
              <w:rPr>
                <w:b/>
                <w:w w:val="105"/>
                <w:sz w:val="13"/>
              </w:rPr>
              <w:t>Remanente de Tesorería Teórico o libre disposición</w:t>
            </w:r>
          </w:p>
        </w:tc>
        <w:tc>
          <w:tcPr>
            <w:tcW w:w="1508" w:type="dxa"/>
            <w:tcBorders>
              <w:left w:val="single" w:sz="4" w:space="0" w:color="000000"/>
              <w:bottom w:val="single" w:sz="4" w:space="0" w:color="000000"/>
            </w:tcBorders>
            <w:shd w:val="clear" w:color="auto" w:fill="F1F1F1"/>
          </w:tcPr>
          <w:p>
            <w:pPr>
              <w:pStyle w:val="TableParagraph"/>
              <w:spacing w:before="27"/>
              <w:ind w:right="250"/>
              <w:jc w:val="right"/>
              <w:rPr>
                <w:b/>
                <w:sz w:val="13"/>
              </w:rPr>
            </w:pPr>
            <w:r>
              <w:rPr>
                <w:b/>
                <w:w w:val="105"/>
                <w:sz w:val="13"/>
              </w:rPr>
              <w:t>-160.539,86</w:t>
            </w:r>
          </w:p>
        </w:tc>
        <w:tc>
          <w:tcPr>
            <w:tcW w:w="988" w:type="dxa"/>
            <w:tcBorders>
              <w:bottom w:val="single" w:sz="4" w:space="0" w:color="000000"/>
              <w:right w:val="single" w:sz="4" w:space="0" w:color="000000"/>
            </w:tcBorders>
            <w:shd w:val="clear" w:color="auto" w:fill="F1F1F1"/>
          </w:tcPr>
          <w:p>
            <w:pPr>
              <w:pStyle w:val="TableParagraph"/>
              <w:spacing w:before="27"/>
              <w:ind w:right="48"/>
              <w:jc w:val="right"/>
              <w:rPr>
                <w:b/>
                <w:sz w:val="13"/>
              </w:rPr>
            </w:pPr>
            <w:r>
              <w:rPr>
                <w:b/>
                <w:w w:val="105"/>
                <w:sz w:val="13"/>
              </w:rPr>
              <w:t>-32.272,38</w:t>
            </w:r>
          </w:p>
        </w:tc>
      </w:tr>
    </w:tbl>
    <w:p>
      <w:pPr>
        <w:pStyle w:val="BodyText"/>
        <w:rPr>
          <w:b/>
        </w:rPr>
      </w:pPr>
    </w:p>
    <w:p>
      <w:pPr>
        <w:pStyle w:val="ListParagraph"/>
        <w:numPr>
          <w:ilvl w:val="0"/>
          <w:numId w:val="48"/>
        </w:numPr>
        <w:tabs>
          <w:tab w:pos="2335" w:val="left" w:leader="none"/>
        </w:tabs>
        <w:spacing w:line="240" w:lineRule="auto" w:before="124" w:after="0"/>
        <w:ind w:left="2334" w:right="1138" w:hanging="238"/>
        <w:jc w:val="both"/>
        <w:rPr>
          <w:sz w:val="20"/>
        </w:rPr>
      </w:pPr>
      <w:r>
        <w:rPr>
          <w:sz w:val="20"/>
        </w:rPr>
        <w:t>El remanente de tesorería, teórico o de libre disposición al final del ejercicio era negativo por importe de 160,5 millones de € para el SCS, a pesar del significativo incremento de los fondos líquidos en 122 millones de € con respecto al ejercicio anterior.</w:t>
      </w:r>
      <w:r>
        <w:rPr>
          <w:spacing w:val="-4"/>
          <w:sz w:val="20"/>
        </w:rPr>
        <w:t> </w:t>
      </w:r>
      <w:r>
        <w:rPr>
          <w:sz w:val="20"/>
        </w:rPr>
        <w:t>Un</w:t>
      </w:r>
      <w:r>
        <w:rPr>
          <w:spacing w:val="-4"/>
          <w:sz w:val="20"/>
        </w:rPr>
        <w:t> </w:t>
      </w:r>
      <w:r>
        <w:rPr>
          <w:sz w:val="20"/>
        </w:rPr>
        <w:t>remanente</w:t>
      </w:r>
      <w:r>
        <w:rPr>
          <w:spacing w:val="-5"/>
          <w:sz w:val="20"/>
        </w:rPr>
        <w:t> </w:t>
      </w:r>
      <w:r>
        <w:rPr>
          <w:sz w:val="20"/>
        </w:rPr>
        <w:t>de</w:t>
      </w:r>
      <w:r>
        <w:rPr>
          <w:spacing w:val="-6"/>
          <w:sz w:val="20"/>
        </w:rPr>
        <w:t> </w:t>
      </w:r>
      <w:r>
        <w:rPr>
          <w:sz w:val="20"/>
        </w:rPr>
        <w:t>tesorería</w:t>
      </w:r>
      <w:r>
        <w:rPr>
          <w:spacing w:val="-5"/>
          <w:sz w:val="20"/>
        </w:rPr>
        <w:t> </w:t>
      </w:r>
      <w:r>
        <w:rPr>
          <w:sz w:val="20"/>
        </w:rPr>
        <w:t>negativo</w:t>
      </w:r>
      <w:r>
        <w:rPr>
          <w:spacing w:val="-6"/>
          <w:sz w:val="20"/>
        </w:rPr>
        <w:t> </w:t>
      </w:r>
      <w:r>
        <w:rPr>
          <w:sz w:val="20"/>
        </w:rPr>
        <w:t>significa</w:t>
      </w:r>
      <w:r>
        <w:rPr>
          <w:spacing w:val="-6"/>
          <w:sz w:val="20"/>
        </w:rPr>
        <w:t> </w:t>
      </w:r>
      <w:r>
        <w:rPr>
          <w:sz w:val="20"/>
        </w:rPr>
        <w:t>que</w:t>
      </w:r>
      <w:r>
        <w:rPr>
          <w:spacing w:val="-5"/>
          <w:sz w:val="20"/>
        </w:rPr>
        <w:t> </w:t>
      </w:r>
      <w:r>
        <w:rPr>
          <w:sz w:val="20"/>
        </w:rPr>
        <w:t>el</w:t>
      </w:r>
      <w:r>
        <w:rPr>
          <w:spacing w:val="-4"/>
          <w:sz w:val="20"/>
        </w:rPr>
        <w:t> </w:t>
      </w:r>
      <w:r>
        <w:rPr>
          <w:sz w:val="20"/>
        </w:rPr>
        <w:t>SCS</w:t>
      </w:r>
      <w:r>
        <w:rPr>
          <w:spacing w:val="-5"/>
          <w:sz w:val="20"/>
        </w:rPr>
        <w:t> </w:t>
      </w:r>
      <w:r>
        <w:rPr>
          <w:sz w:val="20"/>
        </w:rPr>
        <w:t>tendrá</w:t>
      </w:r>
      <w:r>
        <w:rPr>
          <w:spacing w:val="-5"/>
          <w:sz w:val="20"/>
        </w:rPr>
        <w:t> </w:t>
      </w:r>
      <w:r>
        <w:rPr>
          <w:sz w:val="20"/>
        </w:rPr>
        <w:t>que</w:t>
      </w:r>
      <w:r>
        <w:rPr>
          <w:spacing w:val="-6"/>
          <w:sz w:val="20"/>
        </w:rPr>
        <w:t> </w:t>
      </w:r>
      <w:r>
        <w:rPr>
          <w:sz w:val="20"/>
        </w:rPr>
        <w:t>obtener mayores recursos en el futuro para atender el exceso de gasto generado en los ejercicios 2022 y anteriores.</w:t>
      </w:r>
    </w:p>
    <w:p>
      <w:pPr>
        <w:pStyle w:val="BodyText"/>
        <w:spacing w:before="4"/>
        <w:rPr>
          <w:sz w:val="17"/>
        </w:rPr>
      </w:pPr>
    </w:p>
    <w:p>
      <w:pPr>
        <w:pStyle w:val="ListParagraph"/>
        <w:numPr>
          <w:ilvl w:val="0"/>
          <w:numId w:val="48"/>
        </w:numPr>
        <w:tabs>
          <w:tab w:pos="2335" w:val="left" w:leader="none"/>
        </w:tabs>
        <w:spacing w:line="242" w:lineRule="auto" w:before="0" w:after="0"/>
        <w:ind w:left="2334" w:right="1139" w:hanging="238"/>
        <w:jc w:val="both"/>
        <w:rPr>
          <w:sz w:val="20"/>
        </w:rPr>
      </w:pPr>
      <w:r>
        <w:rPr>
          <w:sz w:val="20"/>
        </w:rPr>
        <w:t>Aunque el remanente de libre disposición en 2021 también era negativo, por valor de 32,7 millones de €, el obtenido en el ejercicio 2022 es también negativo, superior en 128,3 millones, aunque la Tesorería se haya incrementado en 122 millones (a la que habría que descontar, no obstante, 29,4 millones de financiación afectada). La causa principal de este mayor remanente negativo se registra en el pendiente de cobro, con una reducción de 173,2 millones de € (sólo del ejercicio corriente, 158 millones de €) y el aumento de los gastos pendientes de aplicar al presupuesto (cuenta 413), en 38,1 millones de €. Esta reducción en el pendiente de cobro tiene reflejo en la provisión por insolvencias, que es inferior en 4,3 millones a la de</w:t>
      </w:r>
      <w:r>
        <w:rPr>
          <w:spacing w:val="16"/>
          <w:sz w:val="20"/>
        </w:rPr>
        <w:t> </w:t>
      </w:r>
      <w:r>
        <w:rPr>
          <w:sz w:val="20"/>
        </w:rPr>
        <w:t>2021.</w:t>
      </w:r>
    </w:p>
    <w:p>
      <w:pPr>
        <w:pStyle w:val="BodyText"/>
        <w:spacing w:before="2"/>
        <w:rPr>
          <w:sz w:val="27"/>
        </w:rPr>
      </w:pPr>
    </w:p>
    <w:p>
      <w:pPr>
        <w:pStyle w:val="BodyText"/>
        <w:spacing w:before="61"/>
        <w:ind w:left="7794"/>
        <w:jc w:val="center"/>
      </w:pPr>
      <w:r>
        <w:rPr/>
        <w:t>100</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11" name="image5.png"/>
                  <wp:cNvGraphicFramePr>
                    <a:graphicFrameLocks noChangeAspect="1"/>
                  </wp:cNvGraphicFramePr>
                  <a:graphic>
                    <a:graphicData uri="http://schemas.openxmlformats.org/drawingml/2006/picture">
                      <pic:pic>
                        <pic:nvPicPr>
                          <pic:cNvPr id="21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03"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102/247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0"/>
          <w:numId w:val="49"/>
        </w:numPr>
        <w:tabs>
          <w:tab w:pos="2335" w:val="left" w:leader="none"/>
        </w:tabs>
        <w:spacing w:line="240" w:lineRule="auto" w:before="61" w:after="0"/>
        <w:ind w:left="2334" w:right="1138" w:hanging="238"/>
        <w:jc w:val="both"/>
        <w:rPr>
          <w:sz w:val="20"/>
        </w:rPr>
      </w:pPr>
      <w:r>
        <w:rPr>
          <w:sz w:val="20"/>
        </w:rPr>
        <w:t>Los acreedores por operaciones devengadas pendientes de aplicar al presupuesto al final del ejercicio ascendían a 119,17 millones de €, dato obtenido del Estado de Remanente de Tesorería, existiendo una discrepancia con el importe de 119,97 millones de € reflejado en el apartado 23.7 de la Memoria “acreedores por operaciones</w:t>
      </w:r>
      <w:r>
        <w:rPr>
          <w:spacing w:val="-8"/>
          <w:sz w:val="20"/>
        </w:rPr>
        <w:t> </w:t>
      </w:r>
      <w:r>
        <w:rPr>
          <w:sz w:val="20"/>
        </w:rPr>
        <w:t>devengadas”,</w:t>
      </w:r>
      <w:r>
        <w:rPr>
          <w:spacing w:val="-7"/>
          <w:sz w:val="20"/>
        </w:rPr>
        <w:t> </w:t>
      </w:r>
      <w:r>
        <w:rPr>
          <w:sz w:val="20"/>
        </w:rPr>
        <w:t>resultando</w:t>
      </w:r>
      <w:r>
        <w:rPr>
          <w:spacing w:val="-7"/>
          <w:sz w:val="20"/>
        </w:rPr>
        <w:t> </w:t>
      </w:r>
      <w:r>
        <w:rPr>
          <w:sz w:val="20"/>
        </w:rPr>
        <w:t>una</w:t>
      </w:r>
      <w:r>
        <w:rPr>
          <w:spacing w:val="-7"/>
          <w:sz w:val="20"/>
        </w:rPr>
        <w:t> </w:t>
      </w:r>
      <w:r>
        <w:rPr>
          <w:sz w:val="20"/>
        </w:rPr>
        <w:t>diferencia</w:t>
      </w:r>
      <w:r>
        <w:rPr>
          <w:spacing w:val="-7"/>
          <w:sz w:val="20"/>
        </w:rPr>
        <w:t> </w:t>
      </w:r>
      <w:r>
        <w:rPr>
          <w:sz w:val="20"/>
        </w:rPr>
        <w:t>de</w:t>
      </w:r>
      <w:r>
        <w:rPr>
          <w:spacing w:val="-8"/>
          <w:sz w:val="20"/>
        </w:rPr>
        <w:t> </w:t>
      </w:r>
      <w:r>
        <w:rPr>
          <w:sz w:val="20"/>
        </w:rPr>
        <w:t>801.370</w:t>
      </w:r>
      <w:r>
        <w:rPr>
          <w:spacing w:val="-8"/>
          <w:sz w:val="20"/>
        </w:rPr>
        <w:t> </w:t>
      </w:r>
      <w:r>
        <w:rPr>
          <w:sz w:val="20"/>
        </w:rPr>
        <w:t>euros</w:t>
      </w:r>
      <w:r>
        <w:rPr>
          <w:spacing w:val="-8"/>
          <w:sz w:val="20"/>
        </w:rPr>
        <w:t> </w:t>
      </w:r>
      <w:r>
        <w:rPr>
          <w:sz w:val="20"/>
        </w:rPr>
        <w:t>sin</w:t>
      </w:r>
      <w:r>
        <w:rPr>
          <w:spacing w:val="-9"/>
          <w:sz w:val="20"/>
        </w:rPr>
        <w:t> </w:t>
      </w:r>
      <w:r>
        <w:rPr>
          <w:sz w:val="20"/>
        </w:rPr>
        <w:t>que</w:t>
      </w:r>
      <w:r>
        <w:rPr>
          <w:spacing w:val="-8"/>
          <w:sz w:val="20"/>
        </w:rPr>
        <w:t> </w:t>
      </w:r>
      <w:r>
        <w:rPr>
          <w:sz w:val="20"/>
        </w:rPr>
        <w:t>conste justificación del motivo de esta</w:t>
      </w:r>
      <w:r>
        <w:rPr>
          <w:spacing w:val="-1"/>
          <w:sz w:val="20"/>
        </w:rPr>
        <w:t> </w:t>
      </w:r>
      <w:r>
        <w:rPr>
          <w:sz w:val="20"/>
        </w:rPr>
        <w:t>diferencia.</w:t>
      </w:r>
    </w:p>
    <w:p>
      <w:pPr>
        <w:pStyle w:val="BodyText"/>
        <w:spacing w:before="4"/>
        <w:rPr>
          <w:sz w:val="17"/>
        </w:rPr>
      </w:pPr>
    </w:p>
    <w:p>
      <w:pPr>
        <w:pStyle w:val="BodyText"/>
        <w:spacing w:line="242" w:lineRule="auto"/>
        <w:ind w:left="2334" w:right="1140"/>
        <w:jc w:val="both"/>
      </w:pPr>
      <w:r>
        <w:rPr/>
        <w:t>Continúa generándose una importante suma en esta partida, que además empeora en el ejercicio 2021 en 38,1 millones de €, a pesar de que el SCS ha sido una de las entidades más beneficiadas del incremento interanual del presupuesto en cada ejercicio y, sin embargo, la cifra registrada en la cuenta 413 no se ha visto reducida. El aumento de esta partida es, además, reflejo del incumplimiento del PMP en el último trimestre para este OA. Esto hace necesario un análisis de las causas de estas desviaciones, puesto que el presupuesto destinado a dar cobertura a dicha partida parece estar teniendo un efecto multiplicador sobre el gasto, sin que se aplique reducir dicha incidencia.</w:t>
      </w:r>
    </w:p>
    <w:p>
      <w:pPr>
        <w:pStyle w:val="BodyText"/>
        <w:spacing w:before="9" w:after="1"/>
        <w:rPr>
          <w:sz w:val="15"/>
        </w:rPr>
      </w:pPr>
    </w:p>
    <w:tbl>
      <w:tblPr>
        <w:tblW w:w="0" w:type="auto"/>
        <w:jc w:val="left"/>
        <w:tblInd w:w="2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9"/>
        <w:gridCol w:w="1133"/>
        <w:gridCol w:w="1001"/>
        <w:gridCol w:w="973"/>
        <w:gridCol w:w="1031"/>
        <w:gridCol w:w="1103"/>
      </w:tblGrid>
      <w:tr>
        <w:trPr>
          <w:trHeight w:val="217" w:hRule="atLeast"/>
        </w:trPr>
        <w:tc>
          <w:tcPr>
            <w:tcW w:w="1679" w:type="dxa"/>
            <w:vMerge w:val="restart"/>
          </w:tcPr>
          <w:p>
            <w:pPr>
              <w:pStyle w:val="TableParagraph"/>
              <w:rPr>
                <w:sz w:val="14"/>
              </w:rPr>
            </w:pPr>
          </w:p>
          <w:p>
            <w:pPr>
              <w:pStyle w:val="TableParagraph"/>
              <w:rPr>
                <w:sz w:val="14"/>
              </w:rPr>
            </w:pPr>
          </w:p>
          <w:p>
            <w:pPr>
              <w:pStyle w:val="TableParagraph"/>
              <w:spacing w:before="122"/>
              <w:ind w:left="198"/>
              <w:rPr>
                <w:sz w:val="13"/>
              </w:rPr>
            </w:pPr>
            <w:r>
              <w:rPr>
                <w:b/>
                <w:w w:val="105"/>
                <w:sz w:val="13"/>
              </w:rPr>
              <w:t>cuenta 413 (</w:t>
            </w:r>
            <w:r>
              <w:rPr>
                <w:w w:val="105"/>
                <w:sz w:val="13"/>
              </w:rPr>
              <w:t>miles de €)</w:t>
            </w:r>
          </w:p>
        </w:tc>
        <w:tc>
          <w:tcPr>
            <w:tcW w:w="5241" w:type="dxa"/>
            <w:gridSpan w:val="5"/>
            <w:shd w:val="clear" w:color="auto" w:fill="DEEAF6"/>
          </w:tcPr>
          <w:p>
            <w:pPr>
              <w:pStyle w:val="TableParagraph"/>
              <w:spacing w:before="30"/>
              <w:ind w:left="1258"/>
              <w:rPr>
                <w:b/>
                <w:sz w:val="13"/>
              </w:rPr>
            </w:pPr>
            <w:r>
              <w:rPr>
                <w:b/>
                <w:w w:val="105"/>
                <w:sz w:val="13"/>
              </w:rPr>
              <w:t>Acreedores pendientes de aplicar al presupuesto</w:t>
            </w:r>
          </w:p>
        </w:tc>
      </w:tr>
      <w:tr>
        <w:trPr>
          <w:trHeight w:val="199" w:hRule="atLeast"/>
        </w:trPr>
        <w:tc>
          <w:tcPr>
            <w:tcW w:w="1679" w:type="dxa"/>
            <w:vMerge/>
            <w:tcBorders>
              <w:top w:val="nil"/>
            </w:tcBorders>
          </w:tcPr>
          <w:p>
            <w:pPr>
              <w:rPr>
                <w:sz w:val="2"/>
                <w:szCs w:val="2"/>
              </w:rPr>
            </w:pPr>
          </w:p>
        </w:tc>
        <w:tc>
          <w:tcPr>
            <w:tcW w:w="1133" w:type="dxa"/>
            <w:tcBorders>
              <w:right w:val="nil"/>
            </w:tcBorders>
            <w:shd w:val="clear" w:color="auto" w:fill="DEEAF6"/>
          </w:tcPr>
          <w:p>
            <w:pPr>
              <w:pStyle w:val="TableParagraph"/>
              <w:spacing w:before="20"/>
              <w:ind w:left="232" w:right="233"/>
              <w:jc w:val="center"/>
              <w:rPr>
                <w:b/>
                <w:sz w:val="13"/>
              </w:rPr>
            </w:pPr>
            <w:r>
              <w:rPr>
                <w:b/>
                <w:w w:val="105"/>
                <w:sz w:val="13"/>
              </w:rPr>
              <w:t>2022</w:t>
            </w:r>
          </w:p>
        </w:tc>
        <w:tc>
          <w:tcPr>
            <w:tcW w:w="1001" w:type="dxa"/>
            <w:tcBorders>
              <w:left w:val="nil"/>
              <w:right w:val="nil"/>
            </w:tcBorders>
            <w:shd w:val="clear" w:color="auto" w:fill="DEEAF6"/>
          </w:tcPr>
          <w:p>
            <w:pPr>
              <w:pStyle w:val="TableParagraph"/>
              <w:spacing w:before="20"/>
              <w:ind w:left="241" w:right="235"/>
              <w:jc w:val="center"/>
              <w:rPr>
                <w:b/>
                <w:sz w:val="13"/>
              </w:rPr>
            </w:pPr>
            <w:r>
              <w:rPr>
                <w:b/>
                <w:w w:val="105"/>
                <w:sz w:val="13"/>
              </w:rPr>
              <w:t>2021</w:t>
            </w:r>
          </w:p>
        </w:tc>
        <w:tc>
          <w:tcPr>
            <w:tcW w:w="973" w:type="dxa"/>
            <w:tcBorders>
              <w:left w:val="nil"/>
              <w:right w:val="nil"/>
            </w:tcBorders>
            <w:shd w:val="clear" w:color="auto" w:fill="DEEAF6"/>
          </w:tcPr>
          <w:p>
            <w:pPr>
              <w:pStyle w:val="TableParagraph"/>
              <w:spacing w:before="20"/>
              <w:ind w:left="243" w:right="204"/>
              <w:jc w:val="center"/>
              <w:rPr>
                <w:b/>
                <w:sz w:val="13"/>
              </w:rPr>
            </w:pPr>
            <w:r>
              <w:rPr>
                <w:b/>
                <w:w w:val="105"/>
                <w:sz w:val="13"/>
              </w:rPr>
              <w:t>2020</w:t>
            </w:r>
          </w:p>
        </w:tc>
        <w:tc>
          <w:tcPr>
            <w:tcW w:w="1031" w:type="dxa"/>
            <w:tcBorders>
              <w:left w:val="nil"/>
              <w:right w:val="nil"/>
            </w:tcBorders>
            <w:shd w:val="clear" w:color="auto" w:fill="DEEAF6"/>
          </w:tcPr>
          <w:p>
            <w:pPr>
              <w:pStyle w:val="TableParagraph"/>
              <w:spacing w:before="20"/>
              <w:ind w:left="214" w:right="221"/>
              <w:jc w:val="center"/>
              <w:rPr>
                <w:b/>
                <w:sz w:val="13"/>
              </w:rPr>
            </w:pPr>
            <w:r>
              <w:rPr>
                <w:b/>
                <w:w w:val="105"/>
                <w:sz w:val="13"/>
              </w:rPr>
              <w:t>2019</w:t>
            </w:r>
          </w:p>
        </w:tc>
        <w:tc>
          <w:tcPr>
            <w:tcW w:w="1103" w:type="dxa"/>
            <w:tcBorders>
              <w:left w:val="nil"/>
            </w:tcBorders>
            <w:shd w:val="clear" w:color="auto" w:fill="DEEAF6"/>
          </w:tcPr>
          <w:p>
            <w:pPr>
              <w:pStyle w:val="TableParagraph"/>
              <w:spacing w:before="20"/>
              <w:ind w:left="235" w:right="267"/>
              <w:jc w:val="center"/>
              <w:rPr>
                <w:b/>
                <w:sz w:val="13"/>
              </w:rPr>
            </w:pPr>
            <w:r>
              <w:rPr>
                <w:b/>
                <w:w w:val="105"/>
                <w:sz w:val="13"/>
              </w:rPr>
              <w:t>2018</w:t>
            </w:r>
          </w:p>
        </w:tc>
      </w:tr>
      <w:tr>
        <w:trPr>
          <w:trHeight w:val="209" w:hRule="atLeast"/>
        </w:trPr>
        <w:tc>
          <w:tcPr>
            <w:tcW w:w="1679" w:type="dxa"/>
            <w:vMerge/>
            <w:tcBorders>
              <w:top w:val="nil"/>
            </w:tcBorders>
          </w:tcPr>
          <w:p>
            <w:pPr>
              <w:rPr>
                <w:sz w:val="2"/>
                <w:szCs w:val="2"/>
              </w:rPr>
            </w:pPr>
          </w:p>
        </w:tc>
        <w:tc>
          <w:tcPr>
            <w:tcW w:w="1133" w:type="dxa"/>
            <w:tcBorders>
              <w:right w:val="nil"/>
            </w:tcBorders>
          </w:tcPr>
          <w:p>
            <w:pPr>
              <w:pStyle w:val="TableParagraph"/>
              <w:spacing w:before="26"/>
              <w:ind w:left="233" w:right="233"/>
              <w:jc w:val="center"/>
              <w:rPr>
                <w:sz w:val="13"/>
              </w:rPr>
            </w:pPr>
            <w:r>
              <w:rPr>
                <w:w w:val="105"/>
                <w:sz w:val="13"/>
              </w:rPr>
              <w:t>119.171,24</w:t>
            </w:r>
          </w:p>
        </w:tc>
        <w:tc>
          <w:tcPr>
            <w:tcW w:w="1001" w:type="dxa"/>
            <w:tcBorders>
              <w:left w:val="nil"/>
              <w:right w:val="nil"/>
            </w:tcBorders>
          </w:tcPr>
          <w:p>
            <w:pPr>
              <w:pStyle w:val="TableParagraph"/>
              <w:spacing w:before="26"/>
              <w:ind w:left="242" w:right="235"/>
              <w:jc w:val="center"/>
              <w:rPr>
                <w:sz w:val="13"/>
              </w:rPr>
            </w:pPr>
            <w:r>
              <w:rPr>
                <w:w w:val="105"/>
                <w:sz w:val="13"/>
              </w:rPr>
              <w:t>81.103,3</w:t>
            </w:r>
          </w:p>
        </w:tc>
        <w:tc>
          <w:tcPr>
            <w:tcW w:w="973" w:type="dxa"/>
            <w:tcBorders>
              <w:left w:val="nil"/>
              <w:right w:val="nil"/>
            </w:tcBorders>
          </w:tcPr>
          <w:p>
            <w:pPr>
              <w:pStyle w:val="TableParagraph"/>
              <w:spacing w:before="26"/>
              <w:ind w:left="244" w:right="204"/>
              <w:jc w:val="center"/>
              <w:rPr>
                <w:sz w:val="13"/>
              </w:rPr>
            </w:pPr>
            <w:r>
              <w:rPr>
                <w:w w:val="105"/>
                <w:sz w:val="13"/>
              </w:rPr>
              <w:t>92.337,9</w:t>
            </w:r>
          </w:p>
        </w:tc>
        <w:tc>
          <w:tcPr>
            <w:tcW w:w="1031" w:type="dxa"/>
            <w:tcBorders>
              <w:left w:val="nil"/>
              <w:right w:val="nil"/>
            </w:tcBorders>
          </w:tcPr>
          <w:p>
            <w:pPr>
              <w:pStyle w:val="TableParagraph"/>
              <w:spacing w:before="26"/>
              <w:ind w:left="216" w:right="221"/>
              <w:jc w:val="center"/>
              <w:rPr>
                <w:sz w:val="13"/>
              </w:rPr>
            </w:pPr>
            <w:r>
              <w:rPr>
                <w:w w:val="105"/>
                <w:sz w:val="13"/>
              </w:rPr>
              <w:t>135.310,6</w:t>
            </w:r>
          </w:p>
        </w:tc>
        <w:tc>
          <w:tcPr>
            <w:tcW w:w="1103" w:type="dxa"/>
            <w:tcBorders>
              <w:left w:val="nil"/>
            </w:tcBorders>
          </w:tcPr>
          <w:p>
            <w:pPr>
              <w:pStyle w:val="TableParagraph"/>
              <w:spacing w:before="26"/>
              <w:ind w:left="237" w:right="267"/>
              <w:jc w:val="center"/>
              <w:rPr>
                <w:sz w:val="13"/>
              </w:rPr>
            </w:pPr>
            <w:r>
              <w:rPr>
                <w:w w:val="105"/>
                <w:sz w:val="13"/>
              </w:rPr>
              <w:t>145.867,1</w:t>
            </w:r>
          </w:p>
        </w:tc>
      </w:tr>
    </w:tbl>
    <w:p>
      <w:pPr>
        <w:pStyle w:val="BodyText"/>
        <w:spacing w:before="7"/>
        <w:rPr>
          <w:sz w:val="16"/>
        </w:rPr>
      </w:pPr>
    </w:p>
    <w:p>
      <w:pPr>
        <w:pStyle w:val="ListParagraph"/>
        <w:numPr>
          <w:ilvl w:val="0"/>
          <w:numId w:val="49"/>
        </w:numPr>
        <w:tabs>
          <w:tab w:pos="2335" w:val="left" w:leader="none"/>
        </w:tabs>
        <w:spacing w:line="242" w:lineRule="auto" w:before="0" w:after="0"/>
        <w:ind w:left="2334" w:right="1138" w:hanging="238"/>
        <w:jc w:val="both"/>
        <w:rPr>
          <w:sz w:val="20"/>
        </w:rPr>
      </w:pPr>
      <w:r>
        <w:rPr>
          <w:sz w:val="20"/>
        </w:rPr>
        <w:t>El pendiente de cobro del presupuesto corriente al final del ejercicio fue de 30,4 millones de €, registrado en su mayoría en el concepto 359 “otros ingresos procedentes de prestaciones de servicios” (19,8 millones de €), donde se registran las contraprestaciones por los servicios prestados por el SCS, y por transferencias corrientes del Estado (5,5 millones de €). En cuanto al pendiente de pago, este ascendió a 132,6 millones de €, concentrado en un 42 % en transferencias corrientes para gastos por recetas</w:t>
      </w:r>
      <w:r>
        <w:rPr>
          <w:spacing w:val="-1"/>
          <w:sz w:val="20"/>
        </w:rPr>
        <w:t> </w:t>
      </w:r>
      <w:r>
        <w:rPr>
          <w:sz w:val="20"/>
        </w:rPr>
        <w:t>farmacéuticas.</w:t>
      </w:r>
    </w:p>
    <w:p>
      <w:pPr>
        <w:pStyle w:val="BodyText"/>
        <w:spacing w:before="3"/>
        <w:rPr>
          <w:sz w:val="16"/>
        </w:rPr>
      </w:pPr>
    </w:p>
    <w:p>
      <w:pPr>
        <w:pStyle w:val="ListParagraph"/>
        <w:numPr>
          <w:ilvl w:val="0"/>
          <w:numId w:val="49"/>
        </w:numPr>
        <w:tabs>
          <w:tab w:pos="2335" w:val="left" w:leader="none"/>
        </w:tabs>
        <w:spacing w:line="240" w:lineRule="auto" w:before="0" w:after="0"/>
        <w:ind w:left="2334" w:right="0" w:hanging="1385"/>
        <w:jc w:val="left"/>
        <w:rPr>
          <w:sz w:val="20"/>
        </w:rPr>
      </w:pPr>
      <w:r>
        <w:rPr>
          <w:sz w:val="20"/>
        </w:rPr>
        <w:t>El pendiente de cobro de ejercicios cerrados a final de 2022 ascendía a 88,6</w:t>
      </w:r>
      <w:r>
        <w:rPr>
          <w:spacing w:val="-1"/>
          <w:sz w:val="20"/>
        </w:rPr>
        <w:t> </w:t>
      </w:r>
      <w:r>
        <w:rPr>
          <w:sz w:val="20"/>
        </w:rPr>
        <w:t>millones</w:t>
      </w:r>
    </w:p>
    <w:p>
      <w:pPr>
        <w:pStyle w:val="BodyText"/>
        <w:spacing w:before="2"/>
        <w:ind w:left="2334"/>
        <w:jc w:val="both"/>
      </w:pPr>
      <w:r>
        <w:rPr/>
        <w:t>de €, donde el 42,6 % habían sido reconocidos antes del año 2018.</w:t>
      </w:r>
    </w:p>
    <w:p>
      <w:pPr>
        <w:pStyle w:val="BodyText"/>
        <w:spacing w:before="7"/>
        <w:rPr>
          <w:sz w:val="16"/>
        </w:rPr>
      </w:pPr>
    </w:p>
    <w:tbl>
      <w:tblPr>
        <w:tblW w:w="0" w:type="auto"/>
        <w:jc w:val="lef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1"/>
        <w:gridCol w:w="738"/>
        <w:gridCol w:w="754"/>
        <w:gridCol w:w="741"/>
        <w:gridCol w:w="726"/>
        <w:gridCol w:w="819"/>
      </w:tblGrid>
      <w:tr>
        <w:trPr>
          <w:trHeight w:val="634" w:hRule="atLeast"/>
        </w:trPr>
        <w:tc>
          <w:tcPr>
            <w:tcW w:w="3251" w:type="dxa"/>
            <w:vMerge w:val="restart"/>
          </w:tcPr>
          <w:p>
            <w:pPr>
              <w:pStyle w:val="TableParagraph"/>
              <w:rPr>
                <w:sz w:val="14"/>
              </w:rPr>
            </w:pPr>
          </w:p>
          <w:p>
            <w:pPr>
              <w:pStyle w:val="TableParagraph"/>
              <w:rPr>
                <w:sz w:val="14"/>
              </w:rPr>
            </w:pPr>
          </w:p>
          <w:p>
            <w:pPr>
              <w:pStyle w:val="TableParagraph"/>
              <w:rPr>
                <w:sz w:val="14"/>
              </w:rPr>
            </w:pPr>
          </w:p>
          <w:p>
            <w:pPr>
              <w:pStyle w:val="TableParagraph"/>
              <w:spacing w:before="9"/>
              <w:rPr>
                <w:sz w:val="16"/>
              </w:rPr>
            </w:pPr>
          </w:p>
          <w:p>
            <w:pPr>
              <w:pStyle w:val="TableParagraph"/>
              <w:ind w:left="53"/>
              <w:rPr>
                <w:b/>
                <w:sz w:val="13"/>
              </w:rPr>
            </w:pPr>
            <w:r>
              <w:rPr>
                <w:b/>
                <w:w w:val="105"/>
                <w:sz w:val="13"/>
              </w:rPr>
              <w:t>Pendiente de cobro ejercicios cerrados 2022 (</w:t>
            </w:r>
            <w:r>
              <w:rPr>
                <w:w w:val="105"/>
                <w:sz w:val="13"/>
              </w:rPr>
              <w:t>miles de €</w:t>
            </w:r>
            <w:r>
              <w:rPr>
                <w:b/>
                <w:w w:val="105"/>
                <w:sz w:val="13"/>
              </w:rPr>
              <w:t>)</w:t>
            </w:r>
          </w:p>
        </w:tc>
        <w:tc>
          <w:tcPr>
            <w:tcW w:w="738" w:type="dxa"/>
            <w:tcBorders>
              <w:right w:val="nil"/>
            </w:tcBorders>
            <w:shd w:val="clear" w:color="auto" w:fill="D9E1F3"/>
          </w:tcPr>
          <w:p>
            <w:pPr>
              <w:pStyle w:val="TableParagraph"/>
              <w:spacing w:line="252" w:lineRule="auto" w:before="26"/>
              <w:ind w:left="47" w:right="63" w:firstLine="1"/>
              <w:jc w:val="center"/>
              <w:rPr>
                <w:b/>
                <w:sz w:val="12"/>
              </w:rPr>
            </w:pPr>
            <w:r>
              <w:rPr>
                <w:b/>
                <w:w w:val="105"/>
                <w:sz w:val="12"/>
              </w:rPr>
              <w:t>TOTAL 01/01/2022</w:t>
            </w:r>
          </w:p>
          <w:p>
            <w:pPr>
              <w:pStyle w:val="TableParagraph"/>
              <w:spacing w:before="91"/>
              <w:ind w:left="206" w:right="220"/>
              <w:jc w:val="center"/>
              <w:rPr>
                <w:b/>
                <w:sz w:val="12"/>
              </w:rPr>
            </w:pPr>
            <w:r>
              <w:rPr>
                <w:b/>
                <w:w w:val="105"/>
                <w:sz w:val="12"/>
              </w:rPr>
              <w:t>A + B</w:t>
            </w:r>
          </w:p>
        </w:tc>
        <w:tc>
          <w:tcPr>
            <w:tcW w:w="754" w:type="dxa"/>
            <w:tcBorders>
              <w:left w:val="nil"/>
              <w:right w:val="nil"/>
            </w:tcBorders>
            <w:shd w:val="clear" w:color="auto" w:fill="D9E1F3"/>
          </w:tcPr>
          <w:p>
            <w:pPr>
              <w:pStyle w:val="TableParagraph"/>
              <w:spacing w:line="252" w:lineRule="auto" w:before="26"/>
              <w:ind w:left="76" w:right="65"/>
              <w:jc w:val="center"/>
              <w:rPr>
                <w:b/>
                <w:sz w:val="12"/>
              </w:rPr>
            </w:pPr>
            <w:r>
              <w:rPr>
                <w:b/>
                <w:w w:val="105"/>
                <w:sz w:val="12"/>
              </w:rPr>
              <w:t>Reconocido en 2021</w:t>
            </w:r>
          </w:p>
          <w:p>
            <w:pPr>
              <w:pStyle w:val="TableParagraph"/>
              <w:spacing w:before="91"/>
              <w:ind w:left="7"/>
              <w:jc w:val="center"/>
              <w:rPr>
                <w:b/>
                <w:sz w:val="12"/>
              </w:rPr>
            </w:pPr>
            <w:r>
              <w:rPr>
                <w:b/>
                <w:w w:val="105"/>
                <w:sz w:val="12"/>
              </w:rPr>
              <w:t>A</w:t>
            </w:r>
          </w:p>
        </w:tc>
        <w:tc>
          <w:tcPr>
            <w:tcW w:w="741" w:type="dxa"/>
            <w:tcBorders>
              <w:left w:val="nil"/>
            </w:tcBorders>
            <w:shd w:val="clear" w:color="auto" w:fill="D9E1F3"/>
          </w:tcPr>
          <w:p>
            <w:pPr>
              <w:pStyle w:val="TableParagraph"/>
              <w:spacing w:line="252" w:lineRule="auto" w:before="26"/>
              <w:ind w:left="104" w:right="75"/>
              <w:jc w:val="center"/>
              <w:rPr>
                <w:b/>
                <w:sz w:val="12"/>
              </w:rPr>
            </w:pPr>
            <w:r>
              <w:rPr>
                <w:b/>
                <w:w w:val="105"/>
                <w:sz w:val="12"/>
              </w:rPr>
              <w:t>Anteriores a 2021</w:t>
            </w:r>
          </w:p>
          <w:p>
            <w:pPr>
              <w:pStyle w:val="TableParagraph"/>
              <w:spacing w:before="91"/>
              <w:ind w:left="27"/>
              <w:jc w:val="center"/>
              <w:rPr>
                <w:b/>
                <w:sz w:val="12"/>
              </w:rPr>
            </w:pPr>
            <w:r>
              <w:rPr>
                <w:b/>
                <w:w w:val="105"/>
                <w:sz w:val="12"/>
              </w:rPr>
              <w:t>B</w:t>
            </w:r>
          </w:p>
        </w:tc>
        <w:tc>
          <w:tcPr>
            <w:tcW w:w="726" w:type="dxa"/>
            <w:shd w:val="clear" w:color="auto" w:fill="D9E1F3"/>
          </w:tcPr>
          <w:p>
            <w:pPr>
              <w:pStyle w:val="TableParagraph"/>
              <w:spacing w:line="252" w:lineRule="auto" w:before="26"/>
              <w:ind w:left="49" w:right="43" w:firstLine="1"/>
              <w:jc w:val="center"/>
              <w:rPr>
                <w:b/>
                <w:sz w:val="12"/>
              </w:rPr>
            </w:pPr>
            <w:r>
              <w:rPr>
                <w:b/>
                <w:w w:val="105"/>
                <w:sz w:val="12"/>
              </w:rPr>
              <w:t>TOTAL 31/12/2022</w:t>
            </w:r>
          </w:p>
          <w:p>
            <w:pPr>
              <w:pStyle w:val="TableParagraph"/>
              <w:spacing w:before="91"/>
              <w:ind w:left="2"/>
              <w:jc w:val="center"/>
              <w:rPr>
                <w:b/>
                <w:sz w:val="12"/>
              </w:rPr>
            </w:pPr>
            <w:r>
              <w:rPr>
                <w:b/>
                <w:w w:val="105"/>
                <w:sz w:val="12"/>
              </w:rPr>
              <w:t>C</w:t>
            </w:r>
          </w:p>
        </w:tc>
        <w:tc>
          <w:tcPr>
            <w:tcW w:w="819" w:type="dxa"/>
            <w:shd w:val="clear" w:color="auto" w:fill="D9E1F3"/>
          </w:tcPr>
          <w:p>
            <w:pPr>
              <w:pStyle w:val="TableParagraph"/>
              <w:rPr>
                <w:sz w:val="12"/>
              </w:rPr>
            </w:pPr>
          </w:p>
          <w:p>
            <w:pPr>
              <w:pStyle w:val="TableParagraph"/>
              <w:spacing w:before="99"/>
              <w:ind w:left="74" w:right="67"/>
              <w:jc w:val="center"/>
              <w:rPr>
                <w:b/>
                <w:sz w:val="12"/>
              </w:rPr>
            </w:pPr>
            <w:r>
              <w:rPr>
                <w:b/>
                <w:w w:val="105"/>
                <w:sz w:val="12"/>
              </w:rPr>
              <w:t>C - A</w:t>
            </w:r>
          </w:p>
        </w:tc>
      </w:tr>
      <w:tr>
        <w:trPr>
          <w:trHeight w:val="300" w:hRule="atLeast"/>
        </w:trPr>
        <w:tc>
          <w:tcPr>
            <w:tcW w:w="3251" w:type="dxa"/>
            <w:vMerge/>
            <w:tcBorders>
              <w:top w:val="nil"/>
            </w:tcBorders>
          </w:tcPr>
          <w:p>
            <w:pPr>
              <w:rPr>
                <w:sz w:val="2"/>
                <w:szCs w:val="2"/>
              </w:rPr>
            </w:pPr>
          </w:p>
        </w:tc>
        <w:tc>
          <w:tcPr>
            <w:tcW w:w="738" w:type="dxa"/>
            <w:tcBorders>
              <w:right w:val="nil"/>
            </w:tcBorders>
          </w:tcPr>
          <w:p>
            <w:pPr>
              <w:pStyle w:val="TableParagraph"/>
              <w:spacing w:before="72"/>
              <w:ind w:left="49"/>
              <w:rPr>
                <w:b/>
                <w:sz w:val="13"/>
              </w:rPr>
            </w:pPr>
            <w:r>
              <w:rPr>
                <w:b/>
                <w:w w:val="105"/>
                <w:sz w:val="13"/>
              </w:rPr>
              <w:t>292.175,23</w:t>
            </w:r>
          </w:p>
        </w:tc>
        <w:tc>
          <w:tcPr>
            <w:tcW w:w="754" w:type="dxa"/>
            <w:tcBorders>
              <w:left w:val="nil"/>
              <w:right w:val="nil"/>
            </w:tcBorders>
          </w:tcPr>
          <w:p>
            <w:pPr>
              <w:pStyle w:val="TableParagraph"/>
              <w:spacing w:before="72"/>
              <w:ind w:left="74"/>
              <w:rPr>
                <w:sz w:val="13"/>
              </w:rPr>
            </w:pPr>
            <w:r>
              <w:rPr>
                <w:w w:val="105"/>
                <w:sz w:val="13"/>
              </w:rPr>
              <w:t>188.348,55</w:t>
            </w:r>
          </w:p>
        </w:tc>
        <w:tc>
          <w:tcPr>
            <w:tcW w:w="741" w:type="dxa"/>
            <w:tcBorders>
              <w:left w:val="nil"/>
            </w:tcBorders>
          </w:tcPr>
          <w:p>
            <w:pPr>
              <w:pStyle w:val="TableParagraph"/>
              <w:spacing w:before="72"/>
              <w:ind w:left="76"/>
              <w:rPr>
                <w:sz w:val="13"/>
              </w:rPr>
            </w:pPr>
            <w:r>
              <w:rPr>
                <w:w w:val="105"/>
                <w:sz w:val="13"/>
              </w:rPr>
              <w:t>103.826,68</w:t>
            </w:r>
          </w:p>
        </w:tc>
        <w:tc>
          <w:tcPr>
            <w:tcW w:w="726" w:type="dxa"/>
          </w:tcPr>
          <w:p>
            <w:pPr>
              <w:pStyle w:val="TableParagraph"/>
              <w:spacing w:before="72"/>
              <w:ind w:left="85"/>
              <w:rPr>
                <w:b/>
                <w:sz w:val="13"/>
              </w:rPr>
            </w:pPr>
            <w:r>
              <w:rPr>
                <w:b/>
                <w:w w:val="105"/>
                <w:sz w:val="13"/>
              </w:rPr>
              <w:t>88.613,38</w:t>
            </w:r>
          </w:p>
        </w:tc>
        <w:tc>
          <w:tcPr>
            <w:tcW w:w="819" w:type="dxa"/>
          </w:tcPr>
          <w:p>
            <w:pPr>
              <w:pStyle w:val="TableParagraph"/>
              <w:spacing w:before="72"/>
              <w:ind w:left="74" w:right="68"/>
              <w:jc w:val="center"/>
              <w:rPr>
                <w:sz w:val="13"/>
              </w:rPr>
            </w:pPr>
            <w:r>
              <w:rPr>
                <w:w w:val="105"/>
                <w:sz w:val="13"/>
              </w:rPr>
              <w:t>- 99.735,17</w:t>
            </w:r>
          </w:p>
        </w:tc>
      </w:tr>
    </w:tbl>
    <w:p>
      <w:pPr>
        <w:pStyle w:val="BodyText"/>
      </w:pPr>
    </w:p>
    <w:p>
      <w:pPr>
        <w:pStyle w:val="BodyText"/>
      </w:pPr>
    </w:p>
    <w:p>
      <w:pPr>
        <w:pStyle w:val="BodyText"/>
      </w:pPr>
    </w:p>
    <w:p>
      <w:pPr>
        <w:pStyle w:val="BodyText"/>
      </w:pPr>
    </w:p>
    <w:p>
      <w:pPr>
        <w:pStyle w:val="BodyText"/>
        <w:spacing w:before="7"/>
        <w:rPr>
          <w:sz w:val="24"/>
        </w:rPr>
      </w:pPr>
    </w:p>
    <w:p>
      <w:pPr>
        <w:pStyle w:val="BodyText"/>
        <w:spacing w:before="61"/>
        <w:ind w:left="7794"/>
        <w:jc w:val="center"/>
      </w:pPr>
      <w:r>
        <w:rPr/>
        <w:t>101</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13" name="image5.png"/>
                  <wp:cNvGraphicFramePr>
                    <a:graphicFrameLocks noChangeAspect="1"/>
                  </wp:cNvGraphicFramePr>
                  <a:graphic>
                    <a:graphicData uri="http://schemas.openxmlformats.org/drawingml/2006/picture">
                      <pic:pic>
                        <pic:nvPicPr>
                          <pic:cNvPr id="21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03"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103/247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1"/>
        <w:rPr>
          <w:b/>
          <w:sz w:val="14"/>
        </w:rPr>
      </w:pPr>
    </w:p>
    <w:tbl>
      <w:tblPr>
        <w:tblW w:w="0" w:type="auto"/>
        <w:jc w:val="left"/>
        <w:tblInd w:w="3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1"/>
        <w:gridCol w:w="1695"/>
        <w:gridCol w:w="1040"/>
      </w:tblGrid>
      <w:tr>
        <w:trPr>
          <w:trHeight w:val="306" w:hRule="atLeast"/>
        </w:trPr>
        <w:tc>
          <w:tcPr>
            <w:tcW w:w="1321" w:type="dxa"/>
            <w:tcBorders>
              <w:top w:val="single" w:sz="4" w:space="0" w:color="000000"/>
              <w:left w:val="single" w:sz="4" w:space="0" w:color="000000"/>
              <w:bottom w:val="single" w:sz="4" w:space="0" w:color="000000"/>
            </w:tcBorders>
            <w:shd w:val="clear" w:color="auto" w:fill="DEEAF6"/>
          </w:tcPr>
          <w:p>
            <w:pPr>
              <w:pStyle w:val="TableParagraph"/>
              <w:spacing w:before="80"/>
              <w:ind w:left="140" w:right="89"/>
              <w:jc w:val="center"/>
              <w:rPr>
                <w:b/>
                <w:sz w:val="12"/>
              </w:rPr>
            </w:pPr>
            <w:r>
              <w:rPr>
                <w:b/>
                <w:w w:val="105"/>
                <w:sz w:val="12"/>
              </w:rPr>
              <w:t>Año</w:t>
            </w:r>
          </w:p>
        </w:tc>
        <w:tc>
          <w:tcPr>
            <w:tcW w:w="2735" w:type="dxa"/>
            <w:gridSpan w:val="2"/>
            <w:tcBorders>
              <w:top w:val="single" w:sz="4" w:space="0" w:color="000000"/>
              <w:bottom w:val="single" w:sz="4" w:space="0" w:color="000000"/>
              <w:right w:val="single" w:sz="4" w:space="0" w:color="000000"/>
            </w:tcBorders>
            <w:shd w:val="clear" w:color="auto" w:fill="DEEAF6"/>
          </w:tcPr>
          <w:p>
            <w:pPr>
              <w:pStyle w:val="TableParagraph"/>
              <w:tabs>
                <w:tab w:pos="2292" w:val="left" w:leader="none"/>
              </w:tabs>
              <w:spacing w:line="160" w:lineRule="auto" w:before="15"/>
              <w:ind w:left="134"/>
              <w:rPr>
                <w:b/>
                <w:sz w:val="12"/>
              </w:rPr>
            </w:pPr>
            <w:r>
              <w:rPr>
                <w:b/>
                <w:w w:val="105"/>
                <w:sz w:val="12"/>
              </w:rPr>
              <w:t>Pendientes de cobro</w:t>
            </w:r>
            <w:r>
              <w:rPr>
                <w:b/>
                <w:spacing w:val="-7"/>
                <w:w w:val="105"/>
                <w:sz w:val="12"/>
              </w:rPr>
              <w:t> </w:t>
            </w:r>
            <w:r>
              <w:rPr>
                <w:b/>
                <w:w w:val="105"/>
                <w:sz w:val="12"/>
              </w:rPr>
              <w:t>de cerrados</w:t>
              <w:tab/>
            </w:r>
            <w:r>
              <w:rPr>
                <w:b/>
                <w:w w:val="105"/>
                <w:position w:val="-7"/>
                <w:sz w:val="12"/>
              </w:rPr>
              <w:t>%</w:t>
            </w:r>
          </w:p>
          <w:p>
            <w:pPr>
              <w:pStyle w:val="TableParagraph"/>
              <w:spacing w:line="93" w:lineRule="exact"/>
              <w:ind w:left="637"/>
              <w:rPr>
                <w:b/>
                <w:sz w:val="12"/>
              </w:rPr>
            </w:pPr>
            <w:r>
              <w:rPr>
                <w:b/>
                <w:w w:val="105"/>
                <w:sz w:val="12"/>
              </w:rPr>
              <w:t>a 31/12/2022</w:t>
            </w:r>
          </w:p>
        </w:tc>
      </w:tr>
      <w:tr>
        <w:trPr>
          <w:trHeight w:val="201" w:hRule="atLeast"/>
        </w:trPr>
        <w:tc>
          <w:tcPr>
            <w:tcW w:w="1321" w:type="dxa"/>
            <w:tcBorders>
              <w:top w:val="single" w:sz="4" w:space="0" w:color="000000"/>
              <w:left w:val="single" w:sz="8" w:space="0" w:color="000000"/>
            </w:tcBorders>
          </w:tcPr>
          <w:p>
            <w:pPr>
              <w:pStyle w:val="TableParagraph"/>
              <w:spacing w:before="16"/>
              <w:ind w:left="172" w:right="127"/>
              <w:jc w:val="center"/>
              <w:rPr>
                <w:sz w:val="13"/>
              </w:rPr>
            </w:pPr>
            <w:r>
              <w:rPr>
                <w:w w:val="105"/>
                <w:sz w:val="13"/>
              </w:rPr>
              <w:t>2016 y anteriores</w:t>
            </w:r>
          </w:p>
        </w:tc>
        <w:tc>
          <w:tcPr>
            <w:tcW w:w="1695" w:type="dxa"/>
            <w:tcBorders>
              <w:top w:val="single" w:sz="4" w:space="0" w:color="000000"/>
            </w:tcBorders>
          </w:tcPr>
          <w:p>
            <w:pPr>
              <w:pStyle w:val="TableParagraph"/>
              <w:spacing w:before="16"/>
              <w:ind w:right="426"/>
              <w:jc w:val="right"/>
              <w:rPr>
                <w:sz w:val="13"/>
              </w:rPr>
            </w:pPr>
            <w:r>
              <w:rPr>
                <w:w w:val="105"/>
                <w:sz w:val="13"/>
              </w:rPr>
              <w:t>29.369,47</w:t>
            </w:r>
          </w:p>
        </w:tc>
        <w:tc>
          <w:tcPr>
            <w:tcW w:w="1040" w:type="dxa"/>
            <w:tcBorders>
              <w:top w:val="single" w:sz="4" w:space="0" w:color="000000"/>
              <w:right w:val="single" w:sz="8" w:space="0" w:color="000000"/>
            </w:tcBorders>
          </w:tcPr>
          <w:p>
            <w:pPr>
              <w:pStyle w:val="TableParagraph"/>
              <w:spacing w:before="16"/>
              <w:ind w:right="180"/>
              <w:jc w:val="right"/>
              <w:rPr>
                <w:sz w:val="13"/>
              </w:rPr>
            </w:pPr>
            <w:r>
              <w:rPr>
                <w:sz w:val="13"/>
              </w:rPr>
              <w:t>33,14%</w:t>
            </w:r>
          </w:p>
        </w:tc>
      </w:tr>
      <w:tr>
        <w:trPr>
          <w:trHeight w:val="190" w:hRule="atLeast"/>
        </w:trPr>
        <w:tc>
          <w:tcPr>
            <w:tcW w:w="1321" w:type="dxa"/>
            <w:tcBorders>
              <w:left w:val="single" w:sz="8" w:space="0" w:color="000000"/>
            </w:tcBorders>
          </w:tcPr>
          <w:p>
            <w:pPr>
              <w:pStyle w:val="TableParagraph"/>
              <w:spacing w:before="4"/>
              <w:ind w:left="172" w:right="125"/>
              <w:jc w:val="center"/>
              <w:rPr>
                <w:sz w:val="13"/>
              </w:rPr>
            </w:pPr>
            <w:r>
              <w:rPr>
                <w:w w:val="105"/>
                <w:sz w:val="13"/>
              </w:rPr>
              <w:t>2017</w:t>
            </w:r>
          </w:p>
        </w:tc>
        <w:tc>
          <w:tcPr>
            <w:tcW w:w="1695" w:type="dxa"/>
          </w:tcPr>
          <w:p>
            <w:pPr>
              <w:pStyle w:val="TableParagraph"/>
              <w:spacing w:before="4"/>
              <w:ind w:right="460"/>
              <w:jc w:val="right"/>
              <w:rPr>
                <w:sz w:val="13"/>
              </w:rPr>
            </w:pPr>
            <w:r>
              <w:rPr>
                <w:w w:val="105"/>
                <w:sz w:val="13"/>
              </w:rPr>
              <w:t>8.218,80</w:t>
            </w:r>
          </w:p>
        </w:tc>
        <w:tc>
          <w:tcPr>
            <w:tcW w:w="1040" w:type="dxa"/>
            <w:tcBorders>
              <w:right w:val="single" w:sz="8" w:space="0" w:color="000000"/>
            </w:tcBorders>
          </w:tcPr>
          <w:p>
            <w:pPr>
              <w:pStyle w:val="TableParagraph"/>
              <w:spacing w:before="4"/>
              <w:ind w:right="215"/>
              <w:jc w:val="right"/>
              <w:rPr>
                <w:sz w:val="13"/>
              </w:rPr>
            </w:pPr>
            <w:r>
              <w:rPr>
                <w:sz w:val="13"/>
              </w:rPr>
              <w:t>9,27%</w:t>
            </w:r>
          </w:p>
        </w:tc>
      </w:tr>
      <w:tr>
        <w:trPr>
          <w:trHeight w:val="190" w:hRule="atLeast"/>
        </w:trPr>
        <w:tc>
          <w:tcPr>
            <w:tcW w:w="1321" w:type="dxa"/>
            <w:tcBorders>
              <w:left w:val="single" w:sz="8" w:space="0" w:color="000000"/>
            </w:tcBorders>
          </w:tcPr>
          <w:p>
            <w:pPr>
              <w:pStyle w:val="TableParagraph"/>
              <w:spacing w:before="5"/>
              <w:ind w:left="172" w:right="125"/>
              <w:jc w:val="center"/>
              <w:rPr>
                <w:sz w:val="13"/>
              </w:rPr>
            </w:pPr>
            <w:r>
              <w:rPr>
                <w:w w:val="105"/>
                <w:sz w:val="13"/>
              </w:rPr>
              <w:t>2018</w:t>
            </w:r>
          </w:p>
        </w:tc>
        <w:tc>
          <w:tcPr>
            <w:tcW w:w="1695" w:type="dxa"/>
          </w:tcPr>
          <w:p>
            <w:pPr>
              <w:pStyle w:val="TableParagraph"/>
              <w:spacing w:before="5"/>
              <w:ind w:right="460"/>
              <w:jc w:val="right"/>
              <w:rPr>
                <w:sz w:val="13"/>
              </w:rPr>
            </w:pPr>
            <w:r>
              <w:rPr>
                <w:w w:val="105"/>
                <w:sz w:val="13"/>
              </w:rPr>
              <w:t>9.061,02</w:t>
            </w:r>
          </w:p>
        </w:tc>
        <w:tc>
          <w:tcPr>
            <w:tcW w:w="1040" w:type="dxa"/>
            <w:tcBorders>
              <w:right w:val="single" w:sz="8" w:space="0" w:color="000000"/>
            </w:tcBorders>
          </w:tcPr>
          <w:p>
            <w:pPr>
              <w:pStyle w:val="TableParagraph"/>
              <w:spacing w:before="5"/>
              <w:ind w:right="180"/>
              <w:jc w:val="right"/>
              <w:rPr>
                <w:sz w:val="13"/>
              </w:rPr>
            </w:pPr>
            <w:r>
              <w:rPr>
                <w:sz w:val="13"/>
              </w:rPr>
              <w:t>10,23%</w:t>
            </w:r>
          </w:p>
        </w:tc>
      </w:tr>
      <w:tr>
        <w:trPr>
          <w:trHeight w:val="190" w:hRule="atLeast"/>
        </w:trPr>
        <w:tc>
          <w:tcPr>
            <w:tcW w:w="1321" w:type="dxa"/>
            <w:tcBorders>
              <w:left w:val="single" w:sz="8" w:space="0" w:color="000000"/>
            </w:tcBorders>
          </w:tcPr>
          <w:p>
            <w:pPr>
              <w:pStyle w:val="TableParagraph"/>
              <w:spacing w:before="4"/>
              <w:ind w:left="172" w:right="125"/>
              <w:jc w:val="center"/>
              <w:rPr>
                <w:sz w:val="13"/>
              </w:rPr>
            </w:pPr>
            <w:r>
              <w:rPr>
                <w:w w:val="105"/>
                <w:sz w:val="13"/>
              </w:rPr>
              <w:t>2019</w:t>
            </w:r>
          </w:p>
        </w:tc>
        <w:tc>
          <w:tcPr>
            <w:tcW w:w="1695" w:type="dxa"/>
          </w:tcPr>
          <w:p>
            <w:pPr>
              <w:pStyle w:val="TableParagraph"/>
              <w:spacing w:before="4"/>
              <w:ind w:right="426"/>
              <w:jc w:val="right"/>
              <w:rPr>
                <w:sz w:val="13"/>
              </w:rPr>
            </w:pPr>
            <w:r>
              <w:rPr>
                <w:w w:val="105"/>
                <w:sz w:val="13"/>
              </w:rPr>
              <w:t>12.314,82</w:t>
            </w:r>
          </w:p>
        </w:tc>
        <w:tc>
          <w:tcPr>
            <w:tcW w:w="1040" w:type="dxa"/>
            <w:tcBorders>
              <w:right w:val="single" w:sz="8" w:space="0" w:color="000000"/>
            </w:tcBorders>
          </w:tcPr>
          <w:p>
            <w:pPr>
              <w:pStyle w:val="TableParagraph"/>
              <w:spacing w:before="4"/>
              <w:ind w:right="180"/>
              <w:jc w:val="right"/>
              <w:rPr>
                <w:sz w:val="13"/>
              </w:rPr>
            </w:pPr>
            <w:r>
              <w:rPr>
                <w:sz w:val="13"/>
              </w:rPr>
              <w:t>13,90%</w:t>
            </w:r>
          </w:p>
        </w:tc>
      </w:tr>
      <w:tr>
        <w:trPr>
          <w:trHeight w:val="190" w:hRule="atLeast"/>
        </w:trPr>
        <w:tc>
          <w:tcPr>
            <w:tcW w:w="1321" w:type="dxa"/>
            <w:tcBorders>
              <w:left w:val="single" w:sz="8" w:space="0" w:color="000000"/>
            </w:tcBorders>
          </w:tcPr>
          <w:p>
            <w:pPr>
              <w:pStyle w:val="TableParagraph"/>
              <w:spacing w:before="5"/>
              <w:ind w:left="172" w:right="125"/>
              <w:jc w:val="center"/>
              <w:rPr>
                <w:sz w:val="13"/>
              </w:rPr>
            </w:pPr>
            <w:r>
              <w:rPr>
                <w:w w:val="105"/>
                <w:sz w:val="13"/>
              </w:rPr>
              <w:t>2020</w:t>
            </w:r>
          </w:p>
        </w:tc>
        <w:tc>
          <w:tcPr>
            <w:tcW w:w="1695" w:type="dxa"/>
          </w:tcPr>
          <w:p>
            <w:pPr>
              <w:pStyle w:val="TableParagraph"/>
              <w:spacing w:before="5"/>
              <w:ind w:right="426"/>
              <w:jc w:val="right"/>
              <w:rPr>
                <w:sz w:val="13"/>
              </w:rPr>
            </w:pPr>
            <w:r>
              <w:rPr>
                <w:w w:val="105"/>
                <w:sz w:val="13"/>
              </w:rPr>
              <w:t>12.603,15</w:t>
            </w:r>
          </w:p>
        </w:tc>
        <w:tc>
          <w:tcPr>
            <w:tcW w:w="1040" w:type="dxa"/>
            <w:tcBorders>
              <w:right w:val="single" w:sz="8" w:space="0" w:color="000000"/>
            </w:tcBorders>
          </w:tcPr>
          <w:p>
            <w:pPr>
              <w:pStyle w:val="TableParagraph"/>
              <w:spacing w:before="5"/>
              <w:ind w:right="180"/>
              <w:jc w:val="right"/>
              <w:rPr>
                <w:sz w:val="13"/>
              </w:rPr>
            </w:pPr>
            <w:r>
              <w:rPr>
                <w:sz w:val="13"/>
              </w:rPr>
              <w:t>14,22%</w:t>
            </w:r>
          </w:p>
        </w:tc>
      </w:tr>
      <w:tr>
        <w:trPr>
          <w:trHeight w:val="177" w:hRule="atLeast"/>
        </w:trPr>
        <w:tc>
          <w:tcPr>
            <w:tcW w:w="1321" w:type="dxa"/>
            <w:tcBorders>
              <w:left w:val="single" w:sz="8" w:space="0" w:color="000000"/>
              <w:bottom w:val="single" w:sz="4" w:space="0" w:color="000000"/>
            </w:tcBorders>
          </w:tcPr>
          <w:p>
            <w:pPr>
              <w:pStyle w:val="TableParagraph"/>
              <w:spacing w:line="153" w:lineRule="exact" w:before="4"/>
              <w:ind w:left="172" w:right="125"/>
              <w:jc w:val="center"/>
              <w:rPr>
                <w:sz w:val="13"/>
              </w:rPr>
            </w:pPr>
            <w:r>
              <w:rPr>
                <w:w w:val="105"/>
                <w:sz w:val="13"/>
              </w:rPr>
              <w:t>2021</w:t>
            </w:r>
          </w:p>
        </w:tc>
        <w:tc>
          <w:tcPr>
            <w:tcW w:w="1695" w:type="dxa"/>
            <w:tcBorders>
              <w:bottom w:val="single" w:sz="4" w:space="0" w:color="000000"/>
            </w:tcBorders>
          </w:tcPr>
          <w:p>
            <w:pPr>
              <w:pStyle w:val="TableParagraph"/>
              <w:spacing w:line="153" w:lineRule="exact" w:before="4"/>
              <w:ind w:right="426"/>
              <w:jc w:val="right"/>
              <w:rPr>
                <w:sz w:val="13"/>
              </w:rPr>
            </w:pPr>
            <w:r>
              <w:rPr>
                <w:w w:val="105"/>
                <w:sz w:val="13"/>
              </w:rPr>
              <w:t>17.046,13</w:t>
            </w:r>
          </w:p>
        </w:tc>
        <w:tc>
          <w:tcPr>
            <w:tcW w:w="1040" w:type="dxa"/>
            <w:tcBorders>
              <w:bottom w:val="single" w:sz="4" w:space="0" w:color="000000"/>
              <w:right w:val="single" w:sz="8" w:space="0" w:color="000000"/>
            </w:tcBorders>
          </w:tcPr>
          <w:p>
            <w:pPr>
              <w:pStyle w:val="TableParagraph"/>
              <w:spacing w:line="153" w:lineRule="exact" w:before="4"/>
              <w:ind w:right="180"/>
              <w:jc w:val="right"/>
              <w:rPr>
                <w:sz w:val="13"/>
              </w:rPr>
            </w:pPr>
            <w:r>
              <w:rPr>
                <w:sz w:val="13"/>
              </w:rPr>
              <w:t>19,24%</w:t>
            </w:r>
          </w:p>
        </w:tc>
      </w:tr>
      <w:tr>
        <w:trPr>
          <w:trHeight w:val="189" w:hRule="atLeast"/>
        </w:trPr>
        <w:tc>
          <w:tcPr>
            <w:tcW w:w="1321" w:type="dxa"/>
            <w:tcBorders>
              <w:top w:val="single" w:sz="4" w:space="0" w:color="000000"/>
              <w:left w:val="single" w:sz="4" w:space="0" w:color="000000"/>
              <w:bottom w:val="single" w:sz="4" w:space="0" w:color="000000"/>
            </w:tcBorders>
            <w:shd w:val="clear" w:color="auto" w:fill="D9D9D9"/>
          </w:tcPr>
          <w:p>
            <w:pPr>
              <w:pStyle w:val="TableParagraph"/>
              <w:spacing w:line="153" w:lineRule="exact" w:before="16"/>
              <w:ind w:left="140" w:right="89"/>
              <w:jc w:val="center"/>
              <w:rPr>
                <w:sz w:val="13"/>
              </w:rPr>
            </w:pPr>
            <w:r>
              <w:rPr>
                <w:b/>
                <w:w w:val="105"/>
                <w:sz w:val="13"/>
              </w:rPr>
              <w:t>TOTAL (</w:t>
            </w:r>
            <w:r>
              <w:rPr>
                <w:w w:val="105"/>
                <w:sz w:val="13"/>
              </w:rPr>
              <w:t>miles de €)</w:t>
            </w:r>
          </w:p>
        </w:tc>
        <w:tc>
          <w:tcPr>
            <w:tcW w:w="1695" w:type="dxa"/>
            <w:tcBorders>
              <w:top w:val="single" w:sz="4" w:space="0" w:color="000000"/>
              <w:bottom w:val="single" w:sz="4" w:space="0" w:color="000000"/>
            </w:tcBorders>
            <w:shd w:val="clear" w:color="auto" w:fill="D9D9D9"/>
          </w:tcPr>
          <w:p>
            <w:pPr>
              <w:pStyle w:val="TableParagraph"/>
              <w:spacing w:line="153" w:lineRule="exact" w:before="16"/>
              <w:ind w:right="424"/>
              <w:jc w:val="right"/>
              <w:rPr>
                <w:b/>
                <w:sz w:val="13"/>
              </w:rPr>
            </w:pPr>
            <w:r>
              <w:rPr>
                <w:b/>
                <w:w w:val="105"/>
                <w:sz w:val="13"/>
              </w:rPr>
              <w:t>88.613,38</w:t>
            </w:r>
          </w:p>
        </w:tc>
        <w:tc>
          <w:tcPr>
            <w:tcW w:w="1040" w:type="dxa"/>
            <w:tcBorders>
              <w:top w:val="single" w:sz="4" w:space="0" w:color="000000"/>
              <w:bottom w:val="single" w:sz="4" w:space="0" w:color="000000"/>
              <w:right w:val="single" w:sz="4" w:space="0" w:color="000000"/>
            </w:tcBorders>
            <w:shd w:val="clear" w:color="auto" w:fill="D9D9D9"/>
          </w:tcPr>
          <w:p>
            <w:pPr>
              <w:pStyle w:val="TableParagraph"/>
              <w:rPr>
                <w:rFonts w:ascii="Times New Roman"/>
                <w:sz w:val="12"/>
              </w:rPr>
            </w:pPr>
          </w:p>
        </w:tc>
      </w:tr>
    </w:tbl>
    <w:p>
      <w:pPr>
        <w:pStyle w:val="BodyText"/>
        <w:spacing w:before="7"/>
        <w:rPr>
          <w:b/>
          <w:sz w:val="11"/>
        </w:rPr>
      </w:pPr>
    </w:p>
    <w:p>
      <w:pPr>
        <w:pStyle w:val="BodyText"/>
        <w:spacing w:line="242" w:lineRule="auto" w:before="61"/>
        <w:ind w:left="2334" w:right="1140" w:hanging="238"/>
        <w:jc w:val="both"/>
      </w:pPr>
      <w:r>
        <w:rPr/>
        <w:t>6. Durante 2022 se produce una depuración del importe pendiente de cobro de ejercicios anteriores, al recaudarse 173,2 millones de € y dar de baja mediante anulaciones a 30,4 millones de €, registrándose el 99,6 % de estas en el concepto presupuestario 359. Del total de estas anulaciones, 30 millones de € son de liquidaciones, el resto corresponde a aplazamientos y fraccionamientos.</w:t>
      </w:r>
    </w:p>
    <w:p>
      <w:pPr>
        <w:pStyle w:val="BodyText"/>
        <w:spacing w:before="5"/>
        <w:rPr>
          <w:sz w:val="16"/>
        </w:rPr>
      </w:pPr>
    </w:p>
    <w:p>
      <w:pPr>
        <w:pStyle w:val="BodyText"/>
        <w:ind w:left="2334" w:right="1142"/>
        <w:jc w:val="both"/>
      </w:pPr>
      <w:r>
        <w:rPr/>
        <w:t>Concretamente para el pendiente de cobro de ejercicios cerrados contabilizado en el concepto 359, que al inicio del ejercicio 2022 tenía un saldo de 112,6 millones de €, en su mayoría en atención especializada, sólo se recaudó un 5,9 %, correspondiendo el resto a bajas por anulaciones (un 26,9 %), quedando aún un saldo pendiente de 75,7 millones de € a final del ejercicio. Esta misma situación se viene repitiendo en años anteriores, aunque se observa una mejora en la depuración del saldo mediante un incremento de las anulaciones (en 2021, sólo se había dado de baja al 3,2 %).</w:t>
      </w:r>
    </w:p>
    <w:p>
      <w:pPr>
        <w:pStyle w:val="BodyText"/>
        <w:spacing w:before="5"/>
        <w:rPr>
          <w:sz w:val="17"/>
        </w:rPr>
      </w:pPr>
    </w:p>
    <w:tbl>
      <w:tblPr>
        <w:tblW w:w="0" w:type="auto"/>
        <w:jc w:val="lef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63"/>
        <w:gridCol w:w="858"/>
        <w:gridCol w:w="778"/>
        <w:gridCol w:w="917"/>
        <w:gridCol w:w="778"/>
      </w:tblGrid>
      <w:tr>
        <w:trPr>
          <w:trHeight w:val="459" w:hRule="atLeast"/>
        </w:trPr>
        <w:tc>
          <w:tcPr>
            <w:tcW w:w="3563" w:type="dxa"/>
            <w:shd w:val="clear" w:color="auto" w:fill="DEEAF6"/>
          </w:tcPr>
          <w:p>
            <w:pPr>
              <w:pStyle w:val="TableParagraph"/>
              <w:spacing w:before="4"/>
              <w:rPr>
                <w:sz w:val="12"/>
              </w:rPr>
            </w:pPr>
          </w:p>
          <w:p>
            <w:pPr>
              <w:pStyle w:val="TableParagraph"/>
              <w:spacing w:before="1"/>
              <w:ind w:left="57"/>
              <w:rPr>
                <w:b/>
                <w:sz w:val="13"/>
              </w:rPr>
            </w:pPr>
            <w:r>
              <w:rPr>
                <w:b/>
                <w:w w:val="105"/>
                <w:sz w:val="13"/>
              </w:rPr>
              <w:t>Otros ingresos procedentes de prestaciones de servicios</w:t>
            </w:r>
          </w:p>
        </w:tc>
        <w:tc>
          <w:tcPr>
            <w:tcW w:w="858" w:type="dxa"/>
            <w:shd w:val="clear" w:color="auto" w:fill="DEEAF6"/>
          </w:tcPr>
          <w:p>
            <w:pPr>
              <w:pStyle w:val="TableParagraph"/>
              <w:spacing w:before="3"/>
              <w:ind w:left="190" w:hanging="31"/>
              <w:rPr>
                <w:b/>
                <w:sz w:val="12"/>
              </w:rPr>
            </w:pPr>
            <w:r>
              <w:rPr>
                <w:b/>
                <w:w w:val="105"/>
                <w:sz w:val="12"/>
              </w:rPr>
              <w:t>Pendiente</w:t>
            </w:r>
          </w:p>
          <w:p>
            <w:pPr>
              <w:pStyle w:val="TableParagraph"/>
              <w:spacing w:line="150" w:lineRule="atLeast" w:before="6"/>
              <w:ind w:left="182" w:right="154" w:firstLine="8"/>
              <w:rPr>
                <w:b/>
                <w:sz w:val="12"/>
              </w:rPr>
            </w:pPr>
            <w:r>
              <w:rPr>
                <w:b/>
                <w:w w:val="105"/>
                <w:sz w:val="12"/>
              </w:rPr>
              <w:t>de Cobro 01/01/22</w:t>
            </w:r>
          </w:p>
        </w:tc>
        <w:tc>
          <w:tcPr>
            <w:tcW w:w="778" w:type="dxa"/>
            <w:shd w:val="clear" w:color="auto" w:fill="DEEAF6"/>
          </w:tcPr>
          <w:p>
            <w:pPr>
              <w:pStyle w:val="TableParagraph"/>
              <w:spacing w:line="252" w:lineRule="auto" w:before="82"/>
              <w:ind w:left="143" w:right="114"/>
              <w:rPr>
                <w:b/>
                <w:sz w:val="12"/>
              </w:rPr>
            </w:pPr>
            <w:r>
              <w:rPr>
                <w:b/>
                <w:w w:val="105"/>
                <w:sz w:val="12"/>
              </w:rPr>
              <w:t>Derechos Anulados</w:t>
            </w:r>
          </w:p>
        </w:tc>
        <w:tc>
          <w:tcPr>
            <w:tcW w:w="917" w:type="dxa"/>
            <w:shd w:val="clear" w:color="auto" w:fill="DEEAF6"/>
          </w:tcPr>
          <w:p>
            <w:pPr>
              <w:pStyle w:val="TableParagraph"/>
              <w:rPr>
                <w:sz w:val="13"/>
              </w:rPr>
            </w:pPr>
          </w:p>
          <w:p>
            <w:pPr>
              <w:pStyle w:val="TableParagraph"/>
              <w:ind w:right="113"/>
              <w:jc w:val="right"/>
              <w:rPr>
                <w:b/>
                <w:sz w:val="12"/>
              </w:rPr>
            </w:pPr>
            <w:r>
              <w:rPr>
                <w:b/>
                <w:w w:val="105"/>
                <w:sz w:val="12"/>
              </w:rPr>
              <w:t>Recaudación</w:t>
            </w:r>
          </w:p>
        </w:tc>
        <w:tc>
          <w:tcPr>
            <w:tcW w:w="778" w:type="dxa"/>
            <w:shd w:val="clear" w:color="auto" w:fill="DEEAF6"/>
          </w:tcPr>
          <w:p>
            <w:pPr>
              <w:pStyle w:val="TableParagraph"/>
              <w:spacing w:before="3"/>
              <w:ind w:left="151" w:hanging="31"/>
              <w:rPr>
                <w:b/>
                <w:sz w:val="12"/>
              </w:rPr>
            </w:pPr>
            <w:r>
              <w:rPr>
                <w:b/>
                <w:w w:val="105"/>
                <w:sz w:val="12"/>
              </w:rPr>
              <w:t>Pendiente</w:t>
            </w:r>
          </w:p>
          <w:p>
            <w:pPr>
              <w:pStyle w:val="TableParagraph"/>
              <w:spacing w:line="150" w:lineRule="atLeast" w:before="6"/>
              <w:ind w:left="143" w:right="121" w:firstLine="8"/>
              <w:rPr>
                <w:b/>
                <w:sz w:val="12"/>
              </w:rPr>
            </w:pPr>
            <w:r>
              <w:rPr>
                <w:b/>
                <w:w w:val="105"/>
                <w:sz w:val="12"/>
              </w:rPr>
              <w:t>de Cobro </w:t>
            </w:r>
            <w:r>
              <w:rPr>
                <w:b/>
                <w:spacing w:val="-1"/>
                <w:w w:val="105"/>
                <w:sz w:val="12"/>
              </w:rPr>
              <w:t>31/12/22</w:t>
            </w:r>
          </w:p>
        </w:tc>
      </w:tr>
      <w:tr>
        <w:trPr>
          <w:trHeight w:val="174" w:hRule="atLeast"/>
        </w:trPr>
        <w:tc>
          <w:tcPr>
            <w:tcW w:w="3563" w:type="dxa"/>
            <w:tcBorders>
              <w:bottom w:val="nil"/>
            </w:tcBorders>
          </w:tcPr>
          <w:p>
            <w:pPr>
              <w:pStyle w:val="TableParagraph"/>
              <w:spacing w:line="153" w:lineRule="exact" w:before="2"/>
              <w:ind w:left="57"/>
              <w:rPr>
                <w:sz w:val="13"/>
              </w:rPr>
            </w:pPr>
            <w:r>
              <w:rPr>
                <w:w w:val="105"/>
                <w:sz w:val="13"/>
              </w:rPr>
              <w:t>35900 Ingresos Instituciones Sanitarias</w:t>
            </w:r>
          </w:p>
        </w:tc>
        <w:tc>
          <w:tcPr>
            <w:tcW w:w="858" w:type="dxa"/>
            <w:tcBorders>
              <w:bottom w:val="nil"/>
            </w:tcBorders>
          </w:tcPr>
          <w:p>
            <w:pPr>
              <w:pStyle w:val="TableParagraph"/>
              <w:spacing w:line="153" w:lineRule="exact" w:before="2"/>
              <w:ind w:right="44"/>
              <w:jc w:val="right"/>
              <w:rPr>
                <w:sz w:val="13"/>
              </w:rPr>
            </w:pPr>
            <w:r>
              <w:rPr>
                <w:sz w:val="13"/>
              </w:rPr>
              <w:t>9,02</w:t>
            </w:r>
          </w:p>
        </w:tc>
        <w:tc>
          <w:tcPr>
            <w:tcW w:w="778" w:type="dxa"/>
            <w:tcBorders>
              <w:bottom w:val="nil"/>
            </w:tcBorders>
          </w:tcPr>
          <w:p>
            <w:pPr>
              <w:pStyle w:val="TableParagraph"/>
              <w:spacing w:line="153" w:lineRule="exact" w:before="2"/>
              <w:ind w:right="44"/>
              <w:jc w:val="right"/>
              <w:rPr>
                <w:sz w:val="13"/>
              </w:rPr>
            </w:pPr>
            <w:r>
              <w:rPr>
                <w:sz w:val="13"/>
              </w:rPr>
              <w:t>0,00</w:t>
            </w:r>
          </w:p>
        </w:tc>
        <w:tc>
          <w:tcPr>
            <w:tcW w:w="917" w:type="dxa"/>
            <w:tcBorders>
              <w:bottom w:val="nil"/>
            </w:tcBorders>
          </w:tcPr>
          <w:p>
            <w:pPr>
              <w:pStyle w:val="TableParagraph"/>
              <w:spacing w:line="153" w:lineRule="exact" w:before="2"/>
              <w:ind w:right="44"/>
              <w:jc w:val="right"/>
              <w:rPr>
                <w:sz w:val="13"/>
              </w:rPr>
            </w:pPr>
            <w:r>
              <w:rPr>
                <w:sz w:val="13"/>
              </w:rPr>
              <w:t>0,00</w:t>
            </w:r>
          </w:p>
        </w:tc>
        <w:tc>
          <w:tcPr>
            <w:tcW w:w="778" w:type="dxa"/>
            <w:tcBorders>
              <w:bottom w:val="nil"/>
            </w:tcBorders>
          </w:tcPr>
          <w:p>
            <w:pPr>
              <w:pStyle w:val="TableParagraph"/>
              <w:spacing w:line="153" w:lineRule="exact" w:before="2"/>
              <w:ind w:right="44"/>
              <w:jc w:val="right"/>
              <w:rPr>
                <w:sz w:val="13"/>
              </w:rPr>
            </w:pPr>
            <w:r>
              <w:rPr>
                <w:sz w:val="13"/>
              </w:rPr>
              <w:t>9,02</w:t>
            </w:r>
          </w:p>
        </w:tc>
      </w:tr>
      <w:tr>
        <w:trPr>
          <w:trHeight w:val="164" w:hRule="atLeast"/>
        </w:trPr>
        <w:tc>
          <w:tcPr>
            <w:tcW w:w="3563" w:type="dxa"/>
            <w:tcBorders>
              <w:top w:val="nil"/>
              <w:bottom w:val="nil"/>
            </w:tcBorders>
          </w:tcPr>
          <w:p>
            <w:pPr>
              <w:pStyle w:val="TableParagraph"/>
              <w:spacing w:line="144" w:lineRule="exact"/>
              <w:ind w:left="57"/>
              <w:rPr>
                <w:sz w:val="13"/>
              </w:rPr>
            </w:pPr>
            <w:r>
              <w:rPr>
                <w:w w:val="105"/>
                <w:sz w:val="13"/>
              </w:rPr>
              <w:t>35909 Otros servicios</w:t>
            </w:r>
          </w:p>
        </w:tc>
        <w:tc>
          <w:tcPr>
            <w:tcW w:w="858" w:type="dxa"/>
            <w:tcBorders>
              <w:top w:val="nil"/>
              <w:bottom w:val="nil"/>
            </w:tcBorders>
          </w:tcPr>
          <w:p>
            <w:pPr>
              <w:pStyle w:val="TableParagraph"/>
              <w:spacing w:line="144" w:lineRule="exact"/>
              <w:ind w:right="44"/>
              <w:jc w:val="right"/>
              <w:rPr>
                <w:sz w:val="13"/>
              </w:rPr>
            </w:pPr>
            <w:r>
              <w:rPr>
                <w:sz w:val="13"/>
              </w:rPr>
              <w:t>-0,12</w:t>
            </w:r>
          </w:p>
        </w:tc>
        <w:tc>
          <w:tcPr>
            <w:tcW w:w="778" w:type="dxa"/>
            <w:tcBorders>
              <w:top w:val="nil"/>
              <w:bottom w:val="nil"/>
            </w:tcBorders>
          </w:tcPr>
          <w:p>
            <w:pPr>
              <w:pStyle w:val="TableParagraph"/>
              <w:spacing w:line="144" w:lineRule="exact"/>
              <w:ind w:right="44"/>
              <w:jc w:val="right"/>
              <w:rPr>
                <w:sz w:val="13"/>
              </w:rPr>
            </w:pPr>
            <w:r>
              <w:rPr>
                <w:sz w:val="13"/>
              </w:rPr>
              <w:t>0,00</w:t>
            </w:r>
          </w:p>
        </w:tc>
        <w:tc>
          <w:tcPr>
            <w:tcW w:w="917" w:type="dxa"/>
            <w:tcBorders>
              <w:top w:val="nil"/>
              <w:bottom w:val="nil"/>
            </w:tcBorders>
          </w:tcPr>
          <w:p>
            <w:pPr>
              <w:pStyle w:val="TableParagraph"/>
              <w:spacing w:line="144" w:lineRule="exact"/>
              <w:ind w:right="44"/>
              <w:jc w:val="right"/>
              <w:rPr>
                <w:sz w:val="13"/>
              </w:rPr>
            </w:pPr>
            <w:r>
              <w:rPr>
                <w:sz w:val="13"/>
              </w:rPr>
              <w:t>0,00</w:t>
            </w:r>
          </w:p>
        </w:tc>
        <w:tc>
          <w:tcPr>
            <w:tcW w:w="778" w:type="dxa"/>
            <w:tcBorders>
              <w:top w:val="nil"/>
              <w:bottom w:val="nil"/>
            </w:tcBorders>
          </w:tcPr>
          <w:p>
            <w:pPr>
              <w:pStyle w:val="TableParagraph"/>
              <w:spacing w:line="144" w:lineRule="exact"/>
              <w:ind w:right="44"/>
              <w:jc w:val="right"/>
              <w:rPr>
                <w:sz w:val="13"/>
              </w:rPr>
            </w:pPr>
            <w:r>
              <w:rPr>
                <w:sz w:val="13"/>
              </w:rPr>
              <w:t>-0,12</w:t>
            </w:r>
          </w:p>
        </w:tc>
      </w:tr>
      <w:tr>
        <w:trPr>
          <w:trHeight w:val="164" w:hRule="atLeast"/>
        </w:trPr>
        <w:tc>
          <w:tcPr>
            <w:tcW w:w="3563" w:type="dxa"/>
            <w:tcBorders>
              <w:top w:val="nil"/>
              <w:bottom w:val="nil"/>
            </w:tcBorders>
          </w:tcPr>
          <w:p>
            <w:pPr>
              <w:pStyle w:val="TableParagraph"/>
              <w:spacing w:line="144" w:lineRule="exact"/>
              <w:ind w:left="57"/>
              <w:rPr>
                <w:sz w:val="13"/>
              </w:rPr>
            </w:pPr>
            <w:r>
              <w:rPr>
                <w:w w:val="105"/>
                <w:sz w:val="13"/>
              </w:rPr>
              <w:t>35980 Gerencia H. Universitario de Canarias</w:t>
            </w:r>
          </w:p>
        </w:tc>
        <w:tc>
          <w:tcPr>
            <w:tcW w:w="858" w:type="dxa"/>
            <w:tcBorders>
              <w:top w:val="nil"/>
              <w:bottom w:val="nil"/>
            </w:tcBorders>
          </w:tcPr>
          <w:p>
            <w:pPr>
              <w:pStyle w:val="TableParagraph"/>
              <w:spacing w:line="144" w:lineRule="exact"/>
              <w:ind w:right="44"/>
              <w:jc w:val="right"/>
              <w:rPr>
                <w:sz w:val="13"/>
              </w:rPr>
            </w:pPr>
            <w:r>
              <w:rPr>
                <w:w w:val="105"/>
                <w:sz w:val="13"/>
              </w:rPr>
              <w:t>11.414,83</w:t>
            </w:r>
          </w:p>
        </w:tc>
        <w:tc>
          <w:tcPr>
            <w:tcW w:w="778" w:type="dxa"/>
            <w:tcBorders>
              <w:top w:val="nil"/>
              <w:bottom w:val="nil"/>
            </w:tcBorders>
          </w:tcPr>
          <w:p>
            <w:pPr>
              <w:pStyle w:val="TableParagraph"/>
              <w:spacing w:line="144" w:lineRule="exact"/>
              <w:ind w:right="44"/>
              <w:jc w:val="right"/>
              <w:rPr>
                <w:sz w:val="13"/>
              </w:rPr>
            </w:pPr>
            <w:r>
              <w:rPr>
                <w:w w:val="105"/>
                <w:sz w:val="13"/>
              </w:rPr>
              <w:t>2.412,71</w:t>
            </w:r>
          </w:p>
        </w:tc>
        <w:tc>
          <w:tcPr>
            <w:tcW w:w="917" w:type="dxa"/>
            <w:tcBorders>
              <w:top w:val="nil"/>
              <w:bottom w:val="nil"/>
            </w:tcBorders>
          </w:tcPr>
          <w:p>
            <w:pPr>
              <w:pStyle w:val="TableParagraph"/>
              <w:spacing w:line="144" w:lineRule="exact"/>
              <w:ind w:right="44"/>
              <w:jc w:val="right"/>
              <w:rPr>
                <w:sz w:val="13"/>
              </w:rPr>
            </w:pPr>
            <w:r>
              <w:rPr>
                <w:sz w:val="13"/>
              </w:rPr>
              <w:t>801,23</w:t>
            </w:r>
          </w:p>
        </w:tc>
        <w:tc>
          <w:tcPr>
            <w:tcW w:w="778" w:type="dxa"/>
            <w:tcBorders>
              <w:top w:val="nil"/>
              <w:bottom w:val="nil"/>
            </w:tcBorders>
          </w:tcPr>
          <w:p>
            <w:pPr>
              <w:pStyle w:val="TableParagraph"/>
              <w:spacing w:line="144" w:lineRule="exact"/>
              <w:ind w:right="44"/>
              <w:jc w:val="right"/>
              <w:rPr>
                <w:sz w:val="13"/>
              </w:rPr>
            </w:pPr>
            <w:r>
              <w:rPr>
                <w:w w:val="105"/>
                <w:sz w:val="13"/>
              </w:rPr>
              <w:t>8.200,89</w:t>
            </w:r>
          </w:p>
        </w:tc>
      </w:tr>
      <w:tr>
        <w:trPr>
          <w:trHeight w:val="164" w:hRule="atLeast"/>
        </w:trPr>
        <w:tc>
          <w:tcPr>
            <w:tcW w:w="3563" w:type="dxa"/>
            <w:tcBorders>
              <w:top w:val="nil"/>
              <w:bottom w:val="nil"/>
            </w:tcBorders>
          </w:tcPr>
          <w:p>
            <w:pPr>
              <w:pStyle w:val="TableParagraph"/>
              <w:spacing w:line="144" w:lineRule="exact"/>
              <w:ind w:left="57"/>
              <w:rPr>
                <w:sz w:val="13"/>
              </w:rPr>
            </w:pPr>
            <w:r>
              <w:rPr>
                <w:w w:val="105"/>
                <w:sz w:val="13"/>
              </w:rPr>
              <w:t>35981 Gerencia H. de G.C. Dr. Negrín</w:t>
            </w:r>
          </w:p>
        </w:tc>
        <w:tc>
          <w:tcPr>
            <w:tcW w:w="858" w:type="dxa"/>
            <w:tcBorders>
              <w:top w:val="nil"/>
              <w:bottom w:val="nil"/>
            </w:tcBorders>
          </w:tcPr>
          <w:p>
            <w:pPr>
              <w:pStyle w:val="TableParagraph"/>
              <w:spacing w:line="144" w:lineRule="exact"/>
              <w:ind w:right="44"/>
              <w:jc w:val="right"/>
              <w:rPr>
                <w:sz w:val="13"/>
              </w:rPr>
            </w:pPr>
            <w:r>
              <w:rPr>
                <w:w w:val="105"/>
                <w:sz w:val="13"/>
              </w:rPr>
              <w:t>18.023,67</w:t>
            </w:r>
          </w:p>
        </w:tc>
        <w:tc>
          <w:tcPr>
            <w:tcW w:w="778" w:type="dxa"/>
            <w:tcBorders>
              <w:top w:val="nil"/>
              <w:bottom w:val="nil"/>
            </w:tcBorders>
          </w:tcPr>
          <w:p>
            <w:pPr>
              <w:pStyle w:val="TableParagraph"/>
              <w:spacing w:line="144" w:lineRule="exact"/>
              <w:ind w:right="44"/>
              <w:jc w:val="right"/>
              <w:rPr>
                <w:sz w:val="13"/>
              </w:rPr>
            </w:pPr>
            <w:r>
              <w:rPr>
                <w:w w:val="105"/>
                <w:sz w:val="13"/>
              </w:rPr>
              <w:t>2.080,98</w:t>
            </w:r>
          </w:p>
        </w:tc>
        <w:tc>
          <w:tcPr>
            <w:tcW w:w="917" w:type="dxa"/>
            <w:tcBorders>
              <w:top w:val="nil"/>
              <w:bottom w:val="nil"/>
            </w:tcBorders>
          </w:tcPr>
          <w:p>
            <w:pPr>
              <w:pStyle w:val="TableParagraph"/>
              <w:spacing w:line="144" w:lineRule="exact"/>
              <w:ind w:right="44"/>
              <w:jc w:val="right"/>
              <w:rPr>
                <w:sz w:val="13"/>
              </w:rPr>
            </w:pPr>
            <w:r>
              <w:rPr>
                <w:w w:val="105"/>
                <w:sz w:val="13"/>
              </w:rPr>
              <w:t>1.215,13</w:t>
            </w:r>
          </w:p>
        </w:tc>
        <w:tc>
          <w:tcPr>
            <w:tcW w:w="778" w:type="dxa"/>
            <w:tcBorders>
              <w:top w:val="nil"/>
              <w:bottom w:val="nil"/>
            </w:tcBorders>
          </w:tcPr>
          <w:p>
            <w:pPr>
              <w:pStyle w:val="TableParagraph"/>
              <w:spacing w:line="144" w:lineRule="exact"/>
              <w:ind w:right="44"/>
              <w:jc w:val="right"/>
              <w:rPr>
                <w:sz w:val="13"/>
              </w:rPr>
            </w:pPr>
            <w:r>
              <w:rPr>
                <w:w w:val="105"/>
                <w:sz w:val="13"/>
              </w:rPr>
              <w:t>14.727,56</w:t>
            </w:r>
          </w:p>
        </w:tc>
      </w:tr>
      <w:tr>
        <w:trPr>
          <w:trHeight w:val="163" w:hRule="atLeast"/>
        </w:trPr>
        <w:tc>
          <w:tcPr>
            <w:tcW w:w="3563" w:type="dxa"/>
            <w:tcBorders>
              <w:top w:val="nil"/>
              <w:bottom w:val="nil"/>
            </w:tcBorders>
          </w:tcPr>
          <w:p>
            <w:pPr>
              <w:pStyle w:val="TableParagraph"/>
              <w:spacing w:line="143" w:lineRule="exact"/>
              <w:ind w:left="57"/>
              <w:rPr>
                <w:sz w:val="13"/>
              </w:rPr>
            </w:pPr>
            <w:r>
              <w:rPr>
                <w:w w:val="105"/>
                <w:sz w:val="13"/>
              </w:rPr>
              <w:t>35982 Gerencia Lanzarote, especial.</w:t>
            </w:r>
          </w:p>
        </w:tc>
        <w:tc>
          <w:tcPr>
            <w:tcW w:w="858" w:type="dxa"/>
            <w:tcBorders>
              <w:top w:val="nil"/>
              <w:bottom w:val="nil"/>
            </w:tcBorders>
          </w:tcPr>
          <w:p>
            <w:pPr>
              <w:pStyle w:val="TableParagraph"/>
              <w:spacing w:line="143" w:lineRule="exact"/>
              <w:ind w:right="44"/>
              <w:jc w:val="right"/>
              <w:rPr>
                <w:sz w:val="13"/>
              </w:rPr>
            </w:pPr>
            <w:r>
              <w:rPr>
                <w:w w:val="105"/>
                <w:sz w:val="13"/>
              </w:rPr>
              <w:t>11.121,98</w:t>
            </w:r>
          </w:p>
        </w:tc>
        <w:tc>
          <w:tcPr>
            <w:tcW w:w="778" w:type="dxa"/>
            <w:tcBorders>
              <w:top w:val="nil"/>
              <w:bottom w:val="nil"/>
            </w:tcBorders>
          </w:tcPr>
          <w:p>
            <w:pPr>
              <w:pStyle w:val="TableParagraph"/>
              <w:spacing w:line="143" w:lineRule="exact"/>
              <w:ind w:right="44"/>
              <w:jc w:val="right"/>
              <w:rPr>
                <w:sz w:val="13"/>
              </w:rPr>
            </w:pPr>
            <w:r>
              <w:rPr>
                <w:w w:val="105"/>
                <w:sz w:val="13"/>
              </w:rPr>
              <w:t>4.611,93</w:t>
            </w:r>
          </w:p>
        </w:tc>
        <w:tc>
          <w:tcPr>
            <w:tcW w:w="917" w:type="dxa"/>
            <w:tcBorders>
              <w:top w:val="nil"/>
              <w:bottom w:val="nil"/>
            </w:tcBorders>
          </w:tcPr>
          <w:p>
            <w:pPr>
              <w:pStyle w:val="TableParagraph"/>
              <w:spacing w:line="143" w:lineRule="exact"/>
              <w:ind w:right="44"/>
              <w:jc w:val="right"/>
              <w:rPr>
                <w:sz w:val="13"/>
              </w:rPr>
            </w:pPr>
            <w:r>
              <w:rPr>
                <w:sz w:val="13"/>
              </w:rPr>
              <w:t>751,37</w:t>
            </w:r>
          </w:p>
        </w:tc>
        <w:tc>
          <w:tcPr>
            <w:tcW w:w="778" w:type="dxa"/>
            <w:tcBorders>
              <w:top w:val="nil"/>
              <w:bottom w:val="nil"/>
            </w:tcBorders>
          </w:tcPr>
          <w:p>
            <w:pPr>
              <w:pStyle w:val="TableParagraph"/>
              <w:spacing w:line="143" w:lineRule="exact"/>
              <w:ind w:right="44"/>
              <w:jc w:val="right"/>
              <w:rPr>
                <w:sz w:val="13"/>
              </w:rPr>
            </w:pPr>
            <w:r>
              <w:rPr>
                <w:w w:val="105"/>
                <w:sz w:val="13"/>
              </w:rPr>
              <w:t>5.758,68</w:t>
            </w:r>
          </w:p>
        </w:tc>
      </w:tr>
      <w:tr>
        <w:trPr>
          <w:trHeight w:val="164" w:hRule="atLeast"/>
        </w:trPr>
        <w:tc>
          <w:tcPr>
            <w:tcW w:w="3563" w:type="dxa"/>
            <w:tcBorders>
              <w:top w:val="nil"/>
              <w:bottom w:val="nil"/>
            </w:tcBorders>
          </w:tcPr>
          <w:p>
            <w:pPr>
              <w:pStyle w:val="TableParagraph"/>
              <w:spacing w:line="144" w:lineRule="exact"/>
              <w:ind w:left="57"/>
              <w:rPr>
                <w:sz w:val="13"/>
              </w:rPr>
            </w:pPr>
            <w:r>
              <w:rPr>
                <w:w w:val="105"/>
                <w:sz w:val="13"/>
              </w:rPr>
              <w:t>35983 Gerencia Fuerteventura, especial.</w:t>
            </w:r>
          </w:p>
        </w:tc>
        <w:tc>
          <w:tcPr>
            <w:tcW w:w="858" w:type="dxa"/>
            <w:tcBorders>
              <w:top w:val="nil"/>
              <w:bottom w:val="nil"/>
            </w:tcBorders>
          </w:tcPr>
          <w:p>
            <w:pPr>
              <w:pStyle w:val="TableParagraph"/>
              <w:spacing w:line="144" w:lineRule="exact"/>
              <w:ind w:right="44"/>
              <w:jc w:val="right"/>
              <w:rPr>
                <w:sz w:val="13"/>
              </w:rPr>
            </w:pPr>
            <w:r>
              <w:rPr>
                <w:w w:val="105"/>
                <w:sz w:val="13"/>
              </w:rPr>
              <w:t>7.607,41</w:t>
            </w:r>
          </w:p>
        </w:tc>
        <w:tc>
          <w:tcPr>
            <w:tcW w:w="778" w:type="dxa"/>
            <w:tcBorders>
              <w:top w:val="nil"/>
              <w:bottom w:val="nil"/>
            </w:tcBorders>
          </w:tcPr>
          <w:p>
            <w:pPr>
              <w:pStyle w:val="TableParagraph"/>
              <w:spacing w:line="144" w:lineRule="exact"/>
              <w:ind w:right="44"/>
              <w:jc w:val="right"/>
              <w:rPr>
                <w:sz w:val="13"/>
              </w:rPr>
            </w:pPr>
            <w:r>
              <w:rPr>
                <w:w w:val="105"/>
                <w:sz w:val="13"/>
              </w:rPr>
              <w:t>1.915,76</w:t>
            </w:r>
          </w:p>
        </w:tc>
        <w:tc>
          <w:tcPr>
            <w:tcW w:w="917" w:type="dxa"/>
            <w:tcBorders>
              <w:top w:val="nil"/>
              <w:bottom w:val="nil"/>
            </w:tcBorders>
          </w:tcPr>
          <w:p>
            <w:pPr>
              <w:pStyle w:val="TableParagraph"/>
              <w:spacing w:line="144" w:lineRule="exact"/>
              <w:ind w:right="44"/>
              <w:jc w:val="right"/>
              <w:rPr>
                <w:sz w:val="13"/>
              </w:rPr>
            </w:pPr>
            <w:r>
              <w:rPr>
                <w:sz w:val="13"/>
              </w:rPr>
              <w:t>295,43</w:t>
            </w:r>
          </w:p>
        </w:tc>
        <w:tc>
          <w:tcPr>
            <w:tcW w:w="778" w:type="dxa"/>
            <w:tcBorders>
              <w:top w:val="nil"/>
              <w:bottom w:val="nil"/>
            </w:tcBorders>
          </w:tcPr>
          <w:p>
            <w:pPr>
              <w:pStyle w:val="TableParagraph"/>
              <w:spacing w:line="144" w:lineRule="exact"/>
              <w:ind w:right="44"/>
              <w:jc w:val="right"/>
              <w:rPr>
                <w:sz w:val="13"/>
              </w:rPr>
            </w:pPr>
            <w:r>
              <w:rPr>
                <w:w w:val="105"/>
                <w:sz w:val="13"/>
              </w:rPr>
              <w:t>5.396,22</w:t>
            </w:r>
          </w:p>
        </w:tc>
      </w:tr>
      <w:tr>
        <w:trPr>
          <w:trHeight w:val="164" w:hRule="atLeast"/>
        </w:trPr>
        <w:tc>
          <w:tcPr>
            <w:tcW w:w="3563" w:type="dxa"/>
            <w:tcBorders>
              <w:top w:val="nil"/>
              <w:bottom w:val="nil"/>
            </w:tcBorders>
          </w:tcPr>
          <w:p>
            <w:pPr>
              <w:pStyle w:val="TableParagraph"/>
              <w:spacing w:line="144" w:lineRule="exact"/>
              <w:ind w:left="57"/>
              <w:rPr>
                <w:sz w:val="13"/>
              </w:rPr>
            </w:pPr>
            <w:r>
              <w:rPr>
                <w:w w:val="105"/>
                <w:sz w:val="13"/>
              </w:rPr>
              <w:t>35984 Gerencia Materno-Infantil/Insular</w:t>
            </w:r>
          </w:p>
        </w:tc>
        <w:tc>
          <w:tcPr>
            <w:tcW w:w="858" w:type="dxa"/>
            <w:tcBorders>
              <w:top w:val="nil"/>
              <w:bottom w:val="nil"/>
            </w:tcBorders>
          </w:tcPr>
          <w:p>
            <w:pPr>
              <w:pStyle w:val="TableParagraph"/>
              <w:spacing w:line="144" w:lineRule="exact"/>
              <w:ind w:right="44"/>
              <w:jc w:val="right"/>
              <w:rPr>
                <w:sz w:val="13"/>
              </w:rPr>
            </w:pPr>
            <w:r>
              <w:rPr>
                <w:w w:val="105"/>
                <w:sz w:val="13"/>
              </w:rPr>
              <w:t>28.937,36</w:t>
            </w:r>
          </w:p>
        </w:tc>
        <w:tc>
          <w:tcPr>
            <w:tcW w:w="778" w:type="dxa"/>
            <w:tcBorders>
              <w:top w:val="nil"/>
              <w:bottom w:val="nil"/>
            </w:tcBorders>
          </w:tcPr>
          <w:p>
            <w:pPr>
              <w:pStyle w:val="TableParagraph"/>
              <w:spacing w:line="144" w:lineRule="exact"/>
              <w:ind w:right="44"/>
              <w:jc w:val="right"/>
              <w:rPr>
                <w:sz w:val="13"/>
              </w:rPr>
            </w:pPr>
            <w:r>
              <w:rPr>
                <w:w w:val="105"/>
                <w:sz w:val="13"/>
              </w:rPr>
              <w:t>14.266,08</w:t>
            </w:r>
          </w:p>
        </w:tc>
        <w:tc>
          <w:tcPr>
            <w:tcW w:w="917" w:type="dxa"/>
            <w:tcBorders>
              <w:top w:val="nil"/>
              <w:bottom w:val="nil"/>
            </w:tcBorders>
          </w:tcPr>
          <w:p>
            <w:pPr>
              <w:pStyle w:val="TableParagraph"/>
              <w:spacing w:line="144" w:lineRule="exact"/>
              <w:ind w:right="44"/>
              <w:jc w:val="right"/>
              <w:rPr>
                <w:sz w:val="13"/>
              </w:rPr>
            </w:pPr>
            <w:r>
              <w:rPr>
                <w:w w:val="105"/>
                <w:sz w:val="13"/>
              </w:rPr>
              <w:t>1.048,61</w:t>
            </w:r>
          </w:p>
        </w:tc>
        <w:tc>
          <w:tcPr>
            <w:tcW w:w="778" w:type="dxa"/>
            <w:tcBorders>
              <w:top w:val="nil"/>
              <w:bottom w:val="nil"/>
            </w:tcBorders>
          </w:tcPr>
          <w:p>
            <w:pPr>
              <w:pStyle w:val="TableParagraph"/>
              <w:spacing w:line="144" w:lineRule="exact"/>
              <w:ind w:right="44"/>
              <w:jc w:val="right"/>
              <w:rPr>
                <w:sz w:val="13"/>
              </w:rPr>
            </w:pPr>
            <w:r>
              <w:rPr>
                <w:w w:val="105"/>
                <w:sz w:val="13"/>
              </w:rPr>
              <w:t>13.622,67</w:t>
            </w:r>
          </w:p>
        </w:tc>
      </w:tr>
      <w:tr>
        <w:trPr>
          <w:trHeight w:val="163" w:hRule="atLeast"/>
        </w:trPr>
        <w:tc>
          <w:tcPr>
            <w:tcW w:w="3563" w:type="dxa"/>
            <w:tcBorders>
              <w:top w:val="nil"/>
              <w:bottom w:val="nil"/>
            </w:tcBorders>
          </w:tcPr>
          <w:p>
            <w:pPr>
              <w:pStyle w:val="TableParagraph"/>
              <w:spacing w:line="143" w:lineRule="exact"/>
              <w:ind w:left="57"/>
              <w:rPr>
                <w:sz w:val="13"/>
              </w:rPr>
            </w:pPr>
            <w:r>
              <w:rPr>
                <w:w w:val="105"/>
                <w:sz w:val="13"/>
              </w:rPr>
              <w:t>35985 Gerencia La Candelaria</w:t>
            </w:r>
          </w:p>
        </w:tc>
        <w:tc>
          <w:tcPr>
            <w:tcW w:w="858" w:type="dxa"/>
            <w:tcBorders>
              <w:top w:val="nil"/>
              <w:bottom w:val="nil"/>
            </w:tcBorders>
          </w:tcPr>
          <w:p>
            <w:pPr>
              <w:pStyle w:val="TableParagraph"/>
              <w:spacing w:line="143" w:lineRule="exact"/>
              <w:ind w:right="44"/>
              <w:jc w:val="right"/>
              <w:rPr>
                <w:sz w:val="13"/>
              </w:rPr>
            </w:pPr>
            <w:r>
              <w:rPr>
                <w:w w:val="105"/>
                <w:sz w:val="13"/>
              </w:rPr>
              <w:t>25.462,37</w:t>
            </w:r>
          </w:p>
        </w:tc>
        <w:tc>
          <w:tcPr>
            <w:tcW w:w="778" w:type="dxa"/>
            <w:tcBorders>
              <w:top w:val="nil"/>
              <w:bottom w:val="nil"/>
            </w:tcBorders>
          </w:tcPr>
          <w:p>
            <w:pPr>
              <w:pStyle w:val="TableParagraph"/>
              <w:spacing w:line="143" w:lineRule="exact"/>
              <w:ind w:right="44"/>
              <w:jc w:val="right"/>
              <w:rPr>
                <w:sz w:val="13"/>
              </w:rPr>
            </w:pPr>
            <w:r>
              <w:rPr>
                <w:w w:val="105"/>
                <w:sz w:val="13"/>
              </w:rPr>
              <w:t>2.335,67</w:t>
            </w:r>
          </w:p>
        </w:tc>
        <w:tc>
          <w:tcPr>
            <w:tcW w:w="917" w:type="dxa"/>
            <w:tcBorders>
              <w:top w:val="nil"/>
              <w:bottom w:val="nil"/>
            </w:tcBorders>
          </w:tcPr>
          <w:p>
            <w:pPr>
              <w:pStyle w:val="TableParagraph"/>
              <w:spacing w:line="143" w:lineRule="exact"/>
              <w:ind w:right="44"/>
              <w:jc w:val="right"/>
              <w:rPr>
                <w:sz w:val="13"/>
              </w:rPr>
            </w:pPr>
            <w:r>
              <w:rPr>
                <w:w w:val="105"/>
                <w:sz w:val="13"/>
              </w:rPr>
              <w:t>1.391,25</w:t>
            </w:r>
          </w:p>
        </w:tc>
        <w:tc>
          <w:tcPr>
            <w:tcW w:w="778" w:type="dxa"/>
            <w:tcBorders>
              <w:top w:val="nil"/>
              <w:bottom w:val="nil"/>
            </w:tcBorders>
          </w:tcPr>
          <w:p>
            <w:pPr>
              <w:pStyle w:val="TableParagraph"/>
              <w:spacing w:line="143" w:lineRule="exact"/>
              <w:ind w:right="44"/>
              <w:jc w:val="right"/>
              <w:rPr>
                <w:sz w:val="13"/>
              </w:rPr>
            </w:pPr>
            <w:r>
              <w:rPr>
                <w:w w:val="105"/>
                <w:sz w:val="13"/>
              </w:rPr>
              <w:t>21.735,45</w:t>
            </w:r>
          </w:p>
        </w:tc>
      </w:tr>
      <w:tr>
        <w:trPr>
          <w:trHeight w:val="164" w:hRule="atLeast"/>
        </w:trPr>
        <w:tc>
          <w:tcPr>
            <w:tcW w:w="3563" w:type="dxa"/>
            <w:tcBorders>
              <w:top w:val="nil"/>
              <w:bottom w:val="nil"/>
            </w:tcBorders>
          </w:tcPr>
          <w:p>
            <w:pPr>
              <w:pStyle w:val="TableParagraph"/>
              <w:spacing w:line="144" w:lineRule="exact"/>
              <w:ind w:left="57"/>
              <w:rPr>
                <w:sz w:val="13"/>
              </w:rPr>
            </w:pPr>
            <w:r>
              <w:rPr>
                <w:w w:val="105"/>
                <w:sz w:val="13"/>
              </w:rPr>
              <w:t>35986 Gerencia La Palma, especial.</w:t>
            </w:r>
          </w:p>
        </w:tc>
        <w:tc>
          <w:tcPr>
            <w:tcW w:w="858" w:type="dxa"/>
            <w:tcBorders>
              <w:top w:val="nil"/>
              <w:bottom w:val="nil"/>
            </w:tcBorders>
          </w:tcPr>
          <w:p>
            <w:pPr>
              <w:pStyle w:val="TableParagraph"/>
              <w:spacing w:line="144" w:lineRule="exact"/>
              <w:ind w:right="44"/>
              <w:jc w:val="right"/>
              <w:rPr>
                <w:sz w:val="13"/>
              </w:rPr>
            </w:pPr>
            <w:r>
              <w:rPr>
                <w:w w:val="105"/>
                <w:sz w:val="13"/>
              </w:rPr>
              <w:t>2.375,97</w:t>
            </w:r>
          </w:p>
        </w:tc>
        <w:tc>
          <w:tcPr>
            <w:tcW w:w="778" w:type="dxa"/>
            <w:tcBorders>
              <w:top w:val="nil"/>
              <w:bottom w:val="nil"/>
            </w:tcBorders>
          </w:tcPr>
          <w:p>
            <w:pPr>
              <w:pStyle w:val="TableParagraph"/>
              <w:spacing w:line="144" w:lineRule="exact"/>
              <w:ind w:right="44"/>
              <w:jc w:val="right"/>
              <w:rPr>
                <w:sz w:val="13"/>
              </w:rPr>
            </w:pPr>
            <w:r>
              <w:rPr>
                <w:sz w:val="13"/>
              </w:rPr>
              <w:t>557,12</w:t>
            </w:r>
          </w:p>
        </w:tc>
        <w:tc>
          <w:tcPr>
            <w:tcW w:w="917" w:type="dxa"/>
            <w:tcBorders>
              <w:top w:val="nil"/>
              <w:bottom w:val="nil"/>
            </w:tcBorders>
          </w:tcPr>
          <w:p>
            <w:pPr>
              <w:pStyle w:val="TableParagraph"/>
              <w:spacing w:line="144" w:lineRule="exact"/>
              <w:ind w:right="44"/>
              <w:jc w:val="right"/>
              <w:rPr>
                <w:sz w:val="13"/>
              </w:rPr>
            </w:pPr>
            <w:r>
              <w:rPr>
                <w:sz w:val="13"/>
              </w:rPr>
              <w:t>275,43</w:t>
            </w:r>
          </w:p>
        </w:tc>
        <w:tc>
          <w:tcPr>
            <w:tcW w:w="778" w:type="dxa"/>
            <w:tcBorders>
              <w:top w:val="nil"/>
              <w:bottom w:val="nil"/>
            </w:tcBorders>
          </w:tcPr>
          <w:p>
            <w:pPr>
              <w:pStyle w:val="TableParagraph"/>
              <w:spacing w:line="144" w:lineRule="exact"/>
              <w:ind w:right="44"/>
              <w:jc w:val="right"/>
              <w:rPr>
                <w:sz w:val="13"/>
              </w:rPr>
            </w:pPr>
            <w:r>
              <w:rPr>
                <w:w w:val="105"/>
                <w:sz w:val="13"/>
              </w:rPr>
              <w:t>1.543,42</w:t>
            </w:r>
          </w:p>
        </w:tc>
      </w:tr>
      <w:tr>
        <w:trPr>
          <w:trHeight w:val="164" w:hRule="atLeast"/>
        </w:trPr>
        <w:tc>
          <w:tcPr>
            <w:tcW w:w="3563" w:type="dxa"/>
            <w:tcBorders>
              <w:top w:val="nil"/>
              <w:bottom w:val="nil"/>
            </w:tcBorders>
          </w:tcPr>
          <w:p>
            <w:pPr>
              <w:pStyle w:val="TableParagraph"/>
              <w:spacing w:line="144" w:lineRule="exact"/>
              <w:ind w:left="57"/>
              <w:rPr>
                <w:sz w:val="13"/>
              </w:rPr>
            </w:pPr>
            <w:r>
              <w:rPr>
                <w:w w:val="105"/>
                <w:sz w:val="13"/>
              </w:rPr>
              <w:t>35987 Gerencia La Gomera, especial.</w:t>
            </w:r>
          </w:p>
        </w:tc>
        <w:tc>
          <w:tcPr>
            <w:tcW w:w="858" w:type="dxa"/>
            <w:tcBorders>
              <w:top w:val="nil"/>
              <w:bottom w:val="nil"/>
            </w:tcBorders>
          </w:tcPr>
          <w:p>
            <w:pPr>
              <w:pStyle w:val="TableParagraph"/>
              <w:spacing w:line="144" w:lineRule="exact"/>
              <w:ind w:right="44"/>
              <w:jc w:val="right"/>
              <w:rPr>
                <w:sz w:val="13"/>
              </w:rPr>
            </w:pPr>
            <w:r>
              <w:rPr>
                <w:w w:val="105"/>
                <w:sz w:val="13"/>
              </w:rPr>
              <w:t>1.165,62</w:t>
            </w:r>
          </w:p>
        </w:tc>
        <w:tc>
          <w:tcPr>
            <w:tcW w:w="778" w:type="dxa"/>
            <w:tcBorders>
              <w:top w:val="nil"/>
              <w:bottom w:val="nil"/>
            </w:tcBorders>
          </w:tcPr>
          <w:p>
            <w:pPr>
              <w:pStyle w:val="TableParagraph"/>
              <w:spacing w:line="144" w:lineRule="exact"/>
              <w:ind w:right="44"/>
              <w:jc w:val="right"/>
              <w:rPr>
                <w:sz w:val="13"/>
              </w:rPr>
            </w:pPr>
            <w:r>
              <w:rPr>
                <w:sz w:val="13"/>
              </w:rPr>
              <w:t>537,30</w:t>
            </w:r>
          </w:p>
        </w:tc>
        <w:tc>
          <w:tcPr>
            <w:tcW w:w="917" w:type="dxa"/>
            <w:tcBorders>
              <w:top w:val="nil"/>
              <w:bottom w:val="nil"/>
            </w:tcBorders>
          </w:tcPr>
          <w:p>
            <w:pPr>
              <w:pStyle w:val="TableParagraph"/>
              <w:spacing w:line="144" w:lineRule="exact"/>
              <w:ind w:right="44"/>
              <w:jc w:val="right"/>
              <w:rPr>
                <w:sz w:val="13"/>
              </w:rPr>
            </w:pPr>
            <w:r>
              <w:rPr>
                <w:sz w:val="13"/>
              </w:rPr>
              <w:t>141,53</w:t>
            </w:r>
          </w:p>
        </w:tc>
        <w:tc>
          <w:tcPr>
            <w:tcW w:w="778" w:type="dxa"/>
            <w:tcBorders>
              <w:top w:val="nil"/>
              <w:bottom w:val="nil"/>
            </w:tcBorders>
          </w:tcPr>
          <w:p>
            <w:pPr>
              <w:pStyle w:val="TableParagraph"/>
              <w:spacing w:line="144" w:lineRule="exact"/>
              <w:ind w:right="44"/>
              <w:jc w:val="right"/>
              <w:rPr>
                <w:sz w:val="13"/>
              </w:rPr>
            </w:pPr>
            <w:r>
              <w:rPr>
                <w:sz w:val="13"/>
              </w:rPr>
              <w:t>486,79</w:t>
            </w:r>
          </w:p>
        </w:tc>
      </w:tr>
      <w:tr>
        <w:trPr>
          <w:trHeight w:val="164" w:hRule="atLeast"/>
        </w:trPr>
        <w:tc>
          <w:tcPr>
            <w:tcW w:w="3563" w:type="dxa"/>
            <w:tcBorders>
              <w:top w:val="nil"/>
              <w:bottom w:val="nil"/>
            </w:tcBorders>
          </w:tcPr>
          <w:p>
            <w:pPr>
              <w:pStyle w:val="TableParagraph"/>
              <w:spacing w:line="144" w:lineRule="exact"/>
              <w:ind w:left="57"/>
              <w:rPr>
                <w:sz w:val="13"/>
              </w:rPr>
            </w:pPr>
            <w:r>
              <w:rPr>
                <w:w w:val="105"/>
                <w:sz w:val="13"/>
              </w:rPr>
              <w:t>35988 Gerencia El Hierro, especial.</w:t>
            </w:r>
          </w:p>
        </w:tc>
        <w:tc>
          <w:tcPr>
            <w:tcW w:w="858" w:type="dxa"/>
            <w:tcBorders>
              <w:top w:val="nil"/>
              <w:bottom w:val="nil"/>
            </w:tcBorders>
          </w:tcPr>
          <w:p>
            <w:pPr>
              <w:pStyle w:val="TableParagraph"/>
              <w:spacing w:line="144" w:lineRule="exact"/>
              <w:ind w:right="44"/>
              <w:jc w:val="right"/>
              <w:rPr>
                <w:sz w:val="13"/>
              </w:rPr>
            </w:pPr>
            <w:r>
              <w:rPr>
                <w:sz w:val="13"/>
              </w:rPr>
              <w:t>255,01</w:t>
            </w:r>
          </w:p>
        </w:tc>
        <w:tc>
          <w:tcPr>
            <w:tcW w:w="778" w:type="dxa"/>
            <w:tcBorders>
              <w:top w:val="nil"/>
              <w:bottom w:val="nil"/>
            </w:tcBorders>
          </w:tcPr>
          <w:p>
            <w:pPr>
              <w:pStyle w:val="TableParagraph"/>
              <w:spacing w:line="144" w:lineRule="exact"/>
              <w:ind w:right="44"/>
              <w:jc w:val="right"/>
              <w:rPr>
                <w:sz w:val="13"/>
              </w:rPr>
            </w:pPr>
            <w:r>
              <w:rPr>
                <w:sz w:val="13"/>
              </w:rPr>
              <w:t>1,61</w:t>
            </w:r>
          </w:p>
        </w:tc>
        <w:tc>
          <w:tcPr>
            <w:tcW w:w="917" w:type="dxa"/>
            <w:tcBorders>
              <w:top w:val="nil"/>
              <w:bottom w:val="nil"/>
            </w:tcBorders>
          </w:tcPr>
          <w:p>
            <w:pPr>
              <w:pStyle w:val="TableParagraph"/>
              <w:spacing w:line="144" w:lineRule="exact"/>
              <w:ind w:right="44"/>
              <w:jc w:val="right"/>
              <w:rPr>
                <w:sz w:val="13"/>
              </w:rPr>
            </w:pPr>
            <w:r>
              <w:rPr>
                <w:sz w:val="13"/>
              </w:rPr>
              <w:t>40,49</w:t>
            </w:r>
          </w:p>
        </w:tc>
        <w:tc>
          <w:tcPr>
            <w:tcW w:w="778" w:type="dxa"/>
            <w:tcBorders>
              <w:top w:val="nil"/>
              <w:bottom w:val="nil"/>
            </w:tcBorders>
          </w:tcPr>
          <w:p>
            <w:pPr>
              <w:pStyle w:val="TableParagraph"/>
              <w:spacing w:line="144" w:lineRule="exact"/>
              <w:ind w:right="44"/>
              <w:jc w:val="right"/>
              <w:rPr>
                <w:sz w:val="13"/>
              </w:rPr>
            </w:pPr>
            <w:r>
              <w:rPr>
                <w:sz w:val="13"/>
              </w:rPr>
              <w:t>212,91</w:t>
            </w:r>
          </w:p>
        </w:tc>
      </w:tr>
      <w:tr>
        <w:trPr>
          <w:trHeight w:val="164" w:hRule="atLeast"/>
        </w:trPr>
        <w:tc>
          <w:tcPr>
            <w:tcW w:w="3563" w:type="dxa"/>
            <w:tcBorders>
              <w:top w:val="nil"/>
              <w:bottom w:val="nil"/>
            </w:tcBorders>
          </w:tcPr>
          <w:p>
            <w:pPr>
              <w:pStyle w:val="TableParagraph"/>
              <w:spacing w:line="144" w:lineRule="exact"/>
              <w:ind w:left="57"/>
              <w:rPr>
                <w:sz w:val="13"/>
              </w:rPr>
            </w:pPr>
            <w:r>
              <w:rPr>
                <w:w w:val="105"/>
                <w:sz w:val="13"/>
              </w:rPr>
              <w:t>35989 Atención Primaria Gran Canaria</w:t>
            </w:r>
          </w:p>
        </w:tc>
        <w:tc>
          <w:tcPr>
            <w:tcW w:w="858" w:type="dxa"/>
            <w:tcBorders>
              <w:top w:val="nil"/>
              <w:bottom w:val="nil"/>
            </w:tcBorders>
          </w:tcPr>
          <w:p>
            <w:pPr>
              <w:pStyle w:val="TableParagraph"/>
              <w:spacing w:line="144" w:lineRule="exact"/>
              <w:ind w:right="44"/>
              <w:jc w:val="right"/>
              <w:rPr>
                <w:sz w:val="13"/>
              </w:rPr>
            </w:pPr>
            <w:r>
              <w:rPr>
                <w:w w:val="105"/>
                <w:sz w:val="13"/>
              </w:rPr>
              <w:t>1.746,05</w:t>
            </w:r>
          </w:p>
        </w:tc>
        <w:tc>
          <w:tcPr>
            <w:tcW w:w="778" w:type="dxa"/>
            <w:tcBorders>
              <w:top w:val="nil"/>
              <w:bottom w:val="nil"/>
            </w:tcBorders>
          </w:tcPr>
          <w:p>
            <w:pPr>
              <w:pStyle w:val="TableParagraph"/>
              <w:spacing w:line="144" w:lineRule="exact"/>
              <w:ind w:right="44"/>
              <w:jc w:val="right"/>
              <w:rPr>
                <w:sz w:val="13"/>
              </w:rPr>
            </w:pPr>
            <w:r>
              <w:rPr>
                <w:sz w:val="13"/>
              </w:rPr>
              <w:t>465,83</w:t>
            </w:r>
          </w:p>
        </w:tc>
        <w:tc>
          <w:tcPr>
            <w:tcW w:w="917" w:type="dxa"/>
            <w:tcBorders>
              <w:top w:val="nil"/>
              <w:bottom w:val="nil"/>
            </w:tcBorders>
          </w:tcPr>
          <w:p>
            <w:pPr>
              <w:pStyle w:val="TableParagraph"/>
              <w:spacing w:line="144" w:lineRule="exact"/>
              <w:ind w:right="44"/>
              <w:jc w:val="right"/>
              <w:rPr>
                <w:sz w:val="13"/>
              </w:rPr>
            </w:pPr>
            <w:r>
              <w:rPr>
                <w:sz w:val="13"/>
              </w:rPr>
              <w:t>144,94</w:t>
            </w:r>
          </w:p>
        </w:tc>
        <w:tc>
          <w:tcPr>
            <w:tcW w:w="778" w:type="dxa"/>
            <w:tcBorders>
              <w:top w:val="nil"/>
              <w:bottom w:val="nil"/>
            </w:tcBorders>
          </w:tcPr>
          <w:p>
            <w:pPr>
              <w:pStyle w:val="TableParagraph"/>
              <w:spacing w:line="144" w:lineRule="exact"/>
              <w:ind w:right="44"/>
              <w:jc w:val="right"/>
              <w:rPr>
                <w:sz w:val="13"/>
              </w:rPr>
            </w:pPr>
            <w:r>
              <w:rPr>
                <w:w w:val="105"/>
                <w:sz w:val="13"/>
              </w:rPr>
              <w:t>1.135,28</w:t>
            </w:r>
          </w:p>
        </w:tc>
      </w:tr>
      <w:tr>
        <w:trPr>
          <w:trHeight w:val="163" w:hRule="atLeast"/>
        </w:trPr>
        <w:tc>
          <w:tcPr>
            <w:tcW w:w="3563" w:type="dxa"/>
            <w:tcBorders>
              <w:top w:val="nil"/>
              <w:bottom w:val="nil"/>
            </w:tcBorders>
          </w:tcPr>
          <w:p>
            <w:pPr>
              <w:pStyle w:val="TableParagraph"/>
              <w:spacing w:line="143" w:lineRule="exact"/>
              <w:ind w:left="57"/>
              <w:rPr>
                <w:sz w:val="13"/>
              </w:rPr>
            </w:pPr>
            <w:r>
              <w:rPr>
                <w:w w:val="105"/>
                <w:sz w:val="13"/>
              </w:rPr>
              <w:t>35990 Atención Primaria Tenerife</w:t>
            </w:r>
          </w:p>
        </w:tc>
        <w:tc>
          <w:tcPr>
            <w:tcW w:w="858" w:type="dxa"/>
            <w:tcBorders>
              <w:top w:val="nil"/>
              <w:bottom w:val="nil"/>
            </w:tcBorders>
          </w:tcPr>
          <w:p>
            <w:pPr>
              <w:pStyle w:val="TableParagraph"/>
              <w:spacing w:line="143" w:lineRule="exact"/>
              <w:ind w:right="44"/>
              <w:jc w:val="right"/>
              <w:rPr>
                <w:sz w:val="13"/>
              </w:rPr>
            </w:pPr>
            <w:r>
              <w:rPr>
                <w:sz w:val="13"/>
              </w:rPr>
              <w:t>858,96</w:t>
            </w:r>
          </w:p>
        </w:tc>
        <w:tc>
          <w:tcPr>
            <w:tcW w:w="778" w:type="dxa"/>
            <w:tcBorders>
              <w:top w:val="nil"/>
              <w:bottom w:val="nil"/>
            </w:tcBorders>
          </w:tcPr>
          <w:p>
            <w:pPr>
              <w:pStyle w:val="TableParagraph"/>
              <w:spacing w:line="143" w:lineRule="exact"/>
              <w:ind w:right="44"/>
              <w:jc w:val="right"/>
              <w:rPr>
                <w:sz w:val="13"/>
              </w:rPr>
            </w:pPr>
            <w:r>
              <w:rPr>
                <w:sz w:val="13"/>
              </w:rPr>
              <w:t>196,37</w:t>
            </w:r>
          </w:p>
        </w:tc>
        <w:tc>
          <w:tcPr>
            <w:tcW w:w="917" w:type="dxa"/>
            <w:tcBorders>
              <w:top w:val="nil"/>
              <w:bottom w:val="nil"/>
            </w:tcBorders>
          </w:tcPr>
          <w:p>
            <w:pPr>
              <w:pStyle w:val="TableParagraph"/>
              <w:spacing w:line="143" w:lineRule="exact"/>
              <w:ind w:right="44"/>
              <w:jc w:val="right"/>
              <w:rPr>
                <w:sz w:val="13"/>
              </w:rPr>
            </w:pPr>
            <w:r>
              <w:rPr>
                <w:sz w:val="13"/>
              </w:rPr>
              <w:t>81,75</w:t>
            </w:r>
          </w:p>
        </w:tc>
        <w:tc>
          <w:tcPr>
            <w:tcW w:w="778" w:type="dxa"/>
            <w:tcBorders>
              <w:top w:val="nil"/>
              <w:bottom w:val="nil"/>
            </w:tcBorders>
          </w:tcPr>
          <w:p>
            <w:pPr>
              <w:pStyle w:val="TableParagraph"/>
              <w:spacing w:line="143" w:lineRule="exact"/>
              <w:ind w:right="44"/>
              <w:jc w:val="right"/>
              <w:rPr>
                <w:sz w:val="13"/>
              </w:rPr>
            </w:pPr>
            <w:r>
              <w:rPr>
                <w:sz w:val="13"/>
              </w:rPr>
              <w:t>580,84</w:t>
            </w:r>
          </w:p>
        </w:tc>
      </w:tr>
      <w:tr>
        <w:trPr>
          <w:trHeight w:val="164" w:hRule="atLeast"/>
        </w:trPr>
        <w:tc>
          <w:tcPr>
            <w:tcW w:w="3563" w:type="dxa"/>
            <w:tcBorders>
              <w:top w:val="nil"/>
              <w:bottom w:val="nil"/>
            </w:tcBorders>
          </w:tcPr>
          <w:p>
            <w:pPr>
              <w:pStyle w:val="TableParagraph"/>
              <w:spacing w:line="144" w:lineRule="exact"/>
              <w:ind w:left="57"/>
              <w:rPr>
                <w:sz w:val="13"/>
              </w:rPr>
            </w:pPr>
            <w:r>
              <w:rPr>
                <w:w w:val="105"/>
                <w:sz w:val="13"/>
              </w:rPr>
              <w:t>35996 Otros Ingresos Sanitarios por Convenios</w:t>
            </w:r>
          </w:p>
        </w:tc>
        <w:tc>
          <w:tcPr>
            <w:tcW w:w="858" w:type="dxa"/>
            <w:tcBorders>
              <w:top w:val="nil"/>
              <w:bottom w:val="nil"/>
            </w:tcBorders>
          </w:tcPr>
          <w:p>
            <w:pPr>
              <w:pStyle w:val="TableParagraph"/>
              <w:spacing w:line="144" w:lineRule="exact"/>
              <w:ind w:right="44"/>
              <w:jc w:val="right"/>
              <w:rPr>
                <w:sz w:val="13"/>
              </w:rPr>
            </w:pPr>
            <w:r>
              <w:rPr>
                <w:sz w:val="13"/>
              </w:rPr>
              <w:t>257,12</w:t>
            </w:r>
          </w:p>
        </w:tc>
        <w:tc>
          <w:tcPr>
            <w:tcW w:w="778" w:type="dxa"/>
            <w:tcBorders>
              <w:top w:val="nil"/>
              <w:bottom w:val="nil"/>
            </w:tcBorders>
          </w:tcPr>
          <w:p>
            <w:pPr>
              <w:pStyle w:val="TableParagraph"/>
              <w:spacing w:line="144" w:lineRule="exact"/>
              <w:ind w:right="44"/>
              <w:jc w:val="right"/>
              <w:rPr>
                <w:sz w:val="13"/>
              </w:rPr>
            </w:pPr>
            <w:r>
              <w:rPr>
                <w:sz w:val="13"/>
              </w:rPr>
              <w:t>35,82</w:t>
            </w:r>
          </w:p>
        </w:tc>
        <w:tc>
          <w:tcPr>
            <w:tcW w:w="917" w:type="dxa"/>
            <w:tcBorders>
              <w:top w:val="nil"/>
              <w:bottom w:val="nil"/>
            </w:tcBorders>
          </w:tcPr>
          <w:p>
            <w:pPr>
              <w:pStyle w:val="TableParagraph"/>
              <w:spacing w:line="144" w:lineRule="exact"/>
              <w:ind w:right="44"/>
              <w:jc w:val="right"/>
              <w:rPr>
                <w:sz w:val="13"/>
              </w:rPr>
            </w:pPr>
            <w:r>
              <w:rPr>
                <w:sz w:val="13"/>
              </w:rPr>
              <w:t>204,39</w:t>
            </w:r>
          </w:p>
        </w:tc>
        <w:tc>
          <w:tcPr>
            <w:tcW w:w="778" w:type="dxa"/>
            <w:tcBorders>
              <w:top w:val="nil"/>
              <w:bottom w:val="nil"/>
            </w:tcBorders>
          </w:tcPr>
          <w:p>
            <w:pPr>
              <w:pStyle w:val="TableParagraph"/>
              <w:spacing w:line="144" w:lineRule="exact"/>
              <w:ind w:right="44"/>
              <w:jc w:val="right"/>
              <w:rPr>
                <w:sz w:val="13"/>
              </w:rPr>
            </w:pPr>
            <w:r>
              <w:rPr>
                <w:sz w:val="13"/>
              </w:rPr>
              <w:t>16,91</w:t>
            </w:r>
          </w:p>
        </w:tc>
      </w:tr>
      <w:tr>
        <w:trPr>
          <w:trHeight w:val="151" w:hRule="atLeast"/>
        </w:trPr>
        <w:tc>
          <w:tcPr>
            <w:tcW w:w="3563" w:type="dxa"/>
            <w:tcBorders>
              <w:top w:val="nil"/>
            </w:tcBorders>
          </w:tcPr>
          <w:p>
            <w:pPr>
              <w:pStyle w:val="TableParagraph"/>
              <w:spacing w:line="132" w:lineRule="exact"/>
              <w:ind w:left="57"/>
              <w:rPr>
                <w:sz w:val="13"/>
              </w:rPr>
            </w:pPr>
            <w:r>
              <w:rPr>
                <w:w w:val="105"/>
                <w:sz w:val="13"/>
              </w:rPr>
              <w:t>35997 Ingresos Servicio Sanitarios Urgentes</w:t>
            </w:r>
          </w:p>
        </w:tc>
        <w:tc>
          <w:tcPr>
            <w:tcW w:w="858" w:type="dxa"/>
            <w:tcBorders>
              <w:top w:val="nil"/>
            </w:tcBorders>
          </w:tcPr>
          <w:p>
            <w:pPr>
              <w:pStyle w:val="TableParagraph"/>
              <w:spacing w:line="132" w:lineRule="exact"/>
              <w:ind w:right="44"/>
              <w:jc w:val="right"/>
              <w:rPr>
                <w:sz w:val="13"/>
              </w:rPr>
            </w:pPr>
            <w:r>
              <w:rPr>
                <w:w w:val="105"/>
                <w:sz w:val="13"/>
              </w:rPr>
              <w:t>3.388,99</w:t>
            </w:r>
          </w:p>
        </w:tc>
        <w:tc>
          <w:tcPr>
            <w:tcW w:w="778" w:type="dxa"/>
            <w:tcBorders>
              <w:top w:val="nil"/>
            </w:tcBorders>
          </w:tcPr>
          <w:p>
            <w:pPr>
              <w:pStyle w:val="TableParagraph"/>
              <w:spacing w:line="132" w:lineRule="exact"/>
              <w:ind w:right="44"/>
              <w:jc w:val="right"/>
              <w:rPr>
                <w:sz w:val="13"/>
              </w:rPr>
            </w:pPr>
            <w:r>
              <w:rPr>
                <w:sz w:val="13"/>
              </w:rPr>
              <w:t>866,94</w:t>
            </w:r>
          </w:p>
        </w:tc>
        <w:tc>
          <w:tcPr>
            <w:tcW w:w="917" w:type="dxa"/>
            <w:tcBorders>
              <w:top w:val="nil"/>
            </w:tcBorders>
          </w:tcPr>
          <w:p>
            <w:pPr>
              <w:pStyle w:val="TableParagraph"/>
              <w:spacing w:line="132" w:lineRule="exact"/>
              <w:ind w:right="44"/>
              <w:jc w:val="right"/>
              <w:rPr>
                <w:sz w:val="13"/>
              </w:rPr>
            </w:pPr>
            <w:r>
              <w:rPr>
                <w:sz w:val="13"/>
              </w:rPr>
              <w:t>254,79</w:t>
            </w:r>
          </w:p>
        </w:tc>
        <w:tc>
          <w:tcPr>
            <w:tcW w:w="778" w:type="dxa"/>
            <w:tcBorders>
              <w:top w:val="nil"/>
            </w:tcBorders>
          </w:tcPr>
          <w:p>
            <w:pPr>
              <w:pStyle w:val="TableParagraph"/>
              <w:spacing w:line="132" w:lineRule="exact"/>
              <w:ind w:right="44"/>
              <w:jc w:val="right"/>
              <w:rPr>
                <w:sz w:val="13"/>
              </w:rPr>
            </w:pPr>
            <w:r>
              <w:rPr>
                <w:w w:val="105"/>
                <w:sz w:val="13"/>
              </w:rPr>
              <w:t>2.267,26</w:t>
            </w:r>
          </w:p>
        </w:tc>
      </w:tr>
      <w:tr>
        <w:trPr>
          <w:trHeight w:val="163" w:hRule="atLeast"/>
        </w:trPr>
        <w:tc>
          <w:tcPr>
            <w:tcW w:w="3563" w:type="dxa"/>
            <w:shd w:val="clear" w:color="auto" w:fill="D9D9D9"/>
          </w:tcPr>
          <w:p>
            <w:pPr>
              <w:pStyle w:val="TableParagraph"/>
              <w:spacing w:line="141" w:lineRule="exact" w:before="2"/>
              <w:ind w:left="868"/>
              <w:rPr>
                <w:b/>
                <w:sz w:val="13"/>
              </w:rPr>
            </w:pPr>
            <w:r>
              <w:rPr>
                <w:b/>
                <w:w w:val="105"/>
                <w:sz w:val="13"/>
              </w:rPr>
              <w:t>TOTAL concepto 359 (miles de €)</w:t>
            </w:r>
          </w:p>
        </w:tc>
        <w:tc>
          <w:tcPr>
            <w:tcW w:w="858" w:type="dxa"/>
            <w:shd w:val="clear" w:color="auto" w:fill="D9D9D9"/>
          </w:tcPr>
          <w:p>
            <w:pPr>
              <w:pStyle w:val="TableParagraph"/>
              <w:spacing w:line="141" w:lineRule="exact" w:before="2"/>
              <w:ind w:right="44"/>
              <w:jc w:val="right"/>
              <w:rPr>
                <w:b/>
                <w:sz w:val="13"/>
              </w:rPr>
            </w:pPr>
            <w:r>
              <w:rPr>
                <w:b/>
                <w:w w:val="105"/>
                <w:sz w:val="13"/>
              </w:rPr>
              <w:t>112.624,23</w:t>
            </w:r>
          </w:p>
        </w:tc>
        <w:tc>
          <w:tcPr>
            <w:tcW w:w="778" w:type="dxa"/>
            <w:shd w:val="clear" w:color="auto" w:fill="D9D9D9"/>
          </w:tcPr>
          <w:p>
            <w:pPr>
              <w:pStyle w:val="TableParagraph"/>
              <w:spacing w:line="141" w:lineRule="exact" w:before="2"/>
              <w:ind w:right="44"/>
              <w:jc w:val="right"/>
              <w:rPr>
                <w:b/>
                <w:sz w:val="13"/>
              </w:rPr>
            </w:pPr>
            <w:r>
              <w:rPr>
                <w:b/>
                <w:w w:val="105"/>
                <w:sz w:val="13"/>
              </w:rPr>
              <w:t>30.284,11</w:t>
            </w:r>
          </w:p>
        </w:tc>
        <w:tc>
          <w:tcPr>
            <w:tcW w:w="917" w:type="dxa"/>
            <w:shd w:val="clear" w:color="auto" w:fill="D9D9D9"/>
          </w:tcPr>
          <w:p>
            <w:pPr>
              <w:pStyle w:val="TableParagraph"/>
              <w:spacing w:line="141" w:lineRule="exact" w:before="2"/>
              <w:ind w:right="44"/>
              <w:jc w:val="right"/>
              <w:rPr>
                <w:b/>
                <w:sz w:val="13"/>
              </w:rPr>
            </w:pPr>
            <w:r>
              <w:rPr>
                <w:b/>
                <w:w w:val="105"/>
                <w:sz w:val="13"/>
              </w:rPr>
              <w:t>6.646,33</w:t>
            </w:r>
          </w:p>
        </w:tc>
        <w:tc>
          <w:tcPr>
            <w:tcW w:w="778" w:type="dxa"/>
            <w:shd w:val="clear" w:color="auto" w:fill="D9D9D9"/>
          </w:tcPr>
          <w:p>
            <w:pPr>
              <w:pStyle w:val="TableParagraph"/>
              <w:spacing w:line="141" w:lineRule="exact" w:before="2"/>
              <w:ind w:right="44"/>
              <w:jc w:val="right"/>
              <w:rPr>
                <w:b/>
                <w:sz w:val="13"/>
              </w:rPr>
            </w:pPr>
            <w:r>
              <w:rPr>
                <w:b/>
                <w:w w:val="105"/>
                <w:sz w:val="13"/>
              </w:rPr>
              <w:t>75.693,79</w:t>
            </w:r>
          </w:p>
        </w:tc>
      </w:tr>
    </w:tbl>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spacing w:before="61"/>
        <w:ind w:left="7794"/>
        <w:jc w:val="center"/>
      </w:pPr>
      <w:r>
        <w:rPr/>
        <w:t>102</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15" name="image5.png"/>
                  <wp:cNvGraphicFramePr>
                    <a:graphicFrameLocks noChangeAspect="1"/>
                  </wp:cNvGraphicFramePr>
                  <a:graphic>
                    <a:graphicData uri="http://schemas.openxmlformats.org/drawingml/2006/picture">
                      <pic:pic>
                        <pic:nvPicPr>
                          <pic:cNvPr id="216"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03"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104/247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spacing w:before="61"/>
        <w:ind w:left="2096" w:right="0" w:firstLine="0"/>
        <w:jc w:val="left"/>
        <w:rPr>
          <w:b/>
          <w:sz w:val="20"/>
        </w:rPr>
      </w:pPr>
      <w:r>
        <w:rPr>
          <w:b/>
          <w:sz w:val="20"/>
        </w:rPr>
        <w:t>e) Balance.</w:t>
      </w:r>
    </w:p>
    <w:p>
      <w:pPr>
        <w:pStyle w:val="BodyText"/>
        <w:spacing w:before="7"/>
        <w:rPr>
          <w:b/>
          <w:sz w:val="16"/>
        </w:rPr>
      </w:pPr>
    </w:p>
    <w:tbl>
      <w:tblPr>
        <w:tblW w:w="0" w:type="auto"/>
        <w:jc w:val="left"/>
        <w:tblInd w:w="3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9"/>
        <w:gridCol w:w="1584"/>
        <w:gridCol w:w="1393"/>
      </w:tblGrid>
      <w:tr>
        <w:trPr>
          <w:trHeight w:val="237" w:hRule="atLeast"/>
        </w:trPr>
        <w:tc>
          <w:tcPr>
            <w:tcW w:w="2019" w:type="dxa"/>
            <w:vMerge w:val="restart"/>
          </w:tcPr>
          <w:p>
            <w:pPr>
              <w:pStyle w:val="TableParagraph"/>
              <w:spacing w:before="1"/>
              <w:rPr>
                <w:b/>
                <w:sz w:val="20"/>
              </w:rPr>
            </w:pPr>
          </w:p>
          <w:p>
            <w:pPr>
              <w:pStyle w:val="TableParagraph"/>
              <w:spacing w:before="1"/>
              <w:ind w:left="59"/>
              <w:rPr>
                <w:b/>
                <w:sz w:val="13"/>
              </w:rPr>
            </w:pPr>
            <w:r>
              <w:rPr>
                <w:b/>
                <w:w w:val="105"/>
                <w:sz w:val="13"/>
              </w:rPr>
              <w:t>ACTIVO</w:t>
            </w:r>
          </w:p>
          <w:p>
            <w:pPr>
              <w:pStyle w:val="TableParagraph"/>
              <w:numPr>
                <w:ilvl w:val="0"/>
                <w:numId w:val="50"/>
              </w:numPr>
              <w:tabs>
                <w:tab w:pos="209" w:val="left" w:leader="none"/>
              </w:tabs>
              <w:spacing w:line="240" w:lineRule="auto" w:before="38" w:after="0"/>
              <w:ind w:left="208" w:right="0" w:hanging="150"/>
              <w:jc w:val="left"/>
              <w:rPr>
                <w:sz w:val="13"/>
              </w:rPr>
            </w:pPr>
            <w:r>
              <w:rPr>
                <w:w w:val="105"/>
                <w:sz w:val="13"/>
              </w:rPr>
              <w:t>Activo No</w:t>
            </w:r>
            <w:r>
              <w:rPr>
                <w:spacing w:val="-5"/>
                <w:w w:val="105"/>
                <w:sz w:val="13"/>
              </w:rPr>
              <w:t> </w:t>
            </w:r>
            <w:r>
              <w:rPr>
                <w:w w:val="105"/>
                <w:sz w:val="13"/>
              </w:rPr>
              <w:t>Corriente</w:t>
            </w:r>
          </w:p>
          <w:p>
            <w:pPr>
              <w:pStyle w:val="TableParagraph"/>
              <w:numPr>
                <w:ilvl w:val="0"/>
                <w:numId w:val="50"/>
              </w:numPr>
              <w:tabs>
                <w:tab w:pos="203" w:val="left" w:leader="none"/>
              </w:tabs>
              <w:spacing w:line="240" w:lineRule="auto" w:before="77" w:after="0"/>
              <w:ind w:left="202" w:right="0" w:hanging="144"/>
              <w:jc w:val="left"/>
              <w:rPr>
                <w:sz w:val="13"/>
              </w:rPr>
            </w:pPr>
            <w:r>
              <w:rPr>
                <w:w w:val="105"/>
                <w:sz w:val="13"/>
              </w:rPr>
              <w:t>Activo</w:t>
            </w:r>
            <w:r>
              <w:rPr>
                <w:spacing w:val="-3"/>
                <w:w w:val="105"/>
                <w:sz w:val="13"/>
              </w:rPr>
              <w:t> </w:t>
            </w:r>
            <w:r>
              <w:rPr>
                <w:w w:val="105"/>
                <w:sz w:val="13"/>
              </w:rPr>
              <w:t>Corriente</w:t>
            </w:r>
          </w:p>
          <w:p>
            <w:pPr>
              <w:pStyle w:val="TableParagraph"/>
              <w:spacing w:before="86"/>
              <w:ind w:left="59"/>
              <w:rPr>
                <w:b/>
                <w:sz w:val="13"/>
              </w:rPr>
            </w:pPr>
            <w:r>
              <w:rPr>
                <w:b/>
                <w:w w:val="105"/>
                <w:sz w:val="13"/>
              </w:rPr>
              <w:t>Total (A+B) - euros</w:t>
            </w:r>
          </w:p>
        </w:tc>
        <w:tc>
          <w:tcPr>
            <w:tcW w:w="1584" w:type="dxa"/>
            <w:tcBorders>
              <w:bottom w:val="nil"/>
              <w:right w:val="nil"/>
            </w:tcBorders>
            <w:shd w:val="clear" w:color="auto" w:fill="DEEAF6"/>
          </w:tcPr>
          <w:p>
            <w:pPr>
              <w:pStyle w:val="TableParagraph"/>
              <w:spacing w:before="42"/>
              <w:ind w:left="618" w:right="644"/>
              <w:jc w:val="center"/>
              <w:rPr>
                <w:b/>
                <w:sz w:val="13"/>
              </w:rPr>
            </w:pPr>
            <w:r>
              <w:rPr>
                <w:b/>
                <w:w w:val="105"/>
                <w:sz w:val="13"/>
              </w:rPr>
              <w:t>2022</w:t>
            </w:r>
          </w:p>
        </w:tc>
        <w:tc>
          <w:tcPr>
            <w:tcW w:w="1393" w:type="dxa"/>
            <w:tcBorders>
              <w:left w:val="nil"/>
              <w:bottom w:val="nil"/>
            </w:tcBorders>
            <w:shd w:val="clear" w:color="auto" w:fill="DEEAF6"/>
          </w:tcPr>
          <w:p>
            <w:pPr>
              <w:pStyle w:val="TableParagraph"/>
              <w:spacing w:before="42"/>
              <w:ind w:left="526" w:right="544"/>
              <w:jc w:val="center"/>
              <w:rPr>
                <w:b/>
                <w:sz w:val="13"/>
              </w:rPr>
            </w:pPr>
            <w:r>
              <w:rPr>
                <w:b/>
                <w:w w:val="105"/>
                <w:sz w:val="13"/>
              </w:rPr>
              <w:t>2021</w:t>
            </w:r>
          </w:p>
        </w:tc>
      </w:tr>
      <w:tr>
        <w:trPr>
          <w:trHeight w:val="872" w:hRule="atLeast"/>
        </w:trPr>
        <w:tc>
          <w:tcPr>
            <w:tcW w:w="2019" w:type="dxa"/>
            <w:vMerge/>
            <w:tcBorders>
              <w:top w:val="nil"/>
            </w:tcBorders>
          </w:tcPr>
          <w:p>
            <w:pPr>
              <w:rPr>
                <w:sz w:val="2"/>
                <w:szCs w:val="2"/>
              </w:rPr>
            </w:pPr>
          </w:p>
        </w:tc>
        <w:tc>
          <w:tcPr>
            <w:tcW w:w="1584" w:type="dxa"/>
            <w:tcBorders>
              <w:top w:val="nil"/>
              <w:right w:val="nil"/>
            </w:tcBorders>
          </w:tcPr>
          <w:p>
            <w:pPr>
              <w:pStyle w:val="TableParagraph"/>
              <w:rPr>
                <w:b/>
                <w:sz w:val="16"/>
              </w:rPr>
            </w:pPr>
          </w:p>
          <w:p>
            <w:pPr>
              <w:pStyle w:val="TableParagraph"/>
              <w:ind w:right="227"/>
              <w:jc w:val="right"/>
              <w:rPr>
                <w:sz w:val="13"/>
              </w:rPr>
            </w:pPr>
            <w:r>
              <w:rPr>
                <w:spacing w:val="-1"/>
                <w:w w:val="105"/>
                <w:sz w:val="13"/>
              </w:rPr>
              <w:t>1.036.556.027,16</w:t>
            </w:r>
          </w:p>
          <w:p>
            <w:pPr>
              <w:pStyle w:val="TableParagraph"/>
              <w:spacing w:before="77"/>
              <w:ind w:right="228"/>
              <w:jc w:val="right"/>
              <w:rPr>
                <w:sz w:val="13"/>
              </w:rPr>
            </w:pPr>
            <w:r>
              <w:rPr>
                <w:spacing w:val="-1"/>
                <w:sz w:val="13"/>
              </w:rPr>
              <w:t>324.592.268,02</w:t>
            </w:r>
          </w:p>
          <w:p>
            <w:pPr>
              <w:pStyle w:val="TableParagraph"/>
              <w:spacing w:before="85"/>
              <w:ind w:right="227"/>
              <w:jc w:val="right"/>
              <w:rPr>
                <w:b/>
                <w:sz w:val="13"/>
              </w:rPr>
            </w:pPr>
            <w:r>
              <w:rPr>
                <w:b/>
                <w:spacing w:val="-1"/>
                <w:w w:val="105"/>
                <w:sz w:val="13"/>
              </w:rPr>
              <w:t>1.361.148.295,18</w:t>
            </w:r>
          </w:p>
        </w:tc>
        <w:tc>
          <w:tcPr>
            <w:tcW w:w="1393" w:type="dxa"/>
            <w:tcBorders>
              <w:top w:val="nil"/>
              <w:left w:val="nil"/>
            </w:tcBorders>
          </w:tcPr>
          <w:p>
            <w:pPr>
              <w:pStyle w:val="TableParagraph"/>
              <w:rPr>
                <w:b/>
                <w:sz w:val="16"/>
              </w:rPr>
            </w:pPr>
          </w:p>
          <w:p>
            <w:pPr>
              <w:pStyle w:val="TableParagraph"/>
              <w:ind w:left="347"/>
              <w:rPr>
                <w:sz w:val="13"/>
              </w:rPr>
            </w:pPr>
            <w:r>
              <w:rPr>
                <w:w w:val="105"/>
                <w:sz w:val="13"/>
              </w:rPr>
              <w:t>983.641.361,40</w:t>
            </w:r>
          </w:p>
          <w:p>
            <w:pPr>
              <w:pStyle w:val="TableParagraph"/>
              <w:spacing w:before="77"/>
              <w:ind w:left="347"/>
              <w:rPr>
                <w:sz w:val="13"/>
              </w:rPr>
            </w:pPr>
            <w:r>
              <w:rPr>
                <w:w w:val="105"/>
                <w:sz w:val="13"/>
              </w:rPr>
              <w:t>381.505.376,76</w:t>
            </w:r>
          </w:p>
          <w:p>
            <w:pPr>
              <w:pStyle w:val="TableParagraph"/>
              <w:spacing w:before="85"/>
              <w:ind w:left="238"/>
              <w:rPr>
                <w:b/>
                <w:sz w:val="13"/>
              </w:rPr>
            </w:pPr>
            <w:r>
              <w:rPr>
                <w:b/>
                <w:w w:val="105"/>
                <w:sz w:val="13"/>
              </w:rPr>
              <w:t>1.365.146.738,16</w:t>
            </w:r>
          </w:p>
        </w:tc>
      </w:tr>
      <w:tr>
        <w:trPr>
          <w:trHeight w:val="359" w:hRule="atLeast"/>
        </w:trPr>
        <w:tc>
          <w:tcPr>
            <w:tcW w:w="2019" w:type="dxa"/>
            <w:tcBorders>
              <w:bottom w:val="nil"/>
            </w:tcBorders>
          </w:tcPr>
          <w:p>
            <w:pPr>
              <w:pStyle w:val="TableParagraph"/>
              <w:spacing w:before="10"/>
              <w:rPr>
                <w:b/>
                <w:sz w:val="14"/>
              </w:rPr>
            </w:pPr>
          </w:p>
          <w:p>
            <w:pPr>
              <w:pStyle w:val="TableParagraph"/>
              <w:spacing w:line="158" w:lineRule="exact"/>
              <w:ind w:left="59"/>
              <w:rPr>
                <w:b/>
                <w:sz w:val="13"/>
              </w:rPr>
            </w:pPr>
            <w:r>
              <w:rPr>
                <w:b/>
                <w:w w:val="105"/>
                <w:sz w:val="13"/>
              </w:rPr>
              <w:t>PATRIMONIO NETO Y PASIVO</w:t>
            </w:r>
          </w:p>
        </w:tc>
        <w:tc>
          <w:tcPr>
            <w:tcW w:w="2977" w:type="dxa"/>
            <w:gridSpan w:val="2"/>
            <w:tcBorders>
              <w:bottom w:val="nil"/>
            </w:tcBorders>
          </w:tcPr>
          <w:p>
            <w:pPr>
              <w:pStyle w:val="TableParagraph"/>
              <w:rPr>
                <w:rFonts w:ascii="Times New Roman"/>
                <w:sz w:val="16"/>
              </w:rPr>
            </w:pPr>
          </w:p>
        </w:tc>
      </w:tr>
      <w:tr>
        <w:trPr>
          <w:trHeight w:val="193" w:hRule="atLeast"/>
        </w:trPr>
        <w:tc>
          <w:tcPr>
            <w:tcW w:w="2019" w:type="dxa"/>
            <w:tcBorders>
              <w:top w:val="nil"/>
              <w:bottom w:val="nil"/>
            </w:tcBorders>
          </w:tcPr>
          <w:p>
            <w:pPr>
              <w:pStyle w:val="TableParagraph"/>
              <w:spacing w:line="156" w:lineRule="exact"/>
              <w:ind w:left="59"/>
              <w:rPr>
                <w:sz w:val="13"/>
              </w:rPr>
            </w:pPr>
            <w:r>
              <w:rPr>
                <w:w w:val="105"/>
                <w:sz w:val="13"/>
              </w:rPr>
              <w:t>A) Patrimonio Neto</w:t>
            </w:r>
          </w:p>
        </w:tc>
        <w:tc>
          <w:tcPr>
            <w:tcW w:w="1584" w:type="dxa"/>
            <w:tcBorders>
              <w:top w:val="nil"/>
              <w:bottom w:val="nil"/>
              <w:right w:val="nil"/>
            </w:tcBorders>
          </w:tcPr>
          <w:p>
            <w:pPr>
              <w:pStyle w:val="TableParagraph"/>
              <w:spacing w:line="156" w:lineRule="exact"/>
              <w:ind w:right="227"/>
              <w:jc w:val="right"/>
              <w:rPr>
                <w:sz w:val="13"/>
              </w:rPr>
            </w:pPr>
            <w:r>
              <w:rPr>
                <w:w w:val="105"/>
                <w:sz w:val="13"/>
              </w:rPr>
              <w:t>1.027.623.683,87</w:t>
            </w:r>
          </w:p>
        </w:tc>
        <w:tc>
          <w:tcPr>
            <w:tcW w:w="1393" w:type="dxa"/>
            <w:tcBorders>
              <w:top w:val="nil"/>
              <w:left w:val="nil"/>
              <w:bottom w:val="nil"/>
            </w:tcBorders>
          </w:tcPr>
          <w:p>
            <w:pPr>
              <w:pStyle w:val="TableParagraph"/>
              <w:spacing w:line="156" w:lineRule="exact"/>
              <w:ind w:right="186"/>
              <w:jc w:val="right"/>
              <w:rPr>
                <w:sz w:val="13"/>
              </w:rPr>
            </w:pPr>
            <w:r>
              <w:rPr>
                <w:w w:val="105"/>
                <w:sz w:val="13"/>
              </w:rPr>
              <w:t>1.084.491.247,15</w:t>
            </w:r>
          </w:p>
        </w:tc>
      </w:tr>
      <w:tr>
        <w:trPr>
          <w:trHeight w:val="226" w:hRule="atLeast"/>
        </w:trPr>
        <w:tc>
          <w:tcPr>
            <w:tcW w:w="2019" w:type="dxa"/>
            <w:tcBorders>
              <w:top w:val="nil"/>
              <w:bottom w:val="nil"/>
            </w:tcBorders>
          </w:tcPr>
          <w:p>
            <w:pPr>
              <w:pStyle w:val="TableParagraph"/>
              <w:spacing w:before="15"/>
              <w:ind w:left="59"/>
              <w:rPr>
                <w:sz w:val="13"/>
              </w:rPr>
            </w:pPr>
            <w:r>
              <w:rPr>
                <w:w w:val="105"/>
                <w:sz w:val="13"/>
              </w:rPr>
              <w:t>B) Pasivo No Corriente</w:t>
            </w:r>
          </w:p>
        </w:tc>
        <w:tc>
          <w:tcPr>
            <w:tcW w:w="1584" w:type="dxa"/>
            <w:tcBorders>
              <w:top w:val="nil"/>
              <w:bottom w:val="nil"/>
              <w:right w:val="nil"/>
            </w:tcBorders>
          </w:tcPr>
          <w:p>
            <w:pPr>
              <w:pStyle w:val="TableParagraph"/>
              <w:spacing w:before="15"/>
              <w:ind w:right="227"/>
              <w:jc w:val="right"/>
              <w:rPr>
                <w:sz w:val="13"/>
              </w:rPr>
            </w:pPr>
            <w:r>
              <w:rPr>
                <w:w w:val="105"/>
                <w:sz w:val="13"/>
              </w:rPr>
              <w:t>17.256.627,14</w:t>
            </w:r>
          </w:p>
        </w:tc>
        <w:tc>
          <w:tcPr>
            <w:tcW w:w="1393" w:type="dxa"/>
            <w:tcBorders>
              <w:top w:val="nil"/>
              <w:left w:val="nil"/>
              <w:bottom w:val="nil"/>
            </w:tcBorders>
          </w:tcPr>
          <w:p>
            <w:pPr>
              <w:pStyle w:val="TableParagraph"/>
              <w:spacing w:before="15"/>
              <w:ind w:right="186"/>
              <w:jc w:val="right"/>
              <w:rPr>
                <w:sz w:val="13"/>
              </w:rPr>
            </w:pPr>
            <w:r>
              <w:rPr>
                <w:w w:val="105"/>
                <w:sz w:val="13"/>
              </w:rPr>
              <w:t>17.831.899,24</w:t>
            </w:r>
          </w:p>
        </w:tc>
      </w:tr>
      <w:tr>
        <w:trPr>
          <w:trHeight w:val="242" w:hRule="atLeast"/>
        </w:trPr>
        <w:tc>
          <w:tcPr>
            <w:tcW w:w="2019" w:type="dxa"/>
            <w:tcBorders>
              <w:top w:val="nil"/>
              <w:bottom w:val="nil"/>
            </w:tcBorders>
          </w:tcPr>
          <w:p>
            <w:pPr>
              <w:pStyle w:val="TableParagraph"/>
              <w:spacing w:before="31"/>
              <w:ind w:left="59"/>
              <w:rPr>
                <w:sz w:val="13"/>
              </w:rPr>
            </w:pPr>
            <w:r>
              <w:rPr>
                <w:w w:val="105"/>
                <w:sz w:val="13"/>
              </w:rPr>
              <w:t>C) Pasivo Corriente</w:t>
            </w:r>
          </w:p>
        </w:tc>
        <w:tc>
          <w:tcPr>
            <w:tcW w:w="1584" w:type="dxa"/>
            <w:tcBorders>
              <w:top w:val="nil"/>
              <w:bottom w:val="nil"/>
              <w:right w:val="nil"/>
            </w:tcBorders>
          </w:tcPr>
          <w:p>
            <w:pPr>
              <w:pStyle w:val="TableParagraph"/>
              <w:spacing w:before="31"/>
              <w:ind w:right="228"/>
              <w:jc w:val="right"/>
              <w:rPr>
                <w:sz w:val="13"/>
              </w:rPr>
            </w:pPr>
            <w:r>
              <w:rPr>
                <w:sz w:val="13"/>
              </w:rPr>
              <w:t>316.267.984,17</w:t>
            </w:r>
          </w:p>
        </w:tc>
        <w:tc>
          <w:tcPr>
            <w:tcW w:w="1393" w:type="dxa"/>
            <w:tcBorders>
              <w:top w:val="nil"/>
              <w:left w:val="nil"/>
              <w:bottom w:val="nil"/>
            </w:tcBorders>
          </w:tcPr>
          <w:p>
            <w:pPr>
              <w:pStyle w:val="TableParagraph"/>
              <w:spacing w:before="31"/>
              <w:ind w:right="186"/>
              <w:jc w:val="right"/>
              <w:rPr>
                <w:sz w:val="13"/>
              </w:rPr>
            </w:pPr>
            <w:r>
              <w:rPr>
                <w:sz w:val="13"/>
              </w:rPr>
              <w:t>262.823.591,77</w:t>
            </w:r>
          </w:p>
        </w:tc>
      </w:tr>
      <w:tr>
        <w:trPr>
          <w:trHeight w:val="230" w:hRule="atLeast"/>
        </w:trPr>
        <w:tc>
          <w:tcPr>
            <w:tcW w:w="2019" w:type="dxa"/>
            <w:tcBorders>
              <w:top w:val="nil"/>
            </w:tcBorders>
          </w:tcPr>
          <w:p>
            <w:pPr>
              <w:pStyle w:val="TableParagraph"/>
              <w:spacing w:before="31"/>
              <w:ind w:left="59"/>
              <w:rPr>
                <w:b/>
                <w:sz w:val="13"/>
              </w:rPr>
            </w:pPr>
            <w:r>
              <w:rPr>
                <w:b/>
                <w:w w:val="105"/>
                <w:sz w:val="13"/>
              </w:rPr>
              <w:t>Total (A+B+C) - euros</w:t>
            </w:r>
          </w:p>
        </w:tc>
        <w:tc>
          <w:tcPr>
            <w:tcW w:w="1584" w:type="dxa"/>
            <w:tcBorders>
              <w:top w:val="nil"/>
              <w:right w:val="nil"/>
            </w:tcBorders>
          </w:tcPr>
          <w:p>
            <w:pPr>
              <w:pStyle w:val="TableParagraph"/>
              <w:spacing w:before="31"/>
              <w:ind w:right="227"/>
              <w:jc w:val="right"/>
              <w:rPr>
                <w:b/>
                <w:sz w:val="13"/>
              </w:rPr>
            </w:pPr>
            <w:r>
              <w:rPr>
                <w:b/>
                <w:w w:val="105"/>
                <w:sz w:val="13"/>
              </w:rPr>
              <w:t>1.361.148.295,18</w:t>
            </w:r>
          </w:p>
        </w:tc>
        <w:tc>
          <w:tcPr>
            <w:tcW w:w="1393" w:type="dxa"/>
            <w:tcBorders>
              <w:top w:val="nil"/>
              <w:left w:val="nil"/>
            </w:tcBorders>
          </w:tcPr>
          <w:p>
            <w:pPr>
              <w:pStyle w:val="TableParagraph"/>
              <w:spacing w:before="31"/>
              <w:ind w:right="186"/>
              <w:jc w:val="right"/>
              <w:rPr>
                <w:b/>
                <w:sz w:val="13"/>
              </w:rPr>
            </w:pPr>
            <w:r>
              <w:rPr>
                <w:b/>
                <w:w w:val="105"/>
                <w:sz w:val="13"/>
              </w:rPr>
              <w:t>1.365.146.738,16</w:t>
            </w:r>
          </w:p>
        </w:tc>
      </w:tr>
    </w:tbl>
    <w:p>
      <w:pPr>
        <w:pStyle w:val="BodyText"/>
        <w:spacing w:before="7"/>
        <w:rPr>
          <w:b/>
          <w:sz w:val="16"/>
        </w:rPr>
      </w:pPr>
    </w:p>
    <w:p>
      <w:pPr>
        <w:pStyle w:val="BodyText"/>
        <w:spacing w:line="242" w:lineRule="auto"/>
        <w:ind w:left="2334" w:right="1145"/>
        <w:jc w:val="both"/>
      </w:pPr>
      <w:r>
        <w:rPr/>
        <w:t>El total del Activo asciende a 1.361,1 millones de €, compuesto básicamente por inmovilizado de infraestructura sanitaria y equipamiento. El Inmovilizado material asciende a un millón de €.</w:t>
      </w:r>
    </w:p>
    <w:p>
      <w:pPr>
        <w:pStyle w:val="BodyText"/>
        <w:spacing w:before="6"/>
        <w:rPr>
          <w:sz w:val="16"/>
        </w:rPr>
      </w:pPr>
    </w:p>
    <w:p>
      <w:pPr>
        <w:pStyle w:val="Heading1"/>
        <w:numPr>
          <w:ilvl w:val="2"/>
          <w:numId w:val="26"/>
        </w:numPr>
        <w:tabs>
          <w:tab w:pos="2930" w:val="left" w:leader="none"/>
          <w:tab w:pos="2931" w:val="left" w:leader="none"/>
        </w:tabs>
        <w:spacing w:line="240" w:lineRule="auto" w:before="0" w:after="0"/>
        <w:ind w:left="2930" w:right="0" w:hanging="835"/>
        <w:jc w:val="left"/>
      </w:pPr>
      <w:bookmarkStart w:name="_TOC_250019" w:id="3"/>
      <w:bookmarkEnd w:id="3"/>
      <w:r>
        <w:rPr>
          <w:color w:val="53A1B9"/>
        </w:rPr>
        <w:t>Contratación.</w:t>
      </w:r>
    </w:p>
    <w:p>
      <w:pPr>
        <w:pStyle w:val="BodyText"/>
        <w:spacing w:before="8"/>
        <w:rPr>
          <w:b/>
          <w:sz w:val="16"/>
        </w:rPr>
      </w:pPr>
    </w:p>
    <w:p>
      <w:pPr>
        <w:pStyle w:val="ListParagraph"/>
        <w:numPr>
          <w:ilvl w:val="0"/>
          <w:numId w:val="51"/>
        </w:numPr>
        <w:tabs>
          <w:tab w:pos="2488" w:val="left" w:leader="none"/>
          <w:tab w:pos="2489" w:val="left" w:leader="none"/>
        </w:tabs>
        <w:spacing w:line="240" w:lineRule="auto" w:before="0" w:after="0"/>
        <w:ind w:left="2455" w:right="1147" w:hanging="359"/>
        <w:jc w:val="left"/>
        <w:rPr>
          <w:b/>
          <w:sz w:val="20"/>
        </w:rPr>
      </w:pPr>
      <w:r>
        <w:rPr>
          <w:b/>
          <w:sz w:val="20"/>
        </w:rPr>
        <w:t>Cumplimiento de las obligaciones de remisión de información y documentación de contratos, convenios y encargos a medios</w:t>
      </w:r>
      <w:r>
        <w:rPr>
          <w:b/>
          <w:spacing w:val="-1"/>
          <w:sz w:val="20"/>
        </w:rPr>
        <w:t> </w:t>
      </w:r>
      <w:r>
        <w:rPr>
          <w:b/>
          <w:sz w:val="20"/>
        </w:rPr>
        <w:t>propios.</w:t>
      </w:r>
    </w:p>
    <w:p>
      <w:pPr>
        <w:pStyle w:val="BodyText"/>
        <w:spacing w:before="9"/>
        <w:rPr>
          <w:b/>
          <w:sz w:val="16"/>
        </w:rPr>
      </w:pPr>
    </w:p>
    <w:p>
      <w:pPr>
        <w:spacing w:before="0"/>
        <w:ind w:left="2096" w:right="0" w:firstLine="0"/>
        <w:jc w:val="left"/>
        <w:rPr>
          <w:b/>
          <w:sz w:val="20"/>
        </w:rPr>
      </w:pPr>
      <w:r>
        <w:rPr>
          <w:b/>
          <w:sz w:val="20"/>
        </w:rPr>
        <w:t>Plazo y contenido de la rendición.</w:t>
      </w:r>
    </w:p>
    <w:p>
      <w:pPr>
        <w:pStyle w:val="BodyText"/>
        <w:spacing w:before="8"/>
        <w:rPr>
          <w:b/>
          <w:sz w:val="16"/>
        </w:rPr>
      </w:pPr>
    </w:p>
    <w:p>
      <w:pPr>
        <w:pStyle w:val="ListParagraph"/>
        <w:numPr>
          <w:ilvl w:val="0"/>
          <w:numId w:val="52"/>
        </w:numPr>
        <w:tabs>
          <w:tab w:pos="2335" w:val="left" w:leader="none"/>
        </w:tabs>
        <w:spacing w:line="240" w:lineRule="auto" w:before="1" w:after="0"/>
        <w:ind w:left="2334" w:right="1138" w:hanging="238"/>
        <w:jc w:val="both"/>
        <w:rPr>
          <w:sz w:val="20"/>
        </w:rPr>
      </w:pPr>
      <w:r>
        <w:rPr>
          <w:sz w:val="20"/>
        </w:rPr>
        <w:t>En</w:t>
      </w:r>
      <w:r>
        <w:rPr>
          <w:spacing w:val="-1"/>
          <w:sz w:val="20"/>
        </w:rPr>
        <w:t> </w:t>
      </w:r>
      <w:r>
        <w:rPr>
          <w:sz w:val="20"/>
        </w:rPr>
        <w:t>virtud</w:t>
      </w:r>
      <w:r>
        <w:rPr>
          <w:spacing w:val="-3"/>
          <w:sz w:val="20"/>
        </w:rPr>
        <w:t> </w:t>
      </w:r>
      <w:r>
        <w:rPr>
          <w:sz w:val="20"/>
        </w:rPr>
        <w:t>de</w:t>
      </w:r>
      <w:r>
        <w:rPr>
          <w:spacing w:val="-4"/>
          <w:sz w:val="20"/>
        </w:rPr>
        <w:t> </w:t>
      </w:r>
      <w:r>
        <w:rPr>
          <w:sz w:val="20"/>
        </w:rPr>
        <w:t>los</w:t>
      </w:r>
      <w:r>
        <w:rPr>
          <w:spacing w:val="-4"/>
          <w:sz w:val="20"/>
        </w:rPr>
        <w:t> </w:t>
      </w:r>
      <w:r>
        <w:rPr>
          <w:sz w:val="20"/>
        </w:rPr>
        <w:t>dispuesto</w:t>
      </w:r>
      <w:r>
        <w:rPr>
          <w:spacing w:val="-2"/>
          <w:sz w:val="20"/>
        </w:rPr>
        <w:t> </w:t>
      </w:r>
      <w:r>
        <w:rPr>
          <w:sz w:val="20"/>
        </w:rPr>
        <w:t>en</w:t>
      </w:r>
      <w:r>
        <w:rPr>
          <w:spacing w:val="-2"/>
          <w:sz w:val="20"/>
        </w:rPr>
        <w:t> </w:t>
      </w:r>
      <w:r>
        <w:rPr>
          <w:sz w:val="20"/>
        </w:rPr>
        <w:t>la</w:t>
      </w:r>
      <w:r>
        <w:rPr>
          <w:spacing w:val="-2"/>
          <w:sz w:val="20"/>
        </w:rPr>
        <w:t> </w:t>
      </w:r>
      <w:r>
        <w:rPr>
          <w:sz w:val="20"/>
        </w:rPr>
        <w:t>Instrucción</w:t>
      </w:r>
      <w:r>
        <w:rPr>
          <w:spacing w:val="-3"/>
          <w:sz w:val="20"/>
        </w:rPr>
        <w:t> </w:t>
      </w:r>
      <w:r>
        <w:rPr>
          <w:sz w:val="20"/>
        </w:rPr>
        <w:t>de</w:t>
      </w:r>
      <w:r>
        <w:rPr>
          <w:spacing w:val="-4"/>
          <w:sz w:val="20"/>
        </w:rPr>
        <w:t> </w:t>
      </w:r>
      <w:r>
        <w:rPr>
          <w:sz w:val="20"/>
        </w:rPr>
        <w:t>rendición</w:t>
      </w:r>
      <w:r>
        <w:rPr>
          <w:spacing w:val="-3"/>
          <w:sz w:val="20"/>
        </w:rPr>
        <w:t> </w:t>
      </w:r>
      <w:r>
        <w:rPr>
          <w:sz w:val="20"/>
        </w:rPr>
        <w:t>de</w:t>
      </w:r>
      <w:r>
        <w:rPr>
          <w:spacing w:val="-6"/>
          <w:sz w:val="20"/>
        </w:rPr>
        <w:t> </w:t>
      </w:r>
      <w:r>
        <w:rPr>
          <w:sz w:val="20"/>
        </w:rPr>
        <w:t>determinada</w:t>
      </w:r>
      <w:r>
        <w:rPr>
          <w:spacing w:val="-4"/>
          <w:sz w:val="20"/>
        </w:rPr>
        <w:t> </w:t>
      </w:r>
      <w:r>
        <w:rPr>
          <w:sz w:val="20"/>
        </w:rPr>
        <w:t>información a la Audiencia de Cuentas de Canarias,</w:t>
      </w:r>
      <w:r>
        <w:rPr>
          <w:position w:val="7"/>
          <w:sz w:val="13"/>
        </w:rPr>
        <w:t>23 </w:t>
      </w:r>
      <w:r>
        <w:rPr>
          <w:sz w:val="20"/>
        </w:rPr>
        <w:t>se establece la obligación, por parte de los órganos de contratación, de la remisión de los extractos de los expedientes de contratación y de convenios que superen un determinado importe, así como de las relaciones anuales de los contratos, convenios y encargos a medios propios personificados.</w:t>
      </w:r>
    </w:p>
    <w:p>
      <w:pPr>
        <w:pStyle w:val="BodyText"/>
        <w:rPr>
          <w:sz w:val="17"/>
        </w:rPr>
      </w:pPr>
    </w:p>
    <w:p>
      <w:pPr>
        <w:pStyle w:val="ListParagraph"/>
        <w:numPr>
          <w:ilvl w:val="0"/>
          <w:numId w:val="52"/>
        </w:numPr>
        <w:tabs>
          <w:tab w:pos="2335" w:val="left" w:leader="none"/>
        </w:tabs>
        <w:spacing w:line="242" w:lineRule="auto" w:before="0" w:after="0"/>
        <w:ind w:left="2334" w:right="1137" w:hanging="238"/>
        <w:jc w:val="both"/>
        <w:rPr>
          <w:sz w:val="20"/>
        </w:rPr>
      </w:pPr>
      <w:r>
        <w:rPr>
          <w:sz w:val="20"/>
        </w:rPr>
        <w:t>El SCS dispone de 24 órganos de contratación, a los cuales les corresponde elaborar y remitir la relación certificada de todos los expedientes administrativos de contratación, en virtud de la Instrucción nº 5/22, del Director del SCS, que modifica la Instrucción nº 5/14, por la que se dictan instrucciones para la remisión a la Audiencia de Cuentas de los expedientes de contratación celebrados por el</w:t>
      </w:r>
      <w:r>
        <w:rPr>
          <w:spacing w:val="13"/>
          <w:sz w:val="20"/>
        </w:rPr>
        <w:t> </w:t>
      </w:r>
      <w:r>
        <w:rPr>
          <w:sz w:val="20"/>
        </w:rPr>
        <w:t>SCS.</w:t>
      </w:r>
    </w:p>
    <w:p>
      <w:pPr>
        <w:pStyle w:val="BodyText"/>
      </w:pPr>
    </w:p>
    <w:p>
      <w:pPr>
        <w:pStyle w:val="BodyText"/>
        <w:rPr>
          <w:sz w:val="15"/>
        </w:rPr>
      </w:pPr>
      <w:r>
        <w:rPr/>
        <w:pict>
          <v:shape style="position:absolute;margin-left:142.816818pt;margin-top:11.490572pt;width:120.95pt;height:.1pt;mso-position-horizontal-relative:page;mso-position-vertical-relative:paragraph;z-index:-251462656;mso-wrap-distance-left:0;mso-wrap-distance-right:0" coordorigin="2856,230" coordsize="2419,0" path="m2856,230l5275,230e" filled="false" stroked="true" strokeweight=".604535pt" strokecolor="#000000">
            <v:path arrowok="t"/>
            <v:stroke dashstyle="solid"/>
            <w10:wrap type="topAndBottom"/>
          </v:shape>
        </w:pict>
      </w:r>
    </w:p>
    <w:p>
      <w:pPr>
        <w:spacing w:line="252" w:lineRule="auto" w:before="51"/>
        <w:ind w:left="2096" w:right="1139" w:firstLine="0"/>
        <w:jc w:val="both"/>
        <w:rPr>
          <w:sz w:val="16"/>
        </w:rPr>
      </w:pPr>
      <w:r>
        <w:rPr>
          <w:w w:val="105"/>
          <w:position w:val="6"/>
          <w:sz w:val="11"/>
        </w:rPr>
        <w:t>23</w:t>
      </w:r>
      <w:r>
        <w:rPr>
          <w:spacing w:val="8"/>
          <w:w w:val="105"/>
          <w:position w:val="6"/>
          <w:sz w:val="11"/>
        </w:rPr>
        <w:t> </w:t>
      </w:r>
      <w:r>
        <w:rPr>
          <w:w w:val="105"/>
          <w:sz w:val="16"/>
        </w:rPr>
        <w:t>Instrucción</w:t>
      </w:r>
      <w:r>
        <w:rPr>
          <w:spacing w:val="-4"/>
          <w:w w:val="105"/>
          <w:sz w:val="16"/>
        </w:rPr>
        <w:t> </w:t>
      </w:r>
      <w:r>
        <w:rPr>
          <w:w w:val="105"/>
          <w:sz w:val="16"/>
        </w:rPr>
        <w:t>de</w:t>
      </w:r>
      <w:r>
        <w:rPr>
          <w:spacing w:val="-3"/>
          <w:w w:val="105"/>
          <w:sz w:val="16"/>
        </w:rPr>
        <w:t> </w:t>
      </w:r>
      <w:r>
        <w:rPr>
          <w:w w:val="105"/>
          <w:sz w:val="16"/>
        </w:rPr>
        <w:t>29</w:t>
      </w:r>
      <w:r>
        <w:rPr>
          <w:spacing w:val="-3"/>
          <w:w w:val="105"/>
          <w:sz w:val="16"/>
        </w:rPr>
        <w:t> </w:t>
      </w:r>
      <w:r>
        <w:rPr>
          <w:w w:val="105"/>
          <w:sz w:val="16"/>
        </w:rPr>
        <w:t>de</w:t>
      </w:r>
      <w:r>
        <w:rPr>
          <w:spacing w:val="-5"/>
          <w:w w:val="105"/>
          <w:sz w:val="16"/>
        </w:rPr>
        <w:t> </w:t>
      </w:r>
      <w:r>
        <w:rPr>
          <w:w w:val="105"/>
          <w:sz w:val="16"/>
        </w:rPr>
        <w:t>noviembre</w:t>
      </w:r>
      <w:r>
        <w:rPr>
          <w:spacing w:val="-3"/>
          <w:w w:val="105"/>
          <w:sz w:val="16"/>
        </w:rPr>
        <w:t> </w:t>
      </w:r>
      <w:r>
        <w:rPr>
          <w:w w:val="105"/>
          <w:sz w:val="16"/>
        </w:rPr>
        <w:t>de</w:t>
      </w:r>
      <w:r>
        <w:rPr>
          <w:spacing w:val="-3"/>
          <w:w w:val="105"/>
          <w:sz w:val="16"/>
        </w:rPr>
        <w:t> </w:t>
      </w:r>
      <w:r>
        <w:rPr>
          <w:w w:val="105"/>
          <w:sz w:val="16"/>
        </w:rPr>
        <w:t>2018,</w:t>
      </w:r>
      <w:r>
        <w:rPr>
          <w:spacing w:val="-2"/>
          <w:w w:val="105"/>
          <w:sz w:val="16"/>
        </w:rPr>
        <w:t> </w:t>
      </w:r>
      <w:r>
        <w:rPr>
          <w:w w:val="105"/>
          <w:sz w:val="16"/>
        </w:rPr>
        <w:t>relativa</w:t>
      </w:r>
      <w:r>
        <w:rPr>
          <w:spacing w:val="-2"/>
          <w:w w:val="105"/>
          <w:sz w:val="16"/>
        </w:rPr>
        <w:t> </w:t>
      </w:r>
      <w:r>
        <w:rPr>
          <w:w w:val="105"/>
          <w:sz w:val="16"/>
        </w:rPr>
        <w:t>a</w:t>
      </w:r>
      <w:r>
        <w:rPr>
          <w:spacing w:val="-2"/>
          <w:w w:val="105"/>
          <w:sz w:val="16"/>
        </w:rPr>
        <w:t> </w:t>
      </w:r>
      <w:r>
        <w:rPr>
          <w:w w:val="105"/>
          <w:sz w:val="16"/>
        </w:rPr>
        <w:t>la</w:t>
      </w:r>
      <w:r>
        <w:rPr>
          <w:spacing w:val="-5"/>
          <w:w w:val="105"/>
          <w:sz w:val="16"/>
        </w:rPr>
        <w:t> </w:t>
      </w:r>
      <w:r>
        <w:rPr>
          <w:w w:val="105"/>
          <w:sz w:val="16"/>
        </w:rPr>
        <w:t>remisión</w:t>
      </w:r>
      <w:r>
        <w:rPr>
          <w:spacing w:val="-2"/>
          <w:w w:val="105"/>
          <w:sz w:val="16"/>
        </w:rPr>
        <w:t> </w:t>
      </w:r>
      <w:r>
        <w:rPr>
          <w:w w:val="105"/>
          <w:sz w:val="16"/>
        </w:rPr>
        <w:t>telemática</w:t>
      </w:r>
      <w:r>
        <w:rPr>
          <w:spacing w:val="-2"/>
          <w:w w:val="105"/>
          <w:sz w:val="16"/>
        </w:rPr>
        <w:t> </w:t>
      </w:r>
      <w:r>
        <w:rPr>
          <w:w w:val="105"/>
          <w:sz w:val="16"/>
        </w:rPr>
        <w:t>a</w:t>
      </w:r>
      <w:r>
        <w:rPr>
          <w:spacing w:val="-2"/>
          <w:w w:val="105"/>
          <w:sz w:val="16"/>
        </w:rPr>
        <w:t> </w:t>
      </w:r>
      <w:r>
        <w:rPr>
          <w:w w:val="105"/>
          <w:sz w:val="16"/>
        </w:rPr>
        <w:t>la</w:t>
      </w:r>
      <w:r>
        <w:rPr>
          <w:spacing w:val="-2"/>
          <w:w w:val="105"/>
          <w:sz w:val="16"/>
        </w:rPr>
        <w:t> </w:t>
      </w:r>
      <w:r>
        <w:rPr>
          <w:w w:val="105"/>
          <w:sz w:val="16"/>
        </w:rPr>
        <w:t>Audiencia</w:t>
      </w:r>
      <w:r>
        <w:rPr>
          <w:spacing w:val="-3"/>
          <w:w w:val="105"/>
          <w:sz w:val="16"/>
        </w:rPr>
        <w:t> </w:t>
      </w:r>
      <w:r>
        <w:rPr>
          <w:w w:val="105"/>
          <w:sz w:val="16"/>
        </w:rPr>
        <w:t>de</w:t>
      </w:r>
      <w:r>
        <w:rPr>
          <w:spacing w:val="-3"/>
          <w:w w:val="105"/>
          <w:sz w:val="16"/>
        </w:rPr>
        <w:t> </w:t>
      </w:r>
      <w:r>
        <w:rPr>
          <w:w w:val="105"/>
          <w:sz w:val="16"/>
        </w:rPr>
        <w:t>Cuentas</w:t>
      </w:r>
      <w:r>
        <w:rPr>
          <w:spacing w:val="-2"/>
          <w:w w:val="105"/>
          <w:sz w:val="16"/>
        </w:rPr>
        <w:t> </w:t>
      </w:r>
      <w:r>
        <w:rPr>
          <w:w w:val="105"/>
          <w:sz w:val="16"/>
        </w:rPr>
        <w:t>de Canarias de los extractos de los expedientes de contratación y convenios y de las relaciones anuales de los contratos, convenios y encargos a medios propios personificados celebrados por las entidades del Sector Público Autonómico de la CAC al amparo de la Ley 9/2017, de 8 de</w:t>
      </w:r>
      <w:r>
        <w:rPr>
          <w:spacing w:val="-10"/>
          <w:w w:val="105"/>
          <w:sz w:val="16"/>
        </w:rPr>
        <w:t> </w:t>
      </w:r>
      <w:r>
        <w:rPr>
          <w:w w:val="105"/>
          <w:sz w:val="16"/>
        </w:rPr>
        <w:t>noviembre.</w:t>
      </w:r>
    </w:p>
    <w:p>
      <w:pPr>
        <w:pStyle w:val="BodyText"/>
        <w:spacing w:line="236" w:lineRule="exact"/>
        <w:ind w:left="7794"/>
        <w:jc w:val="center"/>
      </w:pPr>
      <w:r>
        <w:rPr/>
        <w:t>103</w:t>
      </w:r>
    </w:p>
    <w:p>
      <w:pPr>
        <w:pStyle w:val="Heading1"/>
        <w:spacing w:before="1"/>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17" name="image5.png"/>
                  <wp:cNvGraphicFramePr>
                    <a:graphicFrameLocks noChangeAspect="1"/>
                  </wp:cNvGraphicFramePr>
                  <a:graphic>
                    <a:graphicData uri="http://schemas.openxmlformats.org/drawingml/2006/picture">
                      <pic:pic>
                        <pic:nvPicPr>
                          <pic:cNvPr id="21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03"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105/247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ListParagraph"/>
        <w:numPr>
          <w:ilvl w:val="0"/>
          <w:numId w:val="53"/>
        </w:numPr>
        <w:tabs>
          <w:tab w:pos="2335" w:val="left" w:leader="none"/>
        </w:tabs>
        <w:spacing w:line="240" w:lineRule="auto" w:before="61" w:after="0"/>
        <w:ind w:left="2334" w:right="1141" w:hanging="238"/>
        <w:jc w:val="both"/>
        <w:rPr>
          <w:sz w:val="20"/>
        </w:rPr>
      </w:pPr>
      <w:r>
        <w:rPr>
          <w:sz w:val="20"/>
        </w:rPr>
        <w:t>El cumplimiento de la rendición de las relaciones anuales se ha efectuado en las siguientes fechas en el caso del</w:t>
      </w:r>
      <w:r>
        <w:rPr>
          <w:spacing w:val="-1"/>
          <w:sz w:val="20"/>
        </w:rPr>
        <w:t> </w:t>
      </w:r>
      <w:r>
        <w:rPr>
          <w:sz w:val="20"/>
        </w:rPr>
        <w:t>SCS:</w:t>
      </w:r>
    </w:p>
    <w:p>
      <w:pPr>
        <w:pStyle w:val="BodyText"/>
        <w:spacing w:before="9"/>
        <w:rPr>
          <w:sz w:val="16"/>
        </w:rPr>
      </w:pPr>
    </w:p>
    <w:tbl>
      <w:tblPr>
        <w:tblW w:w="0" w:type="auto"/>
        <w:jc w:val="left"/>
        <w:tblInd w:w="2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6"/>
        <w:gridCol w:w="1149"/>
        <w:gridCol w:w="1364"/>
        <w:gridCol w:w="963"/>
        <w:gridCol w:w="972"/>
      </w:tblGrid>
      <w:tr>
        <w:trPr>
          <w:trHeight w:val="421" w:hRule="atLeast"/>
        </w:trPr>
        <w:tc>
          <w:tcPr>
            <w:tcW w:w="265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9"/>
              <w:rPr>
                <w:sz w:val="10"/>
              </w:rPr>
            </w:pPr>
          </w:p>
          <w:p>
            <w:pPr>
              <w:pStyle w:val="TableParagraph"/>
              <w:ind w:left="666"/>
              <w:rPr>
                <w:b/>
                <w:sz w:val="13"/>
              </w:rPr>
            </w:pPr>
            <w:r>
              <w:rPr>
                <w:b/>
                <w:w w:val="105"/>
                <w:sz w:val="13"/>
              </w:rPr>
              <w:t>Órgano de contratación</w:t>
            </w:r>
          </w:p>
        </w:tc>
        <w:tc>
          <w:tcPr>
            <w:tcW w:w="1149" w:type="dxa"/>
            <w:tcBorders>
              <w:top w:val="single" w:sz="4" w:space="0" w:color="000000"/>
              <w:left w:val="single" w:sz="4" w:space="0" w:color="000000"/>
              <w:bottom w:val="single" w:sz="4" w:space="0" w:color="000000"/>
            </w:tcBorders>
            <w:shd w:val="clear" w:color="auto" w:fill="DEEAF6"/>
          </w:tcPr>
          <w:p>
            <w:pPr>
              <w:pStyle w:val="TableParagraph"/>
              <w:spacing w:before="9"/>
              <w:rPr>
                <w:sz w:val="10"/>
              </w:rPr>
            </w:pPr>
          </w:p>
          <w:p>
            <w:pPr>
              <w:pStyle w:val="TableParagraph"/>
              <w:ind w:left="128" w:right="120"/>
              <w:jc w:val="center"/>
              <w:rPr>
                <w:b/>
                <w:sz w:val="13"/>
              </w:rPr>
            </w:pPr>
            <w:r>
              <w:rPr>
                <w:b/>
                <w:w w:val="105"/>
                <w:sz w:val="13"/>
              </w:rPr>
              <w:t>Contratos LCSP</w:t>
            </w:r>
          </w:p>
        </w:tc>
        <w:tc>
          <w:tcPr>
            <w:tcW w:w="1364" w:type="dxa"/>
            <w:tcBorders>
              <w:top w:val="single" w:sz="4" w:space="0" w:color="000000"/>
              <w:bottom w:val="single" w:sz="4" w:space="0" w:color="000000"/>
            </w:tcBorders>
            <w:shd w:val="clear" w:color="auto" w:fill="DEEAF6"/>
          </w:tcPr>
          <w:p>
            <w:pPr>
              <w:pStyle w:val="TableParagraph"/>
              <w:spacing w:before="9"/>
              <w:rPr>
                <w:sz w:val="10"/>
              </w:rPr>
            </w:pPr>
          </w:p>
          <w:p>
            <w:pPr>
              <w:pStyle w:val="TableParagraph"/>
              <w:ind w:left="127" w:right="120"/>
              <w:jc w:val="center"/>
              <w:rPr>
                <w:b/>
                <w:sz w:val="13"/>
              </w:rPr>
            </w:pPr>
            <w:r>
              <w:rPr>
                <w:b/>
                <w:w w:val="105"/>
                <w:sz w:val="13"/>
              </w:rPr>
              <w:t>Contratos privados</w:t>
            </w:r>
          </w:p>
        </w:tc>
        <w:tc>
          <w:tcPr>
            <w:tcW w:w="963" w:type="dxa"/>
            <w:tcBorders>
              <w:top w:val="single" w:sz="4" w:space="0" w:color="000000"/>
              <w:bottom w:val="single" w:sz="4" w:space="0" w:color="000000"/>
            </w:tcBorders>
            <w:shd w:val="clear" w:color="auto" w:fill="DEEAF6"/>
          </w:tcPr>
          <w:p>
            <w:pPr>
              <w:pStyle w:val="TableParagraph"/>
              <w:spacing w:before="9"/>
              <w:rPr>
                <w:sz w:val="10"/>
              </w:rPr>
            </w:pPr>
          </w:p>
          <w:p>
            <w:pPr>
              <w:pStyle w:val="TableParagraph"/>
              <w:ind w:left="133" w:right="128"/>
              <w:jc w:val="center"/>
              <w:rPr>
                <w:b/>
                <w:sz w:val="13"/>
              </w:rPr>
            </w:pPr>
            <w:r>
              <w:rPr>
                <w:b/>
                <w:w w:val="105"/>
                <w:sz w:val="13"/>
              </w:rPr>
              <w:t>Convenios</w:t>
            </w:r>
          </w:p>
        </w:tc>
        <w:tc>
          <w:tcPr>
            <w:tcW w:w="972" w:type="dxa"/>
            <w:tcBorders>
              <w:top w:val="single" w:sz="4" w:space="0" w:color="000000"/>
              <w:bottom w:val="single" w:sz="4" w:space="0" w:color="000000"/>
              <w:right w:val="single" w:sz="4" w:space="0" w:color="000000"/>
            </w:tcBorders>
            <w:shd w:val="clear" w:color="auto" w:fill="DEEAF6"/>
          </w:tcPr>
          <w:p>
            <w:pPr>
              <w:pStyle w:val="TableParagraph"/>
              <w:spacing w:before="9"/>
              <w:rPr>
                <w:sz w:val="10"/>
              </w:rPr>
            </w:pPr>
          </w:p>
          <w:p>
            <w:pPr>
              <w:pStyle w:val="TableParagraph"/>
              <w:ind w:left="142" w:right="124"/>
              <w:jc w:val="center"/>
              <w:rPr>
                <w:b/>
                <w:sz w:val="13"/>
              </w:rPr>
            </w:pPr>
            <w:r>
              <w:rPr>
                <w:b/>
                <w:w w:val="105"/>
                <w:sz w:val="13"/>
              </w:rPr>
              <w:t>Encargos</w:t>
            </w:r>
          </w:p>
        </w:tc>
      </w:tr>
      <w:tr>
        <w:trPr>
          <w:trHeight w:val="204" w:hRule="atLeast"/>
        </w:trPr>
        <w:tc>
          <w:tcPr>
            <w:tcW w:w="2656" w:type="dxa"/>
            <w:tcBorders>
              <w:top w:val="single" w:sz="4" w:space="0" w:color="000000"/>
              <w:left w:val="single" w:sz="4" w:space="0" w:color="000000"/>
              <w:right w:val="single" w:sz="4" w:space="0" w:color="000000"/>
            </w:tcBorders>
            <w:shd w:val="clear" w:color="auto" w:fill="F1F1F1"/>
          </w:tcPr>
          <w:p>
            <w:pPr>
              <w:pStyle w:val="TableParagraph"/>
              <w:spacing w:before="22"/>
              <w:ind w:left="89"/>
              <w:rPr>
                <w:sz w:val="13"/>
              </w:rPr>
            </w:pPr>
            <w:r>
              <w:rPr>
                <w:w w:val="105"/>
                <w:sz w:val="13"/>
              </w:rPr>
              <w:t>Dirección del Servicio</w:t>
            </w:r>
          </w:p>
        </w:tc>
        <w:tc>
          <w:tcPr>
            <w:tcW w:w="1149" w:type="dxa"/>
            <w:tcBorders>
              <w:top w:val="single" w:sz="4" w:space="0" w:color="000000"/>
              <w:left w:val="single" w:sz="4" w:space="0" w:color="000000"/>
            </w:tcBorders>
            <w:shd w:val="clear" w:color="auto" w:fill="F1F1F1"/>
          </w:tcPr>
          <w:p>
            <w:pPr>
              <w:pStyle w:val="TableParagraph"/>
              <w:spacing w:before="22"/>
              <w:ind w:left="128" w:right="120"/>
              <w:jc w:val="center"/>
              <w:rPr>
                <w:sz w:val="13"/>
              </w:rPr>
            </w:pPr>
            <w:r>
              <w:rPr>
                <w:w w:val="105"/>
                <w:sz w:val="13"/>
              </w:rPr>
              <w:t>No</w:t>
            </w:r>
          </w:p>
        </w:tc>
        <w:tc>
          <w:tcPr>
            <w:tcW w:w="1364" w:type="dxa"/>
            <w:tcBorders>
              <w:top w:val="single" w:sz="4" w:space="0" w:color="000000"/>
            </w:tcBorders>
            <w:shd w:val="clear" w:color="auto" w:fill="F1F1F1"/>
          </w:tcPr>
          <w:p>
            <w:pPr>
              <w:pStyle w:val="TableParagraph"/>
              <w:spacing w:before="22"/>
              <w:ind w:left="126" w:right="120"/>
              <w:jc w:val="center"/>
              <w:rPr>
                <w:sz w:val="13"/>
              </w:rPr>
            </w:pPr>
            <w:r>
              <w:rPr>
                <w:w w:val="105"/>
                <w:sz w:val="13"/>
              </w:rPr>
              <w:t>No</w:t>
            </w:r>
          </w:p>
        </w:tc>
        <w:tc>
          <w:tcPr>
            <w:tcW w:w="963" w:type="dxa"/>
            <w:tcBorders>
              <w:top w:val="single" w:sz="4" w:space="0" w:color="000000"/>
            </w:tcBorders>
            <w:shd w:val="clear" w:color="auto" w:fill="F1F1F1"/>
          </w:tcPr>
          <w:p>
            <w:pPr>
              <w:pStyle w:val="TableParagraph"/>
              <w:spacing w:before="22"/>
              <w:ind w:left="132" w:right="130"/>
              <w:jc w:val="center"/>
              <w:rPr>
                <w:sz w:val="13"/>
              </w:rPr>
            </w:pPr>
            <w:r>
              <w:rPr>
                <w:w w:val="105"/>
                <w:sz w:val="13"/>
              </w:rPr>
              <w:t>No</w:t>
            </w:r>
          </w:p>
        </w:tc>
        <w:tc>
          <w:tcPr>
            <w:tcW w:w="972" w:type="dxa"/>
            <w:tcBorders>
              <w:top w:val="single" w:sz="4" w:space="0" w:color="000000"/>
              <w:right w:val="single" w:sz="4" w:space="0" w:color="000000"/>
            </w:tcBorders>
            <w:shd w:val="clear" w:color="auto" w:fill="F1F1F1"/>
          </w:tcPr>
          <w:p>
            <w:pPr>
              <w:pStyle w:val="TableParagraph"/>
              <w:spacing w:before="22"/>
              <w:ind w:left="140" w:right="126"/>
              <w:jc w:val="center"/>
              <w:rPr>
                <w:sz w:val="13"/>
              </w:rPr>
            </w:pPr>
            <w:r>
              <w:rPr>
                <w:w w:val="105"/>
                <w:sz w:val="13"/>
              </w:rPr>
              <w:t>No</w:t>
            </w:r>
          </w:p>
        </w:tc>
      </w:tr>
      <w:tr>
        <w:trPr>
          <w:trHeight w:val="842" w:hRule="atLeast"/>
        </w:trPr>
        <w:tc>
          <w:tcPr>
            <w:tcW w:w="2656" w:type="dxa"/>
            <w:tcBorders>
              <w:left w:val="single" w:sz="4" w:space="0" w:color="000000"/>
              <w:right w:val="single" w:sz="4" w:space="0" w:color="000000"/>
            </w:tcBorders>
          </w:tcPr>
          <w:p>
            <w:pPr>
              <w:pStyle w:val="TableParagraph"/>
              <w:spacing w:line="319" w:lineRule="auto" w:before="29"/>
              <w:ind w:left="89" w:right="1378"/>
              <w:rPr>
                <w:sz w:val="13"/>
              </w:rPr>
            </w:pPr>
            <w:r>
              <w:rPr>
                <w:w w:val="105"/>
                <w:sz w:val="13"/>
              </w:rPr>
              <w:t>Secretaría General DG Salud Pública</w:t>
            </w:r>
          </w:p>
          <w:p>
            <w:pPr>
              <w:pStyle w:val="TableParagraph"/>
              <w:spacing w:line="158" w:lineRule="exact"/>
              <w:ind w:left="89"/>
              <w:rPr>
                <w:sz w:val="13"/>
              </w:rPr>
            </w:pPr>
            <w:r>
              <w:rPr>
                <w:w w:val="105"/>
                <w:sz w:val="13"/>
              </w:rPr>
              <w:t>DG Programas Asistenciales</w:t>
            </w:r>
          </w:p>
          <w:p>
            <w:pPr>
              <w:pStyle w:val="TableParagraph"/>
              <w:spacing w:before="53"/>
              <w:ind w:left="89"/>
              <w:rPr>
                <w:sz w:val="13"/>
              </w:rPr>
            </w:pPr>
            <w:r>
              <w:rPr>
                <w:w w:val="105"/>
                <w:sz w:val="13"/>
              </w:rPr>
              <w:t>DG Recursos Económicos</w:t>
            </w:r>
          </w:p>
        </w:tc>
        <w:tc>
          <w:tcPr>
            <w:tcW w:w="1149" w:type="dxa"/>
            <w:tcBorders>
              <w:left w:val="single" w:sz="4" w:space="0" w:color="000000"/>
            </w:tcBorders>
          </w:tcPr>
          <w:p>
            <w:pPr>
              <w:pStyle w:val="TableParagraph"/>
              <w:spacing w:before="29"/>
              <w:ind w:left="285"/>
              <w:rPr>
                <w:sz w:val="13"/>
              </w:rPr>
            </w:pPr>
            <w:r>
              <w:rPr>
                <w:w w:val="105"/>
                <w:sz w:val="13"/>
              </w:rPr>
              <w:t>3/02/2023</w:t>
            </w:r>
          </w:p>
          <w:p>
            <w:pPr>
              <w:pStyle w:val="TableParagraph"/>
              <w:spacing w:before="53"/>
              <w:ind w:left="251"/>
              <w:rPr>
                <w:sz w:val="13"/>
              </w:rPr>
            </w:pPr>
            <w:r>
              <w:rPr>
                <w:w w:val="105"/>
                <w:sz w:val="13"/>
              </w:rPr>
              <w:t>13/02/2023</w:t>
            </w:r>
          </w:p>
          <w:p>
            <w:pPr>
              <w:pStyle w:val="TableParagraph"/>
              <w:spacing w:before="51"/>
              <w:ind w:left="251"/>
              <w:rPr>
                <w:sz w:val="13"/>
              </w:rPr>
            </w:pPr>
            <w:r>
              <w:rPr>
                <w:w w:val="105"/>
                <w:sz w:val="13"/>
              </w:rPr>
              <w:t>27/02/2023</w:t>
            </w:r>
          </w:p>
          <w:p>
            <w:pPr>
              <w:pStyle w:val="TableParagraph"/>
              <w:spacing w:before="53"/>
              <w:ind w:left="251"/>
              <w:rPr>
                <w:sz w:val="13"/>
              </w:rPr>
            </w:pPr>
            <w:r>
              <w:rPr>
                <w:w w:val="105"/>
                <w:sz w:val="13"/>
              </w:rPr>
              <w:t>15/02/2023</w:t>
            </w:r>
          </w:p>
        </w:tc>
        <w:tc>
          <w:tcPr>
            <w:tcW w:w="1364" w:type="dxa"/>
          </w:tcPr>
          <w:p>
            <w:pPr>
              <w:pStyle w:val="TableParagraph"/>
              <w:spacing w:line="319" w:lineRule="auto" w:before="29"/>
              <w:ind w:left="606" w:right="597"/>
              <w:jc w:val="both"/>
              <w:rPr>
                <w:sz w:val="13"/>
              </w:rPr>
            </w:pPr>
            <w:r>
              <w:rPr>
                <w:sz w:val="13"/>
              </w:rPr>
              <w:t>No No No</w:t>
            </w:r>
          </w:p>
          <w:p>
            <w:pPr>
              <w:pStyle w:val="TableParagraph"/>
              <w:spacing w:line="158" w:lineRule="exact"/>
              <w:ind w:left="126" w:right="120"/>
              <w:jc w:val="center"/>
              <w:rPr>
                <w:sz w:val="13"/>
              </w:rPr>
            </w:pPr>
            <w:r>
              <w:rPr>
                <w:w w:val="105"/>
                <w:sz w:val="13"/>
              </w:rPr>
              <w:t>No</w:t>
            </w:r>
          </w:p>
        </w:tc>
        <w:tc>
          <w:tcPr>
            <w:tcW w:w="963" w:type="dxa"/>
          </w:tcPr>
          <w:p>
            <w:pPr>
              <w:pStyle w:val="TableParagraph"/>
              <w:spacing w:line="319" w:lineRule="auto" w:before="29"/>
              <w:ind w:left="403" w:right="399"/>
              <w:jc w:val="center"/>
              <w:rPr>
                <w:sz w:val="13"/>
              </w:rPr>
            </w:pPr>
            <w:r>
              <w:rPr>
                <w:sz w:val="13"/>
              </w:rPr>
              <w:t>No No</w:t>
            </w:r>
          </w:p>
          <w:p>
            <w:pPr>
              <w:pStyle w:val="TableParagraph"/>
              <w:spacing w:line="158" w:lineRule="exact"/>
              <w:ind w:left="133" w:right="130"/>
              <w:jc w:val="center"/>
              <w:rPr>
                <w:sz w:val="13"/>
              </w:rPr>
            </w:pPr>
            <w:r>
              <w:rPr>
                <w:w w:val="105"/>
                <w:sz w:val="13"/>
              </w:rPr>
              <w:t>27/02/2023</w:t>
            </w:r>
          </w:p>
          <w:p>
            <w:pPr>
              <w:pStyle w:val="TableParagraph"/>
              <w:spacing w:before="53"/>
              <w:ind w:left="132" w:right="130"/>
              <w:jc w:val="center"/>
              <w:rPr>
                <w:sz w:val="13"/>
              </w:rPr>
            </w:pPr>
            <w:r>
              <w:rPr>
                <w:w w:val="105"/>
                <w:sz w:val="13"/>
              </w:rPr>
              <w:t>No</w:t>
            </w:r>
          </w:p>
        </w:tc>
        <w:tc>
          <w:tcPr>
            <w:tcW w:w="972" w:type="dxa"/>
            <w:tcBorders>
              <w:right w:val="single" w:sz="4" w:space="0" w:color="000000"/>
            </w:tcBorders>
          </w:tcPr>
          <w:p>
            <w:pPr>
              <w:pStyle w:val="TableParagraph"/>
              <w:spacing w:line="319" w:lineRule="auto" w:before="29"/>
              <w:ind w:left="412" w:right="395"/>
              <w:jc w:val="center"/>
              <w:rPr>
                <w:sz w:val="13"/>
              </w:rPr>
            </w:pPr>
            <w:r>
              <w:rPr>
                <w:sz w:val="13"/>
              </w:rPr>
              <w:t>No No</w:t>
            </w:r>
          </w:p>
          <w:p>
            <w:pPr>
              <w:pStyle w:val="TableParagraph"/>
              <w:spacing w:line="158" w:lineRule="exact"/>
              <w:ind w:left="142" w:right="126"/>
              <w:jc w:val="center"/>
              <w:rPr>
                <w:sz w:val="13"/>
              </w:rPr>
            </w:pPr>
            <w:r>
              <w:rPr>
                <w:w w:val="105"/>
                <w:sz w:val="13"/>
              </w:rPr>
              <w:t>27/02/2023</w:t>
            </w:r>
          </w:p>
          <w:p>
            <w:pPr>
              <w:pStyle w:val="TableParagraph"/>
              <w:spacing w:before="53"/>
              <w:ind w:left="140" w:right="126"/>
              <w:jc w:val="center"/>
              <w:rPr>
                <w:sz w:val="13"/>
              </w:rPr>
            </w:pPr>
            <w:r>
              <w:rPr>
                <w:w w:val="105"/>
                <w:sz w:val="13"/>
              </w:rPr>
              <w:t>No</w:t>
            </w:r>
          </w:p>
        </w:tc>
      </w:tr>
      <w:tr>
        <w:trPr>
          <w:trHeight w:val="217" w:hRule="atLeast"/>
        </w:trPr>
        <w:tc>
          <w:tcPr>
            <w:tcW w:w="2656" w:type="dxa"/>
            <w:tcBorders>
              <w:left w:val="single" w:sz="4" w:space="0" w:color="000000"/>
              <w:right w:val="single" w:sz="4" w:space="0" w:color="000000"/>
            </w:tcBorders>
            <w:shd w:val="clear" w:color="auto" w:fill="F1F1F1"/>
          </w:tcPr>
          <w:p>
            <w:pPr>
              <w:pStyle w:val="TableParagraph"/>
              <w:spacing w:before="29"/>
              <w:ind w:left="89"/>
              <w:rPr>
                <w:sz w:val="13"/>
              </w:rPr>
            </w:pPr>
            <w:r>
              <w:rPr>
                <w:w w:val="105"/>
                <w:sz w:val="13"/>
              </w:rPr>
              <w:t>DG Recursos Humanos</w:t>
            </w:r>
          </w:p>
        </w:tc>
        <w:tc>
          <w:tcPr>
            <w:tcW w:w="1149" w:type="dxa"/>
            <w:tcBorders>
              <w:left w:val="single" w:sz="4" w:space="0" w:color="000000"/>
            </w:tcBorders>
            <w:shd w:val="clear" w:color="auto" w:fill="F1F1F1"/>
          </w:tcPr>
          <w:p>
            <w:pPr>
              <w:pStyle w:val="TableParagraph"/>
              <w:spacing w:before="29"/>
              <w:ind w:left="128" w:right="120"/>
              <w:jc w:val="center"/>
              <w:rPr>
                <w:sz w:val="13"/>
              </w:rPr>
            </w:pPr>
            <w:r>
              <w:rPr>
                <w:w w:val="105"/>
                <w:sz w:val="13"/>
              </w:rPr>
              <w:t>No</w:t>
            </w:r>
          </w:p>
        </w:tc>
        <w:tc>
          <w:tcPr>
            <w:tcW w:w="1364" w:type="dxa"/>
            <w:shd w:val="clear" w:color="auto" w:fill="F1F1F1"/>
          </w:tcPr>
          <w:p>
            <w:pPr>
              <w:pStyle w:val="TableParagraph"/>
              <w:spacing w:before="29"/>
              <w:ind w:left="126" w:right="120"/>
              <w:jc w:val="center"/>
              <w:rPr>
                <w:sz w:val="13"/>
              </w:rPr>
            </w:pPr>
            <w:r>
              <w:rPr>
                <w:w w:val="105"/>
                <w:sz w:val="13"/>
              </w:rPr>
              <w:t>No</w:t>
            </w:r>
          </w:p>
        </w:tc>
        <w:tc>
          <w:tcPr>
            <w:tcW w:w="963" w:type="dxa"/>
            <w:shd w:val="clear" w:color="auto" w:fill="F1F1F1"/>
          </w:tcPr>
          <w:p>
            <w:pPr>
              <w:pStyle w:val="TableParagraph"/>
              <w:spacing w:before="29"/>
              <w:ind w:left="132" w:right="130"/>
              <w:jc w:val="center"/>
              <w:rPr>
                <w:sz w:val="13"/>
              </w:rPr>
            </w:pPr>
            <w:r>
              <w:rPr>
                <w:w w:val="105"/>
                <w:sz w:val="13"/>
              </w:rPr>
              <w:t>No</w:t>
            </w:r>
          </w:p>
        </w:tc>
        <w:tc>
          <w:tcPr>
            <w:tcW w:w="972" w:type="dxa"/>
            <w:tcBorders>
              <w:right w:val="single" w:sz="4" w:space="0" w:color="000000"/>
            </w:tcBorders>
            <w:shd w:val="clear" w:color="auto" w:fill="F1F1F1"/>
          </w:tcPr>
          <w:p>
            <w:pPr>
              <w:pStyle w:val="TableParagraph"/>
              <w:spacing w:before="29"/>
              <w:ind w:left="140" w:right="126"/>
              <w:jc w:val="center"/>
              <w:rPr>
                <w:sz w:val="13"/>
              </w:rPr>
            </w:pPr>
            <w:r>
              <w:rPr>
                <w:w w:val="105"/>
                <w:sz w:val="13"/>
              </w:rPr>
              <w:t>No</w:t>
            </w:r>
          </w:p>
        </w:tc>
      </w:tr>
      <w:tr>
        <w:trPr>
          <w:trHeight w:val="206" w:hRule="atLeast"/>
        </w:trPr>
        <w:tc>
          <w:tcPr>
            <w:tcW w:w="2656" w:type="dxa"/>
            <w:tcBorders>
              <w:left w:val="single" w:sz="4" w:space="0" w:color="000000"/>
              <w:right w:val="single" w:sz="4" w:space="0" w:color="000000"/>
            </w:tcBorders>
          </w:tcPr>
          <w:p>
            <w:pPr>
              <w:pStyle w:val="TableParagraph"/>
              <w:spacing w:before="23"/>
              <w:ind w:left="89"/>
              <w:rPr>
                <w:sz w:val="13"/>
              </w:rPr>
            </w:pPr>
            <w:r>
              <w:rPr>
                <w:w w:val="105"/>
                <w:sz w:val="13"/>
              </w:rPr>
              <w:t>Dirección de Área Fuerteventura</w:t>
            </w:r>
          </w:p>
        </w:tc>
        <w:tc>
          <w:tcPr>
            <w:tcW w:w="1149" w:type="dxa"/>
            <w:tcBorders>
              <w:left w:val="single" w:sz="4" w:space="0" w:color="000000"/>
            </w:tcBorders>
          </w:tcPr>
          <w:p>
            <w:pPr>
              <w:pStyle w:val="TableParagraph"/>
              <w:spacing w:before="23"/>
              <w:ind w:left="128" w:right="119"/>
              <w:jc w:val="center"/>
              <w:rPr>
                <w:sz w:val="13"/>
              </w:rPr>
            </w:pPr>
            <w:r>
              <w:rPr>
                <w:w w:val="105"/>
                <w:sz w:val="13"/>
              </w:rPr>
              <w:t>7/02/2023</w:t>
            </w:r>
          </w:p>
        </w:tc>
        <w:tc>
          <w:tcPr>
            <w:tcW w:w="1364" w:type="dxa"/>
          </w:tcPr>
          <w:p>
            <w:pPr>
              <w:pStyle w:val="TableParagraph"/>
              <w:spacing w:before="23"/>
              <w:ind w:left="126" w:right="120"/>
              <w:jc w:val="center"/>
              <w:rPr>
                <w:sz w:val="13"/>
              </w:rPr>
            </w:pPr>
            <w:r>
              <w:rPr>
                <w:w w:val="105"/>
                <w:sz w:val="13"/>
              </w:rPr>
              <w:t>No</w:t>
            </w:r>
          </w:p>
        </w:tc>
        <w:tc>
          <w:tcPr>
            <w:tcW w:w="963" w:type="dxa"/>
          </w:tcPr>
          <w:p>
            <w:pPr>
              <w:pStyle w:val="TableParagraph"/>
              <w:spacing w:before="23"/>
              <w:ind w:left="132" w:right="130"/>
              <w:jc w:val="center"/>
              <w:rPr>
                <w:sz w:val="13"/>
              </w:rPr>
            </w:pPr>
            <w:r>
              <w:rPr>
                <w:w w:val="105"/>
                <w:sz w:val="13"/>
              </w:rPr>
              <w:t>No</w:t>
            </w:r>
          </w:p>
        </w:tc>
        <w:tc>
          <w:tcPr>
            <w:tcW w:w="972" w:type="dxa"/>
            <w:tcBorders>
              <w:right w:val="single" w:sz="4" w:space="0" w:color="000000"/>
            </w:tcBorders>
          </w:tcPr>
          <w:p>
            <w:pPr>
              <w:pStyle w:val="TableParagraph"/>
              <w:spacing w:before="23"/>
              <w:ind w:left="140" w:right="126"/>
              <w:jc w:val="center"/>
              <w:rPr>
                <w:sz w:val="13"/>
              </w:rPr>
            </w:pPr>
            <w:r>
              <w:rPr>
                <w:w w:val="105"/>
                <w:sz w:val="13"/>
              </w:rPr>
              <w:t>No</w:t>
            </w:r>
          </w:p>
        </w:tc>
      </w:tr>
      <w:tr>
        <w:trPr>
          <w:trHeight w:val="205" w:hRule="atLeast"/>
        </w:trPr>
        <w:tc>
          <w:tcPr>
            <w:tcW w:w="2656" w:type="dxa"/>
            <w:tcBorders>
              <w:left w:val="single" w:sz="4" w:space="0" w:color="000000"/>
              <w:right w:val="single" w:sz="4" w:space="0" w:color="000000"/>
            </w:tcBorders>
            <w:shd w:val="clear" w:color="auto" w:fill="F1F1F1"/>
          </w:tcPr>
          <w:p>
            <w:pPr>
              <w:pStyle w:val="TableParagraph"/>
              <w:spacing w:before="23"/>
              <w:ind w:left="89"/>
              <w:rPr>
                <w:sz w:val="13"/>
              </w:rPr>
            </w:pPr>
            <w:r>
              <w:rPr>
                <w:w w:val="105"/>
                <w:sz w:val="13"/>
              </w:rPr>
              <w:t>Dirección de Área Lanzarote</w:t>
            </w:r>
          </w:p>
        </w:tc>
        <w:tc>
          <w:tcPr>
            <w:tcW w:w="1149" w:type="dxa"/>
            <w:tcBorders>
              <w:left w:val="single" w:sz="4" w:space="0" w:color="000000"/>
            </w:tcBorders>
            <w:shd w:val="clear" w:color="auto" w:fill="F1F1F1"/>
          </w:tcPr>
          <w:p>
            <w:pPr>
              <w:pStyle w:val="TableParagraph"/>
              <w:spacing w:before="23"/>
              <w:ind w:left="128" w:right="120"/>
              <w:jc w:val="center"/>
              <w:rPr>
                <w:sz w:val="13"/>
              </w:rPr>
            </w:pPr>
            <w:r>
              <w:rPr>
                <w:w w:val="105"/>
                <w:sz w:val="13"/>
              </w:rPr>
              <w:t>No</w:t>
            </w:r>
          </w:p>
        </w:tc>
        <w:tc>
          <w:tcPr>
            <w:tcW w:w="1364" w:type="dxa"/>
            <w:shd w:val="clear" w:color="auto" w:fill="F1F1F1"/>
          </w:tcPr>
          <w:p>
            <w:pPr>
              <w:pStyle w:val="TableParagraph"/>
              <w:spacing w:before="23"/>
              <w:ind w:left="126" w:right="120"/>
              <w:jc w:val="center"/>
              <w:rPr>
                <w:sz w:val="13"/>
              </w:rPr>
            </w:pPr>
            <w:r>
              <w:rPr>
                <w:w w:val="105"/>
                <w:sz w:val="13"/>
              </w:rPr>
              <w:t>No</w:t>
            </w:r>
          </w:p>
        </w:tc>
        <w:tc>
          <w:tcPr>
            <w:tcW w:w="963" w:type="dxa"/>
            <w:shd w:val="clear" w:color="auto" w:fill="F1F1F1"/>
          </w:tcPr>
          <w:p>
            <w:pPr>
              <w:pStyle w:val="TableParagraph"/>
              <w:spacing w:before="23"/>
              <w:ind w:left="132" w:right="130"/>
              <w:jc w:val="center"/>
              <w:rPr>
                <w:sz w:val="13"/>
              </w:rPr>
            </w:pPr>
            <w:r>
              <w:rPr>
                <w:w w:val="105"/>
                <w:sz w:val="13"/>
              </w:rPr>
              <w:t>No</w:t>
            </w:r>
          </w:p>
        </w:tc>
        <w:tc>
          <w:tcPr>
            <w:tcW w:w="972" w:type="dxa"/>
            <w:tcBorders>
              <w:right w:val="single" w:sz="4" w:space="0" w:color="000000"/>
            </w:tcBorders>
            <w:shd w:val="clear" w:color="auto" w:fill="F1F1F1"/>
          </w:tcPr>
          <w:p>
            <w:pPr>
              <w:pStyle w:val="TableParagraph"/>
              <w:spacing w:before="23"/>
              <w:ind w:left="140" w:right="126"/>
              <w:jc w:val="center"/>
              <w:rPr>
                <w:sz w:val="13"/>
              </w:rPr>
            </w:pPr>
            <w:r>
              <w:rPr>
                <w:w w:val="105"/>
                <w:sz w:val="13"/>
              </w:rPr>
              <w:t>No</w:t>
            </w:r>
          </w:p>
        </w:tc>
      </w:tr>
      <w:tr>
        <w:trPr>
          <w:trHeight w:val="421" w:hRule="atLeast"/>
        </w:trPr>
        <w:tc>
          <w:tcPr>
            <w:tcW w:w="2656" w:type="dxa"/>
            <w:tcBorders>
              <w:left w:val="single" w:sz="4" w:space="0" w:color="000000"/>
              <w:right w:val="single" w:sz="4" w:space="0" w:color="000000"/>
            </w:tcBorders>
          </w:tcPr>
          <w:p>
            <w:pPr>
              <w:pStyle w:val="TableParagraph"/>
              <w:spacing w:before="29"/>
              <w:ind w:left="89"/>
              <w:rPr>
                <w:sz w:val="13"/>
              </w:rPr>
            </w:pPr>
            <w:r>
              <w:rPr>
                <w:w w:val="105"/>
                <w:sz w:val="13"/>
              </w:rPr>
              <w:t>Dirección de Área Gran Canaria</w:t>
            </w:r>
          </w:p>
          <w:p>
            <w:pPr>
              <w:pStyle w:val="TableParagraph"/>
              <w:spacing w:before="51"/>
              <w:ind w:left="89"/>
              <w:rPr>
                <w:sz w:val="13"/>
              </w:rPr>
            </w:pPr>
            <w:r>
              <w:rPr>
                <w:w w:val="105"/>
                <w:sz w:val="13"/>
              </w:rPr>
              <w:t>Dirección de Área La Gomera</w:t>
            </w:r>
          </w:p>
        </w:tc>
        <w:tc>
          <w:tcPr>
            <w:tcW w:w="1149" w:type="dxa"/>
            <w:tcBorders>
              <w:left w:val="single" w:sz="4" w:space="0" w:color="000000"/>
            </w:tcBorders>
          </w:tcPr>
          <w:p>
            <w:pPr>
              <w:pStyle w:val="TableParagraph"/>
              <w:spacing w:before="29"/>
              <w:ind w:left="251"/>
              <w:rPr>
                <w:sz w:val="13"/>
              </w:rPr>
            </w:pPr>
            <w:r>
              <w:rPr>
                <w:w w:val="105"/>
                <w:sz w:val="13"/>
              </w:rPr>
              <w:t>28/02/2023</w:t>
            </w:r>
          </w:p>
          <w:p>
            <w:pPr>
              <w:pStyle w:val="TableParagraph"/>
              <w:spacing w:before="51"/>
              <w:ind w:left="285"/>
              <w:rPr>
                <w:sz w:val="13"/>
              </w:rPr>
            </w:pPr>
            <w:r>
              <w:rPr>
                <w:w w:val="105"/>
                <w:sz w:val="13"/>
              </w:rPr>
              <w:t>6/03/2023</w:t>
            </w:r>
          </w:p>
        </w:tc>
        <w:tc>
          <w:tcPr>
            <w:tcW w:w="1364" w:type="dxa"/>
          </w:tcPr>
          <w:p>
            <w:pPr>
              <w:pStyle w:val="TableParagraph"/>
              <w:spacing w:before="29"/>
              <w:ind w:left="126" w:right="120"/>
              <w:jc w:val="center"/>
              <w:rPr>
                <w:sz w:val="13"/>
              </w:rPr>
            </w:pPr>
            <w:r>
              <w:rPr>
                <w:w w:val="105"/>
                <w:sz w:val="13"/>
              </w:rPr>
              <w:t>No</w:t>
            </w:r>
          </w:p>
          <w:p>
            <w:pPr>
              <w:pStyle w:val="TableParagraph"/>
              <w:spacing w:before="51"/>
              <w:ind w:left="126" w:right="120"/>
              <w:jc w:val="center"/>
              <w:rPr>
                <w:sz w:val="13"/>
              </w:rPr>
            </w:pPr>
            <w:r>
              <w:rPr>
                <w:w w:val="105"/>
                <w:sz w:val="13"/>
              </w:rPr>
              <w:t>No</w:t>
            </w:r>
          </w:p>
        </w:tc>
        <w:tc>
          <w:tcPr>
            <w:tcW w:w="963" w:type="dxa"/>
          </w:tcPr>
          <w:p>
            <w:pPr>
              <w:pStyle w:val="TableParagraph"/>
              <w:spacing w:before="29"/>
              <w:ind w:left="132" w:right="130"/>
              <w:jc w:val="center"/>
              <w:rPr>
                <w:sz w:val="13"/>
              </w:rPr>
            </w:pPr>
            <w:r>
              <w:rPr>
                <w:w w:val="105"/>
                <w:sz w:val="13"/>
              </w:rPr>
              <w:t>No</w:t>
            </w:r>
          </w:p>
          <w:p>
            <w:pPr>
              <w:pStyle w:val="TableParagraph"/>
              <w:spacing w:before="51"/>
              <w:ind w:left="132" w:right="130"/>
              <w:jc w:val="center"/>
              <w:rPr>
                <w:sz w:val="13"/>
              </w:rPr>
            </w:pPr>
            <w:r>
              <w:rPr>
                <w:w w:val="105"/>
                <w:sz w:val="13"/>
              </w:rPr>
              <w:t>No</w:t>
            </w:r>
          </w:p>
        </w:tc>
        <w:tc>
          <w:tcPr>
            <w:tcW w:w="972" w:type="dxa"/>
            <w:tcBorders>
              <w:right w:val="single" w:sz="4" w:space="0" w:color="000000"/>
            </w:tcBorders>
          </w:tcPr>
          <w:p>
            <w:pPr>
              <w:pStyle w:val="TableParagraph"/>
              <w:spacing w:before="29"/>
              <w:ind w:left="140" w:right="126"/>
              <w:jc w:val="center"/>
              <w:rPr>
                <w:sz w:val="13"/>
              </w:rPr>
            </w:pPr>
            <w:r>
              <w:rPr>
                <w:w w:val="105"/>
                <w:sz w:val="13"/>
              </w:rPr>
              <w:t>No</w:t>
            </w:r>
          </w:p>
          <w:p>
            <w:pPr>
              <w:pStyle w:val="TableParagraph"/>
              <w:spacing w:before="51"/>
              <w:ind w:left="140" w:right="126"/>
              <w:jc w:val="center"/>
              <w:rPr>
                <w:sz w:val="13"/>
              </w:rPr>
            </w:pPr>
            <w:r>
              <w:rPr>
                <w:w w:val="105"/>
                <w:sz w:val="13"/>
              </w:rPr>
              <w:t>No</w:t>
            </w:r>
          </w:p>
        </w:tc>
      </w:tr>
      <w:tr>
        <w:trPr>
          <w:trHeight w:val="421" w:hRule="atLeast"/>
        </w:trPr>
        <w:tc>
          <w:tcPr>
            <w:tcW w:w="2656" w:type="dxa"/>
            <w:tcBorders>
              <w:left w:val="single" w:sz="4" w:space="0" w:color="000000"/>
              <w:right w:val="single" w:sz="4" w:space="0" w:color="000000"/>
            </w:tcBorders>
            <w:shd w:val="clear" w:color="auto" w:fill="F1F1F1"/>
          </w:tcPr>
          <w:p>
            <w:pPr>
              <w:pStyle w:val="TableParagraph"/>
              <w:spacing w:before="29"/>
              <w:ind w:left="89"/>
              <w:rPr>
                <w:sz w:val="13"/>
              </w:rPr>
            </w:pPr>
            <w:r>
              <w:rPr>
                <w:w w:val="105"/>
                <w:sz w:val="13"/>
              </w:rPr>
              <w:t>Dirección</w:t>
            </w:r>
            <w:r>
              <w:rPr>
                <w:spacing w:val="-9"/>
                <w:w w:val="105"/>
                <w:sz w:val="13"/>
              </w:rPr>
              <w:t> </w:t>
            </w:r>
            <w:r>
              <w:rPr>
                <w:w w:val="105"/>
                <w:sz w:val="13"/>
              </w:rPr>
              <w:t>de</w:t>
            </w:r>
            <w:r>
              <w:rPr>
                <w:spacing w:val="-8"/>
                <w:w w:val="105"/>
                <w:sz w:val="13"/>
              </w:rPr>
              <w:t> </w:t>
            </w:r>
            <w:r>
              <w:rPr>
                <w:w w:val="105"/>
                <w:sz w:val="13"/>
              </w:rPr>
              <w:t>Área</w:t>
            </w:r>
            <w:r>
              <w:rPr>
                <w:spacing w:val="-8"/>
                <w:w w:val="105"/>
                <w:sz w:val="13"/>
              </w:rPr>
              <w:t> </w:t>
            </w:r>
            <w:r>
              <w:rPr>
                <w:w w:val="105"/>
                <w:sz w:val="13"/>
              </w:rPr>
              <w:t>El</w:t>
            </w:r>
            <w:r>
              <w:rPr>
                <w:spacing w:val="-8"/>
                <w:w w:val="105"/>
                <w:sz w:val="13"/>
              </w:rPr>
              <w:t> </w:t>
            </w:r>
            <w:r>
              <w:rPr>
                <w:w w:val="105"/>
                <w:sz w:val="13"/>
              </w:rPr>
              <w:t>Hierro</w:t>
            </w:r>
          </w:p>
          <w:p>
            <w:pPr>
              <w:pStyle w:val="TableParagraph"/>
              <w:spacing w:before="51"/>
              <w:ind w:left="89"/>
              <w:rPr>
                <w:sz w:val="13"/>
              </w:rPr>
            </w:pPr>
            <w:r>
              <w:rPr>
                <w:w w:val="105"/>
                <w:sz w:val="13"/>
              </w:rPr>
              <w:t>Dirección</w:t>
            </w:r>
            <w:r>
              <w:rPr>
                <w:spacing w:val="-9"/>
                <w:w w:val="105"/>
                <w:sz w:val="13"/>
              </w:rPr>
              <w:t> </w:t>
            </w:r>
            <w:r>
              <w:rPr>
                <w:w w:val="105"/>
                <w:sz w:val="13"/>
              </w:rPr>
              <w:t>de</w:t>
            </w:r>
            <w:r>
              <w:rPr>
                <w:spacing w:val="-9"/>
                <w:w w:val="105"/>
                <w:sz w:val="13"/>
              </w:rPr>
              <w:t> </w:t>
            </w:r>
            <w:r>
              <w:rPr>
                <w:w w:val="105"/>
                <w:sz w:val="13"/>
              </w:rPr>
              <w:t>Área</w:t>
            </w:r>
            <w:r>
              <w:rPr>
                <w:spacing w:val="-8"/>
                <w:w w:val="105"/>
                <w:sz w:val="13"/>
              </w:rPr>
              <w:t> </w:t>
            </w:r>
            <w:r>
              <w:rPr>
                <w:w w:val="105"/>
                <w:sz w:val="13"/>
              </w:rPr>
              <w:t>La</w:t>
            </w:r>
            <w:r>
              <w:rPr>
                <w:spacing w:val="-9"/>
                <w:w w:val="105"/>
                <w:sz w:val="13"/>
              </w:rPr>
              <w:t> </w:t>
            </w:r>
            <w:r>
              <w:rPr>
                <w:w w:val="105"/>
                <w:sz w:val="13"/>
              </w:rPr>
              <w:t>Palma</w:t>
            </w:r>
          </w:p>
        </w:tc>
        <w:tc>
          <w:tcPr>
            <w:tcW w:w="1149" w:type="dxa"/>
            <w:tcBorders>
              <w:left w:val="single" w:sz="4" w:space="0" w:color="000000"/>
            </w:tcBorders>
            <w:shd w:val="clear" w:color="auto" w:fill="F1F1F1"/>
          </w:tcPr>
          <w:p>
            <w:pPr>
              <w:pStyle w:val="TableParagraph"/>
              <w:spacing w:before="29"/>
              <w:ind w:left="128" w:right="120"/>
              <w:jc w:val="center"/>
              <w:rPr>
                <w:sz w:val="13"/>
              </w:rPr>
            </w:pPr>
            <w:r>
              <w:rPr>
                <w:w w:val="105"/>
                <w:sz w:val="13"/>
              </w:rPr>
              <w:t>No</w:t>
            </w:r>
          </w:p>
          <w:p>
            <w:pPr>
              <w:pStyle w:val="TableParagraph"/>
              <w:spacing w:before="51"/>
              <w:ind w:left="128" w:right="120"/>
              <w:jc w:val="center"/>
              <w:rPr>
                <w:sz w:val="13"/>
              </w:rPr>
            </w:pPr>
            <w:r>
              <w:rPr>
                <w:w w:val="105"/>
                <w:sz w:val="13"/>
              </w:rPr>
              <w:t>No</w:t>
            </w:r>
          </w:p>
        </w:tc>
        <w:tc>
          <w:tcPr>
            <w:tcW w:w="1364" w:type="dxa"/>
            <w:shd w:val="clear" w:color="auto" w:fill="F1F1F1"/>
          </w:tcPr>
          <w:p>
            <w:pPr>
              <w:pStyle w:val="TableParagraph"/>
              <w:spacing w:before="29"/>
              <w:ind w:left="126" w:right="120"/>
              <w:jc w:val="center"/>
              <w:rPr>
                <w:sz w:val="13"/>
              </w:rPr>
            </w:pPr>
            <w:r>
              <w:rPr>
                <w:w w:val="105"/>
                <w:sz w:val="13"/>
              </w:rPr>
              <w:t>No</w:t>
            </w:r>
          </w:p>
          <w:p>
            <w:pPr>
              <w:pStyle w:val="TableParagraph"/>
              <w:spacing w:before="51"/>
              <w:ind w:left="126" w:right="120"/>
              <w:jc w:val="center"/>
              <w:rPr>
                <w:sz w:val="13"/>
              </w:rPr>
            </w:pPr>
            <w:r>
              <w:rPr>
                <w:w w:val="105"/>
                <w:sz w:val="13"/>
              </w:rPr>
              <w:t>No</w:t>
            </w:r>
          </w:p>
        </w:tc>
        <w:tc>
          <w:tcPr>
            <w:tcW w:w="963" w:type="dxa"/>
            <w:shd w:val="clear" w:color="auto" w:fill="F1F1F1"/>
          </w:tcPr>
          <w:p>
            <w:pPr>
              <w:pStyle w:val="TableParagraph"/>
              <w:spacing w:before="29"/>
              <w:ind w:left="132" w:right="130"/>
              <w:jc w:val="center"/>
              <w:rPr>
                <w:sz w:val="13"/>
              </w:rPr>
            </w:pPr>
            <w:r>
              <w:rPr>
                <w:w w:val="105"/>
                <w:sz w:val="13"/>
              </w:rPr>
              <w:t>No</w:t>
            </w:r>
          </w:p>
          <w:p>
            <w:pPr>
              <w:pStyle w:val="TableParagraph"/>
              <w:spacing w:before="51"/>
              <w:ind w:left="132" w:right="130"/>
              <w:jc w:val="center"/>
              <w:rPr>
                <w:sz w:val="13"/>
              </w:rPr>
            </w:pPr>
            <w:r>
              <w:rPr>
                <w:w w:val="105"/>
                <w:sz w:val="13"/>
              </w:rPr>
              <w:t>No</w:t>
            </w:r>
          </w:p>
        </w:tc>
        <w:tc>
          <w:tcPr>
            <w:tcW w:w="972" w:type="dxa"/>
            <w:tcBorders>
              <w:right w:val="single" w:sz="4" w:space="0" w:color="000000"/>
            </w:tcBorders>
            <w:shd w:val="clear" w:color="auto" w:fill="F1F1F1"/>
          </w:tcPr>
          <w:p>
            <w:pPr>
              <w:pStyle w:val="TableParagraph"/>
              <w:spacing w:before="29"/>
              <w:ind w:left="140" w:right="126"/>
              <w:jc w:val="center"/>
              <w:rPr>
                <w:sz w:val="13"/>
              </w:rPr>
            </w:pPr>
            <w:r>
              <w:rPr>
                <w:w w:val="105"/>
                <w:sz w:val="13"/>
              </w:rPr>
              <w:t>No</w:t>
            </w:r>
          </w:p>
          <w:p>
            <w:pPr>
              <w:pStyle w:val="TableParagraph"/>
              <w:spacing w:before="51"/>
              <w:ind w:left="140" w:right="126"/>
              <w:jc w:val="center"/>
              <w:rPr>
                <w:sz w:val="13"/>
              </w:rPr>
            </w:pPr>
            <w:r>
              <w:rPr>
                <w:w w:val="105"/>
                <w:sz w:val="13"/>
              </w:rPr>
              <w:t>No</w:t>
            </w:r>
          </w:p>
        </w:tc>
      </w:tr>
      <w:tr>
        <w:trPr>
          <w:trHeight w:val="421" w:hRule="atLeast"/>
        </w:trPr>
        <w:tc>
          <w:tcPr>
            <w:tcW w:w="2656" w:type="dxa"/>
            <w:tcBorders>
              <w:left w:val="single" w:sz="4" w:space="0" w:color="000000"/>
              <w:right w:val="single" w:sz="4" w:space="0" w:color="000000"/>
            </w:tcBorders>
          </w:tcPr>
          <w:p>
            <w:pPr>
              <w:pStyle w:val="TableParagraph"/>
              <w:spacing w:before="29"/>
              <w:ind w:left="89"/>
              <w:rPr>
                <w:sz w:val="13"/>
              </w:rPr>
            </w:pPr>
            <w:r>
              <w:rPr>
                <w:w w:val="105"/>
                <w:sz w:val="13"/>
              </w:rPr>
              <w:t>Dirección de Área Tenerife</w:t>
            </w:r>
          </w:p>
          <w:p>
            <w:pPr>
              <w:pStyle w:val="TableParagraph"/>
              <w:spacing w:before="51"/>
              <w:ind w:left="89"/>
              <w:rPr>
                <w:sz w:val="13"/>
              </w:rPr>
            </w:pPr>
            <w:r>
              <w:rPr>
                <w:w w:val="105"/>
                <w:sz w:val="13"/>
              </w:rPr>
              <w:t>Hospital Universitario de Canarias</w:t>
            </w:r>
          </w:p>
        </w:tc>
        <w:tc>
          <w:tcPr>
            <w:tcW w:w="1149" w:type="dxa"/>
            <w:tcBorders>
              <w:left w:val="single" w:sz="4" w:space="0" w:color="000000"/>
            </w:tcBorders>
          </w:tcPr>
          <w:p>
            <w:pPr>
              <w:pStyle w:val="TableParagraph"/>
              <w:spacing w:before="29"/>
              <w:ind w:left="251"/>
              <w:rPr>
                <w:sz w:val="13"/>
              </w:rPr>
            </w:pPr>
            <w:r>
              <w:rPr>
                <w:w w:val="105"/>
                <w:sz w:val="13"/>
              </w:rPr>
              <w:t>28/02/2023</w:t>
            </w:r>
          </w:p>
          <w:p>
            <w:pPr>
              <w:pStyle w:val="TableParagraph"/>
              <w:spacing w:before="51"/>
              <w:ind w:left="251"/>
              <w:rPr>
                <w:sz w:val="13"/>
              </w:rPr>
            </w:pPr>
            <w:r>
              <w:rPr>
                <w:w w:val="105"/>
                <w:sz w:val="13"/>
              </w:rPr>
              <w:t>16/03/2023</w:t>
            </w:r>
          </w:p>
        </w:tc>
        <w:tc>
          <w:tcPr>
            <w:tcW w:w="1364" w:type="dxa"/>
          </w:tcPr>
          <w:p>
            <w:pPr>
              <w:pStyle w:val="TableParagraph"/>
              <w:spacing w:before="29"/>
              <w:ind w:left="126" w:right="120"/>
              <w:jc w:val="center"/>
              <w:rPr>
                <w:sz w:val="13"/>
              </w:rPr>
            </w:pPr>
            <w:r>
              <w:rPr>
                <w:w w:val="105"/>
                <w:sz w:val="13"/>
              </w:rPr>
              <w:t>No</w:t>
            </w:r>
          </w:p>
          <w:p>
            <w:pPr>
              <w:pStyle w:val="TableParagraph"/>
              <w:spacing w:before="51"/>
              <w:ind w:left="127" w:right="119"/>
              <w:jc w:val="center"/>
              <w:rPr>
                <w:sz w:val="13"/>
              </w:rPr>
            </w:pPr>
            <w:r>
              <w:rPr>
                <w:w w:val="105"/>
                <w:sz w:val="13"/>
              </w:rPr>
              <w:t>16/03/2023</w:t>
            </w:r>
          </w:p>
        </w:tc>
        <w:tc>
          <w:tcPr>
            <w:tcW w:w="963" w:type="dxa"/>
          </w:tcPr>
          <w:p>
            <w:pPr>
              <w:pStyle w:val="TableParagraph"/>
              <w:spacing w:before="29"/>
              <w:ind w:left="133" w:right="130"/>
              <w:jc w:val="center"/>
              <w:rPr>
                <w:sz w:val="13"/>
              </w:rPr>
            </w:pPr>
            <w:r>
              <w:rPr>
                <w:w w:val="105"/>
                <w:sz w:val="13"/>
              </w:rPr>
              <w:t>28/02/2023</w:t>
            </w:r>
          </w:p>
          <w:p>
            <w:pPr>
              <w:pStyle w:val="TableParagraph"/>
              <w:spacing w:before="51"/>
              <w:ind w:left="132" w:right="130"/>
              <w:jc w:val="center"/>
              <w:rPr>
                <w:sz w:val="13"/>
              </w:rPr>
            </w:pPr>
            <w:r>
              <w:rPr>
                <w:w w:val="105"/>
                <w:sz w:val="13"/>
              </w:rPr>
              <w:t>No</w:t>
            </w:r>
          </w:p>
        </w:tc>
        <w:tc>
          <w:tcPr>
            <w:tcW w:w="972" w:type="dxa"/>
            <w:tcBorders>
              <w:right w:val="single" w:sz="4" w:space="0" w:color="000000"/>
            </w:tcBorders>
          </w:tcPr>
          <w:p>
            <w:pPr>
              <w:pStyle w:val="TableParagraph"/>
              <w:spacing w:before="29"/>
              <w:ind w:left="142" w:right="126"/>
              <w:jc w:val="center"/>
              <w:rPr>
                <w:sz w:val="13"/>
              </w:rPr>
            </w:pPr>
            <w:r>
              <w:rPr>
                <w:w w:val="105"/>
                <w:sz w:val="13"/>
              </w:rPr>
              <w:t>28/02/2023</w:t>
            </w:r>
          </w:p>
          <w:p>
            <w:pPr>
              <w:pStyle w:val="TableParagraph"/>
              <w:spacing w:before="51"/>
              <w:ind w:left="140" w:right="126"/>
              <w:jc w:val="center"/>
              <w:rPr>
                <w:sz w:val="13"/>
              </w:rPr>
            </w:pPr>
            <w:r>
              <w:rPr>
                <w:w w:val="105"/>
                <w:sz w:val="13"/>
              </w:rPr>
              <w:t>No</w:t>
            </w:r>
          </w:p>
        </w:tc>
      </w:tr>
      <w:tr>
        <w:trPr>
          <w:trHeight w:val="421" w:hRule="atLeast"/>
        </w:trPr>
        <w:tc>
          <w:tcPr>
            <w:tcW w:w="2656" w:type="dxa"/>
            <w:tcBorders>
              <w:left w:val="single" w:sz="4" w:space="0" w:color="000000"/>
              <w:right w:val="single" w:sz="4" w:space="0" w:color="000000"/>
            </w:tcBorders>
            <w:shd w:val="clear" w:color="auto" w:fill="F1F1F1"/>
          </w:tcPr>
          <w:p>
            <w:pPr>
              <w:pStyle w:val="TableParagraph"/>
              <w:spacing w:before="29"/>
              <w:ind w:left="89"/>
              <w:rPr>
                <w:sz w:val="13"/>
              </w:rPr>
            </w:pPr>
            <w:r>
              <w:rPr>
                <w:w w:val="105"/>
                <w:sz w:val="13"/>
              </w:rPr>
              <w:t>Hospital Universitario Dr. Negrín</w:t>
            </w:r>
          </w:p>
          <w:p>
            <w:pPr>
              <w:pStyle w:val="TableParagraph"/>
              <w:spacing w:before="53"/>
              <w:ind w:left="89"/>
              <w:rPr>
                <w:sz w:val="13"/>
              </w:rPr>
            </w:pPr>
            <w:r>
              <w:rPr>
                <w:w w:val="105"/>
                <w:sz w:val="13"/>
              </w:rPr>
              <w:t>Gerencia Servicios Sanitarios Lanzarote</w:t>
            </w:r>
          </w:p>
        </w:tc>
        <w:tc>
          <w:tcPr>
            <w:tcW w:w="1149" w:type="dxa"/>
            <w:tcBorders>
              <w:left w:val="single" w:sz="4" w:space="0" w:color="000000"/>
            </w:tcBorders>
            <w:shd w:val="clear" w:color="auto" w:fill="F1F1F1"/>
          </w:tcPr>
          <w:p>
            <w:pPr>
              <w:pStyle w:val="TableParagraph"/>
              <w:spacing w:before="29"/>
              <w:ind w:left="128" w:right="120"/>
              <w:jc w:val="center"/>
              <w:rPr>
                <w:sz w:val="13"/>
              </w:rPr>
            </w:pPr>
            <w:r>
              <w:rPr>
                <w:w w:val="105"/>
                <w:sz w:val="13"/>
              </w:rPr>
              <w:t>No</w:t>
            </w:r>
          </w:p>
          <w:p>
            <w:pPr>
              <w:pStyle w:val="TableParagraph"/>
              <w:spacing w:before="53"/>
              <w:ind w:left="128" w:right="120"/>
              <w:jc w:val="center"/>
              <w:rPr>
                <w:sz w:val="13"/>
              </w:rPr>
            </w:pPr>
            <w:r>
              <w:rPr>
                <w:w w:val="105"/>
                <w:sz w:val="13"/>
              </w:rPr>
              <w:t>No</w:t>
            </w:r>
          </w:p>
        </w:tc>
        <w:tc>
          <w:tcPr>
            <w:tcW w:w="1364" w:type="dxa"/>
            <w:shd w:val="clear" w:color="auto" w:fill="F1F1F1"/>
          </w:tcPr>
          <w:p>
            <w:pPr>
              <w:pStyle w:val="TableParagraph"/>
              <w:spacing w:before="29"/>
              <w:ind w:left="126" w:right="120"/>
              <w:jc w:val="center"/>
              <w:rPr>
                <w:sz w:val="13"/>
              </w:rPr>
            </w:pPr>
            <w:r>
              <w:rPr>
                <w:w w:val="105"/>
                <w:sz w:val="13"/>
              </w:rPr>
              <w:t>No</w:t>
            </w:r>
          </w:p>
          <w:p>
            <w:pPr>
              <w:pStyle w:val="TableParagraph"/>
              <w:spacing w:before="53"/>
              <w:ind w:left="126" w:right="120"/>
              <w:jc w:val="center"/>
              <w:rPr>
                <w:sz w:val="13"/>
              </w:rPr>
            </w:pPr>
            <w:r>
              <w:rPr>
                <w:w w:val="105"/>
                <w:sz w:val="13"/>
              </w:rPr>
              <w:t>No</w:t>
            </w:r>
          </w:p>
        </w:tc>
        <w:tc>
          <w:tcPr>
            <w:tcW w:w="963" w:type="dxa"/>
            <w:shd w:val="clear" w:color="auto" w:fill="F1F1F1"/>
          </w:tcPr>
          <w:p>
            <w:pPr>
              <w:pStyle w:val="TableParagraph"/>
              <w:spacing w:before="29"/>
              <w:ind w:left="132" w:right="130"/>
              <w:jc w:val="center"/>
              <w:rPr>
                <w:sz w:val="13"/>
              </w:rPr>
            </w:pPr>
            <w:r>
              <w:rPr>
                <w:w w:val="105"/>
                <w:sz w:val="13"/>
              </w:rPr>
              <w:t>No</w:t>
            </w:r>
          </w:p>
          <w:p>
            <w:pPr>
              <w:pStyle w:val="TableParagraph"/>
              <w:spacing w:before="53"/>
              <w:ind w:left="132" w:right="130"/>
              <w:jc w:val="center"/>
              <w:rPr>
                <w:sz w:val="13"/>
              </w:rPr>
            </w:pPr>
            <w:r>
              <w:rPr>
                <w:w w:val="105"/>
                <w:sz w:val="13"/>
              </w:rPr>
              <w:t>No</w:t>
            </w:r>
          </w:p>
        </w:tc>
        <w:tc>
          <w:tcPr>
            <w:tcW w:w="972" w:type="dxa"/>
            <w:tcBorders>
              <w:right w:val="single" w:sz="4" w:space="0" w:color="000000"/>
            </w:tcBorders>
            <w:shd w:val="clear" w:color="auto" w:fill="F1F1F1"/>
          </w:tcPr>
          <w:p>
            <w:pPr>
              <w:pStyle w:val="TableParagraph"/>
              <w:spacing w:before="29"/>
              <w:ind w:left="140" w:right="126"/>
              <w:jc w:val="center"/>
              <w:rPr>
                <w:sz w:val="13"/>
              </w:rPr>
            </w:pPr>
            <w:r>
              <w:rPr>
                <w:w w:val="105"/>
                <w:sz w:val="13"/>
              </w:rPr>
              <w:t>No</w:t>
            </w:r>
          </w:p>
          <w:p>
            <w:pPr>
              <w:pStyle w:val="TableParagraph"/>
              <w:spacing w:before="53"/>
              <w:ind w:left="140" w:right="126"/>
              <w:jc w:val="center"/>
              <w:rPr>
                <w:sz w:val="13"/>
              </w:rPr>
            </w:pPr>
            <w:r>
              <w:rPr>
                <w:w w:val="105"/>
                <w:sz w:val="13"/>
              </w:rPr>
              <w:t>No</w:t>
            </w:r>
          </w:p>
        </w:tc>
      </w:tr>
      <w:tr>
        <w:trPr>
          <w:trHeight w:val="1049" w:hRule="atLeast"/>
        </w:trPr>
        <w:tc>
          <w:tcPr>
            <w:tcW w:w="2656" w:type="dxa"/>
            <w:tcBorders>
              <w:left w:val="single" w:sz="4" w:space="0" w:color="000000"/>
              <w:right w:val="single" w:sz="4" w:space="0" w:color="000000"/>
            </w:tcBorders>
          </w:tcPr>
          <w:p>
            <w:pPr>
              <w:pStyle w:val="TableParagraph"/>
              <w:spacing w:line="316" w:lineRule="auto" w:before="25"/>
              <w:ind w:left="89"/>
              <w:rPr>
                <w:sz w:val="13"/>
              </w:rPr>
            </w:pPr>
            <w:r>
              <w:rPr>
                <w:w w:val="105"/>
                <w:sz w:val="13"/>
              </w:rPr>
              <w:t>Gerencia Servicios Sanitarios Fuerteventura HU Insular Materno Infantil</w:t>
            </w:r>
          </w:p>
          <w:p>
            <w:pPr>
              <w:pStyle w:val="TableParagraph"/>
              <w:spacing w:line="316" w:lineRule="auto" w:before="2"/>
              <w:ind w:left="89" w:right="277"/>
              <w:rPr>
                <w:sz w:val="13"/>
              </w:rPr>
            </w:pPr>
            <w:r>
              <w:rPr>
                <w:w w:val="105"/>
                <w:sz w:val="13"/>
              </w:rPr>
              <w:t>HU Nuestra Sra. de la Candelaria Gerencia Servicios Sanitarios La Palma</w:t>
            </w:r>
          </w:p>
          <w:p>
            <w:pPr>
              <w:pStyle w:val="TableParagraph"/>
              <w:spacing w:before="2"/>
              <w:ind w:left="89"/>
              <w:rPr>
                <w:sz w:val="13"/>
              </w:rPr>
            </w:pPr>
            <w:r>
              <w:rPr>
                <w:w w:val="105"/>
                <w:sz w:val="13"/>
              </w:rPr>
              <w:t>Gerencia Servicios Sanitarios La Gomera</w:t>
            </w:r>
          </w:p>
        </w:tc>
        <w:tc>
          <w:tcPr>
            <w:tcW w:w="1149" w:type="dxa"/>
            <w:tcBorders>
              <w:left w:val="single" w:sz="4" w:space="0" w:color="000000"/>
            </w:tcBorders>
          </w:tcPr>
          <w:p>
            <w:pPr>
              <w:pStyle w:val="TableParagraph"/>
              <w:spacing w:before="25"/>
              <w:ind w:left="251"/>
              <w:rPr>
                <w:sz w:val="13"/>
              </w:rPr>
            </w:pPr>
            <w:r>
              <w:rPr>
                <w:w w:val="105"/>
                <w:sz w:val="13"/>
              </w:rPr>
              <w:t>28/02/2023</w:t>
            </w:r>
          </w:p>
          <w:p>
            <w:pPr>
              <w:pStyle w:val="TableParagraph"/>
              <w:spacing w:before="51"/>
              <w:ind w:left="251"/>
              <w:rPr>
                <w:sz w:val="13"/>
              </w:rPr>
            </w:pPr>
            <w:r>
              <w:rPr>
                <w:w w:val="105"/>
                <w:sz w:val="13"/>
              </w:rPr>
              <w:t>22/02/2023</w:t>
            </w:r>
          </w:p>
          <w:p>
            <w:pPr>
              <w:pStyle w:val="TableParagraph"/>
              <w:spacing w:before="53"/>
              <w:ind w:left="285"/>
              <w:rPr>
                <w:sz w:val="13"/>
              </w:rPr>
            </w:pPr>
            <w:r>
              <w:rPr>
                <w:w w:val="105"/>
                <w:sz w:val="13"/>
              </w:rPr>
              <w:t>7/02/2023</w:t>
            </w:r>
          </w:p>
          <w:p>
            <w:pPr>
              <w:pStyle w:val="TableParagraph"/>
              <w:spacing w:before="51"/>
              <w:ind w:left="285"/>
              <w:rPr>
                <w:sz w:val="13"/>
              </w:rPr>
            </w:pPr>
            <w:r>
              <w:rPr>
                <w:w w:val="105"/>
                <w:sz w:val="13"/>
              </w:rPr>
              <w:t>4/01/2023</w:t>
            </w:r>
          </w:p>
          <w:p>
            <w:pPr>
              <w:pStyle w:val="TableParagraph"/>
              <w:spacing w:before="53"/>
              <w:ind w:left="251"/>
              <w:rPr>
                <w:sz w:val="13"/>
              </w:rPr>
            </w:pPr>
            <w:r>
              <w:rPr>
                <w:w w:val="105"/>
                <w:sz w:val="13"/>
              </w:rPr>
              <w:t>24/02/2023</w:t>
            </w:r>
          </w:p>
        </w:tc>
        <w:tc>
          <w:tcPr>
            <w:tcW w:w="1364" w:type="dxa"/>
          </w:tcPr>
          <w:p>
            <w:pPr>
              <w:pStyle w:val="TableParagraph"/>
              <w:spacing w:line="316" w:lineRule="auto" w:before="25"/>
              <w:ind w:left="606" w:right="597"/>
              <w:jc w:val="both"/>
              <w:rPr>
                <w:sz w:val="13"/>
              </w:rPr>
            </w:pPr>
            <w:r>
              <w:rPr>
                <w:sz w:val="13"/>
              </w:rPr>
              <w:t>No No No No</w:t>
            </w:r>
          </w:p>
          <w:p>
            <w:pPr>
              <w:pStyle w:val="TableParagraph"/>
              <w:spacing w:before="4"/>
              <w:ind w:left="126" w:right="120"/>
              <w:jc w:val="center"/>
              <w:rPr>
                <w:sz w:val="13"/>
              </w:rPr>
            </w:pPr>
            <w:r>
              <w:rPr>
                <w:w w:val="105"/>
                <w:sz w:val="13"/>
              </w:rPr>
              <w:t>No</w:t>
            </w:r>
          </w:p>
        </w:tc>
        <w:tc>
          <w:tcPr>
            <w:tcW w:w="963" w:type="dxa"/>
          </w:tcPr>
          <w:p>
            <w:pPr>
              <w:pStyle w:val="TableParagraph"/>
              <w:spacing w:line="316" w:lineRule="auto" w:before="25"/>
              <w:ind w:left="403" w:right="399"/>
              <w:jc w:val="both"/>
              <w:rPr>
                <w:sz w:val="13"/>
              </w:rPr>
            </w:pPr>
            <w:r>
              <w:rPr>
                <w:sz w:val="13"/>
              </w:rPr>
              <w:t>No No No No</w:t>
            </w:r>
          </w:p>
          <w:p>
            <w:pPr>
              <w:pStyle w:val="TableParagraph"/>
              <w:spacing w:before="4"/>
              <w:ind w:left="132" w:right="130"/>
              <w:jc w:val="center"/>
              <w:rPr>
                <w:sz w:val="13"/>
              </w:rPr>
            </w:pPr>
            <w:r>
              <w:rPr>
                <w:w w:val="105"/>
                <w:sz w:val="13"/>
              </w:rPr>
              <w:t>No</w:t>
            </w:r>
          </w:p>
        </w:tc>
        <w:tc>
          <w:tcPr>
            <w:tcW w:w="972" w:type="dxa"/>
            <w:tcBorders>
              <w:right w:val="single" w:sz="4" w:space="0" w:color="000000"/>
            </w:tcBorders>
          </w:tcPr>
          <w:p>
            <w:pPr>
              <w:pStyle w:val="TableParagraph"/>
              <w:spacing w:line="316" w:lineRule="auto" w:before="25"/>
              <w:ind w:left="412" w:right="395"/>
              <w:jc w:val="both"/>
              <w:rPr>
                <w:sz w:val="13"/>
              </w:rPr>
            </w:pPr>
            <w:r>
              <w:rPr>
                <w:sz w:val="13"/>
              </w:rPr>
              <w:t>No No No No</w:t>
            </w:r>
          </w:p>
          <w:p>
            <w:pPr>
              <w:pStyle w:val="TableParagraph"/>
              <w:spacing w:before="4"/>
              <w:ind w:left="140" w:right="126"/>
              <w:jc w:val="center"/>
              <w:rPr>
                <w:sz w:val="13"/>
              </w:rPr>
            </w:pPr>
            <w:r>
              <w:rPr>
                <w:w w:val="105"/>
                <w:sz w:val="13"/>
              </w:rPr>
              <w:t>No</w:t>
            </w:r>
          </w:p>
        </w:tc>
      </w:tr>
      <w:tr>
        <w:trPr>
          <w:trHeight w:val="421" w:hRule="atLeast"/>
        </w:trPr>
        <w:tc>
          <w:tcPr>
            <w:tcW w:w="2656" w:type="dxa"/>
            <w:tcBorders>
              <w:left w:val="single" w:sz="4" w:space="0" w:color="000000"/>
              <w:right w:val="single" w:sz="4" w:space="0" w:color="000000"/>
            </w:tcBorders>
            <w:shd w:val="clear" w:color="auto" w:fill="F1F1F1"/>
          </w:tcPr>
          <w:p>
            <w:pPr>
              <w:pStyle w:val="TableParagraph"/>
              <w:spacing w:before="29"/>
              <w:ind w:left="89"/>
              <w:rPr>
                <w:sz w:val="13"/>
              </w:rPr>
            </w:pPr>
            <w:r>
              <w:rPr>
                <w:w w:val="105"/>
                <w:sz w:val="13"/>
              </w:rPr>
              <w:t>Gerencia Servicios Sanitarios El Hierro</w:t>
            </w:r>
          </w:p>
          <w:p>
            <w:pPr>
              <w:pStyle w:val="TableParagraph"/>
              <w:spacing w:before="51"/>
              <w:ind w:left="89"/>
              <w:rPr>
                <w:sz w:val="13"/>
              </w:rPr>
            </w:pPr>
            <w:r>
              <w:rPr>
                <w:w w:val="105"/>
                <w:sz w:val="13"/>
              </w:rPr>
              <w:t>Gerencia Atención Primaria Gran Canaria</w:t>
            </w:r>
          </w:p>
        </w:tc>
        <w:tc>
          <w:tcPr>
            <w:tcW w:w="1149" w:type="dxa"/>
            <w:tcBorders>
              <w:left w:val="single" w:sz="4" w:space="0" w:color="000000"/>
            </w:tcBorders>
            <w:shd w:val="clear" w:color="auto" w:fill="F1F1F1"/>
          </w:tcPr>
          <w:p>
            <w:pPr>
              <w:pStyle w:val="TableParagraph"/>
              <w:spacing w:before="29"/>
              <w:ind w:left="128" w:right="120"/>
              <w:jc w:val="center"/>
              <w:rPr>
                <w:sz w:val="13"/>
              </w:rPr>
            </w:pPr>
            <w:r>
              <w:rPr>
                <w:w w:val="105"/>
                <w:sz w:val="13"/>
              </w:rPr>
              <w:t>No</w:t>
            </w:r>
          </w:p>
          <w:p>
            <w:pPr>
              <w:pStyle w:val="TableParagraph"/>
              <w:spacing w:before="51"/>
              <w:ind w:left="128" w:right="120"/>
              <w:jc w:val="center"/>
              <w:rPr>
                <w:sz w:val="13"/>
              </w:rPr>
            </w:pPr>
            <w:r>
              <w:rPr>
                <w:w w:val="105"/>
                <w:sz w:val="13"/>
              </w:rPr>
              <w:t>No</w:t>
            </w:r>
          </w:p>
        </w:tc>
        <w:tc>
          <w:tcPr>
            <w:tcW w:w="1364" w:type="dxa"/>
            <w:shd w:val="clear" w:color="auto" w:fill="F1F1F1"/>
          </w:tcPr>
          <w:p>
            <w:pPr>
              <w:pStyle w:val="TableParagraph"/>
              <w:spacing w:before="29"/>
              <w:ind w:left="126" w:right="120"/>
              <w:jc w:val="center"/>
              <w:rPr>
                <w:sz w:val="13"/>
              </w:rPr>
            </w:pPr>
            <w:r>
              <w:rPr>
                <w:w w:val="105"/>
                <w:sz w:val="13"/>
              </w:rPr>
              <w:t>No</w:t>
            </w:r>
          </w:p>
          <w:p>
            <w:pPr>
              <w:pStyle w:val="TableParagraph"/>
              <w:spacing w:before="51"/>
              <w:ind w:left="126" w:right="120"/>
              <w:jc w:val="center"/>
              <w:rPr>
                <w:sz w:val="13"/>
              </w:rPr>
            </w:pPr>
            <w:r>
              <w:rPr>
                <w:w w:val="105"/>
                <w:sz w:val="13"/>
              </w:rPr>
              <w:t>No</w:t>
            </w:r>
          </w:p>
        </w:tc>
        <w:tc>
          <w:tcPr>
            <w:tcW w:w="963" w:type="dxa"/>
            <w:shd w:val="clear" w:color="auto" w:fill="F1F1F1"/>
          </w:tcPr>
          <w:p>
            <w:pPr>
              <w:pStyle w:val="TableParagraph"/>
              <w:spacing w:before="29"/>
              <w:ind w:left="132" w:right="130"/>
              <w:jc w:val="center"/>
              <w:rPr>
                <w:sz w:val="13"/>
              </w:rPr>
            </w:pPr>
            <w:r>
              <w:rPr>
                <w:w w:val="105"/>
                <w:sz w:val="13"/>
              </w:rPr>
              <w:t>No</w:t>
            </w:r>
          </w:p>
          <w:p>
            <w:pPr>
              <w:pStyle w:val="TableParagraph"/>
              <w:spacing w:before="51"/>
              <w:ind w:left="132" w:right="130"/>
              <w:jc w:val="center"/>
              <w:rPr>
                <w:sz w:val="13"/>
              </w:rPr>
            </w:pPr>
            <w:r>
              <w:rPr>
                <w:w w:val="105"/>
                <w:sz w:val="13"/>
              </w:rPr>
              <w:t>No</w:t>
            </w:r>
          </w:p>
        </w:tc>
        <w:tc>
          <w:tcPr>
            <w:tcW w:w="972" w:type="dxa"/>
            <w:tcBorders>
              <w:right w:val="single" w:sz="4" w:space="0" w:color="000000"/>
            </w:tcBorders>
            <w:shd w:val="clear" w:color="auto" w:fill="F1F1F1"/>
          </w:tcPr>
          <w:p>
            <w:pPr>
              <w:pStyle w:val="TableParagraph"/>
              <w:spacing w:before="29"/>
              <w:ind w:left="140" w:right="126"/>
              <w:jc w:val="center"/>
              <w:rPr>
                <w:sz w:val="13"/>
              </w:rPr>
            </w:pPr>
            <w:r>
              <w:rPr>
                <w:w w:val="105"/>
                <w:sz w:val="13"/>
              </w:rPr>
              <w:t>No</w:t>
            </w:r>
          </w:p>
          <w:p>
            <w:pPr>
              <w:pStyle w:val="TableParagraph"/>
              <w:spacing w:before="51"/>
              <w:ind w:left="140" w:right="126"/>
              <w:jc w:val="center"/>
              <w:rPr>
                <w:sz w:val="13"/>
              </w:rPr>
            </w:pPr>
            <w:r>
              <w:rPr>
                <w:w w:val="105"/>
                <w:sz w:val="13"/>
              </w:rPr>
              <w:t>No</w:t>
            </w:r>
          </w:p>
        </w:tc>
      </w:tr>
      <w:tr>
        <w:trPr>
          <w:trHeight w:val="204" w:hRule="atLeast"/>
        </w:trPr>
        <w:tc>
          <w:tcPr>
            <w:tcW w:w="2656" w:type="dxa"/>
            <w:tcBorders>
              <w:left w:val="single" w:sz="4" w:space="0" w:color="000000"/>
              <w:bottom w:val="single" w:sz="4" w:space="0" w:color="000000"/>
              <w:right w:val="single" w:sz="4" w:space="0" w:color="000000"/>
            </w:tcBorders>
          </w:tcPr>
          <w:p>
            <w:pPr>
              <w:pStyle w:val="TableParagraph"/>
              <w:spacing w:before="23"/>
              <w:ind w:left="89"/>
              <w:rPr>
                <w:sz w:val="13"/>
              </w:rPr>
            </w:pPr>
            <w:r>
              <w:rPr>
                <w:w w:val="105"/>
                <w:sz w:val="13"/>
              </w:rPr>
              <w:t>Gerencia Atención Primaria Tenerife</w:t>
            </w:r>
          </w:p>
        </w:tc>
        <w:tc>
          <w:tcPr>
            <w:tcW w:w="1149" w:type="dxa"/>
            <w:tcBorders>
              <w:left w:val="single" w:sz="4" w:space="0" w:color="000000"/>
              <w:bottom w:val="single" w:sz="4" w:space="0" w:color="000000"/>
            </w:tcBorders>
          </w:tcPr>
          <w:p>
            <w:pPr>
              <w:pStyle w:val="TableParagraph"/>
              <w:spacing w:before="23"/>
              <w:ind w:left="128" w:right="119"/>
              <w:jc w:val="center"/>
              <w:rPr>
                <w:sz w:val="13"/>
              </w:rPr>
            </w:pPr>
            <w:r>
              <w:rPr>
                <w:w w:val="105"/>
                <w:sz w:val="13"/>
              </w:rPr>
              <w:t>28/02/2023</w:t>
            </w:r>
          </w:p>
        </w:tc>
        <w:tc>
          <w:tcPr>
            <w:tcW w:w="1364" w:type="dxa"/>
            <w:tcBorders>
              <w:bottom w:val="single" w:sz="4" w:space="0" w:color="000000"/>
            </w:tcBorders>
          </w:tcPr>
          <w:p>
            <w:pPr>
              <w:pStyle w:val="TableParagraph"/>
              <w:spacing w:before="23"/>
              <w:ind w:left="126" w:right="120"/>
              <w:jc w:val="center"/>
              <w:rPr>
                <w:sz w:val="13"/>
              </w:rPr>
            </w:pPr>
            <w:r>
              <w:rPr>
                <w:w w:val="105"/>
                <w:sz w:val="13"/>
              </w:rPr>
              <w:t>No</w:t>
            </w:r>
          </w:p>
        </w:tc>
        <w:tc>
          <w:tcPr>
            <w:tcW w:w="963" w:type="dxa"/>
            <w:tcBorders>
              <w:bottom w:val="single" w:sz="4" w:space="0" w:color="000000"/>
            </w:tcBorders>
          </w:tcPr>
          <w:p>
            <w:pPr>
              <w:pStyle w:val="TableParagraph"/>
              <w:spacing w:before="23"/>
              <w:ind w:left="132" w:right="130"/>
              <w:jc w:val="center"/>
              <w:rPr>
                <w:sz w:val="13"/>
              </w:rPr>
            </w:pPr>
            <w:r>
              <w:rPr>
                <w:w w:val="105"/>
                <w:sz w:val="13"/>
              </w:rPr>
              <w:t>No</w:t>
            </w:r>
          </w:p>
        </w:tc>
        <w:tc>
          <w:tcPr>
            <w:tcW w:w="972" w:type="dxa"/>
            <w:tcBorders>
              <w:bottom w:val="single" w:sz="4" w:space="0" w:color="000000"/>
              <w:right w:val="single" w:sz="4" w:space="0" w:color="000000"/>
            </w:tcBorders>
          </w:tcPr>
          <w:p>
            <w:pPr>
              <w:pStyle w:val="TableParagraph"/>
              <w:spacing w:before="23"/>
              <w:ind w:left="140" w:right="126"/>
              <w:jc w:val="center"/>
              <w:rPr>
                <w:sz w:val="13"/>
              </w:rPr>
            </w:pPr>
            <w:r>
              <w:rPr>
                <w:w w:val="105"/>
                <w:sz w:val="13"/>
              </w:rPr>
              <w:t>No</w:t>
            </w:r>
          </w:p>
        </w:tc>
      </w:tr>
    </w:tbl>
    <w:p>
      <w:pPr>
        <w:pStyle w:val="BodyText"/>
        <w:spacing w:before="7"/>
        <w:rPr>
          <w:sz w:val="16"/>
        </w:rPr>
      </w:pPr>
    </w:p>
    <w:p>
      <w:pPr>
        <w:pStyle w:val="ListParagraph"/>
        <w:numPr>
          <w:ilvl w:val="0"/>
          <w:numId w:val="53"/>
        </w:numPr>
        <w:tabs>
          <w:tab w:pos="2335" w:val="left" w:leader="none"/>
        </w:tabs>
        <w:spacing w:line="242" w:lineRule="auto" w:before="0" w:after="0"/>
        <w:ind w:left="2334" w:right="1139" w:hanging="238"/>
        <w:jc w:val="both"/>
        <w:rPr>
          <w:sz w:val="20"/>
        </w:rPr>
      </w:pPr>
      <w:r>
        <w:rPr>
          <w:sz w:val="20"/>
        </w:rPr>
        <w:t>Como se deduce de la tabla anterior, nueve órganos de contratación no han rendido ninguna documentación, y la mayoría no ha remitido las relaciones certificadas de contratos privados, convenios y encargos a medios propios, a excepción de la DG de Programas Asistenciales y la Dirección de Área de Tenerife, que remiten relaciones de convenios y encargos, y relación de contratos privados por </w:t>
      </w:r>
      <w:r>
        <w:rPr>
          <w:spacing w:val="2"/>
          <w:sz w:val="20"/>
        </w:rPr>
        <w:t>el</w:t>
      </w:r>
      <w:r>
        <w:rPr>
          <w:spacing w:val="3"/>
          <w:sz w:val="20"/>
        </w:rPr>
        <w:t> </w:t>
      </w:r>
      <w:r>
        <w:rPr>
          <w:sz w:val="20"/>
        </w:rPr>
        <w:t>HUC.</w:t>
      </w:r>
    </w:p>
    <w:p>
      <w:pPr>
        <w:pStyle w:val="BodyText"/>
        <w:spacing w:before="4"/>
        <w:rPr>
          <w:sz w:val="16"/>
        </w:rPr>
      </w:pPr>
    </w:p>
    <w:p>
      <w:pPr>
        <w:pStyle w:val="Heading1"/>
        <w:ind w:left="2096"/>
        <w:jc w:val="left"/>
      </w:pPr>
      <w:r>
        <w:rPr/>
        <w:t>Observaciones a los contratos de la LCSP remitidos.</w:t>
      </w:r>
    </w:p>
    <w:p>
      <w:pPr>
        <w:pStyle w:val="BodyText"/>
        <w:spacing w:before="8"/>
        <w:rPr>
          <w:b/>
          <w:sz w:val="16"/>
        </w:rPr>
      </w:pPr>
    </w:p>
    <w:p>
      <w:pPr>
        <w:pStyle w:val="BodyText"/>
        <w:spacing w:line="242" w:lineRule="auto"/>
        <w:ind w:left="2334" w:right="1143" w:hanging="238"/>
        <w:jc w:val="both"/>
      </w:pPr>
      <w:r>
        <w:rPr/>
        <w:t>1. Al estar obligados a remitir cada órgano de contratación su propia relación de contratos y no haber cumplido todos con esta obligación, no se dispone de una relación</w:t>
      </w:r>
      <w:r>
        <w:rPr>
          <w:spacing w:val="-5"/>
        </w:rPr>
        <w:t> </w:t>
      </w:r>
      <w:r>
        <w:rPr/>
        <w:t>de</w:t>
      </w:r>
      <w:r>
        <w:rPr>
          <w:spacing w:val="-2"/>
        </w:rPr>
        <w:t> </w:t>
      </w:r>
      <w:r>
        <w:rPr/>
        <w:t>contratos</w:t>
      </w:r>
      <w:r>
        <w:rPr>
          <w:spacing w:val="-3"/>
        </w:rPr>
        <w:t> </w:t>
      </w:r>
      <w:r>
        <w:rPr/>
        <w:t>completa</w:t>
      </w:r>
      <w:r>
        <w:rPr>
          <w:spacing w:val="-6"/>
        </w:rPr>
        <w:t> </w:t>
      </w:r>
      <w:r>
        <w:rPr/>
        <w:t>para</w:t>
      </w:r>
      <w:r>
        <w:rPr>
          <w:spacing w:val="-5"/>
        </w:rPr>
        <w:t> </w:t>
      </w:r>
      <w:r>
        <w:rPr/>
        <w:t>todo</w:t>
      </w:r>
      <w:r>
        <w:rPr>
          <w:spacing w:val="-3"/>
        </w:rPr>
        <w:t> </w:t>
      </w:r>
      <w:r>
        <w:rPr/>
        <w:t>el</w:t>
      </w:r>
      <w:r>
        <w:rPr>
          <w:spacing w:val="-3"/>
        </w:rPr>
        <w:t> </w:t>
      </w:r>
      <w:r>
        <w:rPr/>
        <w:t>SCS.</w:t>
      </w:r>
      <w:r>
        <w:rPr>
          <w:spacing w:val="-6"/>
        </w:rPr>
        <w:t> </w:t>
      </w:r>
      <w:r>
        <w:rPr/>
        <w:t>No</w:t>
      </w:r>
      <w:r>
        <w:rPr>
          <w:spacing w:val="-3"/>
        </w:rPr>
        <w:t> </w:t>
      </w:r>
      <w:r>
        <w:rPr/>
        <w:t>obstante,</w:t>
      </w:r>
      <w:r>
        <w:rPr>
          <w:spacing w:val="-5"/>
        </w:rPr>
        <w:t> </w:t>
      </w:r>
      <w:r>
        <w:rPr/>
        <w:t>el</w:t>
      </w:r>
      <w:r>
        <w:rPr>
          <w:spacing w:val="-3"/>
        </w:rPr>
        <w:t> </w:t>
      </w:r>
      <w:r>
        <w:rPr/>
        <w:t>SCS</w:t>
      </w:r>
      <w:r>
        <w:rPr>
          <w:spacing w:val="-4"/>
        </w:rPr>
        <w:t> </w:t>
      </w:r>
      <w:r>
        <w:rPr/>
        <w:t>tiene</w:t>
      </w:r>
      <w:r>
        <w:rPr>
          <w:spacing w:val="-5"/>
        </w:rPr>
        <w:t> </w:t>
      </w:r>
      <w:r>
        <w:rPr/>
        <w:t>publicada,</w:t>
      </w:r>
    </w:p>
    <w:p>
      <w:pPr>
        <w:pStyle w:val="BodyText"/>
      </w:pPr>
    </w:p>
    <w:p>
      <w:pPr>
        <w:pStyle w:val="BodyText"/>
      </w:pPr>
    </w:p>
    <w:p>
      <w:pPr>
        <w:pStyle w:val="BodyText"/>
        <w:spacing w:before="6"/>
        <w:rPr>
          <w:sz w:val="26"/>
        </w:rPr>
      </w:pPr>
    </w:p>
    <w:p>
      <w:pPr>
        <w:pStyle w:val="BodyText"/>
        <w:spacing w:before="61"/>
        <w:ind w:left="7794"/>
        <w:jc w:val="center"/>
      </w:pPr>
      <w:r>
        <w:rPr/>
        <w:t>104</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after="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19" name="image5.png"/>
                  <wp:cNvGraphicFramePr>
                    <a:graphicFrameLocks noChangeAspect="1"/>
                  </wp:cNvGraphicFramePr>
                  <a:graphic>
                    <a:graphicData uri="http://schemas.openxmlformats.org/drawingml/2006/picture">
                      <pic:pic>
                        <pic:nvPicPr>
                          <pic:cNvPr id="22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03"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106/247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spacing w:before="2"/>
        <w:rPr>
          <w:b/>
          <w:sz w:val="9"/>
        </w:rPr>
      </w:pPr>
    </w:p>
    <w:p>
      <w:pPr>
        <w:pStyle w:val="BodyText"/>
        <w:spacing w:before="61"/>
        <w:ind w:left="2334" w:right="1144"/>
        <w:jc w:val="both"/>
        <w:rPr>
          <w:sz w:val="13"/>
        </w:rPr>
      </w:pPr>
      <w:r>
        <w:rPr/>
        <w:t>en su Portal de Transparencia, con fecha 12/06/2023, una relación de contratos adjudicados y formalizados 2022.</w:t>
      </w:r>
      <w:r>
        <w:rPr>
          <w:position w:val="7"/>
          <w:sz w:val="13"/>
        </w:rPr>
        <w:t>24</w:t>
      </w:r>
    </w:p>
    <w:p>
      <w:pPr>
        <w:pStyle w:val="BodyText"/>
        <w:spacing w:before="6"/>
        <w:rPr>
          <w:sz w:val="16"/>
        </w:rPr>
      </w:pPr>
    </w:p>
    <w:p>
      <w:pPr>
        <w:pStyle w:val="ListParagraph"/>
        <w:numPr>
          <w:ilvl w:val="0"/>
          <w:numId w:val="54"/>
        </w:numPr>
        <w:tabs>
          <w:tab w:pos="2335" w:val="left" w:leader="none"/>
        </w:tabs>
        <w:spacing w:line="240" w:lineRule="auto" w:before="1" w:after="0"/>
        <w:ind w:left="2334" w:right="1144" w:hanging="238"/>
        <w:jc w:val="both"/>
        <w:rPr>
          <w:sz w:val="20"/>
        </w:rPr>
      </w:pPr>
      <w:r>
        <w:rPr>
          <w:sz w:val="20"/>
        </w:rPr>
        <w:t>El contenido de la información rendida por los órganos de contratación no se ajusta a la Instrucción de la Audiencia de Cuentas, pues contiene contratos que no se han formalizado, y contratos que corresponde a los ejercicios 2021 y</w:t>
      </w:r>
      <w:r>
        <w:rPr>
          <w:spacing w:val="6"/>
          <w:sz w:val="20"/>
        </w:rPr>
        <w:t> </w:t>
      </w:r>
      <w:r>
        <w:rPr>
          <w:sz w:val="20"/>
        </w:rPr>
        <w:t>2023.</w:t>
      </w:r>
    </w:p>
    <w:p>
      <w:pPr>
        <w:pStyle w:val="BodyText"/>
        <w:spacing w:before="11"/>
        <w:rPr>
          <w:sz w:val="16"/>
        </w:rPr>
      </w:pPr>
    </w:p>
    <w:p>
      <w:pPr>
        <w:pStyle w:val="ListParagraph"/>
        <w:numPr>
          <w:ilvl w:val="0"/>
          <w:numId w:val="54"/>
        </w:numPr>
        <w:tabs>
          <w:tab w:pos="2335" w:val="left" w:leader="none"/>
        </w:tabs>
        <w:spacing w:line="242" w:lineRule="auto" w:before="0" w:after="0"/>
        <w:ind w:left="2334" w:right="1140" w:hanging="238"/>
        <w:jc w:val="both"/>
        <w:rPr>
          <w:sz w:val="20"/>
        </w:rPr>
      </w:pPr>
      <w:r>
        <w:rPr>
          <w:sz w:val="20"/>
        </w:rPr>
        <w:t>La relación, extraída de la Plataforma de Contratación del Sector Público (PLACSP) el 10/04/2023, contiene 2.121 registros, por un importe total de 629,4 millones de €, y aporta información del número y denominación del expediente, tipo de contrato, estado, importe, fechas y órgano de contratación. Las columnas “Estado” y “Fechas” hacen referencia a la situación del expediente el día de extracción de la</w:t>
      </w:r>
      <w:r>
        <w:rPr>
          <w:spacing w:val="14"/>
          <w:sz w:val="20"/>
        </w:rPr>
        <w:t> </w:t>
      </w:r>
      <w:r>
        <w:rPr>
          <w:sz w:val="20"/>
        </w:rPr>
        <w:t>información.</w:t>
      </w:r>
    </w:p>
    <w:p>
      <w:pPr>
        <w:pStyle w:val="BodyText"/>
        <w:spacing w:before="5"/>
        <w:rPr>
          <w:sz w:val="16"/>
        </w:rPr>
      </w:pPr>
    </w:p>
    <w:p>
      <w:pPr>
        <w:pStyle w:val="ListParagraph"/>
        <w:numPr>
          <w:ilvl w:val="0"/>
          <w:numId w:val="54"/>
        </w:numPr>
        <w:tabs>
          <w:tab w:pos="2335" w:val="left" w:leader="none"/>
        </w:tabs>
        <w:spacing w:line="240" w:lineRule="auto" w:before="0" w:after="0"/>
        <w:ind w:left="2334" w:right="1142" w:hanging="238"/>
        <w:jc w:val="both"/>
        <w:rPr>
          <w:sz w:val="20"/>
        </w:rPr>
      </w:pPr>
      <w:r>
        <w:rPr>
          <w:sz w:val="20"/>
        </w:rPr>
        <w:t>Por otra parte, se ha obtenido del módulo RECO del SefLogic una relación de contratos</w:t>
      </w:r>
      <w:r>
        <w:rPr>
          <w:spacing w:val="-4"/>
          <w:sz w:val="20"/>
        </w:rPr>
        <w:t> </w:t>
      </w:r>
      <w:r>
        <w:rPr>
          <w:sz w:val="20"/>
        </w:rPr>
        <w:t>del</w:t>
      </w:r>
      <w:r>
        <w:rPr>
          <w:spacing w:val="-3"/>
          <w:sz w:val="20"/>
        </w:rPr>
        <w:t> </w:t>
      </w:r>
      <w:r>
        <w:rPr>
          <w:sz w:val="20"/>
        </w:rPr>
        <w:t>SCS</w:t>
      </w:r>
      <w:r>
        <w:rPr>
          <w:spacing w:val="-5"/>
          <w:sz w:val="20"/>
        </w:rPr>
        <w:t> </w:t>
      </w:r>
      <w:r>
        <w:rPr>
          <w:sz w:val="20"/>
        </w:rPr>
        <w:t>del</w:t>
      </w:r>
      <w:r>
        <w:rPr>
          <w:spacing w:val="-3"/>
          <w:sz w:val="20"/>
        </w:rPr>
        <w:t> </w:t>
      </w:r>
      <w:r>
        <w:rPr>
          <w:sz w:val="20"/>
        </w:rPr>
        <w:t>ejercicio</w:t>
      </w:r>
      <w:r>
        <w:rPr>
          <w:spacing w:val="-1"/>
          <w:sz w:val="20"/>
        </w:rPr>
        <w:t> </w:t>
      </w:r>
      <w:r>
        <w:rPr>
          <w:sz w:val="20"/>
        </w:rPr>
        <w:t>2022,</w:t>
      </w:r>
      <w:r>
        <w:rPr>
          <w:spacing w:val="-4"/>
          <w:sz w:val="20"/>
        </w:rPr>
        <w:t> </w:t>
      </w:r>
      <w:r>
        <w:rPr>
          <w:sz w:val="20"/>
        </w:rPr>
        <w:t>que</w:t>
      </w:r>
      <w:r>
        <w:rPr>
          <w:spacing w:val="-1"/>
          <w:sz w:val="20"/>
        </w:rPr>
        <w:t> </w:t>
      </w:r>
      <w:r>
        <w:rPr>
          <w:sz w:val="20"/>
        </w:rPr>
        <w:t>contiene</w:t>
      </w:r>
      <w:r>
        <w:rPr>
          <w:spacing w:val="-4"/>
          <w:sz w:val="20"/>
        </w:rPr>
        <w:t> </w:t>
      </w:r>
      <w:r>
        <w:rPr>
          <w:sz w:val="20"/>
        </w:rPr>
        <w:t>140.779</w:t>
      </w:r>
      <w:r>
        <w:rPr>
          <w:spacing w:val="-2"/>
          <w:sz w:val="20"/>
        </w:rPr>
        <w:t> </w:t>
      </w:r>
      <w:r>
        <w:rPr>
          <w:sz w:val="20"/>
        </w:rPr>
        <w:t>registros.</w:t>
      </w:r>
      <w:r>
        <w:rPr>
          <w:spacing w:val="-4"/>
          <w:sz w:val="20"/>
        </w:rPr>
        <w:t> </w:t>
      </w:r>
      <w:r>
        <w:rPr>
          <w:sz w:val="20"/>
        </w:rPr>
        <w:t>De</w:t>
      </w:r>
      <w:r>
        <w:rPr>
          <w:spacing w:val="-4"/>
          <w:sz w:val="20"/>
        </w:rPr>
        <w:t> </w:t>
      </w:r>
      <w:r>
        <w:rPr>
          <w:sz w:val="20"/>
        </w:rPr>
        <w:t>esta</w:t>
      </w:r>
      <w:r>
        <w:rPr>
          <w:spacing w:val="-1"/>
          <w:sz w:val="20"/>
        </w:rPr>
        <w:t> </w:t>
      </w:r>
      <w:r>
        <w:rPr>
          <w:sz w:val="20"/>
        </w:rPr>
        <w:t>relación se han detectado las siguientes</w:t>
      </w:r>
      <w:r>
        <w:rPr>
          <w:spacing w:val="1"/>
          <w:sz w:val="20"/>
        </w:rPr>
        <w:t> </w:t>
      </w:r>
      <w:r>
        <w:rPr>
          <w:sz w:val="20"/>
        </w:rPr>
        <w:t>incidencias:</w:t>
      </w:r>
    </w:p>
    <w:p>
      <w:pPr>
        <w:pStyle w:val="BodyText"/>
        <w:spacing w:before="11"/>
        <w:rPr>
          <w:sz w:val="16"/>
        </w:rPr>
      </w:pPr>
    </w:p>
    <w:p>
      <w:pPr>
        <w:pStyle w:val="ListParagraph"/>
        <w:numPr>
          <w:ilvl w:val="1"/>
          <w:numId w:val="54"/>
        </w:numPr>
        <w:tabs>
          <w:tab w:pos="2691" w:val="left" w:leader="none"/>
        </w:tabs>
        <w:spacing w:line="240" w:lineRule="auto" w:before="0" w:after="0"/>
        <w:ind w:left="2690" w:right="0" w:hanging="239"/>
        <w:jc w:val="left"/>
        <w:rPr>
          <w:sz w:val="20"/>
        </w:rPr>
      </w:pPr>
      <w:r>
        <w:rPr>
          <w:sz w:val="20"/>
        </w:rPr>
        <w:t>A pesar de que en el campo “ejercicio” consta 2022, figuran 435 registros</w:t>
      </w:r>
      <w:r>
        <w:rPr>
          <w:spacing w:val="33"/>
          <w:sz w:val="20"/>
        </w:rPr>
        <w:t> </w:t>
      </w:r>
      <w:r>
        <w:rPr>
          <w:sz w:val="20"/>
        </w:rPr>
        <w:t>con</w:t>
      </w:r>
    </w:p>
    <w:p>
      <w:pPr>
        <w:pStyle w:val="BodyText"/>
        <w:spacing w:before="2"/>
        <w:ind w:left="2690"/>
      </w:pPr>
      <w:r>
        <w:rPr/>
        <w:t>fecha de formalización anterior a 2022.</w:t>
      </w:r>
    </w:p>
    <w:p>
      <w:pPr>
        <w:pStyle w:val="ListParagraph"/>
        <w:numPr>
          <w:ilvl w:val="1"/>
          <w:numId w:val="54"/>
        </w:numPr>
        <w:tabs>
          <w:tab w:pos="2691" w:val="left" w:leader="none"/>
        </w:tabs>
        <w:spacing w:line="240" w:lineRule="auto" w:before="1" w:after="0"/>
        <w:ind w:left="2690" w:right="1145" w:hanging="238"/>
        <w:jc w:val="left"/>
        <w:rPr>
          <w:sz w:val="20"/>
        </w:rPr>
      </w:pPr>
      <w:r>
        <w:rPr>
          <w:sz w:val="20"/>
        </w:rPr>
        <w:t>Figuran seis contratos calificados como “privados” que, por el tipo de contrato y su objeto podrían ser</w:t>
      </w:r>
      <w:r>
        <w:rPr>
          <w:spacing w:val="2"/>
          <w:sz w:val="20"/>
        </w:rPr>
        <w:t> </w:t>
      </w:r>
      <w:r>
        <w:rPr>
          <w:sz w:val="20"/>
        </w:rPr>
        <w:t>“administrativos”.</w:t>
      </w:r>
    </w:p>
    <w:p>
      <w:pPr>
        <w:pStyle w:val="ListParagraph"/>
        <w:numPr>
          <w:ilvl w:val="1"/>
          <w:numId w:val="54"/>
        </w:numPr>
        <w:tabs>
          <w:tab w:pos="2691" w:val="left" w:leader="none"/>
        </w:tabs>
        <w:spacing w:line="240" w:lineRule="auto" w:before="4" w:after="0"/>
        <w:ind w:left="2690" w:right="0" w:hanging="239"/>
        <w:jc w:val="left"/>
        <w:rPr>
          <w:sz w:val="20"/>
        </w:rPr>
      </w:pPr>
      <w:r>
        <w:rPr>
          <w:sz w:val="20"/>
        </w:rPr>
        <w:t>Figuran 34 registros con importe negativo.</w:t>
      </w:r>
    </w:p>
    <w:p>
      <w:pPr>
        <w:pStyle w:val="BodyText"/>
        <w:spacing w:before="8"/>
        <w:rPr>
          <w:sz w:val="16"/>
        </w:rPr>
      </w:pPr>
    </w:p>
    <w:p>
      <w:pPr>
        <w:pStyle w:val="BodyText"/>
        <w:ind w:left="2334" w:right="1137"/>
        <w:jc w:val="both"/>
      </w:pPr>
      <w:r>
        <w:rPr/>
        <w:t>Una vez depurada la lista, excluyendo los contratos que no corresponden a 2022, el número de contratos asciende a 140.344, de los cuales 138.814 son menores y 1.461 contratos formalizados, por un importe total de 448,9 millones de €, que no es, por tanto, coincidente con lo reflejado en PLACSP.</w:t>
      </w:r>
    </w:p>
    <w:p>
      <w:pPr>
        <w:pStyle w:val="BodyText"/>
        <w:spacing w:before="3"/>
        <w:rPr>
          <w:sz w:val="17"/>
        </w:rPr>
      </w:pPr>
    </w:p>
    <w:p>
      <w:pPr>
        <w:pStyle w:val="Heading1"/>
        <w:numPr>
          <w:ilvl w:val="0"/>
          <w:numId w:val="51"/>
        </w:numPr>
        <w:tabs>
          <w:tab w:pos="2314" w:val="left" w:leader="none"/>
        </w:tabs>
        <w:spacing w:line="240" w:lineRule="auto" w:before="0" w:after="0"/>
        <w:ind w:left="2313" w:right="0" w:hanging="218"/>
        <w:jc w:val="left"/>
      </w:pPr>
      <w:r>
        <w:rPr/>
        <w:t>Planes de contratación.</w:t>
      </w:r>
    </w:p>
    <w:p>
      <w:pPr>
        <w:pStyle w:val="BodyText"/>
        <w:spacing w:before="7"/>
        <w:rPr>
          <w:b/>
          <w:sz w:val="16"/>
        </w:rPr>
      </w:pPr>
    </w:p>
    <w:p>
      <w:pPr>
        <w:pStyle w:val="BodyText"/>
        <w:spacing w:before="1"/>
        <w:ind w:left="2096" w:right="1145" w:firstLine="594"/>
        <w:jc w:val="both"/>
      </w:pPr>
      <w:r>
        <w:rPr/>
        <w:t>El SCS ha remitido un documento conformado por 18 planes de contratación individuales correspondientes a los diferentes órganos de contratación.</w:t>
      </w:r>
    </w:p>
    <w:p>
      <w:pPr>
        <w:pStyle w:val="BodyText"/>
        <w:spacing w:before="9"/>
        <w:rPr>
          <w:sz w:val="16"/>
        </w:rPr>
      </w:pPr>
    </w:p>
    <w:p>
      <w:pPr>
        <w:pStyle w:val="BodyText"/>
        <w:ind w:left="2096" w:right="1140" w:firstLine="594"/>
        <w:jc w:val="both"/>
      </w:pPr>
      <w:r>
        <w:rPr/>
        <w:t>No se tiene constancia ni de la fecha ni del número de la Orden de la Consejería de Sanidad por la que se aprobó el plan de contratación para 2022, en cumplimiento de la Orden de 26 de diciembre de 2018 de dicha Consejería.</w:t>
      </w:r>
    </w:p>
    <w:p>
      <w:pPr>
        <w:pStyle w:val="BodyText"/>
        <w:rPr>
          <w:sz w:val="17"/>
        </w:rPr>
      </w:pPr>
    </w:p>
    <w:p>
      <w:pPr>
        <w:pStyle w:val="BodyText"/>
        <w:ind w:left="2096" w:right="1146" w:firstLine="594"/>
        <w:jc w:val="both"/>
      </w:pPr>
      <w:r>
        <w:rPr/>
        <w:t>No se trata de un plan único del SCS, sino que el documento está conformado por los citados 18 planes, cada uno con un formato y contenido diferente.</w:t>
      </w:r>
    </w:p>
    <w:p>
      <w:pPr>
        <w:pStyle w:val="BodyText"/>
        <w:spacing w:before="9"/>
        <w:rPr>
          <w:sz w:val="27"/>
        </w:rPr>
      </w:pPr>
      <w:r>
        <w:rPr/>
        <w:pict>
          <v:shape style="position:absolute;margin-left:142.816818pt;margin-top:19.268131pt;width:120.95pt;height:.1pt;mso-position-horizontal-relative:page;mso-position-vertical-relative:paragraph;z-index:-251461632;mso-wrap-distance-left:0;mso-wrap-distance-right:0" coordorigin="2856,385" coordsize="2419,0" path="m2856,385l5275,385e" filled="false" stroked="true" strokeweight=".604535pt" strokecolor="#000000">
            <v:path arrowok="t"/>
            <v:stroke dashstyle="solid"/>
            <w10:wrap type="topAndBottom"/>
          </v:shape>
        </w:pict>
      </w:r>
    </w:p>
    <w:p>
      <w:pPr>
        <w:spacing w:after="0"/>
        <w:rPr>
          <w:sz w:val="27"/>
        </w:rPr>
        <w:sectPr>
          <w:pgSz w:w="11900" w:h="16840"/>
          <w:pgMar w:header="859" w:footer="926" w:top="1760" w:bottom="1120" w:left="760" w:right="760"/>
        </w:sectPr>
      </w:pPr>
    </w:p>
    <w:p>
      <w:pPr>
        <w:spacing w:before="51"/>
        <w:ind w:left="2096" w:right="0" w:firstLine="0"/>
        <w:jc w:val="left"/>
        <w:rPr>
          <w:sz w:val="16"/>
        </w:rPr>
      </w:pPr>
      <w:r>
        <w:rPr>
          <w:w w:val="105"/>
          <w:position w:val="6"/>
          <w:sz w:val="11"/>
        </w:rPr>
        <w:t>24</w:t>
      </w:r>
      <w:r>
        <w:rPr>
          <w:spacing w:val="7"/>
          <w:w w:val="105"/>
          <w:position w:val="6"/>
          <w:sz w:val="11"/>
        </w:rPr>
        <w:t> </w:t>
      </w:r>
      <w:r>
        <w:rPr>
          <w:w w:val="105"/>
          <w:sz w:val="16"/>
        </w:rPr>
        <w:t>Relación</w:t>
      </w:r>
      <w:r>
        <w:rPr>
          <w:spacing w:val="-3"/>
          <w:w w:val="105"/>
          <w:sz w:val="16"/>
        </w:rPr>
        <w:t> </w:t>
      </w:r>
      <w:r>
        <w:rPr>
          <w:w w:val="105"/>
          <w:sz w:val="16"/>
        </w:rPr>
        <w:t>de</w:t>
      </w:r>
      <w:r>
        <w:rPr>
          <w:spacing w:val="-4"/>
          <w:w w:val="105"/>
          <w:sz w:val="16"/>
        </w:rPr>
        <w:t> </w:t>
      </w:r>
      <w:r>
        <w:rPr>
          <w:w w:val="105"/>
          <w:sz w:val="16"/>
        </w:rPr>
        <w:t>contratos</w:t>
      </w:r>
      <w:r>
        <w:rPr>
          <w:spacing w:val="-3"/>
          <w:w w:val="105"/>
          <w:sz w:val="16"/>
        </w:rPr>
        <w:t> </w:t>
      </w:r>
      <w:r>
        <w:rPr>
          <w:w w:val="105"/>
          <w:sz w:val="16"/>
        </w:rPr>
        <w:t>adjudicados</w:t>
      </w:r>
      <w:r>
        <w:rPr>
          <w:spacing w:val="-3"/>
          <w:w w:val="105"/>
          <w:sz w:val="16"/>
        </w:rPr>
        <w:t> </w:t>
      </w:r>
      <w:r>
        <w:rPr>
          <w:w w:val="105"/>
          <w:sz w:val="16"/>
        </w:rPr>
        <w:t>y</w:t>
      </w:r>
      <w:r>
        <w:rPr>
          <w:spacing w:val="-3"/>
          <w:w w:val="105"/>
          <w:sz w:val="16"/>
        </w:rPr>
        <w:t> </w:t>
      </w:r>
      <w:r>
        <w:rPr>
          <w:w w:val="105"/>
          <w:sz w:val="16"/>
        </w:rPr>
        <w:t>formalizados</w:t>
      </w:r>
      <w:r>
        <w:rPr>
          <w:spacing w:val="-4"/>
          <w:w w:val="105"/>
          <w:sz w:val="16"/>
        </w:rPr>
        <w:t> </w:t>
      </w:r>
      <w:r>
        <w:rPr>
          <w:w w:val="105"/>
          <w:sz w:val="16"/>
        </w:rPr>
        <w:t>por</w:t>
      </w:r>
      <w:r>
        <w:rPr>
          <w:spacing w:val="-5"/>
          <w:w w:val="105"/>
          <w:sz w:val="16"/>
        </w:rPr>
        <w:t> </w:t>
      </w:r>
      <w:r>
        <w:rPr>
          <w:w w:val="105"/>
          <w:sz w:val="16"/>
        </w:rPr>
        <w:t>el</w:t>
      </w:r>
      <w:r>
        <w:rPr>
          <w:spacing w:val="-4"/>
          <w:w w:val="105"/>
          <w:sz w:val="16"/>
        </w:rPr>
        <w:t> </w:t>
      </w:r>
      <w:r>
        <w:rPr>
          <w:w w:val="105"/>
          <w:sz w:val="16"/>
        </w:rPr>
        <w:t>SCS</w:t>
      </w:r>
      <w:r>
        <w:rPr>
          <w:spacing w:val="-4"/>
          <w:w w:val="105"/>
          <w:sz w:val="16"/>
        </w:rPr>
        <w:t> </w:t>
      </w:r>
      <w:r>
        <w:rPr>
          <w:w w:val="105"/>
          <w:sz w:val="16"/>
        </w:rPr>
        <w:t>en</w:t>
      </w:r>
      <w:r>
        <w:rPr>
          <w:spacing w:val="-3"/>
          <w:w w:val="105"/>
          <w:sz w:val="16"/>
        </w:rPr>
        <w:t> </w:t>
      </w:r>
      <w:r>
        <w:rPr>
          <w:w w:val="105"/>
          <w:sz w:val="16"/>
        </w:rPr>
        <w:t>2022</w:t>
      </w:r>
      <w:r>
        <w:rPr>
          <w:spacing w:val="-5"/>
          <w:w w:val="105"/>
          <w:sz w:val="16"/>
        </w:rPr>
        <w:t> </w:t>
      </w:r>
      <w:r>
        <w:rPr>
          <w:w w:val="105"/>
          <w:sz w:val="16"/>
        </w:rPr>
        <w:t>(Portal</w:t>
      </w:r>
      <w:r>
        <w:rPr>
          <w:spacing w:val="-4"/>
          <w:w w:val="105"/>
          <w:sz w:val="16"/>
        </w:rPr>
        <w:t> </w:t>
      </w:r>
      <w:r>
        <w:rPr>
          <w:w w:val="105"/>
          <w:sz w:val="16"/>
        </w:rPr>
        <w:t>de</w:t>
      </w:r>
      <w:r>
        <w:rPr>
          <w:spacing w:val="-3"/>
          <w:w w:val="105"/>
          <w:sz w:val="16"/>
        </w:rPr>
        <w:t> </w:t>
      </w:r>
      <w:r>
        <w:rPr>
          <w:w w:val="105"/>
          <w:sz w:val="16"/>
        </w:rPr>
        <w:t>Transparencia).</w:t>
      </w:r>
    </w:p>
    <w:p>
      <w:pPr>
        <w:pStyle w:val="BodyText"/>
        <w:spacing w:before="4"/>
      </w:pPr>
    </w:p>
    <w:p>
      <w:pPr>
        <w:pStyle w:val="Heading1"/>
        <w:ind w:left="5192"/>
        <w:jc w:val="left"/>
      </w:pPr>
      <w:r>
        <w:rPr>
          <w:u w:val="single"/>
        </w:rPr>
        <w:t>CA-001-2023</w:t>
      </w:r>
    </w:p>
    <w:p>
      <w:pPr>
        <w:pStyle w:val="BodyText"/>
        <w:spacing w:before="4"/>
        <w:rPr>
          <w:b/>
          <w:sz w:val="21"/>
        </w:rPr>
      </w:pPr>
      <w:r>
        <w:rPr/>
        <w:br w:type="column"/>
      </w:r>
      <w:r>
        <w:rPr>
          <w:b/>
          <w:sz w:val="21"/>
        </w:rPr>
      </w:r>
    </w:p>
    <w:p>
      <w:pPr>
        <w:pStyle w:val="BodyText"/>
        <w:spacing w:before="1"/>
        <w:ind w:left="181"/>
      </w:pPr>
      <w:r>
        <w:rPr/>
        <w:t>105</w:t>
      </w:r>
    </w:p>
    <w:p>
      <w:pPr>
        <w:spacing w:after="0"/>
        <w:sectPr>
          <w:type w:val="continuous"/>
          <w:pgSz w:w="11900" w:h="16840"/>
          <w:pgMar w:top="1600" w:bottom="1120" w:left="760" w:right="760"/>
          <w:cols w:num="2" w:equalWidth="0">
            <w:col w:w="8712" w:space="40"/>
            <w:col w:w="162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sz w:val="9"/>
              </w:rPr>
            </w:pPr>
          </w:p>
          <w:p>
            <w:pPr>
              <w:pStyle w:val="TableParagraph"/>
              <w:ind w:left="324"/>
              <w:rPr>
                <w:sz w:val="20"/>
              </w:rPr>
            </w:pPr>
            <w:r>
              <w:rPr>
                <w:sz w:val="20"/>
              </w:rPr>
              <w:drawing>
                <wp:inline distT="0" distB="0" distL="0" distR="0">
                  <wp:extent cx="514349" cy="514350"/>
                  <wp:effectExtent l="0" t="0" r="0" b="0"/>
                  <wp:docPr id="221" name="image5.png"/>
                  <wp:cNvGraphicFramePr>
                    <a:graphicFrameLocks noChangeAspect="1"/>
                  </wp:cNvGraphicFramePr>
                  <a:graphic>
                    <a:graphicData uri="http://schemas.openxmlformats.org/drawingml/2006/picture">
                      <pic:pic>
                        <pic:nvPicPr>
                          <pic:cNvPr id="22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03"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107/247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2"/>
        <w:rPr>
          <w:sz w:val="9"/>
        </w:rPr>
      </w:pPr>
    </w:p>
    <w:p>
      <w:pPr>
        <w:pStyle w:val="BodyText"/>
        <w:spacing w:before="61"/>
        <w:ind w:left="2096" w:right="1136" w:firstLine="594"/>
        <w:jc w:val="both"/>
      </w:pPr>
      <w:r>
        <w:rPr/>
        <w:t>Además,</w:t>
      </w:r>
      <w:r>
        <w:rPr>
          <w:spacing w:val="-11"/>
        </w:rPr>
        <w:t> </w:t>
      </w:r>
      <w:r>
        <w:rPr/>
        <w:t>estos</w:t>
      </w:r>
      <w:r>
        <w:rPr>
          <w:spacing w:val="-9"/>
        </w:rPr>
        <w:t> </w:t>
      </w:r>
      <w:r>
        <w:rPr/>
        <w:t>planes</w:t>
      </w:r>
      <w:r>
        <w:rPr>
          <w:spacing w:val="-10"/>
        </w:rPr>
        <w:t> </w:t>
      </w:r>
      <w:r>
        <w:rPr/>
        <w:t>individuales</w:t>
      </w:r>
      <w:r>
        <w:rPr>
          <w:spacing w:val="-12"/>
        </w:rPr>
        <w:t> </w:t>
      </w:r>
      <w:r>
        <w:rPr/>
        <w:t>tienen</w:t>
      </w:r>
      <w:r>
        <w:rPr>
          <w:spacing w:val="-8"/>
        </w:rPr>
        <w:t> </w:t>
      </w:r>
      <w:r>
        <w:rPr/>
        <w:t>carencias</w:t>
      </w:r>
      <w:r>
        <w:rPr>
          <w:spacing w:val="-11"/>
        </w:rPr>
        <w:t> </w:t>
      </w:r>
      <w:r>
        <w:rPr/>
        <w:t>respecto</w:t>
      </w:r>
      <w:r>
        <w:rPr>
          <w:spacing w:val="-9"/>
        </w:rPr>
        <w:t> </w:t>
      </w:r>
      <w:r>
        <w:rPr/>
        <w:t>a</w:t>
      </w:r>
      <w:r>
        <w:rPr>
          <w:spacing w:val="-9"/>
        </w:rPr>
        <w:t> </w:t>
      </w:r>
      <w:r>
        <w:rPr/>
        <w:t>los</w:t>
      </w:r>
      <w:r>
        <w:rPr>
          <w:spacing w:val="-10"/>
        </w:rPr>
        <w:t> </w:t>
      </w:r>
      <w:r>
        <w:rPr/>
        <w:t>contenidos</w:t>
      </w:r>
      <w:r>
        <w:rPr>
          <w:spacing w:val="-9"/>
        </w:rPr>
        <w:t> </w:t>
      </w:r>
      <w:r>
        <w:rPr/>
        <w:t>que se</w:t>
      </w:r>
      <w:r>
        <w:rPr>
          <w:spacing w:val="-4"/>
        </w:rPr>
        <w:t> </w:t>
      </w:r>
      <w:r>
        <w:rPr/>
        <w:t>consideran</w:t>
      </w:r>
      <w:r>
        <w:rPr>
          <w:spacing w:val="-5"/>
        </w:rPr>
        <w:t> </w:t>
      </w:r>
      <w:r>
        <w:rPr/>
        <w:t>mínimos</w:t>
      </w:r>
      <w:r>
        <w:rPr>
          <w:spacing w:val="-6"/>
        </w:rPr>
        <w:t> </w:t>
      </w:r>
      <w:r>
        <w:rPr/>
        <w:t>en</w:t>
      </w:r>
      <w:r>
        <w:rPr>
          <w:spacing w:val="-6"/>
        </w:rPr>
        <w:t> </w:t>
      </w:r>
      <w:r>
        <w:rPr/>
        <w:t>este</w:t>
      </w:r>
      <w:r>
        <w:rPr>
          <w:spacing w:val="-8"/>
        </w:rPr>
        <w:t> </w:t>
      </w:r>
      <w:r>
        <w:rPr/>
        <w:t>tipo</w:t>
      </w:r>
      <w:r>
        <w:rPr>
          <w:spacing w:val="-8"/>
        </w:rPr>
        <w:t> </w:t>
      </w:r>
      <w:r>
        <w:rPr/>
        <w:t>de</w:t>
      </w:r>
      <w:r>
        <w:rPr>
          <w:spacing w:val="-5"/>
        </w:rPr>
        <w:t> </w:t>
      </w:r>
      <w:r>
        <w:rPr/>
        <w:t>documentos,</w:t>
      </w:r>
      <w:r>
        <w:rPr>
          <w:spacing w:val="-4"/>
        </w:rPr>
        <w:t> </w:t>
      </w:r>
      <w:r>
        <w:rPr/>
        <w:t>como</w:t>
      </w:r>
      <w:r>
        <w:rPr>
          <w:spacing w:val="-6"/>
        </w:rPr>
        <w:t> </w:t>
      </w:r>
      <w:r>
        <w:rPr/>
        <w:t>son,</w:t>
      </w:r>
      <w:r>
        <w:rPr>
          <w:spacing w:val="-6"/>
        </w:rPr>
        <w:t> </w:t>
      </w:r>
      <w:r>
        <w:rPr/>
        <w:t>la</w:t>
      </w:r>
      <w:r>
        <w:rPr>
          <w:spacing w:val="-6"/>
        </w:rPr>
        <w:t> </w:t>
      </w:r>
      <w:r>
        <w:rPr/>
        <w:t>motivación</w:t>
      </w:r>
      <w:r>
        <w:rPr>
          <w:spacing w:val="-4"/>
        </w:rPr>
        <w:t> </w:t>
      </w:r>
      <w:r>
        <w:rPr/>
        <w:t>y</w:t>
      </w:r>
      <w:r>
        <w:rPr>
          <w:spacing w:val="-5"/>
        </w:rPr>
        <w:t> </w:t>
      </w:r>
      <w:r>
        <w:rPr/>
        <w:t>objetivos del</w:t>
      </w:r>
      <w:r>
        <w:rPr>
          <w:spacing w:val="-6"/>
        </w:rPr>
        <w:t> </w:t>
      </w:r>
      <w:r>
        <w:rPr/>
        <w:t>plan,</w:t>
      </w:r>
      <w:r>
        <w:rPr>
          <w:spacing w:val="-6"/>
        </w:rPr>
        <w:t> </w:t>
      </w:r>
      <w:r>
        <w:rPr/>
        <w:t>así</w:t>
      </w:r>
      <w:r>
        <w:rPr>
          <w:spacing w:val="-5"/>
        </w:rPr>
        <w:t> </w:t>
      </w:r>
      <w:r>
        <w:rPr/>
        <w:t>como</w:t>
      </w:r>
      <w:r>
        <w:rPr>
          <w:spacing w:val="-6"/>
        </w:rPr>
        <w:t> </w:t>
      </w:r>
      <w:r>
        <w:rPr/>
        <w:t>la</w:t>
      </w:r>
      <w:r>
        <w:rPr>
          <w:spacing w:val="-5"/>
        </w:rPr>
        <w:t> </w:t>
      </w:r>
      <w:r>
        <w:rPr/>
        <w:t>relación</w:t>
      </w:r>
      <w:r>
        <w:rPr>
          <w:spacing w:val="-5"/>
        </w:rPr>
        <w:t> </w:t>
      </w:r>
      <w:r>
        <w:rPr/>
        <w:t>de</w:t>
      </w:r>
      <w:r>
        <w:rPr>
          <w:spacing w:val="-5"/>
        </w:rPr>
        <w:t> </w:t>
      </w:r>
      <w:r>
        <w:rPr/>
        <w:t>contratos</w:t>
      </w:r>
      <w:r>
        <w:rPr>
          <w:spacing w:val="-6"/>
        </w:rPr>
        <w:t> </w:t>
      </w:r>
      <w:r>
        <w:rPr/>
        <w:t>previstos,</w:t>
      </w:r>
      <w:r>
        <w:rPr>
          <w:spacing w:val="-5"/>
        </w:rPr>
        <w:t> </w:t>
      </w:r>
      <w:r>
        <w:rPr/>
        <w:t>en</w:t>
      </w:r>
      <w:r>
        <w:rPr>
          <w:spacing w:val="-5"/>
        </w:rPr>
        <w:t> </w:t>
      </w:r>
      <w:r>
        <w:rPr/>
        <w:t>los</w:t>
      </w:r>
      <w:r>
        <w:rPr>
          <w:spacing w:val="-6"/>
        </w:rPr>
        <w:t> </w:t>
      </w:r>
      <w:r>
        <w:rPr/>
        <w:t>que</w:t>
      </w:r>
      <w:r>
        <w:rPr>
          <w:spacing w:val="-5"/>
        </w:rPr>
        <w:t> </w:t>
      </w:r>
      <w:r>
        <w:rPr/>
        <w:t>se</w:t>
      </w:r>
      <w:r>
        <w:rPr>
          <w:spacing w:val="-6"/>
        </w:rPr>
        <w:t> </w:t>
      </w:r>
      <w:r>
        <w:rPr/>
        <w:t>refleje,</w:t>
      </w:r>
      <w:r>
        <w:rPr>
          <w:spacing w:val="-5"/>
        </w:rPr>
        <w:t> </w:t>
      </w:r>
      <w:r>
        <w:rPr/>
        <w:t>como</w:t>
      </w:r>
      <w:r>
        <w:rPr>
          <w:spacing w:val="-6"/>
        </w:rPr>
        <w:t> </w:t>
      </w:r>
      <w:r>
        <w:rPr/>
        <w:t>mínimo, la siguiente información: tipo de contrato, procedimiento de adjudicación, valor estimado, plazo y fecha aproximada de la licitación.</w:t>
      </w:r>
    </w:p>
    <w:p>
      <w:pPr>
        <w:pStyle w:val="BodyText"/>
        <w:spacing w:before="3"/>
        <w:rPr>
          <w:sz w:val="17"/>
        </w:rPr>
      </w:pPr>
    </w:p>
    <w:p>
      <w:pPr>
        <w:pStyle w:val="BodyText"/>
        <w:ind w:left="2096" w:right="1140" w:firstLine="594"/>
        <w:jc w:val="both"/>
      </w:pPr>
      <w:r>
        <w:rPr/>
        <w:t>Asimismo,</w:t>
      </w:r>
      <w:r>
        <w:rPr>
          <w:spacing w:val="-8"/>
        </w:rPr>
        <w:t> </w:t>
      </w:r>
      <w:r>
        <w:rPr/>
        <w:t>informan</w:t>
      </w:r>
      <w:r>
        <w:rPr>
          <w:spacing w:val="-9"/>
        </w:rPr>
        <w:t> </w:t>
      </w:r>
      <w:r>
        <w:rPr/>
        <w:t>que</w:t>
      </w:r>
      <w:r>
        <w:rPr>
          <w:spacing w:val="-10"/>
        </w:rPr>
        <w:t> </w:t>
      </w:r>
      <w:r>
        <w:rPr/>
        <w:t>las</w:t>
      </w:r>
      <w:r>
        <w:rPr>
          <w:spacing w:val="-7"/>
        </w:rPr>
        <w:t> </w:t>
      </w:r>
      <w:r>
        <w:rPr/>
        <w:t>Direcciones</w:t>
      </w:r>
      <w:r>
        <w:rPr>
          <w:spacing w:val="-10"/>
        </w:rPr>
        <w:t> </w:t>
      </w:r>
      <w:r>
        <w:rPr/>
        <w:t>de</w:t>
      </w:r>
      <w:r>
        <w:rPr>
          <w:spacing w:val="-8"/>
        </w:rPr>
        <w:t> </w:t>
      </w:r>
      <w:r>
        <w:rPr/>
        <w:t>Área</w:t>
      </w:r>
      <w:r>
        <w:rPr>
          <w:spacing w:val="-10"/>
        </w:rPr>
        <w:t> </w:t>
      </w:r>
      <w:r>
        <w:rPr/>
        <w:t>de</w:t>
      </w:r>
      <w:r>
        <w:rPr>
          <w:spacing w:val="-7"/>
        </w:rPr>
        <w:t> </w:t>
      </w:r>
      <w:r>
        <w:rPr/>
        <w:t>Salud</w:t>
      </w:r>
      <w:r>
        <w:rPr>
          <w:spacing w:val="-10"/>
        </w:rPr>
        <w:t> </w:t>
      </w:r>
      <w:r>
        <w:rPr/>
        <w:t>de</w:t>
      </w:r>
      <w:r>
        <w:rPr>
          <w:spacing w:val="-8"/>
        </w:rPr>
        <w:t> </w:t>
      </w:r>
      <w:r>
        <w:rPr/>
        <w:t>El</w:t>
      </w:r>
      <w:r>
        <w:rPr>
          <w:spacing w:val="-8"/>
        </w:rPr>
        <w:t> </w:t>
      </w:r>
      <w:r>
        <w:rPr/>
        <w:t>Hierro,</w:t>
      </w:r>
      <w:r>
        <w:rPr>
          <w:spacing w:val="-7"/>
        </w:rPr>
        <w:t> </w:t>
      </w:r>
      <w:r>
        <w:rPr/>
        <w:t>La</w:t>
      </w:r>
      <w:r>
        <w:rPr>
          <w:spacing w:val="-10"/>
        </w:rPr>
        <w:t> </w:t>
      </w:r>
      <w:r>
        <w:rPr/>
        <w:t>Gomera y La Palma, la Dirección General de Programas Asistenciales y la Gerencia de Servicios Sanitarios de La Gomera no tuvieron planes de contratación en</w:t>
      </w:r>
      <w:r>
        <w:rPr>
          <w:spacing w:val="5"/>
        </w:rPr>
        <w:t> </w:t>
      </w:r>
      <w:r>
        <w:rPr/>
        <w:t>2022.</w:t>
      </w:r>
    </w:p>
    <w:p>
      <w:pPr>
        <w:pStyle w:val="BodyText"/>
        <w:spacing w:before="1"/>
        <w:rPr>
          <w:sz w:val="17"/>
        </w:rPr>
      </w:pPr>
    </w:p>
    <w:p>
      <w:pPr>
        <w:pStyle w:val="Heading1"/>
        <w:numPr>
          <w:ilvl w:val="0"/>
          <w:numId w:val="51"/>
        </w:numPr>
        <w:tabs>
          <w:tab w:pos="2290" w:val="left" w:leader="none"/>
        </w:tabs>
        <w:spacing w:line="240" w:lineRule="auto" w:before="0" w:after="0"/>
        <w:ind w:left="2289" w:right="0" w:hanging="194"/>
        <w:jc w:val="left"/>
      </w:pPr>
      <w:r>
        <w:rPr/>
        <w:t>Análisis de la</w:t>
      </w:r>
      <w:r>
        <w:rPr>
          <w:spacing w:val="-3"/>
        </w:rPr>
        <w:t> </w:t>
      </w:r>
      <w:r>
        <w:rPr/>
        <w:t>contratación.</w:t>
      </w:r>
    </w:p>
    <w:p>
      <w:pPr>
        <w:pStyle w:val="BodyText"/>
        <w:spacing w:before="8"/>
        <w:rPr>
          <w:b/>
          <w:sz w:val="16"/>
        </w:rPr>
      </w:pPr>
    </w:p>
    <w:p>
      <w:pPr>
        <w:pStyle w:val="BodyText"/>
        <w:ind w:left="2096" w:right="1139" w:firstLine="594"/>
        <w:jc w:val="both"/>
      </w:pPr>
      <w:r>
        <w:rPr/>
        <w:t>A continuación, se presenta la información de las obligaciones reconocidas agrupada por tipos de contratos y procedimientos de contratación, realizándose un somero análisis en base a los datos que constan en la memoria de las cuentas anuales rendidas.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7"/>
        </w:rPr>
      </w:pPr>
    </w:p>
    <w:p>
      <w:pPr>
        <w:pStyle w:val="BodyText"/>
        <w:ind w:left="7794"/>
        <w:jc w:val="center"/>
      </w:pPr>
      <w:r>
        <w:rPr/>
        <w:t>106</w:t>
      </w:r>
    </w:p>
    <w:p>
      <w:pPr>
        <w:pStyle w:val="Heading1"/>
        <w:spacing w:before="2"/>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223" name="image5.png"/>
                  <wp:cNvGraphicFramePr>
                    <a:graphicFrameLocks noChangeAspect="1"/>
                  </wp:cNvGraphicFramePr>
                  <a:graphic>
                    <a:graphicData uri="http://schemas.openxmlformats.org/drawingml/2006/picture">
                      <pic:pic>
                        <pic:nvPicPr>
                          <pic:cNvPr id="224"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03"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108/247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11:14:25</w:t>
            </w:r>
          </w:p>
        </w:tc>
        <w:tc>
          <w:tcPr>
            <w:tcW w:w="1489" w:type="dxa"/>
            <w:vMerge/>
            <w:tcBorders>
              <w:top w:val="nil"/>
            </w:tcBorders>
          </w:tcPr>
          <w:p>
            <w:pPr>
              <w:rPr>
                <w:sz w:val="2"/>
                <w:szCs w:val="2"/>
              </w:rPr>
            </w:pPr>
          </w:p>
        </w:tc>
      </w:tr>
    </w:tbl>
    <w:p>
      <w:pPr>
        <w:spacing w:after="0"/>
        <w:rPr>
          <w:sz w:val="2"/>
          <w:szCs w:val="2"/>
        </w:rPr>
        <w:sectPr>
          <w:pgSz w:w="11900" w:h="16840"/>
          <w:pgMar w:header="859" w:footer="926" w:top="1760" w:bottom="1120" w:left="760" w:right="760"/>
        </w:sectPr>
      </w:pPr>
    </w:p>
    <w:p>
      <w:pPr>
        <w:pStyle w:val="BodyText"/>
        <w:ind w:left="2040"/>
      </w:pPr>
      <w:r>
        <w:rPr/>
        <w:drawing>
          <wp:inline distT="0" distB="0" distL="0" distR="0">
            <wp:extent cx="1494555" cy="540639"/>
            <wp:effectExtent l="0" t="0" r="0" b="0"/>
            <wp:docPr id="225" name="image7.jpeg"/>
            <wp:cNvGraphicFramePr>
              <a:graphicFrameLocks noChangeAspect="1"/>
            </wp:cNvGraphicFramePr>
            <a:graphic>
              <a:graphicData uri="http://schemas.openxmlformats.org/drawingml/2006/picture">
                <pic:pic>
                  <pic:nvPicPr>
                    <pic:cNvPr id="226" name="image7.jpeg"/>
                    <pic:cNvPicPr/>
                  </pic:nvPicPr>
                  <pic:blipFill>
                    <a:blip r:embed="rId21" cstate="print"/>
                    <a:stretch>
                      <a:fillRect/>
                    </a:stretch>
                  </pic:blipFill>
                  <pic:spPr>
                    <a:xfrm>
                      <a:off x="0" y="0"/>
                      <a:ext cx="1494555" cy="540639"/>
                    </a:xfrm>
                    <a:prstGeom prst="rect">
                      <a:avLst/>
                    </a:prstGeom>
                  </pic:spPr>
                </pic:pic>
              </a:graphicData>
            </a:graphic>
          </wp:inline>
        </w:drawing>
      </w:r>
      <w:r>
        <w:rPr/>
      </w:r>
    </w:p>
    <w:p>
      <w:pPr>
        <w:pStyle w:val="BodyText"/>
        <w:rPr>
          <w:b/>
        </w:rPr>
      </w:pPr>
    </w:p>
    <w:p>
      <w:pPr>
        <w:pStyle w:val="BodyText"/>
        <w:rPr>
          <w:b/>
          <w:sz w:val="28"/>
        </w:rPr>
      </w:pPr>
    </w:p>
    <w:tbl>
      <w:tblPr>
        <w:tblW w:w="0" w:type="auto"/>
        <w:jc w:val="left"/>
        <w:tblInd w:w="2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4"/>
        <w:gridCol w:w="876"/>
        <w:gridCol w:w="753"/>
        <w:gridCol w:w="767"/>
        <w:gridCol w:w="977"/>
        <w:gridCol w:w="1014"/>
        <w:gridCol w:w="891"/>
        <w:gridCol w:w="1088"/>
        <w:gridCol w:w="1000"/>
        <w:gridCol w:w="907"/>
        <w:gridCol w:w="1052"/>
        <w:gridCol w:w="545"/>
      </w:tblGrid>
      <w:tr>
        <w:trPr>
          <w:trHeight w:val="428" w:hRule="atLeast"/>
        </w:trPr>
        <w:tc>
          <w:tcPr>
            <w:tcW w:w="854" w:type="dxa"/>
            <w:vMerge w:val="restart"/>
            <w:shd w:val="clear" w:color="auto" w:fill="DEEAF6"/>
          </w:tcPr>
          <w:p>
            <w:pPr>
              <w:pStyle w:val="TableParagraph"/>
              <w:rPr>
                <w:b/>
                <w:sz w:val="12"/>
              </w:rPr>
            </w:pPr>
          </w:p>
          <w:p>
            <w:pPr>
              <w:pStyle w:val="TableParagraph"/>
              <w:rPr>
                <w:b/>
                <w:sz w:val="12"/>
              </w:rPr>
            </w:pPr>
          </w:p>
          <w:p>
            <w:pPr>
              <w:pStyle w:val="TableParagraph"/>
              <w:rPr>
                <w:b/>
                <w:sz w:val="12"/>
              </w:rPr>
            </w:pPr>
          </w:p>
          <w:p>
            <w:pPr>
              <w:pStyle w:val="TableParagraph"/>
              <w:spacing w:before="6"/>
              <w:rPr>
                <w:b/>
                <w:sz w:val="13"/>
              </w:rPr>
            </w:pPr>
          </w:p>
          <w:p>
            <w:pPr>
              <w:pStyle w:val="TableParagraph"/>
              <w:spacing w:line="247" w:lineRule="auto"/>
              <w:ind w:left="204" w:firstLine="29"/>
              <w:rPr>
                <w:b/>
                <w:sz w:val="12"/>
              </w:rPr>
            </w:pPr>
            <w:r>
              <w:rPr>
                <w:b/>
                <w:w w:val="105"/>
                <w:sz w:val="12"/>
              </w:rPr>
              <w:t>Tipo de contrato</w:t>
            </w:r>
          </w:p>
        </w:tc>
        <w:tc>
          <w:tcPr>
            <w:tcW w:w="5278" w:type="dxa"/>
            <w:gridSpan w:val="6"/>
            <w:shd w:val="clear" w:color="auto" w:fill="DEEAF6"/>
          </w:tcPr>
          <w:p>
            <w:pPr>
              <w:pStyle w:val="TableParagraph"/>
              <w:spacing w:before="7"/>
              <w:rPr>
                <w:b/>
                <w:sz w:val="11"/>
              </w:rPr>
            </w:pPr>
          </w:p>
          <w:p>
            <w:pPr>
              <w:pStyle w:val="TableParagraph"/>
              <w:ind w:left="2167" w:right="2160"/>
              <w:jc w:val="center"/>
              <w:rPr>
                <w:b/>
                <w:sz w:val="12"/>
              </w:rPr>
            </w:pPr>
            <w:r>
              <w:rPr>
                <w:b/>
                <w:w w:val="105"/>
                <w:sz w:val="12"/>
              </w:rPr>
              <w:t>PROCEDIMIENTO</w:t>
            </w:r>
          </w:p>
        </w:tc>
        <w:tc>
          <w:tcPr>
            <w:tcW w:w="1088" w:type="dxa"/>
            <w:vMerge w:val="restart"/>
            <w:shd w:val="clear" w:color="auto" w:fill="DEEAF6"/>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line="247" w:lineRule="auto" w:before="95"/>
              <w:ind w:left="375" w:right="314" w:hanging="51"/>
              <w:rPr>
                <w:b/>
                <w:sz w:val="12"/>
              </w:rPr>
            </w:pPr>
            <w:r>
              <w:rPr>
                <w:b/>
                <w:sz w:val="12"/>
              </w:rPr>
              <w:t>Acuerdo </w:t>
            </w:r>
            <w:r>
              <w:rPr>
                <w:b/>
                <w:w w:val="105"/>
                <w:sz w:val="12"/>
              </w:rPr>
              <w:t>Marco</w:t>
            </w:r>
          </w:p>
        </w:tc>
        <w:tc>
          <w:tcPr>
            <w:tcW w:w="1907" w:type="dxa"/>
            <w:gridSpan w:val="2"/>
            <w:vMerge w:val="restart"/>
            <w:shd w:val="clear" w:color="auto" w:fill="DEEAF6"/>
          </w:tcPr>
          <w:p>
            <w:pPr>
              <w:pStyle w:val="TableParagraph"/>
              <w:rPr>
                <w:b/>
                <w:sz w:val="12"/>
              </w:rPr>
            </w:pPr>
          </w:p>
          <w:p>
            <w:pPr>
              <w:pStyle w:val="TableParagraph"/>
              <w:rPr>
                <w:b/>
                <w:sz w:val="12"/>
              </w:rPr>
            </w:pPr>
          </w:p>
          <w:p>
            <w:pPr>
              <w:pStyle w:val="TableParagraph"/>
              <w:spacing w:before="9"/>
              <w:rPr>
                <w:b/>
                <w:sz w:val="13"/>
              </w:rPr>
            </w:pPr>
          </w:p>
          <w:p>
            <w:pPr>
              <w:pStyle w:val="TableParagraph"/>
              <w:ind w:left="319"/>
              <w:rPr>
                <w:b/>
                <w:sz w:val="12"/>
              </w:rPr>
            </w:pPr>
            <w:r>
              <w:rPr>
                <w:b/>
                <w:w w:val="105"/>
                <w:sz w:val="12"/>
              </w:rPr>
              <w:t>ADJUDICACIÓN DIRECTA</w:t>
            </w:r>
          </w:p>
        </w:tc>
        <w:tc>
          <w:tcPr>
            <w:tcW w:w="1597" w:type="dxa"/>
            <w:gridSpan w:val="2"/>
            <w:vMerge w:val="restart"/>
            <w:shd w:val="clear" w:color="auto" w:fill="DEEAF6"/>
          </w:tcPr>
          <w:p>
            <w:pPr>
              <w:pStyle w:val="TableParagraph"/>
              <w:rPr>
                <w:b/>
                <w:sz w:val="12"/>
              </w:rPr>
            </w:pPr>
          </w:p>
          <w:p>
            <w:pPr>
              <w:pStyle w:val="TableParagraph"/>
              <w:rPr>
                <w:b/>
                <w:sz w:val="12"/>
              </w:rPr>
            </w:pPr>
          </w:p>
          <w:p>
            <w:pPr>
              <w:pStyle w:val="TableParagraph"/>
              <w:rPr>
                <w:b/>
                <w:sz w:val="12"/>
              </w:rPr>
            </w:pPr>
          </w:p>
          <w:p>
            <w:pPr>
              <w:pStyle w:val="TableParagraph"/>
              <w:spacing w:before="98"/>
              <w:ind w:left="611" w:right="596"/>
              <w:jc w:val="center"/>
              <w:rPr>
                <w:b/>
                <w:sz w:val="12"/>
              </w:rPr>
            </w:pPr>
            <w:r>
              <w:rPr>
                <w:b/>
                <w:w w:val="105"/>
                <w:sz w:val="12"/>
              </w:rPr>
              <w:t>TOTAL</w:t>
            </w:r>
          </w:p>
        </w:tc>
      </w:tr>
      <w:tr>
        <w:trPr>
          <w:trHeight w:val="629" w:hRule="atLeast"/>
        </w:trPr>
        <w:tc>
          <w:tcPr>
            <w:tcW w:w="854" w:type="dxa"/>
            <w:vMerge/>
            <w:tcBorders>
              <w:top w:val="nil"/>
            </w:tcBorders>
            <w:shd w:val="clear" w:color="auto" w:fill="DEEAF6"/>
          </w:tcPr>
          <w:p>
            <w:pPr>
              <w:rPr>
                <w:sz w:val="2"/>
                <w:szCs w:val="2"/>
              </w:rPr>
            </w:pPr>
          </w:p>
        </w:tc>
        <w:tc>
          <w:tcPr>
            <w:tcW w:w="1629" w:type="dxa"/>
            <w:gridSpan w:val="2"/>
            <w:shd w:val="clear" w:color="auto" w:fill="DEEAF6"/>
          </w:tcPr>
          <w:p>
            <w:pPr>
              <w:pStyle w:val="TableParagraph"/>
              <w:rPr>
                <w:b/>
                <w:sz w:val="12"/>
              </w:rPr>
            </w:pPr>
          </w:p>
          <w:p>
            <w:pPr>
              <w:pStyle w:val="TableParagraph"/>
              <w:spacing w:before="96"/>
              <w:ind w:left="562" w:right="556"/>
              <w:jc w:val="center"/>
              <w:rPr>
                <w:b/>
                <w:sz w:val="12"/>
              </w:rPr>
            </w:pPr>
            <w:r>
              <w:rPr>
                <w:b/>
                <w:w w:val="105"/>
                <w:sz w:val="12"/>
              </w:rPr>
              <w:t>ABIERTO</w:t>
            </w:r>
          </w:p>
        </w:tc>
        <w:tc>
          <w:tcPr>
            <w:tcW w:w="1744" w:type="dxa"/>
            <w:gridSpan w:val="2"/>
            <w:shd w:val="clear" w:color="auto" w:fill="DEEAF6"/>
          </w:tcPr>
          <w:p>
            <w:pPr>
              <w:pStyle w:val="TableParagraph"/>
              <w:rPr>
                <w:b/>
                <w:sz w:val="12"/>
              </w:rPr>
            </w:pPr>
          </w:p>
          <w:p>
            <w:pPr>
              <w:pStyle w:val="TableParagraph"/>
              <w:spacing w:before="96"/>
              <w:ind w:left="515"/>
              <w:rPr>
                <w:b/>
                <w:sz w:val="12"/>
              </w:rPr>
            </w:pPr>
            <w:r>
              <w:rPr>
                <w:b/>
                <w:w w:val="105"/>
                <w:sz w:val="12"/>
              </w:rPr>
              <w:t>RESTRINGIDO</w:t>
            </w:r>
          </w:p>
        </w:tc>
        <w:tc>
          <w:tcPr>
            <w:tcW w:w="1905" w:type="dxa"/>
            <w:gridSpan w:val="2"/>
            <w:shd w:val="clear" w:color="auto" w:fill="DEEAF6"/>
          </w:tcPr>
          <w:p>
            <w:pPr>
              <w:pStyle w:val="TableParagraph"/>
              <w:rPr>
                <w:b/>
                <w:sz w:val="12"/>
              </w:rPr>
            </w:pPr>
          </w:p>
          <w:p>
            <w:pPr>
              <w:pStyle w:val="TableParagraph"/>
              <w:spacing w:before="96"/>
              <w:ind w:left="628"/>
              <w:rPr>
                <w:b/>
                <w:sz w:val="12"/>
              </w:rPr>
            </w:pPr>
            <w:r>
              <w:rPr>
                <w:b/>
                <w:w w:val="105"/>
                <w:sz w:val="12"/>
              </w:rPr>
              <w:t>NEGOCIADO</w:t>
            </w:r>
          </w:p>
        </w:tc>
        <w:tc>
          <w:tcPr>
            <w:tcW w:w="1088" w:type="dxa"/>
            <w:vMerge/>
            <w:tcBorders>
              <w:top w:val="nil"/>
            </w:tcBorders>
            <w:shd w:val="clear" w:color="auto" w:fill="DEEAF6"/>
          </w:tcPr>
          <w:p>
            <w:pPr>
              <w:rPr>
                <w:sz w:val="2"/>
                <w:szCs w:val="2"/>
              </w:rPr>
            </w:pPr>
          </w:p>
        </w:tc>
        <w:tc>
          <w:tcPr>
            <w:tcW w:w="1907" w:type="dxa"/>
            <w:gridSpan w:val="2"/>
            <w:vMerge/>
            <w:tcBorders>
              <w:top w:val="nil"/>
            </w:tcBorders>
            <w:shd w:val="clear" w:color="auto" w:fill="DEEAF6"/>
          </w:tcPr>
          <w:p>
            <w:pPr>
              <w:rPr>
                <w:sz w:val="2"/>
                <w:szCs w:val="2"/>
              </w:rPr>
            </w:pPr>
          </w:p>
        </w:tc>
        <w:tc>
          <w:tcPr>
            <w:tcW w:w="1597" w:type="dxa"/>
            <w:gridSpan w:val="2"/>
            <w:vMerge/>
            <w:tcBorders>
              <w:top w:val="nil"/>
            </w:tcBorders>
            <w:shd w:val="clear" w:color="auto" w:fill="DEEAF6"/>
          </w:tcPr>
          <w:p>
            <w:pPr>
              <w:rPr>
                <w:sz w:val="2"/>
                <w:szCs w:val="2"/>
              </w:rPr>
            </w:pPr>
          </w:p>
        </w:tc>
      </w:tr>
      <w:tr>
        <w:trPr>
          <w:trHeight w:val="426" w:hRule="atLeast"/>
        </w:trPr>
        <w:tc>
          <w:tcPr>
            <w:tcW w:w="854" w:type="dxa"/>
            <w:vMerge/>
            <w:tcBorders>
              <w:top w:val="nil"/>
            </w:tcBorders>
            <w:shd w:val="clear" w:color="auto" w:fill="DEEAF6"/>
          </w:tcPr>
          <w:p>
            <w:pPr>
              <w:rPr>
                <w:sz w:val="2"/>
                <w:szCs w:val="2"/>
              </w:rPr>
            </w:pPr>
          </w:p>
        </w:tc>
        <w:tc>
          <w:tcPr>
            <w:tcW w:w="876" w:type="dxa"/>
            <w:shd w:val="clear" w:color="auto" w:fill="DEEAF6"/>
          </w:tcPr>
          <w:p>
            <w:pPr>
              <w:pStyle w:val="TableParagraph"/>
              <w:spacing w:line="247" w:lineRule="auto" w:before="65"/>
              <w:ind w:left="224" w:hanging="34"/>
              <w:rPr>
                <w:b/>
                <w:sz w:val="12"/>
              </w:rPr>
            </w:pPr>
            <w:r>
              <w:rPr>
                <w:b/>
                <w:w w:val="105"/>
                <w:sz w:val="12"/>
              </w:rPr>
              <w:t>Múltiples criterios</w:t>
            </w:r>
          </w:p>
        </w:tc>
        <w:tc>
          <w:tcPr>
            <w:tcW w:w="753" w:type="dxa"/>
            <w:shd w:val="clear" w:color="auto" w:fill="DEEAF6"/>
          </w:tcPr>
          <w:p>
            <w:pPr>
              <w:pStyle w:val="TableParagraph"/>
              <w:spacing w:line="247" w:lineRule="auto" w:before="65"/>
              <w:ind w:left="200" w:firstLine="26"/>
              <w:rPr>
                <w:b/>
                <w:sz w:val="12"/>
              </w:rPr>
            </w:pPr>
            <w:r>
              <w:rPr>
                <w:b/>
                <w:w w:val="105"/>
                <w:sz w:val="12"/>
              </w:rPr>
              <w:t>Único criterio</w:t>
            </w:r>
          </w:p>
        </w:tc>
        <w:tc>
          <w:tcPr>
            <w:tcW w:w="767" w:type="dxa"/>
            <w:shd w:val="clear" w:color="auto" w:fill="DEEAF6"/>
          </w:tcPr>
          <w:p>
            <w:pPr>
              <w:pStyle w:val="TableParagraph"/>
              <w:spacing w:line="247" w:lineRule="auto" w:before="65"/>
              <w:ind w:left="183" w:hanging="23"/>
              <w:rPr>
                <w:b/>
                <w:sz w:val="12"/>
              </w:rPr>
            </w:pPr>
            <w:r>
              <w:rPr>
                <w:b/>
                <w:w w:val="105"/>
                <w:sz w:val="12"/>
              </w:rPr>
              <w:t>Múltiple criterios</w:t>
            </w:r>
          </w:p>
        </w:tc>
        <w:tc>
          <w:tcPr>
            <w:tcW w:w="977" w:type="dxa"/>
            <w:shd w:val="clear" w:color="auto" w:fill="DEEAF6"/>
          </w:tcPr>
          <w:p>
            <w:pPr>
              <w:pStyle w:val="TableParagraph"/>
              <w:spacing w:line="247" w:lineRule="auto" w:before="65"/>
              <w:ind w:left="311" w:firstLine="26"/>
              <w:rPr>
                <w:b/>
                <w:sz w:val="12"/>
              </w:rPr>
            </w:pPr>
            <w:r>
              <w:rPr>
                <w:b/>
                <w:w w:val="105"/>
                <w:sz w:val="12"/>
              </w:rPr>
              <w:t>Único criterio</w:t>
            </w:r>
          </w:p>
        </w:tc>
        <w:tc>
          <w:tcPr>
            <w:tcW w:w="1014" w:type="dxa"/>
            <w:shd w:val="clear" w:color="auto" w:fill="DEEAF6"/>
          </w:tcPr>
          <w:p>
            <w:pPr>
              <w:pStyle w:val="TableParagraph"/>
              <w:spacing w:line="247" w:lineRule="auto" w:before="65"/>
              <w:ind w:left="292" w:hanging="8"/>
              <w:rPr>
                <w:b/>
                <w:sz w:val="12"/>
              </w:rPr>
            </w:pPr>
            <w:r>
              <w:rPr>
                <w:b/>
                <w:w w:val="105"/>
                <w:sz w:val="12"/>
              </w:rPr>
              <w:t>Múltiple criterios</w:t>
            </w:r>
          </w:p>
        </w:tc>
        <w:tc>
          <w:tcPr>
            <w:tcW w:w="891" w:type="dxa"/>
            <w:shd w:val="clear" w:color="auto" w:fill="DEEAF6"/>
          </w:tcPr>
          <w:p>
            <w:pPr>
              <w:pStyle w:val="TableParagraph"/>
              <w:spacing w:line="247" w:lineRule="auto" w:before="65"/>
              <w:ind w:left="270" w:firstLine="24"/>
              <w:rPr>
                <w:b/>
                <w:sz w:val="12"/>
              </w:rPr>
            </w:pPr>
            <w:r>
              <w:rPr>
                <w:b/>
                <w:w w:val="105"/>
                <w:sz w:val="12"/>
              </w:rPr>
              <w:t>Único criterio</w:t>
            </w:r>
          </w:p>
        </w:tc>
        <w:tc>
          <w:tcPr>
            <w:tcW w:w="1088" w:type="dxa"/>
            <w:vMerge/>
            <w:tcBorders>
              <w:top w:val="nil"/>
            </w:tcBorders>
            <w:shd w:val="clear" w:color="auto" w:fill="DEEAF6"/>
          </w:tcPr>
          <w:p>
            <w:pPr>
              <w:rPr>
                <w:sz w:val="2"/>
                <w:szCs w:val="2"/>
              </w:rPr>
            </w:pPr>
          </w:p>
        </w:tc>
        <w:tc>
          <w:tcPr>
            <w:tcW w:w="1000" w:type="dxa"/>
            <w:shd w:val="clear" w:color="auto" w:fill="DEEAF6"/>
          </w:tcPr>
          <w:p>
            <w:pPr>
              <w:pStyle w:val="TableParagraph"/>
              <w:spacing w:line="247" w:lineRule="auto" w:before="65"/>
              <w:ind w:left="271" w:hanging="28"/>
              <w:rPr>
                <w:b/>
                <w:sz w:val="12"/>
              </w:rPr>
            </w:pPr>
            <w:r>
              <w:rPr>
                <w:b/>
                <w:w w:val="105"/>
                <w:sz w:val="12"/>
              </w:rPr>
              <w:t>Contratos menores</w:t>
            </w:r>
          </w:p>
        </w:tc>
        <w:tc>
          <w:tcPr>
            <w:tcW w:w="907" w:type="dxa"/>
            <w:shd w:val="clear" w:color="auto" w:fill="DEEAF6"/>
          </w:tcPr>
          <w:p>
            <w:pPr>
              <w:pStyle w:val="TableParagraph"/>
              <w:spacing w:line="247" w:lineRule="auto" w:before="65"/>
              <w:ind w:left="151" w:hanging="35"/>
              <w:rPr>
                <w:b/>
                <w:sz w:val="12"/>
              </w:rPr>
            </w:pPr>
            <w:r>
              <w:rPr>
                <w:b/>
                <w:w w:val="105"/>
                <w:sz w:val="12"/>
              </w:rPr>
              <w:t>Contratos de emergencia</w:t>
            </w:r>
          </w:p>
        </w:tc>
        <w:tc>
          <w:tcPr>
            <w:tcW w:w="1052" w:type="dxa"/>
            <w:shd w:val="clear" w:color="auto" w:fill="DEEAF6"/>
          </w:tcPr>
          <w:p>
            <w:pPr>
              <w:pStyle w:val="TableParagraph"/>
              <w:spacing w:before="5"/>
              <w:rPr>
                <w:b/>
                <w:sz w:val="11"/>
              </w:rPr>
            </w:pPr>
          </w:p>
          <w:p>
            <w:pPr>
              <w:pStyle w:val="TableParagraph"/>
              <w:ind w:left="318"/>
              <w:rPr>
                <w:b/>
                <w:sz w:val="12"/>
              </w:rPr>
            </w:pPr>
            <w:r>
              <w:rPr>
                <w:b/>
                <w:w w:val="105"/>
                <w:sz w:val="12"/>
              </w:rPr>
              <w:t>Importe</w:t>
            </w:r>
          </w:p>
        </w:tc>
        <w:tc>
          <w:tcPr>
            <w:tcW w:w="545" w:type="dxa"/>
            <w:shd w:val="clear" w:color="auto" w:fill="DEEAF6"/>
          </w:tcPr>
          <w:p>
            <w:pPr>
              <w:pStyle w:val="TableParagraph"/>
              <w:rPr>
                <w:b/>
                <w:sz w:val="12"/>
              </w:rPr>
            </w:pPr>
          </w:p>
          <w:p>
            <w:pPr>
              <w:pStyle w:val="TableParagraph"/>
              <w:spacing w:before="11"/>
              <w:rPr>
                <w:b/>
                <w:sz w:val="10"/>
              </w:rPr>
            </w:pPr>
          </w:p>
          <w:p>
            <w:pPr>
              <w:pStyle w:val="TableParagraph"/>
              <w:spacing w:line="127" w:lineRule="exact"/>
              <w:ind w:left="16"/>
              <w:jc w:val="center"/>
              <w:rPr>
                <w:b/>
                <w:sz w:val="12"/>
              </w:rPr>
            </w:pPr>
            <w:r>
              <w:rPr>
                <w:b/>
                <w:w w:val="104"/>
                <w:sz w:val="12"/>
              </w:rPr>
              <w:t>%</w:t>
            </w:r>
          </w:p>
        </w:tc>
      </w:tr>
      <w:tr>
        <w:trPr>
          <w:trHeight w:val="439" w:hRule="atLeast"/>
        </w:trPr>
        <w:tc>
          <w:tcPr>
            <w:tcW w:w="854" w:type="dxa"/>
            <w:tcBorders>
              <w:bottom w:val="nil"/>
            </w:tcBorders>
          </w:tcPr>
          <w:p>
            <w:pPr>
              <w:pStyle w:val="TableParagraph"/>
              <w:spacing w:before="7"/>
              <w:rPr>
                <w:b/>
                <w:sz w:val="11"/>
              </w:rPr>
            </w:pPr>
          </w:p>
          <w:p>
            <w:pPr>
              <w:pStyle w:val="TableParagraph"/>
              <w:ind w:left="52"/>
              <w:rPr>
                <w:sz w:val="12"/>
              </w:rPr>
            </w:pPr>
            <w:r>
              <w:rPr>
                <w:w w:val="105"/>
                <w:sz w:val="12"/>
              </w:rPr>
              <w:t>Obras</w:t>
            </w:r>
          </w:p>
        </w:tc>
        <w:tc>
          <w:tcPr>
            <w:tcW w:w="876" w:type="dxa"/>
            <w:tcBorders>
              <w:bottom w:val="nil"/>
            </w:tcBorders>
          </w:tcPr>
          <w:p>
            <w:pPr>
              <w:pStyle w:val="TableParagraph"/>
              <w:spacing w:before="2"/>
              <w:rPr>
                <w:b/>
                <w:sz w:val="12"/>
              </w:rPr>
            </w:pPr>
          </w:p>
          <w:p>
            <w:pPr>
              <w:pStyle w:val="TableParagraph"/>
              <w:spacing w:before="1"/>
              <w:ind w:left="123" w:right="29"/>
              <w:jc w:val="center"/>
              <w:rPr>
                <w:sz w:val="11"/>
              </w:rPr>
            </w:pPr>
            <w:r>
              <w:rPr>
                <w:w w:val="105"/>
                <w:sz w:val="11"/>
              </w:rPr>
              <w:t>11.565.465,86</w:t>
            </w:r>
          </w:p>
        </w:tc>
        <w:tc>
          <w:tcPr>
            <w:tcW w:w="753" w:type="dxa"/>
            <w:tcBorders>
              <w:bottom w:val="nil"/>
            </w:tcBorders>
          </w:tcPr>
          <w:p>
            <w:pPr>
              <w:pStyle w:val="TableParagraph"/>
              <w:spacing w:before="2"/>
              <w:rPr>
                <w:b/>
                <w:sz w:val="12"/>
              </w:rPr>
            </w:pPr>
          </w:p>
          <w:p>
            <w:pPr>
              <w:pStyle w:val="TableParagraph"/>
              <w:spacing w:before="1"/>
              <w:ind w:right="45"/>
              <w:jc w:val="right"/>
              <w:rPr>
                <w:sz w:val="11"/>
              </w:rPr>
            </w:pPr>
            <w:r>
              <w:rPr>
                <w:w w:val="105"/>
                <w:sz w:val="11"/>
              </w:rPr>
              <w:t>97.979,87</w:t>
            </w:r>
          </w:p>
        </w:tc>
        <w:tc>
          <w:tcPr>
            <w:tcW w:w="767" w:type="dxa"/>
            <w:tcBorders>
              <w:bottom w:val="nil"/>
            </w:tcBorders>
          </w:tcPr>
          <w:p>
            <w:pPr>
              <w:pStyle w:val="TableParagraph"/>
              <w:rPr>
                <w:rFonts w:ascii="Times New Roman"/>
                <w:sz w:val="10"/>
              </w:rPr>
            </w:pPr>
          </w:p>
        </w:tc>
        <w:tc>
          <w:tcPr>
            <w:tcW w:w="977" w:type="dxa"/>
            <w:tcBorders>
              <w:bottom w:val="nil"/>
            </w:tcBorders>
          </w:tcPr>
          <w:p>
            <w:pPr>
              <w:pStyle w:val="TableParagraph"/>
              <w:rPr>
                <w:rFonts w:ascii="Times New Roman"/>
                <w:sz w:val="10"/>
              </w:rPr>
            </w:pPr>
          </w:p>
        </w:tc>
        <w:tc>
          <w:tcPr>
            <w:tcW w:w="1014" w:type="dxa"/>
            <w:tcBorders>
              <w:bottom w:val="nil"/>
            </w:tcBorders>
          </w:tcPr>
          <w:p>
            <w:pPr>
              <w:pStyle w:val="TableParagraph"/>
              <w:rPr>
                <w:rFonts w:ascii="Times New Roman"/>
                <w:sz w:val="10"/>
              </w:rPr>
            </w:pPr>
          </w:p>
        </w:tc>
        <w:tc>
          <w:tcPr>
            <w:tcW w:w="891" w:type="dxa"/>
            <w:tcBorders>
              <w:bottom w:val="nil"/>
            </w:tcBorders>
          </w:tcPr>
          <w:p>
            <w:pPr>
              <w:pStyle w:val="TableParagraph"/>
              <w:spacing w:before="2"/>
              <w:rPr>
                <w:b/>
                <w:sz w:val="12"/>
              </w:rPr>
            </w:pPr>
          </w:p>
          <w:p>
            <w:pPr>
              <w:pStyle w:val="TableParagraph"/>
              <w:spacing w:before="1"/>
              <w:ind w:right="43"/>
              <w:jc w:val="right"/>
              <w:rPr>
                <w:sz w:val="11"/>
              </w:rPr>
            </w:pPr>
            <w:r>
              <w:rPr>
                <w:w w:val="105"/>
                <w:sz w:val="11"/>
              </w:rPr>
              <w:t>157.893,64</w:t>
            </w:r>
          </w:p>
        </w:tc>
        <w:tc>
          <w:tcPr>
            <w:tcW w:w="1088" w:type="dxa"/>
            <w:tcBorders>
              <w:bottom w:val="nil"/>
            </w:tcBorders>
          </w:tcPr>
          <w:p>
            <w:pPr>
              <w:pStyle w:val="TableParagraph"/>
              <w:spacing w:before="2"/>
              <w:rPr>
                <w:b/>
                <w:sz w:val="12"/>
              </w:rPr>
            </w:pPr>
          </w:p>
          <w:p>
            <w:pPr>
              <w:pStyle w:val="TableParagraph"/>
              <w:spacing w:before="1"/>
              <w:ind w:right="67"/>
              <w:jc w:val="right"/>
              <w:rPr>
                <w:sz w:val="11"/>
              </w:rPr>
            </w:pPr>
            <w:r>
              <w:rPr>
                <w:w w:val="105"/>
                <w:sz w:val="11"/>
              </w:rPr>
              <w:t>0,00</w:t>
            </w:r>
          </w:p>
        </w:tc>
        <w:tc>
          <w:tcPr>
            <w:tcW w:w="1000" w:type="dxa"/>
            <w:tcBorders>
              <w:bottom w:val="nil"/>
            </w:tcBorders>
          </w:tcPr>
          <w:p>
            <w:pPr>
              <w:pStyle w:val="TableParagraph"/>
              <w:spacing w:before="2"/>
              <w:rPr>
                <w:b/>
                <w:sz w:val="12"/>
              </w:rPr>
            </w:pPr>
          </w:p>
          <w:p>
            <w:pPr>
              <w:pStyle w:val="TableParagraph"/>
              <w:spacing w:before="1"/>
              <w:ind w:right="43"/>
              <w:jc w:val="right"/>
              <w:rPr>
                <w:sz w:val="11"/>
              </w:rPr>
            </w:pPr>
            <w:r>
              <w:rPr>
                <w:w w:val="105"/>
                <w:sz w:val="11"/>
              </w:rPr>
              <w:t>3.464.433,62</w:t>
            </w:r>
          </w:p>
        </w:tc>
        <w:tc>
          <w:tcPr>
            <w:tcW w:w="907" w:type="dxa"/>
            <w:tcBorders>
              <w:bottom w:val="nil"/>
            </w:tcBorders>
          </w:tcPr>
          <w:p>
            <w:pPr>
              <w:pStyle w:val="TableParagraph"/>
              <w:spacing w:before="2"/>
              <w:rPr>
                <w:b/>
                <w:sz w:val="12"/>
              </w:rPr>
            </w:pPr>
          </w:p>
          <w:p>
            <w:pPr>
              <w:pStyle w:val="TableParagraph"/>
              <w:spacing w:before="1"/>
              <w:ind w:right="42"/>
              <w:jc w:val="right"/>
              <w:rPr>
                <w:sz w:val="11"/>
              </w:rPr>
            </w:pPr>
            <w:r>
              <w:rPr>
                <w:w w:val="105"/>
                <w:sz w:val="11"/>
              </w:rPr>
              <w:t>6.674.913,83</w:t>
            </w:r>
          </w:p>
        </w:tc>
        <w:tc>
          <w:tcPr>
            <w:tcW w:w="1052" w:type="dxa"/>
            <w:tcBorders>
              <w:bottom w:val="nil"/>
            </w:tcBorders>
          </w:tcPr>
          <w:p>
            <w:pPr>
              <w:pStyle w:val="TableParagraph"/>
              <w:spacing w:before="2"/>
              <w:rPr>
                <w:b/>
                <w:sz w:val="12"/>
              </w:rPr>
            </w:pPr>
          </w:p>
          <w:p>
            <w:pPr>
              <w:pStyle w:val="TableParagraph"/>
              <w:spacing w:before="1"/>
              <w:ind w:right="39"/>
              <w:jc w:val="right"/>
              <w:rPr>
                <w:sz w:val="11"/>
              </w:rPr>
            </w:pPr>
            <w:r>
              <w:rPr>
                <w:w w:val="105"/>
                <w:sz w:val="11"/>
              </w:rPr>
              <w:t>21.960.686,82</w:t>
            </w:r>
          </w:p>
        </w:tc>
        <w:tc>
          <w:tcPr>
            <w:tcW w:w="545" w:type="dxa"/>
            <w:tcBorders>
              <w:bottom w:val="nil"/>
            </w:tcBorders>
          </w:tcPr>
          <w:p>
            <w:pPr>
              <w:pStyle w:val="TableParagraph"/>
              <w:spacing w:before="2"/>
              <w:rPr>
                <w:b/>
                <w:sz w:val="12"/>
              </w:rPr>
            </w:pPr>
          </w:p>
          <w:p>
            <w:pPr>
              <w:pStyle w:val="TableParagraph"/>
              <w:spacing w:before="1"/>
              <w:ind w:left="187" w:right="20"/>
              <w:jc w:val="center"/>
              <w:rPr>
                <w:sz w:val="11"/>
              </w:rPr>
            </w:pPr>
            <w:r>
              <w:rPr>
                <w:w w:val="105"/>
                <w:sz w:val="11"/>
              </w:rPr>
              <w:t>3,74%</w:t>
            </w:r>
          </w:p>
        </w:tc>
      </w:tr>
      <w:tr>
        <w:trPr>
          <w:trHeight w:val="429" w:hRule="atLeast"/>
        </w:trPr>
        <w:tc>
          <w:tcPr>
            <w:tcW w:w="854" w:type="dxa"/>
            <w:tcBorders>
              <w:top w:val="nil"/>
              <w:bottom w:val="nil"/>
            </w:tcBorders>
          </w:tcPr>
          <w:p>
            <w:pPr>
              <w:pStyle w:val="TableParagraph"/>
              <w:spacing w:before="9"/>
              <w:rPr>
                <w:b/>
                <w:sz w:val="10"/>
              </w:rPr>
            </w:pPr>
          </w:p>
          <w:p>
            <w:pPr>
              <w:pStyle w:val="TableParagraph"/>
              <w:ind w:left="52"/>
              <w:rPr>
                <w:sz w:val="12"/>
              </w:rPr>
            </w:pPr>
            <w:r>
              <w:rPr>
                <w:w w:val="105"/>
                <w:sz w:val="12"/>
              </w:rPr>
              <w:t>Suministros</w:t>
            </w:r>
          </w:p>
        </w:tc>
        <w:tc>
          <w:tcPr>
            <w:tcW w:w="876" w:type="dxa"/>
            <w:tcBorders>
              <w:top w:val="nil"/>
              <w:bottom w:val="nil"/>
            </w:tcBorders>
          </w:tcPr>
          <w:p>
            <w:pPr>
              <w:pStyle w:val="TableParagraph"/>
              <w:spacing w:before="4"/>
              <w:rPr>
                <w:b/>
                <w:sz w:val="11"/>
              </w:rPr>
            </w:pPr>
          </w:p>
          <w:p>
            <w:pPr>
              <w:pStyle w:val="TableParagraph"/>
              <w:spacing w:before="1"/>
              <w:ind w:left="123" w:right="29"/>
              <w:jc w:val="center"/>
              <w:rPr>
                <w:sz w:val="11"/>
              </w:rPr>
            </w:pPr>
            <w:r>
              <w:rPr>
                <w:w w:val="105"/>
                <w:sz w:val="11"/>
              </w:rPr>
              <w:t>41.880.132,89</w:t>
            </w:r>
          </w:p>
        </w:tc>
        <w:tc>
          <w:tcPr>
            <w:tcW w:w="753" w:type="dxa"/>
            <w:tcBorders>
              <w:top w:val="nil"/>
              <w:bottom w:val="nil"/>
            </w:tcBorders>
          </w:tcPr>
          <w:p>
            <w:pPr>
              <w:pStyle w:val="TableParagraph"/>
              <w:spacing w:before="4"/>
              <w:rPr>
                <w:b/>
                <w:sz w:val="11"/>
              </w:rPr>
            </w:pPr>
          </w:p>
          <w:p>
            <w:pPr>
              <w:pStyle w:val="TableParagraph"/>
              <w:spacing w:before="1"/>
              <w:ind w:right="45"/>
              <w:jc w:val="right"/>
              <w:rPr>
                <w:sz w:val="11"/>
              </w:rPr>
            </w:pPr>
            <w:r>
              <w:rPr>
                <w:w w:val="105"/>
                <w:sz w:val="11"/>
              </w:rPr>
              <w:t>2.396.224,86</w:t>
            </w:r>
          </w:p>
        </w:tc>
        <w:tc>
          <w:tcPr>
            <w:tcW w:w="767" w:type="dxa"/>
            <w:tcBorders>
              <w:top w:val="nil"/>
              <w:bottom w:val="nil"/>
            </w:tcBorders>
          </w:tcPr>
          <w:p>
            <w:pPr>
              <w:pStyle w:val="TableParagraph"/>
              <w:spacing w:before="4"/>
              <w:rPr>
                <w:b/>
                <w:sz w:val="11"/>
              </w:rPr>
            </w:pPr>
          </w:p>
          <w:p>
            <w:pPr>
              <w:pStyle w:val="TableParagraph"/>
              <w:spacing w:before="1"/>
              <w:ind w:right="44"/>
              <w:jc w:val="right"/>
              <w:rPr>
                <w:sz w:val="11"/>
              </w:rPr>
            </w:pPr>
            <w:r>
              <w:rPr>
                <w:w w:val="105"/>
                <w:sz w:val="11"/>
              </w:rPr>
              <w:t>172.611,07</w:t>
            </w:r>
          </w:p>
        </w:tc>
        <w:tc>
          <w:tcPr>
            <w:tcW w:w="977" w:type="dxa"/>
            <w:tcBorders>
              <w:top w:val="nil"/>
              <w:bottom w:val="nil"/>
            </w:tcBorders>
          </w:tcPr>
          <w:p>
            <w:pPr>
              <w:pStyle w:val="TableParagraph"/>
              <w:spacing w:before="4"/>
              <w:rPr>
                <w:b/>
                <w:sz w:val="11"/>
              </w:rPr>
            </w:pPr>
          </w:p>
          <w:p>
            <w:pPr>
              <w:pStyle w:val="TableParagraph"/>
              <w:spacing w:before="1"/>
              <w:ind w:right="45"/>
              <w:jc w:val="right"/>
              <w:rPr>
                <w:sz w:val="11"/>
              </w:rPr>
            </w:pPr>
            <w:r>
              <w:rPr>
                <w:w w:val="105"/>
                <w:sz w:val="11"/>
              </w:rPr>
              <w:t>6.568.875,05</w:t>
            </w:r>
          </w:p>
        </w:tc>
        <w:tc>
          <w:tcPr>
            <w:tcW w:w="1014" w:type="dxa"/>
            <w:tcBorders>
              <w:top w:val="nil"/>
              <w:bottom w:val="nil"/>
            </w:tcBorders>
          </w:tcPr>
          <w:p>
            <w:pPr>
              <w:pStyle w:val="TableParagraph"/>
              <w:spacing w:before="4"/>
              <w:rPr>
                <w:b/>
                <w:sz w:val="11"/>
              </w:rPr>
            </w:pPr>
          </w:p>
          <w:p>
            <w:pPr>
              <w:pStyle w:val="TableParagraph"/>
              <w:spacing w:before="1"/>
              <w:ind w:right="43"/>
              <w:jc w:val="right"/>
              <w:rPr>
                <w:sz w:val="11"/>
              </w:rPr>
            </w:pPr>
            <w:r>
              <w:rPr>
                <w:w w:val="105"/>
                <w:sz w:val="11"/>
              </w:rPr>
              <w:t>124.430,36</w:t>
            </w:r>
          </w:p>
        </w:tc>
        <w:tc>
          <w:tcPr>
            <w:tcW w:w="891" w:type="dxa"/>
            <w:tcBorders>
              <w:top w:val="nil"/>
              <w:bottom w:val="nil"/>
            </w:tcBorders>
          </w:tcPr>
          <w:p>
            <w:pPr>
              <w:pStyle w:val="TableParagraph"/>
              <w:spacing w:before="4"/>
              <w:rPr>
                <w:b/>
                <w:sz w:val="11"/>
              </w:rPr>
            </w:pPr>
          </w:p>
          <w:p>
            <w:pPr>
              <w:pStyle w:val="TableParagraph"/>
              <w:spacing w:before="1"/>
              <w:ind w:right="43"/>
              <w:jc w:val="right"/>
              <w:rPr>
                <w:sz w:val="11"/>
              </w:rPr>
            </w:pPr>
            <w:r>
              <w:rPr>
                <w:w w:val="105"/>
                <w:sz w:val="11"/>
              </w:rPr>
              <w:t>20.502.200,63</w:t>
            </w:r>
          </w:p>
        </w:tc>
        <w:tc>
          <w:tcPr>
            <w:tcW w:w="1088" w:type="dxa"/>
            <w:tcBorders>
              <w:top w:val="nil"/>
              <w:bottom w:val="nil"/>
            </w:tcBorders>
          </w:tcPr>
          <w:p>
            <w:pPr>
              <w:pStyle w:val="TableParagraph"/>
              <w:spacing w:before="4"/>
              <w:rPr>
                <w:b/>
                <w:sz w:val="11"/>
              </w:rPr>
            </w:pPr>
          </w:p>
          <w:p>
            <w:pPr>
              <w:pStyle w:val="TableParagraph"/>
              <w:spacing w:before="1"/>
              <w:ind w:right="42"/>
              <w:jc w:val="right"/>
              <w:rPr>
                <w:sz w:val="11"/>
              </w:rPr>
            </w:pPr>
            <w:r>
              <w:rPr>
                <w:w w:val="105"/>
                <w:sz w:val="11"/>
              </w:rPr>
              <w:t>218.516.977,63</w:t>
            </w:r>
          </w:p>
        </w:tc>
        <w:tc>
          <w:tcPr>
            <w:tcW w:w="1000" w:type="dxa"/>
            <w:tcBorders>
              <w:top w:val="nil"/>
              <w:bottom w:val="nil"/>
            </w:tcBorders>
          </w:tcPr>
          <w:p>
            <w:pPr>
              <w:pStyle w:val="TableParagraph"/>
              <w:spacing w:before="4"/>
              <w:rPr>
                <w:b/>
                <w:sz w:val="11"/>
              </w:rPr>
            </w:pPr>
          </w:p>
          <w:p>
            <w:pPr>
              <w:pStyle w:val="TableParagraph"/>
              <w:spacing w:before="1"/>
              <w:ind w:right="43"/>
              <w:jc w:val="right"/>
              <w:rPr>
                <w:sz w:val="11"/>
              </w:rPr>
            </w:pPr>
            <w:r>
              <w:rPr>
                <w:w w:val="105"/>
                <w:sz w:val="11"/>
              </w:rPr>
              <w:t>116.983.068,76</w:t>
            </w:r>
          </w:p>
        </w:tc>
        <w:tc>
          <w:tcPr>
            <w:tcW w:w="907" w:type="dxa"/>
            <w:tcBorders>
              <w:top w:val="nil"/>
              <w:bottom w:val="nil"/>
            </w:tcBorders>
          </w:tcPr>
          <w:p>
            <w:pPr>
              <w:pStyle w:val="TableParagraph"/>
              <w:spacing w:before="4"/>
              <w:rPr>
                <w:b/>
                <w:sz w:val="11"/>
              </w:rPr>
            </w:pPr>
          </w:p>
          <w:p>
            <w:pPr>
              <w:pStyle w:val="TableParagraph"/>
              <w:spacing w:before="1"/>
              <w:ind w:right="42"/>
              <w:jc w:val="right"/>
              <w:rPr>
                <w:sz w:val="11"/>
              </w:rPr>
            </w:pPr>
            <w:r>
              <w:rPr>
                <w:w w:val="105"/>
                <w:sz w:val="11"/>
              </w:rPr>
              <w:t>2.616.838,08</w:t>
            </w:r>
          </w:p>
        </w:tc>
        <w:tc>
          <w:tcPr>
            <w:tcW w:w="1052" w:type="dxa"/>
            <w:tcBorders>
              <w:top w:val="nil"/>
              <w:bottom w:val="nil"/>
            </w:tcBorders>
          </w:tcPr>
          <w:p>
            <w:pPr>
              <w:pStyle w:val="TableParagraph"/>
              <w:spacing w:before="4"/>
              <w:rPr>
                <w:b/>
                <w:sz w:val="11"/>
              </w:rPr>
            </w:pPr>
          </w:p>
          <w:p>
            <w:pPr>
              <w:pStyle w:val="TableParagraph"/>
              <w:spacing w:before="1"/>
              <w:ind w:right="39"/>
              <w:jc w:val="right"/>
              <w:rPr>
                <w:sz w:val="11"/>
              </w:rPr>
            </w:pPr>
            <w:r>
              <w:rPr>
                <w:w w:val="105"/>
                <w:sz w:val="11"/>
              </w:rPr>
              <w:t>409.761.359,33</w:t>
            </w:r>
          </w:p>
        </w:tc>
        <w:tc>
          <w:tcPr>
            <w:tcW w:w="545" w:type="dxa"/>
            <w:tcBorders>
              <w:top w:val="nil"/>
              <w:bottom w:val="nil"/>
            </w:tcBorders>
          </w:tcPr>
          <w:p>
            <w:pPr>
              <w:pStyle w:val="TableParagraph"/>
              <w:spacing w:before="4"/>
              <w:rPr>
                <w:b/>
                <w:sz w:val="11"/>
              </w:rPr>
            </w:pPr>
          </w:p>
          <w:p>
            <w:pPr>
              <w:pStyle w:val="TableParagraph"/>
              <w:spacing w:before="1"/>
              <w:ind w:left="127" w:right="20"/>
              <w:jc w:val="center"/>
              <w:rPr>
                <w:sz w:val="11"/>
              </w:rPr>
            </w:pPr>
            <w:r>
              <w:rPr>
                <w:w w:val="105"/>
                <w:sz w:val="11"/>
              </w:rPr>
              <w:t>69,76%</w:t>
            </w:r>
          </w:p>
        </w:tc>
      </w:tr>
      <w:tr>
        <w:trPr>
          <w:trHeight w:val="360" w:hRule="atLeast"/>
        </w:trPr>
        <w:tc>
          <w:tcPr>
            <w:tcW w:w="854" w:type="dxa"/>
            <w:tcBorders>
              <w:top w:val="nil"/>
              <w:bottom w:val="nil"/>
            </w:tcBorders>
          </w:tcPr>
          <w:p>
            <w:pPr>
              <w:pStyle w:val="TableParagraph"/>
              <w:spacing w:before="10"/>
              <w:rPr>
                <w:b/>
                <w:sz w:val="10"/>
              </w:rPr>
            </w:pPr>
          </w:p>
          <w:p>
            <w:pPr>
              <w:pStyle w:val="TableParagraph"/>
              <w:ind w:left="52"/>
              <w:rPr>
                <w:sz w:val="12"/>
              </w:rPr>
            </w:pPr>
            <w:r>
              <w:rPr>
                <w:w w:val="105"/>
                <w:sz w:val="12"/>
              </w:rPr>
              <w:t>Servicios</w:t>
            </w:r>
          </w:p>
        </w:tc>
        <w:tc>
          <w:tcPr>
            <w:tcW w:w="876" w:type="dxa"/>
            <w:tcBorders>
              <w:top w:val="nil"/>
              <w:bottom w:val="nil"/>
            </w:tcBorders>
          </w:tcPr>
          <w:p>
            <w:pPr>
              <w:pStyle w:val="TableParagraph"/>
              <w:spacing w:before="3"/>
              <w:rPr>
                <w:b/>
                <w:sz w:val="11"/>
              </w:rPr>
            </w:pPr>
          </w:p>
          <w:p>
            <w:pPr>
              <w:pStyle w:val="TableParagraph"/>
              <w:ind w:left="60" w:right="25"/>
              <w:jc w:val="center"/>
              <w:rPr>
                <w:sz w:val="11"/>
              </w:rPr>
            </w:pPr>
            <w:r>
              <w:rPr>
                <w:w w:val="105"/>
                <w:sz w:val="11"/>
              </w:rPr>
              <w:t>102.734.772,59</w:t>
            </w:r>
          </w:p>
        </w:tc>
        <w:tc>
          <w:tcPr>
            <w:tcW w:w="753" w:type="dxa"/>
            <w:tcBorders>
              <w:top w:val="nil"/>
              <w:bottom w:val="nil"/>
            </w:tcBorders>
          </w:tcPr>
          <w:p>
            <w:pPr>
              <w:pStyle w:val="TableParagraph"/>
              <w:spacing w:before="3"/>
              <w:rPr>
                <w:b/>
                <w:sz w:val="11"/>
              </w:rPr>
            </w:pPr>
          </w:p>
          <w:p>
            <w:pPr>
              <w:pStyle w:val="TableParagraph"/>
              <w:ind w:right="45"/>
              <w:jc w:val="right"/>
              <w:rPr>
                <w:sz w:val="11"/>
              </w:rPr>
            </w:pPr>
            <w:r>
              <w:rPr>
                <w:w w:val="105"/>
                <w:sz w:val="11"/>
              </w:rPr>
              <w:t>1.190.292,11</w:t>
            </w:r>
          </w:p>
        </w:tc>
        <w:tc>
          <w:tcPr>
            <w:tcW w:w="767" w:type="dxa"/>
            <w:tcBorders>
              <w:top w:val="nil"/>
              <w:bottom w:val="nil"/>
            </w:tcBorders>
          </w:tcPr>
          <w:p>
            <w:pPr>
              <w:pStyle w:val="TableParagraph"/>
              <w:spacing w:before="3"/>
              <w:rPr>
                <w:b/>
                <w:sz w:val="11"/>
              </w:rPr>
            </w:pPr>
          </w:p>
          <w:p>
            <w:pPr>
              <w:pStyle w:val="TableParagraph"/>
              <w:ind w:right="44"/>
              <w:jc w:val="right"/>
              <w:rPr>
                <w:sz w:val="11"/>
              </w:rPr>
            </w:pPr>
            <w:r>
              <w:rPr>
                <w:w w:val="105"/>
                <w:sz w:val="11"/>
              </w:rPr>
              <w:t>85.029,69</w:t>
            </w:r>
          </w:p>
        </w:tc>
        <w:tc>
          <w:tcPr>
            <w:tcW w:w="977" w:type="dxa"/>
            <w:tcBorders>
              <w:top w:val="nil"/>
              <w:bottom w:val="nil"/>
            </w:tcBorders>
          </w:tcPr>
          <w:p>
            <w:pPr>
              <w:pStyle w:val="TableParagraph"/>
              <w:spacing w:before="3"/>
              <w:rPr>
                <w:b/>
                <w:sz w:val="11"/>
              </w:rPr>
            </w:pPr>
          </w:p>
          <w:p>
            <w:pPr>
              <w:pStyle w:val="TableParagraph"/>
              <w:ind w:right="45"/>
              <w:jc w:val="right"/>
              <w:rPr>
                <w:sz w:val="11"/>
              </w:rPr>
            </w:pPr>
            <w:r>
              <w:rPr>
                <w:w w:val="105"/>
                <w:sz w:val="11"/>
              </w:rPr>
              <w:t>8.667,00</w:t>
            </w:r>
          </w:p>
        </w:tc>
        <w:tc>
          <w:tcPr>
            <w:tcW w:w="1014" w:type="dxa"/>
            <w:tcBorders>
              <w:top w:val="nil"/>
              <w:bottom w:val="nil"/>
            </w:tcBorders>
          </w:tcPr>
          <w:p>
            <w:pPr>
              <w:pStyle w:val="TableParagraph"/>
              <w:spacing w:before="3"/>
              <w:rPr>
                <w:b/>
                <w:sz w:val="11"/>
              </w:rPr>
            </w:pPr>
          </w:p>
          <w:p>
            <w:pPr>
              <w:pStyle w:val="TableParagraph"/>
              <w:ind w:right="43"/>
              <w:jc w:val="right"/>
              <w:rPr>
                <w:sz w:val="11"/>
              </w:rPr>
            </w:pPr>
            <w:r>
              <w:rPr>
                <w:w w:val="105"/>
                <w:sz w:val="11"/>
              </w:rPr>
              <w:t>116.753,25</w:t>
            </w:r>
          </w:p>
        </w:tc>
        <w:tc>
          <w:tcPr>
            <w:tcW w:w="891" w:type="dxa"/>
            <w:tcBorders>
              <w:top w:val="nil"/>
              <w:bottom w:val="nil"/>
            </w:tcBorders>
          </w:tcPr>
          <w:p>
            <w:pPr>
              <w:pStyle w:val="TableParagraph"/>
              <w:spacing w:before="3"/>
              <w:rPr>
                <w:b/>
                <w:sz w:val="11"/>
              </w:rPr>
            </w:pPr>
          </w:p>
          <w:p>
            <w:pPr>
              <w:pStyle w:val="TableParagraph"/>
              <w:ind w:right="43"/>
              <w:jc w:val="right"/>
              <w:rPr>
                <w:sz w:val="11"/>
              </w:rPr>
            </w:pPr>
            <w:r>
              <w:rPr>
                <w:w w:val="105"/>
                <w:sz w:val="11"/>
              </w:rPr>
              <w:t>15.304.187,57</w:t>
            </w:r>
          </w:p>
        </w:tc>
        <w:tc>
          <w:tcPr>
            <w:tcW w:w="1088" w:type="dxa"/>
            <w:tcBorders>
              <w:top w:val="nil"/>
              <w:bottom w:val="nil"/>
            </w:tcBorders>
          </w:tcPr>
          <w:p>
            <w:pPr>
              <w:pStyle w:val="TableParagraph"/>
              <w:spacing w:before="3"/>
              <w:rPr>
                <w:b/>
                <w:sz w:val="11"/>
              </w:rPr>
            </w:pPr>
          </w:p>
          <w:p>
            <w:pPr>
              <w:pStyle w:val="TableParagraph"/>
              <w:ind w:right="43"/>
              <w:jc w:val="right"/>
              <w:rPr>
                <w:sz w:val="11"/>
              </w:rPr>
            </w:pPr>
            <w:r>
              <w:rPr>
                <w:w w:val="105"/>
                <w:sz w:val="11"/>
              </w:rPr>
              <w:t>2.480.182,07</w:t>
            </w:r>
          </w:p>
        </w:tc>
        <w:tc>
          <w:tcPr>
            <w:tcW w:w="1000" w:type="dxa"/>
            <w:tcBorders>
              <w:top w:val="nil"/>
              <w:bottom w:val="nil"/>
            </w:tcBorders>
          </w:tcPr>
          <w:p>
            <w:pPr>
              <w:pStyle w:val="TableParagraph"/>
              <w:spacing w:before="3"/>
              <w:rPr>
                <w:b/>
                <w:sz w:val="11"/>
              </w:rPr>
            </w:pPr>
          </w:p>
          <w:p>
            <w:pPr>
              <w:pStyle w:val="TableParagraph"/>
              <w:ind w:right="43"/>
              <w:jc w:val="right"/>
              <w:rPr>
                <w:sz w:val="11"/>
              </w:rPr>
            </w:pPr>
            <w:r>
              <w:rPr>
                <w:w w:val="105"/>
                <w:sz w:val="11"/>
              </w:rPr>
              <w:t>12.173.778,11</w:t>
            </w:r>
          </w:p>
        </w:tc>
        <w:tc>
          <w:tcPr>
            <w:tcW w:w="907" w:type="dxa"/>
            <w:tcBorders>
              <w:top w:val="nil"/>
              <w:bottom w:val="nil"/>
            </w:tcBorders>
          </w:tcPr>
          <w:p>
            <w:pPr>
              <w:pStyle w:val="TableParagraph"/>
              <w:spacing w:before="3"/>
              <w:rPr>
                <w:b/>
                <w:sz w:val="11"/>
              </w:rPr>
            </w:pPr>
          </w:p>
          <w:p>
            <w:pPr>
              <w:pStyle w:val="TableParagraph"/>
              <w:ind w:right="42"/>
              <w:jc w:val="right"/>
              <w:rPr>
                <w:sz w:val="11"/>
              </w:rPr>
            </w:pPr>
            <w:r>
              <w:rPr>
                <w:w w:val="105"/>
                <w:sz w:val="11"/>
              </w:rPr>
              <w:t>7.095.610,86</w:t>
            </w:r>
          </w:p>
        </w:tc>
        <w:tc>
          <w:tcPr>
            <w:tcW w:w="1052" w:type="dxa"/>
            <w:tcBorders>
              <w:top w:val="nil"/>
              <w:bottom w:val="nil"/>
            </w:tcBorders>
          </w:tcPr>
          <w:p>
            <w:pPr>
              <w:pStyle w:val="TableParagraph"/>
              <w:spacing w:before="3"/>
              <w:rPr>
                <w:b/>
                <w:sz w:val="11"/>
              </w:rPr>
            </w:pPr>
          </w:p>
          <w:p>
            <w:pPr>
              <w:pStyle w:val="TableParagraph"/>
              <w:ind w:right="39"/>
              <w:jc w:val="right"/>
              <w:rPr>
                <w:sz w:val="11"/>
              </w:rPr>
            </w:pPr>
            <w:r>
              <w:rPr>
                <w:w w:val="105"/>
                <w:sz w:val="11"/>
              </w:rPr>
              <w:t>141.189.273,25</w:t>
            </w:r>
          </w:p>
        </w:tc>
        <w:tc>
          <w:tcPr>
            <w:tcW w:w="545" w:type="dxa"/>
            <w:tcBorders>
              <w:top w:val="nil"/>
              <w:bottom w:val="nil"/>
            </w:tcBorders>
          </w:tcPr>
          <w:p>
            <w:pPr>
              <w:pStyle w:val="TableParagraph"/>
              <w:spacing w:before="3"/>
              <w:rPr>
                <w:b/>
                <w:sz w:val="11"/>
              </w:rPr>
            </w:pPr>
          </w:p>
          <w:p>
            <w:pPr>
              <w:pStyle w:val="TableParagraph"/>
              <w:ind w:left="127" w:right="20"/>
              <w:jc w:val="center"/>
              <w:rPr>
                <w:sz w:val="11"/>
              </w:rPr>
            </w:pPr>
            <w:r>
              <w:rPr>
                <w:w w:val="105"/>
                <w:sz w:val="11"/>
              </w:rPr>
              <w:t>24,04%</w:t>
            </w:r>
          </w:p>
        </w:tc>
      </w:tr>
      <w:tr>
        <w:trPr>
          <w:trHeight w:val="220" w:hRule="atLeast"/>
        </w:trPr>
        <w:tc>
          <w:tcPr>
            <w:tcW w:w="854" w:type="dxa"/>
            <w:tcBorders>
              <w:top w:val="nil"/>
              <w:bottom w:val="nil"/>
            </w:tcBorders>
          </w:tcPr>
          <w:p>
            <w:pPr>
              <w:pStyle w:val="TableParagraph"/>
              <w:spacing w:line="139" w:lineRule="exact" w:before="62"/>
              <w:ind w:left="52"/>
              <w:rPr>
                <w:sz w:val="12"/>
              </w:rPr>
            </w:pPr>
            <w:r>
              <w:rPr>
                <w:w w:val="105"/>
                <w:sz w:val="12"/>
              </w:rPr>
              <w:t>Gestión de</w:t>
            </w:r>
          </w:p>
        </w:tc>
        <w:tc>
          <w:tcPr>
            <w:tcW w:w="876" w:type="dxa"/>
            <w:tcBorders>
              <w:top w:val="nil"/>
              <w:bottom w:val="nil"/>
            </w:tcBorders>
          </w:tcPr>
          <w:p>
            <w:pPr>
              <w:pStyle w:val="TableParagraph"/>
              <w:rPr>
                <w:rFonts w:ascii="Times New Roman"/>
                <w:sz w:val="10"/>
              </w:rPr>
            </w:pPr>
          </w:p>
        </w:tc>
        <w:tc>
          <w:tcPr>
            <w:tcW w:w="753" w:type="dxa"/>
            <w:tcBorders>
              <w:top w:val="nil"/>
              <w:bottom w:val="nil"/>
            </w:tcBorders>
          </w:tcPr>
          <w:p>
            <w:pPr>
              <w:pStyle w:val="TableParagraph"/>
              <w:rPr>
                <w:rFonts w:ascii="Times New Roman"/>
                <w:sz w:val="10"/>
              </w:rPr>
            </w:pPr>
          </w:p>
        </w:tc>
        <w:tc>
          <w:tcPr>
            <w:tcW w:w="767" w:type="dxa"/>
            <w:tcBorders>
              <w:top w:val="nil"/>
              <w:bottom w:val="nil"/>
            </w:tcBorders>
          </w:tcPr>
          <w:p>
            <w:pPr>
              <w:pStyle w:val="TableParagraph"/>
              <w:rPr>
                <w:rFonts w:ascii="Times New Roman"/>
                <w:sz w:val="10"/>
              </w:rPr>
            </w:pPr>
          </w:p>
        </w:tc>
        <w:tc>
          <w:tcPr>
            <w:tcW w:w="977" w:type="dxa"/>
            <w:tcBorders>
              <w:top w:val="nil"/>
              <w:bottom w:val="nil"/>
            </w:tcBorders>
          </w:tcPr>
          <w:p>
            <w:pPr>
              <w:pStyle w:val="TableParagraph"/>
              <w:rPr>
                <w:rFonts w:ascii="Times New Roman"/>
                <w:sz w:val="10"/>
              </w:rPr>
            </w:pPr>
          </w:p>
        </w:tc>
        <w:tc>
          <w:tcPr>
            <w:tcW w:w="1014" w:type="dxa"/>
            <w:tcBorders>
              <w:top w:val="nil"/>
              <w:bottom w:val="nil"/>
            </w:tcBorders>
          </w:tcPr>
          <w:p>
            <w:pPr>
              <w:pStyle w:val="TableParagraph"/>
              <w:rPr>
                <w:rFonts w:ascii="Times New Roman"/>
                <w:sz w:val="10"/>
              </w:rPr>
            </w:pPr>
          </w:p>
        </w:tc>
        <w:tc>
          <w:tcPr>
            <w:tcW w:w="891" w:type="dxa"/>
            <w:tcBorders>
              <w:top w:val="nil"/>
              <w:bottom w:val="nil"/>
            </w:tcBorders>
          </w:tcPr>
          <w:p>
            <w:pPr>
              <w:pStyle w:val="TableParagraph"/>
              <w:rPr>
                <w:rFonts w:ascii="Times New Roman"/>
                <w:sz w:val="10"/>
              </w:rPr>
            </w:pPr>
          </w:p>
        </w:tc>
        <w:tc>
          <w:tcPr>
            <w:tcW w:w="1088" w:type="dxa"/>
            <w:tcBorders>
              <w:top w:val="nil"/>
              <w:bottom w:val="nil"/>
            </w:tcBorders>
          </w:tcPr>
          <w:p>
            <w:pPr>
              <w:pStyle w:val="TableParagraph"/>
              <w:rPr>
                <w:rFonts w:ascii="Times New Roman"/>
                <w:sz w:val="10"/>
              </w:rPr>
            </w:pPr>
          </w:p>
        </w:tc>
        <w:tc>
          <w:tcPr>
            <w:tcW w:w="1000" w:type="dxa"/>
            <w:tcBorders>
              <w:top w:val="nil"/>
              <w:bottom w:val="nil"/>
            </w:tcBorders>
          </w:tcPr>
          <w:p>
            <w:pPr>
              <w:pStyle w:val="TableParagraph"/>
              <w:rPr>
                <w:rFonts w:ascii="Times New Roman"/>
                <w:sz w:val="10"/>
              </w:rPr>
            </w:pPr>
          </w:p>
        </w:tc>
        <w:tc>
          <w:tcPr>
            <w:tcW w:w="907" w:type="dxa"/>
            <w:tcBorders>
              <w:top w:val="nil"/>
              <w:bottom w:val="nil"/>
            </w:tcBorders>
          </w:tcPr>
          <w:p>
            <w:pPr>
              <w:pStyle w:val="TableParagraph"/>
              <w:rPr>
                <w:rFonts w:ascii="Times New Roman"/>
                <w:sz w:val="10"/>
              </w:rPr>
            </w:pPr>
          </w:p>
        </w:tc>
        <w:tc>
          <w:tcPr>
            <w:tcW w:w="1052" w:type="dxa"/>
            <w:tcBorders>
              <w:top w:val="nil"/>
              <w:bottom w:val="nil"/>
            </w:tcBorders>
          </w:tcPr>
          <w:p>
            <w:pPr>
              <w:pStyle w:val="TableParagraph"/>
              <w:rPr>
                <w:rFonts w:ascii="Times New Roman"/>
                <w:sz w:val="10"/>
              </w:rPr>
            </w:pPr>
          </w:p>
        </w:tc>
        <w:tc>
          <w:tcPr>
            <w:tcW w:w="545" w:type="dxa"/>
            <w:tcBorders>
              <w:top w:val="nil"/>
              <w:bottom w:val="nil"/>
            </w:tcBorders>
          </w:tcPr>
          <w:p>
            <w:pPr>
              <w:pStyle w:val="TableParagraph"/>
              <w:rPr>
                <w:rFonts w:ascii="Times New Roman"/>
                <w:sz w:val="10"/>
              </w:rPr>
            </w:pPr>
          </w:p>
        </w:tc>
      </w:tr>
      <w:tr>
        <w:trPr>
          <w:trHeight w:val="151" w:hRule="atLeast"/>
        </w:trPr>
        <w:tc>
          <w:tcPr>
            <w:tcW w:w="854" w:type="dxa"/>
            <w:tcBorders>
              <w:top w:val="nil"/>
              <w:bottom w:val="nil"/>
            </w:tcBorders>
          </w:tcPr>
          <w:p>
            <w:pPr>
              <w:pStyle w:val="TableParagraph"/>
              <w:spacing w:line="132" w:lineRule="exact"/>
              <w:ind w:left="52"/>
              <w:rPr>
                <w:sz w:val="12"/>
              </w:rPr>
            </w:pPr>
            <w:r>
              <w:rPr>
                <w:w w:val="105"/>
                <w:sz w:val="12"/>
              </w:rPr>
              <w:t>servicios</w:t>
            </w:r>
          </w:p>
        </w:tc>
        <w:tc>
          <w:tcPr>
            <w:tcW w:w="876" w:type="dxa"/>
            <w:tcBorders>
              <w:top w:val="nil"/>
              <w:bottom w:val="nil"/>
            </w:tcBorders>
          </w:tcPr>
          <w:p>
            <w:pPr>
              <w:pStyle w:val="TableParagraph"/>
              <w:spacing w:line="132" w:lineRule="exact"/>
              <w:ind w:left="123" w:right="29"/>
              <w:jc w:val="center"/>
              <w:rPr>
                <w:sz w:val="11"/>
              </w:rPr>
            </w:pPr>
            <w:r>
              <w:rPr>
                <w:w w:val="105"/>
                <w:sz w:val="11"/>
              </w:rPr>
              <w:t>14.472.978,06</w:t>
            </w:r>
          </w:p>
        </w:tc>
        <w:tc>
          <w:tcPr>
            <w:tcW w:w="753" w:type="dxa"/>
            <w:tcBorders>
              <w:top w:val="nil"/>
              <w:bottom w:val="nil"/>
            </w:tcBorders>
          </w:tcPr>
          <w:p>
            <w:pPr>
              <w:pStyle w:val="TableParagraph"/>
              <w:spacing w:line="132" w:lineRule="exact"/>
              <w:ind w:right="43"/>
              <w:jc w:val="right"/>
              <w:rPr>
                <w:sz w:val="11"/>
              </w:rPr>
            </w:pPr>
            <w:r>
              <w:rPr>
                <w:w w:val="105"/>
                <w:sz w:val="11"/>
              </w:rPr>
              <w:t>0,00</w:t>
            </w:r>
          </w:p>
        </w:tc>
        <w:tc>
          <w:tcPr>
            <w:tcW w:w="767" w:type="dxa"/>
            <w:tcBorders>
              <w:top w:val="nil"/>
              <w:bottom w:val="nil"/>
            </w:tcBorders>
          </w:tcPr>
          <w:p>
            <w:pPr>
              <w:pStyle w:val="TableParagraph"/>
              <w:spacing w:line="132" w:lineRule="exact"/>
              <w:ind w:right="43"/>
              <w:jc w:val="right"/>
              <w:rPr>
                <w:sz w:val="11"/>
              </w:rPr>
            </w:pPr>
            <w:r>
              <w:rPr>
                <w:w w:val="105"/>
                <w:sz w:val="11"/>
              </w:rPr>
              <w:t>0,00</w:t>
            </w:r>
          </w:p>
        </w:tc>
        <w:tc>
          <w:tcPr>
            <w:tcW w:w="977" w:type="dxa"/>
            <w:tcBorders>
              <w:top w:val="nil"/>
              <w:bottom w:val="nil"/>
            </w:tcBorders>
          </w:tcPr>
          <w:p>
            <w:pPr>
              <w:pStyle w:val="TableParagraph"/>
              <w:spacing w:line="132" w:lineRule="exact"/>
              <w:ind w:right="44"/>
              <w:jc w:val="right"/>
              <w:rPr>
                <w:sz w:val="11"/>
              </w:rPr>
            </w:pPr>
            <w:r>
              <w:rPr>
                <w:w w:val="105"/>
                <w:sz w:val="11"/>
              </w:rPr>
              <w:t>0,00</w:t>
            </w:r>
          </w:p>
        </w:tc>
        <w:tc>
          <w:tcPr>
            <w:tcW w:w="1014" w:type="dxa"/>
            <w:tcBorders>
              <w:top w:val="nil"/>
              <w:bottom w:val="nil"/>
            </w:tcBorders>
          </w:tcPr>
          <w:p>
            <w:pPr>
              <w:pStyle w:val="TableParagraph"/>
              <w:spacing w:line="132" w:lineRule="exact"/>
              <w:ind w:right="42"/>
              <w:jc w:val="right"/>
              <w:rPr>
                <w:sz w:val="11"/>
              </w:rPr>
            </w:pPr>
            <w:r>
              <w:rPr>
                <w:w w:val="105"/>
                <w:sz w:val="11"/>
              </w:rPr>
              <w:t>0,00</w:t>
            </w:r>
          </w:p>
        </w:tc>
        <w:tc>
          <w:tcPr>
            <w:tcW w:w="891" w:type="dxa"/>
            <w:tcBorders>
              <w:top w:val="nil"/>
              <w:bottom w:val="nil"/>
            </w:tcBorders>
          </w:tcPr>
          <w:p>
            <w:pPr>
              <w:pStyle w:val="TableParagraph"/>
              <w:spacing w:line="132" w:lineRule="exact"/>
              <w:ind w:right="41"/>
              <w:jc w:val="right"/>
              <w:rPr>
                <w:sz w:val="11"/>
              </w:rPr>
            </w:pPr>
            <w:r>
              <w:rPr>
                <w:w w:val="105"/>
                <w:sz w:val="11"/>
              </w:rPr>
              <w:t>0,00</w:t>
            </w:r>
          </w:p>
        </w:tc>
        <w:tc>
          <w:tcPr>
            <w:tcW w:w="1088" w:type="dxa"/>
            <w:tcBorders>
              <w:top w:val="nil"/>
              <w:bottom w:val="nil"/>
            </w:tcBorders>
          </w:tcPr>
          <w:p>
            <w:pPr>
              <w:pStyle w:val="TableParagraph"/>
              <w:spacing w:line="132" w:lineRule="exact"/>
              <w:ind w:right="41"/>
              <w:jc w:val="right"/>
              <w:rPr>
                <w:sz w:val="11"/>
              </w:rPr>
            </w:pPr>
            <w:r>
              <w:rPr>
                <w:w w:val="105"/>
                <w:sz w:val="11"/>
              </w:rPr>
              <w:t>0,00</w:t>
            </w:r>
          </w:p>
        </w:tc>
        <w:tc>
          <w:tcPr>
            <w:tcW w:w="1000" w:type="dxa"/>
            <w:tcBorders>
              <w:top w:val="nil"/>
              <w:bottom w:val="nil"/>
            </w:tcBorders>
          </w:tcPr>
          <w:p>
            <w:pPr>
              <w:pStyle w:val="TableParagraph"/>
              <w:spacing w:line="132" w:lineRule="exact"/>
              <w:ind w:right="42"/>
              <w:jc w:val="right"/>
              <w:rPr>
                <w:sz w:val="11"/>
              </w:rPr>
            </w:pPr>
            <w:r>
              <w:rPr>
                <w:w w:val="105"/>
                <w:sz w:val="11"/>
              </w:rPr>
              <w:t>0,00</w:t>
            </w:r>
          </w:p>
        </w:tc>
        <w:tc>
          <w:tcPr>
            <w:tcW w:w="907" w:type="dxa"/>
            <w:tcBorders>
              <w:top w:val="nil"/>
              <w:bottom w:val="nil"/>
            </w:tcBorders>
          </w:tcPr>
          <w:p>
            <w:pPr>
              <w:pStyle w:val="TableParagraph"/>
              <w:spacing w:line="132" w:lineRule="exact"/>
              <w:ind w:right="40"/>
              <w:jc w:val="right"/>
              <w:rPr>
                <w:sz w:val="11"/>
              </w:rPr>
            </w:pPr>
            <w:r>
              <w:rPr>
                <w:w w:val="105"/>
                <w:sz w:val="11"/>
              </w:rPr>
              <w:t>0,00</w:t>
            </w:r>
          </w:p>
        </w:tc>
        <w:tc>
          <w:tcPr>
            <w:tcW w:w="1052" w:type="dxa"/>
            <w:tcBorders>
              <w:top w:val="nil"/>
              <w:bottom w:val="nil"/>
            </w:tcBorders>
          </w:tcPr>
          <w:p>
            <w:pPr>
              <w:pStyle w:val="TableParagraph"/>
              <w:spacing w:line="132" w:lineRule="exact"/>
              <w:ind w:right="39"/>
              <w:jc w:val="right"/>
              <w:rPr>
                <w:sz w:val="11"/>
              </w:rPr>
            </w:pPr>
            <w:r>
              <w:rPr>
                <w:w w:val="105"/>
                <w:sz w:val="11"/>
              </w:rPr>
              <w:t>14.472.978,06</w:t>
            </w:r>
          </w:p>
        </w:tc>
        <w:tc>
          <w:tcPr>
            <w:tcW w:w="545" w:type="dxa"/>
            <w:tcBorders>
              <w:top w:val="nil"/>
              <w:bottom w:val="nil"/>
            </w:tcBorders>
          </w:tcPr>
          <w:p>
            <w:pPr>
              <w:pStyle w:val="TableParagraph"/>
              <w:spacing w:line="132" w:lineRule="exact"/>
              <w:ind w:left="187" w:right="20"/>
              <w:jc w:val="center"/>
              <w:rPr>
                <w:sz w:val="11"/>
              </w:rPr>
            </w:pPr>
            <w:r>
              <w:rPr>
                <w:w w:val="105"/>
                <w:sz w:val="11"/>
              </w:rPr>
              <w:t>2,46%</w:t>
            </w:r>
          </w:p>
        </w:tc>
      </w:tr>
      <w:tr>
        <w:trPr>
          <w:trHeight w:val="139" w:hRule="atLeast"/>
        </w:trPr>
        <w:tc>
          <w:tcPr>
            <w:tcW w:w="854" w:type="dxa"/>
            <w:tcBorders>
              <w:top w:val="nil"/>
              <w:bottom w:val="nil"/>
            </w:tcBorders>
          </w:tcPr>
          <w:p>
            <w:pPr>
              <w:pStyle w:val="TableParagraph"/>
              <w:spacing w:line="120" w:lineRule="exact"/>
              <w:ind w:left="52"/>
              <w:rPr>
                <w:sz w:val="12"/>
              </w:rPr>
            </w:pPr>
            <w:r>
              <w:rPr>
                <w:w w:val="105"/>
                <w:sz w:val="12"/>
              </w:rPr>
              <w:t>públicos</w:t>
            </w:r>
          </w:p>
        </w:tc>
        <w:tc>
          <w:tcPr>
            <w:tcW w:w="876" w:type="dxa"/>
            <w:tcBorders>
              <w:top w:val="nil"/>
            </w:tcBorders>
          </w:tcPr>
          <w:p>
            <w:pPr>
              <w:pStyle w:val="TableParagraph"/>
              <w:rPr>
                <w:rFonts w:ascii="Times New Roman"/>
                <w:sz w:val="8"/>
              </w:rPr>
            </w:pPr>
          </w:p>
        </w:tc>
        <w:tc>
          <w:tcPr>
            <w:tcW w:w="753" w:type="dxa"/>
            <w:tcBorders>
              <w:top w:val="nil"/>
            </w:tcBorders>
          </w:tcPr>
          <w:p>
            <w:pPr>
              <w:pStyle w:val="TableParagraph"/>
              <w:rPr>
                <w:rFonts w:ascii="Times New Roman"/>
                <w:sz w:val="8"/>
              </w:rPr>
            </w:pPr>
          </w:p>
        </w:tc>
        <w:tc>
          <w:tcPr>
            <w:tcW w:w="767" w:type="dxa"/>
            <w:tcBorders>
              <w:top w:val="nil"/>
            </w:tcBorders>
          </w:tcPr>
          <w:p>
            <w:pPr>
              <w:pStyle w:val="TableParagraph"/>
              <w:rPr>
                <w:rFonts w:ascii="Times New Roman"/>
                <w:sz w:val="8"/>
              </w:rPr>
            </w:pPr>
          </w:p>
        </w:tc>
        <w:tc>
          <w:tcPr>
            <w:tcW w:w="977" w:type="dxa"/>
            <w:tcBorders>
              <w:top w:val="nil"/>
            </w:tcBorders>
          </w:tcPr>
          <w:p>
            <w:pPr>
              <w:pStyle w:val="TableParagraph"/>
              <w:rPr>
                <w:rFonts w:ascii="Times New Roman"/>
                <w:sz w:val="8"/>
              </w:rPr>
            </w:pPr>
          </w:p>
        </w:tc>
        <w:tc>
          <w:tcPr>
            <w:tcW w:w="1014" w:type="dxa"/>
            <w:tcBorders>
              <w:top w:val="nil"/>
            </w:tcBorders>
          </w:tcPr>
          <w:p>
            <w:pPr>
              <w:pStyle w:val="TableParagraph"/>
              <w:rPr>
                <w:rFonts w:ascii="Times New Roman"/>
                <w:sz w:val="8"/>
              </w:rPr>
            </w:pPr>
          </w:p>
        </w:tc>
        <w:tc>
          <w:tcPr>
            <w:tcW w:w="891" w:type="dxa"/>
            <w:tcBorders>
              <w:top w:val="nil"/>
            </w:tcBorders>
          </w:tcPr>
          <w:p>
            <w:pPr>
              <w:pStyle w:val="TableParagraph"/>
              <w:rPr>
                <w:rFonts w:ascii="Times New Roman"/>
                <w:sz w:val="8"/>
              </w:rPr>
            </w:pPr>
          </w:p>
        </w:tc>
        <w:tc>
          <w:tcPr>
            <w:tcW w:w="1088" w:type="dxa"/>
            <w:tcBorders>
              <w:top w:val="nil"/>
            </w:tcBorders>
          </w:tcPr>
          <w:p>
            <w:pPr>
              <w:pStyle w:val="TableParagraph"/>
              <w:rPr>
                <w:rFonts w:ascii="Times New Roman"/>
                <w:sz w:val="8"/>
              </w:rPr>
            </w:pPr>
          </w:p>
        </w:tc>
        <w:tc>
          <w:tcPr>
            <w:tcW w:w="1000" w:type="dxa"/>
            <w:tcBorders>
              <w:top w:val="nil"/>
            </w:tcBorders>
          </w:tcPr>
          <w:p>
            <w:pPr>
              <w:pStyle w:val="TableParagraph"/>
              <w:rPr>
                <w:rFonts w:ascii="Times New Roman"/>
                <w:sz w:val="8"/>
              </w:rPr>
            </w:pPr>
          </w:p>
        </w:tc>
        <w:tc>
          <w:tcPr>
            <w:tcW w:w="907" w:type="dxa"/>
            <w:tcBorders>
              <w:top w:val="nil"/>
            </w:tcBorders>
          </w:tcPr>
          <w:p>
            <w:pPr>
              <w:pStyle w:val="TableParagraph"/>
              <w:rPr>
                <w:rFonts w:ascii="Times New Roman"/>
                <w:sz w:val="8"/>
              </w:rPr>
            </w:pPr>
          </w:p>
        </w:tc>
        <w:tc>
          <w:tcPr>
            <w:tcW w:w="1052" w:type="dxa"/>
            <w:tcBorders>
              <w:top w:val="nil"/>
            </w:tcBorders>
          </w:tcPr>
          <w:p>
            <w:pPr>
              <w:pStyle w:val="TableParagraph"/>
              <w:rPr>
                <w:rFonts w:ascii="Times New Roman"/>
                <w:sz w:val="8"/>
              </w:rPr>
            </w:pPr>
          </w:p>
        </w:tc>
        <w:tc>
          <w:tcPr>
            <w:tcW w:w="545" w:type="dxa"/>
            <w:tcBorders>
              <w:top w:val="nil"/>
            </w:tcBorders>
          </w:tcPr>
          <w:p>
            <w:pPr>
              <w:pStyle w:val="TableParagraph"/>
              <w:rPr>
                <w:rFonts w:ascii="Times New Roman"/>
                <w:sz w:val="8"/>
              </w:rPr>
            </w:pPr>
          </w:p>
        </w:tc>
      </w:tr>
      <w:tr>
        <w:trPr>
          <w:trHeight w:val="428" w:hRule="atLeast"/>
        </w:trPr>
        <w:tc>
          <w:tcPr>
            <w:tcW w:w="854" w:type="dxa"/>
            <w:tcBorders>
              <w:top w:val="nil"/>
            </w:tcBorders>
          </w:tcPr>
          <w:p>
            <w:pPr>
              <w:pStyle w:val="TableParagraph"/>
              <w:spacing w:before="7"/>
              <w:rPr>
                <w:b/>
                <w:sz w:val="11"/>
              </w:rPr>
            </w:pPr>
          </w:p>
          <w:p>
            <w:pPr>
              <w:pStyle w:val="TableParagraph"/>
              <w:ind w:left="52"/>
              <w:rPr>
                <w:b/>
                <w:sz w:val="12"/>
              </w:rPr>
            </w:pPr>
            <w:r>
              <w:rPr>
                <w:b/>
                <w:w w:val="105"/>
                <w:sz w:val="12"/>
              </w:rPr>
              <w:t>Total (</w:t>
            </w:r>
            <w:r>
              <w:rPr>
                <w:w w:val="105"/>
                <w:sz w:val="12"/>
              </w:rPr>
              <w:t>euros</w:t>
            </w:r>
            <w:r>
              <w:rPr>
                <w:b/>
                <w:w w:val="105"/>
                <w:sz w:val="12"/>
              </w:rPr>
              <w:t>)</w:t>
            </w:r>
          </w:p>
        </w:tc>
        <w:tc>
          <w:tcPr>
            <w:tcW w:w="876" w:type="dxa"/>
          </w:tcPr>
          <w:p>
            <w:pPr>
              <w:pStyle w:val="TableParagraph"/>
              <w:spacing w:before="1"/>
              <w:rPr>
                <w:b/>
                <w:sz w:val="12"/>
              </w:rPr>
            </w:pPr>
          </w:p>
          <w:p>
            <w:pPr>
              <w:pStyle w:val="TableParagraph"/>
              <w:ind w:left="60" w:right="29"/>
              <w:jc w:val="center"/>
              <w:rPr>
                <w:b/>
                <w:sz w:val="11"/>
              </w:rPr>
            </w:pPr>
            <w:r>
              <w:rPr>
                <w:b/>
                <w:w w:val="105"/>
                <w:sz w:val="11"/>
              </w:rPr>
              <w:t>170.653.349,40</w:t>
            </w:r>
          </w:p>
        </w:tc>
        <w:tc>
          <w:tcPr>
            <w:tcW w:w="753" w:type="dxa"/>
          </w:tcPr>
          <w:p>
            <w:pPr>
              <w:pStyle w:val="TableParagraph"/>
              <w:spacing w:before="1"/>
              <w:rPr>
                <w:b/>
                <w:sz w:val="12"/>
              </w:rPr>
            </w:pPr>
          </w:p>
          <w:p>
            <w:pPr>
              <w:pStyle w:val="TableParagraph"/>
              <w:ind w:right="44"/>
              <w:jc w:val="right"/>
              <w:rPr>
                <w:b/>
                <w:sz w:val="11"/>
              </w:rPr>
            </w:pPr>
            <w:r>
              <w:rPr>
                <w:b/>
                <w:w w:val="105"/>
                <w:sz w:val="11"/>
              </w:rPr>
              <w:t>3.684.496,84</w:t>
            </w:r>
          </w:p>
        </w:tc>
        <w:tc>
          <w:tcPr>
            <w:tcW w:w="767" w:type="dxa"/>
          </w:tcPr>
          <w:p>
            <w:pPr>
              <w:pStyle w:val="TableParagraph"/>
              <w:spacing w:before="1"/>
              <w:rPr>
                <w:b/>
                <w:sz w:val="12"/>
              </w:rPr>
            </w:pPr>
          </w:p>
          <w:p>
            <w:pPr>
              <w:pStyle w:val="TableParagraph"/>
              <w:ind w:right="44"/>
              <w:jc w:val="right"/>
              <w:rPr>
                <w:b/>
                <w:sz w:val="11"/>
              </w:rPr>
            </w:pPr>
            <w:r>
              <w:rPr>
                <w:b/>
                <w:w w:val="105"/>
                <w:sz w:val="11"/>
              </w:rPr>
              <w:t>257.640,76</w:t>
            </w:r>
          </w:p>
        </w:tc>
        <w:tc>
          <w:tcPr>
            <w:tcW w:w="977" w:type="dxa"/>
          </w:tcPr>
          <w:p>
            <w:pPr>
              <w:pStyle w:val="TableParagraph"/>
              <w:spacing w:before="1"/>
              <w:rPr>
                <w:b/>
                <w:sz w:val="12"/>
              </w:rPr>
            </w:pPr>
          </w:p>
          <w:p>
            <w:pPr>
              <w:pStyle w:val="TableParagraph"/>
              <w:ind w:right="45"/>
              <w:jc w:val="right"/>
              <w:rPr>
                <w:b/>
                <w:sz w:val="11"/>
              </w:rPr>
            </w:pPr>
            <w:r>
              <w:rPr>
                <w:b/>
                <w:w w:val="105"/>
                <w:sz w:val="11"/>
              </w:rPr>
              <w:t>6.577.542,05</w:t>
            </w:r>
          </w:p>
        </w:tc>
        <w:tc>
          <w:tcPr>
            <w:tcW w:w="1014" w:type="dxa"/>
          </w:tcPr>
          <w:p>
            <w:pPr>
              <w:pStyle w:val="TableParagraph"/>
              <w:spacing w:before="1"/>
              <w:rPr>
                <w:b/>
                <w:sz w:val="12"/>
              </w:rPr>
            </w:pPr>
          </w:p>
          <w:p>
            <w:pPr>
              <w:pStyle w:val="TableParagraph"/>
              <w:ind w:right="43"/>
              <w:jc w:val="right"/>
              <w:rPr>
                <w:b/>
                <w:sz w:val="11"/>
              </w:rPr>
            </w:pPr>
            <w:r>
              <w:rPr>
                <w:b/>
                <w:w w:val="105"/>
                <w:sz w:val="11"/>
              </w:rPr>
              <w:t>241.183,61</w:t>
            </w:r>
          </w:p>
        </w:tc>
        <w:tc>
          <w:tcPr>
            <w:tcW w:w="891" w:type="dxa"/>
          </w:tcPr>
          <w:p>
            <w:pPr>
              <w:pStyle w:val="TableParagraph"/>
              <w:spacing w:before="1"/>
              <w:rPr>
                <w:b/>
                <w:sz w:val="12"/>
              </w:rPr>
            </w:pPr>
          </w:p>
          <w:p>
            <w:pPr>
              <w:pStyle w:val="TableParagraph"/>
              <w:ind w:right="43"/>
              <w:jc w:val="right"/>
              <w:rPr>
                <w:b/>
                <w:sz w:val="11"/>
              </w:rPr>
            </w:pPr>
            <w:r>
              <w:rPr>
                <w:b/>
                <w:w w:val="105"/>
                <w:sz w:val="11"/>
              </w:rPr>
              <w:t>35.964.281,84</w:t>
            </w:r>
          </w:p>
        </w:tc>
        <w:tc>
          <w:tcPr>
            <w:tcW w:w="1088" w:type="dxa"/>
          </w:tcPr>
          <w:p>
            <w:pPr>
              <w:pStyle w:val="TableParagraph"/>
              <w:spacing w:before="1"/>
              <w:rPr>
                <w:b/>
                <w:sz w:val="12"/>
              </w:rPr>
            </w:pPr>
          </w:p>
          <w:p>
            <w:pPr>
              <w:pStyle w:val="TableParagraph"/>
              <w:ind w:right="42"/>
              <w:jc w:val="right"/>
              <w:rPr>
                <w:b/>
                <w:sz w:val="11"/>
              </w:rPr>
            </w:pPr>
            <w:r>
              <w:rPr>
                <w:b/>
                <w:w w:val="105"/>
                <w:sz w:val="11"/>
              </w:rPr>
              <w:t>220.997.159,70</w:t>
            </w:r>
          </w:p>
        </w:tc>
        <w:tc>
          <w:tcPr>
            <w:tcW w:w="1000" w:type="dxa"/>
          </w:tcPr>
          <w:p>
            <w:pPr>
              <w:pStyle w:val="TableParagraph"/>
              <w:spacing w:before="1"/>
              <w:rPr>
                <w:b/>
                <w:sz w:val="12"/>
              </w:rPr>
            </w:pPr>
          </w:p>
          <w:p>
            <w:pPr>
              <w:pStyle w:val="TableParagraph"/>
              <w:ind w:right="43"/>
              <w:jc w:val="right"/>
              <w:rPr>
                <w:b/>
                <w:sz w:val="11"/>
              </w:rPr>
            </w:pPr>
            <w:r>
              <w:rPr>
                <w:b/>
                <w:w w:val="105"/>
                <w:sz w:val="11"/>
              </w:rPr>
              <w:t>132.621.280,49</w:t>
            </w:r>
          </w:p>
        </w:tc>
        <w:tc>
          <w:tcPr>
            <w:tcW w:w="907" w:type="dxa"/>
          </w:tcPr>
          <w:p>
            <w:pPr>
              <w:pStyle w:val="TableParagraph"/>
              <w:spacing w:before="1"/>
              <w:rPr>
                <w:b/>
                <w:sz w:val="12"/>
              </w:rPr>
            </w:pPr>
          </w:p>
          <w:p>
            <w:pPr>
              <w:pStyle w:val="TableParagraph"/>
              <w:ind w:right="42"/>
              <w:jc w:val="right"/>
              <w:rPr>
                <w:b/>
                <w:sz w:val="11"/>
              </w:rPr>
            </w:pPr>
            <w:r>
              <w:rPr>
                <w:b/>
                <w:w w:val="105"/>
                <w:sz w:val="11"/>
              </w:rPr>
              <w:t>16.387.362,77</w:t>
            </w:r>
          </w:p>
        </w:tc>
        <w:tc>
          <w:tcPr>
            <w:tcW w:w="1052" w:type="dxa"/>
          </w:tcPr>
          <w:p>
            <w:pPr>
              <w:pStyle w:val="TableParagraph"/>
              <w:spacing w:before="1"/>
              <w:rPr>
                <w:b/>
                <w:sz w:val="12"/>
              </w:rPr>
            </w:pPr>
          </w:p>
          <w:p>
            <w:pPr>
              <w:pStyle w:val="TableParagraph"/>
              <w:ind w:right="39"/>
              <w:jc w:val="right"/>
              <w:rPr>
                <w:b/>
                <w:sz w:val="11"/>
              </w:rPr>
            </w:pPr>
            <w:r>
              <w:rPr>
                <w:b/>
                <w:w w:val="105"/>
                <w:sz w:val="11"/>
              </w:rPr>
              <w:t>587.384.297,46</w:t>
            </w:r>
          </w:p>
        </w:tc>
        <w:tc>
          <w:tcPr>
            <w:tcW w:w="545" w:type="dxa"/>
          </w:tcPr>
          <w:p>
            <w:pPr>
              <w:pStyle w:val="TableParagraph"/>
              <w:spacing w:before="1"/>
              <w:rPr>
                <w:b/>
                <w:sz w:val="12"/>
              </w:rPr>
            </w:pPr>
          </w:p>
          <w:p>
            <w:pPr>
              <w:pStyle w:val="TableParagraph"/>
              <w:ind w:left="66" w:right="20"/>
              <w:jc w:val="center"/>
              <w:rPr>
                <w:b/>
                <w:sz w:val="11"/>
              </w:rPr>
            </w:pPr>
            <w:r>
              <w:rPr>
                <w:b/>
                <w:w w:val="105"/>
                <w:sz w:val="11"/>
              </w:rPr>
              <w:t>100,00%</w:t>
            </w:r>
          </w:p>
        </w:tc>
      </w:tr>
    </w:tbl>
    <w:p>
      <w:pPr>
        <w:pStyle w:val="BodyText"/>
        <w:rPr>
          <w:b/>
        </w:rPr>
      </w:pPr>
    </w:p>
    <w:p>
      <w:pPr>
        <w:pStyle w:val="BodyText"/>
        <w:rPr>
          <w:b/>
        </w:rPr>
      </w:pPr>
    </w:p>
    <w:p>
      <w:pPr>
        <w:pStyle w:val="BodyText"/>
        <w:rPr>
          <w:b/>
        </w:rPr>
      </w:pPr>
    </w:p>
    <w:p>
      <w:pPr>
        <w:pStyle w:val="BodyText"/>
        <w:rPr>
          <w:b/>
        </w:rPr>
      </w:pPr>
    </w:p>
    <w:p>
      <w:pPr>
        <w:pStyle w:val="BodyText"/>
        <w:spacing w:before="6"/>
        <w:rPr>
          <w:b/>
          <w:sz w:val="24"/>
        </w:rPr>
      </w:pPr>
    </w:p>
    <w:p>
      <w:pPr>
        <w:spacing w:before="69"/>
        <w:ind w:left="11517" w:right="480" w:firstLine="0"/>
        <w:jc w:val="center"/>
        <w:rPr>
          <w:sz w:val="18"/>
        </w:rPr>
      </w:pPr>
      <w:r>
        <w:rPr>
          <w:w w:val="105"/>
          <w:sz w:val="18"/>
        </w:rPr>
        <w:t>107</w:t>
      </w:r>
    </w:p>
    <w:p>
      <w:pPr>
        <w:spacing w:before="7"/>
        <w:ind w:left="2129"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227" name="image5.png"/>
                  <wp:cNvGraphicFramePr>
                    <a:graphicFrameLocks noChangeAspect="1"/>
                  </wp:cNvGraphicFramePr>
                  <a:graphic>
                    <a:graphicData uri="http://schemas.openxmlformats.org/drawingml/2006/picture">
                      <pic:pic>
                        <pic:nvPicPr>
                          <pic:cNvPr id="22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109/247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11:14:26</w:t>
            </w:r>
          </w:p>
        </w:tc>
        <w:tc>
          <w:tcPr>
            <w:tcW w:w="1442" w:type="dxa"/>
            <w:vMerge/>
            <w:tcBorders>
              <w:top w:val="nil"/>
            </w:tcBorders>
          </w:tcPr>
          <w:p>
            <w:pPr>
              <w:rPr>
                <w:sz w:val="2"/>
                <w:szCs w:val="2"/>
              </w:rPr>
            </w:pPr>
          </w:p>
        </w:tc>
      </w:tr>
    </w:tbl>
    <w:p>
      <w:pPr>
        <w:pStyle w:val="BodyText"/>
        <w:spacing w:before="9"/>
        <w:rPr>
          <w:b/>
          <w:sz w:val="22"/>
        </w:rPr>
      </w:pPr>
      <w:r>
        <w:rPr/>
        <w:pict>
          <v:group style="position:absolute;margin-left:157.270004pt;margin-top:15.872057pt;width:527.5pt;height:39.35pt;mso-position-horizontal-relative:page;mso-position-vertical-relative:paragraph;z-index:-251459584;mso-wrap-distance-left:0;mso-wrap-distance-right:0" coordorigin="3145,317" coordsize="10550,787">
            <v:line style="position:absolute" from="3150,1099" to="3150,322" stroked="true" strokeweight=".5pt" strokecolor="#000000">
              <v:stroke dashstyle="solid"/>
            </v:line>
            <v:line style="position:absolute" from="3150,1099" to="7873,1099" stroked="true" strokeweight=".5pt" strokecolor="#000000">
              <v:stroke dashstyle="solid"/>
            </v:line>
            <v:line style="position:absolute" from="3150,322" to="7873,322" stroked="true" strokeweight=".5pt" strokecolor="#000000">
              <v:stroke dashstyle="solid"/>
            </v:line>
            <v:line style="position:absolute" from="7873,1099" to="12999,1099" stroked="true" strokeweight=".5pt" strokecolor="#000000">
              <v:stroke dashstyle="solid"/>
            </v:line>
            <v:line style="position:absolute" from="7873,322" to="12999,322" stroked="true" strokeweight=".5pt" strokecolor="#000000">
              <v:stroke dashstyle="solid"/>
            </v:line>
            <v:shape style="position:absolute;left:7952;top:342;width:4966;height:737" type="#_x0000_t75" stroked="false">
              <v:imagedata r:id="rId22" o:title=""/>
            </v:shape>
            <v:shape style="position:absolute;left:12998;top:317;width:696;height:787" type="#_x0000_t75" stroked="false">
              <v:imagedata r:id="rId23" o:title=""/>
            </v:shape>
            <v:shape style="position:absolute;left:3145;top:317;width:10550;height:787" type="#_x0000_t202" filled="false" stroked="false">
              <v:textbox inset="0,0,0,0">
                <w:txbxContent>
                  <w:p>
                    <w:pPr>
                      <w:spacing w:line="240" w:lineRule="auto" w:before="8"/>
                      <w:rPr>
                        <w:b/>
                        <w:sz w:val="12"/>
                      </w:rPr>
                    </w:pPr>
                  </w:p>
                  <w:p>
                    <w:pPr>
                      <w:spacing w:line="208" w:lineRule="auto" w:before="0"/>
                      <w:ind w:left="45" w:right="6025"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41" w:right="0" w:firstLine="0"/>
                      <w:jc w:val="left"/>
                      <w:rPr>
                        <w:rFonts w:ascii="Courier New"/>
                        <w:sz w:val="16"/>
                      </w:rPr>
                    </w:pPr>
                    <w:r>
                      <w:rPr>
                        <w:rFonts w:ascii="Courier New"/>
                        <w:sz w:val="16"/>
                      </w:rPr>
                      <w:t>0RiqhLVW5LB5SgsthOzHlk4i4AYIZGsdi</w:t>
                    </w:r>
                  </w:p>
                </w:txbxContent>
              </v:textbox>
              <w10:wrap type="none"/>
            </v:shape>
            <w10:wrap type="topAndBottom"/>
          </v:group>
        </w:pict>
      </w:r>
    </w:p>
    <w:p>
      <w:pPr>
        <w:spacing w:after="0"/>
        <w:rPr>
          <w:sz w:val="22"/>
        </w:rPr>
        <w:sectPr>
          <w:headerReference w:type="default" r:id="rId19"/>
          <w:footerReference w:type="default" r:id="rId20"/>
          <w:pgSz w:w="16840" w:h="11900" w:orient="landscape"/>
          <w:pgMar w:header="0" w:footer="0" w:top="800" w:bottom="280" w:left="1160" w:right="1160"/>
        </w:sectPr>
      </w:pPr>
    </w:p>
    <w:p>
      <w:pPr>
        <w:pStyle w:val="BodyText"/>
        <w:rPr>
          <w:b/>
        </w:rPr>
      </w:pPr>
    </w:p>
    <w:p>
      <w:pPr>
        <w:pStyle w:val="BodyText"/>
        <w:spacing w:before="4"/>
        <w:rPr>
          <w:b/>
          <w:sz w:val="24"/>
        </w:rPr>
      </w:pPr>
    </w:p>
    <w:p>
      <w:pPr>
        <w:pStyle w:val="ListParagraph"/>
        <w:numPr>
          <w:ilvl w:val="0"/>
          <w:numId w:val="55"/>
        </w:numPr>
        <w:tabs>
          <w:tab w:pos="2337" w:val="left" w:leader="none"/>
        </w:tabs>
        <w:spacing w:line="240" w:lineRule="auto" w:before="61" w:after="0"/>
        <w:ind w:left="2336" w:right="1143" w:hanging="238"/>
        <w:jc w:val="both"/>
        <w:rPr>
          <w:sz w:val="20"/>
        </w:rPr>
      </w:pPr>
      <w:r>
        <w:rPr>
          <w:sz w:val="20"/>
        </w:rPr>
        <w:t>Las mayores contrataciones son de suministros, con un 69,7 % del total, seguido de los de servicios con el 24 %, con un incremento de más del doble respecto a</w:t>
      </w:r>
      <w:r>
        <w:rPr>
          <w:spacing w:val="16"/>
          <w:sz w:val="20"/>
        </w:rPr>
        <w:t> </w:t>
      </w:r>
      <w:r>
        <w:rPr>
          <w:sz w:val="20"/>
        </w:rPr>
        <w:t>2021.</w:t>
      </w:r>
    </w:p>
    <w:p>
      <w:pPr>
        <w:pStyle w:val="BodyText"/>
        <w:spacing w:before="10"/>
        <w:rPr>
          <w:sz w:val="16"/>
        </w:rPr>
      </w:pPr>
    </w:p>
    <w:p>
      <w:pPr>
        <w:pStyle w:val="ListParagraph"/>
        <w:numPr>
          <w:ilvl w:val="0"/>
          <w:numId w:val="55"/>
        </w:numPr>
        <w:tabs>
          <w:tab w:pos="2337" w:val="left" w:leader="none"/>
        </w:tabs>
        <w:spacing w:line="242" w:lineRule="auto" w:before="0" w:after="0"/>
        <w:ind w:left="2336" w:right="1144" w:hanging="238"/>
        <w:jc w:val="both"/>
        <w:rPr>
          <w:sz w:val="20"/>
        </w:rPr>
      </w:pPr>
      <w:r>
        <w:rPr>
          <w:sz w:val="20"/>
        </w:rPr>
        <w:t>En lo que se refiere a los procedimientos de contratación, destaca los basados en acuerdos marco, que representan el 37,6 % del total, seguido de los tramitados por procedimiento abierto, con el 30,3</w:t>
      </w:r>
      <w:r>
        <w:rPr>
          <w:spacing w:val="2"/>
          <w:sz w:val="20"/>
        </w:rPr>
        <w:t> </w:t>
      </w:r>
      <w:r>
        <w:rPr>
          <w:sz w:val="20"/>
        </w:rPr>
        <w:t>%.</w:t>
      </w:r>
    </w:p>
    <w:p>
      <w:pPr>
        <w:pStyle w:val="BodyText"/>
        <w:spacing w:before="6"/>
        <w:rPr>
          <w:sz w:val="16"/>
        </w:rPr>
      </w:pPr>
    </w:p>
    <w:p>
      <w:pPr>
        <w:pStyle w:val="ListParagraph"/>
        <w:numPr>
          <w:ilvl w:val="0"/>
          <w:numId w:val="55"/>
        </w:numPr>
        <w:tabs>
          <w:tab w:pos="2337" w:val="left" w:leader="none"/>
        </w:tabs>
        <w:spacing w:line="242" w:lineRule="auto" w:before="0" w:after="0"/>
        <w:ind w:left="2336" w:right="1145" w:hanging="238"/>
        <w:jc w:val="both"/>
        <w:rPr>
          <w:sz w:val="20"/>
        </w:rPr>
      </w:pPr>
      <w:r>
        <w:rPr>
          <w:sz w:val="20"/>
        </w:rPr>
        <w:t>Los contratos menores representan el 22,6 % del total, de los cuales el 88 % también tienen por objeto la adquisición de suministros, al que le sigue, con gran diferencia, los servicios (con el 9</w:t>
      </w:r>
      <w:r>
        <w:rPr>
          <w:spacing w:val="2"/>
          <w:sz w:val="20"/>
        </w:rPr>
        <w:t> </w:t>
      </w:r>
      <w:r>
        <w:rPr>
          <w:sz w:val="20"/>
        </w:rPr>
        <w:t>%).</w:t>
      </w:r>
    </w:p>
    <w:p>
      <w:pPr>
        <w:pStyle w:val="BodyText"/>
        <w:spacing w:before="4"/>
        <w:rPr>
          <w:sz w:val="16"/>
        </w:rPr>
      </w:pPr>
    </w:p>
    <w:p>
      <w:pPr>
        <w:pStyle w:val="Heading1"/>
        <w:numPr>
          <w:ilvl w:val="0"/>
          <w:numId w:val="51"/>
        </w:numPr>
        <w:tabs>
          <w:tab w:pos="2079" w:val="left" w:leader="none"/>
        </w:tabs>
        <w:spacing w:line="240" w:lineRule="auto" w:before="0" w:after="0"/>
        <w:ind w:left="2078" w:right="0" w:hanging="218"/>
        <w:jc w:val="left"/>
      </w:pPr>
      <w:r>
        <w:rPr/>
        <w:t>Expedientes de</w:t>
      </w:r>
      <w:r>
        <w:rPr>
          <w:spacing w:val="-1"/>
        </w:rPr>
        <w:t> </w:t>
      </w:r>
      <w:r>
        <w:rPr/>
        <w:t>nulidad.</w:t>
      </w:r>
    </w:p>
    <w:p>
      <w:pPr>
        <w:pStyle w:val="BodyText"/>
        <w:spacing w:before="8"/>
        <w:rPr>
          <w:b/>
          <w:sz w:val="16"/>
        </w:rPr>
      </w:pPr>
    </w:p>
    <w:p>
      <w:pPr>
        <w:pStyle w:val="ListParagraph"/>
        <w:numPr>
          <w:ilvl w:val="1"/>
          <w:numId w:val="51"/>
        </w:numPr>
        <w:tabs>
          <w:tab w:pos="2337" w:val="left" w:leader="none"/>
        </w:tabs>
        <w:spacing w:line="240" w:lineRule="auto" w:before="0" w:after="0"/>
        <w:ind w:left="2336" w:right="1143" w:hanging="238"/>
        <w:jc w:val="both"/>
        <w:rPr>
          <w:sz w:val="20"/>
        </w:rPr>
      </w:pPr>
      <w:r>
        <w:rPr>
          <w:sz w:val="20"/>
        </w:rPr>
        <w:t>El</w:t>
      </w:r>
      <w:r>
        <w:rPr>
          <w:spacing w:val="-8"/>
          <w:sz w:val="20"/>
        </w:rPr>
        <w:t> </w:t>
      </w:r>
      <w:r>
        <w:rPr>
          <w:sz w:val="20"/>
        </w:rPr>
        <w:t>SCS</w:t>
      </w:r>
      <w:r>
        <w:rPr>
          <w:spacing w:val="-10"/>
          <w:sz w:val="20"/>
        </w:rPr>
        <w:t> </w:t>
      </w:r>
      <w:r>
        <w:rPr>
          <w:sz w:val="20"/>
        </w:rPr>
        <w:t>ha</w:t>
      </w:r>
      <w:r>
        <w:rPr>
          <w:spacing w:val="-9"/>
          <w:sz w:val="20"/>
        </w:rPr>
        <w:t> </w:t>
      </w:r>
      <w:r>
        <w:rPr>
          <w:sz w:val="20"/>
        </w:rPr>
        <w:t>remitido</w:t>
      </w:r>
      <w:r>
        <w:rPr>
          <w:spacing w:val="-9"/>
          <w:sz w:val="20"/>
        </w:rPr>
        <w:t> </w:t>
      </w:r>
      <w:r>
        <w:rPr>
          <w:sz w:val="20"/>
        </w:rPr>
        <w:t>un</w:t>
      </w:r>
      <w:r>
        <w:rPr>
          <w:spacing w:val="-12"/>
          <w:sz w:val="20"/>
        </w:rPr>
        <w:t> </w:t>
      </w:r>
      <w:r>
        <w:rPr>
          <w:sz w:val="20"/>
        </w:rPr>
        <w:t>documento</w:t>
      </w:r>
      <w:r>
        <w:rPr>
          <w:spacing w:val="-8"/>
          <w:sz w:val="20"/>
        </w:rPr>
        <w:t> </w:t>
      </w:r>
      <w:r>
        <w:rPr>
          <w:sz w:val="20"/>
        </w:rPr>
        <w:t>con</w:t>
      </w:r>
      <w:r>
        <w:rPr>
          <w:spacing w:val="-8"/>
          <w:sz w:val="20"/>
        </w:rPr>
        <w:t> </w:t>
      </w:r>
      <w:r>
        <w:rPr>
          <w:sz w:val="20"/>
        </w:rPr>
        <w:t>la</w:t>
      </w:r>
      <w:r>
        <w:rPr>
          <w:spacing w:val="-9"/>
          <w:sz w:val="20"/>
        </w:rPr>
        <w:t> </w:t>
      </w:r>
      <w:r>
        <w:rPr>
          <w:sz w:val="20"/>
        </w:rPr>
        <w:t>relación</w:t>
      </w:r>
      <w:r>
        <w:rPr>
          <w:spacing w:val="-8"/>
          <w:sz w:val="20"/>
        </w:rPr>
        <w:t> </w:t>
      </w:r>
      <w:r>
        <w:rPr>
          <w:sz w:val="20"/>
        </w:rPr>
        <w:t>de</w:t>
      </w:r>
      <w:r>
        <w:rPr>
          <w:spacing w:val="-7"/>
          <w:sz w:val="20"/>
        </w:rPr>
        <w:t> </w:t>
      </w:r>
      <w:r>
        <w:rPr>
          <w:sz w:val="20"/>
        </w:rPr>
        <w:t>expedientes</w:t>
      </w:r>
      <w:r>
        <w:rPr>
          <w:spacing w:val="-10"/>
          <w:sz w:val="20"/>
        </w:rPr>
        <w:t> </w:t>
      </w:r>
      <w:r>
        <w:rPr>
          <w:sz w:val="20"/>
        </w:rPr>
        <w:t>tramitados</w:t>
      </w:r>
      <w:r>
        <w:rPr>
          <w:spacing w:val="-8"/>
          <w:sz w:val="20"/>
        </w:rPr>
        <w:t> </w:t>
      </w:r>
      <w:r>
        <w:rPr>
          <w:sz w:val="20"/>
        </w:rPr>
        <w:t>mediante declaración de nulidad, indicando la descripción, importe y el motivo. Totaliza el número de expedientes afectados por un importe de 454,3 millones de €, si bien, la cifra es inferior a la del ejercicio anterior, que ascendió a 485,1 millones de</w:t>
      </w:r>
      <w:r>
        <w:rPr>
          <w:spacing w:val="14"/>
          <w:sz w:val="20"/>
        </w:rPr>
        <w:t> </w:t>
      </w:r>
      <w:r>
        <w:rPr>
          <w:sz w:val="20"/>
        </w:rPr>
        <w:t>€.</w:t>
      </w:r>
    </w:p>
    <w:p>
      <w:pPr>
        <w:pStyle w:val="BodyText"/>
        <w:spacing w:before="1"/>
        <w:rPr>
          <w:sz w:val="17"/>
        </w:rPr>
      </w:pPr>
    </w:p>
    <w:p>
      <w:pPr>
        <w:pStyle w:val="BodyText"/>
        <w:spacing w:line="242" w:lineRule="auto"/>
        <w:ind w:left="2336" w:right="1145"/>
        <w:jc w:val="both"/>
      </w:pPr>
      <w:r>
        <w:rPr/>
        <w:t>Respecto a esta información, se ha podido ampliar el análisis, con los informes de Control Financiero Permanente elaborados por la IGCAC, más concretamente para los capítulos IV, VI, VII y Art. 25 del presupuesto de gastos. Esta información permite diferenciar, al menos, 88 millones de € que corresponden a nulidades para la asistencia</w:t>
      </w:r>
      <w:r>
        <w:rPr>
          <w:spacing w:val="-8"/>
        </w:rPr>
        <w:t> </w:t>
      </w:r>
      <w:r>
        <w:rPr/>
        <w:t>sanitaria</w:t>
      </w:r>
      <w:r>
        <w:rPr>
          <w:spacing w:val="-8"/>
        </w:rPr>
        <w:t> </w:t>
      </w:r>
      <w:r>
        <w:rPr/>
        <w:t>realizada</w:t>
      </w:r>
      <w:r>
        <w:rPr>
          <w:spacing w:val="-7"/>
        </w:rPr>
        <w:t> </w:t>
      </w:r>
      <w:r>
        <w:rPr/>
        <w:t>con</w:t>
      </w:r>
      <w:r>
        <w:rPr>
          <w:spacing w:val="-9"/>
        </w:rPr>
        <w:t> </w:t>
      </w:r>
      <w:r>
        <w:rPr/>
        <w:t>medios</w:t>
      </w:r>
      <w:r>
        <w:rPr>
          <w:spacing w:val="-7"/>
        </w:rPr>
        <w:t> </w:t>
      </w:r>
      <w:r>
        <w:rPr/>
        <w:t>ajenos,</w:t>
      </w:r>
      <w:r>
        <w:rPr>
          <w:spacing w:val="-10"/>
        </w:rPr>
        <w:t> </w:t>
      </w:r>
      <w:r>
        <w:rPr/>
        <w:t>para</w:t>
      </w:r>
      <w:r>
        <w:rPr>
          <w:spacing w:val="-7"/>
        </w:rPr>
        <w:t> </w:t>
      </w:r>
      <w:r>
        <w:rPr/>
        <w:t>las</w:t>
      </w:r>
      <w:r>
        <w:rPr>
          <w:spacing w:val="-8"/>
        </w:rPr>
        <w:t> </w:t>
      </w:r>
      <w:r>
        <w:rPr/>
        <w:t>que,</w:t>
      </w:r>
      <w:r>
        <w:rPr>
          <w:spacing w:val="-9"/>
        </w:rPr>
        <w:t> </w:t>
      </w:r>
      <w:r>
        <w:rPr/>
        <w:t>posteriormente,</w:t>
      </w:r>
      <w:r>
        <w:rPr>
          <w:spacing w:val="-10"/>
        </w:rPr>
        <w:t> </w:t>
      </w:r>
      <w:r>
        <w:rPr/>
        <w:t>se</w:t>
      </w:r>
      <w:r>
        <w:rPr>
          <w:spacing w:val="-7"/>
        </w:rPr>
        <w:t> </w:t>
      </w:r>
      <w:r>
        <w:rPr/>
        <w:t>han adjudicado los correspondientes</w:t>
      </w:r>
      <w:r>
        <w:rPr>
          <w:spacing w:val="1"/>
        </w:rPr>
        <w:t> </w:t>
      </w:r>
      <w:r>
        <w:rPr/>
        <w:t>contratos.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8"/>
        </w:rPr>
      </w:pPr>
    </w:p>
    <w:p>
      <w:pPr>
        <w:pStyle w:val="BodyText"/>
        <w:spacing w:before="61"/>
        <w:ind w:left="7787"/>
        <w:jc w:val="center"/>
      </w:pPr>
      <w:r>
        <w:rPr/>
        <w:t>108</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31" name="image5.png"/>
                  <wp:cNvGraphicFramePr>
                    <a:graphicFrameLocks noChangeAspect="1"/>
                  </wp:cNvGraphicFramePr>
                  <a:graphic>
                    <a:graphicData uri="http://schemas.openxmlformats.org/drawingml/2006/picture">
                      <pic:pic>
                        <pic:nvPicPr>
                          <pic:cNvPr id="23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110/247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headerReference w:type="default" r:id="rId24"/>
          <w:footerReference w:type="default" r:id="rId25"/>
          <w:pgSz w:w="11900" w:h="16840"/>
          <w:pgMar w:header="869" w:footer="926" w:top="1760" w:bottom="1120" w:left="760" w:right="760"/>
        </w:sectPr>
      </w:pPr>
    </w:p>
    <w:p>
      <w:pPr>
        <w:pStyle w:val="BodyText"/>
        <w:spacing w:before="10"/>
        <w:rPr>
          <w:b/>
          <w:sz w:val="27"/>
        </w:rPr>
      </w:pPr>
    </w:p>
    <w:p>
      <w:pPr>
        <w:pStyle w:val="Heading1"/>
        <w:tabs>
          <w:tab w:pos="4169" w:val="left" w:leader="none"/>
        </w:tabs>
        <w:spacing w:before="61"/>
        <w:ind w:left="3806"/>
        <w:jc w:val="left"/>
      </w:pPr>
      <w:bookmarkStart w:name="_TOC_250018" w:id="4"/>
      <w:r>
        <w:rPr>
          <w:color w:val="53A1B9"/>
        </w:rPr>
        <w:t>5</w:t>
        <w:tab/>
        <w:t>ENTES CON PRESUPUESTO</w:t>
      </w:r>
      <w:r>
        <w:rPr>
          <w:color w:val="53A1B9"/>
          <w:spacing w:val="2"/>
        </w:rPr>
        <w:t> </w:t>
      </w:r>
      <w:bookmarkEnd w:id="4"/>
      <w:r>
        <w:rPr>
          <w:color w:val="53A1B9"/>
        </w:rPr>
        <w:t>ESTIMATIVO.</w:t>
      </w:r>
    </w:p>
    <w:p>
      <w:pPr>
        <w:pStyle w:val="BodyText"/>
        <w:spacing w:before="8"/>
        <w:rPr>
          <w:b/>
          <w:sz w:val="11"/>
        </w:rPr>
      </w:pPr>
    </w:p>
    <w:p>
      <w:pPr>
        <w:pStyle w:val="Heading1"/>
        <w:numPr>
          <w:ilvl w:val="1"/>
          <w:numId w:val="56"/>
        </w:numPr>
        <w:tabs>
          <w:tab w:pos="2551" w:val="left" w:leader="none"/>
        </w:tabs>
        <w:spacing w:line="240" w:lineRule="auto" w:before="61" w:after="0"/>
        <w:ind w:left="2550" w:right="0" w:hanging="452"/>
        <w:jc w:val="left"/>
      </w:pPr>
      <w:bookmarkStart w:name="_TOC_250017" w:id="5"/>
      <w:bookmarkEnd w:id="5"/>
      <w:r>
        <w:rPr>
          <w:color w:val="53A1B9"/>
        </w:rPr>
        <w:t>Composición.</w:t>
      </w:r>
    </w:p>
    <w:p>
      <w:pPr>
        <w:pStyle w:val="BodyText"/>
        <w:spacing w:before="4"/>
        <w:rPr>
          <w:b/>
          <w:sz w:val="13"/>
        </w:rPr>
      </w:pPr>
      <w:r>
        <w:rPr/>
        <w:pict>
          <v:group style="position:absolute;margin-left:142.958206pt;margin-top:10.13387pt;width:362.1pt;height:245pt;mso-position-horizontal-relative:page;mso-position-vertical-relative:paragraph;z-index:-251454464;mso-wrap-distance-left:0;mso-wrap-distance-right:0" coordorigin="2859,203" coordsize="7242,4900">
            <v:rect style="position:absolute;left:2859;top:202;width:5432;height:379" filled="true" fillcolor="#d9d9d9" stroked="false">
              <v:fill type="solid"/>
            </v:rect>
            <v:rect style="position:absolute;left:2949;top:289;width:5250;height:206" filled="true" fillcolor="#d9d9d9" stroked="false">
              <v:fill type="solid"/>
            </v:rect>
            <v:rect style="position:absolute;left:8290;top:202;width:1810;height:379" filled="true" fillcolor="#d9d9d9" stroked="false">
              <v:fill type="solid"/>
            </v:rect>
            <v:rect style="position:absolute;left:8381;top:299;width:1629;height:186" filled="true" fillcolor="#d9d9d9" stroked="false">
              <v:fill type="solid"/>
            </v:rect>
            <v:rect style="position:absolute;left:2859;top:581;width:5432;height:202" filled="true" fillcolor="#d9d9d9" stroked="false">
              <v:fill type="solid"/>
            </v:rect>
            <v:rect style="position:absolute;left:2949;top:581;width:5250;height:186" filled="true" fillcolor="#d9d9d9" stroked="false">
              <v:fill type="solid"/>
            </v:rect>
            <v:rect style="position:absolute;left:8290;top:581;width:1810;height:202" filled="true" fillcolor="#d9d9d9" stroked="false">
              <v:fill type="solid"/>
            </v:rect>
            <v:rect style="position:absolute;left:8381;top:581;width:1629;height:186" filled="true" fillcolor="#d9d9d9" stroked="false">
              <v:fill type="solid"/>
            </v:rect>
            <v:rect style="position:absolute;left:2859;top:783;width:5432;height:252" filled="true" fillcolor="#d9d9d9" stroked="false">
              <v:fill type="solid"/>
            </v:rect>
            <v:rect style="position:absolute;left:2949;top:783;width:5250;height:184" filled="true" fillcolor="#d9d9d9" stroked="false">
              <v:fill type="solid"/>
            </v:rect>
            <v:rect style="position:absolute;left:8290;top:783;width:1810;height:252" filled="true" fillcolor="#d9d9d9" stroked="false">
              <v:fill type="solid"/>
            </v:rect>
            <v:rect style="position:absolute;left:8381;top:783;width:1629;height:184" filled="true" fillcolor="#d9d9d9" stroked="false">
              <v:fill type="solid"/>
            </v:rect>
            <v:rect style="position:absolute;left:2859;top:1034;width:5432;height:426" filled="true" fillcolor="#d9d9d9" stroked="false">
              <v:fill type="solid"/>
            </v:rect>
            <v:rect style="position:absolute;left:2949;top:1145;width:5250;height:206" filled="true" fillcolor="#d9d9d9" stroked="false">
              <v:fill type="solid"/>
            </v:rect>
            <v:rect style="position:absolute;left:8290;top:1034;width:1810;height:426" filled="true" fillcolor="#d9d9d9" stroked="false">
              <v:fill type="solid"/>
            </v:rect>
            <v:rect style="position:absolute;left:8381;top:1155;width:1629;height:186" filled="true" fillcolor="#d9d9d9" stroked="false">
              <v:fill type="solid"/>
            </v:rect>
            <v:rect style="position:absolute;left:2859;top:1460;width:5432;height:192" filled="true" fillcolor="#d9d9d9" stroked="false">
              <v:fill type="solid"/>
            </v:rect>
            <v:rect style="position:absolute;left:2949;top:1460;width:5250;height:186" filled="true" fillcolor="#d9d9d9" stroked="false">
              <v:fill type="solid"/>
            </v:rect>
            <v:rect style="position:absolute;left:8290;top:1460;width:1810;height:192" filled="true" fillcolor="#d9d9d9" stroked="false">
              <v:fill type="solid"/>
            </v:rect>
            <v:rect style="position:absolute;left:8381;top:1460;width:1629;height:186" filled="true" fillcolor="#d9d9d9" stroked="false">
              <v:fill type="solid"/>
            </v:rect>
            <v:rect style="position:absolute;left:2859;top:1651;width:5432;height:190" filled="true" fillcolor="#d9d9d9" stroked="false">
              <v:fill type="solid"/>
            </v:rect>
            <v:rect style="position:absolute;left:2949;top:1651;width:5250;height:184" filled="true" fillcolor="#d9d9d9" stroked="false">
              <v:fill type="solid"/>
            </v:rect>
            <v:rect style="position:absolute;left:8290;top:1651;width:1810;height:190" filled="true" fillcolor="#d9d9d9" stroked="false">
              <v:fill type="solid"/>
            </v:rect>
            <v:rect style="position:absolute;left:8381;top:1651;width:1629;height:184" filled="true" fillcolor="#d9d9d9" stroked="false">
              <v:fill type="solid"/>
            </v:rect>
            <v:rect style="position:absolute;left:2859;top:1841;width:5432;height:192" filled="true" fillcolor="#d9d9d9" stroked="false">
              <v:fill type="solid"/>
            </v:rect>
            <v:rect style="position:absolute;left:2949;top:1841;width:5250;height:186" filled="true" fillcolor="#d9d9d9" stroked="false">
              <v:fill type="solid"/>
            </v:rect>
            <v:rect style="position:absolute;left:8290;top:1841;width:1810;height:192" filled="true" fillcolor="#d9d9d9" stroked="false">
              <v:fill type="solid"/>
            </v:rect>
            <v:rect style="position:absolute;left:8381;top:1841;width:1629;height:186" filled="true" fillcolor="#d9d9d9" stroked="false">
              <v:fill type="solid"/>
            </v:rect>
            <v:rect style="position:absolute;left:2859;top:2032;width:5432;height:192" filled="true" fillcolor="#d9d9d9" stroked="false">
              <v:fill type="solid"/>
            </v:rect>
            <v:rect style="position:absolute;left:2949;top:2032;width:5250;height:186" filled="true" fillcolor="#d9d9d9" stroked="false">
              <v:fill type="solid"/>
            </v:rect>
            <v:rect style="position:absolute;left:8290;top:2032;width:1810;height:192" filled="true" fillcolor="#d9d9d9" stroked="false">
              <v:fill type="solid"/>
            </v:rect>
            <v:rect style="position:absolute;left:8381;top:2032;width:1629;height:186" filled="true" fillcolor="#d9d9d9" stroked="false">
              <v:fill type="solid"/>
            </v:rect>
            <v:rect style="position:absolute;left:2859;top:2224;width:5432;height:190" filled="true" fillcolor="#d9d9d9" stroked="false">
              <v:fill type="solid"/>
            </v:rect>
            <v:rect style="position:absolute;left:2949;top:2224;width:5250;height:184" filled="true" fillcolor="#d9d9d9" stroked="false">
              <v:fill type="solid"/>
            </v:rect>
            <v:rect style="position:absolute;left:8290;top:2224;width:1810;height:190" filled="true" fillcolor="#d9d9d9" stroked="false">
              <v:fill type="solid"/>
            </v:rect>
            <v:rect style="position:absolute;left:8381;top:2224;width:1629;height:184" filled="true" fillcolor="#d9d9d9" stroked="false">
              <v:fill type="solid"/>
            </v:rect>
            <v:rect style="position:absolute;left:2859;top:2413;width:5432;height:218" filled="true" fillcolor="#d9d9d9" stroked="false">
              <v:fill type="solid"/>
            </v:rect>
            <v:rect style="position:absolute;left:2949;top:2413;width:5250;height:186" filled="true" fillcolor="#d9d9d9" stroked="false">
              <v:fill type="solid"/>
            </v:rect>
            <v:rect style="position:absolute;left:8290;top:2413;width:1810;height:218" filled="true" fillcolor="#d9d9d9" stroked="false">
              <v:fill type="solid"/>
            </v:rect>
            <v:rect style="position:absolute;left:8381;top:2413;width:1629;height:186" filled="true" fillcolor="#d9d9d9" stroked="false">
              <v:fill type="solid"/>
            </v:rect>
            <v:rect style="position:absolute;left:2859;top:2631;width:5432;height:190" filled="true" fillcolor="#d9d9d9" stroked="false">
              <v:fill type="solid"/>
            </v:rect>
            <v:rect style="position:absolute;left:2949;top:2631;width:5250;height:184" filled="true" fillcolor="#d9d9d9" stroked="false">
              <v:fill type="solid"/>
            </v:rect>
            <v:rect style="position:absolute;left:8290;top:2631;width:1810;height:190" filled="true" fillcolor="#d9d9d9" stroked="false">
              <v:fill type="solid"/>
            </v:rect>
            <v:rect style="position:absolute;left:8381;top:2631;width:1629;height:184" filled="true" fillcolor="#d9d9d9" stroked="false">
              <v:fill type="solid"/>
            </v:rect>
            <v:rect style="position:absolute;left:8199;top:2820;width:91;height:186" filled="true" fillcolor="#d9d9d9" stroked="false">
              <v:fill type="solid"/>
            </v:rect>
            <v:rect style="position:absolute;left:2859;top:2820;width:91;height:186" filled="true" fillcolor="#d9d9d9" stroked="false">
              <v:fill type="solid"/>
            </v:rect>
            <v:rect style="position:absolute;left:2949;top:2820;width:5250;height:186" filled="true" fillcolor="#d9d9d9" stroked="false">
              <v:fill type="solid"/>
            </v:rect>
            <v:rect style="position:absolute;left:10009;top:2820;width:91;height:186" filled="true" fillcolor="#d9d9d9" stroked="false">
              <v:fill type="solid"/>
            </v:rect>
            <v:rect style="position:absolute;left:8290;top:2820;width:91;height:186" filled="true" fillcolor="#d9d9d9" stroked="false">
              <v:fill type="solid"/>
            </v:rect>
            <v:rect style="position:absolute;left:8381;top:2820;width:1629;height:186" filled="true" fillcolor="#d9d9d9" stroked="false">
              <v:fill type="solid"/>
            </v:rect>
            <v:rect style="position:absolute;left:2859;top:3006;width:5432;height:190" filled="true" fillcolor="#d9d9d9" stroked="false">
              <v:fill type="solid"/>
            </v:rect>
            <v:rect style="position:absolute;left:2949;top:3006;width:5250;height:184" filled="true" fillcolor="#d9d9d9" stroked="false">
              <v:fill type="solid"/>
            </v:rect>
            <v:rect style="position:absolute;left:8290;top:3006;width:1810;height:190" filled="true" fillcolor="#d9d9d9" stroked="false">
              <v:fill type="solid"/>
            </v:rect>
            <v:rect style="position:absolute;left:8381;top:3006;width:1629;height:184" filled="true" fillcolor="#d9d9d9" stroked="false">
              <v:fill type="solid"/>
            </v:rect>
            <v:rect style="position:absolute;left:2859;top:3195;width:5432;height:192" filled="true" fillcolor="#d9d9d9" stroked="false">
              <v:fill type="solid"/>
            </v:rect>
            <v:rect style="position:absolute;left:2949;top:3195;width:5250;height:186" filled="true" fillcolor="#d9d9d9" stroked="false">
              <v:fill type="solid"/>
            </v:rect>
            <v:rect style="position:absolute;left:8290;top:3195;width:1810;height:192" filled="true" fillcolor="#d9d9d9" stroked="false">
              <v:fill type="solid"/>
            </v:rect>
            <v:rect style="position:absolute;left:8381;top:3195;width:1629;height:186" filled="true" fillcolor="#d9d9d9" stroked="false">
              <v:fill type="solid"/>
            </v:rect>
            <v:rect style="position:absolute;left:2859;top:3386;width:5432;height:192" filled="true" fillcolor="#d9d9d9" stroked="false">
              <v:fill type="solid"/>
            </v:rect>
            <v:rect style="position:absolute;left:2949;top:3386;width:5250;height:186" filled="true" fillcolor="#d9d9d9" stroked="false">
              <v:fill type="solid"/>
            </v:rect>
            <v:rect style="position:absolute;left:8290;top:3386;width:1810;height:192" filled="true" fillcolor="#d9d9d9" stroked="false">
              <v:fill type="solid"/>
            </v:rect>
            <v:rect style="position:absolute;left:8381;top:3386;width:1629;height:186" filled="true" fillcolor="#d9d9d9" stroked="false">
              <v:fill type="solid"/>
            </v:rect>
            <v:rect style="position:absolute;left:2859;top:3578;width:5432;height:190" filled="true" fillcolor="#d9d9d9" stroked="false">
              <v:fill type="solid"/>
            </v:rect>
            <v:rect style="position:absolute;left:2949;top:3578;width:5250;height:184" filled="true" fillcolor="#d9d9d9" stroked="false">
              <v:fill type="solid"/>
            </v:rect>
            <v:rect style="position:absolute;left:8290;top:3578;width:1810;height:190" filled="true" fillcolor="#d9d9d9" stroked="false">
              <v:fill type="solid"/>
            </v:rect>
            <v:rect style="position:absolute;left:8381;top:3578;width:1629;height:184" filled="true" fillcolor="#d9d9d9" stroked="false">
              <v:fill type="solid"/>
            </v:rect>
            <v:rect style="position:absolute;left:2859;top:3767;width:5432;height:192" filled="true" fillcolor="#d9d9d9" stroked="false">
              <v:fill type="solid"/>
            </v:rect>
            <v:rect style="position:absolute;left:2949;top:3767;width:5250;height:186" filled="true" fillcolor="#d9d9d9" stroked="false">
              <v:fill type="solid"/>
            </v:rect>
            <v:rect style="position:absolute;left:8290;top:3767;width:1810;height:192" filled="true" fillcolor="#d9d9d9" stroked="false">
              <v:fill type="solid"/>
            </v:rect>
            <v:rect style="position:absolute;left:8381;top:3767;width:1629;height:186" filled="true" fillcolor="#d9d9d9" stroked="false">
              <v:fill type="solid"/>
            </v:rect>
            <v:rect style="position:absolute;left:2859;top:3959;width:5432;height:190" filled="true" fillcolor="#d9d9d9" stroked="false">
              <v:fill type="solid"/>
            </v:rect>
            <v:rect style="position:absolute;left:2949;top:3959;width:5250;height:184" filled="true" fillcolor="#d9d9d9" stroked="false">
              <v:fill type="solid"/>
            </v:rect>
            <v:rect style="position:absolute;left:8290;top:3959;width:1810;height:190" filled="true" fillcolor="#d9d9d9" stroked="false">
              <v:fill type="solid"/>
            </v:rect>
            <v:rect style="position:absolute;left:8381;top:3959;width:1629;height:184" filled="true" fillcolor="#d9d9d9" stroked="false">
              <v:fill type="solid"/>
            </v:rect>
            <v:rect style="position:absolute;left:2859;top:4148;width:5432;height:192" filled="true" fillcolor="#d9d9d9" stroked="false">
              <v:fill type="solid"/>
            </v:rect>
            <v:rect style="position:absolute;left:2949;top:4148;width:5250;height:186" filled="true" fillcolor="#d9d9d9" stroked="false">
              <v:fill type="solid"/>
            </v:rect>
            <v:rect style="position:absolute;left:8290;top:4148;width:1810;height:192" filled="true" fillcolor="#d9d9d9" stroked="false">
              <v:fill type="solid"/>
            </v:rect>
            <v:rect style="position:absolute;left:8381;top:4148;width:1629;height:186" filled="true" fillcolor="#d9d9d9" stroked="false">
              <v:fill type="solid"/>
            </v:rect>
            <v:rect style="position:absolute;left:2859;top:4340;width:5432;height:190" filled="true" fillcolor="#d9d9d9" stroked="false">
              <v:fill type="solid"/>
            </v:rect>
            <v:rect style="position:absolute;left:2949;top:4340;width:5250;height:184" filled="true" fillcolor="#d9d9d9" stroked="false">
              <v:fill type="solid"/>
            </v:rect>
            <v:rect style="position:absolute;left:8290;top:4340;width:1810;height:190" filled="true" fillcolor="#d9d9d9" stroked="false">
              <v:fill type="solid"/>
            </v:rect>
            <v:rect style="position:absolute;left:8381;top:4340;width:1629;height:184" filled="true" fillcolor="#d9d9d9" stroked="false">
              <v:fill type="solid"/>
            </v:rect>
            <v:rect style="position:absolute;left:2859;top:4529;width:5432;height:192" filled="true" fillcolor="#d9d9d9" stroked="false">
              <v:fill type="solid"/>
            </v:rect>
            <v:rect style="position:absolute;left:2949;top:4529;width:5250;height:186" filled="true" fillcolor="#d9d9d9" stroked="false">
              <v:fill type="solid"/>
            </v:rect>
            <v:rect style="position:absolute;left:8290;top:4529;width:1810;height:192" filled="true" fillcolor="#d9d9d9" stroked="false">
              <v:fill type="solid"/>
            </v:rect>
            <v:rect style="position:absolute;left:8381;top:4529;width:1629;height:186" filled="true" fillcolor="#d9d9d9" stroked="false">
              <v:fill type="solid"/>
            </v:rect>
            <v:rect style="position:absolute;left:2859;top:4721;width:5432;height:192" filled="true" fillcolor="#d9d9d9" stroked="false">
              <v:fill type="solid"/>
            </v:rect>
            <v:rect style="position:absolute;left:2949;top:4721;width:5250;height:186" filled="true" fillcolor="#d9d9d9" stroked="false">
              <v:fill type="solid"/>
            </v:rect>
            <v:rect style="position:absolute;left:8290;top:4721;width:1810;height:192" filled="true" fillcolor="#d9d9d9" stroked="false">
              <v:fill type="solid"/>
            </v:rect>
            <v:rect style="position:absolute;left:8381;top:4721;width:1629;height:186" filled="true" fillcolor="#d9d9d9" stroked="false">
              <v:fill type="solid"/>
            </v:rect>
            <v:rect style="position:absolute;left:2859;top:4912;width:5432;height:190" filled="true" fillcolor="#d9d9d9" stroked="false">
              <v:fill type="solid"/>
            </v:rect>
            <v:rect style="position:absolute;left:2949;top:4912;width:5250;height:184" filled="true" fillcolor="#d9d9d9" stroked="false">
              <v:fill type="solid"/>
            </v:rect>
            <v:rect style="position:absolute;left:8290;top:4912;width:1810;height:190" filled="true" fillcolor="#d9d9d9" stroked="false">
              <v:fill type="solid"/>
            </v:rect>
            <v:rect style="position:absolute;left:8381;top:4912;width:1629;height:184" filled="true" fillcolor="#d9d9d9" stroked="false">
              <v:fill type="solid"/>
            </v:rect>
            <v:shape style="position:absolute;left:8381;top:1491;width:1198;height:3602" type="#_x0000_t202" filled="false" stroked="false">
              <v:textbox inset="0,0,0,0">
                <w:txbxContent>
                  <w:p>
                    <w:pPr>
                      <w:spacing w:line="154" w:lineRule="exact" w:before="0"/>
                      <w:ind w:left="0" w:right="0" w:firstLine="0"/>
                      <w:jc w:val="left"/>
                      <w:rPr>
                        <w:sz w:val="15"/>
                      </w:rPr>
                    </w:pPr>
                    <w:r>
                      <w:rPr>
                        <w:sz w:val="15"/>
                      </w:rPr>
                      <w:t>ASISTA CANARIAS</w:t>
                    </w:r>
                  </w:p>
                  <w:p>
                    <w:pPr>
                      <w:spacing w:before="7"/>
                      <w:ind w:left="0" w:right="0" w:firstLine="0"/>
                      <w:jc w:val="left"/>
                      <w:rPr>
                        <w:sz w:val="15"/>
                      </w:rPr>
                    </w:pPr>
                    <w:r>
                      <w:rPr>
                        <w:sz w:val="15"/>
                      </w:rPr>
                      <w:t>CCB TENERIFE</w:t>
                    </w:r>
                  </w:p>
                  <w:p>
                    <w:pPr>
                      <w:spacing w:line="249" w:lineRule="auto" w:before="8"/>
                      <w:ind w:left="0" w:right="7" w:firstLine="0"/>
                      <w:jc w:val="left"/>
                      <w:rPr>
                        <w:sz w:val="15"/>
                      </w:rPr>
                    </w:pPr>
                    <w:r>
                      <w:rPr>
                        <w:sz w:val="15"/>
                      </w:rPr>
                      <w:t>CCB MASPALOMAS GRAFCAN GESPROTUR</w:t>
                    </w:r>
                  </w:p>
                  <w:p>
                    <w:pPr>
                      <w:spacing w:line="283" w:lineRule="auto" w:before="1"/>
                      <w:ind w:left="0" w:right="873" w:firstLine="0"/>
                      <w:jc w:val="left"/>
                      <w:rPr>
                        <w:sz w:val="15"/>
                      </w:rPr>
                    </w:pPr>
                    <w:r>
                      <w:rPr>
                        <w:sz w:val="15"/>
                      </w:rPr>
                      <w:t>GSC GMR</w:t>
                    </w:r>
                  </w:p>
                  <w:p>
                    <w:pPr>
                      <w:spacing w:line="158" w:lineRule="exact" w:before="0"/>
                      <w:ind w:left="0" w:right="0" w:firstLine="0"/>
                      <w:jc w:val="left"/>
                      <w:rPr>
                        <w:sz w:val="15"/>
                      </w:rPr>
                    </w:pPr>
                    <w:r>
                      <w:rPr>
                        <w:sz w:val="15"/>
                      </w:rPr>
                      <w:t>GESTUR LPA</w:t>
                    </w:r>
                  </w:p>
                  <w:p>
                    <w:pPr>
                      <w:spacing w:line="249" w:lineRule="auto" w:before="0"/>
                      <w:ind w:left="0" w:right="392" w:firstLine="0"/>
                      <w:jc w:val="left"/>
                      <w:rPr>
                        <w:sz w:val="15"/>
                      </w:rPr>
                    </w:pPr>
                    <w:r>
                      <w:rPr>
                        <w:sz w:val="15"/>
                      </w:rPr>
                      <w:t>GESPLAN GESTUR CAN HECANSA ICDC</w:t>
                    </w:r>
                  </w:p>
                  <w:p>
                    <w:pPr>
                      <w:spacing w:line="249" w:lineRule="auto" w:before="2"/>
                      <w:ind w:left="0" w:right="441" w:firstLine="0"/>
                      <w:jc w:val="left"/>
                      <w:rPr>
                        <w:sz w:val="15"/>
                      </w:rPr>
                    </w:pPr>
                    <w:r>
                      <w:rPr>
                        <w:sz w:val="15"/>
                      </w:rPr>
                      <w:t>ITC PROMOTUR RPC PROEXCA SODECAN TVPC VISOCAN</w:t>
                    </w:r>
                  </w:p>
                </w:txbxContent>
              </v:textbox>
              <w10:wrap type="none"/>
            </v:shape>
            <v:shape style="position:absolute;left:2949;top:1181;width:4401;height:3913" type="#_x0000_t202" filled="false" stroked="false">
              <v:textbox inset="0,0,0,0">
                <w:txbxContent>
                  <w:p>
                    <w:pPr>
                      <w:spacing w:line="168" w:lineRule="exact" w:before="0"/>
                      <w:ind w:left="0" w:right="0" w:firstLine="0"/>
                      <w:jc w:val="left"/>
                      <w:rPr>
                        <w:b/>
                        <w:sz w:val="15"/>
                      </w:rPr>
                    </w:pPr>
                    <w:r>
                      <w:rPr>
                        <w:b/>
                        <w:w w:val="105"/>
                        <w:sz w:val="16"/>
                      </w:rPr>
                      <w:t>Sociedades mercantiles públicas</w:t>
                    </w:r>
                    <w:r>
                      <w:rPr>
                        <w:b/>
                        <w:w w:val="105"/>
                        <w:sz w:val="15"/>
                      </w:rPr>
                      <w:t>:</w:t>
                    </w:r>
                  </w:p>
                  <w:p>
                    <w:pPr>
                      <w:spacing w:line="249" w:lineRule="auto" w:before="112"/>
                      <w:ind w:left="147" w:right="1576" w:firstLine="0"/>
                      <w:jc w:val="left"/>
                      <w:rPr>
                        <w:sz w:val="15"/>
                      </w:rPr>
                    </w:pPr>
                    <w:r>
                      <w:rPr>
                        <w:sz w:val="15"/>
                      </w:rPr>
                      <w:t>Asistencia Integral Tributaria, S.A. * Canarias Congress Bureau Tenerife Sur, S.A.</w:t>
                    </w:r>
                  </w:p>
                  <w:p>
                    <w:pPr>
                      <w:spacing w:line="252" w:lineRule="auto" w:before="1"/>
                      <w:ind w:left="147" w:right="0" w:firstLine="0"/>
                      <w:jc w:val="left"/>
                      <w:rPr>
                        <w:sz w:val="15"/>
                      </w:rPr>
                    </w:pPr>
                    <w:r>
                      <w:rPr>
                        <w:sz w:val="15"/>
                      </w:rPr>
                      <w:t>Canarias Congress Bureau, Maspalomas Gran Canaria, S.A. Cartográfica de Canarias, S.A.</w:t>
                    </w:r>
                  </w:p>
                  <w:p>
                    <w:pPr>
                      <w:spacing w:line="266" w:lineRule="auto" w:before="0"/>
                      <w:ind w:left="147" w:right="0" w:firstLine="0"/>
                      <w:jc w:val="left"/>
                      <w:rPr>
                        <w:sz w:val="15"/>
                      </w:rPr>
                    </w:pPr>
                    <w:r>
                      <w:rPr>
                        <w:sz w:val="15"/>
                      </w:rPr>
                      <w:t>Gestión de proyectos y estudios Turísticos en Canarias, S.A.U.M.P. ** Gestión de Servicios para la Salud y Seguridad en Canarias, S.A. Gestión Del Medio Rural de Canarias, S.A.</w:t>
                    </w:r>
                  </w:p>
                  <w:p>
                    <w:pPr>
                      <w:spacing w:line="172" w:lineRule="exact" w:before="0"/>
                      <w:ind w:left="147" w:right="0" w:firstLine="0"/>
                      <w:jc w:val="left"/>
                      <w:rPr>
                        <w:sz w:val="15"/>
                      </w:rPr>
                    </w:pPr>
                    <w:r>
                      <w:rPr>
                        <w:sz w:val="15"/>
                      </w:rPr>
                      <w:t>Gestión Urbanística de Las Palmas, S.A. (en liquidación)</w:t>
                    </w:r>
                  </w:p>
                  <w:p>
                    <w:pPr>
                      <w:spacing w:line="252" w:lineRule="auto" w:before="0"/>
                      <w:ind w:left="147" w:right="320" w:firstLine="0"/>
                      <w:jc w:val="left"/>
                      <w:rPr>
                        <w:sz w:val="15"/>
                      </w:rPr>
                    </w:pPr>
                    <w:r>
                      <w:rPr>
                        <w:sz w:val="15"/>
                      </w:rPr>
                      <w:t>Gestión y Planeamiento Territorial y Medioambiental, S.A. Gestur Canarias, S.A.</w:t>
                    </w:r>
                  </w:p>
                  <w:p>
                    <w:pPr>
                      <w:spacing w:line="181" w:lineRule="exact" w:before="0"/>
                      <w:ind w:left="147" w:right="0" w:firstLine="0"/>
                      <w:jc w:val="left"/>
                      <w:rPr>
                        <w:sz w:val="15"/>
                      </w:rPr>
                    </w:pPr>
                    <w:r>
                      <w:rPr>
                        <w:sz w:val="15"/>
                      </w:rPr>
                      <w:t>Hoteles Escuela de Canarias,</w:t>
                    </w:r>
                    <w:r>
                      <w:rPr>
                        <w:spacing w:val="-1"/>
                        <w:sz w:val="15"/>
                      </w:rPr>
                      <w:t> </w:t>
                    </w:r>
                    <w:r>
                      <w:rPr>
                        <w:sz w:val="15"/>
                      </w:rPr>
                      <w:t>S.A.</w:t>
                    </w:r>
                  </w:p>
                  <w:p>
                    <w:pPr>
                      <w:spacing w:line="249" w:lineRule="auto" w:before="3"/>
                      <w:ind w:left="147" w:right="1358" w:firstLine="0"/>
                      <w:jc w:val="left"/>
                      <w:rPr>
                        <w:sz w:val="15"/>
                      </w:rPr>
                    </w:pPr>
                    <w:r>
                      <w:rPr>
                        <w:sz w:val="15"/>
                      </w:rPr>
                      <w:t>Instituto Canario de Desarrollo Cultural, S.A. Instituto Tecnológico de Canarias, S.A. Promotur Turismo Canarias,</w:t>
                    </w:r>
                    <w:r>
                      <w:rPr>
                        <w:spacing w:val="1"/>
                        <w:sz w:val="15"/>
                      </w:rPr>
                      <w:t> </w:t>
                    </w:r>
                    <w:r>
                      <w:rPr>
                        <w:sz w:val="15"/>
                      </w:rPr>
                      <w:t>S.A.</w:t>
                    </w:r>
                  </w:p>
                  <w:p>
                    <w:pPr>
                      <w:spacing w:before="0"/>
                      <w:ind w:left="147" w:right="0" w:firstLine="0"/>
                      <w:jc w:val="left"/>
                      <w:rPr>
                        <w:sz w:val="15"/>
                      </w:rPr>
                    </w:pPr>
                    <w:r>
                      <w:rPr>
                        <w:sz w:val="15"/>
                      </w:rPr>
                      <w:t>Radio Pública de Canarias, S.A.</w:t>
                    </w:r>
                  </w:p>
                  <w:p>
                    <w:pPr>
                      <w:spacing w:line="252" w:lineRule="auto" w:before="7"/>
                      <w:ind w:left="147" w:right="900" w:firstLine="0"/>
                      <w:jc w:val="left"/>
                      <w:rPr>
                        <w:sz w:val="15"/>
                      </w:rPr>
                    </w:pPr>
                    <w:r>
                      <w:rPr>
                        <w:sz w:val="15"/>
                      </w:rPr>
                      <w:t>Sociedad Canaria de Fomento Económico, S.A. Sociedad de Desarrollo Económico de Canarias, S.A. Televisión Pública de Canarias, S.A.</w:t>
                    </w:r>
                  </w:p>
                  <w:p>
                    <w:pPr>
                      <w:spacing w:line="176" w:lineRule="exact" w:before="0"/>
                      <w:ind w:left="147" w:right="0" w:firstLine="0"/>
                      <w:jc w:val="left"/>
                      <w:rPr>
                        <w:sz w:val="15"/>
                      </w:rPr>
                    </w:pPr>
                    <w:r>
                      <w:rPr>
                        <w:sz w:val="15"/>
                      </w:rPr>
                      <w:t>Viviendas Sociales e Infraestructura de Canarias, S.A.</w:t>
                    </w:r>
                  </w:p>
                </w:txbxContent>
              </v:textbox>
              <w10:wrap type="none"/>
            </v:shape>
            <v:shape style="position:absolute;left:8381;top:613;width:595;height:351" type="#_x0000_t202" filled="false" stroked="false">
              <v:textbox inset="0,0,0,0">
                <w:txbxContent>
                  <w:p>
                    <w:pPr>
                      <w:spacing w:line="154" w:lineRule="exact" w:before="0"/>
                      <w:ind w:left="0" w:right="0" w:firstLine="0"/>
                      <w:jc w:val="left"/>
                      <w:rPr>
                        <w:sz w:val="15"/>
                      </w:rPr>
                    </w:pPr>
                    <w:r>
                      <w:rPr>
                        <w:sz w:val="15"/>
                      </w:rPr>
                      <w:t>ESSSCAN</w:t>
                    </w:r>
                  </w:p>
                  <w:p>
                    <w:pPr>
                      <w:spacing w:line="181" w:lineRule="exact" w:before="16"/>
                      <w:ind w:left="0" w:right="0" w:firstLine="0"/>
                      <w:jc w:val="left"/>
                      <w:rPr>
                        <w:sz w:val="15"/>
                      </w:rPr>
                    </w:pPr>
                    <w:r>
                      <w:rPr>
                        <w:sz w:val="15"/>
                      </w:rPr>
                      <w:t>PUERTOS</w:t>
                    </w:r>
                  </w:p>
                </w:txbxContent>
              </v:textbox>
              <w10:wrap type="none"/>
            </v:shape>
            <v:shape style="position:absolute;left:2949;top:325;width:3396;height:639" type="#_x0000_t202" filled="false" stroked="false">
              <v:textbox inset="0,0,0,0">
                <w:txbxContent>
                  <w:p>
                    <w:pPr>
                      <w:spacing w:line="168" w:lineRule="exact" w:before="0"/>
                      <w:ind w:left="0" w:right="0" w:firstLine="0"/>
                      <w:jc w:val="left"/>
                      <w:rPr>
                        <w:b/>
                        <w:sz w:val="16"/>
                      </w:rPr>
                    </w:pPr>
                    <w:r>
                      <w:rPr>
                        <w:b/>
                        <w:w w:val="105"/>
                        <w:sz w:val="16"/>
                      </w:rPr>
                      <w:t>Entidades públicas empresariales:</w:t>
                    </w:r>
                  </w:p>
                  <w:p>
                    <w:pPr>
                      <w:spacing w:line="261" w:lineRule="auto" w:before="90"/>
                      <w:ind w:left="147" w:right="0" w:firstLine="0"/>
                      <w:jc w:val="left"/>
                      <w:rPr>
                        <w:sz w:val="15"/>
                      </w:rPr>
                    </w:pPr>
                    <w:r>
                      <w:rPr>
                        <w:sz w:val="15"/>
                      </w:rPr>
                      <w:t>Escuela de Servicios Sanitarios y Sociales de Canarias Puertos Canarios</w:t>
                    </w:r>
                  </w:p>
                </w:txbxContent>
              </v:textbox>
              <w10:wrap type="none"/>
            </v:shape>
            <w10:wrap type="topAndBottom"/>
          </v:group>
        </w:pict>
      </w:r>
    </w:p>
    <w:p>
      <w:pPr>
        <w:spacing w:line="133" w:lineRule="exact" w:before="0"/>
        <w:ind w:left="2099" w:right="0" w:firstLine="0"/>
        <w:jc w:val="both"/>
        <w:rPr>
          <w:sz w:val="13"/>
        </w:rPr>
      </w:pPr>
      <w:r>
        <w:rPr>
          <w:w w:val="105"/>
          <w:sz w:val="13"/>
        </w:rPr>
        <w:t>*Según informa la entidad en la nota 1 de la Memoria de las cuentas anuales 2022, en marzo de dicho año, la Junta General acordó</w:t>
      </w:r>
    </w:p>
    <w:p>
      <w:pPr>
        <w:spacing w:before="6"/>
        <w:ind w:left="2099" w:right="0" w:firstLine="0"/>
        <w:jc w:val="both"/>
        <w:rPr>
          <w:sz w:val="13"/>
        </w:rPr>
      </w:pPr>
      <w:r>
        <w:rPr>
          <w:w w:val="105"/>
          <w:sz w:val="13"/>
        </w:rPr>
        <w:t>el cambio de denominación social de la entidad Gestión Recaudatoria de Canarias, S.A.(GRECASA)</w:t>
      </w:r>
    </w:p>
    <w:p>
      <w:pPr>
        <w:spacing w:line="247" w:lineRule="auto" w:before="5"/>
        <w:ind w:left="2099" w:right="1142" w:firstLine="0"/>
        <w:jc w:val="both"/>
        <w:rPr>
          <w:sz w:val="13"/>
        </w:rPr>
      </w:pPr>
      <w:r>
        <w:rPr>
          <w:w w:val="105"/>
          <w:sz w:val="13"/>
        </w:rPr>
        <w:t>**</w:t>
      </w:r>
      <w:r>
        <w:rPr>
          <w:spacing w:val="-9"/>
          <w:w w:val="105"/>
          <w:sz w:val="13"/>
        </w:rPr>
        <w:t> </w:t>
      </w:r>
      <w:r>
        <w:rPr>
          <w:w w:val="105"/>
          <w:sz w:val="13"/>
        </w:rPr>
        <w:t>Según</w:t>
      </w:r>
      <w:r>
        <w:rPr>
          <w:spacing w:val="-8"/>
          <w:w w:val="105"/>
          <w:sz w:val="13"/>
        </w:rPr>
        <w:t> </w:t>
      </w:r>
      <w:r>
        <w:rPr>
          <w:w w:val="105"/>
          <w:sz w:val="13"/>
        </w:rPr>
        <w:t>informa</w:t>
      </w:r>
      <w:r>
        <w:rPr>
          <w:spacing w:val="-9"/>
          <w:w w:val="105"/>
          <w:sz w:val="13"/>
        </w:rPr>
        <w:t> </w:t>
      </w:r>
      <w:r>
        <w:rPr>
          <w:w w:val="105"/>
          <w:sz w:val="13"/>
        </w:rPr>
        <w:t>la</w:t>
      </w:r>
      <w:r>
        <w:rPr>
          <w:spacing w:val="-8"/>
          <w:w w:val="105"/>
          <w:sz w:val="13"/>
        </w:rPr>
        <w:t> </w:t>
      </w:r>
      <w:r>
        <w:rPr>
          <w:w w:val="105"/>
          <w:sz w:val="13"/>
        </w:rPr>
        <w:t>entidad</w:t>
      </w:r>
      <w:r>
        <w:rPr>
          <w:spacing w:val="-9"/>
          <w:w w:val="105"/>
          <w:sz w:val="13"/>
        </w:rPr>
        <w:t> </w:t>
      </w:r>
      <w:r>
        <w:rPr>
          <w:w w:val="105"/>
          <w:sz w:val="13"/>
        </w:rPr>
        <w:t>en</w:t>
      </w:r>
      <w:r>
        <w:rPr>
          <w:spacing w:val="-8"/>
          <w:w w:val="105"/>
          <w:sz w:val="13"/>
        </w:rPr>
        <w:t> </w:t>
      </w:r>
      <w:r>
        <w:rPr>
          <w:w w:val="105"/>
          <w:sz w:val="13"/>
        </w:rPr>
        <w:t>la</w:t>
      </w:r>
      <w:r>
        <w:rPr>
          <w:spacing w:val="-8"/>
          <w:w w:val="105"/>
          <w:sz w:val="13"/>
        </w:rPr>
        <w:t> </w:t>
      </w:r>
      <w:r>
        <w:rPr>
          <w:w w:val="105"/>
          <w:sz w:val="13"/>
        </w:rPr>
        <w:t>nota</w:t>
      </w:r>
      <w:r>
        <w:rPr>
          <w:spacing w:val="-8"/>
          <w:w w:val="105"/>
          <w:sz w:val="13"/>
        </w:rPr>
        <w:t> </w:t>
      </w:r>
      <w:r>
        <w:rPr>
          <w:w w:val="105"/>
          <w:sz w:val="13"/>
        </w:rPr>
        <w:t>1</w:t>
      </w:r>
      <w:r>
        <w:rPr>
          <w:spacing w:val="-7"/>
          <w:w w:val="105"/>
          <w:sz w:val="13"/>
        </w:rPr>
        <w:t> </w:t>
      </w:r>
      <w:r>
        <w:rPr>
          <w:w w:val="105"/>
          <w:sz w:val="13"/>
        </w:rPr>
        <w:t>de</w:t>
      </w:r>
      <w:r>
        <w:rPr>
          <w:spacing w:val="-8"/>
          <w:w w:val="105"/>
          <w:sz w:val="13"/>
        </w:rPr>
        <w:t> </w:t>
      </w:r>
      <w:r>
        <w:rPr>
          <w:w w:val="105"/>
          <w:sz w:val="13"/>
        </w:rPr>
        <w:t>la</w:t>
      </w:r>
      <w:r>
        <w:rPr>
          <w:spacing w:val="-8"/>
          <w:w w:val="105"/>
          <w:sz w:val="13"/>
        </w:rPr>
        <w:t> </w:t>
      </w:r>
      <w:r>
        <w:rPr>
          <w:w w:val="105"/>
          <w:sz w:val="13"/>
        </w:rPr>
        <w:t>Memoria</w:t>
      </w:r>
      <w:r>
        <w:rPr>
          <w:spacing w:val="-9"/>
          <w:w w:val="105"/>
          <w:sz w:val="13"/>
        </w:rPr>
        <w:t> </w:t>
      </w:r>
      <w:r>
        <w:rPr>
          <w:w w:val="105"/>
          <w:sz w:val="13"/>
        </w:rPr>
        <w:t>de</w:t>
      </w:r>
      <w:r>
        <w:rPr>
          <w:spacing w:val="-8"/>
          <w:w w:val="105"/>
          <w:sz w:val="13"/>
        </w:rPr>
        <w:t> </w:t>
      </w:r>
      <w:r>
        <w:rPr>
          <w:w w:val="105"/>
          <w:sz w:val="13"/>
        </w:rPr>
        <w:t>las</w:t>
      </w:r>
      <w:r>
        <w:rPr>
          <w:spacing w:val="-9"/>
          <w:w w:val="105"/>
          <w:sz w:val="13"/>
        </w:rPr>
        <w:t> </w:t>
      </w:r>
      <w:r>
        <w:rPr>
          <w:w w:val="105"/>
          <w:sz w:val="13"/>
        </w:rPr>
        <w:t>cuentas</w:t>
      </w:r>
      <w:r>
        <w:rPr>
          <w:spacing w:val="-8"/>
          <w:w w:val="105"/>
          <w:sz w:val="13"/>
        </w:rPr>
        <w:t> </w:t>
      </w:r>
      <w:r>
        <w:rPr>
          <w:w w:val="105"/>
          <w:sz w:val="13"/>
        </w:rPr>
        <w:t>anuales</w:t>
      </w:r>
      <w:r>
        <w:rPr>
          <w:spacing w:val="-8"/>
          <w:w w:val="105"/>
          <w:sz w:val="13"/>
        </w:rPr>
        <w:t> </w:t>
      </w:r>
      <w:r>
        <w:rPr>
          <w:w w:val="105"/>
          <w:sz w:val="13"/>
        </w:rPr>
        <w:t>2022,</w:t>
      </w:r>
      <w:r>
        <w:rPr>
          <w:spacing w:val="-7"/>
          <w:w w:val="105"/>
          <w:sz w:val="13"/>
        </w:rPr>
        <w:t> </w:t>
      </w:r>
      <w:r>
        <w:rPr>
          <w:w w:val="105"/>
          <w:sz w:val="13"/>
        </w:rPr>
        <w:t>en</w:t>
      </w:r>
      <w:r>
        <w:rPr>
          <w:spacing w:val="-10"/>
          <w:w w:val="105"/>
          <w:sz w:val="13"/>
        </w:rPr>
        <w:t> </w:t>
      </w:r>
      <w:r>
        <w:rPr>
          <w:w w:val="105"/>
          <w:sz w:val="13"/>
        </w:rPr>
        <w:t>febrero</w:t>
      </w:r>
      <w:r>
        <w:rPr>
          <w:spacing w:val="-8"/>
          <w:w w:val="105"/>
          <w:sz w:val="13"/>
        </w:rPr>
        <w:t> </w:t>
      </w:r>
      <w:r>
        <w:rPr>
          <w:w w:val="105"/>
          <w:sz w:val="13"/>
        </w:rPr>
        <w:t>de</w:t>
      </w:r>
      <w:r>
        <w:rPr>
          <w:spacing w:val="-8"/>
          <w:w w:val="105"/>
          <w:sz w:val="13"/>
        </w:rPr>
        <w:t> </w:t>
      </w:r>
      <w:r>
        <w:rPr>
          <w:w w:val="105"/>
          <w:sz w:val="13"/>
        </w:rPr>
        <w:t>2023,</w:t>
      </w:r>
      <w:r>
        <w:rPr>
          <w:spacing w:val="-6"/>
          <w:w w:val="105"/>
          <w:sz w:val="13"/>
        </w:rPr>
        <w:t> </w:t>
      </w:r>
      <w:r>
        <w:rPr>
          <w:w w:val="105"/>
          <w:sz w:val="13"/>
        </w:rPr>
        <w:t>el</w:t>
      </w:r>
      <w:r>
        <w:rPr>
          <w:spacing w:val="-8"/>
          <w:w w:val="105"/>
          <w:sz w:val="13"/>
        </w:rPr>
        <w:t> </w:t>
      </w:r>
      <w:r>
        <w:rPr>
          <w:w w:val="105"/>
          <w:sz w:val="13"/>
        </w:rPr>
        <w:t>accionista</w:t>
      </w:r>
      <w:r>
        <w:rPr>
          <w:spacing w:val="-8"/>
          <w:w w:val="105"/>
          <w:sz w:val="13"/>
        </w:rPr>
        <w:t> </w:t>
      </w:r>
      <w:r>
        <w:rPr>
          <w:w w:val="105"/>
          <w:sz w:val="13"/>
        </w:rPr>
        <w:t>único</w:t>
      </w:r>
      <w:r>
        <w:rPr>
          <w:spacing w:val="-8"/>
          <w:w w:val="105"/>
          <w:sz w:val="13"/>
        </w:rPr>
        <w:t> </w:t>
      </w:r>
      <w:r>
        <w:rPr>
          <w:w w:val="105"/>
          <w:sz w:val="13"/>
        </w:rPr>
        <w:t>acordó la</w:t>
      </w:r>
      <w:r>
        <w:rPr>
          <w:spacing w:val="-17"/>
          <w:w w:val="105"/>
          <w:sz w:val="13"/>
        </w:rPr>
        <w:t> </w:t>
      </w:r>
      <w:r>
        <w:rPr>
          <w:w w:val="105"/>
          <w:sz w:val="13"/>
        </w:rPr>
        <w:t>modificación</w:t>
      </w:r>
      <w:r>
        <w:rPr>
          <w:spacing w:val="-14"/>
          <w:w w:val="105"/>
          <w:sz w:val="13"/>
        </w:rPr>
        <w:t> </w:t>
      </w:r>
      <w:r>
        <w:rPr>
          <w:w w:val="105"/>
          <w:sz w:val="13"/>
        </w:rPr>
        <w:t>de</w:t>
      </w:r>
      <w:r>
        <w:rPr>
          <w:spacing w:val="-16"/>
          <w:w w:val="105"/>
          <w:sz w:val="13"/>
        </w:rPr>
        <w:t> </w:t>
      </w:r>
      <w:r>
        <w:rPr>
          <w:w w:val="105"/>
          <w:sz w:val="13"/>
        </w:rPr>
        <w:t>la</w:t>
      </w:r>
      <w:r>
        <w:rPr>
          <w:spacing w:val="-16"/>
          <w:w w:val="105"/>
          <w:sz w:val="13"/>
        </w:rPr>
        <w:t> </w:t>
      </w:r>
      <w:r>
        <w:rPr>
          <w:w w:val="105"/>
          <w:sz w:val="13"/>
        </w:rPr>
        <w:t>denominación</w:t>
      </w:r>
      <w:r>
        <w:rPr>
          <w:spacing w:val="-16"/>
          <w:w w:val="105"/>
          <w:sz w:val="13"/>
        </w:rPr>
        <w:t> </w:t>
      </w:r>
      <w:r>
        <w:rPr>
          <w:w w:val="105"/>
          <w:sz w:val="13"/>
        </w:rPr>
        <w:t>social</w:t>
      </w:r>
      <w:r>
        <w:rPr>
          <w:spacing w:val="-17"/>
          <w:w w:val="105"/>
          <w:sz w:val="13"/>
        </w:rPr>
        <w:t> </w:t>
      </w:r>
      <w:r>
        <w:rPr>
          <w:w w:val="105"/>
          <w:sz w:val="13"/>
        </w:rPr>
        <w:t>de</w:t>
      </w:r>
      <w:r>
        <w:rPr>
          <w:spacing w:val="-15"/>
          <w:w w:val="105"/>
          <w:sz w:val="13"/>
        </w:rPr>
        <w:t> </w:t>
      </w:r>
      <w:r>
        <w:rPr>
          <w:w w:val="105"/>
          <w:sz w:val="13"/>
        </w:rPr>
        <w:t>la</w:t>
      </w:r>
      <w:r>
        <w:rPr>
          <w:spacing w:val="-15"/>
          <w:w w:val="105"/>
          <w:sz w:val="13"/>
        </w:rPr>
        <w:t> </w:t>
      </w:r>
      <w:r>
        <w:rPr>
          <w:w w:val="105"/>
          <w:sz w:val="13"/>
        </w:rPr>
        <w:t>entidad</w:t>
      </w:r>
      <w:r>
        <w:rPr>
          <w:spacing w:val="-16"/>
          <w:w w:val="105"/>
          <w:sz w:val="13"/>
        </w:rPr>
        <w:t> </w:t>
      </w:r>
      <w:r>
        <w:rPr>
          <w:w w:val="105"/>
          <w:sz w:val="13"/>
        </w:rPr>
        <w:t>Sociedad</w:t>
      </w:r>
      <w:r>
        <w:rPr>
          <w:spacing w:val="-15"/>
          <w:w w:val="105"/>
          <w:sz w:val="13"/>
        </w:rPr>
        <w:t> </w:t>
      </w:r>
      <w:r>
        <w:rPr>
          <w:w w:val="105"/>
          <w:sz w:val="13"/>
        </w:rPr>
        <w:t>Anónima</w:t>
      </w:r>
      <w:r>
        <w:rPr>
          <w:spacing w:val="-16"/>
          <w:w w:val="105"/>
          <w:sz w:val="13"/>
        </w:rPr>
        <w:t> </w:t>
      </w:r>
      <w:r>
        <w:rPr>
          <w:w w:val="105"/>
          <w:sz w:val="13"/>
        </w:rPr>
        <w:t>de</w:t>
      </w:r>
      <w:r>
        <w:rPr>
          <w:spacing w:val="-14"/>
          <w:w w:val="105"/>
          <w:sz w:val="13"/>
        </w:rPr>
        <w:t> </w:t>
      </w:r>
      <w:r>
        <w:rPr>
          <w:w w:val="105"/>
          <w:sz w:val="13"/>
        </w:rPr>
        <w:t>Promoción</w:t>
      </w:r>
      <w:r>
        <w:rPr>
          <w:spacing w:val="-16"/>
          <w:w w:val="105"/>
          <w:sz w:val="13"/>
        </w:rPr>
        <w:t> </w:t>
      </w:r>
      <w:r>
        <w:rPr>
          <w:w w:val="105"/>
          <w:sz w:val="13"/>
        </w:rPr>
        <w:t>del</w:t>
      </w:r>
      <w:r>
        <w:rPr>
          <w:spacing w:val="-16"/>
          <w:w w:val="105"/>
          <w:sz w:val="13"/>
        </w:rPr>
        <w:t> </w:t>
      </w:r>
      <w:r>
        <w:rPr>
          <w:w w:val="105"/>
          <w:sz w:val="13"/>
        </w:rPr>
        <w:t>Turismo,</w:t>
      </w:r>
      <w:r>
        <w:rPr>
          <w:spacing w:val="-16"/>
          <w:w w:val="105"/>
          <w:sz w:val="13"/>
        </w:rPr>
        <w:t> </w:t>
      </w:r>
      <w:r>
        <w:rPr>
          <w:w w:val="105"/>
          <w:sz w:val="13"/>
        </w:rPr>
        <w:t>Naturaleza</w:t>
      </w:r>
      <w:r>
        <w:rPr>
          <w:spacing w:val="-15"/>
          <w:w w:val="105"/>
          <w:sz w:val="13"/>
        </w:rPr>
        <w:t> </w:t>
      </w:r>
      <w:r>
        <w:rPr>
          <w:w w:val="105"/>
          <w:sz w:val="13"/>
        </w:rPr>
        <w:t>y</w:t>
      </w:r>
      <w:r>
        <w:rPr>
          <w:spacing w:val="-16"/>
          <w:w w:val="105"/>
          <w:sz w:val="13"/>
        </w:rPr>
        <w:t> </w:t>
      </w:r>
      <w:r>
        <w:rPr>
          <w:w w:val="105"/>
          <w:sz w:val="13"/>
        </w:rPr>
        <w:t>Ocio,</w:t>
      </w:r>
      <w:r>
        <w:rPr>
          <w:spacing w:val="-14"/>
          <w:w w:val="105"/>
          <w:sz w:val="13"/>
        </w:rPr>
        <w:t> </w:t>
      </w:r>
      <w:r>
        <w:rPr>
          <w:w w:val="105"/>
          <w:sz w:val="13"/>
        </w:rPr>
        <w:t>(SATURNO), pasando a denominarse Gestión de Proyectos y estudios turísticos de Canarias, S.A.U.M.P.(GESPROTUR). Dado que en la Cuenta General</w:t>
      </w:r>
      <w:r>
        <w:rPr>
          <w:spacing w:val="-3"/>
          <w:w w:val="105"/>
          <w:sz w:val="13"/>
        </w:rPr>
        <w:t> </w:t>
      </w:r>
      <w:r>
        <w:rPr>
          <w:w w:val="105"/>
          <w:sz w:val="13"/>
        </w:rPr>
        <w:t>se</w:t>
      </w:r>
      <w:r>
        <w:rPr>
          <w:spacing w:val="-3"/>
          <w:w w:val="105"/>
          <w:sz w:val="13"/>
        </w:rPr>
        <w:t> </w:t>
      </w:r>
      <w:r>
        <w:rPr>
          <w:w w:val="105"/>
          <w:sz w:val="13"/>
        </w:rPr>
        <w:t>recoge</w:t>
      </w:r>
      <w:r>
        <w:rPr>
          <w:spacing w:val="-3"/>
          <w:w w:val="105"/>
          <w:sz w:val="13"/>
        </w:rPr>
        <w:t> </w:t>
      </w:r>
      <w:r>
        <w:rPr>
          <w:w w:val="105"/>
          <w:sz w:val="13"/>
        </w:rPr>
        <w:t>con</w:t>
      </w:r>
      <w:r>
        <w:rPr>
          <w:spacing w:val="-3"/>
          <w:w w:val="105"/>
          <w:sz w:val="13"/>
        </w:rPr>
        <w:t> </w:t>
      </w:r>
      <w:r>
        <w:rPr>
          <w:w w:val="105"/>
          <w:sz w:val="13"/>
        </w:rPr>
        <w:t>esta</w:t>
      </w:r>
      <w:r>
        <w:rPr>
          <w:spacing w:val="-3"/>
          <w:w w:val="105"/>
          <w:sz w:val="13"/>
        </w:rPr>
        <w:t> </w:t>
      </w:r>
      <w:r>
        <w:rPr>
          <w:w w:val="105"/>
          <w:sz w:val="13"/>
        </w:rPr>
        <w:t>denominación,</w:t>
      </w:r>
      <w:r>
        <w:rPr>
          <w:spacing w:val="-2"/>
          <w:w w:val="105"/>
          <w:sz w:val="13"/>
        </w:rPr>
        <w:t> </w:t>
      </w:r>
      <w:r>
        <w:rPr>
          <w:w w:val="105"/>
          <w:sz w:val="13"/>
        </w:rPr>
        <w:t>en</w:t>
      </w:r>
      <w:r>
        <w:rPr>
          <w:spacing w:val="-3"/>
          <w:w w:val="105"/>
          <w:sz w:val="13"/>
        </w:rPr>
        <w:t> </w:t>
      </w:r>
      <w:r>
        <w:rPr>
          <w:w w:val="105"/>
          <w:sz w:val="13"/>
        </w:rPr>
        <w:t>este</w:t>
      </w:r>
      <w:r>
        <w:rPr>
          <w:spacing w:val="-3"/>
          <w:w w:val="105"/>
          <w:sz w:val="13"/>
        </w:rPr>
        <w:t> </w:t>
      </w:r>
      <w:r>
        <w:rPr>
          <w:w w:val="105"/>
          <w:sz w:val="13"/>
        </w:rPr>
        <w:t>Informe</w:t>
      </w:r>
      <w:r>
        <w:rPr>
          <w:spacing w:val="-3"/>
          <w:w w:val="105"/>
          <w:sz w:val="13"/>
        </w:rPr>
        <w:t> </w:t>
      </w:r>
      <w:r>
        <w:rPr>
          <w:w w:val="105"/>
          <w:sz w:val="13"/>
        </w:rPr>
        <w:t>se</w:t>
      </w:r>
      <w:r>
        <w:rPr>
          <w:spacing w:val="-3"/>
          <w:w w:val="105"/>
          <w:sz w:val="13"/>
        </w:rPr>
        <w:t> </w:t>
      </w:r>
      <w:r>
        <w:rPr>
          <w:w w:val="105"/>
          <w:sz w:val="13"/>
        </w:rPr>
        <w:t>recoge</w:t>
      </w:r>
      <w:r>
        <w:rPr>
          <w:spacing w:val="-3"/>
          <w:w w:val="105"/>
          <w:sz w:val="13"/>
        </w:rPr>
        <w:t> </w:t>
      </w:r>
      <w:r>
        <w:rPr>
          <w:w w:val="105"/>
          <w:sz w:val="13"/>
        </w:rPr>
        <w:t>con</w:t>
      </w:r>
      <w:r>
        <w:rPr>
          <w:spacing w:val="-3"/>
          <w:w w:val="105"/>
          <w:sz w:val="13"/>
        </w:rPr>
        <w:t> </w:t>
      </w:r>
      <w:r>
        <w:rPr>
          <w:w w:val="105"/>
          <w:sz w:val="13"/>
        </w:rPr>
        <w:t>dicha</w:t>
      </w:r>
      <w:r>
        <w:rPr>
          <w:spacing w:val="-3"/>
          <w:w w:val="105"/>
          <w:sz w:val="13"/>
        </w:rPr>
        <w:t> </w:t>
      </w:r>
      <w:r>
        <w:rPr>
          <w:w w:val="105"/>
          <w:sz w:val="13"/>
        </w:rPr>
        <w:t>denominación.</w:t>
      </w:r>
    </w:p>
    <w:p>
      <w:pPr>
        <w:pStyle w:val="BodyText"/>
        <w:spacing w:before="5"/>
        <w:rPr>
          <w:sz w:val="16"/>
        </w:rPr>
      </w:pPr>
    </w:p>
    <w:p>
      <w:pPr>
        <w:pStyle w:val="Heading1"/>
        <w:numPr>
          <w:ilvl w:val="2"/>
          <w:numId w:val="56"/>
        </w:numPr>
        <w:tabs>
          <w:tab w:pos="2694" w:val="left" w:leader="none"/>
        </w:tabs>
        <w:spacing w:line="240" w:lineRule="auto" w:before="0" w:after="0"/>
        <w:ind w:left="2693" w:right="0" w:hanging="605"/>
        <w:jc w:val="left"/>
      </w:pPr>
      <w:bookmarkStart w:name="_TOC_250016" w:id="6"/>
      <w:r>
        <w:rPr>
          <w:color w:val="53A1B9"/>
        </w:rPr>
        <w:t>Descripción de la</w:t>
      </w:r>
      <w:r>
        <w:rPr>
          <w:color w:val="53A1B9"/>
          <w:spacing w:val="-2"/>
        </w:rPr>
        <w:t> </w:t>
      </w:r>
      <w:bookmarkEnd w:id="6"/>
      <w:r>
        <w:rPr>
          <w:color w:val="53A1B9"/>
        </w:rPr>
        <w:t>composición.</w:t>
      </w:r>
    </w:p>
    <w:p>
      <w:pPr>
        <w:pStyle w:val="BodyText"/>
        <w:spacing w:before="10"/>
        <w:rPr>
          <w:b/>
          <w:sz w:val="16"/>
        </w:rPr>
      </w:pPr>
    </w:p>
    <w:p>
      <w:pPr>
        <w:pStyle w:val="ListParagraph"/>
        <w:numPr>
          <w:ilvl w:val="0"/>
          <w:numId w:val="57"/>
        </w:numPr>
        <w:tabs>
          <w:tab w:pos="2337" w:val="left" w:leader="none"/>
        </w:tabs>
        <w:spacing w:line="240" w:lineRule="auto" w:before="0" w:after="0"/>
        <w:ind w:left="2336" w:right="1146" w:hanging="238"/>
        <w:jc w:val="both"/>
        <w:rPr>
          <w:sz w:val="20"/>
        </w:rPr>
      </w:pPr>
      <w:r>
        <w:rPr>
          <w:sz w:val="20"/>
        </w:rPr>
        <w:t>A 31 de diciembre de 2022, el sector público empresarial lo conformaban 19 sociedades mercantiles y dos entidades públicas</w:t>
      </w:r>
      <w:r>
        <w:rPr>
          <w:spacing w:val="-3"/>
          <w:sz w:val="20"/>
        </w:rPr>
        <w:t> </w:t>
      </w:r>
      <w:r>
        <w:rPr>
          <w:sz w:val="20"/>
        </w:rPr>
        <w:t>empresariales.</w:t>
      </w:r>
    </w:p>
    <w:p>
      <w:pPr>
        <w:pStyle w:val="BodyText"/>
        <w:spacing w:before="10"/>
        <w:rPr>
          <w:sz w:val="16"/>
        </w:rPr>
      </w:pPr>
    </w:p>
    <w:p>
      <w:pPr>
        <w:pStyle w:val="ListParagraph"/>
        <w:numPr>
          <w:ilvl w:val="0"/>
          <w:numId w:val="57"/>
        </w:numPr>
        <w:tabs>
          <w:tab w:pos="2337" w:val="left" w:leader="none"/>
        </w:tabs>
        <w:spacing w:line="240" w:lineRule="auto" w:before="0" w:after="0"/>
        <w:ind w:left="2336" w:right="1141" w:hanging="238"/>
        <w:jc w:val="both"/>
        <w:rPr>
          <w:sz w:val="20"/>
        </w:rPr>
      </w:pPr>
      <w:r>
        <w:rPr>
          <w:sz w:val="20"/>
        </w:rPr>
        <w:t>No se ha incluido en la Cuenta General presentada, las cuentas anuales correspondientes a la entidad pública empresarial Escuela de Servicios Sanitarios y Sociales de Canarias ESSSCAN, al no haber sido presentadas a la IGCAC a la fecha de elaboración</w:t>
      </w:r>
      <w:r>
        <w:rPr>
          <w:spacing w:val="-8"/>
          <w:sz w:val="20"/>
        </w:rPr>
        <w:t> </w:t>
      </w:r>
      <w:r>
        <w:rPr>
          <w:sz w:val="20"/>
        </w:rPr>
        <w:t>de</w:t>
      </w:r>
      <w:r>
        <w:rPr>
          <w:spacing w:val="-7"/>
          <w:sz w:val="20"/>
        </w:rPr>
        <w:t> </w:t>
      </w:r>
      <w:r>
        <w:rPr>
          <w:sz w:val="20"/>
        </w:rPr>
        <w:t>la</w:t>
      </w:r>
      <w:r>
        <w:rPr>
          <w:spacing w:val="-8"/>
          <w:sz w:val="20"/>
        </w:rPr>
        <w:t> </w:t>
      </w:r>
      <w:r>
        <w:rPr>
          <w:sz w:val="20"/>
        </w:rPr>
        <w:t>Cuenta,</w:t>
      </w:r>
      <w:r>
        <w:rPr>
          <w:spacing w:val="-9"/>
          <w:sz w:val="20"/>
        </w:rPr>
        <w:t> </w:t>
      </w:r>
      <w:r>
        <w:rPr>
          <w:sz w:val="20"/>
        </w:rPr>
        <w:t>en</w:t>
      </w:r>
      <w:r>
        <w:rPr>
          <w:spacing w:val="-7"/>
          <w:sz w:val="20"/>
        </w:rPr>
        <w:t> </w:t>
      </w:r>
      <w:r>
        <w:rPr>
          <w:sz w:val="20"/>
        </w:rPr>
        <w:t>cumplimiento</w:t>
      </w:r>
      <w:r>
        <w:rPr>
          <w:spacing w:val="-9"/>
          <w:sz w:val="20"/>
        </w:rPr>
        <w:t> </w:t>
      </w:r>
      <w:r>
        <w:rPr>
          <w:sz w:val="20"/>
        </w:rPr>
        <w:t>de</w:t>
      </w:r>
      <w:r>
        <w:rPr>
          <w:spacing w:val="-8"/>
          <w:sz w:val="20"/>
        </w:rPr>
        <w:t> </w:t>
      </w:r>
      <w:r>
        <w:rPr>
          <w:sz w:val="20"/>
        </w:rPr>
        <w:t>la</w:t>
      </w:r>
      <w:r>
        <w:rPr>
          <w:spacing w:val="-7"/>
          <w:sz w:val="20"/>
        </w:rPr>
        <w:t> </w:t>
      </w:r>
      <w:r>
        <w:rPr>
          <w:sz w:val="20"/>
        </w:rPr>
        <w:t>Orden</w:t>
      </w:r>
      <w:r>
        <w:rPr>
          <w:spacing w:val="-8"/>
          <w:sz w:val="20"/>
        </w:rPr>
        <w:t> </w:t>
      </w:r>
      <w:r>
        <w:rPr>
          <w:sz w:val="20"/>
        </w:rPr>
        <w:t>de</w:t>
      </w:r>
      <w:r>
        <w:rPr>
          <w:spacing w:val="-8"/>
          <w:sz w:val="20"/>
        </w:rPr>
        <w:t> </w:t>
      </w:r>
      <w:r>
        <w:rPr>
          <w:sz w:val="20"/>
        </w:rPr>
        <w:t>la</w:t>
      </w:r>
      <w:r>
        <w:rPr>
          <w:spacing w:val="-7"/>
          <w:sz w:val="20"/>
        </w:rPr>
        <w:t> </w:t>
      </w:r>
      <w:r>
        <w:rPr>
          <w:sz w:val="20"/>
        </w:rPr>
        <w:t>Consejería</w:t>
      </w:r>
      <w:r>
        <w:rPr>
          <w:spacing w:val="-8"/>
          <w:sz w:val="20"/>
        </w:rPr>
        <w:t> </w:t>
      </w:r>
      <w:r>
        <w:rPr>
          <w:sz w:val="20"/>
        </w:rPr>
        <w:t>de</w:t>
      </w:r>
      <w:r>
        <w:rPr>
          <w:spacing w:val="-9"/>
          <w:sz w:val="20"/>
        </w:rPr>
        <w:t> </w:t>
      </w:r>
      <w:r>
        <w:rPr>
          <w:sz w:val="20"/>
        </w:rPr>
        <w:t>Economía, Hacienda y Seguridad de 1 de junio de 2015. Con fecha 5 de octubre la IGCAC remite las cuentas anuales e Informe de auditoría de dicha</w:t>
      </w:r>
      <w:r>
        <w:rPr>
          <w:spacing w:val="3"/>
          <w:sz w:val="20"/>
        </w:rPr>
        <w:t> </w:t>
      </w:r>
      <w:r>
        <w:rPr>
          <w:sz w:val="20"/>
        </w:rPr>
        <w:t>entidad.</w:t>
      </w:r>
    </w:p>
    <w:p>
      <w:pPr>
        <w:pStyle w:val="BodyText"/>
      </w:pPr>
    </w:p>
    <w:p>
      <w:pPr>
        <w:pStyle w:val="BodyText"/>
        <w:spacing w:before="3"/>
        <w:rPr>
          <w:sz w:val="15"/>
        </w:rPr>
      </w:pPr>
    </w:p>
    <w:p>
      <w:pPr>
        <w:pStyle w:val="BodyText"/>
        <w:spacing w:before="61"/>
        <w:ind w:left="7787"/>
        <w:jc w:val="center"/>
      </w:pPr>
      <w:r>
        <w:rPr/>
        <w:t>109</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33" name="image5.png"/>
                  <wp:cNvGraphicFramePr>
                    <a:graphicFrameLocks noChangeAspect="1"/>
                  </wp:cNvGraphicFramePr>
                  <a:graphic>
                    <a:graphicData uri="http://schemas.openxmlformats.org/drawingml/2006/picture">
                      <pic:pic>
                        <pic:nvPicPr>
                          <pic:cNvPr id="23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111/247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58"/>
        </w:numPr>
        <w:tabs>
          <w:tab w:pos="2337" w:val="left" w:leader="none"/>
        </w:tabs>
        <w:spacing w:line="242" w:lineRule="auto" w:before="61" w:after="0"/>
        <w:ind w:left="2336" w:right="1144" w:hanging="238"/>
        <w:jc w:val="both"/>
        <w:rPr>
          <w:sz w:val="20"/>
        </w:rPr>
      </w:pPr>
      <w:r>
        <w:rPr>
          <w:sz w:val="20"/>
        </w:rPr>
        <w:t>En 2013, el Gobierno acuerda la disolución de GESTUR LPA, encontrándose aún en liquidación a la fecha de redacción del presente Informe. En las Cuentas anuales de la Sociedad correspondientes al ejercicio 2022 se recoge que en junio de 2023 se preveía</w:t>
      </w:r>
      <w:r>
        <w:rPr>
          <w:spacing w:val="-10"/>
          <w:sz w:val="20"/>
        </w:rPr>
        <w:t> </w:t>
      </w:r>
      <w:r>
        <w:rPr>
          <w:sz w:val="20"/>
        </w:rPr>
        <w:t>la</w:t>
      </w:r>
      <w:r>
        <w:rPr>
          <w:spacing w:val="-9"/>
          <w:sz w:val="20"/>
        </w:rPr>
        <w:t> </w:t>
      </w:r>
      <w:r>
        <w:rPr>
          <w:sz w:val="20"/>
        </w:rPr>
        <w:t>aprobación</w:t>
      </w:r>
      <w:r>
        <w:rPr>
          <w:spacing w:val="-9"/>
          <w:sz w:val="20"/>
        </w:rPr>
        <w:t> </w:t>
      </w:r>
      <w:r>
        <w:rPr>
          <w:sz w:val="20"/>
        </w:rPr>
        <w:t>en</w:t>
      </w:r>
      <w:r>
        <w:rPr>
          <w:spacing w:val="-11"/>
          <w:sz w:val="20"/>
        </w:rPr>
        <w:t> </w:t>
      </w:r>
      <w:r>
        <w:rPr>
          <w:sz w:val="20"/>
        </w:rPr>
        <w:t>junta</w:t>
      </w:r>
      <w:r>
        <w:rPr>
          <w:spacing w:val="-7"/>
          <w:sz w:val="20"/>
        </w:rPr>
        <w:t> </w:t>
      </w:r>
      <w:r>
        <w:rPr>
          <w:sz w:val="20"/>
        </w:rPr>
        <w:t>general</w:t>
      </w:r>
      <w:r>
        <w:rPr>
          <w:spacing w:val="-11"/>
          <w:sz w:val="20"/>
        </w:rPr>
        <w:t> </w:t>
      </w:r>
      <w:r>
        <w:rPr>
          <w:sz w:val="20"/>
        </w:rPr>
        <w:t>del</w:t>
      </w:r>
      <w:r>
        <w:rPr>
          <w:spacing w:val="-9"/>
          <w:sz w:val="20"/>
        </w:rPr>
        <w:t> </w:t>
      </w:r>
      <w:r>
        <w:rPr>
          <w:sz w:val="20"/>
        </w:rPr>
        <w:t>balance</w:t>
      </w:r>
      <w:r>
        <w:rPr>
          <w:spacing w:val="-10"/>
          <w:sz w:val="20"/>
        </w:rPr>
        <w:t> </w:t>
      </w:r>
      <w:r>
        <w:rPr>
          <w:sz w:val="20"/>
        </w:rPr>
        <w:t>final</w:t>
      </w:r>
      <w:r>
        <w:rPr>
          <w:spacing w:val="-9"/>
          <w:sz w:val="20"/>
        </w:rPr>
        <w:t> </w:t>
      </w:r>
      <w:r>
        <w:rPr>
          <w:sz w:val="20"/>
        </w:rPr>
        <w:t>y</w:t>
      </w:r>
      <w:r>
        <w:rPr>
          <w:spacing w:val="-8"/>
          <w:sz w:val="20"/>
        </w:rPr>
        <w:t> </w:t>
      </w:r>
      <w:r>
        <w:rPr>
          <w:sz w:val="20"/>
        </w:rPr>
        <w:t>la</w:t>
      </w:r>
      <w:r>
        <w:rPr>
          <w:spacing w:val="-10"/>
          <w:sz w:val="20"/>
        </w:rPr>
        <w:t> </w:t>
      </w:r>
      <w:r>
        <w:rPr>
          <w:sz w:val="20"/>
        </w:rPr>
        <w:t>determinación</w:t>
      </w:r>
      <w:r>
        <w:rPr>
          <w:spacing w:val="-9"/>
          <w:sz w:val="20"/>
        </w:rPr>
        <w:t> </w:t>
      </w:r>
      <w:r>
        <w:rPr>
          <w:sz w:val="20"/>
        </w:rPr>
        <w:t>de</w:t>
      </w:r>
      <w:r>
        <w:rPr>
          <w:spacing w:val="-7"/>
          <w:sz w:val="20"/>
        </w:rPr>
        <w:t> </w:t>
      </w:r>
      <w:r>
        <w:rPr>
          <w:sz w:val="20"/>
        </w:rPr>
        <w:t>la</w:t>
      </w:r>
      <w:r>
        <w:rPr>
          <w:spacing w:val="-7"/>
          <w:sz w:val="20"/>
        </w:rPr>
        <w:t> </w:t>
      </w:r>
      <w:r>
        <w:rPr>
          <w:sz w:val="20"/>
        </w:rPr>
        <w:t>cuota de liquidación, para luego proceder al reparto del patrimonio social neto; no obstante, el plazo definitivo para otorgar la escritura de liquidación y extinción de la Sociedad vendrá determinado por la finalización de los diferentes litigios en los que la entidad se encuentra inmersa y el estado de tramitación de diversos procesos administrativos y urbanísticos en que es parte la</w:t>
      </w:r>
      <w:r>
        <w:rPr>
          <w:spacing w:val="2"/>
          <w:sz w:val="20"/>
        </w:rPr>
        <w:t> </w:t>
      </w:r>
      <w:r>
        <w:rPr>
          <w:sz w:val="20"/>
        </w:rPr>
        <w:t>sociedad.</w:t>
      </w:r>
    </w:p>
    <w:p>
      <w:pPr>
        <w:pStyle w:val="BodyText"/>
        <w:spacing w:before="2"/>
        <w:rPr>
          <w:sz w:val="16"/>
        </w:rPr>
      </w:pPr>
    </w:p>
    <w:p>
      <w:pPr>
        <w:pStyle w:val="ListParagraph"/>
        <w:numPr>
          <w:ilvl w:val="0"/>
          <w:numId w:val="58"/>
        </w:numPr>
        <w:tabs>
          <w:tab w:pos="2337" w:val="left" w:leader="none"/>
        </w:tabs>
        <w:spacing w:line="240" w:lineRule="auto" w:before="0" w:after="0"/>
        <w:ind w:left="2336" w:right="1142" w:hanging="238"/>
        <w:jc w:val="both"/>
        <w:rPr>
          <w:sz w:val="20"/>
        </w:rPr>
      </w:pPr>
      <w:r>
        <w:rPr>
          <w:sz w:val="20"/>
        </w:rPr>
        <w:t>Se</w:t>
      </w:r>
      <w:r>
        <w:rPr>
          <w:spacing w:val="-6"/>
          <w:sz w:val="20"/>
        </w:rPr>
        <w:t> </w:t>
      </w:r>
      <w:r>
        <w:rPr>
          <w:sz w:val="20"/>
        </w:rPr>
        <w:t>incumple</w:t>
      </w:r>
      <w:r>
        <w:rPr>
          <w:spacing w:val="-7"/>
          <w:sz w:val="20"/>
        </w:rPr>
        <w:t> </w:t>
      </w:r>
      <w:r>
        <w:rPr>
          <w:sz w:val="20"/>
        </w:rPr>
        <w:t>el</w:t>
      </w:r>
      <w:r>
        <w:rPr>
          <w:spacing w:val="-8"/>
          <w:sz w:val="20"/>
        </w:rPr>
        <w:t> </w:t>
      </w:r>
      <w:r>
        <w:rPr>
          <w:sz w:val="20"/>
        </w:rPr>
        <w:t>plazo</w:t>
      </w:r>
      <w:r>
        <w:rPr>
          <w:spacing w:val="-5"/>
          <w:sz w:val="20"/>
        </w:rPr>
        <w:t> </w:t>
      </w:r>
      <w:r>
        <w:rPr>
          <w:sz w:val="20"/>
        </w:rPr>
        <w:t>de</w:t>
      </w:r>
      <w:r>
        <w:rPr>
          <w:spacing w:val="-8"/>
          <w:sz w:val="20"/>
        </w:rPr>
        <w:t> </w:t>
      </w:r>
      <w:r>
        <w:rPr>
          <w:sz w:val="20"/>
        </w:rPr>
        <w:t>formulación</w:t>
      </w:r>
      <w:r>
        <w:rPr>
          <w:spacing w:val="-5"/>
          <w:sz w:val="20"/>
        </w:rPr>
        <w:t> </w:t>
      </w:r>
      <w:r>
        <w:rPr>
          <w:sz w:val="20"/>
        </w:rPr>
        <w:t>de</w:t>
      </w:r>
      <w:r>
        <w:rPr>
          <w:spacing w:val="-5"/>
          <w:sz w:val="20"/>
        </w:rPr>
        <w:t> </w:t>
      </w:r>
      <w:r>
        <w:rPr>
          <w:sz w:val="20"/>
        </w:rPr>
        <w:t>las</w:t>
      </w:r>
      <w:r>
        <w:rPr>
          <w:spacing w:val="-6"/>
          <w:sz w:val="20"/>
        </w:rPr>
        <w:t> </w:t>
      </w:r>
      <w:r>
        <w:rPr>
          <w:sz w:val="20"/>
        </w:rPr>
        <w:t>Cuentas</w:t>
      </w:r>
      <w:r>
        <w:rPr>
          <w:spacing w:val="-6"/>
          <w:sz w:val="20"/>
        </w:rPr>
        <w:t> </w:t>
      </w:r>
      <w:r>
        <w:rPr>
          <w:sz w:val="20"/>
        </w:rPr>
        <w:t>Anuales</w:t>
      </w:r>
      <w:r>
        <w:rPr>
          <w:spacing w:val="-6"/>
          <w:sz w:val="20"/>
        </w:rPr>
        <w:t> </w:t>
      </w:r>
      <w:r>
        <w:rPr>
          <w:sz w:val="20"/>
        </w:rPr>
        <w:t>establecido</w:t>
      </w:r>
      <w:r>
        <w:rPr>
          <w:spacing w:val="-7"/>
          <w:sz w:val="20"/>
        </w:rPr>
        <w:t> </w:t>
      </w:r>
      <w:r>
        <w:rPr>
          <w:sz w:val="20"/>
        </w:rPr>
        <w:t>en</w:t>
      </w:r>
      <w:r>
        <w:rPr>
          <w:spacing w:val="-6"/>
          <w:sz w:val="20"/>
        </w:rPr>
        <w:t> </w:t>
      </w:r>
      <w:r>
        <w:rPr>
          <w:sz w:val="20"/>
        </w:rPr>
        <w:t>el</w:t>
      </w:r>
      <w:r>
        <w:rPr>
          <w:spacing w:val="-6"/>
          <w:sz w:val="20"/>
        </w:rPr>
        <w:t> </w:t>
      </w:r>
      <w:r>
        <w:rPr>
          <w:sz w:val="20"/>
        </w:rPr>
        <w:t>Art.</w:t>
      </w:r>
      <w:r>
        <w:rPr>
          <w:spacing w:val="-8"/>
          <w:sz w:val="20"/>
        </w:rPr>
        <w:t> </w:t>
      </w:r>
      <w:r>
        <w:rPr>
          <w:sz w:val="20"/>
        </w:rPr>
        <w:t>253 de</w:t>
      </w:r>
      <w:r>
        <w:rPr>
          <w:spacing w:val="-8"/>
          <w:sz w:val="20"/>
        </w:rPr>
        <w:t> </w:t>
      </w:r>
      <w:r>
        <w:rPr>
          <w:sz w:val="20"/>
        </w:rPr>
        <w:t>la</w:t>
      </w:r>
      <w:r>
        <w:rPr>
          <w:spacing w:val="-10"/>
          <w:sz w:val="20"/>
        </w:rPr>
        <w:t> </w:t>
      </w:r>
      <w:r>
        <w:rPr>
          <w:sz w:val="20"/>
        </w:rPr>
        <w:t>Ley</w:t>
      </w:r>
      <w:r>
        <w:rPr>
          <w:spacing w:val="-11"/>
          <w:sz w:val="20"/>
        </w:rPr>
        <w:t> </w:t>
      </w:r>
      <w:r>
        <w:rPr>
          <w:sz w:val="20"/>
        </w:rPr>
        <w:t>de</w:t>
      </w:r>
      <w:r>
        <w:rPr>
          <w:spacing w:val="-9"/>
          <w:sz w:val="20"/>
        </w:rPr>
        <w:t> </w:t>
      </w:r>
      <w:r>
        <w:rPr>
          <w:sz w:val="20"/>
        </w:rPr>
        <w:t>Sociedades</w:t>
      </w:r>
      <w:r>
        <w:rPr>
          <w:spacing w:val="-10"/>
          <w:sz w:val="20"/>
        </w:rPr>
        <w:t> </w:t>
      </w:r>
      <w:r>
        <w:rPr>
          <w:sz w:val="20"/>
        </w:rPr>
        <w:t>de</w:t>
      </w:r>
      <w:r>
        <w:rPr>
          <w:spacing w:val="-8"/>
          <w:sz w:val="20"/>
        </w:rPr>
        <w:t> </w:t>
      </w:r>
      <w:r>
        <w:rPr>
          <w:sz w:val="20"/>
        </w:rPr>
        <w:t>Capital,</w:t>
      </w:r>
      <w:r>
        <w:rPr>
          <w:spacing w:val="-8"/>
          <w:sz w:val="20"/>
        </w:rPr>
        <w:t> </w:t>
      </w:r>
      <w:r>
        <w:rPr>
          <w:sz w:val="20"/>
        </w:rPr>
        <w:t>así</w:t>
      </w:r>
      <w:r>
        <w:rPr>
          <w:spacing w:val="-9"/>
          <w:sz w:val="20"/>
        </w:rPr>
        <w:t> </w:t>
      </w:r>
      <w:r>
        <w:rPr>
          <w:sz w:val="20"/>
        </w:rPr>
        <w:t>como</w:t>
      </w:r>
      <w:r>
        <w:rPr>
          <w:spacing w:val="-10"/>
          <w:sz w:val="20"/>
        </w:rPr>
        <w:t> </w:t>
      </w:r>
      <w:r>
        <w:rPr>
          <w:sz w:val="20"/>
        </w:rPr>
        <w:t>del</w:t>
      </w:r>
      <w:r>
        <w:rPr>
          <w:spacing w:val="-8"/>
          <w:sz w:val="20"/>
        </w:rPr>
        <w:t> </w:t>
      </w:r>
      <w:r>
        <w:rPr>
          <w:sz w:val="20"/>
        </w:rPr>
        <w:t>Art.</w:t>
      </w:r>
      <w:r>
        <w:rPr>
          <w:spacing w:val="-8"/>
          <w:sz w:val="20"/>
        </w:rPr>
        <w:t> </w:t>
      </w:r>
      <w:r>
        <w:rPr>
          <w:sz w:val="20"/>
        </w:rPr>
        <w:t>114</w:t>
      </w:r>
      <w:r>
        <w:rPr>
          <w:spacing w:val="-10"/>
          <w:sz w:val="20"/>
        </w:rPr>
        <w:t> </w:t>
      </w:r>
      <w:r>
        <w:rPr>
          <w:sz w:val="20"/>
        </w:rPr>
        <w:t>de</w:t>
      </w:r>
      <w:r>
        <w:rPr>
          <w:spacing w:val="-10"/>
          <w:sz w:val="20"/>
        </w:rPr>
        <w:t> </w:t>
      </w:r>
      <w:r>
        <w:rPr>
          <w:sz w:val="20"/>
        </w:rPr>
        <w:t>la</w:t>
      </w:r>
      <w:r>
        <w:rPr>
          <w:spacing w:val="-8"/>
          <w:sz w:val="20"/>
        </w:rPr>
        <w:t> </w:t>
      </w:r>
      <w:r>
        <w:rPr>
          <w:sz w:val="20"/>
        </w:rPr>
        <w:t>Ley</w:t>
      </w:r>
      <w:r>
        <w:rPr>
          <w:spacing w:val="-7"/>
          <w:sz w:val="20"/>
        </w:rPr>
        <w:t> </w:t>
      </w:r>
      <w:r>
        <w:rPr>
          <w:sz w:val="20"/>
        </w:rPr>
        <w:t>de</w:t>
      </w:r>
      <w:r>
        <w:rPr>
          <w:spacing w:val="-10"/>
          <w:sz w:val="20"/>
        </w:rPr>
        <w:t> </w:t>
      </w:r>
      <w:r>
        <w:rPr>
          <w:sz w:val="20"/>
        </w:rPr>
        <w:t>Hacienda</w:t>
      </w:r>
      <w:r>
        <w:rPr>
          <w:spacing w:val="-8"/>
          <w:sz w:val="20"/>
        </w:rPr>
        <w:t> </w:t>
      </w:r>
      <w:r>
        <w:rPr>
          <w:sz w:val="20"/>
        </w:rPr>
        <w:t>Pública Canaria por parte de las sociedades ASISTA, GSC y VISOCAN. Por otro lado, las entidades públicas empresariales PUERTOS, y ESSSCAN, incumplen el plazo de formulación establecido en el citado artículo 114 de la Ley de Hacienda Pública Canaria.</w:t>
      </w:r>
    </w:p>
    <w:p>
      <w:pPr>
        <w:pStyle w:val="BodyText"/>
        <w:spacing w:before="4"/>
        <w:rPr>
          <w:sz w:val="17"/>
        </w:rPr>
      </w:pPr>
    </w:p>
    <w:p>
      <w:pPr>
        <w:pStyle w:val="ListParagraph"/>
        <w:numPr>
          <w:ilvl w:val="0"/>
          <w:numId w:val="58"/>
        </w:numPr>
        <w:tabs>
          <w:tab w:pos="2337" w:val="left" w:leader="none"/>
        </w:tabs>
        <w:spacing w:line="242" w:lineRule="auto" w:before="0" w:after="0"/>
        <w:ind w:left="2336" w:right="1142" w:hanging="238"/>
        <w:jc w:val="both"/>
        <w:rPr>
          <w:sz w:val="20"/>
        </w:rPr>
      </w:pPr>
      <w:r>
        <w:rPr>
          <w:sz w:val="20"/>
        </w:rPr>
        <w:t>A fecha de elaboración de la Cuenta General por la IGCAC, GESPLAN no había presentado el certificado de aprobación de sus las cuentas anuales del año 2022, siendo presentado con posterioridad a la formación de</w:t>
      </w:r>
      <w:r>
        <w:rPr>
          <w:spacing w:val="3"/>
          <w:sz w:val="20"/>
        </w:rPr>
        <w:t> </w:t>
      </w:r>
      <w:r>
        <w:rPr>
          <w:sz w:val="20"/>
        </w:rPr>
        <w:t>éstas.</w:t>
      </w:r>
    </w:p>
    <w:p>
      <w:pPr>
        <w:pStyle w:val="BodyText"/>
        <w:spacing w:before="6"/>
        <w:rPr>
          <w:sz w:val="16"/>
        </w:rPr>
      </w:pPr>
    </w:p>
    <w:p>
      <w:pPr>
        <w:pStyle w:val="Heading1"/>
        <w:numPr>
          <w:ilvl w:val="2"/>
          <w:numId w:val="56"/>
        </w:numPr>
        <w:tabs>
          <w:tab w:pos="2694" w:val="left" w:leader="none"/>
        </w:tabs>
        <w:spacing w:line="240" w:lineRule="auto" w:before="0" w:after="0"/>
        <w:ind w:left="2693" w:right="0" w:hanging="605"/>
        <w:jc w:val="left"/>
      </w:pPr>
      <w:bookmarkStart w:name="_TOC_250015" w:id="7"/>
      <w:r>
        <w:rPr>
          <w:color w:val="53A1B9"/>
        </w:rPr>
        <w:t>Informes de</w:t>
      </w:r>
      <w:r>
        <w:rPr>
          <w:color w:val="53A1B9"/>
          <w:spacing w:val="1"/>
        </w:rPr>
        <w:t> </w:t>
      </w:r>
      <w:bookmarkEnd w:id="7"/>
      <w:r>
        <w:rPr>
          <w:color w:val="53A1B9"/>
        </w:rPr>
        <w:t>auditoría.</w:t>
      </w:r>
    </w:p>
    <w:p>
      <w:pPr>
        <w:pStyle w:val="BodyText"/>
        <w:spacing w:before="8"/>
        <w:rPr>
          <w:b/>
          <w:sz w:val="16"/>
        </w:rPr>
      </w:pPr>
    </w:p>
    <w:p>
      <w:pPr>
        <w:pStyle w:val="ListParagraph"/>
        <w:numPr>
          <w:ilvl w:val="0"/>
          <w:numId w:val="59"/>
        </w:numPr>
        <w:tabs>
          <w:tab w:pos="2337" w:val="left" w:leader="none"/>
        </w:tabs>
        <w:spacing w:line="240" w:lineRule="auto" w:before="1" w:after="0"/>
        <w:ind w:left="2336" w:right="1142" w:hanging="238"/>
        <w:jc w:val="both"/>
        <w:rPr>
          <w:sz w:val="20"/>
        </w:rPr>
      </w:pPr>
      <w:r>
        <w:rPr>
          <w:sz w:val="20"/>
        </w:rPr>
        <w:t>Todas las entidades presentaron un informe de auditoría con opinión favorable salvo VISOCAN, en el que se incluía una salvedad, ya que no se pudo obtener evidencia suficiente y adecuada sobre el valor recuperable de las existencias que incluyen promociones</w:t>
      </w:r>
      <w:r>
        <w:rPr>
          <w:spacing w:val="-8"/>
          <w:sz w:val="20"/>
        </w:rPr>
        <w:t> </w:t>
      </w:r>
      <w:r>
        <w:rPr>
          <w:sz w:val="20"/>
        </w:rPr>
        <w:t>en</w:t>
      </w:r>
      <w:r>
        <w:rPr>
          <w:spacing w:val="-6"/>
          <w:sz w:val="20"/>
        </w:rPr>
        <w:t> </w:t>
      </w:r>
      <w:r>
        <w:rPr>
          <w:sz w:val="20"/>
        </w:rPr>
        <w:t>curso</w:t>
      </w:r>
      <w:r>
        <w:rPr>
          <w:spacing w:val="-7"/>
          <w:sz w:val="20"/>
        </w:rPr>
        <w:t> </w:t>
      </w:r>
      <w:r>
        <w:rPr>
          <w:sz w:val="20"/>
        </w:rPr>
        <w:t>que</w:t>
      </w:r>
      <w:r>
        <w:rPr>
          <w:spacing w:val="-7"/>
          <w:sz w:val="20"/>
        </w:rPr>
        <w:t> </w:t>
      </w:r>
      <w:r>
        <w:rPr>
          <w:sz w:val="20"/>
        </w:rPr>
        <w:t>tienen</w:t>
      </w:r>
      <w:r>
        <w:rPr>
          <w:spacing w:val="-6"/>
          <w:sz w:val="20"/>
        </w:rPr>
        <w:t> </w:t>
      </w:r>
      <w:r>
        <w:rPr>
          <w:sz w:val="20"/>
        </w:rPr>
        <w:t>asociadas</w:t>
      </w:r>
      <w:r>
        <w:rPr>
          <w:spacing w:val="-5"/>
          <w:sz w:val="20"/>
        </w:rPr>
        <w:t> </w:t>
      </w:r>
      <w:r>
        <w:rPr>
          <w:sz w:val="20"/>
        </w:rPr>
        <w:t>subvenciones,</w:t>
      </w:r>
      <w:r>
        <w:rPr>
          <w:spacing w:val="-7"/>
          <w:sz w:val="20"/>
        </w:rPr>
        <w:t> </w:t>
      </w:r>
      <w:r>
        <w:rPr>
          <w:sz w:val="20"/>
        </w:rPr>
        <w:t>para</w:t>
      </w:r>
      <w:r>
        <w:rPr>
          <w:spacing w:val="-7"/>
          <w:sz w:val="20"/>
        </w:rPr>
        <w:t> </w:t>
      </w:r>
      <w:r>
        <w:rPr>
          <w:sz w:val="20"/>
        </w:rPr>
        <w:t>las</w:t>
      </w:r>
      <w:r>
        <w:rPr>
          <w:spacing w:val="-7"/>
          <w:sz w:val="20"/>
        </w:rPr>
        <w:t> </w:t>
      </w:r>
      <w:r>
        <w:rPr>
          <w:sz w:val="20"/>
        </w:rPr>
        <w:t>que</w:t>
      </w:r>
      <w:r>
        <w:rPr>
          <w:spacing w:val="-8"/>
          <w:sz w:val="20"/>
        </w:rPr>
        <w:t> </w:t>
      </w:r>
      <w:r>
        <w:rPr>
          <w:sz w:val="20"/>
        </w:rPr>
        <w:t>no</w:t>
      </w:r>
      <w:r>
        <w:rPr>
          <w:spacing w:val="-7"/>
          <w:sz w:val="20"/>
        </w:rPr>
        <w:t> </w:t>
      </w:r>
      <w:r>
        <w:rPr>
          <w:sz w:val="20"/>
        </w:rPr>
        <w:t>se</w:t>
      </w:r>
      <w:r>
        <w:rPr>
          <w:spacing w:val="-7"/>
          <w:sz w:val="20"/>
        </w:rPr>
        <w:t> </w:t>
      </w:r>
      <w:r>
        <w:rPr>
          <w:sz w:val="20"/>
        </w:rPr>
        <w:t>dispone de tasaciones independientes ni se han podido realizar procedimiento de auditoría alternativos para evaluar el valor recuperable de dichas existencias que figuran registradas por 3,9 millones de €, y por tanto, no se pudo determinar si el valor por el que están registradas debe ser</w:t>
      </w:r>
      <w:r>
        <w:rPr>
          <w:spacing w:val="-2"/>
          <w:sz w:val="20"/>
        </w:rPr>
        <w:t> </w:t>
      </w:r>
      <w:r>
        <w:rPr>
          <w:sz w:val="20"/>
        </w:rPr>
        <w:t>ajustado.</w:t>
      </w:r>
    </w:p>
    <w:p>
      <w:pPr>
        <w:pStyle w:val="BodyText"/>
        <w:spacing w:before="7"/>
        <w:rPr>
          <w:sz w:val="17"/>
        </w:rPr>
      </w:pPr>
    </w:p>
    <w:p>
      <w:pPr>
        <w:pStyle w:val="ListParagraph"/>
        <w:numPr>
          <w:ilvl w:val="0"/>
          <w:numId w:val="59"/>
        </w:numPr>
        <w:tabs>
          <w:tab w:pos="2337" w:val="left" w:leader="none"/>
        </w:tabs>
        <w:spacing w:line="240" w:lineRule="auto" w:before="0" w:after="0"/>
        <w:ind w:left="2336" w:right="1146" w:hanging="238"/>
        <w:jc w:val="both"/>
        <w:rPr>
          <w:sz w:val="20"/>
        </w:rPr>
      </w:pPr>
      <w:r>
        <w:rPr>
          <w:sz w:val="20"/>
        </w:rPr>
        <w:t>Las sociedades GRAFCAN y GSC, presentan párrafos de énfasis en sus informes de auditoría.</w:t>
      </w:r>
    </w:p>
    <w:p>
      <w:pPr>
        <w:pStyle w:val="BodyText"/>
        <w:spacing w:before="10"/>
        <w:rPr>
          <w:sz w:val="16"/>
        </w:rPr>
      </w:pPr>
    </w:p>
    <w:p>
      <w:pPr>
        <w:pStyle w:val="BodyText"/>
        <w:spacing w:line="242" w:lineRule="auto"/>
        <w:ind w:left="2336" w:right="1142"/>
        <w:jc w:val="both"/>
      </w:pPr>
      <w:r>
        <w:rPr/>
        <w:t>GRAFCAN por el saldo acreedor que mantiene con la UDP ACUERDO DE UNIÓN TEMPORAL DE SOCIEDADES TOPONORT-GRAFCAN (UTE) (Sociedad en la que posee una</w:t>
      </w:r>
      <w:r>
        <w:rPr>
          <w:spacing w:val="-6"/>
        </w:rPr>
        <w:t> </w:t>
      </w:r>
      <w:r>
        <w:rPr/>
        <w:t>participación</w:t>
      </w:r>
      <w:r>
        <w:rPr>
          <w:spacing w:val="-6"/>
        </w:rPr>
        <w:t> </w:t>
      </w:r>
      <w:r>
        <w:rPr/>
        <w:t>del</w:t>
      </w:r>
      <w:r>
        <w:rPr>
          <w:spacing w:val="-5"/>
        </w:rPr>
        <w:t> </w:t>
      </w:r>
      <w:r>
        <w:rPr/>
        <w:t>33,34</w:t>
      </w:r>
      <w:r>
        <w:rPr>
          <w:spacing w:val="-3"/>
        </w:rPr>
        <w:t> </w:t>
      </w:r>
      <w:r>
        <w:rPr/>
        <w:t>%</w:t>
      </w:r>
      <w:r>
        <w:rPr>
          <w:spacing w:val="-3"/>
        </w:rPr>
        <w:t> </w:t>
      </w:r>
      <w:r>
        <w:rPr/>
        <w:t>con</w:t>
      </w:r>
      <w:r>
        <w:rPr>
          <w:spacing w:val="-6"/>
        </w:rPr>
        <w:t> </w:t>
      </w:r>
      <w:r>
        <w:rPr/>
        <w:t>domicilio</w:t>
      </w:r>
      <w:r>
        <w:rPr>
          <w:spacing w:val="-8"/>
        </w:rPr>
        <w:t> </w:t>
      </w:r>
      <w:r>
        <w:rPr/>
        <w:t>fiscal</w:t>
      </w:r>
      <w:r>
        <w:rPr>
          <w:spacing w:val="-5"/>
        </w:rPr>
        <w:t> </w:t>
      </w:r>
      <w:r>
        <w:rPr/>
        <w:t>en</w:t>
      </w:r>
      <w:r>
        <w:rPr>
          <w:spacing w:val="-3"/>
        </w:rPr>
        <w:t> </w:t>
      </w:r>
      <w:r>
        <w:rPr/>
        <w:t>El</w:t>
      </w:r>
      <w:r>
        <w:rPr>
          <w:spacing w:val="-4"/>
        </w:rPr>
        <w:t> </w:t>
      </w:r>
      <w:r>
        <w:rPr/>
        <w:t>Salvador),</w:t>
      </w:r>
      <w:r>
        <w:rPr>
          <w:spacing w:val="-6"/>
        </w:rPr>
        <w:t> </w:t>
      </w:r>
      <w:r>
        <w:rPr/>
        <w:t>de</w:t>
      </w:r>
      <w:r>
        <w:rPr>
          <w:spacing w:val="-6"/>
        </w:rPr>
        <w:t> </w:t>
      </w:r>
      <w:r>
        <w:rPr/>
        <w:t>la</w:t>
      </w:r>
      <w:r>
        <w:rPr>
          <w:spacing w:val="-5"/>
        </w:rPr>
        <w:t> </w:t>
      </w:r>
      <w:r>
        <w:rPr/>
        <w:t>que</w:t>
      </w:r>
      <w:r>
        <w:rPr>
          <w:spacing w:val="-6"/>
        </w:rPr>
        <w:t> </w:t>
      </w:r>
      <w:r>
        <w:rPr/>
        <w:t>no</w:t>
      </w:r>
      <w:r>
        <w:rPr>
          <w:spacing w:val="-6"/>
        </w:rPr>
        <w:t> </w:t>
      </w:r>
      <w:r>
        <w:rPr/>
        <w:t>integra en su contabilidad el desglose de los activos y pasivos de la misma, al no disponer de sus estados financieros, dado que está inactiva a 31/12/2022 y tener opiniones desfavorables de ejercicios anteriores por parte de los auditores de la</w:t>
      </w:r>
      <w:r>
        <w:rPr>
          <w:spacing w:val="8"/>
        </w:rPr>
        <w:t> </w:t>
      </w:r>
      <w:r>
        <w:rPr/>
        <w:t>UTE.</w:t>
      </w:r>
    </w:p>
    <w:p>
      <w:pPr>
        <w:pStyle w:val="BodyText"/>
        <w:spacing w:before="12"/>
        <w:rPr>
          <w:sz w:val="15"/>
        </w:rPr>
      </w:pPr>
    </w:p>
    <w:p>
      <w:pPr>
        <w:pStyle w:val="BodyText"/>
        <w:spacing w:before="61"/>
        <w:ind w:left="7787"/>
        <w:jc w:val="center"/>
      </w:pPr>
      <w:r>
        <w:rPr/>
        <w:t>110</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35" name="image5.png"/>
                  <wp:cNvGraphicFramePr>
                    <a:graphicFrameLocks noChangeAspect="1"/>
                  </wp:cNvGraphicFramePr>
                  <a:graphic>
                    <a:graphicData uri="http://schemas.openxmlformats.org/drawingml/2006/picture">
                      <pic:pic>
                        <pic:nvPicPr>
                          <pic:cNvPr id="23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112/247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line="242" w:lineRule="auto" w:before="61"/>
        <w:ind w:left="2336" w:right="1144"/>
        <w:jc w:val="both"/>
      </w:pPr>
      <w:r>
        <w:rPr/>
        <w:t>Por su parte GSC presenta a 31/12/2022 unos fondos propios negativos, con motivo del resultado negativo del ejercicio por la dotación de provisiones por retribuciones al personal y litigios. Sin embargo, el patrimonio neto de la sociedad sigue siendo positivo por las subvenciones de capital no traspasadas al resultado aún. Los auditores han valorado estas condiciones como indicativas de una incertidumbre sobre la capacidad de la sociedad para continuar su actividad, concluyendo que las cuentas anuales se han preparado asumiendo que la actividad continuará.</w:t>
      </w:r>
    </w:p>
    <w:p>
      <w:pPr>
        <w:pStyle w:val="BodyText"/>
        <w:spacing w:before="3"/>
        <w:rPr>
          <w:sz w:val="16"/>
        </w:rPr>
      </w:pPr>
    </w:p>
    <w:p>
      <w:pPr>
        <w:pStyle w:val="BodyText"/>
        <w:spacing w:line="242" w:lineRule="auto"/>
        <w:ind w:left="2336" w:right="1144" w:hanging="238"/>
        <w:jc w:val="both"/>
      </w:pPr>
      <w:r>
        <w:rPr/>
        <w:t>3. El informe de auditoría de PUERTOS es posterior a la fecha de aprobación de sus cuentas anuales. El informe de auditoría expresa los resultados de la verificación de la imagen fiel de las cuentas, y su emisión debe ser anterior a la convocatoria de la Junta General de aprobación de las cuentas anuales, debiendo estar a disposición de cualquiera de sus miembros.</w:t>
      </w:r>
    </w:p>
    <w:p>
      <w:pPr>
        <w:pStyle w:val="BodyText"/>
        <w:spacing w:before="3"/>
        <w:rPr>
          <w:sz w:val="16"/>
        </w:rPr>
      </w:pPr>
    </w:p>
    <w:p>
      <w:pPr>
        <w:pStyle w:val="Heading1"/>
        <w:numPr>
          <w:ilvl w:val="2"/>
          <w:numId w:val="56"/>
        </w:numPr>
        <w:tabs>
          <w:tab w:pos="2694" w:val="left" w:leader="none"/>
        </w:tabs>
        <w:spacing w:line="240" w:lineRule="auto" w:before="0" w:after="0"/>
        <w:ind w:left="2693" w:right="0" w:hanging="605"/>
        <w:jc w:val="left"/>
      </w:pPr>
      <w:bookmarkStart w:name="_TOC_250014" w:id="8"/>
      <w:r>
        <w:rPr>
          <w:color w:val="53A1B9"/>
        </w:rPr>
        <w:t>Cumplimiento de otros Informes obligatorios y Acuerdos de</w:t>
      </w:r>
      <w:r>
        <w:rPr>
          <w:color w:val="53A1B9"/>
          <w:spacing w:val="1"/>
        </w:rPr>
        <w:t> </w:t>
      </w:r>
      <w:bookmarkEnd w:id="8"/>
      <w:r>
        <w:rPr>
          <w:color w:val="53A1B9"/>
        </w:rPr>
        <w:t>Gobierno.</w:t>
      </w:r>
    </w:p>
    <w:p>
      <w:pPr>
        <w:pStyle w:val="BodyText"/>
        <w:spacing w:before="8"/>
        <w:rPr>
          <w:b/>
          <w:sz w:val="16"/>
        </w:rPr>
      </w:pPr>
    </w:p>
    <w:p>
      <w:pPr>
        <w:pStyle w:val="ListParagraph"/>
        <w:numPr>
          <w:ilvl w:val="0"/>
          <w:numId w:val="60"/>
        </w:numPr>
        <w:tabs>
          <w:tab w:pos="2337" w:val="left" w:leader="none"/>
        </w:tabs>
        <w:spacing w:line="240" w:lineRule="auto" w:before="0" w:after="0"/>
        <w:ind w:left="2336" w:right="1145" w:hanging="238"/>
        <w:jc w:val="both"/>
        <w:rPr>
          <w:sz w:val="20"/>
        </w:rPr>
      </w:pPr>
      <w:r>
        <w:rPr>
          <w:sz w:val="20"/>
        </w:rPr>
        <w:t>GESTUR LPA y PROMOTUR no presentaron el informe económico financiero del ejercicio 2022 previsto en el Art. 116.3 de la Ley 11/2006, de 11 de diciembre, de la Hacienda Pública Canaria. La ESSSCAN lo ha presentado con fecha 13 de octubre de 2023.</w:t>
      </w:r>
    </w:p>
    <w:p>
      <w:pPr>
        <w:pStyle w:val="BodyText"/>
        <w:spacing w:before="3"/>
        <w:rPr>
          <w:sz w:val="17"/>
        </w:rPr>
      </w:pPr>
    </w:p>
    <w:p>
      <w:pPr>
        <w:pStyle w:val="ListParagraph"/>
        <w:numPr>
          <w:ilvl w:val="0"/>
          <w:numId w:val="60"/>
        </w:numPr>
        <w:tabs>
          <w:tab w:pos="2337" w:val="left" w:leader="none"/>
        </w:tabs>
        <w:spacing w:line="242" w:lineRule="auto" w:before="0" w:after="0"/>
        <w:ind w:left="2336" w:right="1144" w:hanging="238"/>
        <w:jc w:val="both"/>
        <w:rPr>
          <w:sz w:val="20"/>
        </w:rPr>
      </w:pPr>
      <w:r>
        <w:rPr>
          <w:sz w:val="20"/>
        </w:rPr>
        <w:t>Las Sociedades GESPLAN Y GSC, han presentado como anexo al Informe de Gestión, el Estado de Información no Financiera (EINF), según lo establecido en al apartado tercero de la Disposición Transitoria de la Ley 11/2018, de 28 de diciembre, por la que</w:t>
      </w:r>
      <w:r>
        <w:rPr>
          <w:spacing w:val="-4"/>
          <w:sz w:val="20"/>
        </w:rPr>
        <w:t> </w:t>
      </w:r>
      <w:r>
        <w:rPr>
          <w:sz w:val="20"/>
        </w:rPr>
        <w:t>se</w:t>
      </w:r>
      <w:r>
        <w:rPr>
          <w:spacing w:val="-4"/>
          <w:sz w:val="20"/>
        </w:rPr>
        <w:t> </w:t>
      </w:r>
      <w:r>
        <w:rPr>
          <w:sz w:val="20"/>
        </w:rPr>
        <w:t>modifica</w:t>
      </w:r>
      <w:r>
        <w:rPr>
          <w:spacing w:val="-4"/>
          <w:sz w:val="20"/>
        </w:rPr>
        <w:t> </w:t>
      </w:r>
      <w:r>
        <w:rPr>
          <w:sz w:val="20"/>
        </w:rPr>
        <w:t>el</w:t>
      </w:r>
      <w:r>
        <w:rPr>
          <w:spacing w:val="-4"/>
          <w:sz w:val="20"/>
        </w:rPr>
        <w:t> </w:t>
      </w:r>
      <w:r>
        <w:rPr>
          <w:sz w:val="20"/>
        </w:rPr>
        <w:t>Código</w:t>
      </w:r>
      <w:r>
        <w:rPr>
          <w:spacing w:val="-4"/>
          <w:sz w:val="20"/>
        </w:rPr>
        <w:t> </w:t>
      </w:r>
      <w:r>
        <w:rPr>
          <w:sz w:val="20"/>
        </w:rPr>
        <w:t>de</w:t>
      </w:r>
      <w:r>
        <w:rPr>
          <w:spacing w:val="-3"/>
          <w:sz w:val="20"/>
        </w:rPr>
        <w:t> </w:t>
      </w:r>
      <w:r>
        <w:rPr>
          <w:sz w:val="20"/>
        </w:rPr>
        <w:t>Comercio,</w:t>
      </w:r>
      <w:r>
        <w:rPr>
          <w:spacing w:val="-6"/>
          <w:sz w:val="20"/>
        </w:rPr>
        <w:t> </w:t>
      </w:r>
      <w:r>
        <w:rPr>
          <w:sz w:val="20"/>
        </w:rPr>
        <w:t>el</w:t>
      </w:r>
      <w:r>
        <w:rPr>
          <w:spacing w:val="-4"/>
          <w:sz w:val="20"/>
        </w:rPr>
        <w:t> </w:t>
      </w:r>
      <w:r>
        <w:rPr>
          <w:sz w:val="20"/>
        </w:rPr>
        <w:t>texto</w:t>
      </w:r>
      <w:r>
        <w:rPr>
          <w:spacing w:val="-4"/>
          <w:sz w:val="20"/>
        </w:rPr>
        <w:t> </w:t>
      </w:r>
      <w:r>
        <w:rPr>
          <w:sz w:val="20"/>
        </w:rPr>
        <w:t>refundido</w:t>
      </w:r>
      <w:r>
        <w:rPr>
          <w:spacing w:val="-4"/>
          <w:sz w:val="20"/>
        </w:rPr>
        <w:t> </w:t>
      </w:r>
      <w:r>
        <w:rPr>
          <w:sz w:val="20"/>
        </w:rPr>
        <w:t>de</w:t>
      </w:r>
      <w:r>
        <w:rPr>
          <w:spacing w:val="-3"/>
          <w:sz w:val="20"/>
        </w:rPr>
        <w:t> </w:t>
      </w:r>
      <w:r>
        <w:rPr>
          <w:sz w:val="20"/>
        </w:rPr>
        <w:t>la</w:t>
      </w:r>
      <w:r>
        <w:rPr>
          <w:spacing w:val="-4"/>
          <w:sz w:val="20"/>
        </w:rPr>
        <w:t> </w:t>
      </w:r>
      <w:r>
        <w:rPr>
          <w:sz w:val="20"/>
        </w:rPr>
        <w:t>Ley</w:t>
      </w:r>
      <w:r>
        <w:rPr>
          <w:spacing w:val="-5"/>
          <w:sz w:val="20"/>
        </w:rPr>
        <w:t> </w:t>
      </w:r>
      <w:r>
        <w:rPr>
          <w:sz w:val="20"/>
        </w:rPr>
        <w:t>de</w:t>
      </w:r>
      <w:r>
        <w:rPr>
          <w:spacing w:val="-4"/>
          <w:sz w:val="20"/>
        </w:rPr>
        <w:t> </w:t>
      </w:r>
      <w:r>
        <w:rPr>
          <w:sz w:val="20"/>
        </w:rPr>
        <w:t>Sociedades</w:t>
      </w:r>
      <w:r>
        <w:rPr>
          <w:spacing w:val="-4"/>
          <w:sz w:val="20"/>
        </w:rPr>
        <w:t> </w:t>
      </w:r>
      <w:r>
        <w:rPr>
          <w:sz w:val="20"/>
        </w:rPr>
        <w:t>de Capital y la Ley de Auditoría de</w:t>
      </w:r>
      <w:r>
        <w:rPr>
          <w:spacing w:val="-1"/>
          <w:sz w:val="20"/>
        </w:rPr>
        <w:t> </w:t>
      </w:r>
      <w:r>
        <w:rPr>
          <w:sz w:val="20"/>
        </w:rPr>
        <w:t>Cuentas.</w:t>
      </w:r>
    </w:p>
    <w:p>
      <w:pPr>
        <w:pStyle w:val="BodyText"/>
        <w:spacing w:before="2"/>
        <w:rPr>
          <w:sz w:val="16"/>
        </w:rPr>
      </w:pPr>
    </w:p>
    <w:p>
      <w:pPr>
        <w:pStyle w:val="ListParagraph"/>
        <w:numPr>
          <w:ilvl w:val="0"/>
          <w:numId w:val="60"/>
        </w:numPr>
        <w:tabs>
          <w:tab w:pos="2337" w:val="left" w:leader="none"/>
        </w:tabs>
        <w:spacing w:line="242" w:lineRule="auto" w:before="1" w:after="0"/>
        <w:ind w:left="2336" w:right="1142" w:hanging="238"/>
        <w:jc w:val="both"/>
        <w:rPr>
          <w:sz w:val="20"/>
        </w:rPr>
      </w:pPr>
      <w:r>
        <w:rPr>
          <w:sz w:val="20"/>
        </w:rPr>
        <w:t>De conformidad con la Resolución de la Dirección General de Patrimonio y Contratación por la que se aprueban instrucciones para la elaboración del informe ejecutivo</w:t>
      </w:r>
      <w:r>
        <w:rPr>
          <w:spacing w:val="-8"/>
          <w:sz w:val="20"/>
        </w:rPr>
        <w:t> </w:t>
      </w:r>
      <w:r>
        <w:rPr>
          <w:sz w:val="20"/>
        </w:rPr>
        <w:t>de</w:t>
      </w:r>
      <w:r>
        <w:rPr>
          <w:spacing w:val="-5"/>
          <w:sz w:val="20"/>
        </w:rPr>
        <w:t> </w:t>
      </w:r>
      <w:r>
        <w:rPr>
          <w:sz w:val="20"/>
        </w:rPr>
        <w:t>acompañamiento</w:t>
      </w:r>
      <w:r>
        <w:rPr>
          <w:spacing w:val="-7"/>
          <w:sz w:val="20"/>
        </w:rPr>
        <w:t> </w:t>
      </w:r>
      <w:r>
        <w:rPr>
          <w:sz w:val="20"/>
        </w:rPr>
        <w:t>de</w:t>
      </w:r>
      <w:r>
        <w:rPr>
          <w:spacing w:val="-5"/>
          <w:sz w:val="20"/>
        </w:rPr>
        <w:t> </w:t>
      </w:r>
      <w:r>
        <w:rPr>
          <w:sz w:val="20"/>
        </w:rPr>
        <w:t>las</w:t>
      </w:r>
      <w:r>
        <w:rPr>
          <w:spacing w:val="-5"/>
          <w:sz w:val="20"/>
        </w:rPr>
        <w:t> </w:t>
      </w:r>
      <w:r>
        <w:rPr>
          <w:sz w:val="20"/>
        </w:rPr>
        <w:t>cuentas</w:t>
      </w:r>
      <w:r>
        <w:rPr>
          <w:spacing w:val="-7"/>
          <w:sz w:val="20"/>
        </w:rPr>
        <w:t> </w:t>
      </w:r>
      <w:r>
        <w:rPr>
          <w:sz w:val="20"/>
        </w:rPr>
        <w:t>anuales</w:t>
      </w:r>
      <w:r>
        <w:rPr>
          <w:spacing w:val="-5"/>
          <w:sz w:val="20"/>
        </w:rPr>
        <w:t> </w:t>
      </w:r>
      <w:r>
        <w:rPr>
          <w:sz w:val="20"/>
        </w:rPr>
        <w:t>de</w:t>
      </w:r>
      <w:r>
        <w:rPr>
          <w:spacing w:val="-7"/>
          <w:sz w:val="20"/>
        </w:rPr>
        <w:t> </w:t>
      </w:r>
      <w:r>
        <w:rPr>
          <w:sz w:val="20"/>
        </w:rPr>
        <w:t>las</w:t>
      </w:r>
      <w:r>
        <w:rPr>
          <w:spacing w:val="-6"/>
          <w:sz w:val="20"/>
        </w:rPr>
        <w:t> </w:t>
      </w:r>
      <w:r>
        <w:rPr>
          <w:sz w:val="20"/>
        </w:rPr>
        <w:t>SSMM,</w:t>
      </w:r>
      <w:r>
        <w:rPr>
          <w:spacing w:val="-5"/>
          <w:sz w:val="20"/>
        </w:rPr>
        <w:t> </w:t>
      </w:r>
      <w:r>
        <w:rPr>
          <w:sz w:val="20"/>
        </w:rPr>
        <w:t>y</w:t>
      </w:r>
      <w:r>
        <w:rPr>
          <w:spacing w:val="-8"/>
          <w:sz w:val="20"/>
        </w:rPr>
        <w:t> </w:t>
      </w:r>
      <w:r>
        <w:rPr>
          <w:sz w:val="20"/>
        </w:rPr>
        <w:t>de</w:t>
      </w:r>
      <w:r>
        <w:rPr>
          <w:spacing w:val="-7"/>
          <w:sz w:val="20"/>
        </w:rPr>
        <w:t> </w:t>
      </w:r>
      <w:r>
        <w:rPr>
          <w:sz w:val="20"/>
        </w:rPr>
        <w:t>conformidad con su apartado segundo, que recoge que: “</w:t>
      </w:r>
      <w:r>
        <w:rPr>
          <w:i/>
          <w:sz w:val="20"/>
        </w:rPr>
        <w:t>La presente resolución producirá sus </w:t>
      </w:r>
      <w:r>
        <w:rPr>
          <w:i/>
          <w:sz w:val="20"/>
        </w:rPr>
        <w:t>efectos a partir del 1 de abril de 2022, debiendo aportarse el Informe Ejecutivo de Acompañamiento en los Consejos de Administración de formulación de cuentas y Juntas Generales ordinarias, que se celebren a partir de dicha fecha</w:t>
      </w:r>
      <w:r>
        <w:rPr>
          <w:sz w:val="20"/>
        </w:rPr>
        <w:t>”. En el ejercicio 2022,</w:t>
      </w:r>
      <w:r>
        <w:rPr>
          <w:spacing w:val="-7"/>
          <w:sz w:val="20"/>
        </w:rPr>
        <w:t> </w:t>
      </w:r>
      <w:r>
        <w:rPr>
          <w:sz w:val="20"/>
        </w:rPr>
        <w:t>todas</w:t>
      </w:r>
      <w:r>
        <w:rPr>
          <w:spacing w:val="-6"/>
          <w:sz w:val="20"/>
        </w:rPr>
        <w:t> </w:t>
      </w:r>
      <w:r>
        <w:rPr>
          <w:sz w:val="20"/>
        </w:rPr>
        <w:t>las</w:t>
      </w:r>
      <w:r>
        <w:rPr>
          <w:spacing w:val="-5"/>
          <w:sz w:val="20"/>
        </w:rPr>
        <w:t> </w:t>
      </w:r>
      <w:r>
        <w:rPr>
          <w:sz w:val="20"/>
        </w:rPr>
        <w:t>SSMM,</w:t>
      </w:r>
      <w:r>
        <w:rPr>
          <w:spacing w:val="-5"/>
          <w:sz w:val="20"/>
        </w:rPr>
        <w:t> </w:t>
      </w:r>
      <w:r>
        <w:rPr>
          <w:sz w:val="20"/>
        </w:rPr>
        <w:t>excepto</w:t>
      </w:r>
      <w:r>
        <w:rPr>
          <w:spacing w:val="-4"/>
          <w:sz w:val="20"/>
        </w:rPr>
        <w:t> </w:t>
      </w:r>
      <w:r>
        <w:rPr>
          <w:sz w:val="20"/>
        </w:rPr>
        <w:t>GESTUR</w:t>
      </w:r>
      <w:r>
        <w:rPr>
          <w:spacing w:val="-6"/>
          <w:sz w:val="20"/>
        </w:rPr>
        <w:t> </w:t>
      </w:r>
      <w:r>
        <w:rPr>
          <w:sz w:val="20"/>
        </w:rPr>
        <w:t>LAS</w:t>
      </w:r>
      <w:r>
        <w:rPr>
          <w:spacing w:val="-5"/>
          <w:sz w:val="20"/>
        </w:rPr>
        <w:t> </w:t>
      </w:r>
      <w:r>
        <w:rPr>
          <w:sz w:val="20"/>
        </w:rPr>
        <w:t>PALMAS</w:t>
      </w:r>
      <w:r>
        <w:rPr>
          <w:spacing w:val="-5"/>
          <w:sz w:val="20"/>
        </w:rPr>
        <w:t> </w:t>
      </w:r>
      <w:r>
        <w:rPr>
          <w:sz w:val="20"/>
        </w:rPr>
        <w:t>(en</w:t>
      </w:r>
      <w:r>
        <w:rPr>
          <w:spacing w:val="-5"/>
          <w:sz w:val="20"/>
        </w:rPr>
        <w:t> </w:t>
      </w:r>
      <w:r>
        <w:rPr>
          <w:sz w:val="20"/>
        </w:rPr>
        <w:t>liquidación)</w:t>
      </w:r>
      <w:r>
        <w:rPr>
          <w:spacing w:val="-5"/>
          <w:sz w:val="20"/>
        </w:rPr>
        <w:t> </w:t>
      </w:r>
      <w:r>
        <w:rPr>
          <w:sz w:val="20"/>
        </w:rPr>
        <w:t>han</w:t>
      </w:r>
      <w:r>
        <w:rPr>
          <w:spacing w:val="-6"/>
          <w:sz w:val="20"/>
        </w:rPr>
        <w:t> </w:t>
      </w:r>
      <w:r>
        <w:rPr>
          <w:sz w:val="20"/>
        </w:rPr>
        <w:t>presentado el Informe ejecutivo.</w:t>
      </w:r>
    </w:p>
    <w:p>
      <w:pPr>
        <w:pStyle w:val="BodyText"/>
        <w:spacing w:before="1"/>
        <w:rPr>
          <w:sz w:val="16"/>
        </w:rPr>
      </w:pPr>
    </w:p>
    <w:p>
      <w:pPr>
        <w:pStyle w:val="ListParagraph"/>
        <w:numPr>
          <w:ilvl w:val="0"/>
          <w:numId w:val="60"/>
        </w:numPr>
        <w:tabs>
          <w:tab w:pos="2337" w:val="left" w:leader="none"/>
        </w:tabs>
        <w:spacing w:line="240" w:lineRule="auto" w:before="1" w:after="0"/>
        <w:ind w:left="2336" w:right="1142" w:hanging="238"/>
        <w:jc w:val="both"/>
        <w:rPr>
          <w:sz w:val="20"/>
        </w:rPr>
      </w:pPr>
      <w:r>
        <w:rPr>
          <w:sz w:val="20"/>
        </w:rPr>
        <w:t>El Art. 34.1 de la LGPCAC recoge las causas de las variaciones de los presupuestos de explotación y capital de los entes con presupuesto estimativo que requieren la autorización previa o simultánea a la variación de crédito que derive. El alcance de este Informe no ha incluido el análisis de las modificaciones solicitadas por las distintas</w:t>
      </w:r>
      <w:r>
        <w:rPr>
          <w:spacing w:val="28"/>
          <w:sz w:val="20"/>
        </w:rPr>
        <w:t> </w:t>
      </w:r>
      <w:r>
        <w:rPr>
          <w:sz w:val="20"/>
        </w:rPr>
        <w:t>entidades,</w:t>
      </w:r>
      <w:r>
        <w:rPr>
          <w:spacing w:val="29"/>
          <w:sz w:val="20"/>
        </w:rPr>
        <w:t> </w:t>
      </w:r>
      <w:r>
        <w:rPr>
          <w:sz w:val="20"/>
        </w:rPr>
        <w:t>por</w:t>
      </w:r>
      <w:r>
        <w:rPr>
          <w:spacing w:val="27"/>
          <w:sz w:val="20"/>
        </w:rPr>
        <w:t> </w:t>
      </w:r>
      <w:r>
        <w:rPr>
          <w:sz w:val="20"/>
        </w:rPr>
        <w:t>tanto</w:t>
      </w:r>
      <w:r>
        <w:rPr>
          <w:spacing w:val="29"/>
          <w:sz w:val="20"/>
        </w:rPr>
        <w:t> </w:t>
      </w:r>
      <w:r>
        <w:rPr>
          <w:sz w:val="20"/>
        </w:rPr>
        <w:t>no</w:t>
      </w:r>
      <w:r>
        <w:rPr>
          <w:spacing w:val="29"/>
          <w:sz w:val="20"/>
        </w:rPr>
        <w:t> </w:t>
      </w:r>
      <w:r>
        <w:rPr>
          <w:sz w:val="20"/>
        </w:rPr>
        <w:t>se</w:t>
      </w:r>
      <w:r>
        <w:rPr>
          <w:spacing w:val="30"/>
          <w:sz w:val="20"/>
        </w:rPr>
        <w:t> </w:t>
      </w:r>
      <w:r>
        <w:rPr>
          <w:sz w:val="20"/>
        </w:rPr>
        <w:t>ha</w:t>
      </w:r>
      <w:r>
        <w:rPr>
          <w:spacing w:val="31"/>
          <w:sz w:val="20"/>
        </w:rPr>
        <w:t> </w:t>
      </w:r>
      <w:r>
        <w:rPr>
          <w:sz w:val="20"/>
        </w:rPr>
        <w:t>valorado</w:t>
      </w:r>
      <w:r>
        <w:rPr>
          <w:spacing w:val="29"/>
          <w:sz w:val="20"/>
        </w:rPr>
        <w:t> </w:t>
      </w:r>
      <w:r>
        <w:rPr>
          <w:sz w:val="20"/>
        </w:rPr>
        <w:t>el</w:t>
      </w:r>
      <w:r>
        <w:rPr>
          <w:spacing w:val="31"/>
          <w:sz w:val="20"/>
        </w:rPr>
        <w:t> </w:t>
      </w:r>
      <w:r>
        <w:rPr>
          <w:sz w:val="20"/>
        </w:rPr>
        <w:t>cumplimiento</w:t>
      </w:r>
      <w:r>
        <w:rPr>
          <w:spacing w:val="30"/>
          <w:sz w:val="20"/>
        </w:rPr>
        <w:t> </w:t>
      </w:r>
      <w:r>
        <w:rPr>
          <w:sz w:val="20"/>
        </w:rPr>
        <w:t>de</w:t>
      </w:r>
      <w:r>
        <w:rPr>
          <w:spacing w:val="31"/>
          <w:sz w:val="20"/>
        </w:rPr>
        <w:t> </w:t>
      </w:r>
      <w:r>
        <w:rPr>
          <w:sz w:val="20"/>
        </w:rPr>
        <w:t>los</w:t>
      </w:r>
      <w:r>
        <w:rPr>
          <w:spacing w:val="29"/>
          <w:sz w:val="20"/>
        </w:rPr>
        <w:t> </w:t>
      </w:r>
      <w:r>
        <w:rPr>
          <w:sz w:val="20"/>
        </w:rPr>
        <w:t>distintos</w:t>
      </w:r>
    </w:p>
    <w:p>
      <w:pPr>
        <w:pStyle w:val="BodyText"/>
        <w:spacing w:before="20"/>
        <w:ind w:right="1140"/>
        <w:jc w:val="right"/>
      </w:pPr>
      <w:r>
        <w:rPr/>
        <w:t>111</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37" name="image5.png"/>
                  <wp:cNvGraphicFramePr>
                    <a:graphicFrameLocks noChangeAspect="1"/>
                  </wp:cNvGraphicFramePr>
                  <a:graphic>
                    <a:graphicData uri="http://schemas.openxmlformats.org/drawingml/2006/picture">
                      <pic:pic>
                        <pic:nvPicPr>
                          <pic:cNvPr id="23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113/247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336" w:right="1146"/>
        <w:jc w:val="both"/>
      </w:pPr>
      <w:r>
        <w:rPr/>
        <w:t>motivos señalados en el citado artículo. Sin embargo, sí se ha verificado el cumplimiento de los requisitos requeridos para llevar a cabo las modificaciones, recogidos en el Art. 34.2 de dicha Ley.</w:t>
      </w:r>
    </w:p>
    <w:p>
      <w:pPr>
        <w:pStyle w:val="BodyText"/>
        <w:spacing w:before="1"/>
        <w:rPr>
          <w:sz w:val="17"/>
        </w:rPr>
      </w:pPr>
    </w:p>
    <w:p>
      <w:pPr>
        <w:pStyle w:val="BodyText"/>
        <w:ind w:left="2336" w:right="1142"/>
        <w:jc w:val="both"/>
      </w:pPr>
      <w:r>
        <w:rPr/>
        <w:t>Las sociedades que solicitaron la modificación de sus PAIF, realizando el procedimiento recogido en el Art. mencionado anteriormente, que han aportado los acuerdos de Gobierno preceptivos han sido: HECANSA, ICDC, ITC y SODECAN.</w:t>
      </w:r>
    </w:p>
    <w:p>
      <w:pPr>
        <w:pStyle w:val="BodyText"/>
        <w:spacing w:before="11"/>
        <w:rPr>
          <w:sz w:val="16"/>
        </w:rPr>
      </w:pPr>
    </w:p>
    <w:p>
      <w:pPr>
        <w:pStyle w:val="BodyText"/>
        <w:spacing w:line="242" w:lineRule="auto" w:before="1"/>
        <w:ind w:left="2336" w:right="1145"/>
        <w:jc w:val="both"/>
      </w:pPr>
      <w:r>
        <w:rPr/>
        <w:t>Por otro lado, GESPLAN y PROMOTUR solicitaron la modificación de sus PAIF sin recibir la aprobación correspondiente mediante Acuerdo de Gobierno, como se recoge en sus informes ejecutivos.</w:t>
      </w:r>
    </w:p>
    <w:p>
      <w:pPr>
        <w:pStyle w:val="BodyText"/>
        <w:spacing w:before="4"/>
        <w:rPr>
          <w:sz w:val="16"/>
        </w:rPr>
      </w:pPr>
    </w:p>
    <w:p>
      <w:pPr>
        <w:pStyle w:val="BodyText"/>
        <w:ind w:left="2336" w:right="1146"/>
        <w:jc w:val="both"/>
      </w:pPr>
      <w:r>
        <w:rPr/>
        <w:t>GRAFCAN recibe informe desfavorable de la DGPP respecto a la solicitud de modificación presentada con fecha 15 de diciembre de 2022.</w:t>
      </w:r>
    </w:p>
    <w:p>
      <w:pPr>
        <w:pStyle w:val="BodyText"/>
        <w:spacing w:before="9"/>
        <w:rPr>
          <w:sz w:val="16"/>
        </w:rPr>
      </w:pPr>
    </w:p>
    <w:p>
      <w:pPr>
        <w:pStyle w:val="BodyText"/>
        <w:spacing w:before="1"/>
        <w:ind w:left="2336" w:right="1140"/>
        <w:jc w:val="both"/>
      </w:pPr>
      <w:r>
        <w:rPr/>
        <w:t>En GSC se produjo una modificación de las aportaciones recibidas con motivo de las órdenes de modificaciones presupuestarias efectuadas en los presupuestos generales de la CAC, con motivo de la ejecución del acuerdo al que se llegó para el cobro del 5 % de las remuneraciones que se habían disminuido en el año 2010. Este hecho se menciona en el apartado 3.1.4 Personal, en su punto 4.</w:t>
      </w:r>
    </w:p>
    <w:p>
      <w:pPr>
        <w:pStyle w:val="BodyText"/>
        <w:spacing w:before="2"/>
        <w:rPr>
          <w:sz w:val="17"/>
        </w:rPr>
      </w:pPr>
    </w:p>
    <w:p>
      <w:pPr>
        <w:pStyle w:val="BodyText"/>
        <w:spacing w:line="242" w:lineRule="auto"/>
        <w:ind w:left="2336" w:right="1147"/>
        <w:jc w:val="both"/>
      </w:pPr>
      <w:r>
        <w:rPr/>
        <w:t>Por su parte, RPC y TVPC informan de que han procedido a la modificación de sus PAIF, sin haber solicitado la autorización del Gobierno, por no incluirse dentro de los motivos señalados en la LGPCAC. Si bien han aportado la autorización del Consejero de Hacienda.</w:t>
      </w:r>
    </w:p>
    <w:p>
      <w:pPr>
        <w:pStyle w:val="BodyText"/>
        <w:spacing w:before="5"/>
        <w:rPr>
          <w:sz w:val="16"/>
        </w:rPr>
      </w:pPr>
    </w:p>
    <w:p>
      <w:pPr>
        <w:pStyle w:val="BodyText"/>
        <w:spacing w:before="1"/>
        <w:ind w:left="2336"/>
        <w:jc w:val="both"/>
      </w:pPr>
      <w:r>
        <w:rPr/>
        <w:t>El resto de las entidades no ha solicitado la modificación de sus PAIF.</w:t>
      </w:r>
    </w:p>
    <w:p>
      <w:pPr>
        <w:pStyle w:val="BodyText"/>
        <w:spacing w:before="7"/>
        <w:rPr>
          <w:sz w:val="16"/>
        </w:rPr>
      </w:pPr>
    </w:p>
    <w:p>
      <w:pPr>
        <w:pStyle w:val="ListParagraph"/>
        <w:numPr>
          <w:ilvl w:val="0"/>
          <w:numId w:val="61"/>
        </w:numPr>
        <w:tabs>
          <w:tab w:pos="2337" w:val="left" w:leader="none"/>
        </w:tabs>
        <w:spacing w:line="242" w:lineRule="auto" w:before="1" w:after="0"/>
        <w:ind w:left="2336" w:right="1139" w:hanging="238"/>
        <w:jc w:val="both"/>
        <w:rPr>
          <w:sz w:val="20"/>
        </w:rPr>
      </w:pPr>
      <w:r>
        <w:rPr>
          <w:sz w:val="20"/>
        </w:rPr>
        <w:t>La Dirección General de Patrimonio y Contratación en respuesta a la solicitud de información realizada por esta Institución de acuerdo con el Art. 9 de la Ley 6/2006, de 17 de julio, de Patrimonio de la CAC, copia de la remisión efectuada por las entidades públicas empresariales, consorcios y fundaciones en los que participe la Comunidad Autónoma, de su inventario actualizado a 31 de diciembre de 2022, a la Dirección General competente en materia de patrimonio, así como, documentación que justifique la incorporación de éste al Inventario General. Relacionado con lo anterior, se deberá aportar documentación que justifique que en dicho Inventario General se encuentran incluidos los bienes y derechos que integran el patrimonio de las</w:t>
      </w:r>
      <w:r>
        <w:rPr>
          <w:spacing w:val="-8"/>
          <w:sz w:val="20"/>
        </w:rPr>
        <w:t> </w:t>
      </w:r>
      <w:r>
        <w:rPr>
          <w:sz w:val="20"/>
        </w:rPr>
        <w:t>diferentes</w:t>
      </w:r>
      <w:r>
        <w:rPr>
          <w:spacing w:val="-8"/>
          <w:sz w:val="20"/>
        </w:rPr>
        <w:t> </w:t>
      </w:r>
      <w:r>
        <w:rPr>
          <w:sz w:val="20"/>
        </w:rPr>
        <w:t>empresas</w:t>
      </w:r>
      <w:r>
        <w:rPr>
          <w:spacing w:val="-11"/>
          <w:sz w:val="20"/>
        </w:rPr>
        <w:t> </w:t>
      </w:r>
      <w:r>
        <w:rPr>
          <w:sz w:val="20"/>
        </w:rPr>
        <w:t>y</w:t>
      </w:r>
      <w:r>
        <w:rPr>
          <w:spacing w:val="-11"/>
          <w:sz w:val="20"/>
        </w:rPr>
        <w:t> </w:t>
      </w:r>
      <w:r>
        <w:rPr>
          <w:sz w:val="20"/>
        </w:rPr>
        <w:t>organismos</w:t>
      </w:r>
      <w:r>
        <w:rPr>
          <w:spacing w:val="-11"/>
          <w:sz w:val="20"/>
        </w:rPr>
        <w:t> </w:t>
      </w:r>
      <w:r>
        <w:rPr>
          <w:sz w:val="20"/>
        </w:rPr>
        <w:t>públicos,</w:t>
      </w:r>
      <w:r>
        <w:rPr>
          <w:spacing w:val="-8"/>
          <w:sz w:val="20"/>
        </w:rPr>
        <w:t> </w:t>
      </w:r>
      <w:r>
        <w:rPr>
          <w:sz w:val="20"/>
        </w:rPr>
        <w:t>contesta</w:t>
      </w:r>
      <w:r>
        <w:rPr>
          <w:spacing w:val="-7"/>
          <w:sz w:val="20"/>
        </w:rPr>
        <w:t> </w:t>
      </w:r>
      <w:r>
        <w:rPr>
          <w:sz w:val="20"/>
        </w:rPr>
        <w:t>la</w:t>
      </w:r>
      <w:r>
        <w:rPr>
          <w:spacing w:val="-8"/>
          <w:sz w:val="20"/>
        </w:rPr>
        <w:t> </w:t>
      </w:r>
      <w:r>
        <w:rPr>
          <w:sz w:val="20"/>
        </w:rPr>
        <w:t>siguiente:</w:t>
      </w:r>
      <w:r>
        <w:rPr>
          <w:spacing w:val="-10"/>
          <w:sz w:val="20"/>
        </w:rPr>
        <w:t> </w:t>
      </w:r>
      <w:r>
        <w:rPr>
          <w:sz w:val="20"/>
        </w:rPr>
        <w:t>“Comunicar</w:t>
      </w:r>
      <w:r>
        <w:rPr>
          <w:spacing w:val="-10"/>
          <w:sz w:val="20"/>
        </w:rPr>
        <w:t> </w:t>
      </w:r>
      <w:r>
        <w:rPr>
          <w:sz w:val="20"/>
        </w:rPr>
        <w:t>que las citadas entidades no han remitido información</w:t>
      </w:r>
      <w:r>
        <w:rPr>
          <w:spacing w:val="3"/>
          <w:sz w:val="20"/>
        </w:rPr>
        <w:t> </w:t>
      </w:r>
      <w:r>
        <w:rPr>
          <w:sz w:val="20"/>
        </w:rPr>
        <w:t>alguna.”</w:t>
      </w:r>
    </w:p>
    <w:p>
      <w:pPr>
        <w:pStyle w:val="BodyText"/>
      </w:pPr>
    </w:p>
    <w:p>
      <w:pPr>
        <w:pStyle w:val="BodyText"/>
      </w:pPr>
    </w:p>
    <w:p>
      <w:pPr>
        <w:pStyle w:val="BodyText"/>
        <w:spacing w:before="7"/>
        <w:rPr>
          <w:sz w:val="19"/>
        </w:rPr>
      </w:pPr>
    </w:p>
    <w:p>
      <w:pPr>
        <w:pStyle w:val="BodyText"/>
        <w:spacing w:before="61"/>
        <w:ind w:left="7787"/>
        <w:jc w:val="center"/>
      </w:pPr>
      <w:r>
        <w:rPr/>
        <w:t>112</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39" name="image5.png"/>
                  <wp:cNvGraphicFramePr>
                    <a:graphicFrameLocks noChangeAspect="1"/>
                  </wp:cNvGraphicFramePr>
                  <a:graphic>
                    <a:graphicData uri="http://schemas.openxmlformats.org/drawingml/2006/picture">
                      <pic:pic>
                        <pic:nvPicPr>
                          <pic:cNvPr id="24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114/247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6"/>
        <w:rPr>
          <w:b/>
          <w:sz w:val="26"/>
        </w:rPr>
      </w:pPr>
    </w:p>
    <w:p>
      <w:pPr>
        <w:pStyle w:val="ListParagraph"/>
        <w:numPr>
          <w:ilvl w:val="2"/>
          <w:numId w:val="62"/>
        </w:numPr>
        <w:tabs>
          <w:tab w:pos="2694" w:val="left" w:leader="none"/>
        </w:tabs>
        <w:spacing w:line="240" w:lineRule="auto" w:before="74" w:after="0"/>
        <w:ind w:left="2693" w:right="0" w:hanging="605"/>
        <w:jc w:val="left"/>
        <w:rPr>
          <w:b/>
          <w:sz w:val="13"/>
        </w:rPr>
      </w:pPr>
      <w:r>
        <w:rPr>
          <w:b/>
          <w:color w:val="53A1B9"/>
          <w:sz w:val="20"/>
        </w:rPr>
        <w:t>Cuentas</w:t>
      </w:r>
      <w:r>
        <w:rPr>
          <w:b/>
          <w:color w:val="53A1B9"/>
          <w:spacing w:val="1"/>
          <w:sz w:val="20"/>
        </w:rPr>
        <w:t> </w:t>
      </w:r>
      <w:r>
        <w:rPr>
          <w:b/>
          <w:color w:val="53A1B9"/>
          <w:sz w:val="20"/>
        </w:rPr>
        <w:t>Anuales</w:t>
      </w:r>
      <w:r>
        <w:rPr>
          <w:b/>
          <w:color w:val="53A1B9"/>
          <w:position w:val="7"/>
          <w:sz w:val="13"/>
        </w:rPr>
        <w:t>25</w:t>
      </w:r>
    </w:p>
    <w:p>
      <w:pPr>
        <w:pStyle w:val="BodyText"/>
        <w:spacing w:before="8"/>
        <w:rPr>
          <w:b/>
          <w:sz w:val="16"/>
        </w:rPr>
      </w:pPr>
    </w:p>
    <w:p>
      <w:pPr>
        <w:pStyle w:val="BodyText"/>
        <w:spacing w:line="242" w:lineRule="auto"/>
        <w:ind w:left="2099" w:right="1145" w:firstLine="594"/>
        <w:jc w:val="both"/>
        <w:rPr>
          <w:sz w:val="13"/>
        </w:rPr>
      </w:pPr>
      <w:r>
        <w:rPr/>
        <w:t>CCB MASPALOMAS, CCB TFE, GESPROTUR y ESSSCAN presentan sus cuentas anuales del ejercicio 2022 siguiendo el Plan General de Contabilidad para PYMES, mientras que GESTUR LPA en liquidación, GESTUR CANARIAS, RPC y SODECAN las presentan en modelo abreviado, conforme a lo previsto en el Plan General de Contabilidad, aprobado mediante Real Decreto 1514/2007, de 16 de noviembre. Ninguna de ellas incorpora, como parte de sus cuentas anuales, el estado de cambios en el patrimonio neto y el estado de flujos de efectivo, al no ser</w:t>
      </w:r>
      <w:r>
        <w:rPr>
          <w:spacing w:val="8"/>
        </w:rPr>
        <w:t> </w:t>
      </w:r>
      <w:r>
        <w:rPr/>
        <w:t>obligatorios.</w:t>
      </w:r>
      <w:r>
        <w:rPr>
          <w:position w:val="7"/>
          <w:sz w:val="13"/>
        </w:rPr>
        <w:t>26</w:t>
      </w:r>
    </w:p>
    <w:p>
      <w:pPr>
        <w:pStyle w:val="Heading1"/>
        <w:numPr>
          <w:ilvl w:val="3"/>
          <w:numId w:val="62"/>
        </w:numPr>
        <w:tabs>
          <w:tab w:pos="2771" w:val="left" w:leader="none"/>
        </w:tabs>
        <w:spacing w:line="240" w:lineRule="auto" w:before="195" w:after="0"/>
        <w:ind w:left="2770" w:right="0" w:hanging="672"/>
        <w:jc w:val="left"/>
      </w:pPr>
      <w:r>
        <w:rPr/>
        <w:t>Balance de Situación Agregado.</w:t>
      </w:r>
    </w:p>
    <w:p>
      <w:pPr>
        <w:pStyle w:val="BodyText"/>
        <w:spacing w:before="11"/>
        <w:rPr>
          <w:b/>
          <w:sz w:val="16"/>
        </w:rPr>
      </w:pPr>
    </w:p>
    <w:tbl>
      <w:tblPr>
        <w:tblW w:w="0" w:type="auto"/>
        <w:jc w:val="left"/>
        <w:tblInd w:w="2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9"/>
        <w:gridCol w:w="1179"/>
        <w:gridCol w:w="1159"/>
        <w:gridCol w:w="1142"/>
        <w:gridCol w:w="1110"/>
      </w:tblGrid>
      <w:tr>
        <w:trPr>
          <w:trHeight w:val="273" w:hRule="atLeast"/>
        </w:trPr>
        <w:tc>
          <w:tcPr>
            <w:tcW w:w="2319" w:type="dxa"/>
            <w:tcBorders>
              <w:top w:val="single" w:sz="4" w:space="0" w:color="000000"/>
            </w:tcBorders>
            <w:shd w:val="clear" w:color="auto" w:fill="D9E1F3"/>
          </w:tcPr>
          <w:p>
            <w:pPr>
              <w:pStyle w:val="TableParagraph"/>
              <w:spacing w:before="58"/>
              <w:ind w:left="386"/>
              <w:rPr>
                <w:b/>
                <w:sz w:val="13"/>
              </w:rPr>
            </w:pPr>
            <w:r>
              <w:rPr>
                <w:b/>
                <w:w w:val="105"/>
                <w:sz w:val="13"/>
              </w:rPr>
              <w:t>Balance de situación (euros)</w:t>
            </w:r>
          </w:p>
        </w:tc>
        <w:tc>
          <w:tcPr>
            <w:tcW w:w="1179" w:type="dxa"/>
            <w:tcBorders>
              <w:top w:val="single" w:sz="4" w:space="0" w:color="000000"/>
            </w:tcBorders>
            <w:shd w:val="clear" w:color="auto" w:fill="D9E1F3"/>
          </w:tcPr>
          <w:p>
            <w:pPr>
              <w:pStyle w:val="TableParagraph"/>
              <w:spacing w:before="58"/>
              <w:ind w:left="226" w:right="223"/>
              <w:jc w:val="center"/>
              <w:rPr>
                <w:b/>
                <w:sz w:val="13"/>
              </w:rPr>
            </w:pPr>
            <w:r>
              <w:rPr>
                <w:b/>
                <w:w w:val="105"/>
                <w:sz w:val="13"/>
              </w:rPr>
              <w:t>2019</w:t>
            </w:r>
          </w:p>
        </w:tc>
        <w:tc>
          <w:tcPr>
            <w:tcW w:w="1159" w:type="dxa"/>
            <w:tcBorders>
              <w:top w:val="single" w:sz="4" w:space="0" w:color="000000"/>
            </w:tcBorders>
            <w:shd w:val="clear" w:color="auto" w:fill="D9E1F3"/>
          </w:tcPr>
          <w:p>
            <w:pPr>
              <w:pStyle w:val="TableParagraph"/>
              <w:spacing w:before="58"/>
              <w:ind w:left="398" w:right="444"/>
              <w:jc w:val="center"/>
              <w:rPr>
                <w:b/>
                <w:sz w:val="13"/>
              </w:rPr>
            </w:pPr>
            <w:r>
              <w:rPr>
                <w:b/>
                <w:w w:val="105"/>
                <w:sz w:val="13"/>
              </w:rPr>
              <w:t>2020</w:t>
            </w:r>
          </w:p>
        </w:tc>
        <w:tc>
          <w:tcPr>
            <w:tcW w:w="1142" w:type="dxa"/>
            <w:tcBorders>
              <w:top w:val="single" w:sz="4" w:space="0" w:color="000000"/>
            </w:tcBorders>
            <w:shd w:val="clear" w:color="auto" w:fill="D9E1F3"/>
          </w:tcPr>
          <w:p>
            <w:pPr>
              <w:pStyle w:val="TableParagraph"/>
              <w:spacing w:before="58"/>
              <w:ind w:left="381" w:right="443"/>
              <w:jc w:val="center"/>
              <w:rPr>
                <w:b/>
                <w:sz w:val="13"/>
              </w:rPr>
            </w:pPr>
            <w:r>
              <w:rPr>
                <w:b/>
                <w:w w:val="105"/>
                <w:sz w:val="13"/>
              </w:rPr>
              <w:t>2021</w:t>
            </w:r>
          </w:p>
        </w:tc>
        <w:tc>
          <w:tcPr>
            <w:tcW w:w="1110" w:type="dxa"/>
            <w:tcBorders>
              <w:top w:val="single" w:sz="4" w:space="0" w:color="000000"/>
            </w:tcBorders>
            <w:shd w:val="clear" w:color="auto" w:fill="D9E1F3"/>
          </w:tcPr>
          <w:p>
            <w:pPr>
              <w:pStyle w:val="TableParagraph"/>
              <w:spacing w:before="58"/>
              <w:ind w:left="380" w:right="412"/>
              <w:jc w:val="center"/>
              <w:rPr>
                <w:b/>
                <w:sz w:val="13"/>
              </w:rPr>
            </w:pPr>
            <w:r>
              <w:rPr>
                <w:b/>
                <w:w w:val="105"/>
                <w:sz w:val="13"/>
              </w:rPr>
              <w:t>2022</w:t>
            </w:r>
          </w:p>
        </w:tc>
      </w:tr>
      <w:tr>
        <w:trPr>
          <w:trHeight w:val="250" w:hRule="atLeast"/>
        </w:trPr>
        <w:tc>
          <w:tcPr>
            <w:tcW w:w="2319" w:type="dxa"/>
          </w:tcPr>
          <w:p>
            <w:pPr>
              <w:pStyle w:val="TableParagraph"/>
              <w:spacing w:before="41"/>
              <w:ind w:left="64"/>
              <w:rPr>
                <w:b/>
                <w:sz w:val="13"/>
              </w:rPr>
            </w:pPr>
            <w:r>
              <w:rPr>
                <w:b/>
                <w:w w:val="105"/>
                <w:sz w:val="13"/>
              </w:rPr>
              <w:t>Activo no corriente</w:t>
            </w:r>
          </w:p>
        </w:tc>
        <w:tc>
          <w:tcPr>
            <w:tcW w:w="1179" w:type="dxa"/>
          </w:tcPr>
          <w:p>
            <w:pPr>
              <w:pStyle w:val="TableParagraph"/>
              <w:spacing w:before="41"/>
              <w:ind w:right="72"/>
              <w:jc w:val="right"/>
              <w:rPr>
                <w:b/>
                <w:sz w:val="13"/>
              </w:rPr>
            </w:pPr>
            <w:r>
              <w:rPr>
                <w:b/>
                <w:w w:val="105"/>
                <w:sz w:val="13"/>
              </w:rPr>
              <w:t>1.030.057.119,87</w:t>
            </w:r>
          </w:p>
        </w:tc>
        <w:tc>
          <w:tcPr>
            <w:tcW w:w="1159" w:type="dxa"/>
          </w:tcPr>
          <w:p>
            <w:pPr>
              <w:pStyle w:val="TableParagraph"/>
              <w:spacing w:before="41"/>
              <w:ind w:right="88"/>
              <w:jc w:val="right"/>
              <w:rPr>
                <w:b/>
                <w:sz w:val="13"/>
              </w:rPr>
            </w:pPr>
            <w:r>
              <w:rPr>
                <w:b/>
                <w:w w:val="105"/>
                <w:sz w:val="13"/>
              </w:rPr>
              <w:t>1.019.096.965,74</w:t>
            </w:r>
          </w:p>
        </w:tc>
        <w:tc>
          <w:tcPr>
            <w:tcW w:w="1142" w:type="dxa"/>
          </w:tcPr>
          <w:p>
            <w:pPr>
              <w:pStyle w:val="TableParagraph"/>
              <w:spacing w:before="41"/>
              <w:ind w:right="87"/>
              <w:jc w:val="right"/>
              <w:rPr>
                <w:b/>
                <w:sz w:val="13"/>
              </w:rPr>
            </w:pPr>
            <w:r>
              <w:rPr>
                <w:b/>
                <w:w w:val="105"/>
                <w:sz w:val="13"/>
              </w:rPr>
              <w:t>1.022.151.239,42</w:t>
            </w:r>
          </w:p>
        </w:tc>
        <w:tc>
          <w:tcPr>
            <w:tcW w:w="1110" w:type="dxa"/>
          </w:tcPr>
          <w:p>
            <w:pPr>
              <w:pStyle w:val="TableParagraph"/>
              <w:spacing w:before="41"/>
              <w:ind w:right="56"/>
              <w:jc w:val="right"/>
              <w:rPr>
                <w:b/>
                <w:sz w:val="13"/>
              </w:rPr>
            </w:pPr>
            <w:r>
              <w:rPr>
                <w:b/>
                <w:w w:val="105"/>
                <w:sz w:val="13"/>
              </w:rPr>
              <w:t>1.031.572.139,19</w:t>
            </w:r>
          </w:p>
        </w:tc>
      </w:tr>
      <w:tr>
        <w:trPr>
          <w:trHeight w:val="238" w:hRule="atLeast"/>
        </w:trPr>
        <w:tc>
          <w:tcPr>
            <w:tcW w:w="2319" w:type="dxa"/>
          </w:tcPr>
          <w:p>
            <w:pPr>
              <w:pStyle w:val="TableParagraph"/>
              <w:spacing w:before="29"/>
              <w:ind w:left="64"/>
              <w:rPr>
                <w:b/>
                <w:sz w:val="13"/>
              </w:rPr>
            </w:pPr>
            <w:r>
              <w:rPr>
                <w:b/>
                <w:w w:val="105"/>
                <w:sz w:val="13"/>
              </w:rPr>
              <w:t>Activo corriente</w:t>
            </w:r>
          </w:p>
        </w:tc>
        <w:tc>
          <w:tcPr>
            <w:tcW w:w="1179" w:type="dxa"/>
          </w:tcPr>
          <w:p>
            <w:pPr>
              <w:pStyle w:val="TableParagraph"/>
              <w:spacing w:before="29"/>
              <w:ind w:right="72"/>
              <w:jc w:val="right"/>
              <w:rPr>
                <w:b/>
                <w:sz w:val="13"/>
              </w:rPr>
            </w:pPr>
            <w:r>
              <w:rPr>
                <w:b/>
                <w:sz w:val="13"/>
              </w:rPr>
              <w:t>227.214.182,38</w:t>
            </w:r>
          </w:p>
        </w:tc>
        <w:tc>
          <w:tcPr>
            <w:tcW w:w="1159" w:type="dxa"/>
          </w:tcPr>
          <w:p>
            <w:pPr>
              <w:pStyle w:val="TableParagraph"/>
              <w:spacing w:before="29"/>
              <w:ind w:right="88"/>
              <w:jc w:val="right"/>
              <w:rPr>
                <w:b/>
                <w:sz w:val="13"/>
              </w:rPr>
            </w:pPr>
            <w:r>
              <w:rPr>
                <w:b/>
                <w:sz w:val="13"/>
              </w:rPr>
              <w:t>296.842.716,50</w:t>
            </w:r>
          </w:p>
        </w:tc>
        <w:tc>
          <w:tcPr>
            <w:tcW w:w="1142" w:type="dxa"/>
          </w:tcPr>
          <w:p>
            <w:pPr>
              <w:pStyle w:val="TableParagraph"/>
              <w:spacing w:before="29"/>
              <w:ind w:right="88"/>
              <w:jc w:val="right"/>
              <w:rPr>
                <w:b/>
                <w:sz w:val="13"/>
              </w:rPr>
            </w:pPr>
            <w:r>
              <w:rPr>
                <w:b/>
                <w:sz w:val="13"/>
              </w:rPr>
              <w:t>381.591.412,20</w:t>
            </w:r>
          </w:p>
        </w:tc>
        <w:tc>
          <w:tcPr>
            <w:tcW w:w="1110" w:type="dxa"/>
          </w:tcPr>
          <w:p>
            <w:pPr>
              <w:pStyle w:val="TableParagraph"/>
              <w:spacing w:before="29"/>
              <w:ind w:right="57"/>
              <w:jc w:val="right"/>
              <w:rPr>
                <w:b/>
                <w:sz w:val="13"/>
              </w:rPr>
            </w:pPr>
            <w:r>
              <w:rPr>
                <w:b/>
                <w:sz w:val="13"/>
              </w:rPr>
              <w:t>357.634.937,16</w:t>
            </w:r>
          </w:p>
        </w:tc>
      </w:tr>
      <w:tr>
        <w:trPr>
          <w:trHeight w:val="238" w:hRule="atLeast"/>
        </w:trPr>
        <w:tc>
          <w:tcPr>
            <w:tcW w:w="2319" w:type="dxa"/>
          </w:tcPr>
          <w:p>
            <w:pPr>
              <w:pStyle w:val="TableParagraph"/>
              <w:spacing w:before="30"/>
              <w:ind w:left="64"/>
              <w:rPr>
                <w:b/>
                <w:sz w:val="13"/>
              </w:rPr>
            </w:pPr>
            <w:r>
              <w:rPr>
                <w:b/>
                <w:w w:val="105"/>
                <w:sz w:val="13"/>
              </w:rPr>
              <w:t>Patrimonio Neto</w:t>
            </w:r>
          </w:p>
        </w:tc>
        <w:tc>
          <w:tcPr>
            <w:tcW w:w="1179" w:type="dxa"/>
          </w:tcPr>
          <w:p>
            <w:pPr>
              <w:pStyle w:val="TableParagraph"/>
              <w:spacing w:before="30"/>
              <w:ind w:right="72"/>
              <w:jc w:val="right"/>
              <w:rPr>
                <w:b/>
                <w:sz w:val="13"/>
              </w:rPr>
            </w:pPr>
            <w:r>
              <w:rPr>
                <w:b/>
                <w:sz w:val="13"/>
              </w:rPr>
              <w:t>972.893.026,69</w:t>
            </w:r>
          </w:p>
        </w:tc>
        <w:tc>
          <w:tcPr>
            <w:tcW w:w="1159" w:type="dxa"/>
          </w:tcPr>
          <w:p>
            <w:pPr>
              <w:pStyle w:val="TableParagraph"/>
              <w:spacing w:before="30"/>
              <w:ind w:right="88"/>
              <w:jc w:val="right"/>
              <w:rPr>
                <w:b/>
                <w:sz w:val="13"/>
              </w:rPr>
            </w:pPr>
            <w:r>
              <w:rPr>
                <w:b/>
                <w:sz w:val="13"/>
              </w:rPr>
              <w:t>984.053.252,89</w:t>
            </w:r>
          </w:p>
        </w:tc>
        <w:tc>
          <w:tcPr>
            <w:tcW w:w="1142" w:type="dxa"/>
          </w:tcPr>
          <w:p>
            <w:pPr>
              <w:pStyle w:val="TableParagraph"/>
              <w:spacing w:before="30"/>
              <w:ind w:right="88"/>
              <w:jc w:val="right"/>
              <w:rPr>
                <w:b/>
                <w:sz w:val="13"/>
              </w:rPr>
            </w:pPr>
            <w:r>
              <w:rPr>
                <w:b/>
                <w:sz w:val="13"/>
              </w:rPr>
              <w:t>992.292.393,01</w:t>
            </w:r>
          </w:p>
        </w:tc>
        <w:tc>
          <w:tcPr>
            <w:tcW w:w="1110" w:type="dxa"/>
          </w:tcPr>
          <w:p>
            <w:pPr>
              <w:pStyle w:val="TableParagraph"/>
              <w:spacing w:before="30"/>
              <w:ind w:right="57"/>
              <w:jc w:val="right"/>
              <w:rPr>
                <w:b/>
                <w:sz w:val="13"/>
              </w:rPr>
            </w:pPr>
            <w:r>
              <w:rPr>
                <w:b/>
                <w:sz w:val="13"/>
              </w:rPr>
              <w:t>999.179.086,30</w:t>
            </w:r>
          </w:p>
        </w:tc>
      </w:tr>
      <w:tr>
        <w:trPr>
          <w:trHeight w:val="237" w:hRule="atLeast"/>
        </w:trPr>
        <w:tc>
          <w:tcPr>
            <w:tcW w:w="2319" w:type="dxa"/>
          </w:tcPr>
          <w:p>
            <w:pPr>
              <w:pStyle w:val="TableParagraph"/>
              <w:spacing w:before="29"/>
              <w:ind w:left="64"/>
              <w:rPr>
                <w:sz w:val="13"/>
              </w:rPr>
            </w:pPr>
            <w:r>
              <w:rPr>
                <w:w w:val="105"/>
                <w:sz w:val="13"/>
              </w:rPr>
              <w:t>I. Fondos Propios</w:t>
            </w:r>
          </w:p>
        </w:tc>
        <w:tc>
          <w:tcPr>
            <w:tcW w:w="1179" w:type="dxa"/>
          </w:tcPr>
          <w:p>
            <w:pPr>
              <w:pStyle w:val="TableParagraph"/>
              <w:spacing w:before="29"/>
              <w:ind w:right="72"/>
              <w:jc w:val="right"/>
              <w:rPr>
                <w:sz w:val="13"/>
              </w:rPr>
            </w:pPr>
            <w:r>
              <w:rPr>
                <w:sz w:val="13"/>
              </w:rPr>
              <w:t>233.562.105,95</w:t>
            </w:r>
          </w:p>
        </w:tc>
        <w:tc>
          <w:tcPr>
            <w:tcW w:w="1159" w:type="dxa"/>
          </w:tcPr>
          <w:p>
            <w:pPr>
              <w:pStyle w:val="TableParagraph"/>
              <w:spacing w:before="29"/>
              <w:ind w:right="88"/>
              <w:jc w:val="right"/>
              <w:rPr>
                <w:sz w:val="13"/>
              </w:rPr>
            </w:pPr>
            <w:r>
              <w:rPr>
                <w:sz w:val="13"/>
              </w:rPr>
              <w:t>251.558.427,65</w:t>
            </w:r>
          </w:p>
        </w:tc>
        <w:tc>
          <w:tcPr>
            <w:tcW w:w="1142" w:type="dxa"/>
          </w:tcPr>
          <w:p>
            <w:pPr>
              <w:pStyle w:val="TableParagraph"/>
              <w:spacing w:before="29"/>
              <w:ind w:right="88"/>
              <w:jc w:val="right"/>
              <w:rPr>
                <w:sz w:val="13"/>
              </w:rPr>
            </w:pPr>
            <w:r>
              <w:rPr>
                <w:sz w:val="13"/>
              </w:rPr>
              <w:t>256.204.145,38</w:t>
            </w:r>
          </w:p>
        </w:tc>
        <w:tc>
          <w:tcPr>
            <w:tcW w:w="1110" w:type="dxa"/>
          </w:tcPr>
          <w:p>
            <w:pPr>
              <w:pStyle w:val="TableParagraph"/>
              <w:spacing w:before="29"/>
              <w:ind w:right="57"/>
              <w:jc w:val="right"/>
              <w:rPr>
                <w:sz w:val="13"/>
              </w:rPr>
            </w:pPr>
            <w:r>
              <w:rPr>
                <w:sz w:val="13"/>
              </w:rPr>
              <w:t>268.258.444,68</w:t>
            </w:r>
          </w:p>
        </w:tc>
      </w:tr>
      <w:tr>
        <w:trPr>
          <w:trHeight w:val="219" w:hRule="atLeast"/>
        </w:trPr>
        <w:tc>
          <w:tcPr>
            <w:tcW w:w="2319" w:type="dxa"/>
          </w:tcPr>
          <w:p>
            <w:pPr>
              <w:pStyle w:val="TableParagraph"/>
              <w:spacing w:before="29"/>
              <w:ind w:left="64"/>
              <w:rPr>
                <w:sz w:val="13"/>
              </w:rPr>
            </w:pPr>
            <w:r>
              <w:rPr>
                <w:w w:val="105"/>
                <w:sz w:val="13"/>
              </w:rPr>
              <w:t>II. Ajustes por cambio de valor</w:t>
            </w:r>
          </w:p>
        </w:tc>
        <w:tc>
          <w:tcPr>
            <w:tcW w:w="1179" w:type="dxa"/>
          </w:tcPr>
          <w:p>
            <w:pPr>
              <w:pStyle w:val="TableParagraph"/>
              <w:spacing w:before="29"/>
              <w:ind w:right="74"/>
              <w:jc w:val="right"/>
              <w:rPr>
                <w:sz w:val="13"/>
              </w:rPr>
            </w:pPr>
            <w:r>
              <w:rPr>
                <w:w w:val="103"/>
                <w:sz w:val="13"/>
              </w:rPr>
              <w:t>0</w:t>
            </w:r>
          </w:p>
        </w:tc>
        <w:tc>
          <w:tcPr>
            <w:tcW w:w="1159" w:type="dxa"/>
          </w:tcPr>
          <w:p>
            <w:pPr>
              <w:pStyle w:val="TableParagraph"/>
              <w:spacing w:before="29"/>
              <w:ind w:right="90"/>
              <w:jc w:val="right"/>
              <w:rPr>
                <w:sz w:val="13"/>
              </w:rPr>
            </w:pPr>
            <w:r>
              <w:rPr>
                <w:w w:val="103"/>
                <w:sz w:val="13"/>
              </w:rPr>
              <w:t>0</w:t>
            </w:r>
          </w:p>
        </w:tc>
        <w:tc>
          <w:tcPr>
            <w:tcW w:w="1142" w:type="dxa"/>
          </w:tcPr>
          <w:p>
            <w:pPr>
              <w:pStyle w:val="TableParagraph"/>
              <w:spacing w:before="29"/>
              <w:ind w:right="89"/>
              <w:jc w:val="right"/>
              <w:rPr>
                <w:sz w:val="13"/>
              </w:rPr>
            </w:pPr>
            <w:r>
              <w:rPr>
                <w:w w:val="103"/>
                <w:sz w:val="13"/>
              </w:rPr>
              <w:t>0</w:t>
            </w:r>
          </w:p>
        </w:tc>
        <w:tc>
          <w:tcPr>
            <w:tcW w:w="1110" w:type="dxa"/>
          </w:tcPr>
          <w:p>
            <w:pPr>
              <w:pStyle w:val="TableParagraph"/>
              <w:spacing w:before="29"/>
              <w:ind w:right="58"/>
              <w:jc w:val="right"/>
              <w:rPr>
                <w:sz w:val="13"/>
              </w:rPr>
            </w:pPr>
            <w:r>
              <w:rPr>
                <w:w w:val="103"/>
                <w:sz w:val="13"/>
              </w:rPr>
              <w:t>0</w:t>
            </w:r>
          </w:p>
        </w:tc>
      </w:tr>
      <w:tr>
        <w:trPr>
          <w:trHeight w:val="364" w:hRule="atLeast"/>
        </w:trPr>
        <w:tc>
          <w:tcPr>
            <w:tcW w:w="2319" w:type="dxa"/>
          </w:tcPr>
          <w:p>
            <w:pPr>
              <w:pStyle w:val="TableParagraph"/>
              <w:spacing w:line="247" w:lineRule="auto" w:before="10"/>
              <w:ind w:left="64"/>
              <w:rPr>
                <w:sz w:val="13"/>
              </w:rPr>
            </w:pPr>
            <w:r>
              <w:rPr>
                <w:w w:val="105"/>
                <w:sz w:val="13"/>
              </w:rPr>
              <w:t>III. Subvenciones, donaciones y legados recibidos</w:t>
            </w:r>
          </w:p>
        </w:tc>
        <w:tc>
          <w:tcPr>
            <w:tcW w:w="1179" w:type="dxa"/>
          </w:tcPr>
          <w:p>
            <w:pPr>
              <w:pStyle w:val="TableParagraph"/>
              <w:spacing w:before="10"/>
              <w:ind w:right="72"/>
              <w:jc w:val="right"/>
              <w:rPr>
                <w:sz w:val="13"/>
              </w:rPr>
            </w:pPr>
            <w:r>
              <w:rPr>
                <w:sz w:val="13"/>
              </w:rPr>
              <w:t>739.330.920,74</w:t>
            </w:r>
          </w:p>
        </w:tc>
        <w:tc>
          <w:tcPr>
            <w:tcW w:w="1159" w:type="dxa"/>
          </w:tcPr>
          <w:p>
            <w:pPr>
              <w:pStyle w:val="TableParagraph"/>
              <w:spacing w:before="10"/>
              <w:ind w:right="88"/>
              <w:jc w:val="right"/>
              <w:rPr>
                <w:sz w:val="13"/>
              </w:rPr>
            </w:pPr>
            <w:r>
              <w:rPr>
                <w:sz w:val="13"/>
              </w:rPr>
              <w:t>732.494.825,24</w:t>
            </w:r>
          </w:p>
        </w:tc>
        <w:tc>
          <w:tcPr>
            <w:tcW w:w="1142" w:type="dxa"/>
          </w:tcPr>
          <w:p>
            <w:pPr>
              <w:pStyle w:val="TableParagraph"/>
              <w:spacing w:before="10"/>
              <w:ind w:right="88"/>
              <w:jc w:val="right"/>
              <w:rPr>
                <w:sz w:val="13"/>
              </w:rPr>
            </w:pPr>
            <w:r>
              <w:rPr>
                <w:sz w:val="13"/>
              </w:rPr>
              <w:t>736.088.247,63</w:t>
            </w:r>
          </w:p>
        </w:tc>
        <w:tc>
          <w:tcPr>
            <w:tcW w:w="1110" w:type="dxa"/>
          </w:tcPr>
          <w:p>
            <w:pPr>
              <w:pStyle w:val="TableParagraph"/>
              <w:spacing w:before="10"/>
              <w:ind w:right="57"/>
              <w:jc w:val="right"/>
              <w:rPr>
                <w:sz w:val="13"/>
              </w:rPr>
            </w:pPr>
            <w:r>
              <w:rPr>
                <w:sz w:val="13"/>
              </w:rPr>
              <w:t>730.920.641,62</w:t>
            </w:r>
          </w:p>
        </w:tc>
      </w:tr>
      <w:tr>
        <w:trPr>
          <w:trHeight w:val="220" w:hRule="atLeast"/>
        </w:trPr>
        <w:tc>
          <w:tcPr>
            <w:tcW w:w="2319" w:type="dxa"/>
          </w:tcPr>
          <w:p>
            <w:pPr>
              <w:pStyle w:val="TableParagraph"/>
              <w:spacing w:before="10"/>
              <w:ind w:left="64"/>
              <w:rPr>
                <w:b/>
                <w:sz w:val="13"/>
              </w:rPr>
            </w:pPr>
            <w:r>
              <w:rPr>
                <w:b/>
                <w:w w:val="105"/>
                <w:sz w:val="13"/>
              </w:rPr>
              <w:t>Pasivo</w:t>
            </w:r>
          </w:p>
        </w:tc>
        <w:tc>
          <w:tcPr>
            <w:tcW w:w="1179" w:type="dxa"/>
          </w:tcPr>
          <w:p>
            <w:pPr>
              <w:pStyle w:val="TableParagraph"/>
              <w:spacing w:before="10"/>
              <w:ind w:right="72"/>
              <w:jc w:val="right"/>
              <w:rPr>
                <w:b/>
                <w:sz w:val="13"/>
              </w:rPr>
            </w:pPr>
            <w:r>
              <w:rPr>
                <w:b/>
                <w:sz w:val="13"/>
              </w:rPr>
              <w:t>284.378.275,56</w:t>
            </w:r>
          </w:p>
        </w:tc>
        <w:tc>
          <w:tcPr>
            <w:tcW w:w="1159" w:type="dxa"/>
          </w:tcPr>
          <w:p>
            <w:pPr>
              <w:pStyle w:val="TableParagraph"/>
              <w:spacing w:before="10"/>
              <w:ind w:right="88"/>
              <w:jc w:val="right"/>
              <w:rPr>
                <w:b/>
                <w:sz w:val="13"/>
              </w:rPr>
            </w:pPr>
            <w:r>
              <w:rPr>
                <w:b/>
                <w:sz w:val="13"/>
              </w:rPr>
              <w:t>331.886.429,35</w:t>
            </w:r>
          </w:p>
        </w:tc>
        <w:tc>
          <w:tcPr>
            <w:tcW w:w="1142" w:type="dxa"/>
          </w:tcPr>
          <w:p>
            <w:pPr>
              <w:pStyle w:val="TableParagraph"/>
              <w:spacing w:before="10"/>
              <w:ind w:right="88"/>
              <w:jc w:val="right"/>
              <w:rPr>
                <w:b/>
                <w:sz w:val="13"/>
              </w:rPr>
            </w:pPr>
            <w:r>
              <w:rPr>
                <w:b/>
                <w:sz w:val="13"/>
              </w:rPr>
              <w:t>411.450.258,61</w:t>
            </w:r>
          </w:p>
        </w:tc>
        <w:tc>
          <w:tcPr>
            <w:tcW w:w="1110" w:type="dxa"/>
          </w:tcPr>
          <w:p>
            <w:pPr>
              <w:pStyle w:val="TableParagraph"/>
              <w:spacing w:before="10"/>
              <w:ind w:right="57"/>
              <w:jc w:val="right"/>
              <w:rPr>
                <w:b/>
                <w:sz w:val="13"/>
              </w:rPr>
            </w:pPr>
            <w:r>
              <w:rPr>
                <w:b/>
                <w:sz w:val="13"/>
              </w:rPr>
              <w:t>390.027.990,05</w:t>
            </w:r>
          </w:p>
        </w:tc>
      </w:tr>
      <w:tr>
        <w:trPr>
          <w:trHeight w:val="238" w:hRule="atLeast"/>
        </w:trPr>
        <w:tc>
          <w:tcPr>
            <w:tcW w:w="2319" w:type="dxa"/>
          </w:tcPr>
          <w:p>
            <w:pPr>
              <w:pStyle w:val="TableParagraph"/>
              <w:spacing w:before="30"/>
              <w:ind w:left="64"/>
              <w:rPr>
                <w:sz w:val="13"/>
              </w:rPr>
            </w:pPr>
            <w:r>
              <w:rPr>
                <w:w w:val="105"/>
                <w:sz w:val="13"/>
              </w:rPr>
              <w:t>I. Pasivo no corriente</w:t>
            </w:r>
          </w:p>
        </w:tc>
        <w:tc>
          <w:tcPr>
            <w:tcW w:w="1179" w:type="dxa"/>
          </w:tcPr>
          <w:p>
            <w:pPr>
              <w:pStyle w:val="TableParagraph"/>
              <w:spacing w:before="30"/>
              <w:ind w:right="72"/>
              <w:jc w:val="right"/>
              <w:rPr>
                <w:sz w:val="13"/>
              </w:rPr>
            </w:pPr>
            <w:r>
              <w:rPr>
                <w:sz w:val="13"/>
              </w:rPr>
              <w:t>149.294.551,58</w:t>
            </w:r>
          </w:p>
        </w:tc>
        <w:tc>
          <w:tcPr>
            <w:tcW w:w="1159" w:type="dxa"/>
          </w:tcPr>
          <w:p>
            <w:pPr>
              <w:pStyle w:val="TableParagraph"/>
              <w:spacing w:before="30"/>
              <w:ind w:right="88"/>
              <w:jc w:val="right"/>
              <w:rPr>
                <w:sz w:val="13"/>
              </w:rPr>
            </w:pPr>
            <w:r>
              <w:rPr>
                <w:sz w:val="13"/>
              </w:rPr>
              <w:t>162.479.292,61</w:t>
            </w:r>
          </w:p>
        </w:tc>
        <w:tc>
          <w:tcPr>
            <w:tcW w:w="1142" w:type="dxa"/>
          </w:tcPr>
          <w:p>
            <w:pPr>
              <w:pStyle w:val="TableParagraph"/>
              <w:spacing w:before="30"/>
              <w:ind w:right="88"/>
              <w:jc w:val="right"/>
              <w:rPr>
                <w:sz w:val="13"/>
              </w:rPr>
            </w:pPr>
            <w:r>
              <w:rPr>
                <w:sz w:val="13"/>
              </w:rPr>
              <w:t>176.663.586,92</w:t>
            </w:r>
          </w:p>
        </w:tc>
        <w:tc>
          <w:tcPr>
            <w:tcW w:w="1110" w:type="dxa"/>
          </w:tcPr>
          <w:p>
            <w:pPr>
              <w:pStyle w:val="TableParagraph"/>
              <w:spacing w:before="30"/>
              <w:ind w:right="57"/>
              <w:jc w:val="right"/>
              <w:rPr>
                <w:sz w:val="13"/>
              </w:rPr>
            </w:pPr>
            <w:r>
              <w:rPr>
                <w:sz w:val="13"/>
              </w:rPr>
              <w:t>144.152.745,28</w:t>
            </w:r>
          </w:p>
        </w:tc>
      </w:tr>
      <w:tr>
        <w:trPr>
          <w:trHeight w:val="237" w:hRule="atLeast"/>
        </w:trPr>
        <w:tc>
          <w:tcPr>
            <w:tcW w:w="2319" w:type="dxa"/>
          </w:tcPr>
          <w:p>
            <w:pPr>
              <w:pStyle w:val="TableParagraph"/>
              <w:spacing w:before="29"/>
              <w:ind w:left="64"/>
              <w:rPr>
                <w:sz w:val="13"/>
              </w:rPr>
            </w:pPr>
            <w:r>
              <w:rPr>
                <w:w w:val="105"/>
                <w:sz w:val="13"/>
              </w:rPr>
              <w:t>II. Pasivo corriente</w:t>
            </w:r>
          </w:p>
        </w:tc>
        <w:tc>
          <w:tcPr>
            <w:tcW w:w="1179" w:type="dxa"/>
          </w:tcPr>
          <w:p>
            <w:pPr>
              <w:pStyle w:val="TableParagraph"/>
              <w:spacing w:before="29"/>
              <w:ind w:right="72"/>
              <w:jc w:val="right"/>
              <w:rPr>
                <w:sz w:val="13"/>
              </w:rPr>
            </w:pPr>
            <w:r>
              <w:rPr>
                <w:sz w:val="13"/>
              </w:rPr>
              <w:t>135.083.723,98</w:t>
            </w:r>
          </w:p>
        </w:tc>
        <w:tc>
          <w:tcPr>
            <w:tcW w:w="1159" w:type="dxa"/>
          </w:tcPr>
          <w:p>
            <w:pPr>
              <w:pStyle w:val="TableParagraph"/>
              <w:spacing w:before="29"/>
              <w:ind w:right="88"/>
              <w:jc w:val="right"/>
              <w:rPr>
                <w:sz w:val="13"/>
              </w:rPr>
            </w:pPr>
            <w:r>
              <w:rPr>
                <w:sz w:val="13"/>
              </w:rPr>
              <w:t>169.407.136,74</w:t>
            </w:r>
          </w:p>
        </w:tc>
        <w:tc>
          <w:tcPr>
            <w:tcW w:w="1142" w:type="dxa"/>
          </w:tcPr>
          <w:p>
            <w:pPr>
              <w:pStyle w:val="TableParagraph"/>
              <w:spacing w:before="29"/>
              <w:ind w:right="88"/>
              <w:jc w:val="right"/>
              <w:rPr>
                <w:sz w:val="13"/>
              </w:rPr>
            </w:pPr>
            <w:r>
              <w:rPr>
                <w:sz w:val="13"/>
              </w:rPr>
              <w:t>234.786.671,69</w:t>
            </w:r>
          </w:p>
        </w:tc>
        <w:tc>
          <w:tcPr>
            <w:tcW w:w="1110" w:type="dxa"/>
          </w:tcPr>
          <w:p>
            <w:pPr>
              <w:pStyle w:val="TableParagraph"/>
              <w:spacing w:before="29"/>
              <w:ind w:right="57"/>
              <w:jc w:val="right"/>
              <w:rPr>
                <w:sz w:val="13"/>
              </w:rPr>
            </w:pPr>
            <w:r>
              <w:rPr>
                <w:sz w:val="13"/>
              </w:rPr>
              <w:t>245.875.244,77</w:t>
            </w:r>
          </w:p>
        </w:tc>
      </w:tr>
      <w:tr>
        <w:trPr>
          <w:trHeight w:val="226" w:hRule="atLeast"/>
        </w:trPr>
        <w:tc>
          <w:tcPr>
            <w:tcW w:w="2319" w:type="dxa"/>
            <w:tcBorders>
              <w:bottom w:val="single" w:sz="4" w:space="0" w:color="000000"/>
            </w:tcBorders>
          </w:tcPr>
          <w:p>
            <w:pPr>
              <w:pStyle w:val="TableParagraph"/>
              <w:spacing w:before="29"/>
              <w:ind w:left="1007" w:right="982"/>
              <w:jc w:val="center"/>
              <w:rPr>
                <w:b/>
                <w:sz w:val="13"/>
              </w:rPr>
            </w:pPr>
            <w:r>
              <w:rPr>
                <w:b/>
                <w:w w:val="105"/>
                <w:sz w:val="13"/>
              </w:rPr>
              <w:t>Total</w:t>
            </w:r>
          </w:p>
        </w:tc>
        <w:tc>
          <w:tcPr>
            <w:tcW w:w="1179" w:type="dxa"/>
            <w:tcBorders>
              <w:bottom w:val="single" w:sz="4" w:space="0" w:color="000000"/>
            </w:tcBorders>
          </w:tcPr>
          <w:p>
            <w:pPr>
              <w:pStyle w:val="TableParagraph"/>
              <w:spacing w:before="29"/>
              <w:ind w:right="104"/>
              <w:jc w:val="right"/>
              <w:rPr>
                <w:b/>
                <w:sz w:val="13"/>
              </w:rPr>
            </w:pPr>
            <w:r>
              <w:rPr>
                <w:b/>
                <w:w w:val="105"/>
                <w:sz w:val="13"/>
              </w:rPr>
              <w:t>1.257.271.302,25</w:t>
            </w:r>
          </w:p>
        </w:tc>
        <w:tc>
          <w:tcPr>
            <w:tcW w:w="1159" w:type="dxa"/>
            <w:tcBorders>
              <w:bottom w:val="single" w:sz="4" w:space="0" w:color="000000"/>
            </w:tcBorders>
          </w:tcPr>
          <w:p>
            <w:pPr>
              <w:pStyle w:val="TableParagraph"/>
              <w:spacing w:before="29"/>
              <w:ind w:right="120"/>
              <w:jc w:val="right"/>
              <w:rPr>
                <w:b/>
                <w:sz w:val="13"/>
              </w:rPr>
            </w:pPr>
            <w:r>
              <w:rPr>
                <w:b/>
                <w:w w:val="105"/>
                <w:sz w:val="13"/>
              </w:rPr>
              <w:t>1.315.939.682,24</w:t>
            </w:r>
          </w:p>
        </w:tc>
        <w:tc>
          <w:tcPr>
            <w:tcW w:w="1142" w:type="dxa"/>
            <w:tcBorders>
              <w:bottom w:val="single" w:sz="4" w:space="0" w:color="000000"/>
            </w:tcBorders>
          </w:tcPr>
          <w:p>
            <w:pPr>
              <w:pStyle w:val="TableParagraph"/>
              <w:spacing w:before="29"/>
              <w:ind w:right="87"/>
              <w:jc w:val="right"/>
              <w:rPr>
                <w:b/>
                <w:sz w:val="13"/>
              </w:rPr>
            </w:pPr>
            <w:r>
              <w:rPr>
                <w:b/>
                <w:w w:val="105"/>
                <w:sz w:val="13"/>
              </w:rPr>
              <w:t>1.403.742.651,62</w:t>
            </w:r>
          </w:p>
        </w:tc>
        <w:tc>
          <w:tcPr>
            <w:tcW w:w="1110" w:type="dxa"/>
            <w:tcBorders>
              <w:bottom w:val="single" w:sz="4" w:space="0" w:color="000000"/>
            </w:tcBorders>
          </w:tcPr>
          <w:p>
            <w:pPr>
              <w:pStyle w:val="TableParagraph"/>
              <w:spacing w:before="29"/>
              <w:ind w:right="56"/>
              <w:jc w:val="right"/>
              <w:rPr>
                <w:b/>
                <w:sz w:val="13"/>
              </w:rPr>
            </w:pPr>
            <w:r>
              <w:rPr>
                <w:b/>
                <w:w w:val="105"/>
                <w:sz w:val="13"/>
              </w:rPr>
              <w:t>1.389.207.076,35</w:t>
            </w:r>
          </w:p>
        </w:tc>
      </w:tr>
    </w:tbl>
    <w:p>
      <w:pPr>
        <w:pStyle w:val="BodyText"/>
        <w:spacing w:before="3"/>
        <w:rPr>
          <w:b/>
          <w:sz w:val="16"/>
        </w:rPr>
      </w:pPr>
    </w:p>
    <w:p>
      <w:pPr>
        <w:pStyle w:val="BodyText"/>
        <w:ind w:left="2099" w:right="1140" w:firstLine="594"/>
        <w:jc w:val="both"/>
      </w:pPr>
      <w:r>
        <w:rPr/>
        <w:t>Se observa que el importe del Activo agregado es inferior a diez millones de €, respecto al de 2021, aunque ha habido un incremento del Activo No Corriente nueve millones de € y una disminución del Activo Corriente de 24 millones de €.</w:t>
      </w:r>
    </w:p>
    <w:p>
      <w:pPr>
        <w:pStyle w:val="BodyText"/>
        <w:spacing w:before="1"/>
        <w:rPr>
          <w:sz w:val="17"/>
        </w:rPr>
      </w:pPr>
    </w:p>
    <w:p>
      <w:pPr>
        <w:pStyle w:val="Heading1"/>
        <w:numPr>
          <w:ilvl w:val="0"/>
          <w:numId w:val="63"/>
        </w:numPr>
        <w:tabs>
          <w:tab w:pos="2337" w:val="left" w:leader="none"/>
        </w:tabs>
        <w:spacing w:line="240" w:lineRule="auto" w:before="0" w:after="0"/>
        <w:ind w:left="2336" w:right="0" w:hanging="238"/>
        <w:jc w:val="left"/>
        <w:rPr>
          <w:b w:val="0"/>
        </w:rPr>
      </w:pPr>
      <w:r>
        <w:rPr/>
        <w:t>Activo no</w:t>
      </w:r>
      <w:r>
        <w:rPr>
          <w:spacing w:val="-3"/>
        </w:rPr>
        <w:t> </w:t>
      </w:r>
      <w:r>
        <w:rPr/>
        <w:t>corriente</w:t>
      </w:r>
      <w:r>
        <w:rPr>
          <w:b w:val="0"/>
        </w:rPr>
        <w:t>.</w:t>
      </w:r>
    </w:p>
    <w:p>
      <w:pPr>
        <w:pStyle w:val="BodyText"/>
        <w:spacing w:before="8"/>
        <w:rPr>
          <w:sz w:val="16"/>
        </w:rPr>
      </w:pPr>
    </w:p>
    <w:p>
      <w:pPr>
        <w:pStyle w:val="ListParagraph"/>
        <w:numPr>
          <w:ilvl w:val="0"/>
          <w:numId w:val="64"/>
        </w:numPr>
        <w:tabs>
          <w:tab w:pos="2456" w:val="left" w:leader="none"/>
        </w:tabs>
        <w:spacing w:line="240" w:lineRule="auto" w:before="0" w:after="0"/>
        <w:ind w:left="2455" w:right="0" w:hanging="357"/>
        <w:jc w:val="left"/>
        <w:rPr>
          <w:sz w:val="20"/>
        </w:rPr>
      </w:pPr>
      <w:r>
        <w:rPr>
          <w:sz w:val="20"/>
        </w:rPr>
        <w:t>El Inmovilizado material asciende a 597 millones de €, de los</w:t>
      </w:r>
      <w:r>
        <w:rPr>
          <w:spacing w:val="6"/>
          <w:sz w:val="20"/>
        </w:rPr>
        <w:t> </w:t>
      </w:r>
      <w:r>
        <w:rPr>
          <w:sz w:val="20"/>
        </w:rPr>
        <w:t>cuales:</w:t>
      </w:r>
    </w:p>
    <w:p>
      <w:pPr>
        <w:pStyle w:val="BodyText"/>
        <w:spacing w:before="8"/>
        <w:rPr>
          <w:sz w:val="16"/>
        </w:rPr>
      </w:pPr>
    </w:p>
    <w:p>
      <w:pPr>
        <w:pStyle w:val="ListParagraph"/>
        <w:numPr>
          <w:ilvl w:val="1"/>
          <w:numId w:val="64"/>
        </w:numPr>
        <w:tabs>
          <w:tab w:pos="2694" w:val="left" w:leader="none"/>
        </w:tabs>
        <w:spacing w:line="242" w:lineRule="auto" w:before="0" w:after="0"/>
        <w:ind w:left="2693" w:right="1141" w:hanging="303"/>
        <w:jc w:val="both"/>
        <w:rPr>
          <w:sz w:val="20"/>
        </w:rPr>
      </w:pPr>
      <w:r>
        <w:rPr>
          <w:sz w:val="20"/>
        </w:rPr>
        <w:t>525 millones de € corresponden a la sociedad PUERTOS CANARIOS, que ha contabilizado</w:t>
      </w:r>
      <w:r>
        <w:rPr>
          <w:spacing w:val="-3"/>
          <w:sz w:val="20"/>
        </w:rPr>
        <w:t> </w:t>
      </w:r>
      <w:r>
        <w:rPr>
          <w:sz w:val="20"/>
        </w:rPr>
        <w:t>altas</w:t>
      </w:r>
      <w:r>
        <w:rPr>
          <w:spacing w:val="-3"/>
          <w:sz w:val="20"/>
        </w:rPr>
        <w:t> </w:t>
      </w:r>
      <w:r>
        <w:rPr>
          <w:sz w:val="20"/>
        </w:rPr>
        <w:t>en</w:t>
      </w:r>
      <w:r>
        <w:rPr>
          <w:spacing w:val="-2"/>
          <w:sz w:val="20"/>
        </w:rPr>
        <w:t> </w:t>
      </w:r>
      <w:r>
        <w:rPr>
          <w:sz w:val="20"/>
        </w:rPr>
        <w:t>el</w:t>
      </w:r>
      <w:r>
        <w:rPr>
          <w:spacing w:val="-3"/>
          <w:sz w:val="20"/>
        </w:rPr>
        <w:t> </w:t>
      </w:r>
      <w:r>
        <w:rPr>
          <w:sz w:val="20"/>
        </w:rPr>
        <w:t>inmovilizado</w:t>
      </w:r>
      <w:r>
        <w:rPr>
          <w:spacing w:val="-3"/>
          <w:sz w:val="20"/>
        </w:rPr>
        <w:t> </w:t>
      </w:r>
      <w:r>
        <w:rPr>
          <w:sz w:val="20"/>
        </w:rPr>
        <w:t>material</w:t>
      </w:r>
      <w:r>
        <w:rPr>
          <w:spacing w:val="-5"/>
          <w:sz w:val="20"/>
        </w:rPr>
        <w:t> </w:t>
      </w:r>
      <w:r>
        <w:rPr>
          <w:sz w:val="20"/>
        </w:rPr>
        <w:t>por</w:t>
      </w:r>
      <w:r>
        <w:rPr>
          <w:spacing w:val="-5"/>
          <w:sz w:val="20"/>
        </w:rPr>
        <w:t> </w:t>
      </w:r>
      <w:r>
        <w:rPr>
          <w:sz w:val="20"/>
        </w:rPr>
        <w:t>importe</w:t>
      </w:r>
      <w:r>
        <w:rPr>
          <w:spacing w:val="-3"/>
          <w:sz w:val="20"/>
        </w:rPr>
        <w:t> </w:t>
      </w:r>
      <w:r>
        <w:rPr>
          <w:sz w:val="20"/>
        </w:rPr>
        <w:t>de</w:t>
      </w:r>
      <w:r>
        <w:rPr>
          <w:spacing w:val="1"/>
          <w:sz w:val="20"/>
        </w:rPr>
        <w:t> </w:t>
      </w:r>
      <w:r>
        <w:rPr>
          <w:sz w:val="20"/>
        </w:rPr>
        <w:t>seis</w:t>
      </w:r>
      <w:r>
        <w:rPr>
          <w:spacing w:val="-3"/>
          <w:sz w:val="20"/>
        </w:rPr>
        <w:t> </w:t>
      </w:r>
      <w:r>
        <w:rPr>
          <w:sz w:val="20"/>
        </w:rPr>
        <w:t>millones</w:t>
      </w:r>
      <w:r>
        <w:rPr>
          <w:spacing w:val="-5"/>
          <w:sz w:val="20"/>
        </w:rPr>
        <w:t> </w:t>
      </w:r>
      <w:r>
        <w:rPr>
          <w:sz w:val="20"/>
        </w:rPr>
        <w:t>de</w:t>
      </w:r>
      <w:r>
        <w:rPr>
          <w:spacing w:val="-3"/>
          <w:sz w:val="20"/>
        </w:rPr>
        <w:t> </w:t>
      </w:r>
      <w:r>
        <w:rPr>
          <w:sz w:val="20"/>
        </w:rPr>
        <w:t>€, destacando las actuaciones realizadas en los Puertos de Playa Blanca que han ascendido a cuatro millones de €, aproximadamente. (Recogido en la nota 5 de su</w:t>
      </w:r>
      <w:r>
        <w:rPr>
          <w:spacing w:val="1"/>
          <w:sz w:val="20"/>
        </w:rPr>
        <w:t> </w:t>
      </w:r>
      <w:r>
        <w:rPr>
          <w:sz w:val="20"/>
        </w:rPr>
        <w:t>Memoria)</w:t>
      </w:r>
    </w:p>
    <w:p>
      <w:pPr>
        <w:pStyle w:val="BodyText"/>
        <w:spacing w:before="9"/>
        <w:rPr>
          <w:sz w:val="21"/>
        </w:rPr>
      </w:pPr>
      <w:r>
        <w:rPr/>
        <w:pict>
          <v:shape style="position:absolute;margin-left:142.958206pt;margin-top:15.606516pt;width:120.95pt;height:.1pt;mso-position-horizontal-relative:page;mso-position-vertical-relative:paragraph;z-index:-251453440;mso-wrap-distance-left:0;mso-wrap-distance-right:0" coordorigin="2859,312" coordsize="2419,0" path="m2859,312l5278,312e" filled="false" stroked="true" strokeweight=".604484pt" strokecolor="#000000">
            <v:path arrowok="t"/>
            <v:stroke dashstyle="solid"/>
            <w10:wrap type="topAndBottom"/>
          </v:shape>
        </w:pict>
      </w:r>
    </w:p>
    <w:p>
      <w:pPr>
        <w:spacing w:line="249" w:lineRule="auto" w:before="51"/>
        <w:ind w:left="2099" w:right="1201" w:firstLine="0"/>
        <w:jc w:val="left"/>
        <w:rPr>
          <w:sz w:val="16"/>
        </w:rPr>
      </w:pPr>
      <w:r>
        <w:rPr>
          <w:w w:val="105"/>
          <w:position w:val="6"/>
          <w:sz w:val="11"/>
        </w:rPr>
        <w:t>25 </w:t>
      </w:r>
      <w:r>
        <w:rPr>
          <w:w w:val="105"/>
          <w:sz w:val="16"/>
        </w:rPr>
        <w:t>En el Anexo XIV figura el desglose del Balance de Situación y Cuenta de Pérdidas y Ganancias por entidad.</w:t>
      </w:r>
    </w:p>
    <w:p>
      <w:pPr>
        <w:spacing w:line="198" w:lineRule="exact" w:before="0"/>
        <w:ind w:left="2099" w:right="0" w:firstLine="0"/>
        <w:jc w:val="left"/>
        <w:rPr>
          <w:sz w:val="16"/>
        </w:rPr>
      </w:pPr>
      <w:r>
        <w:rPr>
          <w:w w:val="105"/>
          <w:position w:val="6"/>
          <w:sz w:val="11"/>
        </w:rPr>
        <w:t>26 </w:t>
      </w:r>
      <w:r>
        <w:rPr>
          <w:w w:val="105"/>
          <w:sz w:val="16"/>
        </w:rPr>
        <w:t>Real Decreto 602/2016, de 2 diciembre, se modificó, entre otros, el referido Plan General de</w:t>
      </w:r>
    </w:p>
    <w:p>
      <w:pPr>
        <w:spacing w:before="10"/>
        <w:ind w:left="2099" w:right="0" w:firstLine="0"/>
        <w:jc w:val="left"/>
        <w:rPr>
          <w:sz w:val="16"/>
        </w:rPr>
      </w:pPr>
      <w:r>
        <w:rPr>
          <w:w w:val="105"/>
          <w:sz w:val="16"/>
        </w:rPr>
        <w:t>Contabilidad para PYMES.</w:t>
      </w:r>
    </w:p>
    <w:p>
      <w:pPr>
        <w:pStyle w:val="BodyText"/>
        <w:spacing w:before="2"/>
        <w:ind w:left="7787"/>
        <w:jc w:val="center"/>
      </w:pPr>
      <w:r>
        <w:rPr/>
        <w:t>113</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41" name="image5.png"/>
                  <wp:cNvGraphicFramePr>
                    <a:graphicFrameLocks noChangeAspect="1"/>
                  </wp:cNvGraphicFramePr>
                  <a:graphic>
                    <a:graphicData uri="http://schemas.openxmlformats.org/drawingml/2006/picture">
                      <pic:pic>
                        <pic:nvPicPr>
                          <pic:cNvPr id="24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115/247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65"/>
        </w:numPr>
        <w:tabs>
          <w:tab w:pos="2694" w:val="left" w:leader="none"/>
        </w:tabs>
        <w:spacing w:line="240" w:lineRule="auto" w:before="61" w:after="0"/>
        <w:ind w:left="2693" w:right="0" w:hanging="303"/>
        <w:jc w:val="both"/>
        <w:rPr>
          <w:sz w:val="20"/>
        </w:rPr>
      </w:pPr>
      <w:r>
        <w:rPr>
          <w:sz w:val="20"/>
        </w:rPr>
        <w:t>26 millones de € corresponden a HECANSA, que presenta altas por un millón de</w:t>
      </w:r>
    </w:p>
    <w:p>
      <w:pPr>
        <w:pStyle w:val="BodyText"/>
        <w:spacing w:before="2"/>
        <w:ind w:left="2693"/>
        <w:jc w:val="both"/>
      </w:pPr>
      <w:r>
        <w:rPr/>
        <w:t>€, correspondientes a inversiones ordinarias de la Sociedad, según se recoge en</w:t>
      </w:r>
    </w:p>
    <w:p>
      <w:pPr>
        <w:pStyle w:val="BodyText"/>
        <w:spacing w:before="2"/>
        <w:ind w:left="2693"/>
        <w:jc w:val="both"/>
      </w:pPr>
      <w:r>
        <w:rPr/>
        <w:t>la nota 6 de su memoria.</w:t>
      </w:r>
    </w:p>
    <w:p>
      <w:pPr>
        <w:pStyle w:val="ListParagraph"/>
        <w:numPr>
          <w:ilvl w:val="0"/>
          <w:numId w:val="65"/>
        </w:numPr>
        <w:tabs>
          <w:tab w:pos="2694" w:val="left" w:leader="none"/>
        </w:tabs>
        <w:spacing w:line="240" w:lineRule="auto" w:before="3" w:after="0"/>
        <w:ind w:left="2693" w:right="1144" w:hanging="299"/>
        <w:jc w:val="both"/>
        <w:rPr>
          <w:sz w:val="20"/>
        </w:rPr>
      </w:pPr>
      <w:r>
        <w:rPr>
          <w:sz w:val="20"/>
        </w:rPr>
        <w:t>22</w:t>
      </w:r>
      <w:r>
        <w:rPr>
          <w:spacing w:val="-8"/>
          <w:sz w:val="20"/>
        </w:rPr>
        <w:t> </w:t>
      </w:r>
      <w:r>
        <w:rPr>
          <w:sz w:val="20"/>
        </w:rPr>
        <w:t>millones</w:t>
      </w:r>
      <w:r>
        <w:rPr>
          <w:spacing w:val="-10"/>
          <w:sz w:val="20"/>
        </w:rPr>
        <w:t> </w:t>
      </w:r>
      <w:r>
        <w:rPr>
          <w:sz w:val="20"/>
        </w:rPr>
        <w:t>de</w:t>
      </w:r>
      <w:r>
        <w:rPr>
          <w:spacing w:val="-10"/>
          <w:sz w:val="20"/>
        </w:rPr>
        <w:t> </w:t>
      </w:r>
      <w:r>
        <w:rPr>
          <w:sz w:val="20"/>
        </w:rPr>
        <w:t>€</w:t>
      </w:r>
      <w:r>
        <w:rPr>
          <w:spacing w:val="-10"/>
          <w:sz w:val="20"/>
        </w:rPr>
        <w:t> </w:t>
      </w:r>
      <w:r>
        <w:rPr>
          <w:sz w:val="20"/>
        </w:rPr>
        <w:t>corresponden</w:t>
      </w:r>
      <w:r>
        <w:rPr>
          <w:spacing w:val="-10"/>
          <w:sz w:val="20"/>
        </w:rPr>
        <w:t> </w:t>
      </w:r>
      <w:r>
        <w:rPr>
          <w:sz w:val="20"/>
        </w:rPr>
        <w:t>al</w:t>
      </w:r>
      <w:r>
        <w:rPr>
          <w:spacing w:val="-8"/>
          <w:sz w:val="20"/>
        </w:rPr>
        <w:t> </w:t>
      </w:r>
      <w:r>
        <w:rPr>
          <w:sz w:val="20"/>
        </w:rPr>
        <w:t>ITC,</w:t>
      </w:r>
      <w:r>
        <w:rPr>
          <w:spacing w:val="-9"/>
          <w:sz w:val="20"/>
        </w:rPr>
        <w:t> </w:t>
      </w:r>
      <w:r>
        <w:rPr>
          <w:sz w:val="20"/>
        </w:rPr>
        <w:t>que</w:t>
      </w:r>
      <w:r>
        <w:rPr>
          <w:spacing w:val="-11"/>
          <w:sz w:val="20"/>
        </w:rPr>
        <w:t> </w:t>
      </w:r>
      <w:r>
        <w:rPr>
          <w:sz w:val="20"/>
        </w:rPr>
        <w:t>ha</w:t>
      </w:r>
      <w:r>
        <w:rPr>
          <w:spacing w:val="-10"/>
          <w:sz w:val="20"/>
        </w:rPr>
        <w:t> </w:t>
      </w:r>
      <w:r>
        <w:rPr>
          <w:sz w:val="20"/>
        </w:rPr>
        <w:t>recogido</w:t>
      </w:r>
      <w:r>
        <w:rPr>
          <w:spacing w:val="-10"/>
          <w:sz w:val="20"/>
        </w:rPr>
        <w:t> </w:t>
      </w:r>
      <w:r>
        <w:rPr>
          <w:sz w:val="20"/>
        </w:rPr>
        <w:t>en</w:t>
      </w:r>
      <w:r>
        <w:rPr>
          <w:spacing w:val="-9"/>
          <w:sz w:val="20"/>
        </w:rPr>
        <w:t> </w:t>
      </w:r>
      <w:r>
        <w:rPr>
          <w:sz w:val="20"/>
        </w:rPr>
        <w:t>la</w:t>
      </w:r>
      <w:r>
        <w:rPr>
          <w:spacing w:val="-10"/>
          <w:sz w:val="20"/>
        </w:rPr>
        <w:t> </w:t>
      </w:r>
      <w:r>
        <w:rPr>
          <w:sz w:val="20"/>
        </w:rPr>
        <w:t>nota</w:t>
      </w:r>
      <w:r>
        <w:rPr>
          <w:spacing w:val="-10"/>
          <w:sz w:val="20"/>
        </w:rPr>
        <w:t> </w:t>
      </w:r>
      <w:r>
        <w:rPr>
          <w:sz w:val="20"/>
        </w:rPr>
        <w:t>5</w:t>
      </w:r>
      <w:r>
        <w:rPr>
          <w:spacing w:val="-10"/>
          <w:sz w:val="20"/>
        </w:rPr>
        <w:t> </w:t>
      </w:r>
      <w:r>
        <w:rPr>
          <w:sz w:val="20"/>
        </w:rPr>
        <w:t>de</w:t>
      </w:r>
      <w:r>
        <w:rPr>
          <w:spacing w:val="-9"/>
          <w:sz w:val="20"/>
        </w:rPr>
        <w:t> </w:t>
      </w:r>
      <w:r>
        <w:rPr>
          <w:sz w:val="20"/>
        </w:rPr>
        <w:t>su</w:t>
      </w:r>
      <w:r>
        <w:rPr>
          <w:spacing w:val="-8"/>
          <w:sz w:val="20"/>
        </w:rPr>
        <w:t> </w:t>
      </w:r>
      <w:r>
        <w:rPr>
          <w:sz w:val="20"/>
        </w:rPr>
        <w:t>memoria que las altas por cuatro millones de € se corresponden con inversiones efectuadas para dar cumplimiento a los objetivos de los proyectos en los que la Sociedad se encuentra</w:t>
      </w:r>
      <w:r>
        <w:rPr>
          <w:spacing w:val="4"/>
          <w:sz w:val="20"/>
        </w:rPr>
        <w:t> </w:t>
      </w:r>
      <w:r>
        <w:rPr>
          <w:sz w:val="20"/>
        </w:rPr>
        <w:t>inmersa.</w:t>
      </w:r>
    </w:p>
    <w:p>
      <w:pPr>
        <w:pStyle w:val="BodyText"/>
        <w:spacing w:before="1"/>
        <w:rPr>
          <w:sz w:val="17"/>
        </w:rPr>
      </w:pPr>
    </w:p>
    <w:p>
      <w:pPr>
        <w:pStyle w:val="ListParagraph"/>
        <w:numPr>
          <w:ilvl w:val="0"/>
          <w:numId w:val="64"/>
        </w:numPr>
        <w:tabs>
          <w:tab w:pos="2456" w:val="left" w:leader="none"/>
        </w:tabs>
        <w:spacing w:line="242" w:lineRule="auto" w:before="0" w:after="0"/>
        <w:ind w:left="2455" w:right="1140" w:hanging="357"/>
        <w:jc w:val="both"/>
        <w:rPr>
          <w:sz w:val="20"/>
        </w:rPr>
      </w:pPr>
      <w:r>
        <w:rPr>
          <w:sz w:val="20"/>
        </w:rPr>
        <w:t>Las Inversiones Inmobiliarias ascienden a 411 millones de €, que ha supuesto un incremento, aproximadamente, de seis millones de € respecto al año anterior, debido principalmente a las altas contabilizadas por VISOCAN, como consecuencia del Plan de Reconstrucción de La Palma, así como por la adquisición de viviendas, dentro del programa del ICAVI denominado PROHOGAR, para atender a familias de especial vulnerabilidad en riesgo de exclusión</w:t>
      </w:r>
      <w:r>
        <w:rPr>
          <w:spacing w:val="2"/>
          <w:sz w:val="20"/>
        </w:rPr>
        <w:t> </w:t>
      </w:r>
      <w:r>
        <w:rPr>
          <w:sz w:val="20"/>
        </w:rPr>
        <w:t>social.</w:t>
      </w:r>
    </w:p>
    <w:p>
      <w:pPr>
        <w:pStyle w:val="BodyText"/>
        <w:spacing w:before="2"/>
        <w:rPr>
          <w:sz w:val="16"/>
        </w:rPr>
      </w:pPr>
    </w:p>
    <w:p>
      <w:pPr>
        <w:pStyle w:val="Heading1"/>
        <w:numPr>
          <w:ilvl w:val="0"/>
          <w:numId w:val="63"/>
        </w:numPr>
        <w:tabs>
          <w:tab w:pos="2337" w:val="left" w:leader="none"/>
        </w:tabs>
        <w:spacing w:line="240" w:lineRule="auto" w:before="0" w:after="0"/>
        <w:ind w:left="2336" w:right="0" w:hanging="238"/>
        <w:jc w:val="left"/>
        <w:rPr>
          <w:b w:val="0"/>
        </w:rPr>
      </w:pPr>
      <w:r>
        <w:rPr/>
        <w:t>Activo</w:t>
      </w:r>
      <w:r>
        <w:rPr>
          <w:spacing w:val="-1"/>
        </w:rPr>
        <w:t> </w:t>
      </w:r>
      <w:r>
        <w:rPr/>
        <w:t>corriente</w:t>
      </w:r>
      <w:r>
        <w:rPr>
          <w:b w:val="0"/>
        </w:rPr>
        <w:t>.</w:t>
      </w:r>
    </w:p>
    <w:p>
      <w:pPr>
        <w:pStyle w:val="BodyText"/>
        <w:spacing w:before="8"/>
        <w:rPr>
          <w:sz w:val="16"/>
        </w:rPr>
      </w:pPr>
    </w:p>
    <w:p>
      <w:pPr>
        <w:pStyle w:val="BodyText"/>
        <w:spacing w:line="242" w:lineRule="auto"/>
        <w:ind w:left="2099" w:right="1144" w:firstLine="594"/>
        <w:jc w:val="both"/>
      </w:pPr>
      <w:r>
        <w:rPr/>
        <w:t>La disminución del activo corriente en 24 millones de € mencionada anteriormente, se debe a la disminución de los epígrafes de “Efectivo y otros activos líquidos equivalentes” y las de “Existencias” y “Deudores comerciales y otras cuentas a cobrar”. En relación con este epígrafe, se debe mencionar lo siguiente:</w:t>
      </w:r>
    </w:p>
    <w:p>
      <w:pPr>
        <w:pStyle w:val="BodyText"/>
        <w:spacing w:before="6"/>
        <w:rPr>
          <w:sz w:val="16"/>
        </w:rPr>
      </w:pPr>
    </w:p>
    <w:p>
      <w:pPr>
        <w:pStyle w:val="ListParagraph"/>
        <w:numPr>
          <w:ilvl w:val="0"/>
          <w:numId w:val="66"/>
        </w:numPr>
        <w:tabs>
          <w:tab w:pos="2458" w:val="left" w:leader="none"/>
        </w:tabs>
        <w:spacing w:line="240" w:lineRule="auto" w:before="0" w:after="0"/>
        <w:ind w:left="2457" w:right="1140" w:hanging="359"/>
        <w:jc w:val="both"/>
        <w:rPr>
          <w:sz w:val="20"/>
        </w:rPr>
      </w:pPr>
      <w:r>
        <w:rPr>
          <w:sz w:val="20"/>
        </w:rPr>
        <w:t>La partida de deudores comerciales en PROMOTUR pasa de 40,5 millones de € en 2021 a 13 millones de € en 2022 con motivo de la disminución del epígrafe “Otros créditos con las Administraciones Públicas” (que recoge las subvenciones concedidas y no cobradas por la sociedad a 31 de diciembre). A la fecha de formulación</w:t>
      </w:r>
      <w:r>
        <w:rPr>
          <w:spacing w:val="-5"/>
          <w:sz w:val="20"/>
        </w:rPr>
        <w:t> </w:t>
      </w:r>
      <w:r>
        <w:rPr>
          <w:sz w:val="20"/>
        </w:rPr>
        <w:t>de</w:t>
      </w:r>
      <w:r>
        <w:rPr>
          <w:spacing w:val="-3"/>
          <w:sz w:val="20"/>
        </w:rPr>
        <w:t> </w:t>
      </w:r>
      <w:r>
        <w:rPr>
          <w:sz w:val="20"/>
        </w:rPr>
        <w:t>las</w:t>
      </w:r>
      <w:r>
        <w:rPr>
          <w:spacing w:val="-3"/>
          <w:sz w:val="20"/>
        </w:rPr>
        <w:t> </w:t>
      </w:r>
      <w:r>
        <w:rPr>
          <w:sz w:val="20"/>
        </w:rPr>
        <w:t>cuentas</w:t>
      </w:r>
      <w:r>
        <w:rPr>
          <w:spacing w:val="-3"/>
          <w:sz w:val="20"/>
        </w:rPr>
        <w:t> </w:t>
      </w:r>
      <w:r>
        <w:rPr>
          <w:sz w:val="20"/>
        </w:rPr>
        <w:t>anuales</w:t>
      </w:r>
      <w:r>
        <w:rPr>
          <w:spacing w:val="-6"/>
          <w:sz w:val="20"/>
        </w:rPr>
        <w:t> </w:t>
      </w:r>
      <w:r>
        <w:rPr>
          <w:sz w:val="20"/>
        </w:rPr>
        <w:t>de</w:t>
      </w:r>
      <w:r>
        <w:rPr>
          <w:spacing w:val="-3"/>
          <w:sz w:val="20"/>
        </w:rPr>
        <w:t> </w:t>
      </w:r>
      <w:r>
        <w:rPr>
          <w:sz w:val="20"/>
        </w:rPr>
        <w:t>la</w:t>
      </w:r>
      <w:r>
        <w:rPr>
          <w:spacing w:val="-3"/>
          <w:sz w:val="20"/>
        </w:rPr>
        <w:t> </w:t>
      </w:r>
      <w:r>
        <w:rPr>
          <w:sz w:val="20"/>
        </w:rPr>
        <w:t>citada</w:t>
      </w:r>
      <w:r>
        <w:rPr>
          <w:spacing w:val="-3"/>
          <w:sz w:val="20"/>
        </w:rPr>
        <w:t> </w:t>
      </w:r>
      <w:r>
        <w:rPr>
          <w:sz w:val="20"/>
        </w:rPr>
        <w:t>sociedad</w:t>
      </w:r>
      <w:r>
        <w:rPr>
          <w:spacing w:val="-2"/>
          <w:sz w:val="20"/>
        </w:rPr>
        <w:t> </w:t>
      </w:r>
      <w:r>
        <w:rPr>
          <w:sz w:val="20"/>
        </w:rPr>
        <w:t>ya</w:t>
      </w:r>
      <w:r>
        <w:rPr>
          <w:spacing w:val="-4"/>
          <w:sz w:val="20"/>
        </w:rPr>
        <w:t> </w:t>
      </w:r>
      <w:r>
        <w:rPr>
          <w:sz w:val="20"/>
        </w:rPr>
        <w:t>se</w:t>
      </w:r>
      <w:r>
        <w:rPr>
          <w:spacing w:val="-3"/>
          <w:sz w:val="20"/>
        </w:rPr>
        <w:t> </w:t>
      </w:r>
      <w:r>
        <w:rPr>
          <w:sz w:val="20"/>
        </w:rPr>
        <w:t>habían</w:t>
      </w:r>
      <w:r>
        <w:rPr>
          <w:spacing w:val="-3"/>
          <w:sz w:val="20"/>
        </w:rPr>
        <w:t> </w:t>
      </w:r>
      <w:r>
        <w:rPr>
          <w:sz w:val="20"/>
        </w:rPr>
        <w:t>cobrado siete millones de</w:t>
      </w:r>
      <w:r>
        <w:rPr>
          <w:spacing w:val="-2"/>
          <w:sz w:val="20"/>
        </w:rPr>
        <w:t> </w:t>
      </w:r>
      <w:r>
        <w:rPr>
          <w:sz w:val="20"/>
        </w:rPr>
        <w:t>€.</w:t>
      </w:r>
    </w:p>
    <w:p>
      <w:pPr>
        <w:pStyle w:val="BodyText"/>
        <w:spacing w:before="4"/>
        <w:rPr>
          <w:sz w:val="17"/>
        </w:rPr>
      </w:pPr>
    </w:p>
    <w:p>
      <w:pPr>
        <w:pStyle w:val="ListParagraph"/>
        <w:numPr>
          <w:ilvl w:val="0"/>
          <w:numId w:val="66"/>
        </w:numPr>
        <w:tabs>
          <w:tab w:pos="2458" w:val="left" w:leader="none"/>
        </w:tabs>
        <w:spacing w:line="240" w:lineRule="auto" w:before="0" w:after="0"/>
        <w:ind w:left="2457" w:right="0" w:hanging="359"/>
        <w:jc w:val="left"/>
        <w:rPr>
          <w:sz w:val="20"/>
        </w:rPr>
      </w:pPr>
      <w:r>
        <w:rPr>
          <w:sz w:val="20"/>
        </w:rPr>
        <w:t>El epígrafe de Tesorería de ha pasado de 172,6 millones de € a 156,5 millones de</w:t>
      </w:r>
      <w:r>
        <w:rPr>
          <w:spacing w:val="-5"/>
          <w:sz w:val="20"/>
        </w:rPr>
        <w:t> </w:t>
      </w:r>
      <w:r>
        <w:rPr>
          <w:sz w:val="20"/>
        </w:rPr>
        <w:t>€.</w:t>
      </w:r>
    </w:p>
    <w:p>
      <w:pPr>
        <w:pStyle w:val="BodyText"/>
        <w:spacing w:before="8"/>
        <w:rPr>
          <w:sz w:val="16"/>
        </w:rPr>
      </w:pPr>
    </w:p>
    <w:p>
      <w:pPr>
        <w:pStyle w:val="ListParagraph"/>
        <w:numPr>
          <w:ilvl w:val="0"/>
          <w:numId w:val="66"/>
        </w:numPr>
        <w:tabs>
          <w:tab w:pos="2458" w:val="left" w:leader="none"/>
        </w:tabs>
        <w:spacing w:line="240" w:lineRule="auto" w:before="0" w:after="0"/>
        <w:ind w:left="2457" w:right="1143" w:hanging="359"/>
        <w:jc w:val="both"/>
        <w:rPr>
          <w:sz w:val="20"/>
        </w:rPr>
      </w:pPr>
      <w:r>
        <w:rPr>
          <w:sz w:val="20"/>
        </w:rPr>
        <w:t>El epígrafe de “Inversiones financieras a corto plazo” supone 22,8 millones de €, de los cuales 20 millones de € corresponden a la entidad pública empresarial Puertos Canarios.</w:t>
      </w:r>
    </w:p>
    <w:p>
      <w:pPr>
        <w:pStyle w:val="BodyText"/>
        <w:spacing w:before="11"/>
        <w:rPr>
          <w:sz w:val="16"/>
        </w:rPr>
      </w:pPr>
    </w:p>
    <w:p>
      <w:pPr>
        <w:pStyle w:val="Heading1"/>
        <w:numPr>
          <w:ilvl w:val="0"/>
          <w:numId w:val="63"/>
        </w:numPr>
        <w:tabs>
          <w:tab w:pos="2337" w:val="left" w:leader="none"/>
        </w:tabs>
        <w:spacing w:line="240" w:lineRule="auto" w:before="1" w:after="0"/>
        <w:ind w:left="2336" w:right="0" w:hanging="238"/>
        <w:jc w:val="left"/>
      </w:pPr>
      <w:r>
        <w:rPr/>
        <w:t>Patrimonio</w:t>
      </w:r>
      <w:r>
        <w:rPr>
          <w:spacing w:val="2"/>
        </w:rPr>
        <w:t> </w:t>
      </w:r>
      <w:r>
        <w:rPr/>
        <w:t>neto.</w:t>
      </w:r>
    </w:p>
    <w:p>
      <w:pPr>
        <w:pStyle w:val="BodyText"/>
        <w:spacing w:before="7"/>
        <w:rPr>
          <w:b/>
          <w:sz w:val="16"/>
        </w:rPr>
      </w:pPr>
    </w:p>
    <w:p>
      <w:pPr>
        <w:pStyle w:val="BodyText"/>
        <w:ind w:left="2693"/>
        <w:jc w:val="both"/>
      </w:pPr>
      <w:r>
        <w:rPr/>
        <w:t>El Patrimonio Neto Agregado asciende a 999 millones de €, lo que representa un</w:t>
      </w:r>
    </w:p>
    <w:p>
      <w:pPr>
        <w:pStyle w:val="BodyText"/>
        <w:spacing w:before="2"/>
        <w:ind w:left="2099"/>
      </w:pPr>
      <w:r>
        <w:rPr/>
        <w:t>72 % del Total Patrimonio Neto y Pasivo Agregado.</w:t>
      </w:r>
    </w:p>
    <w:p>
      <w:pPr>
        <w:pStyle w:val="BodyText"/>
        <w:spacing w:before="10"/>
        <w:rPr>
          <w:sz w:val="16"/>
        </w:rPr>
      </w:pPr>
    </w:p>
    <w:p>
      <w:pPr>
        <w:pStyle w:val="BodyText"/>
        <w:ind w:left="2457" w:right="1143" w:hanging="359"/>
        <w:jc w:val="both"/>
      </w:pPr>
      <w:r>
        <w:rPr/>
        <w:t>A. Como en años anteriores, el epígrafe más significativo de dicho Patrimonio es el de Subvenciones,</w:t>
      </w:r>
      <w:r>
        <w:rPr>
          <w:spacing w:val="27"/>
        </w:rPr>
        <w:t> </w:t>
      </w:r>
      <w:r>
        <w:rPr/>
        <w:t>Donaciones</w:t>
      </w:r>
      <w:r>
        <w:rPr>
          <w:spacing w:val="30"/>
        </w:rPr>
        <w:t> </w:t>
      </w:r>
      <w:r>
        <w:rPr/>
        <w:t>y</w:t>
      </w:r>
      <w:r>
        <w:rPr>
          <w:spacing w:val="28"/>
        </w:rPr>
        <w:t> </w:t>
      </w:r>
      <w:r>
        <w:rPr/>
        <w:t>Legados</w:t>
      </w:r>
      <w:r>
        <w:rPr>
          <w:spacing w:val="30"/>
        </w:rPr>
        <w:t> </w:t>
      </w:r>
      <w:r>
        <w:rPr/>
        <w:t>Recibidos</w:t>
      </w:r>
      <w:r>
        <w:rPr>
          <w:spacing w:val="28"/>
        </w:rPr>
        <w:t> </w:t>
      </w:r>
      <w:r>
        <w:rPr/>
        <w:t>Agregado</w:t>
      </w:r>
      <w:r>
        <w:rPr>
          <w:spacing w:val="27"/>
        </w:rPr>
        <w:t> </w:t>
      </w:r>
      <w:r>
        <w:rPr/>
        <w:t>con</w:t>
      </w:r>
      <w:r>
        <w:rPr>
          <w:spacing w:val="29"/>
        </w:rPr>
        <w:t> </w:t>
      </w:r>
      <w:r>
        <w:rPr/>
        <w:t>731</w:t>
      </w:r>
      <w:r>
        <w:rPr>
          <w:spacing w:val="28"/>
        </w:rPr>
        <w:t> </w:t>
      </w:r>
      <w:r>
        <w:rPr/>
        <w:t>millones</w:t>
      </w:r>
      <w:r>
        <w:rPr>
          <w:spacing w:val="29"/>
        </w:rPr>
        <w:t> </w:t>
      </w:r>
      <w:r>
        <w:rPr/>
        <w:t>de</w:t>
      </w:r>
      <w:r>
        <w:rPr>
          <w:spacing w:val="28"/>
        </w:rPr>
        <w:t> </w:t>
      </w:r>
      <w:r>
        <w:rPr/>
        <w:t>€</w:t>
      </w:r>
    </w:p>
    <w:p>
      <w:pPr>
        <w:pStyle w:val="BodyText"/>
        <w:spacing w:before="148"/>
        <w:ind w:right="1140"/>
        <w:jc w:val="right"/>
      </w:pPr>
      <w:r>
        <w:rPr/>
        <w:t>114</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43" name="image5.png"/>
                  <wp:cNvGraphicFramePr>
                    <a:graphicFrameLocks noChangeAspect="1"/>
                  </wp:cNvGraphicFramePr>
                  <a:graphic>
                    <a:graphicData uri="http://schemas.openxmlformats.org/drawingml/2006/picture">
                      <pic:pic>
                        <pic:nvPicPr>
                          <pic:cNvPr id="24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116/247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line="242" w:lineRule="auto" w:before="61"/>
        <w:ind w:left="2457" w:right="1143"/>
        <w:jc w:val="both"/>
      </w:pPr>
      <w:r>
        <w:rPr/>
        <w:t>(73,1 %), de los que 583 millones de € corresponden a PUERTOS, por el valor del inmovilizado cedido en uso (puertos e instalaciones portuarias) tras la extinción de la Dirección General de Puertos, así como, las dotaciones recibidas para la realización de obras en las citadas infraestructuras.</w:t>
      </w:r>
    </w:p>
    <w:p>
      <w:pPr>
        <w:pStyle w:val="BodyText"/>
        <w:spacing w:before="5"/>
        <w:rPr>
          <w:sz w:val="16"/>
        </w:rPr>
      </w:pPr>
    </w:p>
    <w:p>
      <w:pPr>
        <w:pStyle w:val="ListParagraph"/>
        <w:numPr>
          <w:ilvl w:val="0"/>
          <w:numId w:val="67"/>
        </w:numPr>
        <w:tabs>
          <w:tab w:pos="2458" w:val="left" w:leader="none"/>
        </w:tabs>
        <w:spacing w:line="240" w:lineRule="auto" w:before="0" w:after="0"/>
        <w:ind w:left="2457" w:right="0" w:hanging="359"/>
        <w:jc w:val="left"/>
        <w:rPr>
          <w:sz w:val="20"/>
        </w:rPr>
      </w:pPr>
      <w:r>
        <w:rPr>
          <w:sz w:val="20"/>
        </w:rPr>
        <w:t>Los Fondos Propios agregados ascienden a 268,3 millones de</w:t>
      </w:r>
      <w:r>
        <w:rPr>
          <w:spacing w:val="1"/>
          <w:sz w:val="20"/>
        </w:rPr>
        <w:t> </w:t>
      </w:r>
      <w:r>
        <w:rPr>
          <w:sz w:val="20"/>
        </w:rPr>
        <w:t>€.</w:t>
      </w:r>
    </w:p>
    <w:p>
      <w:pPr>
        <w:pStyle w:val="BodyText"/>
        <w:spacing w:before="8"/>
        <w:rPr>
          <w:sz w:val="16"/>
        </w:rPr>
      </w:pPr>
    </w:p>
    <w:p>
      <w:pPr>
        <w:pStyle w:val="BodyText"/>
        <w:spacing w:line="242" w:lineRule="auto"/>
        <w:ind w:left="2457" w:right="1141"/>
        <w:jc w:val="both"/>
      </w:pPr>
      <w:r>
        <w:rPr/>
        <w:t>Las siguientes entidades presentan importes negativos como consecuencia de los resultados</w:t>
      </w:r>
      <w:r>
        <w:rPr>
          <w:spacing w:val="-8"/>
        </w:rPr>
        <w:t> </w:t>
      </w:r>
      <w:r>
        <w:rPr/>
        <w:t>del</w:t>
      </w:r>
      <w:r>
        <w:rPr>
          <w:spacing w:val="-8"/>
        </w:rPr>
        <w:t> </w:t>
      </w:r>
      <w:r>
        <w:rPr/>
        <w:t>ejercicio</w:t>
      </w:r>
      <w:r>
        <w:rPr>
          <w:spacing w:val="-5"/>
        </w:rPr>
        <w:t> </w:t>
      </w:r>
      <w:r>
        <w:rPr/>
        <w:t>corriente</w:t>
      </w:r>
      <w:r>
        <w:rPr>
          <w:spacing w:val="-7"/>
        </w:rPr>
        <w:t> </w:t>
      </w:r>
      <w:r>
        <w:rPr/>
        <w:t>y</w:t>
      </w:r>
      <w:r>
        <w:rPr>
          <w:spacing w:val="-6"/>
        </w:rPr>
        <w:t> </w:t>
      </w:r>
      <w:r>
        <w:rPr/>
        <w:t>anteriores,</w:t>
      </w:r>
      <w:r>
        <w:rPr>
          <w:spacing w:val="-9"/>
        </w:rPr>
        <w:t> </w:t>
      </w:r>
      <w:r>
        <w:rPr/>
        <w:t>equilibrando</w:t>
      </w:r>
      <w:r>
        <w:rPr>
          <w:spacing w:val="-8"/>
        </w:rPr>
        <w:t> </w:t>
      </w:r>
      <w:r>
        <w:rPr/>
        <w:t>su</w:t>
      </w:r>
      <w:r>
        <w:rPr>
          <w:spacing w:val="-5"/>
        </w:rPr>
        <w:t> </w:t>
      </w:r>
      <w:r>
        <w:rPr/>
        <w:t>situación</w:t>
      </w:r>
      <w:r>
        <w:rPr>
          <w:spacing w:val="-8"/>
        </w:rPr>
        <w:t> </w:t>
      </w:r>
      <w:r>
        <w:rPr/>
        <w:t>patrimonial con los importes registrados en concepto de Subvenciones, donaciones y legados recibidos, salvo en el caso de GESTUR LPA en</w:t>
      </w:r>
      <w:r>
        <w:rPr>
          <w:spacing w:val="2"/>
        </w:rPr>
        <w:t> </w:t>
      </w:r>
      <w:r>
        <w:rPr/>
        <w:t>liquidación:</w:t>
      </w:r>
    </w:p>
    <w:p>
      <w:pPr>
        <w:pStyle w:val="BodyText"/>
        <w:spacing w:before="7"/>
        <w:rPr>
          <w:sz w:val="16"/>
        </w:rPr>
      </w:pPr>
    </w:p>
    <w:tbl>
      <w:tblPr>
        <w:tblW w:w="0" w:type="auto"/>
        <w:jc w:val="left"/>
        <w:tblInd w:w="2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4"/>
        <w:gridCol w:w="1361"/>
        <w:gridCol w:w="1151"/>
        <w:gridCol w:w="1061"/>
        <w:gridCol w:w="1052"/>
      </w:tblGrid>
      <w:tr>
        <w:trPr>
          <w:trHeight w:val="367" w:hRule="atLeast"/>
        </w:trPr>
        <w:tc>
          <w:tcPr>
            <w:tcW w:w="6079" w:type="dxa"/>
            <w:gridSpan w:val="5"/>
            <w:tcBorders>
              <w:top w:val="single" w:sz="4" w:space="0" w:color="000000"/>
            </w:tcBorders>
            <w:shd w:val="clear" w:color="auto" w:fill="D9E1F3"/>
          </w:tcPr>
          <w:p>
            <w:pPr>
              <w:pStyle w:val="TableParagraph"/>
              <w:tabs>
                <w:tab w:pos="2910" w:val="left" w:leader="none"/>
                <w:tab w:pos="4333" w:val="left" w:leader="none"/>
                <w:tab w:pos="5157" w:val="left" w:leader="none"/>
              </w:tabs>
              <w:spacing w:line="228" w:lineRule="exact" w:before="2"/>
              <w:ind w:left="1985"/>
              <w:rPr>
                <w:b/>
                <w:sz w:val="15"/>
              </w:rPr>
            </w:pPr>
            <w:r>
              <w:rPr>
                <w:b/>
                <w:position w:val="9"/>
                <w:sz w:val="15"/>
              </w:rPr>
              <w:t>CCB</w:t>
              <w:tab/>
            </w:r>
            <w:r>
              <w:rPr>
                <w:b/>
                <w:sz w:val="15"/>
              </w:rPr>
              <w:t>CCB TENERIFE</w:t>
              <w:tab/>
              <w:t>GSC</w:t>
              <w:tab/>
              <w:t>GESTUR</w:t>
            </w:r>
            <w:r>
              <w:rPr>
                <w:b/>
                <w:spacing w:val="-1"/>
                <w:sz w:val="15"/>
              </w:rPr>
              <w:t> </w:t>
            </w:r>
            <w:r>
              <w:rPr>
                <w:b/>
                <w:sz w:val="15"/>
              </w:rPr>
              <w:t>LPA</w:t>
            </w:r>
          </w:p>
          <w:p>
            <w:pPr>
              <w:pStyle w:val="TableParagraph"/>
              <w:spacing w:line="118" w:lineRule="exact"/>
              <w:ind w:left="1644"/>
              <w:rPr>
                <w:b/>
                <w:sz w:val="15"/>
              </w:rPr>
            </w:pPr>
            <w:r>
              <w:rPr>
                <w:b/>
                <w:sz w:val="15"/>
              </w:rPr>
              <w:t>MASPALOMAS</w:t>
            </w:r>
          </w:p>
        </w:tc>
      </w:tr>
      <w:tr>
        <w:trPr>
          <w:trHeight w:val="253" w:hRule="atLeast"/>
        </w:trPr>
        <w:tc>
          <w:tcPr>
            <w:tcW w:w="1454" w:type="dxa"/>
          </w:tcPr>
          <w:p>
            <w:pPr>
              <w:pStyle w:val="TableParagraph"/>
              <w:spacing w:before="28"/>
              <w:ind w:left="96"/>
              <w:rPr>
                <w:sz w:val="15"/>
              </w:rPr>
            </w:pPr>
            <w:r>
              <w:rPr>
                <w:sz w:val="15"/>
              </w:rPr>
              <w:t>Fondos propios</w:t>
            </w:r>
          </w:p>
        </w:tc>
        <w:tc>
          <w:tcPr>
            <w:tcW w:w="1361" w:type="dxa"/>
          </w:tcPr>
          <w:p>
            <w:pPr>
              <w:pStyle w:val="TableParagraph"/>
              <w:spacing w:before="28"/>
              <w:ind w:right="122"/>
              <w:jc w:val="right"/>
              <w:rPr>
                <w:sz w:val="15"/>
              </w:rPr>
            </w:pPr>
            <w:r>
              <w:rPr>
                <w:sz w:val="15"/>
              </w:rPr>
              <w:t>-690.381,77</w:t>
            </w:r>
          </w:p>
        </w:tc>
        <w:tc>
          <w:tcPr>
            <w:tcW w:w="1151" w:type="dxa"/>
          </w:tcPr>
          <w:p>
            <w:pPr>
              <w:pStyle w:val="TableParagraph"/>
              <w:spacing w:before="28"/>
              <w:ind w:left="108" w:right="102"/>
              <w:jc w:val="center"/>
              <w:rPr>
                <w:sz w:val="15"/>
              </w:rPr>
            </w:pPr>
            <w:r>
              <w:rPr>
                <w:sz w:val="15"/>
              </w:rPr>
              <w:t>-1.084.830,33</w:t>
            </w:r>
          </w:p>
        </w:tc>
        <w:tc>
          <w:tcPr>
            <w:tcW w:w="1061" w:type="dxa"/>
          </w:tcPr>
          <w:p>
            <w:pPr>
              <w:pStyle w:val="TableParagraph"/>
              <w:spacing w:before="28"/>
              <w:ind w:right="109"/>
              <w:jc w:val="right"/>
              <w:rPr>
                <w:sz w:val="15"/>
              </w:rPr>
            </w:pPr>
            <w:r>
              <w:rPr>
                <w:sz w:val="15"/>
              </w:rPr>
              <w:t>-239.986,61</w:t>
            </w:r>
          </w:p>
        </w:tc>
        <w:tc>
          <w:tcPr>
            <w:tcW w:w="1052" w:type="dxa"/>
          </w:tcPr>
          <w:p>
            <w:pPr>
              <w:pStyle w:val="TableParagraph"/>
              <w:spacing w:before="28"/>
              <w:ind w:right="89"/>
              <w:jc w:val="right"/>
              <w:rPr>
                <w:sz w:val="15"/>
              </w:rPr>
            </w:pPr>
            <w:r>
              <w:rPr>
                <w:sz w:val="15"/>
              </w:rPr>
              <w:t>-3.214.941,43</w:t>
            </w:r>
          </w:p>
        </w:tc>
      </w:tr>
      <w:tr>
        <w:trPr>
          <w:trHeight w:val="238" w:hRule="atLeast"/>
        </w:trPr>
        <w:tc>
          <w:tcPr>
            <w:tcW w:w="1454" w:type="dxa"/>
          </w:tcPr>
          <w:p>
            <w:pPr>
              <w:pStyle w:val="TableParagraph"/>
              <w:spacing w:before="15"/>
              <w:ind w:left="96"/>
              <w:rPr>
                <w:sz w:val="15"/>
              </w:rPr>
            </w:pPr>
            <w:r>
              <w:rPr>
                <w:sz w:val="15"/>
              </w:rPr>
              <w:t>Subvenciones</w:t>
            </w:r>
          </w:p>
        </w:tc>
        <w:tc>
          <w:tcPr>
            <w:tcW w:w="1361" w:type="dxa"/>
          </w:tcPr>
          <w:p>
            <w:pPr>
              <w:pStyle w:val="TableParagraph"/>
              <w:spacing w:before="15"/>
              <w:ind w:right="122"/>
              <w:jc w:val="right"/>
              <w:rPr>
                <w:sz w:val="15"/>
              </w:rPr>
            </w:pPr>
            <w:r>
              <w:rPr>
                <w:sz w:val="15"/>
              </w:rPr>
              <w:t>17.758.083,88</w:t>
            </w:r>
          </w:p>
        </w:tc>
        <w:tc>
          <w:tcPr>
            <w:tcW w:w="1151" w:type="dxa"/>
          </w:tcPr>
          <w:p>
            <w:pPr>
              <w:pStyle w:val="TableParagraph"/>
              <w:spacing w:before="15"/>
              <w:ind w:left="108" w:right="129"/>
              <w:jc w:val="center"/>
              <w:rPr>
                <w:sz w:val="15"/>
              </w:rPr>
            </w:pPr>
            <w:r>
              <w:rPr>
                <w:sz w:val="15"/>
              </w:rPr>
              <w:t>17.562.435,07</w:t>
            </w:r>
          </w:p>
        </w:tc>
        <w:tc>
          <w:tcPr>
            <w:tcW w:w="1061" w:type="dxa"/>
          </w:tcPr>
          <w:p>
            <w:pPr>
              <w:pStyle w:val="TableParagraph"/>
              <w:spacing w:before="15"/>
              <w:ind w:right="109"/>
              <w:jc w:val="right"/>
              <w:rPr>
                <w:sz w:val="15"/>
              </w:rPr>
            </w:pPr>
            <w:r>
              <w:rPr>
                <w:sz w:val="15"/>
              </w:rPr>
              <w:t>3.148.100,05</w:t>
            </w:r>
          </w:p>
        </w:tc>
        <w:tc>
          <w:tcPr>
            <w:tcW w:w="1052" w:type="dxa"/>
          </w:tcPr>
          <w:p>
            <w:pPr>
              <w:pStyle w:val="TableParagraph"/>
              <w:rPr>
                <w:rFonts w:ascii="Times New Roman"/>
                <w:sz w:val="16"/>
              </w:rPr>
            </w:pPr>
          </w:p>
        </w:tc>
      </w:tr>
      <w:tr>
        <w:trPr>
          <w:trHeight w:val="222" w:hRule="atLeast"/>
        </w:trPr>
        <w:tc>
          <w:tcPr>
            <w:tcW w:w="1454" w:type="dxa"/>
            <w:tcBorders>
              <w:bottom w:val="single" w:sz="4" w:space="0" w:color="000000"/>
            </w:tcBorders>
          </w:tcPr>
          <w:p>
            <w:pPr>
              <w:pStyle w:val="TableParagraph"/>
              <w:spacing w:before="14"/>
              <w:ind w:left="96"/>
              <w:rPr>
                <w:sz w:val="15"/>
              </w:rPr>
            </w:pPr>
            <w:r>
              <w:rPr>
                <w:sz w:val="15"/>
              </w:rPr>
              <w:t>Patrimonio neto</w:t>
            </w:r>
          </w:p>
        </w:tc>
        <w:tc>
          <w:tcPr>
            <w:tcW w:w="1361" w:type="dxa"/>
            <w:tcBorders>
              <w:bottom w:val="single" w:sz="4" w:space="0" w:color="000000"/>
            </w:tcBorders>
          </w:tcPr>
          <w:p>
            <w:pPr>
              <w:pStyle w:val="TableParagraph"/>
              <w:spacing w:before="14"/>
              <w:ind w:right="122"/>
              <w:jc w:val="right"/>
              <w:rPr>
                <w:sz w:val="15"/>
              </w:rPr>
            </w:pPr>
            <w:r>
              <w:rPr>
                <w:sz w:val="15"/>
              </w:rPr>
              <w:t>17.067.702,11</w:t>
            </w:r>
          </w:p>
        </w:tc>
        <w:tc>
          <w:tcPr>
            <w:tcW w:w="1151" w:type="dxa"/>
            <w:tcBorders>
              <w:bottom w:val="single" w:sz="4" w:space="0" w:color="000000"/>
            </w:tcBorders>
          </w:tcPr>
          <w:p>
            <w:pPr>
              <w:pStyle w:val="TableParagraph"/>
              <w:spacing w:before="14"/>
              <w:ind w:left="108" w:right="129"/>
              <w:jc w:val="center"/>
              <w:rPr>
                <w:sz w:val="15"/>
              </w:rPr>
            </w:pPr>
            <w:r>
              <w:rPr>
                <w:sz w:val="15"/>
              </w:rPr>
              <w:t>16.477.604,84</w:t>
            </w:r>
          </w:p>
        </w:tc>
        <w:tc>
          <w:tcPr>
            <w:tcW w:w="1061" w:type="dxa"/>
            <w:tcBorders>
              <w:bottom w:val="single" w:sz="4" w:space="0" w:color="000000"/>
            </w:tcBorders>
          </w:tcPr>
          <w:p>
            <w:pPr>
              <w:pStyle w:val="TableParagraph"/>
              <w:spacing w:before="14"/>
              <w:ind w:right="109"/>
              <w:jc w:val="right"/>
              <w:rPr>
                <w:sz w:val="15"/>
              </w:rPr>
            </w:pPr>
            <w:r>
              <w:rPr>
                <w:sz w:val="15"/>
              </w:rPr>
              <w:t>2.908.113,44</w:t>
            </w:r>
          </w:p>
        </w:tc>
        <w:tc>
          <w:tcPr>
            <w:tcW w:w="1052" w:type="dxa"/>
            <w:tcBorders>
              <w:bottom w:val="single" w:sz="4" w:space="0" w:color="000000"/>
            </w:tcBorders>
          </w:tcPr>
          <w:p>
            <w:pPr>
              <w:pStyle w:val="TableParagraph"/>
              <w:spacing w:before="14"/>
              <w:ind w:right="89"/>
              <w:jc w:val="right"/>
              <w:rPr>
                <w:sz w:val="15"/>
              </w:rPr>
            </w:pPr>
            <w:r>
              <w:rPr>
                <w:sz w:val="15"/>
              </w:rPr>
              <w:t>-3.214.941,43</w:t>
            </w:r>
          </w:p>
        </w:tc>
      </w:tr>
    </w:tbl>
    <w:p>
      <w:pPr>
        <w:pStyle w:val="BodyText"/>
        <w:spacing w:before="3"/>
        <w:rPr>
          <w:sz w:val="16"/>
        </w:rPr>
      </w:pPr>
    </w:p>
    <w:p>
      <w:pPr>
        <w:pStyle w:val="ListParagraph"/>
        <w:numPr>
          <w:ilvl w:val="0"/>
          <w:numId w:val="67"/>
        </w:numPr>
        <w:tabs>
          <w:tab w:pos="2456" w:val="left" w:leader="none"/>
        </w:tabs>
        <w:spacing w:line="242" w:lineRule="auto" w:before="0" w:after="0"/>
        <w:ind w:left="2455" w:right="1142" w:hanging="357"/>
        <w:jc w:val="both"/>
        <w:rPr>
          <w:sz w:val="20"/>
        </w:rPr>
      </w:pPr>
      <w:r>
        <w:rPr>
          <w:sz w:val="20"/>
        </w:rPr>
        <w:t>La partida agregada de Otras Aportaciones de Socios ascendió a 81,6 millones de €, con la finalidad de financiar déficits de explotación o gastos generales de funcionamiento del ejercicio, en las entidades con resultados negativos. Este incremento es destacable en TVPC que pasó de contabilizar 56,5 millones de € en 2021 a 61 millones de € en 2022.</w:t>
      </w:r>
    </w:p>
    <w:p>
      <w:pPr>
        <w:pStyle w:val="BodyText"/>
        <w:spacing w:before="3" w:after="1"/>
        <w:rPr>
          <w:sz w:val="16"/>
        </w:rPr>
      </w:pPr>
    </w:p>
    <w:tbl>
      <w:tblPr>
        <w:tblW w:w="0" w:type="auto"/>
        <w:jc w:val="left"/>
        <w:tblInd w:w="2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0"/>
        <w:gridCol w:w="1067"/>
        <w:gridCol w:w="1008"/>
        <w:gridCol w:w="1012"/>
        <w:gridCol w:w="1023"/>
      </w:tblGrid>
      <w:tr>
        <w:trPr>
          <w:trHeight w:val="250" w:hRule="atLeast"/>
        </w:trPr>
        <w:tc>
          <w:tcPr>
            <w:tcW w:w="1720" w:type="dxa"/>
            <w:tcBorders>
              <w:top w:val="single" w:sz="4" w:space="0" w:color="000000"/>
              <w:left w:val="single" w:sz="4" w:space="0" w:color="000000"/>
            </w:tcBorders>
            <w:shd w:val="clear" w:color="auto" w:fill="DEEAF6"/>
          </w:tcPr>
          <w:p>
            <w:pPr>
              <w:pStyle w:val="TableParagraph"/>
              <w:spacing w:before="33"/>
              <w:ind w:left="168" w:right="101"/>
              <w:jc w:val="center"/>
              <w:rPr>
                <w:b/>
                <w:sz w:val="15"/>
              </w:rPr>
            </w:pPr>
            <w:r>
              <w:rPr>
                <w:b/>
                <w:sz w:val="15"/>
              </w:rPr>
              <w:t>Euros</w:t>
            </w:r>
          </w:p>
        </w:tc>
        <w:tc>
          <w:tcPr>
            <w:tcW w:w="1067" w:type="dxa"/>
            <w:tcBorders>
              <w:top w:val="single" w:sz="4" w:space="0" w:color="000000"/>
            </w:tcBorders>
            <w:shd w:val="clear" w:color="auto" w:fill="DEEAF6"/>
          </w:tcPr>
          <w:p>
            <w:pPr>
              <w:pStyle w:val="TableParagraph"/>
              <w:spacing w:before="33"/>
              <w:ind w:left="109" w:right="41"/>
              <w:jc w:val="center"/>
              <w:rPr>
                <w:b/>
                <w:sz w:val="15"/>
              </w:rPr>
            </w:pPr>
            <w:r>
              <w:rPr>
                <w:b/>
                <w:sz w:val="15"/>
              </w:rPr>
              <w:t>2019</w:t>
            </w:r>
          </w:p>
        </w:tc>
        <w:tc>
          <w:tcPr>
            <w:tcW w:w="1008" w:type="dxa"/>
            <w:tcBorders>
              <w:top w:val="single" w:sz="4" w:space="0" w:color="000000"/>
            </w:tcBorders>
            <w:shd w:val="clear" w:color="auto" w:fill="DEEAF6"/>
          </w:tcPr>
          <w:p>
            <w:pPr>
              <w:pStyle w:val="TableParagraph"/>
              <w:spacing w:before="33"/>
              <w:ind w:left="48" w:right="44"/>
              <w:jc w:val="center"/>
              <w:rPr>
                <w:b/>
                <w:sz w:val="15"/>
              </w:rPr>
            </w:pPr>
            <w:r>
              <w:rPr>
                <w:b/>
                <w:sz w:val="15"/>
              </w:rPr>
              <w:t>2020</w:t>
            </w:r>
          </w:p>
        </w:tc>
        <w:tc>
          <w:tcPr>
            <w:tcW w:w="1012" w:type="dxa"/>
            <w:tcBorders>
              <w:top w:val="single" w:sz="4" w:space="0" w:color="000000"/>
            </w:tcBorders>
            <w:shd w:val="clear" w:color="auto" w:fill="DEEAF6"/>
          </w:tcPr>
          <w:p>
            <w:pPr>
              <w:pStyle w:val="TableParagraph"/>
              <w:spacing w:before="33"/>
              <w:ind w:left="48" w:right="48"/>
              <w:jc w:val="center"/>
              <w:rPr>
                <w:b/>
                <w:sz w:val="15"/>
              </w:rPr>
            </w:pPr>
            <w:r>
              <w:rPr>
                <w:b/>
                <w:sz w:val="15"/>
              </w:rPr>
              <w:t>2021</w:t>
            </w:r>
          </w:p>
        </w:tc>
        <w:tc>
          <w:tcPr>
            <w:tcW w:w="1023" w:type="dxa"/>
            <w:tcBorders>
              <w:top w:val="single" w:sz="4" w:space="0" w:color="000000"/>
              <w:right w:val="single" w:sz="4" w:space="0" w:color="000000"/>
            </w:tcBorders>
            <w:shd w:val="clear" w:color="auto" w:fill="DEEAF6"/>
          </w:tcPr>
          <w:p>
            <w:pPr>
              <w:pStyle w:val="TableParagraph"/>
              <w:spacing w:before="33"/>
              <w:ind w:left="53" w:right="48"/>
              <w:jc w:val="center"/>
              <w:rPr>
                <w:b/>
                <w:sz w:val="15"/>
              </w:rPr>
            </w:pPr>
            <w:r>
              <w:rPr>
                <w:b/>
                <w:sz w:val="15"/>
              </w:rPr>
              <w:t>2022</w:t>
            </w:r>
          </w:p>
        </w:tc>
      </w:tr>
      <w:tr>
        <w:trPr>
          <w:trHeight w:val="250" w:hRule="atLeast"/>
        </w:trPr>
        <w:tc>
          <w:tcPr>
            <w:tcW w:w="1720" w:type="dxa"/>
            <w:tcBorders>
              <w:left w:val="single" w:sz="4" w:space="0" w:color="000000"/>
              <w:bottom w:val="single" w:sz="4" w:space="0" w:color="000000"/>
            </w:tcBorders>
          </w:tcPr>
          <w:p>
            <w:pPr>
              <w:pStyle w:val="TableParagraph"/>
              <w:spacing w:before="34"/>
              <w:ind w:left="168" w:right="103"/>
              <w:jc w:val="center"/>
              <w:rPr>
                <w:sz w:val="15"/>
              </w:rPr>
            </w:pPr>
            <w:r>
              <w:rPr>
                <w:sz w:val="15"/>
              </w:rPr>
              <w:t>Aportaciones de socios</w:t>
            </w:r>
          </w:p>
        </w:tc>
        <w:tc>
          <w:tcPr>
            <w:tcW w:w="1067" w:type="dxa"/>
            <w:tcBorders>
              <w:bottom w:val="single" w:sz="4" w:space="0" w:color="000000"/>
            </w:tcBorders>
          </w:tcPr>
          <w:p>
            <w:pPr>
              <w:pStyle w:val="TableParagraph"/>
              <w:spacing w:before="34"/>
              <w:ind w:left="109" w:right="43"/>
              <w:jc w:val="center"/>
              <w:rPr>
                <w:sz w:val="15"/>
              </w:rPr>
            </w:pPr>
            <w:r>
              <w:rPr>
                <w:sz w:val="15"/>
              </w:rPr>
              <w:t>63.923.674,42</w:t>
            </w:r>
          </w:p>
        </w:tc>
        <w:tc>
          <w:tcPr>
            <w:tcW w:w="1008" w:type="dxa"/>
            <w:tcBorders>
              <w:bottom w:val="single" w:sz="4" w:space="0" w:color="000000"/>
            </w:tcBorders>
          </w:tcPr>
          <w:p>
            <w:pPr>
              <w:pStyle w:val="TableParagraph"/>
              <w:spacing w:before="34"/>
              <w:ind w:left="50" w:right="44"/>
              <w:jc w:val="center"/>
              <w:rPr>
                <w:sz w:val="15"/>
              </w:rPr>
            </w:pPr>
            <w:r>
              <w:rPr>
                <w:sz w:val="15"/>
              </w:rPr>
              <w:t>66.238.936,39</w:t>
            </w:r>
          </w:p>
        </w:tc>
        <w:tc>
          <w:tcPr>
            <w:tcW w:w="1012" w:type="dxa"/>
            <w:tcBorders>
              <w:bottom w:val="single" w:sz="4" w:space="0" w:color="000000"/>
            </w:tcBorders>
          </w:tcPr>
          <w:p>
            <w:pPr>
              <w:pStyle w:val="TableParagraph"/>
              <w:spacing w:before="34"/>
              <w:ind w:left="49" w:right="48"/>
              <w:jc w:val="center"/>
              <w:rPr>
                <w:sz w:val="15"/>
              </w:rPr>
            </w:pPr>
            <w:r>
              <w:rPr>
                <w:sz w:val="15"/>
              </w:rPr>
              <w:t>74.952.537,17</w:t>
            </w:r>
          </w:p>
        </w:tc>
        <w:tc>
          <w:tcPr>
            <w:tcW w:w="1023" w:type="dxa"/>
            <w:tcBorders>
              <w:bottom w:val="single" w:sz="4" w:space="0" w:color="000000"/>
              <w:right w:val="single" w:sz="4" w:space="0" w:color="000000"/>
            </w:tcBorders>
          </w:tcPr>
          <w:p>
            <w:pPr>
              <w:pStyle w:val="TableParagraph"/>
              <w:spacing w:before="34"/>
              <w:ind w:left="53" w:right="50"/>
              <w:jc w:val="center"/>
              <w:rPr>
                <w:sz w:val="15"/>
              </w:rPr>
            </w:pPr>
            <w:r>
              <w:rPr>
                <w:sz w:val="15"/>
              </w:rPr>
              <w:t>81.625.567,97</w:t>
            </w:r>
          </w:p>
        </w:tc>
      </w:tr>
    </w:tbl>
    <w:p>
      <w:pPr>
        <w:pStyle w:val="BodyText"/>
        <w:spacing w:before="7"/>
        <w:rPr>
          <w:sz w:val="16"/>
        </w:rPr>
      </w:pPr>
    </w:p>
    <w:p>
      <w:pPr>
        <w:pStyle w:val="BodyText"/>
        <w:spacing w:line="242" w:lineRule="auto"/>
        <w:ind w:left="2099" w:right="1143" w:firstLine="594"/>
        <w:jc w:val="both"/>
      </w:pPr>
      <w:r>
        <w:rPr/>
        <w:t>Hacer</w:t>
      </w:r>
      <w:r>
        <w:rPr>
          <w:spacing w:val="-2"/>
        </w:rPr>
        <w:t> </w:t>
      </w:r>
      <w:r>
        <w:rPr/>
        <w:t>mención</w:t>
      </w:r>
      <w:r>
        <w:rPr>
          <w:spacing w:val="-3"/>
        </w:rPr>
        <w:t> </w:t>
      </w:r>
      <w:r>
        <w:rPr/>
        <w:t>en</w:t>
      </w:r>
      <w:r>
        <w:rPr>
          <w:spacing w:val="-4"/>
        </w:rPr>
        <w:t> </w:t>
      </w:r>
      <w:r>
        <w:rPr/>
        <w:t>este</w:t>
      </w:r>
      <w:r>
        <w:rPr>
          <w:spacing w:val="-5"/>
        </w:rPr>
        <w:t> </w:t>
      </w:r>
      <w:r>
        <w:rPr/>
        <w:t>punto</w:t>
      </w:r>
      <w:r>
        <w:rPr>
          <w:spacing w:val="-4"/>
        </w:rPr>
        <w:t> </w:t>
      </w:r>
      <w:r>
        <w:rPr/>
        <w:t>a</w:t>
      </w:r>
      <w:r>
        <w:rPr>
          <w:spacing w:val="-4"/>
        </w:rPr>
        <w:t> </w:t>
      </w:r>
      <w:r>
        <w:rPr/>
        <w:t>la</w:t>
      </w:r>
      <w:r>
        <w:rPr>
          <w:spacing w:val="-3"/>
        </w:rPr>
        <w:t> </w:t>
      </w:r>
      <w:r>
        <w:rPr/>
        <w:t>disposición</w:t>
      </w:r>
      <w:r>
        <w:rPr>
          <w:spacing w:val="-3"/>
        </w:rPr>
        <w:t> </w:t>
      </w:r>
      <w:r>
        <w:rPr/>
        <w:t>adicional</w:t>
      </w:r>
      <w:r>
        <w:rPr>
          <w:spacing w:val="-4"/>
        </w:rPr>
        <w:t> </w:t>
      </w:r>
      <w:r>
        <w:rPr/>
        <w:t>quinta</w:t>
      </w:r>
      <w:r>
        <w:rPr>
          <w:spacing w:val="-4"/>
        </w:rPr>
        <w:t> </w:t>
      </w:r>
      <w:r>
        <w:rPr/>
        <w:t>de</w:t>
      </w:r>
      <w:r>
        <w:rPr>
          <w:spacing w:val="-3"/>
        </w:rPr>
        <w:t> </w:t>
      </w:r>
      <w:r>
        <w:rPr/>
        <w:t>la</w:t>
      </w:r>
      <w:r>
        <w:rPr>
          <w:spacing w:val="-4"/>
        </w:rPr>
        <w:t> </w:t>
      </w:r>
      <w:r>
        <w:rPr/>
        <w:t>LPGCAC</w:t>
      </w:r>
      <w:r>
        <w:rPr>
          <w:spacing w:val="-3"/>
        </w:rPr>
        <w:t> </w:t>
      </w:r>
      <w:r>
        <w:rPr/>
        <w:t>para 2022</w:t>
      </w:r>
      <w:r>
        <w:rPr>
          <w:spacing w:val="-8"/>
        </w:rPr>
        <w:t> </w:t>
      </w:r>
      <w:r>
        <w:rPr/>
        <w:t>relativa</w:t>
      </w:r>
      <w:r>
        <w:rPr>
          <w:spacing w:val="-10"/>
        </w:rPr>
        <w:t> </w:t>
      </w:r>
      <w:r>
        <w:rPr/>
        <w:t>a</w:t>
      </w:r>
      <w:r>
        <w:rPr>
          <w:spacing w:val="-7"/>
        </w:rPr>
        <w:t> </w:t>
      </w:r>
      <w:r>
        <w:rPr/>
        <w:t>las</w:t>
      </w:r>
      <w:r>
        <w:rPr>
          <w:spacing w:val="-9"/>
        </w:rPr>
        <w:t> </w:t>
      </w:r>
      <w:r>
        <w:rPr/>
        <w:t>aportaciones</w:t>
      </w:r>
      <w:r>
        <w:rPr>
          <w:spacing w:val="-9"/>
        </w:rPr>
        <w:t> </w:t>
      </w:r>
      <w:r>
        <w:rPr/>
        <w:t>dinerarias</w:t>
      </w:r>
      <w:r>
        <w:rPr>
          <w:spacing w:val="-9"/>
        </w:rPr>
        <w:t> </w:t>
      </w:r>
      <w:r>
        <w:rPr/>
        <w:t>de</w:t>
      </w:r>
      <w:r>
        <w:rPr>
          <w:spacing w:val="-9"/>
        </w:rPr>
        <w:t> </w:t>
      </w:r>
      <w:r>
        <w:rPr/>
        <w:t>la</w:t>
      </w:r>
      <w:r>
        <w:rPr>
          <w:spacing w:val="-9"/>
        </w:rPr>
        <w:t> </w:t>
      </w:r>
      <w:r>
        <w:rPr/>
        <w:t>comunidad</w:t>
      </w:r>
      <w:r>
        <w:rPr>
          <w:spacing w:val="-8"/>
        </w:rPr>
        <w:t> </w:t>
      </w:r>
      <w:r>
        <w:rPr/>
        <w:t>autónoma</w:t>
      </w:r>
      <w:r>
        <w:rPr>
          <w:spacing w:val="-9"/>
        </w:rPr>
        <w:t> </w:t>
      </w:r>
      <w:r>
        <w:rPr/>
        <w:t>que</w:t>
      </w:r>
      <w:r>
        <w:rPr>
          <w:spacing w:val="-9"/>
        </w:rPr>
        <w:t> </w:t>
      </w:r>
      <w:r>
        <w:rPr/>
        <w:t>recoge,</w:t>
      </w:r>
      <w:r>
        <w:rPr>
          <w:spacing w:val="-6"/>
        </w:rPr>
        <w:t> </w:t>
      </w:r>
      <w:r>
        <w:rPr/>
        <w:t>como en años anteriores, que aquellos fondos para la financiación global de las sociedades que no sean aplicados en el ejercicio devengarán para el ente, una obligación de reembolso con el departamento y no podrán integrarse en su patrimonio neto. A 31 de diciembre de 2022 forman parte de dicho saldo las aportaciones recibidas por: CCB MASPALOMAS, CCB TENERIFE SUR, GESPROTUR, GM RURAL, HECANSA, ICDC, ITC, PROEXCA, PROMOTUR, RPC, SODECAN y</w:t>
      </w:r>
      <w:r>
        <w:rPr>
          <w:spacing w:val="1"/>
        </w:rPr>
        <w:t> </w:t>
      </w:r>
      <w:r>
        <w:rPr/>
        <w:t>TVPC.</w:t>
      </w:r>
    </w:p>
    <w:p>
      <w:pPr>
        <w:pStyle w:val="BodyText"/>
        <w:spacing w:before="2"/>
        <w:rPr>
          <w:sz w:val="16"/>
        </w:rPr>
      </w:pPr>
    </w:p>
    <w:p>
      <w:pPr>
        <w:pStyle w:val="BodyText"/>
        <w:spacing w:before="1"/>
        <w:ind w:left="2099" w:right="1146" w:firstLine="594"/>
        <w:jc w:val="both"/>
      </w:pPr>
      <w:r>
        <w:rPr/>
        <w:t>Según se desprende de las memorias de sus cuentas anuales, tanto CCB Maspalomas,</w:t>
      </w:r>
      <w:r>
        <w:rPr>
          <w:spacing w:val="-5"/>
        </w:rPr>
        <w:t> </w:t>
      </w:r>
      <w:r>
        <w:rPr/>
        <w:t>como</w:t>
      </w:r>
      <w:r>
        <w:rPr>
          <w:spacing w:val="-5"/>
        </w:rPr>
        <w:t> </w:t>
      </w:r>
      <w:r>
        <w:rPr/>
        <w:t>CCB</w:t>
      </w:r>
      <w:r>
        <w:rPr>
          <w:spacing w:val="-6"/>
        </w:rPr>
        <w:t> </w:t>
      </w:r>
      <w:r>
        <w:rPr/>
        <w:t>Tenerife</w:t>
      </w:r>
      <w:r>
        <w:rPr>
          <w:spacing w:val="-5"/>
        </w:rPr>
        <w:t> </w:t>
      </w:r>
      <w:r>
        <w:rPr/>
        <w:t>Sur,</w:t>
      </w:r>
      <w:r>
        <w:rPr>
          <w:spacing w:val="-5"/>
        </w:rPr>
        <w:t> </w:t>
      </w:r>
      <w:r>
        <w:rPr/>
        <w:t>recibieron</w:t>
      </w:r>
      <w:r>
        <w:rPr>
          <w:spacing w:val="-5"/>
        </w:rPr>
        <w:t> </w:t>
      </w:r>
      <w:r>
        <w:rPr/>
        <w:t>aportaciones</w:t>
      </w:r>
      <w:r>
        <w:rPr>
          <w:spacing w:val="-7"/>
        </w:rPr>
        <w:t> </w:t>
      </w:r>
      <w:r>
        <w:rPr/>
        <w:t>dinerarias</w:t>
      </w:r>
      <w:r>
        <w:rPr>
          <w:spacing w:val="-5"/>
        </w:rPr>
        <w:t> </w:t>
      </w:r>
      <w:r>
        <w:rPr/>
        <w:t>en</w:t>
      </w:r>
      <w:r>
        <w:rPr>
          <w:spacing w:val="-5"/>
        </w:rPr>
        <w:t> </w:t>
      </w:r>
      <w:r>
        <w:rPr/>
        <w:t>el</w:t>
      </w:r>
      <w:r>
        <w:rPr>
          <w:spacing w:val="-5"/>
        </w:rPr>
        <w:t> </w:t>
      </w:r>
      <w:r>
        <w:rPr/>
        <w:t>año</w:t>
      </w:r>
      <w:r>
        <w:rPr>
          <w:spacing w:val="-5"/>
        </w:rPr>
        <w:t> </w:t>
      </w:r>
      <w:r>
        <w:rPr/>
        <w:t>2022. El importe no utilizado a 31 de diciembre de dicho año se reintegró en enero de</w:t>
      </w:r>
      <w:r>
        <w:rPr>
          <w:spacing w:val="22"/>
        </w:rPr>
        <w:t> </w:t>
      </w:r>
      <w:r>
        <w:rPr/>
        <w:t>2023.</w:t>
      </w:r>
    </w:p>
    <w:p>
      <w:pPr>
        <w:pStyle w:val="BodyText"/>
        <w:spacing w:before="11"/>
        <w:rPr>
          <w:sz w:val="16"/>
        </w:rPr>
      </w:pPr>
    </w:p>
    <w:p>
      <w:pPr>
        <w:pStyle w:val="BodyText"/>
        <w:ind w:left="2099" w:right="1144" w:firstLine="594"/>
        <w:jc w:val="both"/>
      </w:pPr>
      <w:r>
        <w:rPr/>
        <w:t>Por otro lado, en las Memorias de las cuentas anuales de ICDC y SODECAN, el importe</w:t>
      </w:r>
      <w:r>
        <w:rPr>
          <w:spacing w:val="12"/>
        </w:rPr>
        <w:t> </w:t>
      </w:r>
      <w:r>
        <w:rPr/>
        <w:t>de</w:t>
      </w:r>
      <w:r>
        <w:rPr>
          <w:spacing w:val="13"/>
        </w:rPr>
        <w:t> </w:t>
      </w:r>
      <w:r>
        <w:rPr/>
        <w:t>aportaciones</w:t>
      </w:r>
      <w:r>
        <w:rPr>
          <w:spacing w:val="13"/>
        </w:rPr>
        <w:t> </w:t>
      </w:r>
      <w:r>
        <w:rPr/>
        <w:t>no</w:t>
      </w:r>
      <w:r>
        <w:rPr>
          <w:spacing w:val="13"/>
        </w:rPr>
        <w:t> </w:t>
      </w:r>
      <w:r>
        <w:rPr/>
        <w:t>utilizado</w:t>
      </w:r>
      <w:r>
        <w:rPr>
          <w:spacing w:val="12"/>
        </w:rPr>
        <w:t> </w:t>
      </w:r>
      <w:r>
        <w:rPr/>
        <w:t>se</w:t>
      </w:r>
      <w:r>
        <w:rPr>
          <w:spacing w:val="13"/>
        </w:rPr>
        <w:t> </w:t>
      </w:r>
      <w:r>
        <w:rPr/>
        <w:t>ha</w:t>
      </w:r>
      <w:r>
        <w:rPr>
          <w:spacing w:val="13"/>
        </w:rPr>
        <w:t> </w:t>
      </w:r>
      <w:r>
        <w:rPr/>
        <w:t>reclasificado</w:t>
      </w:r>
      <w:r>
        <w:rPr>
          <w:spacing w:val="13"/>
        </w:rPr>
        <w:t> </w:t>
      </w:r>
      <w:r>
        <w:rPr/>
        <w:t>al</w:t>
      </w:r>
      <w:r>
        <w:rPr>
          <w:spacing w:val="12"/>
        </w:rPr>
        <w:t> </w:t>
      </w:r>
      <w:r>
        <w:rPr/>
        <w:t>epígrafe</w:t>
      </w:r>
      <w:r>
        <w:rPr>
          <w:spacing w:val="13"/>
        </w:rPr>
        <w:t> </w:t>
      </w:r>
      <w:r>
        <w:rPr/>
        <w:t>de</w:t>
      </w:r>
      <w:r>
        <w:rPr>
          <w:spacing w:val="13"/>
        </w:rPr>
        <w:t> </w:t>
      </w:r>
      <w:r>
        <w:rPr/>
        <w:t>deudas</w:t>
      </w:r>
      <w:r>
        <w:rPr>
          <w:spacing w:val="13"/>
        </w:rPr>
        <w:t> </w:t>
      </w:r>
      <w:r>
        <w:rPr/>
        <w:t>a</w:t>
      </w:r>
      <w:r>
        <w:rPr>
          <w:spacing w:val="12"/>
        </w:rPr>
        <w:t> </w:t>
      </w:r>
      <w:r>
        <w:rPr/>
        <w:t>corto</w:t>
      </w:r>
    </w:p>
    <w:p>
      <w:pPr>
        <w:pStyle w:val="BodyText"/>
        <w:spacing w:before="10"/>
        <w:rPr>
          <w:sz w:val="11"/>
        </w:rPr>
      </w:pPr>
    </w:p>
    <w:p>
      <w:pPr>
        <w:pStyle w:val="BodyText"/>
        <w:spacing w:before="60"/>
        <w:ind w:left="7787"/>
        <w:jc w:val="center"/>
      </w:pPr>
      <w:r>
        <w:rPr/>
        <w:t>115</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45" name="image5.png"/>
                  <wp:cNvGraphicFramePr>
                    <a:graphicFrameLocks noChangeAspect="1"/>
                  </wp:cNvGraphicFramePr>
                  <a:graphic>
                    <a:graphicData uri="http://schemas.openxmlformats.org/drawingml/2006/picture">
                      <pic:pic>
                        <pic:nvPicPr>
                          <pic:cNvPr id="24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117/247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099"/>
      </w:pPr>
      <w:r>
        <w:rPr/>
        <w:t>plazo.</w:t>
      </w:r>
    </w:p>
    <w:p>
      <w:pPr>
        <w:pStyle w:val="BodyText"/>
        <w:spacing w:before="8"/>
        <w:rPr>
          <w:sz w:val="16"/>
        </w:rPr>
      </w:pPr>
    </w:p>
    <w:p>
      <w:pPr>
        <w:pStyle w:val="Heading1"/>
        <w:numPr>
          <w:ilvl w:val="0"/>
          <w:numId w:val="63"/>
        </w:numPr>
        <w:tabs>
          <w:tab w:pos="2337" w:val="left" w:leader="none"/>
        </w:tabs>
        <w:spacing w:line="240" w:lineRule="auto" w:before="0" w:after="0"/>
        <w:ind w:left="2336" w:right="0" w:hanging="238"/>
        <w:jc w:val="both"/>
      </w:pPr>
      <w:r>
        <w:rPr/>
        <w:t>Pasivo.</w:t>
      </w:r>
    </w:p>
    <w:p>
      <w:pPr>
        <w:pStyle w:val="BodyText"/>
        <w:spacing w:before="8"/>
        <w:rPr>
          <w:b/>
          <w:sz w:val="16"/>
        </w:rPr>
      </w:pPr>
    </w:p>
    <w:p>
      <w:pPr>
        <w:pStyle w:val="BodyText"/>
        <w:ind w:left="2693"/>
      </w:pPr>
      <w:r>
        <w:rPr/>
        <w:t>La financiación ajena en el año 2022, tanto del pasivo no corriente agregado,</w:t>
      </w:r>
    </w:p>
    <w:p>
      <w:pPr>
        <w:pStyle w:val="BodyText"/>
        <w:spacing w:before="4"/>
        <w:ind w:left="2099"/>
      </w:pPr>
      <w:r>
        <w:rPr/>
        <w:t>como del pasivo corriente agregado asciende a 390 millones de €.</w:t>
      </w:r>
    </w:p>
    <w:p>
      <w:pPr>
        <w:pStyle w:val="BodyText"/>
        <w:spacing w:before="7"/>
        <w:rPr>
          <w:sz w:val="16"/>
        </w:rPr>
      </w:pPr>
    </w:p>
    <w:p>
      <w:pPr>
        <w:pStyle w:val="BodyText"/>
        <w:spacing w:before="1"/>
        <w:ind w:left="2099" w:right="1145" w:firstLine="594"/>
        <w:jc w:val="both"/>
      </w:pPr>
      <w:r>
        <w:rPr/>
        <w:t>La Sociedad mercantil VISOCAN mantiene un préstamo con la Comunidad Autónoma Canaria que asciende a 41 millones de €, según se informa en el apartado</w:t>
      </w:r>
    </w:p>
    <w:p>
      <w:pPr>
        <w:pStyle w:val="ListParagraph"/>
        <w:numPr>
          <w:ilvl w:val="1"/>
          <w:numId w:val="61"/>
        </w:numPr>
        <w:tabs>
          <w:tab w:pos="2454" w:val="left" w:leader="none"/>
        </w:tabs>
        <w:spacing w:line="242" w:lineRule="auto" w:before="3" w:after="0"/>
        <w:ind w:left="2099" w:right="1147" w:firstLine="0"/>
        <w:jc w:val="both"/>
        <w:rPr>
          <w:sz w:val="20"/>
        </w:rPr>
      </w:pPr>
      <w:r>
        <w:rPr>
          <w:sz w:val="20"/>
        </w:rPr>
        <w:t>Estabilidad Presupuestaria y Sostenibilidad financiera en su apartado 5. Referido al Sector público con presupuesto</w:t>
      </w:r>
      <w:r>
        <w:rPr>
          <w:spacing w:val="2"/>
          <w:sz w:val="20"/>
        </w:rPr>
        <w:t> </w:t>
      </w:r>
      <w:r>
        <w:rPr>
          <w:sz w:val="20"/>
        </w:rPr>
        <w:t>estimativo.</w:t>
      </w:r>
    </w:p>
    <w:p>
      <w:pPr>
        <w:pStyle w:val="BodyText"/>
        <w:spacing w:before="5"/>
        <w:rPr>
          <w:sz w:val="16"/>
        </w:rPr>
      </w:pPr>
    </w:p>
    <w:p>
      <w:pPr>
        <w:pStyle w:val="Heading1"/>
        <w:numPr>
          <w:ilvl w:val="3"/>
          <w:numId w:val="62"/>
        </w:numPr>
        <w:tabs>
          <w:tab w:pos="2934" w:val="left" w:leader="none"/>
        </w:tabs>
        <w:spacing w:line="240" w:lineRule="auto" w:before="0" w:after="0"/>
        <w:ind w:left="2933" w:right="0" w:hanging="835"/>
        <w:jc w:val="both"/>
      </w:pPr>
      <w:r>
        <w:rPr/>
        <w:t>Cuenta de Pérdidas y Ganancias Agregada.</w:t>
      </w:r>
    </w:p>
    <w:p>
      <w:pPr>
        <w:pStyle w:val="BodyText"/>
        <w:spacing w:before="11"/>
        <w:rPr>
          <w:b/>
          <w:sz w:val="16"/>
        </w:rPr>
      </w:pPr>
    </w:p>
    <w:tbl>
      <w:tblPr>
        <w:tblW w:w="0" w:type="auto"/>
        <w:jc w:val="left"/>
        <w:tblInd w:w="2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2"/>
        <w:gridCol w:w="1109"/>
        <w:gridCol w:w="1189"/>
        <w:gridCol w:w="1189"/>
        <w:gridCol w:w="1068"/>
      </w:tblGrid>
      <w:tr>
        <w:trPr>
          <w:trHeight w:val="285" w:hRule="atLeast"/>
        </w:trPr>
        <w:tc>
          <w:tcPr>
            <w:tcW w:w="1402" w:type="dxa"/>
            <w:tcBorders>
              <w:top w:val="single" w:sz="4" w:space="0" w:color="000000"/>
            </w:tcBorders>
            <w:shd w:val="clear" w:color="auto" w:fill="DEEAF6"/>
          </w:tcPr>
          <w:p>
            <w:pPr>
              <w:pStyle w:val="TableParagraph"/>
              <w:spacing w:before="62"/>
              <w:ind w:left="201"/>
              <w:rPr>
                <w:b/>
                <w:sz w:val="13"/>
              </w:rPr>
            </w:pPr>
            <w:r>
              <w:rPr>
                <w:b/>
                <w:w w:val="105"/>
                <w:sz w:val="13"/>
              </w:rPr>
              <w:t>Resultados (euros)</w:t>
            </w:r>
          </w:p>
        </w:tc>
        <w:tc>
          <w:tcPr>
            <w:tcW w:w="1109" w:type="dxa"/>
            <w:tcBorders>
              <w:top w:val="single" w:sz="4" w:space="0" w:color="000000"/>
            </w:tcBorders>
            <w:shd w:val="clear" w:color="auto" w:fill="DEEAF6"/>
          </w:tcPr>
          <w:p>
            <w:pPr>
              <w:pStyle w:val="TableParagraph"/>
              <w:spacing w:before="62"/>
              <w:ind w:left="130" w:right="93"/>
              <w:jc w:val="center"/>
              <w:rPr>
                <w:b/>
                <w:sz w:val="13"/>
              </w:rPr>
            </w:pPr>
            <w:r>
              <w:rPr>
                <w:b/>
                <w:w w:val="105"/>
                <w:sz w:val="13"/>
              </w:rPr>
              <w:t>2019</w:t>
            </w:r>
          </w:p>
        </w:tc>
        <w:tc>
          <w:tcPr>
            <w:tcW w:w="1189" w:type="dxa"/>
            <w:tcBorders>
              <w:top w:val="single" w:sz="4" w:space="0" w:color="000000"/>
            </w:tcBorders>
            <w:shd w:val="clear" w:color="auto" w:fill="DEEAF6"/>
          </w:tcPr>
          <w:p>
            <w:pPr>
              <w:pStyle w:val="TableParagraph"/>
              <w:spacing w:before="62"/>
              <w:ind w:left="377" w:right="495"/>
              <w:jc w:val="center"/>
              <w:rPr>
                <w:b/>
                <w:sz w:val="13"/>
              </w:rPr>
            </w:pPr>
            <w:r>
              <w:rPr>
                <w:b/>
                <w:w w:val="105"/>
                <w:sz w:val="13"/>
              </w:rPr>
              <w:t>2020</w:t>
            </w:r>
          </w:p>
        </w:tc>
        <w:tc>
          <w:tcPr>
            <w:tcW w:w="1189" w:type="dxa"/>
            <w:tcBorders>
              <w:top w:val="single" w:sz="4" w:space="0" w:color="000000"/>
            </w:tcBorders>
            <w:shd w:val="clear" w:color="auto" w:fill="DEEAF6"/>
          </w:tcPr>
          <w:p>
            <w:pPr>
              <w:pStyle w:val="TableParagraph"/>
              <w:spacing w:before="62"/>
              <w:ind w:left="377" w:right="495"/>
              <w:jc w:val="center"/>
              <w:rPr>
                <w:b/>
                <w:sz w:val="13"/>
              </w:rPr>
            </w:pPr>
            <w:r>
              <w:rPr>
                <w:b/>
                <w:w w:val="105"/>
                <w:sz w:val="13"/>
              </w:rPr>
              <w:t>2021</w:t>
            </w:r>
          </w:p>
        </w:tc>
        <w:tc>
          <w:tcPr>
            <w:tcW w:w="1068" w:type="dxa"/>
            <w:tcBorders>
              <w:top w:val="single" w:sz="4" w:space="0" w:color="000000"/>
            </w:tcBorders>
            <w:shd w:val="clear" w:color="auto" w:fill="DEEAF6"/>
          </w:tcPr>
          <w:p>
            <w:pPr>
              <w:pStyle w:val="TableParagraph"/>
              <w:spacing w:before="62"/>
              <w:ind w:left="93" w:right="89"/>
              <w:jc w:val="center"/>
              <w:rPr>
                <w:b/>
                <w:sz w:val="13"/>
              </w:rPr>
            </w:pPr>
            <w:r>
              <w:rPr>
                <w:b/>
                <w:w w:val="105"/>
                <w:sz w:val="13"/>
              </w:rPr>
              <w:t>2022</w:t>
            </w:r>
          </w:p>
        </w:tc>
      </w:tr>
      <w:tr>
        <w:trPr>
          <w:trHeight w:val="218" w:hRule="atLeast"/>
        </w:trPr>
        <w:tc>
          <w:tcPr>
            <w:tcW w:w="1402" w:type="dxa"/>
          </w:tcPr>
          <w:p>
            <w:pPr>
              <w:pStyle w:val="TableParagraph"/>
              <w:spacing w:before="31"/>
              <w:ind w:left="64"/>
              <w:rPr>
                <w:sz w:val="13"/>
              </w:rPr>
            </w:pPr>
            <w:r>
              <w:rPr>
                <w:w w:val="105"/>
                <w:sz w:val="13"/>
              </w:rPr>
              <w:t>Explotación</w:t>
            </w:r>
          </w:p>
        </w:tc>
        <w:tc>
          <w:tcPr>
            <w:tcW w:w="1109" w:type="dxa"/>
          </w:tcPr>
          <w:p>
            <w:pPr>
              <w:pStyle w:val="TableParagraph"/>
              <w:spacing w:before="31"/>
              <w:ind w:left="134" w:right="89"/>
              <w:jc w:val="center"/>
              <w:rPr>
                <w:sz w:val="13"/>
              </w:rPr>
            </w:pPr>
            <w:r>
              <w:rPr>
                <w:w w:val="105"/>
                <w:sz w:val="13"/>
              </w:rPr>
              <w:t>-49.978.606,53</w:t>
            </w:r>
          </w:p>
        </w:tc>
        <w:tc>
          <w:tcPr>
            <w:tcW w:w="1189" w:type="dxa"/>
          </w:tcPr>
          <w:p>
            <w:pPr>
              <w:pStyle w:val="TableParagraph"/>
              <w:spacing w:before="31"/>
              <w:ind w:right="235"/>
              <w:jc w:val="right"/>
              <w:rPr>
                <w:sz w:val="13"/>
              </w:rPr>
            </w:pPr>
            <w:r>
              <w:rPr>
                <w:w w:val="105"/>
                <w:sz w:val="13"/>
              </w:rPr>
              <w:t>-55.281.101,28</w:t>
            </w:r>
          </w:p>
        </w:tc>
        <w:tc>
          <w:tcPr>
            <w:tcW w:w="1189" w:type="dxa"/>
          </w:tcPr>
          <w:p>
            <w:pPr>
              <w:pStyle w:val="TableParagraph"/>
              <w:spacing w:before="31"/>
              <w:ind w:right="114"/>
              <w:jc w:val="right"/>
              <w:rPr>
                <w:sz w:val="13"/>
              </w:rPr>
            </w:pPr>
            <w:r>
              <w:rPr>
                <w:w w:val="105"/>
                <w:sz w:val="13"/>
              </w:rPr>
              <w:t>-65.186.941,85</w:t>
            </w:r>
          </w:p>
        </w:tc>
        <w:tc>
          <w:tcPr>
            <w:tcW w:w="1068" w:type="dxa"/>
          </w:tcPr>
          <w:p>
            <w:pPr>
              <w:pStyle w:val="TableParagraph"/>
              <w:spacing w:before="31"/>
              <w:ind w:left="97" w:right="85"/>
              <w:jc w:val="center"/>
              <w:rPr>
                <w:sz w:val="13"/>
              </w:rPr>
            </w:pPr>
            <w:r>
              <w:rPr>
                <w:w w:val="105"/>
                <w:sz w:val="13"/>
              </w:rPr>
              <w:t>-68.084.987,60</w:t>
            </w:r>
          </w:p>
        </w:tc>
      </w:tr>
      <w:tr>
        <w:trPr>
          <w:trHeight w:val="180" w:hRule="atLeast"/>
        </w:trPr>
        <w:tc>
          <w:tcPr>
            <w:tcW w:w="1402" w:type="dxa"/>
          </w:tcPr>
          <w:p>
            <w:pPr>
              <w:pStyle w:val="TableParagraph"/>
              <w:spacing w:line="154" w:lineRule="exact" w:before="6"/>
              <w:ind w:left="64"/>
              <w:rPr>
                <w:sz w:val="13"/>
              </w:rPr>
            </w:pPr>
            <w:r>
              <w:rPr>
                <w:w w:val="105"/>
                <w:sz w:val="13"/>
              </w:rPr>
              <w:t>Financiero</w:t>
            </w:r>
          </w:p>
        </w:tc>
        <w:tc>
          <w:tcPr>
            <w:tcW w:w="1109" w:type="dxa"/>
          </w:tcPr>
          <w:p>
            <w:pPr>
              <w:pStyle w:val="TableParagraph"/>
              <w:spacing w:line="154" w:lineRule="exact" w:before="6"/>
              <w:ind w:left="134" w:right="21"/>
              <w:jc w:val="center"/>
              <w:rPr>
                <w:sz w:val="13"/>
              </w:rPr>
            </w:pPr>
            <w:r>
              <w:rPr>
                <w:w w:val="105"/>
                <w:sz w:val="13"/>
              </w:rPr>
              <w:t>-3.029.452,51</w:t>
            </w:r>
          </w:p>
        </w:tc>
        <w:tc>
          <w:tcPr>
            <w:tcW w:w="1189" w:type="dxa"/>
          </w:tcPr>
          <w:p>
            <w:pPr>
              <w:pStyle w:val="TableParagraph"/>
              <w:spacing w:line="154" w:lineRule="exact" w:before="6"/>
              <w:ind w:right="235"/>
              <w:jc w:val="right"/>
              <w:rPr>
                <w:sz w:val="13"/>
              </w:rPr>
            </w:pPr>
            <w:r>
              <w:rPr>
                <w:w w:val="105"/>
                <w:sz w:val="13"/>
              </w:rPr>
              <w:t>-2.217.382,50</w:t>
            </w:r>
          </w:p>
        </w:tc>
        <w:tc>
          <w:tcPr>
            <w:tcW w:w="1189" w:type="dxa"/>
          </w:tcPr>
          <w:p>
            <w:pPr>
              <w:pStyle w:val="TableParagraph"/>
              <w:spacing w:line="154" w:lineRule="exact" w:before="6"/>
              <w:ind w:right="114"/>
              <w:jc w:val="right"/>
              <w:rPr>
                <w:sz w:val="13"/>
              </w:rPr>
            </w:pPr>
            <w:r>
              <w:rPr>
                <w:w w:val="105"/>
                <w:sz w:val="13"/>
              </w:rPr>
              <w:t>-2.721.182,06</w:t>
            </w:r>
          </w:p>
        </w:tc>
        <w:tc>
          <w:tcPr>
            <w:tcW w:w="1068" w:type="dxa"/>
          </w:tcPr>
          <w:p>
            <w:pPr>
              <w:pStyle w:val="TableParagraph"/>
              <w:spacing w:line="154" w:lineRule="exact" w:before="6"/>
              <w:ind w:left="97" w:right="16"/>
              <w:jc w:val="center"/>
              <w:rPr>
                <w:sz w:val="13"/>
              </w:rPr>
            </w:pPr>
            <w:r>
              <w:rPr>
                <w:w w:val="105"/>
                <w:sz w:val="13"/>
              </w:rPr>
              <w:t>-1.385.378,77</w:t>
            </w:r>
          </w:p>
        </w:tc>
      </w:tr>
      <w:tr>
        <w:trPr>
          <w:trHeight w:val="178" w:hRule="atLeast"/>
        </w:trPr>
        <w:tc>
          <w:tcPr>
            <w:tcW w:w="1402" w:type="dxa"/>
          </w:tcPr>
          <w:p>
            <w:pPr>
              <w:pStyle w:val="TableParagraph"/>
              <w:spacing w:line="152" w:lineRule="exact"/>
              <w:ind w:left="64"/>
              <w:rPr>
                <w:sz w:val="13"/>
              </w:rPr>
            </w:pPr>
            <w:r>
              <w:rPr>
                <w:w w:val="105"/>
                <w:sz w:val="13"/>
              </w:rPr>
              <w:t>Antes de Impuestos</w:t>
            </w:r>
          </w:p>
        </w:tc>
        <w:tc>
          <w:tcPr>
            <w:tcW w:w="1109" w:type="dxa"/>
          </w:tcPr>
          <w:p>
            <w:pPr>
              <w:pStyle w:val="TableParagraph"/>
              <w:spacing w:line="152" w:lineRule="exact"/>
              <w:ind w:left="134" w:right="89"/>
              <w:jc w:val="center"/>
              <w:rPr>
                <w:sz w:val="13"/>
              </w:rPr>
            </w:pPr>
            <w:r>
              <w:rPr>
                <w:w w:val="105"/>
                <w:sz w:val="13"/>
              </w:rPr>
              <w:t>-53.008.059,04</w:t>
            </w:r>
          </w:p>
        </w:tc>
        <w:tc>
          <w:tcPr>
            <w:tcW w:w="1189" w:type="dxa"/>
          </w:tcPr>
          <w:p>
            <w:pPr>
              <w:pStyle w:val="TableParagraph"/>
              <w:spacing w:line="152" w:lineRule="exact"/>
              <w:ind w:right="235"/>
              <w:jc w:val="right"/>
              <w:rPr>
                <w:sz w:val="13"/>
              </w:rPr>
            </w:pPr>
            <w:r>
              <w:rPr>
                <w:w w:val="105"/>
                <w:sz w:val="13"/>
              </w:rPr>
              <w:t>-57.498.483,78</w:t>
            </w:r>
          </w:p>
        </w:tc>
        <w:tc>
          <w:tcPr>
            <w:tcW w:w="1189" w:type="dxa"/>
          </w:tcPr>
          <w:p>
            <w:pPr>
              <w:pStyle w:val="TableParagraph"/>
              <w:spacing w:line="152" w:lineRule="exact"/>
              <w:ind w:right="114"/>
              <w:jc w:val="right"/>
              <w:rPr>
                <w:sz w:val="13"/>
              </w:rPr>
            </w:pPr>
            <w:r>
              <w:rPr>
                <w:w w:val="105"/>
                <w:sz w:val="13"/>
              </w:rPr>
              <w:t>-67.908.123,91</w:t>
            </w:r>
          </w:p>
        </w:tc>
        <w:tc>
          <w:tcPr>
            <w:tcW w:w="1068" w:type="dxa"/>
          </w:tcPr>
          <w:p>
            <w:pPr>
              <w:pStyle w:val="TableParagraph"/>
              <w:spacing w:line="152" w:lineRule="exact"/>
              <w:ind w:left="97" w:right="85"/>
              <w:jc w:val="center"/>
              <w:rPr>
                <w:sz w:val="13"/>
              </w:rPr>
            </w:pPr>
            <w:r>
              <w:rPr>
                <w:w w:val="105"/>
                <w:sz w:val="13"/>
              </w:rPr>
              <w:t>-69.470.366,37</w:t>
            </w:r>
          </w:p>
        </w:tc>
      </w:tr>
      <w:tr>
        <w:trPr>
          <w:trHeight w:val="189" w:hRule="atLeast"/>
        </w:trPr>
        <w:tc>
          <w:tcPr>
            <w:tcW w:w="1402" w:type="dxa"/>
            <w:tcBorders>
              <w:bottom w:val="single" w:sz="4" w:space="0" w:color="000000"/>
            </w:tcBorders>
          </w:tcPr>
          <w:p>
            <w:pPr>
              <w:pStyle w:val="TableParagraph"/>
              <w:spacing w:before="4"/>
              <w:ind w:left="479"/>
              <w:rPr>
                <w:b/>
                <w:sz w:val="13"/>
              </w:rPr>
            </w:pPr>
            <w:r>
              <w:rPr>
                <w:b/>
                <w:w w:val="105"/>
                <w:sz w:val="13"/>
              </w:rPr>
              <w:t>Pérdidas</w:t>
            </w:r>
          </w:p>
        </w:tc>
        <w:tc>
          <w:tcPr>
            <w:tcW w:w="1109" w:type="dxa"/>
            <w:tcBorders>
              <w:bottom w:val="single" w:sz="4" w:space="0" w:color="000000"/>
            </w:tcBorders>
          </w:tcPr>
          <w:p>
            <w:pPr>
              <w:pStyle w:val="TableParagraph"/>
              <w:spacing w:before="4"/>
              <w:ind w:left="134" w:right="93"/>
              <w:jc w:val="center"/>
              <w:rPr>
                <w:b/>
                <w:sz w:val="13"/>
              </w:rPr>
            </w:pPr>
            <w:r>
              <w:rPr>
                <w:b/>
                <w:w w:val="105"/>
                <w:sz w:val="13"/>
              </w:rPr>
              <w:t>-54.333.480,71</w:t>
            </w:r>
          </w:p>
        </w:tc>
        <w:tc>
          <w:tcPr>
            <w:tcW w:w="1189" w:type="dxa"/>
            <w:tcBorders>
              <w:bottom w:val="single" w:sz="4" w:space="0" w:color="000000"/>
            </w:tcBorders>
          </w:tcPr>
          <w:p>
            <w:pPr>
              <w:pStyle w:val="TableParagraph"/>
              <w:spacing w:before="4"/>
              <w:ind w:right="235"/>
              <w:jc w:val="right"/>
              <w:rPr>
                <w:b/>
                <w:sz w:val="13"/>
              </w:rPr>
            </w:pPr>
            <w:r>
              <w:rPr>
                <w:b/>
                <w:sz w:val="13"/>
              </w:rPr>
              <w:t>-56.080.026,97</w:t>
            </w:r>
          </w:p>
        </w:tc>
        <w:tc>
          <w:tcPr>
            <w:tcW w:w="1189" w:type="dxa"/>
            <w:tcBorders>
              <w:bottom w:val="single" w:sz="4" w:space="0" w:color="000000"/>
            </w:tcBorders>
          </w:tcPr>
          <w:p>
            <w:pPr>
              <w:pStyle w:val="TableParagraph"/>
              <w:spacing w:before="4"/>
              <w:ind w:right="114"/>
              <w:jc w:val="right"/>
              <w:rPr>
                <w:b/>
                <w:sz w:val="13"/>
              </w:rPr>
            </w:pPr>
            <w:r>
              <w:rPr>
                <w:b/>
                <w:sz w:val="13"/>
              </w:rPr>
              <w:t>-67.169.115,58</w:t>
            </w:r>
          </w:p>
        </w:tc>
        <w:tc>
          <w:tcPr>
            <w:tcW w:w="1068" w:type="dxa"/>
            <w:tcBorders>
              <w:bottom w:val="single" w:sz="4" w:space="0" w:color="000000"/>
            </w:tcBorders>
          </w:tcPr>
          <w:p>
            <w:pPr>
              <w:pStyle w:val="TableParagraph"/>
              <w:spacing w:before="4"/>
              <w:ind w:left="97" w:right="89"/>
              <w:jc w:val="center"/>
              <w:rPr>
                <w:b/>
                <w:sz w:val="13"/>
              </w:rPr>
            </w:pPr>
            <w:r>
              <w:rPr>
                <w:b/>
                <w:w w:val="105"/>
                <w:sz w:val="13"/>
              </w:rPr>
              <w:t>-70.501.423,10</w:t>
            </w:r>
          </w:p>
        </w:tc>
      </w:tr>
    </w:tbl>
    <w:p>
      <w:pPr>
        <w:pStyle w:val="BodyText"/>
        <w:spacing w:before="3"/>
        <w:rPr>
          <w:b/>
          <w:sz w:val="16"/>
        </w:rPr>
      </w:pPr>
    </w:p>
    <w:p>
      <w:pPr>
        <w:pStyle w:val="BodyText"/>
        <w:spacing w:line="242" w:lineRule="auto"/>
        <w:ind w:left="2099" w:right="1141" w:firstLine="594"/>
        <w:jc w:val="both"/>
      </w:pPr>
      <w:r>
        <w:rPr/>
        <w:t>El resultado agregado del sector público empresarial fue negativo por 70,5 millones de €, originado principalmente por las pérdidas de TVPC (61 millones de €)</w:t>
      </w:r>
      <w:r>
        <w:rPr>
          <w:position w:val="7"/>
          <w:sz w:val="13"/>
        </w:rPr>
        <w:t>27</w:t>
      </w:r>
      <w:r>
        <w:rPr/>
        <w:t>. Del otro lado, señalar los beneficios alcanzados por las entidades VISOCAN y PUERTOS por valor de 4,4 millones de € y cinco millones de €, respectivamente.</w:t>
      </w:r>
    </w:p>
    <w:p>
      <w:pPr>
        <w:pStyle w:val="BodyText"/>
        <w:spacing w:before="2"/>
        <w:rPr>
          <w:sz w:val="16"/>
        </w:rPr>
      </w:pPr>
    </w:p>
    <w:p>
      <w:pPr>
        <w:pStyle w:val="ListParagraph"/>
        <w:numPr>
          <w:ilvl w:val="0"/>
          <w:numId w:val="68"/>
        </w:numPr>
        <w:tabs>
          <w:tab w:pos="2458" w:val="left" w:leader="none"/>
        </w:tabs>
        <w:spacing w:line="240" w:lineRule="auto" w:before="0" w:after="0"/>
        <w:ind w:left="2457" w:right="0" w:hanging="359"/>
        <w:jc w:val="both"/>
        <w:rPr>
          <w:sz w:val="20"/>
        </w:rPr>
      </w:pPr>
      <w:r>
        <w:rPr>
          <w:sz w:val="20"/>
        </w:rPr>
        <w:t>En cuanto a los gastos, se ha de resaltar el incremento en los</w:t>
      </w:r>
      <w:r>
        <w:rPr>
          <w:spacing w:val="-27"/>
          <w:sz w:val="20"/>
        </w:rPr>
        <w:t> </w:t>
      </w:r>
      <w:r>
        <w:rPr>
          <w:sz w:val="20"/>
        </w:rPr>
        <w:t>gastos de personal</w:t>
      </w:r>
    </w:p>
    <w:p>
      <w:pPr>
        <w:pStyle w:val="BodyText"/>
        <w:spacing w:before="2"/>
        <w:ind w:left="2457"/>
        <w:jc w:val="both"/>
      </w:pPr>
      <w:r>
        <w:rPr/>
        <w:t>agregados que han ascendido en el año 2022 a 142 millones de € (113 millones de</w:t>
      </w:r>
    </w:p>
    <w:p>
      <w:pPr>
        <w:pStyle w:val="BodyText"/>
        <w:spacing w:line="242" w:lineRule="auto" w:before="1"/>
        <w:ind w:left="2457" w:right="1140"/>
        <w:jc w:val="both"/>
      </w:pPr>
      <w:r>
        <w:rPr/>
        <w:t>€ en el 2021), y responde al incremento de las retribuciones autorizadas por la Ley de Presupuestos Generales de la CAC para el 2022, en relación con la normativa del Estado</w:t>
      </w:r>
      <w:r>
        <w:rPr>
          <w:spacing w:val="-10"/>
        </w:rPr>
        <w:t> </w:t>
      </w:r>
      <w:r>
        <w:rPr/>
        <w:t>para</w:t>
      </w:r>
      <w:r>
        <w:rPr>
          <w:spacing w:val="-8"/>
        </w:rPr>
        <w:t> </w:t>
      </w:r>
      <w:r>
        <w:rPr/>
        <w:t>el</w:t>
      </w:r>
      <w:r>
        <w:rPr>
          <w:spacing w:val="-7"/>
        </w:rPr>
        <w:t> </w:t>
      </w:r>
      <w:r>
        <w:rPr/>
        <w:t>personal</w:t>
      </w:r>
      <w:r>
        <w:rPr>
          <w:spacing w:val="-8"/>
        </w:rPr>
        <w:t> </w:t>
      </w:r>
      <w:r>
        <w:rPr/>
        <w:t>del</w:t>
      </w:r>
      <w:r>
        <w:rPr>
          <w:spacing w:val="-6"/>
        </w:rPr>
        <w:t> </w:t>
      </w:r>
      <w:r>
        <w:rPr/>
        <w:t>Sector</w:t>
      </w:r>
      <w:r>
        <w:rPr>
          <w:spacing w:val="-7"/>
        </w:rPr>
        <w:t> </w:t>
      </w:r>
      <w:r>
        <w:rPr/>
        <w:t>Público,</w:t>
      </w:r>
      <w:r>
        <w:rPr>
          <w:spacing w:val="-8"/>
        </w:rPr>
        <w:t> </w:t>
      </w:r>
      <w:r>
        <w:rPr/>
        <w:t>así</w:t>
      </w:r>
      <w:r>
        <w:rPr>
          <w:spacing w:val="-5"/>
        </w:rPr>
        <w:t> </w:t>
      </w:r>
      <w:r>
        <w:rPr/>
        <w:t>como</w:t>
      </w:r>
      <w:r>
        <w:rPr>
          <w:spacing w:val="-6"/>
        </w:rPr>
        <w:t> </w:t>
      </w:r>
      <w:r>
        <w:rPr/>
        <w:t>por</w:t>
      </w:r>
      <w:r>
        <w:rPr>
          <w:spacing w:val="-8"/>
        </w:rPr>
        <w:t> </w:t>
      </w:r>
      <w:r>
        <w:rPr/>
        <w:t>el</w:t>
      </w:r>
      <w:r>
        <w:rPr>
          <w:spacing w:val="-7"/>
        </w:rPr>
        <w:t> </w:t>
      </w:r>
      <w:r>
        <w:rPr/>
        <w:t>efecto</w:t>
      </w:r>
      <w:r>
        <w:rPr>
          <w:spacing w:val="-8"/>
        </w:rPr>
        <w:t> </w:t>
      </w:r>
      <w:r>
        <w:rPr/>
        <w:t>de</w:t>
      </w:r>
      <w:r>
        <w:rPr>
          <w:spacing w:val="-8"/>
        </w:rPr>
        <w:t> </w:t>
      </w:r>
      <w:r>
        <w:rPr/>
        <w:t>la</w:t>
      </w:r>
      <w:r>
        <w:rPr>
          <w:spacing w:val="-7"/>
        </w:rPr>
        <w:t> </w:t>
      </w:r>
      <w:r>
        <w:rPr/>
        <w:t>recuperación del 5 % de las retribuciones minoradas al personal de las sociedades mercantiles públicas (en adelante SSMM) en el año 2010en aplicación de lo previsto en la disposición adicional sexagésima quinta de la Ley 7/2018, de 28 de diciembre de presupuestos generales de la CAC para 2019. Asimismo, como se recoge en el apartado de 5.1.6 de Personal se ha realizado el incremento de la masa salarial relativo al 2 % y 1.5 % según se reconoce en la normativa</w:t>
      </w:r>
      <w:r>
        <w:rPr>
          <w:spacing w:val="5"/>
        </w:rPr>
        <w:t> </w:t>
      </w:r>
      <w:r>
        <w:rPr/>
        <w:t>estatal.</w:t>
      </w:r>
    </w:p>
    <w:p>
      <w:pPr>
        <w:pStyle w:val="BodyText"/>
        <w:rPr>
          <w:sz w:val="16"/>
        </w:rPr>
      </w:pPr>
    </w:p>
    <w:p>
      <w:pPr>
        <w:pStyle w:val="ListParagraph"/>
        <w:numPr>
          <w:ilvl w:val="0"/>
          <w:numId w:val="68"/>
        </w:numPr>
        <w:tabs>
          <w:tab w:pos="2458" w:val="left" w:leader="none"/>
        </w:tabs>
        <w:spacing w:line="240" w:lineRule="auto" w:before="0" w:after="0"/>
        <w:ind w:left="2457" w:right="0" w:hanging="359"/>
        <w:jc w:val="both"/>
        <w:rPr>
          <w:sz w:val="20"/>
        </w:rPr>
      </w:pPr>
      <w:r>
        <w:rPr>
          <w:sz w:val="20"/>
        </w:rPr>
        <w:t>El</w:t>
      </w:r>
      <w:r>
        <w:rPr>
          <w:spacing w:val="7"/>
          <w:sz w:val="20"/>
        </w:rPr>
        <w:t> </w:t>
      </w:r>
      <w:r>
        <w:rPr>
          <w:sz w:val="20"/>
        </w:rPr>
        <w:t>epígrafe</w:t>
      </w:r>
      <w:r>
        <w:rPr>
          <w:spacing w:val="6"/>
          <w:sz w:val="20"/>
        </w:rPr>
        <w:t> </w:t>
      </w:r>
      <w:r>
        <w:rPr>
          <w:sz w:val="20"/>
        </w:rPr>
        <w:t>de</w:t>
      </w:r>
      <w:r>
        <w:rPr>
          <w:spacing w:val="8"/>
          <w:sz w:val="20"/>
        </w:rPr>
        <w:t> </w:t>
      </w:r>
      <w:r>
        <w:rPr>
          <w:sz w:val="20"/>
        </w:rPr>
        <w:t>otros</w:t>
      </w:r>
      <w:r>
        <w:rPr>
          <w:spacing w:val="7"/>
          <w:sz w:val="20"/>
        </w:rPr>
        <w:t> </w:t>
      </w:r>
      <w:r>
        <w:rPr>
          <w:sz w:val="20"/>
        </w:rPr>
        <w:t>gastos</w:t>
      </w:r>
      <w:r>
        <w:rPr>
          <w:spacing w:val="8"/>
          <w:sz w:val="20"/>
        </w:rPr>
        <w:t> </w:t>
      </w:r>
      <w:r>
        <w:rPr>
          <w:sz w:val="20"/>
        </w:rPr>
        <w:t>de</w:t>
      </w:r>
      <w:r>
        <w:rPr>
          <w:spacing w:val="7"/>
          <w:sz w:val="20"/>
        </w:rPr>
        <w:t> </w:t>
      </w:r>
      <w:r>
        <w:rPr>
          <w:sz w:val="20"/>
        </w:rPr>
        <w:t>explotación</w:t>
      </w:r>
      <w:r>
        <w:rPr>
          <w:spacing w:val="8"/>
          <w:sz w:val="20"/>
        </w:rPr>
        <w:t> </w:t>
      </w:r>
      <w:r>
        <w:rPr>
          <w:sz w:val="20"/>
        </w:rPr>
        <w:t>agregado</w:t>
      </w:r>
      <w:r>
        <w:rPr>
          <w:spacing w:val="8"/>
          <w:sz w:val="20"/>
        </w:rPr>
        <w:t> </w:t>
      </w:r>
      <w:r>
        <w:rPr>
          <w:sz w:val="20"/>
        </w:rPr>
        <w:t>ha</w:t>
      </w:r>
      <w:r>
        <w:rPr>
          <w:spacing w:val="6"/>
          <w:sz w:val="20"/>
        </w:rPr>
        <w:t> </w:t>
      </w:r>
      <w:r>
        <w:rPr>
          <w:sz w:val="20"/>
        </w:rPr>
        <w:t>aumentado</w:t>
      </w:r>
      <w:r>
        <w:rPr>
          <w:spacing w:val="6"/>
          <w:sz w:val="20"/>
        </w:rPr>
        <w:t> </w:t>
      </w:r>
      <w:r>
        <w:rPr>
          <w:sz w:val="20"/>
        </w:rPr>
        <w:t>12</w:t>
      </w:r>
      <w:r>
        <w:rPr>
          <w:spacing w:val="8"/>
          <w:sz w:val="20"/>
        </w:rPr>
        <w:t> </w:t>
      </w:r>
      <w:r>
        <w:rPr>
          <w:sz w:val="20"/>
        </w:rPr>
        <w:t>millones</w:t>
      </w:r>
      <w:r>
        <w:rPr>
          <w:spacing w:val="6"/>
          <w:sz w:val="20"/>
        </w:rPr>
        <w:t> </w:t>
      </w:r>
      <w:r>
        <w:rPr>
          <w:sz w:val="20"/>
        </w:rPr>
        <w:t>de</w:t>
      </w:r>
    </w:p>
    <w:p>
      <w:pPr>
        <w:pStyle w:val="BodyText"/>
        <w:spacing w:before="9"/>
        <w:rPr>
          <w:sz w:val="23"/>
        </w:rPr>
      </w:pPr>
      <w:r>
        <w:rPr/>
        <w:pict>
          <v:shape style="position:absolute;margin-left:142.958206pt;margin-top:16.794827pt;width:120.95pt;height:.1pt;mso-position-horizontal-relative:page;mso-position-vertical-relative:paragraph;z-index:-251452416;mso-wrap-distance-left:0;mso-wrap-distance-right:0" coordorigin="2859,336" coordsize="2419,0" path="m2859,336l5278,336e" filled="false" stroked="true" strokeweight=".604484pt" strokecolor="#000000">
            <v:path arrowok="t"/>
            <v:stroke dashstyle="solid"/>
            <w10:wrap type="topAndBottom"/>
          </v:shape>
        </w:pict>
      </w:r>
    </w:p>
    <w:p>
      <w:pPr>
        <w:spacing w:line="252" w:lineRule="auto" w:before="51"/>
        <w:ind w:left="2099" w:right="1143" w:firstLine="0"/>
        <w:jc w:val="both"/>
        <w:rPr>
          <w:sz w:val="16"/>
        </w:rPr>
      </w:pPr>
      <w:r>
        <w:rPr>
          <w:w w:val="105"/>
          <w:position w:val="6"/>
          <w:sz w:val="11"/>
        </w:rPr>
        <w:t>27 </w:t>
      </w:r>
      <w:r>
        <w:rPr>
          <w:w w:val="105"/>
          <w:sz w:val="16"/>
        </w:rPr>
        <w:t>La mayor parte de las pérdidas de TVPC es consecuencia de su forma de financiación a través de aportaciones dinerarias de la CAC, que se contabilizan en el ejercicio como fondos propios, compensándose en el Balance en el ejercicio posterior la parte correspondiente a las aportaciones recibidas y aplicadas.</w:t>
      </w:r>
    </w:p>
    <w:p>
      <w:pPr>
        <w:pStyle w:val="BodyText"/>
        <w:spacing w:line="236" w:lineRule="exact"/>
        <w:ind w:left="7787"/>
        <w:jc w:val="center"/>
      </w:pPr>
      <w:r>
        <w:rPr/>
        <w:t>116</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47" name="image5.png"/>
                  <wp:cNvGraphicFramePr>
                    <a:graphicFrameLocks noChangeAspect="1"/>
                  </wp:cNvGraphicFramePr>
                  <a:graphic>
                    <a:graphicData uri="http://schemas.openxmlformats.org/drawingml/2006/picture">
                      <pic:pic>
                        <pic:nvPicPr>
                          <pic:cNvPr id="24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118/247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457" w:right="1140"/>
        <w:jc w:val="both"/>
      </w:pPr>
      <w:r>
        <w:rPr/>
        <w:t>€, porque ha habido un aumento generalizado de estos gastos en el sector público empresarial, destacando dicho aumento en sociedades como VISOCAN (tres millones de €), ICDC (cinco millones de €) o el ITC (1,7 millones de €)</w:t>
      </w:r>
    </w:p>
    <w:p>
      <w:pPr>
        <w:pStyle w:val="BodyText"/>
        <w:spacing w:before="1"/>
        <w:rPr>
          <w:sz w:val="17"/>
        </w:rPr>
      </w:pPr>
    </w:p>
    <w:p>
      <w:pPr>
        <w:pStyle w:val="ListParagraph"/>
        <w:numPr>
          <w:ilvl w:val="0"/>
          <w:numId w:val="69"/>
        </w:numPr>
        <w:tabs>
          <w:tab w:pos="2458" w:val="left" w:leader="none"/>
        </w:tabs>
        <w:spacing w:line="240" w:lineRule="auto" w:before="0" w:after="0"/>
        <w:ind w:left="2457" w:right="1141" w:hanging="359"/>
        <w:jc w:val="both"/>
        <w:rPr>
          <w:sz w:val="20"/>
        </w:rPr>
      </w:pPr>
      <w:r>
        <w:rPr>
          <w:sz w:val="20"/>
        </w:rPr>
        <w:t>En relación con los ingresos agregados, el importe neto de la cifra de negocios ha aumentado 19 millones de €, respecto a la cifra del ejercicio anterior, destacando GESPLAN que ha aumentado en 13 millones de € por el incremento de los servicios prestados en las actuaciones realizadas como medio propio de la APCAC, así como a las Corporaciones Locales</w:t>
      </w:r>
      <w:r>
        <w:rPr>
          <w:spacing w:val="4"/>
          <w:sz w:val="20"/>
        </w:rPr>
        <w:t> </w:t>
      </w:r>
      <w:r>
        <w:rPr>
          <w:sz w:val="20"/>
        </w:rPr>
        <w:t>Canarias.</w:t>
      </w:r>
    </w:p>
    <w:p>
      <w:pPr>
        <w:pStyle w:val="BodyText"/>
        <w:spacing w:before="3"/>
        <w:rPr>
          <w:sz w:val="17"/>
        </w:rPr>
      </w:pPr>
    </w:p>
    <w:p>
      <w:pPr>
        <w:pStyle w:val="BodyText"/>
        <w:ind w:left="2480"/>
      </w:pPr>
      <w:r>
        <w:rPr/>
        <w:t>Igualmente VISOCAN recoge en sus cuentas anules un aumento de 1,4 millones </w:t>
      </w:r>
      <w:r>
        <w:rPr>
          <w:spacing w:val="4"/>
        </w:rPr>
        <w:t> </w:t>
      </w:r>
      <w:r>
        <w:rPr/>
        <w:t>de</w:t>
      </w:r>
    </w:p>
    <w:p>
      <w:pPr>
        <w:pStyle w:val="BodyText"/>
        <w:spacing w:before="2"/>
        <w:ind w:left="2480"/>
      </w:pPr>
      <w:r>
        <w:rPr/>
        <w:t>€ en este epígrafe, como consecuencia del aumento experimentado en el</w:t>
      </w:r>
      <w:r>
        <w:rPr>
          <w:spacing w:val="-31"/>
        </w:rPr>
        <w:t> </w:t>
      </w:r>
      <w:r>
        <w:rPr/>
        <w:t>concepto</w:t>
      </w:r>
    </w:p>
    <w:p>
      <w:pPr>
        <w:pStyle w:val="BodyText"/>
        <w:spacing w:before="2"/>
        <w:ind w:left="2480"/>
      </w:pPr>
      <w:r>
        <w:rPr/>
        <w:t>de Alquiler de Viviendas en régimen de protección oficial.</w:t>
      </w:r>
    </w:p>
    <w:p>
      <w:pPr>
        <w:pStyle w:val="BodyText"/>
        <w:spacing w:before="7"/>
        <w:rPr>
          <w:sz w:val="16"/>
        </w:rPr>
      </w:pPr>
    </w:p>
    <w:p>
      <w:pPr>
        <w:pStyle w:val="ListParagraph"/>
        <w:numPr>
          <w:ilvl w:val="0"/>
          <w:numId w:val="69"/>
        </w:numPr>
        <w:tabs>
          <w:tab w:pos="2458" w:val="left" w:leader="none"/>
        </w:tabs>
        <w:spacing w:line="240" w:lineRule="auto" w:before="1" w:after="0"/>
        <w:ind w:left="2457" w:right="1142" w:hanging="359"/>
        <w:jc w:val="both"/>
        <w:rPr>
          <w:sz w:val="20"/>
        </w:rPr>
      </w:pPr>
      <w:r>
        <w:rPr>
          <w:sz w:val="20"/>
        </w:rPr>
        <w:t>La</w:t>
      </w:r>
      <w:r>
        <w:rPr>
          <w:spacing w:val="-2"/>
          <w:sz w:val="20"/>
        </w:rPr>
        <w:t> </w:t>
      </w:r>
      <w:r>
        <w:rPr>
          <w:sz w:val="20"/>
        </w:rPr>
        <w:t>partida</w:t>
      </w:r>
      <w:r>
        <w:rPr>
          <w:spacing w:val="-3"/>
          <w:sz w:val="20"/>
        </w:rPr>
        <w:t> </w:t>
      </w:r>
      <w:r>
        <w:rPr>
          <w:sz w:val="20"/>
        </w:rPr>
        <w:t>de</w:t>
      </w:r>
      <w:r>
        <w:rPr>
          <w:spacing w:val="-4"/>
          <w:sz w:val="20"/>
        </w:rPr>
        <w:t> </w:t>
      </w:r>
      <w:r>
        <w:rPr>
          <w:sz w:val="20"/>
        </w:rPr>
        <w:t>otros</w:t>
      </w:r>
      <w:r>
        <w:rPr>
          <w:spacing w:val="-4"/>
          <w:sz w:val="20"/>
        </w:rPr>
        <w:t> </w:t>
      </w:r>
      <w:r>
        <w:rPr>
          <w:sz w:val="20"/>
        </w:rPr>
        <w:t>ingresos</w:t>
      </w:r>
      <w:r>
        <w:rPr>
          <w:spacing w:val="-1"/>
          <w:sz w:val="20"/>
        </w:rPr>
        <w:t> </w:t>
      </w:r>
      <w:r>
        <w:rPr>
          <w:sz w:val="20"/>
        </w:rPr>
        <w:t>de</w:t>
      </w:r>
      <w:r>
        <w:rPr>
          <w:spacing w:val="-4"/>
          <w:sz w:val="20"/>
        </w:rPr>
        <w:t> </w:t>
      </w:r>
      <w:r>
        <w:rPr>
          <w:sz w:val="20"/>
        </w:rPr>
        <w:t>explotación</w:t>
      </w:r>
      <w:r>
        <w:rPr>
          <w:spacing w:val="-2"/>
          <w:sz w:val="20"/>
        </w:rPr>
        <w:t> </w:t>
      </w:r>
      <w:r>
        <w:rPr>
          <w:sz w:val="20"/>
        </w:rPr>
        <w:t>agregados</w:t>
      </w:r>
      <w:r>
        <w:rPr>
          <w:spacing w:val="-3"/>
          <w:sz w:val="20"/>
        </w:rPr>
        <w:t> </w:t>
      </w:r>
      <w:r>
        <w:rPr>
          <w:sz w:val="20"/>
        </w:rPr>
        <w:t>ha</w:t>
      </w:r>
      <w:r>
        <w:rPr>
          <w:spacing w:val="-4"/>
          <w:sz w:val="20"/>
        </w:rPr>
        <w:t> </w:t>
      </w:r>
      <w:r>
        <w:rPr>
          <w:sz w:val="20"/>
        </w:rPr>
        <w:t>registrado</w:t>
      </w:r>
      <w:r>
        <w:rPr>
          <w:spacing w:val="-3"/>
          <w:sz w:val="20"/>
        </w:rPr>
        <w:t> </w:t>
      </w:r>
      <w:r>
        <w:rPr>
          <w:sz w:val="20"/>
        </w:rPr>
        <w:t>un</w:t>
      </w:r>
      <w:r>
        <w:rPr>
          <w:spacing w:val="-2"/>
          <w:sz w:val="20"/>
        </w:rPr>
        <w:t> </w:t>
      </w:r>
      <w:r>
        <w:rPr>
          <w:sz w:val="20"/>
        </w:rPr>
        <w:t>aumento</w:t>
      </w:r>
      <w:r>
        <w:rPr>
          <w:spacing w:val="-4"/>
          <w:sz w:val="20"/>
        </w:rPr>
        <w:t> </w:t>
      </w:r>
      <w:r>
        <w:rPr>
          <w:sz w:val="20"/>
        </w:rPr>
        <w:t>de 29 millones de €, de los que 23 millones de € corresponden a GESPLAN con motivo del proyecto “Plan de Empleo Emergencia Volcán de La</w:t>
      </w:r>
      <w:r>
        <w:rPr>
          <w:spacing w:val="1"/>
          <w:sz w:val="20"/>
        </w:rPr>
        <w:t> </w:t>
      </w:r>
      <w:r>
        <w:rPr>
          <w:sz w:val="20"/>
        </w:rPr>
        <w:t>Palma”</w:t>
      </w:r>
    </w:p>
    <w:p>
      <w:pPr>
        <w:pStyle w:val="BodyText"/>
        <w:spacing w:before="11"/>
        <w:rPr>
          <w:sz w:val="16"/>
        </w:rPr>
      </w:pPr>
    </w:p>
    <w:p>
      <w:pPr>
        <w:pStyle w:val="ListParagraph"/>
        <w:numPr>
          <w:ilvl w:val="0"/>
          <w:numId w:val="69"/>
        </w:numPr>
        <w:tabs>
          <w:tab w:pos="2458" w:val="left" w:leader="none"/>
        </w:tabs>
        <w:spacing w:line="242" w:lineRule="auto" w:before="0" w:after="0"/>
        <w:ind w:left="2457" w:right="1140" w:hanging="359"/>
        <w:jc w:val="both"/>
        <w:rPr>
          <w:sz w:val="20"/>
        </w:rPr>
      </w:pPr>
      <w:r>
        <w:rPr>
          <w:sz w:val="20"/>
        </w:rPr>
        <w:t>El resultado financiero negativo asciende a 1,3 millones de € disminuyendo con respecto al año anterior (2,7 millones de €, año 2021) motivado, por los ingresos financieros</w:t>
      </w:r>
      <w:r>
        <w:rPr>
          <w:spacing w:val="-6"/>
          <w:sz w:val="20"/>
        </w:rPr>
        <w:t> </w:t>
      </w:r>
      <w:r>
        <w:rPr>
          <w:sz w:val="20"/>
        </w:rPr>
        <w:t>registrados</w:t>
      </w:r>
      <w:r>
        <w:rPr>
          <w:spacing w:val="-7"/>
          <w:sz w:val="20"/>
        </w:rPr>
        <w:t> </w:t>
      </w:r>
      <w:r>
        <w:rPr>
          <w:sz w:val="20"/>
        </w:rPr>
        <w:t>por</w:t>
      </w:r>
      <w:r>
        <w:rPr>
          <w:spacing w:val="-5"/>
          <w:sz w:val="20"/>
        </w:rPr>
        <w:t> </w:t>
      </w:r>
      <w:r>
        <w:rPr>
          <w:sz w:val="20"/>
        </w:rPr>
        <w:t>el</w:t>
      </w:r>
      <w:r>
        <w:rPr>
          <w:spacing w:val="-6"/>
          <w:sz w:val="20"/>
        </w:rPr>
        <w:t> </w:t>
      </w:r>
      <w:r>
        <w:rPr>
          <w:sz w:val="20"/>
        </w:rPr>
        <w:t>ITC</w:t>
      </w:r>
      <w:r>
        <w:rPr>
          <w:spacing w:val="-6"/>
          <w:sz w:val="20"/>
        </w:rPr>
        <w:t> </w:t>
      </w:r>
      <w:r>
        <w:rPr>
          <w:sz w:val="20"/>
        </w:rPr>
        <w:t>como</w:t>
      </w:r>
      <w:r>
        <w:rPr>
          <w:spacing w:val="-5"/>
          <w:sz w:val="20"/>
        </w:rPr>
        <w:t> </w:t>
      </w:r>
      <w:r>
        <w:rPr>
          <w:sz w:val="20"/>
        </w:rPr>
        <w:t>consecuencia</w:t>
      </w:r>
      <w:r>
        <w:rPr>
          <w:spacing w:val="-6"/>
          <w:sz w:val="20"/>
        </w:rPr>
        <w:t> </w:t>
      </w:r>
      <w:r>
        <w:rPr>
          <w:sz w:val="20"/>
        </w:rPr>
        <w:t>de</w:t>
      </w:r>
      <w:r>
        <w:rPr>
          <w:spacing w:val="-5"/>
          <w:sz w:val="20"/>
        </w:rPr>
        <w:t> </w:t>
      </w:r>
      <w:r>
        <w:rPr>
          <w:sz w:val="20"/>
        </w:rPr>
        <w:t>los</w:t>
      </w:r>
      <w:r>
        <w:rPr>
          <w:spacing w:val="-7"/>
          <w:sz w:val="20"/>
        </w:rPr>
        <w:t> </w:t>
      </w:r>
      <w:r>
        <w:rPr>
          <w:sz w:val="20"/>
        </w:rPr>
        <w:t>dividendos</w:t>
      </w:r>
      <w:r>
        <w:rPr>
          <w:spacing w:val="-6"/>
          <w:sz w:val="20"/>
        </w:rPr>
        <w:t> </w:t>
      </w:r>
      <w:r>
        <w:rPr>
          <w:sz w:val="20"/>
        </w:rPr>
        <w:t>cobrados</w:t>
      </w:r>
      <w:r>
        <w:rPr>
          <w:spacing w:val="-7"/>
          <w:sz w:val="20"/>
        </w:rPr>
        <w:t> </w:t>
      </w:r>
      <w:r>
        <w:rPr>
          <w:sz w:val="20"/>
        </w:rPr>
        <w:t>de las sociedades en las que participa. De todos modos, el resultado negativo viene originado, principalmente por los gastos financieros que soporta VISOCAN consecuencia de su volumen de</w:t>
      </w:r>
      <w:r>
        <w:rPr>
          <w:spacing w:val="-2"/>
          <w:sz w:val="20"/>
        </w:rPr>
        <w:t> </w:t>
      </w:r>
      <w:r>
        <w:rPr>
          <w:sz w:val="20"/>
        </w:rPr>
        <w:t>endeudamiento.</w:t>
      </w:r>
    </w:p>
    <w:p>
      <w:pPr>
        <w:pStyle w:val="BodyText"/>
        <w:spacing w:before="4"/>
        <w:rPr>
          <w:sz w:val="16"/>
        </w:rPr>
      </w:pPr>
    </w:p>
    <w:p>
      <w:pPr>
        <w:pStyle w:val="Heading1"/>
        <w:numPr>
          <w:ilvl w:val="2"/>
          <w:numId w:val="62"/>
        </w:numPr>
        <w:tabs>
          <w:tab w:pos="2694" w:val="left" w:leader="none"/>
        </w:tabs>
        <w:spacing w:line="240" w:lineRule="auto" w:before="0" w:after="0"/>
        <w:ind w:left="2693" w:right="0" w:hanging="605"/>
        <w:jc w:val="left"/>
      </w:pPr>
      <w:bookmarkStart w:name="_TOC_250013" w:id="9"/>
      <w:r>
        <w:rPr>
          <w:color w:val="53A1B9"/>
        </w:rPr>
        <w:t>Cumplimiento de los plazos de pago a</w:t>
      </w:r>
      <w:r>
        <w:rPr>
          <w:color w:val="53A1B9"/>
          <w:spacing w:val="1"/>
        </w:rPr>
        <w:t> </w:t>
      </w:r>
      <w:bookmarkEnd w:id="9"/>
      <w:r>
        <w:rPr>
          <w:color w:val="53A1B9"/>
        </w:rPr>
        <w:t>proveedores.</w:t>
      </w:r>
    </w:p>
    <w:p>
      <w:pPr>
        <w:pStyle w:val="BodyText"/>
        <w:spacing w:before="3" w:after="1"/>
        <w:rPr>
          <w:b/>
          <w:sz w:val="8"/>
        </w:rPr>
      </w:pPr>
    </w:p>
    <w:tbl>
      <w:tblPr>
        <w:tblW w:w="0" w:type="auto"/>
        <w:jc w:val="left"/>
        <w:tblInd w:w="3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475"/>
        <w:gridCol w:w="533"/>
        <w:gridCol w:w="1069"/>
        <w:gridCol w:w="1133"/>
      </w:tblGrid>
      <w:tr>
        <w:trPr>
          <w:trHeight w:val="397" w:hRule="atLeast"/>
        </w:trPr>
        <w:tc>
          <w:tcPr>
            <w:tcW w:w="1306" w:type="dxa"/>
            <w:vMerge w:val="restart"/>
            <w:shd w:val="clear" w:color="auto" w:fill="D9E1F3"/>
          </w:tcPr>
          <w:p>
            <w:pPr>
              <w:pStyle w:val="TableParagraph"/>
              <w:spacing w:before="10"/>
              <w:rPr>
                <w:b/>
                <w:sz w:val="16"/>
              </w:rPr>
            </w:pPr>
          </w:p>
          <w:p>
            <w:pPr>
              <w:pStyle w:val="TableParagraph"/>
              <w:ind w:left="378"/>
              <w:rPr>
                <w:b/>
                <w:sz w:val="13"/>
              </w:rPr>
            </w:pPr>
            <w:r>
              <w:rPr>
                <w:b/>
                <w:w w:val="105"/>
                <w:sz w:val="13"/>
              </w:rPr>
              <w:t>Entidades</w:t>
            </w:r>
          </w:p>
        </w:tc>
        <w:tc>
          <w:tcPr>
            <w:tcW w:w="1008" w:type="dxa"/>
            <w:gridSpan w:val="2"/>
            <w:shd w:val="clear" w:color="auto" w:fill="D9E1F3"/>
          </w:tcPr>
          <w:p>
            <w:pPr>
              <w:pStyle w:val="TableParagraph"/>
              <w:spacing w:line="247" w:lineRule="auto" w:before="38"/>
              <w:ind w:left="281" w:hanging="190"/>
              <w:rPr>
                <w:b/>
                <w:sz w:val="13"/>
              </w:rPr>
            </w:pPr>
            <w:r>
              <w:rPr>
                <w:b/>
                <w:w w:val="105"/>
                <w:sz w:val="13"/>
              </w:rPr>
              <w:t>Período medio de pago</w:t>
            </w:r>
          </w:p>
        </w:tc>
        <w:tc>
          <w:tcPr>
            <w:tcW w:w="1069" w:type="dxa"/>
            <w:shd w:val="clear" w:color="auto" w:fill="D9E1F3"/>
          </w:tcPr>
          <w:p>
            <w:pPr>
              <w:pStyle w:val="TableParagraph"/>
              <w:spacing w:line="247" w:lineRule="auto" w:before="38"/>
              <w:ind w:left="77"/>
              <w:rPr>
                <w:b/>
                <w:sz w:val="13"/>
              </w:rPr>
            </w:pPr>
            <w:r>
              <w:rPr>
                <w:b/>
                <w:w w:val="105"/>
                <w:sz w:val="13"/>
              </w:rPr>
              <w:t>% sobre número total de facturas</w:t>
            </w:r>
          </w:p>
        </w:tc>
        <w:tc>
          <w:tcPr>
            <w:tcW w:w="1133" w:type="dxa"/>
            <w:shd w:val="clear" w:color="auto" w:fill="D9E1F3"/>
          </w:tcPr>
          <w:p>
            <w:pPr>
              <w:pStyle w:val="TableParagraph"/>
              <w:spacing w:line="247" w:lineRule="auto" w:before="38"/>
              <w:ind w:left="171" w:hanging="61"/>
              <w:rPr>
                <w:b/>
                <w:sz w:val="13"/>
              </w:rPr>
            </w:pPr>
            <w:r>
              <w:rPr>
                <w:b/>
                <w:w w:val="105"/>
                <w:sz w:val="13"/>
              </w:rPr>
              <w:t>% sobre número total de pagos</w:t>
            </w:r>
          </w:p>
        </w:tc>
      </w:tr>
      <w:tr>
        <w:trPr>
          <w:trHeight w:val="163" w:hRule="atLeast"/>
        </w:trPr>
        <w:tc>
          <w:tcPr>
            <w:tcW w:w="1306" w:type="dxa"/>
            <w:vMerge/>
            <w:tcBorders>
              <w:top w:val="nil"/>
            </w:tcBorders>
            <w:shd w:val="clear" w:color="auto" w:fill="D9E1F3"/>
          </w:tcPr>
          <w:p>
            <w:pPr>
              <w:rPr>
                <w:sz w:val="2"/>
                <w:szCs w:val="2"/>
              </w:rPr>
            </w:pPr>
          </w:p>
        </w:tc>
        <w:tc>
          <w:tcPr>
            <w:tcW w:w="475" w:type="dxa"/>
            <w:shd w:val="clear" w:color="auto" w:fill="D9E1F3"/>
          </w:tcPr>
          <w:p>
            <w:pPr>
              <w:pStyle w:val="TableParagraph"/>
              <w:spacing w:line="141" w:lineRule="exact" w:before="2"/>
              <w:ind w:right="88"/>
              <w:jc w:val="right"/>
              <w:rPr>
                <w:b/>
                <w:sz w:val="13"/>
              </w:rPr>
            </w:pPr>
            <w:r>
              <w:rPr>
                <w:b/>
                <w:sz w:val="13"/>
              </w:rPr>
              <w:t>2021</w:t>
            </w:r>
          </w:p>
        </w:tc>
        <w:tc>
          <w:tcPr>
            <w:tcW w:w="533" w:type="dxa"/>
            <w:shd w:val="clear" w:color="auto" w:fill="D9E1F3"/>
          </w:tcPr>
          <w:p>
            <w:pPr>
              <w:pStyle w:val="TableParagraph"/>
              <w:spacing w:line="141" w:lineRule="exact" w:before="2"/>
              <w:ind w:left="128"/>
              <w:rPr>
                <w:b/>
                <w:sz w:val="13"/>
              </w:rPr>
            </w:pPr>
            <w:r>
              <w:rPr>
                <w:b/>
                <w:w w:val="105"/>
                <w:sz w:val="13"/>
              </w:rPr>
              <w:t>2022</w:t>
            </w:r>
          </w:p>
        </w:tc>
        <w:tc>
          <w:tcPr>
            <w:tcW w:w="1069" w:type="dxa"/>
            <w:shd w:val="clear" w:color="auto" w:fill="D9E1F3"/>
          </w:tcPr>
          <w:p>
            <w:pPr>
              <w:pStyle w:val="TableParagraph"/>
              <w:spacing w:line="141" w:lineRule="exact" w:before="2"/>
              <w:ind w:left="78" w:right="63"/>
              <w:jc w:val="center"/>
              <w:rPr>
                <w:b/>
                <w:sz w:val="13"/>
              </w:rPr>
            </w:pPr>
            <w:r>
              <w:rPr>
                <w:b/>
                <w:w w:val="105"/>
                <w:sz w:val="13"/>
              </w:rPr>
              <w:t>2022</w:t>
            </w:r>
          </w:p>
        </w:tc>
        <w:tc>
          <w:tcPr>
            <w:tcW w:w="1133" w:type="dxa"/>
            <w:shd w:val="clear" w:color="auto" w:fill="D9E1F3"/>
          </w:tcPr>
          <w:p>
            <w:pPr>
              <w:pStyle w:val="TableParagraph"/>
              <w:spacing w:line="141" w:lineRule="exact" w:before="2"/>
              <w:ind w:left="399" w:right="386"/>
              <w:jc w:val="center"/>
              <w:rPr>
                <w:b/>
                <w:sz w:val="13"/>
              </w:rPr>
            </w:pPr>
            <w:r>
              <w:rPr>
                <w:b/>
                <w:w w:val="105"/>
                <w:sz w:val="13"/>
              </w:rPr>
              <w:t>2022</w:t>
            </w:r>
          </w:p>
        </w:tc>
      </w:tr>
      <w:tr>
        <w:trPr>
          <w:trHeight w:val="161" w:hRule="atLeast"/>
        </w:trPr>
        <w:tc>
          <w:tcPr>
            <w:tcW w:w="1306" w:type="dxa"/>
          </w:tcPr>
          <w:p>
            <w:pPr>
              <w:pStyle w:val="TableParagraph"/>
              <w:spacing w:line="139" w:lineRule="exact" w:before="2"/>
              <w:ind w:left="57"/>
              <w:rPr>
                <w:sz w:val="13"/>
              </w:rPr>
            </w:pPr>
            <w:r>
              <w:rPr>
                <w:w w:val="105"/>
                <w:sz w:val="13"/>
              </w:rPr>
              <w:t>ASISTA</w:t>
            </w:r>
          </w:p>
        </w:tc>
        <w:tc>
          <w:tcPr>
            <w:tcW w:w="475" w:type="dxa"/>
          </w:tcPr>
          <w:p>
            <w:pPr>
              <w:pStyle w:val="TableParagraph"/>
              <w:spacing w:line="139" w:lineRule="exact" w:before="2"/>
              <w:ind w:right="44"/>
              <w:jc w:val="right"/>
              <w:rPr>
                <w:sz w:val="13"/>
              </w:rPr>
            </w:pPr>
            <w:r>
              <w:rPr>
                <w:sz w:val="13"/>
              </w:rPr>
              <w:t>20,66</w:t>
            </w:r>
          </w:p>
        </w:tc>
        <w:tc>
          <w:tcPr>
            <w:tcW w:w="533" w:type="dxa"/>
          </w:tcPr>
          <w:p>
            <w:pPr>
              <w:pStyle w:val="TableParagraph"/>
              <w:spacing w:line="139" w:lineRule="exact" w:before="2"/>
              <w:ind w:right="45"/>
              <w:jc w:val="right"/>
              <w:rPr>
                <w:sz w:val="13"/>
              </w:rPr>
            </w:pPr>
            <w:r>
              <w:rPr>
                <w:sz w:val="13"/>
              </w:rPr>
              <w:t>16,06</w:t>
            </w:r>
          </w:p>
        </w:tc>
        <w:tc>
          <w:tcPr>
            <w:tcW w:w="1069" w:type="dxa"/>
          </w:tcPr>
          <w:p>
            <w:pPr>
              <w:pStyle w:val="TableParagraph"/>
              <w:spacing w:line="139" w:lineRule="exact" w:before="2"/>
              <w:ind w:right="43"/>
              <w:jc w:val="right"/>
              <w:rPr>
                <w:sz w:val="13"/>
              </w:rPr>
            </w:pPr>
            <w:r>
              <w:rPr>
                <w:sz w:val="13"/>
              </w:rPr>
              <w:t>NP</w:t>
            </w:r>
          </w:p>
        </w:tc>
        <w:tc>
          <w:tcPr>
            <w:tcW w:w="1133" w:type="dxa"/>
          </w:tcPr>
          <w:p>
            <w:pPr>
              <w:pStyle w:val="TableParagraph"/>
              <w:spacing w:line="139" w:lineRule="exact" w:before="2"/>
              <w:ind w:right="44"/>
              <w:jc w:val="right"/>
              <w:rPr>
                <w:sz w:val="13"/>
              </w:rPr>
            </w:pPr>
            <w:r>
              <w:rPr>
                <w:sz w:val="13"/>
              </w:rPr>
              <w:t>NP</w:t>
            </w:r>
          </w:p>
        </w:tc>
      </w:tr>
      <w:tr>
        <w:trPr>
          <w:trHeight w:val="223" w:hRule="atLeast"/>
        </w:trPr>
        <w:tc>
          <w:tcPr>
            <w:tcW w:w="1306" w:type="dxa"/>
          </w:tcPr>
          <w:p>
            <w:pPr>
              <w:pStyle w:val="TableParagraph"/>
              <w:spacing w:before="34"/>
              <w:ind w:left="57"/>
              <w:rPr>
                <w:sz w:val="13"/>
              </w:rPr>
            </w:pPr>
            <w:r>
              <w:rPr>
                <w:w w:val="105"/>
                <w:sz w:val="13"/>
              </w:rPr>
              <w:t>CCB MASPALOMAS</w:t>
            </w:r>
          </w:p>
        </w:tc>
        <w:tc>
          <w:tcPr>
            <w:tcW w:w="475" w:type="dxa"/>
          </w:tcPr>
          <w:p>
            <w:pPr>
              <w:pStyle w:val="TableParagraph"/>
              <w:spacing w:before="34"/>
              <w:ind w:right="44"/>
              <w:jc w:val="right"/>
              <w:rPr>
                <w:sz w:val="13"/>
              </w:rPr>
            </w:pPr>
            <w:r>
              <w:rPr>
                <w:sz w:val="13"/>
              </w:rPr>
              <w:t>5,29</w:t>
            </w:r>
          </w:p>
        </w:tc>
        <w:tc>
          <w:tcPr>
            <w:tcW w:w="533" w:type="dxa"/>
          </w:tcPr>
          <w:p>
            <w:pPr>
              <w:pStyle w:val="TableParagraph"/>
              <w:spacing w:before="34"/>
              <w:ind w:right="45"/>
              <w:jc w:val="right"/>
              <w:rPr>
                <w:sz w:val="13"/>
              </w:rPr>
            </w:pPr>
            <w:r>
              <w:rPr>
                <w:sz w:val="13"/>
              </w:rPr>
              <w:t>4,52</w:t>
            </w:r>
          </w:p>
        </w:tc>
        <w:tc>
          <w:tcPr>
            <w:tcW w:w="1069" w:type="dxa"/>
          </w:tcPr>
          <w:p>
            <w:pPr>
              <w:pStyle w:val="TableParagraph"/>
              <w:spacing w:before="34"/>
              <w:ind w:right="43"/>
              <w:jc w:val="right"/>
              <w:rPr>
                <w:sz w:val="13"/>
              </w:rPr>
            </w:pPr>
            <w:r>
              <w:rPr>
                <w:sz w:val="13"/>
              </w:rPr>
              <w:t>N/O</w:t>
            </w:r>
          </w:p>
        </w:tc>
        <w:tc>
          <w:tcPr>
            <w:tcW w:w="1133" w:type="dxa"/>
          </w:tcPr>
          <w:p>
            <w:pPr>
              <w:pStyle w:val="TableParagraph"/>
              <w:spacing w:before="34"/>
              <w:ind w:right="44"/>
              <w:jc w:val="right"/>
              <w:rPr>
                <w:sz w:val="13"/>
              </w:rPr>
            </w:pPr>
            <w:r>
              <w:rPr>
                <w:sz w:val="13"/>
              </w:rPr>
              <w:t>N/O</w:t>
            </w:r>
          </w:p>
        </w:tc>
      </w:tr>
      <w:tr>
        <w:trPr>
          <w:trHeight w:val="161" w:hRule="atLeast"/>
        </w:trPr>
        <w:tc>
          <w:tcPr>
            <w:tcW w:w="1306" w:type="dxa"/>
          </w:tcPr>
          <w:p>
            <w:pPr>
              <w:pStyle w:val="TableParagraph"/>
              <w:spacing w:line="139" w:lineRule="exact" w:before="2"/>
              <w:ind w:left="57"/>
              <w:rPr>
                <w:sz w:val="13"/>
              </w:rPr>
            </w:pPr>
            <w:r>
              <w:rPr>
                <w:w w:val="105"/>
                <w:sz w:val="13"/>
              </w:rPr>
              <w:t>CCB TENERIFE</w:t>
            </w:r>
          </w:p>
        </w:tc>
        <w:tc>
          <w:tcPr>
            <w:tcW w:w="475" w:type="dxa"/>
          </w:tcPr>
          <w:p>
            <w:pPr>
              <w:pStyle w:val="TableParagraph"/>
              <w:spacing w:line="139" w:lineRule="exact" w:before="2"/>
              <w:ind w:right="44"/>
              <w:jc w:val="right"/>
              <w:rPr>
                <w:sz w:val="13"/>
              </w:rPr>
            </w:pPr>
            <w:r>
              <w:rPr>
                <w:sz w:val="13"/>
              </w:rPr>
              <w:t>3,46</w:t>
            </w:r>
          </w:p>
        </w:tc>
        <w:tc>
          <w:tcPr>
            <w:tcW w:w="533" w:type="dxa"/>
          </w:tcPr>
          <w:p>
            <w:pPr>
              <w:pStyle w:val="TableParagraph"/>
              <w:spacing w:line="139" w:lineRule="exact" w:before="2"/>
              <w:ind w:right="45"/>
              <w:jc w:val="right"/>
              <w:rPr>
                <w:sz w:val="13"/>
              </w:rPr>
            </w:pPr>
            <w:r>
              <w:rPr>
                <w:sz w:val="13"/>
              </w:rPr>
              <w:t>2,59</w:t>
            </w:r>
          </w:p>
        </w:tc>
        <w:tc>
          <w:tcPr>
            <w:tcW w:w="1069" w:type="dxa"/>
          </w:tcPr>
          <w:p>
            <w:pPr>
              <w:pStyle w:val="TableParagraph"/>
              <w:spacing w:line="139" w:lineRule="exact" w:before="2"/>
              <w:ind w:right="43"/>
              <w:jc w:val="right"/>
              <w:rPr>
                <w:sz w:val="13"/>
              </w:rPr>
            </w:pPr>
            <w:r>
              <w:rPr>
                <w:sz w:val="13"/>
              </w:rPr>
              <w:t>N/O</w:t>
            </w:r>
          </w:p>
        </w:tc>
        <w:tc>
          <w:tcPr>
            <w:tcW w:w="1133" w:type="dxa"/>
          </w:tcPr>
          <w:p>
            <w:pPr>
              <w:pStyle w:val="TableParagraph"/>
              <w:spacing w:line="139" w:lineRule="exact" w:before="2"/>
              <w:ind w:right="44"/>
              <w:jc w:val="right"/>
              <w:rPr>
                <w:sz w:val="13"/>
              </w:rPr>
            </w:pPr>
            <w:r>
              <w:rPr>
                <w:sz w:val="13"/>
              </w:rPr>
              <w:t>N/O</w:t>
            </w:r>
          </w:p>
        </w:tc>
      </w:tr>
      <w:tr>
        <w:trPr>
          <w:trHeight w:val="163" w:hRule="atLeast"/>
        </w:trPr>
        <w:tc>
          <w:tcPr>
            <w:tcW w:w="1306" w:type="dxa"/>
          </w:tcPr>
          <w:p>
            <w:pPr>
              <w:pStyle w:val="TableParagraph"/>
              <w:spacing w:line="139" w:lineRule="exact" w:before="4"/>
              <w:ind w:left="57"/>
              <w:rPr>
                <w:sz w:val="13"/>
              </w:rPr>
            </w:pPr>
            <w:r>
              <w:rPr>
                <w:w w:val="105"/>
                <w:sz w:val="13"/>
              </w:rPr>
              <w:t>ESSSCAN **</w:t>
            </w:r>
          </w:p>
        </w:tc>
        <w:tc>
          <w:tcPr>
            <w:tcW w:w="475" w:type="dxa"/>
          </w:tcPr>
          <w:p>
            <w:pPr>
              <w:pStyle w:val="TableParagraph"/>
              <w:spacing w:line="139" w:lineRule="exact" w:before="4"/>
              <w:ind w:right="44"/>
              <w:jc w:val="right"/>
              <w:rPr>
                <w:sz w:val="13"/>
              </w:rPr>
            </w:pPr>
            <w:r>
              <w:rPr>
                <w:sz w:val="13"/>
              </w:rPr>
              <w:t>22,88</w:t>
            </w:r>
          </w:p>
        </w:tc>
        <w:tc>
          <w:tcPr>
            <w:tcW w:w="533" w:type="dxa"/>
          </w:tcPr>
          <w:p>
            <w:pPr>
              <w:pStyle w:val="TableParagraph"/>
              <w:spacing w:line="139" w:lineRule="exact" w:before="4"/>
              <w:ind w:right="45"/>
              <w:jc w:val="right"/>
              <w:rPr>
                <w:sz w:val="13"/>
              </w:rPr>
            </w:pPr>
            <w:r>
              <w:rPr>
                <w:sz w:val="13"/>
              </w:rPr>
              <w:t>22,12</w:t>
            </w:r>
          </w:p>
        </w:tc>
        <w:tc>
          <w:tcPr>
            <w:tcW w:w="1069" w:type="dxa"/>
          </w:tcPr>
          <w:p>
            <w:pPr>
              <w:pStyle w:val="TableParagraph"/>
              <w:spacing w:line="139" w:lineRule="exact" w:before="4"/>
              <w:ind w:right="43"/>
              <w:jc w:val="right"/>
              <w:rPr>
                <w:sz w:val="13"/>
              </w:rPr>
            </w:pPr>
            <w:r>
              <w:rPr>
                <w:sz w:val="13"/>
              </w:rPr>
              <w:t>N/O</w:t>
            </w:r>
          </w:p>
        </w:tc>
        <w:tc>
          <w:tcPr>
            <w:tcW w:w="1133" w:type="dxa"/>
          </w:tcPr>
          <w:p>
            <w:pPr>
              <w:pStyle w:val="TableParagraph"/>
              <w:spacing w:line="139" w:lineRule="exact" w:before="4"/>
              <w:ind w:right="44"/>
              <w:jc w:val="right"/>
              <w:rPr>
                <w:sz w:val="13"/>
              </w:rPr>
            </w:pPr>
            <w:r>
              <w:rPr>
                <w:sz w:val="13"/>
              </w:rPr>
              <w:t>N/O</w:t>
            </w:r>
          </w:p>
        </w:tc>
      </w:tr>
      <w:tr>
        <w:trPr>
          <w:trHeight w:val="161" w:hRule="atLeast"/>
        </w:trPr>
        <w:tc>
          <w:tcPr>
            <w:tcW w:w="1306" w:type="dxa"/>
          </w:tcPr>
          <w:p>
            <w:pPr>
              <w:pStyle w:val="TableParagraph"/>
              <w:spacing w:line="139" w:lineRule="exact" w:before="2"/>
              <w:ind w:left="57"/>
              <w:rPr>
                <w:sz w:val="13"/>
              </w:rPr>
            </w:pPr>
            <w:r>
              <w:rPr>
                <w:w w:val="105"/>
                <w:sz w:val="13"/>
              </w:rPr>
              <w:t>GESPLAN</w:t>
            </w:r>
          </w:p>
        </w:tc>
        <w:tc>
          <w:tcPr>
            <w:tcW w:w="475" w:type="dxa"/>
          </w:tcPr>
          <w:p>
            <w:pPr>
              <w:pStyle w:val="TableParagraph"/>
              <w:spacing w:line="139" w:lineRule="exact" w:before="2"/>
              <w:ind w:right="44"/>
              <w:jc w:val="right"/>
              <w:rPr>
                <w:sz w:val="13"/>
              </w:rPr>
            </w:pPr>
            <w:r>
              <w:rPr>
                <w:sz w:val="13"/>
              </w:rPr>
              <w:t>27,42</w:t>
            </w:r>
          </w:p>
        </w:tc>
        <w:tc>
          <w:tcPr>
            <w:tcW w:w="533" w:type="dxa"/>
          </w:tcPr>
          <w:p>
            <w:pPr>
              <w:pStyle w:val="TableParagraph"/>
              <w:spacing w:line="139" w:lineRule="exact" w:before="2"/>
              <w:ind w:right="45"/>
              <w:jc w:val="right"/>
              <w:rPr>
                <w:sz w:val="13"/>
              </w:rPr>
            </w:pPr>
            <w:r>
              <w:rPr>
                <w:sz w:val="13"/>
              </w:rPr>
              <w:t>25,98</w:t>
            </w:r>
          </w:p>
        </w:tc>
        <w:tc>
          <w:tcPr>
            <w:tcW w:w="1069" w:type="dxa"/>
          </w:tcPr>
          <w:p>
            <w:pPr>
              <w:pStyle w:val="TableParagraph"/>
              <w:spacing w:line="139" w:lineRule="exact" w:before="2"/>
              <w:ind w:right="43"/>
              <w:jc w:val="right"/>
              <w:rPr>
                <w:sz w:val="13"/>
              </w:rPr>
            </w:pPr>
            <w:r>
              <w:rPr>
                <w:sz w:val="13"/>
              </w:rPr>
              <w:t>NP</w:t>
            </w:r>
          </w:p>
        </w:tc>
        <w:tc>
          <w:tcPr>
            <w:tcW w:w="1133" w:type="dxa"/>
          </w:tcPr>
          <w:p>
            <w:pPr>
              <w:pStyle w:val="TableParagraph"/>
              <w:spacing w:line="139" w:lineRule="exact" w:before="2"/>
              <w:ind w:right="44"/>
              <w:jc w:val="right"/>
              <w:rPr>
                <w:sz w:val="13"/>
              </w:rPr>
            </w:pPr>
            <w:r>
              <w:rPr>
                <w:sz w:val="13"/>
              </w:rPr>
              <w:t>NP</w:t>
            </w:r>
          </w:p>
        </w:tc>
      </w:tr>
      <w:tr>
        <w:trPr>
          <w:trHeight w:val="163" w:hRule="atLeast"/>
        </w:trPr>
        <w:tc>
          <w:tcPr>
            <w:tcW w:w="1306" w:type="dxa"/>
          </w:tcPr>
          <w:p>
            <w:pPr>
              <w:pStyle w:val="TableParagraph"/>
              <w:spacing w:line="139" w:lineRule="exact" w:before="4"/>
              <w:ind w:left="57"/>
              <w:rPr>
                <w:sz w:val="13"/>
              </w:rPr>
            </w:pPr>
            <w:r>
              <w:rPr>
                <w:w w:val="105"/>
                <w:sz w:val="13"/>
              </w:rPr>
              <w:t>GESTUR CAN</w:t>
            </w:r>
          </w:p>
        </w:tc>
        <w:tc>
          <w:tcPr>
            <w:tcW w:w="475" w:type="dxa"/>
          </w:tcPr>
          <w:p>
            <w:pPr>
              <w:pStyle w:val="TableParagraph"/>
              <w:spacing w:line="139" w:lineRule="exact" w:before="4"/>
              <w:ind w:right="44"/>
              <w:jc w:val="right"/>
              <w:rPr>
                <w:sz w:val="13"/>
              </w:rPr>
            </w:pPr>
            <w:r>
              <w:rPr>
                <w:sz w:val="13"/>
              </w:rPr>
              <w:t>23,66</w:t>
            </w:r>
          </w:p>
        </w:tc>
        <w:tc>
          <w:tcPr>
            <w:tcW w:w="533" w:type="dxa"/>
          </w:tcPr>
          <w:p>
            <w:pPr>
              <w:pStyle w:val="TableParagraph"/>
              <w:spacing w:line="139" w:lineRule="exact" w:before="4"/>
              <w:ind w:right="45"/>
              <w:jc w:val="right"/>
              <w:rPr>
                <w:sz w:val="13"/>
              </w:rPr>
            </w:pPr>
            <w:r>
              <w:rPr>
                <w:sz w:val="13"/>
              </w:rPr>
              <w:t>19,07</w:t>
            </w:r>
          </w:p>
        </w:tc>
        <w:tc>
          <w:tcPr>
            <w:tcW w:w="1069" w:type="dxa"/>
          </w:tcPr>
          <w:p>
            <w:pPr>
              <w:pStyle w:val="TableParagraph"/>
              <w:spacing w:line="139" w:lineRule="exact" w:before="4"/>
              <w:ind w:right="43"/>
              <w:jc w:val="right"/>
              <w:rPr>
                <w:sz w:val="13"/>
              </w:rPr>
            </w:pPr>
            <w:r>
              <w:rPr>
                <w:sz w:val="13"/>
              </w:rPr>
              <w:t>N/O</w:t>
            </w:r>
          </w:p>
        </w:tc>
        <w:tc>
          <w:tcPr>
            <w:tcW w:w="1133" w:type="dxa"/>
          </w:tcPr>
          <w:p>
            <w:pPr>
              <w:pStyle w:val="TableParagraph"/>
              <w:spacing w:line="139" w:lineRule="exact" w:before="4"/>
              <w:ind w:right="44"/>
              <w:jc w:val="right"/>
              <w:rPr>
                <w:sz w:val="13"/>
              </w:rPr>
            </w:pPr>
            <w:r>
              <w:rPr>
                <w:sz w:val="13"/>
              </w:rPr>
              <w:t>N/O</w:t>
            </w:r>
          </w:p>
        </w:tc>
      </w:tr>
      <w:tr>
        <w:trPr>
          <w:trHeight w:val="163" w:hRule="atLeast"/>
        </w:trPr>
        <w:tc>
          <w:tcPr>
            <w:tcW w:w="1306" w:type="dxa"/>
          </w:tcPr>
          <w:p>
            <w:pPr>
              <w:pStyle w:val="TableParagraph"/>
              <w:spacing w:line="141" w:lineRule="exact" w:before="2"/>
              <w:ind w:left="57"/>
              <w:rPr>
                <w:sz w:val="13"/>
              </w:rPr>
            </w:pPr>
            <w:r>
              <w:rPr>
                <w:w w:val="105"/>
                <w:sz w:val="13"/>
              </w:rPr>
              <w:t>GESTUR LPA</w:t>
            </w:r>
          </w:p>
        </w:tc>
        <w:tc>
          <w:tcPr>
            <w:tcW w:w="475" w:type="dxa"/>
          </w:tcPr>
          <w:p>
            <w:pPr>
              <w:pStyle w:val="TableParagraph"/>
              <w:spacing w:line="141" w:lineRule="exact" w:before="2"/>
              <w:ind w:left="7"/>
              <w:jc w:val="center"/>
              <w:rPr>
                <w:sz w:val="13"/>
              </w:rPr>
            </w:pPr>
            <w:r>
              <w:rPr>
                <w:w w:val="103"/>
                <w:sz w:val="13"/>
              </w:rPr>
              <w:t>*</w:t>
            </w:r>
          </w:p>
        </w:tc>
        <w:tc>
          <w:tcPr>
            <w:tcW w:w="533" w:type="dxa"/>
          </w:tcPr>
          <w:p>
            <w:pPr>
              <w:pStyle w:val="TableParagraph"/>
              <w:spacing w:line="141" w:lineRule="exact" w:before="2"/>
              <w:ind w:left="7"/>
              <w:jc w:val="center"/>
              <w:rPr>
                <w:sz w:val="13"/>
              </w:rPr>
            </w:pPr>
            <w:r>
              <w:rPr>
                <w:w w:val="103"/>
                <w:sz w:val="13"/>
              </w:rPr>
              <w:t>*</w:t>
            </w:r>
          </w:p>
        </w:tc>
        <w:tc>
          <w:tcPr>
            <w:tcW w:w="1069" w:type="dxa"/>
          </w:tcPr>
          <w:p>
            <w:pPr>
              <w:pStyle w:val="TableParagraph"/>
              <w:spacing w:line="141" w:lineRule="exact" w:before="2"/>
              <w:ind w:right="43"/>
              <w:jc w:val="right"/>
              <w:rPr>
                <w:sz w:val="13"/>
              </w:rPr>
            </w:pPr>
            <w:r>
              <w:rPr>
                <w:sz w:val="13"/>
              </w:rPr>
              <w:t>N/O</w:t>
            </w:r>
          </w:p>
        </w:tc>
        <w:tc>
          <w:tcPr>
            <w:tcW w:w="1133" w:type="dxa"/>
          </w:tcPr>
          <w:p>
            <w:pPr>
              <w:pStyle w:val="TableParagraph"/>
              <w:spacing w:line="141" w:lineRule="exact" w:before="2"/>
              <w:ind w:right="44"/>
              <w:jc w:val="right"/>
              <w:rPr>
                <w:sz w:val="13"/>
              </w:rPr>
            </w:pPr>
            <w:r>
              <w:rPr>
                <w:sz w:val="13"/>
              </w:rPr>
              <w:t>N/O</w:t>
            </w:r>
          </w:p>
        </w:tc>
      </w:tr>
      <w:tr>
        <w:trPr>
          <w:trHeight w:val="161" w:hRule="atLeast"/>
        </w:trPr>
        <w:tc>
          <w:tcPr>
            <w:tcW w:w="1306" w:type="dxa"/>
          </w:tcPr>
          <w:p>
            <w:pPr>
              <w:pStyle w:val="TableParagraph"/>
              <w:spacing w:line="139" w:lineRule="exact" w:before="2"/>
              <w:ind w:left="57"/>
              <w:rPr>
                <w:sz w:val="13"/>
              </w:rPr>
            </w:pPr>
            <w:r>
              <w:rPr>
                <w:w w:val="105"/>
                <w:sz w:val="13"/>
              </w:rPr>
              <w:t>GMR</w:t>
            </w:r>
          </w:p>
        </w:tc>
        <w:tc>
          <w:tcPr>
            <w:tcW w:w="475" w:type="dxa"/>
          </w:tcPr>
          <w:p>
            <w:pPr>
              <w:pStyle w:val="TableParagraph"/>
              <w:spacing w:line="139" w:lineRule="exact" w:before="2"/>
              <w:ind w:right="44"/>
              <w:jc w:val="right"/>
              <w:rPr>
                <w:sz w:val="13"/>
              </w:rPr>
            </w:pPr>
            <w:r>
              <w:rPr>
                <w:sz w:val="13"/>
              </w:rPr>
              <w:t>25,00</w:t>
            </w:r>
          </w:p>
        </w:tc>
        <w:tc>
          <w:tcPr>
            <w:tcW w:w="533" w:type="dxa"/>
          </w:tcPr>
          <w:p>
            <w:pPr>
              <w:pStyle w:val="TableParagraph"/>
              <w:spacing w:line="139" w:lineRule="exact" w:before="2"/>
              <w:ind w:right="45"/>
              <w:jc w:val="right"/>
              <w:rPr>
                <w:sz w:val="13"/>
              </w:rPr>
            </w:pPr>
            <w:r>
              <w:rPr>
                <w:sz w:val="13"/>
              </w:rPr>
              <w:t>26,00</w:t>
            </w:r>
          </w:p>
        </w:tc>
        <w:tc>
          <w:tcPr>
            <w:tcW w:w="1069" w:type="dxa"/>
          </w:tcPr>
          <w:p>
            <w:pPr>
              <w:pStyle w:val="TableParagraph"/>
              <w:spacing w:line="139" w:lineRule="exact" w:before="2"/>
              <w:ind w:right="42"/>
              <w:jc w:val="right"/>
              <w:rPr>
                <w:sz w:val="13"/>
              </w:rPr>
            </w:pPr>
            <w:r>
              <w:rPr>
                <w:sz w:val="13"/>
              </w:rPr>
              <w:t>97,00%</w:t>
            </w:r>
          </w:p>
        </w:tc>
        <w:tc>
          <w:tcPr>
            <w:tcW w:w="1133" w:type="dxa"/>
          </w:tcPr>
          <w:p>
            <w:pPr>
              <w:pStyle w:val="TableParagraph"/>
              <w:spacing w:line="139" w:lineRule="exact" w:before="2"/>
              <w:ind w:right="43"/>
              <w:jc w:val="right"/>
              <w:rPr>
                <w:sz w:val="13"/>
              </w:rPr>
            </w:pPr>
            <w:r>
              <w:rPr>
                <w:sz w:val="13"/>
              </w:rPr>
              <w:t>98,00%</w:t>
            </w:r>
          </w:p>
        </w:tc>
      </w:tr>
      <w:tr>
        <w:trPr>
          <w:trHeight w:val="163" w:hRule="atLeast"/>
        </w:trPr>
        <w:tc>
          <w:tcPr>
            <w:tcW w:w="1306" w:type="dxa"/>
          </w:tcPr>
          <w:p>
            <w:pPr>
              <w:pStyle w:val="TableParagraph"/>
              <w:spacing w:line="141" w:lineRule="exact" w:before="2"/>
              <w:ind w:left="57"/>
              <w:rPr>
                <w:sz w:val="13"/>
              </w:rPr>
            </w:pPr>
            <w:r>
              <w:rPr>
                <w:w w:val="105"/>
                <w:sz w:val="13"/>
              </w:rPr>
              <w:t>GRAFCAN</w:t>
            </w:r>
          </w:p>
        </w:tc>
        <w:tc>
          <w:tcPr>
            <w:tcW w:w="475" w:type="dxa"/>
          </w:tcPr>
          <w:p>
            <w:pPr>
              <w:pStyle w:val="TableParagraph"/>
              <w:spacing w:line="141" w:lineRule="exact" w:before="2"/>
              <w:ind w:right="44"/>
              <w:jc w:val="right"/>
              <w:rPr>
                <w:sz w:val="13"/>
              </w:rPr>
            </w:pPr>
            <w:r>
              <w:rPr>
                <w:sz w:val="13"/>
              </w:rPr>
              <w:t>25,57</w:t>
            </w:r>
          </w:p>
        </w:tc>
        <w:tc>
          <w:tcPr>
            <w:tcW w:w="533" w:type="dxa"/>
          </w:tcPr>
          <w:p>
            <w:pPr>
              <w:pStyle w:val="TableParagraph"/>
              <w:spacing w:line="141" w:lineRule="exact" w:before="2"/>
              <w:ind w:right="45"/>
              <w:jc w:val="right"/>
              <w:rPr>
                <w:sz w:val="13"/>
              </w:rPr>
            </w:pPr>
            <w:r>
              <w:rPr>
                <w:sz w:val="13"/>
              </w:rPr>
              <w:t>40,12</w:t>
            </w:r>
          </w:p>
        </w:tc>
        <w:tc>
          <w:tcPr>
            <w:tcW w:w="1069" w:type="dxa"/>
          </w:tcPr>
          <w:p>
            <w:pPr>
              <w:pStyle w:val="TableParagraph"/>
              <w:spacing w:line="141" w:lineRule="exact" w:before="2"/>
              <w:ind w:right="42"/>
              <w:jc w:val="right"/>
              <w:rPr>
                <w:sz w:val="13"/>
              </w:rPr>
            </w:pPr>
            <w:r>
              <w:rPr>
                <w:sz w:val="13"/>
              </w:rPr>
              <w:t>77,21%</w:t>
            </w:r>
          </w:p>
        </w:tc>
        <w:tc>
          <w:tcPr>
            <w:tcW w:w="1133" w:type="dxa"/>
          </w:tcPr>
          <w:p>
            <w:pPr>
              <w:pStyle w:val="TableParagraph"/>
              <w:spacing w:line="141" w:lineRule="exact" w:before="2"/>
              <w:ind w:right="43"/>
              <w:jc w:val="right"/>
              <w:rPr>
                <w:sz w:val="13"/>
              </w:rPr>
            </w:pPr>
            <w:r>
              <w:rPr>
                <w:sz w:val="13"/>
              </w:rPr>
              <w:t>33,64%</w:t>
            </w:r>
          </w:p>
        </w:tc>
      </w:tr>
      <w:tr>
        <w:trPr>
          <w:trHeight w:val="161" w:hRule="atLeast"/>
        </w:trPr>
        <w:tc>
          <w:tcPr>
            <w:tcW w:w="1306" w:type="dxa"/>
          </w:tcPr>
          <w:p>
            <w:pPr>
              <w:pStyle w:val="TableParagraph"/>
              <w:spacing w:line="139" w:lineRule="exact" w:before="2"/>
              <w:ind w:left="57"/>
              <w:rPr>
                <w:sz w:val="13"/>
              </w:rPr>
            </w:pPr>
            <w:r>
              <w:rPr>
                <w:w w:val="105"/>
                <w:sz w:val="13"/>
              </w:rPr>
              <w:t>GSC</w:t>
            </w:r>
          </w:p>
        </w:tc>
        <w:tc>
          <w:tcPr>
            <w:tcW w:w="475" w:type="dxa"/>
          </w:tcPr>
          <w:p>
            <w:pPr>
              <w:pStyle w:val="TableParagraph"/>
              <w:spacing w:line="139" w:lineRule="exact" w:before="2"/>
              <w:ind w:right="44"/>
              <w:jc w:val="right"/>
              <w:rPr>
                <w:sz w:val="13"/>
              </w:rPr>
            </w:pPr>
            <w:r>
              <w:rPr>
                <w:sz w:val="13"/>
              </w:rPr>
              <w:t>48,14</w:t>
            </w:r>
          </w:p>
        </w:tc>
        <w:tc>
          <w:tcPr>
            <w:tcW w:w="533" w:type="dxa"/>
          </w:tcPr>
          <w:p>
            <w:pPr>
              <w:pStyle w:val="TableParagraph"/>
              <w:spacing w:line="139" w:lineRule="exact" w:before="2"/>
              <w:ind w:right="45"/>
              <w:jc w:val="right"/>
              <w:rPr>
                <w:sz w:val="13"/>
              </w:rPr>
            </w:pPr>
            <w:r>
              <w:rPr>
                <w:sz w:val="13"/>
              </w:rPr>
              <w:t>28,07</w:t>
            </w:r>
          </w:p>
        </w:tc>
        <w:tc>
          <w:tcPr>
            <w:tcW w:w="1069" w:type="dxa"/>
          </w:tcPr>
          <w:p>
            <w:pPr>
              <w:pStyle w:val="TableParagraph"/>
              <w:spacing w:line="139" w:lineRule="exact" w:before="2"/>
              <w:ind w:right="42"/>
              <w:jc w:val="right"/>
              <w:rPr>
                <w:sz w:val="13"/>
              </w:rPr>
            </w:pPr>
            <w:r>
              <w:rPr>
                <w:sz w:val="13"/>
              </w:rPr>
              <w:t>99,56%</w:t>
            </w:r>
          </w:p>
        </w:tc>
        <w:tc>
          <w:tcPr>
            <w:tcW w:w="1133" w:type="dxa"/>
          </w:tcPr>
          <w:p>
            <w:pPr>
              <w:pStyle w:val="TableParagraph"/>
              <w:spacing w:line="139" w:lineRule="exact" w:before="2"/>
              <w:ind w:right="43"/>
              <w:jc w:val="right"/>
              <w:rPr>
                <w:sz w:val="13"/>
              </w:rPr>
            </w:pPr>
            <w:r>
              <w:rPr>
                <w:sz w:val="13"/>
              </w:rPr>
              <w:t>99,99%</w:t>
            </w:r>
          </w:p>
        </w:tc>
      </w:tr>
      <w:tr>
        <w:trPr>
          <w:trHeight w:val="163" w:hRule="atLeast"/>
        </w:trPr>
        <w:tc>
          <w:tcPr>
            <w:tcW w:w="1306" w:type="dxa"/>
          </w:tcPr>
          <w:p>
            <w:pPr>
              <w:pStyle w:val="TableParagraph"/>
              <w:spacing w:line="141" w:lineRule="exact" w:before="2"/>
              <w:ind w:left="57"/>
              <w:rPr>
                <w:sz w:val="13"/>
              </w:rPr>
            </w:pPr>
            <w:r>
              <w:rPr>
                <w:w w:val="105"/>
                <w:sz w:val="13"/>
              </w:rPr>
              <w:t>HECANSA</w:t>
            </w:r>
          </w:p>
        </w:tc>
        <w:tc>
          <w:tcPr>
            <w:tcW w:w="475" w:type="dxa"/>
          </w:tcPr>
          <w:p>
            <w:pPr>
              <w:pStyle w:val="TableParagraph"/>
              <w:spacing w:line="141" w:lineRule="exact" w:before="2"/>
              <w:ind w:right="44"/>
              <w:jc w:val="right"/>
              <w:rPr>
                <w:sz w:val="13"/>
              </w:rPr>
            </w:pPr>
            <w:r>
              <w:rPr>
                <w:sz w:val="13"/>
              </w:rPr>
              <w:t>33,00</w:t>
            </w:r>
          </w:p>
        </w:tc>
        <w:tc>
          <w:tcPr>
            <w:tcW w:w="533" w:type="dxa"/>
          </w:tcPr>
          <w:p>
            <w:pPr>
              <w:pStyle w:val="TableParagraph"/>
              <w:spacing w:line="141" w:lineRule="exact" w:before="2"/>
              <w:ind w:right="45"/>
              <w:jc w:val="right"/>
              <w:rPr>
                <w:sz w:val="13"/>
              </w:rPr>
            </w:pPr>
            <w:r>
              <w:rPr>
                <w:sz w:val="13"/>
              </w:rPr>
              <w:t>40,00</w:t>
            </w:r>
          </w:p>
        </w:tc>
        <w:tc>
          <w:tcPr>
            <w:tcW w:w="1069" w:type="dxa"/>
          </w:tcPr>
          <w:p>
            <w:pPr>
              <w:pStyle w:val="TableParagraph"/>
              <w:spacing w:line="141" w:lineRule="exact" w:before="2"/>
              <w:ind w:right="42"/>
              <w:jc w:val="right"/>
              <w:rPr>
                <w:sz w:val="13"/>
              </w:rPr>
            </w:pPr>
            <w:r>
              <w:rPr>
                <w:sz w:val="13"/>
              </w:rPr>
              <w:t>64,00%</w:t>
            </w:r>
          </w:p>
        </w:tc>
        <w:tc>
          <w:tcPr>
            <w:tcW w:w="1133" w:type="dxa"/>
          </w:tcPr>
          <w:p>
            <w:pPr>
              <w:pStyle w:val="TableParagraph"/>
              <w:spacing w:line="141" w:lineRule="exact" w:before="2"/>
              <w:ind w:right="43"/>
              <w:jc w:val="right"/>
              <w:rPr>
                <w:sz w:val="13"/>
              </w:rPr>
            </w:pPr>
            <w:r>
              <w:rPr>
                <w:sz w:val="13"/>
              </w:rPr>
              <w:t>67,00%</w:t>
            </w:r>
          </w:p>
        </w:tc>
      </w:tr>
      <w:tr>
        <w:trPr>
          <w:trHeight w:val="161" w:hRule="atLeast"/>
        </w:trPr>
        <w:tc>
          <w:tcPr>
            <w:tcW w:w="1306" w:type="dxa"/>
          </w:tcPr>
          <w:p>
            <w:pPr>
              <w:pStyle w:val="TableParagraph"/>
              <w:spacing w:line="139" w:lineRule="exact" w:before="2"/>
              <w:ind w:left="57"/>
              <w:rPr>
                <w:sz w:val="13"/>
              </w:rPr>
            </w:pPr>
            <w:r>
              <w:rPr>
                <w:w w:val="105"/>
                <w:sz w:val="13"/>
              </w:rPr>
              <w:t>ICDC</w:t>
            </w:r>
          </w:p>
        </w:tc>
        <w:tc>
          <w:tcPr>
            <w:tcW w:w="475" w:type="dxa"/>
          </w:tcPr>
          <w:p>
            <w:pPr>
              <w:pStyle w:val="TableParagraph"/>
              <w:spacing w:line="139" w:lineRule="exact" w:before="2"/>
              <w:ind w:right="44"/>
              <w:jc w:val="right"/>
              <w:rPr>
                <w:sz w:val="13"/>
              </w:rPr>
            </w:pPr>
            <w:r>
              <w:rPr>
                <w:w w:val="105"/>
                <w:sz w:val="13"/>
              </w:rPr>
              <w:t>12,7,0</w:t>
            </w:r>
          </w:p>
        </w:tc>
        <w:tc>
          <w:tcPr>
            <w:tcW w:w="533" w:type="dxa"/>
          </w:tcPr>
          <w:p>
            <w:pPr>
              <w:pStyle w:val="TableParagraph"/>
              <w:spacing w:line="139" w:lineRule="exact" w:before="2"/>
              <w:ind w:right="45"/>
              <w:jc w:val="right"/>
              <w:rPr>
                <w:sz w:val="13"/>
              </w:rPr>
            </w:pPr>
            <w:r>
              <w:rPr>
                <w:sz w:val="13"/>
              </w:rPr>
              <w:t>20,70</w:t>
            </w:r>
          </w:p>
        </w:tc>
        <w:tc>
          <w:tcPr>
            <w:tcW w:w="1069" w:type="dxa"/>
          </w:tcPr>
          <w:p>
            <w:pPr>
              <w:pStyle w:val="TableParagraph"/>
              <w:spacing w:line="139" w:lineRule="exact" w:before="2"/>
              <w:ind w:right="43"/>
              <w:jc w:val="right"/>
              <w:rPr>
                <w:sz w:val="13"/>
              </w:rPr>
            </w:pPr>
            <w:r>
              <w:rPr>
                <w:sz w:val="13"/>
              </w:rPr>
              <w:t>NP</w:t>
            </w:r>
          </w:p>
        </w:tc>
        <w:tc>
          <w:tcPr>
            <w:tcW w:w="1133" w:type="dxa"/>
          </w:tcPr>
          <w:p>
            <w:pPr>
              <w:pStyle w:val="TableParagraph"/>
              <w:spacing w:line="139" w:lineRule="exact" w:before="2"/>
              <w:ind w:right="44"/>
              <w:jc w:val="right"/>
              <w:rPr>
                <w:sz w:val="13"/>
              </w:rPr>
            </w:pPr>
            <w:r>
              <w:rPr>
                <w:sz w:val="13"/>
              </w:rPr>
              <w:t>NP</w:t>
            </w:r>
          </w:p>
        </w:tc>
      </w:tr>
      <w:tr>
        <w:trPr>
          <w:trHeight w:val="163" w:hRule="atLeast"/>
        </w:trPr>
        <w:tc>
          <w:tcPr>
            <w:tcW w:w="1306" w:type="dxa"/>
          </w:tcPr>
          <w:p>
            <w:pPr>
              <w:pStyle w:val="TableParagraph"/>
              <w:spacing w:line="141" w:lineRule="exact" w:before="2"/>
              <w:ind w:left="57"/>
              <w:rPr>
                <w:sz w:val="13"/>
              </w:rPr>
            </w:pPr>
            <w:r>
              <w:rPr>
                <w:w w:val="105"/>
                <w:sz w:val="13"/>
              </w:rPr>
              <w:t>ITC</w:t>
            </w:r>
          </w:p>
        </w:tc>
        <w:tc>
          <w:tcPr>
            <w:tcW w:w="475" w:type="dxa"/>
          </w:tcPr>
          <w:p>
            <w:pPr>
              <w:pStyle w:val="TableParagraph"/>
              <w:spacing w:line="141" w:lineRule="exact" w:before="2"/>
              <w:ind w:right="44"/>
              <w:jc w:val="right"/>
              <w:rPr>
                <w:sz w:val="13"/>
              </w:rPr>
            </w:pPr>
            <w:r>
              <w:rPr>
                <w:sz w:val="13"/>
              </w:rPr>
              <w:t>15,60</w:t>
            </w:r>
          </w:p>
        </w:tc>
        <w:tc>
          <w:tcPr>
            <w:tcW w:w="533" w:type="dxa"/>
          </w:tcPr>
          <w:p>
            <w:pPr>
              <w:pStyle w:val="TableParagraph"/>
              <w:spacing w:line="141" w:lineRule="exact" w:before="2"/>
              <w:ind w:right="45"/>
              <w:jc w:val="right"/>
              <w:rPr>
                <w:sz w:val="13"/>
              </w:rPr>
            </w:pPr>
            <w:r>
              <w:rPr>
                <w:sz w:val="13"/>
              </w:rPr>
              <w:t>15,50</w:t>
            </w:r>
          </w:p>
        </w:tc>
        <w:tc>
          <w:tcPr>
            <w:tcW w:w="1069" w:type="dxa"/>
          </w:tcPr>
          <w:p>
            <w:pPr>
              <w:pStyle w:val="TableParagraph"/>
              <w:spacing w:line="141" w:lineRule="exact" w:before="2"/>
              <w:ind w:right="42"/>
              <w:jc w:val="right"/>
              <w:rPr>
                <w:sz w:val="13"/>
              </w:rPr>
            </w:pPr>
            <w:r>
              <w:rPr>
                <w:sz w:val="13"/>
              </w:rPr>
              <w:t>85,52%</w:t>
            </w:r>
          </w:p>
        </w:tc>
        <w:tc>
          <w:tcPr>
            <w:tcW w:w="1133" w:type="dxa"/>
          </w:tcPr>
          <w:p>
            <w:pPr>
              <w:pStyle w:val="TableParagraph"/>
              <w:spacing w:line="141" w:lineRule="exact" w:before="2"/>
              <w:ind w:right="43"/>
              <w:jc w:val="right"/>
              <w:rPr>
                <w:sz w:val="13"/>
              </w:rPr>
            </w:pPr>
            <w:r>
              <w:rPr>
                <w:sz w:val="13"/>
              </w:rPr>
              <w:t>76,46%</w:t>
            </w:r>
          </w:p>
        </w:tc>
      </w:tr>
      <w:tr>
        <w:trPr>
          <w:trHeight w:val="161" w:hRule="atLeast"/>
        </w:trPr>
        <w:tc>
          <w:tcPr>
            <w:tcW w:w="1306" w:type="dxa"/>
          </w:tcPr>
          <w:p>
            <w:pPr>
              <w:pStyle w:val="TableParagraph"/>
              <w:spacing w:line="139" w:lineRule="exact" w:before="2"/>
              <w:ind w:left="57"/>
              <w:rPr>
                <w:sz w:val="13"/>
              </w:rPr>
            </w:pPr>
            <w:r>
              <w:rPr>
                <w:w w:val="105"/>
                <w:sz w:val="13"/>
              </w:rPr>
              <w:t>PROEXCA</w:t>
            </w:r>
          </w:p>
        </w:tc>
        <w:tc>
          <w:tcPr>
            <w:tcW w:w="475" w:type="dxa"/>
          </w:tcPr>
          <w:p>
            <w:pPr>
              <w:pStyle w:val="TableParagraph"/>
              <w:spacing w:line="139" w:lineRule="exact" w:before="2"/>
              <w:ind w:right="44"/>
              <w:jc w:val="right"/>
              <w:rPr>
                <w:sz w:val="13"/>
              </w:rPr>
            </w:pPr>
            <w:r>
              <w:rPr>
                <w:sz w:val="13"/>
              </w:rPr>
              <w:t>23,40</w:t>
            </w:r>
          </w:p>
        </w:tc>
        <w:tc>
          <w:tcPr>
            <w:tcW w:w="533" w:type="dxa"/>
          </w:tcPr>
          <w:p>
            <w:pPr>
              <w:pStyle w:val="TableParagraph"/>
              <w:spacing w:line="139" w:lineRule="exact" w:before="2"/>
              <w:ind w:right="45"/>
              <w:jc w:val="right"/>
              <w:rPr>
                <w:sz w:val="13"/>
              </w:rPr>
            </w:pPr>
            <w:r>
              <w:rPr>
                <w:sz w:val="13"/>
              </w:rPr>
              <w:t>22,90</w:t>
            </w:r>
          </w:p>
        </w:tc>
        <w:tc>
          <w:tcPr>
            <w:tcW w:w="1069" w:type="dxa"/>
          </w:tcPr>
          <w:p>
            <w:pPr>
              <w:pStyle w:val="TableParagraph"/>
              <w:spacing w:line="139" w:lineRule="exact" w:before="2"/>
              <w:ind w:right="43"/>
              <w:jc w:val="right"/>
              <w:rPr>
                <w:sz w:val="13"/>
              </w:rPr>
            </w:pPr>
            <w:r>
              <w:rPr>
                <w:sz w:val="13"/>
              </w:rPr>
              <w:t>NP</w:t>
            </w:r>
          </w:p>
        </w:tc>
        <w:tc>
          <w:tcPr>
            <w:tcW w:w="1133" w:type="dxa"/>
          </w:tcPr>
          <w:p>
            <w:pPr>
              <w:pStyle w:val="TableParagraph"/>
              <w:spacing w:line="139" w:lineRule="exact" w:before="2"/>
              <w:ind w:right="44"/>
              <w:jc w:val="right"/>
              <w:rPr>
                <w:sz w:val="13"/>
              </w:rPr>
            </w:pPr>
            <w:r>
              <w:rPr>
                <w:sz w:val="13"/>
              </w:rPr>
              <w:t>NP</w:t>
            </w:r>
          </w:p>
        </w:tc>
      </w:tr>
      <w:tr>
        <w:trPr>
          <w:trHeight w:val="163" w:hRule="atLeast"/>
        </w:trPr>
        <w:tc>
          <w:tcPr>
            <w:tcW w:w="1306" w:type="dxa"/>
          </w:tcPr>
          <w:p>
            <w:pPr>
              <w:pStyle w:val="TableParagraph"/>
              <w:spacing w:line="139" w:lineRule="exact" w:before="4"/>
              <w:ind w:left="57"/>
              <w:rPr>
                <w:sz w:val="13"/>
              </w:rPr>
            </w:pPr>
            <w:r>
              <w:rPr>
                <w:w w:val="105"/>
                <w:sz w:val="13"/>
              </w:rPr>
              <w:t>PROMOTUR</w:t>
            </w:r>
          </w:p>
        </w:tc>
        <w:tc>
          <w:tcPr>
            <w:tcW w:w="475" w:type="dxa"/>
          </w:tcPr>
          <w:p>
            <w:pPr>
              <w:pStyle w:val="TableParagraph"/>
              <w:spacing w:line="139" w:lineRule="exact" w:before="4"/>
              <w:ind w:right="44"/>
              <w:jc w:val="right"/>
              <w:rPr>
                <w:sz w:val="13"/>
              </w:rPr>
            </w:pPr>
            <w:r>
              <w:rPr>
                <w:sz w:val="13"/>
              </w:rPr>
              <w:t>7,65</w:t>
            </w:r>
          </w:p>
        </w:tc>
        <w:tc>
          <w:tcPr>
            <w:tcW w:w="533" w:type="dxa"/>
          </w:tcPr>
          <w:p>
            <w:pPr>
              <w:pStyle w:val="TableParagraph"/>
              <w:spacing w:line="139" w:lineRule="exact" w:before="4"/>
              <w:ind w:right="45"/>
              <w:jc w:val="right"/>
              <w:rPr>
                <w:sz w:val="13"/>
              </w:rPr>
            </w:pPr>
            <w:r>
              <w:rPr>
                <w:sz w:val="13"/>
              </w:rPr>
              <w:t>3,90</w:t>
            </w:r>
          </w:p>
        </w:tc>
        <w:tc>
          <w:tcPr>
            <w:tcW w:w="1069" w:type="dxa"/>
          </w:tcPr>
          <w:p>
            <w:pPr>
              <w:pStyle w:val="TableParagraph"/>
              <w:spacing w:line="139" w:lineRule="exact" w:before="4"/>
              <w:ind w:right="42"/>
              <w:jc w:val="right"/>
              <w:rPr>
                <w:sz w:val="13"/>
              </w:rPr>
            </w:pPr>
            <w:r>
              <w:rPr>
                <w:sz w:val="13"/>
              </w:rPr>
              <w:t>100,00%</w:t>
            </w:r>
          </w:p>
        </w:tc>
        <w:tc>
          <w:tcPr>
            <w:tcW w:w="1133" w:type="dxa"/>
          </w:tcPr>
          <w:p>
            <w:pPr>
              <w:pStyle w:val="TableParagraph"/>
              <w:spacing w:line="139" w:lineRule="exact" w:before="4"/>
              <w:ind w:right="43"/>
              <w:jc w:val="right"/>
              <w:rPr>
                <w:sz w:val="13"/>
              </w:rPr>
            </w:pPr>
            <w:r>
              <w:rPr>
                <w:sz w:val="13"/>
              </w:rPr>
              <w:t>1,00%</w:t>
            </w:r>
          </w:p>
        </w:tc>
      </w:tr>
      <w:tr>
        <w:trPr>
          <w:trHeight w:val="161" w:hRule="atLeast"/>
        </w:trPr>
        <w:tc>
          <w:tcPr>
            <w:tcW w:w="1306" w:type="dxa"/>
          </w:tcPr>
          <w:p>
            <w:pPr>
              <w:pStyle w:val="TableParagraph"/>
              <w:spacing w:line="139" w:lineRule="exact" w:before="2"/>
              <w:ind w:left="57"/>
              <w:rPr>
                <w:sz w:val="13"/>
              </w:rPr>
            </w:pPr>
            <w:r>
              <w:rPr>
                <w:w w:val="105"/>
                <w:sz w:val="13"/>
              </w:rPr>
              <w:t>PUERTOS</w:t>
            </w:r>
          </w:p>
        </w:tc>
        <w:tc>
          <w:tcPr>
            <w:tcW w:w="475" w:type="dxa"/>
          </w:tcPr>
          <w:p>
            <w:pPr>
              <w:pStyle w:val="TableParagraph"/>
              <w:spacing w:line="139" w:lineRule="exact" w:before="2"/>
              <w:ind w:right="44"/>
              <w:jc w:val="right"/>
              <w:rPr>
                <w:sz w:val="13"/>
              </w:rPr>
            </w:pPr>
            <w:r>
              <w:rPr>
                <w:sz w:val="13"/>
              </w:rPr>
              <w:t>20,10</w:t>
            </w:r>
          </w:p>
        </w:tc>
        <w:tc>
          <w:tcPr>
            <w:tcW w:w="533" w:type="dxa"/>
          </w:tcPr>
          <w:p>
            <w:pPr>
              <w:pStyle w:val="TableParagraph"/>
              <w:spacing w:line="139" w:lineRule="exact" w:before="2"/>
              <w:ind w:right="45"/>
              <w:jc w:val="right"/>
              <w:rPr>
                <w:sz w:val="13"/>
              </w:rPr>
            </w:pPr>
            <w:r>
              <w:rPr>
                <w:sz w:val="13"/>
              </w:rPr>
              <w:t>21,70</w:t>
            </w:r>
          </w:p>
        </w:tc>
        <w:tc>
          <w:tcPr>
            <w:tcW w:w="1069" w:type="dxa"/>
          </w:tcPr>
          <w:p>
            <w:pPr>
              <w:pStyle w:val="TableParagraph"/>
              <w:spacing w:line="139" w:lineRule="exact" w:before="2"/>
              <w:ind w:right="42"/>
              <w:jc w:val="right"/>
              <w:rPr>
                <w:sz w:val="13"/>
              </w:rPr>
            </w:pPr>
            <w:r>
              <w:rPr>
                <w:sz w:val="13"/>
              </w:rPr>
              <w:t>90,39%</w:t>
            </w:r>
          </w:p>
        </w:tc>
        <w:tc>
          <w:tcPr>
            <w:tcW w:w="1133" w:type="dxa"/>
          </w:tcPr>
          <w:p>
            <w:pPr>
              <w:pStyle w:val="TableParagraph"/>
              <w:spacing w:line="139" w:lineRule="exact" w:before="2"/>
              <w:ind w:right="43"/>
              <w:jc w:val="right"/>
              <w:rPr>
                <w:sz w:val="13"/>
              </w:rPr>
            </w:pPr>
            <w:r>
              <w:rPr>
                <w:sz w:val="13"/>
              </w:rPr>
              <w:t>95,43%</w:t>
            </w:r>
          </w:p>
        </w:tc>
      </w:tr>
      <w:tr>
        <w:trPr>
          <w:trHeight w:val="163" w:hRule="atLeast"/>
        </w:trPr>
        <w:tc>
          <w:tcPr>
            <w:tcW w:w="1306" w:type="dxa"/>
          </w:tcPr>
          <w:p>
            <w:pPr>
              <w:pStyle w:val="TableParagraph"/>
              <w:spacing w:line="139" w:lineRule="exact" w:before="4"/>
              <w:ind w:left="57"/>
              <w:rPr>
                <w:sz w:val="13"/>
              </w:rPr>
            </w:pPr>
            <w:r>
              <w:rPr>
                <w:w w:val="105"/>
                <w:sz w:val="13"/>
              </w:rPr>
              <w:t>RPC</w:t>
            </w:r>
          </w:p>
        </w:tc>
        <w:tc>
          <w:tcPr>
            <w:tcW w:w="475" w:type="dxa"/>
          </w:tcPr>
          <w:p>
            <w:pPr>
              <w:pStyle w:val="TableParagraph"/>
              <w:spacing w:line="139" w:lineRule="exact" w:before="4"/>
              <w:ind w:right="44"/>
              <w:jc w:val="right"/>
              <w:rPr>
                <w:sz w:val="13"/>
              </w:rPr>
            </w:pPr>
            <w:r>
              <w:rPr>
                <w:sz w:val="13"/>
              </w:rPr>
              <w:t>13,30</w:t>
            </w:r>
          </w:p>
        </w:tc>
        <w:tc>
          <w:tcPr>
            <w:tcW w:w="533" w:type="dxa"/>
          </w:tcPr>
          <w:p>
            <w:pPr>
              <w:pStyle w:val="TableParagraph"/>
              <w:spacing w:line="139" w:lineRule="exact" w:before="4"/>
              <w:ind w:right="45"/>
              <w:jc w:val="right"/>
              <w:rPr>
                <w:sz w:val="13"/>
              </w:rPr>
            </w:pPr>
            <w:r>
              <w:rPr>
                <w:sz w:val="13"/>
              </w:rPr>
              <w:t>13,30</w:t>
            </w:r>
          </w:p>
        </w:tc>
        <w:tc>
          <w:tcPr>
            <w:tcW w:w="1069" w:type="dxa"/>
          </w:tcPr>
          <w:p>
            <w:pPr>
              <w:pStyle w:val="TableParagraph"/>
              <w:spacing w:line="139" w:lineRule="exact" w:before="4"/>
              <w:ind w:right="42"/>
              <w:jc w:val="right"/>
              <w:rPr>
                <w:sz w:val="13"/>
              </w:rPr>
            </w:pPr>
            <w:r>
              <w:rPr>
                <w:sz w:val="13"/>
              </w:rPr>
              <w:t>98,03%</w:t>
            </w:r>
          </w:p>
        </w:tc>
        <w:tc>
          <w:tcPr>
            <w:tcW w:w="1133" w:type="dxa"/>
          </w:tcPr>
          <w:p>
            <w:pPr>
              <w:pStyle w:val="TableParagraph"/>
              <w:spacing w:line="139" w:lineRule="exact" w:before="4"/>
              <w:ind w:right="43"/>
              <w:jc w:val="right"/>
              <w:rPr>
                <w:sz w:val="13"/>
              </w:rPr>
            </w:pPr>
            <w:r>
              <w:rPr>
                <w:sz w:val="13"/>
              </w:rPr>
              <w:t>99,08%</w:t>
            </w:r>
          </w:p>
        </w:tc>
      </w:tr>
      <w:tr>
        <w:trPr>
          <w:trHeight w:val="163" w:hRule="atLeast"/>
        </w:trPr>
        <w:tc>
          <w:tcPr>
            <w:tcW w:w="1306" w:type="dxa"/>
          </w:tcPr>
          <w:p>
            <w:pPr>
              <w:pStyle w:val="TableParagraph"/>
              <w:spacing w:line="141" w:lineRule="exact" w:before="2"/>
              <w:ind w:left="57"/>
              <w:rPr>
                <w:sz w:val="13"/>
              </w:rPr>
            </w:pPr>
            <w:r>
              <w:rPr>
                <w:w w:val="105"/>
                <w:sz w:val="13"/>
              </w:rPr>
              <w:t>SATURNO</w:t>
            </w:r>
          </w:p>
        </w:tc>
        <w:tc>
          <w:tcPr>
            <w:tcW w:w="475" w:type="dxa"/>
          </w:tcPr>
          <w:p>
            <w:pPr>
              <w:pStyle w:val="TableParagraph"/>
              <w:spacing w:line="141" w:lineRule="exact" w:before="2"/>
              <w:ind w:right="44"/>
              <w:jc w:val="right"/>
              <w:rPr>
                <w:sz w:val="13"/>
              </w:rPr>
            </w:pPr>
            <w:r>
              <w:rPr>
                <w:sz w:val="13"/>
              </w:rPr>
              <w:t>5,57</w:t>
            </w:r>
          </w:p>
        </w:tc>
        <w:tc>
          <w:tcPr>
            <w:tcW w:w="533" w:type="dxa"/>
          </w:tcPr>
          <w:p>
            <w:pPr>
              <w:pStyle w:val="TableParagraph"/>
              <w:spacing w:line="141" w:lineRule="exact" w:before="2"/>
              <w:ind w:right="45"/>
              <w:jc w:val="right"/>
              <w:rPr>
                <w:sz w:val="13"/>
              </w:rPr>
            </w:pPr>
            <w:r>
              <w:rPr>
                <w:sz w:val="13"/>
              </w:rPr>
              <w:t>5,16</w:t>
            </w:r>
          </w:p>
        </w:tc>
        <w:tc>
          <w:tcPr>
            <w:tcW w:w="1069" w:type="dxa"/>
          </w:tcPr>
          <w:p>
            <w:pPr>
              <w:pStyle w:val="TableParagraph"/>
              <w:spacing w:line="141" w:lineRule="exact" w:before="2"/>
              <w:ind w:right="43"/>
              <w:jc w:val="right"/>
              <w:rPr>
                <w:sz w:val="13"/>
              </w:rPr>
            </w:pPr>
            <w:r>
              <w:rPr>
                <w:sz w:val="13"/>
              </w:rPr>
              <w:t>N/O</w:t>
            </w:r>
          </w:p>
        </w:tc>
        <w:tc>
          <w:tcPr>
            <w:tcW w:w="1133" w:type="dxa"/>
          </w:tcPr>
          <w:p>
            <w:pPr>
              <w:pStyle w:val="TableParagraph"/>
              <w:spacing w:line="141" w:lineRule="exact" w:before="2"/>
              <w:ind w:right="44"/>
              <w:jc w:val="right"/>
              <w:rPr>
                <w:sz w:val="13"/>
              </w:rPr>
            </w:pPr>
            <w:r>
              <w:rPr>
                <w:sz w:val="13"/>
              </w:rPr>
              <w:t>N/O</w:t>
            </w:r>
          </w:p>
        </w:tc>
      </w:tr>
    </w:tbl>
    <w:p>
      <w:pPr>
        <w:pStyle w:val="BodyText"/>
        <w:spacing w:before="51"/>
        <w:ind w:left="7787"/>
        <w:jc w:val="center"/>
      </w:pPr>
      <w:r>
        <w:rPr/>
        <w:t>117</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49" name="image5.png"/>
                  <wp:cNvGraphicFramePr>
                    <a:graphicFrameLocks noChangeAspect="1"/>
                  </wp:cNvGraphicFramePr>
                  <a:graphic>
                    <a:graphicData uri="http://schemas.openxmlformats.org/drawingml/2006/picture">
                      <pic:pic>
                        <pic:nvPicPr>
                          <pic:cNvPr id="25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119/247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rPr>
          <w:b/>
        </w:rPr>
      </w:pPr>
    </w:p>
    <w:p>
      <w:pPr>
        <w:pStyle w:val="BodyText"/>
        <w:spacing w:before="9"/>
        <w:rPr>
          <w:b/>
          <w:sz w:val="12"/>
        </w:rPr>
      </w:pPr>
    </w:p>
    <w:tbl>
      <w:tblPr>
        <w:tblW w:w="0" w:type="auto"/>
        <w:jc w:val="left"/>
        <w:tblInd w:w="3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475"/>
        <w:gridCol w:w="533"/>
        <w:gridCol w:w="1069"/>
        <w:gridCol w:w="1133"/>
      </w:tblGrid>
      <w:tr>
        <w:trPr>
          <w:trHeight w:val="163" w:hRule="atLeast"/>
        </w:trPr>
        <w:tc>
          <w:tcPr>
            <w:tcW w:w="1306" w:type="dxa"/>
          </w:tcPr>
          <w:p>
            <w:pPr>
              <w:pStyle w:val="TableParagraph"/>
              <w:spacing w:line="139" w:lineRule="exact" w:before="4"/>
              <w:ind w:left="57"/>
              <w:rPr>
                <w:sz w:val="13"/>
              </w:rPr>
            </w:pPr>
            <w:r>
              <w:rPr>
                <w:w w:val="105"/>
                <w:sz w:val="13"/>
              </w:rPr>
              <w:t>SODECAN</w:t>
            </w:r>
          </w:p>
        </w:tc>
        <w:tc>
          <w:tcPr>
            <w:tcW w:w="475" w:type="dxa"/>
          </w:tcPr>
          <w:p>
            <w:pPr>
              <w:pStyle w:val="TableParagraph"/>
              <w:spacing w:line="139" w:lineRule="exact" w:before="4"/>
              <w:ind w:right="44"/>
              <w:jc w:val="right"/>
              <w:rPr>
                <w:sz w:val="13"/>
              </w:rPr>
            </w:pPr>
            <w:r>
              <w:rPr>
                <w:sz w:val="13"/>
              </w:rPr>
              <w:t>19,10</w:t>
            </w:r>
          </w:p>
        </w:tc>
        <w:tc>
          <w:tcPr>
            <w:tcW w:w="533" w:type="dxa"/>
          </w:tcPr>
          <w:p>
            <w:pPr>
              <w:pStyle w:val="TableParagraph"/>
              <w:spacing w:line="139" w:lineRule="exact" w:before="4"/>
              <w:ind w:right="45"/>
              <w:jc w:val="right"/>
              <w:rPr>
                <w:sz w:val="13"/>
              </w:rPr>
            </w:pPr>
            <w:r>
              <w:rPr>
                <w:sz w:val="13"/>
              </w:rPr>
              <w:t>17,60</w:t>
            </w:r>
          </w:p>
        </w:tc>
        <w:tc>
          <w:tcPr>
            <w:tcW w:w="1069" w:type="dxa"/>
          </w:tcPr>
          <w:p>
            <w:pPr>
              <w:pStyle w:val="TableParagraph"/>
              <w:spacing w:line="139" w:lineRule="exact" w:before="4"/>
              <w:ind w:right="43"/>
              <w:jc w:val="right"/>
              <w:rPr>
                <w:sz w:val="13"/>
              </w:rPr>
            </w:pPr>
            <w:r>
              <w:rPr>
                <w:sz w:val="13"/>
              </w:rPr>
              <w:t>N/O</w:t>
            </w:r>
          </w:p>
        </w:tc>
        <w:tc>
          <w:tcPr>
            <w:tcW w:w="1133" w:type="dxa"/>
          </w:tcPr>
          <w:p>
            <w:pPr>
              <w:pStyle w:val="TableParagraph"/>
              <w:spacing w:line="139" w:lineRule="exact" w:before="4"/>
              <w:ind w:right="44"/>
              <w:jc w:val="right"/>
              <w:rPr>
                <w:sz w:val="13"/>
              </w:rPr>
            </w:pPr>
            <w:r>
              <w:rPr>
                <w:sz w:val="13"/>
              </w:rPr>
              <w:t>N/O</w:t>
            </w:r>
          </w:p>
        </w:tc>
      </w:tr>
      <w:tr>
        <w:trPr>
          <w:trHeight w:val="161" w:hRule="atLeast"/>
        </w:trPr>
        <w:tc>
          <w:tcPr>
            <w:tcW w:w="1306" w:type="dxa"/>
          </w:tcPr>
          <w:p>
            <w:pPr>
              <w:pStyle w:val="TableParagraph"/>
              <w:spacing w:line="139" w:lineRule="exact" w:before="2"/>
              <w:ind w:left="57"/>
              <w:rPr>
                <w:sz w:val="13"/>
              </w:rPr>
            </w:pPr>
            <w:r>
              <w:rPr>
                <w:w w:val="105"/>
                <w:sz w:val="13"/>
              </w:rPr>
              <w:t>TVPC</w:t>
            </w:r>
          </w:p>
        </w:tc>
        <w:tc>
          <w:tcPr>
            <w:tcW w:w="475" w:type="dxa"/>
          </w:tcPr>
          <w:p>
            <w:pPr>
              <w:pStyle w:val="TableParagraph"/>
              <w:spacing w:line="139" w:lineRule="exact" w:before="2"/>
              <w:ind w:right="44"/>
              <w:jc w:val="right"/>
              <w:rPr>
                <w:sz w:val="13"/>
              </w:rPr>
            </w:pPr>
            <w:r>
              <w:rPr>
                <w:sz w:val="13"/>
              </w:rPr>
              <w:t>11,90</w:t>
            </w:r>
          </w:p>
        </w:tc>
        <w:tc>
          <w:tcPr>
            <w:tcW w:w="533" w:type="dxa"/>
          </w:tcPr>
          <w:p>
            <w:pPr>
              <w:pStyle w:val="TableParagraph"/>
              <w:spacing w:line="139" w:lineRule="exact" w:before="2"/>
              <w:ind w:right="45"/>
              <w:jc w:val="right"/>
              <w:rPr>
                <w:sz w:val="13"/>
              </w:rPr>
            </w:pPr>
            <w:r>
              <w:rPr>
                <w:sz w:val="13"/>
              </w:rPr>
              <w:t>15,90</w:t>
            </w:r>
          </w:p>
        </w:tc>
        <w:tc>
          <w:tcPr>
            <w:tcW w:w="1069" w:type="dxa"/>
          </w:tcPr>
          <w:p>
            <w:pPr>
              <w:pStyle w:val="TableParagraph"/>
              <w:spacing w:line="139" w:lineRule="exact" w:before="2"/>
              <w:ind w:right="42"/>
              <w:jc w:val="right"/>
              <w:rPr>
                <w:sz w:val="13"/>
              </w:rPr>
            </w:pPr>
            <w:r>
              <w:rPr>
                <w:sz w:val="13"/>
              </w:rPr>
              <w:t>93,81%</w:t>
            </w:r>
          </w:p>
        </w:tc>
        <w:tc>
          <w:tcPr>
            <w:tcW w:w="1133" w:type="dxa"/>
          </w:tcPr>
          <w:p>
            <w:pPr>
              <w:pStyle w:val="TableParagraph"/>
              <w:spacing w:line="139" w:lineRule="exact" w:before="2"/>
              <w:ind w:right="43"/>
              <w:jc w:val="right"/>
              <w:rPr>
                <w:sz w:val="13"/>
              </w:rPr>
            </w:pPr>
            <w:r>
              <w:rPr>
                <w:sz w:val="13"/>
              </w:rPr>
              <w:t>87,13%</w:t>
            </w:r>
          </w:p>
        </w:tc>
      </w:tr>
      <w:tr>
        <w:trPr>
          <w:trHeight w:val="163" w:hRule="atLeast"/>
        </w:trPr>
        <w:tc>
          <w:tcPr>
            <w:tcW w:w="1306" w:type="dxa"/>
          </w:tcPr>
          <w:p>
            <w:pPr>
              <w:pStyle w:val="TableParagraph"/>
              <w:spacing w:line="139" w:lineRule="exact" w:before="4"/>
              <w:ind w:left="57"/>
              <w:rPr>
                <w:sz w:val="13"/>
              </w:rPr>
            </w:pPr>
            <w:r>
              <w:rPr>
                <w:w w:val="105"/>
                <w:sz w:val="13"/>
              </w:rPr>
              <w:t>VISOCAN</w:t>
            </w:r>
          </w:p>
        </w:tc>
        <w:tc>
          <w:tcPr>
            <w:tcW w:w="475" w:type="dxa"/>
          </w:tcPr>
          <w:p>
            <w:pPr>
              <w:pStyle w:val="TableParagraph"/>
              <w:spacing w:line="139" w:lineRule="exact" w:before="4"/>
              <w:ind w:right="44"/>
              <w:jc w:val="right"/>
              <w:rPr>
                <w:sz w:val="13"/>
              </w:rPr>
            </w:pPr>
            <w:r>
              <w:rPr>
                <w:sz w:val="13"/>
              </w:rPr>
              <w:t>30,00</w:t>
            </w:r>
          </w:p>
        </w:tc>
        <w:tc>
          <w:tcPr>
            <w:tcW w:w="533" w:type="dxa"/>
          </w:tcPr>
          <w:p>
            <w:pPr>
              <w:pStyle w:val="TableParagraph"/>
              <w:spacing w:line="139" w:lineRule="exact" w:before="4"/>
              <w:ind w:right="45"/>
              <w:jc w:val="right"/>
              <w:rPr>
                <w:sz w:val="13"/>
              </w:rPr>
            </w:pPr>
            <w:r>
              <w:rPr>
                <w:sz w:val="13"/>
              </w:rPr>
              <w:t>23,00</w:t>
            </w:r>
          </w:p>
        </w:tc>
        <w:tc>
          <w:tcPr>
            <w:tcW w:w="1069" w:type="dxa"/>
          </w:tcPr>
          <w:p>
            <w:pPr>
              <w:pStyle w:val="TableParagraph"/>
              <w:spacing w:line="139" w:lineRule="exact" w:before="4"/>
              <w:ind w:right="42"/>
              <w:jc w:val="right"/>
              <w:rPr>
                <w:sz w:val="13"/>
              </w:rPr>
            </w:pPr>
            <w:r>
              <w:rPr>
                <w:sz w:val="13"/>
              </w:rPr>
              <w:t>99,89%</w:t>
            </w:r>
          </w:p>
        </w:tc>
        <w:tc>
          <w:tcPr>
            <w:tcW w:w="1133" w:type="dxa"/>
          </w:tcPr>
          <w:p>
            <w:pPr>
              <w:pStyle w:val="TableParagraph"/>
              <w:spacing w:line="139" w:lineRule="exact" w:before="4"/>
              <w:ind w:right="43"/>
              <w:jc w:val="right"/>
              <w:rPr>
                <w:sz w:val="13"/>
              </w:rPr>
            </w:pPr>
            <w:r>
              <w:rPr>
                <w:sz w:val="13"/>
              </w:rPr>
              <w:t>99,98%</w:t>
            </w:r>
          </w:p>
        </w:tc>
      </w:tr>
    </w:tbl>
    <w:p>
      <w:pPr>
        <w:spacing w:line="249" w:lineRule="auto" w:before="3"/>
        <w:ind w:left="3408" w:right="2333" w:firstLine="0"/>
        <w:jc w:val="both"/>
        <w:rPr>
          <w:sz w:val="13"/>
        </w:rPr>
      </w:pPr>
      <w:r>
        <w:rPr>
          <w:w w:val="105"/>
          <w:sz w:val="13"/>
        </w:rPr>
        <w:t>*En 2022 y 2021 ha atendido sus obligaciones de pago en la medida en que la liquidación de sus activos lo permite (Nota 13.7 Cuentas Anuales Abreviadas).</w:t>
      </w:r>
    </w:p>
    <w:p>
      <w:pPr>
        <w:spacing w:line="247" w:lineRule="auto" w:before="0"/>
        <w:ind w:left="3408" w:right="2327" w:firstLine="0"/>
        <w:jc w:val="both"/>
        <w:rPr>
          <w:sz w:val="13"/>
        </w:rPr>
      </w:pPr>
      <w:r>
        <w:rPr>
          <w:w w:val="105"/>
          <w:sz w:val="13"/>
        </w:rPr>
        <w:t>** La CCAA de la ESSSCAN se han presentado con posterioridad a la rendición de la Cuenta (5/10/2023). N/O: No presentan la información al no ser obligatoria para memorias abreviadas o de PYMES.</w:t>
      </w:r>
    </w:p>
    <w:p>
      <w:pPr>
        <w:pStyle w:val="BodyText"/>
        <w:spacing w:before="3"/>
        <w:rPr>
          <w:sz w:val="16"/>
        </w:rPr>
      </w:pPr>
    </w:p>
    <w:p>
      <w:pPr>
        <w:pStyle w:val="BodyText"/>
        <w:spacing w:line="242" w:lineRule="auto" w:before="1"/>
        <w:ind w:left="2099" w:right="1143" w:firstLine="594"/>
        <w:jc w:val="both"/>
      </w:pPr>
      <w:r>
        <w:rPr/>
        <w:t>Las</w:t>
      </w:r>
      <w:r>
        <w:rPr>
          <w:spacing w:val="-3"/>
        </w:rPr>
        <w:t> </w:t>
      </w:r>
      <w:r>
        <w:rPr/>
        <w:t>SSMM</w:t>
      </w:r>
      <w:r>
        <w:rPr>
          <w:spacing w:val="-3"/>
        </w:rPr>
        <w:t> </w:t>
      </w:r>
      <w:r>
        <w:rPr/>
        <w:t>ICDC,</w:t>
      </w:r>
      <w:r>
        <w:rPr>
          <w:spacing w:val="-2"/>
        </w:rPr>
        <w:t> </w:t>
      </w:r>
      <w:r>
        <w:rPr/>
        <w:t>PROEXCA,</w:t>
      </w:r>
      <w:r>
        <w:rPr>
          <w:spacing w:val="-2"/>
        </w:rPr>
        <w:t> </w:t>
      </w:r>
      <w:r>
        <w:rPr/>
        <w:t>GESPLAN,</w:t>
      </w:r>
      <w:r>
        <w:rPr>
          <w:spacing w:val="-2"/>
        </w:rPr>
        <w:t> </w:t>
      </w:r>
      <w:r>
        <w:rPr/>
        <w:t>y</w:t>
      </w:r>
      <w:r>
        <w:rPr>
          <w:spacing w:val="-3"/>
        </w:rPr>
        <w:t> ASISTA,</w:t>
      </w:r>
      <w:r>
        <w:rPr>
          <w:spacing w:val="-4"/>
        </w:rPr>
        <w:t> </w:t>
      </w:r>
      <w:r>
        <w:rPr/>
        <w:t>han</w:t>
      </w:r>
      <w:r>
        <w:rPr>
          <w:spacing w:val="-1"/>
        </w:rPr>
        <w:t> </w:t>
      </w:r>
      <w:r>
        <w:rPr/>
        <w:t>incumplido</w:t>
      </w:r>
      <w:r>
        <w:rPr>
          <w:spacing w:val="-2"/>
        </w:rPr>
        <w:t> </w:t>
      </w:r>
      <w:r>
        <w:rPr/>
        <w:t>la</w:t>
      </w:r>
      <w:r>
        <w:rPr>
          <w:spacing w:val="-2"/>
        </w:rPr>
        <w:t> </w:t>
      </w:r>
      <w:r>
        <w:rPr/>
        <w:t>DA</w:t>
      </w:r>
      <w:r>
        <w:rPr>
          <w:spacing w:val="-4"/>
        </w:rPr>
        <w:t> </w:t>
      </w:r>
      <w:r>
        <w:rPr/>
        <w:t>3ª</w:t>
      </w:r>
      <w:r>
        <w:rPr>
          <w:spacing w:val="-2"/>
        </w:rPr>
        <w:t> </w:t>
      </w:r>
      <w:r>
        <w:rPr/>
        <w:t>de</w:t>
      </w:r>
      <w:r>
        <w:rPr>
          <w:spacing w:val="-6"/>
        </w:rPr>
        <w:t> </w:t>
      </w:r>
      <w:r>
        <w:rPr/>
        <w:t>la</w:t>
      </w:r>
      <w:r>
        <w:rPr>
          <w:spacing w:val="-2"/>
        </w:rPr>
        <w:t> </w:t>
      </w:r>
      <w:r>
        <w:rPr/>
        <w:t>Ley 15/2010, de 5 de julio, de modificación de la Ley 3/2004, de 29 de diciembre, por la que se establen medidas de lucha contra la morosidad en las operaciones comerciales, al no informar en la memoria de sus cuentas anuales del volumen monetario y número de facturas pagadas en un periodo inferior al máximo establecido en la normativa de morosidad</w:t>
      </w:r>
      <w:r>
        <w:rPr>
          <w:spacing w:val="-10"/>
        </w:rPr>
        <w:t> </w:t>
      </w:r>
      <w:r>
        <w:rPr/>
        <w:t>y</w:t>
      </w:r>
      <w:r>
        <w:rPr>
          <w:spacing w:val="-9"/>
        </w:rPr>
        <w:t> </w:t>
      </w:r>
      <w:r>
        <w:rPr/>
        <w:t>el</w:t>
      </w:r>
      <w:r>
        <w:rPr>
          <w:spacing w:val="-10"/>
        </w:rPr>
        <w:t> </w:t>
      </w:r>
      <w:r>
        <w:rPr/>
        <w:t>porcentaje</w:t>
      </w:r>
      <w:r>
        <w:rPr>
          <w:spacing w:val="-8"/>
        </w:rPr>
        <w:t> </w:t>
      </w:r>
      <w:r>
        <w:rPr/>
        <w:t>que</w:t>
      </w:r>
      <w:r>
        <w:rPr>
          <w:spacing w:val="-10"/>
        </w:rPr>
        <w:t> </w:t>
      </w:r>
      <w:r>
        <w:rPr/>
        <w:t>suponen</w:t>
      </w:r>
      <w:r>
        <w:rPr>
          <w:spacing w:val="-8"/>
        </w:rPr>
        <w:t> </w:t>
      </w:r>
      <w:r>
        <w:rPr/>
        <w:t>sobre</w:t>
      </w:r>
      <w:r>
        <w:rPr>
          <w:spacing w:val="-10"/>
        </w:rPr>
        <w:t> </w:t>
      </w:r>
      <w:r>
        <w:rPr/>
        <w:t>el</w:t>
      </w:r>
      <w:r>
        <w:rPr>
          <w:spacing w:val="-10"/>
        </w:rPr>
        <w:t> </w:t>
      </w:r>
      <w:r>
        <w:rPr/>
        <w:t>número</w:t>
      </w:r>
      <w:r>
        <w:rPr>
          <w:spacing w:val="-10"/>
        </w:rPr>
        <w:t> </w:t>
      </w:r>
      <w:r>
        <w:rPr/>
        <w:t>total</w:t>
      </w:r>
      <w:r>
        <w:rPr>
          <w:spacing w:val="-10"/>
        </w:rPr>
        <w:t> </w:t>
      </w:r>
      <w:r>
        <w:rPr/>
        <w:t>de</w:t>
      </w:r>
      <w:r>
        <w:rPr>
          <w:spacing w:val="-11"/>
        </w:rPr>
        <w:t> </w:t>
      </w:r>
      <w:r>
        <w:rPr/>
        <w:t>facturas</w:t>
      </w:r>
      <w:r>
        <w:rPr>
          <w:spacing w:val="-10"/>
        </w:rPr>
        <w:t> </w:t>
      </w:r>
      <w:r>
        <w:rPr/>
        <w:t>y</w:t>
      </w:r>
      <w:r>
        <w:rPr>
          <w:spacing w:val="-11"/>
        </w:rPr>
        <w:t> </w:t>
      </w:r>
      <w:r>
        <w:rPr/>
        <w:t>sobre</w:t>
      </w:r>
      <w:r>
        <w:rPr>
          <w:spacing w:val="-10"/>
        </w:rPr>
        <w:t> </w:t>
      </w:r>
      <w:r>
        <w:rPr/>
        <w:t>el</w:t>
      </w:r>
      <w:r>
        <w:rPr>
          <w:spacing w:val="-10"/>
        </w:rPr>
        <w:t> </w:t>
      </w:r>
      <w:r>
        <w:rPr/>
        <w:t>total monetario de los pagos a sus</w:t>
      </w:r>
      <w:r>
        <w:rPr>
          <w:spacing w:val="-1"/>
        </w:rPr>
        <w:t> </w:t>
      </w:r>
      <w:r>
        <w:rPr/>
        <w:t>proveedores.</w:t>
      </w:r>
    </w:p>
    <w:p>
      <w:pPr>
        <w:pStyle w:val="BodyText"/>
        <w:spacing w:before="3"/>
        <w:rPr>
          <w:sz w:val="16"/>
        </w:rPr>
      </w:pPr>
    </w:p>
    <w:p>
      <w:pPr>
        <w:pStyle w:val="Heading1"/>
        <w:numPr>
          <w:ilvl w:val="2"/>
          <w:numId w:val="70"/>
        </w:numPr>
        <w:tabs>
          <w:tab w:pos="2575" w:val="left" w:leader="none"/>
        </w:tabs>
        <w:spacing w:line="240" w:lineRule="auto" w:before="0" w:after="0"/>
        <w:ind w:left="2574" w:right="0" w:hanging="476"/>
        <w:jc w:val="left"/>
      </w:pPr>
      <w:r>
        <w:rPr/>
        <w:pict>
          <v:group style="position:absolute;margin-left:174.694962pt;margin-top:22.316948pt;width:293.350pt;height:.45pt;mso-position-horizontal-relative:page;mso-position-vertical-relative:paragraph;z-index:251867136" coordorigin="3494,446" coordsize="5867,9">
            <v:line style="position:absolute" from="3494,450" to="6311,450" stroked="true" strokeweight=".403015pt" strokecolor="#000000">
              <v:stroke dashstyle="solid"/>
            </v:line>
            <v:rect style="position:absolute;left:6311;top:446;width:9;height:9" filled="true" fillcolor="#000000" stroked="false">
              <v:fill type="solid"/>
            </v:rect>
            <v:line style="position:absolute" from="6319,450" to="7545,450" stroked="true" strokeweight=".403015pt" strokecolor="#000000">
              <v:stroke dashstyle="solid"/>
            </v:line>
            <v:rect style="position:absolute;left:7544;top:446;width:9;height:9" filled="true" fillcolor="#000000" stroked="false">
              <v:fill type="solid"/>
            </v:rect>
            <v:line style="position:absolute" from="7553,450" to="8778,450" stroked="true" strokeweight=".403015pt" strokecolor="#000000">
              <v:stroke dashstyle="solid"/>
            </v:line>
            <v:rect style="position:absolute;left:8778;top:446;width:9;height:9" filled="true" fillcolor="#000000" stroked="false">
              <v:fill type="solid"/>
            </v:rect>
            <v:line style="position:absolute" from="8786,450" to="9361,450" stroked="true" strokeweight=".403015pt" strokecolor="#000000">
              <v:stroke dashstyle="solid"/>
            </v:line>
            <w10:wrap type="none"/>
          </v:group>
        </w:pict>
      </w:r>
      <w:bookmarkStart w:name="_TOC_250012" w:id="10"/>
      <w:bookmarkEnd w:id="10"/>
      <w:r>
        <w:rPr>
          <w:color w:val="53A1B9"/>
        </w:rPr>
        <w:t>Personal.</w:t>
      </w:r>
    </w:p>
    <w:p>
      <w:pPr>
        <w:pStyle w:val="BodyText"/>
        <w:spacing w:before="3"/>
        <w:rPr>
          <w:b/>
          <w:sz w:val="15"/>
        </w:rPr>
      </w:pPr>
      <w:r>
        <w:rPr/>
        <w:pict>
          <v:shape style="position:absolute;margin-left:174.694962pt;margin-top:10.530162pt;width:293.350pt;height:12.5pt;mso-position-horizontal-relative:page;mso-position-vertical-relative:paragraph;z-index:-251451392;mso-wrap-distance-left:0;mso-wrap-distance-right:0" type="#_x0000_t202" filled="true" fillcolor="#d9e1f3" stroked="false">
            <v:textbox inset="0,0,0,0">
              <w:txbxContent>
                <w:p>
                  <w:pPr>
                    <w:tabs>
                      <w:tab w:pos="3281" w:val="left" w:leader="none"/>
                      <w:tab w:pos="4514" w:val="left" w:leader="none"/>
                      <w:tab w:pos="5520" w:val="left" w:leader="none"/>
                    </w:tabs>
                    <w:spacing w:before="34"/>
                    <w:ind w:left="808" w:right="0" w:firstLine="0"/>
                    <w:jc w:val="left"/>
                    <w:rPr>
                      <w:b/>
                      <w:sz w:val="15"/>
                    </w:rPr>
                  </w:pPr>
                  <w:r>
                    <w:rPr>
                      <w:b/>
                      <w:sz w:val="15"/>
                    </w:rPr>
                    <w:t>Gastos de</w:t>
                  </w:r>
                  <w:r>
                    <w:rPr>
                      <w:b/>
                      <w:spacing w:val="1"/>
                      <w:sz w:val="15"/>
                    </w:rPr>
                    <w:t> </w:t>
                  </w:r>
                  <w:r>
                    <w:rPr>
                      <w:b/>
                      <w:sz w:val="15"/>
                    </w:rPr>
                    <w:t>personal</w:t>
                    <w:tab/>
                    <w:t>2021</w:t>
                    <w:tab/>
                    <w:t>2022</w:t>
                    <w:tab/>
                    <w:t>%</w:t>
                  </w:r>
                </w:p>
              </w:txbxContent>
            </v:textbox>
            <v:fill type="solid"/>
            <w10:wrap type="topAndBottom"/>
          </v:shape>
        </w:pict>
      </w:r>
    </w:p>
    <w:p>
      <w:pPr>
        <w:tabs>
          <w:tab w:pos="5708" w:val="left" w:leader="none"/>
          <w:tab w:pos="6942" w:val="left" w:leader="none"/>
          <w:tab w:pos="8137" w:val="left" w:leader="none"/>
        </w:tabs>
        <w:spacing w:before="72" w:after="84"/>
        <w:ind w:left="2792" w:right="0" w:firstLine="0"/>
        <w:jc w:val="left"/>
        <w:rPr>
          <w:sz w:val="15"/>
        </w:rPr>
      </w:pPr>
      <w:r>
        <w:rPr>
          <w:sz w:val="15"/>
        </w:rPr>
        <w:t>Importe agregado de gastos</w:t>
      </w:r>
      <w:r>
        <w:rPr>
          <w:spacing w:val="1"/>
          <w:sz w:val="15"/>
        </w:rPr>
        <w:t> </w:t>
      </w:r>
      <w:r>
        <w:rPr>
          <w:sz w:val="15"/>
        </w:rPr>
        <w:t>de personal</w:t>
        <w:tab/>
        <w:t>114.336.393,25</w:t>
        <w:tab/>
        <w:t>142.965.790,88</w:t>
        <w:tab/>
        <w:t>25,04</w:t>
      </w:r>
    </w:p>
    <w:p>
      <w:pPr>
        <w:pStyle w:val="BodyText"/>
        <w:spacing w:line="20" w:lineRule="exact"/>
        <w:ind w:left="2716"/>
        <w:rPr>
          <w:sz w:val="2"/>
        </w:rPr>
      </w:pPr>
      <w:r>
        <w:rPr>
          <w:sz w:val="2"/>
        </w:rPr>
        <w:pict>
          <v:group style="width:294pt;height:.45pt;mso-position-horizontal-relative:char;mso-position-vertical-relative:line" coordorigin="0,0" coordsize="5880,9">
            <v:line style="position:absolute" from="0,4" to="2829,4" stroked="true" strokeweight=".403015pt" strokecolor="#000000">
              <v:stroke dashstyle="solid"/>
            </v:line>
            <v:rect style="position:absolute;left:2817;top:0;width:9;height:9" filled="true" fillcolor="#000000" stroked="false">
              <v:fill type="solid"/>
            </v:rect>
            <v:line style="position:absolute" from="2826,4" to="4063,4" stroked="true" strokeweight=".403015pt" strokecolor="#000000">
              <v:stroke dashstyle="solid"/>
            </v:line>
            <v:rect style="position:absolute;left:4051;top:0;width:9;height:9" filled="true" fillcolor="#000000" stroked="false">
              <v:fill type="solid"/>
            </v:rect>
            <v:line style="position:absolute" from="4059,4" to="5296,4" stroked="true" strokeweight=".403015pt" strokecolor="#000000">
              <v:stroke dashstyle="solid"/>
            </v:line>
            <v:rect style="position:absolute;left:5284;top:0;width:9;height:9" filled="true" fillcolor="#000000" stroked="false">
              <v:fill type="solid"/>
            </v:rect>
            <v:line style="position:absolute" from="5292,4" to="5879,4" stroked="true" strokeweight=".403015pt" strokecolor="#000000">
              <v:stroke dashstyle="solid"/>
            </v:line>
          </v:group>
        </w:pict>
      </w:r>
      <w:r>
        <w:rPr>
          <w:sz w:val="2"/>
        </w:rPr>
      </w:r>
    </w:p>
    <w:p>
      <w:pPr>
        <w:pStyle w:val="BodyText"/>
        <w:spacing w:before="8"/>
        <w:rPr>
          <w:sz w:val="10"/>
        </w:rPr>
      </w:pPr>
    </w:p>
    <w:p>
      <w:pPr>
        <w:pStyle w:val="BodyText"/>
        <w:spacing w:line="242" w:lineRule="auto" w:before="61"/>
        <w:ind w:left="2099" w:right="1141" w:firstLine="594"/>
        <w:jc w:val="both"/>
      </w:pPr>
      <w:r>
        <w:rPr/>
        <w:t>Se observa que el importe agregado de gastos de personal de las entidades públicas empresariales ha aumentado en 28,6 millones de €, destacando GESPLAN que ha aumentado los mismos en 23 millones de €, para hacer frente al aumento en el volumen de los encargos recibidos por APCAC, así como de las Corporaciones Locales Canarias. En este sentido, la Sociedad señala, en su memoria, que el número de personas</w:t>
      </w:r>
      <w:r>
        <w:rPr>
          <w:spacing w:val="-8"/>
        </w:rPr>
        <w:t> </w:t>
      </w:r>
      <w:r>
        <w:rPr/>
        <w:t>contratadas</w:t>
      </w:r>
      <w:r>
        <w:rPr>
          <w:spacing w:val="-8"/>
        </w:rPr>
        <w:t> </w:t>
      </w:r>
      <w:r>
        <w:rPr/>
        <w:t>pasó</w:t>
      </w:r>
      <w:r>
        <w:rPr>
          <w:spacing w:val="-8"/>
        </w:rPr>
        <w:t> </w:t>
      </w:r>
      <w:r>
        <w:rPr/>
        <w:t>de</w:t>
      </w:r>
      <w:r>
        <w:rPr>
          <w:spacing w:val="-10"/>
        </w:rPr>
        <w:t> </w:t>
      </w:r>
      <w:r>
        <w:rPr/>
        <w:t>2.756</w:t>
      </w:r>
      <w:r>
        <w:rPr>
          <w:spacing w:val="-9"/>
        </w:rPr>
        <w:t> </w:t>
      </w:r>
      <w:r>
        <w:rPr/>
        <w:t>en</w:t>
      </w:r>
      <w:r>
        <w:rPr>
          <w:spacing w:val="-9"/>
        </w:rPr>
        <w:t> </w:t>
      </w:r>
      <w:r>
        <w:rPr/>
        <w:t>el</w:t>
      </w:r>
      <w:r>
        <w:rPr>
          <w:spacing w:val="-7"/>
        </w:rPr>
        <w:t> </w:t>
      </w:r>
      <w:r>
        <w:rPr/>
        <w:t>año</w:t>
      </w:r>
      <w:r>
        <w:rPr>
          <w:spacing w:val="-8"/>
        </w:rPr>
        <w:t> </w:t>
      </w:r>
      <w:r>
        <w:rPr/>
        <w:t>2021</w:t>
      </w:r>
      <w:r>
        <w:rPr>
          <w:spacing w:val="-8"/>
        </w:rPr>
        <w:t> </w:t>
      </w:r>
      <w:r>
        <w:rPr/>
        <w:t>a</w:t>
      </w:r>
      <w:r>
        <w:rPr>
          <w:spacing w:val="-8"/>
        </w:rPr>
        <w:t> </w:t>
      </w:r>
      <w:r>
        <w:rPr/>
        <w:t>3.938</w:t>
      </w:r>
      <w:r>
        <w:rPr>
          <w:spacing w:val="-7"/>
        </w:rPr>
        <w:t> </w:t>
      </w:r>
      <w:r>
        <w:rPr/>
        <w:t>en</w:t>
      </w:r>
      <w:r>
        <w:rPr>
          <w:spacing w:val="-8"/>
        </w:rPr>
        <w:t> </w:t>
      </w:r>
      <w:r>
        <w:rPr/>
        <w:t>el</w:t>
      </w:r>
      <w:r>
        <w:rPr>
          <w:spacing w:val="-9"/>
        </w:rPr>
        <w:t> </w:t>
      </w:r>
      <w:r>
        <w:rPr/>
        <w:t>año</w:t>
      </w:r>
      <w:r>
        <w:rPr>
          <w:spacing w:val="-10"/>
        </w:rPr>
        <w:t> </w:t>
      </w:r>
      <w:r>
        <w:rPr/>
        <w:t>2022.</w:t>
      </w:r>
      <w:r>
        <w:rPr>
          <w:spacing w:val="-7"/>
        </w:rPr>
        <w:t> </w:t>
      </w:r>
      <w:r>
        <w:rPr/>
        <w:t>En</w:t>
      </w:r>
      <w:r>
        <w:rPr>
          <w:spacing w:val="-7"/>
        </w:rPr>
        <w:t> </w:t>
      </w:r>
      <w:r>
        <w:rPr/>
        <w:t>el</w:t>
      </w:r>
      <w:r>
        <w:rPr>
          <w:spacing w:val="-8"/>
        </w:rPr>
        <w:t> </w:t>
      </w:r>
      <w:r>
        <w:rPr/>
        <w:t>Informe ejecutivo de la Sociedad se recoge la aprobación, con fecha 30 de junio de 2022, por parte del Gobierno de Canarias, del Instrumento de Planificación estratégico (IPE) para los ejercicios 2022-2024, (previo informe favorable de la DGPP) que supone la aprobación de contratación de personal de diversas</w:t>
      </w:r>
      <w:r>
        <w:rPr>
          <w:spacing w:val="3"/>
        </w:rPr>
        <w:t> </w:t>
      </w:r>
      <w:r>
        <w:rPr/>
        <w:t>categorías.</w:t>
      </w:r>
    </w:p>
    <w:p>
      <w:pPr>
        <w:pStyle w:val="BodyText"/>
        <w:spacing w:before="1"/>
        <w:rPr>
          <w:sz w:val="16"/>
        </w:rPr>
      </w:pPr>
    </w:p>
    <w:p>
      <w:pPr>
        <w:pStyle w:val="BodyText"/>
        <w:ind w:left="2099" w:right="1146" w:firstLine="594"/>
        <w:jc w:val="both"/>
      </w:pPr>
      <w:r>
        <w:rPr/>
        <w:t>A continuación se muestra el número medio de personas empleadas en el ejercicio 2022 por cada una de las entidades, presentando también los datos del ejercicio 2021, a efectos comparativos.</w:t>
      </w:r>
    </w:p>
    <w:p>
      <w:pPr>
        <w:pStyle w:val="BodyText"/>
        <w:spacing w:before="3"/>
        <w:rPr>
          <w:sz w:val="17"/>
        </w:rPr>
      </w:pPr>
    </w:p>
    <w:tbl>
      <w:tblPr>
        <w:tblW w:w="0" w:type="auto"/>
        <w:jc w:val="left"/>
        <w:tblInd w:w="3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9"/>
        <w:gridCol w:w="1237"/>
        <w:gridCol w:w="694"/>
      </w:tblGrid>
      <w:tr>
        <w:trPr>
          <w:trHeight w:val="502" w:hRule="atLeast"/>
        </w:trPr>
        <w:tc>
          <w:tcPr>
            <w:tcW w:w="3810" w:type="dxa"/>
            <w:gridSpan w:val="3"/>
            <w:tcBorders>
              <w:top w:val="single" w:sz="4" w:space="0" w:color="000000"/>
            </w:tcBorders>
            <w:shd w:val="clear" w:color="auto" w:fill="D9E1F3"/>
          </w:tcPr>
          <w:p>
            <w:pPr>
              <w:pStyle w:val="TableParagraph"/>
              <w:spacing w:line="155" w:lineRule="exact" w:before="33"/>
              <w:ind w:left="2325"/>
              <w:rPr>
                <w:b/>
                <w:sz w:val="15"/>
              </w:rPr>
            </w:pPr>
            <w:r>
              <w:rPr>
                <w:b/>
                <w:sz w:val="15"/>
                <w:u w:val="single"/>
              </w:rPr>
              <w:t>Plantillas medias</w:t>
            </w:r>
          </w:p>
          <w:p>
            <w:pPr>
              <w:pStyle w:val="TableParagraph"/>
              <w:spacing w:line="126" w:lineRule="exact"/>
              <w:ind w:left="640"/>
              <w:rPr>
                <w:b/>
                <w:sz w:val="15"/>
              </w:rPr>
            </w:pPr>
            <w:r>
              <w:rPr>
                <w:b/>
                <w:sz w:val="15"/>
              </w:rPr>
              <w:t>Entidades</w:t>
            </w:r>
          </w:p>
          <w:p>
            <w:pPr>
              <w:pStyle w:val="TableParagraph"/>
              <w:tabs>
                <w:tab w:pos="3175" w:val="left" w:leader="none"/>
              </w:tabs>
              <w:spacing w:line="154" w:lineRule="exact"/>
              <w:ind w:left="2222"/>
              <w:rPr>
                <w:b/>
                <w:sz w:val="15"/>
              </w:rPr>
            </w:pPr>
            <w:r>
              <w:rPr>
                <w:b/>
                <w:sz w:val="15"/>
              </w:rPr>
              <w:t>2021</w:t>
              <w:tab/>
              <w:t>2022</w:t>
            </w:r>
          </w:p>
        </w:tc>
      </w:tr>
      <w:tr>
        <w:trPr>
          <w:trHeight w:val="198" w:hRule="atLeast"/>
        </w:trPr>
        <w:tc>
          <w:tcPr>
            <w:tcW w:w="1879" w:type="dxa"/>
          </w:tcPr>
          <w:p>
            <w:pPr>
              <w:pStyle w:val="TableParagraph"/>
              <w:spacing w:line="177" w:lineRule="exact" w:before="2"/>
              <w:ind w:left="58"/>
              <w:rPr>
                <w:sz w:val="15"/>
              </w:rPr>
            </w:pPr>
            <w:r>
              <w:rPr>
                <w:sz w:val="15"/>
              </w:rPr>
              <w:t>ASISTA</w:t>
            </w:r>
          </w:p>
        </w:tc>
        <w:tc>
          <w:tcPr>
            <w:tcW w:w="1237" w:type="dxa"/>
          </w:tcPr>
          <w:p>
            <w:pPr>
              <w:pStyle w:val="TableParagraph"/>
              <w:spacing w:line="177" w:lineRule="exact" w:before="2"/>
              <w:ind w:right="320"/>
              <w:jc w:val="right"/>
              <w:rPr>
                <w:sz w:val="15"/>
              </w:rPr>
            </w:pPr>
            <w:r>
              <w:rPr>
                <w:sz w:val="15"/>
              </w:rPr>
              <w:t>135</w:t>
            </w:r>
          </w:p>
        </w:tc>
        <w:tc>
          <w:tcPr>
            <w:tcW w:w="694" w:type="dxa"/>
          </w:tcPr>
          <w:p>
            <w:pPr>
              <w:pStyle w:val="TableParagraph"/>
              <w:spacing w:line="177" w:lineRule="exact" w:before="2"/>
              <w:ind w:right="61"/>
              <w:jc w:val="right"/>
              <w:rPr>
                <w:sz w:val="15"/>
              </w:rPr>
            </w:pPr>
            <w:r>
              <w:rPr>
                <w:sz w:val="15"/>
              </w:rPr>
              <w:t>138</w:t>
            </w:r>
          </w:p>
        </w:tc>
      </w:tr>
      <w:tr>
        <w:trPr>
          <w:trHeight w:val="184" w:hRule="atLeast"/>
        </w:trPr>
        <w:tc>
          <w:tcPr>
            <w:tcW w:w="1879" w:type="dxa"/>
          </w:tcPr>
          <w:p>
            <w:pPr>
              <w:pStyle w:val="TableParagraph"/>
              <w:spacing w:line="164" w:lineRule="exact"/>
              <w:ind w:left="58"/>
              <w:rPr>
                <w:sz w:val="15"/>
              </w:rPr>
            </w:pPr>
            <w:r>
              <w:rPr>
                <w:sz w:val="15"/>
              </w:rPr>
              <w:t>CCB MASPALOMAS*</w:t>
            </w:r>
          </w:p>
        </w:tc>
        <w:tc>
          <w:tcPr>
            <w:tcW w:w="1237" w:type="dxa"/>
          </w:tcPr>
          <w:p>
            <w:pPr>
              <w:pStyle w:val="TableParagraph"/>
              <w:rPr>
                <w:rFonts w:ascii="Times New Roman"/>
                <w:sz w:val="12"/>
              </w:rPr>
            </w:pPr>
          </w:p>
        </w:tc>
        <w:tc>
          <w:tcPr>
            <w:tcW w:w="694" w:type="dxa"/>
          </w:tcPr>
          <w:p>
            <w:pPr>
              <w:pStyle w:val="TableParagraph"/>
              <w:rPr>
                <w:rFonts w:ascii="Times New Roman"/>
                <w:sz w:val="12"/>
              </w:rPr>
            </w:pPr>
          </w:p>
        </w:tc>
      </w:tr>
      <w:tr>
        <w:trPr>
          <w:trHeight w:val="184" w:hRule="atLeast"/>
        </w:trPr>
        <w:tc>
          <w:tcPr>
            <w:tcW w:w="1879" w:type="dxa"/>
          </w:tcPr>
          <w:p>
            <w:pPr>
              <w:pStyle w:val="TableParagraph"/>
              <w:spacing w:line="164" w:lineRule="exact"/>
              <w:ind w:left="58"/>
              <w:rPr>
                <w:sz w:val="15"/>
              </w:rPr>
            </w:pPr>
            <w:r>
              <w:rPr>
                <w:sz w:val="15"/>
              </w:rPr>
              <w:t>CCB TENERIFE*</w:t>
            </w:r>
          </w:p>
        </w:tc>
        <w:tc>
          <w:tcPr>
            <w:tcW w:w="1237" w:type="dxa"/>
          </w:tcPr>
          <w:p>
            <w:pPr>
              <w:pStyle w:val="TableParagraph"/>
              <w:rPr>
                <w:rFonts w:ascii="Times New Roman"/>
                <w:sz w:val="12"/>
              </w:rPr>
            </w:pPr>
          </w:p>
        </w:tc>
        <w:tc>
          <w:tcPr>
            <w:tcW w:w="694" w:type="dxa"/>
          </w:tcPr>
          <w:p>
            <w:pPr>
              <w:pStyle w:val="TableParagraph"/>
              <w:rPr>
                <w:rFonts w:ascii="Times New Roman"/>
                <w:sz w:val="12"/>
              </w:rPr>
            </w:pPr>
          </w:p>
        </w:tc>
      </w:tr>
      <w:tr>
        <w:trPr>
          <w:trHeight w:val="184" w:hRule="atLeast"/>
        </w:trPr>
        <w:tc>
          <w:tcPr>
            <w:tcW w:w="1879" w:type="dxa"/>
          </w:tcPr>
          <w:p>
            <w:pPr>
              <w:pStyle w:val="TableParagraph"/>
              <w:spacing w:line="164" w:lineRule="exact"/>
              <w:ind w:left="58"/>
              <w:rPr>
                <w:sz w:val="15"/>
              </w:rPr>
            </w:pPr>
            <w:r>
              <w:rPr>
                <w:sz w:val="15"/>
              </w:rPr>
              <w:t>ESSSCAN</w:t>
            </w:r>
          </w:p>
        </w:tc>
        <w:tc>
          <w:tcPr>
            <w:tcW w:w="1237" w:type="dxa"/>
          </w:tcPr>
          <w:p>
            <w:pPr>
              <w:pStyle w:val="TableParagraph"/>
              <w:spacing w:line="164" w:lineRule="exact"/>
              <w:ind w:right="320"/>
              <w:jc w:val="right"/>
              <w:rPr>
                <w:sz w:val="15"/>
              </w:rPr>
            </w:pPr>
            <w:r>
              <w:rPr>
                <w:sz w:val="15"/>
              </w:rPr>
              <w:t>21.60</w:t>
            </w:r>
          </w:p>
        </w:tc>
        <w:tc>
          <w:tcPr>
            <w:tcW w:w="694" w:type="dxa"/>
          </w:tcPr>
          <w:p>
            <w:pPr>
              <w:pStyle w:val="TableParagraph"/>
              <w:spacing w:line="164" w:lineRule="exact"/>
              <w:ind w:right="61"/>
              <w:jc w:val="right"/>
              <w:rPr>
                <w:sz w:val="15"/>
              </w:rPr>
            </w:pPr>
            <w:r>
              <w:rPr>
                <w:sz w:val="15"/>
              </w:rPr>
              <w:t>21.5</w:t>
            </w:r>
          </w:p>
        </w:tc>
      </w:tr>
      <w:tr>
        <w:trPr>
          <w:trHeight w:val="168" w:hRule="atLeast"/>
        </w:trPr>
        <w:tc>
          <w:tcPr>
            <w:tcW w:w="1879" w:type="dxa"/>
          </w:tcPr>
          <w:p>
            <w:pPr>
              <w:pStyle w:val="TableParagraph"/>
              <w:spacing w:line="148" w:lineRule="exact"/>
              <w:ind w:left="58"/>
              <w:rPr>
                <w:sz w:val="15"/>
              </w:rPr>
            </w:pPr>
            <w:r>
              <w:rPr>
                <w:sz w:val="15"/>
              </w:rPr>
              <w:t>GESPLAN</w:t>
            </w:r>
          </w:p>
        </w:tc>
        <w:tc>
          <w:tcPr>
            <w:tcW w:w="1237" w:type="dxa"/>
          </w:tcPr>
          <w:p>
            <w:pPr>
              <w:pStyle w:val="TableParagraph"/>
              <w:spacing w:line="148" w:lineRule="exact"/>
              <w:ind w:right="320"/>
              <w:jc w:val="right"/>
              <w:rPr>
                <w:sz w:val="15"/>
              </w:rPr>
            </w:pPr>
            <w:r>
              <w:rPr>
                <w:sz w:val="15"/>
              </w:rPr>
              <w:t>1138</w:t>
            </w:r>
          </w:p>
        </w:tc>
        <w:tc>
          <w:tcPr>
            <w:tcW w:w="694" w:type="dxa"/>
          </w:tcPr>
          <w:p>
            <w:pPr>
              <w:pStyle w:val="TableParagraph"/>
              <w:spacing w:line="148" w:lineRule="exact"/>
              <w:ind w:right="61"/>
              <w:jc w:val="right"/>
              <w:rPr>
                <w:sz w:val="15"/>
              </w:rPr>
            </w:pPr>
            <w:r>
              <w:rPr>
                <w:sz w:val="15"/>
              </w:rPr>
              <w:t>2032</w:t>
            </w:r>
          </w:p>
        </w:tc>
      </w:tr>
    </w:tbl>
    <w:p>
      <w:pPr>
        <w:spacing w:after="0" w:line="148" w:lineRule="exact"/>
        <w:jc w:val="right"/>
        <w:rPr>
          <w:sz w:val="15"/>
        </w:rPr>
        <w:sectPr>
          <w:pgSz w:w="11900" w:h="16840"/>
          <w:pgMar w:header="869" w:footer="926" w:top="1760" w:bottom="1120" w:left="760" w:right="760"/>
        </w:sectPr>
      </w:pPr>
    </w:p>
    <w:p>
      <w:pPr>
        <w:tabs>
          <w:tab w:pos="7566" w:val="left" w:leader="none"/>
        </w:tabs>
        <w:spacing w:before="2"/>
        <w:ind w:left="3749" w:right="0" w:firstLine="0"/>
        <w:jc w:val="center"/>
        <w:rPr>
          <w:sz w:val="15"/>
        </w:rPr>
      </w:pPr>
      <w:r>
        <w:rPr>
          <w:w w:val="100"/>
          <w:sz w:val="15"/>
          <w:u w:val="single"/>
        </w:rPr>
        <w:t> </w:t>
      </w:r>
      <w:r>
        <w:rPr>
          <w:spacing w:val="2"/>
          <w:sz w:val="15"/>
          <w:u w:val="single"/>
        </w:rPr>
        <w:t> </w:t>
      </w:r>
      <w:r>
        <w:rPr>
          <w:sz w:val="15"/>
          <w:u w:val="single"/>
        </w:rPr>
        <w:t>GESPROTUR*</w:t>
        <w:tab/>
      </w:r>
    </w:p>
    <w:p>
      <w:pPr>
        <w:pStyle w:val="BodyText"/>
        <w:rPr>
          <w:sz w:val="14"/>
        </w:rPr>
      </w:pPr>
    </w:p>
    <w:p>
      <w:pPr>
        <w:pStyle w:val="BodyText"/>
        <w:spacing w:before="10"/>
        <w:rPr>
          <w:sz w:val="15"/>
        </w:rPr>
      </w:pPr>
    </w:p>
    <w:p>
      <w:pPr>
        <w:pStyle w:val="Heading1"/>
        <w:ind w:left="3766"/>
      </w:pPr>
      <w:r>
        <w:rPr>
          <w:u w:val="single"/>
        </w:rPr>
        <w:t>CA-001-2023</w:t>
      </w:r>
    </w:p>
    <w:p>
      <w:pPr>
        <w:pStyle w:val="BodyText"/>
        <w:spacing w:before="10"/>
        <w:rPr>
          <w:b/>
          <w:sz w:val="24"/>
        </w:rPr>
      </w:pPr>
      <w:r>
        <w:rPr/>
        <w:br w:type="column"/>
      </w:r>
      <w:r>
        <w:rPr>
          <w:b/>
          <w:sz w:val="24"/>
        </w:rPr>
      </w:r>
    </w:p>
    <w:p>
      <w:pPr>
        <w:pStyle w:val="BodyText"/>
        <w:ind w:left="1304" w:right="1124"/>
        <w:jc w:val="center"/>
      </w:pPr>
      <w:r>
        <w:rPr/>
        <w:t>118</w:t>
      </w:r>
    </w:p>
    <w:p>
      <w:pPr>
        <w:spacing w:after="0"/>
        <w:jc w:val="center"/>
        <w:sectPr>
          <w:type w:val="continuous"/>
          <w:pgSz w:w="11900" w:h="16840"/>
          <w:pgMar w:top="1600" w:bottom="1120" w:left="760" w:right="760"/>
          <w:cols w:num="2" w:equalWidth="0">
            <w:col w:w="7567" w:space="40"/>
            <w:col w:w="2773"/>
          </w:cols>
        </w:sectPr>
      </w:pPr>
    </w:p>
    <w:p>
      <w:pPr>
        <w:pStyle w:val="BodyText"/>
      </w:pPr>
    </w:p>
    <w:p>
      <w:pPr>
        <w:pStyle w:val="BodyText"/>
      </w:pPr>
    </w:p>
    <w:p>
      <w:pPr>
        <w:pStyle w:val="BodyText"/>
      </w:pPr>
    </w:p>
    <w:p>
      <w:pPr>
        <w:pStyle w:val="BodyText"/>
      </w:pPr>
    </w:p>
    <w:p>
      <w:pPr>
        <w:pStyle w:val="BodyText"/>
      </w:pPr>
    </w:p>
    <w:p>
      <w:pPr>
        <w:pStyle w:val="BodyText"/>
        <w:spacing w:before="8"/>
        <w:rPr>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sz w:val="9"/>
              </w:rPr>
            </w:pPr>
          </w:p>
          <w:p>
            <w:pPr>
              <w:pStyle w:val="TableParagraph"/>
              <w:ind w:left="325"/>
              <w:rPr>
                <w:sz w:val="20"/>
              </w:rPr>
            </w:pPr>
            <w:r>
              <w:rPr>
                <w:sz w:val="20"/>
              </w:rPr>
              <w:drawing>
                <wp:inline distT="0" distB="0" distL="0" distR="0">
                  <wp:extent cx="514350" cy="514350"/>
                  <wp:effectExtent l="0" t="0" r="0" b="0"/>
                  <wp:docPr id="251" name="image5.png"/>
                  <wp:cNvGraphicFramePr>
                    <a:graphicFrameLocks noChangeAspect="1"/>
                  </wp:cNvGraphicFramePr>
                  <a:graphic>
                    <a:graphicData uri="http://schemas.openxmlformats.org/drawingml/2006/picture">
                      <pic:pic>
                        <pic:nvPicPr>
                          <pic:cNvPr id="25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120/247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pPr>
    </w:p>
    <w:p>
      <w:pPr>
        <w:pStyle w:val="BodyText"/>
        <w:spacing w:before="1"/>
        <w:rPr>
          <w:sz w:val="13"/>
        </w:rPr>
      </w:pPr>
    </w:p>
    <w:tbl>
      <w:tblPr>
        <w:tblW w:w="0" w:type="auto"/>
        <w:jc w:val="left"/>
        <w:tblInd w:w="3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6"/>
        <w:gridCol w:w="1428"/>
        <w:gridCol w:w="826"/>
      </w:tblGrid>
      <w:tr>
        <w:trPr>
          <w:trHeight w:val="316" w:hRule="atLeast"/>
        </w:trPr>
        <w:tc>
          <w:tcPr>
            <w:tcW w:w="3810" w:type="dxa"/>
            <w:gridSpan w:val="3"/>
            <w:tcBorders>
              <w:top w:val="single" w:sz="4" w:space="0" w:color="000000"/>
            </w:tcBorders>
            <w:shd w:val="clear" w:color="auto" w:fill="D9E1F3"/>
          </w:tcPr>
          <w:p>
            <w:pPr>
              <w:pStyle w:val="TableParagraph"/>
              <w:spacing w:line="154" w:lineRule="exact" w:before="35"/>
              <w:ind w:left="2325"/>
              <w:rPr>
                <w:b/>
                <w:sz w:val="15"/>
              </w:rPr>
            </w:pPr>
            <w:r>
              <w:rPr>
                <w:b/>
                <w:sz w:val="15"/>
                <w:u w:val="single"/>
              </w:rPr>
              <w:t>Plantillas medias</w:t>
            </w:r>
          </w:p>
          <w:p>
            <w:pPr>
              <w:pStyle w:val="TableParagraph"/>
              <w:spacing w:line="107" w:lineRule="exact"/>
              <w:ind w:left="640"/>
              <w:rPr>
                <w:b/>
                <w:sz w:val="15"/>
              </w:rPr>
            </w:pPr>
            <w:r>
              <w:rPr>
                <w:b/>
                <w:sz w:val="15"/>
              </w:rPr>
              <w:t>Entidades</w:t>
            </w:r>
          </w:p>
        </w:tc>
      </w:tr>
      <w:tr>
        <w:trPr>
          <w:trHeight w:val="187" w:hRule="atLeast"/>
        </w:trPr>
        <w:tc>
          <w:tcPr>
            <w:tcW w:w="1556" w:type="dxa"/>
            <w:shd w:val="clear" w:color="auto" w:fill="D9E1F3"/>
          </w:tcPr>
          <w:p>
            <w:pPr>
              <w:pStyle w:val="TableParagraph"/>
              <w:rPr>
                <w:rFonts w:ascii="Times New Roman"/>
                <w:sz w:val="12"/>
              </w:rPr>
            </w:pPr>
          </w:p>
        </w:tc>
        <w:tc>
          <w:tcPr>
            <w:tcW w:w="1428" w:type="dxa"/>
            <w:shd w:val="clear" w:color="auto" w:fill="D9E1F3"/>
          </w:tcPr>
          <w:p>
            <w:pPr>
              <w:pStyle w:val="TableParagraph"/>
              <w:spacing w:line="154" w:lineRule="exact"/>
              <w:ind w:left="666"/>
              <w:rPr>
                <w:b/>
                <w:sz w:val="15"/>
              </w:rPr>
            </w:pPr>
            <w:r>
              <w:rPr>
                <w:b/>
                <w:sz w:val="15"/>
              </w:rPr>
              <w:t>2021</w:t>
            </w:r>
          </w:p>
        </w:tc>
        <w:tc>
          <w:tcPr>
            <w:tcW w:w="826" w:type="dxa"/>
            <w:shd w:val="clear" w:color="auto" w:fill="D9E1F3"/>
          </w:tcPr>
          <w:p>
            <w:pPr>
              <w:pStyle w:val="TableParagraph"/>
              <w:spacing w:line="154" w:lineRule="exact"/>
              <w:ind w:left="192"/>
              <w:rPr>
                <w:b/>
                <w:sz w:val="15"/>
              </w:rPr>
            </w:pPr>
            <w:r>
              <w:rPr>
                <w:b/>
                <w:sz w:val="15"/>
              </w:rPr>
              <w:t>2022</w:t>
            </w:r>
          </w:p>
        </w:tc>
      </w:tr>
      <w:tr>
        <w:trPr>
          <w:trHeight w:val="197" w:hRule="atLeast"/>
        </w:trPr>
        <w:tc>
          <w:tcPr>
            <w:tcW w:w="1556" w:type="dxa"/>
          </w:tcPr>
          <w:p>
            <w:pPr>
              <w:pStyle w:val="TableParagraph"/>
              <w:spacing w:line="178" w:lineRule="exact"/>
              <w:ind w:left="58"/>
              <w:rPr>
                <w:sz w:val="15"/>
              </w:rPr>
            </w:pPr>
            <w:r>
              <w:rPr>
                <w:sz w:val="15"/>
              </w:rPr>
              <w:t>GESTUR CAN</w:t>
            </w:r>
          </w:p>
        </w:tc>
        <w:tc>
          <w:tcPr>
            <w:tcW w:w="1428" w:type="dxa"/>
          </w:tcPr>
          <w:p>
            <w:pPr>
              <w:pStyle w:val="TableParagraph"/>
              <w:spacing w:line="178" w:lineRule="exact"/>
              <w:ind w:right="189"/>
              <w:jc w:val="right"/>
              <w:rPr>
                <w:sz w:val="15"/>
              </w:rPr>
            </w:pPr>
            <w:r>
              <w:rPr>
                <w:sz w:val="15"/>
              </w:rPr>
              <w:t>34,89</w:t>
            </w:r>
          </w:p>
        </w:tc>
        <w:tc>
          <w:tcPr>
            <w:tcW w:w="826" w:type="dxa"/>
          </w:tcPr>
          <w:p>
            <w:pPr>
              <w:pStyle w:val="TableParagraph"/>
              <w:spacing w:line="178" w:lineRule="exact"/>
              <w:ind w:right="62"/>
              <w:jc w:val="right"/>
              <w:rPr>
                <w:sz w:val="15"/>
              </w:rPr>
            </w:pPr>
            <w:r>
              <w:rPr>
                <w:sz w:val="15"/>
              </w:rPr>
              <w:t>45,54</w:t>
            </w:r>
          </w:p>
        </w:tc>
      </w:tr>
      <w:tr>
        <w:trPr>
          <w:trHeight w:val="184" w:hRule="atLeast"/>
        </w:trPr>
        <w:tc>
          <w:tcPr>
            <w:tcW w:w="1556" w:type="dxa"/>
          </w:tcPr>
          <w:p>
            <w:pPr>
              <w:pStyle w:val="TableParagraph"/>
              <w:spacing w:line="164" w:lineRule="exact"/>
              <w:ind w:left="58"/>
              <w:rPr>
                <w:sz w:val="15"/>
              </w:rPr>
            </w:pPr>
            <w:r>
              <w:rPr>
                <w:sz w:val="15"/>
              </w:rPr>
              <w:t>GESTUR LPA*</w:t>
            </w:r>
          </w:p>
        </w:tc>
        <w:tc>
          <w:tcPr>
            <w:tcW w:w="1428" w:type="dxa"/>
          </w:tcPr>
          <w:p>
            <w:pPr>
              <w:pStyle w:val="TableParagraph"/>
              <w:rPr>
                <w:rFonts w:ascii="Times New Roman"/>
                <w:sz w:val="12"/>
              </w:rPr>
            </w:pPr>
          </w:p>
        </w:tc>
        <w:tc>
          <w:tcPr>
            <w:tcW w:w="826" w:type="dxa"/>
          </w:tcPr>
          <w:p>
            <w:pPr>
              <w:pStyle w:val="TableParagraph"/>
              <w:rPr>
                <w:rFonts w:ascii="Times New Roman"/>
                <w:sz w:val="12"/>
              </w:rPr>
            </w:pPr>
          </w:p>
        </w:tc>
      </w:tr>
      <w:tr>
        <w:trPr>
          <w:trHeight w:val="184" w:hRule="atLeast"/>
        </w:trPr>
        <w:tc>
          <w:tcPr>
            <w:tcW w:w="1556" w:type="dxa"/>
          </w:tcPr>
          <w:p>
            <w:pPr>
              <w:pStyle w:val="TableParagraph"/>
              <w:spacing w:line="164" w:lineRule="exact"/>
              <w:ind w:left="58"/>
              <w:rPr>
                <w:sz w:val="15"/>
              </w:rPr>
            </w:pPr>
            <w:r>
              <w:rPr>
                <w:sz w:val="15"/>
              </w:rPr>
              <w:t>GMR</w:t>
            </w:r>
          </w:p>
        </w:tc>
        <w:tc>
          <w:tcPr>
            <w:tcW w:w="1428" w:type="dxa"/>
          </w:tcPr>
          <w:p>
            <w:pPr>
              <w:pStyle w:val="TableParagraph"/>
              <w:spacing w:line="164" w:lineRule="exact"/>
              <w:ind w:right="188"/>
              <w:jc w:val="right"/>
              <w:rPr>
                <w:sz w:val="15"/>
              </w:rPr>
            </w:pPr>
            <w:r>
              <w:rPr>
                <w:sz w:val="15"/>
              </w:rPr>
              <w:t>224</w:t>
            </w:r>
          </w:p>
        </w:tc>
        <w:tc>
          <w:tcPr>
            <w:tcW w:w="826" w:type="dxa"/>
          </w:tcPr>
          <w:p>
            <w:pPr>
              <w:pStyle w:val="TableParagraph"/>
              <w:spacing w:line="164" w:lineRule="exact"/>
              <w:ind w:right="61"/>
              <w:jc w:val="right"/>
              <w:rPr>
                <w:sz w:val="15"/>
              </w:rPr>
            </w:pPr>
            <w:r>
              <w:rPr>
                <w:sz w:val="15"/>
              </w:rPr>
              <w:t>229</w:t>
            </w:r>
          </w:p>
        </w:tc>
      </w:tr>
      <w:tr>
        <w:trPr>
          <w:trHeight w:val="184" w:hRule="atLeast"/>
        </w:trPr>
        <w:tc>
          <w:tcPr>
            <w:tcW w:w="1556" w:type="dxa"/>
          </w:tcPr>
          <w:p>
            <w:pPr>
              <w:pStyle w:val="TableParagraph"/>
              <w:spacing w:line="164" w:lineRule="exact"/>
              <w:ind w:left="58"/>
              <w:rPr>
                <w:sz w:val="15"/>
              </w:rPr>
            </w:pPr>
            <w:r>
              <w:rPr>
                <w:sz w:val="15"/>
              </w:rPr>
              <w:t>GRAFCAN</w:t>
            </w:r>
          </w:p>
        </w:tc>
        <w:tc>
          <w:tcPr>
            <w:tcW w:w="1428" w:type="dxa"/>
          </w:tcPr>
          <w:p>
            <w:pPr>
              <w:pStyle w:val="TableParagraph"/>
              <w:spacing w:line="164" w:lineRule="exact"/>
              <w:ind w:right="189"/>
              <w:jc w:val="right"/>
              <w:rPr>
                <w:sz w:val="15"/>
              </w:rPr>
            </w:pPr>
            <w:r>
              <w:rPr>
                <w:sz w:val="15"/>
              </w:rPr>
              <w:t>62,44</w:t>
            </w:r>
          </w:p>
        </w:tc>
        <w:tc>
          <w:tcPr>
            <w:tcW w:w="826" w:type="dxa"/>
          </w:tcPr>
          <w:p>
            <w:pPr>
              <w:pStyle w:val="TableParagraph"/>
              <w:spacing w:line="164" w:lineRule="exact"/>
              <w:ind w:right="62"/>
              <w:jc w:val="right"/>
              <w:rPr>
                <w:sz w:val="15"/>
              </w:rPr>
            </w:pPr>
            <w:r>
              <w:rPr>
                <w:sz w:val="15"/>
              </w:rPr>
              <w:t>62,6</w:t>
            </w:r>
          </w:p>
        </w:tc>
      </w:tr>
      <w:tr>
        <w:trPr>
          <w:trHeight w:val="184" w:hRule="atLeast"/>
        </w:trPr>
        <w:tc>
          <w:tcPr>
            <w:tcW w:w="1556" w:type="dxa"/>
          </w:tcPr>
          <w:p>
            <w:pPr>
              <w:pStyle w:val="TableParagraph"/>
              <w:spacing w:line="164" w:lineRule="exact"/>
              <w:ind w:left="58"/>
              <w:rPr>
                <w:sz w:val="15"/>
              </w:rPr>
            </w:pPr>
            <w:r>
              <w:rPr>
                <w:sz w:val="15"/>
              </w:rPr>
              <w:t>GSC</w:t>
            </w:r>
          </w:p>
        </w:tc>
        <w:tc>
          <w:tcPr>
            <w:tcW w:w="1428" w:type="dxa"/>
          </w:tcPr>
          <w:p>
            <w:pPr>
              <w:pStyle w:val="TableParagraph"/>
              <w:spacing w:line="164" w:lineRule="exact"/>
              <w:ind w:right="188"/>
              <w:jc w:val="right"/>
              <w:rPr>
                <w:sz w:val="15"/>
              </w:rPr>
            </w:pPr>
            <w:r>
              <w:rPr>
                <w:sz w:val="15"/>
              </w:rPr>
              <w:t>334</w:t>
            </w:r>
          </w:p>
        </w:tc>
        <w:tc>
          <w:tcPr>
            <w:tcW w:w="826" w:type="dxa"/>
          </w:tcPr>
          <w:p>
            <w:pPr>
              <w:pStyle w:val="TableParagraph"/>
              <w:spacing w:line="164" w:lineRule="exact"/>
              <w:ind w:right="61"/>
              <w:jc w:val="right"/>
              <w:rPr>
                <w:sz w:val="15"/>
              </w:rPr>
            </w:pPr>
            <w:r>
              <w:rPr>
                <w:sz w:val="15"/>
              </w:rPr>
              <w:t>305</w:t>
            </w:r>
          </w:p>
        </w:tc>
      </w:tr>
      <w:tr>
        <w:trPr>
          <w:trHeight w:val="184" w:hRule="atLeast"/>
        </w:trPr>
        <w:tc>
          <w:tcPr>
            <w:tcW w:w="1556" w:type="dxa"/>
          </w:tcPr>
          <w:p>
            <w:pPr>
              <w:pStyle w:val="TableParagraph"/>
              <w:spacing w:line="164" w:lineRule="exact"/>
              <w:ind w:left="58"/>
              <w:rPr>
                <w:sz w:val="15"/>
              </w:rPr>
            </w:pPr>
            <w:r>
              <w:rPr>
                <w:sz w:val="15"/>
              </w:rPr>
              <w:t>HECANSA</w:t>
            </w:r>
          </w:p>
        </w:tc>
        <w:tc>
          <w:tcPr>
            <w:tcW w:w="1428" w:type="dxa"/>
          </w:tcPr>
          <w:p>
            <w:pPr>
              <w:pStyle w:val="TableParagraph"/>
              <w:spacing w:line="164" w:lineRule="exact"/>
              <w:ind w:right="188"/>
              <w:jc w:val="right"/>
              <w:rPr>
                <w:sz w:val="15"/>
              </w:rPr>
            </w:pPr>
            <w:r>
              <w:rPr>
                <w:sz w:val="15"/>
              </w:rPr>
              <w:t>165</w:t>
            </w:r>
          </w:p>
        </w:tc>
        <w:tc>
          <w:tcPr>
            <w:tcW w:w="826" w:type="dxa"/>
          </w:tcPr>
          <w:p>
            <w:pPr>
              <w:pStyle w:val="TableParagraph"/>
              <w:spacing w:line="164" w:lineRule="exact"/>
              <w:ind w:right="61"/>
              <w:jc w:val="right"/>
              <w:rPr>
                <w:sz w:val="15"/>
              </w:rPr>
            </w:pPr>
            <w:r>
              <w:rPr>
                <w:sz w:val="15"/>
              </w:rPr>
              <w:t>189</w:t>
            </w:r>
          </w:p>
        </w:tc>
      </w:tr>
      <w:tr>
        <w:trPr>
          <w:trHeight w:val="184" w:hRule="atLeast"/>
        </w:trPr>
        <w:tc>
          <w:tcPr>
            <w:tcW w:w="1556" w:type="dxa"/>
          </w:tcPr>
          <w:p>
            <w:pPr>
              <w:pStyle w:val="TableParagraph"/>
              <w:spacing w:line="164" w:lineRule="exact"/>
              <w:ind w:left="58"/>
              <w:rPr>
                <w:sz w:val="15"/>
              </w:rPr>
            </w:pPr>
            <w:r>
              <w:rPr>
                <w:sz w:val="15"/>
              </w:rPr>
              <w:t>ICDC</w:t>
            </w:r>
          </w:p>
        </w:tc>
        <w:tc>
          <w:tcPr>
            <w:tcW w:w="1428" w:type="dxa"/>
          </w:tcPr>
          <w:p>
            <w:pPr>
              <w:pStyle w:val="TableParagraph"/>
              <w:spacing w:line="164" w:lineRule="exact"/>
              <w:ind w:right="189"/>
              <w:jc w:val="right"/>
              <w:rPr>
                <w:sz w:val="15"/>
              </w:rPr>
            </w:pPr>
            <w:r>
              <w:rPr>
                <w:sz w:val="15"/>
              </w:rPr>
              <w:t>74,7</w:t>
            </w:r>
          </w:p>
        </w:tc>
        <w:tc>
          <w:tcPr>
            <w:tcW w:w="826" w:type="dxa"/>
          </w:tcPr>
          <w:p>
            <w:pPr>
              <w:pStyle w:val="TableParagraph"/>
              <w:spacing w:line="164" w:lineRule="exact"/>
              <w:ind w:right="62"/>
              <w:jc w:val="right"/>
              <w:rPr>
                <w:sz w:val="15"/>
              </w:rPr>
            </w:pPr>
            <w:r>
              <w:rPr>
                <w:sz w:val="15"/>
              </w:rPr>
              <w:t>80,58</w:t>
            </w:r>
          </w:p>
        </w:tc>
      </w:tr>
      <w:tr>
        <w:trPr>
          <w:trHeight w:val="184" w:hRule="atLeast"/>
        </w:trPr>
        <w:tc>
          <w:tcPr>
            <w:tcW w:w="1556" w:type="dxa"/>
          </w:tcPr>
          <w:p>
            <w:pPr>
              <w:pStyle w:val="TableParagraph"/>
              <w:spacing w:line="164" w:lineRule="exact"/>
              <w:ind w:left="58"/>
              <w:rPr>
                <w:sz w:val="15"/>
              </w:rPr>
            </w:pPr>
            <w:r>
              <w:rPr>
                <w:sz w:val="15"/>
              </w:rPr>
              <w:t>ITC</w:t>
            </w:r>
          </w:p>
        </w:tc>
        <w:tc>
          <w:tcPr>
            <w:tcW w:w="1428" w:type="dxa"/>
          </w:tcPr>
          <w:p>
            <w:pPr>
              <w:pStyle w:val="TableParagraph"/>
              <w:spacing w:line="164" w:lineRule="exact"/>
              <w:ind w:right="188"/>
              <w:jc w:val="right"/>
              <w:rPr>
                <w:sz w:val="15"/>
              </w:rPr>
            </w:pPr>
            <w:r>
              <w:rPr>
                <w:sz w:val="15"/>
              </w:rPr>
              <w:t>209</w:t>
            </w:r>
          </w:p>
        </w:tc>
        <w:tc>
          <w:tcPr>
            <w:tcW w:w="826" w:type="dxa"/>
          </w:tcPr>
          <w:p>
            <w:pPr>
              <w:pStyle w:val="TableParagraph"/>
              <w:spacing w:line="164" w:lineRule="exact"/>
              <w:ind w:right="61"/>
              <w:jc w:val="right"/>
              <w:rPr>
                <w:sz w:val="15"/>
              </w:rPr>
            </w:pPr>
            <w:r>
              <w:rPr>
                <w:sz w:val="15"/>
              </w:rPr>
              <w:t>214</w:t>
            </w:r>
          </w:p>
        </w:tc>
      </w:tr>
      <w:tr>
        <w:trPr>
          <w:trHeight w:val="184" w:hRule="atLeast"/>
        </w:trPr>
        <w:tc>
          <w:tcPr>
            <w:tcW w:w="1556" w:type="dxa"/>
          </w:tcPr>
          <w:p>
            <w:pPr>
              <w:pStyle w:val="TableParagraph"/>
              <w:spacing w:line="164" w:lineRule="exact"/>
              <w:ind w:left="58"/>
              <w:rPr>
                <w:sz w:val="15"/>
              </w:rPr>
            </w:pPr>
            <w:r>
              <w:rPr>
                <w:sz w:val="15"/>
              </w:rPr>
              <w:t>PROEXCA</w:t>
            </w:r>
          </w:p>
        </w:tc>
        <w:tc>
          <w:tcPr>
            <w:tcW w:w="1428" w:type="dxa"/>
          </w:tcPr>
          <w:p>
            <w:pPr>
              <w:pStyle w:val="TableParagraph"/>
              <w:spacing w:line="164" w:lineRule="exact"/>
              <w:ind w:right="189"/>
              <w:jc w:val="right"/>
              <w:rPr>
                <w:sz w:val="15"/>
              </w:rPr>
            </w:pPr>
            <w:r>
              <w:rPr>
                <w:sz w:val="15"/>
              </w:rPr>
              <w:t>70,88</w:t>
            </w:r>
          </w:p>
        </w:tc>
        <w:tc>
          <w:tcPr>
            <w:tcW w:w="826" w:type="dxa"/>
          </w:tcPr>
          <w:p>
            <w:pPr>
              <w:pStyle w:val="TableParagraph"/>
              <w:spacing w:line="164" w:lineRule="exact"/>
              <w:ind w:right="61"/>
              <w:jc w:val="right"/>
              <w:rPr>
                <w:sz w:val="15"/>
              </w:rPr>
            </w:pPr>
            <w:r>
              <w:rPr>
                <w:sz w:val="15"/>
              </w:rPr>
              <w:t>69</w:t>
            </w:r>
          </w:p>
        </w:tc>
      </w:tr>
      <w:tr>
        <w:trPr>
          <w:trHeight w:val="185" w:hRule="atLeast"/>
        </w:trPr>
        <w:tc>
          <w:tcPr>
            <w:tcW w:w="1556" w:type="dxa"/>
          </w:tcPr>
          <w:p>
            <w:pPr>
              <w:pStyle w:val="TableParagraph"/>
              <w:spacing w:line="166" w:lineRule="exact"/>
              <w:ind w:left="58"/>
              <w:rPr>
                <w:sz w:val="15"/>
              </w:rPr>
            </w:pPr>
            <w:r>
              <w:rPr>
                <w:sz w:val="15"/>
              </w:rPr>
              <w:t>PROMOTUR</w:t>
            </w:r>
          </w:p>
        </w:tc>
        <w:tc>
          <w:tcPr>
            <w:tcW w:w="1428" w:type="dxa"/>
          </w:tcPr>
          <w:p>
            <w:pPr>
              <w:pStyle w:val="TableParagraph"/>
              <w:spacing w:line="166" w:lineRule="exact"/>
              <w:ind w:right="188"/>
              <w:jc w:val="right"/>
              <w:rPr>
                <w:sz w:val="15"/>
              </w:rPr>
            </w:pPr>
            <w:r>
              <w:rPr>
                <w:sz w:val="15"/>
              </w:rPr>
              <w:t>56</w:t>
            </w:r>
          </w:p>
        </w:tc>
        <w:tc>
          <w:tcPr>
            <w:tcW w:w="826" w:type="dxa"/>
          </w:tcPr>
          <w:p>
            <w:pPr>
              <w:pStyle w:val="TableParagraph"/>
              <w:spacing w:line="166" w:lineRule="exact"/>
              <w:ind w:right="61"/>
              <w:jc w:val="right"/>
              <w:rPr>
                <w:sz w:val="15"/>
              </w:rPr>
            </w:pPr>
            <w:r>
              <w:rPr>
                <w:sz w:val="15"/>
              </w:rPr>
              <w:t>55</w:t>
            </w:r>
          </w:p>
        </w:tc>
      </w:tr>
      <w:tr>
        <w:trPr>
          <w:trHeight w:val="184" w:hRule="atLeast"/>
        </w:trPr>
        <w:tc>
          <w:tcPr>
            <w:tcW w:w="1556" w:type="dxa"/>
          </w:tcPr>
          <w:p>
            <w:pPr>
              <w:pStyle w:val="TableParagraph"/>
              <w:spacing w:line="165" w:lineRule="exact"/>
              <w:ind w:left="58"/>
              <w:rPr>
                <w:sz w:val="15"/>
              </w:rPr>
            </w:pPr>
            <w:r>
              <w:rPr>
                <w:sz w:val="15"/>
              </w:rPr>
              <w:t>PUERTOS</w:t>
            </w:r>
          </w:p>
        </w:tc>
        <w:tc>
          <w:tcPr>
            <w:tcW w:w="1428" w:type="dxa"/>
          </w:tcPr>
          <w:p>
            <w:pPr>
              <w:pStyle w:val="TableParagraph"/>
              <w:spacing w:line="165" w:lineRule="exact"/>
              <w:ind w:right="189"/>
              <w:jc w:val="right"/>
              <w:rPr>
                <w:sz w:val="15"/>
              </w:rPr>
            </w:pPr>
            <w:r>
              <w:rPr>
                <w:sz w:val="15"/>
              </w:rPr>
              <w:t>51,55</w:t>
            </w:r>
          </w:p>
        </w:tc>
        <w:tc>
          <w:tcPr>
            <w:tcW w:w="826" w:type="dxa"/>
          </w:tcPr>
          <w:p>
            <w:pPr>
              <w:pStyle w:val="TableParagraph"/>
              <w:spacing w:line="165" w:lineRule="exact"/>
              <w:ind w:right="62"/>
              <w:jc w:val="right"/>
              <w:rPr>
                <w:sz w:val="15"/>
              </w:rPr>
            </w:pPr>
            <w:r>
              <w:rPr>
                <w:sz w:val="15"/>
              </w:rPr>
              <w:t>52,59</w:t>
            </w:r>
          </w:p>
        </w:tc>
      </w:tr>
      <w:tr>
        <w:trPr>
          <w:trHeight w:val="184" w:hRule="atLeast"/>
        </w:trPr>
        <w:tc>
          <w:tcPr>
            <w:tcW w:w="1556" w:type="dxa"/>
          </w:tcPr>
          <w:p>
            <w:pPr>
              <w:pStyle w:val="TableParagraph"/>
              <w:spacing w:line="164" w:lineRule="exact"/>
              <w:ind w:left="58"/>
              <w:rPr>
                <w:sz w:val="15"/>
              </w:rPr>
            </w:pPr>
            <w:r>
              <w:rPr>
                <w:sz w:val="15"/>
              </w:rPr>
              <w:t>RPC</w:t>
            </w:r>
          </w:p>
        </w:tc>
        <w:tc>
          <w:tcPr>
            <w:tcW w:w="1428" w:type="dxa"/>
          </w:tcPr>
          <w:p>
            <w:pPr>
              <w:pStyle w:val="TableParagraph"/>
              <w:spacing w:line="164" w:lineRule="exact"/>
              <w:ind w:right="188"/>
              <w:jc w:val="right"/>
              <w:rPr>
                <w:sz w:val="15"/>
              </w:rPr>
            </w:pPr>
            <w:r>
              <w:rPr>
                <w:sz w:val="15"/>
              </w:rPr>
              <w:t>46</w:t>
            </w:r>
          </w:p>
        </w:tc>
        <w:tc>
          <w:tcPr>
            <w:tcW w:w="826" w:type="dxa"/>
          </w:tcPr>
          <w:p>
            <w:pPr>
              <w:pStyle w:val="TableParagraph"/>
              <w:spacing w:line="164" w:lineRule="exact"/>
              <w:ind w:right="61"/>
              <w:jc w:val="right"/>
              <w:rPr>
                <w:sz w:val="15"/>
              </w:rPr>
            </w:pPr>
            <w:r>
              <w:rPr>
                <w:sz w:val="15"/>
              </w:rPr>
              <w:t>49</w:t>
            </w:r>
          </w:p>
        </w:tc>
      </w:tr>
      <w:tr>
        <w:trPr>
          <w:trHeight w:val="184" w:hRule="atLeast"/>
        </w:trPr>
        <w:tc>
          <w:tcPr>
            <w:tcW w:w="1556" w:type="dxa"/>
          </w:tcPr>
          <w:p>
            <w:pPr>
              <w:pStyle w:val="TableParagraph"/>
              <w:spacing w:line="164" w:lineRule="exact"/>
              <w:ind w:left="58"/>
              <w:rPr>
                <w:sz w:val="15"/>
              </w:rPr>
            </w:pPr>
            <w:r>
              <w:rPr>
                <w:sz w:val="15"/>
              </w:rPr>
              <w:t>SODECAN</w:t>
            </w:r>
          </w:p>
        </w:tc>
        <w:tc>
          <w:tcPr>
            <w:tcW w:w="1428" w:type="dxa"/>
          </w:tcPr>
          <w:p>
            <w:pPr>
              <w:pStyle w:val="TableParagraph"/>
              <w:spacing w:line="164" w:lineRule="exact"/>
              <w:ind w:right="188"/>
              <w:jc w:val="right"/>
              <w:rPr>
                <w:sz w:val="15"/>
              </w:rPr>
            </w:pPr>
            <w:r>
              <w:rPr>
                <w:w w:val="100"/>
                <w:sz w:val="15"/>
              </w:rPr>
              <w:t>7</w:t>
            </w:r>
          </w:p>
        </w:tc>
        <w:tc>
          <w:tcPr>
            <w:tcW w:w="826" w:type="dxa"/>
          </w:tcPr>
          <w:p>
            <w:pPr>
              <w:pStyle w:val="TableParagraph"/>
              <w:spacing w:line="164" w:lineRule="exact"/>
              <w:ind w:right="61"/>
              <w:jc w:val="right"/>
              <w:rPr>
                <w:sz w:val="15"/>
              </w:rPr>
            </w:pPr>
            <w:r>
              <w:rPr>
                <w:w w:val="100"/>
                <w:sz w:val="15"/>
              </w:rPr>
              <w:t>7</w:t>
            </w:r>
          </w:p>
        </w:tc>
      </w:tr>
      <w:tr>
        <w:trPr>
          <w:trHeight w:val="167" w:hRule="atLeast"/>
        </w:trPr>
        <w:tc>
          <w:tcPr>
            <w:tcW w:w="1556" w:type="dxa"/>
          </w:tcPr>
          <w:p>
            <w:pPr>
              <w:pStyle w:val="TableParagraph"/>
              <w:spacing w:line="147" w:lineRule="exact"/>
              <w:ind w:left="58"/>
              <w:rPr>
                <w:sz w:val="15"/>
              </w:rPr>
            </w:pPr>
            <w:r>
              <w:rPr>
                <w:sz w:val="15"/>
              </w:rPr>
              <w:t>TVPC</w:t>
            </w:r>
          </w:p>
        </w:tc>
        <w:tc>
          <w:tcPr>
            <w:tcW w:w="1428" w:type="dxa"/>
          </w:tcPr>
          <w:p>
            <w:pPr>
              <w:pStyle w:val="TableParagraph"/>
              <w:spacing w:line="147" w:lineRule="exact"/>
              <w:ind w:right="189"/>
              <w:jc w:val="right"/>
              <w:rPr>
                <w:sz w:val="15"/>
              </w:rPr>
            </w:pPr>
            <w:r>
              <w:rPr>
                <w:sz w:val="15"/>
              </w:rPr>
              <w:t>404,55</w:t>
            </w:r>
          </w:p>
        </w:tc>
        <w:tc>
          <w:tcPr>
            <w:tcW w:w="826" w:type="dxa"/>
          </w:tcPr>
          <w:p>
            <w:pPr>
              <w:pStyle w:val="TableParagraph"/>
              <w:spacing w:line="147" w:lineRule="exact"/>
              <w:ind w:right="62"/>
              <w:jc w:val="right"/>
              <w:rPr>
                <w:sz w:val="15"/>
              </w:rPr>
            </w:pPr>
            <w:r>
              <w:rPr>
                <w:sz w:val="15"/>
              </w:rPr>
              <w:t>401,87</w:t>
            </w:r>
          </w:p>
        </w:tc>
      </w:tr>
    </w:tbl>
    <w:p>
      <w:pPr>
        <w:tabs>
          <w:tab w:pos="6210" w:val="left" w:leader="none"/>
          <w:tab w:pos="7163" w:val="left" w:leader="none"/>
        </w:tabs>
        <w:spacing w:before="4"/>
        <w:ind w:left="3749" w:right="0" w:firstLine="0"/>
        <w:jc w:val="left"/>
        <w:rPr>
          <w:sz w:val="15"/>
        </w:rPr>
      </w:pPr>
      <w:r>
        <w:rPr>
          <w:w w:val="100"/>
          <w:sz w:val="15"/>
          <w:u w:val="single"/>
        </w:rPr>
        <w:t> </w:t>
      </w:r>
      <w:r>
        <w:rPr>
          <w:spacing w:val="2"/>
          <w:sz w:val="15"/>
          <w:u w:val="single"/>
        </w:rPr>
        <w:t> </w:t>
      </w:r>
      <w:r>
        <w:rPr>
          <w:sz w:val="15"/>
          <w:u w:val="single"/>
        </w:rPr>
        <w:t>VISOCAN</w:t>
        <w:tab/>
        <w:t>60,93</w:t>
        <w:tab/>
        <w:t>64,36</w:t>
      </w:r>
      <w:r>
        <w:rPr>
          <w:spacing w:val="-10"/>
          <w:sz w:val="15"/>
          <w:u w:val="single"/>
        </w:rPr>
        <w:t> </w:t>
      </w:r>
    </w:p>
    <w:p>
      <w:pPr>
        <w:spacing w:before="12"/>
        <w:ind w:left="3766" w:right="0" w:firstLine="0"/>
        <w:jc w:val="left"/>
        <w:rPr>
          <w:sz w:val="13"/>
        </w:rPr>
      </w:pPr>
      <w:r>
        <w:rPr>
          <w:w w:val="105"/>
          <w:sz w:val="13"/>
        </w:rPr>
        <w:t>*Estas entidades no tienen personal</w:t>
      </w:r>
    </w:p>
    <w:p>
      <w:pPr>
        <w:pStyle w:val="BodyText"/>
        <w:spacing w:before="8"/>
        <w:rPr>
          <w:sz w:val="16"/>
        </w:rPr>
      </w:pPr>
    </w:p>
    <w:p>
      <w:pPr>
        <w:pStyle w:val="BodyText"/>
        <w:ind w:left="2693"/>
      </w:pPr>
      <w:r>
        <w:rPr/>
        <w:t>En materia de personal se ha de señalar lo siguiente:</w:t>
      </w:r>
    </w:p>
    <w:p>
      <w:pPr>
        <w:pStyle w:val="BodyText"/>
        <w:spacing w:before="8"/>
        <w:rPr>
          <w:sz w:val="16"/>
        </w:rPr>
      </w:pPr>
    </w:p>
    <w:p>
      <w:pPr>
        <w:pStyle w:val="Heading1"/>
        <w:numPr>
          <w:ilvl w:val="0"/>
          <w:numId w:val="71"/>
        </w:numPr>
        <w:tabs>
          <w:tab w:pos="2337" w:val="left" w:leader="none"/>
        </w:tabs>
        <w:spacing w:line="240" w:lineRule="auto" w:before="0" w:after="0"/>
        <w:ind w:left="2336" w:right="0" w:hanging="238"/>
        <w:jc w:val="left"/>
      </w:pPr>
      <w:r>
        <w:rPr/>
        <w:t>Contratación de personal:</w:t>
      </w:r>
    </w:p>
    <w:p>
      <w:pPr>
        <w:pStyle w:val="BodyText"/>
        <w:spacing w:before="8"/>
        <w:rPr>
          <w:b/>
          <w:sz w:val="16"/>
        </w:rPr>
      </w:pPr>
    </w:p>
    <w:p>
      <w:pPr>
        <w:pStyle w:val="BodyText"/>
        <w:spacing w:line="242" w:lineRule="auto"/>
        <w:ind w:left="2099" w:right="1145" w:firstLine="594"/>
        <w:jc w:val="both"/>
      </w:pPr>
      <w:r>
        <w:rPr/>
        <w:t>En relación con la contratación de personal por parte de los entes del sector público con presupuesto estimativo, la Ley 6/2021, de 28 de diciembre de Presupuestos generales de la CAC para 2022 establece una serie de requisitos analizados a continuación:</w:t>
      </w:r>
    </w:p>
    <w:p>
      <w:pPr>
        <w:pStyle w:val="BodyText"/>
        <w:spacing w:before="5"/>
        <w:rPr>
          <w:sz w:val="16"/>
        </w:rPr>
      </w:pPr>
    </w:p>
    <w:p>
      <w:pPr>
        <w:pStyle w:val="Heading1"/>
        <w:numPr>
          <w:ilvl w:val="0"/>
          <w:numId w:val="72"/>
        </w:numPr>
        <w:tabs>
          <w:tab w:pos="2456" w:val="left" w:leader="none"/>
        </w:tabs>
        <w:spacing w:line="240" w:lineRule="auto" w:before="1" w:after="0"/>
        <w:ind w:left="2455" w:right="1153" w:hanging="357"/>
        <w:jc w:val="left"/>
      </w:pPr>
      <w:r>
        <w:rPr/>
        <w:t>Contratación de personal fijo de plantilla con sujeción a la normativa básica del estado según lo establecido en el Art. 58.1. de la</w:t>
      </w:r>
      <w:r>
        <w:rPr>
          <w:spacing w:val="4"/>
        </w:rPr>
        <w:t> </w:t>
      </w:r>
      <w:r>
        <w:rPr/>
        <w:t>LPGCAC:</w:t>
      </w:r>
    </w:p>
    <w:p>
      <w:pPr>
        <w:pStyle w:val="BodyText"/>
        <w:spacing w:before="9"/>
        <w:rPr>
          <w:b/>
          <w:sz w:val="16"/>
        </w:rPr>
      </w:pPr>
    </w:p>
    <w:p>
      <w:pPr>
        <w:pStyle w:val="ListParagraph"/>
        <w:numPr>
          <w:ilvl w:val="1"/>
          <w:numId w:val="72"/>
        </w:numPr>
        <w:tabs>
          <w:tab w:pos="2694" w:val="left" w:leader="none"/>
        </w:tabs>
        <w:spacing w:line="240" w:lineRule="auto" w:before="0" w:after="0"/>
        <w:ind w:left="2693" w:right="1144" w:hanging="299"/>
        <w:jc w:val="both"/>
        <w:rPr>
          <w:sz w:val="20"/>
        </w:rPr>
      </w:pPr>
      <w:r>
        <w:rPr>
          <w:sz w:val="20"/>
        </w:rPr>
        <w:t>Todas las entidades que forman parte del sector público empresarial excepto GESTUR CANARIAS, PUERTOS, RPC, SODECAN, TVPC Y VISOCAN, han realizado contrataciones según lo establecido en el Art. 20 de la Ley 22/2021, de 28 de diciembre, de Presupuestos Generales del Estado para el año 2022, que establece que la tasa de reposición para este ejercicio es del 110</w:t>
      </w:r>
      <w:r>
        <w:rPr>
          <w:spacing w:val="10"/>
          <w:sz w:val="20"/>
        </w:rPr>
        <w:t> </w:t>
      </w:r>
      <w:r>
        <w:rPr>
          <w:sz w:val="20"/>
        </w:rPr>
        <w:t>%.</w:t>
      </w:r>
    </w:p>
    <w:p>
      <w:pPr>
        <w:pStyle w:val="BodyText"/>
        <w:spacing w:before="2"/>
        <w:rPr>
          <w:sz w:val="17"/>
        </w:rPr>
      </w:pPr>
    </w:p>
    <w:p>
      <w:pPr>
        <w:pStyle w:val="ListParagraph"/>
        <w:numPr>
          <w:ilvl w:val="1"/>
          <w:numId w:val="72"/>
        </w:numPr>
        <w:tabs>
          <w:tab w:pos="2694" w:val="left" w:leader="none"/>
        </w:tabs>
        <w:spacing w:line="242" w:lineRule="auto" w:before="1" w:after="0"/>
        <w:ind w:left="2693" w:right="1144" w:hanging="299"/>
        <w:jc w:val="both"/>
        <w:rPr>
          <w:sz w:val="20"/>
        </w:rPr>
      </w:pPr>
      <w:r>
        <w:rPr>
          <w:sz w:val="20"/>
        </w:rPr>
        <w:t>En el marco del proceso de estabilización de empleo temporal previsto en la Ley 20/2021, de 28 de diciembre, de medidas urgentes para la reducción de la temporalidad en el empleo público, todas las entidades del sector público empresarial han aprobado sus procesos de estabilización, excepto</w:t>
      </w:r>
      <w:r>
        <w:rPr>
          <w:spacing w:val="12"/>
          <w:sz w:val="20"/>
        </w:rPr>
        <w:t> </w:t>
      </w:r>
      <w:r>
        <w:rPr>
          <w:sz w:val="20"/>
        </w:rPr>
        <w:t>PROEXCA.</w:t>
      </w:r>
    </w:p>
    <w:p>
      <w:pPr>
        <w:pStyle w:val="BodyText"/>
        <w:spacing w:before="5"/>
        <w:rPr>
          <w:sz w:val="16"/>
        </w:rPr>
      </w:pPr>
    </w:p>
    <w:p>
      <w:pPr>
        <w:pStyle w:val="BodyText"/>
        <w:ind w:left="2099" w:right="1142" w:firstLine="594"/>
        <w:jc w:val="both"/>
      </w:pPr>
      <w:r>
        <w:rPr/>
        <w:t>En todos los casos relacionados con este tipo de contrataciones de personal se ha verificado el cumplimiento de lo establecido en el Art. 53.3.a) que requiere informe favorable por parte de la DGPP para la contratación por tiempo indefinido conforme a la normativa básica del Estado.</w:t>
      </w:r>
    </w:p>
    <w:p>
      <w:pPr>
        <w:pStyle w:val="BodyText"/>
        <w:spacing w:before="55"/>
        <w:ind w:left="7787"/>
        <w:jc w:val="center"/>
      </w:pPr>
      <w:r>
        <w:rPr/>
        <w:t>119</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53" name="image5.png"/>
                  <wp:cNvGraphicFramePr>
                    <a:graphicFrameLocks noChangeAspect="1"/>
                  </wp:cNvGraphicFramePr>
                  <a:graphic>
                    <a:graphicData uri="http://schemas.openxmlformats.org/drawingml/2006/picture">
                      <pic:pic>
                        <pic:nvPicPr>
                          <pic:cNvPr id="25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121/247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73"/>
        </w:numPr>
        <w:tabs>
          <w:tab w:pos="2456" w:val="left" w:leader="none"/>
        </w:tabs>
        <w:spacing w:line="240" w:lineRule="auto" w:before="61" w:after="0"/>
        <w:ind w:left="2455" w:right="1149" w:hanging="357"/>
        <w:jc w:val="both"/>
        <w:rPr>
          <w:b/>
          <w:sz w:val="20"/>
        </w:rPr>
      </w:pPr>
      <w:r>
        <w:rPr>
          <w:b/>
          <w:sz w:val="20"/>
        </w:rPr>
        <w:t>Contrataciones que resulten necesarias para cumplir con lo previsto en los instrumentos de planificación estratégica de las sociedades mercantiles públicas y entidades públicas empresariales, aprobados por el</w:t>
      </w:r>
      <w:r>
        <w:rPr>
          <w:b/>
          <w:spacing w:val="1"/>
          <w:sz w:val="20"/>
        </w:rPr>
        <w:t> </w:t>
      </w:r>
      <w:r>
        <w:rPr>
          <w:b/>
          <w:sz w:val="20"/>
        </w:rPr>
        <w:t>Gobierno.</w:t>
      </w:r>
    </w:p>
    <w:p>
      <w:pPr>
        <w:pStyle w:val="BodyText"/>
        <w:spacing w:before="1"/>
        <w:rPr>
          <w:b/>
          <w:sz w:val="17"/>
        </w:rPr>
      </w:pPr>
    </w:p>
    <w:p>
      <w:pPr>
        <w:pStyle w:val="BodyText"/>
        <w:spacing w:line="242" w:lineRule="auto"/>
        <w:ind w:left="2099" w:right="1141" w:firstLine="594"/>
        <w:jc w:val="both"/>
      </w:pPr>
      <w:r>
        <w:rPr/>
        <w:t>Conforme a lo establecido por el Art. 58.3.a) de la Ley de PGCAC, los instrumentos de planificación estratégica (en adelante, IPE) de este tipo de entidades habrán de aprobarse por el consejo de administración, y habrán de abarcar un período mínimo de tres años y garantizar la viabilidad económica y financiera de la entidad correspondiente. Los IPE se presentarán a la aprobación del Gobierno, a propuesta conjunta</w:t>
      </w:r>
      <w:r>
        <w:rPr>
          <w:spacing w:val="-6"/>
        </w:rPr>
        <w:t> </w:t>
      </w:r>
      <w:r>
        <w:rPr/>
        <w:t>de</w:t>
      </w:r>
      <w:r>
        <w:rPr>
          <w:spacing w:val="-5"/>
        </w:rPr>
        <w:t> </w:t>
      </w:r>
      <w:r>
        <w:rPr/>
        <w:t>la</w:t>
      </w:r>
      <w:r>
        <w:rPr>
          <w:spacing w:val="-6"/>
        </w:rPr>
        <w:t> </w:t>
      </w:r>
      <w:r>
        <w:rPr/>
        <w:t>Consejería</w:t>
      </w:r>
      <w:r>
        <w:rPr>
          <w:spacing w:val="-7"/>
        </w:rPr>
        <w:t> </w:t>
      </w:r>
      <w:r>
        <w:rPr/>
        <w:t>que</w:t>
      </w:r>
      <w:r>
        <w:rPr>
          <w:spacing w:val="-6"/>
        </w:rPr>
        <w:t> </w:t>
      </w:r>
      <w:r>
        <w:rPr/>
        <w:t>tenga</w:t>
      </w:r>
      <w:r>
        <w:rPr>
          <w:spacing w:val="-5"/>
        </w:rPr>
        <w:t> </w:t>
      </w:r>
      <w:r>
        <w:rPr/>
        <w:t>atribuida</w:t>
      </w:r>
      <w:r>
        <w:rPr>
          <w:spacing w:val="-6"/>
        </w:rPr>
        <w:t> </w:t>
      </w:r>
      <w:r>
        <w:rPr/>
        <w:t>la</w:t>
      </w:r>
      <w:r>
        <w:rPr>
          <w:spacing w:val="-7"/>
        </w:rPr>
        <w:t> </w:t>
      </w:r>
      <w:r>
        <w:rPr/>
        <w:t>tutela</w:t>
      </w:r>
      <w:r>
        <w:rPr>
          <w:spacing w:val="-6"/>
        </w:rPr>
        <w:t> </w:t>
      </w:r>
      <w:r>
        <w:rPr/>
        <w:t>funcional</w:t>
      </w:r>
      <w:r>
        <w:rPr>
          <w:spacing w:val="-5"/>
        </w:rPr>
        <w:t> </w:t>
      </w:r>
      <w:r>
        <w:rPr/>
        <w:t>de</w:t>
      </w:r>
      <w:r>
        <w:rPr>
          <w:spacing w:val="-6"/>
        </w:rPr>
        <w:t> </w:t>
      </w:r>
      <w:r>
        <w:rPr/>
        <w:t>la</w:t>
      </w:r>
      <w:r>
        <w:rPr>
          <w:spacing w:val="-7"/>
        </w:rPr>
        <w:t> </w:t>
      </w:r>
      <w:r>
        <w:rPr/>
        <w:t>entidad,</w:t>
      </w:r>
      <w:r>
        <w:rPr>
          <w:spacing w:val="-6"/>
        </w:rPr>
        <w:t> </w:t>
      </w:r>
      <w:r>
        <w:rPr/>
        <w:t>o</w:t>
      </w:r>
      <w:r>
        <w:rPr>
          <w:spacing w:val="-5"/>
        </w:rPr>
        <w:t> </w:t>
      </w:r>
      <w:r>
        <w:rPr/>
        <w:t>a</w:t>
      </w:r>
      <w:r>
        <w:rPr>
          <w:spacing w:val="-6"/>
        </w:rPr>
        <w:t> </w:t>
      </w:r>
      <w:r>
        <w:rPr/>
        <w:t>la</w:t>
      </w:r>
      <w:r>
        <w:rPr>
          <w:spacing w:val="-5"/>
        </w:rPr>
        <w:t> </w:t>
      </w:r>
      <w:r>
        <w:rPr/>
        <w:t>que esté adscrita, y la Consejería de Hacienda, previo informe favorable de la</w:t>
      </w:r>
      <w:r>
        <w:rPr>
          <w:spacing w:val="7"/>
        </w:rPr>
        <w:t> </w:t>
      </w:r>
      <w:r>
        <w:rPr/>
        <w:t>DGPP.</w:t>
      </w:r>
    </w:p>
    <w:p>
      <w:pPr>
        <w:pStyle w:val="BodyText"/>
        <w:spacing w:before="2"/>
        <w:rPr>
          <w:sz w:val="16"/>
        </w:rPr>
      </w:pPr>
    </w:p>
    <w:p>
      <w:pPr>
        <w:pStyle w:val="BodyText"/>
        <w:ind w:left="2099" w:right="1140" w:firstLine="594"/>
        <w:jc w:val="both"/>
      </w:pPr>
      <w:r>
        <w:rPr/>
        <w:t>Las sociedades que cuentan el citado Acuerdo de Gobierno en relación con sus IPE (y por tanto con todos los requerimientos exigidos en el citado Art. de la LGPCAC) son ASISTA, GESPLAN, GMR, HECANSA, ICDC, PROEXCA y PROMOTUR. Algunas de estas</w:t>
      </w:r>
    </w:p>
    <w:p>
      <w:pPr>
        <w:pStyle w:val="BodyText"/>
        <w:spacing w:before="5"/>
        <w:ind w:left="2099" w:right="1141"/>
        <w:jc w:val="both"/>
      </w:pPr>
      <w:r>
        <w:rPr/>
        <w:t>sociedades (en función de la fecha de aprobación de sus IPE) han procedido a la contratación de personal para cubrir las necesidades de sus IPE, verificando la inclusión del Informe favorable de la DGPP requerido.</w:t>
      </w:r>
    </w:p>
    <w:p>
      <w:pPr>
        <w:pStyle w:val="BodyText"/>
        <w:spacing w:before="11"/>
        <w:rPr>
          <w:sz w:val="16"/>
        </w:rPr>
      </w:pPr>
    </w:p>
    <w:p>
      <w:pPr>
        <w:pStyle w:val="Heading1"/>
        <w:numPr>
          <w:ilvl w:val="0"/>
          <w:numId w:val="73"/>
        </w:numPr>
        <w:tabs>
          <w:tab w:pos="2458" w:val="left" w:leader="none"/>
        </w:tabs>
        <w:spacing w:line="240" w:lineRule="auto" w:before="0" w:after="0"/>
        <w:ind w:left="2457" w:right="0" w:hanging="359"/>
        <w:jc w:val="left"/>
      </w:pPr>
      <w:r>
        <w:rPr/>
        <w:t>Contratación de personal</w:t>
      </w:r>
      <w:r>
        <w:rPr>
          <w:spacing w:val="1"/>
        </w:rPr>
        <w:t> </w:t>
      </w:r>
      <w:r>
        <w:rPr/>
        <w:t>temporal.</w:t>
      </w:r>
    </w:p>
    <w:p>
      <w:pPr>
        <w:pStyle w:val="BodyText"/>
        <w:spacing w:before="10"/>
        <w:rPr>
          <w:b/>
          <w:sz w:val="16"/>
        </w:rPr>
      </w:pPr>
    </w:p>
    <w:p>
      <w:pPr>
        <w:pStyle w:val="BodyText"/>
        <w:spacing w:line="242" w:lineRule="auto"/>
        <w:ind w:left="2099" w:right="1143" w:firstLine="594"/>
        <w:jc w:val="both"/>
      </w:pPr>
      <w:r>
        <w:rPr/>
        <w:t>El Art. 58.2 de la LGPCAC establece que durante el ejercicio 2022, los entes del sector público con presupuesto estimativo no podrán contratar personal temporal, salvo en casos excepcionales y para cubrir necesidades urgentes e inaplazables, recogiendo, asimismo, qué se entiende por carácter excepcional e inaplazable.</w:t>
      </w:r>
    </w:p>
    <w:p>
      <w:pPr>
        <w:pStyle w:val="BodyText"/>
        <w:spacing w:before="3"/>
        <w:rPr>
          <w:sz w:val="16"/>
        </w:rPr>
      </w:pPr>
    </w:p>
    <w:p>
      <w:pPr>
        <w:pStyle w:val="BodyText"/>
        <w:spacing w:before="1"/>
        <w:ind w:left="2099" w:right="1144"/>
        <w:jc w:val="both"/>
      </w:pPr>
      <w:r>
        <w:rPr/>
        <w:t>Todas las entidades del sector público empresarial han contratado personal temporal, excepto PROMOTUR, SODECAN Y PUERTOS.</w:t>
      </w:r>
    </w:p>
    <w:p>
      <w:pPr>
        <w:pStyle w:val="BodyText"/>
        <w:spacing w:before="9"/>
        <w:rPr>
          <w:sz w:val="16"/>
        </w:rPr>
      </w:pPr>
    </w:p>
    <w:p>
      <w:pPr>
        <w:pStyle w:val="BodyText"/>
        <w:ind w:left="2099" w:right="1141" w:firstLine="594"/>
        <w:jc w:val="both"/>
      </w:pPr>
      <w:r>
        <w:rPr/>
        <w:t>Todas las sociedades que han utilizado esta modalidad de contratación han justificado el carácter inaplazable y excepcional de las mismas. Asimismo, las entidades ASISTA, GMR, GRAFCAN, GSC, HECANSA, RPC, TVPC y VISOCAN, han comunicado los</w:t>
      </w:r>
    </w:p>
    <w:p>
      <w:pPr>
        <w:pStyle w:val="BodyText"/>
        <w:spacing w:line="242" w:lineRule="auto" w:before="5"/>
        <w:ind w:left="2099" w:right="1140"/>
        <w:jc w:val="both"/>
      </w:pPr>
      <w:r>
        <w:rPr/>
        <w:t>trabajadores que han sido contratados forma temporal con anterioridad. A este respecto, las entidades deben tener en cuenta, la no repetición de contratos con los mismos</w:t>
      </w:r>
      <w:r>
        <w:rPr>
          <w:spacing w:val="-9"/>
        </w:rPr>
        <w:t> </w:t>
      </w:r>
      <w:r>
        <w:rPr/>
        <w:t>trabajadores</w:t>
      </w:r>
      <w:r>
        <w:rPr>
          <w:spacing w:val="-8"/>
        </w:rPr>
        <w:t> </w:t>
      </w:r>
      <w:r>
        <w:rPr/>
        <w:t>para</w:t>
      </w:r>
      <w:r>
        <w:rPr>
          <w:spacing w:val="-7"/>
        </w:rPr>
        <w:t> </w:t>
      </w:r>
      <w:r>
        <w:rPr/>
        <w:t>no</w:t>
      </w:r>
      <w:r>
        <w:rPr>
          <w:spacing w:val="-7"/>
        </w:rPr>
        <w:t> </w:t>
      </w:r>
      <w:r>
        <w:rPr/>
        <w:t>incurrir</w:t>
      </w:r>
      <w:r>
        <w:rPr>
          <w:spacing w:val="-7"/>
        </w:rPr>
        <w:t> </w:t>
      </w:r>
      <w:r>
        <w:rPr/>
        <w:t>en</w:t>
      </w:r>
      <w:r>
        <w:rPr>
          <w:spacing w:val="-7"/>
        </w:rPr>
        <w:t> </w:t>
      </w:r>
      <w:r>
        <w:rPr/>
        <w:t>causa</w:t>
      </w:r>
      <w:r>
        <w:rPr>
          <w:spacing w:val="-10"/>
        </w:rPr>
        <w:t> </w:t>
      </w:r>
      <w:r>
        <w:rPr/>
        <w:t>de</w:t>
      </w:r>
      <w:r>
        <w:rPr>
          <w:spacing w:val="-9"/>
        </w:rPr>
        <w:t> </w:t>
      </w:r>
      <w:r>
        <w:rPr/>
        <w:t>demanda</w:t>
      </w:r>
      <w:r>
        <w:rPr>
          <w:spacing w:val="-7"/>
        </w:rPr>
        <w:t> </w:t>
      </w:r>
      <w:r>
        <w:rPr/>
        <w:t>por</w:t>
      </w:r>
      <w:r>
        <w:rPr>
          <w:spacing w:val="-7"/>
        </w:rPr>
        <w:t> </w:t>
      </w:r>
      <w:r>
        <w:rPr/>
        <w:t>fijeza</w:t>
      </w:r>
      <w:r>
        <w:rPr>
          <w:spacing w:val="-9"/>
        </w:rPr>
        <w:t> </w:t>
      </w:r>
      <w:r>
        <w:rPr/>
        <w:t>por</w:t>
      </w:r>
      <w:r>
        <w:rPr>
          <w:spacing w:val="-10"/>
        </w:rPr>
        <w:t> </w:t>
      </w:r>
      <w:r>
        <w:rPr/>
        <w:t>parte</w:t>
      </w:r>
      <w:r>
        <w:rPr>
          <w:spacing w:val="-7"/>
        </w:rPr>
        <w:t> </w:t>
      </w:r>
      <w:r>
        <w:rPr/>
        <w:t>de</w:t>
      </w:r>
      <w:r>
        <w:rPr>
          <w:spacing w:val="-7"/>
        </w:rPr>
        <w:t> </w:t>
      </w:r>
      <w:r>
        <w:rPr/>
        <w:t>estos, consecuencia de la contratación repetitiva de una misma persona (Art. 58.4, 2º párrafo LGPCAC). Se debe mencionar que para las sociedades GESPLAN y PROEXCA no consta información a este</w:t>
      </w:r>
      <w:r>
        <w:rPr>
          <w:spacing w:val="2"/>
        </w:rPr>
        <w:t> </w:t>
      </w:r>
      <w:r>
        <w:rPr/>
        <w:t>respecto.</w:t>
      </w:r>
    </w:p>
    <w:p>
      <w:pPr>
        <w:pStyle w:val="BodyText"/>
        <w:spacing w:before="4"/>
        <w:rPr>
          <w:sz w:val="16"/>
        </w:rPr>
      </w:pPr>
    </w:p>
    <w:p>
      <w:pPr>
        <w:pStyle w:val="BodyText"/>
        <w:ind w:left="2099" w:right="1142" w:firstLine="594"/>
        <w:jc w:val="both"/>
      </w:pPr>
      <w:r>
        <w:rPr/>
        <w:t>La DGPP emitió informe solicitando a las sociedades: GMR, GRAFCAN, GSC, HECANSA, ITC Y PROEXCA, que en este tipo de contrataciones, adecúen su actividad contractual laboral a la normativa vigente (dado que desaparecen algunas</w:t>
      </w:r>
      <w:r>
        <w:rPr>
          <w:spacing w:val="9"/>
        </w:rPr>
        <w:t> </w:t>
      </w:r>
      <w:r>
        <w:rPr/>
        <w:t>modalidades</w:t>
      </w:r>
    </w:p>
    <w:p>
      <w:pPr>
        <w:pStyle w:val="BodyText"/>
        <w:spacing w:before="62"/>
        <w:ind w:right="1140"/>
        <w:jc w:val="right"/>
      </w:pPr>
      <w:r>
        <w:rPr/>
        <w:t>120</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55" name="image5.png"/>
                  <wp:cNvGraphicFramePr>
                    <a:graphicFrameLocks noChangeAspect="1"/>
                  </wp:cNvGraphicFramePr>
                  <a:graphic>
                    <a:graphicData uri="http://schemas.openxmlformats.org/drawingml/2006/picture">
                      <pic:pic>
                        <pic:nvPicPr>
                          <pic:cNvPr id="25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122/247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099" w:right="510"/>
      </w:pPr>
      <w:r>
        <w:rPr/>
        <w:t>de contratación utilizadas por las sociedades) so pena de incurrir en infracción, tanto administrativa como del orden social.</w:t>
      </w:r>
    </w:p>
    <w:p>
      <w:pPr>
        <w:pStyle w:val="BodyText"/>
        <w:spacing w:before="10"/>
        <w:rPr>
          <w:sz w:val="16"/>
        </w:rPr>
      </w:pPr>
    </w:p>
    <w:p>
      <w:pPr>
        <w:pStyle w:val="Heading1"/>
        <w:numPr>
          <w:ilvl w:val="0"/>
          <w:numId w:val="66"/>
        </w:numPr>
        <w:tabs>
          <w:tab w:pos="2458" w:val="left" w:leader="none"/>
        </w:tabs>
        <w:spacing w:line="240" w:lineRule="auto" w:before="0" w:after="0"/>
        <w:ind w:left="2457" w:right="0" w:hanging="359"/>
        <w:jc w:val="left"/>
      </w:pPr>
      <w:r>
        <w:rPr/>
        <w:t>Otros.</w:t>
      </w:r>
    </w:p>
    <w:p>
      <w:pPr>
        <w:pStyle w:val="BodyText"/>
        <w:spacing w:before="10"/>
        <w:rPr>
          <w:b/>
          <w:sz w:val="16"/>
        </w:rPr>
      </w:pPr>
    </w:p>
    <w:p>
      <w:pPr>
        <w:pStyle w:val="BodyText"/>
        <w:ind w:left="2099" w:right="1145" w:firstLine="594"/>
        <w:jc w:val="both"/>
      </w:pPr>
      <w:r>
        <w:rPr/>
        <w:t>Finalmente, se debe mencionar que las entidades PUERTOS y SODECAN solamente realizaron contrataciones como consecuencia del cumplimiento de sentencias judiciales, que les obligaban a reconocer la fijeza de determinado personal.</w:t>
      </w:r>
    </w:p>
    <w:p>
      <w:pPr>
        <w:pStyle w:val="BodyText"/>
        <w:spacing w:before="11"/>
        <w:rPr>
          <w:sz w:val="16"/>
        </w:rPr>
      </w:pPr>
    </w:p>
    <w:p>
      <w:pPr>
        <w:pStyle w:val="Heading1"/>
        <w:numPr>
          <w:ilvl w:val="0"/>
          <w:numId w:val="71"/>
        </w:numPr>
        <w:tabs>
          <w:tab w:pos="2337" w:val="left" w:leader="none"/>
        </w:tabs>
        <w:spacing w:line="240" w:lineRule="auto" w:before="0" w:after="0"/>
        <w:ind w:left="2336" w:right="0" w:hanging="238"/>
        <w:jc w:val="left"/>
      </w:pPr>
      <w:r>
        <w:rPr/>
        <w:t>Cumplimiento de los requisitos de</w:t>
      </w:r>
      <w:r>
        <w:rPr>
          <w:spacing w:val="-3"/>
        </w:rPr>
        <w:t> </w:t>
      </w:r>
      <w:r>
        <w:rPr/>
        <w:t>contratación:</w:t>
      </w:r>
    </w:p>
    <w:p>
      <w:pPr>
        <w:pStyle w:val="BodyText"/>
        <w:spacing w:before="8"/>
        <w:rPr>
          <w:b/>
          <w:sz w:val="16"/>
        </w:rPr>
      </w:pPr>
    </w:p>
    <w:p>
      <w:pPr>
        <w:pStyle w:val="ListParagraph"/>
        <w:numPr>
          <w:ilvl w:val="1"/>
          <w:numId w:val="71"/>
        </w:numPr>
        <w:tabs>
          <w:tab w:pos="2337" w:val="left" w:leader="none"/>
        </w:tabs>
        <w:spacing w:line="240" w:lineRule="auto" w:before="0" w:after="0"/>
        <w:ind w:left="2336" w:right="0" w:hanging="238"/>
        <w:jc w:val="left"/>
        <w:rPr>
          <w:b/>
          <w:sz w:val="20"/>
        </w:rPr>
      </w:pPr>
      <w:r>
        <w:rPr>
          <w:b/>
          <w:sz w:val="20"/>
        </w:rPr>
        <w:t>Artículo 58.4. de la LGPCAC:</w:t>
      </w:r>
    </w:p>
    <w:p>
      <w:pPr>
        <w:pStyle w:val="BodyText"/>
        <w:spacing w:before="8"/>
        <w:rPr>
          <w:b/>
          <w:sz w:val="16"/>
        </w:rPr>
      </w:pPr>
    </w:p>
    <w:p>
      <w:pPr>
        <w:pStyle w:val="BodyText"/>
        <w:ind w:left="2099" w:right="1146" w:firstLine="594"/>
        <w:jc w:val="both"/>
      </w:pPr>
      <w:r>
        <w:rPr/>
        <w:t>“La</w:t>
      </w:r>
      <w:r>
        <w:rPr>
          <w:spacing w:val="-5"/>
        </w:rPr>
        <w:t> </w:t>
      </w:r>
      <w:r>
        <w:rPr/>
        <w:t>selección</w:t>
      </w:r>
      <w:r>
        <w:rPr>
          <w:spacing w:val="-5"/>
        </w:rPr>
        <w:t> </w:t>
      </w:r>
      <w:r>
        <w:rPr/>
        <w:t>del</w:t>
      </w:r>
      <w:r>
        <w:rPr>
          <w:spacing w:val="-6"/>
        </w:rPr>
        <w:t> </w:t>
      </w:r>
      <w:r>
        <w:rPr/>
        <w:t>personal</w:t>
      </w:r>
      <w:r>
        <w:rPr>
          <w:spacing w:val="-4"/>
        </w:rPr>
        <w:t> </w:t>
      </w:r>
      <w:r>
        <w:rPr/>
        <w:t>deberá</w:t>
      </w:r>
      <w:r>
        <w:rPr>
          <w:spacing w:val="-6"/>
        </w:rPr>
        <w:t> </w:t>
      </w:r>
      <w:r>
        <w:rPr/>
        <w:t>garantizar</w:t>
      </w:r>
      <w:r>
        <w:rPr>
          <w:spacing w:val="-6"/>
        </w:rPr>
        <w:t> </w:t>
      </w:r>
      <w:r>
        <w:rPr/>
        <w:t>el</w:t>
      </w:r>
      <w:r>
        <w:rPr>
          <w:spacing w:val="-4"/>
        </w:rPr>
        <w:t> </w:t>
      </w:r>
      <w:r>
        <w:rPr/>
        <w:t>cumplimiento</w:t>
      </w:r>
      <w:r>
        <w:rPr>
          <w:spacing w:val="-6"/>
        </w:rPr>
        <w:t> </w:t>
      </w:r>
      <w:r>
        <w:rPr/>
        <w:t>de</w:t>
      </w:r>
      <w:r>
        <w:rPr>
          <w:spacing w:val="-4"/>
        </w:rPr>
        <w:t> </w:t>
      </w:r>
      <w:r>
        <w:rPr/>
        <w:t>los</w:t>
      </w:r>
      <w:r>
        <w:rPr>
          <w:spacing w:val="-5"/>
        </w:rPr>
        <w:t> </w:t>
      </w:r>
      <w:r>
        <w:rPr/>
        <w:t>principios</w:t>
      </w:r>
      <w:r>
        <w:rPr>
          <w:spacing w:val="-6"/>
        </w:rPr>
        <w:t> </w:t>
      </w:r>
      <w:r>
        <w:rPr/>
        <w:t>de publicidad, concurrencia, igualdad, mérito y capacidad”.</w:t>
      </w:r>
    </w:p>
    <w:p>
      <w:pPr>
        <w:pStyle w:val="BodyText"/>
        <w:spacing w:before="10"/>
        <w:rPr>
          <w:sz w:val="16"/>
        </w:rPr>
      </w:pPr>
    </w:p>
    <w:p>
      <w:pPr>
        <w:pStyle w:val="BodyText"/>
        <w:ind w:left="2099" w:right="1142" w:firstLine="594"/>
        <w:jc w:val="both"/>
      </w:pPr>
      <w:r>
        <w:rPr/>
        <w:t>Excepto las entidades GSC, HECANSA, PROEXCA y VISOCAN, de las que no consta nada en los escritos enviados, y las sociedades PUERTOS Y SODECAN, que no han procedido a la contratación de personal en el ejercicio 2022; el resto de las entidades han confirmado en sus escritos de remisión de información, la forma de cumplimiento de este requisito, si bien el alcance de este informe de fiscalización no incluye la obtención de la evidencia de los aspectos confirmados por las mismas.</w:t>
      </w:r>
    </w:p>
    <w:p>
      <w:pPr>
        <w:pStyle w:val="BodyText"/>
        <w:spacing w:before="4"/>
        <w:rPr>
          <w:sz w:val="17"/>
        </w:rPr>
      </w:pPr>
    </w:p>
    <w:p>
      <w:pPr>
        <w:pStyle w:val="Heading1"/>
        <w:numPr>
          <w:ilvl w:val="1"/>
          <w:numId w:val="71"/>
        </w:numPr>
        <w:tabs>
          <w:tab w:pos="2337" w:val="left" w:leader="none"/>
        </w:tabs>
        <w:spacing w:line="240" w:lineRule="auto" w:before="0" w:after="0"/>
        <w:ind w:left="2336" w:right="0" w:hanging="238"/>
        <w:jc w:val="left"/>
      </w:pPr>
      <w:r>
        <w:rPr/>
        <w:t>Artículo 58.5. de la LGPCAC:</w:t>
      </w:r>
    </w:p>
    <w:p>
      <w:pPr>
        <w:pStyle w:val="BodyText"/>
        <w:spacing w:before="10"/>
        <w:rPr>
          <w:b/>
          <w:sz w:val="16"/>
        </w:rPr>
      </w:pPr>
    </w:p>
    <w:p>
      <w:pPr>
        <w:pStyle w:val="BodyText"/>
        <w:ind w:left="2099" w:right="1146" w:firstLine="594"/>
        <w:jc w:val="both"/>
      </w:pPr>
      <w:r>
        <w:rPr/>
        <w:t>“En el plazo de los quince días siguientes a la formalización de todo contrato de trabajo, se deberá dar cuenta a la Dirección General de Planificación y Presupuesto de la causa de la contratación, la modalidad contractual, la duración prevista, el convenio colectivo aplicable, en su caso, y las retribuciones, desglosadas por</w:t>
      </w:r>
      <w:r>
        <w:rPr>
          <w:spacing w:val="8"/>
        </w:rPr>
        <w:t> </w:t>
      </w:r>
      <w:r>
        <w:rPr/>
        <w:t>conceptos”</w:t>
      </w:r>
    </w:p>
    <w:p>
      <w:pPr>
        <w:pStyle w:val="BodyText"/>
        <w:spacing w:before="1"/>
        <w:rPr>
          <w:sz w:val="17"/>
        </w:rPr>
      </w:pPr>
    </w:p>
    <w:p>
      <w:pPr>
        <w:pStyle w:val="BodyText"/>
        <w:ind w:left="2099" w:right="1142" w:firstLine="594"/>
        <w:jc w:val="both"/>
      </w:pPr>
      <w:r>
        <w:rPr/>
        <w:t>Salvo las entidades PUERTOS y SODECAN, que en el ejercicio 2022 no han procedido a la contratación de personal y VISOCAN, para la que no se enviado información</w:t>
      </w:r>
      <w:r>
        <w:rPr>
          <w:spacing w:val="-9"/>
        </w:rPr>
        <w:t> </w:t>
      </w:r>
      <w:r>
        <w:rPr/>
        <w:t>al</w:t>
      </w:r>
      <w:r>
        <w:rPr>
          <w:spacing w:val="-10"/>
        </w:rPr>
        <w:t> </w:t>
      </w:r>
      <w:r>
        <w:rPr/>
        <w:t>respecto,</w:t>
      </w:r>
      <w:r>
        <w:rPr>
          <w:spacing w:val="-9"/>
        </w:rPr>
        <w:t> </w:t>
      </w:r>
      <w:r>
        <w:rPr/>
        <w:t>ni</w:t>
      </w:r>
      <w:r>
        <w:rPr>
          <w:spacing w:val="-10"/>
        </w:rPr>
        <w:t> </w:t>
      </w:r>
      <w:r>
        <w:rPr/>
        <w:t>por</w:t>
      </w:r>
      <w:r>
        <w:rPr>
          <w:spacing w:val="-9"/>
        </w:rPr>
        <w:t> </w:t>
      </w:r>
      <w:r>
        <w:rPr/>
        <w:t>la</w:t>
      </w:r>
      <w:r>
        <w:rPr>
          <w:spacing w:val="-10"/>
        </w:rPr>
        <w:t> </w:t>
      </w:r>
      <w:r>
        <w:rPr/>
        <w:t>DGPP,</w:t>
      </w:r>
      <w:r>
        <w:rPr>
          <w:spacing w:val="-10"/>
        </w:rPr>
        <w:t> </w:t>
      </w:r>
      <w:r>
        <w:rPr/>
        <w:t>ni</w:t>
      </w:r>
      <w:r>
        <w:rPr>
          <w:spacing w:val="-11"/>
        </w:rPr>
        <w:t> </w:t>
      </w:r>
      <w:r>
        <w:rPr/>
        <w:t>por</w:t>
      </w:r>
      <w:r>
        <w:rPr>
          <w:spacing w:val="-10"/>
        </w:rPr>
        <w:t> </w:t>
      </w:r>
      <w:r>
        <w:rPr/>
        <w:t>la</w:t>
      </w:r>
      <w:r>
        <w:rPr>
          <w:spacing w:val="-9"/>
        </w:rPr>
        <w:t> </w:t>
      </w:r>
      <w:r>
        <w:rPr/>
        <w:t>propia</w:t>
      </w:r>
      <w:r>
        <w:rPr>
          <w:spacing w:val="-10"/>
        </w:rPr>
        <w:t> </w:t>
      </w:r>
      <w:r>
        <w:rPr/>
        <w:t>entidad,</w:t>
      </w:r>
      <w:r>
        <w:rPr>
          <w:spacing w:val="-8"/>
        </w:rPr>
        <w:t> </w:t>
      </w:r>
      <w:r>
        <w:rPr/>
        <w:t>el</w:t>
      </w:r>
      <w:r>
        <w:rPr>
          <w:spacing w:val="-7"/>
        </w:rPr>
        <w:t> </w:t>
      </w:r>
      <w:r>
        <w:rPr/>
        <w:t>resto</w:t>
      </w:r>
      <w:r>
        <w:rPr>
          <w:spacing w:val="-10"/>
        </w:rPr>
        <w:t> </w:t>
      </w:r>
      <w:r>
        <w:rPr/>
        <w:t>de</w:t>
      </w:r>
      <w:r>
        <w:rPr>
          <w:spacing w:val="-11"/>
        </w:rPr>
        <w:t> </w:t>
      </w:r>
      <w:r>
        <w:rPr/>
        <w:t>las</w:t>
      </w:r>
      <w:r>
        <w:rPr>
          <w:spacing w:val="-8"/>
        </w:rPr>
        <w:t> </w:t>
      </w:r>
      <w:r>
        <w:rPr/>
        <w:t>entidades han remitido a la DGPP información relacionada con las contrataciones realizadas en el ejercicio</w:t>
      </w:r>
      <w:r>
        <w:rPr>
          <w:spacing w:val="1"/>
        </w:rPr>
        <w:t> </w:t>
      </w:r>
      <w:r>
        <w:rPr/>
        <w:t>2022.</w:t>
      </w:r>
    </w:p>
    <w:p>
      <w:pPr>
        <w:pStyle w:val="BodyText"/>
        <w:spacing w:before="3"/>
        <w:rPr>
          <w:sz w:val="17"/>
        </w:rPr>
      </w:pPr>
    </w:p>
    <w:p>
      <w:pPr>
        <w:pStyle w:val="Heading1"/>
        <w:numPr>
          <w:ilvl w:val="0"/>
          <w:numId w:val="71"/>
        </w:numPr>
        <w:tabs>
          <w:tab w:pos="2337" w:val="left" w:leader="none"/>
        </w:tabs>
        <w:spacing w:line="240" w:lineRule="auto" w:before="0" w:after="0"/>
        <w:ind w:left="2336" w:right="0" w:hanging="238"/>
        <w:jc w:val="left"/>
      </w:pPr>
      <w:r>
        <w:rPr/>
        <w:t>Requisitos para la modificación de las condiciones retributivas (Art. 45</w:t>
      </w:r>
      <w:r>
        <w:rPr>
          <w:spacing w:val="4"/>
        </w:rPr>
        <w:t> </w:t>
      </w:r>
      <w:r>
        <w:rPr/>
        <w:t>LPGCAC):</w:t>
      </w:r>
    </w:p>
    <w:p>
      <w:pPr>
        <w:pStyle w:val="BodyText"/>
        <w:spacing w:before="8"/>
        <w:rPr>
          <w:b/>
          <w:sz w:val="16"/>
        </w:rPr>
      </w:pPr>
    </w:p>
    <w:p>
      <w:pPr>
        <w:pStyle w:val="BodyText"/>
        <w:ind w:left="2099" w:right="1142" w:firstLine="594"/>
        <w:jc w:val="both"/>
      </w:pPr>
      <w:r>
        <w:rPr/>
        <w:t>El</w:t>
      </w:r>
      <w:r>
        <w:rPr>
          <w:spacing w:val="-2"/>
        </w:rPr>
        <w:t> </w:t>
      </w:r>
      <w:r>
        <w:rPr/>
        <w:t>apartado</w:t>
      </w:r>
      <w:r>
        <w:rPr>
          <w:spacing w:val="-3"/>
        </w:rPr>
        <w:t> </w:t>
      </w:r>
      <w:r>
        <w:rPr/>
        <w:t>1</w:t>
      </w:r>
      <w:r>
        <w:rPr>
          <w:spacing w:val="-4"/>
        </w:rPr>
        <w:t> </w:t>
      </w:r>
      <w:r>
        <w:rPr/>
        <w:t>del</w:t>
      </w:r>
      <w:r>
        <w:rPr>
          <w:spacing w:val="-1"/>
        </w:rPr>
        <w:t> </w:t>
      </w:r>
      <w:r>
        <w:rPr/>
        <w:t>Art.</w:t>
      </w:r>
      <w:r>
        <w:rPr>
          <w:spacing w:val="-5"/>
        </w:rPr>
        <w:t> </w:t>
      </w:r>
      <w:r>
        <w:rPr/>
        <w:t>45,</w:t>
      </w:r>
      <w:r>
        <w:rPr>
          <w:spacing w:val="-5"/>
        </w:rPr>
        <w:t> </w:t>
      </w:r>
      <w:r>
        <w:rPr/>
        <w:t>recoge: “En</w:t>
      </w:r>
      <w:r>
        <w:rPr>
          <w:spacing w:val="-3"/>
        </w:rPr>
        <w:t> </w:t>
      </w:r>
      <w:r>
        <w:rPr/>
        <w:t>2022,</w:t>
      </w:r>
      <w:r>
        <w:rPr>
          <w:spacing w:val="-3"/>
        </w:rPr>
        <w:t> </w:t>
      </w:r>
      <w:r>
        <w:rPr/>
        <w:t>se</w:t>
      </w:r>
      <w:r>
        <w:rPr>
          <w:spacing w:val="-4"/>
        </w:rPr>
        <w:t> </w:t>
      </w:r>
      <w:r>
        <w:rPr/>
        <w:t>necesitará</w:t>
      </w:r>
      <w:r>
        <w:rPr>
          <w:spacing w:val="-1"/>
        </w:rPr>
        <w:t> </w:t>
      </w:r>
      <w:r>
        <w:rPr/>
        <w:t>informe</w:t>
      </w:r>
      <w:r>
        <w:rPr>
          <w:spacing w:val="-3"/>
        </w:rPr>
        <w:t> </w:t>
      </w:r>
      <w:r>
        <w:rPr/>
        <w:t>favorable</w:t>
      </w:r>
      <w:r>
        <w:rPr>
          <w:spacing w:val="-2"/>
        </w:rPr>
        <w:t> </w:t>
      </w:r>
      <w:r>
        <w:rPr/>
        <w:t>de</w:t>
      </w:r>
      <w:r>
        <w:rPr>
          <w:spacing w:val="-1"/>
        </w:rPr>
        <w:t> </w:t>
      </w:r>
      <w:r>
        <w:rPr/>
        <w:t>la Dirección General de Planificación y Presupuesto antes de determinar, o modificar, las condiciones retributivas del personal de los entes del sector público con presupuesto estimativo”.  Las  entidades  públicas  empresariales  que  se  citan  a  continuación </w:t>
      </w:r>
      <w:r>
        <w:rPr>
          <w:spacing w:val="8"/>
        </w:rPr>
        <w:t> </w:t>
      </w:r>
      <w:r>
        <w:rPr/>
        <w:t>han</w:t>
      </w:r>
    </w:p>
    <w:p>
      <w:pPr>
        <w:pStyle w:val="BodyText"/>
        <w:spacing w:before="11"/>
        <w:rPr>
          <w:sz w:val="14"/>
        </w:rPr>
      </w:pPr>
    </w:p>
    <w:p>
      <w:pPr>
        <w:pStyle w:val="BodyText"/>
        <w:spacing w:before="60"/>
        <w:ind w:left="7787"/>
        <w:jc w:val="center"/>
      </w:pPr>
      <w:r>
        <w:rPr/>
        <w:t>121</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57" name="image5.png"/>
                  <wp:cNvGraphicFramePr>
                    <a:graphicFrameLocks noChangeAspect="1"/>
                  </wp:cNvGraphicFramePr>
                  <a:graphic>
                    <a:graphicData uri="http://schemas.openxmlformats.org/drawingml/2006/picture">
                      <pic:pic>
                        <pic:nvPicPr>
                          <pic:cNvPr id="25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123/247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line="242" w:lineRule="auto" w:before="61"/>
        <w:ind w:left="2099" w:right="1142"/>
        <w:jc w:val="both"/>
      </w:pPr>
      <w:r>
        <w:rPr/>
        <w:t>solicitado</w:t>
      </w:r>
      <w:r>
        <w:rPr>
          <w:spacing w:val="-4"/>
        </w:rPr>
        <w:t> </w:t>
      </w:r>
      <w:r>
        <w:rPr/>
        <w:t>la</w:t>
      </w:r>
      <w:r>
        <w:rPr>
          <w:spacing w:val="-3"/>
        </w:rPr>
        <w:t> </w:t>
      </w:r>
      <w:r>
        <w:rPr/>
        <w:t>modificación</w:t>
      </w:r>
      <w:r>
        <w:rPr>
          <w:spacing w:val="-4"/>
        </w:rPr>
        <w:t> </w:t>
      </w:r>
      <w:r>
        <w:rPr/>
        <w:t>de</w:t>
      </w:r>
      <w:r>
        <w:rPr>
          <w:spacing w:val="-3"/>
        </w:rPr>
        <w:t> </w:t>
      </w:r>
      <w:r>
        <w:rPr/>
        <w:t>sus</w:t>
      </w:r>
      <w:r>
        <w:rPr>
          <w:spacing w:val="-4"/>
        </w:rPr>
        <w:t> </w:t>
      </w:r>
      <w:r>
        <w:rPr/>
        <w:t>condiciones</w:t>
      </w:r>
      <w:r>
        <w:rPr>
          <w:spacing w:val="-4"/>
        </w:rPr>
        <w:t> </w:t>
      </w:r>
      <w:r>
        <w:rPr/>
        <w:t>retributivas</w:t>
      </w:r>
      <w:r>
        <w:rPr>
          <w:spacing w:val="-4"/>
        </w:rPr>
        <w:t> </w:t>
      </w:r>
      <w:r>
        <w:rPr/>
        <w:t>amparadas</w:t>
      </w:r>
      <w:r>
        <w:rPr>
          <w:spacing w:val="-4"/>
        </w:rPr>
        <w:t> </w:t>
      </w:r>
      <w:r>
        <w:rPr/>
        <w:t>en</w:t>
      </w:r>
      <w:r>
        <w:rPr>
          <w:spacing w:val="-2"/>
        </w:rPr>
        <w:t> </w:t>
      </w:r>
      <w:r>
        <w:rPr/>
        <w:t>el</w:t>
      </w:r>
      <w:r>
        <w:rPr>
          <w:spacing w:val="-6"/>
        </w:rPr>
        <w:t> </w:t>
      </w:r>
      <w:r>
        <w:rPr/>
        <w:t>apartado</w:t>
      </w:r>
      <w:r>
        <w:rPr>
          <w:spacing w:val="-3"/>
        </w:rPr>
        <w:t> </w:t>
      </w:r>
      <w:r>
        <w:rPr/>
        <w:t>2.d) del</w:t>
      </w:r>
      <w:r>
        <w:rPr>
          <w:spacing w:val="-4"/>
        </w:rPr>
        <w:t> </w:t>
      </w:r>
      <w:r>
        <w:rPr/>
        <w:t>citado</w:t>
      </w:r>
      <w:r>
        <w:rPr>
          <w:spacing w:val="-3"/>
        </w:rPr>
        <w:t> </w:t>
      </w:r>
      <w:r>
        <w:rPr/>
        <w:t>Art.</w:t>
      </w:r>
      <w:r>
        <w:rPr>
          <w:spacing w:val="-5"/>
        </w:rPr>
        <w:t> </w:t>
      </w:r>
      <w:r>
        <w:rPr/>
        <w:t>45</w:t>
      </w:r>
      <w:r>
        <w:rPr>
          <w:spacing w:val="-2"/>
        </w:rPr>
        <w:t> </w:t>
      </w:r>
      <w:r>
        <w:rPr/>
        <w:t>“Otorgamiento</w:t>
      </w:r>
      <w:r>
        <w:rPr>
          <w:spacing w:val="-3"/>
        </w:rPr>
        <w:t> </w:t>
      </w:r>
      <w:r>
        <w:rPr/>
        <w:t>de</w:t>
      </w:r>
      <w:r>
        <w:rPr>
          <w:spacing w:val="-3"/>
        </w:rPr>
        <w:t> </w:t>
      </w:r>
      <w:r>
        <w:rPr/>
        <w:t>cualquier</w:t>
      </w:r>
      <w:r>
        <w:rPr>
          <w:spacing w:val="-4"/>
        </w:rPr>
        <w:t> </w:t>
      </w:r>
      <w:r>
        <w:rPr/>
        <w:t>clase</w:t>
      </w:r>
      <w:r>
        <w:rPr>
          <w:spacing w:val="-3"/>
        </w:rPr>
        <w:t> </w:t>
      </w:r>
      <w:r>
        <w:rPr/>
        <w:t>de</w:t>
      </w:r>
      <w:r>
        <w:rPr>
          <w:spacing w:val="-4"/>
        </w:rPr>
        <w:t> </w:t>
      </w:r>
      <w:r>
        <w:rPr/>
        <w:t>mejora</w:t>
      </w:r>
      <w:r>
        <w:rPr>
          <w:spacing w:val="-3"/>
        </w:rPr>
        <w:t> </w:t>
      </w:r>
      <w:r>
        <w:rPr/>
        <w:t>salarial</w:t>
      </w:r>
      <w:r>
        <w:rPr>
          <w:spacing w:val="-6"/>
        </w:rPr>
        <w:t> </w:t>
      </w:r>
      <w:r>
        <w:rPr/>
        <w:t>de</w:t>
      </w:r>
      <w:r>
        <w:rPr>
          <w:spacing w:val="-5"/>
        </w:rPr>
        <w:t> </w:t>
      </w:r>
      <w:r>
        <w:rPr/>
        <w:t>tipo</w:t>
      </w:r>
      <w:r>
        <w:rPr>
          <w:spacing w:val="-6"/>
        </w:rPr>
        <w:t> </w:t>
      </w:r>
      <w:r>
        <w:rPr/>
        <w:t>unilateral, con carácter individual o colectivo, aunque se derive de la aplicación extensiva del régimen retributivo de los funcionarios</w:t>
      </w:r>
      <w:r>
        <w:rPr>
          <w:spacing w:val="1"/>
        </w:rPr>
        <w:t> </w:t>
      </w:r>
      <w:r>
        <w:rPr/>
        <w:t>públicos”.</w:t>
      </w:r>
    </w:p>
    <w:p>
      <w:pPr>
        <w:pStyle w:val="BodyText"/>
        <w:spacing w:before="5"/>
        <w:rPr>
          <w:sz w:val="16"/>
        </w:rPr>
      </w:pPr>
    </w:p>
    <w:p>
      <w:pPr>
        <w:pStyle w:val="BodyText"/>
        <w:ind w:left="2099" w:right="1141" w:firstLine="594"/>
        <w:jc w:val="both"/>
      </w:pPr>
      <w:r>
        <w:rPr/>
        <w:t>El importe de incremento de la masa salarial solicitado asciende a un 2 % respecto</w:t>
      </w:r>
      <w:r>
        <w:rPr>
          <w:spacing w:val="-2"/>
        </w:rPr>
        <w:t> </w:t>
      </w:r>
      <w:r>
        <w:rPr/>
        <w:t>a</w:t>
      </w:r>
      <w:r>
        <w:rPr>
          <w:spacing w:val="-2"/>
        </w:rPr>
        <w:t> </w:t>
      </w:r>
      <w:r>
        <w:rPr/>
        <w:t>la</w:t>
      </w:r>
      <w:r>
        <w:rPr>
          <w:spacing w:val="-1"/>
        </w:rPr>
        <w:t> </w:t>
      </w:r>
      <w:r>
        <w:rPr/>
        <w:t>establecida</w:t>
      </w:r>
      <w:r>
        <w:rPr>
          <w:spacing w:val="-4"/>
        </w:rPr>
        <w:t> </w:t>
      </w:r>
      <w:r>
        <w:rPr/>
        <w:t>en el</w:t>
      </w:r>
      <w:r>
        <w:rPr>
          <w:spacing w:val="-4"/>
        </w:rPr>
        <w:t> </w:t>
      </w:r>
      <w:r>
        <w:rPr/>
        <w:t>año</w:t>
      </w:r>
      <w:r>
        <w:rPr>
          <w:spacing w:val="-1"/>
        </w:rPr>
        <w:t> </w:t>
      </w:r>
      <w:r>
        <w:rPr/>
        <w:t>2021,</w:t>
      </w:r>
      <w:r>
        <w:rPr>
          <w:spacing w:val="-3"/>
        </w:rPr>
        <w:t> </w:t>
      </w:r>
      <w:r>
        <w:rPr/>
        <w:t>según</w:t>
      </w:r>
      <w:r>
        <w:rPr>
          <w:spacing w:val="-1"/>
        </w:rPr>
        <w:t> </w:t>
      </w:r>
      <w:r>
        <w:rPr/>
        <w:t>se</w:t>
      </w:r>
      <w:r>
        <w:rPr>
          <w:spacing w:val="-5"/>
        </w:rPr>
        <w:t> </w:t>
      </w:r>
      <w:r>
        <w:rPr/>
        <w:t>establece</w:t>
      </w:r>
      <w:r>
        <w:rPr>
          <w:spacing w:val="-2"/>
        </w:rPr>
        <w:t> </w:t>
      </w:r>
      <w:r>
        <w:rPr/>
        <w:t>en</w:t>
      </w:r>
      <w:r>
        <w:rPr>
          <w:spacing w:val="-1"/>
        </w:rPr>
        <w:t> </w:t>
      </w:r>
      <w:r>
        <w:rPr/>
        <w:t>la</w:t>
      </w:r>
      <w:r>
        <w:rPr>
          <w:spacing w:val="-4"/>
        </w:rPr>
        <w:t> </w:t>
      </w:r>
      <w:r>
        <w:rPr/>
        <w:t>Ley</w:t>
      </w:r>
      <w:r>
        <w:rPr>
          <w:spacing w:val="-3"/>
        </w:rPr>
        <w:t> </w:t>
      </w:r>
      <w:r>
        <w:rPr/>
        <w:t>22/2021,</w:t>
      </w:r>
      <w:r>
        <w:rPr>
          <w:spacing w:val="-3"/>
        </w:rPr>
        <w:t> </w:t>
      </w:r>
      <w:r>
        <w:rPr/>
        <w:t>de</w:t>
      </w:r>
      <w:r>
        <w:rPr>
          <w:spacing w:val="-4"/>
        </w:rPr>
        <w:t> </w:t>
      </w:r>
      <w:r>
        <w:rPr/>
        <w:t>28</w:t>
      </w:r>
      <w:r>
        <w:rPr>
          <w:spacing w:val="-2"/>
        </w:rPr>
        <w:t> </w:t>
      </w:r>
      <w:r>
        <w:rPr/>
        <w:t>de diciembre, de Presupuestos Generales del Estado (con efectos retroactivos a 1 de enero de</w:t>
      </w:r>
      <w:r>
        <w:rPr>
          <w:spacing w:val="20"/>
        </w:rPr>
        <w:t> </w:t>
      </w:r>
      <w:r>
        <w:rPr/>
        <w:t>2022),</w:t>
      </w:r>
      <w:r>
        <w:rPr>
          <w:spacing w:val="19"/>
        </w:rPr>
        <w:t> </w:t>
      </w:r>
      <w:r>
        <w:rPr/>
        <w:t>considerándose</w:t>
      </w:r>
      <w:r>
        <w:rPr>
          <w:spacing w:val="20"/>
        </w:rPr>
        <w:t> </w:t>
      </w:r>
      <w:r>
        <w:rPr/>
        <w:t>éste,</w:t>
      </w:r>
      <w:r>
        <w:rPr>
          <w:spacing w:val="20"/>
        </w:rPr>
        <w:t> </w:t>
      </w:r>
      <w:r>
        <w:rPr/>
        <w:t>como</w:t>
      </w:r>
      <w:r>
        <w:rPr>
          <w:spacing w:val="20"/>
        </w:rPr>
        <w:t> </w:t>
      </w:r>
      <w:r>
        <w:rPr/>
        <w:t>el</w:t>
      </w:r>
      <w:r>
        <w:rPr>
          <w:spacing w:val="21"/>
        </w:rPr>
        <w:t> </w:t>
      </w:r>
      <w:r>
        <w:rPr/>
        <w:t>límite</w:t>
      </w:r>
      <w:r>
        <w:rPr>
          <w:spacing w:val="20"/>
        </w:rPr>
        <w:t> </w:t>
      </w:r>
      <w:r>
        <w:rPr/>
        <w:t>máximo,</w:t>
      </w:r>
      <w:r>
        <w:rPr>
          <w:spacing w:val="20"/>
        </w:rPr>
        <w:t> </w:t>
      </w:r>
      <w:r>
        <w:rPr/>
        <w:t>según</w:t>
      </w:r>
      <w:r>
        <w:rPr>
          <w:spacing w:val="20"/>
        </w:rPr>
        <w:t> </w:t>
      </w:r>
      <w:r>
        <w:rPr/>
        <w:t>se</w:t>
      </w:r>
      <w:r>
        <w:rPr>
          <w:spacing w:val="20"/>
        </w:rPr>
        <w:t> </w:t>
      </w:r>
      <w:r>
        <w:rPr/>
        <w:t>establece</w:t>
      </w:r>
      <w:r>
        <w:rPr>
          <w:spacing w:val="20"/>
        </w:rPr>
        <w:t> </w:t>
      </w:r>
      <w:r>
        <w:rPr/>
        <w:t>en</w:t>
      </w:r>
      <w:r>
        <w:rPr>
          <w:spacing w:val="22"/>
        </w:rPr>
        <w:t> </w:t>
      </w:r>
      <w:r>
        <w:rPr/>
        <w:t>el</w:t>
      </w:r>
      <w:r>
        <w:rPr>
          <w:spacing w:val="26"/>
        </w:rPr>
        <w:t> </w:t>
      </w:r>
      <w:r>
        <w:rPr/>
        <w:t>Art.</w:t>
      </w:r>
    </w:p>
    <w:p>
      <w:pPr>
        <w:pStyle w:val="BodyText"/>
        <w:spacing w:before="8"/>
        <w:ind w:left="2099" w:right="1146"/>
        <w:jc w:val="both"/>
      </w:pPr>
      <w:r>
        <w:rPr/>
        <w:t>44.1 de la LGPCAC. Con posterioridad, el Real Decreto Ley 18/2022, de 18 de octubre por el que se aprueban, entre otros, medidas en materia de retribuciones del personal al servicio del sector público, preceptúa que: “con efectos 1 de enero de 2022, las retribuciones del personal al servicio del Sector Público experimentarán un incremento adicional del 1,5 % respecto a las vigentes a 31 de diciembre de 2021.</w:t>
      </w:r>
    </w:p>
    <w:p>
      <w:pPr>
        <w:pStyle w:val="BodyText"/>
        <w:spacing w:before="2"/>
        <w:rPr>
          <w:sz w:val="17"/>
        </w:rPr>
      </w:pPr>
    </w:p>
    <w:p>
      <w:pPr>
        <w:pStyle w:val="BodyText"/>
        <w:ind w:left="2099" w:right="1147" w:firstLine="594"/>
        <w:jc w:val="both"/>
      </w:pPr>
      <w:r>
        <w:rPr/>
        <w:t>La DGPP emitió Informe favorable para todas las entidades relacionado con los incrementos salariales citados, excepto para GESTUR CANARIAS y PROEXCA.</w:t>
      </w:r>
    </w:p>
    <w:p>
      <w:pPr>
        <w:pStyle w:val="BodyText"/>
        <w:spacing w:before="10"/>
        <w:rPr>
          <w:sz w:val="16"/>
        </w:rPr>
      </w:pPr>
    </w:p>
    <w:p>
      <w:pPr>
        <w:pStyle w:val="BodyText"/>
        <w:spacing w:line="242" w:lineRule="auto"/>
        <w:ind w:left="2099" w:right="1142" w:firstLine="594"/>
        <w:jc w:val="both"/>
      </w:pPr>
      <w:r>
        <w:rPr/>
        <w:t>En el caso de PROEXCA, los informes favorables emitidos por la DGPP están relacionados con las retribuciones de cinco puestos de director de red exterior y los contratos a formalizar para la cobertura de los mismos, y con la actualización de las retribuciones del puesto de asistenta de dirección en la oficina de PROEXCA en Agadir, cubierto con un contrato por tiempo indefinido sujeto a la legislación del Reino de Marruecos.</w:t>
      </w:r>
    </w:p>
    <w:p>
      <w:pPr>
        <w:pStyle w:val="BodyText"/>
        <w:spacing w:before="4"/>
        <w:rPr>
          <w:sz w:val="16"/>
        </w:rPr>
      </w:pPr>
    </w:p>
    <w:p>
      <w:pPr>
        <w:pStyle w:val="BodyText"/>
        <w:ind w:left="2099" w:right="1141" w:firstLine="594"/>
        <w:jc w:val="both"/>
      </w:pPr>
      <w:r>
        <w:rPr/>
        <w:t>En relación con los Informes exigidos por el Art. 45, GRAFCAN solicita el restablecimiento de las retribuciones minoradas en 5 % en el año 2010, con arreglo al acuerdo colectivo pactado el 12 de diciembre de 2022. La DGPP evacúa Informe al respecto, en enero de 2023. En dicho Informe se recogen los requisitos cumplidos por la misma para el citado restablecimiento del 5</w:t>
      </w:r>
      <w:r>
        <w:rPr>
          <w:spacing w:val="-1"/>
        </w:rPr>
        <w:t> </w:t>
      </w:r>
      <w:r>
        <w:rPr/>
        <w:t>%.</w:t>
      </w:r>
    </w:p>
    <w:p>
      <w:pPr>
        <w:pStyle w:val="BodyText"/>
        <w:spacing w:before="2"/>
        <w:rPr>
          <w:sz w:val="17"/>
        </w:rPr>
      </w:pPr>
    </w:p>
    <w:p>
      <w:pPr>
        <w:pStyle w:val="BodyText"/>
        <w:spacing w:line="242" w:lineRule="auto"/>
        <w:ind w:left="2099" w:right="1142" w:firstLine="594"/>
        <w:jc w:val="both"/>
      </w:pPr>
      <w:r>
        <w:rPr/>
        <w:t>Por</w:t>
      </w:r>
      <w:r>
        <w:rPr>
          <w:spacing w:val="-6"/>
        </w:rPr>
        <w:t> </w:t>
      </w:r>
      <w:r>
        <w:rPr/>
        <w:t>otro</w:t>
      </w:r>
      <w:r>
        <w:rPr>
          <w:spacing w:val="-5"/>
        </w:rPr>
        <w:t> </w:t>
      </w:r>
      <w:r>
        <w:rPr/>
        <w:t>lado,</w:t>
      </w:r>
      <w:r>
        <w:rPr>
          <w:spacing w:val="-6"/>
        </w:rPr>
        <w:t> </w:t>
      </w:r>
      <w:r>
        <w:rPr/>
        <w:t>la</w:t>
      </w:r>
      <w:r>
        <w:rPr>
          <w:spacing w:val="-5"/>
        </w:rPr>
        <w:t> </w:t>
      </w:r>
      <w:r>
        <w:rPr/>
        <w:t>DGPP</w:t>
      </w:r>
      <w:r>
        <w:rPr>
          <w:spacing w:val="-5"/>
        </w:rPr>
        <w:t> </w:t>
      </w:r>
      <w:r>
        <w:rPr/>
        <w:t>emite</w:t>
      </w:r>
      <w:r>
        <w:rPr>
          <w:spacing w:val="-5"/>
        </w:rPr>
        <w:t> </w:t>
      </w:r>
      <w:r>
        <w:rPr/>
        <w:t>Informe,</w:t>
      </w:r>
      <w:r>
        <w:rPr>
          <w:spacing w:val="-7"/>
        </w:rPr>
        <w:t> </w:t>
      </w:r>
      <w:r>
        <w:rPr/>
        <w:t>en</w:t>
      </w:r>
      <w:r>
        <w:rPr>
          <w:spacing w:val="-5"/>
        </w:rPr>
        <w:t> </w:t>
      </w:r>
      <w:r>
        <w:rPr/>
        <w:t>abril</w:t>
      </w:r>
      <w:r>
        <w:rPr>
          <w:spacing w:val="-5"/>
        </w:rPr>
        <w:t> </w:t>
      </w:r>
      <w:r>
        <w:rPr/>
        <w:t>del</w:t>
      </w:r>
      <w:r>
        <w:rPr>
          <w:spacing w:val="-8"/>
        </w:rPr>
        <w:t> </w:t>
      </w:r>
      <w:r>
        <w:rPr/>
        <w:t>2022,</w:t>
      </w:r>
      <w:r>
        <w:rPr>
          <w:spacing w:val="-5"/>
        </w:rPr>
        <w:t> </w:t>
      </w:r>
      <w:r>
        <w:rPr/>
        <w:t>sobre</w:t>
      </w:r>
      <w:r>
        <w:rPr>
          <w:spacing w:val="-6"/>
        </w:rPr>
        <w:t> </w:t>
      </w:r>
      <w:r>
        <w:rPr/>
        <w:t>el</w:t>
      </w:r>
      <w:r>
        <w:rPr>
          <w:spacing w:val="-7"/>
        </w:rPr>
        <w:t> </w:t>
      </w:r>
      <w:r>
        <w:rPr/>
        <w:t>acuerdo</w:t>
      </w:r>
      <w:r>
        <w:rPr>
          <w:spacing w:val="-5"/>
        </w:rPr>
        <w:t> </w:t>
      </w:r>
      <w:r>
        <w:rPr/>
        <w:t>relativo al restablecimiento de retribuciones minoradas alcanzado el 10 de noviembre de 2021, en conciliación judicial para la entidad GSC. En relación con este tema, con fecha 29 de diciembre de 2022 el gobierno acuerda la autorización de la recuperación de las retribuciones del 5 % minoradas en 2010 del personal de la citada entidad. Se emiten Ordenes de los Consejeros y directores que van a proceder a realizar las aportaciones dinerarias necesarias para la citada recuperación de las retribuciones minoradas en los términos del acuerdo del acto de conciliación judicial de 10 de noviembre de</w:t>
      </w:r>
      <w:r>
        <w:rPr>
          <w:spacing w:val="13"/>
        </w:rPr>
        <w:t> </w:t>
      </w:r>
      <w:r>
        <w:rPr/>
        <w:t>2021.</w:t>
      </w:r>
    </w:p>
    <w:p>
      <w:pPr>
        <w:pStyle w:val="BodyText"/>
      </w:pPr>
    </w:p>
    <w:p>
      <w:pPr>
        <w:pStyle w:val="BodyText"/>
      </w:pPr>
    </w:p>
    <w:p>
      <w:pPr>
        <w:pStyle w:val="BodyText"/>
        <w:spacing w:before="6"/>
        <w:rPr>
          <w:sz w:val="17"/>
        </w:rPr>
      </w:pPr>
    </w:p>
    <w:p>
      <w:pPr>
        <w:pStyle w:val="BodyText"/>
        <w:ind w:left="7787"/>
        <w:jc w:val="center"/>
      </w:pPr>
      <w:r>
        <w:rPr/>
        <w:t>122</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59" name="image5.png"/>
                  <wp:cNvGraphicFramePr>
                    <a:graphicFrameLocks noChangeAspect="1"/>
                  </wp:cNvGraphicFramePr>
                  <a:graphic>
                    <a:graphicData uri="http://schemas.openxmlformats.org/drawingml/2006/picture">
                      <pic:pic>
                        <pic:nvPicPr>
                          <pic:cNvPr id="26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124/247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74"/>
        </w:numPr>
        <w:tabs>
          <w:tab w:pos="2337" w:val="left" w:leader="none"/>
        </w:tabs>
        <w:spacing w:line="240" w:lineRule="auto" w:before="61" w:after="0"/>
        <w:ind w:left="2336" w:right="0" w:hanging="238"/>
        <w:jc w:val="left"/>
        <w:rPr>
          <w:b/>
          <w:sz w:val="20"/>
        </w:rPr>
      </w:pPr>
      <w:r>
        <w:rPr>
          <w:b/>
          <w:sz w:val="20"/>
        </w:rPr>
        <w:t>Determinación de la masa salarial y cuantías retributivas (Art. 44.6 y 44.7</w:t>
      </w:r>
      <w:r>
        <w:rPr>
          <w:b/>
          <w:spacing w:val="-30"/>
          <w:sz w:val="20"/>
        </w:rPr>
        <w:t> </w:t>
      </w:r>
      <w:r>
        <w:rPr>
          <w:b/>
          <w:sz w:val="20"/>
        </w:rPr>
        <w:t>LPGCAC):</w:t>
      </w:r>
    </w:p>
    <w:p>
      <w:pPr>
        <w:pStyle w:val="BodyText"/>
        <w:spacing w:before="8"/>
        <w:rPr>
          <w:b/>
          <w:sz w:val="16"/>
        </w:rPr>
      </w:pPr>
    </w:p>
    <w:p>
      <w:pPr>
        <w:pStyle w:val="BodyText"/>
        <w:spacing w:line="242" w:lineRule="auto"/>
        <w:ind w:left="2099" w:right="1144" w:firstLine="594"/>
        <w:jc w:val="both"/>
      </w:pPr>
      <w:r>
        <w:rPr/>
        <w:t>La única sociedad que solicita a la DGPP la determinación de la masa salarial, en los términos exigidos por la LGPCAC ha sido GRAFCAN. Este Informe ha sido emitido por la DGPP con fecha 17 de marzo de 2022.</w:t>
      </w:r>
    </w:p>
    <w:p>
      <w:pPr>
        <w:pStyle w:val="BodyText"/>
        <w:spacing w:before="6"/>
        <w:rPr>
          <w:sz w:val="16"/>
        </w:rPr>
      </w:pPr>
    </w:p>
    <w:p>
      <w:pPr>
        <w:pStyle w:val="BodyText"/>
        <w:ind w:left="2099" w:right="1144" w:firstLine="594"/>
        <w:jc w:val="both"/>
      </w:pPr>
      <w:r>
        <w:rPr/>
        <w:t>En el resto de las entidades, no ha se ha solicitado dicho Informe, por no darse las circunstancias requeridas en relación con las negociaciones de sus Convenios Colectivos.</w:t>
      </w:r>
    </w:p>
    <w:p>
      <w:pPr>
        <w:pStyle w:val="BodyText"/>
        <w:spacing w:before="12"/>
        <w:rPr>
          <w:sz w:val="16"/>
        </w:rPr>
      </w:pPr>
    </w:p>
    <w:p>
      <w:pPr>
        <w:pStyle w:val="BodyText"/>
        <w:ind w:left="2099" w:right="1142" w:firstLine="594"/>
        <w:jc w:val="both"/>
      </w:pPr>
      <w:r>
        <w:rPr/>
        <w:t>Por otro lado, en relación con lo establecido en el Art. 44.7 de la LGPCAC según el cual:” las entidades que integran el sector público con presupuesto estimativo deberán enviar a la DGPP una relación, desglosada por conceptos, de las cuantías de las retribuciones percibidas, durante el año 2021, por el personal con contrato por tiempo indefinido,</w:t>
      </w:r>
      <w:r>
        <w:rPr>
          <w:spacing w:val="-6"/>
        </w:rPr>
        <w:t> </w:t>
      </w:r>
      <w:r>
        <w:rPr/>
        <w:t>así</w:t>
      </w:r>
      <w:r>
        <w:rPr>
          <w:spacing w:val="-7"/>
        </w:rPr>
        <w:t> </w:t>
      </w:r>
      <w:r>
        <w:rPr/>
        <w:t>como</w:t>
      </w:r>
      <w:r>
        <w:rPr>
          <w:spacing w:val="-6"/>
        </w:rPr>
        <w:t> </w:t>
      </w:r>
      <w:r>
        <w:rPr/>
        <w:t>el</w:t>
      </w:r>
      <w:r>
        <w:rPr>
          <w:spacing w:val="-7"/>
        </w:rPr>
        <w:t> </w:t>
      </w:r>
      <w:r>
        <w:rPr/>
        <w:t>personal</w:t>
      </w:r>
      <w:r>
        <w:rPr>
          <w:spacing w:val="-6"/>
        </w:rPr>
        <w:t> </w:t>
      </w:r>
      <w:r>
        <w:rPr/>
        <w:t>al</w:t>
      </w:r>
      <w:r>
        <w:rPr>
          <w:spacing w:val="-5"/>
        </w:rPr>
        <w:t> </w:t>
      </w:r>
      <w:r>
        <w:rPr/>
        <w:t>que</w:t>
      </w:r>
      <w:r>
        <w:rPr>
          <w:spacing w:val="-6"/>
        </w:rPr>
        <w:t> </w:t>
      </w:r>
      <w:r>
        <w:rPr/>
        <w:t>se</w:t>
      </w:r>
      <w:r>
        <w:rPr>
          <w:spacing w:val="-7"/>
        </w:rPr>
        <w:t> </w:t>
      </w:r>
      <w:r>
        <w:rPr/>
        <w:t>refiere</w:t>
      </w:r>
      <w:r>
        <w:rPr>
          <w:spacing w:val="-8"/>
        </w:rPr>
        <w:t> </w:t>
      </w:r>
      <w:r>
        <w:rPr/>
        <w:t>el</w:t>
      </w:r>
      <w:r>
        <w:rPr>
          <w:spacing w:val="-5"/>
        </w:rPr>
        <w:t> </w:t>
      </w:r>
      <w:r>
        <w:rPr/>
        <w:t>apartado</w:t>
      </w:r>
      <w:r>
        <w:rPr>
          <w:spacing w:val="-6"/>
        </w:rPr>
        <w:t> </w:t>
      </w:r>
      <w:r>
        <w:rPr/>
        <w:t>2</w:t>
      </w:r>
      <w:r>
        <w:rPr>
          <w:spacing w:val="-7"/>
        </w:rPr>
        <w:t> </w:t>
      </w:r>
      <w:r>
        <w:rPr/>
        <w:t>del</w:t>
      </w:r>
      <w:r>
        <w:rPr>
          <w:spacing w:val="-6"/>
        </w:rPr>
        <w:t> </w:t>
      </w:r>
      <w:r>
        <w:rPr/>
        <w:t>citado</w:t>
      </w:r>
      <w:r>
        <w:rPr>
          <w:spacing w:val="-7"/>
        </w:rPr>
        <w:t> </w:t>
      </w:r>
      <w:r>
        <w:rPr/>
        <w:t>artículo”,</w:t>
      </w:r>
      <w:r>
        <w:rPr>
          <w:spacing w:val="-8"/>
        </w:rPr>
        <w:t> </w:t>
      </w:r>
      <w:r>
        <w:rPr/>
        <w:t>todas las entidades han cumplido con dicho requerimiento excepto GRAFCAN (por lo explicado en el párrafo anterior), GSC y PROMOTUR.</w:t>
      </w:r>
    </w:p>
    <w:p>
      <w:pPr>
        <w:pStyle w:val="BodyText"/>
        <w:spacing w:before="6"/>
        <w:rPr>
          <w:sz w:val="17"/>
        </w:rPr>
      </w:pPr>
    </w:p>
    <w:p>
      <w:pPr>
        <w:pStyle w:val="Heading1"/>
        <w:numPr>
          <w:ilvl w:val="0"/>
          <w:numId w:val="74"/>
        </w:numPr>
        <w:tabs>
          <w:tab w:pos="2337" w:val="left" w:leader="none"/>
        </w:tabs>
        <w:spacing w:line="240" w:lineRule="auto" w:before="0" w:after="0"/>
        <w:ind w:left="2336" w:right="0" w:hanging="238"/>
        <w:jc w:val="left"/>
      </w:pPr>
      <w:r>
        <w:rPr/>
        <w:t>Personal de</w:t>
      </w:r>
      <w:r>
        <w:rPr>
          <w:spacing w:val="-1"/>
        </w:rPr>
        <w:t> </w:t>
      </w:r>
      <w:r>
        <w:rPr/>
        <w:t>directivo.</w:t>
      </w:r>
    </w:p>
    <w:p>
      <w:pPr>
        <w:pStyle w:val="BodyText"/>
        <w:spacing w:before="7"/>
        <w:rPr>
          <w:b/>
          <w:sz w:val="16"/>
        </w:rPr>
      </w:pPr>
    </w:p>
    <w:p>
      <w:pPr>
        <w:pStyle w:val="ListParagraph"/>
        <w:numPr>
          <w:ilvl w:val="1"/>
          <w:numId w:val="74"/>
        </w:numPr>
        <w:tabs>
          <w:tab w:pos="2337" w:val="left" w:leader="none"/>
        </w:tabs>
        <w:spacing w:line="240" w:lineRule="auto" w:before="1" w:after="0"/>
        <w:ind w:left="2336" w:right="0" w:hanging="238"/>
        <w:jc w:val="left"/>
        <w:rPr>
          <w:b/>
          <w:sz w:val="20"/>
        </w:rPr>
      </w:pPr>
      <w:r>
        <w:rPr>
          <w:b/>
          <w:sz w:val="20"/>
        </w:rPr>
        <w:t>Contratación de personal</w:t>
      </w:r>
      <w:r>
        <w:rPr>
          <w:b/>
          <w:spacing w:val="1"/>
          <w:sz w:val="20"/>
        </w:rPr>
        <w:t> </w:t>
      </w:r>
      <w:r>
        <w:rPr>
          <w:b/>
          <w:sz w:val="20"/>
        </w:rPr>
        <w:t>Directivo.</w:t>
      </w:r>
    </w:p>
    <w:p>
      <w:pPr>
        <w:pStyle w:val="BodyText"/>
        <w:spacing w:before="8"/>
        <w:rPr>
          <w:b/>
          <w:sz w:val="16"/>
        </w:rPr>
      </w:pPr>
    </w:p>
    <w:p>
      <w:pPr>
        <w:pStyle w:val="BodyText"/>
        <w:spacing w:line="242" w:lineRule="auto"/>
        <w:ind w:left="2099" w:right="1141" w:firstLine="594"/>
        <w:jc w:val="both"/>
      </w:pPr>
      <w:r>
        <w:rPr/>
        <w:t>Con fecha 6 de octubre de 2022 se produce la renuncia del Director-Gerente de ASISTA CANARIAS con efectos 15 de enero de 2023. Con fecha 19 de diciembre de 2022se publica la convocatoria en el BOC. A la fecha de emisión del presente Informe, ya se ha contratado un nuevo Director-Gerente, cuyo contrato de alta dirección se ha formalizado con efectos a partir del 1 de abril de 2023.</w:t>
      </w:r>
    </w:p>
    <w:p>
      <w:pPr>
        <w:pStyle w:val="BodyText"/>
        <w:spacing w:before="4"/>
        <w:rPr>
          <w:sz w:val="16"/>
        </w:rPr>
      </w:pPr>
    </w:p>
    <w:p>
      <w:pPr>
        <w:pStyle w:val="BodyText"/>
        <w:ind w:left="2099" w:right="1143" w:firstLine="594"/>
        <w:jc w:val="both"/>
      </w:pPr>
      <w:r>
        <w:rPr/>
        <w:t>En</w:t>
      </w:r>
      <w:r>
        <w:rPr>
          <w:spacing w:val="-7"/>
        </w:rPr>
        <w:t> </w:t>
      </w:r>
      <w:r>
        <w:rPr/>
        <w:t>el</w:t>
      </w:r>
      <w:r>
        <w:rPr>
          <w:spacing w:val="-8"/>
        </w:rPr>
        <w:t> </w:t>
      </w:r>
      <w:r>
        <w:rPr/>
        <w:t>resto</w:t>
      </w:r>
      <w:r>
        <w:rPr>
          <w:spacing w:val="-8"/>
        </w:rPr>
        <w:t> </w:t>
      </w:r>
      <w:r>
        <w:rPr/>
        <w:t>de</w:t>
      </w:r>
      <w:r>
        <w:rPr>
          <w:spacing w:val="-7"/>
        </w:rPr>
        <w:t> </w:t>
      </w:r>
      <w:r>
        <w:rPr/>
        <w:t>las</w:t>
      </w:r>
      <w:r>
        <w:rPr>
          <w:spacing w:val="-10"/>
        </w:rPr>
        <w:t> </w:t>
      </w:r>
      <w:r>
        <w:rPr/>
        <w:t>entidades</w:t>
      </w:r>
      <w:r>
        <w:rPr>
          <w:spacing w:val="-8"/>
        </w:rPr>
        <w:t> </w:t>
      </w:r>
      <w:r>
        <w:rPr/>
        <w:t>públicas</w:t>
      </w:r>
      <w:r>
        <w:rPr>
          <w:spacing w:val="-7"/>
        </w:rPr>
        <w:t> </w:t>
      </w:r>
      <w:r>
        <w:rPr/>
        <w:t>no</w:t>
      </w:r>
      <w:r>
        <w:rPr>
          <w:spacing w:val="-8"/>
        </w:rPr>
        <w:t> </w:t>
      </w:r>
      <w:r>
        <w:rPr/>
        <w:t>se</w:t>
      </w:r>
      <w:r>
        <w:rPr>
          <w:spacing w:val="-8"/>
        </w:rPr>
        <w:t> </w:t>
      </w:r>
      <w:r>
        <w:rPr/>
        <w:t>ha</w:t>
      </w:r>
      <w:r>
        <w:rPr>
          <w:spacing w:val="-9"/>
        </w:rPr>
        <w:t> </w:t>
      </w:r>
      <w:r>
        <w:rPr/>
        <w:t>producido</w:t>
      </w:r>
      <w:r>
        <w:rPr>
          <w:spacing w:val="-8"/>
        </w:rPr>
        <w:t> </w:t>
      </w:r>
      <w:r>
        <w:rPr/>
        <w:t>contratación</w:t>
      </w:r>
      <w:r>
        <w:rPr>
          <w:spacing w:val="-7"/>
        </w:rPr>
        <w:t> </w:t>
      </w:r>
      <w:r>
        <w:rPr/>
        <w:t>de</w:t>
      </w:r>
      <w:r>
        <w:rPr>
          <w:spacing w:val="-8"/>
        </w:rPr>
        <w:t> </w:t>
      </w:r>
      <w:r>
        <w:rPr/>
        <w:t>personal directivo, según la información remitida por las mismas. Si bien se debe mencionar que SODECAN procedió a la modificación de las condiciones retributivas de su Consejero Delegado, contando para ello con el Informe Favorable de la</w:t>
      </w:r>
      <w:r>
        <w:rPr>
          <w:spacing w:val="1"/>
        </w:rPr>
        <w:t> </w:t>
      </w:r>
      <w:r>
        <w:rPr/>
        <w:t>DGPP.</w:t>
      </w:r>
    </w:p>
    <w:p>
      <w:pPr>
        <w:pStyle w:val="BodyText"/>
        <w:spacing w:before="1"/>
        <w:rPr>
          <w:sz w:val="17"/>
        </w:rPr>
      </w:pPr>
    </w:p>
    <w:p>
      <w:pPr>
        <w:pStyle w:val="Heading1"/>
        <w:numPr>
          <w:ilvl w:val="1"/>
          <w:numId w:val="74"/>
        </w:numPr>
        <w:tabs>
          <w:tab w:pos="2337" w:val="left" w:leader="none"/>
        </w:tabs>
        <w:spacing w:line="240" w:lineRule="auto" w:before="0" w:after="0"/>
        <w:ind w:left="2336" w:right="0" w:hanging="238"/>
        <w:jc w:val="left"/>
      </w:pPr>
      <w:r>
        <w:rPr/>
        <w:t>Registro de</w:t>
      </w:r>
      <w:r>
        <w:rPr>
          <w:spacing w:val="-1"/>
        </w:rPr>
        <w:t> </w:t>
      </w:r>
      <w:r>
        <w:rPr/>
        <w:t>personal.</w:t>
      </w:r>
    </w:p>
    <w:p>
      <w:pPr>
        <w:pStyle w:val="BodyText"/>
        <w:spacing w:before="8"/>
        <w:rPr>
          <w:b/>
          <w:sz w:val="16"/>
        </w:rPr>
      </w:pPr>
    </w:p>
    <w:p>
      <w:pPr>
        <w:spacing w:line="242" w:lineRule="auto" w:before="0"/>
        <w:ind w:left="2099" w:right="1140" w:firstLine="594"/>
        <w:jc w:val="both"/>
        <w:rPr>
          <w:sz w:val="20"/>
        </w:rPr>
      </w:pPr>
      <w:r>
        <w:rPr>
          <w:sz w:val="20"/>
        </w:rPr>
        <w:t>La Dirección General de Patrimonio y Contratación, confirma en su respuesta a la solicitud de información realizada por esta Institución, que: “No puede ser facilitado el Informe dado que aún no se ha creado el Registro de Personal Directivo en el ámbito de las SSMM”, en relación con el apartado 32.6 de la Ley 19/2019, de 30 de diciembre, de Presupuestos Generales de la CAC para 2020, que regula “</w:t>
      </w:r>
      <w:r>
        <w:rPr>
          <w:i/>
          <w:sz w:val="20"/>
        </w:rPr>
        <w:t>que se creará en la </w:t>
      </w:r>
      <w:r>
        <w:rPr>
          <w:sz w:val="20"/>
        </w:rPr>
        <w:t>Consejería </w:t>
      </w:r>
      <w:r>
        <w:rPr>
          <w:i/>
          <w:sz w:val="20"/>
        </w:rPr>
        <w:t>de Hacienda un Registro del personal directivo de las entidades del sector </w:t>
      </w:r>
      <w:r>
        <w:rPr>
          <w:i/>
          <w:sz w:val="20"/>
        </w:rPr>
        <w:t>público canario</w:t>
      </w:r>
      <w:r>
        <w:rPr>
          <w:sz w:val="20"/>
        </w:rPr>
        <w:t>”.</w:t>
      </w:r>
    </w:p>
    <w:p>
      <w:pPr>
        <w:pStyle w:val="BodyText"/>
        <w:spacing w:before="142"/>
        <w:ind w:left="7787"/>
        <w:jc w:val="center"/>
      </w:pPr>
      <w:r>
        <w:rPr/>
        <w:t>123</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61" name="image5.png"/>
                  <wp:cNvGraphicFramePr>
                    <a:graphicFrameLocks noChangeAspect="1"/>
                  </wp:cNvGraphicFramePr>
                  <a:graphic>
                    <a:graphicData uri="http://schemas.openxmlformats.org/drawingml/2006/picture">
                      <pic:pic>
                        <pic:nvPicPr>
                          <pic:cNvPr id="26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125/247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spacing w:before="61"/>
        <w:ind w:left="2099" w:right="0" w:firstLine="0"/>
        <w:jc w:val="left"/>
        <w:rPr>
          <w:b/>
          <w:sz w:val="20"/>
        </w:rPr>
      </w:pPr>
      <w:r>
        <w:rPr>
          <w:b/>
          <w:sz w:val="20"/>
        </w:rPr>
        <w:t>6. Litigios:</w:t>
      </w:r>
    </w:p>
    <w:p>
      <w:pPr>
        <w:pStyle w:val="BodyText"/>
        <w:spacing w:before="8"/>
        <w:rPr>
          <w:b/>
          <w:sz w:val="16"/>
        </w:rPr>
      </w:pPr>
    </w:p>
    <w:p>
      <w:pPr>
        <w:pStyle w:val="BodyText"/>
        <w:spacing w:line="242" w:lineRule="auto"/>
        <w:ind w:left="2099" w:right="1142" w:firstLine="594"/>
        <w:jc w:val="both"/>
      </w:pPr>
      <w:r>
        <w:rPr/>
        <w:t>Sin tener en cuenta las sociedades que no tienen personal, mencionadas anteriormente, las entidades GRAFCAN, GESTUR CANARIAS, ITC y PROEXCA comunicaron la ausencia de litigios en 2022. El resto de las entidades han presentado la relación de litigios vivos a 31 de diciembre de 2022, así como aquellos que se han resuelto en el año.</w:t>
      </w:r>
    </w:p>
    <w:p>
      <w:pPr>
        <w:pStyle w:val="BodyText"/>
        <w:spacing w:before="4"/>
        <w:rPr>
          <w:sz w:val="16"/>
        </w:rPr>
      </w:pPr>
    </w:p>
    <w:p>
      <w:pPr>
        <w:pStyle w:val="Heading1"/>
        <w:numPr>
          <w:ilvl w:val="2"/>
          <w:numId w:val="70"/>
        </w:numPr>
        <w:tabs>
          <w:tab w:pos="2694" w:val="left" w:leader="none"/>
        </w:tabs>
        <w:spacing w:line="240" w:lineRule="auto" w:before="1" w:after="0"/>
        <w:ind w:left="2693" w:right="0" w:hanging="605"/>
        <w:jc w:val="left"/>
      </w:pPr>
      <w:bookmarkStart w:name="_TOC_250011" w:id="11"/>
      <w:bookmarkEnd w:id="11"/>
      <w:r>
        <w:rPr>
          <w:color w:val="53A1B9"/>
        </w:rPr>
        <w:t>Objetivos de actividad.</w:t>
      </w:r>
    </w:p>
    <w:p>
      <w:pPr>
        <w:pStyle w:val="BodyText"/>
        <w:spacing w:before="8"/>
        <w:rPr>
          <w:b/>
          <w:sz w:val="16"/>
        </w:rPr>
      </w:pPr>
    </w:p>
    <w:p>
      <w:pPr>
        <w:pStyle w:val="ListParagraph"/>
        <w:numPr>
          <w:ilvl w:val="0"/>
          <w:numId w:val="75"/>
        </w:numPr>
        <w:tabs>
          <w:tab w:pos="2337" w:val="left" w:leader="none"/>
        </w:tabs>
        <w:spacing w:line="240" w:lineRule="auto" w:before="0" w:after="0"/>
        <w:ind w:left="2336" w:right="0" w:hanging="238"/>
        <w:jc w:val="left"/>
        <w:rPr>
          <w:b/>
          <w:sz w:val="20"/>
        </w:rPr>
      </w:pPr>
      <w:r>
        <w:rPr>
          <w:b/>
          <w:sz w:val="20"/>
        </w:rPr>
        <w:t>Instrumentos de planificación estratégica.</w:t>
      </w:r>
    </w:p>
    <w:p>
      <w:pPr>
        <w:pStyle w:val="BodyText"/>
        <w:spacing w:before="8"/>
        <w:rPr>
          <w:b/>
          <w:sz w:val="16"/>
        </w:rPr>
      </w:pPr>
    </w:p>
    <w:p>
      <w:pPr>
        <w:pStyle w:val="ListParagraph"/>
        <w:numPr>
          <w:ilvl w:val="1"/>
          <w:numId w:val="75"/>
        </w:numPr>
        <w:tabs>
          <w:tab w:pos="2694" w:val="left" w:leader="none"/>
        </w:tabs>
        <w:spacing w:line="240" w:lineRule="auto" w:before="0" w:after="0"/>
        <w:ind w:left="2693" w:right="1143" w:hanging="238"/>
        <w:jc w:val="both"/>
        <w:rPr>
          <w:sz w:val="20"/>
        </w:rPr>
      </w:pPr>
      <w:r>
        <w:rPr>
          <w:sz w:val="20"/>
        </w:rPr>
        <w:t>En el ejercicio 2022 las entidades a las que se les han aprobado Instrumentos de Planificación Estratégica (IPE) por Acuerdo de Gobierno, según lo establecido en el último párrafo del Art. 58.3 de la LGPCAC han sido: ASISTA, GESPLAN, GMR, HECANSA, ICDC, ITC, PROEXCA y</w:t>
      </w:r>
      <w:r>
        <w:rPr>
          <w:spacing w:val="5"/>
          <w:sz w:val="20"/>
        </w:rPr>
        <w:t> </w:t>
      </w:r>
      <w:r>
        <w:rPr>
          <w:sz w:val="20"/>
        </w:rPr>
        <w:t>PROMOTUR.</w:t>
      </w:r>
    </w:p>
    <w:p>
      <w:pPr>
        <w:pStyle w:val="BodyText"/>
        <w:rPr>
          <w:sz w:val="17"/>
        </w:rPr>
      </w:pPr>
    </w:p>
    <w:p>
      <w:pPr>
        <w:pStyle w:val="BodyText"/>
        <w:spacing w:before="1"/>
        <w:ind w:left="2693" w:right="1145"/>
        <w:jc w:val="both"/>
      </w:pPr>
      <w:r>
        <w:rPr/>
        <w:t>Otras entidades como GESTUR CANARIAS y VISOCAN, tras haber aprobado sus IPE por el Consejo de Gobierno han presentado solicitud de Informe a la DGPP y al no obtener respuesta por la misma, han vuelto a iniciar su procedimiento de solicitud.</w:t>
      </w:r>
      <w:r>
        <w:rPr>
          <w:spacing w:val="-3"/>
        </w:rPr>
        <w:t> </w:t>
      </w:r>
      <w:r>
        <w:rPr/>
        <w:t>En</w:t>
      </w:r>
      <w:r>
        <w:rPr>
          <w:spacing w:val="-2"/>
        </w:rPr>
        <w:t> </w:t>
      </w:r>
      <w:r>
        <w:rPr/>
        <w:t>el</w:t>
      </w:r>
      <w:r>
        <w:rPr>
          <w:spacing w:val="-2"/>
        </w:rPr>
        <w:t> </w:t>
      </w:r>
      <w:r>
        <w:rPr/>
        <w:t>caso</w:t>
      </w:r>
      <w:r>
        <w:rPr>
          <w:spacing w:val="-4"/>
        </w:rPr>
        <w:t> </w:t>
      </w:r>
      <w:r>
        <w:rPr/>
        <w:t>de</w:t>
      </w:r>
      <w:r>
        <w:rPr>
          <w:spacing w:val="-2"/>
        </w:rPr>
        <w:t> </w:t>
      </w:r>
      <w:r>
        <w:rPr/>
        <w:t>SODECAN,</w:t>
      </w:r>
      <w:r>
        <w:rPr>
          <w:spacing w:val="-2"/>
        </w:rPr>
        <w:t> </w:t>
      </w:r>
      <w:r>
        <w:rPr/>
        <w:t>se</w:t>
      </w:r>
      <w:r>
        <w:rPr>
          <w:spacing w:val="-2"/>
        </w:rPr>
        <w:t> </w:t>
      </w:r>
      <w:r>
        <w:rPr/>
        <w:t>ha</w:t>
      </w:r>
      <w:r>
        <w:rPr>
          <w:spacing w:val="-4"/>
        </w:rPr>
        <w:t> </w:t>
      </w:r>
      <w:r>
        <w:rPr/>
        <w:t>elaborado</w:t>
      </w:r>
      <w:r>
        <w:rPr>
          <w:spacing w:val="-1"/>
        </w:rPr>
        <w:t> </w:t>
      </w:r>
      <w:r>
        <w:rPr/>
        <w:t>el</w:t>
      </w:r>
      <w:r>
        <w:rPr>
          <w:spacing w:val="-2"/>
        </w:rPr>
        <w:t> </w:t>
      </w:r>
      <w:r>
        <w:rPr/>
        <w:t>IPE</w:t>
      </w:r>
      <w:r>
        <w:rPr>
          <w:spacing w:val="-2"/>
        </w:rPr>
        <w:t> </w:t>
      </w:r>
      <w:r>
        <w:rPr/>
        <w:t>y</w:t>
      </w:r>
      <w:r>
        <w:rPr>
          <w:spacing w:val="-3"/>
        </w:rPr>
        <w:t> </w:t>
      </w:r>
      <w:r>
        <w:rPr/>
        <w:t>se</w:t>
      </w:r>
      <w:r>
        <w:rPr>
          <w:spacing w:val="-2"/>
        </w:rPr>
        <w:t> </w:t>
      </w:r>
      <w:r>
        <w:rPr/>
        <w:t>ha</w:t>
      </w:r>
      <w:r>
        <w:rPr>
          <w:spacing w:val="-4"/>
        </w:rPr>
        <w:t> </w:t>
      </w:r>
      <w:r>
        <w:rPr/>
        <w:t>aprobado</w:t>
      </w:r>
      <w:r>
        <w:rPr>
          <w:spacing w:val="-4"/>
        </w:rPr>
        <w:t> </w:t>
      </w:r>
      <w:r>
        <w:rPr/>
        <w:t>por</w:t>
      </w:r>
      <w:r>
        <w:rPr>
          <w:spacing w:val="-2"/>
        </w:rPr>
        <w:t> </w:t>
      </w:r>
      <w:r>
        <w:rPr/>
        <w:t>su consejo de administración con fecha 23 de diciembre de</w:t>
      </w:r>
      <w:r>
        <w:rPr>
          <w:spacing w:val="1"/>
        </w:rPr>
        <w:t> </w:t>
      </w:r>
      <w:r>
        <w:rPr/>
        <w:t>2022.</w:t>
      </w:r>
    </w:p>
    <w:p>
      <w:pPr>
        <w:pStyle w:val="BodyText"/>
        <w:spacing w:before="4"/>
        <w:rPr>
          <w:sz w:val="17"/>
        </w:rPr>
      </w:pPr>
    </w:p>
    <w:p>
      <w:pPr>
        <w:pStyle w:val="BodyText"/>
        <w:ind w:left="2693"/>
        <w:jc w:val="both"/>
      </w:pPr>
      <w:r>
        <w:rPr/>
        <w:t>El resto de las entidades, no han aprobado el IPE.</w:t>
      </w:r>
    </w:p>
    <w:p>
      <w:pPr>
        <w:pStyle w:val="BodyText"/>
        <w:spacing w:before="8"/>
        <w:rPr>
          <w:sz w:val="16"/>
        </w:rPr>
      </w:pPr>
    </w:p>
    <w:p>
      <w:pPr>
        <w:pStyle w:val="ListParagraph"/>
        <w:numPr>
          <w:ilvl w:val="1"/>
          <w:numId w:val="75"/>
        </w:numPr>
        <w:tabs>
          <w:tab w:pos="2694" w:val="left" w:leader="none"/>
        </w:tabs>
        <w:spacing w:line="240" w:lineRule="auto" w:before="0" w:after="0"/>
        <w:ind w:left="2693" w:right="1141" w:hanging="238"/>
        <w:jc w:val="both"/>
        <w:rPr>
          <w:sz w:val="20"/>
        </w:rPr>
      </w:pPr>
      <w:r>
        <w:rPr>
          <w:sz w:val="20"/>
        </w:rPr>
        <w:t>Las sociedades CCB MASPALOMAS, CCB TENERIFE SUR, GESTUR LAS PALMAS Y GESPROTUR, no presentan objetivos de actividad, ni solicitud del IPE, por la naturaleza de su actividad y en el caso de GESTUR LAS PALMAS, por estar en liquidación.</w:t>
      </w:r>
    </w:p>
    <w:p>
      <w:pPr>
        <w:pStyle w:val="BodyText"/>
        <w:spacing w:before="1"/>
        <w:rPr>
          <w:sz w:val="17"/>
        </w:rPr>
      </w:pPr>
    </w:p>
    <w:p>
      <w:pPr>
        <w:pStyle w:val="Heading1"/>
        <w:numPr>
          <w:ilvl w:val="0"/>
          <w:numId w:val="75"/>
        </w:numPr>
        <w:tabs>
          <w:tab w:pos="2337" w:val="left" w:leader="none"/>
        </w:tabs>
        <w:spacing w:line="240" w:lineRule="auto" w:before="0" w:after="0"/>
        <w:ind w:left="2336" w:right="0" w:hanging="238"/>
        <w:jc w:val="left"/>
      </w:pPr>
      <w:r>
        <w:rPr/>
        <w:t>Indicadores recogidos en los</w:t>
      </w:r>
      <w:r>
        <w:rPr>
          <w:spacing w:val="2"/>
        </w:rPr>
        <w:t> </w:t>
      </w:r>
      <w:r>
        <w:rPr/>
        <w:t>PAIF.</w:t>
      </w:r>
    </w:p>
    <w:p>
      <w:pPr>
        <w:pStyle w:val="BodyText"/>
        <w:spacing w:before="8"/>
        <w:rPr>
          <w:b/>
          <w:sz w:val="16"/>
        </w:rPr>
      </w:pPr>
    </w:p>
    <w:p>
      <w:pPr>
        <w:pStyle w:val="ListParagraph"/>
        <w:numPr>
          <w:ilvl w:val="1"/>
          <w:numId w:val="75"/>
        </w:numPr>
        <w:tabs>
          <w:tab w:pos="2694" w:val="left" w:leader="none"/>
        </w:tabs>
        <w:spacing w:line="242" w:lineRule="auto" w:before="0" w:after="0"/>
        <w:ind w:left="2693" w:right="1141" w:hanging="303"/>
        <w:jc w:val="both"/>
        <w:rPr>
          <w:sz w:val="20"/>
        </w:rPr>
      </w:pPr>
      <w:r>
        <w:rPr>
          <w:sz w:val="20"/>
        </w:rPr>
        <w:t>En relación con el apartado del Informe económico financiero relativo a los objetivos e indicadores de gestión las sociedades: ASISTA, GESPLAN, GESTUR CANARIAS, GMR, HECANSA, ICDC, ITC, PROEXCA, PUERTOS, RPC y SODECAN presentan dicho anexo con la información requerida las</w:t>
      </w:r>
      <w:r>
        <w:rPr>
          <w:spacing w:val="9"/>
          <w:sz w:val="20"/>
        </w:rPr>
        <w:t> </w:t>
      </w:r>
      <w:r>
        <w:rPr>
          <w:sz w:val="20"/>
        </w:rPr>
        <w:t>sociedades.</w:t>
      </w:r>
    </w:p>
    <w:p>
      <w:pPr>
        <w:pStyle w:val="BodyText"/>
        <w:spacing w:before="3"/>
        <w:rPr>
          <w:sz w:val="16"/>
        </w:rPr>
      </w:pPr>
    </w:p>
    <w:p>
      <w:pPr>
        <w:pStyle w:val="ListParagraph"/>
        <w:numPr>
          <w:ilvl w:val="1"/>
          <w:numId w:val="75"/>
        </w:numPr>
        <w:tabs>
          <w:tab w:pos="2694" w:val="left" w:leader="none"/>
        </w:tabs>
        <w:spacing w:line="240" w:lineRule="auto" w:before="1" w:after="0"/>
        <w:ind w:left="2693" w:right="1145" w:hanging="303"/>
        <w:jc w:val="both"/>
        <w:rPr>
          <w:sz w:val="20"/>
        </w:rPr>
      </w:pPr>
      <w:r>
        <w:rPr>
          <w:sz w:val="20"/>
        </w:rPr>
        <w:t>GRAFCAN ha enviado la relación de objetivos fijados para el año 2022 y los resultados obtenidos que fueron expuestos y aprobados en el Consejo de Administración de 27 de marzo de 2023. Sin embargo, no presenta indicadores de cumplimiento en sus</w:t>
      </w:r>
      <w:r>
        <w:rPr>
          <w:spacing w:val="-1"/>
          <w:sz w:val="20"/>
        </w:rPr>
        <w:t> </w:t>
      </w:r>
      <w:r>
        <w:rPr>
          <w:sz w:val="20"/>
        </w:rPr>
        <w:t>PAIF.</w:t>
      </w:r>
    </w:p>
    <w:p>
      <w:pPr>
        <w:pStyle w:val="BodyText"/>
      </w:pPr>
    </w:p>
    <w:p>
      <w:pPr>
        <w:pStyle w:val="BodyText"/>
        <w:spacing w:before="4"/>
        <w:rPr>
          <w:sz w:val="16"/>
        </w:rPr>
      </w:pPr>
    </w:p>
    <w:p>
      <w:pPr>
        <w:pStyle w:val="BodyText"/>
        <w:ind w:left="7787"/>
        <w:jc w:val="center"/>
      </w:pPr>
      <w:r>
        <w:rPr/>
        <w:t>124</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63" name="image5.png"/>
                  <wp:cNvGraphicFramePr>
                    <a:graphicFrameLocks noChangeAspect="1"/>
                  </wp:cNvGraphicFramePr>
                  <a:graphic>
                    <a:graphicData uri="http://schemas.openxmlformats.org/drawingml/2006/picture">
                      <pic:pic>
                        <pic:nvPicPr>
                          <pic:cNvPr id="26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126/247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76"/>
        </w:numPr>
        <w:tabs>
          <w:tab w:pos="2337" w:val="left" w:leader="none"/>
        </w:tabs>
        <w:spacing w:line="240" w:lineRule="auto" w:before="61" w:after="0"/>
        <w:ind w:left="2336" w:right="0" w:hanging="238"/>
        <w:jc w:val="left"/>
        <w:rPr>
          <w:b/>
          <w:sz w:val="20"/>
        </w:rPr>
      </w:pPr>
      <w:r>
        <w:rPr>
          <w:b/>
          <w:sz w:val="20"/>
        </w:rPr>
        <w:t>Evaluación de los objetivos fijados al personal</w:t>
      </w:r>
      <w:r>
        <w:rPr>
          <w:b/>
          <w:spacing w:val="2"/>
          <w:sz w:val="20"/>
        </w:rPr>
        <w:t> </w:t>
      </w:r>
      <w:r>
        <w:rPr>
          <w:b/>
          <w:sz w:val="20"/>
        </w:rPr>
        <w:t>Directivo.</w:t>
      </w:r>
    </w:p>
    <w:p>
      <w:pPr>
        <w:pStyle w:val="BodyText"/>
        <w:spacing w:before="8"/>
        <w:rPr>
          <w:b/>
          <w:sz w:val="16"/>
        </w:rPr>
      </w:pPr>
    </w:p>
    <w:p>
      <w:pPr>
        <w:pStyle w:val="BodyText"/>
        <w:spacing w:line="242" w:lineRule="auto"/>
        <w:ind w:left="2099" w:right="1142" w:firstLine="594"/>
        <w:jc w:val="both"/>
      </w:pPr>
      <w:r>
        <w:rPr/>
        <w:t>El Acuerdo de Gobierno del 8 de noviembre de 2019, por el que se dictan instrucciones a los representantes del Gobierno en las Juntas Generales y Consejos de Administración</w:t>
      </w:r>
      <w:r>
        <w:rPr>
          <w:spacing w:val="-4"/>
        </w:rPr>
        <w:t> </w:t>
      </w:r>
      <w:r>
        <w:rPr/>
        <w:t>de</w:t>
      </w:r>
      <w:r>
        <w:rPr>
          <w:spacing w:val="-4"/>
        </w:rPr>
        <w:t> </w:t>
      </w:r>
      <w:r>
        <w:rPr/>
        <w:t>las</w:t>
      </w:r>
      <w:r>
        <w:rPr>
          <w:spacing w:val="-3"/>
        </w:rPr>
        <w:t> </w:t>
      </w:r>
      <w:r>
        <w:rPr/>
        <w:t>SSMM,</w:t>
      </w:r>
      <w:r>
        <w:rPr>
          <w:spacing w:val="-4"/>
        </w:rPr>
        <w:t> </w:t>
      </w:r>
      <w:r>
        <w:rPr/>
        <w:t>relativas</w:t>
      </w:r>
      <w:r>
        <w:rPr>
          <w:spacing w:val="-6"/>
        </w:rPr>
        <w:t> </w:t>
      </w:r>
      <w:r>
        <w:rPr/>
        <w:t>al</w:t>
      </w:r>
      <w:r>
        <w:rPr>
          <w:spacing w:val="-4"/>
        </w:rPr>
        <w:t> </w:t>
      </w:r>
      <w:r>
        <w:rPr/>
        <w:t>personal</w:t>
      </w:r>
      <w:r>
        <w:rPr>
          <w:spacing w:val="-5"/>
        </w:rPr>
        <w:t> </w:t>
      </w:r>
      <w:r>
        <w:rPr/>
        <w:t>directivo,</w:t>
      </w:r>
      <w:r>
        <w:rPr>
          <w:spacing w:val="-2"/>
        </w:rPr>
        <w:t> </w:t>
      </w:r>
      <w:r>
        <w:rPr/>
        <w:t>establece</w:t>
      </w:r>
      <w:r>
        <w:rPr>
          <w:spacing w:val="-5"/>
        </w:rPr>
        <w:t> </w:t>
      </w:r>
      <w:r>
        <w:rPr/>
        <w:t>que</w:t>
      </w:r>
      <w:r>
        <w:rPr>
          <w:spacing w:val="-4"/>
        </w:rPr>
        <w:t> </w:t>
      </w:r>
      <w:r>
        <w:rPr/>
        <w:t>el</w:t>
      </w:r>
      <w:r>
        <w:rPr>
          <w:spacing w:val="-2"/>
        </w:rPr>
        <w:t> </w:t>
      </w:r>
      <w:r>
        <w:rPr/>
        <w:t>Consejo</w:t>
      </w:r>
      <w:r>
        <w:rPr>
          <w:spacing w:val="-3"/>
        </w:rPr>
        <w:t> </w:t>
      </w:r>
      <w:r>
        <w:rPr/>
        <w:t>de Administración de las diferentes Entidades debe realizar la Evaluación de los objetivos fijados.</w:t>
      </w:r>
    </w:p>
    <w:p>
      <w:pPr>
        <w:pStyle w:val="BodyText"/>
        <w:spacing w:before="4"/>
        <w:rPr>
          <w:sz w:val="16"/>
        </w:rPr>
      </w:pPr>
    </w:p>
    <w:p>
      <w:pPr>
        <w:pStyle w:val="BodyText"/>
        <w:spacing w:line="242" w:lineRule="auto" w:before="1"/>
        <w:ind w:left="2099" w:right="1141" w:firstLine="594"/>
        <w:jc w:val="both"/>
      </w:pPr>
      <w:r>
        <w:rPr/>
        <w:t>Solo han cumplido el citado requerimiento ASISTA, GESTUR CANARIAS, ICDC, PROMOTUR y PROEXCA, aunque esta última solo indica que el Consejo de Administración ha realizado la evaluación de los objetivos fijados, y que se ha solicitado certificación de la misma, sin que se haya aportado.</w:t>
      </w:r>
    </w:p>
    <w:p>
      <w:pPr>
        <w:pStyle w:val="BodyText"/>
        <w:spacing w:before="3"/>
        <w:rPr>
          <w:sz w:val="16"/>
        </w:rPr>
      </w:pPr>
    </w:p>
    <w:p>
      <w:pPr>
        <w:pStyle w:val="Heading1"/>
        <w:numPr>
          <w:ilvl w:val="0"/>
          <w:numId w:val="76"/>
        </w:numPr>
        <w:tabs>
          <w:tab w:pos="2337" w:val="left" w:leader="none"/>
        </w:tabs>
        <w:spacing w:line="240" w:lineRule="auto" w:before="0" w:after="0"/>
        <w:ind w:left="2336" w:right="0" w:hanging="238"/>
        <w:jc w:val="left"/>
      </w:pPr>
      <w:r>
        <w:rPr/>
        <w:t>Otros aspectos relacionados con los</w:t>
      </w:r>
      <w:r>
        <w:rPr>
          <w:spacing w:val="-2"/>
        </w:rPr>
        <w:t> </w:t>
      </w:r>
      <w:r>
        <w:rPr/>
        <w:t>objetivos.</w:t>
      </w:r>
    </w:p>
    <w:p>
      <w:pPr>
        <w:pStyle w:val="BodyText"/>
        <w:spacing w:before="8"/>
        <w:rPr>
          <w:b/>
          <w:sz w:val="16"/>
        </w:rPr>
      </w:pPr>
    </w:p>
    <w:p>
      <w:pPr>
        <w:pStyle w:val="BodyText"/>
        <w:spacing w:line="242" w:lineRule="auto"/>
        <w:ind w:left="2099" w:right="1140" w:firstLine="594"/>
        <w:jc w:val="both"/>
      </w:pPr>
      <w:r>
        <w:rPr/>
        <w:t>En relación con el Informe anual de evaluación y desempeño de las empresas públicas, al que hace referencia la disposición adicional quincuagésima-primera de la referida Ley 19/2019, “… Anualmente, los departamentos competentes en materia de empresas públicas y de organización administrativa remitirán al Parlamento un informe consolidado conjunto del cumplimiento de los objetivos y evaluación de los resultados de las empresas públicas canarias”, la Dirección General de Patrimonio y Contratación en respuesta a la solicitud de información realizada por esta Institución contesta lo siguiente: “Dado que no se ha llevado a cabo la evaluación de los resultados de las empresas públicas, no ha podido elaborarse el citado informe.”</w:t>
      </w:r>
    </w:p>
    <w:p>
      <w:pPr>
        <w:pStyle w:val="BodyText"/>
        <w:spacing w:before="2"/>
        <w:rPr>
          <w:sz w:val="16"/>
        </w:rPr>
      </w:pPr>
    </w:p>
    <w:p>
      <w:pPr>
        <w:pStyle w:val="BodyText"/>
        <w:ind w:left="2099" w:right="1138" w:firstLine="594"/>
        <w:jc w:val="both"/>
      </w:pPr>
      <w:r>
        <w:rPr/>
        <w:t>La CAC, pese a que según el diagnóstico de la Dirección General de Modernización y Calidad de los Servicios realizado en 2021 concluye que de las 20 sociedades mercantiles y dos entidades públicas empresariales, 17 carecen de todo tipo de plan estratégico u operativo, no las ha incluido en el ámbito de aplicación del DECRETO 88/2023, de 25 de mayo, por el que se establece el modelo de referencia de planificación y gestión estratégica y dirección por objetivos de la APCAC y de sus organismos autónomos, y por el que se modifica el Decreto 69/2004, de 25 de mayo, por el que se regula la organización, competencias y funcionamiento de la Comisión de Coordinación y Planificación.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4"/>
        </w:rPr>
      </w:pPr>
    </w:p>
    <w:p>
      <w:pPr>
        <w:pStyle w:val="BodyText"/>
        <w:spacing w:before="61"/>
        <w:ind w:left="7787"/>
        <w:jc w:val="center"/>
      </w:pPr>
      <w:r>
        <w:rPr/>
        <w:t>125</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65" name="image5.png"/>
                  <wp:cNvGraphicFramePr>
                    <a:graphicFrameLocks noChangeAspect="1"/>
                  </wp:cNvGraphicFramePr>
                  <a:graphic>
                    <a:graphicData uri="http://schemas.openxmlformats.org/drawingml/2006/picture">
                      <pic:pic>
                        <pic:nvPicPr>
                          <pic:cNvPr id="26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127/247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Heading1"/>
        <w:numPr>
          <w:ilvl w:val="1"/>
          <w:numId w:val="56"/>
        </w:numPr>
        <w:tabs>
          <w:tab w:pos="2574" w:val="left" w:leader="none"/>
          <w:tab w:pos="2575" w:val="left" w:leader="none"/>
        </w:tabs>
        <w:spacing w:line="240" w:lineRule="auto" w:before="61" w:after="0"/>
        <w:ind w:left="2574" w:right="0" w:hanging="486"/>
        <w:jc w:val="left"/>
      </w:pPr>
      <w:bookmarkStart w:name="_TOC_250010" w:id="12"/>
      <w:r>
        <w:rPr>
          <w:color w:val="53A1B9"/>
        </w:rPr>
        <w:t>Deuda del Sector Público con Presupuesto</w:t>
      </w:r>
      <w:r>
        <w:rPr>
          <w:color w:val="53A1B9"/>
          <w:spacing w:val="2"/>
        </w:rPr>
        <w:t> </w:t>
      </w:r>
      <w:bookmarkEnd w:id="12"/>
      <w:r>
        <w:rPr>
          <w:color w:val="53A1B9"/>
        </w:rPr>
        <w:t>Estimativo.</w:t>
      </w:r>
    </w:p>
    <w:p>
      <w:pPr>
        <w:pStyle w:val="BodyText"/>
        <w:spacing w:before="1"/>
        <w:rPr>
          <w:b/>
          <w:sz w:val="24"/>
        </w:rPr>
      </w:pPr>
    </w:p>
    <w:p>
      <w:pPr>
        <w:spacing w:before="0"/>
        <w:ind w:left="6452" w:right="0" w:firstLine="0"/>
        <w:jc w:val="left"/>
        <w:rPr>
          <w:b/>
          <w:sz w:val="13"/>
        </w:rPr>
      </w:pPr>
      <w:r>
        <w:rPr>
          <w:b/>
          <w:w w:val="105"/>
          <w:sz w:val="13"/>
        </w:rPr>
        <w:t>Millones de €</w:t>
      </w:r>
    </w:p>
    <w:tbl>
      <w:tblPr>
        <w:tblW w:w="0" w:type="auto"/>
        <w:jc w:val="left"/>
        <w:tblInd w:w="4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2"/>
        <w:gridCol w:w="941"/>
        <w:gridCol w:w="1080"/>
      </w:tblGrid>
      <w:tr>
        <w:trPr>
          <w:trHeight w:val="252" w:hRule="atLeast"/>
        </w:trPr>
        <w:tc>
          <w:tcPr>
            <w:tcW w:w="1162" w:type="dxa"/>
            <w:tcBorders>
              <w:top w:val="single" w:sz="4" w:space="0" w:color="000000"/>
              <w:left w:val="single" w:sz="4" w:space="0" w:color="000000"/>
            </w:tcBorders>
            <w:shd w:val="clear" w:color="auto" w:fill="D9E1F3"/>
          </w:tcPr>
          <w:p>
            <w:pPr>
              <w:pStyle w:val="TableParagraph"/>
              <w:spacing w:before="35"/>
              <w:ind w:left="59"/>
              <w:rPr>
                <w:b/>
                <w:sz w:val="15"/>
              </w:rPr>
            </w:pPr>
            <w:r>
              <w:rPr>
                <w:b/>
                <w:sz w:val="15"/>
              </w:rPr>
              <w:t>Deuda SSMM</w:t>
            </w:r>
          </w:p>
        </w:tc>
        <w:tc>
          <w:tcPr>
            <w:tcW w:w="941" w:type="dxa"/>
            <w:tcBorders>
              <w:top w:val="single" w:sz="4" w:space="0" w:color="000000"/>
            </w:tcBorders>
            <w:shd w:val="clear" w:color="auto" w:fill="D9E1F3"/>
          </w:tcPr>
          <w:p>
            <w:pPr>
              <w:pStyle w:val="TableParagraph"/>
              <w:spacing w:before="35"/>
              <w:ind w:left="71"/>
              <w:rPr>
                <w:b/>
                <w:sz w:val="15"/>
              </w:rPr>
            </w:pPr>
            <w:r>
              <w:rPr>
                <w:b/>
                <w:sz w:val="15"/>
              </w:rPr>
              <w:t>31/12/2021</w:t>
            </w:r>
          </w:p>
        </w:tc>
        <w:tc>
          <w:tcPr>
            <w:tcW w:w="1080" w:type="dxa"/>
            <w:tcBorders>
              <w:top w:val="single" w:sz="4" w:space="0" w:color="000000"/>
              <w:right w:val="single" w:sz="4" w:space="0" w:color="000000"/>
            </w:tcBorders>
            <w:shd w:val="clear" w:color="auto" w:fill="D9E1F3"/>
          </w:tcPr>
          <w:p>
            <w:pPr>
              <w:pStyle w:val="TableParagraph"/>
              <w:spacing w:before="35"/>
              <w:ind w:left="121" w:right="176"/>
              <w:jc w:val="center"/>
              <w:rPr>
                <w:b/>
                <w:sz w:val="15"/>
              </w:rPr>
            </w:pPr>
            <w:r>
              <w:rPr>
                <w:b/>
                <w:sz w:val="15"/>
              </w:rPr>
              <w:t>31/12/2022</w:t>
            </w:r>
          </w:p>
        </w:tc>
      </w:tr>
      <w:tr>
        <w:trPr>
          <w:trHeight w:val="197" w:hRule="atLeast"/>
        </w:trPr>
        <w:tc>
          <w:tcPr>
            <w:tcW w:w="1162" w:type="dxa"/>
            <w:tcBorders>
              <w:left w:val="single" w:sz="4" w:space="0" w:color="000000"/>
            </w:tcBorders>
          </w:tcPr>
          <w:p>
            <w:pPr>
              <w:pStyle w:val="TableParagraph"/>
              <w:spacing w:line="178" w:lineRule="exact"/>
              <w:ind w:left="59"/>
              <w:rPr>
                <w:sz w:val="15"/>
              </w:rPr>
            </w:pPr>
            <w:r>
              <w:rPr>
                <w:sz w:val="15"/>
              </w:rPr>
              <w:t>A largo plazo</w:t>
            </w:r>
          </w:p>
        </w:tc>
        <w:tc>
          <w:tcPr>
            <w:tcW w:w="941" w:type="dxa"/>
          </w:tcPr>
          <w:p>
            <w:pPr>
              <w:pStyle w:val="TableParagraph"/>
              <w:spacing w:line="178" w:lineRule="exact"/>
              <w:ind w:left="381"/>
              <w:rPr>
                <w:sz w:val="15"/>
              </w:rPr>
            </w:pPr>
            <w:r>
              <w:rPr>
                <w:sz w:val="15"/>
              </w:rPr>
              <w:t>62,6</w:t>
            </w:r>
          </w:p>
        </w:tc>
        <w:tc>
          <w:tcPr>
            <w:tcW w:w="1080" w:type="dxa"/>
            <w:tcBorders>
              <w:right w:val="single" w:sz="4" w:space="0" w:color="000000"/>
            </w:tcBorders>
          </w:tcPr>
          <w:p>
            <w:pPr>
              <w:pStyle w:val="TableParagraph"/>
              <w:spacing w:line="178" w:lineRule="exact"/>
              <w:ind w:left="121" w:right="32"/>
              <w:jc w:val="center"/>
              <w:rPr>
                <w:sz w:val="15"/>
              </w:rPr>
            </w:pPr>
            <w:r>
              <w:rPr>
                <w:sz w:val="15"/>
              </w:rPr>
              <w:t>56,5</w:t>
            </w:r>
          </w:p>
        </w:tc>
      </w:tr>
      <w:tr>
        <w:trPr>
          <w:trHeight w:val="184" w:hRule="atLeast"/>
        </w:trPr>
        <w:tc>
          <w:tcPr>
            <w:tcW w:w="1162" w:type="dxa"/>
            <w:tcBorders>
              <w:left w:val="single" w:sz="4" w:space="0" w:color="000000"/>
            </w:tcBorders>
          </w:tcPr>
          <w:p>
            <w:pPr>
              <w:pStyle w:val="TableParagraph"/>
              <w:spacing w:line="164" w:lineRule="exact"/>
              <w:ind w:left="59"/>
              <w:rPr>
                <w:sz w:val="15"/>
              </w:rPr>
            </w:pPr>
            <w:r>
              <w:rPr>
                <w:sz w:val="15"/>
              </w:rPr>
              <w:t>A corto plazo</w:t>
            </w:r>
          </w:p>
        </w:tc>
        <w:tc>
          <w:tcPr>
            <w:tcW w:w="941" w:type="dxa"/>
          </w:tcPr>
          <w:p>
            <w:pPr>
              <w:pStyle w:val="TableParagraph"/>
              <w:spacing w:line="164" w:lineRule="exact"/>
              <w:ind w:left="316" w:right="227"/>
              <w:jc w:val="center"/>
              <w:rPr>
                <w:sz w:val="15"/>
              </w:rPr>
            </w:pPr>
            <w:r>
              <w:rPr>
                <w:sz w:val="15"/>
              </w:rPr>
              <w:t>5,8</w:t>
            </w:r>
          </w:p>
        </w:tc>
        <w:tc>
          <w:tcPr>
            <w:tcW w:w="1080" w:type="dxa"/>
            <w:tcBorders>
              <w:right w:val="single" w:sz="4" w:space="0" w:color="000000"/>
            </w:tcBorders>
          </w:tcPr>
          <w:p>
            <w:pPr>
              <w:pStyle w:val="TableParagraph"/>
              <w:spacing w:line="164" w:lineRule="exact"/>
              <w:ind w:left="121" w:right="32"/>
              <w:jc w:val="center"/>
              <w:rPr>
                <w:sz w:val="15"/>
              </w:rPr>
            </w:pPr>
            <w:r>
              <w:rPr>
                <w:sz w:val="15"/>
              </w:rPr>
              <w:t>4,7</w:t>
            </w:r>
          </w:p>
        </w:tc>
      </w:tr>
      <w:tr>
        <w:trPr>
          <w:trHeight w:val="168" w:hRule="atLeast"/>
        </w:trPr>
        <w:tc>
          <w:tcPr>
            <w:tcW w:w="1162" w:type="dxa"/>
            <w:tcBorders>
              <w:left w:val="single" w:sz="4" w:space="0" w:color="000000"/>
              <w:bottom w:val="single" w:sz="4" w:space="0" w:color="000000"/>
            </w:tcBorders>
          </w:tcPr>
          <w:p>
            <w:pPr>
              <w:pStyle w:val="TableParagraph"/>
              <w:spacing w:line="149" w:lineRule="exact"/>
              <w:ind w:left="59"/>
              <w:rPr>
                <w:b/>
                <w:sz w:val="15"/>
              </w:rPr>
            </w:pPr>
            <w:r>
              <w:rPr>
                <w:b/>
                <w:sz w:val="15"/>
              </w:rPr>
              <w:t>Total deuda viva</w:t>
            </w:r>
          </w:p>
        </w:tc>
        <w:tc>
          <w:tcPr>
            <w:tcW w:w="941" w:type="dxa"/>
            <w:tcBorders>
              <w:bottom w:val="single" w:sz="4" w:space="0" w:color="000000"/>
            </w:tcBorders>
          </w:tcPr>
          <w:p>
            <w:pPr>
              <w:pStyle w:val="TableParagraph"/>
              <w:spacing w:line="149" w:lineRule="exact"/>
              <w:ind w:left="381"/>
              <w:rPr>
                <w:b/>
                <w:sz w:val="15"/>
              </w:rPr>
            </w:pPr>
            <w:r>
              <w:rPr>
                <w:b/>
                <w:sz w:val="15"/>
              </w:rPr>
              <w:t>68,4</w:t>
            </w:r>
          </w:p>
        </w:tc>
        <w:tc>
          <w:tcPr>
            <w:tcW w:w="1080" w:type="dxa"/>
            <w:tcBorders>
              <w:bottom w:val="single" w:sz="4" w:space="0" w:color="000000"/>
              <w:right w:val="single" w:sz="4" w:space="0" w:color="000000"/>
            </w:tcBorders>
          </w:tcPr>
          <w:p>
            <w:pPr>
              <w:pStyle w:val="TableParagraph"/>
              <w:spacing w:line="149" w:lineRule="exact"/>
              <w:ind w:left="121" w:right="32"/>
              <w:jc w:val="center"/>
              <w:rPr>
                <w:b/>
                <w:sz w:val="15"/>
              </w:rPr>
            </w:pPr>
            <w:r>
              <w:rPr>
                <w:b/>
                <w:sz w:val="15"/>
              </w:rPr>
              <w:t>61,2</w:t>
            </w:r>
          </w:p>
        </w:tc>
      </w:tr>
    </w:tbl>
    <w:p>
      <w:pPr>
        <w:pStyle w:val="BodyText"/>
        <w:rPr>
          <w:b/>
          <w:sz w:val="14"/>
        </w:rPr>
      </w:pPr>
    </w:p>
    <w:p>
      <w:pPr>
        <w:pStyle w:val="BodyText"/>
        <w:rPr>
          <w:b/>
          <w:sz w:val="14"/>
        </w:rPr>
      </w:pPr>
    </w:p>
    <w:p>
      <w:pPr>
        <w:spacing w:before="115" w:after="3"/>
        <w:ind w:left="0" w:right="2442" w:firstLine="0"/>
        <w:jc w:val="right"/>
        <w:rPr>
          <w:b/>
          <w:sz w:val="11"/>
        </w:rPr>
      </w:pPr>
      <w:r>
        <w:rPr>
          <w:b/>
          <w:w w:val="105"/>
          <w:sz w:val="11"/>
        </w:rPr>
        <w:t>Miles de €</w:t>
      </w:r>
    </w:p>
    <w:tbl>
      <w:tblPr>
        <w:tblW w:w="0" w:type="auto"/>
        <w:jc w:val="left"/>
        <w:tblInd w:w="3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0"/>
        <w:gridCol w:w="1290"/>
        <w:gridCol w:w="1270"/>
        <w:gridCol w:w="762"/>
      </w:tblGrid>
      <w:tr>
        <w:trPr>
          <w:trHeight w:val="370" w:hRule="atLeast"/>
        </w:trPr>
        <w:tc>
          <w:tcPr>
            <w:tcW w:w="1340" w:type="dxa"/>
            <w:tcBorders>
              <w:top w:val="single" w:sz="4" w:space="0" w:color="000000"/>
              <w:left w:val="single" w:sz="4" w:space="0" w:color="000000"/>
            </w:tcBorders>
            <w:shd w:val="clear" w:color="auto" w:fill="D9E1F3"/>
          </w:tcPr>
          <w:p>
            <w:pPr>
              <w:pStyle w:val="TableParagraph"/>
              <w:spacing w:before="94"/>
              <w:ind w:left="226"/>
              <w:rPr>
                <w:b/>
                <w:sz w:val="15"/>
              </w:rPr>
            </w:pPr>
            <w:r>
              <w:rPr>
                <w:b/>
                <w:sz w:val="15"/>
              </w:rPr>
              <w:t>Deuda SSMM</w:t>
            </w:r>
          </w:p>
        </w:tc>
        <w:tc>
          <w:tcPr>
            <w:tcW w:w="1290" w:type="dxa"/>
            <w:tcBorders>
              <w:top w:val="single" w:sz="4" w:space="0" w:color="000000"/>
            </w:tcBorders>
            <w:shd w:val="clear" w:color="auto" w:fill="D9E1F3"/>
          </w:tcPr>
          <w:p>
            <w:pPr>
              <w:pStyle w:val="TableParagraph"/>
              <w:spacing w:before="1"/>
              <w:ind w:left="117" w:right="140"/>
              <w:jc w:val="center"/>
              <w:rPr>
                <w:b/>
                <w:sz w:val="15"/>
              </w:rPr>
            </w:pPr>
            <w:r>
              <w:rPr>
                <w:b/>
                <w:sz w:val="15"/>
              </w:rPr>
              <w:t>Endeudamiento</w:t>
            </w:r>
          </w:p>
          <w:p>
            <w:pPr>
              <w:pStyle w:val="TableParagraph"/>
              <w:spacing w:line="163" w:lineRule="exact" w:before="3"/>
              <w:ind w:left="117" w:right="138"/>
              <w:jc w:val="center"/>
              <w:rPr>
                <w:b/>
                <w:sz w:val="15"/>
              </w:rPr>
            </w:pPr>
            <w:r>
              <w:rPr>
                <w:b/>
                <w:sz w:val="15"/>
              </w:rPr>
              <w:t>L/P</w:t>
            </w:r>
          </w:p>
        </w:tc>
        <w:tc>
          <w:tcPr>
            <w:tcW w:w="1270" w:type="dxa"/>
            <w:tcBorders>
              <w:top w:val="single" w:sz="4" w:space="0" w:color="000000"/>
            </w:tcBorders>
            <w:shd w:val="clear" w:color="auto" w:fill="D9E1F3"/>
          </w:tcPr>
          <w:p>
            <w:pPr>
              <w:pStyle w:val="TableParagraph"/>
              <w:spacing w:before="1"/>
              <w:ind w:left="150" w:right="87"/>
              <w:jc w:val="center"/>
              <w:rPr>
                <w:b/>
                <w:sz w:val="15"/>
              </w:rPr>
            </w:pPr>
            <w:r>
              <w:rPr>
                <w:b/>
                <w:sz w:val="15"/>
              </w:rPr>
              <w:t>Endeudamiento</w:t>
            </w:r>
          </w:p>
          <w:p>
            <w:pPr>
              <w:pStyle w:val="TableParagraph"/>
              <w:spacing w:line="163" w:lineRule="exact" w:before="3"/>
              <w:ind w:left="147" w:right="87"/>
              <w:jc w:val="center"/>
              <w:rPr>
                <w:b/>
                <w:sz w:val="15"/>
              </w:rPr>
            </w:pPr>
            <w:r>
              <w:rPr>
                <w:b/>
                <w:sz w:val="15"/>
              </w:rPr>
              <w:t>C/P</w:t>
            </w:r>
          </w:p>
        </w:tc>
        <w:tc>
          <w:tcPr>
            <w:tcW w:w="762" w:type="dxa"/>
            <w:tcBorders>
              <w:top w:val="single" w:sz="4" w:space="0" w:color="000000"/>
              <w:right w:val="single" w:sz="4" w:space="0" w:color="000000"/>
            </w:tcBorders>
            <w:shd w:val="clear" w:color="auto" w:fill="D9E1F3"/>
          </w:tcPr>
          <w:p>
            <w:pPr>
              <w:pStyle w:val="TableParagraph"/>
              <w:spacing w:before="1"/>
              <w:ind w:left="112"/>
              <w:rPr>
                <w:b/>
                <w:sz w:val="15"/>
              </w:rPr>
            </w:pPr>
            <w:r>
              <w:rPr>
                <w:b/>
                <w:sz w:val="15"/>
              </w:rPr>
              <w:t>Variación</w:t>
            </w:r>
          </w:p>
          <w:p>
            <w:pPr>
              <w:pStyle w:val="TableParagraph"/>
              <w:spacing w:line="163" w:lineRule="exact" w:before="3"/>
              <w:ind w:left="147"/>
              <w:rPr>
                <w:b/>
                <w:sz w:val="15"/>
              </w:rPr>
            </w:pPr>
            <w:r>
              <w:rPr>
                <w:b/>
                <w:sz w:val="15"/>
              </w:rPr>
              <w:t>2022/21</w:t>
            </w:r>
          </w:p>
        </w:tc>
      </w:tr>
      <w:tr>
        <w:trPr>
          <w:trHeight w:val="248" w:hRule="atLeast"/>
        </w:trPr>
        <w:tc>
          <w:tcPr>
            <w:tcW w:w="1340" w:type="dxa"/>
            <w:tcBorders>
              <w:left w:val="single" w:sz="4" w:space="0" w:color="000000"/>
            </w:tcBorders>
          </w:tcPr>
          <w:p>
            <w:pPr>
              <w:pStyle w:val="TableParagraph"/>
              <w:spacing w:before="34"/>
              <w:ind w:left="57"/>
              <w:rPr>
                <w:sz w:val="15"/>
              </w:rPr>
            </w:pPr>
            <w:r>
              <w:rPr>
                <w:sz w:val="15"/>
              </w:rPr>
              <w:t>GESTUR CANARIAS</w:t>
            </w:r>
          </w:p>
        </w:tc>
        <w:tc>
          <w:tcPr>
            <w:tcW w:w="1290" w:type="dxa"/>
          </w:tcPr>
          <w:p>
            <w:pPr>
              <w:pStyle w:val="TableParagraph"/>
              <w:spacing w:before="34"/>
              <w:ind w:right="463"/>
              <w:jc w:val="right"/>
              <w:rPr>
                <w:sz w:val="15"/>
              </w:rPr>
            </w:pPr>
            <w:r>
              <w:rPr>
                <w:sz w:val="15"/>
              </w:rPr>
              <w:t>5.142,90</w:t>
            </w:r>
          </w:p>
        </w:tc>
        <w:tc>
          <w:tcPr>
            <w:tcW w:w="1270" w:type="dxa"/>
          </w:tcPr>
          <w:p>
            <w:pPr>
              <w:pStyle w:val="TableParagraph"/>
              <w:spacing w:before="34"/>
              <w:ind w:right="415"/>
              <w:jc w:val="right"/>
              <w:rPr>
                <w:sz w:val="15"/>
              </w:rPr>
            </w:pPr>
            <w:r>
              <w:rPr>
                <w:sz w:val="15"/>
              </w:rPr>
              <w:t>603,4</w:t>
            </w:r>
          </w:p>
        </w:tc>
        <w:tc>
          <w:tcPr>
            <w:tcW w:w="762" w:type="dxa"/>
            <w:tcBorders>
              <w:right w:val="single" w:sz="4" w:space="0" w:color="000000"/>
            </w:tcBorders>
          </w:tcPr>
          <w:p>
            <w:pPr>
              <w:pStyle w:val="TableParagraph"/>
              <w:spacing w:before="34"/>
              <w:ind w:right="50"/>
              <w:jc w:val="right"/>
              <w:rPr>
                <w:sz w:val="15"/>
              </w:rPr>
            </w:pPr>
            <w:r>
              <w:rPr>
                <w:sz w:val="15"/>
              </w:rPr>
              <w:t>-583,5</w:t>
            </w:r>
          </w:p>
        </w:tc>
      </w:tr>
      <w:tr>
        <w:trPr>
          <w:trHeight w:val="201" w:hRule="atLeast"/>
        </w:trPr>
        <w:tc>
          <w:tcPr>
            <w:tcW w:w="1340" w:type="dxa"/>
            <w:tcBorders>
              <w:left w:val="single" w:sz="4" w:space="0" w:color="000000"/>
            </w:tcBorders>
          </w:tcPr>
          <w:p>
            <w:pPr>
              <w:pStyle w:val="TableParagraph"/>
              <w:spacing w:line="178" w:lineRule="exact" w:before="3"/>
              <w:ind w:left="57"/>
              <w:rPr>
                <w:sz w:val="15"/>
              </w:rPr>
            </w:pPr>
            <w:r>
              <w:rPr>
                <w:sz w:val="15"/>
              </w:rPr>
              <w:t>VISOCAN</w:t>
            </w:r>
          </w:p>
        </w:tc>
        <w:tc>
          <w:tcPr>
            <w:tcW w:w="1290" w:type="dxa"/>
          </w:tcPr>
          <w:p>
            <w:pPr>
              <w:pStyle w:val="TableParagraph"/>
              <w:spacing w:line="178" w:lineRule="exact" w:before="3"/>
              <w:ind w:right="463"/>
              <w:jc w:val="right"/>
              <w:rPr>
                <w:sz w:val="15"/>
              </w:rPr>
            </w:pPr>
            <w:r>
              <w:rPr>
                <w:sz w:val="15"/>
              </w:rPr>
              <w:t>51.345,50</w:t>
            </w:r>
          </w:p>
        </w:tc>
        <w:tc>
          <w:tcPr>
            <w:tcW w:w="1270" w:type="dxa"/>
          </w:tcPr>
          <w:p>
            <w:pPr>
              <w:pStyle w:val="TableParagraph"/>
              <w:spacing w:line="178" w:lineRule="exact" w:before="3"/>
              <w:ind w:right="415"/>
              <w:jc w:val="right"/>
              <w:rPr>
                <w:sz w:val="15"/>
              </w:rPr>
            </w:pPr>
            <w:r>
              <w:rPr>
                <w:sz w:val="15"/>
              </w:rPr>
              <w:t>4.072,40</w:t>
            </w:r>
          </w:p>
        </w:tc>
        <w:tc>
          <w:tcPr>
            <w:tcW w:w="762" w:type="dxa"/>
            <w:tcBorders>
              <w:right w:val="single" w:sz="4" w:space="0" w:color="000000"/>
            </w:tcBorders>
          </w:tcPr>
          <w:p>
            <w:pPr>
              <w:pStyle w:val="TableParagraph"/>
              <w:spacing w:line="178" w:lineRule="exact" w:before="3"/>
              <w:ind w:right="49"/>
              <w:jc w:val="right"/>
              <w:rPr>
                <w:sz w:val="15"/>
              </w:rPr>
            </w:pPr>
            <w:r>
              <w:rPr>
                <w:sz w:val="15"/>
              </w:rPr>
              <w:t>-6.653,70</w:t>
            </w:r>
          </w:p>
        </w:tc>
      </w:tr>
      <w:tr>
        <w:trPr>
          <w:trHeight w:val="169" w:hRule="atLeast"/>
        </w:trPr>
        <w:tc>
          <w:tcPr>
            <w:tcW w:w="1340" w:type="dxa"/>
            <w:tcBorders>
              <w:left w:val="single" w:sz="4" w:space="0" w:color="000000"/>
              <w:bottom w:val="single" w:sz="4" w:space="0" w:color="000000"/>
            </w:tcBorders>
          </w:tcPr>
          <w:p>
            <w:pPr>
              <w:pStyle w:val="TableParagraph"/>
              <w:spacing w:line="150" w:lineRule="exact"/>
              <w:ind w:left="57"/>
              <w:rPr>
                <w:b/>
                <w:sz w:val="15"/>
              </w:rPr>
            </w:pPr>
            <w:r>
              <w:rPr>
                <w:b/>
                <w:sz w:val="15"/>
              </w:rPr>
              <w:t>Saldo vivo</w:t>
            </w:r>
          </w:p>
        </w:tc>
        <w:tc>
          <w:tcPr>
            <w:tcW w:w="1290" w:type="dxa"/>
            <w:tcBorders>
              <w:bottom w:val="single" w:sz="4" w:space="0" w:color="000000"/>
            </w:tcBorders>
          </w:tcPr>
          <w:p>
            <w:pPr>
              <w:pStyle w:val="TableParagraph"/>
              <w:spacing w:line="150" w:lineRule="exact"/>
              <w:ind w:right="463"/>
              <w:jc w:val="right"/>
              <w:rPr>
                <w:b/>
                <w:sz w:val="15"/>
              </w:rPr>
            </w:pPr>
            <w:r>
              <w:rPr>
                <w:b/>
                <w:sz w:val="15"/>
              </w:rPr>
              <w:t>56.488,40</w:t>
            </w:r>
          </w:p>
        </w:tc>
        <w:tc>
          <w:tcPr>
            <w:tcW w:w="1270" w:type="dxa"/>
            <w:tcBorders>
              <w:bottom w:val="single" w:sz="4" w:space="0" w:color="000000"/>
            </w:tcBorders>
          </w:tcPr>
          <w:p>
            <w:pPr>
              <w:pStyle w:val="TableParagraph"/>
              <w:spacing w:line="150" w:lineRule="exact"/>
              <w:ind w:right="416"/>
              <w:jc w:val="right"/>
              <w:rPr>
                <w:b/>
                <w:sz w:val="15"/>
              </w:rPr>
            </w:pPr>
            <w:r>
              <w:rPr>
                <w:b/>
                <w:sz w:val="15"/>
              </w:rPr>
              <w:t>4.675,80</w:t>
            </w:r>
          </w:p>
        </w:tc>
        <w:tc>
          <w:tcPr>
            <w:tcW w:w="762" w:type="dxa"/>
            <w:tcBorders>
              <w:bottom w:val="single" w:sz="4" w:space="0" w:color="000000"/>
              <w:right w:val="single" w:sz="4" w:space="0" w:color="000000"/>
            </w:tcBorders>
          </w:tcPr>
          <w:p>
            <w:pPr>
              <w:pStyle w:val="TableParagraph"/>
              <w:spacing w:line="150" w:lineRule="exact"/>
              <w:ind w:right="49"/>
              <w:jc w:val="right"/>
              <w:rPr>
                <w:b/>
                <w:sz w:val="15"/>
              </w:rPr>
            </w:pPr>
            <w:r>
              <w:rPr>
                <w:b/>
                <w:sz w:val="15"/>
              </w:rPr>
              <w:t>-7.237,20</w:t>
            </w:r>
          </w:p>
        </w:tc>
      </w:tr>
    </w:tbl>
    <w:p>
      <w:pPr>
        <w:pStyle w:val="BodyText"/>
        <w:spacing w:before="7"/>
        <w:rPr>
          <w:b/>
          <w:sz w:val="11"/>
        </w:rPr>
      </w:pPr>
    </w:p>
    <w:p>
      <w:pPr>
        <w:pStyle w:val="ListParagraph"/>
        <w:numPr>
          <w:ilvl w:val="0"/>
          <w:numId w:val="77"/>
        </w:numPr>
        <w:tabs>
          <w:tab w:pos="2337" w:val="left" w:leader="none"/>
        </w:tabs>
        <w:spacing w:line="240" w:lineRule="auto" w:before="61" w:after="0"/>
        <w:ind w:left="2336" w:right="1139" w:hanging="238"/>
        <w:jc w:val="both"/>
        <w:rPr>
          <w:sz w:val="20"/>
        </w:rPr>
      </w:pPr>
      <w:r>
        <w:rPr>
          <w:sz w:val="20"/>
        </w:rPr>
        <w:t>En 2022 y con respecto al año anterior, la deuda total de las empresas públicas con entidades financieras se redujo en 7,2 millones de €, con motivo principalmente de la reducción del endeudamiento de VISOCAN por 6,7 millones de</w:t>
      </w:r>
      <w:r>
        <w:rPr>
          <w:spacing w:val="6"/>
          <w:sz w:val="20"/>
        </w:rPr>
        <w:t> </w:t>
      </w:r>
      <w:r>
        <w:rPr>
          <w:sz w:val="20"/>
        </w:rPr>
        <w:t>€.</w:t>
      </w:r>
    </w:p>
    <w:p>
      <w:pPr>
        <w:pStyle w:val="BodyText"/>
        <w:spacing w:before="11"/>
        <w:rPr>
          <w:sz w:val="16"/>
        </w:rPr>
      </w:pPr>
    </w:p>
    <w:p>
      <w:pPr>
        <w:pStyle w:val="ListParagraph"/>
        <w:numPr>
          <w:ilvl w:val="0"/>
          <w:numId w:val="77"/>
        </w:numPr>
        <w:tabs>
          <w:tab w:pos="2337" w:val="left" w:leader="none"/>
        </w:tabs>
        <w:spacing w:line="240" w:lineRule="auto" w:before="0" w:after="0"/>
        <w:ind w:left="2336" w:right="1142" w:hanging="238"/>
        <w:jc w:val="both"/>
        <w:rPr>
          <w:sz w:val="20"/>
        </w:rPr>
      </w:pPr>
      <w:r>
        <w:rPr>
          <w:sz w:val="20"/>
        </w:rPr>
        <w:t>De los 61,2 millones de € de deuda viva a 31/12/2022, el 90,5 % corresponde a VISOCAN.</w:t>
      </w:r>
    </w:p>
    <w:p>
      <w:pPr>
        <w:pStyle w:val="BodyText"/>
        <w:spacing w:before="10"/>
        <w:rPr>
          <w:sz w:val="16"/>
        </w:rPr>
      </w:pPr>
    </w:p>
    <w:p>
      <w:pPr>
        <w:pStyle w:val="ListParagraph"/>
        <w:numPr>
          <w:ilvl w:val="0"/>
          <w:numId w:val="77"/>
        </w:numPr>
        <w:tabs>
          <w:tab w:pos="2337" w:val="left" w:leader="none"/>
        </w:tabs>
        <w:spacing w:line="242" w:lineRule="auto" w:before="0" w:after="0"/>
        <w:ind w:left="2336" w:right="1146" w:hanging="238"/>
        <w:jc w:val="both"/>
        <w:rPr>
          <w:sz w:val="20"/>
        </w:rPr>
      </w:pPr>
      <w:r>
        <w:rPr>
          <w:sz w:val="20"/>
        </w:rPr>
        <w:t>En el presente ejercicio no se concertaron nuevas operaciones con entidades de crédito por parte de las Sociedades mercantiles y se continúa el proceso de liquidación de GESTUR LPA. Durante el ejercicio GMR liquidó la línea de descuento que abrió con una entidad financiera en 2021 con un límite de 0,3 millones de €, de la cual no se dispuso de importe alguno durante su</w:t>
      </w:r>
      <w:r>
        <w:rPr>
          <w:spacing w:val="2"/>
          <w:sz w:val="20"/>
        </w:rPr>
        <w:t> </w:t>
      </w:r>
      <w:r>
        <w:rPr>
          <w:sz w:val="20"/>
        </w:rPr>
        <w:t>vigencia.</w:t>
      </w:r>
    </w:p>
    <w:p>
      <w:pPr>
        <w:pStyle w:val="BodyText"/>
        <w:spacing w:before="4"/>
        <w:rPr>
          <w:sz w:val="16"/>
        </w:rPr>
      </w:pPr>
    </w:p>
    <w:p>
      <w:pPr>
        <w:pStyle w:val="ListParagraph"/>
        <w:numPr>
          <w:ilvl w:val="0"/>
          <w:numId w:val="77"/>
        </w:numPr>
        <w:tabs>
          <w:tab w:pos="2337" w:val="left" w:leader="none"/>
        </w:tabs>
        <w:spacing w:line="240" w:lineRule="auto" w:before="1" w:after="0"/>
        <w:ind w:left="2336" w:right="1140" w:hanging="238"/>
        <w:jc w:val="both"/>
        <w:rPr>
          <w:sz w:val="20"/>
        </w:rPr>
      </w:pPr>
      <w:r>
        <w:rPr>
          <w:sz w:val="20"/>
        </w:rPr>
        <w:t>Señalar que dentro del volumen de deuda pública que publica el Banco de España figuran GSC y PROMOTUR, dentro del concepto de factoring, con unos importes a final de ejercicio por valor de 3,3 millones de € y 27.220 euros, respectivamente (en 2021, figuraban PROMOTUR, GSC y GRECASA por importes de 33.130 euros, 2,5 millones de € y 131.640 euros</w:t>
      </w:r>
      <w:r>
        <w:rPr>
          <w:spacing w:val="-4"/>
          <w:sz w:val="20"/>
        </w:rPr>
        <w:t> </w:t>
      </w:r>
      <w:r>
        <w:rPr>
          <w:sz w:val="20"/>
        </w:rPr>
        <w:t>respectivamente).</w:t>
      </w:r>
    </w:p>
    <w:p>
      <w:pPr>
        <w:pStyle w:val="BodyText"/>
        <w:spacing w:before="2"/>
        <w:rPr>
          <w:sz w:val="17"/>
        </w:rPr>
      </w:pPr>
    </w:p>
    <w:p>
      <w:pPr>
        <w:pStyle w:val="ListParagraph"/>
        <w:numPr>
          <w:ilvl w:val="0"/>
          <w:numId w:val="77"/>
        </w:numPr>
        <w:tabs>
          <w:tab w:pos="2337" w:val="left" w:leader="none"/>
        </w:tabs>
        <w:spacing w:line="242" w:lineRule="auto" w:before="0" w:after="0"/>
        <w:ind w:left="2336" w:right="1142" w:hanging="238"/>
        <w:jc w:val="both"/>
        <w:rPr>
          <w:sz w:val="20"/>
        </w:rPr>
      </w:pPr>
      <w:r>
        <w:rPr>
          <w:sz w:val="20"/>
        </w:rPr>
        <w:t>En las cuentas anuales de las sociedades PROMOTUR y GMR figuran pasivos a 31 de diciembre de 2022 por importes de 1.142 euros y 964 euros, respectivamente, que se corresponden con el importe de VISAS pendientes de pago a dicha</w:t>
      </w:r>
      <w:r>
        <w:rPr>
          <w:spacing w:val="3"/>
          <w:sz w:val="20"/>
        </w:rPr>
        <w:t> </w:t>
      </w:r>
      <w:r>
        <w:rPr>
          <w:sz w:val="20"/>
        </w:rPr>
        <w:t>fecha.</w:t>
      </w:r>
    </w:p>
    <w:p>
      <w:pPr>
        <w:pStyle w:val="BodyText"/>
        <w:spacing w:before="4"/>
        <w:rPr>
          <w:sz w:val="16"/>
        </w:rPr>
      </w:pPr>
    </w:p>
    <w:p>
      <w:pPr>
        <w:pStyle w:val="ListParagraph"/>
        <w:numPr>
          <w:ilvl w:val="0"/>
          <w:numId w:val="77"/>
        </w:numPr>
        <w:tabs>
          <w:tab w:pos="2337" w:val="left" w:leader="none"/>
        </w:tabs>
        <w:spacing w:line="240" w:lineRule="auto" w:before="0" w:after="0"/>
        <w:ind w:left="2336" w:right="1145" w:hanging="238"/>
        <w:jc w:val="both"/>
        <w:rPr>
          <w:sz w:val="20"/>
        </w:rPr>
      </w:pPr>
      <w:r>
        <w:rPr>
          <w:sz w:val="20"/>
        </w:rPr>
        <w:t>Aparte del crédito antes mencionado, existen otras operaciones entre entidades del sector público, por valor total de 51,6 millones de €, al final del ejercicio que no se tienen en cuenta para el cálculo del cumplimiento del objetivo de endeudamiento por haberse formalizado entre los referidos entes. En 2021, esta deuda ascendía</w:t>
      </w:r>
      <w:r>
        <w:rPr>
          <w:spacing w:val="17"/>
          <w:sz w:val="20"/>
        </w:rPr>
        <w:t> </w:t>
      </w:r>
      <w:r>
        <w:rPr>
          <w:sz w:val="20"/>
        </w:rPr>
        <w:t>a</w:t>
      </w:r>
    </w:p>
    <w:p>
      <w:pPr>
        <w:pStyle w:val="BodyText"/>
        <w:rPr>
          <w:sz w:val="23"/>
        </w:rPr>
      </w:pPr>
    </w:p>
    <w:p>
      <w:pPr>
        <w:pStyle w:val="BodyText"/>
        <w:spacing w:before="61"/>
        <w:ind w:left="7787"/>
        <w:jc w:val="center"/>
      </w:pPr>
      <w:r>
        <w:rPr/>
        <w:t>126</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67" name="image5.png"/>
                  <wp:cNvGraphicFramePr>
                    <a:graphicFrameLocks noChangeAspect="1"/>
                  </wp:cNvGraphicFramePr>
                  <a:graphic>
                    <a:graphicData uri="http://schemas.openxmlformats.org/drawingml/2006/picture">
                      <pic:pic>
                        <pic:nvPicPr>
                          <pic:cNvPr id="26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128/247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right="1146"/>
        <w:jc w:val="right"/>
      </w:pPr>
      <w:r>
        <w:rPr/>
        <w:t>51,8 millones de €. La mayor parte de dicho importe corresponde también a</w:t>
      </w:r>
    </w:p>
    <w:p>
      <w:pPr>
        <w:pStyle w:val="BodyText"/>
        <w:spacing w:before="2"/>
        <w:ind w:left="2336"/>
      </w:pPr>
      <w:r>
        <w:rPr/>
        <w:t>VISOCAN.</w:t>
      </w:r>
    </w:p>
    <w:p>
      <w:pPr>
        <w:pStyle w:val="BodyText"/>
        <w:spacing w:before="7"/>
        <w:rPr>
          <w:sz w:val="16"/>
        </w:rPr>
      </w:pPr>
    </w:p>
    <w:tbl>
      <w:tblPr>
        <w:tblW w:w="0" w:type="auto"/>
        <w:jc w:val="left"/>
        <w:tblInd w:w="3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0"/>
        <w:gridCol w:w="1739"/>
        <w:gridCol w:w="886"/>
      </w:tblGrid>
      <w:tr>
        <w:trPr>
          <w:trHeight w:val="196" w:hRule="atLeast"/>
        </w:trPr>
        <w:tc>
          <w:tcPr>
            <w:tcW w:w="1540" w:type="dxa"/>
            <w:tcBorders>
              <w:top w:val="single" w:sz="4" w:space="0" w:color="000000"/>
              <w:left w:val="single" w:sz="4" w:space="0" w:color="000000"/>
            </w:tcBorders>
            <w:shd w:val="clear" w:color="auto" w:fill="D9E1F3"/>
          </w:tcPr>
          <w:p>
            <w:pPr>
              <w:pStyle w:val="TableParagraph"/>
              <w:spacing w:line="173" w:lineRule="exact" w:before="3"/>
              <w:ind w:left="57"/>
              <w:rPr>
                <w:b/>
                <w:sz w:val="15"/>
              </w:rPr>
            </w:pPr>
            <w:r>
              <w:rPr>
                <w:b/>
                <w:sz w:val="15"/>
              </w:rPr>
              <w:t>Empresas</w:t>
            </w:r>
          </w:p>
        </w:tc>
        <w:tc>
          <w:tcPr>
            <w:tcW w:w="1739" w:type="dxa"/>
            <w:tcBorders>
              <w:top w:val="single" w:sz="4" w:space="0" w:color="000000"/>
            </w:tcBorders>
            <w:shd w:val="clear" w:color="auto" w:fill="D9E1F3"/>
          </w:tcPr>
          <w:p>
            <w:pPr>
              <w:pStyle w:val="TableParagraph"/>
              <w:spacing w:line="173" w:lineRule="exact" w:before="3"/>
              <w:ind w:left="70"/>
              <w:rPr>
                <w:b/>
                <w:sz w:val="15"/>
              </w:rPr>
            </w:pPr>
            <w:r>
              <w:rPr>
                <w:b/>
                <w:sz w:val="15"/>
              </w:rPr>
              <w:t>Prestamista</w:t>
            </w:r>
          </w:p>
        </w:tc>
        <w:tc>
          <w:tcPr>
            <w:tcW w:w="886" w:type="dxa"/>
            <w:tcBorders>
              <w:top w:val="single" w:sz="4" w:space="0" w:color="000000"/>
              <w:right w:val="single" w:sz="4" w:space="0" w:color="000000"/>
            </w:tcBorders>
            <w:shd w:val="clear" w:color="auto" w:fill="D9E1F3"/>
          </w:tcPr>
          <w:p>
            <w:pPr>
              <w:pStyle w:val="TableParagraph"/>
              <w:spacing w:line="173" w:lineRule="exact" w:before="3"/>
              <w:ind w:left="116"/>
              <w:rPr>
                <w:b/>
                <w:sz w:val="15"/>
              </w:rPr>
            </w:pPr>
            <w:r>
              <w:rPr>
                <w:b/>
                <w:sz w:val="15"/>
              </w:rPr>
              <w:t>Miles de €</w:t>
            </w:r>
          </w:p>
        </w:tc>
      </w:tr>
      <w:tr>
        <w:trPr>
          <w:trHeight w:val="206" w:hRule="atLeast"/>
        </w:trPr>
        <w:tc>
          <w:tcPr>
            <w:tcW w:w="1540" w:type="dxa"/>
            <w:tcBorders>
              <w:left w:val="single" w:sz="4" w:space="0" w:color="000000"/>
            </w:tcBorders>
          </w:tcPr>
          <w:p>
            <w:pPr>
              <w:pStyle w:val="TableParagraph"/>
              <w:spacing w:before="2"/>
              <w:ind w:left="57"/>
              <w:rPr>
                <w:sz w:val="15"/>
              </w:rPr>
            </w:pPr>
            <w:r>
              <w:rPr>
                <w:sz w:val="15"/>
              </w:rPr>
              <w:t>VISOCAN</w:t>
            </w:r>
          </w:p>
        </w:tc>
        <w:tc>
          <w:tcPr>
            <w:tcW w:w="1739" w:type="dxa"/>
          </w:tcPr>
          <w:p>
            <w:pPr>
              <w:pStyle w:val="TableParagraph"/>
              <w:spacing w:before="2"/>
              <w:ind w:left="70"/>
              <w:rPr>
                <w:sz w:val="15"/>
              </w:rPr>
            </w:pPr>
            <w:r>
              <w:rPr>
                <w:sz w:val="15"/>
              </w:rPr>
              <w:t>Gobierno de Canarias</w:t>
            </w:r>
          </w:p>
        </w:tc>
        <w:tc>
          <w:tcPr>
            <w:tcW w:w="886" w:type="dxa"/>
            <w:tcBorders>
              <w:right w:val="single" w:sz="4" w:space="0" w:color="000000"/>
            </w:tcBorders>
          </w:tcPr>
          <w:p>
            <w:pPr>
              <w:pStyle w:val="TableParagraph"/>
              <w:spacing w:before="2"/>
              <w:ind w:right="47"/>
              <w:jc w:val="right"/>
              <w:rPr>
                <w:sz w:val="15"/>
              </w:rPr>
            </w:pPr>
            <w:r>
              <w:rPr>
                <w:sz w:val="15"/>
              </w:rPr>
              <w:t>41.471,2</w:t>
            </w:r>
          </w:p>
        </w:tc>
      </w:tr>
      <w:tr>
        <w:trPr>
          <w:trHeight w:val="197" w:hRule="atLeast"/>
        </w:trPr>
        <w:tc>
          <w:tcPr>
            <w:tcW w:w="1540" w:type="dxa"/>
            <w:tcBorders>
              <w:left w:val="single" w:sz="4" w:space="0" w:color="000000"/>
            </w:tcBorders>
          </w:tcPr>
          <w:p>
            <w:pPr>
              <w:pStyle w:val="TableParagraph"/>
              <w:spacing w:line="177" w:lineRule="exact"/>
              <w:ind w:left="57"/>
              <w:rPr>
                <w:sz w:val="15"/>
              </w:rPr>
            </w:pPr>
            <w:r>
              <w:rPr>
                <w:sz w:val="15"/>
              </w:rPr>
              <w:t>GESTUR LP</w:t>
            </w:r>
          </w:p>
        </w:tc>
        <w:tc>
          <w:tcPr>
            <w:tcW w:w="1739" w:type="dxa"/>
          </w:tcPr>
          <w:p>
            <w:pPr>
              <w:pStyle w:val="TableParagraph"/>
              <w:spacing w:line="177" w:lineRule="exact"/>
              <w:ind w:left="70"/>
              <w:rPr>
                <w:sz w:val="15"/>
              </w:rPr>
            </w:pPr>
            <w:r>
              <w:rPr>
                <w:sz w:val="15"/>
              </w:rPr>
              <w:t>Gobierno de Canarias</w:t>
            </w:r>
          </w:p>
        </w:tc>
        <w:tc>
          <w:tcPr>
            <w:tcW w:w="886" w:type="dxa"/>
            <w:tcBorders>
              <w:right w:val="single" w:sz="4" w:space="0" w:color="000000"/>
            </w:tcBorders>
          </w:tcPr>
          <w:p>
            <w:pPr>
              <w:pStyle w:val="TableParagraph"/>
              <w:spacing w:line="177" w:lineRule="exact"/>
              <w:ind w:right="47"/>
              <w:jc w:val="right"/>
              <w:rPr>
                <w:sz w:val="15"/>
              </w:rPr>
            </w:pPr>
            <w:r>
              <w:rPr>
                <w:sz w:val="15"/>
              </w:rPr>
              <w:t>9.797,1</w:t>
            </w:r>
          </w:p>
        </w:tc>
      </w:tr>
      <w:tr>
        <w:trPr>
          <w:trHeight w:val="196" w:hRule="atLeast"/>
        </w:trPr>
        <w:tc>
          <w:tcPr>
            <w:tcW w:w="1540" w:type="dxa"/>
            <w:tcBorders>
              <w:left w:val="single" w:sz="4" w:space="0" w:color="000000"/>
            </w:tcBorders>
          </w:tcPr>
          <w:p>
            <w:pPr>
              <w:pStyle w:val="TableParagraph"/>
              <w:spacing w:line="176" w:lineRule="exact"/>
              <w:ind w:left="57"/>
              <w:rPr>
                <w:sz w:val="15"/>
              </w:rPr>
            </w:pPr>
            <w:r>
              <w:rPr>
                <w:sz w:val="15"/>
              </w:rPr>
              <w:t>GESTUR LP</w:t>
            </w:r>
          </w:p>
        </w:tc>
        <w:tc>
          <w:tcPr>
            <w:tcW w:w="1739" w:type="dxa"/>
          </w:tcPr>
          <w:p>
            <w:pPr>
              <w:pStyle w:val="TableParagraph"/>
              <w:spacing w:line="176" w:lineRule="exact"/>
              <w:ind w:left="70"/>
              <w:rPr>
                <w:sz w:val="15"/>
              </w:rPr>
            </w:pPr>
            <w:r>
              <w:rPr>
                <w:sz w:val="15"/>
              </w:rPr>
              <w:t>VISOCAN</w:t>
            </w:r>
          </w:p>
        </w:tc>
        <w:tc>
          <w:tcPr>
            <w:tcW w:w="886" w:type="dxa"/>
            <w:tcBorders>
              <w:right w:val="single" w:sz="4" w:space="0" w:color="000000"/>
            </w:tcBorders>
          </w:tcPr>
          <w:p>
            <w:pPr>
              <w:pStyle w:val="TableParagraph"/>
              <w:spacing w:line="176" w:lineRule="exact"/>
              <w:ind w:right="47"/>
              <w:jc w:val="right"/>
              <w:rPr>
                <w:sz w:val="15"/>
              </w:rPr>
            </w:pPr>
            <w:r>
              <w:rPr>
                <w:sz w:val="15"/>
              </w:rPr>
              <w:t>111,2</w:t>
            </w:r>
          </w:p>
        </w:tc>
      </w:tr>
      <w:tr>
        <w:trPr>
          <w:trHeight w:val="196" w:hRule="atLeast"/>
        </w:trPr>
        <w:tc>
          <w:tcPr>
            <w:tcW w:w="1540" w:type="dxa"/>
            <w:tcBorders>
              <w:left w:val="single" w:sz="4" w:space="0" w:color="000000"/>
            </w:tcBorders>
          </w:tcPr>
          <w:p>
            <w:pPr>
              <w:pStyle w:val="TableParagraph"/>
              <w:spacing w:line="176" w:lineRule="exact"/>
              <w:ind w:left="57"/>
              <w:rPr>
                <w:sz w:val="15"/>
              </w:rPr>
            </w:pPr>
            <w:r>
              <w:rPr>
                <w:sz w:val="15"/>
              </w:rPr>
              <w:t>GESTUR LP</w:t>
            </w:r>
          </w:p>
        </w:tc>
        <w:tc>
          <w:tcPr>
            <w:tcW w:w="1739" w:type="dxa"/>
          </w:tcPr>
          <w:p>
            <w:pPr>
              <w:pStyle w:val="TableParagraph"/>
              <w:spacing w:line="176" w:lineRule="exact"/>
              <w:ind w:left="70"/>
              <w:rPr>
                <w:sz w:val="15"/>
              </w:rPr>
            </w:pPr>
            <w:r>
              <w:rPr>
                <w:sz w:val="15"/>
              </w:rPr>
              <w:t>Cabildo de Fuerteventura</w:t>
            </w:r>
          </w:p>
        </w:tc>
        <w:tc>
          <w:tcPr>
            <w:tcW w:w="886" w:type="dxa"/>
            <w:tcBorders>
              <w:right w:val="single" w:sz="4" w:space="0" w:color="000000"/>
            </w:tcBorders>
          </w:tcPr>
          <w:p>
            <w:pPr>
              <w:pStyle w:val="TableParagraph"/>
              <w:spacing w:line="176" w:lineRule="exact"/>
              <w:ind w:right="47"/>
              <w:jc w:val="right"/>
              <w:rPr>
                <w:sz w:val="15"/>
              </w:rPr>
            </w:pPr>
            <w:r>
              <w:rPr>
                <w:sz w:val="15"/>
              </w:rPr>
              <w:t>28,1</w:t>
            </w:r>
          </w:p>
        </w:tc>
      </w:tr>
      <w:tr>
        <w:trPr>
          <w:trHeight w:val="197" w:hRule="atLeast"/>
        </w:trPr>
        <w:tc>
          <w:tcPr>
            <w:tcW w:w="1540" w:type="dxa"/>
            <w:tcBorders>
              <w:left w:val="single" w:sz="4" w:space="0" w:color="000000"/>
            </w:tcBorders>
          </w:tcPr>
          <w:p>
            <w:pPr>
              <w:pStyle w:val="TableParagraph"/>
              <w:spacing w:line="177" w:lineRule="exact"/>
              <w:ind w:left="57"/>
              <w:rPr>
                <w:sz w:val="15"/>
              </w:rPr>
            </w:pPr>
            <w:r>
              <w:rPr>
                <w:sz w:val="15"/>
              </w:rPr>
              <w:t>ITC</w:t>
            </w:r>
          </w:p>
        </w:tc>
        <w:tc>
          <w:tcPr>
            <w:tcW w:w="1739" w:type="dxa"/>
          </w:tcPr>
          <w:p>
            <w:pPr>
              <w:pStyle w:val="TableParagraph"/>
              <w:spacing w:line="177" w:lineRule="exact"/>
              <w:ind w:left="70"/>
              <w:rPr>
                <w:sz w:val="15"/>
              </w:rPr>
            </w:pPr>
            <w:r>
              <w:rPr>
                <w:sz w:val="15"/>
              </w:rPr>
              <w:t>ACIISI</w:t>
            </w:r>
          </w:p>
        </w:tc>
        <w:tc>
          <w:tcPr>
            <w:tcW w:w="886" w:type="dxa"/>
            <w:tcBorders>
              <w:right w:val="single" w:sz="4" w:space="0" w:color="000000"/>
            </w:tcBorders>
          </w:tcPr>
          <w:p>
            <w:pPr>
              <w:pStyle w:val="TableParagraph"/>
              <w:spacing w:line="177" w:lineRule="exact"/>
              <w:ind w:right="47"/>
              <w:jc w:val="right"/>
              <w:rPr>
                <w:sz w:val="15"/>
              </w:rPr>
            </w:pPr>
            <w:r>
              <w:rPr>
                <w:sz w:val="15"/>
              </w:rPr>
              <w:t>229,5</w:t>
            </w:r>
          </w:p>
        </w:tc>
      </w:tr>
      <w:tr>
        <w:trPr>
          <w:trHeight w:val="185" w:hRule="atLeast"/>
        </w:trPr>
        <w:tc>
          <w:tcPr>
            <w:tcW w:w="1540" w:type="dxa"/>
            <w:tcBorders>
              <w:left w:val="single" w:sz="4" w:space="0" w:color="000000"/>
              <w:bottom w:val="single" w:sz="4" w:space="0" w:color="000000"/>
            </w:tcBorders>
          </w:tcPr>
          <w:p>
            <w:pPr>
              <w:pStyle w:val="TableParagraph"/>
              <w:spacing w:line="166" w:lineRule="exact"/>
              <w:ind w:left="57"/>
              <w:rPr>
                <w:b/>
                <w:sz w:val="15"/>
              </w:rPr>
            </w:pPr>
            <w:r>
              <w:rPr>
                <w:b/>
                <w:sz w:val="15"/>
              </w:rPr>
              <w:t>Saldo vivo 31/12/2022</w:t>
            </w:r>
          </w:p>
        </w:tc>
        <w:tc>
          <w:tcPr>
            <w:tcW w:w="1739" w:type="dxa"/>
            <w:tcBorders>
              <w:bottom w:val="single" w:sz="4" w:space="0" w:color="000000"/>
            </w:tcBorders>
          </w:tcPr>
          <w:p>
            <w:pPr>
              <w:pStyle w:val="TableParagraph"/>
              <w:rPr>
                <w:rFonts w:ascii="Times New Roman"/>
                <w:sz w:val="12"/>
              </w:rPr>
            </w:pPr>
          </w:p>
        </w:tc>
        <w:tc>
          <w:tcPr>
            <w:tcW w:w="886" w:type="dxa"/>
            <w:tcBorders>
              <w:bottom w:val="single" w:sz="4" w:space="0" w:color="000000"/>
              <w:right w:val="single" w:sz="4" w:space="0" w:color="000000"/>
            </w:tcBorders>
          </w:tcPr>
          <w:p>
            <w:pPr>
              <w:pStyle w:val="TableParagraph"/>
              <w:spacing w:line="166" w:lineRule="exact"/>
              <w:ind w:right="46"/>
              <w:jc w:val="right"/>
              <w:rPr>
                <w:b/>
                <w:sz w:val="15"/>
              </w:rPr>
            </w:pPr>
            <w:r>
              <w:rPr>
                <w:b/>
                <w:sz w:val="15"/>
              </w:rPr>
              <w:t>51.637,1</w:t>
            </w:r>
          </w:p>
        </w:tc>
      </w:tr>
    </w:tbl>
    <w:p>
      <w:pPr>
        <w:pStyle w:val="BodyText"/>
        <w:spacing w:before="7"/>
        <w:rPr>
          <w:sz w:val="16"/>
        </w:rPr>
      </w:pPr>
    </w:p>
    <w:p>
      <w:pPr>
        <w:pStyle w:val="BodyText"/>
        <w:spacing w:line="242" w:lineRule="auto"/>
        <w:ind w:left="2099" w:right="1142" w:firstLine="594"/>
        <w:jc w:val="both"/>
      </w:pPr>
      <w:r>
        <w:rPr/>
        <w:t>El importe del préstamo de VISOCAN permanece igual que a 31 de diciembre de 2021 ya que en 2020 se produjo una reestructuración del mismo que supuso una carencia para el periodo 2020-2022. Además del préstamo de 41,5 millones de € VISOCAN</w:t>
      </w:r>
      <w:r>
        <w:rPr>
          <w:spacing w:val="-8"/>
        </w:rPr>
        <w:t> </w:t>
      </w:r>
      <w:r>
        <w:rPr/>
        <w:t>tiene</w:t>
      </w:r>
      <w:r>
        <w:rPr>
          <w:spacing w:val="-10"/>
        </w:rPr>
        <w:t> </w:t>
      </w:r>
      <w:r>
        <w:rPr/>
        <w:t>en</w:t>
      </w:r>
      <w:r>
        <w:rPr>
          <w:spacing w:val="-9"/>
        </w:rPr>
        <w:t> </w:t>
      </w:r>
      <w:r>
        <w:rPr/>
        <w:t>el</w:t>
      </w:r>
      <w:r>
        <w:rPr>
          <w:spacing w:val="-8"/>
        </w:rPr>
        <w:t> </w:t>
      </w:r>
      <w:r>
        <w:rPr/>
        <w:t>epígrafe</w:t>
      </w:r>
      <w:r>
        <w:rPr>
          <w:spacing w:val="-8"/>
        </w:rPr>
        <w:t> </w:t>
      </w:r>
      <w:r>
        <w:rPr/>
        <w:t>“deudas</w:t>
      </w:r>
      <w:r>
        <w:rPr>
          <w:spacing w:val="-8"/>
        </w:rPr>
        <w:t> </w:t>
      </w:r>
      <w:r>
        <w:rPr/>
        <w:t>con</w:t>
      </w:r>
      <w:r>
        <w:rPr>
          <w:spacing w:val="-10"/>
        </w:rPr>
        <w:t> </w:t>
      </w:r>
      <w:r>
        <w:rPr/>
        <w:t>empresas</w:t>
      </w:r>
      <w:r>
        <w:rPr>
          <w:spacing w:val="-8"/>
        </w:rPr>
        <w:t> </w:t>
      </w:r>
      <w:r>
        <w:rPr/>
        <w:t>del</w:t>
      </w:r>
      <w:r>
        <w:rPr>
          <w:spacing w:val="-10"/>
        </w:rPr>
        <w:t> </w:t>
      </w:r>
      <w:r>
        <w:rPr/>
        <w:t>grupo</w:t>
      </w:r>
      <w:r>
        <w:rPr>
          <w:spacing w:val="-7"/>
        </w:rPr>
        <w:t> </w:t>
      </w:r>
      <w:r>
        <w:rPr/>
        <w:t>y</w:t>
      </w:r>
      <w:r>
        <w:rPr>
          <w:spacing w:val="-9"/>
        </w:rPr>
        <w:t> </w:t>
      </w:r>
      <w:r>
        <w:rPr/>
        <w:t>asociados</w:t>
      </w:r>
      <w:r>
        <w:rPr>
          <w:spacing w:val="-10"/>
        </w:rPr>
        <w:t> </w:t>
      </w:r>
      <w:r>
        <w:rPr/>
        <w:t>a</w:t>
      </w:r>
      <w:r>
        <w:rPr>
          <w:spacing w:val="-8"/>
        </w:rPr>
        <w:t> </w:t>
      </w:r>
      <w:r>
        <w:rPr/>
        <w:t>corto</w:t>
      </w:r>
      <w:r>
        <w:rPr>
          <w:spacing w:val="-10"/>
        </w:rPr>
        <w:t> </w:t>
      </w:r>
      <w:r>
        <w:rPr/>
        <w:t>plazo” un importe 119.750 euros que se corresponden con intereses devengados y no vencidos.</w:t>
      </w:r>
    </w:p>
    <w:p>
      <w:pPr>
        <w:pStyle w:val="BodyText"/>
        <w:spacing w:before="4"/>
        <w:rPr>
          <w:sz w:val="16"/>
        </w:rPr>
      </w:pPr>
    </w:p>
    <w:p>
      <w:pPr>
        <w:pStyle w:val="BodyText"/>
        <w:ind w:left="2099" w:right="1142" w:firstLine="594"/>
        <w:jc w:val="both"/>
      </w:pPr>
      <w:r>
        <w:rPr/>
        <w:t>Del importe del préstamo del ITC a 31 de diciembre de 2021 que era de 447.600 euros solo queda pendiente a 31 de diciembre de 2022 un importe a corto plazo de</w:t>
      </w:r>
    </w:p>
    <w:p>
      <w:pPr>
        <w:pStyle w:val="BodyText"/>
        <w:spacing w:before="3"/>
        <w:ind w:left="2099"/>
      </w:pPr>
      <w:r>
        <w:rPr/>
        <w:t>229.510 euros que incluye los intereses devengados y no vencidos a dicha fecha.</w:t>
      </w:r>
    </w:p>
    <w:p>
      <w:pPr>
        <w:pStyle w:val="BodyText"/>
        <w:spacing w:before="8"/>
        <w:rPr>
          <w:sz w:val="16"/>
        </w:rPr>
      </w:pPr>
    </w:p>
    <w:p>
      <w:pPr>
        <w:pStyle w:val="BodyText"/>
        <w:spacing w:line="242" w:lineRule="auto"/>
        <w:ind w:left="2099" w:right="1144" w:firstLine="594"/>
        <w:jc w:val="both"/>
      </w:pPr>
      <w:r>
        <w:rPr/>
        <w:t>Los</w:t>
      </w:r>
      <w:r>
        <w:rPr>
          <w:spacing w:val="-8"/>
        </w:rPr>
        <w:t> </w:t>
      </w:r>
      <w:r>
        <w:rPr/>
        <w:t>importes</w:t>
      </w:r>
      <w:r>
        <w:rPr>
          <w:spacing w:val="-9"/>
        </w:rPr>
        <w:t> </w:t>
      </w:r>
      <w:r>
        <w:rPr/>
        <w:t>de</w:t>
      </w:r>
      <w:r>
        <w:rPr>
          <w:spacing w:val="-7"/>
        </w:rPr>
        <w:t> </w:t>
      </w:r>
      <w:r>
        <w:rPr/>
        <w:t>los</w:t>
      </w:r>
      <w:r>
        <w:rPr>
          <w:spacing w:val="-10"/>
        </w:rPr>
        <w:t> </w:t>
      </w:r>
      <w:r>
        <w:rPr/>
        <w:t>préstamos</w:t>
      </w:r>
      <w:r>
        <w:rPr>
          <w:spacing w:val="-8"/>
        </w:rPr>
        <w:t> </w:t>
      </w:r>
      <w:r>
        <w:rPr/>
        <w:t>de</w:t>
      </w:r>
      <w:r>
        <w:rPr>
          <w:spacing w:val="-10"/>
        </w:rPr>
        <w:t> </w:t>
      </w:r>
      <w:r>
        <w:rPr/>
        <w:t>GESTUR</w:t>
      </w:r>
      <w:r>
        <w:rPr>
          <w:spacing w:val="-8"/>
        </w:rPr>
        <w:t> </w:t>
      </w:r>
      <w:r>
        <w:rPr/>
        <w:t>LP</w:t>
      </w:r>
      <w:r>
        <w:rPr>
          <w:spacing w:val="-7"/>
        </w:rPr>
        <w:t> </w:t>
      </w:r>
      <w:r>
        <w:rPr/>
        <w:t>se</w:t>
      </w:r>
      <w:r>
        <w:rPr>
          <w:spacing w:val="-10"/>
        </w:rPr>
        <w:t> </w:t>
      </w:r>
      <w:r>
        <w:rPr/>
        <w:t>corresponden</w:t>
      </w:r>
      <w:r>
        <w:rPr>
          <w:spacing w:val="-7"/>
        </w:rPr>
        <w:t> </w:t>
      </w:r>
      <w:r>
        <w:rPr/>
        <w:t>con</w:t>
      </w:r>
      <w:r>
        <w:rPr>
          <w:spacing w:val="-8"/>
        </w:rPr>
        <w:t> </w:t>
      </w:r>
      <w:r>
        <w:rPr/>
        <w:t>la</w:t>
      </w:r>
      <w:r>
        <w:rPr>
          <w:spacing w:val="-7"/>
        </w:rPr>
        <w:t> </w:t>
      </w:r>
      <w:r>
        <w:rPr/>
        <w:t>información contenida en sus cuentas anuales de los saldos de los préstamos, así como de las liquidaciones de intereses sobre los préstamos al cierre del ejercicio. En las cuentas anuales de VISOCAN figura la concesión de un préstamo a GESTUR LP por importe de 76.800 euros que no incluye</w:t>
      </w:r>
      <w:r>
        <w:rPr>
          <w:spacing w:val="-5"/>
        </w:rPr>
        <w:t> </w:t>
      </w:r>
      <w:r>
        <w:rPr/>
        <w:t>intereses.</w:t>
      </w:r>
    </w:p>
    <w:p>
      <w:pPr>
        <w:pStyle w:val="BodyText"/>
        <w:spacing w:before="3"/>
        <w:rPr>
          <w:sz w:val="16"/>
        </w:rPr>
      </w:pPr>
    </w:p>
    <w:p>
      <w:pPr>
        <w:pStyle w:val="BodyText"/>
        <w:ind w:right="1144"/>
        <w:jc w:val="right"/>
      </w:pPr>
      <w:r>
        <w:rPr/>
        <w:t>Durante</w:t>
      </w:r>
      <w:r>
        <w:rPr>
          <w:spacing w:val="7"/>
        </w:rPr>
        <w:t> </w:t>
      </w:r>
      <w:r>
        <w:rPr/>
        <w:t>el</w:t>
      </w:r>
      <w:r>
        <w:rPr>
          <w:spacing w:val="9"/>
        </w:rPr>
        <w:t> </w:t>
      </w:r>
      <w:r>
        <w:rPr/>
        <w:t>ejercicio</w:t>
      </w:r>
      <w:r>
        <w:rPr>
          <w:spacing w:val="9"/>
        </w:rPr>
        <w:t> </w:t>
      </w:r>
      <w:r>
        <w:rPr/>
        <w:t>se</w:t>
      </w:r>
      <w:r>
        <w:rPr>
          <w:spacing w:val="9"/>
        </w:rPr>
        <w:t> </w:t>
      </w:r>
      <w:r>
        <w:rPr/>
        <w:t>canceló</w:t>
      </w:r>
      <w:r>
        <w:rPr>
          <w:spacing w:val="9"/>
        </w:rPr>
        <w:t> </w:t>
      </w:r>
      <w:r>
        <w:rPr/>
        <w:t>los</w:t>
      </w:r>
      <w:r>
        <w:rPr>
          <w:spacing w:val="9"/>
        </w:rPr>
        <w:t> </w:t>
      </w:r>
      <w:r>
        <w:rPr/>
        <w:t>240.000</w:t>
      </w:r>
      <w:r>
        <w:rPr>
          <w:spacing w:val="9"/>
        </w:rPr>
        <w:t> </w:t>
      </w:r>
      <w:r>
        <w:rPr/>
        <w:t>euros</w:t>
      </w:r>
      <w:r>
        <w:rPr>
          <w:spacing w:val="7"/>
        </w:rPr>
        <w:t> </w:t>
      </w:r>
      <w:r>
        <w:rPr/>
        <w:t>pendientes</w:t>
      </w:r>
      <w:r>
        <w:rPr>
          <w:spacing w:val="9"/>
        </w:rPr>
        <w:t> </w:t>
      </w:r>
      <w:r>
        <w:rPr/>
        <w:t>a</w:t>
      </w:r>
      <w:r>
        <w:rPr>
          <w:spacing w:val="9"/>
        </w:rPr>
        <w:t> </w:t>
      </w:r>
      <w:r>
        <w:rPr/>
        <w:t>31</w:t>
      </w:r>
      <w:r>
        <w:rPr>
          <w:spacing w:val="10"/>
        </w:rPr>
        <w:t> </w:t>
      </w:r>
      <w:r>
        <w:rPr/>
        <w:t>de</w:t>
      </w:r>
      <w:r>
        <w:rPr>
          <w:spacing w:val="7"/>
        </w:rPr>
        <w:t> </w:t>
      </w:r>
      <w:r>
        <w:rPr/>
        <w:t>diciembre</w:t>
      </w:r>
    </w:p>
    <w:p>
      <w:pPr>
        <w:pStyle w:val="BodyText"/>
        <w:spacing w:before="2"/>
        <w:ind w:right="1175"/>
        <w:jc w:val="right"/>
      </w:pPr>
      <w:r>
        <w:rPr/>
        <w:t>de 2021 del préstamo que mantenía GMR con la CAC por importe de 1,2 millones de</w:t>
      </w:r>
      <w:r>
        <w:rPr>
          <w:spacing w:val="25"/>
        </w:rPr>
        <w:t> </w:t>
      </w:r>
      <w:r>
        <w:rPr/>
        <w:t>€.</w:t>
      </w:r>
    </w:p>
    <w:p>
      <w:pPr>
        <w:pStyle w:val="BodyText"/>
        <w:spacing w:before="10"/>
        <w:rPr>
          <w:sz w:val="16"/>
        </w:rPr>
      </w:pPr>
    </w:p>
    <w:p>
      <w:pPr>
        <w:pStyle w:val="BodyText"/>
        <w:spacing w:line="242" w:lineRule="auto"/>
        <w:ind w:left="2099" w:right="1144" w:firstLine="594"/>
        <w:jc w:val="both"/>
      </w:pPr>
      <w:r>
        <w:rPr/>
        <w:t>Señalar que en las cuentas anuales de ASISTA (antes denominada GRECASA) se recoge una deuda a favor de la sociedad con motivo del crédito concedido con garantía hipotecaria a VISOCAN por importe de cinco millones de € aprobado por Consejo de Administración</w:t>
      </w:r>
      <w:r>
        <w:rPr>
          <w:spacing w:val="-8"/>
        </w:rPr>
        <w:t> </w:t>
      </w:r>
      <w:r>
        <w:rPr/>
        <w:t>en</w:t>
      </w:r>
      <w:r>
        <w:rPr>
          <w:spacing w:val="-9"/>
        </w:rPr>
        <w:t> </w:t>
      </w:r>
      <w:r>
        <w:rPr/>
        <w:t>diciembre</w:t>
      </w:r>
      <w:r>
        <w:rPr>
          <w:spacing w:val="-9"/>
        </w:rPr>
        <w:t> </w:t>
      </w:r>
      <w:r>
        <w:rPr/>
        <w:t>de</w:t>
      </w:r>
      <w:r>
        <w:rPr>
          <w:spacing w:val="-8"/>
        </w:rPr>
        <w:t> </w:t>
      </w:r>
      <w:r>
        <w:rPr/>
        <w:t>2012,</w:t>
      </w:r>
      <w:r>
        <w:rPr>
          <w:spacing w:val="-9"/>
        </w:rPr>
        <w:t> </w:t>
      </w:r>
      <w:r>
        <w:rPr/>
        <w:t>cuyo</w:t>
      </w:r>
      <w:r>
        <w:rPr>
          <w:spacing w:val="-9"/>
        </w:rPr>
        <w:t> </w:t>
      </w:r>
      <w:r>
        <w:rPr/>
        <w:t>vencimiento</w:t>
      </w:r>
      <w:r>
        <w:rPr>
          <w:spacing w:val="-9"/>
        </w:rPr>
        <w:t> </w:t>
      </w:r>
      <w:r>
        <w:rPr/>
        <w:t>fue</w:t>
      </w:r>
      <w:r>
        <w:rPr>
          <w:spacing w:val="-8"/>
        </w:rPr>
        <w:t> </w:t>
      </w:r>
      <w:r>
        <w:rPr/>
        <w:t>en</w:t>
      </w:r>
      <w:r>
        <w:rPr>
          <w:spacing w:val="-9"/>
        </w:rPr>
        <w:t> </w:t>
      </w:r>
      <w:r>
        <w:rPr/>
        <w:t>junio</w:t>
      </w:r>
      <w:r>
        <w:rPr>
          <w:spacing w:val="-9"/>
        </w:rPr>
        <w:t> </w:t>
      </w:r>
      <w:r>
        <w:rPr/>
        <w:t>de</w:t>
      </w:r>
      <w:r>
        <w:rPr>
          <w:spacing w:val="-11"/>
        </w:rPr>
        <w:t> </w:t>
      </w:r>
      <w:r>
        <w:rPr/>
        <w:t>2019,</w:t>
      </w:r>
      <w:r>
        <w:rPr>
          <w:spacing w:val="-8"/>
        </w:rPr>
        <w:t> </w:t>
      </w:r>
      <w:r>
        <w:rPr/>
        <w:t>quedando un saldo pendiente de cobro de 1.000 euros correspondiente a intereses pendientes de liquidar del ejercicio 2018. Por parte de VISOCAN no se reconoce deuda</w:t>
      </w:r>
      <w:r>
        <w:rPr>
          <w:spacing w:val="8"/>
        </w:rPr>
        <w:t> </w:t>
      </w:r>
      <w:r>
        <w:rPr/>
        <w:t>alguna.</w:t>
      </w:r>
    </w:p>
    <w:p>
      <w:pPr>
        <w:pStyle w:val="BodyText"/>
      </w:pPr>
    </w:p>
    <w:p>
      <w:pPr>
        <w:pStyle w:val="BodyText"/>
      </w:pPr>
    </w:p>
    <w:p>
      <w:pPr>
        <w:pStyle w:val="BodyText"/>
      </w:pPr>
    </w:p>
    <w:p>
      <w:pPr>
        <w:pStyle w:val="BodyText"/>
      </w:pPr>
    </w:p>
    <w:p>
      <w:pPr>
        <w:pStyle w:val="BodyText"/>
      </w:pPr>
    </w:p>
    <w:p>
      <w:pPr>
        <w:pStyle w:val="BodyText"/>
        <w:spacing w:before="3"/>
        <w:rPr>
          <w:sz w:val="23"/>
        </w:rPr>
      </w:pPr>
    </w:p>
    <w:p>
      <w:pPr>
        <w:pStyle w:val="BodyText"/>
        <w:spacing w:before="61"/>
        <w:ind w:left="7787"/>
        <w:jc w:val="center"/>
      </w:pPr>
      <w:r>
        <w:rPr/>
        <w:t>127</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69" name="image5.png"/>
                  <wp:cNvGraphicFramePr>
                    <a:graphicFrameLocks noChangeAspect="1"/>
                  </wp:cNvGraphicFramePr>
                  <a:graphic>
                    <a:graphicData uri="http://schemas.openxmlformats.org/drawingml/2006/picture">
                      <pic:pic>
                        <pic:nvPicPr>
                          <pic:cNvPr id="27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129/247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Heading1"/>
        <w:numPr>
          <w:ilvl w:val="1"/>
          <w:numId w:val="78"/>
        </w:numPr>
        <w:tabs>
          <w:tab w:pos="2584" w:val="left" w:leader="none"/>
          <w:tab w:pos="2585" w:val="left" w:leader="none"/>
        </w:tabs>
        <w:spacing w:line="240" w:lineRule="auto" w:before="61" w:after="0"/>
        <w:ind w:left="2584" w:right="0" w:hanging="486"/>
        <w:jc w:val="left"/>
      </w:pPr>
      <w:r>
        <w:rPr/>
        <w:pict>
          <v:group style="position:absolute;margin-left:142.353699pt;margin-top:20.329365pt;width:358.05pt;height:94.05pt;mso-position-horizontal-relative:page;mso-position-vertical-relative:paragraph;z-index:-251446272;mso-wrap-distance-left:0;mso-wrap-distance-right:0" coordorigin="2847,407" coordsize="7161,1881">
            <v:rect style="position:absolute;left:2847;top:406;width:5641;height:383" filled="true" fillcolor="#d9d9d9" stroked="false">
              <v:fill type="solid"/>
            </v:rect>
            <v:rect style="position:absolute;left:2937;top:495;width:5458;height:206" filled="true" fillcolor="#d9d9d9" stroked="false">
              <v:fill type="solid"/>
            </v:rect>
            <v:rect style="position:absolute;left:8487;top:406;width:1520;height:383" filled="true" fillcolor="#d9d9d9" stroked="false">
              <v:fill type="solid"/>
            </v:rect>
            <v:rect style="position:absolute;left:8576;top:495;width:1341;height:206" filled="true" fillcolor="#d9d9d9" stroked="false">
              <v:fill type="solid"/>
            </v:rect>
            <v:rect style="position:absolute;left:2847;top:789;width:5641;height:214" filled="true" fillcolor="#d9d9d9" stroked="false">
              <v:fill type="solid"/>
            </v:rect>
            <v:rect style="position:absolute;left:2937;top:793;width:5458;height:206" filled="true" fillcolor="#d9d9d9" stroked="false">
              <v:fill type="solid"/>
            </v:rect>
            <v:rect style="position:absolute;left:8487;top:789;width:1520;height:214" filled="true" fillcolor="#d9d9d9" stroked="false">
              <v:fill type="solid"/>
            </v:rect>
            <v:rect style="position:absolute;left:8576;top:793;width:1341;height:206" filled="true" fillcolor="#d9d9d9" stroked="false">
              <v:fill type="solid"/>
            </v:rect>
            <v:rect style="position:absolute;left:2847;top:1003;width:5641;height:214" filled="true" fillcolor="#d9d9d9" stroked="false">
              <v:fill type="solid"/>
            </v:rect>
            <v:rect style="position:absolute;left:2937;top:1007;width:5458;height:206" filled="true" fillcolor="#d9d9d9" stroked="false">
              <v:fill type="solid"/>
            </v:rect>
            <v:rect style="position:absolute;left:8487;top:1003;width:1520;height:214" filled="true" fillcolor="#d9d9d9" stroked="false">
              <v:fill type="solid"/>
            </v:rect>
            <v:rect style="position:absolute;left:8576;top:1007;width:1341;height:206" filled="true" fillcolor="#d9d9d9" stroked="false">
              <v:fill type="solid"/>
            </v:rect>
            <v:rect style="position:absolute;left:2847;top:1216;width:5641;height:214" filled="true" fillcolor="#d9d9d9" stroked="false">
              <v:fill type="solid"/>
            </v:rect>
            <v:rect style="position:absolute;left:2937;top:1220;width:5458;height:206" filled="true" fillcolor="#d9d9d9" stroked="false">
              <v:fill type="solid"/>
            </v:rect>
            <v:rect style="position:absolute;left:8487;top:1216;width:1520;height:214" filled="true" fillcolor="#d9d9d9" stroked="false">
              <v:fill type="solid"/>
            </v:rect>
            <v:rect style="position:absolute;left:8576;top:1220;width:1341;height:206" filled="true" fillcolor="#d9d9d9" stroked="false">
              <v:fill type="solid"/>
            </v:rect>
            <v:rect style="position:absolute;left:2847;top:1430;width:5641;height:216" filled="true" fillcolor="#d9d9d9" stroked="false">
              <v:fill type="solid"/>
            </v:rect>
            <v:rect style="position:absolute;left:2937;top:1436;width:5458;height:204" filled="true" fillcolor="#d9d9d9" stroked="false">
              <v:fill type="solid"/>
            </v:rect>
            <v:rect style="position:absolute;left:8487;top:1430;width:1520;height:216" filled="true" fillcolor="#d9d9d9" stroked="false">
              <v:fill type="solid"/>
            </v:rect>
            <v:rect style="position:absolute;left:8576;top:1436;width:1341;height:204" filled="true" fillcolor="#d9d9d9" stroked="false">
              <v:fill type="solid"/>
            </v:rect>
            <v:rect style="position:absolute;left:2847;top:1645;width:5641;height:214" filled="true" fillcolor="#d9d9d9" stroked="false">
              <v:fill type="solid"/>
            </v:rect>
            <v:rect style="position:absolute;left:2937;top:1649;width:5458;height:206" filled="true" fillcolor="#d9d9d9" stroked="false">
              <v:fill type="solid"/>
            </v:rect>
            <v:rect style="position:absolute;left:8487;top:1645;width:1520;height:214" filled="true" fillcolor="#d9d9d9" stroked="false">
              <v:fill type="solid"/>
            </v:rect>
            <v:rect style="position:absolute;left:8576;top:1649;width:1341;height:206" filled="true" fillcolor="#d9d9d9" stroked="false">
              <v:fill type="solid"/>
            </v:rect>
            <v:rect style="position:absolute;left:2847;top:1859;width:5641;height:214" filled="true" fillcolor="#d9d9d9" stroked="false">
              <v:fill type="solid"/>
            </v:rect>
            <v:rect style="position:absolute;left:2937;top:1863;width:5458;height:206" filled="true" fillcolor="#d9d9d9" stroked="false">
              <v:fill type="solid"/>
            </v:rect>
            <v:rect style="position:absolute;left:8487;top:1859;width:1520;height:214" filled="true" fillcolor="#d9d9d9" stroked="false">
              <v:fill type="solid"/>
            </v:rect>
            <v:rect style="position:absolute;left:8576;top:1863;width:1341;height:206" filled="true" fillcolor="#d9d9d9" stroked="false">
              <v:fill type="solid"/>
            </v:rect>
            <v:rect style="position:absolute;left:2847;top:2073;width:5641;height:214" filled="true" fillcolor="#d9d9d9" stroked="false">
              <v:fill type="solid"/>
            </v:rect>
            <v:rect style="position:absolute;left:2937;top:2077;width:5458;height:206" filled="true" fillcolor="#d9d9d9" stroked="false">
              <v:fill type="solid"/>
            </v:rect>
            <v:rect style="position:absolute;left:8487;top:2073;width:1520;height:214" filled="true" fillcolor="#d9d9d9" stroked="false">
              <v:fill type="solid"/>
            </v:rect>
            <v:rect style="position:absolute;left:8576;top:2077;width:1341;height:206" filled="true" fillcolor="#d9d9d9" stroked="false">
              <v:fill type="solid"/>
            </v:rect>
            <v:shape style="position:absolute;left:8853;top:829;width:1084;height:1451" type="#_x0000_t202" filled="false" stroked="false">
              <v:textbox inset="0,0,0,0">
                <w:txbxContent>
                  <w:p>
                    <w:pPr>
                      <w:spacing w:line="168" w:lineRule="exact" w:before="0"/>
                      <w:ind w:left="0" w:right="19" w:firstLine="0"/>
                      <w:jc w:val="right"/>
                      <w:rPr>
                        <w:sz w:val="16"/>
                      </w:rPr>
                    </w:pPr>
                    <w:r>
                      <w:rPr>
                        <w:spacing w:val="-1"/>
                        <w:w w:val="105"/>
                        <w:sz w:val="16"/>
                      </w:rPr>
                      <w:t>LENGUA</w:t>
                    </w:r>
                  </w:p>
                  <w:p>
                    <w:pPr>
                      <w:spacing w:before="18"/>
                      <w:ind w:left="0" w:right="20" w:firstLine="0"/>
                      <w:jc w:val="right"/>
                      <w:rPr>
                        <w:sz w:val="16"/>
                      </w:rPr>
                    </w:pPr>
                    <w:r>
                      <w:rPr>
                        <w:spacing w:val="-1"/>
                        <w:w w:val="105"/>
                        <w:sz w:val="16"/>
                      </w:rPr>
                      <w:t>FUNCATRA</w:t>
                    </w:r>
                  </w:p>
                  <w:p>
                    <w:pPr>
                      <w:spacing w:line="264" w:lineRule="auto" w:before="18"/>
                      <w:ind w:left="0" w:right="18" w:firstLine="725"/>
                      <w:jc w:val="right"/>
                      <w:rPr>
                        <w:sz w:val="16"/>
                      </w:rPr>
                    </w:pPr>
                    <w:r>
                      <w:rPr>
                        <w:sz w:val="16"/>
                      </w:rPr>
                      <w:t>IDEO </w:t>
                    </w:r>
                    <w:r>
                      <w:rPr>
                        <w:spacing w:val="-1"/>
                        <w:w w:val="105"/>
                        <w:sz w:val="16"/>
                      </w:rPr>
                      <w:t>MUSEO</w:t>
                    </w:r>
                    <w:r>
                      <w:rPr>
                        <w:w w:val="104"/>
                        <w:sz w:val="16"/>
                      </w:rPr>
                      <w:t> </w:t>
                    </w:r>
                    <w:r>
                      <w:rPr>
                        <w:w w:val="105"/>
                        <w:sz w:val="16"/>
                      </w:rPr>
                      <w:t>ACCIÓN</w:t>
                    </w:r>
                    <w:r>
                      <w:rPr>
                        <w:spacing w:val="-13"/>
                        <w:w w:val="105"/>
                        <w:sz w:val="16"/>
                      </w:rPr>
                      <w:t> </w:t>
                    </w:r>
                    <w:r>
                      <w:rPr>
                        <w:w w:val="105"/>
                        <w:sz w:val="16"/>
                      </w:rPr>
                      <w:t>SOCIAL</w:t>
                    </w:r>
                  </w:p>
                  <w:p>
                    <w:pPr>
                      <w:spacing w:line="194" w:lineRule="exact" w:before="0"/>
                      <w:ind w:left="0" w:right="20" w:firstLine="0"/>
                      <w:jc w:val="right"/>
                      <w:rPr>
                        <w:sz w:val="16"/>
                      </w:rPr>
                    </w:pPr>
                    <w:r>
                      <w:rPr>
                        <w:spacing w:val="-1"/>
                        <w:sz w:val="16"/>
                      </w:rPr>
                      <w:t>FUCAEX</w:t>
                    </w:r>
                  </w:p>
                  <w:p>
                    <w:pPr>
                      <w:spacing w:line="194" w:lineRule="exact" w:before="19"/>
                      <w:ind w:left="0" w:right="19" w:firstLine="0"/>
                      <w:jc w:val="right"/>
                      <w:rPr>
                        <w:sz w:val="16"/>
                      </w:rPr>
                    </w:pPr>
                    <w:r>
                      <w:rPr>
                        <w:spacing w:val="-2"/>
                        <w:w w:val="105"/>
                        <w:sz w:val="16"/>
                      </w:rPr>
                      <w:t>FIISC</w:t>
                    </w:r>
                  </w:p>
                </w:txbxContent>
              </v:textbox>
              <w10:wrap type="none"/>
            </v:shape>
            <v:shape style="position:absolute;left:2937;top:531;width:4551;height:1750" type="#_x0000_t202" filled="false" stroked="false">
              <v:textbox inset="0,0,0,0">
                <w:txbxContent>
                  <w:p>
                    <w:pPr>
                      <w:spacing w:line="168" w:lineRule="exact" w:before="0"/>
                      <w:ind w:left="0" w:right="0" w:firstLine="0"/>
                      <w:jc w:val="left"/>
                      <w:rPr>
                        <w:b/>
                        <w:sz w:val="16"/>
                      </w:rPr>
                    </w:pPr>
                    <w:r>
                      <w:rPr>
                        <w:b/>
                        <w:w w:val="105"/>
                        <w:sz w:val="16"/>
                      </w:rPr>
                      <w:t>Fundaciones canarias:</w:t>
                    </w:r>
                  </w:p>
                  <w:p>
                    <w:pPr>
                      <w:spacing w:line="261" w:lineRule="auto" w:before="103"/>
                      <w:ind w:left="0" w:right="2428" w:firstLine="0"/>
                      <w:jc w:val="left"/>
                      <w:rPr>
                        <w:sz w:val="16"/>
                      </w:rPr>
                    </w:pPr>
                    <w:r>
                      <w:rPr>
                        <w:w w:val="105"/>
                        <w:sz w:val="16"/>
                      </w:rPr>
                      <w:t>Academia Canaria de la</w:t>
                    </w:r>
                    <w:r>
                      <w:rPr>
                        <w:spacing w:val="-12"/>
                        <w:w w:val="105"/>
                        <w:sz w:val="16"/>
                      </w:rPr>
                      <w:t> </w:t>
                    </w:r>
                    <w:r>
                      <w:rPr>
                        <w:w w:val="105"/>
                        <w:sz w:val="16"/>
                      </w:rPr>
                      <w:t>Lengua Para el Fomento del Trabajo De Juventud</w:t>
                    </w:r>
                    <w:r>
                      <w:rPr>
                        <w:spacing w:val="-3"/>
                        <w:w w:val="105"/>
                        <w:sz w:val="16"/>
                      </w:rPr>
                      <w:t> </w:t>
                    </w:r>
                    <w:r>
                      <w:rPr>
                        <w:w w:val="105"/>
                        <w:sz w:val="16"/>
                      </w:rPr>
                      <w:t>IDEO</w:t>
                    </w:r>
                  </w:p>
                  <w:p>
                    <w:pPr>
                      <w:spacing w:line="264" w:lineRule="auto" w:before="2"/>
                      <w:ind w:left="0" w:right="-6" w:firstLine="0"/>
                      <w:jc w:val="left"/>
                      <w:rPr>
                        <w:sz w:val="16"/>
                      </w:rPr>
                    </w:pPr>
                    <w:r>
                      <w:rPr>
                        <w:w w:val="105"/>
                        <w:sz w:val="16"/>
                      </w:rPr>
                      <w:t>Museo de la Ciencia y la Tecnología de Las Palmas de Gran Canaria Tutelar Canaria para la Acción Social, M.P.</w:t>
                    </w:r>
                  </w:p>
                  <w:p>
                    <w:pPr>
                      <w:spacing w:line="195" w:lineRule="exact" w:before="0"/>
                      <w:ind w:left="0" w:right="0" w:firstLine="0"/>
                      <w:jc w:val="left"/>
                      <w:rPr>
                        <w:sz w:val="16"/>
                      </w:rPr>
                    </w:pPr>
                    <w:r>
                      <w:rPr>
                        <w:w w:val="105"/>
                        <w:sz w:val="16"/>
                      </w:rPr>
                      <w:t>Para la Acción Exterior</w:t>
                    </w:r>
                  </w:p>
                  <w:p>
                    <w:pPr>
                      <w:spacing w:line="194" w:lineRule="exact" w:before="18"/>
                      <w:ind w:left="0" w:right="0" w:firstLine="0"/>
                      <w:jc w:val="left"/>
                      <w:rPr>
                        <w:sz w:val="16"/>
                      </w:rPr>
                    </w:pPr>
                    <w:r>
                      <w:rPr>
                        <w:w w:val="105"/>
                        <w:sz w:val="16"/>
                      </w:rPr>
                      <w:t>Instituto de Investigación Sanitaria de Canarias</w:t>
                    </w:r>
                  </w:p>
                </w:txbxContent>
              </v:textbox>
              <w10:wrap type="none"/>
            </v:shape>
            <w10:wrap type="topAndBottom"/>
          </v:group>
        </w:pict>
      </w:r>
      <w:bookmarkStart w:name="_TOC_250009" w:id="13"/>
      <w:bookmarkEnd w:id="13"/>
      <w:r>
        <w:rPr>
          <w:color w:val="53A1B9"/>
        </w:rPr>
        <w:t>Fundaciones.</w:t>
      </w:r>
    </w:p>
    <w:p>
      <w:pPr>
        <w:pStyle w:val="BodyText"/>
        <w:spacing w:before="3"/>
        <w:rPr>
          <w:b/>
          <w:sz w:val="9"/>
        </w:rPr>
      </w:pPr>
    </w:p>
    <w:p>
      <w:pPr>
        <w:pStyle w:val="Heading1"/>
        <w:numPr>
          <w:ilvl w:val="2"/>
          <w:numId w:val="78"/>
        </w:numPr>
        <w:tabs>
          <w:tab w:pos="2694" w:val="left" w:leader="none"/>
        </w:tabs>
        <w:spacing w:line="240" w:lineRule="auto" w:before="61" w:after="0"/>
        <w:ind w:left="2693" w:right="0" w:hanging="605"/>
        <w:jc w:val="left"/>
      </w:pPr>
      <w:bookmarkStart w:name="_TOC_250008" w:id="14"/>
      <w:bookmarkEnd w:id="14"/>
      <w:r>
        <w:rPr>
          <w:color w:val="53A1B9"/>
        </w:rPr>
        <w:t>Rendición.</w:t>
      </w:r>
    </w:p>
    <w:p>
      <w:pPr>
        <w:pStyle w:val="BodyText"/>
        <w:spacing w:before="8"/>
        <w:rPr>
          <w:b/>
          <w:sz w:val="16"/>
        </w:rPr>
      </w:pPr>
    </w:p>
    <w:p>
      <w:pPr>
        <w:pStyle w:val="ListParagraph"/>
        <w:numPr>
          <w:ilvl w:val="0"/>
          <w:numId w:val="79"/>
        </w:numPr>
        <w:tabs>
          <w:tab w:pos="2337" w:val="left" w:leader="none"/>
        </w:tabs>
        <w:spacing w:line="240" w:lineRule="auto" w:before="0" w:after="0"/>
        <w:ind w:left="2336" w:right="0" w:hanging="238"/>
        <w:jc w:val="left"/>
        <w:rPr>
          <w:sz w:val="20"/>
        </w:rPr>
      </w:pPr>
      <w:r>
        <w:rPr>
          <w:sz w:val="20"/>
        </w:rPr>
        <w:t>La cuenta general del sector público fundacional se ha rendido completa y en</w:t>
      </w:r>
      <w:r>
        <w:rPr>
          <w:spacing w:val="3"/>
          <w:sz w:val="20"/>
        </w:rPr>
        <w:t> </w:t>
      </w:r>
      <w:r>
        <w:rPr>
          <w:sz w:val="20"/>
        </w:rPr>
        <w:t>plazo.</w:t>
      </w:r>
    </w:p>
    <w:p>
      <w:pPr>
        <w:pStyle w:val="BodyText"/>
        <w:spacing w:before="7"/>
        <w:rPr>
          <w:sz w:val="16"/>
        </w:rPr>
      </w:pPr>
    </w:p>
    <w:p>
      <w:pPr>
        <w:pStyle w:val="ListParagraph"/>
        <w:numPr>
          <w:ilvl w:val="0"/>
          <w:numId w:val="79"/>
        </w:numPr>
        <w:tabs>
          <w:tab w:pos="2337" w:val="left" w:leader="none"/>
        </w:tabs>
        <w:spacing w:line="244" w:lineRule="auto" w:before="1" w:after="0"/>
        <w:ind w:left="2336" w:right="1145" w:hanging="238"/>
        <w:jc w:val="both"/>
        <w:rPr>
          <w:sz w:val="20"/>
        </w:rPr>
      </w:pPr>
      <w:r>
        <w:rPr>
          <w:sz w:val="20"/>
        </w:rPr>
        <w:t>Todas las fundaciones han remitido en plazo sus cuentas al Protectorado de Fundaciones</w:t>
      </w:r>
      <w:r>
        <w:rPr>
          <w:spacing w:val="-1"/>
          <w:sz w:val="20"/>
        </w:rPr>
        <w:t> </w:t>
      </w:r>
      <w:r>
        <w:rPr>
          <w:sz w:val="20"/>
        </w:rPr>
        <w:t>Canarias.</w:t>
      </w:r>
    </w:p>
    <w:p>
      <w:pPr>
        <w:pStyle w:val="BodyText"/>
        <w:spacing w:before="1"/>
        <w:rPr>
          <w:sz w:val="16"/>
        </w:rPr>
      </w:pPr>
    </w:p>
    <w:p>
      <w:pPr>
        <w:pStyle w:val="ListParagraph"/>
        <w:numPr>
          <w:ilvl w:val="0"/>
          <w:numId w:val="79"/>
        </w:numPr>
        <w:tabs>
          <w:tab w:pos="2337" w:val="left" w:leader="none"/>
        </w:tabs>
        <w:spacing w:line="240" w:lineRule="auto" w:before="0" w:after="0"/>
        <w:ind w:left="2336" w:right="1147" w:hanging="238"/>
        <w:jc w:val="both"/>
        <w:rPr>
          <w:sz w:val="20"/>
        </w:rPr>
      </w:pPr>
      <w:r>
        <w:rPr>
          <w:sz w:val="20"/>
        </w:rPr>
        <w:t>La totalidad de las fundaciones obtienen una opinión favorable en los informes de auditoría de cuentas</w:t>
      </w:r>
      <w:r>
        <w:rPr>
          <w:spacing w:val="-2"/>
          <w:sz w:val="20"/>
        </w:rPr>
        <w:t> </w:t>
      </w:r>
      <w:r>
        <w:rPr>
          <w:sz w:val="20"/>
        </w:rPr>
        <w:t>anuales.</w:t>
      </w:r>
    </w:p>
    <w:p>
      <w:pPr>
        <w:pStyle w:val="BodyText"/>
        <w:spacing w:before="10"/>
        <w:rPr>
          <w:sz w:val="16"/>
        </w:rPr>
      </w:pPr>
    </w:p>
    <w:p>
      <w:pPr>
        <w:pStyle w:val="ListParagraph"/>
        <w:numPr>
          <w:ilvl w:val="0"/>
          <w:numId w:val="79"/>
        </w:numPr>
        <w:tabs>
          <w:tab w:pos="2337" w:val="left" w:leader="none"/>
        </w:tabs>
        <w:spacing w:line="240" w:lineRule="auto" w:before="0" w:after="0"/>
        <w:ind w:left="2336" w:right="1143" w:hanging="238"/>
        <w:jc w:val="both"/>
        <w:rPr>
          <w:sz w:val="20"/>
        </w:rPr>
      </w:pPr>
      <w:r>
        <w:rPr>
          <w:sz w:val="20"/>
        </w:rPr>
        <w:t>Los informes económico-financieros que acompañan a las cuentas anuales cumplen en general, su contenido, excepto LENGUA y MUSEO que no lo presentan con la totalidad de sus páginas firmadas y numeradas.</w:t>
      </w:r>
      <w:r>
        <w:rPr>
          <w:position w:val="7"/>
          <w:sz w:val="13"/>
        </w:rPr>
        <w:t>28 </w:t>
      </w:r>
      <w:r>
        <w:rPr>
          <w:sz w:val="20"/>
        </w:rPr>
        <w:t>Como en años anteriores, FUCAEX no</w:t>
      </w:r>
      <w:r>
        <w:rPr>
          <w:spacing w:val="-4"/>
          <w:sz w:val="20"/>
        </w:rPr>
        <w:t> </w:t>
      </w:r>
      <w:r>
        <w:rPr>
          <w:sz w:val="20"/>
        </w:rPr>
        <w:t>cumplimenta</w:t>
      </w:r>
      <w:r>
        <w:rPr>
          <w:spacing w:val="-4"/>
          <w:sz w:val="20"/>
        </w:rPr>
        <w:t> </w:t>
      </w:r>
      <w:r>
        <w:rPr>
          <w:sz w:val="20"/>
        </w:rPr>
        <w:t>el</w:t>
      </w:r>
      <w:r>
        <w:rPr>
          <w:spacing w:val="-4"/>
          <w:sz w:val="20"/>
        </w:rPr>
        <w:t> </w:t>
      </w:r>
      <w:r>
        <w:rPr>
          <w:sz w:val="20"/>
        </w:rPr>
        <w:t>Anexo</w:t>
      </w:r>
      <w:r>
        <w:rPr>
          <w:spacing w:val="-3"/>
          <w:sz w:val="20"/>
        </w:rPr>
        <w:t> </w:t>
      </w:r>
      <w:r>
        <w:rPr>
          <w:sz w:val="20"/>
        </w:rPr>
        <w:t>VI,</w:t>
      </w:r>
      <w:r>
        <w:rPr>
          <w:spacing w:val="-5"/>
          <w:sz w:val="20"/>
        </w:rPr>
        <w:t> </w:t>
      </w:r>
      <w:r>
        <w:rPr>
          <w:sz w:val="20"/>
        </w:rPr>
        <w:t>referido</w:t>
      </w:r>
      <w:r>
        <w:rPr>
          <w:spacing w:val="-4"/>
          <w:sz w:val="20"/>
        </w:rPr>
        <w:t> </w:t>
      </w:r>
      <w:r>
        <w:rPr>
          <w:sz w:val="20"/>
        </w:rPr>
        <w:t>a</w:t>
      </w:r>
      <w:r>
        <w:rPr>
          <w:spacing w:val="-3"/>
          <w:sz w:val="20"/>
        </w:rPr>
        <w:t> </w:t>
      </w:r>
      <w:r>
        <w:rPr>
          <w:sz w:val="20"/>
        </w:rPr>
        <w:t>ingresos,</w:t>
      </w:r>
      <w:r>
        <w:rPr>
          <w:spacing w:val="-6"/>
          <w:sz w:val="20"/>
        </w:rPr>
        <w:t> </w:t>
      </w:r>
      <w:r>
        <w:rPr>
          <w:sz w:val="20"/>
        </w:rPr>
        <w:t>ni</w:t>
      </w:r>
      <w:r>
        <w:rPr>
          <w:spacing w:val="-4"/>
          <w:sz w:val="20"/>
        </w:rPr>
        <w:t> </w:t>
      </w:r>
      <w:r>
        <w:rPr>
          <w:sz w:val="20"/>
        </w:rPr>
        <w:t>el</w:t>
      </w:r>
      <w:r>
        <w:rPr>
          <w:spacing w:val="-4"/>
          <w:sz w:val="20"/>
        </w:rPr>
        <w:t> </w:t>
      </w:r>
      <w:r>
        <w:rPr>
          <w:sz w:val="20"/>
        </w:rPr>
        <w:t>Anexo</w:t>
      </w:r>
      <w:r>
        <w:rPr>
          <w:spacing w:val="-3"/>
          <w:sz w:val="20"/>
        </w:rPr>
        <w:t> </w:t>
      </w:r>
      <w:r>
        <w:rPr>
          <w:sz w:val="20"/>
        </w:rPr>
        <w:t>IX</w:t>
      </w:r>
      <w:r>
        <w:rPr>
          <w:spacing w:val="-5"/>
          <w:sz w:val="20"/>
        </w:rPr>
        <w:t> </w:t>
      </w:r>
      <w:r>
        <w:rPr>
          <w:sz w:val="20"/>
        </w:rPr>
        <w:t>sobre</w:t>
      </w:r>
      <w:r>
        <w:rPr>
          <w:spacing w:val="-4"/>
          <w:sz w:val="20"/>
        </w:rPr>
        <w:t> </w:t>
      </w:r>
      <w:r>
        <w:rPr>
          <w:sz w:val="20"/>
        </w:rPr>
        <w:t>información</w:t>
      </w:r>
      <w:r>
        <w:rPr>
          <w:spacing w:val="-2"/>
          <w:sz w:val="20"/>
        </w:rPr>
        <w:t> </w:t>
      </w:r>
      <w:r>
        <w:rPr>
          <w:sz w:val="20"/>
        </w:rPr>
        <w:t>del cumplimiento de objetivos.</w:t>
      </w:r>
    </w:p>
    <w:p>
      <w:pPr>
        <w:pStyle w:val="BodyText"/>
        <w:spacing w:before="11"/>
        <w:rPr>
          <w:sz w:val="16"/>
        </w:rPr>
      </w:pPr>
    </w:p>
    <w:p>
      <w:pPr>
        <w:pStyle w:val="Heading1"/>
        <w:numPr>
          <w:ilvl w:val="2"/>
          <w:numId w:val="78"/>
        </w:numPr>
        <w:tabs>
          <w:tab w:pos="2694" w:val="left" w:leader="none"/>
        </w:tabs>
        <w:spacing w:line="240" w:lineRule="auto" w:before="1" w:after="0"/>
        <w:ind w:left="2693" w:right="0" w:hanging="605"/>
        <w:jc w:val="left"/>
      </w:pPr>
      <w:bookmarkStart w:name="_TOC_250007" w:id="15"/>
      <w:r>
        <w:rPr>
          <w:color w:val="53A1B9"/>
        </w:rPr>
        <w:t>Cuentas</w:t>
      </w:r>
      <w:r>
        <w:rPr>
          <w:color w:val="53A1B9"/>
          <w:spacing w:val="1"/>
        </w:rPr>
        <w:t> </w:t>
      </w:r>
      <w:bookmarkEnd w:id="15"/>
      <w:r>
        <w:rPr>
          <w:color w:val="53A1B9"/>
        </w:rPr>
        <w:t>Anuales.</w:t>
      </w:r>
    </w:p>
    <w:p>
      <w:pPr>
        <w:pStyle w:val="BodyText"/>
        <w:spacing w:before="7"/>
        <w:rPr>
          <w:b/>
          <w:sz w:val="16"/>
        </w:rPr>
      </w:pPr>
    </w:p>
    <w:p>
      <w:pPr>
        <w:spacing w:before="1"/>
        <w:ind w:left="2099" w:right="0" w:firstLine="0"/>
        <w:jc w:val="left"/>
        <w:rPr>
          <w:b/>
          <w:sz w:val="20"/>
        </w:rPr>
      </w:pPr>
      <w:r>
        <w:rPr>
          <w:b/>
          <w:sz w:val="20"/>
        </w:rPr>
        <w:t>a) Balance de Situación agregado.</w:t>
      </w:r>
    </w:p>
    <w:p>
      <w:pPr>
        <w:pStyle w:val="BodyText"/>
        <w:spacing w:before="3"/>
        <w:rPr>
          <w:b/>
          <w:sz w:val="8"/>
        </w:rPr>
      </w:pPr>
    </w:p>
    <w:tbl>
      <w:tblPr>
        <w:tblW w:w="0" w:type="auto"/>
        <w:jc w:val="left"/>
        <w:tblInd w:w="2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4"/>
        <w:gridCol w:w="1450"/>
        <w:gridCol w:w="484"/>
        <w:gridCol w:w="1638"/>
      </w:tblGrid>
      <w:tr>
        <w:trPr>
          <w:trHeight w:val="163" w:hRule="atLeast"/>
        </w:trPr>
        <w:tc>
          <w:tcPr>
            <w:tcW w:w="3294" w:type="dxa"/>
            <w:tcBorders>
              <w:top w:val="single" w:sz="4" w:space="0" w:color="000000"/>
              <w:left w:val="single" w:sz="4" w:space="0" w:color="000000"/>
              <w:bottom w:val="single" w:sz="4" w:space="0" w:color="000000"/>
            </w:tcBorders>
            <w:shd w:val="clear" w:color="auto" w:fill="DEEAF6"/>
          </w:tcPr>
          <w:p>
            <w:pPr>
              <w:pStyle w:val="TableParagraph"/>
              <w:spacing w:line="141" w:lineRule="exact" w:before="2"/>
              <w:ind w:left="1171"/>
              <w:rPr>
                <w:b/>
                <w:sz w:val="13"/>
              </w:rPr>
            </w:pPr>
            <w:r>
              <w:rPr>
                <w:b/>
                <w:w w:val="105"/>
                <w:sz w:val="13"/>
              </w:rPr>
              <w:t>Balance de Situación</w:t>
            </w:r>
          </w:p>
        </w:tc>
        <w:tc>
          <w:tcPr>
            <w:tcW w:w="1450" w:type="dxa"/>
            <w:tcBorders>
              <w:top w:val="single" w:sz="4" w:space="0" w:color="000000"/>
              <w:bottom w:val="single" w:sz="4" w:space="0" w:color="000000"/>
            </w:tcBorders>
            <w:shd w:val="clear" w:color="auto" w:fill="DEEAF6"/>
          </w:tcPr>
          <w:p>
            <w:pPr>
              <w:pStyle w:val="TableParagraph"/>
              <w:spacing w:line="141" w:lineRule="exact" w:before="2"/>
              <w:ind w:left="652"/>
              <w:jc w:val="center"/>
              <w:rPr>
                <w:b/>
                <w:sz w:val="13"/>
              </w:rPr>
            </w:pPr>
            <w:r>
              <w:rPr>
                <w:b/>
                <w:w w:val="105"/>
                <w:sz w:val="13"/>
              </w:rPr>
              <w:t>2022</w:t>
            </w:r>
          </w:p>
        </w:tc>
        <w:tc>
          <w:tcPr>
            <w:tcW w:w="484" w:type="dxa"/>
            <w:tcBorders>
              <w:top w:val="single" w:sz="4" w:space="0" w:color="000000"/>
              <w:bottom w:val="single" w:sz="4" w:space="0" w:color="000000"/>
            </w:tcBorders>
            <w:shd w:val="clear" w:color="auto" w:fill="DEEAF6"/>
          </w:tcPr>
          <w:p>
            <w:pPr>
              <w:pStyle w:val="TableParagraph"/>
              <w:rPr>
                <w:rFonts w:ascii="Times New Roman"/>
                <w:sz w:val="10"/>
              </w:rPr>
            </w:pPr>
          </w:p>
        </w:tc>
        <w:tc>
          <w:tcPr>
            <w:tcW w:w="1638" w:type="dxa"/>
            <w:tcBorders>
              <w:top w:val="single" w:sz="4" w:space="0" w:color="000000"/>
              <w:bottom w:val="single" w:sz="4" w:space="0" w:color="000000"/>
              <w:right w:val="single" w:sz="4" w:space="0" w:color="000000"/>
            </w:tcBorders>
            <w:shd w:val="clear" w:color="auto" w:fill="DEEAF6"/>
          </w:tcPr>
          <w:p>
            <w:pPr>
              <w:pStyle w:val="TableParagraph"/>
              <w:spacing w:line="141" w:lineRule="exact" w:before="2"/>
              <w:ind w:left="281" w:right="311"/>
              <w:jc w:val="center"/>
              <w:rPr>
                <w:b/>
                <w:sz w:val="13"/>
              </w:rPr>
            </w:pPr>
            <w:r>
              <w:rPr>
                <w:b/>
                <w:w w:val="105"/>
                <w:sz w:val="13"/>
              </w:rPr>
              <w:t>2021</w:t>
            </w:r>
          </w:p>
        </w:tc>
      </w:tr>
      <w:tr>
        <w:trPr>
          <w:trHeight w:val="168" w:hRule="atLeast"/>
        </w:trPr>
        <w:tc>
          <w:tcPr>
            <w:tcW w:w="3294" w:type="dxa"/>
            <w:tcBorders>
              <w:top w:val="single" w:sz="4" w:space="0" w:color="000000"/>
              <w:left w:val="single" w:sz="4" w:space="0" w:color="000000"/>
            </w:tcBorders>
          </w:tcPr>
          <w:p>
            <w:pPr>
              <w:pStyle w:val="TableParagraph"/>
              <w:spacing w:line="147" w:lineRule="exact" w:before="2"/>
              <w:ind w:left="57"/>
              <w:rPr>
                <w:b/>
                <w:sz w:val="13"/>
              </w:rPr>
            </w:pPr>
            <w:r>
              <w:rPr>
                <w:b/>
                <w:w w:val="105"/>
                <w:sz w:val="13"/>
              </w:rPr>
              <w:t>Activo no corriente</w:t>
            </w:r>
          </w:p>
        </w:tc>
        <w:tc>
          <w:tcPr>
            <w:tcW w:w="1450" w:type="dxa"/>
            <w:tcBorders>
              <w:top w:val="single" w:sz="4" w:space="0" w:color="000000"/>
            </w:tcBorders>
          </w:tcPr>
          <w:p>
            <w:pPr>
              <w:pStyle w:val="TableParagraph"/>
              <w:spacing w:line="147" w:lineRule="exact" w:before="2"/>
              <w:ind w:left="716"/>
              <w:jc w:val="center"/>
              <w:rPr>
                <w:b/>
                <w:sz w:val="13"/>
              </w:rPr>
            </w:pPr>
            <w:r>
              <w:rPr>
                <w:b/>
                <w:sz w:val="13"/>
              </w:rPr>
              <w:t>3.478.420,27</w:t>
            </w:r>
          </w:p>
        </w:tc>
        <w:tc>
          <w:tcPr>
            <w:tcW w:w="484" w:type="dxa"/>
            <w:vMerge w:val="restart"/>
            <w:tcBorders>
              <w:top w:val="single" w:sz="4" w:space="0" w:color="000000"/>
              <w:bottom w:val="single" w:sz="4" w:space="0" w:color="000000"/>
            </w:tcBorders>
          </w:tcPr>
          <w:p>
            <w:pPr>
              <w:pStyle w:val="TableParagraph"/>
              <w:rPr>
                <w:rFonts w:ascii="Times New Roman"/>
                <w:sz w:val="14"/>
              </w:rPr>
            </w:pPr>
          </w:p>
        </w:tc>
        <w:tc>
          <w:tcPr>
            <w:tcW w:w="1638" w:type="dxa"/>
            <w:tcBorders>
              <w:top w:val="single" w:sz="4" w:space="0" w:color="000000"/>
              <w:right w:val="single" w:sz="4" w:space="0" w:color="000000"/>
            </w:tcBorders>
          </w:tcPr>
          <w:p>
            <w:pPr>
              <w:pStyle w:val="TableParagraph"/>
              <w:spacing w:line="147" w:lineRule="exact" w:before="2"/>
              <w:ind w:left="341" w:right="311"/>
              <w:jc w:val="center"/>
              <w:rPr>
                <w:b/>
                <w:sz w:val="13"/>
              </w:rPr>
            </w:pPr>
            <w:r>
              <w:rPr>
                <w:b/>
                <w:w w:val="105"/>
                <w:sz w:val="13"/>
              </w:rPr>
              <w:t>3.199.886,48</w:t>
            </w:r>
          </w:p>
        </w:tc>
      </w:tr>
      <w:tr>
        <w:trPr>
          <w:trHeight w:val="147" w:hRule="atLeast"/>
        </w:trPr>
        <w:tc>
          <w:tcPr>
            <w:tcW w:w="3294" w:type="dxa"/>
            <w:tcBorders>
              <w:left w:val="single" w:sz="4" w:space="0" w:color="000000"/>
              <w:bottom w:val="single" w:sz="4" w:space="0" w:color="000000"/>
            </w:tcBorders>
          </w:tcPr>
          <w:p>
            <w:pPr>
              <w:pStyle w:val="TableParagraph"/>
              <w:spacing w:line="128" w:lineRule="exact"/>
              <w:ind w:left="57"/>
              <w:rPr>
                <w:b/>
                <w:sz w:val="13"/>
              </w:rPr>
            </w:pPr>
            <w:r>
              <w:rPr>
                <w:b/>
                <w:w w:val="105"/>
                <w:sz w:val="13"/>
              </w:rPr>
              <w:t>Activo corriente</w:t>
            </w:r>
          </w:p>
        </w:tc>
        <w:tc>
          <w:tcPr>
            <w:tcW w:w="1450" w:type="dxa"/>
            <w:tcBorders>
              <w:bottom w:val="single" w:sz="4" w:space="0" w:color="000000"/>
            </w:tcBorders>
          </w:tcPr>
          <w:p>
            <w:pPr>
              <w:pStyle w:val="TableParagraph"/>
              <w:spacing w:line="128" w:lineRule="exact"/>
              <w:ind w:left="648"/>
              <w:jc w:val="center"/>
              <w:rPr>
                <w:b/>
                <w:sz w:val="13"/>
              </w:rPr>
            </w:pPr>
            <w:r>
              <w:rPr>
                <w:b/>
                <w:sz w:val="13"/>
              </w:rPr>
              <w:t>30.515.629,51</w:t>
            </w:r>
          </w:p>
        </w:tc>
        <w:tc>
          <w:tcPr>
            <w:tcW w:w="484" w:type="dxa"/>
            <w:vMerge/>
            <w:tcBorders>
              <w:top w:val="nil"/>
              <w:bottom w:val="single" w:sz="4" w:space="0" w:color="000000"/>
            </w:tcBorders>
          </w:tcPr>
          <w:p>
            <w:pPr>
              <w:rPr>
                <w:sz w:val="2"/>
                <w:szCs w:val="2"/>
              </w:rPr>
            </w:pPr>
          </w:p>
        </w:tc>
        <w:tc>
          <w:tcPr>
            <w:tcW w:w="1638" w:type="dxa"/>
            <w:tcBorders>
              <w:bottom w:val="single" w:sz="4" w:space="0" w:color="000000"/>
              <w:right w:val="single" w:sz="4" w:space="0" w:color="000000"/>
            </w:tcBorders>
          </w:tcPr>
          <w:p>
            <w:pPr>
              <w:pStyle w:val="TableParagraph"/>
              <w:spacing w:line="128" w:lineRule="exact"/>
              <w:ind w:left="276" w:right="311"/>
              <w:jc w:val="center"/>
              <w:rPr>
                <w:b/>
                <w:sz w:val="13"/>
              </w:rPr>
            </w:pPr>
            <w:r>
              <w:rPr>
                <w:b/>
                <w:w w:val="105"/>
                <w:sz w:val="13"/>
              </w:rPr>
              <w:t>55.085.559,97</w:t>
            </w:r>
          </w:p>
        </w:tc>
      </w:tr>
      <w:tr>
        <w:trPr>
          <w:trHeight w:val="168" w:hRule="atLeast"/>
        </w:trPr>
        <w:tc>
          <w:tcPr>
            <w:tcW w:w="3294" w:type="dxa"/>
            <w:tcBorders>
              <w:top w:val="single" w:sz="4" w:space="0" w:color="000000"/>
              <w:left w:val="single" w:sz="4" w:space="0" w:color="000000"/>
            </w:tcBorders>
          </w:tcPr>
          <w:p>
            <w:pPr>
              <w:pStyle w:val="TableParagraph"/>
              <w:spacing w:line="147" w:lineRule="exact" w:before="2"/>
              <w:ind w:left="57"/>
              <w:rPr>
                <w:b/>
                <w:sz w:val="13"/>
              </w:rPr>
            </w:pPr>
            <w:r>
              <w:rPr>
                <w:b/>
                <w:w w:val="105"/>
                <w:sz w:val="13"/>
              </w:rPr>
              <w:t>Patrimonio Neto</w:t>
            </w:r>
          </w:p>
        </w:tc>
        <w:tc>
          <w:tcPr>
            <w:tcW w:w="1450" w:type="dxa"/>
            <w:tcBorders>
              <w:top w:val="single" w:sz="4" w:space="0" w:color="000000"/>
            </w:tcBorders>
          </w:tcPr>
          <w:p>
            <w:pPr>
              <w:pStyle w:val="TableParagraph"/>
              <w:spacing w:line="147" w:lineRule="exact" w:before="2"/>
              <w:ind w:left="648"/>
              <w:jc w:val="center"/>
              <w:rPr>
                <w:b/>
                <w:sz w:val="13"/>
              </w:rPr>
            </w:pPr>
            <w:r>
              <w:rPr>
                <w:b/>
                <w:sz w:val="13"/>
              </w:rPr>
              <w:t>10.447.217,15</w:t>
            </w:r>
          </w:p>
        </w:tc>
        <w:tc>
          <w:tcPr>
            <w:tcW w:w="484" w:type="dxa"/>
            <w:vMerge w:val="restart"/>
            <w:tcBorders>
              <w:top w:val="single" w:sz="4" w:space="0" w:color="000000"/>
              <w:bottom w:val="single" w:sz="4" w:space="0" w:color="000000"/>
            </w:tcBorders>
          </w:tcPr>
          <w:p>
            <w:pPr>
              <w:pStyle w:val="TableParagraph"/>
              <w:rPr>
                <w:rFonts w:ascii="Times New Roman"/>
                <w:sz w:val="14"/>
              </w:rPr>
            </w:pPr>
          </w:p>
        </w:tc>
        <w:tc>
          <w:tcPr>
            <w:tcW w:w="1638" w:type="dxa"/>
            <w:tcBorders>
              <w:top w:val="single" w:sz="4" w:space="0" w:color="000000"/>
              <w:right w:val="single" w:sz="4" w:space="0" w:color="000000"/>
            </w:tcBorders>
          </w:tcPr>
          <w:p>
            <w:pPr>
              <w:pStyle w:val="TableParagraph"/>
              <w:spacing w:line="147" w:lineRule="exact" w:before="2"/>
              <w:ind w:left="341" w:right="311"/>
              <w:jc w:val="center"/>
              <w:rPr>
                <w:b/>
                <w:sz w:val="13"/>
              </w:rPr>
            </w:pPr>
            <w:r>
              <w:rPr>
                <w:b/>
                <w:w w:val="105"/>
                <w:sz w:val="13"/>
              </w:rPr>
              <w:t>8.946.591,66</w:t>
            </w:r>
          </w:p>
        </w:tc>
      </w:tr>
      <w:tr>
        <w:trPr>
          <w:trHeight w:val="154" w:hRule="atLeast"/>
        </w:trPr>
        <w:tc>
          <w:tcPr>
            <w:tcW w:w="3294" w:type="dxa"/>
            <w:tcBorders>
              <w:left w:val="single" w:sz="4" w:space="0" w:color="000000"/>
            </w:tcBorders>
          </w:tcPr>
          <w:p>
            <w:pPr>
              <w:pStyle w:val="TableParagraph"/>
              <w:spacing w:line="134" w:lineRule="exact"/>
              <w:ind w:left="148"/>
              <w:rPr>
                <w:sz w:val="13"/>
              </w:rPr>
            </w:pPr>
            <w:r>
              <w:rPr>
                <w:w w:val="105"/>
                <w:sz w:val="13"/>
              </w:rPr>
              <w:t>Fondos Propios</w:t>
            </w:r>
          </w:p>
        </w:tc>
        <w:tc>
          <w:tcPr>
            <w:tcW w:w="1450" w:type="dxa"/>
          </w:tcPr>
          <w:p>
            <w:pPr>
              <w:pStyle w:val="TableParagraph"/>
              <w:spacing w:line="134" w:lineRule="exact"/>
              <w:ind w:left="722"/>
              <w:jc w:val="center"/>
              <w:rPr>
                <w:sz w:val="13"/>
              </w:rPr>
            </w:pPr>
            <w:r>
              <w:rPr>
                <w:sz w:val="13"/>
              </w:rPr>
              <w:t>1.644.436,21</w:t>
            </w:r>
          </w:p>
        </w:tc>
        <w:tc>
          <w:tcPr>
            <w:tcW w:w="484" w:type="dxa"/>
            <w:vMerge/>
            <w:tcBorders>
              <w:top w:val="nil"/>
              <w:bottom w:val="single" w:sz="4" w:space="0" w:color="000000"/>
            </w:tcBorders>
          </w:tcPr>
          <w:p>
            <w:pPr>
              <w:rPr>
                <w:sz w:val="2"/>
                <w:szCs w:val="2"/>
              </w:rPr>
            </w:pPr>
          </w:p>
        </w:tc>
        <w:tc>
          <w:tcPr>
            <w:tcW w:w="1638" w:type="dxa"/>
            <w:tcBorders>
              <w:right w:val="single" w:sz="4" w:space="0" w:color="000000"/>
            </w:tcBorders>
          </w:tcPr>
          <w:p>
            <w:pPr>
              <w:pStyle w:val="TableParagraph"/>
              <w:spacing w:line="134" w:lineRule="exact"/>
              <w:ind w:left="348" w:right="311"/>
              <w:jc w:val="center"/>
              <w:rPr>
                <w:sz w:val="13"/>
              </w:rPr>
            </w:pPr>
            <w:r>
              <w:rPr>
                <w:w w:val="105"/>
                <w:sz w:val="13"/>
              </w:rPr>
              <w:t>1.555.594,32</w:t>
            </w:r>
          </w:p>
        </w:tc>
      </w:tr>
      <w:tr>
        <w:trPr>
          <w:trHeight w:val="146" w:hRule="atLeast"/>
        </w:trPr>
        <w:tc>
          <w:tcPr>
            <w:tcW w:w="3294" w:type="dxa"/>
            <w:tcBorders>
              <w:left w:val="single" w:sz="4" w:space="0" w:color="000000"/>
              <w:bottom w:val="single" w:sz="4" w:space="0" w:color="000000"/>
            </w:tcBorders>
          </w:tcPr>
          <w:p>
            <w:pPr>
              <w:pStyle w:val="TableParagraph"/>
              <w:spacing w:line="127" w:lineRule="exact"/>
              <w:ind w:left="148"/>
              <w:rPr>
                <w:sz w:val="13"/>
              </w:rPr>
            </w:pPr>
            <w:r>
              <w:rPr>
                <w:w w:val="105"/>
                <w:sz w:val="13"/>
              </w:rPr>
              <w:t>Subvenciones, donaciones y legados recibidos</w:t>
            </w:r>
          </w:p>
        </w:tc>
        <w:tc>
          <w:tcPr>
            <w:tcW w:w="1450" w:type="dxa"/>
            <w:tcBorders>
              <w:bottom w:val="single" w:sz="4" w:space="0" w:color="000000"/>
            </w:tcBorders>
          </w:tcPr>
          <w:p>
            <w:pPr>
              <w:pStyle w:val="TableParagraph"/>
              <w:spacing w:line="127" w:lineRule="exact"/>
              <w:ind w:left="722"/>
              <w:jc w:val="center"/>
              <w:rPr>
                <w:sz w:val="13"/>
              </w:rPr>
            </w:pPr>
            <w:r>
              <w:rPr>
                <w:sz w:val="13"/>
              </w:rPr>
              <w:t>8.802.780,94</w:t>
            </w:r>
          </w:p>
        </w:tc>
        <w:tc>
          <w:tcPr>
            <w:tcW w:w="484" w:type="dxa"/>
            <w:vMerge/>
            <w:tcBorders>
              <w:top w:val="nil"/>
              <w:bottom w:val="single" w:sz="4" w:space="0" w:color="000000"/>
            </w:tcBorders>
          </w:tcPr>
          <w:p>
            <w:pPr>
              <w:rPr>
                <w:sz w:val="2"/>
                <w:szCs w:val="2"/>
              </w:rPr>
            </w:pPr>
          </w:p>
        </w:tc>
        <w:tc>
          <w:tcPr>
            <w:tcW w:w="1638" w:type="dxa"/>
            <w:tcBorders>
              <w:bottom w:val="single" w:sz="4" w:space="0" w:color="000000"/>
              <w:right w:val="single" w:sz="4" w:space="0" w:color="000000"/>
            </w:tcBorders>
          </w:tcPr>
          <w:p>
            <w:pPr>
              <w:pStyle w:val="TableParagraph"/>
              <w:spacing w:line="127" w:lineRule="exact"/>
              <w:ind w:left="348" w:right="311"/>
              <w:jc w:val="center"/>
              <w:rPr>
                <w:sz w:val="13"/>
              </w:rPr>
            </w:pPr>
            <w:r>
              <w:rPr>
                <w:w w:val="105"/>
                <w:sz w:val="13"/>
              </w:rPr>
              <w:t>7.390.997,34</w:t>
            </w:r>
          </w:p>
        </w:tc>
      </w:tr>
      <w:tr>
        <w:trPr>
          <w:trHeight w:val="169" w:hRule="atLeast"/>
        </w:trPr>
        <w:tc>
          <w:tcPr>
            <w:tcW w:w="3294" w:type="dxa"/>
            <w:tcBorders>
              <w:top w:val="single" w:sz="4" w:space="0" w:color="000000"/>
              <w:left w:val="single" w:sz="4" w:space="0" w:color="000000"/>
            </w:tcBorders>
          </w:tcPr>
          <w:p>
            <w:pPr>
              <w:pStyle w:val="TableParagraph"/>
              <w:spacing w:line="148" w:lineRule="exact" w:before="2"/>
              <w:ind w:left="57"/>
              <w:rPr>
                <w:sz w:val="13"/>
              </w:rPr>
            </w:pPr>
            <w:r>
              <w:rPr>
                <w:w w:val="105"/>
                <w:sz w:val="13"/>
              </w:rPr>
              <w:t>Pasivo no corriente</w:t>
            </w:r>
          </w:p>
        </w:tc>
        <w:tc>
          <w:tcPr>
            <w:tcW w:w="1450" w:type="dxa"/>
            <w:tcBorders>
              <w:top w:val="single" w:sz="4" w:space="0" w:color="000000"/>
            </w:tcBorders>
          </w:tcPr>
          <w:p>
            <w:pPr>
              <w:pStyle w:val="TableParagraph"/>
              <w:spacing w:line="148" w:lineRule="exact" w:before="2"/>
              <w:ind w:left="722"/>
              <w:jc w:val="center"/>
              <w:rPr>
                <w:sz w:val="13"/>
              </w:rPr>
            </w:pPr>
            <w:r>
              <w:rPr>
                <w:sz w:val="13"/>
              </w:rPr>
              <w:t>5.002.124,13</w:t>
            </w:r>
          </w:p>
        </w:tc>
        <w:tc>
          <w:tcPr>
            <w:tcW w:w="484" w:type="dxa"/>
            <w:vMerge w:val="restart"/>
            <w:tcBorders>
              <w:top w:val="single" w:sz="4" w:space="0" w:color="000000"/>
              <w:bottom w:val="single" w:sz="4" w:space="0" w:color="000000"/>
            </w:tcBorders>
          </w:tcPr>
          <w:p>
            <w:pPr>
              <w:pStyle w:val="TableParagraph"/>
              <w:rPr>
                <w:rFonts w:ascii="Times New Roman"/>
                <w:sz w:val="14"/>
              </w:rPr>
            </w:pPr>
          </w:p>
        </w:tc>
        <w:tc>
          <w:tcPr>
            <w:tcW w:w="1638" w:type="dxa"/>
            <w:tcBorders>
              <w:top w:val="single" w:sz="4" w:space="0" w:color="000000"/>
              <w:right w:val="single" w:sz="4" w:space="0" w:color="000000"/>
            </w:tcBorders>
          </w:tcPr>
          <w:p>
            <w:pPr>
              <w:pStyle w:val="TableParagraph"/>
              <w:spacing w:line="148" w:lineRule="exact" w:before="2"/>
              <w:ind w:left="348" w:right="311"/>
              <w:jc w:val="center"/>
              <w:rPr>
                <w:sz w:val="13"/>
              </w:rPr>
            </w:pPr>
            <w:r>
              <w:rPr>
                <w:w w:val="105"/>
                <w:sz w:val="13"/>
              </w:rPr>
              <w:t>4.928.199,93</w:t>
            </w:r>
          </w:p>
        </w:tc>
      </w:tr>
      <w:tr>
        <w:trPr>
          <w:trHeight w:val="146" w:hRule="atLeast"/>
        </w:trPr>
        <w:tc>
          <w:tcPr>
            <w:tcW w:w="3294" w:type="dxa"/>
            <w:tcBorders>
              <w:left w:val="single" w:sz="4" w:space="0" w:color="000000"/>
              <w:bottom w:val="single" w:sz="4" w:space="0" w:color="000000"/>
            </w:tcBorders>
          </w:tcPr>
          <w:p>
            <w:pPr>
              <w:pStyle w:val="TableParagraph"/>
              <w:spacing w:line="127" w:lineRule="exact"/>
              <w:ind w:left="57"/>
              <w:rPr>
                <w:sz w:val="13"/>
              </w:rPr>
            </w:pPr>
            <w:r>
              <w:rPr>
                <w:w w:val="105"/>
                <w:sz w:val="13"/>
              </w:rPr>
              <w:t>Pasivo corriente</w:t>
            </w:r>
          </w:p>
        </w:tc>
        <w:tc>
          <w:tcPr>
            <w:tcW w:w="1450" w:type="dxa"/>
            <w:tcBorders>
              <w:bottom w:val="single" w:sz="4" w:space="0" w:color="000000"/>
            </w:tcBorders>
          </w:tcPr>
          <w:p>
            <w:pPr>
              <w:pStyle w:val="TableParagraph"/>
              <w:spacing w:line="127" w:lineRule="exact"/>
              <w:ind w:left="654"/>
              <w:jc w:val="center"/>
              <w:rPr>
                <w:sz w:val="13"/>
              </w:rPr>
            </w:pPr>
            <w:r>
              <w:rPr>
                <w:sz w:val="13"/>
              </w:rPr>
              <w:t>18.544.708,50</w:t>
            </w:r>
          </w:p>
        </w:tc>
        <w:tc>
          <w:tcPr>
            <w:tcW w:w="484" w:type="dxa"/>
            <w:vMerge/>
            <w:tcBorders>
              <w:top w:val="nil"/>
              <w:bottom w:val="single" w:sz="4" w:space="0" w:color="000000"/>
            </w:tcBorders>
          </w:tcPr>
          <w:p>
            <w:pPr>
              <w:rPr>
                <w:sz w:val="2"/>
                <w:szCs w:val="2"/>
              </w:rPr>
            </w:pPr>
          </w:p>
        </w:tc>
        <w:tc>
          <w:tcPr>
            <w:tcW w:w="1638" w:type="dxa"/>
            <w:tcBorders>
              <w:bottom w:val="single" w:sz="4" w:space="0" w:color="000000"/>
              <w:right w:val="single" w:sz="4" w:space="0" w:color="000000"/>
            </w:tcBorders>
          </w:tcPr>
          <w:p>
            <w:pPr>
              <w:pStyle w:val="TableParagraph"/>
              <w:spacing w:line="127" w:lineRule="exact"/>
              <w:ind w:left="282" w:right="311"/>
              <w:jc w:val="center"/>
              <w:rPr>
                <w:sz w:val="13"/>
              </w:rPr>
            </w:pPr>
            <w:r>
              <w:rPr>
                <w:w w:val="105"/>
                <w:sz w:val="13"/>
              </w:rPr>
              <w:t>44.410.654,86</w:t>
            </w:r>
          </w:p>
        </w:tc>
      </w:tr>
      <w:tr>
        <w:trPr>
          <w:trHeight w:val="163" w:hRule="atLeast"/>
        </w:trPr>
        <w:tc>
          <w:tcPr>
            <w:tcW w:w="3294" w:type="dxa"/>
            <w:tcBorders>
              <w:top w:val="single" w:sz="4" w:space="0" w:color="000000"/>
              <w:left w:val="single" w:sz="4" w:space="0" w:color="000000"/>
              <w:bottom w:val="single" w:sz="4" w:space="0" w:color="000000"/>
            </w:tcBorders>
            <w:shd w:val="clear" w:color="auto" w:fill="D9D9D9"/>
          </w:tcPr>
          <w:p>
            <w:pPr>
              <w:pStyle w:val="TableParagraph"/>
              <w:spacing w:line="141" w:lineRule="exact" w:before="2"/>
              <w:ind w:left="994"/>
              <w:rPr>
                <w:b/>
                <w:sz w:val="13"/>
              </w:rPr>
            </w:pPr>
            <w:r>
              <w:rPr>
                <w:b/>
                <w:w w:val="105"/>
                <w:sz w:val="13"/>
              </w:rPr>
              <w:t>Total Activo/Pasivo (</w:t>
            </w:r>
            <w:r>
              <w:rPr>
                <w:w w:val="105"/>
                <w:sz w:val="13"/>
              </w:rPr>
              <w:t>euros</w:t>
            </w:r>
            <w:r>
              <w:rPr>
                <w:b/>
                <w:w w:val="105"/>
                <w:sz w:val="13"/>
              </w:rPr>
              <w:t>)</w:t>
            </w:r>
          </w:p>
        </w:tc>
        <w:tc>
          <w:tcPr>
            <w:tcW w:w="1450" w:type="dxa"/>
            <w:tcBorders>
              <w:top w:val="single" w:sz="4" w:space="0" w:color="000000"/>
              <w:bottom w:val="single" w:sz="4" w:space="0" w:color="000000"/>
            </w:tcBorders>
            <w:shd w:val="clear" w:color="auto" w:fill="D9D9D9"/>
          </w:tcPr>
          <w:p>
            <w:pPr>
              <w:pStyle w:val="TableParagraph"/>
              <w:spacing w:line="141" w:lineRule="exact" w:before="2"/>
              <w:ind w:left="628"/>
              <w:jc w:val="center"/>
              <w:rPr>
                <w:b/>
                <w:sz w:val="13"/>
              </w:rPr>
            </w:pPr>
            <w:r>
              <w:rPr>
                <w:b/>
                <w:w w:val="105"/>
                <w:sz w:val="13"/>
              </w:rPr>
              <w:t>33.994.049,78</w:t>
            </w:r>
          </w:p>
        </w:tc>
        <w:tc>
          <w:tcPr>
            <w:tcW w:w="484" w:type="dxa"/>
            <w:tcBorders>
              <w:top w:val="single" w:sz="4" w:space="0" w:color="000000"/>
              <w:bottom w:val="single" w:sz="4" w:space="0" w:color="000000"/>
            </w:tcBorders>
            <w:shd w:val="clear" w:color="auto" w:fill="D9D9D9"/>
          </w:tcPr>
          <w:p>
            <w:pPr>
              <w:pStyle w:val="TableParagraph"/>
              <w:spacing w:before="8"/>
              <w:ind w:left="12"/>
              <w:rPr>
                <w:sz w:val="8"/>
              </w:rPr>
            </w:pPr>
            <w:r>
              <w:rPr>
                <w:w w:val="105"/>
                <w:sz w:val="8"/>
              </w:rPr>
              <w:t>29</w:t>
            </w:r>
          </w:p>
        </w:tc>
        <w:tc>
          <w:tcPr>
            <w:tcW w:w="1638" w:type="dxa"/>
            <w:tcBorders>
              <w:top w:val="single" w:sz="4" w:space="0" w:color="000000"/>
              <w:bottom w:val="single" w:sz="4" w:space="0" w:color="000000"/>
              <w:right w:val="single" w:sz="4" w:space="0" w:color="000000"/>
            </w:tcBorders>
            <w:shd w:val="clear" w:color="auto" w:fill="D9D9D9"/>
          </w:tcPr>
          <w:p>
            <w:pPr>
              <w:pStyle w:val="TableParagraph"/>
              <w:spacing w:line="141" w:lineRule="exact" w:before="2"/>
              <w:ind w:left="366" w:right="311"/>
              <w:jc w:val="center"/>
              <w:rPr>
                <w:sz w:val="8"/>
              </w:rPr>
            </w:pPr>
            <w:r>
              <w:rPr>
                <w:b/>
                <w:w w:val="105"/>
                <w:sz w:val="13"/>
              </w:rPr>
              <w:t>58.285.446,45 </w:t>
            </w:r>
            <w:r>
              <w:rPr>
                <w:w w:val="105"/>
                <w:position w:val="4"/>
                <w:sz w:val="8"/>
              </w:rPr>
              <w:t>30</w:t>
            </w:r>
          </w:p>
        </w:tc>
      </w:tr>
    </w:tbl>
    <w:p>
      <w:pPr>
        <w:pStyle w:val="BodyText"/>
        <w:spacing w:before="2"/>
        <w:rPr>
          <w:b/>
        </w:rPr>
      </w:pPr>
      <w:r>
        <w:rPr/>
        <w:pict>
          <v:shape style="position:absolute;margin-left:142.958206pt;margin-top:14.608969pt;width:120.95pt;height:.1pt;mso-position-horizontal-relative:page;mso-position-vertical-relative:paragraph;z-index:-251445248;mso-wrap-distance-left:0;mso-wrap-distance-right:0" coordorigin="2859,292" coordsize="2419,0" path="m2859,292l5278,292e" filled="false" stroked="true" strokeweight=".604535pt" strokecolor="#000000">
            <v:path arrowok="t"/>
            <v:stroke dashstyle="solid"/>
            <w10:wrap type="topAndBottom"/>
          </v:shape>
        </w:pict>
      </w:r>
    </w:p>
    <w:p>
      <w:pPr>
        <w:spacing w:line="252" w:lineRule="auto" w:before="51"/>
        <w:ind w:left="2099" w:right="1151" w:firstLine="0"/>
        <w:jc w:val="both"/>
        <w:rPr>
          <w:sz w:val="16"/>
        </w:rPr>
      </w:pPr>
      <w:r>
        <w:rPr>
          <w:w w:val="105"/>
          <w:position w:val="6"/>
          <w:sz w:val="11"/>
        </w:rPr>
        <w:t>28 </w:t>
      </w:r>
      <w:r>
        <w:rPr>
          <w:w w:val="105"/>
          <w:sz w:val="16"/>
        </w:rPr>
        <w:t>Según lo dispuesto en la Orden de 24 de febrero de 2011, que regula el contenido del informe relativo al cumplimiento de las obligaciones de carácter económico-financiero</w:t>
      </w:r>
      <w:r>
        <w:rPr>
          <w:color w:val="00AFEF"/>
          <w:w w:val="105"/>
          <w:sz w:val="16"/>
        </w:rPr>
        <w:t>.</w:t>
      </w:r>
    </w:p>
    <w:p>
      <w:pPr>
        <w:spacing w:line="252" w:lineRule="auto" w:before="1"/>
        <w:ind w:left="2099" w:right="1146" w:firstLine="0"/>
        <w:jc w:val="both"/>
        <w:rPr>
          <w:sz w:val="16"/>
        </w:rPr>
      </w:pPr>
      <w:r>
        <w:rPr>
          <w:w w:val="105"/>
          <w:position w:val="4"/>
          <w:sz w:val="10"/>
        </w:rPr>
        <w:t>29 </w:t>
      </w:r>
      <w:r>
        <w:rPr>
          <w:w w:val="105"/>
          <w:sz w:val="16"/>
        </w:rPr>
        <w:t>El importe de ACCION SOCIAL en 2022 figura con las correcciones propuestas por la IGCAC, por errores de sumas en el Balance, tanto en el activo como en el pasivo, que obedecen a erratas originadas en la reclasificación de cuentas.</w:t>
      </w:r>
    </w:p>
    <w:p>
      <w:pPr>
        <w:spacing w:line="195" w:lineRule="exact" w:before="0"/>
        <w:ind w:left="0" w:right="1148" w:firstLine="0"/>
        <w:jc w:val="right"/>
        <w:rPr>
          <w:sz w:val="16"/>
        </w:rPr>
      </w:pPr>
      <w:r>
        <w:rPr>
          <w:w w:val="105"/>
          <w:position w:val="6"/>
          <w:sz w:val="11"/>
        </w:rPr>
        <w:t>30</w:t>
      </w:r>
      <w:r>
        <w:rPr>
          <w:spacing w:val="6"/>
          <w:w w:val="105"/>
          <w:position w:val="6"/>
          <w:sz w:val="11"/>
        </w:rPr>
        <w:t> </w:t>
      </w:r>
      <w:r>
        <w:rPr>
          <w:w w:val="105"/>
          <w:sz w:val="16"/>
        </w:rPr>
        <w:t>Los</w:t>
      </w:r>
      <w:r>
        <w:rPr>
          <w:spacing w:val="-3"/>
          <w:w w:val="105"/>
          <w:sz w:val="16"/>
        </w:rPr>
        <w:t> </w:t>
      </w:r>
      <w:r>
        <w:rPr>
          <w:w w:val="105"/>
          <w:sz w:val="16"/>
        </w:rPr>
        <w:t>datos</w:t>
      </w:r>
      <w:r>
        <w:rPr>
          <w:spacing w:val="-3"/>
          <w:w w:val="105"/>
          <w:sz w:val="16"/>
        </w:rPr>
        <w:t> </w:t>
      </w:r>
      <w:r>
        <w:rPr>
          <w:w w:val="105"/>
          <w:sz w:val="16"/>
        </w:rPr>
        <w:t>de</w:t>
      </w:r>
      <w:r>
        <w:rPr>
          <w:spacing w:val="-5"/>
          <w:w w:val="105"/>
          <w:sz w:val="16"/>
        </w:rPr>
        <w:t> </w:t>
      </w:r>
      <w:r>
        <w:rPr>
          <w:w w:val="105"/>
          <w:sz w:val="16"/>
        </w:rPr>
        <w:t>la</w:t>
      </w:r>
      <w:r>
        <w:rPr>
          <w:spacing w:val="-4"/>
          <w:w w:val="105"/>
          <w:sz w:val="16"/>
        </w:rPr>
        <w:t> </w:t>
      </w:r>
      <w:r>
        <w:rPr>
          <w:w w:val="105"/>
          <w:sz w:val="16"/>
        </w:rPr>
        <w:t>columna</w:t>
      </w:r>
      <w:r>
        <w:rPr>
          <w:spacing w:val="-4"/>
          <w:w w:val="105"/>
          <w:sz w:val="16"/>
        </w:rPr>
        <w:t> </w:t>
      </w:r>
      <w:r>
        <w:rPr>
          <w:w w:val="105"/>
          <w:sz w:val="16"/>
        </w:rPr>
        <w:t>para</w:t>
      </w:r>
      <w:r>
        <w:rPr>
          <w:spacing w:val="-6"/>
          <w:w w:val="105"/>
          <w:sz w:val="16"/>
        </w:rPr>
        <w:t> </w:t>
      </w:r>
      <w:r>
        <w:rPr>
          <w:w w:val="105"/>
          <w:sz w:val="16"/>
        </w:rPr>
        <w:t>2021</w:t>
      </w:r>
      <w:r>
        <w:rPr>
          <w:spacing w:val="-5"/>
          <w:w w:val="105"/>
          <w:sz w:val="16"/>
        </w:rPr>
        <w:t> </w:t>
      </w:r>
      <w:r>
        <w:rPr>
          <w:w w:val="105"/>
          <w:sz w:val="16"/>
        </w:rPr>
        <w:t>no</w:t>
      </w:r>
      <w:r>
        <w:rPr>
          <w:spacing w:val="-4"/>
          <w:w w:val="105"/>
          <w:sz w:val="16"/>
        </w:rPr>
        <w:t> </w:t>
      </w:r>
      <w:r>
        <w:rPr>
          <w:w w:val="105"/>
          <w:sz w:val="16"/>
        </w:rPr>
        <w:t>coinciden</w:t>
      </w:r>
      <w:r>
        <w:rPr>
          <w:spacing w:val="-4"/>
          <w:w w:val="105"/>
          <w:sz w:val="16"/>
        </w:rPr>
        <w:t> </w:t>
      </w:r>
      <w:r>
        <w:rPr>
          <w:w w:val="105"/>
          <w:sz w:val="16"/>
        </w:rPr>
        <w:t>con</w:t>
      </w:r>
      <w:r>
        <w:rPr>
          <w:spacing w:val="-3"/>
          <w:w w:val="105"/>
          <w:sz w:val="16"/>
        </w:rPr>
        <w:t> </w:t>
      </w:r>
      <w:r>
        <w:rPr>
          <w:w w:val="105"/>
          <w:sz w:val="16"/>
        </w:rPr>
        <w:t>los</w:t>
      </w:r>
      <w:r>
        <w:rPr>
          <w:spacing w:val="-3"/>
          <w:w w:val="105"/>
          <w:sz w:val="16"/>
        </w:rPr>
        <w:t> </w:t>
      </w:r>
      <w:r>
        <w:rPr>
          <w:w w:val="105"/>
          <w:sz w:val="16"/>
        </w:rPr>
        <w:t>que</w:t>
      </w:r>
      <w:r>
        <w:rPr>
          <w:spacing w:val="-5"/>
          <w:w w:val="105"/>
          <w:sz w:val="16"/>
        </w:rPr>
        <w:t> </w:t>
      </w:r>
      <w:r>
        <w:rPr>
          <w:w w:val="105"/>
          <w:sz w:val="16"/>
        </w:rPr>
        <w:t>figuran</w:t>
      </w:r>
      <w:r>
        <w:rPr>
          <w:spacing w:val="-3"/>
          <w:w w:val="105"/>
          <w:sz w:val="16"/>
        </w:rPr>
        <w:t> </w:t>
      </w:r>
      <w:r>
        <w:rPr>
          <w:w w:val="105"/>
          <w:sz w:val="16"/>
        </w:rPr>
        <w:t>en</w:t>
      </w:r>
      <w:r>
        <w:rPr>
          <w:spacing w:val="-4"/>
          <w:w w:val="105"/>
          <w:sz w:val="16"/>
        </w:rPr>
        <w:t> </w:t>
      </w:r>
      <w:r>
        <w:rPr>
          <w:w w:val="105"/>
          <w:sz w:val="16"/>
        </w:rPr>
        <w:t>el</w:t>
      </w:r>
      <w:r>
        <w:rPr>
          <w:spacing w:val="-4"/>
          <w:w w:val="105"/>
          <w:sz w:val="16"/>
        </w:rPr>
        <w:t> </w:t>
      </w:r>
      <w:r>
        <w:rPr>
          <w:w w:val="105"/>
          <w:sz w:val="16"/>
        </w:rPr>
        <w:t>Informe</w:t>
      </w:r>
      <w:r>
        <w:rPr>
          <w:spacing w:val="-5"/>
          <w:w w:val="105"/>
          <w:sz w:val="16"/>
        </w:rPr>
        <w:t> </w:t>
      </w:r>
      <w:r>
        <w:rPr>
          <w:w w:val="105"/>
          <w:sz w:val="16"/>
        </w:rPr>
        <w:t>de</w:t>
      </w:r>
      <w:r>
        <w:rPr>
          <w:spacing w:val="-5"/>
          <w:w w:val="105"/>
          <w:sz w:val="16"/>
        </w:rPr>
        <w:t> </w:t>
      </w:r>
      <w:r>
        <w:rPr>
          <w:w w:val="105"/>
          <w:sz w:val="16"/>
        </w:rPr>
        <w:t>la</w:t>
      </w:r>
      <w:r>
        <w:rPr>
          <w:spacing w:val="-4"/>
          <w:w w:val="105"/>
          <w:sz w:val="16"/>
        </w:rPr>
        <w:t> </w:t>
      </w:r>
      <w:r>
        <w:rPr>
          <w:w w:val="105"/>
          <w:sz w:val="16"/>
        </w:rPr>
        <w:t>Cuenta</w:t>
      </w:r>
      <w:r>
        <w:rPr>
          <w:spacing w:val="-4"/>
          <w:w w:val="105"/>
          <w:sz w:val="16"/>
        </w:rPr>
        <w:t> </w:t>
      </w:r>
      <w:r>
        <w:rPr>
          <w:w w:val="105"/>
          <w:sz w:val="16"/>
        </w:rPr>
        <w:t>General</w:t>
      </w:r>
    </w:p>
    <w:p>
      <w:pPr>
        <w:pStyle w:val="BodyText"/>
        <w:spacing w:before="2"/>
        <w:ind w:right="1140"/>
        <w:jc w:val="right"/>
      </w:pPr>
      <w:r>
        <w:rPr/>
        <w:t>128</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71" name="image5.png"/>
                  <wp:cNvGraphicFramePr>
                    <a:graphicFrameLocks noChangeAspect="1"/>
                  </wp:cNvGraphicFramePr>
                  <a:graphic>
                    <a:graphicData uri="http://schemas.openxmlformats.org/drawingml/2006/picture">
                      <pic:pic>
                        <pic:nvPicPr>
                          <pic:cNvPr id="27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130/247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80"/>
        </w:numPr>
        <w:tabs>
          <w:tab w:pos="2337" w:val="left" w:leader="none"/>
        </w:tabs>
        <w:spacing w:line="243" w:lineRule="exact" w:before="61" w:after="0"/>
        <w:ind w:left="2336" w:right="0" w:hanging="238"/>
        <w:jc w:val="left"/>
        <w:rPr>
          <w:sz w:val="20"/>
        </w:rPr>
      </w:pPr>
      <w:r>
        <w:rPr>
          <w:sz w:val="20"/>
        </w:rPr>
        <w:t>El</w:t>
      </w:r>
      <w:r>
        <w:rPr>
          <w:spacing w:val="-7"/>
          <w:sz w:val="20"/>
        </w:rPr>
        <w:t> </w:t>
      </w:r>
      <w:r>
        <w:rPr>
          <w:sz w:val="20"/>
        </w:rPr>
        <w:t>Activo</w:t>
      </w:r>
      <w:r>
        <w:rPr>
          <w:spacing w:val="-8"/>
          <w:sz w:val="20"/>
        </w:rPr>
        <w:t> </w:t>
      </w:r>
      <w:r>
        <w:rPr>
          <w:sz w:val="20"/>
        </w:rPr>
        <w:t>agregado</w:t>
      </w:r>
      <w:r>
        <w:rPr>
          <w:spacing w:val="-8"/>
          <w:sz w:val="20"/>
        </w:rPr>
        <w:t> </w:t>
      </w:r>
      <w:r>
        <w:rPr>
          <w:sz w:val="20"/>
        </w:rPr>
        <w:t>asciende</w:t>
      </w:r>
      <w:r>
        <w:rPr>
          <w:spacing w:val="-7"/>
          <w:sz w:val="20"/>
        </w:rPr>
        <w:t> </w:t>
      </w:r>
      <w:r>
        <w:rPr>
          <w:sz w:val="20"/>
        </w:rPr>
        <w:t>a</w:t>
      </w:r>
      <w:r>
        <w:rPr>
          <w:spacing w:val="-10"/>
          <w:sz w:val="20"/>
        </w:rPr>
        <w:t> </w:t>
      </w:r>
      <w:r>
        <w:rPr>
          <w:sz w:val="20"/>
        </w:rPr>
        <w:t>34</w:t>
      </w:r>
      <w:r>
        <w:rPr>
          <w:spacing w:val="-7"/>
          <w:sz w:val="20"/>
        </w:rPr>
        <w:t> </w:t>
      </w:r>
      <w:r>
        <w:rPr>
          <w:sz w:val="20"/>
        </w:rPr>
        <w:t>millones</w:t>
      </w:r>
      <w:r>
        <w:rPr>
          <w:spacing w:val="-9"/>
          <w:sz w:val="20"/>
        </w:rPr>
        <w:t> </w:t>
      </w:r>
      <w:r>
        <w:rPr>
          <w:sz w:val="20"/>
        </w:rPr>
        <w:t>de</w:t>
      </w:r>
      <w:r>
        <w:rPr>
          <w:spacing w:val="-8"/>
          <w:sz w:val="20"/>
        </w:rPr>
        <w:t> </w:t>
      </w:r>
      <w:r>
        <w:rPr>
          <w:sz w:val="20"/>
        </w:rPr>
        <w:t>€,</w:t>
      </w:r>
      <w:r>
        <w:rPr>
          <w:spacing w:val="-8"/>
          <w:sz w:val="20"/>
        </w:rPr>
        <w:t> </w:t>
      </w:r>
      <w:r>
        <w:rPr>
          <w:sz w:val="20"/>
        </w:rPr>
        <w:t>donde</w:t>
      </w:r>
      <w:r>
        <w:rPr>
          <w:spacing w:val="-9"/>
          <w:sz w:val="20"/>
        </w:rPr>
        <w:t> </w:t>
      </w:r>
      <w:r>
        <w:rPr>
          <w:sz w:val="20"/>
        </w:rPr>
        <w:t>el</w:t>
      </w:r>
      <w:r>
        <w:rPr>
          <w:spacing w:val="-8"/>
          <w:sz w:val="20"/>
        </w:rPr>
        <w:t> </w:t>
      </w:r>
      <w:r>
        <w:rPr>
          <w:sz w:val="20"/>
        </w:rPr>
        <w:t>77</w:t>
      </w:r>
      <w:r>
        <w:rPr>
          <w:spacing w:val="-9"/>
          <w:sz w:val="20"/>
        </w:rPr>
        <w:t> </w:t>
      </w:r>
      <w:r>
        <w:rPr>
          <w:sz w:val="20"/>
        </w:rPr>
        <w:t>%</w:t>
      </w:r>
      <w:r>
        <w:rPr>
          <w:spacing w:val="-9"/>
          <w:sz w:val="20"/>
        </w:rPr>
        <w:t> </w:t>
      </w:r>
      <w:r>
        <w:rPr>
          <w:sz w:val="20"/>
        </w:rPr>
        <w:t>pertenece</w:t>
      </w:r>
      <w:r>
        <w:rPr>
          <w:spacing w:val="-6"/>
          <w:sz w:val="20"/>
        </w:rPr>
        <w:t> </w:t>
      </w:r>
      <w:r>
        <w:rPr>
          <w:sz w:val="20"/>
        </w:rPr>
        <w:t>a</w:t>
      </w:r>
      <w:r>
        <w:rPr>
          <w:spacing w:val="-8"/>
          <w:sz w:val="20"/>
        </w:rPr>
        <w:t> </w:t>
      </w:r>
      <w:r>
        <w:rPr>
          <w:sz w:val="20"/>
        </w:rPr>
        <w:t>FUNCATRA</w:t>
      </w:r>
    </w:p>
    <w:p>
      <w:pPr>
        <w:pStyle w:val="BodyText"/>
        <w:spacing w:line="247" w:lineRule="exact"/>
        <w:ind w:left="2336"/>
        <w:rPr>
          <w:sz w:val="13"/>
        </w:rPr>
      </w:pPr>
      <w:r>
        <w:rPr/>
        <w:t>y FIISC (sólo FIISC representa el 56,8 % del total).</w:t>
      </w:r>
      <w:r>
        <w:rPr>
          <w:position w:val="7"/>
          <w:sz w:val="13"/>
        </w:rPr>
        <w:t>31</w:t>
      </w:r>
    </w:p>
    <w:p>
      <w:pPr>
        <w:pStyle w:val="BodyText"/>
        <w:spacing w:before="8"/>
        <w:rPr>
          <w:sz w:val="16"/>
        </w:rPr>
      </w:pPr>
    </w:p>
    <w:p>
      <w:pPr>
        <w:pStyle w:val="ListParagraph"/>
        <w:numPr>
          <w:ilvl w:val="0"/>
          <w:numId w:val="80"/>
        </w:numPr>
        <w:tabs>
          <w:tab w:pos="2337" w:val="left" w:leader="none"/>
        </w:tabs>
        <w:spacing w:line="242" w:lineRule="auto" w:before="0" w:after="0"/>
        <w:ind w:left="2336" w:right="1140" w:hanging="238"/>
        <w:jc w:val="both"/>
        <w:rPr>
          <w:sz w:val="13"/>
        </w:rPr>
      </w:pPr>
      <w:r>
        <w:rPr>
          <w:sz w:val="20"/>
        </w:rPr>
        <w:t>Comparando</w:t>
      </w:r>
      <w:r>
        <w:rPr>
          <w:spacing w:val="-6"/>
          <w:sz w:val="20"/>
        </w:rPr>
        <w:t> </w:t>
      </w:r>
      <w:r>
        <w:rPr>
          <w:sz w:val="20"/>
        </w:rPr>
        <w:t>con</w:t>
      </w:r>
      <w:r>
        <w:rPr>
          <w:spacing w:val="-3"/>
          <w:sz w:val="20"/>
        </w:rPr>
        <w:t> </w:t>
      </w:r>
      <w:r>
        <w:rPr>
          <w:sz w:val="20"/>
        </w:rPr>
        <w:t>el</w:t>
      </w:r>
      <w:r>
        <w:rPr>
          <w:spacing w:val="-5"/>
          <w:sz w:val="20"/>
        </w:rPr>
        <w:t> </w:t>
      </w:r>
      <w:r>
        <w:rPr>
          <w:sz w:val="20"/>
        </w:rPr>
        <w:t>año</w:t>
      </w:r>
      <w:r>
        <w:rPr>
          <w:spacing w:val="-5"/>
          <w:sz w:val="20"/>
        </w:rPr>
        <w:t> </w:t>
      </w:r>
      <w:r>
        <w:rPr>
          <w:sz w:val="20"/>
        </w:rPr>
        <w:t>anterior,</w:t>
      </w:r>
      <w:r>
        <w:rPr>
          <w:spacing w:val="-5"/>
          <w:sz w:val="20"/>
        </w:rPr>
        <w:t> </w:t>
      </w:r>
      <w:r>
        <w:rPr>
          <w:sz w:val="20"/>
        </w:rPr>
        <w:t>se</w:t>
      </w:r>
      <w:r>
        <w:rPr>
          <w:spacing w:val="-5"/>
          <w:sz w:val="20"/>
        </w:rPr>
        <w:t> </w:t>
      </w:r>
      <w:r>
        <w:rPr>
          <w:sz w:val="20"/>
        </w:rPr>
        <w:t>pone</w:t>
      </w:r>
      <w:r>
        <w:rPr>
          <w:spacing w:val="-6"/>
          <w:sz w:val="20"/>
        </w:rPr>
        <w:t> </w:t>
      </w:r>
      <w:r>
        <w:rPr>
          <w:sz w:val="20"/>
        </w:rPr>
        <w:t>de</w:t>
      </w:r>
      <w:r>
        <w:rPr>
          <w:spacing w:val="-5"/>
          <w:sz w:val="20"/>
        </w:rPr>
        <w:t> </w:t>
      </w:r>
      <w:r>
        <w:rPr>
          <w:sz w:val="20"/>
        </w:rPr>
        <w:t>manifiesto</w:t>
      </w:r>
      <w:r>
        <w:rPr>
          <w:spacing w:val="-7"/>
          <w:sz w:val="20"/>
        </w:rPr>
        <w:t> </w:t>
      </w:r>
      <w:r>
        <w:rPr>
          <w:sz w:val="20"/>
        </w:rPr>
        <w:t>una</w:t>
      </w:r>
      <w:r>
        <w:rPr>
          <w:spacing w:val="-5"/>
          <w:sz w:val="20"/>
        </w:rPr>
        <w:t> </w:t>
      </w:r>
      <w:r>
        <w:rPr>
          <w:sz w:val="20"/>
        </w:rPr>
        <w:t>disminución</w:t>
      </w:r>
      <w:r>
        <w:rPr>
          <w:spacing w:val="-4"/>
          <w:sz w:val="20"/>
        </w:rPr>
        <w:t> </w:t>
      </w:r>
      <w:r>
        <w:rPr>
          <w:sz w:val="20"/>
        </w:rPr>
        <w:t>del</w:t>
      </w:r>
      <w:r>
        <w:rPr>
          <w:spacing w:val="-5"/>
          <w:sz w:val="20"/>
        </w:rPr>
        <w:t> </w:t>
      </w:r>
      <w:r>
        <w:rPr>
          <w:sz w:val="20"/>
        </w:rPr>
        <w:t>total</w:t>
      </w:r>
      <w:r>
        <w:rPr>
          <w:spacing w:val="-7"/>
          <w:sz w:val="20"/>
        </w:rPr>
        <w:t> </w:t>
      </w:r>
      <w:r>
        <w:rPr>
          <w:sz w:val="20"/>
        </w:rPr>
        <w:t>del importe del Balance en 24,3 millones de € (en 2021 este se cifraba en 58,3 millones de €). La justificación de esta variación radica, fundamentalmente, en el efecto que se produce en FUNCATRA por la reducción en 25 millones de € de la partida “Deudores comerciales y otras cuentas a cobrar”, como consecuencia, principalmente, del cobro durante de los importes que quedaron pendientes de recibir por parte de esta Fundación en el ejercicio 2021, correspondiente al convenio de colaboración para la gestión del procedimiento de concesión de subvenciones financiadas con los fondos europeos del Mecanismo para la Recuperación y Resiliencia (MRR), suscrito el 21 de octubre de 2021.</w:t>
      </w:r>
      <w:r>
        <w:rPr>
          <w:position w:val="7"/>
          <w:sz w:val="13"/>
        </w:rPr>
        <w:t>32</w:t>
      </w:r>
    </w:p>
    <w:p>
      <w:pPr>
        <w:pStyle w:val="ListParagraph"/>
        <w:numPr>
          <w:ilvl w:val="0"/>
          <w:numId w:val="80"/>
        </w:numPr>
        <w:tabs>
          <w:tab w:pos="2337" w:val="left" w:leader="none"/>
        </w:tabs>
        <w:spacing w:line="240" w:lineRule="auto" w:before="193" w:after="0"/>
        <w:ind w:left="2336" w:right="1145" w:hanging="238"/>
        <w:jc w:val="both"/>
        <w:rPr>
          <w:sz w:val="20"/>
        </w:rPr>
      </w:pPr>
      <w:r>
        <w:rPr>
          <w:sz w:val="20"/>
        </w:rPr>
        <w:t>El Patrimonio Neto para las fundaciones es de 10,4 millones de €, incrementándose con respecto al año anterior en 1,5 millones de € (un 16,8 %), principalmente, por la mejora de los resultados de IDEO y FIISC. Al igual que sucede con el activo, el 58,2 % del patrimonio agregado lo concentra FIISC (6,1 millones de</w:t>
      </w:r>
      <w:r>
        <w:rPr>
          <w:spacing w:val="-2"/>
          <w:sz w:val="20"/>
        </w:rPr>
        <w:t> </w:t>
      </w:r>
      <w:r>
        <w:rPr>
          <w:sz w:val="20"/>
        </w:rPr>
        <w:t>€).</w:t>
      </w:r>
    </w:p>
    <w:p>
      <w:pPr>
        <w:pStyle w:val="BodyText"/>
        <w:spacing w:before="7"/>
        <w:rPr>
          <w:sz w:val="26"/>
        </w:rPr>
      </w:pPr>
    </w:p>
    <w:tbl>
      <w:tblPr>
        <w:tblW w:w="0" w:type="auto"/>
        <w:jc w:val="left"/>
        <w:tblInd w:w="2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8"/>
        <w:gridCol w:w="1572"/>
        <w:gridCol w:w="1141"/>
        <w:gridCol w:w="1506"/>
        <w:gridCol w:w="1559"/>
      </w:tblGrid>
      <w:tr>
        <w:trPr>
          <w:trHeight w:val="326" w:hRule="atLeast"/>
        </w:trPr>
        <w:tc>
          <w:tcPr>
            <w:tcW w:w="1138"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1572" w:type="dxa"/>
            <w:tcBorders>
              <w:top w:val="single" w:sz="4" w:space="0" w:color="000000"/>
              <w:left w:val="single" w:sz="4" w:space="0" w:color="000000"/>
              <w:bottom w:val="single" w:sz="4" w:space="0" w:color="000000"/>
            </w:tcBorders>
            <w:shd w:val="clear" w:color="auto" w:fill="DEEAF6"/>
          </w:tcPr>
          <w:p>
            <w:pPr>
              <w:pStyle w:val="TableParagraph"/>
              <w:spacing w:before="85"/>
              <w:ind w:left="161"/>
              <w:rPr>
                <w:b/>
                <w:sz w:val="13"/>
              </w:rPr>
            </w:pPr>
            <w:r>
              <w:rPr>
                <w:b/>
                <w:w w:val="105"/>
                <w:sz w:val="13"/>
              </w:rPr>
              <w:t>Dotación Fundacional</w:t>
            </w:r>
          </w:p>
        </w:tc>
        <w:tc>
          <w:tcPr>
            <w:tcW w:w="1141" w:type="dxa"/>
            <w:tcBorders>
              <w:top w:val="single" w:sz="4" w:space="0" w:color="000000"/>
              <w:bottom w:val="single" w:sz="4" w:space="0" w:color="000000"/>
            </w:tcBorders>
            <w:shd w:val="clear" w:color="auto" w:fill="DEEAF6"/>
          </w:tcPr>
          <w:p>
            <w:pPr>
              <w:pStyle w:val="TableParagraph"/>
              <w:spacing w:before="85"/>
              <w:ind w:left="99"/>
              <w:rPr>
                <w:b/>
                <w:sz w:val="13"/>
              </w:rPr>
            </w:pPr>
            <w:r>
              <w:rPr>
                <w:b/>
                <w:w w:val="105"/>
                <w:sz w:val="13"/>
              </w:rPr>
              <w:t>Fondos Propios</w:t>
            </w:r>
          </w:p>
        </w:tc>
        <w:tc>
          <w:tcPr>
            <w:tcW w:w="1506" w:type="dxa"/>
            <w:tcBorders>
              <w:top w:val="single" w:sz="4" w:space="0" w:color="000000"/>
              <w:bottom w:val="single" w:sz="4" w:space="0" w:color="000000"/>
              <w:right w:val="single" w:sz="4" w:space="0" w:color="000000"/>
            </w:tcBorders>
            <w:shd w:val="clear" w:color="auto" w:fill="DEEAF6"/>
          </w:tcPr>
          <w:p>
            <w:pPr>
              <w:pStyle w:val="TableParagraph"/>
              <w:spacing w:before="85"/>
              <w:ind w:left="115"/>
              <w:rPr>
                <w:b/>
                <w:sz w:val="13"/>
              </w:rPr>
            </w:pPr>
            <w:r>
              <w:rPr>
                <w:b/>
                <w:w w:val="105"/>
                <w:sz w:val="13"/>
              </w:rPr>
              <w:t>Patrimonio Neto 2022</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85"/>
              <w:ind w:left="162"/>
              <w:rPr>
                <w:b/>
                <w:sz w:val="13"/>
              </w:rPr>
            </w:pPr>
            <w:r>
              <w:rPr>
                <w:b/>
                <w:w w:val="105"/>
                <w:sz w:val="13"/>
              </w:rPr>
              <w:t>Patrimonio Neto 2021</w:t>
            </w:r>
          </w:p>
        </w:tc>
      </w:tr>
      <w:tr>
        <w:trPr>
          <w:trHeight w:val="247" w:hRule="atLeast"/>
        </w:trPr>
        <w:tc>
          <w:tcPr>
            <w:tcW w:w="1138" w:type="dxa"/>
            <w:tcBorders>
              <w:left w:val="single" w:sz="4" w:space="0" w:color="000000"/>
              <w:right w:val="single" w:sz="4" w:space="0" w:color="000000"/>
            </w:tcBorders>
          </w:tcPr>
          <w:p>
            <w:pPr>
              <w:pStyle w:val="TableParagraph"/>
              <w:spacing w:before="38"/>
              <w:ind w:left="57"/>
              <w:rPr>
                <w:b/>
                <w:sz w:val="13"/>
              </w:rPr>
            </w:pPr>
            <w:r>
              <w:rPr>
                <w:b/>
                <w:w w:val="105"/>
                <w:sz w:val="13"/>
              </w:rPr>
              <w:t>LENGUA</w:t>
            </w:r>
          </w:p>
        </w:tc>
        <w:tc>
          <w:tcPr>
            <w:tcW w:w="1572" w:type="dxa"/>
            <w:tcBorders>
              <w:top w:val="single" w:sz="4" w:space="0" w:color="000000"/>
              <w:left w:val="single" w:sz="4" w:space="0" w:color="000000"/>
            </w:tcBorders>
          </w:tcPr>
          <w:p>
            <w:pPr>
              <w:pStyle w:val="TableParagraph"/>
              <w:spacing w:before="38"/>
              <w:ind w:right="88"/>
              <w:jc w:val="right"/>
              <w:rPr>
                <w:sz w:val="13"/>
              </w:rPr>
            </w:pPr>
            <w:r>
              <w:rPr>
                <w:w w:val="105"/>
                <w:sz w:val="13"/>
              </w:rPr>
              <w:t>60.101,21</w:t>
            </w:r>
          </w:p>
        </w:tc>
        <w:tc>
          <w:tcPr>
            <w:tcW w:w="1141" w:type="dxa"/>
            <w:tcBorders>
              <w:top w:val="single" w:sz="4" w:space="0" w:color="000000"/>
            </w:tcBorders>
          </w:tcPr>
          <w:p>
            <w:pPr>
              <w:pStyle w:val="TableParagraph"/>
              <w:spacing w:before="38"/>
              <w:ind w:right="104"/>
              <w:jc w:val="right"/>
              <w:rPr>
                <w:sz w:val="13"/>
              </w:rPr>
            </w:pPr>
            <w:r>
              <w:rPr>
                <w:w w:val="105"/>
                <w:sz w:val="13"/>
              </w:rPr>
              <w:t>155.831,93</w:t>
            </w:r>
          </w:p>
        </w:tc>
        <w:tc>
          <w:tcPr>
            <w:tcW w:w="1506" w:type="dxa"/>
            <w:tcBorders>
              <w:top w:val="single" w:sz="4" w:space="0" w:color="000000"/>
              <w:right w:val="single" w:sz="4" w:space="0" w:color="000000"/>
            </w:tcBorders>
          </w:tcPr>
          <w:p>
            <w:pPr>
              <w:pStyle w:val="TableParagraph"/>
              <w:spacing w:before="38"/>
              <w:ind w:right="45"/>
              <w:jc w:val="right"/>
              <w:rPr>
                <w:sz w:val="13"/>
              </w:rPr>
            </w:pPr>
            <w:r>
              <w:rPr>
                <w:w w:val="105"/>
                <w:sz w:val="13"/>
              </w:rPr>
              <w:t>184.413,86</w:t>
            </w:r>
          </w:p>
        </w:tc>
        <w:tc>
          <w:tcPr>
            <w:tcW w:w="1559" w:type="dxa"/>
            <w:tcBorders>
              <w:top w:val="single" w:sz="4" w:space="0" w:color="000000"/>
              <w:left w:val="single" w:sz="4" w:space="0" w:color="000000"/>
              <w:right w:val="single" w:sz="4" w:space="0" w:color="000000"/>
            </w:tcBorders>
          </w:tcPr>
          <w:p>
            <w:pPr>
              <w:pStyle w:val="TableParagraph"/>
              <w:spacing w:before="38"/>
              <w:ind w:right="46"/>
              <w:jc w:val="right"/>
              <w:rPr>
                <w:sz w:val="13"/>
              </w:rPr>
            </w:pPr>
            <w:r>
              <w:rPr>
                <w:w w:val="105"/>
                <w:sz w:val="13"/>
              </w:rPr>
              <w:t>127.804,75</w:t>
            </w:r>
          </w:p>
        </w:tc>
      </w:tr>
      <w:tr>
        <w:trPr>
          <w:trHeight w:val="237" w:hRule="atLeast"/>
        </w:trPr>
        <w:tc>
          <w:tcPr>
            <w:tcW w:w="1138" w:type="dxa"/>
            <w:tcBorders>
              <w:left w:val="single" w:sz="4" w:space="0" w:color="000000"/>
              <w:right w:val="single" w:sz="4" w:space="0" w:color="000000"/>
            </w:tcBorders>
          </w:tcPr>
          <w:p>
            <w:pPr>
              <w:pStyle w:val="TableParagraph"/>
              <w:spacing w:before="29"/>
              <w:ind w:left="57"/>
              <w:rPr>
                <w:b/>
                <w:sz w:val="13"/>
              </w:rPr>
            </w:pPr>
            <w:r>
              <w:rPr>
                <w:b/>
                <w:w w:val="105"/>
                <w:sz w:val="13"/>
              </w:rPr>
              <w:t>FUNCATRA</w:t>
            </w:r>
          </w:p>
        </w:tc>
        <w:tc>
          <w:tcPr>
            <w:tcW w:w="1572" w:type="dxa"/>
            <w:tcBorders>
              <w:left w:val="single" w:sz="4" w:space="0" w:color="000000"/>
            </w:tcBorders>
          </w:tcPr>
          <w:p>
            <w:pPr>
              <w:pStyle w:val="TableParagraph"/>
              <w:spacing w:before="29"/>
              <w:ind w:right="88"/>
              <w:jc w:val="right"/>
              <w:rPr>
                <w:sz w:val="13"/>
              </w:rPr>
            </w:pPr>
            <w:r>
              <w:rPr>
                <w:w w:val="105"/>
                <w:sz w:val="13"/>
              </w:rPr>
              <w:t>60.101,21</w:t>
            </w:r>
          </w:p>
        </w:tc>
        <w:tc>
          <w:tcPr>
            <w:tcW w:w="1141" w:type="dxa"/>
          </w:tcPr>
          <w:p>
            <w:pPr>
              <w:pStyle w:val="TableParagraph"/>
              <w:spacing w:before="29"/>
              <w:ind w:right="104"/>
              <w:jc w:val="right"/>
              <w:rPr>
                <w:sz w:val="13"/>
              </w:rPr>
            </w:pPr>
            <w:r>
              <w:rPr>
                <w:w w:val="105"/>
                <w:sz w:val="13"/>
              </w:rPr>
              <w:t>73.776,97</w:t>
            </w:r>
          </w:p>
        </w:tc>
        <w:tc>
          <w:tcPr>
            <w:tcW w:w="1506" w:type="dxa"/>
            <w:tcBorders>
              <w:right w:val="single" w:sz="4" w:space="0" w:color="000000"/>
            </w:tcBorders>
          </w:tcPr>
          <w:p>
            <w:pPr>
              <w:pStyle w:val="TableParagraph"/>
              <w:spacing w:before="29"/>
              <w:ind w:right="45"/>
              <w:jc w:val="right"/>
              <w:rPr>
                <w:sz w:val="13"/>
              </w:rPr>
            </w:pPr>
            <w:r>
              <w:rPr>
                <w:w w:val="105"/>
                <w:sz w:val="13"/>
              </w:rPr>
              <w:t>104.667,35</w:t>
            </w:r>
          </w:p>
        </w:tc>
        <w:tc>
          <w:tcPr>
            <w:tcW w:w="1559" w:type="dxa"/>
            <w:tcBorders>
              <w:left w:val="single" w:sz="4" w:space="0" w:color="000000"/>
              <w:right w:val="single" w:sz="4" w:space="0" w:color="000000"/>
            </w:tcBorders>
          </w:tcPr>
          <w:p>
            <w:pPr>
              <w:pStyle w:val="TableParagraph"/>
              <w:spacing w:before="29"/>
              <w:ind w:right="46"/>
              <w:jc w:val="right"/>
              <w:rPr>
                <w:sz w:val="13"/>
              </w:rPr>
            </w:pPr>
            <w:r>
              <w:rPr>
                <w:w w:val="105"/>
                <w:sz w:val="13"/>
              </w:rPr>
              <w:t>185.325,83</w:t>
            </w:r>
          </w:p>
        </w:tc>
      </w:tr>
      <w:tr>
        <w:trPr>
          <w:trHeight w:val="237" w:hRule="atLeast"/>
        </w:trPr>
        <w:tc>
          <w:tcPr>
            <w:tcW w:w="1138" w:type="dxa"/>
            <w:tcBorders>
              <w:left w:val="single" w:sz="4" w:space="0" w:color="000000"/>
              <w:right w:val="single" w:sz="4" w:space="0" w:color="000000"/>
            </w:tcBorders>
          </w:tcPr>
          <w:p>
            <w:pPr>
              <w:pStyle w:val="TableParagraph"/>
              <w:spacing w:before="29"/>
              <w:ind w:left="57"/>
              <w:rPr>
                <w:b/>
                <w:sz w:val="13"/>
              </w:rPr>
            </w:pPr>
            <w:r>
              <w:rPr>
                <w:b/>
                <w:w w:val="105"/>
                <w:sz w:val="13"/>
              </w:rPr>
              <w:t>IDEO</w:t>
            </w:r>
          </w:p>
        </w:tc>
        <w:tc>
          <w:tcPr>
            <w:tcW w:w="1572" w:type="dxa"/>
            <w:tcBorders>
              <w:left w:val="single" w:sz="4" w:space="0" w:color="000000"/>
            </w:tcBorders>
          </w:tcPr>
          <w:p>
            <w:pPr>
              <w:pStyle w:val="TableParagraph"/>
              <w:spacing w:before="29"/>
              <w:ind w:right="88"/>
              <w:jc w:val="right"/>
              <w:rPr>
                <w:sz w:val="13"/>
              </w:rPr>
            </w:pPr>
            <w:r>
              <w:rPr>
                <w:w w:val="105"/>
                <w:sz w:val="13"/>
              </w:rPr>
              <w:t>220.000,00</w:t>
            </w:r>
          </w:p>
        </w:tc>
        <w:tc>
          <w:tcPr>
            <w:tcW w:w="1141" w:type="dxa"/>
          </w:tcPr>
          <w:p>
            <w:pPr>
              <w:pStyle w:val="TableParagraph"/>
              <w:spacing w:before="29"/>
              <w:ind w:right="104"/>
              <w:jc w:val="right"/>
              <w:rPr>
                <w:sz w:val="13"/>
              </w:rPr>
            </w:pPr>
            <w:r>
              <w:rPr>
                <w:sz w:val="13"/>
              </w:rPr>
              <w:t>-103.716,10</w:t>
            </w:r>
          </w:p>
        </w:tc>
        <w:tc>
          <w:tcPr>
            <w:tcW w:w="1506" w:type="dxa"/>
            <w:tcBorders>
              <w:right w:val="single" w:sz="4" w:space="0" w:color="000000"/>
            </w:tcBorders>
          </w:tcPr>
          <w:p>
            <w:pPr>
              <w:pStyle w:val="TableParagraph"/>
              <w:spacing w:before="29"/>
              <w:ind w:right="45"/>
              <w:jc w:val="right"/>
              <w:rPr>
                <w:sz w:val="13"/>
              </w:rPr>
            </w:pPr>
            <w:r>
              <w:rPr>
                <w:w w:val="105"/>
                <w:sz w:val="13"/>
              </w:rPr>
              <w:t>832.032,96</w:t>
            </w:r>
          </w:p>
        </w:tc>
        <w:tc>
          <w:tcPr>
            <w:tcW w:w="1559" w:type="dxa"/>
            <w:tcBorders>
              <w:left w:val="single" w:sz="4" w:space="0" w:color="000000"/>
              <w:right w:val="single" w:sz="4" w:space="0" w:color="000000"/>
            </w:tcBorders>
          </w:tcPr>
          <w:p>
            <w:pPr>
              <w:pStyle w:val="TableParagraph"/>
              <w:spacing w:before="29"/>
              <w:ind w:right="46"/>
              <w:jc w:val="right"/>
              <w:rPr>
                <w:sz w:val="13"/>
              </w:rPr>
            </w:pPr>
            <w:r>
              <w:rPr>
                <w:w w:val="105"/>
                <w:sz w:val="13"/>
              </w:rPr>
              <w:t>2.059,69</w:t>
            </w:r>
          </w:p>
        </w:tc>
      </w:tr>
      <w:tr>
        <w:trPr>
          <w:trHeight w:val="237" w:hRule="atLeast"/>
        </w:trPr>
        <w:tc>
          <w:tcPr>
            <w:tcW w:w="1138" w:type="dxa"/>
            <w:tcBorders>
              <w:left w:val="single" w:sz="4" w:space="0" w:color="000000"/>
              <w:right w:val="single" w:sz="4" w:space="0" w:color="000000"/>
            </w:tcBorders>
          </w:tcPr>
          <w:p>
            <w:pPr>
              <w:pStyle w:val="TableParagraph"/>
              <w:spacing w:before="29"/>
              <w:ind w:left="57"/>
              <w:rPr>
                <w:b/>
                <w:sz w:val="13"/>
              </w:rPr>
            </w:pPr>
            <w:r>
              <w:rPr>
                <w:b/>
                <w:w w:val="105"/>
                <w:sz w:val="13"/>
              </w:rPr>
              <w:t>ACCIÓN SOCIAL</w:t>
            </w:r>
          </w:p>
        </w:tc>
        <w:tc>
          <w:tcPr>
            <w:tcW w:w="1572" w:type="dxa"/>
            <w:tcBorders>
              <w:left w:val="single" w:sz="4" w:space="0" w:color="000000"/>
            </w:tcBorders>
          </w:tcPr>
          <w:p>
            <w:pPr>
              <w:pStyle w:val="TableParagraph"/>
              <w:spacing w:before="29"/>
              <w:ind w:right="88"/>
              <w:jc w:val="right"/>
              <w:rPr>
                <w:sz w:val="13"/>
              </w:rPr>
            </w:pPr>
            <w:r>
              <w:rPr>
                <w:w w:val="105"/>
                <w:sz w:val="13"/>
              </w:rPr>
              <w:t>152.884,00</w:t>
            </w:r>
          </w:p>
        </w:tc>
        <w:tc>
          <w:tcPr>
            <w:tcW w:w="1141" w:type="dxa"/>
          </w:tcPr>
          <w:p>
            <w:pPr>
              <w:pStyle w:val="TableParagraph"/>
              <w:spacing w:before="29"/>
              <w:ind w:right="104"/>
              <w:jc w:val="right"/>
              <w:rPr>
                <w:sz w:val="13"/>
              </w:rPr>
            </w:pPr>
            <w:r>
              <w:rPr>
                <w:w w:val="105"/>
                <w:sz w:val="13"/>
              </w:rPr>
              <w:t>33.063,31</w:t>
            </w:r>
          </w:p>
        </w:tc>
        <w:tc>
          <w:tcPr>
            <w:tcW w:w="1506" w:type="dxa"/>
            <w:tcBorders>
              <w:right w:val="single" w:sz="4" w:space="0" w:color="000000"/>
            </w:tcBorders>
          </w:tcPr>
          <w:p>
            <w:pPr>
              <w:pStyle w:val="TableParagraph"/>
              <w:spacing w:before="29"/>
              <w:ind w:right="45"/>
              <w:jc w:val="right"/>
              <w:rPr>
                <w:sz w:val="13"/>
              </w:rPr>
            </w:pPr>
            <w:r>
              <w:rPr>
                <w:w w:val="105"/>
                <w:sz w:val="13"/>
              </w:rPr>
              <w:t>876.152,36</w:t>
            </w:r>
          </w:p>
        </w:tc>
        <w:tc>
          <w:tcPr>
            <w:tcW w:w="1559" w:type="dxa"/>
            <w:tcBorders>
              <w:left w:val="single" w:sz="4" w:space="0" w:color="000000"/>
              <w:right w:val="single" w:sz="4" w:space="0" w:color="000000"/>
            </w:tcBorders>
          </w:tcPr>
          <w:p>
            <w:pPr>
              <w:pStyle w:val="TableParagraph"/>
              <w:spacing w:before="29"/>
              <w:ind w:right="46"/>
              <w:jc w:val="right"/>
              <w:rPr>
                <w:sz w:val="13"/>
              </w:rPr>
            </w:pPr>
            <w:r>
              <w:rPr>
                <w:w w:val="105"/>
                <w:sz w:val="13"/>
              </w:rPr>
              <w:t>939.764,87</w:t>
            </w:r>
          </w:p>
        </w:tc>
      </w:tr>
      <w:tr>
        <w:trPr>
          <w:trHeight w:val="237" w:hRule="atLeast"/>
        </w:trPr>
        <w:tc>
          <w:tcPr>
            <w:tcW w:w="1138" w:type="dxa"/>
            <w:tcBorders>
              <w:left w:val="single" w:sz="4" w:space="0" w:color="000000"/>
              <w:right w:val="single" w:sz="4" w:space="0" w:color="000000"/>
            </w:tcBorders>
          </w:tcPr>
          <w:p>
            <w:pPr>
              <w:pStyle w:val="TableParagraph"/>
              <w:spacing w:before="29"/>
              <w:ind w:left="57"/>
              <w:rPr>
                <w:b/>
                <w:sz w:val="13"/>
              </w:rPr>
            </w:pPr>
            <w:r>
              <w:rPr>
                <w:b/>
                <w:w w:val="105"/>
                <w:sz w:val="13"/>
              </w:rPr>
              <w:t>MUSEO</w:t>
            </w:r>
          </w:p>
        </w:tc>
        <w:tc>
          <w:tcPr>
            <w:tcW w:w="1572" w:type="dxa"/>
            <w:tcBorders>
              <w:left w:val="single" w:sz="4" w:space="0" w:color="000000"/>
            </w:tcBorders>
          </w:tcPr>
          <w:p>
            <w:pPr>
              <w:pStyle w:val="TableParagraph"/>
              <w:spacing w:before="29"/>
              <w:ind w:right="88"/>
              <w:jc w:val="right"/>
              <w:rPr>
                <w:sz w:val="13"/>
              </w:rPr>
            </w:pPr>
            <w:r>
              <w:rPr>
                <w:w w:val="105"/>
                <w:sz w:val="13"/>
              </w:rPr>
              <w:t>601.012,10</w:t>
            </w:r>
          </w:p>
        </w:tc>
        <w:tc>
          <w:tcPr>
            <w:tcW w:w="1141" w:type="dxa"/>
          </w:tcPr>
          <w:p>
            <w:pPr>
              <w:pStyle w:val="TableParagraph"/>
              <w:spacing w:before="29"/>
              <w:ind w:right="104"/>
              <w:jc w:val="right"/>
              <w:rPr>
                <w:sz w:val="13"/>
              </w:rPr>
            </w:pPr>
            <w:r>
              <w:rPr>
                <w:w w:val="105"/>
                <w:sz w:val="13"/>
              </w:rPr>
              <w:t>102.882,10</w:t>
            </w:r>
          </w:p>
        </w:tc>
        <w:tc>
          <w:tcPr>
            <w:tcW w:w="1506" w:type="dxa"/>
            <w:tcBorders>
              <w:right w:val="single" w:sz="4" w:space="0" w:color="000000"/>
            </w:tcBorders>
          </w:tcPr>
          <w:p>
            <w:pPr>
              <w:pStyle w:val="TableParagraph"/>
              <w:spacing w:before="29"/>
              <w:ind w:right="45"/>
              <w:jc w:val="right"/>
              <w:rPr>
                <w:sz w:val="13"/>
              </w:rPr>
            </w:pPr>
            <w:r>
              <w:rPr>
                <w:w w:val="105"/>
                <w:sz w:val="13"/>
              </w:rPr>
              <w:t>2.259.809,91</w:t>
            </w:r>
          </w:p>
        </w:tc>
        <w:tc>
          <w:tcPr>
            <w:tcW w:w="1559" w:type="dxa"/>
            <w:tcBorders>
              <w:left w:val="single" w:sz="4" w:space="0" w:color="000000"/>
              <w:right w:val="single" w:sz="4" w:space="0" w:color="000000"/>
            </w:tcBorders>
          </w:tcPr>
          <w:p>
            <w:pPr>
              <w:pStyle w:val="TableParagraph"/>
              <w:spacing w:before="29"/>
              <w:ind w:right="46"/>
              <w:jc w:val="right"/>
              <w:rPr>
                <w:sz w:val="13"/>
              </w:rPr>
            </w:pPr>
            <w:r>
              <w:rPr>
                <w:w w:val="105"/>
                <w:sz w:val="13"/>
              </w:rPr>
              <w:t>2.176.492,98</w:t>
            </w:r>
          </w:p>
        </w:tc>
      </w:tr>
      <w:tr>
        <w:trPr>
          <w:trHeight w:val="237" w:hRule="atLeast"/>
        </w:trPr>
        <w:tc>
          <w:tcPr>
            <w:tcW w:w="1138" w:type="dxa"/>
            <w:tcBorders>
              <w:left w:val="single" w:sz="4" w:space="0" w:color="000000"/>
              <w:right w:val="single" w:sz="4" w:space="0" w:color="000000"/>
            </w:tcBorders>
          </w:tcPr>
          <w:p>
            <w:pPr>
              <w:pStyle w:val="TableParagraph"/>
              <w:spacing w:before="29"/>
              <w:ind w:left="57"/>
              <w:rPr>
                <w:b/>
                <w:sz w:val="13"/>
              </w:rPr>
            </w:pPr>
            <w:r>
              <w:rPr>
                <w:b/>
                <w:w w:val="105"/>
                <w:sz w:val="13"/>
              </w:rPr>
              <w:t>FUCAEX</w:t>
            </w:r>
          </w:p>
        </w:tc>
        <w:tc>
          <w:tcPr>
            <w:tcW w:w="1572" w:type="dxa"/>
            <w:tcBorders>
              <w:left w:val="single" w:sz="4" w:space="0" w:color="000000"/>
            </w:tcBorders>
          </w:tcPr>
          <w:p>
            <w:pPr>
              <w:pStyle w:val="TableParagraph"/>
              <w:spacing w:before="29"/>
              <w:ind w:right="88"/>
              <w:jc w:val="right"/>
              <w:rPr>
                <w:sz w:val="13"/>
              </w:rPr>
            </w:pPr>
            <w:r>
              <w:rPr>
                <w:w w:val="105"/>
                <w:sz w:val="13"/>
              </w:rPr>
              <w:t>30.000,00</w:t>
            </w:r>
          </w:p>
        </w:tc>
        <w:tc>
          <w:tcPr>
            <w:tcW w:w="1141" w:type="dxa"/>
          </w:tcPr>
          <w:p>
            <w:pPr>
              <w:pStyle w:val="TableParagraph"/>
              <w:spacing w:before="29"/>
              <w:ind w:right="104"/>
              <w:jc w:val="right"/>
              <w:rPr>
                <w:sz w:val="13"/>
              </w:rPr>
            </w:pPr>
            <w:r>
              <w:rPr>
                <w:w w:val="105"/>
                <w:sz w:val="13"/>
              </w:rPr>
              <w:t>30.000,00</w:t>
            </w:r>
          </w:p>
        </w:tc>
        <w:tc>
          <w:tcPr>
            <w:tcW w:w="1506" w:type="dxa"/>
            <w:tcBorders>
              <w:right w:val="single" w:sz="4" w:space="0" w:color="000000"/>
            </w:tcBorders>
          </w:tcPr>
          <w:p>
            <w:pPr>
              <w:pStyle w:val="TableParagraph"/>
              <w:spacing w:before="29"/>
              <w:ind w:right="45"/>
              <w:jc w:val="right"/>
              <w:rPr>
                <w:sz w:val="13"/>
              </w:rPr>
            </w:pPr>
            <w:r>
              <w:rPr>
                <w:w w:val="105"/>
                <w:sz w:val="13"/>
              </w:rPr>
              <w:t>105.807,71</w:t>
            </w:r>
          </w:p>
        </w:tc>
        <w:tc>
          <w:tcPr>
            <w:tcW w:w="1559" w:type="dxa"/>
            <w:tcBorders>
              <w:left w:val="single" w:sz="4" w:space="0" w:color="000000"/>
              <w:right w:val="single" w:sz="4" w:space="0" w:color="000000"/>
            </w:tcBorders>
          </w:tcPr>
          <w:p>
            <w:pPr>
              <w:pStyle w:val="TableParagraph"/>
              <w:spacing w:before="29"/>
              <w:ind w:right="46"/>
              <w:jc w:val="right"/>
              <w:rPr>
                <w:sz w:val="13"/>
              </w:rPr>
            </w:pPr>
            <w:r>
              <w:rPr>
                <w:w w:val="105"/>
                <w:sz w:val="13"/>
              </w:rPr>
              <w:t>111.987,54</w:t>
            </w:r>
          </w:p>
        </w:tc>
      </w:tr>
      <w:tr>
        <w:trPr>
          <w:trHeight w:val="226" w:hRule="atLeast"/>
        </w:trPr>
        <w:tc>
          <w:tcPr>
            <w:tcW w:w="1138" w:type="dxa"/>
            <w:tcBorders>
              <w:left w:val="single" w:sz="4" w:space="0" w:color="000000"/>
              <w:bottom w:val="single" w:sz="4" w:space="0" w:color="000000"/>
              <w:right w:val="single" w:sz="4" w:space="0" w:color="000000"/>
            </w:tcBorders>
          </w:tcPr>
          <w:p>
            <w:pPr>
              <w:pStyle w:val="TableParagraph"/>
              <w:spacing w:before="29"/>
              <w:ind w:left="57"/>
              <w:rPr>
                <w:b/>
                <w:sz w:val="13"/>
              </w:rPr>
            </w:pPr>
            <w:r>
              <w:rPr>
                <w:b/>
                <w:w w:val="105"/>
                <w:sz w:val="13"/>
              </w:rPr>
              <w:t>FIISC</w:t>
            </w:r>
          </w:p>
        </w:tc>
        <w:tc>
          <w:tcPr>
            <w:tcW w:w="1572" w:type="dxa"/>
            <w:tcBorders>
              <w:left w:val="single" w:sz="4" w:space="0" w:color="000000"/>
              <w:bottom w:val="single" w:sz="4" w:space="0" w:color="000000"/>
            </w:tcBorders>
          </w:tcPr>
          <w:p>
            <w:pPr>
              <w:pStyle w:val="TableParagraph"/>
              <w:spacing w:before="29"/>
              <w:ind w:right="88"/>
              <w:jc w:val="right"/>
              <w:rPr>
                <w:sz w:val="13"/>
              </w:rPr>
            </w:pPr>
            <w:r>
              <w:rPr>
                <w:w w:val="105"/>
                <w:sz w:val="13"/>
              </w:rPr>
              <w:t>82.339,00</w:t>
            </w:r>
          </w:p>
        </w:tc>
        <w:tc>
          <w:tcPr>
            <w:tcW w:w="1141" w:type="dxa"/>
            <w:tcBorders>
              <w:bottom w:val="single" w:sz="4" w:space="0" w:color="000000"/>
            </w:tcBorders>
          </w:tcPr>
          <w:p>
            <w:pPr>
              <w:pStyle w:val="TableParagraph"/>
              <w:spacing w:before="29"/>
              <w:ind w:right="104"/>
              <w:jc w:val="right"/>
              <w:rPr>
                <w:sz w:val="13"/>
              </w:rPr>
            </w:pPr>
            <w:r>
              <w:rPr>
                <w:w w:val="105"/>
                <w:sz w:val="13"/>
              </w:rPr>
              <w:t>1.352.598,00</w:t>
            </w:r>
          </w:p>
        </w:tc>
        <w:tc>
          <w:tcPr>
            <w:tcW w:w="1506" w:type="dxa"/>
            <w:tcBorders>
              <w:bottom w:val="single" w:sz="4" w:space="0" w:color="000000"/>
              <w:right w:val="single" w:sz="4" w:space="0" w:color="000000"/>
            </w:tcBorders>
          </w:tcPr>
          <w:p>
            <w:pPr>
              <w:pStyle w:val="TableParagraph"/>
              <w:spacing w:before="29"/>
              <w:ind w:right="45"/>
              <w:jc w:val="right"/>
              <w:rPr>
                <w:sz w:val="13"/>
              </w:rPr>
            </w:pPr>
            <w:r>
              <w:rPr>
                <w:w w:val="105"/>
                <w:sz w:val="13"/>
              </w:rPr>
              <w:t>6.084.333,00</w:t>
            </w:r>
          </w:p>
        </w:tc>
        <w:tc>
          <w:tcPr>
            <w:tcW w:w="1559" w:type="dxa"/>
            <w:tcBorders>
              <w:left w:val="single" w:sz="4" w:space="0" w:color="000000"/>
              <w:bottom w:val="single" w:sz="4" w:space="0" w:color="000000"/>
              <w:right w:val="single" w:sz="4" w:space="0" w:color="000000"/>
            </w:tcBorders>
          </w:tcPr>
          <w:p>
            <w:pPr>
              <w:pStyle w:val="TableParagraph"/>
              <w:spacing w:before="29"/>
              <w:ind w:right="46"/>
              <w:jc w:val="right"/>
              <w:rPr>
                <w:sz w:val="13"/>
              </w:rPr>
            </w:pPr>
            <w:r>
              <w:rPr>
                <w:w w:val="105"/>
                <w:sz w:val="13"/>
              </w:rPr>
              <w:t>5.403.156,00</w:t>
            </w:r>
          </w:p>
        </w:tc>
      </w:tr>
      <w:tr>
        <w:trPr>
          <w:trHeight w:val="237" w:hRule="atLeast"/>
        </w:trPr>
        <w:tc>
          <w:tcPr>
            <w:tcW w:w="113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40"/>
              <w:ind w:left="214"/>
              <w:rPr>
                <w:b/>
                <w:sz w:val="13"/>
              </w:rPr>
            </w:pPr>
            <w:r>
              <w:rPr>
                <w:b/>
                <w:w w:val="105"/>
                <w:sz w:val="13"/>
              </w:rPr>
              <w:t>Total (</w:t>
            </w:r>
            <w:r>
              <w:rPr>
                <w:w w:val="105"/>
                <w:sz w:val="13"/>
              </w:rPr>
              <w:t>euros</w:t>
            </w:r>
            <w:r>
              <w:rPr>
                <w:b/>
                <w:w w:val="105"/>
                <w:sz w:val="13"/>
              </w:rPr>
              <w:t>)</w:t>
            </w:r>
          </w:p>
        </w:tc>
        <w:tc>
          <w:tcPr>
            <w:tcW w:w="1572" w:type="dxa"/>
            <w:tcBorders>
              <w:top w:val="single" w:sz="4" w:space="0" w:color="000000"/>
              <w:left w:val="single" w:sz="4" w:space="0" w:color="000000"/>
              <w:bottom w:val="single" w:sz="4" w:space="0" w:color="000000"/>
            </w:tcBorders>
            <w:shd w:val="clear" w:color="auto" w:fill="D9D9D9"/>
          </w:tcPr>
          <w:p>
            <w:pPr>
              <w:pStyle w:val="TableParagraph"/>
              <w:spacing w:before="40"/>
              <w:ind w:right="88"/>
              <w:jc w:val="right"/>
              <w:rPr>
                <w:b/>
                <w:sz w:val="13"/>
              </w:rPr>
            </w:pPr>
            <w:r>
              <w:rPr>
                <w:b/>
                <w:w w:val="105"/>
                <w:sz w:val="13"/>
              </w:rPr>
              <w:t>1.206.437,52</w:t>
            </w:r>
          </w:p>
        </w:tc>
        <w:tc>
          <w:tcPr>
            <w:tcW w:w="1141" w:type="dxa"/>
            <w:tcBorders>
              <w:top w:val="single" w:sz="4" w:space="0" w:color="000000"/>
              <w:bottom w:val="single" w:sz="4" w:space="0" w:color="000000"/>
            </w:tcBorders>
            <w:shd w:val="clear" w:color="auto" w:fill="D9D9D9"/>
          </w:tcPr>
          <w:p>
            <w:pPr>
              <w:pStyle w:val="TableParagraph"/>
              <w:spacing w:before="40"/>
              <w:ind w:right="104"/>
              <w:jc w:val="right"/>
              <w:rPr>
                <w:b/>
                <w:sz w:val="13"/>
              </w:rPr>
            </w:pPr>
            <w:r>
              <w:rPr>
                <w:b/>
                <w:w w:val="105"/>
                <w:sz w:val="13"/>
              </w:rPr>
              <w:t>1.644.436,21</w:t>
            </w:r>
          </w:p>
        </w:tc>
        <w:tc>
          <w:tcPr>
            <w:tcW w:w="1506" w:type="dxa"/>
            <w:tcBorders>
              <w:top w:val="single" w:sz="4" w:space="0" w:color="000000"/>
              <w:bottom w:val="single" w:sz="4" w:space="0" w:color="000000"/>
              <w:right w:val="single" w:sz="4" w:space="0" w:color="000000"/>
            </w:tcBorders>
            <w:shd w:val="clear" w:color="auto" w:fill="D9D9D9"/>
          </w:tcPr>
          <w:p>
            <w:pPr>
              <w:pStyle w:val="TableParagraph"/>
              <w:spacing w:before="40"/>
              <w:ind w:right="45"/>
              <w:jc w:val="right"/>
              <w:rPr>
                <w:b/>
                <w:sz w:val="13"/>
              </w:rPr>
            </w:pPr>
            <w:r>
              <w:rPr>
                <w:b/>
                <w:w w:val="105"/>
                <w:sz w:val="13"/>
              </w:rPr>
              <w:t>10.447.217,15</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40"/>
              <w:ind w:right="46"/>
              <w:jc w:val="right"/>
              <w:rPr>
                <w:b/>
                <w:sz w:val="13"/>
              </w:rPr>
            </w:pPr>
            <w:r>
              <w:rPr>
                <w:b/>
                <w:w w:val="105"/>
                <w:sz w:val="13"/>
              </w:rPr>
              <w:t>8.946.591,66</w:t>
            </w:r>
          </w:p>
        </w:tc>
      </w:tr>
    </w:tbl>
    <w:p>
      <w:pPr>
        <w:pStyle w:val="BodyText"/>
        <w:spacing w:before="7"/>
        <w:rPr>
          <w:sz w:val="16"/>
        </w:rPr>
      </w:pPr>
    </w:p>
    <w:p>
      <w:pPr>
        <w:pStyle w:val="ListParagraph"/>
        <w:numPr>
          <w:ilvl w:val="0"/>
          <w:numId w:val="80"/>
        </w:numPr>
        <w:tabs>
          <w:tab w:pos="2337" w:val="left" w:leader="none"/>
        </w:tabs>
        <w:spacing w:line="240" w:lineRule="auto" w:before="0" w:after="0"/>
        <w:ind w:left="2336" w:right="1141" w:hanging="238"/>
        <w:jc w:val="both"/>
        <w:rPr>
          <w:sz w:val="20"/>
        </w:rPr>
      </w:pPr>
      <w:r>
        <w:rPr>
          <w:sz w:val="20"/>
        </w:rPr>
        <w:t>ACCION SOCIAL presenta fondos propios positivos por importe de 33.063 euros, tras años en signo negativo, originado por un nuevo incremento en su dotación fundacional de 60.000 euros, pasando de 92.884 euros a 152.884 euros, y de la variación del patrimonio neto reconocida como excedente positivo en 2022,</w:t>
      </w:r>
      <w:r>
        <w:rPr>
          <w:spacing w:val="27"/>
          <w:sz w:val="20"/>
        </w:rPr>
        <w:t> </w:t>
      </w:r>
      <w:r>
        <w:rPr>
          <w:sz w:val="20"/>
        </w:rPr>
        <w:t>de</w:t>
      </w:r>
    </w:p>
    <w:p>
      <w:pPr>
        <w:pStyle w:val="BodyText"/>
        <w:spacing w:before="7"/>
        <w:ind w:left="2336"/>
        <w:jc w:val="both"/>
      </w:pPr>
      <w:r>
        <w:rPr/>
        <w:t>63.556 euros.</w:t>
      </w:r>
    </w:p>
    <w:p>
      <w:pPr>
        <w:pStyle w:val="BodyText"/>
      </w:pPr>
    </w:p>
    <w:p>
      <w:pPr>
        <w:pStyle w:val="BodyText"/>
        <w:spacing w:before="2"/>
        <w:rPr>
          <w:sz w:val="26"/>
        </w:rPr>
      </w:pPr>
      <w:r>
        <w:rPr/>
        <w:pict>
          <v:shape style="position:absolute;margin-left:142.958206pt;margin-top:18.278004pt;width:120.95pt;height:.1pt;mso-position-horizontal-relative:page;mso-position-vertical-relative:paragraph;z-index:-251444224;mso-wrap-distance-left:0;mso-wrap-distance-right:0" coordorigin="2859,366" coordsize="2419,0" path="m2859,366l5278,366e" filled="false" stroked="true" strokeweight=".604484pt" strokecolor="#000000">
            <v:path arrowok="t"/>
            <v:stroke dashstyle="solid"/>
            <w10:wrap type="topAndBottom"/>
          </v:shape>
        </w:pict>
      </w:r>
    </w:p>
    <w:p>
      <w:pPr>
        <w:spacing w:line="252" w:lineRule="auto" w:before="63"/>
        <w:ind w:left="2099" w:right="1201" w:firstLine="0"/>
        <w:jc w:val="left"/>
        <w:rPr>
          <w:sz w:val="16"/>
        </w:rPr>
      </w:pPr>
      <w:r>
        <w:rPr>
          <w:w w:val="105"/>
          <w:sz w:val="16"/>
        </w:rPr>
        <w:t>de ese ejercicio (Balance agregado), debido a los ajustes realizados en 2022 para ACCION SOCIAL en la partida de personal referentes a 2021 (notas 2.4 y 2.5 de la Memoria de sus cuentas anuales).</w:t>
      </w:r>
    </w:p>
    <w:p>
      <w:pPr>
        <w:spacing w:line="193" w:lineRule="exact" w:before="0"/>
        <w:ind w:left="2099" w:right="0" w:firstLine="0"/>
        <w:jc w:val="left"/>
        <w:rPr>
          <w:sz w:val="16"/>
        </w:rPr>
      </w:pPr>
      <w:r>
        <w:rPr>
          <w:w w:val="105"/>
          <w:position w:val="6"/>
          <w:sz w:val="11"/>
        </w:rPr>
        <w:t>31 </w:t>
      </w:r>
      <w:r>
        <w:rPr>
          <w:w w:val="105"/>
          <w:sz w:val="16"/>
        </w:rPr>
        <w:t>Véase Anexos</w:t>
      </w:r>
    </w:p>
    <w:p>
      <w:pPr>
        <w:spacing w:line="252" w:lineRule="auto" w:before="0"/>
        <w:ind w:left="2099" w:right="1201" w:firstLine="0"/>
        <w:jc w:val="left"/>
        <w:rPr>
          <w:sz w:val="16"/>
        </w:rPr>
      </w:pPr>
      <w:r>
        <w:rPr>
          <w:w w:val="105"/>
          <w:position w:val="6"/>
          <w:sz w:val="11"/>
        </w:rPr>
        <w:t>32 </w:t>
      </w:r>
      <w:r>
        <w:rPr>
          <w:w w:val="105"/>
          <w:sz w:val="16"/>
        </w:rPr>
        <w:t>Publicado en BOC núm. 230, de 09/11/2021, modificado por Adenda suscrita el 13 de diciembre de 2021 y publicada en BOC núm. 265, de 27/12/2021.</w:t>
      </w:r>
    </w:p>
    <w:p>
      <w:pPr>
        <w:pStyle w:val="BodyText"/>
        <w:spacing w:line="237" w:lineRule="exact"/>
        <w:ind w:left="7787"/>
        <w:jc w:val="center"/>
      </w:pPr>
      <w:r>
        <w:rPr/>
        <w:t>129</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73" name="image5.png"/>
                  <wp:cNvGraphicFramePr>
                    <a:graphicFrameLocks noChangeAspect="1"/>
                  </wp:cNvGraphicFramePr>
                  <a:graphic>
                    <a:graphicData uri="http://schemas.openxmlformats.org/drawingml/2006/picture">
                      <pic:pic>
                        <pic:nvPicPr>
                          <pic:cNvPr id="27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131/247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81"/>
        </w:numPr>
        <w:tabs>
          <w:tab w:pos="2337" w:val="left" w:leader="none"/>
        </w:tabs>
        <w:spacing w:line="242" w:lineRule="auto" w:before="61" w:after="0"/>
        <w:ind w:left="2336" w:right="1145" w:hanging="238"/>
        <w:jc w:val="both"/>
        <w:rPr>
          <w:sz w:val="20"/>
        </w:rPr>
      </w:pPr>
      <w:r>
        <w:rPr>
          <w:sz w:val="20"/>
        </w:rPr>
        <w:t>Al contrario sucede con IDEO, cuyos fondos propios fueron negativos en 2022 (103.716 euros), mientras que en el año anterior arrojaba una cifra positiva de 2.060 euros.</w:t>
      </w:r>
      <w:r>
        <w:rPr>
          <w:spacing w:val="-8"/>
          <w:sz w:val="20"/>
        </w:rPr>
        <w:t> </w:t>
      </w:r>
      <w:r>
        <w:rPr>
          <w:sz w:val="20"/>
        </w:rPr>
        <w:t>Como</w:t>
      </w:r>
      <w:r>
        <w:rPr>
          <w:spacing w:val="-6"/>
          <w:sz w:val="20"/>
        </w:rPr>
        <w:t> </w:t>
      </w:r>
      <w:r>
        <w:rPr>
          <w:sz w:val="20"/>
        </w:rPr>
        <w:t>consecuencia</w:t>
      </w:r>
      <w:r>
        <w:rPr>
          <w:spacing w:val="-4"/>
          <w:sz w:val="20"/>
        </w:rPr>
        <w:t> </w:t>
      </w:r>
      <w:r>
        <w:rPr>
          <w:sz w:val="20"/>
        </w:rPr>
        <w:t>de</w:t>
      </w:r>
      <w:r>
        <w:rPr>
          <w:spacing w:val="-6"/>
          <w:sz w:val="20"/>
        </w:rPr>
        <w:t> </w:t>
      </w:r>
      <w:r>
        <w:rPr>
          <w:sz w:val="20"/>
        </w:rPr>
        <w:t>ello,</w:t>
      </w:r>
      <w:r>
        <w:rPr>
          <w:spacing w:val="-6"/>
          <w:sz w:val="20"/>
        </w:rPr>
        <w:t> </w:t>
      </w:r>
      <w:r>
        <w:rPr>
          <w:sz w:val="20"/>
        </w:rPr>
        <w:t>el</w:t>
      </w:r>
      <w:r>
        <w:rPr>
          <w:spacing w:val="-8"/>
          <w:sz w:val="20"/>
        </w:rPr>
        <w:t> </w:t>
      </w:r>
      <w:r>
        <w:rPr>
          <w:sz w:val="20"/>
        </w:rPr>
        <w:t>Patronato</w:t>
      </w:r>
      <w:r>
        <w:rPr>
          <w:spacing w:val="-6"/>
          <w:sz w:val="20"/>
        </w:rPr>
        <w:t> </w:t>
      </w:r>
      <w:r>
        <w:rPr>
          <w:sz w:val="20"/>
        </w:rPr>
        <w:t>contempla,</w:t>
      </w:r>
      <w:r>
        <w:rPr>
          <w:spacing w:val="-6"/>
          <w:sz w:val="20"/>
        </w:rPr>
        <w:t> </w:t>
      </w:r>
      <w:r>
        <w:rPr>
          <w:sz w:val="20"/>
        </w:rPr>
        <w:t>en</w:t>
      </w:r>
      <w:r>
        <w:rPr>
          <w:spacing w:val="-4"/>
          <w:sz w:val="20"/>
        </w:rPr>
        <w:t> </w:t>
      </w:r>
      <w:r>
        <w:rPr>
          <w:sz w:val="20"/>
        </w:rPr>
        <w:t>sesión</w:t>
      </w:r>
      <w:r>
        <w:rPr>
          <w:spacing w:val="-5"/>
          <w:sz w:val="20"/>
        </w:rPr>
        <w:t> </w:t>
      </w:r>
      <w:r>
        <w:rPr>
          <w:sz w:val="20"/>
        </w:rPr>
        <w:t>de</w:t>
      </w:r>
      <w:r>
        <w:rPr>
          <w:spacing w:val="-6"/>
          <w:sz w:val="20"/>
        </w:rPr>
        <w:t> </w:t>
      </w:r>
      <w:r>
        <w:rPr>
          <w:sz w:val="20"/>
        </w:rPr>
        <w:t>27</w:t>
      </w:r>
      <w:r>
        <w:rPr>
          <w:spacing w:val="-7"/>
          <w:sz w:val="20"/>
        </w:rPr>
        <w:t> </w:t>
      </w:r>
      <w:r>
        <w:rPr>
          <w:sz w:val="20"/>
        </w:rPr>
        <w:t>de</w:t>
      </w:r>
      <w:r>
        <w:rPr>
          <w:spacing w:val="-6"/>
          <w:sz w:val="20"/>
        </w:rPr>
        <w:t> </w:t>
      </w:r>
      <w:r>
        <w:rPr>
          <w:sz w:val="20"/>
        </w:rPr>
        <w:t>marzo de 2023, la posibilidad de incrementar el capital social en el presupuesto 2024 así como solicitar una aportación dineraria para solventar el desequilibrio patrimonial, siempre y cuando exista crédito presupuestario, previo informe favorable de la Dirección General de Planificación y Presupuesto (en adelante,</w:t>
      </w:r>
      <w:r>
        <w:rPr>
          <w:spacing w:val="9"/>
          <w:sz w:val="20"/>
        </w:rPr>
        <w:t> </w:t>
      </w:r>
      <w:r>
        <w:rPr>
          <w:sz w:val="20"/>
        </w:rPr>
        <w:t>DGPP).</w:t>
      </w:r>
    </w:p>
    <w:p>
      <w:pPr>
        <w:pStyle w:val="BodyText"/>
        <w:spacing w:before="3"/>
        <w:rPr>
          <w:sz w:val="16"/>
        </w:rPr>
      </w:pPr>
    </w:p>
    <w:p>
      <w:pPr>
        <w:pStyle w:val="ListParagraph"/>
        <w:numPr>
          <w:ilvl w:val="0"/>
          <w:numId w:val="81"/>
        </w:numPr>
        <w:tabs>
          <w:tab w:pos="2337" w:val="left" w:leader="none"/>
        </w:tabs>
        <w:spacing w:line="242" w:lineRule="auto" w:before="0" w:after="0"/>
        <w:ind w:left="2336" w:right="1143" w:hanging="238"/>
        <w:jc w:val="both"/>
        <w:rPr>
          <w:sz w:val="20"/>
        </w:rPr>
      </w:pPr>
      <w:r>
        <w:rPr>
          <w:sz w:val="20"/>
        </w:rPr>
        <w:t>ACCIÓN SOCIAL e IDEO disponen de un programa de viabilidad y saneamiento para el periodo 2021-2023 aprobado mediante Órdenes conjuntas de las Consejerías de Hacienda, Presupuestos y Asuntos Europeos y de Derechos Sociales, Igualdad, Diversidad y</w:t>
      </w:r>
      <w:r>
        <w:rPr>
          <w:spacing w:val="1"/>
          <w:sz w:val="20"/>
        </w:rPr>
        <w:t> </w:t>
      </w:r>
      <w:r>
        <w:rPr>
          <w:sz w:val="20"/>
        </w:rPr>
        <w:t>Juventud.</w:t>
      </w:r>
    </w:p>
    <w:p>
      <w:pPr>
        <w:pStyle w:val="BodyText"/>
        <w:spacing w:before="4"/>
        <w:rPr>
          <w:sz w:val="16"/>
        </w:rPr>
      </w:pPr>
    </w:p>
    <w:p>
      <w:pPr>
        <w:pStyle w:val="ListParagraph"/>
        <w:numPr>
          <w:ilvl w:val="0"/>
          <w:numId w:val="81"/>
        </w:numPr>
        <w:tabs>
          <w:tab w:pos="2337" w:val="left" w:leader="none"/>
        </w:tabs>
        <w:spacing w:line="242" w:lineRule="auto" w:before="0" w:after="0"/>
        <w:ind w:left="2336" w:right="1140" w:hanging="238"/>
        <w:jc w:val="both"/>
        <w:rPr>
          <w:sz w:val="20"/>
        </w:rPr>
      </w:pPr>
      <w:r>
        <w:rPr>
          <w:sz w:val="20"/>
        </w:rPr>
        <w:t>Aunque su evolución es positiva respecto al año anterior, ACCIÓN SOCIAL presenta un fondo de maniobra negativo de 35.795 euros, lo que muestra una situación de desequilibrio financiero para hacer frente a sus deudas a corto plazo con los activos corrientes de lo que dispone al cierre del ejercicio 2022. En el caso de IDEO se experimenta una mejora significativa del fondo de maniobra, si bien, el Patronato manifiesta, en sesión de 27 de marzo de 2023, que, a pesar de que el citado fondo es positivo en 908.142 euros, si se consideran los compromisos asumidos por el proyecto</w:t>
      </w:r>
      <w:r>
        <w:rPr>
          <w:spacing w:val="-10"/>
          <w:sz w:val="20"/>
        </w:rPr>
        <w:t> </w:t>
      </w:r>
      <w:r>
        <w:rPr>
          <w:sz w:val="20"/>
        </w:rPr>
        <w:t>de</w:t>
      </w:r>
      <w:r>
        <w:rPr>
          <w:spacing w:val="-10"/>
          <w:sz w:val="20"/>
        </w:rPr>
        <w:t> </w:t>
      </w:r>
      <w:r>
        <w:rPr>
          <w:sz w:val="20"/>
        </w:rPr>
        <w:t>digitalización</w:t>
      </w:r>
      <w:r>
        <w:rPr>
          <w:spacing w:val="-7"/>
          <w:sz w:val="20"/>
        </w:rPr>
        <w:t> </w:t>
      </w:r>
      <w:r>
        <w:rPr>
          <w:sz w:val="20"/>
        </w:rPr>
        <w:t>y</w:t>
      </w:r>
      <w:r>
        <w:rPr>
          <w:spacing w:val="-11"/>
          <w:sz w:val="20"/>
        </w:rPr>
        <w:t> </w:t>
      </w:r>
      <w:r>
        <w:rPr>
          <w:sz w:val="20"/>
        </w:rPr>
        <w:t>los</w:t>
      </w:r>
      <w:r>
        <w:rPr>
          <w:spacing w:val="-9"/>
          <w:sz w:val="20"/>
        </w:rPr>
        <w:t> </w:t>
      </w:r>
      <w:r>
        <w:rPr>
          <w:sz w:val="20"/>
        </w:rPr>
        <w:t>pagos</w:t>
      </w:r>
      <w:r>
        <w:rPr>
          <w:spacing w:val="-11"/>
          <w:sz w:val="20"/>
        </w:rPr>
        <w:t> </w:t>
      </w:r>
      <w:r>
        <w:rPr>
          <w:sz w:val="20"/>
        </w:rPr>
        <w:t>previstos</w:t>
      </w:r>
      <w:r>
        <w:rPr>
          <w:spacing w:val="-9"/>
          <w:sz w:val="20"/>
        </w:rPr>
        <w:t> </w:t>
      </w:r>
      <w:r>
        <w:rPr>
          <w:sz w:val="20"/>
        </w:rPr>
        <w:t>de</w:t>
      </w:r>
      <w:r>
        <w:rPr>
          <w:spacing w:val="-10"/>
          <w:sz w:val="20"/>
        </w:rPr>
        <w:t> </w:t>
      </w:r>
      <w:r>
        <w:rPr>
          <w:sz w:val="20"/>
        </w:rPr>
        <w:t>las</w:t>
      </w:r>
      <w:r>
        <w:rPr>
          <w:spacing w:val="-9"/>
          <w:sz w:val="20"/>
        </w:rPr>
        <w:t> </w:t>
      </w:r>
      <w:r>
        <w:rPr>
          <w:sz w:val="20"/>
        </w:rPr>
        <w:t>provisiones</w:t>
      </w:r>
      <w:r>
        <w:rPr>
          <w:spacing w:val="-10"/>
          <w:sz w:val="20"/>
        </w:rPr>
        <w:t> </w:t>
      </w:r>
      <w:r>
        <w:rPr>
          <w:sz w:val="20"/>
        </w:rPr>
        <w:t>por</w:t>
      </w:r>
      <w:r>
        <w:rPr>
          <w:spacing w:val="-7"/>
          <w:sz w:val="20"/>
        </w:rPr>
        <w:t> </w:t>
      </w:r>
      <w:r>
        <w:rPr>
          <w:sz w:val="20"/>
        </w:rPr>
        <w:t>riesgos</w:t>
      </w:r>
      <w:r>
        <w:rPr>
          <w:spacing w:val="-8"/>
          <w:sz w:val="20"/>
        </w:rPr>
        <w:t> </w:t>
      </w:r>
      <w:r>
        <w:rPr>
          <w:sz w:val="20"/>
        </w:rPr>
        <w:t>y</w:t>
      </w:r>
      <w:r>
        <w:rPr>
          <w:spacing w:val="-8"/>
          <w:sz w:val="20"/>
        </w:rPr>
        <w:t> </w:t>
      </w:r>
      <w:r>
        <w:rPr>
          <w:sz w:val="20"/>
        </w:rPr>
        <w:t>gastos, pasaría este a ser negativo en, al menos, 150.000</w:t>
      </w:r>
      <w:r>
        <w:rPr>
          <w:spacing w:val="2"/>
          <w:sz w:val="20"/>
        </w:rPr>
        <w:t> </w:t>
      </w:r>
      <w:r>
        <w:rPr>
          <w:sz w:val="20"/>
        </w:rPr>
        <w:t>euros.</w:t>
      </w:r>
    </w:p>
    <w:p>
      <w:pPr>
        <w:pStyle w:val="BodyText"/>
        <w:spacing w:before="2"/>
        <w:rPr>
          <w:sz w:val="16"/>
        </w:rPr>
      </w:pPr>
    </w:p>
    <w:p>
      <w:pPr>
        <w:pStyle w:val="ListParagraph"/>
        <w:numPr>
          <w:ilvl w:val="0"/>
          <w:numId w:val="81"/>
        </w:numPr>
        <w:tabs>
          <w:tab w:pos="2337" w:val="left" w:leader="none"/>
        </w:tabs>
        <w:spacing w:line="240" w:lineRule="auto" w:before="0" w:after="0"/>
        <w:ind w:left="2336" w:right="1145" w:hanging="238"/>
        <w:jc w:val="both"/>
        <w:rPr>
          <w:sz w:val="20"/>
        </w:rPr>
      </w:pPr>
      <w:r>
        <w:rPr>
          <w:sz w:val="20"/>
        </w:rPr>
        <w:t>Por otro lado, FUNCATRA obtiene un fondo de maniobra positivo, cuando en el ejercicio anterior era negativo, y FIISC este fondo es de 10,8 millones de €, que representa el 89,9 % del total del sector público</w:t>
      </w:r>
      <w:r>
        <w:rPr>
          <w:spacing w:val="-5"/>
          <w:sz w:val="20"/>
        </w:rPr>
        <w:t> </w:t>
      </w:r>
      <w:r>
        <w:rPr>
          <w:sz w:val="20"/>
        </w:rPr>
        <w:t>fundacional.</w:t>
      </w:r>
    </w:p>
    <w:p>
      <w:pPr>
        <w:pStyle w:val="BodyText"/>
        <w:spacing w:before="11"/>
        <w:rPr>
          <w:sz w:val="16"/>
        </w:rPr>
      </w:pPr>
    </w:p>
    <w:p>
      <w:pPr>
        <w:pStyle w:val="ListParagraph"/>
        <w:numPr>
          <w:ilvl w:val="0"/>
          <w:numId w:val="81"/>
        </w:numPr>
        <w:tabs>
          <w:tab w:pos="2337" w:val="left" w:leader="none"/>
        </w:tabs>
        <w:spacing w:line="240" w:lineRule="auto" w:before="0" w:after="0"/>
        <w:ind w:left="2336" w:right="1141" w:hanging="238"/>
        <w:jc w:val="both"/>
        <w:rPr>
          <w:sz w:val="20"/>
        </w:rPr>
      </w:pPr>
      <w:r>
        <w:rPr>
          <w:sz w:val="20"/>
        </w:rPr>
        <w:t>Al cierre del ejercicio 2022, las partidas más relevantes que conforman el Pasivo Corriente agregado son “Deudas a corto plazo” y “Acreedores comerciales y otras cuentas</w:t>
      </w:r>
      <w:r>
        <w:rPr>
          <w:spacing w:val="7"/>
          <w:sz w:val="20"/>
        </w:rPr>
        <w:t> </w:t>
      </w:r>
      <w:r>
        <w:rPr>
          <w:sz w:val="20"/>
        </w:rPr>
        <w:t>a</w:t>
      </w:r>
      <w:r>
        <w:rPr>
          <w:spacing w:val="11"/>
          <w:sz w:val="20"/>
        </w:rPr>
        <w:t> </w:t>
      </w:r>
      <w:r>
        <w:rPr>
          <w:sz w:val="20"/>
        </w:rPr>
        <w:t>pagar”,</w:t>
      </w:r>
      <w:r>
        <w:rPr>
          <w:spacing w:val="11"/>
          <w:sz w:val="20"/>
        </w:rPr>
        <w:t> </w:t>
      </w:r>
      <w:r>
        <w:rPr>
          <w:sz w:val="20"/>
        </w:rPr>
        <w:t>representando</w:t>
      </w:r>
      <w:r>
        <w:rPr>
          <w:spacing w:val="9"/>
          <w:sz w:val="20"/>
        </w:rPr>
        <w:t> </w:t>
      </w:r>
      <w:r>
        <w:rPr>
          <w:sz w:val="20"/>
        </w:rPr>
        <w:t>cada</w:t>
      </w:r>
      <w:r>
        <w:rPr>
          <w:spacing w:val="11"/>
          <w:sz w:val="20"/>
        </w:rPr>
        <w:t> </w:t>
      </w:r>
      <w:r>
        <w:rPr>
          <w:sz w:val="20"/>
        </w:rPr>
        <w:t>una</w:t>
      </w:r>
      <w:r>
        <w:rPr>
          <w:spacing w:val="8"/>
          <w:sz w:val="20"/>
        </w:rPr>
        <w:t> </w:t>
      </w:r>
      <w:r>
        <w:rPr>
          <w:sz w:val="20"/>
        </w:rPr>
        <w:t>de</w:t>
      </w:r>
      <w:r>
        <w:rPr>
          <w:spacing w:val="11"/>
          <w:sz w:val="20"/>
        </w:rPr>
        <w:t> </w:t>
      </w:r>
      <w:r>
        <w:rPr>
          <w:sz w:val="20"/>
        </w:rPr>
        <w:t>ellas</w:t>
      </w:r>
      <w:r>
        <w:rPr>
          <w:spacing w:val="10"/>
          <w:sz w:val="20"/>
        </w:rPr>
        <w:t> </w:t>
      </w:r>
      <w:r>
        <w:rPr>
          <w:sz w:val="20"/>
        </w:rPr>
        <w:t>un</w:t>
      </w:r>
      <w:r>
        <w:rPr>
          <w:spacing w:val="11"/>
          <w:sz w:val="20"/>
        </w:rPr>
        <w:t> </w:t>
      </w:r>
      <w:r>
        <w:rPr>
          <w:sz w:val="20"/>
        </w:rPr>
        <w:t>importe</w:t>
      </w:r>
      <w:r>
        <w:rPr>
          <w:spacing w:val="11"/>
          <w:sz w:val="20"/>
        </w:rPr>
        <w:t> </w:t>
      </w:r>
      <w:r>
        <w:rPr>
          <w:sz w:val="20"/>
        </w:rPr>
        <w:t>de</w:t>
      </w:r>
      <w:r>
        <w:rPr>
          <w:spacing w:val="17"/>
          <w:sz w:val="20"/>
        </w:rPr>
        <w:t> </w:t>
      </w:r>
      <w:r>
        <w:rPr>
          <w:sz w:val="20"/>
        </w:rPr>
        <w:t>ocho</w:t>
      </w:r>
      <w:r>
        <w:rPr>
          <w:spacing w:val="10"/>
          <w:sz w:val="20"/>
        </w:rPr>
        <w:t> </w:t>
      </w:r>
      <w:r>
        <w:rPr>
          <w:sz w:val="20"/>
        </w:rPr>
        <w:t>millones</w:t>
      </w:r>
      <w:r>
        <w:rPr>
          <w:spacing w:val="9"/>
          <w:sz w:val="20"/>
        </w:rPr>
        <w:t> </w:t>
      </w:r>
      <w:r>
        <w:rPr>
          <w:sz w:val="20"/>
        </w:rPr>
        <w:t>de</w:t>
      </w:r>
    </w:p>
    <w:p>
      <w:pPr>
        <w:pStyle w:val="BodyText"/>
        <w:spacing w:line="242" w:lineRule="auto" w:before="5"/>
        <w:ind w:left="2336" w:right="1140"/>
        <w:jc w:val="both"/>
      </w:pPr>
      <w:r>
        <w:rPr/>
        <w:t>€.</w:t>
      </w:r>
      <w:r>
        <w:rPr>
          <w:spacing w:val="-6"/>
        </w:rPr>
        <w:t> </w:t>
      </w:r>
      <w:r>
        <w:rPr/>
        <w:t>La</w:t>
      </w:r>
      <w:r>
        <w:rPr>
          <w:spacing w:val="-6"/>
        </w:rPr>
        <w:t> </w:t>
      </w:r>
      <w:r>
        <w:rPr/>
        <w:t>partida</w:t>
      </w:r>
      <w:r>
        <w:rPr>
          <w:spacing w:val="-6"/>
        </w:rPr>
        <w:t> </w:t>
      </w:r>
      <w:r>
        <w:rPr/>
        <w:t>de</w:t>
      </w:r>
      <w:r>
        <w:rPr>
          <w:spacing w:val="-6"/>
        </w:rPr>
        <w:t> </w:t>
      </w:r>
      <w:r>
        <w:rPr/>
        <w:t>“Deudas</w:t>
      </w:r>
      <w:r>
        <w:rPr>
          <w:spacing w:val="-5"/>
        </w:rPr>
        <w:t> </w:t>
      </w:r>
      <w:r>
        <w:rPr/>
        <w:t>a</w:t>
      </w:r>
      <w:r>
        <w:rPr>
          <w:spacing w:val="-6"/>
        </w:rPr>
        <w:t> </w:t>
      </w:r>
      <w:r>
        <w:rPr/>
        <w:t>corto</w:t>
      </w:r>
      <w:r>
        <w:rPr>
          <w:spacing w:val="-6"/>
        </w:rPr>
        <w:t> </w:t>
      </w:r>
      <w:r>
        <w:rPr/>
        <w:t>plazo”</w:t>
      </w:r>
      <w:r>
        <w:rPr>
          <w:spacing w:val="-6"/>
        </w:rPr>
        <w:t> </w:t>
      </w:r>
      <w:r>
        <w:rPr/>
        <w:t>para</w:t>
      </w:r>
      <w:r>
        <w:rPr>
          <w:spacing w:val="-6"/>
        </w:rPr>
        <w:t> </w:t>
      </w:r>
      <w:r>
        <w:rPr/>
        <w:t>FIISC</w:t>
      </w:r>
      <w:r>
        <w:rPr>
          <w:spacing w:val="-10"/>
        </w:rPr>
        <w:t> </w:t>
      </w:r>
      <w:r>
        <w:rPr/>
        <w:t>es</w:t>
      </w:r>
      <w:r>
        <w:rPr>
          <w:spacing w:val="-5"/>
        </w:rPr>
        <w:t> </w:t>
      </w:r>
      <w:r>
        <w:rPr/>
        <w:t>de</w:t>
      </w:r>
      <w:r>
        <w:rPr>
          <w:spacing w:val="-6"/>
        </w:rPr>
        <w:t> </w:t>
      </w:r>
      <w:r>
        <w:rPr/>
        <w:t>6,8</w:t>
      </w:r>
      <w:r>
        <w:rPr>
          <w:spacing w:val="-6"/>
        </w:rPr>
        <w:t> </w:t>
      </w:r>
      <w:r>
        <w:rPr/>
        <w:t>millones</w:t>
      </w:r>
      <w:r>
        <w:rPr>
          <w:spacing w:val="-6"/>
        </w:rPr>
        <w:t> </w:t>
      </w:r>
      <w:r>
        <w:rPr/>
        <w:t>de</w:t>
      </w:r>
      <w:r>
        <w:rPr>
          <w:spacing w:val="-8"/>
        </w:rPr>
        <w:t> </w:t>
      </w:r>
      <w:r>
        <w:rPr/>
        <w:t>€</w:t>
      </w:r>
      <w:r>
        <w:rPr>
          <w:spacing w:val="-5"/>
        </w:rPr>
        <w:t> </w:t>
      </w:r>
      <w:r>
        <w:rPr/>
        <w:t>en</w:t>
      </w:r>
      <w:r>
        <w:rPr>
          <w:spacing w:val="-6"/>
        </w:rPr>
        <w:t> </w:t>
      </w:r>
      <w:r>
        <w:rPr/>
        <w:t>concepto de fondos por ejecutar de ensayos clínicos. FUNCATRA, en “Acreedores comerciales y</w:t>
      </w:r>
      <w:r>
        <w:rPr>
          <w:spacing w:val="-7"/>
        </w:rPr>
        <w:t> </w:t>
      </w:r>
      <w:r>
        <w:rPr/>
        <w:t>otras</w:t>
      </w:r>
      <w:r>
        <w:rPr>
          <w:spacing w:val="-5"/>
        </w:rPr>
        <w:t> </w:t>
      </w:r>
      <w:r>
        <w:rPr/>
        <w:t>cuentas</w:t>
      </w:r>
      <w:r>
        <w:rPr>
          <w:spacing w:val="-6"/>
        </w:rPr>
        <w:t> </w:t>
      </w:r>
      <w:r>
        <w:rPr/>
        <w:t>a</w:t>
      </w:r>
      <w:r>
        <w:rPr>
          <w:spacing w:val="-5"/>
        </w:rPr>
        <w:t> </w:t>
      </w:r>
      <w:r>
        <w:rPr/>
        <w:t>pagar”</w:t>
      </w:r>
      <w:r>
        <w:rPr>
          <w:spacing w:val="-7"/>
        </w:rPr>
        <w:t> </w:t>
      </w:r>
      <w:r>
        <w:rPr/>
        <w:t>tiene</w:t>
      </w:r>
      <w:r>
        <w:rPr>
          <w:spacing w:val="-6"/>
        </w:rPr>
        <w:t> </w:t>
      </w:r>
      <w:r>
        <w:rPr/>
        <w:t>registrado</w:t>
      </w:r>
      <w:r>
        <w:rPr>
          <w:spacing w:val="-7"/>
        </w:rPr>
        <w:t> </w:t>
      </w:r>
      <w:r>
        <w:rPr/>
        <w:t>un</w:t>
      </w:r>
      <w:r>
        <w:rPr>
          <w:spacing w:val="-6"/>
        </w:rPr>
        <w:t> </w:t>
      </w:r>
      <w:r>
        <w:rPr/>
        <w:t>importe</w:t>
      </w:r>
      <w:r>
        <w:rPr>
          <w:spacing w:val="-5"/>
        </w:rPr>
        <w:t> </w:t>
      </w:r>
      <w:r>
        <w:rPr/>
        <w:t>de</w:t>
      </w:r>
      <w:r>
        <w:rPr>
          <w:spacing w:val="-5"/>
        </w:rPr>
        <w:t> </w:t>
      </w:r>
      <w:r>
        <w:rPr/>
        <w:t>4,7</w:t>
      </w:r>
      <w:r>
        <w:rPr>
          <w:spacing w:val="-6"/>
        </w:rPr>
        <w:t> </w:t>
      </w:r>
      <w:r>
        <w:rPr/>
        <w:t>millones</w:t>
      </w:r>
      <w:r>
        <w:rPr>
          <w:spacing w:val="-7"/>
        </w:rPr>
        <w:t> </w:t>
      </w:r>
      <w:r>
        <w:rPr/>
        <w:t>de</w:t>
      </w:r>
      <w:r>
        <w:rPr>
          <w:spacing w:val="-6"/>
        </w:rPr>
        <w:t> </w:t>
      </w:r>
      <w:r>
        <w:rPr/>
        <w:t>€</w:t>
      </w:r>
      <w:r>
        <w:rPr>
          <w:spacing w:val="-7"/>
        </w:rPr>
        <w:t> </w:t>
      </w:r>
      <w:r>
        <w:rPr/>
        <w:t>en</w:t>
      </w:r>
      <w:r>
        <w:rPr>
          <w:spacing w:val="-8"/>
        </w:rPr>
        <w:t> </w:t>
      </w:r>
      <w:r>
        <w:rPr/>
        <w:t>la</w:t>
      </w:r>
      <w:r>
        <w:rPr>
          <w:spacing w:val="-5"/>
        </w:rPr>
        <w:t> </w:t>
      </w:r>
      <w:r>
        <w:rPr/>
        <w:t>cuenta de “Hacienda Pública, acreedora por subvenciones recibidas en concepto de entidad colaboradora”,</w:t>
      </w:r>
      <w:r>
        <w:rPr>
          <w:spacing w:val="-8"/>
        </w:rPr>
        <w:t> </w:t>
      </w:r>
      <w:r>
        <w:rPr/>
        <w:t>donde</w:t>
      </w:r>
      <w:r>
        <w:rPr>
          <w:spacing w:val="-8"/>
        </w:rPr>
        <w:t> </w:t>
      </w:r>
      <w:r>
        <w:rPr/>
        <w:t>se</w:t>
      </w:r>
      <w:r>
        <w:rPr>
          <w:spacing w:val="-7"/>
        </w:rPr>
        <w:t> </w:t>
      </w:r>
      <w:r>
        <w:rPr/>
        <w:t>contabilizan</w:t>
      </w:r>
      <w:r>
        <w:rPr>
          <w:spacing w:val="-6"/>
        </w:rPr>
        <w:t> </w:t>
      </w:r>
      <w:r>
        <w:rPr/>
        <w:t>las</w:t>
      </w:r>
      <w:r>
        <w:rPr>
          <w:spacing w:val="-5"/>
        </w:rPr>
        <w:t> </w:t>
      </w:r>
      <w:r>
        <w:rPr/>
        <w:t>ayudas</w:t>
      </w:r>
      <w:r>
        <w:rPr>
          <w:spacing w:val="-6"/>
        </w:rPr>
        <w:t> </w:t>
      </w:r>
      <w:r>
        <w:rPr/>
        <w:t>concedidas</w:t>
      </w:r>
      <w:r>
        <w:rPr>
          <w:spacing w:val="-5"/>
        </w:rPr>
        <w:t> </w:t>
      </w:r>
      <w:r>
        <w:rPr/>
        <w:t>por</w:t>
      </w:r>
      <w:r>
        <w:rPr>
          <w:spacing w:val="-6"/>
        </w:rPr>
        <w:t> </w:t>
      </w:r>
      <w:r>
        <w:rPr/>
        <w:t>el</w:t>
      </w:r>
      <w:r>
        <w:rPr>
          <w:spacing w:val="-6"/>
        </w:rPr>
        <w:t> </w:t>
      </w:r>
      <w:r>
        <w:rPr/>
        <w:t>SCE</w:t>
      </w:r>
      <w:r>
        <w:rPr>
          <w:spacing w:val="-8"/>
        </w:rPr>
        <w:t> </w:t>
      </w:r>
      <w:r>
        <w:rPr/>
        <w:t>pendientes</w:t>
      </w:r>
      <w:r>
        <w:rPr>
          <w:spacing w:val="-8"/>
        </w:rPr>
        <w:t> </w:t>
      </w:r>
      <w:r>
        <w:rPr/>
        <w:t>de distribuir, en las que la Fundación actúa como entidad colaboradora mediante convenio con ese Organismo.</w:t>
      </w:r>
    </w:p>
    <w:p>
      <w:pPr>
        <w:pStyle w:val="BodyText"/>
      </w:pPr>
    </w:p>
    <w:p>
      <w:pPr>
        <w:pStyle w:val="BodyText"/>
      </w:pPr>
    </w:p>
    <w:p>
      <w:pPr>
        <w:pStyle w:val="BodyText"/>
      </w:pPr>
    </w:p>
    <w:p>
      <w:pPr>
        <w:pStyle w:val="BodyText"/>
        <w:spacing w:before="3"/>
        <w:rPr>
          <w:sz w:val="29"/>
        </w:rPr>
      </w:pPr>
    </w:p>
    <w:p>
      <w:pPr>
        <w:pStyle w:val="BodyText"/>
        <w:spacing w:before="61"/>
        <w:ind w:left="7787"/>
        <w:jc w:val="center"/>
      </w:pPr>
      <w:r>
        <w:rPr/>
        <w:t>130</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75" name="image5.png"/>
                  <wp:cNvGraphicFramePr>
                    <a:graphicFrameLocks noChangeAspect="1"/>
                  </wp:cNvGraphicFramePr>
                  <a:graphic>
                    <a:graphicData uri="http://schemas.openxmlformats.org/drawingml/2006/picture">
                      <pic:pic>
                        <pic:nvPicPr>
                          <pic:cNvPr id="27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132/247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spacing w:before="61"/>
        <w:ind w:left="2099" w:right="0" w:firstLine="0"/>
        <w:jc w:val="left"/>
        <w:rPr>
          <w:b/>
          <w:sz w:val="20"/>
        </w:rPr>
      </w:pPr>
      <w:r>
        <w:rPr>
          <w:b/>
          <w:sz w:val="20"/>
        </w:rPr>
        <w:t>b) Cuenta de resultados agregada.</w:t>
      </w:r>
    </w:p>
    <w:p>
      <w:pPr>
        <w:pStyle w:val="BodyText"/>
        <w:spacing w:before="7"/>
        <w:rPr>
          <w:b/>
          <w:sz w:val="16"/>
        </w:rPr>
      </w:pPr>
    </w:p>
    <w:tbl>
      <w:tblPr>
        <w:tblW w:w="0" w:type="auto"/>
        <w:jc w:val="left"/>
        <w:tblInd w:w="2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5"/>
        <w:gridCol w:w="1214"/>
        <w:gridCol w:w="241"/>
        <w:gridCol w:w="1110"/>
      </w:tblGrid>
      <w:tr>
        <w:trPr>
          <w:trHeight w:val="298" w:hRule="atLeast"/>
        </w:trPr>
        <w:tc>
          <w:tcPr>
            <w:tcW w:w="4335" w:type="dxa"/>
            <w:tcBorders>
              <w:top w:val="single" w:sz="4" w:space="0" w:color="000000"/>
              <w:left w:val="single" w:sz="4" w:space="0" w:color="000000"/>
              <w:bottom w:val="single" w:sz="4" w:space="0" w:color="000000"/>
            </w:tcBorders>
            <w:shd w:val="clear" w:color="auto" w:fill="DEEAF6"/>
          </w:tcPr>
          <w:p>
            <w:pPr>
              <w:pStyle w:val="TableParagraph"/>
              <w:spacing w:before="70"/>
              <w:ind w:left="1638" w:right="1422"/>
              <w:jc w:val="center"/>
              <w:rPr>
                <w:b/>
                <w:sz w:val="13"/>
              </w:rPr>
            </w:pPr>
            <w:r>
              <w:rPr>
                <w:b/>
                <w:w w:val="105"/>
                <w:sz w:val="13"/>
              </w:rPr>
              <w:t>Cuenta de Resultados</w:t>
            </w:r>
          </w:p>
        </w:tc>
        <w:tc>
          <w:tcPr>
            <w:tcW w:w="1214" w:type="dxa"/>
            <w:tcBorders>
              <w:top w:val="single" w:sz="4" w:space="0" w:color="000000"/>
              <w:bottom w:val="single" w:sz="4" w:space="0" w:color="000000"/>
            </w:tcBorders>
            <w:shd w:val="clear" w:color="auto" w:fill="DEEAF6"/>
          </w:tcPr>
          <w:p>
            <w:pPr>
              <w:pStyle w:val="TableParagraph"/>
              <w:spacing w:before="70"/>
              <w:ind w:left="681"/>
              <w:rPr>
                <w:b/>
                <w:sz w:val="13"/>
              </w:rPr>
            </w:pPr>
            <w:r>
              <w:rPr>
                <w:b/>
                <w:w w:val="105"/>
                <w:sz w:val="13"/>
              </w:rPr>
              <w:t>2022</w:t>
            </w:r>
          </w:p>
        </w:tc>
        <w:tc>
          <w:tcPr>
            <w:tcW w:w="241" w:type="dxa"/>
            <w:tcBorders>
              <w:top w:val="single" w:sz="4" w:space="0" w:color="000000"/>
              <w:bottom w:val="single" w:sz="4" w:space="0" w:color="000000"/>
            </w:tcBorders>
            <w:shd w:val="clear" w:color="auto" w:fill="DEEAF6"/>
          </w:tcPr>
          <w:p>
            <w:pPr>
              <w:pStyle w:val="TableParagraph"/>
              <w:rPr>
                <w:rFonts w:ascii="Times New Roman"/>
                <w:sz w:val="16"/>
              </w:rPr>
            </w:pPr>
          </w:p>
        </w:tc>
        <w:tc>
          <w:tcPr>
            <w:tcW w:w="1110" w:type="dxa"/>
            <w:tcBorders>
              <w:top w:val="single" w:sz="4" w:space="0" w:color="000000"/>
              <w:bottom w:val="single" w:sz="4" w:space="0" w:color="000000"/>
              <w:right w:val="single" w:sz="4" w:space="0" w:color="000000"/>
            </w:tcBorders>
            <w:shd w:val="clear" w:color="auto" w:fill="DEEAF6"/>
          </w:tcPr>
          <w:p>
            <w:pPr>
              <w:pStyle w:val="TableParagraph"/>
              <w:spacing w:before="70"/>
              <w:ind w:left="381" w:right="406"/>
              <w:jc w:val="center"/>
              <w:rPr>
                <w:b/>
                <w:sz w:val="13"/>
              </w:rPr>
            </w:pPr>
            <w:r>
              <w:rPr>
                <w:b/>
                <w:w w:val="105"/>
                <w:sz w:val="13"/>
              </w:rPr>
              <w:t>2021</w:t>
            </w:r>
          </w:p>
        </w:tc>
      </w:tr>
      <w:tr>
        <w:trPr>
          <w:trHeight w:val="211" w:hRule="atLeast"/>
        </w:trPr>
        <w:tc>
          <w:tcPr>
            <w:tcW w:w="4335" w:type="dxa"/>
            <w:tcBorders>
              <w:top w:val="single" w:sz="4" w:space="0" w:color="000000"/>
              <w:left w:val="single" w:sz="4" w:space="0" w:color="000000"/>
            </w:tcBorders>
          </w:tcPr>
          <w:p>
            <w:pPr>
              <w:pStyle w:val="TableParagraph"/>
              <w:spacing w:before="22"/>
              <w:ind w:left="57"/>
              <w:rPr>
                <w:sz w:val="13"/>
              </w:rPr>
            </w:pPr>
            <w:r>
              <w:rPr>
                <w:w w:val="105"/>
                <w:sz w:val="13"/>
              </w:rPr>
              <w:t>Excedente de la actividad</w:t>
            </w:r>
          </w:p>
        </w:tc>
        <w:tc>
          <w:tcPr>
            <w:tcW w:w="1214" w:type="dxa"/>
            <w:tcBorders>
              <w:top w:val="single" w:sz="4" w:space="0" w:color="000000"/>
            </w:tcBorders>
          </w:tcPr>
          <w:p>
            <w:pPr>
              <w:pStyle w:val="TableParagraph"/>
              <w:spacing w:before="22"/>
              <w:ind w:right="1"/>
              <w:jc w:val="right"/>
              <w:rPr>
                <w:sz w:val="13"/>
              </w:rPr>
            </w:pPr>
            <w:r>
              <w:rPr>
                <w:w w:val="105"/>
                <w:sz w:val="13"/>
              </w:rPr>
              <w:t>121.313,46</w:t>
            </w:r>
          </w:p>
        </w:tc>
        <w:tc>
          <w:tcPr>
            <w:tcW w:w="241" w:type="dxa"/>
            <w:tcBorders>
              <w:top w:val="single" w:sz="4" w:space="0" w:color="000000"/>
            </w:tcBorders>
          </w:tcPr>
          <w:p>
            <w:pPr>
              <w:pStyle w:val="TableParagraph"/>
              <w:rPr>
                <w:rFonts w:ascii="Times New Roman"/>
                <w:sz w:val="14"/>
              </w:rPr>
            </w:pPr>
          </w:p>
        </w:tc>
        <w:tc>
          <w:tcPr>
            <w:tcW w:w="1110" w:type="dxa"/>
            <w:tcBorders>
              <w:top w:val="single" w:sz="4" w:space="0" w:color="000000"/>
              <w:right w:val="single" w:sz="4" w:space="0" w:color="000000"/>
            </w:tcBorders>
          </w:tcPr>
          <w:p>
            <w:pPr>
              <w:pStyle w:val="TableParagraph"/>
              <w:spacing w:before="22"/>
              <w:ind w:left="298"/>
              <w:rPr>
                <w:sz w:val="13"/>
              </w:rPr>
            </w:pPr>
            <w:r>
              <w:rPr>
                <w:w w:val="105"/>
                <w:sz w:val="13"/>
              </w:rPr>
              <w:t>888.176,50</w:t>
            </w:r>
          </w:p>
        </w:tc>
      </w:tr>
      <w:tr>
        <w:trPr>
          <w:trHeight w:val="190" w:hRule="atLeast"/>
        </w:trPr>
        <w:tc>
          <w:tcPr>
            <w:tcW w:w="4335" w:type="dxa"/>
            <w:tcBorders>
              <w:left w:val="single" w:sz="4" w:space="0" w:color="000000"/>
            </w:tcBorders>
          </w:tcPr>
          <w:p>
            <w:pPr>
              <w:pStyle w:val="TableParagraph"/>
              <w:spacing w:before="8"/>
              <w:ind w:left="57"/>
              <w:rPr>
                <w:sz w:val="13"/>
              </w:rPr>
            </w:pPr>
            <w:r>
              <w:rPr>
                <w:w w:val="105"/>
                <w:sz w:val="13"/>
              </w:rPr>
              <w:t>Excedente de las operaciones financieras</w:t>
            </w:r>
          </w:p>
        </w:tc>
        <w:tc>
          <w:tcPr>
            <w:tcW w:w="1214" w:type="dxa"/>
          </w:tcPr>
          <w:p>
            <w:pPr>
              <w:pStyle w:val="TableParagraph"/>
              <w:spacing w:before="8"/>
              <w:jc w:val="right"/>
              <w:rPr>
                <w:sz w:val="13"/>
              </w:rPr>
            </w:pPr>
            <w:r>
              <w:rPr>
                <w:sz w:val="13"/>
              </w:rPr>
              <w:t>-91.159,52</w:t>
            </w:r>
          </w:p>
        </w:tc>
        <w:tc>
          <w:tcPr>
            <w:tcW w:w="241" w:type="dxa"/>
          </w:tcPr>
          <w:p>
            <w:pPr>
              <w:pStyle w:val="TableParagraph"/>
              <w:rPr>
                <w:rFonts w:ascii="Times New Roman"/>
                <w:sz w:val="12"/>
              </w:rPr>
            </w:pPr>
          </w:p>
        </w:tc>
        <w:tc>
          <w:tcPr>
            <w:tcW w:w="1110" w:type="dxa"/>
            <w:tcBorders>
              <w:right w:val="single" w:sz="4" w:space="0" w:color="000000"/>
            </w:tcBorders>
          </w:tcPr>
          <w:p>
            <w:pPr>
              <w:pStyle w:val="TableParagraph"/>
              <w:spacing w:before="8"/>
              <w:ind w:left="258"/>
              <w:rPr>
                <w:sz w:val="13"/>
              </w:rPr>
            </w:pPr>
            <w:r>
              <w:rPr>
                <w:w w:val="105"/>
                <w:sz w:val="13"/>
              </w:rPr>
              <w:t>-111.447,52</w:t>
            </w:r>
          </w:p>
        </w:tc>
      </w:tr>
      <w:tr>
        <w:trPr>
          <w:trHeight w:val="176" w:hRule="atLeast"/>
        </w:trPr>
        <w:tc>
          <w:tcPr>
            <w:tcW w:w="4335" w:type="dxa"/>
            <w:tcBorders>
              <w:left w:val="single" w:sz="4" w:space="0" w:color="000000"/>
            </w:tcBorders>
          </w:tcPr>
          <w:p>
            <w:pPr>
              <w:pStyle w:val="TableParagraph"/>
              <w:spacing w:line="155" w:lineRule="exact" w:before="1"/>
              <w:ind w:left="57"/>
              <w:rPr>
                <w:sz w:val="13"/>
              </w:rPr>
            </w:pPr>
            <w:r>
              <w:rPr>
                <w:w w:val="105"/>
                <w:sz w:val="13"/>
              </w:rPr>
              <w:t>Excedente antes de impuestos</w:t>
            </w:r>
          </w:p>
        </w:tc>
        <w:tc>
          <w:tcPr>
            <w:tcW w:w="1214" w:type="dxa"/>
          </w:tcPr>
          <w:p>
            <w:pPr>
              <w:pStyle w:val="TableParagraph"/>
              <w:spacing w:line="155" w:lineRule="exact" w:before="1"/>
              <w:jc w:val="right"/>
              <w:rPr>
                <w:sz w:val="13"/>
              </w:rPr>
            </w:pPr>
            <w:r>
              <w:rPr>
                <w:w w:val="105"/>
                <w:sz w:val="13"/>
              </w:rPr>
              <w:t>30.153.94</w:t>
            </w:r>
          </w:p>
        </w:tc>
        <w:tc>
          <w:tcPr>
            <w:tcW w:w="241" w:type="dxa"/>
          </w:tcPr>
          <w:p>
            <w:pPr>
              <w:pStyle w:val="TableParagraph"/>
              <w:rPr>
                <w:rFonts w:ascii="Times New Roman"/>
                <w:sz w:val="10"/>
              </w:rPr>
            </w:pPr>
          </w:p>
        </w:tc>
        <w:tc>
          <w:tcPr>
            <w:tcW w:w="1110" w:type="dxa"/>
            <w:tcBorders>
              <w:right w:val="single" w:sz="4" w:space="0" w:color="000000"/>
            </w:tcBorders>
          </w:tcPr>
          <w:p>
            <w:pPr>
              <w:pStyle w:val="TableParagraph"/>
              <w:spacing w:line="155" w:lineRule="exact" w:before="1"/>
              <w:ind w:left="298"/>
              <w:rPr>
                <w:sz w:val="13"/>
              </w:rPr>
            </w:pPr>
            <w:r>
              <w:rPr>
                <w:w w:val="105"/>
                <w:sz w:val="13"/>
              </w:rPr>
              <w:t>776.728,98</w:t>
            </w:r>
          </w:p>
        </w:tc>
      </w:tr>
      <w:tr>
        <w:trPr>
          <w:trHeight w:val="167" w:hRule="atLeast"/>
        </w:trPr>
        <w:tc>
          <w:tcPr>
            <w:tcW w:w="4335" w:type="dxa"/>
            <w:tcBorders>
              <w:left w:val="single" w:sz="4" w:space="0" w:color="000000"/>
            </w:tcBorders>
          </w:tcPr>
          <w:p>
            <w:pPr>
              <w:pStyle w:val="TableParagraph"/>
              <w:spacing w:line="147" w:lineRule="exact"/>
              <w:ind w:left="57"/>
              <w:rPr>
                <w:sz w:val="13"/>
              </w:rPr>
            </w:pPr>
            <w:r>
              <w:rPr>
                <w:w w:val="105"/>
                <w:sz w:val="13"/>
              </w:rPr>
              <w:t>Variación de patrimonio neto reconocida en el excedente del ejercicio</w:t>
            </w:r>
          </w:p>
        </w:tc>
        <w:tc>
          <w:tcPr>
            <w:tcW w:w="1214" w:type="dxa"/>
          </w:tcPr>
          <w:p>
            <w:pPr>
              <w:pStyle w:val="TableParagraph"/>
              <w:spacing w:line="147" w:lineRule="exact"/>
              <w:ind w:right="1"/>
              <w:jc w:val="right"/>
              <w:rPr>
                <w:sz w:val="13"/>
              </w:rPr>
            </w:pPr>
            <w:r>
              <w:rPr>
                <w:w w:val="105"/>
                <w:sz w:val="13"/>
              </w:rPr>
              <w:t>27.338,84</w:t>
            </w:r>
          </w:p>
        </w:tc>
        <w:tc>
          <w:tcPr>
            <w:tcW w:w="241" w:type="dxa"/>
          </w:tcPr>
          <w:p>
            <w:pPr>
              <w:pStyle w:val="TableParagraph"/>
              <w:rPr>
                <w:rFonts w:ascii="Times New Roman"/>
                <w:sz w:val="10"/>
              </w:rPr>
            </w:pPr>
          </w:p>
        </w:tc>
        <w:tc>
          <w:tcPr>
            <w:tcW w:w="1110" w:type="dxa"/>
            <w:tcBorders>
              <w:right w:val="single" w:sz="4" w:space="0" w:color="000000"/>
            </w:tcBorders>
          </w:tcPr>
          <w:p>
            <w:pPr>
              <w:pStyle w:val="TableParagraph"/>
              <w:spacing w:line="147" w:lineRule="exact"/>
              <w:ind w:left="298"/>
              <w:rPr>
                <w:sz w:val="13"/>
              </w:rPr>
            </w:pPr>
            <w:r>
              <w:rPr>
                <w:w w:val="105"/>
                <w:sz w:val="13"/>
              </w:rPr>
              <w:t>775.042,27</w:t>
            </w:r>
          </w:p>
        </w:tc>
      </w:tr>
      <w:tr>
        <w:trPr>
          <w:trHeight w:val="169" w:hRule="atLeast"/>
        </w:trPr>
        <w:tc>
          <w:tcPr>
            <w:tcW w:w="4335" w:type="dxa"/>
            <w:tcBorders>
              <w:left w:val="single" w:sz="4" w:space="0" w:color="000000"/>
            </w:tcBorders>
          </w:tcPr>
          <w:p>
            <w:pPr>
              <w:pStyle w:val="TableParagraph"/>
              <w:spacing w:line="149" w:lineRule="exact"/>
              <w:ind w:left="57"/>
              <w:rPr>
                <w:sz w:val="13"/>
              </w:rPr>
            </w:pPr>
            <w:r>
              <w:rPr>
                <w:w w:val="105"/>
                <w:sz w:val="13"/>
              </w:rPr>
              <w:t>Var. Patr. Neto por ingresos y gastos reconocidos directamente al P.N.</w:t>
            </w:r>
          </w:p>
        </w:tc>
        <w:tc>
          <w:tcPr>
            <w:tcW w:w="1214" w:type="dxa"/>
          </w:tcPr>
          <w:p>
            <w:pPr>
              <w:pStyle w:val="TableParagraph"/>
              <w:spacing w:line="149" w:lineRule="exact"/>
              <w:jc w:val="right"/>
              <w:rPr>
                <w:sz w:val="13"/>
              </w:rPr>
            </w:pPr>
            <w:r>
              <w:rPr>
                <w:w w:val="105"/>
                <w:sz w:val="13"/>
              </w:rPr>
              <w:t>5.180.891,14</w:t>
            </w:r>
          </w:p>
        </w:tc>
        <w:tc>
          <w:tcPr>
            <w:tcW w:w="241" w:type="dxa"/>
          </w:tcPr>
          <w:p>
            <w:pPr>
              <w:pStyle w:val="TableParagraph"/>
              <w:rPr>
                <w:rFonts w:ascii="Times New Roman"/>
                <w:sz w:val="10"/>
              </w:rPr>
            </w:pPr>
          </w:p>
        </w:tc>
        <w:tc>
          <w:tcPr>
            <w:tcW w:w="1110" w:type="dxa"/>
            <w:tcBorders>
              <w:right w:val="single" w:sz="4" w:space="0" w:color="000000"/>
            </w:tcBorders>
          </w:tcPr>
          <w:p>
            <w:pPr>
              <w:pStyle w:val="TableParagraph"/>
              <w:spacing w:line="149" w:lineRule="exact"/>
              <w:ind w:left="198"/>
              <w:rPr>
                <w:sz w:val="13"/>
              </w:rPr>
            </w:pPr>
            <w:r>
              <w:rPr>
                <w:w w:val="105"/>
                <w:sz w:val="13"/>
              </w:rPr>
              <w:t>5.117.406,39</w:t>
            </w:r>
          </w:p>
        </w:tc>
      </w:tr>
      <w:tr>
        <w:trPr>
          <w:trHeight w:val="192" w:hRule="atLeast"/>
        </w:trPr>
        <w:tc>
          <w:tcPr>
            <w:tcW w:w="4335" w:type="dxa"/>
            <w:tcBorders>
              <w:left w:val="single" w:sz="4" w:space="0" w:color="000000"/>
            </w:tcBorders>
          </w:tcPr>
          <w:p>
            <w:pPr>
              <w:pStyle w:val="TableParagraph"/>
              <w:spacing w:line="155" w:lineRule="exact"/>
              <w:ind w:left="57"/>
              <w:rPr>
                <w:sz w:val="13"/>
              </w:rPr>
            </w:pPr>
            <w:r>
              <w:rPr>
                <w:w w:val="105"/>
                <w:sz w:val="13"/>
              </w:rPr>
              <w:t>Var. Patr. Neto por reclasificaciones al excedente del ejercicio</w:t>
            </w:r>
          </w:p>
        </w:tc>
        <w:tc>
          <w:tcPr>
            <w:tcW w:w="1214" w:type="dxa"/>
          </w:tcPr>
          <w:p>
            <w:pPr>
              <w:pStyle w:val="TableParagraph"/>
              <w:spacing w:line="155" w:lineRule="exact"/>
              <w:jc w:val="right"/>
              <w:rPr>
                <w:sz w:val="13"/>
              </w:rPr>
            </w:pPr>
            <w:r>
              <w:rPr>
                <w:w w:val="105"/>
                <w:sz w:val="13"/>
              </w:rPr>
              <w:t>-3.682.999,43</w:t>
            </w:r>
          </w:p>
        </w:tc>
        <w:tc>
          <w:tcPr>
            <w:tcW w:w="241" w:type="dxa"/>
          </w:tcPr>
          <w:p>
            <w:pPr>
              <w:pStyle w:val="TableParagraph"/>
              <w:rPr>
                <w:rFonts w:ascii="Times New Roman"/>
                <w:sz w:val="12"/>
              </w:rPr>
            </w:pPr>
          </w:p>
        </w:tc>
        <w:tc>
          <w:tcPr>
            <w:tcW w:w="1110" w:type="dxa"/>
            <w:tcBorders>
              <w:right w:val="single" w:sz="4" w:space="0" w:color="000000"/>
            </w:tcBorders>
          </w:tcPr>
          <w:p>
            <w:pPr>
              <w:pStyle w:val="TableParagraph"/>
              <w:spacing w:line="155" w:lineRule="exact"/>
              <w:ind w:left="155"/>
              <w:rPr>
                <w:sz w:val="13"/>
              </w:rPr>
            </w:pPr>
            <w:r>
              <w:rPr>
                <w:w w:val="105"/>
                <w:sz w:val="13"/>
              </w:rPr>
              <w:t>-3.533.362,16</w:t>
            </w:r>
          </w:p>
        </w:tc>
      </w:tr>
      <w:tr>
        <w:trPr>
          <w:trHeight w:val="215" w:hRule="atLeast"/>
        </w:trPr>
        <w:tc>
          <w:tcPr>
            <w:tcW w:w="4335" w:type="dxa"/>
            <w:tcBorders>
              <w:left w:val="single" w:sz="4" w:space="0" w:color="000000"/>
              <w:bottom w:val="single" w:sz="4" w:space="0" w:color="000000"/>
            </w:tcBorders>
          </w:tcPr>
          <w:p>
            <w:pPr>
              <w:pStyle w:val="TableParagraph"/>
              <w:spacing w:before="15"/>
              <w:ind w:left="57"/>
              <w:rPr>
                <w:sz w:val="13"/>
              </w:rPr>
            </w:pPr>
            <w:r>
              <w:rPr>
                <w:w w:val="105"/>
                <w:sz w:val="13"/>
              </w:rPr>
              <w:t>Var. Patrimonio Neto por ingresos y gastos imputados al P.N.</w:t>
            </w:r>
          </w:p>
        </w:tc>
        <w:tc>
          <w:tcPr>
            <w:tcW w:w="1214" w:type="dxa"/>
            <w:tcBorders>
              <w:bottom w:val="single" w:sz="4" w:space="0" w:color="000000"/>
            </w:tcBorders>
          </w:tcPr>
          <w:p>
            <w:pPr>
              <w:pStyle w:val="TableParagraph"/>
              <w:spacing w:before="15"/>
              <w:jc w:val="right"/>
              <w:rPr>
                <w:sz w:val="13"/>
              </w:rPr>
            </w:pPr>
            <w:r>
              <w:rPr>
                <w:w w:val="105"/>
                <w:sz w:val="13"/>
              </w:rPr>
              <w:t>1.497.891,71</w:t>
            </w:r>
          </w:p>
        </w:tc>
        <w:tc>
          <w:tcPr>
            <w:tcW w:w="241" w:type="dxa"/>
            <w:tcBorders>
              <w:bottom w:val="single" w:sz="4" w:space="0" w:color="000000"/>
            </w:tcBorders>
          </w:tcPr>
          <w:p>
            <w:pPr>
              <w:pStyle w:val="TableParagraph"/>
              <w:rPr>
                <w:rFonts w:ascii="Times New Roman"/>
                <w:sz w:val="14"/>
              </w:rPr>
            </w:pPr>
          </w:p>
        </w:tc>
        <w:tc>
          <w:tcPr>
            <w:tcW w:w="1110" w:type="dxa"/>
            <w:tcBorders>
              <w:bottom w:val="single" w:sz="4" w:space="0" w:color="000000"/>
              <w:right w:val="single" w:sz="4" w:space="0" w:color="000000"/>
            </w:tcBorders>
          </w:tcPr>
          <w:p>
            <w:pPr>
              <w:pStyle w:val="TableParagraph"/>
              <w:spacing w:before="15"/>
              <w:ind w:left="198"/>
              <w:rPr>
                <w:sz w:val="13"/>
              </w:rPr>
            </w:pPr>
            <w:r>
              <w:rPr>
                <w:w w:val="105"/>
                <w:sz w:val="13"/>
              </w:rPr>
              <w:t>1.584.044,23</w:t>
            </w:r>
          </w:p>
        </w:tc>
      </w:tr>
      <w:tr>
        <w:trPr>
          <w:trHeight w:val="335" w:hRule="atLeast"/>
        </w:trPr>
        <w:tc>
          <w:tcPr>
            <w:tcW w:w="4335" w:type="dxa"/>
            <w:tcBorders>
              <w:top w:val="single" w:sz="4" w:space="0" w:color="000000"/>
              <w:left w:val="single" w:sz="4" w:space="0" w:color="000000"/>
              <w:bottom w:val="single" w:sz="4" w:space="0" w:color="000000"/>
            </w:tcBorders>
            <w:shd w:val="clear" w:color="auto" w:fill="D9D9D9"/>
          </w:tcPr>
          <w:p>
            <w:pPr>
              <w:pStyle w:val="TableParagraph"/>
              <w:spacing w:before="89"/>
              <w:ind w:left="57"/>
              <w:rPr>
                <w:b/>
                <w:sz w:val="13"/>
              </w:rPr>
            </w:pPr>
            <w:r>
              <w:rPr>
                <w:b/>
                <w:w w:val="105"/>
                <w:sz w:val="13"/>
              </w:rPr>
              <w:t>Resultado total, variación del patrimonio neto en el ejercicio (</w:t>
            </w:r>
            <w:r>
              <w:rPr>
                <w:w w:val="105"/>
                <w:sz w:val="13"/>
              </w:rPr>
              <w:t>euros</w:t>
            </w:r>
            <w:r>
              <w:rPr>
                <w:b/>
                <w:w w:val="105"/>
                <w:sz w:val="13"/>
              </w:rPr>
              <w:t>)</w:t>
            </w:r>
          </w:p>
        </w:tc>
        <w:tc>
          <w:tcPr>
            <w:tcW w:w="1214" w:type="dxa"/>
            <w:tcBorders>
              <w:top w:val="single" w:sz="4" w:space="0" w:color="000000"/>
              <w:bottom w:val="single" w:sz="4" w:space="0" w:color="000000"/>
            </w:tcBorders>
            <w:shd w:val="clear" w:color="auto" w:fill="D9D9D9"/>
          </w:tcPr>
          <w:p>
            <w:pPr>
              <w:pStyle w:val="TableParagraph"/>
              <w:spacing w:before="89"/>
              <w:ind w:right="16"/>
              <w:jc w:val="right"/>
              <w:rPr>
                <w:b/>
                <w:sz w:val="13"/>
              </w:rPr>
            </w:pPr>
            <w:r>
              <w:rPr>
                <w:b/>
                <w:w w:val="105"/>
                <w:sz w:val="13"/>
              </w:rPr>
              <w:t>1.586.733,60</w:t>
            </w:r>
          </w:p>
        </w:tc>
        <w:tc>
          <w:tcPr>
            <w:tcW w:w="241" w:type="dxa"/>
            <w:tcBorders>
              <w:top w:val="single" w:sz="4" w:space="0" w:color="000000"/>
              <w:bottom w:val="single" w:sz="4" w:space="0" w:color="000000"/>
            </w:tcBorders>
            <w:shd w:val="clear" w:color="auto" w:fill="D9D9D9"/>
          </w:tcPr>
          <w:p>
            <w:pPr>
              <w:pStyle w:val="TableParagraph"/>
              <w:spacing w:before="8"/>
              <w:rPr>
                <w:b/>
                <w:sz w:val="7"/>
              </w:rPr>
            </w:pPr>
          </w:p>
          <w:p>
            <w:pPr>
              <w:pStyle w:val="TableParagraph"/>
              <w:ind w:left="9"/>
              <w:rPr>
                <w:sz w:val="8"/>
              </w:rPr>
            </w:pPr>
            <w:r>
              <w:rPr>
                <w:w w:val="105"/>
                <w:sz w:val="8"/>
              </w:rPr>
              <w:t>33</w:t>
            </w:r>
          </w:p>
        </w:tc>
        <w:tc>
          <w:tcPr>
            <w:tcW w:w="1110" w:type="dxa"/>
            <w:tcBorders>
              <w:top w:val="single" w:sz="4" w:space="0" w:color="000000"/>
              <w:bottom w:val="single" w:sz="4" w:space="0" w:color="000000"/>
              <w:right w:val="single" w:sz="4" w:space="0" w:color="000000"/>
            </w:tcBorders>
            <w:shd w:val="clear" w:color="auto" w:fill="D9D9D9"/>
          </w:tcPr>
          <w:p>
            <w:pPr>
              <w:pStyle w:val="TableParagraph"/>
              <w:spacing w:before="89"/>
              <w:ind w:left="173"/>
              <w:rPr>
                <w:sz w:val="8"/>
              </w:rPr>
            </w:pPr>
            <w:r>
              <w:rPr>
                <w:b/>
                <w:w w:val="105"/>
                <w:sz w:val="13"/>
              </w:rPr>
              <w:t>2.603.386,45 </w:t>
            </w:r>
            <w:r>
              <w:rPr>
                <w:w w:val="105"/>
                <w:position w:val="4"/>
                <w:sz w:val="8"/>
              </w:rPr>
              <w:t>34</w:t>
            </w:r>
          </w:p>
        </w:tc>
      </w:tr>
    </w:tbl>
    <w:p>
      <w:pPr>
        <w:pStyle w:val="BodyText"/>
        <w:spacing w:before="7"/>
        <w:rPr>
          <w:b/>
          <w:sz w:val="16"/>
        </w:rPr>
      </w:pPr>
    </w:p>
    <w:p>
      <w:pPr>
        <w:pStyle w:val="ListParagraph"/>
        <w:numPr>
          <w:ilvl w:val="0"/>
          <w:numId w:val="82"/>
        </w:numPr>
        <w:tabs>
          <w:tab w:pos="2337" w:val="left" w:leader="none"/>
        </w:tabs>
        <w:spacing w:line="240" w:lineRule="auto" w:before="0" w:after="0"/>
        <w:ind w:left="2336" w:right="1141" w:hanging="238"/>
        <w:jc w:val="both"/>
        <w:rPr>
          <w:sz w:val="20"/>
        </w:rPr>
      </w:pPr>
      <w:r>
        <w:rPr>
          <w:sz w:val="20"/>
        </w:rPr>
        <w:t>La variación del patrimonio neto reconocida en el excedente del ejercicio empeora en 0,7 millones de € con respecto a la obtenida el año anterior, como consecuencia, fundamentalmente, de la disminución de los resultados de IDEO por similar importe, en contraposición de ACCION SOCIAL y LENGUA, las cuales mejoran esta magnitud, aunque esta no es significativa para el conjunto del sector público</w:t>
      </w:r>
      <w:r>
        <w:rPr>
          <w:spacing w:val="44"/>
          <w:sz w:val="20"/>
        </w:rPr>
        <w:t> </w:t>
      </w:r>
      <w:r>
        <w:rPr>
          <w:sz w:val="20"/>
        </w:rPr>
        <w:t>fundacional.</w:t>
      </w:r>
    </w:p>
    <w:p>
      <w:pPr>
        <w:pStyle w:val="BodyText"/>
        <w:spacing w:before="2"/>
        <w:rPr>
          <w:sz w:val="17"/>
        </w:rPr>
      </w:pPr>
    </w:p>
    <w:p>
      <w:pPr>
        <w:pStyle w:val="ListParagraph"/>
        <w:numPr>
          <w:ilvl w:val="0"/>
          <w:numId w:val="82"/>
        </w:numPr>
        <w:tabs>
          <w:tab w:pos="2337" w:val="left" w:leader="none"/>
        </w:tabs>
        <w:spacing w:line="242" w:lineRule="auto" w:before="0" w:after="0"/>
        <w:ind w:left="2336" w:right="1147" w:hanging="238"/>
        <w:jc w:val="both"/>
        <w:rPr>
          <w:sz w:val="20"/>
        </w:rPr>
      </w:pPr>
      <w:r>
        <w:rPr>
          <w:sz w:val="20"/>
        </w:rPr>
        <w:t>IDEO es la fundación que experimenta un mayor descenso en la variación del patrimonio neto reconocida en el excedente del ejercicio, cifrándose en 2021 en un importe de 673.824 euros frente a los – 105.775 euros del ejercicio 2022, como consecuencia de un déficit de financiación al no cubrir los ingresos de su actividad propia en 2022 los gastos de personal y otros gastos de su actividad. Esa variación del patrimonio neto es inferior a la presupuestada, que fue de equilibrio. No consta otro Acuerdo del Gobierno de Canarias, aparte del aportado de 29 de diciembre de 2022, ni que se hayan efectuado otras modificaciones presupuestarias a través de subvenciones o aportaciones dinerarias con destino a la compensación de dichos resultados, como se prevé en el Art. 34.1 d) LPGCAC para</w:t>
      </w:r>
      <w:r>
        <w:rPr>
          <w:spacing w:val="27"/>
          <w:sz w:val="20"/>
        </w:rPr>
        <w:t> </w:t>
      </w:r>
      <w:r>
        <w:rPr>
          <w:sz w:val="20"/>
        </w:rPr>
        <w:t>2022.</w:t>
      </w:r>
    </w:p>
    <w:p>
      <w:pPr>
        <w:pStyle w:val="BodyText"/>
        <w:spacing w:before="1"/>
        <w:rPr>
          <w:sz w:val="16"/>
        </w:rPr>
      </w:pPr>
    </w:p>
    <w:p>
      <w:pPr>
        <w:pStyle w:val="ListParagraph"/>
        <w:numPr>
          <w:ilvl w:val="0"/>
          <w:numId w:val="82"/>
        </w:numPr>
        <w:tabs>
          <w:tab w:pos="2337" w:val="left" w:leader="none"/>
        </w:tabs>
        <w:spacing w:line="240" w:lineRule="auto" w:before="0" w:after="0"/>
        <w:ind w:left="2336" w:right="1152" w:hanging="238"/>
        <w:jc w:val="both"/>
        <w:rPr>
          <w:sz w:val="20"/>
        </w:rPr>
      </w:pPr>
      <w:r>
        <w:rPr>
          <w:sz w:val="20"/>
        </w:rPr>
        <w:t>En cuanto los ingresos generados por el Sector Público Fundacional en el ejercicio 2022, se observa un descenso considerable (de un 37 % para los ingresos de su actividad propia, respecto al ejercicio anterior), en especial, originado</w:t>
      </w:r>
      <w:r>
        <w:rPr>
          <w:spacing w:val="8"/>
          <w:sz w:val="20"/>
        </w:rPr>
        <w:t> </w:t>
      </w:r>
      <w:r>
        <w:rPr>
          <w:sz w:val="20"/>
        </w:rPr>
        <w:t>en</w:t>
      </w:r>
    </w:p>
    <w:p>
      <w:pPr>
        <w:pStyle w:val="BodyText"/>
        <w:spacing w:before="6"/>
        <w:rPr>
          <w:sz w:val="26"/>
        </w:rPr>
      </w:pPr>
      <w:r>
        <w:rPr/>
        <w:pict>
          <v:shape style="position:absolute;margin-left:142.958206pt;margin-top:18.475088pt;width:120.95pt;height:.1pt;mso-position-horizontal-relative:page;mso-position-vertical-relative:paragraph;z-index:-251443200;mso-wrap-distance-left:0;mso-wrap-distance-right:0" coordorigin="2859,370" coordsize="2419,0" path="m2859,370l5278,370e" filled="false" stroked="true" strokeweight=".604484pt" strokecolor="#000000">
            <v:path arrowok="t"/>
            <v:stroke dashstyle="solid"/>
            <w10:wrap type="topAndBottom"/>
          </v:shape>
        </w:pict>
      </w:r>
    </w:p>
    <w:p>
      <w:pPr>
        <w:spacing w:line="252" w:lineRule="auto" w:before="49"/>
        <w:ind w:left="2099" w:right="1145" w:firstLine="0"/>
        <w:jc w:val="both"/>
        <w:rPr>
          <w:sz w:val="16"/>
        </w:rPr>
      </w:pPr>
      <w:r>
        <w:rPr>
          <w:w w:val="105"/>
          <w:position w:val="6"/>
          <w:sz w:val="11"/>
        </w:rPr>
        <w:t>33 </w:t>
      </w:r>
      <w:r>
        <w:rPr>
          <w:w w:val="105"/>
          <w:sz w:val="16"/>
        </w:rPr>
        <w:t>Para FIISC, la Intervención ha corregido los importes de los epígrafes “variaciones de patrimonio neto por ingresos y gastos imputados directamente al patrimonio neto” y “resultado total, variación del patrimonio neto en el ejercicio” en la Cuenta de Resultados, que ascienden a 648.398 y 681.174 euros, respectivamente. Asimismo, la IGCAC detecta, que en la Cuenta de Resultados de la Fundación MUSEO de 2022, en los datos comparativos con el ejercicio 2021, la entidad presenta, por error, en un importe incorrecto</w:t>
      </w:r>
      <w:r>
        <w:rPr>
          <w:spacing w:val="-11"/>
          <w:w w:val="105"/>
          <w:sz w:val="16"/>
        </w:rPr>
        <w:t> </w:t>
      </w:r>
      <w:r>
        <w:rPr>
          <w:w w:val="105"/>
          <w:sz w:val="16"/>
        </w:rPr>
        <w:t>en</w:t>
      </w:r>
      <w:r>
        <w:rPr>
          <w:spacing w:val="-8"/>
          <w:w w:val="105"/>
          <w:sz w:val="16"/>
        </w:rPr>
        <w:t> </w:t>
      </w:r>
      <w:r>
        <w:rPr>
          <w:w w:val="105"/>
          <w:sz w:val="16"/>
        </w:rPr>
        <w:t>el</w:t>
      </w:r>
      <w:r>
        <w:rPr>
          <w:spacing w:val="-11"/>
          <w:w w:val="105"/>
          <w:sz w:val="16"/>
        </w:rPr>
        <w:t> </w:t>
      </w:r>
      <w:r>
        <w:rPr>
          <w:w w:val="105"/>
          <w:sz w:val="16"/>
        </w:rPr>
        <w:t>epígrafe</w:t>
      </w:r>
      <w:r>
        <w:rPr>
          <w:spacing w:val="-11"/>
          <w:w w:val="105"/>
          <w:sz w:val="16"/>
        </w:rPr>
        <w:t> </w:t>
      </w:r>
      <w:r>
        <w:rPr>
          <w:w w:val="105"/>
          <w:sz w:val="16"/>
        </w:rPr>
        <w:t>“resultado</w:t>
      </w:r>
      <w:r>
        <w:rPr>
          <w:spacing w:val="-10"/>
          <w:w w:val="105"/>
          <w:sz w:val="16"/>
        </w:rPr>
        <w:t> </w:t>
      </w:r>
      <w:r>
        <w:rPr>
          <w:w w:val="105"/>
          <w:sz w:val="16"/>
        </w:rPr>
        <w:t>total,</w:t>
      </w:r>
      <w:r>
        <w:rPr>
          <w:spacing w:val="-11"/>
          <w:w w:val="105"/>
          <w:sz w:val="16"/>
        </w:rPr>
        <w:t> </w:t>
      </w:r>
      <w:r>
        <w:rPr>
          <w:w w:val="105"/>
          <w:sz w:val="16"/>
        </w:rPr>
        <w:t>variación</w:t>
      </w:r>
      <w:r>
        <w:rPr>
          <w:spacing w:val="-9"/>
          <w:w w:val="105"/>
          <w:sz w:val="16"/>
        </w:rPr>
        <w:t> </w:t>
      </w:r>
      <w:r>
        <w:rPr>
          <w:w w:val="105"/>
          <w:sz w:val="16"/>
        </w:rPr>
        <w:t>del</w:t>
      </w:r>
      <w:r>
        <w:rPr>
          <w:spacing w:val="-11"/>
          <w:w w:val="105"/>
          <w:sz w:val="16"/>
        </w:rPr>
        <w:t> </w:t>
      </w:r>
      <w:r>
        <w:rPr>
          <w:w w:val="105"/>
          <w:sz w:val="16"/>
        </w:rPr>
        <w:t>patrimonio</w:t>
      </w:r>
      <w:r>
        <w:rPr>
          <w:spacing w:val="-10"/>
          <w:w w:val="105"/>
          <w:sz w:val="16"/>
        </w:rPr>
        <w:t> </w:t>
      </w:r>
      <w:r>
        <w:rPr>
          <w:w w:val="105"/>
          <w:sz w:val="16"/>
        </w:rPr>
        <w:t>neto</w:t>
      </w:r>
      <w:r>
        <w:rPr>
          <w:spacing w:val="-10"/>
          <w:w w:val="105"/>
          <w:sz w:val="16"/>
        </w:rPr>
        <w:t> </w:t>
      </w:r>
      <w:r>
        <w:rPr>
          <w:w w:val="105"/>
          <w:sz w:val="16"/>
        </w:rPr>
        <w:t>en</w:t>
      </w:r>
      <w:r>
        <w:rPr>
          <w:spacing w:val="-11"/>
          <w:w w:val="105"/>
          <w:sz w:val="16"/>
        </w:rPr>
        <w:t> </w:t>
      </w:r>
      <w:r>
        <w:rPr>
          <w:w w:val="105"/>
          <w:sz w:val="16"/>
        </w:rPr>
        <w:t>el</w:t>
      </w:r>
      <w:r>
        <w:rPr>
          <w:spacing w:val="-8"/>
          <w:w w:val="105"/>
          <w:sz w:val="16"/>
        </w:rPr>
        <w:t> </w:t>
      </w:r>
      <w:r>
        <w:rPr>
          <w:w w:val="105"/>
          <w:sz w:val="16"/>
        </w:rPr>
        <w:t>ejercicio”,</w:t>
      </w:r>
      <w:r>
        <w:rPr>
          <w:spacing w:val="-11"/>
          <w:w w:val="105"/>
          <w:sz w:val="16"/>
        </w:rPr>
        <w:t> </w:t>
      </w:r>
      <w:r>
        <w:rPr>
          <w:w w:val="105"/>
          <w:sz w:val="16"/>
        </w:rPr>
        <w:t>siendo</w:t>
      </w:r>
      <w:r>
        <w:rPr>
          <w:spacing w:val="-10"/>
          <w:w w:val="105"/>
          <w:sz w:val="16"/>
        </w:rPr>
        <w:t> </w:t>
      </w:r>
      <w:r>
        <w:rPr>
          <w:w w:val="105"/>
          <w:sz w:val="16"/>
        </w:rPr>
        <w:t>su</w:t>
      </w:r>
      <w:r>
        <w:rPr>
          <w:spacing w:val="-10"/>
          <w:w w:val="105"/>
          <w:sz w:val="16"/>
        </w:rPr>
        <w:t> </w:t>
      </w:r>
      <w:r>
        <w:rPr>
          <w:w w:val="105"/>
          <w:sz w:val="16"/>
        </w:rPr>
        <w:t>importe real de 569.503</w:t>
      </w:r>
      <w:r>
        <w:rPr>
          <w:spacing w:val="-2"/>
          <w:w w:val="105"/>
          <w:sz w:val="16"/>
        </w:rPr>
        <w:t> </w:t>
      </w:r>
      <w:r>
        <w:rPr>
          <w:w w:val="105"/>
          <w:sz w:val="16"/>
        </w:rPr>
        <w:t>euros.</w:t>
      </w:r>
    </w:p>
    <w:p>
      <w:pPr>
        <w:spacing w:line="252" w:lineRule="auto" w:before="88"/>
        <w:ind w:left="2099" w:right="1151" w:firstLine="0"/>
        <w:jc w:val="both"/>
        <w:rPr>
          <w:sz w:val="16"/>
        </w:rPr>
      </w:pPr>
      <w:r>
        <w:rPr>
          <w:w w:val="105"/>
          <w:position w:val="6"/>
          <w:sz w:val="11"/>
        </w:rPr>
        <w:t>34 </w:t>
      </w:r>
      <w:r>
        <w:rPr>
          <w:w w:val="105"/>
          <w:sz w:val="16"/>
        </w:rPr>
        <w:t>Los datos para 2021 no coinciden con los que figuran en el Informe de la Cuenta General para 2021 (cuenta de resultados agregada), debido a los ajustes realizados para ACCION SOCIAL en la partida de personal.</w:t>
      </w:r>
    </w:p>
    <w:p>
      <w:pPr>
        <w:pStyle w:val="BodyText"/>
        <w:spacing w:line="238" w:lineRule="exact"/>
        <w:ind w:left="7787"/>
        <w:jc w:val="center"/>
      </w:pPr>
      <w:r>
        <w:rPr/>
        <w:t>131</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77" name="image5.png"/>
                  <wp:cNvGraphicFramePr>
                    <a:graphicFrameLocks noChangeAspect="1"/>
                  </wp:cNvGraphicFramePr>
                  <a:graphic>
                    <a:graphicData uri="http://schemas.openxmlformats.org/drawingml/2006/picture">
                      <pic:pic>
                        <pic:nvPicPr>
                          <pic:cNvPr id="27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133/247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336"/>
        <w:jc w:val="both"/>
      </w:pPr>
      <w:r>
        <w:rPr/>
        <w:t>FUNCATRA, que obtiene una cifra de 3,8 millones de € frente a los 34,7 millones de</w:t>
      </w:r>
    </w:p>
    <w:p>
      <w:pPr>
        <w:pStyle w:val="BodyText"/>
        <w:spacing w:line="242" w:lineRule="auto" w:before="2"/>
        <w:ind w:left="2336" w:right="1149"/>
        <w:jc w:val="both"/>
      </w:pPr>
      <w:r>
        <w:rPr/>
        <w:t>€ del ejercicio anterior. Esta disminución tan importante del 89 % en FUNCATRA, obedece, fundamentalmente, al cambio del criterio de contabilización de los ingresos del convenio de colaboración con el SCE para la gestión del procedimiento de concesión de ayudas directas a personas trabajadoras por cuenta ajena afectadas por expedientes de regulación de</w:t>
      </w:r>
      <w:r>
        <w:rPr>
          <w:spacing w:val="7"/>
        </w:rPr>
        <w:t> </w:t>
      </w:r>
      <w:r>
        <w:rPr/>
        <w:t>empleo.</w:t>
      </w:r>
    </w:p>
    <w:p>
      <w:pPr>
        <w:pStyle w:val="BodyText"/>
        <w:spacing w:before="4"/>
        <w:rPr>
          <w:sz w:val="16"/>
        </w:rPr>
      </w:pPr>
    </w:p>
    <w:p>
      <w:pPr>
        <w:pStyle w:val="BodyText"/>
        <w:ind w:left="2336" w:right="1152" w:hanging="238"/>
        <w:jc w:val="both"/>
      </w:pPr>
      <w:r>
        <w:rPr/>
        <w:t>4. En relación con las encomiendas realizadas, ninguna fundación declara haber superado el porcentaje de subcontratación superior al 50 % del importe.</w:t>
      </w:r>
    </w:p>
    <w:p>
      <w:pPr>
        <w:pStyle w:val="BodyText"/>
        <w:spacing w:before="7"/>
        <w:rPr>
          <w:sz w:val="16"/>
        </w:rPr>
      </w:pPr>
    </w:p>
    <w:p>
      <w:pPr>
        <w:pStyle w:val="Heading1"/>
        <w:numPr>
          <w:ilvl w:val="2"/>
          <w:numId w:val="78"/>
        </w:numPr>
        <w:tabs>
          <w:tab w:pos="2694" w:val="left" w:leader="none"/>
        </w:tabs>
        <w:spacing w:line="240" w:lineRule="auto" w:before="0" w:after="0"/>
        <w:ind w:left="2693" w:right="0" w:hanging="605"/>
        <w:jc w:val="left"/>
        <w:rPr>
          <w:sz w:val="13"/>
        </w:rPr>
      </w:pPr>
      <w:r>
        <w:rPr>
          <w:color w:val="53A1B9"/>
        </w:rPr>
        <w:t>Cumplimiento de los plazos de</w:t>
      </w:r>
      <w:r>
        <w:rPr>
          <w:color w:val="53A1B9"/>
          <w:spacing w:val="-3"/>
        </w:rPr>
        <w:t> </w:t>
      </w:r>
      <w:r>
        <w:rPr>
          <w:color w:val="53A1B9"/>
        </w:rPr>
        <w:t>pago.</w:t>
      </w:r>
      <w:r>
        <w:rPr>
          <w:color w:val="53A1B9"/>
          <w:position w:val="7"/>
          <w:sz w:val="13"/>
        </w:rPr>
        <w:t>35</w:t>
      </w:r>
    </w:p>
    <w:p>
      <w:pPr>
        <w:pStyle w:val="BodyText"/>
        <w:spacing w:before="7"/>
        <w:rPr>
          <w:b/>
          <w:sz w:val="16"/>
        </w:rPr>
      </w:pPr>
    </w:p>
    <w:tbl>
      <w:tblPr>
        <w:tblW w:w="0" w:type="auto"/>
        <w:jc w:val="left"/>
        <w:tblInd w:w="2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0"/>
        <w:gridCol w:w="487"/>
        <w:gridCol w:w="484"/>
        <w:gridCol w:w="486"/>
        <w:gridCol w:w="486"/>
        <w:gridCol w:w="486"/>
        <w:gridCol w:w="496"/>
        <w:gridCol w:w="496"/>
        <w:gridCol w:w="484"/>
        <w:gridCol w:w="486"/>
        <w:gridCol w:w="487"/>
        <w:gridCol w:w="486"/>
        <w:gridCol w:w="492"/>
      </w:tblGrid>
      <w:tr>
        <w:trPr>
          <w:trHeight w:val="286" w:hRule="atLeast"/>
        </w:trPr>
        <w:tc>
          <w:tcPr>
            <w:tcW w:w="1290" w:type="dxa"/>
            <w:tcBorders>
              <w:bottom w:val="nil"/>
            </w:tcBorders>
          </w:tcPr>
          <w:p>
            <w:pPr>
              <w:pStyle w:val="TableParagraph"/>
              <w:rPr>
                <w:rFonts w:ascii="Times New Roman"/>
                <w:sz w:val="16"/>
              </w:rPr>
            </w:pPr>
          </w:p>
        </w:tc>
        <w:tc>
          <w:tcPr>
            <w:tcW w:w="5856" w:type="dxa"/>
            <w:gridSpan w:val="12"/>
            <w:shd w:val="clear" w:color="auto" w:fill="DEEAF6"/>
          </w:tcPr>
          <w:p>
            <w:pPr>
              <w:pStyle w:val="TableParagraph"/>
              <w:spacing w:before="64"/>
              <w:ind w:left="1923" w:right="1921"/>
              <w:jc w:val="center"/>
              <w:rPr>
                <w:b/>
                <w:sz w:val="13"/>
              </w:rPr>
            </w:pPr>
            <w:r>
              <w:rPr>
                <w:b/>
                <w:w w:val="105"/>
                <w:sz w:val="13"/>
              </w:rPr>
              <w:t>Periodo medio de pago 2022 (</w:t>
            </w:r>
            <w:r>
              <w:rPr>
                <w:w w:val="105"/>
                <w:sz w:val="13"/>
              </w:rPr>
              <w:t>días</w:t>
            </w:r>
            <w:r>
              <w:rPr>
                <w:b/>
                <w:w w:val="105"/>
                <w:sz w:val="13"/>
              </w:rPr>
              <w:t>)</w:t>
            </w:r>
          </w:p>
        </w:tc>
      </w:tr>
      <w:tr>
        <w:trPr>
          <w:trHeight w:val="301" w:hRule="atLeast"/>
        </w:trPr>
        <w:tc>
          <w:tcPr>
            <w:tcW w:w="1290" w:type="dxa"/>
            <w:tcBorders>
              <w:top w:val="nil"/>
              <w:bottom w:val="nil"/>
            </w:tcBorders>
          </w:tcPr>
          <w:p>
            <w:pPr>
              <w:pStyle w:val="TableParagraph"/>
              <w:rPr>
                <w:rFonts w:ascii="Times New Roman"/>
                <w:sz w:val="16"/>
              </w:rPr>
            </w:pPr>
          </w:p>
        </w:tc>
        <w:tc>
          <w:tcPr>
            <w:tcW w:w="487" w:type="dxa"/>
            <w:tcBorders>
              <w:bottom w:val="single" w:sz="8" w:space="0" w:color="000000"/>
              <w:right w:val="nil"/>
            </w:tcBorders>
            <w:shd w:val="clear" w:color="auto" w:fill="DEEAF6"/>
          </w:tcPr>
          <w:p>
            <w:pPr>
              <w:pStyle w:val="TableParagraph"/>
              <w:spacing w:before="72"/>
              <w:ind w:left="129"/>
              <w:rPr>
                <w:b/>
                <w:sz w:val="13"/>
              </w:rPr>
            </w:pPr>
            <w:r>
              <w:rPr>
                <w:b/>
                <w:w w:val="105"/>
                <w:sz w:val="13"/>
              </w:rPr>
              <w:t>ENE</w:t>
            </w:r>
          </w:p>
        </w:tc>
        <w:tc>
          <w:tcPr>
            <w:tcW w:w="484" w:type="dxa"/>
            <w:tcBorders>
              <w:left w:val="nil"/>
              <w:bottom w:val="single" w:sz="8" w:space="0" w:color="000000"/>
              <w:right w:val="nil"/>
            </w:tcBorders>
            <w:shd w:val="clear" w:color="auto" w:fill="DEEAF6"/>
          </w:tcPr>
          <w:p>
            <w:pPr>
              <w:pStyle w:val="TableParagraph"/>
              <w:spacing w:before="72"/>
              <w:ind w:left="143"/>
              <w:rPr>
                <w:b/>
                <w:sz w:val="13"/>
              </w:rPr>
            </w:pPr>
            <w:r>
              <w:rPr>
                <w:b/>
                <w:w w:val="105"/>
                <w:sz w:val="13"/>
              </w:rPr>
              <w:t>FEB</w:t>
            </w:r>
          </w:p>
        </w:tc>
        <w:tc>
          <w:tcPr>
            <w:tcW w:w="486" w:type="dxa"/>
            <w:tcBorders>
              <w:left w:val="nil"/>
              <w:bottom w:val="single" w:sz="8" w:space="0" w:color="000000"/>
              <w:right w:val="nil"/>
            </w:tcBorders>
            <w:shd w:val="clear" w:color="auto" w:fill="DEEAF6"/>
          </w:tcPr>
          <w:p>
            <w:pPr>
              <w:pStyle w:val="TableParagraph"/>
              <w:spacing w:before="72"/>
              <w:ind w:left="86" w:right="79"/>
              <w:jc w:val="center"/>
              <w:rPr>
                <w:b/>
                <w:sz w:val="13"/>
              </w:rPr>
            </w:pPr>
            <w:r>
              <w:rPr>
                <w:b/>
                <w:w w:val="105"/>
                <w:sz w:val="13"/>
              </w:rPr>
              <w:t>MAR</w:t>
            </w:r>
          </w:p>
        </w:tc>
        <w:tc>
          <w:tcPr>
            <w:tcW w:w="486" w:type="dxa"/>
            <w:tcBorders>
              <w:left w:val="nil"/>
              <w:bottom w:val="single" w:sz="8" w:space="0" w:color="000000"/>
              <w:right w:val="nil"/>
            </w:tcBorders>
            <w:shd w:val="clear" w:color="auto" w:fill="DEEAF6"/>
          </w:tcPr>
          <w:p>
            <w:pPr>
              <w:pStyle w:val="TableParagraph"/>
              <w:spacing w:before="72"/>
              <w:ind w:left="80" w:right="80"/>
              <w:jc w:val="center"/>
              <w:rPr>
                <w:b/>
                <w:sz w:val="13"/>
              </w:rPr>
            </w:pPr>
            <w:r>
              <w:rPr>
                <w:b/>
                <w:w w:val="105"/>
                <w:sz w:val="13"/>
              </w:rPr>
              <w:t>ABR</w:t>
            </w:r>
          </w:p>
        </w:tc>
        <w:tc>
          <w:tcPr>
            <w:tcW w:w="486" w:type="dxa"/>
            <w:tcBorders>
              <w:left w:val="nil"/>
              <w:bottom w:val="single" w:sz="8" w:space="0" w:color="000000"/>
              <w:right w:val="nil"/>
            </w:tcBorders>
            <w:shd w:val="clear" w:color="auto" w:fill="DEEAF6"/>
          </w:tcPr>
          <w:p>
            <w:pPr>
              <w:pStyle w:val="TableParagraph"/>
              <w:spacing w:before="72"/>
              <w:ind w:left="80" w:right="80"/>
              <w:jc w:val="center"/>
              <w:rPr>
                <w:b/>
                <w:sz w:val="13"/>
              </w:rPr>
            </w:pPr>
            <w:r>
              <w:rPr>
                <w:b/>
                <w:w w:val="105"/>
                <w:sz w:val="13"/>
              </w:rPr>
              <w:t>MAY</w:t>
            </w:r>
          </w:p>
        </w:tc>
        <w:tc>
          <w:tcPr>
            <w:tcW w:w="496" w:type="dxa"/>
            <w:tcBorders>
              <w:left w:val="nil"/>
              <w:bottom w:val="single" w:sz="8" w:space="0" w:color="000000"/>
              <w:right w:val="nil"/>
            </w:tcBorders>
            <w:shd w:val="clear" w:color="auto" w:fill="DEEAF6"/>
          </w:tcPr>
          <w:p>
            <w:pPr>
              <w:pStyle w:val="TableParagraph"/>
              <w:spacing w:before="72"/>
              <w:ind w:left="116" w:right="114"/>
              <w:jc w:val="center"/>
              <w:rPr>
                <w:b/>
                <w:sz w:val="13"/>
              </w:rPr>
            </w:pPr>
            <w:r>
              <w:rPr>
                <w:b/>
                <w:w w:val="105"/>
                <w:sz w:val="13"/>
              </w:rPr>
              <w:t>JUN</w:t>
            </w:r>
          </w:p>
        </w:tc>
        <w:tc>
          <w:tcPr>
            <w:tcW w:w="496" w:type="dxa"/>
            <w:tcBorders>
              <w:left w:val="nil"/>
              <w:bottom w:val="single" w:sz="8" w:space="0" w:color="000000"/>
              <w:right w:val="nil"/>
            </w:tcBorders>
            <w:shd w:val="clear" w:color="auto" w:fill="DEEAF6"/>
          </w:tcPr>
          <w:p>
            <w:pPr>
              <w:pStyle w:val="TableParagraph"/>
              <w:spacing w:before="72"/>
              <w:ind w:left="116" w:right="114"/>
              <w:jc w:val="center"/>
              <w:rPr>
                <w:b/>
                <w:sz w:val="13"/>
              </w:rPr>
            </w:pPr>
            <w:r>
              <w:rPr>
                <w:b/>
                <w:w w:val="105"/>
                <w:sz w:val="13"/>
              </w:rPr>
              <w:t>JUL</w:t>
            </w:r>
          </w:p>
        </w:tc>
        <w:tc>
          <w:tcPr>
            <w:tcW w:w="484" w:type="dxa"/>
            <w:tcBorders>
              <w:left w:val="nil"/>
              <w:bottom w:val="single" w:sz="8" w:space="0" w:color="000000"/>
              <w:right w:val="nil"/>
            </w:tcBorders>
            <w:shd w:val="clear" w:color="auto" w:fill="DEEAF6"/>
          </w:tcPr>
          <w:p>
            <w:pPr>
              <w:pStyle w:val="TableParagraph"/>
              <w:spacing w:before="72"/>
              <w:ind w:left="113"/>
              <w:rPr>
                <w:b/>
                <w:sz w:val="13"/>
              </w:rPr>
            </w:pPr>
            <w:r>
              <w:rPr>
                <w:b/>
                <w:w w:val="105"/>
                <w:sz w:val="13"/>
              </w:rPr>
              <w:t>AGO</w:t>
            </w:r>
          </w:p>
        </w:tc>
        <w:tc>
          <w:tcPr>
            <w:tcW w:w="486" w:type="dxa"/>
            <w:tcBorders>
              <w:left w:val="nil"/>
              <w:bottom w:val="single" w:sz="8" w:space="0" w:color="000000"/>
              <w:right w:val="nil"/>
            </w:tcBorders>
            <w:shd w:val="clear" w:color="auto" w:fill="DEEAF6"/>
          </w:tcPr>
          <w:p>
            <w:pPr>
              <w:pStyle w:val="TableParagraph"/>
              <w:spacing w:before="72"/>
              <w:ind w:left="143"/>
              <w:rPr>
                <w:b/>
                <w:sz w:val="13"/>
              </w:rPr>
            </w:pPr>
            <w:r>
              <w:rPr>
                <w:b/>
                <w:w w:val="105"/>
                <w:sz w:val="13"/>
              </w:rPr>
              <w:t>SEP</w:t>
            </w:r>
          </w:p>
        </w:tc>
        <w:tc>
          <w:tcPr>
            <w:tcW w:w="487" w:type="dxa"/>
            <w:tcBorders>
              <w:left w:val="nil"/>
              <w:bottom w:val="single" w:sz="8" w:space="0" w:color="000000"/>
              <w:right w:val="nil"/>
            </w:tcBorders>
            <w:shd w:val="clear" w:color="auto" w:fill="DEEAF6"/>
          </w:tcPr>
          <w:p>
            <w:pPr>
              <w:pStyle w:val="TableParagraph"/>
              <w:spacing w:before="72"/>
              <w:ind w:left="127"/>
              <w:rPr>
                <w:b/>
                <w:sz w:val="13"/>
              </w:rPr>
            </w:pPr>
            <w:r>
              <w:rPr>
                <w:b/>
                <w:w w:val="105"/>
                <w:sz w:val="13"/>
              </w:rPr>
              <w:t>OCT</w:t>
            </w:r>
          </w:p>
        </w:tc>
        <w:tc>
          <w:tcPr>
            <w:tcW w:w="486" w:type="dxa"/>
            <w:tcBorders>
              <w:left w:val="nil"/>
              <w:bottom w:val="single" w:sz="8" w:space="0" w:color="000000"/>
              <w:right w:val="nil"/>
            </w:tcBorders>
            <w:shd w:val="clear" w:color="auto" w:fill="DEEAF6"/>
          </w:tcPr>
          <w:p>
            <w:pPr>
              <w:pStyle w:val="TableParagraph"/>
              <w:spacing w:before="72"/>
              <w:ind w:left="112"/>
              <w:rPr>
                <w:b/>
                <w:sz w:val="13"/>
              </w:rPr>
            </w:pPr>
            <w:r>
              <w:rPr>
                <w:b/>
                <w:w w:val="105"/>
                <w:sz w:val="13"/>
              </w:rPr>
              <w:t>NOV</w:t>
            </w:r>
          </w:p>
        </w:tc>
        <w:tc>
          <w:tcPr>
            <w:tcW w:w="492" w:type="dxa"/>
            <w:tcBorders>
              <w:left w:val="nil"/>
              <w:bottom w:val="single" w:sz="8" w:space="0" w:color="000000"/>
            </w:tcBorders>
            <w:shd w:val="clear" w:color="auto" w:fill="DEEAF6"/>
          </w:tcPr>
          <w:p>
            <w:pPr>
              <w:pStyle w:val="TableParagraph"/>
              <w:spacing w:before="72"/>
              <w:ind w:left="148"/>
              <w:rPr>
                <w:b/>
                <w:sz w:val="13"/>
              </w:rPr>
            </w:pPr>
            <w:r>
              <w:rPr>
                <w:b/>
                <w:w w:val="105"/>
                <w:sz w:val="13"/>
              </w:rPr>
              <w:t>DIC</w:t>
            </w:r>
          </w:p>
        </w:tc>
      </w:tr>
      <w:tr>
        <w:trPr>
          <w:trHeight w:val="299" w:hRule="atLeast"/>
        </w:trPr>
        <w:tc>
          <w:tcPr>
            <w:tcW w:w="1290" w:type="dxa"/>
            <w:tcBorders>
              <w:top w:val="nil"/>
              <w:bottom w:val="nil"/>
              <w:right w:val="single" w:sz="8" w:space="0" w:color="000000"/>
            </w:tcBorders>
          </w:tcPr>
          <w:p>
            <w:pPr>
              <w:pStyle w:val="TableParagraph"/>
              <w:spacing w:before="65"/>
              <w:ind w:left="113"/>
              <w:rPr>
                <w:b/>
                <w:sz w:val="13"/>
              </w:rPr>
            </w:pPr>
            <w:r>
              <w:rPr>
                <w:b/>
                <w:w w:val="105"/>
                <w:sz w:val="13"/>
              </w:rPr>
              <w:t>LENGUA</w:t>
            </w:r>
          </w:p>
        </w:tc>
        <w:tc>
          <w:tcPr>
            <w:tcW w:w="487" w:type="dxa"/>
            <w:tcBorders>
              <w:top w:val="single" w:sz="8" w:space="0" w:color="000000"/>
              <w:left w:val="single" w:sz="8" w:space="0" w:color="000000"/>
              <w:bottom w:val="nil"/>
              <w:right w:val="single" w:sz="8" w:space="0" w:color="000000"/>
            </w:tcBorders>
          </w:tcPr>
          <w:p>
            <w:pPr>
              <w:pStyle w:val="TableParagraph"/>
              <w:spacing w:before="65"/>
              <w:ind w:left="82"/>
              <w:rPr>
                <w:sz w:val="13"/>
              </w:rPr>
            </w:pPr>
            <w:r>
              <w:rPr>
                <w:color w:val="221F1F"/>
                <w:w w:val="105"/>
                <w:sz w:val="13"/>
              </w:rPr>
              <w:t>25,13</w:t>
            </w:r>
          </w:p>
        </w:tc>
        <w:tc>
          <w:tcPr>
            <w:tcW w:w="484" w:type="dxa"/>
            <w:tcBorders>
              <w:top w:val="single" w:sz="8" w:space="0" w:color="000000"/>
              <w:left w:val="single" w:sz="8" w:space="0" w:color="000000"/>
              <w:bottom w:val="nil"/>
              <w:right w:val="single" w:sz="8" w:space="0" w:color="000000"/>
            </w:tcBorders>
          </w:tcPr>
          <w:p>
            <w:pPr>
              <w:pStyle w:val="TableParagraph"/>
              <w:spacing w:before="65"/>
              <w:ind w:left="115"/>
              <w:rPr>
                <w:sz w:val="13"/>
              </w:rPr>
            </w:pPr>
            <w:r>
              <w:rPr>
                <w:color w:val="221F1F"/>
                <w:w w:val="105"/>
                <w:sz w:val="13"/>
              </w:rPr>
              <w:t>8,78</w:t>
            </w:r>
          </w:p>
        </w:tc>
        <w:tc>
          <w:tcPr>
            <w:tcW w:w="486" w:type="dxa"/>
            <w:tcBorders>
              <w:top w:val="single" w:sz="8" w:space="0" w:color="000000"/>
              <w:left w:val="single" w:sz="8" w:space="0" w:color="000000"/>
              <w:bottom w:val="nil"/>
              <w:right w:val="single" w:sz="8" w:space="0" w:color="000000"/>
            </w:tcBorders>
          </w:tcPr>
          <w:p>
            <w:pPr>
              <w:pStyle w:val="TableParagraph"/>
              <w:spacing w:before="65"/>
              <w:ind w:left="40" w:right="32"/>
              <w:jc w:val="center"/>
              <w:rPr>
                <w:sz w:val="13"/>
              </w:rPr>
            </w:pPr>
            <w:r>
              <w:rPr>
                <w:color w:val="221F1F"/>
                <w:w w:val="105"/>
                <w:sz w:val="13"/>
              </w:rPr>
              <w:t>3,19</w:t>
            </w:r>
          </w:p>
        </w:tc>
        <w:tc>
          <w:tcPr>
            <w:tcW w:w="486" w:type="dxa"/>
            <w:tcBorders>
              <w:top w:val="single" w:sz="8" w:space="0" w:color="000000"/>
              <w:left w:val="single" w:sz="8" w:space="0" w:color="000000"/>
              <w:bottom w:val="nil"/>
              <w:right w:val="single" w:sz="8" w:space="0" w:color="000000"/>
            </w:tcBorders>
          </w:tcPr>
          <w:p>
            <w:pPr>
              <w:pStyle w:val="TableParagraph"/>
              <w:spacing w:before="65"/>
              <w:ind w:left="35" w:right="32"/>
              <w:jc w:val="center"/>
              <w:rPr>
                <w:sz w:val="13"/>
              </w:rPr>
            </w:pPr>
            <w:r>
              <w:rPr>
                <w:color w:val="221F1F"/>
                <w:w w:val="105"/>
                <w:sz w:val="13"/>
              </w:rPr>
              <w:t>5,09</w:t>
            </w:r>
          </w:p>
        </w:tc>
        <w:tc>
          <w:tcPr>
            <w:tcW w:w="486" w:type="dxa"/>
            <w:tcBorders>
              <w:top w:val="single" w:sz="8" w:space="0" w:color="000000"/>
              <w:left w:val="single" w:sz="8" w:space="0" w:color="000000"/>
              <w:bottom w:val="nil"/>
              <w:right w:val="single" w:sz="8" w:space="0" w:color="000000"/>
            </w:tcBorders>
          </w:tcPr>
          <w:p>
            <w:pPr>
              <w:pStyle w:val="TableParagraph"/>
              <w:spacing w:before="65"/>
              <w:ind w:left="34" w:right="32"/>
              <w:jc w:val="center"/>
              <w:rPr>
                <w:sz w:val="13"/>
              </w:rPr>
            </w:pPr>
            <w:r>
              <w:rPr>
                <w:color w:val="221F1F"/>
                <w:w w:val="105"/>
                <w:sz w:val="13"/>
              </w:rPr>
              <w:t>1,05</w:t>
            </w:r>
          </w:p>
        </w:tc>
        <w:tc>
          <w:tcPr>
            <w:tcW w:w="496" w:type="dxa"/>
            <w:tcBorders>
              <w:top w:val="single" w:sz="8" w:space="0" w:color="000000"/>
              <w:left w:val="single" w:sz="8" w:space="0" w:color="000000"/>
              <w:bottom w:val="nil"/>
              <w:right w:val="single" w:sz="8" w:space="0" w:color="000000"/>
            </w:tcBorders>
          </w:tcPr>
          <w:p>
            <w:pPr>
              <w:pStyle w:val="TableParagraph"/>
              <w:spacing w:before="65"/>
              <w:ind w:left="26" w:right="22"/>
              <w:jc w:val="center"/>
              <w:rPr>
                <w:sz w:val="13"/>
              </w:rPr>
            </w:pPr>
            <w:r>
              <w:rPr>
                <w:color w:val="221F1F"/>
                <w:w w:val="105"/>
                <w:sz w:val="13"/>
              </w:rPr>
              <w:t>6,41</w:t>
            </w:r>
          </w:p>
        </w:tc>
        <w:tc>
          <w:tcPr>
            <w:tcW w:w="496" w:type="dxa"/>
            <w:tcBorders>
              <w:top w:val="single" w:sz="8" w:space="0" w:color="000000"/>
              <w:left w:val="single" w:sz="8" w:space="0" w:color="000000"/>
              <w:bottom w:val="nil"/>
              <w:right w:val="single" w:sz="8" w:space="0" w:color="000000"/>
            </w:tcBorders>
          </w:tcPr>
          <w:p>
            <w:pPr>
              <w:pStyle w:val="TableParagraph"/>
              <w:spacing w:before="65"/>
              <w:ind w:left="25" w:right="22"/>
              <w:jc w:val="center"/>
              <w:rPr>
                <w:sz w:val="13"/>
              </w:rPr>
            </w:pPr>
            <w:r>
              <w:rPr>
                <w:color w:val="221F1F"/>
                <w:w w:val="105"/>
                <w:sz w:val="13"/>
              </w:rPr>
              <w:t>4,92</w:t>
            </w:r>
          </w:p>
        </w:tc>
        <w:tc>
          <w:tcPr>
            <w:tcW w:w="484" w:type="dxa"/>
            <w:tcBorders>
              <w:top w:val="single" w:sz="8" w:space="0" w:color="000000"/>
              <w:left w:val="single" w:sz="8" w:space="0" w:color="000000"/>
              <w:bottom w:val="nil"/>
              <w:right w:val="single" w:sz="8" w:space="0" w:color="000000"/>
            </w:tcBorders>
          </w:tcPr>
          <w:p>
            <w:pPr>
              <w:pStyle w:val="TableParagraph"/>
              <w:spacing w:before="65"/>
              <w:ind w:left="113"/>
              <w:rPr>
                <w:sz w:val="13"/>
              </w:rPr>
            </w:pPr>
            <w:r>
              <w:rPr>
                <w:color w:val="221F1F"/>
                <w:w w:val="105"/>
                <w:sz w:val="13"/>
              </w:rPr>
              <w:t>7,77</w:t>
            </w:r>
          </w:p>
        </w:tc>
        <w:tc>
          <w:tcPr>
            <w:tcW w:w="486" w:type="dxa"/>
            <w:tcBorders>
              <w:top w:val="single" w:sz="8" w:space="0" w:color="000000"/>
              <w:left w:val="single" w:sz="8" w:space="0" w:color="000000"/>
              <w:bottom w:val="nil"/>
              <w:right w:val="single" w:sz="8" w:space="0" w:color="000000"/>
            </w:tcBorders>
          </w:tcPr>
          <w:p>
            <w:pPr>
              <w:pStyle w:val="TableParagraph"/>
              <w:spacing w:before="65"/>
              <w:ind w:left="115"/>
              <w:rPr>
                <w:sz w:val="13"/>
              </w:rPr>
            </w:pPr>
            <w:r>
              <w:rPr>
                <w:color w:val="221F1F"/>
                <w:w w:val="105"/>
                <w:sz w:val="13"/>
              </w:rPr>
              <w:t>9,73</w:t>
            </w:r>
          </w:p>
        </w:tc>
        <w:tc>
          <w:tcPr>
            <w:tcW w:w="487" w:type="dxa"/>
            <w:tcBorders>
              <w:top w:val="single" w:sz="8" w:space="0" w:color="000000"/>
              <w:left w:val="single" w:sz="8" w:space="0" w:color="000000"/>
              <w:bottom w:val="nil"/>
              <w:right w:val="single" w:sz="8" w:space="0" w:color="000000"/>
            </w:tcBorders>
          </w:tcPr>
          <w:p>
            <w:pPr>
              <w:pStyle w:val="TableParagraph"/>
              <w:spacing w:before="65"/>
              <w:ind w:left="78"/>
              <w:rPr>
                <w:sz w:val="13"/>
              </w:rPr>
            </w:pPr>
            <w:r>
              <w:rPr>
                <w:color w:val="221F1F"/>
                <w:w w:val="105"/>
                <w:sz w:val="13"/>
              </w:rPr>
              <w:t>10,35</w:t>
            </w:r>
          </w:p>
        </w:tc>
        <w:tc>
          <w:tcPr>
            <w:tcW w:w="486" w:type="dxa"/>
            <w:tcBorders>
              <w:top w:val="single" w:sz="8" w:space="0" w:color="000000"/>
              <w:left w:val="single" w:sz="8" w:space="0" w:color="000000"/>
              <w:bottom w:val="nil"/>
              <w:right w:val="single" w:sz="8" w:space="0" w:color="000000"/>
            </w:tcBorders>
          </w:tcPr>
          <w:p>
            <w:pPr>
              <w:pStyle w:val="TableParagraph"/>
              <w:spacing w:before="65"/>
              <w:ind w:left="112"/>
              <w:rPr>
                <w:sz w:val="13"/>
              </w:rPr>
            </w:pPr>
            <w:r>
              <w:rPr>
                <w:color w:val="221F1F"/>
                <w:w w:val="105"/>
                <w:sz w:val="13"/>
              </w:rPr>
              <w:t>6,98</w:t>
            </w:r>
          </w:p>
        </w:tc>
        <w:tc>
          <w:tcPr>
            <w:tcW w:w="492" w:type="dxa"/>
            <w:tcBorders>
              <w:top w:val="single" w:sz="8" w:space="0" w:color="000000"/>
              <w:left w:val="single" w:sz="8" w:space="0" w:color="000000"/>
              <w:bottom w:val="nil"/>
              <w:right w:val="single" w:sz="8" w:space="0" w:color="000000"/>
            </w:tcBorders>
          </w:tcPr>
          <w:p>
            <w:pPr>
              <w:pStyle w:val="TableParagraph"/>
              <w:spacing w:before="65"/>
              <w:ind w:left="113"/>
              <w:rPr>
                <w:sz w:val="13"/>
              </w:rPr>
            </w:pPr>
            <w:r>
              <w:rPr>
                <w:w w:val="105"/>
                <w:sz w:val="13"/>
              </w:rPr>
              <w:t>1,65</w:t>
            </w:r>
          </w:p>
        </w:tc>
      </w:tr>
      <w:tr>
        <w:trPr>
          <w:trHeight w:val="288" w:hRule="atLeast"/>
        </w:trPr>
        <w:tc>
          <w:tcPr>
            <w:tcW w:w="1290" w:type="dxa"/>
            <w:tcBorders>
              <w:top w:val="nil"/>
              <w:bottom w:val="nil"/>
              <w:right w:val="single" w:sz="8" w:space="0" w:color="000000"/>
            </w:tcBorders>
          </w:tcPr>
          <w:p>
            <w:pPr>
              <w:pStyle w:val="TableParagraph"/>
              <w:spacing w:before="54"/>
              <w:ind w:left="113"/>
              <w:rPr>
                <w:b/>
                <w:sz w:val="13"/>
              </w:rPr>
            </w:pPr>
            <w:r>
              <w:rPr>
                <w:b/>
                <w:w w:val="105"/>
                <w:sz w:val="13"/>
              </w:rPr>
              <w:t>FUNCATRA</w:t>
            </w:r>
          </w:p>
        </w:tc>
        <w:tc>
          <w:tcPr>
            <w:tcW w:w="487" w:type="dxa"/>
            <w:tcBorders>
              <w:top w:val="nil"/>
              <w:left w:val="single" w:sz="8" w:space="0" w:color="000000"/>
              <w:bottom w:val="nil"/>
              <w:right w:val="single" w:sz="8" w:space="0" w:color="000000"/>
            </w:tcBorders>
          </w:tcPr>
          <w:p>
            <w:pPr>
              <w:pStyle w:val="TableParagraph"/>
              <w:spacing w:before="54"/>
              <w:ind w:left="82"/>
              <w:rPr>
                <w:sz w:val="13"/>
              </w:rPr>
            </w:pPr>
            <w:r>
              <w:rPr>
                <w:color w:val="221F1F"/>
                <w:w w:val="105"/>
                <w:sz w:val="13"/>
              </w:rPr>
              <w:t>13,19</w:t>
            </w:r>
          </w:p>
        </w:tc>
        <w:tc>
          <w:tcPr>
            <w:tcW w:w="484" w:type="dxa"/>
            <w:tcBorders>
              <w:top w:val="nil"/>
              <w:left w:val="single" w:sz="8" w:space="0" w:color="000000"/>
              <w:bottom w:val="nil"/>
              <w:right w:val="single" w:sz="8" w:space="0" w:color="000000"/>
            </w:tcBorders>
          </w:tcPr>
          <w:p>
            <w:pPr>
              <w:pStyle w:val="TableParagraph"/>
              <w:spacing w:before="54"/>
              <w:ind w:left="81"/>
              <w:rPr>
                <w:sz w:val="13"/>
              </w:rPr>
            </w:pPr>
            <w:r>
              <w:rPr>
                <w:color w:val="221F1F"/>
                <w:w w:val="105"/>
                <w:sz w:val="13"/>
              </w:rPr>
              <w:t>11,23</w:t>
            </w:r>
          </w:p>
        </w:tc>
        <w:tc>
          <w:tcPr>
            <w:tcW w:w="486" w:type="dxa"/>
            <w:tcBorders>
              <w:top w:val="nil"/>
              <w:left w:val="single" w:sz="8" w:space="0" w:color="000000"/>
              <w:bottom w:val="nil"/>
              <w:right w:val="single" w:sz="8" w:space="0" w:color="000000"/>
            </w:tcBorders>
          </w:tcPr>
          <w:p>
            <w:pPr>
              <w:pStyle w:val="TableParagraph"/>
              <w:spacing w:before="54"/>
              <w:ind w:left="40" w:right="32"/>
              <w:jc w:val="center"/>
              <w:rPr>
                <w:sz w:val="13"/>
              </w:rPr>
            </w:pPr>
            <w:r>
              <w:rPr>
                <w:color w:val="221F1F"/>
                <w:w w:val="105"/>
                <w:sz w:val="13"/>
              </w:rPr>
              <w:t>9,27</w:t>
            </w:r>
          </w:p>
        </w:tc>
        <w:tc>
          <w:tcPr>
            <w:tcW w:w="486" w:type="dxa"/>
            <w:tcBorders>
              <w:top w:val="nil"/>
              <w:left w:val="single" w:sz="8" w:space="0" w:color="000000"/>
              <w:bottom w:val="nil"/>
              <w:right w:val="single" w:sz="8" w:space="0" w:color="000000"/>
            </w:tcBorders>
          </w:tcPr>
          <w:p>
            <w:pPr>
              <w:pStyle w:val="TableParagraph"/>
              <w:spacing w:before="54"/>
              <w:ind w:left="35" w:right="32"/>
              <w:jc w:val="center"/>
              <w:rPr>
                <w:sz w:val="13"/>
              </w:rPr>
            </w:pPr>
            <w:r>
              <w:rPr>
                <w:color w:val="221F1F"/>
                <w:w w:val="105"/>
                <w:sz w:val="13"/>
              </w:rPr>
              <w:t>8,99</w:t>
            </w:r>
          </w:p>
        </w:tc>
        <w:tc>
          <w:tcPr>
            <w:tcW w:w="486" w:type="dxa"/>
            <w:tcBorders>
              <w:top w:val="nil"/>
              <w:left w:val="single" w:sz="8" w:space="0" w:color="000000"/>
              <w:bottom w:val="nil"/>
              <w:right w:val="single" w:sz="8" w:space="0" w:color="000000"/>
            </w:tcBorders>
          </w:tcPr>
          <w:p>
            <w:pPr>
              <w:pStyle w:val="TableParagraph"/>
              <w:spacing w:before="54"/>
              <w:ind w:left="34" w:right="32"/>
              <w:jc w:val="center"/>
              <w:rPr>
                <w:sz w:val="13"/>
              </w:rPr>
            </w:pPr>
            <w:r>
              <w:rPr>
                <w:color w:val="221F1F"/>
                <w:w w:val="105"/>
                <w:sz w:val="13"/>
              </w:rPr>
              <w:t>10,15</w:t>
            </w:r>
          </w:p>
        </w:tc>
        <w:tc>
          <w:tcPr>
            <w:tcW w:w="496" w:type="dxa"/>
            <w:tcBorders>
              <w:top w:val="nil"/>
              <w:left w:val="single" w:sz="8" w:space="0" w:color="000000"/>
              <w:bottom w:val="nil"/>
              <w:right w:val="single" w:sz="8" w:space="0" w:color="000000"/>
            </w:tcBorders>
          </w:tcPr>
          <w:p>
            <w:pPr>
              <w:pStyle w:val="TableParagraph"/>
              <w:spacing w:before="54"/>
              <w:ind w:left="26" w:right="22"/>
              <w:jc w:val="center"/>
              <w:rPr>
                <w:sz w:val="13"/>
              </w:rPr>
            </w:pPr>
            <w:r>
              <w:rPr>
                <w:color w:val="221F1F"/>
                <w:w w:val="105"/>
                <w:sz w:val="13"/>
              </w:rPr>
              <w:t>9,58</w:t>
            </w:r>
          </w:p>
        </w:tc>
        <w:tc>
          <w:tcPr>
            <w:tcW w:w="496" w:type="dxa"/>
            <w:tcBorders>
              <w:top w:val="nil"/>
              <w:left w:val="single" w:sz="8" w:space="0" w:color="000000"/>
              <w:bottom w:val="nil"/>
              <w:right w:val="single" w:sz="8" w:space="0" w:color="000000"/>
            </w:tcBorders>
          </w:tcPr>
          <w:p>
            <w:pPr>
              <w:pStyle w:val="TableParagraph"/>
              <w:spacing w:before="54"/>
              <w:ind w:left="25" w:right="22"/>
              <w:jc w:val="center"/>
              <w:rPr>
                <w:sz w:val="13"/>
              </w:rPr>
            </w:pPr>
            <w:r>
              <w:rPr>
                <w:color w:val="221F1F"/>
                <w:w w:val="105"/>
                <w:sz w:val="13"/>
              </w:rPr>
              <w:t>9,28</w:t>
            </w:r>
          </w:p>
        </w:tc>
        <w:tc>
          <w:tcPr>
            <w:tcW w:w="484" w:type="dxa"/>
            <w:tcBorders>
              <w:top w:val="nil"/>
              <w:left w:val="single" w:sz="8" w:space="0" w:color="000000"/>
              <w:bottom w:val="nil"/>
              <w:right w:val="single" w:sz="8" w:space="0" w:color="000000"/>
            </w:tcBorders>
          </w:tcPr>
          <w:p>
            <w:pPr>
              <w:pStyle w:val="TableParagraph"/>
              <w:spacing w:before="54"/>
              <w:ind w:left="113"/>
              <w:rPr>
                <w:sz w:val="13"/>
              </w:rPr>
            </w:pPr>
            <w:r>
              <w:rPr>
                <w:color w:val="221F1F"/>
                <w:w w:val="105"/>
                <w:sz w:val="13"/>
              </w:rPr>
              <w:t>9,59</w:t>
            </w:r>
          </w:p>
        </w:tc>
        <w:tc>
          <w:tcPr>
            <w:tcW w:w="486" w:type="dxa"/>
            <w:tcBorders>
              <w:top w:val="nil"/>
              <w:left w:val="single" w:sz="8" w:space="0" w:color="000000"/>
              <w:bottom w:val="nil"/>
              <w:right w:val="single" w:sz="8" w:space="0" w:color="000000"/>
            </w:tcBorders>
          </w:tcPr>
          <w:p>
            <w:pPr>
              <w:pStyle w:val="TableParagraph"/>
              <w:spacing w:before="54"/>
              <w:ind w:left="81"/>
              <w:rPr>
                <w:sz w:val="13"/>
              </w:rPr>
            </w:pPr>
            <w:r>
              <w:rPr>
                <w:color w:val="221F1F"/>
                <w:w w:val="105"/>
                <w:sz w:val="13"/>
              </w:rPr>
              <w:t>12,04</w:t>
            </w:r>
          </w:p>
        </w:tc>
        <w:tc>
          <w:tcPr>
            <w:tcW w:w="487" w:type="dxa"/>
            <w:tcBorders>
              <w:top w:val="nil"/>
              <w:left w:val="single" w:sz="8" w:space="0" w:color="000000"/>
              <w:bottom w:val="nil"/>
              <w:right w:val="single" w:sz="8" w:space="0" w:color="000000"/>
            </w:tcBorders>
          </w:tcPr>
          <w:p>
            <w:pPr>
              <w:pStyle w:val="TableParagraph"/>
              <w:spacing w:before="54"/>
              <w:ind w:left="78"/>
              <w:rPr>
                <w:sz w:val="13"/>
              </w:rPr>
            </w:pPr>
            <w:r>
              <w:rPr>
                <w:color w:val="221F1F"/>
                <w:w w:val="105"/>
                <w:sz w:val="13"/>
              </w:rPr>
              <w:t>10,33</w:t>
            </w:r>
          </w:p>
        </w:tc>
        <w:tc>
          <w:tcPr>
            <w:tcW w:w="486" w:type="dxa"/>
            <w:tcBorders>
              <w:top w:val="nil"/>
              <w:left w:val="single" w:sz="8" w:space="0" w:color="000000"/>
              <w:bottom w:val="nil"/>
              <w:right w:val="single" w:sz="8" w:space="0" w:color="000000"/>
            </w:tcBorders>
          </w:tcPr>
          <w:p>
            <w:pPr>
              <w:pStyle w:val="TableParagraph"/>
              <w:spacing w:before="54"/>
              <w:ind w:left="78"/>
              <w:rPr>
                <w:sz w:val="13"/>
              </w:rPr>
            </w:pPr>
            <w:r>
              <w:rPr>
                <w:color w:val="221F1F"/>
                <w:w w:val="105"/>
                <w:sz w:val="13"/>
              </w:rPr>
              <w:t>13,36</w:t>
            </w:r>
          </w:p>
        </w:tc>
        <w:tc>
          <w:tcPr>
            <w:tcW w:w="492" w:type="dxa"/>
            <w:tcBorders>
              <w:top w:val="nil"/>
              <w:left w:val="single" w:sz="8" w:space="0" w:color="000000"/>
              <w:bottom w:val="nil"/>
              <w:right w:val="single" w:sz="8" w:space="0" w:color="000000"/>
            </w:tcBorders>
          </w:tcPr>
          <w:p>
            <w:pPr>
              <w:pStyle w:val="TableParagraph"/>
              <w:spacing w:before="54"/>
              <w:ind w:left="113"/>
              <w:rPr>
                <w:sz w:val="13"/>
              </w:rPr>
            </w:pPr>
            <w:r>
              <w:rPr>
                <w:w w:val="105"/>
                <w:sz w:val="13"/>
              </w:rPr>
              <w:t>8,69</w:t>
            </w:r>
          </w:p>
        </w:tc>
      </w:tr>
      <w:tr>
        <w:trPr>
          <w:trHeight w:val="289" w:hRule="atLeast"/>
        </w:trPr>
        <w:tc>
          <w:tcPr>
            <w:tcW w:w="1290" w:type="dxa"/>
            <w:tcBorders>
              <w:top w:val="nil"/>
              <w:bottom w:val="nil"/>
              <w:right w:val="single" w:sz="8" w:space="0" w:color="000000"/>
            </w:tcBorders>
          </w:tcPr>
          <w:p>
            <w:pPr>
              <w:pStyle w:val="TableParagraph"/>
              <w:spacing w:before="54"/>
              <w:ind w:left="113"/>
              <w:rPr>
                <w:b/>
                <w:sz w:val="13"/>
              </w:rPr>
            </w:pPr>
            <w:r>
              <w:rPr>
                <w:b/>
                <w:w w:val="105"/>
                <w:sz w:val="13"/>
              </w:rPr>
              <w:t>IDEO</w:t>
            </w:r>
          </w:p>
        </w:tc>
        <w:tc>
          <w:tcPr>
            <w:tcW w:w="487" w:type="dxa"/>
            <w:tcBorders>
              <w:top w:val="nil"/>
              <w:left w:val="single" w:sz="8" w:space="0" w:color="000000"/>
              <w:bottom w:val="nil"/>
              <w:right w:val="single" w:sz="8" w:space="0" w:color="000000"/>
            </w:tcBorders>
          </w:tcPr>
          <w:p>
            <w:pPr>
              <w:pStyle w:val="TableParagraph"/>
              <w:spacing w:before="54"/>
              <w:ind w:left="82"/>
              <w:rPr>
                <w:sz w:val="13"/>
              </w:rPr>
            </w:pPr>
            <w:r>
              <w:rPr>
                <w:color w:val="221F1F"/>
                <w:w w:val="105"/>
                <w:sz w:val="13"/>
              </w:rPr>
              <w:t>19,98</w:t>
            </w:r>
          </w:p>
        </w:tc>
        <w:tc>
          <w:tcPr>
            <w:tcW w:w="484" w:type="dxa"/>
            <w:tcBorders>
              <w:top w:val="nil"/>
              <w:left w:val="single" w:sz="8" w:space="0" w:color="000000"/>
              <w:bottom w:val="nil"/>
              <w:right w:val="single" w:sz="8" w:space="0" w:color="000000"/>
            </w:tcBorders>
          </w:tcPr>
          <w:p>
            <w:pPr>
              <w:pStyle w:val="TableParagraph"/>
              <w:spacing w:before="54"/>
              <w:ind w:left="81"/>
              <w:rPr>
                <w:sz w:val="13"/>
              </w:rPr>
            </w:pPr>
            <w:r>
              <w:rPr>
                <w:color w:val="221F1F"/>
                <w:w w:val="105"/>
                <w:sz w:val="13"/>
              </w:rPr>
              <w:t>16,38</w:t>
            </w:r>
          </w:p>
        </w:tc>
        <w:tc>
          <w:tcPr>
            <w:tcW w:w="486" w:type="dxa"/>
            <w:tcBorders>
              <w:top w:val="nil"/>
              <w:left w:val="single" w:sz="8" w:space="0" w:color="000000"/>
              <w:bottom w:val="nil"/>
              <w:right w:val="single" w:sz="8" w:space="0" w:color="000000"/>
            </w:tcBorders>
          </w:tcPr>
          <w:p>
            <w:pPr>
              <w:pStyle w:val="TableParagraph"/>
              <w:spacing w:before="54"/>
              <w:ind w:left="40" w:right="32"/>
              <w:jc w:val="center"/>
              <w:rPr>
                <w:sz w:val="13"/>
              </w:rPr>
            </w:pPr>
            <w:r>
              <w:rPr>
                <w:color w:val="221F1F"/>
                <w:w w:val="105"/>
                <w:sz w:val="13"/>
              </w:rPr>
              <w:t>15,16</w:t>
            </w:r>
          </w:p>
        </w:tc>
        <w:tc>
          <w:tcPr>
            <w:tcW w:w="486" w:type="dxa"/>
            <w:tcBorders>
              <w:top w:val="nil"/>
              <w:left w:val="single" w:sz="8" w:space="0" w:color="000000"/>
              <w:bottom w:val="nil"/>
              <w:right w:val="single" w:sz="8" w:space="0" w:color="000000"/>
            </w:tcBorders>
          </w:tcPr>
          <w:p>
            <w:pPr>
              <w:pStyle w:val="TableParagraph"/>
              <w:spacing w:before="54"/>
              <w:ind w:left="35" w:right="32"/>
              <w:jc w:val="center"/>
              <w:rPr>
                <w:sz w:val="13"/>
              </w:rPr>
            </w:pPr>
            <w:r>
              <w:rPr>
                <w:color w:val="221F1F"/>
                <w:w w:val="105"/>
                <w:sz w:val="13"/>
              </w:rPr>
              <w:t>18,11</w:t>
            </w:r>
          </w:p>
        </w:tc>
        <w:tc>
          <w:tcPr>
            <w:tcW w:w="486" w:type="dxa"/>
            <w:tcBorders>
              <w:top w:val="nil"/>
              <w:left w:val="single" w:sz="8" w:space="0" w:color="000000"/>
              <w:bottom w:val="nil"/>
              <w:right w:val="single" w:sz="8" w:space="0" w:color="000000"/>
            </w:tcBorders>
          </w:tcPr>
          <w:p>
            <w:pPr>
              <w:pStyle w:val="TableParagraph"/>
              <w:spacing w:before="54"/>
              <w:ind w:left="34" w:right="32"/>
              <w:jc w:val="center"/>
              <w:rPr>
                <w:sz w:val="13"/>
              </w:rPr>
            </w:pPr>
            <w:r>
              <w:rPr>
                <w:color w:val="221F1F"/>
                <w:w w:val="105"/>
                <w:sz w:val="13"/>
              </w:rPr>
              <w:t>14,31</w:t>
            </w:r>
          </w:p>
        </w:tc>
        <w:tc>
          <w:tcPr>
            <w:tcW w:w="496" w:type="dxa"/>
            <w:tcBorders>
              <w:top w:val="nil"/>
              <w:left w:val="single" w:sz="8" w:space="0" w:color="000000"/>
              <w:bottom w:val="nil"/>
              <w:right w:val="single" w:sz="8" w:space="0" w:color="000000"/>
            </w:tcBorders>
          </w:tcPr>
          <w:p>
            <w:pPr>
              <w:pStyle w:val="TableParagraph"/>
              <w:spacing w:before="54"/>
              <w:ind w:left="26" w:right="22"/>
              <w:jc w:val="center"/>
              <w:rPr>
                <w:sz w:val="13"/>
              </w:rPr>
            </w:pPr>
            <w:r>
              <w:rPr>
                <w:color w:val="221F1F"/>
                <w:w w:val="105"/>
                <w:sz w:val="13"/>
              </w:rPr>
              <w:t>18,64</w:t>
            </w:r>
          </w:p>
        </w:tc>
        <w:tc>
          <w:tcPr>
            <w:tcW w:w="496" w:type="dxa"/>
            <w:tcBorders>
              <w:top w:val="nil"/>
              <w:left w:val="single" w:sz="8" w:space="0" w:color="000000"/>
              <w:bottom w:val="nil"/>
              <w:right w:val="single" w:sz="8" w:space="0" w:color="000000"/>
            </w:tcBorders>
          </w:tcPr>
          <w:p>
            <w:pPr>
              <w:pStyle w:val="TableParagraph"/>
              <w:spacing w:before="54"/>
              <w:ind w:left="26" w:right="22"/>
              <w:jc w:val="center"/>
              <w:rPr>
                <w:sz w:val="13"/>
              </w:rPr>
            </w:pPr>
            <w:r>
              <w:rPr>
                <w:color w:val="221F1F"/>
                <w:w w:val="105"/>
                <w:sz w:val="13"/>
              </w:rPr>
              <w:t>16,74</w:t>
            </w:r>
          </w:p>
        </w:tc>
        <w:tc>
          <w:tcPr>
            <w:tcW w:w="484" w:type="dxa"/>
            <w:tcBorders>
              <w:top w:val="nil"/>
              <w:left w:val="single" w:sz="8" w:space="0" w:color="000000"/>
              <w:bottom w:val="nil"/>
              <w:right w:val="single" w:sz="8" w:space="0" w:color="000000"/>
            </w:tcBorders>
          </w:tcPr>
          <w:p>
            <w:pPr>
              <w:pStyle w:val="TableParagraph"/>
              <w:spacing w:before="54"/>
              <w:ind w:left="79"/>
              <w:rPr>
                <w:sz w:val="13"/>
              </w:rPr>
            </w:pPr>
            <w:r>
              <w:rPr>
                <w:color w:val="221F1F"/>
                <w:w w:val="105"/>
                <w:sz w:val="13"/>
              </w:rPr>
              <w:t>15,45</w:t>
            </w:r>
          </w:p>
        </w:tc>
        <w:tc>
          <w:tcPr>
            <w:tcW w:w="486" w:type="dxa"/>
            <w:tcBorders>
              <w:top w:val="nil"/>
              <w:left w:val="single" w:sz="8" w:space="0" w:color="000000"/>
              <w:bottom w:val="nil"/>
              <w:right w:val="single" w:sz="8" w:space="0" w:color="000000"/>
            </w:tcBorders>
          </w:tcPr>
          <w:p>
            <w:pPr>
              <w:pStyle w:val="TableParagraph"/>
              <w:spacing w:before="54"/>
              <w:ind w:left="81"/>
              <w:rPr>
                <w:sz w:val="13"/>
              </w:rPr>
            </w:pPr>
            <w:r>
              <w:rPr>
                <w:color w:val="221F1F"/>
                <w:w w:val="105"/>
                <w:sz w:val="13"/>
              </w:rPr>
              <w:t>16,78</w:t>
            </w:r>
          </w:p>
        </w:tc>
        <w:tc>
          <w:tcPr>
            <w:tcW w:w="487" w:type="dxa"/>
            <w:tcBorders>
              <w:top w:val="nil"/>
              <w:left w:val="single" w:sz="8" w:space="0" w:color="000000"/>
              <w:bottom w:val="nil"/>
              <w:right w:val="single" w:sz="8" w:space="0" w:color="000000"/>
            </w:tcBorders>
          </w:tcPr>
          <w:p>
            <w:pPr>
              <w:pStyle w:val="TableParagraph"/>
              <w:spacing w:before="54"/>
              <w:ind w:left="78"/>
              <w:rPr>
                <w:sz w:val="13"/>
              </w:rPr>
            </w:pPr>
            <w:r>
              <w:rPr>
                <w:color w:val="221F1F"/>
                <w:w w:val="105"/>
                <w:sz w:val="13"/>
              </w:rPr>
              <w:t>14,57</w:t>
            </w:r>
          </w:p>
        </w:tc>
        <w:tc>
          <w:tcPr>
            <w:tcW w:w="486" w:type="dxa"/>
            <w:tcBorders>
              <w:top w:val="nil"/>
              <w:left w:val="single" w:sz="8" w:space="0" w:color="000000"/>
              <w:bottom w:val="nil"/>
              <w:right w:val="single" w:sz="8" w:space="0" w:color="000000"/>
            </w:tcBorders>
          </w:tcPr>
          <w:p>
            <w:pPr>
              <w:pStyle w:val="TableParagraph"/>
              <w:spacing w:before="54"/>
              <w:ind w:left="78"/>
              <w:rPr>
                <w:sz w:val="13"/>
              </w:rPr>
            </w:pPr>
            <w:r>
              <w:rPr>
                <w:color w:val="221F1F"/>
                <w:w w:val="105"/>
                <w:sz w:val="13"/>
              </w:rPr>
              <w:t>21,28</w:t>
            </w:r>
          </w:p>
        </w:tc>
        <w:tc>
          <w:tcPr>
            <w:tcW w:w="492" w:type="dxa"/>
            <w:tcBorders>
              <w:top w:val="nil"/>
              <w:left w:val="single" w:sz="8" w:space="0" w:color="000000"/>
              <w:bottom w:val="nil"/>
              <w:right w:val="single" w:sz="8" w:space="0" w:color="000000"/>
            </w:tcBorders>
          </w:tcPr>
          <w:p>
            <w:pPr>
              <w:pStyle w:val="TableParagraph"/>
              <w:spacing w:before="54"/>
              <w:ind w:left="79"/>
              <w:rPr>
                <w:sz w:val="13"/>
              </w:rPr>
            </w:pPr>
            <w:r>
              <w:rPr>
                <w:w w:val="105"/>
                <w:sz w:val="13"/>
              </w:rPr>
              <w:t>13,94</w:t>
            </w:r>
          </w:p>
        </w:tc>
      </w:tr>
      <w:tr>
        <w:trPr>
          <w:trHeight w:val="289" w:hRule="atLeast"/>
        </w:trPr>
        <w:tc>
          <w:tcPr>
            <w:tcW w:w="1290" w:type="dxa"/>
            <w:tcBorders>
              <w:top w:val="nil"/>
              <w:bottom w:val="nil"/>
              <w:right w:val="single" w:sz="8" w:space="0" w:color="000000"/>
            </w:tcBorders>
          </w:tcPr>
          <w:p>
            <w:pPr>
              <w:pStyle w:val="TableParagraph"/>
              <w:spacing w:before="55"/>
              <w:ind w:left="113"/>
              <w:rPr>
                <w:b/>
                <w:sz w:val="13"/>
              </w:rPr>
            </w:pPr>
            <w:r>
              <w:rPr>
                <w:b/>
                <w:w w:val="105"/>
                <w:sz w:val="13"/>
              </w:rPr>
              <w:t>ACCIÓN SOCIAL</w:t>
            </w:r>
          </w:p>
        </w:tc>
        <w:tc>
          <w:tcPr>
            <w:tcW w:w="487" w:type="dxa"/>
            <w:tcBorders>
              <w:top w:val="nil"/>
              <w:left w:val="single" w:sz="8" w:space="0" w:color="000000"/>
              <w:bottom w:val="nil"/>
              <w:right w:val="single" w:sz="8" w:space="0" w:color="000000"/>
            </w:tcBorders>
          </w:tcPr>
          <w:p>
            <w:pPr>
              <w:pStyle w:val="TableParagraph"/>
              <w:spacing w:before="55"/>
              <w:ind w:left="82"/>
              <w:rPr>
                <w:sz w:val="13"/>
              </w:rPr>
            </w:pPr>
            <w:r>
              <w:rPr>
                <w:color w:val="221F1F"/>
                <w:w w:val="105"/>
                <w:sz w:val="13"/>
              </w:rPr>
              <w:t>15,59</w:t>
            </w:r>
          </w:p>
        </w:tc>
        <w:tc>
          <w:tcPr>
            <w:tcW w:w="484" w:type="dxa"/>
            <w:tcBorders>
              <w:top w:val="nil"/>
              <w:left w:val="single" w:sz="8" w:space="0" w:color="000000"/>
              <w:bottom w:val="nil"/>
              <w:right w:val="single" w:sz="8" w:space="0" w:color="000000"/>
            </w:tcBorders>
          </w:tcPr>
          <w:p>
            <w:pPr>
              <w:pStyle w:val="TableParagraph"/>
              <w:spacing w:before="55"/>
              <w:ind w:left="115"/>
              <w:rPr>
                <w:sz w:val="13"/>
              </w:rPr>
            </w:pPr>
            <w:r>
              <w:rPr>
                <w:color w:val="221F1F"/>
                <w:w w:val="105"/>
                <w:sz w:val="13"/>
              </w:rPr>
              <w:t>0,15</w:t>
            </w:r>
          </w:p>
        </w:tc>
        <w:tc>
          <w:tcPr>
            <w:tcW w:w="486" w:type="dxa"/>
            <w:tcBorders>
              <w:top w:val="nil"/>
              <w:left w:val="single" w:sz="8" w:space="0" w:color="000000"/>
              <w:bottom w:val="nil"/>
              <w:right w:val="single" w:sz="8" w:space="0" w:color="000000"/>
            </w:tcBorders>
          </w:tcPr>
          <w:p>
            <w:pPr>
              <w:pStyle w:val="TableParagraph"/>
              <w:spacing w:before="55"/>
              <w:ind w:left="40" w:right="32"/>
              <w:jc w:val="center"/>
              <w:rPr>
                <w:sz w:val="13"/>
              </w:rPr>
            </w:pPr>
            <w:r>
              <w:rPr>
                <w:color w:val="221F1F"/>
                <w:w w:val="105"/>
                <w:sz w:val="13"/>
              </w:rPr>
              <w:t>1,79</w:t>
            </w:r>
          </w:p>
        </w:tc>
        <w:tc>
          <w:tcPr>
            <w:tcW w:w="486" w:type="dxa"/>
            <w:tcBorders>
              <w:top w:val="nil"/>
              <w:left w:val="single" w:sz="8" w:space="0" w:color="000000"/>
              <w:bottom w:val="nil"/>
              <w:right w:val="single" w:sz="8" w:space="0" w:color="000000"/>
            </w:tcBorders>
          </w:tcPr>
          <w:p>
            <w:pPr>
              <w:pStyle w:val="TableParagraph"/>
              <w:spacing w:before="55"/>
              <w:ind w:left="35" w:right="32"/>
              <w:jc w:val="center"/>
              <w:rPr>
                <w:sz w:val="13"/>
              </w:rPr>
            </w:pPr>
            <w:r>
              <w:rPr>
                <w:color w:val="221F1F"/>
                <w:w w:val="105"/>
                <w:sz w:val="13"/>
              </w:rPr>
              <w:t>8,44</w:t>
            </w:r>
          </w:p>
        </w:tc>
        <w:tc>
          <w:tcPr>
            <w:tcW w:w="486" w:type="dxa"/>
            <w:tcBorders>
              <w:top w:val="nil"/>
              <w:left w:val="single" w:sz="8" w:space="0" w:color="000000"/>
              <w:bottom w:val="nil"/>
              <w:right w:val="single" w:sz="8" w:space="0" w:color="000000"/>
            </w:tcBorders>
          </w:tcPr>
          <w:p>
            <w:pPr>
              <w:pStyle w:val="TableParagraph"/>
              <w:spacing w:before="55"/>
              <w:ind w:left="34" w:right="32"/>
              <w:jc w:val="center"/>
              <w:rPr>
                <w:sz w:val="13"/>
              </w:rPr>
            </w:pPr>
            <w:r>
              <w:rPr>
                <w:color w:val="221F1F"/>
                <w:w w:val="105"/>
                <w:sz w:val="13"/>
              </w:rPr>
              <w:t>9,92</w:t>
            </w:r>
          </w:p>
        </w:tc>
        <w:tc>
          <w:tcPr>
            <w:tcW w:w="496" w:type="dxa"/>
            <w:tcBorders>
              <w:top w:val="nil"/>
              <w:left w:val="single" w:sz="8" w:space="0" w:color="000000"/>
              <w:bottom w:val="nil"/>
              <w:right w:val="single" w:sz="8" w:space="0" w:color="000000"/>
            </w:tcBorders>
          </w:tcPr>
          <w:p>
            <w:pPr>
              <w:pStyle w:val="TableParagraph"/>
              <w:spacing w:before="55"/>
              <w:ind w:left="26" w:right="22"/>
              <w:jc w:val="center"/>
              <w:rPr>
                <w:sz w:val="13"/>
              </w:rPr>
            </w:pPr>
            <w:r>
              <w:rPr>
                <w:color w:val="221F1F"/>
                <w:w w:val="105"/>
                <w:sz w:val="13"/>
              </w:rPr>
              <w:t>5,24</w:t>
            </w:r>
          </w:p>
        </w:tc>
        <w:tc>
          <w:tcPr>
            <w:tcW w:w="496" w:type="dxa"/>
            <w:tcBorders>
              <w:top w:val="nil"/>
              <w:left w:val="single" w:sz="8" w:space="0" w:color="000000"/>
              <w:bottom w:val="nil"/>
              <w:right w:val="single" w:sz="8" w:space="0" w:color="000000"/>
            </w:tcBorders>
          </w:tcPr>
          <w:p>
            <w:pPr>
              <w:pStyle w:val="TableParagraph"/>
              <w:spacing w:before="55"/>
              <w:ind w:left="25" w:right="22"/>
              <w:jc w:val="center"/>
              <w:rPr>
                <w:sz w:val="13"/>
              </w:rPr>
            </w:pPr>
            <w:r>
              <w:rPr>
                <w:color w:val="221F1F"/>
                <w:w w:val="105"/>
                <w:sz w:val="13"/>
              </w:rPr>
              <w:t>9,67</w:t>
            </w:r>
          </w:p>
        </w:tc>
        <w:tc>
          <w:tcPr>
            <w:tcW w:w="484" w:type="dxa"/>
            <w:tcBorders>
              <w:top w:val="nil"/>
              <w:left w:val="single" w:sz="8" w:space="0" w:color="000000"/>
              <w:bottom w:val="nil"/>
              <w:right w:val="single" w:sz="8" w:space="0" w:color="000000"/>
            </w:tcBorders>
          </w:tcPr>
          <w:p>
            <w:pPr>
              <w:pStyle w:val="TableParagraph"/>
              <w:spacing w:before="55"/>
              <w:ind w:left="79"/>
              <w:rPr>
                <w:sz w:val="13"/>
              </w:rPr>
            </w:pPr>
            <w:r>
              <w:rPr>
                <w:color w:val="221F1F"/>
                <w:w w:val="105"/>
                <w:sz w:val="13"/>
              </w:rPr>
              <w:t>18,18</w:t>
            </w:r>
          </w:p>
        </w:tc>
        <w:tc>
          <w:tcPr>
            <w:tcW w:w="486" w:type="dxa"/>
            <w:tcBorders>
              <w:top w:val="nil"/>
              <w:left w:val="single" w:sz="8" w:space="0" w:color="000000"/>
              <w:bottom w:val="nil"/>
              <w:right w:val="single" w:sz="8" w:space="0" w:color="000000"/>
            </w:tcBorders>
          </w:tcPr>
          <w:p>
            <w:pPr>
              <w:pStyle w:val="TableParagraph"/>
              <w:spacing w:before="55"/>
              <w:ind w:left="81"/>
              <w:rPr>
                <w:sz w:val="13"/>
              </w:rPr>
            </w:pPr>
            <w:r>
              <w:rPr>
                <w:color w:val="221F1F"/>
                <w:w w:val="105"/>
                <w:sz w:val="13"/>
              </w:rPr>
              <w:t>20,27</w:t>
            </w:r>
          </w:p>
        </w:tc>
        <w:tc>
          <w:tcPr>
            <w:tcW w:w="487" w:type="dxa"/>
            <w:tcBorders>
              <w:top w:val="nil"/>
              <w:left w:val="single" w:sz="8" w:space="0" w:color="000000"/>
              <w:bottom w:val="nil"/>
              <w:right w:val="single" w:sz="8" w:space="0" w:color="000000"/>
            </w:tcBorders>
          </w:tcPr>
          <w:p>
            <w:pPr>
              <w:pStyle w:val="TableParagraph"/>
              <w:spacing w:before="55"/>
              <w:ind w:left="78"/>
              <w:rPr>
                <w:sz w:val="13"/>
              </w:rPr>
            </w:pPr>
            <w:r>
              <w:rPr>
                <w:color w:val="221F1F"/>
                <w:w w:val="105"/>
                <w:sz w:val="13"/>
              </w:rPr>
              <w:t>10,76</w:t>
            </w:r>
          </w:p>
        </w:tc>
        <w:tc>
          <w:tcPr>
            <w:tcW w:w="486" w:type="dxa"/>
            <w:tcBorders>
              <w:top w:val="nil"/>
              <w:left w:val="single" w:sz="8" w:space="0" w:color="000000"/>
              <w:bottom w:val="nil"/>
              <w:right w:val="single" w:sz="8" w:space="0" w:color="000000"/>
            </w:tcBorders>
          </w:tcPr>
          <w:p>
            <w:pPr>
              <w:pStyle w:val="TableParagraph"/>
              <w:spacing w:before="55"/>
              <w:ind w:left="112"/>
              <w:rPr>
                <w:sz w:val="13"/>
              </w:rPr>
            </w:pPr>
            <w:r>
              <w:rPr>
                <w:color w:val="221F1F"/>
                <w:w w:val="105"/>
                <w:sz w:val="13"/>
              </w:rPr>
              <w:t>5,40</w:t>
            </w:r>
          </w:p>
        </w:tc>
        <w:tc>
          <w:tcPr>
            <w:tcW w:w="492" w:type="dxa"/>
            <w:tcBorders>
              <w:top w:val="nil"/>
              <w:left w:val="single" w:sz="8" w:space="0" w:color="000000"/>
              <w:bottom w:val="nil"/>
              <w:right w:val="single" w:sz="8" w:space="0" w:color="000000"/>
            </w:tcBorders>
          </w:tcPr>
          <w:p>
            <w:pPr>
              <w:pStyle w:val="TableParagraph"/>
              <w:spacing w:before="55"/>
              <w:ind w:left="79"/>
              <w:rPr>
                <w:sz w:val="13"/>
              </w:rPr>
            </w:pPr>
            <w:r>
              <w:rPr>
                <w:w w:val="105"/>
                <w:sz w:val="13"/>
              </w:rPr>
              <w:t>20,80</w:t>
            </w:r>
          </w:p>
        </w:tc>
      </w:tr>
      <w:tr>
        <w:trPr>
          <w:trHeight w:val="288" w:hRule="atLeast"/>
        </w:trPr>
        <w:tc>
          <w:tcPr>
            <w:tcW w:w="1290" w:type="dxa"/>
            <w:tcBorders>
              <w:top w:val="nil"/>
              <w:bottom w:val="nil"/>
              <w:right w:val="single" w:sz="8" w:space="0" w:color="000000"/>
            </w:tcBorders>
          </w:tcPr>
          <w:p>
            <w:pPr>
              <w:pStyle w:val="TableParagraph"/>
              <w:spacing w:before="54"/>
              <w:ind w:left="113"/>
              <w:rPr>
                <w:b/>
                <w:sz w:val="13"/>
              </w:rPr>
            </w:pPr>
            <w:r>
              <w:rPr>
                <w:b/>
                <w:w w:val="105"/>
                <w:sz w:val="13"/>
              </w:rPr>
              <w:t>MUSEO</w:t>
            </w:r>
          </w:p>
        </w:tc>
        <w:tc>
          <w:tcPr>
            <w:tcW w:w="487" w:type="dxa"/>
            <w:tcBorders>
              <w:top w:val="nil"/>
              <w:left w:val="single" w:sz="8" w:space="0" w:color="000000"/>
              <w:bottom w:val="nil"/>
              <w:right w:val="single" w:sz="8" w:space="0" w:color="000000"/>
            </w:tcBorders>
          </w:tcPr>
          <w:p>
            <w:pPr>
              <w:pStyle w:val="TableParagraph"/>
              <w:spacing w:before="54"/>
              <w:ind w:left="116"/>
              <w:rPr>
                <w:sz w:val="13"/>
              </w:rPr>
            </w:pPr>
            <w:r>
              <w:rPr>
                <w:color w:val="221F1F"/>
                <w:w w:val="105"/>
                <w:sz w:val="13"/>
              </w:rPr>
              <w:t>8,61</w:t>
            </w:r>
          </w:p>
        </w:tc>
        <w:tc>
          <w:tcPr>
            <w:tcW w:w="484" w:type="dxa"/>
            <w:tcBorders>
              <w:top w:val="nil"/>
              <w:left w:val="single" w:sz="8" w:space="0" w:color="000000"/>
              <w:bottom w:val="nil"/>
              <w:right w:val="single" w:sz="8" w:space="0" w:color="000000"/>
            </w:tcBorders>
          </w:tcPr>
          <w:p>
            <w:pPr>
              <w:pStyle w:val="TableParagraph"/>
              <w:spacing w:before="54"/>
              <w:ind w:left="115"/>
              <w:rPr>
                <w:sz w:val="13"/>
              </w:rPr>
            </w:pPr>
            <w:r>
              <w:rPr>
                <w:color w:val="221F1F"/>
                <w:w w:val="105"/>
                <w:sz w:val="13"/>
              </w:rPr>
              <w:t>3,50</w:t>
            </w:r>
          </w:p>
        </w:tc>
        <w:tc>
          <w:tcPr>
            <w:tcW w:w="486" w:type="dxa"/>
            <w:tcBorders>
              <w:top w:val="nil"/>
              <w:left w:val="single" w:sz="8" w:space="0" w:color="000000"/>
              <w:bottom w:val="nil"/>
              <w:right w:val="single" w:sz="8" w:space="0" w:color="000000"/>
            </w:tcBorders>
          </w:tcPr>
          <w:p>
            <w:pPr>
              <w:pStyle w:val="TableParagraph"/>
              <w:spacing w:before="54"/>
              <w:ind w:left="40" w:right="32"/>
              <w:jc w:val="center"/>
              <w:rPr>
                <w:sz w:val="13"/>
              </w:rPr>
            </w:pPr>
            <w:r>
              <w:rPr>
                <w:color w:val="221F1F"/>
                <w:w w:val="105"/>
                <w:sz w:val="13"/>
              </w:rPr>
              <w:t>2,24</w:t>
            </w:r>
          </w:p>
        </w:tc>
        <w:tc>
          <w:tcPr>
            <w:tcW w:w="486" w:type="dxa"/>
            <w:tcBorders>
              <w:top w:val="nil"/>
              <w:left w:val="single" w:sz="8" w:space="0" w:color="000000"/>
              <w:bottom w:val="nil"/>
              <w:right w:val="single" w:sz="8" w:space="0" w:color="000000"/>
            </w:tcBorders>
          </w:tcPr>
          <w:p>
            <w:pPr>
              <w:pStyle w:val="TableParagraph"/>
              <w:spacing w:before="54"/>
              <w:ind w:left="35" w:right="32"/>
              <w:jc w:val="center"/>
              <w:rPr>
                <w:sz w:val="13"/>
              </w:rPr>
            </w:pPr>
            <w:r>
              <w:rPr>
                <w:color w:val="221F1F"/>
                <w:w w:val="105"/>
                <w:sz w:val="13"/>
              </w:rPr>
              <w:t>3,40</w:t>
            </w:r>
          </w:p>
        </w:tc>
        <w:tc>
          <w:tcPr>
            <w:tcW w:w="486" w:type="dxa"/>
            <w:tcBorders>
              <w:top w:val="nil"/>
              <w:left w:val="single" w:sz="8" w:space="0" w:color="000000"/>
              <w:bottom w:val="nil"/>
              <w:right w:val="single" w:sz="8" w:space="0" w:color="000000"/>
            </w:tcBorders>
          </w:tcPr>
          <w:p>
            <w:pPr>
              <w:pStyle w:val="TableParagraph"/>
              <w:spacing w:before="54"/>
              <w:ind w:left="34" w:right="32"/>
              <w:jc w:val="center"/>
              <w:rPr>
                <w:sz w:val="13"/>
              </w:rPr>
            </w:pPr>
            <w:r>
              <w:rPr>
                <w:color w:val="221F1F"/>
                <w:w w:val="105"/>
                <w:sz w:val="13"/>
              </w:rPr>
              <w:t>2,80</w:t>
            </w:r>
          </w:p>
        </w:tc>
        <w:tc>
          <w:tcPr>
            <w:tcW w:w="496" w:type="dxa"/>
            <w:tcBorders>
              <w:top w:val="nil"/>
              <w:left w:val="single" w:sz="8" w:space="0" w:color="000000"/>
              <w:bottom w:val="nil"/>
              <w:right w:val="single" w:sz="8" w:space="0" w:color="000000"/>
            </w:tcBorders>
          </w:tcPr>
          <w:p>
            <w:pPr>
              <w:pStyle w:val="TableParagraph"/>
              <w:spacing w:before="54"/>
              <w:ind w:left="26" w:right="22"/>
              <w:jc w:val="center"/>
              <w:rPr>
                <w:sz w:val="13"/>
              </w:rPr>
            </w:pPr>
            <w:r>
              <w:rPr>
                <w:color w:val="221F1F"/>
                <w:w w:val="105"/>
                <w:sz w:val="13"/>
              </w:rPr>
              <w:t>11,64</w:t>
            </w:r>
          </w:p>
        </w:tc>
        <w:tc>
          <w:tcPr>
            <w:tcW w:w="496" w:type="dxa"/>
            <w:tcBorders>
              <w:top w:val="nil"/>
              <w:left w:val="single" w:sz="8" w:space="0" w:color="000000"/>
              <w:bottom w:val="nil"/>
              <w:right w:val="single" w:sz="8" w:space="0" w:color="000000"/>
            </w:tcBorders>
          </w:tcPr>
          <w:p>
            <w:pPr>
              <w:pStyle w:val="TableParagraph"/>
              <w:spacing w:before="54"/>
              <w:ind w:left="26" w:right="22"/>
              <w:jc w:val="center"/>
              <w:rPr>
                <w:sz w:val="13"/>
              </w:rPr>
            </w:pPr>
            <w:r>
              <w:rPr>
                <w:color w:val="221F1F"/>
                <w:w w:val="105"/>
                <w:sz w:val="13"/>
              </w:rPr>
              <w:t>19,31</w:t>
            </w:r>
          </w:p>
        </w:tc>
        <w:tc>
          <w:tcPr>
            <w:tcW w:w="484" w:type="dxa"/>
            <w:tcBorders>
              <w:top w:val="nil"/>
              <w:left w:val="single" w:sz="8" w:space="0" w:color="000000"/>
              <w:bottom w:val="nil"/>
              <w:right w:val="single" w:sz="8" w:space="0" w:color="000000"/>
            </w:tcBorders>
          </w:tcPr>
          <w:p>
            <w:pPr>
              <w:pStyle w:val="TableParagraph"/>
              <w:spacing w:before="54"/>
              <w:ind w:left="113"/>
              <w:rPr>
                <w:sz w:val="13"/>
              </w:rPr>
            </w:pPr>
            <w:r>
              <w:rPr>
                <w:color w:val="221F1F"/>
                <w:w w:val="105"/>
                <w:sz w:val="13"/>
              </w:rPr>
              <w:t>2,33</w:t>
            </w:r>
          </w:p>
        </w:tc>
        <w:tc>
          <w:tcPr>
            <w:tcW w:w="486" w:type="dxa"/>
            <w:tcBorders>
              <w:top w:val="nil"/>
              <w:left w:val="single" w:sz="8" w:space="0" w:color="000000"/>
              <w:bottom w:val="nil"/>
              <w:right w:val="single" w:sz="8" w:space="0" w:color="000000"/>
            </w:tcBorders>
          </w:tcPr>
          <w:p>
            <w:pPr>
              <w:pStyle w:val="TableParagraph"/>
              <w:spacing w:before="54"/>
              <w:ind w:left="115"/>
              <w:rPr>
                <w:sz w:val="13"/>
              </w:rPr>
            </w:pPr>
            <w:r>
              <w:rPr>
                <w:color w:val="221F1F"/>
                <w:w w:val="105"/>
                <w:sz w:val="13"/>
              </w:rPr>
              <w:t>2,41</w:t>
            </w:r>
          </w:p>
        </w:tc>
        <w:tc>
          <w:tcPr>
            <w:tcW w:w="487" w:type="dxa"/>
            <w:tcBorders>
              <w:top w:val="nil"/>
              <w:left w:val="single" w:sz="8" w:space="0" w:color="000000"/>
              <w:bottom w:val="nil"/>
              <w:right w:val="single" w:sz="8" w:space="0" w:color="000000"/>
            </w:tcBorders>
          </w:tcPr>
          <w:p>
            <w:pPr>
              <w:pStyle w:val="TableParagraph"/>
              <w:spacing w:before="54"/>
              <w:ind w:left="113"/>
              <w:rPr>
                <w:sz w:val="13"/>
              </w:rPr>
            </w:pPr>
            <w:r>
              <w:rPr>
                <w:color w:val="221F1F"/>
                <w:w w:val="105"/>
                <w:sz w:val="13"/>
              </w:rPr>
              <w:t>1,81</w:t>
            </w:r>
          </w:p>
        </w:tc>
        <w:tc>
          <w:tcPr>
            <w:tcW w:w="486" w:type="dxa"/>
            <w:tcBorders>
              <w:top w:val="nil"/>
              <w:left w:val="single" w:sz="8" w:space="0" w:color="000000"/>
              <w:bottom w:val="nil"/>
              <w:right w:val="single" w:sz="8" w:space="0" w:color="000000"/>
            </w:tcBorders>
          </w:tcPr>
          <w:p>
            <w:pPr>
              <w:pStyle w:val="TableParagraph"/>
              <w:spacing w:before="54"/>
              <w:ind w:left="112"/>
              <w:rPr>
                <w:sz w:val="13"/>
              </w:rPr>
            </w:pPr>
            <w:r>
              <w:rPr>
                <w:color w:val="221F1F"/>
                <w:w w:val="105"/>
                <w:sz w:val="13"/>
              </w:rPr>
              <w:t>3,61</w:t>
            </w:r>
          </w:p>
        </w:tc>
        <w:tc>
          <w:tcPr>
            <w:tcW w:w="492" w:type="dxa"/>
            <w:tcBorders>
              <w:top w:val="nil"/>
              <w:left w:val="single" w:sz="8" w:space="0" w:color="000000"/>
              <w:bottom w:val="nil"/>
              <w:right w:val="single" w:sz="8" w:space="0" w:color="000000"/>
            </w:tcBorders>
          </w:tcPr>
          <w:p>
            <w:pPr>
              <w:pStyle w:val="TableParagraph"/>
              <w:spacing w:before="54"/>
              <w:ind w:left="113"/>
              <w:rPr>
                <w:sz w:val="13"/>
              </w:rPr>
            </w:pPr>
            <w:r>
              <w:rPr>
                <w:w w:val="105"/>
                <w:sz w:val="13"/>
              </w:rPr>
              <w:t>5,06</w:t>
            </w:r>
          </w:p>
        </w:tc>
      </w:tr>
      <w:tr>
        <w:trPr>
          <w:trHeight w:val="289" w:hRule="atLeast"/>
        </w:trPr>
        <w:tc>
          <w:tcPr>
            <w:tcW w:w="1290" w:type="dxa"/>
            <w:tcBorders>
              <w:top w:val="nil"/>
              <w:bottom w:val="nil"/>
              <w:right w:val="single" w:sz="8" w:space="0" w:color="000000"/>
            </w:tcBorders>
          </w:tcPr>
          <w:p>
            <w:pPr>
              <w:pStyle w:val="TableParagraph"/>
              <w:spacing w:before="54"/>
              <w:ind w:left="113"/>
              <w:rPr>
                <w:b/>
                <w:sz w:val="13"/>
              </w:rPr>
            </w:pPr>
            <w:r>
              <w:rPr>
                <w:b/>
                <w:w w:val="105"/>
                <w:sz w:val="13"/>
              </w:rPr>
              <w:t>FUCAEX</w:t>
            </w:r>
          </w:p>
        </w:tc>
        <w:tc>
          <w:tcPr>
            <w:tcW w:w="487" w:type="dxa"/>
            <w:tcBorders>
              <w:top w:val="nil"/>
              <w:left w:val="single" w:sz="8" w:space="0" w:color="000000"/>
              <w:bottom w:val="nil"/>
              <w:right w:val="single" w:sz="8" w:space="0" w:color="000000"/>
            </w:tcBorders>
          </w:tcPr>
          <w:p>
            <w:pPr>
              <w:pStyle w:val="TableParagraph"/>
              <w:spacing w:before="54"/>
              <w:ind w:left="82"/>
              <w:rPr>
                <w:sz w:val="13"/>
              </w:rPr>
            </w:pPr>
            <w:r>
              <w:rPr>
                <w:color w:val="221F1F"/>
                <w:w w:val="105"/>
                <w:sz w:val="13"/>
              </w:rPr>
              <w:t>30,00</w:t>
            </w:r>
          </w:p>
        </w:tc>
        <w:tc>
          <w:tcPr>
            <w:tcW w:w="484" w:type="dxa"/>
            <w:tcBorders>
              <w:top w:val="nil"/>
              <w:left w:val="single" w:sz="8" w:space="0" w:color="000000"/>
              <w:bottom w:val="nil"/>
              <w:right w:val="single" w:sz="8" w:space="0" w:color="000000"/>
            </w:tcBorders>
          </w:tcPr>
          <w:p>
            <w:pPr>
              <w:pStyle w:val="TableParagraph"/>
              <w:spacing w:before="54"/>
              <w:ind w:left="81"/>
              <w:rPr>
                <w:sz w:val="13"/>
              </w:rPr>
            </w:pPr>
            <w:r>
              <w:rPr>
                <w:color w:val="221F1F"/>
                <w:w w:val="105"/>
                <w:sz w:val="13"/>
              </w:rPr>
              <w:t>30,00</w:t>
            </w:r>
          </w:p>
        </w:tc>
        <w:tc>
          <w:tcPr>
            <w:tcW w:w="486" w:type="dxa"/>
            <w:tcBorders>
              <w:top w:val="nil"/>
              <w:left w:val="single" w:sz="8" w:space="0" w:color="000000"/>
              <w:bottom w:val="nil"/>
              <w:right w:val="single" w:sz="8" w:space="0" w:color="000000"/>
            </w:tcBorders>
          </w:tcPr>
          <w:p>
            <w:pPr>
              <w:pStyle w:val="TableParagraph"/>
              <w:spacing w:before="54"/>
              <w:ind w:left="40" w:right="32"/>
              <w:jc w:val="center"/>
              <w:rPr>
                <w:sz w:val="13"/>
              </w:rPr>
            </w:pPr>
            <w:r>
              <w:rPr>
                <w:color w:val="221F1F"/>
                <w:w w:val="105"/>
                <w:sz w:val="13"/>
              </w:rPr>
              <w:t>30,00</w:t>
            </w:r>
          </w:p>
        </w:tc>
        <w:tc>
          <w:tcPr>
            <w:tcW w:w="486" w:type="dxa"/>
            <w:tcBorders>
              <w:top w:val="nil"/>
              <w:left w:val="single" w:sz="8" w:space="0" w:color="000000"/>
              <w:bottom w:val="nil"/>
              <w:right w:val="single" w:sz="8" w:space="0" w:color="000000"/>
            </w:tcBorders>
          </w:tcPr>
          <w:p>
            <w:pPr>
              <w:pStyle w:val="TableParagraph"/>
              <w:spacing w:before="54"/>
              <w:ind w:left="35" w:right="32"/>
              <w:jc w:val="center"/>
              <w:rPr>
                <w:sz w:val="13"/>
              </w:rPr>
            </w:pPr>
            <w:r>
              <w:rPr>
                <w:color w:val="221F1F"/>
                <w:w w:val="105"/>
                <w:sz w:val="13"/>
              </w:rPr>
              <w:t>30,00</w:t>
            </w:r>
          </w:p>
        </w:tc>
        <w:tc>
          <w:tcPr>
            <w:tcW w:w="486" w:type="dxa"/>
            <w:tcBorders>
              <w:top w:val="nil"/>
              <w:left w:val="single" w:sz="8" w:space="0" w:color="000000"/>
              <w:bottom w:val="nil"/>
              <w:right w:val="single" w:sz="8" w:space="0" w:color="000000"/>
            </w:tcBorders>
          </w:tcPr>
          <w:p>
            <w:pPr>
              <w:pStyle w:val="TableParagraph"/>
              <w:spacing w:before="54"/>
              <w:ind w:left="34" w:right="32"/>
              <w:jc w:val="center"/>
              <w:rPr>
                <w:sz w:val="13"/>
              </w:rPr>
            </w:pPr>
            <w:r>
              <w:rPr>
                <w:color w:val="221F1F"/>
                <w:w w:val="105"/>
                <w:sz w:val="13"/>
              </w:rPr>
              <w:t>30,00</w:t>
            </w:r>
          </w:p>
        </w:tc>
        <w:tc>
          <w:tcPr>
            <w:tcW w:w="496" w:type="dxa"/>
            <w:tcBorders>
              <w:top w:val="nil"/>
              <w:left w:val="single" w:sz="8" w:space="0" w:color="000000"/>
              <w:bottom w:val="nil"/>
              <w:right w:val="single" w:sz="8" w:space="0" w:color="000000"/>
            </w:tcBorders>
          </w:tcPr>
          <w:p>
            <w:pPr>
              <w:pStyle w:val="TableParagraph"/>
              <w:spacing w:before="54"/>
              <w:ind w:left="26" w:right="22"/>
              <w:jc w:val="center"/>
              <w:rPr>
                <w:sz w:val="13"/>
              </w:rPr>
            </w:pPr>
            <w:r>
              <w:rPr>
                <w:color w:val="221F1F"/>
                <w:w w:val="105"/>
                <w:sz w:val="13"/>
              </w:rPr>
              <w:t>30,00</w:t>
            </w:r>
          </w:p>
        </w:tc>
        <w:tc>
          <w:tcPr>
            <w:tcW w:w="496" w:type="dxa"/>
            <w:tcBorders>
              <w:top w:val="nil"/>
              <w:left w:val="single" w:sz="8" w:space="0" w:color="000000"/>
              <w:bottom w:val="nil"/>
              <w:right w:val="single" w:sz="8" w:space="0" w:color="000000"/>
            </w:tcBorders>
          </w:tcPr>
          <w:p>
            <w:pPr>
              <w:pStyle w:val="TableParagraph"/>
              <w:spacing w:before="54"/>
              <w:ind w:left="26" w:right="22"/>
              <w:jc w:val="center"/>
              <w:rPr>
                <w:sz w:val="13"/>
              </w:rPr>
            </w:pPr>
            <w:r>
              <w:rPr>
                <w:color w:val="221F1F"/>
                <w:w w:val="105"/>
                <w:sz w:val="13"/>
              </w:rPr>
              <w:t>30,00</w:t>
            </w:r>
          </w:p>
        </w:tc>
        <w:tc>
          <w:tcPr>
            <w:tcW w:w="484" w:type="dxa"/>
            <w:tcBorders>
              <w:top w:val="nil"/>
              <w:left w:val="single" w:sz="8" w:space="0" w:color="000000"/>
              <w:bottom w:val="nil"/>
              <w:right w:val="single" w:sz="8" w:space="0" w:color="000000"/>
            </w:tcBorders>
          </w:tcPr>
          <w:p>
            <w:pPr>
              <w:pStyle w:val="TableParagraph"/>
              <w:spacing w:before="54"/>
              <w:ind w:left="79"/>
              <w:rPr>
                <w:sz w:val="13"/>
              </w:rPr>
            </w:pPr>
            <w:r>
              <w:rPr>
                <w:color w:val="221F1F"/>
                <w:w w:val="105"/>
                <w:sz w:val="13"/>
              </w:rPr>
              <w:t>30,00</w:t>
            </w:r>
          </w:p>
        </w:tc>
        <w:tc>
          <w:tcPr>
            <w:tcW w:w="486" w:type="dxa"/>
            <w:tcBorders>
              <w:top w:val="nil"/>
              <w:left w:val="single" w:sz="8" w:space="0" w:color="000000"/>
              <w:bottom w:val="nil"/>
              <w:right w:val="single" w:sz="8" w:space="0" w:color="000000"/>
            </w:tcBorders>
          </w:tcPr>
          <w:p>
            <w:pPr>
              <w:pStyle w:val="TableParagraph"/>
              <w:spacing w:before="54"/>
              <w:ind w:left="81"/>
              <w:rPr>
                <w:sz w:val="13"/>
              </w:rPr>
            </w:pPr>
            <w:r>
              <w:rPr>
                <w:color w:val="221F1F"/>
                <w:w w:val="105"/>
                <w:sz w:val="13"/>
              </w:rPr>
              <w:t>30,00</w:t>
            </w:r>
          </w:p>
        </w:tc>
        <w:tc>
          <w:tcPr>
            <w:tcW w:w="487" w:type="dxa"/>
            <w:tcBorders>
              <w:top w:val="nil"/>
              <w:left w:val="single" w:sz="8" w:space="0" w:color="000000"/>
              <w:bottom w:val="nil"/>
              <w:right w:val="single" w:sz="8" w:space="0" w:color="000000"/>
            </w:tcBorders>
          </w:tcPr>
          <w:p>
            <w:pPr>
              <w:pStyle w:val="TableParagraph"/>
              <w:spacing w:before="54"/>
              <w:ind w:left="78"/>
              <w:rPr>
                <w:sz w:val="13"/>
              </w:rPr>
            </w:pPr>
            <w:r>
              <w:rPr>
                <w:color w:val="221F1F"/>
                <w:w w:val="105"/>
                <w:sz w:val="13"/>
              </w:rPr>
              <w:t>30,00</w:t>
            </w:r>
          </w:p>
        </w:tc>
        <w:tc>
          <w:tcPr>
            <w:tcW w:w="486" w:type="dxa"/>
            <w:tcBorders>
              <w:top w:val="nil"/>
              <w:left w:val="single" w:sz="8" w:space="0" w:color="000000"/>
              <w:bottom w:val="nil"/>
              <w:right w:val="single" w:sz="8" w:space="0" w:color="000000"/>
            </w:tcBorders>
          </w:tcPr>
          <w:p>
            <w:pPr>
              <w:pStyle w:val="TableParagraph"/>
              <w:spacing w:before="54"/>
              <w:ind w:left="78"/>
              <w:rPr>
                <w:sz w:val="13"/>
              </w:rPr>
            </w:pPr>
            <w:r>
              <w:rPr>
                <w:color w:val="221F1F"/>
                <w:w w:val="105"/>
                <w:sz w:val="13"/>
              </w:rPr>
              <w:t>30,00</w:t>
            </w:r>
          </w:p>
        </w:tc>
        <w:tc>
          <w:tcPr>
            <w:tcW w:w="492" w:type="dxa"/>
            <w:tcBorders>
              <w:top w:val="nil"/>
              <w:left w:val="single" w:sz="8" w:space="0" w:color="000000"/>
              <w:bottom w:val="nil"/>
              <w:right w:val="single" w:sz="8" w:space="0" w:color="000000"/>
            </w:tcBorders>
          </w:tcPr>
          <w:p>
            <w:pPr>
              <w:pStyle w:val="TableParagraph"/>
              <w:spacing w:before="54"/>
              <w:ind w:left="79"/>
              <w:rPr>
                <w:sz w:val="13"/>
              </w:rPr>
            </w:pPr>
            <w:r>
              <w:rPr>
                <w:w w:val="105"/>
                <w:sz w:val="13"/>
              </w:rPr>
              <w:t>30,00</w:t>
            </w:r>
          </w:p>
        </w:tc>
      </w:tr>
      <w:tr>
        <w:trPr>
          <w:trHeight w:val="271" w:hRule="atLeast"/>
        </w:trPr>
        <w:tc>
          <w:tcPr>
            <w:tcW w:w="1290" w:type="dxa"/>
            <w:tcBorders>
              <w:top w:val="nil"/>
              <w:right w:val="single" w:sz="8" w:space="0" w:color="000000"/>
            </w:tcBorders>
          </w:tcPr>
          <w:p>
            <w:pPr>
              <w:pStyle w:val="TableParagraph"/>
              <w:spacing w:before="55"/>
              <w:ind w:left="113"/>
              <w:rPr>
                <w:b/>
                <w:sz w:val="13"/>
              </w:rPr>
            </w:pPr>
            <w:r>
              <w:rPr>
                <w:b/>
                <w:w w:val="105"/>
                <w:sz w:val="13"/>
              </w:rPr>
              <w:t>FIISC</w:t>
            </w:r>
          </w:p>
        </w:tc>
        <w:tc>
          <w:tcPr>
            <w:tcW w:w="487" w:type="dxa"/>
            <w:tcBorders>
              <w:top w:val="nil"/>
              <w:left w:val="single" w:sz="8" w:space="0" w:color="000000"/>
              <w:bottom w:val="single" w:sz="8" w:space="0" w:color="000000"/>
              <w:right w:val="single" w:sz="8" w:space="0" w:color="000000"/>
            </w:tcBorders>
          </w:tcPr>
          <w:p>
            <w:pPr>
              <w:pStyle w:val="TableParagraph"/>
              <w:spacing w:before="55"/>
              <w:ind w:left="82"/>
              <w:rPr>
                <w:sz w:val="13"/>
              </w:rPr>
            </w:pPr>
            <w:r>
              <w:rPr>
                <w:color w:val="221F1F"/>
                <w:w w:val="105"/>
                <w:sz w:val="13"/>
              </w:rPr>
              <w:t>24,39</w:t>
            </w:r>
          </w:p>
        </w:tc>
        <w:tc>
          <w:tcPr>
            <w:tcW w:w="484" w:type="dxa"/>
            <w:tcBorders>
              <w:top w:val="nil"/>
              <w:left w:val="single" w:sz="8" w:space="0" w:color="000000"/>
              <w:bottom w:val="single" w:sz="8" w:space="0" w:color="000000"/>
              <w:right w:val="single" w:sz="8" w:space="0" w:color="000000"/>
            </w:tcBorders>
          </w:tcPr>
          <w:p>
            <w:pPr>
              <w:pStyle w:val="TableParagraph"/>
              <w:spacing w:before="55"/>
              <w:ind w:left="81"/>
              <w:rPr>
                <w:sz w:val="13"/>
              </w:rPr>
            </w:pPr>
            <w:r>
              <w:rPr>
                <w:color w:val="221F1F"/>
                <w:w w:val="105"/>
                <w:sz w:val="13"/>
              </w:rPr>
              <w:t>22,99</w:t>
            </w:r>
          </w:p>
        </w:tc>
        <w:tc>
          <w:tcPr>
            <w:tcW w:w="486" w:type="dxa"/>
            <w:tcBorders>
              <w:top w:val="nil"/>
              <w:left w:val="single" w:sz="8" w:space="0" w:color="000000"/>
              <w:bottom w:val="single" w:sz="8" w:space="0" w:color="000000"/>
              <w:right w:val="single" w:sz="8" w:space="0" w:color="000000"/>
            </w:tcBorders>
          </w:tcPr>
          <w:p>
            <w:pPr>
              <w:pStyle w:val="TableParagraph"/>
              <w:spacing w:before="55"/>
              <w:ind w:left="40" w:right="32"/>
              <w:jc w:val="center"/>
              <w:rPr>
                <w:sz w:val="13"/>
              </w:rPr>
            </w:pPr>
            <w:r>
              <w:rPr>
                <w:color w:val="221F1F"/>
                <w:w w:val="105"/>
                <w:sz w:val="13"/>
              </w:rPr>
              <w:t>18,86</w:t>
            </w:r>
          </w:p>
        </w:tc>
        <w:tc>
          <w:tcPr>
            <w:tcW w:w="486" w:type="dxa"/>
            <w:tcBorders>
              <w:top w:val="nil"/>
              <w:left w:val="single" w:sz="8" w:space="0" w:color="000000"/>
              <w:bottom w:val="single" w:sz="8" w:space="0" w:color="000000"/>
              <w:right w:val="single" w:sz="8" w:space="0" w:color="000000"/>
            </w:tcBorders>
          </w:tcPr>
          <w:p>
            <w:pPr>
              <w:pStyle w:val="TableParagraph"/>
              <w:spacing w:before="55"/>
              <w:ind w:left="35" w:right="32"/>
              <w:jc w:val="center"/>
              <w:rPr>
                <w:sz w:val="13"/>
              </w:rPr>
            </w:pPr>
            <w:r>
              <w:rPr>
                <w:color w:val="221F1F"/>
                <w:w w:val="105"/>
                <w:sz w:val="13"/>
              </w:rPr>
              <w:t>19,89</w:t>
            </w:r>
          </w:p>
        </w:tc>
        <w:tc>
          <w:tcPr>
            <w:tcW w:w="486" w:type="dxa"/>
            <w:tcBorders>
              <w:top w:val="nil"/>
              <w:left w:val="single" w:sz="8" w:space="0" w:color="000000"/>
              <w:bottom w:val="single" w:sz="8" w:space="0" w:color="000000"/>
              <w:right w:val="single" w:sz="8" w:space="0" w:color="000000"/>
            </w:tcBorders>
          </w:tcPr>
          <w:p>
            <w:pPr>
              <w:pStyle w:val="TableParagraph"/>
              <w:spacing w:before="55"/>
              <w:ind w:left="34" w:right="32"/>
              <w:jc w:val="center"/>
              <w:rPr>
                <w:sz w:val="13"/>
              </w:rPr>
            </w:pPr>
            <w:r>
              <w:rPr>
                <w:color w:val="221F1F"/>
                <w:w w:val="105"/>
                <w:sz w:val="13"/>
              </w:rPr>
              <w:t>17,55</w:t>
            </w:r>
          </w:p>
        </w:tc>
        <w:tc>
          <w:tcPr>
            <w:tcW w:w="496" w:type="dxa"/>
            <w:tcBorders>
              <w:top w:val="nil"/>
              <w:left w:val="single" w:sz="8" w:space="0" w:color="000000"/>
              <w:bottom w:val="single" w:sz="8" w:space="0" w:color="000000"/>
              <w:right w:val="single" w:sz="8" w:space="0" w:color="000000"/>
            </w:tcBorders>
          </w:tcPr>
          <w:p>
            <w:pPr>
              <w:pStyle w:val="TableParagraph"/>
              <w:spacing w:before="55"/>
              <w:ind w:left="26" w:right="22"/>
              <w:jc w:val="center"/>
              <w:rPr>
                <w:sz w:val="13"/>
              </w:rPr>
            </w:pPr>
            <w:r>
              <w:rPr>
                <w:color w:val="221F1F"/>
                <w:w w:val="105"/>
                <w:sz w:val="13"/>
              </w:rPr>
              <w:t>14,00</w:t>
            </w:r>
          </w:p>
        </w:tc>
        <w:tc>
          <w:tcPr>
            <w:tcW w:w="496" w:type="dxa"/>
            <w:tcBorders>
              <w:top w:val="nil"/>
              <w:left w:val="single" w:sz="8" w:space="0" w:color="000000"/>
              <w:bottom w:val="single" w:sz="8" w:space="0" w:color="000000"/>
              <w:right w:val="single" w:sz="8" w:space="0" w:color="000000"/>
            </w:tcBorders>
          </w:tcPr>
          <w:p>
            <w:pPr>
              <w:pStyle w:val="TableParagraph"/>
              <w:spacing w:before="55"/>
              <w:ind w:left="26" w:right="22"/>
              <w:jc w:val="center"/>
              <w:rPr>
                <w:sz w:val="13"/>
              </w:rPr>
            </w:pPr>
            <w:r>
              <w:rPr>
                <w:color w:val="221F1F"/>
                <w:w w:val="105"/>
                <w:sz w:val="13"/>
              </w:rPr>
              <w:t>19,82</w:t>
            </w:r>
          </w:p>
        </w:tc>
        <w:tc>
          <w:tcPr>
            <w:tcW w:w="484" w:type="dxa"/>
            <w:tcBorders>
              <w:top w:val="nil"/>
              <w:left w:val="single" w:sz="8" w:space="0" w:color="000000"/>
              <w:bottom w:val="single" w:sz="8" w:space="0" w:color="000000"/>
              <w:right w:val="single" w:sz="8" w:space="0" w:color="000000"/>
            </w:tcBorders>
          </w:tcPr>
          <w:p>
            <w:pPr>
              <w:pStyle w:val="TableParagraph"/>
              <w:spacing w:before="55"/>
              <w:ind w:left="79"/>
              <w:rPr>
                <w:sz w:val="13"/>
              </w:rPr>
            </w:pPr>
            <w:r>
              <w:rPr>
                <w:color w:val="221F1F"/>
                <w:w w:val="105"/>
                <w:sz w:val="13"/>
              </w:rPr>
              <w:t>16,62</w:t>
            </w:r>
          </w:p>
        </w:tc>
        <w:tc>
          <w:tcPr>
            <w:tcW w:w="486" w:type="dxa"/>
            <w:tcBorders>
              <w:top w:val="nil"/>
              <w:left w:val="single" w:sz="8" w:space="0" w:color="000000"/>
              <w:bottom w:val="single" w:sz="8" w:space="0" w:color="000000"/>
              <w:right w:val="single" w:sz="8" w:space="0" w:color="000000"/>
            </w:tcBorders>
          </w:tcPr>
          <w:p>
            <w:pPr>
              <w:pStyle w:val="TableParagraph"/>
              <w:spacing w:before="55"/>
              <w:ind w:left="81"/>
              <w:rPr>
                <w:sz w:val="13"/>
              </w:rPr>
            </w:pPr>
            <w:r>
              <w:rPr>
                <w:color w:val="221F1F"/>
                <w:w w:val="105"/>
                <w:sz w:val="13"/>
              </w:rPr>
              <w:t>18,72</w:t>
            </w:r>
          </w:p>
        </w:tc>
        <w:tc>
          <w:tcPr>
            <w:tcW w:w="487" w:type="dxa"/>
            <w:tcBorders>
              <w:top w:val="nil"/>
              <w:left w:val="single" w:sz="8" w:space="0" w:color="000000"/>
              <w:bottom w:val="single" w:sz="8" w:space="0" w:color="000000"/>
              <w:right w:val="single" w:sz="8" w:space="0" w:color="000000"/>
            </w:tcBorders>
          </w:tcPr>
          <w:p>
            <w:pPr>
              <w:pStyle w:val="TableParagraph"/>
              <w:spacing w:before="55"/>
              <w:ind w:left="78"/>
              <w:rPr>
                <w:sz w:val="13"/>
              </w:rPr>
            </w:pPr>
            <w:r>
              <w:rPr>
                <w:color w:val="221F1F"/>
                <w:w w:val="105"/>
                <w:sz w:val="13"/>
              </w:rPr>
              <w:t>17,39</w:t>
            </w:r>
          </w:p>
        </w:tc>
        <w:tc>
          <w:tcPr>
            <w:tcW w:w="486" w:type="dxa"/>
            <w:tcBorders>
              <w:top w:val="nil"/>
              <w:left w:val="single" w:sz="8" w:space="0" w:color="000000"/>
              <w:bottom w:val="single" w:sz="8" w:space="0" w:color="000000"/>
              <w:right w:val="single" w:sz="8" w:space="0" w:color="000000"/>
            </w:tcBorders>
          </w:tcPr>
          <w:p>
            <w:pPr>
              <w:pStyle w:val="TableParagraph"/>
              <w:spacing w:before="55"/>
              <w:ind w:left="112"/>
              <w:rPr>
                <w:sz w:val="13"/>
              </w:rPr>
            </w:pPr>
            <w:r>
              <w:rPr>
                <w:color w:val="221F1F"/>
                <w:w w:val="105"/>
                <w:sz w:val="13"/>
              </w:rPr>
              <w:t>9,66</w:t>
            </w:r>
          </w:p>
        </w:tc>
        <w:tc>
          <w:tcPr>
            <w:tcW w:w="492" w:type="dxa"/>
            <w:tcBorders>
              <w:top w:val="nil"/>
              <w:left w:val="single" w:sz="8" w:space="0" w:color="000000"/>
              <w:bottom w:val="single" w:sz="8" w:space="0" w:color="000000"/>
              <w:right w:val="single" w:sz="8" w:space="0" w:color="000000"/>
            </w:tcBorders>
          </w:tcPr>
          <w:p>
            <w:pPr>
              <w:pStyle w:val="TableParagraph"/>
              <w:spacing w:before="55"/>
              <w:ind w:left="113"/>
              <w:rPr>
                <w:sz w:val="13"/>
              </w:rPr>
            </w:pPr>
            <w:r>
              <w:rPr>
                <w:color w:val="221F1F"/>
                <w:w w:val="105"/>
                <w:sz w:val="13"/>
              </w:rPr>
              <w:t>8,40</w:t>
            </w:r>
          </w:p>
        </w:tc>
      </w:tr>
    </w:tbl>
    <w:p>
      <w:pPr>
        <w:spacing w:before="7"/>
        <w:ind w:left="2099" w:right="0" w:firstLine="0"/>
        <w:jc w:val="both"/>
        <w:rPr>
          <w:sz w:val="13"/>
        </w:rPr>
      </w:pPr>
      <w:r>
        <w:rPr>
          <w:w w:val="105"/>
          <w:sz w:val="13"/>
        </w:rPr>
        <w:t>Fuente: Consejería de Hacienda y Relaciones con la Unión Europea del Gobierno de Canarias</w:t>
      </w:r>
    </w:p>
    <w:p>
      <w:pPr>
        <w:pStyle w:val="BodyText"/>
        <w:spacing w:before="10"/>
        <w:rPr>
          <w:sz w:val="16"/>
        </w:rPr>
      </w:pPr>
    </w:p>
    <w:p>
      <w:pPr>
        <w:pStyle w:val="BodyText"/>
        <w:ind w:left="2099" w:right="1143"/>
        <w:jc w:val="both"/>
      </w:pPr>
      <w:r>
        <w:rPr/>
        <w:t>De</w:t>
      </w:r>
      <w:r>
        <w:rPr>
          <w:spacing w:val="-4"/>
        </w:rPr>
        <w:t> </w:t>
      </w:r>
      <w:r>
        <w:rPr/>
        <w:t>los</w:t>
      </w:r>
      <w:r>
        <w:rPr>
          <w:spacing w:val="-3"/>
        </w:rPr>
        <w:t> </w:t>
      </w:r>
      <w:r>
        <w:rPr/>
        <w:t>informes</w:t>
      </w:r>
      <w:r>
        <w:rPr>
          <w:spacing w:val="-3"/>
        </w:rPr>
        <w:t> </w:t>
      </w:r>
      <w:r>
        <w:rPr/>
        <w:t>semestrales</w:t>
      </w:r>
      <w:r>
        <w:rPr>
          <w:spacing w:val="-4"/>
        </w:rPr>
        <w:t> </w:t>
      </w:r>
      <w:r>
        <w:rPr/>
        <w:t>sobre</w:t>
      </w:r>
      <w:r>
        <w:rPr>
          <w:spacing w:val="-5"/>
        </w:rPr>
        <w:t> </w:t>
      </w:r>
      <w:r>
        <w:rPr/>
        <w:t>el</w:t>
      </w:r>
      <w:r>
        <w:rPr>
          <w:spacing w:val="-4"/>
        </w:rPr>
        <w:t> </w:t>
      </w:r>
      <w:r>
        <w:rPr/>
        <w:t>cumplimiento</w:t>
      </w:r>
      <w:r>
        <w:rPr>
          <w:spacing w:val="-3"/>
        </w:rPr>
        <w:t> </w:t>
      </w:r>
      <w:r>
        <w:rPr/>
        <w:t>para</w:t>
      </w:r>
      <w:r>
        <w:rPr>
          <w:spacing w:val="-3"/>
        </w:rPr>
        <w:t> </w:t>
      </w:r>
      <w:r>
        <w:rPr/>
        <w:t>las</w:t>
      </w:r>
      <w:r>
        <w:rPr>
          <w:spacing w:val="-6"/>
        </w:rPr>
        <w:t> </w:t>
      </w:r>
      <w:r>
        <w:rPr/>
        <w:t>Fundaciones</w:t>
      </w:r>
      <w:r>
        <w:rPr>
          <w:spacing w:val="-5"/>
        </w:rPr>
        <w:t> </w:t>
      </w:r>
      <w:r>
        <w:rPr/>
        <w:t>Canarias</w:t>
      </w:r>
      <w:r>
        <w:rPr>
          <w:spacing w:val="-7"/>
        </w:rPr>
        <w:t> </w:t>
      </w:r>
      <w:r>
        <w:rPr/>
        <w:t>de</w:t>
      </w:r>
      <w:r>
        <w:rPr>
          <w:spacing w:val="-5"/>
        </w:rPr>
        <w:t> </w:t>
      </w:r>
      <w:r>
        <w:rPr/>
        <w:t>los plazos previstos en la Ley 3/2004, de 29 de diciembre, de medidas de lucha contra la morosidad en operaciones comerciales, se desprende que el período medio de pago se ha cumplido durante 2022 por todas las fundaciones en todos los meses, no superando el plazo legal de 30 días.</w:t>
      </w:r>
    </w:p>
    <w:p>
      <w:pPr>
        <w:pStyle w:val="BodyText"/>
        <w:spacing w:before="3"/>
        <w:rPr>
          <w:sz w:val="17"/>
        </w:rPr>
      </w:pPr>
    </w:p>
    <w:p>
      <w:pPr>
        <w:pStyle w:val="Heading1"/>
        <w:numPr>
          <w:ilvl w:val="2"/>
          <w:numId w:val="78"/>
        </w:numPr>
        <w:tabs>
          <w:tab w:pos="2694" w:val="left" w:leader="none"/>
        </w:tabs>
        <w:spacing w:line="240" w:lineRule="auto" w:before="0" w:after="0"/>
        <w:ind w:left="2693" w:right="0" w:hanging="595"/>
        <w:jc w:val="left"/>
      </w:pPr>
      <w:bookmarkStart w:name="_TOC_250006" w:id="16"/>
      <w:bookmarkEnd w:id="16"/>
      <w:r>
        <w:rPr>
          <w:color w:val="53A1B9"/>
        </w:rPr>
        <w:t>Personal.</w:t>
      </w:r>
    </w:p>
    <w:p>
      <w:pPr>
        <w:pStyle w:val="BodyText"/>
        <w:spacing w:before="8"/>
        <w:rPr>
          <w:b/>
          <w:sz w:val="16"/>
        </w:rPr>
      </w:pPr>
    </w:p>
    <w:p>
      <w:pPr>
        <w:pStyle w:val="BodyText"/>
        <w:spacing w:line="242" w:lineRule="auto"/>
        <w:ind w:left="2336" w:right="1141" w:hanging="238"/>
        <w:jc w:val="both"/>
      </w:pPr>
      <w:r>
        <w:rPr/>
        <w:t>1. Los gastos de personal, para el conjunto del sector público fundacional, superan el presupuesto definitivo en 0,6 millones de €, una vez computadas las variaciones presupuestarias aprobadas por Acuerdos de Gobierno. Asimismo, cada una de las fundaciones, excepto FUCAEX, experimentan gastos de personal superiores a los presupuestados, según se detalla a continuación.</w:t>
      </w:r>
    </w:p>
    <w:p>
      <w:pPr>
        <w:pStyle w:val="BodyText"/>
      </w:pPr>
    </w:p>
    <w:p>
      <w:pPr>
        <w:pStyle w:val="BodyText"/>
        <w:spacing w:before="6"/>
        <w:rPr>
          <w:sz w:val="26"/>
        </w:rPr>
      </w:pPr>
      <w:r>
        <w:rPr/>
        <w:pict>
          <v:shape style="position:absolute;margin-left:142.958206pt;margin-top:18.516668pt;width:120.95pt;height:.1pt;mso-position-horizontal-relative:page;mso-position-vertical-relative:paragraph;z-index:-251442176;mso-wrap-distance-left:0;mso-wrap-distance-right:0" coordorigin="2859,370" coordsize="2419,0" path="m2859,370l5278,370e" filled="false" stroked="true" strokeweight=".604484pt" strokecolor="#000000">
            <v:path arrowok="t"/>
            <v:stroke dashstyle="solid"/>
            <w10:wrap type="topAndBottom"/>
          </v:shape>
        </w:pict>
      </w:r>
    </w:p>
    <w:p>
      <w:pPr>
        <w:spacing w:line="252" w:lineRule="auto" w:before="51"/>
        <w:ind w:left="2099" w:right="1141" w:firstLine="0"/>
        <w:jc w:val="left"/>
        <w:rPr>
          <w:sz w:val="16"/>
        </w:rPr>
      </w:pPr>
      <w:r>
        <w:rPr>
          <w:w w:val="105"/>
          <w:position w:val="6"/>
          <w:sz w:val="11"/>
        </w:rPr>
        <w:t>35 </w:t>
      </w:r>
      <w:r>
        <w:rPr>
          <w:w w:val="105"/>
          <w:sz w:val="16"/>
        </w:rPr>
        <w:t>La Ley Orgánica 6/2015, de 12 de junio, modificó el Art. 18.4 de la Ley Orgánica 2/2012, de 27 de abril, de Estabilidad Presupuestaria y Sostenibilidad financiera, fijando el período medio de pago en 30 días.</w:t>
      </w:r>
    </w:p>
    <w:p>
      <w:pPr>
        <w:pStyle w:val="BodyText"/>
        <w:spacing w:line="237" w:lineRule="exact"/>
        <w:ind w:left="8929"/>
      </w:pPr>
      <w:r>
        <w:rPr/>
        <w:t>132</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79" name="image5.png"/>
                  <wp:cNvGraphicFramePr>
                    <a:graphicFrameLocks noChangeAspect="1"/>
                  </wp:cNvGraphicFramePr>
                  <a:graphic>
                    <a:graphicData uri="http://schemas.openxmlformats.org/drawingml/2006/picture">
                      <pic:pic>
                        <pic:nvPicPr>
                          <pic:cNvPr id="28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134/247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rPr>
          <w:b/>
        </w:rPr>
      </w:pPr>
    </w:p>
    <w:p>
      <w:pPr>
        <w:pStyle w:val="BodyText"/>
        <w:spacing w:before="9"/>
        <w:rPr>
          <w:b/>
          <w:sz w:val="12"/>
        </w:rPr>
      </w:pPr>
    </w:p>
    <w:tbl>
      <w:tblPr>
        <w:tblW w:w="0" w:type="auto"/>
        <w:jc w:val="left"/>
        <w:tblInd w:w="3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0"/>
        <w:gridCol w:w="2272"/>
      </w:tblGrid>
      <w:tr>
        <w:trPr>
          <w:trHeight w:val="278" w:hRule="atLeast"/>
        </w:trPr>
        <w:tc>
          <w:tcPr>
            <w:tcW w:w="2290" w:type="dxa"/>
            <w:tcBorders>
              <w:bottom w:val="nil"/>
            </w:tcBorders>
          </w:tcPr>
          <w:p>
            <w:pPr>
              <w:pStyle w:val="TableParagraph"/>
              <w:rPr>
                <w:rFonts w:ascii="Times New Roman"/>
                <w:sz w:val="16"/>
              </w:rPr>
            </w:pPr>
          </w:p>
        </w:tc>
        <w:tc>
          <w:tcPr>
            <w:tcW w:w="2272" w:type="dxa"/>
            <w:tcBorders>
              <w:bottom w:val="nil"/>
            </w:tcBorders>
            <w:shd w:val="clear" w:color="auto" w:fill="DEEAF6"/>
          </w:tcPr>
          <w:p>
            <w:pPr>
              <w:pStyle w:val="TableParagraph"/>
              <w:spacing w:line="152" w:lineRule="exact" w:before="107"/>
              <w:ind w:left="317" w:right="311"/>
              <w:jc w:val="center"/>
              <w:rPr>
                <w:b/>
                <w:sz w:val="13"/>
              </w:rPr>
            </w:pPr>
            <w:r>
              <w:rPr>
                <w:b/>
                <w:w w:val="105"/>
                <w:sz w:val="13"/>
              </w:rPr>
              <w:t>Gasto personal presupuesto</w:t>
            </w:r>
          </w:p>
        </w:tc>
      </w:tr>
      <w:tr>
        <w:trPr>
          <w:trHeight w:val="255" w:hRule="atLeast"/>
        </w:trPr>
        <w:tc>
          <w:tcPr>
            <w:tcW w:w="2290" w:type="dxa"/>
            <w:tcBorders>
              <w:top w:val="nil"/>
              <w:bottom w:val="nil"/>
            </w:tcBorders>
          </w:tcPr>
          <w:p>
            <w:pPr>
              <w:pStyle w:val="TableParagraph"/>
              <w:rPr>
                <w:rFonts w:ascii="Times New Roman"/>
                <w:sz w:val="16"/>
              </w:rPr>
            </w:pPr>
          </w:p>
        </w:tc>
        <w:tc>
          <w:tcPr>
            <w:tcW w:w="2272" w:type="dxa"/>
            <w:tcBorders>
              <w:top w:val="nil"/>
            </w:tcBorders>
            <w:shd w:val="clear" w:color="auto" w:fill="DEEAF6"/>
          </w:tcPr>
          <w:p>
            <w:pPr>
              <w:pStyle w:val="TableParagraph"/>
              <w:spacing w:line="150" w:lineRule="exact"/>
              <w:ind w:left="317" w:right="310"/>
              <w:jc w:val="center"/>
              <w:rPr>
                <w:b/>
                <w:sz w:val="13"/>
              </w:rPr>
            </w:pPr>
            <w:r>
              <w:rPr>
                <w:b/>
                <w:w w:val="105"/>
                <w:sz w:val="13"/>
              </w:rPr>
              <w:t>definitivo-Gasto real</w:t>
            </w:r>
          </w:p>
        </w:tc>
      </w:tr>
      <w:tr>
        <w:trPr>
          <w:trHeight w:val="191" w:hRule="atLeast"/>
        </w:trPr>
        <w:tc>
          <w:tcPr>
            <w:tcW w:w="2290" w:type="dxa"/>
            <w:tcBorders>
              <w:top w:val="nil"/>
              <w:bottom w:val="nil"/>
            </w:tcBorders>
          </w:tcPr>
          <w:p>
            <w:pPr>
              <w:pStyle w:val="TableParagraph"/>
              <w:spacing w:before="6"/>
              <w:ind w:left="57"/>
              <w:rPr>
                <w:b/>
                <w:sz w:val="13"/>
              </w:rPr>
            </w:pPr>
            <w:r>
              <w:rPr>
                <w:b/>
                <w:w w:val="105"/>
                <w:sz w:val="13"/>
              </w:rPr>
              <w:t>LENGUA</w:t>
            </w:r>
          </w:p>
        </w:tc>
        <w:tc>
          <w:tcPr>
            <w:tcW w:w="2272" w:type="dxa"/>
            <w:tcBorders>
              <w:bottom w:val="nil"/>
            </w:tcBorders>
          </w:tcPr>
          <w:p>
            <w:pPr>
              <w:pStyle w:val="TableParagraph"/>
              <w:spacing w:before="6"/>
              <w:ind w:left="317" w:right="311"/>
              <w:jc w:val="center"/>
              <w:rPr>
                <w:sz w:val="13"/>
              </w:rPr>
            </w:pPr>
            <w:r>
              <w:rPr>
                <w:w w:val="105"/>
                <w:sz w:val="13"/>
              </w:rPr>
              <w:t>-15.621,12</w:t>
            </w:r>
          </w:p>
        </w:tc>
      </w:tr>
      <w:tr>
        <w:trPr>
          <w:trHeight w:val="199" w:hRule="atLeast"/>
        </w:trPr>
        <w:tc>
          <w:tcPr>
            <w:tcW w:w="2290" w:type="dxa"/>
            <w:tcBorders>
              <w:top w:val="nil"/>
              <w:bottom w:val="nil"/>
            </w:tcBorders>
          </w:tcPr>
          <w:p>
            <w:pPr>
              <w:pStyle w:val="TableParagraph"/>
              <w:spacing w:before="5"/>
              <w:ind w:left="57"/>
              <w:rPr>
                <w:b/>
                <w:sz w:val="13"/>
              </w:rPr>
            </w:pPr>
            <w:r>
              <w:rPr>
                <w:b/>
                <w:w w:val="105"/>
                <w:sz w:val="13"/>
              </w:rPr>
              <w:t>FUNCATRA</w:t>
            </w:r>
          </w:p>
        </w:tc>
        <w:tc>
          <w:tcPr>
            <w:tcW w:w="2272" w:type="dxa"/>
            <w:tcBorders>
              <w:top w:val="nil"/>
              <w:bottom w:val="nil"/>
            </w:tcBorders>
          </w:tcPr>
          <w:p>
            <w:pPr>
              <w:pStyle w:val="TableParagraph"/>
              <w:spacing w:before="5"/>
              <w:ind w:left="317" w:right="311"/>
              <w:jc w:val="center"/>
              <w:rPr>
                <w:sz w:val="13"/>
              </w:rPr>
            </w:pPr>
            <w:r>
              <w:rPr>
                <w:w w:val="105"/>
                <w:sz w:val="13"/>
              </w:rPr>
              <w:t>-16.168,18</w:t>
            </w:r>
          </w:p>
        </w:tc>
      </w:tr>
      <w:tr>
        <w:trPr>
          <w:trHeight w:val="207" w:hRule="atLeast"/>
        </w:trPr>
        <w:tc>
          <w:tcPr>
            <w:tcW w:w="2290" w:type="dxa"/>
            <w:tcBorders>
              <w:top w:val="nil"/>
              <w:bottom w:val="nil"/>
            </w:tcBorders>
          </w:tcPr>
          <w:p>
            <w:pPr>
              <w:pStyle w:val="TableParagraph"/>
              <w:spacing w:before="13"/>
              <w:ind w:left="57"/>
              <w:rPr>
                <w:b/>
                <w:sz w:val="13"/>
              </w:rPr>
            </w:pPr>
            <w:r>
              <w:rPr>
                <w:b/>
                <w:w w:val="105"/>
                <w:sz w:val="13"/>
              </w:rPr>
              <w:t>IDEO</w:t>
            </w:r>
          </w:p>
        </w:tc>
        <w:tc>
          <w:tcPr>
            <w:tcW w:w="2272" w:type="dxa"/>
            <w:tcBorders>
              <w:top w:val="nil"/>
              <w:bottom w:val="nil"/>
            </w:tcBorders>
          </w:tcPr>
          <w:p>
            <w:pPr>
              <w:pStyle w:val="TableParagraph"/>
              <w:spacing w:before="13"/>
              <w:ind w:left="317" w:right="311"/>
              <w:jc w:val="center"/>
              <w:rPr>
                <w:sz w:val="13"/>
              </w:rPr>
            </w:pPr>
            <w:r>
              <w:rPr>
                <w:w w:val="105"/>
                <w:sz w:val="13"/>
              </w:rPr>
              <w:t>-46.184,76</w:t>
            </w:r>
          </w:p>
        </w:tc>
      </w:tr>
      <w:tr>
        <w:trPr>
          <w:trHeight w:val="206" w:hRule="atLeast"/>
        </w:trPr>
        <w:tc>
          <w:tcPr>
            <w:tcW w:w="2290" w:type="dxa"/>
            <w:tcBorders>
              <w:top w:val="nil"/>
              <w:bottom w:val="nil"/>
            </w:tcBorders>
          </w:tcPr>
          <w:p>
            <w:pPr>
              <w:pStyle w:val="TableParagraph"/>
              <w:spacing w:before="13"/>
              <w:ind w:left="57"/>
              <w:rPr>
                <w:b/>
                <w:sz w:val="13"/>
              </w:rPr>
            </w:pPr>
            <w:r>
              <w:rPr>
                <w:b/>
                <w:w w:val="105"/>
                <w:sz w:val="13"/>
              </w:rPr>
              <w:t>ACCION SOCIAL</w:t>
            </w:r>
          </w:p>
        </w:tc>
        <w:tc>
          <w:tcPr>
            <w:tcW w:w="2272" w:type="dxa"/>
            <w:tcBorders>
              <w:top w:val="nil"/>
              <w:bottom w:val="nil"/>
            </w:tcBorders>
          </w:tcPr>
          <w:p>
            <w:pPr>
              <w:pStyle w:val="TableParagraph"/>
              <w:spacing w:before="13"/>
              <w:ind w:left="317" w:right="311"/>
              <w:jc w:val="center"/>
              <w:rPr>
                <w:sz w:val="13"/>
              </w:rPr>
            </w:pPr>
            <w:r>
              <w:rPr>
                <w:w w:val="105"/>
                <w:sz w:val="13"/>
              </w:rPr>
              <w:t>-55.315,31</w:t>
            </w:r>
          </w:p>
        </w:tc>
      </w:tr>
      <w:tr>
        <w:trPr>
          <w:trHeight w:val="217" w:hRule="atLeast"/>
        </w:trPr>
        <w:tc>
          <w:tcPr>
            <w:tcW w:w="2290" w:type="dxa"/>
            <w:tcBorders>
              <w:top w:val="nil"/>
              <w:bottom w:val="nil"/>
            </w:tcBorders>
          </w:tcPr>
          <w:p>
            <w:pPr>
              <w:pStyle w:val="TableParagraph"/>
              <w:spacing w:before="35"/>
              <w:ind w:left="57"/>
              <w:rPr>
                <w:b/>
                <w:sz w:val="13"/>
              </w:rPr>
            </w:pPr>
            <w:r>
              <w:rPr>
                <w:b/>
                <w:w w:val="105"/>
                <w:sz w:val="13"/>
              </w:rPr>
              <w:t>MUSEO</w:t>
            </w:r>
          </w:p>
        </w:tc>
        <w:tc>
          <w:tcPr>
            <w:tcW w:w="2272" w:type="dxa"/>
            <w:tcBorders>
              <w:top w:val="nil"/>
              <w:bottom w:val="nil"/>
            </w:tcBorders>
          </w:tcPr>
          <w:p>
            <w:pPr>
              <w:pStyle w:val="TableParagraph"/>
              <w:spacing w:before="12"/>
              <w:ind w:left="317" w:right="309"/>
              <w:jc w:val="center"/>
              <w:rPr>
                <w:sz w:val="13"/>
              </w:rPr>
            </w:pPr>
            <w:r>
              <w:rPr>
                <w:w w:val="105"/>
                <w:sz w:val="13"/>
              </w:rPr>
              <w:t>-6.415,29</w:t>
            </w:r>
          </w:p>
        </w:tc>
      </w:tr>
      <w:tr>
        <w:trPr>
          <w:trHeight w:val="207" w:hRule="atLeast"/>
        </w:trPr>
        <w:tc>
          <w:tcPr>
            <w:tcW w:w="2290" w:type="dxa"/>
            <w:tcBorders>
              <w:top w:val="nil"/>
              <w:bottom w:val="nil"/>
            </w:tcBorders>
          </w:tcPr>
          <w:p>
            <w:pPr>
              <w:pStyle w:val="TableParagraph"/>
              <w:spacing w:before="25"/>
              <w:ind w:left="57"/>
              <w:rPr>
                <w:b/>
                <w:sz w:val="13"/>
              </w:rPr>
            </w:pPr>
            <w:r>
              <w:rPr>
                <w:b/>
                <w:w w:val="105"/>
                <w:sz w:val="13"/>
              </w:rPr>
              <w:t>FUCAEX</w:t>
            </w:r>
          </w:p>
        </w:tc>
        <w:tc>
          <w:tcPr>
            <w:tcW w:w="2272" w:type="dxa"/>
            <w:tcBorders>
              <w:top w:val="nil"/>
              <w:bottom w:val="nil"/>
            </w:tcBorders>
          </w:tcPr>
          <w:p>
            <w:pPr>
              <w:pStyle w:val="TableParagraph"/>
              <w:spacing w:before="2"/>
              <w:ind w:left="317" w:right="311"/>
              <w:jc w:val="center"/>
              <w:rPr>
                <w:sz w:val="13"/>
              </w:rPr>
            </w:pPr>
            <w:r>
              <w:rPr>
                <w:w w:val="105"/>
                <w:sz w:val="13"/>
              </w:rPr>
              <w:t>181.715,32</w:t>
            </w:r>
          </w:p>
        </w:tc>
      </w:tr>
      <w:tr>
        <w:trPr>
          <w:trHeight w:val="183" w:hRule="atLeast"/>
        </w:trPr>
        <w:tc>
          <w:tcPr>
            <w:tcW w:w="2290" w:type="dxa"/>
            <w:tcBorders>
              <w:top w:val="nil"/>
            </w:tcBorders>
          </w:tcPr>
          <w:p>
            <w:pPr>
              <w:pStyle w:val="TableParagraph"/>
              <w:spacing w:line="139" w:lineRule="exact" w:before="25"/>
              <w:ind w:left="57"/>
              <w:rPr>
                <w:b/>
                <w:sz w:val="13"/>
              </w:rPr>
            </w:pPr>
            <w:r>
              <w:rPr>
                <w:b/>
                <w:w w:val="105"/>
                <w:sz w:val="13"/>
              </w:rPr>
              <w:t>FIISC</w:t>
            </w:r>
          </w:p>
        </w:tc>
        <w:tc>
          <w:tcPr>
            <w:tcW w:w="2272" w:type="dxa"/>
            <w:tcBorders>
              <w:top w:val="nil"/>
            </w:tcBorders>
          </w:tcPr>
          <w:p>
            <w:pPr>
              <w:pStyle w:val="TableParagraph"/>
              <w:spacing w:before="2"/>
              <w:ind w:left="317" w:right="311"/>
              <w:jc w:val="center"/>
              <w:rPr>
                <w:sz w:val="13"/>
              </w:rPr>
            </w:pPr>
            <w:r>
              <w:rPr>
                <w:w w:val="105"/>
                <w:sz w:val="13"/>
              </w:rPr>
              <w:t>-623.169,72</w:t>
            </w:r>
          </w:p>
        </w:tc>
      </w:tr>
      <w:tr>
        <w:trPr>
          <w:trHeight w:val="282" w:hRule="atLeast"/>
        </w:trPr>
        <w:tc>
          <w:tcPr>
            <w:tcW w:w="2290" w:type="dxa"/>
            <w:shd w:val="clear" w:color="auto" w:fill="D9D9D9"/>
          </w:tcPr>
          <w:p>
            <w:pPr>
              <w:pStyle w:val="TableParagraph"/>
              <w:spacing w:before="62"/>
              <w:ind w:left="762" w:right="759"/>
              <w:jc w:val="center"/>
              <w:rPr>
                <w:b/>
                <w:sz w:val="13"/>
              </w:rPr>
            </w:pPr>
            <w:r>
              <w:rPr>
                <w:b/>
                <w:w w:val="105"/>
                <w:sz w:val="13"/>
              </w:rPr>
              <w:t>Total (</w:t>
            </w:r>
            <w:r>
              <w:rPr>
                <w:w w:val="105"/>
                <w:sz w:val="13"/>
              </w:rPr>
              <w:t>euros</w:t>
            </w:r>
            <w:r>
              <w:rPr>
                <w:b/>
                <w:w w:val="105"/>
                <w:sz w:val="13"/>
              </w:rPr>
              <w:t>)</w:t>
            </w:r>
          </w:p>
        </w:tc>
        <w:tc>
          <w:tcPr>
            <w:tcW w:w="2272" w:type="dxa"/>
            <w:shd w:val="clear" w:color="auto" w:fill="D9D9D9"/>
          </w:tcPr>
          <w:p>
            <w:pPr>
              <w:pStyle w:val="TableParagraph"/>
              <w:spacing w:before="62"/>
              <w:ind w:left="300" w:right="311"/>
              <w:jc w:val="center"/>
              <w:rPr>
                <w:b/>
                <w:sz w:val="13"/>
              </w:rPr>
            </w:pPr>
            <w:r>
              <w:rPr>
                <w:b/>
                <w:w w:val="105"/>
                <w:sz w:val="13"/>
              </w:rPr>
              <w:t>-581.159,06</w:t>
            </w:r>
          </w:p>
        </w:tc>
      </w:tr>
    </w:tbl>
    <w:p>
      <w:pPr>
        <w:pStyle w:val="BodyText"/>
        <w:spacing w:before="8"/>
        <w:rPr>
          <w:b/>
          <w:sz w:val="11"/>
        </w:rPr>
      </w:pPr>
    </w:p>
    <w:p>
      <w:pPr>
        <w:pStyle w:val="ListParagraph"/>
        <w:numPr>
          <w:ilvl w:val="0"/>
          <w:numId w:val="83"/>
        </w:numPr>
        <w:tabs>
          <w:tab w:pos="2337" w:val="left" w:leader="none"/>
        </w:tabs>
        <w:spacing w:line="240" w:lineRule="auto" w:before="60" w:after="0"/>
        <w:ind w:left="2336" w:right="1143" w:hanging="238"/>
        <w:jc w:val="both"/>
        <w:rPr>
          <w:sz w:val="20"/>
        </w:rPr>
      </w:pPr>
      <w:r>
        <w:rPr>
          <w:sz w:val="20"/>
        </w:rPr>
        <w:t>El</w:t>
      </w:r>
      <w:r>
        <w:rPr>
          <w:spacing w:val="-2"/>
          <w:sz w:val="20"/>
        </w:rPr>
        <w:t> </w:t>
      </w:r>
      <w:r>
        <w:rPr>
          <w:sz w:val="20"/>
        </w:rPr>
        <w:t>incremento</w:t>
      </w:r>
      <w:r>
        <w:rPr>
          <w:spacing w:val="-2"/>
          <w:sz w:val="20"/>
        </w:rPr>
        <w:t> </w:t>
      </w:r>
      <w:r>
        <w:rPr>
          <w:sz w:val="20"/>
        </w:rPr>
        <w:t>de</w:t>
      </w:r>
      <w:r>
        <w:rPr>
          <w:spacing w:val="-4"/>
          <w:sz w:val="20"/>
        </w:rPr>
        <w:t> </w:t>
      </w:r>
      <w:r>
        <w:rPr>
          <w:sz w:val="20"/>
        </w:rPr>
        <w:t>los</w:t>
      </w:r>
      <w:r>
        <w:rPr>
          <w:spacing w:val="-3"/>
          <w:sz w:val="20"/>
        </w:rPr>
        <w:t> </w:t>
      </w:r>
      <w:r>
        <w:rPr>
          <w:sz w:val="20"/>
        </w:rPr>
        <w:t>gastos</w:t>
      </w:r>
      <w:r>
        <w:rPr>
          <w:spacing w:val="-2"/>
          <w:sz w:val="20"/>
        </w:rPr>
        <w:t> </w:t>
      </w:r>
      <w:r>
        <w:rPr>
          <w:sz w:val="20"/>
        </w:rPr>
        <w:t>de</w:t>
      </w:r>
      <w:r>
        <w:rPr>
          <w:spacing w:val="-3"/>
          <w:sz w:val="20"/>
        </w:rPr>
        <w:t> </w:t>
      </w:r>
      <w:r>
        <w:rPr>
          <w:sz w:val="20"/>
        </w:rPr>
        <w:t>personal</w:t>
      </w:r>
      <w:r>
        <w:rPr>
          <w:spacing w:val="-1"/>
          <w:sz w:val="20"/>
        </w:rPr>
        <w:t> </w:t>
      </w:r>
      <w:r>
        <w:rPr>
          <w:sz w:val="20"/>
        </w:rPr>
        <w:t>en</w:t>
      </w:r>
      <w:r>
        <w:rPr>
          <w:spacing w:val="-2"/>
          <w:sz w:val="20"/>
        </w:rPr>
        <w:t> </w:t>
      </w:r>
      <w:r>
        <w:rPr>
          <w:sz w:val="20"/>
        </w:rPr>
        <w:t>IDEO</w:t>
      </w:r>
      <w:r>
        <w:rPr>
          <w:spacing w:val="-2"/>
          <w:sz w:val="20"/>
        </w:rPr>
        <w:t> </w:t>
      </w:r>
      <w:r>
        <w:rPr>
          <w:sz w:val="20"/>
        </w:rPr>
        <w:t>y</w:t>
      </w:r>
      <w:r>
        <w:rPr>
          <w:spacing w:val="-7"/>
          <w:sz w:val="20"/>
        </w:rPr>
        <w:t> </w:t>
      </w:r>
      <w:r>
        <w:rPr>
          <w:sz w:val="20"/>
        </w:rPr>
        <w:t>MUSEO</w:t>
      </w:r>
      <w:r>
        <w:rPr>
          <w:spacing w:val="-1"/>
          <w:sz w:val="20"/>
        </w:rPr>
        <w:t> </w:t>
      </w:r>
      <w:r>
        <w:rPr>
          <w:sz w:val="20"/>
        </w:rPr>
        <w:t>respecto</w:t>
      </w:r>
      <w:r>
        <w:rPr>
          <w:spacing w:val="-4"/>
          <w:sz w:val="20"/>
        </w:rPr>
        <w:t> </w:t>
      </w:r>
      <w:r>
        <w:rPr>
          <w:sz w:val="20"/>
        </w:rPr>
        <w:t>a</w:t>
      </w:r>
      <w:r>
        <w:rPr>
          <w:spacing w:val="-3"/>
          <w:sz w:val="20"/>
        </w:rPr>
        <w:t> </w:t>
      </w:r>
      <w:r>
        <w:rPr>
          <w:sz w:val="20"/>
        </w:rPr>
        <w:t>su</w:t>
      </w:r>
      <w:r>
        <w:rPr>
          <w:spacing w:val="-4"/>
          <w:sz w:val="20"/>
        </w:rPr>
        <w:t> </w:t>
      </w:r>
      <w:r>
        <w:rPr>
          <w:sz w:val="20"/>
        </w:rPr>
        <w:t>presupuesto corresponde a retribuciones del personal, constando con los informes favorables de la</w:t>
      </w:r>
      <w:r>
        <w:rPr>
          <w:spacing w:val="1"/>
          <w:sz w:val="20"/>
        </w:rPr>
        <w:t> </w:t>
      </w:r>
      <w:r>
        <w:rPr>
          <w:sz w:val="20"/>
        </w:rPr>
        <w:t>DGPP.</w:t>
      </w:r>
    </w:p>
    <w:p>
      <w:pPr>
        <w:pStyle w:val="BodyText"/>
        <w:spacing w:before="12"/>
        <w:rPr>
          <w:sz w:val="16"/>
        </w:rPr>
      </w:pPr>
    </w:p>
    <w:p>
      <w:pPr>
        <w:pStyle w:val="ListParagraph"/>
        <w:numPr>
          <w:ilvl w:val="0"/>
          <w:numId w:val="83"/>
        </w:numPr>
        <w:tabs>
          <w:tab w:pos="2337" w:val="left" w:leader="none"/>
        </w:tabs>
        <w:spacing w:line="242" w:lineRule="auto" w:before="0" w:after="0"/>
        <w:ind w:left="2336" w:right="1142" w:hanging="238"/>
        <w:jc w:val="both"/>
        <w:rPr>
          <w:sz w:val="20"/>
        </w:rPr>
      </w:pPr>
      <w:r>
        <w:rPr>
          <w:sz w:val="20"/>
        </w:rPr>
        <w:t>LENGUA</w:t>
      </w:r>
      <w:r>
        <w:rPr>
          <w:spacing w:val="-10"/>
          <w:sz w:val="20"/>
        </w:rPr>
        <w:t> </w:t>
      </w:r>
      <w:r>
        <w:rPr>
          <w:sz w:val="20"/>
        </w:rPr>
        <w:t>también</w:t>
      </w:r>
      <w:r>
        <w:rPr>
          <w:spacing w:val="-10"/>
          <w:sz w:val="20"/>
        </w:rPr>
        <w:t> </w:t>
      </w:r>
      <w:r>
        <w:rPr>
          <w:sz w:val="20"/>
        </w:rPr>
        <w:t>aporta</w:t>
      </w:r>
      <w:r>
        <w:rPr>
          <w:spacing w:val="-11"/>
          <w:sz w:val="20"/>
        </w:rPr>
        <w:t> </w:t>
      </w:r>
      <w:r>
        <w:rPr>
          <w:sz w:val="20"/>
        </w:rPr>
        <w:t>informe</w:t>
      </w:r>
      <w:r>
        <w:rPr>
          <w:spacing w:val="-10"/>
          <w:sz w:val="20"/>
        </w:rPr>
        <w:t> </w:t>
      </w:r>
      <w:r>
        <w:rPr>
          <w:sz w:val="20"/>
        </w:rPr>
        <w:t>de</w:t>
      </w:r>
      <w:r>
        <w:rPr>
          <w:spacing w:val="-9"/>
          <w:sz w:val="20"/>
        </w:rPr>
        <w:t> </w:t>
      </w:r>
      <w:r>
        <w:rPr>
          <w:sz w:val="20"/>
        </w:rPr>
        <w:t>la</w:t>
      </w:r>
      <w:r>
        <w:rPr>
          <w:spacing w:val="-10"/>
          <w:sz w:val="20"/>
        </w:rPr>
        <w:t> </w:t>
      </w:r>
      <w:r>
        <w:rPr>
          <w:sz w:val="20"/>
        </w:rPr>
        <w:t>DGPP</w:t>
      </w:r>
      <w:r>
        <w:rPr>
          <w:spacing w:val="-8"/>
          <w:sz w:val="20"/>
        </w:rPr>
        <w:t> </w:t>
      </w:r>
      <w:r>
        <w:rPr>
          <w:sz w:val="20"/>
        </w:rPr>
        <w:t>que</w:t>
      </w:r>
      <w:r>
        <w:rPr>
          <w:spacing w:val="-10"/>
          <w:sz w:val="20"/>
        </w:rPr>
        <w:t> </w:t>
      </w:r>
      <w:r>
        <w:rPr>
          <w:sz w:val="20"/>
        </w:rPr>
        <w:t>justifica</w:t>
      </w:r>
      <w:r>
        <w:rPr>
          <w:spacing w:val="-9"/>
          <w:sz w:val="20"/>
        </w:rPr>
        <w:t> </w:t>
      </w:r>
      <w:r>
        <w:rPr>
          <w:sz w:val="20"/>
        </w:rPr>
        <w:t>un</w:t>
      </w:r>
      <w:r>
        <w:rPr>
          <w:spacing w:val="-8"/>
          <w:sz w:val="20"/>
        </w:rPr>
        <w:t> </w:t>
      </w:r>
      <w:r>
        <w:rPr>
          <w:sz w:val="20"/>
        </w:rPr>
        <w:t>incremento</w:t>
      </w:r>
      <w:r>
        <w:rPr>
          <w:spacing w:val="-11"/>
          <w:sz w:val="20"/>
        </w:rPr>
        <w:t> </w:t>
      </w:r>
      <w:r>
        <w:rPr>
          <w:sz w:val="20"/>
        </w:rPr>
        <w:t>de</w:t>
      </w:r>
      <w:r>
        <w:rPr>
          <w:spacing w:val="-10"/>
          <w:sz w:val="20"/>
        </w:rPr>
        <w:t> </w:t>
      </w:r>
      <w:r>
        <w:rPr>
          <w:sz w:val="20"/>
        </w:rPr>
        <w:t>los</w:t>
      </w:r>
      <w:r>
        <w:rPr>
          <w:spacing w:val="-7"/>
          <w:sz w:val="20"/>
        </w:rPr>
        <w:t> </w:t>
      </w:r>
      <w:r>
        <w:rPr>
          <w:sz w:val="20"/>
        </w:rPr>
        <w:t>gastos de personal por 46.949 euros, incurriendo, no obstante, esta Fundación en una cifra superior al gasto autorizado, por el importe registrado de 47.469 euros. Lo mismo sucede para FUNCATRA y ACCION SOCIAL que, aun habiendo obtenido autorización mediante Acuerdo de Gobierno para la variación del presupuesto de explotación y de</w:t>
      </w:r>
      <w:r>
        <w:rPr>
          <w:spacing w:val="38"/>
          <w:sz w:val="20"/>
        </w:rPr>
        <w:t> </w:t>
      </w:r>
      <w:r>
        <w:rPr>
          <w:sz w:val="20"/>
        </w:rPr>
        <w:t>capital,</w:t>
      </w:r>
      <w:r>
        <w:rPr>
          <w:spacing w:val="37"/>
          <w:sz w:val="20"/>
        </w:rPr>
        <w:t> </w:t>
      </w:r>
      <w:r>
        <w:rPr>
          <w:sz w:val="20"/>
        </w:rPr>
        <w:t>las</w:t>
      </w:r>
      <w:r>
        <w:rPr>
          <w:spacing w:val="37"/>
          <w:sz w:val="20"/>
        </w:rPr>
        <w:t> </w:t>
      </w:r>
      <w:r>
        <w:rPr>
          <w:sz w:val="20"/>
        </w:rPr>
        <w:t>cifras</w:t>
      </w:r>
      <w:r>
        <w:rPr>
          <w:spacing w:val="37"/>
          <w:sz w:val="20"/>
        </w:rPr>
        <w:t> </w:t>
      </w:r>
      <w:r>
        <w:rPr>
          <w:sz w:val="20"/>
        </w:rPr>
        <w:t>de</w:t>
      </w:r>
      <w:r>
        <w:rPr>
          <w:spacing w:val="37"/>
          <w:sz w:val="20"/>
        </w:rPr>
        <w:t> </w:t>
      </w:r>
      <w:r>
        <w:rPr>
          <w:sz w:val="20"/>
        </w:rPr>
        <w:t>gastos</w:t>
      </w:r>
      <w:r>
        <w:rPr>
          <w:spacing w:val="37"/>
          <w:sz w:val="20"/>
        </w:rPr>
        <w:t> </w:t>
      </w:r>
      <w:r>
        <w:rPr>
          <w:sz w:val="20"/>
        </w:rPr>
        <w:t>de</w:t>
      </w:r>
      <w:r>
        <w:rPr>
          <w:spacing w:val="36"/>
          <w:sz w:val="20"/>
        </w:rPr>
        <w:t> </w:t>
      </w:r>
      <w:r>
        <w:rPr>
          <w:sz w:val="20"/>
        </w:rPr>
        <w:t>personal</w:t>
      </w:r>
      <w:r>
        <w:rPr>
          <w:spacing w:val="39"/>
          <w:sz w:val="20"/>
        </w:rPr>
        <w:t> </w:t>
      </w:r>
      <w:r>
        <w:rPr>
          <w:sz w:val="20"/>
        </w:rPr>
        <w:t>superan</w:t>
      </w:r>
      <w:r>
        <w:rPr>
          <w:spacing w:val="38"/>
          <w:sz w:val="20"/>
        </w:rPr>
        <w:t> </w:t>
      </w:r>
      <w:r>
        <w:rPr>
          <w:sz w:val="20"/>
        </w:rPr>
        <w:t>al</w:t>
      </w:r>
      <w:r>
        <w:rPr>
          <w:spacing w:val="37"/>
          <w:sz w:val="20"/>
        </w:rPr>
        <w:t> </w:t>
      </w:r>
      <w:r>
        <w:rPr>
          <w:sz w:val="20"/>
        </w:rPr>
        <w:t>presupuesto</w:t>
      </w:r>
      <w:r>
        <w:rPr>
          <w:spacing w:val="37"/>
          <w:sz w:val="20"/>
        </w:rPr>
        <w:t> </w:t>
      </w:r>
      <w:r>
        <w:rPr>
          <w:sz w:val="20"/>
        </w:rPr>
        <w:t>definitivo</w:t>
      </w:r>
      <w:r>
        <w:rPr>
          <w:spacing w:val="37"/>
          <w:sz w:val="20"/>
        </w:rPr>
        <w:t> </w:t>
      </w:r>
      <w:r>
        <w:rPr>
          <w:sz w:val="20"/>
        </w:rPr>
        <w:t>en</w:t>
      </w:r>
    </w:p>
    <w:p>
      <w:pPr>
        <w:pStyle w:val="BodyText"/>
        <w:spacing w:line="242" w:lineRule="exact"/>
        <w:ind w:left="2336"/>
        <w:jc w:val="both"/>
      </w:pPr>
      <w:r>
        <w:rPr/>
        <w:t>16.168 y 55.315 euros, respectivamente.</w:t>
      </w:r>
    </w:p>
    <w:p>
      <w:pPr>
        <w:pStyle w:val="BodyText"/>
        <w:spacing w:before="8"/>
        <w:rPr>
          <w:sz w:val="16"/>
        </w:rPr>
      </w:pPr>
    </w:p>
    <w:p>
      <w:pPr>
        <w:pStyle w:val="ListParagraph"/>
        <w:numPr>
          <w:ilvl w:val="0"/>
          <w:numId w:val="83"/>
        </w:numPr>
        <w:tabs>
          <w:tab w:pos="2337" w:val="left" w:leader="none"/>
        </w:tabs>
        <w:spacing w:line="240" w:lineRule="auto" w:before="0" w:after="0"/>
        <w:ind w:left="2336" w:right="1140" w:hanging="238"/>
        <w:jc w:val="both"/>
        <w:rPr>
          <w:sz w:val="20"/>
        </w:rPr>
      </w:pPr>
      <w:r>
        <w:rPr>
          <w:sz w:val="20"/>
        </w:rPr>
        <w:t>FIISC incrementa sus gastos de personal sin que conste la preceptiva autorización del Gobierno ni justificación, en su caso, de la excepcionalidad del Art. 34.1.c) de la LPGCAC para</w:t>
      </w:r>
      <w:r>
        <w:rPr>
          <w:spacing w:val="-1"/>
          <w:sz w:val="20"/>
        </w:rPr>
        <w:t> </w:t>
      </w:r>
      <w:r>
        <w:rPr>
          <w:sz w:val="20"/>
        </w:rPr>
        <w:t>2022.</w:t>
      </w:r>
    </w:p>
    <w:p>
      <w:pPr>
        <w:pStyle w:val="BodyText"/>
        <w:spacing w:before="11"/>
        <w:rPr>
          <w:sz w:val="16"/>
        </w:rPr>
      </w:pPr>
    </w:p>
    <w:p>
      <w:pPr>
        <w:pStyle w:val="ListParagraph"/>
        <w:numPr>
          <w:ilvl w:val="0"/>
          <w:numId w:val="83"/>
        </w:numPr>
        <w:tabs>
          <w:tab w:pos="2337" w:val="left" w:leader="none"/>
        </w:tabs>
        <w:spacing w:line="240" w:lineRule="auto" w:before="0" w:after="0"/>
        <w:ind w:left="2336" w:right="1144" w:hanging="238"/>
        <w:jc w:val="both"/>
        <w:rPr>
          <w:sz w:val="20"/>
        </w:rPr>
      </w:pPr>
      <w:r>
        <w:rPr>
          <w:sz w:val="20"/>
        </w:rPr>
        <w:t>LENGUA y MUSEO han incrementado el sueldo medio de sus empleados respecto al año anterior en un 19,5 % y un 3,9 %, respectivamente. A continuación, se presenta una tabla con los sueldos medios de cada fundación en</w:t>
      </w:r>
      <w:r>
        <w:rPr>
          <w:spacing w:val="1"/>
          <w:sz w:val="20"/>
        </w:rPr>
        <w:t> </w:t>
      </w:r>
      <w:r>
        <w:rPr>
          <w:sz w:val="20"/>
        </w:rPr>
        <w:t>2022:</w:t>
      </w:r>
    </w:p>
    <w:p>
      <w:pPr>
        <w:pStyle w:val="BodyText"/>
        <w:spacing w:before="10"/>
        <w:rPr>
          <w:sz w:val="16"/>
        </w:rPr>
      </w:pPr>
    </w:p>
    <w:tbl>
      <w:tblPr>
        <w:tblW w:w="0" w:type="auto"/>
        <w:jc w:val="left"/>
        <w:tblInd w:w="3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4"/>
        <w:gridCol w:w="2281"/>
      </w:tblGrid>
      <w:tr>
        <w:trPr>
          <w:trHeight w:val="300" w:hRule="atLeast"/>
        </w:trPr>
        <w:tc>
          <w:tcPr>
            <w:tcW w:w="2114" w:type="dxa"/>
            <w:tcBorders>
              <w:bottom w:val="nil"/>
            </w:tcBorders>
          </w:tcPr>
          <w:p>
            <w:pPr>
              <w:pStyle w:val="TableParagraph"/>
              <w:rPr>
                <w:rFonts w:ascii="Times New Roman"/>
                <w:sz w:val="16"/>
              </w:rPr>
            </w:pPr>
          </w:p>
        </w:tc>
        <w:tc>
          <w:tcPr>
            <w:tcW w:w="2281" w:type="dxa"/>
            <w:shd w:val="clear" w:color="auto" w:fill="DEEAF6"/>
          </w:tcPr>
          <w:p>
            <w:pPr>
              <w:pStyle w:val="TableParagraph"/>
              <w:spacing w:before="76"/>
              <w:ind w:left="463" w:right="452"/>
              <w:jc w:val="center"/>
              <w:rPr>
                <w:b/>
                <w:sz w:val="13"/>
              </w:rPr>
            </w:pPr>
            <w:r>
              <w:rPr>
                <w:b/>
                <w:w w:val="105"/>
                <w:sz w:val="13"/>
              </w:rPr>
              <w:t>Sueldos medios (</w:t>
            </w:r>
            <w:r>
              <w:rPr>
                <w:w w:val="105"/>
                <w:sz w:val="13"/>
              </w:rPr>
              <w:t>euros</w:t>
            </w:r>
            <w:r>
              <w:rPr>
                <w:b/>
                <w:w w:val="105"/>
                <w:sz w:val="13"/>
              </w:rPr>
              <w:t>)</w:t>
            </w:r>
          </w:p>
        </w:tc>
      </w:tr>
      <w:tr>
        <w:trPr>
          <w:trHeight w:val="220" w:hRule="atLeast"/>
        </w:trPr>
        <w:tc>
          <w:tcPr>
            <w:tcW w:w="2114" w:type="dxa"/>
            <w:tcBorders>
              <w:top w:val="nil"/>
              <w:bottom w:val="nil"/>
            </w:tcBorders>
          </w:tcPr>
          <w:p>
            <w:pPr>
              <w:pStyle w:val="TableParagraph"/>
              <w:spacing w:before="28"/>
              <w:ind w:left="233"/>
              <w:rPr>
                <w:b/>
                <w:sz w:val="13"/>
              </w:rPr>
            </w:pPr>
            <w:r>
              <w:rPr>
                <w:b/>
                <w:w w:val="105"/>
                <w:sz w:val="13"/>
              </w:rPr>
              <w:t>LENGUA</w:t>
            </w:r>
          </w:p>
        </w:tc>
        <w:tc>
          <w:tcPr>
            <w:tcW w:w="2281" w:type="dxa"/>
            <w:tcBorders>
              <w:bottom w:val="nil"/>
            </w:tcBorders>
          </w:tcPr>
          <w:p>
            <w:pPr>
              <w:pStyle w:val="TableParagraph"/>
              <w:spacing w:before="24"/>
              <w:ind w:left="463" w:right="452"/>
              <w:jc w:val="center"/>
              <w:rPr>
                <w:sz w:val="13"/>
              </w:rPr>
            </w:pPr>
            <w:r>
              <w:rPr>
                <w:w w:val="105"/>
                <w:sz w:val="13"/>
              </w:rPr>
              <w:t>21.027,79</w:t>
            </w:r>
          </w:p>
        </w:tc>
      </w:tr>
      <w:tr>
        <w:trPr>
          <w:trHeight w:val="206" w:hRule="atLeast"/>
        </w:trPr>
        <w:tc>
          <w:tcPr>
            <w:tcW w:w="2114" w:type="dxa"/>
            <w:tcBorders>
              <w:top w:val="nil"/>
              <w:bottom w:val="nil"/>
            </w:tcBorders>
          </w:tcPr>
          <w:p>
            <w:pPr>
              <w:pStyle w:val="TableParagraph"/>
              <w:spacing w:before="15"/>
              <w:ind w:left="233"/>
              <w:rPr>
                <w:b/>
                <w:sz w:val="13"/>
              </w:rPr>
            </w:pPr>
            <w:r>
              <w:rPr>
                <w:b/>
                <w:w w:val="105"/>
                <w:sz w:val="13"/>
              </w:rPr>
              <w:t>FUNCATRA</w:t>
            </w:r>
          </w:p>
        </w:tc>
        <w:tc>
          <w:tcPr>
            <w:tcW w:w="2281" w:type="dxa"/>
            <w:tcBorders>
              <w:top w:val="nil"/>
              <w:bottom w:val="nil"/>
            </w:tcBorders>
          </w:tcPr>
          <w:p>
            <w:pPr>
              <w:pStyle w:val="TableParagraph"/>
              <w:spacing w:before="11"/>
              <w:ind w:left="463" w:right="452"/>
              <w:jc w:val="center"/>
              <w:rPr>
                <w:sz w:val="13"/>
              </w:rPr>
            </w:pPr>
            <w:r>
              <w:rPr>
                <w:w w:val="105"/>
                <w:sz w:val="13"/>
              </w:rPr>
              <w:t>33.664,21</w:t>
            </w:r>
          </w:p>
        </w:tc>
      </w:tr>
      <w:tr>
        <w:trPr>
          <w:trHeight w:val="206" w:hRule="atLeast"/>
        </w:trPr>
        <w:tc>
          <w:tcPr>
            <w:tcW w:w="2114" w:type="dxa"/>
            <w:tcBorders>
              <w:top w:val="nil"/>
              <w:bottom w:val="nil"/>
            </w:tcBorders>
          </w:tcPr>
          <w:p>
            <w:pPr>
              <w:pStyle w:val="TableParagraph"/>
              <w:spacing w:before="14"/>
              <w:ind w:left="233"/>
              <w:rPr>
                <w:b/>
                <w:sz w:val="13"/>
              </w:rPr>
            </w:pPr>
            <w:r>
              <w:rPr>
                <w:b/>
                <w:w w:val="105"/>
                <w:sz w:val="13"/>
              </w:rPr>
              <w:t>IDEO</w:t>
            </w:r>
          </w:p>
        </w:tc>
        <w:tc>
          <w:tcPr>
            <w:tcW w:w="2281" w:type="dxa"/>
            <w:tcBorders>
              <w:top w:val="nil"/>
              <w:bottom w:val="nil"/>
            </w:tcBorders>
          </w:tcPr>
          <w:p>
            <w:pPr>
              <w:pStyle w:val="TableParagraph"/>
              <w:spacing w:before="10"/>
              <w:ind w:left="463" w:right="452"/>
              <w:jc w:val="center"/>
              <w:rPr>
                <w:sz w:val="13"/>
              </w:rPr>
            </w:pPr>
            <w:r>
              <w:rPr>
                <w:w w:val="105"/>
                <w:sz w:val="13"/>
              </w:rPr>
              <w:t>26.392,68</w:t>
            </w:r>
          </w:p>
        </w:tc>
      </w:tr>
      <w:tr>
        <w:trPr>
          <w:trHeight w:val="207" w:hRule="atLeast"/>
        </w:trPr>
        <w:tc>
          <w:tcPr>
            <w:tcW w:w="2114" w:type="dxa"/>
            <w:tcBorders>
              <w:top w:val="nil"/>
              <w:bottom w:val="nil"/>
            </w:tcBorders>
          </w:tcPr>
          <w:p>
            <w:pPr>
              <w:pStyle w:val="TableParagraph"/>
              <w:spacing w:before="16"/>
              <w:ind w:left="233"/>
              <w:rPr>
                <w:b/>
                <w:sz w:val="13"/>
              </w:rPr>
            </w:pPr>
            <w:r>
              <w:rPr>
                <w:b/>
                <w:w w:val="105"/>
                <w:sz w:val="13"/>
              </w:rPr>
              <w:t>ACCIÓN SOCIAL</w:t>
            </w:r>
          </w:p>
        </w:tc>
        <w:tc>
          <w:tcPr>
            <w:tcW w:w="2281" w:type="dxa"/>
            <w:tcBorders>
              <w:top w:val="nil"/>
              <w:bottom w:val="nil"/>
            </w:tcBorders>
          </w:tcPr>
          <w:p>
            <w:pPr>
              <w:pStyle w:val="TableParagraph"/>
              <w:spacing w:before="11"/>
              <w:ind w:left="463" w:right="452"/>
              <w:jc w:val="center"/>
              <w:rPr>
                <w:sz w:val="13"/>
              </w:rPr>
            </w:pPr>
            <w:r>
              <w:rPr>
                <w:w w:val="105"/>
                <w:sz w:val="13"/>
              </w:rPr>
              <w:t>23.249,39</w:t>
            </w:r>
          </w:p>
        </w:tc>
      </w:tr>
      <w:tr>
        <w:trPr>
          <w:trHeight w:val="206" w:hRule="atLeast"/>
        </w:trPr>
        <w:tc>
          <w:tcPr>
            <w:tcW w:w="2114" w:type="dxa"/>
            <w:tcBorders>
              <w:top w:val="nil"/>
              <w:bottom w:val="nil"/>
            </w:tcBorders>
          </w:tcPr>
          <w:p>
            <w:pPr>
              <w:pStyle w:val="TableParagraph"/>
              <w:spacing w:before="14"/>
              <w:ind w:left="233"/>
              <w:rPr>
                <w:b/>
                <w:sz w:val="13"/>
              </w:rPr>
            </w:pPr>
            <w:r>
              <w:rPr>
                <w:b/>
                <w:w w:val="105"/>
                <w:sz w:val="13"/>
              </w:rPr>
              <w:t>MUSEO</w:t>
            </w:r>
          </w:p>
        </w:tc>
        <w:tc>
          <w:tcPr>
            <w:tcW w:w="2281" w:type="dxa"/>
            <w:tcBorders>
              <w:top w:val="nil"/>
              <w:bottom w:val="nil"/>
            </w:tcBorders>
          </w:tcPr>
          <w:p>
            <w:pPr>
              <w:pStyle w:val="TableParagraph"/>
              <w:spacing w:before="10"/>
              <w:ind w:left="463" w:right="452"/>
              <w:jc w:val="center"/>
              <w:rPr>
                <w:sz w:val="13"/>
              </w:rPr>
            </w:pPr>
            <w:r>
              <w:rPr>
                <w:w w:val="105"/>
                <w:sz w:val="13"/>
              </w:rPr>
              <w:t>22.599,09</w:t>
            </w:r>
          </w:p>
        </w:tc>
      </w:tr>
      <w:tr>
        <w:trPr>
          <w:trHeight w:val="206" w:hRule="atLeast"/>
        </w:trPr>
        <w:tc>
          <w:tcPr>
            <w:tcW w:w="2114" w:type="dxa"/>
            <w:tcBorders>
              <w:top w:val="nil"/>
              <w:bottom w:val="nil"/>
            </w:tcBorders>
          </w:tcPr>
          <w:p>
            <w:pPr>
              <w:pStyle w:val="TableParagraph"/>
              <w:spacing w:before="15"/>
              <w:ind w:left="233"/>
              <w:rPr>
                <w:b/>
                <w:sz w:val="13"/>
              </w:rPr>
            </w:pPr>
            <w:r>
              <w:rPr>
                <w:b/>
                <w:w w:val="105"/>
                <w:sz w:val="13"/>
              </w:rPr>
              <w:t>FUCAEX</w:t>
            </w:r>
          </w:p>
        </w:tc>
        <w:tc>
          <w:tcPr>
            <w:tcW w:w="2281" w:type="dxa"/>
            <w:tcBorders>
              <w:top w:val="nil"/>
              <w:bottom w:val="nil"/>
            </w:tcBorders>
          </w:tcPr>
          <w:p>
            <w:pPr>
              <w:pStyle w:val="TableParagraph"/>
              <w:spacing w:before="11"/>
              <w:ind w:left="463" w:right="452"/>
              <w:jc w:val="center"/>
              <w:rPr>
                <w:sz w:val="13"/>
              </w:rPr>
            </w:pPr>
            <w:r>
              <w:rPr>
                <w:w w:val="105"/>
                <w:sz w:val="13"/>
              </w:rPr>
              <w:t>34.071,61</w:t>
            </w:r>
          </w:p>
        </w:tc>
      </w:tr>
      <w:tr>
        <w:trPr>
          <w:trHeight w:val="191" w:hRule="atLeast"/>
        </w:trPr>
        <w:tc>
          <w:tcPr>
            <w:tcW w:w="2114" w:type="dxa"/>
            <w:tcBorders>
              <w:top w:val="nil"/>
            </w:tcBorders>
          </w:tcPr>
          <w:p>
            <w:pPr>
              <w:pStyle w:val="TableParagraph"/>
              <w:spacing w:line="157" w:lineRule="exact" w:before="14"/>
              <w:ind w:left="233"/>
              <w:rPr>
                <w:b/>
                <w:sz w:val="13"/>
              </w:rPr>
            </w:pPr>
            <w:r>
              <w:rPr>
                <w:b/>
                <w:w w:val="105"/>
                <w:sz w:val="13"/>
              </w:rPr>
              <w:t>FIISC</w:t>
            </w:r>
          </w:p>
        </w:tc>
        <w:tc>
          <w:tcPr>
            <w:tcW w:w="2281" w:type="dxa"/>
            <w:tcBorders>
              <w:top w:val="nil"/>
            </w:tcBorders>
          </w:tcPr>
          <w:p>
            <w:pPr>
              <w:pStyle w:val="TableParagraph"/>
              <w:spacing w:before="10"/>
              <w:ind w:left="463" w:right="452"/>
              <w:jc w:val="center"/>
              <w:rPr>
                <w:sz w:val="13"/>
              </w:rPr>
            </w:pPr>
            <w:r>
              <w:rPr>
                <w:w w:val="105"/>
                <w:sz w:val="13"/>
              </w:rPr>
              <w:t>18.559,33</w:t>
            </w:r>
          </w:p>
        </w:tc>
      </w:tr>
    </w:tbl>
    <w:p>
      <w:pPr>
        <w:pStyle w:val="BodyText"/>
        <w:spacing w:before="7"/>
        <w:rPr>
          <w:sz w:val="16"/>
        </w:rPr>
      </w:pPr>
    </w:p>
    <w:p>
      <w:pPr>
        <w:pStyle w:val="ListParagraph"/>
        <w:numPr>
          <w:ilvl w:val="0"/>
          <w:numId w:val="83"/>
        </w:numPr>
        <w:tabs>
          <w:tab w:pos="2337" w:val="left" w:leader="none"/>
        </w:tabs>
        <w:spacing w:line="240" w:lineRule="auto" w:before="0" w:after="0"/>
        <w:ind w:left="2336" w:right="1144" w:hanging="238"/>
        <w:jc w:val="both"/>
        <w:rPr>
          <w:sz w:val="20"/>
        </w:rPr>
      </w:pPr>
      <w:r>
        <w:rPr>
          <w:sz w:val="20"/>
        </w:rPr>
        <w:t>A nivel agregado, el número de personas contabilizadas en el presupuesto definitivo para</w:t>
      </w:r>
      <w:r>
        <w:rPr>
          <w:spacing w:val="-4"/>
          <w:sz w:val="20"/>
        </w:rPr>
        <w:t> </w:t>
      </w:r>
      <w:r>
        <w:rPr>
          <w:sz w:val="20"/>
        </w:rPr>
        <w:t>el</w:t>
      </w:r>
      <w:r>
        <w:rPr>
          <w:spacing w:val="-3"/>
          <w:sz w:val="20"/>
        </w:rPr>
        <w:t> </w:t>
      </w:r>
      <w:r>
        <w:rPr>
          <w:sz w:val="20"/>
        </w:rPr>
        <w:t>conjunto</w:t>
      </w:r>
      <w:r>
        <w:rPr>
          <w:spacing w:val="-5"/>
          <w:sz w:val="20"/>
        </w:rPr>
        <w:t> </w:t>
      </w:r>
      <w:r>
        <w:rPr>
          <w:sz w:val="20"/>
        </w:rPr>
        <w:t>de</w:t>
      </w:r>
      <w:r>
        <w:rPr>
          <w:spacing w:val="-3"/>
          <w:sz w:val="20"/>
        </w:rPr>
        <w:t> </w:t>
      </w:r>
      <w:r>
        <w:rPr>
          <w:sz w:val="20"/>
        </w:rPr>
        <w:t>las</w:t>
      </w:r>
      <w:r>
        <w:rPr>
          <w:spacing w:val="-4"/>
          <w:sz w:val="20"/>
        </w:rPr>
        <w:t> </w:t>
      </w:r>
      <w:r>
        <w:rPr>
          <w:sz w:val="20"/>
        </w:rPr>
        <w:t>fundaciones</w:t>
      </w:r>
      <w:r>
        <w:rPr>
          <w:spacing w:val="-3"/>
          <w:sz w:val="20"/>
        </w:rPr>
        <w:t> </w:t>
      </w:r>
      <w:r>
        <w:rPr>
          <w:sz w:val="20"/>
        </w:rPr>
        <w:t>era</w:t>
      </w:r>
      <w:r>
        <w:rPr>
          <w:spacing w:val="-5"/>
          <w:sz w:val="20"/>
        </w:rPr>
        <w:t> </w:t>
      </w:r>
      <w:r>
        <w:rPr>
          <w:sz w:val="20"/>
        </w:rPr>
        <w:t>de</w:t>
      </w:r>
      <w:r>
        <w:rPr>
          <w:spacing w:val="-3"/>
          <w:sz w:val="20"/>
        </w:rPr>
        <w:t> </w:t>
      </w:r>
      <w:r>
        <w:rPr>
          <w:sz w:val="20"/>
        </w:rPr>
        <w:t>980</w:t>
      </w:r>
      <w:r>
        <w:rPr>
          <w:spacing w:val="-4"/>
          <w:sz w:val="20"/>
        </w:rPr>
        <w:t> </w:t>
      </w:r>
      <w:r>
        <w:rPr>
          <w:sz w:val="20"/>
        </w:rPr>
        <w:t>frente</w:t>
      </w:r>
      <w:r>
        <w:rPr>
          <w:spacing w:val="-4"/>
          <w:sz w:val="20"/>
        </w:rPr>
        <w:t> </w:t>
      </w:r>
      <w:r>
        <w:rPr>
          <w:sz w:val="20"/>
        </w:rPr>
        <w:t>a</w:t>
      </w:r>
      <w:r>
        <w:rPr>
          <w:spacing w:val="-5"/>
          <w:sz w:val="20"/>
        </w:rPr>
        <w:t> </w:t>
      </w:r>
      <w:r>
        <w:rPr>
          <w:sz w:val="20"/>
        </w:rPr>
        <w:t>las</w:t>
      </w:r>
      <w:r>
        <w:rPr>
          <w:spacing w:val="-3"/>
          <w:sz w:val="20"/>
        </w:rPr>
        <w:t> </w:t>
      </w:r>
      <w:r>
        <w:rPr>
          <w:sz w:val="20"/>
        </w:rPr>
        <w:t>937,62</w:t>
      </w:r>
      <w:r>
        <w:rPr>
          <w:spacing w:val="-5"/>
          <w:sz w:val="20"/>
        </w:rPr>
        <w:t> </w:t>
      </w:r>
      <w:r>
        <w:rPr>
          <w:sz w:val="20"/>
        </w:rPr>
        <w:t>personas</w:t>
      </w:r>
      <w:r>
        <w:rPr>
          <w:spacing w:val="-6"/>
          <w:sz w:val="20"/>
        </w:rPr>
        <w:t> </w:t>
      </w:r>
      <w:r>
        <w:rPr>
          <w:sz w:val="20"/>
        </w:rPr>
        <w:t>de</w:t>
      </w:r>
      <w:r>
        <w:rPr>
          <w:spacing w:val="-3"/>
          <w:sz w:val="20"/>
        </w:rPr>
        <w:t> </w:t>
      </w:r>
      <w:r>
        <w:rPr>
          <w:sz w:val="20"/>
        </w:rPr>
        <w:t>media en plantilla a 31 de diciembre de 2022. La mayor desviación presupuestaria</w:t>
      </w:r>
      <w:r>
        <w:rPr>
          <w:spacing w:val="23"/>
          <w:sz w:val="20"/>
        </w:rPr>
        <w:t> </w:t>
      </w:r>
      <w:r>
        <w:rPr>
          <w:sz w:val="20"/>
        </w:rPr>
        <w:t>negativa</w:t>
      </w:r>
    </w:p>
    <w:p>
      <w:pPr>
        <w:pStyle w:val="BodyText"/>
        <w:spacing w:before="158"/>
        <w:ind w:right="1140"/>
        <w:jc w:val="right"/>
      </w:pPr>
      <w:r>
        <w:rPr/>
        <w:t>133</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81" name="image5.png"/>
                  <wp:cNvGraphicFramePr>
                    <a:graphicFrameLocks noChangeAspect="1"/>
                  </wp:cNvGraphicFramePr>
                  <a:graphic>
                    <a:graphicData uri="http://schemas.openxmlformats.org/drawingml/2006/picture">
                      <pic:pic>
                        <pic:nvPicPr>
                          <pic:cNvPr id="28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135/247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line="242" w:lineRule="auto" w:before="61"/>
        <w:ind w:left="2336" w:right="1145"/>
        <w:jc w:val="both"/>
      </w:pPr>
      <w:r>
        <w:rPr/>
        <w:t>se concentra en FIISC que, con una previsión inicial de 97 personas, finalmente alcanzaría una plantilla media de 136 efectivos (desviación de 39 personas). En el cuadro siguiente se efectúa una comparativa entre el número de personas del presupuesto definitivo y el número de personas medio en la plantilla durante 2022:</w:t>
      </w:r>
    </w:p>
    <w:p>
      <w:pPr>
        <w:pStyle w:val="BodyText"/>
        <w:spacing w:before="4"/>
        <w:rPr>
          <w:sz w:val="16"/>
        </w:rPr>
      </w:pPr>
    </w:p>
    <w:tbl>
      <w:tblPr>
        <w:tblW w:w="0" w:type="auto"/>
        <w:jc w:val="left"/>
        <w:tblInd w:w="3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2475"/>
      </w:tblGrid>
      <w:tr>
        <w:trPr>
          <w:trHeight w:val="212" w:hRule="atLeast"/>
        </w:trPr>
        <w:tc>
          <w:tcPr>
            <w:tcW w:w="1911" w:type="dxa"/>
            <w:tcBorders>
              <w:bottom w:val="nil"/>
            </w:tcBorders>
          </w:tcPr>
          <w:p>
            <w:pPr>
              <w:pStyle w:val="TableParagraph"/>
              <w:rPr>
                <w:rFonts w:ascii="Times New Roman"/>
                <w:sz w:val="14"/>
              </w:rPr>
            </w:pPr>
          </w:p>
        </w:tc>
        <w:tc>
          <w:tcPr>
            <w:tcW w:w="2475" w:type="dxa"/>
            <w:tcBorders>
              <w:bottom w:val="nil"/>
            </w:tcBorders>
            <w:shd w:val="clear" w:color="auto" w:fill="DEEAF6"/>
          </w:tcPr>
          <w:p>
            <w:pPr>
              <w:pStyle w:val="TableParagraph"/>
              <w:spacing w:line="152" w:lineRule="exact" w:before="40"/>
              <w:ind w:left="160" w:right="158"/>
              <w:jc w:val="center"/>
              <w:rPr>
                <w:b/>
                <w:sz w:val="13"/>
              </w:rPr>
            </w:pPr>
            <w:r>
              <w:rPr>
                <w:b/>
                <w:w w:val="105"/>
                <w:sz w:val="13"/>
              </w:rPr>
              <w:t>Nº Personas presupuesto definitivo –</w:t>
            </w:r>
          </w:p>
        </w:tc>
      </w:tr>
      <w:tr>
        <w:trPr>
          <w:trHeight w:val="190" w:hRule="atLeast"/>
        </w:trPr>
        <w:tc>
          <w:tcPr>
            <w:tcW w:w="1911" w:type="dxa"/>
            <w:tcBorders>
              <w:top w:val="nil"/>
              <w:bottom w:val="nil"/>
            </w:tcBorders>
          </w:tcPr>
          <w:p>
            <w:pPr>
              <w:pStyle w:val="TableParagraph"/>
              <w:rPr>
                <w:rFonts w:ascii="Times New Roman"/>
                <w:sz w:val="12"/>
              </w:rPr>
            </w:pPr>
          </w:p>
        </w:tc>
        <w:tc>
          <w:tcPr>
            <w:tcW w:w="2475" w:type="dxa"/>
            <w:tcBorders>
              <w:top w:val="nil"/>
            </w:tcBorders>
            <w:shd w:val="clear" w:color="auto" w:fill="DEEAF6"/>
          </w:tcPr>
          <w:p>
            <w:pPr>
              <w:pStyle w:val="TableParagraph"/>
              <w:spacing w:line="150" w:lineRule="exact"/>
              <w:ind w:left="160" w:right="157"/>
              <w:jc w:val="center"/>
              <w:rPr>
                <w:b/>
                <w:sz w:val="13"/>
              </w:rPr>
            </w:pPr>
            <w:r>
              <w:rPr>
                <w:b/>
                <w:w w:val="105"/>
                <w:sz w:val="13"/>
              </w:rPr>
              <w:t>Nº Personas medio real</w:t>
            </w:r>
          </w:p>
        </w:tc>
      </w:tr>
      <w:tr>
        <w:trPr>
          <w:trHeight w:val="197" w:hRule="atLeast"/>
        </w:trPr>
        <w:tc>
          <w:tcPr>
            <w:tcW w:w="1911" w:type="dxa"/>
            <w:tcBorders>
              <w:top w:val="nil"/>
              <w:bottom w:val="nil"/>
            </w:tcBorders>
          </w:tcPr>
          <w:p>
            <w:pPr>
              <w:pStyle w:val="TableParagraph"/>
              <w:spacing w:before="14"/>
              <w:ind w:left="57"/>
              <w:rPr>
                <w:b/>
                <w:sz w:val="13"/>
              </w:rPr>
            </w:pPr>
            <w:r>
              <w:rPr>
                <w:b/>
                <w:w w:val="105"/>
                <w:sz w:val="13"/>
              </w:rPr>
              <w:t>LENGUA</w:t>
            </w:r>
          </w:p>
        </w:tc>
        <w:tc>
          <w:tcPr>
            <w:tcW w:w="2475" w:type="dxa"/>
            <w:tcBorders>
              <w:bottom w:val="nil"/>
            </w:tcBorders>
          </w:tcPr>
          <w:p>
            <w:pPr>
              <w:pStyle w:val="TableParagraph"/>
              <w:spacing w:before="14"/>
              <w:ind w:left="160" w:right="155"/>
              <w:jc w:val="center"/>
              <w:rPr>
                <w:sz w:val="13"/>
              </w:rPr>
            </w:pPr>
            <w:r>
              <w:rPr>
                <w:w w:val="105"/>
                <w:sz w:val="13"/>
              </w:rPr>
              <w:t>0,30</w:t>
            </w:r>
          </w:p>
        </w:tc>
      </w:tr>
      <w:tr>
        <w:trPr>
          <w:trHeight w:val="186" w:hRule="atLeast"/>
        </w:trPr>
        <w:tc>
          <w:tcPr>
            <w:tcW w:w="1911" w:type="dxa"/>
            <w:tcBorders>
              <w:top w:val="nil"/>
              <w:bottom w:val="nil"/>
            </w:tcBorders>
          </w:tcPr>
          <w:p>
            <w:pPr>
              <w:pStyle w:val="TableParagraph"/>
              <w:spacing w:before="2"/>
              <w:ind w:left="57"/>
              <w:rPr>
                <w:b/>
                <w:sz w:val="13"/>
              </w:rPr>
            </w:pPr>
            <w:r>
              <w:rPr>
                <w:b/>
                <w:w w:val="105"/>
                <w:sz w:val="13"/>
              </w:rPr>
              <w:t>FUNCATRA</w:t>
            </w:r>
          </w:p>
        </w:tc>
        <w:tc>
          <w:tcPr>
            <w:tcW w:w="2475" w:type="dxa"/>
            <w:tcBorders>
              <w:top w:val="nil"/>
              <w:bottom w:val="nil"/>
            </w:tcBorders>
          </w:tcPr>
          <w:p>
            <w:pPr>
              <w:pStyle w:val="TableParagraph"/>
              <w:spacing w:before="2"/>
              <w:ind w:left="160" w:right="155"/>
              <w:jc w:val="center"/>
              <w:rPr>
                <w:sz w:val="13"/>
              </w:rPr>
            </w:pPr>
            <w:r>
              <w:rPr>
                <w:w w:val="105"/>
                <w:sz w:val="13"/>
              </w:rPr>
              <w:t>16,45</w:t>
            </w:r>
          </w:p>
        </w:tc>
      </w:tr>
      <w:tr>
        <w:trPr>
          <w:trHeight w:val="186" w:hRule="atLeast"/>
        </w:trPr>
        <w:tc>
          <w:tcPr>
            <w:tcW w:w="1911" w:type="dxa"/>
            <w:tcBorders>
              <w:top w:val="nil"/>
              <w:bottom w:val="nil"/>
            </w:tcBorders>
          </w:tcPr>
          <w:p>
            <w:pPr>
              <w:pStyle w:val="TableParagraph"/>
              <w:spacing w:before="3"/>
              <w:ind w:left="57"/>
              <w:rPr>
                <w:b/>
                <w:sz w:val="13"/>
              </w:rPr>
            </w:pPr>
            <w:r>
              <w:rPr>
                <w:b/>
                <w:w w:val="105"/>
                <w:sz w:val="13"/>
              </w:rPr>
              <w:t>IDEO</w:t>
            </w:r>
          </w:p>
        </w:tc>
        <w:tc>
          <w:tcPr>
            <w:tcW w:w="2475" w:type="dxa"/>
            <w:tcBorders>
              <w:top w:val="nil"/>
              <w:bottom w:val="nil"/>
            </w:tcBorders>
          </w:tcPr>
          <w:p>
            <w:pPr>
              <w:pStyle w:val="TableParagraph"/>
              <w:spacing w:before="3"/>
              <w:ind w:left="160" w:right="155"/>
              <w:jc w:val="center"/>
              <w:rPr>
                <w:sz w:val="13"/>
              </w:rPr>
            </w:pPr>
            <w:r>
              <w:rPr>
                <w:w w:val="105"/>
                <w:sz w:val="13"/>
              </w:rPr>
              <w:t>50,53</w:t>
            </w:r>
          </w:p>
        </w:tc>
      </w:tr>
      <w:tr>
        <w:trPr>
          <w:trHeight w:val="186" w:hRule="atLeast"/>
        </w:trPr>
        <w:tc>
          <w:tcPr>
            <w:tcW w:w="1911" w:type="dxa"/>
            <w:tcBorders>
              <w:top w:val="nil"/>
              <w:bottom w:val="nil"/>
            </w:tcBorders>
          </w:tcPr>
          <w:p>
            <w:pPr>
              <w:pStyle w:val="TableParagraph"/>
              <w:spacing w:before="2"/>
              <w:ind w:left="57"/>
              <w:rPr>
                <w:b/>
                <w:sz w:val="13"/>
              </w:rPr>
            </w:pPr>
            <w:r>
              <w:rPr>
                <w:b/>
                <w:w w:val="105"/>
                <w:sz w:val="13"/>
              </w:rPr>
              <w:t>ACCIÓN SOCIAL</w:t>
            </w:r>
          </w:p>
        </w:tc>
        <w:tc>
          <w:tcPr>
            <w:tcW w:w="2475" w:type="dxa"/>
            <w:tcBorders>
              <w:top w:val="nil"/>
              <w:bottom w:val="nil"/>
            </w:tcBorders>
          </w:tcPr>
          <w:p>
            <w:pPr>
              <w:pStyle w:val="TableParagraph"/>
              <w:spacing w:before="2"/>
              <w:ind w:left="160" w:right="155"/>
              <w:jc w:val="center"/>
              <w:rPr>
                <w:sz w:val="13"/>
              </w:rPr>
            </w:pPr>
            <w:r>
              <w:rPr>
                <w:w w:val="105"/>
                <w:sz w:val="13"/>
              </w:rPr>
              <w:t>11,26</w:t>
            </w:r>
          </w:p>
        </w:tc>
      </w:tr>
      <w:tr>
        <w:trPr>
          <w:trHeight w:val="186" w:hRule="atLeast"/>
        </w:trPr>
        <w:tc>
          <w:tcPr>
            <w:tcW w:w="1911" w:type="dxa"/>
            <w:tcBorders>
              <w:top w:val="nil"/>
              <w:bottom w:val="nil"/>
            </w:tcBorders>
          </w:tcPr>
          <w:p>
            <w:pPr>
              <w:pStyle w:val="TableParagraph"/>
              <w:spacing w:before="4"/>
              <w:ind w:left="57"/>
              <w:rPr>
                <w:b/>
                <w:sz w:val="13"/>
              </w:rPr>
            </w:pPr>
            <w:r>
              <w:rPr>
                <w:b/>
                <w:w w:val="105"/>
                <w:sz w:val="13"/>
              </w:rPr>
              <w:t>MUSEO</w:t>
            </w:r>
          </w:p>
        </w:tc>
        <w:tc>
          <w:tcPr>
            <w:tcW w:w="2475" w:type="dxa"/>
            <w:tcBorders>
              <w:top w:val="nil"/>
              <w:bottom w:val="nil"/>
            </w:tcBorders>
          </w:tcPr>
          <w:p>
            <w:pPr>
              <w:pStyle w:val="TableParagraph"/>
              <w:spacing w:before="4"/>
              <w:ind w:left="4"/>
              <w:jc w:val="center"/>
              <w:rPr>
                <w:sz w:val="13"/>
              </w:rPr>
            </w:pPr>
            <w:r>
              <w:rPr>
                <w:w w:val="103"/>
                <w:sz w:val="13"/>
              </w:rPr>
              <w:t>-</w:t>
            </w:r>
          </w:p>
        </w:tc>
      </w:tr>
      <w:tr>
        <w:trPr>
          <w:trHeight w:val="186" w:hRule="atLeast"/>
        </w:trPr>
        <w:tc>
          <w:tcPr>
            <w:tcW w:w="1911" w:type="dxa"/>
            <w:tcBorders>
              <w:top w:val="nil"/>
              <w:bottom w:val="nil"/>
            </w:tcBorders>
          </w:tcPr>
          <w:p>
            <w:pPr>
              <w:pStyle w:val="TableParagraph"/>
              <w:spacing w:before="2"/>
              <w:ind w:left="57"/>
              <w:rPr>
                <w:b/>
                <w:sz w:val="13"/>
              </w:rPr>
            </w:pPr>
            <w:r>
              <w:rPr>
                <w:b/>
                <w:w w:val="105"/>
                <w:sz w:val="13"/>
              </w:rPr>
              <w:t>FUCAEX</w:t>
            </w:r>
          </w:p>
        </w:tc>
        <w:tc>
          <w:tcPr>
            <w:tcW w:w="2475" w:type="dxa"/>
            <w:tcBorders>
              <w:top w:val="nil"/>
              <w:bottom w:val="nil"/>
            </w:tcBorders>
          </w:tcPr>
          <w:p>
            <w:pPr>
              <w:pStyle w:val="TableParagraph"/>
              <w:spacing w:before="2"/>
              <w:ind w:left="160" w:right="155"/>
              <w:jc w:val="center"/>
              <w:rPr>
                <w:sz w:val="13"/>
              </w:rPr>
            </w:pPr>
            <w:r>
              <w:rPr>
                <w:w w:val="105"/>
                <w:sz w:val="13"/>
              </w:rPr>
              <w:t>2,84</w:t>
            </w:r>
          </w:p>
        </w:tc>
      </w:tr>
      <w:tr>
        <w:trPr>
          <w:trHeight w:val="174" w:hRule="atLeast"/>
        </w:trPr>
        <w:tc>
          <w:tcPr>
            <w:tcW w:w="1911" w:type="dxa"/>
            <w:tcBorders>
              <w:top w:val="nil"/>
            </w:tcBorders>
          </w:tcPr>
          <w:p>
            <w:pPr>
              <w:pStyle w:val="TableParagraph"/>
              <w:spacing w:line="151" w:lineRule="exact" w:before="3"/>
              <w:ind w:left="57"/>
              <w:rPr>
                <w:b/>
                <w:sz w:val="13"/>
              </w:rPr>
            </w:pPr>
            <w:r>
              <w:rPr>
                <w:b/>
                <w:w w:val="105"/>
                <w:sz w:val="13"/>
              </w:rPr>
              <w:t>FIISC</w:t>
            </w:r>
          </w:p>
        </w:tc>
        <w:tc>
          <w:tcPr>
            <w:tcW w:w="2475" w:type="dxa"/>
            <w:tcBorders>
              <w:top w:val="nil"/>
            </w:tcBorders>
          </w:tcPr>
          <w:p>
            <w:pPr>
              <w:pStyle w:val="TableParagraph"/>
              <w:spacing w:line="151" w:lineRule="exact" w:before="3"/>
              <w:ind w:left="118" w:right="158"/>
              <w:jc w:val="center"/>
              <w:rPr>
                <w:sz w:val="13"/>
              </w:rPr>
            </w:pPr>
            <w:r>
              <w:rPr>
                <w:w w:val="105"/>
                <w:sz w:val="13"/>
              </w:rPr>
              <w:t>-39,00</w:t>
            </w:r>
          </w:p>
        </w:tc>
      </w:tr>
      <w:tr>
        <w:trPr>
          <w:trHeight w:val="247" w:hRule="atLeast"/>
        </w:trPr>
        <w:tc>
          <w:tcPr>
            <w:tcW w:w="1911" w:type="dxa"/>
            <w:shd w:val="clear" w:color="auto" w:fill="D9D9D9"/>
          </w:tcPr>
          <w:p>
            <w:pPr>
              <w:pStyle w:val="TableParagraph"/>
              <w:spacing w:before="44"/>
              <w:ind w:left="505"/>
              <w:rPr>
                <w:b/>
                <w:sz w:val="13"/>
              </w:rPr>
            </w:pPr>
            <w:r>
              <w:rPr>
                <w:b/>
                <w:w w:val="105"/>
                <w:sz w:val="13"/>
              </w:rPr>
              <w:t>Total (</w:t>
            </w:r>
            <w:r>
              <w:rPr>
                <w:w w:val="105"/>
                <w:sz w:val="13"/>
              </w:rPr>
              <w:t>personas</w:t>
            </w:r>
            <w:r>
              <w:rPr>
                <w:b/>
                <w:w w:val="105"/>
                <w:sz w:val="13"/>
              </w:rPr>
              <w:t>)</w:t>
            </w:r>
          </w:p>
        </w:tc>
        <w:tc>
          <w:tcPr>
            <w:tcW w:w="2475" w:type="dxa"/>
            <w:shd w:val="clear" w:color="auto" w:fill="D9D9D9"/>
          </w:tcPr>
          <w:p>
            <w:pPr>
              <w:pStyle w:val="TableParagraph"/>
              <w:spacing w:before="44"/>
              <w:ind w:left="160" w:right="155"/>
              <w:jc w:val="center"/>
              <w:rPr>
                <w:b/>
                <w:sz w:val="13"/>
              </w:rPr>
            </w:pPr>
            <w:r>
              <w:rPr>
                <w:b/>
                <w:w w:val="105"/>
                <w:sz w:val="13"/>
              </w:rPr>
              <w:t>42,38</w:t>
            </w:r>
          </w:p>
        </w:tc>
      </w:tr>
    </w:tbl>
    <w:p>
      <w:pPr>
        <w:pStyle w:val="BodyText"/>
        <w:spacing w:before="7"/>
        <w:rPr>
          <w:sz w:val="16"/>
        </w:rPr>
      </w:pPr>
    </w:p>
    <w:p>
      <w:pPr>
        <w:pStyle w:val="ListParagraph"/>
        <w:numPr>
          <w:ilvl w:val="0"/>
          <w:numId w:val="84"/>
        </w:numPr>
        <w:tabs>
          <w:tab w:pos="2337" w:val="left" w:leader="none"/>
        </w:tabs>
        <w:spacing w:line="240" w:lineRule="auto" w:before="0" w:after="0"/>
        <w:ind w:left="2336" w:right="1144" w:hanging="238"/>
        <w:jc w:val="both"/>
        <w:rPr>
          <w:sz w:val="20"/>
        </w:rPr>
      </w:pPr>
      <w:r>
        <w:rPr>
          <w:sz w:val="20"/>
        </w:rPr>
        <w:t>FUNCATRA, IDEO, ACCIÓN SOCIAL y FIISC incrementan el número medio de trabajadores durante 2022 en comparación con el año anterior, según el cuadro adjunto. Destacan ACCIÓN SOCIAL y FIISC, con un incremento de la plantilla de un</w:t>
      </w:r>
      <w:r>
        <w:rPr>
          <w:spacing w:val="-15"/>
          <w:sz w:val="20"/>
        </w:rPr>
        <w:t> </w:t>
      </w:r>
      <w:r>
        <w:rPr>
          <w:sz w:val="20"/>
        </w:rPr>
        <w:t>47</w:t>
      </w:r>
    </w:p>
    <w:p>
      <w:pPr>
        <w:pStyle w:val="BodyText"/>
        <w:spacing w:before="5"/>
        <w:ind w:left="2336"/>
        <w:jc w:val="both"/>
      </w:pPr>
      <w:r>
        <w:rPr/>
        <w:t>% y 42 %, respectivamente.</w:t>
      </w:r>
    </w:p>
    <w:p>
      <w:pPr>
        <w:pStyle w:val="BodyText"/>
        <w:spacing w:before="7"/>
        <w:rPr>
          <w:sz w:val="16"/>
        </w:rPr>
      </w:pPr>
    </w:p>
    <w:tbl>
      <w:tblPr>
        <w:tblW w:w="0" w:type="auto"/>
        <w:jc w:val="left"/>
        <w:tblInd w:w="2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1457"/>
        <w:gridCol w:w="1457"/>
        <w:gridCol w:w="1345"/>
        <w:gridCol w:w="1186"/>
      </w:tblGrid>
      <w:tr>
        <w:trPr>
          <w:trHeight w:val="257" w:hRule="atLeast"/>
        </w:trPr>
        <w:tc>
          <w:tcPr>
            <w:tcW w:w="1459"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5445" w:type="dxa"/>
            <w:gridSpan w:val="4"/>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0"/>
              <w:ind w:left="2073" w:right="2063"/>
              <w:jc w:val="center"/>
              <w:rPr>
                <w:b/>
                <w:sz w:val="13"/>
              </w:rPr>
            </w:pPr>
            <w:r>
              <w:rPr>
                <w:b/>
                <w:w w:val="105"/>
                <w:sz w:val="13"/>
              </w:rPr>
              <w:t>Nº medio de personas</w:t>
            </w:r>
          </w:p>
        </w:tc>
      </w:tr>
      <w:tr>
        <w:trPr>
          <w:trHeight w:val="260" w:hRule="atLeast"/>
        </w:trPr>
        <w:tc>
          <w:tcPr>
            <w:tcW w:w="1459" w:type="dxa"/>
            <w:tcBorders>
              <w:left w:val="single" w:sz="4" w:space="0" w:color="000000"/>
              <w:right w:val="single" w:sz="4" w:space="0" w:color="000000"/>
            </w:tcBorders>
          </w:tcPr>
          <w:p>
            <w:pPr>
              <w:pStyle w:val="TableParagraph"/>
              <w:rPr>
                <w:rFonts w:ascii="Times New Roman"/>
                <w:sz w:val="14"/>
              </w:rPr>
            </w:pPr>
          </w:p>
        </w:tc>
        <w:tc>
          <w:tcPr>
            <w:tcW w:w="1457" w:type="dxa"/>
            <w:tcBorders>
              <w:top w:val="single" w:sz="4" w:space="0" w:color="000000"/>
              <w:left w:val="single" w:sz="4" w:space="0" w:color="000000"/>
              <w:bottom w:val="single" w:sz="4" w:space="0" w:color="000000"/>
            </w:tcBorders>
            <w:shd w:val="clear" w:color="auto" w:fill="DEEAF6"/>
          </w:tcPr>
          <w:p>
            <w:pPr>
              <w:pStyle w:val="TableParagraph"/>
              <w:spacing w:before="50"/>
              <w:ind w:left="513" w:right="508"/>
              <w:jc w:val="center"/>
              <w:rPr>
                <w:b/>
                <w:sz w:val="13"/>
              </w:rPr>
            </w:pPr>
            <w:r>
              <w:rPr>
                <w:b/>
                <w:w w:val="105"/>
                <w:sz w:val="13"/>
              </w:rPr>
              <w:t>2022</w:t>
            </w:r>
          </w:p>
        </w:tc>
        <w:tc>
          <w:tcPr>
            <w:tcW w:w="1457" w:type="dxa"/>
            <w:tcBorders>
              <w:top w:val="single" w:sz="4" w:space="0" w:color="000000"/>
              <w:bottom w:val="single" w:sz="4" w:space="0" w:color="000000"/>
              <w:right w:val="single" w:sz="4" w:space="0" w:color="000000"/>
            </w:tcBorders>
            <w:shd w:val="clear" w:color="auto" w:fill="DEEAF6"/>
          </w:tcPr>
          <w:p>
            <w:pPr>
              <w:pStyle w:val="TableParagraph"/>
              <w:spacing w:before="50"/>
              <w:ind w:left="516" w:right="500"/>
              <w:jc w:val="center"/>
              <w:rPr>
                <w:b/>
                <w:sz w:val="13"/>
              </w:rPr>
            </w:pPr>
            <w:r>
              <w:rPr>
                <w:b/>
                <w:w w:val="105"/>
                <w:sz w:val="13"/>
              </w:rPr>
              <w:t>2021</w:t>
            </w:r>
          </w:p>
        </w:tc>
        <w:tc>
          <w:tcPr>
            <w:tcW w:w="2531" w:type="dxa"/>
            <w:gridSpan w:val="2"/>
            <w:tcBorders>
              <w:top w:val="single" w:sz="4" w:space="0" w:color="000000"/>
              <w:left w:val="single" w:sz="4" w:space="0" w:color="000000"/>
              <w:bottom w:val="single" w:sz="4" w:space="0" w:color="000000"/>
              <w:right w:val="single" w:sz="4" w:space="0" w:color="000000"/>
            </w:tcBorders>
            <w:shd w:val="clear" w:color="auto" w:fill="DEEAF6"/>
          </w:tcPr>
          <w:p>
            <w:pPr>
              <w:pStyle w:val="TableParagraph"/>
              <w:tabs>
                <w:tab w:pos="1944" w:val="left" w:leader="none"/>
              </w:tabs>
              <w:spacing w:before="50"/>
              <w:ind w:left="434"/>
              <w:rPr>
                <w:b/>
                <w:sz w:val="13"/>
              </w:rPr>
            </w:pPr>
            <w:r>
              <w:rPr>
                <w:b/>
                <w:w w:val="105"/>
                <w:sz w:val="13"/>
              </w:rPr>
              <w:t>2022-2021</w:t>
              <w:tab/>
              <w:t>%</w:t>
            </w:r>
          </w:p>
        </w:tc>
      </w:tr>
      <w:tr>
        <w:trPr>
          <w:trHeight w:val="174" w:hRule="atLeast"/>
        </w:trPr>
        <w:tc>
          <w:tcPr>
            <w:tcW w:w="1459" w:type="dxa"/>
            <w:tcBorders>
              <w:left w:val="single" w:sz="4" w:space="0" w:color="000000"/>
              <w:right w:val="single" w:sz="4" w:space="0" w:color="000000"/>
            </w:tcBorders>
          </w:tcPr>
          <w:p>
            <w:pPr>
              <w:pStyle w:val="TableParagraph"/>
              <w:spacing w:line="152" w:lineRule="exact" w:before="2"/>
              <w:ind w:left="57"/>
              <w:rPr>
                <w:b/>
                <w:sz w:val="13"/>
              </w:rPr>
            </w:pPr>
            <w:r>
              <w:rPr>
                <w:b/>
                <w:w w:val="105"/>
                <w:sz w:val="13"/>
              </w:rPr>
              <w:t>LENGUA</w:t>
            </w:r>
          </w:p>
        </w:tc>
        <w:tc>
          <w:tcPr>
            <w:tcW w:w="1457" w:type="dxa"/>
            <w:tcBorders>
              <w:top w:val="single" w:sz="4" w:space="0" w:color="000000"/>
              <w:left w:val="single" w:sz="4" w:space="0" w:color="000000"/>
            </w:tcBorders>
          </w:tcPr>
          <w:p>
            <w:pPr>
              <w:pStyle w:val="TableParagraph"/>
              <w:spacing w:line="152" w:lineRule="exact" w:before="2"/>
              <w:ind w:left="511" w:right="508"/>
              <w:jc w:val="center"/>
              <w:rPr>
                <w:sz w:val="13"/>
              </w:rPr>
            </w:pPr>
            <w:r>
              <w:rPr>
                <w:w w:val="105"/>
                <w:sz w:val="13"/>
              </w:rPr>
              <w:t>1,70</w:t>
            </w:r>
          </w:p>
        </w:tc>
        <w:tc>
          <w:tcPr>
            <w:tcW w:w="1457" w:type="dxa"/>
            <w:tcBorders>
              <w:top w:val="single" w:sz="4" w:space="0" w:color="000000"/>
              <w:right w:val="single" w:sz="4" w:space="0" w:color="000000"/>
            </w:tcBorders>
          </w:tcPr>
          <w:p>
            <w:pPr>
              <w:pStyle w:val="TableParagraph"/>
              <w:spacing w:line="152" w:lineRule="exact" w:before="2"/>
              <w:ind w:left="516" w:right="503"/>
              <w:jc w:val="center"/>
              <w:rPr>
                <w:sz w:val="13"/>
              </w:rPr>
            </w:pPr>
            <w:r>
              <w:rPr>
                <w:w w:val="105"/>
                <w:sz w:val="13"/>
              </w:rPr>
              <w:t>1,70</w:t>
            </w:r>
          </w:p>
        </w:tc>
        <w:tc>
          <w:tcPr>
            <w:tcW w:w="1345" w:type="dxa"/>
            <w:tcBorders>
              <w:top w:val="single" w:sz="4" w:space="0" w:color="000000"/>
              <w:left w:val="single" w:sz="4" w:space="0" w:color="000000"/>
            </w:tcBorders>
          </w:tcPr>
          <w:p>
            <w:pPr>
              <w:pStyle w:val="TableParagraph"/>
              <w:spacing w:line="152" w:lineRule="exact" w:before="2"/>
              <w:ind w:right="490"/>
              <w:jc w:val="right"/>
              <w:rPr>
                <w:sz w:val="13"/>
              </w:rPr>
            </w:pPr>
            <w:r>
              <w:rPr>
                <w:sz w:val="13"/>
              </w:rPr>
              <w:t>0,00</w:t>
            </w:r>
          </w:p>
        </w:tc>
        <w:tc>
          <w:tcPr>
            <w:tcW w:w="1186" w:type="dxa"/>
            <w:tcBorders>
              <w:top w:val="single" w:sz="4" w:space="0" w:color="000000"/>
              <w:right w:val="single" w:sz="4" w:space="0" w:color="000000"/>
            </w:tcBorders>
          </w:tcPr>
          <w:p>
            <w:pPr>
              <w:pStyle w:val="TableParagraph"/>
              <w:spacing w:line="152" w:lineRule="exact" w:before="2"/>
              <w:ind w:right="389"/>
              <w:jc w:val="right"/>
              <w:rPr>
                <w:sz w:val="13"/>
              </w:rPr>
            </w:pPr>
            <w:r>
              <w:rPr>
                <w:sz w:val="13"/>
              </w:rPr>
              <w:t>0,0%</w:t>
            </w:r>
          </w:p>
        </w:tc>
      </w:tr>
      <w:tr>
        <w:trPr>
          <w:trHeight w:val="164" w:hRule="atLeast"/>
        </w:trPr>
        <w:tc>
          <w:tcPr>
            <w:tcW w:w="1459" w:type="dxa"/>
            <w:tcBorders>
              <w:left w:val="single" w:sz="4" w:space="0" w:color="000000"/>
              <w:right w:val="single" w:sz="4" w:space="0" w:color="000000"/>
            </w:tcBorders>
          </w:tcPr>
          <w:p>
            <w:pPr>
              <w:pStyle w:val="TableParagraph"/>
              <w:spacing w:line="144" w:lineRule="exact"/>
              <w:ind w:left="57"/>
              <w:rPr>
                <w:b/>
                <w:sz w:val="13"/>
              </w:rPr>
            </w:pPr>
            <w:r>
              <w:rPr>
                <w:b/>
                <w:w w:val="105"/>
                <w:sz w:val="13"/>
              </w:rPr>
              <w:t>FUNCATRA</w:t>
            </w:r>
          </w:p>
        </w:tc>
        <w:tc>
          <w:tcPr>
            <w:tcW w:w="1457" w:type="dxa"/>
            <w:tcBorders>
              <w:left w:val="single" w:sz="4" w:space="0" w:color="000000"/>
            </w:tcBorders>
          </w:tcPr>
          <w:p>
            <w:pPr>
              <w:pStyle w:val="TableParagraph"/>
              <w:spacing w:line="144" w:lineRule="exact"/>
              <w:ind w:left="511" w:right="508"/>
              <w:jc w:val="center"/>
              <w:rPr>
                <w:sz w:val="13"/>
              </w:rPr>
            </w:pPr>
            <w:r>
              <w:rPr>
                <w:w w:val="105"/>
                <w:sz w:val="13"/>
              </w:rPr>
              <w:t>69,55</w:t>
            </w:r>
          </w:p>
        </w:tc>
        <w:tc>
          <w:tcPr>
            <w:tcW w:w="1457" w:type="dxa"/>
            <w:tcBorders>
              <w:right w:val="single" w:sz="4" w:space="0" w:color="000000"/>
            </w:tcBorders>
          </w:tcPr>
          <w:p>
            <w:pPr>
              <w:pStyle w:val="TableParagraph"/>
              <w:spacing w:line="144" w:lineRule="exact"/>
              <w:ind w:left="516" w:right="503"/>
              <w:jc w:val="center"/>
              <w:rPr>
                <w:sz w:val="13"/>
              </w:rPr>
            </w:pPr>
            <w:r>
              <w:rPr>
                <w:w w:val="105"/>
                <w:sz w:val="13"/>
              </w:rPr>
              <w:t>65,12</w:t>
            </w:r>
          </w:p>
        </w:tc>
        <w:tc>
          <w:tcPr>
            <w:tcW w:w="1345" w:type="dxa"/>
            <w:tcBorders>
              <w:left w:val="single" w:sz="4" w:space="0" w:color="000000"/>
            </w:tcBorders>
          </w:tcPr>
          <w:p>
            <w:pPr>
              <w:pStyle w:val="TableParagraph"/>
              <w:spacing w:line="144" w:lineRule="exact"/>
              <w:ind w:right="490"/>
              <w:jc w:val="right"/>
              <w:rPr>
                <w:sz w:val="13"/>
              </w:rPr>
            </w:pPr>
            <w:r>
              <w:rPr>
                <w:sz w:val="13"/>
              </w:rPr>
              <w:t>4,43</w:t>
            </w:r>
          </w:p>
        </w:tc>
        <w:tc>
          <w:tcPr>
            <w:tcW w:w="1186" w:type="dxa"/>
            <w:tcBorders>
              <w:right w:val="single" w:sz="4" w:space="0" w:color="000000"/>
            </w:tcBorders>
          </w:tcPr>
          <w:p>
            <w:pPr>
              <w:pStyle w:val="TableParagraph"/>
              <w:spacing w:line="144" w:lineRule="exact"/>
              <w:ind w:right="389"/>
              <w:jc w:val="right"/>
              <w:rPr>
                <w:sz w:val="13"/>
              </w:rPr>
            </w:pPr>
            <w:r>
              <w:rPr>
                <w:sz w:val="13"/>
              </w:rPr>
              <w:t>6,8%</w:t>
            </w:r>
          </w:p>
        </w:tc>
      </w:tr>
      <w:tr>
        <w:trPr>
          <w:trHeight w:val="164" w:hRule="atLeast"/>
        </w:trPr>
        <w:tc>
          <w:tcPr>
            <w:tcW w:w="1459" w:type="dxa"/>
            <w:tcBorders>
              <w:left w:val="single" w:sz="4" w:space="0" w:color="000000"/>
              <w:right w:val="single" w:sz="4" w:space="0" w:color="000000"/>
            </w:tcBorders>
          </w:tcPr>
          <w:p>
            <w:pPr>
              <w:pStyle w:val="TableParagraph"/>
              <w:spacing w:line="144" w:lineRule="exact"/>
              <w:ind w:left="57"/>
              <w:rPr>
                <w:b/>
                <w:sz w:val="13"/>
              </w:rPr>
            </w:pPr>
            <w:r>
              <w:rPr>
                <w:b/>
                <w:w w:val="105"/>
                <w:sz w:val="13"/>
              </w:rPr>
              <w:t>IDEO</w:t>
            </w:r>
          </w:p>
        </w:tc>
        <w:tc>
          <w:tcPr>
            <w:tcW w:w="1457" w:type="dxa"/>
            <w:tcBorders>
              <w:left w:val="single" w:sz="4" w:space="0" w:color="000000"/>
            </w:tcBorders>
          </w:tcPr>
          <w:p>
            <w:pPr>
              <w:pStyle w:val="TableParagraph"/>
              <w:spacing w:line="144" w:lineRule="exact"/>
              <w:ind w:left="511" w:right="508"/>
              <w:jc w:val="center"/>
              <w:rPr>
                <w:sz w:val="13"/>
              </w:rPr>
            </w:pPr>
            <w:r>
              <w:rPr>
                <w:w w:val="105"/>
                <w:sz w:val="13"/>
              </w:rPr>
              <w:t>623,47</w:t>
            </w:r>
          </w:p>
        </w:tc>
        <w:tc>
          <w:tcPr>
            <w:tcW w:w="1457" w:type="dxa"/>
            <w:tcBorders>
              <w:right w:val="single" w:sz="4" w:space="0" w:color="000000"/>
            </w:tcBorders>
          </w:tcPr>
          <w:p>
            <w:pPr>
              <w:pStyle w:val="TableParagraph"/>
              <w:spacing w:line="144" w:lineRule="exact"/>
              <w:ind w:left="516" w:right="503"/>
              <w:jc w:val="center"/>
              <w:rPr>
                <w:sz w:val="13"/>
              </w:rPr>
            </w:pPr>
            <w:r>
              <w:rPr>
                <w:w w:val="105"/>
                <w:sz w:val="13"/>
              </w:rPr>
              <w:t>577,04</w:t>
            </w:r>
          </w:p>
        </w:tc>
        <w:tc>
          <w:tcPr>
            <w:tcW w:w="1345" w:type="dxa"/>
            <w:tcBorders>
              <w:left w:val="single" w:sz="4" w:space="0" w:color="000000"/>
            </w:tcBorders>
          </w:tcPr>
          <w:p>
            <w:pPr>
              <w:pStyle w:val="TableParagraph"/>
              <w:spacing w:line="144" w:lineRule="exact"/>
              <w:ind w:right="456"/>
              <w:jc w:val="right"/>
              <w:rPr>
                <w:sz w:val="13"/>
              </w:rPr>
            </w:pPr>
            <w:r>
              <w:rPr>
                <w:sz w:val="13"/>
              </w:rPr>
              <w:t>46,43</w:t>
            </w:r>
          </w:p>
        </w:tc>
        <w:tc>
          <w:tcPr>
            <w:tcW w:w="1186" w:type="dxa"/>
            <w:tcBorders>
              <w:right w:val="single" w:sz="4" w:space="0" w:color="000000"/>
            </w:tcBorders>
          </w:tcPr>
          <w:p>
            <w:pPr>
              <w:pStyle w:val="TableParagraph"/>
              <w:spacing w:line="144" w:lineRule="exact"/>
              <w:ind w:right="389"/>
              <w:jc w:val="right"/>
              <w:rPr>
                <w:sz w:val="13"/>
              </w:rPr>
            </w:pPr>
            <w:r>
              <w:rPr>
                <w:sz w:val="13"/>
              </w:rPr>
              <w:t>8,0%</w:t>
            </w:r>
          </w:p>
        </w:tc>
      </w:tr>
      <w:tr>
        <w:trPr>
          <w:trHeight w:val="163" w:hRule="atLeast"/>
        </w:trPr>
        <w:tc>
          <w:tcPr>
            <w:tcW w:w="1459" w:type="dxa"/>
            <w:tcBorders>
              <w:left w:val="single" w:sz="4" w:space="0" w:color="000000"/>
              <w:right w:val="single" w:sz="4" w:space="0" w:color="000000"/>
            </w:tcBorders>
          </w:tcPr>
          <w:p>
            <w:pPr>
              <w:pStyle w:val="TableParagraph"/>
              <w:spacing w:line="143" w:lineRule="exact"/>
              <w:ind w:left="57"/>
              <w:rPr>
                <w:b/>
                <w:sz w:val="13"/>
              </w:rPr>
            </w:pPr>
            <w:r>
              <w:rPr>
                <w:b/>
                <w:w w:val="105"/>
                <w:sz w:val="13"/>
              </w:rPr>
              <w:t>ACCIÓN SOCIAL</w:t>
            </w:r>
          </w:p>
        </w:tc>
        <w:tc>
          <w:tcPr>
            <w:tcW w:w="1457" w:type="dxa"/>
            <w:tcBorders>
              <w:left w:val="single" w:sz="4" w:space="0" w:color="000000"/>
            </w:tcBorders>
          </w:tcPr>
          <w:p>
            <w:pPr>
              <w:pStyle w:val="TableParagraph"/>
              <w:spacing w:line="143" w:lineRule="exact"/>
              <w:ind w:left="511" w:right="508"/>
              <w:jc w:val="center"/>
              <w:rPr>
                <w:sz w:val="13"/>
              </w:rPr>
            </w:pPr>
            <w:r>
              <w:rPr>
                <w:w w:val="105"/>
                <w:sz w:val="13"/>
              </w:rPr>
              <w:t>96,74</w:t>
            </w:r>
          </w:p>
        </w:tc>
        <w:tc>
          <w:tcPr>
            <w:tcW w:w="1457" w:type="dxa"/>
            <w:tcBorders>
              <w:right w:val="single" w:sz="4" w:space="0" w:color="000000"/>
            </w:tcBorders>
          </w:tcPr>
          <w:p>
            <w:pPr>
              <w:pStyle w:val="TableParagraph"/>
              <w:spacing w:line="143" w:lineRule="exact"/>
              <w:ind w:left="516" w:right="503"/>
              <w:jc w:val="center"/>
              <w:rPr>
                <w:sz w:val="13"/>
              </w:rPr>
            </w:pPr>
            <w:r>
              <w:rPr>
                <w:w w:val="105"/>
                <w:sz w:val="13"/>
              </w:rPr>
              <w:t>65,79</w:t>
            </w:r>
          </w:p>
        </w:tc>
        <w:tc>
          <w:tcPr>
            <w:tcW w:w="1345" w:type="dxa"/>
            <w:tcBorders>
              <w:left w:val="single" w:sz="4" w:space="0" w:color="000000"/>
            </w:tcBorders>
          </w:tcPr>
          <w:p>
            <w:pPr>
              <w:pStyle w:val="TableParagraph"/>
              <w:spacing w:line="143" w:lineRule="exact"/>
              <w:ind w:right="456"/>
              <w:jc w:val="right"/>
              <w:rPr>
                <w:sz w:val="13"/>
              </w:rPr>
            </w:pPr>
            <w:r>
              <w:rPr>
                <w:sz w:val="13"/>
              </w:rPr>
              <w:t>30,95</w:t>
            </w:r>
          </w:p>
        </w:tc>
        <w:tc>
          <w:tcPr>
            <w:tcW w:w="1186" w:type="dxa"/>
            <w:tcBorders>
              <w:right w:val="single" w:sz="4" w:space="0" w:color="000000"/>
            </w:tcBorders>
          </w:tcPr>
          <w:p>
            <w:pPr>
              <w:pStyle w:val="TableParagraph"/>
              <w:spacing w:line="143" w:lineRule="exact"/>
              <w:ind w:right="355"/>
              <w:jc w:val="right"/>
              <w:rPr>
                <w:sz w:val="13"/>
              </w:rPr>
            </w:pPr>
            <w:r>
              <w:rPr>
                <w:sz w:val="13"/>
              </w:rPr>
              <w:t>47,0%</w:t>
            </w:r>
          </w:p>
        </w:tc>
      </w:tr>
      <w:tr>
        <w:trPr>
          <w:trHeight w:val="164" w:hRule="atLeast"/>
        </w:trPr>
        <w:tc>
          <w:tcPr>
            <w:tcW w:w="1459" w:type="dxa"/>
            <w:tcBorders>
              <w:left w:val="single" w:sz="4" w:space="0" w:color="000000"/>
              <w:right w:val="single" w:sz="4" w:space="0" w:color="000000"/>
            </w:tcBorders>
          </w:tcPr>
          <w:p>
            <w:pPr>
              <w:pStyle w:val="TableParagraph"/>
              <w:spacing w:line="144" w:lineRule="exact"/>
              <w:ind w:left="57"/>
              <w:rPr>
                <w:b/>
                <w:sz w:val="13"/>
              </w:rPr>
            </w:pPr>
            <w:r>
              <w:rPr>
                <w:b/>
                <w:w w:val="105"/>
                <w:sz w:val="13"/>
              </w:rPr>
              <w:t>MUSEO</w:t>
            </w:r>
          </w:p>
        </w:tc>
        <w:tc>
          <w:tcPr>
            <w:tcW w:w="1457" w:type="dxa"/>
            <w:tcBorders>
              <w:left w:val="single" w:sz="4" w:space="0" w:color="000000"/>
            </w:tcBorders>
          </w:tcPr>
          <w:p>
            <w:pPr>
              <w:pStyle w:val="TableParagraph"/>
              <w:spacing w:line="144" w:lineRule="exact"/>
              <w:ind w:left="511" w:right="508"/>
              <w:jc w:val="center"/>
              <w:rPr>
                <w:sz w:val="13"/>
              </w:rPr>
            </w:pPr>
            <w:r>
              <w:rPr>
                <w:w w:val="105"/>
                <w:sz w:val="13"/>
              </w:rPr>
              <w:t>5,00</w:t>
            </w:r>
          </w:p>
        </w:tc>
        <w:tc>
          <w:tcPr>
            <w:tcW w:w="1457" w:type="dxa"/>
            <w:tcBorders>
              <w:right w:val="single" w:sz="4" w:space="0" w:color="000000"/>
            </w:tcBorders>
          </w:tcPr>
          <w:p>
            <w:pPr>
              <w:pStyle w:val="TableParagraph"/>
              <w:spacing w:line="144" w:lineRule="exact"/>
              <w:ind w:left="516" w:right="503"/>
              <w:jc w:val="center"/>
              <w:rPr>
                <w:sz w:val="13"/>
              </w:rPr>
            </w:pPr>
            <w:r>
              <w:rPr>
                <w:w w:val="105"/>
                <w:sz w:val="13"/>
              </w:rPr>
              <w:t>5,00</w:t>
            </w:r>
          </w:p>
        </w:tc>
        <w:tc>
          <w:tcPr>
            <w:tcW w:w="1345" w:type="dxa"/>
            <w:tcBorders>
              <w:left w:val="single" w:sz="4" w:space="0" w:color="000000"/>
            </w:tcBorders>
          </w:tcPr>
          <w:p>
            <w:pPr>
              <w:pStyle w:val="TableParagraph"/>
              <w:spacing w:line="144" w:lineRule="exact"/>
              <w:ind w:right="490"/>
              <w:jc w:val="right"/>
              <w:rPr>
                <w:sz w:val="13"/>
              </w:rPr>
            </w:pPr>
            <w:r>
              <w:rPr>
                <w:sz w:val="13"/>
              </w:rPr>
              <w:t>0,00</w:t>
            </w:r>
          </w:p>
        </w:tc>
        <w:tc>
          <w:tcPr>
            <w:tcW w:w="1186" w:type="dxa"/>
            <w:tcBorders>
              <w:right w:val="single" w:sz="4" w:space="0" w:color="000000"/>
            </w:tcBorders>
          </w:tcPr>
          <w:p>
            <w:pPr>
              <w:pStyle w:val="TableParagraph"/>
              <w:spacing w:line="144" w:lineRule="exact"/>
              <w:ind w:right="389"/>
              <w:jc w:val="right"/>
              <w:rPr>
                <w:sz w:val="13"/>
              </w:rPr>
            </w:pPr>
            <w:r>
              <w:rPr>
                <w:sz w:val="13"/>
              </w:rPr>
              <w:t>0,0%</w:t>
            </w:r>
          </w:p>
        </w:tc>
      </w:tr>
      <w:tr>
        <w:trPr>
          <w:trHeight w:val="164" w:hRule="atLeast"/>
        </w:trPr>
        <w:tc>
          <w:tcPr>
            <w:tcW w:w="1459" w:type="dxa"/>
            <w:tcBorders>
              <w:left w:val="single" w:sz="4" w:space="0" w:color="000000"/>
              <w:right w:val="single" w:sz="4" w:space="0" w:color="000000"/>
            </w:tcBorders>
          </w:tcPr>
          <w:p>
            <w:pPr>
              <w:pStyle w:val="TableParagraph"/>
              <w:spacing w:line="144" w:lineRule="exact"/>
              <w:ind w:left="57"/>
              <w:rPr>
                <w:b/>
                <w:sz w:val="13"/>
              </w:rPr>
            </w:pPr>
            <w:r>
              <w:rPr>
                <w:b/>
                <w:w w:val="105"/>
                <w:sz w:val="13"/>
              </w:rPr>
              <w:t>FUCAEX</w:t>
            </w:r>
          </w:p>
        </w:tc>
        <w:tc>
          <w:tcPr>
            <w:tcW w:w="1457" w:type="dxa"/>
            <w:tcBorders>
              <w:left w:val="single" w:sz="4" w:space="0" w:color="000000"/>
            </w:tcBorders>
          </w:tcPr>
          <w:p>
            <w:pPr>
              <w:pStyle w:val="TableParagraph"/>
              <w:spacing w:line="144" w:lineRule="exact"/>
              <w:ind w:left="511" w:right="508"/>
              <w:jc w:val="center"/>
              <w:rPr>
                <w:sz w:val="13"/>
              </w:rPr>
            </w:pPr>
            <w:r>
              <w:rPr>
                <w:w w:val="105"/>
                <w:sz w:val="13"/>
              </w:rPr>
              <w:t>5,16</w:t>
            </w:r>
          </w:p>
        </w:tc>
        <w:tc>
          <w:tcPr>
            <w:tcW w:w="1457" w:type="dxa"/>
            <w:tcBorders>
              <w:right w:val="single" w:sz="4" w:space="0" w:color="000000"/>
            </w:tcBorders>
          </w:tcPr>
          <w:p>
            <w:pPr>
              <w:pStyle w:val="TableParagraph"/>
              <w:spacing w:line="144" w:lineRule="exact"/>
              <w:ind w:left="516" w:right="503"/>
              <w:jc w:val="center"/>
              <w:rPr>
                <w:sz w:val="13"/>
              </w:rPr>
            </w:pPr>
            <w:r>
              <w:rPr>
                <w:w w:val="105"/>
                <w:sz w:val="13"/>
              </w:rPr>
              <w:t>6,00</w:t>
            </w:r>
          </w:p>
        </w:tc>
        <w:tc>
          <w:tcPr>
            <w:tcW w:w="1345" w:type="dxa"/>
            <w:tcBorders>
              <w:left w:val="single" w:sz="4" w:space="0" w:color="000000"/>
            </w:tcBorders>
          </w:tcPr>
          <w:p>
            <w:pPr>
              <w:pStyle w:val="TableParagraph"/>
              <w:spacing w:line="144" w:lineRule="exact"/>
              <w:ind w:right="470"/>
              <w:jc w:val="right"/>
              <w:rPr>
                <w:sz w:val="13"/>
              </w:rPr>
            </w:pPr>
            <w:r>
              <w:rPr>
                <w:sz w:val="13"/>
              </w:rPr>
              <w:t>-0,84</w:t>
            </w:r>
          </w:p>
        </w:tc>
        <w:tc>
          <w:tcPr>
            <w:tcW w:w="1186" w:type="dxa"/>
            <w:tcBorders>
              <w:right w:val="single" w:sz="4" w:space="0" w:color="000000"/>
            </w:tcBorders>
          </w:tcPr>
          <w:p>
            <w:pPr>
              <w:pStyle w:val="TableParagraph"/>
              <w:spacing w:line="144" w:lineRule="exact"/>
              <w:ind w:right="334"/>
              <w:jc w:val="right"/>
              <w:rPr>
                <w:sz w:val="13"/>
              </w:rPr>
            </w:pPr>
            <w:r>
              <w:rPr>
                <w:sz w:val="13"/>
              </w:rPr>
              <w:t>-14,0%</w:t>
            </w:r>
          </w:p>
        </w:tc>
      </w:tr>
      <w:tr>
        <w:trPr>
          <w:trHeight w:val="152" w:hRule="atLeast"/>
        </w:trPr>
        <w:tc>
          <w:tcPr>
            <w:tcW w:w="1459" w:type="dxa"/>
            <w:tcBorders>
              <w:left w:val="single" w:sz="4" w:space="0" w:color="000000"/>
              <w:bottom w:val="single" w:sz="4" w:space="0" w:color="000000"/>
              <w:right w:val="single" w:sz="4" w:space="0" w:color="000000"/>
            </w:tcBorders>
          </w:tcPr>
          <w:p>
            <w:pPr>
              <w:pStyle w:val="TableParagraph"/>
              <w:spacing w:line="133" w:lineRule="exact"/>
              <w:ind w:left="57"/>
              <w:rPr>
                <w:b/>
                <w:sz w:val="13"/>
              </w:rPr>
            </w:pPr>
            <w:r>
              <w:rPr>
                <w:b/>
                <w:w w:val="105"/>
                <w:sz w:val="13"/>
              </w:rPr>
              <w:t>FIISC</w:t>
            </w:r>
          </w:p>
        </w:tc>
        <w:tc>
          <w:tcPr>
            <w:tcW w:w="1457" w:type="dxa"/>
            <w:tcBorders>
              <w:left w:val="single" w:sz="4" w:space="0" w:color="000000"/>
              <w:bottom w:val="single" w:sz="4" w:space="0" w:color="000000"/>
            </w:tcBorders>
          </w:tcPr>
          <w:p>
            <w:pPr>
              <w:pStyle w:val="TableParagraph"/>
              <w:spacing w:line="133" w:lineRule="exact"/>
              <w:ind w:left="511" w:right="508"/>
              <w:jc w:val="center"/>
              <w:rPr>
                <w:sz w:val="13"/>
              </w:rPr>
            </w:pPr>
            <w:r>
              <w:rPr>
                <w:w w:val="105"/>
                <w:sz w:val="13"/>
              </w:rPr>
              <w:t>136,00</w:t>
            </w:r>
          </w:p>
        </w:tc>
        <w:tc>
          <w:tcPr>
            <w:tcW w:w="1457" w:type="dxa"/>
            <w:tcBorders>
              <w:bottom w:val="single" w:sz="4" w:space="0" w:color="000000"/>
              <w:right w:val="single" w:sz="4" w:space="0" w:color="000000"/>
            </w:tcBorders>
          </w:tcPr>
          <w:p>
            <w:pPr>
              <w:pStyle w:val="TableParagraph"/>
              <w:spacing w:line="133" w:lineRule="exact"/>
              <w:ind w:left="516" w:right="503"/>
              <w:jc w:val="center"/>
              <w:rPr>
                <w:sz w:val="13"/>
              </w:rPr>
            </w:pPr>
            <w:r>
              <w:rPr>
                <w:w w:val="105"/>
                <w:sz w:val="13"/>
              </w:rPr>
              <w:t>96,00</w:t>
            </w:r>
          </w:p>
        </w:tc>
        <w:tc>
          <w:tcPr>
            <w:tcW w:w="1345" w:type="dxa"/>
            <w:tcBorders>
              <w:left w:val="single" w:sz="4" w:space="0" w:color="000000"/>
              <w:bottom w:val="single" w:sz="4" w:space="0" w:color="000000"/>
            </w:tcBorders>
          </w:tcPr>
          <w:p>
            <w:pPr>
              <w:pStyle w:val="TableParagraph"/>
              <w:spacing w:line="133" w:lineRule="exact"/>
              <w:ind w:right="456"/>
              <w:jc w:val="right"/>
              <w:rPr>
                <w:sz w:val="13"/>
              </w:rPr>
            </w:pPr>
            <w:r>
              <w:rPr>
                <w:sz w:val="13"/>
              </w:rPr>
              <w:t>40,00</w:t>
            </w:r>
          </w:p>
        </w:tc>
        <w:tc>
          <w:tcPr>
            <w:tcW w:w="1186" w:type="dxa"/>
            <w:tcBorders>
              <w:bottom w:val="single" w:sz="4" w:space="0" w:color="000000"/>
              <w:right w:val="single" w:sz="4" w:space="0" w:color="000000"/>
            </w:tcBorders>
          </w:tcPr>
          <w:p>
            <w:pPr>
              <w:pStyle w:val="TableParagraph"/>
              <w:spacing w:line="133" w:lineRule="exact"/>
              <w:ind w:right="355"/>
              <w:jc w:val="right"/>
              <w:rPr>
                <w:sz w:val="13"/>
              </w:rPr>
            </w:pPr>
            <w:r>
              <w:rPr>
                <w:sz w:val="13"/>
              </w:rPr>
              <w:t>41,7%</w:t>
            </w:r>
          </w:p>
        </w:tc>
      </w:tr>
      <w:tr>
        <w:trPr>
          <w:trHeight w:val="233" w:hRule="atLeast"/>
        </w:trPr>
        <w:tc>
          <w:tcPr>
            <w:tcW w:w="1459"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8"/>
              <w:ind w:left="563" w:right="556"/>
              <w:jc w:val="center"/>
              <w:rPr>
                <w:b/>
                <w:sz w:val="13"/>
              </w:rPr>
            </w:pPr>
            <w:r>
              <w:rPr>
                <w:b/>
                <w:w w:val="105"/>
                <w:sz w:val="13"/>
              </w:rPr>
              <w:t>Total</w:t>
            </w:r>
          </w:p>
        </w:tc>
        <w:tc>
          <w:tcPr>
            <w:tcW w:w="1457" w:type="dxa"/>
            <w:tcBorders>
              <w:top w:val="single" w:sz="4" w:space="0" w:color="000000"/>
              <w:left w:val="single" w:sz="4" w:space="0" w:color="000000"/>
              <w:bottom w:val="single" w:sz="4" w:space="0" w:color="000000"/>
            </w:tcBorders>
            <w:shd w:val="clear" w:color="auto" w:fill="D9D9D9"/>
          </w:tcPr>
          <w:p>
            <w:pPr>
              <w:pStyle w:val="TableParagraph"/>
              <w:spacing w:before="38"/>
              <w:ind w:left="511" w:right="508"/>
              <w:jc w:val="center"/>
              <w:rPr>
                <w:b/>
                <w:sz w:val="13"/>
              </w:rPr>
            </w:pPr>
            <w:r>
              <w:rPr>
                <w:b/>
                <w:w w:val="105"/>
                <w:sz w:val="13"/>
              </w:rPr>
              <w:t>937,62</w:t>
            </w:r>
          </w:p>
        </w:tc>
        <w:tc>
          <w:tcPr>
            <w:tcW w:w="1457" w:type="dxa"/>
            <w:tcBorders>
              <w:top w:val="single" w:sz="4" w:space="0" w:color="000000"/>
              <w:bottom w:val="single" w:sz="4" w:space="0" w:color="000000"/>
              <w:right w:val="single" w:sz="4" w:space="0" w:color="000000"/>
            </w:tcBorders>
            <w:shd w:val="clear" w:color="auto" w:fill="D9D9D9"/>
          </w:tcPr>
          <w:p>
            <w:pPr>
              <w:pStyle w:val="TableParagraph"/>
              <w:spacing w:before="38"/>
              <w:ind w:left="516" w:right="503"/>
              <w:jc w:val="center"/>
              <w:rPr>
                <w:b/>
                <w:sz w:val="13"/>
              </w:rPr>
            </w:pPr>
            <w:r>
              <w:rPr>
                <w:b/>
                <w:w w:val="105"/>
                <w:sz w:val="13"/>
              </w:rPr>
              <w:t>816,65</w:t>
            </w:r>
          </w:p>
        </w:tc>
        <w:tc>
          <w:tcPr>
            <w:tcW w:w="2531" w:type="dxa"/>
            <w:gridSpan w:val="2"/>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8"/>
              <w:ind w:left="539"/>
              <w:rPr>
                <w:b/>
                <w:sz w:val="13"/>
              </w:rPr>
            </w:pPr>
            <w:r>
              <w:rPr>
                <w:b/>
                <w:w w:val="105"/>
                <w:sz w:val="13"/>
              </w:rPr>
              <w:t>120,97</w:t>
            </w:r>
          </w:p>
        </w:tc>
      </w:tr>
    </w:tbl>
    <w:p>
      <w:pPr>
        <w:pStyle w:val="BodyText"/>
        <w:spacing w:before="7"/>
        <w:rPr>
          <w:sz w:val="16"/>
        </w:rPr>
      </w:pPr>
    </w:p>
    <w:p>
      <w:pPr>
        <w:pStyle w:val="ListParagraph"/>
        <w:numPr>
          <w:ilvl w:val="0"/>
          <w:numId w:val="84"/>
        </w:numPr>
        <w:tabs>
          <w:tab w:pos="2337" w:val="left" w:leader="none"/>
        </w:tabs>
        <w:spacing w:line="242" w:lineRule="auto" w:before="0" w:after="0"/>
        <w:ind w:left="2336" w:right="1146" w:hanging="238"/>
        <w:jc w:val="both"/>
        <w:rPr>
          <w:sz w:val="20"/>
        </w:rPr>
      </w:pPr>
      <w:r>
        <w:rPr>
          <w:sz w:val="20"/>
        </w:rPr>
        <w:t>Respecto a las nuevas contrataciones, IDEO, FUNCATRA, FIISC y ACCIÓN SOCIAL realizaron nuevas altas de personal durante el año 2022. La variación de la plantilla experimentada por cada fundación en 2022 es la</w:t>
      </w:r>
      <w:r>
        <w:rPr>
          <w:spacing w:val="-1"/>
          <w:sz w:val="20"/>
        </w:rPr>
        <w:t> </w:t>
      </w:r>
      <w:r>
        <w:rPr>
          <w:sz w:val="20"/>
        </w:rPr>
        <w:t>siguiente:</w:t>
      </w:r>
    </w:p>
    <w:p>
      <w:pPr>
        <w:pStyle w:val="BodyText"/>
        <w:spacing w:before="5"/>
        <w:rPr>
          <w:sz w:val="16"/>
        </w:rPr>
      </w:pPr>
    </w:p>
    <w:tbl>
      <w:tblPr>
        <w:tblW w:w="0" w:type="auto"/>
        <w:jc w:val="left"/>
        <w:tblInd w:w="2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1"/>
        <w:gridCol w:w="1709"/>
        <w:gridCol w:w="1460"/>
        <w:gridCol w:w="2031"/>
      </w:tblGrid>
      <w:tr>
        <w:trPr>
          <w:trHeight w:val="348" w:hRule="atLeast"/>
        </w:trPr>
        <w:tc>
          <w:tcPr>
            <w:tcW w:w="1681"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709" w:type="dxa"/>
            <w:tcBorders>
              <w:top w:val="single" w:sz="4" w:space="0" w:color="000000"/>
              <w:left w:val="single" w:sz="4" w:space="0" w:color="000000"/>
              <w:bottom w:val="single" w:sz="4" w:space="0" w:color="000000"/>
            </w:tcBorders>
            <w:shd w:val="clear" w:color="auto" w:fill="D9E1F3"/>
          </w:tcPr>
          <w:p>
            <w:pPr>
              <w:pStyle w:val="TableParagraph"/>
              <w:spacing w:before="95"/>
              <w:ind w:left="579" w:right="598"/>
              <w:jc w:val="center"/>
              <w:rPr>
                <w:b/>
                <w:sz w:val="13"/>
              </w:rPr>
            </w:pPr>
            <w:r>
              <w:rPr>
                <w:b/>
                <w:w w:val="105"/>
                <w:sz w:val="13"/>
              </w:rPr>
              <w:t>Altas</w:t>
            </w:r>
          </w:p>
        </w:tc>
        <w:tc>
          <w:tcPr>
            <w:tcW w:w="1460" w:type="dxa"/>
            <w:tcBorders>
              <w:top w:val="single" w:sz="4" w:space="0" w:color="000000"/>
              <w:bottom w:val="single" w:sz="4" w:space="0" w:color="000000"/>
            </w:tcBorders>
            <w:shd w:val="clear" w:color="auto" w:fill="D9E1F3"/>
          </w:tcPr>
          <w:p>
            <w:pPr>
              <w:pStyle w:val="TableParagraph"/>
              <w:spacing w:before="95"/>
              <w:ind w:left="606" w:right="431"/>
              <w:jc w:val="center"/>
              <w:rPr>
                <w:b/>
                <w:sz w:val="13"/>
              </w:rPr>
            </w:pPr>
            <w:r>
              <w:rPr>
                <w:b/>
                <w:w w:val="105"/>
                <w:sz w:val="13"/>
              </w:rPr>
              <w:t>Bajas</w:t>
            </w:r>
          </w:p>
        </w:tc>
        <w:tc>
          <w:tcPr>
            <w:tcW w:w="2031" w:type="dxa"/>
            <w:tcBorders>
              <w:top w:val="single" w:sz="4" w:space="0" w:color="000000"/>
              <w:bottom w:val="single" w:sz="4" w:space="0" w:color="000000"/>
              <w:right w:val="single" w:sz="4" w:space="0" w:color="000000"/>
            </w:tcBorders>
            <w:shd w:val="clear" w:color="auto" w:fill="D9E1F3"/>
          </w:tcPr>
          <w:p>
            <w:pPr>
              <w:pStyle w:val="TableParagraph"/>
              <w:spacing w:before="95"/>
              <w:ind w:left="430" w:right="223"/>
              <w:jc w:val="center"/>
              <w:rPr>
                <w:b/>
                <w:sz w:val="13"/>
              </w:rPr>
            </w:pPr>
            <w:r>
              <w:rPr>
                <w:b/>
                <w:w w:val="105"/>
                <w:sz w:val="13"/>
              </w:rPr>
              <w:t>Variación de la plantilla</w:t>
            </w:r>
          </w:p>
        </w:tc>
      </w:tr>
      <w:tr>
        <w:trPr>
          <w:trHeight w:val="209" w:hRule="atLeast"/>
        </w:trPr>
        <w:tc>
          <w:tcPr>
            <w:tcW w:w="1681" w:type="dxa"/>
            <w:tcBorders>
              <w:left w:val="single" w:sz="4" w:space="0" w:color="000000"/>
              <w:right w:val="single" w:sz="4" w:space="0" w:color="000000"/>
            </w:tcBorders>
          </w:tcPr>
          <w:p>
            <w:pPr>
              <w:pStyle w:val="TableParagraph"/>
              <w:spacing w:before="20"/>
              <w:ind w:left="57"/>
              <w:rPr>
                <w:b/>
                <w:sz w:val="13"/>
              </w:rPr>
            </w:pPr>
            <w:r>
              <w:rPr>
                <w:b/>
                <w:w w:val="105"/>
                <w:sz w:val="13"/>
              </w:rPr>
              <w:t>LENGUA</w:t>
            </w:r>
          </w:p>
        </w:tc>
        <w:tc>
          <w:tcPr>
            <w:tcW w:w="1709" w:type="dxa"/>
            <w:tcBorders>
              <w:top w:val="single" w:sz="4" w:space="0" w:color="000000"/>
              <w:left w:val="single" w:sz="4" w:space="0" w:color="000000"/>
            </w:tcBorders>
          </w:tcPr>
          <w:p>
            <w:pPr>
              <w:pStyle w:val="TableParagraph"/>
              <w:spacing w:before="20"/>
              <w:ind w:right="18"/>
              <w:jc w:val="center"/>
              <w:rPr>
                <w:sz w:val="13"/>
              </w:rPr>
            </w:pPr>
            <w:r>
              <w:rPr>
                <w:w w:val="103"/>
                <w:sz w:val="13"/>
              </w:rPr>
              <w:t>-</w:t>
            </w:r>
          </w:p>
        </w:tc>
        <w:tc>
          <w:tcPr>
            <w:tcW w:w="1460" w:type="dxa"/>
            <w:tcBorders>
              <w:top w:val="single" w:sz="4" w:space="0" w:color="000000"/>
            </w:tcBorders>
          </w:tcPr>
          <w:p>
            <w:pPr>
              <w:pStyle w:val="TableParagraph"/>
              <w:spacing w:before="20"/>
              <w:ind w:left="177"/>
              <w:jc w:val="center"/>
              <w:rPr>
                <w:sz w:val="13"/>
              </w:rPr>
            </w:pPr>
            <w:r>
              <w:rPr>
                <w:w w:val="103"/>
                <w:sz w:val="13"/>
              </w:rPr>
              <w:t>-</w:t>
            </w:r>
          </w:p>
        </w:tc>
        <w:tc>
          <w:tcPr>
            <w:tcW w:w="2031" w:type="dxa"/>
            <w:tcBorders>
              <w:top w:val="single" w:sz="4" w:space="0" w:color="000000"/>
              <w:right w:val="single" w:sz="4" w:space="0" w:color="000000"/>
            </w:tcBorders>
          </w:tcPr>
          <w:p>
            <w:pPr>
              <w:pStyle w:val="TableParagraph"/>
              <w:spacing w:before="20"/>
              <w:ind w:left="206"/>
              <w:jc w:val="center"/>
              <w:rPr>
                <w:sz w:val="13"/>
              </w:rPr>
            </w:pPr>
            <w:r>
              <w:rPr>
                <w:w w:val="103"/>
                <w:sz w:val="13"/>
              </w:rPr>
              <w:t>-</w:t>
            </w:r>
          </w:p>
        </w:tc>
      </w:tr>
      <w:tr>
        <w:trPr>
          <w:trHeight w:val="197" w:hRule="atLeast"/>
        </w:trPr>
        <w:tc>
          <w:tcPr>
            <w:tcW w:w="1681" w:type="dxa"/>
            <w:tcBorders>
              <w:left w:val="single" w:sz="4" w:space="0" w:color="000000"/>
              <w:right w:val="single" w:sz="4" w:space="0" w:color="000000"/>
            </w:tcBorders>
          </w:tcPr>
          <w:p>
            <w:pPr>
              <w:pStyle w:val="TableParagraph"/>
              <w:spacing w:before="9"/>
              <w:ind w:left="57"/>
              <w:rPr>
                <w:b/>
                <w:sz w:val="13"/>
              </w:rPr>
            </w:pPr>
            <w:r>
              <w:rPr>
                <w:b/>
                <w:w w:val="105"/>
                <w:sz w:val="13"/>
              </w:rPr>
              <w:t>FUNCATRA</w:t>
            </w:r>
          </w:p>
        </w:tc>
        <w:tc>
          <w:tcPr>
            <w:tcW w:w="1709" w:type="dxa"/>
            <w:tcBorders>
              <w:left w:val="single" w:sz="4" w:space="0" w:color="000000"/>
            </w:tcBorders>
          </w:tcPr>
          <w:p>
            <w:pPr>
              <w:pStyle w:val="TableParagraph"/>
              <w:spacing w:before="9"/>
              <w:ind w:left="581" w:right="598"/>
              <w:jc w:val="center"/>
              <w:rPr>
                <w:sz w:val="13"/>
              </w:rPr>
            </w:pPr>
            <w:r>
              <w:rPr>
                <w:w w:val="105"/>
                <w:sz w:val="13"/>
              </w:rPr>
              <w:t>28,00</w:t>
            </w:r>
          </w:p>
        </w:tc>
        <w:tc>
          <w:tcPr>
            <w:tcW w:w="1460" w:type="dxa"/>
          </w:tcPr>
          <w:p>
            <w:pPr>
              <w:pStyle w:val="TableParagraph"/>
              <w:spacing w:before="9"/>
              <w:ind w:left="609" w:right="431"/>
              <w:jc w:val="center"/>
              <w:rPr>
                <w:sz w:val="13"/>
              </w:rPr>
            </w:pPr>
            <w:r>
              <w:rPr>
                <w:w w:val="105"/>
                <w:sz w:val="13"/>
              </w:rPr>
              <w:t>23,00</w:t>
            </w:r>
          </w:p>
        </w:tc>
        <w:tc>
          <w:tcPr>
            <w:tcW w:w="2031" w:type="dxa"/>
            <w:tcBorders>
              <w:right w:val="single" w:sz="4" w:space="0" w:color="000000"/>
            </w:tcBorders>
          </w:tcPr>
          <w:p>
            <w:pPr>
              <w:pStyle w:val="TableParagraph"/>
              <w:spacing w:before="9"/>
              <w:ind w:left="430" w:right="223"/>
              <w:jc w:val="center"/>
              <w:rPr>
                <w:sz w:val="13"/>
              </w:rPr>
            </w:pPr>
            <w:r>
              <w:rPr>
                <w:w w:val="105"/>
                <w:sz w:val="13"/>
              </w:rPr>
              <w:t>5,00</w:t>
            </w:r>
          </w:p>
        </w:tc>
      </w:tr>
      <w:tr>
        <w:trPr>
          <w:trHeight w:val="198" w:hRule="atLeast"/>
        </w:trPr>
        <w:tc>
          <w:tcPr>
            <w:tcW w:w="1681" w:type="dxa"/>
            <w:tcBorders>
              <w:left w:val="single" w:sz="4" w:space="0" w:color="000000"/>
              <w:right w:val="single" w:sz="4" w:space="0" w:color="000000"/>
            </w:tcBorders>
          </w:tcPr>
          <w:p>
            <w:pPr>
              <w:pStyle w:val="TableParagraph"/>
              <w:spacing w:before="8"/>
              <w:ind w:left="57"/>
              <w:rPr>
                <w:b/>
                <w:sz w:val="13"/>
              </w:rPr>
            </w:pPr>
            <w:r>
              <w:rPr>
                <w:b/>
                <w:w w:val="105"/>
                <w:sz w:val="13"/>
              </w:rPr>
              <w:t>IDEO</w:t>
            </w:r>
          </w:p>
        </w:tc>
        <w:tc>
          <w:tcPr>
            <w:tcW w:w="1709" w:type="dxa"/>
            <w:tcBorders>
              <w:left w:val="single" w:sz="4" w:space="0" w:color="000000"/>
            </w:tcBorders>
          </w:tcPr>
          <w:p>
            <w:pPr>
              <w:pStyle w:val="TableParagraph"/>
              <w:spacing w:before="8"/>
              <w:ind w:left="581" w:right="598"/>
              <w:jc w:val="center"/>
              <w:rPr>
                <w:sz w:val="13"/>
              </w:rPr>
            </w:pPr>
            <w:r>
              <w:rPr>
                <w:w w:val="105"/>
                <w:sz w:val="13"/>
              </w:rPr>
              <w:t>1.052,00</w:t>
            </w:r>
          </w:p>
        </w:tc>
        <w:tc>
          <w:tcPr>
            <w:tcW w:w="1460" w:type="dxa"/>
          </w:tcPr>
          <w:p>
            <w:pPr>
              <w:pStyle w:val="TableParagraph"/>
              <w:spacing w:before="8"/>
              <w:ind w:left="609" w:right="431"/>
              <w:jc w:val="center"/>
              <w:rPr>
                <w:sz w:val="13"/>
              </w:rPr>
            </w:pPr>
            <w:r>
              <w:rPr>
                <w:w w:val="105"/>
                <w:sz w:val="13"/>
              </w:rPr>
              <w:t>989,00</w:t>
            </w:r>
          </w:p>
        </w:tc>
        <w:tc>
          <w:tcPr>
            <w:tcW w:w="2031" w:type="dxa"/>
            <w:tcBorders>
              <w:right w:val="single" w:sz="4" w:space="0" w:color="000000"/>
            </w:tcBorders>
          </w:tcPr>
          <w:p>
            <w:pPr>
              <w:pStyle w:val="TableParagraph"/>
              <w:spacing w:before="8"/>
              <w:ind w:left="430" w:right="223"/>
              <w:jc w:val="center"/>
              <w:rPr>
                <w:sz w:val="13"/>
              </w:rPr>
            </w:pPr>
            <w:r>
              <w:rPr>
                <w:w w:val="105"/>
                <w:sz w:val="13"/>
              </w:rPr>
              <w:t>63,00</w:t>
            </w:r>
          </w:p>
        </w:tc>
      </w:tr>
      <w:tr>
        <w:trPr>
          <w:trHeight w:val="198" w:hRule="atLeast"/>
        </w:trPr>
        <w:tc>
          <w:tcPr>
            <w:tcW w:w="1681" w:type="dxa"/>
            <w:tcBorders>
              <w:left w:val="single" w:sz="4" w:space="0" w:color="000000"/>
              <w:right w:val="single" w:sz="4" w:space="0" w:color="000000"/>
            </w:tcBorders>
          </w:tcPr>
          <w:p>
            <w:pPr>
              <w:pStyle w:val="TableParagraph"/>
              <w:spacing w:before="9"/>
              <w:ind w:left="57"/>
              <w:rPr>
                <w:b/>
                <w:sz w:val="13"/>
              </w:rPr>
            </w:pPr>
            <w:r>
              <w:rPr>
                <w:b/>
                <w:w w:val="105"/>
                <w:sz w:val="13"/>
              </w:rPr>
              <w:t>ACCIÓN SOCIAL</w:t>
            </w:r>
          </w:p>
        </w:tc>
        <w:tc>
          <w:tcPr>
            <w:tcW w:w="1709" w:type="dxa"/>
            <w:tcBorders>
              <w:left w:val="single" w:sz="4" w:space="0" w:color="000000"/>
            </w:tcBorders>
          </w:tcPr>
          <w:p>
            <w:pPr>
              <w:pStyle w:val="TableParagraph"/>
              <w:spacing w:before="9"/>
              <w:ind w:left="581" w:right="598"/>
              <w:jc w:val="center"/>
              <w:rPr>
                <w:sz w:val="13"/>
              </w:rPr>
            </w:pPr>
            <w:r>
              <w:rPr>
                <w:w w:val="105"/>
                <w:sz w:val="13"/>
              </w:rPr>
              <w:t>74,00</w:t>
            </w:r>
          </w:p>
        </w:tc>
        <w:tc>
          <w:tcPr>
            <w:tcW w:w="1460" w:type="dxa"/>
          </w:tcPr>
          <w:p>
            <w:pPr>
              <w:pStyle w:val="TableParagraph"/>
              <w:spacing w:before="9"/>
              <w:ind w:left="609" w:right="431"/>
              <w:jc w:val="center"/>
              <w:rPr>
                <w:sz w:val="13"/>
              </w:rPr>
            </w:pPr>
            <w:r>
              <w:rPr>
                <w:w w:val="105"/>
                <w:sz w:val="13"/>
              </w:rPr>
              <w:t>36,00</w:t>
            </w:r>
          </w:p>
        </w:tc>
        <w:tc>
          <w:tcPr>
            <w:tcW w:w="2031" w:type="dxa"/>
            <w:tcBorders>
              <w:right w:val="single" w:sz="4" w:space="0" w:color="000000"/>
            </w:tcBorders>
          </w:tcPr>
          <w:p>
            <w:pPr>
              <w:pStyle w:val="TableParagraph"/>
              <w:spacing w:before="9"/>
              <w:ind w:left="430" w:right="223"/>
              <w:jc w:val="center"/>
              <w:rPr>
                <w:sz w:val="13"/>
              </w:rPr>
            </w:pPr>
            <w:r>
              <w:rPr>
                <w:w w:val="105"/>
                <w:sz w:val="13"/>
              </w:rPr>
              <w:t>38,00</w:t>
            </w:r>
          </w:p>
        </w:tc>
      </w:tr>
      <w:tr>
        <w:trPr>
          <w:trHeight w:val="197" w:hRule="atLeast"/>
        </w:trPr>
        <w:tc>
          <w:tcPr>
            <w:tcW w:w="1681" w:type="dxa"/>
            <w:tcBorders>
              <w:left w:val="single" w:sz="4" w:space="0" w:color="000000"/>
              <w:right w:val="single" w:sz="4" w:space="0" w:color="000000"/>
            </w:tcBorders>
          </w:tcPr>
          <w:p>
            <w:pPr>
              <w:pStyle w:val="TableParagraph"/>
              <w:spacing w:before="8"/>
              <w:ind w:left="57"/>
              <w:rPr>
                <w:b/>
                <w:sz w:val="13"/>
              </w:rPr>
            </w:pPr>
            <w:r>
              <w:rPr>
                <w:b/>
                <w:w w:val="105"/>
                <w:sz w:val="13"/>
              </w:rPr>
              <w:t>MUSEO</w:t>
            </w:r>
          </w:p>
        </w:tc>
        <w:tc>
          <w:tcPr>
            <w:tcW w:w="1709" w:type="dxa"/>
            <w:tcBorders>
              <w:left w:val="single" w:sz="4" w:space="0" w:color="000000"/>
            </w:tcBorders>
          </w:tcPr>
          <w:p>
            <w:pPr>
              <w:pStyle w:val="TableParagraph"/>
              <w:spacing w:before="8"/>
              <w:ind w:right="18"/>
              <w:jc w:val="center"/>
              <w:rPr>
                <w:sz w:val="13"/>
              </w:rPr>
            </w:pPr>
            <w:r>
              <w:rPr>
                <w:w w:val="103"/>
                <w:sz w:val="13"/>
              </w:rPr>
              <w:t>-</w:t>
            </w:r>
          </w:p>
        </w:tc>
        <w:tc>
          <w:tcPr>
            <w:tcW w:w="1460" w:type="dxa"/>
          </w:tcPr>
          <w:p>
            <w:pPr>
              <w:pStyle w:val="TableParagraph"/>
              <w:spacing w:before="8"/>
              <w:ind w:left="177"/>
              <w:jc w:val="center"/>
              <w:rPr>
                <w:sz w:val="13"/>
              </w:rPr>
            </w:pPr>
            <w:r>
              <w:rPr>
                <w:w w:val="103"/>
                <w:sz w:val="13"/>
              </w:rPr>
              <w:t>-</w:t>
            </w:r>
          </w:p>
        </w:tc>
        <w:tc>
          <w:tcPr>
            <w:tcW w:w="2031" w:type="dxa"/>
            <w:tcBorders>
              <w:right w:val="single" w:sz="4" w:space="0" w:color="000000"/>
            </w:tcBorders>
          </w:tcPr>
          <w:p>
            <w:pPr>
              <w:pStyle w:val="TableParagraph"/>
              <w:spacing w:before="8"/>
              <w:ind w:left="206"/>
              <w:jc w:val="center"/>
              <w:rPr>
                <w:sz w:val="13"/>
              </w:rPr>
            </w:pPr>
            <w:r>
              <w:rPr>
                <w:w w:val="103"/>
                <w:sz w:val="13"/>
              </w:rPr>
              <w:t>-</w:t>
            </w:r>
          </w:p>
        </w:tc>
      </w:tr>
      <w:tr>
        <w:trPr>
          <w:trHeight w:val="198" w:hRule="atLeast"/>
        </w:trPr>
        <w:tc>
          <w:tcPr>
            <w:tcW w:w="1681" w:type="dxa"/>
            <w:tcBorders>
              <w:left w:val="single" w:sz="4" w:space="0" w:color="000000"/>
              <w:right w:val="single" w:sz="4" w:space="0" w:color="000000"/>
            </w:tcBorders>
          </w:tcPr>
          <w:p>
            <w:pPr>
              <w:pStyle w:val="TableParagraph"/>
              <w:spacing w:before="8"/>
              <w:ind w:left="57"/>
              <w:rPr>
                <w:b/>
                <w:sz w:val="13"/>
              </w:rPr>
            </w:pPr>
            <w:r>
              <w:rPr>
                <w:b/>
                <w:w w:val="105"/>
                <w:sz w:val="13"/>
              </w:rPr>
              <w:t>FUCAEX</w:t>
            </w:r>
          </w:p>
        </w:tc>
        <w:tc>
          <w:tcPr>
            <w:tcW w:w="1709" w:type="dxa"/>
            <w:tcBorders>
              <w:left w:val="single" w:sz="4" w:space="0" w:color="000000"/>
            </w:tcBorders>
          </w:tcPr>
          <w:p>
            <w:pPr>
              <w:pStyle w:val="TableParagraph"/>
              <w:spacing w:before="8"/>
              <w:ind w:right="18"/>
              <w:jc w:val="center"/>
              <w:rPr>
                <w:sz w:val="13"/>
              </w:rPr>
            </w:pPr>
            <w:r>
              <w:rPr>
                <w:w w:val="103"/>
                <w:sz w:val="13"/>
              </w:rPr>
              <w:t>-</w:t>
            </w:r>
          </w:p>
        </w:tc>
        <w:tc>
          <w:tcPr>
            <w:tcW w:w="1460" w:type="dxa"/>
          </w:tcPr>
          <w:p>
            <w:pPr>
              <w:pStyle w:val="TableParagraph"/>
              <w:spacing w:before="8"/>
              <w:ind w:left="609" w:right="431"/>
              <w:jc w:val="center"/>
              <w:rPr>
                <w:sz w:val="13"/>
              </w:rPr>
            </w:pPr>
            <w:r>
              <w:rPr>
                <w:w w:val="105"/>
                <w:sz w:val="13"/>
              </w:rPr>
              <w:t>1,00</w:t>
            </w:r>
          </w:p>
        </w:tc>
        <w:tc>
          <w:tcPr>
            <w:tcW w:w="2031" w:type="dxa"/>
            <w:tcBorders>
              <w:right w:val="single" w:sz="4" w:space="0" w:color="000000"/>
            </w:tcBorders>
          </w:tcPr>
          <w:p>
            <w:pPr>
              <w:pStyle w:val="TableParagraph"/>
              <w:spacing w:before="8"/>
              <w:ind w:left="430" w:right="223"/>
              <w:jc w:val="center"/>
              <w:rPr>
                <w:sz w:val="13"/>
              </w:rPr>
            </w:pPr>
            <w:r>
              <w:rPr>
                <w:w w:val="105"/>
                <w:sz w:val="13"/>
              </w:rPr>
              <w:t>-1,00</w:t>
            </w:r>
          </w:p>
        </w:tc>
      </w:tr>
      <w:tr>
        <w:trPr>
          <w:trHeight w:val="184" w:hRule="atLeast"/>
        </w:trPr>
        <w:tc>
          <w:tcPr>
            <w:tcW w:w="1681" w:type="dxa"/>
            <w:tcBorders>
              <w:left w:val="single" w:sz="4" w:space="0" w:color="000000"/>
              <w:bottom w:val="single" w:sz="4" w:space="0" w:color="000000"/>
              <w:right w:val="single" w:sz="4" w:space="0" w:color="000000"/>
            </w:tcBorders>
          </w:tcPr>
          <w:p>
            <w:pPr>
              <w:pStyle w:val="TableParagraph"/>
              <w:spacing w:line="155" w:lineRule="exact" w:before="9"/>
              <w:ind w:left="57"/>
              <w:rPr>
                <w:b/>
                <w:sz w:val="13"/>
              </w:rPr>
            </w:pPr>
            <w:r>
              <w:rPr>
                <w:b/>
                <w:w w:val="105"/>
                <w:sz w:val="13"/>
              </w:rPr>
              <w:t>FIISC</w:t>
            </w:r>
          </w:p>
        </w:tc>
        <w:tc>
          <w:tcPr>
            <w:tcW w:w="1709" w:type="dxa"/>
            <w:tcBorders>
              <w:left w:val="single" w:sz="4" w:space="0" w:color="000000"/>
              <w:bottom w:val="single" w:sz="4" w:space="0" w:color="000000"/>
            </w:tcBorders>
          </w:tcPr>
          <w:p>
            <w:pPr>
              <w:pStyle w:val="TableParagraph"/>
              <w:spacing w:line="155" w:lineRule="exact" w:before="9"/>
              <w:ind w:left="581" w:right="598"/>
              <w:jc w:val="center"/>
              <w:rPr>
                <w:sz w:val="13"/>
              </w:rPr>
            </w:pPr>
            <w:r>
              <w:rPr>
                <w:w w:val="105"/>
                <w:sz w:val="13"/>
              </w:rPr>
              <w:t>32,00</w:t>
            </w:r>
          </w:p>
        </w:tc>
        <w:tc>
          <w:tcPr>
            <w:tcW w:w="1460" w:type="dxa"/>
            <w:tcBorders>
              <w:bottom w:val="single" w:sz="4" w:space="0" w:color="000000"/>
            </w:tcBorders>
          </w:tcPr>
          <w:p>
            <w:pPr>
              <w:pStyle w:val="TableParagraph"/>
              <w:spacing w:line="155" w:lineRule="exact" w:before="9"/>
              <w:ind w:left="609" w:right="431"/>
              <w:jc w:val="center"/>
              <w:rPr>
                <w:sz w:val="13"/>
              </w:rPr>
            </w:pPr>
            <w:r>
              <w:rPr>
                <w:w w:val="105"/>
                <w:sz w:val="13"/>
              </w:rPr>
              <w:t>29,00</w:t>
            </w:r>
          </w:p>
        </w:tc>
        <w:tc>
          <w:tcPr>
            <w:tcW w:w="2031" w:type="dxa"/>
            <w:tcBorders>
              <w:bottom w:val="single" w:sz="4" w:space="0" w:color="000000"/>
              <w:right w:val="single" w:sz="4" w:space="0" w:color="000000"/>
            </w:tcBorders>
          </w:tcPr>
          <w:p>
            <w:pPr>
              <w:pStyle w:val="TableParagraph"/>
              <w:spacing w:line="155" w:lineRule="exact" w:before="9"/>
              <w:ind w:left="430" w:right="223"/>
              <w:jc w:val="center"/>
              <w:rPr>
                <w:sz w:val="13"/>
              </w:rPr>
            </w:pPr>
            <w:r>
              <w:rPr>
                <w:w w:val="105"/>
                <w:sz w:val="13"/>
              </w:rPr>
              <w:t>3,00</w:t>
            </w:r>
          </w:p>
        </w:tc>
      </w:tr>
      <w:tr>
        <w:trPr>
          <w:trHeight w:val="231" w:hRule="atLeast"/>
        </w:trPr>
        <w:tc>
          <w:tcPr>
            <w:tcW w:w="1681" w:type="dxa"/>
            <w:tcBorders>
              <w:top w:val="single" w:sz="4" w:space="0" w:color="000000"/>
              <w:left w:val="single" w:sz="4" w:space="0" w:color="000000"/>
              <w:bottom w:val="single" w:sz="4" w:space="0" w:color="000000"/>
            </w:tcBorders>
            <w:shd w:val="clear" w:color="auto" w:fill="D9D9D9"/>
          </w:tcPr>
          <w:p>
            <w:pPr>
              <w:pStyle w:val="TableParagraph"/>
              <w:spacing w:before="36"/>
              <w:ind w:left="391"/>
              <w:rPr>
                <w:b/>
                <w:sz w:val="13"/>
              </w:rPr>
            </w:pPr>
            <w:r>
              <w:rPr>
                <w:b/>
                <w:w w:val="105"/>
                <w:sz w:val="13"/>
              </w:rPr>
              <w:t>Total (</w:t>
            </w:r>
            <w:r>
              <w:rPr>
                <w:w w:val="105"/>
                <w:sz w:val="13"/>
              </w:rPr>
              <w:t>personas</w:t>
            </w:r>
            <w:r>
              <w:rPr>
                <w:b/>
                <w:w w:val="105"/>
                <w:sz w:val="13"/>
              </w:rPr>
              <w:t>)</w:t>
            </w:r>
          </w:p>
        </w:tc>
        <w:tc>
          <w:tcPr>
            <w:tcW w:w="1709" w:type="dxa"/>
            <w:tcBorders>
              <w:top w:val="single" w:sz="4" w:space="0" w:color="000000"/>
              <w:bottom w:val="single" w:sz="4" w:space="0" w:color="000000"/>
            </w:tcBorders>
            <w:shd w:val="clear" w:color="auto" w:fill="D9D9D9"/>
          </w:tcPr>
          <w:p>
            <w:pPr>
              <w:pStyle w:val="TableParagraph"/>
              <w:spacing w:before="36"/>
              <w:ind w:left="670" w:right="684"/>
              <w:jc w:val="center"/>
              <w:rPr>
                <w:b/>
                <w:sz w:val="13"/>
              </w:rPr>
            </w:pPr>
            <w:r>
              <w:rPr>
                <w:b/>
                <w:w w:val="105"/>
                <w:sz w:val="13"/>
              </w:rPr>
              <w:t>1.186</w:t>
            </w:r>
          </w:p>
        </w:tc>
        <w:tc>
          <w:tcPr>
            <w:tcW w:w="1460" w:type="dxa"/>
            <w:tcBorders>
              <w:top w:val="single" w:sz="4" w:space="0" w:color="000000"/>
              <w:bottom w:val="single" w:sz="4" w:space="0" w:color="000000"/>
            </w:tcBorders>
            <w:shd w:val="clear" w:color="auto" w:fill="D9D9D9"/>
          </w:tcPr>
          <w:p>
            <w:pPr>
              <w:pStyle w:val="TableParagraph"/>
              <w:spacing w:before="36"/>
              <w:ind w:left="607" w:right="431"/>
              <w:jc w:val="center"/>
              <w:rPr>
                <w:b/>
                <w:sz w:val="13"/>
              </w:rPr>
            </w:pPr>
            <w:r>
              <w:rPr>
                <w:b/>
                <w:w w:val="105"/>
                <w:sz w:val="13"/>
              </w:rPr>
              <w:t>1.078</w:t>
            </w:r>
          </w:p>
        </w:tc>
        <w:tc>
          <w:tcPr>
            <w:tcW w:w="2031" w:type="dxa"/>
            <w:tcBorders>
              <w:top w:val="single" w:sz="4" w:space="0" w:color="000000"/>
              <w:bottom w:val="single" w:sz="4" w:space="0" w:color="000000"/>
              <w:right w:val="single" w:sz="4" w:space="0" w:color="000000"/>
            </w:tcBorders>
            <w:shd w:val="clear" w:color="auto" w:fill="D9D9D9"/>
          </w:tcPr>
          <w:p>
            <w:pPr>
              <w:pStyle w:val="TableParagraph"/>
              <w:spacing w:before="36"/>
              <w:ind w:left="430" w:right="221"/>
              <w:jc w:val="center"/>
              <w:rPr>
                <w:b/>
                <w:sz w:val="13"/>
              </w:rPr>
            </w:pPr>
            <w:r>
              <w:rPr>
                <w:b/>
                <w:w w:val="105"/>
                <w:sz w:val="13"/>
              </w:rPr>
              <w:t>108</w:t>
            </w:r>
          </w:p>
        </w:tc>
      </w:tr>
    </w:tbl>
    <w:p>
      <w:pPr>
        <w:pStyle w:val="BodyText"/>
        <w:spacing w:before="5"/>
        <w:rPr>
          <w:sz w:val="29"/>
        </w:rPr>
      </w:pPr>
    </w:p>
    <w:p>
      <w:pPr>
        <w:pStyle w:val="BodyText"/>
        <w:spacing w:before="61"/>
        <w:ind w:left="7787"/>
        <w:jc w:val="center"/>
      </w:pPr>
      <w:r>
        <w:rPr/>
        <w:t>134</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83" name="image5.png"/>
                  <wp:cNvGraphicFramePr>
                    <a:graphicFrameLocks noChangeAspect="1"/>
                  </wp:cNvGraphicFramePr>
                  <a:graphic>
                    <a:graphicData uri="http://schemas.openxmlformats.org/drawingml/2006/picture">
                      <pic:pic>
                        <pic:nvPicPr>
                          <pic:cNvPr id="28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136/247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85"/>
        </w:numPr>
        <w:tabs>
          <w:tab w:pos="2337" w:val="left" w:leader="none"/>
        </w:tabs>
        <w:spacing w:line="242" w:lineRule="auto" w:before="61" w:after="0"/>
        <w:ind w:left="2336" w:right="1144" w:hanging="238"/>
        <w:jc w:val="both"/>
        <w:rPr>
          <w:sz w:val="20"/>
        </w:rPr>
      </w:pPr>
      <w:r>
        <w:rPr>
          <w:sz w:val="20"/>
        </w:rPr>
        <w:t>En relación con lo recogido en el art. 58.2, sobre la excepcionalidad y cobertura de las necesidades urgentes e inaplazables al que han de someterse las contrataciones temporales, en general, para la muestra seleccionada, se cumple con el citado precepto:</w:t>
      </w:r>
    </w:p>
    <w:p>
      <w:pPr>
        <w:pStyle w:val="BodyText"/>
        <w:spacing w:before="5"/>
        <w:rPr>
          <w:sz w:val="16"/>
        </w:rPr>
      </w:pPr>
    </w:p>
    <w:p>
      <w:pPr>
        <w:pStyle w:val="ListParagraph"/>
        <w:numPr>
          <w:ilvl w:val="1"/>
          <w:numId w:val="85"/>
        </w:numPr>
        <w:tabs>
          <w:tab w:pos="2694" w:val="left" w:leader="none"/>
        </w:tabs>
        <w:spacing w:line="242" w:lineRule="auto" w:before="0" w:after="0"/>
        <w:ind w:left="2693" w:right="1143" w:hanging="357"/>
        <w:jc w:val="both"/>
        <w:rPr>
          <w:sz w:val="20"/>
        </w:rPr>
      </w:pPr>
      <w:r>
        <w:rPr>
          <w:sz w:val="20"/>
        </w:rPr>
        <w:t>IDEO presenta en plazo, en general, la dación de cuentas de las nuevas contrataciones. Para las fechas de los contratos remitidos, existen contrataciones para las que no figura su fecha de finalización o no se indica su inicio y fin (sólo se señala como duración “incierta”), cuando se trata de una contratación temporal.</w:t>
      </w:r>
    </w:p>
    <w:p>
      <w:pPr>
        <w:pStyle w:val="ListParagraph"/>
        <w:numPr>
          <w:ilvl w:val="1"/>
          <w:numId w:val="85"/>
        </w:numPr>
        <w:tabs>
          <w:tab w:pos="2694" w:val="left" w:leader="none"/>
        </w:tabs>
        <w:spacing w:line="242" w:lineRule="auto" w:before="0" w:after="0"/>
        <w:ind w:left="2693" w:right="1144" w:hanging="357"/>
        <w:jc w:val="both"/>
        <w:rPr>
          <w:sz w:val="20"/>
        </w:rPr>
      </w:pPr>
      <w:r>
        <w:rPr>
          <w:sz w:val="20"/>
        </w:rPr>
        <w:t>FIISC no cumple, para el 50 % de la muestra seleccionada, con el plazo de dación de cuentas de las nuevas contrataciones a la DGPP. Y FUNCATRA incumple este plazo de forma</w:t>
      </w:r>
      <w:r>
        <w:rPr>
          <w:spacing w:val="-1"/>
          <w:sz w:val="20"/>
        </w:rPr>
        <w:t> </w:t>
      </w:r>
      <w:r>
        <w:rPr>
          <w:sz w:val="20"/>
        </w:rPr>
        <w:t>generalizada.</w:t>
      </w:r>
    </w:p>
    <w:p>
      <w:pPr>
        <w:pStyle w:val="ListParagraph"/>
        <w:numPr>
          <w:ilvl w:val="1"/>
          <w:numId w:val="85"/>
        </w:numPr>
        <w:tabs>
          <w:tab w:pos="2694" w:val="left" w:leader="none"/>
        </w:tabs>
        <w:spacing w:line="242" w:lineRule="exact" w:before="0" w:after="0"/>
        <w:ind w:left="2693" w:right="0" w:hanging="358"/>
        <w:jc w:val="both"/>
        <w:rPr>
          <w:sz w:val="20"/>
        </w:rPr>
      </w:pPr>
      <w:r>
        <w:rPr>
          <w:sz w:val="20"/>
        </w:rPr>
        <w:t>ACCIÓN SOCIAL cumple, en general, con el plazo de dación de</w:t>
      </w:r>
      <w:r>
        <w:rPr>
          <w:spacing w:val="2"/>
          <w:sz w:val="20"/>
        </w:rPr>
        <w:t> </w:t>
      </w:r>
      <w:r>
        <w:rPr>
          <w:sz w:val="20"/>
        </w:rPr>
        <w:t>cuentas.</w:t>
      </w:r>
    </w:p>
    <w:p>
      <w:pPr>
        <w:pStyle w:val="BodyText"/>
        <w:spacing w:before="5"/>
        <w:rPr>
          <w:sz w:val="16"/>
        </w:rPr>
      </w:pPr>
    </w:p>
    <w:p>
      <w:pPr>
        <w:pStyle w:val="BodyText"/>
        <w:spacing w:line="242" w:lineRule="auto"/>
        <w:ind w:left="2336" w:right="1144"/>
        <w:jc w:val="both"/>
      </w:pPr>
      <w:r>
        <w:rPr/>
        <w:t>En relación con lo recogido en el Art. 58.2, sobre la excepcionalidad y cobertura de las necesidades urgentes e inaplazables al que han de someterse las contrataciones temporales, en general, para la muestra seleccionada, se cumple con el citado precepto excepto para IDEO, que no remite documentación acreditativa suficiente de su cumplimiento.</w:t>
      </w:r>
    </w:p>
    <w:p>
      <w:pPr>
        <w:pStyle w:val="BodyText"/>
        <w:spacing w:before="4"/>
        <w:rPr>
          <w:sz w:val="16"/>
        </w:rPr>
      </w:pPr>
    </w:p>
    <w:p>
      <w:pPr>
        <w:pStyle w:val="ListParagraph"/>
        <w:numPr>
          <w:ilvl w:val="0"/>
          <w:numId w:val="85"/>
        </w:numPr>
        <w:tabs>
          <w:tab w:pos="2337" w:val="left" w:leader="none"/>
        </w:tabs>
        <w:spacing w:line="242" w:lineRule="auto" w:before="1" w:after="0"/>
        <w:ind w:left="2336" w:right="1143" w:hanging="357"/>
        <w:jc w:val="both"/>
        <w:rPr>
          <w:sz w:val="20"/>
        </w:rPr>
      </w:pPr>
      <w:r>
        <w:rPr>
          <w:sz w:val="20"/>
        </w:rPr>
        <w:t>Lo gastos de personal para conjunto del Sector Público Fundacional experimentaron un aumento de 3,4 millones de € respecto al año anterior (12,8 %). Este incremento de gastos de personal llevó en general aparejado, para cada fundación, un aumento de</w:t>
      </w:r>
      <w:r>
        <w:rPr>
          <w:spacing w:val="-2"/>
          <w:sz w:val="20"/>
        </w:rPr>
        <w:t> </w:t>
      </w:r>
      <w:r>
        <w:rPr>
          <w:sz w:val="20"/>
        </w:rPr>
        <w:t>los</w:t>
      </w:r>
      <w:r>
        <w:rPr>
          <w:spacing w:val="-2"/>
          <w:sz w:val="20"/>
        </w:rPr>
        <w:t> </w:t>
      </w:r>
      <w:r>
        <w:rPr>
          <w:sz w:val="20"/>
        </w:rPr>
        <w:t>ingresos</w:t>
      </w:r>
      <w:r>
        <w:rPr>
          <w:spacing w:val="-3"/>
          <w:sz w:val="20"/>
        </w:rPr>
        <w:t> </w:t>
      </w:r>
      <w:r>
        <w:rPr>
          <w:sz w:val="20"/>
        </w:rPr>
        <w:t>de</w:t>
      </w:r>
      <w:r>
        <w:rPr>
          <w:spacing w:val="-4"/>
          <w:sz w:val="20"/>
        </w:rPr>
        <w:t> </w:t>
      </w:r>
      <w:r>
        <w:rPr>
          <w:sz w:val="20"/>
        </w:rPr>
        <w:t>la</w:t>
      </w:r>
      <w:r>
        <w:rPr>
          <w:spacing w:val="-1"/>
          <w:sz w:val="20"/>
        </w:rPr>
        <w:t> </w:t>
      </w:r>
      <w:r>
        <w:rPr>
          <w:sz w:val="20"/>
        </w:rPr>
        <w:t>actividad</w:t>
      </w:r>
      <w:r>
        <w:rPr>
          <w:spacing w:val="-3"/>
          <w:sz w:val="20"/>
        </w:rPr>
        <w:t> </w:t>
      </w:r>
      <w:r>
        <w:rPr>
          <w:sz w:val="20"/>
        </w:rPr>
        <w:t>propia</w:t>
      </w:r>
      <w:r>
        <w:rPr>
          <w:spacing w:val="-3"/>
          <w:sz w:val="20"/>
        </w:rPr>
        <w:t> </w:t>
      </w:r>
      <w:r>
        <w:rPr>
          <w:sz w:val="20"/>
        </w:rPr>
        <w:t>respecto</w:t>
      </w:r>
      <w:r>
        <w:rPr>
          <w:spacing w:val="-4"/>
          <w:sz w:val="20"/>
        </w:rPr>
        <w:t> </w:t>
      </w:r>
      <w:r>
        <w:rPr>
          <w:sz w:val="20"/>
        </w:rPr>
        <w:t>a</w:t>
      </w:r>
      <w:r>
        <w:rPr>
          <w:spacing w:val="-1"/>
          <w:sz w:val="20"/>
        </w:rPr>
        <w:t> </w:t>
      </w:r>
      <w:r>
        <w:rPr>
          <w:sz w:val="20"/>
        </w:rPr>
        <w:t>2021,</w:t>
      </w:r>
      <w:r>
        <w:rPr>
          <w:spacing w:val="-4"/>
          <w:sz w:val="20"/>
        </w:rPr>
        <w:t> </w:t>
      </w:r>
      <w:r>
        <w:rPr>
          <w:sz w:val="20"/>
        </w:rPr>
        <w:t>si</w:t>
      </w:r>
      <w:r>
        <w:rPr>
          <w:spacing w:val="-3"/>
          <w:sz w:val="20"/>
        </w:rPr>
        <w:t> </w:t>
      </w:r>
      <w:r>
        <w:rPr>
          <w:sz w:val="20"/>
        </w:rPr>
        <w:t>bien,</w:t>
      </w:r>
      <w:r>
        <w:rPr>
          <w:spacing w:val="-3"/>
          <w:sz w:val="20"/>
        </w:rPr>
        <w:t> </w:t>
      </w:r>
      <w:r>
        <w:rPr>
          <w:sz w:val="20"/>
        </w:rPr>
        <w:t>en</w:t>
      </w:r>
      <w:r>
        <w:rPr>
          <w:spacing w:val="-3"/>
          <w:sz w:val="20"/>
        </w:rPr>
        <w:t> </w:t>
      </w:r>
      <w:r>
        <w:rPr>
          <w:sz w:val="20"/>
        </w:rPr>
        <w:t>menor</w:t>
      </w:r>
      <w:r>
        <w:rPr>
          <w:spacing w:val="-3"/>
          <w:sz w:val="20"/>
        </w:rPr>
        <w:t> </w:t>
      </w:r>
      <w:r>
        <w:rPr>
          <w:sz w:val="20"/>
        </w:rPr>
        <w:t>medida</w:t>
      </w:r>
      <w:r>
        <w:rPr>
          <w:spacing w:val="-4"/>
          <w:sz w:val="20"/>
        </w:rPr>
        <w:t> </w:t>
      </w:r>
      <w:r>
        <w:rPr>
          <w:sz w:val="20"/>
        </w:rPr>
        <w:t>para FUNCATRA, IDEO y ACCIÓN</w:t>
      </w:r>
      <w:r>
        <w:rPr>
          <w:spacing w:val="-1"/>
          <w:sz w:val="20"/>
        </w:rPr>
        <w:t> </w:t>
      </w:r>
      <w:r>
        <w:rPr>
          <w:sz w:val="20"/>
        </w:rPr>
        <w:t>SOCIAL.</w:t>
      </w:r>
    </w:p>
    <w:p>
      <w:pPr>
        <w:pStyle w:val="BodyText"/>
        <w:spacing w:before="1"/>
        <w:rPr>
          <w:sz w:val="16"/>
        </w:rPr>
      </w:pPr>
    </w:p>
    <w:tbl>
      <w:tblPr>
        <w:tblW w:w="0" w:type="auto"/>
        <w:jc w:val="left"/>
        <w:tblInd w:w="3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5"/>
        <w:gridCol w:w="1857"/>
        <w:gridCol w:w="1595"/>
      </w:tblGrid>
      <w:tr>
        <w:trPr>
          <w:trHeight w:val="443" w:hRule="atLeast"/>
        </w:trPr>
        <w:tc>
          <w:tcPr>
            <w:tcW w:w="1425"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1857" w:type="dxa"/>
            <w:tcBorders>
              <w:top w:val="single" w:sz="4" w:space="0" w:color="000000"/>
              <w:left w:val="single" w:sz="4" w:space="0" w:color="000000"/>
              <w:bottom w:val="single" w:sz="4" w:space="0" w:color="000000"/>
            </w:tcBorders>
            <w:shd w:val="clear" w:color="auto" w:fill="DEEAF6"/>
          </w:tcPr>
          <w:p>
            <w:pPr>
              <w:pStyle w:val="TableParagraph"/>
              <w:spacing w:line="249" w:lineRule="auto" w:before="60"/>
              <w:ind w:left="597" w:right="195" w:hanging="422"/>
              <w:rPr>
                <w:b/>
                <w:sz w:val="13"/>
              </w:rPr>
            </w:pPr>
            <w:r>
              <w:rPr>
                <w:b/>
                <w:w w:val="105"/>
                <w:sz w:val="13"/>
              </w:rPr>
              <w:t>Variación gastos personal 2022-2021</w:t>
            </w:r>
          </w:p>
        </w:tc>
        <w:tc>
          <w:tcPr>
            <w:tcW w:w="1595" w:type="dxa"/>
            <w:tcBorders>
              <w:top w:val="single" w:sz="4" w:space="0" w:color="000000"/>
              <w:bottom w:val="single" w:sz="4" w:space="0" w:color="000000"/>
              <w:right w:val="single" w:sz="4" w:space="0" w:color="000000"/>
            </w:tcBorders>
            <w:shd w:val="clear" w:color="auto" w:fill="DEEAF6"/>
          </w:tcPr>
          <w:p>
            <w:pPr>
              <w:pStyle w:val="TableParagraph"/>
              <w:spacing w:line="249" w:lineRule="auto" w:before="60"/>
              <w:ind w:left="472" w:right="265" w:hanging="218"/>
              <w:rPr>
                <w:b/>
                <w:sz w:val="13"/>
              </w:rPr>
            </w:pPr>
            <w:r>
              <w:rPr>
                <w:b/>
                <w:w w:val="105"/>
                <w:sz w:val="13"/>
              </w:rPr>
              <w:t>Variación ingresos 2022-2021</w:t>
            </w:r>
          </w:p>
        </w:tc>
      </w:tr>
      <w:tr>
        <w:trPr>
          <w:trHeight w:val="202" w:hRule="atLeast"/>
        </w:trPr>
        <w:tc>
          <w:tcPr>
            <w:tcW w:w="1425" w:type="dxa"/>
            <w:tcBorders>
              <w:left w:val="single" w:sz="4" w:space="0" w:color="000000"/>
              <w:right w:val="single" w:sz="4" w:space="0" w:color="000000"/>
            </w:tcBorders>
          </w:tcPr>
          <w:p>
            <w:pPr>
              <w:pStyle w:val="TableParagraph"/>
              <w:spacing w:line="158" w:lineRule="exact" w:before="24"/>
              <w:ind w:left="113"/>
              <w:rPr>
                <w:b/>
                <w:sz w:val="13"/>
              </w:rPr>
            </w:pPr>
            <w:r>
              <w:rPr>
                <w:b/>
                <w:w w:val="105"/>
                <w:sz w:val="13"/>
              </w:rPr>
              <w:t>LENGUA</w:t>
            </w:r>
          </w:p>
        </w:tc>
        <w:tc>
          <w:tcPr>
            <w:tcW w:w="1857" w:type="dxa"/>
            <w:tcBorders>
              <w:top w:val="single" w:sz="4" w:space="0" w:color="000000"/>
              <w:left w:val="single" w:sz="4" w:space="0" w:color="000000"/>
            </w:tcBorders>
          </w:tcPr>
          <w:p>
            <w:pPr>
              <w:pStyle w:val="TableParagraph"/>
              <w:spacing w:before="12"/>
              <w:ind w:right="789"/>
              <w:jc w:val="right"/>
              <w:rPr>
                <w:sz w:val="13"/>
              </w:rPr>
            </w:pPr>
            <w:r>
              <w:rPr>
                <w:sz w:val="13"/>
              </w:rPr>
              <w:t>20,0%</w:t>
            </w:r>
          </w:p>
        </w:tc>
        <w:tc>
          <w:tcPr>
            <w:tcW w:w="1595" w:type="dxa"/>
            <w:tcBorders>
              <w:top w:val="single" w:sz="4" w:space="0" w:color="000000"/>
              <w:right w:val="single" w:sz="4" w:space="0" w:color="000000"/>
            </w:tcBorders>
          </w:tcPr>
          <w:p>
            <w:pPr>
              <w:pStyle w:val="TableParagraph"/>
              <w:spacing w:before="12"/>
              <w:ind w:left="599"/>
              <w:rPr>
                <w:sz w:val="13"/>
              </w:rPr>
            </w:pPr>
            <w:r>
              <w:rPr>
                <w:w w:val="105"/>
                <w:sz w:val="13"/>
              </w:rPr>
              <w:t>52,6%</w:t>
            </w:r>
          </w:p>
        </w:tc>
      </w:tr>
      <w:tr>
        <w:trPr>
          <w:trHeight w:val="185" w:hRule="atLeast"/>
        </w:trPr>
        <w:tc>
          <w:tcPr>
            <w:tcW w:w="1425" w:type="dxa"/>
            <w:tcBorders>
              <w:left w:val="single" w:sz="4" w:space="0" w:color="000000"/>
              <w:right w:val="single" w:sz="4" w:space="0" w:color="000000"/>
            </w:tcBorders>
          </w:tcPr>
          <w:p>
            <w:pPr>
              <w:pStyle w:val="TableParagraph"/>
              <w:spacing w:line="158" w:lineRule="exact" w:before="7"/>
              <w:ind w:left="113"/>
              <w:rPr>
                <w:b/>
                <w:sz w:val="13"/>
              </w:rPr>
            </w:pPr>
            <w:r>
              <w:rPr>
                <w:b/>
                <w:w w:val="105"/>
                <w:sz w:val="13"/>
              </w:rPr>
              <w:t>FUNCATRA</w:t>
            </w:r>
          </w:p>
        </w:tc>
        <w:tc>
          <w:tcPr>
            <w:tcW w:w="1857" w:type="dxa"/>
            <w:tcBorders>
              <w:left w:val="single" w:sz="4" w:space="0" w:color="000000"/>
            </w:tcBorders>
          </w:tcPr>
          <w:p>
            <w:pPr>
              <w:pStyle w:val="TableParagraph"/>
              <w:spacing w:line="156" w:lineRule="exact"/>
              <w:ind w:right="803"/>
              <w:jc w:val="right"/>
              <w:rPr>
                <w:sz w:val="13"/>
              </w:rPr>
            </w:pPr>
            <w:r>
              <w:rPr>
                <w:sz w:val="13"/>
              </w:rPr>
              <w:t>-0,3%</w:t>
            </w:r>
          </w:p>
        </w:tc>
        <w:tc>
          <w:tcPr>
            <w:tcW w:w="1595" w:type="dxa"/>
            <w:tcBorders>
              <w:right w:val="single" w:sz="4" w:space="0" w:color="000000"/>
            </w:tcBorders>
          </w:tcPr>
          <w:p>
            <w:pPr>
              <w:pStyle w:val="TableParagraph"/>
              <w:spacing w:line="156" w:lineRule="exact"/>
              <w:ind w:left="579"/>
              <w:rPr>
                <w:sz w:val="13"/>
              </w:rPr>
            </w:pPr>
            <w:r>
              <w:rPr>
                <w:w w:val="105"/>
                <w:sz w:val="13"/>
              </w:rPr>
              <w:t>-88,9%</w:t>
            </w:r>
          </w:p>
        </w:tc>
      </w:tr>
      <w:tr>
        <w:trPr>
          <w:trHeight w:val="185" w:hRule="atLeast"/>
        </w:trPr>
        <w:tc>
          <w:tcPr>
            <w:tcW w:w="1425" w:type="dxa"/>
            <w:tcBorders>
              <w:left w:val="single" w:sz="4" w:space="0" w:color="000000"/>
              <w:right w:val="single" w:sz="4" w:space="0" w:color="000000"/>
            </w:tcBorders>
          </w:tcPr>
          <w:p>
            <w:pPr>
              <w:pStyle w:val="TableParagraph"/>
              <w:spacing w:line="158" w:lineRule="exact" w:before="7"/>
              <w:ind w:left="113"/>
              <w:rPr>
                <w:b/>
                <w:sz w:val="13"/>
              </w:rPr>
            </w:pPr>
            <w:r>
              <w:rPr>
                <w:b/>
                <w:w w:val="105"/>
                <w:sz w:val="13"/>
              </w:rPr>
              <w:t>IDEO</w:t>
            </w:r>
          </w:p>
        </w:tc>
        <w:tc>
          <w:tcPr>
            <w:tcW w:w="1857" w:type="dxa"/>
            <w:tcBorders>
              <w:left w:val="single" w:sz="4" w:space="0" w:color="000000"/>
            </w:tcBorders>
          </w:tcPr>
          <w:p>
            <w:pPr>
              <w:pStyle w:val="TableParagraph"/>
              <w:spacing w:line="156" w:lineRule="exact"/>
              <w:ind w:right="789"/>
              <w:jc w:val="right"/>
              <w:rPr>
                <w:sz w:val="13"/>
              </w:rPr>
            </w:pPr>
            <w:r>
              <w:rPr>
                <w:sz w:val="13"/>
              </w:rPr>
              <w:t>11,7%</w:t>
            </w:r>
          </w:p>
        </w:tc>
        <w:tc>
          <w:tcPr>
            <w:tcW w:w="1595" w:type="dxa"/>
            <w:tcBorders>
              <w:right w:val="single" w:sz="4" w:space="0" w:color="000000"/>
            </w:tcBorders>
          </w:tcPr>
          <w:p>
            <w:pPr>
              <w:pStyle w:val="TableParagraph"/>
              <w:spacing w:line="156" w:lineRule="exact"/>
              <w:ind w:left="634"/>
              <w:rPr>
                <w:sz w:val="13"/>
              </w:rPr>
            </w:pPr>
            <w:r>
              <w:rPr>
                <w:w w:val="105"/>
                <w:sz w:val="13"/>
              </w:rPr>
              <w:t>8,4%</w:t>
            </w:r>
          </w:p>
        </w:tc>
      </w:tr>
      <w:tr>
        <w:trPr>
          <w:trHeight w:val="185" w:hRule="atLeast"/>
        </w:trPr>
        <w:tc>
          <w:tcPr>
            <w:tcW w:w="1425" w:type="dxa"/>
            <w:tcBorders>
              <w:left w:val="single" w:sz="4" w:space="0" w:color="000000"/>
              <w:right w:val="single" w:sz="4" w:space="0" w:color="000000"/>
            </w:tcBorders>
          </w:tcPr>
          <w:p>
            <w:pPr>
              <w:pStyle w:val="TableParagraph"/>
              <w:spacing w:line="158" w:lineRule="exact" w:before="7"/>
              <w:ind w:left="113"/>
              <w:rPr>
                <w:b/>
                <w:sz w:val="13"/>
              </w:rPr>
            </w:pPr>
            <w:r>
              <w:rPr>
                <w:b/>
                <w:w w:val="105"/>
                <w:sz w:val="13"/>
              </w:rPr>
              <w:t>ACCIÓN SOCIAL</w:t>
            </w:r>
          </w:p>
        </w:tc>
        <w:tc>
          <w:tcPr>
            <w:tcW w:w="1857" w:type="dxa"/>
            <w:tcBorders>
              <w:left w:val="single" w:sz="4" w:space="0" w:color="000000"/>
            </w:tcBorders>
          </w:tcPr>
          <w:p>
            <w:pPr>
              <w:pStyle w:val="TableParagraph"/>
              <w:spacing w:line="156" w:lineRule="exact"/>
              <w:ind w:right="789"/>
              <w:jc w:val="right"/>
              <w:rPr>
                <w:sz w:val="13"/>
              </w:rPr>
            </w:pPr>
            <w:r>
              <w:rPr>
                <w:sz w:val="13"/>
              </w:rPr>
              <w:t>43,3%</w:t>
            </w:r>
          </w:p>
        </w:tc>
        <w:tc>
          <w:tcPr>
            <w:tcW w:w="1595" w:type="dxa"/>
            <w:tcBorders>
              <w:right w:val="single" w:sz="4" w:space="0" w:color="000000"/>
            </w:tcBorders>
          </w:tcPr>
          <w:p>
            <w:pPr>
              <w:pStyle w:val="TableParagraph"/>
              <w:spacing w:line="156" w:lineRule="exact"/>
              <w:ind w:left="599"/>
              <w:rPr>
                <w:sz w:val="13"/>
              </w:rPr>
            </w:pPr>
            <w:r>
              <w:rPr>
                <w:w w:val="105"/>
                <w:sz w:val="13"/>
              </w:rPr>
              <w:t>24,9%</w:t>
            </w:r>
          </w:p>
        </w:tc>
      </w:tr>
      <w:tr>
        <w:trPr>
          <w:trHeight w:val="185" w:hRule="atLeast"/>
        </w:trPr>
        <w:tc>
          <w:tcPr>
            <w:tcW w:w="1425" w:type="dxa"/>
            <w:tcBorders>
              <w:left w:val="single" w:sz="4" w:space="0" w:color="000000"/>
              <w:right w:val="single" w:sz="4" w:space="0" w:color="000000"/>
            </w:tcBorders>
          </w:tcPr>
          <w:p>
            <w:pPr>
              <w:pStyle w:val="TableParagraph"/>
              <w:spacing w:line="158" w:lineRule="exact" w:before="7"/>
              <w:ind w:left="113"/>
              <w:rPr>
                <w:b/>
                <w:sz w:val="13"/>
              </w:rPr>
            </w:pPr>
            <w:r>
              <w:rPr>
                <w:b/>
                <w:w w:val="105"/>
                <w:sz w:val="13"/>
              </w:rPr>
              <w:t>MUSEO</w:t>
            </w:r>
          </w:p>
        </w:tc>
        <w:tc>
          <w:tcPr>
            <w:tcW w:w="1857" w:type="dxa"/>
            <w:tcBorders>
              <w:left w:val="single" w:sz="4" w:space="0" w:color="000000"/>
            </w:tcBorders>
          </w:tcPr>
          <w:p>
            <w:pPr>
              <w:pStyle w:val="TableParagraph"/>
              <w:spacing w:line="156" w:lineRule="exact"/>
              <w:ind w:right="823"/>
              <w:jc w:val="right"/>
              <w:rPr>
                <w:sz w:val="13"/>
              </w:rPr>
            </w:pPr>
            <w:r>
              <w:rPr>
                <w:sz w:val="13"/>
              </w:rPr>
              <w:t>4,3%</w:t>
            </w:r>
          </w:p>
        </w:tc>
        <w:tc>
          <w:tcPr>
            <w:tcW w:w="1595" w:type="dxa"/>
            <w:tcBorders>
              <w:right w:val="single" w:sz="4" w:space="0" w:color="000000"/>
            </w:tcBorders>
          </w:tcPr>
          <w:p>
            <w:pPr>
              <w:pStyle w:val="TableParagraph"/>
              <w:spacing w:line="156" w:lineRule="exact"/>
              <w:ind w:left="599"/>
              <w:rPr>
                <w:sz w:val="13"/>
              </w:rPr>
            </w:pPr>
            <w:r>
              <w:rPr>
                <w:w w:val="105"/>
                <w:sz w:val="13"/>
              </w:rPr>
              <w:t>17,9%</w:t>
            </w:r>
          </w:p>
        </w:tc>
      </w:tr>
      <w:tr>
        <w:trPr>
          <w:trHeight w:val="187" w:hRule="atLeast"/>
        </w:trPr>
        <w:tc>
          <w:tcPr>
            <w:tcW w:w="1425" w:type="dxa"/>
            <w:tcBorders>
              <w:left w:val="single" w:sz="4" w:space="0" w:color="000000"/>
              <w:right w:val="single" w:sz="4" w:space="0" w:color="000000"/>
            </w:tcBorders>
          </w:tcPr>
          <w:p>
            <w:pPr>
              <w:pStyle w:val="TableParagraph"/>
              <w:spacing w:before="7"/>
              <w:ind w:left="113"/>
              <w:rPr>
                <w:b/>
                <w:sz w:val="13"/>
              </w:rPr>
            </w:pPr>
            <w:r>
              <w:rPr>
                <w:b/>
                <w:w w:val="105"/>
                <w:sz w:val="13"/>
              </w:rPr>
              <w:t>FUCAEX</w:t>
            </w:r>
          </w:p>
        </w:tc>
        <w:tc>
          <w:tcPr>
            <w:tcW w:w="1857" w:type="dxa"/>
            <w:tcBorders>
              <w:left w:val="single" w:sz="4" w:space="0" w:color="000000"/>
            </w:tcBorders>
          </w:tcPr>
          <w:p>
            <w:pPr>
              <w:pStyle w:val="TableParagraph"/>
              <w:spacing w:line="156" w:lineRule="exact"/>
              <w:ind w:right="769"/>
              <w:jc w:val="right"/>
              <w:rPr>
                <w:sz w:val="13"/>
              </w:rPr>
            </w:pPr>
            <w:r>
              <w:rPr>
                <w:sz w:val="13"/>
              </w:rPr>
              <w:t>-16,5%</w:t>
            </w:r>
          </w:p>
        </w:tc>
        <w:tc>
          <w:tcPr>
            <w:tcW w:w="1595" w:type="dxa"/>
            <w:tcBorders>
              <w:right w:val="single" w:sz="4" w:space="0" w:color="000000"/>
            </w:tcBorders>
          </w:tcPr>
          <w:p>
            <w:pPr>
              <w:pStyle w:val="TableParagraph"/>
              <w:spacing w:line="156" w:lineRule="exact"/>
              <w:ind w:left="634"/>
              <w:rPr>
                <w:sz w:val="13"/>
              </w:rPr>
            </w:pPr>
            <w:r>
              <w:rPr>
                <w:w w:val="105"/>
                <w:sz w:val="13"/>
              </w:rPr>
              <w:t>4,6%</w:t>
            </w:r>
          </w:p>
        </w:tc>
      </w:tr>
      <w:tr>
        <w:trPr>
          <w:trHeight w:val="174" w:hRule="atLeast"/>
        </w:trPr>
        <w:tc>
          <w:tcPr>
            <w:tcW w:w="1425" w:type="dxa"/>
            <w:tcBorders>
              <w:left w:val="single" w:sz="4" w:space="0" w:color="000000"/>
              <w:bottom w:val="single" w:sz="4" w:space="0" w:color="000000"/>
              <w:right w:val="single" w:sz="4" w:space="0" w:color="000000"/>
            </w:tcBorders>
          </w:tcPr>
          <w:p>
            <w:pPr>
              <w:pStyle w:val="TableParagraph"/>
              <w:spacing w:line="139" w:lineRule="exact" w:before="15"/>
              <w:ind w:left="113"/>
              <w:rPr>
                <w:b/>
                <w:sz w:val="13"/>
              </w:rPr>
            </w:pPr>
            <w:r>
              <w:rPr>
                <w:b/>
                <w:w w:val="105"/>
                <w:sz w:val="13"/>
              </w:rPr>
              <w:t>FIISC</w:t>
            </w:r>
          </w:p>
        </w:tc>
        <w:tc>
          <w:tcPr>
            <w:tcW w:w="1857" w:type="dxa"/>
            <w:tcBorders>
              <w:left w:val="single" w:sz="4" w:space="0" w:color="000000"/>
              <w:bottom w:val="single" w:sz="4" w:space="0" w:color="000000"/>
            </w:tcBorders>
          </w:tcPr>
          <w:p>
            <w:pPr>
              <w:pStyle w:val="TableParagraph"/>
              <w:spacing w:line="155" w:lineRule="exact"/>
              <w:ind w:right="789"/>
              <w:jc w:val="right"/>
              <w:rPr>
                <w:sz w:val="13"/>
              </w:rPr>
            </w:pPr>
            <w:r>
              <w:rPr>
                <w:sz w:val="13"/>
              </w:rPr>
              <w:t>15,0%</w:t>
            </w:r>
          </w:p>
        </w:tc>
        <w:tc>
          <w:tcPr>
            <w:tcW w:w="1595" w:type="dxa"/>
            <w:tcBorders>
              <w:bottom w:val="single" w:sz="4" w:space="0" w:color="000000"/>
              <w:right w:val="single" w:sz="4" w:space="0" w:color="000000"/>
            </w:tcBorders>
          </w:tcPr>
          <w:p>
            <w:pPr>
              <w:pStyle w:val="TableParagraph"/>
              <w:spacing w:line="155" w:lineRule="exact"/>
              <w:ind w:left="599"/>
              <w:rPr>
                <w:sz w:val="13"/>
              </w:rPr>
            </w:pPr>
            <w:r>
              <w:rPr>
                <w:w w:val="105"/>
                <w:sz w:val="13"/>
              </w:rPr>
              <w:t>14,5%</w:t>
            </w:r>
          </w:p>
        </w:tc>
      </w:tr>
    </w:tbl>
    <w:p>
      <w:pPr>
        <w:pStyle w:val="BodyText"/>
        <w:spacing w:before="7"/>
        <w:rPr>
          <w:sz w:val="16"/>
        </w:rPr>
      </w:pPr>
    </w:p>
    <w:p>
      <w:pPr>
        <w:pStyle w:val="ListParagraph"/>
        <w:numPr>
          <w:ilvl w:val="0"/>
          <w:numId w:val="85"/>
        </w:numPr>
        <w:tabs>
          <w:tab w:pos="2337" w:val="left" w:leader="none"/>
        </w:tabs>
        <w:spacing w:line="242" w:lineRule="auto" w:before="0" w:after="0"/>
        <w:ind w:left="2336" w:right="1145" w:hanging="357"/>
        <w:jc w:val="both"/>
        <w:rPr>
          <w:sz w:val="20"/>
        </w:rPr>
      </w:pPr>
      <w:r>
        <w:rPr>
          <w:sz w:val="20"/>
        </w:rPr>
        <w:t>Si bien, aunque se observan oscilaciones entre las fundaciones, entre estos gastos destaca el volumen de IDEO, al acaparar el 67,3 % del total agregado, experimentando un aumento de 2,1 millones de € con respecto a 2021 (un 11,7 %). LENGUA incrementa sus gastos de personal un 20 % respecto al año anterior. Para FIISC estos gastos aumentan en 0,5 millones de € respecto al año anterior (un 15</w:t>
      </w:r>
      <w:r>
        <w:rPr>
          <w:spacing w:val="20"/>
          <w:sz w:val="20"/>
        </w:rPr>
        <w:t> </w:t>
      </w:r>
      <w:r>
        <w:rPr>
          <w:sz w:val="20"/>
        </w:rPr>
        <w:t>%).</w:t>
      </w:r>
    </w:p>
    <w:p>
      <w:pPr>
        <w:pStyle w:val="BodyText"/>
        <w:spacing w:before="11"/>
        <w:rPr>
          <w:sz w:val="27"/>
        </w:rPr>
      </w:pPr>
    </w:p>
    <w:p>
      <w:pPr>
        <w:pStyle w:val="BodyText"/>
        <w:spacing w:before="61"/>
        <w:ind w:left="7787"/>
        <w:jc w:val="center"/>
      </w:pPr>
      <w:r>
        <w:rPr/>
        <w:t>135</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85" name="image5.png"/>
                  <wp:cNvGraphicFramePr>
                    <a:graphicFrameLocks noChangeAspect="1"/>
                  </wp:cNvGraphicFramePr>
                  <a:graphic>
                    <a:graphicData uri="http://schemas.openxmlformats.org/drawingml/2006/picture">
                      <pic:pic>
                        <pic:nvPicPr>
                          <pic:cNvPr id="28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137/247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86"/>
        </w:numPr>
        <w:tabs>
          <w:tab w:pos="2337" w:val="left" w:leader="none"/>
        </w:tabs>
        <w:spacing w:line="240" w:lineRule="auto" w:before="61" w:after="0"/>
        <w:ind w:left="2336" w:right="0" w:hanging="357"/>
        <w:jc w:val="both"/>
        <w:rPr>
          <w:sz w:val="20"/>
        </w:rPr>
      </w:pPr>
      <w:r>
        <w:rPr>
          <w:sz w:val="20"/>
        </w:rPr>
        <w:t>El</w:t>
      </w:r>
      <w:r>
        <w:rPr>
          <w:spacing w:val="13"/>
          <w:sz w:val="20"/>
        </w:rPr>
        <w:t> </w:t>
      </w:r>
      <w:r>
        <w:rPr>
          <w:sz w:val="20"/>
        </w:rPr>
        <w:t>aumento</w:t>
      </w:r>
      <w:r>
        <w:rPr>
          <w:spacing w:val="14"/>
          <w:sz w:val="20"/>
        </w:rPr>
        <w:t> </w:t>
      </w:r>
      <w:r>
        <w:rPr>
          <w:sz w:val="20"/>
        </w:rPr>
        <w:t>del</w:t>
      </w:r>
      <w:r>
        <w:rPr>
          <w:spacing w:val="14"/>
          <w:sz w:val="20"/>
        </w:rPr>
        <w:t> </w:t>
      </w:r>
      <w:r>
        <w:rPr>
          <w:sz w:val="20"/>
        </w:rPr>
        <w:t>gasto</w:t>
      </w:r>
      <w:r>
        <w:rPr>
          <w:spacing w:val="11"/>
          <w:sz w:val="20"/>
        </w:rPr>
        <w:t> </w:t>
      </w:r>
      <w:r>
        <w:rPr>
          <w:sz w:val="20"/>
        </w:rPr>
        <w:t>de</w:t>
      </w:r>
      <w:r>
        <w:rPr>
          <w:spacing w:val="12"/>
          <w:sz w:val="20"/>
        </w:rPr>
        <w:t> </w:t>
      </w:r>
      <w:r>
        <w:rPr>
          <w:sz w:val="20"/>
        </w:rPr>
        <w:t>personal</w:t>
      </w:r>
      <w:r>
        <w:rPr>
          <w:spacing w:val="14"/>
          <w:sz w:val="20"/>
        </w:rPr>
        <w:t> </w:t>
      </w:r>
      <w:r>
        <w:rPr>
          <w:sz w:val="20"/>
        </w:rPr>
        <w:t>de</w:t>
      </w:r>
      <w:r>
        <w:rPr>
          <w:spacing w:val="13"/>
          <w:sz w:val="20"/>
        </w:rPr>
        <w:t> </w:t>
      </w:r>
      <w:r>
        <w:rPr>
          <w:sz w:val="20"/>
        </w:rPr>
        <w:t>ACCIÓN</w:t>
      </w:r>
      <w:r>
        <w:rPr>
          <w:spacing w:val="14"/>
          <w:sz w:val="20"/>
        </w:rPr>
        <w:t> </w:t>
      </w:r>
      <w:r>
        <w:rPr>
          <w:sz w:val="20"/>
        </w:rPr>
        <w:t>SOCIAL</w:t>
      </w:r>
      <w:r>
        <w:rPr>
          <w:spacing w:val="13"/>
          <w:sz w:val="20"/>
        </w:rPr>
        <w:t> </w:t>
      </w:r>
      <w:r>
        <w:rPr>
          <w:sz w:val="20"/>
        </w:rPr>
        <w:t>en</w:t>
      </w:r>
      <w:r>
        <w:rPr>
          <w:spacing w:val="15"/>
          <w:sz w:val="20"/>
        </w:rPr>
        <w:t> </w:t>
      </w:r>
      <w:r>
        <w:rPr>
          <w:sz w:val="20"/>
        </w:rPr>
        <w:t>0,9</w:t>
      </w:r>
      <w:r>
        <w:rPr>
          <w:spacing w:val="12"/>
          <w:sz w:val="20"/>
        </w:rPr>
        <w:t> </w:t>
      </w:r>
      <w:r>
        <w:rPr>
          <w:sz w:val="20"/>
        </w:rPr>
        <w:t>millones</w:t>
      </w:r>
      <w:r>
        <w:rPr>
          <w:spacing w:val="14"/>
          <w:sz w:val="20"/>
        </w:rPr>
        <w:t> </w:t>
      </w:r>
      <w:r>
        <w:rPr>
          <w:sz w:val="20"/>
        </w:rPr>
        <w:t>de</w:t>
      </w:r>
      <w:r>
        <w:rPr>
          <w:spacing w:val="12"/>
          <w:sz w:val="20"/>
        </w:rPr>
        <w:t> </w:t>
      </w:r>
      <w:r>
        <w:rPr>
          <w:sz w:val="20"/>
        </w:rPr>
        <w:t>€</w:t>
      </w:r>
      <w:r>
        <w:rPr>
          <w:spacing w:val="13"/>
          <w:sz w:val="20"/>
        </w:rPr>
        <w:t> </w:t>
      </w:r>
      <w:r>
        <w:rPr>
          <w:sz w:val="20"/>
        </w:rPr>
        <w:t>(un</w:t>
      </w:r>
      <w:r>
        <w:rPr>
          <w:spacing w:val="13"/>
          <w:sz w:val="20"/>
        </w:rPr>
        <w:t> </w:t>
      </w:r>
      <w:r>
        <w:rPr>
          <w:sz w:val="20"/>
        </w:rPr>
        <w:t>43,3</w:t>
      </w:r>
    </w:p>
    <w:p>
      <w:pPr>
        <w:pStyle w:val="BodyText"/>
        <w:spacing w:line="242" w:lineRule="auto" w:before="2"/>
        <w:ind w:left="2336" w:right="1144"/>
        <w:jc w:val="both"/>
      </w:pPr>
      <w:r>
        <w:rPr/>
        <w:t>%), responde, por una parte, a un aumento de la plantilla como consecuencia, principalmente, de la contratación temporal debido a nuevos encargos y por el incremento</w:t>
      </w:r>
      <w:r>
        <w:rPr>
          <w:spacing w:val="-5"/>
        </w:rPr>
        <w:t> </w:t>
      </w:r>
      <w:r>
        <w:rPr/>
        <w:t>del</w:t>
      </w:r>
      <w:r>
        <w:rPr>
          <w:spacing w:val="-5"/>
        </w:rPr>
        <w:t> </w:t>
      </w:r>
      <w:r>
        <w:rPr/>
        <w:t>número</w:t>
      </w:r>
      <w:r>
        <w:rPr>
          <w:spacing w:val="-8"/>
        </w:rPr>
        <w:t> </w:t>
      </w:r>
      <w:r>
        <w:rPr/>
        <w:t>de</w:t>
      </w:r>
      <w:r>
        <w:rPr>
          <w:spacing w:val="-5"/>
        </w:rPr>
        <w:t> </w:t>
      </w:r>
      <w:r>
        <w:rPr/>
        <w:t>personas</w:t>
      </w:r>
      <w:r>
        <w:rPr>
          <w:spacing w:val="-5"/>
        </w:rPr>
        <w:t> </w:t>
      </w:r>
      <w:r>
        <w:rPr/>
        <w:t>tuteladas</w:t>
      </w:r>
      <w:r>
        <w:rPr>
          <w:spacing w:val="-6"/>
        </w:rPr>
        <w:t> </w:t>
      </w:r>
      <w:r>
        <w:rPr/>
        <w:t>y/o</w:t>
      </w:r>
      <w:r>
        <w:rPr>
          <w:spacing w:val="-3"/>
        </w:rPr>
        <w:t> </w:t>
      </w:r>
      <w:r>
        <w:rPr/>
        <w:t>curateladas</w:t>
      </w:r>
      <w:r>
        <w:rPr>
          <w:spacing w:val="-6"/>
        </w:rPr>
        <w:t> </w:t>
      </w:r>
      <w:r>
        <w:rPr/>
        <w:t>del</w:t>
      </w:r>
      <w:r>
        <w:rPr>
          <w:spacing w:val="-5"/>
        </w:rPr>
        <w:t> </w:t>
      </w:r>
      <w:r>
        <w:rPr/>
        <w:t>servicio</w:t>
      </w:r>
      <w:r>
        <w:rPr>
          <w:spacing w:val="-5"/>
        </w:rPr>
        <w:t> </w:t>
      </w:r>
      <w:r>
        <w:rPr/>
        <w:t>de</w:t>
      </w:r>
      <w:r>
        <w:rPr>
          <w:spacing w:val="-4"/>
        </w:rPr>
        <w:t> </w:t>
      </w:r>
      <w:r>
        <w:rPr/>
        <w:t>gestión de medidas de apoyo encargado para las personas en dicha situación y, por otra parte, a causa del incremento salarial del 2 % en virtud de lo dispuesto en la Ley de Presupuestos de la CAC para el año</w:t>
      </w:r>
      <w:r>
        <w:rPr>
          <w:spacing w:val="1"/>
        </w:rPr>
        <w:t> </w:t>
      </w:r>
      <w:r>
        <w:rPr/>
        <w:t>2022.</w:t>
      </w:r>
    </w:p>
    <w:p>
      <w:pPr>
        <w:pStyle w:val="BodyText"/>
        <w:spacing w:before="2" w:after="1"/>
        <w:rPr>
          <w:sz w:val="16"/>
        </w:rPr>
      </w:pPr>
    </w:p>
    <w:tbl>
      <w:tblPr>
        <w:tblW w:w="0" w:type="auto"/>
        <w:jc w:val="left"/>
        <w:tblInd w:w="3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7"/>
        <w:gridCol w:w="2919"/>
      </w:tblGrid>
      <w:tr>
        <w:trPr>
          <w:trHeight w:val="173" w:hRule="atLeast"/>
        </w:trPr>
        <w:tc>
          <w:tcPr>
            <w:tcW w:w="2177" w:type="dxa"/>
            <w:tcBorders>
              <w:bottom w:val="nil"/>
            </w:tcBorders>
          </w:tcPr>
          <w:p>
            <w:pPr>
              <w:pStyle w:val="TableParagraph"/>
              <w:rPr>
                <w:rFonts w:ascii="Times New Roman"/>
                <w:sz w:val="10"/>
              </w:rPr>
            </w:pPr>
          </w:p>
        </w:tc>
        <w:tc>
          <w:tcPr>
            <w:tcW w:w="2919" w:type="dxa"/>
            <w:tcBorders>
              <w:bottom w:val="nil"/>
            </w:tcBorders>
            <w:shd w:val="clear" w:color="auto" w:fill="DEEAF6"/>
          </w:tcPr>
          <w:p>
            <w:pPr>
              <w:pStyle w:val="TableParagraph"/>
              <w:spacing w:line="152" w:lineRule="exact" w:before="2"/>
              <w:ind w:left="550" w:right="543"/>
              <w:jc w:val="center"/>
              <w:rPr>
                <w:b/>
                <w:sz w:val="13"/>
              </w:rPr>
            </w:pPr>
            <w:r>
              <w:rPr>
                <w:b/>
                <w:w w:val="105"/>
                <w:sz w:val="13"/>
              </w:rPr>
              <w:t>Variación del gasto en personal</w:t>
            </w:r>
          </w:p>
        </w:tc>
      </w:tr>
      <w:tr>
        <w:trPr>
          <w:trHeight w:val="152" w:hRule="atLeast"/>
        </w:trPr>
        <w:tc>
          <w:tcPr>
            <w:tcW w:w="2177" w:type="dxa"/>
            <w:tcBorders>
              <w:top w:val="nil"/>
              <w:bottom w:val="nil"/>
            </w:tcBorders>
          </w:tcPr>
          <w:p>
            <w:pPr>
              <w:pStyle w:val="TableParagraph"/>
              <w:rPr>
                <w:rFonts w:ascii="Times New Roman"/>
                <w:sz w:val="8"/>
              </w:rPr>
            </w:pPr>
          </w:p>
        </w:tc>
        <w:tc>
          <w:tcPr>
            <w:tcW w:w="2919" w:type="dxa"/>
            <w:tcBorders>
              <w:top w:val="nil"/>
            </w:tcBorders>
            <w:shd w:val="clear" w:color="auto" w:fill="DEEAF6"/>
          </w:tcPr>
          <w:p>
            <w:pPr>
              <w:pStyle w:val="TableParagraph"/>
              <w:spacing w:line="133" w:lineRule="exact"/>
              <w:ind w:left="549" w:right="543"/>
              <w:jc w:val="center"/>
              <w:rPr>
                <w:b/>
                <w:sz w:val="13"/>
              </w:rPr>
            </w:pPr>
            <w:r>
              <w:rPr>
                <w:b/>
                <w:w w:val="105"/>
                <w:sz w:val="13"/>
              </w:rPr>
              <w:t>2022-2021</w:t>
            </w:r>
          </w:p>
        </w:tc>
      </w:tr>
      <w:tr>
        <w:trPr>
          <w:trHeight w:val="206" w:hRule="atLeast"/>
        </w:trPr>
        <w:tc>
          <w:tcPr>
            <w:tcW w:w="2177" w:type="dxa"/>
            <w:tcBorders>
              <w:top w:val="nil"/>
              <w:bottom w:val="nil"/>
            </w:tcBorders>
          </w:tcPr>
          <w:p>
            <w:pPr>
              <w:pStyle w:val="TableParagraph"/>
              <w:spacing w:before="19"/>
              <w:ind w:left="57"/>
              <w:rPr>
                <w:b/>
                <w:sz w:val="13"/>
              </w:rPr>
            </w:pPr>
            <w:r>
              <w:rPr>
                <w:b/>
                <w:w w:val="105"/>
                <w:sz w:val="13"/>
              </w:rPr>
              <w:t>LENGUA</w:t>
            </w:r>
          </w:p>
        </w:tc>
        <w:tc>
          <w:tcPr>
            <w:tcW w:w="2919" w:type="dxa"/>
            <w:tcBorders>
              <w:bottom w:val="nil"/>
            </w:tcBorders>
          </w:tcPr>
          <w:p>
            <w:pPr>
              <w:pStyle w:val="TableParagraph"/>
              <w:spacing w:before="19"/>
              <w:ind w:left="550" w:right="542"/>
              <w:jc w:val="center"/>
              <w:rPr>
                <w:sz w:val="13"/>
              </w:rPr>
            </w:pPr>
            <w:r>
              <w:rPr>
                <w:w w:val="105"/>
                <w:sz w:val="13"/>
              </w:rPr>
              <w:t>7.913,19</w:t>
            </w:r>
          </w:p>
        </w:tc>
      </w:tr>
      <w:tr>
        <w:trPr>
          <w:trHeight w:val="196" w:hRule="atLeast"/>
        </w:trPr>
        <w:tc>
          <w:tcPr>
            <w:tcW w:w="2177" w:type="dxa"/>
            <w:tcBorders>
              <w:top w:val="nil"/>
              <w:bottom w:val="nil"/>
            </w:tcBorders>
          </w:tcPr>
          <w:p>
            <w:pPr>
              <w:pStyle w:val="TableParagraph"/>
              <w:spacing w:before="7"/>
              <w:ind w:left="57"/>
              <w:rPr>
                <w:b/>
                <w:sz w:val="13"/>
              </w:rPr>
            </w:pPr>
            <w:r>
              <w:rPr>
                <w:b/>
                <w:w w:val="105"/>
                <w:sz w:val="13"/>
              </w:rPr>
              <w:t>FUNCATRA</w:t>
            </w:r>
          </w:p>
        </w:tc>
        <w:tc>
          <w:tcPr>
            <w:tcW w:w="2919" w:type="dxa"/>
            <w:tcBorders>
              <w:top w:val="nil"/>
              <w:bottom w:val="nil"/>
            </w:tcBorders>
          </w:tcPr>
          <w:p>
            <w:pPr>
              <w:pStyle w:val="TableParagraph"/>
              <w:spacing w:before="7"/>
              <w:ind w:left="549" w:right="543"/>
              <w:jc w:val="center"/>
              <w:rPr>
                <w:sz w:val="13"/>
              </w:rPr>
            </w:pPr>
            <w:r>
              <w:rPr>
                <w:w w:val="105"/>
                <w:sz w:val="13"/>
              </w:rPr>
              <w:t>-9.604,96</w:t>
            </w:r>
          </w:p>
        </w:tc>
      </w:tr>
      <w:tr>
        <w:trPr>
          <w:trHeight w:val="196" w:hRule="atLeast"/>
        </w:trPr>
        <w:tc>
          <w:tcPr>
            <w:tcW w:w="2177" w:type="dxa"/>
            <w:tcBorders>
              <w:top w:val="nil"/>
              <w:bottom w:val="nil"/>
            </w:tcBorders>
          </w:tcPr>
          <w:p>
            <w:pPr>
              <w:pStyle w:val="TableParagraph"/>
              <w:spacing w:before="8"/>
              <w:ind w:left="57"/>
              <w:rPr>
                <w:b/>
                <w:sz w:val="13"/>
              </w:rPr>
            </w:pPr>
            <w:r>
              <w:rPr>
                <w:b/>
                <w:w w:val="105"/>
                <w:sz w:val="13"/>
              </w:rPr>
              <w:t>IDEO</w:t>
            </w:r>
          </w:p>
        </w:tc>
        <w:tc>
          <w:tcPr>
            <w:tcW w:w="2919" w:type="dxa"/>
            <w:tcBorders>
              <w:top w:val="nil"/>
              <w:bottom w:val="nil"/>
            </w:tcBorders>
          </w:tcPr>
          <w:p>
            <w:pPr>
              <w:pStyle w:val="TableParagraph"/>
              <w:spacing w:before="8"/>
              <w:ind w:left="550" w:right="542"/>
              <w:jc w:val="center"/>
              <w:rPr>
                <w:sz w:val="13"/>
              </w:rPr>
            </w:pPr>
            <w:r>
              <w:rPr>
                <w:w w:val="105"/>
                <w:sz w:val="13"/>
              </w:rPr>
              <w:t>2.141.504,46</w:t>
            </w:r>
          </w:p>
        </w:tc>
      </w:tr>
      <w:tr>
        <w:trPr>
          <w:trHeight w:val="196" w:hRule="atLeast"/>
        </w:trPr>
        <w:tc>
          <w:tcPr>
            <w:tcW w:w="2177" w:type="dxa"/>
            <w:tcBorders>
              <w:top w:val="nil"/>
              <w:bottom w:val="nil"/>
            </w:tcBorders>
          </w:tcPr>
          <w:p>
            <w:pPr>
              <w:pStyle w:val="TableParagraph"/>
              <w:spacing w:before="7"/>
              <w:ind w:left="57"/>
              <w:rPr>
                <w:b/>
                <w:sz w:val="13"/>
              </w:rPr>
            </w:pPr>
            <w:r>
              <w:rPr>
                <w:b/>
                <w:w w:val="105"/>
                <w:sz w:val="13"/>
              </w:rPr>
              <w:t>ACCIÓN SOCIAL</w:t>
            </w:r>
          </w:p>
        </w:tc>
        <w:tc>
          <w:tcPr>
            <w:tcW w:w="2919" w:type="dxa"/>
            <w:tcBorders>
              <w:top w:val="nil"/>
              <w:bottom w:val="nil"/>
            </w:tcBorders>
          </w:tcPr>
          <w:p>
            <w:pPr>
              <w:pStyle w:val="TableParagraph"/>
              <w:spacing w:before="7"/>
              <w:ind w:left="550" w:right="542"/>
              <w:jc w:val="center"/>
              <w:rPr>
                <w:sz w:val="13"/>
              </w:rPr>
            </w:pPr>
            <w:r>
              <w:rPr>
                <w:w w:val="105"/>
                <w:sz w:val="13"/>
              </w:rPr>
              <w:t>885.477,35</w:t>
            </w:r>
          </w:p>
        </w:tc>
      </w:tr>
      <w:tr>
        <w:trPr>
          <w:trHeight w:val="196" w:hRule="atLeast"/>
        </w:trPr>
        <w:tc>
          <w:tcPr>
            <w:tcW w:w="2177" w:type="dxa"/>
            <w:tcBorders>
              <w:top w:val="nil"/>
              <w:bottom w:val="nil"/>
            </w:tcBorders>
          </w:tcPr>
          <w:p>
            <w:pPr>
              <w:pStyle w:val="TableParagraph"/>
              <w:spacing w:before="8"/>
              <w:ind w:left="57"/>
              <w:rPr>
                <w:b/>
                <w:sz w:val="13"/>
              </w:rPr>
            </w:pPr>
            <w:r>
              <w:rPr>
                <w:b/>
                <w:w w:val="105"/>
                <w:sz w:val="13"/>
              </w:rPr>
              <w:t>MUSEO</w:t>
            </w:r>
          </w:p>
        </w:tc>
        <w:tc>
          <w:tcPr>
            <w:tcW w:w="2919" w:type="dxa"/>
            <w:tcBorders>
              <w:top w:val="nil"/>
              <w:bottom w:val="nil"/>
            </w:tcBorders>
          </w:tcPr>
          <w:p>
            <w:pPr>
              <w:pStyle w:val="TableParagraph"/>
              <w:spacing w:before="8"/>
              <w:ind w:left="550" w:right="542"/>
              <w:jc w:val="center"/>
              <w:rPr>
                <w:sz w:val="13"/>
              </w:rPr>
            </w:pPr>
            <w:r>
              <w:rPr>
                <w:w w:val="105"/>
                <w:sz w:val="13"/>
              </w:rPr>
              <w:t>6.146,99</w:t>
            </w:r>
          </w:p>
        </w:tc>
      </w:tr>
      <w:tr>
        <w:trPr>
          <w:trHeight w:val="196" w:hRule="atLeast"/>
        </w:trPr>
        <w:tc>
          <w:tcPr>
            <w:tcW w:w="2177" w:type="dxa"/>
            <w:tcBorders>
              <w:top w:val="nil"/>
              <w:bottom w:val="nil"/>
            </w:tcBorders>
          </w:tcPr>
          <w:p>
            <w:pPr>
              <w:pStyle w:val="TableParagraph"/>
              <w:spacing w:before="7"/>
              <w:ind w:left="57"/>
              <w:rPr>
                <w:b/>
                <w:sz w:val="13"/>
              </w:rPr>
            </w:pPr>
            <w:r>
              <w:rPr>
                <w:b/>
                <w:w w:val="105"/>
                <w:sz w:val="13"/>
              </w:rPr>
              <w:t>FUCAEX</w:t>
            </w:r>
          </w:p>
        </w:tc>
        <w:tc>
          <w:tcPr>
            <w:tcW w:w="2919" w:type="dxa"/>
            <w:tcBorders>
              <w:top w:val="nil"/>
              <w:bottom w:val="nil"/>
            </w:tcBorders>
          </w:tcPr>
          <w:p>
            <w:pPr>
              <w:pStyle w:val="TableParagraph"/>
              <w:spacing w:before="7"/>
              <w:ind w:left="550" w:right="542"/>
              <w:jc w:val="center"/>
              <w:rPr>
                <w:sz w:val="13"/>
              </w:rPr>
            </w:pPr>
            <w:r>
              <w:rPr>
                <w:w w:val="105"/>
                <w:sz w:val="13"/>
              </w:rPr>
              <w:t>-42.016,49</w:t>
            </w:r>
          </w:p>
        </w:tc>
      </w:tr>
      <w:tr>
        <w:trPr>
          <w:trHeight w:val="183" w:hRule="atLeast"/>
        </w:trPr>
        <w:tc>
          <w:tcPr>
            <w:tcW w:w="2177" w:type="dxa"/>
            <w:tcBorders>
              <w:top w:val="nil"/>
            </w:tcBorders>
          </w:tcPr>
          <w:p>
            <w:pPr>
              <w:pStyle w:val="TableParagraph"/>
              <w:spacing w:line="155" w:lineRule="exact" w:before="8"/>
              <w:ind w:left="57"/>
              <w:rPr>
                <w:b/>
                <w:sz w:val="13"/>
              </w:rPr>
            </w:pPr>
            <w:r>
              <w:rPr>
                <w:b/>
                <w:w w:val="105"/>
                <w:sz w:val="13"/>
              </w:rPr>
              <w:t>FIISC</w:t>
            </w:r>
          </w:p>
        </w:tc>
        <w:tc>
          <w:tcPr>
            <w:tcW w:w="2919" w:type="dxa"/>
            <w:tcBorders>
              <w:top w:val="nil"/>
            </w:tcBorders>
          </w:tcPr>
          <w:p>
            <w:pPr>
              <w:pStyle w:val="TableParagraph"/>
              <w:spacing w:line="155" w:lineRule="exact" w:before="8"/>
              <w:ind w:left="550" w:right="542"/>
              <w:jc w:val="center"/>
              <w:rPr>
                <w:sz w:val="13"/>
              </w:rPr>
            </w:pPr>
            <w:r>
              <w:rPr>
                <w:w w:val="105"/>
                <w:sz w:val="13"/>
              </w:rPr>
              <w:t>458.989,00</w:t>
            </w:r>
          </w:p>
        </w:tc>
      </w:tr>
      <w:tr>
        <w:trPr>
          <w:trHeight w:val="253" w:hRule="atLeast"/>
        </w:trPr>
        <w:tc>
          <w:tcPr>
            <w:tcW w:w="2177" w:type="dxa"/>
            <w:shd w:val="clear" w:color="auto" w:fill="D9E1F3"/>
          </w:tcPr>
          <w:p>
            <w:pPr>
              <w:pStyle w:val="TableParagraph"/>
              <w:spacing w:before="48"/>
              <w:ind w:left="716"/>
              <w:rPr>
                <w:b/>
                <w:sz w:val="13"/>
              </w:rPr>
            </w:pPr>
            <w:r>
              <w:rPr>
                <w:b/>
                <w:w w:val="105"/>
                <w:sz w:val="13"/>
              </w:rPr>
              <w:t>Total (</w:t>
            </w:r>
            <w:r>
              <w:rPr>
                <w:w w:val="105"/>
                <w:sz w:val="13"/>
              </w:rPr>
              <w:t>euros</w:t>
            </w:r>
            <w:r>
              <w:rPr>
                <w:b/>
                <w:w w:val="105"/>
                <w:sz w:val="13"/>
              </w:rPr>
              <w:t>)</w:t>
            </w:r>
          </w:p>
        </w:tc>
        <w:tc>
          <w:tcPr>
            <w:tcW w:w="2919" w:type="dxa"/>
            <w:shd w:val="clear" w:color="auto" w:fill="D9E1F3"/>
          </w:tcPr>
          <w:p>
            <w:pPr>
              <w:pStyle w:val="TableParagraph"/>
              <w:spacing w:before="48"/>
              <w:ind w:left="549" w:right="543"/>
              <w:jc w:val="center"/>
              <w:rPr>
                <w:b/>
                <w:sz w:val="13"/>
              </w:rPr>
            </w:pPr>
            <w:r>
              <w:rPr>
                <w:b/>
                <w:w w:val="105"/>
                <w:sz w:val="13"/>
              </w:rPr>
              <w:t>3.448.409,54</w:t>
            </w:r>
          </w:p>
        </w:tc>
      </w:tr>
    </w:tbl>
    <w:p>
      <w:pPr>
        <w:pStyle w:val="BodyText"/>
        <w:spacing w:before="7"/>
        <w:rPr>
          <w:sz w:val="16"/>
        </w:rPr>
      </w:pPr>
    </w:p>
    <w:p>
      <w:pPr>
        <w:pStyle w:val="ListParagraph"/>
        <w:numPr>
          <w:ilvl w:val="0"/>
          <w:numId w:val="86"/>
        </w:numPr>
        <w:tabs>
          <w:tab w:pos="2337" w:val="left" w:leader="none"/>
        </w:tabs>
        <w:spacing w:line="240" w:lineRule="auto" w:before="0" w:after="0"/>
        <w:ind w:left="2336" w:right="1145" w:hanging="357"/>
        <w:jc w:val="both"/>
        <w:rPr>
          <w:sz w:val="20"/>
        </w:rPr>
      </w:pPr>
      <w:r>
        <w:rPr>
          <w:sz w:val="20"/>
        </w:rPr>
        <w:t>IDEO tiene registrada una provisión de 269.606 euros (111.918 euros en 2021) para cubrir</w:t>
      </w:r>
      <w:r>
        <w:rPr>
          <w:spacing w:val="-3"/>
          <w:sz w:val="20"/>
        </w:rPr>
        <w:t> </w:t>
      </w:r>
      <w:r>
        <w:rPr>
          <w:sz w:val="20"/>
        </w:rPr>
        <w:t>posibles</w:t>
      </w:r>
      <w:r>
        <w:rPr>
          <w:spacing w:val="-6"/>
          <w:sz w:val="20"/>
        </w:rPr>
        <w:t> </w:t>
      </w:r>
      <w:r>
        <w:rPr>
          <w:sz w:val="20"/>
        </w:rPr>
        <w:t>deudas</w:t>
      </w:r>
      <w:r>
        <w:rPr>
          <w:spacing w:val="-5"/>
          <w:sz w:val="20"/>
        </w:rPr>
        <w:t> </w:t>
      </w:r>
      <w:r>
        <w:rPr>
          <w:sz w:val="20"/>
        </w:rPr>
        <w:t>por</w:t>
      </w:r>
      <w:r>
        <w:rPr>
          <w:spacing w:val="-3"/>
          <w:sz w:val="20"/>
        </w:rPr>
        <w:t> </w:t>
      </w:r>
      <w:r>
        <w:rPr>
          <w:sz w:val="20"/>
        </w:rPr>
        <w:t>litigios</w:t>
      </w:r>
      <w:r>
        <w:rPr>
          <w:spacing w:val="-3"/>
          <w:sz w:val="20"/>
        </w:rPr>
        <w:t> </w:t>
      </w:r>
      <w:r>
        <w:rPr>
          <w:sz w:val="20"/>
        </w:rPr>
        <w:t>con</w:t>
      </w:r>
      <w:r>
        <w:rPr>
          <w:spacing w:val="-3"/>
          <w:sz w:val="20"/>
        </w:rPr>
        <w:t> </w:t>
      </w:r>
      <w:r>
        <w:rPr>
          <w:sz w:val="20"/>
        </w:rPr>
        <w:t>sus</w:t>
      </w:r>
      <w:r>
        <w:rPr>
          <w:spacing w:val="-6"/>
          <w:sz w:val="20"/>
        </w:rPr>
        <w:t> </w:t>
      </w:r>
      <w:r>
        <w:rPr>
          <w:sz w:val="20"/>
        </w:rPr>
        <w:t>trabajadores.</w:t>
      </w:r>
      <w:r>
        <w:rPr>
          <w:spacing w:val="-3"/>
          <w:sz w:val="20"/>
        </w:rPr>
        <w:t> </w:t>
      </w:r>
      <w:r>
        <w:rPr>
          <w:sz w:val="20"/>
        </w:rPr>
        <w:t>Adicionalmente,</w:t>
      </w:r>
      <w:r>
        <w:rPr>
          <w:spacing w:val="-3"/>
          <w:sz w:val="20"/>
        </w:rPr>
        <w:t> </w:t>
      </w:r>
      <w:r>
        <w:rPr>
          <w:sz w:val="20"/>
        </w:rPr>
        <w:t>los</w:t>
      </w:r>
      <w:r>
        <w:rPr>
          <w:spacing w:val="-3"/>
          <w:sz w:val="20"/>
        </w:rPr>
        <w:t> </w:t>
      </w:r>
      <w:r>
        <w:rPr>
          <w:sz w:val="20"/>
        </w:rPr>
        <w:t>asesores de la Fundación han calificado el riesgo de diferentes litigios como posible pero no probable,</w:t>
      </w:r>
      <w:r>
        <w:rPr>
          <w:spacing w:val="-8"/>
          <w:sz w:val="20"/>
        </w:rPr>
        <w:t> </w:t>
      </w:r>
      <w:r>
        <w:rPr>
          <w:sz w:val="20"/>
        </w:rPr>
        <w:t>por</w:t>
      </w:r>
      <w:r>
        <w:rPr>
          <w:spacing w:val="-8"/>
          <w:sz w:val="20"/>
        </w:rPr>
        <w:t> </w:t>
      </w:r>
      <w:r>
        <w:rPr>
          <w:sz w:val="20"/>
        </w:rPr>
        <w:t>un</w:t>
      </w:r>
      <w:r>
        <w:rPr>
          <w:spacing w:val="-7"/>
          <w:sz w:val="20"/>
        </w:rPr>
        <w:t> </w:t>
      </w:r>
      <w:r>
        <w:rPr>
          <w:sz w:val="20"/>
        </w:rPr>
        <w:t>importe</w:t>
      </w:r>
      <w:r>
        <w:rPr>
          <w:spacing w:val="-8"/>
          <w:sz w:val="20"/>
        </w:rPr>
        <w:t> </w:t>
      </w:r>
      <w:r>
        <w:rPr>
          <w:sz w:val="20"/>
        </w:rPr>
        <w:t>de</w:t>
      </w:r>
      <w:r>
        <w:rPr>
          <w:spacing w:val="-7"/>
          <w:sz w:val="20"/>
        </w:rPr>
        <w:t> </w:t>
      </w:r>
      <w:r>
        <w:rPr>
          <w:sz w:val="20"/>
        </w:rPr>
        <w:t>7,9</w:t>
      </w:r>
      <w:r>
        <w:rPr>
          <w:spacing w:val="-7"/>
          <w:sz w:val="20"/>
        </w:rPr>
        <w:t> </w:t>
      </w:r>
      <w:r>
        <w:rPr>
          <w:sz w:val="20"/>
        </w:rPr>
        <w:t>millones</w:t>
      </w:r>
      <w:r>
        <w:rPr>
          <w:spacing w:val="-8"/>
          <w:sz w:val="20"/>
        </w:rPr>
        <w:t> </w:t>
      </w:r>
      <w:r>
        <w:rPr>
          <w:sz w:val="20"/>
        </w:rPr>
        <w:t>de</w:t>
      </w:r>
      <w:r>
        <w:rPr>
          <w:spacing w:val="-7"/>
          <w:sz w:val="20"/>
        </w:rPr>
        <w:t> </w:t>
      </w:r>
      <w:r>
        <w:rPr>
          <w:sz w:val="20"/>
        </w:rPr>
        <w:t>€</w:t>
      </w:r>
      <w:r>
        <w:rPr>
          <w:spacing w:val="-6"/>
          <w:sz w:val="20"/>
        </w:rPr>
        <w:t> </w:t>
      </w:r>
      <w:r>
        <w:rPr>
          <w:sz w:val="20"/>
        </w:rPr>
        <w:t>(7,8</w:t>
      </w:r>
      <w:r>
        <w:rPr>
          <w:spacing w:val="-7"/>
          <w:sz w:val="20"/>
        </w:rPr>
        <w:t> </w:t>
      </w:r>
      <w:r>
        <w:rPr>
          <w:sz w:val="20"/>
        </w:rPr>
        <w:t>millones</w:t>
      </w:r>
      <w:r>
        <w:rPr>
          <w:spacing w:val="-8"/>
          <w:sz w:val="20"/>
        </w:rPr>
        <w:t> </w:t>
      </w:r>
      <w:r>
        <w:rPr>
          <w:sz w:val="20"/>
        </w:rPr>
        <w:t>en</w:t>
      </w:r>
      <w:r>
        <w:rPr>
          <w:spacing w:val="-7"/>
          <w:sz w:val="20"/>
        </w:rPr>
        <w:t> </w:t>
      </w:r>
      <w:r>
        <w:rPr>
          <w:sz w:val="20"/>
        </w:rPr>
        <w:t>2021),</w:t>
      </w:r>
      <w:r>
        <w:rPr>
          <w:spacing w:val="-8"/>
          <w:sz w:val="20"/>
        </w:rPr>
        <w:t> </w:t>
      </w:r>
      <w:r>
        <w:rPr>
          <w:sz w:val="20"/>
        </w:rPr>
        <w:t>que</w:t>
      </w:r>
      <w:r>
        <w:rPr>
          <w:spacing w:val="-8"/>
          <w:sz w:val="20"/>
        </w:rPr>
        <w:t> </w:t>
      </w:r>
      <w:r>
        <w:rPr>
          <w:sz w:val="20"/>
        </w:rPr>
        <w:t>no</w:t>
      </w:r>
      <w:r>
        <w:rPr>
          <w:spacing w:val="-5"/>
          <w:sz w:val="20"/>
        </w:rPr>
        <w:t> </w:t>
      </w:r>
      <w:r>
        <w:rPr>
          <w:sz w:val="20"/>
        </w:rPr>
        <w:t>han</w:t>
      </w:r>
      <w:r>
        <w:rPr>
          <w:spacing w:val="-6"/>
          <w:sz w:val="20"/>
        </w:rPr>
        <w:t> </w:t>
      </w:r>
      <w:r>
        <w:rPr>
          <w:sz w:val="20"/>
        </w:rPr>
        <w:t>sido provisionados por esta razón en las cuentas</w:t>
      </w:r>
      <w:r>
        <w:rPr>
          <w:spacing w:val="-2"/>
          <w:sz w:val="20"/>
        </w:rPr>
        <w:t> </w:t>
      </w:r>
      <w:r>
        <w:rPr>
          <w:sz w:val="20"/>
        </w:rPr>
        <w:t>anuales.</w:t>
      </w:r>
    </w:p>
    <w:p>
      <w:pPr>
        <w:pStyle w:val="BodyText"/>
        <w:spacing w:before="2"/>
        <w:rPr>
          <w:sz w:val="17"/>
        </w:rPr>
      </w:pPr>
    </w:p>
    <w:p>
      <w:pPr>
        <w:pStyle w:val="BodyText"/>
        <w:spacing w:line="242" w:lineRule="auto" w:before="1"/>
        <w:ind w:left="2336" w:right="1142"/>
        <w:jc w:val="both"/>
      </w:pPr>
      <w:r>
        <w:rPr/>
        <w:t>Lo</w:t>
      </w:r>
      <w:r>
        <w:rPr>
          <w:spacing w:val="-4"/>
        </w:rPr>
        <w:t> </w:t>
      </w:r>
      <w:r>
        <w:rPr/>
        <w:t>mismo</w:t>
      </w:r>
      <w:r>
        <w:rPr>
          <w:spacing w:val="-3"/>
        </w:rPr>
        <w:t> </w:t>
      </w:r>
      <w:r>
        <w:rPr/>
        <w:t>sucede</w:t>
      </w:r>
      <w:r>
        <w:rPr>
          <w:spacing w:val="-4"/>
        </w:rPr>
        <w:t> </w:t>
      </w:r>
      <w:r>
        <w:rPr/>
        <w:t>para</w:t>
      </w:r>
      <w:r>
        <w:rPr>
          <w:spacing w:val="-3"/>
        </w:rPr>
        <w:t> </w:t>
      </w:r>
      <w:r>
        <w:rPr/>
        <w:t>FIISC,</w:t>
      </w:r>
      <w:r>
        <w:rPr>
          <w:spacing w:val="-5"/>
        </w:rPr>
        <w:t> </w:t>
      </w:r>
      <w:r>
        <w:rPr/>
        <w:t>que</w:t>
      </w:r>
      <w:r>
        <w:rPr>
          <w:spacing w:val="-5"/>
        </w:rPr>
        <w:t> </w:t>
      </w:r>
      <w:r>
        <w:rPr/>
        <w:t>tiene</w:t>
      </w:r>
      <w:r>
        <w:rPr>
          <w:spacing w:val="-4"/>
        </w:rPr>
        <w:t> </w:t>
      </w:r>
      <w:r>
        <w:rPr/>
        <w:t>reconocidas</w:t>
      </w:r>
      <w:r>
        <w:rPr>
          <w:spacing w:val="-4"/>
        </w:rPr>
        <w:t> </w:t>
      </w:r>
      <w:r>
        <w:rPr/>
        <w:t>provisiones</w:t>
      </w:r>
      <w:r>
        <w:rPr>
          <w:spacing w:val="-4"/>
        </w:rPr>
        <w:t> </w:t>
      </w:r>
      <w:r>
        <w:rPr/>
        <w:t>por</w:t>
      </w:r>
      <w:r>
        <w:rPr>
          <w:spacing w:val="-3"/>
        </w:rPr>
        <w:t> </w:t>
      </w:r>
      <w:r>
        <w:rPr/>
        <w:t>reclamaciones</w:t>
      </w:r>
      <w:r>
        <w:rPr>
          <w:spacing w:val="-4"/>
        </w:rPr>
        <w:t> </w:t>
      </w:r>
      <w:r>
        <w:rPr/>
        <w:t>de varios trabajadores, regularizaciones de salarios y negociaciones con los representantes</w:t>
      </w:r>
      <w:r>
        <w:rPr>
          <w:spacing w:val="-4"/>
        </w:rPr>
        <w:t> </w:t>
      </w:r>
      <w:r>
        <w:rPr/>
        <w:t>sindicales</w:t>
      </w:r>
      <w:r>
        <w:rPr>
          <w:spacing w:val="-5"/>
        </w:rPr>
        <w:t> </w:t>
      </w:r>
      <w:r>
        <w:rPr/>
        <w:t>de</w:t>
      </w:r>
      <w:r>
        <w:rPr>
          <w:spacing w:val="-3"/>
        </w:rPr>
        <w:t> </w:t>
      </w:r>
      <w:r>
        <w:rPr/>
        <w:t>la</w:t>
      </w:r>
      <w:r>
        <w:rPr>
          <w:spacing w:val="-6"/>
        </w:rPr>
        <w:t> </w:t>
      </w:r>
      <w:r>
        <w:rPr/>
        <w:t>devolución</w:t>
      </w:r>
      <w:r>
        <w:rPr>
          <w:spacing w:val="-5"/>
        </w:rPr>
        <w:t> </w:t>
      </w:r>
      <w:r>
        <w:rPr/>
        <w:t>del</w:t>
      </w:r>
      <w:r>
        <w:rPr>
          <w:spacing w:val="-3"/>
        </w:rPr>
        <w:t> </w:t>
      </w:r>
      <w:r>
        <w:rPr/>
        <w:t>descuento</w:t>
      </w:r>
      <w:r>
        <w:rPr>
          <w:spacing w:val="-4"/>
        </w:rPr>
        <w:t> </w:t>
      </w:r>
      <w:r>
        <w:rPr/>
        <w:t>retraído</w:t>
      </w:r>
      <w:r>
        <w:rPr>
          <w:spacing w:val="-6"/>
        </w:rPr>
        <w:t> </w:t>
      </w:r>
      <w:r>
        <w:rPr/>
        <w:t>del 5</w:t>
      </w:r>
      <w:r>
        <w:rPr>
          <w:spacing w:val="-6"/>
        </w:rPr>
        <w:t> </w:t>
      </w:r>
      <w:r>
        <w:rPr/>
        <w:t>%</w:t>
      </w:r>
      <w:r>
        <w:rPr>
          <w:spacing w:val="-7"/>
        </w:rPr>
        <w:t> </w:t>
      </w:r>
      <w:r>
        <w:rPr/>
        <w:t>en</w:t>
      </w:r>
      <w:r>
        <w:rPr>
          <w:spacing w:val="-2"/>
        </w:rPr>
        <w:t> </w:t>
      </w:r>
      <w:r>
        <w:rPr/>
        <w:t>los</w:t>
      </w:r>
      <w:r>
        <w:rPr>
          <w:spacing w:val="-6"/>
        </w:rPr>
        <w:t> </w:t>
      </w:r>
      <w:r>
        <w:rPr/>
        <w:t>años 2019 a</w:t>
      </w:r>
      <w:r>
        <w:rPr>
          <w:spacing w:val="1"/>
        </w:rPr>
        <w:t> </w:t>
      </w:r>
      <w:r>
        <w:rPr/>
        <w:t>2022.</w:t>
      </w:r>
    </w:p>
    <w:p>
      <w:pPr>
        <w:pStyle w:val="BodyText"/>
        <w:spacing w:before="5"/>
        <w:rPr>
          <w:sz w:val="16"/>
        </w:rPr>
      </w:pPr>
    </w:p>
    <w:p>
      <w:pPr>
        <w:pStyle w:val="Heading1"/>
        <w:numPr>
          <w:ilvl w:val="2"/>
          <w:numId w:val="78"/>
        </w:numPr>
        <w:tabs>
          <w:tab w:pos="2694" w:val="left" w:leader="none"/>
        </w:tabs>
        <w:spacing w:line="240" w:lineRule="auto" w:before="0" w:after="0"/>
        <w:ind w:left="2693" w:right="0" w:hanging="595"/>
        <w:jc w:val="left"/>
      </w:pPr>
      <w:bookmarkStart w:name="_TOC_250005" w:id="17"/>
      <w:bookmarkEnd w:id="17"/>
      <w:r>
        <w:rPr>
          <w:color w:val="53A1B9"/>
        </w:rPr>
        <w:t>Objetivos de actividad.</w:t>
      </w:r>
    </w:p>
    <w:p>
      <w:pPr>
        <w:pStyle w:val="BodyText"/>
        <w:spacing w:before="8"/>
        <w:rPr>
          <w:b/>
          <w:sz w:val="16"/>
        </w:rPr>
      </w:pPr>
    </w:p>
    <w:p>
      <w:pPr>
        <w:pStyle w:val="BodyText"/>
        <w:ind w:left="2336" w:right="1145" w:hanging="238"/>
        <w:jc w:val="both"/>
      </w:pPr>
      <w:r>
        <w:rPr/>
        <w:t>1. FUNCATRA y ACCIÓN SOCIAL recogen los objetivos en el Anexo IX de sus informes económico-financieros, para los que establecen indicadores tanto cuantitativos como cualitativos sobre los resultados de su actividad donde, además, ACCIÓN SOCIAL los enmarca en su Plan Estratégico</w:t>
      </w:r>
      <w:r>
        <w:rPr>
          <w:spacing w:val="5"/>
        </w:rPr>
        <w:t> </w:t>
      </w:r>
      <w:r>
        <w:rPr/>
        <w:t>2017-2022.</w:t>
      </w:r>
    </w:p>
    <w:p>
      <w:pPr>
        <w:pStyle w:val="BodyText"/>
        <w:spacing w:before="1"/>
        <w:rPr>
          <w:sz w:val="17"/>
        </w:rPr>
      </w:pPr>
    </w:p>
    <w:p>
      <w:pPr>
        <w:pStyle w:val="BodyText"/>
        <w:ind w:left="2336" w:right="1141"/>
        <w:jc w:val="both"/>
      </w:pPr>
      <w:r>
        <w:rPr/>
        <w:t>Es</w:t>
      </w:r>
      <w:r>
        <w:rPr>
          <w:spacing w:val="-3"/>
        </w:rPr>
        <w:t> </w:t>
      </w:r>
      <w:r>
        <w:rPr/>
        <w:t>relevante</w:t>
      </w:r>
      <w:r>
        <w:rPr>
          <w:spacing w:val="-5"/>
        </w:rPr>
        <w:t> </w:t>
      </w:r>
      <w:r>
        <w:rPr/>
        <w:t>aquí</w:t>
      </w:r>
      <w:r>
        <w:rPr>
          <w:spacing w:val="-3"/>
        </w:rPr>
        <w:t> </w:t>
      </w:r>
      <w:r>
        <w:rPr/>
        <w:t>señalar</w:t>
      </w:r>
      <w:r>
        <w:rPr>
          <w:spacing w:val="-5"/>
        </w:rPr>
        <w:t> </w:t>
      </w:r>
      <w:r>
        <w:rPr/>
        <w:t>que,</w:t>
      </w:r>
      <w:r>
        <w:rPr>
          <w:spacing w:val="-3"/>
        </w:rPr>
        <w:t> </w:t>
      </w:r>
      <w:r>
        <w:rPr/>
        <w:t>en</w:t>
      </w:r>
      <w:r>
        <w:rPr>
          <w:spacing w:val="-3"/>
        </w:rPr>
        <w:t> </w:t>
      </w:r>
      <w:r>
        <w:rPr/>
        <w:t>el</w:t>
      </w:r>
      <w:r>
        <w:rPr>
          <w:spacing w:val="-5"/>
        </w:rPr>
        <w:t> </w:t>
      </w:r>
      <w:r>
        <w:rPr/>
        <w:t>Plan</w:t>
      </w:r>
      <w:r>
        <w:rPr>
          <w:spacing w:val="-4"/>
        </w:rPr>
        <w:t> </w:t>
      </w:r>
      <w:r>
        <w:rPr/>
        <w:t>estratégico</w:t>
      </w:r>
      <w:r>
        <w:rPr>
          <w:spacing w:val="-3"/>
        </w:rPr>
        <w:t> </w:t>
      </w:r>
      <w:r>
        <w:rPr/>
        <w:t>2023-2027</w:t>
      </w:r>
      <w:r>
        <w:rPr>
          <w:spacing w:val="-5"/>
        </w:rPr>
        <w:t> </w:t>
      </w:r>
      <w:r>
        <w:rPr/>
        <w:t>de</w:t>
      </w:r>
      <w:r>
        <w:rPr>
          <w:spacing w:val="-6"/>
        </w:rPr>
        <w:t> </w:t>
      </w:r>
      <w:r>
        <w:rPr/>
        <w:t>ACCION</w:t>
      </w:r>
      <w:r>
        <w:rPr>
          <w:spacing w:val="-2"/>
        </w:rPr>
        <w:t> </w:t>
      </w:r>
      <w:r>
        <w:rPr/>
        <w:t>SOCIAL</w:t>
      </w:r>
      <w:r>
        <w:rPr>
          <w:spacing w:val="-4"/>
        </w:rPr>
        <w:t> </w:t>
      </w:r>
      <w:r>
        <w:rPr/>
        <w:t>se establece un despliegue de objetivos estratégicos, donde se van configurando las diversas</w:t>
      </w:r>
      <w:r>
        <w:rPr>
          <w:spacing w:val="-6"/>
        </w:rPr>
        <w:t> </w:t>
      </w:r>
      <w:r>
        <w:rPr/>
        <w:t>líneas</w:t>
      </w:r>
      <w:r>
        <w:rPr>
          <w:spacing w:val="-7"/>
        </w:rPr>
        <w:t> </w:t>
      </w:r>
      <w:r>
        <w:rPr/>
        <w:t>estratégicas,</w:t>
      </w:r>
      <w:r>
        <w:rPr>
          <w:spacing w:val="-5"/>
        </w:rPr>
        <w:t> </w:t>
      </w:r>
      <w:r>
        <w:rPr/>
        <w:t>con</w:t>
      </w:r>
      <w:r>
        <w:rPr>
          <w:spacing w:val="-5"/>
        </w:rPr>
        <w:t> </w:t>
      </w:r>
      <w:r>
        <w:rPr/>
        <w:t>sus</w:t>
      </w:r>
      <w:r>
        <w:rPr>
          <w:spacing w:val="-7"/>
        </w:rPr>
        <w:t> </w:t>
      </w:r>
      <w:r>
        <w:rPr/>
        <w:t>objetivos,</w:t>
      </w:r>
      <w:r>
        <w:rPr>
          <w:spacing w:val="-5"/>
        </w:rPr>
        <w:t> </w:t>
      </w:r>
      <w:r>
        <w:rPr/>
        <w:t>acciones,</w:t>
      </w:r>
      <w:r>
        <w:rPr>
          <w:spacing w:val="-6"/>
        </w:rPr>
        <w:t> </w:t>
      </w:r>
      <w:r>
        <w:rPr/>
        <w:t>indicadores,</w:t>
      </w:r>
      <w:r>
        <w:rPr>
          <w:spacing w:val="-6"/>
        </w:rPr>
        <w:t> </w:t>
      </w:r>
      <w:r>
        <w:rPr/>
        <w:t>temporalización y servicios</w:t>
      </w:r>
      <w:r>
        <w:rPr>
          <w:spacing w:val="1"/>
        </w:rPr>
        <w:t> </w:t>
      </w:r>
      <w:r>
        <w:rPr/>
        <w:t>implicados.</w:t>
      </w:r>
    </w:p>
    <w:p>
      <w:pPr>
        <w:pStyle w:val="BodyText"/>
      </w:pPr>
    </w:p>
    <w:p>
      <w:pPr>
        <w:pStyle w:val="BodyText"/>
      </w:pPr>
    </w:p>
    <w:p>
      <w:pPr>
        <w:pStyle w:val="BodyText"/>
        <w:spacing w:before="2"/>
        <w:rPr>
          <w:sz w:val="15"/>
        </w:rPr>
      </w:pPr>
    </w:p>
    <w:p>
      <w:pPr>
        <w:pStyle w:val="BodyText"/>
        <w:spacing w:before="61"/>
        <w:ind w:left="7787"/>
        <w:jc w:val="center"/>
      </w:pPr>
      <w:r>
        <w:rPr/>
        <w:t>136</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87" name="image5.png"/>
                  <wp:cNvGraphicFramePr>
                    <a:graphicFrameLocks noChangeAspect="1"/>
                  </wp:cNvGraphicFramePr>
                  <a:graphic>
                    <a:graphicData uri="http://schemas.openxmlformats.org/drawingml/2006/picture">
                      <pic:pic>
                        <pic:nvPicPr>
                          <pic:cNvPr id="28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138/247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87"/>
        </w:numPr>
        <w:tabs>
          <w:tab w:pos="2337" w:val="left" w:leader="none"/>
        </w:tabs>
        <w:spacing w:line="240" w:lineRule="auto" w:before="61" w:after="0"/>
        <w:ind w:left="2336" w:right="1144" w:hanging="238"/>
        <w:jc w:val="both"/>
        <w:rPr>
          <w:sz w:val="20"/>
        </w:rPr>
      </w:pPr>
      <w:r>
        <w:rPr>
          <w:sz w:val="20"/>
        </w:rPr>
        <w:t>En el caso de IDEO, LENGUA y MUSEO, el Anexo IX cuenta con indicadores cuantitativos (como gasto personal, reducción del déficit, número entradas de usuarios/visitantes, número de alumnos, consultas o usuarios,</w:t>
      </w:r>
      <w:r>
        <w:rPr>
          <w:spacing w:val="2"/>
          <w:sz w:val="20"/>
        </w:rPr>
        <w:t> </w:t>
      </w:r>
      <w:r>
        <w:rPr>
          <w:sz w:val="20"/>
        </w:rPr>
        <w:t>etc.).</w:t>
      </w:r>
    </w:p>
    <w:p>
      <w:pPr>
        <w:pStyle w:val="BodyText"/>
        <w:spacing w:before="1"/>
        <w:rPr>
          <w:sz w:val="17"/>
        </w:rPr>
      </w:pPr>
    </w:p>
    <w:p>
      <w:pPr>
        <w:pStyle w:val="ListParagraph"/>
        <w:numPr>
          <w:ilvl w:val="0"/>
          <w:numId w:val="87"/>
        </w:numPr>
        <w:tabs>
          <w:tab w:pos="2337" w:val="left" w:leader="none"/>
        </w:tabs>
        <w:spacing w:line="240" w:lineRule="auto" w:before="0" w:after="0"/>
        <w:ind w:left="2336" w:right="1144" w:hanging="238"/>
        <w:jc w:val="both"/>
        <w:rPr>
          <w:sz w:val="20"/>
        </w:rPr>
      </w:pPr>
      <w:r>
        <w:rPr>
          <w:sz w:val="20"/>
        </w:rPr>
        <w:t>FIISC no presenta este anexo ajustado al formato regulado en la normativa referida al informe económico financiero y, aunque indica sus objetivos, no se especifican los indicadores.</w:t>
      </w:r>
    </w:p>
    <w:p>
      <w:pPr>
        <w:pStyle w:val="BodyText"/>
        <w:spacing w:before="11"/>
        <w:rPr>
          <w:sz w:val="16"/>
        </w:rPr>
      </w:pPr>
    </w:p>
    <w:p>
      <w:pPr>
        <w:pStyle w:val="ListParagraph"/>
        <w:numPr>
          <w:ilvl w:val="0"/>
          <w:numId w:val="87"/>
        </w:numPr>
        <w:tabs>
          <w:tab w:pos="2337" w:val="left" w:leader="none"/>
        </w:tabs>
        <w:spacing w:line="240" w:lineRule="auto" w:before="1" w:after="0"/>
        <w:ind w:left="2336" w:right="1146" w:hanging="238"/>
        <w:jc w:val="both"/>
        <w:rPr>
          <w:sz w:val="20"/>
        </w:rPr>
      </w:pPr>
      <w:r>
        <w:rPr>
          <w:sz w:val="20"/>
        </w:rPr>
        <w:t>FUCAEX, como en años anteriores, no ha recogido en su informe económico financiero ningún objetivo ni</w:t>
      </w:r>
      <w:r>
        <w:rPr>
          <w:spacing w:val="-2"/>
          <w:sz w:val="20"/>
        </w:rPr>
        <w:t> </w:t>
      </w:r>
      <w:r>
        <w:rPr>
          <w:sz w:val="20"/>
        </w:rPr>
        <w:t>indicador.</w:t>
      </w:r>
    </w:p>
    <w:p>
      <w:pPr>
        <w:pStyle w:val="BodyText"/>
        <w:spacing w:before="10"/>
        <w:rPr>
          <w:sz w:val="16"/>
        </w:rPr>
      </w:pPr>
    </w:p>
    <w:p>
      <w:pPr>
        <w:pStyle w:val="Heading1"/>
        <w:numPr>
          <w:ilvl w:val="2"/>
          <w:numId w:val="78"/>
        </w:numPr>
        <w:tabs>
          <w:tab w:pos="2694" w:val="left" w:leader="none"/>
        </w:tabs>
        <w:spacing w:line="240" w:lineRule="auto" w:before="0" w:after="0"/>
        <w:ind w:left="2099" w:right="1150" w:firstLine="0"/>
        <w:jc w:val="left"/>
      </w:pPr>
      <w:bookmarkStart w:name="_TOC_250004" w:id="18"/>
      <w:r>
        <w:rPr>
          <w:color w:val="53A1B9"/>
        </w:rPr>
        <w:t>Cumplimiento</w:t>
      </w:r>
      <w:r>
        <w:rPr>
          <w:color w:val="53A1B9"/>
          <w:spacing w:val="-10"/>
        </w:rPr>
        <w:t> </w:t>
      </w:r>
      <w:r>
        <w:rPr>
          <w:color w:val="53A1B9"/>
        </w:rPr>
        <w:t>de</w:t>
      </w:r>
      <w:r>
        <w:rPr>
          <w:color w:val="53A1B9"/>
          <w:spacing w:val="-11"/>
        </w:rPr>
        <w:t> </w:t>
      </w:r>
      <w:r>
        <w:rPr>
          <w:color w:val="53A1B9"/>
        </w:rPr>
        <w:t>las</w:t>
      </w:r>
      <w:r>
        <w:rPr>
          <w:color w:val="53A1B9"/>
          <w:spacing w:val="-9"/>
        </w:rPr>
        <w:t> </w:t>
      </w:r>
      <w:r>
        <w:rPr>
          <w:color w:val="53A1B9"/>
        </w:rPr>
        <w:t>obligaciones</w:t>
      </w:r>
      <w:r>
        <w:rPr>
          <w:color w:val="53A1B9"/>
          <w:spacing w:val="-10"/>
        </w:rPr>
        <w:t> </w:t>
      </w:r>
      <w:r>
        <w:rPr>
          <w:color w:val="53A1B9"/>
        </w:rPr>
        <w:t>de</w:t>
      </w:r>
      <w:r>
        <w:rPr>
          <w:color w:val="53A1B9"/>
          <w:spacing w:val="-10"/>
        </w:rPr>
        <w:t> </w:t>
      </w:r>
      <w:r>
        <w:rPr>
          <w:color w:val="53A1B9"/>
        </w:rPr>
        <w:t>remisión</w:t>
      </w:r>
      <w:r>
        <w:rPr>
          <w:color w:val="53A1B9"/>
          <w:spacing w:val="-11"/>
        </w:rPr>
        <w:t> </w:t>
      </w:r>
      <w:r>
        <w:rPr>
          <w:color w:val="53A1B9"/>
        </w:rPr>
        <w:t>de</w:t>
      </w:r>
      <w:r>
        <w:rPr>
          <w:color w:val="53A1B9"/>
          <w:spacing w:val="-12"/>
        </w:rPr>
        <w:t> </w:t>
      </w:r>
      <w:r>
        <w:rPr>
          <w:color w:val="53A1B9"/>
        </w:rPr>
        <w:t>información</w:t>
      </w:r>
      <w:r>
        <w:rPr>
          <w:color w:val="53A1B9"/>
          <w:spacing w:val="-10"/>
        </w:rPr>
        <w:t> </w:t>
      </w:r>
      <w:r>
        <w:rPr>
          <w:color w:val="53A1B9"/>
        </w:rPr>
        <w:t>y</w:t>
      </w:r>
      <w:r>
        <w:rPr>
          <w:color w:val="53A1B9"/>
          <w:spacing w:val="-10"/>
        </w:rPr>
        <w:t> </w:t>
      </w:r>
      <w:r>
        <w:rPr>
          <w:color w:val="53A1B9"/>
        </w:rPr>
        <w:t>documentación de contratos, convenios y encargos a medios</w:t>
      </w:r>
      <w:r>
        <w:rPr>
          <w:color w:val="53A1B9"/>
          <w:spacing w:val="-1"/>
        </w:rPr>
        <w:t> </w:t>
      </w:r>
      <w:bookmarkEnd w:id="18"/>
      <w:r>
        <w:rPr>
          <w:color w:val="53A1B9"/>
        </w:rPr>
        <w:t>propios.</w:t>
      </w:r>
    </w:p>
    <w:p>
      <w:pPr>
        <w:pStyle w:val="BodyText"/>
        <w:spacing w:before="9"/>
        <w:rPr>
          <w:b/>
          <w:sz w:val="16"/>
        </w:rPr>
      </w:pPr>
    </w:p>
    <w:p>
      <w:pPr>
        <w:pStyle w:val="ListParagraph"/>
        <w:numPr>
          <w:ilvl w:val="0"/>
          <w:numId w:val="88"/>
        </w:numPr>
        <w:tabs>
          <w:tab w:pos="2307" w:val="left" w:leader="none"/>
        </w:tabs>
        <w:spacing w:line="240" w:lineRule="auto" w:before="0" w:after="0"/>
        <w:ind w:left="2306" w:right="0" w:hanging="208"/>
        <w:jc w:val="left"/>
        <w:rPr>
          <w:b/>
          <w:sz w:val="20"/>
        </w:rPr>
      </w:pPr>
      <w:r>
        <w:rPr>
          <w:b/>
          <w:sz w:val="20"/>
        </w:rPr>
        <w:t>Plazo y contenido de la rendición.</w:t>
      </w:r>
    </w:p>
    <w:p>
      <w:pPr>
        <w:pStyle w:val="BodyText"/>
        <w:spacing w:before="8"/>
        <w:rPr>
          <w:b/>
          <w:sz w:val="16"/>
        </w:rPr>
      </w:pPr>
    </w:p>
    <w:p>
      <w:pPr>
        <w:pStyle w:val="ListParagraph"/>
        <w:numPr>
          <w:ilvl w:val="0"/>
          <w:numId w:val="87"/>
        </w:numPr>
        <w:tabs>
          <w:tab w:pos="2402" w:val="left" w:leader="none"/>
        </w:tabs>
        <w:spacing w:line="242" w:lineRule="auto" w:before="0" w:after="0"/>
        <w:ind w:left="2401" w:right="1142" w:hanging="303"/>
        <w:jc w:val="both"/>
        <w:rPr>
          <w:sz w:val="20"/>
        </w:rPr>
      </w:pPr>
      <w:r>
        <w:rPr>
          <w:sz w:val="20"/>
        </w:rPr>
        <w:t>En</w:t>
      </w:r>
      <w:r>
        <w:rPr>
          <w:spacing w:val="-7"/>
          <w:sz w:val="20"/>
        </w:rPr>
        <w:t> </w:t>
      </w:r>
      <w:r>
        <w:rPr>
          <w:sz w:val="20"/>
        </w:rPr>
        <w:t>virtud</w:t>
      </w:r>
      <w:r>
        <w:rPr>
          <w:spacing w:val="-10"/>
          <w:sz w:val="20"/>
        </w:rPr>
        <w:t> </w:t>
      </w:r>
      <w:r>
        <w:rPr>
          <w:sz w:val="20"/>
        </w:rPr>
        <w:t>de</w:t>
      </w:r>
      <w:r>
        <w:rPr>
          <w:spacing w:val="-10"/>
          <w:sz w:val="20"/>
        </w:rPr>
        <w:t> </w:t>
      </w:r>
      <w:r>
        <w:rPr>
          <w:sz w:val="20"/>
        </w:rPr>
        <w:t>los</w:t>
      </w:r>
      <w:r>
        <w:rPr>
          <w:spacing w:val="-10"/>
          <w:sz w:val="20"/>
        </w:rPr>
        <w:t> </w:t>
      </w:r>
      <w:r>
        <w:rPr>
          <w:sz w:val="20"/>
        </w:rPr>
        <w:t>dispuesto</w:t>
      </w:r>
      <w:r>
        <w:rPr>
          <w:spacing w:val="-7"/>
          <w:sz w:val="20"/>
        </w:rPr>
        <w:t> </w:t>
      </w:r>
      <w:r>
        <w:rPr>
          <w:sz w:val="20"/>
        </w:rPr>
        <w:t>en</w:t>
      </w:r>
      <w:r>
        <w:rPr>
          <w:spacing w:val="-8"/>
          <w:sz w:val="20"/>
        </w:rPr>
        <w:t> </w:t>
      </w:r>
      <w:r>
        <w:rPr>
          <w:sz w:val="20"/>
        </w:rPr>
        <w:t>la</w:t>
      </w:r>
      <w:r>
        <w:rPr>
          <w:spacing w:val="-10"/>
          <w:sz w:val="20"/>
        </w:rPr>
        <w:t> </w:t>
      </w:r>
      <w:r>
        <w:rPr>
          <w:sz w:val="20"/>
        </w:rPr>
        <w:t>Instrucción</w:t>
      </w:r>
      <w:r>
        <w:rPr>
          <w:spacing w:val="-9"/>
          <w:sz w:val="20"/>
        </w:rPr>
        <w:t> </w:t>
      </w:r>
      <w:r>
        <w:rPr>
          <w:sz w:val="20"/>
        </w:rPr>
        <w:t>de</w:t>
      </w:r>
      <w:r>
        <w:rPr>
          <w:spacing w:val="-6"/>
          <w:sz w:val="20"/>
        </w:rPr>
        <w:t> </w:t>
      </w:r>
      <w:r>
        <w:rPr>
          <w:sz w:val="20"/>
        </w:rPr>
        <w:t>rendición</w:t>
      </w:r>
      <w:r>
        <w:rPr>
          <w:spacing w:val="-9"/>
          <w:sz w:val="20"/>
        </w:rPr>
        <w:t> </w:t>
      </w:r>
      <w:r>
        <w:rPr>
          <w:sz w:val="20"/>
        </w:rPr>
        <w:t>de</w:t>
      </w:r>
      <w:r>
        <w:rPr>
          <w:spacing w:val="-10"/>
          <w:sz w:val="20"/>
        </w:rPr>
        <w:t> </w:t>
      </w:r>
      <w:r>
        <w:rPr>
          <w:sz w:val="20"/>
        </w:rPr>
        <w:t>determinada</w:t>
      </w:r>
      <w:r>
        <w:rPr>
          <w:spacing w:val="-8"/>
          <w:sz w:val="20"/>
        </w:rPr>
        <w:t> </w:t>
      </w:r>
      <w:r>
        <w:rPr>
          <w:sz w:val="20"/>
        </w:rPr>
        <w:t>información a la Audiencia de Cuentas de Canarias,</w:t>
      </w:r>
      <w:r>
        <w:rPr>
          <w:position w:val="7"/>
          <w:sz w:val="13"/>
        </w:rPr>
        <w:t>36 </w:t>
      </w:r>
      <w:r>
        <w:rPr>
          <w:sz w:val="20"/>
        </w:rPr>
        <w:t>se establece la obligación, por parte de los órganos de contratación, de la remisión de los extractos de los expedientes de contratación y de convenios que superen un determinado importe, así como de las relaciones anuales de los contratos, convenios y encargos a medios propios personificados. El cumplimiento de la rendición de las relaciones anuales se ha efectuado en las siguientes fechas en el caso de las</w:t>
      </w:r>
      <w:r>
        <w:rPr>
          <w:spacing w:val="8"/>
          <w:sz w:val="20"/>
        </w:rPr>
        <w:t> </w:t>
      </w:r>
      <w:r>
        <w:rPr>
          <w:sz w:val="20"/>
        </w:rPr>
        <w:t>Fundaciones:</w:t>
      </w:r>
    </w:p>
    <w:p>
      <w:pPr>
        <w:pStyle w:val="BodyText"/>
        <w:spacing w:before="11"/>
        <w:rPr>
          <w:sz w:val="15"/>
        </w:rPr>
      </w:pPr>
    </w:p>
    <w:tbl>
      <w:tblPr>
        <w:tblW w:w="0" w:type="auto"/>
        <w:jc w:val="left"/>
        <w:tblInd w:w="2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1"/>
        <w:gridCol w:w="1453"/>
        <w:gridCol w:w="1543"/>
        <w:gridCol w:w="1153"/>
        <w:gridCol w:w="1184"/>
      </w:tblGrid>
      <w:tr>
        <w:trPr>
          <w:trHeight w:val="433" w:hRule="atLeast"/>
        </w:trPr>
        <w:tc>
          <w:tcPr>
            <w:tcW w:w="1461"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1453" w:type="dxa"/>
            <w:tcBorders>
              <w:top w:val="single" w:sz="4" w:space="0" w:color="000000"/>
              <w:left w:val="single" w:sz="4" w:space="0" w:color="000000"/>
              <w:bottom w:val="single" w:sz="4" w:space="0" w:color="000000"/>
            </w:tcBorders>
            <w:shd w:val="clear" w:color="auto" w:fill="DEEAF6"/>
          </w:tcPr>
          <w:p>
            <w:pPr>
              <w:pStyle w:val="TableParagraph"/>
              <w:spacing w:before="2"/>
              <w:rPr>
                <w:sz w:val="11"/>
              </w:rPr>
            </w:pPr>
          </w:p>
          <w:p>
            <w:pPr>
              <w:pStyle w:val="TableParagraph"/>
              <w:spacing w:before="1"/>
              <w:ind w:left="325" w:right="226"/>
              <w:jc w:val="center"/>
              <w:rPr>
                <w:b/>
                <w:sz w:val="13"/>
              </w:rPr>
            </w:pPr>
            <w:r>
              <w:rPr>
                <w:b/>
                <w:w w:val="105"/>
                <w:sz w:val="13"/>
              </w:rPr>
              <w:t>Contratos LCSP</w:t>
            </w:r>
          </w:p>
        </w:tc>
        <w:tc>
          <w:tcPr>
            <w:tcW w:w="1543" w:type="dxa"/>
            <w:tcBorders>
              <w:top w:val="single" w:sz="4" w:space="0" w:color="000000"/>
              <w:bottom w:val="single" w:sz="4" w:space="0" w:color="000000"/>
            </w:tcBorders>
            <w:shd w:val="clear" w:color="auto" w:fill="DEEAF6"/>
          </w:tcPr>
          <w:p>
            <w:pPr>
              <w:pStyle w:val="TableParagraph"/>
              <w:spacing w:before="2"/>
              <w:rPr>
                <w:sz w:val="11"/>
              </w:rPr>
            </w:pPr>
          </w:p>
          <w:p>
            <w:pPr>
              <w:pStyle w:val="TableParagraph"/>
              <w:spacing w:before="1"/>
              <w:ind w:left="233" w:right="194"/>
              <w:jc w:val="center"/>
              <w:rPr>
                <w:b/>
                <w:sz w:val="13"/>
              </w:rPr>
            </w:pPr>
            <w:r>
              <w:rPr>
                <w:b/>
                <w:w w:val="105"/>
                <w:sz w:val="13"/>
              </w:rPr>
              <w:t>Contratos Privados</w:t>
            </w:r>
          </w:p>
        </w:tc>
        <w:tc>
          <w:tcPr>
            <w:tcW w:w="1153" w:type="dxa"/>
            <w:tcBorders>
              <w:top w:val="single" w:sz="4" w:space="0" w:color="000000"/>
              <w:bottom w:val="single" w:sz="4" w:space="0" w:color="000000"/>
            </w:tcBorders>
            <w:shd w:val="clear" w:color="auto" w:fill="DEEAF6"/>
          </w:tcPr>
          <w:p>
            <w:pPr>
              <w:pStyle w:val="TableParagraph"/>
              <w:spacing w:before="2"/>
              <w:rPr>
                <w:sz w:val="11"/>
              </w:rPr>
            </w:pPr>
          </w:p>
          <w:p>
            <w:pPr>
              <w:pStyle w:val="TableParagraph"/>
              <w:spacing w:before="1"/>
              <w:ind w:left="210" w:right="243"/>
              <w:jc w:val="center"/>
              <w:rPr>
                <w:b/>
                <w:sz w:val="13"/>
              </w:rPr>
            </w:pPr>
            <w:r>
              <w:rPr>
                <w:b/>
                <w:w w:val="105"/>
                <w:sz w:val="13"/>
              </w:rPr>
              <w:t>Convenios</w:t>
            </w:r>
          </w:p>
        </w:tc>
        <w:tc>
          <w:tcPr>
            <w:tcW w:w="1184" w:type="dxa"/>
            <w:tcBorders>
              <w:top w:val="single" w:sz="4" w:space="0" w:color="000000"/>
              <w:bottom w:val="single" w:sz="4" w:space="0" w:color="000000"/>
              <w:right w:val="single" w:sz="4" w:space="0" w:color="000000"/>
            </w:tcBorders>
            <w:shd w:val="clear" w:color="auto" w:fill="DEEAF6"/>
          </w:tcPr>
          <w:p>
            <w:pPr>
              <w:pStyle w:val="TableParagraph"/>
              <w:spacing w:before="2"/>
              <w:rPr>
                <w:sz w:val="11"/>
              </w:rPr>
            </w:pPr>
          </w:p>
          <w:p>
            <w:pPr>
              <w:pStyle w:val="TableParagraph"/>
              <w:spacing w:before="1"/>
              <w:ind w:left="257" w:right="221"/>
              <w:jc w:val="center"/>
              <w:rPr>
                <w:b/>
                <w:sz w:val="13"/>
              </w:rPr>
            </w:pPr>
            <w:r>
              <w:rPr>
                <w:b/>
                <w:w w:val="105"/>
                <w:sz w:val="13"/>
              </w:rPr>
              <w:t>Encargos</w:t>
            </w:r>
          </w:p>
        </w:tc>
      </w:tr>
      <w:tr>
        <w:trPr>
          <w:trHeight w:val="301" w:hRule="atLeast"/>
        </w:trPr>
        <w:tc>
          <w:tcPr>
            <w:tcW w:w="1461" w:type="dxa"/>
            <w:tcBorders>
              <w:left w:val="single" w:sz="4" w:space="0" w:color="000000"/>
              <w:right w:val="single" w:sz="4" w:space="0" w:color="000000"/>
            </w:tcBorders>
          </w:tcPr>
          <w:p>
            <w:pPr>
              <w:pStyle w:val="TableParagraph"/>
              <w:spacing w:before="66"/>
              <w:ind w:left="130"/>
              <w:rPr>
                <w:b/>
                <w:sz w:val="13"/>
              </w:rPr>
            </w:pPr>
            <w:r>
              <w:rPr>
                <w:b/>
                <w:color w:val="232323"/>
                <w:w w:val="105"/>
                <w:sz w:val="13"/>
              </w:rPr>
              <w:t>LENGUA</w:t>
            </w:r>
          </w:p>
        </w:tc>
        <w:tc>
          <w:tcPr>
            <w:tcW w:w="1453" w:type="dxa"/>
            <w:tcBorders>
              <w:top w:val="single" w:sz="4" w:space="0" w:color="000000"/>
              <w:left w:val="single" w:sz="4" w:space="0" w:color="000000"/>
            </w:tcBorders>
          </w:tcPr>
          <w:p>
            <w:pPr>
              <w:pStyle w:val="TableParagraph"/>
              <w:spacing w:before="66"/>
              <w:ind w:left="325" w:right="225"/>
              <w:jc w:val="center"/>
              <w:rPr>
                <w:sz w:val="13"/>
              </w:rPr>
            </w:pPr>
            <w:r>
              <w:rPr>
                <w:w w:val="105"/>
                <w:sz w:val="13"/>
              </w:rPr>
              <w:t>28/02/2023</w:t>
            </w:r>
          </w:p>
        </w:tc>
        <w:tc>
          <w:tcPr>
            <w:tcW w:w="1543" w:type="dxa"/>
            <w:tcBorders>
              <w:top w:val="single" w:sz="4" w:space="0" w:color="000000"/>
            </w:tcBorders>
          </w:tcPr>
          <w:p>
            <w:pPr>
              <w:pStyle w:val="TableParagraph"/>
              <w:spacing w:before="66"/>
              <w:ind w:left="233" w:right="194"/>
              <w:jc w:val="center"/>
              <w:rPr>
                <w:sz w:val="13"/>
              </w:rPr>
            </w:pPr>
            <w:r>
              <w:rPr>
                <w:w w:val="105"/>
                <w:sz w:val="13"/>
              </w:rPr>
              <w:t>28/02/2023</w:t>
            </w:r>
          </w:p>
        </w:tc>
        <w:tc>
          <w:tcPr>
            <w:tcW w:w="1153" w:type="dxa"/>
            <w:tcBorders>
              <w:top w:val="single" w:sz="4" w:space="0" w:color="000000"/>
            </w:tcBorders>
          </w:tcPr>
          <w:p>
            <w:pPr>
              <w:pStyle w:val="TableParagraph"/>
              <w:spacing w:before="66"/>
              <w:ind w:left="210" w:right="244"/>
              <w:jc w:val="center"/>
              <w:rPr>
                <w:sz w:val="13"/>
              </w:rPr>
            </w:pPr>
            <w:r>
              <w:rPr>
                <w:w w:val="105"/>
                <w:sz w:val="13"/>
              </w:rPr>
              <w:t>28/02/2023</w:t>
            </w:r>
          </w:p>
        </w:tc>
        <w:tc>
          <w:tcPr>
            <w:tcW w:w="1184" w:type="dxa"/>
            <w:tcBorders>
              <w:top w:val="single" w:sz="4" w:space="0" w:color="000000"/>
              <w:right w:val="single" w:sz="4" w:space="0" w:color="000000"/>
            </w:tcBorders>
          </w:tcPr>
          <w:p>
            <w:pPr>
              <w:pStyle w:val="TableParagraph"/>
              <w:spacing w:before="66"/>
              <w:ind w:left="257" w:right="223"/>
              <w:jc w:val="center"/>
              <w:rPr>
                <w:sz w:val="13"/>
              </w:rPr>
            </w:pPr>
            <w:r>
              <w:rPr>
                <w:w w:val="105"/>
                <w:sz w:val="13"/>
              </w:rPr>
              <w:t>28/02/2023</w:t>
            </w:r>
          </w:p>
        </w:tc>
      </w:tr>
      <w:tr>
        <w:trPr>
          <w:trHeight w:val="291" w:hRule="atLeast"/>
        </w:trPr>
        <w:tc>
          <w:tcPr>
            <w:tcW w:w="1461" w:type="dxa"/>
            <w:tcBorders>
              <w:left w:val="single" w:sz="4" w:space="0" w:color="000000"/>
              <w:right w:val="single" w:sz="4" w:space="0" w:color="000000"/>
            </w:tcBorders>
          </w:tcPr>
          <w:p>
            <w:pPr>
              <w:pStyle w:val="TableParagraph"/>
              <w:spacing w:before="55"/>
              <w:ind w:left="130"/>
              <w:rPr>
                <w:b/>
                <w:sz w:val="13"/>
              </w:rPr>
            </w:pPr>
            <w:r>
              <w:rPr>
                <w:b/>
                <w:color w:val="232323"/>
                <w:w w:val="105"/>
                <w:sz w:val="13"/>
              </w:rPr>
              <w:t>FUNCATRA</w:t>
            </w:r>
          </w:p>
        </w:tc>
        <w:tc>
          <w:tcPr>
            <w:tcW w:w="1453" w:type="dxa"/>
            <w:tcBorders>
              <w:left w:val="single" w:sz="4" w:space="0" w:color="000000"/>
            </w:tcBorders>
          </w:tcPr>
          <w:p>
            <w:pPr>
              <w:pStyle w:val="TableParagraph"/>
              <w:spacing w:before="55"/>
              <w:ind w:left="325" w:right="225"/>
              <w:jc w:val="center"/>
              <w:rPr>
                <w:sz w:val="13"/>
              </w:rPr>
            </w:pPr>
            <w:r>
              <w:rPr>
                <w:w w:val="105"/>
                <w:sz w:val="13"/>
              </w:rPr>
              <w:t>28/02/2023</w:t>
            </w:r>
          </w:p>
        </w:tc>
        <w:tc>
          <w:tcPr>
            <w:tcW w:w="1543" w:type="dxa"/>
          </w:tcPr>
          <w:p>
            <w:pPr>
              <w:pStyle w:val="TableParagraph"/>
              <w:spacing w:before="55"/>
              <w:ind w:left="233" w:right="194"/>
              <w:jc w:val="center"/>
              <w:rPr>
                <w:sz w:val="13"/>
              </w:rPr>
            </w:pPr>
            <w:r>
              <w:rPr>
                <w:w w:val="105"/>
                <w:sz w:val="13"/>
              </w:rPr>
              <w:t>28/02/2023</w:t>
            </w:r>
          </w:p>
        </w:tc>
        <w:tc>
          <w:tcPr>
            <w:tcW w:w="1153" w:type="dxa"/>
          </w:tcPr>
          <w:p>
            <w:pPr>
              <w:pStyle w:val="TableParagraph"/>
              <w:spacing w:before="55"/>
              <w:ind w:left="210" w:right="244"/>
              <w:jc w:val="center"/>
              <w:rPr>
                <w:sz w:val="13"/>
              </w:rPr>
            </w:pPr>
            <w:r>
              <w:rPr>
                <w:w w:val="105"/>
                <w:sz w:val="13"/>
              </w:rPr>
              <w:t>28/02/2023</w:t>
            </w:r>
          </w:p>
        </w:tc>
        <w:tc>
          <w:tcPr>
            <w:tcW w:w="1184" w:type="dxa"/>
            <w:tcBorders>
              <w:right w:val="single" w:sz="4" w:space="0" w:color="000000"/>
            </w:tcBorders>
          </w:tcPr>
          <w:p>
            <w:pPr>
              <w:pStyle w:val="TableParagraph"/>
              <w:spacing w:before="55"/>
              <w:ind w:left="257" w:right="223"/>
              <w:jc w:val="center"/>
              <w:rPr>
                <w:sz w:val="13"/>
              </w:rPr>
            </w:pPr>
            <w:r>
              <w:rPr>
                <w:w w:val="105"/>
                <w:sz w:val="13"/>
              </w:rPr>
              <w:t>28/02/2023</w:t>
            </w:r>
          </w:p>
        </w:tc>
      </w:tr>
      <w:tr>
        <w:trPr>
          <w:trHeight w:val="292" w:hRule="atLeast"/>
        </w:trPr>
        <w:tc>
          <w:tcPr>
            <w:tcW w:w="1461" w:type="dxa"/>
            <w:tcBorders>
              <w:left w:val="single" w:sz="4" w:space="0" w:color="000000"/>
              <w:right w:val="single" w:sz="4" w:space="0" w:color="000000"/>
            </w:tcBorders>
          </w:tcPr>
          <w:p>
            <w:pPr>
              <w:pStyle w:val="TableParagraph"/>
              <w:spacing w:before="56"/>
              <w:ind w:left="130"/>
              <w:rPr>
                <w:b/>
                <w:sz w:val="13"/>
              </w:rPr>
            </w:pPr>
            <w:r>
              <w:rPr>
                <w:b/>
                <w:color w:val="232323"/>
                <w:w w:val="105"/>
                <w:sz w:val="13"/>
              </w:rPr>
              <w:t>IDEO</w:t>
            </w:r>
          </w:p>
        </w:tc>
        <w:tc>
          <w:tcPr>
            <w:tcW w:w="1453" w:type="dxa"/>
            <w:tcBorders>
              <w:left w:val="single" w:sz="4" w:space="0" w:color="000000"/>
            </w:tcBorders>
          </w:tcPr>
          <w:p>
            <w:pPr>
              <w:pStyle w:val="TableParagraph"/>
              <w:spacing w:before="56"/>
              <w:ind w:left="325" w:right="225"/>
              <w:jc w:val="center"/>
              <w:rPr>
                <w:sz w:val="13"/>
              </w:rPr>
            </w:pPr>
            <w:r>
              <w:rPr>
                <w:w w:val="105"/>
                <w:sz w:val="13"/>
              </w:rPr>
              <w:t>15/02/2023</w:t>
            </w:r>
          </w:p>
        </w:tc>
        <w:tc>
          <w:tcPr>
            <w:tcW w:w="1543" w:type="dxa"/>
          </w:tcPr>
          <w:p>
            <w:pPr>
              <w:pStyle w:val="TableParagraph"/>
              <w:spacing w:before="56"/>
              <w:ind w:left="232" w:right="194"/>
              <w:jc w:val="center"/>
              <w:rPr>
                <w:sz w:val="13"/>
              </w:rPr>
            </w:pPr>
            <w:r>
              <w:rPr>
                <w:w w:val="105"/>
                <w:sz w:val="13"/>
              </w:rPr>
              <w:t>No</w:t>
            </w:r>
          </w:p>
        </w:tc>
        <w:tc>
          <w:tcPr>
            <w:tcW w:w="1153" w:type="dxa"/>
          </w:tcPr>
          <w:p>
            <w:pPr>
              <w:pStyle w:val="TableParagraph"/>
              <w:spacing w:before="56"/>
              <w:ind w:left="208" w:right="244"/>
              <w:jc w:val="center"/>
              <w:rPr>
                <w:sz w:val="13"/>
              </w:rPr>
            </w:pPr>
            <w:r>
              <w:rPr>
                <w:w w:val="105"/>
                <w:sz w:val="13"/>
              </w:rPr>
              <w:t>No</w:t>
            </w:r>
          </w:p>
        </w:tc>
        <w:tc>
          <w:tcPr>
            <w:tcW w:w="1184" w:type="dxa"/>
            <w:tcBorders>
              <w:right w:val="single" w:sz="4" w:space="0" w:color="000000"/>
            </w:tcBorders>
          </w:tcPr>
          <w:p>
            <w:pPr>
              <w:pStyle w:val="TableParagraph"/>
              <w:spacing w:before="56"/>
              <w:ind w:left="255" w:right="223"/>
              <w:jc w:val="center"/>
              <w:rPr>
                <w:sz w:val="13"/>
              </w:rPr>
            </w:pPr>
            <w:r>
              <w:rPr>
                <w:w w:val="105"/>
                <w:sz w:val="13"/>
              </w:rPr>
              <w:t>No</w:t>
            </w:r>
          </w:p>
        </w:tc>
      </w:tr>
      <w:tr>
        <w:trPr>
          <w:trHeight w:val="291" w:hRule="atLeast"/>
        </w:trPr>
        <w:tc>
          <w:tcPr>
            <w:tcW w:w="1461" w:type="dxa"/>
            <w:tcBorders>
              <w:left w:val="single" w:sz="4" w:space="0" w:color="000000"/>
              <w:right w:val="single" w:sz="4" w:space="0" w:color="000000"/>
            </w:tcBorders>
          </w:tcPr>
          <w:p>
            <w:pPr>
              <w:pStyle w:val="TableParagraph"/>
              <w:spacing w:before="56"/>
              <w:ind w:left="130"/>
              <w:rPr>
                <w:b/>
                <w:sz w:val="13"/>
              </w:rPr>
            </w:pPr>
            <w:r>
              <w:rPr>
                <w:b/>
                <w:color w:val="232323"/>
                <w:w w:val="105"/>
                <w:sz w:val="13"/>
              </w:rPr>
              <w:t>ACCIÓN SOCIAL</w:t>
            </w:r>
          </w:p>
        </w:tc>
        <w:tc>
          <w:tcPr>
            <w:tcW w:w="1453" w:type="dxa"/>
            <w:tcBorders>
              <w:left w:val="single" w:sz="4" w:space="0" w:color="000000"/>
            </w:tcBorders>
          </w:tcPr>
          <w:p>
            <w:pPr>
              <w:pStyle w:val="TableParagraph"/>
              <w:spacing w:before="56"/>
              <w:ind w:left="325" w:right="225"/>
              <w:jc w:val="center"/>
              <w:rPr>
                <w:sz w:val="13"/>
              </w:rPr>
            </w:pPr>
            <w:r>
              <w:rPr>
                <w:w w:val="105"/>
                <w:sz w:val="13"/>
              </w:rPr>
              <w:t>24/02/2023</w:t>
            </w:r>
          </w:p>
        </w:tc>
        <w:tc>
          <w:tcPr>
            <w:tcW w:w="1543" w:type="dxa"/>
          </w:tcPr>
          <w:p>
            <w:pPr>
              <w:pStyle w:val="TableParagraph"/>
              <w:spacing w:before="56"/>
              <w:ind w:left="233" w:right="194"/>
              <w:jc w:val="center"/>
              <w:rPr>
                <w:sz w:val="13"/>
              </w:rPr>
            </w:pPr>
            <w:r>
              <w:rPr>
                <w:w w:val="105"/>
                <w:sz w:val="13"/>
              </w:rPr>
              <w:t>24/02/2023</w:t>
            </w:r>
          </w:p>
        </w:tc>
        <w:tc>
          <w:tcPr>
            <w:tcW w:w="1153" w:type="dxa"/>
          </w:tcPr>
          <w:p>
            <w:pPr>
              <w:pStyle w:val="TableParagraph"/>
              <w:spacing w:before="56"/>
              <w:ind w:left="210" w:right="244"/>
              <w:jc w:val="center"/>
              <w:rPr>
                <w:sz w:val="13"/>
              </w:rPr>
            </w:pPr>
            <w:r>
              <w:rPr>
                <w:w w:val="105"/>
                <w:sz w:val="13"/>
              </w:rPr>
              <w:t>24/02/2023</w:t>
            </w:r>
          </w:p>
        </w:tc>
        <w:tc>
          <w:tcPr>
            <w:tcW w:w="1184" w:type="dxa"/>
            <w:tcBorders>
              <w:right w:val="single" w:sz="4" w:space="0" w:color="000000"/>
            </w:tcBorders>
          </w:tcPr>
          <w:p>
            <w:pPr>
              <w:pStyle w:val="TableParagraph"/>
              <w:spacing w:before="56"/>
              <w:ind w:left="257" w:right="223"/>
              <w:jc w:val="center"/>
              <w:rPr>
                <w:sz w:val="13"/>
              </w:rPr>
            </w:pPr>
            <w:r>
              <w:rPr>
                <w:w w:val="105"/>
                <w:sz w:val="13"/>
              </w:rPr>
              <w:t>24/02/2023</w:t>
            </w:r>
          </w:p>
        </w:tc>
      </w:tr>
      <w:tr>
        <w:trPr>
          <w:trHeight w:val="291" w:hRule="atLeast"/>
        </w:trPr>
        <w:tc>
          <w:tcPr>
            <w:tcW w:w="1461" w:type="dxa"/>
            <w:tcBorders>
              <w:left w:val="single" w:sz="4" w:space="0" w:color="000000"/>
              <w:right w:val="single" w:sz="4" w:space="0" w:color="000000"/>
            </w:tcBorders>
          </w:tcPr>
          <w:p>
            <w:pPr>
              <w:pStyle w:val="TableParagraph"/>
              <w:spacing w:before="55"/>
              <w:ind w:left="130"/>
              <w:rPr>
                <w:b/>
                <w:sz w:val="13"/>
              </w:rPr>
            </w:pPr>
            <w:r>
              <w:rPr>
                <w:b/>
                <w:color w:val="232323"/>
                <w:w w:val="105"/>
                <w:sz w:val="13"/>
              </w:rPr>
              <w:t>MUSEO</w:t>
            </w:r>
          </w:p>
        </w:tc>
        <w:tc>
          <w:tcPr>
            <w:tcW w:w="1453" w:type="dxa"/>
            <w:tcBorders>
              <w:left w:val="single" w:sz="4" w:space="0" w:color="000000"/>
            </w:tcBorders>
          </w:tcPr>
          <w:p>
            <w:pPr>
              <w:pStyle w:val="TableParagraph"/>
              <w:spacing w:before="55"/>
              <w:ind w:left="325" w:right="225"/>
              <w:jc w:val="center"/>
              <w:rPr>
                <w:sz w:val="13"/>
              </w:rPr>
            </w:pPr>
            <w:r>
              <w:rPr>
                <w:w w:val="105"/>
                <w:sz w:val="13"/>
              </w:rPr>
              <w:t>28/02/2023</w:t>
            </w:r>
          </w:p>
        </w:tc>
        <w:tc>
          <w:tcPr>
            <w:tcW w:w="1543" w:type="dxa"/>
          </w:tcPr>
          <w:p>
            <w:pPr>
              <w:pStyle w:val="TableParagraph"/>
              <w:spacing w:before="55"/>
              <w:ind w:left="233" w:right="194"/>
              <w:jc w:val="center"/>
              <w:rPr>
                <w:sz w:val="13"/>
              </w:rPr>
            </w:pPr>
            <w:r>
              <w:rPr>
                <w:w w:val="105"/>
                <w:sz w:val="13"/>
              </w:rPr>
              <w:t>28/02/2023</w:t>
            </w:r>
          </w:p>
        </w:tc>
        <w:tc>
          <w:tcPr>
            <w:tcW w:w="1153" w:type="dxa"/>
          </w:tcPr>
          <w:p>
            <w:pPr>
              <w:pStyle w:val="TableParagraph"/>
              <w:spacing w:before="55"/>
              <w:ind w:left="210" w:right="244"/>
              <w:jc w:val="center"/>
              <w:rPr>
                <w:sz w:val="13"/>
              </w:rPr>
            </w:pPr>
            <w:r>
              <w:rPr>
                <w:w w:val="105"/>
                <w:sz w:val="13"/>
              </w:rPr>
              <w:t>28/02/2023</w:t>
            </w:r>
          </w:p>
        </w:tc>
        <w:tc>
          <w:tcPr>
            <w:tcW w:w="1184" w:type="dxa"/>
            <w:tcBorders>
              <w:right w:val="single" w:sz="4" w:space="0" w:color="000000"/>
            </w:tcBorders>
          </w:tcPr>
          <w:p>
            <w:pPr>
              <w:pStyle w:val="TableParagraph"/>
              <w:spacing w:before="55"/>
              <w:ind w:left="257" w:right="223"/>
              <w:jc w:val="center"/>
              <w:rPr>
                <w:sz w:val="13"/>
              </w:rPr>
            </w:pPr>
            <w:r>
              <w:rPr>
                <w:w w:val="105"/>
                <w:sz w:val="13"/>
              </w:rPr>
              <w:t>28/02/2023</w:t>
            </w:r>
          </w:p>
        </w:tc>
      </w:tr>
      <w:tr>
        <w:trPr>
          <w:trHeight w:val="291" w:hRule="atLeast"/>
        </w:trPr>
        <w:tc>
          <w:tcPr>
            <w:tcW w:w="1461" w:type="dxa"/>
            <w:tcBorders>
              <w:left w:val="single" w:sz="4" w:space="0" w:color="000000"/>
              <w:right w:val="single" w:sz="4" w:space="0" w:color="000000"/>
            </w:tcBorders>
          </w:tcPr>
          <w:p>
            <w:pPr>
              <w:pStyle w:val="TableParagraph"/>
              <w:spacing w:before="56"/>
              <w:ind w:left="130"/>
              <w:rPr>
                <w:b/>
                <w:sz w:val="13"/>
              </w:rPr>
            </w:pPr>
            <w:r>
              <w:rPr>
                <w:b/>
                <w:color w:val="232323"/>
                <w:w w:val="105"/>
                <w:sz w:val="13"/>
              </w:rPr>
              <w:t>FUCAEX</w:t>
            </w:r>
          </w:p>
        </w:tc>
        <w:tc>
          <w:tcPr>
            <w:tcW w:w="1453" w:type="dxa"/>
            <w:tcBorders>
              <w:left w:val="single" w:sz="4" w:space="0" w:color="000000"/>
            </w:tcBorders>
          </w:tcPr>
          <w:p>
            <w:pPr>
              <w:pStyle w:val="TableParagraph"/>
              <w:spacing w:before="56"/>
              <w:ind w:left="325" w:right="225"/>
              <w:jc w:val="center"/>
              <w:rPr>
                <w:sz w:val="13"/>
              </w:rPr>
            </w:pPr>
            <w:r>
              <w:rPr>
                <w:w w:val="105"/>
                <w:sz w:val="13"/>
              </w:rPr>
              <w:t>28/02/2023</w:t>
            </w:r>
          </w:p>
        </w:tc>
        <w:tc>
          <w:tcPr>
            <w:tcW w:w="1543" w:type="dxa"/>
          </w:tcPr>
          <w:p>
            <w:pPr>
              <w:pStyle w:val="TableParagraph"/>
              <w:spacing w:before="56"/>
              <w:ind w:left="232" w:right="194"/>
              <w:jc w:val="center"/>
              <w:rPr>
                <w:sz w:val="13"/>
              </w:rPr>
            </w:pPr>
            <w:r>
              <w:rPr>
                <w:w w:val="105"/>
                <w:sz w:val="13"/>
              </w:rPr>
              <w:t>No</w:t>
            </w:r>
          </w:p>
        </w:tc>
        <w:tc>
          <w:tcPr>
            <w:tcW w:w="1153" w:type="dxa"/>
          </w:tcPr>
          <w:p>
            <w:pPr>
              <w:pStyle w:val="TableParagraph"/>
              <w:spacing w:before="56"/>
              <w:ind w:left="210" w:right="244"/>
              <w:jc w:val="center"/>
              <w:rPr>
                <w:sz w:val="13"/>
              </w:rPr>
            </w:pPr>
            <w:r>
              <w:rPr>
                <w:w w:val="105"/>
                <w:sz w:val="13"/>
              </w:rPr>
              <w:t>28/02/2023</w:t>
            </w:r>
          </w:p>
        </w:tc>
        <w:tc>
          <w:tcPr>
            <w:tcW w:w="1184" w:type="dxa"/>
            <w:tcBorders>
              <w:right w:val="single" w:sz="4" w:space="0" w:color="000000"/>
            </w:tcBorders>
          </w:tcPr>
          <w:p>
            <w:pPr>
              <w:pStyle w:val="TableParagraph"/>
              <w:spacing w:before="56"/>
              <w:ind w:left="255" w:right="223"/>
              <w:jc w:val="center"/>
              <w:rPr>
                <w:sz w:val="13"/>
              </w:rPr>
            </w:pPr>
            <w:r>
              <w:rPr>
                <w:w w:val="105"/>
                <w:sz w:val="13"/>
              </w:rPr>
              <w:t>No</w:t>
            </w:r>
          </w:p>
        </w:tc>
      </w:tr>
      <w:tr>
        <w:trPr>
          <w:trHeight w:val="278" w:hRule="atLeast"/>
        </w:trPr>
        <w:tc>
          <w:tcPr>
            <w:tcW w:w="1461" w:type="dxa"/>
            <w:tcBorders>
              <w:left w:val="single" w:sz="4" w:space="0" w:color="000000"/>
              <w:bottom w:val="single" w:sz="4" w:space="0" w:color="000000"/>
              <w:right w:val="single" w:sz="4" w:space="0" w:color="000000"/>
            </w:tcBorders>
          </w:tcPr>
          <w:p>
            <w:pPr>
              <w:pStyle w:val="TableParagraph"/>
              <w:spacing w:before="55"/>
              <w:ind w:left="130"/>
              <w:rPr>
                <w:b/>
                <w:sz w:val="13"/>
              </w:rPr>
            </w:pPr>
            <w:r>
              <w:rPr>
                <w:b/>
                <w:color w:val="232323"/>
                <w:w w:val="105"/>
                <w:sz w:val="13"/>
              </w:rPr>
              <w:t>FIISC</w:t>
            </w:r>
          </w:p>
        </w:tc>
        <w:tc>
          <w:tcPr>
            <w:tcW w:w="1453" w:type="dxa"/>
            <w:tcBorders>
              <w:left w:val="single" w:sz="4" w:space="0" w:color="000000"/>
              <w:bottom w:val="single" w:sz="4" w:space="0" w:color="000000"/>
            </w:tcBorders>
          </w:tcPr>
          <w:p>
            <w:pPr>
              <w:pStyle w:val="TableParagraph"/>
              <w:spacing w:before="55"/>
              <w:ind w:left="325" w:right="225"/>
              <w:jc w:val="center"/>
              <w:rPr>
                <w:sz w:val="13"/>
              </w:rPr>
            </w:pPr>
            <w:r>
              <w:rPr>
                <w:w w:val="105"/>
                <w:sz w:val="13"/>
              </w:rPr>
              <w:t>05/04/2023</w:t>
            </w:r>
          </w:p>
        </w:tc>
        <w:tc>
          <w:tcPr>
            <w:tcW w:w="1543" w:type="dxa"/>
            <w:tcBorders>
              <w:bottom w:val="single" w:sz="4" w:space="0" w:color="000000"/>
            </w:tcBorders>
          </w:tcPr>
          <w:p>
            <w:pPr>
              <w:pStyle w:val="TableParagraph"/>
              <w:spacing w:before="55"/>
              <w:ind w:left="233" w:right="194"/>
              <w:jc w:val="center"/>
              <w:rPr>
                <w:sz w:val="13"/>
              </w:rPr>
            </w:pPr>
            <w:r>
              <w:rPr>
                <w:w w:val="105"/>
                <w:sz w:val="13"/>
              </w:rPr>
              <w:t>05/04/2023</w:t>
            </w:r>
          </w:p>
        </w:tc>
        <w:tc>
          <w:tcPr>
            <w:tcW w:w="1153" w:type="dxa"/>
            <w:tcBorders>
              <w:bottom w:val="single" w:sz="4" w:space="0" w:color="000000"/>
            </w:tcBorders>
          </w:tcPr>
          <w:p>
            <w:pPr>
              <w:pStyle w:val="TableParagraph"/>
              <w:spacing w:before="55"/>
              <w:ind w:left="210" w:right="244"/>
              <w:jc w:val="center"/>
              <w:rPr>
                <w:sz w:val="13"/>
              </w:rPr>
            </w:pPr>
            <w:r>
              <w:rPr>
                <w:w w:val="105"/>
                <w:sz w:val="13"/>
              </w:rPr>
              <w:t>05/04/2023</w:t>
            </w:r>
          </w:p>
        </w:tc>
        <w:tc>
          <w:tcPr>
            <w:tcW w:w="1184" w:type="dxa"/>
            <w:tcBorders>
              <w:bottom w:val="single" w:sz="4" w:space="0" w:color="000000"/>
              <w:right w:val="single" w:sz="4" w:space="0" w:color="000000"/>
            </w:tcBorders>
          </w:tcPr>
          <w:p>
            <w:pPr>
              <w:pStyle w:val="TableParagraph"/>
              <w:spacing w:before="55"/>
              <w:ind w:left="257" w:right="223"/>
              <w:jc w:val="center"/>
              <w:rPr>
                <w:sz w:val="13"/>
              </w:rPr>
            </w:pPr>
            <w:r>
              <w:rPr>
                <w:w w:val="105"/>
                <w:sz w:val="13"/>
              </w:rPr>
              <w:t>05/04/2023</w:t>
            </w:r>
          </w:p>
        </w:tc>
      </w:tr>
    </w:tbl>
    <w:p>
      <w:pPr>
        <w:pStyle w:val="BodyText"/>
      </w:pPr>
    </w:p>
    <w:p>
      <w:pPr>
        <w:pStyle w:val="BodyText"/>
      </w:pPr>
    </w:p>
    <w:p>
      <w:pPr>
        <w:pStyle w:val="BodyText"/>
      </w:pPr>
    </w:p>
    <w:p>
      <w:pPr>
        <w:pStyle w:val="BodyText"/>
        <w:spacing w:before="7"/>
      </w:pPr>
      <w:r>
        <w:rPr/>
        <w:pict>
          <v:shape style="position:absolute;margin-left:142.958206pt;margin-top:14.888172pt;width:120.95pt;height:.1pt;mso-position-horizontal-relative:page;mso-position-vertical-relative:paragraph;z-index:-251441152;mso-wrap-distance-left:0;mso-wrap-distance-right:0" coordorigin="2859,298" coordsize="2419,0" path="m2859,298l5278,298e" filled="false" stroked="true" strokeweight=".604484pt" strokecolor="#000000">
            <v:path arrowok="t"/>
            <v:stroke dashstyle="solid"/>
            <w10:wrap type="topAndBottom"/>
          </v:shape>
        </w:pict>
      </w:r>
    </w:p>
    <w:p>
      <w:pPr>
        <w:spacing w:line="252" w:lineRule="auto" w:before="51"/>
        <w:ind w:left="2099" w:right="1143" w:firstLine="0"/>
        <w:jc w:val="both"/>
        <w:rPr>
          <w:sz w:val="16"/>
        </w:rPr>
      </w:pPr>
      <w:r>
        <w:rPr>
          <w:w w:val="105"/>
          <w:position w:val="6"/>
          <w:sz w:val="11"/>
        </w:rPr>
        <w:t>36</w:t>
      </w:r>
      <w:r>
        <w:rPr>
          <w:spacing w:val="6"/>
          <w:w w:val="105"/>
          <w:position w:val="6"/>
          <w:sz w:val="11"/>
        </w:rPr>
        <w:t> </w:t>
      </w:r>
      <w:r>
        <w:rPr>
          <w:w w:val="105"/>
          <w:sz w:val="16"/>
        </w:rPr>
        <w:t>Instrucción</w:t>
      </w:r>
      <w:r>
        <w:rPr>
          <w:spacing w:val="-3"/>
          <w:w w:val="105"/>
          <w:sz w:val="16"/>
        </w:rPr>
        <w:t> </w:t>
      </w:r>
      <w:r>
        <w:rPr>
          <w:w w:val="105"/>
          <w:sz w:val="16"/>
        </w:rPr>
        <w:t>de</w:t>
      </w:r>
      <w:r>
        <w:rPr>
          <w:spacing w:val="-5"/>
          <w:w w:val="105"/>
          <w:sz w:val="16"/>
        </w:rPr>
        <w:t> </w:t>
      </w:r>
      <w:r>
        <w:rPr>
          <w:w w:val="105"/>
          <w:sz w:val="16"/>
        </w:rPr>
        <w:t>29</w:t>
      </w:r>
      <w:r>
        <w:rPr>
          <w:spacing w:val="-4"/>
          <w:w w:val="105"/>
          <w:sz w:val="16"/>
        </w:rPr>
        <w:t> </w:t>
      </w:r>
      <w:r>
        <w:rPr>
          <w:w w:val="105"/>
          <w:sz w:val="16"/>
        </w:rPr>
        <w:t>de</w:t>
      </w:r>
      <w:r>
        <w:rPr>
          <w:spacing w:val="-3"/>
          <w:w w:val="105"/>
          <w:sz w:val="16"/>
        </w:rPr>
        <w:t> </w:t>
      </w:r>
      <w:r>
        <w:rPr>
          <w:w w:val="105"/>
          <w:sz w:val="16"/>
        </w:rPr>
        <w:t>noviembre</w:t>
      </w:r>
      <w:r>
        <w:rPr>
          <w:spacing w:val="-5"/>
          <w:w w:val="105"/>
          <w:sz w:val="16"/>
        </w:rPr>
        <w:t> </w:t>
      </w:r>
      <w:r>
        <w:rPr>
          <w:w w:val="105"/>
          <w:sz w:val="16"/>
        </w:rPr>
        <w:t>de</w:t>
      </w:r>
      <w:r>
        <w:rPr>
          <w:spacing w:val="-2"/>
          <w:w w:val="105"/>
          <w:sz w:val="16"/>
        </w:rPr>
        <w:t> </w:t>
      </w:r>
      <w:r>
        <w:rPr>
          <w:w w:val="105"/>
          <w:sz w:val="16"/>
        </w:rPr>
        <w:t>2018,</w:t>
      </w:r>
      <w:r>
        <w:rPr>
          <w:spacing w:val="-4"/>
          <w:w w:val="105"/>
          <w:sz w:val="16"/>
        </w:rPr>
        <w:t> </w:t>
      </w:r>
      <w:r>
        <w:rPr>
          <w:w w:val="105"/>
          <w:sz w:val="16"/>
        </w:rPr>
        <w:t>relativa</w:t>
      </w:r>
      <w:r>
        <w:rPr>
          <w:spacing w:val="-4"/>
          <w:w w:val="105"/>
          <w:sz w:val="16"/>
        </w:rPr>
        <w:t> </w:t>
      </w:r>
      <w:r>
        <w:rPr>
          <w:w w:val="105"/>
          <w:sz w:val="16"/>
        </w:rPr>
        <w:t>a</w:t>
      </w:r>
      <w:r>
        <w:rPr>
          <w:spacing w:val="-3"/>
          <w:w w:val="105"/>
          <w:sz w:val="16"/>
        </w:rPr>
        <w:t> </w:t>
      </w:r>
      <w:r>
        <w:rPr>
          <w:w w:val="105"/>
          <w:sz w:val="16"/>
        </w:rPr>
        <w:t>la</w:t>
      </w:r>
      <w:r>
        <w:rPr>
          <w:spacing w:val="-4"/>
          <w:w w:val="105"/>
          <w:sz w:val="16"/>
        </w:rPr>
        <w:t> </w:t>
      </w:r>
      <w:r>
        <w:rPr>
          <w:w w:val="105"/>
          <w:sz w:val="16"/>
        </w:rPr>
        <w:t>remisión</w:t>
      </w:r>
      <w:r>
        <w:rPr>
          <w:spacing w:val="-4"/>
          <w:w w:val="105"/>
          <w:sz w:val="16"/>
        </w:rPr>
        <w:t> </w:t>
      </w:r>
      <w:r>
        <w:rPr>
          <w:w w:val="105"/>
          <w:sz w:val="16"/>
        </w:rPr>
        <w:t>telemática</w:t>
      </w:r>
      <w:r>
        <w:rPr>
          <w:spacing w:val="-3"/>
          <w:w w:val="105"/>
          <w:sz w:val="16"/>
        </w:rPr>
        <w:t> </w:t>
      </w:r>
      <w:r>
        <w:rPr>
          <w:w w:val="105"/>
          <w:sz w:val="16"/>
        </w:rPr>
        <w:t>a</w:t>
      </w:r>
      <w:r>
        <w:rPr>
          <w:spacing w:val="-4"/>
          <w:w w:val="105"/>
          <w:sz w:val="16"/>
        </w:rPr>
        <w:t> </w:t>
      </w:r>
      <w:r>
        <w:rPr>
          <w:w w:val="105"/>
          <w:sz w:val="16"/>
        </w:rPr>
        <w:t>la</w:t>
      </w:r>
      <w:r>
        <w:rPr>
          <w:spacing w:val="-2"/>
          <w:w w:val="105"/>
          <w:sz w:val="16"/>
        </w:rPr>
        <w:t> </w:t>
      </w:r>
      <w:r>
        <w:rPr>
          <w:w w:val="105"/>
          <w:sz w:val="16"/>
        </w:rPr>
        <w:t>Audiencia</w:t>
      </w:r>
      <w:r>
        <w:rPr>
          <w:spacing w:val="-3"/>
          <w:w w:val="105"/>
          <w:sz w:val="16"/>
        </w:rPr>
        <w:t> </w:t>
      </w:r>
      <w:r>
        <w:rPr>
          <w:w w:val="105"/>
          <w:sz w:val="16"/>
        </w:rPr>
        <w:t>de</w:t>
      </w:r>
      <w:r>
        <w:rPr>
          <w:spacing w:val="-5"/>
          <w:w w:val="105"/>
          <w:sz w:val="16"/>
        </w:rPr>
        <w:t> </w:t>
      </w:r>
      <w:r>
        <w:rPr>
          <w:w w:val="105"/>
          <w:sz w:val="16"/>
        </w:rPr>
        <w:t>Cuentas</w:t>
      </w:r>
      <w:r>
        <w:rPr>
          <w:spacing w:val="-3"/>
          <w:w w:val="105"/>
          <w:sz w:val="16"/>
        </w:rPr>
        <w:t> </w:t>
      </w:r>
      <w:r>
        <w:rPr>
          <w:w w:val="105"/>
          <w:sz w:val="16"/>
        </w:rPr>
        <w:t>de Canarias de los extractos de los expedientes de contratación y convenios y de las relaciones anuales de los contratos, convenios y encargos a medios propios personificados celebrados por las entidades del Sector Público Autonómico de la CAC al amparo de la Ley 9/2017, de 8 de</w:t>
      </w:r>
      <w:r>
        <w:rPr>
          <w:spacing w:val="-10"/>
          <w:w w:val="105"/>
          <w:sz w:val="16"/>
        </w:rPr>
        <w:t> </w:t>
      </w:r>
      <w:r>
        <w:rPr>
          <w:w w:val="105"/>
          <w:sz w:val="16"/>
        </w:rPr>
        <w:t>noviembre.</w:t>
      </w:r>
    </w:p>
    <w:p>
      <w:pPr>
        <w:pStyle w:val="BodyText"/>
        <w:spacing w:line="236" w:lineRule="exact"/>
        <w:ind w:left="7787"/>
        <w:jc w:val="center"/>
      </w:pPr>
      <w:r>
        <w:rPr/>
        <w:t>137</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89" name="image5.png"/>
                  <wp:cNvGraphicFramePr>
                    <a:graphicFrameLocks noChangeAspect="1"/>
                  </wp:cNvGraphicFramePr>
                  <a:graphic>
                    <a:graphicData uri="http://schemas.openxmlformats.org/drawingml/2006/picture">
                      <pic:pic>
                        <pic:nvPicPr>
                          <pic:cNvPr id="29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139/247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399" w:right="1145" w:hanging="301"/>
        <w:jc w:val="both"/>
      </w:pPr>
      <w:r>
        <w:rPr/>
        <w:t>6. Todas las fundaciones han cumplido con la obligación de remitir la documentación en plazo, excepto FIISC, y completa, excepto IDEO que solo remitió la relación de contratos y FUCAEX que no remitió la de contratos privados ni</w:t>
      </w:r>
      <w:r>
        <w:rPr>
          <w:spacing w:val="5"/>
        </w:rPr>
        <w:t> </w:t>
      </w:r>
      <w:r>
        <w:rPr/>
        <w:t>encargos.</w:t>
      </w:r>
    </w:p>
    <w:p>
      <w:pPr>
        <w:pStyle w:val="BodyText"/>
        <w:spacing w:before="1"/>
        <w:rPr>
          <w:sz w:val="17"/>
        </w:rPr>
      </w:pPr>
    </w:p>
    <w:p>
      <w:pPr>
        <w:pStyle w:val="Heading1"/>
        <w:numPr>
          <w:ilvl w:val="0"/>
          <w:numId w:val="88"/>
        </w:numPr>
        <w:tabs>
          <w:tab w:pos="2317" w:val="left" w:leader="none"/>
        </w:tabs>
        <w:spacing w:line="240" w:lineRule="auto" w:before="0" w:after="0"/>
        <w:ind w:left="2316" w:right="0" w:hanging="218"/>
        <w:jc w:val="left"/>
      </w:pPr>
      <w:r>
        <w:rPr/>
        <w:t>Observaciones a los contratos de la LCSP</w:t>
      </w:r>
      <w:r>
        <w:rPr>
          <w:spacing w:val="-1"/>
        </w:rPr>
        <w:t> </w:t>
      </w:r>
      <w:r>
        <w:rPr/>
        <w:t>remitidos.</w:t>
      </w:r>
    </w:p>
    <w:p>
      <w:pPr>
        <w:pStyle w:val="BodyText"/>
        <w:spacing w:before="8"/>
        <w:rPr>
          <w:b/>
          <w:sz w:val="16"/>
        </w:rPr>
      </w:pPr>
    </w:p>
    <w:p>
      <w:pPr>
        <w:pStyle w:val="ListParagraph"/>
        <w:numPr>
          <w:ilvl w:val="0"/>
          <w:numId w:val="89"/>
        </w:numPr>
        <w:tabs>
          <w:tab w:pos="2402" w:val="left" w:leader="none"/>
        </w:tabs>
        <w:spacing w:line="242" w:lineRule="auto" w:before="0" w:after="0"/>
        <w:ind w:left="2401" w:right="1139" w:hanging="303"/>
        <w:jc w:val="both"/>
        <w:rPr>
          <w:sz w:val="20"/>
        </w:rPr>
      </w:pPr>
      <w:r>
        <w:rPr>
          <w:sz w:val="20"/>
        </w:rPr>
        <w:t>Las relaciones remitidas contienen diversas incidencias, que se muestran en el Anexo IV del presente Informe. Entre ellas destacan, para los contratos menores, que no siempre consta la fecha de adjudicación, además hay contratos que no corresponden al ejercicio 2022 y otros con importe superior a los límites previstos en la LCSP para este tipo de</w:t>
      </w:r>
      <w:r>
        <w:rPr>
          <w:spacing w:val="2"/>
          <w:sz w:val="20"/>
        </w:rPr>
        <w:t> </w:t>
      </w:r>
      <w:r>
        <w:rPr>
          <w:sz w:val="20"/>
        </w:rPr>
        <w:t>contratos.</w:t>
      </w:r>
    </w:p>
    <w:p>
      <w:pPr>
        <w:pStyle w:val="BodyText"/>
        <w:spacing w:before="3"/>
        <w:rPr>
          <w:sz w:val="16"/>
        </w:rPr>
      </w:pPr>
    </w:p>
    <w:p>
      <w:pPr>
        <w:pStyle w:val="ListParagraph"/>
        <w:numPr>
          <w:ilvl w:val="0"/>
          <w:numId w:val="89"/>
        </w:numPr>
        <w:tabs>
          <w:tab w:pos="2402" w:val="left" w:leader="none"/>
        </w:tabs>
        <w:spacing w:line="240" w:lineRule="auto" w:before="0" w:after="0"/>
        <w:ind w:left="2401" w:right="1143" w:hanging="303"/>
        <w:jc w:val="both"/>
        <w:rPr>
          <w:sz w:val="20"/>
        </w:rPr>
      </w:pPr>
      <w:r>
        <w:rPr>
          <w:sz w:val="20"/>
        </w:rPr>
        <w:t>No se han producido incumplimientos en cuanto a la obligación de remitir copia del contrato formalizado acompañada de un extracto del expediente cuando supere los importes que establece el Art. 335 de la</w:t>
      </w:r>
      <w:r>
        <w:rPr>
          <w:spacing w:val="1"/>
          <w:sz w:val="20"/>
        </w:rPr>
        <w:t> </w:t>
      </w:r>
      <w:r>
        <w:rPr>
          <w:sz w:val="20"/>
        </w:rPr>
        <w:t>LCSP.</w:t>
      </w:r>
    </w:p>
    <w:p>
      <w:pPr>
        <w:pStyle w:val="BodyText"/>
        <w:spacing w:before="11"/>
        <w:rPr>
          <w:sz w:val="16"/>
        </w:rPr>
      </w:pPr>
    </w:p>
    <w:p>
      <w:pPr>
        <w:pStyle w:val="Heading1"/>
        <w:numPr>
          <w:ilvl w:val="0"/>
          <w:numId w:val="88"/>
        </w:numPr>
        <w:tabs>
          <w:tab w:pos="2293" w:val="left" w:leader="none"/>
        </w:tabs>
        <w:spacing w:line="240" w:lineRule="auto" w:before="0" w:after="0"/>
        <w:ind w:left="2292" w:right="0" w:hanging="194"/>
        <w:jc w:val="left"/>
      </w:pPr>
      <w:r>
        <w:rPr/>
        <w:t>Observaciones a los convenios</w:t>
      </w:r>
      <w:r>
        <w:rPr>
          <w:spacing w:val="1"/>
        </w:rPr>
        <w:t> </w:t>
      </w:r>
      <w:r>
        <w:rPr/>
        <w:t>remitidos.</w:t>
      </w:r>
    </w:p>
    <w:p>
      <w:pPr>
        <w:pStyle w:val="BodyText"/>
        <w:spacing w:before="8"/>
        <w:rPr>
          <w:b/>
          <w:sz w:val="16"/>
        </w:rPr>
      </w:pPr>
    </w:p>
    <w:p>
      <w:pPr>
        <w:pStyle w:val="ListParagraph"/>
        <w:numPr>
          <w:ilvl w:val="0"/>
          <w:numId w:val="90"/>
        </w:numPr>
        <w:tabs>
          <w:tab w:pos="2402" w:val="left" w:leader="none"/>
        </w:tabs>
        <w:spacing w:line="240" w:lineRule="auto" w:before="0" w:after="0"/>
        <w:ind w:left="2401" w:right="1146" w:hanging="303"/>
        <w:jc w:val="both"/>
        <w:rPr>
          <w:sz w:val="20"/>
        </w:rPr>
      </w:pPr>
      <w:r>
        <w:rPr>
          <w:sz w:val="20"/>
        </w:rPr>
        <w:t>De las seis entidades que remitieron la información al respecto, cinco celebraron convenios</w:t>
      </w:r>
      <w:r>
        <w:rPr>
          <w:spacing w:val="-11"/>
          <w:sz w:val="20"/>
        </w:rPr>
        <w:t> </w:t>
      </w:r>
      <w:r>
        <w:rPr>
          <w:sz w:val="20"/>
        </w:rPr>
        <w:t>en</w:t>
      </w:r>
      <w:r>
        <w:rPr>
          <w:spacing w:val="-9"/>
          <w:sz w:val="20"/>
        </w:rPr>
        <w:t> </w:t>
      </w:r>
      <w:r>
        <w:rPr>
          <w:sz w:val="20"/>
        </w:rPr>
        <w:t>2022:</w:t>
      </w:r>
      <w:r>
        <w:rPr>
          <w:spacing w:val="-8"/>
          <w:sz w:val="20"/>
        </w:rPr>
        <w:t> </w:t>
      </w:r>
      <w:r>
        <w:rPr>
          <w:sz w:val="20"/>
        </w:rPr>
        <w:t>LENGUA</w:t>
      </w:r>
      <w:r>
        <w:rPr>
          <w:spacing w:val="-9"/>
          <w:sz w:val="20"/>
        </w:rPr>
        <w:t> </w:t>
      </w:r>
      <w:r>
        <w:rPr>
          <w:sz w:val="20"/>
        </w:rPr>
        <w:t>(3),</w:t>
      </w:r>
      <w:r>
        <w:rPr>
          <w:spacing w:val="-8"/>
          <w:sz w:val="20"/>
        </w:rPr>
        <w:t> </w:t>
      </w:r>
      <w:r>
        <w:rPr>
          <w:sz w:val="20"/>
        </w:rPr>
        <w:t>FUNCATRA</w:t>
      </w:r>
      <w:r>
        <w:rPr>
          <w:spacing w:val="-9"/>
          <w:sz w:val="20"/>
        </w:rPr>
        <w:t> </w:t>
      </w:r>
      <w:r>
        <w:rPr>
          <w:sz w:val="20"/>
        </w:rPr>
        <w:t>(3),</w:t>
      </w:r>
      <w:r>
        <w:rPr>
          <w:spacing w:val="-9"/>
          <w:sz w:val="20"/>
        </w:rPr>
        <w:t> </w:t>
      </w:r>
      <w:r>
        <w:rPr>
          <w:sz w:val="20"/>
        </w:rPr>
        <w:t>MUSEO</w:t>
      </w:r>
      <w:r>
        <w:rPr>
          <w:spacing w:val="-8"/>
          <w:sz w:val="20"/>
        </w:rPr>
        <w:t> </w:t>
      </w:r>
      <w:r>
        <w:rPr>
          <w:sz w:val="20"/>
        </w:rPr>
        <w:t>(5),</w:t>
      </w:r>
      <w:r>
        <w:rPr>
          <w:spacing w:val="-8"/>
          <w:sz w:val="20"/>
        </w:rPr>
        <w:t> </w:t>
      </w:r>
      <w:r>
        <w:rPr>
          <w:sz w:val="20"/>
        </w:rPr>
        <w:t>FUCAEX</w:t>
      </w:r>
      <w:r>
        <w:rPr>
          <w:spacing w:val="-9"/>
          <w:sz w:val="20"/>
        </w:rPr>
        <w:t> </w:t>
      </w:r>
      <w:r>
        <w:rPr>
          <w:sz w:val="20"/>
        </w:rPr>
        <w:t>(12)</w:t>
      </w:r>
      <w:r>
        <w:rPr>
          <w:spacing w:val="-9"/>
          <w:sz w:val="20"/>
        </w:rPr>
        <w:t> </w:t>
      </w:r>
      <w:r>
        <w:rPr>
          <w:sz w:val="20"/>
        </w:rPr>
        <w:t>y</w:t>
      </w:r>
      <w:r>
        <w:rPr>
          <w:spacing w:val="-11"/>
          <w:sz w:val="20"/>
        </w:rPr>
        <w:t> </w:t>
      </w:r>
      <w:r>
        <w:rPr>
          <w:sz w:val="20"/>
        </w:rPr>
        <w:t>FIISC</w:t>
      </w:r>
      <w:r>
        <w:rPr>
          <w:spacing w:val="-11"/>
          <w:sz w:val="20"/>
        </w:rPr>
        <w:t> </w:t>
      </w:r>
      <w:r>
        <w:rPr>
          <w:sz w:val="20"/>
        </w:rPr>
        <w:t>(16). ACCIÓN SOCIAL comunica que no ha formalizado</w:t>
      </w:r>
      <w:r>
        <w:rPr>
          <w:spacing w:val="1"/>
          <w:sz w:val="20"/>
        </w:rPr>
        <w:t> </w:t>
      </w:r>
      <w:r>
        <w:rPr>
          <w:sz w:val="20"/>
        </w:rPr>
        <w:t>ninguno.</w:t>
      </w:r>
    </w:p>
    <w:p>
      <w:pPr>
        <w:pStyle w:val="BodyText"/>
        <w:rPr>
          <w:sz w:val="17"/>
        </w:rPr>
      </w:pPr>
    </w:p>
    <w:p>
      <w:pPr>
        <w:pStyle w:val="ListParagraph"/>
        <w:numPr>
          <w:ilvl w:val="0"/>
          <w:numId w:val="90"/>
        </w:numPr>
        <w:tabs>
          <w:tab w:pos="2402" w:val="left" w:leader="none"/>
        </w:tabs>
        <w:spacing w:line="242" w:lineRule="auto" w:before="0" w:after="0"/>
        <w:ind w:left="2401" w:right="1139" w:hanging="303"/>
        <w:jc w:val="both"/>
        <w:rPr>
          <w:sz w:val="20"/>
        </w:rPr>
      </w:pPr>
      <w:r>
        <w:rPr>
          <w:sz w:val="20"/>
        </w:rPr>
        <w:t>FUNCATRA</w:t>
      </w:r>
      <w:r>
        <w:rPr>
          <w:spacing w:val="-8"/>
          <w:sz w:val="20"/>
        </w:rPr>
        <w:t> </w:t>
      </w:r>
      <w:r>
        <w:rPr>
          <w:sz w:val="20"/>
        </w:rPr>
        <w:t>no</w:t>
      </w:r>
      <w:r>
        <w:rPr>
          <w:spacing w:val="-9"/>
          <w:sz w:val="20"/>
        </w:rPr>
        <w:t> </w:t>
      </w:r>
      <w:r>
        <w:rPr>
          <w:sz w:val="20"/>
        </w:rPr>
        <w:t>ha</w:t>
      </w:r>
      <w:r>
        <w:rPr>
          <w:spacing w:val="-10"/>
          <w:sz w:val="20"/>
        </w:rPr>
        <w:t> </w:t>
      </w:r>
      <w:r>
        <w:rPr>
          <w:sz w:val="20"/>
        </w:rPr>
        <w:t>remitido</w:t>
      </w:r>
      <w:r>
        <w:rPr>
          <w:spacing w:val="-7"/>
          <w:sz w:val="20"/>
        </w:rPr>
        <w:t> </w:t>
      </w:r>
      <w:r>
        <w:rPr>
          <w:sz w:val="20"/>
        </w:rPr>
        <w:t>la</w:t>
      </w:r>
      <w:r>
        <w:rPr>
          <w:spacing w:val="-10"/>
          <w:sz w:val="20"/>
        </w:rPr>
        <w:t> </w:t>
      </w:r>
      <w:r>
        <w:rPr>
          <w:sz w:val="20"/>
        </w:rPr>
        <w:t>documentación</w:t>
      </w:r>
      <w:r>
        <w:rPr>
          <w:spacing w:val="-7"/>
          <w:sz w:val="20"/>
        </w:rPr>
        <w:t> </w:t>
      </w:r>
      <w:r>
        <w:rPr>
          <w:sz w:val="20"/>
        </w:rPr>
        <w:t>exigida</w:t>
      </w:r>
      <w:r>
        <w:rPr>
          <w:spacing w:val="-8"/>
          <w:sz w:val="20"/>
        </w:rPr>
        <w:t> </w:t>
      </w:r>
      <w:r>
        <w:rPr>
          <w:sz w:val="20"/>
        </w:rPr>
        <w:t>para</w:t>
      </w:r>
      <w:r>
        <w:rPr>
          <w:spacing w:val="-7"/>
          <w:sz w:val="20"/>
        </w:rPr>
        <w:t> </w:t>
      </w:r>
      <w:r>
        <w:rPr>
          <w:sz w:val="20"/>
        </w:rPr>
        <w:t>uno</w:t>
      </w:r>
      <w:r>
        <w:rPr>
          <w:spacing w:val="-10"/>
          <w:sz w:val="20"/>
        </w:rPr>
        <w:t> </w:t>
      </w:r>
      <w:r>
        <w:rPr>
          <w:sz w:val="20"/>
        </w:rPr>
        <w:t>de</w:t>
      </w:r>
      <w:r>
        <w:rPr>
          <w:spacing w:val="-9"/>
          <w:sz w:val="20"/>
        </w:rPr>
        <w:t> </w:t>
      </w:r>
      <w:r>
        <w:rPr>
          <w:sz w:val="20"/>
        </w:rPr>
        <w:t>los</w:t>
      </w:r>
      <w:r>
        <w:rPr>
          <w:spacing w:val="-8"/>
          <w:sz w:val="20"/>
        </w:rPr>
        <w:t> </w:t>
      </w:r>
      <w:r>
        <w:rPr>
          <w:sz w:val="20"/>
        </w:rPr>
        <w:t>convenios,</w:t>
      </w:r>
      <w:r>
        <w:rPr>
          <w:spacing w:val="-7"/>
          <w:sz w:val="20"/>
        </w:rPr>
        <w:t> </w:t>
      </w:r>
      <w:r>
        <w:rPr>
          <w:sz w:val="20"/>
        </w:rPr>
        <w:t>cuyo importe alcanzó los 634.416 euros. Sin embargo, para los tres convenios remitidos por esta Fundación, se podría estar dentro del supuesto de exclusión de necesaria su remisión, prevista en la Instrucción de la Audiencia de Cuentas, por ser su objeto exclusivo</w:t>
      </w:r>
      <w:r>
        <w:rPr>
          <w:spacing w:val="19"/>
          <w:sz w:val="20"/>
        </w:rPr>
        <w:t> </w:t>
      </w:r>
      <w:r>
        <w:rPr>
          <w:sz w:val="20"/>
        </w:rPr>
        <w:t>la</w:t>
      </w:r>
      <w:r>
        <w:rPr>
          <w:spacing w:val="19"/>
          <w:sz w:val="20"/>
        </w:rPr>
        <w:t> </w:t>
      </w:r>
      <w:r>
        <w:rPr>
          <w:sz w:val="20"/>
        </w:rPr>
        <w:t>canalización</w:t>
      </w:r>
      <w:r>
        <w:rPr>
          <w:spacing w:val="17"/>
          <w:sz w:val="20"/>
        </w:rPr>
        <w:t> </w:t>
      </w:r>
      <w:r>
        <w:rPr>
          <w:sz w:val="20"/>
        </w:rPr>
        <w:t>de</w:t>
      </w:r>
      <w:r>
        <w:rPr>
          <w:spacing w:val="20"/>
          <w:sz w:val="20"/>
        </w:rPr>
        <w:t> </w:t>
      </w:r>
      <w:r>
        <w:rPr>
          <w:sz w:val="20"/>
        </w:rPr>
        <w:t>subvenciones,</w:t>
      </w:r>
      <w:r>
        <w:rPr>
          <w:spacing w:val="17"/>
          <w:sz w:val="20"/>
        </w:rPr>
        <w:t> </w:t>
      </w:r>
      <w:r>
        <w:rPr>
          <w:sz w:val="20"/>
        </w:rPr>
        <w:t>en</w:t>
      </w:r>
      <w:r>
        <w:rPr>
          <w:spacing w:val="18"/>
          <w:sz w:val="20"/>
        </w:rPr>
        <w:t> </w:t>
      </w:r>
      <w:r>
        <w:rPr>
          <w:sz w:val="20"/>
        </w:rPr>
        <w:t>aplicación</w:t>
      </w:r>
      <w:r>
        <w:rPr>
          <w:spacing w:val="21"/>
          <w:sz w:val="20"/>
        </w:rPr>
        <w:t> </w:t>
      </w:r>
      <w:r>
        <w:rPr>
          <w:sz w:val="20"/>
        </w:rPr>
        <w:t>de</w:t>
      </w:r>
      <w:r>
        <w:rPr>
          <w:spacing w:val="17"/>
          <w:sz w:val="20"/>
        </w:rPr>
        <w:t> </w:t>
      </w:r>
      <w:r>
        <w:rPr>
          <w:sz w:val="20"/>
        </w:rPr>
        <w:t>lo</w:t>
      </w:r>
      <w:r>
        <w:rPr>
          <w:spacing w:val="17"/>
          <w:sz w:val="20"/>
        </w:rPr>
        <w:t> </w:t>
      </w:r>
      <w:r>
        <w:rPr>
          <w:sz w:val="20"/>
        </w:rPr>
        <w:t>dispuesto</w:t>
      </w:r>
      <w:r>
        <w:rPr>
          <w:spacing w:val="17"/>
          <w:sz w:val="20"/>
        </w:rPr>
        <w:t> </w:t>
      </w:r>
      <w:r>
        <w:rPr>
          <w:sz w:val="20"/>
        </w:rPr>
        <w:t>en</w:t>
      </w:r>
      <w:r>
        <w:rPr>
          <w:spacing w:val="21"/>
          <w:sz w:val="20"/>
        </w:rPr>
        <w:t> </w:t>
      </w:r>
      <w:r>
        <w:rPr>
          <w:sz w:val="20"/>
        </w:rPr>
        <w:t>el</w:t>
      </w:r>
      <w:r>
        <w:rPr>
          <w:spacing w:val="21"/>
          <w:sz w:val="20"/>
        </w:rPr>
        <w:t> </w:t>
      </w:r>
      <w:r>
        <w:rPr>
          <w:sz w:val="20"/>
        </w:rPr>
        <w:t>Art.</w:t>
      </w:r>
    </w:p>
    <w:p>
      <w:pPr>
        <w:pStyle w:val="BodyText"/>
        <w:spacing w:line="242" w:lineRule="exact"/>
        <w:ind w:left="2401"/>
        <w:jc w:val="both"/>
      </w:pPr>
      <w:r>
        <w:rPr/>
        <w:t>2.3 del Reglamento de la Ley General de Subvenciones.</w:t>
      </w:r>
    </w:p>
    <w:p>
      <w:pPr>
        <w:pStyle w:val="BodyText"/>
        <w:spacing w:before="7"/>
        <w:rPr>
          <w:sz w:val="16"/>
        </w:rPr>
      </w:pPr>
    </w:p>
    <w:p>
      <w:pPr>
        <w:pStyle w:val="ListParagraph"/>
        <w:numPr>
          <w:ilvl w:val="0"/>
          <w:numId w:val="90"/>
        </w:numPr>
        <w:tabs>
          <w:tab w:pos="2402" w:val="left" w:leader="none"/>
        </w:tabs>
        <w:spacing w:line="240" w:lineRule="auto" w:before="1" w:after="0"/>
        <w:ind w:left="2401" w:right="1140" w:hanging="303"/>
        <w:jc w:val="both"/>
        <w:rPr>
          <w:sz w:val="20"/>
        </w:rPr>
      </w:pPr>
      <w:r>
        <w:rPr>
          <w:sz w:val="20"/>
        </w:rPr>
        <w:t>Al no incorporar el importe en la relación facilitada por MUSEO, no se ha podido verificar</w:t>
      </w:r>
      <w:r>
        <w:rPr>
          <w:spacing w:val="-6"/>
          <w:sz w:val="20"/>
        </w:rPr>
        <w:t> </w:t>
      </w:r>
      <w:r>
        <w:rPr>
          <w:sz w:val="20"/>
        </w:rPr>
        <w:t>para</w:t>
      </w:r>
      <w:r>
        <w:rPr>
          <w:spacing w:val="-5"/>
          <w:sz w:val="20"/>
        </w:rPr>
        <w:t> </w:t>
      </w:r>
      <w:r>
        <w:rPr>
          <w:sz w:val="20"/>
        </w:rPr>
        <w:t>esta</w:t>
      </w:r>
      <w:r>
        <w:rPr>
          <w:spacing w:val="-5"/>
          <w:sz w:val="20"/>
        </w:rPr>
        <w:t> </w:t>
      </w:r>
      <w:r>
        <w:rPr>
          <w:sz w:val="20"/>
        </w:rPr>
        <w:t>Fundación</w:t>
      </w:r>
      <w:r>
        <w:rPr>
          <w:spacing w:val="-4"/>
          <w:sz w:val="20"/>
        </w:rPr>
        <w:t> </w:t>
      </w:r>
      <w:r>
        <w:rPr>
          <w:sz w:val="20"/>
        </w:rPr>
        <w:t>el</w:t>
      </w:r>
      <w:r>
        <w:rPr>
          <w:spacing w:val="-6"/>
          <w:sz w:val="20"/>
        </w:rPr>
        <w:t> </w:t>
      </w:r>
      <w:r>
        <w:rPr>
          <w:sz w:val="20"/>
        </w:rPr>
        <w:t>cumplimiento</w:t>
      </w:r>
      <w:r>
        <w:rPr>
          <w:spacing w:val="-5"/>
          <w:sz w:val="20"/>
        </w:rPr>
        <w:t> </w:t>
      </w:r>
      <w:r>
        <w:rPr>
          <w:sz w:val="20"/>
        </w:rPr>
        <w:t>que</w:t>
      </w:r>
      <w:r>
        <w:rPr>
          <w:spacing w:val="-7"/>
          <w:sz w:val="20"/>
        </w:rPr>
        <w:t> </w:t>
      </w:r>
      <w:r>
        <w:rPr>
          <w:sz w:val="20"/>
        </w:rPr>
        <w:t>se</w:t>
      </w:r>
      <w:r>
        <w:rPr>
          <w:spacing w:val="-5"/>
          <w:sz w:val="20"/>
        </w:rPr>
        <w:t> </w:t>
      </w:r>
      <w:r>
        <w:rPr>
          <w:sz w:val="20"/>
        </w:rPr>
        <w:t>refiere</w:t>
      </w:r>
      <w:r>
        <w:rPr>
          <w:spacing w:val="-6"/>
          <w:sz w:val="20"/>
        </w:rPr>
        <w:t> </w:t>
      </w:r>
      <w:r>
        <w:rPr>
          <w:sz w:val="20"/>
        </w:rPr>
        <w:t>a</w:t>
      </w:r>
      <w:r>
        <w:rPr>
          <w:spacing w:val="-5"/>
          <w:sz w:val="20"/>
        </w:rPr>
        <w:t> </w:t>
      </w:r>
      <w:r>
        <w:rPr>
          <w:sz w:val="20"/>
        </w:rPr>
        <w:t>la</w:t>
      </w:r>
      <w:r>
        <w:rPr>
          <w:spacing w:val="-5"/>
          <w:sz w:val="20"/>
        </w:rPr>
        <w:t> </w:t>
      </w:r>
      <w:r>
        <w:rPr>
          <w:sz w:val="20"/>
        </w:rPr>
        <w:t>remisión</w:t>
      </w:r>
      <w:r>
        <w:rPr>
          <w:spacing w:val="-6"/>
          <w:sz w:val="20"/>
        </w:rPr>
        <w:t> </w:t>
      </w:r>
      <w:r>
        <w:rPr>
          <w:sz w:val="20"/>
        </w:rPr>
        <w:t>de</w:t>
      </w:r>
      <w:r>
        <w:rPr>
          <w:spacing w:val="-6"/>
          <w:sz w:val="20"/>
        </w:rPr>
        <w:t> </w:t>
      </w:r>
      <w:r>
        <w:rPr>
          <w:sz w:val="20"/>
        </w:rPr>
        <w:t>la</w:t>
      </w:r>
      <w:r>
        <w:rPr>
          <w:spacing w:val="-4"/>
          <w:sz w:val="20"/>
        </w:rPr>
        <w:t> </w:t>
      </w:r>
      <w:r>
        <w:rPr>
          <w:sz w:val="20"/>
        </w:rPr>
        <w:t>copia del documento formalizado y la memoria justificativa sobre su necesidad e impacto económico, en caso de que los convenios asuman compromisos económicos que superen los 600.000</w:t>
      </w:r>
      <w:r>
        <w:rPr>
          <w:spacing w:val="2"/>
          <w:sz w:val="20"/>
        </w:rPr>
        <w:t> </w:t>
      </w:r>
      <w:r>
        <w:rPr>
          <w:sz w:val="20"/>
        </w:rPr>
        <w:t>euros.</w:t>
      </w:r>
    </w:p>
    <w:p>
      <w:pPr>
        <w:pStyle w:val="BodyText"/>
        <w:spacing w:before="2"/>
        <w:rPr>
          <w:sz w:val="17"/>
        </w:rPr>
      </w:pPr>
    </w:p>
    <w:p>
      <w:pPr>
        <w:pStyle w:val="ListParagraph"/>
        <w:numPr>
          <w:ilvl w:val="0"/>
          <w:numId w:val="90"/>
        </w:numPr>
        <w:tabs>
          <w:tab w:pos="2402" w:val="left" w:leader="none"/>
        </w:tabs>
        <w:spacing w:line="240" w:lineRule="auto" w:before="1" w:after="0"/>
        <w:ind w:left="2401" w:right="0" w:hanging="303"/>
        <w:jc w:val="left"/>
        <w:rPr>
          <w:sz w:val="20"/>
        </w:rPr>
      </w:pPr>
      <w:r>
        <w:rPr>
          <w:sz w:val="20"/>
        </w:rPr>
        <w:t>IDEO no informa sobre este particular.</w:t>
      </w:r>
    </w:p>
    <w:p>
      <w:pPr>
        <w:pStyle w:val="BodyText"/>
      </w:pPr>
    </w:p>
    <w:p>
      <w:pPr>
        <w:pStyle w:val="BodyText"/>
      </w:pPr>
    </w:p>
    <w:p>
      <w:pPr>
        <w:pStyle w:val="BodyText"/>
      </w:pPr>
    </w:p>
    <w:p>
      <w:pPr>
        <w:pStyle w:val="BodyText"/>
      </w:pPr>
    </w:p>
    <w:p>
      <w:pPr>
        <w:pStyle w:val="BodyText"/>
      </w:pPr>
    </w:p>
    <w:p>
      <w:pPr>
        <w:pStyle w:val="BodyText"/>
        <w:spacing w:before="4"/>
        <w:rPr>
          <w:sz w:val="24"/>
        </w:rPr>
      </w:pPr>
    </w:p>
    <w:p>
      <w:pPr>
        <w:pStyle w:val="BodyText"/>
        <w:spacing w:before="61"/>
        <w:ind w:left="7787"/>
        <w:jc w:val="center"/>
      </w:pPr>
      <w:r>
        <w:rPr/>
        <w:t>138</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91" name="image5.png"/>
                  <wp:cNvGraphicFramePr>
                    <a:graphicFrameLocks noChangeAspect="1"/>
                  </wp:cNvGraphicFramePr>
                  <a:graphic>
                    <a:graphicData uri="http://schemas.openxmlformats.org/drawingml/2006/picture">
                      <pic:pic>
                        <pic:nvPicPr>
                          <pic:cNvPr id="29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140/247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Heading1"/>
        <w:tabs>
          <w:tab w:pos="3804" w:val="left" w:leader="none"/>
        </w:tabs>
        <w:spacing w:before="61"/>
        <w:ind w:left="3441"/>
        <w:jc w:val="left"/>
      </w:pPr>
      <w:bookmarkStart w:name="_TOC_250003" w:id="19"/>
      <w:r>
        <w:rPr>
          <w:color w:val="53A1B9"/>
        </w:rPr>
        <w:t>6</w:t>
        <w:tab/>
        <w:t>FONDOS CARENTES DE PERSONALIDAD</w:t>
      </w:r>
      <w:r>
        <w:rPr>
          <w:color w:val="53A1B9"/>
          <w:spacing w:val="1"/>
        </w:rPr>
        <w:t> </w:t>
      </w:r>
      <w:bookmarkEnd w:id="19"/>
      <w:r>
        <w:rPr>
          <w:color w:val="53A1B9"/>
        </w:rPr>
        <w:t>JURÍDICA</w:t>
      </w:r>
    </w:p>
    <w:p>
      <w:pPr>
        <w:pStyle w:val="BodyText"/>
        <w:spacing w:before="8"/>
        <w:rPr>
          <w:b/>
          <w:sz w:val="16"/>
        </w:rPr>
      </w:pPr>
    </w:p>
    <w:p>
      <w:pPr>
        <w:pStyle w:val="ListParagraph"/>
        <w:numPr>
          <w:ilvl w:val="0"/>
          <w:numId w:val="91"/>
        </w:numPr>
        <w:tabs>
          <w:tab w:pos="2337" w:val="left" w:leader="none"/>
        </w:tabs>
        <w:spacing w:line="242" w:lineRule="auto" w:before="0" w:after="0"/>
        <w:ind w:left="2336" w:right="1142" w:hanging="238"/>
        <w:jc w:val="both"/>
        <w:rPr>
          <w:sz w:val="20"/>
        </w:rPr>
      </w:pPr>
      <w:r>
        <w:rPr>
          <w:sz w:val="20"/>
        </w:rPr>
        <w:t>Los Fondos que se integran en la presente Cuenta son los Fondos Carentes de Personalidad Jurídica cuya dotación se efectúa mayoritariamente desde los Presupuestos Generales de la CAC y que se encuentran integrados en el Art. 1, apartado sexto, de la Ley 6/2021, de 28 de diciembre, de Presupuestos Generales de la CAC para 2022.</w:t>
      </w:r>
    </w:p>
    <w:p>
      <w:pPr>
        <w:pStyle w:val="BodyText"/>
        <w:spacing w:before="4"/>
        <w:rPr>
          <w:sz w:val="16"/>
        </w:rPr>
      </w:pPr>
    </w:p>
    <w:p>
      <w:pPr>
        <w:pStyle w:val="ListParagraph"/>
        <w:numPr>
          <w:ilvl w:val="0"/>
          <w:numId w:val="91"/>
        </w:numPr>
        <w:tabs>
          <w:tab w:pos="2337" w:val="left" w:leader="none"/>
        </w:tabs>
        <w:spacing w:line="242" w:lineRule="auto" w:before="1" w:after="0"/>
        <w:ind w:left="2336" w:right="1144" w:hanging="238"/>
        <w:jc w:val="both"/>
        <w:rPr>
          <w:sz w:val="20"/>
        </w:rPr>
      </w:pPr>
      <w:r>
        <w:rPr>
          <w:sz w:val="20"/>
        </w:rPr>
        <w:t>Mediante Orden n.º 200/2021, de 11 de mayo, de la Consejería de Economía, Conocimiento y Empleo se acuerda la liquidación parcial: tanto del Fondo JEREMIE Canarias para promover la creación, apoyo y financiación de PYMES, micro PYMES y emprendedores, como del Fondo para Préstamos y Garantías para la Promoción de Proyectos Empresariales de Innovación; así como la liquidación total y extinción del Fondo de Préstamos de Investigación y Desarrollo asociados a la Red de Parque Tecnológicos de</w:t>
      </w:r>
      <w:r>
        <w:rPr>
          <w:spacing w:val="-2"/>
          <w:sz w:val="20"/>
        </w:rPr>
        <w:t> </w:t>
      </w:r>
      <w:r>
        <w:rPr>
          <w:sz w:val="20"/>
        </w:rPr>
        <w:t>Canarias.</w:t>
      </w:r>
    </w:p>
    <w:p>
      <w:pPr>
        <w:pStyle w:val="BodyText"/>
        <w:spacing w:before="1"/>
        <w:rPr>
          <w:sz w:val="16"/>
        </w:rPr>
      </w:pPr>
    </w:p>
    <w:p>
      <w:pPr>
        <w:pStyle w:val="ListParagraph"/>
        <w:numPr>
          <w:ilvl w:val="0"/>
          <w:numId w:val="91"/>
        </w:numPr>
        <w:tabs>
          <w:tab w:pos="2337" w:val="left" w:leader="none"/>
        </w:tabs>
        <w:spacing w:line="240" w:lineRule="auto" w:before="0" w:after="0"/>
        <w:ind w:left="2336" w:right="1145" w:hanging="238"/>
        <w:jc w:val="both"/>
        <w:rPr>
          <w:sz w:val="20"/>
        </w:rPr>
      </w:pPr>
      <w:r>
        <w:rPr>
          <w:sz w:val="20"/>
        </w:rPr>
        <w:t>En ese sentido, el Gobierno de Canarias, en sesión celebrada el día 25 de noviembre de 2021, acordó quedar enterado del informe relativo a la liquidación de los fondos carentes de personalidad jurídica enmarcados en el programa operativo FEDER</w:t>
      </w:r>
      <w:r>
        <w:rPr>
          <w:spacing w:val="2"/>
          <w:sz w:val="20"/>
        </w:rPr>
        <w:t> </w:t>
      </w:r>
      <w:r>
        <w:rPr>
          <w:sz w:val="20"/>
        </w:rPr>
        <w:t>2007</w:t>
      </w:r>
    </w:p>
    <w:p>
      <w:pPr>
        <w:pStyle w:val="BodyText"/>
        <w:spacing w:line="242" w:lineRule="auto" w:before="5"/>
        <w:ind w:left="2336" w:right="1145"/>
        <w:jc w:val="both"/>
      </w:pPr>
      <w:r>
        <w:rPr/>
        <w:t>-2013 emitido por la Consejera de Economía, Conocimiento y Empleo; y, así mismo, acordó que el destino de los recursos resultantes procedentes de la liquidación parcial del Fondo JEREMIE Canarias para promover la creación, apoyo y financiación de PYMES, micro PYMES y emprendedores y del Fondo para Préstamos y Garantías para la Promoción de Proyectos Empresariales de Innovación, así como de la liquidación total y extinción del Fondo de Préstamos de Investigación y Desarrollo asociados a la Red de Parque Tecnológicos de Canarias, sería el siguiente:</w:t>
      </w:r>
    </w:p>
    <w:p>
      <w:pPr>
        <w:pStyle w:val="BodyText"/>
        <w:spacing w:before="3"/>
        <w:rPr>
          <w:sz w:val="16"/>
        </w:rPr>
      </w:pPr>
    </w:p>
    <w:p>
      <w:pPr>
        <w:pStyle w:val="ListParagraph"/>
        <w:numPr>
          <w:ilvl w:val="1"/>
          <w:numId w:val="91"/>
        </w:numPr>
        <w:tabs>
          <w:tab w:pos="2704" w:val="left" w:leader="none"/>
        </w:tabs>
        <w:spacing w:line="242" w:lineRule="auto" w:before="0" w:after="0"/>
        <w:ind w:left="2703" w:right="1140" w:hanging="303"/>
        <w:jc w:val="both"/>
        <w:rPr>
          <w:sz w:val="20"/>
        </w:rPr>
      </w:pPr>
      <w:r>
        <w:rPr>
          <w:sz w:val="20"/>
        </w:rPr>
        <w:t>En cuanto a la devolución de los fondos aportados por el Estado en el marco del Convenio para el fortalecimiento y apoyo de la red de Parques Tecnológicos de Canarias alcanza un importe de 23,2 millones de € devueltos en diciembre de 2021. En julio de 2022 se inició por el Ministerio de Ciencia e Innovación procedimiento de reintegro de los intereses de demora por un importe de 5,2 millones de €, por los remanentes no aplicados. Todo lo anterior demuestra el incumplimiento de los objetivos establecidos con la instauración de los anteriores</w:t>
      </w:r>
      <w:r>
        <w:rPr>
          <w:spacing w:val="-1"/>
          <w:sz w:val="20"/>
        </w:rPr>
        <w:t> </w:t>
      </w:r>
      <w:r>
        <w:rPr>
          <w:sz w:val="20"/>
        </w:rPr>
        <w:t>fondos.</w:t>
      </w:r>
    </w:p>
    <w:p>
      <w:pPr>
        <w:pStyle w:val="ListParagraph"/>
        <w:numPr>
          <w:ilvl w:val="1"/>
          <w:numId w:val="91"/>
        </w:numPr>
        <w:tabs>
          <w:tab w:pos="2704" w:val="left" w:leader="none"/>
        </w:tabs>
        <w:spacing w:line="242" w:lineRule="auto" w:before="0" w:after="0"/>
        <w:ind w:left="2703" w:right="1144" w:hanging="303"/>
        <w:jc w:val="both"/>
        <w:rPr>
          <w:sz w:val="20"/>
        </w:rPr>
      </w:pPr>
      <w:r>
        <w:rPr>
          <w:sz w:val="20"/>
        </w:rPr>
        <w:t>El resto de la liquidación integrará el remanente de tesorería, que, en su caso, podrá dar cobertura a las modificaciones de crédito que procedan, siempre que no se ponga en riesgo el cumplimiento de los objetivos de estabilidad presupuestaria y regla de</w:t>
      </w:r>
      <w:r>
        <w:rPr>
          <w:spacing w:val="-1"/>
          <w:sz w:val="20"/>
        </w:rPr>
        <w:t> </w:t>
      </w:r>
      <w:r>
        <w:rPr>
          <w:sz w:val="20"/>
        </w:rPr>
        <w:t>gasto.</w:t>
      </w:r>
    </w:p>
    <w:p>
      <w:pPr>
        <w:pStyle w:val="BodyText"/>
      </w:pPr>
    </w:p>
    <w:p>
      <w:pPr>
        <w:pStyle w:val="BodyText"/>
        <w:spacing w:before="8"/>
        <w:rPr>
          <w:sz w:val="28"/>
        </w:rPr>
      </w:pPr>
    </w:p>
    <w:p>
      <w:pPr>
        <w:pStyle w:val="BodyText"/>
        <w:spacing w:before="61"/>
        <w:ind w:left="7787"/>
        <w:jc w:val="center"/>
      </w:pPr>
      <w:r>
        <w:rPr/>
        <w:t>139</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93" name="image5.png"/>
                  <wp:cNvGraphicFramePr>
                    <a:graphicFrameLocks noChangeAspect="1"/>
                  </wp:cNvGraphicFramePr>
                  <a:graphic>
                    <a:graphicData uri="http://schemas.openxmlformats.org/drawingml/2006/picture">
                      <pic:pic>
                        <pic:nvPicPr>
                          <pic:cNvPr id="29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141/247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92"/>
        </w:numPr>
        <w:tabs>
          <w:tab w:pos="2337" w:val="left" w:leader="none"/>
        </w:tabs>
        <w:spacing w:line="242" w:lineRule="auto" w:before="61" w:after="0"/>
        <w:ind w:left="2336" w:right="1144" w:hanging="238"/>
        <w:jc w:val="both"/>
        <w:rPr>
          <w:sz w:val="20"/>
        </w:rPr>
      </w:pPr>
      <w:r>
        <w:rPr>
          <w:sz w:val="20"/>
        </w:rPr>
        <w:t>En</w:t>
      </w:r>
      <w:r>
        <w:rPr>
          <w:spacing w:val="-3"/>
          <w:sz w:val="20"/>
        </w:rPr>
        <w:t> </w:t>
      </w:r>
      <w:r>
        <w:rPr>
          <w:sz w:val="20"/>
        </w:rPr>
        <w:t>particular,</w:t>
      </w:r>
      <w:r>
        <w:rPr>
          <w:spacing w:val="-4"/>
          <w:sz w:val="20"/>
        </w:rPr>
        <w:t> </w:t>
      </w:r>
      <w:r>
        <w:rPr>
          <w:sz w:val="20"/>
        </w:rPr>
        <w:t>en</w:t>
      </w:r>
      <w:r>
        <w:rPr>
          <w:spacing w:val="-3"/>
          <w:sz w:val="20"/>
        </w:rPr>
        <w:t> </w:t>
      </w:r>
      <w:r>
        <w:rPr>
          <w:sz w:val="20"/>
        </w:rPr>
        <w:t>el</w:t>
      </w:r>
      <w:r>
        <w:rPr>
          <w:spacing w:val="-3"/>
          <w:sz w:val="20"/>
        </w:rPr>
        <w:t> </w:t>
      </w:r>
      <w:r>
        <w:rPr>
          <w:sz w:val="20"/>
        </w:rPr>
        <w:t>caso</w:t>
      </w:r>
      <w:r>
        <w:rPr>
          <w:spacing w:val="-6"/>
          <w:sz w:val="20"/>
        </w:rPr>
        <w:t> </w:t>
      </w:r>
      <w:r>
        <w:rPr>
          <w:sz w:val="20"/>
        </w:rPr>
        <w:t>del</w:t>
      </w:r>
      <w:r>
        <w:rPr>
          <w:spacing w:val="-4"/>
          <w:sz w:val="20"/>
        </w:rPr>
        <w:t> </w:t>
      </w:r>
      <w:r>
        <w:rPr>
          <w:sz w:val="20"/>
        </w:rPr>
        <w:t>Fondo</w:t>
      </w:r>
      <w:r>
        <w:rPr>
          <w:spacing w:val="-3"/>
          <w:sz w:val="20"/>
        </w:rPr>
        <w:t> </w:t>
      </w:r>
      <w:r>
        <w:rPr>
          <w:sz w:val="20"/>
        </w:rPr>
        <w:t>de</w:t>
      </w:r>
      <w:r>
        <w:rPr>
          <w:spacing w:val="-4"/>
          <w:sz w:val="20"/>
        </w:rPr>
        <w:t> </w:t>
      </w:r>
      <w:r>
        <w:rPr>
          <w:sz w:val="20"/>
        </w:rPr>
        <w:t>préstamos</w:t>
      </w:r>
      <w:r>
        <w:rPr>
          <w:spacing w:val="-7"/>
          <w:sz w:val="20"/>
        </w:rPr>
        <w:t> </w:t>
      </w:r>
      <w:r>
        <w:rPr>
          <w:sz w:val="20"/>
        </w:rPr>
        <w:t>para</w:t>
      </w:r>
      <w:r>
        <w:rPr>
          <w:spacing w:val="-4"/>
          <w:sz w:val="20"/>
        </w:rPr>
        <w:t> </w:t>
      </w:r>
      <w:r>
        <w:rPr>
          <w:sz w:val="20"/>
        </w:rPr>
        <w:t>la</w:t>
      </w:r>
      <w:r>
        <w:rPr>
          <w:spacing w:val="-3"/>
          <w:sz w:val="20"/>
        </w:rPr>
        <w:t> </w:t>
      </w:r>
      <w:r>
        <w:rPr>
          <w:sz w:val="20"/>
        </w:rPr>
        <w:t>financiación</w:t>
      </w:r>
      <w:r>
        <w:rPr>
          <w:spacing w:val="-4"/>
          <w:sz w:val="20"/>
        </w:rPr>
        <w:t> </w:t>
      </w:r>
      <w:r>
        <w:rPr>
          <w:sz w:val="20"/>
        </w:rPr>
        <w:t>de</w:t>
      </w:r>
      <w:r>
        <w:rPr>
          <w:spacing w:val="-4"/>
          <w:sz w:val="20"/>
        </w:rPr>
        <w:t> </w:t>
      </w:r>
      <w:r>
        <w:rPr>
          <w:sz w:val="20"/>
        </w:rPr>
        <w:t>proyectos</w:t>
      </w:r>
      <w:r>
        <w:rPr>
          <w:spacing w:val="-4"/>
          <w:sz w:val="20"/>
        </w:rPr>
        <w:t> </w:t>
      </w:r>
      <w:r>
        <w:rPr>
          <w:sz w:val="20"/>
        </w:rPr>
        <w:t>de investigación y desarrollo asociados a la Red de Parques Tecnológicos de Canarias, para el que se acordó su liquidación total y extinción, el pasado 2 de diciembre de 2021 se registró la Orden nº 562, conjunta del Consejero de Hacienda, Presupuestos y Asuntos Europeos y de la Consejera de Economía, Conocimiento y Empleo, en la que se resuelve la aprobación del balance final, el informe sobre la propuesta de liquidación</w:t>
      </w:r>
      <w:r>
        <w:rPr>
          <w:spacing w:val="-2"/>
          <w:sz w:val="20"/>
        </w:rPr>
        <w:t> </w:t>
      </w:r>
      <w:r>
        <w:rPr>
          <w:sz w:val="20"/>
        </w:rPr>
        <w:t>y</w:t>
      </w:r>
      <w:r>
        <w:rPr>
          <w:spacing w:val="-6"/>
          <w:sz w:val="20"/>
        </w:rPr>
        <w:t> </w:t>
      </w:r>
      <w:r>
        <w:rPr>
          <w:sz w:val="20"/>
        </w:rPr>
        <w:t>la</w:t>
      </w:r>
      <w:r>
        <w:rPr>
          <w:spacing w:val="-5"/>
          <w:sz w:val="20"/>
        </w:rPr>
        <w:t> </w:t>
      </w:r>
      <w:r>
        <w:rPr>
          <w:sz w:val="20"/>
        </w:rPr>
        <w:t>propuesta</w:t>
      </w:r>
      <w:r>
        <w:rPr>
          <w:spacing w:val="-3"/>
          <w:sz w:val="20"/>
        </w:rPr>
        <w:t> </w:t>
      </w:r>
      <w:r>
        <w:rPr>
          <w:sz w:val="20"/>
        </w:rPr>
        <w:t>de</w:t>
      </w:r>
      <w:r>
        <w:rPr>
          <w:spacing w:val="-5"/>
          <w:sz w:val="20"/>
        </w:rPr>
        <w:t> </w:t>
      </w:r>
      <w:r>
        <w:rPr>
          <w:sz w:val="20"/>
        </w:rPr>
        <w:t>patrimonio</w:t>
      </w:r>
      <w:r>
        <w:rPr>
          <w:spacing w:val="-5"/>
          <w:sz w:val="20"/>
        </w:rPr>
        <w:t> </w:t>
      </w:r>
      <w:r>
        <w:rPr>
          <w:sz w:val="20"/>
        </w:rPr>
        <w:t>final</w:t>
      </w:r>
      <w:r>
        <w:rPr>
          <w:spacing w:val="-5"/>
          <w:sz w:val="20"/>
        </w:rPr>
        <w:t> </w:t>
      </w:r>
      <w:r>
        <w:rPr>
          <w:sz w:val="20"/>
        </w:rPr>
        <w:t>resultante</w:t>
      </w:r>
      <w:r>
        <w:rPr>
          <w:spacing w:val="-5"/>
          <w:sz w:val="20"/>
        </w:rPr>
        <w:t> </w:t>
      </w:r>
      <w:r>
        <w:rPr>
          <w:sz w:val="20"/>
        </w:rPr>
        <w:t>presentados</w:t>
      </w:r>
      <w:r>
        <w:rPr>
          <w:spacing w:val="-5"/>
          <w:sz w:val="20"/>
        </w:rPr>
        <w:t> </w:t>
      </w:r>
      <w:r>
        <w:rPr>
          <w:sz w:val="20"/>
        </w:rPr>
        <w:t>por</w:t>
      </w:r>
      <w:r>
        <w:rPr>
          <w:spacing w:val="-3"/>
          <w:sz w:val="20"/>
        </w:rPr>
        <w:t> </w:t>
      </w:r>
      <w:r>
        <w:rPr>
          <w:sz w:val="20"/>
        </w:rPr>
        <w:t>la</w:t>
      </w:r>
      <w:r>
        <w:rPr>
          <w:spacing w:val="-3"/>
          <w:sz w:val="20"/>
        </w:rPr>
        <w:t> </w:t>
      </w:r>
      <w:r>
        <w:rPr>
          <w:sz w:val="20"/>
        </w:rPr>
        <w:t>Sociedad para el Desarrollo Económico de Canarias, S.A. (SODECAN), actuando en calidad de entidad liquidadora, relativos a la liquidación total y extinción del citado</w:t>
      </w:r>
      <w:r>
        <w:rPr>
          <w:spacing w:val="13"/>
          <w:sz w:val="20"/>
        </w:rPr>
        <w:t> </w:t>
      </w:r>
      <w:r>
        <w:rPr>
          <w:sz w:val="20"/>
        </w:rPr>
        <w:t>Fondo.</w:t>
      </w:r>
    </w:p>
    <w:p>
      <w:pPr>
        <w:pStyle w:val="BodyText"/>
        <w:spacing w:before="2"/>
        <w:rPr>
          <w:sz w:val="16"/>
        </w:rPr>
      </w:pPr>
    </w:p>
    <w:p>
      <w:pPr>
        <w:pStyle w:val="BodyText"/>
        <w:ind w:left="2336" w:right="1141"/>
        <w:jc w:val="both"/>
      </w:pPr>
      <w:r>
        <w:rPr/>
        <w:t>Asimismo, el 9 de diciembre de 2021 se formalizó, mediante el correspondiente modelo 800 de ingresos no tributarios, el ingreso en la Tesorería General de la CAC de 11,7 millones de €, en concepto de liquidación total y extinción del citado Fondo de préstamos para la financiación de proyectos de investigación y desarrollo asociados a la Red de Parques Tecnológicos de Canarias, por lo que desde el cierre del ejercicio 2021 el citado Fondo ha quedado totalmente liquidado y extinguido.</w:t>
      </w:r>
    </w:p>
    <w:p>
      <w:pPr>
        <w:pStyle w:val="BodyText"/>
        <w:spacing w:before="4"/>
        <w:rPr>
          <w:sz w:val="17"/>
        </w:rPr>
      </w:pPr>
    </w:p>
    <w:p>
      <w:pPr>
        <w:pStyle w:val="BodyText"/>
        <w:ind w:left="2099" w:right="1146" w:firstLine="604"/>
        <w:jc w:val="both"/>
      </w:pPr>
      <w:r>
        <w:rPr/>
        <w:t>Durante 2021 SODECAN procedió a realizar el ingreso de la totalidad de la liquidación en la CAC según el siguiente detalle:</w:t>
      </w:r>
    </w:p>
    <w:p>
      <w:pPr>
        <w:pStyle w:val="BodyText"/>
        <w:spacing w:before="11"/>
        <w:rPr>
          <w:sz w:val="16"/>
        </w:rPr>
      </w:pPr>
    </w:p>
    <w:tbl>
      <w:tblPr>
        <w:tblW w:w="0" w:type="auto"/>
        <w:jc w:val="left"/>
        <w:tblInd w:w="3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6"/>
        <w:gridCol w:w="2128"/>
      </w:tblGrid>
      <w:tr>
        <w:trPr>
          <w:trHeight w:val="352" w:hRule="atLeast"/>
        </w:trPr>
        <w:tc>
          <w:tcPr>
            <w:tcW w:w="2096" w:type="dxa"/>
            <w:tcBorders>
              <w:top w:val="nil"/>
              <w:left w:val="nil"/>
            </w:tcBorders>
          </w:tcPr>
          <w:p>
            <w:pPr>
              <w:pStyle w:val="TableParagraph"/>
              <w:rPr>
                <w:rFonts w:ascii="Times New Roman"/>
                <w:sz w:val="16"/>
              </w:rPr>
            </w:pPr>
          </w:p>
        </w:tc>
        <w:tc>
          <w:tcPr>
            <w:tcW w:w="2128" w:type="dxa"/>
            <w:tcBorders>
              <w:bottom w:val="nil"/>
            </w:tcBorders>
            <w:shd w:val="clear" w:color="auto" w:fill="DEEAF6"/>
          </w:tcPr>
          <w:p>
            <w:pPr>
              <w:pStyle w:val="TableParagraph"/>
              <w:spacing w:before="86"/>
              <w:ind w:left="89"/>
              <w:rPr>
                <w:b/>
                <w:sz w:val="15"/>
              </w:rPr>
            </w:pPr>
            <w:r>
              <w:rPr>
                <w:b/>
                <w:sz w:val="15"/>
              </w:rPr>
              <w:t>Ingreso realizado en CAC</w:t>
            </w:r>
          </w:p>
        </w:tc>
      </w:tr>
      <w:tr>
        <w:trPr>
          <w:trHeight w:val="953" w:hRule="atLeast"/>
        </w:trPr>
        <w:tc>
          <w:tcPr>
            <w:tcW w:w="4224" w:type="dxa"/>
            <w:gridSpan w:val="2"/>
            <w:tcBorders>
              <w:top w:val="nil"/>
            </w:tcBorders>
          </w:tcPr>
          <w:p>
            <w:pPr>
              <w:pStyle w:val="TableParagraph"/>
              <w:tabs>
                <w:tab w:pos="2718" w:val="left" w:leader="none"/>
              </w:tabs>
              <w:spacing w:before="28"/>
              <w:ind w:left="90"/>
              <w:rPr>
                <w:sz w:val="15"/>
              </w:rPr>
            </w:pPr>
            <w:r>
              <w:rPr>
                <w:b/>
                <w:sz w:val="15"/>
              </w:rPr>
              <w:t>FONDO JEREMIE</w:t>
              <w:tab/>
            </w:r>
            <w:r>
              <w:rPr>
                <w:sz w:val="15"/>
              </w:rPr>
              <w:t>15.808.044,23</w:t>
            </w:r>
          </w:p>
          <w:p>
            <w:pPr>
              <w:pStyle w:val="TableParagraph"/>
              <w:tabs>
                <w:tab w:pos="2718" w:val="left" w:leader="none"/>
              </w:tabs>
              <w:spacing w:before="56"/>
              <w:ind w:left="90"/>
              <w:rPr>
                <w:sz w:val="15"/>
              </w:rPr>
            </w:pPr>
            <w:r>
              <w:rPr>
                <w:b/>
                <w:sz w:val="15"/>
              </w:rPr>
              <w:t>FONDO</w:t>
            </w:r>
            <w:r>
              <w:rPr>
                <w:b/>
                <w:spacing w:val="1"/>
                <w:sz w:val="15"/>
              </w:rPr>
              <w:t> </w:t>
            </w:r>
            <w:r>
              <w:rPr>
                <w:b/>
                <w:sz w:val="15"/>
              </w:rPr>
              <w:t>INNOVACION</w:t>
              <w:tab/>
            </w:r>
            <w:r>
              <w:rPr>
                <w:sz w:val="15"/>
              </w:rPr>
              <w:t>15.021.809,40</w:t>
            </w:r>
          </w:p>
          <w:p>
            <w:pPr>
              <w:pStyle w:val="TableParagraph"/>
              <w:tabs>
                <w:tab w:pos="2718" w:val="left" w:leader="none"/>
              </w:tabs>
              <w:spacing w:before="55"/>
              <w:ind w:left="90"/>
              <w:rPr>
                <w:sz w:val="15"/>
              </w:rPr>
            </w:pPr>
            <w:r>
              <w:rPr>
                <w:b/>
                <w:sz w:val="15"/>
              </w:rPr>
              <w:t>FONDO I+D</w:t>
              <w:tab/>
            </w:r>
            <w:r>
              <w:rPr>
                <w:sz w:val="15"/>
              </w:rPr>
              <w:t>11.735.354,98</w:t>
            </w:r>
          </w:p>
          <w:p>
            <w:pPr>
              <w:pStyle w:val="TableParagraph"/>
              <w:spacing w:before="55"/>
              <w:ind w:left="2716"/>
              <w:rPr>
                <w:b/>
                <w:sz w:val="15"/>
              </w:rPr>
            </w:pPr>
            <w:r>
              <w:rPr>
                <w:b/>
                <w:sz w:val="15"/>
              </w:rPr>
              <w:t>42.565.208,61</w:t>
            </w:r>
          </w:p>
        </w:tc>
      </w:tr>
    </w:tbl>
    <w:p>
      <w:pPr>
        <w:pStyle w:val="BodyText"/>
        <w:spacing w:before="7"/>
        <w:rPr>
          <w:sz w:val="16"/>
        </w:rPr>
      </w:pPr>
    </w:p>
    <w:p>
      <w:pPr>
        <w:pStyle w:val="BodyText"/>
        <w:ind w:left="2099" w:right="1141" w:firstLine="604"/>
        <w:jc w:val="both"/>
      </w:pPr>
      <w:r>
        <w:rPr/>
        <w:t>En cuanto a la devolución de los fondos aportados por el Estado en el marco del Convenio</w:t>
      </w:r>
      <w:r>
        <w:rPr>
          <w:spacing w:val="-8"/>
        </w:rPr>
        <w:t> </w:t>
      </w:r>
      <w:r>
        <w:rPr/>
        <w:t>para</w:t>
      </w:r>
      <w:r>
        <w:rPr>
          <w:spacing w:val="-7"/>
        </w:rPr>
        <w:t> </w:t>
      </w:r>
      <w:r>
        <w:rPr/>
        <w:t>el</w:t>
      </w:r>
      <w:r>
        <w:rPr>
          <w:spacing w:val="-7"/>
        </w:rPr>
        <w:t> </w:t>
      </w:r>
      <w:r>
        <w:rPr/>
        <w:t>fortalecimiento</w:t>
      </w:r>
      <w:r>
        <w:rPr>
          <w:spacing w:val="-5"/>
        </w:rPr>
        <w:t> </w:t>
      </w:r>
      <w:r>
        <w:rPr/>
        <w:t>y</w:t>
      </w:r>
      <w:r>
        <w:rPr>
          <w:spacing w:val="-8"/>
        </w:rPr>
        <w:t> </w:t>
      </w:r>
      <w:r>
        <w:rPr/>
        <w:t>apoyo</w:t>
      </w:r>
      <w:r>
        <w:rPr>
          <w:spacing w:val="-7"/>
        </w:rPr>
        <w:t> </w:t>
      </w:r>
      <w:r>
        <w:rPr/>
        <w:t>de</w:t>
      </w:r>
      <w:r>
        <w:rPr>
          <w:spacing w:val="-7"/>
        </w:rPr>
        <w:t> </w:t>
      </w:r>
      <w:r>
        <w:rPr/>
        <w:t>la</w:t>
      </w:r>
      <w:r>
        <w:rPr>
          <w:spacing w:val="-7"/>
        </w:rPr>
        <w:t> </w:t>
      </w:r>
      <w:r>
        <w:rPr/>
        <w:t>red</w:t>
      </w:r>
      <w:r>
        <w:rPr>
          <w:spacing w:val="-7"/>
        </w:rPr>
        <w:t> </w:t>
      </w:r>
      <w:r>
        <w:rPr/>
        <w:t>de</w:t>
      </w:r>
      <w:r>
        <w:rPr>
          <w:spacing w:val="-9"/>
        </w:rPr>
        <w:t> </w:t>
      </w:r>
      <w:r>
        <w:rPr/>
        <w:t>Parques</w:t>
      </w:r>
      <w:r>
        <w:rPr>
          <w:spacing w:val="-8"/>
        </w:rPr>
        <w:t> </w:t>
      </w:r>
      <w:r>
        <w:rPr/>
        <w:t>Tecnológicos</w:t>
      </w:r>
      <w:r>
        <w:rPr>
          <w:spacing w:val="-7"/>
        </w:rPr>
        <w:t> </w:t>
      </w:r>
      <w:r>
        <w:rPr/>
        <w:t>de</w:t>
      </w:r>
      <w:r>
        <w:rPr>
          <w:spacing w:val="-4"/>
        </w:rPr>
        <w:t> </w:t>
      </w:r>
      <w:r>
        <w:rPr/>
        <w:t>Canarias, la misma alcanza un importe de 23,2 millones de €, además del importe de los</w:t>
      </w:r>
      <w:r>
        <w:rPr>
          <w:spacing w:val="-28"/>
        </w:rPr>
        <w:t> </w:t>
      </w:r>
      <w:r>
        <w:rPr/>
        <w:t>intereses asociados</w:t>
      </w:r>
      <w:r>
        <w:rPr>
          <w:spacing w:val="-6"/>
        </w:rPr>
        <w:t> </w:t>
      </w:r>
      <w:r>
        <w:rPr/>
        <w:t>al</w:t>
      </w:r>
      <w:r>
        <w:rPr>
          <w:spacing w:val="-10"/>
        </w:rPr>
        <w:t> </w:t>
      </w:r>
      <w:r>
        <w:rPr/>
        <w:t>principal,</w:t>
      </w:r>
      <w:r>
        <w:rPr>
          <w:spacing w:val="-5"/>
        </w:rPr>
        <w:t> </w:t>
      </w:r>
      <w:r>
        <w:rPr/>
        <w:t>a</w:t>
      </w:r>
      <w:r>
        <w:rPr>
          <w:spacing w:val="-8"/>
        </w:rPr>
        <w:t> </w:t>
      </w:r>
      <w:r>
        <w:rPr/>
        <w:t>facilitar</w:t>
      </w:r>
      <w:r>
        <w:rPr>
          <w:spacing w:val="-8"/>
        </w:rPr>
        <w:t> </w:t>
      </w:r>
      <w:r>
        <w:rPr/>
        <w:t>por</w:t>
      </w:r>
      <w:r>
        <w:rPr>
          <w:spacing w:val="-7"/>
        </w:rPr>
        <w:t> </w:t>
      </w:r>
      <w:r>
        <w:rPr/>
        <w:t>el</w:t>
      </w:r>
      <w:r>
        <w:rPr>
          <w:spacing w:val="-8"/>
        </w:rPr>
        <w:t> </w:t>
      </w:r>
      <w:r>
        <w:rPr/>
        <w:t>Ministerio</w:t>
      </w:r>
      <w:r>
        <w:rPr>
          <w:spacing w:val="-8"/>
        </w:rPr>
        <w:t> </w:t>
      </w:r>
      <w:r>
        <w:rPr/>
        <w:t>de</w:t>
      </w:r>
      <w:r>
        <w:rPr>
          <w:spacing w:val="-5"/>
        </w:rPr>
        <w:t> </w:t>
      </w:r>
      <w:r>
        <w:rPr/>
        <w:t>Ciencia</w:t>
      </w:r>
      <w:r>
        <w:rPr>
          <w:spacing w:val="-6"/>
        </w:rPr>
        <w:t> </w:t>
      </w:r>
      <w:r>
        <w:rPr/>
        <w:t>e</w:t>
      </w:r>
      <w:r>
        <w:rPr>
          <w:spacing w:val="-8"/>
        </w:rPr>
        <w:t> </w:t>
      </w:r>
      <w:r>
        <w:rPr/>
        <w:t>Innovación.</w:t>
      </w:r>
      <w:r>
        <w:rPr>
          <w:spacing w:val="-8"/>
        </w:rPr>
        <w:t> </w:t>
      </w:r>
      <w:r>
        <w:rPr/>
        <w:t>No</w:t>
      </w:r>
      <w:r>
        <w:rPr>
          <w:spacing w:val="-6"/>
        </w:rPr>
        <w:t> </w:t>
      </w:r>
      <w:r>
        <w:rPr/>
        <w:t>consta</w:t>
      </w:r>
      <w:r>
        <w:rPr>
          <w:spacing w:val="-8"/>
        </w:rPr>
        <w:t> </w:t>
      </w:r>
      <w:r>
        <w:rPr/>
        <w:t>que se haya procedido por la CAC a la devolución al Estado de dicho importe más los intereses. Todo lo anterior demuestra el incumplimiento de los objetivos establecidos con la instauración de los anteriores</w:t>
      </w:r>
      <w:r>
        <w:rPr>
          <w:spacing w:val="4"/>
        </w:rPr>
        <w:t> </w:t>
      </w:r>
      <w:r>
        <w:rPr/>
        <w:t>fondos.</w:t>
      </w:r>
    </w:p>
    <w:p>
      <w:pPr>
        <w:pStyle w:val="BodyText"/>
        <w:spacing w:before="7"/>
        <w:rPr>
          <w:sz w:val="17"/>
        </w:rPr>
      </w:pPr>
    </w:p>
    <w:tbl>
      <w:tblPr>
        <w:tblW w:w="0" w:type="auto"/>
        <w:jc w:val="left"/>
        <w:tblInd w:w="3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6"/>
        <w:gridCol w:w="1951"/>
      </w:tblGrid>
      <w:tr>
        <w:trPr>
          <w:trHeight w:val="484" w:hRule="atLeast"/>
        </w:trPr>
        <w:tc>
          <w:tcPr>
            <w:tcW w:w="2096" w:type="dxa"/>
            <w:tcBorders>
              <w:top w:val="nil"/>
              <w:left w:val="nil"/>
            </w:tcBorders>
          </w:tcPr>
          <w:p>
            <w:pPr>
              <w:pStyle w:val="TableParagraph"/>
              <w:rPr>
                <w:rFonts w:ascii="Times New Roman"/>
                <w:sz w:val="16"/>
              </w:rPr>
            </w:pPr>
          </w:p>
        </w:tc>
        <w:tc>
          <w:tcPr>
            <w:tcW w:w="1951" w:type="dxa"/>
            <w:tcBorders>
              <w:bottom w:val="nil"/>
            </w:tcBorders>
            <w:shd w:val="clear" w:color="auto" w:fill="DEEAF6"/>
          </w:tcPr>
          <w:p>
            <w:pPr>
              <w:pStyle w:val="TableParagraph"/>
              <w:spacing w:before="60"/>
              <w:ind w:left="258" w:right="245"/>
              <w:rPr>
                <w:b/>
                <w:sz w:val="15"/>
              </w:rPr>
            </w:pPr>
            <w:r>
              <w:rPr>
                <w:b/>
                <w:sz w:val="15"/>
              </w:rPr>
              <w:t>Importe a reintegrar al Estado por el convenio</w:t>
            </w:r>
          </w:p>
        </w:tc>
      </w:tr>
      <w:tr>
        <w:trPr>
          <w:trHeight w:val="953" w:hRule="atLeast"/>
        </w:trPr>
        <w:tc>
          <w:tcPr>
            <w:tcW w:w="4047" w:type="dxa"/>
            <w:gridSpan w:val="2"/>
            <w:tcBorders>
              <w:top w:val="nil"/>
            </w:tcBorders>
          </w:tcPr>
          <w:p>
            <w:pPr>
              <w:pStyle w:val="TableParagraph"/>
              <w:tabs>
                <w:tab w:pos="3150" w:val="left" w:leader="none"/>
              </w:tabs>
              <w:spacing w:before="27"/>
              <w:ind w:left="89"/>
              <w:rPr>
                <w:sz w:val="15"/>
              </w:rPr>
            </w:pPr>
            <w:r>
              <w:rPr>
                <w:b/>
                <w:sz w:val="15"/>
              </w:rPr>
              <w:t>FONDO JEREMIE</w:t>
              <w:tab/>
            </w:r>
            <w:r>
              <w:rPr>
                <w:sz w:val="15"/>
              </w:rPr>
              <w:t>6.412.038,34</w:t>
            </w:r>
          </w:p>
          <w:p>
            <w:pPr>
              <w:pStyle w:val="TableParagraph"/>
              <w:tabs>
                <w:tab w:pos="3074" w:val="left" w:leader="none"/>
              </w:tabs>
              <w:spacing w:before="57"/>
              <w:ind w:left="89"/>
              <w:rPr>
                <w:sz w:val="15"/>
              </w:rPr>
            </w:pPr>
            <w:r>
              <w:rPr>
                <w:b/>
                <w:sz w:val="15"/>
              </w:rPr>
              <w:t>FONDO</w:t>
            </w:r>
            <w:r>
              <w:rPr>
                <w:b/>
                <w:spacing w:val="1"/>
                <w:sz w:val="15"/>
              </w:rPr>
              <w:t> </w:t>
            </w:r>
            <w:r>
              <w:rPr>
                <w:b/>
                <w:sz w:val="15"/>
              </w:rPr>
              <w:t>INNOVACION</w:t>
              <w:tab/>
            </w:r>
            <w:r>
              <w:rPr>
                <w:sz w:val="15"/>
              </w:rPr>
              <w:t>10.550.868,91</w:t>
            </w:r>
          </w:p>
          <w:p>
            <w:pPr>
              <w:pStyle w:val="TableParagraph"/>
              <w:tabs>
                <w:tab w:pos="3150" w:val="left" w:leader="none"/>
              </w:tabs>
              <w:spacing w:before="55"/>
              <w:ind w:left="89"/>
              <w:rPr>
                <w:sz w:val="15"/>
              </w:rPr>
            </w:pPr>
            <w:r>
              <w:rPr>
                <w:b/>
                <w:sz w:val="15"/>
              </w:rPr>
              <w:t>FONDO I+D</w:t>
              <w:tab/>
            </w:r>
            <w:r>
              <w:rPr>
                <w:sz w:val="15"/>
              </w:rPr>
              <w:t>6.195.872,53</w:t>
            </w:r>
          </w:p>
          <w:p>
            <w:pPr>
              <w:pStyle w:val="TableParagraph"/>
              <w:spacing w:before="54"/>
              <w:ind w:right="82"/>
              <w:jc w:val="right"/>
              <w:rPr>
                <w:b/>
                <w:sz w:val="15"/>
              </w:rPr>
            </w:pPr>
            <w:r>
              <w:rPr>
                <w:b/>
                <w:spacing w:val="-1"/>
                <w:sz w:val="15"/>
              </w:rPr>
              <w:t>23.158.779,78</w:t>
            </w:r>
          </w:p>
        </w:tc>
      </w:tr>
    </w:tbl>
    <w:p>
      <w:pPr>
        <w:pStyle w:val="BodyText"/>
        <w:spacing w:before="12"/>
        <w:rPr>
          <w:sz w:val="24"/>
        </w:rPr>
      </w:pPr>
    </w:p>
    <w:p>
      <w:pPr>
        <w:pStyle w:val="BodyText"/>
        <w:spacing w:before="60"/>
        <w:ind w:left="7787"/>
        <w:jc w:val="center"/>
      </w:pPr>
      <w:r>
        <w:rPr/>
        <w:t>140</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95" name="image5.png"/>
                  <wp:cNvGraphicFramePr>
                    <a:graphicFrameLocks noChangeAspect="1"/>
                  </wp:cNvGraphicFramePr>
                  <a:graphic>
                    <a:graphicData uri="http://schemas.openxmlformats.org/drawingml/2006/picture">
                      <pic:pic>
                        <pic:nvPicPr>
                          <pic:cNvPr id="29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142/247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099" w:right="1201" w:firstLine="604"/>
      </w:pPr>
      <w:r>
        <w:rPr/>
        <w:t>Por tanto, se han integrado en la presente Cuenta las cuentas anuales de los siguientes Fondos Carentes de Personalidad Jurídica:</w:t>
      </w:r>
    </w:p>
    <w:p>
      <w:pPr>
        <w:pStyle w:val="BodyText"/>
        <w:spacing w:before="10"/>
        <w:rPr>
          <w:sz w:val="16"/>
        </w:rPr>
      </w:pPr>
    </w:p>
    <w:p>
      <w:pPr>
        <w:pStyle w:val="ListParagraph"/>
        <w:numPr>
          <w:ilvl w:val="0"/>
          <w:numId w:val="93"/>
        </w:numPr>
        <w:tabs>
          <w:tab w:pos="2703" w:val="left" w:leader="none"/>
          <w:tab w:pos="2704" w:val="left" w:leader="none"/>
        </w:tabs>
        <w:spacing w:line="240" w:lineRule="auto" w:before="0" w:after="0"/>
        <w:ind w:left="2703" w:right="0" w:hanging="303"/>
        <w:jc w:val="left"/>
        <w:rPr>
          <w:sz w:val="20"/>
        </w:rPr>
      </w:pPr>
      <w:r>
        <w:rPr>
          <w:sz w:val="20"/>
        </w:rPr>
        <w:t>Fondo Canarias Financia</w:t>
      </w:r>
      <w:r>
        <w:rPr>
          <w:spacing w:val="-4"/>
          <w:sz w:val="20"/>
        </w:rPr>
        <w:t> </w:t>
      </w:r>
      <w:r>
        <w:rPr>
          <w:sz w:val="20"/>
        </w:rPr>
        <w:t>1.</w:t>
      </w:r>
    </w:p>
    <w:p>
      <w:pPr>
        <w:pStyle w:val="ListParagraph"/>
        <w:numPr>
          <w:ilvl w:val="0"/>
          <w:numId w:val="93"/>
        </w:numPr>
        <w:tabs>
          <w:tab w:pos="2703" w:val="left" w:leader="none"/>
          <w:tab w:pos="2704" w:val="left" w:leader="none"/>
        </w:tabs>
        <w:spacing w:line="240" w:lineRule="auto" w:before="4" w:after="0"/>
        <w:ind w:left="2703" w:right="0" w:hanging="303"/>
        <w:jc w:val="left"/>
        <w:rPr>
          <w:sz w:val="20"/>
        </w:rPr>
      </w:pPr>
      <w:r>
        <w:rPr>
          <w:sz w:val="20"/>
        </w:rPr>
        <w:t>Fondo JEREMIE</w:t>
      </w:r>
      <w:r>
        <w:rPr>
          <w:spacing w:val="-1"/>
          <w:sz w:val="20"/>
        </w:rPr>
        <w:t> </w:t>
      </w:r>
      <w:r>
        <w:rPr>
          <w:sz w:val="20"/>
        </w:rPr>
        <w:t>Canarias.</w:t>
      </w:r>
    </w:p>
    <w:p>
      <w:pPr>
        <w:pStyle w:val="ListParagraph"/>
        <w:numPr>
          <w:ilvl w:val="0"/>
          <w:numId w:val="93"/>
        </w:numPr>
        <w:tabs>
          <w:tab w:pos="2704" w:val="left" w:leader="none"/>
        </w:tabs>
        <w:spacing w:line="240" w:lineRule="auto" w:before="1" w:after="0"/>
        <w:ind w:left="2703" w:right="1147" w:hanging="303"/>
        <w:jc w:val="both"/>
        <w:rPr>
          <w:sz w:val="20"/>
        </w:rPr>
      </w:pPr>
      <w:r>
        <w:rPr>
          <w:sz w:val="20"/>
        </w:rPr>
        <w:t>Fondo de Préstamos y Garantías para la Promoción de Proyectos Empresariales de</w:t>
      </w:r>
      <w:r>
        <w:rPr>
          <w:spacing w:val="1"/>
          <w:sz w:val="20"/>
        </w:rPr>
        <w:t> </w:t>
      </w:r>
      <w:r>
        <w:rPr>
          <w:sz w:val="20"/>
        </w:rPr>
        <w:t>Innovación.</w:t>
      </w:r>
    </w:p>
    <w:p>
      <w:pPr>
        <w:pStyle w:val="BodyText"/>
        <w:spacing w:before="10"/>
        <w:rPr>
          <w:sz w:val="16"/>
        </w:rPr>
      </w:pPr>
    </w:p>
    <w:p>
      <w:pPr>
        <w:pStyle w:val="BodyText"/>
        <w:ind w:left="2703"/>
        <w:jc w:val="both"/>
      </w:pPr>
      <w:r>
        <w:rPr/>
        <w:t>Respecto a los mismos, señalar lo siguiente:</w:t>
      </w:r>
    </w:p>
    <w:p>
      <w:pPr>
        <w:pStyle w:val="BodyText"/>
        <w:spacing w:before="8"/>
        <w:rPr>
          <w:sz w:val="16"/>
        </w:rPr>
      </w:pPr>
    </w:p>
    <w:p>
      <w:pPr>
        <w:pStyle w:val="ListParagraph"/>
        <w:numPr>
          <w:ilvl w:val="1"/>
          <w:numId w:val="92"/>
        </w:numPr>
        <w:tabs>
          <w:tab w:pos="2694" w:val="left" w:leader="none"/>
        </w:tabs>
        <w:spacing w:line="242" w:lineRule="auto" w:before="0" w:after="0"/>
        <w:ind w:left="2693" w:right="1139" w:hanging="303"/>
        <w:jc w:val="both"/>
        <w:rPr>
          <w:sz w:val="20"/>
        </w:rPr>
      </w:pPr>
      <w:r>
        <w:rPr>
          <w:sz w:val="20"/>
        </w:rPr>
        <w:t>El Fondo Canarias Financia 1 se crea por Acuerdo de Gobierno de Canarias en sesión celebrada el 3 de diciembre de 2018, con una dotación inicial de 13,2 millones de €. No obstante, según se informa en la nota 1 de la memoria de sus cuentas anuales, el 23 de diciembre de 2019, SODECAN, como entidad gestora del Fondo, solicitó a la Consejería de Transición Ecológica, Lucha contra el Cambio Climático y Planificación Territorial la transferencia al Fondo de dos millones</w:t>
      </w:r>
      <w:r>
        <w:rPr>
          <w:spacing w:val="-7"/>
          <w:sz w:val="20"/>
        </w:rPr>
        <w:t> </w:t>
      </w:r>
      <w:r>
        <w:rPr>
          <w:sz w:val="20"/>
        </w:rPr>
        <w:t>de</w:t>
      </w:r>
      <w:r>
        <w:rPr>
          <w:spacing w:val="-7"/>
          <w:sz w:val="20"/>
        </w:rPr>
        <w:t> </w:t>
      </w:r>
      <w:r>
        <w:rPr>
          <w:sz w:val="20"/>
        </w:rPr>
        <w:t>€</w:t>
      </w:r>
      <w:r>
        <w:rPr>
          <w:spacing w:val="-7"/>
          <w:sz w:val="20"/>
        </w:rPr>
        <w:t> </w:t>
      </w:r>
      <w:r>
        <w:rPr>
          <w:sz w:val="20"/>
        </w:rPr>
        <w:t>que</w:t>
      </w:r>
      <w:r>
        <w:rPr>
          <w:spacing w:val="-7"/>
          <w:sz w:val="20"/>
        </w:rPr>
        <w:t> </w:t>
      </w:r>
      <w:r>
        <w:rPr>
          <w:sz w:val="20"/>
        </w:rPr>
        <w:t>constaban</w:t>
      </w:r>
      <w:r>
        <w:rPr>
          <w:spacing w:val="-6"/>
          <w:sz w:val="20"/>
        </w:rPr>
        <w:t> </w:t>
      </w:r>
      <w:r>
        <w:rPr>
          <w:sz w:val="20"/>
        </w:rPr>
        <w:t>para</w:t>
      </w:r>
      <w:r>
        <w:rPr>
          <w:spacing w:val="-7"/>
          <w:sz w:val="20"/>
        </w:rPr>
        <w:t> </w:t>
      </w:r>
      <w:r>
        <w:rPr>
          <w:sz w:val="20"/>
        </w:rPr>
        <w:t>tal</w:t>
      </w:r>
      <w:r>
        <w:rPr>
          <w:spacing w:val="-7"/>
          <w:sz w:val="20"/>
        </w:rPr>
        <w:t> </w:t>
      </w:r>
      <w:r>
        <w:rPr>
          <w:sz w:val="20"/>
        </w:rPr>
        <w:t>fin</w:t>
      </w:r>
      <w:r>
        <w:rPr>
          <w:spacing w:val="-6"/>
          <w:sz w:val="20"/>
        </w:rPr>
        <w:t> </w:t>
      </w:r>
      <w:r>
        <w:rPr>
          <w:sz w:val="20"/>
        </w:rPr>
        <w:t>en</w:t>
      </w:r>
      <w:r>
        <w:rPr>
          <w:spacing w:val="-5"/>
          <w:sz w:val="20"/>
        </w:rPr>
        <w:t> </w:t>
      </w:r>
      <w:r>
        <w:rPr>
          <w:sz w:val="20"/>
        </w:rPr>
        <w:t>los</w:t>
      </w:r>
      <w:r>
        <w:rPr>
          <w:spacing w:val="-7"/>
          <w:sz w:val="20"/>
        </w:rPr>
        <w:t> </w:t>
      </w:r>
      <w:r>
        <w:rPr>
          <w:sz w:val="20"/>
        </w:rPr>
        <w:t>presupuestos</w:t>
      </w:r>
      <w:r>
        <w:rPr>
          <w:spacing w:val="-7"/>
          <w:sz w:val="20"/>
        </w:rPr>
        <w:t> </w:t>
      </w:r>
      <w:r>
        <w:rPr>
          <w:sz w:val="20"/>
        </w:rPr>
        <w:t>de</w:t>
      </w:r>
      <w:r>
        <w:rPr>
          <w:spacing w:val="-7"/>
          <w:sz w:val="20"/>
        </w:rPr>
        <w:t> </w:t>
      </w:r>
      <w:r>
        <w:rPr>
          <w:sz w:val="20"/>
        </w:rPr>
        <w:t>dicha</w:t>
      </w:r>
      <w:r>
        <w:rPr>
          <w:spacing w:val="-6"/>
          <w:sz w:val="20"/>
        </w:rPr>
        <w:t> </w:t>
      </w:r>
      <w:r>
        <w:rPr>
          <w:sz w:val="20"/>
        </w:rPr>
        <w:t>Consejería. El 30 de diciembre de 2019 se autoriza dicha transferencia para el instrumento financiero del Eje 4, “Préstamo ordinario para Ahorro y eficiencia energética y energías</w:t>
      </w:r>
      <w:r>
        <w:rPr>
          <w:spacing w:val="-7"/>
          <w:sz w:val="20"/>
        </w:rPr>
        <w:t> </w:t>
      </w:r>
      <w:r>
        <w:rPr>
          <w:sz w:val="20"/>
        </w:rPr>
        <w:t>renovables”,</w:t>
      </w:r>
      <w:r>
        <w:rPr>
          <w:spacing w:val="-3"/>
          <w:sz w:val="20"/>
        </w:rPr>
        <w:t> </w:t>
      </w:r>
      <w:r>
        <w:rPr>
          <w:sz w:val="20"/>
        </w:rPr>
        <w:t>siendo</w:t>
      </w:r>
      <w:r>
        <w:rPr>
          <w:spacing w:val="-5"/>
          <w:sz w:val="20"/>
        </w:rPr>
        <w:t> </w:t>
      </w:r>
      <w:r>
        <w:rPr>
          <w:sz w:val="20"/>
        </w:rPr>
        <w:t>abonado</w:t>
      </w:r>
      <w:r>
        <w:rPr>
          <w:spacing w:val="-5"/>
          <w:sz w:val="20"/>
        </w:rPr>
        <w:t> </w:t>
      </w:r>
      <w:r>
        <w:rPr>
          <w:sz w:val="20"/>
        </w:rPr>
        <w:t>al</w:t>
      </w:r>
      <w:r>
        <w:rPr>
          <w:spacing w:val="-3"/>
          <w:sz w:val="20"/>
        </w:rPr>
        <w:t> </w:t>
      </w:r>
      <w:r>
        <w:rPr>
          <w:sz w:val="20"/>
        </w:rPr>
        <w:t>Fondo</w:t>
      </w:r>
      <w:r>
        <w:rPr>
          <w:spacing w:val="-4"/>
          <w:sz w:val="20"/>
        </w:rPr>
        <w:t> </w:t>
      </w:r>
      <w:r>
        <w:rPr>
          <w:sz w:val="20"/>
        </w:rPr>
        <w:t>el</w:t>
      </w:r>
      <w:r>
        <w:rPr>
          <w:spacing w:val="-5"/>
          <w:sz w:val="20"/>
        </w:rPr>
        <w:t> </w:t>
      </w:r>
      <w:r>
        <w:rPr>
          <w:sz w:val="20"/>
        </w:rPr>
        <w:t>8</w:t>
      </w:r>
      <w:r>
        <w:rPr>
          <w:spacing w:val="-3"/>
          <w:sz w:val="20"/>
        </w:rPr>
        <w:t> </w:t>
      </w:r>
      <w:r>
        <w:rPr>
          <w:sz w:val="20"/>
        </w:rPr>
        <w:t>de</w:t>
      </w:r>
      <w:r>
        <w:rPr>
          <w:spacing w:val="-5"/>
          <w:sz w:val="20"/>
        </w:rPr>
        <w:t> </w:t>
      </w:r>
      <w:r>
        <w:rPr>
          <w:sz w:val="20"/>
        </w:rPr>
        <w:t>enero</w:t>
      </w:r>
      <w:r>
        <w:rPr>
          <w:spacing w:val="-5"/>
          <w:sz w:val="20"/>
        </w:rPr>
        <w:t> </w:t>
      </w:r>
      <w:r>
        <w:rPr>
          <w:sz w:val="20"/>
        </w:rPr>
        <w:t>de</w:t>
      </w:r>
      <w:r>
        <w:rPr>
          <w:spacing w:val="-5"/>
          <w:sz w:val="20"/>
        </w:rPr>
        <w:t> </w:t>
      </w:r>
      <w:r>
        <w:rPr>
          <w:sz w:val="20"/>
        </w:rPr>
        <w:t>2020.</w:t>
      </w:r>
      <w:r>
        <w:rPr>
          <w:spacing w:val="-6"/>
          <w:sz w:val="20"/>
        </w:rPr>
        <w:t> </w:t>
      </w:r>
      <w:r>
        <w:rPr>
          <w:sz w:val="20"/>
        </w:rPr>
        <w:t>Por</w:t>
      </w:r>
      <w:r>
        <w:rPr>
          <w:spacing w:val="-5"/>
          <w:sz w:val="20"/>
        </w:rPr>
        <w:t> </w:t>
      </w:r>
      <w:r>
        <w:rPr>
          <w:sz w:val="20"/>
        </w:rPr>
        <w:t>tanto, la dotación al cierre del ejercicio 2022 asciende a 15,2 millones de</w:t>
      </w:r>
      <w:r>
        <w:rPr>
          <w:spacing w:val="10"/>
          <w:sz w:val="20"/>
        </w:rPr>
        <w:t> </w:t>
      </w:r>
      <w:r>
        <w:rPr>
          <w:sz w:val="20"/>
        </w:rPr>
        <w:t>€.</w:t>
      </w:r>
    </w:p>
    <w:p>
      <w:pPr>
        <w:pStyle w:val="BodyText"/>
        <w:rPr>
          <w:sz w:val="16"/>
        </w:rPr>
      </w:pPr>
    </w:p>
    <w:p>
      <w:pPr>
        <w:pStyle w:val="BodyText"/>
        <w:spacing w:before="1"/>
        <w:ind w:left="2693" w:right="1143"/>
        <w:jc w:val="both"/>
      </w:pPr>
      <w:r>
        <w:rPr/>
        <w:t>El Acuerdo de Financiación para la gestión del Fondo se suscribe el 26 de diciembre</w:t>
      </w:r>
      <w:r>
        <w:rPr>
          <w:spacing w:val="-10"/>
        </w:rPr>
        <w:t> </w:t>
      </w:r>
      <w:r>
        <w:rPr/>
        <w:t>de</w:t>
      </w:r>
      <w:r>
        <w:rPr>
          <w:spacing w:val="-9"/>
        </w:rPr>
        <w:t> </w:t>
      </w:r>
      <w:r>
        <w:rPr/>
        <w:t>2018,</w:t>
      </w:r>
      <w:r>
        <w:rPr>
          <w:spacing w:val="-7"/>
        </w:rPr>
        <w:t> </w:t>
      </w:r>
      <w:r>
        <w:rPr/>
        <w:t>y</w:t>
      </w:r>
      <w:r>
        <w:rPr>
          <w:spacing w:val="-8"/>
        </w:rPr>
        <w:t> </w:t>
      </w:r>
      <w:r>
        <w:rPr/>
        <w:t>en</w:t>
      </w:r>
      <w:r>
        <w:rPr>
          <w:spacing w:val="-9"/>
        </w:rPr>
        <w:t> </w:t>
      </w:r>
      <w:r>
        <w:rPr/>
        <w:t>el</w:t>
      </w:r>
      <w:r>
        <w:rPr>
          <w:spacing w:val="-7"/>
        </w:rPr>
        <w:t> </w:t>
      </w:r>
      <w:r>
        <w:rPr/>
        <w:t>mismo</w:t>
      </w:r>
      <w:r>
        <w:rPr>
          <w:spacing w:val="-7"/>
        </w:rPr>
        <w:t> </w:t>
      </w:r>
      <w:r>
        <w:rPr/>
        <w:t>se</w:t>
      </w:r>
      <w:r>
        <w:rPr>
          <w:spacing w:val="-9"/>
        </w:rPr>
        <w:t> </w:t>
      </w:r>
      <w:r>
        <w:rPr/>
        <w:t>indica</w:t>
      </w:r>
      <w:r>
        <w:rPr>
          <w:spacing w:val="-8"/>
        </w:rPr>
        <w:t> </w:t>
      </w:r>
      <w:r>
        <w:rPr/>
        <w:t>que</w:t>
      </w:r>
      <w:r>
        <w:rPr>
          <w:spacing w:val="-7"/>
        </w:rPr>
        <w:t> </w:t>
      </w:r>
      <w:r>
        <w:rPr/>
        <w:t>la</w:t>
      </w:r>
      <w:r>
        <w:rPr>
          <w:spacing w:val="-9"/>
        </w:rPr>
        <w:t> </w:t>
      </w:r>
      <w:r>
        <w:rPr/>
        <w:t>vigencia</w:t>
      </w:r>
      <w:r>
        <w:rPr>
          <w:spacing w:val="-7"/>
        </w:rPr>
        <w:t> </w:t>
      </w:r>
      <w:r>
        <w:rPr/>
        <w:t>del</w:t>
      </w:r>
      <w:r>
        <w:rPr>
          <w:spacing w:val="-9"/>
        </w:rPr>
        <w:t> </w:t>
      </w:r>
      <w:r>
        <w:rPr/>
        <w:t>Acuerdo</w:t>
      </w:r>
      <w:r>
        <w:rPr>
          <w:spacing w:val="-7"/>
        </w:rPr>
        <w:t> </w:t>
      </w:r>
      <w:r>
        <w:rPr/>
        <w:t>será</w:t>
      </w:r>
      <w:r>
        <w:rPr>
          <w:spacing w:val="-9"/>
        </w:rPr>
        <w:t> </w:t>
      </w:r>
      <w:r>
        <w:rPr/>
        <w:t>hasta el</w:t>
      </w:r>
      <w:r>
        <w:rPr>
          <w:spacing w:val="-6"/>
        </w:rPr>
        <w:t> </w:t>
      </w:r>
      <w:r>
        <w:rPr/>
        <w:t>31</w:t>
      </w:r>
      <w:r>
        <w:rPr>
          <w:spacing w:val="-6"/>
        </w:rPr>
        <w:t> </w:t>
      </w:r>
      <w:r>
        <w:rPr/>
        <w:t>de</w:t>
      </w:r>
      <w:r>
        <w:rPr>
          <w:spacing w:val="-7"/>
        </w:rPr>
        <w:t> </w:t>
      </w:r>
      <w:r>
        <w:rPr/>
        <w:t>diciembre</w:t>
      </w:r>
      <w:r>
        <w:rPr>
          <w:spacing w:val="-7"/>
        </w:rPr>
        <w:t> </w:t>
      </w:r>
      <w:r>
        <w:rPr/>
        <w:t>de</w:t>
      </w:r>
      <w:r>
        <w:rPr>
          <w:spacing w:val="-7"/>
        </w:rPr>
        <w:t> </w:t>
      </w:r>
      <w:r>
        <w:rPr/>
        <w:t>2023</w:t>
      </w:r>
      <w:r>
        <w:rPr>
          <w:spacing w:val="-5"/>
        </w:rPr>
        <w:t> </w:t>
      </w:r>
      <w:r>
        <w:rPr/>
        <w:t>y</w:t>
      </w:r>
      <w:r>
        <w:rPr>
          <w:spacing w:val="-6"/>
        </w:rPr>
        <w:t> </w:t>
      </w:r>
      <w:r>
        <w:rPr/>
        <w:t>que</w:t>
      </w:r>
      <w:r>
        <w:rPr>
          <w:spacing w:val="-7"/>
        </w:rPr>
        <w:t> </w:t>
      </w:r>
      <w:r>
        <w:rPr/>
        <w:t>en</w:t>
      </w:r>
      <w:r>
        <w:rPr>
          <w:spacing w:val="-4"/>
        </w:rPr>
        <w:t> </w:t>
      </w:r>
      <w:r>
        <w:rPr/>
        <w:t>caso</w:t>
      </w:r>
      <w:r>
        <w:rPr>
          <w:spacing w:val="-7"/>
        </w:rPr>
        <w:t> </w:t>
      </w:r>
      <w:r>
        <w:rPr/>
        <w:t>de</w:t>
      </w:r>
      <w:r>
        <w:rPr>
          <w:spacing w:val="-8"/>
        </w:rPr>
        <w:t> </w:t>
      </w:r>
      <w:r>
        <w:rPr/>
        <w:t>no</w:t>
      </w:r>
      <w:r>
        <w:rPr>
          <w:spacing w:val="-7"/>
        </w:rPr>
        <w:t> </w:t>
      </w:r>
      <w:r>
        <w:rPr/>
        <w:t>considerarse</w:t>
      </w:r>
      <w:r>
        <w:rPr>
          <w:spacing w:val="-5"/>
        </w:rPr>
        <w:t> </w:t>
      </w:r>
      <w:r>
        <w:rPr/>
        <w:t>necesario</w:t>
      </w:r>
      <w:r>
        <w:rPr>
          <w:spacing w:val="-7"/>
        </w:rPr>
        <w:t> </w:t>
      </w:r>
      <w:r>
        <w:rPr/>
        <w:t>prorrogar la vigencia del Acuerdo, éste se mantendrá vigente a los únicos efectos de cancelación de las operaciones</w:t>
      </w:r>
      <w:r>
        <w:rPr>
          <w:spacing w:val="1"/>
        </w:rPr>
        <w:t> </w:t>
      </w:r>
      <w:r>
        <w:rPr/>
        <w:t>vivas.</w:t>
      </w:r>
    </w:p>
    <w:p>
      <w:pPr>
        <w:pStyle w:val="BodyText"/>
        <w:spacing w:before="2"/>
        <w:rPr>
          <w:sz w:val="17"/>
        </w:rPr>
      </w:pPr>
    </w:p>
    <w:p>
      <w:pPr>
        <w:pStyle w:val="BodyText"/>
        <w:ind w:left="2693" w:right="1142"/>
        <w:jc w:val="both"/>
      </w:pPr>
      <w:r>
        <w:rPr/>
        <w:t>La finalidad de este Fondo es dotar de recursos a los diferentes instrumentos financieros previstos en el programa operativo FEDER Canarias 2014 -2020, con el objetivo de facilitar el acceso a la financiación de las empresas canarias para lograr la expansión de la actividad productiva de la región y mejorar la competitividad de las PYMES.</w:t>
      </w:r>
    </w:p>
    <w:p>
      <w:pPr>
        <w:pStyle w:val="BodyText"/>
        <w:spacing w:before="2"/>
        <w:rPr>
          <w:sz w:val="17"/>
        </w:rPr>
      </w:pPr>
    </w:p>
    <w:p>
      <w:pPr>
        <w:pStyle w:val="BodyText"/>
        <w:spacing w:line="242" w:lineRule="auto"/>
        <w:ind w:left="2693" w:right="1143"/>
        <w:jc w:val="both"/>
      </w:pPr>
      <w:r>
        <w:rPr/>
        <w:t>En la memoria del ejercicio 2022 se establece con respecto al Instrumento de Préstamo Ordinario para I+D empresarial que se ha llegado a la conclusión de que hay que plantear cambios en dicho instrumento, los cuales “a la vista del alcance de los cambios planteados en ambas propuestas, el tiempo necesario para poder poner en marcha el nuevo instrumento y el plazo efectivo disponible para mantener abierta la convocatoria antes del cierre del Programa Operativo, la entidad gestora considera que no se podrá sacar el instrumento a tiempo con las modificaciones necesarias para que sea un instrumento eficaz”, por ello</w:t>
      </w:r>
      <w:r>
        <w:rPr>
          <w:spacing w:val="-22"/>
        </w:rPr>
        <w:t> </w:t>
      </w:r>
      <w:r>
        <w:rPr/>
        <w:t>“Con</w:t>
      </w:r>
    </w:p>
    <w:p>
      <w:pPr>
        <w:pStyle w:val="BodyText"/>
        <w:spacing w:before="9"/>
        <w:ind w:right="1140"/>
        <w:jc w:val="right"/>
      </w:pPr>
      <w:r>
        <w:rPr/>
        <w:t>141</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97" name="image5.png"/>
                  <wp:cNvGraphicFramePr>
                    <a:graphicFrameLocks noChangeAspect="1"/>
                  </wp:cNvGraphicFramePr>
                  <a:graphic>
                    <a:graphicData uri="http://schemas.openxmlformats.org/drawingml/2006/picture">
                      <pic:pic>
                        <pic:nvPicPr>
                          <pic:cNvPr id="29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143/247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693" w:right="1146"/>
        <w:jc w:val="both"/>
      </w:pPr>
      <w:r>
        <w:rPr/>
        <w:t>fecha de 26 de enero de 2022, se aprueba por el Comité Ejecutivo del Fondo el traspaso</w:t>
      </w:r>
      <w:r>
        <w:rPr>
          <w:spacing w:val="-6"/>
        </w:rPr>
        <w:t> </w:t>
      </w:r>
      <w:r>
        <w:rPr/>
        <w:t>de</w:t>
      </w:r>
      <w:r>
        <w:rPr>
          <w:spacing w:val="-6"/>
        </w:rPr>
        <w:t> </w:t>
      </w:r>
      <w:r>
        <w:rPr/>
        <w:t>fondos</w:t>
      </w:r>
      <w:r>
        <w:rPr>
          <w:spacing w:val="-3"/>
        </w:rPr>
        <w:t> </w:t>
      </w:r>
      <w:r>
        <w:rPr/>
        <w:t>aportados</w:t>
      </w:r>
      <w:r>
        <w:rPr>
          <w:spacing w:val="-3"/>
        </w:rPr>
        <w:t> </w:t>
      </w:r>
      <w:r>
        <w:rPr/>
        <w:t>entre</w:t>
      </w:r>
      <w:r>
        <w:rPr>
          <w:spacing w:val="-4"/>
        </w:rPr>
        <w:t> </w:t>
      </w:r>
      <w:r>
        <w:rPr/>
        <w:t>Instrumentos</w:t>
      </w:r>
      <w:r>
        <w:rPr>
          <w:spacing w:val="-5"/>
        </w:rPr>
        <w:t> </w:t>
      </w:r>
      <w:r>
        <w:rPr/>
        <w:t>Financieros</w:t>
      </w:r>
      <w:r>
        <w:rPr>
          <w:spacing w:val="-4"/>
        </w:rPr>
        <w:t> </w:t>
      </w:r>
      <w:r>
        <w:rPr/>
        <w:t>del</w:t>
      </w:r>
      <w:r>
        <w:rPr>
          <w:spacing w:val="-5"/>
        </w:rPr>
        <w:t> </w:t>
      </w:r>
      <w:r>
        <w:rPr/>
        <w:t>Eje1</w:t>
      </w:r>
      <w:r>
        <w:rPr>
          <w:spacing w:val="-4"/>
        </w:rPr>
        <w:t> </w:t>
      </w:r>
      <w:r>
        <w:rPr/>
        <w:t>Programa Operativo FEDER Canarias</w:t>
      </w:r>
      <w:r>
        <w:rPr>
          <w:spacing w:val="-1"/>
        </w:rPr>
        <w:t> </w:t>
      </w:r>
      <w:r>
        <w:rPr/>
        <w:t>14-20:</w:t>
      </w:r>
    </w:p>
    <w:p>
      <w:pPr>
        <w:spacing w:before="130" w:after="6"/>
        <w:ind w:left="0" w:right="1175" w:firstLine="0"/>
        <w:jc w:val="right"/>
        <w:rPr>
          <w:b/>
          <w:sz w:val="13"/>
        </w:rPr>
      </w:pPr>
      <w:r>
        <w:rPr>
          <w:b/>
          <w:sz w:val="13"/>
        </w:rPr>
        <w:t>Euros</w:t>
      </w:r>
    </w:p>
    <w:tbl>
      <w:tblPr>
        <w:tblW w:w="0" w:type="auto"/>
        <w:jc w:val="left"/>
        <w:tblInd w:w="2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35"/>
        <w:gridCol w:w="1045"/>
        <w:gridCol w:w="1003"/>
        <w:gridCol w:w="988"/>
      </w:tblGrid>
      <w:tr>
        <w:trPr>
          <w:trHeight w:val="367" w:hRule="atLeast"/>
        </w:trPr>
        <w:tc>
          <w:tcPr>
            <w:tcW w:w="3535" w:type="dxa"/>
            <w:tcBorders>
              <w:top w:val="single" w:sz="4" w:space="0" w:color="000000"/>
            </w:tcBorders>
            <w:shd w:val="clear" w:color="auto" w:fill="DEEAF6"/>
          </w:tcPr>
          <w:p>
            <w:pPr>
              <w:pStyle w:val="TableParagraph"/>
              <w:spacing w:before="94"/>
              <w:ind w:left="834"/>
              <w:rPr>
                <w:b/>
                <w:sz w:val="15"/>
              </w:rPr>
            </w:pPr>
            <w:r>
              <w:rPr>
                <w:b/>
                <w:color w:val="282828"/>
                <w:sz w:val="15"/>
              </w:rPr>
              <w:t>EjePO Instrumento Financiero</w:t>
            </w:r>
          </w:p>
        </w:tc>
        <w:tc>
          <w:tcPr>
            <w:tcW w:w="1045" w:type="dxa"/>
            <w:tcBorders>
              <w:top w:val="single" w:sz="4" w:space="0" w:color="000000"/>
            </w:tcBorders>
            <w:shd w:val="clear" w:color="auto" w:fill="DEEAF6"/>
          </w:tcPr>
          <w:p>
            <w:pPr>
              <w:pStyle w:val="TableParagraph"/>
              <w:spacing w:line="180" w:lineRule="atLeast" w:before="1"/>
              <w:ind w:left="143" w:right="112" w:hanging="31"/>
              <w:rPr>
                <w:b/>
                <w:sz w:val="15"/>
              </w:rPr>
            </w:pPr>
            <w:r>
              <w:rPr>
                <w:b/>
                <w:color w:val="282828"/>
                <w:sz w:val="15"/>
              </w:rPr>
              <w:t>Aportación a 31/12/2021</w:t>
            </w:r>
          </w:p>
        </w:tc>
        <w:tc>
          <w:tcPr>
            <w:tcW w:w="1003" w:type="dxa"/>
            <w:tcBorders>
              <w:top w:val="single" w:sz="4" w:space="0" w:color="000000"/>
            </w:tcBorders>
            <w:shd w:val="clear" w:color="auto" w:fill="DEEAF6"/>
          </w:tcPr>
          <w:p>
            <w:pPr>
              <w:pStyle w:val="TableParagraph"/>
              <w:spacing w:line="180" w:lineRule="atLeast" w:before="1"/>
              <w:ind w:left="83" w:right="104" w:hanging="15"/>
              <w:rPr>
                <w:b/>
                <w:sz w:val="15"/>
              </w:rPr>
            </w:pPr>
            <w:r>
              <w:rPr>
                <w:b/>
                <w:color w:val="282828"/>
                <w:sz w:val="15"/>
              </w:rPr>
              <w:t>Modificación </w:t>
            </w:r>
            <w:r>
              <w:rPr>
                <w:b/>
                <w:color w:val="282828"/>
                <w:sz w:val="15"/>
                <w:u w:val="single" w:color="282828"/>
              </w:rPr>
              <w:t>aprobada </w:t>
            </w:r>
            <w:r>
              <w:rPr>
                <w:b/>
                <w:color w:val="282828"/>
                <w:sz w:val="15"/>
              </w:rPr>
              <w:t>CE</w:t>
            </w:r>
          </w:p>
        </w:tc>
        <w:tc>
          <w:tcPr>
            <w:tcW w:w="988" w:type="dxa"/>
            <w:tcBorders>
              <w:top w:val="single" w:sz="4" w:space="0" w:color="000000"/>
            </w:tcBorders>
            <w:shd w:val="clear" w:color="auto" w:fill="DEEAF6"/>
          </w:tcPr>
          <w:p>
            <w:pPr>
              <w:pStyle w:val="TableParagraph"/>
              <w:spacing w:before="94"/>
              <w:ind w:left="130"/>
              <w:rPr>
                <w:b/>
                <w:sz w:val="15"/>
              </w:rPr>
            </w:pPr>
            <w:r>
              <w:rPr>
                <w:b/>
                <w:color w:val="282828"/>
                <w:sz w:val="15"/>
              </w:rPr>
              <w:t>Diferencias</w:t>
            </w:r>
          </w:p>
        </w:tc>
      </w:tr>
      <w:tr>
        <w:trPr>
          <w:trHeight w:val="198" w:hRule="atLeast"/>
        </w:trPr>
        <w:tc>
          <w:tcPr>
            <w:tcW w:w="3535" w:type="dxa"/>
          </w:tcPr>
          <w:p>
            <w:pPr>
              <w:pStyle w:val="TableParagraph"/>
              <w:spacing w:line="177" w:lineRule="exact" w:before="2"/>
              <w:ind w:left="58"/>
              <w:rPr>
                <w:sz w:val="15"/>
              </w:rPr>
            </w:pPr>
            <w:r>
              <w:rPr>
                <w:color w:val="282828"/>
                <w:sz w:val="15"/>
              </w:rPr>
              <w:t>Eje 1 Préstamo ordinario para Innovación de PYMES</w:t>
            </w:r>
          </w:p>
        </w:tc>
        <w:tc>
          <w:tcPr>
            <w:tcW w:w="1045" w:type="dxa"/>
          </w:tcPr>
          <w:p>
            <w:pPr>
              <w:pStyle w:val="TableParagraph"/>
              <w:spacing w:line="177" w:lineRule="exact" w:before="2"/>
              <w:ind w:right="81"/>
              <w:jc w:val="right"/>
              <w:rPr>
                <w:sz w:val="15"/>
              </w:rPr>
            </w:pPr>
            <w:r>
              <w:rPr>
                <w:color w:val="282828"/>
                <w:sz w:val="15"/>
              </w:rPr>
              <w:t>2.656.250,00</w:t>
            </w:r>
          </w:p>
        </w:tc>
        <w:tc>
          <w:tcPr>
            <w:tcW w:w="1003" w:type="dxa"/>
          </w:tcPr>
          <w:p>
            <w:pPr>
              <w:pStyle w:val="TableParagraph"/>
              <w:spacing w:line="177" w:lineRule="exact" w:before="2"/>
              <w:ind w:right="76"/>
              <w:jc w:val="right"/>
              <w:rPr>
                <w:sz w:val="15"/>
              </w:rPr>
            </w:pPr>
            <w:r>
              <w:rPr>
                <w:color w:val="282828"/>
                <w:sz w:val="15"/>
              </w:rPr>
              <w:t>4.540.899,61</w:t>
            </w:r>
          </w:p>
        </w:tc>
        <w:tc>
          <w:tcPr>
            <w:tcW w:w="988" w:type="dxa"/>
          </w:tcPr>
          <w:p>
            <w:pPr>
              <w:pStyle w:val="TableParagraph"/>
              <w:spacing w:line="177" w:lineRule="exact" w:before="2"/>
              <w:ind w:left="124"/>
              <w:rPr>
                <w:sz w:val="15"/>
              </w:rPr>
            </w:pPr>
            <w:r>
              <w:rPr>
                <w:color w:val="282828"/>
                <w:sz w:val="15"/>
              </w:rPr>
              <w:t>1.884.649,61</w:t>
            </w:r>
          </w:p>
        </w:tc>
      </w:tr>
      <w:tr>
        <w:trPr>
          <w:trHeight w:val="167" w:hRule="atLeast"/>
        </w:trPr>
        <w:tc>
          <w:tcPr>
            <w:tcW w:w="3535" w:type="dxa"/>
          </w:tcPr>
          <w:p>
            <w:pPr>
              <w:pStyle w:val="TableParagraph"/>
              <w:spacing w:line="147" w:lineRule="exact"/>
              <w:ind w:left="58"/>
              <w:rPr>
                <w:sz w:val="15"/>
              </w:rPr>
            </w:pPr>
            <w:r>
              <w:rPr>
                <w:color w:val="282828"/>
                <w:sz w:val="15"/>
              </w:rPr>
              <w:t>Eje 1 Préstamo ordinario para l+D empresarial</w:t>
            </w:r>
          </w:p>
        </w:tc>
        <w:tc>
          <w:tcPr>
            <w:tcW w:w="1045" w:type="dxa"/>
          </w:tcPr>
          <w:p>
            <w:pPr>
              <w:pStyle w:val="TableParagraph"/>
              <w:spacing w:line="147" w:lineRule="exact"/>
              <w:ind w:right="81"/>
              <w:jc w:val="right"/>
              <w:rPr>
                <w:sz w:val="15"/>
              </w:rPr>
            </w:pPr>
            <w:r>
              <w:rPr>
                <w:color w:val="282828"/>
                <w:sz w:val="15"/>
              </w:rPr>
              <w:t>4.933.637,72</w:t>
            </w:r>
          </w:p>
        </w:tc>
        <w:tc>
          <w:tcPr>
            <w:tcW w:w="1003" w:type="dxa"/>
          </w:tcPr>
          <w:p>
            <w:pPr>
              <w:pStyle w:val="TableParagraph"/>
              <w:spacing w:line="147" w:lineRule="exact"/>
              <w:ind w:right="77"/>
              <w:jc w:val="right"/>
              <w:rPr>
                <w:sz w:val="15"/>
              </w:rPr>
            </w:pPr>
            <w:r>
              <w:rPr>
                <w:color w:val="282828"/>
                <w:sz w:val="15"/>
              </w:rPr>
              <w:t>222.013,70</w:t>
            </w:r>
          </w:p>
        </w:tc>
        <w:tc>
          <w:tcPr>
            <w:tcW w:w="988" w:type="dxa"/>
          </w:tcPr>
          <w:p>
            <w:pPr>
              <w:pStyle w:val="TableParagraph"/>
              <w:spacing w:line="147" w:lineRule="exact"/>
              <w:ind w:left="78"/>
              <w:rPr>
                <w:sz w:val="15"/>
              </w:rPr>
            </w:pPr>
            <w:r>
              <w:rPr>
                <w:color w:val="282828"/>
                <w:sz w:val="15"/>
              </w:rPr>
              <w:t>-4.711.624,02</w:t>
            </w:r>
          </w:p>
        </w:tc>
      </w:tr>
    </w:tbl>
    <w:p>
      <w:pPr>
        <w:spacing w:after="0" w:line="147" w:lineRule="exact"/>
        <w:rPr>
          <w:sz w:val="15"/>
        </w:rPr>
        <w:sectPr>
          <w:pgSz w:w="11900" w:h="16840"/>
          <w:pgMar w:header="869" w:footer="926" w:top="1760" w:bottom="1120" w:left="760" w:right="760"/>
        </w:sectPr>
      </w:pPr>
    </w:p>
    <w:p>
      <w:pPr>
        <w:spacing w:line="132" w:lineRule="auto" w:before="28"/>
        <w:ind w:left="2748" w:right="0" w:firstLine="0"/>
        <w:jc w:val="left"/>
        <w:rPr>
          <w:sz w:val="15"/>
        </w:rPr>
      </w:pPr>
      <w:r>
        <w:rPr>
          <w:color w:val="282828"/>
          <w:position w:val="-8"/>
          <w:sz w:val="15"/>
        </w:rPr>
        <w:t>Eje 1 </w:t>
      </w:r>
      <w:r>
        <w:rPr>
          <w:color w:val="282828"/>
          <w:sz w:val="15"/>
        </w:rPr>
        <w:t>Préstamo participativo para Creación y</w:t>
      </w:r>
    </w:p>
    <w:p>
      <w:pPr>
        <w:tabs>
          <w:tab w:pos="1171" w:val="left" w:leader="none"/>
          <w:tab w:pos="2179" w:val="left" w:leader="none"/>
        </w:tabs>
        <w:spacing w:line="122" w:lineRule="exact" w:before="97"/>
        <w:ind w:left="164" w:right="0" w:firstLine="0"/>
        <w:jc w:val="left"/>
        <w:rPr>
          <w:sz w:val="15"/>
        </w:rPr>
      </w:pPr>
      <w:r>
        <w:rPr/>
        <w:br w:type="column"/>
      </w:r>
      <w:r>
        <w:rPr>
          <w:color w:val="282828"/>
          <w:sz w:val="15"/>
        </w:rPr>
        <w:t>2.656.250,00</w:t>
        <w:tab/>
        <w:t>5.483.224,41</w:t>
        <w:tab/>
        <w:t>2.826.974,41</w:t>
      </w:r>
    </w:p>
    <w:p>
      <w:pPr>
        <w:spacing w:after="0" w:line="122" w:lineRule="exact"/>
        <w:jc w:val="left"/>
        <w:rPr>
          <w:sz w:val="15"/>
        </w:rPr>
        <w:sectPr>
          <w:type w:val="continuous"/>
          <w:pgSz w:w="11900" w:h="16840"/>
          <w:pgMar w:top="1600" w:bottom="1120" w:left="760" w:right="760"/>
          <w:cols w:num="2" w:equalWidth="0">
            <w:col w:w="6178" w:space="40"/>
            <w:col w:w="4162"/>
          </w:cols>
        </w:sectPr>
      </w:pPr>
    </w:p>
    <w:p>
      <w:pPr>
        <w:tabs>
          <w:tab w:pos="3225" w:val="left" w:leader="none"/>
          <w:tab w:pos="9259" w:val="left" w:leader="none"/>
        </w:tabs>
        <w:spacing w:line="154" w:lineRule="exact" w:before="0"/>
        <w:ind w:left="2677" w:right="0" w:firstLine="0"/>
        <w:jc w:val="left"/>
        <w:rPr>
          <w:sz w:val="15"/>
        </w:rPr>
      </w:pPr>
      <w:r>
        <w:rPr>
          <w:color w:val="282828"/>
          <w:w w:val="100"/>
          <w:sz w:val="15"/>
          <w:u w:val="single" w:color="000000"/>
        </w:rPr>
        <w:t> </w:t>
      </w:r>
      <w:r>
        <w:rPr>
          <w:color w:val="282828"/>
          <w:sz w:val="15"/>
          <w:u w:val="single" w:color="000000"/>
        </w:rPr>
        <w:tab/>
        <w:t>Desarrollo de emp</w:t>
      </w:r>
      <w:r>
        <w:rPr>
          <w:color w:val="282828"/>
          <w:spacing w:val="4"/>
          <w:sz w:val="15"/>
          <w:u w:val="single" w:color="000000"/>
        </w:rPr>
        <w:t> </w:t>
      </w:r>
      <w:r>
        <w:rPr>
          <w:color w:val="282828"/>
          <w:sz w:val="15"/>
          <w:u w:val="single" w:color="000000"/>
        </w:rPr>
        <w:t>innovadoras</w:t>
        <w:tab/>
      </w:r>
    </w:p>
    <w:p>
      <w:pPr>
        <w:pStyle w:val="BodyText"/>
        <w:spacing w:before="3"/>
        <w:rPr>
          <w:sz w:val="12"/>
        </w:rPr>
      </w:pPr>
    </w:p>
    <w:p>
      <w:pPr>
        <w:pStyle w:val="BodyText"/>
        <w:spacing w:before="61"/>
        <w:ind w:left="2099" w:right="1201" w:firstLine="604"/>
      </w:pPr>
      <w:r>
        <w:rPr/>
        <w:t>Por tanto, el detalle de las asignaciones presupuestarias por línea de actuación  a 31 de diciembre de 2022 es la siguiente:</w:t>
      </w:r>
    </w:p>
    <w:p>
      <w:pPr>
        <w:pStyle w:val="BodyText"/>
        <w:spacing w:before="1"/>
        <w:rPr>
          <w:sz w:val="17"/>
        </w:rPr>
      </w:pPr>
    </w:p>
    <w:tbl>
      <w:tblPr>
        <w:tblW w:w="0" w:type="auto"/>
        <w:jc w:val="left"/>
        <w:tblInd w:w="2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
        <w:gridCol w:w="5133"/>
        <w:gridCol w:w="988"/>
      </w:tblGrid>
      <w:tr>
        <w:trPr>
          <w:trHeight w:val="406" w:hRule="atLeast"/>
        </w:trPr>
        <w:tc>
          <w:tcPr>
            <w:tcW w:w="6618" w:type="dxa"/>
            <w:gridSpan w:val="3"/>
            <w:tcBorders>
              <w:top w:val="single" w:sz="4" w:space="0" w:color="000000"/>
            </w:tcBorders>
            <w:shd w:val="clear" w:color="auto" w:fill="DEEAF6"/>
          </w:tcPr>
          <w:p>
            <w:pPr>
              <w:pStyle w:val="TableParagraph"/>
              <w:tabs>
                <w:tab w:pos="2454" w:val="left" w:leader="none"/>
                <w:tab w:pos="5804" w:val="left" w:leader="none"/>
              </w:tabs>
              <w:spacing w:before="123"/>
              <w:ind w:left="124"/>
              <w:rPr>
                <w:b/>
                <w:sz w:val="13"/>
              </w:rPr>
            </w:pPr>
            <w:r>
              <w:rPr>
                <w:b/>
                <w:color w:val="282828"/>
                <w:w w:val="105"/>
                <w:sz w:val="13"/>
              </w:rPr>
              <w:t>Eje</w:t>
            </w:r>
            <w:r>
              <w:rPr>
                <w:b/>
                <w:color w:val="282828"/>
                <w:spacing w:val="-2"/>
                <w:w w:val="105"/>
                <w:sz w:val="13"/>
              </w:rPr>
              <w:t> </w:t>
            </w:r>
            <w:r>
              <w:rPr>
                <w:b/>
                <w:color w:val="282828"/>
                <w:w w:val="105"/>
                <w:sz w:val="13"/>
              </w:rPr>
              <w:t>PO</w:t>
              <w:tab/>
              <w:t>Instrumento</w:t>
            </w:r>
            <w:r>
              <w:rPr>
                <w:b/>
                <w:color w:val="282828"/>
                <w:spacing w:val="-8"/>
                <w:w w:val="105"/>
                <w:sz w:val="13"/>
              </w:rPr>
              <w:t> </w:t>
            </w:r>
            <w:r>
              <w:rPr>
                <w:b/>
                <w:color w:val="282828"/>
                <w:w w:val="105"/>
                <w:sz w:val="13"/>
              </w:rPr>
              <w:t>Financiero</w:t>
              <w:tab/>
              <w:t>Aportación</w:t>
            </w:r>
          </w:p>
        </w:tc>
      </w:tr>
      <w:tr>
        <w:trPr>
          <w:trHeight w:val="226" w:hRule="atLeast"/>
        </w:trPr>
        <w:tc>
          <w:tcPr>
            <w:tcW w:w="497" w:type="dxa"/>
          </w:tcPr>
          <w:p>
            <w:pPr>
              <w:pStyle w:val="TableParagraph"/>
              <w:spacing w:before="29"/>
              <w:ind w:left="64"/>
              <w:rPr>
                <w:sz w:val="13"/>
              </w:rPr>
            </w:pPr>
            <w:r>
              <w:rPr>
                <w:color w:val="282828"/>
                <w:w w:val="105"/>
                <w:sz w:val="13"/>
              </w:rPr>
              <w:t>Eje 1</w:t>
            </w:r>
          </w:p>
        </w:tc>
        <w:tc>
          <w:tcPr>
            <w:tcW w:w="5133" w:type="dxa"/>
          </w:tcPr>
          <w:p>
            <w:pPr>
              <w:pStyle w:val="TableParagraph"/>
              <w:spacing w:before="29"/>
              <w:ind w:left="167"/>
              <w:rPr>
                <w:sz w:val="13"/>
              </w:rPr>
            </w:pPr>
            <w:r>
              <w:rPr>
                <w:color w:val="282828"/>
                <w:w w:val="105"/>
                <w:sz w:val="13"/>
              </w:rPr>
              <w:t>Préstamo ordinario para Innovación de PYMES</w:t>
            </w:r>
          </w:p>
        </w:tc>
        <w:tc>
          <w:tcPr>
            <w:tcW w:w="988" w:type="dxa"/>
          </w:tcPr>
          <w:p>
            <w:pPr>
              <w:pStyle w:val="TableParagraph"/>
              <w:spacing w:before="22"/>
              <w:ind w:left="157" w:right="43"/>
              <w:jc w:val="center"/>
              <w:rPr>
                <w:sz w:val="14"/>
              </w:rPr>
            </w:pPr>
            <w:r>
              <w:rPr>
                <w:color w:val="282828"/>
                <w:sz w:val="14"/>
              </w:rPr>
              <w:t>4.540.899,61</w:t>
            </w:r>
          </w:p>
        </w:tc>
      </w:tr>
      <w:tr>
        <w:trPr>
          <w:trHeight w:val="214" w:hRule="atLeast"/>
        </w:trPr>
        <w:tc>
          <w:tcPr>
            <w:tcW w:w="497" w:type="dxa"/>
          </w:tcPr>
          <w:p>
            <w:pPr>
              <w:pStyle w:val="TableParagraph"/>
              <w:spacing w:before="16"/>
              <w:ind w:left="64"/>
              <w:rPr>
                <w:sz w:val="13"/>
              </w:rPr>
            </w:pPr>
            <w:r>
              <w:rPr>
                <w:color w:val="282828"/>
                <w:w w:val="105"/>
                <w:sz w:val="13"/>
              </w:rPr>
              <w:t>Eje 1</w:t>
            </w:r>
          </w:p>
        </w:tc>
        <w:tc>
          <w:tcPr>
            <w:tcW w:w="5133" w:type="dxa"/>
          </w:tcPr>
          <w:p>
            <w:pPr>
              <w:pStyle w:val="TableParagraph"/>
              <w:spacing w:before="16"/>
              <w:ind w:left="167"/>
              <w:rPr>
                <w:sz w:val="13"/>
              </w:rPr>
            </w:pPr>
            <w:r>
              <w:rPr>
                <w:color w:val="282828"/>
                <w:w w:val="105"/>
                <w:sz w:val="13"/>
              </w:rPr>
              <w:t>Préstamo ordinario para l+D empresarial</w:t>
            </w:r>
          </w:p>
        </w:tc>
        <w:tc>
          <w:tcPr>
            <w:tcW w:w="988" w:type="dxa"/>
          </w:tcPr>
          <w:p>
            <w:pPr>
              <w:pStyle w:val="TableParagraph"/>
              <w:spacing w:before="9"/>
              <w:ind w:left="266" w:right="43"/>
              <w:jc w:val="center"/>
              <w:rPr>
                <w:sz w:val="14"/>
              </w:rPr>
            </w:pPr>
            <w:r>
              <w:rPr>
                <w:color w:val="282828"/>
                <w:sz w:val="14"/>
              </w:rPr>
              <w:t>222.013,70</w:t>
            </w:r>
          </w:p>
        </w:tc>
      </w:tr>
      <w:tr>
        <w:trPr>
          <w:trHeight w:val="427" w:hRule="atLeast"/>
        </w:trPr>
        <w:tc>
          <w:tcPr>
            <w:tcW w:w="497" w:type="dxa"/>
          </w:tcPr>
          <w:p>
            <w:pPr>
              <w:pStyle w:val="TableParagraph"/>
              <w:spacing w:before="15"/>
              <w:ind w:left="64"/>
              <w:rPr>
                <w:sz w:val="13"/>
              </w:rPr>
            </w:pPr>
            <w:r>
              <w:rPr>
                <w:color w:val="282828"/>
                <w:w w:val="105"/>
                <w:sz w:val="13"/>
              </w:rPr>
              <w:t>Eje</w:t>
            </w:r>
            <w:r>
              <w:rPr>
                <w:color w:val="282828"/>
                <w:spacing w:val="-6"/>
                <w:w w:val="105"/>
                <w:sz w:val="13"/>
              </w:rPr>
              <w:t> </w:t>
            </w:r>
            <w:r>
              <w:rPr>
                <w:color w:val="282828"/>
                <w:w w:val="105"/>
                <w:sz w:val="13"/>
              </w:rPr>
              <w:t>1</w:t>
            </w:r>
          </w:p>
          <w:p>
            <w:pPr>
              <w:pStyle w:val="TableParagraph"/>
              <w:spacing w:before="55"/>
              <w:ind w:left="64"/>
              <w:rPr>
                <w:sz w:val="13"/>
              </w:rPr>
            </w:pPr>
            <w:r>
              <w:rPr>
                <w:color w:val="282828"/>
                <w:w w:val="105"/>
                <w:sz w:val="13"/>
              </w:rPr>
              <w:t>Eje</w:t>
            </w:r>
            <w:r>
              <w:rPr>
                <w:color w:val="282828"/>
                <w:spacing w:val="-6"/>
                <w:w w:val="105"/>
                <w:sz w:val="13"/>
              </w:rPr>
              <w:t> </w:t>
            </w:r>
            <w:r>
              <w:rPr>
                <w:color w:val="282828"/>
                <w:w w:val="105"/>
                <w:sz w:val="13"/>
              </w:rPr>
              <w:t>3</w:t>
            </w:r>
          </w:p>
        </w:tc>
        <w:tc>
          <w:tcPr>
            <w:tcW w:w="5133" w:type="dxa"/>
          </w:tcPr>
          <w:p>
            <w:pPr>
              <w:pStyle w:val="TableParagraph"/>
              <w:spacing w:before="15"/>
              <w:ind w:left="167"/>
              <w:rPr>
                <w:sz w:val="13"/>
              </w:rPr>
            </w:pPr>
            <w:r>
              <w:rPr>
                <w:color w:val="282828"/>
                <w:w w:val="105"/>
                <w:sz w:val="13"/>
              </w:rPr>
              <w:t>Préstamo participativo para Creación y Desarrollo de empresas innovadoras</w:t>
            </w:r>
          </w:p>
          <w:p>
            <w:pPr>
              <w:pStyle w:val="TableParagraph"/>
              <w:spacing w:before="55"/>
              <w:ind w:left="167"/>
              <w:rPr>
                <w:sz w:val="13"/>
              </w:rPr>
            </w:pPr>
            <w:r>
              <w:rPr>
                <w:color w:val="282828"/>
                <w:w w:val="105"/>
                <w:sz w:val="13"/>
              </w:rPr>
              <w:t>Préstamo con riesgos compartidos para Creación y desarrollo de PYMES</w:t>
            </w:r>
          </w:p>
        </w:tc>
        <w:tc>
          <w:tcPr>
            <w:tcW w:w="988" w:type="dxa"/>
          </w:tcPr>
          <w:p>
            <w:pPr>
              <w:pStyle w:val="TableParagraph"/>
              <w:spacing w:before="10"/>
              <w:ind w:left="157" w:right="43"/>
              <w:jc w:val="center"/>
              <w:rPr>
                <w:sz w:val="14"/>
              </w:rPr>
            </w:pPr>
            <w:r>
              <w:rPr>
                <w:color w:val="282828"/>
                <w:sz w:val="14"/>
              </w:rPr>
              <w:t>5.483.224,41</w:t>
            </w:r>
          </w:p>
        </w:tc>
      </w:tr>
      <w:tr>
        <w:trPr>
          <w:trHeight w:val="429" w:hRule="atLeast"/>
        </w:trPr>
        <w:tc>
          <w:tcPr>
            <w:tcW w:w="497" w:type="dxa"/>
          </w:tcPr>
          <w:p>
            <w:pPr>
              <w:pStyle w:val="TableParagraph"/>
              <w:spacing w:before="17"/>
              <w:ind w:left="64"/>
              <w:rPr>
                <w:sz w:val="13"/>
              </w:rPr>
            </w:pPr>
            <w:r>
              <w:rPr>
                <w:color w:val="282828"/>
                <w:w w:val="105"/>
                <w:sz w:val="13"/>
              </w:rPr>
              <w:t>Eje</w:t>
            </w:r>
            <w:r>
              <w:rPr>
                <w:color w:val="282828"/>
                <w:spacing w:val="-6"/>
                <w:w w:val="105"/>
                <w:sz w:val="13"/>
              </w:rPr>
              <w:t> </w:t>
            </w:r>
            <w:r>
              <w:rPr>
                <w:color w:val="282828"/>
                <w:w w:val="105"/>
                <w:sz w:val="13"/>
              </w:rPr>
              <w:t>3</w:t>
            </w:r>
          </w:p>
          <w:p>
            <w:pPr>
              <w:pStyle w:val="TableParagraph"/>
              <w:spacing w:before="55"/>
              <w:ind w:left="64"/>
              <w:rPr>
                <w:sz w:val="13"/>
              </w:rPr>
            </w:pPr>
            <w:r>
              <w:rPr>
                <w:color w:val="282828"/>
                <w:w w:val="105"/>
                <w:sz w:val="13"/>
              </w:rPr>
              <w:t>Eje</w:t>
            </w:r>
            <w:r>
              <w:rPr>
                <w:color w:val="282828"/>
                <w:spacing w:val="-6"/>
                <w:w w:val="105"/>
                <w:sz w:val="13"/>
              </w:rPr>
              <w:t> </w:t>
            </w:r>
            <w:r>
              <w:rPr>
                <w:color w:val="282828"/>
                <w:w w:val="105"/>
                <w:sz w:val="13"/>
              </w:rPr>
              <w:t>4</w:t>
            </w:r>
          </w:p>
        </w:tc>
        <w:tc>
          <w:tcPr>
            <w:tcW w:w="5133" w:type="dxa"/>
          </w:tcPr>
          <w:p>
            <w:pPr>
              <w:pStyle w:val="TableParagraph"/>
              <w:spacing w:before="17"/>
              <w:ind w:left="167"/>
              <w:rPr>
                <w:sz w:val="13"/>
              </w:rPr>
            </w:pPr>
            <w:r>
              <w:rPr>
                <w:color w:val="282828"/>
                <w:w w:val="105"/>
                <w:sz w:val="13"/>
              </w:rPr>
              <w:t>Garantía de cartera con límite máximo para Crecimiento empresarial de PYMES</w:t>
            </w:r>
          </w:p>
          <w:p>
            <w:pPr>
              <w:pStyle w:val="TableParagraph"/>
              <w:spacing w:before="55"/>
              <w:ind w:left="167"/>
              <w:rPr>
                <w:sz w:val="13"/>
              </w:rPr>
            </w:pPr>
            <w:r>
              <w:rPr>
                <w:color w:val="282828"/>
                <w:w w:val="105"/>
                <w:sz w:val="13"/>
              </w:rPr>
              <w:t>Préstamo ordinario para Ahorro y eficiencia energética y energías renovables para Pymes</w:t>
            </w:r>
          </w:p>
        </w:tc>
        <w:tc>
          <w:tcPr>
            <w:tcW w:w="988" w:type="dxa"/>
          </w:tcPr>
          <w:p>
            <w:pPr>
              <w:pStyle w:val="TableParagraph"/>
              <w:spacing w:before="4"/>
              <w:rPr>
                <w:sz w:val="18"/>
              </w:rPr>
            </w:pPr>
          </w:p>
          <w:p>
            <w:pPr>
              <w:pStyle w:val="TableParagraph"/>
              <w:ind w:left="157" w:right="43"/>
              <w:jc w:val="center"/>
              <w:rPr>
                <w:sz w:val="14"/>
              </w:rPr>
            </w:pPr>
            <w:r>
              <w:rPr>
                <w:color w:val="282828"/>
                <w:sz w:val="14"/>
              </w:rPr>
              <w:t>4.950.905,66</w:t>
            </w:r>
          </w:p>
        </w:tc>
      </w:tr>
      <w:tr>
        <w:trPr>
          <w:trHeight w:val="201" w:hRule="atLeast"/>
        </w:trPr>
        <w:tc>
          <w:tcPr>
            <w:tcW w:w="497" w:type="dxa"/>
            <w:tcBorders>
              <w:bottom w:val="single" w:sz="4" w:space="0" w:color="000000"/>
            </w:tcBorders>
          </w:tcPr>
          <w:p>
            <w:pPr>
              <w:pStyle w:val="TableParagraph"/>
              <w:rPr>
                <w:rFonts w:ascii="Times New Roman"/>
                <w:sz w:val="14"/>
              </w:rPr>
            </w:pPr>
          </w:p>
        </w:tc>
        <w:tc>
          <w:tcPr>
            <w:tcW w:w="5133" w:type="dxa"/>
            <w:tcBorders>
              <w:bottom w:val="single" w:sz="4" w:space="0" w:color="000000"/>
            </w:tcBorders>
          </w:tcPr>
          <w:p>
            <w:pPr>
              <w:pStyle w:val="TableParagraph"/>
              <w:spacing w:before="15"/>
              <w:ind w:left="2447" w:right="2356"/>
              <w:jc w:val="center"/>
              <w:rPr>
                <w:b/>
                <w:sz w:val="13"/>
              </w:rPr>
            </w:pPr>
            <w:r>
              <w:rPr>
                <w:b/>
                <w:color w:val="282828"/>
                <w:w w:val="105"/>
                <w:sz w:val="13"/>
              </w:rPr>
              <w:t>Total</w:t>
            </w:r>
          </w:p>
        </w:tc>
        <w:tc>
          <w:tcPr>
            <w:tcW w:w="988" w:type="dxa"/>
            <w:tcBorders>
              <w:bottom w:val="single" w:sz="4" w:space="0" w:color="000000"/>
            </w:tcBorders>
          </w:tcPr>
          <w:p>
            <w:pPr>
              <w:pStyle w:val="TableParagraph"/>
              <w:spacing w:before="10"/>
              <w:ind w:left="81" w:right="43"/>
              <w:jc w:val="center"/>
              <w:rPr>
                <w:b/>
                <w:sz w:val="14"/>
              </w:rPr>
            </w:pPr>
            <w:r>
              <w:rPr>
                <w:b/>
                <w:color w:val="282828"/>
                <w:sz w:val="14"/>
              </w:rPr>
              <w:t>15.197.043,38</w:t>
            </w:r>
          </w:p>
        </w:tc>
      </w:tr>
    </w:tbl>
    <w:p>
      <w:pPr>
        <w:pStyle w:val="BodyText"/>
        <w:spacing w:before="3"/>
        <w:rPr>
          <w:sz w:val="16"/>
        </w:rPr>
      </w:pPr>
    </w:p>
    <w:p>
      <w:pPr>
        <w:spacing w:line="242" w:lineRule="auto" w:before="0"/>
        <w:ind w:left="2693" w:right="1143" w:hanging="299"/>
        <w:jc w:val="both"/>
        <w:rPr>
          <w:i/>
          <w:sz w:val="20"/>
        </w:rPr>
      </w:pPr>
      <w:r>
        <w:rPr>
          <w:sz w:val="20"/>
        </w:rPr>
        <w:t>b.  Respecto al Fondo JEREMIE Canarias, se constituyó finalmente por un importe  de 20 millones de € y es gestionado por SODECAN. En la nota 2.5 de la memoria de las cuentas anuales del Fondo, relativa a la “Gestión continuada” se informa lo siguiente: “(…) el Fondo ha procedido, por tanto, a la liquidación parcial del Fondo de conformidad con lo señalado en el punto </w:t>
      </w:r>
      <w:r>
        <w:rPr>
          <w:i/>
          <w:sz w:val="20"/>
        </w:rPr>
        <w:t>14.a) de la Disposición </w:t>
      </w:r>
      <w:r>
        <w:rPr>
          <w:i/>
          <w:sz w:val="20"/>
        </w:rPr>
        <w:t>Adicional Quincuagésima primera de la Ley 7/2020 de 29 de diciembre de Presupuestos Generales de la </w:t>
      </w:r>
      <w:r>
        <w:rPr>
          <w:sz w:val="20"/>
        </w:rPr>
        <w:t>Comunidad </w:t>
      </w:r>
      <w:r>
        <w:rPr>
          <w:i/>
          <w:sz w:val="20"/>
        </w:rPr>
        <w:t>Autónoma de Canarias para 2021 </w:t>
      </w:r>
      <w:r>
        <w:rPr>
          <w:i/>
          <w:sz w:val="20"/>
        </w:rPr>
        <w:t>(sobredotación financiera en relación con la actividad desarrollada con cargo al Fondo). La liquidación parcial del Fondo ha sido acordada mediante la Orden nº 200</w:t>
      </w:r>
      <w:r>
        <w:rPr>
          <w:i/>
          <w:spacing w:val="-7"/>
          <w:sz w:val="20"/>
        </w:rPr>
        <w:t> </w:t>
      </w:r>
      <w:r>
        <w:rPr>
          <w:i/>
          <w:sz w:val="20"/>
        </w:rPr>
        <w:t>de</w:t>
      </w:r>
      <w:r>
        <w:rPr>
          <w:i/>
          <w:spacing w:val="-6"/>
          <w:sz w:val="20"/>
        </w:rPr>
        <w:t> </w:t>
      </w:r>
      <w:r>
        <w:rPr>
          <w:i/>
          <w:sz w:val="20"/>
        </w:rPr>
        <w:t>11</w:t>
      </w:r>
      <w:r>
        <w:rPr>
          <w:i/>
          <w:spacing w:val="-5"/>
          <w:sz w:val="20"/>
        </w:rPr>
        <w:t> </w:t>
      </w:r>
      <w:r>
        <w:rPr>
          <w:i/>
          <w:sz w:val="20"/>
        </w:rPr>
        <w:t>de</w:t>
      </w:r>
      <w:r>
        <w:rPr>
          <w:i/>
          <w:spacing w:val="-4"/>
          <w:sz w:val="20"/>
        </w:rPr>
        <w:t> </w:t>
      </w:r>
      <w:r>
        <w:rPr>
          <w:i/>
          <w:sz w:val="20"/>
        </w:rPr>
        <w:t>mayo</w:t>
      </w:r>
      <w:r>
        <w:rPr>
          <w:i/>
          <w:spacing w:val="-6"/>
          <w:sz w:val="20"/>
        </w:rPr>
        <w:t> </w:t>
      </w:r>
      <w:r>
        <w:rPr>
          <w:i/>
          <w:sz w:val="20"/>
        </w:rPr>
        <w:t>de</w:t>
      </w:r>
      <w:r>
        <w:rPr>
          <w:i/>
          <w:spacing w:val="-6"/>
          <w:sz w:val="20"/>
        </w:rPr>
        <w:t> </w:t>
      </w:r>
      <w:r>
        <w:rPr>
          <w:i/>
          <w:sz w:val="20"/>
        </w:rPr>
        <w:t>2021</w:t>
      </w:r>
      <w:r>
        <w:rPr>
          <w:i/>
          <w:spacing w:val="-3"/>
          <w:sz w:val="20"/>
        </w:rPr>
        <w:t> </w:t>
      </w:r>
      <w:r>
        <w:rPr>
          <w:i/>
          <w:sz w:val="20"/>
        </w:rPr>
        <w:t>de</w:t>
      </w:r>
      <w:r>
        <w:rPr>
          <w:i/>
          <w:spacing w:val="-6"/>
          <w:sz w:val="20"/>
        </w:rPr>
        <w:t> </w:t>
      </w:r>
      <w:r>
        <w:rPr>
          <w:i/>
          <w:sz w:val="20"/>
        </w:rPr>
        <w:t>la</w:t>
      </w:r>
      <w:r>
        <w:rPr>
          <w:i/>
          <w:spacing w:val="-5"/>
          <w:sz w:val="20"/>
        </w:rPr>
        <w:t> </w:t>
      </w:r>
      <w:r>
        <w:rPr>
          <w:i/>
          <w:sz w:val="20"/>
        </w:rPr>
        <w:t>Consejería</w:t>
      </w:r>
      <w:r>
        <w:rPr>
          <w:i/>
          <w:spacing w:val="-6"/>
          <w:sz w:val="20"/>
        </w:rPr>
        <w:t> </w:t>
      </w:r>
      <w:r>
        <w:rPr>
          <w:i/>
          <w:sz w:val="20"/>
        </w:rPr>
        <w:t>de</w:t>
      </w:r>
      <w:r>
        <w:rPr>
          <w:i/>
          <w:spacing w:val="-6"/>
          <w:sz w:val="20"/>
        </w:rPr>
        <w:t> </w:t>
      </w:r>
      <w:r>
        <w:rPr>
          <w:i/>
          <w:sz w:val="20"/>
        </w:rPr>
        <w:t>Economía</w:t>
      </w:r>
      <w:r>
        <w:rPr>
          <w:i/>
          <w:spacing w:val="-5"/>
          <w:sz w:val="20"/>
        </w:rPr>
        <w:t> </w:t>
      </w:r>
      <w:r>
        <w:rPr>
          <w:i/>
          <w:sz w:val="20"/>
        </w:rPr>
        <w:t>Conocimiento</w:t>
      </w:r>
      <w:r>
        <w:rPr>
          <w:i/>
          <w:spacing w:val="-5"/>
          <w:sz w:val="20"/>
        </w:rPr>
        <w:t> </w:t>
      </w:r>
      <w:r>
        <w:rPr>
          <w:i/>
          <w:sz w:val="20"/>
        </w:rPr>
        <w:t>y</w:t>
      </w:r>
      <w:r>
        <w:rPr>
          <w:i/>
          <w:spacing w:val="-4"/>
          <w:sz w:val="20"/>
        </w:rPr>
        <w:t> </w:t>
      </w:r>
      <w:r>
        <w:rPr>
          <w:i/>
          <w:sz w:val="20"/>
        </w:rPr>
        <w:t>Empleo estableciéndose el reintegro a la Comunidad Autónoma de Canarias de la parte de recursos líquidos no utilizados. Con fecha 27 de mayo de 2021 el Comité Ejecutivo del Fondo aprueba la propuesta de liquidación parcial por importe de 15.808.044,23 euros, correspondiéndose 14.684.718,72 euros a patrimonio aportado no ejecutado, 1.137.109,60 euros a patrimonio generado en ejercicios anteriores y -13.784,09 euros a gastos devengados en el ejercicio en curso. Finalmente, mediante la Orden conjunta 563 de 2 de diciembre de 2021 de la Consejería de Hacienda, Presupuestos y Asuntos Europeos y de la Consejería de Economía, Conocimiento y Empleo se aprueban el balance final, el Informe</w:t>
      </w:r>
      <w:r>
        <w:rPr>
          <w:i/>
          <w:spacing w:val="-7"/>
          <w:sz w:val="20"/>
        </w:rPr>
        <w:t> </w:t>
      </w:r>
      <w:r>
        <w:rPr>
          <w:i/>
          <w:sz w:val="20"/>
        </w:rPr>
        <w:t>sobre</w:t>
      </w:r>
    </w:p>
    <w:p>
      <w:pPr>
        <w:pStyle w:val="BodyText"/>
        <w:spacing w:before="7"/>
        <w:rPr>
          <w:i/>
          <w:sz w:val="13"/>
        </w:rPr>
      </w:pPr>
    </w:p>
    <w:p>
      <w:pPr>
        <w:pStyle w:val="BodyText"/>
        <w:spacing w:before="61"/>
        <w:ind w:left="7787"/>
        <w:jc w:val="center"/>
      </w:pPr>
      <w:r>
        <w:rPr/>
        <w:t>142</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299" name="image5.png"/>
                  <wp:cNvGraphicFramePr>
                    <a:graphicFrameLocks noChangeAspect="1"/>
                  </wp:cNvGraphicFramePr>
                  <a:graphic>
                    <a:graphicData uri="http://schemas.openxmlformats.org/drawingml/2006/picture">
                      <pic:pic>
                        <pic:nvPicPr>
                          <pic:cNvPr id="30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144/247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760" w:right="760"/>
        </w:sectPr>
      </w:pPr>
    </w:p>
    <w:p>
      <w:pPr>
        <w:pStyle w:val="BodyText"/>
        <w:spacing w:before="10"/>
        <w:rPr>
          <w:b/>
          <w:sz w:val="27"/>
        </w:rPr>
      </w:pPr>
    </w:p>
    <w:p>
      <w:pPr>
        <w:spacing w:before="61"/>
        <w:ind w:left="2693" w:right="1146" w:firstLine="0"/>
        <w:jc w:val="both"/>
        <w:rPr>
          <w:sz w:val="20"/>
        </w:rPr>
      </w:pPr>
      <w:r>
        <w:rPr>
          <w:i/>
          <w:sz w:val="20"/>
        </w:rPr>
        <w:t>la propuesta de liquidación y la propuesta de patrimonio final resultante </w:t>
      </w:r>
      <w:r>
        <w:rPr>
          <w:i/>
          <w:sz w:val="20"/>
        </w:rPr>
        <w:t>presentados por SODECAN relativos a la liquidación parcial del Fondo en los términos anteriormente</w:t>
      </w:r>
      <w:r>
        <w:rPr>
          <w:i/>
          <w:spacing w:val="2"/>
          <w:sz w:val="20"/>
        </w:rPr>
        <w:t> </w:t>
      </w:r>
      <w:r>
        <w:rPr>
          <w:i/>
          <w:sz w:val="20"/>
        </w:rPr>
        <w:t>expuestos</w:t>
      </w:r>
      <w:r>
        <w:rPr>
          <w:sz w:val="20"/>
        </w:rPr>
        <w:t>.”</w:t>
      </w:r>
    </w:p>
    <w:p>
      <w:pPr>
        <w:pStyle w:val="BodyText"/>
        <w:spacing w:before="1"/>
        <w:rPr>
          <w:sz w:val="17"/>
        </w:rPr>
      </w:pPr>
    </w:p>
    <w:p>
      <w:pPr>
        <w:pStyle w:val="ListParagraph"/>
        <w:numPr>
          <w:ilvl w:val="1"/>
          <w:numId w:val="72"/>
        </w:numPr>
        <w:tabs>
          <w:tab w:pos="2694" w:val="left" w:leader="none"/>
        </w:tabs>
        <w:spacing w:line="242" w:lineRule="auto" w:before="0" w:after="0"/>
        <w:ind w:left="2693" w:right="1140" w:hanging="303"/>
        <w:jc w:val="both"/>
        <w:rPr>
          <w:sz w:val="20"/>
        </w:rPr>
      </w:pPr>
      <w:r>
        <w:rPr>
          <w:sz w:val="20"/>
        </w:rPr>
        <w:t>En cuanto al Fondo de Préstamos y Garantías para la Promoción de Proyectos Empresariales de Innovación, se constituyó por un importe de 20 millones de €  y es gestionado por SODECAN. En la nota 2.5 de la memoria de las cuentas anuales del Fondo, también se señala que </w:t>
      </w:r>
      <w:r>
        <w:rPr>
          <w:i/>
          <w:sz w:val="20"/>
        </w:rPr>
        <w:t>“(…) el Fondo ha procedido a la </w:t>
      </w:r>
      <w:r>
        <w:rPr>
          <w:i/>
          <w:sz w:val="20"/>
        </w:rPr>
        <w:t>liquidación parcial del Fondo de </w:t>
      </w:r>
      <w:r>
        <w:rPr>
          <w:sz w:val="20"/>
        </w:rPr>
        <w:t>conformidad </w:t>
      </w:r>
      <w:r>
        <w:rPr>
          <w:i/>
          <w:sz w:val="20"/>
        </w:rPr>
        <w:t>con lo señalado en el punto 14.a) </w:t>
      </w:r>
      <w:r>
        <w:rPr>
          <w:i/>
          <w:sz w:val="20"/>
        </w:rPr>
        <w:t>de la Disposición Adicional Quincuagésima primera de la Ley 7/2020 de 29 de diciembre de Presupuestos Generales de la Comunidad Autónoma de Canarias para</w:t>
      </w:r>
      <w:r>
        <w:rPr>
          <w:i/>
          <w:spacing w:val="-9"/>
          <w:sz w:val="20"/>
        </w:rPr>
        <w:t> </w:t>
      </w:r>
      <w:r>
        <w:rPr>
          <w:i/>
          <w:sz w:val="20"/>
        </w:rPr>
        <w:t>2021</w:t>
      </w:r>
      <w:r>
        <w:rPr>
          <w:i/>
          <w:spacing w:val="-8"/>
          <w:sz w:val="20"/>
        </w:rPr>
        <w:t> </w:t>
      </w:r>
      <w:r>
        <w:rPr>
          <w:i/>
          <w:sz w:val="20"/>
        </w:rPr>
        <w:t>(sobredotación</w:t>
      </w:r>
      <w:r>
        <w:rPr>
          <w:i/>
          <w:spacing w:val="-8"/>
          <w:sz w:val="20"/>
        </w:rPr>
        <w:t> </w:t>
      </w:r>
      <w:r>
        <w:rPr>
          <w:i/>
          <w:sz w:val="20"/>
        </w:rPr>
        <w:t>financiera</w:t>
      </w:r>
      <w:r>
        <w:rPr>
          <w:i/>
          <w:spacing w:val="-8"/>
          <w:sz w:val="20"/>
        </w:rPr>
        <w:t> </w:t>
      </w:r>
      <w:r>
        <w:rPr>
          <w:i/>
          <w:sz w:val="20"/>
        </w:rPr>
        <w:t>en</w:t>
      </w:r>
      <w:r>
        <w:rPr>
          <w:i/>
          <w:spacing w:val="-8"/>
          <w:sz w:val="20"/>
        </w:rPr>
        <w:t> </w:t>
      </w:r>
      <w:r>
        <w:rPr>
          <w:i/>
          <w:sz w:val="20"/>
        </w:rPr>
        <w:t>relación</w:t>
      </w:r>
      <w:r>
        <w:rPr>
          <w:i/>
          <w:spacing w:val="-8"/>
          <w:sz w:val="20"/>
        </w:rPr>
        <w:t> </w:t>
      </w:r>
      <w:r>
        <w:rPr>
          <w:i/>
          <w:sz w:val="20"/>
        </w:rPr>
        <w:t>con</w:t>
      </w:r>
      <w:r>
        <w:rPr>
          <w:i/>
          <w:spacing w:val="-8"/>
          <w:sz w:val="20"/>
        </w:rPr>
        <w:t> </w:t>
      </w:r>
      <w:r>
        <w:rPr>
          <w:i/>
          <w:sz w:val="20"/>
        </w:rPr>
        <w:t>la</w:t>
      </w:r>
      <w:r>
        <w:rPr>
          <w:i/>
          <w:spacing w:val="-9"/>
          <w:sz w:val="20"/>
        </w:rPr>
        <w:t> </w:t>
      </w:r>
      <w:r>
        <w:rPr>
          <w:i/>
          <w:sz w:val="20"/>
        </w:rPr>
        <w:t>actividad</w:t>
      </w:r>
      <w:r>
        <w:rPr>
          <w:i/>
          <w:spacing w:val="-8"/>
          <w:sz w:val="20"/>
        </w:rPr>
        <w:t> </w:t>
      </w:r>
      <w:r>
        <w:rPr>
          <w:i/>
          <w:sz w:val="20"/>
        </w:rPr>
        <w:t>desarrollada</w:t>
      </w:r>
      <w:r>
        <w:rPr>
          <w:i/>
          <w:spacing w:val="-8"/>
          <w:sz w:val="20"/>
        </w:rPr>
        <w:t> </w:t>
      </w:r>
      <w:r>
        <w:rPr>
          <w:i/>
          <w:sz w:val="20"/>
        </w:rPr>
        <w:t>con cargo al Fondo). La liquidación parcial del Fondo ha sido acordada mediante la Orden</w:t>
      </w:r>
      <w:r>
        <w:rPr>
          <w:i/>
          <w:spacing w:val="-6"/>
          <w:sz w:val="20"/>
        </w:rPr>
        <w:t> </w:t>
      </w:r>
      <w:r>
        <w:rPr>
          <w:i/>
          <w:sz w:val="20"/>
        </w:rPr>
        <w:t>nº</w:t>
      </w:r>
      <w:r>
        <w:rPr>
          <w:i/>
          <w:spacing w:val="-5"/>
          <w:sz w:val="20"/>
        </w:rPr>
        <w:t> </w:t>
      </w:r>
      <w:r>
        <w:rPr>
          <w:i/>
          <w:sz w:val="20"/>
        </w:rPr>
        <w:t>200</w:t>
      </w:r>
      <w:r>
        <w:rPr>
          <w:i/>
          <w:spacing w:val="-4"/>
          <w:sz w:val="20"/>
        </w:rPr>
        <w:t> </w:t>
      </w:r>
      <w:r>
        <w:rPr>
          <w:i/>
          <w:sz w:val="20"/>
        </w:rPr>
        <w:t>de</w:t>
      </w:r>
      <w:r>
        <w:rPr>
          <w:i/>
          <w:spacing w:val="-4"/>
          <w:sz w:val="20"/>
        </w:rPr>
        <w:t> </w:t>
      </w:r>
      <w:r>
        <w:rPr>
          <w:i/>
          <w:sz w:val="20"/>
        </w:rPr>
        <w:t>11</w:t>
      </w:r>
      <w:r>
        <w:rPr>
          <w:i/>
          <w:spacing w:val="-5"/>
          <w:sz w:val="20"/>
        </w:rPr>
        <w:t> </w:t>
      </w:r>
      <w:r>
        <w:rPr>
          <w:i/>
          <w:sz w:val="20"/>
        </w:rPr>
        <w:t>de</w:t>
      </w:r>
      <w:r>
        <w:rPr>
          <w:i/>
          <w:spacing w:val="-6"/>
          <w:sz w:val="20"/>
        </w:rPr>
        <w:t> </w:t>
      </w:r>
      <w:r>
        <w:rPr>
          <w:i/>
          <w:sz w:val="20"/>
        </w:rPr>
        <w:t>mayo</w:t>
      </w:r>
      <w:r>
        <w:rPr>
          <w:i/>
          <w:spacing w:val="-5"/>
          <w:sz w:val="20"/>
        </w:rPr>
        <w:t> </w:t>
      </w:r>
      <w:r>
        <w:rPr>
          <w:i/>
          <w:sz w:val="20"/>
        </w:rPr>
        <w:t>de</w:t>
      </w:r>
      <w:r>
        <w:rPr>
          <w:i/>
          <w:spacing w:val="-4"/>
          <w:sz w:val="20"/>
        </w:rPr>
        <w:t> </w:t>
      </w:r>
      <w:r>
        <w:rPr>
          <w:i/>
          <w:sz w:val="20"/>
        </w:rPr>
        <w:t>2021</w:t>
      </w:r>
      <w:r>
        <w:rPr>
          <w:i/>
          <w:spacing w:val="-3"/>
          <w:sz w:val="20"/>
        </w:rPr>
        <w:t> </w:t>
      </w:r>
      <w:r>
        <w:rPr>
          <w:i/>
          <w:sz w:val="20"/>
        </w:rPr>
        <w:t>de</w:t>
      </w:r>
      <w:r>
        <w:rPr>
          <w:i/>
          <w:spacing w:val="-7"/>
          <w:sz w:val="20"/>
        </w:rPr>
        <w:t> </w:t>
      </w:r>
      <w:r>
        <w:rPr>
          <w:i/>
          <w:sz w:val="20"/>
        </w:rPr>
        <w:t>la</w:t>
      </w:r>
      <w:r>
        <w:rPr>
          <w:i/>
          <w:spacing w:val="-5"/>
          <w:sz w:val="20"/>
        </w:rPr>
        <w:t> </w:t>
      </w:r>
      <w:r>
        <w:rPr>
          <w:i/>
          <w:sz w:val="20"/>
        </w:rPr>
        <w:t>Consejería</w:t>
      </w:r>
      <w:r>
        <w:rPr>
          <w:i/>
          <w:spacing w:val="-5"/>
          <w:sz w:val="20"/>
        </w:rPr>
        <w:t> </w:t>
      </w:r>
      <w:r>
        <w:rPr>
          <w:i/>
          <w:sz w:val="20"/>
        </w:rPr>
        <w:t>de</w:t>
      </w:r>
      <w:r>
        <w:rPr>
          <w:i/>
          <w:spacing w:val="-4"/>
          <w:sz w:val="20"/>
        </w:rPr>
        <w:t> </w:t>
      </w:r>
      <w:r>
        <w:rPr>
          <w:i/>
          <w:sz w:val="20"/>
        </w:rPr>
        <w:t>Economía</w:t>
      </w:r>
      <w:r>
        <w:rPr>
          <w:i/>
          <w:spacing w:val="-5"/>
          <w:sz w:val="20"/>
        </w:rPr>
        <w:t> </w:t>
      </w:r>
      <w:r>
        <w:rPr>
          <w:i/>
          <w:sz w:val="20"/>
        </w:rPr>
        <w:t>Conocimiento y Empleo estableciéndose el reintegro a la Comunidad Autónoma de Canarias de la parte de recursos líquidos no utilizados. Con fecha 27 de mayo de 2021 el Comité Ejecutivo del Fondo aprueba la propuesta de liquidación parcial por importe de 15.021.809,40 euros, correspondiéndose 14.551.215,62 euros a patrimonio aportado no ejecutado, 485.655,16 euros a patrimonio generado en ejercicios anteriores y -15.061,39 euros a gastos devengados en el ejercicio en curso.</w:t>
      </w:r>
      <w:r>
        <w:rPr>
          <w:i/>
          <w:spacing w:val="-5"/>
          <w:sz w:val="20"/>
        </w:rPr>
        <w:t> </w:t>
      </w:r>
      <w:r>
        <w:rPr>
          <w:i/>
          <w:sz w:val="20"/>
        </w:rPr>
        <w:t>Finalmente,</w:t>
      </w:r>
      <w:r>
        <w:rPr>
          <w:i/>
          <w:spacing w:val="-3"/>
          <w:sz w:val="20"/>
        </w:rPr>
        <w:t> </w:t>
      </w:r>
      <w:r>
        <w:rPr>
          <w:i/>
          <w:sz w:val="20"/>
        </w:rPr>
        <w:t>mediante</w:t>
      </w:r>
      <w:r>
        <w:rPr>
          <w:i/>
          <w:spacing w:val="-3"/>
          <w:sz w:val="20"/>
        </w:rPr>
        <w:t> </w:t>
      </w:r>
      <w:r>
        <w:rPr>
          <w:i/>
          <w:sz w:val="20"/>
        </w:rPr>
        <w:t>la</w:t>
      </w:r>
      <w:r>
        <w:rPr>
          <w:i/>
          <w:spacing w:val="-5"/>
          <w:sz w:val="20"/>
        </w:rPr>
        <w:t> </w:t>
      </w:r>
      <w:r>
        <w:rPr>
          <w:i/>
          <w:sz w:val="20"/>
        </w:rPr>
        <w:t>Orden</w:t>
      </w:r>
      <w:r>
        <w:rPr>
          <w:i/>
          <w:spacing w:val="-4"/>
          <w:sz w:val="20"/>
        </w:rPr>
        <w:t> </w:t>
      </w:r>
      <w:r>
        <w:rPr>
          <w:i/>
          <w:sz w:val="20"/>
        </w:rPr>
        <w:t>conjunta</w:t>
      </w:r>
      <w:r>
        <w:rPr>
          <w:i/>
          <w:spacing w:val="-5"/>
          <w:sz w:val="20"/>
        </w:rPr>
        <w:t> </w:t>
      </w:r>
      <w:r>
        <w:rPr>
          <w:i/>
          <w:sz w:val="20"/>
        </w:rPr>
        <w:t>561</w:t>
      </w:r>
      <w:r>
        <w:rPr>
          <w:i/>
          <w:spacing w:val="-3"/>
          <w:sz w:val="20"/>
        </w:rPr>
        <w:t> </w:t>
      </w:r>
      <w:r>
        <w:rPr>
          <w:i/>
          <w:sz w:val="20"/>
        </w:rPr>
        <w:t>de</w:t>
      </w:r>
      <w:r>
        <w:rPr>
          <w:i/>
          <w:spacing w:val="-3"/>
          <w:sz w:val="20"/>
        </w:rPr>
        <w:t> </w:t>
      </w:r>
      <w:r>
        <w:rPr>
          <w:i/>
          <w:sz w:val="20"/>
        </w:rPr>
        <w:t>2</w:t>
      </w:r>
      <w:r>
        <w:rPr>
          <w:i/>
          <w:spacing w:val="-3"/>
          <w:sz w:val="20"/>
        </w:rPr>
        <w:t> </w:t>
      </w:r>
      <w:r>
        <w:rPr>
          <w:i/>
          <w:sz w:val="20"/>
        </w:rPr>
        <w:t>de</w:t>
      </w:r>
      <w:r>
        <w:rPr>
          <w:i/>
          <w:spacing w:val="-3"/>
          <w:sz w:val="20"/>
        </w:rPr>
        <w:t> </w:t>
      </w:r>
      <w:r>
        <w:rPr>
          <w:i/>
          <w:sz w:val="20"/>
        </w:rPr>
        <w:t>diciembre</w:t>
      </w:r>
      <w:r>
        <w:rPr>
          <w:i/>
          <w:spacing w:val="-4"/>
          <w:sz w:val="20"/>
        </w:rPr>
        <w:t> </w:t>
      </w:r>
      <w:r>
        <w:rPr>
          <w:i/>
          <w:sz w:val="20"/>
        </w:rPr>
        <w:t>de</w:t>
      </w:r>
      <w:r>
        <w:rPr>
          <w:i/>
          <w:spacing w:val="-3"/>
          <w:sz w:val="20"/>
        </w:rPr>
        <w:t> </w:t>
      </w:r>
      <w:r>
        <w:rPr>
          <w:i/>
          <w:sz w:val="20"/>
        </w:rPr>
        <w:t>2021</w:t>
      </w:r>
      <w:r>
        <w:rPr>
          <w:i/>
          <w:spacing w:val="-3"/>
          <w:sz w:val="20"/>
        </w:rPr>
        <w:t> </w:t>
      </w:r>
      <w:r>
        <w:rPr>
          <w:i/>
          <w:sz w:val="20"/>
        </w:rPr>
        <w:t>de la Consejería de Hacienda, Presupuestos y Asuntos Europeos y de la Consejería de Economía, Conocimiento y Empleo se aprueban el balance final, el Informe sobre la propuesta de liquidación y la propuesta de patrimonio final resultante presentados por SODECAN relativos a la liquidación parcial del Fondo en los términos anteriormente</w:t>
      </w:r>
      <w:r>
        <w:rPr>
          <w:i/>
          <w:spacing w:val="2"/>
          <w:sz w:val="20"/>
        </w:rPr>
        <w:t> </w:t>
      </w:r>
      <w:r>
        <w:rPr>
          <w:i/>
          <w:sz w:val="20"/>
        </w:rPr>
        <w:t>expuestos</w:t>
      </w:r>
      <w:r>
        <w:rPr>
          <w:sz w:val="20"/>
        </w:rPr>
        <w:t>.”</w:t>
      </w:r>
    </w:p>
    <w:p>
      <w:pPr>
        <w:pStyle w:val="BodyText"/>
        <w:spacing w:before="5"/>
        <w:rPr>
          <w:sz w:val="15"/>
        </w:rPr>
      </w:pPr>
    </w:p>
    <w:p>
      <w:pPr>
        <w:pStyle w:val="BodyText"/>
        <w:ind w:left="2703"/>
        <w:jc w:val="both"/>
      </w:pPr>
      <w:r>
        <w:rPr/>
        <w:t>Los informes de auditoría de los tres fondos presentan una opinión favorable.</w:t>
      </w:r>
    </w:p>
    <w:p>
      <w:pPr>
        <w:pStyle w:val="BodyText"/>
        <w:spacing w:before="8"/>
        <w:rPr>
          <w:sz w:val="16"/>
        </w:rPr>
      </w:pPr>
    </w:p>
    <w:p>
      <w:pPr>
        <w:pStyle w:val="BodyText"/>
        <w:ind w:left="2099" w:right="1147" w:firstLine="604"/>
        <w:jc w:val="both"/>
      </w:pPr>
      <w:r>
        <w:rPr/>
        <w:t>Los Fondos Carentes de Personalidad Jurídica agregados supusieron un incremento de las inversiones financieras de 1,6 millones de €, representando los siguientes saldos en las inversiones financieras para el total de la CAC:</w:t>
      </w:r>
    </w:p>
    <w:p>
      <w:pPr>
        <w:pStyle w:val="BodyText"/>
        <w:spacing w:before="10"/>
        <w:rPr>
          <w:sz w:val="16"/>
        </w:rPr>
      </w:pPr>
    </w:p>
    <w:tbl>
      <w:tblPr>
        <w:tblW w:w="0" w:type="auto"/>
        <w:jc w:val="left"/>
        <w:tblInd w:w="2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6"/>
        <w:gridCol w:w="1360"/>
        <w:gridCol w:w="1236"/>
        <w:gridCol w:w="1113"/>
      </w:tblGrid>
      <w:tr>
        <w:trPr>
          <w:trHeight w:val="281" w:hRule="atLeast"/>
        </w:trPr>
        <w:tc>
          <w:tcPr>
            <w:tcW w:w="2096" w:type="dxa"/>
            <w:tcBorders>
              <w:top w:val="single" w:sz="4" w:space="0" w:color="000000"/>
              <w:left w:val="single" w:sz="4" w:space="0" w:color="000000"/>
            </w:tcBorders>
          </w:tcPr>
          <w:p>
            <w:pPr>
              <w:pStyle w:val="TableParagraph"/>
              <w:rPr>
                <w:rFonts w:ascii="Times New Roman"/>
                <w:sz w:val="16"/>
              </w:rPr>
            </w:pPr>
          </w:p>
        </w:tc>
        <w:tc>
          <w:tcPr>
            <w:tcW w:w="1360" w:type="dxa"/>
            <w:tcBorders>
              <w:top w:val="single" w:sz="4" w:space="0" w:color="000000"/>
            </w:tcBorders>
            <w:shd w:val="clear" w:color="auto" w:fill="DEEAF6"/>
          </w:tcPr>
          <w:p>
            <w:pPr>
              <w:pStyle w:val="TableParagraph"/>
              <w:spacing w:before="49"/>
              <w:ind w:left="544" w:right="470"/>
              <w:jc w:val="center"/>
              <w:rPr>
                <w:b/>
                <w:sz w:val="15"/>
              </w:rPr>
            </w:pPr>
            <w:r>
              <w:rPr>
                <w:b/>
                <w:sz w:val="15"/>
              </w:rPr>
              <w:t>2021</w:t>
            </w:r>
          </w:p>
        </w:tc>
        <w:tc>
          <w:tcPr>
            <w:tcW w:w="1236" w:type="dxa"/>
            <w:tcBorders>
              <w:top w:val="single" w:sz="4" w:space="0" w:color="000000"/>
            </w:tcBorders>
            <w:shd w:val="clear" w:color="auto" w:fill="DEEAF6"/>
          </w:tcPr>
          <w:p>
            <w:pPr>
              <w:pStyle w:val="TableParagraph"/>
              <w:spacing w:before="49"/>
              <w:ind w:left="147" w:right="190"/>
              <w:jc w:val="center"/>
              <w:rPr>
                <w:b/>
                <w:sz w:val="15"/>
              </w:rPr>
            </w:pPr>
            <w:r>
              <w:rPr>
                <w:b/>
                <w:sz w:val="15"/>
              </w:rPr>
              <w:t>2022</w:t>
            </w:r>
          </w:p>
        </w:tc>
        <w:tc>
          <w:tcPr>
            <w:tcW w:w="1113" w:type="dxa"/>
            <w:tcBorders>
              <w:top w:val="single" w:sz="4" w:space="0" w:color="000000"/>
              <w:right w:val="single" w:sz="4" w:space="0" w:color="000000"/>
            </w:tcBorders>
            <w:shd w:val="clear" w:color="auto" w:fill="DEEAF6"/>
          </w:tcPr>
          <w:p>
            <w:pPr>
              <w:pStyle w:val="TableParagraph"/>
              <w:spacing w:before="49"/>
              <w:ind w:left="298"/>
              <w:rPr>
                <w:b/>
                <w:sz w:val="15"/>
              </w:rPr>
            </w:pPr>
            <w:r>
              <w:rPr>
                <w:b/>
                <w:sz w:val="15"/>
              </w:rPr>
              <w:t>Variación</w:t>
            </w:r>
          </w:p>
        </w:tc>
      </w:tr>
      <w:tr>
        <w:trPr>
          <w:trHeight w:val="198" w:hRule="atLeast"/>
        </w:trPr>
        <w:tc>
          <w:tcPr>
            <w:tcW w:w="2096" w:type="dxa"/>
            <w:tcBorders>
              <w:left w:val="single" w:sz="4" w:space="0" w:color="000000"/>
            </w:tcBorders>
          </w:tcPr>
          <w:p>
            <w:pPr>
              <w:pStyle w:val="TableParagraph"/>
              <w:spacing w:line="178" w:lineRule="exact"/>
              <w:ind w:left="89"/>
              <w:rPr>
                <w:b/>
                <w:sz w:val="15"/>
              </w:rPr>
            </w:pPr>
            <w:r>
              <w:rPr>
                <w:b/>
                <w:sz w:val="15"/>
              </w:rPr>
              <w:t>Fondo Innovación</w:t>
            </w:r>
          </w:p>
        </w:tc>
        <w:tc>
          <w:tcPr>
            <w:tcW w:w="1360" w:type="dxa"/>
          </w:tcPr>
          <w:p>
            <w:pPr>
              <w:pStyle w:val="TableParagraph"/>
              <w:spacing w:line="178" w:lineRule="exact"/>
              <w:ind w:right="207"/>
              <w:jc w:val="right"/>
              <w:rPr>
                <w:sz w:val="15"/>
              </w:rPr>
            </w:pPr>
            <w:r>
              <w:rPr>
                <w:sz w:val="15"/>
              </w:rPr>
              <w:t>351.136,91</w:t>
            </w:r>
          </w:p>
        </w:tc>
        <w:tc>
          <w:tcPr>
            <w:tcW w:w="1236" w:type="dxa"/>
          </w:tcPr>
          <w:p>
            <w:pPr>
              <w:pStyle w:val="TableParagraph"/>
              <w:spacing w:line="178" w:lineRule="exact"/>
              <w:ind w:left="200" w:right="69"/>
              <w:jc w:val="center"/>
              <w:rPr>
                <w:sz w:val="15"/>
              </w:rPr>
            </w:pPr>
            <w:r>
              <w:rPr>
                <w:sz w:val="15"/>
              </w:rPr>
              <w:t>219.195,49</w:t>
            </w:r>
          </w:p>
        </w:tc>
        <w:tc>
          <w:tcPr>
            <w:tcW w:w="1113" w:type="dxa"/>
            <w:tcBorders>
              <w:right w:val="single" w:sz="4" w:space="0" w:color="000000"/>
            </w:tcBorders>
          </w:tcPr>
          <w:p>
            <w:pPr>
              <w:pStyle w:val="TableParagraph"/>
              <w:spacing w:line="178" w:lineRule="exact"/>
              <w:ind w:right="78"/>
              <w:jc w:val="right"/>
              <w:rPr>
                <w:sz w:val="15"/>
              </w:rPr>
            </w:pPr>
            <w:r>
              <w:rPr>
                <w:sz w:val="15"/>
              </w:rPr>
              <w:t>-131.941,42</w:t>
            </w:r>
          </w:p>
        </w:tc>
      </w:tr>
      <w:tr>
        <w:trPr>
          <w:trHeight w:val="184" w:hRule="atLeast"/>
        </w:trPr>
        <w:tc>
          <w:tcPr>
            <w:tcW w:w="2096" w:type="dxa"/>
            <w:tcBorders>
              <w:left w:val="single" w:sz="4" w:space="0" w:color="000000"/>
            </w:tcBorders>
          </w:tcPr>
          <w:p>
            <w:pPr>
              <w:pStyle w:val="TableParagraph"/>
              <w:spacing w:line="164" w:lineRule="exact"/>
              <w:ind w:left="89"/>
              <w:rPr>
                <w:b/>
                <w:sz w:val="15"/>
              </w:rPr>
            </w:pPr>
            <w:r>
              <w:rPr>
                <w:b/>
                <w:sz w:val="15"/>
              </w:rPr>
              <w:t>Fondo Jeremie</w:t>
            </w:r>
          </w:p>
        </w:tc>
        <w:tc>
          <w:tcPr>
            <w:tcW w:w="1360" w:type="dxa"/>
          </w:tcPr>
          <w:p>
            <w:pPr>
              <w:pStyle w:val="TableParagraph"/>
              <w:spacing w:line="164" w:lineRule="exact"/>
              <w:ind w:right="207"/>
              <w:jc w:val="right"/>
              <w:rPr>
                <w:sz w:val="15"/>
              </w:rPr>
            </w:pPr>
            <w:r>
              <w:rPr>
                <w:sz w:val="15"/>
              </w:rPr>
              <w:t>940.249,48</w:t>
            </w:r>
          </w:p>
        </w:tc>
        <w:tc>
          <w:tcPr>
            <w:tcW w:w="1236" w:type="dxa"/>
          </w:tcPr>
          <w:p>
            <w:pPr>
              <w:pStyle w:val="TableParagraph"/>
              <w:spacing w:line="164" w:lineRule="exact"/>
              <w:ind w:left="200" w:right="69"/>
              <w:jc w:val="center"/>
              <w:rPr>
                <w:sz w:val="15"/>
              </w:rPr>
            </w:pPr>
            <w:r>
              <w:rPr>
                <w:sz w:val="15"/>
              </w:rPr>
              <w:t>921.652,54</w:t>
            </w:r>
          </w:p>
        </w:tc>
        <w:tc>
          <w:tcPr>
            <w:tcW w:w="1113" w:type="dxa"/>
            <w:tcBorders>
              <w:right w:val="single" w:sz="4" w:space="0" w:color="000000"/>
            </w:tcBorders>
          </w:tcPr>
          <w:p>
            <w:pPr>
              <w:pStyle w:val="TableParagraph"/>
              <w:spacing w:line="164" w:lineRule="exact"/>
              <w:ind w:right="78"/>
              <w:jc w:val="right"/>
              <w:rPr>
                <w:sz w:val="15"/>
              </w:rPr>
            </w:pPr>
            <w:r>
              <w:rPr>
                <w:sz w:val="15"/>
              </w:rPr>
              <w:t>-18.596,94</w:t>
            </w:r>
          </w:p>
        </w:tc>
      </w:tr>
      <w:tr>
        <w:trPr>
          <w:trHeight w:val="184" w:hRule="atLeast"/>
        </w:trPr>
        <w:tc>
          <w:tcPr>
            <w:tcW w:w="2096" w:type="dxa"/>
            <w:tcBorders>
              <w:left w:val="single" w:sz="4" w:space="0" w:color="000000"/>
            </w:tcBorders>
          </w:tcPr>
          <w:p>
            <w:pPr>
              <w:pStyle w:val="TableParagraph"/>
              <w:spacing w:line="164" w:lineRule="exact"/>
              <w:ind w:left="89"/>
              <w:rPr>
                <w:b/>
                <w:sz w:val="15"/>
              </w:rPr>
            </w:pPr>
            <w:r>
              <w:rPr>
                <w:b/>
                <w:sz w:val="15"/>
              </w:rPr>
              <w:t>Fondo Canarias Financia 1</w:t>
            </w:r>
          </w:p>
        </w:tc>
        <w:tc>
          <w:tcPr>
            <w:tcW w:w="1360" w:type="dxa"/>
          </w:tcPr>
          <w:p>
            <w:pPr>
              <w:pStyle w:val="TableParagraph"/>
              <w:spacing w:line="164" w:lineRule="exact"/>
              <w:ind w:right="207"/>
              <w:jc w:val="right"/>
              <w:rPr>
                <w:sz w:val="15"/>
              </w:rPr>
            </w:pPr>
            <w:r>
              <w:rPr>
                <w:sz w:val="15"/>
              </w:rPr>
              <w:t>1.410.855,10</w:t>
            </w:r>
          </w:p>
        </w:tc>
        <w:tc>
          <w:tcPr>
            <w:tcW w:w="1236" w:type="dxa"/>
          </w:tcPr>
          <w:p>
            <w:pPr>
              <w:pStyle w:val="TableParagraph"/>
              <w:spacing w:line="164" w:lineRule="exact"/>
              <w:ind w:left="200" w:right="184"/>
              <w:jc w:val="center"/>
              <w:rPr>
                <w:sz w:val="15"/>
              </w:rPr>
            </w:pPr>
            <w:r>
              <w:rPr>
                <w:sz w:val="15"/>
              </w:rPr>
              <w:t>3.125.833,83</w:t>
            </w:r>
          </w:p>
        </w:tc>
        <w:tc>
          <w:tcPr>
            <w:tcW w:w="1113" w:type="dxa"/>
            <w:tcBorders>
              <w:right w:val="single" w:sz="4" w:space="0" w:color="000000"/>
            </w:tcBorders>
          </w:tcPr>
          <w:p>
            <w:pPr>
              <w:pStyle w:val="TableParagraph"/>
              <w:spacing w:line="164" w:lineRule="exact"/>
              <w:ind w:right="78"/>
              <w:jc w:val="right"/>
              <w:rPr>
                <w:sz w:val="15"/>
              </w:rPr>
            </w:pPr>
            <w:r>
              <w:rPr>
                <w:sz w:val="15"/>
              </w:rPr>
              <w:t>1.714.978,73</w:t>
            </w:r>
          </w:p>
        </w:tc>
      </w:tr>
      <w:tr>
        <w:trPr>
          <w:trHeight w:val="169" w:hRule="atLeast"/>
        </w:trPr>
        <w:tc>
          <w:tcPr>
            <w:tcW w:w="2096" w:type="dxa"/>
            <w:tcBorders>
              <w:left w:val="single" w:sz="4" w:space="0" w:color="000000"/>
              <w:bottom w:val="single" w:sz="4" w:space="0" w:color="000000"/>
            </w:tcBorders>
          </w:tcPr>
          <w:p>
            <w:pPr>
              <w:pStyle w:val="TableParagraph"/>
              <w:rPr>
                <w:rFonts w:ascii="Times New Roman"/>
                <w:sz w:val="10"/>
              </w:rPr>
            </w:pPr>
          </w:p>
        </w:tc>
        <w:tc>
          <w:tcPr>
            <w:tcW w:w="1360" w:type="dxa"/>
            <w:tcBorders>
              <w:bottom w:val="single" w:sz="4" w:space="0" w:color="000000"/>
            </w:tcBorders>
          </w:tcPr>
          <w:p>
            <w:pPr>
              <w:pStyle w:val="TableParagraph"/>
              <w:spacing w:line="150" w:lineRule="exact"/>
              <w:ind w:right="209"/>
              <w:jc w:val="right"/>
              <w:rPr>
                <w:b/>
                <w:sz w:val="15"/>
              </w:rPr>
            </w:pPr>
            <w:r>
              <w:rPr>
                <w:b/>
                <w:sz w:val="15"/>
              </w:rPr>
              <w:t>2.702.241,49</w:t>
            </w:r>
          </w:p>
        </w:tc>
        <w:tc>
          <w:tcPr>
            <w:tcW w:w="1236" w:type="dxa"/>
            <w:tcBorders>
              <w:bottom w:val="single" w:sz="4" w:space="0" w:color="000000"/>
            </w:tcBorders>
          </w:tcPr>
          <w:p>
            <w:pPr>
              <w:pStyle w:val="TableParagraph"/>
              <w:spacing w:line="150" w:lineRule="exact"/>
              <w:ind w:left="198" w:right="190"/>
              <w:jc w:val="center"/>
              <w:rPr>
                <w:b/>
                <w:sz w:val="15"/>
              </w:rPr>
            </w:pPr>
            <w:r>
              <w:rPr>
                <w:b/>
                <w:sz w:val="15"/>
              </w:rPr>
              <w:t>4.266.681,86</w:t>
            </w:r>
          </w:p>
        </w:tc>
        <w:tc>
          <w:tcPr>
            <w:tcW w:w="1113" w:type="dxa"/>
            <w:tcBorders>
              <w:bottom w:val="single" w:sz="4" w:space="0" w:color="000000"/>
              <w:right w:val="single" w:sz="4" w:space="0" w:color="000000"/>
            </w:tcBorders>
          </w:tcPr>
          <w:p>
            <w:pPr>
              <w:pStyle w:val="TableParagraph"/>
              <w:spacing w:line="150" w:lineRule="exact"/>
              <w:ind w:right="80"/>
              <w:jc w:val="right"/>
              <w:rPr>
                <w:b/>
                <w:sz w:val="15"/>
              </w:rPr>
            </w:pPr>
            <w:r>
              <w:rPr>
                <w:b/>
                <w:sz w:val="15"/>
              </w:rPr>
              <w:t>1.564.440,37</w:t>
            </w:r>
          </w:p>
        </w:tc>
      </w:tr>
    </w:tbl>
    <w:p>
      <w:pPr>
        <w:pStyle w:val="BodyText"/>
        <w:spacing w:before="7"/>
        <w:rPr>
          <w:sz w:val="16"/>
        </w:rPr>
      </w:pPr>
    </w:p>
    <w:p>
      <w:pPr>
        <w:pStyle w:val="BodyText"/>
        <w:ind w:left="2099" w:right="1144" w:firstLine="594"/>
        <w:jc w:val="both"/>
      </w:pPr>
      <w:r>
        <w:rPr/>
        <w:t>Estas variaciones son debidas principalmente por la concesión durante 2022 de nuevos créditos participativos correspondientes al instrumento de creación y desarrollo de PYMES innovadoras, así como créditos ordinarios correspondientes al instrumento</w:t>
      </w:r>
    </w:p>
    <w:p>
      <w:pPr>
        <w:pStyle w:val="BodyText"/>
        <w:spacing w:before="10"/>
        <w:rPr>
          <w:sz w:val="8"/>
        </w:rPr>
      </w:pPr>
    </w:p>
    <w:p>
      <w:pPr>
        <w:pStyle w:val="BodyText"/>
        <w:spacing w:before="61"/>
        <w:ind w:left="7787"/>
        <w:jc w:val="center"/>
      </w:pPr>
      <w:r>
        <w:rPr/>
        <w:t>143</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01" name="image5.png"/>
                  <wp:cNvGraphicFramePr>
                    <a:graphicFrameLocks noChangeAspect="1"/>
                  </wp:cNvGraphicFramePr>
                  <a:graphic>
                    <a:graphicData uri="http://schemas.openxmlformats.org/drawingml/2006/picture">
                      <pic:pic>
                        <pic:nvPicPr>
                          <pic:cNvPr id="30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145/247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099"/>
      </w:pPr>
      <w:r>
        <w:rPr/>
        <w:t>de innovación empresarial de PYMES, del Fondo Canarias Financia 1.</w:t>
      </w:r>
    </w:p>
    <w:p>
      <w:pPr>
        <w:pStyle w:val="BodyText"/>
        <w:spacing w:before="8"/>
        <w:rPr>
          <w:sz w:val="16"/>
        </w:rPr>
      </w:pPr>
    </w:p>
    <w:p>
      <w:pPr>
        <w:pStyle w:val="BodyText"/>
        <w:spacing w:line="242" w:lineRule="auto"/>
        <w:ind w:left="2099" w:right="1139" w:firstLine="594"/>
        <w:jc w:val="both"/>
      </w:pPr>
      <w:r>
        <w:rPr/>
        <w:t>Asimismo, se produce en la variación del patrimonio generado agregado de los Fondos Carentes de Personalidad Jurídica que se recoge en el Estado de cambios en el Patrimonio Neto Agregado una disminución por importe de 242.987 euros correspondiente al Resultado Económico Patrimonial agregado:</w:t>
      </w:r>
    </w:p>
    <w:p>
      <w:pPr>
        <w:pStyle w:val="BodyText"/>
        <w:spacing w:before="4"/>
        <w:rPr>
          <w:sz w:val="16"/>
        </w:rPr>
      </w:pPr>
    </w:p>
    <w:tbl>
      <w:tblPr>
        <w:tblW w:w="0" w:type="auto"/>
        <w:jc w:val="left"/>
        <w:tblInd w:w="2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6"/>
        <w:gridCol w:w="1315"/>
        <w:gridCol w:w="1270"/>
        <w:gridCol w:w="1030"/>
      </w:tblGrid>
      <w:tr>
        <w:trPr>
          <w:trHeight w:val="373" w:hRule="atLeast"/>
        </w:trPr>
        <w:tc>
          <w:tcPr>
            <w:tcW w:w="2096" w:type="dxa"/>
            <w:tcBorders>
              <w:top w:val="single" w:sz="4" w:space="0" w:color="000000"/>
              <w:left w:val="single" w:sz="4" w:space="0" w:color="000000"/>
            </w:tcBorders>
          </w:tcPr>
          <w:p>
            <w:pPr>
              <w:pStyle w:val="TableParagraph"/>
              <w:rPr>
                <w:rFonts w:ascii="Times New Roman"/>
                <w:sz w:val="16"/>
              </w:rPr>
            </w:pPr>
          </w:p>
        </w:tc>
        <w:tc>
          <w:tcPr>
            <w:tcW w:w="1315" w:type="dxa"/>
            <w:tcBorders>
              <w:top w:val="single" w:sz="4" w:space="0" w:color="000000"/>
            </w:tcBorders>
            <w:shd w:val="clear" w:color="auto" w:fill="DEEAF6"/>
          </w:tcPr>
          <w:p>
            <w:pPr>
              <w:pStyle w:val="TableParagraph"/>
              <w:spacing w:before="96"/>
              <w:ind w:left="451" w:right="518"/>
              <w:jc w:val="center"/>
              <w:rPr>
                <w:b/>
                <w:sz w:val="15"/>
              </w:rPr>
            </w:pPr>
            <w:r>
              <w:rPr>
                <w:b/>
                <w:sz w:val="15"/>
              </w:rPr>
              <w:t>2021</w:t>
            </w:r>
          </w:p>
        </w:tc>
        <w:tc>
          <w:tcPr>
            <w:tcW w:w="1270" w:type="dxa"/>
            <w:tcBorders>
              <w:top w:val="single" w:sz="4" w:space="0" w:color="000000"/>
            </w:tcBorders>
            <w:shd w:val="clear" w:color="auto" w:fill="DEEAF6"/>
          </w:tcPr>
          <w:p>
            <w:pPr>
              <w:pStyle w:val="TableParagraph"/>
              <w:spacing w:before="96"/>
              <w:ind w:left="392"/>
              <w:rPr>
                <w:b/>
                <w:sz w:val="15"/>
              </w:rPr>
            </w:pPr>
            <w:r>
              <w:rPr>
                <w:b/>
                <w:sz w:val="15"/>
              </w:rPr>
              <w:t>2022</w:t>
            </w:r>
          </w:p>
        </w:tc>
        <w:tc>
          <w:tcPr>
            <w:tcW w:w="1030" w:type="dxa"/>
            <w:tcBorders>
              <w:top w:val="single" w:sz="4" w:space="0" w:color="000000"/>
              <w:right w:val="single" w:sz="4" w:space="0" w:color="000000"/>
            </w:tcBorders>
            <w:shd w:val="clear" w:color="auto" w:fill="DEEAF6"/>
          </w:tcPr>
          <w:p>
            <w:pPr>
              <w:pStyle w:val="TableParagraph"/>
              <w:spacing w:before="96"/>
              <w:ind w:left="270"/>
              <w:rPr>
                <w:b/>
                <w:sz w:val="15"/>
              </w:rPr>
            </w:pPr>
            <w:r>
              <w:rPr>
                <w:b/>
                <w:sz w:val="15"/>
              </w:rPr>
              <w:t>Variación</w:t>
            </w:r>
          </w:p>
        </w:tc>
      </w:tr>
      <w:tr>
        <w:trPr>
          <w:trHeight w:val="199" w:hRule="atLeast"/>
        </w:trPr>
        <w:tc>
          <w:tcPr>
            <w:tcW w:w="2096" w:type="dxa"/>
            <w:tcBorders>
              <w:left w:val="single" w:sz="4" w:space="0" w:color="000000"/>
            </w:tcBorders>
          </w:tcPr>
          <w:p>
            <w:pPr>
              <w:pStyle w:val="TableParagraph"/>
              <w:spacing w:line="177" w:lineRule="exact" w:before="2"/>
              <w:ind w:left="89"/>
              <w:rPr>
                <w:b/>
                <w:sz w:val="15"/>
              </w:rPr>
            </w:pPr>
            <w:r>
              <w:rPr>
                <w:b/>
                <w:sz w:val="15"/>
              </w:rPr>
              <w:t>Fondo Innovación</w:t>
            </w:r>
          </w:p>
        </w:tc>
        <w:tc>
          <w:tcPr>
            <w:tcW w:w="1315" w:type="dxa"/>
          </w:tcPr>
          <w:p>
            <w:pPr>
              <w:pStyle w:val="TableParagraph"/>
              <w:spacing w:line="177" w:lineRule="exact" w:before="2"/>
              <w:ind w:right="160"/>
              <w:jc w:val="right"/>
              <w:rPr>
                <w:sz w:val="15"/>
              </w:rPr>
            </w:pPr>
            <w:r>
              <w:rPr>
                <w:sz w:val="15"/>
              </w:rPr>
              <w:t>(3.202.941,24)</w:t>
            </w:r>
          </w:p>
        </w:tc>
        <w:tc>
          <w:tcPr>
            <w:tcW w:w="1270" w:type="dxa"/>
          </w:tcPr>
          <w:p>
            <w:pPr>
              <w:pStyle w:val="TableParagraph"/>
              <w:spacing w:line="177" w:lineRule="exact" w:before="2"/>
              <w:ind w:left="178"/>
              <w:rPr>
                <w:sz w:val="15"/>
              </w:rPr>
            </w:pPr>
            <w:r>
              <w:rPr>
                <w:sz w:val="15"/>
              </w:rPr>
              <w:t>(3.180.547,68)</w:t>
            </w:r>
          </w:p>
        </w:tc>
        <w:tc>
          <w:tcPr>
            <w:tcW w:w="1030" w:type="dxa"/>
            <w:tcBorders>
              <w:right w:val="single" w:sz="4" w:space="0" w:color="000000"/>
            </w:tcBorders>
          </w:tcPr>
          <w:p>
            <w:pPr>
              <w:pStyle w:val="TableParagraph"/>
              <w:spacing w:line="177" w:lineRule="exact" w:before="2"/>
              <w:ind w:right="83"/>
              <w:jc w:val="right"/>
              <w:rPr>
                <w:sz w:val="15"/>
              </w:rPr>
            </w:pPr>
            <w:r>
              <w:rPr>
                <w:sz w:val="15"/>
              </w:rPr>
              <w:t>22.393,56</w:t>
            </w:r>
          </w:p>
        </w:tc>
      </w:tr>
      <w:tr>
        <w:trPr>
          <w:trHeight w:val="184" w:hRule="atLeast"/>
        </w:trPr>
        <w:tc>
          <w:tcPr>
            <w:tcW w:w="2096" w:type="dxa"/>
            <w:tcBorders>
              <w:left w:val="single" w:sz="4" w:space="0" w:color="000000"/>
            </w:tcBorders>
          </w:tcPr>
          <w:p>
            <w:pPr>
              <w:pStyle w:val="TableParagraph"/>
              <w:spacing w:line="165" w:lineRule="exact"/>
              <w:ind w:left="89"/>
              <w:rPr>
                <w:b/>
                <w:sz w:val="15"/>
              </w:rPr>
            </w:pPr>
            <w:r>
              <w:rPr>
                <w:b/>
                <w:sz w:val="15"/>
              </w:rPr>
              <w:t>Fondo Jeremie</w:t>
            </w:r>
          </w:p>
        </w:tc>
        <w:tc>
          <w:tcPr>
            <w:tcW w:w="1315" w:type="dxa"/>
          </w:tcPr>
          <w:p>
            <w:pPr>
              <w:pStyle w:val="TableParagraph"/>
              <w:spacing w:line="165" w:lineRule="exact"/>
              <w:ind w:right="160"/>
              <w:jc w:val="right"/>
              <w:rPr>
                <w:sz w:val="15"/>
              </w:rPr>
            </w:pPr>
            <w:r>
              <w:rPr>
                <w:sz w:val="15"/>
              </w:rPr>
              <w:t>(3.508.727,13)</w:t>
            </w:r>
          </w:p>
        </w:tc>
        <w:tc>
          <w:tcPr>
            <w:tcW w:w="1270" w:type="dxa"/>
          </w:tcPr>
          <w:p>
            <w:pPr>
              <w:pStyle w:val="TableParagraph"/>
              <w:spacing w:line="165" w:lineRule="exact"/>
              <w:ind w:left="178"/>
              <w:rPr>
                <w:sz w:val="15"/>
              </w:rPr>
            </w:pPr>
            <w:r>
              <w:rPr>
                <w:sz w:val="15"/>
              </w:rPr>
              <w:t>(3.300.872,54)</w:t>
            </w:r>
          </w:p>
        </w:tc>
        <w:tc>
          <w:tcPr>
            <w:tcW w:w="1030" w:type="dxa"/>
            <w:tcBorders>
              <w:right w:val="single" w:sz="4" w:space="0" w:color="000000"/>
            </w:tcBorders>
          </w:tcPr>
          <w:p>
            <w:pPr>
              <w:pStyle w:val="TableParagraph"/>
              <w:spacing w:line="165" w:lineRule="exact"/>
              <w:ind w:right="83"/>
              <w:jc w:val="right"/>
              <w:rPr>
                <w:sz w:val="15"/>
              </w:rPr>
            </w:pPr>
            <w:r>
              <w:rPr>
                <w:sz w:val="15"/>
              </w:rPr>
              <w:t>207.854,59</w:t>
            </w:r>
          </w:p>
        </w:tc>
      </w:tr>
      <w:tr>
        <w:trPr>
          <w:trHeight w:val="184" w:hRule="atLeast"/>
        </w:trPr>
        <w:tc>
          <w:tcPr>
            <w:tcW w:w="2096" w:type="dxa"/>
            <w:tcBorders>
              <w:left w:val="single" w:sz="4" w:space="0" w:color="000000"/>
            </w:tcBorders>
          </w:tcPr>
          <w:p>
            <w:pPr>
              <w:pStyle w:val="TableParagraph"/>
              <w:spacing w:line="164" w:lineRule="exact"/>
              <w:ind w:left="89"/>
              <w:rPr>
                <w:b/>
                <w:sz w:val="15"/>
              </w:rPr>
            </w:pPr>
            <w:r>
              <w:rPr>
                <w:b/>
                <w:sz w:val="15"/>
              </w:rPr>
              <w:t>Fondo Canarias Financia 1</w:t>
            </w:r>
          </w:p>
        </w:tc>
        <w:tc>
          <w:tcPr>
            <w:tcW w:w="1315" w:type="dxa"/>
          </w:tcPr>
          <w:p>
            <w:pPr>
              <w:pStyle w:val="TableParagraph"/>
              <w:spacing w:line="164" w:lineRule="exact"/>
              <w:ind w:right="161"/>
              <w:jc w:val="right"/>
              <w:rPr>
                <w:sz w:val="15"/>
              </w:rPr>
            </w:pPr>
            <w:r>
              <w:rPr>
                <w:sz w:val="15"/>
              </w:rPr>
              <w:t>(595.864,57)</w:t>
            </w:r>
          </w:p>
        </w:tc>
        <w:tc>
          <w:tcPr>
            <w:tcW w:w="1270" w:type="dxa"/>
          </w:tcPr>
          <w:p>
            <w:pPr>
              <w:pStyle w:val="TableParagraph"/>
              <w:spacing w:line="164" w:lineRule="exact"/>
              <w:ind w:left="178"/>
              <w:rPr>
                <w:sz w:val="15"/>
              </w:rPr>
            </w:pPr>
            <w:r>
              <w:rPr>
                <w:sz w:val="15"/>
              </w:rPr>
              <w:t>(1.069.099,38)</w:t>
            </w:r>
          </w:p>
        </w:tc>
        <w:tc>
          <w:tcPr>
            <w:tcW w:w="1030" w:type="dxa"/>
            <w:tcBorders>
              <w:right w:val="single" w:sz="4" w:space="0" w:color="000000"/>
            </w:tcBorders>
          </w:tcPr>
          <w:p>
            <w:pPr>
              <w:pStyle w:val="TableParagraph"/>
              <w:spacing w:line="164" w:lineRule="exact"/>
              <w:ind w:right="83"/>
              <w:jc w:val="right"/>
              <w:rPr>
                <w:sz w:val="15"/>
              </w:rPr>
            </w:pPr>
            <w:r>
              <w:rPr>
                <w:sz w:val="15"/>
              </w:rPr>
              <w:t>-473.234,81</w:t>
            </w:r>
          </w:p>
        </w:tc>
      </w:tr>
      <w:tr>
        <w:trPr>
          <w:trHeight w:val="168" w:hRule="atLeast"/>
        </w:trPr>
        <w:tc>
          <w:tcPr>
            <w:tcW w:w="2096" w:type="dxa"/>
            <w:tcBorders>
              <w:left w:val="single" w:sz="4" w:space="0" w:color="000000"/>
              <w:bottom w:val="single" w:sz="4" w:space="0" w:color="000000"/>
            </w:tcBorders>
          </w:tcPr>
          <w:p>
            <w:pPr>
              <w:pStyle w:val="TableParagraph"/>
              <w:rPr>
                <w:rFonts w:ascii="Times New Roman"/>
                <w:sz w:val="10"/>
              </w:rPr>
            </w:pPr>
          </w:p>
        </w:tc>
        <w:tc>
          <w:tcPr>
            <w:tcW w:w="1315" w:type="dxa"/>
            <w:tcBorders>
              <w:bottom w:val="single" w:sz="4" w:space="0" w:color="000000"/>
            </w:tcBorders>
          </w:tcPr>
          <w:p>
            <w:pPr>
              <w:pStyle w:val="TableParagraph"/>
              <w:spacing w:line="149" w:lineRule="exact"/>
              <w:ind w:right="163"/>
              <w:jc w:val="right"/>
              <w:rPr>
                <w:b/>
                <w:sz w:val="15"/>
              </w:rPr>
            </w:pPr>
            <w:r>
              <w:rPr>
                <w:b/>
                <w:sz w:val="15"/>
              </w:rPr>
              <w:t>(7.307.532,94)</w:t>
            </w:r>
          </w:p>
        </w:tc>
        <w:tc>
          <w:tcPr>
            <w:tcW w:w="1270" w:type="dxa"/>
            <w:tcBorders>
              <w:bottom w:val="single" w:sz="4" w:space="0" w:color="000000"/>
            </w:tcBorders>
          </w:tcPr>
          <w:p>
            <w:pPr>
              <w:pStyle w:val="TableParagraph"/>
              <w:spacing w:line="149" w:lineRule="exact"/>
              <w:ind w:left="170"/>
              <w:rPr>
                <w:b/>
                <w:sz w:val="15"/>
              </w:rPr>
            </w:pPr>
            <w:r>
              <w:rPr>
                <w:b/>
                <w:sz w:val="15"/>
              </w:rPr>
              <w:t>(7.550.519,60)</w:t>
            </w:r>
          </w:p>
        </w:tc>
        <w:tc>
          <w:tcPr>
            <w:tcW w:w="1030" w:type="dxa"/>
            <w:tcBorders>
              <w:bottom w:val="single" w:sz="4" w:space="0" w:color="000000"/>
              <w:right w:val="single" w:sz="4" w:space="0" w:color="000000"/>
            </w:tcBorders>
          </w:tcPr>
          <w:p>
            <w:pPr>
              <w:pStyle w:val="TableParagraph"/>
              <w:spacing w:line="149" w:lineRule="exact"/>
              <w:ind w:right="83"/>
              <w:jc w:val="right"/>
              <w:rPr>
                <w:b/>
                <w:sz w:val="15"/>
              </w:rPr>
            </w:pPr>
            <w:r>
              <w:rPr>
                <w:b/>
                <w:sz w:val="15"/>
              </w:rPr>
              <w:t>-242.986,66</w:t>
            </w:r>
          </w:p>
        </w:tc>
      </w:tr>
    </w:tbl>
    <w:p>
      <w:pPr>
        <w:pStyle w:val="BodyText"/>
        <w:spacing w:before="7"/>
        <w:rPr>
          <w:sz w:val="16"/>
        </w:rPr>
      </w:pPr>
    </w:p>
    <w:p>
      <w:pPr>
        <w:pStyle w:val="BodyText"/>
        <w:spacing w:line="242" w:lineRule="auto"/>
        <w:ind w:left="2099" w:right="1143" w:firstLine="594"/>
        <w:jc w:val="both"/>
      </w:pPr>
      <w:r>
        <w:rPr/>
        <w:t>El desahorro agregado obtenido en 2022 tiene su origen, principalmente, en el Fondo Canarias Financia 1, que al igual que en el ejercicio anterior, presenta un resultado económico patrimonial negativo, cuya explicación se encuentra en el deterioro de valor registrado, correspondiente a dos créditos concedidos por importe de 330.000 euros, cuyos beneficiarios han comunicado el cierre de la empresa y a otro crédito de 90.000 euros, concedido a un beneficiario que ha presentado concurso de acreedores. El resultado económico patrimonial positivo obtenido por el Fondo Jeremie es consecuencia de la reversión de deterioros registrados en años anteriores al recuperarse el importe parcial de diez créditos provisionados.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6"/>
        </w:rPr>
      </w:pPr>
    </w:p>
    <w:p>
      <w:pPr>
        <w:pStyle w:val="BodyText"/>
        <w:spacing w:before="61"/>
        <w:ind w:left="7787"/>
        <w:jc w:val="center"/>
      </w:pPr>
      <w:r>
        <w:rPr/>
        <w:t>144</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03" name="image5.png"/>
                  <wp:cNvGraphicFramePr>
                    <a:graphicFrameLocks noChangeAspect="1"/>
                  </wp:cNvGraphicFramePr>
                  <a:graphic>
                    <a:graphicData uri="http://schemas.openxmlformats.org/drawingml/2006/picture">
                      <pic:pic>
                        <pic:nvPicPr>
                          <pic:cNvPr id="30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146/247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Heading1"/>
        <w:numPr>
          <w:ilvl w:val="0"/>
          <w:numId w:val="94"/>
        </w:numPr>
        <w:tabs>
          <w:tab w:pos="4662" w:val="left" w:leader="none"/>
          <w:tab w:pos="4663" w:val="left" w:leader="none"/>
        </w:tabs>
        <w:spacing w:line="240" w:lineRule="auto" w:before="61" w:after="0"/>
        <w:ind w:left="4662" w:right="0" w:hanging="363"/>
        <w:jc w:val="left"/>
      </w:pPr>
      <w:bookmarkStart w:name="_TOC_250002" w:id="20"/>
      <w:bookmarkEnd w:id="20"/>
      <w:r>
        <w:rPr>
          <w:color w:val="53A1B9"/>
        </w:rPr>
        <w:t>OPERACIONES FINANCIERAS</w:t>
      </w:r>
    </w:p>
    <w:p>
      <w:pPr>
        <w:pStyle w:val="BodyText"/>
        <w:spacing w:before="8"/>
        <w:rPr>
          <w:b/>
          <w:sz w:val="16"/>
        </w:rPr>
      </w:pPr>
    </w:p>
    <w:p>
      <w:pPr>
        <w:pStyle w:val="Heading1"/>
        <w:numPr>
          <w:ilvl w:val="1"/>
          <w:numId w:val="95"/>
        </w:numPr>
        <w:tabs>
          <w:tab w:pos="2629" w:val="left" w:leader="none"/>
          <w:tab w:pos="2630" w:val="left" w:leader="none"/>
        </w:tabs>
        <w:spacing w:line="240" w:lineRule="auto" w:before="0" w:after="0"/>
        <w:ind w:left="2629" w:right="0" w:hanging="531"/>
        <w:jc w:val="left"/>
      </w:pPr>
      <w:bookmarkStart w:name="_TOC_250001" w:id="21"/>
      <w:r>
        <w:rPr>
          <w:color w:val="53A1B9"/>
        </w:rPr>
        <w:t>Estabilidad presupuestaria y Sostenibilidad</w:t>
      </w:r>
      <w:r>
        <w:rPr>
          <w:color w:val="53A1B9"/>
          <w:spacing w:val="2"/>
        </w:rPr>
        <w:t> </w:t>
      </w:r>
      <w:bookmarkEnd w:id="21"/>
      <w:r>
        <w:rPr>
          <w:color w:val="53A1B9"/>
        </w:rPr>
        <w:t>Financiera.</w:t>
      </w:r>
    </w:p>
    <w:p>
      <w:pPr>
        <w:pStyle w:val="BodyText"/>
        <w:spacing w:before="4"/>
        <w:rPr>
          <w:b/>
          <w:sz w:val="16"/>
        </w:rPr>
      </w:pPr>
    </w:p>
    <w:p>
      <w:pPr>
        <w:pStyle w:val="ListParagraph"/>
        <w:numPr>
          <w:ilvl w:val="0"/>
          <w:numId w:val="96"/>
        </w:numPr>
        <w:tabs>
          <w:tab w:pos="2337" w:val="left" w:leader="none"/>
        </w:tabs>
        <w:spacing w:line="242" w:lineRule="auto" w:before="1" w:after="0"/>
        <w:ind w:left="2336" w:right="1141" w:hanging="238"/>
        <w:jc w:val="both"/>
        <w:rPr>
          <w:sz w:val="20"/>
        </w:rPr>
      </w:pPr>
      <w:r>
        <w:rPr>
          <w:sz w:val="20"/>
        </w:rPr>
        <w:t>Las unidades</w:t>
      </w:r>
      <w:r>
        <w:rPr>
          <w:position w:val="7"/>
          <w:sz w:val="13"/>
        </w:rPr>
        <w:t>37 </w:t>
      </w:r>
      <w:r>
        <w:rPr>
          <w:sz w:val="20"/>
        </w:rPr>
        <w:t>integrantes en el “Sector Administraciones Públicas”, cuyos datos han sido considerados a efectos de la determinación de la capacidad/necesidad de financiación de la CAC en el ejercicio fiscalizado, son 57 entidades, dado que en las SSMM se incorpora Gestión del Medio Rural de Canarias, S.A. y Regional GEODATA AIR, S.A, mientras que ya no figura el Fondo de Préstamos para la financiación de Proyectos de Investigación y Desarrollo asociados a la Red de Parques Tecnológicos de Canarias extinguido en mayo de</w:t>
      </w:r>
      <w:r>
        <w:rPr>
          <w:spacing w:val="1"/>
          <w:sz w:val="20"/>
        </w:rPr>
        <w:t> </w:t>
      </w:r>
      <w:r>
        <w:rPr>
          <w:sz w:val="20"/>
        </w:rPr>
        <w:t>2021.</w:t>
      </w:r>
    </w:p>
    <w:p>
      <w:pPr>
        <w:pStyle w:val="BodyText"/>
        <w:spacing w:before="3"/>
        <w:rPr>
          <w:sz w:val="16"/>
        </w:rPr>
      </w:pPr>
    </w:p>
    <w:p>
      <w:pPr>
        <w:pStyle w:val="ListParagraph"/>
        <w:numPr>
          <w:ilvl w:val="0"/>
          <w:numId w:val="96"/>
        </w:numPr>
        <w:tabs>
          <w:tab w:pos="2337" w:val="left" w:leader="none"/>
        </w:tabs>
        <w:spacing w:line="240" w:lineRule="auto" w:before="0" w:after="0"/>
        <w:ind w:left="2336" w:right="1143" w:hanging="238"/>
        <w:jc w:val="both"/>
        <w:rPr>
          <w:sz w:val="20"/>
        </w:rPr>
      </w:pPr>
      <w:r>
        <w:rPr>
          <w:sz w:val="20"/>
        </w:rPr>
        <w:t>Al igual que en el ejercicio 2021, señalar que no se está cumpliendo el Art. 81.2 de la ley 40/2015,de 1 de octubre, de Régimen Jurídico del Sector Público en el sentido de que: </w:t>
      </w:r>
      <w:r>
        <w:rPr>
          <w:i/>
          <w:sz w:val="20"/>
        </w:rPr>
        <w:t>“Todas las Administraciones Públicas deberán establecer un sistema de </w:t>
      </w:r>
      <w:r>
        <w:rPr>
          <w:i/>
          <w:sz w:val="20"/>
        </w:rPr>
        <w:t>supervisión continua de sus entidades dependientes, con el objeto de comprobar la subsistencia de los motivos que justificaron su creación y su sostenibilidad financiera, y que deberá incluir la formulación expresa de propuestas de mantenimiento, transformación o</w:t>
      </w:r>
      <w:r>
        <w:rPr>
          <w:i/>
          <w:spacing w:val="1"/>
          <w:sz w:val="20"/>
        </w:rPr>
        <w:t> </w:t>
      </w:r>
      <w:r>
        <w:rPr>
          <w:i/>
          <w:sz w:val="20"/>
        </w:rPr>
        <w:t>extinción”</w:t>
      </w:r>
      <w:r>
        <w:rPr>
          <w:sz w:val="20"/>
        </w:rPr>
        <w:t>.</w:t>
      </w:r>
    </w:p>
    <w:p>
      <w:pPr>
        <w:pStyle w:val="BodyText"/>
        <w:spacing w:before="6"/>
        <w:rPr>
          <w:sz w:val="17"/>
        </w:rPr>
      </w:pPr>
    </w:p>
    <w:p>
      <w:pPr>
        <w:pStyle w:val="ListParagraph"/>
        <w:numPr>
          <w:ilvl w:val="0"/>
          <w:numId w:val="96"/>
        </w:numPr>
        <w:tabs>
          <w:tab w:pos="2337" w:val="left" w:leader="none"/>
        </w:tabs>
        <w:spacing w:line="242" w:lineRule="auto" w:before="0" w:after="0"/>
        <w:ind w:left="2336" w:right="1143" w:hanging="238"/>
        <w:jc w:val="both"/>
        <w:rPr>
          <w:sz w:val="20"/>
        </w:rPr>
      </w:pPr>
      <w:r>
        <w:rPr>
          <w:sz w:val="20"/>
        </w:rPr>
        <w:t>Durante el ejercicio 2022, al igual que en los ejercicios 2020 y 2021, se acuerda la supresión de las reglas fiscales por lo que se mantiene en suspenso la senda de consolidación fiscal pactada con anterioridad a la crisis de la COVID-19. Esto implica dejar sin efecto los objetivos de estabilidad y de deuda pública y no aplicar la regla del gasto, aunque se conservarán los términos del régimen de autorización de operaciones de endeudamiento de las CCAA y se mantienen en vigor las</w:t>
      </w:r>
      <w:r>
        <w:rPr>
          <w:spacing w:val="-30"/>
          <w:sz w:val="20"/>
        </w:rPr>
        <w:t> </w:t>
      </w:r>
      <w:r>
        <w:rPr>
          <w:sz w:val="20"/>
        </w:rPr>
        <w:t>obligaciones relativas al periodo medio de pago a proveedores, así como el control de su cumplimiento.</w:t>
      </w:r>
    </w:p>
    <w:p>
      <w:pPr>
        <w:pStyle w:val="BodyText"/>
        <w:spacing w:before="2"/>
        <w:rPr>
          <w:sz w:val="16"/>
        </w:rPr>
      </w:pPr>
    </w:p>
    <w:p>
      <w:pPr>
        <w:pStyle w:val="ListParagraph"/>
        <w:numPr>
          <w:ilvl w:val="0"/>
          <w:numId w:val="96"/>
        </w:numPr>
        <w:tabs>
          <w:tab w:pos="2337" w:val="left" w:leader="none"/>
        </w:tabs>
        <w:spacing w:line="242" w:lineRule="auto" w:before="1" w:after="0"/>
        <w:ind w:left="2336" w:right="1141" w:hanging="238"/>
        <w:jc w:val="both"/>
        <w:rPr>
          <w:sz w:val="20"/>
        </w:rPr>
      </w:pPr>
      <w:r>
        <w:rPr>
          <w:sz w:val="20"/>
        </w:rPr>
        <w:t>Los objetivos de estabilidad se han sustituido por unas tasas de referencia del déficit público.</w:t>
      </w:r>
      <w:r>
        <w:rPr>
          <w:spacing w:val="-6"/>
          <w:sz w:val="20"/>
        </w:rPr>
        <w:t> </w:t>
      </w:r>
      <w:r>
        <w:rPr>
          <w:sz w:val="20"/>
        </w:rPr>
        <w:t>Así,</w:t>
      </w:r>
      <w:r>
        <w:rPr>
          <w:spacing w:val="-6"/>
          <w:sz w:val="20"/>
        </w:rPr>
        <w:t> </w:t>
      </w:r>
      <w:r>
        <w:rPr>
          <w:sz w:val="20"/>
        </w:rPr>
        <w:t>por</w:t>
      </w:r>
      <w:r>
        <w:rPr>
          <w:spacing w:val="-6"/>
          <w:sz w:val="20"/>
        </w:rPr>
        <w:t> </w:t>
      </w:r>
      <w:r>
        <w:rPr>
          <w:sz w:val="20"/>
        </w:rPr>
        <w:t>Acuerdo</w:t>
      </w:r>
      <w:r>
        <w:rPr>
          <w:spacing w:val="-5"/>
          <w:sz w:val="20"/>
        </w:rPr>
        <w:t> </w:t>
      </w:r>
      <w:r>
        <w:rPr>
          <w:sz w:val="20"/>
        </w:rPr>
        <w:t>de</w:t>
      </w:r>
      <w:r>
        <w:rPr>
          <w:spacing w:val="-6"/>
          <w:sz w:val="20"/>
        </w:rPr>
        <w:t> </w:t>
      </w:r>
      <w:r>
        <w:rPr>
          <w:sz w:val="20"/>
        </w:rPr>
        <w:t>Consejo</w:t>
      </w:r>
      <w:r>
        <w:rPr>
          <w:spacing w:val="-3"/>
          <w:sz w:val="20"/>
        </w:rPr>
        <w:t> </w:t>
      </w:r>
      <w:r>
        <w:rPr>
          <w:sz w:val="20"/>
        </w:rPr>
        <w:t>de</w:t>
      </w:r>
      <w:r>
        <w:rPr>
          <w:spacing w:val="-6"/>
          <w:sz w:val="20"/>
        </w:rPr>
        <w:t> </w:t>
      </w:r>
      <w:r>
        <w:rPr>
          <w:sz w:val="20"/>
        </w:rPr>
        <w:t>Ministros,</w:t>
      </w:r>
      <w:r>
        <w:rPr>
          <w:spacing w:val="-4"/>
          <w:sz w:val="20"/>
        </w:rPr>
        <w:t> </w:t>
      </w:r>
      <w:r>
        <w:rPr>
          <w:sz w:val="20"/>
        </w:rPr>
        <w:t>de</w:t>
      </w:r>
      <w:r>
        <w:rPr>
          <w:spacing w:val="-5"/>
          <w:sz w:val="20"/>
        </w:rPr>
        <w:t> </w:t>
      </w:r>
      <w:r>
        <w:rPr>
          <w:sz w:val="20"/>
        </w:rPr>
        <w:t>27</w:t>
      </w:r>
      <w:r>
        <w:rPr>
          <w:spacing w:val="-5"/>
          <w:sz w:val="20"/>
        </w:rPr>
        <w:t> </w:t>
      </w:r>
      <w:r>
        <w:rPr>
          <w:sz w:val="20"/>
        </w:rPr>
        <w:t>de</w:t>
      </w:r>
      <w:r>
        <w:rPr>
          <w:spacing w:val="-6"/>
          <w:sz w:val="20"/>
        </w:rPr>
        <w:t> </w:t>
      </w:r>
      <w:r>
        <w:rPr>
          <w:sz w:val="20"/>
        </w:rPr>
        <w:t>julio</w:t>
      </w:r>
      <w:r>
        <w:rPr>
          <w:spacing w:val="-5"/>
          <w:sz w:val="20"/>
        </w:rPr>
        <w:t> </w:t>
      </w:r>
      <w:r>
        <w:rPr>
          <w:sz w:val="20"/>
        </w:rPr>
        <w:t>de</w:t>
      </w:r>
      <w:r>
        <w:rPr>
          <w:spacing w:val="-6"/>
          <w:sz w:val="20"/>
        </w:rPr>
        <w:t> </w:t>
      </w:r>
      <w:r>
        <w:rPr>
          <w:sz w:val="20"/>
        </w:rPr>
        <w:t>2021,</w:t>
      </w:r>
      <w:r>
        <w:rPr>
          <w:spacing w:val="-4"/>
          <w:sz w:val="20"/>
        </w:rPr>
        <w:t> </w:t>
      </w:r>
      <w:r>
        <w:rPr>
          <w:sz w:val="20"/>
        </w:rPr>
        <w:t>se</w:t>
      </w:r>
      <w:r>
        <w:rPr>
          <w:spacing w:val="-3"/>
          <w:sz w:val="20"/>
        </w:rPr>
        <w:t> </w:t>
      </w:r>
      <w:r>
        <w:rPr>
          <w:sz w:val="20"/>
        </w:rPr>
        <w:t>fijó</w:t>
      </w:r>
      <w:r>
        <w:rPr>
          <w:spacing w:val="-6"/>
          <w:sz w:val="20"/>
        </w:rPr>
        <w:t> </w:t>
      </w:r>
      <w:r>
        <w:rPr>
          <w:sz w:val="20"/>
        </w:rPr>
        <w:t>unas tasas de referencias de déficit para el 2022, del 0,6 % del PIB regional para las CCAA. La Ley de Presupuestos para 2022 de Canarias contempla una variación de endeudamiento por importe de 56,6 millones de € para financiar la anualidad del ejercicio que corresponde a las liquidaciones negativas del Sistema de Financiación de los ejercicios 2008 y 2009.</w:t>
      </w:r>
    </w:p>
    <w:p>
      <w:pPr>
        <w:pStyle w:val="BodyText"/>
      </w:pPr>
    </w:p>
    <w:p>
      <w:pPr>
        <w:pStyle w:val="BodyText"/>
      </w:pPr>
    </w:p>
    <w:p>
      <w:pPr>
        <w:pStyle w:val="BodyText"/>
        <w:spacing w:before="4"/>
        <w:rPr>
          <w:sz w:val="16"/>
        </w:rPr>
      </w:pPr>
      <w:r>
        <w:rPr/>
        <w:pict>
          <v:shape style="position:absolute;margin-left:142.958206pt;margin-top:12.26741pt;width:120.95pt;height:.1pt;mso-position-horizontal-relative:page;mso-position-vertical-relative:paragraph;z-index:-251440128;mso-wrap-distance-left:0;mso-wrap-distance-right:0" coordorigin="2859,245" coordsize="2419,0" path="m2859,245l5278,245e" filled="false" stroked="true" strokeweight=".604484pt" strokecolor="#000000">
            <v:path arrowok="t"/>
            <v:stroke dashstyle="solid"/>
            <w10:wrap type="topAndBottom"/>
          </v:shape>
        </w:pict>
      </w:r>
    </w:p>
    <w:p>
      <w:pPr>
        <w:spacing w:line="252" w:lineRule="auto" w:before="49"/>
        <w:ind w:left="2099" w:right="1146" w:firstLine="0"/>
        <w:jc w:val="both"/>
        <w:rPr>
          <w:sz w:val="16"/>
        </w:rPr>
      </w:pPr>
      <w:r>
        <w:rPr>
          <w:w w:val="105"/>
          <w:position w:val="6"/>
          <w:sz w:val="11"/>
        </w:rPr>
        <w:t>37 </w:t>
      </w:r>
      <w:r>
        <w:rPr>
          <w:w w:val="105"/>
          <w:sz w:val="16"/>
        </w:rPr>
        <w:t>Las unidades que integran la Administración de la CAC se designan en base a criterios SEC 2010. Se encuentran,</w:t>
      </w:r>
      <w:r>
        <w:rPr>
          <w:spacing w:val="-9"/>
          <w:w w:val="105"/>
          <w:sz w:val="16"/>
        </w:rPr>
        <w:t> </w:t>
      </w:r>
      <w:r>
        <w:rPr>
          <w:w w:val="105"/>
          <w:sz w:val="16"/>
        </w:rPr>
        <w:t>por</w:t>
      </w:r>
      <w:r>
        <w:rPr>
          <w:spacing w:val="-9"/>
          <w:w w:val="105"/>
          <w:sz w:val="16"/>
        </w:rPr>
        <w:t> </w:t>
      </w:r>
      <w:r>
        <w:rPr>
          <w:w w:val="105"/>
          <w:sz w:val="16"/>
        </w:rPr>
        <w:t>tanto,</w:t>
      </w:r>
      <w:r>
        <w:rPr>
          <w:spacing w:val="-9"/>
          <w:w w:val="105"/>
          <w:sz w:val="16"/>
        </w:rPr>
        <w:t> </w:t>
      </w:r>
      <w:r>
        <w:rPr>
          <w:w w:val="105"/>
          <w:sz w:val="16"/>
        </w:rPr>
        <w:t>incluidas</w:t>
      </w:r>
      <w:r>
        <w:rPr>
          <w:spacing w:val="-8"/>
          <w:w w:val="105"/>
          <w:sz w:val="16"/>
        </w:rPr>
        <w:t> </w:t>
      </w:r>
      <w:r>
        <w:rPr>
          <w:w w:val="105"/>
          <w:sz w:val="16"/>
        </w:rPr>
        <w:t>en</w:t>
      </w:r>
      <w:r>
        <w:rPr>
          <w:spacing w:val="-9"/>
          <w:w w:val="105"/>
          <w:sz w:val="16"/>
        </w:rPr>
        <w:t> </w:t>
      </w:r>
      <w:r>
        <w:rPr>
          <w:w w:val="105"/>
          <w:sz w:val="16"/>
        </w:rPr>
        <w:t>este</w:t>
      </w:r>
      <w:r>
        <w:rPr>
          <w:spacing w:val="-10"/>
          <w:w w:val="105"/>
          <w:sz w:val="16"/>
        </w:rPr>
        <w:t> </w:t>
      </w:r>
      <w:r>
        <w:rPr>
          <w:w w:val="105"/>
          <w:sz w:val="16"/>
        </w:rPr>
        <w:t>cálculo,</w:t>
      </w:r>
      <w:r>
        <w:rPr>
          <w:spacing w:val="-10"/>
          <w:w w:val="105"/>
          <w:sz w:val="16"/>
        </w:rPr>
        <w:t> </w:t>
      </w:r>
      <w:r>
        <w:rPr>
          <w:w w:val="105"/>
          <w:sz w:val="16"/>
        </w:rPr>
        <w:t>además</w:t>
      </w:r>
      <w:r>
        <w:rPr>
          <w:spacing w:val="-8"/>
          <w:w w:val="105"/>
          <w:sz w:val="16"/>
        </w:rPr>
        <w:t> </w:t>
      </w:r>
      <w:r>
        <w:rPr>
          <w:w w:val="105"/>
          <w:sz w:val="16"/>
        </w:rPr>
        <w:t>de</w:t>
      </w:r>
      <w:r>
        <w:rPr>
          <w:spacing w:val="-10"/>
          <w:w w:val="105"/>
          <w:sz w:val="16"/>
        </w:rPr>
        <w:t> </w:t>
      </w:r>
      <w:r>
        <w:rPr>
          <w:w w:val="105"/>
          <w:sz w:val="16"/>
        </w:rPr>
        <w:t>las</w:t>
      </w:r>
      <w:r>
        <w:rPr>
          <w:spacing w:val="-8"/>
          <w:w w:val="105"/>
          <w:sz w:val="16"/>
        </w:rPr>
        <w:t> </w:t>
      </w:r>
      <w:r>
        <w:rPr>
          <w:w w:val="105"/>
          <w:sz w:val="16"/>
        </w:rPr>
        <w:t>Universidades,</w:t>
      </w:r>
      <w:r>
        <w:rPr>
          <w:spacing w:val="-11"/>
          <w:w w:val="105"/>
          <w:sz w:val="16"/>
        </w:rPr>
        <w:t> </w:t>
      </w:r>
      <w:r>
        <w:rPr>
          <w:w w:val="105"/>
          <w:sz w:val="16"/>
        </w:rPr>
        <w:t>las</w:t>
      </w:r>
      <w:r>
        <w:rPr>
          <w:spacing w:val="-10"/>
          <w:w w:val="105"/>
          <w:sz w:val="16"/>
        </w:rPr>
        <w:t> </w:t>
      </w:r>
      <w:r>
        <w:rPr>
          <w:w w:val="105"/>
          <w:sz w:val="16"/>
        </w:rPr>
        <w:t>empresas</w:t>
      </w:r>
      <w:r>
        <w:rPr>
          <w:spacing w:val="-8"/>
          <w:w w:val="105"/>
          <w:sz w:val="16"/>
        </w:rPr>
        <w:t> </w:t>
      </w:r>
      <w:r>
        <w:rPr>
          <w:w w:val="105"/>
          <w:sz w:val="16"/>
        </w:rPr>
        <w:t>y</w:t>
      </w:r>
      <w:r>
        <w:rPr>
          <w:spacing w:val="-9"/>
          <w:w w:val="105"/>
          <w:sz w:val="16"/>
        </w:rPr>
        <w:t> </w:t>
      </w:r>
      <w:r>
        <w:rPr>
          <w:w w:val="105"/>
          <w:sz w:val="16"/>
        </w:rPr>
        <w:t>fundaciones públicas cuyas ventas no cubran más del 50 % de sus costes de</w:t>
      </w:r>
      <w:r>
        <w:rPr>
          <w:spacing w:val="-6"/>
          <w:w w:val="105"/>
          <w:sz w:val="16"/>
        </w:rPr>
        <w:t> </w:t>
      </w:r>
      <w:r>
        <w:rPr>
          <w:w w:val="105"/>
          <w:sz w:val="16"/>
        </w:rPr>
        <w:t>producción.</w:t>
      </w:r>
    </w:p>
    <w:p>
      <w:pPr>
        <w:pStyle w:val="BodyText"/>
        <w:spacing w:line="238" w:lineRule="exact"/>
        <w:ind w:left="7787"/>
        <w:jc w:val="center"/>
      </w:pPr>
      <w:r>
        <w:rPr/>
        <w:t>145</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05" name="image5.png"/>
                  <wp:cNvGraphicFramePr>
                    <a:graphicFrameLocks noChangeAspect="1"/>
                  </wp:cNvGraphicFramePr>
                  <a:graphic>
                    <a:graphicData uri="http://schemas.openxmlformats.org/drawingml/2006/picture">
                      <pic:pic>
                        <pic:nvPicPr>
                          <pic:cNvPr id="30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147/247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92"/>
        </w:numPr>
        <w:tabs>
          <w:tab w:pos="2337" w:val="left" w:leader="none"/>
        </w:tabs>
        <w:spacing w:line="242" w:lineRule="auto" w:before="61" w:after="0"/>
        <w:ind w:left="2336" w:right="1151" w:hanging="238"/>
        <w:jc w:val="both"/>
        <w:rPr>
          <w:sz w:val="20"/>
        </w:rPr>
      </w:pPr>
      <w:r>
        <w:rPr>
          <w:w w:val="105"/>
          <w:sz w:val="20"/>
        </w:rPr>
        <w:t>Al término del ejercicio 2022 y conforme a los datos del informe avance de la IGAE</w:t>
      </w:r>
      <w:r>
        <w:rPr>
          <w:w w:val="105"/>
          <w:position w:val="7"/>
          <w:sz w:val="13"/>
        </w:rPr>
        <w:t>38</w:t>
      </w:r>
      <w:r>
        <w:rPr>
          <w:w w:val="105"/>
          <w:sz w:val="20"/>
        </w:rPr>
        <w:t>, así como del segundo y último informe emitido el 31 de octubre de</w:t>
      </w:r>
      <w:r>
        <w:rPr>
          <w:spacing w:val="-34"/>
          <w:w w:val="105"/>
          <w:sz w:val="20"/>
        </w:rPr>
        <w:t> </w:t>
      </w:r>
      <w:r>
        <w:rPr>
          <w:w w:val="105"/>
          <w:sz w:val="20"/>
        </w:rPr>
        <w:t>2023, ambos publicados por el Ministerio de Hacienda y Función Pública, el resultado obtenido en cuanto objetivo de estabilidad presupuestaria, regla de gasto y deuda pública, fueron los</w:t>
      </w:r>
      <w:r>
        <w:rPr>
          <w:spacing w:val="3"/>
          <w:w w:val="105"/>
          <w:sz w:val="20"/>
        </w:rPr>
        <w:t> </w:t>
      </w:r>
      <w:r>
        <w:rPr>
          <w:w w:val="105"/>
          <w:sz w:val="20"/>
        </w:rPr>
        <w:t>siguientes:</w:t>
      </w:r>
    </w:p>
    <w:p>
      <w:pPr>
        <w:pStyle w:val="BodyText"/>
        <w:spacing w:before="1"/>
        <w:rPr>
          <w:sz w:val="16"/>
        </w:rPr>
      </w:pPr>
    </w:p>
    <w:p>
      <w:pPr>
        <w:pStyle w:val="ListParagraph"/>
        <w:numPr>
          <w:ilvl w:val="0"/>
          <w:numId w:val="97"/>
        </w:numPr>
        <w:tabs>
          <w:tab w:pos="2704" w:val="left" w:leader="none"/>
        </w:tabs>
        <w:spacing w:line="243" w:lineRule="exact" w:before="0" w:after="0"/>
        <w:ind w:left="2703" w:right="0" w:hanging="249"/>
        <w:jc w:val="both"/>
        <w:rPr>
          <w:sz w:val="20"/>
        </w:rPr>
      </w:pPr>
      <w:r>
        <w:rPr>
          <w:sz w:val="20"/>
        </w:rPr>
        <w:t>El</w:t>
      </w:r>
      <w:r>
        <w:rPr>
          <w:spacing w:val="32"/>
          <w:sz w:val="20"/>
        </w:rPr>
        <w:t> </w:t>
      </w:r>
      <w:r>
        <w:rPr>
          <w:sz w:val="20"/>
        </w:rPr>
        <w:t>déficit</w:t>
      </w:r>
      <w:r>
        <w:rPr>
          <w:spacing w:val="33"/>
          <w:sz w:val="20"/>
        </w:rPr>
        <w:t> </w:t>
      </w:r>
      <w:r>
        <w:rPr>
          <w:sz w:val="20"/>
        </w:rPr>
        <w:t>registrado</w:t>
      </w:r>
      <w:r>
        <w:rPr>
          <w:spacing w:val="33"/>
          <w:sz w:val="20"/>
        </w:rPr>
        <w:t> </w:t>
      </w:r>
      <w:r>
        <w:rPr>
          <w:sz w:val="20"/>
        </w:rPr>
        <w:t>asciende</w:t>
      </w:r>
      <w:r>
        <w:rPr>
          <w:spacing w:val="32"/>
          <w:sz w:val="20"/>
        </w:rPr>
        <w:t> </w:t>
      </w:r>
      <w:r>
        <w:rPr>
          <w:sz w:val="20"/>
        </w:rPr>
        <w:t>a</w:t>
      </w:r>
      <w:r>
        <w:rPr>
          <w:spacing w:val="30"/>
          <w:sz w:val="20"/>
        </w:rPr>
        <w:t> </w:t>
      </w:r>
      <w:r>
        <w:rPr>
          <w:sz w:val="20"/>
        </w:rPr>
        <w:t>635</w:t>
      </w:r>
      <w:r>
        <w:rPr>
          <w:spacing w:val="33"/>
          <w:sz w:val="20"/>
        </w:rPr>
        <w:t> </w:t>
      </w:r>
      <w:r>
        <w:rPr>
          <w:sz w:val="20"/>
        </w:rPr>
        <w:t>millones</w:t>
      </w:r>
      <w:r>
        <w:rPr>
          <w:spacing w:val="30"/>
          <w:sz w:val="20"/>
        </w:rPr>
        <w:t> </w:t>
      </w:r>
      <w:r>
        <w:rPr>
          <w:sz w:val="20"/>
        </w:rPr>
        <w:t>de</w:t>
      </w:r>
      <w:r>
        <w:rPr>
          <w:spacing w:val="30"/>
          <w:sz w:val="20"/>
        </w:rPr>
        <w:t> </w:t>
      </w:r>
      <w:r>
        <w:rPr>
          <w:sz w:val="20"/>
        </w:rPr>
        <w:t>€,</w:t>
      </w:r>
      <w:r>
        <w:rPr>
          <w:spacing w:val="33"/>
          <w:sz w:val="20"/>
        </w:rPr>
        <w:t> </w:t>
      </w:r>
      <w:r>
        <w:rPr>
          <w:sz w:val="20"/>
        </w:rPr>
        <w:t>el</w:t>
      </w:r>
      <w:r>
        <w:rPr>
          <w:spacing w:val="36"/>
          <w:sz w:val="20"/>
        </w:rPr>
        <w:t> </w:t>
      </w:r>
      <w:r>
        <w:rPr>
          <w:sz w:val="20"/>
        </w:rPr>
        <w:t>-1,3</w:t>
      </w:r>
      <w:r>
        <w:rPr>
          <w:spacing w:val="32"/>
          <w:sz w:val="20"/>
        </w:rPr>
        <w:t> </w:t>
      </w:r>
      <w:r>
        <w:rPr>
          <w:sz w:val="20"/>
        </w:rPr>
        <w:t>%</w:t>
      </w:r>
      <w:r>
        <w:rPr>
          <w:spacing w:val="32"/>
          <w:sz w:val="20"/>
        </w:rPr>
        <w:t> </w:t>
      </w:r>
      <w:r>
        <w:rPr>
          <w:sz w:val="20"/>
        </w:rPr>
        <w:t>del</w:t>
      </w:r>
      <w:r>
        <w:rPr>
          <w:spacing w:val="30"/>
          <w:sz w:val="20"/>
        </w:rPr>
        <w:t> </w:t>
      </w:r>
      <w:r>
        <w:rPr>
          <w:sz w:val="20"/>
        </w:rPr>
        <w:t>PIB</w:t>
      </w:r>
      <w:r>
        <w:rPr>
          <w:spacing w:val="32"/>
          <w:sz w:val="20"/>
        </w:rPr>
        <w:t> </w:t>
      </w:r>
      <w:r>
        <w:rPr>
          <w:sz w:val="20"/>
        </w:rPr>
        <w:t>regional</w:t>
      </w:r>
    </w:p>
    <w:p>
      <w:pPr>
        <w:pStyle w:val="BodyText"/>
        <w:spacing w:line="247" w:lineRule="exact"/>
        <w:ind w:left="2703"/>
        <w:jc w:val="both"/>
      </w:pPr>
      <w:r>
        <w:rPr/>
        <w:t>(47.588 millones de €, informe IGAE</w:t>
      </w:r>
      <w:r>
        <w:rPr>
          <w:position w:val="7"/>
          <w:sz w:val="13"/>
        </w:rPr>
        <w:t>39 </w:t>
      </w:r>
      <w:r>
        <w:rPr/>
        <w:t>actualización a 29/09/2023).</w:t>
      </w:r>
    </w:p>
    <w:p>
      <w:pPr>
        <w:pStyle w:val="ListParagraph"/>
        <w:numPr>
          <w:ilvl w:val="0"/>
          <w:numId w:val="97"/>
        </w:numPr>
        <w:tabs>
          <w:tab w:pos="2704" w:val="left" w:leader="none"/>
        </w:tabs>
        <w:spacing w:line="242" w:lineRule="auto" w:before="2" w:after="0"/>
        <w:ind w:left="2703" w:right="1144" w:hanging="248"/>
        <w:jc w:val="both"/>
        <w:rPr>
          <w:sz w:val="20"/>
        </w:rPr>
      </w:pPr>
      <w:r>
        <w:rPr>
          <w:sz w:val="20"/>
        </w:rPr>
        <w:t>El</w:t>
      </w:r>
      <w:r>
        <w:rPr>
          <w:spacing w:val="-5"/>
          <w:sz w:val="20"/>
        </w:rPr>
        <w:t> </w:t>
      </w:r>
      <w:r>
        <w:rPr>
          <w:sz w:val="20"/>
        </w:rPr>
        <w:t>gasto</w:t>
      </w:r>
      <w:r>
        <w:rPr>
          <w:spacing w:val="-5"/>
          <w:sz w:val="20"/>
        </w:rPr>
        <w:t> </w:t>
      </w:r>
      <w:r>
        <w:rPr>
          <w:sz w:val="20"/>
        </w:rPr>
        <w:t>computable</w:t>
      </w:r>
      <w:r>
        <w:rPr>
          <w:spacing w:val="-7"/>
          <w:sz w:val="20"/>
        </w:rPr>
        <w:t> </w:t>
      </w:r>
      <w:r>
        <w:rPr>
          <w:sz w:val="20"/>
        </w:rPr>
        <w:t>del</w:t>
      </w:r>
      <w:r>
        <w:rPr>
          <w:spacing w:val="-9"/>
          <w:sz w:val="20"/>
        </w:rPr>
        <w:t> </w:t>
      </w:r>
      <w:r>
        <w:rPr>
          <w:sz w:val="20"/>
        </w:rPr>
        <w:t>ejercicio</w:t>
      </w:r>
      <w:r>
        <w:rPr>
          <w:spacing w:val="-5"/>
          <w:sz w:val="20"/>
        </w:rPr>
        <w:t> </w:t>
      </w:r>
      <w:r>
        <w:rPr>
          <w:sz w:val="20"/>
        </w:rPr>
        <w:t>del</w:t>
      </w:r>
      <w:r>
        <w:rPr>
          <w:spacing w:val="-7"/>
          <w:sz w:val="20"/>
        </w:rPr>
        <w:t> </w:t>
      </w:r>
      <w:r>
        <w:rPr>
          <w:sz w:val="20"/>
        </w:rPr>
        <w:t>ejercicio</w:t>
      </w:r>
      <w:r>
        <w:rPr>
          <w:spacing w:val="-7"/>
          <w:sz w:val="20"/>
        </w:rPr>
        <w:t> </w:t>
      </w:r>
      <w:r>
        <w:rPr>
          <w:sz w:val="20"/>
        </w:rPr>
        <w:t>ha</w:t>
      </w:r>
      <w:r>
        <w:rPr>
          <w:spacing w:val="-7"/>
          <w:sz w:val="20"/>
        </w:rPr>
        <w:t> </w:t>
      </w:r>
      <w:r>
        <w:rPr>
          <w:sz w:val="20"/>
        </w:rPr>
        <w:t>registrado</w:t>
      </w:r>
      <w:r>
        <w:rPr>
          <w:spacing w:val="-7"/>
          <w:sz w:val="20"/>
        </w:rPr>
        <w:t> </w:t>
      </w:r>
      <w:r>
        <w:rPr>
          <w:sz w:val="20"/>
        </w:rPr>
        <w:t>una</w:t>
      </w:r>
      <w:r>
        <w:rPr>
          <w:spacing w:val="-7"/>
          <w:sz w:val="20"/>
        </w:rPr>
        <w:t> </w:t>
      </w:r>
      <w:r>
        <w:rPr>
          <w:sz w:val="20"/>
        </w:rPr>
        <w:t>tasa</w:t>
      </w:r>
      <w:r>
        <w:rPr>
          <w:spacing w:val="-9"/>
          <w:sz w:val="20"/>
        </w:rPr>
        <w:t> </w:t>
      </w:r>
      <w:r>
        <w:rPr>
          <w:sz w:val="20"/>
        </w:rPr>
        <w:t>de</w:t>
      </w:r>
      <w:r>
        <w:rPr>
          <w:spacing w:val="-7"/>
          <w:sz w:val="20"/>
        </w:rPr>
        <w:t> </w:t>
      </w:r>
      <w:r>
        <w:rPr>
          <w:sz w:val="20"/>
        </w:rPr>
        <w:t>variación del 8% respecto al ejercicio</w:t>
      </w:r>
      <w:r>
        <w:rPr>
          <w:spacing w:val="3"/>
          <w:sz w:val="20"/>
        </w:rPr>
        <w:t> </w:t>
      </w:r>
      <w:r>
        <w:rPr>
          <w:sz w:val="20"/>
        </w:rPr>
        <w:t>2021.</w:t>
      </w:r>
    </w:p>
    <w:p>
      <w:pPr>
        <w:pStyle w:val="ListParagraph"/>
        <w:numPr>
          <w:ilvl w:val="0"/>
          <w:numId w:val="97"/>
        </w:numPr>
        <w:tabs>
          <w:tab w:pos="2704" w:val="left" w:leader="none"/>
        </w:tabs>
        <w:spacing w:line="240" w:lineRule="auto" w:before="0" w:after="0"/>
        <w:ind w:left="2703" w:right="1141" w:hanging="248"/>
        <w:jc w:val="both"/>
        <w:rPr>
          <w:sz w:val="20"/>
        </w:rPr>
      </w:pPr>
      <w:r>
        <w:rPr>
          <w:sz w:val="20"/>
        </w:rPr>
        <w:t>La deuda registrada al cierre del ejercicio 2022 se situó en 6.516 millones de €, posteriormente modificada pasando a la cifra de 6.474 millones de €, el 13,6 % del PIB</w:t>
      </w:r>
      <w:r>
        <w:rPr>
          <w:spacing w:val="1"/>
          <w:sz w:val="20"/>
        </w:rPr>
        <w:t> </w:t>
      </w:r>
      <w:r>
        <w:rPr>
          <w:sz w:val="20"/>
        </w:rPr>
        <w:t>regional.</w:t>
      </w:r>
    </w:p>
    <w:p>
      <w:pPr>
        <w:pStyle w:val="BodyText"/>
        <w:spacing w:before="10"/>
        <w:rPr>
          <w:sz w:val="16"/>
        </w:rPr>
      </w:pPr>
    </w:p>
    <w:p>
      <w:pPr>
        <w:pStyle w:val="Heading1"/>
        <w:numPr>
          <w:ilvl w:val="1"/>
          <w:numId w:val="95"/>
        </w:numPr>
        <w:tabs>
          <w:tab w:pos="2582" w:val="left" w:leader="none"/>
          <w:tab w:pos="2583" w:val="left" w:leader="none"/>
        </w:tabs>
        <w:spacing w:line="240" w:lineRule="auto" w:before="0" w:after="0"/>
        <w:ind w:left="2582" w:right="0" w:hanging="484"/>
        <w:jc w:val="left"/>
      </w:pPr>
      <w:bookmarkStart w:name="_TOC_250000" w:id="22"/>
      <w:bookmarkEnd w:id="22"/>
      <w:r>
        <w:rPr>
          <w:color w:val="53A1B9"/>
        </w:rPr>
        <w:t>Deuda Pública.</w:t>
      </w:r>
    </w:p>
    <w:p>
      <w:pPr>
        <w:pStyle w:val="BodyText"/>
        <w:spacing w:before="8"/>
        <w:rPr>
          <w:b/>
          <w:sz w:val="16"/>
        </w:rPr>
      </w:pPr>
    </w:p>
    <w:p>
      <w:pPr>
        <w:pStyle w:val="ListParagraph"/>
        <w:numPr>
          <w:ilvl w:val="2"/>
          <w:numId w:val="95"/>
        </w:numPr>
        <w:tabs>
          <w:tab w:pos="2694" w:val="left" w:leader="none"/>
        </w:tabs>
        <w:spacing w:line="240" w:lineRule="auto" w:before="0" w:after="0"/>
        <w:ind w:left="2693" w:right="0" w:hanging="605"/>
        <w:jc w:val="left"/>
        <w:rPr>
          <w:b/>
          <w:sz w:val="20"/>
        </w:rPr>
      </w:pPr>
      <w:r>
        <w:rPr>
          <w:b/>
          <w:color w:val="53A1B9"/>
          <w:sz w:val="20"/>
        </w:rPr>
        <w:t>Situación y movimientos de las</w:t>
      </w:r>
      <w:r>
        <w:rPr>
          <w:b/>
          <w:color w:val="53A1B9"/>
          <w:spacing w:val="-1"/>
          <w:sz w:val="20"/>
        </w:rPr>
        <w:t> </w:t>
      </w:r>
      <w:r>
        <w:rPr>
          <w:b/>
          <w:color w:val="53A1B9"/>
          <w:sz w:val="20"/>
        </w:rPr>
        <w:t>deudas.</w:t>
      </w:r>
    </w:p>
    <w:p>
      <w:pPr>
        <w:pStyle w:val="BodyText"/>
        <w:spacing w:before="8"/>
        <w:rPr>
          <w:b/>
          <w:sz w:val="16"/>
        </w:rPr>
      </w:pPr>
    </w:p>
    <w:p>
      <w:pPr>
        <w:pStyle w:val="BodyText"/>
        <w:spacing w:line="242" w:lineRule="auto"/>
        <w:ind w:left="2336" w:right="1141" w:hanging="238"/>
        <w:jc w:val="both"/>
      </w:pPr>
      <w:r>
        <w:rPr/>
        <w:t>1. El volumen de deuda pública asciende a un total de 6.516 millones de €, según Protocolo de Déficit Excesivo publicado por el Banco de España e incluida en la presentación de la Cuenta General. A continuación, se presenta desglosada por entidades pertenecientes al ámbito subjetivo delimitado en la estadística de ejecución presupuestaria mensual publicada por el Ministerio de Hacienda y Función Pública, y resto de entes del sector público autonómico que forman parte del sector Administraciones Públicas a los efectos del SEC 2010 y por instrumentos:</w:t>
      </w:r>
    </w:p>
    <w:p>
      <w:pPr>
        <w:pStyle w:val="BodyText"/>
        <w:spacing w:before="5"/>
        <w:rPr>
          <w:sz w:val="16"/>
        </w:rPr>
      </w:pPr>
    </w:p>
    <w:p>
      <w:pPr>
        <w:spacing w:before="1"/>
        <w:ind w:left="0" w:right="1148" w:firstLine="0"/>
        <w:jc w:val="right"/>
        <w:rPr>
          <w:b/>
          <w:sz w:val="13"/>
        </w:rPr>
      </w:pPr>
      <w:r>
        <w:rPr>
          <w:b/>
          <w:w w:val="105"/>
          <w:sz w:val="13"/>
        </w:rPr>
        <w:t>Miles de €</w:t>
      </w:r>
    </w:p>
    <w:tbl>
      <w:tblPr>
        <w:tblW w:w="0" w:type="auto"/>
        <w:jc w:val="left"/>
        <w:tblInd w:w="2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6"/>
        <w:gridCol w:w="963"/>
        <w:gridCol w:w="844"/>
        <w:gridCol w:w="891"/>
        <w:gridCol w:w="821"/>
        <w:gridCol w:w="925"/>
      </w:tblGrid>
      <w:tr>
        <w:trPr>
          <w:trHeight w:val="818" w:hRule="atLeast"/>
        </w:trPr>
        <w:tc>
          <w:tcPr>
            <w:tcW w:w="2756" w:type="dxa"/>
            <w:tcBorders>
              <w:bottom w:val="single" w:sz="4" w:space="0" w:color="000000"/>
            </w:tcBorders>
          </w:tcPr>
          <w:p>
            <w:pPr>
              <w:pStyle w:val="TableParagraph"/>
              <w:rPr>
                <w:rFonts w:ascii="Times New Roman"/>
                <w:sz w:val="16"/>
              </w:rPr>
            </w:pPr>
          </w:p>
        </w:tc>
        <w:tc>
          <w:tcPr>
            <w:tcW w:w="963" w:type="dxa"/>
            <w:tcBorders>
              <w:top w:val="single" w:sz="4" w:space="0" w:color="000000"/>
            </w:tcBorders>
            <w:shd w:val="clear" w:color="auto" w:fill="D9E0F1"/>
          </w:tcPr>
          <w:p>
            <w:pPr>
              <w:pStyle w:val="TableParagraph"/>
              <w:spacing w:before="3"/>
              <w:rPr>
                <w:b/>
                <w:sz w:val="20"/>
              </w:rPr>
            </w:pPr>
          </w:p>
          <w:p>
            <w:pPr>
              <w:pStyle w:val="TableParagraph"/>
              <w:spacing w:line="249" w:lineRule="auto" w:before="1"/>
              <w:ind w:left="305" w:hanging="232"/>
              <w:rPr>
                <w:b/>
                <w:sz w:val="13"/>
              </w:rPr>
            </w:pPr>
            <w:r>
              <w:rPr>
                <w:b/>
                <w:w w:val="105"/>
                <w:sz w:val="13"/>
              </w:rPr>
              <w:t>Obligaciones y Bonos</w:t>
            </w:r>
          </w:p>
        </w:tc>
        <w:tc>
          <w:tcPr>
            <w:tcW w:w="844" w:type="dxa"/>
            <w:tcBorders>
              <w:top w:val="single" w:sz="4" w:space="0" w:color="000000"/>
            </w:tcBorders>
            <w:shd w:val="clear" w:color="auto" w:fill="D9E0F1"/>
          </w:tcPr>
          <w:p>
            <w:pPr>
              <w:pStyle w:val="TableParagraph"/>
              <w:rPr>
                <w:b/>
                <w:sz w:val="14"/>
              </w:rPr>
            </w:pPr>
          </w:p>
          <w:p>
            <w:pPr>
              <w:pStyle w:val="TableParagraph"/>
              <w:spacing w:before="1"/>
              <w:rPr>
                <w:b/>
                <w:sz w:val="13"/>
              </w:rPr>
            </w:pPr>
          </w:p>
          <w:p>
            <w:pPr>
              <w:pStyle w:val="TableParagraph"/>
              <w:ind w:left="119"/>
              <w:rPr>
                <w:b/>
                <w:sz w:val="13"/>
              </w:rPr>
            </w:pPr>
            <w:r>
              <w:rPr>
                <w:b/>
                <w:w w:val="105"/>
                <w:sz w:val="13"/>
              </w:rPr>
              <w:t>Prestamos</w:t>
            </w:r>
          </w:p>
        </w:tc>
        <w:tc>
          <w:tcPr>
            <w:tcW w:w="891" w:type="dxa"/>
            <w:tcBorders>
              <w:top w:val="single" w:sz="4" w:space="0" w:color="000000"/>
            </w:tcBorders>
            <w:shd w:val="clear" w:color="auto" w:fill="D9E0F1"/>
          </w:tcPr>
          <w:p>
            <w:pPr>
              <w:pStyle w:val="TableParagraph"/>
              <w:spacing w:line="247" w:lineRule="auto" w:before="2"/>
              <w:ind w:left="69" w:right="124" w:hanging="1"/>
              <w:jc w:val="center"/>
              <w:rPr>
                <w:b/>
                <w:sz w:val="13"/>
              </w:rPr>
            </w:pPr>
            <w:r>
              <w:rPr>
                <w:b/>
                <w:w w:val="105"/>
                <w:sz w:val="13"/>
              </w:rPr>
              <w:t>Fondo de </w:t>
            </w:r>
            <w:r>
              <w:rPr>
                <w:b/>
                <w:spacing w:val="-1"/>
                <w:w w:val="105"/>
                <w:sz w:val="13"/>
              </w:rPr>
              <w:t>Financiación</w:t>
            </w:r>
            <w:r>
              <w:rPr>
                <w:b/>
                <w:w w:val="103"/>
                <w:sz w:val="13"/>
              </w:rPr>
              <w:t> </w:t>
            </w:r>
            <w:r>
              <w:rPr>
                <w:b/>
                <w:w w:val="105"/>
                <w:sz w:val="13"/>
              </w:rPr>
              <w:t>excluido Fondo</w:t>
            </w:r>
            <w:r>
              <w:rPr>
                <w:b/>
                <w:spacing w:val="-3"/>
                <w:w w:val="105"/>
                <w:sz w:val="13"/>
              </w:rPr>
              <w:t> </w:t>
            </w:r>
            <w:r>
              <w:rPr>
                <w:b/>
                <w:w w:val="105"/>
                <w:sz w:val="13"/>
              </w:rPr>
              <w:t>de</w:t>
            </w:r>
          </w:p>
          <w:p>
            <w:pPr>
              <w:pStyle w:val="TableParagraph"/>
              <w:spacing w:line="139" w:lineRule="exact" w:before="3"/>
              <w:ind w:left="163" w:right="219"/>
              <w:jc w:val="center"/>
              <w:rPr>
                <w:b/>
                <w:sz w:val="13"/>
              </w:rPr>
            </w:pPr>
            <w:r>
              <w:rPr>
                <w:b/>
                <w:w w:val="105"/>
                <w:sz w:val="13"/>
              </w:rPr>
              <w:t>Liquidez</w:t>
            </w:r>
          </w:p>
        </w:tc>
        <w:tc>
          <w:tcPr>
            <w:tcW w:w="821" w:type="dxa"/>
            <w:tcBorders>
              <w:top w:val="single" w:sz="4" w:space="0" w:color="000000"/>
            </w:tcBorders>
            <w:shd w:val="clear" w:color="auto" w:fill="D9E0F1"/>
          </w:tcPr>
          <w:p>
            <w:pPr>
              <w:pStyle w:val="TableParagraph"/>
              <w:rPr>
                <w:b/>
                <w:sz w:val="14"/>
              </w:rPr>
            </w:pPr>
          </w:p>
          <w:p>
            <w:pPr>
              <w:pStyle w:val="TableParagraph"/>
              <w:spacing w:before="1"/>
              <w:rPr>
                <w:b/>
                <w:sz w:val="13"/>
              </w:rPr>
            </w:pPr>
          </w:p>
          <w:p>
            <w:pPr>
              <w:pStyle w:val="TableParagraph"/>
              <w:ind w:left="104"/>
              <w:rPr>
                <w:b/>
                <w:sz w:val="13"/>
              </w:rPr>
            </w:pPr>
            <w:r>
              <w:rPr>
                <w:b/>
                <w:w w:val="105"/>
                <w:sz w:val="13"/>
              </w:rPr>
              <w:t>Factoring</w:t>
            </w:r>
          </w:p>
        </w:tc>
        <w:tc>
          <w:tcPr>
            <w:tcW w:w="925" w:type="dxa"/>
            <w:tcBorders>
              <w:top w:val="single" w:sz="4" w:space="0" w:color="000000"/>
            </w:tcBorders>
            <w:shd w:val="clear" w:color="auto" w:fill="D9E0F1"/>
          </w:tcPr>
          <w:p>
            <w:pPr>
              <w:pStyle w:val="TableParagraph"/>
              <w:spacing w:before="3"/>
              <w:rPr>
                <w:b/>
                <w:sz w:val="20"/>
              </w:rPr>
            </w:pPr>
          </w:p>
          <w:p>
            <w:pPr>
              <w:pStyle w:val="TableParagraph"/>
              <w:spacing w:line="249" w:lineRule="auto" w:before="1"/>
              <w:ind w:left="191" w:hanging="87"/>
              <w:rPr>
                <w:b/>
                <w:sz w:val="13"/>
              </w:rPr>
            </w:pPr>
            <w:r>
              <w:rPr>
                <w:b/>
                <w:w w:val="105"/>
                <w:sz w:val="13"/>
              </w:rPr>
              <w:t>Total Deuda SEC 2010</w:t>
            </w:r>
          </w:p>
        </w:tc>
      </w:tr>
      <w:tr>
        <w:trPr>
          <w:trHeight w:val="174" w:hRule="atLeast"/>
        </w:trPr>
        <w:tc>
          <w:tcPr>
            <w:tcW w:w="2756" w:type="dxa"/>
          </w:tcPr>
          <w:p>
            <w:pPr>
              <w:pStyle w:val="TableParagraph"/>
              <w:spacing w:line="153" w:lineRule="exact" w:before="2"/>
              <w:ind w:left="79"/>
              <w:rPr>
                <w:sz w:val="13"/>
              </w:rPr>
            </w:pPr>
            <w:r>
              <w:rPr>
                <w:w w:val="105"/>
                <w:sz w:val="13"/>
              </w:rPr>
              <w:t>Administración Pública</w:t>
            </w:r>
          </w:p>
        </w:tc>
        <w:tc>
          <w:tcPr>
            <w:tcW w:w="963" w:type="dxa"/>
          </w:tcPr>
          <w:p>
            <w:pPr>
              <w:pStyle w:val="TableParagraph"/>
              <w:spacing w:line="153" w:lineRule="exact" w:before="2"/>
              <w:ind w:left="287"/>
              <w:rPr>
                <w:sz w:val="13"/>
              </w:rPr>
            </w:pPr>
            <w:r>
              <w:rPr>
                <w:w w:val="105"/>
                <w:sz w:val="13"/>
              </w:rPr>
              <w:t>750.554,00</w:t>
            </w:r>
          </w:p>
        </w:tc>
        <w:tc>
          <w:tcPr>
            <w:tcW w:w="844" w:type="dxa"/>
          </w:tcPr>
          <w:p>
            <w:pPr>
              <w:pStyle w:val="TableParagraph"/>
              <w:spacing w:line="153" w:lineRule="exact" w:before="2"/>
              <w:ind w:left="60"/>
              <w:rPr>
                <w:sz w:val="13"/>
              </w:rPr>
            </w:pPr>
            <w:r>
              <w:rPr>
                <w:w w:val="105"/>
                <w:sz w:val="13"/>
              </w:rPr>
              <w:t>4.344.574,47</w:t>
            </w:r>
          </w:p>
        </w:tc>
        <w:tc>
          <w:tcPr>
            <w:tcW w:w="891" w:type="dxa"/>
          </w:tcPr>
          <w:p>
            <w:pPr>
              <w:pStyle w:val="TableParagraph"/>
              <w:spacing w:line="153" w:lineRule="exact" w:before="2"/>
              <w:ind w:left="73"/>
              <w:rPr>
                <w:sz w:val="13"/>
              </w:rPr>
            </w:pPr>
            <w:r>
              <w:rPr>
                <w:w w:val="105"/>
                <w:sz w:val="13"/>
              </w:rPr>
              <w:t>1.298.793,49</w:t>
            </w:r>
          </w:p>
        </w:tc>
        <w:tc>
          <w:tcPr>
            <w:tcW w:w="821" w:type="dxa"/>
          </w:tcPr>
          <w:p>
            <w:pPr>
              <w:pStyle w:val="TableParagraph"/>
              <w:spacing w:line="153" w:lineRule="exact" w:before="2"/>
              <w:ind w:right="99"/>
              <w:jc w:val="right"/>
              <w:rPr>
                <w:sz w:val="13"/>
              </w:rPr>
            </w:pPr>
            <w:r>
              <w:rPr>
                <w:w w:val="105"/>
                <w:sz w:val="13"/>
              </w:rPr>
              <w:t>40.601,92</w:t>
            </w:r>
          </w:p>
        </w:tc>
        <w:tc>
          <w:tcPr>
            <w:tcW w:w="925" w:type="dxa"/>
          </w:tcPr>
          <w:p>
            <w:pPr>
              <w:pStyle w:val="TableParagraph"/>
              <w:spacing w:line="153" w:lineRule="exact" w:before="2"/>
              <w:ind w:right="46"/>
              <w:jc w:val="right"/>
              <w:rPr>
                <w:b/>
                <w:sz w:val="13"/>
              </w:rPr>
            </w:pPr>
            <w:r>
              <w:rPr>
                <w:b/>
                <w:w w:val="105"/>
                <w:sz w:val="13"/>
              </w:rPr>
              <w:t>6.434.523,88</w:t>
            </w:r>
          </w:p>
        </w:tc>
      </w:tr>
      <w:tr>
        <w:trPr>
          <w:trHeight w:val="156" w:hRule="atLeast"/>
        </w:trPr>
        <w:tc>
          <w:tcPr>
            <w:tcW w:w="2756" w:type="dxa"/>
          </w:tcPr>
          <w:p>
            <w:pPr>
              <w:pStyle w:val="TableParagraph"/>
              <w:spacing w:line="137" w:lineRule="exact"/>
              <w:ind w:left="79"/>
              <w:rPr>
                <w:sz w:val="13"/>
              </w:rPr>
            </w:pPr>
            <w:r>
              <w:rPr>
                <w:w w:val="105"/>
                <w:sz w:val="13"/>
              </w:rPr>
              <w:t>Agencia Tributaria Canaria</w:t>
            </w:r>
          </w:p>
        </w:tc>
        <w:tc>
          <w:tcPr>
            <w:tcW w:w="963" w:type="dxa"/>
          </w:tcPr>
          <w:p>
            <w:pPr>
              <w:pStyle w:val="TableParagraph"/>
              <w:rPr>
                <w:rFonts w:ascii="Times New Roman"/>
                <w:sz w:val="10"/>
              </w:rPr>
            </w:pPr>
          </w:p>
        </w:tc>
        <w:tc>
          <w:tcPr>
            <w:tcW w:w="844" w:type="dxa"/>
          </w:tcPr>
          <w:p>
            <w:pPr>
              <w:pStyle w:val="TableParagraph"/>
              <w:spacing w:line="137" w:lineRule="exact"/>
              <w:ind w:right="66"/>
              <w:jc w:val="right"/>
              <w:rPr>
                <w:sz w:val="13"/>
              </w:rPr>
            </w:pPr>
            <w:r>
              <w:rPr>
                <w:sz w:val="13"/>
              </w:rPr>
              <w:t>13,40</w:t>
            </w:r>
          </w:p>
        </w:tc>
        <w:tc>
          <w:tcPr>
            <w:tcW w:w="891" w:type="dxa"/>
          </w:tcPr>
          <w:p>
            <w:pPr>
              <w:pStyle w:val="TableParagraph"/>
              <w:rPr>
                <w:rFonts w:ascii="Times New Roman"/>
                <w:sz w:val="10"/>
              </w:rPr>
            </w:pPr>
          </w:p>
        </w:tc>
        <w:tc>
          <w:tcPr>
            <w:tcW w:w="821" w:type="dxa"/>
          </w:tcPr>
          <w:p>
            <w:pPr>
              <w:pStyle w:val="TableParagraph"/>
              <w:rPr>
                <w:rFonts w:ascii="Times New Roman"/>
                <w:sz w:val="10"/>
              </w:rPr>
            </w:pPr>
          </w:p>
        </w:tc>
        <w:tc>
          <w:tcPr>
            <w:tcW w:w="925" w:type="dxa"/>
          </w:tcPr>
          <w:p>
            <w:pPr>
              <w:pStyle w:val="TableParagraph"/>
              <w:spacing w:line="137" w:lineRule="exact"/>
              <w:ind w:right="46"/>
              <w:jc w:val="right"/>
              <w:rPr>
                <w:b/>
                <w:sz w:val="13"/>
              </w:rPr>
            </w:pPr>
            <w:r>
              <w:rPr>
                <w:b/>
                <w:w w:val="105"/>
                <w:sz w:val="13"/>
              </w:rPr>
              <w:t>13,40</w:t>
            </w:r>
          </w:p>
        </w:tc>
      </w:tr>
      <w:tr>
        <w:trPr>
          <w:trHeight w:val="164" w:hRule="atLeast"/>
        </w:trPr>
        <w:tc>
          <w:tcPr>
            <w:tcW w:w="2756" w:type="dxa"/>
          </w:tcPr>
          <w:p>
            <w:pPr>
              <w:pStyle w:val="TableParagraph"/>
              <w:spacing w:line="144" w:lineRule="exact"/>
              <w:ind w:left="79"/>
              <w:rPr>
                <w:sz w:val="13"/>
              </w:rPr>
            </w:pPr>
            <w:r>
              <w:rPr>
                <w:w w:val="105"/>
                <w:sz w:val="13"/>
              </w:rPr>
              <w:t>Servicio Canario De La Salud</w:t>
            </w:r>
          </w:p>
        </w:tc>
        <w:tc>
          <w:tcPr>
            <w:tcW w:w="963" w:type="dxa"/>
          </w:tcPr>
          <w:p>
            <w:pPr>
              <w:pStyle w:val="TableParagraph"/>
              <w:rPr>
                <w:rFonts w:ascii="Times New Roman"/>
                <w:sz w:val="10"/>
              </w:rPr>
            </w:pPr>
          </w:p>
        </w:tc>
        <w:tc>
          <w:tcPr>
            <w:tcW w:w="844" w:type="dxa"/>
          </w:tcPr>
          <w:p>
            <w:pPr>
              <w:pStyle w:val="TableParagraph"/>
              <w:rPr>
                <w:rFonts w:ascii="Times New Roman"/>
                <w:sz w:val="10"/>
              </w:rPr>
            </w:pPr>
          </w:p>
        </w:tc>
        <w:tc>
          <w:tcPr>
            <w:tcW w:w="891" w:type="dxa"/>
          </w:tcPr>
          <w:p>
            <w:pPr>
              <w:pStyle w:val="TableParagraph"/>
              <w:rPr>
                <w:rFonts w:ascii="Times New Roman"/>
                <w:sz w:val="10"/>
              </w:rPr>
            </w:pPr>
          </w:p>
        </w:tc>
        <w:tc>
          <w:tcPr>
            <w:tcW w:w="821" w:type="dxa"/>
          </w:tcPr>
          <w:p>
            <w:pPr>
              <w:pStyle w:val="TableParagraph"/>
              <w:spacing w:line="139" w:lineRule="exact" w:before="5"/>
              <w:ind w:right="100"/>
              <w:jc w:val="right"/>
              <w:rPr>
                <w:rFonts w:ascii="Times New Roman"/>
                <w:sz w:val="13"/>
              </w:rPr>
            </w:pPr>
            <w:r>
              <w:rPr>
                <w:rFonts w:ascii="Times New Roman"/>
                <w:sz w:val="13"/>
              </w:rPr>
              <w:t>15.520,44</w:t>
            </w:r>
          </w:p>
        </w:tc>
        <w:tc>
          <w:tcPr>
            <w:tcW w:w="925" w:type="dxa"/>
          </w:tcPr>
          <w:p>
            <w:pPr>
              <w:pStyle w:val="TableParagraph"/>
              <w:spacing w:line="144" w:lineRule="exact"/>
              <w:ind w:right="46"/>
              <w:jc w:val="right"/>
              <w:rPr>
                <w:b/>
                <w:sz w:val="13"/>
              </w:rPr>
            </w:pPr>
            <w:r>
              <w:rPr>
                <w:b/>
                <w:w w:val="105"/>
                <w:sz w:val="13"/>
              </w:rPr>
              <w:t>15.520,44</w:t>
            </w:r>
          </w:p>
        </w:tc>
      </w:tr>
      <w:tr>
        <w:trPr>
          <w:trHeight w:val="171" w:hRule="atLeast"/>
        </w:trPr>
        <w:tc>
          <w:tcPr>
            <w:tcW w:w="2756" w:type="dxa"/>
          </w:tcPr>
          <w:p>
            <w:pPr>
              <w:pStyle w:val="TableParagraph"/>
              <w:spacing w:line="152" w:lineRule="exact"/>
              <w:ind w:left="79"/>
              <w:rPr>
                <w:sz w:val="13"/>
              </w:rPr>
            </w:pPr>
            <w:r>
              <w:rPr>
                <w:w w:val="105"/>
                <w:sz w:val="13"/>
              </w:rPr>
              <w:t>Servicio Canario De Empleo</w:t>
            </w:r>
          </w:p>
        </w:tc>
        <w:tc>
          <w:tcPr>
            <w:tcW w:w="963" w:type="dxa"/>
          </w:tcPr>
          <w:p>
            <w:pPr>
              <w:pStyle w:val="TableParagraph"/>
              <w:rPr>
                <w:rFonts w:ascii="Times New Roman"/>
                <w:sz w:val="10"/>
              </w:rPr>
            </w:pPr>
          </w:p>
        </w:tc>
        <w:tc>
          <w:tcPr>
            <w:tcW w:w="844" w:type="dxa"/>
          </w:tcPr>
          <w:p>
            <w:pPr>
              <w:pStyle w:val="TableParagraph"/>
              <w:rPr>
                <w:rFonts w:ascii="Times New Roman"/>
                <w:sz w:val="10"/>
              </w:rPr>
            </w:pPr>
          </w:p>
        </w:tc>
        <w:tc>
          <w:tcPr>
            <w:tcW w:w="891" w:type="dxa"/>
          </w:tcPr>
          <w:p>
            <w:pPr>
              <w:pStyle w:val="TableParagraph"/>
              <w:rPr>
                <w:rFonts w:ascii="Times New Roman"/>
                <w:sz w:val="10"/>
              </w:rPr>
            </w:pPr>
          </w:p>
        </w:tc>
        <w:tc>
          <w:tcPr>
            <w:tcW w:w="821" w:type="dxa"/>
          </w:tcPr>
          <w:p>
            <w:pPr>
              <w:pStyle w:val="TableParagraph"/>
              <w:spacing w:line="145" w:lineRule="exact" w:before="6"/>
              <w:ind w:right="100"/>
              <w:jc w:val="right"/>
              <w:rPr>
                <w:rFonts w:ascii="Times New Roman"/>
                <w:sz w:val="13"/>
              </w:rPr>
            </w:pPr>
            <w:r>
              <w:rPr>
                <w:rFonts w:ascii="Times New Roman"/>
                <w:sz w:val="13"/>
              </w:rPr>
              <w:t>58,85</w:t>
            </w:r>
          </w:p>
        </w:tc>
        <w:tc>
          <w:tcPr>
            <w:tcW w:w="925" w:type="dxa"/>
          </w:tcPr>
          <w:p>
            <w:pPr>
              <w:pStyle w:val="TableParagraph"/>
              <w:spacing w:line="152" w:lineRule="exact"/>
              <w:ind w:right="46"/>
              <w:jc w:val="right"/>
              <w:rPr>
                <w:b/>
                <w:sz w:val="13"/>
              </w:rPr>
            </w:pPr>
            <w:r>
              <w:rPr>
                <w:b/>
                <w:w w:val="105"/>
                <w:sz w:val="13"/>
              </w:rPr>
              <w:t>58,85</w:t>
            </w:r>
          </w:p>
        </w:tc>
      </w:tr>
      <w:tr>
        <w:trPr>
          <w:trHeight w:val="163" w:hRule="atLeast"/>
        </w:trPr>
        <w:tc>
          <w:tcPr>
            <w:tcW w:w="2756" w:type="dxa"/>
          </w:tcPr>
          <w:p>
            <w:pPr>
              <w:pStyle w:val="TableParagraph"/>
              <w:spacing w:line="143" w:lineRule="exact"/>
              <w:ind w:left="79"/>
              <w:rPr>
                <w:sz w:val="13"/>
              </w:rPr>
            </w:pPr>
            <w:r>
              <w:rPr>
                <w:w w:val="105"/>
                <w:sz w:val="13"/>
              </w:rPr>
              <w:t>Insti. Canario De Hemodonación Y Hemoterapia</w:t>
            </w:r>
          </w:p>
        </w:tc>
        <w:tc>
          <w:tcPr>
            <w:tcW w:w="963" w:type="dxa"/>
          </w:tcPr>
          <w:p>
            <w:pPr>
              <w:pStyle w:val="TableParagraph"/>
              <w:rPr>
                <w:rFonts w:ascii="Times New Roman"/>
                <w:sz w:val="10"/>
              </w:rPr>
            </w:pPr>
          </w:p>
        </w:tc>
        <w:tc>
          <w:tcPr>
            <w:tcW w:w="844" w:type="dxa"/>
          </w:tcPr>
          <w:p>
            <w:pPr>
              <w:pStyle w:val="TableParagraph"/>
              <w:rPr>
                <w:rFonts w:ascii="Times New Roman"/>
                <w:sz w:val="10"/>
              </w:rPr>
            </w:pPr>
          </w:p>
        </w:tc>
        <w:tc>
          <w:tcPr>
            <w:tcW w:w="891" w:type="dxa"/>
          </w:tcPr>
          <w:p>
            <w:pPr>
              <w:pStyle w:val="TableParagraph"/>
              <w:rPr>
                <w:rFonts w:ascii="Times New Roman"/>
                <w:sz w:val="10"/>
              </w:rPr>
            </w:pPr>
          </w:p>
        </w:tc>
        <w:tc>
          <w:tcPr>
            <w:tcW w:w="821" w:type="dxa"/>
          </w:tcPr>
          <w:p>
            <w:pPr>
              <w:pStyle w:val="TableParagraph"/>
              <w:spacing w:line="143" w:lineRule="exact"/>
              <w:ind w:right="99"/>
              <w:jc w:val="right"/>
              <w:rPr>
                <w:sz w:val="13"/>
              </w:rPr>
            </w:pPr>
            <w:r>
              <w:rPr>
                <w:sz w:val="13"/>
              </w:rPr>
              <w:t>7,71</w:t>
            </w:r>
          </w:p>
        </w:tc>
        <w:tc>
          <w:tcPr>
            <w:tcW w:w="925" w:type="dxa"/>
          </w:tcPr>
          <w:p>
            <w:pPr>
              <w:pStyle w:val="TableParagraph"/>
              <w:spacing w:line="143" w:lineRule="exact"/>
              <w:ind w:right="48"/>
              <w:jc w:val="right"/>
              <w:rPr>
                <w:b/>
                <w:sz w:val="13"/>
              </w:rPr>
            </w:pPr>
            <w:r>
              <w:rPr>
                <w:b/>
                <w:w w:val="105"/>
                <w:sz w:val="13"/>
              </w:rPr>
              <w:t>7,71</w:t>
            </w:r>
          </w:p>
        </w:tc>
      </w:tr>
      <w:tr>
        <w:trPr>
          <w:trHeight w:val="164" w:hRule="atLeast"/>
        </w:trPr>
        <w:tc>
          <w:tcPr>
            <w:tcW w:w="2756" w:type="dxa"/>
          </w:tcPr>
          <w:p>
            <w:pPr>
              <w:pStyle w:val="TableParagraph"/>
              <w:spacing w:line="144" w:lineRule="exact"/>
              <w:ind w:left="79"/>
              <w:rPr>
                <w:sz w:val="13"/>
              </w:rPr>
            </w:pPr>
            <w:r>
              <w:rPr>
                <w:w w:val="105"/>
                <w:sz w:val="13"/>
              </w:rPr>
              <w:t>Visocan</w:t>
            </w:r>
          </w:p>
        </w:tc>
        <w:tc>
          <w:tcPr>
            <w:tcW w:w="963" w:type="dxa"/>
          </w:tcPr>
          <w:p>
            <w:pPr>
              <w:pStyle w:val="TableParagraph"/>
              <w:rPr>
                <w:rFonts w:ascii="Times New Roman"/>
                <w:sz w:val="10"/>
              </w:rPr>
            </w:pPr>
          </w:p>
        </w:tc>
        <w:tc>
          <w:tcPr>
            <w:tcW w:w="844" w:type="dxa"/>
          </w:tcPr>
          <w:p>
            <w:pPr>
              <w:pStyle w:val="TableParagraph"/>
              <w:spacing w:line="144" w:lineRule="exact"/>
              <w:ind w:right="66"/>
              <w:jc w:val="right"/>
              <w:rPr>
                <w:sz w:val="13"/>
              </w:rPr>
            </w:pPr>
            <w:r>
              <w:rPr>
                <w:w w:val="105"/>
                <w:sz w:val="13"/>
              </w:rPr>
              <w:t>55.668,76</w:t>
            </w:r>
          </w:p>
        </w:tc>
        <w:tc>
          <w:tcPr>
            <w:tcW w:w="891" w:type="dxa"/>
          </w:tcPr>
          <w:p>
            <w:pPr>
              <w:pStyle w:val="TableParagraph"/>
              <w:rPr>
                <w:rFonts w:ascii="Times New Roman"/>
                <w:sz w:val="10"/>
              </w:rPr>
            </w:pPr>
          </w:p>
        </w:tc>
        <w:tc>
          <w:tcPr>
            <w:tcW w:w="821" w:type="dxa"/>
          </w:tcPr>
          <w:p>
            <w:pPr>
              <w:pStyle w:val="TableParagraph"/>
              <w:rPr>
                <w:rFonts w:ascii="Times New Roman"/>
                <w:sz w:val="10"/>
              </w:rPr>
            </w:pPr>
          </w:p>
        </w:tc>
        <w:tc>
          <w:tcPr>
            <w:tcW w:w="925" w:type="dxa"/>
          </w:tcPr>
          <w:p>
            <w:pPr>
              <w:pStyle w:val="TableParagraph"/>
              <w:spacing w:line="144" w:lineRule="exact"/>
              <w:ind w:right="46"/>
              <w:jc w:val="right"/>
              <w:rPr>
                <w:b/>
                <w:sz w:val="13"/>
              </w:rPr>
            </w:pPr>
            <w:r>
              <w:rPr>
                <w:b/>
                <w:w w:val="105"/>
                <w:sz w:val="13"/>
              </w:rPr>
              <w:t>55.668,76</w:t>
            </w:r>
          </w:p>
        </w:tc>
      </w:tr>
      <w:tr>
        <w:trPr>
          <w:trHeight w:val="164" w:hRule="atLeast"/>
        </w:trPr>
        <w:tc>
          <w:tcPr>
            <w:tcW w:w="2756" w:type="dxa"/>
          </w:tcPr>
          <w:p>
            <w:pPr>
              <w:pStyle w:val="TableParagraph"/>
              <w:spacing w:line="144" w:lineRule="exact"/>
              <w:ind w:left="79"/>
              <w:rPr>
                <w:sz w:val="13"/>
              </w:rPr>
            </w:pPr>
            <w:r>
              <w:rPr>
                <w:w w:val="105"/>
                <w:sz w:val="13"/>
              </w:rPr>
              <w:t>Promotur</w:t>
            </w:r>
          </w:p>
        </w:tc>
        <w:tc>
          <w:tcPr>
            <w:tcW w:w="963" w:type="dxa"/>
          </w:tcPr>
          <w:p>
            <w:pPr>
              <w:pStyle w:val="TableParagraph"/>
              <w:rPr>
                <w:rFonts w:ascii="Times New Roman"/>
                <w:sz w:val="10"/>
              </w:rPr>
            </w:pPr>
          </w:p>
        </w:tc>
        <w:tc>
          <w:tcPr>
            <w:tcW w:w="844" w:type="dxa"/>
          </w:tcPr>
          <w:p>
            <w:pPr>
              <w:pStyle w:val="TableParagraph"/>
              <w:spacing w:line="144" w:lineRule="exact"/>
              <w:ind w:right="66"/>
              <w:jc w:val="right"/>
              <w:rPr>
                <w:sz w:val="13"/>
              </w:rPr>
            </w:pPr>
            <w:r>
              <w:rPr>
                <w:sz w:val="13"/>
              </w:rPr>
              <w:t>0,91</w:t>
            </w:r>
          </w:p>
        </w:tc>
        <w:tc>
          <w:tcPr>
            <w:tcW w:w="891" w:type="dxa"/>
          </w:tcPr>
          <w:p>
            <w:pPr>
              <w:pStyle w:val="TableParagraph"/>
              <w:rPr>
                <w:rFonts w:ascii="Times New Roman"/>
                <w:sz w:val="10"/>
              </w:rPr>
            </w:pPr>
          </w:p>
        </w:tc>
        <w:tc>
          <w:tcPr>
            <w:tcW w:w="821" w:type="dxa"/>
          </w:tcPr>
          <w:p>
            <w:pPr>
              <w:pStyle w:val="TableParagraph"/>
              <w:spacing w:line="144" w:lineRule="exact"/>
              <w:ind w:right="99"/>
              <w:jc w:val="right"/>
              <w:rPr>
                <w:sz w:val="13"/>
              </w:rPr>
            </w:pPr>
            <w:r>
              <w:rPr>
                <w:sz w:val="13"/>
              </w:rPr>
              <w:t>27,22</w:t>
            </w:r>
          </w:p>
        </w:tc>
        <w:tc>
          <w:tcPr>
            <w:tcW w:w="925" w:type="dxa"/>
          </w:tcPr>
          <w:p>
            <w:pPr>
              <w:pStyle w:val="TableParagraph"/>
              <w:spacing w:line="144" w:lineRule="exact"/>
              <w:ind w:right="46"/>
              <w:jc w:val="right"/>
              <w:rPr>
                <w:b/>
                <w:sz w:val="13"/>
              </w:rPr>
            </w:pPr>
            <w:r>
              <w:rPr>
                <w:b/>
                <w:w w:val="105"/>
                <w:sz w:val="13"/>
              </w:rPr>
              <w:t>28,13</w:t>
            </w:r>
          </w:p>
        </w:tc>
      </w:tr>
      <w:tr>
        <w:trPr>
          <w:trHeight w:val="163" w:hRule="atLeast"/>
        </w:trPr>
        <w:tc>
          <w:tcPr>
            <w:tcW w:w="2756" w:type="dxa"/>
          </w:tcPr>
          <w:p>
            <w:pPr>
              <w:pStyle w:val="TableParagraph"/>
              <w:spacing w:line="143" w:lineRule="exact"/>
              <w:ind w:left="79"/>
              <w:rPr>
                <w:sz w:val="13"/>
              </w:rPr>
            </w:pPr>
            <w:r>
              <w:rPr>
                <w:w w:val="105"/>
                <w:sz w:val="13"/>
              </w:rPr>
              <w:t>Gestión Servicios Para La Salud Y Seguridad</w:t>
            </w:r>
          </w:p>
        </w:tc>
        <w:tc>
          <w:tcPr>
            <w:tcW w:w="963" w:type="dxa"/>
          </w:tcPr>
          <w:p>
            <w:pPr>
              <w:pStyle w:val="TableParagraph"/>
              <w:rPr>
                <w:rFonts w:ascii="Times New Roman"/>
                <w:sz w:val="10"/>
              </w:rPr>
            </w:pPr>
          </w:p>
        </w:tc>
        <w:tc>
          <w:tcPr>
            <w:tcW w:w="844" w:type="dxa"/>
          </w:tcPr>
          <w:p>
            <w:pPr>
              <w:pStyle w:val="TableParagraph"/>
              <w:rPr>
                <w:rFonts w:ascii="Times New Roman"/>
                <w:sz w:val="10"/>
              </w:rPr>
            </w:pPr>
          </w:p>
        </w:tc>
        <w:tc>
          <w:tcPr>
            <w:tcW w:w="891" w:type="dxa"/>
          </w:tcPr>
          <w:p>
            <w:pPr>
              <w:pStyle w:val="TableParagraph"/>
              <w:rPr>
                <w:rFonts w:ascii="Times New Roman"/>
                <w:sz w:val="10"/>
              </w:rPr>
            </w:pPr>
          </w:p>
        </w:tc>
        <w:tc>
          <w:tcPr>
            <w:tcW w:w="821" w:type="dxa"/>
          </w:tcPr>
          <w:p>
            <w:pPr>
              <w:pStyle w:val="TableParagraph"/>
              <w:spacing w:line="143" w:lineRule="exact"/>
              <w:ind w:right="99"/>
              <w:jc w:val="right"/>
              <w:rPr>
                <w:sz w:val="13"/>
              </w:rPr>
            </w:pPr>
            <w:r>
              <w:rPr>
                <w:w w:val="105"/>
                <w:sz w:val="13"/>
              </w:rPr>
              <w:t>3.269,13</w:t>
            </w:r>
          </w:p>
        </w:tc>
        <w:tc>
          <w:tcPr>
            <w:tcW w:w="925" w:type="dxa"/>
          </w:tcPr>
          <w:p>
            <w:pPr>
              <w:pStyle w:val="TableParagraph"/>
              <w:spacing w:line="143" w:lineRule="exact"/>
              <w:ind w:right="46"/>
              <w:jc w:val="right"/>
              <w:rPr>
                <w:b/>
                <w:sz w:val="13"/>
              </w:rPr>
            </w:pPr>
            <w:r>
              <w:rPr>
                <w:b/>
                <w:w w:val="105"/>
                <w:sz w:val="13"/>
              </w:rPr>
              <w:t>3.269,13</w:t>
            </w:r>
          </w:p>
        </w:tc>
      </w:tr>
      <w:tr>
        <w:trPr>
          <w:trHeight w:val="164" w:hRule="atLeast"/>
        </w:trPr>
        <w:tc>
          <w:tcPr>
            <w:tcW w:w="2756" w:type="dxa"/>
          </w:tcPr>
          <w:p>
            <w:pPr>
              <w:pStyle w:val="TableParagraph"/>
              <w:spacing w:line="144" w:lineRule="exact"/>
              <w:ind w:left="79"/>
              <w:rPr>
                <w:sz w:val="13"/>
              </w:rPr>
            </w:pPr>
            <w:r>
              <w:rPr>
                <w:w w:val="105"/>
                <w:sz w:val="13"/>
              </w:rPr>
              <w:t>Gestión Del Medio Rural De Canarias, Sau</w:t>
            </w:r>
          </w:p>
        </w:tc>
        <w:tc>
          <w:tcPr>
            <w:tcW w:w="963" w:type="dxa"/>
          </w:tcPr>
          <w:p>
            <w:pPr>
              <w:pStyle w:val="TableParagraph"/>
              <w:rPr>
                <w:rFonts w:ascii="Times New Roman"/>
                <w:sz w:val="10"/>
              </w:rPr>
            </w:pPr>
          </w:p>
        </w:tc>
        <w:tc>
          <w:tcPr>
            <w:tcW w:w="844" w:type="dxa"/>
          </w:tcPr>
          <w:p>
            <w:pPr>
              <w:pStyle w:val="TableParagraph"/>
              <w:spacing w:line="144" w:lineRule="exact"/>
              <w:ind w:right="66"/>
              <w:jc w:val="right"/>
              <w:rPr>
                <w:sz w:val="13"/>
              </w:rPr>
            </w:pPr>
            <w:r>
              <w:rPr>
                <w:sz w:val="13"/>
              </w:rPr>
              <w:t>0,96</w:t>
            </w:r>
          </w:p>
        </w:tc>
        <w:tc>
          <w:tcPr>
            <w:tcW w:w="891" w:type="dxa"/>
          </w:tcPr>
          <w:p>
            <w:pPr>
              <w:pStyle w:val="TableParagraph"/>
              <w:rPr>
                <w:rFonts w:ascii="Times New Roman"/>
                <w:sz w:val="10"/>
              </w:rPr>
            </w:pPr>
          </w:p>
        </w:tc>
        <w:tc>
          <w:tcPr>
            <w:tcW w:w="821" w:type="dxa"/>
          </w:tcPr>
          <w:p>
            <w:pPr>
              <w:pStyle w:val="TableParagraph"/>
              <w:rPr>
                <w:rFonts w:ascii="Times New Roman"/>
                <w:sz w:val="10"/>
              </w:rPr>
            </w:pPr>
          </w:p>
        </w:tc>
        <w:tc>
          <w:tcPr>
            <w:tcW w:w="925" w:type="dxa"/>
          </w:tcPr>
          <w:p>
            <w:pPr>
              <w:pStyle w:val="TableParagraph"/>
              <w:spacing w:line="144" w:lineRule="exact"/>
              <w:ind w:right="48"/>
              <w:jc w:val="right"/>
              <w:rPr>
                <w:b/>
                <w:sz w:val="13"/>
              </w:rPr>
            </w:pPr>
            <w:r>
              <w:rPr>
                <w:b/>
                <w:w w:val="105"/>
                <w:sz w:val="13"/>
              </w:rPr>
              <w:t>0,96</w:t>
            </w:r>
          </w:p>
        </w:tc>
      </w:tr>
      <w:tr>
        <w:trPr>
          <w:trHeight w:val="305" w:hRule="atLeast"/>
        </w:trPr>
        <w:tc>
          <w:tcPr>
            <w:tcW w:w="2756" w:type="dxa"/>
          </w:tcPr>
          <w:p>
            <w:pPr>
              <w:pStyle w:val="TableParagraph"/>
              <w:spacing w:line="151" w:lineRule="exact"/>
              <w:ind w:left="79"/>
              <w:rPr>
                <w:sz w:val="13"/>
              </w:rPr>
            </w:pPr>
            <w:r>
              <w:rPr>
                <w:w w:val="105"/>
                <w:sz w:val="13"/>
              </w:rPr>
              <w:t>Gestur Canarias, Sa</w:t>
            </w:r>
          </w:p>
        </w:tc>
        <w:tc>
          <w:tcPr>
            <w:tcW w:w="963" w:type="dxa"/>
          </w:tcPr>
          <w:p>
            <w:pPr>
              <w:pStyle w:val="TableParagraph"/>
              <w:rPr>
                <w:rFonts w:ascii="Times New Roman"/>
                <w:sz w:val="16"/>
              </w:rPr>
            </w:pPr>
          </w:p>
        </w:tc>
        <w:tc>
          <w:tcPr>
            <w:tcW w:w="844" w:type="dxa"/>
          </w:tcPr>
          <w:p>
            <w:pPr>
              <w:pStyle w:val="TableParagraph"/>
              <w:spacing w:line="151" w:lineRule="exact"/>
              <w:ind w:right="66"/>
              <w:jc w:val="right"/>
              <w:rPr>
                <w:sz w:val="13"/>
              </w:rPr>
            </w:pPr>
            <w:r>
              <w:rPr>
                <w:w w:val="105"/>
                <w:sz w:val="13"/>
              </w:rPr>
              <w:t>5.837,76</w:t>
            </w:r>
          </w:p>
        </w:tc>
        <w:tc>
          <w:tcPr>
            <w:tcW w:w="891" w:type="dxa"/>
          </w:tcPr>
          <w:p>
            <w:pPr>
              <w:pStyle w:val="TableParagraph"/>
              <w:rPr>
                <w:rFonts w:ascii="Times New Roman"/>
                <w:sz w:val="16"/>
              </w:rPr>
            </w:pPr>
          </w:p>
        </w:tc>
        <w:tc>
          <w:tcPr>
            <w:tcW w:w="821" w:type="dxa"/>
          </w:tcPr>
          <w:p>
            <w:pPr>
              <w:pStyle w:val="TableParagraph"/>
              <w:rPr>
                <w:rFonts w:ascii="Times New Roman"/>
                <w:sz w:val="16"/>
              </w:rPr>
            </w:pPr>
          </w:p>
        </w:tc>
        <w:tc>
          <w:tcPr>
            <w:tcW w:w="925" w:type="dxa"/>
          </w:tcPr>
          <w:p>
            <w:pPr>
              <w:pStyle w:val="TableParagraph"/>
              <w:spacing w:line="151" w:lineRule="exact"/>
              <w:ind w:right="46"/>
              <w:jc w:val="right"/>
              <w:rPr>
                <w:b/>
                <w:sz w:val="13"/>
              </w:rPr>
            </w:pPr>
            <w:r>
              <w:rPr>
                <w:b/>
                <w:w w:val="105"/>
                <w:sz w:val="13"/>
              </w:rPr>
              <w:t>5.837,76</w:t>
            </w:r>
          </w:p>
        </w:tc>
      </w:tr>
    </w:tbl>
    <w:p>
      <w:pPr>
        <w:pStyle w:val="BodyText"/>
        <w:spacing w:line="20" w:lineRule="exact"/>
        <w:ind w:left="2092"/>
        <w:rPr>
          <w:sz w:val="2"/>
        </w:rPr>
      </w:pPr>
      <w:r>
        <w:rPr>
          <w:sz w:val="2"/>
        </w:rPr>
        <w:pict>
          <v:group style="width:120.95pt;height:.65pt;mso-position-horizontal-relative:char;mso-position-vertical-relative:line" coordorigin="0,0" coordsize="2419,13">
            <v:line style="position:absolute" from="0,6" to="2418,6" stroked="true" strokeweight=".604484pt" strokecolor="#000000">
              <v:stroke dashstyle="solid"/>
            </v:line>
          </v:group>
        </w:pict>
      </w:r>
      <w:r>
        <w:rPr>
          <w:sz w:val="2"/>
        </w:rPr>
      </w:r>
    </w:p>
    <w:p>
      <w:pPr>
        <w:spacing w:line="252" w:lineRule="auto" w:before="61"/>
        <w:ind w:left="2099" w:right="1045" w:firstLine="0"/>
        <w:jc w:val="left"/>
        <w:rPr>
          <w:sz w:val="16"/>
        </w:rPr>
      </w:pPr>
      <w:r>
        <w:rPr>
          <w:w w:val="105"/>
          <w:position w:val="6"/>
          <w:sz w:val="11"/>
        </w:rPr>
        <w:t>38</w:t>
      </w:r>
      <w:r>
        <w:rPr>
          <w:spacing w:val="1"/>
          <w:w w:val="105"/>
          <w:position w:val="6"/>
          <w:sz w:val="11"/>
        </w:rPr>
        <w:t> </w:t>
      </w:r>
      <w:r>
        <w:rPr>
          <w:w w:val="105"/>
          <w:sz w:val="16"/>
        </w:rPr>
        <w:t>Informe</w:t>
      </w:r>
      <w:r>
        <w:rPr>
          <w:spacing w:val="-10"/>
          <w:w w:val="105"/>
          <w:sz w:val="16"/>
        </w:rPr>
        <w:t> </w:t>
      </w:r>
      <w:r>
        <w:rPr>
          <w:w w:val="105"/>
          <w:sz w:val="16"/>
        </w:rPr>
        <w:t>sobre</w:t>
      </w:r>
      <w:r>
        <w:rPr>
          <w:spacing w:val="-10"/>
          <w:w w:val="105"/>
          <w:sz w:val="16"/>
        </w:rPr>
        <w:t> </w:t>
      </w:r>
      <w:r>
        <w:rPr>
          <w:w w:val="105"/>
          <w:sz w:val="16"/>
        </w:rPr>
        <w:t>el</w:t>
      </w:r>
      <w:r>
        <w:rPr>
          <w:spacing w:val="-9"/>
          <w:w w:val="105"/>
          <w:sz w:val="16"/>
        </w:rPr>
        <w:t> </w:t>
      </w:r>
      <w:r>
        <w:rPr>
          <w:w w:val="105"/>
          <w:sz w:val="16"/>
        </w:rPr>
        <w:t>seguimiento</w:t>
      </w:r>
      <w:r>
        <w:rPr>
          <w:spacing w:val="-9"/>
          <w:w w:val="105"/>
          <w:sz w:val="16"/>
        </w:rPr>
        <w:t> </w:t>
      </w:r>
      <w:r>
        <w:rPr>
          <w:w w:val="105"/>
          <w:sz w:val="16"/>
        </w:rPr>
        <w:t>del</w:t>
      </w:r>
      <w:r>
        <w:rPr>
          <w:spacing w:val="-9"/>
          <w:w w:val="105"/>
          <w:sz w:val="16"/>
        </w:rPr>
        <w:t> </w:t>
      </w:r>
      <w:r>
        <w:rPr>
          <w:w w:val="105"/>
          <w:sz w:val="16"/>
        </w:rPr>
        <w:t>objetivo</w:t>
      </w:r>
      <w:r>
        <w:rPr>
          <w:spacing w:val="-9"/>
          <w:w w:val="105"/>
          <w:sz w:val="16"/>
        </w:rPr>
        <w:t> </w:t>
      </w:r>
      <w:r>
        <w:rPr>
          <w:w w:val="105"/>
          <w:sz w:val="16"/>
        </w:rPr>
        <w:t>de</w:t>
      </w:r>
      <w:r>
        <w:rPr>
          <w:spacing w:val="-10"/>
          <w:w w:val="105"/>
          <w:sz w:val="16"/>
        </w:rPr>
        <w:t> </w:t>
      </w:r>
      <w:r>
        <w:rPr>
          <w:w w:val="105"/>
          <w:sz w:val="16"/>
        </w:rPr>
        <w:t>estabilidad</w:t>
      </w:r>
      <w:r>
        <w:rPr>
          <w:spacing w:val="-8"/>
          <w:w w:val="105"/>
          <w:sz w:val="16"/>
        </w:rPr>
        <w:t> </w:t>
      </w:r>
      <w:r>
        <w:rPr>
          <w:w w:val="105"/>
          <w:sz w:val="16"/>
        </w:rPr>
        <w:t>presupuestaria</w:t>
      </w:r>
      <w:r>
        <w:rPr>
          <w:spacing w:val="-10"/>
          <w:w w:val="105"/>
          <w:sz w:val="16"/>
        </w:rPr>
        <w:t> </w:t>
      </w:r>
      <w:r>
        <w:rPr>
          <w:w w:val="105"/>
          <w:sz w:val="16"/>
        </w:rPr>
        <w:t>y</w:t>
      </w:r>
      <w:r>
        <w:rPr>
          <w:spacing w:val="-9"/>
          <w:w w:val="105"/>
          <w:sz w:val="16"/>
        </w:rPr>
        <w:t> </w:t>
      </w:r>
      <w:r>
        <w:rPr>
          <w:w w:val="105"/>
          <w:sz w:val="16"/>
        </w:rPr>
        <w:t>de</w:t>
      </w:r>
      <w:r>
        <w:rPr>
          <w:spacing w:val="-10"/>
          <w:w w:val="105"/>
          <w:sz w:val="16"/>
        </w:rPr>
        <w:t> </w:t>
      </w:r>
      <w:r>
        <w:rPr>
          <w:w w:val="105"/>
          <w:sz w:val="16"/>
        </w:rPr>
        <w:t>deuda</w:t>
      </w:r>
      <w:r>
        <w:rPr>
          <w:spacing w:val="-11"/>
          <w:w w:val="105"/>
          <w:sz w:val="16"/>
        </w:rPr>
        <w:t> </w:t>
      </w:r>
      <w:r>
        <w:rPr>
          <w:w w:val="105"/>
          <w:sz w:val="16"/>
        </w:rPr>
        <w:t>pública</w:t>
      </w:r>
      <w:r>
        <w:rPr>
          <w:spacing w:val="-9"/>
          <w:w w:val="105"/>
          <w:sz w:val="16"/>
        </w:rPr>
        <w:t> </w:t>
      </w:r>
      <w:r>
        <w:rPr>
          <w:w w:val="105"/>
          <w:sz w:val="16"/>
        </w:rPr>
        <w:t>y</w:t>
      </w:r>
      <w:r>
        <w:rPr>
          <w:spacing w:val="-9"/>
          <w:w w:val="105"/>
          <w:sz w:val="16"/>
        </w:rPr>
        <w:t> </w:t>
      </w:r>
      <w:r>
        <w:rPr>
          <w:w w:val="105"/>
          <w:sz w:val="16"/>
        </w:rPr>
        <w:t>de</w:t>
      </w:r>
      <w:r>
        <w:rPr>
          <w:spacing w:val="-10"/>
          <w:w w:val="105"/>
          <w:sz w:val="16"/>
        </w:rPr>
        <w:t> </w:t>
      </w:r>
      <w:r>
        <w:rPr>
          <w:w w:val="105"/>
          <w:sz w:val="16"/>
        </w:rPr>
        <w:t>la</w:t>
      </w:r>
      <w:r>
        <w:rPr>
          <w:spacing w:val="-9"/>
          <w:w w:val="105"/>
          <w:sz w:val="16"/>
        </w:rPr>
        <w:t> </w:t>
      </w:r>
      <w:r>
        <w:rPr>
          <w:w w:val="105"/>
          <w:sz w:val="16"/>
        </w:rPr>
        <w:t>regla de gasto del ejercicio 2022, 3 de mayo de</w:t>
      </w:r>
      <w:r>
        <w:rPr>
          <w:spacing w:val="-4"/>
          <w:w w:val="105"/>
          <w:sz w:val="16"/>
        </w:rPr>
        <w:t> </w:t>
      </w:r>
      <w:r>
        <w:rPr>
          <w:w w:val="105"/>
          <w:sz w:val="16"/>
        </w:rPr>
        <w:t>2023.</w:t>
      </w:r>
    </w:p>
    <w:p>
      <w:pPr>
        <w:spacing w:line="194" w:lineRule="exact" w:before="0"/>
        <w:ind w:left="2099" w:right="0" w:firstLine="0"/>
        <w:jc w:val="left"/>
        <w:rPr>
          <w:sz w:val="16"/>
        </w:rPr>
      </w:pPr>
      <w:r>
        <w:rPr>
          <w:w w:val="105"/>
          <w:position w:val="6"/>
          <w:sz w:val="11"/>
        </w:rPr>
        <w:t>39 </w:t>
      </w:r>
      <w:r>
        <w:rPr>
          <w:w w:val="105"/>
          <w:sz w:val="16"/>
        </w:rPr>
        <w:t>Informe IGAE de 29/09/2023 relativa a Operaciones no financieras del año 2022, en términos de</w:t>
      </w:r>
    </w:p>
    <w:p>
      <w:pPr>
        <w:spacing w:line="252" w:lineRule="auto" w:before="10"/>
        <w:ind w:left="2099" w:right="1045" w:firstLine="0"/>
        <w:jc w:val="left"/>
        <w:rPr>
          <w:sz w:val="16"/>
        </w:rPr>
      </w:pPr>
      <w:r>
        <w:rPr>
          <w:w w:val="105"/>
          <w:sz w:val="16"/>
        </w:rPr>
        <w:t>contabilidad nacional (SEC 2010). Revisión estadística 2019 de la Administración Regional (S.312) y de la CAC en particular.</w:t>
      </w:r>
    </w:p>
    <w:p>
      <w:pPr>
        <w:pStyle w:val="BodyText"/>
        <w:spacing w:line="238" w:lineRule="exact"/>
        <w:ind w:left="7787"/>
        <w:jc w:val="center"/>
      </w:pPr>
      <w:r>
        <w:rPr/>
        <w:t>146</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07" name="image5.png"/>
                  <wp:cNvGraphicFramePr>
                    <a:graphicFrameLocks noChangeAspect="1"/>
                  </wp:cNvGraphicFramePr>
                  <a:graphic>
                    <a:graphicData uri="http://schemas.openxmlformats.org/drawingml/2006/picture">
                      <pic:pic>
                        <pic:nvPicPr>
                          <pic:cNvPr id="30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148/247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rPr>
          <w:b/>
        </w:rPr>
      </w:pPr>
    </w:p>
    <w:p>
      <w:pPr>
        <w:pStyle w:val="BodyText"/>
        <w:spacing w:before="10" w:after="1"/>
        <w:rPr>
          <w:b/>
          <w:sz w:val="14"/>
        </w:rPr>
      </w:pPr>
    </w:p>
    <w:tbl>
      <w:tblPr>
        <w:tblW w:w="0" w:type="auto"/>
        <w:jc w:val="left"/>
        <w:tblInd w:w="2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7"/>
        <w:gridCol w:w="3785"/>
        <w:gridCol w:w="906"/>
      </w:tblGrid>
      <w:tr>
        <w:trPr>
          <w:trHeight w:val="150" w:hRule="atLeast"/>
        </w:trPr>
        <w:tc>
          <w:tcPr>
            <w:tcW w:w="2497" w:type="dxa"/>
          </w:tcPr>
          <w:p>
            <w:pPr>
              <w:pStyle w:val="TableParagraph"/>
              <w:spacing w:line="130" w:lineRule="exact"/>
              <w:ind w:left="58"/>
              <w:rPr>
                <w:sz w:val="13"/>
              </w:rPr>
            </w:pPr>
            <w:r>
              <w:rPr>
                <w:w w:val="105"/>
                <w:sz w:val="13"/>
              </w:rPr>
              <w:t>Universidad De La Laguna</w:t>
            </w:r>
          </w:p>
        </w:tc>
        <w:tc>
          <w:tcPr>
            <w:tcW w:w="3785" w:type="dxa"/>
          </w:tcPr>
          <w:p>
            <w:pPr>
              <w:pStyle w:val="TableParagraph"/>
              <w:spacing w:line="130" w:lineRule="exact"/>
              <w:ind w:right="127"/>
              <w:jc w:val="right"/>
              <w:rPr>
                <w:sz w:val="13"/>
              </w:rPr>
            </w:pPr>
            <w:r>
              <w:rPr>
                <w:w w:val="105"/>
                <w:sz w:val="13"/>
              </w:rPr>
              <w:t>1.063,01</w:t>
            </w:r>
          </w:p>
        </w:tc>
        <w:tc>
          <w:tcPr>
            <w:tcW w:w="906" w:type="dxa"/>
          </w:tcPr>
          <w:p>
            <w:pPr>
              <w:pStyle w:val="TableParagraph"/>
              <w:spacing w:line="130" w:lineRule="exact"/>
              <w:ind w:right="55"/>
              <w:jc w:val="right"/>
              <w:rPr>
                <w:b/>
                <w:sz w:val="13"/>
              </w:rPr>
            </w:pPr>
            <w:r>
              <w:rPr>
                <w:b/>
                <w:w w:val="105"/>
                <w:sz w:val="13"/>
              </w:rPr>
              <w:t>1.063,01</w:t>
            </w:r>
          </w:p>
        </w:tc>
      </w:tr>
      <w:tr>
        <w:trPr>
          <w:trHeight w:val="151" w:hRule="atLeast"/>
        </w:trPr>
        <w:tc>
          <w:tcPr>
            <w:tcW w:w="2497" w:type="dxa"/>
            <w:tcBorders>
              <w:bottom w:val="single" w:sz="4" w:space="0" w:color="000000"/>
            </w:tcBorders>
          </w:tcPr>
          <w:p>
            <w:pPr>
              <w:pStyle w:val="TableParagraph"/>
              <w:spacing w:line="132" w:lineRule="exact"/>
              <w:ind w:left="761"/>
              <w:rPr>
                <w:b/>
                <w:sz w:val="13"/>
              </w:rPr>
            </w:pPr>
            <w:r>
              <w:rPr>
                <w:b/>
                <w:w w:val="105"/>
                <w:sz w:val="13"/>
              </w:rPr>
              <w:t>Totales A 31/12/2022</w:t>
            </w:r>
          </w:p>
        </w:tc>
        <w:tc>
          <w:tcPr>
            <w:tcW w:w="3785" w:type="dxa"/>
            <w:tcBorders>
              <w:bottom w:val="single" w:sz="4" w:space="0" w:color="000000"/>
            </w:tcBorders>
          </w:tcPr>
          <w:p>
            <w:pPr>
              <w:pStyle w:val="TableParagraph"/>
              <w:tabs>
                <w:tab w:pos="2515" w:val="left" w:leader="none"/>
              </w:tabs>
              <w:spacing w:line="132" w:lineRule="exact"/>
              <w:ind w:right="126"/>
              <w:jc w:val="right"/>
              <w:rPr>
                <w:b/>
                <w:sz w:val="13"/>
              </w:rPr>
            </w:pPr>
            <w:r>
              <w:rPr>
                <w:b/>
                <w:w w:val="105"/>
                <w:sz w:val="13"/>
              </w:rPr>
              <w:t>750.554,00  </w:t>
            </w:r>
            <w:r>
              <w:rPr>
                <w:b/>
                <w:spacing w:val="10"/>
                <w:w w:val="105"/>
                <w:sz w:val="13"/>
              </w:rPr>
              <w:t> </w:t>
            </w:r>
            <w:r>
              <w:rPr>
                <w:b/>
                <w:w w:val="105"/>
                <w:sz w:val="13"/>
              </w:rPr>
              <w:t>4.406.096,26  </w:t>
            </w:r>
            <w:r>
              <w:rPr>
                <w:b/>
                <w:spacing w:val="30"/>
                <w:w w:val="105"/>
                <w:sz w:val="13"/>
              </w:rPr>
              <w:t> </w:t>
            </w:r>
            <w:r>
              <w:rPr>
                <w:b/>
                <w:w w:val="105"/>
                <w:sz w:val="13"/>
              </w:rPr>
              <w:t>1.298.793,49</w:t>
              <w:tab/>
            </w:r>
            <w:r>
              <w:rPr>
                <w:b/>
                <w:spacing w:val="-1"/>
                <w:w w:val="105"/>
                <w:sz w:val="13"/>
              </w:rPr>
              <w:t>60.548,28*</w:t>
            </w:r>
          </w:p>
        </w:tc>
        <w:tc>
          <w:tcPr>
            <w:tcW w:w="906" w:type="dxa"/>
            <w:tcBorders>
              <w:bottom w:val="single" w:sz="4" w:space="0" w:color="000000"/>
            </w:tcBorders>
          </w:tcPr>
          <w:p>
            <w:pPr>
              <w:pStyle w:val="TableParagraph"/>
              <w:spacing w:line="132" w:lineRule="exact"/>
              <w:ind w:right="55"/>
              <w:jc w:val="right"/>
              <w:rPr>
                <w:b/>
                <w:sz w:val="13"/>
              </w:rPr>
            </w:pPr>
            <w:r>
              <w:rPr>
                <w:b/>
                <w:w w:val="105"/>
                <w:sz w:val="13"/>
              </w:rPr>
              <w:t>6.515.992,03</w:t>
            </w:r>
          </w:p>
        </w:tc>
      </w:tr>
    </w:tbl>
    <w:p>
      <w:pPr>
        <w:spacing w:line="158" w:lineRule="exact" w:before="0"/>
        <w:ind w:left="2157" w:right="0" w:firstLine="0"/>
        <w:jc w:val="left"/>
        <w:rPr>
          <w:sz w:val="13"/>
        </w:rPr>
      </w:pPr>
      <w:r>
        <w:rPr>
          <w:w w:val="105"/>
          <w:sz w:val="13"/>
        </w:rPr>
        <w:t>Fuente: Memoria de la cta. General de la IGCAC 2022. * Importe modificado.</w:t>
      </w:r>
    </w:p>
    <w:p>
      <w:pPr>
        <w:pStyle w:val="BodyText"/>
        <w:spacing w:before="10"/>
        <w:rPr>
          <w:sz w:val="11"/>
        </w:rPr>
      </w:pPr>
    </w:p>
    <w:p>
      <w:pPr>
        <w:pStyle w:val="BodyText"/>
        <w:spacing w:before="61"/>
        <w:ind w:left="2099" w:right="1140" w:firstLine="594"/>
        <w:jc w:val="both"/>
      </w:pPr>
      <w:r>
        <w:rPr/>
        <w:t>El importe imputado por el Banco de España en concepto de factoring que a 31 de diciembre de 2022 era de 60,5 millones de €, fue posteriormente corregido</w:t>
      </w:r>
      <w:r>
        <w:rPr>
          <w:position w:val="7"/>
          <w:sz w:val="13"/>
        </w:rPr>
        <w:t>40</w:t>
      </w:r>
      <w:r>
        <w:rPr/>
        <w:t>, quedando</w:t>
      </w:r>
      <w:r>
        <w:rPr>
          <w:spacing w:val="-8"/>
        </w:rPr>
        <w:t> </w:t>
      </w:r>
      <w:r>
        <w:rPr/>
        <w:t>cifrado</w:t>
      </w:r>
      <w:r>
        <w:rPr>
          <w:spacing w:val="-8"/>
        </w:rPr>
        <w:t> </w:t>
      </w:r>
      <w:r>
        <w:rPr/>
        <w:t>en</w:t>
      </w:r>
      <w:r>
        <w:rPr>
          <w:spacing w:val="-7"/>
        </w:rPr>
        <w:t> </w:t>
      </w:r>
      <w:r>
        <w:rPr/>
        <w:t>19,9</w:t>
      </w:r>
      <w:r>
        <w:rPr>
          <w:spacing w:val="-6"/>
        </w:rPr>
        <w:t> </w:t>
      </w:r>
      <w:r>
        <w:rPr/>
        <w:t>millones</w:t>
      </w:r>
      <w:r>
        <w:rPr>
          <w:spacing w:val="-8"/>
        </w:rPr>
        <w:t> </w:t>
      </w:r>
      <w:r>
        <w:rPr/>
        <w:t>de</w:t>
      </w:r>
      <w:r>
        <w:rPr>
          <w:spacing w:val="-8"/>
        </w:rPr>
        <w:t> </w:t>
      </w:r>
      <w:r>
        <w:rPr/>
        <w:t>€.</w:t>
      </w:r>
      <w:r>
        <w:rPr>
          <w:spacing w:val="-5"/>
        </w:rPr>
        <w:t> </w:t>
      </w:r>
      <w:r>
        <w:rPr/>
        <w:t>Se</w:t>
      </w:r>
      <w:r>
        <w:rPr>
          <w:spacing w:val="-8"/>
        </w:rPr>
        <w:t> </w:t>
      </w:r>
      <w:r>
        <w:rPr/>
        <w:t>verifica</w:t>
      </w:r>
      <w:r>
        <w:rPr>
          <w:spacing w:val="-6"/>
        </w:rPr>
        <w:t> </w:t>
      </w:r>
      <w:r>
        <w:rPr/>
        <w:t>la</w:t>
      </w:r>
      <w:r>
        <w:rPr>
          <w:spacing w:val="-8"/>
        </w:rPr>
        <w:t> </w:t>
      </w:r>
      <w:r>
        <w:rPr/>
        <w:t>corrección</w:t>
      </w:r>
      <w:r>
        <w:rPr>
          <w:spacing w:val="-6"/>
        </w:rPr>
        <w:t> </w:t>
      </w:r>
      <w:r>
        <w:rPr/>
        <w:t>en</w:t>
      </w:r>
      <w:r>
        <w:rPr>
          <w:spacing w:val="-8"/>
        </w:rPr>
        <w:t> </w:t>
      </w:r>
      <w:r>
        <w:rPr/>
        <w:t>el</w:t>
      </w:r>
      <w:r>
        <w:rPr>
          <w:spacing w:val="-8"/>
        </w:rPr>
        <w:t> </w:t>
      </w:r>
      <w:r>
        <w:rPr/>
        <w:t>informe</w:t>
      </w:r>
      <w:r>
        <w:rPr>
          <w:spacing w:val="-8"/>
        </w:rPr>
        <w:t> </w:t>
      </w:r>
      <w:r>
        <w:rPr/>
        <w:t>trimestral publicado por el Banco de España, de fecha marzo de 2023, siendo el total de deuda al cierre de 2022, 6.474 millones de €.</w:t>
      </w:r>
    </w:p>
    <w:p>
      <w:pPr>
        <w:pStyle w:val="BodyText"/>
        <w:spacing w:before="11"/>
        <w:rPr>
          <w:sz w:val="16"/>
        </w:rPr>
      </w:pPr>
    </w:p>
    <w:p>
      <w:pPr>
        <w:pStyle w:val="ListParagraph"/>
        <w:numPr>
          <w:ilvl w:val="0"/>
          <w:numId w:val="98"/>
        </w:numPr>
        <w:tabs>
          <w:tab w:pos="2402" w:val="left" w:leader="none"/>
        </w:tabs>
        <w:spacing w:line="242" w:lineRule="auto" w:before="1" w:after="0"/>
        <w:ind w:left="2401" w:right="1141" w:hanging="303"/>
        <w:jc w:val="both"/>
        <w:rPr>
          <w:sz w:val="20"/>
        </w:rPr>
      </w:pPr>
      <w:r>
        <w:rPr>
          <w:sz w:val="20"/>
        </w:rPr>
        <w:t>La</w:t>
      </w:r>
      <w:r>
        <w:rPr>
          <w:spacing w:val="-4"/>
          <w:sz w:val="20"/>
        </w:rPr>
        <w:t> </w:t>
      </w:r>
      <w:r>
        <w:rPr>
          <w:sz w:val="20"/>
        </w:rPr>
        <w:t>Cuenta</w:t>
      </w:r>
      <w:r>
        <w:rPr>
          <w:spacing w:val="-5"/>
          <w:sz w:val="20"/>
        </w:rPr>
        <w:t> </w:t>
      </w:r>
      <w:r>
        <w:rPr>
          <w:sz w:val="20"/>
        </w:rPr>
        <w:t>de</w:t>
      </w:r>
      <w:r>
        <w:rPr>
          <w:spacing w:val="-4"/>
          <w:sz w:val="20"/>
        </w:rPr>
        <w:t> </w:t>
      </w:r>
      <w:r>
        <w:rPr>
          <w:sz w:val="20"/>
        </w:rPr>
        <w:t>la</w:t>
      </w:r>
      <w:r>
        <w:rPr>
          <w:spacing w:val="-3"/>
          <w:sz w:val="20"/>
        </w:rPr>
        <w:t> </w:t>
      </w:r>
      <w:r>
        <w:rPr>
          <w:sz w:val="20"/>
        </w:rPr>
        <w:t>APCAC</w:t>
      </w:r>
      <w:r>
        <w:rPr>
          <w:spacing w:val="-4"/>
          <w:sz w:val="20"/>
        </w:rPr>
        <w:t> </w:t>
      </w:r>
      <w:r>
        <w:rPr>
          <w:sz w:val="20"/>
        </w:rPr>
        <w:t>recoge</w:t>
      </w:r>
      <w:r>
        <w:rPr>
          <w:spacing w:val="-4"/>
          <w:sz w:val="20"/>
        </w:rPr>
        <w:t> </w:t>
      </w:r>
      <w:r>
        <w:rPr>
          <w:sz w:val="20"/>
        </w:rPr>
        <w:t>las</w:t>
      </w:r>
      <w:r>
        <w:rPr>
          <w:spacing w:val="-3"/>
          <w:sz w:val="20"/>
        </w:rPr>
        <w:t> </w:t>
      </w:r>
      <w:r>
        <w:rPr>
          <w:sz w:val="20"/>
        </w:rPr>
        <w:t>cifras</w:t>
      </w:r>
      <w:r>
        <w:rPr>
          <w:spacing w:val="-4"/>
          <w:sz w:val="20"/>
        </w:rPr>
        <w:t> </w:t>
      </w:r>
      <w:r>
        <w:rPr>
          <w:sz w:val="20"/>
        </w:rPr>
        <w:t>relativas</w:t>
      </w:r>
      <w:r>
        <w:rPr>
          <w:spacing w:val="-4"/>
          <w:sz w:val="20"/>
        </w:rPr>
        <w:t> </w:t>
      </w:r>
      <w:r>
        <w:rPr>
          <w:sz w:val="20"/>
        </w:rPr>
        <w:t>a</w:t>
      </w:r>
      <w:r>
        <w:rPr>
          <w:spacing w:val="-3"/>
          <w:sz w:val="20"/>
        </w:rPr>
        <w:t> </w:t>
      </w:r>
      <w:r>
        <w:rPr>
          <w:sz w:val="20"/>
        </w:rPr>
        <w:t>su</w:t>
      </w:r>
      <w:r>
        <w:rPr>
          <w:spacing w:val="-4"/>
          <w:sz w:val="20"/>
        </w:rPr>
        <w:t> </w:t>
      </w:r>
      <w:r>
        <w:rPr>
          <w:sz w:val="20"/>
        </w:rPr>
        <w:t>deuda,</w:t>
      </w:r>
      <w:r>
        <w:rPr>
          <w:spacing w:val="-3"/>
          <w:sz w:val="20"/>
        </w:rPr>
        <w:t> </w:t>
      </w:r>
      <w:r>
        <w:rPr>
          <w:sz w:val="20"/>
        </w:rPr>
        <w:t>sin</w:t>
      </w:r>
      <w:r>
        <w:rPr>
          <w:spacing w:val="-3"/>
          <w:sz w:val="20"/>
        </w:rPr>
        <w:t> </w:t>
      </w:r>
      <w:r>
        <w:rPr>
          <w:sz w:val="20"/>
        </w:rPr>
        <w:t>incluir</w:t>
      </w:r>
      <w:r>
        <w:rPr>
          <w:spacing w:val="-6"/>
          <w:sz w:val="20"/>
        </w:rPr>
        <w:t> </w:t>
      </w:r>
      <w:r>
        <w:rPr>
          <w:sz w:val="20"/>
        </w:rPr>
        <w:t>el</w:t>
      </w:r>
      <w:r>
        <w:rPr>
          <w:spacing w:val="-3"/>
          <w:sz w:val="20"/>
        </w:rPr>
        <w:t> </w:t>
      </w:r>
      <w:r>
        <w:rPr>
          <w:sz w:val="20"/>
        </w:rPr>
        <w:t>epígrafe</w:t>
      </w:r>
      <w:r>
        <w:rPr>
          <w:spacing w:val="-4"/>
          <w:sz w:val="20"/>
        </w:rPr>
        <w:t> </w:t>
      </w:r>
      <w:r>
        <w:rPr>
          <w:sz w:val="20"/>
        </w:rPr>
        <w:t>de factoring sin recurso. El movimiento de aquella es el</w:t>
      </w:r>
      <w:r>
        <w:rPr>
          <w:spacing w:val="4"/>
          <w:sz w:val="20"/>
        </w:rPr>
        <w:t> </w:t>
      </w:r>
      <w:r>
        <w:rPr>
          <w:sz w:val="20"/>
        </w:rPr>
        <w:t>siguiente:</w:t>
      </w:r>
    </w:p>
    <w:p>
      <w:pPr>
        <w:pStyle w:val="BodyText"/>
        <w:spacing w:before="7"/>
      </w:pPr>
    </w:p>
    <w:tbl>
      <w:tblPr>
        <w:tblW w:w="0" w:type="auto"/>
        <w:jc w:val="left"/>
        <w:tblInd w:w="2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2"/>
        <w:gridCol w:w="928"/>
        <w:gridCol w:w="1044"/>
        <w:gridCol w:w="1044"/>
        <w:gridCol w:w="978"/>
      </w:tblGrid>
      <w:tr>
        <w:trPr>
          <w:trHeight w:val="138" w:hRule="atLeast"/>
        </w:trPr>
        <w:tc>
          <w:tcPr>
            <w:tcW w:w="4578" w:type="dxa"/>
            <w:gridSpan w:val="4"/>
            <w:tcBorders>
              <w:bottom w:val="single" w:sz="4" w:space="0" w:color="000000"/>
            </w:tcBorders>
          </w:tcPr>
          <w:p>
            <w:pPr>
              <w:pStyle w:val="TableParagraph"/>
              <w:rPr>
                <w:rFonts w:ascii="Times New Roman"/>
                <w:sz w:val="8"/>
              </w:rPr>
            </w:pPr>
          </w:p>
        </w:tc>
        <w:tc>
          <w:tcPr>
            <w:tcW w:w="978" w:type="dxa"/>
            <w:tcBorders>
              <w:bottom w:val="single" w:sz="4" w:space="0" w:color="000000"/>
            </w:tcBorders>
          </w:tcPr>
          <w:p>
            <w:pPr>
              <w:pStyle w:val="TableParagraph"/>
              <w:spacing w:line="119" w:lineRule="exact"/>
              <w:ind w:right="56"/>
              <w:jc w:val="right"/>
              <w:rPr>
                <w:b/>
                <w:sz w:val="13"/>
              </w:rPr>
            </w:pPr>
            <w:r>
              <w:rPr>
                <w:b/>
                <w:w w:val="105"/>
                <w:sz w:val="13"/>
              </w:rPr>
              <w:t>millones de €</w:t>
            </w:r>
          </w:p>
        </w:tc>
      </w:tr>
      <w:tr>
        <w:trPr>
          <w:trHeight w:val="188" w:hRule="atLeast"/>
        </w:trPr>
        <w:tc>
          <w:tcPr>
            <w:tcW w:w="1562" w:type="dxa"/>
            <w:tcBorders>
              <w:top w:val="single" w:sz="4" w:space="0" w:color="000000"/>
            </w:tcBorders>
            <w:shd w:val="clear" w:color="auto" w:fill="D9E0F1"/>
          </w:tcPr>
          <w:p>
            <w:pPr>
              <w:pStyle w:val="TableParagraph"/>
              <w:spacing w:line="154" w:lineRule="exact" w:before="14"/>
              <w:ind w:left="354"/>
              <w:rPr>
                <w:b/>
                <w:sz w:val="13"/>
              </w:rPr>
            </w:pPr>
            <w:r>
              <w:rPr>
                <w:b/>
                <w:w w:val="105"/>
                <w:sz w:val="13"/>
              </w:rPr>
              <w:t>OPERACIONES</w:t>
            </w:r>
          </w:p>
        </w:tc>
        <w:tc>
          <w:tcPr>
            <w:tcW w:w="928" w:type="dxa"/>
            <w:tcBorders>
              <w:top w:val="single" w:sz="4" w:space="0" w:color="000000"/>
            </w:tcBorders>
            <w:shd w:val="clear" w:color="auto" w:fill="D9E0F1"/>
          </w:tcPr>
          <w:p>
            <w:pPr>
              <w:pStyle w:val="TableParagraph"/>
              <w:spacing w:line="154" w:lineRule="exact" w:before="14"/>
              <w:ind w:left="123"/>
              <w:rPr>
                <w:b/>
                <w:sz w:val="13"/>
              </w:rPr>
            </w:pPr>
            <w:r>
              <w:rPr>
                <w:b/>
                <w:w w:val="105"/>
                <w:sz w:val="13"/>
              </w:rPr>
              <w:t>01/01/2022</w:t>
            </w:r>
          </w:p>
        </w:tc>
        <w:tc>
          <w:tcPr>
            <w:tcW w:w="1044" w:type="dxa"/>
            <w:tcBorders>
              <w:top w:val="single" w:sz="4" w:space="0" w:color="000000"/>
            </w:tcBorders>
            <w:shd w:val="clear" w:color="auto" w:fill="D9E0F1"/>
          </w:tcPr>
          <w:p>
            <w:pPr>
              <w:pStyle w:val="TableParagraph"/>
              <w:spacing w:line="154" w:lineRule="exact" w:before="14"/>
              <w:ind w:right="120"/>
              <w:jc w:val="right"/>
              <w:rPr>
                <w:b/>
                <w:sz w:val="13"/>
              </w:rPr>
            </w:pPr>
            <w:r>
              <w:rPr>
                <w:b/>
                <w:sz w:val="13"/>
              </w:rPr>
              <w:t>Formalización</w:t>
            </w:r>
          </w:p>
        </w:tc>
        <w:tc>
          <w:tcPr>
            <w:tcW w:w="1044" w:type="dxa"/>
            <w:tcBorders>
              <w:top w:val="single" w:sz="4" w:space="0" w:color="000000"/>
            </w:tcBorders>
            <w:shd w:val="clear" w:color="auto" w:fill="D9E0F1"/>
          </w:tcPr>
          <w:p>
            <w:pPr>
              <w:pStyle w:val="TableParagraph"/>
              <w:spacing w:line="154" w:lineRule="exact" w:before="14"/>
              <w:ind w:right="172"/>
              <w:jc w:val="right"/>
              <w:rPr>
                <w:b/>
                <w:sz w:val="13"/>
              </w:rPr>
            </w:pPr>
            <w:r>
              <w:rPr>
                <w:b/>
                <w:sz w:val="13"/>
              </w:rPr>
              <w:t>Amortización</w:t>
            </w:r>
          </w:p>
        </w:tc>
        <w:tc>
          <w:tcPr>
            <w:tcW w:w="978" w:type="dxa"/>
            <w:tcBorders>
              <w:top w:val="single" w:sz="4" w:space="0" w:color="000000"/>
            </w:tcBorders>
            <w:shd w:val="clear" w:color="auto" w:fill="D9E0F1"/>
          </w:tcPr>
          <w:p>
            <w:pPr>
              <w:pStyle w:val="TableParagraph"/>
              <w:spacing w:line="154" w:lineRule="exact" w:before="14"/>
              <w:ind w:right="109"/>
              <w:jc w:val="right"/>
              <w:rPr>
                <w:b/>
                <w:sz w:val="13"/>
              </w:rPr>
            </w:pPr>
            <w:r>
              <w:rPr>
                <w:b/>
                <w:w w:val="105"/>
                <w:sz w:val="13"/>
              </w:rPr>
              <w:t>31/12/2022</w:t>
            </w:r>
          </w:p>
        </w:tc>
      </w:tr>
      <w:tr>
        <w:trPr>
          <w:trHeight w:val="203" w:hRule="atLeast"/>
        </w:trPr>
        <w:tc>
          <w:tcPr>
            <w:tcW w:w="1562" w:type="dxa"/>
          </w:tcPr>
          <w:p>
            <w:pPr>
              <w:pStyle w:val="TableParagraph"/>
              <w:spacing w:before="17"/>
              <w:ind w:left="58"/>
              <w:rPr>
                <w:sz w:val="13"/>
              </w:rPr>
            </w:pPr>
            <w:r>
              <w:rPr>
                <w:w w:val="105"/>
                <w:sz w:val="13"/>
              </w:rPr>
              <w:t>EMISIONES</w:t>
            </w:r>
          </w:p>
        </w:tc>
        <w:tc>
          <w:tcPr>
            <w:tcW w:w="928" w:type="dxa"/>
          </w:tcPr>
          <w:p>
            <w:pPr>
              <w:pStyle w:val="TableParagraph"/>
              <w:spacing w:before="17"/>
              <w:ind w:left="360"/>
              <w:rPr>
                <w:sz w:val="13"/>
              </w:rPr>
            </w:pPr>
            <w:r>
              <w:rPr>
                <w:w w:val="105"/>
                <w:sz w:val="13"/>
              </w:rPr>
              <w:t>750,55</w:t>
            </w:r>
          </w:p>
        </w:tc>
        <w:tc>
          <w:tcPr>
            <w:tcW w:w="1044" w:type="dxa"/>
          </w:tcPr>
          <w:p>
            <w:pPr>
              <w:pStyle w:val="TableParagraph"/>
              <w:spacing w:before="17"/>
              <w:ind w:right="224"/>
              <w:jc w:val="right"/>
              <w:rPr>
                <w:sz w:val="13"/>
              </w:rPr>
            </w:pPr>
            <w:r>
              <w:rPr>
                <w:sz w:val="13"/>
              </w:rPr>
              <w:t>0,00</w:t>
            </w:r>
          </w:p>
        </w:tc>
        <w:tc>
          <w:tcPr>
            <w:tcW w:w="1044" w:type="dxa"/>
          </w:tcPr>
          <w:p>
            <w:pPr>
              <w:pStyle w:val="TableParagraph"/>
              <w:spacing w:before="17"/>
              <w:ind w:right="261"/>
              <w:jc w:val="right"/>
              <w:rPr>
                <w:sz w:val="13"/>
              </w:rPr>
            </w:pPr>
            <w:r>
              <w:rPr>
                <w:sz w:val="13"/>
              </w:rPr>
              <w:t>0,00</w:t>
            </w:r>
          </w:p>
        </w:tc>
        <w:tc>
          <w:tcPr>
            <w:tcW w:w="978" w:type="dxa"/>
          </w:tcPr>
          <w:p>
            <w:pPr>
              <w:pStyle w:val="TableParagraph"/>
              <w:spacing w:before="17"/>
              <w:ind w:left="379"/>
              <w:rPr>
                <w:sz w:val="13"/>
              </w:rPr>
            </w:pPr>
            <w:r>
              <w:rPr>
                <w:w w:val="105"/>
                <w:sz w:val="13"/>
              </w:rPr>
              <w:t>750,55</w:t>
            </w:r>
          </w:p>
        </w:tc>
      </w:tr>
      <w:tr>
        <w:trPr>
          <w:trHeight w:val="190" w:hRule="atLeast"/>
        </w:trPr>
        <w:tc>
          <w:tcPr>
            <w:tcW w:w="1562" w:type="dxa"/>
          </w:tcPr>
          <w:p>
            <w:pPr>
              <w:pStyle w:val="TableParagraph"/>
              <w:spacing w:before="5"/>
              <w:ind w:left="58"/>
              <w:rPr>
                <w:sz w:val="13"/>
              </w:rPr>
            </w:pPr>
            <w:r>
              <w:rPr>
                <w:w w:val="105"/>
                <w:sz w:val="13"/>
              </w:rPr>
              <w:t>PTMOS BANCARIOS</w:t>
            </w:r>
          </w:p>
        </w:tc>
        <w:tc>
          <w:tcPr>
            <w:tcW w:w="928" w:type="dxa"/>
          </w:tcPr>
          <w:p>
            <w:pPr>
              <w:pStyle w:val="TableParagraph"/>
              <w:spacing w:before="5"/>
              <w:ind w:left="260"/>
              <w:rPr>
                <w:sz w:val="13"/>
              </w:rPr>
            </w:pPr>
            <w:r>
              <w:rPr>
                <w:w w:val="105"/>
                <w:sz w:val="13"/>
              </w:rPr>
              <w:t>4.277,53</w:t>
            </w:r>
          </w:p>
        </w:tc>
        <w:tc>
          <w:tcPr>
            <w:tcW w:w="1044" w:type="dxa"/>
          </w:tcPr>
          <w:p>
            <w:pPr>
              <w:pStyle w:val="TableParagraph"/>
              <w:spacing w:before="5"/>
              <w:ind w:right="225"/>
              <w:jc w:val="right"/>
              <w:rPr>
                <w:sz w:val="13"/>
              </w:rPr>
            </w:pPr>
            <w:r>
              <w:rPr>
                <w:sz w:val="13"/>
              </w:rPr>
              <w:t>898,75</w:t>
            </w:r>
          </w:p>
        </w:tc>
        <w:tc>
          <w:tcPr>
            <w:tcW w:w="1044" w:type="dxa"/>
          </w:tcPr>
          <w:p>
            <w:pPr>
              <w:pStyle w:val="TableParagraph"/>
              <w:spacing w:before="5"/>
              <w:ind w:left="404"/>
              <w:rPr>
                <w:sz w:val="13"/>
              </w:rPr>
            </w:pPr>
            <w:r>
              <w:rPr>
                <w:w w:val="105"/>
                <w:sz w:val="13"/>
              </w:rPr>
              <w:t>831,70</w:t>
            </w:r>
          </w:p>
        </w:tc>
        <w:tc>
          <w:tcPr>
            <w:tcW w:w="978" w:type="dxa"/>
          </w:tcPr>
          <w:p>
            <w:pPr>
              <w:pStyle w:val="TableParagraph"/>
              <w:spacing w:before="5"/>
              <w:ind w:left="279"/>
              <w:rPr>
                <w:sz w:val="13"/>
              </w:rPr>
            </w:pPr>
            <w:r>
              <w:rPr>
                <w:w w:val="105"/>
                <w:sz w:val="13"/>
              </w:rPr>
              <w:t>4.344,57</w:t>
            </w:r>
          </w:p>
        </w:tc>
      </w:tr>
      <w:tr>
        <w:trPr>
          <w:trHeight w:val="190" w:hRule="atLeast"/>
        </w:trPr>
        <w:tc>
          <w:tcPr>
            <w:tcW w:w="1562" w:type="dxa"/>
          </w:tcPr>
          <w:p>
            <w:pPr>
              <w:pStyle w:val="TableParagraph"/>
              <w:spacing w:before="4"/>
              <w:ind w:left="58"/>
              <w:rPr>
                <w:sz w:val="13"/>
              </w:rPr>
            </w:pPr>
            <w:r>
              <w:rPr>
                <w:w w:val="105"/>
                <w:sz w:val="13"/>
              </w:rPr>
              <w:t>FPP</w:t>
            </w:r>
          </w:p>
        </w:tc>
        <w:tc>
          <w:tcPr>
            <w:tcW w:w="928" w:type="dxa"/>
          </w:tcPr>
          <w:p>
            <w:pPr>
              <w:pStyle w:val="TableParagraph"/>
              <w:spacing w:before="4"/>
              <w:ind w:left="429"/>
              <w:rPr>
                <w:sz w:val="13"/>
              </w:rPr>
            </w:pPr>
            <w:r>
              <w:rPr>
                <w:w w:val="105"/>
                <w:sz w:val="13"/>
              </w:rPr>
              <w:t>22,76</w:t>
            </w:r>
          </w:p>
        </w:tc>
        <w:tc>
          <w:tcPr>
            <w:tcW w:w="1044" w:type="dxa"/>
          </w:tcPr>
          <w:p>
            <w:pPr>
              <w:pStyle w:val="TableParagraph"/>
              <w:spacing w:before="4"/>
              <w:ind w:right="224"/>
              <w:jc w:val="right"/>
              <w:rPr>
                <w:sz w:val="13"/>
              </w:rPr>
            </w:pPr>
            <w:r>
              <w:rPr>
                <w:sz w:val="13"/>
              </w:rPr>
              <w:t>0,00</w:t>
            </w:r>
          </w:p>
        </w:tc>
        <w:tc>
          <w:tcPr>
            <w:tcW w:w="1044" w:type="dxa"/>
          </w:tcPr>
          <w:p>
            <w:pPr>
              <w:pStyle w:val="TableParagraph"/>
              <w:spacing w:before="4"/>
              <w:ind w:left="472"/>
              <w:rPr>
                <w:sz w:val="13"/>
              </w:rPr>
            </w:pPr>
            <w:r>
              <w:rPr>
                <w:w w:val="105"/>
                <w:sz w:val="13"/>
              </w:rPr>
              <w:t>10,45</w:t>
            </w:r>
          </w:p>
        </w:tc>
        <w:tc>
          <w:tcPr>
            <w:tcW w:w="978" w:type="dxa"/>
          </w:tcPr>
          <w:p>
            <w:pPr>
              <w:pStyle w:val="TableParagraph"/>
              <w:spacing w:before="4"/>
              <w:ind w:left="448"/>
              <w:rPr>
                <w:sz w:val="13"/>
              </w:rPr>
            </w:pPr>
            <w:r>
              <w:rPr>
                <w:w w:val="105"/>
                <w:sz w:val="13"/>
              </w:rPr>
              <w:t>12,31</w:t>
            </w:r>
          </w:p>
        </w:tc>
      </w:tr>
      <w:tr>
        <w:trPr>
          <w:trHeight w:val="190" w:hRule="atLeast"/>
        </w:trPr>
        <w:tc>
          <w:tcPr>
            <w:tcW w:w="1562" w:type="dxa"/>
          </w:tcPr>
          <w:p>
            <w:pPr>
              <w:pStyle w:val="TableParagraph"/>
              <w:spacing w:before="5"/>
              <w:ind w:left="58"/>
              <w:rPr>
                <w:sz w:val="13"/>
              </w:rPr>
            </w:pPr>
            <w:r>
              <w:rPr>
                <w:w w:val="105"/>
                <w:sz w:val="13"/>
              </w:rPr>
              <w:t>FLA</w:t>
            </w:r>
          </w:p>
        </w:tc>
        <w:tc>
          <w:tcPr>
            <w:tcW w:w="928" w:type="dxa"/>
          </w:tcPr>
          <w:p>
            <w:pPr>
              <w:pStyle w:val="TableParagraph"/>
              <w:spacing w:before="5"/>
              <w:ind w:left="497"/>
              <w:rPr>
                <w:sz w:val="13"/>
              </w:rPr>
            </w:pPr>
            <w:r>
              <w:rPr>
                <w:w w:val="105"/>
                <w:sz w:val="13"/>
              </w:rPr>
              <w:t>0,00</w:t>
            </w:r>
          </w:p>
        </w:tc>
        <w:tc>
          <w:tcPr>
            <w:tcW w:w="1044" w:type="dxa"/>
          </w:tcPr>
          <w:p>
            <w:pPr>
              <w:pStyle w:val="TableParagraph"/>
              <w:spacing w:before="5"/>
              <w:ind w:right="224"/>
              <w:jc w:val="right"/>
              <w:rPr>
                <w:sz w:val="13"/>
              </w:rPr>
            </w:pPr>
            <w:r>
              <w:rPr>
                <w:sz w:val="13"/>
              </w:rPr>
              <w:t>0,00</w:t>
            </w:r>
          </w:p>
        </w:tc>
        <w:tc>
          <w:tcPr>
            <w:tcW w:w="1044" w:type="dxa"/>
          </w:tcPr>
          <w:p>
            <w:pPr>
              <w:pStyle w:val="TableParagraph"/>
              <w:spacing w:before="5"/>
              <w:ind w:right="261"/>
              <w:jc w:val="right"/>
              <w:rPr>
                <w:sz w:val="13"/>
              </w:rPr>
            </w:pPr>
            <w:r>
              <w:rPr>
                <w:sz w:val="13"/>
              </w:rPr>
              <w:t>0,00</w:t>
            </w:r>
          </w:p>
        </w:tc>
        <w:tc>
          <w:tcPr>
            <w:tcW w:w="978" w:type="dxa"/>
          </w:tcPr>
          <w:p>
            <w:pPr>
              <w:pStyle w:val="TableParagraph"/>
              <w:spacing w:before="5"/>
              <w:ind w:left="516"/>
              <w:rPr>
                <w:sz w:val="13"/>
              </w:rPr>
            </w:pPr>
            <w:r>
              <w:rPr>
                <w:w w:val="105"/>
                <w:sz w:val="13"/>
              </w:rPr>
              <w:t>0,00</w:t>
            </w:r>
          </w:p>
        </w:tc>
      </w:tr>
      <w:tr>
        <w:trPr>
          <w:trHeight w:val="190" w:hRule="atLeast"/>
        </w:trPr>
        <w:tc>
          <w:tcPr>
            <w:tcW w:w="1562" w:type="dxa"/>
          </w:tcPr>
          <w:p>
            <w:pPr>
              <w:pStyle w:val="TableParagraph"/>
              <w:spacing w:before="4"/>
              <w:ind w:left="58"/>
              <w:rPr>
                <w:sz w:val="13"/>
              </w:rPr>
            </w:pPr>
            <w:r>
              <w:rPr>
                <w:w w:val="105"/>
                <w:sz w:val="13"/>
              </w:rPr>
              <w:t>FFF</w:t>
            </w:r>
          </w:p>
        </w:tc>
        <w:tc>
          <w:tcPr>
            <w:tcW w:w="928" w:type="dxa"/>
          </w:tcPr>
          <w:p>
            <w:pPr>
              <w:pStyle w:val="TableParagraph"/>
              <w:spacing w:before="4"/>
              <w:ind w:left="260"/>
              <w:rPr>
                <w:sz w:val="13"/>
              </w:rPr>
            </w:pPr>
            <w:r>
              <w:rPr>
                <w:w w:val="105"/>
                <w:sz w:val="13"/>
              </w:rPr>
              <w:t>1.286,49</w:t>
            </w:r>
          </w:p>
        </w:tc>
        <w:tc>
          <w:tcPr>
            <w:tcW w:w="1044" w:type="dxa"/>
          </w:tcPr>
          <w:p>
            <w:pPr>
              <w:pStyle w:val="TableParagraph"/>
              <w:spacing w:before="4"/>
              <w:ind w:right="224"/>
              <w:jc w:val="right"/>
              <w:rPr>
                <w:sz w:val="13"/>
              </w:rPr>
            </w:pPr>
            <w:r>
              <w:rPr>
                <w:sz w:val="13"/>
              </w:rPr>
              <w:t>0,00</w:t>
            </w:r>
          </w:p>
        </w:tc>
        <w:tc>
          <w:tcPr>
            <w:tcW w:w="1044" w:type="dxa"/>
          </w:tcPr>
          <w:p>
            <w:pPr>
              <w:pStyle w:val="TableParagraph"/>
              <w:spacing w:before="4"/>
              <w:ind w:right="261"/>
              <w:jc w:val="right"/>
              <w:rPr>
                <w:sz w:val="13"/>
              </w:rPr>
            </w:pPr>
            <w:r>
              <w:rPr>
                <w:sz w:val="13"/>
              </w:rPr>
              <w:t>0,00</w:t>
            </w:r>
          </w:p>
        </w:tc>
        <w:tc>
          <w:tcPr>
            <w:tcW w:w="978" w:type="dxa"/>
          </w:tcPr>
          <w:p>
            <w:pPr>
              <w:pStyle w:val="TableParagraph"/>
              <w:spacing w:before="4"/>
              <w:ind w:left="279"/>
              <w:rPr>
                <w:sz w:val="13"/>
              </w:rPr>
            </w:pPr>
            <w:r>
              <w:rPr>
                <w:w w:val="105"/>
                <w:sz w:val="13"/>
              </w:rPr>
              <w:t>1.286,49</w:t>
            </w:r>
          </w:p>
        </w:tc>
      </w:tr>
      <w:tr>
        <w:trPr>
          <w:trHeight w:val="179" w:hRule="atLeast"/>
        </w:trPr>
        <w:tc>
          <w:tcPr>
            <w:tcW w:w="1562" w:type="dxa"/>
          </w:tcPr>
          <w:p>
            <w:pPr>
              <w:pStyle w:val="TableParagraph"/>
              <w:spacing w:line="154" w:lineRule="exact" w:before="5"/>
              <w:ind w:left="58"/>
              <w:rPr>
                <w:sz w:val="13"/>
              </w:rPr>
            </w:pPr>
            <w:r>
              <w:rPr>
                <w:w w:val="105"/>
                <w:sz w:val="13"/>
              </w:rPr>
              <w:t>POLIZAS DE CREDITO c/p</w:t>
            </w:r>
          </w:p>
        </w:tc>
        <w:tc>
          <w:tcPr>
            <w:tcW w:w="928" w:type="dxa"/>
          </w:tcPr>
          <w:p>
            <w:pPr>
              <w:pStyle w:val="TableParagraph"/>
              <w:spacing w:line="154" w:lineRule="exact" w:before="5"/>
              <w:ind w:left="497"/>
              <w:rPr>
                <w:sz w:val="13"/>
              </w:rPr>
            </w:pPr>
            <w:r>
              <w:rPr>
                <w:w w:val="105"/>
                <w:sz w:val="13"/>
              </w:rPr>
              <w:t>0,00</w:t>
            </w:r>
          </w:p>
        </w:tc>
        <w:tc>
          <w:tcPr>
            <w:tcW w:w="1044" w:type="dxa"/>
          </w:tcPr>
          <w:p>
            <w:pPr>
              <w:pStyle w:val="TableParagraph"/>
              <w:spacing w:line="154" w:lineRule="exact" w:before="5"/>
              <w:ind w:right="224"/>
              <w:jc w:val="right"/>
              <w:rPr>
                <w:sz w:val="13"/>
              </w:rPr>
            </w:pPr>
            <w:r>
              <w:rPr>
                <w:sz w:val="13"/>
              </w:rPr>
              <w:t>0,00</w:t>
            </w:r>
          </w:p>
        </w:tc>
        <w:tc>
          <w:tcPr>
            <w:tcW w:w="1044" w:type="dxa"/>
          </w:tcPr>
          <w:p>
            <w:pPr>
              <w:pStyle w:val="TableParagraph"/>
              <w:spacing w:line="154" w:lineRule="exact" w:before="5"/>
              <w:ind w:right="261"/>
              <w:jc w:val="right"/>
              <w:rPr>
                <w:sz w:val="13"/>
              </w:rPr>
            </w:pPr>
            <w:r>
              <w:rPr>
                <w:sz w:val="13"/>
              </w:rPr>
              <w:t>0,00</w:t>
            </w:r>
          </w:p>
        </w:tc>
        <w:tc>
          <w:tcPr>
            <w:tcW w:w="978" w:type="dxa"/>
          </w:tcPr>
          <w:p>
            <w:pPr>
              <w:pStyle w:val="TableParagraph"/>
              <w:spacing w:line="154" w:lineRule="exact" w:before="5"/>
              <w:ind w:left="516"/>
              <w:rPr>
                <w:sz w:val="13"/>
              </w:rPr>
            </w:pPr>
            <w:r>
              <w:rPr>
                <w:w w:val="105"/>
                <w:sz w:val="13"/>
              </w:rPr>
              <w:t>0,00</w:t>
            </w:r>
          </w:p>
        </w:tc>
      </w:tr>
      <w:tr>
        <w:trPr>
          <w:trHeight w:val="190" w:hRule="atLeast"/>
        </w:trPr>
        <w:tc>
          <w:tcPr>
            <w:tcW w:w="1562" w:type="dxa"/>
            <w:tcBorders>
              <w:bottom w:val="single" w:sz="4" w:space="0" w:color="000000"/>
            </w:tcBorders>
            <w:shd w:val="clear" w:color="auto" w:fill="D9E0F1"/>
          </w:tcPr>
          <w:p>
            <w:pPr>
              <w:pStyle w:val="TableParagraph"/>
              <w:spacing w:line="153" w:lineRule="exact" w:before="17"/>
              <w:ind w:left="58"/>
              <w:rPr>
                <w:b/>
                <w:sz w:val="13"/>
              </w:rPr>
            </w:pPr>
            <w:r>
              <w:rPr>
                <w:b/>
                <w:w w:val="105"/>
                <w:sz w:val="13"/>
              </w:rPr>
              <w:t>TOTALES EJERCICIO 2022</w:t>
            </w:r>
          </w:p>
        </w:tc>
        <w:tc>
          <w:tcPr>
            <w:tcW w:w="928" w:type="dxa"/>
            <w:tcBorders>
              <w:bottom w:val="single" w:sz="4" w:space="0" w:color="000000"/>
            </w:tcBorders>
            <w:shd w:val="clear" w:color="auto" w:fill="D9E0F1"/>
          </w:tcPr>
          <w:p>
            <w:pPr>
              <w:pStyle w:val="TableParagraph"/>
              <w:spacing w:line="153" w:lineRule="exact" w:before="17"/>
              <w:ind w:left="256"/>
              <w:rPr>
                <w:b/>
                <w:sz w:val="13"/>
              </w:rPr>
            </w:pPr>
            <w:r>
              <w:rPr>
                <w:b/>
                <w:w w:val="105"/>
                <w:sz w:val="13"/>
              </w:rPr>
              <w:t>6.337,33</w:t>
            </w:r>
          </w:p>
        </w:tc>
        <w:tc>
          <w:tcPr>
            <w:tcW w:w="1044" w:type="dxa"/>
            <w:tcBorders>
              <w:bottom w:val="single" w:sz="4" w:space="0" w:color="000000"/>
            </w:tcBorders>
            <w:shd w:val="clear" w:color="auto" w:fill="D9E0F1"/>
          </w:tcPr>
          <w:p>
            <w:pPr>
              <w:pStyle w:val="TableParagraph"/>
              <w:spacing w:line="153" w:lineRule="exact" w:before="17"/>
              <w:ind w:right="224"/>
              <w:jc w:val="right"/>
              <w:rPr>
                <w:b/>
                <w:sz w:val="13"/>
              </w:rPr>
            </w:pPr>
            <w:r>
              <w:rPr>
                <w:b/>
                <w:sz w:val="13"/>
              </w:rPr>
              <w:t>898,75</w:t>
            </w:r>
          </w:p>
        </w:tc>
        <w:tc>
          <w:tcPr>
            <w:tcW w:w="1044" w:type="dxa"/>
            <w:tcBorders>
              <w:bottom w:val="single" w:sz="4" w:space="0" w:color="000000"/>
            </w:tcBorders>
            <w:shd w:val="clear" w:color="auto" w:fill="D9E0F1"/>
          </w:tcPr>
          <w:p>
            <w:pPr>
              <w:pStyle w:val="TableParagraph"/>
              <w:spacing w:line="153" w:lineRule="exact" w:before="17"/>
              <w:ind w:left="404"/>
              <w:rPr>
                <w:b/>
                <w:sz w:val="13"/>
              </w:rPr>
            </w:pPr>
            <w:r>
              <w:rPr>
                <w:b/>
                <w:w w:val="105"/>
                <w:sz w:val="13"/>
              </w:rPr>
              <w:t>842,15</w:t>
            </w:r>
          </w:p>
        </w:tc>
        <w:tc>
          <w:tcPr>
            <w:tcW w:w="978" w:type="dxa"/>
            <w:tcBorders>
              <w:bottom w:val="single" w:sz="4" w:space="0" w:color="000000"/>
            </w:tcBorders>
            <w:shd w:val="clear" w:color="auto" w:fill="D9E0F1"/>
          </w:tcPr>
          <w:p>
            <w:pPr>
              <w:pStyle w:val="TableParagraph"/>
              <w:spacing w:line="153" w:lineRule="exact" w:before="17"/>
              <w:ind w:left="275"/>
              <w:rPr>
                <w:b/>
                <w:sz w:val="13"/>
              </w:rPr>
            </w:pPr>
            <w:r>
              <w:rPr>
                <w:b/>
                <w:w w:val="105"/>
                <w:sz w:val="13"/>
              </w:rPr>
              <w:t>6.393,92</w:t>
            </w:r>
          </w:p>
        </w:tc>
      </w:tr>
    </w:tbl>
    <w:p>
      <w:pPr>
        <w:pStyle w:val="BodyText"/>
        <w:spacing w:before="3"/>
        <w:rPr>
          <w:sz w:val="16"/>
        </w:rPr>
      </w:pPr>
    </w:p>
    <w:p>
      <w:pPr>
        <w:pStyle w:val="ListParagraph"/>
        <w:numPr>
          <w:ilvl w:val="0"/>
          <w:numId w:val="98"/>
        </w:numPr>
        <w:tabs>
          <w:tab w:pos="2402" w:val="left" w:leader="none"/>
        </w:tabs>
        <w:spacing w:line="242" w:lineRule="auto" w:before="0" w:after="0"/>
        <w:ind w:left="2401" w:right="1140" w:hanging="303"/>
        <w:jc w:val="both"/>
        <w:rPr>
          <w:sz w:val="20"/>
        </w:rPr>
      </w:pPr>
      <w:r>
        <w:rPr>
          <w:sz w:val="20"/>
        </w:rPr>
        <w:t>Durante el ejercicio 2022, se formalizaron seis nuevas operaciones de préstamos a largo plazo con entidades de crédito por importe de 898,7 millones de €. Este importe</w:t>
      </w:r>
      <w:r>
        <w:rPr>
          <w:spacing w:val="-6"/>
          <w:sz w:val="20"/>
        </w:rPr>
        <w:t> </w:t>
      </w:r>
      <w:r>
        <w:rPr>
          <w:sz w:val="20"/>
        </w:rPr>
        <w:t>fue</w:t>
      </w:r>
      <w:r>
        <w:rPr>
          <w:spacing w:val="-5"/>
          <w:sz w:val="20"/>
        </w:rPr>
        <w:t> </w:t>
      </w:r>
      <w:r>
        <w:rPr>
          <w:sz w:val="20"/>
        </w:rPr>
        <w:t>destinado</w:t>
      </w:r>
      <w:r>
        <w:rPr>
          <w:spacing w:val="-6"/>
          <w:sz w:val="20"/>
        </w:rPr>
        <w:t> </w:t>
      </w:r>
      <w:r>
        <w:rPr>
          <w:sz w:val="20"/>
        </w:rPr>
        <w:t>a</w:t>
      </w:r>
      <w:r>
        <w:rPr>
          <w:spacing w:val="-5"/>
          <w:sz w:val="20"/>
        </w:rPr>
        <w:t> </w:t>
      </w:r>
      <w:r>
        <w:rPr>
          <w:sz w:val="20"/>
        </w:rPr>
        <w:t>refinanciar</w:t>
      </w:r>
      <w:r>
        <w:rPr>
          <w:spacing w:val="-5"/>
          <w:sz w:val="20"/>
        </w:rPr>
        <w:t> </w:t>
      </w:r>
      <w:r>
        <w:rPr>
          <w:sz w:val="20"/>
        </w:rPr>
        <w:t>las</w:t>
      </w:r>
      <w:r>
        <w:rPr>
          <w:spacing w:val="-6"/>
          <w:sz w:val="20"/>
        </w:rPr>
        <w:t> </w:t>
      </w:r>
      <w:r>
        <w:rPr>
          <w:sz w:val="20"/>
        </w:rPr>
        <w:t>amortizaciones</w:t>
      </w:r>
      <w:r>
        <w:rPr>
          <w:spacing w:val="-5"/>
          <w:sz w:val="20"/>
        </w:rPr>
        <w:t> </w:t>
      </w:r>
      <w:r>
        <w:rPr>
          <w:sz w:val="20"/>
        </w:rPr>
        <w:t>previstas</w:t>
      </w:r>
      <w:r>
        <w:rPr>
          <w:spacing w:val="-5"/>
          <w:sz w:val="20"/>
        </w:rPr>
        <w:t> </w:t>
      </w:r>
      <w:r>
        <w:rPr>
          <w:sz w:val="20"/>
        </w:rPr>
        <w:t>en</w:t>
      </w:r>
      <w:r>
        <w:rPr>
          <w:spacing w:val="-5"/>
          <w:sz w:val="20"/>
        </w:rPr>
        <w:t> </w:t>
      </w:r>
      <w:r>
        <w:rPr>
          <w:sz w:val="20"/>
        </w:rPr>
        <w:t>el</w:t>
      </w:r>
      <w:r>
        <w:rPr>
          <w:spacing w:val="-5"/>
          <w:sz w:val="20"/>
        </w:rPr>
        <w:t> </w:t>
      </w:r>
      <w:r>
        <w:rPr>
          <w:sz w:val="20"/>
        </w:rPr>
        <w:t>ejercicio</w:t>
      </w:r>
      <w:r>
        <w:rPr>
          <w:spacing w:val="-3"/>
          <w:sz w:val="20"/>
        </w:rPr>
        <w:t> </w:t>
      </w:r>
      <w:r>
        <w:rPr>
          <w:sz w:val="20"/>
        </w:rPr>
        <w:t>hasta un importe de 842,1 millones de €, y también para la financiación de las cantidades aplazadas por las liquidaciones negativas del sistema de financiación autonómica de 2008 y 2009, por importe de 56,6 millones de</w:t>
      </w:r>
      <w:r>
        <w:rPr>
          <w:spacing w:val="-1"/>
          <w:sz w:val="20"/>
        </w:rPr>
        <w:t> </w:t>
      </w:r>
      <w:r>
        <w:rPr>
          <w:sz w:val="20"/>
        </w:rPr>
        <w:t>€.</w:t>
      </w:r>
    </w:p>
    <w:p>
      <w:pPr>
        <w:pStyle w:val="BodyText"/>
        <w:spacing w:before="2"/>
        <w:rPr>
          <w:sz w:val="16"/>
        </w:rPr>
      </w:pPr>
    </w:p>
    <w:p>
      <w:pPr>
        <w:pStyle w:val="ListParagraph"/>
        <w:numPr>
          <w:ilvl w:val="0"/>
          <w:numId w:val="98"/>
        </w:numPr>
        <w:tabs>
          <w:tab w:pos="2402" w:val="left" w:leader="none"/>
        </w:tabs>
        <w:spacing w:line="240" w:lineRule="auto" w:before="0" w:after="0"/>
        <w:ind w:left="2401" w:right="1147" w:hanging="303"/>
        <w:jc w:val="both"/>
        <w:rPr>
          <w:sz w:val="20"/>
        </w:rPr>
      </w:pPr>
      <w:r>
        <w:rPr>
          <w:sz w:val="20"/>
        </w:rPr>
        <w:t>No se formalizaron nuevas pólizas de crédito a corto plazo y las vigentes en el ejercicio 2022, con un límite conjunto de 250 millones de €, se cancelaron a su vencimiento, mayo y diciembre de 2022, sin que fueran</w:t>
      </w:r>
      <w:r>
        <w:rPr>
          <w:spacing w:val="1"/>
          <w:sz w:val="20"/>
        </w:rPr>
        <w:t> </w:t>
      </w:r>
      <w:r>
        <w:rPr>
          <w:sz w:val="20"/>
        </w:rPr>
        <w:t>novadas.</w:t>
      </w:r>
    </w:p>
    <w:p>
      <w:pPr>
        <w:pStyle w:val="BodyText"/>
        <w:spacing w:before="11"/>
        <w:rPr>
          <w:sz w:val="16"/>
        </w:rPr>
      </w:pPr>
    </w:p>
    <w:p>
      <w:pPr>
        <w:pStyle w:val="ListParagraph"/>
        <w:numPr>
          <w:ilvl w:val="0"/>
          <w:numId w:val="98"/>
        </w:numPr>
        <w:tabs>
          <w:tab w:pos="2402" w:val="left" w:leader="none"/>
        </w:tabs>
        <w:spacing w:line="240" w:lineRule="auto" w:before="0" w:after="0"/>
        <w:ind w:left="2401" w:right="1144" w:hanging="303"/>
        <w:jc w:val="both"/>
        <w:rPr>
          <w:sz w:val="20"/>
        </w:rPr>
      </w:pPr>
      <w:r>
        <w:rPr>
          <w:sz w:val="20"/>
        </w:rPr>
        <w:t>El</w:t>
      </w:r>
      <w:r>
        <w:rPr>
          <w:spacing w:val="-2"/>
          <w:sz w:val="20"/>
        </w:rPr>
        <w:t> </w:t>
      </w:r>
      <w:r>
        <w:rPr>
          <w:sz w:val="20"/>
        </w:rPr>
        <w:t>reflejo</w:t>
      </w:r>
      <w:r>
        <w:rPr>
          <w:spacing w:val="-4"/>
          <w:sz w:val="20"/>
        </w:rPr>
        <w:t> </w:t>
      </w:r>
      <w:r>
        <w:rPr>
          <w:sz w:val="20"/>
        </w:rPr>
        <w:t>presupuestario</w:t>
      </w:r>
      <w:r>
        <w:rPr>
          <w:spacing w:val="-4"/>
          <w:sz w:val="20"/>
        </w:rPr>
        <w:t> </w:t>
      </w:r>
      <w:r>
        <w:rPr>
          <w:sz w:val="20"/>
        </w:rPr>
        <w:t>de</w:t>
      </w:r>
      <w:r>
        <w:rPr>
          <w:spacing w:val="-3"/>
          <w:sz w:val="20"/>
        </w:rPr>
        <w:t> </w:t>
      </w:r>
      <w:r>
        <w:rPr>
          <w:sz w:val="20"/>
        </w:rPr>
        <w:t>las</w:t>
      </w:r>
      <w:r>
        <w:rPr>
          <w:spacing w:val="-4"/>
          <w:sz w:val="20"/>
        </w:rPr>
        <w:t> </w:t>
      </w:r>
      <w:r>
        <w:rPr>
          <w:sz w:val="20"/>
        </w:rPr>
        <w:t>operaciones</w:t>
      </w:r>
      <w:r>
        <w:rPr>
          <w:spacing w:val="-4"/>
          <w:sz w:val="20"/>
        </w:rPr>
        <w:t> </w:t>
      </w:r>
      <w:r>
        <w:rPr>
          <w:sz w:val="20"/>
        </w:rPr>
        <w:t>suscritas</w:t>
      </w:r>
      <w:r>
        <w:rPr>
          <w:spacing w:val="-4"/>
          <w:sz w:val="20"/>
        </w:rPr>
        <w:t> </w:t>
      </w:r>
      <w:r>
        <w:rPr>
          <w:sz w:val="20"/>
        </w:rPr>
        <w:t>en</w:t>
      </w:r>
      <w:r>
        <w:rPr>
          <w:spacing w:val="-2"/>
          <w:sz w:val="20"/>
        </w:rPr>
        <w:t> </w:t>
      </w:r>
      <w:r>
        <w:rPr>
          <w:sz w:val="20"/>
        </w:rPr>
        <w:t>el</w:t>
      </w:r>
      <w:r>
        <w:rPr>
          <w:spacing w:val="-4"/>
          <w:sz w:val="20"/>
        </w:rPr>
        <w:t> </w:t>
      </w:r>
      <w:r>
        <w:rPr>
          <w:sz w:val="20"/>
        </w:rPr>
        <w:t>ejercicio</w:t>
      </w:r>
      <w:r>
        <w:rPr>
          <w:spacing w:val="-4"/>
          <w:sz w:val="20"/>
        </w:rPr>
        <w:t> </w:t>
      </w:r>
      <w:r>
        <w:rPr>
          <w:sz w:val="20"/>
        </w:rPr>
        <w:t>2022</w:t>
      </w:r>
      <w:r>
        <w:rPr>
          <w:spacing w:val="-1"/>
          <w:sz w:val="20"/>
        </w:rPr>
        <w:t> </w:t>
      </w:r>
      <w:r>
        <w:rPr>
          <w:sz w:val="20"/>
        </w:rPr>
        <w:t>se</w:t>
      </w:r>
      <w:r>
        <w:rPr>
          <w:spacing w:val="-2"/>
          <w:sz w:val="20"/>
        </w:rPr>
        <w:t> </w:t>
      </w:r>
      <w:r>
        <w:rPr>
          <w:sz w:val="20"/>
        </w:rPr>
        <w:t>recogen en los derechos reconocidos netos de capítulo IX del presupuesto de ingresos de la CAC que ascienden 898,7 millones de</w:t>
      </w:r>
      <w:r>
        <w:rPr>
          <w:spacing w:val="-1"/>
          <w:sz w:val="20"/>
        </w:rPr>
        <w:t> </w:t>
      </w:r>
      <w:r>
        <w:rPr>
          <w:sz w:val="20"/>
        </w:rPr>
        <w:t>€.</w:t>
      </w:r>
    </w:p>
    <w:p>
      <w:pPr>
        <w:pStyle w:val="BodyText"/>
        <w:spacing w:before="5"/>
        <w:rPr>
          <w:sz w:val="17"/>
        </w:rPr>
      </w:pPr>
    </w:p>
    <w:tbl>
      <w:tblPr>
        <w:tblW w:w="0" w:type="auto"/>
        <w:jc w:val="left"/>
        <w:tblInd w:w="2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2"/>
        <w:gridCol w:w="4237"/>
        <w:gridCol w:w="1083"/>
        <w:gridCol w:w="733"/>
      </w:tblGrid>
      <w:tr>
        <w:trPr>
          <w:trHeight w:val="181" w:hRule="atLeast"/>
        </w:trPr>
        <w:tc>
          <w:tcPr>
            <w:tcW w:w="5269" w:type="dxa"/>
            <w:gridSpan w:val="2"/>
            <w:tcBorders>
              <w:bottom w:val="single" w:sz="4" w:space="0" w:color="000000"/>
            </w:tcBorders>
          </w:tcPr>
          <w:p>
            <w:pPr>
              <w:pStyle w:val="TableParagraph"/>
              <w:rPr>
                <w:rFonts w:ascii="Times New Roman"/>
                <w:sz w:val="12"/>
              </w:rPr>
            </w:pPr>
          </w:p>
        </w:tc>
        <w:tc>
          <w:tcPr>
            <w:tcW w:w="1083" w:type="dxa"/>
            <w:tcBorders>
              <w:top w:val="single" w:sz="4" w:space="0" w:color="000000"/>
              <w:bottom w:val="single" w:sz="4" w:space="0" w:color="000000"/>
            </w:tcBorders>
            <w:shd w:val="clear" w:color="auto" w:fill="DEEAF6"/>
          </w:tcPr>
          <w:p>
            <w:pPr>
              <w:pStyle w:val="TableParagraph"/>
              <w:spacing w:line="151" w:lineRule="exact" w:before="10"/>
              <w:ind w:left="337"/>
              <w:rPr>
                <w:b/>
                <w:sz w:val="13"/>
              </w:rPr>
            </w:pPr>
            <w:r>
              <w:rPr>
                <w:b/>
                <w:w w:val="105"/>
                <w:sz w:val="13"/>
              </w:rPr>
              <w:t>DRN</w:t>
            </w:r>
            <w:r>
              <w:rPr>
                <w:b/>
                <w:spacing w:val="-3"/>
                <w:w w:val="105"/>
                <w:sz w:val="13"/>
              </w:rPr>
              <w:t> (millone</w:t>
            </w:r>
          </w:p>
        </w:tc>
        <w:tc>
          <w:tcPr>
            <w:tcW w:w="733" w:type="dxa"/>
            <w:tcBorders>
              <w:top w:val="single" w:sz="4" w:space="0" w:color="000000"/>
              <w:bottom w:val="single" w:sz="4" w:space="0" w:color="000000"/>
            </w:tcBorders>
            <w:shd w:val="clear" w:color="auto" w:fill="DEEAF6"/>
          </w:tcPr>
          <w:p>
            <w:pPr>
              <w:pStyle w:val="TableParagraph"/>
              <w:spacing w:line="151" w:lineRule="exact" w:before="10"/>
              <w:ind w:left="-4"/>
              <w:rPr>
                <w:b/>
                <w:sz w:val="13"/>
              </w:rPr>
            </w:pPr>
            <w:r>
              <w:rPr>
                <w:b/>
                <w:w w:val="105"/>
                <w:sz w:val="13"/>
              </w:rPr>
              <w:t>s de €)</w:t>
            </w:r>
          </w:p>
        </w:tc>
      </w:tr>
      <w:tr>
        <w:trPr>
          <w:trHeight w:val="182" w:hRule="atLeast"/>
        </w:trPr>
        <w:tc>
          <w:tcPr>
            <w:tcW w:w="1032" w:type="dxa"/>
            <w:tcBorders>
              <w:top w:val="single" w:sz="4" w:space="0" w:color="000000"/>
            </w:tcBorders>
            <w:shd w:val="clear" w:color="auto" w:fill="D9E0F1"/>
          </w:tcPr>
          <w:p>
            <w:pPr>
              <w:pStyle w:val="TableParagraph"/>
              <w:spacing w:line="152" w:lineRule="exact" w:before="10"/>
              <w:ind w:left="58"/>
              <w:rPr>
                <w:b/>
                <w:sz w:val="13"/>
              </w:rPr>
            </w:pPr>
            <w:r>
              <w:rPr>
                <w:b/>
                <w:w w:val="105"/>
                <w:sz w:val="13"/>
              </w:rPr>
              <w:t>Subconcepto</w:t>
            </w:r>
          </w:p>
        </w:tc>
        <w:tc>
          <w:tcPr>
            <w:tcW w:w="4237" w:type="dxa"/>
            <w:tcBorders>
              <w:top w:val="single" w:sz="4" w:space="0" w:color="000000"/>
            </w:tcBorders>
            <w:shd w:val="clear" w:color="auto" w:fill="D9E0F1"/>
          </w:tcPr>
          <w:p>
            <w:pPr>
              <w:pStyle w:val="TableParagraph"/>
              <w:spacing w:line="152" w:lineRule="exact" w:before="10"/>
              <w:ind w:left="58"/>
              <w:rPr>
                <w:b/>
                <w:sz w:val="13"/>
              </w:rPr>
            </w:pPr>
            <w:r>
              <w:rPr>
                <w:b/>
                <w:w w:val="105"/>
                <w:sz w:val="13"/>
              </w:rPr>
              <w:t>Pasivos financieros</w:t>
            </w:r>
          </w:p>
        </w:tc>
        <w:tc>
          <w:tcPr>
            <w:tcW w:w="1083" w:type="dxa"/>
            <w:tcBorders>
              <w:top w:val="single" w:sz="4" w:space="0" w:color="000000"/>
            </w:tcBorders>
            <w:shd w:val="clear" w:color="auto" w:fill="D9E0F1"/>
          </w:tcPr>
          <w:p>
            <w:pPr>
              <w:pStyle w:val="TableParagraph"/>
              <w:spacing w:line="152" w:lineRule="exact" w:before="10"/>
              <w:ind w:left="410"/>
              <w:rPr>
                <w:b/>
                <w:sz w:val="13"/>
              </w:rPr>
            </w:pPr>
            <w:r>
              <w:rPr>
                <w:b/>
                <w:w w:val="105"/>
                <w:sz w:val="13"/>
              </w:rPr>
              <w:t>2021</w:t>
            </w:r>
          </w:p>
        </w:tc>
        <w:tc>
          <w:tcPr>
            <w:tcW w:w="733" w:type="dxa"/>
            <w:tcBorders>
              <w:top w:val="single" w:sz="4" w:space="0" w:color="000000"/>
            </w:tcBorders>
            <w:shd w:val="clear" w:color="auto" w:fill="D9E0F1"/>
          </w:tcPr>
          <w:p>
            <w:pPr>
              <w:pStyle w:val="TableParagraph"/>
              <w:spacing w:line="152" w:lineRule="exact" w:before="10"/>
              <w:ind w:left="244"/>
              <w:rPr>
                <w:b/>
                <w:sz w:val="13"/>
              </w:rPr>
            </w:pPr>
            <w:r>
              <w:rPr>
                <w:b/>
                <w:w w:val="105"/>
                <w:sz w:val="13"/>
              </w:rPr>
              <w:t>2022</w:t>
            </w:r>
          </w:p>
        </w:tc>
      </w:tr>
      <w:tr>
        <w:trPr>
          <w:trHeight w:val="192" w:hRule="atLeast"/>
        </w:trPr>
        <w:tc>
          <w:tcPr>
            <w:tcW w:w="1032" w:type="dxa"/>
          </w:tcPr>
          <w:p>
            <w:pPr>
              <w:pStyle w:val="TableParagraph"/>
              <w:spacing w:before="11"/>
              <w:ind w:left="193"/>
              <w:rPr>
                <w:sz w:val="13"/>
              </w:rPr>
            </w:pPr>
            <w:r>
              <w:rPr>
                <w:w w:val="105"/>
                <w:sz w:val="13"/>
              </w:rPr>
              <w:t>90101</w:t>
            </w:r>
          </w:p>
        </w:tc>
        <w:tc>
          <w:tcPr>
            <w:tcW w:w="4237" w:type="dxa"/>
          </w:tcPr>
          <w:p>
            <w:pPr>
              <w:pStyle w:val="TableParagraph"/>
              <w:spacing w:before="11"/>
              <w:ind w:left="193"/>
              <w:rPr>
                <w:sz w:val="13"/>
              </w:rPr>
            </w:pPr>
            <w:r>
              <w:rPr>
                <w:w w:val="105"/>
                <w:sz w:val="13"/>
              </w:rPr>
              <w:t>Obligaciones y bonos</w:t>
            </w:r>
          </w:p>
        </w:tc>
        <w:tc>
          <w:tcPr>
            <w:tcW w:w="1083" w:type="dxa"/>
          </w:tcPr>
          <w:p>
            <w:pPr>
              <w:pStyle w:val="TableParagraph"/>
              <w:spacing w:before="11"/>
              <w:ind w:left="458"/>
              <w:rPr>
                <w:sz w:val="13"/>
              </w:rPr>
            </w:pPr>
            <w:r>
              <w:rPr>
                <w:w w:val="105"/>
                <w:sz w:val="13"/>
              </w:rPr>
              <w:t>495,00</w:t>
            </w:r>
          </w:p>
        </w:tc>
        <w:tc>
          <w:tcPr>
            <w:tcW w:w="733" w:type="dxa"/>
          </w:tcPr>
          <w:p>
            <w:pPr>
              <w:pStyle w:val="TableParagraph"/>
              <w:rPr>
                <w:rFonts w:ascii="Times New Roman"/>
                <w:sz w:val="12"/>
              </w:rPr>
            </w:pPr>
          </w:p>
        </w:tc>
      </w:tr>
      <w:tr>
        <w:trPr>
          <w:trHeight w:val="171" w:hRule="atLeast"/>
        </w:trPr>
        <w:tc>
          <w:tcPr>
            <w:tcW w:w="1032" w:type="dxa"/>
          </w:tcPr>
          <w:p>
            <w:pPr>
              <w:pStyle w:val="TableParagraph"/>
              <w:spacing w:line="150" w:lineRule="exact" w:before="1"/>
              <w:ind w:left="193"/>
              <w:rPr>
                <w:sz w:val="13"/>
              </w:rPr>
            </w:pPr>
            <w:r>
              <w:rPr>
                <w:w w:val="105"/>
                <w:sz w:val="13"/>
              </w:rPr>
              <w:t>91301</w:t>
            </w:r>
          </w:p>
        </w:tc>
        <w:tc>
          <w:tcPr>
            <w:tcW w:w="4237" w:type="dxa"/>
          </w:tcPr>
          <w:p>
            <w:pPr>
              <w:pStyle w:val="TableParagraph"/>
              <w:spacing w:line="150" w:lineRule="exact" w:before="1"/>
              <w:ind w:left="193"/>
              <w:rPr>
                <w:sz w:val="13"/>
              </w:rPr>
            </w:pPr>
            <w:r>
              <w:rPr>
                <w:w w:val="105"/>
                <w:sz w:val="13"/>
              </w:rPr>
              <w:t>Préstamos a largo plazo entes fuera del SP con entidades de crédito</w:t>
            </w:r>
          </w:p>
        </w:tc>
        <w:tc>
          <w:tcPr>
            <w:tcW w:w="1083" w:type="dxa"/>
          </w:tcPr>
          <w:p>
            <w:pPr>
              <w:pStyle w:val="TableParagraph"/>
              <w:spacing w:line="150" w:lineRule="exact" w:before="1"/>
              <w:ind w:left="357"/>
              <w:rPr>
                <w:sz w:val="13"/>
              </w:rPr>
            </w:pPr>
            <w:r>
              <w:rPr>
                <w:w w:val="105"/>
                <w:sz w:val="13"/>
              </w:rPr>
              <w:t>1.882,96</w:t>
            </w:r>
          </w:p>
        </w:tc>
        <w:tc>
          <w:tcPr>
            <w:tcW w:w="733" w:type="dxa"/>
          </w:tcPr>
          <w:p>
            <w:pPr>
              <w:pStyle w:val="TableParagraph"/>
              <w:spacing w:line="150" w:lineRule="exact" w:before="1"/>
              <w:ind w:right="61"/>
              <w:jc w:val="right"/>
              <w:rPr>
                <w:sz w:val="13"/>
              </w:rPr>
            </w:pPr>
            <w:r>
              <w:rPr>
                <w:sz w:val="13"/>
              </w:rPr>
              <w:t>898,75</w:t>
            </w:r>
          </w:p>
        </w:tc>
      </w:tr>
      <w:tr>
        <w:trPr>
          <w:trHeight w:val="183" w:hRule="atLeast"/>
        </w:trPr>
        <w:tc>
          <w:tcPr>
            <w:tcW w:w="1032" w:type="dxa"/>
          </w:tcPr>
          <w:p>
            <w:pPr>
              <w:pStyle w:val="TableParagraph"/>
              <w:rPr>
                <w:rFonts w:ascii="Times New Roman"/>
                <w:sz w:val="12"/>
              </w:rPr>
            </w:pPr>
          </w:p>
        </w:tc>
        <w:tc>
          <w:tcPr>
            <w:tcW w:w="4237" w:type="dxa"/>
            <w:shd w:val="clear" w:color="auto" w:fill="D9D9D9"/>
          </w:tcPr>
          <w:p>
            <w:pPr>
              <w:pStyle w:val="TableParagraph"/>
              <w:spacing w:line="150" w:lineRule="exact" w:before="13"/>
              <w:ind w:left="193"/>
              <w:rPr>
                <w:b/>
                <w:sz w:val="13"/>
              </w:rPr>
            </w:pPr>
            <w:r>
              <w:rPr>
                <w:b/>
                <w:w w:val="105"/>
                <w:sz w:val="13"/>
              </w:rPr>
              <w:t>Total sección 05 Deuda Pública</w:t>
            </w:r>
          </w:p>
        </w:tc>
        <w:tc>
          <w:tcPr>
            <w:tcW w:w="1083" w:type="dxa"/>
            <w:shd w:val="clear" w:color="auto" w:fill="D9D9D9"/>
          </w:tcPr>
          <w:p>
            <w:pPr>
              <w:pStyle w:val="TableParagraph"/>
              <w:spacing w:line="150" w:lineRule="exact" w:before="13"/>
              <w:ind w:left="353"/>
              <w:rPr>
                <w:b/>
                <w:sz w:val="13"/>
              </w:rPr>
            </w:pPr>
            <w:r>
              <w:rPr>
                <w:b/>
                <w:w w:val="105"/>
                <w:sz w:val="13"/>
              </w:rPr>
              <w:t>2.377,96</w:t>
            </w:r>
          </w:p>
        </w:tc>
        <w:tc>
          <w:tcPr>
            <w:tcW w:w="733" w:type="dxa"/>
            <w:shd w:val="clear" w:color="auto" w:fill="D9D9D9"/>
          </w:tcPr>
          <w:p>
            <w:pPr>
              <w:pStyle w:val="TableParagraph"/>
              <w:spacing w:line="150" w:lineRule="exact" w:before="13"/>
              <w:ind w:right="60"/>
              <w:jc w:val="right"/>
              <w:rPr>
                <w:b/>
                <w:sz w:val="13"/>
              </w:rPr>
            </w:pPr>
            <w:r>
              <w:rPr>
                <w:b/>
                <w:sz w:val="13"/>
              </w:rPr>
              <w:t>898,75</w:t>
            </w:r>
          </w:p>
        </w:tc>
      </w:tr>
    </w:tbl>
    <w:p>
      <w:pPr>
        <w:pStyle w:val="BodyText"/>
        <w:spacing w:before="11"/>
        <w:rPr>
          <w:sz w:val="22"/>
        </w:rPr>
      </w:pPr>
      <w:r>
        <w:rPr/>
        <w:pict>
          <v:shape style="position:absolute;margin-left:142.958206pt;margin-top:16.321772pt;width:120.95pt;height:.1pt;mso-position-horizontal-relative:page;mso-position-vertical-relative:paragraph;z-index:-251438080;mso-wrap-distance-left:0;mso-wrap-distance-right:0" coordorigin="2859,326" coordsize="2419,0" path="m2859,326l5278,326e" filled="false" stroked="true" strokeweight=".604484pt" strokecolor="#000000">
            <v:path arrowok="t"/>
            <v:stroke dashstyle="solid"/>
            <w10:wrap type="topAndBottom"/>
          </v:shape>
        </w:pict>
      </w:r>
    </w:p>
    <w:p>
      <w:pPr>
        <w:spacing w:before="51"/>
        <w:ind w:left="2099" w:right="0" w:firstLine="0"/>
        <w:jc w:val="left"/>
        <w:rPr>
          <w:sz w:val="16"/>
        </w:rPr>
      </w:pPr>
      <w:r>
        <w:rPr>
          <w:w w:val="105"/>
          <w:position w:val="6"/>
          <w:sz w:val="11"/>
        </w:rPr>
        <w:t>40 </w:t>
      </w:r>
      <w:r>
        <w:rPr>
          <w:w w:val="105"/>
          <w:sz w:val="16"/>
        </w:rPr>
        <w:t>A propuesta de la DGTPF, el Banco de España rectificó los datos anteriormente publicados eliminando</w:t>
      </w:r>
    </w:p>
    <w:p>
      <w:pPr>
        <w:spacing w:before="10"/>
        <w:ind w:left="2099" w:right="0" w:firstLine="0"/>
        <w:jc w:val="left"/>
        <w:rPr>
          <w:sz w:val="16"/>
        </w:rPr>
      </w:pPr>
      <w:r>
        <w:rPr>
          <w:w w:val="105"/>
          <w:sz w:val="16"/>
        </w:rPr>
        <w:t>el factoring sin recursos por importe de 40,6 millones de € por no tratarse de deuda financiera.</w:t>
      </w:r>
    </w:p>
    <w:p>
      <w:pPr>
        <w:pStyle w:val="BodyText"/>
        <w:spacing w:before="2"/>
        <w:ind w:left="7787"/>
        <w:jc w:val="center"/>
      </w:pPr>
      <w:r>
        <w:rPr/>
        <w:t>147</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09" name="image5.png"/>
                  <wp:cNvGraphicFramePr>
                    <a:graphicFrameLocks noChangeAspect="1"/>
                  </wp:cNvGraphicFramePr>
                  <a:graphic>
                    <a:graphicData uri="http://schemas.openxmlformats.org/drawingml/2006/picture">
                      <pic:pic>
                        <pic:nvPicPr>
                          <pic:cNvPr id="31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149/247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rPr>
          <w:b/>
        </w:rPr>
      </w:pPr>
    </w:p>
    <w:p>
      <w:pPr>
        <w:pStyle w:val="BodyText"/>
        <w:spacing w:before="4"/>
        <w:rPr>
          <w:b/>
          <w:sz w:val="15"/>
        </w:rPr>
      </w:pPr>
    </w:p>
    <w:tbl>
      <w:tblPr>
        <w:tblW w:w="0" w:type="auto"/>
        <w:jc w:val="left"/>
        <w:tblInd w:w="2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6"/>
        <w:gridCol w:w="4013"/>
        <w:gridCol w:w="1343"/>
        <w:gridCol w:w="708"/>
      </w:tblGrid>
      <w:tr>
        <w:trPr>
          <w:trHeight w:val="163" w:hRule="atLeast"/>
        </w:trPr>
        <w:tc>
          <w:tcPr>
            <w:tcW w:w="876" w:type="dxa"/>
          </w:tcPr>
          <w:p>
            <w:pPr>
              <w:pStyle w:val="TableParagraph"/>
              <w:spacing w:line="141" w:lineRule="exact"/>
              <w:ind w:left="50"/>
              <w:rPr>
                <w:sz w:val="13"/>
              </w:rPr>
            </w:pPr>
            <w:r>
              <w:rPr>
                <w:w w:val="105"/>
                <w:sz w:val="13"/>
              </w:rPr>
              <w:t>91106</w:t>
            </w:r>
          </w:p>
        </w:tc>
        <w:tc>
          <w:tcPr>
            <w:tcW w:w="4013" w:type="dxa"/>
          </w:tcPr>
          <w:p>
            <w:pPr>
              <w:pStyle w:val="TableParagraph"/>
              <w:spacing w:line="141" w:lineRule="exact"/>
              <w:ind w:left="205"/>
              <w:rPr>
                <w:sz w:val="13"/>
              </w:rPr>
            </w:pPr>
            <w:r>
              <w:rPr>
                <w:w w:val="105"/>
                <w:sz w:val="13"/>
              </w:rPr>
              <w:t>Préstamos a largo plazo transformables en subvenciones</w:t>
            </w:r>
            <w:r>
              <w:rPr>
                <w:w w:val="105"/>
                <w:position w:val="4"/>
                <w:sz w:val="8"/>
              </w:rPr>
              <w:t>41</w:t>
            </w:r>
            <w:r>
              <w:rPr>
                <w:w w:val="105"/>
                <w:sz w:val="13"/>
              </w:rPr>
              <w:t>.</w:t>
            </w:r>
          </w:p>
        </w:tc>
        <w:tc>
          <w:tcPr>
            <w:tcW w:w="1343" w:type="dxa"/>
          </w:tcPr>
          <w:p>
            <w:pPr>
              <w:pStyle w:val="TableParagraph"/>
              <w:spacing w:line="141" w:lineRule="exact"/>
              <w:ind w:right="269"/>
              <w:jc w:val="right"/>
              <w:rPr>
                <w:sz w:val="13"/>
              </w:rPr>
            </w:pPr>
            <w:r>
              <w:rPr>
                <w:sz w:val="13"/>
              </w:rPr>
              <w:t>66,07</w:t>
            </w:r>
          </w:p>
        </w:tc>
        <w:tc>
          <w:tcPr>
            <w:tcW w:w="708" w:type="dxa"/>
          </w:tcPr>
          <w:p>
            <w:pPr>
              <w:pStyle w:val="TableParagraph"/>
              <w:spacing w:line="141" w:lineRule="exact"/>
              <w:ind w:right="59"/>
              <w:jc w:val="right"/>
              <w:rPr>
                <w:sz w:val="13"/>
              </w:rPr>
            </w:pPr>
            <w:r>
              <w:rPr>
                <w:sz w:val="13"/>
              </w:rPr>
              <w:t>28,64</w:t>
            </w:r>
          </w:p>
        </w:tc>
      </w:tr>
      <w:tr>
        <w:trPr>
          <w:trHeight w:val="170" w:hRule="atLeast"/>
        </w:trPr>
        <w:tc>
          <w:tcPr>
            <w:tcW w:w="876" w:type="dxa"/>
          </w:tcPr>
          <w:p>
            <w:pPr>
              <w:pStyle w:val="TableParagraph"/>
              <w:rPr>
                <w:rFonts w:ascii="Times New Roman"/>
                <w:sz w:val="10"/>
              </w:rPr>
            </w:pPr>
          </w:p>
        </w:tc>
        <w:tc>
          <w:tcPr>
            <w:tcW w:w="4013" w:type="dxa"/>
            <w:tcBorders>
              <w:bottom w:val="single" w:sz="4" w:space="0" w:color="000000"/>
            </w:tcBorders>
          </w:tcPr>
          <w:p>
            <w:pPr>
              <w:pStyle w:val="TableParagraph"/>
              <w:spacing w:line="139" w:lineRule="exact" w:before="11"/>
              <w:ind w:left="70"/>
              <w:rPr>
                <w:b/>
                <w:sz w:val="13"/>
              </w:rPr>
            </w:pPr>
            <w:r>
              <w:rPr>
                <w:b/>
                <w:w w:val="105"/>
                <w:sz w:val="13"/>
              </w:rPr>
              <w:t>Total capítulo IX de ingresos</w:t>
            </w:r>
          </w:p>
        </w:tc>
        <w:tc>
          <w:tcPr>
            <w:tcW w:w="1343" w:type="dxa"/>
            <w:tcBorders>
              <w:bottom w:val="single" w:sz="4" w:space="0" w:color="000000"/>
            </w:tcBorders>
          </w:tcPr>
          <w:p>
            <w:pPr>
              <w:pStyle w:val="TableParagraph"/>
              <w:spacing w:line="149" w:lineRule="exact" w:before="1"/>
              <w:ind w:right="269"/>
              <w:jc w:val="right"/>
              <w:rPr>
                <w:b/>
                <w:sz w:val="13"/>
              </w:rPr>
            </w:pPr>
            <w:r>
              <w:rPr>
                <w:b/>
                <w:w w:val="105"/>
                <w:sz w:val="13"/>
              </w:rPr>
              <w:t>2.444,03</w:t>
            </w:r>
          </w:p>
        </w:tc>
        <w:tc>
          <w:tcPr>
            <w:tcW w:w="708" w:type="dxa"/>
            <w:tcBorders>
              <w:bottom w:val="single" w:sz="4" w:space="0" w:color="000000"/>
            </w:tcBorders>
          </w:tcPr>
          <w:p>
            <w:pPr>
              <w:pStyle w:val="TableParagraph"/>
              <w:spacing w:line="149" w:lineRule="exact" w:before="1"/>
              <w:ind w:right="59"/>
              <w:jc w:val="right"/>
              <w:rPr>
                <w:b/>
                <w:sz w:val="13"/>
              </w:rPr>
            </w:pPr>
            <w:r>
              <w:rPr>
                <w:b/>
                <w:sz w:val="13"/>
              </w:rPr>
              <w:t>927,39</w:t>
            </w:r>
          </w:p>
        </w:tc>
      </w:tr>
    </w:tbl>
    <w:p>
      <w:pPr>
        <w:pStyle w:val="BodyText"/>
        <w:spacing w:before="3"/>
        <w:rPr>
          <w:b/>
          <w:sz w:val="11"/>
        </w:rPr>
      </w:pPr>
    </w:p>
    <w:p>
      <w:pPr>
        <w:pStyle w:val="ListParagraph"/>
        <w:numPr>
          <w:ilvl w:val="2"/>
          <w:numId w:val="99"/>
        </w:numPr>
        <w:tabs>
          <w:tab w:pos="2739" w:val="left" w:leader="none"/>
          <w:tab w:pos="2740" w:val="left" w:leader="none"/>
        </w:tabs>
        <w:spacing w:line="240" w:lineRule="auto" w:before="61" w:after="0"/>
        <w:ind w:left="2739" w:right="0" w:hanging="651"/>
        <w:jc w:val="left"/>
        <w:rPr>
          <w:b/>
          <w:sz w:val="20"/>
        </w:rPr>
      </w:pPr>
      <w:r>
        <w:rPr>
          <w:b/>
          <w:color w:val="53A1B9"/>
          <w:sz w:val="20"/>
        </w:rPr>
        <w:t>Deuda no computable como deuda pública.</w:t>
      </w:r>
    </w:p>
    <w:p>
      <w:pPr>
        <w:pStyle w:val="BodyText"/>
        <w:spacing w:before="8"/>
        <w:rPr>
          <w:b/>
          <w:sz w:val="16"/>
        </w:rPr>
      </w:pPr>
    </w:p>
    <w:p>
      <w:pPr>
        <w:pStyle w:val="BodyText"/>
        <w:ind w:left="2099" w:right="1145" w:firstLine="594"/>
        <w:jc w:val="both"/>
      </w:pPr>
      <w:r>
        <w:rPr/>
        <w:t>Respecto a aquellas operaciones de endeudamiento que no son computables a efectos de deuda pública, pero si su cancelación, ascendieron a un saldo vivo total de 662,8 millones de € y está constituido por las siguientes operaciones:</w:t>
      </w:r>
    </w:p>
    <w:p>
      <w:pPr>
        <w:pStyle w:val="BodyText"/>
        <w:spacing w:before="11"/>
        <w:rPr>
          <w:sz w:val="16"/>
        </w:rPr>
      </w:pPr>
    </w:p>
    <w:p>
      <w:pPr>
        <w:pStyle w:val="ListParagraph"/>
        <w:numPr>
          <w:ilvl w:val="1"/>
          <w:numId w:val="98"/>
        </w:numPr>
        <w:tabs>
          <w:tab w:pos="2703" w:val="left" w:leader="none"/>
          <w:tab w:pos="2704" w:val="left" w:leader="none"/>
        </w:tabs>
        <w:spacing w:line="240" w:lineRule="auto" w:before="0" w:after="0"/>
        <w:ind w:left="2703" w:right="0" w:hanging="303"/>
        <w:jc w:val="left"/>
        <w:rPr>
          <w:sz w:val="20"/>
        </w:rPr>
      </w:pPr>
      <w:r>
        <w:rPr>
          <w:sz w:val="20"/>
        </w:rPr>
        <w:t>Préstamos</w:t>
      </w:r>
      <w:r>
        <w:rPr>
          <w:spacing w:val="29"/>
          <w:sz w:val="20"/>
        </w:rPr>
        <w:t> </w:t>
      </w:r>
      <w:r>
        <w:rPr>
          <w:sz w:val="20"/>
        </w:rPr>
        <w:t>a</w:t>
      </w:r>
      <w:r>
        <w:rPr>
          <w:spacing w:val="28"/>
          <w:sz w:val="20"/>
        </w:rPr>
        <w:t> </w:t>
      </w:r>
      <w:r>
        <w:rPr>
          <w:sz w:val="20"/>
        </w:rPr>
        <w:t>devolver,</w:t>
      </w:r>
      <w:r>
        <w:rPr>
          <w:spacing w:val="28"/>
          <w:sz w:val="20"/>
        </w:rPr>
        <w:t> </w:t>
      </w:r>
      <w:r>
        <w:rPr>
          <w:sz w:val="20"/>
        </w:rPr>
        <w:t>que</w:t>
      </w:r>
      <w:r>
        <w:rPr>
          <w:spacing w:val="28"/>
          <w:sz w:val="20"/>
        </w:rPr>
        <w:t> </w:t>
      </w:r>
      <w:r>
        <w:rPr>
          <w:sz w:val="20"/>
        </w:rPr>
        <w:t>ha</w:t>
      </w:r>
      <w:r>
        <w:rPr>
          <w:spacing w:val="30"/>
          <w:sz w:val="20"/>
        </w:rPr>
        <w:t> </w:t>
      </w:r>
      <w:r>
        <w:rPr>
          <w:sz w:val="20"/>
        </w:rPr>
        <w:t>suscrito</w:t>
      </w:r>
      <w:r>
        <w:rPr>
          <w:spacing w:val="30"/>
          <w:sz w:val="20"/>
        </w:rPr>
        <w:t> </w:t>
      </w:r>
      <w:r>
        <w:rPr>
          <w:sz w:val="20"/>
        </w:rPr>
        <w:t>la</w:t>
      </w:r>
      <w:r>
        <w:rPr>
          <w:spacing w:val="28"/>
          <w:sz w:val="20"/>
        </w:rPr>
        <w:t> </w:t>
      </w:r>
      <w:r>
        <w:rPr>
          <w:sz w:val="20"/>
        </w:rPr>
        <w:t>CAC</w:t>
      </w:r>
      <w:r>
        <w:rPr>
          <w:spacing w:val="29"/>
          <w:sz w:val="20"/>
        </w:rPr>
        <w:t> </w:t>
      </w:r>
      <w:r>
        <w:rPr>
          <w:sz w:val="20"/>
        </w:rPr>
        <w:t>con</w:t>
      </w:r>
      <w:r>
        <w:rPr>
          <w:spacing w:val="31"/>
          <w:sz w:val="20"/>
        </w:rPr>
        <w:t> </w:t>
      </w:r>
      <w:r>
        <w:rPr>
          <w:sz w:val="20"/>
        </w:rPr>
        <w:t>otras</w:t>
      </w:r>
      <w:r>
        <w:rPr>
          <w:spacing w:val="28"/>
          <w:sz w:val="20"/>
        </w:rPr>
        <w:t> </w:t>
      </w:r>
      <w:r>
        <w:rPr>
          <w:sz w:val="20"/>
        </w:rPr>
        <w:t>Entidades</w:t>
      </w:r>
      <w:r>
        <w:rPr>
          <w:spacing w:val="28"/>
          <w:sz w:val="20"/>
        </w:rPr>
        <w:t> </w:t>
      </w:r>
      <w:r>
        <w:rPr>
          <w:sz w:val="20"/>
        </w:rPr>
        <w:t>del</w:t>
      </w:r>
      <w:r>
        <w:rPr>
          <w:spacing w:val="28"/>
          <w:sz w:val="20"/>
        </w:rPr>
        <w:t> </w:t>
      </w:r>
      <w:r>
        <w:rPr>
          <w:sz w:val="20"/>
        </w:rPr>
        <w:t>Sector</w:t>
      </w:r>
    </w:p>
    <w:p>
      <w:pPr>
        <w:pStyle w:val="BodyText"/>
        <w:spacing w:line="243" w:lineRule="exact" w:before="4"/>
        <w:ind w:left="2703"/>
        <w:jc w:val="both"/>
      </w:pPr>
      <w:r>
        <w:rPr/>
        <w:t>Público, con una deuda viva al final del ejercicio 2022 de 33,9 millones de €.</w:t>
      </w:r>
    </w:p>
    <w:p>
      <w:pPr>
        <w:pStyle w:val="ListParagraph"/>
        <w:numPr>
          <w:ilvl w:val="1"/>
          <w:numId w:val="98"/>
        </w:numPr>
        <w:tabs>
          <w:tab w:pos="2704" w:val="left" w:leader="none"/>
        </w:tabs>
        <w:spacing w:line="240" w:lineRule="auto" w:before="0" w:after="0"/>
        <w:ind w:left="2703" w:right="1141" w:hanging="303"/>
        <w:jc w:val="both"/>
        <w:rPr>
          <w:sz w:val="20"/>
        </w:rPr>
      </w:pPr>
      <w:r>
        <w:rPr>
          <w:sz w:val="20"/>
        </w:rPr>
        <w:t>Las</w:t>
      </w:r>
      <w:r>
        <w:rPr>
          <w:spacing w:val="-9"/>
          <w:sz w:val="20"/>
        </w:rPr>
        <w:t> </w:t>
      </w:r>
      <w:r>
        <w:rPr>
          <w:sz w:val="20"/>
        </w:rPr>
        <w:t>liquidaciones</w:t>
      </w:r>
      <w:r>
        <w:rPr>
          <w:spacing w:val="-9"/>
          <w:sz w:val="20"/>
        </w:rPr>
        <w:t> </w:t>
      </w:r>
      <w:r>
        <w:rPr>
          <w:sz w:val="20"/>
        </w:rPr>
        <w:t>negativas</w:t>
      </w:r>
      <w:r>
        <w:rPr>
          <w:spacing w:val="-7"/>
          <w:sz w:val="20"/>
        </w:rPr>
        <w:t> </w:t>
      </w:r>
      <w:r>
        <w:rPr>
          <w:sz w:val="20"/>
        </w:rPr>
        <w:t>del</w:t>
      </w:r>
      <w:r>
        <w:rPr>
          <w:spacing w:val="-9"/>
          <w:sz w:val="20"/>
        </w:rPr>
        <w:t> </w:t>
      </w:r>
      <w:r>
        <w:rPr>
          <w:sz w:val="20"/>
        </w:rPr>
        <w:t>sistema</w:t>
      </w:r>
      <w:r>
        <w:rPr>
          <w:spacing w:val="-9"/>
          <w:sz w:val="20"/>
        </w:rPr>
        <w:t> </w:t>
      </w:r>
      <w:r>
        <w:rPr>
          <w:sz w:val="20"/>
        </w:rPr>
        <w:t>de</w:t>
      </w:r>
      <w:r>
        <w:rPr>
          <w:spacing w:val="-9"/>
          <w:sz w:val="20"/>
        </w:rPr>
        <w:t> </w:t>
      </w:r>
      <w:r>
        <w:rPr>
          <w:sz w:val="20"/>
        </w:rPr>
        <w:t>financiación</w:t>
      </w:r>
      <w:r>
        <w:rPr>
          <w:position w:val="7"/>
          <w:sz w:val="13"/>
        </w:rPr>
        <w:t>42</w:t>
      </w:r>
      <w:r>
        <w:rPr>
          <w:spacing w:val="8"/>
          <w:position w:val="7"/>
          <w:sz w:val="13"/>
        </w:rPr>
        <w:t> </w:t>
      </w:r>
      <w:r>
        <w:rPr>
          <w:sz w:val="20"/>
        </w:rPr>
        <w:t>de</w:t>
      </w:r>
      <w:r>
        <w:rPr>
          <w:spacing w:val="-7"/>
          <w:sz w:val="20"/>
        </w:rPr>
        <w:t> </w:t>
      </w:r>
      <w:r>
        <w:rPr>
          <w:sz w:val="20"/>
        </w:rPr>
        <w:t>los</w:t>
      </w:r>
      <w:r>
        <w:rPr>
          <w:spacing w:val="-7"/>
          <w:sz w:val="20"/>
        </w:rPr>
        <w:t> </w:t>
      </w:r>
      <w:r>
        <w:rPr>
          <w:sz w:val="20"/>
        </w:rPr>
        <w:t>años</w:t>
      </w:r>
      <w:r>
        <w:rPr>
          <w:spacing w:val="-7"/>
          <w:sz w:val="20"/>
        </w:rPr>
        <w:t> </w:t>
      </w:r>
      <w:r>
        <w:rPr>
          <w:sz w:val="20"/>
        </w:rPr>
        <w:t>2008</w:t>
      </w:r>
      <w:r>
        <w:rPr>
          <w:spacing w:val="-9"/>
          <w:sz w:val="20"/>
        </w:rPr>
        <w:t> </w:t>
      </w:r>
      <w:r>
        <w:rPr>
          <w:sz w:val="20"/>
        </w:rPr>
        <w:t>y</w:t>
      </w:r>
      <w:r>
        <w:rPr>
          <w:spacing w:val="-11"/>
          <w:sz w:val="20"/>
        </w:rPr>
        <w:t> </w:t>
      </w:r>
      <w:r>
        <w:rPr>
          <w:sz w:val="20"/>
        </w:rPr>
        <w:t>2009, con una devolución en el ejercicio 2022 de 56,6 millones de €, quedando una deuda viva al final del ejercicio de 509,3 millones de</w:t>
      </w:r>
      <w:r>
        <w:rPr>
          <w:spacing w:val="2"/>
          <w:sz w:val="20"/>
        </w:rPr>
        <w:t> </w:t>
      </w:r>
      <w:r>
        <w:rPr>
          <w:sz w:val="20"/>
        </w:rPr>
        <w:t>€.</w:t>
      </w:r>
    </w:p>
    <w:p>
      <w:pPr>
        <w:pStyle w:val="ListParagraph"/>
        <w:numPr>
          <w:ilvl w:val="1"/>
          <w:numId w:val="98"/>
        </w:numPr>
        <w:tabs>
          <w:tab w:pos="2751" w:val="left" w:leader="none"/>
        </w:tabs>
        <w:spacing w:line="240" w:lineRule="auto" w:before="5" w:after="0"/>
        <w:ind w:left="2703" w:right="1143" w:hanging="303"/>
        <w:jc w:val="both"/>
        <w:rPr>
          <w:sz w:val="20"/>
        </w:rPr>
      </w:pPr>
      <w:r>
        <w:rPr/>
        <w:tab/>
      </w:r>
      <w:r>
        <w:rPr>
          <w:sz w:val="20"/>
        </w:rPr>
        <w:t>Los prestamos transformables en subvenciones. Durante el 2022 se recibieron un total de 28,6 millones de €, quedando un saldo acumulado vivo, de años anteriores, al final del ejercicio de 119,6 millones de</w:t>
      </w:r>
      <w:r>
        <w:rPr>
          <w:spacing w:val="1"/>
          <w:sz w:val="20"/>
        </w:rPr>
        <w:t> </w:t>
      </w:r>
      <w:r>
        <w:rPr>
          <w:sz w:val="20"/>
        </w:rPr>
        <w:t>€.</w:t>
      </w:r>
    </w:p>
    <w:p>
      <w:pPr>
        <w:pStyle w:val="BodyText"/>
        <w:spacing w:before="11"/>
        <w:rPr>
          <w:sz w:val="16"/>
        </w:rPr>
      </w:pPr>
    </w:p>
    <w:p>
      <w:pPr>
        <w:pStyle w:val="Heading1"/>
        <w:numPr>
          <w:ilvl w:val="2"/>
          <w:numId w:val="99"/>
        </w:numPr>
        <w:tabs>
          <w:tab w:pos="2694" w:val="left" w:leader="none"/>
        </w:tabs>
        <w:spacing w:line="240" w:lineRule="auto" w:before="0" w:after="0"/>
        <w:ind w:left="2693" w:right="0" w:hanging="605"/>
        <w:jc w:val="left"/>
      </w:pPr>
      <w:r>
        <w:rPr>
          <w:color w:val="53A1B9"/>
        </w:rPr>
        <w:t>Amortizaciones</w:t>
      </w:r>
      <w:r>
        <w:rPr>
          <w:color w:val="53A1B9"/>
          <w:spacing w:val="1"/>
        </w:rPr>
        <w:t> </w:t>
      </w:r>
      <w:r>
        <w:rPr>
          <w:color w:val="53A1B9"/>
        </w:rPr>
        <w:t>financieras.</w:t>
      </w:r>
    </w:p>
    <w:p>
      <w:pPr>
        <w:pStyle w:val="BodyText"/>
        <w:spacing w:before="7"/>
        <w:rPr>
          <w:b/>
          <w:sz w:val="16"/>
        </w:rPr>
      </w:pPr>
    </w:p>
    <w:p>
      <w:pPr>
        <w:pStyle w:val="BodyText"/>
        <w:spacing w:before="1"/>
        <w:ind w:left="2693"/>
        <w:jc w:val="both"/>
      </w:pPr>
      <w:r>
        <w:rPr/>
        <w:t>Las obligaciones reconocidas en concepto de amortizaciones financieras</w:t>
      </w:r>
    </w:p>
    <w:p>
      <w:pPr>
        <w:pStyle w:val="BodyText"/>
        <w:spacing w:before="1"/>
        <w:ind w:left="2099"/>
        <w:jc w:val="both"/>
      </w:pPr>
      <w:r>
        <w:rPr/>
        <w:t>ascendieron a un total de 879,9 millones de €, de acuerdo con el siguiente detalle:</w:t>
      </w:r>
    </w:p>
    <w:p>
      <w:pPr>
        <w:pStyle w:val="BodyText"/>
        <w:rPr>
          <w:sz w:val="26"/>
        </w:rPr>
      </w:pPr>
    </w:p>
    <w:tbl>
      <w:tblPr>
        <w:tblW w:w="0" w:type="auto"/>
        <w:jc w:val="left"/>
        <w:tblInd w:w="2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4"/>
        <w:gridCol w:w="1064"/>
        <w:gridCol w:w="890"/>
        <w:gridCol w:w="941"/>
      </w:tblGrid>
      <w:tr>
        <w:trPr>
          <w:trHeight w:val="136" w:hRule="atLeast"/>
        </w:trPr>
        <w:tc>
          <w:tcPr>
            <w:tcW w:w="4648" w:type="dxa"/>
            <w:gridSpan w:val="3"/>
            <w:tcBorders>
              <w:bottom w:val="single" w:sz="4" w:space="0" w:color="000000"/>
            </w:tcBorders>
          </w:tcPr>
          <w:p>
            <w:pPr>
              <w:pStyle w:val="TableParagraph"/>
              <w:rPr>
                <w:rFonts w:ascii="Times New Roman"/>
                <w:sz w:val="8"/>
              </w:rPr>
            </w:pPr>
          </w:p>
        </w:tc>
        <w:tc>
          <w:tcPr>
            <w:tcW w:w="941" w:type="dxa"/>
            <w:tcBorders>
              <w:bottom w:val="single" w:sz="4" w:space="0" w:color="000000"/>
            </w:tcBorders>
          </w:tcPr>
          <w:p>
            <w:pPr>
              <w:pStyle w:val="TableParagraph"/>
              <w:spacing w:line="117" w:lineRule="exact"/>
              <w:ind w:right="54"/>
              <w:jc w:val="right"/>
              <w:rPr>
                <w:b/>
                <w:sz w:val="13"/>
              </w:rPr>
            </w:pPr>
            <w:r>
              <w:rPr>
                <w:b/>
                <w:w w:val="105"/>
                <w:sz w:val="13"/>
              </w:rPr>
              <w:t>millones de €</w:t>
            </w:r>
          </w:p>
        </w:tc>
      </w:tr>
      <w:tr>
        <w:trPr>
          <w:trHeight w:val="190" w:hRule="atLeast"/>
        </w:trPr>
        <w:tc>
          <w:tcPr>
            <w:tcW w:w="2694" w:type="dxa"/>
            <w:tcBorders>
              <w:top w:val="single" w:sz="4" w:space="0" w:color="000000"/>
            </w:tcBorders>
            <w:shd w:val="clear" w:color="auto" w:fill="D9E0F1"/>
          </w:tcPr>
          <w:p>
            <w:pPr>
              <w:pStyle w:val="TableParagraph"/>
              <w:spacing w:line="154" w:lineRule="exact" w:before="16"/>
              <w:ind w:left="70"/>
              <w:rPr>
                <w:b/>
                <w:sz w:val="13"/>
              </w:rPr>
            </w:pPr>
            <w:r>
              <w:rPr>
                <w:b/>
                <w:w w:val="105"/>
                <w:sz w:val="13"/>
              </w:rPr>
              <w:t>Obligaciones reconocidas Amortizaciones</w:t>
            </w:r>
          </w:p>
        </w:tc>
        <w:tc>
          <w:tcPr>
            <w:tcW w:w="1064" w:type="dxa"/>
            <w:tcBorders>
              <w:top w:val="single" w:sz="4" w:space="0" w:color="000000"/>
            </w:tcBorders>
            <w:shd w:val="clear" w:color="auto" w:fill="D9E0F1"/>
          </w:tcPr>
          <w:p>
            <w:pPr>
              <w:pStyle w:val="TableParagraph"/>
              <w:spacing w:line="154" w:lineRule="exact" w:before="16"/>
              <w:ind w:right="267"/>
              <w:jc w:val="right"/>
              <w:rPr>
                <w:b/>
                <w:sz w:val="13"/>
              </w:rPr>
            </w:pPr>
            <w:r>
              <w:rPr>
                <w:b/>
                <w:sz w:val="13"/>
              </w:rPr>
              <w:t>2020</w:t>
            </w:r>
          </w:p>
        </w:tc>
        <w:tc>
          <w:tcPr>
            <w:tcW w:w="890" w:type="dxa"/>
            <w:tcBorders>
              <w:top w:val="single" w:sz="4" w:space="0" w:color="000000"/>
            </w:tcBorders>
            <w:shd w:val="clear" w:color="auto" w:fill="D9E0F1"/>
          </w:tcPr>
          <w:p>
            <w:pPr>
              <w:pStyle w:val="TableParagraph"/>
              <w:spacing w:line="154" w:lineRule="exact" w:before="16"/>
              <w:ind w:right="135"/>
              <w:jc w:val="right"/>
              <w:rPr>
                <w:b/>
                <w:sz w:val="13"/>
              </w:rPr>
            </w:pPr>
            <w:r>
              <w:rPr>
                <w:b/>
                <w:sz w:val="13"/>
              </w:rPr>
              <w:t>2021</w:t>
            </w:r>
          </w:p>
        </w:tc>
        <w:tc>
          <w:tcPr>
            <w:tcW w:w="941" w:type="dxa"/>
            <w:tcBorders>
              <w:top w:val="single" w:sz="4" w:space="0" w:color="000000"/>
            </w:tcBorders>
            <w:shd w:val="clear" w:color="auto" w:fill="D9E0F1"/>
          </w:tcPr>
          <w:p>
            <w:pPr>
              <w:pStyle w:val="TableParagraph"/>
              <w:spacing w:line="154" w:lineRule="exact" w:before="16"/>
              <w:ind w:right="56"/>
              <w:jc w:val="right"/>
              <w:rPr>
                <w:b/>
                <w:sz w:val="13"/>
              </w:rPr>
            </w:pPr>
            <w:r>
              <w:rPr>
                <w:b/>
                <w:sz w:val="13"/>
              </w:rPr>
              <w:t>2022</w:t>
            </w:r>
          </w:p>
        </w:tc>
      </w:tr>
      <w:tr>
        <w:trPr>
          <w:trHeight w:val="202" w:hRule="atLeast"/>
        </w:trPr>
        <w:tc>
          <w:tcPr>
            <w:tcW w:w="2694" w:type="dxa"/>
          </w:tcPr>
          <w:p>
            <w:pPr>
              <w:pStyle w:val="TableParagraph"/>
              <w:spacing w:before="17"/>
              <w:ind w:left="70"/>
              <w:rPr>
                <w:sz w:val="13"/>
              </w:rPr>
            </w:pPr>
            <w:r>
              <w:rPr>
                <w:w w:val="105"/>
                <w:sz w:val="13"/>
              </w:rPr>
              <w:t>Deuda pública</w:t>
            </w:r>
          </w:p>
        </w:tc>
        <w:tc>
          <w:tcPr>
            <w:tcW w:w="1064" w:type="dxa"/>
          </w:tcPr>
          <w:p>
            <w:pPr>
              <w:pStyle w:val="TableParagraph"/>
              <w:spacing w:before="17"/>
              <w:ind w:right="267"/>
              <w:jc w:val="right"/>
              <w:rPr>
                <w:sz w:val="13"/>
              </w:rPr>
            </w:pPr>
            <w:r>
              <w:rPr>
                <w:w w:val="105"/>
                <w:sz w:val="13"/>
              </w:rPr>
              <w:t>4.182,76</w:t>
            </w:r>
          </w:p>
        </w:tc>
        <w:tc>
          <w:tcPr>
            <w:tcW w:w="890" w:type="dxa"/>
          </w:tcPr>
          <w:p>
            <w:pPr>
              <w:pStyle w:val="TableParagraph"/>
              <w:spacing w:before="17"/>
              <w:ind w:right="135"/>
              <w:jc w:val="right"/>
              <w:rPr>
                <w:sz w:val="13"/>
              </w:rPr>
            </w:pPr>
            <w:r>
              <w:rPr>
                <w:w w:val="105"/>
                <w:sz w:val="13"/>
              </w:rPr>
              <w:t>2.321,37</w:t>
            </w:r>
          </w:p>
        </w:tc>
        <w:tc>
          <w:tcPr>
            <w:tcW w:w="941" w:type="dxa"/>
          </w:tcPr>
          <w:p>
            <w:pPr>
              <w:pStyle w:val="TableParagraph"/>
              <w:spacing w:before="17"/>
              <w:ind w:right="57"/>
              <w:jc w:val="right"/>
              <w:rPr>
                <w:sz w:val="13"/>
              </w:rPr>
            </w:pPr>
            <w:r>
              <w:rPr>
                <w:sz w:val="13"/>
              </w:rPr>
              <w:t>842,15</w:t>
            </w:r>
          </w:p>
        </w:tc>
      </w:tr>
      <w:tr>
        <w:trPr>
          <w:trHeight w:val="190" w:hRule="atLeast"/>
        </w:trPr>
        <w:tc>
          <w:tcPr>
            <w:tcW w:w="2694" w:type="dxa"/>
          </w:tcPr>
          <w:p>
            <w:pPr>
              <w:pStyle w:val="TableParagraph"/>
              <w:spacing w:before="4"/>
              <w:ind w:left="70"/>
              <w:rPr>
                <w:b/>
                <w:i/>
                <w:sz w:val="13"/>
              </w:rPr>
            </w:pPr>
            <w:r>
              <w:rPr>
                <w:b/>
                <w:i/>
                <w:w w:val="105"/>
                <w:sz w:val="13"/>
              </w:rPr>
              <w:t>Subtotal</w:t>
            </w:r>
          </w:p>
        </w:tc>
        <w:tc>
          <w:tcPr>
            <w:tcW w:w="1064" w:type="dxa"/>
          </w:tcPr>
          <w:p>
            <w:pPr>
              <w:pStyle w:val="TableParagraph"/>
              <w:spacing w:before="4"/>
              <w:ind w:right="267"/>
              <w:jc w:val="right"/>
              <w:rPr>
                <w:b/>
                <w:i/>
                <w:sz w:val="13"/>
              </w:rPr>
            </w:pPr>
            <w:r>
              <w:rPr>
                <w:b/>
                <w:i/>
                <w:w w:val="105"/>
                <w:sz w:val="13"/>
              </w:rPr>
              <w:t>4.182,76</w:t>
            </w:r>
          </w:p>
        </w:tc>
        <w:tc>
          <w:tcPr>
            <w:tcW w:w="890" w:type="dxa"/>
          </w:tcPr>
          <w:p>
            <w:pPr>
              <w:pStyle w:val="TableParagraph"/>
              <w:spacing w:before="4"/>
              <w:ind w:right="135"/>
              <w:jc w:val="right"/>
              <w:rPr>
                <w:b/>
                <w:i/>
                <w:sz w:val="13"/>
              </w:rPr>
            </w:pPr>
            <w:r>
              <w:rPr>
                <w:b/>
                <w:i/>
                <w:w w:val="105"/>
                <w:sz w:val="13"/>
              </w:rPr>
              <w:t>2.321,37</w:t>
            </w:r>
          </w:p>
        </w:tc>
        <w:tc>
          <w:tcPr>
            <w:tcW w:w="941" w:type="dxa"/>
          </w:tcPr>
          <w:p>
            <w:pPr>
              <w:pStyle w:val="TableParagraph"/>
              <w:spacing w:before="4"/>
              <w:ind w:right="56"/>
              <w:jc w:val="right"/>
              <w:rPr>
                <w:b/>
                <w:i/>
                <w:sz w:val="13"/>
              </w:rPr>
            </w:pPr>
            <w:r>
              <w:rPr>
                <w:b/>
                <w:i/>
                <w:sz w:val="13"/>
              </w:rPr>
              <w:t>842,15</w:t>
            </w:r>
          </w:p>
        </w:tc>
      </w:tr>
      <w:tr>
        <w:trPr>
          <w:trHeight w:val="163" w:hRule="atLeast"/>
        </w:trPr>
        <w:tc>
          <w:tcPr>
            <w:tcW w:w="2694" w:type="dxa"/>
          </w:tcPr>
          <w:p>
            <w:pPr>
              <w:pStyle w:val="TableParagraph"/>
              <w:spacing w:line="138" w:lineRule="exact" w:before="5"/>
              <w:ind w:left="70"/>
              <w:rPr>
                <w:sz w:val="13"/>
              </w:rPr>
            </w:pPr>
            <w:r>
              <w:rPr>
                <w:w w:val="105"/>
                <w:sz w:val="13"/>
              </w:rPr>
              <w:t>Hacienda</w:t>
            </w:r>
          </w:p>
        </w:tc>
        <w:tc>
          <w:tcPr>
            <w:tcW w:w="1064" w:type="dxa"/>
          </w:tcPr>
          <w:p>
            <w:pPr>
              <w:pStyle w:val="TableParagraph"/>
              <w:spacing w:line="138" w:lineRule="exact" w:before="5"/>
              <w:ind w:right="267"/>
              <w:jc w:val="right"/>
              <w:rPr>
                <w:sz w:val="13"/>
              </w:rPr>
            </w:pPr>
            <w:r>
              <w:rPr>
                <w:sz w:val="13"/>
              </w:rPr>
              <w:t>0,00</w:t>
            </w:r>
          </w:p>
        </w:tc>
        <w:tc>
          <w:tcPr>
            <w:tcW w:w="890" w:type="dxa"/>
          </w:tcPr>
          <w:p>
            <w:pPr>
              <w:pStyle w:val="TableParagraph"/>
              <w:spacing w:line="138" w:lineRule="exact" w:before="5"/>
              <w:ind w:right="135"/>
              <w:jc w:val="right"/>
              <w:rPr>
                <w:sz w:val="13"/>
              </w:rPr>
            </w:pPr>
            <w:r>
              <w:rPr>
                <w:sz w:val="13"/>
              </w:rPr>
              <w:t>27,49</w:t>
            </w:r>
          </w:p>
        </w:tc>
        <w:tc>
          <w:tcPr>
            <w:tcW w:w="941" w:type="dxa"/>
          </w:tcPr>
          <w:p>
            <w:pPr>
              <w:pStyle w:val="TableParagraph"/>
              <w:spacing w:line="138" w:lineRule="exact" w:before="5"/>
              <w:ind w:right="57"/>
              <w:jc w:val="right"/>
              <w:rPr>
                <w:sz w:val="13"/>
              </w:rPr>
            </w:pPr>
            <w:r>
              <w:rPr>
                <w:sz w:val="13"/>
              </w:rPr>
              <w:t>11,69</w:t>
            </w:r>
          </w:p>
        </w:tc>
      </w:tr>
      <w:tr>
        <w:trPr>
          <w:trHeight w:val="361" w:hRule="atLeast"/>
        </w:trPr>
        <w:tc>
          <w:tcPr>
            <w:tcW w:w="2694" w:type="dxa"/>
          </w:tcPr>
          <w:p>
            <w:pPr>
              <w:pStyle w:val="TableParagraph"/>
              <w:spacing w:line="160" w:lineRule="atLeast" w:before="18"/>
              <w:ind w:left="70" w:right="222"/>
              <w:rPr>
                <w:sz w:val="13"/>
              </w:rPr>
            </w:pPr>
            <w:r>
              <w:rPr>
                <w:w w:val="105"/>
                <w:sz w:val="13"/>
              </w:rPr>
              <w:t>Transición ecológica, lucha cambio climático</w:t>
            </w:r>
          </w:p>
        </w:tc>
        <w:tc>
          <w:tcPr>
            <w:tcW w:w="1064" w:type="dxa"/>
          </w:tcPr>
          <w:p>
            <w:pPr>
              <w:pStyle w:val="TableParagraph"/>
              <w:spacing w:before="100"/>
              <w:ind w:right="267"/>
              <w:jc w:val="right"/>
              <w:rPr>
                <w:sz w:val="13"/>
              </w:rPr>
            </w:pPr>
            <w:r>
              <w:rPr>
                <w:sz w:val="13"/>
              </w:rPr>
              <w:t>0,03</w:t>
            </w:r>
          </w:p>
        </w:tc>
        <w:tc>
          <w:tcPr>
            <w:tcW w:w="890" w:type="dxa"/>
          </w:tcPr>
          <w:p>
            <w:pPr>
              <w:pStyle w:val="TableParagraph"/>
              <w:spacing w:before="100"/>
              <w:ind w:right="135"/>
              <w:jc w:val="right"/>
              <w:rPr>
                <w:sz w:val="13"/>
              </w:rPr>
            </w:pPr>
            <w:r>
              <w:rPr>
                <w:sz w:val="13"/>
              </w:rPr>
              <w:t>0,00</w:t>
            </w:r>
          </w:p>
        </w:tc>
        <w:tc>
          <w:tcPr>
            <w:tcW w:w="941" w:type="dxa"/>
          </w:tcPr>
          <w:p>
            <w:pPr>
              <w:pStyle w:val="TableParagraph"/>
              <w:spacing w:before="100"/>
              <w:ind w:right="55"/>
              <w:jc w:val="right"/>
              <w:rPr>
                <w:sz w:val="13"/>
              </w:rPr>
            </w:pPr>
            <w:r>
              <w:rPr>
                <w:sz w:val="13"/>
              </w:rPr>
              <w:t>0,00</w:t>
            </w:r>
          </w:p>
        </w:tc>
      </w:tr>
      <w:tr>
        <w:trPr>
          <w:trHeight w:val="184" w:hRule="atLeast"/>
        </w:trPr>
        <w:tc>
          <w:tcPr>
            <w:tcW w:w="2694" w:type="dxa"/>
          </w:tcPr>
          <w:p>
            <w:pPr>
              <w:pStyle w:val="TableParagraph"/>
              <w:spacing w:line="157" w:lineRule="exact"/>
              <w:ind w:left="70"/>
              <w:rPr>
                <w:sz w:val="13"/>
              </w:rPr>
            </w:pPr>
            <w:r>
              <w:rPr>
                <w:w w:val="105"/>
                <w:sz w:val="13"/>
              </w:rPr>
              <w:t>Sanidad</w:t>
            </w:r>
          </w:p>
        </w:tc>
        <w:tc>
          <w:tcPr>
            <w:tcW w:w="1064" w:type="dxa"/>
          </w:tcPr>
          <w:p>
            <w:pPr>
              <w:pStyle w:val="TableParagraph"/>
              <w:spacing w:line="157" w:lineRule="exact"/>
              <w:ind w:right="267"/>
              <w:jc w:val="right"/>
              <w:rPr>
                <w:sz w:val="13"/>
              </w:rPr>
            </w:pPr>
            <w:r>
              <w:rPr>
                <w:sz w:val="13"/>
              </w:rPr>
              <w:t>0,16</w:t>
            </w:r>
          </w:p>
        </w:tc>
        <w:tc>
          <w:tcPr>
            <w:tcW w:w="890" w:type="dxa"/>
          </w:tcPr>
          <w:p>
            <w:pPr>
              <w:pStyle w:val="TableParagraph"/>
              <w:spacing w:line="157" w:lineRule="exact"/>
              <w:ind w:right="135"/>
              <w:jc w:val="right"/>
              <w:rPr>
                <w:sz w:val="13"/>
              </w:rPr>
            </w:pPr>
            <w:r>
              <w:rPr>
                <w:sz w:val="13"/>
              </w:rPr>
              <w:t>0,16</w:t>
            </w:r>
          </w:p>
        </w:tc>
        <w:tc>
          <w:tcPr>
            <w:tcW w:w="941" w:type="dxa"/>
          </w:tcPr>
          <w:p>
            <w:pPr>
              <w:pStyle w:val="TableParagraph"/>
              <w:spacing w:line="157" w:lineRule="exact"/>
              <w:ind w:right="57"/>
              <w:jc w:val="right"/>
              <w:rPr>
                <w:sz w:val="13"/>
              </w:rPr>
            </w:pPr>
            <w:r>
              <w:rPr>
                <w:sz w:val="13"/>
              </w:rPr>
              <w:t>0,16</w:t>
            </w:r>
          </w:p>
        </w:tc>
      </w:tr>
      <w:tr>
        <w:trPr>
          <w:trHeight w:val="190" w:hRule="atLeast"/>
        </w:trPr>
        <w:tc>
          <w:tcPr>
            <w:tcW w:w="2694" w:type="dxa"/>
          </w:tcPr>
          <w:p>
            <w:pPr>
              <w:pStyle w:val="TableParagraph"/>
              <w:spacing w:before="5"/>
              <w:ind w:left="70"/>
              <w:rPr>
                <w:sz w:val="13"/>
              </w:rPr>
            </w:pPr>
            <w:r>
              <w:rPr>
                <w:w w:val="105"/>
                <w:sz w:val="13"/>
              </w:rPr>
              <w:t>Economía, Conocimiento y Empleo</w:t>
            </w:r>
          </w:p>
        </w:tc>
        <w:tc>
          <w:tcPr>
            <w:tcW w:w="1064" w:type="dxa"/>
          </w:tcPr>
          <w:p>
            <w:pPr>
              <w:pStyle w:val="TableParagraph"/>
              <w:spacing w:before="5"/>
              <w:ind w:right="267"/>
              <w:jc w:val="right"/>
              <w:rPr>
                <w:sz w:val="13"/>
              </w:rPr>
            </w:pPr>
            <w:r>
              <w:rPr>
                <w:sz w:val="13"/>
              </w:rPr>
              <w:t>16,41</w:t>
            </w:r>
          </w:p>
        </w:tc>
        <w:tc>
          <w:tcPr>
            <w:tcW w:w="890" w:type="dxa"/>
          </w:tcPr>
          <w:p>
            <w:pPr>
              <w:pStyle w:val="TableParagraph"/>
              <w:spacing w:before="5"/>
              <w:ind w:right="135"/>
              <w:jc w:val="right"/>
              <w:rPr>
                <w:sz w:val="13"/>
              </w:rPr>
            </w:pPr>
            <w:r>
              <w:rPr>
                <w:sz w:val="13"/>
              </w:rPr>
              <w:t>39,57</w:t>
            </w:r>
          </w:p>
        </w:tc>
        <w:tc>
          <w:tcPr>
            <w:tcW w:w="941" w:type="dxa"/>
          </w:tcPr>
          <w:p>
            <w:pPr>
              <w:pStyle w:val="TableParagraph"/>
              <w:spacing w:before="5"/>
              <w:ind w:right="57"/>
              <w:jc w:val="right"/>
              <w:rPr>
                <w:sz w:val="13"/>
              </w:rPr>
            </w:pPr>
            <w:r>
              <w:rPr>
                <w:sz w:val="13"/>
              </w:rPr>
              <w:t>16,38</w:t>
            </w:r>
          </w:p>
        </w:tc>
      </w:tr>
      <w:tr>
        <w:trPr>
          <w:trHeight w:val="190" w:hRule="atLeast"/>
        </w:trPr>
        <w:tc>
          <w:tcPr>
            <w:tcW w:w="2694" w:type="dxa"/>
          </w:tcPr>
          <w:p>
            <w:pPr>
              <w:pStyle w:val="TableParagraph"/>
              <w:spacing w:before="4"/>
              <w:ind w:left="70"/>
              <w:rPr>
                <w:sz w:val="13"/>
              </w:rPr>
            </w:pPr>
            <w:r>
              <w:rPr>
                <w:w w:val="105"/>
                <w:sz w:val="13"/>
              </w:rPr>
              <w:t>Educación, Universidades y Cultura</w:t>
            </w:r>
          </w:p>
        </w:tc>
        <w:tc>
          <w:tcPr>
            <w:tcW w:w="1064" w:type="dxa"/>
          </w:tcPr>
          <w:p>
            <w:pPr>
              <w:pStyle w:val="TableParagraph"/>
              <w:spacing w:before="4"/>
              <w:ind w:right="267"/>
              <w:jc w:val="right"/>
              <w:rPr>
                <w:sz w:val="13"/>
              </w:rPr>
            </w:pPr>
            <w:r>
              <w:rPr>
                <w:sz w:val="13"/>
              </w:rPr>
              <w:t>4,41</w:t>
            </w:r>
          </w:p>
        </w:tc>
        <w:tc>
          <w:tcPr>
            <w:tcW w:w="890" w:type="dxa"/>
          </w:tcPr>
          <w:p>
            <w:pPr>
              <w:pStyle w:val="TableParagraph"/>
              <w:spacing w:before="4"/>
              <w:ind w:right="135"/>
              <w:jc w:val="right"/>
              <w:rPr>
                <w:sz w:val="13"/>
              </w:rPr>
            </w:pPr>
            <w:r>
              <w:rPr>
                <w:sz w:val="13"/>
              </w:rPr>
              <w:t>7,52</w:t>
            </w:r>
          </w:p>
        </w:tc>
        <w:tc>
          <w:tcPr>
            <w:tcW w:w="941" w:type="dxa"/>
          </w:tcPr>
          <w:p>
            <w:pPr>
              <w:pStyle w:val="TableParagraph"/>
              <w:spacing w:before="4"/>
              <w:ind w:right="57"/>
              <w:jc w:val="right"/>
              <w:rPr>
                <w:sz w:val="13"/>
              </w:rPr>
            </w:pPr>
            <w:r>
              <w:rPr>
                <w:sz w:val="13"/>
              </w:rPr>
              <w:t>9,46</w:t>
            </w:r>
          </w:p>
        </w:tc>
      </w:tr>
      <w:tr>
        <w:trPr>
          <w:trHeight w:val="190" w:hRule="atLeast"/>
        </w:trPr>
        <w:tc>
          <w:tcPr>
            <w:tcW w:w="2694" w:type="dxa"/>
          </w:tcPr>
          <w:p>
            <w:pPr>
              <w:pStyle w:val="TableParagraph"/>
              <w:spacing w:before="5"/>
              <w:ind w:left="70"/>
              <w:rPr>
                <w:b/>
                <w:i/>
                <w:sz w:val="13"/>
              </w:rPr>
            </w:pPr>
            <w:r>
              <w:rPr>
                <w:b/>
                <w:i/>
                <w:w w:val="105"/>
                <w:sz w:val="13"/>
              </w:rPr>
              <w:t>Subtotal</w:t>
            </w:r>
          </w:p>
        </w:tc>
        <w:tc>
          <w:tcPr>
            <w:tcW w:w="1064" w:type="dxa"/>
          </w:tcPr>
          <w:p>
            <w:pPr>
              <w:pStyle w:val="TableParagraph"/>
              <w:spacing w:before="5"/>
              <w:ind w:right="267"/>
              <w:jc w:val="right"/>
              <w:rPr>
                <w:b/>
                <w:i/>
                <w:sz w:val="13"/>
              </w:rPr>
            </w:pPr>
            <w:r>
              <w:rPr>
                <w:b/>
                <w:i/>
                <w:w w:val="105"/>
                <w:sz w:val="13"/>
              </w:rPr>
              <w:t>21,01</w:t>
            </w:r>
          </w:p>
        </w:tc>
        <w:tc>
          <w:tcPr>
            <w:tcW w:w="890" w:type="dxa"/>
          </w:tcPr>
          <w:p>
            <w:pPr>
              <w:pStyle w:val="TableParagraph"/>
              <w:spacing w:before="5"/>
              <w:ind w:right="135"/>
              <w:jc w:val="right"/>
              <w:rPr>
                <w:b/>
                <w:i/>
                <w:sz w:val="13"/>
              </w:rPr>
            </w:pPr>
            <w:r>
              <w:rPr>
                <w:b/>
                <w:i/>
                <w:w w:val="105"/>
                <w:sz w:val="13"/>
              </w:rPr>
              <w:t>74,74</w:t>
            </w:r>
          </w:p>
        </w:tc>
        <w:tc>
          <w:tcPr>
            <w:tcW w:w="941" w:type="dxa"/>
          </w:tcPr>
          <w:p>
            <w:pPr>
              <w:pStyle w:val="TableParagraph"/>
              <w:spacing w:before="5"/>
              <w:ind w:right="56"/>
              <w:jc w:val="right"/>
              <w:rPr>
                <w:b/>
                <w:i/>
                <w:sz w:val="13"/>
              </w:rPr>
            </w:pPr>
            <w:r>
              <w:rPr>
                <w:b/>
                <w:i/>
                <w:w w:val="105"/>
                <w:sz w:val="13"/>
              </w:rPr>
              <w:t>37,69</w:t>
            </w:r>
          </w:p>
        </w:tc>
      </w:tr>
      <w:tr>
        <w:trPr>
          <w:trHeight w:val="179" w:hRule="atLeast"/>
        </w:trPr>
        <w:tc>
          <w:tcPr>
            <w:tcW w:w="2694" w:type="dxa"/>
            <w:tcBorders>
              <w:bottom w:val="single" w:sz="4" w:space="0" w:color="000000"/>
            </w:tcBorders>
          </w:tcPr>
          <w:p>
            <w:pPr>
              <w:pStyle w:val="TableParagraph"/>
              <w:spacing w:line="155" w:lineRule="exact" w:before="4"/>
              <w:ind w:left="1105" w:right="1259"/>
              <w:jc w:val="center"/>
              <w:rPr>
                <w:b/>
                <w:sz w:val="13"/>
              </w:rPr>
            </w:pPr>
            <w:r>
              <w:rPr>
                <w:b/>
                <w:w w:val="105"/>
                <w:sz w:val="13"/>
              </w:rPr>
              <w:t>Total</w:t>
            </w:r>
          </w:p>
        </w:tc>
        <w:tc>
          <w:tcPr>
            <w:tcW w:w="1064" w:type="dxa"/>
            <w:tcBorders>
              <w:bottom w:val="single" w:sz="4" w:space="0" w:color="000000"/>
            </w:tcBorders>
          </w:tcPr>
          <w:p>
            <w:pPr>
              <w:pStyle w:val="TableParagraph"/>
              <w:spacing w:line="155" w:lineRule="exact" w:before="4"/>
              <w:ind w:right="267"/>
              <w:jc w:val="right"/>
              <w:rPr>
                <w:b/>
                <w:sz w:val="13"/>
              </w:rPr>
            </w:pPr>
            <w:r>
              <w:rPr>
                <w:b/>
                <w:w w:val="105"/>
                <w:sz w:val="13"/>
              </w:rPr>
              <w:t>4.203,77</w:t>
            </w:r>
          </w:p>
        </w:tc>
        <w:tc>
          <w:tcPr>
            <w:tcW w:w="890" w:type="dxa"/>
            <w:tcBorders>
              <w:bottom w:val="single" w:sz="4" w:space="0" w:color="000000"/>
            </w:tcBorders>
          </w:tcPr>
          <w:p>
            <w:pPr>
              <w:pStyle w:val="TableParagraph"/>
              <w:spacing w:line="155" w:lineRule="exact" w:before="4"/>
              <w:ind w:right="135"/>
              <w:jc w:val="right"/>
              <w:rPr>
                <w:b/>
                <w:sz w:val="13"/>
              </w:rPr>
            </w:pPr>
            <w:r>
              <w:rPr>
                <w:b/>
                <w:w w:val="105"/>
                <w:sz w:val="13"/>
              </w:rPr>
              <w:t>2.396,11</w:t>
            </w:r>
          </w:p>
        </w:tc>
        <w:tc>
          <w:tcPr>
            <w:tcW w:w="941" w:type="dxa"/>
            <w:tcBorders>
              <w:bottom w:val="single" w:sz="4" w:space="0" w:color="000000"/>
            </w:tcBorders>
          </w:tcPr>
          <w:p>
            <w:pPr>
              <w:pStyle w:val="TableParagraph"/>
              <w:spacing w:line="155" w:lineRule="exact" w:before="4"/>
              <w:ind w:right="56"/>
              <w:jc w:val="right"/>
              <w:rPr>
                <w:b/>
                <w:sz w:val="13"/>
              </w:rPr>
            </w:pPr>
            <w:r>
              <w:rPr>
                <w:b/>
                <w:sz w:val="13"/>
              </w:rPr>
              <w:t>879,85</w:t>
            </w:r>
          </w:p>
        </w:tc>
      </w:tr>
    </w:tbl>
    <w:p>
      <w:pPr>
        <w:pStyle w:val="BodyText"/>
      </w:pPr>
    </w:p>
    <w:p>
      <w:pPr>
        <w:pStyle w:val="BodyText"/>
        <w:spacing w:before="3"/>
        <w:rPr>
          <w:sz w:val="21"/>
        </w:rPr>
      </w:pPr>
      <w:r>
        <w:rPr/>
        <w:pict>
          <v:shape style="position:absolute;margin-left:142.958206pt;margin-top:15.298176pt;width:120.95pt;height:.1pt;mso-position-horizontal-relative:page;mso-position-vertical-relative:paragraph;z-index:-251437056;mso-wrap-distance-left:0;mso-wrap-distance-right:0" coordorigin="2859,306" coordsize="2419,0" path="m2859,306l5278,306e" filled="false" stroked="true" strokeweight=".604484pt" strokecolor="#000000">
            <v:path arrowok="t"/>
            <v:stroke dashstyle="solid"/>
            <w10:wrap type="topAndBottom"/>
          </v:shape>
        </w:pict>
      </w:r>
    </w:p>
    <w:p>
      <w:pPr>
        <w:spacing w:line="252" w:lineRule="auto" w:before="51"/>
        <w:ind w:left="2099" w:right="1150" w:firstLine="0"/>
        <w:jc w:val="both"/>
        <w:rPr>
          <w:sz w:val="16"/>
        </w:rPr>
      </w:pPr>
      <w:r>
        <w:rPr>
          <w:w w:val="105"/>
          <w:position w:val="6"/>
          <w:sz w:val="11"/>
        </w:rPr>
        <w:t>41 </w:t>
      </w:r>
      <w:r>
        <w:rPr>
          <w:w w:val="105"/>
          <w:sz w:val="16"/>
        </w:rPr>
        <w:t>La partida de Prestamos a l/p transformables en subvenciones, registra los anticipos recibidos en el ejercicio.</w:t>
      </w:r>
    </w:p>
    <w:p>
      <w:pPr>
        <w:spacing w:line="194" w:lineRule="exact" w:before="0"/>
        <w:ind w:left="2099" w:right="0" w:firstLine="0"/>
        <w:jc w:val="both"/>
        <w:rPr>
          <w:sz w:val="16"/>
        </w:rPr>
      </w:pPr>
      <w:r>
        <w:rPr>
          <w:w w:val="105"/>
          <w:position w:val="6"/>
          <w:sz w:val="11"/>
        </w:rPr>
        <w:t>42 </w:t>
      </w:r>
      <w:r>
        <w:rPr>
          <w:w w:val="105"/>
          <w:sz w:val="16"/>
        </w:rPr>
        <w:t>En el ejercicio 2021 se reconoció contablemente la deuda aplazada con el Estado con origen en el</w:t>
      </w:r>
    </w:p>
    <w:p>
      <w:pPr>
        <w:spacing w:line="252" w:lineRule="auto" w:before="11"/>
        <w:ind w:left="2099" w:right="1145" w:firstLine="0"/>
        <w:jc w:val="both"/>
        <w:rPr>
          <w:sz w:val="16"/>
        </w:rPr>
      </w:pPr>
      <w:r>
        <w:rPr>
          <w:w w:val="105"/>
          <w:sz w:val="16"/>
        </w:rPr>
        <w:t>aplazamiento de las liquidaciones negativas del sistema de financiación de las comunidades autónomas de los años 2008 y 2009. Aunque la deuda con el Estado no computa como deuda pública para la CAC, la amortización</w:t>
      </w:r>
      <w:r>
        <w:rPr>
          <w:spacing w:val="-11"/>
          <w:w w:val="105"/>
          <w:sz w:val="16"/>
        </w:rPr>
        <w:t> </w:t>
      </w:r>
      <w:r>
        <w:rPr>
          <w:w w:val="105"/>
          <w:sz w:val="16"/>
        </w:rPr>
        <w:t>anual</w:t>
      </w:r>
      <w:r>
        <w:rPr>
          <w:spacing w:val="-10"/>
          <w:w w:val="105"/>
          <w:sz w:val="16"/>
        </w:rPr>
        <w:t> </w:t>
      </w:r>
      <w:r>
        <w:rPr>
          <w:w w:val="105"/>
          <w:sz w:val="16"/>
        </w:rPr>
        <w:t>por</w:t>
      </w:r>
      <w:r>
        <w:rPr>
          <w:spacing w:val="-12"/>
          <w:w w:val="105"/>
          <w:sz w:val="16"/>
        </w:rPr>
        <w:t> </w:t>
      </w:r>
      <w:r>
        <w:rPr>
          <w:w w:val="105"/>
          <w:sz w:val="16"/>
        </w:rPr>
        <w:t>las</w:t>
      </w:r>
      <w:r>
        <w:rPr>
          <w:spacing w:val="-11"/>
          <w:w w:val="105"/>
          <w:sz w:val="16"/>
        </w:rPr>
        <w:t> </w:t>
      </w:r>
      <w:r>
        <w:rPr>
          <w:w w:val="105"/>
          <w:sz w:val="16"/>
        </w:rPr>
        <w:t>liquidaciones</w:t>
      </w:r>
      <w:r>
        <w:rPr>
          <w:spacing w:val="-9"/>
          <w:w w:val="105"/>
          <w:sz w:val="16"/>
        </w:rPr>
        <w:t> </w:t>
      </w:r>
      <w:r>
        <w:rPr>
          <w:w w:val="105"/>
          <w:sz w:val="16"/>
        </w:rPr>
        <w:t>negativas</w:t>
      </w:r>
      <w:r>
        <w:rPr>
          <w:spacing w:val="-11"/>
          <w:w w:val="105"/>
          <w:sz w:val="16"/>
        </w:rPr>
        <w:t> </w:t>
      </w:r>
      <w:r>
        <w:rPr>
          <w:w w:val="105"/>
          <w:sz w:val="16"/>
        </w:rPr>
        <w:t>del</w:t>
      </w:r>
      <w:r>
        <w:rPr>
          <w:spacing w:val="-11"/>
          <w:w w:val="105"/>
          <w:sz w:val="16"/>
        </w:rPr>
        <w:t> </w:t>
      </w:r>
      <w:r>
        <w:rPr>
          <w:w w:val="105"/>
          <w:sz w:val="16"/>
        </w:rPr>
        <w:t>sistema</w:t>
      </w:r>
      <w:r>
        <w:rPr>
          <w:spacing w:val="-10"/>
          <w:w w:val="105"/>
          <w:sz w:val="16"/>
        </w:rPr>
        <w:t> </w:t>
      </w:r>
      <w:r>
        <w:rPr>
          <w:w w:val="105"/>
          <w:sz w:val="16"/>
        </w:rPr>
        <w:t>de</w:t>
      </w:r>
      <w:r>
        <w:rPr>
          <w:spacing w:val="-11"/>
          <w:w w:val="105"/>
          <w:sz w:val="16"/>
        </w:rPr>
        <w:t> </w:t>
      </w:r>
      <w:r>
        <w:rPr>
          <w:w w:val="105"/>
          <w:sz w:val="16"/>
        </w:rPr>
        <w:t>financiación</w:t>
      </w:r>
      <w:r>
        <w:rPr>
          <w:spacing w:val="-10"/>
          <w:w w:val="105"/>
          <w:sz w:val="16"/>
        </w:rPr>
        <w:t> </w:t>
      </w:r>
      <w:r>
        <w:rPr>
          <w:w w:val="105"/>
          <w:sz w:val="16"/>
        </w:rPr>
        <w:t>de</w:t>
      </w:r>
      <w:r>
        <w:rPr>
          <w:spacing w:val="-11"/>
          <w:w w:val="105"/>
          <w:sz w:val="16"/>
        </w:rPr>
        <w:t> </w:t>
      </w:r>
      <w:r>
        <w:rPr>
          <w:w w:val="105"/>
          <w:sz w:val="16"/>
        </w:rPr>
        <w:t>2008</w:t>
      </w:r>
      <w:r>
        <w:rPr>
          <w:spacing w:val="-11"/>
          <w:w w:val="105"/>
          <w:sz w:val="16"/>
        </w:rPr>
        <w:t> </w:t>
      </w:r>
      <w:r>
        <w:rPr>
          <w:w w:val="105"/>
          <w:sz w:val="16"/>
        </w:rPr>
        <w:t>y</w:t>
      </w:r>
      <w:r>
        <w:rPr>
          <w:spacing w:val="-10"/>
          <w:w w:val="105"/>
          <w:sz w:val="16"/>
        </w:rPr>
        <w:t> </w:t>
      </w:r>
      <w:r>
        <w:rPr>
          <w:w w:val="105"/>
          <w:sz w:val="16"/>
        </w:rPr>
        <w:t>2099,</w:t>
      </w:r>
      <w:r>
        <w:rPr>
          <w:spacing w:val="-11"/>
          <w:w w:val="105"/>
          <w:sz w:val="16"/>
        </w:rPr>
        <w:t> </w:t>
      </w:r>
      <w:r>
        <w:rPr>
          <w:w w:val="105"/>
          <w:sz w:val="16"/>
        </w:rPr>
        <w:t>si</w:t>
      </w:r>
      <w:r>
        <w:rPr>
          <w:spacing w:val="-10"/>
          <w:w w:val="105"/>
          <w:sz w:val="16"/>
        </w:rPr>
        <w:t> </w:t>
      </w:r>
      <w:r>
        <w:rPr>
          <w:w w:val="105"/>
          <w:sz w:val="16"/>
        </w:rPr>
        <w:t>se</w:t>
      </w:r>
      <w:r>
        <w:rPr>
          <w:spacing w:val="-11"/>
          <w:w w:val="105"/>
          <w:sz w:val="16"/>
        </w:rPr>
        <w:t> </w:t>
      </w:r>
      <w:r>
        <w:rPr>
          <w:w w:val="105"/>
          <w:sz w:val="16"/>
        </w:rPr>
        <w:t>integra como ajuste en deuda pública en el cálculo para determinar el exceso de financiación que queda pendiente de compensar al cierre del ejercicio, según Informes emitidos por el Ministerio de Hacienda y Función Pública.</w:t>
      </w:r>
    </w:p>
    <w:p>
      <w:pPr>
        <w:pStyle w:val="BodyText"/>
        <w:spacing w:line="237" w:lineRule="exact"/>
        <w:ind w:left="7787"/>
        <w:jc w:val="center"/>
      </w:pPr>
      <w:r>
        <w:rPr/>
        <w:t>148</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11" name="image5.png"/>
                  <wp:cNvGraphicFramePr>
                    <a:graphicFrameLocks noChangeAspect="1"/>
                  </wp:cNvGraphicFramePr>
                  <a:graphic>
                    <a:graphicData uri="http://schemas.openxmlformats.org/drawingml/2006/picture">
                      <pic:pic>
                        <pic:nvPicPr>
                          <pic:cNvPr id="31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150/247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099" w:right="1201" w:firstLine="594"/>
      </w:pPr>
      <w:r>
        <w:rPr/>
        <w:t>Por tanto, el resumen del total de obligaciones reconocidas por amortizaciones tiene el siguiente detalle:</w:t>
      </w:r>
    </w:p>
    <w:p>
      <w:pPr>
        <w:pStyle w:val="BodyText"/>
        <w:spacing w:before="12"/>
        <w:rPr>
          <w:sz w:val="27"/>
        </w:rPr>
      </w:pPr>
    </w:p>
    <w:p>
      <w:pPr>
        <w:spacing w:before="77" w:after="4"/>
        <w:ind w:left="0" w:right="1715" w:firstLine="0"/>
        <w:jc w:val="right"/>
        <w:rPr>
          <w:b/>
          <w:sz w:val="13"/>
        </w:rPr>
      </w:pPr>
      <w:r>
        <w:rPr>
          <w:b/>
          <w:w w:val="105"/>
          <w:sz w:val="13"/>
        </w:rPr>
        <w:t>millones de €</w:t>
      </w:r>
    </w:p>
    <w:tbl>
      <w:tblPr>
        <w:tblW w:w="0" w:type="auto"/>
        <w:jc w:val="left"/>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1"/>
        <w:gridCol w:w="1312"/>
        <w:gridCol w:w="798"/>
      </w:tblGrid>
      <w:tr>
        <w:trPr>
          <w:trHeight w:val="189" w:hRule="atLeast"/>
        </w:trPr>
        <w:tc>
          <w:tcPr>
            <w:tcW w:w="4011" w:type="dxa"/>
          </w:tcPr>
          <w:p>
            <w:pPr>
              <w:pStyle w:val="TableParagraph"/>
              <w:rPr>
                <w:rFonts w:ascii="Times New Roman"/>
                <w:sz w:val="12"/>
              </w:rPr>
            </w:pPr>
          </w:p>
        </w:tc>
        <w:tc>
          <w:tcPr>
            <w:tcW w:w="1312" w:type="dxa"/>
            <w:shd w:val="clear" w:color="auto" w:fill="DEEAF6"/>
          </w:tcPr>
          <w:p>
            <w:pPr>
              <w:pStyle w:val="TableParagraph"/>
              <w:spacing w:line="154" w:lineRule="exact" w:before="15"/>
              <w:ind w:left="493" w:right="347"/>
              <w:jc w:val="center"/>
              <w:rPr>
                <w:b/>
                <w:sz w:val="13"/>
              </w:rPr>
            </w:pPr>
            <w:r>
              <w:rPr>
                <w:b/>
                <w:w w:val="105"/>
                <w:sz w:val="13"/>
              </w:rPr>
              <w:t>2021</w:t>
            </w:r>
          </w:p>
        </w:tc>
        <w:tc>
          <w:tcPr>
            <w:tcW w:w="798" w:type="dxa"/>
            <w:shd w:val="clear" w:color="auto" w:fill="DEEAF6"/>
          </w:tcPr>
          <w:p>
            <w:pPr>
              <w:pStyle w:val="TableParagraph"/>
              <w:spacing w:line="154" w:lineRule="exact" w:before="15"/>
              <w:ind w:left="334"/>
              <w:rPr>
                <w:b/>
                <w:sz w:val="13"/>
              </w:rPr>
            </w:pPr>
            <w:r>
              <w:rPr>
                <w:b/>
                <w:w w:val="105"/>
                <w:sz w:val="13"/>
              </w:rPr>
              <w:t>2022</w:t>
            </w:r>
          </w:p>
        </w:tc>
      </w:tr>
      <w:tr>
        <w:trPr>
          <w:trHeight w:val="190" w:hRule="atLeast"/>
        </w:trPr>
        <w:tc>
          <w:tcPr>
            <w:tcW w:w="4011" w:type="dxa"/>
            <w:tcBorders>
              <w:bottom w:val="single" w:sz="4" w:space="0" w:color="000000"/>
            </w:tcBorders>
          </w:tcPr>
          <w:p>
            <w:pPr>
              <w:pStyle w:val="TableParagraph"/>
              <w:spacing w:line="153" w:lineRule="exact" w:before="17"/>
              <w:ind w:left="58"/>
              <w:rPr>
                <w:sz w:val="13"/>
              </w:rPr>
            </w:pPr>
            <w:r>
              <w:rPr>
                <w:w w:val="105"/>
                <w:sz w:val="13"/>
              </w:rPr>
              <w:t>Deuda pública</w:t>
            </w:r>
          </w:p>
        </w:tc>
        <w:tc>
          <w:tcPr>
            <w:tcW w:w="1312" w:type="dxa"/>
          </w:tcPr>
          <w:p>
            <w:pPr>
              <w:pStyle w:val="TableParagraph"/>
              <w:spacing w:line="166" w:lineRule="exact" w:before="4"/>
              <w:ind w:right="314"/>
              <w:jc w:val="right"/>
              <w:rPr>
                <w:sz w:val="15"/>
              </w:rPr>
            </w:pPr>
            <w:r>
              <w:rPr>
                <w:sz w:val="15"/>
              </w:rPr>
              <w:t>2.321,37</w:t>
            </w:r>
          </w:p>
        </w:tc>
        <w:tc>
          <w:tcPr>
            <w:tcW w:w="798" w:type="dxa"/>
          </w:tcPr>
          <w:p>
            <w:pPr>
              <w:pStyle w:val="TableParagraph"/>
              <w:spacing w:line="166" w:lineRule="exact" w:before="4"/>
              <w:ind w:left="316"/>
              <w:rPr>
                <w:sz w:val="15"/>
              </w:rPr>
            </w:pPr>
            <w:r>
              <w:rPr>
                <w:sz w:val="15"/>
              </w:rPr>
              <w:t>842,16</w:t>
            </w:r>
          </w:p>
        </w:tc>
      </w:tr>
      <w:tr>
        <w:trPr>
          <w:trHeight w:val="189" w:hRule="atLeast"/>
        </w:trPr>
        <w:tc>
          <w:tcPr>
            <w:tcW w:w="4011" w:type="dxa"/>
            <w:tcBorders>
              <w:top w:val="single" w:sz="4" w:space="0" w:color="000000"/>
              <w:bottom w:val="single" w:sz="4" w:space="0" w:color="000000"/>
            </w:tcBorders>
          </w:tcPr>
          <w:p>
            <w:pPr>
              <w:pStyle w:val="TableParagraph"/>
              <w:spacing w:line="153" w:lineRule="exact" w:before="16"/>
              <w:ind w:left="58"/>
              <w:rPr>
                <w:sz w:val="13"/>
              </w:rPr>
            </w:pPr>
            <w:r>
              <w:rPr>
                <w:w w:val="105"/>
                <w:sz w:val="13"/>
              </w:rPr>
              <w:t>Amortizaciones de préstamos a l/p con otras entidades del SP</w:t>
            </w:r>
          </w:p>
        </w:tc>
        <w:tc>
          <w:tcPr>
            <w:tcW w:w="1312" w:type="dxa"/>
          </w:tcPr>
          <w:p>
            <w:pPr>
              <w:pStyle w:val="TableParagraph"/>
              <w:spacing w:line="166" w:lineRule="exact" w:before="3"/>
              <w:ind w:right="315"/>
              <w:jc w:val="right"/>
              <w:rPr>
                <w:sz w:val="15"/>
              </w:rPr>
            </w:pPr>
            <w:r>
              <w:rPr>
                <w:sz w:val="15"/>
              </w:rPr>
              <w:t>40,03</w:t>
            </w:r>
          </w:p>
        </w:tc>
        <w:tc>
          <w:tcPr>
            <w:tcW w:w="798" w:type="dxa"/>
          </w:tcPr>
          <w:p>
            <w:pPr>
              <w:pStyle w:val="TableParagraph"/>
              <w:spacing w:line="166" w:lineRule="exact" w:before="3"/>
              <w:ind w:left="392"/>
              <w:rPr>
                <w:sz w:val="15"/>
              </w:rPr>
            </w:pPr>
            <w:r>
              <w:rPr>
                <w:sz w:val="15"/>
              </w:rPr>
              <w:t>25,09</w:t>
            </w:r>
          </w:p>
        </w:tc>
      </w:tr>
      <w:tr>
        <w:trPr>
          <w:trHeight w:val="206" w:hRule="atLeast"/>
        </w:trPr>
        <w:tc>
          <w:tcPr>
            <w:tcW w:w="4011" w:type="dxa"/>
            <w:tcBorders>
              <w:top w:val="single" w:sz="4" w:space="0" w:color="000000"/>
            </w:tcBorders>
          </w:tcPr>
          <w:p>
            <w:pPr>
              <w:pStyle w:val="TableParagraph"/>
              <w:spacing w:before="14"/>
              <w:ind w:left="58"/>
              <w:rPr>
                <w:sz w:val="13"/>
              </w:rPr>
            </w:pPr>
            <w:r>
              <w:rPr>
                <w:w w:val="105"/>
                <w:sz w:val="13"/>
              </w:rPr>
              <w:t>Reembolso de deudas a LP transformables en subvenciones</w:t>
            </w:r>
          </w:p>
        </w:tc>
        <w:tc>
          <w:tcPr>
            <w:tcW w:w="1312" w:type="dxa"/>
          </w:tcPr>
          <w:p>
            <w:pPr>
              <w:pStyle w:val="TableParagraph"/>
              <w:spacing w:line="183" w:lineRule="exact" w:before="3"/>
              <w:ind w:right="315"/>
              <w:jc w:val="right"/>
              <w:rPr>
                <w:sz w:val="15"/>
              </w:rPr>
            </w:pPr>
            <w:r>
              <w:rPr>
                <w:sz w:val="15"/>
              </w:rPr>
              <w:t>34,71</w:t>
            </w:r>
          </w:p>
        </w:tc>
        <w:tc>
          <w:tcPr>
            <w:tcW w:w="798" w:type="dxa"/>
          </w:tcPr>
          <w:p>
            <w:pPr>
              <w:pStyle w:val="TableParagraph"/>
              <w:spacing w:line="183" w:lineRule="exact" w:before="3"/>
              <w:ind w:left="392"/>
              <w:rPr>
                <w:sz w:val="15"/>
              </w:rPr>
            </w:pPr>
            <w:r>
              <w:rPr>
                <w:sz w:val="15"/>
              </w:rPr>
              <w:t>12,60</w:t>
            </w:r>
          </w:p>
        </w:tc>
      </w:tr>
      <w:tr>
        <w:trPr>
          <w:trHeight w:val="157" w:hRule="atLeast"/>
        </w:trPr>
        <w:tc>
          <w:tcPr>
            <w:tcW w:w="4011" w:type="dxa"/>
          </w:tcPr>
          <w:p>
            <w:pPr>
              <w:pStyle w:val="TableParagraph"/>
              <w:rPr>
                <w:rFonts w:ascii="Times New Roman"/>
                <w:sz w:val="10"/>
              </w:rPr>
            </w:pPr>
          </w:p>
        </w:tc>
        <w:tc>
          <w:tcPr>
            <w:tcW w:w="1312" w:type="dxa"/>
          </w:tcPr>
          <w:p>
            <w:pPr>
              <w:pStyle w:val="TableParagraph"/>
              <w:spacing w:line="137" w:lineRule="exact"/>
              <w:ind w:right="315"/>
              <w:jc w:val="right"/>
              <w:rPr>
                <w:b/>
                <w:sz w:val="13"/>
              </w:rPr>
            </w:pPr>
            <w:r>
              <w:rPr>
                <w:b/>
                <w:w w:val="105"/>
                <w:sz w:val="13"/>
              </w:rPr>
              <w:t>2.396,11</w:t>
            </w:r>
          </w:p>
        </w:tc>
        <w:tc>
          <w:tcPr>
            <w:tcW w:w="798" w:type="dxa"/>
          </w:tcPr>
          <w:p>
            <w:pPr>
              <w:pStyle w:val="TableParagraph"/>
              <w:spacing w:line="137" w:lineRule="exact"/>
              <w:ind w:left="360"/>
              <w:rPr>
                <w:b/>
                <w:sz w:val="13"/>
              </w:rPr>
            </w:pPr>
            <w:r>
              <w:rPr>
                <w:b/>
                <w:w w:val="105"/>
                <w:sz w:val="13"/>
              </w:rPr>
              <w:t>879,85</w:t>
            </w:r>
          </w:p>
        </w:tc>
      </w:tr>
    </w:tbl>
    <w:p>
      <w:pPr>
        <w:pStyle w:val="BodyText"/>
        <w:spacing w:before="12"/>
        <w:rPr>
          <w:b/>
          <w:sz w:val="17"/>
        </w:rPr>
      </w:pPr>
    </w:p>
    <w:p>
      <w:pPr>
        <w:pStyle w:val="Heading1"/>
        <w:ind w:left="2099"/>
        <w:jc w:val="left"/>
      </w:pPr>
      <w:r>
        <w:rPr>
          <w:color w:val="53A1B9"/>
        </w:rPr>
        <w:t>7.2.4 Intereses.</w:t>
      </w:r>
    </w:p>
    <w:p>
      <w:pPr>
        <w:pStyle w:val="BodyText"/>
        <w:spacing w:before="8"/>
        <w:rPr>
          <w:b/>
          <w:sz w:val="16"/>
        </w:rPr>
      </w:pPr>
    </w:p>
    <w:p>
      <w:pPr>
        <w:pStyle w:val="BodyText"/>
        <w:ind w:left="2099" w:right="1140" w:firstLine="594"/>
        <w:jc w:val="both"/>
      </w:pPr>
      <w:r>
        <w:rPr/>
        <w:t>Las obligaciones reconocidas por intereses de la sección de deuda pública alcanzaron</w:t>
      </w:r>
      <w:r>
        <w:rPr>
          <w:spacing w:val="-3"/>
        </w:rPr>
        <w:t> </w:t>
      </w:r>
      <w:r>
        <w:rPr/>
        <w:t>los</w:t>
      </w:r>
      <w:r>
        <w:rPr>
          <w:spacing w:val="-3"/>
        </w:rPr>
        <w:t> </w:t>
      </w:r>
      <w:r>
        <w:rPr/>
        <w:t>23,9</w:t>
      </w:r>
      <w:r>
        <w:rPr>
          <w:spacing w:val="-2"/>
        </w:rPr>
        <w:t> </w:t>
      </w:r>
      <w:r>
        <w:rPr/>
        <w:t>millones</w:t>
      </w:r>
      <w:r>
        <w:rPr>
          <w:spacing w:val="-3"/>
        </w:rPr>
        <w:t> </w:t>
      </w:r>
      <w:r>
        <w:rPr/>
        <w:t>de</w:t>
      </w:r>
      <w:r>
        <w:rPr>
          <w:spacing w:val="-4"/>
        </w:rPr>
        <w:t> </w:t>
      </w:r>
      <w:r>
        <w:rPr/>
        <w:t>€,</w:t>
      </w:r>
      <w:r>
        <w:rPr>
          <w:spacing w:val="-5"/>
        </w:rPr>
        <w:t> </w:t>
      </w:r>
      <w:r>
        <w:rPr/>
        <w:t>frente</w:t>
      </w:r>
      <w:r>
        <w:rPr>
          <w:spacing w:val="-3"/>
        </w:rPr>
        <w:t> </w:t>
      </w:r>
      <w:r>
        <w:rPr/>
        <w:t>a</w:t>
      </w:r>
      <w:r>
        <w:rPr>
          <w:spacing w:val="-3"/>
        </w:rPr>
        <w:t> </w:t>
      </w:r>
      <w:r>
        <w:rPr/>
        <w:t>los</w:t>
      </w:r>
      <w:r>
        <w:rPr>
          <w:spacing w:val="-4"/>
        </w:rPr>
        <w:t> </w:t>
      </w:r>
      <w:r>
        <w:rPr/>
        <w:t>29,1</w:t>
      </w:r>
      <w:r>
        <w:rPr>
          <w:spacing w:val="-1"/>
        </w:rPr>
        <w:t> </w:t>
      </w:r>
      <w:r>
        <w:rPr/>
        <w:t>millones</w:t>
      </w:r>
      <w:r>
        <w:rPr>
          <w:spacing w:val="-5"/>
        </w:rPr>
        <w:t> </w:t>
      </w:r>
      <w:r>
        <w:rPr/>
        <w:t>del</w:t>
      </w:r>
      <w:r>
        <w:rPr>
          <w:spacing w:val="-3"/>
        </w:rPr>
        <w:t> </w:t>
      </w:r>
      <w:r>
        <w:rPr/>
        <w:t>ejercicio</w:t>
      </w:r>
      <w:r>
        <w:rPr>
          <w:spacing w:val="-4"/>
        </w:rPr>
        <w:t> </w:t>
      </w:r>
      <w:r>
        <w:rPr/>
        <w:t>anterior,</w:t>
      </w:r>
      <w:r>
        <w:rPr>
          <w:spacing w:val="-3"/>
        </w:rPr>
        <w:t> </w:t>
      </w:r>
      <w:r>
        <w:rPr/>
        <w:t>lo</w:t>
      </w:r>
      <w:r>
        <w:rPr>
          <w:spacing w:val="-3"/>
        </w:rPr>
        <w:t> </w:t>
      </w:r>
      <w:r>
        <w:rPr/>
        <w:t>que representa una disminución del 17,5 %. No obstante, el resto de los gastos e intereses, que se corresponden con intereses de demora, otros gastos financieros y ejecución de sentencias, se incrementaron en más de un 500 %, pasando de 8,6 millones de € en el 2021 a la cifra de 52,2 millones de € en el</w:t>
      </w:r>
      <w:r>
        <w:rPr>
          <w:spacing w:val="2"/>
        </w:rPr>
        <w:t> </w:t>
      </w:r>
      <w:r>
        <w:rPr/>
        <w:t>2022.</w:t>
      </w:r>
    </w:p>
    <w:p>
      <w:pPr>
        <w:pStyle w:val="BodyText"/>
        <w:spacing w:before="4"/>
        <w:rPr>
          <w:sz w:val="17"/>
        </w:rPr>
      </w:pPr>
    </w:p>
    <w:p>
      <w:pPr>
        <w:pStyle w:val="BodyText"/>
        <w:ind w:left="2786"/>
      </w:pPr>
      <w:r>
        <w:rPr/>
        <w:t>Se detalla por secciones presupuestarias, en el siguiente cuadro:</w:t>
      </w:r>
    </w:p>
    <w:p>
      <w:pPr>
        <w:pStyle w:val="BodyText"/>
        <w:spacing w:before="1"/>
        <w:rPr>
          <w:sz w:val="19"/>
        </w:rPr>
      </w:pPr>
    </w:p>
    <w:p>
      <w:pPr>
        <w:spacing w:before="0" w:after="6"/>
        <w:ind w:left="0" w:right="1192" w:firstLine="0"/>
        <w:jc w:val="right"/>
        <w:rPr>
          <w:b/>
          <w:sz w:val="13"/>
        </w:rPr>
      </w:pPr>
      <w:r>
        <w:rPr>
          <w:b/>
          <w:w w:val="105"/>
          <w:sz w:val="13"/>
        </w:rPr>
        <w:t>millones de</w:t>
      </w:r>
      <w:r>
        <w:rPr>
          <w:b/>
          <w:spacing w:val="-14"/>
          <w:w w:val="105"/>
          <w:sz w:val="13"/>
        </w:rPr>
        <w:t> </w:t>
      </w:r>
      <w:r>
        <w:rPr>
          <w:b/>
          <w:w w:val="105"/>
          <w:sz w:val="13"/>
        </w:rPr>
        <w:t>€</w:t>
      </w:r>
    </w:p>
    <w:tbl>
      <w:tblPr>
        <w:tblW w:w="0" w:type="auto"/>
        <w:jc w:val="left"/>
        <w:tblInd w:w="2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4"/>
        <w:gridCol w:w="927"/>
        <w:gridCol w:w="766"/>
        <w:gridCol w:w="672"/>
        <w:gridCol w:w="603"/>
      </w:tblGrid>
      <w:tr>
        <w:trPr>
          <w:trHeight w:val="319" w:hRule="atLeast"/>
        </w:trPr>
        <w:tc>
          <w:tcPr>
            <w:tcW w:w="4184" w:type="dxa"/>
            <w:tcBorders>
              <w:top w:val="single" w:sz="4" w:space="0" w:color="000000"/>
            </w:tcBorders>
            <w:shd w:val="clear" w:color="auto" w:fill="D9E0F1"/>
          </w:tcPr>
          <w:p>
            <w:pPr>
              <w:pStyle w:val="TableParagraph"/>
              <w:spacing w:before="80"/>
              <w:ind w:left="159"/>
              <w:rPr>
                <w:b/>
                <w:sz w:val="13"/>
              </w:rPr>
            </w:pPr>
            <w:r>
              <w:rPr>
                <w:b/>
                <w:w w:val="105"/>
                <w:sz w:val="13"/>
              </w:rPr>
              <w:t>Obligaciones reconocidas Intereses/gastos formaliz. Emisión, Otros</w:t>
            </w:r>
          </w:p>
        </w:tc>
        <w:tc>
          <w:tcPr>
            <w:tcW w:w="927" w:type="dxa"/>
            <w:tcBorders>
              <w:top w:val="single" w:sz="4" w:space="0" w:color="000000"/>
            </w:tcBorders>
            <w:shd w:val="clear" w:color="auto" w:fill="D9E0F1"/>
          </w:tcPr>
          <w:p>
            <w:pPr>
              <w:pStyle w:val="TableParagraph"/>
              <w:spacing w:before="80"/>
              <w:ind w:left="137" w:right="13"/>
              <w:jc w:val="center"/>
              <w:rPr>
                <w:b/>
                <w:sz w:val="13"/>
              </w:rPr>
            </w:pPr>
            <w:r>
              <w:rPr>
                <w:b/>
                <w:w w:val="105"/>
                <w:sz w:val="13"/>
              </w:rPr>
              <w:t>2019</w:t>
            </w:r>
          </w:p>
        </w:tc>
        <w:tc>
          <w:tcPr>
            <w:tcW w:w="766" w:type="dxa"/>
            <w:tcBorders>
              <w:top w:val="single" w:sz="4" w:space="0" w:color="000000"/>
            </w:tcBorders>
            <w:shd w:val="clear" w:color="auto" w:fill="D9E0F1"/>
          </w:tcPr>
          <w:p>
            <w:pPr>
              <w:pStyle w:val="TableParagraph"/>
              <w:spacing w:before="80"/>
              <w:ind w:right="193"/>
              <w:jc w:val="right"/>
              <w:rPr>
                <w:b/>
                <w:sz w:val="13"/>
              </w:rPr>
            </w:pPr>
            <w:r>
              <w:rPr>
                <w:b/>
                <w:sz w:val="13"/>
              </w:rPr>
              <w:t>2020</w:t>
            </w:r>
          </w:p>
        </w:tc>
        <w:tc>
          <w:tcPr>
            <w:tcW w:w="672" w:type="dxa"/>
            <w:tcBorders>
              <w:top w:val="single" w:sz="4" w:space="0" w:color="000000"/>
            </w:tcBorders>
            <w:shd w:val="clear" w:color="auto" w:fill="D9E0F1"/>
          </w:tcPr>
          <w:p>
            <w:pPr>
              <w:pStyle w:val="TableParagraph"/>
              <w:spacing w:before="80"/>
              <w:ind w:right="170"/>
              <w:jc w:val="right"/>
              <w:rPr>
                <w:b/>
                <w:sz w:val="13"/>
              </w:rPr>
            </w:pPr>
            <w:r>
              <w:rPr>
                <w:b/>
                <w:sz w:val="13"/>
              </w:rPr>
              <w:t>2021</w:t>
            </w:r>
          </w:p>
        </w:tc>
        <w:tc>
          <w:tcPr>
            <w:tcW w:w="603" w:type="dxa"/>
            <w:tcBorders>
              <w:top w:val="single" w:sz="4" w:space="0" w:color="000000"/>
            </w:tcBorders>
            <w:shd w:val="clear" w:color="auto" w:fill="D9E0F1"/>
          </w:tcPr>
          <w:p>
            <w:pPr>
              <w:pStyle w:val="TableParagraph"/>
              <w:spacing w:before="80"/>
              <w:ind w:right="57"/>
              <w:jc w:val="right"/>
              <w:rPr>
                <w:b/>
                <w:sz w:val="13"/>
              </w:rPr>
            </w:pPr>
            <w:r>
              <w:rPr>
                <w:b/>
                <w:sz w:val="13"/>
              </w:rPr>
              <w:t>2022</w:t>
            </w:r>
          </w:p>
        </w:tc>
      </w:tr>
      <w:tr>
        <w:trPr>
          <w:trHeight w:val="191" w:hRule="atLeast"/>
        </w:trPr>
        <w:tc>
          <w:tcPr>
            <w:tcW w:w="4184" w:type="dxa"/>
          </w:tcPr>
          <w:p>
            <w:pPr>
              <w:pStyle w:val="TableParagraph"/>
              <w:spacing w:line="154" w:lineRule="exact" w:before="17"/>
              <w:ind w:left="64"/>
              <w:rPr>
                <w:sz w:val="13"/>
              </w:rPr>
            </w:pPr>
            <w:r>
              <w:rPr>
                <w:w w:val="105"/>
                <w:sz w:val="13"/>
              </w:rPr>
              <w:t>Deuda pública</w:t>
            </w:r>
          </w:p>
        </w:tc>
        <w:tc>
          <w:tcPr>
            <w:tcW w:w="927" w:type="dxa"/>
          </w:tcPr>
          <w:p>
            <w:pPr>
              <w:pStyle w:val="TableParagraph"/>
              <w:spacing w:line="154" w:lineRule="exact" w:before="17"/>
              <w:ind w:left="112" w:right="22"/>
              <w:jc w:val="center"/>
              <w:rPr>
                <w:sz w:val="13"/>
              </w:rPr>
            </w:pPr>
            <w:r>
              <w:rPr>
                <w:w w:val="105"/>
                <w:sz w:val="13"/>
              </w:rPr>
              <w:t>81,06</w:t>
            </w:r>
          </w:p>
        </w:tc>
        <w:tc>
          <w:tcPr>
            <w:tcW w:w="766" w:type="dxa"/>
          </w:tcPr>
          <w:p>
            <w:pPr>
              <w:pStyle w:val="TableParagraph"/>
              <w:spacing w:line="154" w:lineRule="exact" w:before="17"/>
              <w:ind w:right="194"/>
              <w:jc w:val="right"/>
              <w:rPr>
                <w:sz w:val="13"/>
              </w:rPr>
            </w:pPr>
            <w:r>
              <w:rPr>
                <w:sz w:val="13"/>
              </w:rPr>
              <w:t>86,42</w:t>
            </w:r>
          </w:p>
        </w:tc>
        <w:tc>
          <w:tcPr>
            <w:tcW w:w="672" w:type="dxa"/>
          </w:tcPr>
          <w:p>
            <w:pPr>
              <w:pStyle w:val="TableParagraph"/>
              <w:spacing w:line="154" w:lineRule="exact" w:before="17"/>
              <w:ind w:right="170"/>
              <w:jc w:val="right"/>
              <w:rPr>
                <w:sz w:val="13"/>
              </w:rPr>
            </w:pPr>
            <w:r>
              <w:rPr>
                <w:sz w:val="13"/>
              </w:rPr>
              <w:t>29,09</w:t>
            </w:r>
          </w:p>
        </w:tc>
        <w:tc>
          <w:tcPr>
            <w:tcW w:w="603" w:type="dxa"/>
          </w:tcPr>
          <w:p>
            <w:pPr>
              <w:pStyle w:val="TableParagraph"/>
              <w:spacing w:line="154" w:lineRule="exact" w:before="17"/>
              <w:ind w:right="58"/>
              <w:jc w:val="right"/>
              <w:rPr>
                <w:sz w:val="13"/>
              </w:rPr>
            </w:pPr>
            <w:r>
              <w:rPr>
                <w:sz w:val="13"/>
              </w:rPr>
              <w:t>23,98</w:t>
            </w:r>
          </w:p>
        </w:tc>
      </w:tr>
      <w:tr>
        <w:trPr>
          <w:trHeight w:val="189" w:hRule="atLeast"/>
        </w:trPr>
        <w:tc>
          <w:tcPr>
            <w:tcW w:w="4184" w:type="dxa"/>
            <w:shd w:val="clear" w:color="auto" w:fill="D9D9D9"/>
          </w:tcPr>
          <w:p>
            <w:pPr>
              <w:pStyle w:val="TableParagraph"/>
              <w:spacing w:line="154" w:lineRule="exact" w:before="15"/>
              <w:ind w:left="64"/>
              <w:rPr>
                <w:b/>
                <w:i/>
                <w:sz w:val="13"/>
              </w:rPr>
            </w:pPr>
            <w:r>
              <w:rPr>
                <w:b/>
                <w:i/>
                <w:w w:val="105"/>
                <w:sz w:val="13"/>
              </w:rPr>
              <w:t>Subtotal</w:t>
            </w:r>
          </w:p>
        </w:tc>
        <w:tc>
          <w:tcPr>
            <w:tcW w:w="927" w:type="dxa"/>
            <w:shd w:val="clear" w:color="auto" w:fill="D9D9D9"/>
          </w:tcPr>
          <w:p>
            <w:pPr>
              <w:pStyle w:val="TableParagraph"/>
              <w:spacing w:line="154" w:lineRule="exact" w:before="15"/>
              <w:ind w:left="112" w:right="22"/>
              <w:jc w:val="center"/>
              <w:rPr>
                <w:b/>
                <w:i/>
                <w:sz w:val="13"/>
              </w:rPr>
            </w:pPr>
            <w:r>
              <w:rPr>
                <w:b/>
                <w:i/>
                <w:w w:val="105"/>
                <w:sz w:val="13"/>
              </w:rPr>
              <w:t>81,06</w:t>
            </w:r>
          </w:p>
        </w:tc>
        <w:tc>
          <w:tcPr>
            <w:tcW w:w="766" w:type="dxa"/>
            <w:shd w:val="clear" w:color="auto" w:fill="D9D9D9"/>
          </w:tcPr>
          <w:p>
            <w:pPr>
              <w:pStyle w:val="TableParagraph"/>
              <w:spacing w:line="154" w:lineRule="exact" w:before="15"/>
              <w:ind w:right="193"/>
              <w:jc w:val="right"/>
              <w:rPr>
                <w:b/>
                <w:i/>
                <w:sz w:val="13"/>
              </w:rPr>
            </w:pPr>
            <w:r>
              <w:rPr>
                <w:b/>
                <w:i/>
                <w:w w:val="105"/>
                <w:sz w:val="13"/>
              </w:rPr>
              <w:t>86,42</w:t>
            </w:r>
          </w:p>
        </w:tc>
        <w:tc>
          <w:tcPr>
            <w:tcW w:w="672" w:type="dxa"/>
            <w:shd w:val="clear" w:color="auto" w:fill="D9D9D9"/>
          </w:tcPr>
          <w:p>
            <w:pPr>
              <w:pStyle w:val="TableParagraph"/>
              <w:spacing w:line="154" w:lineRule="exact" w:before="15"/>
              <w:ind w:right="170"/>
              <w:jc w:val="right"/>
              <w:rPr>
                <w:b/>
                <w:i/>
                <w:sz w:val="13"/>
              </w:rPr>
            </w:pPr>
            <w:r>
              <w:rPr>
                <w:b/>
                <w:i/>
                <w:w w:val="105"/>
                <w:sz w:val="13"/>
              </w:rPr>
              <w:t>29,09</w:t>
            </w:r>
          </w:p>
        </w:tc>
        <w:tc>
          <w:tcPr>
            <w:tcW w:w="603" w:type="dxa"/>
            <w:shd w:val="clear" w:color="auto" w:fill="D9D9D9"/>
          </w:tcPr>
          <w:p>
            <w:pPr>
              <w:pStyle w:val="TableParagraph"/>
              <w:spacing w:line="154" w:lineRule="exact" w:before="15"/>
              <w:ind w:right="57"/>
              <w:jc w:val="right"/>
              <w:rPr>
                <w:b/>
                <w:i/>
                <w:sz w:val="13"/>
              </w:rPr>
            </w:pPr>
            <w:r>
              <w:rPr>
                <w:b/>
                <w:i/>
                <w:w w:val="105"/>
                <w:sz w:val="13"/>
              </w:rPr>
              <w:t>23,98</w:t>
            </w:r>
          </w:p>
        </w:tc>
      </w:tr>
      <w:tr>
        <w:trPr>
          <w:trHeight w:val="202" w:hRule="atLeast"/>
        </w:trPr>
        <w:tc>
          <w:tcPr>
            <w:tcW w:w="4184" w:type="dxa"/>
          </w:tcPr>
          <w:p>
            <w:pPr>
              <w:pStyle w:val="TableParagraph"/>
              <w:spacing w:before="17"/>
              <w:ind w:left="64"/>
              <w:rPr>
                <w:sz w:val="13"/>
              </w:rPr>
            </w:pPr>
            <w:r>
              <w:rPr>
                <w:w w:val="105"/>
                <w:sz w:val="13"/>
              </w:rPr>
              <w:t>Presidencia del Gobierno</w:t>
            </w:r>
          </w:p>
        </w:tc>
        <w:tc>
          <w:tcPr>
            <w:tcW w:w="927" w:type="dxa"/>
          </w:tcPr>
          <w:p>
            <w:pPr>
              <w:pStyle w:val="TableParagraph"/>
              <w:spacing w:before="17"/>
              <w:ind w:left="180" w:right="22"/>
              <w:jc w:val="center"/>
              <w:rPr>
                <w:sz w:val="13"/>
              </w:rPr>
            </w:pPr>
            <w:r>
              <w:rPr>
                <w:w w:val="105"/>
                <w:sz w:val="13"/>
              </w:rPr>
              <w:t>0,00</w:t>
            </w:r>
          </w:p>
        </w:tc>
        <w:tc>
          <w:tcPr>
            <w:tcW w:w="766" w:type="dxa"/>
          </w:tcPr>
          <w:p>
            <w:pPr>
              <w:pStyle w:val="TableParagraph"/>
              <w:spacing w:before="17"/>
              <w:ind w:right="194"/>
              <w:jc w:val="right"/>
              <w:rPr>
                <w:sz w:val="13"/>
              </w:rPr>
            </w:pPr>
            <w:r>
              <w:rPr>
                <w:sz w:val="13"/>
              </w:rPr>
              <w:t>0,001</w:t>
            </w:r>
          </w:p>
        </w:tc>
        <w:tc>
          <w:tcPr>
            <w:tcW w:w="672" w:type="dxa"/>
          </w:tcPr>
          <w:p>
            <w:pPr>
              <w:pStyle w:val="TableParagraph"/>
              <w:spacing w:before="17"/>
              <w:ind w:right="170"/>
              <w:jc w:val="right"/>
              <w:rPr>
                <w:sz w:val="13"/>
              </w:rPr>
            </w:pPr>
            <w:r>
              <w:rPr>
                <w:sz w:val="13"/>
              </w:rPr>
              <w:t>0,001</w:t>
            </w:r>
          </w:p>
        </w:tc>
        <w:tc>
          <w:tcPr>
            <w:tcW w:w="603" w:type="dxa"/>
          </w:tcPr>
          <w:p>
            <w:pPr>
              <w:pStyle w:val="TableParagraph"/>
              <w:spacing w:before="17"/>
              <w:ind w:right="58"/>
              <w:jc w:val="right"/>
              <w:rPr>
                <w:sz w:val="13"/>
              </w:rPr>
            </w:pPr>
            <w:r>
              <w:rPr>
                <w:sz w:val="13"/>
              </w:rPr>
              <w:t>0,0002</w:t>
            </w:r>
          </w:p>
        </w:tc>
      </w:tr>
      <w:tr>
        <w:trPr>
          <w:trHeight w:val="190" w:hRule="atLeast"/>
        </w:trPr>
        <w:tc>
          <w:tcPr>
            <w:tcW w:w="4184" w:type="dxa"/>
          </w:tcPr>
          <w:p>
            <w:pPr>
              <w:pStyle w:val="TableParagraph"/>
              <w:spacing w:before="4"/>
              <w:ind w:left="64"/>
              <w:rPr>
                <w:sz w:val="13"/>
              </w:rPr>
            </w:pPr>
            <w:r>
              <w:rPr>
                <w:w w:val="105"/>
                <w:sz w:val="13"/>
              </w:rPr>
              <w:t>Administraciones Públicas, Justicia y Seguridad</w:t>
            </w:r>
          </w:p>
        </w:tc>
        <w:tc>
          <w:tcPr>
            <w:tcW w:w="927" w:type="dxa"/>
          </w:tcPr>
          <w:p>
            <w:pPr>
              <w:pStyle w:val="TableParagraph"/>
              <w:spacing w:before="4"/>
              <w:ind w:left="180" w:right="22"/>
              <w:jc w:val="center"/>
              <w:rPr>
                <w:sz w:val="13"/>
              </w:rPr>
            </w:pPr>
            <w:r>
              <w:rPr>
                <w:w w:val="105"/>
                <w:sz w:val="13"/>
              </w:rPr>
              <w:t>0,00</w:t>
            </w:r>
          </w:p>
        </w:tc>
        <w:tc>
          <w:tcPr>
            <w:tcW w:w="766" w:type="dxa"/>
          </w:tcPr>
          <w:p>
            <w:pPr>
              <w:pStyle w:val="TableParagraph"/>
              <w:spacing w:before="4"/>
              <w:ind w:right="194"/>
              <w:jc w:val="right"/>
              <w:rPr>
                <w:sz w:val="13"/>
              </w:rPr>
            </w:pPr>
            <w:r>
              <w:rPr>
                <w:sz w:val="13"/>
              </w:rPr>
              <w:t>0,92</w:t>
            </w:r>
          </w:p>
        </w:tc>
        <w:tc>
          <w:tcPr>
            <w:tcW w:w="672" w:type="dxa"/>
          </w:tcPr>
          <w:p>
            <w:pPr>
              <w:pStyle w:val="TableParagraph"/>
              <w:spacing w:before="4"/>
              <w:ind w:right="170"/>
              <w:jc w:val="right"/>
              <w:rPr>
                <w:sz w:val="13"/>
              </w:rPr>
            </w:pPr>
            <w:r>
              <w:rPr>
                <w:sz w:val="13"/>
              </w:rPr>
              <w:t>0,09</w:t>
            </w:r>
          </w:p>
        </w:tc>
        <w:tc>
          <w:tcPr>
            <w:tcW w:w="603" w:type="dxa"/>
          </w:tcPr>
          <w:p>
            <w:pPr>
              <w:pStyle w:val="TableParagraph"/>
              <w:spacing w:before="4"/>
              <w:ind w:right="58"/>
              <w:jc w:val="right"/>
              <w:rPr>
                <w:sz w:val="13"/>
              </w:rPr>
            </w:pPr>
            <w:r>
              <w:rPr>
                <w:sz w:val="13"/>
              </w:rPr>
              <w:t>0,02</w:t>
            </w:r>
          </w:p>
        </w:tc>
      </w:tr>
      <w:tr>
        <w:trPr>
          <w:trHeight w:val="191" w:hRule="atLeast"/>
        </w:trPr>
        <w:tc>
          <w:tcPr>
            <w:tcW w:w="4184" w:type="dxa"/>
          </w:tcPr>
          <w:p>
            <w:pPr>
              <w:pStyle w:val="TableParagraph"/>
              <w:spacing w:before="5"/>
              <w:ind w:left="64"/>
              <w:rPr>
                <w:sz w:val="13"/>
              </w:rPr>
            </w:pPr>
            <w:r>
              <w:rPr>
                <w:w w:val="105"/>
                <w:sz w:val="13"/>
              </w:rPr>
              <w:t>Hacienda, Presupuestos y Asuntos Europeos</w:t>
            </w:r>
          </w:p>
        </w:tc>
        <w:tc>
          <w:tcPr>
            <w:tcW w:w="927" w:type="dxa"/>
          </w:tcPr>
          <w:p>
            <w:pPr>
              <w:pStyle w:val="TableParagraph"/>
              <w:spacing w:before="5"/>
              <w:ind w:left="180" w:right="22"/>
              <w:jc w:val="center"/>
              <w:rPr>
                <w:sz w:val="13"/>
              </w:rPr>
            </w:pPr>
            <w:r>
              <w:rPr>
                <w:w w:val="105"/>
                <w:sz w:val="13"/>
              </w:rPr>
              <w:t>0,00</w:t>
            </w:r>
          </w:p>
        </w:tc>
        <w:tc>
          <w:tcPr>
            <w:tcW w:w="766" w:type="dxa"/>
          </w:tcPr>
          <w:p>
            <w:pPr>
              <w:pStyle w:val="TableParagraph"/>
              <w:spacing w:before="5"/>
              <w:ind w:right="194"/>
              <w:jc w:val="right"/>
              <w:rPr>
                <w:sz w:val="13"/>
              </w:rPr>
            </w:pPr>
            <w:r>
              <w:rPr>
                <w:sz w:val="13"/>
              </w:rPr>
              <w:t>0,07</w:t>
            </w:r>
          </w:p>
        </w:tc>
        <w:tc>
          <w:tcPr>
            <w:tcW w:w="672" w:type="dxa"/>
          </w:tcPr>
          <w:p>
            <w:pPr>
              <w:pStyle w:val="TableParagraph"/>
              <w:spacing w:before="5"/>
              <w:ind w:right="170"/>
              <w:jc w:val="right"/>
              <w:rPr>
                <w:sz w:val="13"/>
              </w:rPr>
            </w:pPr>
            <w:r>
              <w:rPr>
                <w:sz w:val="13"/>
              </w:rPr>
              <w:t>0,88</w:t>
            </w:r>
          </w:p>
        </w:tc>
        <w:tc>
          <w:tcPr>
            <w:tcW w:w="603" w:type="dxa"/>
          </w:tcPr>
          <w:p>
            <w:pPr>
              <w:pStyle w:val="TableParagraph"/>
              <w:spacing w:before="5"/>
              <w:ind w:right="58"/>
              <w:jc w:val="right"/>
              <w:rPr>
                <w:sz w:val="13"/>
              </w:rPr>
            </w:pPr>
            <w:r>
              <w:rPr>
                <w:sz w:val="13"/>
              </w:rPr>
              <w:t>7,95</w:t>
            </w:r>
          </w:p>
        </w:tc>
      </w:tr>
      <w:tr>
        <w:trPr>
          <w:trHeight w:val="190" w:hRule="atLeast"/>
        </w:trPr>
        <w:tc>
          <w:tcPr>
            <w:tcW w:w="4184" w:type="dxa"/>
          </w:tcPr>
          <w:p>
            <w:pPr>
              <w:pStyle w:val="TableParagraph"/>
              <w:spacing w:before="5"/>
              <w:ind w:left="64"/>
              <w:rPr>
                <w:sz w:val="13"/>
              </w:rPr>
            </w:pPr>
            <w:r>
              <w:rPr>
                <w:w w:val="105"/>
                <w:sz w:val="13"/>
              </w:rPr>
              <w:t>Obras Públicas, Transportes y Vivienda</w:t>
            </w:r>
          </w:p>
        </w:tc>
        <w:tc>
          <w:tcPr>
            <w:tcW w:w="927" w:type="dxa"/>
          </w:tcPr>
          <w:p>
            <w:pPr>
              <w:pStyle w:val="TableParagraph"/>
              <w:spacing w:before="5"/>
              <w:ind w:left="180" w:right="22"/>
              <w:jc w:val="center"/>
              <w:rPr>
                <w:sz w:val="13"/>
              </w:rPr>
            </w:pPr>
            <w:r>
              <w:rPr>
                <w:w w:val="105"/>
                <w:sz w:val="13"/>
              </w:rPr>
              <w:t>2,54</w:t>
            </w:r>
          </w:p>
        </w:tc>
        <w:tc>
          <w:tcPr>
            <w:tcW w:w="766" w:type="dxa"/>
          </w:tcPr>
          <w:p>
            <w:pPr>
              <w:pStyle w:val="TableParagraph"/>
              <w:spacing w:before="5"/>
              <w:ind w:right="194"/>
              <w:jc w:val="right"/>
              <w:rPr>
                <w:sz w:val="13"/>
              </w:rPr>
            </w:pPr>
            <w:r>
              <w:rPr>
                <w:sz w:val="13"/>
              </w:rPr>
              <w:t>0,54</w:t>
            </w:r>
          </w:p>
        </w:tc>
        <w:tc>
          <w:tcPr>
            <w:tcW w:w="672" w:type="dxa"/>
          </w:tcPr>
          <w:p>
            <w:pPr>
              <w:pStyle w:val="TableParagraph"/>
              <w:spacing w:before="5"/>
              <w:ind w:right="170"/>
              <w:jc w:val="right"/>
              <w:rPr>
                <w:sz w:val="13"/>
              </w:rPr>
            </w:pPr>
            <w:r>
              <w:rPr>
                <w:sz w:val="13"/>
              </w:rPr>
              <w:t>6,43</w:t>
            </w:r>
          </w:p>
        </w:tc>
        <w:tc>
          <w:tcPr>
            <w:tcW w:w="603" w:type="dxa"/>
          </w:tcPr>
          <w:p>
            <w:pPr>
              <w:pStyle w:val="TableParagraph"/>
              <w:spacing w:before="5"/>
              <w:ind w:right="58"/>
              <w:jc w:val="right"/>
              <w:rPr>
                <w:sz w:val="13"/>
              </w:rPr>
            </w:pPr>
            <w:r>
              <w:rPr>
                <w:sz w:val="13"/>
              </w:rPr>
              <w:t>8,50</w:t>
            </w:r>
          </w:p>
        </w:tc>
      </w:tr>
      <w:tr>
        <w:trPr>
          <w:trHeight w:val="190" w:hRule="atLeast"/>
        </w:trPr>
        <w:tc>
          <w:tcPr>
            <w:tcW w:w="4184" w:type="dxa"/>
          </w:tcPr>
          <w:p>
            <w:pPr>
              <w:pStyle w:val="TableParagraph"/>
              <w:spacing w:before="4"/>
              <w:ind w:left="64"/>
              <w:rPr>
                <w:sz w:val="13"/>
              </w:rPr>
            </w:pPr>
            <w:r>
              <w:rPr>
                <w:w w:val="105"/>
                <w:sz w:val="13"/>
              </w:rPr>
              <w:t>Transición ecológica, lucha cambio climático</w:t>
            </w:r>
          </w:p>
        </w:tc>
        <w:tc>
          <w:tcPr>
            <w:tcW w:w="927" w:type="dxa"/>
          </w:tcPr>
          <w:p>
            <w:pPr>
              <w:pStyle w:val="TableParagraph"/>
              <w:spacing w:before="4"/>
              <w:ind w:left="180" w:right="22"/>
              <w:jc w:val="center"/>
              <w:rPr>
                <w:sz w:val="13"/>
              </w:rPr>
            </w:pPr>
            <w:r>
              <w:rPr>
                <w:w w:val="105"/>
                <w:sz w:val="13"/>
              </w:rPr>
              <w:t>0,00</w:t>
            </w:r>
          </w:p>
        </w:tc>
        <w:tc>
          <w:tcPr>
            <w:tcW w:w="766" w:type="dxa"/>
          </w:tcPr>
          <w:p>
            <w:pPr>
              <w:pStyle w:val="TableParagraph"/>
              <w:spacing w:before="4"/>
              <w:ind w:right="194"/>
              <w:jc w:val="right"/>
              <w:rPr>
                <w:sz w:val="13"/>
              </w:rPr>
            </w:pPr>
            <w:r>
              <w:rPr>
                <w:sz w:val="13"/>
              </w:rPr>
              <w:t>0,71</w:t>
            </w:r>
          </w:p>
        </w:tc>
        <w:tc>
          <w:tcPr>
            <w:tcW w:w="672" w:type="dxa"/>
          </w:tcPr>
          <w:p>
            <w:pPr>
              <w:pStyle w:val="TableParagraph"/>
              <w:spacing w:before="4"/>
              <w:ind w:right="170"/>
              <w:jc w:val="right"/>
              <w:rPr>
                <w:sz w:val="13"/>
              </w:rPr>
            </w:pPr>
            <w:r>
              <w:rPr>
                <w:sz w:val="13"/>
              </w:rPr>
              <w:t>0,39</w:t>
            </w:r>
          </w:p>
        </w:tc>
        <w:tc>
          <w:tcPr>
            <w:tcW w:w="603" w:type="dxa"/>
          </w:tcPr>
          <w:p>
            <w:pPr>
              <w:pStyle w:val="TableParagraph"/>
              <w:spacing w:before="4"/>
              <w:ind w:right="58"/>
              <w:jc w:val="right"/>
              <w:rPr>
                <w:sz w:val="13"/>
              </w:rPr>
            </w:pPr>
            <w:r>
              <w:rPr>
                <w:sz w:val="13"/>
              </w:rPr>
              <w:t>29,51</w:t>
            </w:r>
          </w:p>
        </w:tc>
      </w:tr>
      <w:tr>
        <w:trPr>
          <w:trHeight w:val="190" w:hRule="atLeast"/>
        </w:trPr>
        <w:tc>
          <w:tcPr>
            <w:tcW w:w="4184" w:type="dxa"/>
          </w:tcPr>
          <w:p>
            <w:pPr>
              <w:pStyle w:val="TableParagraph"/>
              <w:spacing w:before="5"/>
              <w:ind w:left="64"/>
              <w:rPr>
                <w:sz w:val="13"/>
              </w:rPr>
            </w:pPr>
            <w:r>
              <w:rPr>
                <w:w w:val="105"/>
                <w:sz w:val="13"/>
              </w:rPr>
              <w:t>Agricultura, Ganadería y Pesca</w:t>
            </w:r>
          </w:p>
        </w:tc>
        <w:tc>
          <w:tcPr>
            <w:tcW w:w="927" w:type="dxa"/>
          </w:tcPr>
          <w:p>
            <w:pPr>
              <w:pStyle w:val="TableParagraph"/>
              <w:spacing w:before="5"/>
              <w:ind w:left="180" w:right="22"/>
              <w:jc w:val="center"/>
              <w:rPr>
                <w:sz w:val="13"/>
              </w:rPr>
            </w:pPr>
            <w:r>
              <w:rPr>
                <w:w w:val="105"/>
                <w:sz w:val="13"/>
              </w:rPr>
              <w:t>0,13</w:t>
            </w:r>
          </w:p>
        </w:tc>
        <w:tc>
          <w:tcPr>
            <w:tcW w:w="766" w:type="dxa"/>
          </w:tcPr>
          <w:p>
            <w:pPr>
              <w:pStyle w:val="TableParagraph"/>
              <w:spacing w:before="5"/>
              <w:ind w:right="194"/>
              <w:jc w:val="right"/>
              <w:rPr>
                <w:sz w:val="13"/>
              </w:rPr>
            </w:pPr>
            <w:r>
              <w:rPr>
                <w:sz w:val="13"/>
              </w:rPr>
              <w:t>0,01</w:t>
            </w:r>
          </w:p>
        </w:tc>
        <w:tc>
          <w:tcPr>
            <w:tcW w:w="672" w:type="dxa"/>
          </w:tcPr>
          <w:p>
            <w:pPr>
              <w:pStyle w:val="TableParagraph"/>
              <w:spacing w:before="5"/>
              <w:ind w:right="170"/>
              <w:jc w:val="right"/>
              <w:rPr>
                <w:sz w:val="13"/>
              </w:rPr>
            </w:pPr>
            <w:r>
              <w:rPr>
                <w:sz w:val="13"/>
              </w:rPr>
              <w:t>0,01</w:t>
            </w:r>
          </w:p>
        </w:tc>
        <w:tc>
          <w:tcPr>
            <w:tcW w:w="603" w:type="dxa"/>
          </w:tcPr>
          <w:p>
            <w:pPr>
              <w:pStyle w:val="TableParagraph"/>
              <w:spacing w:before="5"/>
              <w:ind w:right="58"/>
              <w:jc w:val="right"/>
              <w:rPr>
                <w:sz w:val="13"/>
              </w:rPr>
            </w:pPr>
            <w:r>
              <w:rPr>
                <w:sz w:val="13"/>
              </w:rPr>
              <w:t>0,0002</w:t>
            </w:r>
          </w:p>
        </w:tc>
      </w:tr>
      <w:tr>
        <w:trPr>
          <w:trHeight w:val="190" w:hRule="atLeast"/>
        </w:trPr>
        <w:tc>
          <w:tcPr>
            <w:tcW w:w="4184" w:type="dxa"/>
          </w:tcPr>
          <w:p>
            <w:pPr>
              <w:pStyle w:val="TableParagraph"/>
              <w:spacing w:before="4"/>
              <w:ind w:left="64"/>
              <w:rPr>
                <w:sz w:val="13"/>
              </w:rPr>
            </w:pPr>
            <w:r>
              <w:rPr>
                <w:w w:val="105"/>
                <w:sz w:val="13"/>
              </w:rPr>
              <w:t>Sanidad</w:t>
            </w:r>
          </w:p>
        </w:tc>
        <w:tc>
          <w:tcPr>
            <w:tcW w:w="927" w:type="dxa"/>
          </w:tcPr>
          <w:p>
            <w:pPr>
              <w:pStyle w:val="TableParagraph"/>
              <w:spacing w:before="4"/>
              <w:ind w:left="180" w:right="22"/>
              <w:jc w:val="center"/>
              <w:rPr>
                <w:sz w:val="13"/>
              </w:rPr>
            </w:pPr>
            <w:r>
              <w:rPr>
                <w:w w:val="105"/>
                <w:sz w:val="13"/>
              </w:rPr>
              <w:t>0,03</w:t>
            </w:r>
          </w:p>
        </w:tc>
        <w:tc>
          <w:tcPr>
            <w:tcW w:w="766" w:type="dxa"/>
          </w:tcPr>
          <w:p>
            <w:pPr>
              <w:pStyle w:val="TableParagraph"/>
              <w:spacing w:before="4"/>
              <w:ind w:right="194"/>
              <w:jc w:val="right"/>
              <w:rPr>
                <w:sz w:val="13"/>
              </w:rPr>
            </w:pPr>
            <w:r>
              <w:rPr>
                <w:sz w:val="13"/>
              </w:rPr>
              <w:t>0,03</w:t>
            </w:r>
          </w:p>
        </w:tc>
        <w:tc>
          <w:tcPr>
            <w:tcW w:w="672" w:type="dxa"/>
          </w:tcPr>
          <w:p>
            <w:pPr>
              <w:pStyle w:val="TableParagraph"/>
              <w:spacing w:before="4"/>
              <w:ind w:right="170"/>
              <w:jc w:val="right"/>
              <w:rPr>
                <w:sz w:val="13"/>
              </w:rPr>
            </w:pPr>
            <w:r>
              <w:rPr>
                <w:sz w:val="13"/>
              </w:rPr>
              <w:t>0,02</w:t>
            </w:r>
          </w:p>
        </w:tc>
        <w:tc>
          <w:tcPr>
            <w:tcW w:w="603" w:type="dxa"/>
          </w:tcPr>
          <w:p>
            <w:pPr>
              <w:pStyle w:val="TableParagraph"/>
              <w:spacing w:before="4"/>
              <w:ind w:right="58"/>
              <w:jc w:val="right"/>
              <w:rPr>
                <w:sz w:val="13"/>
              </w:rPr>
            </w:pPr>
            <w:r>
              <w:rPr>
                <w:sz w:val="13"/>
              </w:rPr>
              <w:t>0,02</w:t>
            </w:r>
          </w:p>
        </w:tc>
      </w:tr>
      <w:tr>
        <w:trPr>
          <w:trHeight w:val="190" w:hRule="atLeast"/>
        </w:trPr>
        <w:tc>
          <w:tcPr>
            <w:tcW w:w="4184" w:type="dxa"/>
          </w:tcPr>
          <w:p>
            <w:pPr>
              <w:pStyle w:val="TableParagraph"/>
              <w:spacing w:before="5"/>
              <w:ind w:left="64"/>
              <w:rPr>
                <w:sz w:val="13"/>
              </w:rPr>
            </w:pPr>
            <w:r>
              <w:rPr>
                <w:w w:val="105"/>
                <w:sz w:val="13"/>
              </w:rPr>
              <w:t>Economía, Conocimiento y Empleo</w:t>
            </w:r>
          </w:p>
        </w:tc>
        <w:tc>
          <w:tcPr>
            <w:tcW w:w="927" w:type="dxa"/>
          </w:tcPr>
          <w:p>
            <w:pPr>
              <w:pStyle w:val="TableParagraph"/>
              <w:spacing w:before="5"/>
              <w:ind w:left="43" w:right="22"/>
              <w:jc w:val="center"/>
              <w:rPr>
                <w:sz w:val="13"/>
              </w:rPr>
            </w:pPr>
            <w:r>
              <w:rPr>
                <w:w w:val="105"/>
                <w:sz w:val="13"/>
              </w:rPr>
              <w:t>0,0003</w:t>
            </w:r>
          </w:p>
        </w:tc>
        <w:tc>
          <w:tcPr>
            <w:tcW w:w="766" w:type="dxa"/>
          </w:tcPr>
          <w:p>
            <w:pPr>
              <w:pStyle w:val="TableParagraph"/>
              <w:spacing w:before="5"/>
              <w:ind w:right="194"/>
              <w:jc w:val="right"/>
              <w:rPr>
                <w:sz w:val="13"/>
              </w:rPr>
            </w:pPr>
            <w:r>
              <w:rPr>
                <w:sz w:val="13"/>
              </w:rPr>
              <w:t>0,00</w:t>
            </w:r>
          </w:p>
        </w:tc>
        <w:tc>
          <w:tcPr>
            <w:tcW w:w="672" w:type="dxa"/>
          </w:tcPr>
          <w:p>
            <w:pPr>
              <w:pStyle w:val="TableParagraph"/>
              <w:spacing w:before="5"/>
              <w:ind w:right="170"/>
              <w:jc w:val="right"/>
              <w:rPr>
                <w:sz w:val="13"/>
              </w:rPr>
            </w:pPr>
            <w:r>
              <w:rPr>
                <w:sz w:val="13"/>
              </w:rPr>
              <w:t>0,00</w:t>
            </w:r>
          </w:p>
        </w:tc>
        <w:tc>
          <w:tcPr>
            <w:tcW w:w="603" w:type="dxa"/>
          </w:tcPr>
          <w:p>
            <w:pPr>
              <w:pStyle w:val="TableParagraph"/>
              <w:spacing w:before="5"/>
              <w:ind w:right="58"/>
              <w:jc w:val="right"/>
              <w:rPr>
                <w:sz w:val="13"/>
              </w:rPr>
            </w:pPr>
            <w:r>
              <w:rPr>
                <w:sz w:val="13"/>
              </w:rPr>
              <w:t>5,17</w:t>
            </w:r>
          </w:p>
        </w:tc>
      </w:tr>
      <w:tr>
        <w:trPr>
          <w:trHeight w:val="190" w:hRule="atLeast"/>
        </w:trPr>
        <w:tc>
          <w:tcPr>
            <w:tcW w:w="4184" w:type="dxa"/>
          </w:tcPr>
          <w:p>
            <w:pPr>
              <w:pStyle w:val="TableParagraph"/>
              <w:spacing w:before="4"/>
              <w:ind w:left="64"/>
              <w:rPr>
                <w:sz w:val="13"/>
              </w:rPr>
            </w:pPr>
            <w:r>
              <w:rPr>
                <w:w w:val="105"/>
                <w:sz w:val="13"/>
              </w:rPr>
              <w:t>Turismo, Industria y Comercio</w:t>
            </w:r>
          </w:p>
        </w:tc>
        <w:tc>
          <w:tcPr>
            <w:tcW w:w="927" w:type="dxa"/>
          </w:tcPr>
          <w:p>
            <w:pPr>
              <w:pStyle w:val="TableParagraph"/>
              <w:spacing w:before="4"/>
              <w:ind w:left="180" w:right="22"/>
              <w:jc w:val="center"/>
              <w:rPr>
                <w:sz w:val="13"/>
              </w:rPr>
            </w:pPr>
            <w:r>
              <w:rPr>
                <w:w w:val="105"/>
                <w:sz w:val="13"/>
              </w:rPr>
              <w:t>2,84</w:t>
            </w:r>
          </w:p>
        </w:tc>
        <w:tc>
          <w:tcPr>
            <w:tcW w:w="766" w:type="dxa"/>
          </w:tcPr>
          <w:p>
            <w:pPr>
              <w:pStyle w:val="TableParagraph"/>
              <w:spacing w:before="4"/>
              <w:ind w:right="194"/>
              <w:jc w:val="right"/>
              <w:rPr>
                <w:sz w:val="13"/>
              </w:rPr>
            </w:pPr>
            <w:r>
              <w:rPr>
                <w:sz w:val="13"/>
              </w:rPr>
              <w:t>0,10</w:t>
            </w:r>
          </w:p>
        </w:tc>
        <w:tc>
          <w:tcPr>
            <w:tcW w:w="672" w:type="dxa"/>
          </w:tcPr>
          <w:p>
            <w:pPr>
              <w:pStyle w:val="TableParagraph"/>
              <w:spacing w:before="4"/>
              <w:ind w:right="170"/>
              <w:jc w:val="right"/>
              <w:rPr>
                <w:sz w:val="13"/>
              </w:rPr>
            </w:pPr>
            <w:r>
              <w:rPr>
                <w:sz w:val="13"/>
              </w:rPr>
              <w:t>0,47</w:t>
            </w:r>
          </w:p>
        </w:tc>
        <w:tc>
          <w:tcPr>
            <w:tcW w:w="603" w:type="dxa"/>
          </w:tcPr>
          <w:p>
            <w:pPr>
              <w:pStyle w:val="TableParagraph"/>
              <w:spacing w:before="4"/>
              <w:ind w:right="58"/>
              <w:jc w:val="right"/>
              <w:rPr>
                <w:sz w:val="13"/>
              </w:rPr>
            </w:pPr>
            <w:r>
              <w:rPr>
                <w:sz w:val="13"/>
              </w:rPr>
              <w:t>0,72</w:t>
            </w:r>
          </w:p>
        </w:tc>
      </w:tr>
      <w:tr>
        <w:trPr>
          <w:trHeight w:val="191" w:hRule="atLeast"/>
        </w:trPr>
        <w:tc>
          <w:tcPr>
            <w:tcW w:w="4184" w:type="dxa"/>
          </w:tcPr>
          <w:p>
            <w:pPr>
              <w:pStyle w:val="TableParagraph"/>
              <w:spacing w:before="5"/>
              <w:ind w:left="64"/>
              <w:rPr>
                <w:sz w:val="13"/>
              </w:rPr>
            </w:pPr>
            <w:r>
              <w:rPr>
                <w:w w:val="105"/>
                <w:sz w:val="13"/>
              </w:rPr>
              <w:t>Educación, Universidades y cultura</w:t>
            </w:r>
          </w:p>
        </w:tc>
        <w:tc>
          <w:tcPr>
            <w:tcW w:w="927" w:type="dxa"/>
          </w:tcPr>
          <w:p>
            <w:pPr>
              <w:pStyle w:val="TableParagraph"/>
              <w:spacing w:before="5"/>
              <w:ind w:left="180" w:right="22"/>
              <w:jc w:val="center"/>
              <w:rPr>
                <w:sz w:val="13"/>
              </w:rPr>
            </w:pPr>
            <w:r>
              <w:rPr>
                <w:w w:val="105"/>
                <w:sz w:val="13"/>
              </w:rPr>
              <w:t>0,02</w:t>
            </w:r>
          </w:p>
        </w:tc>
        <w:tc>
          <w:tcPr>
            <w:tcW w:w="766" w:type="dxa"/>
          </w:tcPr>
          <w:p>
            <w:pPr>
              <w:pStyle w:val="TableParagraph"/>
              <w:spacing w:before="5"/>
              <w:ind w:right="194"/>
              <w:jc w:val="right"/>
              <w:rPr>
                <w:sz w:val="13"/>
              </w:rPr>
            </w:pPr>
            <w:r>
              <w:rPr>
                <w:sz w:val="13"/>
              </w:rPr>
              <w:t>0,21</w:t>
            </w:r>
          </w:p>
        </w:tc>
        <w:tc>
          <w:tcPr>
            <w:tcW w:w="672" w:type="dxa"/>
          </w:tcPr>
          <w:p>
            <w:pPr>
              <w:pStyle w:val="TableParagraph"/>
              <w:spacing w:before="5"/>
              <w:ind w:right="170"/>
              <w:jc w:val="right"/>
              <w:rPr>
                <w:sz w:val="13"/>
              </w:rPr>
            </w:pPr>
            <w:r>
              <w:rPr>
                <w:sz w:val="13"/>
              </w:rPr>
              <w:t>0,21</w:t>
            </w:r>
          </w:p>
        </w:tc>
        <w:tc>
          <w:tcPr>
            <w:tcW w:w="603" w:type="dxa"/>
          </w:tcPr>
          <w:p>
            <w:pPr>
              <w:pStyle w:val="TableParagraph"/>
              <w:spacing w:before="5"/>
              <w:ind w:right="58"/>
              <w:jc w:val="right"/>
              <w:rPr>
                <w:sz w:val="13"/>
              </w:rPr>
            </w:pPr>
            <w:r>
              <w:rPr>
                <w:sz w:val="13"/>
              </w:rPr>
              <w:t>0,06</w:t>
            </w:r>
          </w:p>
        </w:tc>
      </w:tr>
      <w:tr>
        <w:trPr>
          <w:trHeight w:val="190" w:hRule="atLeast"/>
        </w:trPr>
        <w:tc>
          <w:tcPr>
            <w:tcW w:w="4184" w:type="dxa"/>
          </w:tcPr>
          <w:p>
            <w:pPr>
              <w:pStyle w:val="TableParagraph"/>
              <w:spacing w:before="5"/>
              <w:ind w:left="64"/>
              <w:rPr>
                <w:sz w:val="13"/>
              </w:rPr>
            </w:pPr>
            <w:r>
              <w:rPr>
                <w:w w:val="105"/>
                <w:sz w:val="13"/>
              </w:rPr>
              <w:t>Diversas Consejerías</w:t>
            </w:r>
          </w:p>
        </w:tc>
        <w:tc>
          <w:tcPr>
            <w:tcW w:w="927" w:type="dxa"/>
          </w:tcPr>
          <w:p>
            <w:pPr>
              <w:pStyle w:val="TableParagraph"/>
              <w:spacing w:before="5"/>
              <w:ind w:left="180" w:right="22"/>
              <w:jc w:val="center"/>
              <w:rPr>
                <w:sz w:val="13"/>
              </w:rPr>
            </w:pPr>
            <w:r>
              <w:rPr>
                <w:w w:val="105"/>
                <w:sz w:val="13"/>
              </w:rPr>
              <w:t>0,00</w:t>
            </w:r>
          </w:p>
        </w:tc>
        <w:tc>
          <w:tcPr>
            <w:tcW w:w="766" w:type="dxa"/>
          </w:tcPr>
          <w:p>
            <w:pPr>
              <w:pStyle w:val="TableParagraph"/>
              <w:spacing w:before="5"/>
              <w:ind w:right="194"/>
              <w:jc w:val="right"/>
              <w:rPr>
                <w:sz w:val="13"/>
              </w:rPr>
            </w:pPr>
            <w:r>
              <w:rPr>
                <w:sz w:val="13"/>
              </w:rPr>
              <w:t>0,00</w:t>
            </w:r>
          </w:p>
        </w:tc>
        <w:tc>
          <w:tcPr>
            <w:tcW w:w="672" w:type="dxa"/>
          </w:tcPr>
          <w:p>
            <w:pPr>
              <w:pStyle w:val="TableParagraph"/>
              <w:spacing w:before="5"/>
              <w:ind w:right="170"/>
              <w:jc w:val="right"/>
              <w:rPr>
                <w:sz w:val="13"/>
              </w:rPr>
            </w:pPr>
            <w:r>
              <w:rPr>
                <w:sz w:val="13"/>
              </w:rPr>
              <w:t>0,01</w:t>
            </w:r>
          </w:p>
        </w:tc>
        <w:tc>
          <w:tcPr>
            <w:tcW w:w="603" w:type="dxa"/>
          </w:tcPr>
          <w:p>
            <w:pPr>
              <w:pStyle w:val="TableParagraph"/>
              <w:spacing w:before="5"/>
              <w:ind w:right="58"/>
              <w:jc w:val="right"/>
              <w:rPr>
                <w:sz w:val="13"/>
              </w:rPr>
            </w:pPr>
            <w:r>
              <w:rPr>
                <w:sz w:val="13"/>
              </w:rPr>
              <w:t>0,14</w:t>
            </w:r>
          </w:p>
        </w:tc>
      </w:tr>
      <w:tr>
        <w:trPr>
          <w:trHeight w:val="190" w:hRule="atLeast"/>
        </w:trPr>
        <w:tc>
          <w:tcPr>
            <w:tcW w:w="4184" w:type="dxa"/>
          </w:tcPr>
          <w:p>
            <w:pPr>
              <w:pStyle w:val="TableParagraph"/>
              <w:spacing w:before="4"/>
              <w:ind w:left="64"/>
              <w:rPr>
                <w:sz w:val="13"/>
              </w:rPr>
            </w:pPr>
            <w:r>
              <w:rPr>
                <w:w w:val="105"/>
                <w:sz w:val="13"/>
              </w:rPr>
              <w:t>Derechos Sociales, Igualdad, Diversidad y Juventud</w:t>
            </w:r>
          </w:p>
        </w:tc>
        <w:tc>
          <w:tcPr>
            <w:tcW w:w="927" w:type="dxa"/>
          </w:tcPr>
          <w:p>
            <w:pPr>
              <w:pStyle w:val="TableParagraph"/>
              <w:spacing w:before="4"/>
              <w:ind w:left="180" w:right="22"/>
              <w:jc w:val="center"/>
              <w:rPr>
                <w:sz w:val="13"/>
              </w:rPr>
            </w:pPr>
            <w:r>
              <w:rPr>
                <w:w w:val="105"/>
                <w:sz w:val="13"/>
              </w:rPr>
              <w:t>0,19</w:t>
            </w:r>
          </w:p>
        </w:tc>
        <w:tc>
          <w:tcPr>
            <w:tcW w:w="766" w:type="dxa"/>
          </w:tcPr>
          <w:p>
            <w:pPr>
              <w:pStyle w:val="TableParagraph"/>
              <w:spacing w:before="4"/>
              <w:ind w:right="194"/>
              <w:jc w:val="right"/>
              <w:rPr>
                <w:sz w:val="13"/>
              </w:rPr>
            </w:pPr>
            <w:r>
              <w:rPr>
                <w:sz w:val="13"/>
              </w:rPr>
              <w:t>0,15</w:t>
            </w:r>
          </w:p>
        </w:tc>
        <w:tc>
          <w:tcPr>
            <w:tcW w:w="672" w:type="dxa"/>
          </w:tcPr>
          <w:p>
            <w:pPr>
              <w:pStyle w:val="TableParagraph"/>
              <w:spacing w:before="4"/>
              <w:ind w:right="170"/>
              <w:jc w:val="right"/>
              <w:rPr>
                <w:sz w:val="13"/>
              </w:rPr>
            </w:pPr>
            <w:r>
              <w:rPr>
                <w:sz w:val="13"/>
              </w:rPr>
              <w:t>0,12</w:t>
            </w:r>
          </w:p>
        </w:tc>
        <w:tc>
          <w:tcPr>
            <w:tcW w:w="603" w:type="dxa"/>
          </w:tcPr>
          <w:p>
            <w:pPr>
              <w:pStyle w:val="TableParagraph"/>
              <w:spacing w:before="4"/>
              <w:ind w:right="58"/>
              <w:jc w:val="right"/>
              <w:rPr>
                <w:sz w:val="13"/>
              </w:rPr>
            </w:pPr>
            <w:r>
              <w:rPr>
                <w:sz w:val="13"/>
              </w:rPr>
              <w:t>0,09</w:t>
            </w:r>
          </w:p>
        </w:tc>
      </w:tr>
      <w:tr>
        <w:trPr>
          <w:trHeight w:val="190" w:hRule="atLeast"/>
        </w:trPr>
        <w:tc>
          <w:tcPr>
            <w:tcW w:w="4184" w:type="dxa"/>
          </w:tcPr>
          <w:p>
            <w:pPr>
              <w:pStyle w:val="TableParagraph"/>
              <w:spacing w:before="5"/>
              <w:ind w:left="64"/>
              <w:rPr>
                <w:b/>
                <w:i/>
                <w:sz w:val="13"/>
              </w:rPr>
            </w:pPr>
            <w:r>
              <w:rPr>
                <w:b/>
                <w:i/>
                <w:w w:val="105"/>
                <w:sz w:val="13"/>
              </w:rPr>
              <w:t>Subtotal</w:t>
            </w:r>
          </w:p>
        </w:tc>
        <w:tc>
          <w:tcPr>
            <w:tcW w:w="927" w:type="dxa"/>
          </w:tcPr>
          <w:p>
            <w:pPr>
              <w:pStyle w:val="TableParagraph"/>
              <w:spacing w:before="5"/>
              <w:ind w:left="177" w:right="22"/>
              <w:jc w:val="center"/>
              <w:rPr>
                <w:b/>
                <w:i/>
                <w:sz w:val="13"/>
              </w:rPr>
            </w:pPr>
            <w:r>
              <w:rPr>
                <w:b/>
                <w:i/>
                <w:w w:val="105"/>
                <w:sz w:val="13"/>
              </w:rPr>
              <w:t>5,75</w:t>
            </w:r>
          </w:p>
        </w:tc>
        <w:tc>
          <w:tcPr>
            <w:tcW w:w="766" w:type="dxa"/>
          </w:tcPr>
          <w:p>
            <w:pPr>
              <w:pStyle w:val="TableParagraph"/>
              <w:spacing w:before="5"/>
              <w:ind w:right="195"/>
              <w:jc w:val="right"/>
              <w:rPr>
                <w:b/>
                <w:i/>
                <w:sz w:val="13"/>
              </w:rPr>
            </w:pPr>
            <w:r>
              <w:rPr>
                <w:b/>
                <w:i/>
                <w:w w:val="105"/>
                <w:sz w:val="13"/>
              </w:rPr>
              <w:t>2,74</w:t>
            </w:r>
          </w:p>
        </w:tc>
        <w:tc>
          <w:tcPr>
            <w:tcW w:w="672" w:type="dxa"/>
          </w:tcPr>
          <w:p>
            <w:pPr>
              <w:pStyle w:val="TableParagraph"/>
              <w:spacing w:before="5"/>
              <w:ind w:right="172"/>
              <w:jc w:val="right"/>
              <w:rPr>
                <w:b/>
                <w:i/>
                <w:sz w:val="13"/>
              </w:rPr>
            </w:pPr>
            <w:r>
              <w:rPr>
                <w:b/>
                <w:i/>
                <w:w w:val="105"/>
                <w:sz w:val="13"/>
              </w:rPr>
              <w:t>8,64</w:t>
            </w:r>
          </w:p>
        </w:tc>
        <w:tc>
          <w:tcPr>
            <w:tcW w:w="603" w:type="dxa"/>
          </w:tcPr>
          <w:p>
            <w:pPr>
              <w:pStyle w:val="TableParagraph"/>
              <w:spacing w:before="5"/>
              <w:ind w:right="57"/>
              <w:jc w:val="right"/>
              <w:rPr>
                <w:b/>
                <w:i/>
                <w:sz w:val="13"/>
              </w:rPr>
            </w:pPr>
            <w:r>
              <w:rPr>
                <w:b/>
                <w:i/>
                <w:w w:val="105"/>
                <w:sz w:val="13"/>
              </w:rPr>
              <w:t>52,18</w:t>
            </w:r>
          </w:p>
        </w:tc>
      </w:tr>
      <w:tr>
        <w:trPr>
          <w:trHeight w:val="180" w:hRule="atLeast"/>
        </w:trPr>
        <w:tc>
          <w:tcPr>
            <w:tcW w:w="4184" w:type="dxa"/>
            <w:tcBorders>
              <w:bottom w:val="single" w:sz="4" w:space="0" w:color="000000"/>
            </w:tcBorders>
          </w:tcPr>
          <w:p>
            <w:pPr>
              <w:pStyle w:val="TableParagraph"/>
              <w:spacing w:line="155" w:lineRule="exact" w:before="5"/>
              <w:ind w:left="1865" w:right="1988"/>
              <w:jc w:val="center"/>
              <w:rPr>
                <w:b/>
                <w:sz w:val="13"/>
              </w:rPr>
            </w:pPr>
            <w:r>
              <w:rPr>
                <w:b/>
                <w:w w:val="105"/>
                <w:sz w:val="13"/>
              </w:rPr>
              <w:t>Total</w:t>
            </w:r>
          </w:p>
        </w:tc>
        <w:tc>
          <w:tcPr>
            <w:tcW w:w="927" w:type="dxa"/>
            <w:tcBorders>
              <w:bottom w:val="single" w:sz="4" w:space="0" w:color="000000"/>
            </w:tcBorders>
          </w:tcPr>
          <w:p>
            <w:pPr>
              <w:pStyle w:val="TableParagraph"/>
              <w:spacing w:line="155" w:lineRule="exact" w:before="5"/>
              <w:ind w:left="112" w:right="22"/>
              <w:jc w:val="center"/>
              <w:rPr>
                <w:b/>
                <w:sz w:val="13"/>
              </w:rPr>
            </w:pPr>
            <w:r>
              <w:rPr>
                <w:b/>
                <w:w w:val="105"/>
                <w:sz w:val="13"/>
              </w:rPr>
              <w:t>86,81</w:t>
            </w:r>
          </w:p>
        </w:tc>
        <w:tc>
          <w:tcPr>
            <w:tcW w:w="766" w:type="dxa"/>
            <w:tcBorders>
              <w:bottom w:val="single" w:sz="4" w:space="0" w:color="000000"/>
            </w:tcBorders>
          </w:tcPr>
          <w:p>
            <w:pPr>
              <w:pStyle w:val="TableParagraph"/>
              <w:spacing w:line="155" w:lineRule="exact" w:before="5"/>
              <w:ind w:right="193"/>
              <w:jc w:val="right"/>
              <w:rPr>
                <w:b/>
                <w:sz w:val="13"/>
              </w:rPr>
            </w:pPr>
            <w:r>
              <w:rPr>
                <w:b/>
                <w:w w:val="105"/>
                <w:sz w:val="13"/>
              </w:rPr>
              <w:t>89,16</w:t>
            </w:r>
          </w:p>
        </w:tc>
        <w:tc>
          <w:tcPr>
            <w:tcW w:w="672" w:type="dxa"/>
            <w:tcBorders>
              <w:bottom w:val="single" w:sz="4" w:space="0" w:color="000000"/>
            </w:tcBorders>
          </w:tcPr>
          <w:p>
            <w:pPr>
              <w:pStyle w:val="TableParagraph"/>
              <w:spacing w:line="155" w:lineRule="exact" w:before="5"/>
              <w:ind w:right="170"/>
              <w:jc w:val="right"/>
              <w:rPr>
                <w:b/>
                <w:sz w:val="13"/>
              </w:rPr>
            </w:pPr>
            <w:r>
              <w:rPr>
                <w:b/>
                <w:w w:val="105"/>
                <w:sz w:val="13"/>
              </w:rPr>
              <w:t>37,73</w:t>
            </w:r>
          </w:p>
        </w:tc>
        <w:tc>
          <w:tcPr>
            <w:tcW w:w="603" w:type="dxa"/>
            <w:tcBorders>
              <w:bottom w:val="single" w:sz="4" w:space="0" w:color="000000"/>
            </w:tcBorders>
          </w:tcPr>
          <w:p>
            <w:pPr>
              <w:pStyle w:val="TableParagraph"/>
              <w:spacing w:line="155" w:lineRule="exact" w:before="5"/>
              <w:ind w:right="57"/>
              <w:jc w:val="right"/>
              <w:rPr>
                <w:b/>
                <w:sz w:val="13"/>
              </w:rPr>
            </w:pPr>
            <w:r>
              <w:rPr>
                <w:b/>
                <w:w w:val="105"/>
                <w:sz w:val="13"/>
              </w:rPr>
              <w:t>76,16</w:t>
            </w:r>
          </w:p>
        </w:tc>
      </w:tr>
    </w:tbl>
    <w:p>
      <w:pPr>
        <w:pStyle w:val="BodyText"/>
        <w:spacing w:before="3"/>
        <w:rPr>
          <w:b/>
          <w:sz w:val="16"/>
        </w:rPr>
      </w:pPr>
    </w:p>
    <w:p>
      <w:pPr>
        <w:pStyle w:val="BodyText"/>
        <w:ind w:left="2099" w:right="1140" w:firstLine="594"/>
        <w:jc w:val="both"/>
      </w:pPr>
      <w:r>
        <w:rPr/>
        <w:t>Destaca el importe en gastos de 29,5 millones de € de la sección 12 Transición Ecológica, Lucha cambio climático, de los que 29,1 millones de € corresponden al pago de intereses legales por ejecución de sentencia recaída en el recurso contencioso administrativo nº 72/08 en materia de convenios urbanísticos por un importe de 44,7 millones de € (15,6 millones de € de principal y 29,1 millones de € de intereses</w:t>
      </w:r>
      <w:r>
        <w:rPr>
          <w:spacing w:val="21"/>
        </w:rPr>
        <w:t> </w:t>
      </w:r>
      <w:r>
        <w:rPr/>
        <w:t>legales).</w:t>
      </w:r>
    </w:p>
    <w:p>
      <w:pPr>
        <w:pStyle w:val="BodyText"/>
        <w:spacing w:before="8"/>
        <w:rPr>
          <w:sz w:val="16"/>
        </w:rPr>
      </w:pPr>
    </w:p>
    <w:p>
      <w:pPr>
        <w:pStyle w:val="BodyText"/>
        <w:spacing w:before="61"/>
        <w:ind w:left="7787"/>
        <w:jc w:val="center"/>
      </w:pPr>
      <w:r>
        <w:rPr/>
        <w:t>149</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13" name="image5.png"/>
                  <wp:cNvGraphicFramePr>
                    <a:graphicFrameLocks noChangeAspect="1"/>
                  </wp:cNvGraphicFramePr>
                  <a:graphic>
                    <a:graphicData uri="http://schemas.openxmlformats.org/drawingml/2006/picture">
                      <pic:pic>
                        <pic:nvPicPr>
                          <pic:cNvPr id="31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151/247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line="242" w:lineRule="auto" w:before="61"/>
        <w:ind w:left="2099" w:right="1145" w:firstLine="594"/>
        <w:jc w:val="both"/>
      </w:pPr>
      <w:r>
        <w:rPr/>
        <w:t>Los 8,5 millones de € de la sección 11 Obras Públicas, Transportes y Viviendas, corresponden al pago de intereses de demora, de los que un total de 6,5 millones de € deriva del cumplimiento de sentencias en relación con los intereses de varias fincas de la obra: 1ª fase Aeropuerto-Tarajalejo-Morro Jable.</w:t>
      </w:r>
    </w:p>
    <w:p>
      <w:pPr>
        <w:pStyle w:val="BodyText"/>
        <w:spacing w:before="5"/>
        <w:rPr>
          <w:sz w:val="16"/>
        </w:rPr>
      </w:pPr>
    </w:p>
    <w:p>
      <w:pPr>
        <w:pStyle w:val="BodyText"/>
        <w:ind w:left="2099" w:right="1142" w:firstLine="594"/>
        <w:jc w:val="both"/>
      </w:pPr>
      <w:r>
        <w:rPr/>
        <w:t>Y respecto al importe de 7,9 millones de € en la sección 10, Hacienda Presupuestos y Asuntos Europeos, 6,1 millones de € corresponden a gastos financieros pagados al banco Bilbao Vizcaya Argentaria, S.A. por ejecución del pago aval</w:t>
      </w:r>
      <w:r>
        <w:rPr>
          <w:position w:val="7"/>
          <w:sz w:val="13"/>
        </w:rPr>
        <w:t>43 </w:t>
      </w:r>
      <w:r>
        <w:rPr/>
        <w:t>PMMT.</w:t>
      </w:r>
    </w:p>
    <w:p>
      <w:pPr>
        <w:pStyle w:val="BodyText"/>
        <w:spacing w:before="8"/>
        <w:rPr>
          <w:sz w:val="16"/>
        </w:rPr>
      </w:pPr>
    </w:p>
    <w:p>
      <w:pPr>
        <w:pStyle w:val="BodyText"/>
        <w:spacing w:line="242" w:lineRule="auto"/>
        <w:ind w:left="2099" w:right="1145" w:firstLine="594"/>
        <w:jc w:val="both"/>
      </w:pPr>
      <w:r>
        <w:rPr/>
        <w:t>El total de obligaciones reconocidas por gastos en intereses, exceptuando la sección 05 Deuda Pública, ascienden a 52,1 millones de €, importe muy superior a los intereses devengados por la deuda pública ordinaria (23,9 millones de €).</w:t>
      </w:r>
    </w:p>
    <w:p>
      <w:pPr>
        <w:pStyle w:val="BodyText"/>
        <w:spacing w:before="5"/>
        <w:rPr>
          <w:sz w:val="16"/>
        </w:rPr>
      </w:pPr>
    </w:p>
    <w:p>
      <w:pPr>
        <w:pStyle w:val="Heading1"/>
        <w:numPr>
          <w:ilvl w:val="1"/>
          <w:numId w:val="95"/>
        </w:numPr>
        <w:tabs>
          <w:tab w:pos="2582" w:val="left" w:leader="none"/>
          <w:tab w:pos="2583" w:val="left" w:leader="none"/>
        </w:tabs>
        <w:spacing w:line="240" w:lineRule="auto" w:before="0" w:after="0"/>
        <w:ind w:left="2582" w:right="0" w:hanging="484"/>
        <w:jc w:val="left"/>
      </w:pPr>
      <w:r>
        <w:rPr>
          <w:color w:val="53A1B9"/>
        </w:rPr>
        <w:t>Sostenibilidad</w:t>
      </w:r>
      <w:r>
        <w:rPr>
          <w:color w:val="53A1B9"/>
          <w:spacing w:val="3"/>
        </w:rPr>
        <w:t> </w:t>
      </w:r>
      <w:r>
        <w:rPr>
          <w:color w:val="53A1B9"/>
        </w:rPr>
        <w:t>Financiera.</w:t>
      </w:r>
    </w:p>
    <w:p>
      <w:pPr>
        <w:pStyle w:val="BodyText"/>
        <w:spacing w:before="8"/>
        <w:rPr>
          <w:b/>
          <w:sz w:val="16"/>
        </w:rPr>
      </w:pPr>
    </w:p>
    <w:p>
      <w:pPr>
        <w:pStyle w:val="ListParagraph"/>
        <w:numPr>
          <w:ilvl w:val="0"/>
          <w:numId w:val="100"/>
        </w:numPr>
        <w:tabs>
          <w:tab w:pos="2337" w:val="left" w:leader="none"/>
        </w:tabs>
        <w:spacing w:line="242" w:lineRule="auto" w:before="0" w:after="0"/>
        <w:ind w:left="2336" w:right="1139" w:hanging="238"/>
        <w:jc w:val="both"/>
        <w:rPr>
          <w:sz w:val="20"/>
        </w:rPr>
      </w:pPr>
      <w:r>
        <w:rPr>
          <w:sz w:val="20"/>
        </w:rPr>
        <w:t>El PMP global para el conjunto de la Administración autonómica canaria se situó al final del ejercicio 2022 en 32,45 días incumpliendo con el plazo general de treinta días naturales, señalado en el Art. 4 de la Ley</w:t>
      </w:r>
      <w:r>
        <w:rPr>
          <w:position w:val="7"/>
          <w:sz w:val="13"/>
        </w:rPr>
        <w:t>44 </w:t>
      </w:r>
      <w:r>
        <w:rPr>
          <w:sz w:val="20"/>
        </w:rPr>
        <w:t>3/2004, de 29 de diciembre </w:t>
      </w:r>
      <w:r>
        <w:rPr>
          <w:i/>
          <w:sz w:val="20"/>
        </w:rPr>
        <w:t>“por la </w:t>
      </w:r>
      <w:r>
        <w:rPr>
          <w:i/>
          <w:sz w:val="20"/>
        </w:rPr>
        <w:t>que se establecen medidas de lucha contra la morosidad en las operaciones comerciales”. </w:t>
      </w:r>
      <w:r>
        <w:rPr>
          <w:sz w:val="20"/>
        </w:rPr>
        <w:t>Al igual que en el año 2021, este incumplimiento es originado por el impacto de los datos del PMP sanitario, cuya tendencia de retrasos sobre los plazos legales en las operaciones pendientes de pago se incrementa considerablemente a partir del mes de septiembre en cada ejercicio, afectando al conjunto del Sector Público</w:t>
      </w:r>
      <w:r>
        <w:rPr>
          <w:spacing w:val="-1"/>
          <w:sz w:val="20"/>
        </w:rPr>
        <w:t> </w:t>
      </w:r>
      <w:r>
        <w:rPr>
          <w:sz w:val="20"/>
        </w:rPr>
        <w:t>Autonómico.</w:t>
      </w:r>
    </w:p>
    <w:p>
      <w:pPr>
        <w:pStyle w:val="BodyText"/>
        <w:spacing w:before="10"/>
        <w:rPr>
          <w:sz w:val="15"/>
        </w:rPr>
      </w:pPr>
    </w:p>
    <w:p>
      <w:pPr>
        <w:pStyle w:val="ListParagraph"/>
        <w:numPr>
          <w:ilvl w:val="0"/>
          <w:numId w:val="100"/>
        </w:numPr>
        <w:tabs>
          <w:tab w:pos="2337" w:val="left" w:leader="none"/>
        </w:tabs>
        <w:spacing w:line="240" w:lineRule="auto" w:before="0" w:after="0"/>
        <w:ind w:left="2336" w:right="1143" w:hanging="238"/>
        <w:jc w:val="both"/>
        <w:rPr>
          <w:sz w:val="20"/>
        </w:rPr>
      </w:pPr>
      <w:r>
        <w:rPr>
          <w:sz w:val="20"/>
        </w:rPr>
        <w:t>Mediante informe de la IGCAC de abril de 2023, se pone de manifiesto nuevamente retrasos significativos en el SCS contemplándose distintas medidas correctivas a adoptar, así como, recomendaciones generales dirigidas a todo el sector público y específicamente a la Consejería de</w:t>
      </w:r>
      <w:r>
        <w:rPr>
          <w:spacing w:val="1"/>
          <w:sz w:val="20"/>
        </w:rPr>
        <w:t> </w:t>
      </w:r>
      <w:r>
        <w:rPr>
          <w:sz w:val="20"/>
        </w:rPr>
        <w:t>Sanidad.</w:t>
      </w:r>
    </w:p>
    <w:p>
      <w:pPr>
        <w:pStyle w:val="BodyText"/>
        <w:rPr>
          <w:sz w:val="17"/>
        </w:rPr>
      </w:pPr>
    </w:p>
    <w:tbl>
      <w:tblPr>
        <w:tblW w:w="0" w:type="auto"/>
        <w:jc w:val="left"/>
        <w:tblInd w:w="2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6"/>
        <w:gridCol w:w="617"/>
        <w:gridCol w:w="466"/>
        <w:gridCol w:w="424"/>
        <w:gridCol w:w="453"/>
        <w:gridCol w:w="455"/>
        <w:gridCol w:w="423"/>
        <w:gridCol w:w="424"/>
        <w:gridCol w:w="436"/>
        <w:gridCol w:w="461"/>
        <w:gridCol w:w="476"/>
        <w:gridCol w:w="450"/>
        <w:gridCol w:w="422"/>
      </w:tblGrid>
      <w:tr>
        <w:trPr>
          <w:trHeight w:val="164" w:hRule="atLeast"/>
        </w:trPr>
        <w:tc>
          <w:tcPr>
            <w:tcW w:w="2153" w:type="dxa"/>
            <w:gridSpan w:val="2"/>
            <w:tcBorders>
              <w:top w:val="single" w:sz="4" w:space="0" w:color="000000"/>
              <w:left w:val="single" w:sz="4" w:space="0" w:color="000000"/>
            </w:tcBorders>
            <w:shd w:val="clear" w:color="auto" w:fill="DEEAF6"/>
          </w:tcPr>
          <w:p>
            <w:pPr>
              <w:pStyle w:val="TableParagraph"/>
              <w:spacing w:line="142" w:lineRule="exact" w:before="2"/>
              <w:ind w:right="154"/>
              <w:jc w:val="right"/>
              <w:rPr>
                <w:b/>
                <w:sz w:val="13"/>
              </w:rPr>
            </w:pPr>
            <w:r>
              <w:rPr>
                <w:b/>
                <w:sz w:val="13"/>
              </w:rPr>
              <w:t>Ene</w:t>
            </w:r>
          </w:p>
        </w:tc>
        <w:tc>
          <w:tcPr>
            <w:tcW w:w="466" w:type="dxa"/>
            <w:tcBorders>
              <w:top w:val="single" w:sz="4" w:space="0" w:color="000000"/>
            </w:tcBorders>
            <w:shd w:val="clear" w:color="auto" w:fill="DEEAF6"/>
          </w:tcPr>
          <w:p>
            <w:pPr>
              <w:pStyle w:val="TableParagraph"/>
              <w:spacing w:line="142" w:lineRule="exact" w:before="2"/>
              <w:ind w:left="1" w:right="32"/>
              <w:jc w:val="center"/>
              <w:rPr>
                <w:b/>
                <w:sz w:val="13"/>
              </w:rPr>
            </w:pPr>
            <w:r>
              <w:rPr>
                <w:b/>
                <w:w w:val="105"/>
                <w:sz w:val="13"/>
              </w:rPr>
              <w:t>Feb</w:t>
            </w:r>
          </w:p>
        </w:tc>
        <w:tc>
          <w:tcPr>
            <w:tcW w:w="424" w:type="dxa"/>
            <w:tcBorders>
              <w:top w:val="single" w:sz="4" w:space="0" w:color="000000"/>
            </w:tcBorders>
            <w:shd w:val="clear" w:color="auto" w:fill="DEEAF6"/>
          </w:tcPr>
          <w:p>
            <w:pPr>
              <w:pStyle w:val="TableParagraph"/>
              <w:spacing w:line="142" w:lineRule="exact" w:before="2"/>
              <w:ind w:left="40" w:right="31"/>
              <w:jc w:val="center"/>
              <w:rPr>
                <w:b/>
                <w:sz w:val="13"/>
              </w:rPr>
            </w:pPr>
            <w:r>
              <w:rPr>
                <w:b/>
                <w:w w:val="105"/>
                <w:sz w:val="13"/>
              </w:rPr>
              <w:t>Mar</w:t>
            </w:r>
          </w:p>
        </w:tc>
        <w:tc>
          <w:tcPr>
            <w:tcW w:w="453" w:type="dxa"/>
            <w:tcBorders>
              <w:top w:val="single" w:sz="4" w:space="0" w:color="000000"/>
            </w:tcBorders>
            <w:shd w:val="clear" w:color="auto" w:fill="DEEAF6"/>
          </w:tcPr>
          <w:p>
            <w:pPr>
              <w:pStyle w:val="TableParagraph"/>
              <w:spacing w:line="142" w:lineRule="exact" w:before="2"/>
              <w:ind w:right="132"/>
              <w:jc w:val="right"/>
              <w:rPr>
                <w:b/>
                <w:sz w:val="13"/>
              </w:rPr>
            </w:pPr>
            <w:r>
              <w:rPr>
                <w:b/>
                <w:sz w:val="13"/>
              </w:rPr>
              <w:t>Abr</w:t>
            </w:r>
          </w:p>
        </w:tc>
        <w:tc>
          <w:tcPr>
            <w:tcW w:w="455" w:type="dxa"/>
            <w:tcBorders>
              <w:top w:val="single" w:sz="4" w:space="0" w:color="000000"/>
            </w:tcBorders>
            <w:shd w:val="clear" w:color="auto" w:fill="DEEAF6"/>
          </w:tcPr>
          <w:p>
            <w:pPr>
              <w:pStyle w:val="TableParagraph"/>
              <w:spacing w:line="142" w:lineRule="exact" w:before="2"/>
              <w:ind w:left="93"/>
              <w:rPr>
                <w:b/>
                <w:sz w:val="13"/>
              </w:rPr>
            </w:pPr>
            <w:r>
              <w:rPr>
                <w:b/>
                <w:w w:val="105"/>
                <w:sz w:val="13"/>
              </w:rPr>
              <w:t>May</w:t>
            </w:r>
          </w:p>
        </w:tc>
        <w:tc>
          <w:tcPr>
            <w:tcW w:w="423" w:type="dxa"/>
            <w:tcBorders>
              <w:top w:val="single" w:sz="4" w:space="0" w:color="000000"/>
            </w:tcBorders>
            <w:shd w:val="clear" w:color="auto" w:fill="DEEAF6"/>
          </w:tcPr>
          <w:p>
            <w:pPr>
              <w:pStyle w:val="TableParagraph"/>
              <w:spacing w:line="142" w:lineRule="exact" w:before="2"/>
              <w:ind w:left="41" w:right="30"/>
              <w:jc w:val="center"/>
              <w:rPr>
                <w:b/>
                <w:sz w:val="13"/>
              </w:rPr>
            </w:pPr>
            <w:r>
              <w:rPr>
                <w:b/>
                <w:w w:val="105"/>
                <w:sz w:val="13"/>
              </w:rPr>
              <w:t>Jun</w:t>
            </w:r>
          </w:p>
        </w:tc>
        <w:tc>
          <w:tcPr>
            <w:tcW w:w="424" w:type="dxa"/>
            <w:tcBorders>
              <w:top w:val="single" w:sz="4" w:space="0" w:color="000000"/>
            </w:tcBorders>
            <w:shd w:val="clear" w:color="auto" w:fill="DEEAF6"/>
          </w:tcPr>
          <w:p>
            <w:pPr>
              <w:pStyle w:val="TableParagraph"/>
              <w:spacing w:line="142" w:lineRule="exact" w:before="2"/>
              <w:ind w:left="42" w:right="31"/>
              <w:jc w:val="center"/>
              <w:rPr>
                <w:b/>
                <w:sz w:val="13"/>
              </w:rPr>
            </w:pPr>
            <w:r>
              <w:rPr>
                <w:b/>
                <w:w w:val="105"/>
                <w:sz w:val="13"/>
              </w:rPr>
              <w:t>Jul</w:t>
            </w:r>
          </w:p>
        </w:tc>
        <w:tc>
          <w:tcPr>
            <w:tcW w:w="436" w:type="dxa"/>
            <w:tcBorders>
              <w:top w:val="single" w:sz="4" w:space="0" w:color="000000"/>
            </w:tcBorders>
            <w:shd w:val="clear" w:color="auto" w:fill="DEEAF6"/>
          </w:tcPr>
          <w:p>
            <w:pPr>
              <w:pStyle w:val="TableParagraph"/>
              <w:spacing w:line="142" w:lineRule="exact" w:before="2"/>
              <w:ind w:left="109"/>
              <w:rPr>
                <w:b/>
                <w:sz w:val="13"/>
              </w:rPr>
            </w:pPr>
            <w:r>
              <w:rPr>
                <w:b/>
                <w:w w:val="105"/>
                <w:sz w:val="13"/>
              </w:rPr>
              <w:t>Ago</w:t>
            </w:r>
          </w:p>
        </w:tc>
        <w:tc>
          <w:tcPr>
            <w:tcW w:w="461" w:type="dxa"/>
            <w:tcBorders>
              <w:top w:val="single" w:sz="4" w:space="0" w:color="000000"/>
            </w:tcBorders>
            <w:shd w:val="clear" w:color="auto" w:fill="DEEAF6"/>
          </w:tcPr>
          <w:p>
            <w:pPr>
              <w:pStyle w:val="TableParagraph"/>
              <w:spacing w:line="142" w:lineRule="exact" w:before="2"/>
              <w:ind w:left="34" w:right="55"/>
              <w:jc w:val="center"/>
              <w:rPr>
                <w:b/>
                <w:sz w:val="13"/>
              </w:rPr>
            </w:pPr>
            <w:r>
              <w:rPr>
                <w:b/>
                <w:w w:val="105"/>
                <w:sz w:val="13"/>
              </w:rPr>
              <w:t>Sept</w:t>
            </w:r>
          </w:p>
        </w:tc>
        <w:tc>
          <w:tcPr>
            <w:tcW w:w="476" w:type="dxa"/>
            <w:tcBorders>
              <w:top w:val="single" w:sz="4" w:space="0" w:color="000000"/>
            </w:tcBorders>
            <w:shd w:val="clear" w:color="auto" w:fill="DEEAF6"/>
          </w:tcPr>
          <w:p>
            <w:pPr>
              <w:pStyle w:val="TableParagraph"/>
              <w:spacing w:line="142" w:lineRule="exact" w:before="2"/>
              <w:ind w:left="98" w:right="135"/>
              <w:jc w:val="center"/>
              <w:rPr>
                <w:b/>
                <w:sz w:val="13"/>
              </w:rPr>
            </w:pPr>
            <w:r>
              <w:rPr>
                <w:b/>
                <w:w w:val="105"/>
                <w:sz w:val="13"/>
              </w:rPr>
              <w:t>Oct</w:t>
            </w:r>
          </w:p>
        </w:tc>
        <w:tc>
          <w:tcPr>
            <w:tcW w:w="450" w:type="dxa"/>
            <w:tcBorders>
              <w:top w:val="single" w:sz="4" w:space="0" w:color="000000"/>
            </w:tcBorders>
            <w:shd w:val="clear" w:color="auto" w:fill="DEEAF6"/>
          </w:tcPr>
          <w:p>
            <w:pPr>
              <w:pStyle w:val="TableParagraph"/>
              <w:spacing w:line="142" w:lineRule="exact" w:before="2"/>
              <w:ind w:left="19" w:right="27"/>
              <w:jc w:val="center"/>
              <w:rPr>
                <w:b/>
                <w:sz w:val="13"/>
              </w:rPr>
            </w:pPr>
            <w:r>
              <w:rPr>
                <w:b/>
                <w:w w:val="105"/>
                <w:sz w:val="13"/>
              </w:rPr>
              <w:t>Nov</w:t>
            </w:r>
          </w:p>
        </w:tc>
        <w:tc>
          <w:tcPr>
            <w:tcW w:w="422" w:type="dxa"/>
            <w:tcBorders>
              <w:top w:val="single" w:sz="4" w:space="0" w:color="000000"/>
              <w:right w:val="single" w:sz="4" w:space="0" w:color="000000"/>
            </w:tcBorders>
            <w:shd w:val="clear" w:color="auto" w:fill="DEEAF6"/>
          </w:tcPr>
          <w:p>
            <w:pPr>
              <w:pStyle w:val="TableParagraph"/>
              <w:spacing w:line="142" w:lineRule="exact" w:before="2"/>
              <w:ind w:left="132"/>
              <w:rPr>
                <w:b/>
                <w:sz w:val="13"/>
              </w:rPr>
            </w:pPr>
            <w:r>
              <w:rPr>
                <w:b/>
                <w:w w:val="105"/>
                <w:sz w:val="13"/>
              </w:rPr>
              <w:t>Dic</w:t>
            </w:r>
          </w:p>
        </w:tc>
      </w:tr>
      <w:tr>
        <w:trPr>
          <w:trHeight w:val="183" w:hRule="atLeast"/>
        </w:trPr>
        <w:tc>
          <w:tcPr>
            <w:tcW w:w="1536" w:type="dxa"/>
            <w:tcBorders>
              <w:left w:val="single" w:sz="4" w:space="0" w:color="000000"/>
            </w:tcBorders>
          </w:tcPr>
          <w:p>
            <w:pPr>
              <w:pStyle w:val="TableParagraph"/>
              <w:spacing w:before="3"/>
              <w:ind w:left="57"/>
              <w:rPr>
                <w:sz w:val="13"/>
              </w:rPr>
            </w:pPr>
            <w:r>
              <w:rPr>
                <w:w w:val="105"/>
                <w:sz w:val="13"/>
              </w:rPr>
              <w:t>PMP Canarias</w:t>
            </w:r>
          </w:p>
        </w:tc>
        <w:tc>
          <w:tcPr>
            <w:tcW w:w="617" w:type="dxa"/>
          </w:tcPr>
          <w:p>
            <w:pPr>
              <w:pStyle w:val="TableParagraph"/>
              <w:spacing w:before="3"/>
              <w:ind w:right="93"/>
              <w:jc w:val="right"/>
              <w:rPr>
                <w:sz w:val="13"/>
              </w:rPr>
            </w:pPr>
            <w:r>
              <w:rPr>
                <w:sz w:val="13"/>
              </w:rPr>
              <w:t>14,02</w:t>
            </w:r>
          </w:p>
        </w:tc>
        <w:tc>
          <w:tcPr>
            <w:tcW w:w="466" w:type="dxa"/>
          </w:tcPr>
          <w:p>
            <w:pPr>
              <w:pStyle w:val="TableParagraph"/>
              <w:spacing w:before="3"/>
              <w:ind w:left="58" w:right="8"/>
              <w:jc w:val="center"/>
              <w:rPr>
                <w:sz w:val="13"/>
              </w:rPr>
            </w:pPr>
            <w:r>
              <w:rPr>
                <w:w w:val="105"/>
                <w:sz w:val="13"/>
              </w:rPr>
              <w:t>15,02</w:t>
            </w:r>
          </w:p>
        </w:tc>
        <w:tc>
          <w:tcPr>
            <w:tcW w:w="424" w:type="dxa"/>
          </w:tcPr>
          <w:p>
            <w:pPr>
              <w:pStyle w:val="TableParagraph"/>
              <w:spacing w:before="3"/>
              <w:ind w:left="42" w:right="31"/>
              <w:jc w:val="center"/>
              <w:rPr>
                <w:sz w:val="13"/>
              </w:rPr>
            </w:pPr>
            <w:r>
              <w:rPr>
                <w:w w:val="105"/>
                <w:sz w:val="13"/>
              </w:rPr>
              <w:t>14,58</w:t>
            </w:r>
          </w:p>
        </w:tc>
        <w:tc>
          <w:tcPr>
            <w:tcW w:w="453" w:type="dxa"/>
          </w:tcPr>
          <w:p>
            <w:pPr>
              <w:pStyle w:val="TableParagraph"/>
              <w:spacing w:before="3"/>
              <w:ind w:right="80"/>
              <w:jc w:val="right"/>
              <w:rPr>
                <w:sz w:val="13"/>
              </w:rPr>
            </w:pPr>
            <w:r>
              <w:rPr>
                <w:sz w:val="13"/>
              </w:rPr>
              <w:t>16,00</w:t>
            </w:r>
          </w:p>
        </w:tc>
        <w:tc>
          <w:tcPr>
            <w:tcW w:w="455" w:type="dxa"/>
          </w:tcPr>
          <w:p>
            <w:pPr>
              <w:pStyle w:val="TableParagraph"/>
              <w:spacing w:before="3"/>
              <w:ind w:left="95"/>
              <w:rPr>
                <w:sz w:val="13"/>
              </w:rPr>
            </w:pPr>
            <w:r>
              <w:rPr>
                <w:w w:val="105"/>
                <w:sz w:val="13"/>
              </w:rPr>
              <w:t>17,11</w:t>
            </w:r>
          </w:p>
        </w:tc>
        <w:tc>
          <w:tcPr>
            <w:tcW w:w="423" w:type="dxa"/>
          </w:tcPr>
          <w:p>
            <w:pPr>
              <w:pStyle w:val="TableParagraph"/>
              <w:spacing w:before="3"/>
              <w:ind w:left="42" w:right="30"/>
              <w:jc w:val="center"/>
              <w:rPr>
                <w:sz w:val="13"/>
              </w:rPr>
            </w:pPr>
            <w:r>
              <w:rPr>
                <w:w w:val="105"/>
                <w:sz w:val="13"/>
              </w:rPr>
              <w:t>17,88</w:t>
            </w:r>
          </w:p>
        </w:tc>
        <w:tc>
          <w:tcPr>
            <w:tcW w:w="424" w:type="dxa"/>
          </w:tcPr>
          <w:p>
            <w:pPr>
              <w:pStyle w:val="TableParagraph"/>
              <w:spacing w:before="3"/>
              <w:ind w:left="42" w:right="31"/>
              <w:jc w:val="center"/>
              <w:rPr>
                <w:sz w:val="13"/>
              </w:rPr>
            </w:pPr>
            <w:r>
              <w:rPr>
                <w:w w:val="105"/>
                <w:sz w:val="13"/>
              </w:rPr>
              <w:t>16,81</w:t>
            </w:r>
          </w:p>
        </w:tc>
        <w:tc>
          <w:tcPr>
            <w:tcW w:w="436" w:type="dxa"/>
          </w:tcPr>
          <w:p>
            <w:pPr>
              <w:pStyle w:val="TableParagraph"/>
              <w:spacing w:before="3"/>
              <w:ind w:left="65"/>
              <w:rPr>
                <w:sz w:val="13"/>
              </w:rPr>
            </w:pPr>
            <w:r>
              <w:rPr>
                <w:w w:val="105"/>
                <w:sz w:val="13"/>
              </w:rPr>
              <w:t>21,09</w:t>
            </w:r>
          </w:p>
        </w:tc>
        <w:tc>
          <w:tcPr>
            <w:tcW w:w="461" w:type="dxa"/>
          </w:tcPr>
          <w:p>
            <w:pPr>
              <w:pStyle w:val="TableParagraph"/>
              <w:spacing w:before="3"/>
              <w:ind w:left="55" w:right="55"/>
              <w:jc w:val="center"/>
              <w:rPr>
                <w:sz w:val="13"/>
              </w:rPr>
            </w:pPr>
            <w:r>
              <w:rPr>
                <w:w w:val="105"/>
                <w:sz w:val="13"/>
              </w:rPr>
              <w:t>23,15</w:t>
            </w:r>
          </w:p>
        </w:tc>
        <w:tc>
          <w:tcPr>
            <w:tcW w:w="476" w:type="dxa"/>
          </w:tcPr>
          <w:p>
            <w:pPr>
              <w:pStyle w:val="TableParagraph"/>
              <w:spacing w:before="3"/>
              <w:ind w:left="32" w:right="18"/>
              <w:jc w:val="center"/>
              <w:rPr>
                <w:sz w:val="13"/>
              </w:rPr>
            </w:pPr>
            <w:r>
              <w:rPr>
                <w:w w:val="105"/>
                <w:sz w:val="13"/>
              </w:rPr>
              <w:t>28,41</w:t>
            </w:r>
          </w:p>
        </w:tc>
        <w:tc>
          <w:tcPr>
            <w:tcW w:w="450" w:type="dxa"/>
          </w:tcPr>
          <w:p>
            <w:pPr>
              <w:pStyle w:val="TableParagraph"/>
              <w:spacing w:before="3"/>
              <w:ind w:left="71" w:right="27"/>
              <w:jc w:val="center"/>
              <w:rPr>
                <w:sz w:val="13"/>
              </w:rPr>
            </w:pPr>
            <w:r>
              <w:rPr>
                <w:w w:val="105"/>
                <w:sz w:val="13"/>
              </w:rPr>
              <w:t>31,50</w:t>
            </w:r>
          </w:p>
        </w:tc>
        <w:tc>
          <w:tcPr>
            <w:tcW w:w="422" w:type="dxa"/>
            <w:tcBorders>
              <w:right w:val="single" w:sz="4" w:space="0" w:color="000000"/>
            </w:tcBorders>
          </w:tcPr>
          <w:p>
            <w:pPr>
              <w:pStyle w:val="TableParagraph"/>
              <w:spacing w:before="3"/>
              <w:ind w:right="40"/>
              <w:jc w:val="right"/>
              <w:rPr>
                <w:sz w:val="13"/>
              </w:rPr>
            </w:pPr>
            <w:r>
              <w:rPr>
                <w:sz w:val="13"/>
              </w:rPr>
              <w:t>32,45</w:t>
            </w:r>
          </w:p>
        </w:tc>
      </w:tr>
      <w:tr>
        <w:trPr>
          <w:trHeight w:val="191" w:hRule="atLeast"/>
        </w:trPr>
        <w:tc>
          <w:tcPr>
            <w:tcW w:w="1536" w:type="dxa"/>
            <w:tcBorders>
              <w:left w:val="single" w:sz="4" w:space="0" w:color="000000"/>
            </w:tcBorders>
          </w:tcPr>
          <w:p>
            <w:pPr>
              <w:pStyle w:val="TableParagraph"/>
              <w:ind w:left="57"/>
              <w:rPr>
                <w:i/>
                <w:sz w:val="13"/>
              </w:rPr>
            </w:pPr>
            <w:r>
              <w:rPr>
                <w:i/>
                <w:w w:val="105"/>
                <w:sz w:val="13"/>
              </w:rPr>
              <w:t>PMP sanitario Canarias</w:t>
            </w:r>
          </w:p>
        </w:tc>
        <w:tc>
          <w:tcPr>
            <w:tcW w:w="617" w:type="dxa"/>
          </w:tcPr>
          <w:p>
            <w:pPr>
              <w:pStyle w:val="TableParagraph"/>
              <w:ind w:right="93"/>
              <w:jc w:val="right"/>
              <w:rPr>
                <w:i/>
                <w:sz w:val="13"/>
              </w:rPr>
            </w:pPr>
            <w:r>
              <w:rPr>
                <w:i/>
                <w:sz w:val="13"/>
              </w:rPr>
              <w:t>14,48</w:t>
            </w:r>
          </w:p>
        </w:tc>
        <w:tc>
          <w:tcPr>
            <w:tcW w:w="466" w:type="dxa"/>
          </w:tcPr>
          <w:p>
            <w:pPr>
              <w:pStyle w:val="TableParagraph"/>
              <w:ind w:left="58" w:right="8"/>
              <w:jc w:val="center"/>
              <w:rPr>
                <w:i/>
                <w:sz w:val="13"/>
              </w:rPr>
            </w:pPr>
            <w:r>
              <w:rPr>
                <w:i/>
                <w:w w:val="105"/>
                <w:sz w:val="13"/>
              </w:rPr>
              <w:t>13,61</w:t>
            </w:r>
          </w:p>
        </w:tc>
        <w:tc>
          <w:tcPr>
            <w:tcW w:w="424" w:type="dxa"/>
          </w:tcPr>
          <w:p>
            <w:pPr>
              <w:pStyle w:val="TableParagraph"/>
              <w:ind w:left="42" w:right="31"/>
              <w:jc w:val="center"/>
              <w:rPr>
                <w:i/>
                <w:sz w:val="13"/>
              </w:rPr>
            </w:pPr>
            <w:r>
              <w:rPr>
                <w:i/>
                <w:w w:val="105"/>
                <w:sz w:val="13"/>
              </w:rPr>
              <w:t>13,72</w:t>
            </w:r>
          </w:p>
        </w:tc>
        <w:tc>
          <w:tcPr>
            <w:tcW w:w="453" w:type="dxa"/>
          </w:tcPr>
          <w:p>
            <w:pPr>
              <w:pStyle w:val="TableParagraph"/>
              <w:ind w:right="80"/>
              <w:jc w:val="right"/>
              <w:rPr>
                <w:i/>
                <w:sz w:val="13"/>
              </w:rPr>
            </w:pPr>
            <w:r>
              <w:rPr>
                <w:i/>
                <w:sz w:val="13"/>
              </w:rPr>
              <w:t>15,46</w:t>
            </w:r>
          </w:p>
        </w:tc>
        <w:tc>
          <w:tcPr>
            <w:tcW w:w="455" w:type="dxa"/>
          </w:tcPr>
          <w:p>
            <w:pPr>
              <w:pStyle w:val="TableParagraph"/>
              <w:ind w:left="95"/>
              <w:rPr>
                <w:i/>
                <w:sz w:val="13"/>
              </w:rPr>
            </w:pPr>
            <w:r>
              <w:rPr>
                <w:i/>
                <w:w w:val="105"/>
                <w:sz w:val="13"/>
              </w:rPr>
              <w:t>17,51</w:t>
            </w:r>
          </w:p>
        </w:tc>
        <w:tc>
          <w:tcPr>
            <w:tcW w:w="423" w:type="dxa"/>
          </w:tcPr>
          <w:p>
            <w:pPr>
              <w:pStyle w:val="TableParagraph"/>
              <w:ind w:left="42" w:right="30"/>
              <w:jc w:val="center"/>
              <w:rPr>
                <w:i/>
                <w:sz w:val="13"/>
              </w:rPr>
            </w:pPr>
            <w:r>
              <w:rPr>
                <w:i/>
                <w:w w:val="105"/>
                <w:sz w:val="13"/>
              </w:rPr>
              <w:t>18,47</w:t>
            </w:r>
          </w:p>
        </w:tc>
        <w:tc>
          <w:tcPr>
            <w:tcW w:w="424" w:type="dxa"/>
          </w:tcPr>
          <w:p>
            <w:pPr>
              <w:pStyle w:val="TableParagraph"/>
              <w:ind w:left="42" w:right="31"/>
              <w:jc w:val="center"/>
              <w:rPr>
                <w:i/>
                <w:sz w:val="13"/>
              </w:rPr>
            </w:pPr>
            <w:r>
              <w:rPr>
                <w:i/>
                <w:w w:val="105"/>
                <w:sz w:val="13"/>
              </w:rPr>
              <w:t>15,95</w:t>
            </w:r>
          </w:p>
        </w:tc>
        <w:tc>
          <w:tcPr>
            <w:tcW w:w="436" w:type="dxa"/>
          </w:tcPr>
          <w:p>
            <w:pPr>
              <w:pStyle w:val="TableParagraph"/>
              <w:ind w:left="65"/>
              <w:rPr>
                <w:i/>
                <w:sz w:val="13"/>
              </w:rPr>
            </w:pPr>
            <w:r>
              <w:rPr>
                <w:i/>
                <w:w w:val="105"/>
                <w:sz w:val="13"/>
              </w:rPr>
              <w:t>21,00</w:t>
            </w:r>
          </w:p>
        </w:tc>
        <w:tc>
          <w:tcPr>
            <w:tcW w:w="461" w:type="dxa"/>
          </w:tcPr>
          <w:p>
            <w:pPr>
              <w:pStyle w:val="TableParagraph"/>
              <w:ind w:left="55" w:right="55"/>
              <w:jc w:val="center"/>
              <w:rPr>
                <w:i/>
                <w:sz w:val="13"/>
              </w:rPr>
            </w:pPr>
            <w:r>
              <w:rPr>
                <w:i/>
                <w:w w:val="105"/>
                <w:sz w:val="13"/>
              </w:rPr>
              <w:t>24,25</w:t>
            </w:r>
          </w:p>
        </w:tc>
        <w:tc>
          <w:tcPr>
            <w:tcW w:w="476" w:type="dxa"/>
          </w:tcPr>
          <w:p>
            <w:pPr>
              <w:pStyle w:val="TableParagraph"/>
              <w:ind w:left="32" w:right="18"/>
              <w:jc w:val="center"/>
              <w:rPr>
                <w:i/>
                <w:sz w:val="13"/>
              </w:rPr>
            </w:pPr>
            <w:r>
              <w:rPr>
                <w:i/>
                <w:w w:val="105"/>
                <w:sz w:val="13"/>
              </w:rPr>
              <w:t>33,76</w:t>
            </w:r>
          </w:p>
        </w:tc>
        <w:tc>
          <w:tcPr>
            <w:tcW w:w="450" w:type="dxa"/>
          </w:tcPr>
          <w:p>
            <w:pPr>
              <w:pStyle w:val="TableParagraph"/>
              <w:ind w:left="71" w:right="27"/>
              <w:jc w:val="center"/>
              <w:rPr>
                <w:i/>
                <w:sz w:val="13"/>
              </w:rPr>
            </w:pPr>
            <w:r>
              <w:rPr>
                <w:i/>
                <w:w w:val="105"/>
                <w:sz w:val="13"/>
              </w:rPr>
              <w:t>37,62</w:t>
            </w:r>
          </w:p>
        </w:tc>
        <w:tc>
          <w:tcPr>
            <w:tcW w:w="422" w:type="dxa"/>
            <w:tcBorders>
              <w:right w:val="single" w:sz="4" w:space="0" w:color="000000"/>
            </w:tcBorders>
          </w:tcPr>
          <w:p>
            <w:pPr>
              <w:pStyle w:val="TableParagraph"/>
              <w:ind w:right="40"/>
              <w:jc w:val="right"/>
              <w:rPr>
                <w:i/>
                <w:sz w:val="13"/>
              </w:rPr>
            </w:pPr>
            <w:r>
              <w:rPr>
                <w:i/>
                <w:sz w:val="13"/>
              </w:rPr>
              <w:t>43,36</w:t>
            </w:r>
          </w:p>
        </w:tc>
      </w:tr>
      <w:tr>
        <w:trPr>
          <w:trHeight w:val="204" w:hRule="atLeast"/>
        </w:trPr>
        <w:tc>
          <w:tcPr>
            <w:tcW w:w="1536" w:type="dxa"/>
            <w:tcBorders>
              <w:left w:val="single" w:sz="4" w:space="0" w:color="000000"/>
            </w:tcBorders>
          </w:tcPr>
          <w:p>
            <w:pPr>
              <w:pStyle w:val="TableParagraph"/>
              <w:spacing w:before="10"/>
              <w:ind w:left="57"/>
              <w:rPr>
                <w:sz w:val="13"/>
              </w:rPr>
            </w:pPr>
            <w:r>
              <w:rPr>
                <w:w w:val="105"/>
                <w:sz w:val="13"/>
              </w:rPr>
              <w:t>PMP CCAA</w:t>
            </w:r>
          </w:p>
        </w:tc>
        <w:tc>
          <w:tcPr>
            <w:tcW w:w="617" w:type="dxa"/>
          </w:tcPr>
          <w:p>
            <w:pPr>
              <w:pStyle w:val="TableParagraph"/>
              <w:spacing w:before="10"/>
              <w:ind w:right="93"/>
              <w:jc w:val="right"/>
              <w:rPr>
                <w:sz w:val="13"/>
              </w:rPr>
            </w:pPr>
            <w:r>
              <w:rPr>
                <w:sz w:val="13"/>
              </w:rPr>
              <w:t>25,33</w:t>
            </w:r>
          </w:p>
        </w:tc>
        <w:tc>
          <w:tcPr>
            <w:tcW w:w="466" w:type="dxa"/>
          </w:tcPr>
          <w:p>
            <w:pPr>
              <w:pStyle w:val="TableParagraph"/>
              <w:spacing w:before="10"/>
              <w:ind w:left="58" w:right="8"/>
              <w:jc w:val="center"/>
              <w:rPr>
                <w:sz w:val="13"/>
              </w:rPr>
            </w:pPr>
            <w:r>
              <w:rPr>
                <w:w w:val="105"/>
                <w:sz w:val="13"/>
              </w:rPr>
              <w:t>22,86</w:t>
            </w:r>
          </w:p>
        </w:tc>
        <w:tc>
          <w:tcPr>
            <w:tcW w:w="424" w:type="dxa"/>
          </w:tcPr>
          <w:p>
            <w:pPr>
              <w:pStyle w:val="TableParagraph"/>
              <w:spacing w:before="10"/>
              <w:ind w:left="42" w:right="31"/>
              <w:jc w:val="center"/>
              <w:rPr>
                <w:sz w:val="13"/>
              </w:rPr>
            </w:pPr>
            <w:r>
              <w:rPr>
                <w:w w:val="105"/>
                <w:sz w:val="13"/>
              </w:rPr>
              <w:t>21,39</w:t>
            </w:r>
          </w:p>
        </w:tc>
        <w:tc>
          <w:tcPr>
            <w:tcW w:w="453" w:type="dxa"/>
          </w:tcPr>
          <w:p>
            <w:pPr>
              <w:pStyle w:val="TableParagraph"/>
              <w:spacing w:before="10"/>
              <w:ind w:right="80"/>
              <w:jc w:val="right"/>
              <w:rPr>
                <w:sz w:val="13"/>
              </w:rPr>
            </w:pPr>
            <w:r>
              <w:rPr>
                <w:sz w:val="13"/>
              </w:rPr>
              <w:t>22,11</w:t>
            </w:r>
          </w:p>
        </w:tc>
        <w:tc>
          <w:tcPr>
            <w:tcW w:w="455" w:type="dxa"/>
          </w:tcPr>
          <w:p>
            <w:pPr>
              <w:pStyle w:val="TableParagraph"/>
              <w:spacing w:before="10"/>
              <w:ind w:left="95"/>
              <w:rPr>
                <w:sz w:val="13"/>
              </w:rPr>
            </w:pPr>
            <w:r>
              <w:rPr>
                <w:w w:val="105"/>
                <w:sz w:val="13"/>
              </w:rPr>
              <w:t>21,92</w:t>
            </w:r>
          </w:p>
        </w:tc>
        <w:tc>
          <w:tcPr>
            <w:tcW w:w="423" w:type="dxa"/>
          </w:tcPr>
          <w:p>
            <w:pPr>
              <w:pStyle w:val="TableParagraph"/>
              <w:spacing w:before="10"/>
              <w:ind w:left="42" w:right="30"/>
              <w:jc w:val="center"/>
              <w:rPr>
                <w:sz w:val="13"/>
              </w:rPr>
            </w:pPr>
            <w:r>
              <w:rPr>
                <w:w w:val="105"/>
                <w:sz w:val="13"/>
              </w:rPr>
              <w:t>22,34</w:t>
            </w:r>
          </w:p>
        </w:tc>
        <w:tc>
          <w:tcPr>
            <w:tcW w:w="424" w:type="dxa"/>
          </w:tcPr>
          <w:p>
            <w:pPr>
              <w:pStyle w:val="TableParagraph"/>
              <w:spacing w:before="10"/>
              <w:ind w:left="42" w:right="31"/>
              <w:jc w:val="center"/>
              <w:rPr>
                <w:sz w:val="13"/>
              </w:rPr>
            </w:pPr>
            <w:r>
              <w:rPr>
                <w:w w:val="105"/>
                <w:sz w:val="13"/>
              </w:rPr>
              <w:t>23,05</w:t>
            </w:r>
          </w:p>
        </w:tc>
        <w:tc>
          <w:tcPr>
            <w:tcW w:w="436" w:type="dxa"/>
          </w:tcPr>
          <w:p>
            <w:pPr>
              <w:pStyle w:val="TableParagraph"/>
              <w:spacing w:before="10"/>
              <w:ind w:left="65"/>
              <w:rPr>
                <w:sz w:val="13"/>
              </w:rPr>
            </w:pPr>
            <w:r>
              <w:rPr>
                <w:w w:val="105"/>
                <w:sz w:val="13"/>
              </w:rPr>
              <w:t>28,36</w:t>
            </w:r>
          </w:p>
        </w:tc>
        <w:tc>
          <w:tcPr>
            <w:tcW w:w="461" w:type="dxa"/>
          </w:tcPr>
          <w:p>
            <w:pPr>
              <w:pStyle w:val="TableParagraph"/>
              <w:spacing w:before="10"/>
              <w:ind w:left="55" w:right="55"/>
              <w:jc w:val="center"/>
              <w:rPr>
                <w:sz w:val="13"/>
              </w:rPr>
            </w:pPr>
            <w:r>
              <w:rPr>
                <w:w w:val="105"/>
                <w:sz w:val="13"/>
              </w:rPr>
              <w:t>28,47</w:t>
            </w:r>
          </w:p>
        </w:tc>
        <w:tc>
          <w:tcPr>
            <w:tcW w:w="476" w:type="dxa"/>
          </w:tcPr>
          <w:p>
            <w:pPr>
              <w:pStyle w:val="TableParagraph"/>
              <w:spacing w:before="10"/>
              <w:ind w:left="32" w:right="18"/>
              <w:jc w:val="center"/>
              <w:rPr>
                <w:sz w:val="13"/>
              </w:rPr>
            </w:pPr>
            <w:r>
              <w:rPr>
                <w:w w:val="105"/>
                <w:sz w:val="13"/>
              </w:rPr>
              <w:t>30,08</w:t>
            </w:r>
          </w:p>
        </w:tc>
        <w:tc>
          <w:tcPr>
            <w:tcW w:w="450" w:type="dxa"/>
          </w:tcPr>
          <w:p>
            <w:pPr>
              <w:pStyle w:val="TableParagraph"/>
              <w:spacing w:before="10"/>
              <w:ind w:left="71" w:right="27"/>
              <w:jc w:val="center"/>
              <w:rPr>
                <w:sz w:val="13"/>
              </w:rPr>
            </w:pPr>
            <w:r>
              <w:rPr>
                <w:w w:val="105"/>
                <w:sz w:val="13"/>
              </w:rPr>
              <w:t>29,19</w:t>
            </w:r>
          </w:p>
        </w:tc>
        <w:tc>
          <w:tcPr>
            <w:tcW w:w="422" w:type="dxa"/>
            <w:tcBorders>
              <w:right w:val="single" w:sz="4" w:space="0" w:color="000000"/>
            </w:tcBorders>
          </w:tcPr>
          <w:p>
            <w:pPr>
              <w:pStyle w:val="TableParagraph"/>
              <w:spacing w:before="10"/>
              <w:ind w:right="40"/>
              <w:jc w:val="right"/>
              <w:rPr>
                <w:sz w:val="13"/>
              </w:rPr>
            </w:pPr>
            <w:r>
              <w:rPr>
                <w:sz w:val="13"/>
              </w:rPr>
              <w:t>26,9</w:t>
            </w:r>
          </w:p>
        </w:tc>
      </w:tr>
      <w:tr>
        <w:trPr>
          <w:trHeight w:val="199" w:hRule="atLeast"/>
        </w:trPr>
        <w:tc>
          <w:tcPr>
            <w:tcW w:w="1536" w:type="dxa"/>
            <w:tcBorders>
              <w:left w:val="single" w:sz="4" w:space="0" w:color="000000"/>
              <w:bottom w:val="single" w:sz="4" w:space="0" w:color="000000"/>
            </w:tcBorders>
          </w:tcPr>
          <w:p>
            <w:pPr>
              <w:pStyle w:val="TableParagraph"/>
              <w:spacing w:before="13"/>
              <w:ind w:left="57"/>
              <w:rPr>
                <w:i/>
                <w:sz w:val="13"/>
              </w:rPr>
            </w:pPr>
            <w:r>
              <w:rPr>
                <w:i/>
                <w:w w:val="105"/>
                <w:sz w:val="13"/>
              </w:rPr>
              <w:t>PMP sanitario CCAA</w:t>
            </w:r>
          </w:p>
        </w:tc>
        <w:tc>
          <w:tcPr>
            <w:tcW w:w="617" w:type="dxa"/>
            <w:tcBorders>
              <w:bottom w:val="single" w:sz="4" w:space="0" w:color="000000"/>
            </w:tcBorders>
          </w:tcPr>
          <w:p>
            <w:pPr>
              <w:pStyle w:val="TableParagraph"/>
              <w:spacing w:before="13"/>
              <w:ind w:right="93"/>
              <w:jc w:val="right"/>
              <w:rPr>
                <w:i/>
                <w:sz w:val="13"/>
              </w:rPr>
            </w:pPr>
            <w:r>
              <w:rPr>
                <w:i/>
                <w:sz w:val="13"/>
              </w:rPr>
              <w:t>25,2</w:t>
            </w:r>
          </w:p>
        </w:tc>
        <w:tc>
          <w:tcPr>
            <w:tcW w:w="466" w:type="dxa"/>
            <w:tcBorders>
              <w:bottom w:val="single" w:sz="4" w:space="0" w:color="000000"/>
            </w:tcBorders>
          </w:tcPr>
          <w:p>
            <w:pPr>
              <w:pStyle w:val="TableParagraph"/>
              <w:spacing w:before="13"/>
              <w:ind w:left="58" w:right="8"/>
              <w:jc w:val="center"/>
              <w:rPr>
                <w:i/>
                <w:sz w:val="13"/>
              </w:rPr>
            </w:pPr>
            <w:r>
              <w:rPr>
                <w:i/>
                <w:w w:val="105"/>
                <w:sz w:val="13"/>
              </w:rPr>
              <w:t>22,22</w:t>
            </w:r>
          </w:p>
        </w:tc>
        <w:tc>
          <w:tcPr>
            <w:tcW w:w="424" w:type="dxa"/>
            <w:tcBorders>
              <w:bottom w:val="single" w:sz="4" w:space="0" w:color="000000"/>
            </w:tcBorders>
          </w:tcPr>
          <w:p>
            <w:pPr>
              <w:pStyle w:val="TableParagraph"/>
              <w:spacing w:before="13"/>
              <w:ind w:left="110" w:right="31"/>
              <w:jc w:val="center"/>
              <w:rPr>
                <w:i/>
                <w:sz w:val="13"/>
              </w:rPr>
            </w:pPr>
            <w:r>
              <w:rPr>
                <w:i/>
                <w:w w:val="105"/>
                <w:sz w:val="13"/>
              </w:rPr>
              <w:t>21,1</w:t>
            </w:r>
          </w:p>
        </w:tc>
        <w:tc>
          <w:tcPr>
            <w:tcW w:w="453" w:type="dxa"/>
            <w:tcBorders>
              <w:bottom w:val="single" w:sz="4" w:space="0" w:color="000000"/>
            </w:tcBorders>
          </w:tcPr>
          <w:p>
            <w:pPr>
              <w:pStyle w:val="TableParagraph"/>
              <w:spacing w:before="13"/>
              <w:ind w:right="80"/>
              <w:jc w:val="right"/>
              <w:rPr>
                <w:i/>
                <w:sz w:val="13"/>
              </w:rPr>
            </w:pPr>
            <w:r>
              <w:rPr>
                <w:i/>
                <w:sz w:val="13"/>
              </w:rPr>
              <w:t>20,84</w:t>
            </w:r>
          </w:p>
        </w:tc>
        <w:tc>
          <w:tcPr>
            <w:tcW w:w="455" w:type="dxa"/>
            <w:tcBorders>
              <w:bottom w:val="single" w:sz="4" w:space="0" w:color="000000"/>
            </w:tcBorders>
          </w:tcPr>
          <w:p>
            <w:pPr>
              <w:pStyle w:val="TableParagraph"/>
              <w:spacing w:before="13"/>
              <w:ind w:left="95"/>
              <w:rPr>
                <w:i/>
                <w:sz w:val="13"/>
              </w:rPr>
            </w:pPr>
            <w:r>
              <w:rPr>
                <w:i/>
                <w:w w:val="105"/>
                <w:sz w:val="13"/>
              </w:rPr>
              <w:t>20,83</w:t>
            </w:r>
          </w:p>
        </w:tc>
        <w:tc>
          <w:tcPr>
            <w:tcW w:w="423" w:type="dxa"/>
            <w:tcBorders>
              <w:bottom w:val="single" w:sz="4" w:space="0" w:color="000000"/>
            </w:tcBorders>
          </w:tcPr>
          <w:p>
            <w:pPr>
              <w:pStyle w:val="TableParagraph"/>
              <w:spacing w:before="13"/>
              <w:ind w:left="42" w:right="30"/>
              <w:jc w:val="center"/>
              <w:rPr>
                <w:i/>
                <w:sz w:val="13"/>
              </w:rPr>
            </w:pPr>
            <w:r>
              <w:rPr>
                <w:i/>
                <w:w w:val="105"/>
                <w:sz w:val="13"/>
              </w:rPr>
              <w:t>21,62</w:t>
            </w:r>
          </w:p>
        </w:tc>
        <w:tc>
          <w:tcPr>
            <w:tcW w:w="424" w:type="dxa"/>
            <w:tcBorders>
              <w:bottom w:val="single" w:sz="4" w:space="0" w:color="000000"/>
            </w:tcBorders>
          </w:tcPr>
          <w:p>
            <w:pPr>
              <w:pStyle w:val="TableParagraph"/>
              <w:spacing w:before="13"/>
              <w:ind w:left="42" w:right="31"/>
              <w:jc w:val="center"/>
              <w:rPr>
                <w:i/>
                <w:sz w:val="13"/>
              </w:rPr>
            </w:pPr>
            <w:r>
              <w:rPr>
                <w:i/>
                <w:w w:val="105"/>
                <w:sz w:val="13"/>
              </w:rPr>
              <w:t>22,46</w:t>
            </w:r>
          </w:p>
        </w:tc>
        <w:tc>
          <w:tcPr>
            <w:tcW w:w="436" w:type="dxa"/>
            <w:tcBorders>
              <w:bottom w:val="single" w:sz="4" w:space="0" w:color="000000"/>
            </w:tcBorders>
          </w:tcPr>
          <w:p>
            <w:pPr>
              <w:pStyle w:val="TableParagraph"/>
              <w:spacing w:before="13"/>
              <w:ind w:left="65"/>
              <w:rPr>
                <w:i/>
                <w:sz w:val="13"/>
              </w:rPr>
            </w:pPr>
            <w:r>
              <w:rPr>
                <w:i/>
                <w:w w:val="105"/>
                <w:sz w:val="13"/>
              </w:rPr>
              <w:t>27,69</w:t>
            </w:r>
          </w:p>
        </w:tc>
        <w:tc>
          <w:tcPr>
            <w:tcW w:w="461" w:type="dxa"/>
            <w:tcBorders>
              <w:bottom w:val="single" w:sz="4" w:space="0" w:color="000000"/>
            </w:tcBorders>
          </w:tcPr>
          <w:p>
            <w:pPr>
              <w:pStyle w:val="TableParagraph"/>
              <w:spacing w:before="13"/>
              <w:ind w:left="55" w:right="55"/>
              <w:jc w:val="center"/>
              <w:rPr>
                <w:i/>
                <w:sz w:val="13"/>
              </w:rPr>
            </w:pPr>
            <w:r>
              <w:rPr>
                <w:i/>
                <w:w w:val="105"/>
                <w:sz w:val="13"/>
              </w:rPr>
              <w:t>29,53</w:t>
            </w:r>
          </w:p>
        </w:tc>
        <w:tc>
          <w:tcPr>
            <w:tcW w:w="476" w:type="dxa"/>
            <w:tcBorders>
              <w:bottom w:val="single" w:sz="4" w:space="0" w:color="000000"/>
            </w:tcBorders>
          </w:tcPr>
          <w:p>
            <w:pPr>
              <w:pStyle w:val="TableParagraph"/>
              <w:spacing w:before="13"/>
              <w:ind w:left="32" w:right="18"/>
              <w:jc w:val="center"/>
              <w:rPr>
                <w:i/>
                <w:sz w:val="13"/>
              </w:rPr>
            </w:pPr>
            <w:r>
              <w:rPr>
                <w:i/>
                <w:w w:val="105"/>
                <w:sz w:val="13"/>
              </w:rPr>
              <w:t>32,76</w:t>
            </w:r>
          </w:p>
        </w:tc>
        <w:tc>
          <w:tcPr>
            <w:tcW w:w="450" w:type="dxa"/>
            <w:tcBorders>
              <w:bottom w:val="single" w:sz="4" w:space="0" w:color="000000"/>
            </w:tcBorders>
          </w:tcPr>
          <w:p>
            <w:pPr>
              <w:pStyle w:val="TableParagraph"/>
              <w:spacing w:before="13"/>
              <w:ind w:left="71" w:right="27"/>
              <w:jc w:val="center"/>
              <w:rPr>
                <w:i/>
                <w:sz w:val="13"/>
              </w:rPr>
            </w:pPr>
            <w:r>
              <w:rPr>
                <w:i/>
                <w:w w:val="105"/>
                <w:sz w:val="13"/>
              </w:rPr>
              <w:t>33,06</w:t>
            </w:r>
          </w:p>
        </w:tc>
        <w:tc>
          <w:tcPr>
            <w:tcW w:w="422" w:type="dxa"/>
            <w:tcBorders>
              <w:bottom w:val="single" w:sz="4" w:space="0" w:color="000000"/>
              <w:right w:val="single" w:sz="4" w:space="0" w:color="000000"/>
            </w:tcBorders>
          </w:tcPr>
          <w:p>
            <w:pPr>
              <w:pStyle w:val="TableParagraph"/>
              <w:spacing w:before="13"/>
              <w:ind w:right="40"/>
              <w:jc w:val="right"/>
              <w:rPr>
                <w:i/>
                <w:sz w:val="13"/>
              </w:rPr>
            </w:pPr>
            <w:r>
              <w:rPr>
                <w:i/>
                <w:sz w:val="13"/>
              </w:rPr>
              <w:t>32,56</w:t>
            </w:r>
          </w:p>
        </w:tc>
      </w:tr>
    </w:tbl>
    <w:p>
      <w:pPr>
        <w:spacing w:line="249" w:lineRule="auto" w:before="3"/>
        <w:ind w:left="2336" w:right="1201" w:firstLine="0"/>
        <w:jc w:val="left"/>
        <w:rPr>
          <w:sz w:val="13"/>
        </w:rPr>
      </w:pPr>
      <w:r>
        <w:rPr>
          <w:w w:val="105"/>
          <w:sz w:val="13"/>
        </w:rPr>
        <w:t>Fuente: Informe Ministerio de Hacienda y Función Pública “Plazos de pagos a proveedores y deuda comercial de las CCAA. Ejercicio 2022”. Mayo</w:t>
      </w:r>
      <w:r>
        <w:rPr>
          <w:spacing w:val="-4"/>
          <w:w w:val="105"/>
          <w:sz w:val="13"/>
        </w:rPr>
        <w:t> </w:t>
      </w:r>
      <w:r>
        <w:rPr>
          <w:w w:val="105"/>
          <w:sz w:val="13"/>
        </w:rPr>
        <w:t>2023.</w:t>
      </w:r>
    </w:p>
    <w:p>
      <w:pPr>
        <w:pStyle w:val="BodyText"/>
      </w:pPr>
    </w:p>
    <w:p>
      <w:pPr>
        <w:pStyle w:val="BodyText"/>
      </w:pPr>
    </w:p>
    <w:p>
      <w:pPr>
        <w:pStyle w:val="BodyText"/>
      </w:pPr>
    </w:p>
    <w:p>
      <w:pPr>
        <w:pStyle w:val="BodyText"/>
        <w:spacing w:before="3"/>
        <w:rPr>
          <w:sz w:val="15"/>
        </w:rPr>
      </w:pPr>
      <w:r>
        <w:rPr/>
        <w:pict>
          <v:shape style="position:absolute;margin-left:142.958206pt;margin-top:11.634229pt;width:120.95pt;height:.1pt;mso-position-horizontal-relative:page;mso-position-vertical-relative:paragraph;z-index:-251436032;mso-wrap-distance-left:0;mso-wrap-distance-right:0" coordorigin="2859,233" coordsize="2419,0" path="m2859,233l5278,233e" filled="false" stroked="true" strokeweight=".604484pt" strokecolor="#000000">
            <v:path arrowok="t"/>
            <v:stroke dashstyle="solid"/>
            <w10:wrap type="topAndBottom"/>
          </v:shape>
        </w:pict>
      </w:r>
    </w:p>
    <w:p>
      <w:pPr>
        <w:spacing w:line="207" w:lineRule="exact" w:before="49"/>
        <w:ind w:left="2099" w:right="0" w:firstLine="0"/>
        <w:jc w:val="left"/>
        <w:rPr>
          <w:sz w:val="16"/>
        </w:rPr>
      </w:pPr>
      <w:r>
        <w:rPr>
          <w:w w:val="105"/>
          <w:position w:val="6"/>
          <w:sz w:val="11"/>
        </w:rPr>
        <w:t>43 </w:t>
      </w:r>
      <w:r>
        <w:rPr>
          <w:w w:val="105"/>
          <w:sz w:val="16"/>
        </w:rPr>
        <w:t>Ver epígrafe 7.4</w:t>
      </w:r>
      <w:r>
        <w:rPr>
          <w:spacing w:val="-6"/>
          <w:w w:val="105"/>
          <w:sz w:val="16"/>
        </w:rPr>
        <w:t> </w:t>
      </w:r>
      <w:r>
        <w:rPr>
          <w:w w:val="105"/>
          <w:sz w:val="16"/>
        </w:rPr>
        <w:t>Avales.</w:t>
      </w:r>
    </w:p>
    <w:p>
      <w:pPr>
        <w:spacing w:line="252" w:lineRule="auto" w:before="0"/>
        <w:ind w:left="2099" w:right="1067" w:firstLine="0"/>
        <w:jc w:val="left"/>
        <w:rPr>
          <w:sz w:val="16"/>
        </w:rPr>
      </w:pPr>
      <w:r>
        <w:rPr>
          <w:w w:val="105"/>
          <w:position w:val="6"/>
          <w:sz w:val="11"/>
        </w:rPr>
        <w:t>44 </w:t>
      </w:r>
      <w:r>
        <w:rPr>
          <w:w w:val="105"/>
          <w:sz w:val="16"/>
        </w:rPr>
        <w:t>Ley 3/2004, de 29 de diciembre, modificada posteriormente por la Ley 15/2010, de 5 de julio; el RD-Ley 4/2013, de 22 de febrero y la Ley 11/2013, de 26 de julio.</w:t>
      </w:r>
    </w:p>
    <w:p>
      <w:pPr>
        <w:pStyle w:val="BodyText"/>
        <w:spacing w:line="236" w:lineRule="exact"/>
        <w:ind w:left="7787"/>
        <w:jc w:val="center"/>
      </w:pPr>
      <w:r>
        <w:rPr/>
        <w:t>150</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15" name="image5.png"/>
                  <wp:cNvGraphicFramePr>
                    <a:graphicFrameLocks noChangeAspect="1"/>
                  </wp:cNvGraphicFramePr>
                  <a:graphic>
                    <a:graphicData uri="http://schemas.openxmlformats.org/drawingml/2006/picture">
                      <pic:pic>
                        <pic:nvPicPr>
                          <pic:cNvPr id="31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152/247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6"/>
        <w:rPr>
          <w:b/>
          <w:sz w:val="26"/>
        </w:rPr>
      </w:pPr>
    </w:p>
    <w:p>
      <w:pPr>
        <w:pStyle w:val="BodyText"/>
        <w:spacing w:line="242" w:lineRule="auto" w:before="74"/>
        <w:ind w:left="2336" w:right="1142" w:hanging="238"/>
        <w:jc w:val="both"/>
      </w:pPr>
      <w:r>
        <w:rPr/>
        <w:t>3. A continuación, se muestran los de datos de avance</w:t>
      </w:r>
      <w:r>
        <w:rPr>
          <w:position w:val="7"/>
          <w:sz w:val="13"/>
        </w:rPr>
        <w:t>45 </w:t>
      </w:r>
      <w:r>
        <w:rPr/>
        <w:t>de enero a junio de 2023 del PMP total y sanitario de Canarias que continúan al alza en el primer cuatrimestre siendo a partir del mes de mayo cuando se regresa al cumplimiento de los plazos máximos de pago.</w:t>
      </w:r>
    </w:p>
    <w:p>
      <w:pPr>
        <w:pStyle w:val="BodyText"/>
        <w:spacing w:before="3"/>
        <w:rPr>
          <w:sz w:val="15"/>
        </w:rPr>
      </w:pPr>
      <w:r>
        <w:rPr/>
        <w:pict>
          <v:group style="position:absolute;margin-left:196.356552pt;margin-top:11.281835pt;width:250.05pt;height:17.3pt;mso-position-horizontal-relative:page;mso-position-vertical-relative:paragraph;z-index:-251432960;mso-wrap-distance-left:0;mso-wrap-distance-right:0" coordorigin="3927,226" coordsize="5001,346">
            <v:rect style="position:absolute;left:3927;top:371;width:1786;height:200" filled="true" fillcolor="#d9e1f3" stroked="false">
              <v:fill type="solid"/>
            </v:rect>
            <v:rect style="position:absolute;left:3985;top:397;width:1669;height:174" filled="true" fillcolor="#d9e1f3" stroked="false">
              <v:fill type="solid"/>
            </v:rect>
            <v:rect style="position:absolute;left:5712;top:371;width:595;height:200" filled="true" fillcolor="#d9e1f3" stroked="false">
              <v:fill type="solid"/>
            </v:rect>
            <v:rect style="position:absolute;left:5771;top:383;width:478;height:176" filled="true" fillcolor="#d9e1f3" stroked="false">
              <v:fill type="solid"/>
            </v:rect>
            <v:rect style="position:absolute;left:6307;top:371;width:718;height:200" filled="true" fillcolor="#d9e1f3" stroked="false">
              <v:fill type="solid"/>
            </v:rect>
            <v:rect style="position:absolute;left:6365;top:383;width:599;height:176" filled="true" fillcolor="#d9e1f3" stroked="false">
              <v:fill type="solid"/>
            </v:rect>
            <v:rect style="position:absolute;left:7025;top:371;width:655;height:200" filled="true" fillcolor="#d9e1f3" stroked="false">
              <v:fill type="solid"/>
            </v:rect>
            <v:rect style="position:absolute;left:7083;top:383;width:539;height:176" filled="true" fillcolor="#d9e1f3" stroked="false">
              <v:fill type="solid"/>
            </v:rect>
            <v:rect style="position:absolute;left:7679;top:371;width:655;height:200" filled="true" fillcolor="#d9e1f3" stroked="false">
              <v:fill type="solid"/>
            </v:rect>
            <v:rect style="position:absolute;left:7738;top:383;width:539;height:176" filled="true" fillcolor="#d9e1f3" stroked="false">
              <v:fill type="solid"/>
            </v:rect>
            <v:rect style="position:absolute;left:8334;top:371;width:593;height:200" filled="true" fillcolor="#d9e1f3" stroked="false">
              <v:fill type="solid"/>
            </v:rect>
            <v:rect style="position:absolute;left:8395;top:383;width:474;height:176" filled="true" fillcolor="#d9e1f3" stroked="false">
              <v:fill type="solid"/>
            </v:rect>
            <v:line style="position:absolute" from="3927,367" to="5713,367" stroked="true" strokeweight=".403006pt" strokecolor="#000000">
              <v:stroke dashstyle="solid"/>
            </v:line>
            <v:rect style="position:absolute;left:5712;top:363;width:9;height:9" filled="true" fillcolor="#000000" stroked="false">
              <v:fill type="solid"/>
            </v:rect>
            <v:line style="position:absolute" from="5721,367" to="6307,367" stroked="true" strokeweight=".403006pt" strokecolor="#000000">
              <v:stroke dashstyle="solid"/>
            </v:line>
            <v:rect style="position:absolute;left:6307;top:363;width:9;height:9" filled="true" fillcolor="#000000" stroked="false">
              <v:fill type="solid"/>
            </v:rect>
            <v:line style="position:absolute" from="6315,367" to="7025,367" stroked="true" strokeweight=".403006pt" strokecolor="#000000">
              <v:stroke dashstyle="solid"/>
            </v:line>
            <v:rect style="position:absolute;left:7025;top:363;width:9;height:9" filled="true" fillcolor="#000000" stroked="false">
              <v:fill type="solid"/>
            </v:rect>
            <v:line style="position:absolute" from="7033,367" to="7680,367" stroked="true" strokeweight=".403006pt" strokecolor="#000000">
              <v:stroke dashstyle="solid"/>
            </v:line>
            <v:rect style="position:absolute;left:7679;top:363;width:9;height:9" filled="true" fillcolor="#000000" stroked="false">
              <v:fill type="solid"/>
            </v:rect>
            <v:line style="position:absolute" from="7688,367" to="8337,367" stroked="true" strokeweight=".403006pt" strokecolor="#000000">
              <v:stroke dashstyle="solid"/>
            </v:line>
            <v:rect style="position:absolute;left:8336;top:363;width:9;height:9" filled="true" fillcolor="#000000" stroked="false">
              <v:fill type="solid"/>
            </v:rect>
            <v:line style="position:absolute" from="8345,367" to="8928,367" stroked="true" strokeweight=".403006pt" strokecolor="#000000">
              <v:stroke dashstyle="solid"/>
            </v:line>
            <v:shape style="position:absolute;left:3985;top:425;width:790;height:135" type="#_x0000_t202" filled="false" stroked="false">
              <v:textbox inset="0,0,0,0">
                <w:txbxContent>
                  <w:p>
                    <w:pPr>
                      <w:spacing w:line="135" w:lineRule="exact" w:before="0"/>
                      <w:ind w:left="0" w:right="0" w:firstLine="0"/>
                      <w:jc w:val="left"/>
                      <w:rPr>
                        <w:b/>
                        <w:sz w:val="13"/>
                      </w:rPr>
                    </w:pPr>
                    <w:r>
                      <w:rPr>
                        <w:b/>
                        <w:w w:val="105"/>
                        <w:sz w:val="13"/>
                      </w:rPr>
                      <w:t>Ejercicio 2023</w:t>
                    </w:r>
                  </w:p>
                </w:txbxContent>
              </v:textbox>
              <w10:wrap type="none"/>
            </v:shape>
            <v:shape style="position:absolute;left:5924;top:225;width:2967;height:321" type="#_x0000_t202" filled="false" stroked="false">
              <v:textbox inset="0,0,0,0">
                <w:txbxContent>
                  <w:p>
                    <w:pPr>
                      <w:spacing w:line="136" w:lineRule="exact" w:before="0"/>
                      <w:ind w:left="0" w:right="19" w:firstLine="0"/>
                      <w:jc w:val="right"/>
                      <w:rPr>
                        <w:b/>
                        <w:sz w:val="13"/>
                      </w:rPr>
                    </w:pPr>
                    <w:r>
                      <w:rPr>
                        <w:b/>
                        <w:spacing w:val="-1"/>
                        <w:sz w:val="13"/>
                      </w:rPr>
                      <w:t>Días</w:t>
                    </w:r>
                  </w:p>
                  <w:p>
                    <w:pPr>
                      <w:tabs>
                        <w:tab w:pos="602" w:val="left" w:leader="none"/>
                        <w:tab w:pos="1340" w:val="left" w:leader="none"/>
                        <w:tab w:pos="2083" w:val="left" w:leader="none"/>
                        <w:tab w:pos="2623" w:val="left" w:leader="none"/>
                      </w:tabs>
                      <w:spacing w:line="158" w:lineRule="exact" w:before="26"/>
                      <w:ind w:left="0" w:right="18" w:firstLine="0"/>
                      <w:jc w:val="right"/>
                      <w:rPr>
                        <w:b/>
                        <w:sz w:val="13"/>
                      </w:rPr>
                    </w:pPr>
                    <w:r>
                      <w:rPr>
                        <w:b/>
                        <w:w w:val="105"/>
                        <w:sz w:val="13"/>
                      </w:rPr>
                      <w:t>Enero</w:t>
                      <w:tab/>
                      <w:t>Febrero</w:t>
                      <w:tab/>
                      <w:t>Marzo</w:t>
                      <w:tab/>
                      <w:t>Abril</w:t>
                      <w:tab/>
                    </w:r>
                    <w:r>
                      <w:rPr>
                        <w:b/>
                        <w:spacing w:val="-5"/>
                        <w:sz w:val="13"/>
                      </w:rPr>
                      <w:t>Mayo</w:t>
                    </w:r>
                  </w:p>
                </w:txbxContent>
              </v:textbox>
              <w10:wrap type="none"/>
            </v:shape>
            <w10:wrap type="topAndBottom"/>
          </v:group>
        </w:pict>
      </w:r>
    </w:p>
    <w:p>
      <w:pPr>
        <w:tabs>
          <w:tab w:pos="5182" w:val="left" w:leader="none"/>
          <w:tab w:pos="5898" w:val="left" w:leader="none"/>
          <w:tab w:pos="6555" w:val="left" w:leader="none"/>
          <w:tab w:pos="7210" w:val="left" w:leader="none"/>
          <w:tab w:pos="7802" w:val="left" w:leader="none"/>
        </w:tabs>
        <w:spacing w:line="161" w:lineRule="exact" w:before="0"/>
        <w:ind w:left="3225" w:right="0" w:firstLine="0"/>
        <w:jc w:val="left"/>
        <w:rPr>
          <w:sz w:val="13"/>
        </w:rPr>
      </w:pPr>
      <w:r>
        <w:rPr>
          <w:w w:val="105"/>
          <w:sz w:val="13"/>
        </w:rPr>
        <w:t>PMP</w:t>
      </w:r>
      <w:r>
        <w:rPr>
          <w:spacing w:val="-5"/>
          <w:w w:val="105"/>
          <w:sz w:val="13"/>
        </w:rPr>
        <w:t> </w:t>
      </w:r>
      <w:r>
        <w:rPr>
          <w:w w:val="105"/>
          <w:sz w:val="13"/>
        </w:rPr>
        <w:t>Canarias</w:t>
        <w:tab/>
      </w:r>
      <w:r>
        <w:rPr>
          <w:w w:val="105"/>
          <w:position w:val="1"/>
          <w:sz w:val="13"/>
        </w:rPr>
        <w:t>27,40</w:t>
        <w:tab/>
        <w:t>33,33</w:t>
        <w:tab/>
        <w:t>35,10</w:t>
        <w:tab/>
        <w:t>37,02</w:t>
        <w:tab/>
        <w:t>16,56</w:t>
      </w:r>
    </w:p>
    <w:p>
      <w:pPr>
        <w:tabs>
          <w:tab w:pos="5182" w:val="left" w:leader="none"/>
          <w:tab w:pos="5898" w:val="left" w:leader="none"/>
          <w:tab w:pos="6555" w:val="left" w:leader="none"/>
          <w:tab w:pos="7210" w:val="left" w:leader="none"/>
          <w:tab w:pos="7802" w:val="left" w:leader="none"/>
        </w:tabs>
        <w:spacing w:before="30" w:after="11"/>
        <w:ind w:left="3225" w:right="0" w:firstLine="0"/>
        <w:jc w:val="left"/>
        <w:rPr>
          <w:sz w:val="13"/>
        </w:rPr>
      </w:pPr>
      <w:r>
        <w:rPr>
          <w:w w:val="105"/>
          <w:sz w:val="13"/>
        </w:rPr>
        <w:t>PMP</w:t>
      </w:r>
      <w:r>
        <w:rPr>
          <w:spacing w:val="-7"/>
          <w:w w:val="105"/>
          <w:sz w:val="13"/>
        </w:rPr>
        <w:t> </w:t>
      </w:r>
      <w:r>
        <w:rPr>
          <w:w w:val="105"/>
          <w:sz w:val="13"/>
        </w:rPr>
        <w:t>sanitario</w:t>
      </w:r>
      <w:r>
        <w:rPr>
          <w:spacing w:val="-6"/>
          <w:w w:val="105"/>
          <w:sz w:val="13"/>
        </w:rPr>
        <w:t> </w:t>
      </w:r>
      <w:r>
        <w:rPr>
          <w:w w:val="105"/>
          <w:sz w:val="13"/>
        </w:rPr>
        <w:t>Canarias</w:t>
        <w:tab/>
      </w:r>
      <w:r>
        <w:rPr>
          <w:w w:val="105"/>
          <w:position w:val="1"/>
          <w:sz w:val="13"/>
        </w:rPr>
        <w:t>37,77</w:t>
        <w:tab/>
        <w:t>38,78</w:t>
        <w:tab/>
        <w:t>40,62</w:t>
        <w:tab/>
        <w:t>43,77</w:t>
        <w:tab/>
        <w:t>15,68</w:t>
      </w:r>
    </w:p>
    <w:p>
      <w:pPr>
        <w:pStyle w:val="BodyText"/>
        <w:spacing w:line="20" w:lineRule="exact"/>
        <w:ind w:left="3150"/>
        <w:rPr>
          <w:sz w:val="2"/>
        </w:rPr>
      </w:pPr>
      <w:r>
        <w:rPr>
          <w:sz w:val="2"/>
        </w:rPr>
        <w:pict>
          <v:group style="width:250.65pt;height:.45pt;mso-position-horizontal-relative:char;mso-position-vertical-relative:line" coordorigin="0,0" coordsize="5013,9">
            <v:line style="position:absolute" from="0,4" to="1798,4" stroked="true" strokeweight=".403006pt" strokecolor="#000000">
              <v:stroke dashstyle="solid"/>
            </v:line>
            <v:rect style="position:absolute;left:1785;top:0;width:9;height:9" filled="true" fillcolor="#000000" stroked="false">
              <v:fill type="solid"/>
            </v:rect>
            <v:line style="position:absolute" from="1794,4" to="2392,4" stroked="true" strokeweight=".403006pt" strokecolor="#000000">
              <v:stroke dashstyle="solid"/>
            </v:line>
            <v:rect style="position:absolute;left:2380;top:0;width:9;height:9" filled="true" fillcolor="#000000" stroked="false">
              <v:fill type="solid"/>
            </v:rect>
            <v:line style="position:absolute" from="2388,4" to="3110,4" stroked="true" strokeweight=".403006pt" strokecolor="#000000">
              <v:stroke dashstyle="solid"/>
            </v:line>
            <v:rect style="position:absolute;left:3097;top:0;width:9;height:9" filled="true" fillcolor="#000000" stroked="false">
              <v:fill type="solid"/>
            </v:rect>
            <v:line style="position:absolute" from="3106,4" to="3765,4" stroked="true" strokeweight=".403006pt" strokecolor="#000000">
              <v:stroke dashstyle="solid"/>
            </v:line>
            <v:rect style="position:absolute;left:3752;top:0;width:9;height:9" filled="true" fillcolor="#000000" stroked="false">
              <v:fill type="solid"/>
            </v:rect>
            <v:line style="position:absolute" from="3761,4" to="4422,4" stroked="true" strokeweight=".403006pt" strokecolor="#000000">
              <v:stroke dashstyle="solid"/>
            </v:line>
            <v:rect style="position:absolute;left:4409;top:0;width:9;height:9" filled="true" fillcolor="#000000" stroked="false">
              <v:fill type="solid"/>
            </v:rect>
            <v:line style="position:absolute" from="4418,4" to="5013,4" stroked="true" strokeweight=".403006pt" strokecolor="#000000">
              <v:stroke dashstyle="solid"/>
            </v:line>
          </v:group>
        </w:pict>
      </w:r>
      <w:r>
        <w:rPr>
          <w:sz w:val="2"/>
        </w:rPr>
      </w:r>
    </w:p>
    <w:p>
      <w:pPr>
        <w:pStyle w:val="BodyText"/>
        <w:spacing w:before="9"/>
        <w:rPr>
          <w:sz w:val="10"/>
        </w:rPr>
      </w:pPr>
    </w:p>
    <w:p>
      <w:pPr>
        <w:pStyle w:val="Heading1"/>
        <w:numPr>
          <w:ilvl w:val="1"/>
          <w:numId w:val="95"/>
        </w:numPr>
        <w:tabs>
          <w:tab w:pos="2582" w:val="left" w:leader="none"/>
          <w:tab w:pos="2583" w:val="left" w:leader="none"/>
        </w:tabs>
        <w:spacing w:line="240" w:lineRule="auto" w:before="61" w:after="0"/>
        <w:ind w:left="2582" w:right="0" w:hanging="484"/>
        <w:jc w:val="left"/>
      </w:pPr>
      <w:r>
        <w:rPr>
          <w:color w:val="53A1B9"/>
        </w:rPr>
        <w:t>Avales.</w:t>
      </w:r>
    </w:p>
    <w:p>
      <w:pPr>
        <w:pStyle w:val="BodyText"/>
        <w:spacing w:before="7"/>
        <w:rPr>
          <w:b/>
          <w:sz w:val="16"/>
        </w:rPr>
      </w:pPr>
    </w:p>
    <w:p>
      <w:pPr>
        <w:pStyle w:val="BodyText"/>
        <w:spacing w:before="1"/>
        <w:ind w:left="2099" w:right="1143" w:firstLine="594"/>
        <w:jc w:val="both"/>
      </w:pPr>
      <w:r>
        <w:rPr/>
        <w:t>El Art. 65.1.a) de la Ley 6/2021,de 28 de diciembre, de Presupuestos Generales de la CAC para 2022, mantiene la posibilidad de conceder avales a las sociedades de garantía recíproca hasta una cuantía máxima de 25 millones de €, para el reafianzamiento destinado a cubrir los fallidos de las operaciones de aval financiero otorgadas</w:t>
      </w:r>
      <w:r>
        <w:rPr>
          <w:spacing w:val="-4"/>
        </w:rPr>
        <w:t> </w:t>
      </w:r>
      <w:r>
        <w:rPr/>
        <w:t>por</w:t>
      </w:r>
      <w:r>
        <w:rPr>
          <w:spacing w:val="-3"/>
        </w:rPr>
        <w:t> </w:t>
      </w:r>
      <w:r>
        <w:rPr/>
        <w:t>las</w:t>
      </w:r>
      <w:r>
        <w:rPr>
          <w:spacing w:val="-3"/>
        </w:rPr>
        <w:t> </w:t>
      </w:r>
      <w:r>
        <w:rPr/>
        <w:t>misma</w:t>
      </w:r>
      <w:r>
        <w:rPr>
          <w:spacing w:val="-6"/>
        </w:rPr>
        <w:t> </w:t>
      </w:r>
      <w:r>
        <w:rPr/>
        <w:t>a</w:t>
      </w:r>
      <w:r>
        <w:rPr>
          <w:spacing w:val="-3"/>
        </w:rPr>
        <w:t> </w:t>
      </w:r>
      <w:r>
        <w:rPr/>
        <w:t>las</w:t>
      </w:r>
      <w:r>
        <w:rPr>
          <w:spacing w:val="-3"/>
        </w:rPr>
        <w:t> </w:t>
      </w:r>
      <w:r>
        <w:rPr/>
        <w:t>pequeñas</w:t>
      </w:r>
      <w:r>
        <w:rPr>
          <w:spacing w:val="-4"/>
        </w:rPr>
        <w:t> </w:t>
      </w:r>
      <w:r>
        <w:rPr/>
        <w:t>y</w:t>
      </w:r>
      <w:r>
        <w:rPr>
          <w:spacing w:val="-4"/>
        </w:rPr>
        <w:t> </w:t>
      </w:r>
      <w:r>
        <w:rPr/>
        <w:t>medianas</w:t>
      </w:r>
      <w:r>
        <w:rPr>
          <w:spacing w:val="-3"/>
        </w:rPr>
        <w:t> </w:t>
      </w:r>
      <w:r>
        <w:rPr/>
        <w:t>empresas</w:t>
      </w:r>
      <w:r>
        <w:rPr>
          <w:spacing w:val="-7"/>
        </w:rPr>
        <w:t> </w:t>
      </w:r>
      <w:r>
        <w:rPr/>
        <w:t>que</w:t>
      </w:r>
      <w:r>
        <w:rPr>
          <w:spacing w:val="-5"/>
        </w:rPr>
        <w:t> </w:t>
      </w:r>
      <w:r>
        <w:rPr/>
        <w:t>tengan</w:t>
      </w:r>
      <w:r>
        <w:rPr>
          <w:spacing w:val="-5"/>
        </w:rPr>
        <w:t> </w:t>
      </w:r>
      <w:r>
        <w:rPr/>
        <w:t>su</w:t>
      </w:r>
      <w:r>
        <w:rPr>
          <w:spacing w:val="-4"/>
        </w:rPr>
        <w:t> </w:t>
      </w:r>
      <w:r>
        <w:rPr/>
        <w:t>sede</w:t>
      </w:r>
      <w:r>
        <w:rPr>
          <w:spacing w:val="-3"/>
        </w:rPr>
        <w:t> </w:t>
      </w:r>
      <w:r>
        <w:rPr/>
        <w:t>social en Canarias, con la limitación de la regulación europea de ayudas de</w:t>
      </w:r>
      <w:r>
        <w:rPr>
          <w:spacing w:val="8"/>
        </w:rPr>
        <w:t> </w:t>
      </w:r>
      <w:r>
        <w:rPr/>
        <w:t>Estado.</w:t>
      </w:r>
    </w:p>
    <w:p>
      <w:pPr>
        <w:pStyle w:val="BodyText"/>
        <w:spacing w:before="4"/>
        <w:rPr>
          <w:sz w:val="17"/>
        </w:rPr>
      </w:pPr>
    </w:p>
    <w:p>
      <w:pPr>
        <w:pStyle w:val="BodyText"/>
        <w:spacing w:line="242" w:lineRule="auto"/>
        <w:ind w:left="2099" w:right="1146" w:firstLine="594"/>
        <w:jc w:val="both"/>
      </w:pPr>
      <w:r>
        <w:rPr/>
        <w:t>Desde 2009 la CAC no concede avales directos y sólo presta cobertura a través de las Sociedades de Garantía Recíproca (en adelante SGR). Al final del ejercicio, la CAC figuraba como avalista en 469 operaciones financieras, formalizadas con empresas privadas, en las que participa con Avalcanarias SGR, con un riesgo asumido por la C.AC. que asciende a 5,3 millones de €. (7,1 millones de € en 2021).</w:t>
      </w:r>
    </w:p>
    <w:p>
      <w:pPr>
        <w:pStyle w:val="BodyText"/>
        <w:spacing w:before="4"/>
        <w:rPr>
          <w:sz w:val="16"/>
        </w:rPr>
      </w:pPr>
    </w:p>
    <w:p>
      <w:pPr>
        <w:pStyle w:val="BodyText"/>
        <w:ind w:left="2693"/>
      </w:pPr>
      <w:r>
        <w:rPr/>
        <w:t>La situación de los avales y otras garantías en vigor se muestra a</w:t>
      </w:r>
      <w:r>
        <w:rPr>
          <w:spacing w:val="26"/>
        </w:rPr>
        <w:t> </w:t>
      </w:r>
      <w:r>
        <w:rPr/>
        <w:t>continuación:</w:t>
      </w:r>
    </w:p>
    <w:p>
      <w:pPr>
        <w:pStyle w:val="BodyText"/>
        <w:spacing w:before="10"/>
        <w:rPr>
          <w:sz w:val="16"/>
        </w:rPr>
      </w:pPr>
    </w:p>
    <w:p>
      <w:pPr>
        <w:spacing w:before="1"/>
        <w:ind w:left="0" w:right="1289" w:firstLine="0"/>
        <w:jc w:val="right"/>
        <w:rPr>
          <w:b/>
          <w:sz w:val="13"/>
        </w:rPr>
      </w:pPr>
      <w:r>
        <w:rPr/>
        <w:pict>
          <v:shape style="position:absolute;margin-left:142.152191pt;margin-top:26.162598pt;width:353.25pt;height:40.35pt;mso-position-horizontal-relative:page;mso-position-vertical-relative:paragraph;z-index:2518896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0"/>
                    <w:gridCol w:w="909"/>
                    <w:gridCol w:w="593"/>
                    <w:gridCol w:w="708"/>
                    <w:gridCol w:w="719"/>
                    <w:gridCol w:w="564"/>
                  </w:tblGrid>
                  <w:tr>
                    <w:trPr>
                      <w:trHeight w:val="149" w:hRule="atLeast"/>
                    </w:trPr>
                    <w:tc>
                      <w:tcPr>
                        <w:tcW w:w="3570" w:type="dxa"/>
                        <w:shd w:val="clear" w:color="auto" w:fill="DDEBF7"/>
                      </w:tcPr>
                      <w:p>
                        <w:pPr>
                          <w:pStyle w:val="TableParagraph"/>
                          <w:rPr>
                            <w:rFonts w:ascii="Times New Roman"/>
                            <w:sz w:val="8"/>
                          </w:rPr>
                        </w:pPr>
                      </w:p>
                    </w:tc>
                    <w:tc>
                      <w:tcPr>
                        <w:tcW w:w="909" w:type="dxa"/>
                        <w:shd w:val="clear" w:color="auto" w:fill="DDEBF7"/>
                      </w:tcPr>
                      <w:p>
                        <w:pPr>
                          <w:pStyle w:val="TableParagraph"/>
                          <w:spacing w:line="129" w:lineRule="exact"/>
                          <w:ind w:left="172"/>
                          <w:rPr>
                            <w:b/>
                            <w:sz w:val="13"/>
                          </w:rPr>
                        </w:pPr>
                        <w:r>
                          <w:rPr>
                            <w:b/>
                            <w:w w:val="105"/>
                            <w:sz w:val="13"/>
                          </w:rPr>
                          <w:t>enero</w:t>
                        </w:r>
                      </w:p>
                    </w:tc>
                    <w:tc>
                      <w:tcPr>
                        <w:tcW w:w="593" w:type="dxa"/>
                        <w:shd w:val="clear" w:color="auto" w:fill="DDEBF7"/>
                      </w:tcPr>
                      <w:p>
                        <w:pPr>
                          <w:pStyle w:val="TableParagraph"/>
                          <w:rPr>
                            <w:rFonts w:ascii="Times New Roman"/>
                            <w:sz w:val="8"/>
                          </w:rPr>
                        </w:pPr>
                      </w:p>
                    </w:tc>
                    <w:tc>
                      <w:tcPr>
                        <w:tcW w:w="708" w:type="dxa"/>
                        <w:shd w:val="clear" w:color="auto" w:fill="DDEBF7"/>
                      </w:tcPr>
                      <w:p>
                        <w:pPr>
                          <w:pStyle w:val="TableParagraph"/>
                          <w:rPr>
                            <w:rFonts w:ascii="Times New Roman"/>
                            <w:sz w:val="8"/>
                          </w:rPr>
                        </w:pPr>
                      </w:p>
                    </w:tc>
                    <w:tc>
                      <w:tcPr>
                        <w:tcW w:w="719" w:type="dxa"/>
                        <w:shd w:val="clear" w:color="auto" w:fill="DDEBF7"/>
                      </w:tcPr>
                      <w:p>
                        <w:pPr>
                          <w:pStyle w:val="TableParagraph"/>
                          <w:spacing w:line="129" w:lineRule="exact"/>
                          <w:ind w:right="95"/>
                          <w:jc w:val="right"/>
                          <w:rPr>
                            <w:b/>
                            <w:sz w:val="13"/>
                          </w:rPr>
                        </w:pPr>
                        <w:r>
                          <w:rPr>
                            <w:b/>
                            <w:sz w:val="13"/>
                          </w:rPr>
                          <w:t>diciembre</w:t>
                        </w:r>
                      </w:p>
                    </w:tc>
                    <w:tc>
                      <w:tcPr>
                        <w:tcW w:w="564" w:type="dxa"/>
                        <w:shd w:val="clear" w:color="auto" w:fill="DDEBF7"/>
                      </w:tcPr>
                      <w:p>
                        <w:pPr>
                          <w:pStyle w:val="TableParagraph"/>
                          <w:rPr>
                            <w:rFonts w:ascii="Times New Roman"/>
                            <w:sz w:val="8"/>
                          </w:rPr>
                        </w:pPr>
                      </w:p>
                    </w:tc>
                  </w:tr>
                  <w:tr>
                    <w:trPr>
                      <w:trHeight w:val="204" w:hRule="atLeast"/>
                    </w:trPr>
                    <w:tc>
                      <w:tcPr>
                        <w:tcW w:w="3570" w:type="dxa"/>
                      </w:tcPr>
                      <w:p>
                        <w:pPr>
                          <w:pStyle w:val="TableParagraph"/>
                          <w:spacing w:line="150" w:lineRule="exact"/>
                          <w:ind w:left="70"/>
                          <w:rPr>
                            <w:sz w:val="13"/>
                          </w:rPr>
                        </w:pPr>
                        <w:r>
                          <w:rPr>
                            <w:w w:val="105"/>
                            <w:sz w:val="13"/>
                          </w:rPr>
                          <w:t>Proyecto Monumental Montaña de Tindaya, S.A. 01/04/2014</w:t>
                        </w:r>
                      </w:p>
                    </w:tc>
                    <w:tc>
                      <w:tcPr>
                        <w:tcW w:w="909" w:type="dxa"/>
                      </w:tcPr>
                      <w:p>
                        <w:pPr>
                          <w:pStyle w:val="TableParagraph"/>
                          <w:spacing w:line="150" w:lineRule="exact"/>
                          <w:ind w:left="105"/>
                          <w:rPr>
                            <w:sz w:val="13"/>
                          </w:rPr>
                        </w:pPr>
                        <w:r>
                          <w:rPr>
                            <w:w w:val="105"/>
                            <w:sz w:val="13"/>
                          </w:rPr>
                          <w:t>18.030,36</w:t>
                        </w:r>
                      </w:p>
                    </w:tc>
                    <w:tc>
                      <w:tcPr>
                        <w:tcW w:w="593" w:type="dxa"/>
                      </w:tcPr>
                      <w:p>
                        <w:pPr>
                          <w:pStyle w:val="TableParagraph"/>
                          <w:spacing w:line="150" w:lineRule="exact"/>
                          <w:ind w:right="94"/>
                          <w:jc w:val="right"/>
                          <w:rPr>
                            <w:sz w:val="13"/>
                          </w:rPr>
                        </w:pPr>
                        <w:r>
                          <w:rPr>
                            <w:sz w:val="13"/>
                          </w:rPr>
                          <w:t>0,00</w:t>
                        </w:r>
                      </w:p>
                    </w:tc>
                    <w:tc>
                      <w:tcPr>
                        <w:tcW w:w="708" w:type="dxa"/>
                      </w:tcPr>
                      <w:p>
                        <w:pPr>
                          <w:pStyle w:val="TableParagraph"/>
                          <w:spacing w:line="150" w:lineRule="exact"/>
                          <w:ind w:left="74" w:right="34"/>
                          <w:jc w:val="center"/>
                          <w:rPr>
                            <w:sz w:val="13"/>
                          </w:rPr>
                        </w:pPr>
                        <w:r>
                          <w:rPr>
                            <w:w w:val="105"/>
                            <w:sz w:val="13"/>
                          </w:rPr>
                          <w:t>18.030,36</w:t>
                        </w:r>
                      </w:p>
                    </w:tc>
                    <w:tc>
                      <w:tcPr>
                        <w:tcW w:w="719" w:type="dxa"/>
                      </w:tcPr>
                      <w:p>
                        <w:pPr>
                          <w:pStyle w:val="TableParagraph"/>
                          <w:spacing w:line="150" w:lineRule="exact"/>
                          <w:ind w:right="90"/>
                          <w:jc w:val="right"/>
                          <w:rPr>
                            <w:sz w:val="13"/>
                          </w:rPr>
                        </w:pPr>
                        <w:r>
                          <w:rPr>
                            <w:sz w:val="13"/>
                          </w:rPr>
                          <w:t>0,00</w:t>
                        </w:r>
                      </w:p>
                    </w:tc>
                    <w:tc>
                      <w:tcPr>
                        <w:tcW w:w="564" w:type="dxa"/>
                      </w:tcPr>
                      <w:p>
                        <w:pPr>
                          <w:pStyle w:val="TableParagraph"/>
                          <w:rPr>
                            <w:rFonts w:ascii="Times New Roman"/>
                            <w:sz w:val="14"/>
                          </w:rPr>
                        </w:pPr>
                      </w:p>
                    </w:tc>
                  </w:tr>
                  <w:tr>
                    <w:trPr>
                      <w:trHeight w:val="246" w:hRule="atLeast"/>
                    </w:trPr>
                    <w:tc>
                      <w:tcPr>
                        <w:tcW w:w="3570" w:type="dxa"/>
                      </w:tcPr>
                      <w:p>
                        <w:pPr>
                          <w:pStyle w:val="TableParagraph"/>
                          <w:spacing w:line="146" w:lineRule="auto"/>
                          <w:ind w:left="70"/>
                          <w:rPr>
                            <w:sz w:val="13"/>
                          </w:rPr>
                        </w:pPr>
                        <w:r>
                          <w:rPr>
                            <w:w w:val="105"/>
                            <w:sz w:val="13"/>
                          </w:rPr>
                          <w:t>Sociedad de Garantías y Avales de Canarias, </w:t>
                        </w:r>
                        <w:r>
                          <w:rPr>
                            <w:w w:val="105"/>
                            <w:position w:val="-7"/>
                            <w:sz w:val="13"/>
                          </w:rPr>
                          <w:t>31/12/2034</w:t>
                        </w:r>
                      </w:p>
                    </w:tc>
                    <w:tc>
                      <w:tcPr>
                        <w:tcW w:w="909" w:type="dxa"/>
                      </w:tcPr>
                      <w:p>
                        <w:pPr>
                          <w:pStyle w:val="TableParagraph"/>
                          <w:spacing w:before="33"/>
                          <w:ind w:left="105"/>
                          <w:rPr>
                            <w:sz w:val="13"/>
                          </w:rPr>
                        </w:pPr>
                        <w:r>
                          <w:rPr>
                            <w:w w:val="105"/>
                            <w:sz w:val="13"/>
                          </w:rPr>
                          <w:t>15.317,29</w:t>
                        </w:r>
                      </w:p>
                    </w:tc>
                    <w:tc>
                      <w:tcPr>
                        <w:tcW w:w="593" w:type="dxa"/>
                      </w:tcPr>
                      <w:p>
                        <w:pPr>
                          <w:pStyle w:val="TableParagraph"/>
                          <w:spacing w:before="33"/>
                          <w:ind w:right="94"/>
                          <w:jc w:val="right"/>
                          <w:rPr>
                            <w:sz w:val="13"/>
                          </w:rPr>
                        </w:pPr>
                        <w:r>
                          <w:rPr>
                            <w:sz w:val="13"/>
                          </w:rPr>
                          <w:t>0,00</w:t>
                        </w:r>
                      </w:p>
                    </w:tc>
                    <w:tc>
                      <w:tcPr>
                        <w:tcW w:w="708" w:type="dxa"/>
                      </w:tcPr>
                      <w:p>
                        <w:pPr>
                          <w:pStyle w:val="TableParagraph"/>
                          <w:spacing w:before="33"/>
                          <w:ind w:left="146" w:right="37"/>
                          <w:jc w:val="center"/>
                          <w:rPr>
                            <w:sz w:val="13"/>
                          </w:rPr>
                        </w:pPr>
                        <w:r>
                          <w:rPr>
                            <w:w w:val="105"/>
                            <w:sz w:val="13"/>
                          </w:rPr>
                          <w:t>2.826,49</w:t>
                        </w:r>
                      </w:p>
                    </w:tc>
                    <w:tc>
                      <w:tcPr>
                        <w:tcW w:w="719" w:type="dxa"/>
                      </w:tcPr>
                      <w:p>
                        <w:pPr>
                          <w:pStyle w:val="TableParagraph"/>
                          <w:spacing w:before="33"/>
                          <w:ind w:right="89"/>
                          <w:jc w:val="right"/>
                          <w:rPr>
                            <w:sz w:val="13"/>
                          </w:rPr>
                        </w:pPr>
                        <w:r>
                          <w:rPr>
                            <w:w w:val="105"/>
                            <w:sz w:val="13"/>
                          </w:rPr>
                          <w:t>12.490,81</w:t>
                        </w:r>
                      </w:p>
                    </w:tc>
                    <w:tc>
                      <w:tcPr>
                        <w:tcW w:w="564" w:type="dxa"/>
                      </w:tcPr>
                      <w:p>
                        <w:pPr>
                          <w:pStyle w:val="TableParagraph"/>
                          <w:spacing w:before="33"/>
                          <w:ind w:left="70" w:right="31"/>
                          <w:jc w:val="center"/>
                          <w:rPr>
                            <w:sz w:val="13"/>
                          </w:rPr>
                        </w:pPr>
                        <w:r>
                          <w:rPr>
                            <w:w w:val="105"/>
                            <w:sz w:val="13"/>
                          </w:rPr>
                          <w:t>5.276,5</w:t>
                        </w:r>
                      </w:p>
                    </w:tc>
                  </w:tr>
                  <w:tr>
                    <w:trPr>
                      <w:trHeight w:val="192" w:hRule="atLeast"/>
                    </w:trPr>
                    <w:tc>
                      <w:tcPr>
                        <w:tcW w:w="3570" w:type="dxa"/>
                        <w:tcBorders>
                          <w:bottom w:val="single" w:sz="4" w:space="0" w:color="000000"/>
                        </w:tcBorders>
                      </w:tcPr>
                      <w:p>
                        <w:pPr>
                          <w:pStyle w:val="TableParagraph"/>
                          <w:spacing w:line="139" w:lineRule="exact" w:before="34"/>
                          <w:ind w:left="1220" w:right="2020"/>
                          <w:jc w:val="center"/>
                          <w:rPr>
                            <w:b/>
                            <w:sz w:val="13"/>
                          </w:rPr>
                        </w:pPr>
                        <w:r>
                          <w:rPr>
                            <w:b/>
                            <w:w w:val="105"/>
                            <w:sz w:val="13"/>
                          </w:rPr>
                          <w:t>Total</w:t>
                        </w:r>
                      </w:p>
                    </w:tc>
                    <w:tc>
                      <w:tcPr>
                        <w:tcW w:w="909" w:type="dxa"/>
                        <w:tcBorders>
                          <w:bottom w:val="single" w:sz="4" w:space="0" w:color="000000"/>
                        </w:tcBorders>
                      </w:tcPr>
                      <w:p>
                        <w:pPr>
                          <w:pStyle w:val="TableParagraph"/>
                          <w:spacing w:line="139" w:lineRule="exact" w:before="34"/>
                          <w:ind w:left="101"/>
                          <w:rPr>
                            <w:b/>
                            <w:sz w:val="13"/>
                          </w:rPr>
                        </w:pPr>
                        <w:r>
                          <w:rPr>
                            <w:b/>
                            <w:w w:val="105"/>
                            <w:sz w:val="13"/>
                          </w:rPr>
                          <w:t>33.347,65</w:t>
                        </w:r>
                      </w:p>
                    </w:tc>
                    <w:tc>
                      <w:tcPr>
                        <w:tcW w:w="593" w:type="dxa"/>
                        <w:tcBorders>
                          <w:bottom w:val="single" w:sz="4" w:space="0" w:color="000000"/>
                        </w:tcBorders>
                      </w:tcPr>
                      <w:p>
                        <w:pPr>
                          <w:pStyle w:val="TableParagraph"/>
                          <w:spacing w:line="139" w:lineRule="exact" w:before="34"/>
                          <w:ind w:right="94"/>
                          <w:jc w:val="right"/>
                          <w:rPr>
                            <w:b/>
                            <w:sz w:val="13"/>
                          </w:rPr>
                        </w:pPr>
                        <w:r>
                          <w:rPr>
                            <w:b/>
                            <w:w w:val="105"/>
                            <w:sz w:val="13"/>
                          </w:rPr>
                          <w:t>0,00</w:t>
                        </w:r>
                      </w:p>
                    </w:tc>
                    <w:tc>
                      <w:tcPr>
                        <w:tcW w:w="708" w:type="dxa"/>
                        <w:tcBorders>
                          <w:bottom w:val="single" w:sz="4" w:space="0" w:color="000000"/>
                        </w:tcBorders>
                      </w:tcPr>
                      <w:p>
                        <w:pPr>
                          <w:pStyle w:val="TableParagraph"/>
                          <w:spacing w:line="139" w:lineRule="exact" w:before="34"/>
                          <w:ind w:left="73" w:right="37"/>
                          <w:jc w:val="center"/>
                          <w:rPr>
                            <w:b/>
                            <w:sz w:val="13"/>
                          </w:rPr>
                        </w:pPr>
                        <w:r>
                          <w:rPr>
                            <w:b/>
                            <w:w w:val="105"/>
                            <w:sz w:val="13"/>
                          </w:rPr>
                          <w:t>20.856,85</w:t>
                        </w:r>
                      </w:p>
                    </w:tc>
                    <w:tc>
                      <w:tcPr>
                        <w:tcW w:w="719" w:type="dxa"/>
                        <w:tcBorders>
                          <w:bottom w:val="single" w:sz="4" w:space="0" w:color="000000"/>
                        </w:tcBorders>
                      </w:tcPr>
                      <w:p>
                        <w:pPr>
                          <w:pStyle w:val="TableParagraph"/>
                          <w:spacing w:line="139" w:lineRule="exact" w:before="34"/>
                          <w:ind w:right="89"/>
                          <w:jc w:val="right"/>
                          <w:rPr>
                            <w:b/>
                            <w:sz w:val="13"/>
                          </w:rPr>
                        </w:pPr>
                        <w:r>
                          <w:rPr>
                            <w:b/>
                            <w:w w:val="105"/>
                            <w:sz w:val="13"/>
                          </w:rPr>
                          <w:t>12.490,81</w:t>
                        </w:r>
                      </w:p>
                    </w:tc>
                    <w:tc>
                      <w:tcPr>
                        <w:tcW w:w="564" w:type="dxa"/>
                        <w:tcBorders>
                          <w:bottom w:val="single" w:sz="4" w:space="0" w:color="000000"/>
                        </w:tcBorders>
                      </w:tcPr>
                      <w:p>
                        <w:pPr>
                          <w:pStyle w:val="TableParagraph"/>
                          <w:spacing w:line="139" w:lineRule="exact" w:before="34"/>
                          <w:ind w:left="70" w:right="35"/>
                          <w:jc w:val="center"/>
                          <w:rPr>
                            <w:b/>
                            <w:sz w:val="13"/>
                          </w:rPr>
                        </w:pPr>
                        <w:r>
                          <w:rPr>
                            <w:b/>
                            <w:w w:val="105"/>
                            <w:sz w:val="13"/>
                          </w:rPr>
                          <w:t>5.276,5</w:t>
                        </w:r>
                      </w:p>
                    </w:tc>
                  </w:tr>
                </w:tbl>
                <w:p>
                  <w:pPr>
                    <w:pStyle w:val="BodyText"/>
                  </w:pPr>
                </w:p>
              </w:txbxContent>
            </v:textbox>
            <w10:wrap type="none"/>
          </v:shape>
        </w:pict>
      </w:r>
      <w:r>
        <w:rPr>
          <w:b/>
          <w:w w:val="105"/>
          <w:sz w:val="13"/>
        </w:rPr>
        <w:t>Miles de</w:t>
      </w:r>
      <w:r>
        <w:rPr>
          <w:b/>
          <w:spacing w:val="-11"/>
          <w:w w:val="105"/>
          <w:sz w:val="13"/>
        </w:rPr>
        <w:t> </w:t>
      </w:r>
      <w:r>
        <w:rPr>
          <w:b/>
          <w:w w:val="105"/>
          <w:sz w:val="13"/>
        </w:rPr>
        <w:t>€</w:t>
      </w:r>
    </w:p>
    <w:p>
      <w:pPr>
        <w:pStyle w:val="BodyText"/>
        <w:ind w:left="2090"/>
      </w:pPr>
      <w:r>
        <w:rPr/>
        <w:pict>
          <v:group style="width:352.6pt;height:25pt;mso-position-horizontal-relative:char;mso-position-vertical-relative:line" coordorigin="0,0" coordsize="7052,500">
            <v:rect style="position:absolute;left:0;top:8;width:2743;height:492" filled="true" fillcolor="#ddebf7" stroked="false">
              <v:fill type="solid"/>
            </v:rect>
            <v:rect style="position:absolute;left:58;top:173;width:2626;height:164" filled="true" fillcolor="#ddebf7" stroked="false">
              <v:fill type="solid"/>
            </v:rect>
            <v:rect style="position:absolute;left:2742;top:8;width:776;height:492" filled="true" fillcolor="#ddebf7" stroked="false">
              <v:fill type="solid"/>
            </v:rect>
            <v:rect style="position:absolute;left:2801;top:173;width:659;height:164" filled="true" fillcolor="#ddebf7" stroked="false">
              <v:fill type="solid"/>
            </v:rect>
            <v:rect style="position:absolute;left:3518;top:8;width:750;height:492" filled="true" fillcolor="#ddebf7" stroked="false">
              <v:fill type="solid"/>
            </v:rect>
            <v:rect style="position:absolute;left:3577;top:8;width:634;height:166" filled="true" fillcolor="#ddebf7" stroked="false">
              <v:fill type="solid"/>
            </v:rect>
            <v:rect style="position:absolute;left:3577;top:173;width:634;height:164" filled="true" fillcolor="#ddebf7" stroked="false">
              <v:fill type="solid"/>
            </v:rect>
            <v:rect style="position:absolute;left:3577;top:336;width:634;height:164" filled="true" fillcolor="#ddebf7" stroked="false">
              <v:fill type="solid"/>
            </v:rect>
            <v:rect style="position:absolute;left:4268;top:8;width:754;height:492" filled="true" fillcolor="#ddebf7" stroked="false">
              <v:fill type="solid"/>
            </v:rect>
            <v:rect style="position:absolute;left:4327;top:173;width:637;height:164" filled="true" fillcolor="#ddebf7" stroked="false">
              <v:fill type="solid"/>
            </v:rect>
            <v:rect style="position:absolute;left:5022;top:8;width:744;height:492" filled="true" fillcolor="#ddebf7" stroked="false">
              <v:fill type="solid"/>
            </v:rect>
            <v:rect style="position:absolute;left:5082;top:173;width:625;height:164" filled="true" fillcolor="#ddebf7" stroked="false">
              <v:fill type="solid"/>
            </v:rect>
            <v:rect style="position:absolute;left:5765;top:8;width:688;height:492" filled="true" fillcolor="#ddebf7" stroked="false">
              <v:fill type="solid"/>
            </v:rect>
            <v:rect style="position:absolute;left:5824;top:8;width:571;height:166" filled="true" fillcolor="#ddebf7" stroked="false">
              <v:fill type="solid"/>
            </v:rect>
            <v:rect style="position:absolute;left:5824;top:173;width:571;height:164" filled="true" fillcolor="#ddebf7" stroked="false">
              <v:fill type="solid"/>
            </v:rect>
            <v:rect style="position:absolute;left:5824;top:336;width:571;height:164" filled="true" fillcolor="#ddebf7" stroked="false">
              <v:fill type="solid"/>
            </v:rect>
            <v:rect style="position:absolute;left:6453;top:8;width:599;height:492" filled="true" fillcolor="#ddebf7" stroked="false">
              <v:fill type="solid"/>
            </v:rect>
            <v:rect style="position:absolute;left:6513;top:90;width:480;height:164" filled="true" fillcolor="#ddebf7" stroked="false">
              <v:fill type="solid"/>
            </v:rect>
            <v:rect style="position:absolute;left:6513;top:253;width:480;height:166" filled="true" fillcolor="#ddebf7" stroked="false">
              <v:fill type="solid"/>
            </v:rect>
            <v:line style="position:absolute" from="0,4" to="2743,4" stroked="true" strokeweight=".40299pt" strokecolor="#000000">
              <v:stroke dashstyle="solid"/>
            </v:line>
            <v:rect style="position:absolute;left:2742;top:0;width:9;height:9" filled="true" fillcolor="#000000" stroked="false">
              <v:fill type="solid"/>
            </v:rect>
            <v:line style="position:absolute" from="2751,4" to="3519,4" stroked="true" strokeweight=".40299pt" strokecolor="#000000">
              <v:stroke dashstyle="solid"/>
            </v:line>
            <v:rect style="position:absolute;left:3518;top:0;width:9;height:9" filled="true" fillcolor="#000000" stroked="false">
              <v:fill type="solid"/>
            </v:rect>
            <v:line style="position:absolute" from="3527,4" to="4269,4" stroked="true" strokeweight=".40299pt" strokecolor="#000000">
              <v:stroke dashstyle="solid"/>
            </v:line>
            <v:rect style="position:absolute;left:4268;top:0;width:9;height:9" filled="true" fillcolor="#000000" stroked="false">
              <v:fill type="solid"/>
            </v:rect>
            <v:line style="position:absolute" from="4277,4" to="5022,4" stroked="true" strokeweight=".40299pt" strokecolor="#000000">
              <v:stroke dashstyle="solid"/>
            </v:line>
            <v:rect style="position:absolute;left:5022;top:0;width:9;height:9" filled="true" fillcolor="#000000" stroked="false">
              <v:fill type="solid"/>
            </v:rect>
            <v:line style="position:absolute" from="5030,4" to="5766,4" stroked="true" strokeweight=".40299pt" strokecolor="#000000">
              <v:stroke dashstyle="solid"/>
            </v:line>
            <v:rect style="position:absolute;left:5765;top:0;width:9;height:9" filled="true" fillcolor="#000000" stroked="false">
              <v:fill type="solid"/>
            </v:rect>
            <v:line style="position:absolute" from="5774,4" to="6453,4" stroked="true" strokeweight=".40299pt" strokecolor="#000000">
              <v:stroke dashstyle="solid"/>
            </v:line>
            <v:rect style="position:absolute;left:6453;top:0;width:9;height:9" filled="true" fillcolor="#000000" stroked="false">
              <v:fill type="solid"/>
            </v:rect>
            <v:line style="position:absolute" from="6462,4" to="7052,4" stroked="true" strokeweight=".40299pt" strokecolor="#000000">
              <v:stroke dashstyle="solid"/>
            </v:line>
            <v:shape style="position:absolute;left:1156;top:198;width:450;height:135" type="#_x0000_t202" filled="false" stroked="false">
              <v:textbox inset="0,0,0,0">
                <w:txbxContent>
                  <w:p>
                    <w:pPr>
                      <w:spacing w:line="135" w:lineRule="exact" w:before="0"/>
                      <w:ind w:left="0" w:right="0" w:firstLine="0"/>
                      <w:jc w:val="left"/>
                      <w:rPr>
                        <w:b/>
                        <w:sz w:val="13"/>
                      </w:rPr>
                    </w:pPr>
                    <w:r>
                      <w:rPr>
                        <w:b/>
                        <w:w w:val="105"/>
                        <w:sz w:val="13"/>
                      </w:rPr>
                      <w:t>Entidad</w:t>
                    </w:r>
                  </w:p>
                </w:txbxContent>
              </v:textbox>
              <w10:wrap type="none"/>
            </v:shape>
            <v:shape style="position:absolute;left:2994;top:33;width:3962;height:381" type="#_x0000_t202" filled="false" stroked="false">
              <v:textbox inset="0,0,0,0">
                <w:txbxContent>
                  <w:p>
                    <w:pPr>
                      <w:tabs>
                        <w:tab w:pos="2216" w:val="left" w:leader="none"/>
                      </w:tabs>
                      <w:spacing w:line="163" w:lineRule="auto" w:before="0"/>
                      <w:ind w:left="0" w:right="18" w:firstLine="0"/>
                      <w:jc w:val="right"/>
                      <w:rPr>
                        <w:b/>
                        <w:sz w:val="13"/>
                      </w:rPr>
                    </w:pPr>
                    <w:r>
                      <w:rPr>
                        <w:b/>
                        <w:w w:val="105"/>
                        <w:sz w:val="13"/>
                      </w:rPr>
                      <w:t>Pendiente</w:t>
                      <w:tab/>
                      <w:t>Pendiente</w:t>
                    </w:r>
                    <w:r>
                      <w:rPr>
                        <w:b/>
                        <w:spacing w:val="2"/>
                        <w:w w:val="105"/>
                        <w:sz w:val="13"/>
                      </w:rPr>
                      <w:t> </w:t>
                    </w:r>
                    <w:r>
                      <w:rPr>
                        <w:b/>
                        <w:w w:val="105"/>
                        <w:position w:val="-7"/>
                        <w:sz w:val="13"/>
                      </w:rPr>
                      <w:t>Riesgo</w:t>
                    </w:r>
                  </w:p>
                  <w:p>
                    <w:pPr>
                      <w:tabs>
                        <w:tab w:pos="729" w:val="left" w:leader="none"/>
                        <w:tab w:pos="1332" w:val="left" w:leader="none"/>
                        <w:tab w:pos="3641" w:val="left" w:leader="none"/>
                      </w:tabs>
                      <w:spacing w:line="168" w:lineRule="auto" w:before="0"/>
                      <w:ind w:left="0" w:right="84" w:firstLine="0"/>
                      <w:jc w:val="right"/>
                      <w:rPr>
                        <w:b/>
                        <w:sz w:val="13"/>
                      </w:rPr>
                    </w:pPr>
                    <w:r>
                      <w:rPr>
                        <w:b/>
                        <w:w w:val="105"/>
                        <w:sz w:val="13"/>
                      </w:rPr>
                      <w:t>VTO.</w:t>
                      <w:tab/>
                      <w:t>a</w:t>
                    </w:r>
                    <w:r>
                      <w:rPr>
                        <w:b/>
                        <w:spacing w:val="-2"/>
                        <w:w w:val="105"/>
                        <w:sz w:val="13"/>
                      </w:rPr>
                      <w:t> </w:t>
                    </w:r>
                    <w:r>
                      <w:rPr>
                        <w:b/>
                        <w:w w:val="105"/>
                        <w:sz w:val="13"/>
                      </w:rPr>
                      <w:t>1</w:t>
                    </w:r>
                    <w:r>
                      <w:rPr>
                        <w:b/>
                        <w:spacing w:val="-1"/>
                        <w:w w:val="105"/>
                        <w:sz w:val="13"/>
                      </w:rPr>
                      <w:t> </w:t>
                    </w:r>
                    <w:r>
                      <w:rPr>
                        <w:b/>
                        <w:w w:val="105"/>
                        <w:sz w:val="13"/>
                      </w:rPr>
                      <w:t>de</w:t>
                      <w:tab/>
                      <w:t>Concedidas    Canceladas      a</w:t>
                    </w:r>
                    <w:r>
                      <w:rPr>
                        <w:b/>
                        <w:spacing w:val="-13"/>
                        <w:w w:val="105"/>
                        <w:sz w:val="13"/>
                      </w:rPr>
                      <w:t> </w:t>
                    </w:r>
                    <w:r>
                      <w:rPr>
                        <w:b/>
                        <w:w w:val="105"/>
                        <w:sz w:val="13"/>
                      </w:rPr>
                      <w:t>31</w:t>
                    </w:r>
                    <w:r>
                      <w:rPr>
                        <w:b/>
                        <w:spacing w:val="-2"/>
                        <w:w w:val="105"/>
                        <w:sz w:val="13"/>
                      </w:rPr>
                      <w:t> </w:t>
                    </w:r>
                    <w:r>
                      <w:rPr>
                        <w:b/>
                        <w:w w:val="105"/>
                        <w:sz w:val="13"/>
                      </w:rPr>
                      <w:t>de</w:t>
                      <w:tab/>
                    </w:r>
                    <w:r>
                      <w:rPr>
                        <w:b/>
                        <w:spacing w:val="-5"/>
                        <w:w w:val="105"/>
                        <w:position w:val="-7"/>
                        <w:sz w:val="13"/>
                      </w:rPr>
                      <w:t>vivo</w:t>
                    </w:r>
                  </w:p>
                </w:txbxContent>
              </v:textbox>
              <w10:wrap type="none"/>
            </v:shape>
          </v:group>
        </w:pict>
      </w:r>
      <w:r>
        <w:rPr/>
      </w:r>
    </w:p>
    <w:p>
      <w:pPr>
        <w:pStyle w:val="BodyText"/>
        <w:rPr>
          <w:b/>
          <w:sz w:val="14"/>
        </w:rPr>
      </w:pPr>
    </w:p>
    <w:p>
      <w:pPr>
        <w:spacing w:before="124"/>
        <w:ind w:left="2153" w:right="0" w:firstLine="0"/>
        <w:jc w:val="left"/>
        <w:rPr>
          <w:sz w:val="13"/>
        </w:rPr>
      </w:pPr>
      <w:r>
        <w:rPr>
          <w:w w:val="105"/>
          <w:sz w:val="13"/>
        </w:rPr>
        <w:t>S.G.R. (operaciones reafianzadas)</w:t>
      </w:r>
    </w:p>
    <w:p>
      <w:pPr>
        <w:pStyle w:val="BodyText"/>
        <w:spacing w:before="7"/>
        <w:rPr>
          <w:sz w:val="14"/>
        </w:rPr>
      </w:pPr>
    </w:p>
    <w:p>
      <w:pPr>
        <w:spacing w:before="0"/>
        <w:ind w:left="2099" w:right="0" w:firstLine="0"/>
        <w:jc w:val="left"/>
        <w:rPr>
          <w:sz w:val="13"/>
        </w:rPr>
      </w:pPr>
      <w:r>
        <w:rPr>
          <w:w w:val="105"/>
          <w:sz w:val="13"/>
        </w:rPr>
        <w:t>Fuente: Dirección General del Tesoro y Política Financiera.</w:t>
      </w:r>
    </w:p>
    <w:p>
      <w:pPr>
        <w:pStyle w:val="BodyText"/>
        <w:spacing w:before="8"/>
        <w:rPr>
          <w:sz w:val="16"/>
        </w:rPr>
      </w:pPr>
    </w:p>
    <w:p>
      <w:pPr>
        <w:pStyle w:val="BodyText"/>
        <w:spacing w:line="242" w:lineRule="auto" w:before="1"/>
        <w:ind w:left="2099" w:right="1142" w:firstLine="594"/>
        <w:jc w:val="both"/>
      </w:pPr>
      <w:r>
        <w:rPr/>
        <w:t>La CAC continua reavalando operaciones ya formalizadas por Avalcanarias, SGR. en virtud del contrato suscrito en 2020 y anteriores. La ausencia de operaciones nuevas es la causa de la reducción del importe del riesgo vivo asumido por la CAC que se ha ido</w:t>
      </w:r>
    </w:p>
    <w:p>
      <w:pPr>
        <w:pStyle w:val="BodyText"/>
        <w:spacing w:before="4"/>
        <w:rPr>
          <w:sz w:val="25"/>
        </w:rPr>
      </w:pPr>
      <w:r>
        <w:rPr/>
        <w:pict>
          <v:shape style="position:absolute;margin-left:142.958206pt;margin-top:17.794094pt;width:120.95pt;height:.1pt;mso-position-horizontal-relative:page;mso-position-vertical-relative:paragraph;z-index:-251427840;mso-wrap-distance-left:0;mso-wrap-distance-right:0" coordorigin="2859,356" coordsize="2419,0" path="m2859,356l5278,356e" filled="false" stroked="true" strokeweight=".604484pt" strokecolor="#000000">
            <v:path arrowok="t"/>
            <v:stroke dashstyle="solid"/>
            <w10:wrap type="topAndBottom"/>
          </v:shape>
        </w:pict>
      </w:r>
    </w:p>
    <w:p>
      <w:pPr>
        <w:spacing w:line="252" w:lineRule="auto" w:before="51"/>
        <w:ind w:left="2099" w:right="1145" w:firstLine="0"/>
        <w:jc w:val="both"/>
        <w:rPr>
          <w:sz w:val="16"/>
        </w:rPr>
      </w:pPr>
      <w:r>
        <w:rPr>
          <w:w w:val="105"/>
          <w:position w:val="6"/>
          <w:sz w:val="11"/>
        </w:rPr>
        <w:t>45</w:t>
      </w:r>
      <w:r>
        <w:rPr>
          <w:spacing w:val="2"/>
          <w:w w:val="105"/>
          <w:position w:val="6"/>
          <w:sz w:val="11"/>
        </w:rPr>
        <w:t> </w:t>
      </w:r>
      <w:r>
        <w:rPr>
          <w:w w:val="105"/>
          <w:sz w:val="16"/>
        </w:rPr>
        <w:t>Todas</w:t>
      </w:r>
      <w:r>
        <w:rPr>
          <w:spacing w:val="-8"/>
          <w:w w:val="105"/>
          <w:sz w:val="16"/>
        </w:rPr>
        <w:t> </w:t>
      </w:r>
      <w:r>
        <w:rPr>
          <w:w w:val="105"/>
          <w:sz w:val="16"/>
        </w:rPr>
        <w:t>las</w:t>
      </w:r>
      <w:r>
        <w:rPr>
          <w:spacing w:val="-8"/>
          <w:w w:val="105"/>
          <w:sz w:val="16"/>
        </w:rPr>
        <w:t> </w:t>
      </w:r>
      <w:r>
        <w:rPr>
          <w:w w:val="105"/>
          <w:sz w:val="16"/>
        </w:rPr>
        <w:t>CCAA</w:t>
      </w:r>
      <w:r>
        <w:rPr>
          <w:spacing w:val="-10"/>
          <w:w w:val="105"/>
          <w:sz w:val="16"/>
        </w:rPr>
        <w:t> </w:t>
      </w:r>
      <w:r>
        <w:rPr>
          <w:w w:val="105"/>
          <w:sz w:val="16"/>
        </w:rPr>
        <w:t>que</w:t>
      </w:r>
      <w:r>
        <w:rPr>
          <w:spacing w:val="-11"/>
          <w:w w:val="105"/>
          <w:sz w:val="16"/>
        </w:rPr>
        <w:t> </w:t>
      </w:r>
      <w:r>
        <w:rPr>
          <w:w w:val="105"/>
          <w:sz w:val="16"/>
        </w:rPr>
        <w:t>superen</w:t>
      </w:r>
      <w:r>
        <w:rPr>
          <w:spacing w:val="-9"/>
          <w:w w:val="105"/>
          <w:sz w:val="16"/>
        </w:rPr>
        <w:t> </w:t>
      </w:r>
      <w:r>
        <w:rPr>
          <w:w w:val="105"/>
          <w:sz w:val="16"/>
        </w:rPr>
        <w:t>el</w:t>
      </w:r>
      <w:r>
        <w:rPr>
          <w:spacing w:val="-8"/>
          <w:w w:val="105"/>
          <w:sz w:val="16"/>
        </w:rPr>
        <w:t> </w:t>
      </w:r>
      <w:r>
        <w:rPr>
          <w:w w:val="105"/>
          <w:sz w:val="16"/>
        </w:rPr>
        <w:t>plazo</w:t>
      </w:r>
      <w:r>
        <w:rPr>
          <w:spacing w:val="-9"/>
          <w:w w:val="105"/>
          <w:sz w:val="16"/>
        </w:rPr>
        <w:t> </w:t>
      </w:r>
      <w:r>
        <w:rPr>
          <w:w w:val="105"/>
          <w:sz w:val="16"/>
        </w:rPr>
        <w:t>máximo</w:t>
      </w:r>
      <w:r>
        <w:rPr>
          <w:spacing w:val="-9"/>
          <w:w w:val="105"/>
          <w:sz w:val="16"/>
        </w:rPr>
        <w:t> </w:t>
      </w:r>
      <w:r>
        <w:rPr>
          <w:w w:val="105"/>
          <w:sz w:val="16"/>
        </w:rPr>
        <w:t>de</w:t>
      </w:r>
      <w:r>
        <w:rPr>
          <w:spacing w:val="-9"/>
          <w:w w:val="105"/>
          <w:sz w:val="16"/>
        </w:rPr>
        <w:t> </w:t>
      </w:r>
      <w:r>
        <w:rPr>
          <w:w w:val="105"/>
          <w:sz w:val="16"/>
        </w:rPr>
        <w:t>pago</w:t>
      </w:r>
      <w:r>
        <w:rPr>
          <w:spacing w:val="-11"/>
          <w:w w:val="105"/>
          <w:sz w:val="16"/>
        </w:rPr>
        <w:t> </w:t>
      </w:r>
      <w:r>
        <w:rPr>
          <w:w w:val="105"/>
          <w:sz w:val="16"/>
        </w:rPr>
        <w:t>les</w:t>
      </w:r>
      <w:r>
        <w:rPr>
          <w:spacing w:val="-7"/>
          <w:w w:val="105"/>
          <w:sz w:val="16"/>
        </w:rPr>
        <w:t> </w:t>
      </w:r>
      <w:r>
        <w:rPr>
          <w:w w:val="105"/>
          <w:sz w:val="16"/>
        </w:rPr>
        <w:t>resulta</w:t>
      </w:r>
      <w:r>
        <w:rPr>
          <w:spacing w:val="-9"/>
          <w:w w:val="105"/>
          <w:sz w:val="16"/>
        </w:rPr>
        <w:t> </w:t>
      </w:r>
      <w:r>
        <w:rPr>
          <w:w w:val="105"/>
          <w:sz w:val="16"/>
        </w:rPr>
        <w:t>de</w:t>
      </w:r>
      <w:r>
        <w:rPr>
          <w:spacing w:val="-10"/>
          <w:w w:val="105"/>
          <w:sz w:val="16"/>
        </w:rPr>
        <w:t> </w:t>
      </w:r>
      <w:r>
        <w:rPr>
          <w:w w:val="105"/>
          <w:sz w:val="16"/>
        </w:rPr>
        <w:t>aplicación</w:t>
      </w:r>
      <w:r>
        <w:rPr>
          <w:spacing w:val="-8"/>
          <w:w w:val="105"/>
          <w:sz w:val="16"/>
        </w:rPr>
        <w:t> </w:t>
      </w:r>
      <w:r>
        <w:rPr>
          <w:w w:val="105"/>
          <w:sz w:val="16"/>
        </w:rPr>
        <w:t>el</w:t>
      </w:r>
      <w:r>
        <w:rPr>
          <w:spacing w:val="-9"/>
          <w:w w:val="105"/>
          <w:sz w:val="16"/>
        </w:rPr>
        <w:t> </w:t>
      </w:r>
      <w:r>
        <w:rPr>
          <w:w w:val="105"/>
          <w:sz w:val="16"/>
        </w:rPr>
        <w:t>art.11</w:t>
      </w:r>
      <w:r>
        <w:rPr>
          <w:spacing w:val="-9"/>
          <w:w w:val="105"/>
          <w:sz w:val="16"/>
        </w:rPr>
        <w:t> </w:t>
      </w:r>
      <w:r>
        <w:rPr>
          <w:w w:val="105"/>
          <w:sz w:val="16"/>
        </w:rPr>
        <w:t>bis.2</w:t>
      </w:r>
      <w:r>
        <w:rPr>
          <w:spacing w:val="-9"/>
          <w:w w:val="105"/>
          <w:sz w:val="16"/>
        </w:rPr>
        <w:t> </w:t>
      </w:r>
      <w:r>
        <w:rPr>
          <w:w w:val="105"/>
          <w:sz w:val="16"/>
        </w:rPr>
        <w:t>de</w:t>
      </w:r>
      <w:r>
        <w:rPr>
          <w:spacing w:val="-10"/>
          <w:w w:val="105"/>
          <w:sz w:val="16"/>
        </w:rPr>
        <w:t> </w:t>
      </w:r>
      <w:r>
        <w:rPr>
          <w:w w:val="105"/>
          <w:sz w:val="16"/>
        </w:rPr>
        <w:t>la</w:t>
      </w:r>
      <w:r>
        <w:rPr>
          <w:spacing w:val="-8"/>
          <w:w w:val="105"/>
          <w:sz w:val="16"/>
        </w:rPr>
        <w:t> </w:t>
      </w:r>
      <w:r>
        <w:rPr>
          <w:w w:val="105"/>
          <w:sz w:val="16"/>
        </w:rPr>
        <w:t>Orden Ministerial</w:t>
      </w:r>
      <w:r>
        <w:rPr>
          <w:spacing w:val="-6"/>
          <w:w w:val="105"/>
          <w:sz w:val="16"/>
        </w:rPr>
        <w:t> </w:t>
      </w:r>
      <w:r>
        <w:rPr>
          <w:w w:val="105"/>
          <w:sz w:val="16"/>
        </w:rPr>
        <w:t>2105/20212,</w:t>
      </w:r>
      <w:r>
        <w:rPr>
          <w:spacing w:val="-4"/>
          <w:w w:val="105"/>
          <w:sz w:val="16"/>
        </w:rPr>
        <w:t> </w:t>
      </w:r>
      <w:r>
        <w:rPr>
          <w:w w:val="105"/>
          <w:sz w:val="16"/>
        </w:rPr>
        <w:t>de</w:t>
      </w:r>
      <w:r>
        <w:rPr>
          <w:spacing w:val="-5"/>
          <w:w w:val="105"/>
          <w:sz w:val="16"/>
        </w:rPr>
        <w:t> </w:t>
      </w:r>
      <w:r>
        <w:rPr>
          <w:w w:val="105"/>
          <w:sz w:val="16"/>
        </w:rPr>
        <w:t>1</w:t>
      </w:r>
      <w:r>
        <w:rPr>
          <w:spacing w:val="-4"/>
          <w:w w:val="105"/>
          <w:sz w:val="16"/>
        </w:rPr>
        <w:t> </w:t>
      </w:r>
      <w:r>
        <w:rPr>
          <w:w w:val="105"/>
          <w:sz w:val="16"/>
        </w:rPr>
        <w:t>de</w:t>
      </w:r>
      <w:r>
        <w:rPr>
          <w:spacing w:val="-5"/>
          <w:w w:val="105"/>
          <w:sz w:val="16"/>
        </w:rPr>
        <w:t> </w:t>
      </w:r>
      <w:r>
        <w:rPr>
          <w:w w:val="105"/>
          <w:sz w:val="16"/>
        </w:rPr>
        <w:t>octubre,</w:t>
      </w:r>
      <w:r>
        <w:rPr>
          <w:spacing w:val="-4"/>
          <w:w w:val="105"/>
          <w:sz w:val="16"/>
        </w:rPr>
        <w:t> </w:t>
      </w:r>
      <w:r>
        <w:rPr>
          <w:w w:val="105"/>
          <w:sz w:val="16"/>
        </w:rPr>
        <w:t>que</w:t>
      </w:r>
      <w:r>
        <w:rPr>
          <w:spacing w:val="-6"/>
          <w:w w:val="105"/>
          <w:sz w:val="16"/>
        </w:rPr>
        <w:t> </w:t>
      </w:r>
      <w:r>
        <w:rPr>
          <w:w w:val="105"/>
          <w:sz w:val="16"/>
        </w:rPr>
        <w:t>implica</w:t>
      </w:r>
      <w:r>
        <w:rPr>
          <w:spacing w:val="-4"/>
          <w:w w:val="105"/>
          <w:sz w:val="16"/>
        </w:rPr>
        <w:t> </w:t>
      </w:r>
      <w:r>
        <w:rPr>
          <w:w w:val="105"/>
          <w:sz w:val="16"/>
        </w:rPr>
        <w:t>remitir</w:t>
      </w:r>
      <w:r>
        <w:rPr>
          <w:spacing w:val="-4"/>
          <w:w w:val="105"/>
          <w:sz w:val="16"/>
        </w:rPr>
        <w:t> </w:t>
      </w:r>
      <w:r>
        <w:rPr>
          <w:w w:val="105"/>
          <w:sz w:val="16"/>
        </w:rPr>
        <w:t>al</w:t>
      </w:r>
      <w:r>
        <w:rPr>
          <w:spacing w:val="-4"/>
          <w:w w:val="105"/>
          <w:sz w:val="16"/>
        </w:rPr>
        <w:t> </w:t>
      </w:r>
      <w:r>
        <w:rPr>
          <w:w w:val="105"/>
          <w:sz w:val="16"/>
        </w:rPr>
        <w:t>Ministerio</w:t>
      </w:r>
      <w:r>
        <w:rPr>
          <w:spacing w:val="-4"/>
          <w:w w:val="105"/>
          <w:sz w:val="16"/>
        </w:rPr>
        <w:t> </w:t>
      </w:r>
      <w:r>
        <w:rPr>
          <w:w w:val="105"/>
          <w:sz w:val="16"/>
        </w:rPr>
        <w:t>de</w:t>
      </w:r>
      <w:r>
        <w:rPr>
          <w:spacing w:val="-5"/>
          <w:w w:val="105"/>
          <w:sz w:val="16"/>
        </w:rPr>
        <w:t> </w:t>
      </w:r>
      <w:r>
        <w:rPr>
          <w:w w:val="105"/>
          <w:sz w:val="16"/>
        </w:rPr>
        <w:t>Hacienda</w:t>
      </w:r>
      <w:r>
        <w:rPr>
          <w:spacing w:val="-5"/>
          <w:w w:val="105"/>
          <w:sz w:val="16"/>
        </w:rPr>
        <w:t> </w:t>
      </w:r>
      <w:r>
        <w:rPr>
          <w:w w:val="105"/>
          <w:sz w:val="16"/>
        </w:rPr>
        <w:t>y</w:t>
      </w:r>
      <w:r>
        <w:rPr>
          <w:spacing w:val="-4"/>
          <w:w w:val="105"/>
          <w:sz w:val="16"/>
        </w:rPr>
        <w:t> </w:t>
      </w:r>
      <w:r>
        <w:rPr>
          <w:w w:val="105"/>
          <w:sz w:val="16"/>
        </w:rPr>
        <w:t>Función</w:t>
      </w:r>
      <w:r>
        <w:rPr>
          <w:spacing w:val="-4"/>
          <w:w w:val="105"/>
          <w:sz w:val="16"/>
        </w:rPr>
        <w:t> </w:t>
      </w:r>
      <w:r>
        <w:rPr>
          <w:w w:val="105"/>
          <w:sz w:val="16"/>
        </w:rPr>
        <w:t>Pública, con periodicidad trimestral, información detallada de las medidas cuantificadas y de su impacto, de tal forma que permitan la reducción de su periodo medio de pago a proveedores hasta el plazo fijado en la normativa de</w:t>
      </w:r>
      <w:r>
        <w:rPr>
          <w:spacing w:val="-1"/>
          <w:w w:val="105"/>
          <w:sz w:val="16"/>
        </w:rPr>
        <w:t> </w:t>
      </w:r>
      <w:r>
        <w:rPr>
          <w:w w:val="105"/>
          <w:sz w:val="16"/>
        </w:rPr>
        <w:t>morosidad.</w:t>
      </w:r>
    </w:p>
    <w:p>
      <w:pPr>
        <w:pStyle w:val="BodyText"/>
        <w:spacing w:line="237" w:lineRule="exact"/>
        <w:ind w:left="7787"/>
        <w:jc w:val="center"/>
      </w:pPr>
      <w:r>
        <w:rPr/>
        <w:t>151</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17" name="image5.png"/>
                  <wp:cNvGraphicFramePr>
                    <a:graphicFrameLocks noChangeAspect="1"/>
                  </wp:cNvGraphicFramePr>
                  <a:graphic>
                    <a:graphicData uri="http://schemas.openxmlformats.org/drawingml/2006/picture">
                      <pic:pic>
                        <pic:nvPicPr>
                          <pic:cNvPr id="31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153/247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099"/>
      </w:pPr>
      <w:r>
        <w:rPr/>
        <w:t>reducido en los últimos años.</w:t>
      </w:r>
    </w:p>
    <w:p>
      <w:pPr>
        <w:pStyle w:val="BodyText"/>
        <w:spacing w:before="8"/>
        <w:rPr>
          <w:sz w:val="16"/>
        </w:rPr>
      </w:pPr>
    </w:p>
    <w:p>
      <w:pPr>
        <w:pStyle w:val="BodyText"/>
        <w:spacing w:line="242" w:lineRule="auto"/>
        <w:ind w:left="2099" w:right="1146" w:firstLine="594"/>
        <w:jc w:val="both"/>
      </w:pPr>
      <w:r>
        <w:rPr/>
        <w:t>Al igual que en ejercicios anteriores, durante el 2022 no se declararon operaciones fallidas. Según histórico de la Dirección General del Tesoro, desde el 2009 hasta el 2022, la CAC ha pagado por fallidos correspondientes a las operaciones de la SGR, un total de 1,8 millones de € (por 112 operaciones fallidas), de los que se han podido recuperar 452.473 euros (33.527 euros más que en 2021).</w:t>
      </w:r>
    </w:p>
    <w:p>
      <w:pPr>
        <w:pStyle w:val="BodyText"/>
        <w:spacing w:before="4"/>
        <w:rPr>
          <w:sz w:val="16"/>
        </w:rPr>
      </w:pPr>
    </w:p>
    <w:p>
      <w:pPr>
        <w:pStyle w:val="BodyText"/>
        <w:spacing w:before="1"/>
        <w:ind w:left="213"/>
        <w:jc w:val="center"/>
      </w:pPr>
      <w:r>
        <w:rPr/>
        <w:t>Se muestra detalle de datos de importes fallidos y recuperados:</w:t>
      </w:r>
    </w:p>
    <w:p>
      <w:pPr>
        <w:pStyle w:val="BodyText"/>
        <w:rPr>
          <w:sz w:val="19"/>
        </w:rPr>
      </w:pPr>
    </w:p>
    <w:p>
      <w:pPr>
        <w:spacing w:before="0"/>
        <w:ind w:left="0" w:right="2539" w:firstLine="0"/>
        <w:jc w:val="right"/>
        <w:rPr>
          <w:b/>
          <w:sz w:val="13"/>
        </w:rPr>
      </w:pPr>
      <w:r>
        <w:rPr>
          <w:b/>
          <w:w w:val="105"/>
          <w:sz w:val="13"/>
        </w:rPr>
        <w:t>Miles de €</w:t>
      </w:r>
    </w:p>
    <w:tbl>
      <w:tblPr>
        <w:tblW w:w="0" w:type="auto"/>
        <w:jc w:val="left"/>
        <w:tblInd w:w="3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2"/>
        <w:gridCol w:w="961"/>
        <w:gridCol w:w="1036"/>
        <w:gridCol w:w="728"/>
        <w:gridCol w:w="980"/>
      </w:tblGrid>
      <w:tr>
        <w:trPr>
          <w:trHeight w:val="189" w:hRule="atLeast"/>
        </w:trPr>
        <w:tc>
          <w:tcPr>
            <w:tcW w:w="972" w:type="dxa"/>
            <w:tcBorders>
              <w:bottom w:val="single" w:sz="4" w:space="0" w:color="000000"/>
            </w:tcBorders>
          </w:tcPr>
          <w:p>
            <w:pPr>
              <w:pStyle w:val="TableParagraph"/>
              <w:rPr>
                <w:rFonts w:ascii="Times New Roman"/>
                <w:sz w:val="12"/>
              </w:rPr>
            </w:pPr>
          </w:p>
        </w:tc>
        <w:tc>
          <w:tcPr>
            <w:tcW w:w="961" w:type="dxa"/>
            <w:tcBorders>
              <w:top w:val="single" w:sz="4" w:space="0" w:color="000000"/>
              <w:bottom w:val="single" w:sz="4" w:space="0" w:color="000000"/>
            </w:tcBorders>
            <w:shd w:val="clear" w:color="auto" w:fill="DEEAF6"/>
          </w:tcPr>
          <w:p>
            <w:pPr>
              <w:pStyle w:val="TableParagraph"/>
              <w:spacing w:line="164" w:lineRule="exact" w:before="5"/>
              <w:ind w:right="-15"/>
              <w:jc w:val="right"/>
              <w:rPr>
                <w:b/>
                <w:sz w:val="15"/>
              </w:rPr>
            </w:pPr>
            <w:r>
              <w:rPr>
                <w:b/>
                <w:sz w:val="15"/>
              </w:rPr>
              <w:t>Pag</w:t>
            </w:r>
          </w:p>
        </w:tc>
        <w:tc>
          <w:tcPr>
            <w:tcW w:w="1036" w:type="dxa"/>
            <w:tcBorders>
              <w:top w:val="single" w:sz="4" w:space="0" w:color="000000"/>
              <w:bottom w:val="single" w:sz="4" w:space="0" w:color="000000"/>
            </w:tcBorders>
            <w:shd w:val="clear" w:color="auto" w:fill="DEEAF6"/>
          </w:tcPr>
          <w:p>
            <w:pPr>
              <w:pStyle w:val="TableParagraph"/>
              <w:spacing w:line="164" w:lineRule="exact" w:before="5"/>
              <w:ind w:left="13"/>
              <w:rPr>
                <w:b/>
                <w:sz w:val="15"/>
              </w:rPr>
            </w:pPr>
            <w:r>
              <w:rPr>
                <w:b/>
                <w:sz w:val="15"/>
              </w:rPr>
              <w:t>ado</w:t>
            </w:r>
          </w:p>
        </w:tc>
        <w:tc>
          <w:tcPr>
            <w:tcW w:w="1708" w:type="dxa"/>
            <w:gridSpan w:val="2"/>
            <w:tcBorders>
              <w:top w:val="single" w:sz="4" w:space="0" w:color="000000"/>
              <w:bottom w:val="single" w:sz="4" w:space="0" w:color="000000"/>
            </w:tcBorders>
            <w:shd w:val="clear" w:color="auto" w:fill="DEEAF6"/>
          </w:tcPr>
          <w:p>
            <w:pPr>
              <w:pStyle w:val="TableParagraph"/>
              <w:spacing w:line="164" w:lineRule="exact" w:before="5"/>
              <w:ind w:left="457"/>
              <w:rPr>
                <w:b/>
                <w:sz w:val="15"/>
              </w:rPr>
            </w:pPr>
            <w:r>
              <w:rPr>
                <w:b/>
                <w:sz w:val="15"/>
              </w:rPr>
              <w:t>Recuperado</w:t>
            </w:r>
          </w:p>
        </w:tc>
      </w:tr>
      <w:tr>
        <w:trPr>
          <w:trHeight w:val="366" w:hRule="atLeast"/>
        </w:trPr>
        <w:tc>
          <w:tcPr>
            <w:tcW w:w="972" w:type="dxa"/>
            <w:tcBorders>
              <w:top w:val="single" w:sz="4" w:space="0" w:color="000000"/>
              <w:bottom w:val="single" w:sz="4" w:space="0" w:color="000000"/>
            </w:tcBorders>
            <w:shd w:val="clear" w:color="auto" w:fill="DDEBF7"/>
          </w:tcPr>
          <w:p>
            <w:pPr>
              <w:pStyle w:val="TableParagraph"/>
              <w:spacing w:line="180" w:lineRule="atLeast" w:before="1"/>
              <w:ind w:left="60" w:right="46" w:firstLine="203"/>
              <w:rPr>
                <w:b/>
                <w:sz w:val="15"/>
              </w:rPr>
            </w:pPr>
            <w:r>
              <w:rPr>
                <w:b/>
                <w:sz w:val="15"/>
              </w:rPr>
              <w:t>Año de formalización</w:t>
            </w:r>
          </w:p>
        </w:tc>
        <w:tc>
          <w:tcPr>
            <w:tcW w:w="961" w:type="dxa"/>
            <w:tcBorders>
              <w:top w:val="single" w:sz="4" w:space="0" w:color="000000"/>
              <w:bottom w:val="single" w:sz="4" w:space="0" w:color="000000"/>
            </w:tcBorders>
            <w:shd w:val="clear" w:color="auto" w:fill="DDEBF7"/>
          </w:tcPr>
          <w:p>
            <w:pPr>
              <w:pStyle w:val="TableParagraph"/>
              <w:spacing w:before="94"/>
              <w:ind w:left="281"/>
              <w:rPr>
                <w:b/>
                <w:sz w:val="15"/>
              </w:rPr>
            </w:pPr>
            <w:r>
              <w:rPr>
                <w:b/>
                <w:sz w:val="15"/>
              </w:rPr>
              <w:t>Importe</w:t>
            </w:r>
          </w:p>
        </w:tc>
        <w:tc>
          <w:tcPr>
            <w:tcW w:w="1036" w:type="dxa"/>
            <w:tcBorders>
              <w:top w:val="single" w:sz="4" w:space="0" w:color="000000"/>
              <w:bottom w:val="single" w:sz="4" w:space="0" w:color="000000"/>
            </w:tcBorders>
            <w:shd w:val="clear" w:color="auto" w:fill="DDEBF7"/>
          </w:tcPr>
          <w:p>
            <w:pPr>
              <w:pStyle w:val="TableParagraph"/>
              <w:spacing w:line="180" w:lineRule="atLeast" w:before="1"/>
              <w:ind w:left="171" w:right="84" w:firstLine="213"/>
              <w:rPr>
                <w:b/>
                <w:sz w:val="15"/>
              </w:rPr>
            </w:pPr>
            <w:r>
              <w:rPr>
                <w:b/>
                <w:sz w:val="15"/>
              </w:rPr>
              <w:t>nº de operaciones</w:t>
            </w:r>
          </w:p>
        </w:tc>
        <w:tc>
          <w:tcPr>
            <w:tcW w:w="728" w:type="dxa"/>
            <w:tcBorders>
              <w:top w:val="single" w:sz="4" w:space="0" w:color="000000"/>
              <w:bottom w:val="single" w:sz="4" w:space="0" w:color="000000"/>
            </w:tcBorders>
            <w:shd w:val="clear" w:color="auto" w:fill="DDEBF7"/>
          </w:tcPr>
          <w:p>
            <w:pPr>
              <w:pStyle w:val="TableParagraph"/>
              <w:spacing w:before="94"/>
              <w:ind w:right="117"/>
              <w:jc w:val="right"/>
              <w:rPr>
                <w:b/>
                <w:sz w:val="15"/>
              </w:rPr>
            </w:pPr>
            <w:r>
              <w:rPr>
                <w:b/>
                <w:sz w:val="15"/>
              </w:rPr>
              <w:t>Importe</w:t>
            </w:r>
          </w:p>
        </w:tc>
        <w:tc>
          <w:tcPr>
            <w:tcW w:w="980" w:type="dxa"/>
            <w:tcBorders>
              <w:top w:val="single" w:sz="4" w:space="0" w:color="000000"/>
              <w:bottom w:val="single" w:sz="4" w:space="0" w:color="000000"/>
            </w:tcBorders>
            <w:shd w:val="clear" w:color="auto" w:fill="DDEBF7"/>
          </w:tcPr>
          <w:p>
            <w:pPr>
              <w:pStyle w:val="TableParagraph"/>
              <w:spacing w:line="180" w:lineRule="atLeast" w:before="1"/>
              <w:ind w:left="118" w:right="81" w:firstLine="213"/>
              <w:rPr>
                <w:b/>
                <w:sz w:val="15"/>
              </w:rPr>
            </w:pPr>
            <w:r>
              <w:rPr>
                <w:b/>
                <w:sz w:val="15"/>
              </w:rPr>
              <w:t>nº de operaciones</w:t>
            </w:r>
          </w:p>
        </w:tc>
      </w:tr>
      <w:tr>
        <w:trPr>
          <w:trHeight w:val="205" w:hRule="atLeast"/>
        </w:trPr>
        <w:tc>
          <w:tcPr>
            <w:tcW w:w="972" w:type="dxa"/>
          </w:tcPr>
          <w:p>
            <w:pPr>
              <w:pStyle w:val="TableParagraph"/>
              <w:spacing w:line="180" w:lineRule="exact" w:before="5"/>
              <w:ind w:left="313" w:right="313"/>
              <w:jc w:val="center"/>
              <w:rPr>
                <w:sz w:val="15"/>
              </w:rPr>
            </w:pPr>
            <w:r>
              <w:rPr>
                <w:sz w:val="15"/>
              </w:rPr>
              <w:t>2009</w:t>
            </w:r>
          </w:p>
        </w:tc>
        <w:tc>
          <w:tcPr>
            <w:tcW w:w="961" w:type="dxa"/>
          </w:tcPr>
          <w:p>
            <w:pPr>
              <w:pStyle w:val="TableParagraph"/>
              <w:spacing w:line="180" w:lineRule="exact" w:before="5"/>
              <w:ind w:left="348"/>
              <w:rPr>
                <w:sz w:val="15"/>
              </w:rPr>
            </w:pPr>
            <w:r>
              <w:rPr>
                <w:sz w:val="15"/>
              </w:rPr>
              <w:t>403,77</w:t>
            </w:r>
          </w:p>
        </w:tc>
        <w:tc>
          <w:tcPr>
            <w:tcW w:w="1036" w:type="dxa"/>
          </w:tcPr>
          <w:p>
            <w:pPr>
              <w:pStyle w:val="TableParagraph"/>
              <w:spacing w:line="180" w:lineRule="exact" w:before="5"/>
              <w:ind w:right="342"/>
              <w:jc w:val="right"/>
              <w:rPr>
                <w:sz w:val="15"/>
              </w:rPr>
            </w:pPr>
            <w:r>
              <w:rPr>
                <w:sz w:val="15"/>
              </w:rPr>
              <w:t>47</w:t>
            </w:r>
          </w:p>
        </w:tc>
        <w:tc>
          <w:tcPr>
            <w:tcW w:w="728" w:type="dxa"/>
          </w:tcPr>
          <w:p>
            <w:pPr>
              <w:pStyle w:val="TableParagraph"/>
              <w:spacing w:line="180" w:lineRule="exact" w:before="5"/>
              <w:ind w:right="170"/>
              <w:jc w:val="right"/>
              <w:rPr>
                <w:sz w:val="15"/>
              </w:rPr>
            </w:pPr>
            <w:r>
              <w:rPr>
                <w:sz w:val="15"/>
              </w:rPr>
              <w:t>73,70</w:t>
            </w:r>
          </w:p>
        </w:tc>
        <w:tc>
          <w:tcPr>
            <w:tcW w:w="980" w:type="dxa"/>
          </w:tcPr>
          <w:p>
            <w:pPr>
              <w:pStyle w:val="TableParagraph"/>
              <w:spacing w:line="180" w:lineRule="exact" w:before="5"/>
              <w:ind w:right="301"/>
              <w:jc w:val="right"/>
              <w:rPr>
                <w:sz w:val="15"/>
              </w:rPr>
            </w:pPr>
            <w:r>
              <w:rPr>
                <w:sz w:val="15"/>
              </w:rPr>
              <w:t>23</w:t>
            </w:r>
          </w:p>
        </w:tc>
      </w:tr>
      <w:tr>
        <w:trPr>
          <w:trHeight w:val="190" w:hRule="atLeast"/>
        </w:trPr>
        <w:tc>
          <w:tcPr>
            <w:tcW w:w="972" w:type="dxa"/>
          </w:tcPr>
          <w:p>
            <w:pPr>
              <w:pStyle w:val="TableParagraph"/>
              <w:spacing w:line="170" w:lineRule="exact"/>
              <w:ind w:left="313" w:right="313"/>
              <w:jc w:val="center"/>
              <w:rPr>
                <w:sz w:val="15"/>
              </w:rPr>
            </w:pPr>
            <w:r>
              <w:rPr>
                <w:sz w:val="15"/>
              </w:rPr>
              <w:t>2010</w:t>
            </w:r>
          </w:p>
        </w:tc>
        <w:tc>
          <w:tcPr>
            <w:tcW w:w="961" w:type="dxa"/>
          </w:tcPr>
          <w:p>
            <w:pPr>
              <w:pStyle w:val="TableParagraph"/>
              <w:spacing w:line="170" w:lineRule="exact"/>
              <w:ind w:left="348"/>
              <w:rPr>
                <w:sz w:val="15"/>
              </w:rPr>
            </w:pPr>
            <w:r>
              <w:rPr>
                <w:sz w:val="15"/>
              </w:rPr>
              <w:t>935,21</w:t>
            </w:r>
          </w:p>
        </w:tc>
        <w:tc>
          <w:tcPr>
            <w:tcW w:w="1036" w:type="dxa"/>
          </w:tcPr>
          <w:p>
            <w:pPr>
              <w:pStyle w:val="TableParagraph"/>
              <w:spacing w:line="170" w:lineRule="exact"/>
              <w:ind w:right="342"/>
              <w:jc w:val="right"/>
              <w:rPr>
                <w:sz w:val="15"/>
              </w:rPr>
            </w:pPr>
            <w:r>
              <w:rPr>
                <w:sz w:val="15"/>
              </w:rPr>
              <w:t>46</w:t>
            </w:r>
          </w:p>
        </w:tc>
        <w:tc>
          <w:tcPr>
            <w:tcW w:w="728" w:type="dxa"/>
          </w:tcPr>
          <w:p>
            <w:pPr>
              <w:pStyle w:val="TableParagraph"/>
              <w:spacing w:line="170" w:lineRule="exact"/>
              <w:ind w:right="170"/>
              <w:jc w:val="right"/>
              <w:rPr>
                <w:sz w:val="15"/>
              </w:rPr>
            </w:pPr>
            <w:r>
              <w:rPr>
                <w:sz w:val="15"/>
              </w:rPr>
              <w:t>209,52</w:t>
            </w:r>
          </w:p>
        </w:tc>
        <w:tc>
          <w:tcPr>
            <w:tcW w:w="980" w:type="dxa"/>
          </w:tcPr>
          <w:p>
            <w:pPr>
              <w:pStyle w:val="TableParagraph"/>
              <w:spacing w:line="170" w:lineRule="exact"/>
              <w:ind w:right="301"/>
              <w:jc w:val="right"/>
              <w:rPr>
                <w:sz w:val="15"/>
              </w:rPr>
            </w:pPr>
            <w:r>
              <w:rPr>
                <w:sz w:val="15"/>
              </w:rPr>
              <w:t>31</w:t>
            </w:r>
          </w:p>
        </w:tc>
      </w:tr>
      <w:tr>
        <w:trPr>
          <w:trHeight w:val="190" w:hRule="atLeast"/>
        </w:trPr>
        <w:tc>
          <w:tcPr>
            <w:tcW w:w="972" w:type="dxa"/>
          </w:tcPr>
          <w:p>
            <w:pPr>
              <w:pStyle w:val="TableParagraph"/>
              <w:spacing w:line="170" w:lineRule="exact"/>
              <w:ind w:left="313" w:right="313"/>
              <w:jc w:val="center"/>
              <w:rPr>
                <w:sz w:val="15"/>
              </w:rPr>
            </w:pPr>
            <w:r>
              <w:rPr>
                <w:sz w:val="15"/>
              </w:rPr>
              <w:t>2011</w:t>
            </w:r>
          </w:p>
        </w:tc>
        <w:tc>
          <w:tcPr>
            <w:tcW w:w="961" w:type="dxa"/>
          </w:tcPr>
          <w:p>
            <w:pPr>
              <w:pStyle w:val="TableParagraph"/>
              <w:spacing w:line="170" w:lineRule="exact"/>
              <w:ind w:left="348"/>
              <w:rPr>
                <w:sz w:val="15"/>
              </w:rPr>
            </w:pPr>
            <w:r>
              <w:rPr>
                <w:sz w:val="15"/>
              </w:rPr>
              <w:t>158,20</w:t>
            </w:r>
          </w:p>
        </w:tc>
        <w:tc>
          <w:tcPr>
            <w:tcW w:w="1036" w:type="dxa"/>
          </w:tcPr>
          <w:p>
            <w:pPr>
              <w:pStyle w:val="TableParagraph"/>
              <w:spacing w:line="170" w:lineRule="exact"/>
              <w:ind w:right="342"/>
              <w:jc w:val="right"/>
              <w:rPr>
                <w:sz w:val="15"/>
              </w:rPr>
            </w:pPr>
            <w:r>
              <w:rPr>
                <w:w w:val="100"/>
                <w:sz w:val="15"/>
              </w:rPr>
              <w:t>7</w:t>
            </w:r>
          </w:p>
        </w:tc>
        <w:tc>
          <w:tcPr>
            <w:tcW w:w="728" w:type="dxa"/>
          </w:tcPr>
          <w:p>
            <w:pPr>
              <w:pStyle w:val="TableParagraph"/>
              <w:spacing w:line="170" w:lineRule="exact"/>
              <w:ind w:right="170"/>
              <w:jc w:val="right"/>
              <w:rPr>
                <w:sz w:val="15"/>
              </w:rPr>
            </w:pPr>
            <w:r>
              <w:rPr>
                <w:sz w:val="15"/>
              </w:rPr>
              <w:t>20,56</w:t>
            </w:r>
          </w:p>
        </w:tc>
        <w:tc>
          <w:tcPr>
            <w:tcW w:w="980" w:type="dxa"/>
          </w:tcPr>
          <w:p>
            <w:pPr>
              <w:pStyle w:val="TableParagraph"/>
              <w:spacing w:line="170" w:lineRule="exact"/>
              <w:ind w:right="301"/>
              <w:jc w:val="right"/>
              <w:rPr>
                <w:sz w:val="15"/>
              </w:rPr>
            </w:pPr>
            <w:r>
              <w:rPr>
                <w:w w:val="100"/>
                <w:sz w:val="15"/>
              </w:rPr>
              <w:t>4</w:t>
            </w:r>
          </w:p>
        </w:tc>
      </w:tr>
      <w:tr>
        <w:trPr>
          <w:trHeight w:val="190" w:hRule="atLeast"/>
        </w:trPr>
        <w:tc>
          <w:tcPr>
            <w:tcW w:w="972" w:type="dxa"/>
          </w:tcPr>
          <w:p>
            <w:pPr>
              <w:pStyle w:val="TableParagraph"/>
              <w:spacing w:line="170" w:lineRule="exact"/>
              <w:ind w:left="313" w:right="313"/>
              <w:jc w:val="center"/>
              <w:rPr>
                <w:sz w:val="15"/>
              </w:rPr>
            </w:pPr>
            <w:r>
              <w:rPr>
                <w:sz w:val="15"/>
              </w:rPr>
              <w:t>2012</w:t>
            </w:r>
          </w:p>
        </w:tc>
        <w:tc>
          <w:tcPr>
            <w:tcW w:w="961" w:type="dxa"/>
          </w:tcPr>
          <w:p>
            <w:pPr>
              <w:pStyle w:val="TableParagraph"/>
              <w:spacing w:line="170" w:lineRule="exact"/>
              <w:ind w:left="348"/>
              <w:rPr>
                <w:sz w:val="15"/>
              </w:rPr>
            </w:pPr>
            <w:r>
              <w:rPr>
                <w:sz w:val="15"/>
              </w:rPr>
              <w:t>327,43</w:t>
            </w:r>
          </w:p>
        </w:tc>
        <w:tc>
          <w:tcPr>
            <w:tcW w:w="1036" w:type="dxa"/>
          </w:tcPr>
          <w:p>
            <w:pPr>
              <w:pStyle w:val="TableParagraph"/>
              <w:spacing w:line="170" w:lineRule="exact"/>
              <w:ind w:right="342"/>
              <w:jc w:val="right"/>
              <w:rPr>
                <w:sz w:val="15"/>
              </w:rPr>
            </w:pPr>
            <w:r>
              <w:rPr>
                <w:w w:val="100"/>
                <w:sz w:val="15"/>
              </w:rPr>
              <w:t>9</w:t>
            </w:r>
          </w:p>
        </w:tc>
        <w:tc>
          <w:tcPr>
            <w:tcW w:w="728" w:type="dxa"/>
          </w:tcPr>
          <w:p>
            <w:pPr>
              <w:pStyle w:val="TableParagraph"/>
              <w:spacing w:line="170" w:lineRule="exact"/>
              <w:ind w:right="170"/>
              <w:jc w:val="right"/>
              <w:rPr>
                <w:sz w:val="15"/>
              </w:rPr>
            </w:pPr>
            <w:r>
              <w:rPr>
                <w:sz w:val="15"/>
              </w:rPr>
              <w:t>148,25</w:t>
            </w:r>
          </w:p>
        </w:tc>
        <w:tc>
          <w:tcPr>
            <w:tcW w:w="980" w:type="dxa"/>
          </w:tcPr>
          <w:p>
            <w:pPr>
              <w:pStyle w:val="TableParagraph"/>
              <w:spacing w:line="170" w:lineRule="exact"/>
              <w:ind w:right="301"/>
              <w:jc w:val="right"/>
              <w:rPr>
                <w:sz w:val="15"/>
              </w:rPr>
            </w:pPr>
            <w:r>
              <w:rPr>
                <w:w w:val="100"/>
                <w:sz w:val="15"/>
              </w:rPr>
              <w:t>4</w:t>
            </w:r>
          </w:p>
        </w:tc>
      </w:tr>
      <w:tr>
        <w:trPr>
          <w:trHeight w:val="191" w:hRule="atLeast"/>
        </w:trPr>
        <w:tc>
          <w:tcPr>
            <w:tcW w:w="972" w:type="dxa"/>
          </w:tcPr>
          <w:p>
            <w:pPr>
              <w:pStyle w:val="TableParagraph"/>
              <w:spacing w:line="171" w:lineRule="exact"/>
              <w:ind w:left="313" w:right="313"/>
              <w:jc w:val="center"/>
              <w:rPr>
                <w:sz w:val="15"/>
              </w:rPr>
            </w:pPr>
            <w:r>
              <w:rPr>
                <w:sz w:val="15"/>
              </w:rPr>
              <w:t>2013</w:t>
            </w:r>
          </w:p>
        </w:tc>
        <w:tc>
          <w:tcPr>
            <w:tcW w:w="961" w:type="dxa"/>
          </w:tcPr>
          <w:p>
            <w:pPr>
              <w:pStyle w:val="TableParagraph"/>
              <w:spacing w:line="171" w:lineRule="exact"/>
              <w:ind w:left="501"/>
              <w:rPr>
                <w:sz w:val="15"/>
              </w:rPr>
            </w:pPr>
            <w:r>
              <w:rPr>
                <w:sz w:val="15"/>
              </w:rPr>
              <w:t>8,17</w:t>
            </w:r>
          </w:p>
        </w:tc>
        <w:tc>
          <w:tcPr>
            <w:tcW w:w="1036" w:type="dxa"/>
          </w:tcPr>
          <w:p>
            <w:pPr>
              <w:pStyle w:val="TableParagraph"/>
              <w:spacing w:line="171" w:lineRule="exact"/>
              <w:ind w:right="342"/>
              <w:jc w:val="right"/>
              <w:rPr>
                <w:sz w:val="15"/>
              </w:rPr>
            </w:pPr>
            <w:r>
              <w:rPr>
                <w:w w:val="100"/>
                <w:sz w:val="15"/>
              </w:rPr>
              <w:t>2</w:t>
            </w:r>
          </w:p>
        </w:tc>
        <w:tc>
          <w:tcPr>
            <w:tcW w:w="728" w:type="dxa"/>
          </w:tcPr>
          <w:p>
            <w:pPr>
              <w:pStyle w:val="TableParagraph"/>
              <w:spacing w:line="171" w:lineRule="exact"/>
              <w:ind w:right="170"/>
              <w:jc w:val="right"/>
              <w:rPr>
                <w:sz w:val="15"/>
              </w:rPr>
            </w:pPr>
            <w:r>
              <w:rPr>
                <w:sz w:val="15"/>
              </w:rPr>
              <w:t>0,41</w:t>
            </w:r>
          </w:p>
        </w:tc>
        <w:tc>
          <w:tcPr>
            <w:tcW w:w="980" w:type="dxa"/>
          </w:tcPr>
          <w:p>
            <w:pPr>
              <w:pStyle w:val="TableParagraph"/>
              <w:spacing w:line="171" w:lineRule="exact"/>
              <w:ind w:right="301"/>
              <w:jc w:val="right"/>
              <w:rPr>
                <w:sz w:val="15"/>
              </w:rPr>
            </w:pPr>
            <w:r>
              <w:rPr>
                <w:w w:val="100"/>
                <w:sz w:val="15"/>
              </w:rPr>
              <w:t>1</w:t>
            </w:r>
          </w:p>
        </w:tc>
      </w:tr>
      <w:tr>
        <w:trPr>
          <w:trHeight w:val="171" w:hRule="atLeast"/>
        </w:trPr>
        <w:tc>
          <w:tcPr>
            <w:tcW w:w="972" w:type="dxa"/>
          </w:tcPr>
          <w:p>
            <w:pPr>
              <w:pStyle w:val="TableParagraph"/>
              <w:spacing w:line="151" w:lineRule="exact"/>
              <w:ind w:left="313" w:right="313"/>
              <w:jc w:val="center"/>
              <w:rPr>
                <w:sz w:val="15"/>
              </w:rPr>
            </w:pPr>
            <w:r>
              <w:rPr>
                <w:sz w:val="15"/>
              </w:rPr>
              <w:t>2014</w:t>
            </w:r>
          </w:p>
        </w:tc>
        <w:tc>
          <w:tcPr>
            <w:tcW w:w="961" w:type="dxa"/>
          </w:tcPr>
          <w:p>
            <w:pPr>
              <w:pStyle w:val="TableParagraph"/>
              <w:spacing w:line="151" w:lineRule="exact"/>
              <w:ind w:left="501"/>
              <w:rPr>
                <w:sz w:val="15"/>
              </w:rPr>
            </w:pPr>
            <w:r>
              <w:rPr>
                <w:sz w:val="15"/>
              </w:rPr>
              <w:t>0,21</w:t>
            </w:r>
          </w:p>
        </w:tc>
        <w:tc>
          <w:tcPr>
            <w:tcW w:w="1036" w:type="dxa"/>
          </w:tcPr>
          <w:p>
            <w:pPr>
              <w:pStyle w:val="TableParagraph"/>
              <w:spacing w:line="151" w:lineRule="exact"/>
              <w:ind w:right="342"/>
              <w:jc w:val="right"/>
              <w:rPr>
                <w:sz w:val="15"/>
              </w:rPr>
            </w:pPr>
            <w:r>
              <w:rPr>
                <w:w w:val="100"/>
                <w:sz w:val="15"/>
              </w:rPr>
              <w:t>1</w:t>
            </w:r>
          </w:p>
        </w:tc>
        <w:tc>
          <w:tcPr>
            <w:tcW w:w="728" w:type="dxa"/>
          </w:tcPr>
          <w:p>
            <w:pPr>
              <w:pStyle w:val="TableParagraph"/>
              <w:spacing w:line="151" w:lineRule="exact"/>
              <w:ind w:right="170"/>
              <w:jc w:val="right"/>
              <w:rPr>
                <w:sz w:val="15"/>
              </w:rPr>
            </w:pPr>
            <w:r>
              <w:rPr>
                <w:sz w:val="15"/>
              </w:rPr>
              <w:t>0,04</w:t>
            </w:r>
          </w:p>
        </w:tc>
        <w:tc>
          <w:tcPr>
            <w:tcW w:w="980" w:type="dxa"/>
          </w:tcPr>
          <w:p>
            <w:pPr>
              <w:pStyle w:val="TableParagraph"/>
              <w:spacing w:line="151" w:lineRule="exact"/>
              <w:ind w:right="301"/>
              <w:jc w:val="right"/>
              <w:rPr>
                <w:sz w:val="15"/>
              </w:rPr>
            </w:pPr>
            <w:r>
              <w:rPr>
                <w:w w:val="100"/>
                <w:sz w:val="15"/>
              </w:rPr>
              <w:t>1</w:t>
            </w:r>
          </w:p>
        </w:tc>
      </w:tr>
    </w:tbl>
    <w:p>
      <w:pPr>
        <w:tabs>
          <w:tab w:pos="3543" w:val="left" w:leader="none"/>
          <w:tab w:pos="4420" w:val="left" w:leader="none"/>
          <w:tab w:pos="5611" w:val="left" w:leader="none"/>
          <w:tab w:pos="6321" w:val="left" w:leader="none"/>
          <w:tab w:pos="7437" w:val="left" w:leader="none"/>
          <w:tab w:pos="7893" w:val="left" w:leader="none"/>
        </w:tabs>
        <w:spacing w:before="9"/>
        <w:ind w:left="3205" w:right="0" w:firstLine="0"/>
        <w:jc w:val="left"/>
        <w:rPr>
          <w:b/>
          <w:sz w:val="15"/>
        </w:rPr>
      </w:pPr>
      <w:r>
        <w:rPr>
          <w:b/>
          <w:w w:val="100"/>
          <w:sz w:val="15"/>
          <w:u w:val="single"/>
        </w:rPr>
        <w:t> </w:t>
      </w:r>
      <w:r>
        <w:rPr>
          <w:b/>
          <w:sz w:val="15"/>
          <w:u w:val="single"/>
        </w:rPr>
        <w:tab/>
        <w:t>Total</w:t>
        <w:tab/>
        <w:t>1.832,99</w:t>
        <w:tab/>
        <w:t>112</w:t>
        <w:tab/>
        <w:t>452,47</w:t>
        <w:tab/>
        <w:t>64</w:t>
        <w:tab/>
      </w:r>
    </w:p>
    <w:p>
      <w:pPr>
        <w:spacing w:before="15"/>
        <w:ind w:left="3290" w:right="0" w:firstLine="0"/>
        <w:jc w:val="left"/>
        <w:rPr>
          <w:sz w:val="13"/>
        </w:rPr>
      </w:pPr>
      <w:r>
        <w:rPr>
          <w:w w:val="105"/>
          <w:sz w:val="13"/>
        </w:rPr>
        <w:t>Fuente: Dirección General del Tesoro y Política Financiera.</w:t>
      </w:r>
    </w:p>
    <w:p>
      <w:pPr>
        <w:pStyle w:val="BodyText"/>
        <w:spacing w:before="8"/>
        <w:rPr>
          <w:sz w:val="16"/>
        </w:rPr>
      </w:pPr>
    </w:p>
    <w:p>
      <w:pPr>
        <w:pStyle w:val="BodyText"/>
        <w:spacing w:line="242" w:lineRule="auto"/>
        <w:ind w:left="2099" w:right="1144" w:firstLine="594"/>
        <w:jc w:val="both"/>
      </w:pPr>
      <w:r>
        <w:rPr/>
        <w:t>Con relación al aval directo concedido por la CAC (por D 59/1999, de 8 de abril) a la extinta sociedad mercantil pública PMMT, tal y como se adelantó en el anterior informe correspondiente a la Cuenta General de la CAC 2021, este aval fue ejecutado y cancelado</w:t>
      </w:r>
      <w:r>
        <w:rPr>
          <w:spacing w:val="-7"/>
        </w:rPr>
        <w:t> </w:t>
      </w:r>
      <w:r>
        <w:rPr/>
        <w:t>en</w:t>
      </w:r>
      <w:r>
        <w:rPr>
          <w:spacing w:val="-4"/>
        </w:rPr>
        <w:t> </w:t>
      </w:r>
      <w:r>
        <w:rPr/>
        <w:t>el</w:t>
      </w:r>
      <w:r>
        <w:rPr>
          <w:spacing w:val="-7"/>
        </w:rPr>
        <w:t> </w:t>
      </w:r>
      <w:r>
        <w:rPr/>
        <w:t>ejercicio</w:t>
      </w:r>
      <w:r>
        <w:rPr>
          <w:spacing w:val="-7"/>
        </w:rPr>
        <w:t> </w:t>
      </w:r>
      <w:r>
        <w:rPr/>
        <w:t>2022,</w:t>
      </w:r>
      <w:r>
        <w:rPr>
          <w:spacing w:val="-7"/>
        </w:rPr>
        <w:t> </w:t>
      </w:r>
      <w:r>
        <w:rPr/>
        <w:t>por</w:t>
      </w:r>
      <w:r>
        <w:rPr>
          <w:spacing w:val="-7"/>
        </w:rPr>
        <w:t> </w:t>
      </w:r>
      <w:r>
        <w:rPr/>
        <w:t>un</w:t>
      </w:r>
      <w:r>
        <w:rPr>
          <w:spacing w:val="-7"/>
        </w:rPr>
        <w:t> </w:t>
      </w:r>
      <w:r>
        <w:rPr/>
        <w:t>importe</w:t>
      </w:r>
      <w:r>
        <w:rPr>
          <w:spacing w:val="-7"/>
        </w:rPr>
        <w:t> </w:t>
      </w:r>
      <w:r>
        <w:rPr/>
        <w:t>de</w:t>
      </w:r>
      <w:r>
        <w:rPr>
          <w:spacing w:val="-7"/>
        </w:rPr>
        <w:t> </w:t>
      </w:r>
      <w:r>
        <w:rPr/>
        <w:t>6,1</w:t>
      </w:r>
      <w:r>
        <w:rPr>
          <w:spacing w:val="-4"/>
        </w:rPr>
        <w:t> </w:t>
      </w:r>
      <w:r>
        <w:rPr/>
        <w:t>millones</w:t>
      </w:r>
      <w:r>
        <w:rPr>
          <w:spacing w:val="-7"/>
        </w:rPr>
        <w:t> </w:t>
      </w:r>
      <w:r>
        <w:rPr/>
        <w:t>de</w:t>
      </w:r>
      <w:r>
        <w:rPr>
          <w:spacing w:val="-5"/>
        </w:rPr>
        <w:t> </w:t>
      </w:r>
      <w:r>
        <w:rPr/>
        <w:t>€,</w:t>
      </w:r>
      <w:r>
        <w:rPr>
          <w:spacing w:val="-7"/>
        </w:rPr>
        <w:t> </w:t>
      </w:r>
      <w:r>
        <w:rPr/>
        <w:t>y</w:t>
      </w:r>
      <w:r>
        <w:rPr>
          <w:spacing w:val="-6"/>
        </w:rPr>
        <w:t> </w:t>
      </w:r>
      <w:r>
        <w:rPr/>
        <w:t>que</w:t>
      </w:r>
      <w:r>
        <w:rPr>
          <w:spacing w:val="-5"/>
        </w:rPr>
        <w:t> </w:t>
      </w:r>
      <w:r>
        <w:rPr/>
        <w:t>figuraba</w:t>
      </w:r>
      <w:r>
        <w:rPr>
          <w:spacing w:val="-4"/>
        </w:rPr>
        <w:t> </w:t>
      </w:r>
      <w:r>
        <w:rPr/>
        <w:t>como riesgo vivo en el ejercicio 2021. Este importe fue pagado por la CAC a la entidad financiera BBVA, el 14 de octubre de 2022, por sentencia de 20 de junio de 2022 de la Sección Quinta de la Audiencia Provincial que desestimó el recurso de apelación interpuesto por la Letrada del Servicio Jurídico del Gobierno de Canarias en representación de la CAC contra la sentencia de 18 de septiembre de 2020, por lo que se</w:t>
      </w:r>
      <w:r>
        <w:rPr>
          <w:spacing w:val="-8"/>
        </w:rPr>
        <w:t> </w:t>
      </w:r>
      <w:r>
        <w:rPr/>
        <w:t>ha</w:t>
      </w:r>
      <w:r>
        <w:rPr>
          <w:spacing w:val="-9"/>
        </w:rPr>
        <w:t> </w:t>
      </w:r>
      <w:r>
        <w:rPr/>
        <w:t>eliminado</w:t>
      </w:r>
      <w:r>
        <w:rPr>
          <w:spacing w:val="-9"/>
        </w:rPr>
        <w:t> </w:t>
      </w:r>
      <w:r>
        <w:rPr/>
        <w:t>dicho</w:t>
      </w:r>
      <w:r>
        <w:rPr>
          <w:spacing w:val="-8"/>
        </w:rPr>
        <w:t> </w:t>
      </w:r>
      <w:r>
        <w:rPr/>
        <w:t>saldo</w:t>
      </w:r>
      <w:r>
        <w:rPr>
          <w:spacing w:val="-9"/>
        </w:rPr>
        <w:t> </w:t>
      </w:r>
      <w:r>
        <w:rPr/>
        <w:t>de</w:t>
      </w:r>
      <w:r>
        <w:rPr>
          <w:spacing w:val="-7"/>
        </w:rPr>
        <w:t> </w:t>
      </w:r>
      <w:r>
        <w:rPr/>
        <w:t>la</w:t>
      </w:r>
      <w:r>
        <w:rPr>
          <w:spacing w:val="-10"/>
        </w:rPr>
        <w:t> </w:t>
      </w:r>
      <w:r>
        <w:rPr/>
        <w:t>cuenta</w:t>
      </w:r>
      <w:r>
        <w:rPr>
          <w:spacing w:val="-9"/>
        </w:rPr>
        <w:t> </w:t>
      </w:r>
      <w:r>
        <w:rPr/>
        <w:t>413</w:t>
      </w:r>
      <w:r>
        <w:rPr>
          <w:spacing w:val="-7"/>
        </w:rPr>
        <w:t> </w:t>
      </w:r>
      <w:r>
        <w:rPr/>
        <w:t>“Acreedores</w:t>
      </w:r>
      <w:r>
        <w:rPr>
          <w:spacing w:val="-7"/>
        </w:rPr>
        <w:t> </w:t>
      </w:r>
      <w:r>
        <w:rPr/>
        <w:t>por</w:t>
      </w:r>
      <w:r>
        <w:rPr>
          <w:spacing w:val="-8"/>
        </w:rPr>
        <w:t> </w:t>
      </w:r>
      <w:r>
        <w:rPr/>
        <w:t>operaciones</w:t>
      </w:r>
      <w:r>
        <w:rPr>
          <w:spacing w:val="-9"/>
        </w:rPr>
        <w:t> </w:t>
      </w:r>
      <w:r>
        <w:rPr/>
        <w:t>devengadas”.</w:t>
      </w:r>
    </w:p>
    <w:p>
      <w:pPr>
        <w:pStyle w:val="BodyText"/>
        <w:spacing w:before="1"/>
        <w:rPr>
          <w:sz w:val="16"/>
        </w:rPr>
      </w:pPr>
    </w:p>
    <w:p>
      <w:pPr>
        <w:pStyle w:val="Heading1"/>
        <w:tabs>
          <w:tab w:pos="2582" w:val="left" w:leader="none"/>
        </w:tabs>
        <w:ind w:left="2099"/>
        <w:jc w:val="left"/>
      </w:pPr>
      <w:r>
        <w:rPr>
          <w:color w:val="53A1B9"/>
        </w:rPr>
        <w:t>7.5</w:t>
        <w:tab/>
        <w:t>Activos Financieros a largo</w:t>
      </w:r>
      <w:r>
        <w:rPr>
          <w:color w:val="53A1B9"/>
          <w:spacing w:val="3"/>
        </w:rPr>
        <w:t> </w:t>
      </w:r>
      <w:r>
        <w:rPr>
          <w:color w:val="53A1B9"/>
        </w:rPr>
        <w:t>plazo</w:t>
      </w:r>
    </w:p>
    <w:p>
      <w:pPr>
        <w:pStyle w:val="BodyText"/>
        <w:spacing w:before="11"/>
        <w:rPr>
          <w:b/>
          <w:sz w:val="19"/>
        </w:rPr>
      </w:pPr>
    </w:p>
    <w:tbl>
      <w:tblPr>
        <w:tblW w:w="0" w:type="auto"/>
        <w:jc w:val="left"/>
        <w:tblInd w:w="2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76"/>
        <w:gridCol w:w="994"/>
        <w:gridCol w:w="809"/>
      </w:tblGrid>
      <w:tr>
        <w:trPr>
          <w:trHeight w:val="280" w:hRule="atLeast"/>
        </w:trPr>
        <w:tc>
          <w:tcPr>
            <w:tcW w:w="3976" w:type="dxa"/>
          </w:tcPr>
          <w:p>
            <w:pPr>
              <w:pStyle w:val="TableParagraph"/>
              <w:spacing w:line="205" w:lineRule="exact"/>
              <w:ind w:left="50"/>
              <w:rPr>
                <w:sz w:val="20"/>
              </w:rPr>
            </w:pPr>
            <w:r>
              <w:rPr>
                <w:sz w:val="20"/>
              </w:rPr>
              <w:t>En el balance de la CAC cuentan como tales:</w:t>
            </w:r>
          </w:p>
        </w:tc>
        <w:tc>
          <w:tcPr>
            <w:tcW w:w="1803" w:type="dxa"/>
            <w:gridSpan w:val="2"/>
          </w:tcPr>
          <w:p>
            <w:pPr>
              <w:pStyle w:val="TableParagraph"/>
              <w:rPr>
                <w:rFonts w:ascii="Times New Roman"/>
                <w:sz w:val="16"/>
              </w:rPr>
            </w:pPr>
          </w:p>
        </w:tc>
      </w:tr>
      <w:tr>
        <w:trPr>
          <w:trHeight w:val="217" w:hRule="atLeast"/>
        </w:trPr>
        <w:tc>
          <w:tcPr>
            <w:tcW w:w="3976" w:type="dxa"/>
            <w:tcBorders>
              <w:bottom w:val="single" w:sz="4" w:space="0" w:color="000000"/>
            </w:tcBorders>
          </w:tcPr>
          <w:p>
            <w:pPr>
              <w:pStyle w:val="TableParagraph"/>
              <w:rPr>
                <w:rFonts w:ascii="Times New Roman"/>
                <w:sz w:val="14"/>
              </w:rPr>
            </w:pPr>
          </w:p>
        </w:tc>
        <w:tc>
          <w:tcPr>
            <w:tcW w:w="994" w:type="dxa"/>
            <w:tcBorders>
              <w:bottom w:val="single" w:sz="4" w:space="0" w:color="000000"/>
            </w:tcBorders>
          </w:tcPr>
          <w:p>
            <w:pPr>
              <w:pStyle w:val="TableParagraph"/>
              <w:rPr>
                <w:rFonts w:ascii="Times New Roman"/>
                <w:sz w:val="14"/>
              </w:rPr>
            </w:pPr>
          </w:p>
        </w:tc>
        <w:tc>
          <w:tcPr>
            <w:tcW w:w="809" w:type="dxa"/>
            <w:tcBorders>
              <w:bottom w:val="single" w:sz="4" w:space="0" w:color="000000"/>
            </w:tcBorders>
          </w:tcPr>
          <w:p>
            <w:pPr>
              <w:pStyle w:val="TableParagraph"/>
              <w:spacing w:line="141" w:lineRule="exact" w:before="56"/>
              <w:ind w:right="55"/>
              <w:jc w:val="right"/>
              <w:rPr>
                <w:b/>
                <w:sz w:val="13"/>
              </w:rPr>
            </w:pPr>
            <w:r>
              <w:rPr>
                <w:b/>
                <w:w w:val="105"/>
                <w:sz w:val="13"/>
              </w:rPr>
              <w:t>Miles de €</w:t>
            </w:r>
          </w:p>
        </w:tc>
      </w:tr>
      <w:tr>
        <w:trPr>
          <w:trHeight w:val="203" w:hRule="atLeast"/>
        </w:trPr>
        <w:tc>
          <w:tcPr>
            <w:tcW w:w="3976" w:type="dxa"/>
            <w:tcBorders>
              <w:top w:val="single" w:sz="4" w:space="0" w:color="000000"/>
            </w:tcBorders>
          </w:tcPr>
          <w:p>
            <w:pPr>
              <w:pStyle w:val="TableParagraph"/>
              <w:spacing w:line="180" w:lineRule="exact" w:before="3"/>
              <w:ind w:left="328"/>
              <w:rPr>
                <w:sz w:val="15"/>
              </w:rPr>
            </w:pPr>
            <w:r>
              <w:rPr>
                <w:sz w:val="15"/>
              </w:rPr>
              <w:t>1 Inversiones financieras a L/P entre grupo</w:t>
            </w:r>
          </w:p>
        </w:tc>
        <w:tc>
          <w:tcPr>
            <w:tcW w:w="994" w:type="dxa"/>
            <w:tcBorders>
              <w:top w:val="single" w:sz="4" w:space="0" w:color="000000"/>
            </w:tcBorders>
          </w:tcPr>
          <w:p>
            <w:pPr>
              <w:pStyle w:val="TableParagraph"/>
              <w:spacing w:line="180" w:lineRule="exact" w:before="3"/>
              <w:ind w:right="58"/>
              <w:jc w:val="right"/>
              <w:rPr>
                <w:sz w:val="15"/>
              </w:rPr>
            </w:pPr>
            <w:r>
              <w:rPr>
                <w:sz w:val="15"/>
              </w:rPr>
              <w:t>83.248,13</w:t>
            </w:r>
          </w:p>
        </w:tc>
        <w:tc>
          <w:tcPr>
            <w:tcW w:w="809" w:type="dxa"/>
            <w:tcBorders>
              <w:top w:val="single" w:sz="4" w:space="0" w:color="000000"/>
              <w:right w:val="single" w:sz="4" w:space="0" w:color="000000"/>
            </w:tcBorders>
          </w:tcPr>
          <w:p>
            <w:pPr>
              <w:pStyle w:val="TableParagraph"/>
              <w:rPr>
                <w:rFonts w:ascii="Times New Roman"/>
                <w:sz w:val="14"/>
              </w:rPr>
            </w:pPr>
          </w:p>
        </w:tc>
      </w:tr>
      <w:tr>
        <w:trPr>
          <w:trHeight w:val="190" w:hRule="atLeast"/>
        </w:trPr>
        <w:tc>
          <w:tcPr>
            <w:tcW w:w="3976" w:type="dxa"/>
          </w:tcPr>
          <w:p>
            <w:pPr>
              <w:pStyle w:val="TableParagraph"/>
              <w:spacing w:line="170" w:lineRule="exact"/>
              <w:ind w:left="328"/>
              <w:rPr>
                <w:sz w:val="15"/>
              </w:rPr>
            </w:pPr>
            <w:r>
              <w:rPr>
                <w:sz w:val="15"/>
              </w:rPr>
              <w:t>1 a. Inversiones financieras en patrimonio de D. Público</w:t>
            </w:r>
          </w:p>
        </w:tc>
        <w:tc>
          <w:tcPr>
            <w:tcW w:w="994" w:type="dxa"/>
          </w:tcPr>
          <w:p>
            <w:pPr>
              <w:pStyle w:val="TableParagraph"/>
              <w:rPr>
                <w:rFonts w:ascii="Times New Roman"/>
                <w:sz w:val="12"/>
              </w:rPr>
            </w:pPr>
          </w:p>
        </w:tc>
        <w:tc>
          <w:tcPr>
            <w:tcW w:w="809" w:type="dxa"/>
            <w:tcBorders>
              <w:right w:val="single" w:sz="4" w:space="0" w:color="000000"/>
            </w:tcBorders>
          </w:tcPr>
          <w:p>
            <w:pPr>
              <w:pStyle w:val="TableParagraph"/>
              <w:spacing w:line="170" w:lineRule="exact"/>
              <w:ind w:right="52"/>
              <w:jc w:val="right"/>
              <w:rPr>
                <w:sz w:val="15"/>
              </w:rPr>
            </w:pPr>
            <w:r>
              <w:rPr>
                <w:sz w:val="15"/>
              </w:rPr>
              <w:t>1.472,26</w:t>
            </w:r>
          </w:p>
        </w:tc>
      </w:tr>
      <w:tr>
        <w:trPr>
          <w:trHeight w:val="191" w:hRule="atLeast"/>
        </w:trPr>
        <w:tc>
          <w:tcPr>
            <w:tcW w:w="3976" w:type="dxa"/>
          </w:tcPr>
          <w:p>
            <w:pPr>
              <w:pStyle w:val="TableParagraph"/>
              <w:spacing w:line="171" w:lineRule="exact"/>
              <w:ind w:left="328"/>
              <w:rPr>
                <w:sz w:val="15"/>
              </w:rPr>
            </w:pPr>
            <w:r>
              <w:rPr>
                <w:sz w:val="15"/>
              </w:rPr>
              <w:t>1 b. Inversiones financieras en patrimonio de SSMM</w:t>
            </w:r>
          </w:p>
        </w:tc>
        <w:tc>
          <w:tcPr>
            <w:tcW w:w="994" w:type="dxa"/>
          </w:tcPr>
          <w:p>
            <w:pPr>
              <w:pStyle w:val="TableParagraph"/>
              <w:rPr>
                <w:rFonts w:ascii="Times New Roman"/>
                <w:sz w:val="12"/>
              </w:rPr>
            </w:pPr>
          </w:p>
        </w:tc>
        <w:tc>
          <w:tcPr>
            <w:tcW w:w="809" w:type="dxa"/>
            <w:tcBorders>
              <w:right w:val="single" w:sz="4" w:space="0" w:color="000000"/>
            </w:tcBorders>
          </w:tcPr>
          <w:p>
            <w:pPr>
              <w:pStyle w:val="TableParagraph"/>
              <w:spacing w:line="171" w:lineRule="exact"/>
              <w:ind w:right="52"/>
              <w:jc w:val="right"/>
              <w:rPr>
                <w:sz w:val="15"/>
              </w:rPr>
            </w:pPr>
            <w:r>
              <w:rPr>
                <w:sz w:val="15"/>
              </w:rPr>
              <w:t>81.775,87</w:t>
            </w:r>
          </w:p>
        </w:tc>
      </w:tr>
      <w:tr>
        <w:trPr>
          <w:trHeight w:val="190" w:hRule="atLeast"/>
        </w:trPr>
        <w:tc>
          <w:tcPr>
            <w:tcW w:w="3976" w:type="dxa"/>
          </w:tcPr>
          <w:p>
            <w:pPr>
              <w:pStyle w:val="TableParagraph"/>
              <w:spacing w:line="170" w:lineRule="exact"/>
              <w:ind w:left="328"/>
              <w:rPr>
                <w:sz w:val="15"/>
              </w:rPr>
            </w:pPr>
            <w:r>
              <w:rPr>
                <w:sz w:val="15"/>
              </w:rPr>
              <w:t>2 Inversiones financieras a L/P</w:t>
            </w:r>
          </w:p>
        </w:tc>
        <w:tc>
          <w:tcPr>
            <w:tcW w:w="994" w:type="dxa"/>
          </w:tcPr>
          <w:p>
            <w:pPr>
              <w:pStyle w:val="TableParagraph"/>
              <w:spacing w:line="170" w:lineRule="exact"/>
              <w:ind w:right="59"/>
              <w:jc w:val="right"/>
              <w:rPr>
                <w:sz w:val="15"/>
              </w:rPr>
            </w:pPr>
            <w:r>
              <w:rPr>
                <w:sz w:val="15"/>
              </w:rPr>
              <w:t>127.669,29</w:t>
            </w:r>
          </w:p>
        </w:tc>
        <w:tc>
          <w:tcPr>
            <w:tcW w:w="809" w:type="dxa"/>
            <w:tcBorders>
              <w:right w:val="single" w:sz="4" w:space="0" w:color="000000"/>
            </w:tcBorders>
          </w:tcPr>
          <w:p>
            <w:pPr>
              <w:pStyle w:val="TableParagraph"/>
              <w:rPr>
                <w:rFonts w:ascii="Times New Roman"/>
                <w:sz w:val="12"/>
              </w:rPr>
            </w:pPr>
          </w:p>
        </w:tc>
      </w:tr>
      <w:tr>
        <w:trPr>
          <w:trHeight w:val="190" w:hRule="atLeast"/>
        </w:trPr>
        <w:tc>
          <w:tcPr>
            <w:tcW w:w="3976" w:type="dxa"/>
          </w:tcPr>
          <w:p>
            <w:pPr>
              <w:pStyle w:val="TableParagraph"/>
              <w:spacing w:line="170" w:lineRule="exact"/>
              <w:ind w:left="328"/>
              <w:rPr>
                <w:sz w:val="15"/>
              </w:rPr>
            </w:pPr>
            <w:r>
              <w:rPr>
                <w:sz w:val="15"/>
              </w:rPr>
              <w:t>2 a. Inversiones financieras en Patrimonio</w:t>
            </w:r>
          </w:p>
        </w:tc>
        <w:tc>
          <w:tcPr>
            <w:tcW w:w="994" w:type="dxa"/>
          </w:tcPr>
          <w:p>
            <w:pPr>
              <w:pStyle w:val="TableParagraph"/>
              <w:rPr>
                <w:rFonts w:ascii="Times New Roman"/>
                <w:sz w:val="12"/>
              </w:rPr>
            </w:pPr>
          </w:p>
        </w:tc>
        <w:tc>
          <w:tcPr>
            <w:tcW w:w="809" w:type="dxa"/>
            <w:tcBorders>
              <w:right w:val="single" w:sz="4" w:space="0" w:color="000000"/>
            </w:tcBorders>
          </w:tcPr>
          <w:p>
            <w:pPr>
              <w:pStyle w:val="TableParagraph"/>
              <w:spacing w:line="170" w:lineRule="exact"/>
              <w:ind w:right="52"/>
              <w:jc w:val="right"/>
              <w:rPr>
                <w:sz w:val="15"/>
              </w:rPr>
            </w:pPr>
            <w:r>
              <w:rPr>
                <w:sz w:val="15"/>
              </w:rPr>
              <w:t>3.878,02</w:t>
            </w:r>
          </w:p>
        </w:tc>
      </w:tr>
      <w:tr>
        <w:trPr>
          <w:trHeight w:val="190" w:hRule="atLeast"/>
        </w:trPr>
        <w:tc>
          <w:tcPr>
            <w:tcW w:w="3976" w:type="dxa"/>
          </w:tcPr>
          <w:p>
            <w:pPr>
              <w:pStyle w:val="TableParagraph"/>
              <w:spacing w:line="170" w:lineRule="exact"/>
              <w:ind w:left="328"/>
              <w:rPr>
                <w:sz w:val="15"/>
              </w:rPr>
            </w:pPr>
            <w:r>
              <w:rPr>
                <w:sz w:val="15"/>
              </w:rPr>
              <w:t>2 b. Créditos y Valores de Deuda</w:t>
            </w:r>
          </w:p>
        </w:tc>
        <w:tc>
          <w:tcPr>
            <w:tcW w:w="994" w:type="dxa"/>
          </w:tcPr>
          <w:p>
            <w:pPr>
              <w:pStyle w:val="TableParagraph"/>
              <w:rPr>
                <w:rFonts w:ascii="Times New Roman"/>
                <w:sz w:val="12"/>
              </w:rPr>
            </w:pPr>
          </w:p>
        </w:tc>
        <w:tc>
          <w:tcPr>
            <w:tcW w:w="809" w:type="dxa"/>
            <w:tcBorders>
              <w:right w:val="single" w:sz="4" w:space="0" w:color="000000"/>
            </w:tcBorders>
          </w:tcPr>
          <w:p>
            <w:pPr>
              <w:pStyle w:val="TableParagraph"/>
              <w:spacing w:line="170" w:lineRule="exact"/>
              <w:ind w:right="53"/>
              <w:jc w:val="right"/>
              <w:rPr>
                <w:sz w:val="15"/>
              </w:rPr>
            </w:pPr>
            <w:r>
              <w:rPr>
                <w:sz w:val="15"/>
              </w:rPr>
              <w:t>123.788,35</w:t>
            </w:r>
          </w:p>
        </w:tc>
      </w:tr>
      <w:tr>
        <w:trPr>
          <w:trHeight w:val="367" w:hRule="atLeast"/>
        </w:trPr>
        <w:tc>
          <w:tcPr>
            <w:tcW w:w="3976" w:type="dxa"/>
            <w:tcBorders>
              <w:bottom w:val="single" w:sz="4" w:space="0" w:color="000000"/>
            </w:tcBorders>
          </w:tcPr>
          <w:p>
            <w:pPr>
              <w:pStyle w:val="TableParagraph"/>
              <w:spacing w:line="173" w:lineRule="exact"/>
              <w:ind w:right="1630"/>
              <w:jc w:val="right"/>
              <w:rPr>
                <w:sz w:val="15"/>
              </w:rPr>
            </w:pPr>
            <w:r>
              <w:rPr>
                <w:sz w:val="15"/>
              </w:rPr>
              <w:t>2 c. Otras inversiones financieras</w:t>
            </w:r>
          </w:p>
          <w:p>
            <w:pPr>
              <w:pStyle w:val="TableParagraph"/>
              <w:spacing w:line="162" w:lineRule="exact" w:before="12"/>
              <w:ind w:right="1699"/>
              <w:jc w:val="right"/>
              <w:rPr>
                <w:b/>
                <w:sz w:val="15"/>
              </w:rPr>
            </w:pPr>
            <w:r>
              <w:rPr>
                <w:b/>
                <w:sz w:val="15"/>
              </w:rPr>
              <w:t>Total</w:t>
            </w:r>
          </w:p>
        </w:tc>
        <w:tc>
          <w:tcPr>
            <w:tcW w:w="994" w:type="dxa"/>
            <w:tcBorders>
              <w:bottom w:val="single" w:sz="4" w:space="0" w:color="000000"/>
            </w:tcBorders>
          </w:tcPr>
          <w:p>
            <w:pPr>
              <w:pStyle w:val="TableParagraph"/>
              <w:spacing w:before="10"/>
              <w:rPr>
                <w:b/>
                <w:sz w:val="14"/>
              </w:rPr>
            </w:pPr>
          </w:p>
          <w:p>
            <w:pPr>
              <w:pStyle w:val="TableParagraph"/>
              <w:spacing w:line="166" w:lineRule="exact"/>
              <w:ind w:right="58"/>
              <w:jc w:val="right"/>
              <w:rPr>
                <w:b/>
                <w:sz w:val="15"/>
              </w:rPr>
            </w:pPr>
            <w:r>
              <w:rPr>
                <w:b/>
                <w:sz w:val="15"/>
              </w:rPr>
              <w:t>210.917,42</w:t>
            </w:r>
          </w:p>
        </w:tc>
        <w:tc>
          <w:tcPr>
            <w:tcW w:w="809" w:type="dxa"/>
            <w:tcBorders>
              <w:bottom w:val="single" w:sz="4" w:space="0" w:color="000000"/>
              <w:right w:val="single" w:sz="4" w:space="0" w:color="000000"/>
            </w:tcBorders>
          </w:tcPr>
          <w:p>
            <w:pPr>
              <w:pStyle w:val="TableParagraph"/>
              <w:spacing w:line="173" w:lineRule="exact"/>
              <w:ind w:right="52"/>
              <w:jc w:val="right"/>
              <w:rPr>
                <w:sz w:val="15"/>
              </w:rPr>
            </w:pPr>
            <w:r>
              <w:rPr>
                <w:sz w:val="15"/>
              </w:rPr>
              <w:t>2,92</w:t>
            </w:r>
          </w:p>
          <w:p>
            <w:pPr>
              <w:pStyle w:val="TableParagraph"/>
              <w:spacing w:line="166" w:lineRule="exact" w:before="8"/>
              <w:ind w:right="52"/>
              <w:jc w:val="right"/>
              <w:rPr>
                <w:b/>
                <w:sz w:val="15"/>
              </w:rPr>
            </w:pPr>
            <w:r>
              <w:rPr>
                <w:b/>
                <w:spacing w:val="-2"/>
                <w:sz w:val="15"/>
              </w:rPr>
              <w:t>210.917,42</w:t>
            </w:r>
          </w:p>
        </w:tc>
      </w:tr>
    </w:tbl>
    <w:p>
      <w:pPr>
        <w:pStyle w:val="BodyText"/>
        <w:spacing w:before="75"/>
        <w:ind w:left="7787"/>
        <w:jc w:val="center"/>
      </w:pPr>
      <w:r>
        <w:rPr/>
        <w:pict>
          <v:line style="position:absolute;mso-position-horizontal-relative:page;mso-position-vertical-relative:paragraph;z-index:-322939904" from="183.66185pt,-77.304176pt" to="183.66185pt,-.229222pt" stroked="true" strokeweight=".403006pt" strokecolor="#000000">
            <v:stroke dashstyle="solid"/>
            <w10:wrap type="none"/>
          </v:line>
        </w:pict>
      </w:r>
      <w:r>
        <w:rPr/>
        <w:t>152</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19" name="image5.png"/>
                  <wp:cNvGraphicFramePr>
                    <a:graphicFrameLocks noChangeAspect="1"/>
                  </wp:cNvGraphicFramePr>
                  <a:graphic>
                    <a:graphicData uri="http://schemas.openxmlformats.org/drawingml/2006/picture">
                      <pic:pic>
                        <pic:nvPicPr>
                          <pic:cNvPr id="32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154/247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line="242" w:lineRule="auto" w:before="61"/>
        <w:ind w:left="2099" w:right="1142" w:firstLine="594"/>
        <w:jc w:val="both"/>
      </w:pPr>
      <w:r>
        <w:rPr/>
        <w:t>Las Inversiones financieras en el patrimonio de las SSMM (del grupo y</w:t>
      </w:r>
      <w:r>
        <w:rPr>
          <w:spacing w:val="-33"/>
        </w:rPr>
        <w:t> </w:t>
      </w:r>
      <w:r>
        <w:rPr/>
        <w:t>asociadas) presentan una valoración a 31 de diciembre de 86,2 millones de €, de las que hay que reducir</w:t>
      </w:r>
      <w:r>
        <w:rPr>
          <w:spacing w:val="-6"/>
        </w:rPr>
        <w:t> </w:t>
      </w:r>
      <w:r>
        <w:rPr/>
        <w:t>la</w:t>
      </w:r>
      <w:r>
        <w:rPr>
          <w:spacing w:val="-7"/>
        </w:rPr>
        <w:t> </w:t>
      </w:r>
      <w:r>
        <w:rPr/>
        <w:t>provisión</w:t>
      </w:r>
      <w:r>
        <w:rPr>
          <w:spacing w:val="-7"/>
        </w:rPr>
        <w:t> </w:t>
      </w:r>
      <w:r>
        <w:rPr/>
        <w:t>de</w:t>
      </w:r>
      <w:r>
        <w:rPr>
          <w:spacing w:val="-5"/>
        </w:rPr>
        <w:t> </w:t>
      </w:r>
      <w:r>
        <w:rPr/>
        <w:t>4,4</w:t>
      </w:r>
      <w:r>
        <w:rPr>
          <w:spacing w:val="-3"/>
        </w:rPr>
        <w:t> </w:t>
      </w:r>
      <w:r>
        <w:rPr/>
        <w:t>millones</w:t>
      </w:r>
      <w:r>
        <w:rPr>
          <w:spacing w:val="-7"/>
        </w:rPr>
        <w:t> </w:t>
      </w:r>
      <w:r>
        <w:rPr/>
        <w:t>de</w:t>
      </w:r>
      <w:r>
        <w:rPr>
          <w:spacing w:val="-6"/>
        </w:rPr>
        <w:t> </w:t>
      </w:r>
      <w:r>
        <w:rPr/>
        <w:t>€</w:t>
      </w:r>
      <w:r>
        <w:rPr>
          <w:spacing w:val="-5"/>
        </w:rPr>
        <w:t> </w:t>
      </w:r>
      <w:r>
        <w:rPr/>
        <w:t>efectuadas</w:t>
      </w:r>
      <w:r>
        <w:rPr>
          <w:spacing w:val="-3"/>
        </w:rPr>
        <w:t> </w:t>
      </w:r>
      <w:r>
        <w:rPr/>
        <w:t>en</w:t>
      </w:r>
      <w:r>
        <w:rPr>
          <w:spacing w:val="-3"/>
        </w:rPr>
        <w:t> </w:t>
      </w:r>
      <w:r>
        <w:rPr/>
        <w:t>las</w:t>
      </w:r>
      <w:r>
        <w:rPr>
          <w:spacing w:val="-6"/>
        </w:rPr>
        <w:t> </w:t>
      </w:r>
      <w:r>
        <w:rPr/>
        <w:t>empresas</w:t>
      </w:r>
      <w:r>
        <w:rPr>
          <w:spacing w:val="-5"/>
        </w:rPr>
        <w:t> </w:t>
      </w:r>
      <w:r>
        <w:rPr/>
        <w:t>públicas;</w:t>
      </w:r>
      <w:r>
        <w:rPr>
          <w:spacing w:val="-3"/>
        </w:rPr>
        <w:t> </w:t>
      </w:r>
      <w:r>
        <w:rPr/>
        <w:t>Gestur</w:t>
      </w:r>
      <w:r>
        <w:rPr>
          <w:spacing w:val="-6"/>
        </w:rPr>
        <w:t> </w:t>
      </w:r>
      <w:r>
        <w:rPr/>
        <w:t>Las Palmas (en liquidación), SATURNO y SODECAN.</w:t>
      </w:r>
    </w:p>
    <w:p>
      <w:pPr>
        <w:pStyle w:val="BodyText"/>
        <w:spacing w:before="5"/>
        <w:rPr>
          <w:sz w:val="16"/>
        </w:rPr>
      </w:pPr>
    </w:p>
    <w:p>
      <w:pPr>
        <w:pStyle w:val="BodyText"/>
        <w:ind w:left="2099" w:right="1145" w:firstLine="594"/>
        <w:jc w:val="both"/>
      </w:pPr>
      <w:r>
        <w:rPr/>
        <w:t>Respecto a las inversiones financieras en patrimonio de Derecho Público por 1.472,3 millones de €, es derivado de la baja en el presente ejercicio en el inmovilizado material de un edificio que se ha adscrito al SCS, y por tanto se convierte en un activo financiero a largo plazo para la CAC (activo no corriente).</w:t>
      </w:r>
    </w:p>
    <w:p>
      <w:pPr>
        <w:pStyle w:val="BodyText"/>
        <w:spacing w:before="2"/>
        <w:rPr>
          <w:sz w:val="17"/>
        </w:rPr>
      </w:pPr>
    </w:p>
    <w:p>
      <w:pPr>
        <w:pStyle w:val="BodyText"/>
        <w:ind w:left="2099" w:right="1144" w:firstLine="594"/>
        <w:jc w:val="both"/>
      </w:pPr>
      <w:r>
        <w:rPr/>
        <w:t>Las inversiones financieras en patrimonio corresponden a las aportaciones realizadas por la CAC a los fondos carentes de personalidad jurídica, registrándose posteriormente, las aportaciones y ajustes en base a las cuentas de cada una de ellas.</w:t>
      </w:r>
    </w:p>
    <w:p>
      <w:pPr>
        <w:pStyle w:val="BodyText"/>
        <w:spacing w:before="11"/>
        <w:rPr>
          <w:sz w:val="16"/>
        </w:rPr>
      </w:pPr>
    </w:p>
    <w:p>
      <w:pPr>
        <w:pStyle w:val="BodyText"/>
        <w:ind w:left="2693"/>
      </w:pPr>
      <w:r>
        <w:rPr/>
        <w:t>Otras inversiones financieras corresponden a una fianza depositada.</w:t>
      </w:r>
    </w:p>
    <w:p>
      <w:pPr>
        <w:pStyle w:val="BodyText"/>
        <w:spacing w:before="8"/>
        <w:rPr>
          <w:sz w:val="16"/>
        </w:rPr>
      </w:pPr>
    </w:p>
    <w:p>
      <w:pPr>
        <w:pStyle w:val="BodyText"/>
        <w:ind w:left="2099" w:right="1144" w:firstLine="594"/>
        <w:jc w:val="both"/>
      </w:pPr>
      <w:r>
        <w:rPr/>
        <w:t>En los créditos y valores de deuda se recogen el saldo vivo de la deuda de los Cabildos Insulares, con la CAC por el saldo negativo de la liquidación definitiva de las competencias transferidas y delegadas para los ejercicios 2008 y 2009, que ascienden a 7,7 millones de €; y el resto (116,1 millones de €) a préstamos diversos concedidos por la CAC cuantificados y regularizados reflejando la imagen fiel de los mismos.</w:t>
      </w:r>
    </w:p>
    <w:p>
      <w:pPr>
        <w:pStyle w:val="BodyText"/>
        <w:spacing w:before="4"/>
        <w:rPr>
          <w:sz w:val="17"/>
        </w:rPr>
      </w:pPr>
    </w:p>
    <w:p>
      <w:pPr>
        <w:pStyle w:val="BodyText"/>
        <w:spacing w:before="1"/>
        <w:ind w:left="2099" w:right="1146" w:firstLine="594"/>
        <w:jc w:val="both"/>
      </w:pPr>
      <w:r>
        <w:rPr/>
        <w:t>Destacar que la IGCAC analizó el estado de situación en contabilidad financiera de todos los préstamos concedidos al cierre del ejercicio 2022, aflorando ajustes (derivados de situaciones de insolvencia, ajustes de cuotas por intereses contabilizados como capital, y cuotas no contabilizadas al vincularse a subvenciones recibidas).</w:t>
      </w:r>
    </w:p>
    <w:p>
      <w:pPr>
        <w:pStyle w:val="BodyText"/>
        <w:rPr>
          <w:sz w:val="17"/>
        </w:rPr>
      </w:pPr>
    </w:p>
    <w:p>
      <w:pPr>
        <w:pStyle w:val="BodyText"/>
        <w:ind w:left="2099" w:right="1145" w:firstLine="594"/>
        <w:jc w:val="both"/>
      </w:pPr>
      <w:r>
        <w:rPr/>
        <w:t>Derivado de dicho estudio, y siguiendo las recomendaciones de este Órgano de Control</w:t>
      </w:r>
      <w:r>
        <w:rPr>
          <w:spacing w:val="-7"/>
        </w:rPr>
        <w:t> </w:t>
      </w:r>
      <w:r>
        <w:rPr/>
        <w:t>Externo,</w:t>
      </w:r>
      <w:r>
        <w:rPr>
          <w:spacing w:val="-3"/>
        </w:rPr>
        <w:t> </w:t>
      </w:r>
      <w:r>
        <w:rPr/>
        <w:t>la</w:t>
      </w:r>
      <w:r>
        <w:rPr>
          <w:spacing w:val="-4"/>
        </w:rPr>
        <w:t> </w:t>
      </w:r>
      <w:r>
        <w:rPr/>
        <w:t>IGCAC</w:t>
      </w:r>
      <w:r>
        <w:rPr>
          <w:spacing w:val="-5"/>
        </w:rPr>
        <w:t> </w:t>
      </w:r>
      <w:r>
        <w:rPr/>
        <w:t>realizó</w:t>
      </w:r>
      <w:r>
        <w:rPr>
          <w:spacing w:val="-6"/>
        </w:rPr>
        <w:t> </w:t>
      </w:r>
      <w:r>
        <w:rPr/>
        <w:t>una</w:t>
      </w:r>
      <w:r>
        <w:rPr>
          <w:spacing w:val="-4"/>
        </w:rPr>
        <w:t> </w:t>
      </w:r>
      <w:r>
        <w:rPr/>
        <w:t>provisión</w:t>
      </w:r>
      <w:r>
        <w:rPr>
          <w:spacing w:val="-4"/>
        </w:rPr>
        <w:t> </w:t>
      </w:r>
      <w:r>
        <w:rPr/>
        <w:t>sobre</w:t>
      </w:r>
      <w:r>
        <w:rPr>
          <w:spacing w:val="-4"/>
        </w:rPr>
        <w:t> </w:t>
      </w:r>
      <w:r>
        <w:rPr/>
        <w:t>los</w:t>
      </w:r>
      <w:r>
        <w:rPr>
          <w:spacing w:val="-6"/>
        </w:rPr>
        <w:t> </w:t>
      </w:r>
      <w:r>
        <w:rPr/>
        <w:t>préstamos</w:t>
      </w:r>
      <w:r>
        <w:rPr>
          <w:spacing w:val="-5"/>
        </w:rPr>
        <w:t> </w:t>
      </w:r>
      <w:r>
        <w:rPr/>
        <w:t>con</w:t>
      </w:r>
      <w:r>
        <w:rPr>
          <w:spacing w:val="-4"/>
        </w:rPr>
        <w:t> </w:t>
      </w:r>
      <w:r>
        <w:rPr/>
        <w:t>riesgo</w:t>
      </w:r>
      <w:r>
        <w:rPr>
          <w:spacing w:val="-4"/>
        </w:rPr>
        <w:t> </w:t>
      </w:r>
      <w:r>
        <w:rPr/>
        <w:t>de</w:t>
      </w:r>
      <w:r>
        <w:rPr>
          <w:spacing w:val="-6"/>
        </w:rPr>
        <w:t> </w:t>
      </w:r>
      <w:r>
        <w:rPr/>
        <w:t>no</w:t>
      </w:r>
      <w:r>
        <w:rPr>
          <w:spacing w:val="-4"/>
        </w:rPr>
        <w:t> </w:t>
      </w:r>
      <w:r>
        <w:rPr/>
        <w:t>ser devueltos que ascendió a 13,3 millones de</w:t>
      </w:r>
      <w:r>
        <w:rPr>
          <w:spacing w:val="-4"/>
        </w:rPr>
        <w:t> </w:t>
      </w:r>
      <w:r>
        <w:rPr/>
        <w:t>€.</w:t>
      </w:r>
    </w:p>
    <w:p>
      <w:pPr>
        <w:pStyle w:val="BodyText"/>
        <w:spacing w:before="12"/>
        <w:rPr>
          <w:sz w:val="16"/>
        </w:rPr>
      </w:pPr>
    </w:p>
    <w:p>
      <w:pPr>
        <w:pStyle w:val="BodyText"/>
        <w:ind w:left="2739"/>
      </w:pPr>
      <w:r>
        <w:rPr/>
        <w:t>Durante el ejercicio 2022 no se han producido nuevas disposiciones.</w:t>
      </w:r>
    </w:p>
    <w:p>
      <w:pPr>
        <w:pStyle w:val="BodyText"/>
        <w:spacing w:before="7"/>
        <w:rPr>
          <w:sz w:val="16"/>
        </w:rPr>
      </w:pPr>
    </w:p>
    <w:p>
      <w:pPr>
        <w:pStyle w:val="BodyText"/>
        <w:spacing w:line="242" w:lineRule="auto" w:before="1"/>
        <w:ind w:left="2099" w:right="1142" w:firstLine="640"/>
        <w:jc w:val="both"/>
      </w:pPr>
      <w:r>
        <w:rPr/>
        <w:t>GMR procedió a cancelar los 240.000 euros que tenían pendiente a 31 de diciembre de 2021, contabilizándose como único asiento, en el subconcepto 821.00 Reintegro de préstamos concedidos al Sector Público” que presentaba una previsión definitiva de ingreso por 2,9 millones de €.</w:t>
      </w:r>
    </w:p>
    <w:p>
      <w:pPr>
        <w:pStyle w:val="BodyText"/>
        <w:spacing w:before="3"/>
        <w:rPr>
          <w:sz w:val="16"/>
        </w:rPr>
      </w:pPr>
    </w:p>
    <w:p>
      <w:pPr>
        <w:pStyle w:val="BodyText"/>
        <w:spacing w:line="242" w:lineRule="auto"/>
        <w:ind w:left="2099" w:right="1139" w:firstLine="594"/>
        <w:jc w:val="both"/>
      </w:pPr>
      <w:r>
        <w:rPr/>
        <w:t>Respecto al resto de entes con presupuesto limitativo la valoración alcanza los 5,5</w:t>
      </w:r>
      <w:r>
        <w:rPr>
          <w:spacing w:val="-4"/>
        </w:rPr>
        <w:t> </w:t>
      </w:r>
      <w:r>
        <w:rPr/>
        <w:t>millones</w:t>
      </w:r>
      <w:r>
        <w:rPr>
          <w:spacing w:val="-6"/>
        </w:rPr>
        <w:t> </w:t>
      </w:r>
      <w:r>
        <w:rPr/>
        <w:t>de</w:t>
      </w:r>
      <w:r>
        <w:rPr>
          <w:spacing w:val="-6"/>
        </w:rPr>
        <w:t> </w:t>
      </w:r>
      <w:r>
        <w:rPr/>
        <w:t>€.</w:t>
      </w:r>
      <w:r>
        <w:rPr>
          <w:spacing w:val="-5"/>
        </w:rPr>
        <w:t> </w:t>
      </w:r>
      <w:r>
        <w:rPr/>
        <w:t>Entre</w:t>
      </w:r>
      <w:r>
        <w:rPr>
          <w:spacing w:val="-6"/>
        </w:rPr>
        <w:t> </w:t>
      </w:r>
      <w:r>
        <w:rPr/>
        <w:t>ellos</w:t>
      </w:r>
      <w:r>
        <w:rPr>
          <w:spacing w:val="-5"/>
        </w:rPr>
        <w:t> </w:t>
      </w:r>
      <w:r>
        <w:rPr/>
        <w:t>destaca</w:t>
      </w:r>
      <w:r>
        <w:rPr>
          <w:spacing w:val="-5"/>
        </w:rPr>
        <w:t> </w:t>
      </w:r>
      <w:r>
        <w:rPr/>
        <w:t>los</w:t>
      </w:r>
      <w:r>
        <w:rPr>
          <w:spacing w:val="-4"/>
        </w:rPr>
        <w:t> </w:t>
      </w:r>
      <w:r>
        <w:rPr/>
        <w:t>3,6</w:t>
      </w:r>
      <w:r>
        <w:rPr>
          <w:spacing w:val="-4"/>
        </w:rPr>
        <w:t> </w:t>
      </w:r>
      <w:r>
        <w:rPr/>
        <w:t>millones</w:t>
      </w:r>
      <w:r>
        <w:rPr>
          <w:spacing w:val="-4"/>
        </w:rPr>
        <w:t> </w:t>
      </w:r>
      <w:r>
        <w:rPr/>
        <w:t>de</w:t>
      </w:r>
      <w:r>
        <w:rPr>
          <w:spacing w:val="-3"/>
        </w:rPr>
        <w:t> </w:t>
      </w:r>
      <w:r>
        <w:rPr/>
        <w:t>€</w:t>
      </w:r>
      <w:r>
        <w:rPr>
          <w:spacing w:val="-6"/>
        </w:rPr>
        <w:t> </w:t>
      </w:r>
      <w:r>
        <w:rPr/>
        <w:t>del</w:t>
      </w:r>
      <w:r>
        <w:rPr>
          <w:spacing w:val="-4"/>
        </w:rPr>
        <w:t> </w:t>
      </w:r>
      <w:r>
        <w:rPr/>
        <w:t>SCS</w:t>
      </w:r>
      <w:r>
        <w:rPr>
          <w:spacing w:val="-5"/>
        </w:rPr>
        <w:t> </w:t>
      </w:r>
      <w:r>
        <w:rPr/>
        <w:t>sin</w:t>
      </w:r>
      <w:r>
        <w:rPr>
          <w:spacing w:val="-4"/>
        </w:rPr>
        <w:t> </w:t>
      </w:r>
      <w:r>
        <w:rPr/>
        <w:t>que</w:t>
      </w:r>
      <w:r>
        <w:rPr>
          <w:spacing w:val="-6"/>
        </w:rPr>
        <w:t> </w:t>
      </w:r>
      <w:r>
        <w:rPr/>
        <w:t>en</w:t>
      </w:r>
      <w:r>
        <w:rPr>
          <w:spacing w:val="-4"/>
        </w:rPr>
        <w:t> </w:t>
      </w:r>
      <w:r>
        <w:rPr/>
        <w:t>la</w:t>
      </w:r>
      <w:r>
        <w:rPr>
          <w:spacing w:val="-4"/>
        </w:rPr>
        <w:t> </w:t>
      </w:r>
      <w:r>
        <w:rPr/>
        <w:t>memoria se especifique información alguna y los 1,6 millones de € de RTVC que corresponden a la</w:t>
      </w:r>
      <w:r>
        <w:rPr>
          <w:spacing w:val="8"/>
        </w:rPr>
        <w:t> </w:t>
      </w:r>
      <w:r>
        <w:rPr/>
        <w:t>participación</w:t>
      </w:r>
      <w:r>
        <w:rPr>
          <w:spacing w:val="9"/>
        </w:rPr>
        <w:t> </w:t>
      </w:r>
      <w:r>
        <w:rPr/>
        <w:t>de</w:t>
      </w:r>
      <w:r>
        <w:rPr>
          <w:spacing w:val="9"/>
        </w:rPr>
        <w:t> </w:t>
      </w:r>
      <w:r>
        <w:rPr/>
        <w:t>la</w:t>
      </w:r>
      <w:r>
        <w:rPr>
          <w:spacing w:val="7"/>
        </w:rPr>
        <w:t> </w:t>
      </w:r>
      <w:r>
        <w:rPr/>
        <w:t>citada</w:t>
      </w:r>
      <w:r>
        <w:rPr>
          <w:spacing w:val="9"/>
        </w:rPr>
        <w:t> </w:t>
      </w:r>
      <w:r>
        <w:rPr/>
        <w:t>entidad</w:t>
      </w:r>
      <w:r>
        <w:rPr>
          <w:spacing w:val="7"/>
        </w:rPr>
        <w:t> </w:t>
      </w:r>
      <w:r>
        <w:rPr/>
        <w:t>en</w:t>
      </w:r>
      <w:r>
        <w:rPr>
          <w:spacing w:val="8"/>
        </w:rPr>
        <w:t> </w:t>
      </w:r>
      <w:r>
        <w:rPr/>
        <w:t>sus</w:t>
      </w:r>
      <w:r>
        <w:rPr>
          <w:spacing w:val="8"/>
        </w:rPr>
        <w:t> </w:t>
      </w:r>
      <w:r>
        <w:rPr/>
        <w:t>sociedades</w:t>
      </w:r>
      <w:r>
        <w:rPr>
          <w:spacing w:val="7"/>
        </w:rPr>
        <w:t> </w:t>
      </w:r>
      <w:r>
        <w:rPr/>
        <w:t>dependientes</w:t>
      </w:r>
      <w:r>
        <w:rPr>
          <w:spacing w:val="9"/>
        </w:rPr>
        <w:t> </w:t>
      </w:r>
      <w:r>
        <w:rPr/>
        <w:t>(935.370</w:t>
      </w:r>
      <w:r>
        <w:rPr>
          <w:spacing w:val="6"/>
        </w:rPr>
        <w:t> </w:t>
      </w:r>
      <w:r>
        <w:rPr/>
        <w:t>euros)</w:t>
      </w:r>
      <w:r>
        <w:rPr>
          <w:spacing w:val="8"/>
        </w:rPr>
        <w:t> </w:t>
      </w:r>
      <w:r>
        <w:rPr/>
        <w:t>y</w:t>
      </w:r>
    </w:p>
    <w:p>
      <w:pPr>
        <w:pStyle w:val="BodyText"/>
        <w:spacing w:before="144"/>
        <w:ind w:right="1140"/>
        <w:jc w:val="right"/>
      </w:pPr>
      <w:r>
        <w:rPr/>
        <w:t>153</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21" name="image5.png"/>
                  <wp:cNvGraphicFramePr>
                    <a:graphicFrameLocks noChangeAspect="1"/>
                  </wp:cNvGraphicFramePr>
                  <a:graphic>
                    <a:graphicData uri="http://schemas.openxmlformats.org/drawingml/2006/picture">
                      <pic:pic>
                        <pic:nvPicPr>
                          <pic:cNvPr id="32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155/247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099"/>
      </w:pPr>
      <w:r>
        <w:rPr/>
        <w:t>su participación en la Federación de Organismos de Radio y Televisión Autonómicos).</w:t>
      </w:r>
    </w:p>
    <w:p>
      <w:pPr>
        <w:pStyle w:val="BodyText"/>
        <w:spacing w:before="8"/>
        <w:rPr>
          <w:sz w:val="16"/>
        </w:rPr>
      </w:pPr>
    </w:p>
    <w:p>
      <w:pPr>
        <w:pStyle w:val="BodyText"/>
        <w:ind w:left="2099" w:right="1144" w:firstLine="594"/>
        <w:jc w:val="both"/>
      </w:pPr>
      <w:r>
        <w:rPr/>
        <w:t>La ACPMN y el ICV presentan saldos negativos que deberán ser objeto de depuración.</w:t>
      </w:r>
    </w:p>
    <w:p>
      <w:pPr>
        <w:pStyle w:val="BodyText"/>
        <w:spacing w:before="12"/>
        <w:rPr>
          <w:sz w:val="16"/>
        </w:rPr>
      </w:pPr>
    </w:p>
    <w:p>
      <w:pPr>
        <w:pStyle w:val="Heading1"/>
        <w:tabs>
          <w:tab w:pos="2629" w:val="left" w:leader="none"/>
        </w:tabs>
        <w:ind w:left="2099"/>
        <w:jc w:val="left"/>
      </w:pPr>
      <w:r>
        <w:rPr>
          <w:color w:val="53A1B9"/>
        </w:rPr>
        <w:t>7.6</w:t>
        <w:tab/>
        <w:t>Convenio de carreteras.</w:t>
      </w:r>
    </w:p>
    <w:p>
      <w:pPr>
        <w:pStyle w:val="BodyText"/>
        <w:spacing w:before="7"/>
        <w:rPr>
          <w:b/>
          <w:sz w:val="16"/>
        </w:rPr>
      </w:pPr>
    </w:p>
    <w:p>
      <w:pPr>
        <w:pStyle w:val="BodyText"/>
        <w:spacing w:line="242" w:lineRule="auto" w:before="1"/>
        <w:ind w:left="2099" w:right="1140" w:firstLine="594"/>
        <w:jc w:val="both"/>
      </w:pPr>
      <w:r>
        <w:rPr/>
        <w:t>A 31 de diciembre de 2022 en la cuenta 413 (Acreedores por operaciones pendientes de aplicar a presupuesto) del Ministerio de Transportes figura un saldo de 250,7 millones de €, que tiene su origen en las sentencias dictadas por el Tribunal Supremo en 2017 y 2018, derivadas del incumplimiento, por parte del Estado, del Convenio entre la AGE y la CAC en materia de carreteras celebrado el 31 de enero de 2006. Este saldo tiene su origen en la cuantificación en 2018 de dichos incumplimientos en 503,5 millones de € (419,5 millones de € en concepto de deuda por actuaciones ejecutadas por la CAC a 31 de diciembre de 2018 y 84 millones de € en concepto de intereses).</w:t>
      </w:r>
    </w:p>
    <w:p>
      <w:pPr>
        <w:pStyle w:val="BodyText"/>
        <w:spacing w:before="12"/>
        <w:rPr>
          <w:sz w:val="15"/>
        </w:rPr>
      </w:pPr>
    </w:p>
    <w:p>
      <w:pPr>
        <w:pStyle w:val="BodyText"/>
        <w:ind w:left="2099" w:right="1141" w:firstLine="594"/>
        <w:jc w:val="both"/>
      </w:pPr>
      <w:r>
        <w:rPr/>
        <w:t>El</w:t>
      </w:r>
      <w:r>
        <w:rPr>
          <w:spacing w:val="-5"/>
        </w:rPr>
        <w:t> </w:t>
      </w:r>
      <w:r>
        <w:rPr/>
        <w:t>saldo</w:t>
      </w:r>
      <w:r>
        <w:rPr>
          <w:spacing w:val="-4"/>
        </w:rPr>
        <w:t> </w:t>
      </w:r>
      <w:r>
        <w:rPr/>
        <w:t>se</w:t>
      </w:r>
      <w:r>
        <w:rPr>
          <w:spacing w:val="-6"/>
        </w:rPr>
        <w:t> </w:t>
      </w:r>
      <w:r>
        <w:rPr/>
        <w:t>ha</w:t>
      </w:r>
      <w:r>
        <w:rPr>
          <w:spacing w:val="-5"/>
        </w:rPr>
        <w:t> </w:t>
      </w:r>
      <w:r>
        <w:rPr/>
        <w:t>incrementado</w:t>
      </w:r>
      <w:r>
        <w:rPr>
          <w:spacing w:val="-6"/>
        </w:rPr>
        <w:t> </w:t>
      </w:r>
      <w:r>
        <w:rPr/>
        <w:t>entre</w:t>
      </w:r>
      <w:r>
        <w:rPr>
          <w:spacing w:val="-6"/>
        </w:rPr>
        <w:t> </w:t>
      </w:r>
      <w:r>
        <w:rPr/>
        <w:t>los</w:t>
      </w:r>
      <w:r>
        <w:rPr>
          <w:spacing w:val="-7"/>
        </w:rPr>
        <w:t> </w:t>
      </w:r>
      <w:r>
        <w:rPr/>
        <w:t>años</w:t>
      </w:r>
      <w:r>
        <w:rPr>
          <w:spacing w:val="-6"/>
        </w:rPr>
        <w:t> </w:t>
      </w:r>
      <w:r>
        <w:rPr/>
        <w:t>2019</w:t>
      </w:r>
      <w:r>
        <w:rPr>
          <w:spacing w:val="-6"/>
        </w:rPr>
        <w:t> </w:t>
      </w:r>
      <w:r>
        <w:rPr/>
        <w:t>y</w:t>
      </w:r>
      <w:r>
        <w:rPr>
          <w:spacing w:val="-8"/>
        </w:rPr>
        <w:t> </w:t>
      </w:r>
      <w:r>
        <w:rPr/>
        <w:t>2022</w:t>
      </w:r>
      <w:r>
        <w:rPr>
          <w:spacing w:val="-6"/>
        </w:rPr>
        <w:t> </w:t>
      </w:r>
      <w:r>
        <w:rPr/>
        <w:t>en</w:t>
      </w:r>
      <w:r>
        <w:rPr>
          <w:spacing w:val="-4"/>
        </w:rPr>
        <w:t> </w:t>
      </w:r>
      <w:r>
        <w:rPr/>
        <w:t>47,2</w:t>
      </w:r>
      <w:r>
        <w:rPr>
          <w:spacing w:val="-6"/>
        </w:rPr>
        <w:t> </w:t>
      </w:r>
      <w:r>
        <w:rPr/>
        <w:t>millones</w:t>
      </w:r>
      <w:r>
        <w:rPr>
          <w:spacing w:val="-6"/>
        </w:rPr>
        <w:t> </w:t>
      </w:r>
      <w:r>
        <w:rPr/>
        <w:t>de</w:t>
      </w:r>
      <w:r>
        <w:rPr>
          <w:spacing w:val="-6"/>
        </w:rPr>
        <w:t> </w:t>
      </w:r>
      <w:r>
        <w:rPr/>
        <w:t>€</w:t>
      </w:r>
      <w:r>
        <w:rPr>
          <w:spacing w:val="-7"/>
        </w:rPr>
        <w:t> </w:t>
      </w:r>
      <w:r>
        <w:rPr/>
        <w:t>por intereses y se ha reducido en 300 millones de €, consecuencia estos últimos de las aportaciones consignadas por el Estado en los presupuestos de los años 2021 y</w:t>
      </w:r>
      <w:r>
        <w:rPr>
          <w:spacing w:val="7"/>
        </w:rPr>
        <w:t> </w:t>
      </w:r>
      <w:r>
        <w:rPr/>
        <w:t>2022.</w:t>
      </w:r>
    </w:p>
    <w:p>
      <w:pPr>
        <w:pStyle w:val="BodyText"/>
        <w:spacing w:before="11"/>
        <w:rPr>
          <w:sz w:val="16"/>
        </w:rPr>
      </w:pPr>
    </w:p>
    <w:p>
      <w:pPr>
        <w:pStyle w:val="BodyText"/>
        <w:spacing w:line="242" w:lineRule="auto"/>
        <w:ind w:left="2099" w:right="1139" w:firstLine="594"/>
        <w:jc w:val="both"/>
      </w:pPr>
      <w:r>
        <w:rPr/>
        <w:t>Las</w:t>
      </w:r>
      <w:r>
        <w:rPr>
          <w:spacing w:val="-9"/>
        </w:rPr>
        <w:t> </w:t>
      </w:r>
      <w:r>
        <w:rPr/>
        <w:t>cantidades</w:t>
      </w:r>
      <w:r>
        <w:rPr>
          <w:spacing w:val="-7"/>
        </w:rPr>
        <w:t> </w:t>
      </w:r>
      <w:r>
        <w:rPr/>
        <w:t>aún</w:t>
      </w:r>
      <w:r>
        <w:rPr>
          <w:spacing w:val="-8"/>
        </w:rPr>
        <w:t> </w:t>
      </w:r>
      <w:r>
        <w:rPr/>
        <w:t>pendientes</w:t>
      </w:r>
      <w:r>
        <w:rPr>
          <w:spacing w:val="-8"/>
        </w:rPr>
        <w:t> </w:t>
      </w:r>
      <w:r>
        <w:rPr/>
        <w:t>de</w:t>
      </w:r>
      <w:r>
        <w:rPr>
          <w:spacing w:val="-7"/>
        </w:rPr>
        <w:t> </w:t>
      </w:r>
      <w:r>
        <w:rPr/>
        <w:t>cobro</w:t>
      </w:r>
      <w:r>
        <w:rPr>
          <w:spacing w:val="-10"/>
        </w:rPr>
        <w:t> </w:t>
      </w:r>
      <w:r>
        <w:rPr/>
        <w:t>del</w:t>
      </w:r>
      <w:r>
        <w:rPr>
          <w:spacing w:val="-9"/>
        </w:rPr>
        <w:t> </w:t>
      </w:r>
      <w:r>
        <w:rPr/>
        <w:t>citado</w:t>
      </w:r>
      <w:r>
        <w:rPr>
          <w:spacing w:val="-10"/>
        </w:rPr>
        <w:t> </w:t>
      </w:r>
      <w:r>
        <w:rPr/>
        <w:t>convenio</w:t>
      </w:r>
      <w:r>
        <w:rPr>
          <w:spacing w:val="-9"/>
        </w:rPr>
        <w:t> </w:t>
      </w:r>
      <w:r>
        <w:rPr/>
        <w:t>podrán</w:t>
      </w:r>
      <w:r>
        <w:rPr>
          <w:spacing w:val="-8"/>
        </w:rPr>
        <w:t> </w:t>
      </w:r>
      <w:r>
        <w:rPr/>
        <w:t>ser</w:t>
      </w:r>
      <w:r>
        <w:rPr>
          <w:spacing w:val="-10"/>
        </w:rPr>
        <w:t> </w:t>
      </w:r>
      <w:r>
        <w:rPr/>
        <w:t>aplicadas por</w:t>
      </w:r>
      <w:r>
        <w:rPr>
          <w:spacing w:val="-8"/>
        </w:rPr>
        <w:t> </w:t>
      </w:r>
      <w:r>
        <w:rPr/>
        <w:t>la</w:t>
      </w:r>
      <w:r>
        <w:rPr>
          <w:spacing w:val="-7"/>
        </w:rPr>
        <w:t> </w:t>
      </w:r>
      <w:r>
        <w:rPr/>
        <w:t>CAC</w:t>
      </w:r>
      <w:r>
        <w:rPr>
          <w:spacing w:val="-8"/>
        </w:rPr>
        <w:t> </w:t>
      </w:r>
      <w:r>
        <w:rPr/>
        <w:t>a</w:t>
      </w:r>
      <w:r>
        <w:rPr>
          <w:spacing w:val="-9"/>
        </w:rPr>
        <w:t> </w:t>
      </w:r>
      <w:r>
        <w:rPr/>
        <w:t>financiar</w:t>
      </w:r>
      <w:r>
        <w:rPr>
          <w:spacing w:val="-10"/>
        </w:rPr>
        <w:t> </w:t>
      </w:r>
      <w:r>
        <w:rPr/>
        <w:t>déficit,</w:t>
      </w:r>
      <w:r>
        <w:rPr>
          <w:spacing w:val="-7"/>
        </w:rPr>
        <w:t> </w:t>
      </w:r>
      <w:r>
        <w:rPr/>
        <w:t>y</w:t>
      </w:r>
      <w:r>
        <w:rPr>
          <w:spacing w:val="-8"/>
        </w:rPr>
        <w:t> </w:t>
      </w:r>
      <w:r>
        <w:rPr/>
        <w:t>no</w:t>
      </w:r>
      <w:r>
        <w:rPr>
          <w:spacing w:val="-9"/>
        </w:rPr>
        <w:t> </w:t>
      </w:r>
      <w:r>
        <w:rPr/>
        <w:t>a</w:t>
      </w:r>
      <w:r>
        <w:rPr>
          <w:spacing w:val="-10"/>
        </w:rPr>
        <w:t> </w:t>
      </w:r>
      <w:r>
        <w:rPr/>
        <w:t>reducir</w:t>
      </w:r>
      <w:r>
        <w:rPr>
          <w:spacing w:val="-9"/>
        </w:rPr>
        <w:t> </w:t>
      </w:r>
      <w:r>
        <w:rPr/>
        <w:t>el</w:t>
      </w:r>
      <w:r>
        <w:rPr>
          <w:spacing w:val="-9"/>
        </w:rPr>
        <w:t> </w:t>
      </w:r>
      <w:r>
        <w:rPr/>
        <w:t>nivel</w:t>
      </w:r>
      <w:r>
        <w:rPr>
          <w:spacing w:val="-9"/>
        </w:rPr>
        <w:t> </w:t>
      </w:r>
      <w:r>
        <w:rPr/>
        <w:t>de</w:t>
      </w:r>
      <w:r>
        <w:rPr>
          <w:spacing w:val="-9"/>
        </w:rPr>
        <w:t> </w:t>
      </w:r>
      <w:r>
        <w:rPr/>
        <w:t>endeudamiento,</w:t>
      </w:r>
      <w:r>
        <w:rPr>
          <w:spacing w:val="-9"/>
        </w:rPr>
        <w:t> </w:t>
      </w:r>
      <w:r>
        <w:rPr/>
        <w:t>tal</w:t>
      </w:r>
      <w:r>
        <w:rPr>
          <w:spacing w:val="-7"/>
        </w:rPr>
        <w:t> </w:t>
      </w:r>
      <w:r>
        <w:rPr/>
        <w:t>y</w:t>
      </w:r>
      <w:r>
        <w:rPr>
          <w:spacing w:val="-10"/>
        </w:rPr>
        <w:t> </w:t>
      </w:r>
      <w:r>
        <w:rPr/>
        <w:t>como</w:t>
      </w:r>
      <w:r>
        <w:rPr>
          <w:spacing w:val="-8"/>
        </w:rPr>
        <w:t> </w:t>
      </w:r>
      <w:r>
        <w:rPr/>
        <w:t>recoge la Disposición Adicional centésima quincuagésima tercera de la Ley de Presupuestos del Estado para 2021, que exceptúa de estos cobros la aplicación del Art. 32 de la Ley Orgánica 2/2012 de Estabilidad Presupuestaria y Sostenibilidad</w:t>
      </w:r>
      <w:r>
        <w:rPr>
          <w:spacing w:val="-1"/>
        </w:rPr>
        <w:t> </w:t>
      </w:r>
      <w:r>
        <w:rPr/>
        <w:t>Financiera.</w:t>
      </w:r>
    </w:p>
    <w:p>
      <w:pPr>
        <w:pStyle w:val="BodyText"/>
        <w:spacing w:before="5"/>
        <w:rPr>
          <w:sz w:val="16"/>
        </w:rPr>
      </w:pPr>
    </w:p>
    <w:p>
      <w:pPr>
        <w:pStyle w:val="BodyText"/>
        <w:ind w:left="2099" w:right="1149" w:firstLine="594"/>
        <w:jc w:val="both"/>
      </w:pPr>
      <w:r>
        <w:rPr/>
        <w:t>El apartado segundo de la citada disposición adicional también permite a la CAC que dichos recursos puedan ser aplicados por ésta última a empleos no financieros no consolidables, excepcionales y temporales.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pStyle w:val="BodyText"/>
        <w:spacing w:before="61"/>
        <w:ind w:left="7787"/>
        <w:jc w:val="center"/>
      </w:pPr>
      <w:r>
        <w:rPr/>
        <w:t>154</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23" name="image5.png"/>
                  <wp:cNvGraphicFramePr>
                    <a:graphicFrameLocks noChangeAspect="1"/>
                  </wp:cNvGraphicFramePr>
                  <a:graphic>
                    <a:graphicData uri="http://schemas.openxmlformats.org/drawingml/2006/picture">
                      <pic:pic>
                        <pic:nvPicPr>
                          <pic:cNvPr id="32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156/247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94"/>
        </w:numPr>
        <w:tabs>
          <w:tab w:pos="4741" w:val="left" w:leader="none"/>
          <w:tab w:pos="4742" w:val="left" w:leader="none"/>
        </w:tabs>
        <w:spacing w:line="240" w:lineRule="auto" w:before="61" w:after="0"/>
        <w:ind w:left="4741" w:right="0" w:hanging="410"/>
        <w:jc w:val="left"/>
        <w:rPr>
          <w:b/>
          <w:sz w:val="20"/>
        </w:rPr>
      </w:pPr>
      <w:r>
        <w:rPr>
          <w:b/>
          <w:color w:val="53A1B9"/>
          <w:sz w:val="20"/>
        </w:rPr>
        <w:t>TRÁMITE DE</w:t>
      </w:r>
      <w:r>
        <w:rPr>
          <w:b/>
          <w:color w:val="53A1B9"/>
          <w:spacing w:val="1"/>
          <w:sz w:val="20"/>
        </w:rPr>
        <w:t> </w:t>
      </w:r>
      <w:r>
        <w:rPr>
          <w:b/>
          <w:color w:val="53A1B9"/>
          <w:sz w:val="20"/>
        </w:rPr>
        <w:t>ALEGACIONES</w:t>
      </w:r>
    </w:p>
    <w:p>
      <w:pPr>
        <w:pStyle w:val="BodyText"/>
        <w:spacing w:before="8"/>
        <w:rPr>
          <w:b/>
          <w:sz w:val="16"/>
        </w:rPr>
      </w:pPr>
    </w:p>
    <w:p>
      <w:pPr>
        <w:pStyle w:val="BodyText"/>
        <w:spacing w:line="242" w:lineRule="auto"/>
        <w:ind w:left="2099" w:right="1143" w:firstLine="594"/>
        <w:jc w:val="both"/>
      </w:pPr>
      <w:r>
        <w:rPr/>
        <w:t>El presente Informe, antes de su aprobación definitiva, ha sido remitido para alegaciones, de conformidad con lo establecido en el art. 23 del Reglamento de Organización y Funcionamiento de la Audiencia de Cuentas de Canarias.</w:t>
      </w:r>
    </w:p>
    <w:p>
      <w:pPr>
        <w:pStyle w:val="BodyText"/>
        <w:spacing w:before="6"/>
        <w:rPr>
          <w:sz w:val="16"/>
        </w:rPr>
      </w:pPr>
    </w:p>
    <w:p>
      <w:pPr>
        <w:pStyle w:val="BodyText"/>
        <w:ind w:left="2099" w:right="1142" w:firstLine="594"/>
        <w:jc w:val="both"/>
      </w:pPr>
      <w:r>
        <w:rPr/>
        <w:t>A estos efectos, el Proyecto de Informe fue remitido a la Intervención General, de conformidad con lo dispuesto en el art. 42 de la Ley 4/1989, mediante escrito de 17 de noviembre de 2022, concediéndosele un plazo de diez días hábiles, prorrogado por otros diez días, a solicitud de la misma.</w:t>
      </w:r>
    </w:p>
    <w:p>
      <w:pPr>
        <w:pStyle w:val="BodyText"/>
        <w:spacing w:before="1"/>
        <w:rPr>
          <w:sz w:val="17"/>
        </w:rPr>
      </w:pPr>
    </w:p>
    <w:p>
      <w:pPr>
        <w:pStyle w:val="BodyText"/>
        <w:ind w:left="2099" w:right="1143" w:firstLine="594"/>
        <w:jc w:val="both"/>
      </w:pPr>
      <w:r>
        <w:rPr/>
        <w:t>La</w:t>
      </w:r>
      <w:r>
        <w:rPr>
          <w:spacing w:val="-5"/>
        </w:rPr>
        <w:t> </w:t>
      </w:r>
      <w:r>
        <w:rPr/>
        <w:t>Intervención</w:t>
      </w:r>
      <w:r>
        <w:rPr>
          <w:spacing w:val="-3"/>
        </w:rPr>
        <w:t> </w:t>
      </w:r>
      <w:r>
        <w:rPr/>
        <w:t>General</w:t>
      </w:r>
      <w:r>
        <w:rPr>
          <w:spacing w:val="-7"/>
        </w:rPr>
        <w:t> </w:t>
      </w:r>
      <w:r>
        <w:rPr/>
        <w:t>formula</w:t>
      </w:r>
      <w:r>
        <w:rPr>
          <w:spacing w:val="-5"/>
        </w:rPr>
        <w:t> </w:t>
      </w:r>
      <w:r>
        <w:rPr/>
        <w:t>alegaciones</w:t>
      </w:r>
      <w:r>
        <w:rPr>
          <w:spacing w:val="-4"/>
        </w:rPr>
        <w:t> </w:t>
      </w:r>
      <w:r>
        <w:rPr/>
        <w:t>mediante</w:t>
      </w:r>
      <w:r>
        <w:rPr>
          <w:spacing w:val="-1"/>
        </w:rPr>
        <w:t> </w:t>
      </w:r>
      <w:r>
        <w:rPr/>
        <w:t>sendos</w:t>
      </w:r>
      <w:r>
        <w:rPr>
          <w:spacing w:val="-5"/>
        </w:rPr>
        <w:t> </w:t>
      </w:r>
      <w:r>
        <w:rPr/>
        <w:t>escritos</w:t>
      </w:r>
      <w:r>
        <w:rPr>
          <w:spacing w:val="-8"/>
        </w:rPr>
        <w:t> </w:t>
      </w:r>
      <w:r>
        <w:rPr/>
        <w:t>de</w:t>
      </w:r>
      <w:r>
        <w:rPr>
          <w:spacing w:val="-4"/>
        </w:rPr>
        <w:t> </w:t>
      </w:r>
      <w:r>
        <w:rPr/>
        <w:t>fechas 11 y 12 de diciembre de 2023. El 15 de diciembre remiten nuevo escrito de alegaciones que, a pesar de llegar fuera de plazo, fue aceptado. No así el escrito llegado el 26 de diciembre, el cual no se</w:t>
      </w:r>
      <w:r>
        <w:rPr>
          <w:spacing w:val="-3"/>
        </w:rPr>
        <w:t> </w:t>
      </w:r>
      <w:r>
        <w:rPr/>
        <w:t>aceptó.</w:t>
      </w:r>
    </w:p>
    <w:p>
      <w:pPr>
        <w:pStyle w:val="BodyText"/>
        <w:spacing w:before="1"/>
        <w:rPr>
          <w:sz w:val="17"/>
        </w:rPr>
      </w:pPr>
    </w:p>
    <w:p>
      <w:pPr>
        <w:pStyle w:val="BodyText"/>
        <w:ind w:left="2099" w:right="1145" w:firstLine="594"/>
        <w:jc w:val="both"/>
      </w:pPr>
      <w:r>
        <w:rPr/>
        <w:t>En el Anexo XIX de este Informe se incorpora, por parte de la Audiencia de Cuentas de Canarias, la contestación a las mismas, indicándose las modificaciones llevadas a cabo en el presente Informe.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7"/>
        </w:rPr>
      </w:pPr>
    </w:p>
    <w:p>
      <w:pPr>
        <w:pStyle w:val="BodyText"/>
        <w:ind w:left="7787"/>
        <w:jc w:val="center"/>
      </w:pPr>
      <w:r>
        <w:rPr/>
        <w:t>155</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25" name="image5.png"/>
                  <wp:cNvGraphicFramePr>
                    <a:graphicFrameLocks noChangeAspect="1"/>
                  </wp:cNvGraphicFramePr>
                  <a:graphic>
                    <a:graphicData uri="http://schemas.openxmlformats.org/drawingml/2006/picture">
                      <pic:pic>
                        <pic:nvPicPr>
                          <pic:cNvPr id="32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157/247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94"/>
        </w:numPr>
        <w:tabs>
          <w:tab w:pos="4227" w:val="left" w:leader="none"/>
          <w:tab w:pos="4228" w:val="left" w:leader="none"/>
        </w:tabs>
        <w:spacing w:line="240" w:lineRule="auto" w:before="61" w:after="0"/>
        <w:ind w:left="4227" w:right="0" w:hanging="364"/>
        <w:jc w:val="left"/>
        <w:rPr>
          <w:b/>
          <w:sz w:val="20"/>
        </w:rPr>
      </w:pPr>
      <w:r>
        <w:rPr>
          <w:b/>
          <w:color w:val="53A1B9"/>
          <w:sz w:val="20"/>
        </w:rPr>
        <w:t>CONCLUSIONES Y</w:t>
      </w:r>
      <w:r>
        <w:rPr>
          <w:b/>
          <w:color w:val="53A1B9"/>
          <w:spacing w:val="1"/>
          <w:sz w:val="20"/>
        </w:rPr>
        <w:t> </w:t>
      </w:r>
      <w:r>
        <w:rPr>
          <w:b/>
          <w:color w:val="53A1B9"/>
          <w:sz w:val="20"/>
        </w:rPr>
        <w:t>RECOMENDACIONES</w:t>
      </w:r>
    </w:p>
    <w:p>
      <w:pPr>
        <w:pStyle w:val="BodyText"/>
        <w:spacing w:before="8"/>
        <w:rPr>
          <w:b/>
          <w:sz w:val="16"/>
        </w:rPr>
      </w:pPr>
    </w:p>
    <w:p>
      <w:pPr>
        <w:pStyle w:val="ListParagraph"/>
        <w:numPr>
          <w:ilvl w:val="1"/>
          <w:numId w:val="101"/>
        </w:numPr>
        <w:tabs>
          <w:tab w:pos="2582" w:val="left" w:leader="none"/>
          <w:tab w:pos="2583" w:val="left" w:leader="none"/>
        </w:tabs>
        <w:spacing w:line="240" w:lineRule="auto" w:before="0" w:after="0"/>
        <w:ind w:left="2582" w:right="0" w:hanging="484"/>
        <w:jc w:val="left"/>
        <w:rPr>
          <w:b/>
          <w:sz w:val="20"/>
        </w:rPr>
      </w:pPr>
      <w:r>
        <w:rPr>
          <w:b/>
          <w:color w:val="53A1B9"/>
          <w:sz w:val="20"/>
        </w:rPr>
        <w:t>Declaración definitiva sobre la Cuenta</w:t>
      </w:r>
      <w:r>
        <w:rPr>
          <w:b/>
          <w:color w:val="53A1B9"/>
          <w:spacing w:val="-1"/>
          <w:sz w:val="20"/>
        </w:rPr>
        <w:t> </w:t>
      </w:r>
      <w:r>
        <w:rPr>
          <w:b/>
          <w:color w:val="53A1B9"/>
          <w:sz w:val="20"/>
        </w:rPr>
        <w:t>General.</w:t>
      </w:r>
    </w:p>
    <w:p>
      <w:pPr>
        <w:pStyle w:val="BodyText"/>
        <w:spacing w:before="8"/>
        <w:rPr>
          <w:b/>
          <w:sz w:val="16"/>
        </w:rPr>
      </w:pPr>
    </w:p>
    <w:p>
      <w:pPr>
        <w:pStyle w:val="BodyText"/>
        <w:spacing w:line="242" w:lineRule="auto"/>
        <w:ind w:left="2099" w:right="1140" w:firstLine="594"/>
        <w:jc w:val="both"/>
      </w:pPr>
      <w:r>
        <w:rPr/>
        <w:t>“Como resultado de la fiscalización efectuada, excepto por con las salvedades que se recogen en las conclusiones nº 1, 2, 7, 8, 27, 28, 29, 30, 34, 35 y 36, la Cuenta General de la CAC del ejercicio 2022 se ha ajustado, con carácter general a la normativa de aplicación y se ha rendido a la Audiencia de Cuentas de Canarias dentro del plazo establecido en el Art. 16.1 de la Ley 4/1989, de 2 de mayo, de la Audiencia de Cuentas de Canarias, incluyendo los estados e informes que establece el Art. 117 de la de la Ley 11/2006, de 11 de diciembre, de la Hacienda Pública Canaria.</w:t>
      </w:r>
    </w:p>
    <w:p>
      <w:pPr>
        <w:pStyle w:val="BodyText"/>
        <w:spacing w:before="3"/>
        <w:rPr>
          <w:sz w:val="16"/>
        </w:rPr>
      </w:pPr>
    </w:p>
    <w:p>
      <w:pPr>
        <w:pStyle w:val="Heading1"/>
        <w:numPr>
          <w:ilvl w:val="1"/>
          <w:numId w:val="101"/>
        </w:numPr>
        <w:tabs>
          <w:tab w:pos="2582" w:val="left" w:leader="none"/>
          <w:tab w:pos="2583" w:val="left" w:leader="none"/>
        </w:tabs>
        <w:spacing w:line="240" w:lineRule="auto" w:before="1" w:after="0"/>
        <w:ind w:left="2582" w:right="0" w:hanging="484"/>
        <w:jc w:val="left"/>
      </w:pPr>
      <w:r>
        <w:rPr>
          <w:color w:val="53A1B9"/>
        </w:rPr>
        <w:t>Conclusiones.</w:t>
      </w:r>
    </w:p>
    <w:p>
      <w:pPr>
        <w:pStyle w:val="BodyText"/>
        <w:spacing w:before="7"/>
        <w:rPr>
          <w:b/>
          <w:sz w:val="16"/>
        </w:rPr>
      </w:pPr>
    </w:p>
    <w:p>
      <w:pPr>
        <w:pStyle w:val="ListParagraph"/>
        <w:numPr>
          <w:ilvl w:val="0"/>
          <w:numId w:val="102"/>
        </w:numPr>
        <w:tabs>
          <w:tab w:pos="2337" w:val="left" w:leader="none"/>
        </w:tabs>
        <w:spacing w:line="240" w:lineRule="auto" w:before="0" w:after="0"/>
        <w:ind w:left="2336" w:right="1145" w:hanging="303"/>
        <w:jc w:val="both"/>
        <w:rPr>
          <w:sz w:val="20"/>
        </w:rPr>
      </w:pPr>
      <w:r>
        <w:rPr>
          <w:sz w:val="20"/>
        </w:rPr>
        <w:t>El resultado del control financiero permanente no incorpora de forma expresa y motivada los criterios de evaluación de riesgos y juicio profesional utilizados para la determinación de las actuaciones a revisar. Asimismo, no se efectúa manifestación alguna referente a la necesidad de extender los resultados obtenidos a la totalidad de la gestión del ente fiscalizado (apartado</w:t>
      </w:r>
      <w:r>
        <w:rPr>
          <w:spacing w:val="-4"/>
          <w:sz w:val="20"/>
        </w:rPr>
        <w:t> </w:t>
      </w:r>
      <w:r>
        <w:rPr>
          <w:sz w:val="20"/>
        </w:rPr>
        <w:t>3.1).</w:t>
      </w:r>
    </w:p>
    <w:p>
      <w:pPr>
        <w:pStyle w:val="BodyText"/>
        <w:spacing w:before="3"/>
        <w:rPr>
          <w:sz w:val="17"/>
        </w:rPr>
      </w:pPr>
    </w:p>
    <w:p>
      <w:pPr>
        <w:pStyle w:val="ListParagraph"/>
        <w:numPr>
          <w:ilvl w:val="0"/>
          <w:numId w:val="102"/>
        </w:numPr>
        <w:tabs>
          <w:tab w:pos="2337" w:val="left" w:leader="none"/>
        </w:tabs>
        <w:spacing w:line="242" w:lineRule="auto" w:before="0" w:after="0"/>
        <w:ind w:left="2336" w:right="1145" w:hanging="303"/>
        <w:jc w:val="both"/>
        <w:rPr>
          <w:sz w:val="20"/>
        </w:rPr>
      </w:pPr>
      <w:r>
        <w:rPr>
          <w:sz w:val="20"/>
        </w:rPr>
        <w:t>Las verificaciones realizadas vienen a constatar que salvo los informes definitivos de control financiero permanente relativos a “otros gastos”, correspondiente a contratación de obras y a la Consejería de Sanidad, Consejería de Educación, Universidades, Cultura y Deportes, Turismo Industria y Comercio y la Consejería de Transición Ecológica, Lucha contra el Cambio Climático y Planificación Territorial, el resto se emitieron fuera de plazo. Así mismo, el informe relativo a recursos humanos correspondiente a la Consejería de Sanidad no se emitió. La demora de estos informes impide subsanar las deficiencias y debilidades señaladas en los mismos, lo que ocasiona perjuicios a la gestión pública (epígrafe 3.1).</w:t>
      </w:r>
    </w:p>
    <w:p>
      <w:pPr>
        <w:pStyle w:val="BodyText"/>
        <w:spacing w:before="1"/>
        <w:rPr>
          <w:sz w:val="16"/>
        </w:rPr>
      </w:pPr>
    </w:p>
    <w:p>
      <w:pPr>
        <w:pStyle w:val="ListParagraph"/>
        <w:numPr>
          <w:ilvl w:val="0"/>
          <w:numId w:val="102"/>
        </w:numPr>
        <w:tabs>
          <w:tab w:pos="2337" w:val="left" w:leader="none"/>
        </w:tabs>
        <w:spacing w:line="240" w:lineRule="auto" w:before="1" w:after="0"/>
        <w:ind w:left="2336" w:right="1147" w:hanging="303"/>
        <w:jc w:val="both"/>
        <w:rPr>
          <w:sz w:val="20"/>
        </w:rPr>
      </w:pPr>
      <w:r>
        <w:rPr>
          <w:sz w:val="20"/>
        </w:rPr>
        <w:t>Los planes de medidas correctoras y de mejora, que derivan de las deficiencias detectadas en los informes de CFP, se ejecutan parcialmente (epígrafe</w:t>
      </w:r>
      <w:r>
        <w:rPr>
          <w:spacing w:val="7"/>
          <w:sz w:val="20"/>
        </w:rPr>
        <w:t> </w:t>
      </w:r>
      <w:r>
        <w:rPr>
          <w:sz w:val="20"/>
        </w:rPr>
        <w:t>3.1).</w:t>
      </w:r>
    </w:p>
    <w:p>
      <w:pPr>
        <w:pStyle w:val="BodyText"/>
        <w:spacing w:before="9"/>
        <w:rPr>
          <w:sz w:val="16"/>
        </w:rPr>
      </w:pPr>
    </w:p>
    <w:p>
      <w:pPr>
        <w:pStyle w:val="ListParagraph"/>
        <w:numPr>
          <w:ilvl w:val="0"/>
          <w:numId w:val="102"/>
        </w:numPr>
        <w:tabs>
          <w:tab w:pos="2337" w:val="left" w:leader="none"/>
        </w:tabs>
        <w:spacing w:line="240" w:lineRule="auto" w:before="0" w:after="0"/>
        <w:ind w:left="2336" w:right="0" w:hanging="303"/>
        <w:jc w:val="left"/>
        <w:rPr>
          <w:sz w:val="20"/>
        </w:rPr>
      </w:pPr>
      <w:r>
        <w:rPr>
          <w:sz w:val="20"/>
        </w:rPr>
        <w:t>El</w:t>
      </w:r>
      <w:r>
        <w:rPr>
          <w:spacing w:val="15"/>
          <w:sz w:val="20"/>
        </w:rPr>
        <w:t> </w:t>
      </w:r>
      <w:r>
        <w:rPr>
          <w:sz w:val="20"/>
        </w:rPr>
        <w:t>Remanente</w:t>
      </w:r>
      <w:r>
        <w:rPr>
          <w:spacing w:val="16"/>
          <w:sz w:val="20"/>
        </w:rPr>
        <w:t> </w:t>
      </w:r>
      <w:r>
        <w:rPr>
          <w:sz w:val="20"/>
        </w:rPr>
        <w:t>de</w:t>
      </w:r>
      <w:r>
        <w:rPr>
          <w:spacing w:val="16"/>
          <w:sz w:val="20"/>
        </w:rPr>
        <w:t> </w:t>
      </w:r>
      <w:r>
        <w:rPr>
          <w:sz w:val="20"/>
        </w:rPr>
        <w:t>Tesorería</w:t>
      </w:r>
      <w:r>
        <w:rPr>
          <w:spacing w:val="18"/>
          <w:sz w:val="20"/>
        </w:rPr>
        <w:t> </w:t>
      </w:r>
      <w:r>
        <w:rPr>
          <w:sz w:val="20"/>
        </w:rPr>
        <w:t>agregado,</w:t>
      </w:r>
      <w:r>
        <w:rPr>
          <w:spacing w:val="16"/>
          <w:sz w:val="20"/>
        </w:rPr>
        <w:t> </w:t>
      </w:r>
      <w:r>
        <w:rPr>
          <w:sz w:val="20"/>
        </w:rPr>
        <w:t>ha</w:t>
      </w:r>
      <w:r>
        <w:rPr>
          <w:spacing w:val="15"/>
          <w:sz w:val="20"/>
        </w:rPr>
        <w:t> </w:t>
      </w:r>
      <w:r>
        <w:rPr>
          <w:sz w:val="20"/>
        </w:rPr>
        <w:t>pasado</w:t>
      </w:r>
      <w:r>
        <w:rPr>
          <w:spacing w:val="14"/>
          <w:sz w:val="20"/>
        </w:rPr>
        <w:t> </w:t>
      </w:r>
      <w:r>
        <w:rPr>
          <w:sz w:val="20"/>
        </w:rPr>
        <w:t>de</w:t>
      </w:r>
      <w:r>
        <w:rPr>
          <w:spacing w:val="16"/>
          <w:sz w:val="20"/>
        </w:rPr>
        <w:t> </w:t>
      </w:r>
      <w:r>
        <w:rPr>
          <w:sz w:val="20"/>
        </w:rPr>
        <w:t>471,</w:t>
      </w:r>
      <w:r>
        <w:rPr>
          <w:spacing w:val="14"/>
          <w:sz w:val="20"/>
        </w:rPr>
        <w:t> </w:t>
      </w:r>
      <w:r>
        <w:rPr>
          <w:sz w:val="20"/>
        </w:rPr>
        <w:t>5</w:t>
      </w:r>
      <w:r>
        <w:rPr>
          <w:spacing w:val="16"/>
          <w:sz w:val="20"/>
        </w:rPr>
        <w:t> </w:t>
      </w:r>
      <w:r>
        <w:rPr>
          <w:sz w:val="20"/>
        </w:rPr>
        <w:t>millones</w:t>
      </w:r>
      <w:r>
        <w:rPr>
          <w:spacing w:val="13"/>
          <w:sz w:val="20"/>
        </w:rPr>
        <w:t> </w:t>
      </w:r>
      <w:r>
        <w:rPr>
          <w:sz w:val="20"/>
        </w:rPr>
        <w:t>de</w:t>
      </w:r>
      <w:r>
        <w:rPr>
          <w:spacing w:val="16"/>
          <w:sz w:val="20"/>
        </w:rPr>
        <w:t> </w:t>
      </w:r>
      <w:r>
        <w:rPr>
          <w:sz w:val="20"/>
        </w:rPr>
        <w:t>€</w:t>
      </w:r>
      <w:r>
        <w:rPr>
          <w:spacing w:val="12"/>
          <w:sz w:val="20"/>
        </w:rPr>
        <w:t> </w:t>
      </w:r>
      <w:r>
        <w:rPr>
          <w:sz w:val="20"/>
        </w:rPr>
        <w:t>en</w:t>
      </w:r>
      <w:r>
        <w:rPr>
          <w:spacing w:val="17"/>
          <w:sz w:val="20"/>
        </w:rPr>
        <w:t> </w:t>
      </w:r>
      <w:r>
        <w:rPr>
          <w:sz w:val="20"/>
        </w:rPr>
        <w:t>el</w:t>
      </w:r>
      <w:r>
        <w:rPr>
          <w:spacing w:val="14"/>
          <w:sz w:val="20"/>
        </w:rPr>
        <w:t> </w:t>
      </w:r>
      <w:r>
        <w:rPr>
          <w:sz w:val="20"/>
        </w:rPr>
        <w:t>año</w:t>
      </w:r>
    </w:p>
    <w:p>
      <w:pPr>
        <w:pStyle w:val="BodyText"/>
        <w:spacing w:before="2"/>
        <w:ind w:left="2336"/>
      </w:pPr>
      <w:r>
        <w:rPr/>
        <w:t>2019 a una cifra negativa de -687,1 millones de €. (epígrafe 4.1).</w:t>
      </w:r>
    </w:p>
    <w:p>
      <w:pPr>
        <w:pStyle w:val="BodyText"/>
        <w:spacing w:before="8"/>
        <w:rPr>
          <w:sz w:val="16"/>
        </w:rPr>
      </w:pPr>
    </w:p>
    <w:p>
      <w:pPr>
        <w:pStyle w:val="ListParagraph"/>
        <w:numPr>
          <w:ilvl w:val="0"/>
          <w:numId w:val="102"/>
        </w:numPr>
        <w:tabs>
          <w:tab w:pos="2337" w:val="left" w:leader="none"/>
        </w:tabs>
        <w:spacing w:line="242" w:lineRule="auto" w:before="0" w:after="0"/>
        <w:ind w:left="2336" w:right="1141" w:hanging="303"/>
        <w:jc w:val="both"/>
        <w:rPr>
          <w:sz w:val="20"/>
        </w:rPr>
      </w:pPr>
      <w:r>
        <w:rPr>
          <w:sz w:val="20"/>
        </w:rPr>
        <w:t>El resultado presupuestario de la Administración Pública de la CAC del ejercicio 2022 alcanzó la cifra negativa de 223,6 millones de €, lo que supone un empeoramiento respecto</w:t>
      </w:r>
      <w:r>
        <w:rPr>
          <w:spacing w:val="-6"/>
          <w:sz w:val="20"/>
        </w:rPr>
        <w:t> </w:t>
      </w:r>
      <w:r>
        <w:rPr>
          <w:sz w:val="20"/>
        </w:rPr>
        <w:t>del</w:t>
      </w:r>
      <w:r>
        <w:rPr>
          <w:spacing w:val="-3"/>
          <w:sz w:val="20"/>
        </w:rPr>
        <w:t> </w:t>
      </w:r>
      <w:r>
        <w:rPr>
          <w:sz w:val="20"/>
        </w:rPr>
        <w:t>año</w:t>
      </w:r>
      <w:r>
        <w:rPr>
          <w:spacing w:val="-3"/>
          <w:sz w:val="20"/>
        </w:rPr>
        <w:t> </w:t>
      </w:r>
      <w:r>
        <w:rPr>
          <w:sz w:val="20"/>
        </w:rPr>
        <w:t>2021</w:t>
      </w:r>
      <w:r>
        <w:rPr>
          <w:spacing w:val="-1"/>
          <w:sz w:val="20"/>
        </w:rPr>
        <w:t> </w:t>
      </w:r>
      <w:r>
        <w:rPr>
          <w:sz w:val="20"/>
        </w:rPr>
        <w:t>(el</w:t>
      </w:r>
      <w:r>
        <w:rPr>
          <w:spacing w:val="-4"/>
          <w:sz w:val="20"/>
        </w:rPr>
        <w:t> </w:t>
      </w:r>
      <w:r>
        <w:rPr>
          <w:sz w:val="20"/>
        </w:rPr>
        <w:t>resultado</w:t>
      </w:r>
      <w:r>
        <w:rPr>
          <w:spacing w:val="-3"/>
          <w:sz w:val="20"/>
        </w:rPr>
        <w:t> </w:t>
      </w:r>
      <w:r>
        <w:rPr>
          <w:sz w:val="20"/>
        </w:rPr>
        <w:t>fue</w:t>
      </w:r>
      <w:r>
        <w:rPr>
          <w:spacing w:val="-3"/>
          <w:sz w:val="20"/>
        </w:rPr>
        <w:t> </w:t>
      </w:r>
      <w:r>
        <w:rPr>
          <w:sz w:val="20"/>
        </w:rPr>
        <w:t>positivo</w:t>
      </w:r>
      <w:r>
        <w:rPr>
          <w:spacing w:val="-3"/>
          <w:sz w:val="20"/>
        </w:rPr>
        <w:t> </w:t>
      </w:r>
      <w:r>
        <w:rPr>
          <w:sz w:val="20"/>
        </w:rPr>
        <w:t>alcanzando</w:t>
      </w:r>
      <w:r>
        <w:rPr>
          <w:spacing w:val="-3"/>
          <w:sz w:val="20"/>
        </w:rPr>
        <w:t> </w:t>
      </w:r>
      <w:r>
        <w:rPr>
          <w:sz w:val="20"/>
        </w:rPr>
        <w:t>la</w:t>
      </w:r>
      <w:r>
        <w:rPr>
          <w:spacing w:val="-3"/>
          <w:sz w:val="20"/>
        </w:rPr>
        <w:t> </w:t>
      </w:r>
      <w:r>
        <w:rPr>
          <w:sz w:val="20"/>
        </w:rPr>
        <w:t>cifra</w:t>
      </w:r>
      <w:r>
        <w:rPr>
          <w:spacing w:val="-6"/>
          <w:sz w:val="20"/>
        </w:rPr>
        <w:t> </w:t>
      </w:r>
      <w:r>
        <w:rPr>
          <w:sz w:val="20"/>
        </w:rPr>
        <w:t>de</w:t>
      </w:r>
      <w:r>
        <w:rPr>
          <w:spacing w:val="-3"/>
          <w:sz w:val="20"/>
        </w:rPr>
        <w:t> </w:t>
      </w:r>
      <w:r>
        <w:rPr>
          <w:sz w:val="20"/>
        </w:rPr>
        <w:t>412,6</w:t>
      </w:r>
      <w:r>
        <w:rPr>
          <w:spacing w:val="-1"/>
          <w:sz w:val="20"/>
        </w:rPr>
        <w:t> </w:t>
      </w:r>
      <w:r>
        <w:rPr>
          <w:sz w:val="20"/>
        </w:rPr>
        <w:t>millones de €). Esta variación tiene su origen, fundamentalmente, en el hecho de que los ingresos</w:t>
      </w:r>
      <w:r>
        <w:rPr>
          <w:spacing w:val="-5"/>
          <w:sz w:val="20"/>
        </w:rPr>
        <w:t> </w:t>
      </w:r>
      <w:r>
        <w:rPr>
          <w:sz w:val="20"/>
        </w:rPr>
        <w:t>finalistas</w:t>
      </w:r>
      <w:r>
        <w:rPr>
          <w:spacing w:val="-4"/>
          <w:sz w:val="20"/>
        </w:rPr>
        <w:t> </w:t>
      </w:r>
      <w:r>
        <w:rPr>
          <w:sz w:val="20"/>
        </w:rPr>
        <w:t>obtenidos</w:t>
      </w:r>
      <w:r>
        <w:rPr>
          <w:spacing w:val="-4"/>
          <w:sz w:val="20"/>
        </w:rPr>
        <w:t> </w:t>
      </w:r>
      <w:r>
        <w:rPr>
          <w:sz w:val="20"/>
        </w:rPr>
        <w:t>por</w:t>
      </w:r>
      <w:r>
        <w:rPr>
          <w:spacing w:val="-4"/>
          <w:sz w:val="20"/>
        </w:rPr>
        <w:t> </w:t>
      </w:r>
      <w:r>
        <w:rPr>
          <w:sz w:val="20"/>
        </w:rPr>
        <w:t>la</w:t>
      </w:r>
      <w:r>
        <w:rPr>
          <w:spacing w:val="-4"/>
          <w:sz w:val="20"/>
        </w:rPr>
        <w:t> </w:t>
      </w:r>
      <w:r>
        <w:rPr>
          <w:sz w:val="20"/>
        </w:rPr>
        <w:t>Administración</w:t>
      </w:r>
      <w:r>
        <w:rPr>
          <w:spacing w:val="-4"/>
          <w:sz w:val="20"/>
        </w:rPr>
        <w:t> </w:t>
      </w:r>
      <w:r>
        <w:rPr>
          <w:sz w:val="20"/>
        </w:rPr>
        <w:t>de</w:t>
      </w:r>
      <w:r>
        <w:rPr>
          <w:spacing w:val="-4"/>
          <w:sz w:val="20"/>
        </w:rPr>
        <w:t> </w:t>
      </w:r>
      <w:r>
        <w:rPr>
          <w:sz w:val="20"/>
        </w:rPr>
        <w:t>la</w:t>
      </w:r>
      <w:r>
        <w:rPr>
          <w:spacing w:val="-4"/>
          <w:sz w:val="20"/>
        </w:rPr>
        <w:t> </w:t>
      </w:r>
      <w:r>
        <w:rPr>
          <w:sz w:val="20"/>
        </w:rPr>
        <w:t>CAC,</w:t>
      </w:r>
      <w:r>
        <w:rPr>
          <w:spacing w:val="-5"/>
          <w:sz w:val="20"/>
        </w:rPr>
        <w:t> </w:t>
      </w:r>
      <w:r>
        <w:rPr>
          <w:sz w:val="20"/>
        </w:rPr>
        <w:t>y</w:t>
      </w:r>
      <w:r>
        <w:rPr>
          <w:spacing w:val="-5"/>
          <w:sz w:val="20"/>
        </w:rPr>
        <w:t> </w:t>
      </w:r>
      <w:r>
        <w:rPr>
          <w:sz w:val="20"/>
        </w:rPr>
        <w:t>que</w:t>
      </w:r>
      <w:r>
        <w:rPr>
          <w:spacing w:val="-4"/>
          <w:sz w:val="20"/>
        </w:rPr>
        <w:t> </w:t>
      </w:r>
      <w:r>
        <w:rPr>
          <w:sz w:val="20"/>
        </w:rPr>
        <w:t>se</w:t>
      </w:r>
      <w:r>
        <w:rPr>
          <w:spacing w:val="-3"/>
          <w:sz w:val="20"/>
        </w:rPr>
        <w:t> </w:t>
      </w:r>
      <w:r>
        <w:rPr>
          <w:sz w:val="20"/>
        </w:rPr>
        <w:t>cifran</w:t>
      </w:r>
      <w:r>
        <w:rPr>
          <w:spacing w:val="-4"/>
          <w:sz w:val="20"/>
        </w:rPr>
        <w:t> </w:t>
      </w:r>
      <w:r>
        <w:rPr>
          <w:sz w:val="20"/>
        </w:rPr>
        <w:t>en</w:t>
      </w:r>
      <w:r>
        <w:rPr>
          <w:spacing w:val="-5"/>
          <w:sz w:val="20"/>
        </w:rPr>
        <w:t> </w:t>
      </w:r>
      <w:r>
        <w:rPr>
          <w:sz w:val="20"/>
        </w:rPr>
        <w:t>742,8 millones de € no han sido gastados (apartado</w:t>
      </w:r>
      <w:r>
        <w:rPr>
          <w:spacing w:val="-2"/>
          <w:sz w:val="20"/>
        </w:rPr>
        <w:t> </w:t>
      </w:r>
      <w:r>
        <w:rPr>
          <w:sz w:val="20"/>
        </w:rPr>
        <w:t>4.2.2).</w:t>
      </w:r>
    </w:p>
    <w:p>
      <w:pPr>
        <w:pStyle w:val="BodyText"/>
        <w:spacing w:before="99"/>
        <w:ind w:left="7787"/>
        <w:jc w:val="center"/>
      </w:pPr>
      <w:r>
        <w:rPr/>
        <w:t>156</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27" name="image5.png"/>
                  <wp:cNvGraphicFramePr>
                    <a:graphicFrameLocks noChangeAspect="1"/>
                  </wp:cNvGraphicFramePr>
                  <a:graphic>
                    <a:graphicData uri="http://schemas.openxmlformats.org/drawingml/2006/picture">
                      <pic:pic>
                        <pic:nvPicPr>
                          <pic:cNvPr id="32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158/247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103"/>
        </w:numPr>
        <w:tabs>
          <w:tab w:pos="2337" w:val="left" w:leader="none"/>
        </w:tabs>
        <w:spacing w:line="240" w:lineRule="auto" w:before="61" w:after="0"/>
        <w:ind w:left="2336" w:right="1144" w:hanging="303"/>
        <w:jc w:val="both"/>
        <w:rPr>
          <w:sz w:val="20"/>
        </w:rPr>
      </w:pPr>
      <w:r>
        <w:rPr>
          <w:sz w:val="20"/>
        </w:rPr>
        <w:t>El Remanente de Tesorería de libre disposición de la APCAC para el ejercicio 2022 alcanzó la cifra negativa de 950,2 millones de €. Ello representa una variación negativa, respecto del año 2019, de un 4.308,52 % (apartado</w:t>
      </w:r>
      <w:r>
        <w:rPr>
          <w:spacing w:val="2"/>
          <w:sz w:val="20"/>
        </w:rPr>
        <w:t> </w:t>
      </w:r>
      <w:r>
        <w:rPr>
          <w:sz w:val="20"/>
        </w:rPr>
        <w:t>4.2.3)</w:t>
      </w:r>
    </w:p>
    <w:p>
      <w:pPr>
        <w:pStyle w:val="BodyText"/>
        <w:spacing w:before="1"/>
        <w:rPr>
          <w:sz w:val="17"/>
        </w:rPr>
      </w:pPr>
    </w:p>
    <w:p>
      <w:pPr>
        <w:pStyle w:val="ListParagraph"/>
        <w:numPr>
          <w:ilvl w:val="0"/>
          <w:numId w:val="103"/>
        </w:numPr>
        <w:tabs>
          <w:tab w:pos="2337" w:val="left" w:leader="none"/>
        </w:tabs>
        <w:spacing w:line="240" w:lineRule="auto" w:before="0" w:after="0"/>
        <w:ind w:left="2336" w:right="1143" w:hanging="303"/>
        <w:jc w:val="both"/>
        <w:rPr>
          <w:sz w:val="20"/>
        </w:rPr>
      </w:pPr>
      <w:r>
        <w:rPr>
          <w:sz w:val="20"/>
        </w:rPr>
        <w:t>Se han regularizado saldos extrapresupuestarios por -1,2 millones de €, mediante asiento en contabilidad financiera, sin realizar el correspondiente asiento en contabilidad presupuestaria, causando el correspondiente descuadre del acta de arqueo (apartado</w:t>
      </w:r>
      <w:r>
        <w:rPr>
          <w:spacing w:val="1"/>
          <w:sz w:val="20"/>
        </w:rPr>
        <w:t> </w:t>
      </w:r>
      <w:r>
        <w:rPr>
          <w:sz w:val="20"/>
        </w:rPr>
        <w:t>4.2.5).</w:t>
      </w:r>
    </w:p>
    <w:p>
      <w:pPr>
        <w:pStyle w:val="BodyText"/>
        <w:spacing w:before="1"/>
        <w:rPr>
          <w:sz w:val="17"/>
        </w:rPr>
      </w:pPr>
    </w:p>
    <w:p>
      <w:pPr>
        <w:pStyle w:val="ListParagraph"/>
        <w:numPr>
          <w:ilvl w:val="0"/>
          <w:numId w:val="103"/>
        </w:numPr>
        <w:tabs>
          <w:tab w:pos="2337" w:val="left" w:leader="none"/>
        </w:tabs>
        <w:spacing w:line="242" w:lineRule="auto" w:before="0" w:after="0"/>
        <w:ind w:left="2336" w:right="1140" w:hanging="303"/>
        <w:jc w:val="both"/>
        <w:rPr>
          <w:sz w:val="20"/>
        </w:rPr>
      </w:pPr>
      <w:r>
        <w:rPr>
          <w:sz w:val="20"/>
        </w:rPr>
        <w:t>Se ha identificado una deficiencia de control producida por un error de software del sistema de información contable del SEFLOGIC, que ha permitido dejar en negativo el</w:t>
      </w:r>
      <w:r>
        <w:rPr>
          <w:spacing w:val="-3"/>
          <w:sz w:val="20"/>
        </w:rPr>
        <w:t> </w:t>
      </w:r>
      <w:r>
        <w:rPr>
          <w:sz w:val="20"/>
        </w:rPr>
        <w:t>crédito</w:t>
      </w:r>
      <w:r>
        <w:rPr>
          <w:spacing w:val="-5"/>
          <w:sz w:val="20"/>
        </w:rPr>
        <w:t> </w:t>
      </w:r>
      <w:r>
        <w:rPr>
          <w:sz w:val="20"/>
        </w:rPr>
        <w:t>definitivo</w:t>
      </w:r>
      <w:r>
        <w:rPr>
          <w:spacing w:val="-5"/>
          <w:sz w:val="20"/>
        </w:rPr>
        <w:t> </w:t>
      </w:r>
      <w:r>
        <w:rPr>
          <w:sz w:val="20"/>
        </w:rPr>
        <w:t>de</w:t>
      </w:r>
      <w:r>
        <w:rPr>
          <w:spacing w:val="-3"/>
          <w:sz w:val="20"/>
        </w:rPr>
        <w:t> </w:t>
      </w:r>
      <w:r>
        <w:rPr>
          <w:sz w:val="20"/>
        </w:rPr>
        <w:t>cinco</w:t>
      </w:r>
      <w:r>
        <w:rPr>
          <w:spacing w:val="-3"/>
          <w:sz w:val="20"/>
        </w:rPr>
        <w:t> </w:t>
      </w:r>
      <w:r>
        <w:rPr>
          <w:sz w:val="20"/>
        </w:rPr>
        <w:t>aplicaciones</w:t>
      </w:r>
      <w:r>
        <w:rPr>
          <w:spacing w:val="-5"/>
          <w:sz w:val="20"/>
        </w:rPr>
        <w:t> </w:t>
      </w:r>
      <w:r>
        <w:rPr>
          <w:sz w:val="20"/>
        </w:rPr>
        <w:t>presupuestarias</w:t>
      </w:r>
      <w:r>
        <w:rPr>
          <w:spacing w:val="-5"/>
          <w:sz w:val="20"/>
        </w:rPr>
        <w:t> </w:t>
      </w:r>
      <w:r>
        <w:rPr>
          <w:sz w:val="20"/>
        </w:rPr>
        <w:t>de</w:t>
      </w:r>
      <w:r>
        <w:rPr>
          <w:spacing w:val="-3"/>
          <w:sz w:val="20"/>
        </w:rPr>
        <w:t> </w:t>
      </w:r>
      <w:r>
        <w:rPr>
          <w:sz w:val="20"/>
        </w:rPr>
        <w:t>gastos</w:t>
      </w:r>
      <w:r>
        <w:rPr>
          <w:spacing w:val="-3"/>
          <w:sz w:val="20"/>
        </w:rPr>
        <w:t> </w:t>
      </w:r>
      <w:r>
        <w:rPr>
          <w:sz w:val="20"/>
        </w:rPr>
        <w:t>(apartado</w:t>
      </w:r>
      <w:r>
        <w:rPr>
          <w:spacing w:val="-4"/>
          <w:sz w:val="20"/>
        </w:rPr>
        <w:t> </w:t>
      </w:r>
      <w:r>
        <w:rPr>
          <w:sz w:val="20"/>
        </w:rPr>
        <w:t>4.2.9).</w:t>
      </w:r>
    </w:p>
    <w:p>
      <w:pPr>
        <w:pStyle w:val="BodyText"/>
        <w:spacing w:before="4"/>
        <w:rPr>
          <w:sz w:val="16"/>
        </w:rPr>
      </w:pPr>
    </w:p>
    <w:p>
      <w:pPr>
        <w:pStyle w:val="ListParagraph"/>
        <w:numPr>
          <w:ilvl w:val="0"/>
          <w:numId w:val="103"/>
        </w:numPr>
        <w:tabs>
          <w:tab w:pos="2337" w:val="left" w:leader="none"/>
        </w:tabs>
        <w:spacing w:line="240" w:lineRule="auto" w:before="1" w:after="0"/>
        <w:ind w:left="2336" w:right="1141" w:hanging="303"/>
        <w:jc w:val="both"/>
        <w:rPr>
          <w:sz w:val="20"/>
        </w:rPr>
      </w:pPr>
      <w:r>
        <w:rPr>
          <w:sz w:val="20"/>
        </w:rPr>
        <w:t>Los proyectos financiados con los fondos Next Generation han pasado de un grado de ejecución del 72,62 % en el ejercicio 2021 a un 40,09 % en el 2022 (subapartado 4.2.9.5).</w:t>
      </w:r>
    </w:p>
    <w:p>
      <w:pPr>
        <w:pStyle w:val="BodyText"/>
        <w:spacing w:before="11"/>
        <w:rPr>
          <w:sz w:val="16"/>
        </w:rPr>
      </w:pPr>
    </w:p>
    <w:p>
      <w:pPr>
        <w:pStyle w:val="ListParagraph"/>
        <w:numPr>
          <w:ilvl w:val="0"/>
          <w:numId w:val="103"/>
        </w:numPr>
        <w:tabs>
          <w:tab w:pos="2337" w:val="left" w:leader="none"/>
        </w:tabs>
        <w:spacing w:line="240" w:lineRule="auto" w:before="0" w:after="0"/>
        <w:ind w:left="2336" w:right="1145" w:hanging="303"/>
        <w:jc w:val="both"/>
        <w:rPr>
          <w:sz w:val="20"/>
        </w:rPr>
      </w:pPr>
      <w:r>
        <w:rPr>
          <w:sz w:val="20"/>
        </w:rPr>
        <w:t>La normativa reguladora del procedimiento para la devolución de los excesos de financiación afectada está propiciando que se altere el principio de imagen fiel de la ejecución del presupuesto de gastos, pues dichos expedientes deberían tramitarse como devoluciones de ingresos, no como ejecución de gastos (subapartado</w:t>
      </w:r>
      <w:r>
        <w:rPr>
          <w:spacing w:val="17"/>
          <w:sz w:val="20"/>
        </w:rPr>
        <w:t> </w:t>
      </w:r>
      <w:r>
        <w:rPr>
          <w:sz w:val="20"/>
        </w:rPr>
        <w:t>4.2.9.6).</w:t>
      </w:r>
    </w:p>
    <w:p>
      <w:pPr>
        <w:pStyle w:val="BodyText"/>
        <w:spacing w:before="3"/>
        <w:rPr>
          <w:sz w:val="17"/>
        </w:rPr>
      </w:pPr>
    </w:p>
    <w:p>
      <w:pPr>
        <w:pStyle w:val="ListParagraph"/>
        <w:numPr>
          <w:ilvl w:val="0"/>
          <w:numId w:val="103"/>
        </w:numPr>
        <w:tabs>
          <w:tab w:pos="2337" w:val="left" w:leader="none"/>
        </w:tabs>
        <w:spacing w:line="240" w:lineRule="auto" w:before="0" w:after="0"/>
        <w:ind w:left="2336" w:right="1139" w:hanging="303"/>
        <w:jc w:val="both"/>
        <w:rPr>
          <w:sz w:val="20"/>
        </w:rPr>
      </w:pPr>
      <w:r>
        <w:rPr>
          <w:sz w:val="20"/>
        </w:rPr>
        <w:t>El grado de ejecución presupuestaria de los créditos del capítulo VI (inversiones reales) de la Administración de la CAC se ha situado en el 58,35 %, muy por debajo de la media del resto de los capítulos de gastos que se situó en el 93,79 %. Dicho grado es un 1,15 % inferior al del ejercicio anterior en el que se alcanzó el 59,5 %. (apartado</w:t>
      </w:r>
      <w:r>
        <w:rPr>
          <w:spacing w:val="1"/>
          <w:sz w:val="20"/>
        </w:rPr>
        <w:t> </w:t>
      </w:r>
      <w:r>
        <w:rPr>
          <w:sz w:val="20"/>
        </w:rPr>
        <w:t>4.2.9).</w:t>
      </w:r>
    </w:p>
    <w:p>
      <w:pPr>
        <w:pStyle w:val="BodyText"/>
        <w:spacing w:before="2"/>
        <w:rPr>
          <w:sz w:val="17"/>
        </w:rPr>
      </w:pPr>
    </w:p>
    <w:p>
      <w:pPr>
        <w:pStyle w:val="ListParagraph"/>
        <w:numPr>
          <w:ilvl w:val="0"/>
          <w:numId w:val="103"/>
        </w:numPr>
        <w:tabs>
          <w:tab w:pos="2337" w:val="left" w:leader="none"/>
        </w:tabs>
        <w:spacing w:line="240" w:lineRule="auto" w:before="0" w:after="0"/>
        <w:ind w:left="2336" w:right="1142" w:hanging="303"/>
        <w:jc w:val="both"/>
        <w:rPr>
          <w:sz w:val="20"/>
        </w:rPr>
      </w:pPr>
      <w:r>
        <w:rPr>
          <w:sz w:val="20"/>
        </w:rPr>
        <w:t>Únicamente se han dictado Resoluciones declarando la procedencia del reintegro en materia de subvenciones por un importe de 17,3 millones de €, lo que representa el 6 % del importe de las pendientes de justificar (apartado</w:t>
      </w:r>
      <w:r>
        <w:rPr>
          <w:spacing w:val="3"/>
          <w:sz w:val="20"/>
        </w:rPr>
        <w:t> </w:t>
      </w:r>
      <w:r>
        <w:rPr>
          <w:sz w:val="20"/>
        </w:rPr>
        <w:t>4.2.11).</w:t>
      </w:r>
    </w:p>
    <w:p>
      <w:pPr>
        <w:pStyle w:val="BodyText"/>
        <w:spacing w:before="11"/>
        <w:rPr>
          <w:sz w:val="16"/>
        </w:rPr>
      </w:pPr>
    </w:p>
    <w:p>
      <w:pPr>
        <w:pStyle w:val="Heading1"/>
        <w:spacing w:before="1"/>
        <w:ind w:left="2099"/>
        <w:jc w:val="left"/>
      </w:pPr>
      <w:r>
        <w:rPr/>
        <w:t>Organismos autónomos y otras entidades públicas.</w:t>
      </w:r>
    </w:p>
    <w:p>
      <w:pPr>
        <w:pStyle w:val="BodyText"/>
        <w:spacing w:before="7"/>
        <w:rPr>
          <w:b/>
          <w:sz w:val="16"/>
        </w:rPr>
      </w:pPr>
    </w:p>
    <w:p>
      <w:pPr>
        <w:pStyle w:val="ListParagraph"/>
        <w:numPr>
          <w:ilvl w:val="0"/>
          <w:numId w:val="103"/>
        </w:numPr>
        <w:tabs>
          <w:tab w:pos="2337" w:val="left" w:leader="none"/>
        </w:tabs>
        <w:spacing w:line="242" w:lineRule="auto" w:before="1" w:after="0"/>
        <w:ind w:left="2336" w:right="1140" w:hanging="301"/>
        <w:jc w:val="both"/>
        <w:rPr>
          <w:sz w:val="20"/>
        </w:rPr>
      </w:pPr>
      <w:r>
        <w:rPr>
          <w:sz w:val="20"/>
        </w:rPr>
        <w:t>Comparado con 2021, los ingresos se reducen en 141,2 millones de € (3 % menos), y los</w:t>
      </w:r>
      <w:r>
        <w:rPr>
          <w:spacing w:val="-2"/>
          <w:sz w:val="20"/>
        </w:rPr>
        <w:t> </w:t>
      </w:r>
      <w:r>
        <w:rPr>
          <w:sz w:val="20"/>
        </w:rPr>
        <w:t>gastos</w:t>
      </w:r>
      <w:r>
        <w:rPr>
          <w:spacing w:val="-5"/>
          <w:sz w:val="20"/>
        </w:rPr>
        <w:t> </w:t>
      </w:r>
      <w:r>
        <w:rPr>
          <w:sz w:val="20"/>
        </w:rPr>
        <w:t>en</w:t>
      </w:r>
      <w:r>
        <w:rPr>
          <w:spacing w:val="-4"/>
          <w:sz w:val="20"/>
        </w:rPr>
        <w:t> </w:t>
      </w:r>
      <w:r>
        <w:rPr>
          <w:sz w:val="20"/>
        </w:rPr>
        <w:t>4,7</w:t>
      </w:r>
      <w:r>
        <w:rPr>
          <w:spacing w:val="-3"/>
          <w:sz w:val="20"/>
        </w:rPr>
        <w:t> </w:t>
      </w:r>
      <w:r>
        <w:rPr>
          <w:sz w:val="20"/>
        </w:rPr>
        <w:t>millones</w:t>
      </w:r>
      <w:r>
        <w:rPr>
          <w:spacing w:val="-3"/>
          <w:sz w:val="20"/>
        </w:rPr>
        <w:t> </w:t>
      </w:r>
      <w:r>
        <w:rPr>
          <w:sz w:val="20"/>
        </w:rPr>
        <w:t>de</w:t>
      </w:r>
      <w:r>
        <w:rPr>
          <w:spacing w:val="-4"/>
          <w:sz w:val="20"/>
        </w:rPr>
        <w:t> </w:t>
      </w:r>
      <w:r>
        <w:rPr>
          <w:sz w:val="20"/>
        </w:rPr>
        <w:t>€.</w:t>
      </w:r>
      <w:r>
        <w:rPr>
          <w:spacing w:val="-4"/>
          <w:sz w:val="20"/>
        </w:rPr>
        <w:t> </w:t>
      </w:r>
      <w:r>
        <w:rPr>
          <w:sz w:val="20"/>
        </w:rPr>
        <w:t>Esto</w:t>
      </w:r>
      <w:r>
        <w:rPr>
          <w:spacing w:val="-4"/>
          <w:sz w:val="20"/>
        </w:rPr>
        <w:t> </w:t>
      </w:r>
      <w:r>
        <w:rPr>
          <w:sz w:val="20"/>
        </w:rPr>
        <w:t>se</w:t>
      </w:r>
      <w:r>
        <w:rPr>
          <w:spacing w:val="-4"/>
          <w:sz w:val="20"/>
        </w:rPr>
        <w:t> </w:t>
      </w:r>
      <w:r>
        <w:rPr>
          <w:sz w:val="20"/>
        </w:rPr>
        <w:t>traduce,</w:t>
      </w:r>
      <w:r>
        <w:rPr>
          <w:spacing w:val="-4"/>
          <w:sz w:val="20"/>
        </w:rPr>
        <w:t> </w:t>
      </w:r>
      <w:r>
        <w:rPr>
          <w:sz w:val="20"/>
        </w:rPr>
        <w:t>una</w:t>
      </w:r>
      <w:r>
        <w:rPr>
          <w:spacing w:val="-2"/>
          <w:sz w:val="20"/>
        </w:rPr>
        <w:t> </w:t>
      </w:r>
      <w:r>
        <w:rPr>
          <w:sz w:val="20"/>
        </w:rPr>
        <w:t>vez</w:t>
      </w:r>
      <w:r>
        <w:rPr>
          <w:spacing w:val="-4"/>
          <w:sz w:val="20"/>
        </w:rPr>
        <w:t> </w:t>
      </w:r>
      <w:r>
        <w:rPr>
          <w:sz w:val="20"/>
        </w:rPr>
        <w:t>efectuados</w:t>
      </w:r>
      <w:r>
        <w:rPr>
          <w:spacing w:val="-2"/>
          <w:sz w:val="20"/>
        </w:rPr>
        <w:t> </w:t>
      </w:r>
      <w:r>
        <w:rPr>
          <w:sz w:val="20"/>
        </w:rPr>
        <w:t>los</w:t>
      </w:r>
      <w:r>
        <w:rPr>
          <w:spacing w:val="-2"/>
          <w:sz w:val="20"/>
        </w:rPr>
        <w:t> </w:t>
      </w:r>
      <w:r>
        <w:rPr>
          <w:sz w:val="20"/>
        </w:rPr>
        <w:t>ajustes,</w:t>
      </w:r>
      <w:r>
        <w:rPr>
          <w:spacing w:val="-2"/>
          <w:sz w:val="20"/>
        </w:rPr>
        <w:t> </w:t>
      </w:r>
      <w:r>
        <w:rPr>
          <w:sz w:val="20"/>
        </w:rPr>
        <w:t>en</w:t>
      </w:r>
      <w:r>
        <w:rPr>
          <w:spacing w:val="-4"/>
          <w:sz w:val="20"/>
        </w:rPr>
        <w:t> </w:t>
      </w:r>
      <w:r>
        <w:rPr>
          <w:sz w:val="20"/>
        </w:rPr>
        <w:t>un resultado presupuestario de 36,2 millones de € para 2022, lo que supone una disminución en 50,1 millones respecto al alcanzado en el ejercicio anterior. En este resultado influye de forma decisiva el SCE e ICAVI, con 17 y 10,3 millones, respectivamente, que se compensa, no obstante, con la cifra negativa de 15,1 millones de € obtenida por el SCS (apartados 4.3.1, 4.3.2 y</w:t>
      </w:r>
      <w:r>
        <w:rPr>
          <w:spacing w:val="-3"/>
          <w:sz w:val="20"/>
        </w:rPr>
        <w:t> </w:t>
      </w:r>
      <w:r>
        <w:rPr>
          <w:sz w:val="20"/>
        </w:rPr>
        <w:t>4.3.3).</w:t>
      </w:r>
    </w:p>
    <w:p>
      <w:pPr>
        <w:pStyle w:val="BodyText"/>
        <w:spacing w:before="2"/>
        <w:rPr>
          <w:sz w:val="23"/>
        </w:rPr>
      </w:pPr>
    </w:p>
    <w:p>
      <w:pPr>
        <w:pStyle w:val="BodyText"/>
        <w:spacing w:before="61"/>
        <w:ind w:left="7787"/>
        <w:jc w:val="center"/>
      </w:pPr>
      <w:r>
        <w:rPr/>
        <w:t>157</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29" name="image5.png"/>
                  <wp:cNvGraphicFramePr>
                    <a:graphicFrameLocks noChangeAspect="1"/>
                  </wp:cNvGraphicFramePr>
                  <a:graphic>
                    <a:graphicData uri="http://schemas.openxmlformats.org/drawingml/2006/picture">
                      <pic:pic>
                        <pic:nvPicPr>
                          <pic:cNvPr id="33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159/247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104"/>
        </w:numPr>
        <w:tabs>
          <w:tab w:pos="2337" w:val="left" w:leader="none"/>
        </w:tabs>
        <w:spacing w:line="242" w:lineRule="auto" w:before="61" w:after="0"/>
        <w:ind w:left="2336" w:right="1142" w:hanging="301"/>
        <w:jc w:val="both"/>
        <w:rPr>
          <w:sz w:val="20"/>
        </w:rPr>
      </w:pPr>
      <w:r>
        <w:rPr>
          <w:sz w:val="20"/>
        </w:rPr>
        <w:t>El remanente de tesorería de libre disposición continúa siendo elevado, al ascender este a 247,4 millones de €, aunque es inferior en un 27,5 % al del ejercicio 2021, Destacando, como en ejercicios anteriores, el obtenido por el SCE, ICAVI y APMN por 180,7 millones, 139,4 millones y 43,5 millones de €, que se compensa con el saldo negativo del SCS e ICHH, de 160,5 y 2,2 millones de €,</w:t>
      </w:r>
      <w:r>
        <w:rPr>
          <w:spacing w:val="7"/>
          <w:sz w:val="20"/>
        </w:rPr>
        <w:t> </w:t>
      </w:r>
      <w:r>
        <w:rPr>
          <w:sz w:val="20"/>
        </w:rPr>
        <w:t>respectivamente.</w:t>
      </w:r>
    </w:p>
    <w:p>
      <w:pPr>
        <w:pStyle w:val="BodyText"/>
        <w:spacing w:before="5"/>
        <w:rPr>
          <w:sz w:val="16"/>
        </w:rPr>
      </w:pPr>
    </w:p>
    <w:p>
      <w:pPr>
        <w:pStyle w:val="BodyText"/>
        <w:ind w:left="2336" w:right="1143"/>
        <w:jc w:val="both"/>
      </w:pPr>
      <w:r>
        <w:rPr/>
        <w:t>Sin embargo, a diferencia de ejercicios anteriores, estas entidades deberán reembolsar</w:t>
      </w:r>
      <w:r>
        <w:rPr>
          <w:spacing w:val="-10"/>
        </w:rPr>
        <w:t> </w:t>
      </w:r>
      <w:r>
        <w:rPr/>
        <w:t>a</w:t>
      </w:r>
      <w:r>
        <w:rPr>
          <w:spacing w:val="-9"/>
        </w:rPr>
        <w:t> </w:t>
      </w:r>
      <w:r>
        <w:rPr/>
        <w:t>la</w:t>
      </w:r>
      <w:r>
        <w:rPr>
          <w:spacing w:val="-10"/>
        </w:rPr>
        <w:t> </w:t>
      </w:r>
      <w:r>
        <w:rPr/>
        <w:t>Consejería</w:t>
      </w:r>
      <w:r>
        <w:rPr>
          <w:spacing w:val="-9"/>
        </w:rPr>
        <w:t> </w:t>
      </w:r>
      <w:r>
        <w:rPr/>
        <w:t>a</w:t>
      </w:r>
      <w:r>
        <w:rPr>
          <w:spacing w:val="-10"/>
        </w:rPr>
        <w:t> </w:t>
      </w:r>
      <w:r>
        <w:rPr/>
        <w:t>la</w:t>
      </w:r>
      <w:r>
        <w:rPr>
          <w:spacing w:val="-9"/>
        </w:rPr>
        <w:t> </w:t>
      </w:r>
      <w:r>
        <w:rPr/>
        <w:t>que</w:t>
      </w:r>
      <w:r>
        <w:rPr>
          <w:spacing w:val="-10"/>
        </w:rPr>
        <w:t> </w:t>
      </w:r>
      <w:r>
        <w:rPr/>
        <w:t>se</w:t>
      </w:r>
      <w:r>
        <w:rPr>
          <w:spacing w:val="-9"/>
        </w:rPr>
        <w:t> </w:t>
      </w:r>
      <w:r>
        <w:rPr/>
        <w:t>encuentre</w:t>
      </w:r>
      <w:r>
        <w:rPr>
          <w:spacing w:val="-10"/>
        </w:rPr>
        <w:t> </w:t>
      </w:r>
      <w:r>
        <w:rPr/>
        <w:t>adscrita</w:t>
      </w:r>
      <w:r>
        <w:rPr>
          <w:spacing w:val="-9"/>
        </w:rPr>
        <w:t> </w:t>
      </w:r>
      <w:r>
        <w:rPr/>
        <w:t>los</w:t>
      </w:r>
      <w:r>
        <w:rPr>
          <w:spacing w:val="-10"/>
        </w:rPr>
        <w:t> </w:t>
      </w:r>
      <w:r>
        <w:rPr/>
        <w:t>remanentes</w:t>
      </w:r>
      <w:r>
        <w:rPr>
          <w:spacing w:val="-9"/>
        </w:rPr>
        <w:t> </w:t>
      </w:r>
      <w:r>
        <w:rPr/>
        <w:t>no</w:t>
      </w:r>
      <w:r>
        <w:rPr>
          <w:spacing w:val="-10"/>
        </w:rPr>
        <w:t> </w:t>
      </w:r>
      <w:r>
        <w:rPr/>
        <w:t>aplicados de transferencias internas contempladas en los presupuestos (apartado</w:t>
      </w:r>
      <w:r>
        <w:rPr>
          <w:spacing w:val="6"/>
        </w:rPr>
        <w:t> </w:t>
      </w:r>
      <w:r>
        <w:rPr/>
        <w:t>4.3.1).</w:t>
      </w:r>
    </w:p>
    <w:p>
      <w:pPr>
        <w:pStyle w:val="BodyText"/>
        <w:spacing w:before="11"/>
        <w:rPr>
          <w:sz w:val="16"/>
        </w:rPr>
      </w:pPr>
    </w:p>
    <w:p>
      <w:pPr>
        <w:pStyle w:val="ListParagraph"/>
        <w:numPr>
          <w:ilvl w:val="0"/>
          <w:numId w:val="104"/>
        </w:numPr>
        <w:tabs>
          <w:tab w:pos="2337" w:val="left" w:leader="none"/>
        </w:tabs>
        <w:spacing w:line="240" w:lineRule="auto" w:before="0" w:after="0"/>
        <w:ind w:left="2336" w:right="1140" w:hanging="301"/>
        <w:jc w:val="both"/>
        <w:rPr>
          <w:sz w:val="20"/>
        </w:rPr>
      </w:pPr>
      <w:r>
        <w:rPr>
          <w:sz w:val="20"/>
        </w:rPr>
        <w:t>Es relevante el importe del pendiente de cobro de ejercicios cerrados registrado por ICAVI (97,6 millones de €), SCS (88,6 millones de €), APMN (22,4 millones de €) y SCE (19,1 millones de €). Estas entidades coinciden con las que mayores remanentes disponen de libre disposición en 2022: ICAVI (139,4 millones de €), APMN (43,5 millones de €) y SCE (180,7 millones de €). Este remanente para el SCS es</w:t>
      </w:r>
      <w:r>
        <w:rPr>
          <w:spacing w:val="20"/>
          <w:sz w:val="20"/>
        </w:rPr>
        <w:t> </w:t>
      </w:r>
      <w:r>
        <w:rPr>
          <w:sz w:val="20"/>
        </w:rPr>
        <w:t>negativo.</w:t>
      </w:r>
    </w:p>
    <w:p>
      <w:pPr>
        <w:pStyle w:val="BodyText"/>
        <w:spacing w:before="3"/>
        <w:rPr>
          <w:sz w:val="17"/>
        </w:rPr>
      </w:pPr>
    </w:p>
    <w:p>
      <w:pPr>
        <w:pStyle w:val="BodyText"/>
        <w:spacing w:line="242" w:lineRule="auto"/>
        <w:ind w:left="2336" w:right="1139"/>
        <w:jc w:val="both"/>
      </w:pPr>
      <w:r>
        <w:rPr/>
        <w:t>Concretamente para el SCS, este pendiente de cobro prácticamente se contabiliza en el concepto 359 “otros ingresos procedentes de prestaciones de servicios” (75,7 millones de €), del que sólo se recauda un 5,9 % en 2022. Esta misma situación se viene repitiendo en años anteriores, aunque se observa una mejora en la depuración del</w:t>
      </w:r>
      <w:r>
        <w:rPr>
          <w:spacing w:val="-4"/>
        </w:rPr>
        <w:t> </w:t>
      </w:r>
      <w:r>
        <w:rPr/>
        <w:t>saldo</w:t>
      </w:r>
      <w:r>
        <w:rPr>
          <w:spacing w:val="-5"/>
        </w:rPr>
        <w:t> </w:t>
      </w:r>
      <w:r>
        <w:rPr/>
        <w:t>mediante</w:t>
      </w:r>
      <w:r>
        <w:rPr>
          <w:spacing w:val="-5"/>
        </w:rPr>
        <w:t> </w:t>
      </w:r>
      <w:r>
        <w:rPr/>
        <w:t>un</w:t>
      </w:r>
      <w:r>
        <w:rPr>
          <w:spacing w:val="-6"/>
        </w:rPr>
        <w:t> </w:t>
      </w:r>
      <w:r>
        <w:rPr/>
        <w:t>incremento</w:t>
      </w:r>
      <w:r>
        <w:rPr>
          <w:spacing w:val="-5"/>
        </w:rPr>
        <w:t> </w:t>
      </w:r>
      <w:r>
        <w:rPr/>
        <w:t>de</w:t>
      </w:r>
      <w:r>
        <w:rPr>
          <w:spacing w:val="-3"/>
        </w:rPr>
        <w:t> </w:t>
      </w:r>
      <w:r>
        <w:rPr/>
        <w:t>las</w:t>
      </w:r>
      <w:r>
        <w:rPr>
          <w:spacing w:val="-6"/>
        </w:rPr>
        <w:t> </w:t>
      </w:r>
      <w:r>
        <w:rPr/>
        <w:t>anulaciones</w:t>
      </w:r>
      <w:r>
        <w:rPr>
          <w:spacing w:val="-3"/>
        </w:rPr>
        <w:t> </w:t>
      </w:r>
      <w:r>
        <w:rPr/>
        <w:t>(en</w:t>
      </w:r>
      <w:r>
        <w:rPr>
          <w:spacing w:val="-5"/>
        </w:rPr>
        <w:t> </w:t>
      </w:r>
      <w:r>
        <w:rPr/>
        <w:t>2021,</w:t>
      </w:r>
      <w:r>
        <w:rPr>
          <w:spacing w:val="-6"/>
        </w:rPr>
        <w:t> </w:t>
      </w:r>
      <w:r>
        <w:rPr/>
        <w:t>sólo</w:t>
      </w:r>
      <w:r>
        <w:rPr>
          <w:spacing w:val="-4"/>
        </w:rPr>
        <w:t> </w:t>
      </w:r>
      <w:r>
        <w:rPr/>
        <w:t>se</w:t>
      </w:r>
      <w:r>
        <w:rPr>
          <w:spacing w:val="-3"/>
        </w:rPr>
        <w:t> </w:t>
      </w:r>
      <w:r>
        <w:rPr/>
        <w:t>había</w:t>
      </w:r>
      <w:r>
        <w:rPr>
          <w:spacing w:val="-3"/>
        </w:rPr>
        <w:t> </w:t>
      </w:r>
      <w:r>
        <w:rPr/>
        <w:t>dado</w:t>
      </w:r>
      <w:r>
        <w:rPr>
          <w:spacing w:val="-6"/>
        </w:rPr>
        <w:t> </w:t>
      </w:r>
      <w:r>
        <w:rPr/>
        <w:t>de baja al 3,2 %, y en 2022 a un 26,9</w:t>
      </w:r>
      <w:r>
        <w:rPr>
          <w:spacing w:val="-1"/>
        </w:rPr>
        <w:t> </w:t>
      </w:r>
      <w:r>
        <w:rPr/>
        <w:t>%).</w:t>
      </w:r>
    </w:p>
    <w:p>
      <w:pPr>
        <w:pStyle w:val="BodyText"/>
        <w:spacing w:before="4"/>
        <w:rPr>
          <w:sz w:val="16"/>
        </w:rPr>
      </w:pPr>
    </w:p>
    <w:p>
      <w:pPr>
        <w:pStyle w:val="BodyText"/>
        <w:ind w:left="2336"/>
        <w:jc w:val="both"/>
      </w:pPr>
      <w:r>
        <w:rPr/>
        <w:t>El incremento en 81,9 millones en ICAVI tiene origen en 2021. Sin embargo, el 87,5</w:t>
      </w:r>
    </w:p>
    <w:p>
      <w:pPr>
        <w:pStyle w:val="BodyText"/>
        <w:spacing w:before="2"/>
        <w:ind w:left="2336" w:right="1145"/>
        <w:jc w:val="both"/>
      </w:pPr>
      <w:r>
        <w:rPr/>
        <w:t>%</w:t>
      </w:r>
      <w:r>
        <w:rPr>
          <w:spacing w:val="-10"/>
        </w:rPr>
        <w:t> </w:t>
      </w:r>
      <w:r>
        <w:rPr/>
        <w:t>del</w:t>
      </w:r>
      <w:r>
        <w:rPr>
          <w:spacing w:val="-10"/>
        </w:rPr>
        <w:t> </w:t>
      </w:r>
      <w:r>
        <w:rPr/>
        <w:t>pendiente</w:t>
      </w:r>
      <w:r>
        <w:rPr>
          <w:spacing w:val="-10"/>
        </w:rPr>
        <w:t> </w:t>
      </w:r>
      <w:r>
        <w:rPr/>
        <w:t>de</w:t>
      </w:r>
      <w:r>
        <w:rPr>
          <w:spacing w:val="-10"/>
        </w:rPr>
        <w:t> </w:t>
      </w:r>
      <w:r>
        <w:rPr/>
        <w:t>la</w:t>
      </w:r>
      <w:r>
        <w:rPr>
          <w:spacing w:val="-10"/>
        </w:rPr>
        <w:t> </w:t>
      </w:r>
      <w:r>
        <w:rPr/>
        <w:t>APMN,</w:t>
      </w:r>
      <w:r>
        <w:rPr>
          <w:spacing w:val="-9"/>
        </w:rPr>
        <w:t> </w:t>
      </w:r>
      <w:r>
        <w:rPr/>
        <w:t>el</w:t>
      </w:r>
      <w:r>
        <w:rPr>
          <w:spacing w:val="-10"/>
        </w:rPr>
        <w:t> </w:t>
      </w:r>
      <w:r>
        <w:rPr/>
        <w:t>80,8</w:t>
      </w:r>
      <w:r>
        <w:rPr>
          <w:spacing w:val="-10"/>
        </w:rPr>
        <w:t> </w:t>
      </w:r>
      <w:r>
        <w:rPr/>
        <w:t>%</w:t>
      </w:r>
      <w:r>
        <w:rPr>
          <w:spacing w:val="-9"/>
        </w:rPr>
        <w:t> </w:t>
      </w:r>
      <w:r>
        <w:rPr/>
        <w:t>del</w:t>
      </w:r>
      <w:r>
        <w:rPr>
          <w:spacing w:val="-8"/>
        </w:rPr>
        <w:t> </w:t>
      </w:r>
      <w:r>
        <w:rPr/>
        <w:t>SCE</w:t>
      </w:r>
      <w:r>
        <w:rPr>
          <w:spacing w:val="-11"/>
        </w:rPr>
        <w:t> </w:t>
      </w:r>
      <w:r>
        <w:rPr/>
        <w:t>y</w:t>
      </w:r>
      <w:r>
        <w:rPr>
          <w:spacing w:val="-10"/>
        </w:rPr>
        <w:t> </w:t>
      </w:r>
      <w:r>
        <w:rPr/>
        <w:t>el</w:t>
      </w:r>
      <w:r>
        <w:rPr>
          <w:spacing w:val="-10"/>
        </w:rPr>
        <w:t> </w:t>
      </w:r>
      <w:r>
        <w:rPr/>
        <w:t>42,6</w:t>
      </w:r>
      <w:r>
        <w:rPr>
          <w:spacing w:val="-10"/>
        </w:rPr>
        <w:t> </w:t>
      </w:r>
      <w:r>
        <w:rPr/>
        <w:t>%</w:t>
      </w:r>
      <w:r>
        <w:rPr>
          <w:spacing w:val="-9"/>
        </w:rPr>
        <w:t> </w:t>
      </w:r>
      <w:r>
        <w:rPr/>
        <w:t>del</w:t>
      </w:r>
      <w:r>
        <w:rPr>
          <w:spacing w:val="-10"/>
        </w:rPr>
        <w:t> </w:t>
      </w:r>
      <w:r>
        <w:rPr/>
        <w:t>SCS,</w:t>
      </w:r>
      <w:r>
        <w:rPr>
          <w:spacing w:val="-10"/>
        </w:rPr>
        <w:t> </w:t>
      </w:r>
      <w:r>
        <w:rPr/>
        <w:t>se</w:t>
      </w:r>
      <w:r>
        <w:rPr>
          <w:spacing w:val="-10"/>
        </w:rPr>
        <w:t> </w:t>
      </w:r>
      <w:r>
        <w:rPr/>
        <w:t>había</w:t>
      </w:r>
      <w:r>
        <w:rPr>
          <w:spacing w:val="-10"/>
        </w:rPr>
        <w:t> </w:t>
      </w:r>
      <w:r>
        <w:rPr/>
        <w:t>reconocido antes de 2018 (apartado 4.3.1 y</w:t>
      </w:r>
      <w:r>
        <w:rPr>
          <w:spacing w:val="-2"/>
        </w:rPr>
        <w:t> </w:t>
      </w:r>
      <w:r>
        <w:rPr/>
        <w:t>4.4.2).</w:t>
      </w:r>
    </w:p>
    <w:p>
      <w:pPr>
        <w:pStyle w:val="BodyText"/>
        <w:spacing w:before="9"/>
        <w:rPr>
          <w:sz w:val="16"/>
        </w:rPr>
      </w:pPr>
    </w:p>
    <w:p>
      <w:pPr>
        <w:pStyle w:val="ListParagraph"/>
        <w:numPr>
          <w:ilvl w:val="0"/>
          <w:numId w:val="104"/>
        </w:numPr>
        <w:tabs>
          <w:tab w:pos="2337" w:val="left" w:leader="none"/>
        </w:tabs>
        <w:spacing w:line="240" w:lineRule="auto" w:before="0" w:after="0"/>
        <w:ind w:left="2336" w:right="1146" w:hanging="301"/>
        <w:jc w:val="both"/>
        <w:rPr>
          <w:sz w:val="20"/>
        </w:rPr>
      </w:pPr>
      <w:r>
        <w:rPr>
          <w:sz w:val="20"/>
        </w:rPr>
        <w:t>ICAVI y SCE registran un total de 304,9 millones de € de subvenciones pendientes de justificar, de los que 69,7 millones se contabilizan en SICOIN, situación que es muy similar a la del ejercicio</w:t>
      </w:r>
      <w:r>
        <w:rPr>
          <w:spacing w:val="3"/>
          <w:sz w:val="20"/>
        </w:rPr>
        <w:t> </w:t>
      </w:r>
      <w:r>
        <w:rPr>
          <w:sz w:val="20"/>
        </w:rPr>
        <w:t>anterior.</w:t>
      </w:r>
    </w:p>
    <w:p>
      <w:pPr>
        <w:pStyle w:val="BodyText"/>
        <w:spacing w:before="11"/>
        <w:rPr>
          <w:sz w:val="16"/>
        </w:rPr>
      </w:pPr>
    </w:p>
    <w:p>
      <w:pPr>
        <w:pStyle w:val="BodyText"/>
        <w:spacing w:before="1"/>
        <w:ind w:left="2336" w:right="1144"/>
        <w:jc w:val="both"/>
      </w:pPr>
      <w:r>
        <w:rPr/>
        <w:t>Concretamente ICAVI, como actuaciones de mejora, presenta un Plan de Acción que aborda la correcta justificación de las subvenciones y encarga el análisis de una selección de expedientes para su posterior depuración. No obstante, estas medidas sólo fueron aplicadas parcialmente (apartado 4.3.1).</w:t>
      </w:r>
    </w:p>
    <w:p>
      <w:pPr>
        <w:pStyle w:val="BodyText"/>
        <w:spacing w:before="1"/>
        <w:rPr>
          <w:sz w:val="17"/>
        </w:rPr>
      </w:pPr>
    </w:p>
    <w:p>
      <w:pPr>
        <w:pStyle w:val="ListParagraph"/>
        <w:numPr>
          <w:ilvl w:val="0"/>
          <w:numId w:val="104"/>
        </w:numPr>
        <w:tabs>
          <w:tab w:pos="2337" w:val="left" w:leader="none"/>
        </w:tabs>
        <w:spacing w:line="242" w:lineRule="auto" w:before="0" w:after="0"/>
        <w:ind w:left="2336" w:right="1141" w:hanging="301"/>
        <w:jc w:val="both"/>
        <w:rPr>
          <w:sz w:val="20"/>
        </w:rPr>
      </w:pPr>
      <w:r>
        <w:rPr>
          <w:sz w:val="20"/>
        </w:rPr>
        <w:t>En general, la partida de acreedores por operaciones devengadas pendientes de aplicar al presupuesto ha venido reduciéndose en los últimos años, para todas las entidades excepto para el SCS en 2022, que invierte esta tendencia, acrecentado su saldo en 38,7 millones siendo, no obstante esta, una de las entidades más beneficiadas con los incrementos interanuales del presupuesto (apartado 4.3.1 y 4.4.2).</w:t>
      </w:r>
    </w:p>
    <w:p>
      <w:pPr>
        <w:pStyle w:val="BodyText"/>
        <w:spacing w:before="54"/>
        <w:ind w:left="7787"/>
        <w:jc w:val="center"/>
      </w:pPr>
      <w:r>
        <w:rPr/>
        <w:t>158</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31" name="image5.png"/>
                  <wp:cNvGraphicFramePr>
                    <a:graphicFrameLocks noChangeAspect="1"/>
                  </wp:cNvGraphicFramePr>
                  <a:graphic>
                    <a:graphicData uri="http://schemas.openxmlformats.org/drawingml/2006/picture">
                      <pic:pic>
                        <pic:nvPicPr>
                          <pic:cNvPr id="33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160/247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105"/>
        </w:numPr>
        <w:tabs>
          <w:tab w:pos="2337" w:val="left" w:leader="none"/>
        </w:tabs>
        <w:spacing w:line="242" w:lineRule="auto" w:before="61" w:after="0"/>
        <w:ind w:left="2336" w:right="1141" w:hanging="301"/>
        <w:jc w:val="both"/>
        <w:rPr>
          <w:sz w:val="20"/>
        </w:rPr>
      </w:pPr>
      <w:r>
        <w:rPr>
          <w:sz w:val="20"/>
        </w:rPr>
        <w:t>Por otro lado, a pesar del incremento notable de los fondos líquidos del SCS en 121,9 millones de € y haber liquidado más del 98 % de sus gastos, el resultado y el remanente negativo obtenido por este Organismo tuvo efectos en su liquidez, superando</w:t>
      </w:r>
      <w:r>
        <w:rPr>
          <w:spacing w:val="-7"/>
          <w:sz w:val="20"/>
        </w:rPr>
        <w:t> </w:t>
      </w:r>
      <w:r>
        <w:rPr>
          <w:sz w:val="20"/>
        </w:rPr>
        <w:t>los</w:t>
      </w:r>
      <w:r>
        <w:rPr>
          <w:spacing w:val="-7"/>
          <w:sz w:val="20"/>
        </w:rPr>
        <w:t> </w:t>
      </w:r>
      <w:r>
        <w:rPr>
          <w:sz w:val="20"/>
        </w:rPr>
        <w:t>pagos</w:t>
      </w:r>
      <w:r>
        <w:rPr>
          <w:spacing w:val="-6"/>
          <w:sz w:val="20"/>
        </w:rPr>
        <w:t> </w:t>
      </w:r>
      <w:r>
        <w:rPr>
          <w:sz w:val="20"/>
        </w:rPr>
        <w:t>el</w:t>
      </w:r>
      <w:r>
        <w:rPr>
          <w:spacing w:val="-7"/>
          <w:sz w:val="20"/>
        </w:rPr>
        <w:t> </w:t>
      </w:r>
      <w:r>
        <w:rPr>
          <w:sz w:val="20"/>
        </w:rPr>
        <w:t>periodo</w:t>
      </w:r>
      <w:r>
        <w:rPr>
          <w:spacing w:val="-7"/>
          <w:sz w:val="20"/>
        </w:rPr>
        <w:t> </w:t>
      </w:r>
      <w:r>
        <w:rPr>
          <w:sz w:val="20"/>
        </w:rPr>
        <w:t>medio</w:t>
      </w:r>
      <w:r>
        <w:rPr>
          <w:spacing w:val="-5"/>
          <w:sz w:val="20"/>
        </w:rPr>
        <w:t> </w:t>
      </w:r>
      <w:r>
        <w:rPr>
          <w:sz w:val="20"/>
        </w:rPr>
        <w:t>legal</w:t>
      </w:r>
      <w:r>
        <w:rPr>
          <w:spacing w:val="-6"/>
          <w:sz w:val="20"/>
        </w:rPr>
        <w:t> </w:t>
      </w:r>
      <w:r>
        <w:rPr>
          <w:sz w:val="20"/>
        </w:rPr>
        <w:t>de</w:t>
      </w:r>
      <w:r>
        <w:rPr>
          <w:spacing w:val="-7"/>
          <w:sz w:val="20"/>
        </w:rPr>
        <w:t> </w:t>
      </w:r>
      <w:r>
        <w:rPr>
          <w:sz w:val="20"/>
        </w:rPr>
        <w:t>30</w:t>
      </w:r>
      <w:r>
        <w:rPr>
          <w:spacing w:val="-8"/>
          <w:sz w:val="20"/>
        </w:rPr>
        <w:t> </w:t>
      </w:r>
      <w:r>
        <w:rPr>
          <w:sz w:val="20"/>
        </w:rPr>
        <w:t>días</w:t>
      </w:r>
      <w:r>
        <w:rPr>
          <w:spacing w:val="-5"/>
          <w:sz w:val="20"/>
        </w:rPr>
        <w:t> </w:t>
      </w:r>
      <w:r>
        <w:rPr>
          <w:sz w:val="20"/>
        </w:rPr>
        <w:t>en</w:t>
      </w:r>
      <w:r>
        <w:rPr>
          <w:spacing w:val="-6"/>
          <w:sz w:val="20"/>
        </w:rPr>
        <w:t> </w:t>
      </w:r>
      <w:r>
        <w:rPr>
          <w:sz w:val="20"/>
        </w:rPr>
        <w:t>el</w:t>
      </w:r>
      <w:r>
        <w:rPr>
          <w:spacing w:val="-7"/>
          <w:sz w:val="20"/>
        </w:rPr>
        <w:t> </w:t>
      </w:r>
      <w:r>
        <w:rPr>
          <w:sz w:val="20"/>
        </w:rPr>
        <w:t>último</w:t>
      </w:r>
      <w:r>
        <w:rPr>
          <w:spacing w:val="-5"/>
          <w:sz w:val="20"/>
        </w:rPr>
        <w:t> </w:t>
      </w:r>
      <w:r>
        <w:rPr>
          <w:sz w:val="20"/>
        </w:rPr>
        <w:t>trimestre</w:t>
      </w:r>
      <w:r>
        <w:rPr>
          <w:spacing w:val="-4"/>
          <w:sz w:val="20"/>
        </w:rPr>
        <w:t> </w:t>
      </w:r>
      <w:r>
        <w:rPr>
          <w:sz w:val="20"/>
        </w:rPr>
        <w:t>de</w:t>
      </w:r>
      <w:r>
        <w:rPr>
          <w:spacing w:val="-7"/>
          <w:sz w:val="20"/>
        </w:rPr>
        <w:t> </w:t>
      </w:r>
      <w:r>
        <w:rPr>
          <w:sz w:val="20"/>
        </w:rPr>
        <w:t>2022,</w:t>
      </w:r>
    </w:p>
    <w:p>
      <w:pPr>
        <w:pStyle w:val="BodyText"/>
        <w:spacing w:before="5"/>
        <w:rPr>
          <w:sz w:val="16"/>
        </w:rPr>
      </w:pPr>
    </w:p>
    <w:p>
      <w:pPr>
        <w:pStyle w:val="BodyText"/>
        <w:ind w:left="2336"/>
        <w:jc w:val="both"/>
      </w:pPr>
      <w:r>
        <w:rPr/>
        <w:t>Esto mismo sucedió en el ejercicio 2021 y en el primer cuatrimestre de 2023.</w:t>
      </w:r>
    </w:p>
    <w:p>
      <w:pPr>
        <w:pStyle w:val="BodyText"/>
        <w:spacing w:before="8"/>
        <w:rPr>
          <w:sz w:val="16"/>
        </w:rPr>
      </w:pPr>
    </w:p>
    <w:p>
      <w:pPr>
        <w:pStyle w:val="BodyText"/>
        <w:spacing w:line="242" w:lineRule="auto"/>
        <w:ind w:left="2336" w:right="1143"/>
        <w:jc w:val="both"/>
      </w:pPr>
      <w:r>
        <w:rPr/>
        <w:t>Dada la relevancia del gasto del SCS en el sector público autonómico, pudiendo, por tanto, afectar sus desviaciones a los compromisos de estabilidad presupuestaria, la IGCAC emitió un Informe de actuación en mayo de 2022 y en abril de 2023 para que se adoptaran medidas de gestión y correctoras en este Organismo (apartado 4.3.1 Y 4.4.2).</w:t>
      </w:r>
    </w:p>
    <w:p>
      <w:pPr>
        <w:pStyle w:val="BodyText"/>
        <w:spacing w:before="3"/>
        <w:rPr>
          <w:sz w:val="16"/>
        </w:rPr>
      </w:pPr>
    </w:p>
    <w:p>
      <w:pPr>
        <w:pStyle w:val="ListParagraph"/>
        <w:numPr>
          <w:ilvl w:val="0"/>
          <w:numId w:val="105"/>
        </w:numPr>
        <w:tabs>
          <w:tab w:pos="2337" w:val="left" w:leader="none"/>
        </w:tabs>
        <w:spacing w:line="240" w:lineRule="auto" w:before="0" w:after="0"/>
        <w:ind w:left="2336" w:right="1142" w:hanging="301"/>
        <w:jc w:val="both"/>
        <w:rPr>
          <w:sz w:val="20"/>
        </w:rPr>
      </w:pPr>
      <w:r>
        <w:rPr>
          <w:sz w:val="20"/>
        </w:rPr>
        <w:t>Para revertir los problemas de liquidez que el ICHH ha tenido en los últimos años, la Consejería de Sanidad modificó las tarifas de los hemoderivados a finales de 2021. Sin embargo, aunque esta medida mejoró en 2022 el resultado de las operaciones comerciales de ICHH, no fue suficiente, al continuar incumpliendo con el periodo medio de pago de 30 días exigido</w:t>
      </w:r>
      <w:r>
        <w:rPr>
          <w:spacing w:val="-1"/>
          <w:sz w:val="20"/>
        </w:rPr>
        <w:t> </w:t>
      </w:r>
      <w:r>
        <w:rPr>
          <w:sz w:val="20"/>
        </w:rPr>
        <w:t>legalmente.</w:t>
      </w:r>
    </w:p>
    <w:p>
      <w:pPr>
        <w:pStyle w:val="BodyText"/>
        <w:spacing w:before="3"/>
        <w:rPr>
          <w:sz w:val="17"/>
        </w:rPr>
      </w:pPr>
    </w:p>
    <w:p>
      <w:pPr>
        <w:pStyle w:val="BodyText"/>
        <w:ind w:left="2336" w:right="1144"/>
        <w:jc w:val="both"/>
      </w:pPr>
      <w:r>
        <w:rPr/>
        <w:t>El Gobierno de Canarias, en sesión de 25 de mayo de 2023, acordó la extinción del ICHH, cuyas funciones y servicios quedarán integrados en el SCS (apartado 4.3.1).</w:t>
      </w:r>
    </w:p>
    <w:p>
      <w:pPr>
        <w:pStyle w:val="BodyText"/>
        <w:spacing w:before="11"/>
        <w:rPr>
          <w:sz w:val="16"/>
        </w:rPr>
      </w:pPr>
    </w:p>
    <w:p>
      <w:pPr>
        <w:pStyle w:val="ListParagraph"/>
        <w:numPr>
          <w:ilvl w:val="0"/>
          <w:numId w:val="105"/>
        </w:numPr>
        <w:tabs>
          <w:tab w:pos="2337" w:val="left" w:leader="none"/>
        </w:tabs>
        <w:spacing w:line="240" w:lineRule="auto" w:before="1" w:after="0"/>
        <w:ind w:left="2336" w:right="1139" w:hanging="301"/>
        <w:jc w:val="both"/>
        <w:rPr>
          <w:sz w:val="20"/>
        </w:rPr>
      </w:pPr>
      <w:r>
        <w:rPr>
          <w:sz w:val="20"/>
        </w:rPr>
        <w:t>El gasto más relevante del SCS es el aplicado al personal, con un 52,2 % (2.128,7 millones</w:t>
      </w:r>
      <w:r>
        <w:rPr>
          <w:spacing w:val="-6"/>
          <w:sz w:val="20"/>
        </w:rPr>
        <w:t> </w:t>
      </w:r>
      <w:r>
        <w:rPr>
          <w:sz w:val="20"/>
        </w:rPr>
        <w:t>de</w:t>
      </w:r>
      <w:r>
        <w:rPr>
          <w:spacing w:val="-5"/>
          <w:sz w:val="20"/>
        </w:rPr>
        <w:t> </w:t>
      </w:r>
      <w:r>
        <w:rPr>
          <w:sz w:val="20"/>
        </w:rPr>
        <w:t>€),</w:t>
      </w:r>
      <w:r>
        <w:rPr>
          <w:spacing w:val="-3"/>
          <w:sz w:val="20"/>
        </w:rPr>
        <w:t> </w:t>
      </w:r>
      <w:r>
        <w:rPr>
          <w:sz w:val="20"/>
        </w:rPr>
        <w:t>que</w:t>
      </w:r>
      <w:r>
        <w:rPr>
          <w:spacing w:val="-3"/>
          <w:sz w:val="20"/>
        </w:rPr>
        <w:t> </w:t>
      </w:r>
      <w:r>
        <w:rPr>
          <w:sz w:val="20"/>
        </w:rPr>
        <w:t>además</w:t>
      </w:r>
      <w:r>
        <w:rPr>
          <w:spacing w:val="-4"/>
          <w:sz w:val="20"/>
        </w:rPr>
        <w:t> </w:t>
      </w:r>
      <w:r>
        <w:rPr>
          <w:sz w:val="20"/>
        </w:rPr>
        <w:t>representa</w:t>
      </w:r>
      <w:r>
        <w:rPr>
          <w:spacing w:val="-3"/>
          <w:sz w:val="20"/>
        </w:rPr>
        <w:t> </w:t>
      </w:r>
      <w:r>
        <w:rPr>
          <w:sz w:val="20"/>
        </w:rPr>
        <w:t>el</w:t>
      </w:r>
      <w:r>
        <w:rPr>
          <w:spacing w:val="-5"/>
          <w:sz w:val="20"/>
        </w:rPr>
        <w:t> </w:t>
      </w:r>
      <w:r>
        <w:rPr>
          <w:sz w:val="20"/>
        </w:rPr>
        <w:t>53,1</w:t>
      </w:r>
      <w:r>
        <w:rPr>
          <w:spacing w:val="-5"/>
          <w:sz w:val="20"/>
        </w:rPr>
        <w:t> </w:t>
      </w:r>
      <w:r>
        <w:rPr>
          <w:sz w:val="20"/>
        </w:rPr>
        <w:t>%</w:t>
      </w:r>
      <w:r>
        <w:rPr>
          <w:spacing w:val="-6"/>
          <w:sz w:val="20"/>
        </w:rPr>
        <w:t> </w:t>
      </w:r>
      <w:r>
        <w:rPr>
          <w:sz w:val="20"/>
        </w:rPr>
        <w:t>del</w:t>
      </w:r>
      <w:r>
        <w:rPr>
          <w:spacing w:val="-3"/>
          <w:sz w:val="20"/>
        </w:rPr>
        <w:t> </w:t>
      </w:r>
      <w:r>
        <w:rPr>
          <w:sz w:val="20"/>
        </w:rPr>
        <w:t>gasto</w:t>
      </w:r>
      <w:r>
        <w:rPr>
          <w:spacing w:val="-5"/>
          <w:sz w:val="20"/>
        </w:rPr>
        <w:t> </w:t>
      </w:r>
      <w:r>
        <w:rPr>
          <w:sz w:val="20"/>
        </w:rPr>
        <w:t>en</w:t>
      </w:r>
      <w:r>
        <w:rPr>
          <w:spacing w:val="-4"/>
          <w:sz w:val="20"/>
        </w:rPr>
        <w:t> </w:t>
      </w:r>
      <w:r>
        <w:rPr>
          <w:sz w:val="20"/>
        </w:rPr>
        <w:t>personal</w:t>
      </w:r>
      <w:r>
        <w:rPr>
          <w:spacing w:val="-6"/>
          <w:sz w:val="20"/>
        </w:rPr>
        <w:t> </w:t>
      </w:r>
      <w:r>
        <w:rPr>
          <w:sz w:val="20"/>
        </w:rPr>
        <w:t>en</w:t>
      </w:r>
      <w:r>
        <w:rPr>
          <w:spacing w:val="-2"/>
          <w:sz w:val="20"/>
        </w:rPr>
        <w:t> </w:t>
      </w:r>
      <w:r>
        <w:rPr>
          <w:sz w:val="20"/>
        </w:rPr>
        <w:t>el</w:t>
      </w:r>
      <w:r>
        <w:rPr>
          <w:spacing w:val="-5"/>
          <w:sz w:val="20"/>
        </w:rPr>
        <w:t> </w:t>
      </w:r>
      <w:r>
        <w:rPr>
          <w:sz w:val="20"/>
        </w:rPr>
        <w:t>conjunto del</w:t>
      </w:r>
      <w:r>
        <w:rPr>
          <w:spacing w:val="-10"/>
          <w:sz w:val="20"/>
        </w:rPr>
        <w:t> </w:t>
      </w:r>
      <w:r>
        <w:rPr>
          <w:sz w:val="20"/>
        </w:rPr>
        <w:t>sector</w:t>
      </w:r>
      <w:r>
        <w:rPr>
          <w:spacing w:val="-12"/>
          <w:sz w:val="20"/>
        </w:rPr>
        <w:t> </w:t>
      </w:r>
      <w:r>
        <w:rPr>
          <w:sz w:val="20"/>
        </w:rPr>
        <w:t>público</w:t>
      </w:r>
      <w:r>
        <w:rPr>
          <w:spacing w:val="-7"/>
          <w:sz w:val="20"/>
        </w:rPr>
        <w:t> </w:t>
      </w:r>
      <w:r>
        <w:rPr>
          <w:sz w:val="20"/>
        </w:rPr>
        <w:t>con</w:t>
      </w:r>
      <w:r>
        <w:rPr>
          <w:spacing w:val="-10"/>
          <w:sz w:val="20"/>
        </w:rPr>
        <w:t> </w:t>
      </w:r>
      <w:r>
        <w:rPr>
          <w:sz w:val="20"/>
        </w:rPr>
        <w:t>presupuesto</w:t>
      </w:r>
      <w:r>
        <w:rPr>
          <w:spacing w:val="-10"/>
          <w:sz w:val="20"/>
        </w:rPr>
        <w:t> </w:t>
      </w:r>
      <w:r>
        <w:rPr>
          <w:sz w:val="20"/>
        </w:rPr>
        <w:t>limitativo</w:t>
      </w:r>
      <w:r>
        <w:rPr>
          <w:spacing w:val="-9"/>
          <w:sz w:val="20"/>
        </w:rPr>
        <w:t> </w:t>
      </w:r>
      <w:r>
        <w:rPr>
          <w:sz w:val="20"/>
        </w:rPr>
        <w:t>de</w:t>
      </w:r>
      <w:r>
        <w:rPr>
          <w:spacing w:val="-10"/>
          <w:sz w:val="20"/>
        </w:rPr>
        <w:t> </w:t>
      </w:r>
      <w:r>
        <w:rPr>
          <w:sz w:val="20"/>
        </w:rPr>
        <w:t>la</w:t>
      </w:r>
      <w:r>
        <w:rPr>
          <w:spacing w:val="-7"/>
          <w:sz w:val="20"/>
        </w:rPr>
        <w:t> </w:t>
      </w:r>
      <w:r>
        <w:rPr>
          <w:sz w:val="20"/>
        </w:rPr>
        <w:t>CAC.</w:t>
      </w:r>
      <w:r>
        <w:rPr>
          <w:spacing w:val="-7"/>
          <w:sz w:val="20"/>
        </w:rPr>
        <w:t> </w:t>
      </w:r>
      <w:r>
        <w:rPr>
          <w:sz w:val="20"/>
        </w:rPr>
        <w:t>Para</w:t>
      </w:r>
      <w:r>
        <w:rPr>
          <w:spacing w:val="-10"/>
          <w:sz w:val="20"/>
        </w:rPr>
        <w:t> </w:t>
      </w:r>
      <w:r>
        <w:rPr>
          <w:sz w:val="20"/>
        </w:rPr>
        <w:t>el</w:t>
      </w:r>
      <w:r>
        <w:rPr>
          <w:spacing w:val="-9"/>
          <w:sz w:val="20"/>
        </w:rPr>
        <w:t> </w:t>
      </w:r>
      <w:r>
        <w:rPr>
          <w:sz w:val="20"/>
        </w:rPr>
        <w:t>resto</w:t>
      </w:r>
      <w:r>
        <w:rPr>
          <w:spacing w:val="-10"/>
          <w:sz w:val="20"/>
        </w:rPr>
        <w:t> </w:t>
      </w:r>
      <w:r>
        <w:rPr>
          <w:sz w:val="20"/>
        </w:rPr>
        <w:t>de</w:t>
      </w:r>
      <w:r>
        <w:rPr>
          <w:spacing w:val="-9"/>
          <w:sz w:val="20"/>
        </w:rPr>
        <w:t> </w:t>
      </w:r>
      <w:r>
        <w:rPr>
          <w:sz w:val="20"/>
        </w:rPr>
        <w:t>las</w:t>
      </w:r>
      <w:r>
        <w:rPr>
          <w:spacing w:val="-10"/>
          <w:sz w:val="20"/>
        </w:rPr>
        <w:t> </w:t>
      </w:r>
      <w:r>
        <w:rPr>
          <w:sz w:val="20"/>
        </w:rPr>
        <w:t>entidades, ese</w:t>
      </w:r>
      <w:r>
        <w:rPr>
          <w:spacing w:val="-8"/>
          <w:sz w:val="20"/>
        </w:rPr>
        <w:t> </w:t>
      </w:r>
      <w:r>
        <w:rPr>
          <w:sz w:val="20"/>
        </w:rPr>
        <w:t>gasto</w:t>
      </w:r>
      <w:r>
        <w:rPr>
          <w:spacing w:val="-8"/>
          <w:sz w:val="20"/>
        </w:rPr>
        <w:t> </w:t>
      </w:r>
      <w:r>
        <w:rPr>
          <w:sz w:val="20"/>
        </w:rPr>
        <w:t>sólo</w:t>
      </w:r>
      <w:r>
        <w:rPr>
          <w:spacing w:val="-8"/>
          <w:sz w:val="20"/>
        </w:rPr>
        <w:t> </w:t>
      </w:r>
      <w:r>
        <w:rPr>
          <w:sz w:val="20"/>
        </w:rPr>
        <w:t>concentra</w:t>
      </w:r>
      <w:r>
        <w:rPr>
          <w:spacing w:val="-10"/>
          <w:sz w:val="20"/>
        </w:rPr>
        <w:t> </w:t>
      </w:r>
      <w:r>
        <w:rPr>
          <w:sz w:val="20"/>
        </w:rPr>
        <w:t>el</w:t>
      </w:r>
      <w:r>
        <w:rPr>
          <w:spacing w:val="-8"/>
          <w:sz w:val="20"/>
        </w:rPr>
        <w:t> </w:t>
      </w:r>
      <w:r>
        <w:rPr>
          <w:sz w:val="20"/>
        </w:rPr>
        <w:t>10</w:t>
      </w:r>
      <w:r>
        <w:rPr>
          <w:spacing w:val="-8"/>
          <w:sz w:val="20"/>
        </w:rPr>
        <w:t> </w:t>
      </w:r>
      <w:r>
        <w:rPr>
          <w:sz w:val="20"/>
        </w:rPr>
        <w:t>%</w:t>
      </w:r>
      <w:r>
        <w:rPr>
          <w:spacing w:val="-8"/>
          <w:sz w:val="20"/>
        </w:rPr>
        <w:t> </w:t>
      </w:r>
      <w:r>
        <w:rPr>
          <w:sz w:val="20"/>
        </w:rPr>
        <w:t>del</w:t>
      </w:r>
      <w:r>
        <w:rPr>
          <w:spacing w:val="-10"/>
          <w:sz w:val="20"/>
        </w:rPr>
        <w:t> </w:t>
      </w:r>
      <w:r>
        <w:rPr>
          <w:sz w:val="20"/>
        </w:rPr>
        <w:t>total</w:t>
      </w:r>
      <w:r>
        <w:rPr>
          <w:spacing w:val="-6"/>
          <w:sz w:val="20"/>
        </w:rPr>
        <w:t> </w:t>
      </w:r>
      <w:r>
        <w:rPr>
          <w:sz w:val="20"/>
        </w:rPr>
        <w:t>(75,7</w:t>
      </w:r>
      <w:r>
        <w:rPr>
          <w:spacing w:val="-8"/>
          <w:sz w:val="20"/>
        </w:rPr>
        <w:t> </w:t>
      </w:r>
      <w:r>
        <w:rPr>
          <w:sz w:val="20"/>
        </w:rPr>
        <w:t>millones</w:t>
      </w:r>
      <w:r>
        <w:rPr>
          <w:spacing w:val="-7"/>
          <w:sz w:val="20"/>
        </w:rPr>
        <w:t> </w:t>
      </w:r>
      <w:r>
        <w:rPr>
          <w:sz w:val="20"/>
        </w:rPr>
        <w:t>de</w:t>
      </w:r>
      <w:r>
        <w:rPr>
          <w:spacing w:val="-8"/>
          <w:sz w:val="20"/>
        </w:rPr>
        <w:t> </w:t>
      </w:r>
      <w:r>
        <w:rPr>
          <w:sz w:val="20"/>
        </w:rPr>
        <w:t>€)</w:t>
      </w:r>
      <w:r>
        <w:rPr>
          <w:spacing w:val="-8"/>
          <w:sz w:val="20"/>
        </w:rPr>
        <w:t> </w:t>
      </w:r>
      <w:r>
        <w:rPr>
          <w:sz w:val="20"/>
        </w:rPr>
        <w:t>(apartado</w:t>
      </w:r>
      <w:r>
        <w:rPr>
          <w:spacing w:val="-8"/>
          <w:sz w:val="20"/>
        </w:rPr>
        <w:t> </w:t>
      </w:r>
      <w:r>
        <w:rPr>
          <w:sz w:val="20"/>
        </w:rPr>
        <w:t>4.3.4</w:t>
      </w:r>
      <w:r>
        <w:rPr>
          <w:spacing w:val="-8"/>
          <w:sz w:val="20"/>
        </w:rPr>
        <w:t> </w:t>
      </w:r>
      <w:r>
        <w:rPr>
          <w:sz w:val="20"/>
        </w:rPr>
        <w:t>y</w:t>
      </w:r>
      <w:r>
        <w:rPr>
          <w:spacing w:val="-9"/>
          <w:sz w:val="20"/>
        </w:rPr>
        <w:t> </w:t>
      </w:r>
      <w:r>
        <w:rPr>
          <w:sz w:val="20"/>
        </w:rPr>
        <w:t>4.4.2).</w:t>
      </w:r>
    </w:p>
    <w:p>
      <w:pPr>
        <w:pStyle w:val="BodyText"/>
        <w:rPr>
          <w:sz w:val="17"/>
        </w:rPr>
      </w:pPr>
    </w:p>
    <w:p>
      <w:pPr>
        <w:pStyle w:val="ListParagraph"/>
        <w:numPr>
          <w:ilvl w:val="0"/>
          <w:numId w:val="105"/>
        </w:numPr>
        <w:tabs>
          <w:tab w:pos="2337" w:val="left" w:leader="none"/>
        </w:tabs>
        <w:spacing w:line="240" w:lineRule="auto" w:before="0" w:after="0"/>
        <w:ind w:left="2336" w:right="1141" w:hanging="301"/>
        <w:jc w:val="both"/>
        <w:rPr>
          <w:sz w:val="20"/>
        </w:rPr>
      </w:pPr>
      <w:r>
        <w:rPr>
          <w:sz w:val="20"/>
        </w:rPr>
        <w:t>Sin</w:t>
      </w:r>
      <w:r>
        <w:rPr>
          <w:spacing w:val="-8"/>
          <w:sz w:val="20"/>
        </w:rPr>
        <w:t> </w:t>
      </w:r>
      <w:r>
        <w:rPr>
          <w:sz w:val="20"/>
        </w:rPr>
        <w:t>contar</w:t>
      </w:r>
      <w:r>
        <w:rPr>
          <w:spacing w:val="-8"/>
          <w:sz w:val="20"/>
        </w:rPr>
        <w:t> </w:t>
      </w:r>
      <w:r>
        <w:rPr>
          <w:sz w:val="20"/>
        </w:rPr>
        <w:t>al</w:t>
      </w:r>
      <w:r>
        <w:rPr>
          <w:spacing w:val="-8"/>
          <w:sz w:val="20"/>
        </w:rPr>
        <w:t> </w:t>
      </w:r>
      <w:r>
        <w:rPr>
          <w:sz w:val="20"/>
        </w:rPr>
        <w:t>SCS,</w:t>
      </w:r>
      <w:r>
        <w:rPr>
          <w:spacing w:val="-9"/>
          <w:sz w:val="20"/>
        </w:rPr>
        <w:t> </w:t>
      </w:r>
      <w:r>
        <w:rPr>
          <w:sz w:val="20"/>
        </w:rPr>
        <w:t>el</w:t>
      </w:r>
      <w:r>
        <w:rPr>
          <w:spacing w:val="-8"/>
          <w:sz w:val="20"/>
        </w:rPr>
        <w:t> </w:t>
      </w:r>
      <w:r>
        <w:rPr>
          <w:sz w:val="20"/>
        </w:rPr>
        <w:t>grado</w:t>
      </w:r>
      <w:r>
        <w:rPr>
          <w:spacing w:val="-7"/>
          <w:sz w:val="20"/>
        </w:rPr>
        <w:t> </w:t>
      </w:r>
      <w:r>
        <w:rPr>
          <w:sz w:val="20"/>
        </w:rPr>
        <w:t>de</w:t>
      </w:r>
      <w:r>
        <w:rPr>
          <w:spacing w:val="-8"/>
          <w:sz w:val="20"/>
        </w:rPr>
        <w:t> </w:t>
      </w:r>
      <w:r>
        <w:rPr>
          <w:sz w:val="20"/>
        </w:rPr>
        <w:t>cobertura</w:t>
      </w:r>
      <w:r>
        <w:rPr>
          <w:spacing w:val="-8"/>
          <w:sz w:val="20"/>
        </w:rPr>
        <w:t> </w:t>
      </w:r>
      <w:r>
        <w:rPr>
          <w:sz w:val="20"/>
        </w:rPr>
        <w:t>de</w:t>
      </w:r>
      <w:r>
        <w:rPr>
          <w:spacing w:val="-8"/>
          <w:sz w:val="20"/>
        </w:rPr>
        <w:t> </w:t>
      </w:r>
      <w:r>
        <w:rPr>
          <w:sz w:val="20"/>
        </w:rPr>
        <w:t>la</w:t>
      </w:r>
      <w:r>
        <w:rPr>
          <w:spacing w:val="-8"/>
          <w:sz w:val="20"/>
        </w:rPr>
        <w:t> </w:t>
      </w:r>
      <w:r>
        <w:rPr>
          <w:sz w:val="20"/>
        </w:rPr>
        <w:t>plantilla</w:t>
      </w:r>
      <w:r>
        <w:rPr>
          <w:spacing w:val="-7"/>
          <w:sz w:val="20"/>
        </w:rPr>
        <w:t> </w:t>
      </w:r>
      <w:r>
        <w:rPr>
          <w:sz w:val="20"/>
        </w:rPr>
        <w:t>para</w:t>
      </w:r>
      <w:r>
        <w:rPr>
          <w:spacing w:val="-8"/>
          <w:sz w:val="20"/>
        </w:rPr>
        <w:t> </w:t>
      </w:r>
      <w:r>
        <w:rPr>
          <w:sz w:val="20"/>
        </w:rPr>
        <w:t>la</w:t>
      </w:r>
      <w:r>
        <w:rPr>
          <w:spacing w:val="-8"/>
          <w:sz w:val="20"/>
        </w:rPr>
        <w:t> </w:t>
      </w:r>
      <w:r>
        <w:rPr>
          <w:sz w:val="20"/>
        </w:rPr>
        <w:t>mayoría</w:t>
      </w:r>
      <w:r>
        <w:rPr>
          <w:spacing w:val="-10"/>
          <w:sz w:val="20"/>
        </w:rPr>
        <w:t> </w:t>
      </w:r>
      <w:r>
        <w:rPr>
          <w:sz w:val="20"/>
        </w:rPr>
        <w:t>de</w:t>
      </w:r>
      <w:r>
        <w:rPr>
          <w:spacing w:val="-8"/>
          <w:sz w:val="20"/>
        </w:rPr>
        <w:t> </w:t>
      </w:r>
      <w:r>
        <w:rPr>
          <w:sz w:val="20"/>
        </w:rPr>
        <w:t>las</w:t>
      </w:r>
      <w:r>
        <w:rPr>
          <w:spacing w:val="-9"/>
          <w:sz w:val="20"/>
        </w:rPr>
        <w:t> </w:t>
      </w:r>
      <w:r>
        <w:rPr>
          <w:sz w:val="20"/>
        </w:rPr>
        <w:t>entidades es negativo, lo cual tiene correlación con la menor ejecución del gasto presupuestario: de las 12 entidades que han rendido cuentas, sólo RTVC tiene una ejecución</w:t>
      </w:r>
      <w:r>
        <w:rPr>
          <w:spacing w:val="-5"/>
          <w:sz w:val="20"/>
        </w:rPr>
        <w:t> </w:t>
      </w:r>
      <w:r>
        <w:rPr>
          <w:sz w:val="20"/>
        </w:rPr>
        <w:t>próxima</w:t>
      </w:r>
      <w:r>
        <w:rPr>
          <w:spacing w:val="-5"/>
          <w:sz w:val="20"/>
        </w:rPr>
        <w:t> </w:t>
      </w:r>
      <w:r>
        <w:rPr>
          <w:sz w:val="20"/>
        </w:rPr>
        <w:t>al</w:t>
      </w:r>
      <w:r>
        <w:rPr>
          <w:spacing w:val="-6"/>
          <w:sz w:val="20"/>
        </w:rPr>
        <w:t> </w:t>
      </w:r>
      <w:r>
        <w:rPr>
          <w:sz w:val="20"/>
        </w:rPr>
        <w:t>100</w:t>
      </w:r>
      <w:r>
        <w:rPr>
          <w:spacing w:val="-7"/>
          <w:sz w:val="20"/>
        </w:rPr>
        <w:t> </w:t>
      </w:r>
      <w:r>
        <w:rPr>
          <w:sz w:val="20"/>
        </w:rPr>
        <w:t>%,</w:t>
      </w:r>
      <w:r>
        <w:rPr>
          <w:spacing w:val="-3"/>
          <w:sz w:val="20"/>
        </w:rPr>
        <w:t> </w:t>
      </w:r>
      <w:r>
        <w:rPr>
          <w:sz w:val="20"/>
        </w:rPr>
        <w:t>situándose</w:t>
      </w:r>
      <w:r>
        <w:rPr>
          <w:spacing w:val="-6"/>
          <w:sz w:val="20"/>
        </w:rPr>
        <w:t> </w:t>
      </w:r>
      <w:r>
        <w:rPr>
          <w:sz w:val="20"/>
        </w:rPr>
        <w:t>para</w:t>
      </w:r>
      <w:r>
        <w:rPr>
          <w:spacing w:val="-5"/>
          <w:sz w:val="20"/>
        </w:rPr>
        <w:t> </w:t>
      </w:r>
      <w:r>
        <w:rPr>
          <w:sz w:val="20"/>
        </w:rPr>
        <w:t>la</w:t>
      </w:r>
      <w:r>
        <w:rPr>
          <w:spacing w:val="-5"/>
          <w:sz w:val="20"/>
        </w:rPr>
        <w:t> </w:t>
      </w:r>
      <w:r>
        <w:rPr>
          <w:sz w:val="20"/>
        </w:rPr>
        <w:t>mayoría</w:t>
      </w:r>
      <w:r>
        <w:rPr>
          <w:spacing w:val="-4"/>
          <w:sz w:val="20"/>
        </w:rPr>
        <w:t> </w:t>
      </w:r>
      <w:r>
        <w:rPr>
          <w:sz w:val="20"/>
        </w:rPr>
        <w:t>de</w:t>
      </w:r>
      <w:r>
        <w:rPr>
          <w:spacing w:val="-5"/>
          <w:sz w:val="20"/>
        </w:rPr>
        <w:t> </w:t>
      </w:r>
      <w:r>
        <w:rPr>
          <w:sz w:val="20"/>
        </w:rPr>
        <w:t>las</w:t>
      </w:r>
      <w:r>
        <w:rPr>
          <w:spacing w:val="-3"/>
          <w:sz w:val="20"/>
        </w:rPr>
        <w:t> </w:t>
      </w:r>
      <w:r>
        <w:rPr>
          <w:sz w:val="20"/>
        </w:rPr>
        <w:t>entidades</w:t>
      </w:r>
      <w:r>
        <w:rPr>
          <w:spacing w:val="-6"/>
          <w:sz w:val="20"/>
        </w:rPr>
        <w:t> </w:t>
      </w:r>
      <w:r>
        <w:rPr>
          <w:sz w:val="20"/>
        </w:rPr>
        <w:t>entre</w:t>
      </w:r>
      <w:r>
        <w:rPr>
          <w:spacing w:val="-5"/>
          <w:sz w:val="20"/>
        </w:rPr>
        <w:t> </w:t>
      </w:r>
      <w:r>
        <w:rPr>
          <w:sz w:val="20"/>
        </w:rPr>
        <w:t>el</w:t>
      </w:r>
      <w:r>
        <w:rPr>
          <w:spacing w:val="-5"/>
          <w:sz w:val="20"/>
        </w:rPr>
        <w:t> </w:t>
      </w:r>
      <w:r>
        <w:rPr>
          <w:sz w:val="20"/>
        </w:rPr>
        <w:t>76,7</w:t>
      </w:r>
    </w:p>
    <w:p>
      <w:pPr>
        <w:pStyle w:val="BodyText"/>
        <w:spacing w:before="7"/>
        <w:ind w:left="2336"/>
        <w:jc w:val="both"/>
      </w:pPr>
      <w:r>
        <w:rPr/>
        <w:t>% y el 85 %. Las que menos gastos ejecutaron fueron ICAP, ICCA y APMN, con un 69,7</w:t>
      </w:r>
    </w:p>
    <w:p>
      <w:pPr>
        <w:pStyle w:val="BodyText"/>
        <w:spacing w:before="2"/>
        <w:ind w:left="2336"/>
        <w:jc w:val="both"/>
      </w:pPr>
      <w:r>
        <w:rPr/>
        <w:t>%, un 72,5 % y un 60,5 % respectivamente (apartado 4.3.1 y 4.3.4).</w:t>
      </w:r>
    </w:p>
    <w:p>
      <w:pPr>
        <w:pStyle w:val="BodyText"/>
        <w:spacing w:before="8"/>
        <w:rPr>
          <w:sz w:val="16"/>
        </w:rPr>
      </w:pPr>
    </w:p>
    <w:p>
      <w:pPr>
        <w:pStyle w:val="ListParagraph"/>
        <w:numPr>
          <w:ilvl w:val="0"/>
          <w:numId w:val="105"/>
        </w:numPr>
        <w:tabs>
          <w:tab w:pos="2337" w:val="left" w:leader="none"/>
        </w:tabs>
        <w:spacing w:line="242" w:lineRule="auto" w:before="0" w:after="0"/>
        <w:ind w:left="2336" w:right="1144" w:hanging="301"/>
        <w:jc w:val="both"/>
        <w:rPr>
          <w:sz w:val="20"/>
        </w:rPr>
      </w:pPr>
      <w:r>
        <w:rPr>
          <w:sz w:val="20"/>
        </w:rPr>
        <w:t>Lo contrario sucede en el SCS, donde el número de efectivos reales superaba a la plantilla orgánica de manera significativa a partir de</w:t>
      </w:r>
      <w:r>
        <w:rPr>
          <w:spacing w:val="1"/>
          <w:sz w:val="20"/>
        </w:rPr>
        <w:t> </w:t>
      </w:r>
      <w:r>
        <w:rPr>
          <w:sz w:val="20"/>
        </w:rPr>
        <w:t>2020.</w:t>
      </w:r>
    </w:p>
    <w:p>
      <w:pPr>
        <w:pStyle w:val="BodyText"/>
        <w:spacing w:before="5"/>
        <w:rPr>
          <w:sz w:val="16"/>
        </w:rPr>
      </w:pPr>
    </w:p>
    <w:p>
      <w:pPr>
        <w:pStyle w:val="BodyText"/>
        <w:spacing w:line="242" w:lineRule="auto"/>
        <w:ind w:left="2336" w:right="1144"/>
        <w:jc w:val="both"/>
      </w:pPr>
      <w:r>
        <w:rPr/>
        <w:t>En</w:t>
      </w:r>
      <w:r>
        <w:rPr>
          <w:spacing w:val="-3"/>
        </w:rPr>
        <w:t> </w:t>
      </w:r>
      <w:r>
        <w:rPr/>
        <w:t>términos</w:t>
      </w:r>
      <w:r>
        <w:rPr>
          <w:spacing w:val="-3"/>
        </w:rPr>
        <w:t> </w:t>
      </w:r>
      <w:r>
        <w:rPr/>
        <w:t>absolutos,</w:t>
      </w:r>
      <w:r>
        <w:rPr>
          <w:spacing w:val="-4"/>
        </w:rPr>
        <w:t> </w:t>
      </w:r>
      <w:r>
        <w:rPr/>
        <w:t>esta</w:t>
      </w:r>
      <w:r>
        <w:rPr>
          <w:spacing w:val="-3"/>
        </w:rPr>
        <w:t> </w:t>
      </w:r>
      <w:r>
        <w:rPr/>
        <w:t>diferencia</w:t>
      </w:r>
      <w:r>
        <w:rPr>
          <w:spacing w:val="-4"/>
        </w:rPr>
        <w:t> </w:t>
      </w:r>
      <w:r>
        <w:rPr/>
        <w:t>es</w:t>
      </w:r>
      <w:r>
        <w:rPr>
          <w:spacing w:val="-5"/>
        </w:rPr>
        <w:t> </w:t>
      </w:r>
      <w:r>
        <w:rPr/>
        <w:t>notable</w:t>
      </w:r>
      <w:r>
        <w:rPr>
          <w:spacing w:val="-6"/>
        </w:rPr>
        <w:t> </w:t>
      </w:r>
      <w:r>
        <w:rPr/>
        <w:t>para</w:t>
      </w:r>
      <w:r>
        <w:rPr>
          <w:spacing w:val="-3"/>
        </w:rPr>
        <w:t> </w:t>
      </w:r>
      <w:r>
        <w:rPr/>
        <w:t>los</w:t>
      </w:r>
      <w:r>
        <w:rPr>
          <w:spacing w:val="-4"/>
        </w:rPr>
        <w:t> </w:t>
      </w:r>
      <w:r>
        <w:rPr/>
        <w:t>hospitales</w:t>
      </w:r>
      <w:r>
        <w:rPr>
          <w:spacing w:val="-3"/>
        </w:rPr>
        <w:t> </w:t>
      </w:r>
      <w:r>
        <w:rPr/>
        <w:t>de</w:t>
      </w:r>
      <w:r>
        <w:rPr>
          <w:spacing w:val="-4"/>
        </w:rPr>
        <w:t> </w:t>
      </w:r>
      <w:r>
        <w:rPr/>
        <w:t>Gran Canaria y</w:t>
      </w:r>
      <w:r>
        <w:rPr>
          <w:spacing w:val="-3"/>
        </w:rPr>
        <w:t> </w:t>
      </w:r>
      <w:r>
        <w:rPr/>
        <w:t>Tenerife;</w:t>
      </w:r>
      <w:r>
        <w:rPr>
          <w:spacing w:val="-4"/>
        </w:rPr>
        <w:t> </w:t>
      </w:r>
      <w:r>
        <w:rPr/>
        <w:t>no</w:t>
      </w:r>
      <w:r>
        <w:rPr>
          <w:spacing w:val="-2"/>
        </w:rPr>
        <w:t> </w:t>
      </w:r>
      <w:r>
        <w:rPr/>
        <w:t>así</w:t>
      </w:r>
      <w:r>
        <w:rPr>
          <w:spacing w:val="-2"/>
        </w:rPr>
        <w:t> </w:t>
      </w:r>
      <w:r>
        <w:rPr/>
        <w:t>si</w:t>
      </w:r>
      <w:r>
        <w:rPr>
          <w:spacing w:val="-5"/>
        </w:rPr>
        <w:t> </w:t>
      </w:r>
      <w:r>
        <w:rPr/>
        <w:t>se</w:t>
      </w:r>
      <w:r>
        <w:rPr>
          <w:spacing w:val="-1"/>
        </w:rPr>
        <w:t> </w:t>
      </w:r>
      <w:r>
        <w:rPr/>
        <w:t>analiza</w:t>
      </w:r>
      <w:r>
        <w:rPr>
          <w:spacing w:val="-2"/>
        </w:rPr>
        <w:t> </w:t>
      </w:r>
      <w:r>
        <w:rPr/>
        <w:t>el</w:t>
      </w:r>
      <w:r>
        <w:rPr>
          <w:spacing w:val="-4"/>
        </w:rPr>
        <w:t> </w:t>
      </w:r>
      <w:r>
        <w:rPr/>
        <w:t>grado</w:t>
      </w:r>
      <w:r>
        <w:rPr>
          <w:spacing w:val="-4"/>
        </w:rPr>
        <w:t> </w:t>
      </w:r>
      <w:r>
        <w:rPr/>
        <w:t>de</w:t>
      </w:r>
      <w:r>
        <w:rPr>
          <w:spacing w:val="-2"/>
        </w:rPr>
        <w:t> </w:t>
      </w:r>
      <w:r>
        <w:rPr/>
        <w:t>cobertura,</w:t>
      </w:r>
      <w:r>
        <w:rPr>
          <w:spacing w:val="-1"/>
        </w:rPr>
        <w:t> </w:t>
      </w:r>
      <w:r>
        <w:rPr/>
        <w:t>donde</w:t>
      </w:r>
      <w:r>
        <w:rPr>
          <w:spacing w:val="-2"/>
        </w:rPr>
        <w:t> </w:t>
      </w:r>
      <w:r>
        <w:rPr/>
        <w:t>destaca</w:t>
      </w:r>
      <w:r>
        <w:rPr>
          <w:spacing w:val="-5"/>
        </w:rPr>
        <w:t> </w:t>
      </w:r>
      <w:r>
        <w:rPr/>
        <w:t>el</w:t>
      </w:r>
      <w:r>
        <w:rPr>
          <w:spacing w:val="-2"/>
        </w:rPr>
        <w:t> </w:t>
      </w:r>
      <w:r>
        <w:rPr/>
        <w:t>incremento</w:t>
      </w:r>
      <w:r>
        <w:rPr>
          <w:spacing w:val="-1"/>
        </w:rPr>
        <w:t> </w:t>
      </w:r>
      <w:r>
        <w:rPr/>
        <w:t>en las Gerencias de servicios sanitarios de las islas no capitalinas y en la</w:t>
      </w:r>
      <w:r>
        <w:rPr>
          <w:spacing w:val="10"/>
        </w:rPr>
        <w:t> </w:t>
      </w:r>
      <w:r>
        <w:rPr/>
        <w:t>Atención Primaria en general. Por categorías, las mayores desviaciones respecto a la plantilla orgánica   se  producen  en   el  “personal   sanitario   no  facultativo”,</w:t>
      </w:r>
      <w:r>
        <w:rPr>
          <w:spacing w:val="21"/>
        </w:rPr>
        <w:t> </w:t>
      </w:r>
      <w:r>
        <w:rPr/>
        <w:t>especialmente</w:t>
      </w:r>
    </w:p>
    <w:p>
      <w:pPr>
        <w:pStyle w:val="BodyText"/>
        <w:spacing w:before="99"/>
        <w:ind w:right="1140"/>
        <w:jc w:val="right"/>
      </w:pPr>
      <w:r>
        <w:rPr/>
        <w:t>159</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33" name="image5.png"/>
                  <wp:cNvGraphicFramePr>
                    <a:graphicFrameLocks noChangeAspect="1"/>
                  </wp:cNvGraphicFramePr>
                  <a:graphic>
                    <a:graphicData uri="http://schemas.openxmlformats.org/drawingml/2006/picture">
                      <pic:pic>
                        <pic:nvPicPr>
                          <pic:cNvPr id="33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161/247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336" w:right="1145"/>
        <w:jc w:val="both"/>
      </w:pPr>
      <w:r>
        <w:rPr/>
        <w:t>enfermeros y auxiliares de enfermería. También existen diferencias relevantes para el “personal no sanitario” que, en proporción, es superior en las islas no capitalinas (apartado 4.4.2).</w:t>
      </w:r>
    </w:p>
    <w:p>
      <w:pPr>
        <w:pStyle w:val="BodyText"/>
        <w:spacing w:before="1"/>
        <w:rPr>
          <w:sz w:val="17"/>
        </w:rPr>
      </w:pPr>
    </w:p>
    <w:p>
      <w:pPr>
        <w:pStyle w:val="ListParagraph"/>
        <w:numPr>
          <w:ilvl w:val="0"/>
          <w:numId w:val="106"/>
        </w:numPr>
        <w:tabs>
          <w:tab w:pos="2337" w:val="left" w:leader="none"/>
        </w:tabs>
        <w:spacing w:line="240" w:lineRule="auto" w:before="0" w:after="0"/>
        <w:ind w:left="2336" w:right="1140" w:hanging="301"/>
        <w:jc w:val="both"/>
        <w:rPr>
          <w:sz w:val="20"/>
        </w:rPr>
      </w:pPr>
      <w:r>
        <w:rPr>
          <w:sz w:val="20"/>
        </w:rPr>
        <w:t>En cuanto a la exigencia legal de remisión a la Audiencia de Cuentas de los extractos de los expedientes y de las relaciones anuales de los contratos, convenios y encargos (apartado 4.2.5 y</w:t>
      </w:r>
      <w:r>
        <w:rPr>
          <w:spacing w:val="2"/>
          <w:sz w:val="20"/>
        </w:rPr>
        <w:t> </w:t>
      </w:r>
      <w:r>
        <w:rPr>
          <w:sz w:val="20"/>
        </w:rPr>
        <w:t>4.4.3):</w:t>
      </w:r>
    </w:p>
    <w:p>
      <w:pPr>
        <w:pStyle w:val="BodyText"/>
        <w:spacing w:before="11"/>
        <w:rPr>
          <w:sz w:val="16"/>
        </w:rPr>
      </w:pPr>
    </w:p>
    <w:p>
      <w:pPr>
        <w:pStyle w:val="ListParagraph"/>
        <w:numPr>
          <w:ilvl w:val="1"/>
          <w:numId w:val="106"/>
        </w:numPr>
        <w:tabs>
          <w:tab w:pos="2694" w:val="left" w:leader="none"/>
        </w:tabs>
        <w:spacing w:line="240" w:lineRule="auto" w:before="0" w:after="0"/>
        <w:ind w:left="2693" w:right="0" w:hanging="239"/>
        <w:jc w:val="left"/>
        <w:rPr>
          <w:sz w:val="20"/>
        </w:rPr>
      </w:pPr>
      <w:r>
        <w:rPr>
          <w:sz w:val="20"/>
        </w:rPr>
        <w:t>ICAVI e ICIA (dos) no han remitido ninguna</w:t>
      </w:r>
      <w:r>
        <w:rPr>
          <w:spacing w:val="2"/>
          <w:sz w:val="20"/>
        </w:rPr>
        <w:t> </w:t>
      </w:r>
      <w:r>
        <w:rPr>
          <w:sz w:val="20"/>
        </w:rPr>
        <w:t>información.</w:t>
      </w:r>
    </w:p>
    <w:p>
      <w:pPr>
        <w:pStyle w:val="ListParagraph"/>
        <w:numPr>
          <w:ilvl w:val="1"/>
          <w:numId w:val="106"/>
        </w:numPr>
        <w:tabs>
          <w:tab w:pos="2694" w:val="left" w:leader="none"/>
        </w:tabs>
        <w:spacing w:line="242" w:lineRule="auto" w:before="2" w:after="0"/>
        <w:ind w:left="2693" w:right="1143" w:hanging="238"/>
        <w:jc w:val="both"/>
        <w:rPr>
          <w:sz w:val="20"/>
        </w:rPr>
      </w:pPr>
      <w:r>
        <w:rPr>
          <w:sz w:val="20"/>
        </w:rPr>
        <w:t>ICAP, ICCA, ICI, ISTAC, CES, RTVC y RINCÓN (7) remitieron toda la información exigida.</w:t>
      </w:r>
    </w:p>
    <w:p>
      <w:pPr>
        <w:pStyle w:val="ListParagraph"/>
        <w:numPr>
          <w:ilvl w:val="1"/>
          <w:numId w:val="106"/>
        </w:numPr>
        <w:tabs>
          <w:tab w:pos="2694" w:val="left" w:leader="none"/>
        </w:tabs>
        <w:spacing w:line="240" w:lineRule="auto" w:before="0" w:after="0"/>
        <w:ind w:left="2693" w:right="0" w:hanging="239"/>
        <w:jc w:val="left"/>
        <w:rPr>
          <w:sz w:val="20"/>
        </w:rPr>
      </w:pPr>
      <w:r>
        <w:rPr>
          <w:sz w:val="20"/>
        </w:rPr>
        <w:t>ACCUE, ICHH, SCE, ATC y APMN (5) la remiten de forma</w:t>
      </w:r>
      <w:r>
        <w:rPr>
          <w:spacing w:val="4"/>
          <w:sz w:val="20"/>
        </w:rPr>
        <w:t> </w:t>
      </w:r>
      <w:r>
        <w:rPr>
          <w:sz w:val="20"/>
        </w:rPr>
        <w:t>incompleta.</w:t>
      </w:r>
    </w:p>
    <w:p>
      <w:pPr>
        <w:pStyle w:val="ListParagraph"/>
        <w:numPr>
          <w:ilvl w:val="1"/>
          <w:numId w:val="106"/>
        </w:numPr>
        <w:tabs>
          <w:tab w:pos="2694" w:val="left" w:leader="none"/>
        </w:tabs>
        <w:spacing w:line="240" w:lineRule="auto" w:before="1" w:after="0"/>
        <w:ind w:left="2693" w:right="1145" w:hanging="238"/>
        <w:jc w:val="both"/>
        <w:rPr>
          <w:sz w:val="20"/>
        </w:rPr>
      </w:pPr>
      <w:r>
        <w:rPr>
          <w:sz w:val="20"/>
        </w:rPr>
        <w:t>Para los 24 órganos de contratación del SCS, nueve no han rendido ninguna documentación, y la mayoría no remite las relaciones certificadas de contratos privados, convenios y encargos a medios</w:t>
      </w:r>
      <w:r>
        <w:rPr>
          <w:spacing w:val="-1"/>
          <w:sz w:val="20"/>
        </w:rPr>
        <w:t> </w:t>
      </w:r>
      <w:r>
        <w:rPr>
          <w:sz w:val="20"/>
        </w:rPr>
        <w:t>propios.</w:t>
      </w:r>
    </w:p>
    <w:p>
      <w:pPr>
        <w:pStyle w:val="BodyText"/>
        <w:spacing w:before="1"/>
        <w:rPr>
          <w:sz w:val="17"/>
        </w:rPr>
      </w:pPr>
    </w:p>
    <w:p>
      <w:pPr>
        <w:pStyle w:val="BodyText"/>
        <w:ind w:left="2336"/>
        <w:jc w:val="both"/>
      </w:pPr>
      <w:r>
        <w:rPr/>
        <w:t>Las relaciones de contratos rendidas contienen diversas incidencias:</w:t>
      </w:r>
    </w:p>
    <w:p>
      <w:pPr>
        <w:pStyle w:val="BodyText"/>
        <w:spacing w:before="7"/>
        <w:rPr>
          <w:sz w:val="16"/>
        </w:rPr>
      </w:pPr>
    </w:p>
    <w:p>
      <w:pPr>
        <w:pStyle w:val="ListParagraph"/>
        <w:numPr>
          <w:ilvl w:val="1"/>
          <w:numId w:val="106"/>
        </w:numPr>
        <w:tabs>
          <w:tab w:pos="2694" w:val="left" w:leader="none"/>
        </w:tabs>
        <w:spacing w:line="240" w:lineRule="auto" w:before="0" w:after="0"/>
        <w:ind w:left="2693" w:right="1144" w:hanging="238"/>
        <w:jc w:val="both"/>
        <w:rPr>
          <w:sz w:val="20"/>
        </w:rPr>
      </w:pPr>
      <w:r>
        <w:rPr>
          <w:sz w:val="20"/>
        </w:rPr>
        <w:t>La</w:t>
      </w:r>
      <w:r>
        <w:rPr>
          <w:spacing w:val="-5"/>
          <w:sz w:val="20"/>
        </w:rPr>
        <w:t> </w:t>
      </w:r>
      <w:r>
        <w:rPr>
          <w:sz w:val="20"/>
        </w:rPr>
        <w:t>información</w:t>
      </w:r>
      <w:r>
        <w:rPr>
          <w:spacing w:val="-3"/>
          <w:sz w:val="20"/>
        </w:rPr>
        <w:t> </w:t>
      </w:r>
      <w:r>
        <w:rPr>
          <w:sz w:val="20"/>
        </w:rPr>
        <w:t>no</w:t>
      </w:r>
      <w:r>
        <w:rPr>
          <w:spacing w:val="-4"/>
          <w:sz w:val="20"/>
        </w:rPr>
        <w:t> </w:t>
      </w:r>
      <w:r>
        <w:rPr>
          <w:sz w:val="20"/>
        </w:rPr>
        <w:t>es</w:t>
      </w:r>
      <w:r>
        <w:rPr>
          <w:spacing w:val="-4"/>
          <w:sz w:val="20"/>
        </w:rPr>
        <w:t> </w:t>
      </w:r>
      <w:r>
        <w:rPr>
          <w:sz w:val="20"/>
        </w:rPr>
        <w:t>coincidente</w:t>
      </w:r>
      <w:r>
        <w:rPr>
          <w:spacing w:val="-4"/>
          <w:sz w:val="20"/>
        </w:rPr>
        <w:t> </w:t>
      </w:r>
      <w:r>
        <w:rPr>
          <w:sz w:val="20"/>
        </w:rPr>
        <w:t>con</w:t>
      </w:r>
      <w:r>
        <w:rPr>
          <w:spacing w:val="-3"/>
          <w:sz w:val="20"/>
        </w:rPr>
        <w:t> </w:t>
      </w:r>
      <w:r>
        <w:rPr>
          <w:sz w:val="20"/>
        </w:rPr>
        <w:t>la</w:t>
      </w:r>
      <w:r>
        <w:rPr>
          <w:spacing w:val="-4"/>
          <w:sz w:val="20"/>
        </w:rPr>
        <w:t> </w:t>
      </w:r>
      <w:r>
        <w:rPr>
          <w:sz w:val="20"/>
        </w:rPr>
        <w:t>información</w:t>
      </w:r>
      <w:r>
        <w:rPr>
          <w:spacing w:val="-4"/>
          <w:sz w:val="20"/>
        </w:rPr>
        <w:t> </w:t>
      </w:r>
      <w:r>
        <w:rPr>
          <w:sz w:val="20"/>
        </w:rPr>
        <w:t>ofrecida</w:t>
      </w:r>
      <w:r>
        <w:rPr>
          <w:spacing w:val="-4"/>
          <w:sz w:val="20"/>
        </w:rPr>
        <w:t> </w:t>
      </w:r>
      <w:r>
        <w:rPr>
          <w:sz w:val="20"/>
        </w:rPr>
        <w:t>en el</w:t>
      </w:r>
      <w:r>
        <w:rPr>
          <w:spacing w:val="-4"/>
          <w:sz w:val="20"/>
        </w:rPr>
        <w:t> </w:t>
      </w:r>
      <w:r>
        <w:rPr>
          <w:sz w:val="20"/>
        </w:rPr>
        <w:t>módulo</w:t>
      </w:r>
      <w:r>
        <w:rPr>
          <w:spacing w:val="-6"/>
          <w:sz w:val="20"/>
        </w:rPr>
        <w:t> </w:t>
      </w:r>
      <w:r>
        <w:rPr>
          <w:sz w:val="20"/>
        </w:rPr>
        <w:t>RECO (Seflogic).</w:t>
      </w:r>
    </w:p>
    <w:p>
      <w:pPr>
        <w:pStyle w:val="ListParagraph"/>
        <w:numPr>
          <w:ilvl w:val="1"/>
          <w:numId w:val="106"/>
        </w:numPr>
        <w:tabs>
          <w:tab w:pos="2694" w:val="left" w:leader="none"/>
        </w:tabs>
        <w:spacing w:line="242" w:lineRule="auto" w:before="3" w:after="0"/>
        <w:ind w:left="2693" w:right="1144" w:hanging="238"/>
        <w:jc w:val="both"/>
        <w:rPr>
          <w:sz w:val="20"/>
        </w:rPr>
      </w:pPr>
      <w:r>
        <w:rPr>
          <w:sz w:val="20"/>
        </w:rPr>
        <w:t>De las relaciones remitidas se deducen contratos cuyos importes superan los dispuestos</w:t>
      </w:r>
      <w:r>
        <w:rPr>
          <w:spacing w:val="-9"/>
          <w:sz w:val="20"/>
        </w:rPr>
        <w:t> </w:t>
      </w:r>
      <w:r>
        <w:rPr>
          <w:sz w:val="20"/>
        </w:rPr>
        <w:t>en</w:t>
      </w:r>
      <w:r>
        <w:rPr>
          <w:spacing w:val="-5"/>
          <w:sz w:val="20"/>
        </w:rPr>
        <w:t> </w:t>
      </w:r>
      <w:r>
        <w:rPr>
          <w:sz w:val="20"/>
        </w:rPr>
        <w:t>el</w:t>
      </w:r>
      <w:r>
        <w:rPr>
          <w:spacing w:val="-6"/>
          <w:sz w:val="20"/>
        </w:rPr>
        <w:t> </w:t>
      </w:r>
      <w:r>
        <w:rPr>
          <w:sz w:val="20"/>
        </w:rPr>
        <w:t>art.</w:t>
      </w:r>
      <w:r>
        <w:rPr>
          <w:spacing w:val="-9"/>
          <w:sz w:val="20"/>
        </w:rPr>
        <w:t> </w:t>
      </w:r>
      <w:r>
        <w:rPr>
          <w:sz w:val="20"/>
        </w:rPr>
        <w:t>335</w:t>
      </w:r>
      <w:r>
        <w:rPr>
          <w:spacing w:val="-11"/>
          <w:sz w:val="20"/>
        </w:rPr>
        <w:t> </w:t>
      </w:r>
      <w:r>
        <w:rPr>
          <w:sz w:val="20"/>
        </w:rPr>
        <w:t>de</w:t>
      </w:r>
      <w:r>
        <w:rPr>
          <w:spacing w:val="-5"/>
          <w:sz w:val="20"/>
        </w:rPr>
        <w:t> </w:t>
      </w:r>
      <w:r>
        <w:rPr>
          <w:sz w:val="20"/>
        </w:rPr>
        <w:t>la</w:t>
      </w:r>
      <w:r>
        <w:rPr>
          <w:spacing w:val="-6"/>
          <w:sz w:val="20"/>
        </w:rPr>
        <w:t> </w:t>
      </w:r>
      <w:r>
        <w:rPr>
          <w:sz w:val="20"/>
        </w:rPr>
        <w:t>LCSP,</w:t>
      </w:r>
      <w:r>
        <w:rPr>
          <w:spacing w:val="-8"/>
          <w:sz w:val="20"/>
        </w:rPr>
        <w:t> </w:t>
      </w:r>
      <w:r>
        <w:rPr>
          <w:sz w:val="20"/>
        </w:rPr>
        <w:t>sin</w:t>
      </w:r>
      <w:r>
        <w:rPr>
          <w:spacing w:val="-11"/>
          <w:sz w:val="20"/>
        </w:rPr>
        <w:t> </w:t>
      </w:r>
      <w:r>
        <w:rPr>
          <w:sz w:val="20"/>
        </w:rPr>
        <w:t>que</w:t>
      </w:r>
      <w:r>
        <w:rPr>
          <w:spacing w:val="-8"/>
          <w:sz w:val="20"/>
        </w:rPr>
        <w:t> </w:t>
      </w:r>
      <w:r>
        <w:rPr>
          <w:sz w:val="20"/>
        </w:rPr>
        <w:t>se</w:t>
      </w:r>
      <w:r>
        <w:rPr>
          <w:spacing w:val="-8"/>
          <w:sz w:val="20"/>
        </w:rPr>
        <w:t> </w:t>
      </w:r>
      <w:r>
        <w:rPr>
          <w:sz w:val="20"/>
        </w:rPr>
        <w:t>haya</w:t>
      </w:r>
      <w:r>
        <w:rPr>
          <w:spacing w:val="-7"/>
          <w:sz w:val="20"/>
        </w:rPr>
        <w:t> </w:t>
      </w:r>
      <w:r>
        <w:rPr>
          <w:sz w:val="20"/>
        </w:rPr>
        <w:t>rendido</w:t>
      </w:r>
      <w:r>
        <w:rPr>
          <w:spacing w:val="-8"/>
          <w:sz w:val="20"/>
        </w:rPr>
        <w:t> </w:t>
      </w:r>
      <w:r>
        <w:rPr>
          <w:sz w:val="20"/>
        </w:rPr>
        <w:t>los</w:t>
      </w:r>
      <w:r>
        <w:rPr>
          <w:spacing w:val="-8"/>
          <w:sz w:val="20"/>
        </w:rPr>
        <w:t> </w:t>
      </w:r>
      <w:r>
        <w:rPr>
          <w:sz w:val="20"/>
        </w:rPr>
        <w:t>correspondientes extractos del expediente. Esta incidencia afecta a SCE y</w:t>
      </w:r>
      <w:r>
        <w:rPr>
          <w:spacing w:val="1"/>
          <w:sz w:val="20"/>
        </w:rPr>
        <w:t> </w:t>
      </w:r>
      <w:r>
        <w:rPr>
          <w:sz w:val="20"/>
        </w:rPr>
        <w:t>ATC.</w:t>
      </w:r>
    </w:p>
    <w:p>
      <w:pPr>
        <w:pStyle w:val="BodyText"/>
        <w:spacing w:before="6"/>
        <w:rPr>
          <w:sz w:val="16"/>
        </w:rPr>
      </w:pPr>
    </w:p>
    <w:p>
      <w:pPr>
        <w:pStyle w:val="ListParagraph"/>
        <w:numPr>
          <w:ilvl w:val="0"/>
          <w:numId w:val="106"/>
        </w:numPr>
        <w:tabs>
          <w:tab w:pos="2337" w:val="left" w:leader="none"/>
        </w:tabs>
        <w:spacing w:line="240" w:lineRule="auto" w:before="0" w:after="0"/>
        <w:ind w:left="2336" w:right="0" w:hanging="301"/>
        <w:jc w:val="left"/>
        <w:rPr>
          <w:sz w:val="20"/>
        </w:rPr>
      </w:pPr>
      <w:r>
        <w:rPr>
          <w:sz w:val="20"/>
        </w:rPr>
        <w:t>En relación a los planes de contratación (apartado 4.2.5 y</w:t>
      </w:r>
      <w:r>
        <w:rPr>
          <w:spacing w:val="3"/>
          <w:sz w:val="20"/>
        </w:rPr>
        <w:t> </w:t>
      </w:r>
      <w:r>
        <w:rPr>
          <w:sz w:val="20"/>
        </w:rPr>
        <w:t>4.4.3):</w:t>
      </w:r>
    </w:p>
    <w:p>
      <w:pPr>
        <w:pStyle w:val="BodyText"/>
        <w:spacing w:before="7"/>
        <w:rPr>
          <w:sz w:val="16"/>
        </w:rPr>
      </w:pPr>
    </w:p>
    <w:p>
      <w:pPr>
        <w:pStyle w:val="ListParagraph"/>
        <w:numPr>
          <w:ilvl w:val="1"/>
          <w:numId w:val="106"/>
        </w:numPr>
        <w:tabs>
          <w:tab w:pos="2694" w:val="left" w:leader="none"/>
        </w:tabs>
        <w:spacing w:line="240" w:lineRule="auto" w:before="1" w:after="0"/>
        <w:ind w:left="2693" w:right="1144" w:hanging="238"/>
        <w:jc w:val="both"/>
        <w:rPr>
          <w:sz w:val="20"/>
        </w:rPr>
      </w:pPr>
      <w:r>
        <w:rPr>
          <w:sz w:val="20"/>
        </w:rPr>
        <w:t>ACCUE ATC, ICI, ISTAC, RTVC, SCS e ICAP (7) remiten plan de contratación, de las que sólo para ACCUEE y ATC consta su aprobación. De los planes remitidos, sólo ATC</w:t>
      </w:r>
      <w:r>
        <w:rPr>
          <w:spacing w:val="-7"/>
          <w:sz w:val="20"/>
        </w:rPr>
        <w:t> </w:t>
      </w:r>
      <w:r>
        <w:rPr>
          <w:sz w:val="20"/>
        </w:rPr>
        <w:t>contiene</w:t>
      </w:r>
      <w:r>
        <w:rPr>
          <w:spacing w:val="-5"/>
          <w:sz w:val="20"/>
        </w:rPr>
        <w:t> </w:t>
      </w:r>
      <w:r>
        <w:rPr>
          <w:sz w:val="20"/>
        </w:rPr>
        <w:t>la</w:t>
      </w:r>
      <w:r>
        <w:rPr>
          <w:spacing w:val="-6"/>
          <w:sz w:val="20"/>
        </w:rPr>
        <w:t> </w:t>
      </w:r>
      <w:r>
        <w:rPr>
          <w:sz w:val="20"/>
        </w:rPr>
        <w:t>información</w:t>
      </w:r>
      <w:r>
        <w:rPr>
          <w:spacing w:val="-4"/>
          <w:sz w:val="20"/>
        </w:rPr>
        <w:t> </w:t>
      </w:r>
      <w:r>
        <w:rPr>
          <w:sz w:val="20"/>
        </w:rPr>
        <w:t>necesaria</w:t>
      </w:r>
      <w:r>
        <w:rPr>
          <w:spacing w:val="-6"/>
          <w:sz w:val="20"/>
        </w:rPr>
        <w:t> </w:t>
      </w:r>
      <w:r>
        <w:rPr>
          <w:sz w:val="20"/>
        </w:rPr>
        <w:t>de</w:t>
      </w:r>
      <w:r>
        <w:rPr>
          <w:spacing w:val="-7"/>
          <w:sz w:val="20"/>
        </w:rPr>
        <w:t> </w:t>
      </w:r>
      <w:r>
        <w:rPr>
          <w:sz w:val="20"/>
        </w:rPr>
        <w:t>todo</w:t>
      </w:r>
      <w:r>
        <w:rPr>
          <w:spacing w:val="-6"/>
          <w:sz w:val="20"/>
        </w:rPr>
        <w:t> </w:t>
      </w:r>
      <w:r>
        <w:rPr>
          <w:sz w:val="20"/>
        </w:rPr>
        <w:t>plan</w:t>
      </w:r>
      <w:r>
        <w:rPr>
          <w:spacing w:val="-5"/>
          <w:sz w:val="20"/>
        </w:rPr>
        <w:t> </w:t>
      </w:r>
      <w:r>
        <w:rPr>
          <w:sz w:val="20"/>
        </w:rPr>
        <w:t>de</w:t>
      </w:r>
      <w:r>
        <w:rPr>
          <w:spacing w:val="-5"/>
          <w:sz w:val="20"/>
        </w:rPr>
        <w:t> </w:t>
      </w:r>
      <w:r>
        <w:rPr>
          <w:sz w:val="20"/>
        </w:rPr>
        <w:t>contratación</w:t>
      </w:r>
      <w:r>
        <w:rPr>
          <w:spacing w:val="-5"/>
          <w:sz w:val="20"/>
        </w:rPr>
        <w:t> </w:t>
      </w:r>
      <w:r>
        <w:rPr>
          <w:sz w:val="20"/>
        </w:rPr>
        <w:t>(objeto,</w:t>
      </w:r>
      <w:r>
        <w:rPr>
          <w:spacing w:val="-5"/>
          <w:sz w:val="20"/>
        </w:rPr>
        <w:t> </w:t>
      </w:r>
      <w:r>
        <w:rPr>
          <w:sz w:val="20"/>
        </w:rPr>
        <w:t>tipo de contrato, procedimiento de adjudicación, valor estimado, plazo de duración, etc.). En el caso del SCS, se aporta un único documento conformado por 18 planes</w:t>
      </w:r>
      <w:r>
        <w:rPr>
          <w:spacing w:val="-8"/>
          <w:sz w:val="20"/>
        </w:rPr>
        <w:t> </w:t>
      </w:r>
      <w:r>
        <w:rPr>
          <w:sz w:val="20"/>
        </w:rPr>
        <w:t>de</w:t>
      </w:r>
      <w:r>
        <w:rPr>
          <w:spacing w:val="-7"/>
          <w:sz w:val="20"/>
        </w:rPr>
        <w:t> </w:t>
      </w:r>
      <w:r>
        <w:rPr>
          <w:sz w:val="20"/>
        </w:rPr>
        <w:t>contratación</w:t>
      </w:r>
      <w:r>
        <w:rPr>
          <w:spacing w:val="-7"/>
          <w:sz w:val="20"/>
        </w:rPr>
        <w:t> </w:t>
      </w:r>
      <w:r>
        <w:rPr>
          <w:sz w:val="20"/>
        </w:rPr>
        <w:t>individuales</w:t>
      </w:r>
      <w:r>
        <w:rPr>
          <w:spacing w:val="-7"/>
          <w:sz w:val="20"/>
        </w:rPr>
        <w:t> </w:t>
      </w:r>
      <w:r>
        <w:rPr>
          <w:sz w:val="20"/>
        </w:rPr>
        <w:t>por</w:t>
      </w:r>
      <w:r>
        <w:rPr>
          <w:spacing w:val="-5"/>
          <w:sz w:val="20"/>
        </w:rPr>
        <w:t> </w:t>
      </w:r>
      <w:r>
        <w:rPr>
          <w:sz w:val="20"/>
        </w:rPr>
        <w:t>cada</w:t>
      </w:r>
      <w:r>
        <w:rPr>
          <w:spacing w:val="-8"/>
          <w:sz w:val="20"/>
        </w:rPr>
        <w:t> </w:t>
      </w:r>
      <w:r>
        <w:rPr>
          <w:sz w:val="20"/>
        </w:rPr>
        <w:t>uno</w:t>
      </w:r>
      <w:r>
        <w:rPr>
          <w:spacing w:val="-7"/>
          <w:sz w:val="20"/>
        </w:rPr>
        <w:t> </w:t>
      </w:r>
      <w:r>
        <w:rPr>
          <w:sz w:val="20"/>
        </w:rPr>
        <w:t>de</w:t>
      </w:r>
      <w:r>
        <w:rPr>
          <w:spacing w:val="-5"/>
          <w:sz w:val="20"/>
        </w:rPr>
        <w:t> </w:t>
      </w:r>
      <w:r>
        <w:rPr>
          <w:sz w:val="20"/>
        </w:rPr>
        <w:t>los</w:t>
      </w:r>
      <w:r>
        <w:rPr>
          <w:spacing w:val="-8"/>
          <w:sz w:val="20"/>
        </w:rPr>
        <w:t> </w:t>
      </w:r>
      <w:r>
        <w:rPr>
          <w:sz w:val="20"/>
        </w:rPr>
        <w:t>órganos</w:t>
      </w:r>
      <w:r>
        <w:rPr>
          <w:spacing w:val="-7"/>
          <w:sz w:val="20"/>
        </w:rPr>
        <w:t> </w:t>
      </w:r>
      <w:r>
        <w:rPr>
          <w:sz w:val="20"/>
        </w:rPr>
        <w:t>de</w:t>
      </w:r>
      <w:r>
        <w:rPr>
          <w:spacing w:val="-5"/>
          <w:sz w:val="20"/>
        </w:rPr>
        <w:t> </w:t>
      </w:r>
      <w:r>
        <w:rPr>
          <w:sz w:val="20"/>
        </w:rPr>
        <w:t>contratación, y cinco órganos no tuvieron plan de contratación en</w:t>
      </w:r>
      <w:r>
        <w:rPr>
          <w:spacing w:val="3"/>
          <w:sz w:val="20"/>
        </w:rPr>
        <w:t> </w:t>
      </w:r>
      <w:r>
        <w:rPr>
          <w:sz w:val="20"/>
        </w:rPr>
        <w:t>2022.</w:t>
      </w:r>
    </w:p>
    <w:p>
      <w:pPr>
        <w:pStyle w:val="ListParagraph"/>
        <w:numPr>
          <w:ilvl w:val="1"/>
          <w:numId w:val="106"/>
        </w:numPr>
        <w:tabs>
          <w:tab w:pos="2694" w:val="left" w:leader="none"/>
        </w:tabs>
        <w:spacing w:line="240" w:lineRule="auto" w:before="11" w:after="0"/>
        <w:ind w:left="2693" w:right="0" w:hanging="239"/>
        <w:jc w:val="left"/>
        <w:rPr>
          <w:sz w:val="20"/>
        </w:rPr>
      </w:pPr>
      <w:r>
        <w:rPr>
          <w:sz w:val="20"/>
        </w:rPr>
        <w:t>ICAVI, ICCA, SCE y CR (4) no han remitido el plan de</w:t>
      </w:r>
      <w:r>
        <w:rPr>
          <w:spacing w:val="2"/>
          <w:sz w:val="20"/>
        </w:rPr>
        <w:t> </w:t>
      </w:r>
      <w:r>
        <w:rPr>
          <w:sz w:val="20"/>
        </w:rPr>
        <w:t>contratación.</w:t>
      </w:r>
    </w:p>
    <w:p>
      <w:pPr>
        <w:pStyle w:val="ListParagraph"/>
        <w:numPr>
          <w:ilvl w:val="1"/>
          <w:numId w:val="106"/>
        </w:numPr>
        <w:tabs>
          <w:tab w:pos="2694" w:val="left" w:leader="none"/>
        </w:tabs>
        <w:spacing w:line="240" w:lineRule="auto" w:before="5" w:after="0"/>
        <w:ind w:left="2693" w:right="0" w:hanging="239"/>
        <w:jc w:val="left"/>
        <w:rPr>
          <w:sz w:val="20"/>
        </w:rPr>
      </w:pPr>
      <w:r>
        <w:rPr>
          <w:sz w:val="20"/>
        </w:rPr>
        <w:t>ICHH, ICCA, APMUN y CES (4) declaran que no han</w:t>
      </w:r>
      <w:r>
        <w:rPr>
          <w:spacing w:val="1"/>
          <w:sz w:val="20"/>
        </w:rPr>
        <w:t> </w:t>
      </w:r>
      <w:r>
        <w:rPr>
          <w:sz w:val="20"/>
        </w:rPr>
        <w:t>dispuesto.</w:t>
      </w:r>
    </w:p>
    <w:p>
      <w:pPr>
        <w:pStyle w:val="ListParagraph"/>
        <w:numPr>
          <w:ilvl w:val="0"/>
          <w:numId w:val="106"/>
        </w:numPr>
        <w:tabs>
          <w:tab w:pos="2337" w:val="left" w:leader="none"/>
        </w:tabs>
        <w:spacing w:line="242" w:lineRule="auto" w:before="202" w:after="0"/>
        <w:ind w:left="2336" w:right="1137" w:hanging="301"/>
        <w:jc w:val="both"/>
        <w:rPr>
          <w:sz w:val="20"/>
        </w:rPr>
      </w:pPr>
      <w:r>
        <w:rPr>
          <w:sz w:val="20"/>
        </w:rPr>
        <w:t>Las obligaciones reconocidas en 2022 por contratos de suministros fueron las de mayor peso para el SCS, con el 69,7 %, seguido de los servicios (24 %). En el procedimiento destaca los acuerdos marco (37,6 %) y abierto (30,3 %). Los contratos menores son el 22,6 % del total, donde el 88 % se destina a la adquisición de suministros.</w:t>
      </w:r>
    </w:p>
    <w:p>
      <w:pPr>
        <w:pStyle w:val="BodyText"/>
        <w:spacing w:before="8"/>
        <w:rPr>
          <w:sz w:val="11"/>
        </w:rPr>
      </w:pPr>
    </w:p>
    <w:p>
      <w:pPr>
        <w:pStyle w:val="BodyText"/>
        <w:spacing w:before="61"/>
        <w:ind w:left="7787"/>
        <w:jc w:val="center"/>
      </w:pPr>
      <w:r>
        <w:rPr/>
        <w:t>160</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35" name="image5.png"/>
                  <wp:cNvGraphicFramePr>
                    <a:graphicFrameLocks noChangeAspect="1"/>
                  </wp:cNvGraphicFramePr>
                  <a:graphic>
                    <a:graphicData uri="http://schemas.openxmlformats.org/drawingml/2006/picture">
                      <pic:pic>
                        <pic:nvPicPr>
                          <pic:cNvPr id="33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162/247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line="242" w:lineRule="auto" w:before="61"/>
        <w:ind w:left="2336" w:right="1140"/>
        <w:jc w:val="both"/>
      </w:pPr>
      <w:r>
        <w:rPr/>
        <w:t>Para el resto de las entidades, la distribución es muy similar por tipo de contrato. El procedimiento que más utilizaron fue el abierto (el 52,2 %), seguido de la adjudicación directa, con un 39,8 % (21,6 % en contratos menores y un 18,2 % en contratos de emergencia, la mayoría en ICAVI) (apartado 4.2.5 y 4.4.3).</w:t>
      </w:r>
    </w:p>
    <w:p>
      <w:pPr>
        <w:pStyle w:val="BodyText"/>
        <w:spacing w:before="5"/>
        <w:rPr>
          <w:sz w:val="16"/>
        </w:rPr>
      </w:pPr>
    </w:p>
    <w:p>
      <w:pPr>
        <w:pStyle w:val="ListParagraph"/>
        <w:numPr>
          <w:ilvl w:val="0"/>
          <w:numId w:val="107"/>
        </w:numPr>
        <w:tabs>
          <w:tab w:pos="2337" w:val="left" w:leader="none"/>
        </w:tabs>
        <w:spacing w:line="240" w:lineRule="auto" w:before="0" w:after="0"/>
        <w:ind w:left="2336" w:right="1144" w:hanging="301"/>
        <w:jc w:val="both"/>
        <w:rPr>
          <w:sz w:val="20"/>
        </w:rPr>
      </w:pPr>
      <w:r>
        <w:rPr>
          <w:sz w:val="20"/>
        </w:rPr>
        <w:t>Las entidades que tramitan nulidades en 2022 han sido SCE, ICHH, ICCA, APMN, ATC, SCS y RTVC, por importe total de 456,5 millones de €, siendo más del 99 % expedientes del</w:t>
      </w:r>
      <w:r>
        <w:rPr>
          <w:spacing w:val="2"/>
          <w:sz w:val="20"/>
        </w:rPr>
        <w:t> </w:t>
      </w:r>
      <w:r>
        <w:rPr>
          <w:sz w:val="20"/>
        </w:rPr>
        <w:t>SCS.</w:t>
      </w:r>
    </w:p>
    <w:p>
      <w:pPr>
        <w:pStyle w:val="BodyText"/>
        <w:spacing w:before="12"/>
        <w:rPr>
          <w:sz w:val="16"/>
        </w:rPr>
      </w:pPr>
    </w:p>
    <w:p>
      <w:pPr>
        <w:pStyle w:val="BodyText"/>
        <w:spacing w:line="242" w:lineRule="auto"/>
        <w:ind w:left="2336" w:right="1146"/>
        <w:jc w:val="both"/>
      </w:pPr>
      <w:r>
        <w:rPr/>
        <w:t>Respecto al SCS, al menos, 88 millones de € que se corresponden a nulidades para la asistencia</w:t>
      </w:r>
      <w:r>
        <w:rPr>
          <w:spacing w:val="-8"/>
        </w:rPr>
        <w:t> </w:t>
      </w:r>
      <w:r>
        <w:rPr/>
        <w:t>sanitaria</w:t>
      </w:r>
      <w:r>
        <w:rPr>
          <w:spacing w:val="-8"/>
        </w:rPr>
        <w:t> </w:t>
      </w:r>
      <w:r>
        <w:rPr/>
        <w:t>realizada</w:t>
      </w:r>
      <w:r>
        <w:rPr>
          <w:spacing w:val="-8"/>
        </w:rPr>
        <w:t> </w:t>
      </w:r>
      <w:r>
        <w:rPr/>
        <w:t>con</w:t>
      </w:r>
      <w:r>
        <w:rPr>
          <w:spacing w:val="-8"/>
        </w:rPr>
        <w:t> </w:t>
      </w:r>
      <w:r>
        <w:rPr/>
        <w:t>medios</w:t>
      </w:r>
      <w:r>
        <w:rPr>
          <w:spacing w:val="-8"/>
        </w:rPr>
        <w:t> </w:t>
      </w:r>
      <w:r>
        <w:rPr/>
        <w:t>ajenos,</w:t>
      </w:r>
      <w:r>
        <w:rPr>
          <w:spacing w:val="-10"/>
        </w:rPr>
        <w:t> </w:t>
      </w:r>
      <w:r>
        <w:rPr/>
        <w:t>para</w:t>
      </w:r>
      <w:r>
        <w:rPr>
          <w:spacing w:val="-7"/>
        </w:rPr>
        <w:t> </w:t>
      </w:r>
      <w:r>
        <w:rPr/>
        <w:t>las</w:t>
      </w:r>
      <w:r>
        <w:rPr>
          <w:spacing w:val="-8"/>
        </w:rPr>
        <w:t> </w:t>
      </w:r>
      <w:r>
        <w:rPr/>
        <w:t>que,</w:t>
      </w:r>
      <w:r>
        <w:rPr>
          <w:spacing w:val="-10"/>
        </w:rPr>
        <w:t> </w:t>
      </w:r>
      <w:r>
        <w:rPr/>
        <w:t>posteriormente,</w:t>
      </w:r>
      <w:r>
        <w:rPr>
          <w:spacing w:val="-8"/>
        </w:rPr>
        <w:t> </w:t>
      </w:r>
      <w:r>
        <w:rPr/>
        <w:t>se</w:t>
      </w:r>
      <w:r>
        <w:rPr>
          <w:spacing w:val="-7"/>
        </w:rPr>
        <w:t> </w:t>
      </w:r>
      <w:r>
        <w:rPr/>
        <w:t>han adjudicado los correspondientes contratos (apartado 4.2.5 y</w:t>
      </w:r>
      <w:r>
        <w:rPr>
          <w:spacing w:val="5"/>
        </w:rPr>
        <w:t> </w:t>
      </w:r>
      <w:r>
        <w:rPr/>
        <w:t>4.4.3).</w:t>
      </w:r>
    </w:p>
    <w:p>
      <w:pPr>
        <w:pStyle w:val="BodyText"/>
        <w:spacing w:before="4"/>
        <w:rPr>
          <w:sz w:val="16"/>
        </w:rPr>
      </w:pPr>
    </w:p>
    <w:p>
      <w:pPr>
        <w:pStyle w:val="Heading1"/>
        <w:ind w:left="2099"/>
        <w:jc w:val="left"/>
      </w:pPr>
      <w:r>
        <w:rPr/>
        <w:t>Sociedades Mercantiles.</w:t>
      </w:r>
    </w:p>
    <w:p>
      <w:pPr>
        <w:pStyle w:val="BodyText"/>
        <w:spacing w:before="8"/>
        <w:rPr>
          <w:b/>
          <w:sz w:val="16"/>
        </w:rPr>
      </w:pPr>
    </w:p>
    <w:p>
      <w:pPr>
        <w:pStyle w:val="ListParagraph"/>
        <w:numPr>
          <w:ilvl w:val="0"/>
          <w:numId w:val="107"/>
        </w:numPr>
        <w:tabs>
          <w:tab w:pos="2337" w:val="left" w:leader="none"/>
        </w:tabs>
        <w:spacing w:line="240" w:lineRule="auto" w:before="0" w:after="0"/>
        <w:ind w:left="2336" w:right="1149" w:hanging="303"/>
        <w:jc w:val="both"/>
        <w:rPr>
          <w:sz w:val="20"/>
        </w:rPr>
      </w:pPr>
      <w:r>
        <w:rPr>
          <w:w w:val="105"/>
          <w:sz w:val="20"/>
        </w:rPr>
        <w:t>Incumplimiento del plazo establecido por el Art. 253 de la Ley de Sociedades de Capital</w:t>
      </w:r>
      <w:r>
        <w:rPr>
          <w:spacing w:val="-8"/>
          <w:w w:val="105"/>
          <w:sz w:val="20"/>
        </w:rPr>
        <w:t> </w:t>
      </w:r>
      <w:r>
        <w:rPr>
          <w:w w:val="105"/>
          <w:sz w:val="20"/>
        </w:rPr>
        <w:t>respecto</w:t>
      </w:r>
      <w:r>
        <w:rPr>
          <w:spacing w:val="-7"/>
          <w:w w:val="105"/>
          <w:sz w:val="20"/>
        </w:rPr>
        <w:t> </w:t>
      </w:r>
      <w:r>
        <w:rPr>
          <w:w w:val="105"/>
          <w:sz w:val="20"/>
        </w:rPr>
        <w:t>al</w:t>
      </w:r>
      <w:r>
        <w:rPr>
          <w:spacing w:val="-8"/>
          <w:w w:val="105"/>
          <w:sz w:val="20"/>
        </w:rPr>
        <w:t> </w:t>
      </w:r>
      <w:r>
        <w:rPr>
          <w:w w:val="105"/>
          <w:sz w:val="20"/>
        </w:rPr>
        <w:t>plazo</w:t>
      </w:r>
      <w:r>
        <w:rPr>
          <w:spacing w:val="-7"/>
          <w:w w:val="105"/>
          <w:sz w:val="20"/>
        </w:rPr>
        <w:t> </w:t>
      </w:r>
      <w:r>
        <w:rPr>
          <w:w w:val="105"/>
          <w:sz w:val="20"/>
        </w:rPr>
        <w:t>de</w:t>
      </w:r>
      <w:r>
        <w:rPr>
          <w:spacing w:val="-8"/>
          <w:w w:val="105"/>
          <w:sz w:val="20"/>
        </w:rPr>
        <w:t> </w:t>
      </w:r>
      <w:r>
        <w:rPr>
          <w:w w:val="105"/>
          <w:sz w:val="20"/>
        </w:rPr>
        <w:t>formulación</w:t>
      </w:r>
      <w:r>
        <w:rPr>
          <w:spacing w:val="-7"/>
          <w:w w:val="105"/>
          <w:sz w:val="20"/>
        </w:rPr>
        <w:t> </w:t>
      </w:r>
      <w:r>
        <w:rPr>
          <w:w w:val="105"/>
          <w:sz w:val="20"/>
        </w:rPr>
        <w:t>de</w:t>
      </w:r>
      <w:r>
        <w:rPr>
          <w:spacing w:val="-8"/>
          <w:w w:val="105"/>
          <w:sz w:val="20"/>
        </w:rPr>
        <w:t> </w:t>
      </w:r>
      <w:r>
        <w:rPr>
          <w:w w:val="105"/>
          <w:sz w:val="20"/>
        </w:rPr>
        <w:t>las</w:t>
      </w:r>
      <w:r>
        <w:rPr>
          <w:spacing w:val="-7"/>
          <w:w w:val="105"/>
          <w:sz w:val="20"/>
        </w:rPr>
        <w:t> </w:t>
      </w:r>
      <w:r>
        <w:rPr>
          <w:w w:val="105"/>
          <w:sz w:val="20"/>
        </w:rPr>
        <w:t>Cuentas</w:t>
      </w:r>
      <w:r>
        <w:rPr>
          <w:spacing w:val="-8"/>
          <w:w w:val="105"/>
          <w:sz w:val="20"/>
        </w:rPr>
        <w:t> </w:t>
      </w:r>
      <w:r>
        <w:rPr>
          <w:w w:val="105"/>
          <w:sz w:val="20"/>
        </w:rPr>
        <w:t>Anuales,</w:t>
      </w:r>
      <w:r>
        <w:rPr>
          <w:spacing w:val="-7"/>
          <w:w w:val="105"/>
          <w:sz w:val="20"/>
        </w:rPr>
        <w:t> </w:t>
      </w:r>
      <w:r>
        <w:rPr>
          <w:w w:val="105"/>
          <w:sz w:val="20"/>
        </w:rPr>
        <w:t>así</w:t>
      </w:r>
      <w:r>
        <w:rPr>
          <w:spacing w:val="-8"/>
          <w:w w:val="105"/>
          <w:sz w:val="20"/>
        </w:rPr>
        <w:t> </w:t>
      </w:r>
      <w:r>
        <w:rPr>
          <w:w w:val="105"/>
          <w:sz w:val="20"/>
        </w:rPr>
        <w:t>como</w:t>
      </w:r>
      <w:r>
        <w:rPr>
          <w:spacing w:val="-7"/>
          <w:w w:val="105"/>
          <w:sz w:val="20"/>
        </w:rPr>
        <w:t> </w:t>
      </w:r>
      <w:r>
        <w:rPr>
          <w:w w:val="105"/>
          <w:sz w:val="20"/>
        </w:rPr>
        <w:t>del</w:t>
      </w:r>
      <w:r>
        <w:rPr>
          <w:spacing w:val="-8"/>
          <w:w w:val="105"/>
          <w:sz w:val="20"/>
        </w:rPr>
        <w:t> </w:t>
      </w:r>
      <w:r>
        <w:rPr>
          <w:w w:val="105"/>
          <w:sz w:val="20"/>
        </w:rPr>
        <w:t>Art. 114 de la Ley de Hacienda Pública Canaria por parte de las sociedades ASISTA, GSC y VISOCAN. Asimismo, incumplimiento del plazo establecido por el citado artículo</w:t>
      </w:r>
      <w:r>
        <w:rPr>
          <w:spacing w:val="-6"/>
          <w:w w:val="105"/>
          <w:sz w:val="20"/>
        </w:rPr>
        <w:t> </w:t>
      </w:r>
      <w:r>
        <w:rPr>
          <w:w w:val="105"/>
          <w:sz w:val="20"/>
        </w:rPr>
        <w:t>114</w:t>
      </w:r>
      <w:r>
        <w:rPr>
          <w:spacing w:val="-5"/>
          <w:w w:val="105"/>
          <w:sz w:val="20"/>
        </w:rPr>
        <w:t> </w:t>
      </w:r>
      <w:r>
        <w:rPr>
          <w:w w:val="105"/>
          <w:sz w:val="20"/>
        </w:rPr>
        <w:t>respecto</w:t>
      </w:r>
      <w:r>
        <w:rPr>
          <w:spacing w:val="-5"/>
          <w:w w:val="105"/>
          <w:sz w:val="20"/>
        </w:rPr>
        <w:t> </w:t>
      </w:r>
      <w:r>
        <w:rPr>
          <w:w w:val="105"/>
          <w:sz w:val="20"/>
        </w:rPr>
        <w:t>a</w:t>
      </w:r>
      <w:r>
        <w:rPr>
          <w:spacing w:val="-5"/>
          <w:w w:val="105"/>
          <w:sz w:val="20"/>
        </w:rPr>
        <w:t> </w:t>
      </w:r>
      <w:r>
        <w:rPr>
          <w:w w:val="105"/>
          <w:sz w:val="20"/>
        </w:rPr>
        <w:t>las</w:t>
      </w:r>
      <w:r>
        <w:rPr>
          <w:spacing w:val="-5"/>
          <w:w w:val="105"/>
          <w:sz w:val="20"/>
        </w:rPr>
        <w:t> </w:t>
      </w:r>
      <w:r>
        <w:rPr>
          <w:w w:val="105"/>
          <w:sz w:val="20"/>
        </w:rPr>
        <w:t>entidades</w:t>
      </w:r>
      <w:r>
        <w:rPr>
          <w:spacing w:val="-4"/>
          <w:w w:val="105"/>
          <w:sz w:val="20"/>
        </w:rPr>
        <w:t> </w:t>
      </w:r>
      <w:r>
        <w:rPr>
          <w:w w:val="105"/>
          <w:sz w:val="20"/>
        </w:rPr>
        <w:t>públicas</w:t>
      </w:r>
      <w:r>
        <w:rPr>
          <w:spacing w:val="-5"/>
          <w:w w:val="105"/>
          <w:sz w:val="20"/>
        </w:rPr>
        <w:t> </w:t>
      </w:r>
      <w:r>
        <w:rPr>
          <w:w w:val="105"/>
          <w:sz w:val="20"/>
        </w:rPr>
        <w:t>empresariales</w:t>
      </w:r>
      <w:r>
        <w:rPr>
          <w:spacing w:val="-5"/>
          <w:w w:val="105"/>
          <w:sz w:val="20"/>
        </w:rPr>
        <w:t> </w:t>
      </w:r>
      <w:r>
        <w:rPr>
          <w:w w:val="105"/>
          <w:sz w:val="20"/>
        </w:rPr>
        <w:t>PUERTOS</w:t>
      </w:r>
      <w:r>
        <w:rPr>
          <w:spacing w:val="-5"/>
          <w:w w:val="105"/>
          <w:sz w:val="20"/>
        </w:rPr>
        <w:t> </w:t>
      </w:r>
      <w:r>
        <w:rPr>
          <w:w w:val="105"/>
          <w:sz w:val="20"/>
        </w:rPr>
        <w:t>y</w:t>
      </w:r>
      <w:r>
        <w:rPr>
          <w:spacing w:val="-5"/>
          <w:w w:val="105"/>
          <w:sz w:val="20"/>
        </w:rPr>
        <w:t> </w:t>
      </w:r>
      <w:r>
        <w:rPr>
          <w:w w:val="105"/>
          <w:sz w:val="20"/>
        </w:rPr>
        <w:t>ESSSCAN (apartado</w:t>
      </w:r>
      <w:r>
        <w:rPr>
          <w:spacing w:val="-1"/>
          <w:w w:val="105"/>
          <w:sz w:val="20"/>
        </w:rPr>
        <w:t> </w:t>
      </w:r>
      <w:r>
        <w:rPr>
          <w:w w:val="105"/>
          <w:sz w:val="20"/>
        </w:rPr>
        <w:t>5.1.1).</w:t>
      </w:r>
    </w:p>
    <w:p>
      <w:pPr>
        <w:pStyle w:val="BodyText"/>
        <w:spacing w:before="6"/>
        <w:rPr>
          <w:sz w:val="17"/>
        </w:rPr>
      </w:pPr>
    </w:p>
    <w:p>
      <w:pPr>
        <w:pStyle w:val="ListParagraph"/>
        <w:numPr>
          <w:ilvl w:val="0"/>
          <w:numId w:val="107"/>
        </w:numPr>
        <w:tabs>
          <w:tab w:pos="2386" w:val="left" w:leader="none"/>
        </w:tabs>
        <w:spacing w:line="240" w:lineRule="auto" w:before="1" w:after="0"/>
        <w:ind w:left="2336" w:right="1148" w:hanging="303"/>
        <w:jc w:val="both"/>
        <w:rPr>
          <w:sz w:val="20"/>
        </w:rPr>
      </w:pPr>
      <w:r>
        <w:rPr>
          <w:w w:val="105"/>
          <w:sz w:val="20"/>
        </w:rPr>
        <w:t>Las entidades GESTUR LAS PALMAS y PROMOTUR no presentaron el Informe Económico financiero previsto en el Art. 116.3 de la Ley 11/2066 de Hacienda Pública Canaria (apartado</w:t>
      </w:r>
      <w:r>
        <w:rPr>
          <w:spacing w:val="4"/>
          <w:w w:val="105"/>
          <w:sz w:val="20"/>
        </w:rPr>
        <w:t> </w:t>
      </w:r>
      <w:r>
        <w:rPr>
          <w:w w:val="105"/>
          <w:sz w:val="20"/>
        </w:rPr>
        <w:t>5.1.1)</w:t>
      </w:r>
    </w:p>
    <w:p>
      <w:pPr>
        <w:pStyle w:val="BodyText"/>
        <w:spacing w:before="11"/>
        <w:rPr>
          <w:sz w:val="16"/>
        </w:rPr>
      </w:pPr>
    </w:p>
    <w:p>
      <w:pPr>
        <w:pStyle w:val="ListParagraph"/>
        <w:numPr>
          <w:ilvl w:val="0"/>
          <w:numId w:val="107"/>
        </w:numPr>
        <w:tabs>
          <w:tab w:pos="2337" w:val="left" w:leader="none"/>
        </w:tabs>
        <w:spacing w:line="240" w:lineRule="auto" w:before="0" w:after="0"/>
        <w:ind w:left="2336" w:right="1146" w:hanging="303"/>
        <w:jc w:val="both"/>
        <w:rPr>
          <w:sz w:val="20"/>
        </w:rPr>
      </w:pPr>
      <w:r>
        <w:rPr>
          <w:w w:val="105"/>
          <w:sz w:val="20"/>
        </w:rPr>
        <w:t>Las entidades públicas empresariales no han remitido a la dirección general competente</w:t>
      </w:r>
      <w:r>
        <w:rPr>
          <w:spacing w:val="-6"/>
          <w:w w:val="105"/>
          <w:sz w:val="20"/>
        </w:rPr>
        <w:t> </w:t>
      </w:r>
      <w:r>
        <w:rPr>
          <w:w w:val="105"/>
          <w:sz w:val="20"/>
        </w:rPr>
        <w:t>en</w:t>
      </w:r>
      <w:r>
        <w:rPr>
          <w:spacing w:val="-4"/>
          <w:w w:val="105"/>
          <w:sz w:val="20"/>
        </w:rPr>
        <w:t> </w:t>
      </w:r>
      <w:r>
        <w:rPr>
          <w:w w:val="105"/>
          <w:sz w:val="20"/>
        </w:rPr>
        <w:t>materia</w:t>
      </w:r>
      <w:r>
        <w:rPr>
          <w:spacing w:val="-5"/>
          <w:w w:val="105"/>
          <w:sz w:val="20"/>
        </w:rPr>
        <w:t> </w:t>
      </w:r>
      <w:r>
        <w:rPr>
          <w:w w:val="105"/>
          <w:sz w:val="20"/>
        </w:rPr>
        <w:t>de</w:t>
      </w:r>
      <w:r>
        <w:rPr>
          <w:spacing w:val="-7"/>
          <w:w w:val="105"/>
          <w:sz w:val="20"/>
        </w:rPr>
        <w:t> </w:t>
      </w:r>
      <w:r>
        <w:rPr>
          <w:w w:val="105"/>
          <w:sz w:val="20"/>
        </w:rPr>
        <w:t>patrimonio,</w:t>
      </w:r>
      <w:r>
        <w:rPr>
          <w:spacing w:val="-7"/>
          <w:w w:val="105"/>
          <w:sz w:val="20"/>
        </w:rPr>
        <w:t> </w:t>
      </w:r>
      <w:r>
        <w:rPr>
          <w:w w:val="105"/>
          <w:sz w:val="20"/>
        </w:rPr>
        <w:t>información</w:t>
      </w:r>
      <w:r>
        <w:rPr>
          <w:spacing w:val="-7"/>
          <w:w w:val="105"/>
          <w:sz w:val="20"/>
        </w:rPr>
        <w:t> </w:t>
      </w:r>
      <w:r>
        <w:rPr>
          <w:w w:val="105"/>
          <w:sz w:val="20"/>
        </w:rPr>
        <w:t>en</w:t>
      </w:r>
      <w:r>
        <w:rPr>
          <w:spacing w:val="-4"/>
          <w:w w:val="105"/>
          <w:sz w:val="20"/>
        </w:rPr>
        <w:t> </w:t>
      </w:r>
      <w:r>
        <w:rPr>
          <w:w w:val="105"/>
          <w:sz w:val="20"/>
        </w:rPr>
        <w:t>relación</w:t>
      </w:r>
      <w:r>
        <w:rPr>
          <w:spacing w:val="-6"/>
          <w:w w:val="105"/>
          <w:sz w:val="20"/>
        </w:rPr>
        <w:t> </w:t>
      </w:r>
      <w:r>
        <w:rPr>
          <w:w w:val="105"/>
          <w:sz w:val="20"/>
        </w:rPr>
        <w:t>con</w:t>
      </w:r>
      <w:r>
        <w:rPr>
          <w:spacing w:val="-6"/>
          <w:w w:val="105"/>
          <w:sz w:val="20"/>
        </w:rPr>
        <w:t> </w:t>
      </w:r>
      <w:r>
        <w:rPr>
          <w:w w:val="105"/>
          <w:sz w:val="20"/>
        </w:rPr>
        <w:t>su</w:t>
      </w:r>
      <w:r>
        <w:rPr>
          <w:spacing w:val="-7"/>
          <w:w w:val="105"/>
          <w:sz w:val="20"/>
        </w:rPr>
        <w:t> </w:t>
      </w:r>
      <w:r>
        <w:rPr>
          <w:w w:val="105"/>
          <w:sz w:val="20"/>
        </w:rPr>
        <w:t>inventario actualizado a 31 de diciembre de 2022, incumpliendo el Art. 9 de la Ley 6/2006 de Patrimonio de la CAC (apartado</w:t>
      </w:r>
      <w:r>
        <w:rPr>
          <w:spacing w:val="8"/>
          <w:w w:val="105"/>
          <w:sz w:val="20"/>
        </w:rPr>
        <w:t> </w:t>
      </w:r>
      <w:r>
        <w:rPr>
          <w:w w:val="105"/>
          <w:sz w:val="20"/>
        </w:rPr>
        <w:t>5.1.1).</w:t>
      </w:r>
    </w:p>
    <w:p>
      <w:pPr>
        <w:pStyle w:val="BodyText"/>
        <w:rPr>
          <w:sz w:val="17"/>
        </w:rPr>
      </w:pPr>
    </w:p>
    <w:p>
      <w:pPr>
        <w:pStyle w:val="ListParagraph"/>
        <w:numPr>
          <w:ilvl w:val="0"/>
          <w:numId w:val="107"/>
        </w:numPr>
        <w:tabs>
          <w:tab w:pos="2337" w:val="left" w:leader="none"/>
        </w:tabs>
        <w:spacing w:line="242" w:lineRule="auto" w:before="1" w:after="0"/>
        <w:ind w:left="2336" w:right="1147" w:hanging="303"/>
        <w:jc w:val="both"/>
        <w:rPr>
          <w:sz w:val="20"/>
        </w:rPr>
      </w:pPr>
      <w:r>
        <w:rPr>
          <w:w w:val="105"/>
          <w:sz w:val="20"/>
        </w:rPr>
        <w:t>Las SSMM ICDC, PROEXCA, GESPLAN, y ASISTA, han incumplido la DA 3ª de la</w:t>
      </w:r>
      <w:r>
        <w:rPr>
          <w:spacing w:val="-30"/>
          <w:w w:val="105"/>
          <w:sz w:val="20"/>
        </w:rPr>
        <w:t> </w:t>
      </w:r>
      <w:r>
        <w:rPr>
          <w:w w:val="105"/>
          <w:sz w:val="20"/>
        </w:rPr>
        <w:t>Ley 15/2010,</w:t>
      </w:r>
      <w:r>
        <w:rPr>
          <w:spacing w:val="-4"/>
          <w:w w:val="105"/>
          <w:sz w:val="20"/>
        </w:rPr>
        <w:t> </w:t>
      </w:r>
      <w:r>
        <w:rPr>
          <w:w w:val="105"/>
          <w:sz w:val="20"/>
        </w:rPr>
        <w:t>de</w:t>
      </w:r>
      <w:r>
        <w:rPr>
          <w:spacing w:val="-4"/>
          <w:w w:val="105"/>
          <w:sz w:val="20"/>
        </w:rPr>
        <w:t> </w:t>
      </w:r>
      <w:r>
        <w:rPr>
          <w:w w:val="105"/>
          <w:sz w:val="20"/>
        </w:rPr>
        <w:t>5</w:t>
      </w:r>
      <w:r>
        <w:rPr>
          <w:spacing w:val="-4"/>
          <w:w w:val="105"/>
          <w:sz w:val="20"/>
        </w:rPr>
        <w:t> </w:t>
      </w:r>
      <w:r>
        <w:rPr>
          <w:w w:val="105"/>
          <w:sz w:val="20"/>
        </w:rPr>
        <w:t>de</w:t>
      </w:r>
      <w:r>
        <w:rPr>
          <w:spacing w:val="-3"/>
          <w:w w:val="105"/>
          <w:sz w:val="20"/>
        </w:rPr>
        <w:t> </w:t>
      </w:r>
      <w:r>
        <w:rPr>
          <w:w w:val="105"/>
          <w:sz w:val="20"/>
        </w:rPr>
        <w:t>julio,</w:t>
      </w:r>
      <w:r>
        <w:rPr>
          <w:spacing w:val="-4"/>
          <w:w w:val="105"/>
          <w:sz w:val="20"/>
        </w:rPr>
        <w:t> </w:t>
      </w:r>
      <w:r>
        <w:rPr>
          <w:w w:val="105"/>
          <w:sz w:val="20"/>
        </w:rPr>
        <w:t>de</w:t>
      </w:r>
      <w:r>
        <w:rPr>
          <w:spacing w:val="-4"/>
          <w:w w:val="105"/>
          <w:sz w:val="20"/>
        </w:rPr>
        <w:t> </w:t>
      </w:r>
      <w:r>
        <w:rPr>
          <w:w w:val="105"/>
          <w:sz w:val="20"/>
        </w:rPr>
        <w:t>modificación</w:t>
      </w:r>
      <w:r>
        <w:rPr>
          <w:spacing w:val="-3"/>
          <w:w w:val="105"/>
          <w:sz w:val="20"/>
        </w:rPr>
        <w:t> </w:t>
      </w:r>
      <w:r>
        <w:rPr>
          <w:w w:val="105"/>
          <w:sz w:val="20"/>
        </w:rPr>
        <w:t>de</w:t>
      </w:r>
      <w:r>
        <w:rPr>
          <w:spacing w:val="-4"/>
          <w:w w:val="105"/>
          <w:sz w:val="20"/>
        </w:rPr>
        <w:t> </w:t>
      </w:r>
      <w:r>
        <w:rPr>
          <w:w w:val="105"/>
          <w:sz w:val="20"/>
        </w:rPr>
        <w:t>la</w:t>
      </w:r>
      <w:r>
        <w:rPr>
          <w:spacing w:val="-4"/>
          <w:w w:val="105"/>
          <w:sz w:val="20"/>
        </w:rPr>
        <w:t> </w:t>
      </w:r>
      <w:r>
        <w:rPr>
          <w:w w:val="105"/>
          <w:sz w:val="20"/>
        </w:rPr>
        <w:t>Ley</w:t>
      </w:r>
      <w:r>
        <w:rPr>
          <w:spacing w:val="-3"/>
          <w:w w:val="105"/>
          <w:sz w:val="20"/>
        </w:rPr>
        <w:t> </w:t>
      </w:r>
      <w:r>
        <w:rPr>
          <w:w w:val="105"/>
          <w:sz w:val="20"/>
        </w:rPr>
        <w:t>3/2004,</w:t>
      </w:r>
      <w:r>
        <w:rPr>
          <w:spacing w:val="-4"/>
          <w:w w:val="105"/>
          <w:sz w:val="20"/>
        </w:rPr>
        <w:t> </w:t>
      </w:r>
      <w:r>
        <w:rPr>
          <w:w w:val="105"/>
          <w:sz w:val="20"/>
        </w:rPr>
        <w:t>de</w:t>
      </w:r>
      <w:r>
        <w:rPr>
          <w:spacing w:val="-4"/>
          <w:w w:val="105"/>
          <w:sz w:val="20"/>
        </w:rPr>
        <w:t> </w:t>
      </w:r>
      <w:r>
        <w:rPr>
          <w:w w:val="105"/>
          <w:sz w:val="20"/>
        </w:rPr>
        <w:t>29</w:t>
      </w:r>
      <w:r>
        <w:rPr>
          <w:spacing w:val="-3"/>
          <w:w w:val="105"/>
          <w:sz w:val="20"/>
        </w:rPr>
        <w:t> </w:t>
      </w:r>
      <w:r>
        <w:rPr>
          <w:w w:val="105"/>
          <w:sz w:val="20"/>
        </w:rPr>
        <w:t>de</w:t>
      </w:r>
      <w:r>
        <w:rPr>
          <w:spacing w:val="-4"/>
          <w:w w:val="105"/>
          <w:sz w:val="20"/>
        </w:rPr>
        <w:t> </w:t>
      </w:r>
      <w:r>
        <w:rPr>
          <w:w w:val="105"/>
          <w:sz w:val="20"/>
        </w:rPr>
        <w:t>diciembre,</w:t>
      </w:r>
      <w:r>
        <w:rPr>
          <w:spacing w:val="-4"/>
          <w:w w:val="105"/>
          <w:sz w:val="20"/>
        </w:rPr>
        <w:t> </w:t>
      </w:r>
      <w:r>
        <w:rPr>
          <w:w w:val="105"/>
          <w:sz w:val="20"/>
        </w:rPr>
        <w:t>por la que se establen medidas de lucha contra la morosidad en las operaciones comerciales, al no informar en la memoria de sus cuentas anuales del volumen monetario y número de facturas pagadas en un periodo inferior al máximo establecido en la normativa de morosidad y el porcentaje que suponen sobre el número total de facturas y sobre el total monetario de los pagos a sus proveedores (apartado</w:t>
      </w:r>
      <w:r>
        <w:rPr>
          <w:spacing w:val="1"/>
          <w:w w:val="105"/>
          <w:sz w:val="20"/>
        </w:rPr>
        <w:t> </w:t>
      </w:r>
      <w:r>
        <w:rPr>
          <w:w w:val="105"/>
          <w:sz w:val="20"/>
        </w:rPr>
        <w:t>5.1.5).</w:t>
      </w:r>
    </w:p>
    <w:p>
      <w:pPr>
        <w:pStyle w:val="BodyText"/>
        <w:spacing w:before="2"/>
        <w:rPr>
          <w:sz w:val="16"/>
        </w:rPr>
      </w:pPr>
    </w:p>
    <w:p>
      <w:pPr>
        <w:pStyle w:val="ListParagraph"/>
        <w:numPr>
          <w:ilvl w:val="0"/>
          <w:numId w:val="107"/>
        </w:numPr>
        <w:tabs>
          <w:tab w:pos="2337" w:val="left" w:leader="none"/>
        </w:tabs>
        <w:spacing w:line="240" w:lineRule="auto" w:before="0" w:after="0"/>
        <w:ind w:left="2336" w:right="1153" w:hanging="303"/>
        <w:jc w:val="right"/>
        <w:rPr>
          <w:sz w:val="20"/>
        </w:rPr>
      </w:pPr>
      <w:r>
        <w:rPr>
          <w:w w:val="105"/>
          <w:sz w:val="20"/>
        </w:rPr>
        <w:t>Las sociedades ASISTA, GMR, GRAFCAN, GSC, HECANSA, RPC, TVPC</w:t>
      </w:r>
      <w:r>
        <w:rPr>
          <w:spacing w:val="-7"/>
          <w:w w:val="105"/>
          <w:sz w:val="20"/>
        </w:rPr>
        <w:t> </w:t>
      </w:r>
      <w:r>
        <w:rPr>
          <w:w w:val="105"/>
          <w:sz w:val="20"/>
        </w:rPr>
        <w:t>y</w:t>
      </w:r>
      <w:r>
        <w:rPr>
          <w:spacing w:val="21"/>
          <w:w w:val="105"/>
          <w:sz w:val="20"/>
        </w:rPr>
        <w:t> </w:t>
      </w:r>
      <w:r>
        <w:rPr>
          <w:w w:val="105"/>
          <w:sz w:val="20"/>
        </w:rPr>
        <w:t>VISOCAN</w:t>
      </w:r>
      <w:r>
        <w:rPr>
          <w:w w:val="104"/>
          <w:sz w:val="20"/>
        </w:rPr>
        <w:t> </w:t>
      </w:r>
      <w:r>
        <w:rPr>
          <w:w w:val="105"/>
          <w:sz w:val="20"/>
        </w:rPr>
        <w:t>han contratado de forma repetida al mismo personal con contratos</w:t>
      </w:r>
      <w:r>
        <w:rPr>
          <w:spacing w:val="47"/>
          <w:w w:val="105"/>
          <w:sz w:val="20"/>
        </w:rPr>
        <w:t> </w:t>
      </w:r>
      <w:r>
        <w:rPr>
          <w:w w:val="105"/>
          <w:sz w:val="20"/>
        </w:rPr>
        <w:t>temporales,</w:t>
      </w:r>
    </w:p>
    <w:p>
      <w:pPr>
        <w:pStyle w:val="BodyText"/>
        <w:spacing w:before="104"/>
        <w:ind w:right="1140"/>
        <w:jc w:val="right"/>
      </w:pPr>
      <w:r>
        <w:rPr/>
        <w:t>161</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37" name="image5.png"/>
                  <wp:cNvGraphicFramePr>
                    <a:graphicFrameLocks noChangeAspect="1"/>
                  </wp:cNvGraphicFramePr>
                  <a:graphic>
                    <a:graphicData uri="http://schemas.openxmlformats.org/drawingml/2006/picture">
                      <pic:pic>
                        <pic:nvPicPr>
                          <pic:cNvPr id="33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163/247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336" w:right="1154"/>
        <w:jc w:val="both"/>
      </w:pPr>
      <w:r>
        <w:rPr>
          <w:w w:val="105"/>
        </w:rPr>
        <w:t>pudiendo ocasionar la superación de los límites establecidos por la normativa vigente y en consecuencia la solicitud de la adquisición de la condición de personal fijo (apartado 5.1.6).</w:t>
      </w:r>
    </w:p>
    <w:p>
      <w:pPr>
        <w:pStyle w:val="BodyText"/>
        <w:spacing w:before="1"/>
        <w:rPr>
          <w:sz w:val="17"/>
        </w:rPr>
      </w:pPr>
    </w:p>
    <w:p>
      <w:pPr>
        <w:pStyle w:val="ListParagraph"/>
        <w:numPr>
          <w:ilvl w:val="0"/>
          <w:numId w:val="108"/>
        </w:numPr>
        <w:tabs>
          <w:tab w:pos="2386" w:val="left" w:leader="none"/>
        </w:tabs>
        <w:spacing w:line="240" w:lineRule="auto" w:before="0" w:after="0"/>
        <w:ind w:left="2336" w:right="1153" w:hanging="303"/>
        <w:jc w:val="both"/>
        <w:rPr>
          <w:sz w:val="20"/>
        </w:rPr>
      </w:pPr>
      <w:r>
        <w:rPr>
          <w:w w:val="105"/>
          <w:sz w:val="20"/>
        </w:rPr>
        <w:t>La DGPP ha emitido informes a las sociedades GMR, GRAFCAN, GSC, HECANSA, ITC y PROEXCA, solicitándoles que en las contrataciones temporales realizadas respeten la normativa laboral vigente, para no incurrir tanto en infracción administrativa, como de orden social (apartado</w:t>
      </w:r>
      <w:r>
        <w:rPr>
          <w:spacing w:val="2"/>
          <w:w w:val="105"/>
          <w:sz w:val="20"/>
        </w:rPr>
        <w:t> </w:t>
      </w:r>
      <w:r>
        <w:rPr>
          <w:w w:val="105"/>
          <w:sz w:val="20"/>
        </w:rPr>
        <w:t>5.1.6).</w:t>
      </w:r>
    </w:p>
    <w:p>
      <w:pPr>
        <w:pStyle w:val="BodyText"/>
        <w:spacing w:before="1"/>
        <w:rPr>
          <w:sz w:val="17"/>
        </w:rPr>
      </w:pPr>
    </w:p>
    <w:p>
      <w:pPr>
        <w:pStyle w:val="ListParagraph"/>
        <w:numPr>
          <w:ilvl w:val="0"/>
          <w:numId w:val="108"/>
        </w:numPr>
        <w:tabs>
          <w:tab w:pos="2337" w:val="left" w:leader="none"/>
        </w:tabs>
        <w:spacing w:line="242" w:lineRule="auto" w:before="0" w:after="0"/>
        <w:ind w:left="2336" w:right="1153" w:hanging="303"/>
        <w:jc w:val="both"/>
        <w:rPr>
          <w:sz w:val="20"/>
        </w:rPr>
      </w:pPr>
      <w:r>
        <w:rPr>
          <w:w w:val="105"/>
          <w:sz w:val="20"/>
        </w:rPr>
        <w:t>Excepto GRAFCAN (que ha solicitado la modificación de su masa salarial), GSC y PROMOTUR, todas las entidades han presentado la documentación de personal establecida en el Art. 44.7 de la LGPCAC (apartado</w:t>
      </w:r>
      <w:r>
        <w:rPr>
          <w:spacing w:val="7"/>
          <w:w w:val="105"/>
          <w:sz w:val="20"/>
        </w:rPr>
        <w:t> </w:t>
      </w:r>
      <w:r>
        <w:rPr>
          <w:w w:val="105"/>
          <w:sz w:val="20"/>
        </w:rPr>
        <w:t>5.1.6).</w:t>
      </w:r>
    </w:p>
    <w:p>
      <w:pPr>
        <w:pStyle w:val="BodyText"/>
        <w:spacing w:before="4"/>
        <w:rPr>
          <w:sz w:val="16"/>
        </w:rPr>
      </w:pPr>
    </w:p>
    <w:p>
      <w:pPr>
        <w:pStyle w:val="ListParagraph"/>
        <w:numPr>
          <w:ilvl w:val="0"/>
          <w:numId w:val="108"/>
        </w:numPr>
        <w:tabs>
          <w:tab w:pos="2337" w:val="left" w:leader="none"/>
        </w:tabs>
        <w:spacing w:line="242" w:lineRule="auto" w:before="1" w:after="0"/>
        <w:ind w:left="2336" w:right="1149" w:hanging="303"/>
        <w:jc w:val="both"/>
        <w:rPr>
          <w:sz w:val="20"/>
        </w:rPr>
      </w:pPr>
      <w:r>
        <w:rPr>
          <w:w w:val="105"/>
          <w:sz w:val="20"/>
        </w:rPr>
        <w:t>Los departamentos competentes en materia de empresas públicas, y de organización administrativa y transparencia no han procedido a remitir informe anual conjunto al Parlamento señalando lo establecido en la Ley 19/2019 , de 30 de diciembre de Presupuesto Generales de la CAC para 2020 en relación con la identidad de los directivos, las retribuciones, condiciones principales de los contratos de alta dirección, sistema de provisión, distribución de género de los directivos, y cualquier otra condición que impongan las leyes a los contratos de los</w:t>
      </w:r>
      <w:r>
        <w:rPr>
          <w:spacing w:val="-8"/>
          <w:w w:val="105"/>
          <w:sz w:val="20"/>
        </w:rPr>
        <w:t> </w:t>
      </w:r>
      <w:r>
        <w:rPr>
          <w:w w:val="105"/>
          <w:sz w:val="20"/>
        </w:rPr>
        <w:t>directivos</w:t>
      </w:r>
      <w:r>
        <w:rPr>
          <w:spacing w:val="-8"/>
          <w:w w:val="105"/>
          <w:sz w:val="20"/>
        </w:rPr>
        <w:t> </w:t>
      </w:r>
      <w:r>
        <w:rPr>
          <w:w w:val="105"/>
          <w:sz w:val="20"/>
        </w:rPr>
        <w:t>públicos,</w:t>
      </w:r>
      <w:r>
        <w:rPr>
          <w:spacing w:val="-6"/>
          <w:w w:val="105"/>
          <w:sz w:val="20"/>
        </w:rPr>
        <w:t> </w:t>
      </w:r>
      <w:r>
        <w:rPr>
          <w:w w:val="105"/>
          <w:sz w:val="20"/>
        </w:rPr>
        <w:t>porque</w:t>
      </w:r>
      <w:r>
        <w:rPr>
          <w:spacing w:val="-8"/>
          <w:w w:val="105"/>
          <w:sz w:val="20"/>
        </w:rPr>
        <w:t> </w:t>
      </w:r>
      <w:r>
        <w:rPr>
          <w:w w:val="105"/>
          <w:sz w:val="20"/>
        </w:rPr>
        <w:t>la</w:t>
      </w:r>
      <w:r>
        <w:rPr>
          <w:spacing w:val="-8"/>
          <w:w w:val="105"/>
          <w:sz w:val="20"/>
        </w:rPr>
        <w:t> </w:t>
      </w:r>
      <w:r>
        <w:rPr>
          <w:w w:val="105"/>
          <w:sz w:val="20"/>
        </w:rPr>
        <w:t>Consejería</w:t>
      </w:r>
      <w:r>
        <w:rPr>
          <w:spacing w:val="-8"/>
          <w:w w:val="105"/>
          <w:sz w:val="20"/>
        </w:rPr>
        <w:t> </w:t>
      </w:r>
      <w:r>
        <w:rPr>
          <w:w w:val="105"/>
          <w:sz w:val="20"/>
        </w:rPr>
        <w:t>de</w:t>
      </w:r>
      <w:r>
        <w:rPr>
          <w:spacing w:val="-8"/>
          <w:w w:val="105"/>
          <w:sz w:val="20"/>
        </w:rPr>
        <w:t> </w:t>
      </w:r>
      <w:r>
        <w:rPr>
          <w:w w:val="105"/>
          <w:sz w:val="20"/>
        </w:rPr>
        <w:t>Hacienda</w:t>
      </w:r>
      <w:r>
        <w:rPr>
          <w:spacing w:val="-8"/>
          <w:w w:val="105"/>
          <w:sz w:val="20"/>
        </w:rPr>
        <w:t> </w:t>
      </w:r>
      <w:r>
        <w:rPr>
          <w:w w:val="105"/>
          <w:sz w:val="20"/>
        </w:rPr>
        <w:t>no</w:t>
      </w:r>
      <w:r>
        <w:rPr>
          <w:spacing w:val="-8"/>
          <w:w w:val="105"/>
          <w:sz w:val="20"/>
        </w:rPr>
        <w:t> </w:t>
      </w:r>
      <w:r>
        <w:rPr>
          <w:w w:val="105"/>
          <w:sz w:val="20"/>
        </w:rPr>
        <w:t>ha</w:t>
      </w:r>
      <w:r>
        <w:rPr>
          <w:spacing w:val="-8"/>
          <w:w w:val="105"/>
          <w:sz w:val="20"/>
        </w:rPr>
        <w:t> </w:t>
      </w:r>
      <w:r>
        <w:rPr>
          <w:w w:val="105"/>
          <w:sz w:val="20"/>
        </w:rPr>
        <w:t>creado</w:t>
      </w:r>
      <w:r>
        <w:rPr>
          <w:spacing w:val="-8"/>
          <w:w w:val="105"/>
          <w:sz w:val="20"/>
        </w:rPr>
        <w:t> </w:t>
      </w:r>
      <w:r>
        <w:rPr>
          <w:w w:val="105"/>
          <w:sz w:val="20"/>
        </w:rPr>
        <w:t>el</w:t>
      </w:r>
      <w:r>
        <w:rPr>
          <w:spacing w:val="-8"/>
          <w:w w:val="105"/>
          <w:sz w:val="20"/>
        </w:rPr>
        <w:t> </w:t>
      </w:r>
      <w:r>
        <w:rPr>
          <w:w w:val="105"/>
          <w:sz w:val="20"/>
        </w:rPr>
        <w:t>Registro de personal directivo establecido en la citada Ley (apartado</w:t>
      </w:r>
      <w:r>
        <w:rPr>
          <w:spacing w:val="1"/>
          <w:w w:val="105"/>
          <w:sz w:val="20"/>
        </w:rPr>
        <w:t> </w:t>
      </w:r>
      <w:r>
        <w:rPr>
          <w:w w:val="105"/>
          <w:sz w:val="20"/>
        </w:rPr>
        <w:t>5.1.6).</w:t>
      </w:r>
    </w:p>
    <w:p>
      <w:pPr>
        <w:pStyle w:val="BodyText"/>
        <w:spacing w:before="1"/>
        <w:rPr>
          <w:sz w:val="16"/>
        </w:rPr>
      </w:pPr>
    </w:p>
    <w:p>
      <w:pPr>
        <w:pStyle w:val="ListParagraph"/>
        <w:numPr>
          <w:ilvl w:val="0"/>
          <w:numId w:val="108"/>
        </w:numPr>
        <w:tabs>
          <w:tab w:pos="2337" w:val="left" w:leader="none"/>
        </w:tabs>
        <w:spacing w:line="240" w:lineRule="auto" w:before="0" w:after="0"/>
        <w:ind w:left="2336" w:right="1152" w:hanging="303"/>
        <w:jc w:val="both"/>
        <w:rPr>
          <w:sz w:val="20"/>
        </w:rPr>
      </w:pPr>
      <w:r>
        <w:rPr>
          <w:w w:val="105"/>
          <w:sz w:val="20"/>
        </w:rPr>
        <w:t>Las sociedades que han cumplido lo establecido en el Acuerdo de Gobierno de 8 de noviembre de 2019 realizando la Evaluación de los objetivos fijados al personal directivo han sido ASISTA, GESTUR CANARIAS, ICDC y PROMOTUR (apartado</w:t>
      </w:r>
      <w:r>
        <w:rPr>
          <w:spacing w:val="-1"/>
          <w:w w:val="105"/>
          <w:sz w:val="20"/>
        </w:rPr>
        <w:t> </w:t>
      </w:r>
      <w:r>
        <w:rPr>
          <w:w w:val="105"/>
          <w:sz w:val="20"/>
        </w:rPr>
        <w:t>5.1.7).</w:t>
      </w:r>
    </w:p>
    <w:p>
      <w:pPr>
        <w:pStyle w:val="BodyText"/>
        <w:spacing w:before="1"/>
        <w:rPr>
          <w:sz w:val="17"/>
        </w:rPr>
      </w:pPr>
    </w:p>
    <w:p>
      <w:pPr>
        <w:pStyle w:val="ListParagraph"/>
        <w:numPr>
          <w:ilvl w:val="0"/>
          <w:numId w:val="108"/>
        </w:numPr>
        <w:tabs>
          <w:tab w:pos="2386" w:val="left" w:leader="none"/>
        </w:tabs>
        <w:spacing w:line="240" w:lineRule="auto" w:before="0" w:after="0"/>
        <w:ind w:left="2336" w:right="1152" w:hanging="303"/>
        <w:jc w:val="both"/>
        <w:rPr>
          <w:sz w:val="20"/>
        </w:rPr>
      </w:pPr>
      <w:r>
        <w:rPr>
          <w:w w:val="105"/>
          <w:sz w:val="20"/>
        </w:rPr>
        <w:t>Los departamentos competentes en materia de empresas públicas no han remitido al Parlamento el informe anual de evaluación y desempeño de las empresas públicas, al que hace referencia la disposición adicional quincuagésimo-primera de la referida ley 19/2019 (apartado</w:t>
      </w:r>
      <w:r>
        <w:rPr>
          <w:spacing w:val="1"/>
          <w:w w:val="105"/>
          <w:sz w:val="20"/>
        </w:rPr>
        <w:t> </w:t>
      </w:r>
      <w:r>
        <w:rPr>
          <w:w w:val="105"/>
          <w:sz w:val="20"/>
        </w:rPr>
        <w:t>5.1.7).</w:t>
      </w:r>
    </w:p>
    <w:p>
      <w:pPr>
        <w:pStyle w:val="BodyText"/>
        <w:spacing w:before="1"/>
        <w:rPr>
          <w:sz w:val="17"/>
        </w:rPr>
      </w:pPr>
    </w:p>
    <w:p>
      <w:pPr>
        <w:pStyle w:val="Heading1"/>
        <w:ind w:left="2099"/>
        <w:jc w:val="left"/>
      </w:pPr>
      <w:r>
        <w:rPr>
          <w:w w:val="105"/>
        </w:rPr>
        <w:t>Fundaciones.</w:t>
      </w:r>
    </w:p>
    <w:p>
      <w:pPr>
        <w:pStyle w:val="BodyText"/>
        <w:spacing w:before="8"/>
        <w:rPr>
          <w:b/>
          <w:sz w:val="16"/>
        </w:rPr>
      </w:pPr>
    </w:p>
    <w:p>
      <w:pPr>
        <w:pStyle w:val="ListParagraph"/>
        <w:numPr>
          <w:ilvl w:val="0"/>
          <w:numId w:val="108"/>
        </w:numPr>
        <w:tabs>
          <w:tab w:pos="2337" w:val="left" w:leader="none"/>
        </w:tabs>
        <w:spacing w:line="240" w:lineRule="auto" w:before="0" w:after="0"/>
        <w:ind w:left="2336" w:right="1145" w:hanging="303"/>
        <w:jc w:val="both"/>
        <w:rPr>
          <w:sz w:val="20"/>
        </w:rPr>
      </w:pPr>
      <w:r>
        <w:rPr>
          <w:sz w:val="20"/>
        </w:rPr>
        <w:t>los informes económico-financieros que acompañan a las cuentas anuales, en general, cumplen correctamente con su contenido, a excepción LENGUA, MUSEO, FUCAEX y FIISC (apartado</w:t>
      </w:r>
      <w:r>
        <w:rPr>
          <w:spacing w:val="3"/>
          <w:sz w:val="20"/>
        </w:rPr>
        <w:t> </w:t>
      </w:r>
      <w:r>
        <w:rPr>
          <w:sz w:val="20"/>
        </w:rPr>
        <w:t>5.3.1).</w:t>
      </w:r>
    </w:p>
    <w:p>
      <w:pPr>
        <w:pStyle w:val="BodyText"/>
        <w:spacing w:before="1"/>
        <w:rPr>
          <w:sz w:val="17"/>
        </w:rPr>
      </w:pPr>
    </w:p>
    <w:p>
      <w:pPr>
        <w:pStyle w:val="ListParagraph"/>
        <w:numPr>
          <w:ilvl w:val="0"/>
          <w:numId w:val="108"/>
        </w:numPr>
        <w:tabs>
          <w:tab w:pos="2337" w:val="left" w:leader="none"/>
        </w:tabs>
        <w:spacing w:line="240" w:lineRule="auto" w:before="0" w:after="0"/>
        <w:ind w:left="2336" w:right="1143" w:hanging="303"/>
        <w:jc w:val="both"/>
        <w:rPr>
          <w:sz w:val="20"/>
        </w:rPr>
      </w:pPr>
      <w:r>
        <w:rPr>
          <w:sz w:val="20"/>
        </w:rPr>
        <w:t>El patrimonio neto para las fundaciones es de 10,4 millones de €, incrementado con respecto al año anterior en 1,5 millones de €. Los fondos propios de ACCIÓN SOCIAL son positivos tras ejercicios siendo negativos, sin embargo, presenta un fondo</w:t>
      </w:r>
      <w:r>
        <w:rPr>
          <w:spacing w:val="15"/>
          <w:sz w:val="20"/>
        </w:rPr>
        <w:t> </w:t>
      </w:r>
      <w:r>
        <w:rPr>
          <w:sz w:val="20"/>
        </w:rPr>
        <w:t>de</w:t>
      </w:r>
    </w:p>
    <w:p>
      <w:pPr>
        <w:pStyle w:val="BodyText"/>
        <w:spacing w:before="106"/>
        <w:ind w:right="1140"/>
        <w:jc w:val="right"/>
      </w:pPr>
      <w:r>
        <w:rPr/>
        <w:t>162</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39" name="image5.png"/>
                  <wp:cNvGraphicFramePr>
                    <a:graphicFrameLocks noChangeAspect="1"/>
                  </wp:cNvGraphicFramePr>
                  <a:graphic>
                    <a:graphicData uri="http://schemas.openxmlformats.org/drawingml/2006/picture">
                      <pic:pic>
                        <pic:nvPicPr>
                          <pic:cNvPr id="34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164/247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line="242" w:lineRule="auto" w:before="61"/>
        <w:ind w:left="2336" w:right="1140"/>
        <w:jc w:val="both"/>
      </w:pPr>
      <w:r>
        <w:rPr/>
        <w:t>maniobra negativo de 35.795 euros, que muestra una situación de desequilibrio financiero que podría comprometer a sus deudas a corto plazo. Por otro lado, los fondos propios para IDEO son negativos, lo que hace a su Patronato contemplar un incremento en el capital social para 2024 y solicitar una aportación dineraria para solventar este desequilibrio. Tanto ACCIÓN SOCIAL como IDEO disponen de un programa de viabilidad y saneamiento del periodo 2021-2023 (apartado 5.3.2).</w:t>
      </w:r>
    </w:p>
    <w:p>
      <w:pPr>
        <w:pStyle w:val="BodyText"/>
        <w:spacing w:before="4"/>
        <w:rPr>
          <w:sz w:val="16"/>
        </w:rPr>
      </w:pPr>
    </w:p>
    <w:p>
      <w:pPr>
        <w:pStyle w:val="ListParagraph"/>
        <w:numPr>
          <w:ilvl w:val="0"/>
          <w:numId w:val="109"/>
        </w:numPr>
        <w:tabs>
          <w:tab w:pos="2337" w:val="left" w:leader="none"/>
        </w:tabs>
        <w:spacing w:line="242" w:lineRule="auto" w:before="0" w:after="0"/>
        <w:ind w:left="2336" w:right="1150" w:hanging="303"/>
        <w:jc w:val="both"/>
        <w:rPr>
          <w:sz w:val="20"/>
        </w:rPr>
      </w:pPr>
      <w:r>
        <w:rPr>
          <w:w w:val="105"/>
          <w:sz w:val="20"/>
        </w:rPr>
        <w:t>IDEO</w:t>
      </w:r>
      <w:r>
        <w:rPr>
          <w:spacing w:val="-26"/>
          <w:w w:val="105"/>
          <w:sz w:val="20"/>
        </w:rPr>
        <w:t> </w:t>
      </w:r>
      <w:r>
        <w:rPr>
          <w:w w:val="105"/>
          <w:sz w:val="20"/>
        </w:rPr>
        <w:t>experimenta</w:t>
      </w:r>
      <w:r>
        <w:rPr>
          <w:spacing w:val="-26"/>
          <w:w w:val="105"/>
          <w:sz w:val="20"/>
        </w:rPr>
        <w:t> </w:t>
      </w:r>
      <w:r>
        <w:rPr>
          <w:w w:val="105"/>
          <w:sz w:val="20"/>
        </w:rPr>
        <w:t>una</w:t>
      </w:r>
      <w:r>
        <w:rPr>
          <w:spacing w:val="-26"/>
          <w:w w:val="105"/>
          <w:sz w:val="20"/>
        </w:rPr>
        <w:t> </w:t>
      </w:r>
      <w:r>
        <w:rPr>
          <w:w w:val="105"/>
          <w:sz w:val="20"/>
        </w:rPr>
        <w:t>variación</w:t>
      </w:r>
      <w:r>
        <w:rPr>
          <w:spacing w:val="-26"/>
          <w:w w:val="105"/>
          <w:sz w:val="20"/>
        </w:rPr>
        <w:t> </w:t>
      </w:r>
      <w:r>
        <w:rPr>
          <w:w w:val="105"/>
          <w:sz w:val="20"/>
        </w:rPr>
        <w:t>del</w:t>
      </w:r>
      <w:r>
        <w:rPr>
          <w:spacing w:val="-26"/>
          <w:w w:val="105"/>
          <w:sz w:val="20"/>
        </w:rPr>
        <w:t> </w:t>
      </w:r>
      <w:r>
        <w:rPr>
          <w:w w:val="105"/>
          <w:sz w:val="20"/>
        </w:rPr>
        <w:t>patrimonio</w:t>
      </w:r>
      <w:r>
        <w:rPr>
          <w:spacing w:val="-25"/>
          <w:w w:val="105"/>
          <w:sz w:val="20"/>
        </w:rPr>
        <w:t> </w:t>
      </w:r>
      <w:r>
        <w:rPr>
          <w:w w:val="105"/>
          <w:sz w:val="20"/>
        </w:rPr>
        <w:t>neto</w:t>
      </w:r>
      <w:r>
        <w:rPr>
          <w:spacing w:val="-26"/>
          <w:w w:val="105"/>
          <w:sz w:val="20"/>
        </w:rPr>
        <w:t> </w:t>
      </w:r>
      <w:r>
        <w:rPr>
          <w:w w:val="105"/>
          <w:sz w:val="20"/>
        </w:rPr>
        <w:t>del</w:t>
      </w:r>
      <w:r>
        <w:rPr>
          <w:spacing w:val="-27"/>
          <w:w w:val="105"/>
          <w:sz w:val="20"/>
        </w:rPr>
        <w:t> </w:t>
      </w:r>
      <w:r>
        <w:rPr>
          <w:w w:val="105"/>
          <w:sz w:val="20"/>
        </w:rPr>
        <w:t>excedente</w:t>
      </w:r>
      <w:r>
        <w:rPr>
          <w:spacing w:val="-26"/>
          <w:w w:val="105"/>
          <w:sz w:val="20"/>
        </w:rPr>
        <w:t> </w:t>
      </w:r>
      <w:r>
        <w:rPr>
          <w:w w:val="105"/>
          <w:sz w:val="20"/>
        </w:rPr>
        <w:t>del</w:t>
      </w:r>
      <w:r>
        <w:rPr>
          <w:spacing w:val="-26"/>
          <w:w w:val="105"/>
          <w:sz w:val="20"/>
        </w:rPr>
        <w:t> </w:t>
      </w:r>
      <w:r>
        <w:rPr>
          <w:w w:val="105"/>
          <w:sz w:val="20"/>
        </w:rPr>
        <w:t>ejercicio</w:t>
      </w:r>
      <w:r>
        <w:rPr>
          <w:spacing w:val="-26"/>
          <w:w w:val="105"/>
          <w:sz w:val="20"/>
        </w:rPr>
        <w:t> </w:t>
      </w:r>
      <w:r>
        <w:rPr>
          <w:w w:val="105"/>
          <w:sz w:val="20"/>
        </w:rPr>
        <w:t>por importe</w:t>
      </w:r>
      <w:r>
        <w:rPr>
          <w:spacing w:val="-15"/>
          <w:w w:val="105"/>
          <w:sz w:val="20"/>
        </w:rPr>
        <w:t> </w:t>
      </w:r>
      <w:r>
        <w:rPr>
          <w:w w:val="105"/>
          <w:sz w:val="20"/>
        </w:rPr>
        <w:t>de</w:t>
      </w:r>
      <w:r>
        <w:rPr>
          <w:spacing w:val="-15"/>
          <w:w w:val="105"/>
          <w:sz w:val="20"/>
        </w:rPr>
        <w:t> </w:t>
      </w:r>
      <w:r>
        <w:rPr>
          <w:w w:val="105"/>
          <w:sz w:val="20"/>
        </w:rPr>
        <w:t>105.776</w:t>
      </w:r>
      <w:r>
        <w:rPr>
          <w:spacing w:val="-13"/>
          <w:w w:val="105"/>
          <w:sz w:val="20"/>
        </w:rPr>
        <w:t> </w:t>
      </w:r>
      <w:r>
        <w:rPr>
          <w:w w:val="105"/>
          <w:sz w:val="20"/>
        </w:rPr>
        <w:t>euros,</w:t>
      </w:r>
      <w:r>
        <w:rPr>
          <w:spacing w:val="-13"/>
          <w:w w:val="105"/>
          <w:sz w:val="20"/>
        </w:rPr>
        <w:t> </w:t>
      </w:r>
      <w:r>
        <w:rPr>
          <w:w w:val="105"/>
          <w:sz w:val="20"/>
        </w:rPr>
        <w:t>inferior</w:t>
      </w:r>
      <w:r>
        <w:rPr>
          <w:spacing w:val="-13"/>
          <w:w w:val="105"/>
          <w:sz w:val="20"/>
        </w:rPr>
        <w:t> </w:t>
      </w:r>
      <w:r>
        <w:rPr>
          <w:w w:val="105"/>
          <w:sz w:val="20"/>
        </w:rPr>
        <w:t>a</w:t>
      </w:r>
      <w:r>
        <w:rPr>
          <w:spacing w:val="-15"/>
          <w:w w:val="105"/>
          <w:sz w:val="20"/>
        </w:rPr>
        <w:t> </w:t>
      </w:r>
      <w:r>
        <w:rPr>
          <w:w w:val="105"/>
          <w:sz w:val="20"/>
        </w:rPr>
        <w:t>lo</w:t>
      </w:r>
      <w:r>
        <w:rPr>
          <w:spacing w:val="-13"/>
          <w:w w:val="105"/>
          <w:sz w:val="20"/>
        </w:rPr>
        <w:t> </w:t>
      </w:r>
      <w:r>
        <w:rPr>
          <w:w w:val="105"/>
          <w:sz w:val="20"/>
        </w:rPr>
        <w:t>presupuestado,</w:t>
      </w:r>
      <w:r>
        <w:rPr>
          <w:spacing w:val="-13"/>
          <w:w w:val="105"/>
          <w:sz w:val="20"/>
        </w:rPr>
        <w:t> </w:t>
      </w:r>
      <w:r>
        <w:rPr>
          <w:w w:val="105"/>
          <w:sz w:val="20"/>
        </w:rPr>
        <w:t>sin</w:t>
      </w:r>
      <w:r>
        <w:rPr>
          <w:spacing w:val="-15"/>
          <w:w w:val="105"/>
          <w:sz w:val="20"/>
        </w:rPr>
        <w:t> </w:t>
      </w:r>
      <w:r>
        <w:rPr>
          <w:w w:val="105"/>
          <w:sz w:val="20"/>
        </w:rPr>
        <w:t>que</w:t>
      </w:r>
      <w:r>
        <w:rPr>
          <w:spacing w:val="-13"/>
          <w:w w:val="105"/>
          <w:sz w:val="20"/>
        </w:rPr>
        <w:t> </w:t>
      </w:r>
      <w:r>
        <w:rPr>
          <w:w w:val="105"/>
          <w:sz w:val="20"/>
        </w:rPr>
        <w:t>conste</w:t>
      </w:r>
      <w:r>
        <w:rPr>
          <w:spacing w:val="-15"/>
          <w:w w:val="105"/>
          <w:sz w:val="20"/>
        </w:rPr>
        <w:t> </w:t>
      </w:r>
      <w:r>
        <w:rPr>
          <w:w w:val="105"/>
          <w:sz w:val="20"/>
        </w:rPr>
        <w:t>Acuerdo</w:t>
      </w:r>
      <w:r>
        <w:rPr>
          <w:spacing w:val="-13"/>
          <w:w w:val="105"/>
          <w:sz w:val="20"/>
        </w:rPr>
        <w:t> </w:t>
      </w:r>
      <w:r>
        <w:rPr>
          <w:w w:val="105"/>
          <w:sz w:val="20"/>
        </w:rPr>
        <w:t>del Gobierno ni otras modificaciones del presupuesto acordando subvenciones o aportaciones dinerarias destinadas a la compensación de dichos resultados, como se prevé en el Art. 34.1 d) LPGCAC 2022 (apartado</w:t>
      </w:r>
      <w:r>
        <w:rPr>
          <w:spacing w:val="11"/>
          <w:w w:val="105"/>
          <w:sz w:val="20"/>
        </w:rPr>
        <w:t> </w:t>
      </w:r>
      <w:r>
        <w:rPr>
          <w:w w:val="105"/>
          <w:sz w:val="20"/>
        </w:rPr>
        <w:t>5.3.2).</w:t>
      </w:r>
    </w:p>
    <w:p>
      <w:pPr>
        <w:pStyle w:val="BodyText"/>
        <w:spacing w:before="3"/>
        <w:rPr>
          <w:sz w:val="16"/>
        </w:rPr>
      </w:pPr>
    </w:p>
    <w:p>
      <w:pPr>
        <w:pStyle w:val="ListParagraph"/>
        <w:numPr>
          <w:ilvl w:val="0"/>
          <w:numId w:val="109"/>
        </w:numPr>
        <w:tabs>
          <w:tab w:pos="2337" w:val="left" w:leader="none"/>
        </w:tabs>
        <w:spacing w:line="240" w:lineRule="auto" w:before="0" w:after="0"/>
        <w:ind w:left="2336" w:right="1151" w:hanging="303"/>
        <w:jc w:val="both"/>
        <w:rPr>
          <w:sz w:val="20"/>
        </w:rPr>
      </w:pPr>
      <w:r>
        <w:rPr>
          <w:w w:val="105"/>
          <w:sz w:val="20"/>
        </w:rPr>
        <w:t>El</w:t>
      </w:r>
      <w:r>
        <w:rPr>
          <w:spacing w:val="-4"/>
          <w:w w:val="105"/>
          <w:sz w:val="20"/>
        </w:rPr>
        <w:t> </w:t>
      </w:r>
      <w:r>
        <w:rPr>
          <w:w w:val="105"/>
          <w:sz w:val="20"/>
        </w:rPr>
        <w:t>período</w:t>
      </w:r>
      <w:r>
        <w:rPr>
          <w:spacing w:val="-3"/>
          <w:w w:val="105"/>
          <w:sz w:val="20"/>
        </w:rPr>
        <w:t> </w:t>
      </w:r>
      <w:r>
        <w:rPr>
          <w:w w:val="105"/>
          <w:sz w:val="20"/>
        </w:rPr>
        <w:t>medio</w:t>
      </w:r>
      <w:r>
        <w:rPr>
          <w:spacing w:val="-4"/>
          <w:w w:val="105"/>
          <w:sz w:val="20"/>
        </w:rPr>
        <w:t> </w:t>
      </w:r>
      <w:r>
        <w:rPr>
          <w:w w:val="105"/>
          <w:sz w:val="20"/>
        </w:rPr>
        <w:t>de</w:t>
      </w:r>
      <w:r>
        <w:rPr>
          <w:spacing w:val="-3"/>
          <w:w w:val="105"/>
          <w:sz w:val="20"/>
        </w:rPr>
        <w:t> </w:t>
      </w:r>
      <w:r>
        <w:rPr>
          <w:w w:val="105"/>
          <w:sz w:val="20"/>
        </w:rPr>
        <w:t>pago</w:t>
      </w:r>
      <w:r>
        <w:rPr>
          <w:spacing w:val="-4"/>
          <w:w w:val="105"/>
          <w:sz w:val="20"/>
        </w:rPr>
        <w:t> </w:t>
      </w:r>
      <w:r>
        <w:rPr>
          <w:w w:val="105"/>
          <w:sz w:val="20"/>
        </w:rPr>
        <w:t>se</w:t>
      </w:r>
      <w:r>
        <w:rPr>
          <w:spacing w:val="-3"/>
          <w:w w:val="105"/>
          <w:sz w:val="20"/>
        </w:rPr>
        <w:t> </w:t>
      </w:r>
      <w:r>
        <w:rPr>
          <w:w w:val="105"/>
          <w:sz w:val="20"/>
        </w:rPr>
        <w:t>cumplió</w:t>
      </w:r>
      <w:r>
        <w:rPr>
          <w:spacing w:val="-2"/>
          <w:w w:val="105"/>
          <w:sz w:val="20"/>
        </w:rPr>
        <w:t> </w:t>
      </w:r>
      <w:r>
        <w:rPr>
          <w:w w:val="105"/>
          <w:sz w:val="20"/>
        </w:rPr>
        <w:t>durante</w:t>
      </w:r>
      <w:r>
        <w:rPr>
          <w:spacing w:val="-4"/>
          <w:w w:val="105"/>
          <w:sz w:val="20"/>
        </w:rPr>
        <w:t> </w:t>
      </w:r>
      <w:r>
        <w:rPr>
          <w:w w:val="105"/>
          <w:sz w:val="20"/>
        </w:rPr>
        <w:t>2022</w:t>
      </w:r>
      <w:r>
        <w:rPr>
          <w:spacing w:val="-3"/>
          <w:w w:val="105"/>
          <w:sz w:val="20"/>
        </w:rPr>
        <w:t> </w:t>
      </w:r>
      <w:r>
        <w:rPr>
          <w:w w:val="105"/>
          <w:sz w:val="20"/>
        </w:rPr>
        <w:t>por</w:t>
      </w:r>
      <w:r>
        <w:rPr>
          <w:spacing w:val="-4"/>
          <w:w w:val="105"/>
          <w:sz w:val="20"/>
        </w:rPr>
        <w:t> </w:t>
      </w:r>
      <w:r>
        <w:rPr>
          <w:w w:val="105"/>
          <w:sz w:val="20"/>
        </w:rPr>
        <w:t>todas</w:t>
      </w:r>
      <w:r>
        <w:rPr>
          <w:spacing w:val="-2"/>
          <w:w w:val="105"/>
          <w:sz w:val="20"/>
        </w:rPr>
        <w:t> </w:t>
      </w:r>
      <w:r>
        <w:rPr>
          <w:w w:val="105"/>
          <w:sz w:val="20"/>
        </w:rPr>
        <w:t>las</w:t>
      </w:r>
      <w:r>
        <w:rPr>
          <w:spacing w:val="-3"/>
          <w:w w:val="105"/>
          <w:sz w:val="20"/>
        </w:rPr>
        <w:t> </w:t>
      </w:r>
      <w:r>
        <w:rPr>
          <w:w w:val="105"/>
          <w:sz w:val="20"/>
        </w:rPr>
        <w:t>fundaciones,</w:t>
      </w:r>
      <w:r>
        <w:rPr>
          <w:spacing w:val="-4"/>
          <w:w w:val="105"/>
          <w:sz w:val="20"/>
        </w:rPr>
        <w:t> </w:t>
      </w:r>
      <w:r>
        <w:rPr>
          <w:w w:val="105"/>
          <w:sz w:val="20"/>
        </w:rPr>
        <w:t>no superando el plazo legal de 30 días (apartado</w:t>
      </w:r>
      <w:r>
        <w:rPr>
          <w:spacing w:val="6"/>
          <w:w w:val="105"/>
          <w:sz w:val="20"/>
        </w:rPr>
        <w:t> </w:t>
      </w:r>
      <w:r>
        <w:rPr>
          <w:w w:val="105"/>
          <w:sz w:val="20"/>
        </w:rPr>
        <w:t>5.3.3).</w:t>
      </w:r>
    </w:p>
    <w:p>
      <w:pPr>
        <w:pStyle w:val="BodyText"/>
        <w:spacing w:before="9"/>
        <w:rPr>
          <w:sz w:val="16"/>
        </w:rPr>
      </w:pPr>
    </w:p>
    <w:p>
      <w:pPr>
        <w:pStyle w:val="ListParagraph"/>
        <w:numPr>
          <w:ilvl w:val="0"/>
          <w:numId w:val="109"/>
        </w:numPr>
        <w:tabs>
          <w:tab w:pos="2337" w:val="left" w:leader="none"/>
        </w:tabs>
        <w:spacing w:line="242" w:lineRule="auto" w:before="1" w:after="0"/>
        <w:ind w:left="2336" w:right="1148" w:hanging="303"/>
        <w:jc w:val="both"/>
        <w:rPr>
          <w:sz w:val="20"/>
        </w:rPr>
      </w:pPr>
      <w:r>
        <w:rPr>
          <w:w w:val="105"/>
          <w:sz w:val="20"/>
        </w:rPr>
        <w:t>Los gastos de personal fueron superiores a los presupuestados, tanto para el sector público fundacional en su conjunto como para cada una de las fundaciones, a excepción de FUCAEX. Para estas diferencias existen informes favorables de la DGPP y Acuerdos de Gobierno, excepto para parte del importe de LENGUA, FIISC, FUNCATRA y ACCION SOCIAL (apartado</w:t>
      </w:r>
      <w:r>
        <w:rPr>
          <w:spacing w:val="13"/>
          <w:w w:val="105"/>
          <w:sz w:val="20"/>
        </w:rPr>
        <w:t> </w:t>
      </w:r>
      <w:r>
        <w:rPr>
          <w:w w:val="105"/>
          <w:sz w:val="20"/>
        </w:rPr>
        <w:t>5.3.4).</w:t>
      </w:r>
    </w:p>
    <w:p>
      <w:pPr>
        <w:pStyle w:val="BodyText"/>
        <w:spacing w:before="4"/>
        <w:rPr>
          <w:sz w:val="16"/>
        </w:rPr>
      </w:pPr>
    </w:p>
    <w:p>
      <w:pPr>
        <w:pStyle w:val="ListParagraph"/>
        <w:numPr>
          <w:ilvl w:val="0"/>
          <w:numId w:val="109"/>
        </w:numPr>
        <w:tabs>
          <w:tab w:pos="2337" w:val="left" w:leader="none"/>
        </w:tabs>
        <w:spacing w:line="240" w:lineRule="auto" w:before="0" w:after="0"/>
        <w:ind w:left="2336" w:right="1144" w:hanging="303"/>
        <w:jc w:val="both"/>
        <w:rPr>
          <w:sz w:val="20"/>
        </w:rPr>
      </w:pPr>
      <w:r>
        <w:rPr>
          <w:w w:val="105"/>
          <w:sz w:val="20"/>
        </w:rPr>
        <w:t>FUNCATRA y ACCIÓN SOCIAL recogen en el Anexo IX de los informes económico- financieros sus objetivos, para los que establecen indicadores, tanto cuantitativos como cualitativos sobre los resultados de su actividad. ACCIÓN SOCIAL además los enmarca con su Plan Estratégico. IDEO, LENGUA y MUSEO, sólo cuenta con indicadores cuantitativos (como gasto personal, reducción del déficit; nº entradas de usuarios/visitantes, etc.). FUCAEX, como en ejercicios anteriores, no ha recogido, ningún objetivo ni indicador (apartado</w:t>
      </w:r>
      <w:r>
        <w:rPr>
          <w:spacing w:val="17"/>
          <w:w w:val="105"/>
          <w:sz w:val="20"/>
        </w:rPr>
        <w:t> </w:t>
      </w:r>
      <w:r>
        <w:rPr>
          <w:w w:val="105"/>
          <w:sz w:val="20"/>
        </w:rPr>
        <w:t>5.3.5).</w:t>
      </w:r>
    </w:p>
    <w:p>
      <w:pPr>
        <w:pStyle w:val="BodyText"/>
        <w:spacing w:before="6"/>
        <w:rPr>
          <w:sz w:val="17"/>
        </w:rPr>
      </w:pPr>
    </w:p>
    <w:p>
      <w:pPr>
        <w:pStyle w:val="ListParagraph"/>
        <w:numPr>
          <w:ilvl w:val="0"/>
          <w:numId w:val="109"/>
        </w:numPr>
        <w:tabs>
          <w:tab w:pos="2337" w:val="left" w:leader="none"/>
        </w:tabs>
        <w:spacing w:line="240" w:lineRule="auto" w:before="0" w:after="0"/>
        <w:ind w:left="2336" w:right="1142" w:hanging="303"/>
        <w:jc w:val="both"/>
        <w:rPr>
          <w:sz w:val="20"/>
        </w:rPr>
      </w:pPr>
      <w:r>
        <w:rPr>
          <w:w w:val="105"/>
          <w:sz w:val="20"/>
        </w:rPr>
        <w:t>En cuanto a la exigencia legal de remisión a la Audiencia de Cuentas de los extractos de los expedientes y de las relaciones anuales de los contratos, convenios y encargos, todas las Fundaciones han cumplido con la obligación de remitir</w:t>
      </w:r>
      <w:r>
        <w:rPr>
          <w:spacing w:val="-8"/>
          <w:w w:val="105"/>
          <w:sz w:val="20"/>
        </w:rPr>
        <w:t> </w:t>
      </w:r>
      <w:r>
        <w:rPr>
          <w:w w:val="105"/>
          <w:sz w:val="20"/>
        </w:rPr>
        <w:t>la</w:t>
      </w:r>
      <w:r>
        <w:rPr>
          <w:spacing w:val="-8"/>
          <w:w w:val="105"/>
          <w:sz w:val="20"/>
        </w:rPr>
        <w:t> </w:t>
      </w:r>
      <w:r>
        <w:rPr>
          <w:w w:val="105"/>
          <w:sz w:val="20"/>
        </w:rPr>
        <w:t>documentación</w:t>
      </w:r>
      <w:r>
        <w:rPr>
          <w:spacing w:val="-6"/>
          <w:w w:val="105"/>
          <w:sz w:val="20"/>
        </w:rPr>
        <w:t> </w:t>
      </w:r>
      <w:r>
        <w:rPr>
          <w:w w:val="105"/>
          <w:sz w:val="20"/>
        </w:rPr>
        <w:t>en</w:t>
      </w:r>
      <w:r>
        <w:rPr>
          <w:spacing w:val="-6"/>
          <w:w w:val="105"/>
          <w:sz w:val="20"/>
        </w:rPr>
        <w:t> </w:t>
      </w:r>
      <w:r>
        <w:rPr>
          <w:w w:val="105"/>
          <w:sz w:val="20"/>
        </w:rPr>
        <w:t>plazo,</w:t>
      </w:r>
      <w:r>
        <w:rPr>
          <w:spacing w:val="-8"/>
          <w:w w:val="105"/>
          <w:sz w:val="20"/>
        </w:rPr>
        <w:t> </w:t>
      </w:r>
      <w:r>
        <w:rPr>
          <w:w w:val="105"/>
          <w:sz w:val="20"/>
        </w:rPr>
        <w:t>salvo</w:t>
      </w:r>
      <w:r>
        <w:rPr>
          <w:spacing w:val="-6"/>
          <w:w w:val="105"/>
          <w:sz w:val="20"/>
        </w:rPr>
        <w:t> </w:t>
      </w:r>
      <w:r>
        <w:rPr>
          <w:w w:val="105"/>
          <w:sz w:val="20"/>
        </w:rPr>
        <w:t>FIISC,</w:t>
      </w:r>
      <w:r>
        <w:rPr>
          <w:spacing w:val="-6"/>
          <w:w w:val="105"/>
          <w:sz w:val="20"/>
        </w:rPr>
        <w:t> </w:t>
      </w:r>
      <w:r>
        <w:rPr>
          <w:w w:val="105"/>
          <w:sz w:val="20"/>
        </w:rPr>
        <w:t>IDEO</w:t>
      </w:r>
      <w:r>
        <w:rPr>
          <w:spacing w:val="-7"/>
          <w:w w:val="105"/>
          <w:sz w:val="20"/>
        </w:rPr>
        <w:t> </w:t>
      </w:r>
      <w:r>
        <w:rPr>
          <w:w w:val="105"/>
          <w:sz w:val="20"/>
        </w:rPr>
        <w:t>y</w:t>
      </w:r>
      <w:r>
        <w:rPr>
          <w:spacing w:val="-7"/>
          <w:w w:val="105"/>
          <w:sz w:val="20"/>
        </w:rPr>
        <w:t> </w:t>
      </w:r>
      <w:r>
        <w:rPr>
          <w:w w:val="105"/>
          <w:sz w:val="20"/>
        </w:rPr>
        <w:t>FUCAEX.</w:t>
      </w:r>
    </w:p>
    <w:p>
      <w:pPr>
        <w:pStyle w:val="BodyText"/>
        <w:spacing w:before="1"/>
        <w:rPr>
          <w:sz w:val="17"/>
        </w:rPr>
      </w:pPr>
    </w:p>
    <w:p>
      <w:pPr>
        <w:pStyle w:val="Heading1"/>
        <w:ind w:left="2099"/>
        <w:jc w:val="left"/>
      </w:pPr>
      <w:r>
        <w:rPr/>
        <w:t>Fondos Carentes de Personalidad Jurídica.</w:t>
      </w:r>
    </w:p>
    <w:p>
      <w:pPr>
        <w:pStyle w:val="BodyText"/>
        <w:spacing w:before="8"/>
        <w:rPr>
          <w:b/>
          <w:sz w:val="16"/>
        </w:rPr>
      </w:pPr>
    </w:p>
    <w:p>
      <w:pPr>
        <w:pStyle w:val="ListParagraph"/>
        <w:numPr>
          <w:ilvl w:val="0"/>
          <w:numId w:val="109"/>
        </w:numPr>
        <w:tabs>
          <w:tab w:pos="2337" w:val="left" w:leader="none"/>
        </w:tabs>
        <w:spacing w:line="242" w:lineRule="auto" w:before="0" w:after="0"/>
        <w:ind w:left="2336" w:right="1145" w:hanging="303"/>
        <w:jc w:val="both"/>
        <w:rPr>
          <w:sz w:val="20"/>
        </w:rPr>
      </w:pPr>
      <w:r>
        <w:rPr>
          <w:w w:val="105"/>
          <w:sz w:val="20"/>
        </w:rPr>
        <w:t>La devolución de los fondos aportados por el Estado en el marco del Convenio para el fortalecimiento y apoyo de la red de Parques Tecnológicos de Canarias alcanza un importe de 23,2 millones de € devueltos en diciembre de 2021. En julio</w:t>
      </w:r>
      <w:r>
        <w:rPr>
          <w:spacing w:val="-5"/>
          <w:w w:val="105"/>
          <w:sz w:val="20"/>
        </w:rPr>
        <w:t> </w:t>
      </w:r>
      <w:r>
        <w:rPr>
          <w:w w:val="105"/>
          <w:sz w:val="20"/>
        </w:rPr>
        <w:t>de</w:t>
      </w:r>
      <w:r>
        <w:rPr>
          <w:spacing w:val="-6"/>
          <w:w w:val="105"/>
          <w:sz w:val="20"/>
        </w:rPr>
        <w:t> </w:t>
      </w:r>
      <w:r>
        <w:rPr>
          <w:w w:val="105"/>
          <w:sz w:val="20"/>
        </w:rPr>
        <w:t>2022</w:t>
      </w:r>
      <w:r>
        <w:rPr>
          <w:spacing w:val="-5"/>
          <w:w w:val="105"/>
          <w:sz w:val="20"/>
        </w:rPr>
        <w:t> </w:t>
      </w:r>
      <w:r>
        <w:rPr>
          <w:w w:val="105"/>
          <w:sz w:val="20"/>
        </w:rPr>
        <w:t>se</w:t>
      </w:r>
      <w:r>
        <w:rPr>
          <w:spacing w:val="-6"/>
          <w:w w:val="105"/>
          <w:sz w:val="20"/>
        </w:rPr>
        <w:t> </w:t>
      </w:r>
      <w:r>
        <w:rPr>
          <w:w w:val="105"/>
          <w:sz w:val="20"/>
        </w:rPr>
        <w:t>inició</w:t>
      </w:r>
      <w:r>
        <w:rPr>
          <w:spacing w:val="-5"/>
          <w:w w:val="105"/>
          <w:sz w:val="20"/>
        </w:rPr>
        <w:t> </w:t>
      </w:r>
      <w:r>
        <w:rPr>
          <w:w w:val="105"/>
          <w:sz w:val="20"/>
        </w:rPr>
        <w:t>por</w:t>
      </w:r>
      <w:r>
        <w:rPr>
          <w:spacing w:val="-6"/>
          <w:w w:val="105"/>
          <w:sz w:val="20"/>
        </w:rPr>
        <w:t> </w:t>
      </w:r>
      <w:r>
        <w:rPr>
          <w:w w:val="105"/>
          <w:sz w:val="20"/>
        </w:rPr>
        <w:t>el</w:t>
      </w:r>
      <w:r>
        <w:rPr>
          <w:spacing w:val="-5"/>
          <w:w w:val="105"/>
          <w:sz w:val="20"/>
        </w:rPr>
        <w:t> </w:t>
      </w:r>
      <w:r>
        <w:rPr>
          <w:w w:val="105"/>
          <w:sz w:val="20"/>
        </w:rPr>
        <w:t>Ministerio</w:t>
      </w:r>
      <w:r>
        <w:rPr>
          <w:spacing w:val="-6"/>
          <w:w w:val="105"/>
          <w:sz w:val="20"/>
        </w:rPr>
        <w:t> </w:t>
      </w:r>
      <w:r>
        <w:rPr>
          <w:w w:val="105"/>
          <w:sz w:val="20"/>
        </w:rPr>
        <w:t>de</w:t>
      </w:r>
      <w:r>
        <w:rPr>
          <w:spacing w:val="-6"/>
          <w:w w:val="105"/>
          <w:sz w:val="20"/>
        </w:rPr>
        <w:t> </w:t>
      </w:r>
      <w:r>
        <w:rPr>
          <w:w w:val="105"/>
          <w:sz w:val="20"/>
        </w:rPr>
        <w:t>Ciencia</w:t>
      </w:r>
      <w:r>
        <w:rPr>
          <w:spacing w:val="-5"/>
          <w:w w:val="105"/>
          <w:sz w:val="20"/>
        </w:rPr>
        <w:t> </w:t>
      </w:r>
      <w:r>
        <w:rPr>
          <w:w w:val="105"/>
          <w:sz w:val="20"/>
        </w:rPr>
        <w:t>e</w:t>
      </w:r>
      <w:r>
        <w:rPr>
          <w:spacing w:val="-6"/>
          <w:w w:val="105"/>
          <w:sz w:val="20"/>
        </w:rPr>
        <w:t> </w:t>
      </w:r>
      <w:r>
        <w:rPr>
          <w:w w:val="105"/>
          <w:sz w:val="20"/>
        </w:rPr>
        <w:t>Innovación</w:t>
      </w:r>
      <w:r>
        <w:rPr>
          <w:spacing w:val="-4"/>
          <w:w w:val="105"/>
          <w:sz w:val="20"/>
        </w:rPr>
        <w:t> </w:t>
      </w:r>
      <w:r>
        <w:rPr>
          <w:w w:val="105"/>
          <w:sz w:val="20"/>
        </w:rPr>
        <w:t>procedimiento</w:t>
      </w:r>
      <w:r>
        <w:rPr>
          <w:spacing w:val="-6"/>
          <w:w w:val="105"/>
          <w:sz w:val="20"/>
        </w:rPr>
        <w:t> </w:t>
      </w:r>
      <w:r>
        <w:rPr>
          <w:w w:val="105"/>
          <w:sz w:val="20"/>
        </w:rPr>
        <w:t>de reintegro</w:t>
      </w:r>
      <w:r>
        <w:rPr>
          <w:spacing w:val="-5"/>
          <w:w w:val="105"/>
          <w:sz w:val="20"/>
        </w:rPr>
        <w:t> </w:t>
      </w:r>
      <w:r>
        <w:rPr>
          <w:w w:val="105"/>
          <w:sz w:val="20"/>
        </w:rPr>
        <w:t>de</w:t>
      </w:r>
      <w:r>
        <w:rPr>
          <w:spacing w:val="-5"/>
          <w:w w:val="105"/>
          <w:sz w:val="20"/>
        </w:rPr>
        <w:t> </w:t>
      </w:r>
      <w:r>
        <w:rPr>
          <w:w w:val="105"/>
          <w:sz w:val="20"/>
        </w:rPr>
        <w:t>los</w:t>
      </w:r>
      <w:r>
        <w:rPr>
          <w:spacing w:val="-5"/>
          <w:w w:val="105"/>
          <w:sz w:val="20"/>
        </w:rPr>
        <w:t> </w:t>
      </w:r>
      <w:r>
        <w:rPr>
          <w:w w:val="105"/>
          <w:sz w:val="20"/>
        </w:rPr>
        <w:t>intereses</w:t>
      </w:r>
      <w:r>
        <w:rPr>
          <w:spacing w:val="-4"/>
          <w:w w:val="105"/>
          <w:sz w:val="20"/>
        </w:rPr>
        <w:t> </w:t>
      </w:r>
      <w:r>
        <w:rPr>
          <w:w w:val="105"/>
          <w:sz w:val="20"/>
        </w:rPr>
        <w:t>de</w:t>
      </w:r>
      <w:r>
        <w:rPr>
          <w:spacing w:val="-5"/>
          <w:w w:val="105"/>
          <w:sz w:val="20"/>
        </w:rPr>
        <w:t> </w:t>
      </w:r>
      <w:r>
        <w:rPr>
          <w:w w:val="105"/>
          <w:sz w:val="20"/>
        </w:rPr>
        <w:t>demora</w:t>
      </w:r>
      <w:r>
        <w:rPr>
          <w:spacing w:val="-4"/>
          <w:w w:val="105"/>
          <w:sz w:val="20"/>
        </w:rPr>
        <w:t> </w:t>
      </w:r>
      <w:r>
        <w:rPr>
          <w:w w:val="105"/>
          <w:sz w:val="20"/>
        </w:rPr>
        <w:t>por</w:t>
      </w:r>
      <w:r>
        <w:rPr>
          <w:spacing w:val="-6"/>
          <w:w w:val="105"/>
          <w:sz w:val="20"/>
        </w:rPr>
        <w:t> </w:t>
      </w:r>
      <w:r>
        <w:rPr>
          <w:w w:val="105"/>
          <w:sz w:val="20"/>
        </w:rPr>
        <w:t>un</w:t>
      </w:r>
      <w:r>
        <w:rPr>
          <w:spacing w:val="-5"/>
          <w:w w:val="105"/>
          <w:sz w:val="20"/>
        </w:rPr>
        <w:t> </w:t>
      </w:r>
      <w:r>
        <w:rPr>
          <w:w w:val="105"/>
          <w:sz w:val="20"/>
        </w:rPr>
        <w:t>importe</w:t>
      </w:r>
      <w:r>
        <w:rPr>
          <w:spacing w:val="-3"/>
          <w:w w:val="105"/>
          <w:sz w:val="20"/>
        </w:rPr>
        <w:t> </w:t>
      </w:r>
      <w:r>
        <w:rPr>
          <w:w w:val="105"/>
          <w:sz w:val="20"/>
        </w:rPr>
        <w:t>de</w:t>
      </w:r>
      <w:r>
        <w:rPr>
          <w:spacing w:val="-5"/>
          <w:w w:val="105"/>
          <w:sz w:val="20"/>
        </w:rPr>
        <w:t> </w:t>
      </w:r>
      <w:r>
        <w:rPr>
          <w:w w:val="105"/>
          <w:sz w:val="20"/>
        </w:rPr>
        <w:t>5,2</w:t>
      </w:r>
      <w:r>
        <w:rPr>
          <w:spacing w:val="-2"/>
          <w:w w:val="105"/>
          <w:sz w:val="20"/>
        </w:rPr>
        <w:t> </w:t>
      </w:r>
      <w:r>
        <w:rPr>
          <w:w w:val="105"/>
          <w:sz w:val="20"/>
        </w:rPr>
        <w:t>millones</w:t>
      </w:r>
      <w:r>
        <w:rPr>
          <w:spacing w:val="-4"/>
          <w:w w:val="105"/>
          <w:sz w:val="20"/>
        </w:rPr>
        <w:t> </w:t>
      </w:r>
      <w:r>
        <w:rPr>
          <w:w w:val="105"/>
          <w:sz w:val="20"/>
        </w:rPr>
        <w:t>de</w:t>
      </w:r>
      <w:r>
        <w:rPr>
          <w:spacing w:val="-5"/>
          <w:w w:val="105"/>
          <w:sz w:val="20"/>
        </w:rPr>
        <w:t> </w:t>
      </w:r>
      <w:r>
        <w:rPr>
          <w:w w:val="105"/>
          <w:sz w:val="20"/>
        </w:rPr>
        <w:t>€,</w:t>
      </w:r>
      <w:r>
        <w:rPr>
          <w:spacing w:val="-5"/>
          <w:w w:val="105"/>
          <w:sz w:val="20"/>
        </w:rPr>
        <w:t> </w:t>
      </w:r>
      <w:r>
        <w:rPr>
          <w:w w:val="105"/>
          <w:sz w:val="20"/>
        </w:rPr>
        <w:t>por</w:t>
      </w:r>
      <w:r>
        <w:rPr>
          <w:spacing w:val="-6"/>
          <w:w w:val="105"/>
          <w:sz w:val="20"/>
        </w:rPr>
        <w:t> </w:t>
      </w:r>
      <w:r>
        <w:rPr>
          <w:w w:val="105"/>
          <w:sz w:val="20"/>
        </w:rPr>
        <w:t>los</w:t>
      </w:r>
    </w:p>
    <w:p>
      <w:pPr>
        <w:pStyle w:val="BodyText"/>
        <w:spacing w:before="55"/>
        <w:ind w:right="1140"/>
        <w:jc w:val="right"/>
      </w:pPr>
      <w:r>
        <w:rPr/>
        <w:t>163</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41" name="image5.png"/>
                  <wp:cNvGraphicFramePr>
                    <a:graphicFrameLocks noChangeAspect="1"/>
                  </wp:cNvGraphicFramePr>
                  <a:graphic>
                    <a:graphicData uri="http://schemas.openxmlformats.org/drawingml/2006/picture">
                      <pic:pic>
                        <pic:nvPicPr>
                          <pic:cNvPr id="34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165/247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336" w:right="1151"/>
        <w:jc w:val="both"/>
      </w:pPr>
      <w:r>
        <w:rPr>
          <w:w w:val="105"/>
        </w:rPr>
        <w:t>remanentes no aplicados. Todo lo anterior demuestra el incumplimiento de los objetivos</w:t>
      </w:r>
      <w:r>
        <w:rPr>
          <w:spacing w:val="-8"/>
          <w:w w:val="105"/>
        </w:rPr>
        <w:t> </w:t>
      </w:r>
      <w:r>
        <w:rPr>
          <w:w w:val="105"/>
        </w:rPr>
        <w:t>establecidos</w:t>
      </w:r>
      <w:r>
        <w:rPr>
          <w:spacing w:val="-7"/>
          <w:w w:val="105"/>
        </w:rPr>
        <w:t> </w:t>
      </w:r>
      <w:r>
        <w:rPr>
          <w:w w:val="105"/>
        </w:rPr>
        <w:t>con</w:t>
      </w:r>
      <w:r>
        <w:rPr>
          <w:spacing w:val="-7"/>
          <w:w w:val="105"/>
        </w:rPr>
        <w:t> </w:t>
      </w:r>
      <w:r>
        <w:rPr>
          <w:w w:val="105"/>
        </w:rPr>
        <w:t>la</w:t>
      </w:r>
      <w:r>
        <w:rPr>
          <w:spacing w:val="-8"/>
          <w:w w:val="105"/>
        </w:rPr>
        <w:t> </w:t>
      </w:r>
      <w:r>
        <w:rPr>
          <w:w w:val="105"/>
        </w:rPr>
        <w:t>instauración</w:t>
      </w:r>
      <w:r>
        <w:rPr>
          <w:spacing w:val="-8"/>
          <w:w w:val="105"/>
        </w:rPr>
        <w:t> </w:t>
      </w:r>
      <w:r>
        <w:rPr>
          <w:w w:val="105"/>
        </w:rPr>
        <w:t>de</w:t>
      </w:r>
      <w:r>
        <w:rPr>
          <w:spacing w:val="-8"/>
          <w:w w:val="105"/>
        </w:rPr>
        <w:t> </w:t>
      </w:r>
      <w:r>
        <w:rPr>
          <w:w w:val="105"/>
        </w:rPr>
        <w:t>los</w:t>
      </w:r>
      <w:r>
        <w:rPr>
          <w:spacing w:val="-8"/>
          <w:w w:val="105"/>
        </w:rPr>
        <w:t> </w:t>
      </w:r>
      <w:r>
        <w:rPr>
          <w:w w:val="105"/>
        </w:rPr>
        <w:t>anteriores</w:t>
      </w:r>
      <w:r>
        <w:rPr>
          <w:spacing w:val="-8"/>
          <w:w w:val="105"/>
        </w:rPr>
        <w:t> </w:t>
      </w:r>
      <w:r>
        <w:rPr>
          <w:w w:val="105"/>
        </w:rPr>
        <w:t>fondos.</w:t>
      </w:r>
      <w:r>
        <w:rPr>
          <w:spacing w:val="-8"/>
          <w:w w:val="105"/>
        </w:rPr>
        <w:t> </w:t>
      </w:r>
      <w:r>
        <w:rPr>
          <w:w w:val="105"/>
        </w:rPr>
        <w:t>Ineficacia</w:t>
      </w:r>
      <w:r>
        <w:rPr>
          <w:spacing w:val="-8"/>
          <w:w w:val="105"/>
        </w:rPr>
        <w:t> </w:t>
      </w:r>
      <w:r>
        <w:rPr>
          <w:w w:val="105"/>
        </w:rPr>
        <w:t>que ya se visualiza asimismo en el nuevo Fondo CANARIAS FINANCIA 1 (capítulo</w:t>
      </w:r>
      <w:r>
        <w:rPr>
          <w:spacing w:val="21"/>
          <w:w w:val="105"/>
        </w:rPr>
        <w:t> </w:t>
      </w:r>
      <w:r>
        <w:rPr>
          <w:w w:val="105"/>
        </w:rPr>
        <w:t>6).</w:t>
      </w:r>
    </w:p>
    <w:p>
      <w:pPr>
        <w:pStyle w:val="BodyText"/>
        <w:spacing w:before="1"/>
        <w:rPr>
          <w:sz w:val="17"/>
        </w:rPr>
      </w:pPr>
    </w:p>
    <w:p>
      <w:pPr>
        <w:pStyle w:val="Heading1"/>
        <w:ind w:left="2099"/>
        <w:jc w:val="left"/>
      </w:pPr>
      <w:r>
        <w:rPr>
          <w:w w:val="105"/>
        </w:rPr>
        <w:t>Operaciones Financieras.</w:t>
      </w:r>
    </w:p>
    <w:p>
      <w:pPr>
        <w:pStyle w:val="BodyText"/>
        <w:spacing w:before="8"/>
        <w:rPr>
          <w:b/>
          <w:sz w:val="16"/>
        </w:rPr>
      </w:pPr>
    </w:p>
    <w:p>
      <w:pPr>
        <w:pStyle w:val="ListParagraph"/>
        <w:numPr>
          <w:ilvl w:val="0"/>
          <w:numId w:val="110"/>
        </w:numPr>
        <w:tabs>
          <w:tab w:pos="2337" w:val="left" w:leader="none"/>
        </w:tabs>
        <w:spacing w:line="240" w:lineRule="auto" w:before="0" w:after="0"/>
        <w:ind w:left="2336" w:right="1152" w:hanging="303"/>
        <w:jc w:val="both"/>
        <w:rPr>
          <w:sz w:val="20"/>
        </w:rPr>
      </w:pPr>
      <w:r>
        <w:rPr>
          <w:w w:val="105"/>
          <w:sz w:val="20"/>
        </w:rPr>
        <w:t>Conforme a los datos publicados en el segundo informe de la IGAE a 31 de octubre de 2023, los resultados obtenidos fueron los</w:t>
      </w:r>
      <w:r>
        <w:rPr>
          <w:spacing w:val="7"/>
          <w:w w:val="105"/>
          <w:sz w:val="20"/>
        </w:rPr>
        <w:t> </w:t>
      </w:r>
      <w:r>
        <w:rPr>
          <w:w w:val="105"/>
          <w:sz w:val="20"/>
        </w:rPr>
        <w:t>siguientes:</w:t>
      </w:r>
    </w:p>
    <w:p>
      <w:pPr>
        <w:pStyle w:val="BodyText"/>
        <w:spacing w:before="10"/>
        <w:rPr>
          <w:sz w:val="16"/>
        </w:rPr>
      </w:pPr>
    </w:p>
    <w:p>
      <w:pPr>
        <w:pStyle w:val="ListParagraph"/>
        <w:numPr>
          <w:ilvl w:val="1"/>
          <w:numId w:val="110"/>
        </w:numPr>
        <w:tabs>
          <w:tab w:pos="2694" w:val="left" w:leader="none"/>
        </w:tabs>
        <w:spacing w:line="240" w:lineRule="auto" w:before="0" w:after="0"/>
        <w:ind w:left="2693" w:right="0" w:hanging="237"/>
        <w:jc w:val="both"/>
        <w:rPr>
          <w:sz w:val="20"/>
        </w:rPr>
      </w:pPr>
      <w:r>
        <w:rPr>
          <w:sz w:val="20"/>
        </w:rPr>
        <w:t>El déficit registrado asciende 635 millones de €, el -1,3 % del PIB</w:t>
      </w:r>
      <w:r>
        <w:rPr>
          <w:spacing w:val="3"/>
          <w:sz w:val="20"/>
        </w:rPr>
        <w:t> </w:t>
      </w:r>
      <w:r>
        <w:rPr>
          <w:sz w:val="20"/>
        </w:rPr>
        <w:t>regional.</w:t>
      </w:r>
    </w:p>
    <w:p>
      <w:pPr>
        <w:pStyle w:val="ListParagraph"/>
        <w:numPr>
          <w:ilvl w:val="1"/>
          <w:numId w:val="110"/>
        </w:numPr>
        <w:tabs>
          <w:tab w:pos="2694" w:val="left" w:leader="none"/>
        </w:tabs>
        <w:spacing w:line="240" w:lineRule="auto" w:before="2" w:after="0"/>
        <w:ind w:left="2693" w:right="0" w:hanging="237"/>
        <w:jc w:val="both"/>
        <w:rPr>
          <w:sz w:val="20"/>
        </w:rPr>
      </w:pPr>
      <w:r>
        <w:rPr>
          <w:sz w:val="20"/>
        </w:rPr>
        <w:t>El gasto computable del ejercicio ha registrado una tasa de variación del 8</w:t>
      </w:r>
      <w:r>
        <w:rPr>
          <w:spacing w:val="9"/>
          <w:sz w:val="20"/>
        </w:rPr>
        <w:t> </w:t>
      </w:r>
      <w:r>
        <w:rPr>
          <w:sz w:val="20"/>
        </w:rPr>
        <w:t>%.</w:t>
      </w:r>
    </w:p>
    <w:p>
      <w:pPr>
        <w:pStyle w:val="ListParagraph"/>
        <w:numPr>
          <w:ilvl w:val="1"/>
          <w:numId w:val="110"/>
        </w:numPr>
        <w:tabs>
          <w:tab w:pos="2694" w:val="left" w:leader="none"/>
        </w:tabs>
        <w:spacing w:line="240" w:lineRule="auto" w:before="2" w:after="0"/>
        <w:ind w:left="2693" w:right="1143" w:hanging="236"/>
        <w:jc w:val="both"/>
        <w:rPr>
          <w:sz w:val="20"/>
        </w:rPr>
      </w:pPr>
      <w:r>
        <w:rPr>
          <w:sz w:val="20"/>
        </w:rPr>
        <w:t>La deuda registrada al cierre del ejercicio 2022 se situó en 6.516 millones de €, posteriormente modificada pasando a la cifra de 6.474 millones de €, el 13,6 % del PIB regional. (epígrafes 7.1 y</w:t>
      </w:r>
      <w:r>
        <w:rPr>
          <w:spacing w:val="-1"/>
          <w:sz w:val="20"/>
        </w:rPr>
        <w:t> </w:t>
      </w:r>
      <w:r>
        <w:rPr>
          <w:sz w:val="20"/>
        </w:rPr>
        <w:t>7.2).</w:t>
      </w:r>
    </w:p>
    <w:p>
      <w:pPr>
        <w:pStyle w:val="BodyText"/>
        <w:spacing w:before="11"/>
        <w:rPr>
          <w:sz w:val="16"/>
        </w:rPr>
      </w:pPr>
    </w:p>
    <w:p>
      <w:pPr>
        <w:pStyle w:val="Heading1"/>
        <w:numPr>
          <w:ilvl w:val="1"/>
          <w:numId w:val="101"/>
        </w:numPr>
        <w:tabs>
          <w:tab w:pos="2582" w:val="left" w:leader="none"/>
          <w:tab w:pos="2583" w:val="left" w:leader="none"/>
        </w:tabs>
        <w:spacing w:line="240" w:lineRule="auto" w:before="0" w:after="0"/>
        <w:ind w:left="2582" w:right="0" w:hanging="484"/>
        <w:jc w:val="left"/>
      </w:pPr>
      <w:r>
        <w:rPr>
          <w:color w:val="53A1B9"/>
        </w:rPr>
        <w:t>Recomendaciones.</w:t>
      </w:r>
    </w:p>
    <w:p>
      <w:pPr>
        <w:pStyle w:val="BodyText"/>
        <w:spacing w:before="8"/>
        <w:rPr>
          <w:b/>
          <w:sz w:val="16"/>
        </w:rPr>
      </w:pPr>
    </w:p>
    <w:p>
      <w:pPr>
        <w:pStyle w:val="ListParagraph"/>
        <w:numPr>
          <w:ilvl w:val="0"/>
          <w:numId w:val="111"/>
        </w:numPr>
        <w:tabs>
          <w:tab w:pos="2337" w:val="left" w:leader="none"/>
        </w:tabs>
        <w:spacing w:line="240" w:lineRule="auto" w:before="0" w:after="0"/>
        <w:ind w:left="2336" w:right="1145" w:hanging="301"/>
        <w:jc w:val="both"/>
        <w:rPr>
          <w:sz w:val="20"/>
        </w:rPr>
      </w:pPr>
      <w:r>
        <w:rPr>
          <w:sz w:val="20"/>
        </w:rPr>
        <w:t>Se recomienda incorporar en los informes de control financiero permanente, los datos referentes al importe total del crédito consignado y el gasto realizado correspondiente a las operaciones revisadas, al objeto de reflejar la representatividad de la muestra</w:t>
      </w:r>
      <w:r>
        <w:rPr>
          <w:spacing w:val="-4"/>
          <w:sz w:val="20"/>
        </w:rPr>
        <w:t> </w:t>
      </w:r>
      <w:r>
        <w:rPr>
          <w:sz w:val="20"/>
        </w:rPr>
        <w:t>revisada.</w:t>
      </w:r>
    </w:p>
    <w:p>
      <w:pPr>
        <w:pStyle w:val="BodyText"/>
        <w:spacing w:before="1"/>
        <w:rPr>
          <w:sz w:val="17"/>
        </w:rPr>
      </w:pPr>
    </w:p>
    <w:p>
      <w:pPr>
        <w:pStyle w:val="ListParagraph"/>
        <w:numPr>
          <w:ilvl w:val="0"/>
          <w:numId w:val="111"/>
        </w:numPr>
        <w:tabs>
          <w:tab w:pos="2337" w:val="left" w:leader="none"/>
        </w:tabs>
        <w:spacing w:line="242" w:lineRule="auto" w:before="0" w:after="0"/>
        <w:ind w:left="2336" w:right="1138" w:hanging="301"/>
        <w:jc w:val="both"/>
        <w:rPr>
          <w:sz w:val="20"/>
        </w:rPr>
      </w:pPr>
      <w:r>
        <w:rPr>
          <w:sz w:val="20"/>
        </w:rPr>
        <w:t>Al objeto de mejorar el sistema de control de las subvenciones a justificar, se recomienda</w:t>
      </w:r>
      <w:r>
        <w:rPr>
          <w:spacing w:val="-5"/>
          <w:sz w:val="20"/>
        </w:rPr>
        <w:t> </w:t>
      </w:r>
      <w:r>
        <w:rPr>
          <w:sz w:val="20"/>
        </w:rPr>
        <w:t>al</w:t>
      </w:r>
      <w:r>
        <w:rPr>
          <w:spacing w:val="-5"/>
          <w:sz w:val="20"/>
        </w:rPr>
        <w:t> </w:t>
      </w:r>
      <w:r>
        <w:rPr>
          <w:sz w:val="20"/>
        </w:rPr>
        <w:t>Gobierno,</w:t>
      </w:r>
      <w:r>
        <w:rPr>
          <w:spacing w:val="-7"/>
          <w:sz w:val="20"/>
        </w:rPr>
        <w:t> </w:t>
      </w:r>
      <w:r>
        <w:rPr>
          <w:sz w:val="20"/>
        </w:rPr>
        <w:t>con</w:t>
      </w:r>
      <w:r>
        <w:rPr>
          <w:spacing w:val="-4"/>
          <w:sz w:val="20"/>
        </w:rPr>
        <w:t> </w:t>
      </w:r>
      <w:r>
        <w:rPr>
          <w:sz w:val="20"/>
        </w:rPr>
        <w:t>carácter</w:t>
      </w:r>
      <w:r>
        <w:rPr>
          <w:spacing w:val="-4"/>
          <w:sz w:val="20"/>
        </w:rPr>
        <w:t> </w:t>
      </w:r>
      <w:r>
        <w:rPr>
          <w:sz w:val="20"/>
        </w:rPr>
        <w:t>imperativo,</w:t>
      </w:r>
      <w:r>
        <w:rPr>
          <w:spacing w:val="-7"/>
          <w:sz w:val="20"/>
        </w:rPr>
        <w:t> </w:t>
      </w:r>
      <w:r>
        <w:rPr>
          <w:sz w:val="20"/>
        </w:rPr>
        <w:t>la</w:t>
      </w:r>
      <w:r>
        <w:rPr>
          <w:spacing w:val="-5"/>
          <w:sz w:val="20"/>
        </w:rPr>
        <w:t> </w:t>
      </w:r>
      <w:r>
        <w:rPr>
          <w:sz w:val="20"/>
        </w:rPr>
        <w:t>obligación</w:t>
      </w:r>
      <w:r>
        <w:rPr>
          <w:spacing w:val="-6"/>
          <w:sz w:val="20"/>
        </w:rPr>
        <w:t> </w:t>
      </w:r>
      <w:r>
        <w:rPr>
          <w:sz w:val="20"/>
        </w:rPr>
        <w:t>de</w:t>
      </w:r>
      <w:r>
        <w:rPr>
          <w:spacing w:val="-5"/>
          <w:sz w:val="20"/>
        </w:rPr>
        <w:t> </w:t>
      </w:r>
      <w:r>
        <w:rPr>
          <w:sz w:val="20"/>
        </w:rPr>
        <w:t>aprobación</w:t>
      </w:r>
      <w:r>
        <w:rPr>
          <w:spacing w:val="-3"/>
          <w:sz w:val="20"/>
        </w:rPr>
        <w:t> </w:t>
      </w:r>
      <w:r>
        <w:rPr>
          <w:sz w:val="20"/>
        </w:rPr>
        <w:t>por</w:t>
      </w:r>
      <w:r>
        <w:rPr>
          <w:spacing w:val="-5"/>
          <w:sz w:val="20"/>
        </w:rPr>
        <w:t> </w:t>
      </w:r>
      <w:r>
        <w:rPr>
          <w:sz w:val="20"/>
        </w:rPr>
        <w:t>los órganos gestores, en un plazo no superior a tres meses, de planes de comprobación en los que se aborde la verificación de las subvenciones pendientes de</w:t>
      </w:r>
      <w:r>
        <w:rPr>
          <w:spacing w:val="13"/>
          <w:sz w:val="20"/>
        </w:rPr>
        <w:t> </w:t>
      </w:r>
      <w:r>
        <w:rPr>
          <w:sz w:val="20"/>
        </w:rPr>
        <w:t>justificar.</w:t>
      </w:r>
    </w:p>
    <w:p>
      <w:pPr>
        <w:pStyle w:val="BodyText"/>
        <w:spacing w:before="5"/>
        <w:rPr>
          <w:sz w:val="16"/>
        </w:rPr>
      </w:pPr>
    </w:p>
    <w:p>
      <w:pPr>
        <w:pStyle w:val="ListParagraph"/>
        <w:numPr>
          <w:ilvl w:val="0"/>
          <w:numId w:val="111"/>
        </w:numPr>
        <w:tabs>
          <w:tab w:pos="2337" w:val="left" w:leader="none"/>
        </w:tabs>
        <w:spacing w:line="240" w:lineRule="auto" w:before="0" w:after="0"/>
        <w:ind w:left="2336" w:right="1141" w:hanging="301"/>
        <w:jc w:val="both"/>
        <w:rPr>
          <w:sz w:val="20"/>
        </w:rPr>
      </w:pPr>
      <w:r>
        <w:rPr>
          <w:sz w:val="20"/>
        </w:rPr>
        <w:t>Con el fin de otorgar una mayor transparencia y claridad para la toma de decisiones, la</w:t>
      </w:r>
      <w:r>
        <w:rPr>
          <w:spacing w:val="-8"/>
          <w:sz w:val="20"/>
        </w:rPr>
        <w:t> </w:t>
      </w:r>
      <w:r>
        <w:rPr>
          <w:sz w:val="20"/>
        </w:rPr>
        <w:t>información</w:t>
      </w:r>
      <w:r>
        <w:rPr>
          <w:spacing w:val="-7"/>
          <w:sz w:val="20"/>
        </w:rPr>
        <w:t> </w:t>
      </w:r>
      <w:r>
        <w:rPr>
          <w:sz w:val="20"/>
        </w:rPr>
        <w:t>que</w:t>
      </w:r>
      <w:r>
        <w:rPr>
          <w:spacing w:val="-10"/>
          <w:sz w:val="20"/>
        </w:rPr>
        <w:t> </w:t>
      </w:r>
      <w:r>
        <w:rPr>
          <w:sz w:val="20"/>
        </w:rPr>
        <w:t>se</w:t>
      </w:r>
      <w:r>
        <w:rPr>
          <w:spacing w:val="-7"/>
          <w:sz w:val="20"/>
        </w:rPr>
        <w:t> </w:t>
      </w:r>
      <w:r>
        <w:rPr>
          <w:sz w:val="20"/>
        </w:rPr>
        <w:t>suministra</w:t>
      </w:r>
      <w:r>
        <w:rPr>
          <w:spacing w:val="-9"/>
          <w:sz w:val="20"/>
        </w:rPr>
        <w:t> </w:t>
      </w:r>
      <w:r>
        <w:rPr>
          <w:sz w:val="20"/>
        </w:rPr>
        <w:t>al</w:t>
      </w:r>
      <w:r>
        <w:rPr>
          <w:spacing w:val="-8"/>
          <w:sz w:val="20"/>
        </w:rPr>
        <w:t> </w:t>
      </w:r>
      <w:r>
        <w:rPr>
          <w:sz w:val="20"/>
        </w:rPr>
        <w:t>Gobierno</w:t>
      </w:r>
      <w:r>
        <w:rPr>
          <w:spacing w:val="-7"/>
          <w:sz w:val="20"/>
        </w:rPr>
        <w:t> </w:t>
      </w:r>
      <w:r>
        <w:rPr>
          <w:sz w:val="20"/>
        </w:rPr>
        <w:t>sobre</w:t>
      </w:r>
      <w:r>
        <w:rPr>
          <w:spacing w:val="-7"/>
          <w:sz w:val="20"/>
        </w:rPr>
        <w:t> </w:t>
      </w:r>
      <w:r>
        <w:rPr>
          <w:sz w:val="20"/>
        </w:rPr>
        <w:t>los</w:t>
      </w:r>
      <w:r>
        <w:rPr>
          <w:spacing w:val="-8"/>
          <w:sz w:val="20"/>
        </w:rPr>
        <w:t> </w:t>
      </w:r>
      <w:r>
        <w:rPr>
          <w:sz w:val="20"/>
        </w:rPr>
        <w:t>resultados</w:t>
      </w:r>
      <w:r>
        <w:rPr>
          <w:spacing w:val="-9"/>
          <w:sz w:val="20"/>
        </w:rPr>
        <w:t> </w:t>
      </w:r>
      <w:r>
        <w:rPr>
          <w:sz w:val="20"/>
        </w:rPr>
        <w:t>de</w:t>
      </w:r>
      <w:r>
        <w:rPr>
          <w:spacing w:val="-9"/>
          <w:sz w:val="20"/>
        </w:rPr>
        <w:t> </w:t>
      </w:r>
      <w:r>
        <w:rPr>
          <w:sz w:val="20"/>
        </w:rPr>
        <w:t>la</w:t>
      </w:r>
      <w:r>
        <w:rPr>
          <w:spacing w:val="-8"/>
          <w:sz w:val="20"/>
        </w:rPr>
        <w:t> </w:t>
      </w:r>
      <w:r>
        <w:rPr>
          <w:sz w:val="20"/>
        </w:rPr>
        <w:t>comprobación material de la ejecución de obras públicas se recomienda incluir la referencia nominativa de la actuación que causa baja y los motivos de la</w:t>
      </w:r>
      <w:r>
        <w:rPr>
          <w:spacing w:val="5"/>
          <w:sz w:val="20"/>
        </w:rPr>
        <w:t> </w:t>
      </w:r>
      <w:r>
        <w:rPr>
          <w:sz w:val="20"/>
        </w:rPr>
        <w:t>misma.</w:t>
      </w:r>
    </w:p>
    <w:p>
      <w:pPr>
        <w:pStyle w:val="BodyText"/>
        <w:spacing w:before="1"/>
        <w:rPr>
          <w:sz w:val="17"/>
        </w:rPr>
      </w:pPr>
    </w:p>
    <w:p>
      <w:pPr>
        <w:pStyle w:val="ListParagraph"/>
        <w:numPr>
          <w:ilvl w:val="0"/>
          <w:numId w:val="111"/>
        </w:numPr>
        <w:tabs>
          <w:tab w:pos="2337" w:val="left" w:leader="none"/>
        </w:tabs>
        <w:spacing w:line="240" w:lineRule="auto" w:before="0" w:after="0"/>
        <w:ind w:left="2336" w:right="1140" w:hanging="301"/>
        <w:jc w:val="both"/>
        <w:rPr>
          <w:sz w:val="20"/>
        </w:rPr>
      </w:pPr>
      <w:r>
        <w:rPr>
          <w:sz w:val="20"/>
        </w:rPr>
        <w:t>Se</w:t>
      </w:r>
      <w:r>
        <w:rPr>
          <w:spacing w:val="-8"/>
          <w:sz w:val="20"/>
        </w:rPr>
        <w:t> </w:t>
      </w:r>
      <w:r>
        <w:rPr>
          <w:sz w:val="20"/>
        </w:rPr>
        <w:t>recomienda</w:t>
      </w:r>
      <w:r>
        <w:rPr>
          <w:spacing w:val="-7"/>
          <w:sz w:val="20"/>
        </w:rPr>
        <w:t> </w:t>
      </w:r>
      <w:r>
        <w:rPr>
          <w:sz w:val="20"/>
        </w:rPr>
        <w:t>a</w:t>
      </w:r>
      <w:r>
        <w:rPr>
          <w:spacing w:val="-7"/>
          <w:sz w:val="20"/>
        </w:rPr>
        <w:t> </w:t>
      </w:r>
      <w:r>
        <w:rPr>
          <w:sz w:val="20"/>
        </w:rPr>
        <w:t>la</w:t>
      </w:r>
      <w:r>
        <w:rPr>
          <w:spacing w:val="-9"/>
          <w:sz w:val="20"/>
        </w:rPr>
        <w:t> </w:t>
      </w:r>
      <w:r>
        <w:rPr>
          <w:sz w:val="20"/>
        </w:rPr>
        <w:t>IGCAC</w:t>
      </w:r>
      <w:r>
        <w:rPr>
          <w:spacing w:val="-8"/>
          <w:sz w:val="20"/>
        </w:rPr>
        <w:t> </w:t>
      </w:r>
      <w:r>
        <w:rPr>
          <w:sz w:val="20"/>
        </w:rPr>
        <w:t>se</w:t>
      </w:r>
      <w:r>
        <w:rPr>
          <w:spacing w:val="-8"/>
          <w:sz w:val="20"/>
        </w:rPr>
        <w:t> </w:t>
      </w:r>
      <w:r>
        <w:rPr>
          <w:sz w:val="20"/>
        </w:rPr>
        <w:t>adopten</w:t>
      </w:r>
      <w:r>
        <w:rPr>
          <w:spacing w:val="-9"/>
          <w:sz w:val="20"/>
        </w:rPr>
        <w:t> </w:t>
      </w:r>
      <w:r>
        <w:rPr>
          <w:sz w:val="20"/>
        </w:rPr>
        <w:t>los</w:t>
      </w:r>
      <w:r>
        <w:rPr>
          <w:spacing w:val="-9"/>
          <w:sz w:val="20"/>
        </w:rPr>
        <w:t> </w:t>
      </w:r>
      <w:r>
        <w:rPr>
          <w:sz w:val="20"/>
        </w:rPr>
        <w:t>desarrollos</w:t>
      </w:r>
      <w:r>
        <w:rPr>
          <w:spacing w:val="-7"/>
          <w:sz w:val="20"/>
        </w:rPr>
        <w:t> </w:t>
      </w:r>
      <w:r>
        <w:rPr>
          <w:sz w:val="20"/>
        </w:rPr>
        <w:t>correctivos</w:t>
      </w:r>
      <w:r>
        <w:rPr>
          <w:spacing w:val="-10"/>
          <w:sz w:val="20"/>
        </w:rPr>
        <w:t> </w:t>
      </w:r>
      <w:r>
        <w:rPr>
          <w:sz w:val="20"/>
        </w:rPr>
        <w:t>que</w:t>
      </w:r>
      <w:r>
        <w:rPr>
          <w:spacing w:val="-7"/>
          <w:sz w:val="20"/>
        </w:rPr>
        <w:t> </w:t>
      </w:r>
      <w:r>
        <w:rPr>
          <w:sz w:val="20"/>
        </w:rPr>
        <w:t>se</w:t>
      </w:r>
      <w:r>
        <w:rPr>
          <w:spacing w:val="-9"/>
          <w:sz w:val="20"/>
        </w:rPr>
        <w:t> </w:t>
      </w:r>
      <w:r>
        <w:rPr>
          <w:sz w:val="20"/>
        </w:rPr>
        <w:t>precisen,</w:t>
      </w:r>
      <w:r>
        <w:rPr>
          <w:spacing w:val="-7"/>
          <w:sz w:val="20"/>
        </w:rPr>
        <w:t> </w:t>
      </w:r>
      <w:r>
        <w:rPr>
          <w:sz w:val="20"/>
        </w:rPr>
        <w:t>para que el SEFLOGIC impida la existencia de créditos definitivos con importe</w:t>
      </w:r>
      <w:r>
        <w:rPr>
          <w:spacing w:val="11"/>
          <w:sz w:val="20"/>
        </w:rPr>
        <w:t> </w:t>
      </w:r>
      <w:r>
        <w:rPr>
          <w:sz w:val="20"/>
        </w:rPr>
        <w:t>negativo.</w:t>
      </w:r>
    </w:p>
    <w:p>
      <w:pPr>
        <w:pStyle w:val="BodyText"/>
        <w:spacing w:before="10"/>
        <w:rPr>
          <w:sz w:val="16"/>
        </w:rPr>
      </w:pPr>
    </w:p>
    <w:p>
      <w:pPr>
        <w:pStyle w:val="ListParagraph"/>
        <w:numPr>
          <w:ilvl w:val="0"/>
          <w:numId w:val="111"/>
        </w:numPr>
        <w:tabs>
          <w:tab w:pos="2337" w:val="left" w:leader="none"/>
        </w:tabs>
        <w:spacing w:line="240" w:lineRule="auto" w:before="0" w:after="0"/>
        <w:ind w:left="2336" w:right="1139" w:hanging="301"/>
        <w:jc w:val="both"/>
        <w:rPr>
          <w:sz w:val="20"/>
        </w:rPr>
      </w:pPr>
      <w:r>
        <w:rPr>
          <w:sz w:val="20"/>
        </w:rPr>
        <w:t>Se</w:t>
      </w:r>
      <w:r>
        <w:rPr>
          <w:spacing w:val="-4"/>
          <w:sz w:val="20"/>
        </w:rPr>
        <w:t> </w:t>
      </w:r>
      <w:r>
        <w:rPr>
          <w:sz w:val="20"/>
        </w:rPr>
        <w:t>recomienda</w:t>
      </w:r>
      <w:r>
        <w:rPr>
          <w:spacing w:val="-3"/>
          <w:sz w:val="20"/>
        </w:rPr>
        <w:t> </w:t>
      </w:r>
      <w:r>
        <w:rPr>
          <w:sz w:val="20"/>
        </w:rPr>
        <w:t>a</w:t>
      </w:r>
      <w:r>
        <w:rPr>
          <w:spacing w:val="-3"/>
          <w:sz w:val="20"/>
        </w:rPr>
        <w:t> </w:t>
      </w:r>
      <w:r>
        <w:rPr>
          <w:sz w:val="20"/>
        </w:rPr>
        <w:t>la</w:t>
      </w:r>
      <w:r>
        <w:rPr>
          <w:spacing w:val="-4"/>
          <w:sz w:val="20"/>
        </w:rPr>
        <w:t> </w:t>
      </w:r>
      <w:r>
        <w:rPr>
          <w:sz w:val="20"/>
        </w:rPr>
        <w:t>IGCAC</w:t>
      </w:r>
      <w:r>
        <w:rPr>
          <w:spacing w:val="-4"/>
          <w:sz w:val="20"/>
        </w:rPr>
        <w:t> </w:t>
      </w:r>
      <w:r>
        <w:rPr>
          <w:sz w:val="20"/>
        </w:rPr>
        <w:t>y</w:t>
      </w:r>
      <w:r>
        <w:rPr>
          <w:spacing w:val="-4"/>
          <w:sz w:val="20"/>
        </w:rPr>
        <w:t> </w:t>
      </w:r>
      <w:r>
        <w:rPr>
          <w:sz w:val="20"/>
        </w:rPr>
        <w:t>a</w:t>
      </w:r>
      <w:r>
        <w:rPr>
          <w:spacing w:val="-3"/>
          <w:sz w:val="20"/>
        </w:rPr>
        <w:t> </w:t>
      </w:r>
      <w:r>
        <w:rPr>
          <w:sz w:val="20"/>
        </w:rPr>
        <w:t>la</w:t>
      </w:r>
      <w:r>
        <w:rPr>
          <w:spacing w:val="-4"/>
          <w:sz w:val="20"/>
        </w:rPr>
        <w:t> </w:t>
      </w:r>
      <w:r>
        <w:rPr>
          <w:sz w:val="20"/>
        </w:rPr>
        <w:t>ATC</w:t>
      </w:r>
      <w:r>
        <w:rPr>
          <w:spacing w:val="-5"/>
          <w:sz w:val="20"/>
        </w:rPr>
        <w:t> </w:t>
      </w:r>
      <w:r>
        <w:rPr>
          <w:sz w:val="20"/>
        </w:rPr>
        <w:t>adopten</w:t>
      </w:r>
      <w:r>
        <w:rPr>
          <w:spacing w:val="-3"/>
          <w:sz w:val="20"/>
        </w:rPr>
        <w:t> </w:t>
      </w:r>
      <w:r>
        <w:rPr>
          <w:sz w:val="20"/>
        </w:rPr>
        <w:t>las</w:t>
      </w:r>
      <w:r>
        <w:rPr>
          <w:spacing w:val="-6"/>
          <w:sz w:val="20"/>
        </w:rPr>
        <w:t> </w:t>
      </w:r>
      <w:r>
        <w:rPr>
          <w:sz w:val="20"/>
        </w:rPr>
        <w:t>medidas</w:t>
      </w:r>
      <w:r>
        <w:rPr>
          <w:spacing w:val="-5"/>
          <w:sz w:val="20"/>
        </w:rPr>
        <w:t> </w:t>
      </w:r>
      <w:r>
        <w:rPr>
          <w:sz w:val="20"/>
        </w:rPr>
        <w:t>correctoras</w:t>
      </w:r>
      <w:r>
        <w:rPr>
          <w:spacing w:val="-3"/>
          <w:sz w:val="20"/>
        </w:rPr>
        <w:t> </w:t>
      </w:r>
      <w:r>
        <w:rPr>
          <w:sz w:val="20"/>
        </w:rPr>
        <w:t>necesarias</w:t>
      </w:r>
      <w:r>
        <w:rPr>
          <w:spacing w:val="-4"/>
          <w:sz w:val="20"/>
        </w:rPr>
        <w:t> </w:t>
      </w:r>
      <w:r>
        <w:rPr>
          <w:sz w:val="20"/>
        </w:rPr>
        <w:t>para eliminar</w:t>
      </w:r>
      <w:r>
        <w:rPr>
          <w:spacing w:val="-10"/>
          <w:sz w:val="20"/>
        </w:rPr>
        <w:t> </w:t>
      </w:r>
      <w:r>
        <w:rPr>
          <w:sz w:val="20"/>
        </w:rPr>
        <w:t>las</w:t>
      </w:r>
      <w:r>
        <w:rPr>
          <w:spacing w:val="-8"/>
          <w:sz w:val="20"/>
        </w:rPr>
        <w:t> </w:t>
      </w:r>
      <w:r>
        <w:rPr>
          <w:sz w:val="20"/>
        </w:rPr>
        <w:t>inconsistencias</w:t>
      </w:r>
      <w:r>
        <w:rPr>
          <w:spacing w:val="-8"/>
          <w:sz w:val="20"/>
        </w:rPr>
        <w:t> </w:t>
      </w:r>
      <w:r>
        <w:rPr>
          <w:sz w:val="20"/>
        </w:rPr>
        <w:t>de</w:t>
      </w:r>
      <w:r>
        <w:rPr>
          <w:spacing w:val="-9"/>
          <w:sz w:val="20"/>
        </w:rPr>
        <w:t> </w:t>
      </w:r>
      <w:r>
        <w:rPr>
          <w:sz w:val="20"/>
        </w:rPr>
        <w:t>la</w:t>
      </w:r>
      <w:r>
        <w:rPr>
          <w:spacing w:val="-8"/>
          <w:sz w:val="20"/>
        </w:rPr>
        <w:t> </w:t>
      </w:r>
      <w:r>
        <w:rPr>
          <w:sz w:val="20"/>
        </w:rPr>
        <w:t>información</w:t>
      </w:r>
      <w:r>
        <w:rPr>
          <w:spacing w:val="-8"/>
          <w:sz w:val="20"/>
        </w:rPr>
        <w:t> </w:t>
      </w:r>
      <w:r>
        <w:rPr>
          <w:sz w:val="20"/>
        </w:rPr>
        <w:t>sobre</w:t>
      </w:r>
      <w:r>
        <w:rPr>
          <w:spacing w:val="-7"/>
          <w:sz w:val="20"/>
        </w:rPr>
        <w:t> </w:t>
      </w:r>
      <w:r>
        <w:rPr>
          <w:sz w:val="20"/>
        </w:rPr>
        <w:t>los</w:t>
      </w:r>
      <w:r>
        <w:rPr>
          <w:spacing w:val="-10"/>
          <w:sz w:val="20"/>
        </w:rPr>
        <w:t> </w:t>
      </w:r>
      <w:r>
        <w:rPr>
          <w:sz w:val="20"/>
        </w:rPr>
        <w:t>derechos</w:t>
      </w:r>
      <w:r>
        <w:rPr>
          <w:spacing w:val="-10"/>
          <w:sz w:val="20"/>
        </w:rPr>
        <w:t> </w:t>
      </w:r>
      <w:r>
        <w:rPr>
          <w:sz w:val="20"/>
        </w:rPr>
        <w:t>pendientes</w:t>
      </w:r>
      <w:r>
        <w:rPr>
          <w:spacing w:val="-9"/>
          <w:sz w:val="20"/>
        </w:rPr>
        <w:t> </w:t>
      </w:r>
      <w:r>
        <w:rPr>
          <w:sz w:val="20"/>
        </w:rPr>
        <w:t>de</w:t>
      </w:r>
      <w:r>
        <w:rPr>
          <w:spacing w:val="-9"/>
          <w:sz w:val="20"/>
        </w:rPr>
        <w:t> </w:t>
      </w:r>
      <w:r>
        <w:rPr>
          <w:sz w:val="20"/>
        </w:rPr>
        <w:t>cobro registrados en el sistema SEFLogiC, con las relaciones de deudores que se obtienen de los sistemas de gestión tributaria (Contraído Previo de PICCAC y</w:t>
      </w:r>
      <w:r>
        <w:rPr>
          <w:spacing w:val="4"/>
          <w:sz w:val="20"/>
        </w:rPr>
        <w:t> </w:t>
      </w:r>
      <w:r>
        <w:rPr>
          <w:sz w:val="20"/>
        </w:rPr>
        <w:t>M@gin).</w:t>
      </w:r>
    </w:p>
    <w:p>
      <w:pPr>
        <w:pStyle w:val="BodyText"/>
        <w:spacing w:before="1"/>
        <w:rPr>
          <w:sz w:val="17"/>
        </w:rPr>
      </w:pPr>
    </w:p>
    <w:p>
      <w:pPr>
        <w:pStyle w:val="ListParagraph"/>
        <w:numPr>
          <w:ilvl w:val="0"/>
          <w:numId w:val="111"/>
        </w:numPr>
        <w:tabs>
          <w:tab w:pos="2337" w:val="left" w:leader="none"/>
        </w:tabs>
        <w:spacing w:line="244" w:lineRule="auto" w:before="0" w:after="0"/>
        <w:ind w:left="2336" w:right="1144" w:hanging="301"/>
        <w:jc w:val="both"/>
        <w:rPr>
          <w:sz w:val="20"/>
        </w:rPr>
      </w:pPr>
      <w:r>
        <w:rPr>
          <w:sz w:val="20"/>
        </w:rPr>
        <w:t>Al objeto de asegurar que los derechos pendientes de cobro sean reales y exigibles, se</w:t>
      </w:r>
      <w:r>
        <w:rPr>
          <w:spacing w:val="13"/>
          <w:sz w:val="20"/>
        </w:rPr>
        <w:t> </w:t>
      </w:r>
      <w:r>
        <w:rPr>
          <w:sz w:val="20"/>
        </w:rPr>
        <w:t>recomienda</w:t>
      </w:r>
      <w:r>
        <w:rPr>
          <w:spacing w:val="13"/>
          <w:sz w:val="20"/>
        </w:rPr>
        <w:t> </w:t>
      </w:r>
      <w:r>
        <w:rPr>
          <w:sz w:val="20"/>
        </w:rPr>
        <w:t>a</w:t>
      </w:r>
      <w:r>
        <w:rPr>
          <w:spacing w:val="12"/>
          <w:sz w:val="20"/>
        </w:rPr>
        <w:t> </w:t>
      </w:r>
      <w:r>
        <w:rPr>
          <w:sz w:val="20"/>
        </w:rPr>
        <w:t>la</w:t>
      </w:r>
      <w:r>
        <w:rPr>
          <w:spacing w:val="12"/>
          <w:sz w:val="20"/>
        </w:rPr>
        <w:t> </w:t>
      </w:r>
      <w:r>
        <w:rPr>
          <w:sz w:val="20"/>
        </w:rPr>
        <w:t>ATC</w:t>
      </w:r>
      <w:r>
        <w:rPr>
          <w:spacing w:val="13"/>
          <w:sz w:val="20"/>
        </w:rPr>
        <w:t> </w:t>
      </w:r>
      <w:r>
        <w:rPr>
          <w:sz w:val="20"/>
        </w:rPr>
        <w:t>la</w:t>
      </w:r>
      <w:r>
        <w:rPr>
          <w:spacing w:val="11"/>
          <w:sz w:val="20"/>
        </w:rPr>
        <w:t> </w:t>
      </w:r>
      <w:r>
        <w:rPr>
          <w:sz w:val="20"/>
        </w:rPr>
        <w:t>selección</w:t>
      </w:r>
      <w:r>
        <w:rPr>
          <w:spacing w:val="13"/>
          <w:sz w:val="20"/>
        </w:rPr>
        <w:t> </w:t>
      </w:r>
      <w:r>
        <w:rPr>
          <w:sz w:val="20"/>
        </w:rPr>
        <w:t>y</w:t>
      </w:r>
      <w:r>
        <w:rPr>
          <w:spacing w:val="11"/>
          <w:sz w:val="20"/>
        </w:rPr>
        <w:t> </w:t>
      </w:r>
      <w:r>
        <w:rPr>
          <w:sz w:val="20"/>
        </w:rPr>
        <w:t>depuración</w:t>
      </w:r>
      <w:r>
        <w:rPr>
          <w:spacing w:val="13"/>
          <w:sz w:val="20"/>
        </w:rPr>
        <w:t> </w:t>
      </w:r>
      <w:r>
        <w:rPr>
          <w:sz w:val="20"/>
        </w:rPr>
        <w:t>de</w:t>
      </w:r>
      <w:r>
        <w:rPr>
          <w:spacing w:val="9"/>
          <w:sz w:val="20"/>
        </w:rPr>
        <w:t> </w:t>
      </w:r>
      <w:r>
        <w:rPr>
          <w:sz w:val="20"/>
        </w:rPr>
        <w:t>deudas</w:t>
      </w:r>
      <w:r>
        <w:rPr>
          <w:spacing w:val="12"/>
          <w:sz w:val="20"/>
        </w:rPr>
        <w:t> </w:t>
      </w:r>
      <w:r>
        <w:rPr>
          <w:sz w:val="20"/>
        </w:rPr>
        <w:t>muy</w:t>
      </w:r>
      <w:r>
        <w:rPr>
          <w:spacing w:val="9"/>
          <w:sz w:val="20"/>
        </w:rPr>
        <w:t> </w:t>
      </w:r>
      <w:r>
        <w:rPr>
          <w:sz w:val="20"/>
        </w:rPr>
        <w:t>antiguas</w:t>
      </w:r>
      <w:r>
        <w:rPr>
          <w:spacing w:val="12"/>
          <w:sz w:val="20"/>
        </w:rPr>
        <w:t> </w:t>
      </w:r>
      <w:r>
        <w:rPr>
          <w:sz w:val="20"/>
        </w:rPr>
        <w:t>e</w:t>
      </w:r>
    </w:p>
    <w:p>
      <w:pPr>
        <w:pStyle w:val="BodyText"/>
        <w:spacing w:before="2"/>
        <w:rPr>
          <w:sz w:val="10"/>
        </w:rPr>
      </w:pPr>
    </w:p>
    <w:p>
      <w:pPr>
        <w:pStyle w:val="BodyText"/>
        <w:spacing w:before="61"/>
        <w:ind w:left="7787"/>
        <w:jc w:val="center"/>
      </w:pPr>
      <w:r>
        <w:rPr/>
        <w:t>164</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43" name="image5.png"/>
                  <wp:cNvGraphicFramePr>
                    <a:graphicFrameLocks noChangeAspect="1"/>
                  </wp:cNvGraphicFramePr>
                  <a:graphic>
                    <a:graphicData uri="http://schemas.openxmlformats.org/drawingml/2006/picture">
                      <pic:pic>
                        <pic:nvPicPr>
                          <pic:cNvPr id="34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166/247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BodyText"/>
        <w:spacing w:before="61"/>
        <w:ind w:left="2336"/>
      </w:pPr>
      <w:r>
        <w:rPr/>
        <w:t>incrementar el control sobre la procedencia de esta situación en este tipo de deudas.</w:t>
      </w:r>
    </w:p>
    <w:p>
      <w:pPr>
        <w:pStyle w:val="BodyText"/>
        <w:spacing w:before="8"/>
        <w:rPr>
          <w:sz w:val="16"/>
        </w:rPr>
      </w:pPr>
    </w:p>
    <w:p>
      <w:pPr>
        <w:pStyle w:val="ListParagraph"/>
        <w:numPr>
          <w:ilvl w:val="0"/>
          <w:numId w:val="112"/>
        </w:numPr>
        <w:tabs>
          <w:tab w:pos="2337" w:val="left" w:leader="none"/>
        </w:tabs>
        <w:spacing w:line="242" w:lineRule="auto" w:before="0" w:after="0"/>
        <w:ind w:left="2336" w:right="1141" w:hanging="301"/>
        <w:jc w:val="both"/>
        <w:rPr>
          <w:sz w:val="20"/>
        </w:rPr>
      </w:pPr>
      <w:r>
        <w:rPr>
          <w:sz w:val="20"/>
        </w:rPr>
        <w:t>Se</w:t>
      </w:r>
      <w:r>
        <w:rPr>
          <w:spacing w:val="-2"/>
          <w:sz w:val="20"/>
        </w:rPr>
        <w:t> </w:t>
      </w:r>
      <w:r>
        <w:rPr>
          <w:sz w:val="20"/>
        </w:rPr>
        <w:t>recomienda</w:t>
      </w:r>
      <w:r>
        <w:rPr>
          <w:spacing w:val="-1"/>
          <w:sz w:val="20"/>
        </w:rPr>
        <w:t> </w:t>
      </w:r>
      <w:r>
        <w:rPr>
          <w:sz w:val="20"/>
        </w:rPr>
        <w:t>al</w:t>
      </w:r>
      <w:r>
        <w:rPr>
          <w:spacing w:val="-3"/>
          <w:sz w:val="20"/>
        </w:rPr>
        <w:t> </w:t>
      </w:r>
      <w:r>
        <w:rPr>
          <w:sz w:val="20"/>
        </w:rPr>
        <w:t>Gobierno</w:t>
      </w:r>
      <w:r>
        <w:rPr>
          <w:spacing w:val="-4"/>
          <w:sz w:val="20"/>
        </w:rPr>
        <w:t> </w:t>
      </w:r>
      <w:r>
        <w:rPr>
          <w:sz w:val="20"/>
        </w:rPr>
        <w:t>de</w:t>
      </w:r>
      <w:r>
        <w:rPr>
          <w:spacing w:val="-1"/>
          <w:sz w:val="20"/>
        </w:rPr>
        <w:t> </w:t>
      </w:r>
      <w:r>
        <w:rPr>
          <w:sz w:val="20"/>
        </w:rPr>
        <w:t>Canarias</w:t>
      </w:r>
      <w:r>
        <w:rPr>
          <w:spacing w:val="-3"/>
          <w:sz w:val="20"/>
        </w:rPr>
        <w:t> </w:t>
      </w:r>
      <w:r>
        <w:rPr>
          <w:sz w:val="20"/>
        </w:rPr>
        <w:t>que</w:t>
      </w:r>
      <w:r>
        <w:rPr>
          <w:spacing w:val="-4"/>
          <w:sz w:val="20"/>
        </w:rPr>
        <w:t> </w:t>
      </w:r>
      <w:r>
        <w:rPr>
          <w:sz w:val="20"/>
        </w:rPr>
        <w:t>se</w:t>
      </w:r>
      <w:r>
        <w:rPr>
          <w:spacing w:val="-1"/>
          <w:sz w:val="20"/>
        </w:rPr>
        <w:t> </w:t>
      </w:r>
      <w:r>
        <w:rPr>
          <w:sz w:val="20"/>
        </w:rPr>
        <w:t>incluyan</w:t>
      </w:r>
      <w:r>
        <w:rPr>
          <w:spacing w:val="-1"/>
          <w:sz w:val="20"/>
        </w:rPr>
        <w:t> </w:t>
      </w:r>
      <w:r>
        <w:rPr>
          <w:sz w:val="20"/>
        </w:rPr>
        <w:t>en</w:t>
      </w:r>
      <w:r>
        <w:rPr>
          <w:spacing w:val="-3"/>
          <w:sz w:val="20"/>
        </w:rPr>
        <w:t> </w:t>
      </w:r>
      <w:r>
        <w:rPr>
          <w:sz w:val="20"/>
        </w:rPr>
        <w:t>el</w:t>
      </w:r>
      <w:r>
        <w:rPr>
          <w:spacing w:val="-4"/>
          <w:sz w:val="20"/>
        </w:rPr>
        <w:t> </w:t>
      </w:r>
      <w:r>
        <w:rPr>
          <w:sz w:val="20"/>
        </w:rPr>
        <w:t>Decreto</w:t>
      </w:r>
      <w:r>
        <w:rPr>
          <w:spacing w:val="-1"/>
          <w:sz w:val="20"/>
        </w:rPr>
        <w:t> </w:t>
      </w:r>
      <w:r>
        <w:rPr>
          <w:sz w:val="20"/>
        </w:rPr>
        <w:t>88/2023,</w:t>
      </w:r>
      <w:r>
        <w:rPr>
          <w:spacing w:val="-3"/>
          <w:sz w:val="20"/>
        </w:rPr>
        <w:t> </w:t>
      </w:r>
      <w:r>
        <w:rPr>
          <w:sz w:val="20"/>
        </w:rPr>
        <w:t>de</w:t>
      </w:r>
      <w:r>
        <w:rPr>
          <w:spacing w:val="-4"/>
          <w:sz w:val="20"/>
        </w:rPr>
        <w:t> </w:t>
      </w:r>
      <w:r>
        <w:rPr>
          <w:sz w:val="20"/>
        </w:rPr>
        <w:t>25 de mayo, por el que se establece el modelo de referencia de planificación y gestión estratégica y dirección por objetivos de la APCAC y de sus organismos autónomos, tanto las SSMM como a las entidades públicas</w:t>
      </w:r>
      <w:r>
        <w:rPr>
          <w:spacing w:val="2"/>
          <w:sz w:val="20"/>
        </w:rPr>
        <w:t> </w:t>
      </w:r>
      <w:r>
        <w:rPr>
          <w:sz w:val="20"/>
        </w:rPr>
        <w:t>empresariales.</w:t>
      </w:r>
    </w:p>
    <w:p>
      <w:pPr>
        <w:pStyle w:val="BodyText"/>
        <w:spacing w:before="5"/>
        <w:rPr>
          <w:sz w:val="16"/>
        </w:rPr>
      </w:pPr>
    </w:p>
    <w:p>
      <w:pPr>
        <w:pStyle w:val="ListParagraph"/>
        <w:numPr>
          <w:ilvl w:val="0"/>
          <w:numId w:val="112"/>
        </w:numPr>
        <w:tabs>
          <w:tab w:pos="2337" w:val="left" w:leader="none"/>
        </w:tabs>
        <w:spacing w:line="242" w:lineRule="auto" w:before="0" w:after="0"/>
        <w:ind w:left="2336" w:right="1144" w:hanging="301"/>
        <w:jc w:val="both"/>
        <w:rPr>
          <w:sz w:val="20"/>
        </w:rPr>
      </w:pPr>
      <w:r>
        <w:rPr>
          <w:sz w:val="20"/>
        </w:rPr>
        <w:t>Dado que la Ley de Presupuestos posibilita anualmente que la plantilla del ICHH se ajuste a su actividad y ya que toda presupuestación consiste en una previsión para el ejercicio, en dicha Ley también debería incluirse la estimación del personal laboral a contratar en función de la actividad</w:t>
      </w:r>
      <w:r>
        <w:rPr>
          <w:spacing w:val="1"/>
          <w:sz w:val="20"/>
        </w:rPr>
        <w:t> </w:t>
      </w:r>
      <w:r>
        <w:rPr>
          <w:sz w:val="20"/>
        </w:rPr>
        <w:t>esperada.</w:t>
      </w:r>
    </w:p>
    <w:p>
      <w:pPr>
        <w:pStyle w:val="BodyText"/>
        <w:spacing w:before="4"/>
        <w:rPr>
          <w:sz w:val="16"/>
        </w:rPr>
      </w:pPr>
    </w:p>
    <w:p>
      <w:pPr>
        <w:pStyle w:val="ListParagraph"/>
        <w:numPr>
          <w:ilvl w:val="0"/>
          <w:numId w:val="112"/>
        </w:numPr>
        <w:tabs>
          <w:tab w:pos="2337" w:val="left" w:leader="none"/>
        </w:tabs>
        <w:spacing w:line="240" w:lineRule="auto" w:before="0" w:after="0"/>
        <w:ind w:left="2336" w:right="1141" w:hanging="301"/>
        <w:jc w:val="both"/>
        <w:rPr>
          <w:sz w:val="20"/>
        </w:rPr>
      </w:pPr>
      <w:r>
        <w:rPr>
          <w:sz w:val="20"/>
        </w:rPr>
        <w:t>Continúa generándose en el SCS una importante suma en la partida de acreedores pendientes de aplicar al presupuesto y, por ende, problemas en el cumplimiento del periodo legal de pagos a pesar de ser una de las entidades más beneficiadas del incremento</w:t>
      </w:r>
      <w:r>
        <w:rPr>
          <w:spacing w:val="-3"/>
          <w:sz w:val="20"/>
        </w:rPr>
        <w:t> </w:t>
      </w:r>
      <w:r>
        <w:rPr>
          <w:sz w:val="20"/>
        </w:rPr>
        <w:t>interanual</w:t>
      </w:r>
      <w:r>
        <w:rPr>
          <w:spacing w:val="-2"/>
          <w:sz w:val="20"/>
        </w:rPr>
        <w:t> </w:t>
      </w:r>
      <w:r>
        <w:rPr>
          <w:sz w:val="20"/>
        </w:rPr>
        <w:t>del</w:t>
      </w:r>
      <w:r>
        <w:rPr>
          <w:spacing w:val="-3"/>
          <w:sz w:val="20"/>
        </w:rPr>
        <w:t> </w:t>
      </w:r>
      <w:r>
        <w:rPr>
          <w:sz w:val="20"/>
        </w:rPr>
        <w:t>presupuesto,</w:t>
      </w:r>
      <w:r>
        <w:rPr>
          <w:spacing w:val="-6"/>
          <w:sz w:val="20"/>
        </w:rPr>
        <w:t> </w:t>
      </w:r>
      <w:r>
        <w:rPr>
          <w:sz w:val="20"/>
        </w:rPr>
        <w:t>por</w:t>
      </w:r>
      <w:r>
        <w:rPr>
          <w:spacing w:val="-5"/>
          <w:sz w:val="20"/>
        </w:rPr>
        <w:t> </w:t>
      </w:r>
      <w:r>
        <w:rPr>
          <w:sz w:val="20"/>
        </w:rPr>
        <w:t>lo</w:t>
      </w:r>
      <w:r>
        <w:rPr>
          <w:spacing w:val="-4"/>
          <w:sz w:val="20"/>
        </w:rPr>
        <w:t> </w:t>
      </w:r>
      <w:r>
        <w:rPr>
          <w:sz w:val="20"/>
        </w:rPr>
        <w:t>que</w:t>
      </w:r>
      <w:r>
        <w:rPr>
          <w:spacing w:val="-3"/>
          <w:sz w:val="20"/>
        </w:rPr>
        <w:t> </w:t>
      </w:r>
      <w:r>
        <w:rPr>
          <w:sz w:val="20"/>
        </w:rPr>
        <w:t>se</w:t>
      </w:r>
      <w:r>
        <w:rPr>
          <w:spacing w:val="-3"/>
          <w:sz w:val="20"/>
        </w:rPr>
        <w:t> </w:t>
      </w:r>
      <w:r>
        <w:rPr>
          <w:sz w:val="20"/>
        </w:rPr>
        <w:t>recomienda</w:t>
      </w:r>
      <w:r>
        <w:rPr>
          <w:spacing w:val="-6"/>
          <w:sz w:val="20"/>
        </w:rPr>
        <w:t> </w:t>
      </w:r>
      <w:r>
        <w:rPr>
          <w:sz w:val="20"/>
        </w:rPr>
        <w:t>que</w:t>
      </w:r>
      <w:r>
        <w:rPr>
          <w:spacing w:val="-3"/>
          <w:sz w:val="20"/>
        </w:rPr>
        <w:t> </w:t>
      </w:r>
      <w:r>
        <w:rPr>
          <w:sz w:val="20"/>
        </w:rPr>
        <w:t>se</w:t>
      </w:r>
      <w:r>
        <w:rPr>
          <w:spacing w:val="-4"/>
          <w:sz w:val="20"/>
        </w:rPr>
        <w:t> </w:t>
      </w:r>
      <w:r>
        <w:rPr>
          <w:sz w:val="20"/>
        </w:rPr>
        <w:t>analicen</w:t>
      </w:r>
      <w:r>
        <w:rPr>
          <w:spacing w:val="-3"/>
          <w:sz w:val="20"/>
        </w:rPr>
        <w:t> </w:t>
      </w:r>
      <w:r>
        <w:rPr>
          <w:sz w:val="20"/>
        </w:rPr>
        <w:t>las causas de estas desviaciones, puesto que la financiación destinada a dar cobertura a esa partida está originando un efecto multiplicador sobre el</w:t>
      </w:r>
      <w:r>
        <w:rPr>
          <w:spacing w:val="3"/>
          <w:sz w:val="20"/>
        </w:rPr>
        <w:t> </w:t>
      </w:r>
      <w:r>
        <w:rPr>
          <w:sz w:val="20"/>
        </w:rPr>
        <w:t>gasto.</w:t>
      </w:r>
    </w:p>
    <w:p>
      <w:pPr>
        <w:pStyle w:val="BodyText"/>
        <w:spacing w:before="4"/>
        <w:rPr>
          <w:sz w:val="17"/>
        </w:rPr>
      </w:pPr>
    </w:p>
    <w:p>
      <w:pPr>
        <w:pStyle w:val="ListParagraph"/>
        <w:numPr>
          <w:ilvl w:val="0"/>
          <w:numId w:val="112"/>
        </w:numPr>
        <w:tabs>
          <w:tab w:pos="2337" w:val="left" w:leader="none"/>
        </w:tabs>
        <w:spacing w:line="242" w:lineRule="auto" w:before="0" w:after="0"/>
        <w:ind w:left="2336" w:right="1144" w:hanging="303"/>
        <w:jc w:val="both"/>
        <w:rPr>
          <w:sz w:val="20"/>
        </w:rPr>
      </w:pPr>
      <w:r>
        <w:rPr>
          <w:sz w:val="20"/>
        </w:rPr>
        <w:t>Desde una perspectiva de mejora en la eficiencia de la actividad del sector público fundacional, se estima conveniente que se establezca, en la Ley de Presupuestos, para las fundaciones un Plan estratégico plurianual, como marco de referencia, a efectos de impulsar y establecer verdaderos objetivos y realizar su control mediante indicadores que permitan cuantificarlos, haciendo seguimiento de estos a través de los informes de gestión económico financiera que se adjuntan a sus cuentas</w:t>
      </w:r>
      <w:r>
        <w:rPr>
          <w:spacing w:val="-24"/>
          <w:sz w:val="20"/>
        </w:rPr>
        <w:t> </w:t>
      </w:r>
      <w:r>
        <w:rPr>
          <w:sz w:val="20"/>
        </w:rPr>
        <w:t>anuales.</w:t>
      </w:r>
    </w:p>
    <w:p>
      <w:pPr>
        <w:pStyle w:val="BodyText"/>
        <w:spacing w:before="4"/>
        <w:rPr>
          <w:sz w:val="16"/>
        </w:rPr>
      </w:pPr>
    </w:p>
    <w:p>
      <w:pPr>
        <w:pStyle w:val="Heading1"/>
        <w:numPr>
          <w:ilvl w:val="2"/>
          <w:numId w:val="101"/>
        </w:numPr>
        <w:tabs>
          <w:tab w:pos="2704" w:val="left" w:leader="none"/>
        </w:tabs>
        <w:spacing w:line="240" w:lineRule="auto" w:before="0" w:after="0"/>
        <w:ind w:left="2703" w:right="0" w:hanging="605"/>
        <w:jc w:val="left"/>
      </w:pPr>
      <w:r>
        <w:rPr>
          <w:color w:val="53A1B9"/>
        </w:rPr>
        <w:t>Recomendaciones que mantienen su</w:t>
      </w:r>
      <w:r>
        <w:rPr>
          <w:color w:val="53A1B9"/>
          <w:spacing w:val="-1"/>
        </w:rPr>
        <w:t> </w:t>
      </w:r>
      <w:r>
        <w:rPr>
          <w:color w:val="53A1B9"/>
        </w:rPr>
        <w:t>vigencia.</w:t>
      </w:r>
    </w:p>
    <w:p>
      <w:pPr>
        <w:pStyle w:val="BodyText"/>
        <w:spacing w:before="8"/>
        <w:rPr>
          <w:b/>
          <w:sz w:val="16"/>
        </w:rPr>
      </w:pPr>
    </w:p>
    <w:p>
      <w:pPr>
        <w:pStyle w:val="BodyText"/>
        <w:ind w:left="2099" w:right="1800"/>
      </w:pPr>
      <w:r>
        <w:rPr/>
        <w:t>Las siguientes recomendaciones ya se han formulado en informes anteriores y mantienen su vigencia en el ejercicio actual.</w:t>
      </w:r>
    </w:p>
    <w:p>
      <w:pPr>
        <w:pStyle w:val="BodyText"/>
        <w:spacing w:before="10"/>
        <w:rPr>
          <w:sz w:val="16"/>
        </w:rPr>
      </w:pPr>
    </w:p>
    <w:p>
      <w:pPr>
        <w:pStyle w:val="Heading1"/>
        <w:ind w:left="2099"/>
        <w:jc w:val="left"/>
      </w:pPr>
      <w:r>
        <w:rPr/>
        <w:t>Organismos autónomos y otras entidades públicas.</w:t>
      </w:r>
    </w:p>
    <w:p>
      <w:pPr>
        <w:pStyle w:val="BodyText"/>
        <w:spacing w:before="7"/>
        <w:rPr>
          <w:b/>
          <w:sz w:val="16"/>
        </w:rPr>
      </w:pPr>
    </w:p>
    <w:p>
      <w:pPr>
        <w:pStyle w:val="ListParagraph"/>
        <w:numPr>
          <w:ilvl w:val="0"/>
          <w:numId w:val="113"/>
        </w:numPr>
        <w:tabs>
          <w:tab w:pos="2337" w:val="left" w:leader="none"/>
        </w:tabs>
        <w:spacing w:line="242" w:lineRule="auto" w:before="1" w:after="0"/>
        <w:ind w:left="2336" w:right="1147" w:hanging="238"/>
        <w:jc w:val="both"/>
        <w:rPr>
          <w:sz w:val="20"/>
        </w:rPr>
      </w:pPr>
      <w:r>
        <w:rPr>
          <w:sz w:val="20"/>
        </w:rPr>
        <w:t>Se recomienda se realicen las gestiones oportunas para la integración en el SEFLogiC del Consorcio El Rincón, para lo cual será imprescindible la existencia de un compromiso firme por parte del Consorcio en el desarrollo y adaptación de sus sistemas, a las funcionalidades y especificaciones del</w:t>
      </w:r>
      <w:r>
        <w:rPr>
          <w:spacing w:val="-2"/>
          <w:sz w:val="20"/>
        </w:rPr>
        <w:t> </w:t>
      </w:r>
      <w:r>
        <w:rPr>
          <w:sz w:val="20"/>
        </w:rPr>
        <w:t>SEFLogiC.</w:t>
      </w:r>
    </w:p>
    <w:p>
      <w:pPr>
        <w:pStyle w:val="BodyText"/>
        <w:spacing w:before="3"/>
        <w:rPr>
          <w:sz w:val="16"/>
        </w:rPr>
      </w:pPr>
    </w:p>
    <w:p>
      <w:pPr>
        <w:pStyle w:val="ListParagraph"/>
        <w:numPr>
          <w:ilvl w:val="0"/>
          <w:numId w:val="113"/>
        </w:numPr>
        <w:tabs>
          <w:tab w:pos="2384" w:val="left" w:leader="none"/>
        </w:tabs>
        <w:spacing w:line="242" w:lineRule="auto" w:before="0" w:after="0"/>
        <w:ind w:left="2336" w:right="1146" w:hanging="238"/>
        <w:jc w:val="both"/>
        <w:rPr>
          <w:sz w:val="20"/>
        </w:rPr>
      </w:pPr>
      <w:r>
        <w:rPr/>
        <w:tab/>
      </w:r>
      <w:r>
        <w:rPr>
          <w:sz w:val="20"/>
        </w:rPr>
        <w:t>Deberían tomarse medidas para evitar la tramitación recurrente de expedientes de gastos mediante procedimiento de nulidad, en especial, en el caso del SCS, ya que éste debe tener un carácter</w:t>
      </w:r>
      <w:r>
        <w:rPr>
          <w:spacing w:val="-1"/>
          <w:sz w:val="20"/>
        </w:rPr>
        <w:t> </w:t>
      </w:r>
      <w:r>
        <w:rPr>
          <w:sz w:val="20"/>
        </w:rPr>
        <w:t>excepcional.</w:t>
      </w:r>
    </w:p>
    <w:p>
      <w:pPr>
        <w:pStyle w:val="BodyText"/>
        <w:spacing w:before="1"/>
        <w:rPr>
          <w:sz w:val="27"/>
        </w:rPr>
      </w:pPr>
    </w:p>
    <w:p>
      <w:pPr>
        <w:pStyle w:val="BodyText"/>
        <w:spacing w:before="60"/>
        <w:ind w:left="7787"/>
        <w:jc w:val="center"/>
      </w:pPr>
      <w:r>
        <w:rPr/>
        <w:t>165</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45" name="image5.png"/>
                  <wp:cNvGraphicFramePr>
                    <a:graphicFrameLocks noChangeAspect="1"/>
                  </wp:cNvGraphicFramePr>
                  <a:graphic>
                    <a:graphicData uri="http://schemas.openxmlformats.org/drawingml/2006/picture">
                      <pic:pic>
                        <pic:nvPicPr>
                          <pic:cNvPr id="34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167/247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10"/>
        <w:rPr>
          <w:b/>
          <w:sz w:val="27"/>
        </w:rPr>
      </w:pPr>
    </w:p>
    <w:p>
      <w:pPr>
        <w:pStyle w:val="ListParagraph"/>
        <w:numPr>
          <w:ilvl w:val="0"/>
          <w:numId w:val="114"/>
        </w:numPr>
        <w:tabs>
          <w:tab w:pos="2337" w:val="left" w:leader="none"/>
        </w:tabs>
        <w:spacing w:line="242" w:lineRule="auto" w:before="61" w:after="0"/>
        <w:ind w:left="2336" w:right="1145" w:hanging="238"/>
        <w:jc w:val="both"/>
        <w:rPr>
          <w:sz w:val="20"/>
        </w:rPr>
      </w:pPr>
      <w:r>
        <w:rPr>
          <w:sz w:val="20"/>
        </w:rPr>
        <w:t>Se</w:t>
      </w:r>
      <w:r>
        <w:rPr>
          <w:spacing w:val="-6"/>
          <w:sz w:val="20"/>
        </w:rPr>
        <w:t> </w:t>
      </w:r>
      <w:r>
        <w:rPr>
          <w:sz w:val="20"/>
        </w:rPr>
        <w:t>recomienda</w:t>
      </w:r>
      <w:r>
        <w:rPr>
          <w:spacing w:val="-7"/>
          <w:sz w:val="20"/>
        </w:rPr>
        <w:t> </w:t>
      </w:r>
      <w:r>
        <w:rPr>
          <w:sz w:val="20"/>
        </w:rPr>
        <w:t>una</w:t>
      </w:r>
      <w:r>
        <w:rPr>
          <w:spacing w:val="-6"/>
          <w:sz w:val="20"/>
        </w:rPr>
        <w:t> </w:t>
      </w:r>
      <w:r>
        <w:rPr>
          <w:sz w:val="20"/>
        </w:rPr>
        <w:t>mejora</w:t>
      </w:r>
      <w:r>
        <w:rPr>
          <w:spacing w:val="-5"/>
          <w:sz w:val="20"/>
        </w:rPr>
        <w:t> </w:t>
      </w:r>
      <w:r>
        <w:rPr>
          <w:sz w:val="20"/>
        </w:rPr>
        <w:t>en</w:t>
      </w:r>
      <w:r>
        <w:rPr>
          <w:spacing w:val="-5"/>
          <w:sz w:val="20"/>
        </w:rPr>
        <w:t> </w:t>
      </w:r>
      <w:r>
        <w:rPr>
          <w:sz w:val="20"/>
        </w:rPr>
        <w:t>la</w:t>
      </w:r>
      <w:r>
        <w:rPr>
          <w:spacing w:val="-7"/>
          <w:sz w:val="20"/>
        </w:rPr>
        <w:t> </w:t>
      </w:r>
      <w:r>
        <w:rPr>
          <w:sz w:val="20"/>
        </w:rPr>
        <w:t>presupuestación</w:t>
      </w:r>
      <w:r>
        <w:rPr>
          <w:spacing w:val="-7"/>
          <w:sz w:val="20"/>
        </w:rPr>
        <w:t> </w:t>
      </w:r>
      <w:r>
        <w:rPr>
          <w:sz w:val="20"/>
        </w:rPr>
        <w:t>para</w:t>
      </w:r>
      <w:r>
        <w:rPr>
          <w:spacing w:val="-5"/>
          <w:sz w:val="20"/>
        </w:rPr>
        <w:t> </w:t>
      </w:r>
      <w:r>
        <w:rPr>
          <w:sz w:val="20"/>
        </w:rPr>
        <w:t>que</w:t>
      </w:r>
      <w:r>
        <w:rPr>
          <w:spacing w:val="-6"/>
          <w:sz w:val="20"/>
        </w:rPr>
        <w:t> </w:t>
      </w:r>
      <w:r>
        <w:rPr>
          <w:sz w:val="20"/>
        </w:rPr>
        <w:t>los</w:t>
      </w:r>
      <w:r>
        <w:rPr>
          <w:spacing w:val="-5"/>
          <w:sz w:val="20"/>
        </w:rPr>
        <w:t> </w:t>
      </w:r>
      <w:r>
        <w:rPr>
          <w:sz w:val="20"/>
        </w:rPr>
        <w:t>gastos</w:t>
      </w:r>
      <w:r>
        <w:rPr>
          <w:spacing w:val="-5"/>
          <w:sz w:val="20"/>
        </w:rPr>
        <w:t> </w:t>
      </w:r>
      <w:r>
        <w:rPr>
          <w:sz w:val="20"/>
        </w:rPr>
        <w:t>procedentes</w:t>
      </w:r>
      <w:r>
        <w:rPr>
          <w:spacing w:val="-6"/>
          <w:sz w:val="20"/>
        </w:rPr>
        <w:t> </w:t>
      </w:r>
      <w:r>
        <w:rPr>
          <w:sz w:val="20"/>
        </w:rPr>
        <w:t>de otros ejercicios y pendientes de aplicar al presupuesto se reduzcan en la medida de lo</w:t>
      </w:r>
      <w:r>
        <w:rPr>
          <w:spacing w:val="-6"/>
          <w:sz w:val="20"/>
        </w:rPr>
        <w:t> </w:t>
      </w:r>
      <w:r>
        <w:rPr>
          <w:sz w:val="20"/>
        </w:rPr>
        <w:t>posible,</w:t>
      </w:r>
      <w:r>
        <w:rPr>
          <w:spacing w:val="-6"/>
          <w:sz w:val="20"/>
        </w:rPr>
        <w:t> </w:t>
      </w:r>
      <w:r>
        <w:rPr>
          <w:sz w:val="20"/>
        </w:rPr>
        <w:t>imputándose</w:t>
      </w:r>
      <w:r>
        <w:rPr>
          <w:spacing w:val="-10"/>
          <w:sz w:val="20"/>
        </w:rPr>
        <w:t> </w:t>
      </w:r>
      <w:r>
        <w:rPr>
          <w:sz w:val="20"/>
        </w:rPr>
        <w:t>el</w:t>
      </w:r>
      <w:r>
        <w:rPr>
          <w:spacing w:val="-6"/>
          <w:sz w:val="20"/>
        </w:rPr>
        <w:t> </w:t>
      </w:r>
      <w:r>
        <w:rPr>
          <w:sz w:val="20"/>
        </w:rPr>
        <w:t>gasto</w:t>
      </w:r>
      <w:r>
        <w:rPr>
          <w:spacing w:val="-8"/>
          <w:sz w:val="20"/>
        </w:rPr>
        <w:t> </w:t>
      </w:r>
      <w:r>
        <w:rPr>
          <w:sz w:val="20"/>
        </w:rPr>
        <w:t>al</w:t>
      </w:r>
      <w:r>
        <w:rPr>
          <w:spacing w:val="-7"/>
          <w:sz w:val="20"/>
        </w:rPr>
        <w:t> </w:t>
      </w:r>
      <w:r>
        <w:rPr>
          <w:sz w:val="20"/>
        </w:rPr>
        <w:t>presupuesto</w:t>
      </w:r>
      <w:r>
        <w:rPr>
          <w:spacing w:val="-8"/>
          <w:sz w:val="20"/>
        </w:rPr>
        <w:t> </w:t>
      </w:r>
      <w:r>
        <w:rPr>
          <w:sz w:val="20"/>
        </w:rPr>
        <w:t>del</w:t>
      </w:r>
      <w:r>
        <w:rPr>
          <w:spacing w:val="-6"/>
          <w:sz w:val="20"/>
        </w:rPr>
        <w:t> </w:t>
      </w:r>
      <w:r>
        <w:rPr>
          <w:sz w:val="20"/>
        </w:rPr>
        <w:t>ejercicio</w:t>
      </w:r>
      <w:r>
        <w:rPr>
          <w:spacing w:val="-8"/>
          <w:sz w:val="20"/>
        </w:rPr>
        <w:t> </w:t>
      </w:r>
      <w:r>
        <w:rPr>
          <w:sz w:val="20"/>
        </w:rPr>
        <w:t>en</w:t>
      </w:r>
      <w:r>
        <w:rPr>
          <w:spacing w:val="-7"/>
          <w:sz w:val="20"/>
        </w:rPr>
        <w:t> </w:t>
      </w:r>
      <w:r>
        <w:rPr>
          <w:sz w:val="20"/>
        </w:rPr>
        <w:t>que</w:t>
      </w:r>
      <w:r>
        <w:rPr>
          <w:spacing w:val="-5"/>
          <w:sz w:val="20"/>
        </w:rPr>
        <w:t> </w:t>
      </w:r>
      <w:r>
        <w:rPr>
          <w:sz w:val="20"/>
        </w:rPr>
        <w:t>se</w:t>
      </w:r>
      <w:r>
        <w:rPr>
          <w:spacing w:val="-8"/>
          <w:sz w:val="20"/>
        </w:rPr>
        <w:t> </w:t>
      </w:r>
      <w:r>
        <w:rPr>
          <w:sz w:val="20"/>
        </w:rPr>
        <w:t>realice,</w:t>
      </w:r>
      <w:r>
        <w:rPr>
          <w:spacing w:val="-6"/>
          <w:sz w:val="20"/>
        </w:rPr>
        <w:t> </w:t>
      </w:r>
      <w:r>
        <w:rPr>
          <w:sz w:val="20"/>
        </w:rPr>
        <w:t>siendo de especial importancia esta medida para el SCS por la cifra significativa que tiene por estas obligaciones.</w:t>
      </w:r>
    </w:p>
    <w:p>
      <w:pPr>
        <w:pStyle w:val="BodyText"/>
        <w:spacing w:before="5"/>
        <w:rPr>
          <w:sz w:val="16"/>
        </w:rPr>
      </w:pPr>
    </w:p>
    <w:p>
      <w:pPr>
        <w:pStyle w:val="ListParagraph"/>
        <w:numPr>
          <w:ilvl w:val="0"/>
          <w:numId w:val="114"/>
        </w:numPr>
        <w:tabs>
          <w:tab w:pos="2337" w:val="left" w:leader="none"/>
        </w:tabs>
        <w:spacing w:line="242" w:lineRule="auto" w:before="0" w:after="0"/>
        <w:ind w:left="2336" w:right="1143" w:hanging="238"/>
        <w:jc w:val="both"/>
        <w:rPr>
          <w:sz w:val="20"/>
        </w:rPr>
      </w:pPr>
      <w:r>
        <w:rPr>
          <w:sz w:val="20"/>
        </w:rPr>
        <w:t>Se</w:t>
      </w:r>
      <w:r>
        <w:rPr>
          <w:spacing w:val="-6"/>
          <w:sz w:val="20"/>
        </w:rPr>
        <w:t> </w:t>
      </w:r>
      <w:r>
        <w:rPr>
          <w:sz w:val="20"/>
        </w:rPr>
        <w:t>recomienda</w:t>
      </w:r>
      <w:r>
        <w:rPr>
          <w:spacing w:val="-8"/>
          <w:sz w:val="20"/>
        </w:rPr>
        <w:t> </w:t>
      </w:r>
      <w:r>
        <w:rPr>
          <w:sz w:val="20"/>
        </w:rPr>
        <w:t>que</w:t>
      </w:r>
      <w:r>
        <w:rPr>
          <w:spacing w:val="-8"/>
          <w:sz w:val="20"/>
        </w:rPr>
        <w:t> </w:t>
      </w:r>
      <w:r>
        <w:rPr>
          <w:sz w:val="20"/>
        </w:rPr>
        <w:t>ICAVI,</w:t>
      </w:r>
      <w:r>
        <w:rPr>
          <w:spacing w:val="-7"/>
          <w:sz w:val="20"/>
        </w:rPr>
        <w:t> </w:t>
      </w:r>
      <w:r>
        <w:rPr>
          <w:sz w:val="20"/>
        </w:rPr>
        <w:t>SCE,</w:t>
      </w:r>
      <w:r>
        <w:rPr>
          <w:spacing w:val="-6"/>
          <w:sz w:val="20"/>
        </w:rPr>
        <w:t> </w:t>
      </w:r>
      <w:r>
        <w:rPr>
          <w:sz w:val="20"/>
        </w:rPr>
        <w:t>SCS</w:t>
      </w:r>
      <w:r>
        <w:rPr>
          <w:spacing w:val="-7"/>
          <w:sz w:val="20"/>
        </w:rPr>
        <w:t> </w:t>
      </w:r>
      <w:r>
        <w:rPr>
          <w:sz w:val="20"/>
        </w:rPr>
        <w:t>y</w:t>
      </w:r>
      <w:r>
        <w:rPr>
          <w:spacing w:val="-9"/>
          <w:sz w:val="20"/>
        </w:rPr>
        <w:t> </w:t>
      </w:r>
      <w:r>
        <w:rPr>
          <w:sz w:val="20"/>
        </w:rPr>
        <w:t>APMN</w:t>
      </w:r>
      <w:r>
        <w:rPr>
          <w:spacing w:val="-8"/>
          <w:sz w:val="20"/>
        </w:rPr>
        <w:t> </w:t>
      </w:r>
      <w:r>
        <w:rPr>
          <w:sz w:val="20"/>
        </w:rPr>
        <w:t>continúen</w:t>
      </w:r>
      <w:r>
        <w:rPr>
          <w:spacing w:val="-6"/>
          <w:sz w:val="20"/>
        </w:rPr>
        <w:t> </w:t>
      </w:r>
      <w:r>
        <w:rPr>
          <w:sz w:val="20"/>
        </w:rPr>
        <w:t>con</w:t>
      </w:r>
      <w:r>
        <w:rPr>
          <w:spacing w:val="-7"/>
          <w:sz w:val="20"/>
        </w:rPr>
        <w:t> </w:t>
      </w:r>
      <w:r>
        <w:rPr>
          <w:sz w:val="20"/>
        </w:rPr>
        <w:t>la</w:t>
      </w:r>
      <w:r>
        <w:rPr>
          <w:spacing w:val="-8"/>
          <w:sz w:val="20"/>
        </w:rPr>
        <w:t> </w:t>
      </w:r>
      <w:r>
        <w:rPr>
          <w:sz w:val="20"/>
        </w:rPr>
        <w:t>depuración</w:t>
      </w:r>
      <w:r>
        <w:rPr>
          <w:spacing w:val="-8"/>
          <w:sz w:val="20"/>
        </w:rPr>
        <w:t> </w:t>
      </w:r>
      <w:r>
        <w:rPr>
          <w:sz w:val="20"/>
        </w:rPr>
        <w:t>de</w:t>
      </w:r>
      <w:r>
        <w:rPr>
          <w:spacing w:val="-8"/>
          <w:sz w:val="20"/>
        </w:rPr>
        <w:t> </w:t>
      </w:r>
      <w:r>
        <w:rPr>
          <w:sz w:val="20"/>
        </w:rPr>
        <w:t>los</w:t>
      </w:r>
      <w:r>
        <w:rPr>
          <w:spacing w:val="-5"/>
          <w:sz w:val="20"/>
        </w:rPr>
        <w:t> </w:t>
      </w:r>
      <w:r>
        <w:rPr>
          <w:sz w:val="20"/>
        </w:rPr>
        <w:t>saldos significativos de derechos pendientes de cobro con origen en registros realizados en 2015 y ejercicios anteriores. En este sentido, se recomienda que el ICAVI y el SCE, así como,</w:t>
      </w:r>
      <w:r>
        <w:rPr>
          <w:spacing w:val="-3"/>
          <w:sz w:val="20"/>
        </w:rPr>
        <w:t> </w:t>
      </w:r>
      <w:r>
        <w:rPr>
          <w:sz w:val="20"/>
        </w:rPr>
        <w:t>las</w:t>
      </w:r>
      <w:r>
        <w:rPr>
          <w:spacing w:val="-3"/>
          <w:sz w:val="20"/>
        </w:rPr>
        <w:t> </w:t>
      </w:r>
      <w:r>
        <w:rPr>
          <w:sz w:val="20"/>
        </w:rPr>
        <w:t>Consejerías</w:t>
      </w:r>
      <w:r>
        <w:rPr>
          <w:spacing w:val="-5"/>
          <w:sz w:val="20"/>
        </w:rPr>
        <w:t> </w:t>
      </w:r>
      <w:r>
        <w:rPr>
          <w:sz w:val="20"/>
        </w:rPr>
        <w:t>de</w:t>
      </w:r>
      <w:r>
        <w:rPr>
          <w:spacing w:val="-5"/>
          <w:sz w:val="20"/>
        </w:rPr>
        <w:t> </w:t>
      </w:r>
      <w:r>
        <w:rPr>
          <w:sz w:val="20"/>
        </w:rPr>
        <w:t>las</w:t>
      </w:r>
      <w:r>
        <w:rPr>
          <w:spacing w:val="-3"/>
          <w:sz w:val="20"/>
        </w:rPr>
        <w:t> </w:t>
      </w:r>
      <w:r>
        <w:rPr>
          <w:sz w:val="20"/>
        </w:rPr>
        <w:t>que</w:t>
      </w:r>
      <w:r>
        <w:rPr>
          <w:spacing w:val="-5"/>
          <w:sz w:val="20"/>
        </w:rPr>
        <w:t> </w:t>
      </w:r>
      <w:r>
        <w:rPr>
          <w:sz w:val="20"/>
        </w:rPr>
        <w:t>dependen,</w:t>
      </w:r>
      <w:r>
        <w:rPr>
          <w:spacing w:val="-5"/>
          <w:sz w:val="20"/>
        </w:rPr>
        <w:t> </w:t>
      </w:r>
      <w:r>
        <w:rPr>
          <w:sz w:val="20"/>
        </w:rPr>
        <w:t>tomen</w:t>
      </w:r>
      <w:r>
        <w:rPr>
          <w:spacing w:val="-3"/>
          <w:sz w:val="20"/>
        </w:rPr>
        <w:t> </w:t>
      </w:r>
      <w:r>
        <w:rPr>
          <w:sz w:val="20"/>
        </w:rPr>
        <w:t>las</w:t>
      </w:r>
      <w:r>
        <w:rPr>
          <w:spacing w:val="-3"/>
          <w:sz w:val="20"/>
        </w:rPr>
        <w:t> </w:t>
      </w:r>
      <w:r>
        <w:rPr>
          <w:sz w:val="20"/>
        </w:rPr>
        <w:t>medidas</w:t>
      </w:r>
      <w:r>
        <w:rPr>
          <w:spacing w:val="-4"/>
          <w:sz w:val="20"/>
        </w:rPr>
        <w:t> </w:t>
      </w:r>
      <w:r>
        <w:rPr>
          <w:sz w:val="20"/>
        </w:rPr>
        <w:t>necesarias</w:t>
      </w:r>
      <w:r>
        <w:rPr>
          <w:spacing w:val="-5"/>
          <w:sz w:val="20"/>
        </w:rPr>
        <w:t> </w:t>
      </w:r>
      <w:r>
        <w:rPr>
          <w:sz w:val="20"/>
        </w:rPr>
        <w:t>para</w:t>
      </w:r>
      <w:r>
        <w:rPr>
          <w:spacing w:val="-3"/>
          <w:sz w:val="20"/>
        </w:rPr>
        <w:t> </w:t>
      </w:r>
      <w:r>
        <w:rPr>
          <w:sz w:val="20"/>
        </w:rPr>
        <w:t>exigir el reintegro de las subvenciones pendientes de justificar y evitar así la prescripción del</w:t>
      </w:r>
      <w:r>
        <w:rPr>
          <w:spacing w:val="-1"/>
          <w:sz w:val="20"/>
        </w:rPr>
        <w:t> </w:t>
      </w:r>
      <w:r>
        <w:rPr>
          <w:sz w:val="20"/>
        </w:rPr>
        <w:t>derecho.</w:t>
      </w:r>
    </w:p>
    <w:p>
      <w:pPr>
        <w:pStyle w:val="BodyText"/>
        <w:spacing w:before="2"/>
        <w:rPr>
          <w:sz w:val="16"/>
        </w:rPr>
      </w:pPr>
    </w:p>
    <w:p>
      <w:pPr>
        <w:pStyle w:val="Heading1"/>
        <w:ind w:left="2099"/>
        <w:jc w:val="left"/>
      </w:pPr>
      <w:r>
        <w:rPr/>
        <w:t>Fundaciones.</w:t>
      </w:r>
    </w:p>
    <w:p>
      <w:pPr>
        <w:pStyle w:val="BodyText"/>
        <w:spacing w:before="8"/>
        <w:rPr>
          <w:b/>
          <w:sz w:val="16"/>
        </w:rPr>
      </w:pPr>
    </w:p>
    <w:p>
      <w:pPr>
        <w:pStyle w:val="ListParagraph"/>
        <w:numPr>
          <w:ilvl w:val="0"/>
          <w:numId w:val="114"/>
        </w:numPr>
        <w:tabs>
          <w:tab w:pos="2337" w:val="left" w:leader="none"/>
        </w:tabs>
        <w:spacing w:line="240" w:lineRule="auto" w:before="0" w:after="0"/>
        <w:ind w:left="2336" w:right="1143" w:hanging="238"/>
        <w:jc w:val="both"/>
        <w:rPr>
          <w:sz w:val="20"/>
        </w:rPr>
      </w:pPr>
      <w:r>
        <w:rPr>
          <w:sz w:val="20"/>
        </w:rPr>
        <w:t>Se recomienda que se regule el establecimiento y la correcta definición de los objetivos e indicadores que posibilite el seguimiento efectivo de la actividad de las fundaciones, tanto ex ante en las memorias explicativas de sus presupuestos, como ex post en el informe económico-financiero indicativo de la actividad</w:t>
      </w:r>
      <w:r>
        <w:rPr>
          <w:spacing w:val="9"/>
          <w:sz w:val="20"/>
        </w:rPr>
        <w:t> </w:t>
      </w:r>
      <w:r>
        <w:rPr>
          <w:sz w:val="20"/>
        </w:rPr>
        <w:t>ejecutada.</w:t>
      </w:r>
    </w:p>
    <w:p>
      <w:pPr>
        <w:pStyle w:val="BodyText"/>
        <w:rPr>
          <w:sz w:val="17"/>
        </w:rPr>
      </w:pPr>
    </w:p>
    <w:p>
      <w:pPr>
        <w:pStyle w:val="BodyText"/>
        <w:spacing w:before="1"/>
        <w:ind w:left="2693"/>
      </w:pPr>
      <w:r>
        <w:rPr/>
        <w:t>Santa Cruz de Tenerife, a 28 de diciembre de 2023.</w:t>
      </w:r>
    </w:p>
    <w:p>
      <w:pPr>
        <w:pStyle w:val="BodyText"/>
        <w:spacing w:before="10"/>
        <w:rPr>
          <w:sz w:val="16"/>
        </w:rPr>
      </w:pPr>
    </w:p>
    <w:p>
      <w:pPr>
        <w:pStyle w:val="BodyText"/>
        <w:spacing w:line="439" w:lineRule="auto"/>
        <w:ind w:left="2099" w:right="5589"/>
      </w:pPr>
      <w:r>
        <w:rPr/>
        <w:t>EL PRESIDENTE en funciones Pedro Pacheco González</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2"/>
        </w:rPr>
      </w:pPr>
    </w:p>
    <w:p>
      <w:pPr>
        <w:pStyle w:val="BodyText"/>
        <w:spacing w:before="61"/>
        <w:ind w:left="7787"/>
        <w:jc w:val="center"/>
      </w:pPr>
      <w:r>
        <w:rPr/>
        <w:t>166</w:t>
      </w:r>
    </w:p>
    <w:p>
      <w:pPr>
        <w:pStyle w:val="Heading1"/>
        <w:spacing w:before="1"/>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47" name="image5.png"/>
                  <wp:cNvGraphicFramePr>
                    <a:graphicFrameLocks noChangeAspect="1"/>
                  </wp:cNvGraphicFramePr>
                  <a:graphic>
                    <a:graphicData uri="http://schemas.openxmlformats.org/drawingml/2006/picture">
                      <pic:pic>
                        <pic:nvPicPr>
                          <pic:cNvPr id="34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168/247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7"/>
        </w:rPr>
      </w:pPr>
    </w:p>
    <w:p>
      <w:pPr>
        <w:pStyle w:val="ListParagraph"/>
        <w:numPr>
          <w:ilvl w:val="0"/>
          <w:numId w:val="94"/>
        </w:numPr>
        <w:tabs>
          <w:tab w:pos="5502" w:val="left" w:leader="none"/>
        </w:tabs>
        <w:spacing w:line="240" w:lineRule="auto" w:before="60" w:after="0"/>
        <w:ind w:left="5501" w:right="0" w:hanging="364"/>
        <w:jc w:val="left"/>
        <w:rPr>
          <w:b/>
          <w:sz w:val="20"/>
        </w:rPr>
      </w:pPr>
      <w:r>
        <w:rPr>
          <w:b/>
          <w:color w:val="53A1B9"/>
          <w:sz w:val="20"/>
        </w:rPr>
        <w:t>ANEXOS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5"/>
        </w:rPr>
      </w:pPr>
    </w:p>
    <w:p>
      <w:pPr>
        <w:pStyle w:val="BodyText"/>
        <w:ind w:left="7787"/>
        <w:jc w:val="center"/>
      </w:pPr>
      <w:r>
        <w:rPr/>
        <w:t>167</w:t>
      </w:r>
    </w:p>
    <w:p>
      <w:pPr>
        <w:pStyle w:val="Heading1"/>
        <w:spacing w:before="2"/>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49" name="image5.png"/>
                  <wp:cNvGraphicFramePr>
                    <a:graphicFrameLocks noChangeAspect="1"/>
                  </wp:cNvGraphicFramePr>
                  <a:graphic>
                    <a:graphicData uri="http://schemas.openxmlformats.org/drawingml/2006/picture">
                      <pic:pic>
                        <pic:nvPicPr>
                          <pic:cNvPr id="35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169/247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ind w:left="2040"/>
      </w:pPr>
      <w:r>
        <w:rPr/>
        <w:drawing>
          <wp:inline distT="0" distB="0" distL="0" distR="0">
            <wp:extent cx="1494555" cy="540639"/>
            <wp:effectExtent l="0" t="0" r="0" b="0"/>
            <wp:docPr id="351" name="image7.jpeg"/>
            <wp:cNvGraphicFramePr>
              <a:graphicFrameLocks noChangeAspect="1"/>
            </wp:cNvGraphicFramePr>
            <a:graphic>
              <a:graphicData uri="http://schemas.openxmlformats.org/drawingml/2006/picture">
                <pic:pic>
                  <pic:nvPicPr>
                    <pic:cNvPr id="352" name="image7.jpeg"/>
                    <pic:cNvPicPr/>
                  </pic:nvPicPr>
                  <pic:blipFill>
                    <a:blip r:embed="rId21" cstate="print"/>
                    <a:stretch>
                      <a:fillRect/>
                    </a:stretch>
                  </pic:blipFill>
                  <pic:spPr>
                    <a:xfrm>
                      <a:off x="0" y="0"/>
                      <a:ext cx="1494555" cy="540639"/>
                    </a:xfrm>
                    <a:prstGeom prst="rect">
                      <a:avLst/>
                    </a:prstGeom>
                  </pic:spPr>
                </pic:pic>
              </a:graphicData>
            </a:graphic>
          </wp:inline>
        </w:drawing>
      </w:r>
      <w:r>
        <w:rPr/>
      </w:r>
    </w:p>
    <w:p>
      <w:pPr>
        <w:pStyle w:val="BodyText"/>
        <w:spacing w:before="10"/>
        <w:rPr>
          <w:b/>
          <w:sz w:val="15"/>
        </w:rPr>
      </w:pPr>
    </w:p>
    <w:p>
      <w:pPr>
        <w:pStyle w:val="ListParagraph"/>
        <w:numPr>
          <w:ilvl w:val="1"/>
          <w:numId w:val="112"/>
        </w:numPr>
        <w:tabs>
          <w:tab w:pos="2490" w:val="left" w:leader="none"/>
        </w:tabs>
        <w:spacing w:line="240" w:lineRule="auto" w:before="68" w:after="0"/>
        <w:ind w:left="2489" w:right="0" w:hanging="449"/>
        <w:jc w:val="left"/>
        <w:rPr>
          <w:b/>
          <w:sz w:val="18"/>
        </w:rPr>
      </w:pPr>
      <w:r>
        <w:rPr>
          <w:b/>
          <w:color w:val="53A1B9"/>
          <w:w w:val="105"/>
          <w:sz w:val="18"/>
        </w:rPr>
        <w:t>Anexo I. Relación de documentos no remitidos o recibidos fuera de</w:t>
      </w:r>
      <w:r>
        <w:rPr>
          <w:b/>
          <w:color w:val="53A1B9"/>
          <w:spacing w:val="-20"/>
          <w:w w:val="105"/>
          <w:sz w:val="18"/>
        </w:rPr>
        <w:t> </w:t>
      </w:r>
      <w:r>
        <w:rPr>
          <w:b/>
          <w:color w:val="53A1B9"/>
          <w:w w:val="105"/>
          <w:sz w:val="18"/>
        </w:rPr>
        <w:t>plazo.</w:t>
      </w:r>
    </w:p>
    <w:p>
      <w:pPr>
        <w:pStyle w:val="BodyText"/>
        <w:spacing w:before="5" w:after="1"/>
        <w:rPr>
          <w:b/>
          <w:sz w:val="15"/>
        </w:rPr>
      </w:pPr>
    </w:p>
    <w:tbl>
      <w:tblPr>
        <w:tblW w:w="0" w:type="auto"/>
        <w:jc w:val="left"/>
        <w:tblInd w:w="2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731"/>
        <w:gridCol w:w="5110"/>
        <w:gridCol w:w="824"/>
        <w:gridCol w:w="854"/>
        <w:gridCol w:w="2316"/>
        <w:gridCol w:w="589"/>
      </w:tblGrid>
      <w:tr>
        <w:trPr>
          <w:trHeight w:val="340" w:hRule="atLeast"/>
        </w:trPr>
        <w:tc>
          <w:tcPr>
            <w:tcW w:w="653" w:type="dxa"/>
            <w:shd w:val="clear" w:color="auto" w:fill="DEEAF6"/>
          </w:tcPr>
          <w:p>
            <w:pPr>
              <w:pStyle w:val="TableParagraph"/>
              <w:spacing w:line="171" w:lineRule="exact"/>
              <w:ind w:left="174"/>
              <w:rPr>
                <w:b/>
                <w:sz w:val="14"/>
              </w:rPr>
            </w:pPr>
            <w:r>
              <w:rPr>
                <w:b/>
                <w:sz w:val="14"/>
              </w:rPr>
              <w:t>Nº</w:t>
            </w:r>
            <w:r>
              <w:rPr>
                <w:b/>
                <w:spacing w:val="-1"/>
                <w:sz w:val="14"/>
              </w:rPr>
              <w:t> </w:t>
            </w:r>
            <w:r>
              <w:rPr>
                <w:b/>
                <w:sz w:val="14"/>
              </w:rPr>
              <w:t>R.</w:t>
            </w:r>
          </w:p>
          <w:p>
            <w:pPr>
              <w:pStyle w:val="TableParagraph"/>
              <w:spacing w:line="150" w:lineRule="exact"/>
              <w:ind w:left="150"/>
              <w:rPr>
                <w:b/>
                <w:sz w:val="14"/>
              </w:rPr>
            </w:pPr>
            <w:r>
              <w:rPr>
                <w:b/>
                <w:sz w:val="14"/>
              </w:rPr>
              <w:t>Salida</w:t>
            </w:r>
          </w:p>
        </w:tc>
        <w:tc>
          <w:tcPr>
            <w:tcW w:w="731" w:type="dxa"/>
            <w:shd w:val="clear" w:color="auto" w:fill="DEEAF6"/>
          </w:tcPr>
          <w:p>
            <w:pPr>
              <w:pStyle w:val="TableParagraph"/>
              <w:spacing w:line="171" w:lineRule="exact"/>
              <w:ind w:left="194"/>
              <w:rPr>
                <w:b/>
                <w:sz w:val="14"/>
              </w:rPr>
            </w:pPr>
            <w:r>
              <w:rPr>
                <w:b/>
                <w:sz w:val="14"/>
              </w:rPr>
              <w:t>Fecha</w:t>
            </w:r>
          </w:p>
          <w:p>
            <w:pPr>
              <w:pStyle w:val="TableParagraph"/>
              <w:spacing w:line="150" w:lineRule="exact"/>
              <w:ind w:left="117"/>
              <w:rPr>
                <w:b/>
                <w:sz w:val="14"/>
              </w:rPr>
            </w:pPr>
            <w:r>
              <w:rPr>
                <w:b/>
                <w:sz w:val="14"/>
              </w:rPr>
              <w:t>solicitud</w:t>
            </w:r>
          </w:p>
        </w:tc>
        <w:tc>
          <w:tcPr>
            <w:tcW w:w="5110" w:type="dxa"/>
            <w:shd w:val="clear" w:color="auto" w:fill="DEEAF6"/>
          </w:tcPr>
          <w:p>
            <w:pPr>
              <w:pStyle w:val="TableParagraph"/>
              <w:spacing w:before="85"/>
              <w:ind w:left="1931" w:right="1929"/>
              <w:jc w:val="center"/>
              <w:rPr>
                <w:b/>
                <w:sz w:val="14"/>
              </w:rPr>
            </w:pPr>
            <w:r>
              <w:rPr>
                <w:b/>
                <w:sz w:val="14"/>
              </w:rPr>
              <w:t>Descripción solicitud</w:t>
            </w:r>
          </w:p>
        </w:tc>
        <w:tc>
          <w:tcPr>
            <w:tcW w:w="824" w:type="dxa"/>
            <w:shd w:val="clear" w:color="auto" w:fill="DEEAF6"/>
          </w:tcPr>
          <w:p>
            <w:pPr>
              <w:pStyle w:val="TableParagraph"/>
              <w:spacing w:line="171" w:lineRule="exact"/>
              <w:ind w:left="57"/>
              <w:rPr>
                <w:b/>
                <w:sz w:val="14"/>
              </w:rPr>
            </w:pPr>
            <w:r>
              <w:rPr>
                <w:b/>
                <w:sz w:val="14"/>
              </w:rPr>
              <w:t>Fecha límite</w:t>
            </w:r>
          </w:p>
          <w:p>
            <w:pPr>
              <w:pStyle w:val="TableParagraph"/>
              <w:spacing w:line="150" w:lineRule="exact"/>
              <w:ind w:left="123"/>
              <w:rPr>
                <w:b/>
                <w:sz w:val="14"/>
              </w:rPr>
            </w:pPr>
            <w:r>
              <w:rPr>
                <w:b/>
                <w:sz w:val="14"/>
              </w:rPr>
              <w:t>respuesta</w:t>
            </w:r>
          </w:p>
        </w:tc>
        <w:tc>
          <w:tcPr>
            <w:tcW w:w="854" w:type="dxa"/>
            <w:shd w:val="clear" w:color="auto" w:fill="DEEAF6"/>
          </w:tcPr>
          <w:p>
            <w:pPr>
              <w:pStyle w:val="TableParagraph"/>
              <w:spacing w:line="171" w:lineRule="exact"/>
              <w:ind w:left="167"/>
              <w:rPr>
                <w:b/>
                <w:sz w:val="14"/>
              </w:rPr>
            </w:pPr>
            <w:r>
              <w:rPr>
                <w:b/>
                <w:sz w:val="14"/>
              </w:rPr>
              <w:t>Fecha</w:t>
            </w:r>
            <w:r>
              <w:rPr>
                <w:b/>
                <w:spacing w:val="-4"/>
                <w:sz w:val="14"/>
              </w:rPr>
              <w:t> </w:t>
            </w:r>
            <w:r>
              <w:rPr>
                <w:b/>
                <w:sz w:val="14"/>
              </w:rPr>
              <w:t>de</w:t>
            </w:r>
          </w:p>
          <w:p>
            <w:pPr>
              <w:pStyle w:val="TableParagraph"/>
              <w:spacing w:line="150" w:lineRule="exact"/>
              <w:ind w:left="195"/>
              <w:rPr>
                <w:b/>
                <w:sz w:val="14"/>
              </w:rPr>
            </w:pPr>
            <w:r>
              <w:rPr>
                <w:b/>
                <w:sz w:val="14"/>
              </w:rPr>
              <w:t>entrada</w:t>
            </w:r>
          </w:p>
        </w:tc>
        <w:tc>
          <w:tcPr>
            <w:tcW w:w="2316" w:type="dxa"/>
            <w:shd w:val="clear" w:color="auto" w:fill="DEEAF6"/>
          </w:tcPr>
          <w:p>
            <w:pPr>
              <w:pStyle w:val="TableParagraph"/>
              <w:spacing w:before="85"/>
              <w:ind w:left="729"/>
              <w:rPr>
                <w:b/>
                <w:sz w:val="14"/>
              </w:rPr>
            </w:pPr>
            <w:r>
              <w:rPr>
                <w:b/>
                <w:sz w:val="14"/>
              </w:rPr>
              <w:t>Observaciones</w:t>
            </w:r>
          </w:p>
        </w:tc>
        <w:tc>
          <w:tcPr>
            <w:tcW w:w="589" w:type="dxa"/>
            <w:shd w:val="clear" w:color="auto" w:fill="DEEAF6"/>
          </w:tcPr>
          <w:p>
            <w:pPr>
              <w:pStyle w:val="TableParagraph"/>
              <w:spacing w:line="171" w:lineRule="exact"/>
              <w:ind w:left="79"/>
              <w:rPr>
                <w:b/>
                <w:sz w:val="14"/>
              </w:rPr>
            </w:pPr>
            <w:r>
              <w:rPr>
                <w:b/>
                <w:sz w:val="14"/>
              </w:rPr>
              <w:t>Días</w:t>
            </w:r>
            <w:r>
              <w:rPr>
                <w:b/>
                <w:spacing w:val="-2"/>
                <w:sz w:val="14"/>
              </w:rPr>
              <w:t> </w:t>
            </w:r>
            <w:r>
              <w:rPr>
                <w:b/>
                <w:sz w:val="14"/>
              </w:rPr>
              <w:t>de</w:t>
            </w:r>
          </w:p>
          <w:p>
            <w:pPr>
              <w:pStyle w:val="TableParagraph"/>
              <w:spacing w:line="150" w:lineRule="exact"/>
              <w:ind w:left="83"/>
              <w:rPr>
                <w:b/>
                <w:sz w:val="14"/>
              </w:rPr>
            </w:pPr>
            <w:r>
              <w:rPr>
                <w:b/>
                <w:sz w:val="14"/>
              </w:rPr>
              <w:t>retraso</w:t>
            </w:r>
          </w:p>
        </w:tc>
      </w:tr>
      <w:tr>
        <w:trPr>
          <w:trHeight w:val="172" w:hRule="atLeast"/>
        </w:trPr>
        <w:tc>
          <w:tcPr>
            <w:tcW w:w="653" w:type="dxa"/>
            <w:vMerge w:val="restart"/>
          </w:tcPr>
          <w:p>
            <w:pPr>
              <w:pStyle w:val="TableParagraph"/>
              <w:spacing w:before="93"/>
              <w:ind w:left="219"/>
              <w:rPr>
                <w:sz w:val="14"/>
              </w:rPr>
            </w:pPr>
            <w:r>
              <w:rPr>
                <w:sz w:val="14"/>
              </w:rPr>
              <w:t>529</w:t>
            </w:r>
          </w:p>
        </w:tc>
        <w:tc>
          <w:tcPr>
            <w:tcW w:w="731" w:type="dxa"/>
            <w:vMerge w:val="restart"/>
          </w:tcPr>
          <w:p>
            <w:pPr>
              <w:pStyle w:val="TableParagraph"/>
              <w:spacing w:before="93"/>
              <w:ind w:left="199"/>
              <w:rPr>
                <w:sz w:val="14"/>
              </w:rPr>
            </w:pPr>
            <w:r>
              <w:rPr>
                <w:sz w:val="14"/>
              </w:rPr>
              <w:t>27-jul</w:t>
            </w:r>
          </w:p>
        </w:tc>
        <w:tc>
          <w:tcPr>
            <w:tcW w:w="5110" w:type="dxa"/>
            <w:vMerge w:val="restart"/>
          </w:tcPr>
          <w:p>
            <w:pPr>
              <w:pStyle w:val="TableParagraph"/>
              <w:spacing w:before="93"/>
              <w:ind w:left="52"/>
              <w:rPr>
                <w:sz w:val="14"/>
              </w:rPr>
            </w:pPr>
            <w:r>
              <w:rPr>
                <w:sz w:val="14"/>
              </w:rPr>
              <w:t>Solicitud relativa a los excesos de financiación afectada.</w:t>
            </w:r>
          </w:p>
        </w:tc>
        <w:tc>
          <w:tcPr>
            <w:tcW w:w="824" w:type="dxa"/>
            <w:vMerge w:val="restart"/>
          </w:tcPr>
          <w:p>
            <w:pPr>
              <w:pStyle w:val="TableParagraph"/>
              <w:spacing w:before="93"/>
              <w:ind w:left="212"/>
              <w:rPr>
                <w:sz w:val="14"/>
              </w:rPr>
            </w:pPr>
            <w:r>
              <w:rPr>
                <w:sz w:val="14"/>
              </w:rPr>
              <w:t>25-ago</w:t>
            </w:r>
          </w:p>
        </w:tc>
        <w:tc>
          <w:tcPr>
            <w:tcW w:w="854" w:type="dxa"/>
            <w:vMerge w:val="restart"/>
          </w:tcPr>
          <w:p>
            <w:pPr>
              <w:pStyle w:val="TableParagraph"/>
              <w:spacing w:before="93"/>
              <w:ind w:left="229"/>
              <w:rPr>
                <w:sz w:val="14"/>
              </w:rPr>
            </w:pPr>
            <w:r>
              <w:rPr>
                <w:sz w:val="14"/>
              </w:rPr>
              <w:t>25-ago</w:t>
            </w:r>
          </w:p>
        </w:tc>
        <w:tc>
          <w:tcPr>
            <w:tcW w:w="2316" w:type="dxa"/>
          </w:tcPr>
          <w:p>
            <w:pPr>
              <w:pStyle w:val="TableParagraph"/>
              <w:spacing w:line="151" w:lineRule="exact" w:before="1"/>
              <w:ind w:left="52"/>
              <w:rPr>
                <w:sz w:val="14"/>
              </w:rPr>
            </w:pPr>
            <w:r>
              <w:rPr>
                <w:sz w:val="14"/>
              </w:rPr>
              <w:t>19 de septiembre envío II</w:t>
            </w:r>
          </w:p>
        </w:tc>
        <w:tc>
          <w:tcPr>
            <w:tcW w:w="589" w:type="dxa"/>
          </w:tcPr>
          <w:p>
            <w:pPr>
              <w:pStyle w:val="TableParagraph"/>
              <w:spacing w:line="151" w:lineRule="exact" w:before="1"/>
              <w:ind w:left="225"/>
              <w:rPr>
                <w:sz w:val="14"/>
              </w:rPr>
            </w:pPr>
            <w:r>
              <w:rPr>
                <w:sz w:val="14"/>
              </w:rPr>
              <w:t>16</w:t>
            </w:r>
          </w:p>
        </w:tc>
      </w:tr>
      <w:tr>
        <w:trPr>
          <w:trHeight w:val="174" w:hRule="atLeast"/>
        </w:trPr>
        <w:tc>
          <w:tcPr>
            <w:tcW w:w="653" w:type="dxa"/>
            <w:vMerge/>
            <w:tcBorders>
              <w:top w:val="nil"/>
            </w:tcBorders>
          </w:tcPr>
          <w:p>
            <w:pPr>
              <w:rPr>
                <w:sz w:val="2"/>
                <w:szCs w:val="2"/>
              </w:rPr>
            </w:pPr>
          </w:p>
        </w:tc>
        <w:tc>
          <w:tcPr>
            <w:tcW w:w="731" w:type="dxa"/>
            <w:vMerge/>
            <w:tcBorders>
              <w:top w:val="nil"/>
            </w:tcBorders>
          </w:tcPr>
          <w:p>
            <w:pPr>
              <w:rPr>
                <w:sz w:val="2"/>
                <w:szCs w:val="2"/>
              </w:rPr>
            </w:pPr>
          </w:p>
        </w:tc>
        <w:tc>
          <w:tcPr>
            <w:tcW w:w="5110" w:type="dxa"/>
            <w:vMerge/>
            <w:tcBorders>
              <w:top w:val="nil"/>
            </w:tcBorders>
          </w:tcPr>
          <w:p>
            <w:pPr>
              <w:rPr>
                <w:sz w:val="2"/>
                <w:szCs w:val="2"/>
              </w:rPr>
            </w:pPr>
          </w:p>
        </w:tc>
        <w:tc>
          <w:tcPr>
            <w:tcW w:w="824" w:type="dxa"/>
            <w:vMerge/>
            <w:tcBorders>
              <w:top w:val="nil"/>
            </w:tcBorders>
          </w:tcPr>
          <w:p>
            <w:pPr>
              <w:rPr>
                <w:sz w:val="2"/>
                <w:szCs w:val="2"/>
              </w:rPr>
            </w:pPr>
          </w:p>
        </w:tc>
        <w:tc>
          <w:tcPr>
            <w:tcW w:w="854" w:type="dxa"/>
            <w:vMerge/>
            <w:tcBorders>
              <w:top w:val="nil"/>
            </w:tcBorders>
          </w:tcPr>
          <w:p>
            <w:pPr>
              <w:rPr>
                <w:sz w:val="2"/>
                <w:szCs w:val="2"/>
              </w:rPr>
            </w:pPr>
          </w:p>
        </w:tc>
        <w:tc>
          <w:tcPr>
            <w:tcW w:w="2316" w:type="dxa"/>
          </w:tcPr>
          <w:p>
            <w:pPr>
              <w:pStyle w:val="TableParagraph"/>
              <w:spacing w:line="153" w:lineRule="exact" w:before="1"/>
              <w:ind w:left="52"/>
              <w:rPr>
                <w:sz w:val="14"/>
              </w:rPr>
            </w:pPr>
            <w:r>
              <w:rPr>
                <w:sz w:val="14"/>
              </w:rPr>
              <w:t>22 de septiembre envío III</w:t>
            </w:r>
          </w:p>
        </w:tc>
        <w:tc>
          <w:tcPr>
            <w:tcW w:w="589" w:type="dxa"/>
          </w:tcPr>
          <w:p>
            <w:pPr>
              <w:pStyle w:val="TableParagraph"/>
              <w:spacing w:line="153" w:lineRule="exact" w:before="1"/>
              <w:ind w:left="225"/>
              <w:rPr>
                <w:sz w:val="14"/>
              </w:rPr>
            </w:pPr>
            <w:r>
              <w:rPr>
                <w:sz w:val="14"/>
              </w:rPr>
              <w:t>19</w:t>
            </w:r>
          </w:p>
        </w:tc>
      </w:tr>
      <w:tr>
        <w:trPr>
          <w:trHeight w:val="510" w:hRule="atLeast"/>
        </w:trPr>
        <w:tc>
          <w:tcPr>
            <w:tcW w:w="653" w:type="dxa"/>
          </w:tcPr>
          <w:p>
            <w:pPr>
              <w:pStyle w:val="TableParagraph"/>
              <w:spacing w:before="10"/>
              <w:rPr>
                <w:b/>
                <w:sz w:val="13"/>
              </w:rPr>
            </w:pPr>
          </w:p>
          <w:p>
            <w:pPr>
              <w:pStyle w:val="TableParagraph"/>
              <w:ind w:left="198" w:right="191"/>
              <w:jc w:val="center"/>
              <w:rPr>
                <w:sz w:val="14"/>
              </w:rPr>
            </w:pPr>
            <w:r>
              <w:rPr>
                <w:sz w:val="14"/>
              </w:rPr>
              <w:t>621</w:t>
            </w:r>
          </w:p>
        </w:tc>
        <w:tc>
          <w:tcPr>
            <w:tcW w:w="731" w:type="dxa"/>
          </w:tcPr>
          <w:p>
            <w:pPr>
              <w:pStyle w:val="TableParagraph"/>
              <w:spacing w:before="10"/>
              <w:rPr>
                <w:b/>
                <w:sz w:val="13"/>
              </w:rPr>
            </w:pPr>
          </w:p>
          <w:p>
            <w:pPr>
              <w:pStyle w:val="TableParagraph"/>
              <w:ind w:left="145" w:right="143"/>
              <w:jc w:val="center"/>
              <w:rPr>
                <w:sz w:val="14"/>
              </w:rPr>
            </w:pPr>
            <w:r>
              <w:rPr>
                <w:sz w:val="14"/>
              </w:rPr>
              <w:t>31-ago</w:t>
            </w:r>
          </w:p>
        </w:tc>
        <w:tc>
          <w:tcPr>
            <w:tcW w:w="5110" w:type="dxa"/>
          </w:tcPr>
          <w:p>
            <w:pPr>
              <w:pStyle w:val="TableParagraph"/>
              <w:ind w:left="52"/>
              <w:rPr>
                <w:sz w:val="14"/>
              </w:rPr>
            </w:pPr>
            <w:r>
              <w:rPr>
                <w:sz w:val="14"/>
              </w:rPr>
              <w:t>Solicitud de información al objeto de verificación de la aplicación del Acuerdo de Gobierno de 20 de enero de 2022 por el que se suspende la aplicación del CFP a</w:t>
            </w:r>
          </w:p>
          <w:p>
            <w:pPr>
              <w:pStyle w:val="TableParagraph"/>
              <w:spacing w:line="149" w:lineRule="exact"/>
              <w:ind w:left="52"/>
              <w:rPr>
                <w:sz w:val="14"/>
              </w:rPr>
            </w:pPr>
            <w:r>
              <w:rPr>
                <w:sz w:val="14"/>
              </w:rPr>
              <w:t>determinados procedimientos. (Informe general función interventora. Anexo).</w:t>
            </w:r>
          </w:p>
        </w:tc>
        <w:tc>
          <w:tcPr>
            <w:tcW w:w="824" w:type="dxa"/>
          </w:tcPr>
          <w:p>
            <w:pPr>
              <w:pStyle w:val="TableParagraph"/>
              <w:spacing w:before="10"/>
              <w:rPr>
                <w:b/>
                <w:sz w:val="13"/>
              </w:rPr>
            </w:pPr>
          </w:p>
          <w:p>
            <w:pPr>
              <w:pStyle w:val="TableParagraph"/>
              <w:ind w:left="196" w:right="194"/>
              <w:jc w:val="center"/>
              <w:rPr>
                <w:sz w:val="14"/>
              </w:rPr>
            </w:pPr>
            <w:r>
              <w:rPr>
                <w:sz w:val="14"/>
              </w:rPr>
              <w:t>22-sep</w:t>
            </w:r>
          </w:p>
        </w:tc>
        <w:tc>
          <w:tcPr>
            <w:tcW w:w="854" w:type="dxa"/>
          </w:tcPr>
          <w:p>
            <w:pPr>
              <w:pStyle w:val="TableParagraph"/>
              <w:spacing w:before="10"/>
              <w:rPr>
                <w:b/>
                <w:sz w:val="13"/>
              </w:rPr>
            </w:pPr>
          </w:p>
          <w:p>
            <w:pPr>
              <w:pStyle w:val="TableParagraph"/>
              <w:ind w:right="228"/>
              <w:jc w:val="right"/>
              <w:rPr>
                <w:sz w:val="14"/>
              </w:rPr>
            </w:pPr>
            <w:r>
              <w:rPr>
                <w:sz w:val="14"/>
              </w:rPr>
              <w:t>26-sep</w:t>
            </w:r>
          </w:p>
        </w:tc>
        <w:tc>
          <w:tcPr>
            <w:tcW w:w="2316" w:type="dxa"/>
          </w:tcPr>
          <w:p>
            <w:pPr>
              <w:pStyle w:val="TableParagraph"/>
              <w:rPr>
                <w:rFonts w:ascii="Times New Roman"/>
                <w:sz w:val="12"/>
              </w:rPr>
            </w:pPr>
          </w:p>
        </w:tc>
        <w:tc>
          <w:tcPr>
            <w:tcW w:w="589" w:type="dxa"/>
          </w:tcPr>
          <w:p>
            <w:pPr>
              <w:pStyle w:val="TableParagraph"/>
              <w:spacing w:before="10"/>
              <w:rPr>
                <w:b/>
                <w:sz w:val="13"/>
              </w:rPr>
            </w:pPr>
          </w:p>
          <w:p>
            <w:pPr>
              <w:pStyle w:val="TableParagraph"/>
              <w:ind w:left="260"/>
              <w:rPr>
                <w:sz w:val="14"/>
              </w:rPr>
            </w:pPr>
            <w:r>
              <w:rPr>
                <w:sz w:val="14"/>
              </w:rPr>
              <w:t>4</w:t>
            </w:r>
          </w:p>
        </w:tc>
      </w:tr>
      <w:tr>
        <w:trPr>
          <w:trHeight w:val="679" w:hRule="atLeast"/>
        </w:trPr>
        <w:tc>
          <w:tcPr>
            <w:tcW w:w="653" w:type="dxa"/>
          </w:tcPr>
          <w:p>
            <w:pPr>
              <w:pStyle w:val="TableParagraph"/>
              <w:spacing w:before="10"/>
              <w:rPr>
                <w:b/>
                <w:sz w:val="20"/>
              </w:rPr>
            </w:pPr>
          </w:p>
          <w:p>
            <w:pPr>
              <w:pStyle w:val="TableParagraph"/>
              <w:spacing w:before="1"/>
              <w:ind w:left="198" w:right="191"/>
              <w:jc w:val="center"/>
              <w:rPr>
                <w:sz w:val="14"/>
              </w:rPr>
            </w:pPr>
            <w:r>
              <w:rPr>
                <w:sz w:val="14"/>
              </w:rPr>
              <w:t>636</w:t>
            </w:r>
          </w:p>
        </w:tc>
        <w:tc>
          <w:tcPr>
            <w:tcW w:w="731" w:type="dxa"/>
          </w:tcPr>
          <w:p>
            <w:pPr>
              <w:pStyle w:val="TableParagraph"/>
              <w:spacing w:before="10"/>
              <w:rPr>
                <w:b/>
                <w:sz w:val="20"/>
              </w:rPr>
            </w:pPr>
          </w:p>
          <w:p>
            <w:pPr>
              <w:pStyle w:val="TableParagraph"/>
              <w:spacing w:before="1"/>
              <w:ind w:left="145" w:right="142"/>
              <w:jc w:val="center"/>
              <w:rPr>
                <w:sz w:val="14"/>
              </w:rPr>
            </w:pPr>
            <w:r>
              <w:rPr>
                <w:sz w:val="14"/>
              </w:rPr>
              <w:t>06-sep</w:t>
            </w:r>
          </w:p>
        </w:tc>
        <w:tc>
          <w:tcPr>
            <w:tcW w:w="5110" w:type="dxa"/>
          </w:tcPr>
          <w:p>
            <w:pPr>
              <w:pStyle w:val="TableParagraph"/>
              <w:ind w:left="52"/>
              <w:rPr>
                <w:sz w:val="14"/>
              </w:rPr>
            </w:pPr>
            <w:r>
              <w:rPr>
                <w:sz w:val="14"/>
              </w:rPr>
              <w:t>Copia de “El borrador de Acuerdo entre la Administración General del Estado y el Gobierno de Canarias para articular la ejecución de las Sentencias del Tribunal Supremo 2075/2017, 255/2018, 415/2018 y 1095/2018 derivadas del Convenio de Colaboración</w:t>
            </w:r>
          </w:p>
          <w:p>
            <w:pPr>
              <w:pStyle w:val="TableParagraph"/>
              <w:spacing w:line="147" w:lineRule="exact"/>
              <w:ind w:left="52"/>
              <w:rPr>
                <w:sz w:val="14"/>
              </w:rPr>
            </w:pPr>
            <w:r>
              <w:rPr>
                <w:sz w:val="14"/>
              </w:rPr>
              <w:t>en materia de Carreteras.</w:t>
            </w:r>
          </w:p>
        </w:tc>
        <w:tc>
          <w:tcPr>
            <w:tcW w:w="824" w:type="dxa"/>
          </w:tcPr>
          <w:p>
            <w:pPr>
              <w:pStyle w:val="TableParagraph"/>
              <w:spacing w:before="10"/>
              <w:rPr>
                <w:b/>
                <w:sz w:val="20"/>
              </w:rPr>
            </w:pPr>
          </w:p>
          <w:p>
            <w:pPr>
              <w:pStyle w:val="TableParagraph"/>
              <w:spacing w:before="1"/>
              <w:ind w:left="196" w:right="194"/>
              <w:jc w:val="center"/>
              <w:rPr>
                <w:sz w:val="14"/>
              </w:rPr>
            </w:pPr>
            <w:r>
              <w:rPr>
                <w:sz w:val="14"/>
              </w:rPr>
              <w:t>20-sep</w:t>
            </w:r>
          </w:p>
        </w:tc>
        <w:tc>
          <w:tcPr>
            <w:tcW w:w="854" w:type="dxa"/>
          </w:tcPr>
          <w:p>
            <w:pPr>
              <w:pStyle w:val="TableParagraph"/>
              <w:spacing w:before="10"/>
              <w:rPr>
                <w:b/>
                <w:sz w:val="20"/>
              </w:rPr>
            </w:pPr>
          </w:p>
          <w:p>
            <w:pPr>
              <w:pStyle w:val="TableParagraph"/>
              <w:spacing w:before="1"/>
              <w:ind w:right="228"/>
              <w:jc w:val="right"/>
              <w:rPr>
                <w:sz w:val="14"/>
              </w:rPr>
            </w:pPr>
            <w:r>
              <w:rPr>
                <w:sz w:val="14"/>
              </w:rPr>
              <w:t>22-sep</w:t>
            </w:r>
          </w:p>
        </w:tc>
        <w:tc>
          <w:tcPr>
            <w:tcW w:w="2316" w:type="dxa"/>
          </w:tcPr>
          <w:p>
            <w:pPr>
              <w:pStyle w:val="TableParagraph"/>
              <w:rPr>
                <w:rFonts w:ascii="Times New Roman"/>
                <w:sz w:val="12"/>
              </w:rPr>
            </w:pPr>
          </w:p>
        </w:tc>
        <w:tc>
          <w:tcPr>
            <w:tcW w:w="589" w:type="dxa"/>
          </w:tcPr>
          <w:p>
            <w:pPr>
              <w:pStyle w:val="TableParagraph"/>
              <w:spacing w:before="10"/>
              <w:rPr>
                <w:b/>
                <w:sz w:val="20"/>
              </w:rPr>
            </w:pPr>
          </w:p>
          <w:p>
            <w:pPr>
              <w:pStyle w:val="TableParagraph"/>
              <w:spacing w:before="1"/>
              <w:ind w:left="260"/>
              <w:rPr>
                <w:sz w:val="14"/>
              </w:rPr>
            </w:pPr>
            <w:r>
              <w:rPr>
                <w:sz w:val="14"/>
              </w:rPr>
              <w:t>2</w:t>
            </w:r>
          </w:p>
        </w:tc>
      </w:tr>
      <w:tr>
        <w:trPr>
          <w:trHeight w:val="174" w:hRule="atLeast"/>
        </w:trPr>
        <w:tc>
          <w:tcPr>
            <w:tcW w:w="653" w:type="dxa"/>
          </w:tcPr>
          <w:p>
            <w:pPr>
              <w:pStyle w:val="TableParagraph"/>
              <w:spacing w:line="153" w:lineRule="exact" w:before="1"/>
              <w:ind w:left="198" w:right="191"/>
              <w:jc w:val="center"/>
              <w:rPr>
                <w:sz w:val="14"/>
              </w:rPr>
            </w:pPr>
            <w:r>
              <w:rPr>
                <w:sz w:val="14"/>
              </w:rPr>
              <w:t>639</w:t>
            </w:r>
          </w:p>
        </w:tc>
        <w:tc>
          <w:tcPr>
            <w:tcW w:w="731" w:type="dxa"/>
          </w:tcPr>
          <w:p>
            <w:pPr>
              <w:pStyle w:val="TableParagraph"/>
              <w:spacing w:line="153" w:lineRule="exact" w:before="1"/>
              <w:ind w:left="145" w:right="142"/>
              <w:jc w:val="center"/>
              <w:rPr>
                <w:sz w:val="14"/>
              </w:rPr>
            </w:pPr>
            <w:r>
              <w:rPr>
                <w:sz w:val="14"/>
              </w:rPr>
              <w:t>07-sep</w:t>
            </w:r>
          </w:p>
        </w:tc>
        <w:tc>
          <w:tcPr>
            <w:tcW w:w="5110" w:type="dxa"/>
          </w:tcPr>
          <w:p>
            <w:pPr>
              <w:pStyle w:val="TableParagraph"/>
              <w:spacing w:line="153" w:lineRule="exact" w:before="1"/>
              <w:ind w:left="52"/>
              <w:rPr>
                <w:sz w:val="14"/>
              </w:rPr>
            </w:pPr>
            <w:r>
              <w:rPr>
                <w:sz w:val="14"/>
              </w:rPr>
              <w:t>Gastos relacionados con el volcán de La Palma</w:t>
            </w:r>
          </w:p>
        </w:tc>
        <w:tc>
          <w:tcPr>
            <w:tcW w:w="824" w:type="dxa"/>
          </w:tcPr>
          <w:p>
            <w:pPr>
              <w:pStyle w:val="TableParagraph"/>
              <w:spacing w:line="153" w:lineRule="exact" w:before="1"/>
              <w:ind w:left="196" w:right="194"/>
              <w:jc w:val="center"/>
              <w:rPr>
                <w:sz w:val="14"/>
              </w:rPr>
            </w:pPr>
            <w:r>
              <w:rPr>
                <w:sz w:val="14"/>
              </w:rPr>
              <w:t>15-sep</w:t>
            </w:r>
          </w:p>
        </w:tc>
        <w:tc>
          <w:tcPr>
            <w:tcW w:w="854" w:type="dxa"/>
          </w:tcPr>
          <w:p>
            <w:pPr>
              <w:pStyle w:val="TableParagraph"/>
              <w:spacing w:line="153" w:lineRule="exact" w:before="1"/>
              <w:ind w:right="228"/>
              <w:jc w:val="right"/>
              <w:rPr>
                <w:sz w:val="14"/>
              </w:rPr>
            </w:pPr>
            <w:r>
              <w:rPr>
                <w:sz w:val="14"/>
              </w:rPr>
              <w:t>26-sep</w:t>
            </w:r>
          </w:p>
        </w:tc>
        <w:tc>
          <w:tcPr>
            <w:tcW w:w="2316" w:type="dxa"/>
          </w:tcPr>
          <w:p>
            <w:pPr>
              <w:pStyle w:val="TableParagraph"/>
              <w:rPr>
                <w:rFonts w:ascii="Times New Roman"/>
                <w:sz w:val="10"/>
              </w:rPr>
            </w:pPr>
          </w:p>
        </w:tc>
        <w:tc>
          <w:tcPr>
            <w:tcW w:w="589" w:type="dxa"/>
          </w:tcPr>
          <w:p>
            <w:pPr>
              <w:pStyle w:val="TableParagraph"/>
              <w:spacing w:line="153" w:lineRule="exact" w:before="1"/>
              <w:ind w:left="225"/>
              <w:rPr>
                <w:sz w:val="14"/>
              </w:rPr>
            </w:pPr>
            <w:r>
              <w:rPr>
                <w:sz w:val="14"/>
              </w:rPr>
              <w:t>11</w:t>
            </w:r>
          </w:p>
        </w:tc>
      </w:tr>
      <w:tr>
        <w:trPr>
          <w:trHeight w:val="338" w:hRule="atLeast"/>
        </w:trPr>
        <w:tc>
          <w:tcPr>
            <w:tcW w:w="653" w:type="dxa"/>
          </w:tcPr>
          <w:p>
            <w:pPr>
              <w:pStyle w:val="TableParagraph"/>
              <w:spacing w:before="83"/>
              <w:ind w:left="198" w:right="191"/>
              <w:jc w:val="center"/>
              <w:rPr>
                <w:sz w:val="14"/>
              </w:rPr>
            </w:pPr>
            <w:r>
              <w:rPr>
                <w:sz w:val="14"/>
              </w:rPr>
              <w:t>670</w:t>
            </w:r>
          </w:p>
        </w:tc>
        <w:tc>
          <w:tcPr>
            <w:tcW w:w="731" w:type="dxa"/>
          </w:tcPr>
          <w:p>
            <w:pPr>
              <w:pStyle w:val="TableParagraph"/>
              <w:spacing w:before="83"/>
              <w:ind w:left="145" w:right="142"/>
              <w:jc w:val="center"/>
              <w:rPr>
                <w:sz w:val="14"/>
              </w:rPr>
            </w:pPr>
            <w:r>
              <w:rPr>
                <w:sz w:val="14"/>
              </w:rPr>
              <w:t>18-sep</w:t>
            </w:r>
          </w:p>
        </w:tc>
        <w:tc>
          <w:tcPr>
            <w:tcW w:w="5110" w:type="dxa"/>
          </w:tcPr>
          <w:p>
            <w:pPr>
              <w:pStyle w:val="TableParagraph"/>
              <w:spacing w:line="170" w:lineRule="exact"/>
              <w:ind w:left="52"/>
              <w:rPr>
                <w:sz w:val="14"/>
              </w:rPr>
            </w:pPr>
            <w:r>
              <w:rPr>
                <w:sz w:val="14"/>
              </w:rPr>
              <w:t>Solicitud informe anual de la Junta Consultiva de Contratación Administrativa valorando</w:t>
            </w:r>
          </w:p>
          <w:p>
            <w:pPr>
              <w:pStyle w:val="TableParagraph"/>
              <w:spacing w:line="149" w:lineRule="exact"/>
              <w:ind w:left="52"/>
              <w:rPr>
                <w:sz w:val="14"/>
              </w:rPr>
            </w:pPr>
            <w:r>
              <w:rPr>
                <w:sz w:val="14"/>
              </w:rPr>
              <w:t>el grado de cumplimiento alcanzado y las medidas propuestas</w:t>
            </w:r>
          </w:p>
        </w:tc>
        <w:tc>
          <w:tcPr>
            <w:tcW w:w="824" w:type="dxa"/>
          </w:tcPr>
          <w:p>
            <w:pPr>
              <w:pStyle w:val="TableParagraph"/>
              <w:spacing w:before="83"/>
              <w:ind w:left="196" w:right="194"/>
              <w:jc w:val="center"/>
              <w:rPr>
                <w:sz w:val="14"/>
              </w:rPr>
            </w:pPr>
            <w:r>
              <w:rPr>
                <w:sz w:val="14"/>
              </w:rPr>
              <w:t>21-sep</w:t>
            </w:r>
          </w:p>
        </w:tc>
        <w:tc>
          <w:tcPr>
            <w:tcW w:w="854" w:type="dxa"/>
          </w:tcPr>
          <w:p>
            <w:pPr>
              <w:pStyle w:val="TableParagraph"/>
              <w:spacing w:before="83"/>
              <w:ind w:right="228"/>
              <w:jc w:val="right"/>
              <w:rPr>
                <w:sz w:val="14"/>
              </w:rPr>
            </w:pPr>
            <w:r>
              <w:rPr>
                <w:sz w:val="14"/>
              </w:rPr>
              <w:t>22-sep</w:t>
            </w:r>
          </w:p>
        </w:tc>
        <w:tc>
          <w:tcPr>
            <w:tcW w:w="2316" w:type="dxa"/>
          </w:tcPr>
          <w:p>
            <w:pPr>
              <w:pStyle w:val="TableParagraph"/>
              <w:spacing w:before="83"/>
              <w:ind w:left="52"/>
              <w:rPr>
                <w:sz w:val="14"/>
              </w:rPr>
            </w:pPr>
            <w:r>
              <w:rPr>
                <w:sz w:val="14"/>
              </w:rPr>
              <w:t>Contestación: no está elaborado</w:t>
            </w:r>
          </w:p>
        </w:tc>
        <w:tc>
          <w:tcPr>
            <w:tcW w:w="589" w:type="dxa"/>
          </w:tcPr>
          <w:p>
            <w:pPr>
              <w:pStyle w:val="TableParagraph"/>
              <w:rPr>
                <w:rFonts w:ascii="Times New Roman"/>
                <w:sz w:val="12"/>
              </w:rPr>
            </w:pPr>
          </w:p>
        </w:tc>
      </w:tr>
      <w:tr>
        <w:trPr>
          <w:trHeight w:val="681" w:hRule="atLeast"/>
        </w:trPr>
        <w:tc>
          <w:tcPr>
            <w:tcW w:w="653" w:type="dxa"/>
          </w:tcPr>
          <w:p>
            <w:pPr>
              <w:pStyle w:val="TableParagraph"/>
              <w:spacing w:before="10"/>
              <w:rPr>
                <w:b/>
                <w:sz w:val="20"/>
              </w:rPr>
            </w:pPr>
          </w:p>
          <w:p>
            <w:pPr>
              <w:pStyle w:val="TableParagraph"/>
              <w:spacing w:before="1"/>
              <w:ind w:left="198" w:right="191"/>
              <w:jc w:val="center"/>
              <w:rPr>
                <w:sz w:val="14"/>
              </w:rPr>
            </w:pPr>
            <w:r>
              <w:rPr>
                <w:sz w:val="14"/>
              </w:rPr>
              <w:t>671</w:t>
            </w:r>
          </w:p>
        </w:tc>
        <w:tc>
          <w:tcPr>
            <w:tcW w:w="731" w:type="dxa"/>
          </w:tcPr>
          <w:p>
            <w:pPr>
              <w:pStyle w:val="TableParagraph"/>
              <w:spacing w:before="10"/>
              <w:rPr>
                <w:b/>
                <w:sz w:val="20"/>
              </w:rPr>
            </w:pPr>
          </w:p>
          <w:p>
            <w:pPr>
              <w:pStyle w:val="TableParagraph"/>
              <w:spacing w:before="1"/>
              <w:ind w:left="145" w:right="142"/>
              <w:jc w:val="center"/>
              <w:rPr>
                <w:sz w:val="14"/>
              </w:rPr>
            </w:pPr>
            <w:r>
              <w:rPr>
                <w:sz w:val="14"/>
              </w:rPr>
              <w:t>18-sep</w:t>
            </w:r>
          </w:p>
        </w:tc>
        <w:tc>
          <w:tcPr>
            <w:tcW w:w="5110" w:type="dxa"/>
          </w:tcPr>
          <w:p>
            <w:pPr>
              <w:pStyle w:val="TableParagraph"/>
              <w:numPr>
                <w:ilvl w:val="0"/>
                <w:numId w:val="115"/>
              </w:numPr>
              <w:tabs>
                <w:tab w:pos="153" w:val="left" w:leader="none"/>
              </w:tabs>
              <w:spacing w:line="240" w:lineRule="auto" w:before="0" w:after="0"/>
              <w:ind w:left="52" w:right="129" w:firstLine="0"/>
              <w:jc w:val="left"/>
              <w:rPr>
                <w:sz w:val="14"/>
              </w:rPr>
            </w:pPr>
            <w:r>
              <w:rPr>
                <w:sz w:val="14"/>
              </w:rPr>
              <w:t>Informe</w:t>
            </w:r>
            <w:r>
              <w:rPr>
                <w:spacing w:val="-3"/>
                <w:sz w:val="14"/>
              </w:rPr>
              <w:t> </w:t>
            </w:r>
            <w:r>
              <w:rPr>
                <w:sz w:val="14"/>
              </w:rPr>
              <w:t>de</w:t>
            </w:r>
            <w:r>
              <w:rPr>
                <w:spacing w:val="-2"/>
                <w:sz w:val="14"/>
              </w:rPr>
              <w:t> </w:t>
            </w:r>
            <w:r>
              <w:rPr>
                <w:sz w:val="14"/>
              </w:rPr>
              <w:t>auditoría</w:t>
            </w:r>
            <w:r>
              <w:rPr>
                <w:spacing w:val="-3"/>
                <w:sz w:val="14"/>
              </w:rPr>
              <w:t> </w:t>
            </w:r>
            <w:r>
              <w:rPr>
                <w:sz w:val="14"/>
              </w:rPr>
              <w:t>sobre</w:t>
            </w:r>
            <w:r>
              <w:rPr>
                <w:spacing w:val="-2"/>
                <w:sz w:val="14"/>
              </w:rPr>
              <w:t> </w:t>
            </w:r>
            <w:r>
              <w:rPr>
                <w:sz w:val="14"/>
              </w:rPr>
              <w:t>las</w:t>
            </w:r>
            <w:r>
              <w:rPr>
                <w:spacing w:val="-3"/>
                <w:sz w:val="14"/>
              </w:rPr>
              <w:t> </w:t>
            </w:r>
            <w:r>
              <w:rPr>
                <w:sz w:val="14"/>
              </w:rPr>
              <w:t>subvenciones</w:t>
            </w:r>
            <w:r>
              <w:rPr>
                <w:spacing w:val="-2"/>
                <w:sz w:val="14"/>
              </w:rPr>
              <w:t> </w:t>
            </w:r>
            <w:r>
              <w:rPr>
                <w:sz w:val="14"/>
              </w:rPr>
              <w:t>concedidas</w:t>
            </w:r>
            <w:r>
              <w:rPr>
                <w:spacing w:val="-2"/>
                <w:sz w:val="14"/>
              </w:rPr>
              <w:t> </w:t>
            </w:r>
            <w:r>
              <w:rPr>
                <w:sz w:val="14"/>
              </w:rPr>
              <w:t>al</w:t>
            </w:r>
            <w:r>
              <w:rPr>
                <w:spacing w:val="-3"/>
                <w:sz w:val="14"/>
              </w:rPr>
              <w:t> </w:t>
            </w:r>
            <w:r>
              <w:rPr>
                <w:sz w:val="14"/>
              </w:rPr>
              <w:t>amparo</w:t>
            </w:r>
            <w:r>
              <w:rPr>
                <w:spacing w:val="-1"/>
                <w:sz w:val="14"/>
              </w:rPr>
              <w:t> </w:t>
            </w:r>
            <w:r>
              <w:rPr>
                <w:sz w:val="14"/>
              </w:rPr>
              <w:t>del</w:t>
            </w:r>
            <w:r>
              <w:rPr>
                <w:spacing w:val="-3"/>
                <w:sz w:val="14"/>
              </w:rPr>
              <w:t> </w:t>
            </w:r>
            <w:r>
              <w:rPr>
                <w:sz w:val="14"/>
              </w:rPr>
              <w:t>DL</w:t>
            </w:r>
            <w:r>
              <w:rPr>
                <w:spacing w:val="-1"/>
                <w:sz w:val="14"/>
              </w:rPr>
              <w:t> </w:t>
            </w:r>
            <w:r>
              <w:rPr>
                <w:sz w:val="14"/>
              </w:rPr>
              <w:t>6/2021,</w:t>
            </w:r>
            <w:r>
              <w:rPr>
                <w:spacing w:val="-2"/>
                <w:sz w:val="14"/>
              </w:rPr>
              <w:t> </w:t>
            </w:r>
            <w:r>
              <w:rPr>
                <w:sz w:val="14"/>
              </w:rPr>
              <w:t>de 4 de</w:t>
            </w:r>
            <w:r>
              <w:rPr>
                <w:spacing w:val="-2"/>
                <w:sz w:val="14"/>
              </w:rPr>
              <w:t> </w:t>
            </w:r>
            <w:r>
              <w:rPr>
                <w:sz w:val="14"/>
              </w:rPr>
              <w:t>junio.</w:t>
            </w:r>
          </w:p>
          <w:p>
            <w:pPr>
              <w:pStyle w:val="TableParagraph"/>
              <w:numPr>
                <w:ilvl w:val="0"/>
                <w:numId w:val="115"/>
              </w:numPr>
              <w:tabs>
                <w:tab w:pos="153" w:val="left" w:leader="none"/>
              </w:tabs>
              <w:spacing w:line="170" w:lineRule="exact" w:before="0" w:after="0"/>
              <w:ind w:left="152" w:right="0" w:hanging="101"/>
              <w:jc w:val="left"/>
              <w:rPr>
                <w:sz w:val="14"/>
              </w:rPr>
            </w:pPr>
            <w:r>
              <w:rPr>
                <w:sz w:val="14"/>
              </w:rPr>
              <w:t>Informe anual de la IGCAC con los resultados más significativos de la ejecución</w:t>
            </w:r>
            <w:r>
              <w:rPr>
                <w:spacing w:val="-22"/>
                <w:sz w:val="14"/>
              </w:rPr>
              <w:t> </w:t>
            </w:r>
            <w:r>
              <w:rPr>
                <w:sz w:val="14"/>
              </w:rPr>
              <w:t>del</w:t>
            </w:r>
          </w:p>
          <w:p>
            <w:pPr>
              <w:pStyle w:val="TableParagraph"/>
              <w:spacing w:line="149" w:lineRule="exact"/>
              <w:ind w:left="52"/>
              <w:rPr>
                <w:sz w:val="14"/>
              </w:rPr>
            </w:pPr>
            <w:r>
              <w:rPr>
                <w:sz w:val="14"/>
              </w:rPr>
              <w:t>Plan Anual de Auditoría de 2022.</w:t>
            </w:r>
          </w:p>
        </w:tc>
        <w:tc>
          <w:tcPr>
            <w:tcW w:w="824" w:type="dxa"/>
          </w:tcPr>
          <w:p>
            <w:pPr>
              <w:pStyle w:val="TableParagraph"/>
              <w:spacing w:before="10"/>
              <w:rPr>
                <w:b/>
                <w:sz w:val="20"/>
              </w:rPr>
            </w:pPr>
          </w:p>
          <w:p>
            <w:pPr>
              <w:pStyle w:val="TableParagraph"/>
              <w:spacing w:before="1"/>
              <w:ind w:left="196" w:right="194"/>
              <w:jc w:val="center"/>
              <w:rPr>
                <w:sz w:val="14"/>
              </w:rPr>
            </w:pPr>
            <w:r>
              <w:rPr>
                <w:sz w:val="14"/>
              </w:rPr>
              <w:t>21-sep</w:t>
            </w:r>
          </w:p>
        </w:tc>
        <w:tc>
          <w:tcPr>
            <w:tcW w:w="854" w:type="dxa"/>
          </w:tcPr>
          <w:p>
            <w:pPr>
              <w:pStyle w:val="TableParagraph"/>
              <w:spacing w:before="10"/>
              <w:rPr>
                <w:b/>
                <w:sz w:val="20"/>
              </w:rPr>
            </w:pPr>
          </w:p>
          <w:p>
            <w:pPr>
              <w:pStyle w:val="TableParagraph"/>
              <w:spacing w:before="1"/>
              <w:ind w:right="228"/>
              <w:jc w:val="right"/>
              <w:rPr>
                <w:sz w:val="14"/>
              </w:rPr>
            </w:pPr>
            <w:r>
              <w:rPr>
                <w:sz w:val="14"/>
              </w:rPr>
              <w:t>22-sep</w:t>
            </w:r>
          </w:p>
        </w:tc>
        <w:tc>
          <w:tcPr>
            <w:tcW w:w="2316" w:type="dxa"/>
          </w:tcPr>
          <w:p>
            <w:pPr>
              <w:pStyle w:val="TableParagraph"/>
              <w:spacing w:before="10"/>
              <w:rPr>
                <w:b/>
                <w:sz w:val="20"/>
              </w:rPr>
            </w:pPr>
          </w:p>
          <w:p>
            <w:pPr>
              <w:pStyle w:val="TableParagraph"/>
              <w:spacing w:before="1"/>
              <w:ind w:left="52"/>
              <w:rPr>
                <w:sz w:val="14"/>
              </w:rPr>
            </w:pPr>
            <w:r>
              <w:rPr>
                <w:sz w:val="14"/>
              </w:rPr>
              <w:t>Contestación: no está elaborado</w:t>
            </w:r>
          </w:p>
        </w:tc>
        <w:tc>
          <w:tcPr>
            <w:tcW w:w="589" w:type="dxa"/>
          </w:tcPr>
          <w:p>
            <w:pPr>
              <w:pStyle w:val="TableParagraph"/>
              <w:rPr>
                <w:rFonts w:ascii="Times New Roman"/>
                <w:sz w:val="12"/>
              </w:rPr>
            </w:pPr>
          </w:p>
        </w:tc>
      </w:tr>
      <w:tr>
        <w:trPr>
          <w:trHeight w:val="338" w:hRule="atLeast"/>
        </w:trPr>
        <w:tc>
          <w:tcPr>
            <w:tcW w:w="653" w:type="dxa"/>
          </w:tcPr>
          <w:p>
            <w:pPr>
              <w:pStyle w:val="TableParagraph"/>
              <w:spacing w:before="83"/>
              <w:ind w:left="198" w:right="191"/>
              <w:jc w:val="center"/>
              <w:rPr>
                <w:sz w:val="14"/>
              </w:rPr>
            </w:pPr>
            <w:r>
              <w:rPr>
                <w:sz w:val="14"/>
              </w:rPr>
              <w:t>674</w:t>
            </w:r>
          </w:p>
        </w:tc>
        <w:tc>
          <w:tcPr>
            <w:tcW w:w="731" w:type="dxa"/>
          </w:tcPr>
          <w:p>
            <w:pPr>
              <w:pStyle w:val="TableParagraph"/>
              <w:spacing w:before="83"/>
              <w:ind w:left="145" w:right="142"/>
              <w:jc w:val="center"/>
              <w:rPr>
                <w:sz w:val="14"/>
              </w:rPr>
            </w:pPr>
            <w:r>
              <w:rPr>
                <w:sz w:val="14"/>
              </w:rPr>
              <w:t>19-sep</w:t>
            </w:r>
          </w:p>
        </w:tc>
        <w:tc>
          <w:tcPr>
            <w:tcW w:w="5110" w:type="dxa"/>
          </w:tcPr>
          <w:p>
            <w:pPr>
              <w:pStyle w:val="TableParagraph"/>
              <w:spacing w:line="169" w:lineRule="exact"/>
              <w:ind w:left="52"/>
              <w:rPr>
                <w:sz w:val="14"/>
              </w:rPr>
            </w:pPr>
            <w:r>
              <w:rPr>
                <w:sz w:val="14"/>
              </w:rPr>
              <w:t>En relación con los Fondos carentes de personalidad jurídica, información y</w:t>
            </w:r>
          </w:p>
          <w:p>
            <w:pPr>
              <w:pStyle w:val="TableParagraph"/>
              <w:spacing w:line="149" w:lineRule="exact"/>
              <w:ind w:left="52"/>
              <w:rPr>
                <w:sz w:val="14"/>
              </w:rPr>
            </w:pPr>
            <w:r>
              <w:rPr>
                <w:sz w:val="14"/>
              </w:rPr>
              <w:t>documentación justificativa de la devolución de los mismos aportados por el Estado.</w:t>
            </w:r>
          </w:p>
        </w:tc>
        <w:tc>
          <w:tcPr>
            <w:tcW w:w="824" w:type="dxa"/>
          </w:tcPr>
          <w:p>
            <w:pPr>
              <w:pStyle w:val="TableParagraph"/>
              <w:spacing w:before="83"/>
              <w:ind w:left="196" w:right="194"/>
              <w:jc w:val="center"/>
              <w:rPr>
                <w:sz w:val="14"/>
              </w:rPr>
            </w:pPr>
            <w:r>
              <w:rPr>
                <w:sz w:val="14"/>
              </w:rPr>
              <w:t>25-sep</w:t>
            </w:r>
          </w:p>
        </w:tc>
        <w:tc>
          <w:tcPr>
            <w:tcW w:w="854" w:type="dxa"/>
          </w:tcPr>
          <w:p>
            <w:pPr>
              <w:pStyle w:val="TableParagraph"/>
              <w:spacing w:before="83"/>
              <w:ind w:right="269"/>
              <w:jc w:val="right"/>
              <w:rPr>
                <w:sz w:val="14"/>
              </w:rPr>
            </w:pPr>
            <w:r>
              <w:rPr>
                <w:sz w:val="14"/>
              </w:rPr>
              <w:t>2-oct</w:t>
            </w:r>
          </w:p>
        </w:tc>
        <w:tc>
          <w:tcPr>
            <w:tcW w:w="2316" w:type="dxa"/>
          </w:tcPr>
          <w:p>
            <w:pPr>
              <w:pStyle w:val="TableParagraph"/>
              <w:rPr>
                <w:rFonts w:ascii="Times New Roman"/>
                <w:sz w:val="12"/>
              </w:rPr>
            </w:pPr>
          </w:p>
        </w:tc>
        <w:tc>
          <w:tcPr>
            <w:tcW w:w="589" w:type="dxa"/>
          </w:tcPr>
          <w:p>
            <w:pPr>
              <w:pStyle w:val="TableParagraph"/>
              <w:spacing w:before="83"/>
              <w:ind w:left="260"/>
              <w:rPr>
                <w:sz w:val="14"/>
              </w:rPr>
            </w:pPr>
            <w:r>
              <w:rPr>
                <w:sz w:val="14"/>
              </w:rPr>
              <w:t>7</w:t>
            </w:r>
          </w:p>
        </w:tc>
      </w:tr>
      <w:tr>
        <w:trPr>
          <w:trHeight w:val="174" w:hRule="atLeast"/>
        </w:trPr>
        <w:tc>
          <w:tcPr>
            <w:tcW w:w="653" w:type="dxa"/>
          </w:tcPr>
          <w:p>
            <w:pPr>
              <w:pStyle w:val="TableParagraph"/>
              <w:spacing w:line="153" w:lineRule="exact" w:before="1"/>
              <w:ind w:left="198" w:right="191"/>
              <w:jc w:val="center"/>
              <w:rPr>
                <w:sz w:val="14"/>
              </w:rPr>
            </w:pPr>
            <w:r>
              <w:rPr>
                <w:sz w:val="14"/>
              </w:rPr>
              <w:t>675</w:t>
            </w:r>
          </w:p>
        </w:tc>
        <w:tc>
          <w:tcPr>
            <w:tcW w:w="731" w:type="dxa"/>
          </w:tcPr>
          <w:p>
            <w:pPr>
              <w:pStyle w:val="TableParagraph"/>
              <w:spacing w:line="153" w:lineRule="exact" w:before="1"/>
              <w:ind w:left="145" w:right="142"/>
              <w:jc w:val="center"/>
              <w:rPr>
                <w:sz w:val="14"/>
              </w:rPr>
            </w:pPr>
            <w:r>
              <w:rPr>
                <w:sz w:val="14"/>
              </w:rPr>
              <w:t>25-sep</w:t>
            </w:r>
          </w:p>
        </w:tc>
        <w:tc>
          <w:tcPr>
            <w:tcW w:w="5110" w:type="dxa"/>
          </w:tcPr>
          <w:p>
            <w:pPr>
              <w:pStyle w:val="TableParagraph"/>
              <w:spacing w:line="153" w:lineRule="exact" w:before="1"/>
              <w:ind w:left="52"/>
              <w:rPr>
                <w:sz w:val="14"/>
              </w:rPr>
            </w:pPr>
            <w:r>
              <w:rPr>
                <w:sz w:val="14"/>
              </w:rPr>
              <w:t>* Informe General de Control Financiero Permanente.</w:t>
            </w:r>
          </w:p>
        </w:tc>
        <w:tc>
          <w:tcPr>
            <w:tcW w:w="824" w:type="dxa"/>
          </w:tcPr>
          <w:p>
            <w:pPr>
              <w:pStyle w:val="TableParagraph"/>
              <w:spacing w:line="153" w:lineRule="exact" w:before="1"/>
              <w:ind w:left="196" w:right="190"/>
              <w:jc w:val="center"/>
              <w:rPr>
                <w:sz w:val="14"/>
              </w:rPr>
            </w:pPr>
            <w:r>
              <w:rPr>
                <w:sz w:val="14"/>
              </w:rPr>
              <w:t>02-oct</w:t>
            </w:r>
          </w:p>
        </w:tc>
        <w:tc>
          <w:tcPr>
            <w:tcW w:w="854" w:type="dxa"/>
          </w:tcPr>
          <w:p>
            <w:pPr>
              <w:pStyle w:val="TableParagraph"/>
              <w:spacing w:line="153" w:lineRule="exact" w:before="1"/>
              <w:ind w:right="269"/>
              <w:jc w:val="right"/>
              <w:rPr>
                <w:sz w:val="14"/>
              </w:rPr>
            </w:pPr>
            <w:r>
              <w:rPr>
                <w:sz w:val="14"/>
              </w:rPr>
              <w:t>5-oct</w:t>
            </w:r>
          </w:p>
        </w:tc>
        <w:tc>
          <w:tcPr>
            <w:tcW w:w="2316" w:type="dxa"/>
          </w:tcPr>
          <w:p>
            <w:pPr>
              <w:pStyle w:val="TableParagraph"/>
              <w:spacing w:line="153" w:lineRule="exact" w:before="1"/>
              <w:ind w:left="52"/>
              <w:rPr>
                <w:sz w:val="14"/>
              </w:rPr>
            </w:pPr>
            <w:r>
              <w:rPr>
                <w:sz w:val="14"/>
              </w:rPr>
              <w:t>Contestación: no está elaborado</w:t>
            </w:r>
          </w:p>
        </w:tc>
        <w:tc>
          <w:tcPr>
            <w:tcW w:w="589" w:type="dxa"/>
          </w:tcPr>
          <w:p>
            <w:pPr>
              <w:pStyle w:val="TableParagraph"/>
              <w:rPr>
                <w:rFonts w:ascii="Times New Roman"/>
                <w:sz w:val="10"/>
              </w:rPr>
            </w:pPr>
          </w:p>
        </w:tc>
      </w:tr>
      <w:tr>
        <w:trPr>
          <w:trHeight w:val="339" w:hRule="atLeast"/>
        </w:trPr>
        <w:tc>
          <w:tcPr>
            <w:tcW w:w="653" w:type="dxa"/>
          </w:tcPr>
          <w:p>
            <w:pPr>
              <w:pStyle w:val="TableParagraph"/>
              <w:spacing w:before="84"/>
              <w:ind w:left="198" w:right="191"/>
              <w:jc w:val="center"/>
              <w:rPr>
                <w:sz w:val="14"/>
              </w:rPr>
            </w:pPr>
            <w:r>
              <w:rPr>
                <w:sz w:val="14"/>
              </w:rPr>
              <w:t>675</w:t>
            </w:r>
          </w:p>
        </w:tc>
        <w:tc>
          <w:tcPr>
            <w:tcW w:w="731" w:type="dxa"/>
          </w:tcPr>
          <w:p>
            <w:pPr>
              <w:pStyle w:val="TableParagraph"/>
              <w:spacing w:before="84"/>
              <w:ind w:left="145" w:right="142"/>
              <w:jc w:val="center"/>
              <w:rPr>
                <w:sz w:val="14"/>
              </w:rPr>
            </w:pPr>
            <w:r>
              <w:rPr>
                <w:sz w:val="14"/>
              </w:rPr>
              <w:t>25-sep</w:t>
            </w:r>
          </w:p>
        </w:tc>
        <w:tc>
          <w:tcPr>
            <w:tcW w:w="5110" w:type="dxa"/>
          </w:tcPr>
          <w:p>
            <w:pPr>
              <w:pStyle w:val="TableParagraph"/>
              <w:spacing w:line="169" w:lineRule="exact"/>
              <w:ind w:left="52"/>
              <w:rPr>
                <w:sz w:val="14"/>
              </w:rPr>
            </w:pPr>
            <w:r>
              <w:rPr>
                <w:sz w:val="14"/>
              </w:rPr>
              <w:t>* Informe Definitivo de Control Financiero Permanente en las áreas de ingresos</w:t>
            </w:r>
          </w:p>
          <w:p>
            <w:pPr>
              <w:pStyle w:val="TableParagraph"/>
              <w:spacing w:line="149" w:lineRule="exact" w:before="1"/>
              <w:ind w:left="52"/>
              <w:rPr>
                <w:sz w:val="14"/>
              </w:rPr>
            </w:pPr>
            <w:r>
              <w:rPr>
                <w:sz w:val="14"/>
              </w:rPr>
              <w:t>centralizados, tesorería y deuda pública.</w:t>
            </w:r>
          </w:p>
        </w:tc>
        <w:tc>
          <w:tcPr>
            <w:tcW w:w="824" w:type="dxa"/>
          </w:tcPr>
          <w:p>
            <w:pPr>
              <w:pStyle w:val="TableParagraph"/>
              <w:spacing w:before="84"/>
              <w:ind w:left="196" w:right="190"/>
              <w:jc w:val="center"/>
              <w:rPr>
                <w:sz w:val="14"/>
              </w:rPr>
            </w:pPr>
            <w:r>
              <w:rPr>
                <w:sz w:val="14"/>
              </w:rPr>
              <w:t>02-oct</w:t>
            </w:r>
          </w:p>
        </w:tc>
        <w:tc>
          <w:tcPr>
            <w:tcW w:w="854" w:type="dxa"/>
          </w:tcPr>
          <w:p>
            <w:pPr>
              <w:pStyle w:val="TableParagraph"/>
              <w:spacing w:before="84"/>
              <w:ind w:right="269"/>
              <w:jc w:val="right"/>
              <w:rPr>
                <w:sz w:val="14"/>
              </w:rPr>
            </w:pPr>
            <w:r>
              <w:rPr>
                <w:sz w:val="14"/>
              </w:rPr>
              <w:t>5-oct</w:t>
            </w:r>
          </w:p>
        </w:tc>
        <w:tc>
          <w:tcPr>
            <w:tcW w:w="2316" w:type="dxa"/>
          </w:tcPr>
          <w:p>
            <w:pPr>
              <w:pStyle w:val="TableParagraph"/>
              <w:spacing w:before="84"/>
              <w:ind w:left="52"/>
              <w:rPr>
                <w:sz w:val="14"/>
              </w:rPr>
            </w:pPr>
            <w:r>
              <w:rPr>
                <w:sz w:val="14"/>
              </w:rPr>
              <w:t>Contestación: no está elaborado</w:t>
            </w:r>
          </w:p>
        </w:tc>
        <w:tc>
          <w:tcPr>
            <w:tcW w:w="589" w:type="dxa"/>
          </w:tcPr>
          <w:p>
            <w:pPr>
              <w:pStyle w:val="TableParagraph"/>
              <w:rPr>
                <w:rFonts w:ascii="Times New Roman"/>
                <w:sz w:val="12"/>
              </w:rPr>
            </w:pPr>
          </w:p>
        </w:tc>
      </w:tr>
      <w:tr>
        <w:trPr>
          <w:trHeight w:val="174" w:hRule="atLeast"/>
        </w:trPr>
        <w:tc>
          <w:tcPr>
            <w:tcW w:w="653" w:type="dxa"/>
          </w:tcPr>
          <w:p>
            <w:pPr>
              <w:pStyle w:val="TableParagraph"/>
              <w:rPr>
                <w:rFonts w:ascii="Times New Roman"/>
                <w:sz w:val="10"/>
              </w:rPr>
            </w:pPr>
          </w:p>
        </w:tc>
        <w:tc>
          <w:tcPr>
            <w:tcW w:w="731" w:type="dxa"/>
          </w:tcPr>
          <w:p>
            <w:pPr>
              <w:pStyle w:val="TableParagraph"/>
              <w:rPr>
                <w:rFonts w:ascii="Times New Roman"/>
                <w:sz w:val="10"/>
              </w:rPr>
            </w:pPr>
          </w:p>
        </w:tc>
        <w:tc>
          <w:tcPr>
            <w:tcW w:w="5110" w:type="dxa"/>
          </w:tcPr>
          <w:p>
            <w:pPr>
              <w:pStyle w:val="TableParagraph"/>
              <w:spacing w:line="153" w:lineRule="exact" w:before="1"/>
              <w:ind w:left="52"/>
              <w:rPr>
                <w:sz w:val="14"/>
              </w:rPr>
            </w:pPr>
            <w:r>
              <w:rPr>
                <w:sz w:val="14"/>
              </w:rPr>
              <w:t>Documentación de ESSSCAN.</w:t>
            </w:r>
          </w:p>
        </w:tc>
        <w:tc>
          <w:tcPr>
            <w:tcW w:w="824" w:type="dxa"/>
          </w:tcPr>
          <w:p>
            <w:pPr>
              <w:pStyle w:val="TableParagraph"/>
              <w:rPr>
                <w:rFonts w:ascii="Times New Roman"/>
                <w:sz w:val="10"/>
              </w:rPr>
            </w:pPr>
          </w:p>
        </w:tc>
        <w:tc>
          <w:tcPr>
            <w:tcW w:w="854" w:type="dxa"/>
          </w:tcPr>
          <w:p>
            <w:pPr>
              <w:pStyle w:val="TableParagraph"/>
              <w:spacing w:line="153" w:lineRule="exact" w:before="1"/>
              <w:ind w:right="269"/>
              <w:jc w:val="right"/>
              <w:rPr>
                <w:sz w:val="14"/>
              </w:rPr>
            </w:pPr>
            <w:r>
              <w:rPr>
                <w:sz w:val="14"/>
              </w:rPr>
              <w:t>5-oct</w:t>
            </w:r>
          </w:p>
        </w:tc>
        <w:tc>
          <w:tcPr>
            <w:tcW w:w="2316" w:type="dxa"/>
          </w:tcPr>
          <w:p>
            <w:pPr>
              <w:pStyle w:val="TableParagraph"/>
              <w:rPr>
                <w:rFonts w:ascii="Times New Roman"/>
                <w:sz w:val="10"/>
              </w:rPr>
            </w:pPr>
          </w:p>
        </w:tc>
        <w:tc>
          <w:tcPr>
            <w:tcW w:w="589" w:type="dxa"/>
          </w:tcPr>
          <w:p>
            <w:pPr>
              <w:pStyle w:val="TableParagraph"/>
              <w:rPr>
                <w:rFonts w:ascii="Times New Roman"/>
                <w:sz w:val="10"/>
              </w:rPr>
            </w:pPr>
          </w:p>
        </w:tc>
      </w:tr>
      <w:tr>
        <w:trPr>
          <w:trHeight w:val="174" w:hRule="atLeast"/>
        </w:trPr>
        <w:tc>
          <w:tcPr>
            <w:tcW w:w="653" w:type="dxa"/>
          </w:tcPr>
          <w:p>
            <w:pPr>
              <w:pStyle w:val="TableParagraph"/>
              <w:rPr>
                <w:rFonts w:ascii="Times New Roman"/>
                <w:sz w:val="10"/>
              </w:rPr>
            </w:pPr>
          </w:p>
        </w:tc>
        <w:tc>
          <w:tcPr>
            <w:tcW w:w="731" w:type="dxa"/>
          </w:tcPr>
          <w:p>
            <w:pPr>
              <w:pStyle w:val="TableParagraph"/>
              <w:rPr>
                <w:rFonts w:ascii="Times New Roman"/>
                <w:sz w:val="10"/>
              </w:rPr>
            </w:pPr>
          </w:p>
        </w:tc>
        <w:tc>
          <w:tcPr>
            <w:tcW w:w="5110" w:type="dxa"/>
          </w:tcPr>
          <w:p>
            <w:pPr>
              <w:pStyle w:val="TableParagraph"/>
              <w:spacing w:line="153" w:lineRule="exact" w:before="1"/>
              <w:ind w:left="52"/>
              <w:rPr>
                <w:sz w:val="14"/>
              </w:rPr>
            </w:pPr>
            <w:r>
              <w:rPr>
                <w:sz w:val="14"/>
              </w:rPr>
              <w:t>Documentación de ESSSCAN.</w:t>
            </w:r>
          </w:p>
        </w:tc>
        <w:tc>
          <w:tcPr>
            <w:tcW w:w="824" w:type="dxa"/>
          </w:tcPr>
          <w:p>
            <w:pPr>
              <w:pStyle w:val="TableParagraph"/>
              <w:rPr>
                <w:rFonts w:ascii="Times New Roman"/>
                <w:sz w:val="10"/>
              </w:rPr>
            </w:pPr>
          </w:p>
        </w:tc>
        <w:tc>
          <w:tcPr>
            <w:tcW w:w="854" w:type="dxa"/>
          </w:tcPr>
          <w:p>
            <w:pPr>
              <w:pStyle w:val="TableParagraph"/>
              <w:spacing w:line="153" w:lineRule="exact" w:before="1"/>
              <w:ind w:right="234"/>
              <w:jc w:val="right"/>
              <w:rPr>
                <w:sz w:val="14"/>
              </w:rPr>
            </w:pPr>
            <w:r>
              <w:rPr>
                <w:sz w:val="14"/>
              </w:rPr>
              <w:t>13-oct</w:t>
            </w:r>
          </w:p>
        </w:tc>
        <w:tc>
          <w:tcPr>
            <w:tcW w:w="2316" w:type="dxa"/>
          </w:tcPr>
          <w:p>
            <w:pPr>
              <w:pStyle w:val="TableParagraph"/>
              <w:rPr>
                <w:rFonts w:ascii="Times New Roman"/>
                <w:sz w:val="10"/>
              </w:rPr>
            </w:pPr>
          </w:p>
        </w:tc>
        <w:tc>
          <w:tcPr>
            <w:tcW w:w="589" w:type="dxa"/>
          </w:tcPr>
          <w:p>
            <w:pPr>
              <w:pStyle w:val="TableParagraph"/>
              <w:rPr>
                <w:rFonts w:ascii="Times New Roman"/>
                <w:sz w:val="10"/>
              </w:rPr>
            </w:pPr>
          </w:p>
        </w:tc>
      </w:tr>
    </w:tbl>
    <w:p>
      <w:pPr>
        <w:pStyle w:val="BodyText"/>
        <w:rPr>
          <w:b/>
        </w:rPr>
      </w:pPr>
    </w:p>
    <w:p>
      <w:pPr>
        <w:pStyle w:val="BodyText"/>
        <w:spacing w:before="4"/>
        <w:rPr>
          <w:b/>
        </w:rPr>
      </w:pPr>
    </w:p>
    <w:p>
      <w:pPr>
        <w:spacing w:before="69"/>
        <w:ind w:left="10855" w:right="1577" w:firstLine="0"/>
        <w:jc w:val="center"/>
        <w:rPr>
          <w:sz w:val="18"/>
        </w:rPr>
      </w:pPr>
      <w:r>
        <w:rPr>
          <w:w w:val="105"/>
          <w:sz w:val="18"/>
        </w:rPr>
        <w:t>168</w:t>
      </w:r>
    </w:p>
    <w:p>
      <w:pPr>
        <w:spacing w:before="7"/>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53" name="image5.png"/>
                  <wp:cNvGraphicFramePr>
                    <a:graphicFrameLocks noChangeAspect="1"/>
                  </wp:cNvGraphicFramePr>
                  <a:graphic>
                    <a:graphicData uri="http://schemas.openxmlformats.org/drawingml/2006/picture">
                      <pic:pic>
                        <pic:nvPicPr>
                          <pic:cNvPr id="35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170/247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11:14:26</w:t>
            </w:r>
          </w:p>
        </w:tc>
        <w:tc>
          <w:tcPr>
            <w:tcW w:w="1442" w:type="dxa"/>
            <w:vMerge/>
            <w:tcBorders>
              <w:top w:val="nil"/>
            </w:tcBorders>
          </w:tcPr>
          <w:p>
            <w:pPr>
              <w:rPr>
                <w:sz w:val="2"/>
                <w:szCs w:val="2"/>
              </w:rPr>
            </w:pPr>
          </w:p>
        </w:tc>
      </w:tr>
    </w:tbl>
    <w:p>
      <w:pPr>
        <w:pStyle w:val="BodyText"/>
        <w:spacing w:before="9"/>
        <w:rPr>
          <w:b/>
          <w:sz w:val="22"/>
        </w:rPr>
      </w:pPr>
      <w:r>
        <w:rPr/>
        <w:pict>
          <v:group style="position:absolute;margin-left:157.270004pt;margin-top:15.872057pt;width:527.5pt;height:39.35pt;mso-position-horizontal-relative:page;mso-position-vertical-relative:paragraph;z-index:-251423744;mso-wrap-distance-left:0;mso-wrap-distance-right:0" coordorigin="3145,317" coordsize="10550,787">
            <v:line style="position:absolute" from="3150,1099" to="3150,322" stroked="true" strokeweight=".5pt" strokecolor="#000000">
              <v:stroke dashstyle="solid"/>
            </v:line>
            <v:line style="position:absolute" from="3150,1099" to="7873,1099" stroked="true" strokeweight=".5pt" strokecolor="#000000">
              <v:stroke dashstyle="solid"/>
            </v:line>
            <v:line style="position:absolute" from="3150,322" to="7873,322" stroked="true" strokeweight=".5pt" strokecolor="#000000">
              <v:stroke dashstyle="solid"/>
            </v:line>
            <v:line style="position:absolute" from="7873,1099" to="12999,1099" stroked="true" strokeweight=".5pt" strokecolor="#000000">
              <v:stroke dashstyle="solid"/>
            </v:line>
            <v:line style="position:absolute" from="7873,322" to="12999,322" stroked="true" strokeweight=".5pt" strokecolor="#000000">
              <v:stroke dashstyle="solid"/>
            </v:line>
            <v:shape style="position:absolute;left:7952;top:342;width:4966;height:737" type="#_x0000_t75" stroked="false">
              <v:imagedata r:id="rId22" o:title=""/>
            </v:shape>
            <v:shape style="position:absolute;left:12998;top:317;width:696;height:787" type="#_x0000_t75" stroked="false">
              <v:imagedata r:id="rId23" o:title=""/>
            </v:shape>
            <v:shape style="position:absolute;left:3145;top:317;width:10550;height:787" type="#_x0000_t202" filled="false" stroked="false">
              <v:textbox inset="0,0,0,0">
                <w:txbxContent>
                  <w:p>
                    <w:pPr>
                      <w:spacing w:line="240" w:lineRule="auto" w:before="8"/>
                      <w:rPr>
                        <w:b/>
                        <w:sz w:val="12"/>
                      </w:rPr>
                    </w:pPr>
                  </w:p>
                  <w:p>
                    <w:pPr>
                      <w:spacing w:line="208" w:lineRule="auto" w:before="0"/>
                      <w:ind w:left="45" w:right="6025"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41" w:right="0" w:firstLine="0"/>
                      <w:jc w:val="left"/>
                      <w:rPr>
                        <w:rFonts w:ascii="Courier New"/>
                        <w:sz w:val="16"/>
                      </w:rPr>
                    </w:pPr>
                    <w:r>
                      <w:rPr>
                        <w:rFonts w:ascii="Courier New"/>
                        <w:sz w:val="16"/>
                      </w:rPr>
                      <w:t>0RiqhLVW5LB5SgsthOzHlk4i4AYIZGsdi</w:t>
                    </w:r>
                  </w:p>
                </w:txbxContent>
              </v:textbox>
              <w10:wrap type="none"/>
            </v:shape>
            <w10:wrap type="topAndBottom"/>
          </v:group>
        </w:pict>
      </w:r>
    </w:p>
    <w:p>
      <w:pPr>
        <w:spacing w:after="0"/>
        <w:rPr>
          <w:sz w:val="22"/>
        </w:rPr>
        <w:sectPr>
          <w:headerReference w:type="default" r:id="rId26"/>
          <w:footerReference w:type="default" r:id="rId27"/>
          <w:pgSz w:w="16840" w:h="11900" w:orient="landscape"/>
          <w:pgMar w:header="0" w:footer="0" w:top="800" w:bottom="280" w:left="1160" w:right="1160"/>
        </w:sectPr>
      </w:pPr>
    </w:p>
    <w:p>
      <w:pPr>
        <w:pStyle w:val="BodyText"/>
        <w:ind w:left="2215"/>
      </w:pPr>
      <w:r>
        <w:rPr/>
        <w:pict>
          <v:group style="position:absolute;margin-left:33.770pt;margin-top:781.679993pt;width:527.5pt;height:39.35pt;mso-position-horizontal-relative:page;mso-position-vertical-relative:page;z-index:251894784" coordorigin="675,15634" coordsize="10550,787">
            <v:shape style="position:absolute;left:680;top:15638;width:9849;height:777" coordorigin="680,15639" coordsize="9849,777" path="m680,16415l680,15639m680,16415l5403,16415m680,15639l5403,15639m5403,16415l10529,16415m5403,15639l10529,15639e" filled="false" stroked="true" strokeweight=".5pt" strokecolor="#000000">
              <v:path arrowok="t"/>
              <v:stroke dashstyle="solid"/>
            </v:shape>
            <v:shape style="position:absolute;left:5482;top:15658;width:4966;height:737" type="#_x0000_t75" stroked="false">
              <v:imagedata r:id="rId22" o:title=""/>
            </v:shape>
            <v:shape style="position:absolute;left:10528;top:15633;width:696;height:787" type="#_x0000_t75" stroked="false">
              <v:imagedata r:id="rId30" o:title=""/>
            </v:shape>
            <v:shape style="position:absolute;left:675;top:15633;width:10550;height:787" type="#_x0000_t202" filled="false" stroked="false">
              <v:textbox inset="0,0,0,0">
                <w:txbxContent>
                  <w:p>
                    <w:pPr>
                      <w:spacing w:line="240" w:lineRule="auto" w:before="8"/>
                      <w:rPr>
                        <w:b/>
                        <w:sz w:val="12"/>
                      </w:rPr>
                    </w:pPr>
                  </w:p>
                  <w:p>
                    <w:pPr>
                      <w:spacing w:line="208" w:lineRule="auto" w:before="0"/>
                      <w:ind w:left="45" w:right="6025"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41" w:right="0" w:firstLine="0"/>
                      <w:jc w:val="left"/>
                      <w:rPr>
                        <w:rFonts w:ascii="Courier New"/>
                        <w:sz w:val="16"/>
                      </w:rPr>
                    </w:pPr>
                    <w:r>
                      <w:rPr>
                        <w:rFonts w:ascii="Courier New"/>
                        <w:sz w:val="16"/>
                      </w:rPr>
                      <w:t>0RiqhLVW5LB5SgsthOzHlk4i4AYIZGsdi</w:t>
                    </w:r>
                  </w:p>
                </w:txbxContent>
              </v:textbox>
              <w10:wrap type="none"/>
            </v:shape>
            <w10:wrap type="none"/>
          </v:group>
        </w:pict>
      </w:r>
      <w:r>
        <w:rPr/>
        <w:drawing>
          <wp:inline distT="0" distB="0" distL="0" distR="0">
            <wp:extent cx="1585134" cy="573404"/>
            <wp:effectExtent l="0" t="0" r="0" b="0"/>
            <wp:docPr id="355" name="image7.jpeg"/>
            <wp:cNvGraphicFramePr>
              <a:graphicFrameLocks noChangeAspect="1"/>
            </wp:cNvGraphicFramePr>
            <a:graphic>
              <a:graphicData uri="http://schemas.openxmlformats.org/drawingml/2006/picture">
                <pic:pic>
                  <pic:nvPicPr>
                    <pic:cNvPr id="356" name="image7.jpeg"/>
                    <pic:cNvPicPr/>
                  </pic:nvPicPr>
                  <pic:blipFill>
                    <a:blip r:embed="rId21" cstate="print"/>
                    <a:stretch>
                      <a:fillRect/>
                    </a:stretch>
                  </pic:blipFill>
                  <pic:spPr>
                    <a:xfrm>
                      <a:off x="0" y="0"/>
                      <a:ext cx="1585134" cy="573404"/>
                    </a:xfrm>
                    <a:prstGeom prst="rect">
                      <a:avLst/>
                    </a:prstGeom>
                  </pic:spPr>
                </pic:pic>
              </a:graphicData>
            </a:graphic>
          </wp:inline>
        </w:drawing>
      </w:r>
      <w:r>
        <w:rPr/>
      </w:r>
    </w:p>
    <w:p>
      <w:pPr>
        <w:pStyle w:val="BodyText"/>
        <w:spacing w:before="3"/>
        <w:rPr>
          <w:b/>
          <w:sz w:val="26"/>
        </w:rPr>
      </w:pPr>
    </w:p>
    <w:p>
      <w:pPr>
        <w:pStyle w:val="Heading1"/>
        <w:spacing w:before="61"/>
        <w:ind w:left="2215"/>
        <w:jc w:val="left"/>
      </w:pPr>
      <w:r>
        <w:rPr>
          <w:color w:val="53A1B9"/>
        </w:rPr>
        <w:t>10.2 Anexo II. Derechos pendientes de cobros presupuestarios ejercicio corriente.</w:t>
      </w:r>
    </w:p>
    <w:p>
      <w:pPr>
        <w:pStyle w:val="BodyText"/>
        <w:spacing w:before="10"/>
        <w:rPr>
          <w:b/>
          <w:sz w:val="16"/>
        </w:rPr>
      </w:pPr>
    </w:p>
    <w:p>
      <w:pPr>
        <w:spacing w:before="0"/>
        <w:ind w:left="0" w:right="836" w:firstLine="0"/>
        <w:jc w:val="right"/>
        <w:rPr>
          <w:b/>
          <w:sz w:val="13"/>
        </w:rPr>
      </w:pPr>
      <w:r>
        <w:rPr>
          <w:b/>
          <w:w w:val="105"/>
          <w:sz w:val="13"/>
        </w:rPr>
        <w:t>millones de €</w:t>
      </w:r>
    </w:p>
    <w:tbl>
      <w:tblPr>
        <w:tblW w:w="0" w:type="auto"/>
        <w:jc w:val="left"/>
        <w:tblInd w:w="1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4"/>
        <w:gridCol w:w="674"/>
        <w:gridCol w:w="1143"/>
        <w:gridCol w:w="985"/>
        <w:gridCol w:w="938"/>
        <w:gridCol w:w="825"/>
        <w:gridCol w:w="827"/>
      </w:tblGrid>
      <w:tr>
        <w:trPr>
          <w:trHeight w:val="604" w:hRule="atLeast"/>
        </w:trPr>
        <w:tc>
          <w:tcPr>
            <w:tcW w:w="3378" w:type="dxa"/>
            <w:gridSpan w:val="2"/>
            <w:tcBorders>
              <w:top w:val="single" w:sz="4" w:space="0" w:color="000000"/>
              <w:left w:val="single" w:sz="4" w:space="0" w:color="000000"/>
              <w:bottom w:val="single" w:sz="4" w:space="0" w:color="000000"/>
            </w:tcBorders>
            <w:shd w:val="clear" w:color="auto" w:fill="DEEAF6"/>
          </w:tcPr>
          <w:p>
            <w:pPr>
              <w:pStyle w:val="TableParagraph"/>
              <w:spacing w:before="6"/>
              <w:rPr>
                <w:b/>
                <w:sz w:val="11"/>
              </w:rPr>
            </w:pPr>
          </w:p>
          <w:p>
            <w:pPr>
              <w:pStyle w:val="TableParagraph"/>
              <w:spacing w:line="249" w:lineRule="auto" w:before="1"/>
              <w:ind w:left="2838" w:hanging="95"/>
              <w:rPr>
                <w:b/>
                <w:sz w:val="13"/>
              </w:rPr>
            </w:pPr>
            <w:r>
              <w:rPr>
                <w:b/>
                <w:sz w:val="13"/>
              </w:rPr>
              <w:t>Previsión </w:t>
            </w:r>
            <w:r>
              <w:rPr>
                <w:b/>
                <w:w w:val="105"/>
                <w:sz w:val="13"/>
              </w:rPr>
              <w:t>inicial</w:t>
            </w:r>
          </w:p>
        </w:tc>
        <w:tc>
          <w:tcPr>
            <w:tcW w:w="1143" w:type="dxa"/>
            <w:tcBorders>
              <w:top w:val="single" w:sz="4" w:space="0" w:color="000000"/>
              <w:bottom w:val="single" w:sz="4" w:space="0" w:color="000000"/>
            </w:tcBorders>
            <w:shd w:val="clear" w:color="auto" w:fill="DEEAF6"/>
          </w:tcPr>
          <w:p>
            <w:pPr>
              <w:pStyle w:val="TableParagraph"/>
              <w:spacing w:before="4"/>
              <w:rPr>
                <w:b/>
                <w:sz w:val="18"/>
              </w:rPr>
            </w:pPr>
          </w:p>
          <w:p>
            <w:pPr>
              <w:pStyle w:val="TableParagraph"/>
              <w:ind w:right="203"/>
              <w:jc w:val="right"/>
              <w:rPr>
                <w:b/>
                <w:sz w:val="13"/>
              </w:rPr>
            </w:pPr>
            <w:r>
              <w:rPr>
                <w:b/>
                <w:sz w:val="13"/>
              </w:rPr>
              <w:t>Modificaciones</w:t>
            </w:r>
          </w:p>
        </w:tc>
        <w:tc>
          <w:tcPr>
            <w:tcW w:w="985" w:type="dxa"/>
            <w:tcBorders>
              <w:top w:val="single" w:sz="4" w:space="0" w:color="000000"/>
              <w:bottom w:val="single" w:sz="4" w:space="0" w:color="000000"/>
            </w:tcBorders>
            <w:shd w:val="clear" w:color="auto" w:fill="DEEAF6"/>
          </w:tcPr>
          <w:p>
            <w:pPr>
              <w:pStyle w:val="TableParagraph"/>
              <w:spacing w:before="6"/>
              <w:rPr>
                <w:b/>
                <w:sz w:val="11"/>
              </w:rPr>
            </w:pPr>
          </w:p>
          <w:p>
            <w:pPr>
              <w:pStyle w:val="TableParagraph"/>
              <w:spacing w:line="249" w:lineRule="auto" w:before="1"/>
              <w:ind w:left="160" w:firstLine="8"/>
              <w:rPr>
                <w:b/>
                <w:sz w:val="13"/>
              </w:rPr>
            </w:pPr>
            <w:r>
              <w:rPr>
                <w:b/>
                <w:sz w:val="13"/>
              </w:rPr>
              <w:t>Previsión </w:t>
            </w:r>
            <w:r>
              <w:rPr>
                <w:b/>
                <w:w w:val="105"/>
                <w:sz w:val="13"/>
              </w:rPr>
              <w:t>definitiva</w:t>
            </w:r>
          </w:p>
        </w:tc>
        <w:tc>
          <w:tcPr>
            <w:tcW w:w="938" w:type="dxa"/>
            <w:tcBorders>
              <w:top w:val="single" w:sz="4" w:space="0" w:color="000000"/>
              <w:bottom w:val="single" w:sz="4" w:space="0" w:color="000000"/>
            </w:tcBorders>
            <w:shd w:val="clear" w:color="auto" w:fill="DEEAF6"/>
          </w:tcPr>
          <w:p>
            <w:pPr>
              <w:pStyle w:val="TableParagraph"/>
              <w:spacing w:line="247" w:lineRule="auto" w:before="60"/>
              <w:ind w:left="105" w:right="155"/>
              <w:jc w:val="center"/>
              <w:rPr>
                <w:b/>
                <w:sz w:val="13"/>
              </w:rPr>
            </w:pPr>
            <w:r>
              <w:rPr>
                <w:b/>
                <w:w w:val="105"/>
                <w:sz w:val="13"/>
              </w:rPr>
              <w:t>Derechos </w:t>
            </w:r>
            <w:r>
              <w:rPr>
                <w:b/>
                <w:sz w:val="13"/>
              </w:rPr>
              <w:t>reconocidos </w:t>
            </w:r>
            <w:r>
              <w:rPr>
                <w:b/>
                <w:w w:val="105"/>
                <w:sz w:val="13"/>
              </w:rPr>
              <w:t>netos</w:t>
            </w:r>
          </w:p>
        </w:tc>
        <w:tc>
          <w:tcPr>
            <w:tcW w:w="825" w:type="dxa"/>
            <w:tcBorders>
              <w:top w:val="single" w:sz="4" w:space="0" w:color="000000"/>
              <w:bottom w:val="single" w:sz="4" w:space="0" w:color="000000"/>
            </w:tcBorders>
            <w:shd w:val="clear" w:color="auto" w:fill="DEEAF6"/>
          </w:tcPr>
          <w:p>
            <w:pPr>
              <w:pStyle w:val="TableParagraph"/>
              <w:spacing w:before="4"/>
              <w:rPr>
                <w:b/>
                <w:sz w:val="18"/>
              </w:rPr>
            </w:pPr>
          </w:p>
          <w:p>
            <w:pPr>
              <w:pStyle w:val="TableParagraph"/>
              <w:ind w:right="118"/>
              <w:jc w:val="right"/>
              <w:rPr>
                <w:b/>
                <w:sz w:val="13"/>
              </w:rPr>
            </w:pPr>
            <w:r>
              <w:rPr>
                <w:b/>
                <w:sz w:val="13"/>
              </w:rPr>
              <w:t>Recaudado</w:t>
            </w:r>
          </w:p>
        </w:tc>
        <w:tc>
          <w:tcPr>
            <w:tcW w:w="827" w:type="dxa"/>
            <w:tcBorders>
              <w:top w:val="single" w:sz="4" w:space="0" w:color="000000"/>
              <w:bottom w:val="single" w:sz="4" w:space="0" w:color="000000"/>
              <w:right w:val="single" w:sz="4" w:space="0" w:color="000000"/>
            </w:tcBorders>
            <w:shd w:val="clear" w:color="auto" w:fill="DEEAF6"/>
          </w:tcPr>
          <w:p>
            <w:pPr>
              <w:pStyle w:val="TableParagraph"/>
              <w:spacing w:line="247" w:lineRule="auto" w:before="60"/>
              <w:ind w:left="91" w:right="102" w:hanging="3"/>
              <w:jc w:val="center"/>
              <w:rPr>
                <w:b/>
                <w:sz w:val="13"/>
              </w:rPr>
            </w:pPr>
            <w:r>
              <w:rPr>
                <w:b/>
                <w:w w:val="105"/>
                <w:sz w:val="13"/>
              </w:rPr>
              <w:t>Derechos </w:t>
            </w:r>
            <w:r>
              <w:rPr>
                <w:b/>
                <w:spacing w:val="-1"/>
                <w:w w:val="105"/>
                <w:sz w:val="13"/>
              </w:rPr>
              <w:t>pendientes</w:t>
            </w:r>
            <w:r>
              <w:rPr>
                <w:b/>
                <w:w w:val="103"/>
                <w:sz w:val="13"/>
              </w:rPr>
              <w:t> </w:t>
            </w:r>
            <w:r>
              <w:rPr>
                <w:b/>
                <w:w w:val="105"/>
                <w:sz w:val="13"/>
              </w:rPr>
              <w:t>de cobro</w:t>
            </w:r>
          </w:p>
        </w:tc>
      </w:tr>
      <w:tr>
        <w:trPr>
          <w:trHeight w:val="211" w:hRule="atLeast"/>
        </w:trPr>
        <w:tc>
          <w:tcPr>
            <w:tcW w:w="2704" w:type="dxa"/>
            <w:tcBorders>
              <w:top w:val="single" w:sz="4" w:space="0" w:color="000000"/>
              <w:left w:val="single" w:sz="4" w:space="0" w:color="000000"/>
            </w:tcBorders>
          </w:tcPr>
          <w:p>
            <w:pPr>
              <w:pStyle w:val="TableParagraph"/>
              <w:spacing w:before="20"/>
              <w:ind w:left="59"/>
              <w:rPr>
                <w:sz w:val="13"/>
              </w:rPr>
            </w:pPr>
            <w:r>
              <w:rPr>
                <w:w w:val="105"/>
                <w:sz w:val="13"/>
              </w:rPr>
              <w:t>Impuestos directos</w:t>
            </w:r>
          </w:p>
        </w:tc>
        <w:tc>
          <w:tcPr>
            <w:tcW w:w="674" w:type="dxa"/>
            <w:tcBorders>
              <w:top w:val="single" w:sz="4" w:space="0" w:color="000000"/>
            </w:tcBorders>
          </w:tcPr>
          <w:p>
            <w:pPr>
              <w:pStyle w:val="TableParagraph"/>
              <w:spacing w:before="20"/>
              <w:ind w:right="77"/>
              <w:jc w:val="right"/>
              <w:rPr>
                <w:sz w:val="13"/>
              </w:rPr>
            </w:pPr>
            <w:r>
              <w:rPr>
                <w:w w:val="105"/>
                <w:sz w:val="13"/>
              </w:rPr>
              <w:t>1.730,50</w:t>
            </w:r>
          </w:p>
        </w:tc>
        <w:tc>
          <w:tcPr>
            <w:tcW w:w="1143" w:type="dxa"/>
            <w:tcBorders>
              <w:top w:val="single" w:sz="4" w:space="0" w:color="000000"/>
            </w:tcBorders>
          </w:tcPr>
          <w:p>
            <w:pPr>
              <w:pStyle w:val="TableParagraph"/>
              <w:rPr>
                <w:rFonts w:ascii="Times New Roman"/>
                <w:sz w:val="12"/>
              </w:rPr>
            </w:pPr>
          </w:p>
        </w:tc>
        <w:tc>
          <w:tcPr>
            <w:tcW w:w="985" w:type="dxa"/>
            <w:tcBorders>
              <w:top w:val="single" w:sz="4" w:space="0" w:color="000000"/>
            </w:tcBorders>
          </w:tcPr>
          <w:p>
            <w:pPr>
              <w:pStyle w:val="TableParagraph"/>
              <w:spacing w:before="20"/>
              <w:ind w:right="93"/>
              <w:jc w:val="right"/>
              <w:rPr>
                <w:sz w:val="13"/>
              </w:rPr>
            </w:pPr>
            <w:r>
              <w:rPr>
                <w:w w:val="105"/>
                <w:sz w:val="13"/>
              </w:rPr>
              <w:t>1.730,50</w:t>
            </w:r>
          </w:p>
        </w:tc>
        <w:tc>
          <w:tcPr>
            <w:tcW w:w="938" w:type="dxa"/>
            <w:tcBorders>
              <w:top w:val="single" w:sz="4" w:space="0" w:color="000000"/>
            </w:tcBorders>
          </w:tcPr>
          <w:p>
            <w:pPr>
              <w:pStyle w:val="TableParagraph"/>
              <w:spacing w:before="20"/>
              <w:ind w:right="69"/>
              <w:jc w:val="right"/>
              <w:rPr>
                <w:sz w:val="13"/>
              </w:rPr>
            </w:pPr>
            <w:r>
              <w:rPr>
                <w:w w:val="105"/>
                <w:sz w:val="13"/>
              </w:rPr>
              <w:t>1.644,20</w:t>
            </w:r>
          </w:p>
        </w:tc>
        <w:tc>
          <w:tcPr>
            <w:tcW w:w="825" w:type="dxa"/>
            <w:tcBorders>
              <w:top w:val="single" w:sz="4" w:space="0" w:color="000000"/>
            </w:tcBorders>
          </w:tcPr>
          <w:p>
            <w:pPr>
              <w:pStyle w:val="TableParagraph"/>
              <w:spacing w:before="20"/>
              <w:ind w:right="78"/>
              <w:jc w:val="right"/>
              <w:rPr>
                <w:sz w:val="13"/>
              </w:rPr>
            </w:pPr>
            <w:r>
              <w:rPr>
                <w:w w:val="105"/>
                <w:sz w:val="13"/>
              </w:rPr>
              <w:t>1.638,30</w:t>
            </w:r>
          </w:p>
        </w:tc>
        <w:tc>
          <w:tcPr>
            <w:tcW w:w="827" w:type="dxa"/>
            <w:tcBorders>
              <w:top w:val="single" w:sz="4" w:space="0" w:color="000000"/>
              <w:right w:val="single" w:sz="4" w:space="0" w:color="000000"/>
            </w:tcBorders>
          </w:tcPr>
          <w:p>
            <w:pPr>
              <w:pStyle w:val="TableParagraph"/>
              <w:spacing w:before="20"/>
              <w:ind w:right="43"/>
              <w:jc w:val="right"/>
              <w:rPr>
                <w:sz w:val="13"/>
              </w:rPr>
            </w:pPr>
            <w:r>
              <w:rPr>
                <w:sz w:val="13"/>
              </w:rPr>
              <w:t>5,90</w:t>
            </w:r>
          </w:p>
        </w:tc>
      </w:tr>
      <w:tr>
        <w:trPr>
          <w:trHeight w:val="198" w:hRule="atLeast"/>
        </w:trPr>
        <w:tc>
          <w:tcPr>
            <w:tcW w:w="2704" w:type="dxa"/>
            <w:tcBorders>
              <w:left w:val="single" w:sz="4" w:space="0" w:color="000000"/>
            </w:tcBorders>
          </w:tcPr>
          <w:p>
            <w:pPr>
              <w:pStyle w:val="TableParagraph"/>
              <w:spacing w:before="10"/>
              <w:ind w:left="59"/>
              <w:rPr>
                <w:sz w:val="13"/>
              </w:rPr>
            </w:pPr>
            <w:r>
              <w:rPr>
                <w:w w:val="105"/>
                <w:sz w:val="13"/>
              </w:rPr>
              <w:t>Impuestos indirectos</w:t>
            </w:r>
          </w:p>
        </w:tc>
        <w:tc>
          <w:tcPr>
            <w:tcW w:w="674" w:type="dxa"/>
          </w:tcPr>
          <w:p>
            <w:pPr>
              <w:pStyle w:val="TableParagraph"/>
              <w:spacing w:before="10"/>
              <w:ind w:right="77"/>
              <w:jc w:val="right"/>
              <w:rPr>
                <w:sz w:val="13"/>
              </w:rPr>
            </w:pPr>
            <w:r>
              <w:rPr>
                <w:w w:val="105"/>
                <w:sz w:val="13"/>
              </w:rPr>
              <w:t>1.556,70</w:t>
            </w:r>
          </w:p>
        </w:tc>
        <w:tc>
          <w:tcPr>
            <w:tcW w:w="1143" w:type="dxa"/>
          </w:tcPr>
          <w:p>
            <w:pPr>
              <w:pStyle w:val="TableParagraph"/>
              <w:rPr>
                <w:rFonts w:ascii="Times New Roman"/>
                <w:sz w:val="12"/>
              </w:rPr>
            </w:pPr>
          </w:p>
        </w:tc>
        <w:tc>
          <w:tcPr>
            <w:tcW w:w="985" w:type="dxa"/>
          </w:tcPr>
          <w:p>
            <w:pPr>
              <w:pStyle w:val="TableParagraph"/>
              <w:spacing w:before="10"/>
              <w:ind w:right="93"/>
              <w:jc w:val="right"/>
              <w:rPr>
                <w:sz w:val="13"/>
              </w:rPr>
            </w:pPr>
            <w:r>
              <w:rPr>
                <w:w w:val="105"/>
                <w:sz w:val="13"/>
              </w:rPr>
              <w:t>1.556,70</w:t>
            </w:r>
          </w:p>
        </w:tc>
        <w:tc>
          <w:tcPr>
            <w:tcW w:w="938" w:type="dxa"/>
          </w:tcPr>
          <w:p>
            <w:pPr>
              <w:pStyle w:val="TableParagraph"/>
              <w:spacing w:before="10"/>
              <w:ind w:right="69"/>
              <w:jc w:val="right"/>
              <w:rPr>
                <w:sz w:val="13"/>
              </w:rPr>
            </w:pPr>
            <w:r>
              <w:rPr>
                <w:w w:val="105"/>
                <w:sz w:val="13"/>
              </w:rPr>
              <w:t>1.687,80</w:t>
            </w:r>
          </w:p>
        </w:tc>
        <w:tc>
          <w:tcPr>
            <w:tcW w:w="825" w:type="dxa"/>
          </w:tcPr>
          <w:p>
            <w:pPr>
              <w:pStyle w:val="TableParagraph"/>
              <w:spacing w:before="10"/>
              <w:ind w:right="78"/>
              <w:jc w:val="right"/>
              <w:rPr>
                <w:sz w:val="13"/>
              </w:rPr>
            </w:pPr>
            <w:r>
              <w:rPr>
                <w:w w:val="105"/>
                <w:sz w:val="13"/>
              </w:rPr>
              <w:t>1.678,00</w:t>
            </w:r>
          </w:p>
        </w:tc>
        <w:tc>
          <w:tcPr>
            <w:tcW w:w="827" w:type="dxa"/>
            <w:tcBorders>
              <w:right w:val="single" w:sz="4" w:space="0" w:color="000000"/>
            </w:tcBorders>
          </w:tcPr>
          <w:p>
            <w:pPr>
              <w:pStyle w:val="TableParagraph"/>
              <w:spacing w:before="10"/>
              <w:ind w:right="43"/>
              <w:jc w:val="right"/>
              <w:rPr>
                <w:sz w:val="13"/>
              </w:rPr>
            </w:pPr>
            <w:r>
              <w:rPr>
                <w:sz w:val="13"/>
              </w:rPr>
              <w:t>9,80</w:t>
            </w:r>
          </w:p>
        </w:tc>
      </w:tr>
      <w:tr>
        <w:trPr>
          <w:trHeight w:val="194" w:hRule="atLeast"/>
        </w:trPr>
        <w:tc>
          <w:tcPr>
            <w:tcW w:w="2704" w:type="dxa"/>
            <w:tcBorders>
              <w:left w:val="single" w:sz="4" w:space="0" w:color="000000"/>
            </w:tcBorders>
          </w:tcPr>
          <w:p>
            <w:pPr>
              <w:pStyle w:val="TableParagraph"/>
              <w:spacing w:before="7"/>
              <w:ind w:left="59"/>
              <w:rPr>
                <w:sz w:val="13"/>
              </w:rPr>
            </w:pPr>
            <w:r>
              <w:rPr>
                <w:w w:val="105"/>
                <w:sz w:val="13"/>
              </w:rPr>
              <w:t>Tasas, precios públicos y otros ingresos</w:t>
            </w:r>
          </w:p>
        </w:tc>
        <w:tc>
          <w:tcPr>
            <w:tcW w:w="674" w:type="dxa"/>
          </w:tcPr>
          <w:p>
            <w:pPr>
              <w:pStyle w:val="TableParagraph"/>
              <w:spacing w:before="7"/>
              <w:ind w:right="77"/>
              <w:jc w:val="right"/>
              <w:rPr>
                <w:sz w:val="13"/>
              </w:rPr>
            </w:pPr>
            <w:r>
              <w:rPr>
                <w:sz w:val="13"/>
              </w:rPr>
              <w:t>118,70</w:t>
            </w:r>
          </w:p>
        </w:tc>
        <w:tc>
          <w:tcPr>
            <w:tcW w:w="1143" w:type="dxa"/>
          </w:tcPr>
          <w:p>
            <w:pPr>
              <w:pStyle w:val="TableParagraph"/>
              <w:spacing w:before="7"/>
              <w:ind w:right="149"/>
              <w:jc w:val="right"/>
              <w:rPr>
                <w:sz w:val="13"/>
              </w:rPr>
            </w:pPr>
            <w:r>
              <w:rPr>
                <w:sz w:val="13"/>
              </w:rPr>
              <w:t>12,80</w:t>
            </w:r>
          </w:p>
        </w:tc>
        <w:tc>
          <w:tcPr>
            <w:tcW w:w="985" w:type="dxa"/>
          </w:tcPr>
          <w:p>
            <w:pPr>
              <w:pStyle w:val="TableParagraph"/>
              <w:spacing w:before="7"/>
              <w:ind w:right="93"/>
              <w:jc w:val="right"/>
              <w:rPr>
                <w:sz w:val="13"/>
              </w:rPr>
            </w:pPr>
            <w:r>
              <w:rPr>
                <w:sz w:val="13"/>
              </w:rPr>
              <w:t>131,50</w:t>
            </w:r>
          </w:p>
        </w:tc>
        <w:tc>
          <w:tcPr>
            <w:tcW w:w="938" w:type="dxa"/>
          </w:tcPr>
          <w:p>
            <w:pPr>
              <w:pStyle w:val="TableParagraph"/>
              <w:spacing w:before="7"/>
              <w:ind w:right="69"/>
              <w:jc w:val="right"/>
              <w:rPr>
                <w:sz w:val="13"/>
              </w:rPr>
            </w:pPr>
            <w:r>
              <w:rPr>
                <w:sz w:val="13"/>
              </w:rPr>
              <w:t>204,70</w:t>
            </w:r>
          </w:p>
        </w:tc>
        <w:tc>
          <w:tcPr>
            <w:tcW w:w="825" w:type="dxa"/>
          </w:tcPr>
          <w:p>
            <w:pPr>
              <w:pStyle w:val="TableParagraph"/>
              <w:spacing w:before="7"/>
              <w:ind w:right="78"/>
              <w:jc w:val="right"/>
              <w:rPr>
                <w:sz w:val="13"/>
              </w:rPr>
            </w:pPr>
            <w:r>
              <w:rPr>
                <w:sz w:val="13"/>
              </w:rPr>
              <w:t>179,70</w:t>
            </w:r>
          </w:p>
        </w:tc>
        <w:tc>
          <w:tcPr>
            <w:tcW w:w="827" w:type="dxa"/>
            <w:tcBorders>
              <w:right w:val="single" w:sz="4" w:space="0" w:color="000000"/>
            </w:tcBorders>
          </w:tcPr>
          <w:p>
            <w:pPr>
              <w:pStyle w:val="TableParagraph"/>
              <w:spacing w:before="7"/>
              <w:ind w:right="43"/>
              <w:jc w:val="right"/>
              <w:rPr>
                <w:sz w:val="13"/>
              </w:rPr>
            </w:pPr>
            <w:r>
              <w:rPr>
                <w:sz w:val="13"/>
              </w:rPr>
              <w:t>25,00</w:t>
            </w:r>
          </w:p>
        </w:tc>
      </w:tr>
      <w:tr>
        <w:trPr>
          <w:trHeight w:val="197" w:hRule="atLeast"/>
        </w:trPr>
        <w:tc>
          <w:tcPr>
            <w:tcW w:w="2704" w:type="dxa"/>
            <w:tcBorders>
              <w:left w:val="single" w:sz="4" w:space="0" w:color="000000"/>
            </w:tcBorders>
          </w:tcPr>
          <w:p>
            <w:pPr>
              <w:pStyle w:val="TableParagraph"/>
              <w:spacing w:before="6"/>
              <w:ind w:left="59"/>
              <w:rPr>
                <w:sz w:val="13"/>
              </w:rPr>
            </w:pPr>
            <w:r>
              <w:rPr>
                <w:w w:val="105"/>
                <w:sz w:val="13"/>
              </w:rPr>
              <w:t>Transferencias corrientes</w:t>
            </w:r>
          </w:p>
        </w:tc>
        <w:tc>
          <w:tcPr>
            <w:tcW w:w="674" w:type="dxa"/>
          </w:tcPr>
          <w:p>
            <w:pPr>
              <w:pStyle w:val="TableParagraph"/>
              <w:spacing w:before="6"/>
              <w:ind w:right="77"/>
              <w:jc w:val="right"/>
              <w:rPr>
                <w:sz w:val="13"/>
              </w:rPr>
            </w:pPr>
            <w:r>
              <w:rPr>
                <w:w w:val="105"/>
                <w:sz w:val="13"/>
              </w:rPr>
              <w:t>4.127,30</w:t>
            </w:r>
          </w:p>
        </w:tc>
        <w:tc>
          <w:tcPr>
            <w:tcW w:w="1143" w:type="dxa"/>
          </w:tcPr>
          <w:p>
            <w:pPr>
              <w:pStyle w:val="TableParagraph"/>
              <w:spacing w:before="6"/>
              <w:ind w:right="149"/>
              <w:jc w:val="right"/>
              <w:rPr>
                <w:sz w:val="13"/>
              </w:rPr>
            </w:pPr>
            <w:r>
              <w:rPr>
                <w:sz w:val="13"/>
              </w:rPr>
              <w:t>239,90</w:t>
            </w:r>
          </w:p>
        </w:tc>
        <w:tc>
          <w:tcPr>
            <w:tcW w:w="985" w:type="dxa"/>
          </w:tcPr>
          <w:p>
            <w:pPr>
              <w:pStyle w:val="TableParagraph"/>
              <w:spacing w:before="6"/>
              <w:ind w:right="93"/>
              <w:jc w:val="right"/>
              <w:rPr>
                <w:sz w:val="13"/>
              </w:rPr>
            </w:pPr>
            <w:r>
              <w:rPr>
                <w:w w:val="105"/>
                <w:sz w:val="13"/>
              </w:rPr>
              <w:t>4.367,20</w:t>
            </w:r>
          </w:p>
        </w:tc>
        <w:tc>
          <w:tcPr>
            <w:tcW w:w="938" w:type="dxa"/>
          </w:tcPr>
          <w:p>
            <w:pPr>
              <w:pStyle w:val="TableParagraph"/>
              <w:spacing w:before="6"/>
              <w:ind w:right="69"/>
              <w:jc w:val="right"/>
              <w:rPr>
                <w:sz w:val="13"/>
              </w:rPr>
            </w:pPr>
            <w:r>
              <w:rPr>
                <w:w w:val="105"/>
                <w:sz w:val="13"/>
              </w:rPr>
              <w:t>4.446,80</w:t>
            </w:r>
          </w:p>
        </w:tc>
        <w:tc>
          <w:tcPr>
            <w:tcW w:w="825" w:type="dxa"/>
          </w:tcPr>
          <w:p>
            <w:pPr>
              <w:pStyle w:val="TableParagraph"/>
              <w:spacing w:before="6"/>
              <w:ind w:right="78"/>
              <w:jc w:val="right"/>
              <w:rPr>
                <w:sz w:val="13"/>
              </w:rPr>
            </w:pPr>
            <w:r>
              <w:rPr>
                <w:w w:val="105"/>
                <w:sz w:val="13"/>
              </w:rPr>
              <w:t>4.343,20</w:t>
            </w:r>
          </w:p>
        </w:tc>
        <w:tc>
          <w:tcPr>
            <w:tcW w:w="827" w:type="dxa"/>
            <w:tcBorders>
              <w:right w:val="single" w:sz="4" w:space="0" w:color="000000"/>
            </w:tcBorders>
          </w:tcPr>
          <w:p>
            <w:pPr>
              <w:pStyle w:val="TableParagraph"/>
              <w:spacing w:before="6"/>
              <w:ind w:right="43"/>
              <w:jc w:val="right"/>
              <w:rPr>
                <w:sz w:val="13"/>
              </w:rPr>
            </w:pPr>
            <w:r>
              <w:rPr>
                <w:sz w:val="13"/>
              </w:rPr>
              <w:t>103,50</w:t>
            </w:r>
          </w:p>
        </w:tc>
      </w:tr>
      <w:tr>
        <w:trPr>
          <w:trHeight w:val="201" w:hRule="atLeast"/>
        </w:trPr>
        <w:tc>
          <w:tcPr>
            <w:tcW w:w="2704" w:type="dxa"/>
            <w:tcBorders>
              <w:left w:val="single" w:sz="4" w:space="0" w:color="000000"/>
            </w:tcBorders>
          </w:tcPr>
          <w:p>
            <w:pPr>
              <w:pStyle w:val="TableParagraph"/>
              <w:spacing w:before="10"/>
              <w:ind w:left="59"/>
              <w:rPr>
                <w:sz w:val="13"/>
              </w:rPr>
            </w:pPr>
            <w:r>
              <w:rPr>
                <w:w w:val="105"/>
                <w:sz w:val="13"/>
              </w:rPr>
              <w:t>Ingresos patrimoniales</w:t>
            </w:r>
          </w:p>
        </w:tc>
        <w:tc>
          <w:tcPr>
            <w:tcW w:w="674" w:type="dxa"/>
          </w:tcPr>
          <w:p>
            <w:pPr>
              <w:pStyle w:val="TableParagraph"/>
              <w:spacing w:before="10"/>
              <w:ind w:right="77"/>
              <w:jc w:val="right"/>
              <w:rPr>
                <w:sz w:val="13"/>
              </w:rPr>
            </w:pPr>
            <w:r>
              <w:rPr>
                <w:sz w:val="13"/>
              </w:rPr>
              <w:t>1,90</w:t>
            </w:r>
          </w:p>
        </w:tc>
        <w:tc>
          <w:tcPr>
            <w:tcW w:w="1143" w:type="dxa"/>
          </w:tcPr>
          <w:p>
            <w:pPr>
              <w:pStyle w:val="TableParagraph"/>
              <w:rPr>
                <w:rFonts w:ascii="Times New Roman"/>
                <w:sz w:val="12"/>
              </w:rPr>
            </w:pPr>
          </w:p>
        </w:tc>
        <w:tc>
          <w:tcPr>
            <w:tcW w:w="985" w:type="dxa"/>
          </w:tcPr>
          <w:p>
            <w:pPr>
              <w:pStyle w:val="TableParagraph"/>
              <w:spacing w:before="10"/>
              <w:ind w:right="93"/>
              <w:jc w:val="right"/>
              <w:rPr>
                <w:sz w:val="13"/>
              </w:rPr>
            </w:pPr>
            <w:r>
              <w:rPr>
                <w:sz w:val="13"/>
              </w:rPr>
              <w:t>1,90</w:t>
            </w:r>
          </w:p>
        </w:tc>
        <w:tc>
          <w:tcPr>
            <w:tcW w:w="938" w:type="dxa"/>
          </w:tcPr>
          <w:p>
            <w:pPr>
              <w:pStyle w:val="TableParagraph"/>
              <w:spacing w:before="10"/>
              <w:ind w:right="69"/>
              <w:jc w:val="right"/>
              <w:rPr>
                <w:sz w:val="13"/>
              </w:rPr>
            </w:pPr>
            <w:r>
              <w:rPr>
                <w:sz w:val="13"/>
              </w:rPr>
              <w:t>5,60</w:t>
            </w:r>
          </w:p>
        </w:tc>
        <w:tc>
          <w:tcPr>
            <w:tcW w:w="825" w:type="dxa"/>
          </w:tcPr>
          <w:p>
            <w:pPr>
              <w:pStyle w:val="TableParagraph"/>
              <w:spacing w:before="10"/>
              <w:ind w:right="78"/>
              <w:jc w:val="right"/>
              <w:rPr>
                <w:sz w:val="13"/>
              </w:rPr>
            </w:pPr>
            <w:r>
              <w:rPr>
                <w:sz w:val="13"/>
              </w:rPr>
              <w:t>1,70</w:t>
            </w:r>
          </w:p>
        </w:tc>
        <w:tc>
          <w:tcPr>
            <w:tcW w:w="827" w:type="dxa"/>
            <w:tcBorders>
              <w:right w:val="single" w:sz="4" w:space="0" w:color="000000"/>
            </w:tcBorders>
          </w:tcPr>
          <w:p>
            <w:pPr>
              <w:pStyle w:val="TableParagraph"/>
              <w:spacing w:before="10"/>
              <w:ind w:right="43"/>
              <w:jc w:val="right"/>
              <w:rPr>
                <w:sz w:val="13"/>
              </w:rPr>
            </w:pPr>
            <w:r>
              <w:rPr>
                <w:sz w:val="13"/>
              </w:rPr>
              <w:t>3,90</w:t>
            </w:r>
          </w:p>
        </w:tc>
      </w:tr>
      <w:tr>
        <w:trPr>
          <w:trHeight w:val="201" w:hRule="atLeast"/>
        </w:trPr>
        <w:tc>
          <w:tcPr>
            <w:tcW w:w="2704" w:type="dxa"/>
            <w:tcBorders>
              <w:left w:val="single" w:sz="4" w:space="0" w:color="000000"/>
            </w:tcBorders>
          </w:tcPr>
          <w:p>
            <w:pPr>
              <w:pStyle w:val="TableParagraph"/>
              <w:spacing w:before="11"/>
              <w:ind w:left="59"/>
              <w:rPr>
                <w:sz w:val="13"/>
              </w:rPr>
            </w:pPr>
            <w:r>
              <w:rPr>
                <w:w w:val="105"/>
                <w:sz w:val="13"/>
              </w:rPr>
              <w:t>Enajenaciones inversiones reales</w:t>
            </w:r>
          </w:p>
        </w:tc>
        <w:tc>
          <w:tcPr>
            <w:tcW w:w="674" w:type="dxa"/>
          </w:tcPr>
          <w:p>
            <w:pPr>
              <w:pStyle w:val="TableParagraph"/>
              <w:spacing w:before="11"/>
              <w:ind w:right="77"/>
              <w:jc w:val="right"/>
              <w:rPr>
                <w:sz w:val="13"/>
              </w:rPr>
            </w:pPr>
            <w:r>
              <w:rPr>
                <w:sz w:val="13"/>
              </w:rPr>
              <w:t>0,50</w:t>
            </w:r>
          </w:p>
        </w:tc>
        <w:tc>
          <w:tcPr>
            <w:tcW w:w="1143" w:type="dxa"/>
          </w:tcPr>
          <w:p>
            <w:pPr>
              <w:pStyle w:val="TableParagraph"/>
              <w:rPr>
                <w:rFonts w:ascii="Times New Roman"/>
                <w:sz w:val="12"/>
              </w:rPr>
            </w:pPr>
          </w:p>
        </w:tc>
        <w:tc>
          <w:tcPr>
            <w:tcW w:w="985" w:type="dxa"/>
          </w:tcPr>
          <w:p>
            <w:pPr>
              <w:pStyle w:val="TableParagraph"/>
              <w:spacing w:before="11"/>
              <w:ind w:right="93"/>
              <w:jc w:val="right"/>
              <w:rPr>
                <w:sz w:val="13"/>
              </w:rPr>
            </w:pPr>
            <w:r>
              <w:rPr>
                <w:sz w:val="13"/>
              </w:rPr>
              <w:t>0,50</w:t>
            </w:r>
          </w:p>
        </w:tc>
        <w:tc>
          <w:tcPr>
            <w:tcW w:w="938" w:type="dxa"/>
          </w:tcPr>
          <w:p>
            <w:pPr>
              <w:pStyle w:val="TableParagraph"/>
              <w:spacing w:before="11"/>
              <w:ind w:right="69"/>
              <w:jc w:val="right"/>
              <w:rPr>
                <w:sz w:val="13"/>
              </w:rPr>
            </w:pPr>
            <w:r>
              <w:rPr>
                <w:sz w:val="13"/>
              </w:rPr>
              <w:t>0,00</w:t>
            </w:r>
          </w:p>
        </w:tc>
        <w:tc>
          <w:tcPr>
            <w:tcW w:w="825" w:type="dxa"/>
          </w:tcPr>
          <w:p>
            <w:pPr>
              <w:pStyle w:val="TableParagraph"/>
              <w:spacing w:before="11"/>
              <w:ind w:right="78"/>
              <w:jc w:val="right"/>
              <w:rPr>
                <w:sz w:val="13"/>
              </w:rPr>
            </w:pPr>
            <w:r>
              <w:rPr>
                <w:sz w:val="13"/>
              </w:rPr>
              <w:t>0,00</w:t>
            </w:r>
          </w:p>
        </w:tc>
        <w:tc>
          <w:tcPr>
            <w:tcW w:w="827" w:type="dxa"/>
            <w:tcBorders>
              <w:right w:val="single" w:sz="4" w:space="0" w:color="000000"/>
            </w:tcBorders>
          </w:tcPr>
          <w:p>
            <w:pPr>
              <w:pStyle w:val="TableParagraph"/>
              <w:spacing w:before="11"/>
              <w:ind w:right="43"/>
              <w:jc w:val="right"/>
              <w:rPr>
                <w:sz w:val="13"/>
              </w:rPr>
            </w:pPr>
            <w:r>
              <w:rPr>
                <w:sz w:val="13"/>
              </w:rPr>
              <w:t>0,00</w:t>
            </w:r>
          </w:p>
        </w:tc>
      </w:tr>
      <w:tr>
        <w:trPr>
          <w:trHeight w:val="190" w:hRule="atLeast"/>
        </w:trPr>
        <w:tc>
          <w:tcPr>
            <w:tcW w:w="2704" w:type="dxa"/>
            <w:tcBorders>
              <w:left w:val="single" w:sz="4" w:space="0" w:color="000000"/>
            </w:tcBorders>
          </w:tcPr>
          <w:p>
            <w:pPr>
              <w:pStyle w:val="TableParagraph"/>
              <w:spacing w:before="10"/>
              <w:ind w:left="59"/>
              <w:rPr>
                <w:sz w:val="13"/>
              </w:rPr>
            </w:pPr>
            <w:r>
              <w:rPr>
                <w:w w:val="105"/>
                <w:sz w:val="13"/>
              </w:rPr>
              <w:t>Transferencias de capital</w:t>
            </w:r>
          </w:p>
        </w:tc>
        <w:tc>
          <w:tcPr>
            <w:tcW w:w="674" w:type="dxa"/>
          </w:tcPr>
          <w:p>
            <w:pPr>
              <w:pStyle w:val="TableParagraph"/>
              <w:spacing w:before="10"/>
              <w:ind w:right="77"/>
              <w:jc w:val="right"/>
              <w:rPr>
                <w:sz w:val="13"/>
              </w:rPr>
            </w:pPr>
            <w:r>
              <w:rPr>
                <w:sz w:val="13"/>
              </w:rPr>
              <w:t>945,60</w:t>
            </w:r>
          </w:p>
        </w:tc>
        <w:tc>
          <w:tcPr>
            <w:tcW w:w="1143" w:type="dxa"/>
          </w:tcPr>
          <w:p>
            <w:pPr>
              <w:pStyle w:val="TableParagraph"/>
              <w:spacing w:before="10"/>
              <w:ind w:right="149"/>
              <w:jc w:val="right"/>
              <w:rPr>
                <w:sz w:val="13"/>
              </w:rPr>
            </w:pPr>
            <w:r>
              <w:rPr>
                <w:sz w:val="13"/>
              </w:rPr>
              <w:t>120,50</w:t>
            </w:r>
          </w:p>
        </w:tc>
        <w:tc>
          <w:tcPr>
            <w:tcW w:w="985" w:type="dxa"/>
          </w:tcPr>
          <w:p>
            <w:pPr>
              <w:pStyle w:val="TableParagraph"/>
              <w:spacing w:before="10"/>
              <w:ind w:right="93"/>
              <w:jc w:val="right"/>
              <w:rPr>
                <w:sz w:val="13"/>
              </w:rPr>
            </w:pPr>
            <w:r>
              <w:rPr>
                <w:w w:val="105"/>
                <w:sz w:val="13"/>
              </w:rPr>
              <w:t>1.066,10</w:t>
            </w:r>
          </w:p>
        </w:tc>
        <w:tc>
          <w:tcPr>
            <w:tcW w:w="938" w:type="dxa"/>
          </w:tcPr>
          <w:p>
            <w:pPr>
              <w:pStyle w:val="TableParagraph"/>
              <w:spacing w:before="10"/>
              <w:ind w:right="69"/>
              <w:jc w:val="right"/>
              <w:rPr>
                <w:sz w:val="13"/>
              </w:rPr>
            </w:pPr>
            <w:r>
              <w:rPr>
                <w:w w:val="105"/>
                <w:sz w:val="13"/>
              </w:rPr>
              <w:t>1.159,10</w:t>
            </w:r>
          </w:p>
        </w:tc>
        <w:tc>
          <w:tcPr>
            <w:tcW w:w="825" w:type="dxa"/>
          </w:tcPr>
          <w:p>
            <w:pPr>
              <w:pStyle w:val="TableParagraph"/>
              <w:spacing w:before="10"/>
              <w:ind w:right="78"/>
              <w:jc w:val="right"/>
              <w:rPr>
                <w:sz w:val="13"/>
              </w:rPr>
            </w:pPr>
            <w:r>
              <w:rPr>
                <w:sz w:val="13"/>
              </w:rPr>
              <w:t>652,40</w:t>
            </w:r>
          </w:p>
        </w:tc>
        <w:tc>
          <w:tcPr>
            <w:tcW w:w="827" w:type="dxa"/>
            <w:tcBorders>
              <w:right w:val="single" w:sz="4" w:space="0" w:color="000000"/>
            </w:tcBorders>
          </w:tcPr>
          <w:p>
            <w:pPr>
              <w:pStyle w:val="TableParagraph"/>
              <w:spacing w:before="10"/>
              <w:ind w:right="43"/>
              <w:jc w:val="right"/>
              <w:rPr>
                <w:sz w:val="13"/>
              </w:rPr>
            </w:pPr>
            <w:r>
              <w:rPr>
                <w:sz w:val="13"/>
              </w:rPr>
              <w:t>506,70</w:t>
            </w:r>
          </w:p>
        </w:tc>
      </w:tr>
      <w:tr>
        <w:trPr>
          <w:trHeight w:val="378" w:hRule="atLeast"/>
        </w:trPr>
        <w:tc>
          <w:tcPr>
            <w:tcW w:w="2704" w:type="dxa"/>
            <w:tcBorders>
              <w:left w:val="single" w:sz="4" w:space="0" w:color="000000"/>
            </w:tcBorders>
            <w:shd w:val="clear" w:color="auto" w:fill="D9D9D9"/>
          </w:tcPr>
          <w:p>
            <w:pPr>
              <w:pStyle w:val="TableParagraph"/>
              <w:spacing w:before="110"/>
              <w:ind w:right="102"/>
              <w:jc w:val="right"/>
              <w:rPr>
                <w:b/>
                <w:sz w:val="13"/>
              </w:rPr>
            </w:pPr>
            <w:r>
              <w:rPr>
                <w:b/>
                <w:w w:val="105"/>
                <w:sz w:val="13"/>
              </w:rPr>
              <w:t>Total operaciones no financieras 2022</w:t>
            </w:r>
          </w:p>
        </w:tc>
        <w:tc>
          <w:tcPr>
            <w:tcW w:w="674" w:type="dxa"/>
            <w:shd w:val="clear" w:color="auto" w:fill="D9D9D9"/>
          </w:tcPr>
          <w:p>
            <w:pPr>
              <w:pStyle w:val="TableParagraph"/>
              <w:spacing w:before="110"/>
              <w:ind w:right="77"/>
              <w:jc w:val="right"/>
              <w:rPr>
                <w:b/>
                <w:sz w:val="13"/>
              </w:rPr>
            </w:pPr>
            <w:r>
              <w:rPr>
                <w:b/>
                <w:w w:val="105"/>
                <w:sz w:val="13"/>
              </w:rPr>
              <w:t>8.481,20</w:t>
            </w:r>
          </w:p>
        </w:tc>
        <w:tc>
          <w:tcPr>
            <w:tcW w:w="1143" w:type="dxa"/>
            <w:shd w:val="clear" w:color="auto" w:fill="D9D9D9"/>
          </w:tcPr>
          <w:p>
            <w:pPr>
              <w:pStyle w:val="TableParagraph"/>
              <w:spacing w:before="110"/>
              <w:ind w:right="149"/>
              <w:jc w:val="right"/>
              <w:rPr>
                <w:b/>
                <w:sz w:val="13"/>
              </w:rPr>
            </w:pPr>
            <w:r>
              <w:rPr>
                <w:b/>
                <w:sz w:val="13"/>
              </w:rPr>
              <w:t>373,20</w:t>
            </w:r>
          </w:p>
        </w:tc>
        <w:tc>
          <w:tcPr>
            <w:tcW w:w="985" w:type="dxa"/>
            <w:shd w:val="clear" w:color="auto" w:fill="D9D9D9"/>
          </w:tcPr>
          <w:p>
            <w:pPr>
              <w:pStyle w:val="TableParagraph"/>
              <w:spacing w:before="110"/>
              <w:ind w:right="93"/>
              <w:jc w:val="right"/>
              <w:rPr>
                <w:b/>
                <w:sz w:val="13"/>
              </w:rPr>
            </w:pPr>
            <w:r>
              <w:rPr>
                <w:b/>
                <w:w w:val="105"/>
                <w:sz w:val="13"/>
              </w:rPr>
              <w:t>8.854,40</w:t>
            </w:r>
          </w:p>
        </w:tc>
        <w:tc>
          <w:tcPr>
            <w:tcW w:w="938" w:type="dxa"/>
            <w:shd w:val="clear" w:color="auto" w:fill="D9D9D9"/>
          </w:tcPr>
          <w:p>
            <w:pPr>
              <w:pStyle w:val="TableParagraph"/>
              <w:spacing w:before="110"/>
              <w:ind w:right="69"/>
              <w:jc w:val="right"/>
              <w:rPr>
                <w:b/>
                <w:sz w:val="13"/>
              </w:rPr>
            </w:pPr>
            <w:r>
              <w:rPr>
                <w:b/>
                <w:w w:val="105"/>
                <w:sz w:val="13"/>
              </w:rPr>
              <w:t>9.148,20</w:t>
            </w:r>
          </w:p>
        </w:tc>
        <w:tc>
          <w:tcPr>
            <w:tcW w:w="825" w:type="dxa"/>
            <w:shd w:val="clear" w:color="auto" w:fill="D9D9D9"/>
          </w:tcPr>
          <w:p>
            <w:pPr>
              <w:pStyle w:val="TableParagraph"/>
              <w:spacing w:before="110"/>
              <w:ind w:right="78"/>
              <w:jc w:val="right"/>
              <w:rPr>
                <w:b/>
                <w:sz w:val="13"/>
              </w:rPr>
            </w:pPr>
            <w:r>
              <w:rPr>
                <w:b/>
                <w:w w:val="105"/>
                <w:sz w:val="13"/>
              </w:rPr>
              <w:t>8.493,30</w:t>
            </w:r>
          </w:p>
        </w:tc>
        <w:tc>
          <w:tcPr>
            <w:tcW w:w="827" w:type="dxa"/>
            <w:tcBorders>
              <w:right w:val="single" w:sz="4" w:space="0" w:color="000000"/>
            </w:tcBorders>
            <w:shd w:val="clear" w:color="auto" w:fill="D9D9D9"/>
          </w:tcPr>
          <w:p>
            <w:pPr>
              <w:pStyle w:val="TableParagraph"/>
              <w:spacing w:before="110"/>
              <w:ind w:right="43"/>
              <w:jc w:val="right"/>
              <w:rPr>
                <w:b/>
                <w:sz w:val="13"/>
              </w:rPr>
            </w:pPr>
            <w:r>
              <w:rPr>
                <w:b/>
                <w:sz w:val="13"/>
              </w:rPr>
              <w:t>654,80</w:t>
            </w:r>
          </w:p>
        </w:tc>
      </w:tr>
      <w:tr>
        <w:trPr>
          <w:trHeight w:val="212" w:hRule="atLeast"/>
        </w:trPr>
        <w:tc>
          <w:tcPr>
            <w:tcW w:w="2704" w:type="dxa"/>
            <w:tcBorders>
              <w:left w:val="single" w:sz="4" w:space="0" w:color="000000"/>
            </w:tcBorders>
          </w:tcPr>
          <w:p>
            <w:pPr>
              <w:pStyle w:val="TableParagraph"/>
              <w:spacing w:before="21"/>
              <w:ind w:left="59"/>
              <w:rPr>
                <w:sz w:val="13"/>
              </w:rPr>
            </w:pPr>
            <w:r>
              <w:rPr>
                <w:w w:val="105"/>
                <w:sz w:val="13"/>
              </w:rPr>
              <w:t>Impuestos directos</w:t>
            </w:r>
          </w:p>
        </w:tc>
        <w:tc>
          <w:tcPr>
            <w:tcW w:w="674" w:type="dxa"/>
          </w:tcPr>
          <w:p>
            <w:pPr>
              <w:pStyle w:val="TableParagraph"/>
              <w:spacing w:before="21"/>
              <w:ind w:right="77"/>
              <w:jc w:val="right"/>
              <w:rPr>
                <w:sz w:val="13"/>
              </w:rPr>
            </w:pPr>
            <w:r>
              <w:rPr>
                <w:w w:val="105"/>
                <w:sz w:val="13"/>
              </w:rPr>
              <w:t>1.662,60</w:t>
            </w:r>
          </w:p>
        </w:tc>
        <w:tc>
          <w:tcPr>
            <w:tcW w:w="1143" w:type="dxa"/>
          </w:tcPr>
          <w:p>
            <w:pPr>
              <w:pStyle w:val="TableParagraph"/>
              <w:spacing w:before="21"/>
              <w:ind w:right="149"/>
              <w:jc w:val="right"/>
              <w:rPr>
                <w:sz w:val="13"/>
              </w:rPr>
            </w:pPr>
            <w:r>
              <w:rPr>
                <w:sz w:val="13"/>
              </w:rPr>
              <w:t>0,00</w:t>
            </w:r>
          </w:p>
        </w:tc>
        <w:tc>
          <w:tcPr>
            <w:tcW w:w="985" w:type="dxa"/>
          </w:tcPr>
          <w:p>
            <w:pPr>
              <w:pStyle w:val="TableParagraph"/>
              <w:spacing w:before="21"/>
              <w:ind w:right="93"/>
              <w:jc w:val="right"/>
              <w:rPr>
                <w:sz w:val="13"/>
              </w:rPr>
            </w:pPr>
            <w:r>
              <w:rPr>
                <w:w w:val="105"/>
                <w:sz w:val="13"/>
              </w:rPr>
              <w:t>1.662,60</w:t>
            </w:r>
          </w:p>
        </w:tc>
        <w:tc>
          <w:tcPr>
            <w:tcW w:w="938" w:type="dxa"/>
          </w:tcPr>
          <w:p>
            <w:pPr>
              <w:pStyle w:val="TableParagraph"/>
              <w:spacing w:before="21"/>
              <w:ind w:right="69"/>
              <w:jc w:val="right"/>
              <w:rPr>
                <w:sz w:val="13"/>
              </w:rPr>
            </w:pPr>
            <w:r>
              <w:rPr>
                <w:w w:val="105"/>
                <w:sz w:val="13"/>
              </w:rPr>
              <w:t>1.712,60</w:t>
            </w:r>
          </w:p>
        </w:tc>
        <w:tc>
          <w:tcPr>
            <w:tcW w:w="825" w:type="dxa"/>
          </w:tcPr>
          <w:p>
            <w:pPr>
              <w:pStyle w:val="TableParagraph"/>
              <w:spacing w:before="21"/>
              <w:ind w:right="78"/>
              <w:jc w:val="right"/>
              <w:rPr>
                <w:sz w:val="13"/>
              </w:rPr>
            </w:pPr>
            <w:r>
              <w:rPr>
                <w:w w:val="105"/>
                <w:sz w:val="13"/>
              </w:rPr>
              <w:t>1.679,90</w:t>
            </w:r>
          </w:p>
        </w:tc>
        <w:tc>
          <w:tcPr>
            <w:tcW w:w="827" w:type="dxa"/>
            <w:tcBorders>
              <w:right w:val="single" w:sz="4" w:space="0" w:color="000000"/>
            </w:tcBorders>
          </w:tcPr>
          <w:p>
            <w:pPr>
              <w:pStyle w:val="TableParagraph"/>
              <w:spacing w:before="21"/>
              <w:ind w:right="43"/>
              <w:jc w:val="right"/>
              <w:rPr>
                <w:sz w:val="13"/>
              </w:rPr>
            </w:pPr>
            <w:r>
              <w:rPr>
                <w:sz w:val="13"/>
              </w:rPr>
              <w:t>32,70</w:t>
            </w:r>
          </w:p>
        </w:tc>
      </w:tr>
      <w:tr>
        <w:trPr>
          <w:trHeight w:val="192" w:hRule="atLeast"/>
        </w:trPr>
        <w:tc>
          <w:tcPr>
            <w:tcW w:w="2704" w:type="dxa"/>
            <w:tcBorders>
              <w:left w:val="single" w:sz="4" w:space="0" w:color="000000"/>
            </w:tcBorders>
          </w:tcPr>
          <w:p>
            <w:pPr>
              <w:pStyle w:val="TableParagraph"/>
              <w:spacing w:before="10"/>
              <w:ind w:left="59"/>
              <w:rPr>
                <w:sz w:val="13"/>
              </w:rPr>
            </w:pPr>
            <w:r>
              <w:rPr>
                <w:w w:val="105"/>
                <w:sz w:val="13"/>
              </w:rPr>
              <w:t>Impuestos indirectos</w:t>
            </w:r>
          </w:p>
        </w:tc>
        <w:tc>
          <w:tcPr>
            <w:tcW w:w="674" w:type="dxa"/>
          </w:tcPr>
          <w:p>
            <w:pPr>
              <w:pStyle w:val="TableParagraph"/>
              <w:spacing w:before="10"/>
              <w:ind w:right="77"/>
              <w:jc w:val="right"/>
              <w:rPr>
                <w:sz w:val="13"/>
              </w:rPr>
            </w:pPr>
            <w:r>
              <w:rPr>
                <w:w w:val="105"/>
                <w:sz w:val="13"/>
              </w:rPr>
              <w:t>1.345,00</w:t>
            </w:r>
          </w:p>
        </w:tc>
        <w:tc>
          <w:tcPr>
            <w:tcW w:w="1143" w:type="dxa"/>
          </w:tcPr>
          <w:p>
            <w:pPr>
              <w:pStyle w:val="TableParagraph"/>
              <w:spacing w:before="10"/>
              <w:ind w:right="149"/>
              <w:jc w:val="right"/>
              <w:rPr>
                <w:sz w:val="13"/>
              </w:rPr>
            </w:pPr>
            <w:r>
              <w:rPr>
                <w:sz w:val="13"/>
              </w:rPr>
              <w:t>0,00</w:t>
            </w:r>
          </w:p>
        </w:tc>
        <w:tc>
          <w:tcPr>
            <w:tcW w:w="985" w:type="dxa"/>
          </w:tcPr>
          <w:p>
            <w:pPr>
              <w:pStyle w:val="TableParagraph"/>
              <w:spacing w:before="10"/>
              <w:ind w:right="93"/>
              <w:jc w:val="right"/>
              <w:rPr>
                <w:sz w:val="13"/>
              </w:rPr>
            </w:pPr>
            <w:r>
              <w:rPr>
                <w:w w:val="105"/>
                <w:sz w:val="13"/>
              </w:rPr>
              <w:t>1.345,00</w:t>
            </w:r>
          </w:p>
        </w:tc>
        <w:tc>
          <w:tcPr>
            <w:tcW w:w="938" w:type="dxa"/>
          </w:tcPr>
          <w:p>
            <w:pPr>
              <w:pStyle w:val="TableParagraph"/>
              <w:spacing w:before="10"/>
              <w:ind w:right="69"/>
              <w:jc w:val="right"/>
              <w:rPr>
                <w:sz w:val="13"/>
              </w:rPr>
            </w:pPr>
            <w:r>
              <w:rPr>
                <w:w w:val="105"/>
                <w:sz w:val="13"/>
              </w:rPr>
              <w:t>1.498,30</w:t>
            </w:r>
          </w:p>
        </w:tc>
        <w:tc>
          <w:tcPr>
            <w:tcW w:w="825" w:type="dxa"/>
          </w:tcPr>
          <w:p>
            <w:pPr>
              <w:pStyle w:val="TableParagraph"/>
              <w:spacing w:before="10"/>
              <w:ind w:right="78"/>
              <w:jc w:val="right"/>
              <w:rPr>
                <w:sz w:val="13"/>
              </w:rPr>
            </w:pPr>
            <w:r>
              <w:rPr>
                <w:w w:val="105"/>
                <w:sz w:val="13"/>
              </w:rPr>
              <w:t>1.490,00</w:t>
            </w:r>
          </w:p>
        </w:tc>
        <w:tc>
          <w:tcPr>
            <w:tcW w:w="827" w:type="dxa"/>
            <w:tcBorders>
              <w:right w:val="single" w:sz="4" w:space="0" w:color="000000"/>
            </w:tcBorders>
          </w:tcPr>
          <w:p>
            <w:pPr>
              <w:pStyle w:val="TableParagraph"/>
              <w:spacing w:before="10"/>
              <w:ind w:right="43"/>
              <w:jc w:val="right"/>
              <w:rPr>
                <w:sz w:val="13"/>
              </w:rPr>
            </w:pPr>
            <w:r>
              <w:rPr>
                <w:sz w:val="13"/>
              </w:rPr>
              <w:t>8,30</w:t>
            </w:r>
          </w:p>
        </w:tc>
      </w:tr>
      <w:tr>
        <w:trPr>
          <w:trHeight w:val="182" w:hRule="atLeast"/>
        </w:trPr>
        <w:tc>
          <w:tcPr>
            <w:tcW w:w="2704" w:type="dxa"/>
            <w:tcBorders>
              <w:left w:val="single" w:sz="4" w:space="0" w:color="000000"/>
            </w:tcBorders>
          </w:tcPr>
          <w:p>
            <w:pPr>
              <w:pStyle w:val="TableParagraph"/>
              <w:spacing w:before="1"/>
              <w:ind w:left="59"/>
              <w:rPr>
                <w:sz w:val="13"/>
              </w:rPr>
            </w:pPr>
            <w:r>
              <w:rPr>
                <w:w w:val="105"/>
                <w:sz w:val="13"/>
              </w:rPr>
              <w:t>Tasas, precios públicos y otros ingresos</w:t>
            </w:r>
          </w:p>
        </w:tc>
        <w:tc>
          <w:tcPr>
            <w:tcW w:w="674" w:type="dxa"/>
          </w:tcPr>
          <w:p>
            <w:pPr>
              <w:pStyle w:val="TableParagraph"/>
              <w:spacing w:before="1"/>
              <w:ind w:right="77"/>
              <w:jc w:val="right"/>
              <w:rPr>
                <w:sz w:val="13"/>
              </w:rPr>
            </w:pPr>
            <w:r>
              <w:rPr>
                <w:sz w:val="13"/>
              </w:rPr>
              <w:t>118,40</w:t>
            </w:r>
          </w:p>
        </w:tc>
        <w:tc>
          <w:tcPr>
            <w:tcW w:w="1143" w:type="dxa"/>
          </w:tcPr>
          <w:p>
            <w:pPr>
              <w:pStyle w:val="TableParagraph"/>
              <w:spacing w:before="1"/>
              <w:ind w:right="149"/>
              <w:jc w:val="right"/>
              <w:rPr>
                <w:sz w:val="13"/>
              </w:rPr>
            </w:pPr>
            <w:r>
              <w:rPr>
                <w:sz w:val="13"/>
              </w:rPr>
              <w:t>0,00</w:t>
            </w:r>
          </w:p>
        </w:tc>
        <w:tc>
          <w:tcPr>
            <w:tcW w:w="985" w:type="dxa"/>
          </w:tcPr>
          <w:p>
            <w:pPr>
              <w:pStyle w:val="TableParagraph"/>
              <w:spacing w:before="1"/>
              <w:ind w:right="93"/>
              <w:jc w:val="right"/>
              <w:rPr>
                <w:sz w:val="13"/>
              </w:rPr>
            </w:pPr>
            <w:r>
              <w:rPr>
                <w:sz w:val="13"/>
              </w:rPr>
              <w:t>118,40</w:t>
            </w:r>
          </w:p>
        </w:tc>
        <w:tc>
          <w:tcPr>
            <w:tcW w:w="938" w:type="dxa"/>
          </w:tcPr>
          <w:p>
            <w:pPr>
              <w:pStyle w:val="TableParagraph"/>
              <w:spacing w:before="1"/>
              <w:ind w:right="69"/>
              <w:jc w:val="right"/>
              <w:rPr>
                <w:sz w:val="13"/>
              </w:rPr>
            </w:pPr>
            <w:r>
              <w:rPr>
                <w:sz w:val="13"/>
              </w:rPr>
              <w:t>93,80</w:t>
            </w:r>
          </w:p>
        </w:tc>
        <w:tc>
          <w:tcPr>
            <w:tcW w:w="825" w:type="dxa"/>
          </w:tcPr>
          <w:p>
            <w:pPr>
              <w:pStyle w:val="TableParagraph"/>
              <w:spacing w:before="1"/>
              <w:ind w:right="78"/>
              <w:jc w:val="right"/>
              <w:rPr>
                <w:sz w:val="13"/>
              </w:rPr>
            </w:pPr>
            <w:r>
              <w:rPr>
                <w:sz w:val="13"/>
              </w:rPr>
              <w:t>84,80</w:t>
            </w:r>
          </w:p>
        </w:tc>
        <w:tc>
          <w:tcPr>
            <w:tcW w:w="827" w:type="dxa"/>
            <w:tcBorders>
              <w:right w:val="single" w:sz="4" w:space="0" w:color="000000"/>
            </w:tcBorders>
          </w:tcPr>
          <w:p>
            <w:pPr>
              <w:pStyle w:val="TableParagraph"/>
              <w:spacing w:before="1"/>
              <w:ind w:right="43"/>
              <w:jc w:val="right"/>
              <w:rPr>
                <w:sz w:val="13"/>
              </w:rPr>
            </w:pPr>
            <w:r>
              <w:rPr>
                <w:sz w:val="13"/>
              </w:rPr>
              <w:t>9,00</w:t>
            </w:r>
          </w:p>
        </w:tc>
      </w:tr>
      <w:tr>
        <w:trPr>
          <w:trHeight w:val="191" w:hRule="atLeast"/>
        </w:trPr>
        <w:tc>
          <w:tcPr>
            <w:tcW w:w="2704" w:type="dxa"/>
            <w:tcBorders>
              <w:left w:val="single" w:sz="4" w:space="0" w:color="000000"/>
            </w:tcBorders>
          </w:tcPr>
          <w:p>
            <w:pPr>
              <w:pStyle w:val="TableParagraph"/>
              <w:ind w:left="59"/>
              <w:rPr>
                <w:sz w:val="13"/>
              </w:rPr>
            </w:pPr>
            <w:r>
              <w:rPr>
                <w:w w:val="105"/>
                <w:sz w:val="13"/>
              </w:rPr>
              <w:t>Transferencias corrientes</w:t>
            </w:r>
          </w:p>
        </w:tc>
        <w:tc>
          <w:tcPr>
            <w:tcW w:w="674" w:type="dxa"/>
          </w:tcPr>
          <w:p>
            <w:pPr>
              <w:pStyle w:val="TableParagraph"/>
              <w:ind w:right="77"/>
              <w:jc w:val="right"/>
              <w:rPr>
                <w:sz w:val="13"/>
              </w:rPr>
            </w:pPr>
            <w:r>
              <w:rPr>
                <w:w w:val="105"/>
                <w:sz w:val="13"/>
              </w:rPr>
              <w:t>4.202,60</w:t>
            </w:r>
          </w:p>
        </w:tc>
        <w:tc>
          <w:tcPr>
            <w:tcW w:w="1143" w:type="dxa"/>
          </w:tcPr>
          <w:p>
            <w:pPr>
              <w:pStyle w:val="TableParagraph"/>
              <w:ind w:right="149"/>
              <w:jc w:val="right"/>
              <w:rPr>
                <w:sz w:val="13"/>
              </w:rPr>
            </w:pPr>
            <w:r>
              <w:rPr>
                <w:w w:val="105"/>
                <w:sz w:val="13"/>
              </w:rPr>
              <w:t>1.857,60</w:t>
            </w:r>
          </w:p>
        </w:tc>
        <w:tc>
          <w:tcPr>
            <w:tcW w:w="985" w:type="dxa"/>
          </w:tcPr>
          <w:p>
            <w:pPr>
              <w:pStyle w:val="TableParagraph"/>
              <w:ind w:right="93"/>
              <w:jc w:val="right"/>
              <w:rPr>
                <w:sz w:val="13"/>
              </w:rPr>
            </w:pPr>
            <w:r>
              <w:rPr>
                <w:w w:val="105"/>
                <w:sz w:val="13"/>
              </w:rPr>
              <w:t>6.060,20</w:t>
            </w:r>
          </w:p>
        </w:tc>
        <w:tc>
          <w:tcPr>
            <w:tcW w:w="938" w:type="dxa"/>
          </w:tcPr>
          <w:p>
            <w:pPr>
              <w:pStyle w:val="TableParagraph"/>
              <w:ind w:right="69"/>
              <w:jc w:val="right"/>
              <w:rPr>
                <w:sz w:val="13"/>
              </w:rPr>
            </w:pPr>
            <w:r>
              <w:rPr>
                <w:w w:val="105"/>
                <w:sz w:val="13"/>
              </w:rPr>
              <w:t>6.078,60</w:t>
            </w:r>
          </w:p>
        </w:tc>
        <w:tc>
          <w:tcPr>
            <w:tcW w:w="825" w:type="dxa"/>
          </w:tcPr>
          <w:p>
            <w:pPr>
              <w:pStyle w:val="TableParagraph"/>
              <w:ind w:right="78"/>
              <w:jc w:val="right"/>
              <w:rPr>
                <w:sz w:val="13"/>
              </w:rPr>
            </w:pPr>
            <w:r>
              <w:rPr>
                <w:w w:val="105"/>
                <w:sz w:val="13"/>
              </w:rPr>
              <w:t>6.037,70</w:t>
            </w:r>
          </w:p>
        </w:tc>
        <w:tc>
          <w:tcPr>
            <w:tcW w:w="827" w:type="dxa"/>
            <w:tcBorders>
              <w:right w:val="single" w:sz="4" w:space="0" w:color="000000"/>
            </w:tcBorders>
          </w:tcPr>
          <w:p>
            <w:pPr>
              <w:pStyle w:val="TableParagraph"/>
              <w:ind w:right="43"/>
              <w:jc w:val="right"/>
              <w:rPr>
                <w:sz w:val="13"/>
              </w:rPr>
            </w:pPr>
            <w:r>
              <w:rPr>
                <w:sz w:val="13"/>
              </w:rPr>
              <w:t>40,90</w:t>
            </w:r>
          </w:p>
        </w:tc>
      </w:tr>
      <w:tr>
        <w:trPr>
          <w:trHeight w:val="201" w:hRule="atLeast"/>
        </w:trPr>
        <w:tc>
          <w:tcPr>
            <w:tcW w:w="2704" w:type="dxa"/>
            <w:tcBorders>
              <w:left w:val="single" w:sz="4" w:space="0" w:color="000000"/>
            </w:tcBorders>
          </w:tcPr>
          <w:p>
            <w:pPr>
              <w:pStyle w:val="TableParagraph"/>
              <w:spacing w:before="10"/>
              <w:ind w:left="59"/>
              <w:rPr>
                <w:sz w:val="13"/>
              </w:rPr>
            </w:pPr>
            <w:r>
              <w:rPr>
                <w:w w:val="105"/>
                <w:sz w:val="13"/>
              </w:rPr>
              <w:t>Ingresos patrimoniales</w:t>
            </w:r>
          </w:p>
        </w:tc>
        <w:tc>
          <w:tcPr>
            <w:tcW w:w="674" w:type="dxa"/>
          </w:tcPr>
          <w:p>
            <w:pPr>
              <w:pStyle w:val="TableParagraph"/>
              <w:spacing w:before="10"/>
              <w:ind w:right="77"/>
              <w:jc w:val="right"/>
              <w:rPr>
                <w:sz w:val="13"/>
              </w:rPr>
            </w:pPr>
            <w:r>
              <w:rPr>
                <w:sz w:val="13"/>
              </w:rPr>
              <w:t>1,50</w:t>
            </w:r>
          </w:p>
        </w:tc>
        <w:tc>
          <w:tcPr>
            <w:tcW w:w="1143" w:type="dxa"/>
          </w:tcPr>
          <w:p>
            <w:pPr>
              <w:pStyle w:val="TableParagraph"/>
              <w:spacing w:before="10"/>
              <w:ind w:right="149"/>
              <w:jc w:val="right"/>
              <w:rPr>
                <w:sz w:val="13"/>
              </w:rPr>
            </w:pPr>
            <w:r>
              <w:rPr>
                <w:sz w:val="13"/>
              </w:rPr>
              <w:t>0,00</w:t>
            </w:r>
          </w:p>
        </w:tc>
        <w:tc>
          <w:tcPr>
            <w:tcW w:w="985" w:type="dxa"/>
          </w:tcPr>
          <w:p>
            <w:pPr>
              <w:pStyle w:val="TableParagraph"/>
              <w:spacing w:before="10"/>
              <w:ind w:right="93"/>
              <w:jc w:val="right"/>
              <w:rPr>
                <w:sz w:val="13"/>
              </w:rPr>
            </w:pPr>
            <w:r>
              <w:rPr>
                <w:sz w:val="13"/>
              </w:rPr>
              <w:t>1,50</w:t>
            </w:r>
          </w:p>
        </w:tc>
        <w:tc>
          <w:tcPr>
            <w:tcW w:w="938" w:type="dxa"/>
          </w:tcPr>
          <w:p>
            <w:pPr>
              <w:pStyle w:val="TableParagraph"/>
              <w:spacing w:before="10"/>
              <w:ind w:right="69"/>
              <w:jc w:val="right"/>
              <w:rPr>
                <w:sz w:val="13"/>
              </w:rPr>
            </w:pPr>
            <w:r>
              <w:rPr>
                <w:sz w:val="13"/>
              </w:rPr>
              <w:t>1,40</w:t>
            </w:r>
          </w:p>
        </w:tc>
        <w:tc>
          <w:tcPr>
            <w:tcW w:w="825" w:type="dxa"/>
          </w:tcPr>
          <w:p>
            <w:pPr>
              <w:pStyle w:val="TableParagraph"/>
              <w:spacing w:before="10"/>
              <w:ind w:right="78"/>
              <w:jc w:val="right"/>
              <w:rPr>
                <w:sz w:val="13"/>
              </w:rPr>
            </w:pPr>
            <w:r>
              <w:rPr>
                <w:sz w:val="13"/>
              </w:rPr>
              <w:t>1,40</w:t>
            </w:r>
          </w:p>
        </w:tc>
        <w:tc>
          <w:tcPr>
            <w:tcW w:w="827" w:type="dxa"/>
            <w:tcBorders>
              <w:right w:val="single" w:sz="4" w:space="0" w:color="000000"/>
            </w:tcBorders>
          </w:tcPr>
          <w:p>
            <w:pPr>
              <w:pStyle w:val="TableParagraph"/>
              <w:spacing w:before="10"/>
              <w:ind w:right="43"/>
              <w:jc w:val="right"/>
              <w:rPr>
                <w:sz w:val="13"/>
              </w:rPr>
            </w:pPr>
            <w:r>
              <w:rPr>
                <w:sz w:val="13"/>
              </w:rPr>
              <w:t>0,00</w:t>
            </w:r>
          </w:p>
        </w:tc>
      </w:tr>
      <w:tr>
        <w:trPr>
          <w:trHeight w:val="201" w:hRule="atLeast"/>
        </w:trPr>
        <w:tc>
          <w:tcPr>
            <w:tcW w:w="2704" w:type="dxa"/>
            <w:tcBorders>
              <w:left w:val="single" w:sz="4" w:space="0" w:color="000000"/>
            </w:tcBorders>
          </w:tcPr>
          <w:p>
            <w:pPr>
              <w:pStyle w:val="TableParagraph"/>
              <w:spacing w:before="10"/>
              <w:ind w:left="59"/>
              <w:rPr>
                <w:sz w:val="13"/>
              </w:rPr>
            </w:pPr>
            <w:r>
              <w:rPr>
                <w:w w:val="105"/>
                <w:sz w:val="13"/>
              </w:rPr>
              <w:t>Enajenaciones inversiones reales</w:t>
            </w:r>
          </w:p>
        </w:tc>
        <w:tc>
          <w:tcPr>
            <w:tcW w:w="674" w:type="dxa"/>
          </w:tcPr>
          <w:p>
            <w:pPr>
              <w:pStyle w:val="TableParagraph"/>
              <w:spacing w:before="10"/>
              <w:ind w:right="77"/>
              <w:jc w:val="right"/>
              <w:rPr>
                <w:sz w:val="13"/>
              </w:rPr>
            </w:pPr>
            <w:r>
              <w:rPr>
                <w:sz w:val="13"/>
              </w:rPr>
              <w:t>0,50</w:t>
            </w:r>
          </w:p>
        </w:tc>
        <w:tc>
          <w:tcPr>
            <w:tcW w:w="1143" w:type="dxa"/>
          </w:tcPr>
          <w:p>
            <w:pPr>
              <w:pStyle w:val="TableParagraph"/>
              <w:spacing w:before="10"/>
              <w:ind w:right="149"/>
              <w:jc w:val="right"/>
              <w:rPr>
                <w:sz w:val="13"/>
              </w:rPr>
            </w:pPr>
            <w:r>
              <w:rPr>
                <w:sz w:val="13"/>
              </w:rPr>
              <w:t>0,00</w:t>
            </w:r>
          </w:p>
        </w:tc>
        <w:tc>
          <w:tcPr>
            <w:tcW w:w="985" w:type="dxa"/>
          </w:tcPr>
          <w:p>
            <w:pPr>
              <w:pStyle w:val="TableParagraph"/>
              <w:spacing w:before="10"/>
              <w:ind w:right="93"/>
              <w:jc w:val="right"/>
              <w:rPr>
                <w:sz w:val="13"/>
              </w:rPr>
            </w:pPr>
            <w:r>
              <w:rPr>
                <w:sz w:val="13"/>
              </w:rPr>
              <w:t>0,50</w:t>
            </w:r>
          </w:p>
        </w:tc>
        <w:tc>
          <w:tcPr>
            <w:tcW w:w="938" w:type="dxa"/>
          </w:tcPr>
          <w:p>
            <w:pPr>
              <w:pStyle w:val="TableParagraph"/>
              <w:spacing w:before="10"/>
              <w:ind w:right="69"/>
              <w:jc w:val="right"/>
              <w:rPr>
                <w:sz w:val="13"/>
              </w:rPr>
            </w:pPr>
            <w:r>
              <w:rPr>
                <w:sz w:val="13"/>
              </w:rPr>
              <w:t>0,00</w:t>
            </w:r>
          </w:p>
        </w:tc>
        <w:tc>
          <w:tcPr>
            <w:tcW w:w="825" w:type="dxa"/>
          </w:tcPr>
          <w:p>
            <w:pPr>
              <w:pStyle w:val="TableParagraph"/>
              <w:spacing w:before="10"/>
              <w:ind w:right="78"/>
              <w:jc w:val="right"/>
              <w:rPr>
                <w:sz w:val="13"/>
              </w:rPr>
            </w:pPr>
            <w:r>
              <w:rPr>
                <w:sz w:val="13"/>
              </w:rPr>
              <w:t>0,00</w:t>
            </w:r>
          </w:p>
        </w:tc>
        <w:tc>
          <w:tcPr>
            <w:tcW w:w="827" w:type="dxa"/>
            <w:tcBorders>
              <w:right w:val="single" w:sz="4" w:space="0" w:color="000000"/>
            </w:tcBorders>
          </w:tcPr>
          <w:p>
            <w:pPr>
              <w:pStyle w:val="TableParagraph"/>
              <w:spacing w:before="10"/>
              <w:ind w:right="43"/>
              <w:jc w:val="right"/>
              <w:rPr>
                <w:sz w:val="13"/>
              </w:rPr>
            </w:pPr>
            <w:r>
              <w:rPr>
                <w:sz w:val="13"/>
              </w:rPr>
              <w:t>0,00</w:t>
            </w:r>
          </w:p>
        </w:tc>
      </w:tr>
      <w:tr>
        <w:trPr>
          <w:trHeight w:val="190" w:hRule="atLeast"/>
        </w:trPr>
        <w:tc>
          <w:tcPr>
            <w:tcW w:w="2704" w:type="dxa"/>
            <w:tcBorders>
              <w:left w:val="single" w:sz="4" w:space="0" w:color="000000"/>
            </w:tcBorders>
          </w:tcPr>
          <w:p>
            <w:pPr>
              <w:pStyle w:val="TableParagraph"/>
              <w:spacing w:before="10"/>
              <w:ind w:left="59"/>
              <w:rPr>
                <w:sz w:val="13"/>
              </w:rPr>
            </w:pPr>
            <w:r>
              <w:rPr>
                <w:w w:val="105"/>
                <w:sz w:val="13"/>
              </w:rPr>
              <w:t>Transferencias de capital</w:t>
            </w:r>
          </w:p>
        </w:tc>
        <w:tc>
          <w:tcPr>
            <w:tcW w:w="674" w:type="dxa"/>
          </w:tcPr>
          <w:p>
            <w:pPr>
              <w:pStyle w:val="TableParagraph"/>
              <w:spacing w:before="10"/>
              <w:ind w:right="77"/>
              <w:jc w:val="right"/>
              <w:rPr>
                <w:sz w:val="13"/>
              </w:rPr>
            </w:pPr>
            <w:r>
              <w:rPr>
                <w:sz w:val="13"/>
              </w:rPr>
              <w:t>582,50</w:t>
            </w:r>
          </w:p>
        </w:tc>
        <w:tc>
          <w:tcPr>
            <w:tcW w:w="1143" w:type="dxa"/>
          </w:tcPr>
          <w:p>
            <w:pPr>
              <w:pStyle w:val="TableParagraph"/>
              <w:spacing w:before="10"/>
              <w:ind w:right="149"/>
              <w:jc w:val="right"/>
              <w:rPr>
                <w:sz w:val="13"/>
              </w:rPr>
            </w:pPr>
            <w:r>
              <w:rPr>
                <w:sz w:val="13"/>
              </w:rPr>
              <w:t>386,00</w:t>
            </w:r>
          </w:p>
        </w:tc>
        <w:tc>
          <w:tcPr>
            <w:tcW w:w="985" w:type="dxa"/>
          </w:tcPr>
          <w:p>
            <w:pPr>
              <w:pStyle w:val="TableParagraph"/>
              <w:spacing w:before="10"/>
              <w:ind w:right="93"/>
              <w:jc w:val="right"/>
              <w:rPr>
                <w:sz w:val="13"/>
              </w:rPr>
            </w:pPr>
            <w:r>
              <w:rPr>
                <w:sz w:val="13"/>
              </w:rPr>
              <w:t>968,50</w:t>
            </w:r>
          </w:p>
        </w:tc>
        <w:tc>
          <w:tcPr>
            <w:tcW w:w="938" w:type="dxa"/>
          </w:tcPr>
          <w:p>
            <w:pPr>
              <w:pStyle w:val="TableParagraph"/>
              <w:spacing w:before="10"/>
              <w:ind w:right="69"/>
              <w:jc w:val="right"/>
              <w:rPr>
                <w:sz w:val="13"/>
              </w:rPr>
            </w:pPr>
            <w:r>
              <w:rPr>
                <w:sz w:val="13"/>
              </w:rPr>
              <w:t>942,80</w:t>
            </w:r>
          </w:p>
        </w:tc>
        <w:tc>
          <w:tcPr>
            <w:tcW w:w="825" w:type="dxa"/>
          </w:tcPr>
          <w:p>
            <w:pPr>
              <w:pStyle w:val="TableParagraph"/>
              <w:spacing w:before="10"/>
              <w:ind w:right="78"/>
              <w:jc w:val="right"/>
              <w:rPr>
                <w:sz w:val="13"/>
              </w:rPr>
            </w:pPr>
            <w:r>
              <w:rPr>
                <w:sz w:val="13"/>
              </w:rPr>
              <w:t>695,10</w:t>
            </w:r>
          </w:p>
        </w:tc>
        <w:tc>
          <w:tcPr>
            <w:tcW w:w="827" w:type="dxa"/>
            <w:tcBorders>
              <w:right w:val="single" w:sz="4" w:space="0" w:color="000000"/>
            </w:tcBorders>
          </w:tcPr>
          <w:p>
            <w:pPr>
              <w:pStyle w:val="TableParagraph"/>
              <w:spacing w:before="10"/>
              <w:ind w:right="43"/>
              <w:jc w:val="right"/>
              <w:rPr>
                <w:sz w:val="13"/>
              </w:rPr>
            </w:pPr>
            <w:r>
              <w:rPr>
                <w:sz w:val="13"/>
              </w:rPr>
              <w:t>247,70</w:t>
            </w:r>
          </w:p>
        </w:tc>
      </w:tr>
      <w:tr>
        <w:trPr>
          <w:trHeight w:val="407" w:hRule="atLeast"/>
        </w:trPr>
        <w:tc>
          <w:tcPr>
            <w:tcW w:w="2704" w:type="dxa"/>
            <w:tcBorders>
              <w:left w:val="single" w:sz="4" w:space="0" w:color="000000"/>
            </w:tcBorders>
            <w:shd w:val="clear" w:color="auto" w:fill="D9D9D9"/>
          </w:tcPr>
          <w:p>
            <w:pPr>
              <w:pStyle w:val="TableParagraph"/>
              <w:spacing w:before="4"/>
              <w:rPr>
                <w:b/>
                <w:sz w:val="10"/>
              </w:rPr>
            </w:pPr>
          </w:p>
          <w:p>
            <w:pPr>
              <w:pStyle w:val="TableParagraph"/>
              <w:ind w:right="102"/>
              <w:jc w:val="right"/>
              <w:rPr>
                <w:b/>
                <w:sz w:val="13"/>
              </w:rPr>
            </w:pPr>
            <w:r>
              <w:rPr>
                <w:b/>
                <w:w w:val="105"/>
                <w:sz w:val="13"/>
              </w:rPr>
              <w:t>Total operaciones no financieras 2021</w:t>
            </w:r>
          </w:p>
        </w:tc>
        <w:tc>
          <w:tcPr>
            <w:tcW w:w="674" w:type="dxa"/>
            <w:shd w:val="clear" w:color="auto" w:fill="D9D9D9"/>
          </w:tcPr>
          <w:p>
            <w:pPr>
              <w:pStyle w:val="TableParagraph"/>
              <w:spacing w:before="4"/>
              <w:rPr>
                <w:b/>
                <w:sz w:val="10"/>
              </w:rPr>
            </w:pPr>
          </w:p>
          <w:p>
            <w:pPr>
              <w:pStyle w:val="TableParagraph"/>
              <w:ind w:right="77"/>
              <w:jc w:val="right"/>
              <w:rPr>
                <w:b/>
                <w:sz w:val="13"/>
              </w:rPr>
            </w:pPr>
            <w:r>
              <w:rPr>
                <w:b/>
                <w:w w:val="105"/>
                <w:sz w:val="13"/>
              </w:rPr>
              <w:t>7.913,10</w:t>
            </w:r>
          </w:p>
        </w:tc>
        <w:tc>
          <w:tcPr>
            <w:tcW w:w="1143" w:type="dxa"/>
            <w:shd w:val="clear" w:color="auto" w:fill="D9D9D9"/>
          </w:tcPr>
          <w:p>
            <w:pPr>
              <w:pStyle w:val="TableParagraph"/>
              <w:spacing w:before="4"/>
              <w:rPr>
                <w:b/>
                <w:sz w:val="10"/>
              </w:rPr>
            </w:pPr>
          </w:p>
          <w:p>
            <w:pPr>
              <w:pStyle w:val="TableParagraph"/>
              <w:ind w:right="149"/>
              <w:jc w:val="right"/>
              <w:rPr>
                <w:b/>
                <w:sz w:val="13"/>
              </w:rPr>
            </w:pPr>
            <w:r>
              <w:rPr>
                <w:b/>
                <w:w w:val="105"/>
                <w:sz w:val="13"/>
              </w:rPr>
              <w:t>2.243,60</w:t>
            </w:r>
          </w:p>
        </w:tc>
        <w:tc>
          <w:tcPr>
            <w:tcW w:w="985" w:type="dxa"/>
            <w:shd w:val="clear" w:color="auto" w:fill="D9D9D9"/>
          </w:tcPr>
          <w:p>
            <w:pPr>
              <w:pStyle w:val="TableParagraph"/>
              <w:spacing w:before="4"/>
              <w:rPr>
                <w:b/>
                <w:sz w:val="10"/>
              </w:rPr>
            </w:pPr>
          </w:p>
          <w:p>
            <w:pPr>
              <w:pStyle w:val="TableParagraph"/>
              <w:ind w:right="93"/>
              <w:jc w:val="right"/>
              <w:rPr>
                <w:b/>
                <w:sz w:val="13"/>
              </w:rPr>
            </w:pPr>
            <w:r>
              <w:rPr>
                <w:b/>
                <w:w w:val="105"/>
                <w:sz w:val="13"/>
              </w:rPr>
              <w:t>10.156,70</w:t>
            </w:r>
          </w:p>
        </w:tc>
        <w:tc>
          <w:tcPr>
            <w:tcW w:w="938" w:type="dxa"/>
            <w:shd w:val="clear" w:color="auto" w:fill="D9D9D9"/>
          </w:tcPr>
          <w:p>
            <w:pPr>
              <w:pStyle w:val="TableParagraph"/>
              <w:spacing w:before="4"/>
              <w:rPr>
                <w:b/>
                <w:sz w:val="10"/>
              </w:rPr>
            </w:pPr>
          </w:p>
          <w:p>
            <w:pPr>
              <w:pStyle w:val="TableParagraph"/>
              <w:ind w:right="69"/>
              <w:jc w:val="right"/>
              <w:rPr>
                <w:b/>
                <w:sz w:val="13"/>
              </w:rPr>
            </w:pPr>
            <w:r>
              <w:rPr>
                <w:b/>
                <w:w w:val="105"/>
                <w:sz w:val="13"/>
              </w:rPr>
              <w:t>10.327,50</w:t>
            </w:r>
          </w:p>
        </w:tc>
        <w:tc>
          <w:tcPr>
            <w:tcW w:w="825" w:type="dxa"/>
            <w:shd w:val="clear" w:color="auto" w:fill="D9D9D9"/>
          </w:tcPr>
          <w:p>
            <w:pPr>
              <w:pStyle w:val="TableParagraph"/>
              <w:spacing w:before="4"/>
              <w:rPr>
                <w:b/>
                <w:sz w:val="10"/>
              </w:rPr>
            </w:pPr>
          </w:p>
          <w:p>
            <w:pPr>
              <w:pStyle w:val="TableParagraph"/>
              <w:ind w:right="78"/>
              <w:jc w:val="right"/>
              <w:rPr>
                <w:b/>
                <w:sz w:val="13"/>
              </w:rPr>
            </w:pPr>
            <w:r>
              <w:rPr>
                <w:b/>
                <w:w w:val="105"/>
                <w:sz w:val="13"/>
              </w:rPr>
              <w:t>9.988,90</w:t>
            </w:r>
          </w:p>
        </w:tc>
        <w:tc>
          <w:tcPr>
            <w:tcW w:w="827" w:type="dxa"/>
            <w:tcBorders>
              <w:right w:val="single" w:sz="4" w:space="0" w:color="000000"/>
            </w:tcBorders>
            <w:shd w:val="clear" w:color="auto" w:fill="D9D9D9"/>
          </w:tcPr>
          <w:p>
            <w:pPr>
              <w:pStyle w:val="TableParagraph"/>
              <w:spacing w:before="4"/>
              <w:rPr>
                <w:b/>
                <w:sz w:val="10"/>
              </w:rPr>
            </w:pPr>
          </w:p>
          <w:p>
            <w:pPr>
              <w:pStyle w:val="TableParagraph"/>
              <w:ind w:right="43"/>
              <w:jc w:val="right"/>
              <w:rPr>
                <w:b/>
                <w:sz w:val="13"/>
              </w:rPr>
            </w:pPr>
            <w:r>
              <w:rPr>
                <w:b/>
                <w:sz w:val="13"/>
              </w:rPr>
              <w:t>338,60</w:t>
            </w:r>
          </w:p>
        </w:tc>
      </w:tr>
      <w:tr>
        <w:trPr>
          <w:trHeight w:val="214" w:hRule="atLeast"/>
        </w:trPr>
        <w:tc>
          <w:tcPr>
            <w:tcW w:w="2704" w:type="dxa"/>
            <w:tcBorders>
              <w:left w:val="single" w:sz="4" w:space="0" w:color="000000"/>
            </w:tcBorders>
          </w:tcPr>
          <w:p>
            <w:pPr>
              <w:pStyle w:val="TableParagraph"/>
              <w:spacing w:before="23"/>
              <w:ind w:left="59"/>
              <w:rPr>
                <w:sz w:val="13"/>
              </w:rPr>
            </w:pPr>
            <w:r>
              <w:rPr>
                <w:w w:val="105"/>
                <w:sz w:val="13"/>
              </w:rPr>
              <w:t>Impuestos directos</w:t>
            </w:r>
          </w:p>
        </w:tc>
        <w:tc>
          <w:tcPr>
            <w:tcW w:w="674" w:type="dxa"/>
          </w:tcPr>
          <w:p>
            <w:pPr>
              <w:pStyle w:val="TableParagraph"/>
              <w:spacing w:before="23"/>
              <w:ind w:right="77"/>
              <w:jc w:val="right"/>
              <w:rPr>
                <w:sz w:val="13"/>
              </w:rPr>
            </w:pPr>
            <w:r>
              <w:rPr>
                <w:w w:val="105"/>
                <w:sz w:val="13"/>
              </w:rPr>
              <w:t>1.694,50</w:t>
            </w:r>
          </w:p>
        </w:tc>
        <w:tc>
          <w:tcPr>
            <w:tcW w:w="1143" w:type="dxa"/>
          </w:tcPr>
          <w:p>
            <w:pPr>
              <w:pStyle w:val="TableParagraph"/>
              <w:spacing w:before="23"/>
              <w:ind w:right="149"/>
              <w:jc w:val="right"/>
              <w:rPr>
                <w:sz w:val="13"/>
              </w:rPr>
            </w:pPr>
            <w:r>
              <w:rPr>
                <w:sz w:val="13"/>
              </w:rPr>
              <w:t>0,00</w:t>
            </w:r>
          </w:p>
        </w:tc>
        <w:tc>
          <w:tcPr>
            <w:tcW w:w="985" w:type="dxa"/>
          </w:tcPr>
          <w:p>
            <w:pPr>
              <w:pStyle w:val="TableParagraph"/>
              <w:spacing w:before="23"/>
              <w:ind w:right="93"/>
              <w:jc w:val="right"/>
              <w:rPr>
                <w:sz w:val="13"/>
              </w:rPr>
            </w:pPr>
            <w:r>
              <w:rPr>
                <w:w w:val="105"/>
                <w:sz w:val="13"/>
              </w:rPr>
              <w:t>1.694,50</w:t>
            </w:r>
          </w:p>
        </w:tc>
        <w:tc>
          <w:tcPr>
            <w:tcW w:w="938" w:type="dxa"/>
          </w:tcPr>
          <w:p>
            <w:pPr>
              <w:pStyle w:val="TableParagraph"/>
              <w:spacing w:before="23"/>
              <w:ind w:right="69"/>
              <w:jc w:val="right"/>
              <w:rPr>
                <w:sz w:val="13"/>
              </w:rPr>
            </w:pPr>
            <w:r>
              <w:rPr>
                <w:w w:val="105"/>
                <w:sz w:val="13"/>
              </w:rPr>
              <w:t>1.745,10</w:t>
            </w:r>
          </w:p>
        </w:tc>
        <w:tc>
          <w:tcPr>
            <w:tcW w:w="825" w:type="dxa"/>
          </w:tcPr>
          <w:p>
            <w:pPr>
              <w:pStyle w:val="TableParagraph"/>
              <w:spacing w:before="23"/>
              <w:ind w:right="78"/>
              <w:jc w:val="right"/>
              <w:rPr>
                <w:sz w:val="13"/>
              </w:rPr>
            </w:pPr>
            <w:r>
              <w:rPr>
                <w:w w:val="105"/>
                <w:sz w:val="13"/>
              </w:rPr>
              <w:t>1.736,00</w:t>
            </w:r>
          </w:p>
        </w:tc>
        <w:tc>
          <w:tcPr>
            <w:tcW w:w="827" w:type="dxa"/>
            <w:tcBorders>
              <w:right w:val="single" w:sz="4" w:space="0" w:color="000000"/>
            </w:tcBorders>
          </w:tcPr>
          <w:p>
            <w:pPr>
              <w:pStyle w:val="TableParagraph"/>
              <w:spacing w:before="23"/>
              <w:ind w:right="43"/>
              <w:jc w:val="right"/>
              <w:rPr>
                <w:sz w:val="13"/>
              </w:rPr>
            </w:pPr>
            <w:r>
              <w:rPr>
                <w:sz w:val="13"/>
              </w:rPr>
              <w:t>9,10</w:t>
            </w:r>
          </w:p>
        </w:tc>
      </w:tr>
      <w:tr>
        <w:trPr>
          <w:trHeight w:val="202" w:hRule="atLeast"/>
        </w:trPr>
        <w:tc>
          <w:tcPr>
            <w:tcW w:w="2704" w:type="dxa"/>
            <w:tcBorders>
              <w:left w:val="single" w:sz="4" w:space="0" w:color="000000"/>
            </w:tcBorders>
          </w:tcPr>
          <w:p>
            <w:pPr>
              <w:pStyle w:val="TableParagraph"/>
              <w:spacing w:before="10"/>
              <w:ind w:left="59"/>
              <w:rPr>
                <w:sz w:val="13"/>
              </w:rPr>
            </w:pPr>
            <w:r>
              <w:rPr>
                <w:w w:val="105"/>
                <w:sz w:val="13"/>
              </w:rPr>
              <w:t>Impuestos indirectos</w:t>
            </w:r>
          </w:p>
        </w:tc>
        <w:tc>
          <w:tcPr>
            <w:tcW w:w="674" w:type="dxa"/>
          </w:tcPr>
          <w:p>
            <w:pPr>
              <w:pStyle w:val="TableParagraph"/>
              <w:spacing w:before="10"/>
              <w:ind w:right="77"/>
              <w:jc w:val="right"/>
              <w:rPr>
                <w:sz w:val="13"/>
              </w:rPr>
            </w:pPr>
            <w:r>
              <w:rPr>
                <w:w w:val="105"/>
                <w:sz w:val="13"/>
              </w:rPr>
              <w:t>1.748,70</w:t>
            </w:r>
          </w:p>
        </w:tc>
        <w:tc>
          <w:tcPr>
            <w:tcW w:w="1143" w:type="dxa"/>
          </w:tcPr>
          <w:p>
            <w:pPr>
              <w:pStyle w:val="TableParagraph"/>
              <w:spacing w:before="10"/>
              <w:ind w:right="149"/>
              <w:jc w:val="right"/>
              <w:rPr>
                <w:sz w:val="13"/>
              </w:rPr>
            </w:pPr>
            <w:r>
              <w:rPr>
                <w:sz w:val="13"/>
              </w:rPr>
              <w:t>0,00</w:t>
            </w:r>
          </w:p>
        </w:tc>
        <w:tc>
          <w:tcPr>
            <w:tcW w:w="985" w:type="dxa"/>
          </w:tcPr>
          <w:p>
            <w:pPr>
              <w:pStyle w:val="TableParagraph"/>
              <w:spacing w:before="10"/>
              <w:ind w:right="93"/>
              <w:jc w:val="right"/>
              <w:rPr>
                <w:sz w:val="13"/>
              </w:rPr>
            </w:pPr>
            <w:r>
              <w:rPr>
                <w:w w:val="105"/>
                <w:sz w:val="13"/>
              </w:rPr>
              <w:t>1.748,70</w:t>
            </w:r>
          </w:p>
        </w:tc>
        <w:tc>
          <w:tcPr>
            <w:tcW w:w="938" w:type="dxa"/>
          </w:tcPr>
          <w:p>
            <w:pPr>
              <w:pStyle w:val="TableParagraph"/>
              <w:spacing w:before="10"/>
              <w:ind w:right="69"/>
              <w:jc w:val="right"/>
              <w:rPr>
                <w:sz w:val="13"/>
              </w:rPr>
            </w:pPr>
            <w:r>
              <w:rPr>
                <w:w w:val="105"/>
                <w:sz w:val="13"/>
              </w:rPr>
              <w:t>1.195,30</w:t>
            </w:r>
          </w:p>
        </w:tc>
        <w:tc>
          <w:tcPr>
            <w:tcW w:w="825" w:type="dxa"/>
          </w:tcPr>
          <w:p>
            <w:pPr>
              <w:pStyle w:val="TableParagraph"/>
              <w:spacing w:before="10"/>
              <w:ind w:right="78"/>
              <w:jc w:val="right"/>
              <w:rPr>
                <w:sz w:val="13"/>
              </w:rPr>
            </w:pPr>
            <w:r>
              <w:rPr>
                <w:w w:val="105"/>
                <w:sz w:val="13"/>
              </w:rPr>
              <w:t>1.186,20</w:t>
            </w:r>
          </w:p>
        </w:tc>
        <w:tc>
          <w:tcPr>
            <w:tcW w:w="827" w:type="dxa"/>
            <w:tcBorders>
              <w:right w:val="single" w:sz="4" w:space="0" w:color="000000"/>
            </w:tcBorders>
          </w:tcPr>
          <w:p>
            <w:pPr>
              <w:pStyle w:val="TableParagraph"/>
              <w:spacing w:before="10"/>
              <w:ind w:right="43"/>
              <w:jc w:val="right"/>
              <w:rPr>
                <w:sz w:val="13"/>
              </w:rPr>
            </w:pPr>
            <w:r>
              <w:rPr>
                <w:sz w:val="13"/>
              </w:rPr>
              <w:t>9,10</w:t>
            </w:r>
          </w:p>
        </w:tc>
      </w:tr>
      <w:tr>
        <w:trPr>
          <w:trHeight w:val="204" w:hRule="atLeast"/>
        </w:trPr>
        <w:tc>
          <w:tcPr>
            <w:tcW w:w="2704" w:type="dxa"/>
            <w:tcBorders>
              <w:left w:val="single" w:sz="4" w:space="0" w:color="000000"/>
            </w:tcBorders>
          </w:tcPr>
          <w:p>
            <w:pPr>
              <w:pStyle w:val="TableParagraph"/>
              <w:spacing w:before="11"/>
              <w:ind w:left="59"/>
              <w:rPr>
                <w:sz w:val="13"/>
              </w:rPr>
            </w:pPr>
            <w:r>
              <w:rPr>
                <w:w w:val="105"/>
                <w:sz w:val="13"/>
              </w:rPr>
              <w:t>Tasas, precios públicos y otros ingresos</w:t>
            </w:r>
          </w:p>
        </w:tc>
        <w:tc>
          <w:tcPr>
            <w:tcW w:w="674" w:type="dxa"/>
          </w:tcPr>
          <w:p>
            <w:pPr>
              <w:pStyle w:val="TableParagraph"/>
              <w:spacing w:before="11"/>
              <w:ind w:right="77"/>
              <w:jc w:val="right"/>
              <w:rPr>
                <w:sz w:val="13"/>
              </w:rPr>
            </w:pPr>
            <w:r>
              <w:rPr>
                <w:sz w:val="13"/>
              </w:rPr>
              <w:t>115,60</w:t>
            </w:r>
          </w:p>
        </w:tc>
        <w:tc>
          <w:tcPr>
            <w:tcW w:w="1143" w:type="dxa"/>
          </w:tcPr>
          <w:p>
            <w:pPr>
              <w:pStyle w:val="TableParagraph"/>
              <w:spacing w:before="11"/>
              <w:ind w:right="149"/>
              <w:jc w:val="right"/>
              <w:rPr>
                <w:sz w:val="13"/>
              </w:rPr>
            </w:pPr>
            <w:r>
              <w:rPr>
                <w:sz w:val="13"/>
              </w:rPr>
              <w:t>0,00</w:t>
            </w:r>
          </w:p>
        </w:tc>
        <w:tc>
          <w:tcPr>
            <w:tcW w:w="985" w:type="dxa"/>
          </w:tcPr>
          <w:p>
            <w:pPr>
              <w:pStyle w:val="TableParagraph"/>
              <w:spacing w:before="11"/>
              <w:ind w:right="93"/>
              <w:jc w:val="right"/>
              <w:rPr>
                <w:sz w:val="13"/>
              </w:rPr>
            </w:pPr>
            <w:r>
              <w:rPr>
                <w:sz w:val="13"/>
              </w:rPr>
              <w:t>115,60</w:t>
            </w:r>
          </w:p>
        </w:tc>
        <w:tc>
          <w:tcPr>
            <w:tcW w:w="938" w:type="dxa"/>
          </w:tcPr>
          <w:p>
            <w:pPr>
              <w:pStyle w:val="TableParagraph"/>
              <w:spacing w:before="11"/>
              <w:ind w:right="69"/>
              <w:jc w:val="right"/>
              <w:rPr>
                <w:sz w:val="13"/>
              </w:rPr>
            </w:pPr>
            <w:r>
              <w:rPr>
                <w:sz w:val="13"/>
              </w:rPr>
              <w:t>99,20</w:t>
            </w:r>
          </w:p>
        </w:tc>
        <w:tc>
          <w:tcPr>
            <w:tcW w:w="825" w:type="dxa"/>
          </w:tcPr>
          <w:p>
            <w:pPr>
              <w:pStyle w:val="TableParagraph"/>
              <w:spacing w:before="11"/>
              <w:ind w:right="78"/>
              <w:jc w:val="right"/>
              <w:rPr>
                <w:sz w:val="13"/>
              </w:rPr>
            </w:pPr>
            <w:r>
              <w:rPr>
                <w:sz w:val="13"/>
              </w:rPr>
              <w:t>90,50</w:t>
            </w:r>
          </w:p>
        </w:tc>
        <w:tc>
          <w:tcPr>
            <w:tcW w:w="827" w:type="dxa"/>
            <w:tcBorders>
              <w:right w:val="single" w:sz="4" w:space="0" w:color="000000"/>
            </w:tcBorders>
          </w:tcPr>
          <w:p>
            <w:pPr>
              <w:pStyle w:val="TableParagraph"/>
              <w:spacing w:before="11"/>
              <w:ind w:right="43"/>
              <w:jc w:val="right"/>
              <w:rPr>
                <w:sz w:val="13"/>
              </w:rPr>
            </w:pPr>
            <w:r>
              <w:rPr>
                <w:sz w:val="13"/>
              </w:rPr>
              <w:t>8,70</w:t>
            </w:r>
          </w:p>
        </w:tc>
      </w:tr>
      <w:tr>
        <w:trPr>
          <w:trHeight w:val="203" w:hRule="atLeast"/>
        </w:trPr>
        <w:tc>
          <w:tcPr>
            <w:tcW w:w="2704" w:type="dxa"/>
            <w:tcBorders>
              <w:left w:val="single" w:sz="4" w:space="0" w:color="000000"/>
            </w:tcBorders>
          </w:tcPr>
          <w:p>
            <w:pPr>
              <w:pStyle w:val="TableParagraph"/>
              <w:spacing w:before="13"/>
              <w:ind w:left="59"/>
              <w:rPr>
                <w:sz w:val="13"/>
              </w:rPr>
            </w:pPr>
            <w:r>
              <w:rPr>
                <w:w w:val="105"/>
                <w:sz w:val="13"/>
              </w:rPr>
              <w:t>Transferencias corrientes</w:t>
            </w:r>
          </w:p>
        </w:tc>
        <w:tc>
          <w:tcPr>
            <w:tcW w:w="674" w:type="dxa"/>
          </w:tcPr>
          <w:p>
            <w:pPr>
              <w:pStyle w:val="TableParagraph"/>
              <w:spacing w:before="13"/>
              <w:ind w:right="77"/>
              <w:jc w:val="right"/>
              <w:rPr>
                <w:sz w:val="13"/>
              </w:rPr>
            </w:pPr>
            <w:r>
              <w:rPr>
                <w:w w:val="105"/>
                <w:sz w:val="13"/>
              </w:rPr>
              <w:t>3.873,20</w:t>
            </w:r>
          </w:p>
        </w:tc>
        <w:tc>
          <w:tcPr>
            <w:tcW w:w="1143" w:type="dxa"/>
          </w:tcPr>
          <w:p>
            <w:pPr>
              <w:pStyle w:val="TableParagraph"/>
              <w:spacing w:before="13"/>
              <w:ind w:right="149"/>
              <w:jc w:val="right"/>
              <w:rPr>
                <w:sz w:val="13"/>
              </w:rPr>
            </w:pPr>
            <w:r>
              <w:rPr>
                <w:sz w:val="13"/>
              </w:rPr>
              <w:t>476,90</w:t>
            </w:r>
          </w:p>
        </w:tc>
        <w:tc>
          <w:tcPr>
            <w:tcW w:w="985" w:type="dxa"/>
          </w:tcPr>
          <w:p>
            <w:pPr>
              <w:pStyle w:val="TableParagraph"/>
              <w:spacing w:before="13"/>
              <w:ind w:right="93"/>
              <w:jc w:val="right"/>
              <w:rPr>
                <w:sz w:val="13"/>
              </w:rPr>
            </w:pPr>
            <w:r>
              <w:rPr>
                <w:w w:val="105"/>
                <w:sz w:val="13"/>
              </w:rPr>
              <w:t>4.350,10</w:t>
            </w:r>
          </w:p>
        </w:tc>
        <w:tc>
          <w:tcPr>
            <w:tcW w:w="938" w:type="dxa"/>
          </w:tcPr>
          <w:p>
            <w:pPr>
              <w:pStyle w:val="TableParagraph"/>
              <w:spacing w:before="13"/>
              <w:ind w:right="69"/>
              <w:jc w:val="right"/>
              <w:rPr>
                <w:sz w:val="13"/>
              </w:rPr>
            </w:pPr>
            <w:r>
              <w:rPr>
                <w:w w:val="105"/>
                <w:sz w:val="13"/>
              </w:rPr>
              <w:t>4.737,20</w:t>
            </w:r>
          </w:p>
        </w:tc>
        <w:tc>
          <w:tcPr>
            <w:tcW w:w="825" w:type="dxa"/>
          </w:tcPr>
          <w:p>
            <w:pPr>
              <w:pStyle w:val="TableParagraph"/>
              <w:spacing w:before="13"/>
              <w:ind w:right="78"/>
              <w:jc w:val="right"/>
              <w:rPr>
                <w:sz w:val="13"/>
              </w:rPr>
            </w:pPr>
            <w:r>
              <w:rPr>
                <w:w w:val="105"/>
                <w:sz w:val="13"/>
              </w:rPr>
              <w:t>4.647,90</w:t>
            </w:r>
          </w:p>
        </w:tc>
        <w:tc>
          <w:tcPr>
            <w:tcW w:w="827" w:type="dxa"/>
            <w:tcBorders>
              <w:right w:val="single" w:sz="4" w:space="0" w:color="000000"/>
            </w:tcBorders>
          </w:tcPr>
          <w:p>
            <w:pPr>
              <w:pStyle w:val="TableParagraph"/>
              <w:spacing w:before="13"/>
              <w:ind w:right="43"/>
              <w:jc w:val="right"/>
              <w:rPr>
                <w:sz w:val="13"/>
              </w:rPr>
            </w:pPr>
            <w:r>
              <w:rPr>
                <w:sz w:val="13"/>
              </w:rPr>
              <w:t>89,30</w:t>
            </w:r>
          </w:p>
        </w:tc>
      </w:tr>
      <w:tr>
        <w:trPr>
          <w:trHeight w:val="201" w:hRule="atLeast"/>
        </w:trPr>
        <w:tc>
          <w:tcPr>
            <w:tcW w:w="2704" w:type="dxa"/>
            <w:tcBorders>
              <w:left w:val="single" w:sz="4" w:space="0" w:color="000000"/>
            </w:tcBorders>
          </w:tcPr>
          <w:p>
            <w:pPr>
              <w:pStyle w:val="TableParagraph"/>
              <w:spacing w:before="10"/>
              <w:ind w:left="59"/>
              <w:rPr>
                <w:sz w:val="13"/>
              </w:rPr>
            </w:pPr>
            <w:r>
              <w:rPr>
                <w:w w:val="105"/>
                <w:sz w:val="13"/>
              </w:rPr>
              <w:t>Ingresos patrimoniales</w:t>
            </w:r>
          </w:p>
        </w:tc>
        <w:tc>
          <w:tcPr>
            <w:tcW w:w="674" w:type="dxa"/>
          </w:tcPr>
          <w:p>
            <w:pPr>
              <w:pStyle w:val="TableParagraph"/>
              <w:spacing w:before="10"/>
              <w:ind w:right="77"/>
              <w:jc w:val="right"/>
              <w:rPr>
                <w:sz w:val="13"/>
              </w:rPr>
            </w:pPr>
            <w:r>
              <w:rPr>
                <w:sz w:val="13"/>
              </w:rPr>
              <w:t>0,70</w:t>
            </w:r>
          </w:p>
        </w:tc>
        <w:tc>
          <w:tcPr>
            <w:tcW w:w="1143" w:type="dxa"/>
          </w:tcPr>
          <w:p>
            <w:pPr>
              <w:pStyle w:val="TableParagraph"/>
              <w:spacing w:before="10"/>
              <w:ind w:right="149"/>
              <w:jc w:val="right"/>
              <w:rPr>
                <w:sz w:val="13"/>
              </w:rPr>
            </w:pPr>
            <w:r>
              <w:rPr>
                <w:sz w:val="13"/>
              </w:rPr>
              <w:t>0,00</w:t>
            </w:r>
          </w:p>
        </w:tc>
        <w:tc>
          <w:tcPr>
            <w:tcW w:w="985" w:type="dxa"/>
          </w:tcPr>
          <w:p>
            <w:pPr>
              <w:pStyle w:val="TableParagraph"/>
              <w:spacing w:before="10"/>
              <w:ind w:right="93"/>
              <w:jc w:val="right"/>
              <w:rPr>
                <w:sz w:val="13"/>
              </w:rPr>
            </w:pPr>
            <w:r>
              <w:rPr>
                <w:sz w:val="13"/>
              </w:rPr>
              <w:t>0,70</w:t>
            </w:r>
          </w:p>
        </w:tc>
        <w:tc>
          <w:tcPr>
            <w:tcW w:w="938" w:type="dxa"/>
          </w:tcPr>
          <w:p>
            <w:pPr>
              <w:pStyle w:val="TableParagraph"/>
              <w:spacing w:before="10"/>
              <w:ind w:right="69"/>
              <w:jc w:val="right"/>
              <w:rPr>
                <w:sz w:val="13"/>
              </w:rPr>
            </w:pPr>
            <w:r>
              <w:rPr>
                <w:sz w:val="13"/>
              </w:rPr>
              <w:t>1,40</w:t>
            </w:r>
          </w:p>
        </w:tc>
        <w:tc>
          <w:tcPr>
            <w:tcW w:w="825" w:type="dxa"/>
          </w:tcPr>
          <w:p>
            <w:pPr>
              <w:pStyle w:val="TableParagraph"/>
              <w:spacing w:before="10"/>
              <w:ind w:right="78"/>
              <w:jc w:val="right"/>
              <w:rPr>
                <w:sz w:val="13"/>
              </w:rPr>
            </w:pPr>
            <w:r>
              <w:rPr>
                <w:sz w:val="13"/>
              </w:rPr>
              <w:t>1,40</w:t>
            </w:r>
          </w:p>
        </w:tc>
        <w:tc>
          <w:tcPr>
            <w:tcW w:w="827" w:type="dxa"/>
            <w:tcBorders>
              <w:right w:val="single" w:sz="4" w:space="0" w:color="000000"/>
            </w:tcBorders>
          </w:tcPr>
          <w:p>
            <w:pPr>
              <w:pStyle w:val="TableParagraph"/>
              <w:spacing w:before="10"/>
              <w:ind w:right="43"/>
              <w:jc w:val="right"/>
              <w:rPr>
                <w:sz w:val="13"/>
              </w:rPr>
            </w:pPr>
            <w:r>
              <w:rPr>
                <w:sz w:val="13"/>
              </w:rPr>
              <w:t>0,00</w:t>
            </w:r>
          </w:p>
        </w:tc>
      </w:tr>
      <w:tr>
        <w:trPr>
          <w:trHeight w:val="201" w:hRule="atLeast"/>
        </w:trPr>
        <w:tc>
          <w:tcPr>
            <w:tcW w:w="2704" w:type="dxa"/>
            <w:tcBorders>
              <w:left w:val="single" w:sz="4" w:space="0" w:color="000000"/>
            </w:tcBorders>
          </w:tcPr>
          <w:p>
            <w:pPr>
              <w:pStyle w:val="TableParagraph"/>
              <w:spacing w:before="10"/>
              <w:ind w:left="59"/>
              <w:rPr>
                <w:sz w:val="13"/>
              </w:rPr>
            </w:pPr>
            <w:r>
              <w:rPr>
                <w:w w:val="105"/>
                <w:sz w:val="13"/>
              </w:rPr>
              <w:t>Enajenaciones inversiones reales</w:t>
            </w:r>
          </w:p>
        </w:tc>
        <w:tc>
          <w:tcPr>
            <w:tcW w:w="674" w:type="dxa"/>
          </w:tcPr>
          <w:p>
            <w:pPr>
              <w:pStyle w:val="TableParagraph"/>
              <w:spacing w:before="10"/>
              <w:ind w:right="77"/>
              <w:jc w:val="right"/>
              <w:rPr>
                <w:sz w:val="13"/>
              </w:rPr>
            </w:pPr>
            <w:r>
              <w:rPr>
                <w:sz w:val="13"/>
              </w:rPr>
              <w:t>0,50</w:t>
            </w:r>
          </w:p>
        </w:tc>
        <w:tc>
          <w:tcPr>
            <w:tcW w:w="1143" w:type="dxa"/>
          </w:tcPr>
          <w:p>
            <w:pPr>
              <w:pStyle w:val="TableParagraph"/>
              <w:spacing w:before="10"/>
              <w:ind w:right="149"/>
              <w:jc w:val="right"/>
              <w:rPr>
                <w:sz w:val="13"/>
              </w:rPr>
            </w:pPr>
            <w:r>
              <w:rPr>
                <w:sz w:val="13"/>
              </w:rPr>
              <w:t>0,00</w:t>
            </w:r>
          </w:p>
        </w:tc>
        <w:tc>
          <w:tcPr>
            <w:tcW w:w="985" w:type="dxa"/>
          </w:tcPr>
          <w:p>
            <w:pPr>
              <w:pStyle w:val="TableParagraph"/>
              <w:spacing w:before="10"/>
              <w:ind w:right="93"/>
              <w:jc w:val="right"/>
              <w:rPr>
                <w:sz w:val="13"/>
              </w:rPr>
            </w:pPr>
            <w:r>
              <w:rPr>
                <w:sz w:val="13"/>
              </w:rPr>
              <w:t>0,50</w:t>
            </w:r>
          </w:p>
        </w:tc>
        <w:tc>
          <w:tcPr>
            <w:tcW w:w="938" w:type="dxa"/>
          </w:tcPr>
          <w:p>
            <w:pPr>
              <w:pStyle w:val="TableParagraph"/>
              <w:spacing w:before="10"/>
              <w:ind w:right="69"/>
              <w:jc w:val="right"/>
              <w:rPr>
                <w:sz w:val="13"/>
              </w:rPr>
            </w:pPr>
            <w:r>
              <w:rPr>
                <w:sz w:val="13"/>
              </w:rPr>
              <w:t>0,00</w:t>
            </w:r>
          </w:p>
        </w:tc>
        <w:tc>
          <w:tcPr>
            <w:tcW w:w="825" w:type="dxa"/>
          </w:tcPr>
          <w:p>
            <w:pPr>
              <w:pStyle w:val="TableParagraph"/>
              <w:spacing w:before="10"/>
              <w:ind w:right="78"/>
              <w:jc w:val="right"/>
              <w:rPr>
                <w:sz w:val="13"/>
              </w:rPr>
            </w:pPr>
            <w:r>
              <w:rPr>
                <w:sz w:val="13"/>
              </w:rPr>
              <w:t>0,00</w:t>
            </w:r>
          </w:p>
        </w:tc>
        <w:tc>
          <w:tcPr>
            <w:tcW w:w="827" w:type="dxa"/>
            <w:tcBorders>
              <w:right w:val="single" w:sz="4" w:space="0" w:color="000000"/>
            </w:tcBorders>
          </w:tcPr>
          <w:p>
            <w:pPr>
              <w:pStyle w:val="TableParagraph"/>
              <w:spacing w:before="10"/>
              <w:ind w:right="43"/>
              <w:jc w:val="right"/>
              <w:rPr>
                <w:sz w:val="13"/>
              </w:rPr>
            </w:pPr>
            <w:r>
              <w:rPr>
                <w:sz w:val="13"/>
              </w:rPr>
              <w:t>0,00</w:t>
            </w:r>
          </w:p>
        </w:tc>
      </w:tr>
      <w:tr>
        <w:trPr>
          <w:trHeight w:val="190" w:hRule="atLeast"/>
        </w:trPr>
        <w:tc>
          <w:tcPr>
            <w:tcW w:w="2704" w:type="dxa"/>
            <w:tcBorders>
              <w:left w:val="single" w:sz="4" w:space="0" w:color="000000"/>
            </w:tcBorders>
          </w:tcPr>
          <w:p>
            <w:pPr>
              <w:pStyle w:val="TableParagraph"/>
              <w:spacing w:before="10"/>
              <w:ind w:left="59"/>
              <w:rPr>
                <w:sz w:val="13"/>
              </w:rPr>
            </w:pPr>
            <w:r>
              <w:rPr>
                <w:w w:val="105"/>
                <w:sz w:val="13"/>
              </w:rPr>
              <w:t>Transferencias de capital</w:t>
            </w:r>
          </w:p>
        </w:tc>
        <w:tc>
          <w:tcPr>
            <w:tcW w:w="674" w:type="dxa"/>
          </w:tcPr>
          <w:p>
            <w:pPr>
              <w:pStyle w:val="TableParagraph"/>
              <w:spacing w:before="10"/>
              <w:ind w:right="77"/>
              <w:jc w:val="right"/>
              <w:rPr>
                <w:sz w:val="13"/>
              </w:rPr>
            </w:pPr>
            <w:r>
              <w:rPr>
                <w:sz w:val="13"/>
              </w:rPr>
              <w:t>286,70</w:t>
            </w:r>
          </w:p>
        </w:tc>
        <w:tc>
          <w:tcPr>
            <w:tcW w:w="1143" w:type="dxa"/>
          </w:tcPr>
          <w:p>
            <w:pPr>
              <w:pStyle w:val="TableParagraph"/>
              <w:spacing w:before="10"/>
              <w:ind w:right="149"/>
              <w:jc w:val="right"/>
              <w:rPr>
                <w:sz w:val="13"/>
              </w:rPr>
            </w:pPr>
            <w:r>
              <w:rPr>
                <w:sz w:val="13"/>
              </w:rPr>
              <w:t>0,20</w:t>
            </w:r>
          </w:p>
        </w:tc>
        <w:tc>
          <w:tcPr>
            <w:tcW w:w="985" w:type="dxa"/>
          </w:tcPr>
          <w:p>
            <w:pPr>
              <w:pStyle w:val="TableParagraph"/>
              <w:spacing w:before="10"/>
              <w:ind w:right="93"/>
              <w:jc w:val="right"/>
              <w:rPr>
                <w:sz w:val="13"/>
              </w:rPr>
            </w:pPr>
            <w:r>
              <w:rPr>
                <w:sz w:val="13"/>
              </w:rPr>
              <w:t>286,90</w:t>
            </w:r>
          </w:p>
        </w:tc>
        <w:tc>
          <w:tcPr>
            <w:tcW w:w="938" w:type="dxa"/>
          </w:tcPr>
          <w:p>
            <w:pPr>
              <w:pStyle w:val="TableParagraph"/>
              <w:spacing w:before="10"/>
              <w:ind w:right="69"/>
              <w:jc w:val="right"/>
              <w:rPr>
                <w:sz w:val="13"/>
              </w:rPr>
            </w:pPr>
            <w:r>
              <w:rPr>
                <w:sz w:val="13"/>
              </w:rPr>
              <w:t>189,70</w:t>
            </w:r>
          </w:p>
        </w:tc>
        <w:tc>
          <w:tcPr>
            <w:tcW w:w="825" w:type="dxa"/>
          </w:tcPr>
          <w:p>
            <w:pPr>
              <w:pStyle w:val="TableParagraph"/>
              <w:spacing w:before="10"/>
              <w:ind w:right="78"/>
              <w:jc w:val="right"/>
              <w:rPr>
                <w:sz w:val="13"/>
              </w:rPr>
            </w:pPr>
            <w:r>
              <w:rPr>
                <w:sz w:val="13"/>
              </w:rPr>
              <w:t>94,40</w:t>
            </w:r>
          </w:p>
        </w:tc>
        <w:tc>
          <w:tcPr>
            <w:tcW w:w="827" w:type="dxa"/>
            <w:tcBorders>
              <w:right w:val="single" w:sz="4" w:space="0" w:color="000000"/>
            </w:tcBorders>
          </w:tcPr>
          <w:p>
            <w:pPr>
              <w:pStyle w:val="TableParagraph"/>
              <w:spacing w:before="10"/>
              <w:ind w:right="43"/>
              <w:jc w:val="right"/>
              <w:rPr>
                <w:sz w:val="13"/>
              </w:rPr>
            </w:pPr>
            <w:r>
              <w:rPr>
                <w:sz w:val="13"/>
              </w:rPr>
              <w:t>95,30</w:t>
            </w:r>
          </w:p>
        </w:tc>
      </w:tr>
      <w:tr>
        <w:trPr>
          <w:trHeight w:val="358" w:hRule="atLeast"/>
        </w:trPr>
        <w:tc>
          <w:tcPr>
            <w:tcW w:w="2704" w:type="dxa"/>
            <w:tcBorders>
              <w:left w:val="single" w:sz="4" w:space="0" w:color="000000"/>
            </w:tcBorders>
            <w:shd w:val="clear" w:color="auto" w:fill="D9D9D9"/>
          </w:tcPr>
          <w:p>
            <w:pPr>
              <w:pStyle w:val="TableParagraph"/>
              <w:spacing w:before="100"/>
              <w:ind w:right="102"/>
              <w:jc w:val="right"/>
              <w:rPr>
                <w:b/>
                <w:sz w:val="13"/>
              </w:rPr>
            </w:pPr>
            <w:r>
              <w:rPr>
                <w:b/>
                <w:w w:val="105"/>
                <w:sz w:val="13"/>
              </w:rPr>
              <w:t>Total operaciones no financieras 2020</w:t>
            </w:r>
          </w:p>
        </w:tc>
        <w:tc>
          <w:tcPr>
            <w:tcW w:w="674" w:type="dxa"/>
            <w:shd w:val="clear" w:color="auto" w:fill="D9D9D9"/>
          </w:tcPr>
          <w:p>
            <w:pPr>
              <w:pStyle w:val="TableParagraph"/>
              <w:spacing w:before="100"/>
              <w:ind w:right="77"/>
              <w:jc w:val="right"/>
              <w:rPr>
                <w:b/>
                <w:sz w:val="13"/>
              </w:rPr>
            </w:pPr>
            <w:r>
              <w:rPr>
                <w:b/>
                <w:w w:val="105"/>
                <w:sz w:val="13"/>
              </w:rPr>
              <w:t>7.719,90</w:t>
            </w:r>
          </w:p>
        </w:tc>
        <w:tc>
          <w:tcPr>
            <w:tcW w:w="1143" w:type="dxa"/>
            <w:shd w:val="clear" w:color="auto" w:fill="D9D9D9"/>
          </w:tcPr>
          <w:p>
            <w:pPr>
              <w:pStyle w:val="TableParagraph"/>
              <w:spacing w:before="100"/>
              <w:ind w:right="149"/>
              <w:jc w:val="right"/>
              <w:rPr>
                <w:b/>
                <w:sz w:val="13"/>
              </w:rPr>
            </w:pPr>
            <w:r>
              <w:rPr>
                <w:b/>
                <w:sz w:val="13"/>
              </w:rPr>
              <w:t>477,10</w:t>
            </w:r>
          </w:p>
        </w:tc>
        <w:tc>
          <w:tcPr>
            <w:tcW w:w="985" w:type="dxa"/>
            <w:shd w:val="clear" w:color="auto" w:fill="D9D9D9"/>
          </w:tcPr>
          <w:p>
            <w:pPr>
              <w:pStyle w:val="TableParagraph"/>
              <w:spacing w:before="100"/>
              <w:ind w:right="93"/>
              <w:jc w:val="right"/>
              <w:rPr>
                <w:b/>
                <w:sz w:val="13"/>
              </w:rPr>
            </w:pPr>
            <w:r>
              <w:rPr>
                <w:b/>
                <w:w w:val="105"/>
                <w:sz w:val="13"/>
              </w:rPr>
              <w:t>8.197,00</w:t>
            </w:r>
          </w:p>
        </w:tc>
        <w:tc>
          <w:tcPr>
            <w:tcW w:w="938" w:type="dxa"/>
            <w:shd w:val="clear" w:color="auto" w:fill="D9D9D9"/>
          </w:tcPr>
          <w:p>
            <w:pPr>
              <w:pStyle w:val="TableParagraph"/>
              <w:spacing w:before="100"/>
              <w:ind w:right="69"/>
              <w:jc w:val="right"/>
              <w:rPr>
                <w:b/>
                <w:sz w:val="13"/>
              </w:rPr>
            </w:pPr>
            <w:r>
              <w:rPr>
                <w:b/>
                <w:w w:val="105"/>
                <w:sz w:val="13"/>
              </w:rPr>
              <w:t>7.967,90</w:t>
            </w:r>
          </w:p>
        </w:tc>
        <w:tc>
          <w:tcPr>
            <w:tcW w:w="825" w:type="dxa"/>
            <w:shd w:val="clear" w:color="auto" w:fill="D9D9D9"/>
          </w:tcPr>
          <w:p>
            <w:pPr>
              <w:pStyle w:val="TableParagraph"/>
              <w:spacing w:before="100"/>
              <w:ind w:right="78"/>
              <w:jc w:val="right"/>
              <w:rPr>
                <w:b/>
                <w:sz w:val="13"/>
              </w:rPr>
            </w:pPr>
            <w:r>
              <w:rPr>
                <w:b/>
                <w:w w:val="105"/>
                <w:sz w:val="13"/>
              </w:rPr>
              <w:t>7.756,40</w:t>
            </w:r>
          </w:p>
        </w:tc>
        <w:tc>
          <w:tcPr>
            <w:tcW w:w="827" w:type="dxa"/>
            <w:tcBorders>
              <w:right w:val="single" w:sz="4" w:space="0" w:color="000000"/>
            </w:tcBorders>
            <w:shd w:val="clear" w:color="auto" w:fill="D9D9D9"/>
          </w:tcPr>
          <w:p>
            <w:pPr>
              <w:pStyle w:val="TableParagraph"/>
              <w:spacing w:before="100"/>
              <w:ind w:right="43"/>
              <w:jc w:val="right"/>
              <w:rPr>
                <w:b/>
                <w:sz w:val="13"/>
              </w:rPr>
            </w:pPr>
            <w:r>
              <w:rPr>
                <w:b/>
                <w:sz w:val="13"/>
              </w:rPr>
              <w:t>211,50</w:t>
            </w:r>
          </w:p>
        </w:tc>
      </w:tr>
      <w:tr>
        <w:trPr>
          <w:trHeight w:val="212" w:hRule="atLeast"/>
        </w:trPr>
        <w:tc>
          <w:tcPr>
            <w:tcW w:w="2704" w:type="dxa"/>
            <w:tcBorders>
              <w:left w:val="single" w:sz="4" w:space="0" w:color="000000"/>
            </w:tcBorders>
          </w:tcPr>
          <w:p>
            <w:pPr>
              <w:pStyle w:val="TableParagraph"/>
              <w:spacing w:before="21"/>
              <w:ind w:left="59"/>
              <w:rPr>
                <w:sz w:val="13"/>
              </w:rPr>
            </w:pPr>
            <w:r>
              <w:rPr>
                <w:w w:val="105"/>
                <w:sz w:val="13"/>
              </w:rPr>
              <w:t>Impuestos directos</w:t>
            </w:r>
          </w:p>
        </w:tc>
        <w:tc>
          <w:tcPr>
            <w:tcW w:w="674" w:type="dxa"/>
          </w:tcPr>
          <w:p>
            <w:pPr>
              <w:pStyle w:val="TableParagraph"/>
              <w:spacing w:before="21"/>
              <w:ind w:right="77"/>
              <w:jc w:val="right"/>
              <w:rPr>
                <w:sz w:val="13"/>
              </w:rPr>
            </w:pPr>
            <w:r>
              <w:rPr>
                <w:w w:val="105"/>
                <w:sz w:val="13"/>
              </w:rPr>
              <w:t>1.562,70</w:t>
            </w:r>
          </w:p>
        </w:tc>
        <w:tc>
          <w:tcPr>
            <w:tcW w:w="1143" w:type="dxa"/>
          </w:tcPr>
          <w:p>
            <w:pPr>
              <w:pStyle w:val="TableParagraph"/>
              <w:spacing w:before="21"/>
              <w:ind w:right="149"/>
              <w:jc w:val="right"/>
              <w:rPr>
                <w:sz w:val="13"/>
              </w:rPr>
            </w:pPr>
            <w:r>
              <w:rPr>
                <w:sz w:val="13"/>
              </w:rPr>
              <w:t>21,90</w:t>
            </w:r>
          </w:p>
        </w:tc>
        <w:tc>
          <w:tcPr>
            <w:tcW w:w="985" w:type="dxa"/>
          </w:tcPr>
          <w:p>
            <w:pPr>
              <w:pStyle w:val="TableParagraph"/>
              <w:spacing w:before="21"/>
              <w:ind w:right="93"/>
              <w:jc w:val="right"/>
              <w:rPr>
                <w:b/>
                <w:sz w:val="13"/>
              </w:rPr>
            </w:pPr>
            <w:r>
              <w:rPr>
                <w:b/>
                <w:w w:val="105"/>
                <w:sz w:val="13"/>
              </w:rPr>
              <w:t>1.584,60</w:t>
            </w:r>
          </w:p>
        </w:tc>
        <w:tc>
          <w:tcPr>
            <w:tcW w:w="938" w:type="dxa"/>
          </w:tcPr>
          <w:p>
            <w:pPr>
              <w:pStyle w:val="TableParagraph"/>
              <w:spacing w:before="21"/>
              <w:ind w:right="69"/>
              <w:jc w:val="right"/>
              <w:rPr>
                <w:sz w:val="13"/>
              </w:rPr>
            </w:pPr>
            <w:r>
              <w:rPr>
                <w:w w:val="105"/>
                <w:sz w:val="13"/>
              </w:rPr>
              <w:t>1.576,40</w:t>
            </w:r>
          </w:p>
        </w:tc>
        <w:tc>
          <w:tcPr>
            <w:tcW w:w="825" w:type="dxa"/>
          </w:tcPr>
          <w:p>
            <w:pPr>
              <w:pStyle w:val="TableParagraph"/>
              <w:spacing w:before="21"/>
              <w:ind w:right="78"/>
              <w:jc w:val="right"/>
              <w:rPr>
                <w:sz w:val="13"/>
              </w:rPr>
            </w:pPr>
            <w:r>
              <w:rPr>
                <w:w w:val="105"/>
                <w:sz w:val="13"/>
              </w:rPr>
              <w:t>1.569,40</w:t>
            </w:r>
          </w:p>
        </w:tc>
        <w:tc>
          <w:tcPr>
            <w:tcW w:w="827" w:type="dxa"/>
            <w:tcBorders>
              <w:right w:val="single" w:sz="4" w:space="0" w:color="000000"/>
            </w:tcBorders>
          </w:tcPr>
          <w:p>
            <w:pPr>
              <w:pStyle w:val="TableParagraph"/>
              <w:spacing w:before="21"/>
              <w:ind w:right="43"/>
              <w:jc w:val="right"/>
              <w:rPr>
                <w:sz w:val="13"/>
              </w:rPr>
            </w:pPr>
            <w:r>
              <w:rPr>
                <w:sz w:val="13"/>
              </w:rPr>
              <w:t>7,00</w:t>
            </w:r>
          </w:p>
        </w:tc>
      </w:tr>
      <w:tr>
        <w:trPr>
          <w:trHeight w:val="209" w:hRule="atLeast"/>
        </w:trPr>
        <w:tc>
          <w:tcPr>
            <w:tcW w:w="2704" w:type="dxa"/>
            <w:tcBorders>
              <w:left w:val="single" w:sz="4" w:space="0" w:color="000000"/>
            </w:tcBorders>
          </w:tcPr>
          <w:p>
            <w:pPr>
              <w:pStyle w:val="TableParagraph"/>
              <w:spacing w:before="10"/>
              <w:ind w:left="59"/>
              <w:rPr>
                <w:sz w:val="13"/>
              </w:rPr>
            </w:pPr>
            <w:r>
              <w:rPr>
                <w:w w:val="105"/>
                <w:sz w:val="13"/>
              </w:rPr>
              <w:t>Impuestos indirectos</w:t>
            </w:r>
          </w:p>
        </w:tc>
        <w:tc>
          <w:tcPr>
            <w:tcW w:w="674" w:type="dxa"/>
          </w:tcPr>
          <w:p>
            <w:pPr>
              <w:pStyle w:val="TableParagraph"/>
              <w:spacing w:before="10"/>
              <w:ind w:right="77"/>
              <w:jc w:val="right"/>
              <w:rPr>
                <w:sz w:val="13"/>
              </w:rPr>
            </w:pPr>
            <w:r>
              <w:rPr>
                <w:w w:val="105"/>
                <w:sz w:val="13"/>
              </w:rPr>
              <w:t>1.738,00</w:t>
            </w:r>
          </w:p>
        </w:tc>
        <w:tc>
          <w:tcPr>
            <w:tcW w:w="1143" w:type="dxa"/>
          </w:tcPr>
          <w:p>
            <w:pPr>
              <w:pStyle w:val="TableParagraph"/>
              <w:spacing w:before="10"/>
              <w:ind w:right="149"/>
              <w:jc w:val="right"/>
              <w:rPr>
                <w:sz w:val="13"/>
              </w:rPr>
            </w:pPr>
            <w:r>
              <w:rPr>
                <w:sz w:val="13"/>
              </w:rPr>
              <w:t>0,00</w:t>
            </w:r>
          </w:p>
        </w:tc>
        <w:tc>
          <w:tcPr>
            <w:tcW w:w="985" w:type="dxa"/>
          </w:tcPr>
          <w:p>
            <w:pPr>
              <w:pStyle w:val="TableParagraph"/>
              <w:spacing w:before="10"/>
              <w:ind w:right="93"/>
              <w:jc w:val="right"/>
              <w:rPr>
                <w:sz w:val="13"/>
              </w:rPr>
            </w:pPr>
            <w:r>
              <w:rPr>
                <w:w w:val="105"/>
                <w:sz w:val="13"/>
              </w:rPr>
              <w:t>1.738,00</w:t>
            </w:r>
          </w:p>
        </w:tc>
        <w:tc>
          <w:tcPr>
            <w:tcW w:w="938" w:type="dxa"/>
          </w:tcPr>
          <w:p>
            <w:pPr>
              <w:pStyle w:val="TableParagraph"/>
              <w:spacing w:before="10"/>
              <w:ind w:right="69"/>
              <w:jc w:val="right"/>
              <w:rPr>
                <w:sz w:val="13"/>
              </w:rPr>
            </w:pPr>
            <w:r>
              <w:rPr>
                <w:w w:val="105"/>
                <w:sz w:val="13"/>
              </w:rPr>
              <w:t>1.646,60</w:t>
            </w:r>
          </w:p>
        </w:tc>
        <w:tc>
          <w:tcPr>
            <w:tcW w:w="825" w:type="dxa"/>
          </w:tcPr>
          <w:p>
            <w:pPr>
              <w:pStyle w:val="TableParagraph"/>
              <w:spacing w:before="10"/>
              <w:ind w:right="78"/>
              <w:jc w:val="right"/>
              <w:rPr>
                <w:sz w:val="13"/>
              </w:rPr>
            </w:pPr>
            <w:r>
              <w:rPr>
                <w:w w:val="105"/>
                <w:sz w:val="13"/>
              </w:rPr>
              <w:t>1.636,40</w:t>
            </w:r>
          </w:p>
        </w:tc>
        <w:tc>
          <w:tcPr>
            <w:tcW w:w="827" w:type="dxa"/>
            <w:tcBorders>
              <w:right w:val="single" w:sz="4" w:space="0" w:color="000000"/>
            </w:tcBorders>
          </w:tcPr>
          <w:p>
            <w:pPr>
              <w:pStyle w:val="TableParagraph"/>
              <w:spacing w:before="10"/>
              <w:ind w:right="43"/>
              <w:jc w:val="right"/>
              <w:rPr>
                <w:sz w:val="13"/>
              </w:rPr>
            </w:pPr>
            <w:r>
              <w:rPr>
                <w:sz w:val="13"/>
              </w:rPr>
              <w:t>10,20</w:t>
            </w:r>
          </w:p>
        </w:tc>
      </w:tr>
      <w:tr>
        <w:trPr>
          <w:trHeight w:val="216" w:hRule="atLeast"/>
        </w:trPr>
        <w:tc>
          <w:tcPr>
            <w:tcW w:w="2704" w:type="dxa"/>
            <w:tcBorders>
              <w:left w:val="single" w:sz="4" w:space="0" w:color="000000"/>
            </w:tcBorders>
          </w:tcPr>
          <w:p>
            <w:pPr>
              <w:pStyle w:val="TableParagraph"/>
              <w:spacing w:before="18"/>
              <w:ind w:left="59"/>
              <w:rPr>
                <w:sz w:val="13"/>
              </w:rPr>
            </w:pPr>
            <w:r>
              <w:rPr>
                <w:w w:val="105"/>
                <w:sz w:val="13"/>
              </w:rPr>
              <w:t>Tasas, precios públicos y otros ingresos</w:t>
            </w:r>
          </w:p>
        </w:tc>
        <w:tc>
          <w:tcPr>
            <w:tcW w:w="674" w:type="dxa"/>
          </w:tcPr>
          <w:p>
            <w:pPr>
              <w:pStyle w:val="TableParagraph"/>
              <w:spacing w:before="18"/>
              <w:ind w:right="77"/>
              <w:jc w:val="right"/>
              <w:rPr>
                <w:sz w:val="13"/>
              </w:rPr>
            </w:pPr>
            <w:r>
              <w:rPr>
                <w:sz w:val="13"/>
              </w:rPr>
              <w:t>101,50</w:t>
            </w:r>
          </w:p>
        </w:tc>
        <w:tc>
          <w:tcPr>
            <w:tcW w:w="1143" w:type="dxa"/>
          </w:tcPr>
          <w:p>
            <w:pPr>
              <w:pStyle w:val="TableParagraph"/>
              <w:spacing w:before="18"/>
              <w:ind w:right="149"/>
              <w:jc w:val="right"/>
              <w:rPr>
                <w:sz w:val="13"/>
              </w:rPr>
            </w:pPr>
            <w:r>
              <w:rPr>
                <w:sz w:val="13"/>
              </w:rPr>
              <w:t>0,00</w:t>
            </w:r>
          </w:p>
        </w:tc>
        <w:tc>
          <w:tcPr>
            <w:tcW w:w="985" w:type="dxa"/>
          </w:tcPr>
          <w:p>
            <w:pPr>
              <w:pStyle w:val="TableParagraph"/>
              <w:spacing w:before="18"/>
              <w:ind w:right="93"/>
              <w:jc w:val="right"/>
              <w:rPr>
                <w:sz w:val="13"/>
              </w:rPr>
            </w:pPr>
            <w:r>
              <w:rPr>
                <w:sz w:val="13"/>
              </w:rPr>
              <w:t>101,50</w:t>
            </w:r>
          </w:p>
        </w:tc>
        <w:tc>
          <w:tcPr>
            <w:tcW w:w="938" w:type="dxa"/>
          </w:tcPr>
          <w:p>
            <w:pPr>
              <w:pStyle w:val="TableParagraph"/>
              <w:spacing w:before="18"/>
              <w:ind w:right="69"/>
              <w:jc w:val="right"/>
              <w:rPr>
                <w:sz w:val="13"/>
              </w:rPr>
            </w:pPr>
            <w:r>
              <w:rPr>
                <w:sz w:val="13"/>
              </w:rPr>
              <w:t>91,80</w:t>
            </w:r>
          </w:p>
        </w:tc>
        <w:tc>
          <w:tcPr>
            <w:tcW w:w="825" w:type="dxa"/>
          </w:tcPr>
          <w:p>
            <w:pPr>
              <w:pStyle w:val="TableParagraph"/>
              <w:spacing w:before="18"/>
              <w:ind w:right="78"/>
              <w:jc w:val="right"/>
              <w:rPr>
                <w:sz w:val="13"/>
              </w:rPr>
            </w:pPr>
            <w:r>
              <w:rPr>
                <w:sz w:val="13"/>
              </w:rPr>
              <w:t>80,90</w:t>
            </w:r>
          </w:p>
        </w:tc>
        <w:tc>
          <w:tcPr>
            <w:tcW w:w="827" w:type="dxa"/>
            <w:tcBorders>
              <w:right w:val="single" w:sz="4" w:space="0" w:color="000000"/>
            </w:tcBorders>
          </w:tcPr>
          <w:p>
            <w:pPr>
              <w:pStyle w:val="TableParagraph"/>
              <w:spacing w:before="18"/>
              <w:ind w:right="43"/>
              <w:jc w:val="right"/>
              <w:rPr>
                <w:sz w:val="13"/>
              </w:rPr>
            </w:pPr>
            <w:r>
              <w:rPr>
                <w:sz w:val="13"/>
              </w:rPr>
              <w:t>10,90</w:t>
            </w:r>
          </w:p>
        </w:tc>
      </w:tr>
      <w:tr>
        <w:trPr>
          <w:trHeight w:val="208" w:hRule="atLeast"/>
        </w:trPr>
        <w:tc>
          <w:tcPr>
            <w:tcW w:w="2704" w:type="dxa"/>
            <w:tcBorders>
              <w:left w:val="single" w:sz="4" w:space="0" w:color="000000"/>
            </w:tcBorders>
          </w:tcPr>
          <w:p>
            <w:pPr>
              <w:pStyle w:val="TableParagraph"/>
              <w:spacing w:before="17"/>
              <w:ind w:left="59"/>
              <w:rPr>
                <w:sz w:val="13"/>
              </w:rPr>
            </w:pPr>
            <w:r>
              <w:rPr>
                <w:w w:val="105"/>
                <w:sz w:val="13"/>
              </w:rPr>
              <w:t>Transferencias corrientes</w:t>
            </w:r>
          </w:p>
        </w:tc>
        <w:tc>
          <w:tcPr>
            <w:tcW w:w="674" w:type="dxa"/>
          </w:tcPr>
          <w:p>
            <w:pPr>
              <w:pStyle w:val="TableParagraph"/>
              <w:spacing w:before="17"/>
              <w:ind w:right="77"/>
              <w:jc w:val="right"/>
              <w:rPr>
                <w:sz w:val="13"/>
              </w:rPr>
            </w:pPr>
            <w:r>
              <w:rPr>
                <w:w w:val="105"/>
                <w:sz w:val="13"/>
              </w:rPr>
              <w:t>3.789,40</w:t>
            </w:r>
          </w:p>
        </w:tc>
        <w:tc>
          <w:tcPr>
            <w:tcW w:w="1143" w:type="dxa"/>
          </w:tcPr>
          <w:p>
            <w:pPr>
              <w:pStyle w:val="TableParagraph"/>
              <w:spacing w:before="17"/>
              <w:ind w:right="149"/>
              <w:jc w:val="right"/>
              <w:rPr>
                <w:sz w:val="13"/>
              </w:rPr>
            </w:pPr>
            <w:r>
              <w:rPr>
                <w:sz w:val="13"/>
              </w:rPr>
              <w:t>56,10</w:t>
            </w:r>
          </w:p>
        </w:tc>
        <w:tc>
          <w:tcPr>
            <w:tcW w:w="985" w:type="dxa"/>
          </w:tcPr>
          <w:p>
            <w:pPr>
              <w:pStyle w:val="TableParagraph"/>
              <w:spacing w:before="17"/>
              <w:ind w:right="93"/>
              <w:jc w:val="right"/>
              <w:rPr>
                <w:sz w:val="13"/>
              </w:rPr>
            </w:pPr>
            <w:r>
              <w:rPr>
                <w:w w:val="105"/>
                <w:sz w:val="13"/>
              </w:rPr>
              <w:t>3.845,50</w:t>
            </w:r>
          </w:p>
        </w:tc>
        <w:tc>
          <w:tcPr>
            <w:tcW w:w="938" w:type="dxa"/>
          </w:tcPr>
          <w:p>
            <w:pPr>
              <w:pStyle w:val="TableParagraph"/>
              <w:spacing w:before="17"/>
              <w:ind w:right="69"/>
              <w:jc w:val="right"/>
              <w:rPr>
                <w:sz w:val="13"/>
              </w:rPr>
            </w:pPr>
            <w:r>
              <w:rPr>
                <w:w w:val="105"/>
                <w:sz w:val="13"/>
              </w:rPr>
              <w:t>3.819,10</w:t>
            </w:r>
          </w:p>
        </w:tc>
        <w:tc>
          <w:tcPr>
            <w:tcW w:w="825" w:type="dxa"/>
          </w:tcPr>
          <w:p>
            <w:pPr>
              <w:pStyle w:val="TableParagraph"/>
              <w:spacing w:before="17"/>
              <w:ind w:right="78"/>
              <w:jc w:val="right"/>
              <w:rPr>
                <w:sz w:val="13"/>
              </w:rPr>
            </w:pPr>
            <w:r>
              <w:rPr>
                <w:w w:val="105"/>
                <w:sz w:val="13"/>
              </w:rPr>
              <w:t>3.765,50</w:t>
            </w:r>
          </w:p>
        </w:tc>
        <w:tc>
          <w:tcPr>
            <w:tcW w:w="827" w:type="dxa"/>
            <w:tcBorders>
              <w:right w:val="single" w:sz="4" w:space="0" w:color="000000"/>
            </w:tcBorders>
          </w:tcPr>
          <w:p>
            <w:pPr>
              <w:pStyle w:val="TableParagraph"/>
              <w:spacing w:before="17"/>
              <w:ind w:right="43"/>
              <w:jc w:val="right"/>
              <w:rPr>
                <w:sz w:val="13"/>
              </w:rPr>
            </w:pPr>
            <w:r>
              <w:rPr>
                <w:sz w:val="13"/>
              </w:rPr>
              <w:t>53,60</w:t>
            </w:r>
          </w:p>
        </w:tc>
      </w:tr>
      <w:tr>
        <w:trPr>
          <w:trHeight w:val="201" w:hRule="atLeast"/>
        </w:trPr>
        <w:tc>
          <w:tcPr>
            <w:tcW w:w="2704" w:type="dxa"/>
            <w:tcBorders>
              <w:left w:val="single" w:sz="4" w:space="0" w:color="000000"/>
            </w:tcBorders>
          </w:tcPr>
          <w:p>
            <w:pPr>
              <w:pStyle w:val="TableParagraph"/>
              <w:spacing w:before="10"/>
              <w:ind w:left="59"/>
              <w:rPr>
                <w:sz w:val="13"/>
              </w:rPr>
            </w:pPr>
            <w:r>
              <w:rPr>
                <w:w w:val="105"/>
                <w:sz w:val="13"/>
              </w:rPr>
              <w:t>Ingresos patrimoniales</w:t>
            </w:r>
          </w:p>
        </w:tc>
        <w:tc>
          <w:tcPr>
            <w:tcW w:w="674" w:type="dxa"/>
          </w:tcPr>
          <w:p>
            <w:pPr>
              <w:pStyle w:val="TableParagraph"/>
              <w:spacing w:before="10"/>
              <w:ind w:right="77"/>
              <w:jc w:val="right"/>
              <w:rPr>
                <w:sz w:val="13"/>
              </w:rPr>
            </w:pPr>
            <w:r>
              <w:rPr>
                <w:sz w:val="13"/>
              </w:rPr>
              <w:t>3,00</w:t>
            </w:r>
          </w:p>
        </w:tc>
        <w:tc>
          <w:tcPr>
            <w:tcW w:w="1143" w:type="dxa"/>
          </w:tcPr>
          <w:p>
            <w:pPr>
              <w:pStyle w:val="TableParagraph"/>
              <w:spacing w:before="10"/>
              <w:ind w:right="149"/>
              <w:jc w:val="right"/>
              <w:rPr>
                <w:sz w:val="13"/>
              </w:rPr>
            </w:pPr>
            <w:r>
              <w:rPr>
                <w:sz w:val="13"/>
              </w:rPr>
              <w:t>0,00</w:t>
            </w:r>
          </w:p>
        </w:tc>
        <w:tc>
          <w:tcPr>
            <w:tcW w:w="985" w:type="dxa"/>
          </w:tcPr>
          <w:p>
            <w:pPr>
              <w:pStyle w:val="TableParagraph"/>
              <w:spacing w:before="10"/>
              <w:ind w:right="93"/>
              <w:jc w:val="right"/>
              <w:rPr>
                <w:sz w:val="13"/>
              </w:rPr>
            </w:pPr>
            <w:r>
              <w:rPr>
                <w:sz w:val="13"/>
              </w:rPr>
              <w:t>3,00</w:t>
            </w:r>
          </w:p>
        </w:tc>
        <w:tc>
          <w:tcPr>
            <w:tcW w:w="938" w:type="dxa"/>
          </w:tcPr>
          <w:p>
            <w:pPr>
              <w:pStyle w:val="TableParagraph"/>
              <w:spacing w:before="10"/>
              <w:ind w:right="69"/>
              <w:jc w:val="right"/>
              <w:rPr>
                <w:sz w:val="13"/>
              </w:rPr>
            </w:pPr>
            <w:r>
              <w:rPr>
                <w:sz w:val="13"/>
              </w:rPr>
              <w:t>3,50</w:t>
            </w:r>
          </w:p>
        </w:tc>
        <w:tc>
          <w:tcPr>
            <w:tcW w:w="825" w:type="dxa"/>
          </w:tcPr>
          <w:p>
            <w:pPr>
              <w:pStyle w:val="TableParagraph"/>
              <w:spacing w:before="10"/>
              <w:ind w:right="78"/>
              <w:jc w:val="right"/>
              <w:rPr>
                <w:sz w:val="13"/>
              </w:rPr>
            </w:pPr>
            <w:r>
              <w:rPr>
                <w:sz w:val="13"/>
              </w:rPr>
              <w:t>3,50</w:t>
            </w:r>
          </w:p>
        </w:tc>
        <w:tc>
          <w:tcPr>
            <w:tcW w:w="827" w:type="dxa"/>
            <w:tcBorders>
              <w:right w:val="single" w:sz="4" w:space="0" w:color="000000"/>
            </w:tcBorders>
          </w:tcPr>
          <w:p>
            <w:pPr>
              <w:pStyle w:val="TableParagraph"/>
              <w:spacing w:before="10"/>
              <w:ind w:right="43"/>
              <w:jc w:val="right"/>
              <w:rPr>
                <w:sz w:val="13"/>
              </w:rPr>
            </w:pPr>
            <w:r>
              <w:rPr>
                <w:sz w:val="13"/>
              </w:rPr>
              <w:t>0,00</w:t>
            </w:r>
          </w:p>
        </w:tc>
      </w:tr>
      <w:tr>
        <w:trPr>
          <w:trHeight w:val="201" w:hRule="atLeast"/>
        </w:trPr>
        <w:tc>
          <w:tcPr>
            <w:tcW w:w="2704" w:type="dxa"/>
            <w:tcBorders>
              <w:left w:val="single" w:sz="4" w:space="0" w:color="000000"/>
            </w:tcBorders>
          </w:tcPr>
          <w:p>
            <w:pPr>
              <w:pStyle w:val="TableParagraph"/>
              <w:spacing w:before="10"/>
              <w:ind w:left="59"/>
              <w:rPr>
                <w:sz w:val="13"/>
              </w:rPr>
            </w:pPr>
            <w:r>
              <w:rPr>
                <w:w w:val="105"/>
                <w:sz w:val="13"/>
              </w:rPr>
              <w:t>Enajenaciones inversiones reales</w:t>
            </w:r>
          </w:p>
        </w:tc>
        <w:tc>
          <w:tcPr>
            <w:tcW w:w="674" w:type="dxa"/>
          </w:tcPr>
          <w:p>
            <w:pPr>
              <w:pStyle w:val="TableParagraph"/>
              <w:spacing w:before="10"/>
              <w:ind w:right="77"/>
              <w:jc w:val="right"/>
              <w:rPr>
                <w:sz w:val="13"/>
              </w:rPr>
            </w:pPr>
            <w:r>
              <w:rPr>
                <w:sz w:val="13"/>
              </w:rPr>
              <w:t>0,50</w:t>
            </w:r>
          </w:p>
        </w:tc>
        <w:tc>
          <w:tcPr>
            <w:tcW w:w="1143" w:type="dxa"/>
          </w:tcPr>
          <w:p>
            <w:pPr>
              <w:pStyle w:val="TableParagraph"/>
              <w:spacing w:before="10"/>
              <w:ind w:right="149"/>
              <w:jc w:val="right"/>
              <w:rPr>
                <w:sz w:val="13"/>
              </w:rPr>
            </w:pPr>
            <w:r>
              <w:rPr>
                <w:sz w:val="13"/>
              </w:rPr>
              <w:t>0,00</w:t>
            </w:r>
          </w:p>
        </w:tc>
        <w:tc>
          <w:tcPr>
            <w:tcW w:w="985" w:type="dxa"/>
          </w:tcPr>
          <w:p>
            <w:pPr>
              <w:pStyle w:val="TableParagraph"/>
              <w:spacing w:before="10"/>
              <w:ind w:right="93"/>
              <w:jc w:val="right"/>
              <w:rPr>
                <w:sz w:val="13"/>
              </w:rPr>
            </w:pPr>
            <w:r>
              <w:rPr>
                <w:sz w:val="13"/>
              </w:rPr>
              <w:t>0,50</w:t>
            </w:r>
          </w:p>
        </w:tc>
        <w:tc>
          <w:tcPr>
            <w:tcW w:w="938" w:type="dxa"/>
          </w:tcPr>
          <w:p>
            <w:pPr>
              <w:pStyle w:val="TableParagraph"/>
              <w:spacing w:before="10"/>
              <w:ind w:right="69"/>
              <w:jc w:val="right"/>
              <w:rPr>
                <w:sz w:val="13"/>
              </w:rPr>
            </w:pPr>
            <w:r>
              <w:rPr>
                <w:sz w:val="13"/>
              </w:rPr>
              <w:t>0,00</w:t>
            </w:r>
          </w:p>
        </w:tc>
        <w:tc>
          <w:tcPr>
            <w:tcW w:w="825" w:type="dxa"/>
          </w:tcPr>
          <w:p>
            <w:pPr>
              <w:pStyle w:val="TableParagraph"/>
              <w:spacing w:before="10"/>
              <w:ind w:right="78"/>
              <w:jc w:val="right"/>
              <w:rPr>
                <w:sz w:val="13"/>
              </w:rPr>
            </w:pPr>
            <w:r>
              <w:rPr>
                <w:sz w:val="13"/>
              </w:rPr>
              <w:t>0,00</w:t>
            </w:r>
          </w:p>
        </w:tc>
        <w:tc>
          <w:tcPr>
            <w:tcW w:w="827" w:type="dxa"/>
            <w:tcBorders>
              <w:right w:val="single" w:sz="4" w:space="0" w:color="000000"/>
            </w:tcBorders>
          </w:tcPr>
          <w:p>
            <w:pPr>
              <w:pStyle w:val="TableParagraph"/>
              <w:spacing w:before="10"/>
              <w:ind w:right="43"/>
              <w:jc w:val="right"/>
              <w:rPr>
                <w:sz w:val="13"/>
              </w:rPr>
            </w:pPr>
            <w:r>
              <w:rPr>
                <w:sz w:val="13"/>
              </w:rPr>
              <w:t>0,00</w:t>
            </w:r>
          </w:p>
        </w:tc>
      </w:tr>
      <w:tr>
        <w:trPr>
          <w:trHeight w:val="190" w:hRule="atLeast"/>
        </w:trPr>
        <w:tc>
          <w:tcPr>
            <w:tcW w:w="2704" w:type="dxa"/>
            <w:tcBorders>
              <w:left w:val="single" w:sz="4" w:space="0" w:color="000000"/>
            </w:tcBorders>
          </w:tcPr>
          <w:p>
            <w:pPr>
              <w:pStyle w:val="TableParagraph"/>
              <w:spacing w:before="10"/>
              <w:ind w:left="59"/>
              <w:rPr>
                <w:sz w:val="13"/>
              </w:rPr>
            </w:pPr>
            <w:r>
              <w:rPr>
                <w:w w:val="105"/>
                <w:sz w:val="13"/>
              </w:rPr>
              <w:t>Transferencias de capital</w:t>
            </w:r>
          </w:p>
        </w:tc>
        <w:tc>
          <w:tcPr>
            <w:tcW w:w="674" w:type="dxa"/>
          </w:tcPr>
          <w:p>
            <w:pPr>
              <w:pStyle w:val="TableParagraph"/>
              <w:spacing w:before="10"/>
              <w:ind w:right="77"/>
              <w:jc w:val="right"/>
              <w:rPr>
                <w:sz w:val="13"/>
              </w:rPr>
            </w:pPr>
            <w:r>
              <w:rPr>
                <w:sz w:val="13"/>
              </w:rPr>
              <w:t>433,20</w:t>
            </w:r>
          </w:p>
        </w:tc>
        <w:tc>
          <w:tcPr>
            <w:tcW w:w="1143" w:type="dxa"/>
          </w:tcPr>
          <w:p>
            <w:pPr>
              <w:pStyle w:val="TableParagraph"/>
              <w:spacing w:before="10"/>
              <w:ind w:right="149"/>
              <w:jc w:val="right"/>
              <w:rPr>
                <w:sz w:val="13"/>
              </w:rPr>
            </w:pPr>
            <w:r>
              <w:rPr>
                <w:sz w:val="13"/>
              </w:rPr>
              <w:t>4,80</w:t>
            </w:r>
          </w:p>
        </w:tc>
        <w:tc>
          <w:tcPr>
            <w:tcW w:w="985" w:type="dxa"/>
          </w:tcPr>
          <w:p>
            <w:pPr>
              <w:pStyle w:val="TableParagraph"/>
              <w:spacing w:before="10"/>
              <w:ind w:right="93"/>
              <w:jc w:val="right"/>
              <w:rPr>
                <w:sz w:val="13"/>
              </w:rPr>
            </w:pPr>
            <w:r>
              <w:rPr>
                <w:sz w:val="13"/>
              </w:rPr>
              <w:t>438,00</w:t>
            </w:r>
          </w:p>
        </w:tc>
        <w:tc>
          <w:tcPr>
            <w:tcW w:w="938" w:type="dxa"/>
          </w:tcPr>
          <w:p>
            <w:pPr>
              <w:pStyle w:val="TableParagraph"/>
              <w:spacing w:before="10"/>
              <w:ind w:right="69"/>
              <w:jc w:val="right"/>
              <w:rPr>
                <w:sz w:val="13"/>
              </w:rPr>
            </w:pPr>
            <w:r>
              <w:rPr>
                <w:sz w:val="13"/>
              </w:rPr>
              <w:t>280,00</w:t>
            </w:r>
          </w:p>
        </w:tc>
        <w:tc>
          <w:tcPr>
            <w:tcW w:w="825" w:type="dxa"/>
          </w:tcPr>
          <w:p>
            <w:pPr>
              <w:pStyle w:val="TableParagraph"/>
              <w:spacing w:before="10"/>
              <w:ind w:right="78"/>
              <w:jc w:val="right"/>
              <w:rPr>
                <w:sz w:val="13"/>
              </w:rPr>
            </w:pPr>
            <w:r>
              <w:rPr>
                <w:sz w:val="13"/>
              </w:rPr>
              <w:t>166,20</w:t>
            </w:r>
          </w:p>
        </w:tc>
        <w:tc>
          <w:tcPr>
            <w:tcW w:w="827" w:type="dxa"/>
            <w:tcBorders>
              <w:right w:val="single" w:sz="4" w:space="0" w:color="000000"/>
            </w:tcBorders>
          </w:tcPr>
          <w:p>
            <w:pPr>
              <w:pStyle w:val="TableParagraph"/>
              <w:spacing w:before="10"/>
              <w:ind w:right="43"/>
              <w:jc w:val="right"/>
              <w:rPr>
                <w:sz w:val="13"/>
              </w:rPr>
            </w:pPr>
            <w:r>
              <w:rPr>
                <w:sz w:val="13"/>
              </w:rPr>
              <w:t>113,80</w:t>
            </w:r>
          </w:p>
        </w:tc>
      </w:tr>
      <w:tr>
        <w:trPr>
          <w:trHeight w:val="325" w:hRule="atLeast"/>
        </w:trPr>
        <w:tc>
          <w:tcPr>
            <w:tcW w:w="2704" w:type="dxa"/>
            <w:tcBorders>
              <w:left w:val="single" w:sz="4" w:space="0" w:color="000000"/>
              <w:bottom w:val="single" w:sz="4" w:space="0" w:color="000000"/>
            </w:tcBorders>
            <w:shd w:val="clear" w:color="auto" w:fill="D9D9D9"/>
          </w:tcPr>
          <w:p>
            <w:pPr>
              <w:pStyle w:val="TableParagraph"/>
              <w:spacing w:before="83"/>
              <w:ind w:right="102"/>
              <w:jc w:val="right"/>
              <w:rPr>
                <w:b/>
                <w:sz w:val="13"/>
              </w:rPr>
            </w:pPr>
            <w:r>
              <w:rPr>
                <w:b/>
                <w:w w:val="105"/>
                <w:sz w:val="13"/>
              </w:rPr>
              <w:t>Total operaciones no financieras 2019</w:t>
            </w:r>
          </w:p>
        </w:tc>
        <w:tc>
          <w:tcPr>
            <w:tcW w:w="674" w:type="dxa"/>
            <w:tcBorders>
              <w:bottom w:val="single" w:sz="4" w:space="0" w:color="000000"/>
            </w:tcBorders>
            <w:shd w:val="clear" w:color="auto" w:fill="D9D9D9"/>
          </w:tcPr>
          <w:p>
            <w:pPr>
              <w:pStyle w:val="TableParagraph"/>
              <w:spacing w:before="83"/>
              <w:ind w:right="77"/>
              <w:jc w:val="right"/>
              <w:rPr>
                <w:b/>
                <w:sz w:val="13"/>
              </w:rPr>
            </w:pPr>
            <w:r>
              <w:rPr>
                <w:b/>
                <w:w w:val="105"/>
                <w:sz w:val="13"/>
              </w:rPr>
              <w:t>7.628,30</w:t>
            </w:r>
          </w:p>
        </w:tc>
        <w:tc>
          <w:tcPr>
            <w:tcW w:w="1143" w:type="dxa"/>
            <w:tcBorders>
              <w:bottom w:val="single" w:sz="4" w:space="0" w:color="000000"/>
            </w:tcBorders>
            <w:shd w:val="clear" w:color="auto" w:fill="D9D9D9"/>
          </w:tcPr>
          <w:p>
            <w:pPr>
              <w:pStyle w:val="TableParagraph"/>
              <w:spacing w:before="83"/>
              <w:ind w:right="149"/>
              <w:jc w:val="right"/>
              <w:rPr>
                <w:b/>
                <w:sz w:val="13"/>
              </w:rPr>
            </w:pPr>
            <w:r>
              <w:rPr>
                <w:b/>
                <w:w w:val="105"/>
                <w:sz w:val="13"/>
              </w:rPr>
              <w:t>82,80</w:t>
            </w:r>
          </w:p>
        </w:tc>
        <w:tc>
          <w:tcPr>
            <w:tcW w:w="985" w:type="dxa"/>
            <w:tcBorders>
              <w:bottom w:val="single" w:sz="4" w:space="0" w:color="000000"/>
            </w:tcBorders>
            <w:shd w:val="clear" w:color="auto" w:fill="D9D9D9"/>
          </w:tcPr>
          <w:p>
            <w:pPr>
              <w:pStyle w:val="TableParagraph"/>
              <w:spacing w:before="83"/>
              <w:ind w:right="93"/>
              <w:jc w:val="right"/>
              <w:rPr>
                <w:b/>
                <w:sz w:val="13"/>
              </w:rPr>
            </w:pPr>
            <w:r>
              <w:rPr>
                <w:b/>
                <w:w w:val="105"/>
                <w:sz w:val="13"/>
              </w:rPr>
              <w:t>7.711,10</w:t>
            </w:r>
          </w:p>
        </w:tc>
        <w:tc>
          <w:tcPr>
            <w:tcW w:w="938" w:type="dxa"/>
            <w:tcBorders>
              <w:bottom w:val="single" w:sz="4" w:space="0" w:color="000000"/>
            </w:tcBorders>
            <w:shd w:val="clear" w:color="auto" w:fill="D9D9D9"/>
          </w:tcPr>
          <w:p>
            <w:pPr>
              <w:pStyle w:val="TableParagraph"/>
              <w:spacing w:before="83"/>
              <w:ind w:right="69"/>
              <w:jc w:val="right"/>
              <w:rPr>
                <w:b/>
                <w:sz w:val="13"/>
              </w:rPr>
            </w:pPr>
            <w:r>
              <w:rPr>
                <w:b/>
                <w:w w:val="105"/>
                <w:sz w:val="13"/>
              </w:rPr>
              <w:t>7.417,40</w:t>
            </w:r>
          </w:p>
        </w:tc>
        <w:tc>
          <w:tcPr>
            <w:tcW w:w="825" w:type="dxa"/>
            <w:tcBorders>
              <w:bottom w:val="single" w:sz="4" w:space="0" w:color="000000"/>
            </w:tcBorders>
            <w:shd w:val="clear" w:color="auto" w:fill="D9D9D9"/>
          </w:tcPr>
          <w:p>
            <w:pPr>
              <w:pStyle w:val="TableParagraph"/>
              <w:spacing w:before="83"/>
              <w:ind w:right="78"/>
              <w:jc w:val="right"/>
              <w:rPr>
                <w:b/>
                <w:sz w:val="13"/>
              </w:rPr>
            </w:pPr>
            <w:r>
              <w:rPr>
                <w:b/>
                <w:w w:val="105"/>
                <w:sz w:val="13"/>
              </w:rPr>
              <w:t>7.221,90</w:t>
            </w:r>
          </w:p>
        </w:tc>
        <w:tc>
          <w:tcPr>
            <w:tcW w:w="827" w:type="dxa"/>
            <w:tcBorders>
              <w:bottom w:val="single" w:sz="4" w:space="0" w:color="000000"/>
              <w:right w:val="single" w:sz="4" w:space="0" w:color="000000"/>
            </w:tcBorders>
            <w:shd w:val="clear" w:color="auto" w:fill="D9D9D9"/>
          </w:tcPr>
          <w:p>
            <w:pPr>
              <w:pStyle w:val="TableParagraph"/>
              <w:spacing w:before="83"/>
              <w:ind w:right="43"/>
              <w:jc w:val="right"/>
              <w:rPr>
                <w:b/>
                <w:sz w:val="13"/>
              </w:rPr>
            </w:pPr>
            <w:r>
              <w:rPr>
                <w:b/>
                <w:sz w:val="13"/>
              </w:rPr>
              <w:t>195,50</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rPr>
      </w:pPr>
    </w:p>
    <w:p>
      <w:pPr>
        <w:pStyle w:val="BodyText"/>
        <w:spacing w:before="61"/>
        <w:ind w:left="7794"/>
        <w:jc w:val="center"/>
      </w:pPr>
      <w:r>
        <w:rPr/>
        <w:t>169</w:t>
      </w:r>
    </w:p>
    <w:p>
      <w:pPr>
        <w:pStyle w:val="Heading1"/>
        <w:spacing w:before="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9"/>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357" name="image5.png"/>
                  <wp:cNvGraphicFramePr>
                    <a:graphicFrameLocks noChangeAspect="1"/>
                  </wp:cNvGraphicFramePr>
                  <a:graphic>
                    <a:graphicData uri="http://schemas.openxmlformats.org/drawingml/2006/picture">
                      <pic:pic>
                        <pic:nvPicPr>
                          <pic:cNvPr id="358"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03"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171/247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headerReference w:type="default" r:id="rId28"/>
          <w:footerReference w:type="default" r:id="rId29"/>
          <w:pgSz w:w="11900" w:h="16840"/>
          <w:pgMar w:header="0" w:footer="0" w:top="860" w:bottom="280" w:left="760" w:right="760"/>
        </w:sectPr>
      </w:pPr>
    </w:p>
    <w:p>
      <w:pPr>
        <w:pStyle w:val="BodyText"/>
        <w:spacing w:before="10"/>
        <w:rPr>
          <w:b/>
          <w:sz w:val="16"/>
        </w:rPr>
      </w:pPr>
    </w:p>
    <w:p>
      <w:pPr>
        <w:spacing w:line="247" w:lineRule="auto" w:before="69"/>
        <w:ind w:left="2489" w:right="2483" w:hanging="448"/>
        <w:jc w:val="left"/>
        <w:rPr>
          <w:b/>
          <w:sz w:val="18"/>
        </w:rPr>
      </w:pPr>
      <w:r>
        <w:rPr>
          <w:b/>
          <w:color w:val="53A1B9"/>
          <w:w w:val="105"/>
          <w:sz w:val="18"/>
        </w:rPr>
        <w:t>10.3</w:t>
      </w:r>
      <w:r>
        <w:rPr>
          <w:b/>
          <w:color w:val="53A1B9"/>
          <w:spacing w:val="6"/>
          <w:w w:val="105"/>
          <w:sz w:val="18"/>
        </w:rPr>
        <w:t> </w:t>
      </w:r>
      <w:r>
        <w:rPr>
          <w:b/>
          <w:color w:val="53A1B9"/>
          <w:w w:val="105"/>
          <w:sz w:val="18"/>
        </w:rPr>
        <w:t>Anexo</w:t>
      </w:r>
      <w:r>
        <w:rPr>
          <w:b/>
          <w:color w:val="53A1B9"/>
          <w:spacing w:val="-9"/>
          <w:w w:val="105"/>
          <w:sz w:val="18"/>
        </w:rPr>
        <w:t> </w:t>
      </w:r>
      <w:r>
        <w:rPr>
          <w:b/>
          <w:color w:val="53A1B9"/>
          <w:w w:val="105"/>
          <w:sz w:val="18"/>
        </w:rPr>
        <w:t>III.</w:t>
      </w:r>
      <w:r>
        <w:rPr>
          <w:b/>
          <w:color w:val="53A1B9"/>
          <w:spacing w:val="-9"/>
          <w:w w:val="105"/>
          <w:sz w:val="18"/>
        </w:rPr>
        <w:t> </w:t>
      </w:r>
      <w:r>
        <w:rPr>
          <w:b/>
          <w:color w:val="53A1B9"/>
          <w:w w:val="105"/>
          <w:sz w:val="18"/>
        </w:rPr>
        <w:t>Pendientes</w:t>
      </w:r>
      <w:r>
        <w:rPr>
          <w:b/>
          <w:color w:val="53A1B9"/>
          <w:spacing w:val="-9"/>
          <w:w w:val="105"/>
          <w:sz w:val="18"/>
        </w:rPr>
        <w:t> </w:t>
      </w:r>
      <w:r>
        <w:rPr>
          <w:b/>
          <w:color w:val="53A1B9"/>
          <w:w w:val="105"/>
          <w:sz w:val="18"/>
        </w:rPr>
        <w:t>de</w:t>
      </w:r>
      <w:r>
        <w:rPr>
          <w:b/>
          <w:color w:val="53A1B9"/>
          <w:spacing w:val="-12"/>
          <w:w w:val="105"/>
          <w:sz w:val="18"/>
        </w:rPr>
        <w:t> </w:t>
      </w:r>
      <w:r>
        <w:rPr>
          <w:b/>
          <w:color w:val="53A1B9"/>
          <w:w w:val="105"/>
          <w:sz w:val="18"/>
        </w:rPr>
        <w:t>cobros</w:t>
      </w:r>
      <w:r>
        <w:rPr>
          <w:b/>
          <w:color w:val="53A1B9"/>
          <w:spacing w:val="-9"/>
          <w:w w:val="105"/>
          <w:sz w:val="18"/>
        </w:rPr>
        <w:t> </w:t>
      </w:r>
      <w:r>
        <w:rPr>
          <w:b/>
          <w:color w:val="53A1B9"/>
          <w:w w:val="105"/>
          <w:sz w:val="18"/>
        </w:rPr>
        <w:t>presupuestario</w:t>
      </w:r>
      <w:r>
        <w:rPr>
          <w:b/>
          <w:color w:val="53A1B9"/>
          <w:spacing w:val="-9"/>
          <w:w w:val="105"/>
          <w:sz w:val="18"/>
        </w:rPr>
        <w:t> </w:t>
      </w:r>
      <w:r>
        <w:rPr>
          <w:b/>
          <w:color w:val="53A1B9"/>
          <w:w w:val="105"/>
          <w:sz w:val="18"/>
        </w:rPr>
        <w:t>capítulos</w:t>
      </w:r>
      <w:r>
        <w:rPr>
          <w:b/>
          <w:color w:val="53A1B9"/>
          <w:spacing w:val="-10"/>
          <w:w w:val="105"/>
          <w:sz w:val="18"/>
        </w:rPr>
        <w:t> </w:t>
      </w:r>
      <w:r>
        <w:rPr>
          <w:b/>
          <w:color w:val="53A1B9"/>
          <w:w w:val="105"/>
          <w:sz w:val="18"/>
        </w:rPr>
        <w:t>I</w:t>
      </w:r>
      <w:r>
        <w:rPr>
          <w:b/>
          <w:color w:val="53A1B9"/>
          <w:spacing w:val="-9"/>
          <w:w w:val="105"/>
          <w:sz w:val="18"/>
        </w:rPr>
        <w:t> </w:t>
      </w:r>
      <w:r>
        <w:rPr>
          <w:b/>
          <w:color w:val="53A1B9"/>
          <w:w w:val="105"/>
          <w:sz w:val="18"/>
        </w:rPr>
        <w:t>a</w:t>
      </w:r>
      <w:r>
        <w:rPr>
          <w:b/>
          <w:color w:val="53A1B9"/>
          <w:spacing w:val="-12"/>
          <w:w w:val="105"/>
          <w:sz w:val="18"/>
        </w:rPr>
        <w:t> </w:t>
      </w:r>
      <w:r>
        <w:rPr>
          <w:b/>
          <w:color w:val="53A1B9"/>
          <w:w w:val="105"/>
          <w:sz w:val="18"/>
        </w:rPr>
        <w:t>III</w:t>
      </w:r>
      <w:r>
        <w:rPr>
          <w:b/>
          <w:color w:val="53A1B9"/>
          <w:spacing w:val="-10"/>
          <w:w w:val="105"/>
          <w:sz w:val="18"/>
        </w:rPr>
        <w:t> </w:t>
      </w:r>
      <w:r>
        <w:rPr>
          <w:b/>
          <w:color w:val="53A1B9"/>
          <w:w w:val="105"/>
          <w:sz w:val="18"/>
        </w:rPr>
        <w:t>de</w:t>
      </w:r>
      <w:r>
        <w:rPr>
          <w:b/>
          <w:color w:val="53A1B9"/>
          <w:spacing w:val="-10"/>
          <w:w w:val="105"/>
          <w:sz w:val="18"/>
        </w:rPr>
        <w:t> </w:t>
      </w:r>
      <w:r>
        <w:rPr>
          <w:b/>
          <w:color w:val="53A1B9"/>
          <w:w w:val="105"/>
          <w:sz w:val="18"/>
        </w:rPr>
        <w:t>presupuesto</w:t>
      </w:r>
      <w:r>
        <w:rPr>
          <w:b/>
          <w:color w:val="53A1B9"/>
          <w:spacing w:val="-10"/>
          <w:w w:val="105"/>
          <w:sz w:val="18"/>
        </w:rPr>
        <w:t> </w:t>
      </w:r>
      <w:r>
        <w:rPr>
          <w:b/>
          <w:color w:val="53A1B9"/>
          <w:w w:val="105"/>
          <w:sz w:val="18"/>
        </w:rPr>
        <w:t>corriente</w:t>
      </w:r>
      <w:r>
        <w:rPr>
          <w:b/>
          <w:color w:val="53A1B9"/>
          <w:spacing w:val="-9"/>
          <w:w w:val="105"/>
          <w:sz w:val="18"/>
        </w:rPr>
        <w:t> </w:t>
      </w:r>
      <w:r>
        <w:rPr>
          <w:b/>
          <w:color w:val="53A1B9"/>
          <w:w w:val="105"/>
          <w:sz w:val="18"/>
        </w:rPr>
        <w:t>y</w:t>
      </w:r>
      <w:r>
        <w:rPr>
          <w:b/>
          <w:color w:val="53A1B9"/>
          <w:spacing w:val="-10"/>
          <w:w w:val="105"/>
          <w:sz w:val="18"/>
        </w:rPr>
        <w:t> </w:t>
      </w:r>
      <w:r>
        <w:rPr>
          <w:b/>
          <w:color w:val="53A1B9"/>
          <w:w w:val="105"/>
          <w:sz w:val="18"/>
        </w:rPr>
        <w:t>cerrado</w:t>
      </w:r>
      <w:r>
        <w:rPr>
          <w:b/>
          <w:color w:val="53A1B9"/>
          <w:spacing w:val="-9"/>
          <w:w w:val="105"/>
          <w:sz w:val="18"/>
        </w:rPr>
        <w:t> </w:t>
      </w:r>
      <w:r>
        <w:rPr>
          <w:b/>
          <w:color w:val="53A1B9"/>
          <w:w w:val="105"/>
          <w:sz w:val="18"/>
        </w:rPr>
        <w:t>y</w:t>
      </w:r>
      <w:r>
        <w:rPr>
          <w:b/>
          <w:color w:val="53A1B9"/>
          <w:spacing w:val="-10"/>
          <w:w w:val="105"/>
          <w:sz w:val="18"/>
        </w:rPr>
        <w:t> </w:t>
      </w:r>
      <w:r>
        <w:rPr>
          <w:b/>
          <w:color w:val="53A1B9"/>
          <w:w w:val="105"/>
          <w:sz w:val="18"/>
        </w:rPr>
        <w:t>por</w:t>
      </w:r>
      <w:r>
        <w:rPr>
          <w:b/>
          <w:color w:val="53A1B9"/>
          <w:spacing w:val="-9"/>
          <w:w w:val="105"/>
          <w:sz w:val="18"/>
        </w:rPr>
        <w:t> </w:t>
      </w:r>
      <w:r>
        <w:rPr>
          <w:b/>
          <w:color w:val="53A1B9"/>
          <w:w w:val="105"/>
          <w:sz w:val="18"/>
        </w:rPr>
        <w:t>estado</w:t>
      </w:r>
      <w:r>
        <w:rPr>
          <w:b/>
          <w:color w:val="53A1B9"/>
          <w:spacing w:val="-9"/>
          <w:w w:val="105"/>
          <w:sz w:val="18"/>
        </w:rPr>
        <w:t> </w:t>
      </w:r>
      <w:r>
        <w:rPr>
          <w:b/>
          <w:color w:val="53A1B9"/>
          <w:w w:val="105"/>
          <w:sz w:val="18"/>
        </w:rPr>
        <w:t>de</w:t>
      </w:r>
      <w:r>
        <w:rPr>
          <w:b/>
          <w:color w:val="53A1B9"/>
          <w:spacing w:val="-10"/>
          <w:w w:val="105"/>
          <w:sz w:val="18"/>
        </w:rPr>
        <w:t> </w:t>
      </w:r>
      <w:r>
        <w:rPr>
          <w:b/>
          <w:color w:val="53A1B9"/>
          <w:w w:val="105"/>
          <w:sz w:val="18"/>
        </w:rPr>
        <w:t>la</w:t>
      </w:r>
      <w:r>
        <w:rPr>
          <w:b/>
          <w:color w:val="53A1B9"/>
          <w:spacing w:val="-10"/>
          <w:w w:val="105"/>
          <w:sz w:val="18"/>
        </w:rPr>
        <w:t> </w:t>
      </w:r>
      <w:r>
        <w:rPr>
          <w:b/>
          <w:color w:val="53A1B9"/>
          <w:w w:val="105"/>
          <w:sz w:val="18"/>
        </w:rPr>
        <w:t>deuda, voluntaria y</w:t>
      </w:r>
      <w:r>
        <w:rPr>
          <w:b/>
          <w:color w:val="53A1B9"/>
          <w:spacing w:val="-3"/>
          <w:w w:val="105"/>
          <w:sz w:val="18"/>
        </w:rPr>
        <w:t> </w:t>
      </w:r>
      <w:r>
        <w:rPr>
          <w:b/>
          <w:color w:val="53A1B9"/>
          <w:w w:val="105"/>
          <w:sz w:val="18"/>
        </w:rPr>
        <w:t>ejecutiva.</w:t>
      </w:r>
    </w:p>
    <w:tbl>
      <w:tblPr>
        <w:tblW w:w="0" w:type="auto"/>
        <w:jc w:val="left"/>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2"/>
        <w:gridCol w:w="1551"/>
        <w:gridCol w:w="773"/>
        <w:gridCol w:w="775"/>
        <w:gridCol w:w="773"/>
        <w:gridCol w:w="900"/>
        <w:gridCol w:w="775"/>
        <w:gridCol w:w="898"/>
        <w:gridCol w:w="838"/>
        <w:gridCol w:w="836"/>
        <w:gridCol w:w="836"/>
        <w:gridCol w:w="836"/>
        <w:gridCol w:w="899"/>
        <w:gridCol w:w="836"/>
      </w:tblGrid>
      <w:tr>
        <w:trPr>
          <w:trHeight w:val="131" w:hRule="atLeast"/>
        </w:trPr>
        <w:tc>
          <w:tcPr>
            <w:tcW w:w="2203" w:type="dxa"/>
            <w:gridSpan w:val="2"/>
            <w:vMerge w:val="restart"/>
            <w:tcBorders>
              <w:bottom w:val="single" w:sz="4" w:space="0" w:color="000000"/>
              <w:right w:val="single" w:sz="4" w:space="0" w:color="000000"/>
            </w:tcBorders>
          </w:tcPr>
          <w:p>
            <w:pPr>
              <w:pStyle w:val="TableParagraph"/>
              <w:rPr>
                <w:b/>
                <w:sz w:val="11"/>
              </w:rPr>
            </w:pPr>
          </w:p>
          <w:p>
            <w:pPr>
              <w:pStyle w:val="TableParagraph"/>
              <w:spacing w:line="117" w:lineRule="exact"/>
              <w:ind w:left="971" w:right="963"/>
              <w:jc w:val="center"/>
              <w:rPr>
                <w:b/>
                <w:sz w:val="11"/>
              </w:rPr>
            </w:pPr>
            <w:r>
              <w:rPr>
                <w:b/>
                <w:sz w:val="11"/>
              </w:rPr>
              <w:t>2022</w:t>
            </w:r>
          </w:p>
        </w:tc>
        <w:tc>
          <w:tcPr>
            <w:tcW w:w="4894" w:type="dxa"/>
            <w:gridSpan w:val="6"/>
            <w:tcBorders>
              <w:top w:val="single" w:sz="4" w:space="0" w:color="000000"/>
              <w:left w:val="single" w:sz="4" w:space="0" w:color="000000"/>
              <w:bottom w:val="single" w:sz="4" w:space="0" w:color="000000"/>
              <w:right w:val="single" w:sz="4" w:space="0" w:color="000000"/>
            </w:tcBorders>
            <w:shd w:val="clear" w:color="auto" w:fill="FBE3D5"/>
          </w:tcPr>
          <w:p>
            <w:pPr>
              <w:pStyle w:val="TableParagraph"/>
              <w:spacing w:line="112" w:lineRule="exact"/>
              <w:ind w:left="2262" w:right="2251"/>
              <w:jc w:val="center"/>
              <w:rPr>
                <w:b/>
                <w:sz w:val="11"/>
              </w:rPr>
            </w:pPr>
            <w:r>
              <w:rPr>
                <w:b/>
                <w:sz w:val="11"/>
              </w:rPr>
              <w:t>PICCAC</w:t>
            </w:r>
          </w:p>
        </w:tc>
        <w:tc>
          <w:tcPr>
            <w:tcW w:w="5081" w:type="dxa"/>
            <w:gridSpan w:val="6"/>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line="112" w:lineRule="exact"/>
              <w:ind w:left="2357" w:right="2338"/>
              <w:jc w:val="center"/>
              <w:rPr>
                <w:b/>
                <w:sz w:val="11"/>
              </w:rPr>
            </w:pPr>
            <w:r>
              <w:rPr>
                <w:b/>
                <w:sz w:val="11"/>
              </w:rPr>
              <w:t>MAGIN</w:t>
            </w:r>
          </w:p>
        </w:tc>
      </w:tr>
      <w:tr>
        <w:trPr>
          <w:trHeight w:val="129" w:hRule="atLeast"/>
        </w:trPr>
        <w:tc>
          <w:tcPr>
            <w:tcW w:w="2203" w:type="dxa"/>
            <w:gridSpan w:val="2"/>
            <w:vMerge/>
            <w:tcBorders>
              <w:top w:val="nil"/>
              <w:bottom w:val="single" w:sz="4" w:space="0" w:color="000000"/>
              <w:right w:val="single" w:sz="4" w:space="0" w:color="000000"/>
            </w:tcBorders>
          </w:tcPr>
          <w:p>
            <w:pPr>
              <w:rPr>
                <w:sz w:val="2"/>
                <w:szCs w:val="2"/>
              </w:rPr>
            </w:pPr>
          </w:p>
        </w:tc>
        <w:tc>
          <w:tcPr>
            <w:tcW w:w="2321" w:type="dxa"/>
            <w:gridSpan w:val="3"/>
            <w:tcBorders>
              <w:top w:val="single" w:sz="4" w:space="0" w:color="000000"/>
              <w:left w:val="single" w:sz="4" w:space="0" w:color="000000"/>
              <w:bottom w:val="single" w:sz="4" w:space="0" w:color="000000"/>
              <w:right w:val="single" w:sz="4" w:space="0" w:color="000000"/>
            </w:tcBorders>
            <w:shd w:val="clear" w:color="auto" w:fill="FBE3D5"/>
          </w:tcPr>
          <w:p>
            <w:pPr>
              <w:pStyle w:val="TableParagraph"/>
              <w:spacing w:line="110" w:lineRule="exact"/>
              <w:ind w:left="924" w:right="916"/>
              <w:jc w:val="center"/>
              <w:rPr>
                <w:b/>
                <w:sz w:val="11"/>
              </w:rPr>
            </w:pPr>
            <w:r>
              <w:rPr>
                <w:b/>
                <w:sz w:val="11"/>
              </w:rPr>
              <w:t>Corriente</w:t>
            </w:r>
          </w:p>
        </w:tc>
        <w:tc>
          <w:tcPr>
            <w:tcW w:w="2573" w:type="dxa"/>
            <w:gridSpan w:val="3"/>
            <w:tcBorders>
              <w:top w:val="single" w:sz="4" w:space="0" w:color="000000"/>
              <w:left w:val="single" w:sz="4" w:space="0" w:color="000000"/>
              <w:bottom w:val="single" w:sz="4" w:space="0" w:color="000000"/>
              <w:right w:val="single" w:sz="4" w:space="0" w:color="000000"/>
            </w:tcBorders>
            <w:shd w:val="clear" w:color="auto" w:fill="FBE3D5"/>
          </w:tcPr>
          <w:p>
            <w:pPr>
              <w:pStyle w:val="TableParagraph"/>
              <w:spacing w:line="110" w:lineRule="exact"/>
              <w:ind w:left="1086" w:right="1072"/>
              <w:jc w:val="center"/>
              <w:rPr>
                <w:b/>
                <w:sz w:val="11"/>
              </w:rPr>
            </w:pPr>
            <w:r>
              <w:rPr>
                <w:b/>
                <w:sz w:val="11"/>
              </w:rPr>
              <w:t>Cerrado</w:t>
            </w:r>
          </w:p>
        </w:tc>
        <w:tc>
          <w:tcPr>
            <w:tcW w:w="2510" w:type="dxa"/>
            <w:gridSpan w:val="3"/>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line="110" w:lineRule="exact"/>
              <w:ind w:left="1056" w:right="1039"/>
              <w:jc w:val="center"/>
              <w:rPr>
                <w:b/>
                <w:sz w:val="11"/>
              </w:rPr>
            </w:pPr>
            <w:r>
              <w:rPr>
                <w:b/>
                <w:sz w:val="11"/>
              </w:rPr>
              <w:t>Cerrado</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line="110" w:lineRule="exact"/>
              <w:ind w:left="1055" w:right="1034"/>
              <w:jc w:val="center"/>
              <w:rPr>
                <w:b/>
                <w:sz w:val="11"/>
              </w:rPr>
            </w:pPr>
            <w:r>
              <w:rPr>
                <w:b/>
                <w:sz w:val="11"/>
              </w:rPr>
              <w:t>Corriente</w:t>
            </w:r>
          </w:p>
        </w:tc>
      </w:tr>
      <w:tr>
        <w:trPr>
          <w:trHeight w:val="264" w:hRule="atLeast"/>
        </w:trPr>
        <w:tc>
          <w:tcPr>
            <w:tcW w:w="652"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127" w:lineRule="exact"/>
              <w:ind w:left="91"/>
              <w:rPr>
                <w:sz w:val="11"/>
              </w:rPr>
            </w:pPr>
            <w:r>
              <w:rPr>
                <w:sz w:val="11"/>
              </w:rPr>
              <w:t>Concepto/</w:t>
            </w:r>
          </w:p>
          <w:p>
            <w:pPr>
              <w:pStyle w:val="TableParagraph"/>
              <w:spacing w:line="118" w:lineRule="exact"/>
              <w:ind w:left="125"/>
              <w:rPr>
                <w:sz w:val="11"/>
              </w:rPr>
            </w:pPr>
            <w:r>
              <w:rPr>
                <w:sz w:val="11"/>
              </w:rPr>
              <w:t>Subconc.</w:t>
            </w:r>
          </w:p>
        </w:tc>
        <w:tc>
          <w:tcPr>
            <w:tcW w:w="1551"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0"/>
              <w:ind w:left="53"/>
              <w:rPr>
                <w:sz w:val="11"/>
              </w:rPr>
            </w:pPr>
            <w:r>
              <w:rPr>
                <w:sz w:val="11"/>
              </w:rPr>
              <w:t>Descripción</w:t>
            </w:r>
          </w:p>
        </w:tc>
        <w:tc>
          <w:tcPr>
            <w:tcW w:w="77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0"/>
              <w:ind w:left="180"/>
              <w:rPr>
                <w:b/>
                <w:sz w:val="11"/>
              </w:rPr>
            </w:pPr>
            <w:r>
              <w:rPr>
                <w:b/>
                <w:sz w:val="11"/>
              </w:rPr>
              <w:t>ejecutiva</w:t>
            </w:r>
          </w:p>
        </w:tc>
        <w:tc>
          <w:tcPr>
            <w:tcW w:w="77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0"/>
              <w:ind w:left="154"/>
              <w:rPr>
                <w:b/>
                <w:sz w:val="11"/>
              </w:rPr>
            </w:pPr>
            <w:r>
              <w:rPr>
                <w:b/>
                <w:sz w:val="11"/>
              </w:rPr>
              <w:t>voluntaria</w:t>
            </w:r>
          </w:p>
        </w:tc>
        <w:tc>
          <w:tcPr>
            <w:tcW w:w="77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127" w:lineRule="exact"/>
              <w:ind w:left="105" w:right="95"/>
              <w:jc w:val="center"/>
              <w:rPr>
                <w:b/>
                <w:sz w:val="11"/>
              </w:rPr>
            </w:pPr>
            <w:r>
              <w:rPr>
                <w:b/>
                <w:sz w:val="11"/>
              </w:rPr>
              <w:t>total</w:t>
            </w:r>
          </w:p>
          <w:p>
            <w:pPr>
              <w:pStyle w:val="TableParagraph"/>
              <w:spacing w:line="118" w:lineRule="exact"/>
              <w:ind w:left="105" w:right="97"/>
              <w:jc w:val="center"/>
              <w:rPr>
                <w:b/>
                <w:sz w:val="11"/>
              </w:rPr>
            </w:pPr>
            <w:r>
              <w:rPr>
                <w:b/>
                <w:sz w:val="11"/>
              </w:rPr>
              <w:t>CORRIENTE</w:t>
            </w:r>
          </w:p>
        </w:tc>
        <w:tc>
          <w:tcPr>
            <w:tcW w:w="90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0"/>
              <w:ind w:left="245"/>
              <w:rPr>
                <w:b/>
                <w:sz w:val="11"/>
              </w:rPr>
            </w:pPr>
            <w:r>
              <w:rPr>
                <w:b/>
                <w:sz w:val="11"/>
              </w:rPr>
              <w:t>ejecutiva</w:t>
            </w:r>
          </w:p>
        </w:tc>
        <w:tc>
          <w:tcPr>
            <w:tcW w:w="77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0"/>
              <w:ind w:left="156"/>
              <w:rPr>
                <w:b/>
                <w:sz w:val="11"/>
              </w:rPr>
            </w:pPr>
            <w:r>
              <w:rPr>
                <w:b/>
                <w:sz w:val="11"/>
              </w:rPr>
              <w:t>voluntaria</w:t>
            </w:r>
          </w:p>
        </w:tc>
        <w:tc>
          <w:tcPr>
            <w:tcW w:w="898"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0"/>
              <w:ind w:right="97"/>
              <w:jc w:val="right"/>
              <w:rPr>
                <w:b/>
                <w:sz w:val="11"/>
              </w:rPr>
            </w:pPr>
            <w:r>
              <w:rPr>
                <w:b/>
                <w:sz w:val="11"/>
              </w:rPr>
              <w:t>total CERRADO</w:t>
            </w:r>
          </w:p>
        </w:tc>
        <w:tc>
          <w:tcPr>
            <w:tcW w:w="838"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0"/>
              <w:ind w:left="215"/>
              <w:rPr>
                <w:b/>
                <w:sz w:val="11"/>
              </w:rPr>
            </w:pPr>
            <w:r>
              <w:rPr>
                <w:b/>
                <w:sz w:val="11"/>
              </w:rPr>
              <w:t>ejecutiva</w:t>
            </w:r>
          </w:p>
        </w:tc>
        <w:tc>
          <w:tcPr>
            <w:tcW w:w="83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0"/>
              <w:ind w:left="190"/>
              <w:rPr>
                <w:b/>
                <w:sz w:val="11"/>
              </w:rPr>
            </w:pPr>
            <w:r>
              <w:rPr>
                <w:b/>
                <w:sz w:val="11"/>
              </w:rPr>
              <w:t>voluntaria</w:t>
            </w:r>
          </w:p>
        </w:tc>
        <w:tc>
          <w:tcPr>
            <w:tcW w:w="83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0"/>
              <w:ind w:right="62"/>
              <w:jc w:val="right"/>
              <w:rPr>
                <w:b/>
                <w:sz w:val="11"/>
              </w:rPr>
            </w:pPr>
            <w:r>
              <w:rPr>
                <w:b/>
                <w:sz w:val="11"/>
              </w:rPr>
              <w:t>total CERRADO</w:t>
            </w:r>
          </w:p>
        </w:tc>
        <w:tc>
          <w:tcPr>
            <w:tcW w:w="83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0"/>
              <w:ind w:left="218"/>
              <w:rPr>
                <w:b/>
                <w:sz w:val="11"/>
              </w:rPr>
            </w:pPr>
            <w:r>
              <w:rPr>
                <w:b/>
                <w:sz w:val="11"/>
              </w:rPr>
              <w:t>ejecutiva</w:t>
            </w:r>
          </w:p>
        </w:tc>
        <w:tc>
          <w:tcPr>
            <w:tcW w:w="89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0"/>
              <w:ind w:left="225"/>
              <w:rPr>
                <w:b/>
                <w:sz w:val="11"/>
              </w:rPr>
            </w:pPr>
            <w:r>
              <w:rPr>
                <w:b/>
                <w:sz w:val="11"/>
              </w:rPr>
              <w:t>voluntaria</w:t>
            </w:r>
          </w:p>
        </w:tc>
        <w:tc>
          <w:tcPr>
            <w:tcW w:w="83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127" w:lineRule="exact"/>
              <w:ind w:left="144" w:right="118"/>
              <w:jc w:val="center"/>
              <w:rPr>
                <w:b/>
                <w:sz w:val="11"/>
              </w:rPr>
            </w:pPr>
            <w:r>
              <w:rPr>
                <w:b/>
                <w:sz w:val="11"/>
              </w:rPr>
              <w:t>total</w:t>
            </w:r>
          </w:p>
          <w:p>
            <w:pPr>
              <w:pStyle w:val="TableParagraph"/>
              <w:spacing w:line="118" w:lineRule="exact"/>
              <w:ind w:left="144" w:right="120"/>
              <w:jc w:val="center"/>
              <w:rPr>
                <w:b/>
                <w:sz w:val="11"/>
              </w:rPr>
            </w:pPr>
            <w:r>
              <w:rPr>
                <w:b/>
                <w:sz w:val="11"/>
              </w:rPr>
              <w:t>CORRIENTE</w:t>
            </w:r>
          </w:p>
        </w:tc>
      </w:tr>
      <w:tr>
        <w:trPr>
          <w:trHeight w:val="135" w:hRule="atLeast"/>
        </w:trPr>
        <w:tc>
          <w:tcPr>
            <w:tcW w:w="652" w:type="dxa"/>
            <w:vMerge w:val="restart"/>
            <w:tcBorders>
              <w:top w:val="single" w:sz="4" w:space="0" w:color="000000"/>
              <w:left w:val="single" w:sz="4" w:space="0" w:color="000000"/>
              <w:bottom w:val="single" w:sz="4" w:space="0" w:color="000000"/>
            </w:tcBorders>
          </w:tcPr>
          <w:p>
            <w:pPr>
              <w:pStyle w:val="TableParagraph"/>
              <w:spacing w:line="126" w:lineRule="exact"/>
              <w:ind w:left="163" w:right="163"/>
              <w:jc w:val="center"/>
              <w:rPr>
                <w:sz w:val="11"/>
              </w:rPr>
            </w:pPr>
            <w:r>
              <w:rPr>
                <w:sz w:val="11"/>
              </w:rPr>
              <w:t>100</w:t>
            </w:r>
          </w:p>
          <w:p>
            <w:pPr>
              <w:pStyle w:val="TableParagraph"/>
              <w:spacing w:line="132" w:lineRule="exact"/>
              <w:ind w:left="163" w:right="163"/>
              <w:jc w:val="center"/>
              <w:rPr>
                <w:sz w:val="11"/>
              </w:rPr>
            </w:pPr>
            <w:r>
              <w:rPr>
                <w:sz w:val="11"/>
              </w:rPr>
              <w:t>110</w:t>
            </w:r>
          </w:p>
          <w:p>
            <w:pPr>
              <w:pStyle w:val="TableParagraph"/>
              <w:spacing w:line="132" w:lineRule="exact"/>
              <w:ind w:left="163" w:right="163"/>
              <w:jc w:val="center"/>
              <w:rPr>
                <w:sz w:val="11"/>
              </w:rPr>
            </w:pPr>
            <w:r>
              <w:rPr>
                <w:sz w:val="11"/>
              </w:rPr>
              <w:t>111</w:t>
            </w:r>
          </w:p>
          <w:p>
            <w:pPr>
              <w:pStyle w:val="TableParagraph"/>
              <w:spacing w:line="133" w:lineRule="exact"/>
              <w:ind w:left="163" w:right="163"/>
              <w:jc w:val="center"/>
              <w:rPr>
                <w:sz w:val="11"/>
              </w:rPr>
            </w:pPr>
            <w:r>
              <w:rPr>
                <w:sz w:val="11"/>
              </w:rPr>
              <w:t>200</w:t>
            </w:r>
          </w:p>
          <w:p>
            <w:pPr>
              <w:pStyle w:val="TableParagraph"/>
              <w:spacing w:line="133" w:lineRule="exact"/>
              <w:ind w:left="163" w:right="163"/>
              <w:jc w:val="center"/>
              <w:rPr>
                <w:sz w:val="11"/>
              </w:rPr>
            </w:pPr>
            <w:r>
              <w:rPr>
                <w:sz w:val="11"/>
              </w:rPr>
              <w:t>210</w:t>
            </w:r>
          </w:p>
          <w:p>
            <w:pPr>
              <w:pStyle w:val="TableParagraph"/>
              <w:spacing w:line="132" w:lineRule="exact"/>
              <w:ind w:left="163" w:right="163"/>
              <w:jc w:val="center"/>
              <w:rPr>
                <w:sz w:val="11"/>
              </w:rPr>
            </w:pPr>
            <w:r>
              <w:rPr>
                <w:sz w:val="11"/>
              </w:rPr>
              <w:t>220</w:t>
            </w:r>
          </w:p>
          <w:p>
            <w:pPr>
              <w:pStyle w:val="TableParagraph"/>
              <w:spacing w:line="132" w:lineRule="exact"/>
              <w:ind w:left="163" w:right="163"/>
              <w:jc w:val="center"/>
              <w:rPr>
                <w:sz w:val="11"/>
              </w:rPr>
            </w:pPr>
            <w:r>
              <w:rPr>
                <w:sz w:val="11"/>
              </w:rPr>
              <w:t>250</w:t>
            </w:r>
          </w:p>
          <w:p>
            <w:pPr>
              <w:pStyle w:val="TableParagraph"/>
              <w:spacing w:line="132" w:lineRule="exact"/>
              <w:ind w:left="163" w:right="163"/>
              <w:jc w:val="center"/>
              <w:rPr>
                <w:sz w:val="11"/>
              </w:rPr>
            </w:pPr>
            <w:r>
              <w:rPr>
                <w:sz w:val="11"/>
              </w:rPr>
              <w:t>251</w:t>
            </w:r>
          </w:p>
          <w:p>
            <w:pPr>
              <w:pStyle w:val="TableParagraph"/>
              <w:spacing w:line="133" w:lineRule="exact"/>
              <w:ind w:left="163" w:right="163"/>
              <w:jc w:val="center"/>
              <w:rPr>
                <w:sz w:val="11"/>
              </w:rPr>
            </w:pPr>
            <w:r>
              <w:rPr>
                <w:sz w:val="11"/>
              </w:rPr>
              <w:t>288</w:t>
            </w:r>
          </w:p>
          <w:p>
            <w:pPr>
              <w:pStyle w:val="TableParagraph"/>
              <w:spacing w:line="133" w:lineRule="exact"/>
              <w:ind w:left="163" w:right="163"/>
              <w:jc w:val="center"/>
              <w:rPr>
                <w:sz w:val="11"/>
              </w:rPr>
            </w:pPr>
            <w:r>
              <w:rPr>
                <w:sz w:val="11"/>
              </w:rPr>
              <w:t>327</w:t>
            </w:r>
          </w:p>
          <w:p>
            <w:pPr>
              <w:pStyle w:val="TableParagraph"/>
              <w:spacing w:line="133" w:lineRule="exact"/>
              <w:ind w:left="163" w:right="163"/>
              <w:jc w:val="center"/>
              <w:rPr>
                <w:sz w:val="11"/>
              </w:rPr>
            </w:pPr>
            <w:r>
              <w:rPr>
                <w:sz w:val="11"/>
              </w:rPr>
              <w:t>329</w:t>
            </w:r>
          </w:p>
          <w:p>
            <w:pPr>
              <w:pStyle w:val="TableParagraph"/>
              <w:spacing w:line="133" w:lineRule="exact"/>
              <w:ind w:left="163" w:right="163"/>
              <w:jc w:val="center"/>
              <w:rPr>
                <w:sz w:val="11"/>
              </w:rPr>
            </w:pPr>
            <w:r>
              <w:rPr>
                <w:sz w:val="11"/>
              </w:rPr>
              <w:t>340</w:t>
            </w:r>
          </w:p>
          <w:p>
            <w:pPr>
              <w:pStyle w:val="TableParagraph"/>
              <w:spacing w:line="133" w:lineRule="exact"/>
              <w:ind w:left="163" w:right="163"/>
              <w:jc w:val="center"/>
              <w:rPr>
                <w:sz w:val="11"/>
              </w:rPr>
            </w:pPr>
            <w:r>
              <w:rPr>
                <w:sz w:val="11"/>
              </w:rPr>
              <w:t>349</w:t>
            </w:r>
          </w:p>
          <w:p>
            <w:pPr>
              <w:pStyle w:val="TableParagraph"/>
              <w:spacing w:before="10"/>
              <w:rPr>
                <w:b/>
                <w:sz w:val="10"/>
              </w:rPr>
            </w:pPr>
          </w:p>
          <w:p>
            <w:pPr>
              <w:pStyle w:val="TableParagraph"/>
              <w:ind w:left="163" w:right="163"/>
              <w:jc w:val="center"/>
              <w:rPr>
                <w:sz w:val="11"/>
              </w:rPr>
            </w:pPr>
            <w:r>
              <w:rPr>
                <w:sz w:val="11"/>
              </w:rPr>
              <w:t>352</w:t>
            </w:r>
          </w:p>
          <w:p>
            <w:pPr>
              <w:pStyle w:val="TableParagraph"/>
              <w:rPr>
                <w:b/>
                <w:sz w:val="10"/>
              </w:rPr>
            </w:pPr>
          </w:p>
          <w:p>
            <w:pPr>
              <w:pStyle w:val="TableParagraph"/>
              <w:spacing w:before="75"/>
              <w:ind w:left="163" w:right="163"/>
              <w:jc w:val="center"/>
              <w:rPr>
                <w:sz w:val="11"/>
              </w:rPr>
            </w:pPr>
            <w:r>
              <w:rPr>
                <w:sz w:val="11"/>
              </w:rPr>
              <w:t>359</w:t>
            </w:r>
          </w:p>
          <w:p>
            <w:pPr>
              <w:pStyle w:val="TableParagraph"/>
              <w:spacing w:before="9"/>
              <w:rPr>
                <w:b/>
                <w:sz w:val="10"/>
              </w:rPr>
            </w:pPr>
          </w:p>
          <w:p>
            <w:pPr>
              <w:pStyle w:val="TableParagraph"/>
              <w:ind w:left="163" w:right="163"/>
              <w:jc w:val="center"/>
              <w:rPr>
                <w:sz w:val="11"/>
              </w:rPr>
            </w:pPr>
            <w:r>
              <w:rPr>
                <w:sz w:val="11"/>
              </w:rPr>
              <w:t>364</w:t>
            </w:r>
          </w:p>
          <w:p>
            <w:pPr>
              <w:pStyle w:val="TableParagraph"/>
              <w:spacing w:before="10"/>
              <w:rPr>
                <w:b/>
                <w:sz w:val="10"/>
              </w:rPr>
            </w:pPr>
          </w:p>
          <w:p>
            <w:pPr>
              <w:pStyle w:val="TableParagraph"/>
              <w:ind w:left="163" w:right="163"/>
              <w:jc w:val="center"/>
              <w:rPr>
                <w:sz w:val="11"/>
              </w:rPr>
            </w:pPr>
            <w:r>
              <w:rPr>
                <w:sz w:val="11"/>
              </w:rPr>
              <w:t>380</w:t>
            </w:r>
          </w:p>
          <w:p>
            <w:pPr>
              <w:pStyle w:val="TableParagraph"/>
              <w:spacing w:before="8"/>
              <w:rPr>
                <w:b/>
                <w:sz w:val="10"/>
              </w:rPr>
            </w:pPr>
          </w:p>
          <w:p>
            <w:pPr>
              <w:pStyle w:val="TableParagraph"/>
              <w:ind w:left="163" w:right="163"/>
              <w:jc w:val="center"/>
              <w:rPr>
                <w:sz w:val="11"/>
              </w:rPr>
            </w:pPr>
            <w:r>
              <w:rPr>
                <w:sz w:val="11"/>
              </w:rPr>
              <w:t>381</w:t>
            </w:r>
          </w:p>
          <w:p>
            <w:pPr>
              <w:pStyle w:val="TableParagraph"/>
              <w:spacing w:before="9"/>
              <w:rPr>
                <w:b/>
                <w:sz w:val="10"/>
              </w:rPr>
            </w:pPr>
          </w:p>
          <w:p>
            <w:pPr>
              <w:pStyle w:val="TableParagraph"/>
              <w:ind w:left="163" w:right="163"/>
              <w:jc w:val="center"/>
              <w:rPr>
                <w:sz w:val="11"/>
              </w:rPr>
            </w:pPr>
            <w:r>
              <w:rPr>
                <w:sz w:val="11"/>
              </w:rPr>
              <w:t>390</w:t>
            </w:r>
          </w:p>
          <w:p>
            <w:pPr>
              <w:pStyle w:val="TableParagraph"/>
              <w:spacing w:before="65"/>
              <w:ind w:left="164" w:right="163"/>
              <w:jc w:val="center"/>
              <w:rPr>
                <w:sz w:val="11"/>
              </w:rPr>
            </w:pPr>
            <w:r>
              <w:rPr>
                <w:sz w:val="11"/>
              </w:rPr>
              <w:t>39100</w:t>
            </w:r>
          </w:p>
          <w:p>
            <w:pPr>
              <w:pStyle w:val="TableParagraph"/>
              <w:spacing w:before="65"/>
              <w:ind w:left="164" w:right="163"/>
              <w:jc w:val="center"/>
              <w:rPr>
                <w:sz w:val="11"/>
              </w:rPr>
            </w:pPr>
            <w:r>
              <w:rPr>
                <w:sz w:val="11"/>
              </w:rPr>
              <w:t>39101</w:t>
            </w:r>
          </w:p>
          <w:p>
            <w:pPr>
              <w:pStyle w:val="TableParagraph"/>
              <w:spacing w:before="9"/>
              <w:rPr>
                <w:b/>
                <w:sz w:val="10"/>
              </w:rPr>
            </w:pPr>
          </w:p>
          <w:p>
            <w:pPr>
              <w:pStyle w:val="TableParagraph"/>
              <w:ind w:left="164" w:right="163"/>
              <w:jc w:val="center"/>
              <w:rPr>
                <w:sz w:val="11"/>
              </w:rPr>
            </w:pPr>
            <w:r>
              <w:rPr>
                <w:sz w:val="11"/>
              </w:rPr>
              <w:t>39103</w:t>
            </w:r>
          </w:p>
        </w:tc>
        <w:tc>
          <w:tcPr>
            <w:tcW w:w="1551" w:type="dxa"/>
            <w:vMerge w:val="restart"/>
            <w:tcBorders>
              <w:top w:val="single" w:sz="4" w:space="0" w:color="000000"/>
              <w:bottom w:val="single" w:sz="4" w:space="0" w:color="000000"/>
            </w:tcBorders>
          </w:tcPr>
          <w:p>
            <w:pPr>
              <w:pStyle w:val="TableParagraph"/>
              <w:spacing w:line="126" w:lineRule="exact"/>
              <w:ind w:left="58"/>
              <w:rPr>
                <w:sz w:val="11"/>
              </w:rPr>
            </w:pPr>
            <w:r>
              <w:rPr>
                <w:sz w:val="11"/>
              </w:rPr>
              <w:t>IRPF</w:t>
            </w:r>
          </w:p>
          <w:p>
            <w:pPr>
              <w:pStyle w:val="TableParagraph"/>
              <w:ind w:left="58"/>
              <w:rPr>
                <w:sz w:val="11"/>
              </w:rPr>
            </w:pPr>
            <w:r>
              <w:rPr>
                <w:sz w:val="11"/>
              </w:rPr>
              <w:t>Sucesiones y Donaciones Patrimonio</w:t>
            </w:r>
          </w:p>
          <w:p>
            <w:pPr>
              <w:pStyle w:val="TableParagraph"/>
              <w:spacing w:line="130" w:lineRule="exact"/>
              <w:ind w:left="58"/>
              <w:rPr>
                <w:sz w:val="11"/>
              </w:rPr>
            </w:pPr>
            <w:r>
              <w:rPr>
                <w:sz w:val="11"/>
              </w:rPr>
              <w:t>TPyAJD</w:t>
            </w:r>
          </w:p>
          <w:p>
            <w:pPr>
              <w:pStyle w:val="TableParagraph"/>
              <w:spacing w:line="133" w:lineRule="exact"/>
              <w:ind w:left="58"/>
              <w:rPr>
                <w:sz w:val="11"/>
              </w:rPr>
            </w:pPr>
            <w:r>
              <w:rPr>
                <w:sz w:val="11"/>
              </w:rPr>
              <w:t>Tabaco</w:t>
            </w:r>
          </w:p>
          <w:p>
            <w:pPr>
              <w:pStyle w:val="TableParagraph"/>
              <w:ind w:left="58" w:right="310"/>
              <w:rPr>
                <w:sz w:val="11"/>
              </w:rPr>
            </w:pPr>
            <w:r>
              <w:rPr>
                <w:sz w:val="11"/>
              </w:rPr>
              <w:t>Impuestos especiales Tasas sobre el juego Impuesto</w:t>
            </w:r>
            <w:r>
              <w:rPr>
                <w:spacing w:val="-8"/>
                <w:sz w:val="11"/>
              </w:rPr>
              <w:t> </w:t>
            </w:r>
            <w:r>
              <w:rPr>
                <w:sz w:val="11"/>
              </w:rPr>
              <w:t>s/activ.</w:t>
            </w:r>
            <w:r>
              <w:rPr>
                <w:spacing w:val="-8"/>
                <w:sz w:val="11"/>
              </w:rPr>
              <w:t> </w:t>
            </w:r>
            <w:r>
              <w:rPr>
                <w:sz w:val="11"/>
              </w:rPr>
              <w:t>De</w:t>
            </w:r>
            <w:r>
              <w:rPr>
                <w:spacing w:val="-8"/>
                <w:sz w:val="11"/>
              </w:rPr>
              <w:t> </w:t>
            </w:r>
            <w:r>
              <w:rPr>
                <w:sz w:val="11"/>
              </w:rPr>
              <w:t>juego Participación REF Derechos de examen Otras</w:t>
            </w:r>
            <w:r>
              <w:rPr>
                <w:spacing w:val="-1"/>
                <w:sz w:val="11"/>
              </w:rPr>
              <w:t> </w:t>
            </w:r>
            <w:r>
              <w:rPr>
                <w:sz w:val="11"/>
              </w:rPr>
              <w:t>tasas</w:t>
            </w:r>
          </w:p>
          <w:p>
            <w:pPr>
              <w:pStyle w:val="TableParagraph"/>
              <w:spacing w:line="124" w:lineRule="exact"/>
              <w:ind w:left="58"/>
              <w:rPr>
                <w:sz w:val="11"/>
              </w:rPr>
            </w:pPr>
            <w:r>
              <w:rPr>
                <w:sz w:val="11"/>
              </w:rPr>
              <w:t>Precios públicos</w:t>
            </w:r>
          </w:p>
          <w:p>
            <w:pPr>
              <w:pStyle w:val="TableParagraph"/>
              <w:spacing w:line="133" w:lineRule="exact"/>
              <w:ind w:left="58"/>
              <w:rPr>
                <w:sz w:val="11"/>
              </w:rPr>
            </w:pPr>
            <w:r>
              <w:rPr>
                <w:sz w:val="11"/>
              </w:rPr>
              <w:t>Otros precios públicos</w:t>
            </w:r>
          </w:p>
          <w:p>
            <w:pPr>
              <w:pStyle w:val="TableParagraph"/>
              <w:ind w:left="58" w:right="14"/>
              <w:rPr>
                <w:sz w:val="11"/>
              </w:rPr>
            </w:pPr>
            <w:r>
              <w:rPr>
                <w:sz w:val="11"/>
              </w:rPr>
              <w:t>Otros ingresos por prestación de servicios de la administración financiera</w:t>
            </w:r>
          </w:p>
          <w:p>
            <w:pPr>
              <w:pStyle w:val="TableParagraph"/>
              <w:spacing w:line="237" w:lineRule="auto"/>
              <w:ind w:left="58" w:right="42"/>
              <w:rPr>
                <w:sz w:val="11"/>
              </w:rPr>
            </w:pPr>
            <w:r>
              <w:rPr>
                <w:sz w:val="11"/>
              </w:rPr>
              <w:t>Otros</w:t>
            </w:r>
            <w:r>
              <w:rPr>
                <w:spacing w:val="-7"/>
                <w:sz w:val="11"/>
              </w:rPr>
              <w:t> </w:t>
            </w:r>
            <w:r>
              <w:rPr>
                <w:sz w:val="11"/>
              </w:rPr>
              <w:t>ingresos</w:t>
            </w:r>
            <w:r>
              <w:rPr>
                <w:spacing w:val="-7"/>
                <w:sz w:val="11"/>
              </w:rPr>
              <w:t> </w:t>
            </w:r>
            <w:r>
              <w:rPr>
                <w:sz w:val="11"/>
              </w:rPr>
              <w:t>por</w:t>
            </w:r>
            <w:r>
              <w:rPr>
                <w:spacing w:val="-8"/>
                <w:sz w:val="11"/>
              </w:rPr>
              <w:t> </w:t>
            </w:r>
            <w:r>
              <w:rPr>
                <w:sz w:val="11"/>
              </w:rPr>
              <w:t>prestación</w:t>
            </w:r>
            <w:r>
              <w:rPr>
                <w:spacing w:val="-6"/>
                <w:sz w:val="11"/>
              </w:rPr>
              <w:t> </w:t>
            </w:r>
            <w:r>
              <w:rPr>
                <w:sz w:val="11"/>
              </w:rPr>
              <w:t>de servicios</w:t>
            </w:r>
          </w:p>
          <w:p>
            <w:pPr>
              <w:pStyle w:val="TableParagraph"/>
              <w:ind w:left="58" w:right="431"/>
              <w:rPr>
                <w:sz w:val="11"/>
              </w:rPr>
            </w:pPr>
            <w:r>
              <w:rPr>
                <w:sz w:val="11"/>
              </w:rPr>
              <w:t>Venta de productos agropecuarios Reintegros de</w:t>
            </w:r>
            <w:r>
              <w:rPr>
                <w:spacing w:val="-20"/>
                <w:sz w:val="11"/>
              </w:rPr>
              <w:t> </w:t>
            </w:r>
            <w:r>
              <w:rPr>
                <w:sz w:val="11"/>
              </w:rPr>
              <w:t>ejercicios cerrados</w:t>
            </w:r>
          </w:p>
          <w:p>
            <w:pPr>
              <w:pStyle w:val="TableParagraph"/>
              <w:spacing w:line="127" w:lineRule="exact"/>
              <w:ind w:left="58"/>
              <w:rPr>
                <w:sz w:val="11"/>
              </w:rPr>
            </w:pPr>
            <w:r>
              <w:rPr>
                <w:sz w:val="11"/>
              </w:rPr>
              <w:t>Reintegros de presupuesto</w:t>
            </w:r>
          </w:p>
          <w:p>
            <w:pPr>
              <w:pStyle w:val="TableParagraph"/>
              <w:spacing w:line="134" w:lineRule="exact"/>
              <w:ind w:left="58"/>
              <w:rPr>
                <w:sz w:val="11"/>
              </w:rPr>
            </w:pPr>
            <w:r>
              <w:rPr>
                <w:sz w:val="11"/>
              </w:rPr>
              <w:t>corriente</w:t>
            </w:r>
          </w:p>
          <w:p>
            <w:pPr>
              <w:pStyle w:val="TableParagraph"/>
              <w:ind w:left="58" w:right="16"/>
              <w:rPr>
                <w:sz w:val="11"/>
              </w:rPr>
            </w:pPr>
            <w:r>
              <w:rPr>
                <w:sz w:val="11"/>
              </w:rPr>
              <w:t>Otros ingresos, recargos periodo ejecutivo e intereses demora Otros ingresos, Multas</w:t>
            </w:r>
          </w:p>
          <w:p>
            <w:pPr>
              <w:pStyle w:val="TableParagraph"/>
              <w:ind w:left="58"/>
              <w:rPr>
                <w:sz w:val="11"/>
              </w:rPr>
            </w:pPr>
            <w:r>
              <w:rPr>
                <w:sz w:val="11"/>
              </w:rPr>
              <w:t>Otros ingresos, Sanciones tributarias</w:t>
            </w:r>
          </w:p>
          <w:p>
            <w:pPr>
              <w:pStyle w:val="TableParagraph"/>
              <w:spacing w:line="131" w:lineRule="exact"/>
              <w:ind w:left="58"/>
              <w:rPr>
                <w:sz w:val="11"/>
              </w:rPr>
            </w:pPr>
            <w:r>
              <w:rPr>
                <w:sz w:val="11"/>
              </w:rPr>
              <w:t>Otros ingresos, Sanciones por</w:t>
            </w:r>
          </w:p>
          <w:p>
            <w:pPr>
              <w:pStyle w:val="TableParagraph"/>
              <w:spacing w:line="116" w:lineRule="exact"/>
              <w:ind w:left="58"/>
              <w:rPr>
                <w:sz w:val="11"/>
              </w:rPr>
            </w:pPr>
            <w:r>
              <w:rPr>
                <w:sz w:val="11"/>
              </w:rPr>
              <w:t>infracciones pesqueras</w:t>
            </w:r>
          </w:p>
        </w:tc>
        <w:tc>
          <w:tcPr>
            <w:tcW w:w="773" w:type="dxa"/>
            <w:tcBorders>
              <w:top w:val="single" w:sz="4" w:space="0" w:color="000000"/>
            </w:tcBorders>
            <w:shd w:val="clear" w:color="auto" w:fill="FAE3D4"/>
          </w:tcPr>
          <w:p>
            <w:pPr>
              <w:pStyle w:val="TableParagraph"/>
              <w:spacing w:line="115" w:lineRule="exact"/>
              <w:ind w:right="48"/>
              <w:jc w:val="right"/>
              <w:rPr>
                <w:sz w:val="11"/>
              </w:rPr>
            </w:pPr>
            <w:r>
              <w:rPr>
                <w:w w:val="95"/>
                <w:sz w:val="11"/>
              </w:rPr>
              <w:t>0,00</w:t>
            </w:r>
          </w:p>
        </w:tc>
        <w:tc>
          <w:tcPr>
            <w:tcW w:w="775" w:type="dxa"/>
            <w:tcBorders>
              <w:top w:val="single" w:sz="4" w:space="0" w:color="000000"/>
            </w:tcBorders>
            <w:shd w:val="clear" w:color="auto" w:fill="FAE3D4"/>
          </w:tcPr>
          <w:p>
            <w:pPr>
              <w:pStyle w:val="TableParagraph"/>
              <w:spacing w:line="115" w:lineRule="exact"/>
              <w:ind w:right="49"/>
              <w:jc w:val="right"/>
              <w:rPr>
                <w:sz w:val="11"/>
              </w:rPr>
            </w:pPr>
            <w:r>
              <w:rPr>
                <w:w w:val="95"/>
                <w:sz w:val="11"/>
              </w:rPr>
              <w:t>0,00</w:t>
            </w:r>
          </w:p>
        </w:tc>
        <w:tc>
          <w:tcPr>
            <w:tcW w:w="773" w:type="dxa"/>
            <w:tcBorders>
              <w:top w:val="single" w:sz="4" w:space="0" w:color="000000"/>
            </w:tcBorders>
            <w:shd w:val="clear" w:color="auto" w:fill="FAE3D4"/>
          </w:tcPr>
          <w:p>
            <w:pPr>
              <w:pStyle w:val="TableParagraph"/>
              <w:spacing w:line="115" w:lineRule="exact"/>
              <w:ind w:right="46"/>
              <w:jc w:val="right"/>
              <w:rPr>
                <w:sz w:val="11"/>
              </w:rPr>
            </w:pPr>
            <w:r>
              <w:rPr>
                <w:w w:val="95"/>
                <w:sz w:val="11"/>
              </w:rPr>
              <w:t>0,00</w:t>
            </w:r>
          </w:p>
        </w:tc>
        <w:tc>
          <w:tcPr>
            <w:tcW w:w="900" w:type="dxa"/>
            <w:tcBorders>
              <w:top w:val="single" w:sz="4" w:space="0" w:color="000000"/>
            </w:tcBorders>
            <w:shd w:val="clear" w:color="auto" w:fill="FAE3D4"/>
          </w:tcPr>
          <w:p>
            <w:pPr>
              <w:pStyle w:val="TableParagraph"/>
              <w:spacing w:line="115" w:lineRule="exact"/>
              <w:ind w:right="46"/>
              <w:jc w:val="right"/>
              <w:rPr>
                <w:sz w:val="11"/>
              </w:rPr>
            </w:pPr>
            <w:r>
              <w:rPr>
                <w:w w:val="95"/>
                <w:sz w:val="11"/>
              </w:rPr>
              <w:t>0,00</w:t>
            </w:r>
          </w:p>
        </w:tc>
        <w:tc>
          <w:tcPr>
            <w:tcW w:w="775" w:type="dxa"/>
            <w:tcBorders>
              <w:top w:val="single" w:sz="4" w:space="0" w:color="000000"/>
            </w:tcBorders>
            <w:shd w:val="clear" w:color="auto" w:fill="FAE3D4"/>
          </w:tcPr>
          <w:p>
            <w:pPr>
              <w:pStyle w:val="TableParagraph"/>
              <w:spacing w:line="115" w:lineRule="exact"/>
              <w:ind w:right="47"/>
              <w:jc w:val="right"/>
              <w:rPr>
                <w:sz w:val="11"/>
              </w:rPr>
            </w:pPr>
            <w:r>
              <w:rPr>
                <w:w w:val="95"/>
                <w:sz w:val="11"/>
              </w:rPr>
              <w:t>0,00</w:t>
            </w:r>
          </w:p>
        </w:tc>
        <w:tc>
          <w:tcPr>
            <w:tcW w:w="898" w:type="dxa"/>
            <w:tcBorders>
              <w:top w:val="single" w:sz="4" w:space="0" w:color="000000"/>
            </w:tcBorders>
            <w:shd w:val="clear" w:color="auto" w:fill="FAE3D4"/>
          </w:tcPr>
          <w:p>
            <w:pPr>
              <w:pStyle w:val="TableParagraph"/>
              <w:spacing w:line="115" w:lineRule="exact"/>
              <w:ind w:right="45"/>
              <w:jc w:val="right"/>
              <w:rPr>
                <w:sz w:val="11"/>
              </w:rPr>
            </w:pPr>
            <w:r>
              <w:rPr>
                <w:w w:val="95"/>
                <w:sz w:val="11"/>
              </w:rPr>
              <w:t>0,00</w:t>
            </w:r>
          </w:p>
        </w:tc>
        <w:tc>
          <w:tcPr>
            <w:tcW w:w="838" w:type="dxa"/>
            <w:tcBorders>
              <w:top w:val="single" w:sz="4" w:space="0" w:color="000000"/>
            </w:tcBorders>
            <w:shd w:val="clear" w:color="auto" w:fill="DEEAF6"/>
          </w:tcPr>
          <w:p>
            <w:pPr>
              <w:pStyle w:val="TableParagraph"/>
              <w:spacing w:line="115" w:lineRule="exact"/>
              <w:ind w:right="46"/>
              <w:jc w:val="right"/>
              <w:rPr>
                <w:sz w:val="11"/>
              </w:rPr>
            </w:pPr>
            <w:r>
              <w:rPr>
                <w:w w:val="95"/>
                <w:sz w:val="11"/>
              </w:rPr>
              <w:t>0,00</w:t>
            </w:r>
          </w:p>
        </w:tc>
        <w:tc>
          <w:tcPr>
            <w:tcW w:w="836" w:type="dxa"/>
            <w:tcBorders>
              <w:top w:val="single" w:sz="4" w:space="0" w:color="000000"/>
            </w:tcBorders>
            <w:shd w:val="clear" w:color="auto" w:fill="DEEAF6"/>
          </w:tcPr>
          <w:p>
            <w:pPr>
              <w:pStyle w:val="TableParagraph"/>
              <w:spacing w:line="115" w:lineRule="exact"/>
              <w:ind w:right="43"/>
              <w:jc w:val="right"/>
              <w:rPr>
                <w:sz w:val="11"/>
              </w:rPr>
            </w:pPr>
            <w:r>
              <w:rPr>
                <w:w w:val="95"/>
                <w:sz w:val="11"/>
              </w:rPr>
              <w:t>0,00</w:t>
            </w:r>
          </w:p>
        </w:tc>
        <w:tc>
          <w:tcPr>
            <w:tcW w:w="836" w:type="dxa"/>
            <w:tcBorders>
              <w:top w:val="single" w:sz="4" w:space="0" w:color="000000"/>
            </w:tcBorders>
            <w:shd w:val="clear" w:color="auto" w:fill="DEEAF6"/>
          </w:tcPr>
          <w:p>
            <w:pPr>
              <w:pStyle w:val="TableParagraph"/>
              <w:spacing w:line="115" w:lineRule="exact"/>
              <w:ind w:right="42"/>
              <w:jc w:val="right"/>
              <w:rPr>
                <w:sz w:val="11"/>
              </w:rPr>
            </w:pPr>
            <w:r>
              <w:rPr>
                <w:w w:val="95"/>
                <w:sz w:val="11"/>
              </w:rPr>
              <w:t>0,00</w:t>
            </w:r>
          </w:p>
        </w:tc>
        <w:tc>
          <w:tcPr>
            <w:tcW w:w="836" w:type="dxa"/>
            <w:tcBorders>
              <w:top w:val="single" w:sz="4" w:space="0" w:color="000000"/>
            </w:tcBorders>
            <w:shd w:val="clear" w:color="auto" w:fill="DEEAF6"/>
          </w:tcPr>
          <w:p>
            <w:pPr>
              <w:pStyle w:val="TableParagraph"/>
              <w:rPr>
                <w:rFonts w:ascii="Times New Roman"/>
                <w:sz w:val="8"/>
              </w:rPr>
            </w:pPr>
          </w:p>
        </w:tc>
        <w:tc>
          <w:tcPr>
            <w:tcW w:w="899" w:type="dxa"/>
            <w:tcBorders>
              <w:top w:val="single" w:sz="4" w:space="0" w:color="000000"/>
            </w:tcBorders>
            <w:shd w:val="clear" w:color="auto" w:fill="DEEAF6"/>
          </w:tcPr>
          <w:p>
            <w:pPr>
              <w:pStyle w:val="TableParagraph"/>
              <w:rPr>
                <w:rFonts w:ascii="Times New Roman"/>
                <w:sz w:val="8"/>
              </w:rPr>
            </w:pPr>
          </w:p>
        </w:tc>
        <w:tc>
          <w:tcPr>
            <w:tcW w:w="836" w:type="dxa"/>
            <w:tcBorders>
              <w:top w:val="single" w:sz="4" w:space="0" w:color="000000"/>
              <w:right w:val="single" w:sz="4" w:space="0" w:color="000000"/>
            </w:tcBorders>
            <w:shd w:val="clear" w:color="auto" w:fill="DEEAF6"/>
          </w:tcPr>
          <w:p>
            <w:pPr>
              <w:pStyle w:val="TableParagraph"/>
              <w:spacing w:line="115" w:lineRule="exact"/>
              <w:ind w:right="33"/>
              <w:jc w:val="right"/>
              <w:rPr>
                <w:sz w:val="11"/>
              </w:rPr>
            </w:pPr>
            <w:r>
              <w:rPr>
                <w:w w:val="95"/>
                <w:sz w:val="11"/>
              </w:rPr>
              <w:t>0,00</w:t>
            </w:r>
          </w:p>
        </w:tc>
      </w:tr>
      <w:tr>
        <w:trPr>
          <w:trHeight w:val="122"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2" w:lineRule="exact"/>
              <w:ind w:right="48"/>
              <w:jc w:val="right"/>
              <w:rPr>
                <w:sz w:val="11"/>
              </w:rPr>
            </w:pPr>
            <w:r>
              <w:rPr>
                <w:w w:val="95"/>
                <w:sz w:val="11"/>
              </w:rPr>
              <w:t>0,00</w:t>
            </w:r>
          </w:p>
        </w:tc>
        <w:tc>
          <w:tcPr>
            <w:tcW w:w="775" w:type="dxa"/>
            <w:shd w:val="clear" w:color="auto" w:fill="FAE3D4"/>
          </w:tcPr>
          <w:p>
            <w:pPr>
              <w:pStyle w:val="TableParagraph"/>
              <w:spacing w:line="102" w:lineRule="exact"/>
              <w:ind w:right="49"/>
              <w:jc w:val="right"/>
              <w:rPr>
                <w:sz w:val="11"/>
              </w:rPr>
            </w:pPr>
            <w:r>
              <w:rPr>
                <w:w w:val="95"/>
                <w:sz w:val="11"/>
              </w:rPr>
              <w:t>0,00</w:t>
            </w:r>
          </w:p>
        </w:tc>
        <w:tc>
          <w:tcPr>
            <w:tcW w:w="773" w:type="dxa"/>
            <w:shd w:val="clear" w:color="auto" w:fill="FAE3D4"/>
          </w:tcPr>
          <w:p>
            <w:pPr>
              <w:pStyle w:val="TableParagraph"/>
              <w:spacing w:line="102" w:lineRule="exact"/>
              <w:ind w:right="46"/>
              <w:jc w:val="right"/>
              <w:rPr>
                <w:sz w:val="11"/>
              </w:rPr>
            </w:pPr>
            <w:r>
              <w:rPr>
                <w:w w:val="95"/>
                <w:sz w:val="11"/>
              </w:rPr>
              <w:t>0,00</w:t>
            </w:r>
          </w:p>
        </w:tc>
        <w:tc>
          <w:tcPr>
            <w:tcW w:w="900" w:type="dxa"/>
            <w:shd w:val="clear" w:color="auto" w:fill="FAE3D4"/>
          </w:tcPr>
          <w:p>
            <w:pPr>
              <w:pStyle w:val="TableParagraph"/>
              <w:spacing w:line="102" w:lineRule="exact"/>
              <w:ind w:right="46"/>
              <w:jc w:val="right"/>
              <w:rPr>
                <w:sz w:val="11"/>
              </w:rPr>
            </w:pPr>
            <w:r>
              <w:rPr>
                <w:sz w:val="11"/>
              </w:rPr>
              <w:t>5.489.159,16</w:t>
            </w:r>
          </w:p>
        </w:tc>
        <w:tc>
          <w:tcPr>
            <w:tcW w:w="775" w:type="dxa"/>
            <w:shd w:val="clear" w:color="auto" w:fill="FAE3D4"/>
          </w:tcPr>
          <w:p>
            <w:pPr>
              <w:pStyle w:val="TableParagraph"/>
              <w:spacing w:line="102" w:lineRule="exact"/>
              <w:ind w:right="48"/>
              <w:jc w:val="right"/>
              <w:rPr>
                <w:sz w:val="11"/>
              </w:rPr>
            </w:pPr>
            <w:r>
              <w:rPr>
                <w:w w:val="95"/>
                <w:sz w:val="11"/>
              </w:rPr>
              <w:t>25.353,72</w:t>
            </w:r>
          </w:p>
        </w:tc>
        <w:tc>
          <w:tcPr>
            <w:tcW w:w="898" w:type="dxa"/>
            <w:shd w:val="clear" w:color="auto" w:fill="FAE3D4"/>
          </w:tcPr>
          <w:p>
            <w:pPr>
              <w:pStyle w:val="TableParagraph"/>
              <w:spacing w:line="102" w:lineRule="exact"/>
              <w:ind w:right="45"/>
              <w:jc w:val="right"/>
              <w:rPr>
                <w:sz w:val="11"/>
              </w:rPr>
            </w:pPr>
            <w:r>
              <w:rPr>
                <w:sz w:val="11"/>
              </w:rPr>
              <w:t>5.514.512,88</w:t>
            </w:r>
          </w:p>
        </w:tc>
        <w:tc>
          <w:tcPr>
            <w:tcW w:w="838" w:type="dxa"/>
            <w:shd w:val="clear" w:color="auto" w:fill="DEEAF6"/>
          </w:tcPr>
          <w:p>
            <w:pPr>
              <w:pStyle w:val="TableParagraph"/>
              <w:spacing w:line="102" w:lineRule="exact"/>
              <w:ind w:right="46"/>
              <w:jc w:val="right"/>
              <w:rPr>
                <w:sz w:val="11"/>
              </w:rPr>
            </w:pPr>
            <w:r>
              <w:rPr>
                <w:sz w:val="11"/>
              </w:rPr>
              <w:t>10.064.852,46</w:t>
            </w:r>
          </w:p>
        </w:tc>
        <w:tc>
          <w:tcPr>
            <w:tcW w:w="836" w:type="dxa"/>
            <w:shd w:val="clear" w:color="auto" w:fill="DEEAF6"/>
          </w:tcPr>
          <w:p>
            <w:pPr>
              <w:pStyle w:val="TableParagraph"/>
              <w:spacing w:line="102" w:lineRule="exact"/>
              <w:ind w:right="44"/>
              <w:jc w:val="right"/>
              <w:rPr>
                <w:sz w:val="11"/>
              </w:rPr>
            </w:pPr>
            <w:r>
              <w:rPr>
                <w:sz w:val="11"/>
              </w:rPr>
              <w:t>17.213.504,27</w:t>
            </w:r>
          </w:p>
        </w:tc>
        <w:tc>
          <w:tcPr>
            <w:tcW w:w="836" w:type="dxa"/>
            <w:shd w:val="clear" w:color="auto" w:fill="DEEAF6"/>
          </w:tcPr>
          <w:p>
            <w:pPr>
              <w:pStyle w:val="TableParagraph"/>
              <w:spacing w:line="102" w:lineRule="exact"/>
              <w:ind w:right="43"/>
              <w:jc w:val="right"/>
              <w:rPr>
                <w:sz w:val="11"/>
              </w:rPr>
            </w:pPr>
            <w:r>
              <w:rPr>
                <w:sz w:val="11"/>
              </w:rPr>
              <w:t>27.278.356,73</w:t>
            </w:r>
          </w:p>
        </w:tc>
        <w:tc>
          <w:tcPr>
            <w:tcW w:w="836" w:type="dxa"/>
            <w:shd w:val="clear" w:color="auto" w:fill="DEEAF6"/>
          </w:tcPr>
          <w:p>
            <w:pPr>
              <w:pStyle w:val="TableParagraph"/>
              <w:spacing w:line="102" w:lineRule="exact"/>
              <w:ind w:right="41"/>
              <w:jc w:val="right"/>
              <w:rPr>
                <w:sz w:val="11"/>
              </w:rPr>
            </w:pPr>
            <w:r>
              <w:rPr>
                <w:sz w:val="11"/>
              </w:rPr>
              <w:t>178.575,11</w:t>
            </w:r>
          </w:p>
        </w:tc>
        <w:tc>
          <w:tcPr>
            <w:tcW w:w="899" w:type="dxa"/>
            <w:shd w:val="clear" w:color="auto" w:fill="DEEAF6"/>
          </w:tcPr>
          <w:p>
            <w:pPr>
              <w:pStyle w:val="TableParagraph"/>
              <w:spacing w:line="102" w:lineRule="exact"/>
              <w:ind w:right="40"/>
              <w:jc w:val="right"/>
              <w:rPr>
                <w:sz w:val="11"/>
              </w:rPr>
            </w:pPr>
            <w:r>
              <w:rPr>
                <w:sz w:val="11"/>
              </w:rPr>
              <w:t>5.259.053,93</w:t>
            </w:r>
          </w:p>
        </w:tc>
        <w:tc>
          <w:tcPr>
            <w:tcW w:w="836" w:type="dxa"/>
            <w:tcBorders>
              <w:right w:val="single" w:sz="4" w:space="0" w:color="000000"/>
            </w:tcBorders>
            <w:shd w:val="clear" w:color="auto" w:fill="DEEAF6"/>
          </w:tcPr>
          <w:p>
            <w:pPr>
              <w:pStyle w:val="TableParagraph"/>
              <w:spacing w:line="102" w:lineRule="exact"/>
              <w:ind w:right="34"/>
              <w:jc w:val="right"/>
              <w:rPr>
                <w:sz w:val="11"/>
              </w:rPr>
            </w:pPr>
            <w:r>
              <w:rPr>
                <w:sz w:val="11"/>
              </w:rPr>
              <w:t>5.437.629,04</w:t>
            </w:r>
          </w:p>
        </w:tc>
      </w:tr>
      <w:tr>
        <w:trPr>
          <w:trHeight w:val="122"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2" w:lineRule="exact"/>
              <w:ind w:right="48"/>
              <w:jc w:val="right"/>
              <w:rPr>
                <w:sz w:val="11"/>
              </w:rPr>
            </w:pPr>
            <w:r>
              <w:rPr>
                <w:sz w:val="11"/>
              </w:rPr>
              <w:t>6.180,90</w:t>
            </w:r>
          </w:p>
        </w:tc>
        <w:tc>
          <w:tcPr>
            <w:tcW w:w="775" w:type="dxa"/>
            <w:shd w:val="clear" w:color="auto" w:fill="FAE3D4"/>
          </w:tcPr>
          <w:p>
            <w:pPr>
              <w:pStyle w:val="TableParagraph"/>
              <w:spacing w:line="102" w:lineRule="exact"/>
              <w:ind w:right="49"/>
              <w:jc w:val="right"/>
              <w:rPr>
                <w:sz w:val="11"/>
              </w:rPr>
            </w:pPr>
            <w:r>
              <w:rPr>
                <w:w w:val="95"/>
                <w:sz w:val="11"/>
              </w:rPr>
              <w:t>0,00</w:t>
            </w:r>
          </w:p>
        </w:tc>
        <w:tc>
          <w:tcPr>
            <w:tcW w:w="773" w:type="dxa"/>
            <w:shd w:val="clear" w:color="auto" w:fill="FAE3D4"/>
          </w:tcPr>
          <w:p>
            <w:pPr>
              <w:pStyle w:val="TableParagraph"/>
              <w:spacing w:line="102" w:lineRule="exact"/>
              <w:ind w:right="47"/>
              <w:jc w:val="right"/>
              <w:rPr>
                <w:sz w:val="11"/>
              </w:rPr>
            </w:pPr>
            <w:r>
              <w:rPr>
                <w:sz w:val="11"/>
              </w:rPr>
              <w:t>6.180,90</w:t>
            </w:r>
          </w:p>
        </w:tc>
        <w:tc>
          <w:tcPr>
            <w:tcW w:w="900" w:type="dxa"/>
            <w:shd w:val="clear" w:color="auto" w:fill="FAE3D4"/>
          </w:tcPr>
          <w:p>
            <w:pPr>
              <w:pStyle w:val="TableParagraph"/>
              <w:spacing w:line="102" w:lineRule="exact"/>
              <w:ind w:right="46"/>
              <w:jc w:val="right"/>
              <w:rPr>
                <w:sz w:val="11"/>
              </w:rPr>
            </w:pPr>
            <w:r>
              <w:rPr>
                <w:sz w:val="11"/>
              </w:rPr>
              <w:t>483.617,92</w:t>
            </w:r>
          </w:p>
        </w:tc>
        <w:tc>
          <w:tcPr>
            <w:tcW w:w="775" w:type="dxa"/>
            <w:shd w:val="clear" w:color="auto" w:fill="FAE3D4"/>
          </w:tcPr>
          <w:p>
            <w:pPr>
              <w:pStyle w:val="TableParagraph"/>
              <w:spacing w:line="102" w:lineRule="exact"/>
              <w:ind w:right="47"/>
              <w:jc w:val="right"/>
              <w:rPr>
                <w:sz w:val="11"/>
              </w:rPr>
            </w:pPr>
            <w:r>
              <w:rPr>
                <w:w w:val="95"/>
                <w:sz w:val="11"/>
              </w:rPr>
              <w:t>0,00</w:t>
            </w:r>
          </w:p>
        </w:tc>
        <w:tc>
          <w:tcPr>
            <w:tcW w:w="898" w:type="dxa"/>
            <w:shd w:val="clear" w:color="auto" w:fill="FAE3D4"/>
          </w:tcPr>
          <w:p>
            <w:pPr>
              <w:pStyle w:val="TableParagraph"/>
              <w:spacing w:line="102" w:lineRule="exact"/>
              <w:ind w:right="45"/>
              <w:jc w:val="right"/>
              <w:rPr>
                <w:sz w:val="11"/>
              </w:rPr>
            </w:pPr>
            <w:r>
              <w:rPr>
                <w:sz w:val="11"/>
              </w:rPr>
              <w:t>483.617,92</w:t>
            </w:r>
          </w:p>
        </w:tc>
        <w:tc>
          <w:tcPr>
            <w:tcW w:w="838" w:type="dxa"/>
            <w:shd w:val="clear" w:color="auto" w:fill="DEEAF6"/>
          </w:tcPr>
          <w:p>
            <w:pPr>
              <w:pStyle w:val="TableParagraph"/>
              <w:spacing w:line="102" w:lineRule="exact"/>
              <w:ind w:right="46"/>
              <w:jc w:val="right"/>
              <w:rPr>
                <w:sz w:val="11"/>
              </w:rPr>
            </w:pPr>
            <w:r>
              <w:rPr>
                <w:sz w:val="11"/>
              </w:rPr>
              <w:t>186.036,92</w:t>
            </w:r>
          </w:p>
        </w:tc>
        <w:tc>
          <w:tcPr>
            <w:tcW w:w="836" w:type="dxa"/>
            <w:shd w:val="clear" w:color="auto" w:fill="DEEAF6"/>
          </w:tcPr>
          <w:p>
            <w:pPr>
              <w:pStyle w:val="TableParagraph"/>
              <w:spacing w:line="102" w:lineRule="exact"/>
              <w:ind w:right="43"/>
              <w:jc w:val="right"/>
              <w:rPr>
                <w:sz w:val="11"/>
              </w:rPr>
            </w:pPr>
            <w:r>
              <w:rPr>
                <w:sz w:val="11"/>
              </w:rPr>
              <w:t>313.160,99</w:t>
            </w:r>
          </w:p>
        </w:tc>
        <w:tc>
          <w:tcPr>
            <w:tcW w:w="836" w:type="dxa"/>
            <w:shd w:val="clear" w:color="auto" w:fill="DEEAF6"/>
          </w:tcPr>
          <w:p>
            <w:pPr>
              <w:pStyle w:val="TableParagraph"/>
              <w:spacing w:line="102" w:lineRule="exact"/>
              <w:ind w:right="42"/>
              <w:jc w:val="right"/>
              <w:rPr>
                <w:sz w:val="11"/>
              </w:rPr>
            </w:pPr>
            <w:r>
              <w:rPr>
                <w:sz w:val="11"/>
              </w:rPr>
              <w:t>499.197,91</w:t>
            </w:r>
          </w:p>
        </w:tc>
        <w:tc>
          <w:tcPr>
            <w:tcW w:w="836" w:type="dxa"/>
            <w:shd w:val="clear" w:color="auto" w:fill="DEEAF6"/>
          </w:tcPr>
          <w:p>
            <w:pPr>
              <w:pStyle w:val="TableParagraph"/>
              <w:spacing w:line="102" w:lineRule="exact"/>
              <w:ind w:right="41"/>
              <w:jc w:val="right"/>
              <w:rPr>
                <w:sz w:val="11"/>
              </w:rPr>
            </w:pPr>
            <w:r>
              <w:rPr>
                <w:w w:val="95"/>
                <w:sz w:val="11"/>
              </w:rPr>
              <w:t>98.855,05</w:t>
            </w:r>
          </w:p>
        </w:tc>
        <w:tc>
          <w:tcPr>
            <w:tcW w:w="899" w:type="dxa"/>
            <w:shd w:val="clear" w:color="auto" w:fill="DEEAF6"/>
          </w:tcPr>
          <w:p>
            <w:pPr>
              <w:pStyle w:val="TableParagraph"/>
              <w:spacing w:line="102" w:lineRule="exact"/>
              <w:ind w:right="40"/>
              <w:jc w:val="right"/>
              <w:rPr>
                <w:sz w:val="11"/>
              </w:rPr>
            </w:pPr>
            <w:r>
              <w:rPr>
                <w:sz w:val="11"/>
              </w:rPr>
              <w:t>385.397,52</w:t>
            </w:r>
          </w:p>
        </w:tc>
        <w:tc>
          <w:tcPr>
            <w:tcW w:w="836" w:type="dxa"/>
            <w:tcBorders>
              <w:right w:val="single" w:sz="4" w:space="0" w:color="000000"/>
            </w:tcBorders>
            <w:shd w:val="clear" w:color="auto" w:fill="DEEAF6"/>
          </w:tcPr>
          <w:p>
            <w:pPr>
              <w:pStyle w:val="TableParagraph"/>
              <w:spacing w:line="102" w:lineRule="exact"/>
              <w:ind w:right="34"/>
              <w:jc w:val="right"/>
              <w:rPr>
                <w:sz w:val="11"/>
              </w:rPr>
            </w:pPr>
            <w:r>
              <w:rPr>
                <w:sz w:val="11"/>
              </w:rPr>
              <w:t>484.252,57</w:t>
            </w:r>
          </w:p>
        </w:tc>
      </w:tr>
      <w:tr>
        <w:trPr>
          <w:trHeight w:val="123"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3" w:lineRule="exact"/>
              <w:ind w:right="48"/>
              <w:jc w:val="right"/>
              <w:rPr>
                <w:sz w:val="11"/>
              </w:rPr>
            </w:pPr>
            <w:r>
              <w:rPr>
                <w:w w:val="95"/>
                <w:sz w:val="11"/>
              </w:rPr>
              <w:t>0,00</w:t>
            </w:r>
          </w:p>
        </w:tc>
        <w:tc>
          <w:tcPr>
            <w:tcW w:w="775" w:type="dxa"/>
            <w:shd w:val="clear" w:color="auto" w:fill="FAE3D4"/>
          </w:tcPr>
          <w:p>
            <w:pPr>
              <w:pStyle w:val="TableParagraph"/>
              <w:spacing w:line="103" w:lineRule="exact"/>
              <w:ind w:right="49"/>
              <w:jc w:val="right"/>
              <w:rPr>
                <w:sz w:val="11"/>
              </w:rPr>
            </w:pPr>
            <w:r>
              <w:rPr>
                <w:w w:val="95"/>
                <w:sz w:val="11"/>
              </w:rPr>
              <w:t>0,00</w:t>
            </w:r>
          </w:p>
        </w:tc>
        <w:tc>
          <w:tcPr>
            <w:tcW w:w="773" w:type="dxa"/>
            <w:shd w:val="clear" w:color="auto" w:fill="FAE3D4"/>
          </w:tcPr>
          <w:p>
            <w:pPr>
              <w:pStyle w:val="TableParagraph"/>
              <w:spacing w:line="103" w:lineRule="exact"/>
              <w:ind w:right="46"/>
              <w:jc w:val="right"/>
              <w:rPr>
                <w:sz w:val="11"/>
              </w:rPr>
            </w:pPr>
            <w:r>
              <w:rPr>
                <w:w w:val="95"/>
                <w:sz w:val="11"/>
              </w:rPr>
              <w:t>0,00</w:t>
            </w:r>
          </w:p>
        </w:tc>
        <w:tc>
          <w:tcPr>
            <w:tcW w:w="900" w:type="dxa"/>
            <w:shd w:val="clear" w:color="auto" w:fill="FAE3D4"/>
          </w:tcPr>
          <w:p>
            <w:pPr>
              <w:pStyle w:val="TableParagraph"/>
              <w:spacing w:line="103" w:lineRule="exact"/>
              <w:ind w:right="47"/>
              <w:jc w:val="right"/>
              <w:rPr>
                <w:sz w:val="11"/>
              </w:rPr>
            </w:pPr>
            <w:r>
              <w:rPr>
                <w:sz w:val="11"/>
              </w:rPr>
              <w:t>27.426.212,72</w:t>
            </w:r>
          </w:p>
        </w:tc>
        <w:tc>
          <w:tcPr>
            <w:tcW w:w="775" w:type="dxa"/>
            <w:shd w:val="clear" w:color="auto" w:fill="FAE3D4"/>
          </w:tcPr>
          <w:p>
            <w:pPr>
              <w:pStyle w:val="TableParagraph"/>
              <w:spacing w:line="103" w:lineRule="exact"/>
              <w:ind w:right="48"/>
              <w:jc w:val="right"/>
              <w:rPr>
                <w:sz w:val="11"/>
              </w:rPr>
            </w:pPr>
            <w:r>
              <w:rPr>
                <w:sz w:val="11"/>
              </w:rPr>
              <w:t>1.149.064,45</w:t>
            </w:r>
          </w:p>
        </w:tc>
        <w:tc>
          <w:tcPr>
            <w:tcW w:w="898" w:type="dxa"/>
            <w:shd w:val="clear" w:color="auto" w:fill="FAE3D4"/>
          </w:tcPr>
          <w:p>
            <w:pPr>
              <w:pStyle w:val="TableParagraph"/>
              <w:spacing w:line="103" w:lineRule="exact"/>
              <w:ind w:right="45"/>
              <w:jc w:val="right"/>
              <w:rPr>
                <w:sz w:val="11"/>
              </w:rPr>
            </w:pPr>
            <w:r>
              <w:rPr>
                <w:sz w:val="11"/>
              </w:rPr>
              <w:t>28.575.277,17</w:t>
            </w:r>
          </w:p>
        </w:tc>
        <w:tc>
          <w:tcPr>
            <w:tcW w:w="838" w:type="dxa"/>
            <w:shd w:val="clear" w:color="auto" w:fill="DEEAF6"/>
          </w:tcPr>
          <w:p>
            <w:pPr>
              <w:pStyle w:val="TableParagraph"/>
              <w:spacing w:line="103" w:lineRule="exact"/>
              <w:ind w:right="46"/>
              <w:jc w:val="right"/>
              <w:rPr>
                <w:sz w:val="11"/>
              </w:rPr>
            </w:pPr>
            <w:r>
              <w:rPr>
                <w:sz w:val="11"/>
              </w:rPr>
              <w:t>31.992.847,06</w:t>
            </w:r>
          </w:p>
        </w:tc>
        <w:tc>
          <w:tcPr>
            <w:tcW w:w="836" w:type="dxa"/>
            <w:shd w:val="clear" w:color="auto" w:fill="DEEAF6"/>
          </w:tcPr>
          <w:p>
            <w:pPr>
              <w:pStyle w:val="TableParagraph"/>
              <w:spacing w:line="103" w:lineRule="exact"/>
              <w:ind w:right="43"/>
              <w:jc w:val="right"/>
              <w:rPr>
                <w:sz w:val="11"/>
              </w:rPr>
            </w:pPr>
            <w:r>
              <w:rPr>
                <w:sz w:val="11"/>
              </w:rPr>
              <w:t>6.202.009,99</w:t>
            </w:r>
          </w:p>
        </w:tc>
        <w:tc>
          <w:tcPr>
            <w:tcW w:w="836" w:type="dxa"/>
            <w:shd w:val="clear" w:color="auto" w:fill="DEEAF6"/>
          </w:tcPr>
          <w:p>
            <w:pPr>
              <w:pStyle w:val="TableParagraph"/>
              <w:spacing w:line="103" w:lineRule="exact"/>
              <w:ind w:right="43"/>
              <w:jc w:val="right"/>
              <w:rPr>
                <w:sz w:val="11"/>
              </w:rPr>
            </w:pPr>
            <w:r>
              <w:rPr>
                <w:sz w:val="11"/>
              </w:rPr>
              <w:t>38.194.857,05</w:t>
            </w:r>
          </w:p>
        </w:tc>
        <w:tc>
          <w:tcPr>
            <w:tcW w:w="836" w:type="dxa"/>
            <w:shd w:val="clear" w:color="auto" w:fill="DEEAF6"/>
          </w:tcPr>
          <w:p>
            <w:pPr>
              <w:pStyle w:val="TableParagraph"/>
              <w:spacing w:line="103" w:lineRule="exact"/>
              <w:ind w:right="41"/>
              <w:jc w:val="right"/>
              <w:rPr>
                <w:sz w:val="11"/>
              </w:rPr>
            </w:pPr>
            <w:r>
              <w:rPr>
                <w:sz w:val="11"/>
              </w:rPr>
              <w:t>1.770.545,56</w:t>
            </w:r>
          </w:p>
        </w:tc>
        <w:tc>
          <w:tcPr>
            <w:tcW w:w="899" w:type="dxa"/>
            <w:shd w:val="clear" w:color="auto" w:fill="DEEAF6"/>
          </w:tcPr>
          <w:p>
            <w:pPr>
              <w:pStyle w:val="TableParagraph"/>
              <w:spacing w:line="103" w:lineRule="exact"/>
              <w:ind w:right="40"/>
              <w:jc w:val="right"/>
              <w:rPr>
                <w:sz w:val="11"/>
              </w:rPr>
            </w:pPr>
            <w:r>
              <w:rPr>
                <w:sz w:val="11"/>
              </w:rPr>
              <w:t>6.419.953,36</w:t>
            </w:r>
          </w:p>
        </w:tc>
        <w:tc>
          <w:tcPr>
            <w:tcW w:w="836" w:type="dxa"/>
            <w:tcBorders>
              <w:right w:val="single" w:sz="4" w:space="0" w:color="000000"/>
            </w:tcBorders>
            <w:shd w:val="clear" w:color="auto" w:fill="DEEAF6"/>
          </w:tcPr>
          <w:p>
            <w:pPr>
              <w:pStyle w:val="TableParagraph"/>
              <w:spacing w:line="103" w:lineRule="exact"/>
              <w:ind w:right="34"/>
              <w:jc w:val="right"/>
              <w:rPr>
                <w:sz w:val="11"/>
              </w:rPr>
            </w:pPr>
            <w:r>
              <w:rPr>
                <w:sz w:val="11"/>
              </w:rPr>
              <w:t>8.190.498,92</w:t>
            </w:r>
          </w:p>
        </w:tc>
      </w:tr>
      <w:tr>
        <w:trPr>
          <w:trHeight w:val="123"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3" w:lineRule="exact"/>
              <w:ind w:right="48"/>
              <w:jc w:val="right"/>
              <w:rPr>
                <w:sz w:val="11"/>
              </w:rPr>
            </w:pPr>
            <w:r>
              <w:rPr>
                <w:w w:val="95"/>
                <w:sz w:val="11"/>
              </w:rPr>
              <w:t>0,00</w:t>
            </w:r>
          </w:p>
        </w:tc>
        <w:tc>
          <w:tcPr>
            <w:tcW w:w="775" w:type="dxa"/>
            <w:shd w:val="clear" w:color="auto" w:fill="FAE3D4"/>
          </w:tcPr>
          <w:p>
            <w:pPr>
              <w:pStyle w:val="TableParagraph"/>
              <w:spacing w:line="103" w:lineRule="exact"/>
              <w:ind w:right="49"/>
              <w:jc w:val="right"/>
              <w:rPr>
                <w:sz w:val="11"/>
              </w:rPr>
            </w:pPr>
            <w:r>
              <w:rPr>
                <w:w w:val="95"/>
                <w:sz w:val="11"/>
              </w:rPr>
              <w:t>0,00</w:t>
            </w:r>
          </w:p>
        </w:tc>
        <w:tc>
          <w:tcPr>
            <w:tcW w:w="773" w:type="dxa"/>
            <w:shd w:val="clear" w:color="auto" w:fill="FAE3D4"/>
          </w:tcPr>
          <w:p>
            <w:pPr>
              <w:pStyle w:val="TableParagraph"/>
              <w:spacing w:line="103" w:lineRule="exact"/>
              <w:ind w:right="46"/>
              <w:jc w:val="right"/>
              <w:rPr>
                <w:sz w:val="11"/>
              </w:rPr>
            </w:pPr>
            <w:r>
              <w:rPr>
                <w:w w:val="95"/>
                <w:sz w:val="11"/>
              </w:rPr>
              <w:t>0,00</w:t>
            </w:r>
          </w:p>
        </w:tc>
        <w:tc>
          <w:tcPr>
            <w:tcW w:w="900" w:type="dxa"/>
            <w:shd w:val="clear" w:color="auto" w:fill="FAE3D4"/>
          </w:tcPr>
          <w:p>
            <w:pPr>
              <w:pStyle w:val="TableParagraph"/>
              <w:spacing w:line="103" w:lineRule="exact"/>
              <w:ind w:right="46"/>
              <w:jc w:val="right"/>
              <w:rPr>
                <w:sz w:val="11"/>
              </w:rPr>
            </w:pPr>
            <w:r>
              <w:rPr>
                <w:w w:val="95"/>
                <w:sz w:val="11"/>
              </w:rPr>
              <w:t>0,00</w:t>
            </w:r>
          </w:p>
        </w:tc>
        <w:tc>
          <w:tcPr>
            <w:tcW w:w="775" w:type="dxa"/>
            <w:shd w:val="clear" w:color="auto" w:fill="FAE3D4"/>
          </w:tcPr>
          <w:p>
            <w:pPr>
              <w:pStyle w:val="TableParagraph"/>
              <w:spacing w:line="103" w:lineRule="exact"/>
              <w:ind w:right="47"/>
              <w:jc w:val="right"/>
              <w:rPr>
                <w:sz w:val="11"/>
              </w:rPr>
            </w:pPr>
            <w:r>
              <w:rPr>
                <w:w w:val="95"/>
                <w:sz w:val="11"/>
              </w:rPr>
              <w:t>0,00</w:t>
            </w:r>
          </w:p>
        </w:tc>
        <w:tc>
          <w:tcPr>
            <w:tcW w:w="898" w:type="dxa"/>
            <w:shd w:val="clear" w:color="auto" w:fill="FAE3D4"/>
          </w:tcPr>
          <w:p>
            <w:pPr>
              <w:pStyle w:val="TableParagraph"/>
              <w:spacing w:line="103" w:lineRule="exact"/>
              <w:ind w:right="45"/>
              <w:jc w:val="right"/>
              <w:rPr>
                <w:sz w:val="11"/>
              </w:rPr>
            </w:pPr>
            <w:r>
              <w:rPr>
                <w:w w:val="95"/>
                <w:sz w:val="11"/>
              </w:rPr>
              <w:t>0,00</w:t>
            </w:r>
          </w:p>
        </w:tc>
        <w:tc>
          <w:tcPr>
            <w:tcW w:w="838" w:type="dxa"/>
            <w:shd w:val="clear" w:color="auto" w:fill="DEEAF6"/>
          </w:tcPr>
          <w:p>
            <w:pPr>
              <w:pStyle w:val="TableParagraph"/>
              <w:rPr>
                <w:rFonts w:ascii="Times New Roman"/>
                <w:sz w:val="6"/>
              </w:rPr>
            </w:pPr>
          </w:p>
        </w:tc>
        <w:tc>
          <w:tcPr>
            <w:tcW w:w="836" w:type="dxa"/>
            <w:shd w:val="clear" w:color="auto" w:fill="DEEAF6"/>
          </w:tcPr>
          <w:p>
            <w:pPr>
              <w:pStyle w:val="TableParagraph"/>
              <w:spacing w:line="103" w:lineRule="exact"/>
              <w:ind w:right="43"/>
              <w:jc w:val="right"/>
              <w:rPr>
                <w:sz w:val="11"/>
              </w:rPr>
            </w:pPr>
            <w:r>
              <w:rPr>
                <w:w w:val="95"/>
                <w:sz w:val="11"/>
              </w:rPr>
              <w:t>0,00</w:t>
            </w:r>
          </w:p>
        </w:tc>
        <w:tc>
          <w:tcPr>
            <w:tcW w:w="836" w:type="dxa"/>
            <w:shd w:val="clear" w:color="auto" w:fill="DEEAF6"/>
          </w:tcPr>
          <w:p>
            <w:pPr>
              <w:pStyle w:val="TableParagraph"/>
              <w:spacing w:line="103" w:lineRule="exact"/>
              <w:ind w:right="42"/>
              <w:jc w:val="right"/>
              <w:rPr>
                <w:sz w:val="11"/>
              </w:rPr>
            </w:pPr>
            <w:r>
              <w:rPr>
                <w:w w:val="95"/>
                <w:sz w:val="11"/>
              </w:rPr>
              <w:t>0,00</w:t>
            </w:r>
          </w:p>
        </w:tc>
        <w:tc>
          <w:tcPr>
            <w:tcW w:w="836" w:type="dxa"/>
            <w:shd w:val="clear" w:color="auto" w:fill="DEEAF6"/>
          </w:tcPr>
          <w:p>
            <w:pPr>
              <w:pStyle w:val="TableParagraph"/>
              <w:rPr>
                <w:rFonts w:ascii="Times New Roman"/>
                <w:sz w:val="6"/>
              </w:rPr>
            </w:pPr>
          </w:p>
        </w:tc>
        <w:tc>
          <w:tcPr>
            <w:tcW w:w="899" w:type="dxa"/>
            <w:shd w:val="clear" w:color="auto" w:fill="DEEAF6"/>
          </w:tcPr>
          <w:p>
            <w:pPr>
              <w:pStyle w:val="TableParagraph"/>
              <w:rPr>
                <w:rFonts w:ascii="Times New Roman"/>
                <w:sz w:val="6"/>
              </w:rPr>
            </w:pPr>
          </w:p>
        </w:tc>
        <w:tc>
          <w:tcPr>
            <w:tcW w:w="836" w:type="dxa"/>
            <w:tcBorders>
              <w:right w:val="single" w:sz="4" w:space="0" w:color="000000"/>
            </w:tcBorders>
            <w:shd w:val="clear" w:color="auto" w:fill="DEEAF6"/>
          </w:tcPr>
          <w:p>
            <w:pPr>
              <w:pStyle w:val="TableParagraph"/>
              <w:spacing w:line="103" w:lineRule="exact"/>
              <w:ind w:right="33"/>
              <w:jc w:val="right"/>
              <w:rPr>
                <w:sz w:val="11"/>
              </w:rPr>
            </w:pPr>
            <w:r>
              <w:rPr>
                <w:w w:val="95"/>
                <w:sz w:val="11"/>
              </w:rPr>
              <w:t>0,00</w:t>
            </w:r>
          </w:p>
        </w:tc>
      </w:tr>
      <w:tr>
        <w:trPr>
          <w:trHeight w:val="122"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2" w:lineRule="exact"/>
              <w:ind w:right="48"/>
              <w:jc w:val="right"/>
              <w:rPr>
                <w:sz w:val="11"/>
              </w:rPr>
            </w:pPr>
            <w:r>
              <w:rPr>
                <w:w w:val="95"/>
                <w:sz w:val="11"/>
              </w:rPr>
              <w:t>0,00</w:t>
            </w:r>
          </w:p>
        </w:tc>
        <w:tc>
          <w:tcPr>
            <w:tcW w:w="775" w:type="dxa"/>
            <w:shd w:val="clear" w:color="auto" w:fill="FAE3D4"/>
          </w:tcPr>
          <w:p>
            <w:pPr>
              <w:pStyle w:val="TableParagraph"/>
              <w:spacing w:line="102" w:lineRule="exact"/>
              <w:ind w:right="49"/>
              <w:jc w:val="right"/>
              <w:rPr>
                <w:sz w:val="11"/>
              </w:rPr>
            </w:pPr>
            <w:r>
              <w:rPr>
                <w:w w:val="95"/>
                <w:sz w:val="11"/>
              </w:rPr>
              <w:t>0,00</w:t>
            </w:r>
          </w:p>
        </w:tc>
        <w:tc>
          <w:tcPr>
            <w:tcW w:w="773" w:type="dxa"/>
            <w:shd w:val="clear" w:color="auto" w:fill="FAE3D4"/>
          </w:tcPr>
          <w:p>
            <w:pPr>
              <w:pStyle w:val="TableParagraph"/>
              <w:spacing w:line="102" w:lineRule="exact"/>
              <w:ind w:right="46"/>
              <w:jc w:val="right"/>
              <w:rPr>
                <w:sz w:val="11"/>
              </w:rPr>
            </w:pPr>
            <w:r>
              <w:rPr>
                <w:w w:val="95"/>
                <w:sz w:val="11"/>
              </w:rPr>
              <w:t>0,00</w:t>
            </w:r>
          </w:p>
        </w:tc>
        <w:tc>
          <w:tcPr>
            <w:tcW w:w="900" w:type="dxa"/>
            <w:shd w:val="clear" w:color="auto" w:fill="FAE3D4"/>
          </w:tcPr>
          <w:p>
            <w:pPr>
              <w:pStyle w:val="TableParagraph"/>
              <w:spacing w:line="102" w:lineRule="exact"/>
              <w:ind w:right="46"/>
              <w:jc w:val="right"/>
              <w:rPr>
                <w:sz w:val="11"/>
              </w:rPr>
            </w:pPr>
            <w:r>
              <w:rPr>
                <w:sz w:val="11"/>
              </w:rPr>
              <w:t>1.199.340,82</w:t>
            </w:r>
          </w:p>
        </w:tc>
        <w:tc>
          <w:tcPr>
            <w:tcW w:w="775" w:type="dxa"/>
            <w:shd w:val="clear" w:color="auto" w:fill="FAE3D4"/>
          </w:tcPr>
          <w:p>
            <w:pPr>
              <w:pStyle w:val="TableParagraph"/>
              <w:spacing w:line="102" w:lineRule="exact"/>
              <w:ind w:right="47"/>
              <w:jc w:val="right"/>
              <w:rPr>
                <w:sz w:val="11"/>
              </w:rPr>
            </w:pPr>
            <w:r>
              <w:rPr>
                <w:w w:val="95"/>
                <w:sz w:val="11"/>
              </w:rPr>
              <w:t>0,00</w:t>
            </w:r>
          </w:p>
        </w:tc>
        <w:tc>
          <w:tcPr>
            <w:tcW w:w="898" w:type="dxa"/>
            <w:shd w:val="clear" w:color="auto" w:fill="FAE3D4"/>
          </w:tcPr>
          <w:p>
            <w:pPr>
              <w:pStyle w:val="TableParagraph"/>
              <w:spacing w:line="102" w:lineRule="exact"/>
              <w:ind w:right="45"/>
              <w:jc w:val="right"/>
              <w:rPr>
                <w:sz w:val="11"/>
              </w:rPr>
            </w:pPr>
            <w:r>
              <w:rPr>
                <w:sz w:val="11"/>
              </w:rPr>
              <w:t>1.199.340,82</w:t>
            </w:r>
          </w:p>
        </w:tc>
        <w:tc>
          <w:tcPr>
            <w:tcW w:w="838" w:type="dxa"/>
            <w:shd w:val="clear" w:color="auto" w:fill="DEEAF6"/>
          </w:tcPr>
          <w:p>
            <w:pPr>
              <w:pStyle w:val="TableParagraph"/>
              <w:spacing w:line="102" w:lineRule="exact"/>
              <w:ind w:right="46"/>
              <w:jc w:val="right"/>
              <w:rPr>
                <w:sz w:val="11"/>
              </w:rPr>
            </w:pPr>
            <w:r>
              <w:rPr>
                <w:sz w:val="11"/>
              </w:rPr>
              <w:t>4.926.277,70</w:t>
            </w:r>
          </w:p>
        </w:tc>
        <w:tc>
          <w:tcPr>
            <w:tcW w:w="836" w:type="dxa"/>
            <w:shd w:val="clear" w:color="auto" w:fill="DEEAF6"/>
          </w:tcPr>
          <w:p>
            <w:pPr>
              <w:pStyle w:val="TableParagraph"/>
              <w:spacing w:line="102" w:lineRule="exact"/>
              <w:ind w:right="43"/>
              <w:jc w:val="right"/>
              <w:rPr>
                <w:sz w:val="11"/>
              </w:rPr>
            </w:pPr>
            <w:r>
              <w:rPr>
                <w:sz w:val="11"/>
              </w:rPr>
              <w:t>345.640,93</w:t>
            </w:r>
          </w:p>
        </w:tc>
        <w:tc>
          <w:tcPr>
            <w:tcW w:w="836" w:type="dxa"/>
            <w:shd w:val="clear" w:color="auto" w:fill="DEEAF6"/>
          </w:tcPr>
          <w:p>
            <w:pPr>
              <w:pStyle w:val="TableParagraph"/>
              <w:spacing w:line="102" w:lineRule="exact"/>
              <w:ind w:right="42"/>
              <w:jc w:val="right"/>
              <w:rPr>
                <w:sz w:val="11"/>
              </w:rPr>
            </w:pPr>
            <w:r>
              <w:rPr>
                <w:sz w:val="11"/>
              </w:rPr>
              <w:t>5.271.918,63</w:t>
            </w:r>
          </w:p>
        </w:tc>
        <w:tc>
          <w:tcPr>
            <w:tcW w:w="836" w:type="dxa"/>
            <w:shd w:val="clear" w:color="auto" w:fill="DEEAF6"/>
          </w:tcPr>
          <w:p>
            <w:pPr>
              <w:pStyle w:val="TableParagraph"/>
              <w:spacing w:line="102" w:lineRule="exact"/>
              <w:ind w:right="41"/>
              <w:jc w:val="right"/>
              <w:rPr>
                <w:sz w:val="11"/>
              </w:rPr>
            </w:pPr>
            <w:r>
              <w:rPr>
                <w:sz w:val="11"/>
              </w:rPr>
              <w:t>426.889,65</w:t>
            </w:r>
          </w:p>
        </w:tc>
        <w:tc>
          <w:tcPr>
            <w:tcW w:w="899" w:type="dxa"/>
            <w:shd w:val="clear" w:color="auto" w:fill="DEEAF6"/>
          </w:tcPr>
          <w:p>
            <w:pPr>
              <w:pStyle w:val="TableParagraph"/>
              <w:spacing w:line="102" w:lineRule="exact"/>
              <w:ind w:right="40"/>
              <w:jc w:val="right"/>
              <w:rPr>
                <w:sz w:val="11"/>
              </w:rPr>
            </w:pPr>
            <w:r>
              <w:rPr>
                <w:sz w:val="11"/>
              </w:rPr>
              <w:t>841.836,09</w:t>
            </w:r>
          </w:p>
        </w:tc>
        <w:tc>
          <w:tcPr>
            <w:tcW w:w="836" w:type="dxa"/>
            <w:tcBorders>
              <w:right w:val="single" w:sz="4" w:space="0" w:color="000000"/>
            </w:tcBorders>
            <w:shd w:val="clear" w:color="auto" w:fill="DEEAF6"/>
          </w:tcPr>
          <w:p>
            <w:pPr>
              <w:pStyle w:val="TableParagraph"/>
              <w:spacing w:line="102" w:lineRule="exact"/>
              <w:ind w:right="34"/>
              <w:jc w:val="right"/>
              <w:rPr>
                <w:sz w:val="11"/>
              </w:rPr>
            </w:pPr>
            <w:r>
              <w:rPr>
                <w:sz w:val="11"/>
              </w:rPr>
              <w:t>1.268.725,74</w:t>
            </w:r>
          </w:p>
        </w:tc>
      </w:tr>
      <w:tr>
        <w:trPr>
          <w:trHeight w:val="122"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2" w:lineRule="exact"/>
              <w:ind w:right="48"/>
              <w:jc w:val="right"/>
              <w:rPr>
                <w:sz w:val="11"/>
              </w:rPr>
            </w:pPr>
            <w:r>
              <w:rPr>
                <w:w w:val="95"/>
                <w:sz w:val="11"/>
              </w:rPr>
              <w:t>0,00</w:t>
            </w:r>
          </w:p>
        </w:tc>
        <w:tc>
          <w:tcPr>
            <w:tcW w:w="775" w:type="dxa"/>
            <w:shd w:val="clear" w:color="auto" w:fill="FAE3D4"/>
          </w:tcPr>
          <w:p>
            <w:pPr>
              <w:pStyle w:val="TableParagraph"/>
              <w:spacing w:line="102" w:lineRule="exact"/>
              <w:ind w:right="49"/>
              <w:jc w:val="right"/>
              <w:rPr>
                <w:sz w:val="11"/>
              </w:rPr>
            </w:pPr>
            <w:r>
              <w:rPr>
                <w:w w:val="95"/>
                <w:sz w:val="11"/>
              </w:rPr>
              <w:t>0,00</w:t>
            </w:r>
          </w:p>
        </w:tc>
        <w:tc>
          <w:tcPr>
            <w:tcW w:w="773" w:type="dxa"/>
            <w:shd w:val="clear" w:color="auto" w:fill="FAE3D4"/>
          </w:tcPr>
          <w:p>
            <w:pPr>
              <w:pStyle w:val="TableParagraph"/>
              <w:spacing w:line="102" w:lineRule="exact"/>
              <w:ind w:right="46"/>
              <w:jc w:val="right"/>
              <w:rPr>
                <w:sz w:val="11"/>
              </w:rPr>
            </w:pPr>
            <w:r>
              <w:rPr>
                <w:w w:val="95"/>
                <w:sz w:val="11"/>
              </w:rPr>
              <w:t>0,00</w:t>
            </w:r>
          </w:p>
        </w:tc>
        <w:tc>
          <w:tcPr>
            <w:tcW w:w="900" w:type="dxa"/>
            <w:shd w:val="clear" w:color="auto" w:fill="FAE3D4"/>
          </w:tcPr>
          <w:p>
            <w:pPr>
              <w:pStyle w:val="TableParagraph"/>
              <w:spacing w:line="102" w:lineRule="exact"/>
              <w:ind w:right="46"/>
              <w:jc w:val="right"/>
              <w:rPr>
                <w:sz w:val="11"/>
              </w:rPr>
            </w:pPr>
            <w:r>
              <w:rPr>
                <w:sz w:val="11"/>
              </w:rPr>
              <w:t>1.245.146,78</w:t>
            </w:r>
          </w:p>
        </w:tc>
        <w:tc>
          <w:tcPr>
            <w:tcW w:w="775" w:type="dxa"/>
            <w:shd w:val="clear" w:color="auto" w:fill="FAE3D4"/>
          </w:tcPr>
          <w:p>
            <w:pPr>
              <w:pStyle w:val="TableParagraph"/>
              <w:spacing w:line="102" w:lineRule="exact"/>
              <w:ind w:right="47"/>
              <w:jc w:val="right"/>
              <w:rPr>
                <w:sz w:val="11"/>
              </w:rPr>
            </w:pPr>
            <w:r>
              <w:rPr>
                <w:w w:val="95"/>
                <w:sz w:val="11"/>
              </w:rPr>
              <w:t>0,00</w:t>
            </w:r>
          </w:p>
        </w:tc>
        <w:tc>
          <w:tcPr>
            <w:tcW w:w="898" w:type="dxa"/>
            <w:shd w:val="clear" w:color="auto" w:fill="FAE3D4"/>
          </w:tcPr>
          <w:p>
            <w:pPr>
              <w:pStyle w:val="TableParagraph"/>
              <w:spacing w:line="102" w:lineRule="exact"/>
              <w:ind w:right="45"/>
              <w:jc w:val="right"/>
              <w:rPr>
                <w:sz w:val="11"/>
              </w:rPr>
            </w:pPr>
            <w:r>
              <w:rPr>
                <w:sz w:val="11"/>
              </w:rPr>
              <w:t>1.245.146,78</w:t>
            </w:r>
          </w:p>
        </w:tc>
        <w:tc>
          <w:tcPr>
            <w:tcW w:w="838" w:type="dxa"/>
            <w:shd w:val="clear" w:color="auto" w:fill="DEEAF6"/>
          </w:tcPr>
          <w:p>
            <w:pPr>
              <w:pStyle w:val="TableParagraph"/>
              <w:spacing w:line="102" w:lineRule="exact"/>
              <w:ind w:right="46"/>
              <w:jc w:val="right"/>
              <w:rPr>
                <w:sz w:val="11"/>
              </w:rPr>
            </w:pPr>
            <w:r>
              <w:rPr>
                <w:sz w:val="11"/>
              </w:rPr>
              <w:t>798.625,66</w:t>
            </w:r>
          </w:p>
        </w:tc>
        <w:tc>
          <w:tcPr>
            <w:tcW w:w="836" w:type="dxa"/>
            <w:shd w:val="clear" w:color="auto" w:fill="DEEAF6"/>
          </w:tcPr>
          <w:p>
            <w:pPr>
              <w:pStyle w:val="TableParagraph"/>
              <w:spacing w:line="102" w:lineRule="exact"/>
              <w:ind w:right="43"/>
              <w:jc w:val="right"/>
              <w:rPr>
                <w:sz w:val="11"/>
              </w:rPr>
            </w:pPr>
            <w:r>
              <w:rPr>
                <w:sz w:val="11"/>
              </w:rPr>
              <w:t>306.973,67</w:t>
            </w:r>
          </w:p>
        </w:tc>
        <w:tc>
          <w:tcPr>
            <w:tcW w:w="836" w:type="dxa"/>
            <w:shd w:val="clear" w:color="auto" w:fill="DEEAF6"/>
          </w:tcPr>
          <w:p>
            <w:pPr>
              <w:pStyle w:val="TableParagraph"/>
              <w:spacing w:line="102" w:lineRule="exact"/>
              <w:ind w:right="42"/>
              <w:jc w:val="right"/>
              <w:rPr>
                <w:sz w:val="11"/>
              </w:rPr>
            </w:pPr>
            <w:r>
              <w:rPr>
                <w:sz w:val="11"/>
              </w:rPr>
              <w:t>1.105.599,33</w:t>
            </w:r>
          </w:p>
        </w:tc>
        <w:tc>
          <w:tcPr>
            <w:tcW w:w="836" w:type="dxa"/>
            <w:shd w:val="clear" w:color="auto" w:fill="DEEAF6"/>
          </w:tcPr>
          <w:p>
            <w:pPr>
              <w:pStyle w:val="TableParagraph"/>
              <w:rPr>
                <w:rFonts w:ascii="Times New Roman"/>
                <w:sz w:val="6"/>
              </w:rPr>
            </w:pPr>
          </w:p>
        </w:tc>
        <w:tc>
          <w:tcPr>
            <w:tcW w:w="899" w:type="dxa"/>
            <w:shd w:val="clear" w:color="auto" w:fill="DEEAF6"/>
          </w:tcPr>
          <w:p>
            <w:pPr>
              <w:pStyle w:val="TableParagraph"/>
              <w:spacing w:line="102" w:lineRule="exact"/>
              <w:ind w:right="40"/>
              <w:jc w:val="right"/>
              <w:rPr>
                <w:sz w:val="11"/>
              </w:rPr>
            </w:pPr>
            <w:r>
              <w:rPr>
                <w:sz w:val="11"/>
              </w:rPr>
              <w:t>367.549,61</w:t>
            </w:r>
          </w:p>
        </w:tc>
        <w:tc>
          <w:tcPr>
            <w:tcW w:w="836" w:type="dxa"/>
            <w:tcBorders>
              <w:right w:val="single" w:sz="4" w:space="0" w:color="000000"/>
            </w:tcBorders>
            <w:shd w:val="clear" w:color="auto" w:fill="DEEAF6"/>
          </w:tcPr>
          <w:p>
            <w:pPr>
              <w:pStyle w:val="TableParagraph"/>
              <w:spacing w:line="102" w:lineRule="exact"/>
              <w:ind w:right="34"/>
              <w:jc w:val="right"/>
              <w:rPr>
                <w:sz w:val="11"/>
              </w:rPr>
            </w:pPr>
            <w:r>
              <w:rPr>
                <w:sz w:val="11"/>
              </w:rPr>
              <w:t>367.549,61</w:t>
            </w:r>
          </w:p>
        </w:tc>
      </w:tr>
      <w:tr>
        <w:trPr>
          <w:trHeight w:val="122"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2" w:lineRule="exact"/>
              <w:ind w:right="48"/>
              <w:jc w:val="right"/>
              <w:rPr>
                <w:sz w:val="11"/>
              </w:rPr>
            </w:pPr>
            <w:r>
              <w:rPr>
                <w:w w:val="95"/>
                <w:sz w:val="11"/>
              </w:rPr>
              <w:t>0,00</w:t>
            </w:r>
          </w:p>
        </w:tc>
        <w:tc>
          <w:tcPr>
            <w:tcW w:w="775" w:type="dxa"/>
            <w:shd w:val="clear" w:color="auto" w:fill="FAE3D4"/>
          </w:tcPr>
          <w:p>
            <w:pPr>
              <w:pStyle w:val="TableParagraph"/>
              <w:spacing w:line="102" w:lineRule="exact"/>
              <w:ind w:right="49"/>
              <w:jc w:val="right"/>
              <w:rPr>
                <w:sz w:val="11"/>
              </w:rPr>
            </w:pPr>
            <w:r>
              <w:rPr>
                <w:w w:val="95"/>
                <w:sz w:val="11"/>
              </w:rPr>
              <w:t>0,00</w:t>
            </w:r>
          </w:p>
        </w:tc>
        <w:tc>
          <w:tcPr>
            <w:tcW w:w="773" w:type="dxa"/>
            <w:shd w:val="clear" w:color="auto" w:fill="FAE3D4"/>
          </w:tcPr>
          <w:p>
            <w:pPr>
              <w:pStyle w:val="TableParagraph"/>
              <w:spacing w:line="102" w:lineRule="exact"/>
              <w:ind w:right="46"/>
              <w:jc w:val="right"/>
              <w:rPr>
                <w:sz w:val="11"/>
              </w:rPr>
            </w:pPr>
            <w:r>
              <w:rPr>
                <w:w w:val="95"/>
                <w:sz w:val="11"/>
              </w:rPr>
              <w:t>0,00</w:t>
            </w:r>
          </w:p>
        </w:tc>
        <w:tc>
          <w:tcPr>
            <w:tcW w:w="900" w:type="dxa"/>
            <w:shd w:val="clear" w:color="auto" w:fill="FAE3D4"/>
          </w:tcPr>
          <w:p>
            <w:pPr>
              <w:pStyle w:val="TableParagraph"/>
              <w:spacing w:line="102" w:lineRule="exact"/>
              <w:ind w:right="46"/>
              <w:jc w:val="right"/>
              <w:rPr>
                <w:sz w:val="11"/>
              </w:rPr>
            </w:pPr>
            <w:r>
              <w:rPr>
                <w:w w:val="95"/>
                <w:sz w:val="11"/>
              </w:rPr>
              <w:t>0,00</w:t>
            </w:r>
          </w:p>
        </w:tc>
        <w:tc>
          <w:tcPr>
            <w:tcW w:w="775" w:type="dxa"/>
            <w:shd w:val="clear" w:color="auto" w:fill="FAE3D4"/>
          </w:tcPr>
          <w:p>
            <w:pPr>
              <w:pStyle w:val="TableParagraph"/>
              <w:spacing w:line="102" w:lineRule="exact"/>
              <w:ind w:right="47"/>
              <w:jc w:val="right"/>
              <w:rPr>
                <w:sz w:val="11"/>
              </w:rPr>
            </w:pPr>
            <w:r>
              <w:rPr>
                <w:w w:val="95"/>
                <w:sz w:val="11"/>
              </w:rPr>
              <w:t>0,00</w:t>
            </w:r>
          </w:p>
        </w:tc>
        <w:tc>
          <w:tcPr>
            <w:tcW w:w="898" w:type="dxa"/>
            <w:shd w:val="clear" w:color="auto" w:fill="FAE3D4"/>
          </w:tcPr>
          <w:p>
            <w:pPr>
              <w:pStyle w:val="TableParagraph"/>
              <w:spacing w:line="102" w:lineRule="exact"/>
              <w:ind w:right="45"/>
              <w:jc w:val="right"/>
              <w:rPr>
                <w:sz w:val="11"/>
              </w:rPr>
            </w:pPr>
            <w:r>
              <w:rPr>
                <w:w w:val="95"/>
                <w:sz w:val="11"/>
              </w:rPr>
              <w:t>0,00</w:t>
            </w:r>
          </w:p>
        </w:tc>
        <w:tc>
          <w:tcPr>
            <w:tcW w:w="838" w:type="dxa"/>
            <w:shd w:val="clear" w:color="auto" w:fill="DEEAF6"/>
          </w:tcPr>
          <w:p>
            <w:pPr>
              <w:pStyle w:val="TableParagraph"/>
              <w:rPr>
                <w:rFonts w:ascii="Times New Roman"/>
                <w:sz w:val="6"/>
              </w:rPr>
            </w:pPr>
          </w:p>
        </w:tc>
        <w:tc>
          <w:tcPr>
            <w:tcW w:w="836" w:type="dxa"/>
            <w:shd w:val="clear" w:color="auto" w:fill="DEEAF6"/>
          </w:tcPr>
          <w:p>
            <w:pPr>
              <w:pStyle w:val="TableParagraph"/>
              <w:spacing w:line="102" w:lineRule="exact"/>
              <w:ind w:right="43"/>
              <w:jc w:val="right"/>
              <w:rPr>
                <w:sz w:val="11"/>
              </w:rPr>
            </w:pPr>
            <w:r>
              <w:rPr>
                <w:w w:val="95"/>
                <w:sz w:val="11"/>
              </w:rPr>
              <w:t>0,00</w:t>
            </w:r>
          </w:p>
        </w:tc>
        <w:tc>
          <w:tcPr>
            <w:tcW w:w="836" w:type="dxa"/>
            <w:shd w:val="clear" w:color="auto" w:fill="DEEAF6"/>
          </w:tcPr>
          <w:p>
            <w:pPr>
              <w:pStyle w:val="TableParagraph"/>
              <w:spacing w:line="102" w:lineRule="exact"/>
              <w:ind w:right="42"/>
              <w:jc w:val="right"/>
              <w:rPr>
                <w:sz w:val="11"/>
              </w:rPr>
            </w:pPr>
            <w:r>
              <w:rPr>
                <w:w w:val="95"/>
                <w:sz w:val="11"/>
              </w:rPr>
              <w:t>0,00</w:t>
            </w:r>
          </w:p>
        </w:tc>
        <w:tc>
          <w:tcPr>
            <w:tcW w:w="836" w:type="dxa"/>
            <w:shd w:val="clear" w:color="auto" w:fill="DEEAF6"/>
          </w:tcPr>
          <w:p>
            <w:pPr>
              <w:pStyle w:val="TableParagraph"/>
              <w:rPr>
                <w:rFonts w:ascii="Times New Roman"/>
                <w:sz w:val="6"/>
              </w:rPr>
            </w:pPr>
          </w:p>
        </w:tc>
        <w:tc>
          <w:tcPr>
            <w:tcW w:w="899" w:type="dxa"/>
            <w:shd w:val="clear" w:color="auto" w:fill="DEEAF6"/>
          </w:tcPr>
          <w:p>
            <w:pPr>
              <w:pStyle w:val="TableParagraph"/>
              <w:rPr>
                <w:rFonts w:ascii="Times New Roman"/>
                <w:sz w:val="6"/>
              </w:rPr>
            </w:pPr>
          </w:p>
        </w:tc>
        <w:tc>
          <w:tcPr>
            <w:tcW w:w="836" w:type="dxa"/>
            <w:tcBorders>
              <w:right w:val="single" w:sz="4" w:space="0" w:color="000000"/>
            </w:tcBorders>
            <w:shd w:val="clear" w:color="auto" w:fill="DEEAF6"/>
          </w:tcPr>
          <w:p>
            <w:pPr>
              <w:pStyle w:val="TableParagraph"/>
              <w:spacing w:line="102" w:lineRule="exact"/>
              <w:ind w:right="33"/>
              <w:jc w:val="right"/>
              <w:rPr>
                <w:sz w:val="11"/>
              </w:rPr>
            </w:pPr>
            <w:r>
              <w:rPr>
                <w:w w:val="95"/>
                <w:sz w:val="11"/>
              </w:rPr>
              <w:t>0,00</w:t>
            </w:r>
          </w:p>
        </w:tc>
      </w:tr>
      <w:tr>
        <w:trPr>
          <w:trHeight w:val="123"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3" w:lineRule="exact"/>
              <w:ind w:right="48"/>
              <w:jc w:val="right"/>
              <w:rPr>
                <w:sz w:val="11"/>
              </w:rPr>
            </w:pPr>
            <w:r>
              <w:rPr>
                <w:w w:val="95"/>
                <w:sz w:val="11"/>
              </w:rPr>
              <w:t>0,00</w:t>
            </w:r>
          </w:p>
        </w:tc>
        <w:tc>
          <w:tcPr>
            <w:tcW w:w="775" w:type="dxa"/>
            <w:shd w:val="clear" w:color="auto" w:fill="FAE3D4"/>
          </w:tcPr>
          <w:p>
            <w:pPr>
              <w:pStyle w:val="TableParagraph"/>
              <w:spacing w:line="103" w:lineRule="exact"/>
              <w:ind w:right="49"/>
              <w:jc w:val="right"/>
              <w:rPr>
                <w:sz w:val="11"/>
              </w:rPr>
            </w:pPr>
            <w:r>
              <w:rPr>
                <w:w w:val="95"/>
                <w:sz w:val="11"/>
              </w:rPr>
              <w:t>0,00</w:t>
            </w:r>
          </w:p>
        </w:tc>
        <w:tc>
          <w:tcPr>
            <w:tcW w:w="773" w:type="dxa"/>
            <w:shd w:val="clear" w:color="auto" w:fill="FAE3D4"/>
          </w:tcPr>
          <w:p>
            <w:pPr>
              <w:pStyle w:val="TableParagraph"/>
              <w:spacing w:line="103" w:lineRule="exact"/>
              <w:ind w:right="46"/>
              <w:jc w:val="right"/>
              <w:rPr>
                <w:sz w:val="11"/>
              </w:rPr>
            </w:pPr>
            <w:r>
              <w:rPr>
                <w:w w:val="95"/>
                <w:sz w:val="11"/>
              </w:rPr>
              <w:t>0,00</w:t>
            </w:r>
          </w:p>
        </w:tc>
        <w:tc>
          <w:tcPr>
            <w:tcW w:w="900" w:type="dxa"/>
            <w:shd w:val="clear" w:color="auto" w:fill="FAE3D4"/>
          </w:tcPr>
          <w:p>
            <w:pPr>
              <w:pStyle w:val="TableParagraph"/>
              <w:spacing w:line="103" w:lineRule="exact"/>
              <w:ind w:right="46"/>
              <w:jc w:val="right"/>
              <w:rPr>
                <w:sz w:val="11"/>
              </w:rPr>
            </w:pPr>
            <w:r>
              <w:rPr>
                <w:w w:val="95"/>
                <w:sz w:val="11"/>
              </w:rPr>
              <w:t>0,00</w:t>
            </w:r>
          </w:p>
        </w:tc>
        <w:tc>
          <w:tcPr>
            <w:tcW w:w="775" w:type="dxa"/>
            <w:shd w:val="clear" w:color="auto" w:fill="FAE3D4"/>
          </w:tcPr>
          <w:p>
            <w:pPr>
              <w:pStyle w:val="TableParagraph"/>
              <w:spacing w:line="103" w:lineRule="exact"/>
              <w:ind w:right="47"/>
              <w:jc w:val="right"/>
              <w:rPr>
                <w:sz w:val="11"/>
              </w:rPr>
            </w:pPr>
            <w:r>
              <w:rPr>
                <w:w w:val="95"/>
                <w:sz w:val="11"/>
              </w:rPr>
              <w:t>0,00</w:t>
            </w:r>
          </w:p>
        </w:tc>
        <w:tc>
          <w:tcPr>
            <w:tcW w:w="898" w:type="dxa"/>
            <w:shd w:val="clear" w:color="auto" w:fill="FAE3D4"/>
          </w:tcPr>
          <w:p>
            <w:pPr>
              <w:pStyle w:val="TableParagraph"/>
              <w:spacing w:line="103" w:lineRule="exact"/>
              <w:ind w:right="45"/>
              <w:jc w:val="right"/>
              <w:rPr>
                <w:sz w:val="11"/>
              </w:rPr>
            </w:pPr>
            <w:r>
              <w:rPr>
                <w:w w:val="95"/>
                <w:sz w:val="11"/>
              </w:rPr>
              <w:t>0,00</w:t>
            </w:r>
          </w:p>
        </w:tc>
        <w:tc>
          <w:tcPr>
            <w:tcW w:w="838" w:type="dxa"/>
            <w:shd w:val="clear" w:color="auto" w:fill="DEEAF6"/>
          </w:tcPr>
          <w:p>
            <w:pPr>
              <w:pStyle w:val="TableParagraph"/>
              <w:rPr>
                <w:rFonts w:ascii="Times New Roman"/>
                <w:sz w:val="6"/>
              </w:rPr>
            </w:pPr>
          </w:p>
        </w:tc>
        <w:tc>
          <w:tcPr>
            <w:tcW w:w="836" w:type="dxa"/>
            <w:shd w:val="clear" w:color="auto" w:fill="DEEAF6"/>
          </w:tcPr>
          <w:p>
            <w:pPr>
              <w:pStyle w:val="TableParagraph"/>
              <w:spacing w:line="103" w:lineRule="exact"/>
              <w:ind w:right="43"/>
              <w:jc w:val="right"/>
              <w:rPr>
                <w:sz w:val="11"/>
              </w:rPr>
            </w:pPr>
            <w:r>
              <w:rPr>
                <w:w w:val="95"/>
                <w:sz w:val="11"/>
              </w:rPr>
              <w:t>0,00</w:t>
            </w:r>
          </w:p>
        </w:tc>
        <w:tc>
          <w:tcPr>
            <w:tcW w:w="836" w:type="dxa"/>
            <w:shd w:val="clear" w:color="auto" w:fill="DEEAF6"/>
          </w:tcPr>
          <w:p>
            <w:pPr>
              <w:pStyle w:val="TableParagraph"/>
              <w:spacing w:line="103" w:lineRule="exact"/>
              <w:ind w:right="42"/>
              <w:jc w:val="right"/>
              <w:rPr>
                <w:sz w:val="11"/>
              </w:rPr>
            </w:pPr>
            <w:r>
              <w:rPr>
                <w:w w:val="95"/>
                <w:sz w:val="11"/>
              </w:rPr>
              <w:t>0,00</w:t>
            </w:r>
          </w:p>
        </w:tc>
        <w:tc>
          <w:tcPr>
            <w:tcW w:w="836" w:type="dxa"/>
            <w:shd w:val="clear" w:color="auto" w:fill="DEEAF6"/>
          </w:tcPr>
          <w:p>
            <w:pPr>
              <w:pStyle w:val="TableParagraph"/>
              <w:rPr>
                <w:rFonts w:ascii="Times New Roman"/>
                <w:sz w:val="6"/>
              </w:rPr>
            </w:pPr>
          </w:p>
        </w:tc>
        <w:tc>
          <w:tcPr>
            <w:tcW w:w="899" w:type="dxa"/>
            <w:shd w:val="clear" w:color="auto" w:fill="DEEAF6"/>
          </w:tcPr>
          <w:p>
            <w:pPr>
              <w:pStyle w:val="TableParagraph"/>
              <w:rPr>
                <w:rFonts w:ascii="Times New Roman"/>
                <w:sz w:val="6"/>
              </w:rPr>
            </w:pPr>
          </w:p>
        </w:tc>
        <w:tc>
          <w:tcPr>
            <w:tcW w:w="836" w:type="dxa"/>
            <w:tcBorders>
              <w:right w:val="single" w:sz="4" w:space="0" w:color="000000"/>
            </w:tcBorders>
            <w:shd w:val="clear" w:color="auto" w:fill="DEEAF6"/>
          </w:tcPr>
          <w:p>
            <w:pPr>
              <w:pStyle w:val="TableParagraph"/>
              <w:spacing w:line="103" w:lineRule="exact"/>
              <w:ind w:right="33"/>
              <w:jc w:val="right"/>
              <w:rPr>
                <w:sz w:val="11"/>
              </w:rPr>
            </w:pPr>
            <w:r>
              <w:rPr>
                <w:w w:val="95"/>
                <w:sz w:val="11"/>
              </w:rPr>
              <w:t>0,00</w:t>
            </w:r>
          </w:p>
        </w:tc>
      </w:tr>
      <w:tr>
        <w:trPr>
          <w:trHeight w:val="123"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3" w:lineRule="exact"/>
              <w:ind w:right="48"/>
              <w:jc w:val="right"/>
              <w:rPr>
                <w:sz w:val="11"/>
              </w:rPr>
            </w:pPr>
            <w:r>
              <w:rPr>
                <w:w w:val="95"/>
                <w:sz w:val="11"/>
              </w:rPr>
              <w:t>0,00</w:t>
            </w:r>
          </w:p>
        </w:tc>
        <w:tc>
          <w:tcPr>
            <w:tcW w:w="775" w:type="dxa"/>
            <w:shd w:val="clear" w:color="auto" w:fill="FAE3D4"/>
          </w:tcPr>
          <w:p>
            <w:pPr>
              <w:pStyle w:val="TableParagraph"/>
              <w:spacing w:line="103" w:lineRule="exact"/>
              <w:ind w:right="49"/>
              <w:jc w:val="right"/>
              <w:rPr>
                <w:sz w:val="11"/>
              </w:rPr>
            </w:pPr>
            <w:r>
              <w:rPr>
                <w:w w:val="95"/>
                <w:sz w:val="11"/>
              </w:rPr>
              <w:t>0,00</w:t>
            </w:r>
          </w:p>
        </w:tc>
        <w:tc>
          <w:tcPr>
            <w:tcW w:w="773" w:type="dxa"/>
            <w:shd w:val="clear" w:color="auto" w:fill="FAE3D4"/>
          </w:tcPr>
          <w:p>
            <w:pPr>
              <w:pStyle w:val="TableParagraph"/>
              <w:spacing w:line="103" w:lineRule="exact"/>
              <w:ind w:right="46"/>
              <w:jc w:val="right"/>
              <w:rPr>
                <w:sz w:val="11"/>
              </w:rPr>
            </w:pPr>
            <w:r>
              <w:rPr>
                <w:w w:val="95"/>
                <w:sz w:val="11"/>
              </w:rPr>
              <w:t>0,00</w:t>
            </w:r>
          </w:p>
        </w:tc>
        <w:tc>
          <w:tcPr>
            <w:tcW w:w="900" w:type="dxa"/>
            <w:shd w:val="clear" w:color="auto" w:fill="FAE3D4"/>
          </w:tcPr>
          <w:p>
            <w:pPr>
              <w:pStyle w:val="TableParagraph"/>
              <w:spacing w:line="103" w:lineRule="exact"/>
              <w:ind w:right="46"/>
              <w:jc w:val="right"/>
              <w:rPr>
                <w:sz w:val="11"/>
              </w:rPr>
            </w:pPr>
            <w:r>
              <w:rPr>
                <w:w w:val="95"/>
                <w:sz w:val="11"/>
              </w:rPr>
              <w:t>0,00</w:t>
            </w:r>
          </w:p>
        </w:tc>
        <w:tc>
          <w:tcPr>
            <w:tcW w:w="775" w:type="dxa"/>
            <w:shd w:val="clear" w:color="auto" w:fill="FAE3D4"/>
          </w:tcPr>
          <w:p>
            <w:pPr>
              <w:pStyle w:val="TableParagraph"/>
              <w:spacing w:line="103" w:lineRule="exact"/>
              <w:ind w:right="47"/>
              <w:jc w:val="right"/>
              <w:rPr>
                <w:sz w:val="11"/>
              </w:rPr>
            </w:pPr>
            <w:r>
              <w:rPr>
                <w:w w:val="95"/>
                <w:sz w:val="11"/>
              </w:rPr>
              <w:t>0,00</w:t>
            </w:r>
          </w:p>
        </w:tc>
        <w:tc>
          <w:tcPr>
            <w:tcW w:w="898" w:type="dxa"/>
            <w:shd w:val="clear" w:color="auto" w:fill="FAE3D4"/>
          </w:tcPr>
          <w:p>
            <w:pPr>
              <w:pStyle w:val="TableParagraph"/>
              <w:spacing w:line="103" w:lineRule="exact"/>
              <w:ind w:right="45"/>
              <w:jc w:val="right"/>
              <w:rPr>
                <w:sz w:val="11"/>
              </w:rPr>
            </w:pPr>
            <w:r>
              <w:rPr>
                <w:w w:val="95"/>
                <w:sz w:val="11"/>
              </w:rPr>
              <w:t>0,00</w:t>
            </w:r>
          </w:p>
        </w:tc>
        <w:tc>
          <w:tcPr>
            <w:tcW w:w="838" w:type="dxa"/>
            <w:shd w:val="clear" w:color="auto" w:fill="DEEAF6"/>
          </w:tcPr>
          <w:p>
            <w:pPr>
              <w:pStyle w:val="TableParagraph"/>
              <w:rPr>
                <w:rFonts w:ascii="Times New Roman"/>
                <w:sz w:val="6"/>
              </w:rPr>
            </w:pPr>
          </w:p>
        </w:tc>
        <w:tc>
          <w:tcPr>
            <w:tcW w:w="836" w:type="dxa"/>
            <w:shd w:val="clear" w:color="auto" w:fill="DEEAF6"/>
          </w:tcPr>
          <w:p>
            <w:pPr>
              <w:pStyle w:val="TableParagraph"/>
              <w:spacing w:line="103" w:lineRule="exact"/>
              <w:ind w:right="43"/>
              <w:jc w:val="right"/>
              <w:rPr>
                <w:sz w:val="11"/>
              </w:rPr>
            </w:pPr>
            <w:r>
              <w:rPr>
                <w:w w:val="95"/>
                <w:sz w:val="11"/>
              </w:rPr>
              <w:t>0,00</w:t>
            </w:r>
          </w:p>
        </w:tc>
        <w:tc>
          <w:tcPr>
            <w:tcW w:w="836" w:type="dxa"/>
            <w:shd w:val="clear" w:color="auto" w:fill="DEEAF6"/>
          </w:tcPr>
          <w:p>
            <w:pPr>
              <w:pStyle w:val="TableParagraph"/>
              <w:spacing w:line="103" w:lineRule="exact"/>
              <w:ind w:right="42"/>
              <w:jc w:val="right"/>
              <w:rPr>
                <w:sz w:val="11"/>
              </w:rPr>
            </w:pPr>
            <w:r>
              <w:rPr>
                <w:w w:val="95"/>
                <w:sz w:val="11"/>
              </w:rPr>
              <w:t>0,00</w:t>
            </w:r>
          </w:p>
        </w:tc>
        <w:tc>
          <w:tcPr>
            <w:tcW w:w="836" w:type="dxa"/>
            <w:shd w:val="clear" w:color="auto" w:fill="DEEAF6"/>
          </w:tcPr>
          <w:p>
            <w:pPr>
              <w:pStyle w:val="TableParagraph"/>
              <w:rPr>
                <w:rFonts w:ascii="Times New Roman"/>
                <w:sz w:val="6"/>
              </w:rPr>
            </w:pPr>
          </w:p>
        </w:tc>
        <w:tc>
          <w:tcPr>
            <w:tcW w:w="899" w:type="dxa"/>
            <w:shd w:val="clear" w:color="auto" w:fill="DEEAF6"/>
          </w:tcPr>
          <w:p>
            <w:pPr>
              <w:pStyle w:val="TableParagraph"/>
              <w:rPr>
                <w:rFonts w:ascii="Times New Roman"/>
                <w:sz w:val="6"/>
              </w:rPr>
            </w:pPr>
          </w:p>
        </w:tc>
        <w:tc>
          <w:tcPr>
            <w:tcW w:w="836" w:type="dxa"/>
            <w:tcBorders>
              <w:right w:val="single" w:sz="4" w:space="0" w:color="000000"/>
            </w:tcBorders>
            <w:shd w:val="clear" w:color="auto" w:fill="DEEAF6"/>
          </w:tcPr>
          <w:p>
            <w:pPr>
              <w:pStyle w:val="TableParagraph"/>
              <w:spacing w:line="103" w:lineRule="exact"/>
              <w:ind w:right="33"/>
              <w:jc w:val="right"/>
              <w:rPr>
                <w:sz w:val="11"/>
              </w:rPr>
            </w:pPr>
            <w:r>
              <w:rPr>
                <w:w w:val="95"/>
                <w:sz w:val="11"/>
              </w:rPr>
              <w:t>0,00</w:t>
            </w:r>
          </w:p>
        </w:tc>
      </w:tr>
      <w:tr>
        <w:trPr>
          <w:trHeight w:val="122"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3" w:lineRule="exact"/>
              <w:ind w:right="48"/>
              <w:jc w:val="right"/>
              <w:rPr>
                <w:sz w:val="11"/>
              </w:rPr>
            </w:pPr>
            <w:r>
              <w:rPr>
                <w:w w:val="95"/>
                <w:sz w:val="11"/>
              </w:rPr>
              <w:t>752,01</w:t>
            </w:r>
          </w:p>
        </w:tc>
        <w:tc>
          <w:tcPr>
            <w:tcW w:w="775" w:type="dxa"/>
            <w:shd w:val="clear" w:color="auto" w:fill="FAE3D4"/>
          </w:tcPr>
          <w:p>
            <w:pPr>
              <w:pStyle w:val="TableParagraph"/>
              <w:spacing w:line="103" w:lineRule="exact"/>
              <w:ind w:right="50"/>
              <w:jc w:val="right"/>
              <w:rPr>
                <w:sz w:val="11"/>
              </w:rPr>
            </w:pPr>
            <w:r>
              <w:rPr>
                <w:sz w:val="11"/>
              </w:rPr>
              <w:t>1.007,88</w:t>
            </w:r>
          </w:p>
        </w:tc>
        <w:tc>
          <w:tcPr>
            <w:tcW w:w="773" w:type="dxa"/>
            <w:shd w:val="clear" w:color="auto" w:fill="FAE3D4"/>
          </w:tcPr>
          <w:p>
            <w:pPr>
              <w:pStyle w:val="TableParagraph"/>
              <w:spacing w:line="103" w:lineRule="exact"/>
              <w:ind w:right="47"/>
              <w:jc w:val="right"/>
              <w:rPr>
                <w:sz w:val="11"/>
              </w:rPr>
            </w:pPr>
            <w:r>
              <w:rPr>
                <w:sz w:val="11"/>
              </w:rPr>
              <w:t>1.759,89</w:t>
            </w:r>
          </w:p>
        </w:tc>
        <w:tc>
          <w:tcPr>
            <w:tcW w:w="900" w:type="dxa"/>
            <w:shd w:val="clear" w:color="auto" w:fill="FAE3D4"/>
          </w:tcPr>
          <w:p>
            <w:pPr>
              <w:pStyle w:val="TableParagraph"/>
              <w:spacing w:line="103" w:lineRule="exact"/>
              <w:ind w:right="46"/>
              <w:jc w:val="right"/>
              <w:rPr>
                <w:sz w:val="11"/>
              </w:rPr>
            </w:pPr>
            <w:r>
              <w:rPr>
                <w:sz w:val="11"/>
              </w:rPr>
              <w:t>134.172,55</w:t>
            </w:r>
          </w:p>
        </w:tc>
        <w:tc>
          <w:tcPr>
            <w:tcW w:w="775" w:type="dxa"/>
            <w:shd w:val="clear" w:color="auto" w:fill="FAE3D4"/>
          </w:tcPr>
          <w:p>
            <w:pPr>
              <w:pStyle w:val="TableParagraph"/>
              <w:spacing w:line="103" w:lineRule="exact"/>
              <w:ind w:right="48"/>
              <w:jc w:val="right"/>
              <w:rPr>
                <w:sz w:val="11"/>
              </w:rPr>
            </w:pPr>
            <w:r>
              <w:rPr>
                <w:sz w:val="11"/>
              </w:rPr>
              <w:t>2.853,99</w:t>
            </w:r>
          </w:p>
        </w:tc>
        <w:tc>
          <w:tcPr>
            <w:tcW w:w="898" w:type="dxa"/>
            <w:shd w:val="clear" w:color="auto" w:fill="FAE3D4"/>
          </w:tcPr>
          <w:p>
            <w:pPr>
              <w:pStyle w:val="TableParagraph"/>
              <w:spacing w:line="103" w:lineRule="exact"/>
              <w:ind w:right="45"/>
              <w:jc w:val="right"/>
              <w:rPr>
                <w:sz w:val="11"/>
              </w:rPr>
            </w:pPr>
            <w:r>
              <w:rPr>
                <w:sz w:val="11"/>
              </w:rPr>
              <w:t>137.026,54</w:t>
            </w:r>
          </w:p>
        </w:tc>
        <w:tc>
          <w:tcPr>
            <w:tcW w:w="838" w:type="dxa"/>
            <w:shd w:val="clear" w:color="auto" w:fill="DEEAF6"/>
          </w:tcPr>
          <w:p>
            <w:pPr>
              <w:pStyle w:val="TableParagraph"/>
              <w:rPr>
                <w:rFonts w:ascii="Times New Roman"/>
                <w:sz w:val="6"/>
              </w:rPr>
            </w:pPr>
          </w:p>
        </w:tc>
        <w:tc>
          <w:tcPr>
            <w:tcW w:w="836" w:type="dxa"/>
            <w:shd w:val="clear" w:color="auto" w:fill="DEEAF6"/>
          </w:tcPr>
          <w:p>
            <w:pPr>
              <w:pStyle w:val="TableParagraph"/>
              <w:spacing w:line="103" w:lineRule="exact"/>
              <w:ind w:right="43"/>
              <w:jc w:val="right"/>
              <w:rPr>
                <w:sz w:val="11"/>
              </w:rPr>
            </w:pPr>
            <w:r>
              <w:rPr>
                <w:w w:val="95"/>
                <w:sz w:val="11"/>
              </w:rPr>
              <w:t>0,00</w:t>
            </w:r>
          </w:p>
        </w:tc>
        <w:tc>
          <w:tcPr>
            <w:tcW w:w="836" w:type="dxa"/>
            <w:shd w:val="clear" w:color="auto" w:fill="DEEAF6"/>
          </w:tcPr>
          <w:p>
            <w:pPr>
              <w:pStyle w:val="TableParagraph"/>
              <w:spacing w:line="103" w:lineRule="exact"/>
              <w:ind w:right="42"/>
              <w:jc w:val="right"/>
              <w:rPr>
                <w:sz w:val="11"/>
              </w:rPr>
            </w:pPr>
            <w:r>
              <w:rPr>
                <w:w w:val="95"/>
                <w:sz w:val="11"/>
              </w:rPr>
              <w:t>0,00</w:t>
            </w:r>
          </w:p>
        </w:tc>
        <w:tc>
          <w:tcPr>
            <w:tcW w:w="836" w:type="dxa"/>
            <w:shd w:val="clear" w:color="auto" w:fill="DEEAF6"/>
          </w:tcPr>
          <w:p>
            <w:pPr>
              <w:pStyle w:val="TableParagraph"/>
              <w:rPr>
                <w:rFonts w:ascii="Times New Roman"/>
                <w:sz w:val="6"/>
              </w:rPr>
            </w:pPr>
          </w:p>
        </w:tc>
        <w:tc>
          <w:tcPr>
            <w:tcW w:w="899" w:type="dxa"/>
            <w:shd w:val="clear" w:color="auto" w:fill="DEEAF6"/>
          </w:tcPr>
          <w:p>
            <w:pPr>
              <w:pStyle w:val="TableParagraph"/>
              <w:rPr>
                <w:rFonts w:ascii="Times New Roman"/>
                <w:sz w:val="6"/>
              </w:rPr>
            </w:pPr>
          </w:p>
        </w:tc>
        <w:tc>
          <w:tcPr>
            <w:tcW w:w="836" w:type="dxa"/>
            <w:tcBorders>
              <w:right w:val="single" w:sz="4" w:space="0" w:color="000000"/>
            </w:tcBorders>
            <w:shd w:val="clear" w:color="auto" w:fill="DEEAF6"/>
          </w:tcPr>
          <w:p>
            <w:pPr>
              <w:pStyle w:val="TableParagraph"/>
              <w:spacing w:line="103" w:lineRule="exact"/>
              <w:ind w:right="33"/>
              <w:jc w:val="right"/>
              <w:rPr>
                <w:sz w:val="11"/>
              </w:rPr>
            </w:pPr>
            <w:r>
              <w:rPr>
                <w:w w:val="95"/>
                <w:sz w:val="11"/>
              </w:rPr>
              <w:t>0,00</w:t>
            </w:r>
          </w:p>
        </w:tc>
      </w:tr>
      <w:tr>
        <w:trPr>
          <w:trHeight w:val="122"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3" w:lineRule="exact"/>
              <w:ind w:right="48"/>
              <w:jc w:val="right"/>
              <w:rPr>
                <w:sz w:val="11"/>
              </w:rPr>
            </w:pPr>
            <w:r>
              <w:rPr>
                <w:w w:val="95"/>
                <w:sz w:val="11"/>
              </w:rPr>
              <w:t>0,00</w:t>
            </w:r>
          </w:p>
        </w:tc>
        <w:tc>
          <w:tcPr>
            <w:tcW w:w="775" w:type="dxa"/>
            <w:shd w:val="clear" w:color="auto" w:fill="FAE3D4"/>
          </w:tcPr>
          <w:p>
            <w:pPr>
              <w:pStyle w:val="TableParagraph"/>
              <w:spacing w:line="103" w:lineRule="exact"/>
              <w:ind w:right="49"/>
              <w:jc w:val="right"/>
              <w:rPr>
                <w:sz w:val="11"/>
              </w:rPr>
            </w:pPr>
            <w:r>
              <w:rPr>
                <w:w w:val="95"/>
                <w:sz w:val="11"/>
              </w:rPr>
              <w:t>0,00</w:t>
            </w:r>
          </w:p>
        </w:tc>
        <w:tc>
          <w:tcPr>
            <w:tcW w:w="773" w:type="dxa"/>
            <w:shd w:val="clear" w:color="auto" w:fill="FAE3D4"/>
          </w:tcPr>
          <w:p>
            <w:pPr>
              <w:pStyle w:val="TableParagraph"/>
              <w:spacing w:line="103" w:lineRule="exact"/>
              <w:ind w:right="46"/>
              <w:jc w:val="right"/>
              <w:rPr>
                <w:sz w:val="11"/>
              </w:rPr>
            </w:pPr>
            <w:r>
              <w:rPr>
                <w:w w:val="95"/>
                <w:sz w:val="11"/>
              </w:rPr>
              <w:t>0,00</w:t>
            </w:r>
          </w:p>
        </w:tc>
        <w:tc>
          <w:tcPr>
            <w:tcW w:w="900" w:type="dxa"/>
            <w:shd w:val="clear" w:color="auto" w:fill="FAE3D4"/>
          </w:tcPr>
          <w:p>
            <w:pPr>
              <w:pStyle w:val="TableParagraph"/>
              <w:spacing w:line="103" w:lineRule="exact"/>
              <w:ind w:right="46"/>
              <w:jc w:val="right"/>
              <w:rPr>
                <w:sz w:val="11"/>
              </w:rPr>
            </w:pPr>
            <w:r>
              <w:rPr>
                <w:w w:val="95"/>
                <w:sz w:val="11"/>
              </w:rPr>
              <w:t>0,00</w:t>
            </w:r>
          </w:p>
        </w:tc>
        <w:tc>
          <w:tcPr>
            <w:tcW w:w="775" w:type="dxa"/>
            <w:shd w:val="clear" w:color="auto" w:fill="FAE3D4"/>
          </w:tcPr>
          <w:p>
            <w:pPr>
              <w:pStyle w:val="TableParagraph"/>
              <w:spacing w:line="103" w:lineRule="exact"/>
              <w:ind w:right="47"/>
              <w:jc w:val="right"/>
              <w:rPr>
                <w:sz w:val="11"/>
              </w:rPr>
            </w:pPr>
            <w:r>
              <w:rPr>
                <w:w w:val="95"/>
                <w:sz w:val="11"/>
              </w:rPr>
              <w:t>0,00</w:t>
            </w:r>
          </w:p>
        </w:tc>
        <w:tc>
          <w:tcPr>
            <w:tcW w:w="898" w:type="dxa"/>
            <w:shd w:val="clear" w:color="auto" w:fill="FAE3D4"/>
          </w:tcPr>
          <w:p>
            <w:pPr>
              <w:pStyle w:val="TableParagraph"/>
              <w:spacing w:line="103" w:lineRule="exact"/>
              <w:ind w:right="45"/>
              <w:jc w:val="right"/>
              <w:rPr>
                <w:sz w:val="11"/>
              </w:rPr>
            </w:pPr>
            <w:r>
              <w:rPr>
                <w:w w:val="95"/>
                <w:sz w:val="11"/>
              </w:rPr>
              <w:t>0,00</w:t>
            </w:r>
          </w:p>
        </w:tc>
        <w:tc>
          <w:tcPr>
            <w:tcW w:w="838" w:type="dxa"/>
            <w:shd w:val="clear" w:color="auto" w:fill="DEEAF6"/>
          </w:tcPr>
          <w:p>
            <w:pPr>
              <w:pStyle w:val="TableParagraph"/>
              <w:rPr>
                <w:rFonts w:ascii="Times New Roman"/>
                <w:sz w:val="6"/>
              </w:rPr>
            </w:pPr>
          </w:p>
        </w:tc>
        <w:tc>
          <w:tcPr>
            <w:tcW w:w="836" w:type="dxa"/>
            <w:shd w:val="clear" w:color="auto" w:fill="DEEAF6"/>
          </w:tcPr>
          <w:p>
            <w:pPr>
              <w:pStyle w:val="TableParagraph"/>
              <w:spacing w:line="103" w:lineRule="exact"/>
              <w:ind w:right="43"/>
              <w:jc w:val="right"/>
              <w:rPr>
                <w:sz w:val="11"/>
              </w:rPr>
            </w:pPr>
            <w:r>
              <w:rPr>
                <w:w w:val="95"/>
                <w:sz w:val="11"/>
              </w:rPr>
              <w:t>0,00</w:t>
            </w:r>
          </w:p>
        </w:tc>
        <w:tc>
          <w:tcPr>
            <w:tcW w:w="836" w:type="dxa"/>
            <w:shd w:val="clear" w:color="auto" w:fill="DEEAF6"/>
          </w:tcPr>
          <w:p>
            <w:pPr>
              <w:pStyle w:val="TableParagraph"/>
              <w:spacing w:line="103" w:lineRule="exact"/>
              <w:ind w:right="42"/>
              <w:jc w:val="right"/>
              <w:rPr>
                <w:sz w:val="11"/>
              </w:rPr>
            </w:pPr>
            <w:r>
              <w:rPr>
                <w:w w:val="95"/>
                <w:sz w:val="11"/>
              </w:rPr>
              <w:t>0,00</w:t>
            </w:r>
          </w:p>
        </w:tc>
        <w:tc>
          <w:tcPr>
            <w:tcW w:w="836" w:type="dxa"/>
            <w:shd w:val="clear" w:color="auto" w:fill="DEEAF6"/>
          </w:tcPr>
          <w:p>
            <w:pPr>
              <w:pStyle w:val="TableParagraph"/>
              <w:rPr>
                <w:rFonts w:ascii="Times New Roman"/>
                <w:sz w:val="6"/>
              </w:rPr>
            </w:pPr>
          </w:p>
        </w:tc>
        <w:tc>
          <w:tcPr>
            <w:tcW w:w="899" w:type="dxa"/>
            <w:shd w:val="clear" w:color="auto" w:fill="DEEAF6"/>
          </w:tcPr>
          <w:p>
            <w:pPr>
              <w:pStyle w:val="TableParagraph"/>
              <w:rPr>
                <w:rFonts w:ascii="Times New Roman"/>
                <w:sz w:val="6"/>
              </w:rPr>
            </w:pPr>
          </w:p>
        </w:tc>
        <w:tc>
          <w:tcPr>
            <w:tcW w:w="836" w:type="dxa"/>
            <w:tcBorders>
              <w:right w:val="single" w:sz="4" w:space="0" w:color="000000"/>
            </w:tcBorders>
            <w:shd w:val="clear" w:color="auto" w:fill="DEEAF6"/>
          </w:tcPr>
          <w:p>
            <w:pPr>
              <w:pStyle w:val="TableParagraph"/>
              <w:spacing w:line="103" w:lineRule="exact"/>
              <w:ind w:right="33"/>
              <w:jc w:val="right"/>
              <w:rPr>
                <w:sz w:val="11"/>
              </w:rPr>
            </w:pPr>
            <w:r>
              <w:rPr>
                <w:w w:val="95"/>
                <w:sz w:val="11"/>
              </w:rPr>
              <w:t>0,00</w:t>
            </w:r>
          </w:p>
        </w:tc>
      </w:tr>
      <w:tr>
        <w:trPr>
          <w:trHeight w:val="123"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03" w:lineRule="exact"/>
              <w:ind w:right="48"/>
              <w:jc w:val="right"/>
              <w:rPr>
                <w:sz w:val="11"/>
              </w:rPr>
            </w:pPr>
            <w:r>
              <w:rPr>
                <w:w w:val="95"/>
                <w:sz w:val="11"/>
              </w:rPr>
              <w:t>0,00</w:t>
            </w:r>
          </w:p>
        </w:tc>
        <w:tc>
          <w:tcPr>
            <w:tcW w:w="775" w:type="dxa"/>
            <w:shd w:val="clear" w:color="auto" w:fill="FAE3D4"/>
          </w:tcPr>
          <w:p>
            <w:pPr>
              <w:pStyle w:val="TableParagraph"/>
              <w:spacing w:line="103" w:lineRule="exact"/>
              <w:ind w:right="49"/>
              <w:jc w:val="right"/>
              <w:rPr>
                <w:sz w:val="11"/>
              </w:rPr>
            </w:pPr>
            <w:r>
              <w:rPr>
                <w:w w:val="95"/>
                <w:sz w:val="11"/>
              </w:rPr>
              <w:t>0,00</w:t>
            </w:r>
          </w:p>
        </w:tc>
        <w:tc>
          <w:tcPr>
            <w:tcW w:w="773" w:type="dxa"/>
            <w:shd w:val="clear" w:color="auto" w:fill="FAE3D4"/>
          </w:tcPr>
          <w:p>
            <w:pPr>
              <w:pStyle w:val="TableParagraph"/>
              <w:spacing w:line="103" w:lineRule="exact"/>
              <w:ind w:right="46"/>
              <w:jc w:val="right"/>
              <w:rPr>
                <w:sz w:val="11"/>
              </w:rPr>
            </w:pPr>
            <w:r>
              <w:rPr>
                <w:w w:val="95"/>
                <w:sz w:val="11"/>
              </w:rPr>
              <w:t>0,00</w:t>
            </w:r>
          </w:p>
        </w:tc>
        <w:tc>
          <w:tcPr>
            <w:tcW w:w="900" w:type="dxa"/>
            <w:shd w:val="clear" w:color="auto" w:fill="FAE3D4"/>
          </w:tcPr>
          <w:p>
            <w:pPr>
              <w:pStyle w:val="TableParagraph"/>
              <w:spacing w:line="103" w:lineRule="exact"/>
              <w:ind w:right="46"/>
              <w:jc w:val="right"/>
              <w:rPr>
                <w:sz w:val="11"/>
              </w:rPr>
            </w:pPr>
            <w:r>
              <w:rPr>
                <w:w w:val="95"/>
                <w:sz w:val="11"/>
              </w:rPr>
              <w:t>0,00</w:t>
            </w:r>
          </w:p>
        </w:tc>
        <w:tc>
          <w:tcPr>
            <w:tcW w:w="775" w:type="dxa"/>
            <w:shd w:val="clear" w:color="auto" w:fill="FAE3D4"/>
          </w:tcPr>
          <w:p>
            <w:pPr>
              <w:pStyle w:val="TableParagraph"/>
              <w:spacing w:line="103" w:lineRule="exact"/>
              <w:ind w:right="47"/>
              <w:jc w:val="right"/>
              <w:rPr>
                <w:sz w:val="11"/>
              </w:rPr>
            </w:pPr>
            <w:r>
              <w:rPr>
                <w:w w:val="95"/>
                <w:sz w:val="11"/>
              </w:rPr>
              <w:t>0,00</w:t>
            </w:r>
          </w:p>
        </w:tc>
        <w:tc>
          <w:tcPr>
            <w:tcW w:w="898" w:type="dxa"/>
            <w:shd w:val="clear" w:color="auto" w:fill="FAE3D4"/>
          </w:tcPr>
          <w:p>
            <w:pPr>
              <w:pStyle w:val="TableParagraph"/>
              <w:spacing w:line="103" w:lineRule="exact"/>
              <w:ind w:right="45"/>
              <w:jc w:val="right"/>
              <w:rPr>
                <w:sz w:val="11"/>
              </w:rPr>
            </w:pPr>
            <w:r>
              <w:rPr>
                <w:w w:val="95"/>
                <w:sz w:val="11"/>
              </w:rPr>
              <w:t>0,00</w:t>
            </w:r>
          </w:p>
        </w:tc>
        <w:tc>
          <w:tcPr>
            <w:tcW w:w="838" w:type="dxa"/>
            <w:shd w:val="clear" w:color="auto" w:fill="DEEAF6"/>
          </w:tcPr>
          <w:p>
            <w:pPr>
              <w:pStyle w:val="TableParagraph"/>
              <w:rPr>
                <w:rFonts w:ascii="Times New Roman"/>
                <w:sz w:val="6"/>
              </w:rPr>
            </w:pPr>
          </w:p>
        </w:tc>
        <w:tc>
          <w:tcPr>
            <w:tcW w:w="836" w:type="dxa"/>
            <w:shd w:val="clear" w:color="auto" w:fill="DEEAF6"/>
          </w:tcPr>
          <w:p>
            <w:pPr>
              <w:pStyle w:val="TableParagraph"/>
              <w:spacing w:line="103" w:lineRule="exact"/>
              <w:ind w:right="43"/>
              <w:jc w:val="right"/>
              <w:rPr>
                <w:sz w:val="11"/>
              </w:rPr>
            </w:pPr>
            <w:r>
              <w:rPr>
                <w:w w:val="95"/>
                <w:sz w:val="11"/>
              </w:rPr>
              <w:t>0,00</w:t>
            </w:r>
          </w:p>
        </w:tc>
        <w:tc>
          <w:tcPr>
            <w:tcW w:w="836" w:type="dxa"/>
            <w:shd w:val="clear" w:color="auto" w:fill="DEEAF6"/>
          </w:tcPr>
          <w:p>
            <w:pPr>
              <w:pStyle w:val="TableParagraph"/>
              <w:spacing w:line="103" w:lineRule="exact"/>
              <w:ind w:right="42"/>
              <w:jc w:val="right"/>
              <w:rPr>
                <w:sz w:val="11"/>
              </w:rPr>
            </w:pPr>
            <w:r>
              <w:rPr>
                <w:w w:val="95"/>
                <w:sz w:val="11"/>
              </w:rPr>
              <w:t>0,00</w:t>
            </w:r>
          </w:p>
        </w:tc>
        <w:tc>
          <w:tcPr>
            <w:tcW w:w="836" w:type="dxa"/>
            <w:shd w:val="clear" w:color="auto" w:fill="DEEAF6"/>
          </w:tcPr>
          <w:p>
            <w:pPr>
              <w:pStyle w:val="TableParagraph"/>
              <w:rPr>
                <w:rFonts w:ascii="Times New Roman"/>
                <w:sz w:val="6"/>
              </w:rPr>
            </w:pPr>
          </w:p>
        </w:tc>
        <w:tc>
          <w:tcPr>
            <w:tcW w:w="899" w:type="dxa"/>
            <w:shd w:val="clear" w:color="auto" w:fill="DEEAF6"/>
          </w:tcPr>
          <w:p>
            <w:pPr>
              <w:pStyle w:val="TableParagraph"/>
              <w:rPr>
                <w:rFonts w:ascii="Times New Roman"/>
                <w:sz w:val="6"/>
              </w:rPr>
            </w:pPr>
          </w:p>
        </w:tc>
        <w:tc>
          <w:tcPr>
            <w:tcW w:w="836" w:type="dxa"/>
            <w:tcBorders>
              <w:right w:val="single" w:sz="4" w:space="0" w:color="000000"/>
            </w:tcBorders>
            <w:shd w:val="clear" w:color="auto" w:fill="DEEAF6"/>
          </w:tcPr>
          <w:p>
            <w:pPr>
              <w:pStyle w:val="TableParagraph"/>
              <w:spacing w:line="103" w:lineRule="exact"/>
              <w:ind w:right="33"/>
              <w:jc w:val="right"/>
              <w:rPr>
                <w:sz w:val="11"/>
              </w:rPr>
            </w:pPr>
            <w:r>
              <w:rPr>
                <w:w w:val="95"/>
                <w:sz w:val="11"/>
              </w:rPr>
              <w:t>0,00</w:t>
            </w:r>
          </w:p>
        </w:tc>
      </w:tr>
      <w:tr>
        <w:trPr>
          <w:trHeight w:val="255"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15" w:lineRule="exact"/>
              <w:ind w:right="48"/>
              <w:jc w:val="right"/>
              <w:rPr>
                <w:sz w:val="11"/>
              </w:rPr>
            </w:pPr>
            <w:r>
              <w:rPr>
                <w:w w:val="95"/>
                <w:sz w:val="11"/>
              </w:rPr>
              <w:t>0,00</w:t>
            </w:r>
          </w:p>
        </w:tc>
        <w:tc>
          <w:tcPr>
            <w:tcW w:w="775" w:type="dxa"/>
            <w:shd w:val="clear" w:color="auto" w:fill="FAE3D4"/>
          </w:tcPr>
          <w:p>
            <w:pPr>
              <w:pStyle w:val="TableParagraph"/>
              <w:spacing w:line="115" w:lineRule="exact"/>
              <w:ind w:right="49"/>
              <w:jc w:val="right"/>
              <w:rPr>
                <w:sz w:val="11"/>
              </w:rPr>
            </w:pPr>
            <w:r>
              <w:rPr>
                <w:w w:val="95"/>
                <w:sz w:val="11"/>
              </w:rPr>
              <w:t>0,00</w:t>
            </w:r>
          </w:p>
        </w:tc>
        <w:tc>
          <w:tcPr>
            <w:tcW w:w="773" w:type="dxa"/>
            <w:shd w:val="clear" w:color="auto" w:fill="FAE3D4"/>
          </w:tcPr>
          <w:p>
            <w:pPr>
              <w:pStyle w:val="TableParagraph"/>
              <w:spacing w:line="115" w:lineRule="exact"/>
              <w:ind w:right="46"/>
              <w:jc w:val="right"/>
              <w:rPr>
                <w:sz w:val="11"/>
              </w:rPr>
            </w:pPr>
            <w:r>
              <w:rPr>
                <w:w w:val="95"/>
                <w:sz w:val="11"/>
              </w:rPr>
              <w:t>0,00</w:t>
            </w:r>
          </w:p>
        </w:tc>
        <w:tc>
          <w:tcPr>
            <w:tcW w:w="900" w:type="dxa"/>
            <w:shd w:val="clear" w:color="auto" w:fill="FAE3D4"/>
          </w:tcPr>
          <w:p>
            <w:pPr>
              <w:pStyle w:val="TableParagraph"/>
              <w:spacing w:line="115" w:lineRule="exact"/>
              <w:ind w:right="46"/>
              <w:jc w:val="right"/>
              <w:rPr>
                <w:sz w:val="11"/>
              </w:rPr>
            </w:pPr>
            <w:r>
              <w:rPr>
                <w:w w:val="95"/>
                <w:sz w:val="11"/>
              </w:rPr>
              <w:t>0,00</w:t>
            </w:r>
          </w:p>
        </w:tc>
        <w:tc>
          <w:tcPr>
            <w:tcW w:w="775" w:type="dxa"/>
            <w:shd w:val="clear" w:color="auto" w:fill="FAE3D4"/>
          </w:tcPr>
          <w:p>
            <w:pPr>
              <w:pStyle w:val="TableParagraph"/>
              <w:spacing w:line="115" w:lineRule="exact"/>
              <w:ind w:right="47"/>
              <w:jc w:val="right"/>
              <w:rPr>
                <w:sz w:val="11"/>
              </w:rPr>
            </w:pPr>
            <w:r>
              <w:rPr>
                <w:w w:val="95"/>
                <w:sz w:val="11"/>
              </w:rPr>
              <w:t>0,00</w:t>
            </w:r>
          </w:p>
        </w:tc>
        <w:tc>
          <w:tcPr>
            <w:tcW w:w="898" w:type="dxa"/>
            <w:shd w:val="clear" w:color="auto" w:fill="FAE3D4"/>
          </w:tcPr>
          <w:p>
            <w:pPr>
              <w:pStyle w:val="TableParagraph"/>
              <w:spacing w:line="115" w:lineRule="exact"/>
              <w:ind w:right="45"/>
              <w:jc w:val="right"/>
              <w:rPr>
                <w:sz w:val="11"/>
              </w:rPr>
            </w:pPr>
            <w:r>
              <w:rPr>
                <w:w w:val="95"/>
                <w:sz w:val="11"/>
              </w:rPr>
              <w:t>0,00</w:t>
            </w:r>
          </w:p>
        </w:tc>
        <w:tc>
          <w:tcPr>
            <w:tcW w:w="838" w:type="dxa"/>
            <w:shd w:val="clear" w:color="auto" w:fill="DEEAF6"/>
          </w:tcPr>
          <w:p>
            <w:pPr>
              <w:pStyle w:val="TableParagraph"/>
              <w:rPr>
                <w:rFonts w:ascii="Times New Roman"/>
                <w:sz w:val="10"/>
              </w:rPr>
            </w:pPr>
          </w:p>
        </w:tc>
        <w:tc>
          <w:tcPr>
            <w:tcW w:w="836" w:type="dxa"/>
            <w:shd w:val="clear" w:color="auto" w:fill="DEEAF6"/>
          </w:tcPr>
          <w:p>
            <w:pPr>
              <w:pStyle w:val="TableParagraph"/>
              <w:spacing w:line="115" w:lineRule="exact"/>
              <w:ind w:right="43"/>
              <w:jc w:val="right"/>
              <w:rPr>
                <w:sz w:val="11"/>
              </w:rPr>
            </w:pPr>
            <w:r>
              <w:rPr>
                <w:w w:val="95"/>
                <w:sz w:val="11"/>
              </w:rPr>
              <w:t>0,00</w:t>
            </w:r>
          </w:p>
        </w:tc>
        <w:tc>
          <w:tcPr>
            <w:tcW w:w="836" w:type="dxa"/>
            <w:shd w:val="clear" w:color="auto" w:fill="DEEAF6"/>
          </w:tcPr>
          <w:p>
            <w:pPr>
              <w:pStyle w:val="TableParagraph"/>
              <w:spacing w:line="115" w:lineRule="exact"/>
              <w:ind w:right="42"/>
              <w:jc w:val="right"/>
              <w:rPr>
                <w:sz w:val="11"/>
              </w:rPr>
            </w:pPr>
            <w:r>
              <w:rPr>
                <w:w w:val="95"/>
                <w:sz w:val="11"/>
              </w:rPr>
              <w:t>0,00</w:t>
            </w:r>
          </w:p>
        </w:tc>
        <w:tc>
          <w:tcPr>
            <w:tcW w:w="836" w:type="dxa"/>
            <w:shd w:val="clear" w:color="auto" w:fill="DEEAF6"/>
          </w:tcPr>
          <w:p>
            <w:pPr>
              <w:pStyle w:val="TableParagraph"/>
              <w:rPr>
                <w:rFonts w:ascii="Times New Roman"/>
                <w:sz w:val="10"/>
              </w:rPr>
            </w:pPr>
          </w:p>
        </w:tc>
        <w:tc>
          <w:tcPr>
            <w:tcW w:w="899" w:type="dxa"/>
            <w:shd w:val="clear" w:color="auto" w:fill="DEEAF6"/>
          </w:tcPr>
          <w:p>
            <w:pPr>
              <w:pStyle w:val="TableParagraph"/>
              <w:rPr>
                <w:rFonts w:ascii="Times New Roman"/>
                <w:sz w:val="10"/>
              </w:rPr>
            </w:pPr>
          </w:p>
        </w:tc>
        <w:tc>
          <w:tcPr>
            <w:tcW w:w="836" w:type="dxa"/>
            <w:tcBorders>
              <w:right w:val="single" w:sz="4" w:space="0" w:color="000000"/>
            </w:tcBorders>
            <w:shd w:val="clear" w:color="auto" w:fill="DEEAF6"/>
          </w:tcPr>
          <w:p>
            <w:pPr>
              <w:pStyle w:val="TableParagraph"/>
              <w:spacing w:line="115" w:lineRule="exact"/>
              <w:ind w:right="33"/>
              <w:jc w:val="right"/>
              <w:rPr>
                <w:sz w:val="11"/>
              </w:rPr>
            </w:pPr>
            <w:r>
              <w:rPr>
                <w:w w:val="95"/>
                <w:sz w:val="11"/>
              </w:rPr>
              <w:t>0,00</w:t>
            </w:r>
          </w:p>
        </w:tc>
      </w:tr>
      <w:tr>
        <w:trPr>
          <w:trHeight w:val="321"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before="2"/>
              <w:rPr>
                <w:b/>
                <w:sz w:val="9"/>
              </w:rPr>
            </w:pPr>
          </w:p>
          <w:p>
            <w:pPr>
              <w:pStyle w:val="TableParagraph"/>
              <w:ind w:right="48"/>
              <w:jc w:val="right"/>
              <w:rPr>
                <w:sz w:val="11"/>
              </w:rPr>
            </w:pPr>
            <w:r>
              <w:rPr>
                <w:w w:val="95"/>
                <w:sz w:val="11"/>
              </w:rPr>
              <w:t>0,00</w:t>
            </w:r>
          </w:p>
        </w:tc>
        <w:tc>
          <w:tcPr>
            <w:tcW w:w="775" w:type="dxa"/>
            <w:shd w:val="clear" w:color="auto" w:fill="FAE3D4"/>
          </w:tcPr>
          <w:p>
            <w:pPr>
              <w:pStyle w:val="TableParagraph"/>
              <w:spacing w:before="2"/>
              <w:rPr>
                <w:b/>
                <w:sz w:val="9"/>
              </w:rPr>
            </w:pPr>
          </w:p>
          <w:p>
            <w:pPr>
              <w:pStyle w:val="TableParagraph"/>
              <w:ind w:right="49"/>
              <w:jc w:val="right"/>
              <w:rPr>
                <w:sz w:val="11"/>
              </w:rPr>
            </w:pPr>
            <w:r>
              <w:rPr>
                <w:w w:val="95"/>
                <w:sz w:val="11"/>
              </w:rPr>
              <w:t>0,00</w:t>
            </w:r>
          </w:p>
        </w:tc>
        <w:tc>
          <w:tcPr>
            <w:tcW w:w="773" w:type="dxa"/>
            <w:shd w:val="clear" w:color="auto" w:fill="FAE3D4"/>
          </w:tcPr>
          <w:p>
            <w:pPr>
              <w:pStyle w:val="TableParagraph"/>
              <w:spacing w:before="2"/>
              <w:rPr>
                <w:b/>
                <w:sz w:val="9"/>
              </w:rPr>
            </w:pPr>
          </w:p>
          <w:p>
            <w:pPr>
              <w:pStyle w:val="TableParagraph"/>
              <w:ind w:right="46"/>
              <w:jc w:val="right"/>
              <w:rPr>
                <w:sz w:val="11"/>
              </w:rPr>
            </w:pPr>
            <w:r>
              <w:rPr>
                <w:w w:val="95"/>
                <w:sz w:val="11"/>
              </w:rPr>
              <w:t>0,00</w:t>
            </w:r>
          </w:p>
        </w:tc>
        <w:tc>
          <w:tcPr>
            <w:tcW w:w="900" w:type="dxa"/>
            <w:shd w:val="clear" w:color="auto" w:fill="FAE3D4"/>
          </w:tcPr>
          <w:p>
            <w:pPr>
              <w:pStyle w:val="TableParagraph"/>
              <w:spacing w:before="2"/>
              <w:rPr>
                <w:b/>
                <w:sz w:val="9"/>
              </w:rPr>
            </w:pPr>
          </w:p>
          <w:p>
            <w:pPr>
              <w:pStyle w:val="TableParagraph"/>
              <w:ind w:right="46"/>
              <w:jc w:val="right"/>
              <w:rPr>
                <w:sz w:val="11"/>
              </w:rPr>
            </w:pPr>
            <w:r>
              <w:rPr>
                <w:sz w:val="11"/>
              </w:rPr>
              <w:t>165.051,15</w:t>
            </w:r>
          </w:p>
        </w:tc>
        <w:tc>
          <w:tcPr>
            <w:tcW w:w="775" w:type="dxa"/>
            <w:shd w:val="clear" w:color="auto" w:fill="FAE3D4"/>
          </w:tcPr>
          <w:p>
            <w:pPr>
              <w:pStyle w:val="TableParagraph"/>
              <w:spacing w:before="2"/>
              <w:rPr>
                <w:b/>
                <w:sz w:val="9"/>
              </w:rPr>
            </w:pPr>
          </w:p>
          <w:p>
            <w:pPr>
              <w:pStyle w:val="TableParagraph"/>
              <w:ind w:right="47"/>
              <w:jc w:val="right"/>
              <w:rPr>
                <w:sz w:val="11"/>
              </w:rPr>
            </w:pPr>
            <w:r>
              <w:rPr>
                <w:w w:val="95"/>
                <w:sz w:val="11"/>
              </w:rPr>
              <w:t>0,00</w:t>
            </w:r>
          </w:p>
        </w:tc>
        <w:tc>
          <w:tcPr>
            <w:tcW w:w="898" w:type="dxa"/>
            <w:shd w:val="clear" w:color="auto" w:fill="FAE3D4"/>
          </w:tcPr>
          <w:p>
            <w:pPr>
              <w:pStyle w:val="TableParagraph"/>
              <w:spacing w:before="2"/>
              <w:rPr>
                <w:b/>
                <w:sz w:val="9"/>
              </w:rPr>
            </w:pPr>
          </w:p>
          <w:p>
            <w:pPr>
              <w:pStyle w:val="TableParagraph"/>
              <w:ind w:right="45"/>
              <w:jc w:val="right"/>
              <w:rPr>
                <w:sz w:val="11"/>
              </w:rPr>
            </w:pPr>
            <w:r>
              <w:rPr>
                <w:sz w:val="11"/>
              </w:rPr>
              <w:t>165.051,15</w:t>
            </w:r>
          </w:p>
        </w:tc>
        <w:tc>
          <w:tcPr>
            <w:tcW w:w="838" w:type="dxa"/>
            <w:shd w:val="clear" w:color="auto" w:fill="DEEAF6"/>
          </w:tcPr>
          <w:p>
            <w:pPr>
              <w:pStyle w:val="TableParagraph"/>
              <w:rPr>
                <w:rFonts w:ascii="Times New Roman"/>
                <w:sz w:val="10"/>
              </w:rPr>
            </w:pPr>
          </w:p>
        </w:tc>
        <w:tc>
          <w:tcPr>
            <w:tcW w:w="836" w:type="dxa"/>
            <w:shd w:val="clear" w:color="auto" w:fill="DEEAF6"/>
          </w:tcPr>
          <w:p>
            <w:pPr>
              <w:pStyle w:val="TableParagraph"/>
              <w:spacing w:before="2"/>
              <w:rPr>
                <w:b/>
                <w:sz w:val="9"/>
              </w:rPr>
            </w:pPr>
          </w:p>
          <w:p>
            <w:pPr>
              <w:pStyle w:val="TableParagraph"/>
              <w:ind w:right="43"/>
              <w:jc w:val="right"/>
              <w:rPr>
                <w:sz w:val="11"/>
              </w:rPr>
            </w:pPr>
            <w:r>
              <w:rPr>
                <w:w w:val="95"/>
                <w:sz w:val="11"/>
              </w:rPr>
              <w:t>0,00</w:t>
            </w:r>
          </w:p>
        </w:tc>
        <w:tc>
          <w:tcPr>
            <w:tcW w:w="836" w:type="dxa"/>
            <w:shd w:val="clear" w:color="auto" w:fill="DEEAF6"/>
          </w:tcPr>
          <w:p>
            <w:pPr>
              <w:pStyle w:val="TableParagraph"/>
              <w:spacing w:before="2"/>
              <w:rPr>
                <w:b/>
                <w:sz w:val="9"/>
              </w:rPr>
            </w:pPr>
          </w:p>
          <w:p>
            <w:pPr>
              <w:pStyle w:val="TableParagraph"/>
              <w:ind w:right="42"/>
              <w:jc w:val="right"/>
              <w:rPr>
                <w:sz w:val="11"/>
              </w:rPr>
            </w:pPr>
            <w:r>
              <w:rPr>
                <w:w w:val="95"/>
                <w:sz w:val="11"/>
              </w:rPr>
              <w:t>0,00</w:t>
            </w:r>
          </w:p>
        </w:tc>
        <w:tc>
          <w:tcPr>
            <w:tcW w:w="836" w:type="dxa"/>
            <w:shd w:val="clear" w:color="auto" w:fill="DEEAF6"/>
          </w:tcPr>
          <w:p>
            <w:pPr>
              <w:pStyle w:val="TableParagraph"/>
              <w:rPr>
                <w:rFonts w:ascii="Times New Roman"/>
                <w:sz w:val="10"/>
              </w:rPr>
            </w:pPr>
          </w:p>
        </w:tc>
        <w:tc>
          <w:tcPr>
            <w:tcW w:w="899" w:type="dxa"/>
            <w:shd w:val="clear" w:color="auto" w:fill="DEEAF6"/>
          </w:tcPr>
          <w:p>
            <w:pPr>
              <w:pStyle w:val="TableParagraph"/>
              <w:rPr>
                <w:rFonts w:ascii="Times New Roman"/>
                <w:sz w:val="10"/>
              </w:rPr>
            </w:pPr>
          </w:p>
        </w:tc>
        <w:tc>
          <w:tcPr>
            <w:tcW w:w="836" w:type="dxa"/>
            <w:tcBorders>
              <w:right w:val="single" w:sz="4" w:space="0" w:color="000000"/>
            </w:tcBorders>
            <w:shd w:val="clear" w:color="auto" w:fill="DEEAF6"/>
          </w:tcPr>
          <w:p>
            <w:pPr>
              <w:pStyle w:val="TableParagraph"/>
              <w:spacing w:before="2"/>
              <w:rPr>
                <w:b/>
                <w:sz w:val="9"/>
              </w:rPr>
            </w:pPr>
          </w:p>
          <w:p>
            <w:pPr>
              <w:pStyle w:val="TableParagraph"/>
              <w:ind w:right="33"/>
              <w:jc w:val="right"/>
              <w:rPr>
                <w:sz w:val="11"/>
              </w:rPr>
            </w:pPr>
            <w:r>
              <w:rPr>
                <w:w w:val="95"/>
                <w:sz w:val="11"/>
              </w:rPr>
              <w:t>0,00</w:t>
            </w:r>
          </w:p>
        </w:tc>
      </w:tr>
      <w:tr>
        <w:trPr>
          <w:trHeight w:val="255"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before="47"/>
              <w:ind w:right="48"/>
              <w:jc w:val="right"/>
              <w:rPr>
                <w:sz w:val="11"/>
              </w:rPr>
            </w:pPr>
            <w:r>
              <w:rPr>
                <w:w w:val="95"/>
                <w:sz w:val="11"/>
              </w:rPr>
              <w:t>0,00</w:t>
            </w:r>
          </w:p>
        </w:tc>
        <w:tc>
          <w:tcPr>
            <w:tcW w:w="775" w:type="dxa"/>
            <w:shd w:val="clear" w:color="auto" w:fill="FAE3D4"/>
          </w:tcPr>
          <w:p>
            <w:pPr>
              <w:pStyle w:val="TableParagraph"/>
              <w:spacing w:before="47"/>
              <w:ind w:right="49"/>
              <w:jc w:val="right"/>
              <w:rPr>
                <w:sz w:val="11"/>
              </w:rPr>
            </w:pPr>
            <w:r>
              <w:rPr>
                <w:w w:val="95"/>
                <w:sz w:val="11"/>
              </w:rPr>
              <w:t>0,00</w:t>
            </w:r>
          </w:p>
        </w:tc>
        <w:tc>
          <w:tcPr>
            <w:tcW w:w="773" w:type="dxa"/>
            <w:shd w:val="clear" w:color="auto" w:fill="FAE3D4"/>
          </w:tcPr>
          <w:p>
            <w:pPr>
              <w:pStyle w:val="TableParagraph"/>
              <w:spacing w:before="47"/>
              <w:ind w:right="46"/>
              <w:jc w:val="right"/>
              <w:rPr>
                <w:sz w:val="11"/>
              </w:rPr>
            </w:pPr>
            <w:r>
              <w:rPr>
                <w:w w:val="95"/>
                <w:sz w:val="11"/>
              </w:rPr>
              <w:t>0,00</w:t>
            </w:r>
          </w:p>
        </w:tc>
        <w:tc>
          <w:tcPr>
            <w:tcW w:w="900" w:type="dxa"/>
            <w:shd w:val="clear" w:color="auto" w:fill="FAE3D4"/>
          </w:tcPr>
          <w:p>
            <w:pPr>
              <w:pStyle w:val="TableParagraph"/>
              <w:spacing w:before="47"/>
              <w:ind w:right="46"/>
              <w:jc w:val="right"/>
              <w:rPr>
                <w:sz w:val="11"/>
              </w:rPr>
            </w:pPr>
            <w:r>
              <w:rPr>
                <w:w w:val="95"/>
                <w:sz w:val="11"/>
              </w:rPr>
              <w:t>0,00</w:t>
            </w:r>
          </w:p>
        </w:tc>
        <w:tc>
          <w:tcPr>
            <w:tcW w:w="775" w:type="dxa"/>
            <w:shd w:val="clear" w:color="auto" w:fill="FAE3D4"/>
          </w:tcPr>
          <w:p>
            <w:pPr>
              <w:pStyle w:val="TableParagraph"/>
              <w:spacing w:before="47"/>
              <w:ind w:right="47"/>
              <w:jc w:val="right"/>
              <w:rPr>
                <w:sz w:val="11"/>
              </w:rPr>
            </w:pPr>
            <w:r>
              <w:rPr>
                <w:w w:val="95"/>
                <w:sz w:val="11"/>
              </w:rPr>
              <w:t>0,00</w:t>
            </w:r>
          </w:p>
        </w:tc>
        <w:tc>
          <w:tcPr>
            <w:tcW w:w="898" w:type="dxa"/>
            <w:shd w:val="clear" w:color="auto" w:fill="FAE3D4"/>
          </w:tcPr>
          <w:p>
            <w:pPr>
              <w:pStyle w:val="TableParagraph"/>
              <w:spacing w:before="47"/>
              <w:ind w:right="45"/>
              <w:jc w:val="right"/>
              <w:rPr>
                <w:sz w:val="11"/>
              </w:rPr>
            </w:pPr>
            <w:r>
              <w:rPr>
                <w:w w:val="95"/>
                <w:sz w:val="11"/>
              </w:rPr>
              <w:t>0,00</w:t>
            </w:r>
          </w:p>
        </w:tc>
        <w:tc>
          <w:tcPr>
            <w:tcW w:w="838" w:type="dxa"/>
            <w:shd w:val="clear" w:color="auto" w:fill="DEEAF6"/>
          </w:tcPr>
          <w:p>
            <w:pPr>
              <w:pStyle w:val="TableParagraph"/>
              <w:rPr>
                <w:rFonts w:ascii="Times New Roman"/>
                <w:sz w:val="10"/>
              </w:rPr>
            </w:pPr>
          </w:p>
        </w:tc>
        <w:tc>
          <w:tcPr>
            <w:tcW w:w="836" w:type="dxa"/>
            <w:shd w:val="clear" w:color="auto" w:fill="DEEAF6"/>
          </w:tcPr>
          <w:p>
            <w:pPr>
              <w:pStyle w:val="TableParagraph"/>
              <w:spacing w:before="47"/>
              <w:ind w:right="43"/>
              <w:jc w:val="right"/>
              <w:rPr>
                <w:sz w:val="11"/>
              </w:rPr>
            </w:pPr>
            <w:r>
              <w:rPr>
                <w:w w:val="95"/>
                <w:sz w:val="11"/>
              </w:rPr>
              <w:t>0,00</w:t>
            </w:r>
          </w:p>
        </w:tc>
        <w:tc>
          <w:tcPr>
            <w:tcW w:w="836" w:type="dxa"/>
            <w:shd w:val="clear" w:color="auto" w:fill="DEEAF6"/>
          </w:tcPr>
          <w:p>
            <w:pPr>
              <w:pStyle w:val="TableParagraph"/>
              <w:spacing w:before="47"/>
              <w:ind w:right="42"/>
              <w:jc w:val="right"/>
              <w:rPr>
                <w:sz w:val="11"/>
              </w:rPr>
            </w:pPr>
            <w:r>
              <w:rPr>
                <w:w w:val="95"/>
                <w:sz w:val="11"/>
              </w:rPr>
              <w:t>0,00</w:t>
            </w:r>
          </w:p>
        </w:tc>
        <w:tc>
          <w:tcPr>
            <w:tcW w:w="836" w:type="dxa"/>
            <w:shd w:val="clear" w:color="auto" w:fill="DEEAF6"/>
          </w:tcPr>
          <w:p>
            <w:pPr>
              <w:pStyle w:val="TableParagraph"/>
              <w:rPr>
                <w:rFonts w:ascii="Times New Roman"/>
                <w:sz w:val="10"/>
              </w:rPr>
            </w:pPr>
          </w:p>
        </w:tc>
        <w:tc>
          <w:tcPr>
            <w:tcW w:w="899" w:type="dxa"/>
            <w:shd w:val="clear" w:color="auto" w:fill="DEEAF6"/>
          </w:tcPr>
          <w:p>
            <w:pPr>
              <w:pStyle w:val="TableParagraph"/>
              <w:rPr>
                <w:rFonts w:ascii="Times New Roman"/>
                <w:sz w:val="10"/>
              </w:rPr>
            </w:pPr>
          </w:p>
        </w:tc>
        <w:tc>
          <w:tcPr>
            <w:tcW w:w="836" w:type="dxa"/>
            <w:tcBorders>
              <w:right w:val="single" w:sz="4" w:space="0" w:color="000000"/>
            </w:tcBorders>
            <w:shd w:val="clear" w:color="auto" w:fill="DEEAF6"/>
          </w:tcPr>
          <w:p>
            <w:pPr>
              <w:pStyle w:val="TableParagraph"/>
              <w:spacing w:before="47"/>
              <w:ind w:right="33"/>
              <w:jc w:val="right"/>
              <w:rPr>
                <w:sz w:val="11"/>
              </w:rPr>
            </w:pPr>
            <w:r>
              <w:rPr>
                <w:w w:val="95"/>
                <w:sz w:val="11"/>
              </w:rPr>
              <w:t>0,00</w:t>
            </w:r>
          </w:p>
        </w:tc>
      </w:tr>
      <w:tr>
        <w:trPr>
          <w:trHeight w:val="254"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before="46"/>
              <w:ind w:right="48"/>
              <w:jc w:val="right"/>
              <w:rPr>
                <w:sz w:val="11"/>
              </w:rPr>
            </w:pPr>
            <w:r>
              <w:rPr>
                <w:sz w:val="11"/>
              </w:rPr>
              <w:t>4.164.721,81</w:t>
            </w:r>
          </w:p>
        </w:tc>
        <w:tc>
          <w:tcPr>
            <w:tcW w:w="775" w:type="dxa"/>
            <w:shd w:val="clear" w:color="auto" w:fill="FAE3D4"/>
          </w:tcPr>
          <w:p>
            <w:pPr>
              <w:pStyle w:val="TableParagraph"/>
              <w:spacing w:before="46"/>
              <w:ind w:right="50"/>
              <w:jc w:val="right"/>
              <w:rPr>
                <w:sz w:val="11"/>
              </w:rPr>
            </w:pPr>
            <w:r>
              <w:rPr>
                <w:sz w:val="11"/>
              </w:rPr>
              <w:t>2.275.171,36</w:t>
            </w:r>
          </w:p>
        </w:tc>
        <w:tc>
          <w:tcPr>
            <w:tcW w:w="773" w:type="dxa"/>
            <w:shd w:val="clear" w:color="auto" w:fill="FAE3D4"/>
          </w:tcPr>
          <w:p>
            <w:pPr>
              <w:pStyle w:val="TableParagraph"/>
              <w:spacing w:before="46"/>
              <w:ind w:right="47"/>
              <w:jc w:val="right"/>
              <w:rPr>
                <w:sz w:val="11"/>
              </w:rPr>
            </w:pPr>
            <w:r>
              <w:rPr>
                <w:sz w:val="11"/>
              </w:rPr>
              <w:t>6.439.893,17</w:t>
            </w:r>
          </w:p>
        </w:tc>
        <w:tc>
          <w:tcPr>
            <w:tcW w:w="900" w:type="dxa"/>
            <w:shd w:val="clear" w:color="auto" w:fill="FAE3D4"/>
          </w:tcPr>
          <w:p>
            <w:pPr>
              <w:pStyle w:val="TableParagraph"/>
              <w:spacing w:before="46"/>
              <w:ind w:right="47"/>
              <w:jc w:val="right"/>
              <w:rPr>
                <w:sz w:val="11"/>
              </w:rPr>
            </w:pPr>
            <w:r>
              <w:rPr>
                <w:sz w:val="11"/>
              </w:rPr>
              <w:t>29.997.904,16</w:t>
            </w:r>
          </w:p>
        </w:tc>
        <w:tc>
          <w:tcPr>
            <w:tcW w:w="775" w:type="dxa"/>
            <w:shd w:val="clear" w:color="auto" w:fill="FAE3D4"/>
          </w:tcPr>
          <w:p>
            <w:pPr>
              <w:pStyle w:val="TableParagraph"/>
              <w:spacing w:before="46"/>
              <w:ind w:right="48"/>
              <w:jc w:val="right"/>
              <w:rPr>
                <w:sz w:val="11"/>
              </w:rPr>
            </w:pPr>
            <w:r>
              <w:rPr>
                <w:sz w:val="11"/>
              </w:rPr>
              <w:t>1.317.495,56</w:t>
            </w:r>
          </w:p>
        </w:tc>
        <w:tc>
          <w:tcPr>
            <w:tcW w:w="898" w:type="dxa"/>
            <w:shd w:val="clear" w:color="auto" w:fill="FAE3D4"/>
          </w:tcPr>
          <w:p>
            <w:pPr>
              <w:pStyle w:val="TableParagraph"/>
              <w:spacing w:before="46"/>
              <w:ind w:right="45"/>
              <w:jc w:val="right"/>
              <w:rPr>
                <w:sz w:val="11"/>
              </w:rPr>
            </w:pPr>
            <w:r>
              <w:rPr>
                <w:sz w:val="11"/>
              </w:rPr>
              <w:t>31.315.399,72</w:t>
            </w:r>
          </w:p>
        </w:tc>
        <w:tc>
          <w:tcPr>
            <w:tcW w:w="838" w:type="dxa"/>
            <w:shd w:val="clear" w:color="auto" w:fill="DEEAF6"/>
          </w:tcPr>
          <w:p>
            <w:pPr>
              <w:pStyle w:val="TableParagraph"/>
              <w:rPr>
                <w:rFonts w:ascii="Times New Roman"/>
                <w:sz w:val="10"/>
              </w:rPr>
            </w:pPr>
          </w:p>
        </w:tc>
        <w:tc>
          <w:tcPr>
            <w:tcW w:w="836" w:type="dxa"/>
            <w:shd w:val="clear" w:color="auto" w:fill="DEEAF6"/>
          </w:tcPr>
          <w:p>
            <w:pPr>
              <w:pStyle w:val="TableParagraph"/>
              <w:spacing w:before="46"/>
              <w:ind w:right="43"/>
              <w:jc w:val="right"/>
              <w:rPr>
                <w:sz w:val="11"/>
              </w:rPr>
            </w:pPr>
            <w:r>
              <w:rPr>
                <w:w w:val="95"/>
                <w:sz w:val="11"/>
              </w:rPr>
              <w:t>0,00</w:t>
            </w:r>
          </w:p>
        </w:tc>
        <w:tc>
          <w:tcPr>
            <w:tcW w:w="836" w:type="dxa"/>
            <w:shd w:val="clear" w:color="auto" w:fill="DEEAF6"/>
          </w:tcPr>
          <w:p>
            <w:pPr>
              <w:pStyle w:val="TableParagraph"/>
              <w:spacing w:before="46"/>
              <w:ind w:right="42"/>
              <w:jc w:val="right"/>
              <w:rPr>
                <w:sz w:val="11"/>
              </w:rPr>
            </w:pPr>
            <w:r>
              <w:rPr>
                <w:w w:val="95"/>
                <w:sz w:val="11"/>
              </w:rPr>
              <w:t>0,00</w:t>
            </w:r>
          </w:p>
        </w:tc>
        <w:tc>
          <w:tcPr>
            <w:tcW w:w="836" w:type="dxa"/>
            <w:shd w:val="clear" w:color="auto" w:fill="DEEAF6"/>
          </w:tcPr>
          <w:p>
            <w:pPr>
              <w:pStyle w:val="TableParagraph"/>
              <w:rPr>
                <w:rFonts w:ascii="Times New Roman"/>
                <w:sz w:val="10"/>
              </w:rPr>
            </w:pPr>
          </w:p>
        </w:tc>
        <w:tc>
          <w:tcPr>
            <w:tcW w:w="899" w:type="dxa"/>
            <w:shd w:val="clear" w:color="auto" w:fill="DEEAF6"/>
          </w:tcPr>
          <w:p>
            <w:pPr>
              <w:pStyle w:val="TableParagraph"/>
              <w:rPr>
                <w:rFonts w:ascii="Times New Roman"/>
                <w:sz w:val="10"/>
              </w:rPr>
            </w:pPr>
          </w:p>
        </w:tc>
        <w:tc>
          <w:tcPr>
            <w:tcW w:w="836" w:type="dxa"/>
            <w:tcBorders>
              <w:right w:val="single" w:sz="4" w:space="0" w:color="000000"/>
            </w:tcBorders>
            <w:shd w:val="clear" w:color="auto" w:fill="DEEAF6"/>
          </w:tcPr>
          <w:p>
            <w:pPr>
              <w:pStyle w:val="TableParagraph"/>
              <w:spacing w:before="46"/>
              <w:ind w:right="33"/>
              <w:jc w:val="right"/>
              <w:rPr>
                <w:sz w:val="11"/>
              </w:rPr>
            </w:pPr>
            <w:r>
              <w:rPr>
                <w:w w:val="95"/>
                <w:sz w:val="11"/>
              </w:rPr>
              <w:t>0,00</w:t>
            </w:r>
          </w:p>
        </w:tc>
      </w:tr>
      <w:tr>
        <w:trPr>
          <w:trHeight w:val="255"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before="46"/>
              <w:ind w:right="48"/>
              <w:jc w:val="right"/>
              <w:rPr>
                <w:sz w:val="11"/>
              </w:rPr>
            </w:pPr>
            <w:r>
              <w:rPr>
                <w:sz w:val="11"/>
              </w:rPr>
              <w:t>9.959,76</w:t>
            </w:r>
          </w:p>
        </w:tc>
        <w:tc>
          <w:tcPr>
            <w:tcW w:w="775" w:type="dxa"/>
            <w:shd w:val="clear" w:color="auto" w:fill="FAE3D4"/>
          </w:tcPr>
          <w:p>
            <w:pPr>
              <w:pStyle w:val="TableParagraph"/>
              <w:spacing w:before="46"/>
              <w:ind w:right="49"/>
              <w:jc w:val="right"/>
              <w:rPr>
                <w:sz w:val="11"/>
              </w:rPr>
            </w:pPr>
            <w:r>
              <w:rPr>
                <w:w w:val="95"/>
                <w:sz w:val="11"/>
              </w:rPr>
              <w:t>0,00</w:t>
            </w:r>
          </w:p>
        </w:tc>
        <w:tc>
          <w:tcPr>
            <w:tcW w:w="773" w:type="dxa"/>
            <w:shd w:val="clear" w:color="auto" w:fill="FAE3D4"/>
          </w:tcPr>
          <w:p>
            <w:pPr>
              <w:pStyle w:val="TableParagraph"/>
              <w:spacing w:before="46"/>
              <w:ind w:right="47"/>
              <w:jc w:val="right"/>
              <w:rPr>
                <w:sz w:val="11"/>
              </w:rPr>
            </w:pPr>
            <w:r>
              <w:rPr>
                <w:sz w:val="11"/>
              </w:rPr>
              <w:t>9.959,76</w:t>
            </w:r>
          </w:p>
        </w:tc>
        <w:tc>
          <w:tcPr>
            <w:tcW w:w="900" w:type="dxa"/>
            <w:shd w:val="clear" w:color="auto" w:fill="FAE3D4"/>
          </w:tcPr>
          <w:p>
            <w:pPr>
              <w:pStyle w:val="TableParagraph"/>
              <w:spacing w:before="46"/>
              <w:ind w:right="46"/>
              <w:jc w:val="right"/>
              <w:rPr>
                <w:sz w:val="11"/>
              </w:rPr>
            </w:pPr>
            <w:r>
              <w:rPr>
                <w:sz w:val="11"/>
              </w:rPr>
              <w:t>2.196.166,54</w:t>
            </w:r>
          </w:p>
        </w:tc>
        <w:tc>
          <w:tcPr>
            <w:tcW w:w="775" w:type="dxa"/>
            <w:shd w:val="clear" w:color="auto" w:fill="FAE3D4"/>
          </w:tcPr>
          <w:p>
            <w:pPr>
              <w:pStyle w:val="TableParagraph"/>
              <w:spacing w:before="46"/>
              <w:ind w:right="48"/>
              <w:jc w:val="right"/>
              <w:rPr>
                <w:sz w:val="11"/>
              </w:rPr>
            </w:pPr>
            <w:r>
              <w:rPr>
                <w:w w:val="95"/>
                <w:sz w:val="11"/>
              </w:rPr>
              <w:t>50.344,91</w:t>
            </w:r>
          </w:p>
        </w:tc>
        <w:tc>
          <w:tcPr>
            <w:tcW w:w="898" w:type="dxa"/>
            <w:shd w:val="clear" w:color="auto" w:fill="FAE3D4"/>
          </w:tcPr>
          <w:p>
            <w:pPr>
              <w:pStyle w:val="TableParagraph"/>
              <w:spacing w:before="46"/>
              <w:ind w:right="45"/>
              <w:jc w:val="right"/>
              <w:rPr>
                <w:sz w:val="11"/>
              </w:rPr>
            </w:pPr>
            <w:r>
              <w:rPr>
                <w:sz w:val="11"/>
              </w:rPr>
              <w:t>2.246.511,45</w:t>
            </w:r>
          </w:p>
        </w:tc>
        <w:tc>
          <w:tcPr>
            <w:tcW w:w="838" w:type="dxa"/>
            <w:shd w:val="clear" w:color="auto" w:fill="DEEAF6"/>
          </w:tcPr>
          <w:p>
            <w:pPr>
              <w:pStyle w:val="TableParagraph"/>
              <w:rPr>
                <w:rFonts w:ascii="Times New Roman"/>
                <w:sz w:val="10"/>
              </w:rPr>
            </w:pPr>
          </w:p>
        </w:tc>
        <w:tc>
          <w:tcPr>
            <w:tcW w:w="836" w:type="dxa"/>
            <w:shd w:val="clear" w:color="auto" w:fill="DEEAF6"/>
          </w:tcPr>
          <w:p>
            <w:pPr>
              <w:pStyle w:val="TableParagraph"/>
              <w:rPr>
                <w:rFonts w:ascii="Times New Roman"/>
                <w:sz w:val="10"/>
              </w:rPr>
            </w:pPr>
          </w:p>
        </w:tc>
        <w:tc>
          <w:tcPr>
            <w:tcW w:w="836" w:type="dxa"/>
            <w:shd w:val="clear" w:color="auto" w:fill="DEEAF6"/>
          </w:tcPr>
          <w:p>
            <w:pPr>
              <w:pStyle w:val="TableParagraph"/>
              <w:spacing w:before="46"/>
              <w:ind w:right="42"/>
              <w:jc w:val="right"/>
              <w:rPr>
                <w:sz w:val="11"/>
              </w:rPr>
            </w:pPr>
            <w:r>
              <w:rPr>
                <w:w w:val="95"/>
                <w:sz w:val="11"/>
              </w:rPr>
              <w:t>0,00</w:t>
            </w:r>
          </w:p>
        </w:tc>
        <w:tc>
          <w:tcPr>
            <w:tcW w:w="836" w:type="dxa"/>
            <w:shd w:val="clear" w:color="auto" w:fill="DEEAF6"/>
          </w:tcPr>
          <w:p>
            <w:pPr>
              <w:pStyle w:val="TableParagraph"/>
              <w:rPr>
                <w:rFonts w:ascii="Times New Roman"/>
                <w:sz w:val="10"/>
              </w:rPr>
            </w:pPr>
          </w:p>
        </w:tc>
        <w:tc>
          <w:tcPr>
            <w:tcW w:w="899" w:type="dxa"/>
            <w:shd w:val="clear" w:color="auto" w:fill="DEEAF6"/>
          </w:tcPr>
          <w:p>
            <w:pPr>
              <w:pStyle w:val="TableParagraph"/>
              <w:rPr>
                <w:rFonts w:ascii="Times New Roman"/>
                <w:sz w:val="10"/>
              </w:rPr>
            </w:pPr>
          </w:p>
        </w:tc>
        <w:tc>
          <w:tcPr>
            <w:tcW w:w="836" w:type="dxa"/>
            <w:tcBorders>
              <w:right w:val="single" w:sz="4" w:space="0" w:color="000000"/>
            </w:tcBorders>
            <w:shd w:val="clear" w:color="auto" w:fill="DEEAF6"/>
          </w:tcPr>
          <w:p>
            <w:pPr>
              <w:pStyle w:val="TableParagraph"/>
              <w:spacing w:before="46"/>
              <w:ind w:right="33"/>
              <w:jc w:val="right"/>
              <w:rPr>
                <w:sz w:val="11"/>
              </w:rPr>
            </w:pPr>
            <w:r>
              <w:rPr>
                <w:w w:val="95"/>
                <w:sz w:val="11"/>
              </w:rPr>
              <w:t>0,00</w:t>
            </w:r>
          </w:p>
        </w:tc>
      </w:tr>
      <w:tr>
        <w:trPr>
          <w:trHeight w:val="255"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before="47"/>
              <w:ind w:right="48"/>
              <w:jc w:val="right"/>
              <w:rPr>
                <w:sz w:val="11"/>
              </w:rPr>
            </w:pPr>
            <w:r>
              <w:rPr>
                <w:sz w:val="11"/>
              </w:rPr>
              <w:t>1.271.081,83</w:t>
            </w:r>
          </w:p>
        </w:tc>
        <w:tc>
          <w:tcPr>
            <w:tcW w:w="775" w:type="dxa"/>
            <w:shd w:val="clear" w:color="auto" w:fill="FAE3D4"/>
          </w:tcPr>
          <w:p>
            <w:pPr>
              <w:pStyle w:val="TableParagraph"/>
              <w:spacing w:before="47"/>
              <w:ind w:right="50"/>
              <w:jc w:val="right"/>
              <w:rPr>
                <w:sz w:val="11"/>
              </w:rPr>
            </w:pPr>
            <w:r>
              <w:rPr>
                <w:sz w:val="11"/>
              </w:rPr>
              <w:t>933.653,25</w:t>
            </w:r>
          </w:p>
        </w:tc>
        <w:tc>
          <w:tcPr>
            <w:tcW w:w="773" w:type="dxa"/>
            <w:shd w:val="clear" w:color="auto" w:fill="FAE3D4"/>
          </w:tcPr>
          <w:p>
            <w:pPr>
              <w:pStyle w:val="TableParagraph"/>
              <w:spacing w:before="47"/>
              <w:ind w:right="47"/>
              <w:jc w:val="right"/>
              <w:rPr>
                <w:sz w:val="11"/>
              </w:rPr>
            </w:pPr>
            <w:r>
              <w:rPr>
                <w:sz w:val="11"/>
              </w:rPr>
              <w:t>2.204.735,08</w:t>
            </w:r>
          </w:p>
        </w:tc>
        <w:tc>
          <w:tcPr>
            <w:tcW w:w="900" w:type="dxa"/>
            <w:shd w:val="clear" w:color="auto" w:fill="FAE3D4"/>
          </w:tcPr>
          <w:p>
            <w:pPr>
              <w:pStyle w:val="TableParagraph"/>
              <w:spacing w:before="47"/>
              <w:ind w:right="47"/>
              <w:jc w:val="right"/>
              <w:rPr>
                <w:sz w:val="11"/>
              </w:rPr>
            </w:pPr>
            <w:r>
              <w:rPr>
                <w:sz w:val="11"/>
              </w:rPr>
              <w:t>32.463.568,37</w:t>
            </w:r>
          </w:p>
        </w:tc>
        <w:tc>
          <w:tcPr>
            <w:tcW w:w="775" w:type="dxa"/>
            <w:shd w:val="clear" w:color="auto" w:fill="FAE3D4"/>
          </w:tcPr>
          <w:p>
            <w:pPr>
              <w:pStyle w:val="TableParagraph"/>
              <w:spacing w:before="47"/>
              <w:ind w:right="48"/>
              <w:jc w:val="right"/>
              <w:rPr>
                <w:sz w:val="11"/>
              </w:rPr>
            </w:pPr>
            <w:r>
              <w:rPr>
                <w:sz w:val="11"/>
              </w:rPr>
              <w:t>262.943,39</w:t>
            </w:r>
          </w:p>
        </w:tc>
        <w:tc>
          <w:tcPr>
            <w:tcW w:w="898" w:type="dxa"/>
            <w:shd w:val="clear" w:color="auto" w:fill="FAE3D4"/>
          </w:tcPr>
          <w:p>
            <w:pPr>
              <w:pStyle w:val="TableParagraph"/>
              <w:spacing w:before="47"/>
              <w:ind w:right="45"/>
              <w:jc w:val="right"/>
              <w:rPr>
                <w:sz w:val="11"/>
              </w:rPr>
            </w:pPr>
            <w:r>
              <w:rPr>
                <w:sz w:val="11"/>
              </w:rPr>
              <w:t>32.726.511,76</w:t>
            </w:r>
          </w:p>
        </w:tc>
        <w:tc>
          <w:tcPr>
            <w:tcW w:w="838" w:type="dxa"/>
            <w:shd w:val="clear" w:color="auto" w:fill="DEEAF6"/>
          </w:tcPr>
          <w:p>
            <w:pPr>
              <w:pStyle w:val="TableParagraph"/>
              <w:spacing w:before="47"/>
              <w:ind w:right="46"/>
              <w:jc w:val="right"/>
              <w:rPr>
                <w:sz w:val="11"/>
              </w:rPr>
            </w:pPr>
            <w:r>
              <w:rPr>
                <w:sz w:val="11"/>
              </w:rPr>
              <w:t>2.533.881,30</w:t>
            </w:r>
          </w:p>
        </w:tc>
        <w:tc>
          <w:tcPr>
            <w:tcW w:w="836" w:type="dxa"/>
            <w:shd w:val="clear" w:color="auto" w:fill="DEEAF6"/>
          </w:tcPr>
          <w:p>
            <w:pPr>
              <w:pStyle w:val="TableParagraph"/>
              <w:spacing w:before="47"/>
              <w:ind w:right="43"/>
              <w:jc w:val="right"/>
              <w:rPr>
                <w:sz w:val="11"/>
              </w:rPr>
            </w:pPr>
            <w:r>
              <w:rPr>
                <w:w w:val="95"/>
                <w:sz w:val="11"/>
              </w:rPr>
              <w:t>96.786,05</w:t>
            </w:r>
          </w:p>
        </w:tc>
        <w:tc>
          <w:tcPr>
            <w:tcW w:w="836" w:type="dxa"/>
            <w:shd w:val="clear" w:color="auto" w:fill="DEEAF6"/>
          </w:tcPr>
          <w:p>
            <w:pPr>
              <w:pStyle w:val="TableParagraph"/>
              <w:spacing w:before="47"/>
              <w:ind w:right="42"/>
              <w:jc w:val="right"/>
              <w:rPr>
                <w:sz w:val="11"/>
              </w:rPr>
            </w:pPr>
            <w:r>
              <w:rPr>
                <w:sz w:val="11"/>
              </w:rPr>
              <w:t>2.630.667,35</w:t>
            </w:r>
          </w:p>
        </w:tc>
        <w:tc>
          <w:tcPr>
            <w:tcW w:w="836" w:type="dxa"/>
            <w:shd w:val="clear" w:color="auto" w:fill="DEEAF6"/>
          </w:tcPr>
          <w:p>
            <w:pPr>
              <w:pStyle w:val="TableParagraph"/>
              <w:spacing w:before="47"/>
              <w:ind w:right="41"/>
              <w:jc w:val="right"/>
              <w:rPr>
                <w:sz w:val="11"/>
              </w:rPr>
            </w:pPr>
            <w:r>
              <w:rPr>
                <w:sz w:val="11"/>
              </w:rPr>
              <w:t>776.128,57</w:t>
            </w:r>
          </w:p>
        </w:tc>
        <w:tc>
          <w:tcPr>
            <w:tcW w:w="899" w:type="dxa"/>
            <w:shd w:val="clear" w:color="auto" w:fill="DEEAF6"/>
          </w:tcPr>
          <w:p>
            <w:pPr>
              <w:pStyle w:val="TableParagraph"/>
              <w:spacing w:before="47"/>
              <w:ind w:right="40"/>
              <w:jc w:val="right"/>
              <w:rPr>
                <w:sz w:val="11"/>
              </w:rPr>
            </w:pPr>
            <w:r>
              <w:rPr>
                <w:sz w:val="11"/>
              </w:rPr>
              <w:t>607.539,14</w:t>
            </w:r>
          </w:p>
        </w:tc>
        <w:tc>
          <w:tcPr>
            <w:tcW w:w="836" w:type="dxa"/>
            <w:tcBorders>
              <w:right w:val="single" w:sz="4" w:space="0" w:color="000000"/>
            </w:tcBorders>
            <w:shd w:val="clear" w:color="auto" w:fill="DEEAF6"/>
          </w:tcPr>
          <w:p>
            <w:pPr>
              <w:pStyle w:val="TableParagraph"/>
              <w:spacing w:before="47"/>
              <w:ind w:right="34"/>
              <w:jc w:val="right"/>
              <w:rPr>
                <w:sz w:val="11"/>
              </w:rPr>
            </w:pPr>
            <w:r>
              <w:rPr>
                <w:sz w:val="11"/>
              </w:rPr>
              <w:t>1.383.667,71</w:t>
            </w:r>
          </w:p>
        </w:tc>
      </w:tr>
      <w:tr>
        <w:trPr>
          <w:trHeight w:val="188"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22" w:lineRule="exact" w:before="46"/>
              <w:ind w:right="48"/>
              <w:jc w:val="right"/>
              <w:rPr>
                <w:sz w:val="11"/>
              </w:rPr>
            </w:pPr>
            <w:r>
              <w:rPr>
                <w:sz w:val="11"/>
              </w:rPr>
              <w:t>11.956.225,45</w:t>
            </w:r>
          </w:p>
        </w:tc>
        <w:tc>
          <w:tcPr>
            <w:tcW w:w="775" w:type="dxa"/>
            <w:shd w:val="clear" w:color="auto" w:fill="FAE3D4"/>
          </w:tcPr>
          <w:p>
            <w:pPr>
              <w:pStyle w:val="TableParagraph"/>
              <w:spacing w:line="122" w:lineRule="exact" w:before="46"/>
              <w:ind w:right="50"/>
              <w:jc w:val="right"/>
              <w:rPr>
                <w:sz w:val="11"/>
              </w:rPr>
            </w:pPr>
            <w:r>
              <w:rPr>
                <w:sz w:val="11"/>
              </w:rPr>
              <w:t>1.396.687,00</w:t>
            </w:r>
          </w:p>
        </w:tc>
        <w:tc>
          <w:tcPr>
            <w:tcW w:w="773" w:type="dxa"/>
            <w:shd w:val="clear" w:color="auto" w:fill="FAE3D4"/>
          </w:tcPr>
          <w:p>
            <w:pPr>
              <w:pStyle w:val="TableParagraph"/>
              <w:spacing w:line="122" w:lineRule="exact" w:before="46"/>
              <w:ind w:right="47"/>
              <w:jc w:val="right"/>
              <w:rPr>
                <w:sz w:val="11"/>
              </w:rPr>
            </w:pPr>
            <w:r>
              <w:rPr>
                <w:sz w:val="11"/>
              </w:rPr>
              <w:t>13.352.912,45</w:t>
            </w:r>
          </w:p>
        </w:tc>
        <w:tc>
          <w:tcPr>
            <w:tcW w:w="900" w:type="dxa"/>
            <w:shd w:val="clear" w:color="auto" w:fill="FAE3D4"/>
          </w:tcPr>
          <w:p>
            <w:pPr>
              <w:pStyle w:val="TableParagraph"/>
              <w:spacing w:line="122" w:lineRule="exact" w:before="46"/>
              <w:ind w:right="47"/>
              <w:jc w:val="right"/>
              <w:rPr>
                <w:sz w:val="11"/>
              </w:rPr>
            </w:pPr>
            <w:r>
              <w:rPr>
                <w:sz w:val="11"/>
              </w:rPr>
              <w:t>12.794.782,84</w:t>
            </w:r>
          </w:p>
        </w:tc>
        <w:tc>
          <w:tcPr>
            <w:tcW w:w="775" w:type="dxa"/>
            <w:shd w:val="clear" w:color="auto" w:fill="FAE3D4"/>
          </w:tcPr>
          <w:p>
            <w:pPr>
              <w:pStyle w:val="TableParagraph"/>
              <w:spacing w:line="122" w:lineRule="exact" w:before="46"/>
              <w:ind w:right="48"/>
              <w:jc w:val="right"/>
              <w:rPr>
                <w:sz w:val="11"/>
              </w:rPr>
            </w:pPr>
            <w:r>
              <w:rPr>
                <w:sz w:val="11"/>
              </w:rPr>
              <w:t>1.259.367,65</w:t>
            </w:r>
          </w:p>
        </w:tc>
        <w:tc>
          <w:tcPr>
            <w:tcW w:w="898" w:type="dxa"/>
            <w:shd w:val="clear" w:color="auto" w:fill="FAE3D4"/>
          </w:tcPr>
          <w:p>
            <w:pPr>
              <w:pStyle w:val="TableParagraph"/>
              <w:spacing w:line="122" w:lineRule="exact" w:before="46"/>
              <w:ind w:right="45"/>
              <w:jc w:val="right"/>
              <w:rPr>
                <w:sz w:val="11"/>
              </w:rPr>
            </w:pPr>
            <w:r>
              <w:rPr>
                <w:sz w:val="11"/>
              </w:rPr>
              <w:t>14.054.150,49</w:t>
            </w:r>
          </w:p>
        </w:tc>
        <w:tc>
          <w:tcPr>
            <w:tcW w:w="838" w:type="dxa"/>
            <w:shd w:val="clear" w:color="auto" w:fill="DEEAF6"/>
          </w:tcPr>
          <w:p>
            <w:pPr>
              <w:pStyle w:val="TableParagraph"/>
              <w:rPr>
                <w:rFonts w:ascii="Times New Roman"/>
                <w:sz w:val="10"/>
              </w:rPr>
            </w:pPr>
          </w:p>
        </w:tc>
        <w:tc>
          <w:tcPr>
            <w:tcW w:w="836" w:type="dxa"/>
            <w:shd w:val="clear" w:color="auto" w:fill="DEEAF6"/>
          </w:tcPr>
          <w:p>
            <w:pPr>
              <w:pStyle w:val="TableParagraph"/>
              <w:rPr>
                <w:rFonts w:ascii="Times New Roman"/>
                <w:sz w:val="10"/>
              </w:rPr>
            </w:pPr>
          </w:p>
        </w:tc>
        <w:tc>
          <w:tcPr>
            <w:tcW w:w="836" w:type="dxa"/>
            <w:shd w:val="clear" w:color="auto" w:fill="DEEAF6"/>
          </w:tcPr>
          <w:p>
            <w:pPr>
              <w:pStyle w:val="TableParagraph"/>
              <w:spacing w:line="122" w:lineRule="exact" w:before="46"/>
              <w:ind w:right="42"/>
              <w:jc w:val="right"/>
              <w:rPr>
                <w:sz w:val="11"/>
              </w:rPr>
            </w:pPr>
            <w:r>
              <w:rPr>
                <w:w w:val="95"/>
                <w:sz w:val="11"/>
              </w:rPr>
              <w:t>0,00</w:t>
            </w:r>
          </w:p>
        </w:tc>
        <w:tc>
          <w:tcPr>
            <w:tcW w:w="836" w:type="dxa"/>
            <w:shd w:val="clear" w:color="auto" w:fill="DEEAF6"/>
          </w:tcPr>
          <w:p>
            <w:pPr>
              <w:pStyle w:val="TableParagraph"/>
              <w:rPr>
                <w:rFonts w:ascii="Times New Roman"/>
                <w:sz w:val="10"/>
              </w:rPr>
            </w:pPr>
          </w:p>
        </w:tc>
        <w:tc>
          <w:tcPr>
            <w:tcW w:w="899" w:type="dxa"/>
            <w:shd w:val="clear" w:color="auto" w:fill="DEEAF6"/>
          </w:tcPr>
          <w:p>
            <w:pPr>
              <w:pStyle w:val="TableParagraph"/>
              <w:rPr>
                <w:rFonts w:ascii="Times New Roman"/>
                <w:sz w:val="10"/>
              </w:rPr>
            </w:pPr>
          </w:p>
        </w:tc>
        <w:tc>
          <w:tcPr>
            <w:tcW w:w="836" w:type="dxa"/>
            <w:tcBorders>
              <w:right w:val="single" w:sz="4" w:space="0" w:color="000000"/>
            </w:tcBorders>
            <w:shd w:val="clear" w:color="auto" w:fill="DEEAF6"/>
          </w:tcPr>
          <w:p>
            <w:pPr>
              <w:pStyle w:val="TableParagraph"/>
              <w:spacing w:line="122" w:lineRule="exact" w:before="46"/>
              <w:ind w:right="33"/>
              <w:jc w:val="right"/>
              <w:rPr>
                <w:sz w:val="11"/>
              </w:rPr>
            </w:pPr>
            <w:r>
              <w:rPr>
                <w:w w:val="95"/>
                <w:sz w:val="11"/>
              </w:rPr>
              <w:t>0,00</w:t>
            </w:r>
          </w:p>
        </w:tc>
      </w:tr>
      <w:tr>
        <w:trPr>
          <w:trHeight w:val="189"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shd w:val="clear" w:color="auto" w:fill="FAE3D4"/>
          </w:tcPr>
          <w:p>
            <w:pPr>
              <w:pStyle w:val="TableParagraph"/>
              <w:spacing w:line="114" w:lineRule="exact"/>
              <w:ind w:right="48"/>
              <w:jc w:val="right"/>
              <w:rPr>
                <w:sz w:val="11"/>
              </w:rPr>
            </w:pPr>
            <w:r>
              <w:rPr>
                <w:w w:val="95"/>
                <w:sz w:val="11"/>
              </w:rPr>
              <w:t>11.442,41</w:t>
            </w:r>
          </w:p>
        </w:tc>
        <w:tc>
          <w:tcPr>
            <w:tcW w:w="775" w:type="dxa"/>
            <w:shd w:val="clear" w:color="auto" w:fill="FAE3D4"/>
          </w:tcPr>
          <w:p>
            <w:pPr>
              <w:pStyle w:val="TableParagraph"/>
              <w:spacing w:line="114" w:lineRule="exact"/>
              <w:ind w:right="49"/>
              <w:jc w:val="right"/>
              <w:rPr>
                <w:sz w:val="11"/>
              </w:rPr>
            </w:pPr>
            <w:r>
              <w:rPr>
                <w:w w:val="95"/>
                <w:sz w:val="11"/>
              </w:rPr>
              <w:t>0,00</w:t>
            </w:r>
          </w:p>
        </w:tc>
        <w:tc>
          <w:tcPr>
            <w:tcW w:w="773" w:type="dxa"/>
            <w:shd w:val="clear" w:color="auto" w:fill="FAE3D4"/>
          </w:tcPr>
          <w:p>
            <w:pPr>
              <w:pStyle w:val="TableParagraph"/>
              <w:spacing w:line="114" w:lineRule="exact"/>
              <w:ind w:right="47"/>
              <w:jc w:val="right"/>
              <w:rPr>
                <w:sz w:val="11"/>
              </w:rPr>
            </w:pPr>
            <w:r>
              <w:rPr>
                <w:w w:val="95"/>
                <w:sz w:val="11"/>
              </w:rPr>
              <w:t>11.442,41</w:t>
            </w:r>
          </w:p>
        </w:tc>
        <w:tc>
          <w:tcPr>
            <w:tcW w:w="900" w:type="dxa"/>
            <w:shd w:val="clear" w:color="auto" w:fill="FAE3D4"/>
          </w:tcPr>
          <w:p>
            <w:pPr>
              <w:pStyle w:val="TableParagraph"/>
              <w:spacing w:line="114" w:lineRule="exact"/>
              <w:ind w:right="47"/>
              <w:jc w:val="right"/>
              <w:rPr>
                <w:sz w:val="11"/>
              </w:rPr>
            </w:pPr>
            <w:r>
              <w:rPr>
                <w:sz w:val="11"/>
              </w:rPr>
              <w:t>32.068.470,16</w:t>
            </w:r>
          </w:p>
        </w:tc>
        <w:tc>
          <w:tcPr>
            <w:tcW w:w="775" w:type="dxa"/>
            <w:shd w:val="clear" w:color="auto" w:fill="FAE3D4"/>
          </w:tcPr>
          <w:p>
            <w:pPr>
              <w:pStyle w:val="TableParagraph"/>
              <w:spacing w:line="114" w:lineRule="exact"/>
              <w:ind w:right="48"/>
              <w:jc w:val="right"/>
              <w:rPr>
                <w:sz w:val="11"/>
              </w:rPr>
            </w:pPr>
            <w:r>
              <w:rPr>
                <w:sz w:val="11"/>
              </w:rPr>
              <w:t>171.170,12</w:t>
            </w:r>
          </w:p>
        </w:tc>
        <w:tc>
          <w:tcPr>
            <w:tcW w:w="898" w:type="dxa"/>
            <w:shd w:val="clear" w:color="auto" w:fill="FAE3D4"/>
          </w:tcPr>
          <w:p>
            <w:pPr>
              <w:pStyle w:val="TableParagraph"/>
              <w:spacing w:line="114" w:lineRule="exact"/>
              <w:ind w:right="45"/>
              <w:jc w:val="right"/>
              <w:rPr>
                <w:sz w:val="11"/>
              </w:rPr>
            </w:pPr>
            <w:r>
              <w:rPr>
                <w:sz w:val="11"/>
              </w:rPr>
              <w:t>32.239.640,28</w:t>
            </w:r>
          </w:p>
        </w:tc>
        <w:tc>
          <w:tcPr>
            <w:tcW w:w="838" w:type="dxa"/>
            <w:shd w:val="clear" w:color="auto" w:fill="DEEAF6"/>
          </w:tcPr>
          <w:p>
            <w:pPr>
              <w:pStyle w:val="TableParagraph"/>
              <w:spacing w:line="114" w:lineRule="exact"/>
              <w:ind w:right="46"/>
              <w:jc w:val="right"/>
              <w:rPr>
                <w:sz w:val="11"/>
              </w:rPr>
            </w:pPr>
            <w:r>
              <w:rPr>
                <w:sz w:val="11"/>
              </w:rPr>
              <w:t>2.523.224,01</w:t>
            </w:r>
          </w:p>
        </w:tc>
        <w:tc>
          <w:tcPr>
            <w:tcW w:w="836" w:type="dxa"/>
            <w:shd w:val="clear" w:color="auto" w:fill="DEEAF6"/>
          </w:tcPr>
          <w:p>
            <w:pPr>
              <w:pStyle w:val="TableParagraph"/>
              <w:spacing w:line="114" w:lineRule="exact"/>
              <w:ind w:right="43"/>
              <w:jc w:val="right"/>
              <w:rPr>
                <w:sz w:val="11"/>
              </w:rPr>
            </w:pPr>
            <w:r>
              <w:rPr>
                <w:sz w:val="11"/>
              </w:rPr>
              <w:t>938.068,43</w:t>
            </w:r>
          </w:p>
        </w:tc>
        <w:tc>
          <w:tcPr>
            <w:tcW w:w="836" w:type="dxa"/>
            <w:shd w:val="clear" w:color="auto" w:fill="DEEAF6"/>
          </w:tcPr>
          <w:p>
            <w:pPr>
              <w:pStyle w:val="TableParagraph"/>
              <w:spacing w:line="114" w:lineRule="exact"/>
              <w:ind w:right="42"/>
              <w:jc w:val="right"/>
              <w:rPr>
                <w:sz w:val="11"/>
              </w:rPr>
            </w:pPr>
            <w:r>
              <w:rPr>
                <w:sz w:val="11"/>
              </w:rPr>
              <w:t>3.461.292,44</w:t>
            </w:r>
          </w:p>
        </w:tc>
        <w:tc>
          <w:tcPr>
            <w:tcW w:w="836" w:type="dxa"/>
            <w:shd w:val="clear" w:color="auto" w:fill="DEEAF6"/>
          </w:tcPr>
          <w:p>
            <w:pPr>
              <w:pStyle w:val="TableParagraph"/>
              <w:spacing w:line="114" w:lineRule="exact"/>
              <w:ind w:right="41"/>
              <w:jc w:val="right"/>
              <w:rPr>
                <w:sz w:val="11"/>
              </w:rPr>
            </w:pPr>
            <w:r>
              <w:rPr>
                <w:w w:val="95"/>
                <w:sz w:val="11"/>
              </w:rPr>
              <w:t>84.617,57</w:t>
            </w:r>
          </w:p>
        </w:tc>
        <w:tc>
          <w:tcPr>
            <w:tcW w:w="899" w:type="dxa"/>
            <w:shd w:val="clear" w:color="auto" w:fill="DEEAF6"/>
          </w:tcPr>
          <w:p>
            <w:pPr>
              <w:pStyle w:val="TableParagraph"/>
              <w:spacing w:line="114" w:lineRule="exact"/>
              <w:ind w:right="40"/>
              <w:jc w:val="right"/>
              <w:rPr>
                <w:sz w:val="11"/>
              </w:rPr>
            </w:pPr>
            <w:r>
              <w:rPr>
                <w:sz w:val="11"/>
              </w:rPr>
              <w:t>295.010,12</w:t>
            </w:r>
          </w:p>
        </w:tc>
        <w:tc>
          <w:tcPr>
            <w:tcW w:w="836" w:type="dxa"/>
            <w:tcBorders>
              <w:right w:val="single" w:sz="4" w:space="0" w:color="000000"/>
            </w:tcBorders>
            <w:shd w:val="clear" w:color="auto" w:fill="DEEAF6"/>
          </w:tcPr>
          <w:p>
            <w:pPr>
              <w:pStyle w:val="TableParagraph"/>
              <w:spacing w:line="114" w:lineRule="exact"/>
              <w:ind w:right="34"/>
              <w:jc w:val="right"/>
              <w:rPr>
                <w:sz w:val="11"/>
              </w:rPr>
            </w:pPr>
            <w:r>
              <w:rPr>
                <w:sz w:val="11"/>
              </w:rPr>
              <w:t>379.627,69</w:t>
            </w:r>
          </w:p>
        </w:tc>
      </w:tr>
      <w:tr>
        <w:trPr>
          <w:trHeight w:val="316" w:hRule="atLeast"/>
        </w:trPr>
        <w:tc>
          <w:tcPr>
            <w:tcW w:w="652" w:type="dxa"/>
            <w:vMerge/>
            <w:tcBorders>
              <w:top w:val="nil"/>
              <w:left w:val="single" w:sz="4" w:space="0" w:color="000000"/>
              <w:bottom w:val="single" w:sz="4" w:space="0" w:color="000000"/>
            </w:tcBorders>
          </w:tcPr>
          <w:p>
            <w:pPr>
              <w:rPr>
                <w:sz w:val="2"/>
                <w:szCs w:val="2"/>
              </w:rPr>
            </w:pPr>
          </w:p>
        </w:tc>
        <w:tc>
          <w:tcPr>
            <w:tcW w:w="1551" w:type="dxa"/>
            <w:vMerge/>
            <w:tcBorders>
              <w:top w:val="nil"/>
              <w:bottom w:val="single" w:sz="4" w:space="0" w:color="000000"/>
            </w:tcBorders>
          </w:tcPr>
          <w:p>
            <w:pPr>
              <w:rPr>
                <w:sz w:val="2"/>
                <w:szCs w:val="2"/>
              </w:rPr>
            </w:pPr>
          </w:p>
        </w:tc>
        <w:tc>
          <w:tcPr>
            <w:tcW w:w="773" w:type="dxa"/>
            <w:tcBorders>
              <w:bottom w:val="single" w:sz="4" w:space="0" w:color="000000"/>
            </w:tcBorders>
            <w:shd w:val="clear" w:color="auto" w:fill="FAE3D4"/>
          </w:tcPr>
          <w:p>
            <w:pPr>
              <w:pStyle w:val="TableParagraph"/>
              <w:spacing w:before="47"/>
              <w:ind w:right="48"/>
              <w:jc w:val="right"/>
              <w:rPr>
                <w:sz w:val="11"/>
              </w:rPr>
            </w:pPr>
            <w:r>
              <w:rPr>
                <w:w w:val="95"/>
                <w:sz w:val="11"/>
              </w:rPr>
              <w:t>0,00</w:t>
            </w:r>
          </w:p>
        </w:tc>
        <w:tc>
          <w:tcPr>
            <w:tcW w:w="775" w:type="dxa"/>
            <w:tcBorders>
              <w:bottom w:val="single" w:sz="4" w:space="0" w:color="000000"/>
            </w:tcBorders>
            <w:shd w:val="clear" w:color="auto" w:fill="FAE3D4"/>
          </w:tcPr>
          <w:p>
            <w:pPr>
              <w:pStyle w:val="TableParagraph"/>
              <w:spacing w:before="47"/>
              <w:ind w:right="49"/>
              <w:jc w:val="right"/>
              <w:rPr>
                <w:sz w:val="11"/>
              </w:rPr>
            </w:pPr>
            <w:r>
              <w:rPr>
                <w:w w:val="95"/>
                <w:sz w:val="11"/>
              </w:rPr>
              <w:t>0,00</w:t>
            </w:r>
          </w:p>
        </w:tc>
        <w:tc>
          <w:tcPr>
            <w:tcW w:w="773" w:type="dxa"/>
            <w:tcBorders>
              <w:bottom w:val="single" w:sz="4" w:space="0" w:color="000000"/>
            </w:tcBorders>
            <w:shd w:val="clear" w:color="auto" w:fill="FAE3D4"/>
          </w:tcPr>
          <w:p>
            <w:pPr>
              <w:pStyle w:val="TableParagraph"/>
              <w:spacing w:before="47"/>
              <w:ind w:right="46"/>
              <w:jc w:val="right"/>
              <w:rPr>
                <w:sz w:val="11"/>
              </w:rPr>
            </w:pPr>
            <w:r>
              <w:rPr>
                <w:w w:val="95"/>
                <w:sz w:val="11"/>
              </w:rPr>
              <w:t>0,00</w:t>
            </w:r>
          </w:p>
        </w:tc>
        <w:tc>
          <w:tcPr>
            <w:tcW w:w="900" w:type="dxa"/>
            <w:tcBorders>
              <w:bottom w:val="single" w:sz="4" w:space="0" w:color="000000"/>
            </w:tcBorders>
            <w:shd w:val="clear" w:color="auto" w:fill="FAE3D4"/>
          </w:tcPr>
          <w:p>
            <w:pPr>
              <w:pStyle w:val="TableParagraph"/>
              <w:spacing w:before="47"/>
              <w:ind w:right="46"/>
              <w:jc w:val="right"/>
              <w:rPr>
                <w:sz w:val="11"/>
              </w:rPr>
            </w:pPr>
            <w:r>
              <w:rPr>
                <w:w w:val="95"/>
                <w:sz w:val="11"/>
              </w:rPr>
              <w:t>0,00</w:t>
            </w:r>
          </w:p>
        </w:tc>
        <w:tc>
          <w:tcPr>
            <w:tcW w:w="775" w:type="dxa"/>
            <w:tcBorders>
              <w:bottom w:val="single" w:sz="4" w:space="0" w:color="000000"/>
            </w:tcBorders>
            <w:shd w:val="clear" w:color="auto" w:fill="FAE3D4"/>
          </w:tcPr>
          <w:p>
            <w:pPr>
              <w:pStyle w:val="TableParagraph"/>
              <w:spacing w:before="47"/>
              <w:ind w:right="47"/>
              <w:jc w:val="right"/>
              <w:rPr>
                <w:sz w:val="11"/>
              </w:rPr>
            </w:pPr>
            <w:r>
              <w:rPr>
                <w:w w:val="95"/>
                <w:sz w:val="11"/>
              </w:rPr>
              <w:t>0,00</w:t>
            </w:r>
          </w:p>
        </w:tc>
        <w:tc>
          <w:tcPr>
            <w:tcW w:w="898" w:type="dxa"/>
            <w:tcBorders>
              <w:bottom w:val="single" w:sz="4" w:space="0" w:color="000000"/>
            </w:tcBorders>
            <w:shd w:val="clear" w:color="auto" w:fill="FAE3D4"/>
          </w:tcPr>
          <w:p>
            <w:pPr>
              <w:pStyle w:val="TableParagraph"/>
              <w:spacing w:before="47"/>
              <w:ind w:right="45"/>
              <w:jc w:val="right"/>
              <w:rPr>
                <w:sz w:val="11"/>
              </w:rPr>
            </w:pPr>
            <w:r>
              <w:rPr>
                <w:w w:val="95"/>
                <w:sz w:val="11"/>
              </w:rPr>
              <w:t>0,00</w:t>
            </w:r>
          </w:p>
        </w:tc>
        <w:tc>
          <w:tcPr>
            <w:tcW w:w="838" w:type="dxa"/>
            <w:tcBorders>
              <w:bottom w:val="single" w:sz="4" w:space="0" w:color="000000"/>
            </w:tcBorders>
            <w:shd w:val="clear" w:color="auto" w:fill="DEEAF6"/>
          </w:tcPr>
          <w:p>
            <w:pPr>
              <w:pStyle w:val="TableParagraph"/>
              <w:rPr>
                <w:rFonts w:ascii="Times New Roman"/>
                <w:sz w:val="10"/>
              </w:rPr>
            </w:pPr>
          </w:p>
        </w:tc>
        <w:tc>
          <w:tcPr>
            <w:tcW w:w="836" w:type="dxa"/>
            <w:tcBorders>
              <w:bottom w:val="single" w:sz="4" w:space="0" w:color="000000"/>
            </w:tcBorders>
            <w:shd w:val="clear" w:color="auto" w:fill="DEEAF6"/>
          </w:tcPr>
          <w:p>
            <w:pPr>
              <w:pStyle w:val="TableParagraph"/>
              <w:spacing w:before="47"/>
              <w:ind w:right="43"/>
              <w:jc w:val="right"/>
              <w:rPr>
                <w:sz w:val="11"/>
              </w:rPr>
            </w:pPr>
            <w:r>
              <w:rPr>
                <w:w w:val="95"/>
                <w:sz w:val="11"/>
              </w:rPr>
              <w:t>0,00</w:t>
            </w:r>
          </w:p>
        </w:tc>
        <w:tc>
          <w:tcPr>
            <w:tcW w:w="836" w:type="dxa"/>
            <w:tcBorders>
              <w:bottom w:val="single" w:sz="4" w:space="0" w:color="000000"/>
            </w:tcBorders>
            <w:shd w:val="clear" w:color="auto" w:fill="DEEAF6"/>
          </w:tcPr>
          <w:p>
            <w:pPr>
              <w:pStyle w:val="TableParagraph"/>
              <w:spacing w:before="47"/>
              <w:ind w:right="42"/>
              <w:jc w:val="right"/>
              <w:rPr>
                <w:sz w:val="11"/>
              </w:rPr>
            </w:pPr>
            <w:r>
              <w:rPr>
                <w:w w:val="95"/>
                <w:sz w:val="11"/>
              </w:rPr>
              <w:t>0,00</w:t>
            </w:r>
          </w:p>
        </w:tc>
        <w:tc>
          <w:tcPr>
            <w:tcW w:w="836" w:type="dxa"/>
            <w:tcBorders>
              <w:bottom w:val="single" w:sz="4" w:space="0" w:color="000000"/>
            </w:tcBorders>
            <w:shd w:val="clear" w:color="auto" w:fill="DEEAF6"/>
          </w:tcPr>
          <w:p>
            <w:pPr>
              <w:pStyle w:val="TableParagraph"/>
              <w:rPr>
                <w:rFonts w:ascii="Times New Roman"/>
                <w:sz w:val="10"/>
              </w:rPr>
            </w:pPr>
          </w:p>
        </w:tc>
        <w:tc>
          <w:tcPr>
            <w:tcW w:w="899" w:type="dxa"/>
            <w:tcBorders>
              <w:bottom w:val="single" w:sz="4" w:space="0" w:color="000000"/>
            </w:tcBorders>
            <w:shd w:val="clear" w:color="auto" w:fill="DEEAF6"/>
          </w:tcPr>
          <w:p>
            <w:pPr>
              <w:pStyle w:val="TableParagraph"/>
              <w:rPr>
                <w:rFonts w:ascii="Times New Roman"/>
                <w:sz w:val="10"/>
              </w:rPr>
            </w:pPr>
          </w:p>
        </w:tc>
        <w:tc>
          <w:tcPr>
            <w:tcW w:w="836" w:type="dxa"/>
            <w:tcBorders>
              <w:bottom w:val="single" w:sz="4" w:space="0" w:color="000000"/>
              <w:right w:val="single" w:sz="4" w:space="0" w:color="000000"/>
            </w:tcBorders>
            <w:shd w:val="clear" w:color="auto" w:fill="DEEAF6"/>
          </w:tcPr>
          <w:p>
            <w:pPr>
              <w:pStyle w:val="TableParagraph"/>
              <w:spacing w:before="47"/>
              <w:ind w:right="33"/>
              <w:jc w:val="right"/>
              <w:rPr>
                <w:sz w:val="11"/>
              </w:rPr>
            </w:pPr>
            <w:r>
              <w:rPr>
                <w:w w:val="95"/>
                <w:sz w:val="11"/>
              </w:rPr>
              <w:t>0,00</w:t>
            </w:r>
          </w:p>
        </w:tc>
      </w:tr>
    </w:tbl>
    <w:p>
      <w:pPr>
        <w:pStyle w:val="BodyText"/>
        <w:spacing w:before="3"/>
        <w:rPr>
          <w:b/>
          <w:sz w:val="14"/>
        </w:rPr>
      </w:pPr>
    </w:p>
    <w:p>
      <w:pPr>
        <w:spacing w:before="69"/>
        <w:ind w:left="10855" w:right="1577" w:firstLine="0"/>
        <w:jc w:val="center"/>
        <w:rPr>
          <w:sz w:val="18"/>
        </w:rPr>
      </w:pPr>
      <w:r>
        <w:rPr>
          <w:w w:val="105"/>
          <w:sz w:val="18"/>
        </w:rPr>
        <w:t>170</w:t>
      </w:r>
    </w:p>
    <w:p>
      <w:pPr>
        <w:spacing w:before="7"/>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61" name="image5.png"/>
                  <wp:cNvGraphicFramePr>
                    <a:graphicFrameLocks noChangeAspect="1"/>
                  </wp:cNvGraphicFramePr>
                  <a:graphic>
                    <a:graphicData uri="http://schemas.openxmlformats.org/drawingml/2006/picture">
                      <pic:pic>
                        <pic:nvPicPr>
                          <pic:cNvPr id="36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172/247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11:14:26</w:t>
            </w:r>
          </w:p>
        </w:tc>
        <w:tc>
          <w:tcPr>
            <w:tcW w:w="1442" w:type="dxa"/>
            <w:vMerge/>
            <w:tcBorders>
              <w:top w:val="nil"/>
            </w:tcBorders>
          </w:tcPr>
          <w:p>
            <w:pPr>
              <w:rPr>
                <w:sz w:val="2"/>
                <w:szCs w:val="2"/>
              </w:rPr>
            </w:pPr>
          </w:p>
        </w:tc>
      </w:tr>
    </w:tbl>
    <w:p>
      <w:pPr>
        <w:spacing w:after="0"/>
        <w:rPr>
          <w:sz w:val="2"/>
          <w:szCs w:val="2"/>
        </w:rPr>
        <w:sectPr>
          <w:headerReference w:type="default" r:id="rId31"/>
          <w:footerReference w:type="default" r:id="rId32"/>
          <w:pgSz w:w="16840" w:h="11900" w:orient="landscape"/>
          <w:pgMar w:header="797" w:footer="1006" w:top="1620" w:bottom="1200" w:left="1160" w:right="1160"/>
        </w:sectPr>
      </w:pPr>
    </w:p>
    <w:p>
      <w:pPr>
        <w:pStyle w:val="BodyText"/>
        <w:rPr>
          <w:b/>
          <w:sz w:val="22"/>
        </w:rPr>
      </w:pPr>
    </w:p>
    <w:tbl>
      <w:tblPr>
        <w:tblW w:w="0" w:type="auto"/>
        <w:jc w:val="left"/>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2"/>
        <w:gridCol w:w="1551"/>
        <w:gridCol w:w="773"/>
        <w:gridCol w:w="775"/>
        <w:gridCol w:w="773"/>
        <w:gridCol w:w="900"/>
        <w:gridCol w:w="775"/>
        <w:gridCol w:w="898"/>
        <w:gridCol w:w="838"/>
        <w:gridCol w:w="836"/>
        <w:gridCol w:w="836"/>
        <w:gridCol w:w="836"/>
        <w:gridCol w:w="899"/>
        <w:gridCol w:w="836"/>
      </w:tblGrid>
      <w:tr>
        <w:trPr>
          <w:trHeight w:val="131" w:hRule="atLeast"/>
        </w:trPr>
        <w:tc>
          <w:tcPr>
            <w:tcW w:w="2203" w:type="dxa"/>
            <w:gridSpan w:val="2"/>
            <w:vMerge w:val="restart"/>
            <w:tcBorders>
              <w:bottom w:val="single" w:sz="4" w:space="0" w:color="000000"/>
              <w:right w:val="single" w:sz="4" w:space="0" w:color="000000"/>
            </w:tcBorders>
          </w:tcPr>
          <w:p>
            <w:pPr>
              <w:pStyle w:val="TableParagraph"/>
              <w:spacing w:before="3"/>
              <w:rPr>
                <w:b/>
                <w:sz w:val="11"/>
              </w:rPr>
            </w:pPr>
          </w:p>
          <w:p>
            <w:pPr>
              <w:pStyle w:val="TableParagraph"/>
              <w:spacing w:line="113" w:lineRule="exact" w:before="1"/>
              <w:ind w:left="971" w:right="963"/>
              <w:jc w:val="center"/>
              <w:rPr>
                <w:b/>
                <w:sz w:val="11"/>
              </w:rPr>
            </w:pPr>
            <w:r>
              <w:rPr>
                <w:b/>
                <w:sz w:val="11"/>
              </w:rPr>
              <w:t>2022</w:t>
            </w:r>
          </w:p>
        </w:tc>
        <w:tc>
          <w:tcPr>
            <w:tcW w:w="4894" w:type="dxa"/>
            <w:gridSpan w:val="6"/>
            <w:tcBorders>
              <w:top w:val="single" w:sz="4" w:space="0" w:color="000000"/>
              <w:left w:val="single" w:sz="4" w:space="0" w:color="000000"/>
              <w:bottom w:val="single" w:sz="4" w:space="0" w:color="000000"/>
              <w:right w:val="single" w:sz="4" w:space="0" w:color="000000"/>
            </w:tcBorders>
            <w:shd w:val="clear" w:color="auto" w:fill="FBE3D5"/>
          </w:tcPr>
          <w:p>
            <w:pPr>
              <w:pStyle w:val="TableParagraph"/>
              <w:spacing w:line="112" w:lineRule="exact"/>
              <w:ind w:left="2262" w:right="2251"/>
              <w:jc w:val="center"/>
              <w:rPr>
                <w:b/>
                <w:sz w:val="11"/>
              </w:rPr>
            </w:pPr>
            <w:r>
              <w:rPr>
                <w:b/>
                <w:sz w:val="11"/>
              </w:rPr>
              <w:t>PICCAC</w:t>
            </w:r>
          </w:p>
        </w:tc>
        <w:tc>
          <w:tcPr>
            <w:tcW w:w="5081" w:type="dxa"/>
            <w:gridSpan w:val="6"/>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line="112" w:lineRule="exact"/>
              <w:ind w:left="2357" w:right="2338"/>
              <w:jc w:val="center"/>
              <w:rPr>
                <w:b/>
                <w:sz w:val="11"/>
              </w:rPr>
            </w:pPr>
            <w:r>
              <w:rPr>
                <w:b/>
                <w:sz w:val="11"/>
              </w:rPr>
              <w:t>MAGIN</w:t>
            </w:r>
          </w:p>
        </w:tc>
      </w:tr>
      <w:tr>
        <w:trPr>
          <w:trHeight w:val="129" w:hRule="atLeast"/>
        </w:trPr>
        <w:tc>
          <w:tcPr>
            <w:tcW w:w="2203" w:type="dxa"/>
            <w:gridSpan w:val="2"/>
            <w:vMerge/>
            <w:tcBorders>
              <w:top w:val="nil"/>
              <w:bottom w:val="single" w:sz="4" w:space="0" w:color="000000"/>
              <w:right w:val="single" w:sz="4" w:space="0" w:color="000000"/>
            </w:tcBorders>
          </w:tcPr>
          <w:p>
            <w:pPr>
              <w:rPr>
                <w:sz w:val="2"/>
                <w:szCs w:val="2"/>
              </w:rPr>
            </w:pPr>
          </w:p>
        </w:tc>
        <w:tc>
          <w:tcPr>
            <w:tcW w:w="2321" w:type="dxa"/>
            <w:gridSpan w:val="3"/>
            <w:tcBorders>
              <w:top w:val="single" w:sz="4" w:space="0" w:color="000000"/>
              <w:left w:val="single" w:sz="4" w:space="0" w:color="000000"/>
              <w:bottom w:val="single" w:sz="4" w:space="0" w:color="000000"/>
              <w:right w:val="single" w:sz="4" w:space="0" w:color="000000"/>
            </w:tcBorders>
            <w:shd w:val="clear" w:color="auto" w:fill="FBE3D5"/>
          </w:tcPr>
          <w:p>
            <w:pPr>
              <w:pStyle w:val="TableParagraph"/>
              <w:spacing w:line="110" w:lineRule="exact"/>
              <w:ind w:left="924" w:right="916"/>
              <w:jc w:val="center"/>
              <w:rPr>
                <w:b/>
                <w:sz w:val="11"/>
              </w:rPr>
            </w:pPr>
            <w:r>
              <w:rPr>
                <w:b/>
                <w:sz w:val="11"/>
              </w:rPr>
              <w:t>Corriente</w:t>
            </w:r>
          </w:p>
        </w:tc>
        <w:tc>
          <w:tcPr>
            <w:tcW w:w="2573" w:type="dxa"/>
            <w:gridSpan w:val="3"/>
            <w:tcBorders>
              <w:top w:val="single" w:sz="4" w:space="0" w:color="000000"/>
              <w:left w:val="single" w:sz="4" w:space="0" w:color="000000"/>
              <w:bottom w:val="single" w:sz="4" w:space="0" w:color="000000"/>
              <w:right w:val="single" w:sz="4" w:space="0" w:color="000000"/>
            </w:tcBorders>
            <w:shd w:val="clear" w:color="auto" w:fill="FBE3D5"/>
          </w:tcPr>
          <w:p>
            <w:pPr>
              <w:pStyle w:val="TableParagraph"/>
              <w:spacing w:line="110" w:lineRule="exact"/>
              <w:ind w:left="1086" w:right="1072"/>
              <w:jc w:val="center"/>
              <w:rPr>
                <w:b/>
                <w:sz w:val="11"/>
              </w:rPr>
            </w:pPr>
            <w:r>
              <w:rPr>
                <w:b/>
                <w:sz w:val="11"/>
              </w:rPr>
              <w:t>Cerrado</w:t>
            </w:r>
          </w:p>
        </w:tc>
        <w:tc>
          <w:tcPr>
            <w:tcW w:w="2510" w:type="dxa"/>
            <w:gridSpan w:val="3"/>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line="110" w:lineRule="exact"/>
              <w:ind w:left="1056" w:right="1039"/>
              <w:jc w:val="center"/>
              <w:rPr>
                <w:b/>
                <w:sz w:val="11"/>
              </w:rPr>
            </w:pPr>
            <w:r>
              <w:rPr>
                <w:b/>
                <w:sz w:val="11"/>
              </w:rPr>
              <w:t>Cerrado</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line="110" w:lineRule="exact"/>
              <w:ind w:left="1055" w:right="1034"/>
              <w:jc w:val="center"/>
              <w:rPr>
                <w:b/>
                <w:sz w:val="11"/>
              </w:rPr>
            </w:pPr>
            <w:r>
              <w:rPr>
                <w:b/>
                <w:sz w:val="11"/>
              </w:rPr>
              <w:t>Corriente</w:t>
            </w:r>
          </w:p>
        </w:tc>
      </w:tr>
      <w:tr>
        <w:trPr>
          <w:trHeight w:val="262" w:hRule="atLeast"/>
        </w:trPr>
        <w:tc>
          <w:tcPr>
            <w:tcW w:w="652"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130" w:lineRule="exact"/>
              <w:ind w:left="91"/>
              <w:rPr>
                <w:sz w:val="11"/>
              </w:rPr>
            </w:pPr>
            <w:r>
              <w:rPr>
                <w:sz w:val="11"/>
              </w:rPr>
              <w:t>Concepto/</w:t>
            </w:r>
          </w:p>
          <w:p>
            <w:pPr>
              <w:pStyle w:val="TableParagraph"/>
              <w:spacing w:line="112" w:lineRule="exact"/>
              <w:ind w:left="125"/>
              <w:rPr>
                <w:sz w:val="11"/>
              </w:rPr>
            </w:pPr>
            <w:r>
              <w:rPr>
                <w:sz w:val="11"/>
              </w:rPr>
              <w:t>Subconc.</w:t>
            </w:r>
          </w:p>
        </w:tc>
        <w:tc>
          <w:tcPr>
            <w:tcW w:w="1551"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3"/>
              <w:ind w:left="53"/>
              <w:rPr>
                <w:sz w:val="11"/>
              </w:rPr>
            </w:pPr>
            <w:r>
              <w:rPr>
                <w:sz w:val="11"/>
              </w:rPr>
              <w:t>Descripción</w:t>
            </w:r>
          </w:p>
        </w:tc>
        <w:tc>
          <w:tcPr>
            <w:tcW w:w="77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3"/>
              <w:ind w:left="180"/>
              <w:rPr>
                <w:b/>
                <w:sz w:val="11"/>
              </w:rPr>
            </w:pPr>
            <w:r>
              <w:rPr>
                <w:b/>
                <w:sz w:val="11"/>
              </w:rPr>
              <w:t>ejecutiva</w:t>
            </w:r>
          </w:p>
        </w:tc>
        <w:tc>
          <w:tcPr>
            <w:tcW w:w="77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3"/>
              <w:ind w:left="154"/>
              <w:rPr>
                <w:b/>
                <w:sz w:val="11"/>
              </w:rPr>
            </w:pPr>
            <w:r>
              <w:rPr>
                <w:b/>
                <w:sz w:val="11"/>
              </w:rPr>
              <w:t>voluntaria</w:t>
            </w:r>
          </w:p>
        </w:tc>
        <w:tc>
          <w:tcPr>
            <w:tcW w:w="77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line="130" w:lineRule="exact"/>
              <w:ind w:left="105" w:right="95"/>
              <w:jc w:val="center"/>
              <w:rPr>
                <w:b/>
                <w:sz w:val="11"/>
              </w:rPr>
            </w:pPr>
            <w:r>
              <w:rPr>
                <w:b/>
                <w:sz w:val="11"/>
              </w:rPr>
              <w:t>total</w:t>
            </w:r>
          </w:p>
          <w:p>
            <w:pPr>
              <w:pStyle w:val="TableParagraph"/>
              <w:spacing w:line="112" w:lineRule="exact"/>
              <w:ind w:left="105" w:right="97"/>
              <w:jc w:val="center"/>
              <w:rPr>
                <w:b/>
                <w:sz w:val="11"/>
              </w:rPr>
            </w:pPr>
            <w:r>
              <w:rPr>
                <w:b/>
                <w:sz w:val="11"/>
              </w:rPr>
              <w:t>CORRIENTE</w:t>
            </w:r>
          </w:p>
        </w:tc>
        <w:tc>
          <w:tcPr>
            <w:tcW w:w="900"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3"/>
              <w:ind w:left="245"/>
              <w:rPr>
                <w:b/>
                <w:sz w:val="11"/>
              </w:rPr>
            </w:pPr>
            <w:r>
              <w:rPr>
                <w:b/>
                <w:sz w:val="11"/>
              </w:rPr>
              <w:t>ejecutiva</w:t>
            </w:r>
          </w:p>
        </w:tc>
        <w:tc>
          <w:tcPr>
            <w:tcW w:w="775"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3"/>
              <w:ind w:left="156"/>
              <w:rPr>
                <w:b/>
                <w:sz w:val="11"/>
              </w:rPr>
            </w:pPr>
            <w:r>
              <w:rPr>
                <w:b/>
                <w:sz w:val="11"/>
              </w:rPr>
              <w:t>voluntaria</w:t>
            </w:r>
          </w:p>
        </w:tc>
        <w:tc>
          <w:tcPr>
            <w:tcW w:w="898"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3"/>
              <w:ind w:right="97"/>
              <w:jc w:val="right"/>
              <w:rPr>
                <w:b/>
                <w:sz w:val="11"/>
              </w:rPr>
            </w:pPr>
            <w:r>
              <w:rPr>
                <w:b/>
                <w:sz w:val="11"/>
              </w:rPr>
              <w:t>total CERRADO</w:t>
            </w:r>
          </w:p>
        </w:tc>
        <w:tc>
          <w:tcPr>
            <w:tcW w:w="838"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3"/>
              <w:ind w:left="118" w:right="106"/>
              <w:jc w:val="center"/>
              <w:rPr>
                <w:b/>
                <w:sz w:val="11"/>
              </w:rPr>
            </w:pPr>
            <w:r>
              <w:rPr>
                <w:b/>
                <w:sz w:val="11"/>
              </w:rPr>
              <w:t>ejecutiva</w:t>
            </w:r>
          </w:p>
        </w:tc>
        <w:tc>
          <w:tcPr>
            <w:tcW w:w="83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3"/>
              <w:ind w:left="190"/>
              <w:rPr>
                <w:b/>
                <w:sz w:val="11"/>
              </w:rPr>
            </w:pPr>
            <w:r>
              <w:rPr>
                <w:b/>
                <w:sz w:val="11"/>
              </w:rPr>
              <w:t>voluntaria</w:t>
            </w:r>
          </w:p>
        </w:tc>
        <w:tc>
          <w:tcPr>
            <w:tcW w:w="83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3"/>
              <w:ind w:right="62"/>
              <w:jc w:val="right"/>
              <w:rPr>
                <w:b/>
                <w:sz w:val="11"/>
              </w:rPr>
            </w:pPr>
            <w:r>
              <w:rPr>
                <w:b/>
                <w:sz w:val="11"/>
              </w:rPr>
              <w:t>total CERRADO</w:t>
            </w:r>
          </w:p>
        </w:tc>
        <w:tc>
          <w:tcPr>
            <w:tcW w:w="83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3"/>
              <w:ind w:left="218"/>
              <w:rPr>
                <w:b/>
                <w:sz w:val="11"/>
              </w:rPr>
            </w:pPr>
            <w:r>
              <w:rPr>
                <w:b/>
                <w:sz w:val="11"/>
              </w:rPr>
              <w:t>ejecutiva</w:t>
            </w:r>
          </w:p>
        </w:tc>
        <w:tc>
          <w:tcPr>
            <w:tcW w:w="89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3"/>
              <w:ind w:left="225"/>
              <w:rPr>
                <w:b/>
                <w:sz w:val="11"/>
              </w:rPr>
            </w:pPr>
            <w:r>
              <w:rPr>
                <w:b/>
                <w:sz w:val="11"/>
              </w:rPr>
              <w:t>voluntaria</w:t>
            </w:r>
          </w:p>
        </w:tc>
        <w:tc>
          <w:tcPr>
            <w:tcW w:w="83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130" w:lineRule="exact"/>
              <w:ind w:left="144" w:right="118"/>
              <w:jc w:val="center"/>
              <w:rPr>
                <w:b/>
                <w:sz w:val="11"/>
              </w:rPr>
            </w:pPr>
            <w:r>
              <w:rPr>
                <w:b/>
                <w:sz w:val="11"/>
              </w:rPr>
              <w:t>total</w:t>
            </w:r>
          </w:p>
          <w:p>
            <w:pPr>
              <w:pStyle w:val="TableParagraph"/>
              <w:spacing w:line="112" w:lineRule="exact"/>
              <w:ind w:left="144" w:right="120"/>
              <w:jc w:val="center"/>
              <w:rPr>
                <w:b/>
                <w:sz w:val="11"/>
              </w:rPr>
            </w:pPr>
            <w:r>
              <w:rPr>
                <w:b/>
                <w:sz w:val="11"/>
              </w:rPr>
              <w:t>CORRIENTE</w:t>
            </w:r>
          </w:p>
        </w:tc>
      </w:tr>
      <w:tr>
        <w:trPr>
          <w:trHeight w:val="285" w:hRule="atLeast"/>
        </w:trPr>
        <w:tc>
          <w:tcPr>
            <w:tcW w:w="652" w:type="dxa"/>
            <w:vMerge w:val="restart"/>
            <w:tcBorders>
              <w:top w:val="single" w:sz="4" w:space="0" w:color="000000"/>
              <w:left w:val="single" w:sz="4" w:space="0" w:color="000000"/>
            </w:tcBorders>
          </w:tcPr>
          <w:p>
            <w:pPr>
              <w:pStyle w:val="TableParagraph"/>
              <w:spacing w:before="6"/>
              <w:rPr>
                <w:b/>
                <w:sz w:val="11"/>
              </w:rPr>
            </w:pPr>
          </w:p>
          <w:p>
            <w:pPr>
              <w:pStyle w:val="TableParagraph"/>
              <w:ind w:left="164" w:right="163"/>
              <w:jc w:val="center"/>
              <w:rPr>
                <w:sz w:val="11"/>
              </w:rPr>
            </w:pPr>
            <w:r>
              <w:rPr>
                <w:sz w:val="11"/>
              </w:rPr>
              <w:t>39104</w:t>
            </w:r>
          </w:p>
          <w:p>
            <w:pPr>
              <w:pStyle w:val="TableParagraph"/>
              <w:rPr>
                <w:b/>
                <w:sz w:val="10"/>
              </w:rPr>
            </w:pPr>
          </w:p>
          <w:p>
            <w:pPr>
              <w:pStyle w:val="TableParagraph"/>
              <w:spacing w:before="85"/>
              <w:ind w:left="164" w:right="163"/>
              <w:jc w:val="center"/>
              <w:rPr>
                <w:sz w:val="11"/>
              </w:rPr>
            </w:pPr>
            <w:r>
              <w:rPr>
                <w:sz w:val="11"/>
              </w:rPr>
              <w:t>39105</w:t>
            </w:r>
          </w:p>
          <w:p>
            <w:pPr>
              <w:pStyle w:val="TableParagraph"/>
              <w:spacing w:before="65"/>
              <w:ind w:left="164" w:right="163"/>
              <w:jc w:val="center"/>
              <w:rPr>
                <w:sz w:val="11"/>
              </w:rPr>
            </w:pPr>
            <w:r>
              <w:rPr>
                <w:sz w:val="11"/>
              </w:rPr>
              <w:t>39109</w:t>
            </w:r>
          </w:p>
          <w:p>
            <w:pPr>
              <w:pStyle w:val="TableParagraph"/>
              <w:spacing w:before="65"/>
              <w:ind w:left="163" w:right="163"/>
              <w:jc w:val="center"/>
              <w:rPr>
                <w:sz w:val="11"/>
              </w:rPr>
            </w:pPr>
            <w:r>
              <w:rPr>
                <w:sz w:val="11"/>
              </w:rPr>
              <w:t>399</w:t>
            </w:r>
          </w:p>
        </w:tc>
        <w:tc>
          <w:tcPr>
            <w:tcW w:w="1551" w:type="dxa"/>
            <w:vMerge w:val="restart"/>
            <w:tcBorders>
              <w:top w:val="single" w:sz="4" w:space="0" w:color="000000"/>
            </w:tcBorders>
          </w:tcPr>
          <w:p>
            <w:pPr>
              <w:pStyle w:val="TableParagraph"/>
              <w:ind w:left="58" w:right="283"/>
              <w:jc w:val="both"/>
              <w:rPr>
                <w:sz w:val="11"/>
              </w:rPr>
            </w:pPr>
            <w:r>
              <w:rPr>
                <w:sz w:val="11"/>
              </w:rPr>
              <w:t>Otros</w:t>
            </w:r>
            <w:r>
              <w:rPr>
                <w:spacing w:val="-8"/>
                <w:sz w:val="11"/>
              </w:rPr>
              <w:t> </w:t>
            </w:r>
            <w:r>
              <w:rPr>
                <w:sz w:val="11"/>
              </w:rPr>
              <w:t>ingresos,</w:t>
            </w:r>
            <w:r>
              <w:rPr>
                <w:spacing w:val="-7"/>
                <w:sz w:val="11"/>
              </w:rPr>
              <w:t> </w:t>
            </w:r>
            <w:r>
              <w:rPr>
                <w:sz w:val="11"/>
              </w:rPr>
              <w:t>Sanción</w:t>
            </w:r>
            <w:r>
              <w:rPr>
                <w:spacing w:val="-8"/>
                <w:sz w:val="11"/>
              </w:rPr>
              <w:t> </w:t>
            </w:r>
            <w:r>
              <w:rPr>
                <w:sz w:val="11"/>
              </w:rPr>
              <w:t>Ley Prev. Riesgos labor. Y legisl laboral</w:t>
            </w:r>
          </w:p>
          <w:p>
            <w:pPr>
              <w:pStyle w:val="TableParagraph"/>
              <w:spacing w:before="13"/>
              <w:ind w:left="58"/>
              <w:rPr>
                <w:sz w:val="11"/>
              </w:rPr>
            </w:pPr>
            <w:r>
              <w:rPr>
                <w:sz w:val="11"/>
              </w:rPr>
              <w:t>Otros ingresos, Sanciones por infracciones turísticas</w:t>
            </w:r>
          </w:p>
          <w:p>
            <w:pPr>
              <w:pStyle w:val="TableParagraph"/>
              <w:spacing w:line="237" w:lineRule="auto"/>
              <w:ind w:left="58"/>
              <w:rPr>
                <w:sz w:val="11"/>
              </w:rPr>
            </w:pPr>
            <w:r>
              <w:rPr>
                <w:sz w:val="11"/>
              </w:rPr>
              <w:t>Otros ingresos, Otras sanciones Otros ingresos, ingresos</w:t>
            </w:r>
          </w:p>
          <w:p>
            <w:pPr>
              <w:pStyle w:val="TableParagraph"/>
              <w:spacing w:line="114" w:lineRule="exact"/>
              <w:ind w:left="58"/>
              <w:rPr>
                <w:sz w:val="11"/>
              </w:rPr>
            </w:pPr>
            <w:r>
              <w:rPr>
                <w:sz w:val="11"/>
              </w:rPr>
              <w:t>diversos</w:t>
            </w:r>
          </w:p>
        </w:tc>
        <w:tc>
          <w:tcPr>
            <w:tcW w:w="773" w:type="dxa"/>
            <w:tcBorders>
              <w:top w:val="single" w:sz="4" w:space="0" w:color="000000"/>
            </w:tcBorders>
            <w:shd w:val="clear" w:color="auto" w:fill="FAE3D4"/>
          </w:tcPr>
          <w:p>
            <w:pPr>
              <w:pStyle w:val="TableParagraph"/>
              <w:spacing w:line="133" w:lineRule="exact"/>
              <w:ind w:right="48"/>
              <w:jc w:val="right"/>
              <w:rPr>
                <w:sz w:val="11"/>
              </w:rPr>
            </w:pPr>
            <w:r>
              <w:rPr>
                <w:sz w:val="11"/>
              </w:rPr>
              <w:t>928.611,07</w:t>
            </w:r>
          </w:p>
        </w:tc>
        <w:tc>
          <w:tcPr>
            <w:tcW w:w="775" w:type="dxa"/>
            <w:tcBorders>
              <w:top w:val="single" w:sz="4" w:space="0" w:color="000000"/>
            </w:tcBorders>
            <w:shd w:val="clear" w:color="auto" w:fill="FAE3D4"/>
          </w:tcPr>
          <w:p>
            <w:pPr>
              <w:pStyle w:val="TableParagraph"/>
              <w:spacing w:line="133" w:lineRule="exact"/>
              <w:ind w:right="50"/>
              <w:jc w:val="right"/>
              <w:rPr>
                <w:sz w:val="11"/>
              </w:rPr>
            </w:pPr>
            <w:r>
              <w:rPr>
                <w:sz w:val="11"/>
              </w:rPr>
              <w:t>144.309,00</w:t>
            </w:r>
          </w:p>
        </w:tc>
        <w:tc>
          <w:tcPr>
            <w:tcW w:w="773" w:type="dxa"/>
            <w:tcBorders>
              <w:top w:val="single" w:sz="4" w:space="0" w:color="000000"/>
            </w:tcBorders>
            <w:shd w:val="clear" w:color="auto" w:fill="FAE3D4"/>
          </w:tcPr>
          <w:p>
            <w:pPr>
              <w:pStyle w:val="TableParagraph"/>
              <w:spacing w:line="133" w:lineRule="exact"/>
              <w:ind w:right="47"/>
              <w:jc w:val="right"/>
              <w:rPr>
                <w:sz w:val="11"/>
              </w:rPr>
            </w:pPr>
            <w:r>
              <w:rPr>
                <w:sz w:val="11"/>
              </w:rPr>
              <w:t>1.072.920,07</w:t>
            </w:r>
          </w:p>
        </w:tc>
        <w:tc>
          <w:tcPr>
            <w:tcW w:w="900" w:type="dxa"/>
            <w:tcBorders>
              <w:top w:val="single" w:sz="4" w:space="0" w:color="000000"/>
            </w:tcBorders>
            <w:shd w:val="clear" w:color="auto" w:fill="FAE3D4"/>
          </w:tcPr>
          <w:p>
            <w:pPr>
              <w:pStyle w:val="TableParagraph"/>
              <w:spacing w:line="133" w:lineRule="exact"/>
              <w:ind w:right="46"/>
              <w:jc w:val="right"/>
              <w:rPr>
                <w:sz w:val="11"/>
              </w:rPr>
            </w:pPr>
            <w:r>
              <w:rPr>
                <w:sz w:val="11"/>
              </w:rPr>
              <w:t>7.566.795,79</w:t>
            </w:r>
          </w:p>
        </w:tc>
        <w:tc>
          <w:tcPr>
            <w:tcW w:w="775" w:type="dxa"/>
            <w:tcBorders>
              <w:top w:val="single" w:sz="4" w:space="0" w:color="000000"/>
            </w:tcBorders>
            <w:shd w:val="clear" w:color="auto" w:fill="FAE3D4"/>
          </w:tcPr>
          <w:p>
            <w:pPr>
              <w:pStyle w:val="TableParagraph"/>
              <w:spacing w:line="133" w:lineRule="exact"/>
              <w:ind w:right="48"/>
              <w:jc w:val="right"/>
              <w:rPr>
                <w:sz w:val="11"/>
              </w:rPr>
            </w:pPr>
            <w:r>
              <w:rPr>
                <w:sz w:val="11"/>
              </w:rPr>
              <w:t>114.976,79</w:t>
            </w:r>
          </w:p>
        </w:tc>
        <w:tc>
          <w:tcPr>
            <w:tcW w:w="898" w:type="dxa"/>
            <w:tcBorders>
              <w:top w:val="single" w:sz="4" w:space="0" w:color="000000"/>
            </w:tcBorders>
            <w:shd w:val="clear" w:color="auto" w:fill="FAE3D4"/>
          </w:tcPr>
          <w:p>
            <w:pPr>
              <w:pStyle w:val="TableParagraph"/>
              <w:spacing w:line="133" w:lineRule="exact"/>
              <w:ind w:right="45"/>
              <w:jc w:val="right"/>
              <w:rPr>
                <w:sz w:val="11"/>
              </w:rPr>
            </w:pPr>
            <w:r>
              <w:rPr>
                <w:sz w:val="11"/>
              </w:rPr>
              <w:t>7.681.772,58</w:t>
            </w:r>
          </w:p>
        </w:tc>
        <w:tc>
          <w:tcPr>
            <w:tcW w:w="838" w:type="dxa"/>
            <w:tcBorders>
              <w:top w:val="single" w:sz="4" w:space="0" w:color="000000"/>
            </w:tcBorders>
            <w:shd w:val="clear" w:color="auto" w:fill="DEEAF6"/>
          </w:tcPr>
          <w:p>
            <w:pPr>
              <w:pStyle w:val="TableParagraph"/>
              <w:rPr>
                <w:rFonts w:ascii="Times New Roman"/>
                <w:sz w:val="10"/>
              </w:rPr>
            </w:pPr>
          </w:p>
        </w:tc>
        <w:tc>
          <w:tcPr>
            <w:tcW w:w="836" w:type="dxa"/>
            <w:tcBorders>
              <w:top w:val="single" w:sz="4" w:space="0" w:color="000000"/>
            </w:tcBorders>
            <w:shd w:val="clear" w:color="auto" w:fill="DEEAF6"/>
          </w:tcPr>
          <w:p>
            <w:pPr>
              <w:pStyle w:val="TableParagraph"/>
              <w:spacing w:line="133" w:lineRule="exact"/>
              <w:ind w:right="43"/>
              <w:jc w:val="right"/>
              <w:rPr>
                <w:sz w:val="11"/>
              </w:rPr>
            </w:pPr>
            <w:r>
              <w:rPr>
                <w:w w:val="95"/>
                <w:sz w:val="11"/>
              </w:rPr>
              <w:t>0,00</w:t>
            </w:r>
          </w:p>
        </w:tc>
        <w:tc>
          <w:tcPr>
            <w:tcW w:w="836" w:type="dxa"/>
            <w:tcBorders>
              <w:top w:val="single" w:sz="4" w:space="0" w:color="000000"/>
            </w:tcBorders>
            <w:shd w:val="clear" w:color="auto" w:fill="DEEAF6"/>
          </w:tcPr>
          <w:p>
            <w:pPr>
              <w:pStyle w:val="TableParagraph"/>
              <w:spacing w:line="133" w:lineRule="exact"/>
              <w:ind w:right="42"/>
              <w:jc w:val="right"/>
              <w:rPr>
                <w:sz w:val="11"/>
              </w:rPr>
            </w:pPr>
            <w:r>
              <w:rPr>
                <w:w w:val="95"/>
                <w:sz w:val="11"/>
              </w:rPr>
              <w:t>0,00</w:t>
            </w:r>
          </w:p>
        </w:tc>
        <w:tc>
          <w:tcPr>
            <w:tcW w:w="836" w:type="dxa"/>
            <w:tcBorders>
              <w:top w:val="single" w:sz="4" w:space="0" w:color="000000"/>
            </w:tcBorders>
            <w:shd w:val="clear" w:color="auto" w:fill="DEEAF6"/>
          </w:tcPr>
          <w:p>
            <w:pPr>
              <w:pStyle w:val="TableParagraph"/>
              <w:rPr>
                <w:rFonts w:ascii="Times New Roman"/>
                <w:sz w:val="10"/>
              </w:rPr>
            </w:pPr>
          </w:p>
        </w:tc>
        <w:tc>
          <w:tcPr>
            <w:tcW w:w="899" w:type="dxa"/>
            <w:tcBorders>
              <w:top w:val="single" w:sz="4" w:space="0" w:color="000000"/>
            </w:tcBorders>
            <w:shd w:val="clear" w:color="auto" w:fill="DEEAF6"/>
          </w:tcPr>
          <w:p>
            <w:pPr>
              <w:pStyle w:val="TableParagraph"/>
              <w:rPr>
                <w:rFonts w:ascii="Times New Roman"/>
                <w:sz w:val="10"/>
              </w:rPr>
            </w:pPr>
          </w:p>
        </w:tc>
        <w:tc>
          <w:tcPr>
            <w:tcW w:w="836" w:type="dxa"/>
            <w:tcBorders>
              <w:top w:val="single" w:sz="4" w:space="0" w:color="000000"/>
              <w:right w:val="single" w:sz="4" w:space="0" w:color="000000"/>
            </w:tcBorders>
            <w:shd w:val="clear" w:color="auto" w:fill="DEEAF6"/>
          </w:tcPr>
          <w:p>
            <w:pPr>
              <w:pStyle w:val="TableParagraph"/>
              <w:spacing w:line="133" w:lineRule="exact"/>
              <w:ind w:right="33"/>
              <w:jc w:val="right"/>
              <w:rPr>
                <w:sz w:val="11"/>
              </w:rPr>
            </w:pPr>
            <w:r>
              <w:rPr>
                <w:w w:val="95"/>
                <w:sz w:val="11"/>
              </w:rPr>
              <w:t>0,00</w:t>
            </w:r>
          </w:p>
        </w:tc>
      </w:tr>
      <w:tr>
        <w:trPr>
          <w:trHeight w:val="341" w:hRule="atLeast"/>
        </w:trPr>
        <w:tc>
          <w:tcPr>
            <w:tcW w:w="652" w:type="dxa"/>
            <w:vMerge/>
            <w:tcBorders>
              <w:top w:val="nil"/>
              <w:left w:val="single" w:sz="4" w:space="0" w:color="000000"/>
            </w:tcBorders>
          </w:tcPr>
          <w:p>
            <w:pPr>
              <w:rPr>
                <w:sz w:val="2"/>
                <w:szCs w:val="2"/>
              </w:rPr>
            </w:pPr>
          </w:p>
        </w:tc>
        <w:tc>
          <w:tcPr>
            <w:tcW w:w="1551" w:type="dxa"/>
            <w:vMerge/>
            <w:tcBorders>
              <w:top w:val="nil"/>
            </w:tcBorders>
          </w:tcPr>
          <w:p>
            <w:pPr>
              <w:rPr>
                <w:sz w:val="2"/>
                <w:szCs w:val="2"/>
              </w:rPr>
            </w:pPr>
          </w:p>
        </w:tc>
        <w:tc>
          <w:tcPr>
            <w:tcW w:w="773" w:type="dxa"/>
            <w:shd w:val="clear" w:color="auto" w:fill="FAE3D4"/>
          </w:tcPr>
          <w:p>
            <w:pPr>
              <w:pStyle w:val="TableParagraph"/>
              <w:spacing w:before="9"/>
              <w:rPr>
                <w:b/>
                <w:sz w:val="10"/>
              </w:rPr>
            </w:pPr>
          </w:p>
          <w:p>
            <w:pPr>
              <w:pStyle w:val="TableParagraph"/>
              <w:ind w:right="48"/>
              <w:jc w:val="right"/>
              <w:rPr>
                <w:sz w:val="11"/>
              </w:rPr>
            </w:pPr>
            <w:r>
              <w:rPr>
                <w:w w:val="95"/>
                <w:sz w:val="11"/>
              </w:rPr>
              <w:t>0,00</w:t>
            </w:r>
          </w:p>
        </w:tc>
        <w:tc>
          <w:tcPr>
            <w:tcW w:w="775" w:type="dxa"/>
            <w:shd w:val="clear" w:color="auto" w:fill="FAE3D4"/>
          </w:tcPr>
          <w:p>
            <w:pPr>
              <w:pStyle w:val="TableParagraph"/>
              <w:spacing w:before="9"/>
              <w:rPr>
                <w:b/>
                <w:sz w:val="10"/>
              </w:rPr>
            </w:pPr>
          </w:p>
          <w:p>
            <w:pPr>
              <w:pStyle w:val="TableParagraph"/>
              <w:ind w:right="49"/>
              <w:jc w:val="right"/>
              <w:rPr>
                <w:sz w:val="11"/>
              </w:rPr>
            </w:pPr>
            <w:r>
              <w:rPr>
                <w:w w:val="95"/>
                <w:sz w:val="11"/>
              </w:rPr>
              <w:t>0,00</w:t>
            </w:r>
          </w:p>
        </w:tc>
        <w:tc>
          <w:tcPr>
            <w:tcW w:w="773" w:type="dxa"/>
            <w:shd w:val="clear" w:color="auto" w:fill="FAE3D4"/>
          </w:tcPr>
          <w:p>
            <w:pPr>
              <w:pStyle w:val="TableParagraph"/>
              <w:spacing w:before="9"/>
              <w:rPr>
                <w:b/>
                <w:sz w:val="10"/>
              </w:rPr>
            </w:pPr>
          </w:p>
          <w:p>
            <w:pPr>
              <w:pStyle w:val="TableParagraph"/>
              <w:ind w:right="46"/>
              <w:jc w:val="right"/>
              <w:rPr>
                <w:sz w:val="11"/>
              </w:rPr>
            </w:pPr>
            <w:r>
              <w:rPr>
                <w:w w:val="95"/>
                <w:sz w:val="11"/>
              </w:rPr>
              <w:t>0,00</w:t>
            </w:r>
          </w:p>
        </w:tc>
        <w:tc>
          <w:tcPr>
            <w:tcW w:w="900" w:type="dxa"/>
            <w:shd w:val="clear" w:color="auto" w:fill="FAE3D4"/>
          </w:tcPr>
          <w:p>
            <w:pPr>
              <w:pStyle w:val="TableParagraph"/>
              <w:spacing w:before="9"/>
              <w:rPr>
                <w:b/>
                <w:sz w:val="10"/>
              </w:rPr>
            </w:pPr>
          </w:p>
          <w:p>
            <w:pPr>
              <w:pStyle w:val="TableParagraph"/>
              <w:ind w:right="46"/>
              <w:jc w:val="right"/>
              <w:rPr>
                <w:sz w:val="11"/>
              </w:rPr>
            </w:pPr>
            <w:r>
              <w:rPr>
                <w:w w:val="95"/>
                <w:sz w:val="11"/>
              </w:rPr>
              <w:t>0,00</w:t>
            </w:r>
          </w:p>
        </w:tc>
        <w:tc>
          <w:tcPr>
            <w:tcW w:w="775" w:type="dxa"/>
            <w:shd w:val="clear" w:color="auto" w:fill="FAE3D4"/>
          </w:tcPr>
          <w:p>
            <w:pPr>
              <w:pStyle w:val="TableParagraph"/>
              <w:spacing w:before="9"/>
              <w:rPr>
                <w:b/>
                <w:sz w:val="10"/>
              </w:rPr>
            </w:pPr>
          </w:p>
          <w:p>
            <w:pPr>
              <w:pStyle w:val="TableParagraph"/>
              <w:ind w:right="47"/>
              <w:jc w:val="right"/>
              <w:rPr>
                <w:sz w:val="11"/>
              </w:rPr>
            </w:pPr>
            <w:r>
              <w:rPr>
                <w:w w:val="95"/>
                <w:sz w:val="11"/>
              </w:rPr>
              <w:t>0,00</w:t>
            </w:r>
          </w:p>
        </w:tc>
        <w:tc>
          <w:tcPr>
            <w:tcW w:w="898" w:type="dxa"/>
            <w:shd w:val="clear" w:color="auto" w:fill="FAE3D4"/>
          </w:tcPr>
          <w:p>
            <w:pPr>
              <w:pStyle w:val="TableParagraph"/>
              <w:spacing w:before="9"/>
              <w:rPr>
                <w:b/>
                <w:sz w:val="10"/>
              </w:rPr>
            </w:pPr>
          </w:p>
          <w:p>
            <w:pPr>
              <w:pStyle w:val="TableParagraph"/>
              <w:ind w:right="45"/>
              <w:jc w:val="right"/>
              <w:rPr>
                <w:sz w:val="11"/>
              </w:rPr>
            </w:pPr>
            <w:r>
              <w:rPr>
                <w:w w:val="95"/>
                <w:sz w:val="11"/>
              </w:rPr>
              <w:t>0,00</w:t>
            </w:r>
          </w:p>
        </w:tc>
        <w:tc>
          <w:tcPr>
            <w:tcW w:w="838" w:type="dxa"/>
            <w:shd w:val="clear" w:color="auto" w:fill="DEEAF6"/>
          </w:tcPr>
          <w:p>
            <w:pPr>
              <w:pStyle w:val="TableParagraph"/>
              <w:rPr>
                <w:rFonts w:ascii="Times New Roman"/>
                <w:sz w:val="10"/>
              </w:rPr>
            </w:pPr>
          </w:p>
        </w:tc>
        <w:tc>
          <w:tcPr>
            <w:tcW w:w="836" w:type="dxa"/>
            <w:shd w:val="clear" w:color="auto" w:fill="DEEAF6"/>
          </w:tcPr>
          <w:p>
            <w:pPr>
              <w:pStyle w:val="TableParagraph"/>
              <w:spacing w:before="9"/>
              <w:rPr>
                <w:b/>
                <w:sz w:val="10"/>
              </w:rPr>
            </w:pPr>
          </w:p>
          <w:p>
            <w:pPr>
              <w:pStyle w:val="TableParagraph"/>
              <w:ind w:right="43"/>
              <w:jc w:val="right"/>
              <w:rPr>
                <w:sz w:val="11"/>
              </w:rPr>
            </w:pPr>
            <w:r>
              <w:rPr>
                <w:w w:val="95"/>
                <w:sz w:val="11"/>
              </w:rPr>
              <w:t>0,00</w:t>
            </w:r>
          </w:p>
        </w:tc>
        <w:tc>
          <w:tcPr>
            <w:tcW w:w="836" w:type="dxa"/>
            <w:shd w:val="clear" w:color="auto" w:fill="DEEAF6"/>
          </w:tcPr>
          <w:p>
            <w:pPr>
              <w:pStyle w:val="TableParagraph"/>
              <w:spacing w:before="9"/>
              <w:rPr>
                <w:b/>
                <w:sz w:val="10"/>
              </w:rPr>
            </w:pPr>
          </w:p>
          <w:p>
            <w:pPr>
              <w:pStyle w:val="TableParagraph"/>
              <w:ind w:right="42"/>
              <w:jc w:val="right"/>
              <w:rPr>
                <w:sz w:val="11"/>
              </w:rPr>
            </w:pPr>
            <w:r>
              <w:rPr>
                <w:w w:val="95"/>
                <w:sz w:val="11"/>
              </w:rPr>
              <w:t>0,00</w:t>
            </w:r>
          </w:p>
        </w:tc>
        <w:tc>
          <w:tcPr>
            <w:tcW w:w="836" w:type="dxa"/>
            <w:shd w:val="clear" w:color="auto" w:fill="DEEAF6"/>
          </w:tcPr>
          <w:p>
            <w:pPr>
              <w:pStyle w:val="TableParagraph"/>
              <w:rPr>
                <w:rFonts w:ascii="Times New Roman"/>
                <w:sz w:val="10"/>
              </w:rPr>
            </w:pPr>
          </w:p>
        </w:tc>
        <w:tc>
          <w:tcPr>
            <w:tcW w:w="899" w:type="dxa"/>
            <w:shd w:val="clear" w:color="auto" w:fill="DEEAF6"/>
          </w:tcPr>
          <w:p>
            <w:pPr>
              <w:pStyle w:val="TableParagraph"/>
              <w:rPr>
                <w:rFonts w:ascii="Times New Roman"/>
                <w:sz w:val="10"/>
              </w:rPr>
            </w:pPr>
          </w:p>
        </w:tc>
        <w:tc>
          <w:tcPr>
            <w:tcW w:w="836" w:type="dxa"/>
            <w:tcBorders>
              <w:right w:val="single" w:sz="4" w:space="0" w:color="000000"/>
            </w:tcBorders>
            <w:shd w:val="clear" w:color="auto" w:fill="DEEAF6"/>
          </w:tcPr>
          <w:p>
            <w:pPr>
              <w:pStyle w:val="TableParagraph"/>
              <w:spacing w:before="9"/>
              <w:rPr>
                <w:b/>
                <w:sz w:val="10"/>
              </w:rPr>
            </w:pPr>
          </w:p>
          <w:p>
            <w:pPr>
              <w:pStyle w:val="TableParagraph"/>
              <w:ind w:right="33"/>
              <w:jc w:val="right"/>
              <w:rPr>
                <w:sz w:val="11"/>
              </w:rPr>
            </w:pPr>
            <w:r>
              <w:rPr>
                <w:w w:val="95"/>
                <w:sz w:val="11"/>
              </w:rPr>
              <w:t>0,00</w:t>
            </w:r>
          </w:p>
        </w:tc>
      </w:tr>
      <w:tr>
        <w:trPr>
          <w:trHeight w:val="198" w:hRule="atLeast"/>
        </w:trPr>
        <w:tc>
          <w:tcPr>
            <w:tcW w:w="652" w:type="dxa"/>
            <w:vMerge/>
            <w:tcBorders>
              <w:top w:val="nil"/>
              <w:left w:val="single" w:sz="4" w:space="0" w:color="000000"/>
            </w:tcBorders>
          </w:tcPr>
          <w:p>
            <w:pPr>
              <w:rPr>
                <w:sz w:val="2"/>
                <w:szCs w:val="2"/>
              </w:rPr>
            </w:pPr>
          </w:p>
        </w:tc>
        <w:tc>
          <w:tcPr>
            <w:tcW w:w="1551" w:type="dxa"/>
            <w:vMerge/>
            <w:tcBorders>
              <w:top w:val="nil"/>
            </w:tcBorders>
          </w:tcPr>
          <w:p>
            <w:pPr>
              <w:rPr>
                <w:sz w:val="2"/>
                <w:szCs w:val="2"/>
              </w:rPr>
            </w:pPr>
          </w:p>
        </w:tc>
        <w:tc>
          <w:tcPr>
            <w:tcW w:w="773" w:type="dxa"/>
            <w:shd w:val="clear" w:color="auto" w:fill="FAE3D4"/>
          </w:tcPr>
          <w:p>
            <w:pPr>
              <w:pStyle w:val="TableParagraph"/>
              <w:spacing w:line="124" w:lineRule="exact" w:before="54"/>
              <w:ind w:right="48"/>
              <w:jc w:val="right"/>
              <w:rPr>
                <w:sz w:val="11"/>
              </w:rPr>
            </w:pPr>
            <w:r>
              <w:rPr>
                <w:w w:val="95"/>
                <w:sz w:val="11"/>
              </w:rPr>
              <w:t>0,00</w:t>
            </w:r>
          </w:p>
        </w:tc>
        <w:tc>
          <w:tcPr>
            <w:tcW w:w="775" w:type="dxa"/>
            <w:shd w:val="clear" w:color="auto" w:fill="FAE3D4"/>
          </w:tcPr>
          <w:p>
            <w:pPr>
              <w:pStyle w:val="TableParagraph"/>
              <w:spacing w:line="124" w:lineRule="exact" w:before="54"/>
              <w:ind w:right="49"/>
              <w:jc w:val="right"/>
              <w:rPr>
                <w:sz w:val="11"/>
              </w:rPr>
            </w:pPr>
            <w:r>
              <w:rPr>
                <w:w w:val="95"/>
                <w:sz w:val="11"/>
              </w:rPr>
              <w:t>0,00</w:t>
            </w:r>
          </w:p>
        </w:tc>
        <w:tc>
          <w:tcPr>
            <w:tcW w:w="773" w:type="dxa"/>
            <w:shd w:val="clear" w:color="auto" w:fill="FAE3D4"/>
          </w:tcPr>
          <w:p>
            <w:pPr>
              <w:pStyle w:val="TableParagraph"/>
              <w:spacing w:line="124" w:lineRule="exact" w:before="54"/>
              <w:ind w:right="46"/>
              <w:jc w:val="right"/>
              <w:rPr>
                <w:sz w:val="11"/>
              </w:rPr>
            </w:pPr>
            <w:r>
              <w:rPr>
                <w:w w:val="95"/>
                <w:sz w:val="11"/>
              </w:rPr>
              <w:t>0,00</w:t>
            </w:r>
          </w:p>
        </w:tc>
        <w:tc>
          <w:tcPr>
            <w:tcW w:w="900" w:type="dxa"/>
            <w:shd w:val="clear" w:color="auto" w:fill="FAE3D4"/>
          </w:tcPr>
          <w:p>
            <w:pPr>
              <w:pStyle w:val="TableParagraph"/>
              <w:spacing w:line="124" w:lineRule="exact" w:before="54"/>
              <w:ind w:right="46"/>
              <w:jc w:val="right"/>
              <w:rPr>
                <w:sz w:val="11"/>
              </w:rPr>
            </w:pPr>
            <w:r>
              <w:rPr>
                <w:sz w:val="11"/>
              </w:rPr>
              <w:t>1.396.127,45</w:t>
            </w:r>
          </w:p>
        </w:tc>
        <w:tc>
          <w:tcPr>
            <w:tcW w:w="775" w:type="dxa"/>
            <w:shd w:val="clear" w:color="auto" w:fill="FAE3D4"/>
          </w:tcPr>
          <w:p>
            <w:pPr>
              <w:pStyle w:val="TableParagraph"/>
              <w:spacing w:line="124" w:lineRule="exact" w:before="54"/>
              <w:ind w:right="48"/>
              <w:jc w:val="right"/>
              <w:rPr>
                <w:sz w:val="11"/>
              </w:rPr>
            </w:pPr>
            <w:r>
              <w:rPr>
                <w:w w:val="95"/>
                <w:sz w:val="11"/>
              </w:rPr>
              <w:t>46.660,84</w:t>
            </w:r>
          </w:p>
        </w:tc>
        <w:tc>
          <w:tcPr>
            <w:tcW w:w="898" w:type="dxa"/>
            <w:shd w:val="clear" w:color="auto" w:fill="FAE3D4"/>
          </w:tcPr>
          <w:p>
            <w:pPr>
              <w:pStyle w:val="TableParagraph"/>
              <w:spacing w:line="124" w:lineRule="exact" w:before="54"/>
              <w:ind w:right="45"/>
              <w:jc w:val="right"/>
              <w:rPr>
                <w:sz w:val="11"/>
              </w:rPr>
            </w:pPr>
            <w:r>
              <w:rPr>
                <w:sz w:val="11"/>
              </w:rPr>
              <w:t>1.442.788,29</w:t>
            </w:r>
          </w:p>
        </w:tc>
        <w:tc>
          <w:tcPr>
            <w:tcW w:w="838" w:type="dxa"/>
            <w:shd w:val="clear" w:color="auto" w:fill="DEEAF6"/>
          </w:tcPr>
          <w:p>
            <w:pPr>
              <w:pStyle w:val="TableParagraph"/>
              <w:rPr>
                <w:rFonts w:ascii="Times New Roman"/>
                <w:sz w:val="10"/>
              </w:rPr>
            </w:pPr>
          </w:p>
        </w:tc>
        <w:tc>
          <w:tcPr>
            <w:tcW w:w="836" w:type="dxa"/>
            <w:shd w:val="clear" w:color="auto" w:fill="DEEAF6"/>
          </w:tcPr>
          <w:p>
            <w:pPr>
              <w:pStyle w:val="TableParagraph"/>
              <w:spacing w:line="124" w:lineRule="exact" w:before="54"/>
              <w:ind w:right="43"/>
              <w:jc w:val="right"/>
              <w:rPr>
                <w:sz w:val="11"/>
              </w:rPr>
            </w:pPr>
            <w:r>
              <w:rPr>
                <w:w w:val="95"/>
                <w:sz w:val="11"/>
              </w:rPr>
              <w:t>0,00</w:t>
            </w:r>
          </w:p>
        </w:tc>
        <w:tc>
          <w:tcPr>
            <w:tcW w:w="836" w:type="dxa"/>
            <w:shd w:val="clear" w:color="auto" w:fill="DEEAF6"/>
          </w:tcPr>
          <w:p>
            <w:pPr>
              <w:pStyle w:val="TableParagraph"/>
              <w:spacing w:line="124" w:lineRule="exact" w:before="54"/>
              <w:ind w:right="42"/>
              <w:jc w:val="right"/>
              <w:rPr>
                <w:sz w:val="11"/>
              </w:rPr>
            </w:pPr>
            <w:r>
              <w:rPr>
                <w:w w:val="95"/>
                <w:sz w:val="11"/>
              </w:rPr>
              <w:t>0,00</w:t>
            </w:r>
          </w:p>
        </w:tc>
        <w:tc>
          <w:tcPr>
            <w:tcW w:w="836" w:type="dxa"/>
            <w:shd w:val="clear" w:color="auto" w:fill="DEEAF6"/>
          </w:tcPr>
          <w:p>
            <w:pPr>
              <w:pStyle w:val="TableParagraph"/>
              <w:rPr>
                <w:rFonts w:ascii="Times New Roman"/>
                <w:sz w:val="10"/>
              </w:rPr>
            </w:pPr>
          </w:p>
        </w:tc>
        <w:tc>
          <w:tcPr>
            <w:tcW w:w="899" w:type="dxa"/>
            <w:shd w:val="clear" w:color="auto" w:fill="DEEAF6"/>
          </w:tcPr>
          <w:p>
            <w:pPr>
              <w:pStyle w:val="TableParagraph"/>
              <w:rPr>
                <w:rFonts w:ascii="Times New Roman"/>
                <w:sz w:val="10"/>
              </w:rPr>
            </w:pPr>
          </w:p>
        </w:tc>
        <w:tc>
          <w:tcPr>
            <w:tcW w:w="836" w:type="dxa"/>
            <w:tcBorders>
              <w:right w:val="single" w:sz="4" w:space="0" w:color="000000"/>
            </w:tcBorders>
            <w:shd w:val="clear" w:color="auto" w:fill="DEEAF6"/>
          </w:tcPr>
          <w:p>
            <w:pPr>
              <w:pStyle w:val="TableParagraph"/>
              <w:spacing w:line="124" w:lineRule="exact" w:before="54"/>
              <w:ind w:right="33"/>
              <w:jc w:val="right"/>
              <w:rPr>
                <w:sz w:val="11"/>
              </w:rPr>
            </w:pPr>
            <w:r>
              <w:rPr>
                <w:w w:val="95"/>
                <w:sz w:val="11"/>
              </w:rPr>
              <w:t>0,00</w:t>
            </w:r>
          </w:p>
        </w:tc>
      </w:tr>
      <w:tr>
        <w:trPr>
          <w:trHeight w:val="257" w:hRule="atLeast"/>
        </w:trPr>
        <w:tc>
          <w:tcPr>
            <w:tcW w:w="652" w:type="dxa"/>
            <w:vMerge/>
            <w:tcBorders>
              <w:top w:val="nil"/>
              <w:left w:val="single" w:sz="4" w:space="0" w:color="000000"/>
            </w:tcBorders>
          </w:tcPr>
          <w:p>
            <w:pPr>
              <w:rPr>
                <w:sz w:val="2"/>
                <w:szCs w:val="2"/>
              </w:rPr>
            </w:pPr>
          </w:p>
        </w:tc>
        <w:tc>
          <w:tcPr>
            <w:tcW w:w="1551" w:type="dxa"/>
            <w:vMerge/>
            <w:tcBorders>
              <w:top w:val="nil"/>
            </w:tcBorders>
          </w:tcPr>
          <w:p>
            <w:pPr>
              <w:rPr>
                <w:sz w:val="2"/>
                <w:szCs w:val="2"/>
              </w:rPr>
            </w:pPr>
          </w:p>
        </w:tc>
        <w:tc>
          <w:tcPr>
            <w:tcW w:w="773" w:type="dxa"/>
            <w:shd w:val="clear" w:color="auto" w:fill="FAE3D4"/>
          </w:tcPr>
          <w:p>
            <w:pPr>
              <w:pStyle w:val="TableParagraph"/>
              <w:spacing w:line="123" w:lineRule="exact"/>
              <w:ind w:right="48"/>
              <w:jc w:val="right"/>
              <w:rPr>
                <w:sz w:val="11"/>
              </w:rPr>
            </w:pPr>
            <w:r>
              <w:rPr>
                <w:w w:val="95"/>
                <w:sz w:val="11"/>
              </w:rPr>
              <w:t>19.699,58</w:t>
            </w:r>
          </w:p>
        </w:tc>
        <w:tc>
          <w:tcPr>
            <w:tcW w:w="775" w:type="dxa"/>
            <w:shd w:val="clear" w:color="auto" w:fill="FAE3D4"/>
          </w:tcPr>
          <w:p>
            <w:pPr>
              <w:pStyle w:val="TableParagraph"/>
              <w:spacing w:line="123" w:lineRule="exact"/>
              <w:ind w:right="50"/>
              <w:jc w:val="right"/>
              <w:rPr>
                <w:sz w:val="11"/>
              </w:rPr>
            </w:pPr>
            <w:r>
              <w:rPr>
                <w:w w:val="95"/>
                <w:sz w:val="11"/>
              </w:rPr>
              <w:t>87.301,56</w:t>
            </w:r>
          </w:p>
        </w:tc>
        <w:tc>
          <w:tcPr>
            <w:tcW w:w="773" w:type="dxa"/>
            <w:shd w:val="clear" w:color="auto" w:fill="FAE3D4"/>
          </w:tcPr>
          <w:p>
            <w:pPr>
              <w:pStyle w:val="TableParagraph"/>
              <w:spacing w:line="123" w:lineRule="exact"/>
              <w:ind w:right="47"/>
              <w:jc w:val="right"/>
              <w:rPr>
                <w:sz w:val="11"/>
              </w:rPr>
            </w:pPr>
            <w:r>
              <w:rPr>
                <w:sz w:val="11"/>
              </w:rPr>
              <w:t>107.001,14</w:t>
            </w:r>
          </w:p>
        </w:tc>
        <w:tc>
          <w:tcPr>
            <w:tcW w:w="900" w:type="dxa"/>
            <w:shd w:val="clear" w:color="auto" w:fill="FAE3D4"/>
          </w:tcPr>
          <w:p>
            <w:pPr>
              <w:pStyle w:val="TableParagraph"/>
              <w:spacing w:line="123" w:lineRule="exact"/>
              <w:ind w:right="46"/>
              <w:jc w:val="right"/>
              <w:rPr>
                <w:sz w:val="11"/>
              </w:rPr>
            </w:pPr>
            <w:r>
              <w:rPr>
                <w:sz w:val="11"/>
              </w:rPr>
              <w:t>1.672.908,75</w:t>
            </w:r>
          </w:p>
        </w:tc>
        <w:tc>
          <w:tcPr>
            <w:tcW w:w="775" w:type="dxa"/>
            <w:shd w:val="clear" w:color="auto" w:fill="FAE3D4"/>
          </w:tcPr>
          <w:p>
            <w:pPr>
              <w:pStyle w:val="TableParagraph"/>
              <w:spacing w:line="123" w:lineRule="exact"/>
              <w:ind w:right="48"/>
              <w:jc w:val="right"/>
              <w:rPr>
                <w:sz w:val="11"/>
              </w:rPr>
            </w:pPr>
            <w:r>
              <w:rPr>
                <w:w w:val="95"/>
                <w:sz w:val="11"/>
              </w:rPr>
              <w:t>66.436,58</w:t>
            </w:r>
          </w:p>
        </w:tc>
        <w:tc>
          <w:tcPr>
            <w:tcW w:w="898" w:type="dxa"/>
            <w:shd w:val="clear" w:color="auto" w:fill="FAE3D4"/>
          </w:tcPr>
          <w:p>
            <w:pPr>
              <w:pStyle w:val="TableParagraph"/>
              <w:spacing w:line="123" w:lineRule="exact"/>
              <w:ind w:right="45"/>
              <w:jc w:val="right"/>
              <w:rPr>
                <w:sz w:val="11"/>
              </w:rPr>
            </w:pPr>
            <w:r>
              <w:rPr>
                <w:sz w:val="11"/>
              </w:rPr>
              <w:t>1.739.345,33</w:t>
            </w:r>
          </w:p>
        </w:tc>
        <w:tc>
          <w:tcPr>
            <w:tcW w:w="838" w:type="dxa"/>
            <w:shd w:val="clear" w:color="auto" w:fill="DEEAF6"/>
          </w:tcPr>
          <w:p>
            <w:pPr>
              <w:pStyle w:val="TableParagraph"/>
              <w:rPr>
                <w:rFonts w:ascii="Times New Roman"/>
                <w:sz w:val="10"/>
              </w:rPr>
            </w:pPr>
          </w:p>
        </w:tc>
        <w:tc>
          <w:tcPr>
            <w:tcW w:w="836" w:type="dxa"/>
            <w:shd w:val="clear" w:color="auto" w:fill="DEEAF6"/>
          </w:tcPr>
          <w:p>
            <w:pPr>
              <w:pStyle w:val="TableParagraph"/>
              <w:spacing w:line="123" w:lineRule="exact"/>
              <w:ind w:right="43"/>
              <w:jc w:val="right"/>
              <w:rPr>
                <w:sz w:val="11"/>
              </w:rPr>
            </w:pPr>
            <w:r>
              <w:rPr>
                <w:w w:val="95"/>
                <w:sz w:val="11"/>
              </w:rPr>
              <w:t>0,00</w:t>
            </w:r>
          </w:p>
        </w:tc>
        <w:tc>
          <w:tcPr>
            <w:tcW w:w="836" w:type="dxa"/>
            <w:shd w:val="clear" w:color="auto" w:fill="DEEAF6"/>
          </w:tcPr>
          <w:p>
            <w:pPr>
              <w:pStyle w:val="TableParagraph"/>
              <w:spacing w:line="123" w:lineRule="exact"/>
              <w:ind w:right="42"/>
              <w:jc w:val="right"/>
              <w:rPr>
                <w:sz w:val="11"/>
              </w:rPr>
            </w:pPr>
            <w:r>
              <w:rPr>
                <w:w w:val="95"/>
                <w:sz w:val="11"/>
              </w:rPr>
              <w:t>0,00</w:t>
            </w:r>
          </w:p>
        </w:tc>
        <w:tc>
          <w:tcPr>
            <w:tcW w:w="836" w:type="dxa"/>
            <w:shd w:val="clear" w:color="auto" w:fill="DEEAF6"/>
          </w:tcPr>
          <w:p>
            <w:pPr>
              <w:pStyle w:val="TableParagraph"/>
              <w:rPr>
                <w:rFonts w:ascii="Times New Roman"/>
                <w:sz w:val="10"/>
              </w:rPr>
            </w:pPr>
          </w:p>
        </w:tc>
        <w:tc>
          <w:tcPr>
            <w:tcW w:w="899" w:type="dxa"/>
            <w:shd w:val="clear" w:color="auto" w:fill="DEEAF6"/>
          </w:tcPr>
          <w:p>
            <w:pPr>
              <w:pStyle w:val="TableParagraph"/>
              <w:rPr>
                <w:rFonts w:ascii="Times New Roman"/>
                <w:sz w:val="10"/>
              </w:rPr>
            </w:pPr>
          </w:p>
        </w:tc>
        <w:tc>
          <w:tcPr>
            <w:tcW w:w="836" w:type="dxa"/>
            <w:tcBorders>
              <w:right w:val="single" w:sz="4" w:space="0" w:color="000000"/>
            </w:tcBorders>
            <w:shd w:val="clear" w:color="auto" w:fill="DEEAF6"/>
          </w:tcPr>
          <w:p>
            <w:pPr>
              <w:pStyle w:val="TableParagraph"/>
              <w:spacing w:line="123" w:lineRule="exact"/>
              <w:ind w:right="33"/>
              <w:jc w:val="right"/>
              <w:rPr>
                <w:sz w:val="11"/>
              </w:rPr>
            </w:pPr>
            <w:r>
              <w:rPr>
                <w:w w:val="95"/>
                <w:sz w:val="11"/>
              </w:rPr>
              <w:t>0,00</w:t>
            </w:r>
          </w:p>
        </w:tc>
      </w:tr>
      <w:tr>
        <w:trPr>
          <w:trHeight w:val="131" w:hRule="atLeast"/>
        </w:trPr>
        <w:tc>
          <w:tcPr>
            <w:tcW w:w="652" w:type="dxa"/>
            <w:tcBorders>
              <w:left w:val="single" w:sz="4" w:space="0" w:color="000000"/>
              <w:bottom w:val="single" w:sz="4" w:space="0" w:color="000000"/>
            </w:tcBorders>
            <w:shd w:val="clear" w:color="auto" w:fill="D9D9D9"/>
          </w:tcPr>
          <w:p>
            <w:pPr>
              <w:pStyle w:val="TableParagraph"/>
              <w:spacing w:line="111" w:lineRule="exact"/>
              <w:ind w:left="177"/>
              <w:rPr>
                <w:b/>
                <w:sz w:val="11"/>
              </w:rPr>
            </w:pPr>
            <w:r>
              <w:rPr>
                <w:b/>
                <w:sz w:val="11"/>
              </w:rPr>
              <w:t>TOTAL</w:t>
            </w:r>
          </w:p>
        </w:tc>
        <w:tc>
          <w:tcPr>
            <w:tcW w:w="1551" w:type="dxa"/>
            <w:tcBorders>
              <w:bottom w:val="single" w:sz="4" w:space="0" w:color="000000"/>
            </w:tcBorders>
            <w:shd w:val="clear" w:color="auto" w:fill="D9D9D9"/>
          </w:tcPr>
          <w:p>
            <w:pPr>
              <w:pStyle w:val="TableParagraph"/>
              <w:rPr>
                <w:rFonts w:ascii="Times New Roman"/>
                <w:sz w:val="6"/>
              </w:rPr>
            </w:pPr>
          </w:p>
        </w:tc>
        <w:tc>
          <w:tcPr>
            <w:tcW w:w="773" w:type="dxa"/>
            <w:tcBorders>
              <w:bottom w:val="single" w:sz="4" w:space="0" w:color="000000"/>
            </w:tcBorders>
            <w:shd w:val="clear" w:color="auto" w:fill="D9D9D9"/>
          </w:tcPr>
          <w:p>
            <w:pPr>
              <w:pStyle w:val="TableParagraph"/>
              <w:spacing w:line="111" w:lineRule="exact"/>
              <w:ind w:right="48"/>
              <w:jc w:val="right"/>
              <w:rPr>
                <w:b/>
                <w:sz w:val="11"/>
              </w:rPr>
            </w:pPr>
            <w:r>
              <w:rPr>
                <w:b/>
                <w:sz w:val="11"/>
              </w:rPr>
              <w:t>18.368.674,82</w:t>
            </w:r>
          </w:p>
        </w:tc>
        <w:tc>
          <w:tcPr>
            <w:tcW w:w="775" w:type="dxa"/>
            <w:tcBorders>
              <w:bottom w:val="single" w:sz="4" w:space="0" w:color="000000"/>
            </w:tcBorders>
            <w:shd w:val="clear" w:color="auto" w:fill="D9D9D9"/>
          </w:tcPr>
          <w:p>
            <w:pPr>
              <w:pStyle w:val="TableParagraph"/>
              <w:spacing w:line="111" w:lineRule="exact"/>
              <w:ind w:right="50"/>
              <w:jc w:val="right"/>
              <w:rPr>
                <w:b/>
                <w:sz w:val="11"/>
              </w:rPr>
            </w:pPr>
            <w:r>
              <w:rPr>
                <w:b/>
                <w:w w:val="95"/>
                <w:sz w:val="11"/>
              </w:rPr>
              <w:t>4.838.130,05</w:t>
            </w:r>
          </w:p>
        </w:tc>
        <w:tc>
          <w:tcPr>
            <w:tcW w:w="773" w:type="dxa"/>
            <w:tcBorders>
              <w:bottom w:val="single" w:sz="4" w:space="0" w:color="000000"/>
            </w:tcBorders>
            <w:shd w:val="clear" w:color="auto" w:fill="D9D9D9"/>
          </w:tcPr>
          <w:p>
            <w:pPr>
              <w:pStyle w:val="TableParagraph"/>
              <w:spacing w:line="111" w:lineRule="exact"/>
              <w:ind w:right="47"/>
              <w:jc w:val="right"/>
              <w:rPr>
                <w:b/>
                <w:sz w:val="11"/>
              </w:rPr>
            </w:pPr>
            <w:r>
              <w:rPr>
                <w:b/>
                <w:sz w:val="11"/>
              </w:rPr>
              <w:t>23.206.804,87</w:t>
            </w:r>
          </w:p>
        </w:tc>
        <w:tc>
          <w:tcPr>
            <w:tcW w:w="900" w:type="dxa"/>
            <w:tcBorders>
              <w:bottom w:val="single" w:sz="4" w:space="0" w:color="000000"/>
            </w:tcBorders>
            <w:shd w:val="clear" w:color="auto" w:fill="D9D9D9"/>
          </w:tcPr>
          <w:p>
            <w:pPr>
              <w:pStyle w:val="TableParagraph"/>
              <w:spacing w:line="111" w:lineRule="exact"/>
              <w:ind w:right="47"/>
              <w:jc w:val="right"/>
              <w:rPr>
                <w:b/>
                <w:sz w:val="11"/>
              </w:rPr>
            </w:pPr>
            <w:r>
              <w:rPr>
                <w:b/>
                <w:w w:val="95"/>
                <w:sz w:val="11"/>
              </w:rPr>
              <w:t>156.299.425,16</w:t>
            </w:r>
          </w:p>
        </w:tc>
        <w:tc>
          <w:tcPr>
            <w:tcW w:w="775" w:type="dxa"/>
            <w:tcBorders>
              <w:bottom w:val="single" w:sz="4" w:space="0" w:color="000000"/>
            </w:tcBorders>
            <w:shd w:val="clear" w:color="auto" w:fill="D9D9D9"/>
          </w:tcPr>
          <w:p>
            <w:pPr>
              <w:pStyle w:val="TableParagraph"/>
              <w:spacing w:line="111" w:lineRule="exact"/>
              <w:ind w:right="48"/>
              <w:jc w:val="right"/>
              <w:rPr>
                <w:b/>
                <w:sz w:val="11"/>
              </w:rPr>
            </w:pPr>
            <w:r>
              <w:rPr>
                <w:b/>
                <w:w w:val="95"/>
                <w:sz w:val="11"/>
              </w:rPr>
              <w:t>4.466.668,00</w:t>
            </w:r>
          </w:p>
        </w:tc>
        <w:tc>
          <w:tcPr>
            <w:tcW w:w="898" w:type="dxa"/>
            <w:tcBorders>
              <w:bottom w:val="single" w:sz="4" w:space="0" w:color="000000"/>
            </w:tcBorders>
            <w:shd w:val="clear" w:color="auto" w:fill="D9D9D9"/>
          </w:tcPr>
          <w:p>
            <w:pPr>
              <w:pStyle w:val="TableParagraph"/>
              <w:spacing w:line="111" w:lineRule="exact"/>
              <w:ind w:right="45"/>
              <w:jc w:val="right"/>
              <w:rPr>
                <w:b/>
                <w:sz w:val="11"/>
              </w:rPr>
            </w:pPr>
            <w:r>
              <w:rPr>
                <w:b/>
                <w:w w:val="95"/>
                <w:sz w:val="11"/>
              </w:rPr>
              <w:t>160.766.093,16</w:t>
            </w:r>
          </w:p>
        </w:tc>
        <w:tc>
          <w:tcPr>
            <w:tcW w:w="838" w:type="dxa"/>
            <w:tcBorders>
              <w:bottom w:val="single" w:sz="4" w:space="0" w:color="000000"/>
            </w:tcBorders>
            <w:shd w:val="clear" w:color="auto" w:fill="D9D9D9"/>
          </w:tcPr>
          <w:p>
            <w:pPr>
              <w:pStyle w:val="TableParagraph"/>
              <w:spacing w:line="111" w:lineRule="exact"/>
              <w:ind w:left="128" w:right="24"/>
              <w:jc w:val="center"/>
              <w:rPr>
                <w:b/>
                <w:sz w:val="11"/>
              </w:rPr>
            </w:pPr>
            <w:r>
              <w:rPr>
                <w:b/>
                <w:sz w:val="11"/>
              </w:rPr>
              <w:t>53.025.745,11</w:t>
            </w:r>
          </w:p>
        </w:tc>
        <w:tc>
          <w:tcPr>
            <w:tcW w:w="836" w:type="dxa"/>
            <w:tcBorders>
              <w:bottom w:val="single" w:sz="4" w:space="0" w:color="000000"/>
            </w:tcBorders>
            <w:shd w:val="clear" w:color="auto" w:fill="D9D9D9"/>
          </w:tcPr>
          <w:p>
            <w:pPr>
              <w:pStyle w:val="TableParagraph"/>
              <w:spacing w:line="111" w:lineRule="exact"/>
              <w:ind w:left="154"/>
              <w:rPr>
                <w:b/>
                <w:sz w:val="11"/>
              </w:rPr>
            </w:pPr>
            <w:r>
              <w:rPr>
                <w:b/>
                <w:sz w:val="11"/>
              </w:rPr>
              <w:t>25.416.144,33</w:t>
            </w:r>
          </w:p>
        </w:tc>
        <w:tc>
          <w:tcPr>
            <w:tcW w:w="836" w:type="dxa"/>
            <w:tcBorders>
              <w:bottom w:val="single" w:sz="4" w:space="0" w:color="000000"/>
            </w:tcBorders>
            <w:shd w:val="clear" w:color="auto" w:fill="D9D9D9"/>
          </w:tcPr>
          <w:p>
            <w:pPr>
              <w:pStyle w:val="TableParagraph"/>
              <w:spacing w:line="111" w:lineRule="exact"/>
              <w:ind w:right="42"/>
              <w:jc w:val="right"/>
              <w:rPr>
                <w:b/>
                <w:sz w:val="11"/>
              </w:rPr>
            </w:pPr>
            <w:r>
              <w:rPr>
                <w:b/>
                <w:sz w:val="11"/>
              </w:rPr>
              <w:t>78.441.889,44</w:t>
            </w:r>
          </w:p>
        </w:tc>
        <w:tc>
          <w:tcPr>
            <w:tcW w:w="836" w:type="dxa"/>
            <w:tcBorders>
              <w:bottom w:val="single" w:sz="4" w:space="0" w:color="000000"/>
            </w:tcBorders>
            <w:shd w:val="clear" w:color="auto" w:fill="D9D9D9"/>
          </w:tcPr>
          <w:p>
            <w:pPr>
              <w:pStyle w:val="TableParagraph"/>
              <w:spacing w:line="111" w:lineRule="exact"/>
              <w:ind w:left="212"/>
              <w:rPr>
                <w:b/>
                <w:sz w:val="11"/>
              </w:rPr>
            </w:pPr>
            <w:r>
              <w:rPr>
                <w:b/>
                <w:sz w:val="11"/>
              </w:rPr>
              <w:t>3.335.611,51</w:t>
            </w:r>
          </w:p>
        </w:tc>
        <w:tc>
          <w:tcPr>
            <w:tcW w:w="899" w:type="dxa"/>
            <w:tcBorders>
              <w:bottom w:val="single" w:sz="4" w:space="0" w:color="000000"/>
            </w:tcBorders>
            <w:shd w:val="clear" w:color="auto" w:fill="D9D9D9"/>
          </w:tcPr>
          <w:p>
            <w:pPr>
              <w:pStyle w:val="TableParagraph"/>
              <w:spacing w:line="111" w:lineRule="exact"/>
              <w:ind w:left="220"/>
              <w:rPr>
                <w:b/>
                <w:sz w:val="11"/>
              </w:rPr>
            </w:pPr>
            <w:r>
              <w:rPr>
                <w:b/>
                <w:sz w:val="11"/>
              </w:rPr>
              <w:t>14.176.339,77</w:t>
            </w:r>
          </w:p>
        </w:tc>
        <w:tc>
          <w:tcPr>
            <w:tcW w:w="836" w:type="dxa"/>
            <w:tcBorders>
              <w:bottom w:val="single" w:sz="4" w:space="0" w:color="000000"/>
              <w:right w:val="single" w:sz="4" w:space="0" w:color="000000"/>
            </w:tcBorders>
            <w:shd w:val="clear" w:color="auto" w:fill="D9D9D9"/>
          </w:tcPr>
          <w:p>
            <w:pPr>
              <w:pStyle w:val="TableParagraph"/>
              <w:spacing w:line="111" w:lineRule="exact"/>
              <w:ind w:right="34"/>
              <w:jc w:val="right"/>
              <w:rPr>
                <w:b/>
                <w:sz w:val="11"/>
              </w:rPr>
            </w:pPr>
            <w:r>
              <w:rPr>
                <w:b/>
                <w:sz w:val="11"/>
              </w:rPr>
              <w:t>17.511.951,28</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9"/>
        </w:rPr>
      </w:pPr>
    </w:p>
    <w:p>
      <w:pPr>
        <w:spacing w:before="68"/>
        <w:ind w:left="10855" w:right="1577" w:firstLine="0"/>
        <w:jc w:val="center"/>
        <w:rPr>
          <w:sz w:val="18"/>
        </w:rPr>
      </w:pPr>
      <w:r>
        <w:rPr>
          <w:w w:val="105"/>
          <w:sz w:val="18"/>
        </w:rPr>
        <w:t>171</w:t>
      </w:r>
    </w:p>
    <w:p>
      <w:pPr>
        <w:spacing w:before="8"/>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63" name="image5.png"/>
                  <wp:cNvGraphicFramePr>
                    <a:graphicFrameLocks noChangeAspect="1"/>
                  </wp:cNvGraphicFramePr>
                  <a:graphic>
                    <a:graphicData uri="http://schemas.openxmlformats.org/drawingml/2006/picture">
                      <pic:pic>
                        <pic:nvPicPr>
                          <pic:cNvPr id="36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173/247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11:14:26</w:t>
            </w:r>
          </w:p>
        </w:tc>
        <w:tc>
          <w:tcPr>
            <w:tcW w:w="1442" w:type="dxa"/>
            <w:vMerge/>
            <w:tcBorders>
              <w:top w:val="nil"/>
            </w:tcBorders>
          </w:tcPr>
          <w:p>
            <w:pPr>
              <w:rPr>
                <w:sz w:val="2"/>
                <w:szCs w:val="2"/>
              </w:rPr>
            </w:pPr>
          </w:p>
        </w:tc>
      </w:tr>
    </w:tbl>
    <w:p>
      <w:pPr>
        <w:spacing w:after="0"/>
        <w:rPr>
          <w:sz w:val="2"/>
          <w:szCs w:val="2"/>
        </w:rPr>
        <w:sectPr>
          <w:pgSz w:w="16840" w:h="11900" w:orient="landscape"/>
          <w:pgMar w:header="797" w:footer="1006" w:top="1620" w:bottom="1200" w:left="1160" w:right="1160"/>
        </w:sectPr>
      </w:pPr>
    </w:p>
    <w:p>
      <w:pPr>
        <w:pStyle w:val="BodyText"/>
        <w:rPr>
          <w:b/>
          <w:sz w:val="22"/>
        </w:rPr>
      </w:pPr>
    </w:p>
    <w:tbl>
      <w:tblPr>
        <w:tblW w:w="0" w:type="auto"/>
        <w:jc w:val="left"/>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5"/>
        <w:gridCol w:w="1859"/>
        <w:gridCol w:w="660"/>
        <w:gridCol w:w="772"/>
        <w:gridCol w:w="814"/>
        <w:gridCol w:w="741"/>
        <w:gridCol w:w="797"/>
        <w:gridCol w:w="838"/>
        <w:gridCol w:w="744"/>
        <w:gridCol w:w="800"/>
        <w:gridCol w:w="746"/>
        <w:gridCol w:w="744"/>
        <w:gridCol w:w="707"/>
        <w:gridCol w:w="742"/>
        <w:gridCol w:w="740"/>
      </w:tblGrid>
      <w:tr>
        <w:trPr>
          <w:trHeight w:val="131" w:hRule="atLeast"/>
        </w:trPr>
        <w:tc>
          <w:tcPr>
            <w:tcW w:w="2424" w:type="dxa"/>
            <w:gridSpan w:val="2"/>
            <w:vMerge w:val="restart"/>
            <w:tcBorders>
              <w:bottom w:val="single" w:sz="4" w:space="0" w:color="000000"/>
              <w:right w:val="single" w:sz="4" w:space="0" w:color="000000"/>
            </w:tcBorders>
          </w:tcPr>
          <w:p>
            <w:pPr>
              <w:pStyle w:val="TableParagraph"/>
              <w:rPr>
                <w:b/>
                <w:sz w:val="10"/>
              </w:rPr>
            </w:pPr>
          </w:p>
          <w:p>
            <w:pPr>
              <w:pStyle w:val="TableParagraph"/>
              <w:spacing w:before="81"/>
              <w:ind w:left="1081" w:right="1074"/>
              <w:jc w:val="center"/>
              <w:rPr>
                <w:b/>
                <w:sz w:val="11"/>
              </w:rPr>
            </w:pPr>
            <w:r>
              <w:rPr>
                <w:b/>
                <w:sz w:val="11"/>
              </w:rPr>
              <w:t>2022</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E1EEDA"/>
          </w:tcPr>
          <w:p>
            <w:pPr>
              <w:pStyle w:val="TableParagraph"/>
              <w:spacing w:line="131" w:lineRule="exact"/>
              <w:ind w:left="130" w:firstLine="22"/>
              <w:rPr>
                <w:b/>
                <w:sz w:val="11"/>
              </w:rPr>
            </w:pPr>
            <w:r>
              <w:rPr>
                <w:b/>
                <w:sz w:val="11"/>
              </w:rPr>
              <w:t>Seflogic</w:t>
            </w:r>
          </w:p>
          <w:p>
            <w:pPr>
              <w:pStyle w:val="TableParagraph"/>
              <w:spacing w:line="132" w:lineRule="exact" w:before="6"/>
              <w:ind w:left="95" w:right="89" w:firstLine="35"/>
              <w:rPr>
                <w:b/>
                <w:sz w:val="11"/>
              </w:rPr>
            </w:pPr>
            <w:r>
              <w:rPr>
                <w:b/>
                <w:sz w:val="11"/>
              </w:rPr>
              <w:t>cerrado/ </w:t>
            </w:r>
            <w:r>
              <w:rPr>
                <w:b/>
                <w:w w:val="95"/>
                <w:sz w:val="11"/>
              </w:rPr>
              <w:t>voluntaria</w:t>
            </w:r>
          </w:p>
        </w:tc>
        <w:tc>
          <w:tcPr>
            <w:tcW w:w="9185" w:type="dxa"/>
            <w:gridSpan w:val="12"/>
            <w:tcBorders>
              <w:left w:val="single" w:sz="4" w:space="0" w:color="000000"/>
              <w:bottom w:val="single" w:sz="4" w:space="0" w:color="000000"/>
            </w:tcBorders>
          </w:tcPr>
          <w:p>
            <w:pPr>
              <w:pStyle w:val="TableParagraph"/>
              <w:rPr>
                <w:rFonts w:ascii="Times New Roman"/>
                <w:sz w:val="6"/>
              </w:rPr>
            </w:pPr>
          </w:p>
        </w:tc>
      </w:tr>
      <w:tr>
        <w:trPr>
          <w:trHeight w:val="262" w:hRule="atLeast"/>
        </w:trPr>
        <w:tc>
          <w:tcPr>
            <w:tcW w:w="2424" w:type="dxa"/>
            <w:gridSpan w:val="2"/>
            <w:vMerge/>
            <w:tcBorders>
              <w:top w:val="nil"/>
              <w:bottom w:val="single" w:sz="4" w:space="0" w:color="000000"/>
              <w:right w:val="single" w:sz="4" w:space="0" w:color="000000"/>
            </w:tcBorders>
          </w:tcPr>
          <w:p>
            <w:pPr>
              <w:rPr>
                <w:sz w:val="2"/>
                <w:szCs w:val="2"/>
              </w:rPr>
            </w:pPr>
          </w:p>
        </w:tc>
        <w:tc>
          <w:tcPr>
            <w:tcW w:w="660" w:type="dxa"/>
            <w:vMerge/>
            <w:tcBorders>
              <w:top w:val="nil"/>
              <w:left w:val="single" w:sz="4" w:space="0" w:color="000000"/>
              <w:bottom w:val="single" w:sz="4" w:space="0" w:color="000000"/>
              <w:right w:val="single" w:sz="4" w:space="0" w:color="000000"/>
            </w:tcBorders>
            <w:shd w:val="clear" w:color="auto" w:fill="E1EEDA"/>
          </w:tcPr>
          <w:p>
            <w:pPr>
              <w:rPr>
                <w:sz w:val="2"/>
                <w:szCs w:val="2"/>
              </w:rPr>
            </w:pP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FBE3D5"/>
          </w:tcPr>
          <w:p>
            <w:pPr>
              <w:pStyle w:val="TableParagraph"/>
              <w:spacing w:before="61"/>
              <w:ind w:left="603" w:right="600"/>
              <w:jc w:val="center"/>
              <w:rPr>
                <w:b/>
                <w:sz w:val="11"/>
              </w:rPr>
            </w:pPr>
            <w:r>
              <w:rPr>
                <w:b/>
                <w:sz w:val="11"/>
              </w:rPr>
              <w:t>Totales</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E1EEDA"/>
          </w:tcPr>
          <w:p>
            <w:pPr>
              <w:pStyle w:val="TableParagraph"/>
              <w:spacing w:before="61"/>
              <w:ind w:left="345"/>
              <w:rPr>
                <w:b/>
                <w:sz w:val="11"/>
              </w:rPr>
            </w:pPr>
            <w:r>
              <w:rPr>
                <w:b/>
                <w:sz w:val="11"/>
              </w:rPr>
              <w:t>Total por capítulos</w:t>
            </w:r>
          </w:p>
        </w:tc>
        <w:tc>
          <w:tcPr>
            <w:tcW w:w="1582" w:type="dxa"/>
            <w:gridSpan w:val="2"/>
            <w:tcBorders>
              <w:top w:val="single" w:sz="4" w:space="0" w:color="000000"/>
              <w:left w:val="single" w:sz="4" w:space="0" w:color="000000"/>
              <w:bottom w:val="single" w:sz="4" w:space="0" w:color="000000"/>
              <w:right w:val="single" w:sz="4" w:space="0" w:color="000000"/>
            </w:tcBorders>
            <w:shd w:val="clear" w:color="auto" w:fill="FBE3D5"/>
          </w:tcPr>
          <w:p>
            <w:pPr>
              <w:pStyle w:val="TableParagraph"/>
              <w:spacing w:before="61"/>
              <w:ind w:left="323"/>
              <w:rPr>
                <w:b/>
                <w:sz w:val="11"/>
              </w:rPr>
            </w:pPr>
            <w:r>
              <w:rPr>
                <w:b/>
                <w:sz w:val="11"/>
              </w:rPr>
              <w:t>Totales s/fase deuda</w:t>
            </w: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E1EEDA"/>
          </w:tcPr>
          <w:p>
            <w:pPr>
              <w:pStyle w:val="TableParagraph"/>
              <w:spacing w:line="130" w:lineRule="exact"/>
              <w:ind w:left="176" w:right="161"/>
              <w:jc w:val="center"/>
              <w:rPr>
                <w:b/>
                <w:sz w:val="11"/>
              </w:rPr>
            </w:pPr>
            <w:r>
              <w:rPr>
                <w:b/>
                <w:sz w:val="11"/>
              </w:rPr>
              <w:t>Total por capítulos s/fase</w:t>
            </w:r>
          </w:p>
          <w:p>
            <w:pPr>
              <w:pStyle w:val="TableParagraph"/>
              <w:spacing w:line="112" w:lineRule="exact"/>
              <w:ind w:left="176" w:right="161"/>
              <w:jc w:val="center"/>
              <w:rPr>
                <w:b/>
                <w:sz w:val="11"/>
              </w:rPr>
            </w:pPr>
            <w:r>
              <w:rPr>
                <w:b/>
                <w:sz w:val="11"/>
              </w:rPr>
              <w:t>deuda</w:t>
            </w:r>
          </w:p>
        </w:tc>
        <w:tc>
          <w:tcPr>
            <w:tcW w:w="145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1"/>
              <w:ind w:left="497" w:right="473"/>
              <w:jc w:val="center"/>
              <w:rPr>
                <w:b/>
                <w:sz w:val="11"/>
              </w:rPr>
            </w:pPr>
            <w:r>
              <w:rPr>
                <w:b/>
                <w:sz w:val="11"/>
              </w:rPr>
              <w:t>Corriente</w:t>
            </w:r>
          </w:p>
        </w:tc>
        <w:tc>
          <w:tcPr>
            <w:tcW w:w="148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1"/>
              <w:ind w:left="555" w:right="524"/>
              <w:jc w:val="center"/>
              <w:rPr>
                <w:b/>
                <w:sz w:val="11"/>
              </w:rPr>
            </w:pPr>
            <w:r>
              <w:rPr>
                <w:b/>
                <w:sz w:val="11"/>
              </w:rPr>
              <w:t>cerrado</w:t>
            </w:r>
          </w:p>
        </w:tc>
      </w:tr>
      <w:tr>
        <w:trPr>
          <w:trHeight w:val="264" w:hRule="atLeast"/>
        </w:trPr>
        <w:tc>
          <w:tcPr>
            <w:tcW w:w="565"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130" w:lineRule="exact"/>
              <w:ind w:left="93"/>
              <w:rPr>
                <w:sz w:val="11"/>
              </w:rPr>
            </w:pPr>
            <w:r>
              <w:rPr>
                <w:sz w:val="11"/>
              </w:rPr>
              <w:t>Concep/</w:t>
            </w:r>
          </w:p>
          <w:p>
            <w:pPr>
              <w:pStyle w:val="TableParagraph"/>
              <w:spacing w:line="114" w:lineRule="exact"/>
              <w:ind w:left="80"/>
              <w:rPr>
                <w:sz w:val="11"/>
              </w:rPr>
            </w:pPr>
            <w:r>
              <w:rPr>
                <w:sz w:val="11"/>
              </w:rPr>
              <w:t>Subconc.</w:t>
            </w:r>
          </w:p>
        </w:tc>
        <w:tc>
          <w:tcPr>
            <w:tcW w:w="1859"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3"/>
              <w:ind w:left="52"/>
              <w:rPr>
                <w:sz w:val="11"/>
              </w:rPr>
            </w:pPr>
            <w:r>
              <w:rPr>
                <w:sz w:val="11"/>
              </w:rPr>
              <w:t>Descripción</w:t>
            </w:r>
          </w:p>
        </w:tc>
        <w:tc>
          <w:tcPr>
            <w:tcW w:w="660" w:type="dxa"/>
            <w:tcBorders>
              <w:top w:val="single" w:sz="4" w:space="0" w:color="000000"/>
              <w:left w:val="single" w:sz="4" w:space="0" w:color="000000"/>
              <w:bottom w:val="single" w:sz="4" w:space="0" w:color="000000"/>
              <w:right w:val="single" w:sz="4" w:space="0" w:color="000000"/>
            </w:tcBorders>
            <w:shd w:val="clear" w:color="auto" w:fill="E1EED9"/>
          </w:tcPr>
          <w:p>
            <w:pPr>
              <w:pStyle w:val="TableParagraph"/>
              <w:rPr>
                <w:rFonts w:ascii="Times New Roman"/>
                <w:sz w:val="10"/>
              </w:rPr>
            </w:pPr>
          </w:p>
        </w:tc>
        <w:tc>
          <w:tcPr>
            <w:tcW w:w="772"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3"/>
              <w:ind w:left="169"/>
              <w:rPr>
                <w:b/>
                <w:sz w:val="11"/>
              </w:rPr>
            </w:pPr>
            <w:r>
              <w:rPr>
                <w:b/>
                <w:sz w:val="11"/>
              </w:rPr>
              <w:t>Corriente</w:t>
            </w:r>
          </w:p>
        </w:tc>
        <w:tc>
          <w:tcPr>
            <w:tcW w:w="81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3"/>
              <w:ind w:left="225"/>
              <w:rPr>
                <w:b/>
                <w:sz w:val="11"/>
              </w:rPr>
            </w:pPr>
            <w:r>
              <w:rPr>
                <w:b/>
                <w:sz w:val="11"/>
              </w:rPr>
              <w:t>Cerrado</w:t>
            </w:r>
          </w:p>
        </w:tc>
        <w:tc>
          <w:tcPr>
            <w:tcW w:w="741" w:type="dxa"/>
            <w:tcBorders>
              <w:top w:val="single" w:sz="4" w:space="0" w:color="000000"/>
              <w:left w:val="single" w:sz="4" w:space="0" w:color="000000"/>
              <w:bottom w:val="single" w:sz="4" w:space="0" w:color="000000"/>
              <w:right w:val="single" w:sz="4" w:space="0" w:color="000000"/>
            </w:tcBorders>
            <w:shd w:val="clear" w:color="auto" w:fill="E1EED9"/>
          </w:tcPr>
          <w:p>
            <w:pPr>
              <w:pStyle w:val="TableParagraph"/>
              <w:spacing w:before="63"/>
              <w:ind w:left="129" w:right="131"/>
              <w:jc w:val="center"/>
              <w:rPr>
                <w:b/>
                <w:sz w:val="11"/>
              </w:rPr>
            </w:pPr>
            <w:r>
              <w:rPr>
                <w:b/>
                <w:sz w:val="11"/>
              </w:rPr>
              <w:t>Corriente</w:t>
            </w:r>
          </w:p>
        </w:tc>
        <w:tc>
          <w:tcPr>
            <w:tcW w:w="797" w:type="dxa"/>
            <w:tcBorders>
              <w:top w:val="single" w:sz="4" w:space="0" w:color="000000"/>
              <w:left w:val="single" w:sz="4" w:space="0" w:color="000000"/>
              <w:bottom w:val="single" w:sz="4" w:space="0" w:color="000000"/>
              <w:right w:val="single" w:sz="4" w:space="0" w:color="000000"/>
            </w:tcBorders>
            <w:shd w:val="clear" w:color="auto" w:fill="E1EED9"/>
          </w:tcPr>
          <w:p>
            <w:pPr>
              <w:pStyle w:val="TableParagraph"/>
              <w:spacing w:before="63"/>
              <w:ind w:left="217"/>
              <w:rPr>
                <w:b/>
                <w:sz w:val="11"/>
              </w:rPr>
            </w:pPr>
            <w:r>
              <w:rPr>
                <w:b/>
                <w:sz w:val="11"/>
              </w:rPr>
              <w:t>Cerrado</w:t>
            </w:r>
          </w:p>
        </w:tc>
        <w:tc>
          <w:tcPr>
            <w:tcW w:w="838"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3"/>
              <w:ind w:left="213"/>
              <w:rPr>
                <w:b/>
                <w:sz w:val="11"/>
              </w:rPr>
            </w:pPr>
            <w:r>
              <w:rPr>
                <w:b/>
                <w:sz w:val="11"/>
              </w:rPr>
              <w:t>ejecutiva</w:t>
            </w:r>
          </w:p>
        </w:tc>
        <w:tc>
          <w:tcPr>
            <w:tcW w:w="74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63"/>
              <w:ind w:left="141"/>
              <w:rPr>
                <w:b/>
                <w:sz w:val="11"/>
              </w:rPr>
            </w:pPr>
            <w:r>
              <w:rPr>
                <w:b/>
                <w:sz w:val="11"/>
              </w:rPr>
              <w:t>voluntaria</w:t>
            </w:r>
          </w:p>
        </w:tc>
        <w:tc>
          <w:tcPr>
            <w:tcW w:w="800" w:type="dxa"/>
            <w:tcBorders>
              <w:top w:val="single" w:sz="4" w:space="0" w:color="000000"/>
              <w:left w:val="single" w:sz="4" w:space="0" w:color="000000"/>
              <w:bottom w:val="single" w:sz="4" w:space="0" w:color="000000"/>
              <w:right w:val="single" w:sz="4" w:space="0" w:color="000000"/>
            </w:tcBorders>
            <w:shd w:val="clear" w:color="auto" w:fill="E1EED9"/>
          </w:tcPr>
          <w:p>
            <w:pPr>
              <w:pStyle w:val="TableParagraph"/>
              <w:spacing w:before="63"/>
              <w:ind w:left="175" w:right="158"/>
              <w:jc w:val="center"/>
              <w:rPr>
                <w:b/>
                <w:sz w:val="11"/>
              </w:rPr>
            </w:pPr>
            <w:r>
              <w:rPr>
                <w:b/>
                <w:sz w:val="11"/>
              </w:rPr>
              <w:t>ejecutiva</w:t>
            </w:r>
          </w:p>
        </w:tc>
        <w:tc>
          <w:tcPr>
            <w:tcW w:w="746" w:type="dxa"/>
            <w:tcBorders>
              <w:top w:val="single" w:sz="4" w:space="0" w:color="000000"/>
              <w:left w:val="single" w:sz="4" w:space="0" w:color="000000"/>
              <w:bottom w:val="single" w:sz="4" w:space="0" w:color="000000"/>
              <w:right w:val="single" w:sz="4" w:space="0" w:color="000000"/>
            </w:tcBorders>
            <w:shd w:val="clear" w:color="auto" w:fill="E1EED9"/>
          </w:tcPr>
          <w:p>
            <w:pPr>
              <w:pStyle w:val="TableParagraph"/>
              <w:spacing w:before="63"/>
              <w:ind w:left="89" w:right="75"/>
              <w:jc w:val="center"/>
              <w:rPr>
                <w:b/>
                <w:sz w:val="11"/>
              </w:rPr>
            </w:pPr>
            <w:r>
              <w:rPr>
                <w:b/>
                <w:sz w:val="11"/>
              </w:rPr>
              <w:t>voluntaria</w:t>
            </w:r>
          </w:p>
        </w:tc>
        <w:tc>
          <w:tcPr>
            <w:tcW w:w="744"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3"/>
              <w:ind w:left="174"/>
              <w:rPr>
                <w:b/>
                <w:sz w:val="11"/>
              </w:rPr>
            </w:pPr>
            <w:r>
              <w:rPr>
                <w:b/>
                <w:sz w:val="11"/>
              </w:rPr>
              <w:t>ejecutiva</w:t>
            </w:r>
          </w:p>
        </w:tc>
        <w:tc>
          <w:tcPr>
            <w:tcW w:w="707"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3"/>
              <w:ind w:left="129"/>
              <w:rPr>
                <w:b/>
                <w:sz w:val="11"/>
              </w:rPr>
            </w:pPr>
            <w:r>
              <w:rPr>
                <w:b/>
                <w:sz w:val="11"/>
              </w:rPr>
              <w:t>voluntaria</w:t>
            </w:r>
          </w:p>
        </w:tc>
        <w:tc>
          <w:tcPr>
            <w:tcW w:w="742"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3"/>
              <w:ind w:left="175"/>
              <w:rPr>
                <w:b/>
                <w:sz w:val="11"/>
              </w:rPr>
            </w:pPr>
            <w:r>
              <w:rPr>
                <w:b/>
                <w:sz w:val="11"/>
              </w:rPr>
              <w:t>ejecutiva</w:t>
            </w:r>
          </w:p>
        </w:tc>
        <w:tc>
          <w:tcPr>
            <w:tcW w:w="74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63"/>
              <w:ind w:left="147"/>
              <w:rPr>
                <w:b/>
                <w:sz w:val="11"/>
              </w:rPr>
            </w:pPr>
            <w:r>
              <w:rPr>
                <w:b/>
                <w:sz w:val="11"/>
              </w:rPr>
              <w:t>voluntaria</w:t>
            </w:r>
          </w:p>
        </w:tc>
      </w:tr>
      <w:tr>
        <w:trPr>
          <w:trHeight w:val="140" w:hRule="atLeast"/>
        </w:trPr>
        <w:tc>
          <w:tcPr>
            <w:tcW w:w="565" w:type="dxa"/>
            <w:vMerge w:val="restart"/>
            <w:tcBorders>
              <w:top w:val="single" w:sz="4" w:space="0" w:color="000000"/>
              <w:left w:val="single" w:sz="4" w:space="0" w:color="000000"/>
            </w:tcBorders>
          </w:tcPr>
          <w:p>
            <w:pPr>
              <w:pStyle w:val="TableParagraph"/>
              <w:spacing w:line="130" w:lineRule="exact"/>
              <w:ind w:left="120" w:right="120"/>
              <w:jc w:val="center"/>
              <w:rPr>
                <w:sz w:val="11"/>
              </w:rPr>
            </w:pPr>
            <w:r>
              <w:rPr>
                <w:sz w:val="11"/>
              </w:rPr>
              <w:t>100</w:t>
            </w:r>
          </w:p>
          <w:p>
            <w:pPr>
              <w:pStyle w:val="TableParagraph"/>
              <w:spacing w:line="132" w:lineRule="exact"/>
              <w:ind w:left="120" w:right="120"/>
              <w:jc w:val="center"/>
              <w:rPr>
                <w:sz w:val="11"/>
              </w:rPr>
            </w:pPr>
            <w:r>
              <w:rPr>
                <w:sz w:val="11"/>
              </w:rPr>
              <w:t>110</w:t>
            </w:r>
          </w:p>
          <w:p>
            <w:pPr>
              <w:pStyle w:val="TableParagraph"/>
              <w:spacing w:line="132" w:lineRule="exact"/>
              <w:ind w:left="120" w:right="120"/>
              <w:jc w:val="center"/>
              <w:rPr>
                <w:sz w:val="11"/>
              </w:rPr>
            </w:pPr>
            <w:r>
              <w:rPr>
                <w:sz w:val="11"/>
              </w:rPr>
              <w:t>111</w:t>
            </w:r>
          </w:p>
          <w:p>
            <w:pPr>
              <w:pStyle w:val="TableParagraph"/>
              <w:spacing w:line="133" w:lineRule="exact"/>
              <w:ind w:left="120" w:right="120"/>
              <w:jc w:val="center"/>
              <w:rPr>
                <w:sz w:val="11"/>
              </w:rPr>
            </w:pPr>
            <w:r>
              <w:rPr>
                <w:sz w:val="11"/>
              </w:rPr>
              <w:t>200</w:t>
            </w:r>
          </w:p>
          <w:p>
            <w:pPr>
              <w:pStyle w:val="TableParagraph"/>
              <w:spacing w:line="133" w:lineRule="exact"/>
              <w:ind w:left="120" w:right="120"/>
              <w:jc w:val="center"/>
              <w:rPr>
                <w:sz w:val="11"/>
              </w:rPr>
            </w:pPr>
            <w:r>
              <w:rPr>
                <w:sz w:val="11"/>
              </w:rPr>
              <w:t>210</w:t>
            </w:r>
          </w:p>
          <w:p>
            <w:pPr>
              <w:pStyle w:val="TableParagraph"/>
              <w:spacing w:line="132" w:lineRule="exact"/>
              <w:ind w:left="120" w:right="120"/>
              <w:jc w:val="center"/>
              <w:rPr>
                <w:sz w:val="11"/>
              </w:rPr>
            </w:pPr>
            <w:r>
              <w:rPr>
                <w:sz w:val="11"/>
              </w:rPr>
              <w:t>220</w:t>
            </w:r>
          </w:p>
          <w:p>
            <w:pPr>
              <w:pStyle w:val="TableParagraph"/>
              <w:spacing w:line="132" w:lineRule="exact"/>
              <w:ind w:left="120" w:right="120"/>
              <w:jc w:val="center"/>
              <w:rPr>
                <w:sz w:val="11"/>
              </w:rPr>
            </w:pPr>
            <w:r>
              <w:rPr>
                <w:sz w:val="11"/>
              </w:rPr>
              <w:t>250</w:t>
            </w:r>
          </w:p>
          <w:p>
            <w:pPr>
              <w:pStyle w:val="TableParagraph"/>
              <w:spacing w:line="133" w:lineRule="exact"/>
              <w:ind w:left="120" w:right="120"/>
              <w:jc w:val="center"/>
              <w:rPr>
                <w:sz w:val="11"/>
              </w:rPr>
            </w:pPr>
            <w:r>
              <w:rPr>
                <w:sz w:val="11"/>
              </w:rPr>
              <w:t>251</w:t>
            </w:r>
          </w:p>
          <w:p>
            <w:pPr>
              <w:pStyle w:val="TableParagraph"/>
              <w:spacing w:line="133" w:lineRule="exact"/>
              <w:ind w:left="120" w:right="120"/>
              <w:jc w:val="center"/>
              <w:rPr>
                <w:sz w:val="11"/>
              </w:rPr>
            </w:pPr>
            <w:r>
              <w:rPr>
                <w:sz w:val="11"/>
              </w:rPr>
              <w:t>288</w:t>
            </w:r>
          </w:p>
          <w:p>
            <w:pPr>
              <w:pStyle w:val="TableParagraph"/>
              <w:spacing w:line="132" w:lineRule="exact"/>
              <w:ind w:left="120" w:right="120"/>
              <w:jc w:val="center"/>
              <w:rPr>
                <w:sz w:val="11"/>
              </w:rPr>
            </w:pPr>
            <w:r>
              <w:rPr>
                <w:sz w:val="11"/>
              </w:rPr>
              <w:t>327</w:t>
            </w:r>
          </w:p>
          <w:p>
            <w:pPr>
              <w:pStyle w:val="TableParagraph"/>
              <w:spacing w:line="132" w:lineRule="exact"/>
              <w:ind w:left="120" w:right="120"/>
              <w:jc w:val="center"/>
              <w:rPr>
                <w:sz w:val="11"/>
              </w:rPr>
            </w:pPr>
            <w:r>
              <w:rPr>
                <w:sz w:val="11"/>
              </w:rPr>
              <w:t>329</w:t>
            </w:r>
          </w:p>
          <w:p>
            <w:pPr>
              <w:pStyle w:val="TableParagraph"/>
              <w:spacing w:line="132" w:lineRule="exact"/>
              <w:ind w:left="120" w:right="120"/>
              <w:jc w:val="center"/>
              <w:rPr>
                <w:sz w:val="11"/>
              </w:rPr>
            </w:pPr>
            <w:r>
              <w:rPr>
                <w:sz w:val="11"/>
              </w:rPr>
              <w:t>340</w:t>
            </w:r>
          </w:p>
          <w:p>
            <w:pPr>
              <w:pStyle w:val="TableParagraph"/>
              <w:spacing w:line="133" w:lineRule="exact"/>
              <w:ind w:left="120" w:right="120"/>
              <w:jc w:val="center"/>
              <w:rPr>
                <w:sz w:val="11"/>
              </w:rPr>
            </w:pPr>
            <w:r>
              <w:rPr>
                <w:sz w:val="11"/>
              </w:rPr>
              <w:t>349</w:t>
            </w:r>
          </w:p>
          <w:p>
            <w:pPr>
              <w:pStyle w:val="TableParagraph"/>
              <w:spacing w:before="65"/>
              <w:ind w:left="120" w:right="120"/>
              <w:jc w:val="center"/>
              <w:rPr>
                <w:sz w:val="11"/>
              </w:rPr>
            </w:pPr>
            <w:r>
              <w:rPr>
                <w:sz w:val="11"/>
              </w:rPr>
              <w:t>352</w:t>
            </w:r>
          </w:p>
          <w:p>
            <w:pPr>
              <w:pStyle w:val="TableParagraph"/>
              <w:spacing w:before="10"/>
              <w:rPr>
                <w:b/>
                <w:sz w:val="10"/>
              </w:rPr>
            </w:pPr>
          </w:p>
          <w:p>
            <w:pPr>
              <w:pStyle w:val="TableParagraph"/>
              <w:ind w:left="120" w:right="120"/>
              <w:jc w:val="center"/>
              <w:rPr>
                <w:sz w:val="11"/>
              </w:rPr>
            </w:pPr>
            <w:r>
              <w:rPr>
                <w:sz w:val="11"/>
              </w:rPr>
              <w:t>359</w:t>
            </w:r>
          </w:p>
          <w:p>
            <w:pPr>
              <w:pStyle w:val="TableParagraph"/>
              <w:spacing w:before="64"/>
              <w:ind w:left="120" w:right="120"/>
              <w:jc w:val="center"/>
              <w:rPr>
                <w:sz w:val="11"/>
              </w:rPr>
            </w:pPr>
            <w:r>
              <w:rPr>
                <w:sz w:val="11"/>
              </w:rPr>
              <w:t>364</w:t>
            </w:r>
          </w:p>
          <w:p>
            <w:pPr>
              <w:pStyle w:val="TableParagraph"/>
              <w:spacing w:line="133" w:lineRule="exact"/>
              <w:ind w:left="120" w:right="120"/>
              <w:jc w:val="center"/>
              <w:rPr>
                <w:sz w:val="11"/>
              </w:rPr>
            </w:pPr>
            <w:r>
              <w:rPr>
                <w:sz w:val="11"/>
              </w:rPr>
              <w:t>380</w:t>
            </w:r>
          </w:p>
          <w:p>
            <w:pPr>
              <w:pStyle w:val="TableParagraph"/>
              <w:spacing w:line="133" w:lineRule="exact"/>
              <w:ind w:left="120" w:right="120"/>
              <w:jc w:val="center"/>
              <w:rPr>
                <w:sz w:val="11"/>
              </w:rPr>
            </w:pPr>
            <w:r>
              <w:rPr>
                <w:sz w:val="11"/>
              </w:rPr>
              <w:t>381</w:t>
            </w:r>
          </w:p>
          <w:p>
            <w:pPr>
              <w:pStyle w:val="TableParagraph"/>
              <w:spacing w:before="65"/>
              <w:ind w:left="120" w:right="120"/>
              <w:jc w:val="center"/>
              <w:rPr>
                <w:sz w:val="11"/>
              </w:rPr>
            </w:pPr>
            <w:r>
              <w:rPr>
                <w:sz w:val="11"/>
              </w:rPr>
              <w:t>390</w:t>
            </w:r>
          </w:p>
          <w:p>
            <w:pPr>
              <w:pStyle w:val="TableParagraph"/>
              <w:spacing w:before="63"/>
              <w:ind w:left="120" w:right="120"/>
              <w:jc w:val="center"/>
              <w:rPr>
                <w:sz w:val="11"/>
              </w:rPr>
            </w:pPr>
            <w:r>
              <w:rPr>
                <w:sz w:val="11"/>
              </w:rPr>
              <w:t>39100</w:t>
            </w:r>
          </w:p>
          <w:p>
            <w:pPr>
              <w:pStyle w:val="TableParagraph"/>
              <w:ind w:left="120" w:right="120"/>
              <w:jc w:val="center"/>
              <w:rPr>
                <w:sz w:val="11"/>
              </w:rPr>
            </w:pPr>
            <w:r>
              <w:rPr>
                <w:sz w:val="11"/>
              </w:rPr>
              <w:t>39101</w:t>
            </w:r>
          </w:p>
          <w:p>
            <w:pPr>
              <w:pStyle w:val="TableParagraph"/>
              <w:spacing w:before="63"/>
              <w:ind w:left="120" w:right="120"/>
              <w:jc w:val="center"/>
              <w:rPr>
                <w:sz w:val="11"/>
              </w:rPr>
            </w:pPr>
            <w:r>
              <w:rPr>
                <w:sz w:val="11"/>
              </w:rPr>
              <w:t>39103</w:t>
            </w:r>
          </w:p>
          <w:p>
            <w:pPr>
              <w:pStyle w:val="TableParagraph"/>
              <w:spacing w:before="11"/>
              <w:rPr>
                <w:b/>
                <w:sz w:val="10"/>
              </w:rPr>
            </w:pPr>
          </w:p>
          <w:p>
            <w:pPr>
              <w:pStyle w:val="TableParagraph"/>
              <w:ind w:left="120" w:right="120"/>
              <w:jc w:val="center"/>
              <w:rPr>
                <w:sz w:val="11"/>
              </w:rPr>
            </w:pPr>
            <w:r>
              <w:rPr>
                <w:sz w:val="11"/>
              </w:rPr>
              <w:t>39104</w:t>
            </w:r>
          </w:p>
          <w:p>
            <w:pPr>
              <w:pStyle w:val="TableParagraph"/>
              <w:spacing w:before="8"/>
              <w:rPr>
                <w:b/>
                <w:sz w:val="10"/>
              </w:rPr>
            </w:pPr>
          </w:p>
          <w:p>
            <w:pPr>
              <w:pStyle w:val="TableParagraph"/>
              <w:ind w:left="120" w:right="120"/>
              <w:jc w:val="center"/>
              <w:rPr>
                <w:sz w:val="11"/>
              </w:rPr>
            </w:pPr>
            <w:r>
              <w:rPr>
                <w:sz w:val="11"/>
              </w:rPr>
              <w:t>39105</w:t>
            </w:r>
          </w:p>
          <w:p>
            <w:pPr>
              <w:pStyle w:val="TableParagraph"/>
              <w:spacing w:line="133" w:lineRule="exact" w:before="66"/>
              <w:ind w:left="120" w:right="120"/>
              <w:jc w:val="center"/>
              <w:rPr>
                <w:sz w:val="11"/>
              </w:rPr>
            </w:pPr>
            <w:r>
              <w:rPr>
                <w:sz w:val="11"/>
              </w:rPr>
              <w:t>39109</w:t>
            </w:r>
          </w:p>
          <w:p>
            <w:pPr>
              <w:pStyle w:val="TableParagraph"/>
              <w:spacing w:line="115" w:lineRule="exact"/>
              <w:ind w:left="120" w:right="120"/>
              <w:jc w:val="center"/>
              <w:rPr>
                <w:sz w:val="11"/>
              </w:rPr>
            </w:pPr>
            <w:r>
              <w:rPr>
                <w:sz w:val="11"/>
              </w:rPr>
              <w:t>399</w:t>
            </w:r>
          </w:p>
        </w:tc>
        <w:tc>
          <w:tcPr>
            <w:tcW w:w="1859" w:type="dxa"/>
            <w:vMerge w:val="restart"/>
            <w:tcBorders>
              <w:top w:val="single" w:sz="4" w:space="0" w:color="000000"/>
            </w:tcBorders>
          </w:tcPr>
          <w:p>
            <w:pPr>
              <w:pStyle w:val="TableParagraph"/>
              <w:spacing w:line="130" w:lineRule="exact"/>
              <w:ind w:left="57"/>
              <w:rPr>
                <w:sz w:val="11"/>
              </w:rPr>
            </w:pPr>
            <w:r>
              <w:rPr>
                <w:sz w:val="11"/>
              </w:rPr>
              <w:t>IRPF</w:t>
            </w:r>
          </w:p>
          <w:p>
            <w:pPr>
              <w:pStyle w:val="TableParagraph"/>
              <w:ind w:left="57" w:right="619"/>
              <w:rPr>
                <w:sz w:val="11"/>
              </w:rPr>
            </w:pPr>
            <w:r>
              <w:rPr>
                <w:sz w:val="11"/>
              </w:rPr>
              <w:t>Sucesiones y Donaciones Patrimonio</w:t>
            </w:r>
          </w:p>
          <w:p>
            <w:pPr>
              <w:pStyle w:val="TableParagraph"/>
              <w:spacing w:line="130" w:lineRule="exact"/>
              <w:ind w:left="57"/>
              <w:rPr>
                <w:sz w:val="11"/>
              </w:rPr>
            </w:pPr>
            <w:r>
              <w:rPr>
                <w:sz w:val="11"/>
              </w:rPr>
              <w:t>TPyAJD</w:t>
            </w:r>
          </w:p>
          <w:p>
            <w:pPr>
              <w:pStyle w:val="TableParagraph"/>
              <w:spacing w:line="133" w:lineRule="exact"/>
              <w:ind w:left="57"/>
              <w:rPr>
                <w:sz w:val="11"/>
              </w:rPr>
            </w:pPr>
            <w:r>
              <w:rPr>
                <w:sz w:val="11"/>
              </w:rPr>
              <w:t>Tabaco</w:t>
            </w:r>
          </w:p>
          <w:p>
            <w:pPr>
              <w:pStyle w:val="TableParagraph"/>
              <w:ind w:left="57" w:right="619"/>
              <w:rPr>
                <w:sz w:val="11"/>
              </w:rPr>
            </w:pPr>
            <w:r>
              <w:rPr>
                <w:sz w:val="11"/>
              </w:rPr>
              <w:t>Impuestos especiales Tasas sobre el juego Impuesto</w:t>
            </w:r>
            <w:r>
              <w:rPr>
                <w:spacing w:val="-8"/>
                <w:sz w:val="11"/>
              </w:rPr>
              <w:t> </w:t>
            </w:r>
            <w:r>
              <w:rPr>
                <w:sz w:val="11"/>
              </w:rPr>
              <w:t>s/activ.</w:t>
            </w:r>
            <w:r>
              <w:rPr>
                <w:spacing w:val="-8"/>
                <w:sz w:val="11"/>
              </w:rPr>
              <w:t> </w:t>
            </w:r>
            <w:r>
              <w:rPr>
                <w:sz w:val="11"/>
              </w:rPr>
              <w:t>De</w:t>
            </w:r>
            <w:r>
              <w:rPr>
                <w:spacing w:val="-8"/>
                <w:sz w:val="11"/>
              </w:rPr>
              <w:t> </w:t>
            </w:r>
            <w:r>
              <w:rPr>
                <w:sz w:val="11"/>
              </w:rPr>
              <w:t>juego Participación REF Derechos de examen Otras</w:t>
            </w:r>
            <w:r>
              <w:rPr>
                <w:spacing w:val="-1"/>
                <w:sz w:val="11"/>
              </w:rPr>
              <w:t> </w:t>
            </w:r>
            <w:r>
              <w:rPr>
                <w:sz w:val="11"/>
              </w:rPr>
              <w:t>tasas</w:t>
            </w:r>
          </w:p>
          <w:p>
            <w:pPr>
              <w:pStyle w:val="TableParagraph"/>
              <w:spacing w:line="124" w:lineRule="exact"/>
              <w:ind w:left="57"/>
              <w:rPr>
                <w:sz w:val="11"/>
              </w:rPr>
            </w:pPr>
            <w:r>
              <w:rPr>
                <w:sz w:val="11"/>
              </w:rPr>
              <w:t>Precios públicos</w:t>
            </w:r>
          </w:p>
          <w:p>
            <w:pPr>
              <w:pStyle w:val="TableParagraph"/>
              <w:spacing w:line="133" w:lineRule="exact"/>
              <w:ind w:left="57"/>
              <w:rPr>
                <w:sz w:val="11"/>
              </w:rPr>
            </w:pPr>
            <w:r>
              <w:rPr>
                <w:sz w:val="11"/>
              </w:rPr>
              <w:t>Otros precios públicos</w:t>
            </w:r>
          </w:p>
          <w:p>
            <w:pPr>
              <w:pStyle w:val="TableParagraph"/>
              <w:ind w:left="57" w:right="181"/>
              <w:rPr>
                <w:sz w:val="11"/>
              </w:rPr>
            </w:pPr>
            <w:r>
              <w:rPr>
                <w:sz w:val="11"/>
              </w:rPr>
              <w:t>Otros ingresos por prestación de servicios de la administ financiera Otros ingresos por prestación de servicios</w:t>
            </w:r>
          </w:p>
          <w:p>
            <w:pPr>
              <w:pStyle w:val="TableParagraph"/>
              <w:spacing w:line="127" w:lineRule="exact"/>
              <w:ind w:left="57"/>
              <w:rPr>
                <w:sz w:val="11"/>
              </w:rPr>
            </w:pPr>
            <w:r>
              <w:rPr>
                <w:sz w:val="11"/>
              </w:rPr>
              <w:t>Venta de productos agropecuarios</w:t>
            </w:r>
          </w:p>
          <w:p>
            <w:pPr>
              <w:pStyle w:val="TableParagraph"/>
              <w:ind w:left="57"/>
              <w:rPr>
                <w:sz w:val="11"/>
              </w:rPr>
            </w:pPr>
            <w:r>
              <w:rPr>
                <w:sz w:val="11"/>
              </w:rPr>
              <w:t>Reintegros de ejercicios cerrados Reintegros de presupuesto corriente Otros ingresos, recargos periodo ejecutivo e intereses demora</w:t>
            </w:r>
          </w:p>
          <w:p>
            <w:pPr>
              <w:pStyle w:val="TableParagraph"/>
              <w:spacing w:line="127" w:lineRule="exact"/>
              <w:ind w:left="57"/>
              <w:rPr>
                <w:i/>
                <w:sz w:val="11"/>
              </w:rPr>
            </w:pPr>
            <w:r>
              <w:rPr>
                <w:i/>
                <w:sz w:val="11"/>
              </w:rPr>
              <w:t>Otros</w:t>
            </w:r>
            <w:r>
              <w:rPr>
                <w:i/>
                <w:spacing w:val="-11"/>
                <w:sz w:val="11"/>
              </w:rPr>
              <w:t> </w:t>
            </w:r>
            <w:r>
              <w:rPr>
                <w:i/>
                <w:sz w:val="11"/>
              </w:rPr>
              <w:t>ingresos,</w:t>
            </w:r>
            <w:r>
              <w:rPr>
                <w:i/>
                <w:spacing w:val="-11"/>
                <w:sz w:val="11"/>
              </w:rPr>
              <w:t> </w:t>
            </w:r>
            <w:r>
              <w:rPr>
                <w:i/>
                <w:sz w:val="11"/>
              </w:rPr>
              <w:t>Multas</w:t>
            </w:r>
          </w:p>
          <w:p>
            <w:pPr>
              <w:pStyle w:val="TableParagraph"/>
              <w:ind w:left="57" w:right="181"/>
              <w:rPr>
                <w:i/>
                <w:sz w:val="11"/>
              </w:rPr>
            </w:pPr>
            <w:r>
              <w:rPr>
                <w:i/>
                <w:sz w:val="11"/>
              </w:rPr>
              <w:t>Otros</w:t>
            </w:r>
            <w:r>
              <w:rPr>
                <w:i/>
                <w:spacing w:val="-10"/>
                <w:sz w:val="11"/>
              </w:rPr>
              <w:t> </w:t>
            </w:r>
            <w:r>
              <w:rPr>
                <w:i/>
                <w:sz w:val="11"/>
              </w:rPr>
              <w:t>ingresos,</w:t>
            </w:r>
            <w:r>
              <w:rPr>
                <w:i/>
                <w:spacing w:val="-10"/>
                <w:sz w:val="11"/>
              </w:rPr>
              <w:t> </w:t>
            </w:r>
            <w:r>
              <w:rPr>
                <w:i/>
                <w:sz w:val="11"/>
              </w:rPr>
              <w:t>Sanciones</w:t>
            </w:r>
            <w:r>
              <w:rPr>
                <w:i/>
                <w:spacing w:val="-9"/>
                <w:sz w:val="11"/>
              </w:rPr>
              <w:t> </w:t>
            </w:r>
            <w:r>
              <w:rPr>
                <w:i/>
                <w:sz w:val="11"/>
              </w:rPr>
              <w:t>tributarias </w:t>
            </w:r>
            <w:r>
              <w:rPr>
                <w:i/>
                <w:sz w:val="11"/>
              </w:rPr>
              <w:t>Otros ingresos, Sanciones por infracciones</w:t>
            </w:r>
            <w:r>
              <w:rPr>
                <w:i/>
                <w:spacing w:val="-1"/>
                <w:sz w:val="11"/>
              </w:rPr>
              <w:t> </w:t>
            </w:r>
            <w:r>
              <w:rPr>
                <w:i/>
                <w:sz w:val="11"/>
              </w:rPr>
              <w:t>pesqueras</w:t>
            </w:r>
          </w:p>
          <w:p>
            <w:pPr>
              <w:pStyle w:val="TableParagraph"/>
              <w:spacing w:line="237" w:lineRule="auto"/>
              <w:ind w:left="57" w:right="284"/>
              <w:rPr>
                <w:i/>
                <w:sz w:val="11"/>
              </w:rPr>
            </w:pPr>
            <w:r>
              <w:rPr>
                <w:i/>
                <w:sz w:val="11"/>
              </w:rPr>
              <w:t>Otros ingresos, Sanción Ley Prev. </w:t>
            </w:r>
            <w:r>
              <w:rPr>
                <w:i/>
                <w:sz w:val="11"/>
              </w:rPr>
              <w:t>Riesgos labor. Y legisl laboral Otros ingresos, Sanciones por infracciones turísticas</w:t>
            </w:r>
          </w:p>
          <w:p>
            <w:pPr>
              <w:pStyle w:val="TableParagraph"/>
              <w:spacing w:line="132" w:lineRule="exact"/>
              <w:ind w:left="57"/>
              <w:rPr>
                <w:i/>
                <w:sz w:val="11"/>
              </w:rPr>
            </w:pPr>
            <w:r>
              <w:rPr>
                <w:i/>
                <w:sz w:val="11"/>
              </w:rPr>
              <w:t>Otros ingresos, Otras sanciones</w:t>
            </w:r>
          </w:p>
          <w:p>
            <w:pPr>
              <w:pStyle w:val="TableParagraph"/>
              <w:spacing w:line="115" w:lineRule="exact"/>
              <w:ind w:left="57"/>
              <w:rPr>
                <w:sz w:val="11"/>
              </w:rPr>
            </w:pPr>
            <w:r>
              <w:rPr>
                <w:sz w:val="11"/>
              </w:rPr>
              <w:t>Otros ingresos, ingresos diversos</w:t>
            </w:r>
          </w:p>
        </w:tc>
        <w:tc>
          <w:tcPr>
            <w:tcW w:w="660" w:type="dxa"/>
            <w:tcBorders>
              <w:top w:val="single" w:sz="4" w:space="0" w:color="000000"/>
            </w:tcBorders>
            <w:shd w:val="clear" w:color="auto" w:fill="E1EED9"/>
          </w:tcPr>
          <w:p>
            <w:pPr>
              <w:pStyle w:val="TableParagraph"/>
              <w:rPr>
                <w:rFonts w:ascii="Times New Roman"/>
                <w:sz w:val="8"/>
              </w:rPr>
            </w:pPr>
          </w:p>
        </w:tc>
        <w:tc>
          <w:tcPr>
            <w:tcW w:w="772" w:type="dxa"/>
            <w:tcBorders>
              <w:top w:val="single" w:sz="4" w:space="0" w:color="000000"/>
            </w:tcBorders>
            <w:shd w:val="clear" w:color="auto" w:fill="FBE3D5"/>
          </w:tcPr>
          <w:p>
            <w:pPr>
              <w:pStyle w:val="TableParagraph"/>
              <w:spacing w:line="121" w:lineRule="exact"/>
              <w:ind w:right="52"/>
              <w:jc w:val="right"/>
              <w:rPr>
                <w:sz w:val="11"/>
              </w:rPr>
            </w:pPr>
            <w:r>
              <w:rPr>
                <w:w w:val="95"/>
                <w:sz w:val="11"/>
              </w:rPr>
              <w:t>0,00</w:t>
            </w:r>
          </w:p>
        </w:tc>
        <w:tc>
          <w:tcPr>
            <w:tcW w:w="814" w:type="dxa"/>
            <w:tcBorders>
              <w:top w:val="single" w:sz="4" w:space="0" w:color="000000"/>
            </w:tcBorders>
            <w:shd w:val="clear" w:color="auto" w:fill="FBE3D5"/>
          </w:tcPr>
          <w:p>
            <w:pPr>
              <w:pStyle w:val="TableParagraph"/>
              <w:spacing w:line="121" w:lineRule="exact"/>
              <w:ind w:right="49"/>
              <w:jc w:val="right"/>
              <w:rPr>
                <w:sz w:val="11"/>
              </w:rPr>
            </w:pPr>
            <w:r>
              <w:rPr>
                <w:w w:val="95"/>
                <w:sz w:val="11"/>
              </w:rPr>
              <w:t>0,00</w:t>
            </w:r>
          </w:p>
        </w:tc>
        <w:tc>
          <w:tcPr>
            <w:tcW w:w="741" w:type="dxa"/>
            <w:tcBorders>
              <w:top w:val="single" w:sz="4" w:space="0" w:color="000000"/>
            </w:tcBorders>
            <w:shd w:val="clear" w:color="auto" w:fill="E1EEDA"/>
          </w:tcPr>
          <w:p>
            <w:pPr>
              <w:pStyle w:val="TableParagraph"/>
              <w:rPr>
                <w:rFonts w:ascii="Times New Roman"/>
                <w:sz w:val="8"/>
              </w:rPr>
            </w:pPr>
          </w:p>
        </w:tc>
        <w:tc>
          <w:tcPr>
            <w:tcW w:w="797" w:type="dxa"/>
            <w:tcBorders>
              <w:top w:val="single" w:sz="4" w:space="0" w:color="000000"/>
            </w:tcBorders>
            <w:shd w:val="clear" w:color="auto" w:fill="E1EEDA"/>
          </w:tcPr>
          <w:p>
            <w:pPr>
              <w:pStyle w:val="TableParagraph"/>
              <w:rPr>
                <w:rFonts w:ascii="Times New Roman"/>
                <w:sz w:val="8"/>
              </w:rPr>
            </w:pPr>
          </w:p>
        </w:tc>
        <w:tc>
          <w:tcPr>
            <w:tcW w:w="838" w:type="dxa"/>
            <w:tcBorders>
              <w:top w:val="single" w:sz="4" w:space="0" w:color="000000"/>
            </w:tcBorders>
            <w:shd w:val="clear" w:color="auto" w:fill="FAE3D4"/>
          </w:tcPr>
          <w:p>
            <w:pPr>
              <w:pStyle w:val="TableParagraph"/>
              <w:spacing w:line="121" w:lineRule="exact"/>
              <w:ind w:right="48"/>
              <w:jc w:val="right"/>
              <w:rPr>
                <w:sz w:val="11"/>
              </w:rPr>
            </w:pPr>
            <w:r>
              <w:rPr>
                <w:w w:val="95"/>
                <w:sz w:val="11"/>
              </w:rPr>
              <w:t>0,00</w:t>
            </w:r>
          </w:p>
        </w:tc>
        <w:tc>
          <w:tcPr>
            <w:tcW w:w="744" w:type="dxa"/>
            <w:tcBorders>
              <w:top w:val="single" w:sz="4" w:space="0" w:color="000000"/>
            </w:tcBorders>
            <w:shd w:val="clear" w:color="auto" w:fill="FAE3D4"/>
          </w:tcPr>
          <w:p>
            <w:pPr>
              <w:pStyle w:val="TableParagraph"/>
              <w:spacing w:line="121" w:lineRule="exact"/>
              <w:ind w:right="44"/>
              <w:jc w:val="right"/>
              <w:rPr>
                <w:sz w:val="11"/>
              </w:rPr>
            </w:pPr>
            <w:r>
              <w:rPr>
                <w:w w:val="95"/>
                <w:sz w:val="11"/>
              </w:rPr>
              <w:t>0,00</w:t>
            </w:r>
          </w:p>
        </w:tc>
        <w:tc>
          <w:tcPr>
            <w:tcW w:w="800" w:type="dxa"/>
            <w:tcBorders>
              <w:top w:val="single" w:sz="4" w:space="0" w:color="000000"/>
            </w:tcBorders>
            <w:shd w:val="clear" w:color="auto" w:fill="E1EEDA"/>
          </w:tcPr>
          <w:p>
            <w:pPr>
              <w:pStyle w:val="TableParagraph"/>
              <w:rPr>
                <w:rFonts w:ascii="Times New Roman"/>
                <w:sz w:val="8"/>
              </w:rPr>
            </w:pPr>
          </w:p>
        </w:tc>
        <w:tc>
          <w:tcPr>
            <w:tcW w:w="746" w:type="dxa"/>
            <w:tcBorders>
              <w:top w:val="single" w:sz="4" w:space="0" w:color="000000"/>
            </w:tcBorders>
            <w:shd w:val="clear" w:color="auto" w:fill="E1EEDA"/>
          </w:tcPr>
          <w:p>
            <w:pPr>
              <w:pStyle w:val="TableParagraph"/>
              <w:rPr>
                <w:rFonts w:ascii="Times New Roman"/>
                <w:sz w:val="8"/>
              </w:rPr>
            </w:pPr>
          </w:p>
        </w:tc>
        <w:tc>
          <w:tcPr>
            <w:tcW w:w="744" w:type="dxa"/>
            <w:tcBorders>
              <w:top w:val="single" w:sz="4" w:space="0" w:color="000000"/>
            </w:tcBorders>
          </w:tcPr>
          <w:p>
            <w:pPr>
              <w:pStyle w:val="TableParagraph"/>
              <w:spacing w:line="121" w:lineRule="exact"/>
              <w:ind w:right="39"/>
              <w:jc w:val="right"/>
              <w:rPr>
                <w:sz w:val="11"/>
              </w:rPr>
            </w:pPr>
            <w:r>
              <w:rPr>
                <w:w w:val="95"/>
                <w:sz w:val="11"/>
              </w:rPr>
              <w:t>0,00</w:t>
            </w:r>
          </w:p>
        </w:tc>
        <w:tc>
          <w:tcPr>
            <w:tcW w:w="707" w:type="dxa"/>
            <w:tcBorders>
              <w:top w:val="single" w:sz="4" w:space="0" w:color="000000"/>
            </w:tcBorders>
          </w:tcPr>
          <w:p>
            <w:pPr>
              <w:pStyle w:val="TableParagraph"/>
              <w:spacing w:line="121" w:lineRule="exact"/>
              <w:ind w:right="38"/>
              <w:jc w:val="right"/>
              <w:rPr>
                <w:sz w:val="11"/>
              </w:rPr>
            </w:pPr>
            <w:r>
              <w:rPr>
                <w:w w:val="95"/>
                <w:sz w:val="11"/>
              </w:rPr>
              <w:t>0,00</w:t>
            </w:r>
          </w:p>
        </w:tc>
        <w:tc>
          <w:tcPr>
            <w:tcW w:w="742" w:type="dxa"/>
            <w:tcBorders>
              <w:top w:val="single" w:sz="4" w:space="0" w:color="000000"/>
            </w:tcBorders>
          </w:tcPr>
          <w:p>
            <w:pPr>
              <w:pStyle w:val="TableParagraph"/>
              <w:spacing w:line="121" w:lineRule="exact"/>
              <w:ind w:right="38"/>
              <w:jc w:val="right"/>
              <w:rPr>
                <w:sz w:val="11"/>
              </w:rPr>
            </w:pPr>
            <w:r>
              <w:rPr>
                <w:w w:val="95"/>
                <w:sz w:val="11"/>
              </w:rPr>
              <w:t>0,00</w:t>
            </w:r>
          </w:p>
        </w:tc>
        <w:tc>
          <w:tcPr>
            <w:tcW w:w="740" w:type="dxa"/>
            <w:tcBorders>
              <w:top w:val="single" w:sz="4" w:space="0" w:color="000000"/>
              <w:right w:val="single" w:sz="4" w:space="0" w:color="000000"/>
            </w:tcBorders>
          </w:tcPr>
          <w:p>
            <w:pPr>
              <w:pStyle w:val="TableParagraph"/>
              <w:spacing w:line="121" w:lineRule="exact"/>
              <w:ind w:right="31"/>
              <w:jc w:val="right"/>
              <w:rPr>
                <w:sz w:val="11"/>
              </w:rPr>
            </w:pPr>
            <w:r>
              <w:rPr>
                <w:w w:val="95"/>
                <w:sz w:val="11"/>
              </w:rPr>
              <w:t>0,00</w:t>
            </w:r>
          </w:p>
        </w:tc>
      </w:tr>
      <w:tr>
        <w:trPr>
          <w:trHeight w:val="132"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2" w:lineRule="exact"/>
              <w:ind w:left="141"/>
              <w:rPr>
                <w:sz w:val="11"/>
              </w:rPr>
            </w:pPr>
            <w:r>
              <w:rPr>
                <w:sz w:val="11"/>
              </w:rPr>
              <w:t>5.437.629,04</w:t>
            </w:r>
          </w:p>
        </w:tc>
        <w:tc>
          <w:tcPr>
            <w:tcW w:w="814" w:type="dxa"/>
            <w:shd w:val="clear" w:color="auto" w:fill="FBE3D5"/>
          </w:tcPr>
          <w:p>
            <w:pPr>
              <w:pStyle w:val="TableParagraph"/>
              <w:spacing w:line="112" w:lineRule="exact"/>
              <w:ind w:right="49"/>
              <w:jc w:val="right"/>
              <w:rPr>
                <w:sz w:val="11"/>
              </w:rPr>
            </w:pPr>
            <w:r>
              <w:rPr>
                <w:sz w:val="11"/>
              </w:rPr>
              <w:t>32.792.869,61</w:t>
            </w:r>
          </w:p>
        </w:tc>
        <w:tc>
          <w:tcPr>
            <w:tcW w:w="741" w:type="dxa"/>
            <w:shd w:val="clear" w:color="auto" w:fill="E1EEDA"/>
          </w:tcPr>
          <w:p>
            <w:pPr>
              <w:pStyle w:val="TableParagraph"/>
              <w:rPr>
                <w:rFonts w:ascii="Times New Roman"/>
                <w:sz w:val="8"/>
              </w:rPr>
            </w:pPr>
          </w:p>
        </w:tc>
        <w:tc>
          <w:tcPr>
            <w:tcW w:w="797" w:type="dxa"/>
            <w:shd w:val="clear" w:color="auto" w:fill="E1EEDA"/>
          </w:tcPr>
          <w:p>
            <w:pPr>
              <w:pStyle w:val="TableParagraph"/>
              <w:rPr>
                <w:rFonts w:ascii="Times New Roman"/>
                <w:sz w:val="8"/>
              </w:rPr>
            </w:pPr>
          </w:p>
        </w:tc>
        <w:tc>
          <w:tcPr>
            <w:tcW w:w="838" w:type="dxa"/>
            <w:shd w:val="clear" w:color="auto" w:fill="FAE3D4"/>
          </w:tcPr>
          <w:p>
            <w:pPr>
              <w:pStyle w:val="TableParagraph"/>
              <w:spacing w:line="112" w:lineRule="exact"/>
              <w:ind w:right="49"/>
              <w:jc w:val="right"/>
              <w:rPr>
                <w:sz w:val="11"/>
              </w:rPr>
            </w:pPr>
            <w:r>
              <w:rPr>
                <w:sz w:val="11"/>
              </w:rPr>
              <w:t>15.732.586,73</w:t>
            </w:r>
          </w:p>
        </w:tc>
        <w:tc>
          <w:tcPr>
            <w:tcW w:w="744" w:type="dxa"/>
            <w:shd w:val="clear" w:color="auto" w:fill="FAE3D4"/>
          </w:tcPr>
          <w:p>
            <w:pPr>
              <w:pStyle w:val="TableParagraph"/>
              <w:spacing w:line="112" w:lineRule="exact"/>
              <w:ind w:right="45"/>
              <w:jc w:val="right"/>
              <w:rPr>
                <w:sz w:val="11"/>
              </w:rPr>
            </w:pPr>
            <w:r>
              <w:rPr>
                <w:sz w:val="11"/>
              </w:rPr>
              <w:t>22.497.911,92</w:t>
            </w:r>
          </w:p>
        </w:tc>
        <w:tc>
          <w:tcPr>
            <w:tcW w:w="800" w:type="dxa"/>
            <w:shd w:val="clear" w:color="auto" w:fill="E1EEDA"/>
          </w:tcPr>
          <w:p>
            <w:pPr>
              <w:pStyle w:val="TableParagraph"/>
              <w:rPr>
                <w:rFonts w:ascii="Times New Roman"/>
                <w:sz w:val="8"/>
              </w:rPr>
            </w:pPr>
          </w:p>
        </w:tc>
        <w:tc>
          <w:tcPr>
            <w:tcW w:w="746" w:type="dxa"/>
            <w:shd w:val="clear" w:color="auto" w:fill="E1EEDA"/>
          </w:tcPr>
          <w:p>
            <w:pPr>
              <w:pStyle w:val="TableParagraph"/>
              <w:rPr>
                <w:rFonts w:ascii="Times New Roman"/>
                <w:sz w:val="8"/>
              </w:rPr>
            </w:pPr>
          </w:p>
        </w:tc>
        <w:tc>
          <w:tcPr>
            <w:tcW w:w="744" w:type="dxa"/>
          </w:tcPr>
          <w:p>
            <w:pPr>
              <w:pStyle w:val="TableParagraph"/>
              <w:spacing w:line="112" w:lineRule="exact"/>
              <w:ind w:right="40"/>
              <w:jc w:val="right"/>
              <w:rPr>
                <w:sz w:val="11"/>
              </w:rPr>
            </w:pPr>
            <w:r>
              <w:rPr>
                <w:sz w:val="11"/>
              </w:rPr>
              <w:t>178.575,11</w:t>
            </w:r>
          </w:p>
        </w:tc>
        <w:tc>
          <w:tcPr>
            <w:tcW w:w="707" w:type="dxa"/>
          </w:tcPr>
          <w:p>
            <w:pPr>
              <w:pStyle w:val="TableParagraph"/>
              <w:spacing w:line="112" w:lineRule="exact"/>
              <w:ind w:right="38"/>
              <w:jc w:val="right"/>
              <w:rPr>
                <w:sz w:val="11"/>
              </w:rPr>
            </w:pPr>
            <w:r>
              <w:rPr>
                <w:sz w:val="11"/>
              </w:rPr>
              <w:t>5.259.053,93</w:t>
            </w:r>
          </w:p>
        </w:tc>
        <w:tc>
          <w:tcPr>
            <w:tcW w:w="742" w:type="dxa"/>
          </w:tcPr>
          <w:p>
            <w:pPr>
              <w:pStyle w:val="TableParagraph"/>
              <w:spacing w:line="112" w:lineRule="exact"/>
              <w:ind w:right="39"/>
              <w:jc w:val="right"/>
              <w:rPr>
                <w:sz w:val="11"/>
              </w:rPr>
            </w:pPr>
            <w:r>
              <w:rPr>
                <w:sz w:val="11"/>
              </w:rPr>
              <w:t>15.554.011,62</w:t>
            </w:r>
          </w:p>
        </w:tc>
        <w:tc>
          <w:tcPr>
            <w:tcW w:w="740" w:type="dxa"/>
            <w:tcBorders>
              <w:right w:val="single" w:sz="4" w:space="0" w:color="000000"/>
            </w:tcBorders>
          </w:tcPr>
          <w:p>
            <w:pPr>
              <w:pStyle w:val="TableParagraph"/>
              <w:spacing w:line="112" w:lineRule="exact"/>
              <w:ind w:right="32"/>
              <w:jc w:val="right"/>
              <w:rPr>
                <w:sz w:val="11"/>
              </w:rPr>
            </w:pPr>
            <w:r>
              <w:rPr>
                <w:sz w:val="11"/>
              </w:rPr>
              <w:t>17.238.857,99</w:t>
            </w:r>
          </w:p>
        </w:tc>
      </w:tr>
      <w:tr>
        <w:trPr>
          <w:trHeight w:val="132"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2" w:lineRule="exact"/>
              <w:ind w:right="52"/>
              <w:jc w:val="right"/>
              <w:rPr>
                <w:sz w:val="11"/>
              </w:rPr>
            </w:pPr>
            <w:r>
              <w:rPr>
                <w:sz w:val="11"/>
              </w:rPr>
              <w:t>490.433,47</w:t>
            </w:r>
          </w:p>
        </w:tc>
        <w:tc>
          <w:tcPr>
            <w:tcW w:w="814" w:type="dxa"/>
            <w:shd w:val="clear" w:color="auto" w:fill="FBE3D5"/>
          </w:tcPr>
          <w:p>
            <w:pPr>
              <w:pStyle w:val="TableParagraph"/>
              <w:spacing w:line="112" w:lineRule="exact"/>
              <w:ind w:right="49"/>
              <w:jc w:val="right"/>
              <w:rPr>
                <w:sz w:val="11"/>
              </w:rPr>
            </w:pPr>
            <w:r>
              <w:rPr>
                <w:sz w:val="11"/>
              </w:rPr>
              <w:t>982.815,83</w:t>
            </w:r>
          </w:p>
        </w:tc>
        <w:tc>
          <w:tcPr>
            <w:tcW w:w="741" w:type="dxa"/>
            <w:shd w:val="clear" w:color="auto" w:fill="E1EEDA"/>
          </w:tcPr>
          <w:p>
            <w:pPr>
              <w:pStyle w:val="TableParagraph"/>
              <w:spacing w:line="112" w:lineRule="exact"/>
              <w:ind w:left="89" w:right="26"/>
              <w:jc w:val="center"/>
              <w:rPr>
                <w:sz w:val="11"/>
              </w:rPr>
            </w:pPr>
            <w:r>
              <w:rPr>
                <w:sz w:val="11"/>
              </w:rPr>
              <w:t>5.928.062,51</w:t>
            </w:r>
          </w:p>
        </w:tc>
        <w:tc>
          <w:tcPr>
            <w:tcW w:w="797" w:type="dxa"/>
            <w:shd w:val="clear" w:color="auto" w:fill="E1EEDA"/>
          </w:tcPr>
          <w:p>
            <w:pPr>
              <w:pStyle w:val="TableParagraph"/>
              <w:spacing w:line="112" w:lineRule="exact"/>
              <w:ind w:right="48"/>
              <w:jc w:val="right"/>
              <w:rPr>
                <w:sz w:val="11"/>
              </w:rPr>
            </w:pPr>
            <w:r>
              <w:rPr>
                <w:sz w:val="11"/>
              </w:rPr>
              <w:t>33.775.685,44</w:t>
            </w:r>
          </w:p>
        </w:tc>
        <w:tc>
          <w:tcPr>
            <w:tcW w:w="838" w:type="dxa"/>
            <w:shd w:val="clear" w:color="auto" w:fill="FAE3D4"/>
          </w:tcPr>
          <w:p>
            <w:pPr>
              <w:pStyle w:val="TableParagraph"/>
              <w:spacing w:line="112" w:lineRule="exact"/>
              <w:ind w:right="48"/>
              <w:jc w:val="right"/>
              <w:rPr>
                <w:sz w:val="11"/>
              </w:rPr>
            </w:pPr>
            <w:r>
              <w:rPr>
                <w:sz w:val="11"/>
              </w:rPr>
              <w:t>774.690,79</w:t>
            </w:r>
          </w:p>
        </w:tc>
        <w:tc>
          <w:tcPr>
            <w:tcW w:w="744" w:type="dxa"/>
            <w:shd w:val="clear" w:color="auto" w:fill="FAE3D4"/>
          </w:tcPr>
          <w:p>
            <w:pPr>
              <w:pStyle w:val="TableParagraph"/>
              <w:spacing w:line="112" w:lineRule="exact"/>
              <w:ind w:right="45"/>
              <w:jc w:val="right"/>
              <w:rPr>
                <w:sz w:val="11"/>
              </w:rPr>
            </w:pPr>
            <w:r>
              <w:rPr>
                <w:sz w:val="11"/>
              </w:rPr>
              <w:t>698.558,51</w:t>
            </w:r>
          </w:p>
        </w:tc>
        <w:tc>
          <w:tcPr>
            <w:tcW w:w="800" w:type="dxa"/>
            <w:shd w:val="clear" w:color="auto" w:fill="E1EEDA"/>
          </w:tcPr>
          <w:p>
            <w:pPr>
              <w:pStyle w:val="TableParagraph"/>
              <w:spacing w:line="112" w:lineRule="exact"/>
              <w:ind w:left="96" w:right="20"/>
              <w:jc w:val="center"/>
              <w:rPr>
                <w:sz w:val="11"/>
              </w:rPr>
            </w:pPr>
            <w:r>
              <w:rPr>
                <w:sz w:val="11"/>
              </w:rPr>
              <w:t>16.507.277,52</w:t>
            </w:r>
          </w:p>
        </w:tc>
        <w:tc>
          <w:tcPr>
            <w:tcW w:w="746" w:type="dxa"/>
            <w:shd w:val="clear" w:color="auto" w:fill="E1EEDA"/>
          </w:tcPr>
          <w:p>
            <w:pPr>
              <w:pStyle w:val="TableParagraph"/>
              <w:spacing w:line="112" w:lineRule="exact"/>
              <w:ind w:left="39" w:right="18"/>
              <w:jc w:val="center"/>
              <w:rPr>
                <w:sz w:val="11"/>
              </w:rPr>
            </w:pPr>
            <w:r>
              <w:rPr>
                <w:sz w:val="11"/>
              </w:rPr>
              <w:t>23.196.470,43</w:t>
            </w:r>
          </w:p>
        </w:tc>
        <w:tc>
          <w:tcPr>
            <w:tcW w:w="744" w:type="dxa"/>
          </w:tcPr>
          <w:p>
            <w:pPr>
              <w:pStyle w:val="TableParagraph"/>
              <w:spacing w:line="112" w:lineRule="exact"/>
              <w:ind w:right="40"/>
              <w:jc w:val="right"/>
              <w:rPr>
                <w:sz w:val="11"/>
              </w:rPr>
            </w:pPr>
            <w:r>
              <w:rPr>
                <w:sz w:val="11"/>
              </w:rPr>
              <w:t>105.035,95</w:t>
            </w:r>
          </w:p>
        </w:tc>
        <w:tc>
          <w:tcPr>
            <w:tcW w:w="707" w:type="dxa"/>
          </w:tcPr>
          <w:p>
            <w:pPr>
              <w:pStyle w:val="TableParagraph"/>
              <w:spacing w:line="112" w:lineRule="exact"/>
              <w:ind w:right="38"/>
              <w:jc w:val="right"/>
              <w:rPr>
                <w:sz w:val="11"/>
              </w:rPr>
            </w:pPr>
            <w:r>
              <w:rPr>
                <w:sz w:val="11"/>
              </w:rPr>
              <w:t>385.397,52</w:t>
            </w:r>
          </w:p>
        </w:tc>
        <w:tc>
          <w:tcPr>
            <w:tcW w:w="742" w:type="dxa"/>
          </w:tcPr>
          <w:p>
            <w:pPr>
              <w:pStyle w:val="TableParagraph"/>
              <w:spacing w:line="112" w:lineRule="exact"/>
              <w:ind w:right="38"/>
              <w:jc w:val="right"/>
              <w:rPr>
                <w:sz w:val="11"/>
              </w:rPr>
            </w:pPr>
            <w:r>
              <w:rPr>
                <w:sz w:val="11"/>
              </w:rPr>
              <w:t>669.654,84</w:t>
            </w:r>
          </w:p>
        </w:tc>
        <w:tc>
          <w:tcPr>
            <w:tcW w:w="740" w:type="dxa"/>
            <w:tcBorders>
              <w:right w:val="single" w:sz="4" w:space="0" w:color="000000"/>
            </w:tcBorders>
          </w:tcPr>
          <w:p>
            <w:pPr>
              <w:pStyle w:val="TableParagraph"/>
              <w:spacing w:line="112" w:lineRule="exact"/>
              <w:ind w:right="33"/>
              <w:jc w:val="right"/>
              <w:rPr>
                <w:sz w:val="11"/>
              </w:rPr>
            </w:pPr>
            <w:r>
              <w:rPr>
                <w:sz w:val="11"/>
              </w:rPr>
              <w:t>313.160,99</w:t>
            </w:r>
          </w:p>
        </w:tc>
      </w:tr>
      <w:tr>
        <w:trPr>
          <w:trHeight w:val="133"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3" w:lineRule="exact"/>
              <w:ind w:left="141"/>
              <w:rPr>
                <w:sz w:val="11"/>
              </w:rPr>
            </w:pPr>
            <w:r>
              <w:rPr>
                <w:sz w:val="11"/>
              </w:rPr>
              <w:t>8.190.498,92</w:t>
            </w:r>
          </w:p>
        </w:tc>
        <w:tc>
          <w:tcPr>
            <w:tcW w:w="814" w:type="dxa"/>
            <w:shd w:val="clear" w:color="auto" w:fill="FBE3D5"/>
          </w:tcPr>
          <w:p>
            <w:pPr>
              <w:pStyle w:val="TableParagraph"/>
              <w:spacing w:line="113" w:lineRule="exact"/>
              <w:ind w:right="49"/>
              <w:jc w:val="right"/>
              <w:rPr>
                <w:sz w:val="11"/>
              </w:rPr>
            </w:pPr>
            <w:r>
              <w:rPr>
                <w:sz w:val="11"/>
              </w:rPr>
              <w:t>66.770.134,22</w:t>
            </w:r>
          </w:p>
        </w:tc>
        <w:tc>
          <w:tcPr>
            <w:tcW w:w="741" w:type="dxa"/>
            <w:shd w:val="clear" w:color="auto" w:fill="E1EEDA"/>
          </w:tcPr>
          <w:p>
            <w:pPr>
              <w:pStyle w:val="TableParagraph"/>
              <w:rPr>
                <w:rFonts w:ascii="Times New Roman"/>
                <w:sz w:val="8"/>
              </w:rPr>
            </w:pPr>
          </w:p>
        </w:tc>
        <w:tc>
          <w:tcPr>
            <w:tcW w:w="797" w:type="dxa"/>
            <w:shd w:val="clear" w:color="auto" w:fill="E1EEDA"/>
          </w:tcPr>
          <w:p>
            <w:pPr>
              <w:pStyle w:val="TableParagraph"/>
              <w:rPr>
                <w:rFonts w:ascii="Times New Roman"/>
                <w:sz w:val="8"/>
              </w:rPr>
            </w:pPr>
          </w:p>
        </w:tc>
        <w:tc>
          <w:tcPr>
            <w:tcW w:w="838" w:type="dxa"/>
            <w:shd w:val="clear" w:color="auto" w:fill="FAE3D4"/>
          </w:tcPr>
          <w:p>
            <w:pPr>
              <w:pStyle w:val="TableParagraph"/>
              <w:spacing w:line="113" w:lineRule="exact"/>
              <w:ind w:right="49"/>
              <w:jc w:val="right"/>
              <w:rPr>
                <w:sz w:val="11"/>
              </w:rPr>
            </w:pPr>
            <w:r>
              <w:rPr>
                <w:sz w:val="11"/>
              </w:rPr>
              <w:t>61.189.605,34</w:t>
            </w:r>
          </w:p>
        </w:tc>
        <w:tc>
          <w:tcPr>
            <w:tcW w:w="744" w:type="dxa"/>
            <w:shd w:val="clear" w:color="auto" w:fill="FAE3D4"/>
          </w:tcPr>
          <w:p>
            <w:pPr>
              <w:pStyle w:val="TableParagraph"/>
              <w:spacing w:line="113" w:lineRule="exact"/>
              <w:ind w:right="45"/>
              <w:jc w:val="right"/>
              <w:rPr>
                <w:sz w:val="11"/>
              </w:rPr>
            </w:pPr>
            <w:r>
              <w:rPr>
                <w:sz w:val="11"/>
              </w:rPr>
              <w:t>13.771.027,80</w:t>
            </w:r>
          </w:p>
        </w:tc>
        <w:tc>
          <w:tcPr>
            <w:tcW w:w="800" w:type="dxa"/>
            <w:shd w:val="clear" w:color="auto" w:fill="E1EEDA"/>
          </w:tcPr>
          <w:p>
            <w:pPr>
              <w:pStyle w:val="TableParagraph"/>
              <w:rPr>
                <w:rFonts w:ascii="Times New Roman"/>
                <w:sz w:val="8"/>
              </w:rPr>
            </w:pPr>
          </w:p>
        </w:tc>
        <w:tc>
          <w:tcPr>
            <w:tcW w:w="746" w:type="dxa"/>
            <w:shd w:val="clear" w:color="auto" w:fill="E1EEDA"/>
          </w:tcPr>
          <w:p>
            <w:pPr>
              <w:pStyle w:val="TableParagraph"/>
              <w:rPr>
                <w:rFonts w:ascii="Times New Roman"/>
                <w:sz w:val="8"/>
              </w:rPr>
            </w:pPr>
          </w:p>
        </w:tc>
        <w:tc>
          <w:tcPr>
            <w:tcW w:w="744" w:type="dxa"/>
          </w:tcPr>
          <w:p>
            <w:pPr>
              <w:pStyle w:val="TableParagraph"/>
              <w:spacing w:line="113" w:lineRule="exact"/>
              <w:ind w:right="40"/>
              <w:jc w:val="right"/>
              <w:rPr>
                <w:sz w:val="11"/>
              </w:rPr>
            </w:pPr>
            <w:r>
              <w:rPr>
                <w:sz w:val="11"/>
              </w:rPr>
              <w:t>1.770.545,56</w:t>
            </w:r>
          </w:p>
        </w:tc>
        <w:tc>
          <w:tcPr>
            <w:tcW w:w="707" w:type="dxa"/>
          </w:tcPr>
          <w:p>
            <w:pPr>
              <w:pStyle w:val="TableParagraph"/>
              <w:spacing w:line="113" w:lineRule="exact"/>
              <w:ind w:right="38"/>
              <w:jc w:val="right"/>
              <w:rPr>
                <w:sz w:val="11"/>
              </w:rPr>
            </w:pPr>
            <w:r>
              <w:rPr>
                <w:sz w:val="11"/>
              </w:rPr>
              <w:t>6.419.953,36</w:t>
            </w:r>
          </w:p>
        </w:tc>
        <w:tc>
          <w:tcPr>
            <w:tcW w:w="742" w:type="dxa"/>
          </w:tcPr>
          <w:p>
            <w:pPr>
              <w:pStyle w:val="TableParagraph"/>
              <w:spacing w:line="113" w:lineRule="exact"/>
              <w:ind w:right="39"/>
              <w:jc w:val="right"/>
              <w:rPr>
                <w:sz w:val="11"/>
              </w:rPr>
            </w:pPr>
            <w:r>
              <w:rPr>
                <w:sz w:val="11"/>
              </w:rPr>
              <w:t>59.419.059,78</w:t>
            </w:r>
          </w:p>
        </w:tc>
        <w:tc>
          <w:tcPr>
            <w:tcW w:w="740" w:type="dxa"/>
            <w:tcBorders>
              <w:right w:val="single" w:sz="4" w:space="0" w:color="000000"/>
            </w:tcBorders>
          </w:tcPr>
          <w:p>
            <w:pPr>
              <w:pStyle w:val="TableParagraph"/>
              <w:spacing w:line="113" w:lineRule="exact"/>
              <w:ind w:right="31"/>
              <w:jc w:val="right"/>
              <w:rPr>
                <w:sz w:val="11"/>
              </w:rPr>
            </w:pPr>
            <w:r>
              <w:rPr>
                <w:sz w:val="11"/>
              </w:rPr>
              <w:t>7.351.074,44</w:t>
            </w:r>
          </w:p>
        </w:tc>
      </w:tr>
      <w:tr>
        <w:trPr>
          <w:trHeight w:val="133"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3" w:lineRule="exact"/>
              <w:ind w:right="52"/>
              <w:jc w:val="right"/>
              <w:rPr>
                <w:sz w:val="11"/>
              </w:rPr>
            </w:pPr>
            <w:r>
              <w:rPr>
                <w:w w:val="95"/>
                <w:sz w:val="11"/>
              </w:rPr>
              <w:t>0,00</w:t>
            </w:r>
          </w:p>
        </w:tc>
        <w:tc>
          <w:tcPr>
            <w:tcW w:w="814" w:type="dxa"/>
            <w:shd w:val="clear" w:color="auto" w:fill="FBE3D5"/>
          </w:tcPr>
          <w:p>
            <w:pPr>
              <w:pStyle w:val="TableParagraph"/>
              <w:spacing w:line="113" w:lineRule="exact"/>
              <w:ind w:right="49"/>
              <w:jc w:val="right"/>
              <w:rPr>
                <w:sz w:val="11"/>
              </w:rPr>
            </w:pPr>
            <w:r>
              <w:rPr>
                <w:w w:val="95"/>
                <w:sz w:val="11"/>
              </w:rPr>
              <w:t>0,00</w:t>
            </w:r>
          </w:p>
        </w:tc>
        <w:tc>
          <w:tcPr>
            <w:tcW w:w="741" w:type="dxa"/>
            <w:shd w:val="clear" w:color="auto" w:fill="E1EEDA"/>
          </w:tcPr>
          <w:p>
            <w:pPr>
              <w:pStyle w:val="TableParagraph"/>
              <w:rPr>
                <w:rFonts w:ascii="Times New Roman"/>
                <w:sz w:val="8"/>
              </w:rPr>
            </w:pPr>
          </w:p>
        </w:tc>
        <w:tc>
          <w:tcPr>
            <w:tcW w:w="797" w:type="dxa"/>
            <w:shd w:val="clear" w:color="auto" w:fill="E1EEDA"/>
          </w:tcPr>
          <w:p>
            <w:pPr>
              <w:pStyle w:val="TableParagraph"/>
              <w:rPr>
                <w:rFonts w:ascii="Times New Roman"/>
                <w:sz w:val="8"/>
              </w:rPr>
            </w:pPr>
          </w:p>
        </w:tc>
        <w:tc>
          <w:tcPr>
            <w:tcW w:w="838" w:type="dxa"/>
            <w:shd w:val="clear" w:color="auto" w:fill="FAE3D4"/>
          </w:tcPr>
          <w:p>
            <w:pPr>
              <w:pStyle w:val="TableParagraph"/>
              <w:spacing w:line="113" w:lineRule="exact"/>
              <w:ind w:right="48"/>
              <w:jc w:val="right"/>
              <w:rPr>
                <w:sz w:val="11"/>
              </w:rPr>
            </w:pPr>
            <w:r>
              <w:rPr>
                <w:w w:val="95"/>
                <w:sz w:val="11"/>
              </w:rPr>
              <w:t>0,00</w:t>
            </w:r>
          </w:p>
        </w:tc>
        <w:tc>
          <w:tcPr>
            <w:tcW w:w="744" w:type="dxa"/>
            <w:shd w:val="clear" w:color="auto" w:fill="FAE3D4"/>
          </w:tcPr>
          <w:p>
            <w:pPr>
              <w:pStyle w:val="TableParagraph"/>
              <w:spacing w:line="113" w:lineRule="exact"/>
              <w:ind w:right="44"/>
              <w:jc w:val="right"/>
              <w:rPr>
                <w:sz w:val="11"/>
              </w:rPr>
            </w:pPr>
            <w:r>
              <w:rPr>
                <w:w w:val="95"/>
                <w:sz w:val="11"/>
              </w:rPr>
              <w:t>0,00</w:t>
            </w:r>
          </w:p>
        </w:tc>
        <w:tc>
          <w:tcPr>
            <w:tcW w:w="800" w:type="dxa"/>
            <w:shd w:val="clear" w:color="auto" w:fill="E1EEDA"/>
          </w:tcPr>
          <w:p>
            <w:pPr>
              <w:pStyle w:val="TableParagraph"/>
              <w:rPr>
                <w:rFonts w:ascii="Times New Roman"/>
                <w:sz w:val="8"/>
              </w:rPr>
            </w:pPr>
          </w:p>
        </w:tc>
        <w:tc>
          <w:tcPr>
            <w:tcW w:w="746" w:type="dxa"/>
            <w:shd w:val="clear" w:color="auto" w:fill="E1EEDA"/>
          </w:tcPr>
          <w:p>
            <w:pPr>
              <w:pStyle w:val="TableParagraph"/>
              <w:rPr>
                <w:rFonts w:ascii="Times New Roman"/>
                <w:sz w:val="8"/>
              </w:rPr>
            </w:pPr>
          </w:p>
        </w:tc>
        <w:tc>
          <w:tcPr>
            <w:tcW w:w="744" w:type="dxa"/>
          </w:tcPr>
          <w:p>
            <w:pPr>
              <w:pStyle w:val="TableParagraph"/>
              <w:spacing w:line="113" w:lineRule="exact"/>
              <w:ind w:right="39"/>
              <w:jc w:val="right"/>
              <w:rPr>
                <w:sz w:val="11"/>
              </w:rPr>
            </w:pPr>
            <w:r>
              <w:rPr>
                <w:w w:val="95"/>
                <w:sz w:val="11"/>
              </w:rPr>
              <w:t>0,00</w:t>
            </w:r>
          </w:p>
        </w:tc>
        <w:tc>
          <w:tcPr>
            <w:tcW w:w="707" w:type="dxa"/>
          </w:tcPr>
          <w:p>
            <w:pPr>
              <w:pStyle w:val="TableParagraph"/>
              <w:spacing w:line="113" w:lineRule="exact"/>
              <w:ind w:right="38"/>
              <w:jc w:val="right"/>
              <w:rPr>
                <w:sz w:val="11"/>
              </w:rPr>
            </w:pPr>
            <w:r>
              <w:rPr>
                <w:w w:val="95"/>
                <w:sz w:val="11"/>
              </w:rPr>
              <w:t>0,00</w:t>
            </w:r>
          </w:p>
        </w:tc>
        <w:tc>
          <w:tcPr>
            <w:tcW w:w="742" w:type="dxa"/>
          </w:tcPr>
          <w:p>
            <w:pPr>
              <w:pStyle w:val="TableParagraph"/>
              <w:spacing w:line="113" w:lineRule="exact"/>
              <w:ind w:right="38"/>
              <w:jc w:val="right"/>
              <w:rPr>
                <w:sz w:val="11"/>
              </w:rPr>
            </w:pPr>
            <w:r>
              <w:rPr>
                <w:w w:val="95"/>
                <w:sz w:val="11"/>
              </w:rPr>
              <w:t>0,00</w:t>
            </w:r>
          </w:p>
        </w:tc>
        <w:tc>
          <w:tcPr>
            <w:tcW w:w="740" w:type="dxa"/>
            <w:tcBorders>
              <w:right w:val="single" w:sz="4" w:space="0" w:color="000000"/>
            </w:tcBorders>
          </w:tcPr>
          <w:p>
            <w:pPr>
              <w:pStyle w:val="TableParagraph"/>
              <w:spacing w:line="113" w:lineRule="exact"/>
              <w:ind w:right="31"/>
              <w:jc w:val="right"/>
              <w:rPr>
                <w:sz w:val="11"/>
              </w:rPr>
            </w:pPr>
            <w:r>
              <w:rPr>
                <w:w w:val="95"/>
                <w:sz w:val="11"/>
              </w:rPr>
              <w:t>0,00</w:t>
            </w:r>
          </w:p>
        </w:tc>
      </w:tr>
      <w:tr>
        <w:trPr>
          <w:trHeight w:val="132"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2" w:lineRule="exact"/>
              <w:ind w:left="141"/>
              <w:rPr>
                <w:sz w:val="11"/>
              </w:rPr>
            </w:pPr>
            <w:r>
              <w:rPr>
                <w:sz w:val="11"/>
              </w:rPr>
              <w:t>1.268.725,74</w:t>
            </w:r>
          </w:p>
        </w:tc>
        <w:tc>
          <w:tcPr>
            <w:tcW w:w="814" w:type="dxa"/>
            <w:shd w:val="clear" w:color="auto" w:fill="FBE3D5"/>
          </w:tcPr>
          <w:p>
            <w:pPr>
              <w:pStyle w:val="TableParagraph"/>
              <w:spacing w:line="112" w:lineRule="exact"/>
              <w:ind w:right="49"/>
              <w:jc w:val="right"/>
              <w:rPr>
                <w:sz w:val="11"/>
              </w:rPr>
            </w:pPr>
            <w:r>
              <w:rPr>
                <w:sz w:val="11"/>
              </w:rPr>
              <w:t>6.471.259,45</w:t>
            </w:r>
          </w:p>
        </w:tc>
        <w:tc>
          <w:tcPr>
            <w:tcW w:w="741" w:type="dxa"/>
            <w:shd w:val="clear" w:color="auto" w:fill="E1EEDA"/>
          </w:tcPr>
          <w:p>
            <w:pPr>
              <w:pStyle w:val="TableParagraph"/>
              <w:rPr>
                <w:rFonts w:ascii="Times New Roman"/>
                <w:sz w:val="8"/>
              </w:rPr>
            </w:pPr>
          </w:p>
        </w:tc>
        <w:tc>
          <w:tcPr>
            <w:tcW w:w="797" w:type="dxa"/>
            <w:shd w:val="clear" w:color="auto" w:fill="E1EEDA"/>
          </w:tcPr>
          <w:p>
            <w:pPr>
              <w:pStyle w:val="TableParagraph"/>
              <w:rPr>
                <w:rFonts w:ascii="Times New Roman"/>
                <w:sz w:val="8"/>
              </w:rPr>
            </w:pPr>
          </w:p>
        </w:tc>
        <w:tc>
          <w:tcPr>
            <w:tcW w:w="838" w:type="dxa"/>
            <w:shd w:val="clear" w:color="auto" w:fill="FAE3D4"/>
          </w:tcPr>
          <w:p>
            <w:pPr>
              <w:pStyle w:val="TableParagraph"/>
              <w:spacing w:line="112" w:lineRule="exact"/>
              <w:ind w:right="49"/>
              <w:jc w:val="right"/>
              <w:rPr>
                <w:sz w:val="11"/>
              </w:rPr>
            </w:pPr>
            <w:r>
              <w:rPr>
                <w:sz w:val="11"/>
              </w:rPr>
              <w:t>6.552.508,17</w:t>
            </w:r>
          </w:p>
        </w:tc>
        <w:tc>
          <w:tcPr>
            <w:tcW w:w="744" w:type="dxa"/>
            <w:shd w:val="clear" w:color="auto" w:fill="FAE3D4"/>
          </w:tcPr>
          <w:p>
            <w:pPr>
              <w:pStyle w:val="TableParagraph"/>
              <w:spacing w:line="112" w:lineRule="exact"/>
              <w:ind w:right="45"/>
              <w:jc w:val="right"/>
              <w:rPr>
                <w:sz w:val="11"/>
              </w:rPr>
            </w:pPr>
            <w:r>
              <w:rPr>
                <w:sz w:val="11"/>
              </w:rPr>
              <w:t>1.187.477,02</w:t>
            </w:r>
          </w:p>
        </w:tc>
        <w:tc>
          <w:tcPr>
            <w:tcW w:w="800" w:type="dxa"/>
            <w:shd w:val="clear" w:color="auto" w:fill="E1EEDA"/>
          </w:tcPr>
          <w:p>
            <w:pPr>
              <w:pStyle w:val="TableParagraph"/>
              <w:rPr>
                <w:rFonts w:ascii="Times New Roman"/>
                <w:sz w:val="8"/>
              </w:rPr>
            </w:pPr>
          </w:p>
        </w:tc>
        <w:tc>
          <w:tcPr>
            <w:tcW w:w="746" w:type="dxa"/>
            <w:shd w:val="clear" w:color="auto" w:fill="E1EEDA"/>
          </w:tcPr>
          <w:p>
            <w:pPr>
              <w:pStyle w:val="TableParagraph"/>
              <w:rPr>
                <w:rFonts w:ascii="Times New Roman"/>
                <w:sz w:val="8"/>
              </w:rPr>
            </w:pPr>
          </w:p>
        </w:tc>
        <w:tc>
          <w:tcPr>
            <w:tcW w:w="744" w:type="dxa"/>
          </w:tcPr>
          <w:p>
            <w:pPr>
              <w:pStyle w:val="TableParagraph"/>
              <w:spacing w:line="112" w:lineRule="exact"/>
              <w:ind w:right="40"/>
              <w:jc w:val="right"/>
              <w:rPr>
                <w:sz w:val="11"/>
              </w:rPr>
            </w:pPr>
            <w:r>
              <w:rPr>
                <w:sz w:val="11"/>
              </w:rPr>
              <w:t>426.889,65</w:t>
            </w:r>
          </w:p>
        </w:tc>
        <w:tc>
          <w:tcPr>
            <w:tcW w:w="707" w:type="dxa"/>
          </w:tcPr>
          <w:p>
            <w:pPr>
              <w:pStyle w:val="TableParagraph"/>
              <w:spacing w:line="112" w:lineRule="exact"/>
              <w:ind w:right="38"/>
              <w:jc w:val="right"/>
              <w:rPr>
                <w:sz w:val="11"/>
              </w:rPr>
            </w:pPr>
            <w:r>
              <w:rPr>
                <w:sz w:val="11"/>
              </w:rPr>
              <w:t>841.836,09</w:t>
            </w:r>
          </w:p>
        </w:tc>
        <w:tc>
          <w:tcPr>
            <w:tcW w:w="742" w:type="dxa"/>
          </w:tcPr>
          <w:p>
            <w:pPr>
              <w:pStyle w:val="TableParagraph"/>
              <w:spacing w:line="112" w:lineRule="exact"/>
              <w:ind w:right="38"/>
              <w:jc w:val="right"/>
              <w:rPr>
                <w:sz w:val="11"/>
              </w:rPr>
            </w:pPr>
            <w:r>
              <w:rPr>
                <w:sz w:val="11"/>
              </w:rPr>
              <w:t>6.125.618,52</w:t>
            </w:r>
          </w:p>
        </w:tc>
        <w:tc>
          <w:tcPr>
            <w:tcW w:w="740" w:type="dxa"/>
            <w:tcBorders>
              <w:right w:val="single" w:sz="4" w:space="0" w:color="000000"/>
            </w:tcBorders>
          </w:tcPr>
          <w:p>
            <w:pPr>
              <w:pStyle w:val="TableParagraph"/>
              <w:spacing w:line="112" w:lineRule="exact"/>
              <w:ind w:right="33"/>
              <w:jc w:val="right"/>
              <w:rPr>
                <w:sz w:val="11"/>
              </w:rPr>
            </w:pPr>
            <w:r>
              <w:rPr>
                <w:sz w:val="11"/>
              </w:rPr>
              <w:t>345.640,93</w:t>
            </w:r>
          </w:p>
        </w:tc>
      </w:tr>
      <w:tr>
        <w:trPr>
          <w:trHeight w:val="132"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2" w:lineRule="exact"/>
              <w:ind w:right="52"/>
              <w:jc w:val="right"/>
              <w:rPr>
                <w:sz w:val="11"/>
              </w:rPr>
            </w:pPr>
            <w:r>
              <w:rPr>
                <w:sz w:val="11"/>
              </w:rPr>
              <w:t>367.549,61</w:t>
            </w:r>
          </w:p>
        </w:tc>
        <w:tc>
          <w:tcPr>
            <w:tcW w:w="814" w:type="dxa"/>
            <w:shd w:val="clear" w:color="auto" w:fill="FBE3D5"/>
          </w:tcPr>
          <w:p>
            <w:pPr>
              <w:pStyle w:val="TableParagraph"/>
              <w:spacing w:line="112" w:lineRule="exact"/>
              <w:ind w:right="49"/>
              <w:jc w:val="right"/>
              <w:rPr>
                <w:sz w:val="11"/>
              </w:rPr>
            </w:pPr>
            <w:r>
              <w:rPr>
                <w:sz w:val="11"/>
              </w:rPr>
              <w:t>2.350.746,11</w:t>
            </w:r>
          </w:p>
        </w:tc>
        <w:tc>
          <w:tcPr>
            <w:tcW w:w="741" w:type="dxa"/>
            <w:shd w:val="clear" w:color="auto" w:fill="E1EEDA"/>
          </w:tcPr>
          <w:p>
            <w:pPr>
              <w:pStyle w:val="TableParagraph"/>
              <w:rPr>
                <w:rFonts w:ascii="Times New Roman"/>
                <w:sz w:val="8"/>
              </w:rPr>
            </w:pPr>
          </w:p>
        </w:tc>
        <w:tc>
          <w:tcPr>
            <w:tcW w:w="797" w:type="dxa"/>
            <w:shd w:val="clear" w:color="auto" w:fill="E1EEDA"/>
          </w:tcPr>
          <w:p>
            <w:pPr>
              <w:pStyle w:val="TableParagraph"/>
              <w:rPr>
                <w:rFonts w:ascii="Times New Roman"/>
                <w:sz w:val="8"/>
              </w:rPr>
            </w:pPr>
          </w:p>
        </w:tc>
        <w:tc>
          <w:tcPr>
            <w:tcW w:w="838" w:type="dxa"/>
            <w:shd w:val="clear" w:color="auto" w:fill="FAE3D4"/>
          </w:tcPr>
          <w:p>
            <w:pPr>
              <w:pStyle w:val="TableParagraph"/>
              <w:spacing w:line="112" w:lineRule="exact"/>
              <w:ind w:right="49"/>
              <w:jc w:val="right"/>
              <w:rPr>
                <w:sz w:val="11"/>
              </w:rPr>
            </w:pPr>
            <w:r>
              <w:rPr>
                <w:sz w:val="11"/>
              </w:rPr>
              <w:t>2.043.772,44</w:t>
            </w:r>
          </w:p>
        </w:tc>
        <w:tc>
          <w:tcPr>
            <w:tcW w:w="744" w:type="dxa"/>
            <w:shd w:val="clear" w:color="auto" w:fill="FAE3D4"/>
          </w:tcPr>
          <w:p>
            <w:pPr>
              <w:pStyle w:val="TableParagraph"/>
              <w:spacing w:line="112" w:lineRule="exact"/>
              <w:ind w:right="45"/>
              <w:jc w:val="right"/>
              <w:rPr>
                <w:sz w:val="11"/>
              </w:rPr>
            </w:pPr>
            <w:r>
              <w:rPr>
                <w:sz w:val="11"/>
              </w:rPr>
              <w:t>674.523,28</w:t>
            </w:r>
          </w:p>
        </w:tc>
        <w:tc>
          <w:tcPr>
            <w:tcW w:w="800" w:type="dxa"/>
            <w:shd w:val="clear" w:color="auto" w:fill="E1EEDA"/>
          </w:tcPr>
          <w:p>
            <w:pPr>
              <w:pStyle w:val="TableParagraph"/>
              <w:rPr>
                <w:rFonts w:ascii="Times New Roman"/>
                <w:sz w:val="8"/>
              </w:rPr>
            </w:pPr>
          </w:p>
        </w:tc>
        <w:tc>
          <w:tcPr>
            <w:tcW w:w="746" w:type="dxa"/>
            <w:shd w:val="clear" w:color="auto" w:fill="E1EEDA"/>
          </w:tcPr>
          <w:p>
            <w:pPr>
              <w:pStyle w:val="TableParagraph"/>
              <w:rPr>
                <w:rFonts w:ascii="Times New Roman"/>
                <w:sz w:val="8"/>
              </w:rPr>
            </w:pPr>
          </w:p>
        </w:tc>
        <w:tc>
          <w:tcPr>
            <w:tcW w:w="744" w:type="dxa"/>
          </w:tcPr>
          <w:p>
            <w:pPr>
              <w:pStyle w:val="TableParagraph"/>
              <w:spacing w:line="112" w:lineRule="exact"/>
              <w:ind w:right="39"/>
              <w:jc w:val="right"/>
              <w:rPr>
                <w:sz w:val="11"/>
              </w:rPr>
            </w:pPr>
            <w:r>
              <w:rPr>
                <w:w w:val="95"/>
                <w:sz w:val="11"/>
              </w:rPr>
              <w:t>0,00</w:t>
            </w:r>
          </w:p>
        </w:tc>
        <w:tc>
          <w:tcPr>
            <w:tcW w:w="707" w:type="dxa"/>
          </w:tcPr>
          <w:p>
            <w:pPr>
              <w:pStyle w:val="TableParagraph"/>
              <w:spacing w:line="112" w:lineRule="exact"/>
              <w:ind w:right="38"/>
              <w:jc w:val="right"/>
              <w:rPr>
                <w:sz w:val="11"/>
              </w:rPr>
            </w:pPr>
            <w:r>
              <w:rPr>
                <w:sz w:val="11"/>
              </w:rPr>
              <w:t>367.549,61</w:t>
            </w:r>
          </w:p>
        </w:tc>
        <w:tc>
          <w:tcPr>
            <w:tcW w:w="742" w:type="dxa"/>
          </w:tcPr>
          <w:p>
            <w:pPr>
              <w:pStyle w:val="TableParagraph"/>
              <w:spacing w:line="112" w:lineRule="exact"/>
              <w:ind w:right="38"/>
              <w:jc w:val="right"/>
              <w:rPr>
                <w:sz w:val="11"/>
              </w:rPr>
            </w:pPr>
            <w:r>
              <w:rPr>
                <w:sz w:val="11"/>
              </w:rPr>
              <w:t>2.043.772,44</w:t>
            </w:r>
          </w:p>
        </w:tc>
        <w:tc>
          <w:tcPr>
            <w:tcW w:w="740" w:type="dxa"/>
            <w:tcBorders>
              <w:right w:val="single" w:sz="4" w:space="0" w:color="000000"/>
            </w:tcBorders>
          </w:tcPr>
          <w:p>
            <w:pPr>
              <w:pStyle w:val="TableParagraph"/>
              <w:spacing w:line="112" w:lineRule="exact"/>
              <w:ind w:right="33"/>
              <w:jc w:val="right"/>
              <w:rPr>
                <w:sz w:val="11"/>
              </w:rPr>
            </w:pPr>
            <w:r>
              <w:rPr>
                <w:sz w:val="11"/>
              </w:rPr>
              <w:t>306.973,67</w:t>
            </w:r>
          </w:p>
        </w:tc>
      </w:tr>
      <w:tr>
        <w:trPr>
          <w:trHeight w:val="133"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3" w:lineRule="exact"/>
              <w:ind w:right="52"/>
              <w:jc w:val="right"/>
              <w:rPr>
                <w:sz w:val="11"/>
              </w:rPr>
            </w:pPr>
            <w:r>
              <w:rPr>
                <w:w w:val="95"/>
                <w:sz w:val="11"/>
              </w:rPr>
              <w:t>0,00</w:t>
            </w:r>
          </w:p>
        </w:tc>
        <w:tc>
          <w:tcPr>
            <w:tcW w:w="814" w:type="dxa"/>
            <w:shd w:val="clear" w:color="auto" w:fill="FBE3D5"/>
          </w:tcPr>
          <w:p>
            <w:pPr>
              <w:pStyle w:val="TableParagraph"/>
              <w:spacing w:line="113" w:lineRule="exact"/>
              <w:ind w:right="49"/>
              <w:jc w:val="right"/>
              <w:rPr>
                <w:sz w:val="11"/>
              </w:rPr>
            </w:pPr>
            <w:r>
              <w:rPr>
                <w:w w:val="95"/>
                <w:sz w:val="11"/>
              </w:rPr>
              <w:t>0,00</w:t>
            </w:r>
          </w:p>
        </w:tc>
        <w:tc>
          <w:tcPr>
            <w:tcW w:w="741" w:type="dxa"/>
            <w:shd w:val="clear" w:color="auto" w:fill="E1EEDA"/>
          </w:tcPr>
          <w:p>
            <w:pPr>
              <w:pStyle w:val="TableParagraph"/>
              <w:rPr>
                <w:rFonts w:ascii="Times New Roman"/>
                <w:sz w:val="8"/>
              </w:rPr>
            </w:pPr>
          </w:p>
        </w:tc>
        <w:tc>
          <w:tcPr>
            <w:tcW w:w="797" w:type="dxa"/>
            <w:shd w:val="clear" w:color="auto" w:fill="E1EEDA"/>
          </w:tcPr>
          <w:p>
            <w:pPr>
              <w:pStyle w:val="TableParagraph"/>
              <w:rPr>
                <w:rFonts w:ascii="Times New Roman"/>
                <w:sz w:val="8"/>
              </w:rPr>
            </w:pPr>
          </w:p>
        </w:tc>
        <w:tc>
          <w:tcPr>
            <w:tcW w:w="838" w:type="dxa"/>
            <w:shd w:val="clear" w:color="auto" w:fill="FAE3D4"/>
          </w:tcPr>
          <w:p>
            <w:pPr>
              <w:pStyle w:val="TableParagraph"/>
              <w:spacing w:line="113" w:lineRule="exact"/>
              <w:ind w:right="48"/>
              <w:jc w:val="right"/>
              <w:rPr>
                <w:sz w:val="11"/>
              </w:rPr>
            </w:pPr>
            <w:r>
              <w:rPr>
                <w:w w:val="95"/>
                <w:sz w:val="11"/>
              </w:rPr>
              <w:t>0,00</w:t>
            </w:r>
          </w:p>
        </w:tc>
        <w:tc>
          <w:tcPr>
            <w:tcW w:w="744" w:type="dxa"/>
            <w:shd w:val="clear" w:color="auto" w:fill="FAE3D4"/>
          </w:tcPr>
          <w:p>
            <w:pPr>
              <w:pStyle w:val="TableParagraph"/>
              <w:spacing w:line="113" w:lineRule="exact"/>
              <w:ind w:right="44"/>
              <w:jc w:val="right"/>
              <w:rPr>
                <w:sz w:val="11"/>
              </w:rPr>
            </w:pPr>
            <w:r>
              <w:rPr>
                <w:w w:val="95"/>
                <w:sz w:val="11"/>
              </w:rPr>
              <w:t>0,00</w:t>
            </w:r>
          </w:p>
        </w:tc>
        <w:tc>
          <w:tcPr>
            <w:tcW w:w="800" w:type="dxa"/>
            <w:shd w:val="clear" w:color="auto" w:fill="E1EEDA"/>
          </w:tcPr>
          <w:p>
            <w:pPr>
              <w:pStyle w:val="TableParagraph"/>
              <w:rPr>
                <w:rFonts w:ascii="Times New Roman"/>
                <w:sz w:val="8"/>
              </w:rPr>
            </w:pPr>
          </w:p>
        </w:tc>
        <w:tc>
          <w:tcPr>
            <w:tcW w:w="746" w:type="dxa"/>
            <w:shd w:val="clear" w:color="auto" w:fill="E1EEDA"/>
          </w:tcPr>
          <w:p>
            <w:pPr>
              <w:pStyle w:val="TableParagraph"/>
              <w:rPr>
                <w:rFonts w:ascii="Times New Roman"/>
                <w:sz w:val="8"/>
              </w:rPr>
            </w:pPr>
          </w:p>
        </w:tc>
        <w:tc>
          <w:tcPr>
            <w:tcW w:w="744" w:type="dxa"/>
          </w:tcPr>
          <w:p>
            <w:pPr>
              <w:pStyle w:val="TableParagraph"/>
              <w:spacing w:line="113" w:lineRule="exact"/>
              <w:ind w:right="39"/>
              <w:jc w:val="right"/>
              <w:rPr>
                <w:sz w:val="11"/>
              </w:rPr>
            </w:pPr>
            <w:r>
              <w:rPr>
                <w:w w:val="95"/>
                <w:sz w:val="11"/>
              </w:rPr>
              <w:t>0,00</w:t>
            </w:r>
          </w:p>
        </w:tc>
        <w:tc>
          <w:tcPr>
            <w:tcW w:w="707" w:type="dxa"/>
          </w:tcPr>
          <w:p>
            <w:pPr>
              <w:pStyle w:val="TableParagraph"/>
              <w:spacing w:line="113" w:lineRule="exact"/>
              <w:ind w:right="38"/>
              <w:jc w:val="right"/>
              <w:rPr>
                <w:sz w:val="11"/>
              </w:rPr>
            </w:pPr>
            <w:r>
              <w:rPr>
                <w:w w:val="95"/>
                <w:sz w:val="11"/>
              </w:rPr>
              <w:t>0,00</w:t>
            </w:r>
          </w:p>
        </w:tc>
        <w:tc>
          <w:tcPr>
            <w:tcW w:w="742" w:type="dxa"/>
          </w:tcPr>
          <w:p>
            <w:pPr>
              <w:pStyle w:val="TableParagraph"/>
              <w:spacing w:line="113" w:lineRule="exact"/>
              <w:ind w:right="38"/>
              <w:jc w:val="right"/>
              <w:rPr>
                <w:sz w:val="11"/>
              </w:rPr>
            </w:pPr>
            <w:r>
              <w:rPr>
                <w:w w:val="95"/>
                <w:sz w:val="11"/>
              </w:rPr>
              <w:t>0,00</w:t>
            </w:r>
          </w:p>
        </w:tc>
        <w:tc>
          <w:tcPr>
            <w:tcW w:w="740" w:type="dxa"/>
            <w:tcBorders>
              <w:right w:val="single" w:sz="4" w:space="0" w:color="000000"/>
            </w:tcBorders>
          </w:tcPr>
          <w:p>
            <w:pPr>
              <w:pStyle w:val="TableParagraph"/>
              <w:spacing w:line="113" w:lineRule="exact"/>
              <w:ind w:right="31"/>
              <w:jc w:val="right"/>
              <w:rPr>
                <w:sz w:val="11"/>
              </w:rPr>
            </w:pPr>
            <w:r>
              <w:rPr>
                <w:w w:val="95"/>
                <w:sz w:val="11"/>
              </w:rPr>
              <w:t>0,00</w:t>
            </w:r>
          </w:p>
        </w:tc>
      </w:tr>
      <w:tr>
        <w:trPr>
          <w:trHeight w:val="133"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3" w:lineRule="exact"/>
              <w:ind w:right="52"/>
              <w:jc w:val="right"/>
              <w:rPr>
                <w:sz w:val="11"/>
              </w:rPr>
            </w:pPr>
            <w:r>
              <w:rPr>
                <w:w w:val="95"/>
                <w:sz w:val="11"/>
              </w:rPr>
              <w:t>0,00</w:t>
            </w:r>
          </w:p>
        </w:tc>
        <w:tc>
          <w:tcPr>
            <w:tcW w:w="814" w:type="dxa"/>
            <w:shd w:val="clear" w:color="auto" w:fill="FBE3D5"/>
          </w:tcPr>
          <w:p>
            <w:pPr>
              <w:pStyle w:val="TableParagraph"/>
              <w:spacing w:line="113" w:lineRule="exact"/>
              <w:ind w:right="49"/>
              <w:jc w:val="right"/>
              <w:rPr>
                <w:sz w:val="11"/>
              </w:rPr>
            </w:pPr>
            <w:r>
              <w:rPr>
                <w:w w:val="95"/>
                <w:sz w:val="11"/>
              </w:rPr>
              <w:t>0,00</w:t>
            </w:r>
          </w:p>
        </w:tc>
        <w:tc>
          <w:tcPr>
            <w:tcW w:w="741" w:type="dxa"/>
            <w:shd w:val="clear" w:color="auto" w:fill="E1EEDA"/>
          </w:tcPr>
          <w:p>
            <w:pPr>
              <w:pStyle w:val="TableParagraph"/>
              <w:spacing w:line="113" w:lineRule="exact"/>
              <w:ind w:left="89" w:right="26"/>
              <w:jc w:val="center"/>
              <w:rPr>
                <w:sz w:val="11"/>
              </w:rPr>
            </w:pPr>
            <w:r>
              <w:rPr>
                <w:sz w:val="11"/>
              </w:rPr>
              <w:t>9.826.774,27</w:t>
            </w:r>
          </w:p>
        </w:tc>
        <w:tc>
          <w:tcPr>
            <w:tcW w:w="797" w:type="dxa"/>
            <w:shd w:val="clear" w:color="auto" w:fill="E1EEDA"/>
          </w:tcPr>
          <w:p>
            <w:pPr>
              <w:pStyle w:val="TableParagraph"/>
              <w:spacing w:line="113" w:lineRule="exact"/>
              <w:ind w:right="48"/>
              <w:jc w:val="right"/>
              <w:rPr>
                <w:sz w:val="11"/>
              </w:rPr>
            </w:pPr>
            <w:r>
              <w:rPr>
                <w:sz w:val="11"/>
              </w:rPr>
              <w:t>75.592.139,78</w:t>
            </w:r>
          </w:p>
        </w:tc>
        <w:tc>
          <w:tcPr>
            <w:tcW w:w="838" w:type="dxa"/>
            <w:shd w:val="clear" w:color="auto" w:fill="FAE3D4"/>
          </w:tcPr>
          <w:p>
            <w:pPr>
              <w:pStyle w:val="TableParagraph"/>
              <w:spacing w:line="113" w:lineRule="exact"/>
              <w:ind w:right="48"/>
              <w:jc w:val="right"/>
              <w:rPr>
                <w:sz w:val="11"/>
              </w:rPr>
            </w:pPr>
            <w:r>
              <w:rPr>
                <w:w w:val="95"/>
                <w:sz w:val="11"/>
              </w:rPr>
              <w:t>0,00</w:t>
            </w:r>
          </w:p>
        </w:tc>
        <w:tc>
          <w:tcPr>
            <w:tcW w:w="744" w:type="dxa"/>
            <w:shd w:val="clear" w:color="auto" w:fill="FAE3D4"/>
          </w:tcPr>
          <w:p>
            <w:pPr>
              <w:pStyle w:val="TableParagraph"/>
              <w:spacing w:line="113" w:lineRule="exact"/>
              <w:ind w:right="44"/>
              <w:jc w:val="right"/>
              <w:rPr>
                <w:sz w:val="11"/>
              </w:rPr>
            </w:pPr>
            <w:r>
              <w:rPr>
                <w:w w:val="95"/>
                <w:sz w:val="11"/>
              </w:rPr>
              <w:t>0,00</w:t>
            </w:r>
          </w:p>
        </w:tc>
        <w:tc>
          <w:tcPr>
            <w:tcW w:w="800" w:type="dxa"/>
            <w:shd w:val="clear" w:color="auto" w:fill="E1EEDA"/>
          </w:tcPr>
          <w:p>
            <w:pPr>
              <w:pStyle w:val="TableParagraph"/>
              <w:spacing w:line="113" w:lineRule="exact"/>
              <w:ind w:left="96" w:right="20"/>
              <w:jc w:val="center"/>
              <w:rPr>
                <w:sz w:val="11"/>
              </w:rPr>
            </w:pPr>
            <w:r>
              <w:rPr>
                <w:sz w:val="11"/>
              </w:rPr>
              <w:t>69.785.885,95</w:t>
            </w:r>
          </w:p>
        </w:tc>
        <w:tc>
          <w:tcPr>
            <w:tcW w:w="746" w:type="dxa"/>
            <w:shd w:val="clear" w:color="auto" w:fill="E1EEDA"/>
          </w:tcPr>
          <w:p>
            <w:pPr>
              <w:pStyle w:val="TableParagraph"/>
              <w:spacing w:line="113" w:lineRule="exact"/>
              <w:ind w:left="39" w:right="18"/>
              <w:jc w:val="center"/>
              <w:rPr>
                <w:sz w:val="11"/>
              </w:rPr>
            </w:pPr>
            <w:r>
              <w:rPr>
                <w:sz w:val="11"/>
              </w:rPr>
              <w:t>15.633.028,10</w:t>
            </w:r>
          </w:p>
        </w:tc>
        <w:tc>
          <w:tcPr>
            <w:tcW w:w="744" w:type="dxa"/>
          </w:tcPr>
          <w:p>
            <w:pPr>
              <w:pStyle w:val="TableParagraph"/>
              <w:spacing w:line="113" w:lineRule="exact"/>
              <w:ind w:right="39"/>
              <w:jc w:val="right"/>
              <w:rPr>
                <w:sz w:val="11"/>
              </w:rPr>
            </w:pPr>
            <w:r>
              <w:rPr>
                <w:w w:val="95"/>
                <w:sz w:val="11"/>
              </w:rPr>
              <w:t>0,00</w:t>
            </w:r>
          </w:p>
        </w:tc>
        <w:tc>
          <w:tcPr>
            <w:tcW w:w="707" w:type="dxa"/>
          </w:tcPr>
          <w:p>
            <w:pPr>
              <w:pStyle w:val="TableParagraph"/>
              <w:spacing w:line="113" w:lineRule="exact"/>
              <w:ind w:right="38"/>
              <w:jc w:val="right"/>
              <w:rPr>
                <w:sz w:val="11"/>
              </w:rPr>
            </w:pPr>
            <w:r>
              <w:rPr>
                <w:w w:val="95"/>
                <w:sz w:val="11"/>
              </w:rPr>
              <w:t>0,00</w:t>
            </w:r>
          </w:p>
        </w:tc>
        <w:tc>
          <w:tcPr>
            <w:tcW w:w="742" w:type="dxa"/>
          </w:tcPr>
          <w:p>
            <w:pPr>
              <w:pStyle w:val="TableParagraph"/>
              <w:spacing w:line="113" w:lineRule="exact"/>
              <w:ind w:right="38"/>
              <w:jc w:val="right"/>
              <w:rPr>
                <w:sz w:val="11"/>
              </w:rPr>
            </w:pPr>
            <w:r>
              <w:rPr>
                <w:w w:val="95"/>
                <w:sz w:val="11"/>
              </w:rPr>
              <w:t>0,00</w:t>
            </w:r>
          </w:p>
        </w:tc>
        <w:tc>
          <w:tcPr>
            <w:tcW w:w="740" w:type="dxa"/>
            <w:tcBorders>
              <w:right w:val="single" w:sz="4" w:space="0" w:color="000000"/>
            </w:tcBorders>
          </w:tcPr>
          <w:p>
            <w:pPr>
              <w:pStyle w:val="TableParagraph"/>
              <w:spacing w:line="113" w:lineRule="exact"/>
              <w:ind w:right="31"/>
              <w:jc w:val="right"/>
              <w:rPr>
                <w:sz w:val="11"/>
              </w:rPr>
            </w:pPr>
            <w:r>
              <w:rPr>
                <w:w w:val="95"/>
                <w:sz w:val="11"/>
              </w:rPr>
              <w:t>0,00</w:t>
            </w:r>
          </w:p>
        </w:tc>
      </w:tr>
      <w:tr>
        <w:trPr>
          <w:trHeight w:val="132"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2" w:lineRule="exact"/>
              <w:ind w:right="52"/>
              <w:jc w:val="right"/>
              <w:rPr>
                <w:sz w:val="11"/>
              </w:rPr>
            </w:pPr>
            <w:r>
              <w:rPr>
                <w:w w:val="95"/>
                <w:sz w:val="11"/>
              </w:rPr>
              <w:t>0,00</w:t>
            </w:r>
          </w:p>
        </w:tc>
        <w:tc>
          <w:tcPr>
            <w:tcW w:w="814" w:type="dxa"/>
            <w:shd w:val="clear" w:color="auto" w:fill="FBE3D5"/>
          </w:tcPr>
          <w:p>
            <w:pPr>
              <w:pStyle w:val="TableParagraph"/>
              <w:spacing w:line="112" w:lineRule="exact"/>
              <w:ind w:right="49"/>
              <w:jc w:val="right"/>
              <w:rPr>
                <w:sz w:val="11"/>
              </w:rPr>
            </w:pPr>
            <w:r>
              <w:rPr>
                <w:w w:val="95"/>
                <w:sz w:val="11"/>
              </w:rPr>
              <w:t>0,00</w:t>
            </w:r>
          </w:p>
        </w:tc>
        <w:tc>
          <w:tcPr>
            <w:tcW w:w="741" w:type="dxa"/>
            <w:shd w:val="clear" w:color="auto" w:fill="E1EEDA"/>
          </w:tcPr>
          <w:p>
            <w:pPr>
              <w:pStyle w:val="TableParagraph"/>
              <w:rPr>
                <w:rFonts w:ascii="Times New Roman"/>
                <w:sz w:val="8"/>
              </w:rPr>
            </w:pPr>
          </w:p>
        </w:tc>
        <w:tc>
          <w:tcPr>
            <w:tcW w:w="797" w:type="dxa"/>
            <w:shd w:val="clear" w:color="auto" w:fill="E1EEDA"/>
          </w:tcPr>
          <w:p>
            <w:pPr>
              <w:pStyle w:val="TableParagraph"/>
              <w:rPr>
                <w:rFonts w:ascii="Times New Roman"/>
                <w:sz w:val="8"/>
              </w:rPr>
            </w:pPr>
          </w:p>
        </w:tc>
        <w:tc>
          <w:tcPr>
            <w:tcW w:w="838" w:type="dxa"/>
            <w:shd w:val="clear" w:color="auto" w:fill="FAE3D4"/>
          </w:tcPr>
          <w:p>
            <w:pPr>
              <w:pStyle w:val="TableParagraph"/>
              <w:spacing w:line="112" w:lineRule="exact"/>
              <w:ind w:right="48"/>
              <w:jc w:val="right"/>
              <w:rPr>
                <w:sz w:val="11"/>
              </w:rPr>
            </w:pPr>
            <w:r>
              <w:rPr>
                <w:w w:val="95"/>
                <w:sz w:val="11"/>
              </w:rPr>
              <w:t>0,00</w:t>
            </w:r>
          </w:p>
        </w:tc>
        <w:tc>
          <w:tcPr>
            <w:tcW w:w="744" w:type="dxa"/>
            <w:shd w:val="clear" w:color="auto" w:fill="FAE3D4"/>
          </w:tcPr>
          <w:p>
            <w:pPr>
              <w:pStyle w:val="TableParagraph"/>
              <w:spacing w:line="112" w:lineRule="exact"/>
              <w:ind w:right="44"/>
              <w:jc w:val="right"/>
              <w:rPr>
                <w:sz w:val="11"/>
              </w:rPr>
            </w:pPr>
            <w:r>
              <w:rPr>
                <w:w w:val="95"/>
                <w:sz w:val="11"/>
              </w:rPr>
              <w:t>0,00</w:t>
            </w:r>
          </w:p>
        </w:tc>
        <w:tc>
          <w:tcPr>
            <w:tcW w:w="800" w:type="dxa"/>
            <w:shd w:val="clear" w:color="auto" w:fill="E1EEDA"/>
          </w:tcPr>
          <w:p>
            <w:pPr>
              <w:pStyle w:val="TableParagraph"/>
              <w:rPr>
                <w:rFonts w:ascii="Times New Roman"/>
                <w:sz w:val="8"/>
              </w:rPr>
            </w:pPr>
          </w:p>
        </w:tc>
        <w:tc>
          <w:tcPr>
            <w:tcW w:w="746" w:type="dxa"/>
            <w:shd w:val="clear" w:color="auto" w:fill="E1EEDA"/>
          </w:tcPr>
          <w:p>
            <w:pPr>
              <w:pStyle w:val="TableParagraph"/>
              <w:rPr>
                <w:rFonts w:ascii="Times New Roman"/>
                <w:sz w:val="8"/>
              </w:rPr>
            </w:pPr>
          </w:p>
        </w:tc>
        <w:tc>
          <w:tcPr>
            <w:tcW w:w="744" w:type="dxa"/>
          </w:tcPr>
          <w:p>
            <w:pPr>
              <w:pStyle w:val="TableParagraph"/>
              <w:spacing w:line="112" w:lineRule="exact"/>
              <w:ind w:right="39"/>
              <w:jc w:val="right"/>
              <w:rPr>
                <w:sz w:val="11"/>
              </w:rPr>
            </w:pPr>
            <w:r>
              <w:rPr>
                <w:w w:val="95"/>
                <w:sz w:val="11"/>
              </w:rPr>
              <w:t>0,00</w:t>
            </w:r>
          </w:p>
        </w:tc>
        <w:tc>
          <w:tcPr>
            <w:tcW w:w="707" w:type="dxa"/>
          </w:tcPr>
          <w:p>
            <w:pPr>
              <w:pStyle w:val="TableParagraph"/>
              <w:spacing w:line="112" w:lineRule="exact"/>
              <w:ind w:right="38"/>
              <w:jc w:val="right"/>
              <w:rPr>
                <w:sz w:val="11"/>
              </w:rPr>
            </w:pPr>
            <w:r>
              <w:rPr>
                <w:w w:val="95"/>
                <w:sz w:val="11"/>
              </w:rPr>
              <w:t>0,00</w:t>
            </w:r>
          </w:p>
        </w:tc>
        <w:tc>
          <w:tcPr>
            <w:tcW w:w="742" w:type="dxa"/>
          </w:tcPr>
          <w:p>
            <w:pPr>
              <w:pStyle w:val="TableParagraph"/>
              <w:spacing w:line="112" w:lineRule="exact"/>
              <w:ind w:right="38"/>
              <w:jc w:val="right"/>
              <w:rPr>
                <w:sz w:val="11"/>
              </w:rPr>
            </w:pPr>
            <w:r>
              <w:rPr>
                <w:w w:val="95"/>
                <w:sz w:val="11"/>
              </w:rPr>
              <w:t>0,00</w:t>
            </w:r>
          </w:p>
        </w:tc>
        <w:tc>
          <w:tcPr>
            <w:tcW w:w="740" w:type="dxa"/>
            <w:tcBorders>
              <w:right w:val="single" w:sz="4" w:space="0" w:color="000000"/>
            </w:tcBorders>
          </w:tcPr>
          <w:p>
            <w:pPr>
              <w:pStyle w:val="TableParagraph"/>
              <w:spacing w:line="112" w:lineRule="exact"/>
              <w:ind w:right="31"/>
              <w:jc w:val="right"/>
              <w:rPr>
                <w:sz w:val="11"/>
              </w:rPr>
            </w:pPr>
            <w:r>
              <w:rPr>
                <w:w w:val="95"/>
                <w:sz w:val="11"/>
              </w:rPr>
              <w:t>0,00</w:t>
            </w:r>
          </w:p>
        </w:tc>
      </w:tr>
      <w:tr>
        <w:trPr>
          <w:trHeight w:val="132"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2" w:lineRule="exact"/>
              <w:ind w:right="52"/>
              <w:jc w:val="right"/>
              <w:rPr>
                <w:sz w:val="11"/>
              </w:rPr>
            </w:pPr>
            <w:r>
              <w:rPr>
                <w:sz w:val="11"/>
              </w:rPr>
              <w:t>1.759,89</w:t>
            </w:r>
          </w:p>
        </w:tc>
        <w:tc>
          <w:tcPr>
            <w:tcW w:w="814" w:type="dxa"/>
            <w:shd w:val="clear" w:color="auto" w:fill="FBE3D5"/>
          </w:tcPr>
          <w:p>
            <w:pPr>
              <w:pStyle w:val="TableParagraph"/>
              <w:spacing w:line="112" w:lineRule="exact"/>
              <w:ind w:right="49"/>
              <w:jc w:val="right"/>
              <w:rPr>
                <w:sz w:val="11"/>
              </w:rPr>
            </w:pPr>
            <w:r>
              <w:rPr>
                <w:sz w:val="11"/>
              </w:rPr>
              <w:t>137.026,54</w:t>
            </w:r>
          </w:p>
        </w:tc>
        <w:tc>
          <w:tcPr>
            <w:tcW w:w="741" w:type="dxa"/>
            <w:shd w:val="clear" w:color="auto" w:fill="E1EEDA"/>
          </w:tcPr>
          <w:p>
            <w:pPr>
              <w:pStyle w:val="TableParagraph"/>
              <w:rPr>
                <w:rFonts w:ascii="Times New Roman"/>
                <w:sz w:val="8"/>
              </w:rPr>
            </w:pPr>
          </w:p>
        </w:tc>
        <w:tc>
          <w:tcPr>
            <w:tcW w:w="797" w:type="dxa"/>
            <w:shd w:val="clear" w:color="auto" w:fill="E1EEDA"/>
          </w:tcPr>
          <w:p>
            <w:pPr>
              <w:pStyle w:val="TableParagraph"/>
              <w:rPr>
                <w:rFonts w:ascii="Times New Roman"/>
                <w:sz w:val="8"/>
              </w:rPr>
            </w:pPr>
          </w:p>
        </w:tc>
        <w:tc>
          <w:tcPr>
            <w:tcW w:w="838" w:type="dxa"/>
            <w:shd w:val="clear" w:color="auto" w:fill="FAE3D4"/>
          </w:tcPr>
          <w:p>
            <w:pPr>
              <w:pStyle w:val="TableParagraph"/>
              <w:spacing w:line="112" w:lineRule="exact"/>
              <w:ind w:right="48"/>
              <w:jc w:val="right"/>
              <w:rPr>
                <w:sz w:val="11"/>
              </w:rPr>
            </w:pPr>
            <w:r>
              <w:rPr>
                <w:sz w:val="11"/>
              </w:rPr>
              <w:t>134.924,56</w:t>
            </w:r>
          </w:p>
        </w:tc>
        <w:tc>
          <w:tcPr>
            <w:tcW w:w="744" w:type="dxa"/>
            <w:shd w:val="clear" w:color="auto" w:fill="FAE3D4"/>
          </w:tcPr>
          <w:p>
            <w:pPr>
              <w:pStyle w:val="TableParagraph"/>
              <w:spacing w:line="112" w:lineRule="exact"/>
              <w:ind w:right="45"/>
              <w:jc w:val="right"/>
              <w:rPr>
                <w:sz w:val="11"/>
              </w:rPr>
            </w:pPr>
            <w:r>
              <w:rPr>
                <w:sz w:val="11"/>
              </w:rPr>
              <w:t>3.861,87</w:t>
            </w:r>
          </w:p>
        </w:tc>
        <w:tc>
          <w:tcPr>
            <w:tcW w:w="800" w:type="dxa"/>
            <w:shd w:val="clear" w:color="auto" w:fill="E1EEDA"/>
          </w:tcPr>
          <w:p>
            <w:pPr>
              <w:pStyle w:val="TableParagraph"/>
              <w:rPr>
                <w:rFonts w:ascii="Times New Roman"/>
                <w:sz w:val="8"/>
              </w:rPr>
            </w:pPr>
          </w:p>
        </w:tc>
        <w:tc>
          <w:tcPr>
            <w:tcW w:w="746" w:type="dxa"/>
            <w:shd w:val="clear" w:color="auto" w:fill="E1EEDA"/>
          </w:tcPr>
          <w:p>
            <w:pPr>
              <w:pStyle w:val="TableParagraph"/>
              <w:rPr>
                <w:rFonts w:ascii="Times New Roman"/>
                <w:sz w:val="8"/>
              </w:rPr>
            </w:pPr>
          </w:p>
        </w:tc>
        <w:tc>
          <w:tcPr>
            <w:tcW w:w="744" w:type="dxa"/>
          </w:tcPr>
          <w:p>
            <w:pPr>
              <w:pStyle w:val="TableParagraph"/>
              <w:spacing w:line="112" w:lineRule="exact"/>
              <w:ind w:right="39"/>
              <w:jc w:val="right"/>
              <w:rPr>
                <w:sz w:val="11"/>
              </w:rPr>
            </w:pPr>
            <w:r>
              <w:rPr>
                <w:w w:val="95"/>
                <w:sz w:val="11"/>
              </w:rPr>
              <w:t>752,01</w:t>
            </w:r>
          </w:p>
        </w:tc>
        <w:tc>
          <w:tcPr>
            <w:tcW w:w="707" w:type="dxa"/>
          </w:tcPr>
          <w:p>
            <w:pPr>
              <w:pStyle w:val="TableParagraph"/>
              <w:spacing w:line="112" w:lineRule="exact"/>
              <w:ind w:right="38"/>
              <w:jc w:val="right"/>
              <w:rPr>
                <w:sz w:val="11"/>
              </w:rPr>
            </w:pPr>
            <w:r>
              <w:rPr>
                <w:sz w:val="11"/>
              </w:rPr>
              <w:t>1.007,88</w:t>
            </w:r>
          </w:p>
        </w:tc>
        <w:tc>
          <w:tcPr>
            <w:tcW w:w="742" w:type="dxa"/>
          </w:tcPr>
          <w:p>
            <w:pPr>
              <w:pStyle w:val="TableParagraph"/>
              <w:spacing w:line="112" w:lineRule="exact"/>
              <w:ind w:right="38"/>
              <w:jc w:val="right"/>
              <w:rPr>
                <w:sz w:val="11"/>
              </w:rPr>
            </w:pPr>
            <w:r>
              <w:rPr>
                <w:sz w:val="11"/>
              </w:rPr>
              <w:t>134.172,55</w:t>
            </w:r>
          </w:p>
        </w:tc>
        <w:tc>
          <w:tcPr>
            <w:tcW w:w="740" w:type="dxa"/>
            <w:tcBorders>
              <w:right w:val="single" w:sz="4" w:space="0" w:color="000000"/>
            </w:tcBorders>
          </w:tcPr>
          <w:p>
            <w:pPr>
              <w:pStyle w:val="TableParagraph"/>
              <w:spacing w:line="112" w:lineRule="exact"/>
              <w:ind w:right="31"/>
              <w:jc w:val="right"/>
              <w:rPr>
                <w:sz w:val="11"/>
              </w:rPr>
            </w:pPr>
            <w:r>
              <w:rPr>
                <w:sz w:val="11"/>
              </w:rPr>
              <w:t>2.853,99</w:t>
            </w:r>
          </w:p>
        </w:tc>
      </w:tr>
      <w:tr>
        <w:trPr>
          <w:trHeight w:val="132"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2" w:lineRule="exact"/>
              <w:ind w:right="52"/>
              <w:jc w:val="right"/>
              <w:rPr>
                <w:sz w:val="11"/>
              </w:rPr>
            </w:pPr>
            <w:r>
              <w:rPr>
                <w:w w:val="95"/>
                <w:sz w:val="11"/>
              </w:rPr>
              <w:t>0,00</w:t>
            </w:r>
          </w:p>
        </w:tc>
        <w:tc>
          <w:tcPr>
            <w:tcW w:w="814" w:type="dxa"/>
            <w:shd w:val="clear" w:color="auto" w:fill="FBE3D5"/>
          </w:tcPr>
          <w:p>
            <w:pPr>
              <w:pStyle w:val="TableParagraph"/>
              <w:spacing w:line="112" w:lineRule="exact"/>
              <w:ind w:right="49"/>
              <w:jc w:val="right"/>
              <w:rPr>
                <w:sz w:val="11"/>
              </w:rPr>
            </w:pPr>
            <w:r>
              <w:rPr>
                <w:w w:val="95"/>
                <w:sz w:val="11"/>
              </w:rPr>
              <w:t>0,00</w:t>
            </w:r>
          </w:p>
        </w:tc>
        <w:tc>
          <w:tcPr>
            <w:tcW w:w="741" w:type="dxa"/>
            <w:shd w:val="clear" w:color="auto" w:fill="E1EEDA"/>
          </w:tcPr>
          <w:p>
            <w:pPr>
              <w:pStyle w:val="TableParagraph"/>
              <w:rPr>
                <w:rFonts w:ascii="Times New Roman"/>
                <w:sz w:val="8"/>
              </w:rPr>
            </w:pPr>
          </w:p>
        </w:tc>
        <w:tc>
          <w:tcPr>
            <w:tcW w:w="797" w:type="dxa"/>
            <w:shd w:val="clear" w:color="auto" w:fill="E1EEDA"/>
          </w:tcPr>
          <w:p>
            <w:pPr>
              <w:pStyle w:val="TableParagraph"/>
              <w:rPr>
                <w:rFonts w:ascii="Times New Roman"/>
                <w:sz w:val="8"/>
              </w:rPr>
            </w:pPr>
          </w:p>
        </w:tc>
        <w:tc>
          <w:tcPr>
            <w:tcW w:w="838" w:type="dxa"/>
            <w:shd w:val="clear" w:color="auto" w:fill="FAE3D4"/>
          </w:tcPr>
          <w:p>
            <w:pPr>
              <w:pStyle w:val="TableParagraph"/>
              <w:spacing w:line="112" w:lineRule="exact"/>
              <w:ind w:right="48"/>
              <w:jc w:val="right"/>
              <w:rPr>
                <w:sz w:val="11"/>
              </w:rPr>
            </w:pPr>
            <w:r>
              <w:rPr>
                <w:w w:val="95"/>
                <w:sz w:val="11"/>
              </w:rPr>
              <w:t>0,00</w:t>
            </w:r>
          </w:p>
        </w:tc>
        <w:tc>
          <w:tcPr>
            <w:tcW w:w="744" w:type="dxa"/>
            <w:shd w:val="clear" w:color="auto" w:fill="FAE3D4"/>
          </w:tcPr>
          <w:p>
            <w:pPr>
              <w:pStyle w:val="TableParagraph"/>
              <w:spacing w:line="112" w:lineRule="exact"/>
              <w:ind w:right="44"/>
              <w:jc w:val="right"/>
              <w:rPr>
                <w:sz w:val="11"/>
              </w:rPr>
            </w:pPr>
            <w:r>
              <w:rPr>
                <w:w w:val="95"/>
                <w:sz w:val="11"/>
              </w:rPr>
              <w:t>0,00</w:t>
            </w:r>
          </w:p>
        </w:tc>
        <w:tc>
          <w:tcPr>
            <w:tcW w:w="800" w:type="dxa"/>
            <w:shd w:val="clear" w:color="auto" w:fill="E1EEDA"/>
          </w:tcPr>
          <w:p>
            <w:pPr>
              <w:pStyle w:val="TableParagraph"/>
              <w:rPr>
                <w:rFonts w:ascii="Times New Roman"/>
                <w:sz w:val="8"/>
              </w:rPr>
            </w:pPr>
          </w:p>
        </w:tc>
        <w:tc>
          <w:tcPr>
            <w:tcW w:w="746" w:type="dxa"/>
            <w:shd w:val="clear" w:color="auto" w:fill="E1EEDA"/>
          </w:tcPr>
          <w:p>
            <w:pPr>
              <w:pStyle w:val="TableParagraph"/>
              <w:rPr>
                <w:rFonts w:ascii="Times New Roman"/>
                <w:sz w:val="8"/>
              </w:rPr>
            </w:pPr>
          </w:p>
        </w:tc>
        <w:tc>
          <w:tcPr>
            <w:tcW w:w="744" w:type="dxa"/>
          </w:tcPr>
          <w:p>
            <w:pPr>
              <w:pStyle w:val="TableParagraph"/>
              <w:spacing w:line="112" w:lineRule="exact"/>
              <w:ind w:right="39"/>
              <w:jc w:val="right"/>
              <w:rPr>
                <w:sz w:val="11"/>
              </w:rPr>
            </w:pPr>
            <w:r>
              <w:rPr>
                <w:w w:val="95"/>
                <w:sz w:val="11"/>
              </w:rPr>
              <w:t>0,00</w:t>
            </w:r>
          </w:p>
        </w:tc>
        <w:tc>
          <w:tcPr>
            <w:tcW w:w="707" w:type="dxa"/>
          </w:tcPr>
          <w:p>
            <w:pPr>
              <w:pStyle w:val="TableParagraph"/>
              <w:spacing w:line="112" w:lineRule="exact"/>
              <w:ind w:right="38"/>
              <w:jc w:val="right"/>
              <w:rPr>
                <w:sz w:val="11"/>
              </w:rPr>
            </w:pPr>
            <w:r>
              <w:rPr>
                <w:w w:val="95"/>
                <w:sz w:val="11"/>
              </w:rPr>
              <w:t>0,00</w:t>
            </w:r>
          </w:p>
        </w:tc>
        <w:tc>
          <w:tcPr>
            <w:tcW w:w="742" w:type="dxa"/>
          </w:tcPr>
          <w:p>
            <w:pPr>
              <w:pStyle w:val="TableParagraph"/>
              <w:spacing w:line="112" w:lineRule="exact"/>
              <w:ind w:right="38"/>
              <w:jc w:val="right"/>
              <w:rPr>
                <w:sz w:val="11"/>
              </w:rPr>
            </w:pPr>
            <w:r>
              <w:rPr>
                <w:w w:val="95"/>
                <w:sz w:val="11"/>
              </w:rPr>
              <w:t>0,00</w:t>
            </w:r>
          </w:p>
        </w:tc>
        <w:tc>
          <w:tcPr>
            <w:tcW w:w="740" w:type="dxa"/>
            <w:tcBorders>
              <w:right w:val="single" w:sz="4" w:space="0" w:color="000000"/>
            </w:tcBorders>
          </w:tcPr>
          <w:p>
            <w:pPr>
              <w:pStyle w:val="TableParagraph"/>
              <w:spacing w:line="112" w:lineRule="exact"/>
              <w:ind w:right="31"/>
              <w:jc w:val="right"/>
              <w:rPr>
                <w:sz w:val="11"/>
              </w:rPr>
            </w:pPr>
            <w:r>
              <w:rPr>
                <w:w w:val="95"/>
                <w:sz w:val="11"/>
              </w:rPr>
              <w:t>0,00</w:t>
            </w:r>
          </w:p>
        </w:tc>
      </w:tr>
      <w:tr>
        <w:trPr>
          <w:trHeight w:val="166"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10"/>
              </w:rPr>
            </w:pPr>
          </w:p>
        </w:tc>
        <w:tc>
          <w:tcPr>
            <w:tcW w:w="772" w:type="dxa"/>
            <w:shd w:val="clear" w:color="auto" w:fill="FBE3D5"/>
          </w:tcPr>
          <w:p>
            <w:pPr>
              <w:pStyle w:val="TableParagraph"/>
              <w:spacing w:line="123" w:lineRule="exact"/>
              <w:ind w:right="52"/>
              <w:jc w:val="right"/>
              <w:rPr>
                <w:sz w:val="11"/>
              </w:rPr>
            </w:pPr>
            <w:r>
              <w:rPr>
                <w:w w:val="95"/>
                <w:sz w:val="11"/>
              </w:rPr>
              <w:t>0,00</w:t>
            </w:r>
          </w:p>
        </w:tc>
        <w:tc>
          <w:tcPr>
            <w:tcW w:w="814" w:type="dxa"/>
            <w:shd w:val="clear" w:color="auto" w:fill="FBE3D5"/>
          </w:tcPr>
          <w:p>
            <w:pPr>
              <w:pStyle w:val="TableParagraph"/>
              <w:spacing w:line="123" w:lineRule="exact"/>
              <w:ind w:right="49"/>
              <w:jc w:val="right"/>
              <w:rPr>
                <w:sz w:val="11"/>
              </w:rPr>
            </w:pPr>
            <w:r>
              <w:rPr>
                <w:w w:val="95"/>
                <w:sz w:val="11"/>
              </w:rPr>
              <w:t>0,00</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line="123" w:lineRule="exact"/>
              <w:ind w:right="48"/>
              <w:jc w:val="right"/>
              <w:rPr>
                <w:sz w:val="11"/>
              </w:rPr>
            </w:pPr>
            <w:r>
              <w:rPr>
                <w:w w:val="95"/>
                <w:sz w:val="11"/>
              </w:rPr>
              <w:t>0,00</w:t>
            </w:r>
          </w:p>
        </w:tc>
        <w:tc>
          <w:tcPr>
            <w:tcW w:w="744" w:type="dxa"/>
            <w:shd w:val="clear" w:color="auto" w:fill="FAE3D4"/>
          </w:tcPr>
          <w:p>
            <w:pPr>
              <w:pStyle w:val="TableParagraph"/>
              <w:spacing w:line="123" w:lineRule="exact"/>
              <w:ind w:right="44"/>
              <w:jc w:val="right"/>
              <w:rPr>
                <w:sz w:val="11"/>
              </w:rPr>
            </w:pPr>
            <w:r>
              <w:rPr>
                <w:w w:val="95"/>
                <w:sz w:val="11"/>
              </w:rPr>
              <w:t>0,00</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line="123" w:lineRule="exact"/>
              <w:ind w:right="39"/>
              <w:jc w:val="right"/>
              <w:rPr>
                <w:sz w:val="11"/>
              </w:rPr>
            </w:pPr>
            <w:r>
              <w:rPr>
                <w:w w:val="95"/>
                <w:sz w:val="11"/>
              </w:rPr>
              <w:t>0,00</w:t>
            </w:r>
          </w:p>
        </w:tc>
        <w:tc>
          <w:tcPr>
            <w:tcW w:w="707" w:type="dxa"/>
          </w:tcPr>
          <w:p>
            <w:pPr>
              <w:pStyle w:val="TableParagraph"/>
              <w:spacing w:line="123" w:lineRule="exact"/>
              <w:ind w:right="38"/>
              <w:jc w:val="right"/>
              <w:rPr>
                <w:sz w:val="11"/>
              </w:rPr>
            </w:pPr>
            <w:r>
              <w:rPr>
                <w:w w:val="95"/>
                <w:sz w:val="11"/>
              </w:rPr>
              <w:t>0,00</w:t>
            </w:r>
          </w:p>
        </w:tc>
        <w:tc>
          <w:tcPr>
            <w:tcW w:w="742" w:type="dxa"/>
          </w:tcPr>
          <w:p>
            <w:pPr>
              <w:pStyle w:val="TableParagraph"/>
              <w:spacing w:line="123" w:lineRule="exact"/>
              <w:ind w:right="38"/>
              <w:jc w:val="right"/>
              <w:rPr>
                <w:sz w:val="11"/>
              </w:rPr>
            </w:pPr>
            <w:r>
              <w:rPr>
                <w:w w:val="95"/>
                <w:sz w:val="11"/>
              </w:rPr>
              <w:t>0,00</w:t>
            </w:r>
          </w:p>
        </w:tc>
        <w:tc>
          <w:tcPr>
            <w:tcW w:w="740" w:type="dxa"/>
            <w:tcBorders>
              <w:right w:val="single" w:sz="4" w:space="0" w:color="000000"/>
            </w:tcBorders>
          </w:tcPr>
          <w:p>
            <w:pPr>
              <w:pStyle w:val="TableParagraph"/>
              <w:spacing w:line="123" w:lineRule="exact"/>
              <w:ind w:right="31"/>
              <w:jc w:val="right"/>
              <w:rPr>
                <w:sz w:val="11"/>
              </w:rPr>
            </w:pPr>
            <w:r>
              <w:rPr>
                <w:w w:val="95"/>
                <w:sz w:val="11"/>
              </w:rPr>
              <w:t>0,00</w:t>
            </w:r>
          </w:p>
        </w:tc>
      </w:tr>
      <w:tr>
        <w:trPr>
          <w:trHeight w:val="233"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10"/>
              </w:rPr>
            </w:pPr>
          </w:p>
        </w:tc>
        <w:tc>
          <w:tcPr>
            <w:tcW w:w="772" w:type="dxa"/>
            <w:shd w:val="clear" w:color="auto" w:fill="FBE3D5"/>
          </w:tcPr>
          <w:p>
            <w:pPr>
              <w:pStyle w:val="TableParagraph"/>
              <w:spacing w:before="22"/>
              <w:ind w:right="52"/>
              <w:jc w:val="right"/>
              <w:rPr>
                <w:sz w:val="11"/>
              </w:rPr>
            </w:pPr>
            <w:r>
              <w:rPr>
                <w:w w:val="95"/>
                <w:sz w:val="11"/>
              </w:rPr>
              <w:t>0,00</w:t>
            </w:r>
          </w:p>
        </w:tc>
        <w:tc>
          <w:tcPr>
            <w:tcW w:w="814" w:type="dxa"/>
            <w:shd w:val="clear" w:color="auto" w:fill="FBE3D5"/>
          </w:tcPr>
          <w:p>
            <w:pPr>
              <w:pStyle w:val="TableParagraph"/>
              <w:spacing w:before="22"/>
              <w:ind w:right="49"/>
              <w:jc w:val="right"/>
              <w:rPr>
                <w:sz w:val="11"/>
              </w:rPr>
            </w:pPr>
            <w:r>
              <w:rPr>
                <w:w w:val="95"/>
                <w:sz w:val="11"/>
              </w:rPr>
              <w:t>0,00</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before="22"/>
              <w:ind w:right="48"/>
              <w:jc w:val="right"/>
              <w:rPr>
                <w:sz w:val="11"/>
              </w:rPr>
            </w:pPr>
            <w:r>
              <w:rPr>
                <w:w w:val="95"/>
                <w:sz w:val="11"/>
              </w:rPr>
              <w:t>0,00</w:t>
            </w:r>
          </w:p>
        </w:tc>
        <w:tc>
          <w:tcPr>
            <w:tcW w:w="744" w:type="dxa"/>
            <w:shd w:val="clear" w:color="auto" w:fill="FAE3D4"/>
          </w:tcPr>
          <w:p>
            <w:pPr>
              <w:pStyle w:val="TableParagraph"/>
              <w:spacing w:before="22"/>
              <w:ind w:right="44"/>
              <w:jc w:val="right"/>
              <w:rPr>
                <w:sz w:val="11"/>
              </w:rPr>
            </w:pPr>
            <w:r>
              <w:rPr>
                <w:w w:val="95"/>
                <w:sz w:val="11"/>
              </w:rPr>
              <w:t>0,00</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before="22"/>
              <w:ind w:right="39"/>
              <w:jc w:val="right"/>
              <w:rPr>
                <w:sz w:val="11"/>
              </w:rPr>
            </w:pPr>
            <w:r>
              <w:rPr>
                <w:w w:val="95"/>
                <w:sz w:val="11"/>
              </w:rPr>
              <w:t>0,00</w:t>
            </w:r>
          </w:p>
        </w:tc>
        <w:tc>
          <w:tcPr>
            <w:tcW w:w="707" w:type="dxa"/>
          </w:tcPr>
          <w:p>
            <w:pPr>
              <w:pStyle w:val="TableParagraph"/>
              <w:spacing w:before="22"/>
              <w:ind w:right="38"/>
              <w:jc w:val="right"/>
              <w:rPr>
                <w:sz w:val="11"/>
              </w:rPr>
            </w:pPr>
            <w:r>
              <w:rPr>
                <w:w w:val="95"/>
                <w:sz w:val="11"/>
              </w:rPr>
              <w:t>0,00</w:t>
            </w:r>
          </w:p>
        </w:tc>
        <w:tc>
          <w:tcPr>
            <w:tcW w:w="742" w:type="dxa"/>
          </w:tcPr>
          <w:p>
            <w:pPr>
              <w:pStyle w:val="TableParagraph"/>
              <w:spacing w:before="22"/>
              <w:ind w:right="38"/>
              <w:jc w:val="right"/>
              <w:rPr>
                <w:sz w:val="11"/>
              </w:rPr>
            </w:pPr>
            <w:r>
              <w:rPr>
                <w:w w:val="95"/>
                <w:sz w:val="11"/>
              </w:rPr>
              <w:t>0,00</w:t>
            </w:r>
          </w:p>
        </w:tc>
        <w:tc>
          <w:tcPr>
            <w:tcW w:w="740" w:type="dxa"/>
            <w:tcBorders>
              <w:right w:val="single" w:sz="4" w:space="0" w:color="000000"/>
            </w:tcBorders>
          </w:tcPr>
          <w:p>
            <w:pPr>
              <w:pStyle w:val="TableParagraph"/>
              <w:spacing w:before="22"/>
              <w:ind w:right="31"/>
              <w:jc w:val="right"/>
              <w:rPr>
                <w:sz w:val="11"/>
              </w:rPr>
            </w:pPr>
            <w:r>
              <w:rPr>
                <w:w w:val="95"/>
                <w:sz w:val="11"/>
              </w:rPr>
              <w:t>0,00</w:t>
            </w:r>
          </w:p>
        </w:tc>
      </w:tr>
      <w:tr>
        <w:trPr>
          <w:trHeight w:val="232"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10"/>
              </w:rPr>
            </w:pPr>
          </w:p>
        </w:tc>
        <w:tc>
          <w:tcPr>
            <w:tcW w:w="772" w:type="dxa"/>
            <w:shd w:val="clear" w:color="auto" w:fill="FBE3D5"/>
          </w:tcPr>
          <w:p>
            <w:pPr>
              <w:pStyle w:val="TableParagraph"/>
              <w:spacing w:before="55"/>
              <w:ind w:right="52"/>
              <w:jc w:val="right"/>
              <w:rPr>
                <w:sz w:val="11"/>
              </w:rPr>
            </w:pPr>
            <w:r>
              <w:rPr>
                <w:w w:val="95"/>
                <w:sz w:val="11"/>
              </w:rPr>
              <w:t>0,00</w:t>
            </w:r>
          </w:p>
        </w:tc>
        <w:tc>
          <w:tcPr>
            <w:tcW w:w="814" w:type="dxa"/>
            <w:shd w:val="clear" w:color="auto" w:fill="FBE3D5"/>
          </w:tcPr>
          <w:p>
            <w:pPr>
              <w:pStyle w:val="TableParagraph"/>
              <w:spacing w:before="55"/>
              <w:ind w:right="49"/>
              <w:jc w:val="right"/>
              <w:rPr>
                <w:sz w:val="11"/>
              </w:rPr>
            </w:pPr>
            <w:r>
              <w:rPr>
                <w:sz w:val="11"/>
              </w:rPr>
              <w:t>165.051,15</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before="55"/>
              <w:ind w:right="48"/>
              <w:jc w:val="right"/>
              <w:rPr>
                <w:sz w:val="11"/>
              </w:rPr>
            </w:pPr>
            <w:r>
              <w:rPr>
                <w:sz w:val="11"/>
              </w:rPr>
              <w:t>165.051,15</w:t>
            </w:r>
          </w:p>
        </w:tc>
        <w:tc>
          <w:tcPr>
            <w:tcW w:w="744" w:type="dxa"/>
            <w:shd w:val="clear" w:color="auto" w:fill="FAE3D4"/>
          </w:tcPr>
          <w:p>
            <w:pPr>
              <w:pStyle w:val="TableParagraph"/>
              <w:spacing w:before="55"/>
              <w:ind w:right="44"/>
              <w:jc w:val="right"/>
              <w:rPr>
                <w:sz w:val="11"/>
              </w:rPr>
            </w:pPr>
            <w:r>
              <w:rPr>
                <w:w w:val="95"/>
                <w:sz w:val="11"/>
              </w:rPr>
              <w:t>0,00</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before="55"/>
              <w:ind w:right="39"/>
              <w:jc w:val="right"/>
              <w:rPr>
                <w:sz w:val="11"/>
              </w:rPr>
            </w:pPr>
            <w:r>
              <w:rPr>
                <w:w w:val="95"/>
                <w:sz w:val="11"/>
              </w:rPr>
              <w:t>0,00</w:t>
            </w:r>
          </w:p>
        </w:tc>
        <w:tc>
          <w:tcPr>
            <w:tcW w:w="707" w:type="dxa"/>
          </w:tcPr>
          <w:p>
            <w:pPr>
              <w:pStyle w:val="TableParagraph"/>
              <w:spacing w:before="55"/>
              <w:ind w:right="38"/>
              <w:jc w:val="right"/>
              <w:rPr>
                <w:sz w:val="11"/>
              </w:rPr>
            </w:pPr>
            <w:r>
              <w:rPr>
                <w:w w:val="95"/>
                <w:sz w:val="11"/>
              </w:rPr>
              <w:t>0,00</w:t>
            </w:r>
          </w:p>
        </w:tc>
        <w:tc>
          <w:tcPr>
            <w:tcW w:w="742" w:type="dxa"/>
          </w:tcPr>
          <w:p>
            <w:pPr>
              <w:pStyle w:val="TableParagraph"/>
              <w:spacing w:before="55"/>
              <w:ind w:right="38"/>
              <w:jc w:val="right"/>
              <w:rPr>
                <w:sz w:val="11"/>
              </w:rPr>
            </w:pPr>
            <w:r>
              <w:rPr>
                <w:sz w:val="11"/>
              </w:rPr>
              <w:t>165.051,15</w:t>
            </w:r>
          </w:p>
        </w:tc>
        <w:tc>
          <w:tcPr>
            <w:tcW w:w="740" w:type="dxa"/>
            <w:tcBorders>
              <w:right w:val="single" w:sz="4" w:space="0" w:color="000000"/>
            </w:tcBorders>
          </w:tcPr>
          <w:p>
            <w:pPr>
              <w:pStyle w:val="TableParagraph"/>
              <w:spacing w:before="55"/>
              <w:ind w:right="31"/>
              <w:jc w:val="right"/>
              <w:rPr>
                <w:sz w:val="11"/>
              </w:rPr>
            </w:pPr>
            <w:r>
              <w:rPr>
                <w:w w:val="95"/>
                <w:sz w:val="11"/>
              </w:rPr>
              <w:t>0,00</w:t>
            </w:r>
          </w:p>
        </w:tc>
      </w:tr>
      <w:tr>
        <w:trPr>
          <w:trHeight w:val="165"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10"/>
              </w:rPr>
            </w:pPr>
          </w:p>
        </w:tc>
        <w:tc>
          <w:tcPr>
            <w:tcW w:w="772" w:type="dxa"/>
            <w:shd w:val="clear" w:color="auto" w:fill="FBE3D5"/>
          </w:tcPr>
          <w:p>
            <w:pPr>
              <w:pStyle w:val="TableParagraph"/>
              <w:spacing w:line="125" w:lineRule="exact" w:before="21"/>
              <w:ind w:right="52"/>
              <w:jc w:val="right"/>
              <w:rPr>
                <w:sz w:val="11"/>
              </w:rPr>
            </w:pPr>
            <w:r>
              <w:rPr>
                <w:w w:val="95"/>
                <w:sz w:val="11"/>
              </w:rPr>
              <w:t>0,00</w:t>
            </w:r>
          </w:p>
        </w:tc>
        <w:tc>
          <w:tcPr>
            <w:tcW w:w="814" w:type="dxa"/>
            <w:shd w:val="clear" w:color="auto" w:fill="FBE3D5"/>
          </w:tcPr>
          <w:p>
            <w:pPr>
              <w:pStyle w:val="TableParagraph"/>
              <w:spacing w:line="125" w:lineRule="exact" w:before="21"/>
              <w:ind w:right="49"/>
              <w:jc w:val="right"/>
              <w:rPr>
                <w:sz w:val="11"/>
              </w:rPr>
            </w:pPr>
            <w:r>
              <w:rPr>
                <w:w w:val="95"/>
                <w:sz w:val="11"/>
              </w:rPr>
              <w:t>0,00</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line="125" w:lineRule="exact" w:before="21"/>
              <w:ind w:right="48"/>
              <w:jc w:val="right"/>
              <w:rPr>
                <w:sz w:val="11"/>
              </w:rPr>
            </w:pPr>
            <w:r>
              <w:rPr>
                <w:w w:val="95"/>
                <w:sz w:val="11"/>
              </w:rPr>
              <w:t>0,00</w:t>
            </w:r>
          </w:p>
        </w:tc>
        <w:tc>
          <w:tcPr>
            <w:tcW w:w="744" w:type="dxa"/>
            <w:shd w:val="clear" w:color="auto" w:fill="FAE3D4"/>
          </w:tcPr>
          <w:p>
            <w:pPr>
              <w:pStyle w:val="TableParagraph"/>
              <w:spacing w:line="125" w:lineRule="exact" w:before="21"/>
              <w:ind w:right="44"/>
              <w:jc w:val="right"/>
              <w:rPr>
                <w:sz w:val="11"/>
              </w:rPr>
            </w:pPr>
            <w:r>
              <w:rPr>
                <w:w w:val="95"/>
                <w:sz w:val="11"/>
              </w:rPr>
              <w:t>0,00</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line="125" w:lineRule="exact" w:before="21"/>
              <w:ind w:right="39"/>
              <w:jc w:val="right"/>
              <w:rPr>
                <w:sz w:val="11"/>
              </w:rPr>
            </w:pPr>
            <w:r>
              <w:rPr>
                <w:w w:val="95"/>
                <w:sz w:val="11"/>
              </w:rPr>
              <w:t>0,00</w:t>
            </w:r>
          </w:p>
        </w:tc>
        <w:tc>
          <w:tcPr>
            <w:tcW w:w="707" w:type="dxa"/>
          </w:tcPr>
          <w:p>
            <w:pPr>
              <w:pStyle w:val="TableParagraph"/>
              <w:spacing w:line="125" w:lineRule="exact" w:before="21"/>
              <w:ind w:right="38"/>
              <w:jc w:val="right"/>
              <w:rPr>
                <w:sz w:val="11"/>
              </w:rPr>
            </w:pPr>
            <w:r>
              <w:rPr>
                <w:w w:val="95"/>
                <w:sz w:val="11"/>
              </w:rPr>
              <w:t>0,00</w:t>
            </w:r>
          </w:p>
        </w:tc>
        <w:tc>
          <w:tcPr>
            <w:tcW w:w="742" w:type="dxa"/>
          </w:tcPr>
          <w:p>
            <w:pPr>
              <w:pStyle w:val="TableParagraph"/>
              <w:spacing w:line="125" w:lineRule="exact" w:before="21"/>
              <w:ind w:right="38"/>
              <w:jc w:val="right"/>
              <w:rPr>
                <w:sz w:val="11"/>
              </w:rPr>
            </w:pPr>
            <w:r>
              <w:rPr>
                <w:w w:val="95"/>
                <w:sz w:val="11"/>
              </w:rPr>
              <w:t>0,00</w:t>
            </w:r>
          </w:p>
        </w:tc>
        <w:tc>
          <w:tcPr>
            <w:tcW w:w="740" w:type="dxa"/>
            <w:tcBorders>
              <w:right w:val="single" w:sz="4" w:space="0" w:color="000000"/>
            </w:tcBorders>
          </w:tcPr>
          <w:p>
            <w:pPr>
              <w:pStyle w:val="TableParagraph"/>
              <w:spacing w:line="125" w:lineRule="exact" w:before="21"/>
              <w:ind w:right="31"/>
              <w:jc w:val="right"/>
              <w:rPr>
                <w:sz w:val="11"/>
              </w:rPr>
            </w:pPr>
            <w:r>
              <w:rPr>
                <w:w w:val="95"/>
                <w:sz w:val="11"/>
              </w:rPr>
              <w:t>0,00</w:t>
            </w:r>
          </w:p>
        </w:tc>
      </w:tr>
      <w:tr>
        <w:trPr>
          <w:trHeight w:val="133"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8"/>
              </w:rPr>
            </w:pPr>
          </w:p>
        </w:tc>
        <w:tc>
          <w:tcPr>
            <w:tcW w:w="772" w:type="dxa"/>
            <w:shd w:val="clear" w:color="auto" w:fill="FBE3D5"/>
          </w:tcPr>
          <w:p>
            <w:pPr>
              <w:pStyle w:val="TableParagraph"/>
              <w:spacing w:line="113" w:lineRule="exact"/>
              <w:ind w:left="141"/>
              <w:rPr>
                <w:sz w:val="11"/>
              </w:rPr>
            </w:pPr>
            <w:r>
              <w:rPr>
                <w:sz w:val="11"/>
              </w:rPr>
              <w:t>6.439.893,17</w:t>
            </w:r>
          </w:p>
        </w:tc>
        <w:tc>
          <w:tcPr>
            <w:tcW w:w="814" w:type="dxa"/>
            <w:shd w:val="clear" w:color="auto" w:fill="FBE3D5"/>
          </w:tcPr>
          <w:p>
            <w:pPr>
              <w:pStyle w:val="TableParagraph"/>
              <w:spacing w:line="113" w:lineRule="exact"/>
              <w:ind w:right="49"/>
              <w:jc w:val="right"/>
              <w:rPr>
                <w:sz w:val="11"/>
              </w:rPr>
            </w:pPr>
            <w:r>
              <w:rPr>
                <w:sz w:val="11"/>
              </w:rPr>
              <w:t>31.315.399,72</w:t>
            </w:r>
          </w:p>
        </w:tc>
        <w:tc>
          <w:tcPr>
            <w:tcW w:w="741" w:type="dxa"/>
            <w:shd w:val="clear" w:color="auto" w:fill="E1EEDA"/>
          </w:tcPr>
          <w:p>
            <w:pPr>
              <w:pStyle w:val="TableParagraph"/>
              <w:rPr>
                <w:rFonts w:ascii="Times New Roman"/>
                <w:sz w:val="8"/>
              </w:rPr>
            </w:pPr>
          </w:p>
        </w:tc>
        <w:tc>
          <w:tcPr>
            <w:tcW w:w="797" w:type="dxa"/>
            <w:shd w:val="clear" w:color="auto" w:fill="E1EEDA"/>
          </w:tcPr>
          <w:p>
            <w:pPr>
              <w:pStyle w:val="TableParagraph"/>
              <w:rPr>
                <w:rFonts w:ascii="Times New Roman"/>
                <w:sz w:val="8"/>
              </w:rPr>
            </w:pPr>
          </w:p>
        </w:tc>
        <w:tc>
          <w:tcPr>
            <w:tcW w:w="838" w:type="dxa"/>
            <w:shd w:val="clear" w:color="auto" w:fill="FAE3D4"/>
          </w:tcPr>
          <w:p>
            <w:pPr>
              <w:pStyle w:val="TableParagraph"/>
              <w:spacing w:line="113" w:lineRule="exact"/>
              <w:ind w:right="49"/>
              <w:jc w:val="right"/>
              <w:rPr>
                <w:sz w:val="11"/>
              </w:rPr>
            </w:pPr>
            <w:r>
              <w:rPr>
                <w:sz w:val="11"/>
              </w:rPr>
              <w:t>34.162.625,97</w:t>
            </w:r>
          </w:p>
        </w:tc>
        <w:tc>
          <w:tcPr>
            <w:tcW w:w="744" w:type="dxa"/>
            <w:shd w:val="clear" w:color="auto" w:fill="FAE3D4"/>
          </w:tcPr>
          <w:p>
            <w:pPr>
              <w:pStyle w:val="TableParagraph"/>
              <w:spacing w:line="113" w:lineRule="exact"/>
              <w:ind w:right="45"/>
              <w:jc w:val="right"/>
              <w:rPr>
                <w:sz w:val="11"/>
              </w:rPr>
            </w:pPr>
            <w:r>
              <w:rPr>
                <w:sz w:val="11"/>
              </w:rPr>
              <w:t>3.592.666,92</w:t>
            </w:r>
          </w:p>
        </w:tc>
        <w:tc>
          <w:tcPr>
            <w:tcW w:w="800" w:type="dxa"/>
            <w:shd w:val="clear" w:color="auto" w:fill="E1EEDA"/>
          </w:tcPr>
          <w:p>
            <w:pPr>
              <w:pStyle w:val="TableParagraph"/>
              <w:rPr>
                <w:rFonts w:ascii="Times New Roman"/>
                <w:sz w:val="8"/>
              </w:rPr>
            </w:pPr>
          </w:p>
        </w:tc>
        <w:tc>
          <w:tcPr>
            <w:tcW w:w="746" w:type="dxa"/>
            <w:shd w:val="clear" w:color="auto" w:fill="E1EEDA"/>
          </w:tcPr>
          <w:p>
            <w:pPr>
              <w:pStyle w:val="TableParagraph"/>
              <w:rPr>
                <w:rFonts w:ascii="Times New Roman"/>
                <w:sz w:val="8"/>
              </w:rPr>
            </w:pPr>
          </w:p>
        </w:tc>
        <w:tc>
          <w:tcPr>
            <w:tcW w:w="744" w:type="dxa"/>
          </w:tcPr>
          <w:p>
            <w:pPr>
              <w:pStyle w:val="TableParagraph"/>
              <w:spacing w:line="113" w:lineRule="exact"/>
              <w:ind w:right="40"/>
              <w:jc w:val="right"/>
              <w:rPr>
                <w:sz w:val="11"/>
              </w:rPr>
            </w:pPr>
            <w:r>
              <w:rPr>
                <w:sz w:val="11"/>
              </w:rPr>
              <w:t>4.164.721,81</w:t>
            </w:r>
          </w:p>
        </w:tc>
        <w:tc>
          <w:tcPr>
            <w:tcW w:w="707" w:type="dxa"/>
          </w:tcPr>
          <w:p>
            <w:pPr>
              <w:pStyle w:val="TableParagraph"/>
              <w:spacing w:line="113" w:lineRule="exact"/>
              <w:ind w:right="38"/>
              <w:jc w:val="right"/>
              <w:rPr>
                <w:sz w:val="11"/>
              </w:rPr>
            </w:pPr>
            <w:r>
              <w:rPr>
                <w:sz w:val="11"/>
              </w:rPr>
              <w:t>2.275.171,36</w:t>
            </w:r>
          </w:p>
        </w:tc>
        <w:tc>
          <w:tcPr>
            <w:tcW w:w="742" w:type="dxa"/>
          </w:tcPr>
          <w:p>
            <w:pPr>
              <w:pStyle w:val="TableParagraph"/>
              <w:spacing w:line="113" w:lineRule="exact"/>
              <w:ind w:right="39"/>
              <w:jc w:val="right"/>
              <w:rPr>
                <w:sz w:val="11"/>
              </w:rPr>
            </w:pPr>
            <w:r>
              <w:rPr>
                <w:sz w:val="11"/>
              </w:rPr>
              <w:t>29.997.904,16</w:t>
            </w:r>
          </w:p>
        </w:tc>
        <w:tc>
          <w:tcPr>
            <w:tcW w:w="740" w:type="dxa"/>
            <w:tcBorders>
              <w:right w:val="single" w:sz="4" w:space="0" w:color="000000"/>
            </w:tcBorders>
          </w:tcPr>
          <w:p>
            <w:pPr>
              <w:pStyle w:val="TableParagraph"/>
              <w:spacing w:line="113" w:lineRule="exact"/>
              <w:ind w:right="31"/>
              <w:jc w:val="right"/>
              <w:rPr>
                <w:sz w:val="11"/>
              </w:rPr>
            </w:pPr>
            <w:r>
              <w:rPr>
                <w:sz w:val="11"/>
              </w:rPr>
              <w:t>1.317.495,56</w:t>
            </w:r>
          </w:p>
        </w:tc>
      </w:tr>
      <w:tr>
        <w:trPr>
          <w:trHeight w:val="165"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spacing w:line="123" w:lineRule="exact"/>
              <w:ind w:right="50"/>
              <w:jc w:val="right"/>
              <w:rPr>
                <w:sz w:val="11"/>
              </w:rPr>
            </w:pPr>
            <w:r>
              <w:rPr>
                <w:sz w:val="11"/>
              </w:rPr>
              <w:t>326.076,56</w:t>
            </w:r>
          </w:p>
        </w:tc>
        <w:tc>
          <w:tcPr>
            <w:tcW w:w="772" w:type="dxa"/>
            <w:shd w:val="clear" w:color="auto" w:fill="FBE3D5"/>
          </w:tcPr>
          <w:p>
            <w:pPr>
              <w:pStyle w:val="TableParagraph"/>
              <w:spacing w:line="123" w:lineRule="exact"/>
              <w:ind w:right="52"/>
              <w:jc w:val="right"/>
              <w:rPr>
                <w:sz w:val="11"/>
              </w:rPr>
            </w:pPr>
            <w:r>
              <w:rPr>
                <w:sz w:val="11"/>
              </w:rPr>
              <w:t>9.959,76</w:t>
            </w:r>
          </w:p>
        </w:tc>
        <w:tc>
          <w:tcPr>
            <w:tcW w:w="814" w:type="dxa"/>
            <w:shd w:val="clear" w:color="auto" w:fill="FBE3D5"/>
          </w:tcPr>
          <w:p>
            <w:pPr>
              <w:pStyle w:val="TableParagraph"/>
              <w:spacing w:line="123" w:lineRule="exact"/>
              <w:ind w:right="49"/>
              <w:jc w:val="right"/>
              <w:rPr>
                <w:sz w:val="11"/>
              </w:rPr>
            </w:pPr>
            <w:r>
              <w:rPr>
                <w:sz w:val="11"/>
              </w:rPr>
              <w:t>2.572.588,01</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line="123" w:lineRule="exact"/>
              <w:ind w:right="49"/>
              <w:jc w:val="right"/>
              <w:rPr>
                <w:sz w:val="11"/>
              </w:rPr>
            </w:pPr>
            <w:r>
              <w:rPr>
                <w:sz w:val="11"/>
              </w:rPr>
              <w:t>2.206.126,30</w:t>
            </w:r>
          </w:p>
        </w:tc>
        <w:tc>
          <w:tcPr>
            <w:tcW w:w="744" w:type="dxa"/>
            <w:shd w:val="clear" w:color="auto" w:fill="FAE3D4"/>
          </w:tcPr>
          <w:p>
            <w:pPr>
              <w:pStyle w:val="TableParagraph"/>
              <w:spacing w:line="123" w:lineRule="exact"/>
              <w:ind w:right="45"/>
              <w:jc w:val="right"/>
              <w:rPr>
                <w:sz w:val="11"/>
              </w:rPr>
            </w:pPr>
            <w:r>
              <w:rPr>
                <w:sz w:val="11"/>
              </w:rPr>
              <w:t>376.421,47</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line="123" w:lineRule="exact"/>
              <w:ind w:right="40"/>
              <w:jc w:val="right"/>
              <w:rPr>
                <w:sz w:val="11"/>
              </w:rPr>
            </w:pPr>
            <w:r>
              <w:rPr>
                <w:sz w:val="11"/>
              </w:rPr>
              <w:t>9.959,76</w:t>
            </w:r>
          </w:p>
        </w:tc>
        <w:tc>
          <w:tcPr>
            <w:tcW w:w="707" w:type="dxa"/>
          </w:tcPr>
          <w:p>
            <w:pPr>
              <w:pStyle w:val="TableParagraph"/>
              <w:spacing w:line="123" w:lineRule="exact"/>
              <w:ind w:right="38"/>
              <w:jc w:val="right"/>
              <w:rPr>
                <w:sz w:val="11"/>
              </w:rPr>
            </w:pPr>
            <w:r>
              <w:rPr>
                <w:w w:val="95"/>
                <w:sz w:val="11"/>
              </w:rPr>
              <w:t>0,00</w:t>
            </w:r>
          </w:p>
        </w:tc>
        <w:tc>
          <w:tcPr>
            <w:tcW w:w="742" w:type="dxa"/>
          </w:tcPr>
          <w:p>
            <w:pPr>
              <w:pStyle w:val="TableParagraph"/>
              <w:spacing w:line="123" w:lineRule="exact"/>
              <w:ind w:right="38"/>
              <w:jc w:val="right"/>
              <w:rPr>
                <w:sz w:val="11"/>
              </w:rPr>
            </w:pPr>
            <w:r>
              <w:rPr>
                <w:sz w:val="11"/>
              </w:rPr>
              <w:t>2.196.166,54</w:t>
            </w:r>
          </w:p>
        </w:tc>
        <w:tc>
          <w:tcPr>
            <w:tcW w:w="740" w:type="dxa"/>
            <w:tcBorders>
              <w:right w:val="single" w:sz="4" w:space="0" w:color="000000"/>
            </w:tcBorders>
          </w:tcPr>
          <w:p>
            <w:pPr>
              <w:pStyle w:val="TableParagraph"/>
              <w:spacing w:line="123" w:lineRule="exact"/>
              <w:ind w:right="33"/>
              <w:jc w:val="right"/>
              <w:rPr>
                <w:sz w:val="11"/>
              </w:rPr>
            </w:pPr>
            <w:r>
              <w:rPr>
                <w:sz w:val="11"/>
              </w:rPr>
              <w:t>376.421,47</w:t>
            </w:r>
          </w:p>
        </w:tc>
      </w:tr>
      <w:tr>
        <w:trPr>
          <w:trHeight w:val="198"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10"/>
              </w:rPr>
            </w:pPr>
          </w:p>
        </w:tc>
        <w:tc>
          <w:tcPr>
            <w:tcW w:w="772" w:type="dxa"/>
            <w:shd w:val="clear" w:color="auto" w:fill="FBE3D5"/>
          </w:tcPr>
          <w:p>
            <w:pPr>
              <w:pStyle w:val="TableParagraph"/>
              <w:spacing w:before="22"/>
              <w:ind w:left="141"/>
              <w:rPr>
                <w:sz w:val="11"/>
              </w:rPr>
            </w:pPr>
            <w:r>
              <w:rPr>
                <w:sz w:val="11"/>
              </w:rPr>
              <w:t>3.588.402,79</w:t>
            </w:r>
          </w:p>
        </w:tc>
        <w:tc>
          <w:tcPr>
            <w:tcW w:w="814" w:type="dxa"/>
            <w:shd w:val="clear" w:color="auto" w:fill="FBE3D5"/>
          </w:tcPr>
          <w:p>
            <w:pPr>
              <w:pStyle w:val="TableParagraph"/>
              <w:spacing w:before="22"/>
              <w:ind w:right="49"/>
              <w:jc w:val="right"/>
              <w:rPr>
                <w:sz w:val="11"/>
              </w:rPr>
            </w:pPr>
            <w:r>
              <w:rPr>
                <w:sz w:val="11"/>
              </w:rPr>
              <w:t>35.357.179,11</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before="22"/>
              <w:ind w:right="49"/>
              <w:jc w:val="right"/>
              <w:rPr>
                <w:sz w:val="11"/>
              </w:rPr>
            </w:pPr>
            <w:r>
              <w:rPr>
                <w:sz w:val="11"/>
              </w:rPr>
              <w:t>37.044.660,07</w:t>
            </w:r>
          </w:p>
        </w:tc>
        <w:tc>
          <w:tcPr>
            <w:tcW w:w="744" w:type="dxa"/>
            <w:shd w:val="clear" w:color="auto" w:fill="FAE3D4"/>
          </w:tcPr>
          <w:p>
            <w:pPr>
              <w:pStyle w:val="TableParagraph"/>
              <w:spacing w:before="22"/>
              <w:ind w:right="45"/>
              <w:jc w:val="right"/>
              <w:rPr>
                <w:sz w:val="11"/>
              </w:rPr>
            </w:pPr>
            <w:r>
              <w:rPr>
                <w:sz w:val="11"/>
              </w:rPr>
              <w:t>1.900.921,83</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before="22"/>
              <w:ind w:right="40"/>
              <w:jc w:val="right"/>
              <w:rPr>
                <w:sz w:val="11"/>
              </w:rPr>
            </w:pPr>
            <w:r>
              <w:rPr>
                <w:sz w:val="11"/>
              </w:rPr>
              <w:t>2.047.210,40</w:t>
            </w:r>
          </w:p>
        </w:tc>
        <w:tc>
          <w:tcPr>
            <w:tcW w:w="707" w:type="dxa"/>
          </w:tcPr>
          <w:p>
            <w:pPr>
              <w:pStyle w:val="TableParagraph"/>
              <w:spacing w:before="22"/>
              <w:ind w:right="38"/>
              <w:jc w:val="right"/>
              <w:rPr>
                <w:sz w:val="11"/>
              </w:rPr>
            </w:pPr>
            <w:r>
              <w:rPr>
                <w:sz w:val="11"/>
              </w:rPr>
              <w:t>1.541.192,39</w:t>
            </w:r>
          </w:p>
        </w:tc>
        <w:tc>
          <w:tcPr>
            <w:tcW w:w="742" w:type="dxa"/>
          </w:tcPr>
          <w:p>
            <w:pPr>
              <w:pStyle w:val="TableParagraph"/>
              <w:spacing w:before="22"/>
              <w:ind w:right="39"/>
              <w:jc w:val="right"/>
              <w:rPr>
                <w:sz w:val="11"/>
              </w:rPr>
            </w:pPr>
            <w:r>
              <w:rPr>
                <w:sz w:val="11"/>
              </w:rPr>
              <w:t>34.997.449,67</w:t>
            </w:r>
          </w:p>
        </w:tc>
        <w:tc>
          <w:tcPr>
            <w:tcW w:w="740" w:type="dxa"/>
            <w:tcBorders>
              <w:right w:val="single" w:sz="4" w:space="0" w:color="000000"/>
            </w:tcBorders>
          </w:tcPr>
          <w:p>
            <w:pPr>
              <w:pStyle w:val="TableParagraph"/>
              <w:spacing w:before="22"/>
              <w:ind w:right="33"/>
              <w:jc w:val="right"/>
              <w:rPr>
                <w:sz w:val="11"/>
              </w:rPr>
            </w:pPr>
            <w:r>
              <w:rPr>
                <w:sz w:val="11"/>
              </w:rPr>
              <w:t>359.729,44</w:t>
            </w:r>
          </w:p>
        </w:tc>
      </w:tr>
      <w:tr>
        <w:trPr>
          <w:trHeight w:val="165"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10"/>
              </w:rPr>
            </w:pPr>
          </w:p>
        </w:tc>
        <w:tc>
          <w:tcPr>
            <w:tcW w:w="772" w:type="dxa"/>
            <w:shd w:val="clear" w:color="auto" w:fill="FBE3D5"/>
          </w:tcPr>
          <w:p>
            <w:pPr>
              <w:pStyle w:val="TableParagraph"/>
              <w:spacing w:line="125" w:lineRule="exact" w:before="21"/>
              <w:ind w:left="85"/>
              <w:rPr>
                <w:sz w:val="11"/>
              </w:rPr>
            </w:pPr>
            <w:r>
              <w:rPr>
                <w:sz w:val="11"/>
              </w:rPr>
              <w:t>13.352.912,45</w:t>
            </w:r>
          </w:p>
        </w:tc>
        <w:tc>
          <w:tcPr>
            <w:tcW w:w="814" w:type="dxa"/>
            <w:shd w:val="clear" w:color="auto" w:fill="FBE3D5"/>
          </w:tcPr>
          <w:p>
            <w:pPr>
              <w:pStyle w:val="TableParagraph"/>
              <w:spacing w:line="125" w:lineRule="exact" w:before="21"/>
              <w:ind w:right="49"/>
              <w:jc w:val="right"/>
              <w:rPr>
                <w:sz w:val="11"/>
              </w:rPr>
            </w:pPr>
            <w:r>
              <w:rPr>
                <w:sz w:val="11"/>
              </w:rPr>
              <w:t>14.054.150,49</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line="125" w:lineRule="exact" w:before="21"/>
              <w:ind w:right="49"/>
              <w:jc w:val="right"/>
              <w:rPr>
                <w:sz w:val="11"/>
              </w:rPr>
            </w:pPr>
            <w:r>
              <w:rPr>
                <w:sz w:val="11"/>
              </w:rPr>
              <w:t>24.751.008,29</w:t>
            </w:r>
          </w:p>
        </w:tc>
        <w:tc>
          <w:tcPr>
            <w:tcW w:w="744" w:type="dxa"/>
            <w:shd w:val="clear" w:color="auto" w:fill="FAE3D4"/>
          </w:tcPr>
          <w:p>
            <w:pPr>
              <w:pStyle w:val="TableParagraph"/>
              <w:spacing w:line="125" w:lineRule="exact" w:before="21"/>
              <w:ind w:right="45"/>
              <w:jc w:val="right"/>
              <w:rPr>
                <w:sz w:val="11"/>
              </w:rPr>
            </w:pPr>
            <w:r>
              <w:rPr>
                <w:sz w:val="11"/>
              </w:rPr>
              <w:t>2.656.054,65</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line="125" w:lineRule="exact" w:before="21"/>
              <w:ind w:right="40"/>
              <w:jc w:val="right"/>
              <w:rPr>
                <w:sz w:val="11"/>
              </w:rPr>
            </w:pPr>
            <w:r>
              <w:rPr>
                <w:sz w:val="11"/>
              </w:rPr>
              <w:t>11.956.225,45</w:t>
            </w:r>
          </w:p>
        </w:tc>
        <w:tc>
          <w:tcPr>
            <w:tcW w:w="707" w:type="dxa"/>
          </w:tcPr>
          <w:p>
            <w:pPr>
              <w:pStyle w:val="TableParagraph"/>
              <w:spacing w:line="125" w:lineRule="exact" w:before="21"/>
              <w:ind w:right="38"/>
              <w:jc w:val="right"/>
              <w:rPr>
                <w:sz w:val="11"/>
              </w:rPr>
            </w:pPr>
            <w:r>
              <w:rPr>
                <w:sz w:val="11"/>
              </w:rPr>
              <w:t>1.396.687,00</w:t>
            </w:r>
          </w:p>
        </w:tc>
        <w:tc>
          <w:tcPr>
            <w:tcW w:w="742" w:type="dxa"/>
          </w:tcPr>
          <w:p>
            <w:pPr>
              <w:pStyle w:val="TableParagraph"/>
              <w:spacing w:line="125" w:lineRule="exact" w:before="21"/>
              <w:ind w:right="39"/>
              <w:jc w:val="right"/>
              <w:rPr>
                <w:sz w:val="11"/>
              </w:rPr>
            </w:pPr>
            <w:r>
              <w:rPr>
                <w:sz w:val="11"/>
              </w:rPr>
              <w:t>12.794.782,84</w:t>
            </w:r>
          </w:p>
        </w:tc>
        <w:tc>
          <w:tcPr>
            <w:tcW w:w="740" w:type="dxa"/>
            <w:tcBorders>
              <w:right w:val="single" w:sz="4" w:space="0" w:color="000000"/>
            </w:tcBorders>
          </w:tcPr>
          <w:p>
            <w:pPr>
              <w:pStyle w:val="TableParagraph"/>
              <w:spacing w:line="125" w:lineRule="exact" w:before="21"/>
              <w:ind w:right="31"/>
              <w:jc w:val="right"/>
              <w:rPr>
                <w:sz w:val="11"/>
              </w:rPr>
            </w:pPr>
            <w:r>
              <w:rPr>
                <w:sz w:val="11"/>
              </w:rPr>
              <w:t>1.259.367,65</w:t>
            </w:r>
          </w:p>
        </w:tc>
      </w:tr>
      <w:tr>
        <w:trPr>
          <w:trHeight w:val="165"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10"/>
              </w:rPr>
            </w:pPr>
          </w:p>
        </w:tc>
        <w:tc>
          <w:tcPr>
            <w:tcW w:w="772" w:type="dxa"/>
            <w:shd w:val="clear" w:color="auto" w:fill="FBE3D5"/>
          </w:tcPr>
          <w:p>
            <w:pPr>
              <w:pStyle w:val="TableParagraph"/>
              <w:spacing w:line="124" w:lineRule="exact"/>
              <w:ind w:right="52"/>
              <w:jc w:val="right"/>
              <w:rPr>
                <w:sz w:val="11"/>
              </w:rPr>
            </w:pPr>
            <w:r>
              <w:rPr>
                <w:sz w:val="11"/>
              </w:rPr>
              <w:t>391.070,10</w:t>
            </w:r>
          </w:p>
        </w:tc>
        <w:tc>
          <w:tcPr>
            <w:tcW w:w="814" w:type="dxa"/>
            <w:shd w:val="clear" w:color="auto" w:fill="FBE3D5"/>
          </w:tcPr>
          <w:p>
            <w:pPr>
              <w:pStyle w:val="TableParagraph"/>
              <w:spacing w:line="124" w:lineRule="exact"/>
              <w:ind w:right="49"/>
              <w:jc w:val="right"/>
              <w:rPr>
                <w:sz w:val="11"/>
              </w:rPr>
            </w:pPr>
            <w:r>
              <w:rPr>
                <w:sz w:val="11"/>
              </w:rPr>
              <w:t>35.700.932,72</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line="124" w:lineRule="exact"/>
              <w:ind w:right="49"/>
              <w:jc w:val="right"/>
              <w:rPr>
                <w:sz w:val="11"/>
              </w:rPr>
            </w:pPr>
            <w:r>
              <w:rPr>
                <w:sz w:val="11"/>
              </w:rPr>
              <w:t>34.687.754,15</w:t>
            </w:r>
          </w:p>
        </w:tc>
        <w:tc>
          <w:tcPr>
            <w:tcW w:w="744" w:type="dxa"/>
            <w:shd w:val="clear" w:color="auto" w:fill="FAE3D4"/>
          </w:tcPr>
          <w:p>
            <w:pPr>
              <w:pStyle w:val="TableParagraph"/>
              <w:spacing w:line="124" w:lineRule="exact"/>
              <w:ind w:right="45"/>
              <w:jc w:val="right"/>
              <w:rPr>
                <w:sz w:val="11"/>
              </w:rPr>
            </w:pPr>
            <w:r>
              <w:rPr>
                <w:sz w:val="11"/>
              </w:rPr>
              <w:t>1.404.248,67</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line="124" w:lineRule="exact"/>
              <w:ind w:right="40"/>
              <w:jc w:val="right"/>
              <w:rPr>
                <w:sz w:val="11"/>
              </w:rPr>
            </w:pPr>
            <w:r>
              <w:rPr>
                <w:w w:val="95"/>
                <w:sz w:val="11"/>
              </w:rPr>
              <w:t>96.059,98</w:t>
            </w:r>
          </w:p>
        </w:tc>
        <w:tc>
          <w:tcPr>
            <w:tcW w:w="707" w:type="dxa"/>
          </w:tcPr>
          <w:p>
            <w:pPr>
              <w:pStyle w:val="TableParagraph"/>
              <w:spacing w:line="124" w:lineRule="exact"/>
              <w:ind w:right="38"/>
              <w:jc w:val="right"/>
              <w:rPr>
                <w:sz w:val="11"/>
              </w:rPr>
            </w:pPr>
            <w:r>
              <w:rPr>
                <w:sz w:val="11"/>
              </w:rPr>
              <w:t>295.010,12</w:t>
            </w:r>
          </w:p>
        </w:tc>
        <w:tc>
          <w:tcPr>
            <w:tcW w:w="742" w:type="dxa"/>
          </w:tcPr>
          <w:p>
            <w:pPr>
              <w:pStyle w:val="TableParagraph"/>
              <w:spacing w:line="124" w:lineRule="exact"/>
              <w:ind w:right="39"/>
              <w:jc w:val="right"/>
              <w:rPr>
                <w:sz w:val="11"/>
              </w:rPr>
            </w:pPr>
            <w:r>
              <w:rPr>
                <w:sz w:val="11"/>
              </w:rPr>
              <w:t>34.591.694,17</w:t>
            </w:r>
          </w:p>
        </w:tc>
        <w:tc>
          <w:tcPr>
            <w:tcW w:w="740" w:type="dxa"/>
            <w:tcBorders>
              <w:right w:val="single" w:sz="4" w:space="0" w:color="000000"/>
            </w:tcBorders>
          </w:tcPr>
          <w:p>
            <w:pPr>
              <w:pStyle w:val="TableParagraph"/>
              <w:spacing w:line="124" w:lineRule="exact"/>
              <w:ind w:right="31"/>
              <w:jc w:val="right"/>
              <w:rPr>
                <w:sz w:val="11"/>
              </w:rPr>
            </w:pPr>
            <w:r>
              <w:rPr>
                <w:sz w:val="11"/>
              </w:rPr>
              <w:t>1.109.238,55</w:t>
            </w:r>
          </w:p>
        </w:tc>
      </w:tr>
      <w:tr>
        <w:trPr>
          <w:trHeight w:val="232"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10"/>
              </w:rPr>
            </w:pPr>
          </w:p>
        </w:tc>
        <w:tc>
          <w:tcPr>
            <w:tcW w:w="772" w:type="dxa"/>
            <w:shd w:val="clear" w:color="auto" w:fill="FBE3D5"/>
          </w:tcPr>
          <w:p>
            <w:pPr>
              <w:pStyle w:val="TableParagraph"/>
              <w:spacing w:before="21"/>
              <w:ind w:right="52"/>
              <w:jc w:val="right"/>
              <w:rPr>
                <w:sz w:val="11"/>
              </w:rPr>
            </w:pPr>
            <w:r>
              <w:rPr>
                <w:w w:val="95"/>
                <w:sz w:val="11"/>
              </w:rPr>
              <w:t>0,00</w:t>
            </w:r>
          </w:p>
        </w:tc>
        <w:tc>
          <w:tcPr>
            <w:tcW w:w="814" w:type="dxa"/>
            <w:shd w:val="clear" w:color="auto" w:fill="FBE3D5"/>
          </w:tcPr>
          <w:p>
            <w:pPr>
              <w:pStyle w:val="TableParagraph"/>
              <w:spacing w:before="21"/>
              <w:ind w:right="49"/>
              <w:jc w:val="right"/>
              <w:rPr>
                <w:sz w:val="11"/>
              </w:rPr>
            </w:pPr>
            <w:r>
              <w:rPr>
                <w:w w:val="95"/>
                <w:sz w:val="11"/>
              </w:rPr>
              <w:t>0,00</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before="21"/>
              <w:ind w:right="48"/>
              <w:jc w:val="right"/>
              <w:rPr>
                <w:sz w:val="11"/>
              </w:rPr>
            </w:pPr>
            <w:r>
              <w:rPr>
                <w:w w:val="95"/>
                <w:sz w:val="11"/>
              </w:rPr>
              <w:t>0,00</w:t>
            </w:r>
          </w:p>
        </w:tc>
        <w:tc>
          <w:tcPr>
            <w:tcW w:w="744" w:type="dxa"/>
            <w:shd w:val="clear" w:color="auto" w:fill="FAE3D4"/>
          </w:tcPr>
          <w:p>
            <w:pPr>
              <w:pStyle w:val="TableParagraph"/>
              <w:spacing w:before="21"/>
              <w:ind w:right="44"/>
              <w:jc w:val="right"/>
              <w:rPr>
                <w:sz w:val="11"/>
              </w:rPr>
            </w:pPr>
            <w:r>
              <w:rPr>
                <w:w w:val="95"/>
                <w:sz w:val="11"/>
              </w:rPr>
              <w:t>0,00</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before="21"/>
              <w:ind w:right="39"/>
              <w:jc w:val="right"/>
              <w:rPr>
                <w:sz w:val="11"/>
              </w:rPr>
            </w:pPr>
            <w:r>
              <w:rPr>
                <w:w w:val="95"/>
                <w:sz w:val="11"/>
              </w:rPr>
              <w:t>0,00</w:t>
            </w:r>
          </w:p>
        </w:tc>
        <w:tc>
          <w:tcPr>
            <w:tcW w:w="707" w:type="dxa"/>
          </w:tcPr>
          <w:p>
            <w:pPr>
              <w:pStyle w:val="TableParagraph"/>
              <w:spacing w:before="21"/>
              <w:ind w:right="38"/>
              <w:jc w:val="right"/>
              <w:rPr>
                <w:sz w:val="11"/>
              </w:rPr>
            </w:pPr>
            <w:r>
              <w:rPr>
                <w:w w:val="95"/>
                <w:sz w:val="11"/>
              </w:rPr>
              <w:t>0,00</w:t>
            </w:r>
          </w:p>
        </w:tc>
        <w:tc>
          <w:tcPr>
            <w:tcW w:w="742" w:type="dxa"/>
          </w:tcPr>
          <w:p>
            <w:pPr>
              <w:pStyle w:val="TableParagraph"/>
              <w:spacing w:before="21"/>
              <w:ind w:right="38"/>
              <w:jc w:val="right"/>
              <w:rPr>
                <w:sz w:val="11"/>
              </w:rPr>
            </w:pPr>
            <w:r>
              <w:rPr>
                <w:w w:val="95"/>
                <w:sz w:val="11"/>
              </w:rPr>
              <w:t>0,00</w:t>
            </w:r>
          </w:p>
        </w:tc>
        <w:tc>
          <w:tcPr>
            <w:tcW w:w="740" w:type="dxa"/>
            <w:tcBorders>
              <w:right w:val="single" w:sz="4" w:space="0" w:color="000000"/>
            </w:tcBorders>
          </w:tcPr>
          <w:p>
            <w:pPr>
              <w:pStyle w:val="TableParagraph"/>
              <w:spacing w:before="21"/>
              <w:ind w:right="31"/>
              <w:jc w:val="right"/>
              <w:rPr>
                <w:sz w:val="11"/>
              </w:rPr>
            </w:pPr>
            <w:r>
              <w:rPr>
                <w:w w:val="95"/>
                <w:sz w:val="11"/>
              </w:rPr>
              <w:t>0,00</w:t>
            </w:r>
          </w:p>
        </w:tc>
      </w:tr>
      <w:tr>
        <w:trPr>
          <w:trHeight w:val="265"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10"/>
              </w:rPr>
            </w:pPr>
          </w:p>
        </w:tc>
        <w:tc>
          <w:tcPr>
            <w:tcW w:w="772" w:type="dxa"/>
            <w:shd w:val="clear" w:color="auto" w:fill="FBE3D5"/>
          </w:tcPr>
          <w:p>
            <w:pPr>
              <w:pStyle w:val="TableParagraph"/>
              <w:spacing w:before="56"/>
              <w:ind w:left="141"/>
              <w:rPr>
                <w:sz w:val="11"/>
              </w:rPr>
            </w:pPr>
            <w:r>
              <w:rPr>
                <w:sz w:val="11"/>
              </w:rPr>
              <w:t>1.072.920,07</w:t>
            </w:r>
          </w:p>
        </w:tc>
        <w:tc>
          <w:tcPr>
            <w:tcW w:w="814" w:type="dxa"/>
            <w:shd w:val="clear" w:color="auto" w:fill="FBE3D5"/>
          </w:tcPr>
          <w:p>
            <w:pPr>
              <w:pStyle w:val="TableParagraph"/>
              <w:spacing w:before="56"/>
              <w:ind w:right="49"/>
              <w:jc w:val="right"/>
              <w:rPr>
                <w:sz w:val="11"/>
              </w:rPr>
            </w:pPr>
            <w:r>
              <w:rPr>
                <w:sz w:val="11"/>
              </w:rPr>
              <w:t>7.681.772,58</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before="56"/>
              <w:ind w:right="49"/>
              <w:jc w:val="right"/>
              <w:rPr>
                <w:sz w:val="11"/>
              </w:rPr>
            </w:pPr>
            <w:r>
              <w:rPr>
                <w:sz w:val="11"/>
              </w:rPr>
              <w:t>8.495.406,86</w:t>
            </w:r>
          </w:p>
        </w:tc>
        <w:tc>
          <w:tcPr>
            <w:tcW w:w="744" w:type="dxa"/>
            <w:shd w:val="clear" w:color="auto" w:fill="FAE3D4"/>
          </w:tcPr>
          <w:p>
            <w:pPr>
              <w:pStyle w:val="TableParagraph"/>
              <w:spacing w:before="56"/>
              <w:ind w:right="45"/>
              <w:jc w:val="right"/>
              <w:rPr>
                <w:sz w:val="11"/>
              </w:rPr>
            </w:pPr>
            <w:r>
              <w:rPr>
                <w:sz w:val="11"/>
              </w:rPr>
              <w:t>259.285,79</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before="56"/>
              <w:ind w:right="40"/>
              <w:jc w:val="right"/>
              <w:rPr>
                <w:sz w:val="11"/>
              </w:rPr>
            </w:pPr>
            <w:r>
              <w:rPr>
                <w:sz w:val="11"/>
              </w:rPr>
              <w:t>928.611,07</w:t>
            </w:r>
          </w:p>
        </w:tc>
        <w:tc>
          <w:tcPr>
            <w:tcW w:w="707" w:type="dxa"/>
          </w:tcPr>
          <w:p>
            <w:pPr>
              <w:pStyle w:val="TableParagraph"/>
              <w:spacing w:before="56"/>
              <w:ind w:right="38"/>
              <w:jc w:val="right"/>
              <w:rPr>
                <w:sz w:val="11"/>
              </w:rPr>
            </w:pPr>
            <w:r>
              <w:rPr>
                <w:sz w:val="11"/>
              </w:rPr>
              <w:t>144.309,00</w:t>
            </w:r>
          </w:p>
        </w:tc>
        <w:tc>
          <w:tcPr>
            <w:tcW w:w="742" w:type="dxa"/>
          </w:tcPr>
          <w:p>
            <w:pPr>
              <w:pStyle w:val="TableParagraph"/>
              <w:spacing w:before="56"/>
              <w:ind w:right="38"/>
              <w:jc w:val="right"/>
              <w:rPr>
                <w:sz w:val="11"/>
              </w:rPr>
            </w:pPr>
            <w:r>
              <w:rPr>
                <w:sz w:val="11"/>
              </w:rPr>
              <w:t>7.566.795,79</w:t>
            </w:r>
          </w:p>
        </w:tc>
        <w:tc>
          <w:tcPr>
            <w:tcW w:w="740" w:type="dxa"/>
            <w:tcBorders>
              <w:right w:val="single" w:sz="4" w:space="0" w:color="000000"/>
            </w:tcBorders>
          </w:tcPr>
          <w:p>
            <w:pPr>
              <w:pStyle w:val="TableParagraph"/>
              <w:spacing w:before="56"/>
              <w:ind w:right="33"/>
              <w:jc w:val="right"/>
              <w:rPr>
                <w:sz w:val="11"/>
              </w:rPr>
            </w:pPr>
            <w:r>
              <w:rPr>
                <w:sz w:val="11"/>
              </w:rPr>
              <w:t>114.976,79</w:t>
            </w:r>
          </w:p>
        </w:tc>
      </w:tr>
      <w:tr>
        <w:trPr>
          <w:trHeight w:val="232"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10"/>
              </w:rPr>
            </w:pPr>
          </w:p>
        </w:tc>
        <w:tc>
          <w:tcPr>
            <w:tcW w:w="772" w:type="dxa"/>
            <w:shd w:val="clear" w:color="auto" w:fill="FBE3D5"/>
          </w:tcPr>
          <w:p>
            <w:pPr>
              <w:pStyle w:val="TableParagraph"/>
              <w:spacing w:before="54"/>
              <w:ind w:right="52"/>
              <w:jc w:val="right"/>
              <w:rPr>
                <w:sz w:val="11"/>
              </w:rPr>
            </w:pPr>
            <w:r>
              <w:rPr>
                <w:w w:val="95"/>
                <w:sz w:val="11"/>
              </w:rPr>
              <w:t>0,00</w:t>
            </w:r>
          </w:p>
        </w:tc>
        <w:tc>
          <w:tcPr>
            <w:tcW w:w="814" w:type="dxa"/>
            <w:shd w:val="clear" w:color="auto" w:fill="FBE3D5"/>
          </w:tcPr>
          <w:p>
            <w:pPr>
              <w:pStyle w:val="TableParagraph"/>
              <w:spacing w:before="54"/>
              <w:ind w:right="49"/>
              <w:jc w:val="right"/>
              <w:rPr>
                <w:sz w:val="11"/>
              </w:rPr>
            </w:pPr>
            <w:r>
              <w:rPr>
                <w:w w:val="95"/>
                <w:sz w:val="11"/>
              </w:rPr>
              <w:t>0,00</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before="54"/>
              <w:ind w:right="48"/>
              <w:jc w:val="right"/>
              <w:rPr>
                <w:sz w:val="11"/>
              </w:rPr>
            </w:pPr>
            <w:r>
              <w:rPr>
                <w:w w:val="95"/>
                <w:sz w:val="11"/>
              </w:rPr>
              <w:t>0,00</w:t>
            </w:r>
          </w:p>
        </w:tc>
        <w:tc>
          <w:tcPr>
            <w:tcW w:w="744" w:type="dxa"/>
            <w:shd w:val="clear" w:color="auto" w:fill="FAE3D4"/>
          </w:tcPr>
          <w:p>
            <w:pPr>
              <w:pStyle w:val="TableParagraph"/>
              <w:spacing w:before="54"/>
              <w:ind w:right="44"/>
              <w:jc w:val="right"/>
              <w:rPr>
                <w:sz w:val="11"/>
              </w:rPr>
            </w:pPr>
            <w:r>
              <w:rPr>
                <w:w w:val="95"/>
                <w:sz w:val="11"/>
              </w:rPr>
              <w:t>0,00</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before="54"/>
              <w:ind w:right="39"/>
              <w:jc w:val="right"/>
              <w:rPr>
                <w:sz w:val="11"/>
              </w:rPr>
            </w:pPr>
            <w:r>
              <w:rPr>
                <w:w w:val="95"/>
                <w:sz w:val="11"/>
              </w:rPr>
              <w:t>0,00</w:t>
            </w:r>
          </w:p>
        </w:tc>
        <w:tc>
          <w:tcPr>
            <w:tcW w:w="707" w:type="dxa"/>
          </w:tcPr>
          <w:p>
            <w:pPr>
              <w:pStyle w:val="TableParagraph"/>
              <w:spacing w:before="54"/>
              <w:ind w:right="38"/>
              <w:jc w:val="right"/>
              <w:rPr>
                <w:sz w:val="11"/>
              </w:rPr>
            </w:pPr>
            <w:r>
              <w:rPr>
                <w:w w:val="95"/>
                <w:sz w:val="11"/>
              </w:rPr>
              <w:t>0,00</w:t>
            </w:r>
          </w:p>
        </w:tc>
        <w:tc>
          <w:tcPr>
            <w:tcW w:w="742" w:type="dxa"/>
          </w:tcPr>
          <w:p>
            <w:pPr>
              <w:pStyle w:val="TableParagraph"/>
              <w:spacing w:before="54"/>
              <w:ind w:right="38"/>
              <w:jc w:val="right"/>
              <w:rPr>
                <w:sz w:val="11"/>
              </w:rPr>
            </w:pPr>
            <w:r>
              <w:rPr>
                <w:w w:val="95"/>
                <w:sz w:val="11"/>
              </w:rPr>
              <w:t>0,00</w:t>
            </w:r>
          </w:p>
        </w:tc>
        <w:tc>
          <w:tcPr>
            <w:tcW w:w="740" w:type="dxa"/>
            <w:tcBorders>
              <w:right w:val="single" w:sz="4" w:space="0" w:color="000000"/>
            </w:tcBorders>
          </w:tcPr>
          <w:p>
            <w:pPr>
              <w:pStyle w:val="TableParagraph"/>
              <w:spacing w:before="54"/>
              <w:ind w:right="31"/>
              <w:jc w:val="right"/>
              <w:rPr>
                <w:sz w:val="11"/>
              </w:rPr>
            </w:pPr>
            <w:r>
              <w:rPr>
                <w:w w:val="95"/>
                <w:sz w:val="11"/>
              </w:rPr>
              <w:t>0,00</w:t>
            </w:r>
          </w:p>
        </w:tc>
      </w:tr>
      <w:tr>
        <w:trPr>
          <w:trHeight w:val="165"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10"/>
              </w:rPr>
            </w:pPr>
          </w:p>
        </w:tc>
        <w:tc>
          <w:tcPr>
            <w:tcW w:w="772" w:type="dxa"/>
            <w:shd w:val="clear" w:color="auto" w:fill="FBE3D5"/>
          </w:tcPr>
          <w:p>
            <w:pPr>
              <w:pStyle w:val="TableParagraph"/>
              <w:spacing w:line="124" w:lineRule="exact" w:before="22"/>
              <w:ind w:right="52"/>
              <w:jc w:val="right"/>
              <w:rPr>
                <w:sz w:val="11"/>
              </w:rPr>
            </w:pPr>
            <w:r>
              <w:rPr>
                <w:w w:val="95"/>
                <w:sz w:val="11"/>
              </w:rPr>
              <w:t>0,00</w:t>
            </w:r>
          </w:p>
        </w:tc>
        <w:tc>
          <w:tcPr>
            <w:tcW w:w="814" w:type="dxa"/>
            <w:shd w:val="clear" w:color="auto" w:fill="FBE3D5"/>
          </w:tcPr>
          <w:p>
            <w:pPr>
              <w:pStyle w:val="TableParagraph"/>
              <w:spacing w:line="124" w:lineRule="exact" w:before="22"/>
              <w:ind w:right="49"/>
              <w:jc w:val="right"/>
              <w:rPr>
                <w:sz w:val="11"/>
              </w:rPr>
            </w:pPr>
            <w:r>
              <w:rPr>
                <w:sz w:val="11"/>
              </w:rPr>
              <w:t>1.442.788,29</w:t>
            </w:r>
          </w:p>
        </w:tc>
        <w:tc>
          <w:tcPr>
            <w:tcW w:w="741" w:type="dxa"/>
            <w:shd w:val="clear" w:color="auto" w:fill="E1EEDA"/>
          </w:tcPr>
          <w:p>
            <w:pPr>
              <w:pStyle w:val="TableParagraph"/>
              <w:rPr>
                <w:rFonts w:ascii="Times New Roman"/>
                <w:sz w:val="10"/>
              </w:rPr>
            </w:pPr>
          </w:p>
        </w:tc>
        <w:tc>
          <w:tcPr>
            <w:tcW w:w="797" w:type="dxa"/>
            <w:shd w:val="clear" w:color="auto" w:fill="E1EEDA"/>
          </w:tcPr>
          <w:p>
            <w:pPr>
              <w:pStyle w:val="TableParagraph"/>
              <w:rPr>
                <w:rFonts w:ascii="Times New Roman"/>
                <w:sz w:val="10"/>
              </w:rPr>
            </w:pPr>
          </w:p>
        </w:tc>
        <w:tc>
          <w:tcPr>
            <w:tcW w:w="838" w:type="dxa"/>
            <w:shd w:val="clear" w:color="auto" w:fill="FAE3D4"/>
          </w:tcPr>
          <w:p>
            <w:pPr>
              <w:pStyle w:val="TableParagraph"/>
              <w:spacing w:line="124" w:lineRule="exact" w:before="22"/>
              <w:ind w:right="49"/>
              <w:jc w:val="right"/>
              <w:rPr>
                <w:sz w:val="11"/>
              </w:rPr>
            </w:pPr>
            <w:r>
              <w:rPr>
                <w:sz w:val="11"/>
              </w:rPr>
              <w:t>1.396.127,45</w:t>
            </w:r>
          </w:p>
        </w:tc>
        <w:tc>
          <w:tcPr>
            <w:tcW w:w="744" w:type="dxa"/>
            <w:shd w:val="clear" w:color="auto" w:fill="FAE3D4"/>
          </w:tcPr>
          <w:p>
            <w:pPr>
              <w:pStyle w:val="TableParagraph"/>
              <w:spacing w:line="124" w:lineRule="exact" w:before="22"/>
              <w:ind w:right="45"/>
              <w:jc w:val="right"/>
              <w:rPr>
                <w:sz w:val="11"/>
              </w:rPr>
            </w:pPr>
            <w:r>
              <w:rPr>
                <w:w w:val="95"/>
                <w:sz w:val="11"/>
              </w:rPr>
              <w:t>46.660,84</w:t>
            </w:r>
          </w:p>
        </w:tc>
        <w:tc>
          <w:tcPr>
            <w:tcW w:w="800" w:type="dxa"/>
            <w:shd w:val="clear" w:color="auto" w:fill="E1EEDA"/>
          </w:tcPr>
          <w:p>
            <w:pPr>
              <w:pStyle w:val="TableParagraph"/>
              <w:rPr>
                <w:rFonts w:ascii="Times New Roman"/>
                <w:sz w:val="10"/>
              </w:rPr>
            </w:pPr>
          </w:p>
        </w:tc>
        <w:tc>
          <w:tcPr>
            <w:tcW w:w="746" w:type="dxa"/>
            <w:shd w:val="clear" w:color="auto" w:fill="E1EEDA"/>
          </w:tcPr>
          <w:p>
            <w:pPr>
              <w:pStyle w:val="TableParagraph"/>
              <w:rPr>
                <w:rFonts w:ascii="Times New Roman"/>
                <w:sz w:val="10"/>
              </w:rPr>
            </w:pPr>
          </w:p>
        </w:tc>
        <w:tc>
          <w:tcPr>
            <w:tcW w:w="744" w:type="dxa"/>
          </w:tcPr>
          <w:p>
            <w:pPr>
              <w:pStyle w:val="TableParagraph"/>
              <w:spacing w:line="124" w:lineRule="exact" w:before="22"/>
              <w:ind w:right="39"/>
              <w:jc w:val="right"/>
              <w:rPr>
                <w:sz w:val="11"/>
              </w:rPr>
            </w:pPr>
            <w:r>
              <w:rPr>
                <w:w w:val="95"/>
                <w:sz w:val="11"/>
              </w:rPr>
              <w:t>0,00</w:t>
            </w:r>
          </w:p>
        </w:tc>
        <w:tc>
          <w:tcPr>
            <w:tcW w:w="707" w:type="dxa"/>
          </w:tcPr>
          <w:p>
            <w:pPr>
              <w:pStyle w:val="TableParagraph"/>
              <w:spacing w:line="124" w:lineRule="exact" w:before="22"/>
              <w:ind w:right="38"/>
              <w:jc w:val="right"/>
              <w:rPr>
                <w:sz w:val="11"/>
              </w:rPr>
            </w:pPr>
            <w:r>
              <w:rPr>
                <w:w w:val="95"/>
                <w:sz w:val="11"/>
              </w:rPr>
              <w:t>0,00</w:t>
            </w:r>
          </w:p>
        </w:tc>
        <w:tc>
          <w:tcPr>
            <w:tcW w:w="742" w:type="dxa"/>
          </w:tcPr>
          <w:p>
            <w:pPr>
              <w:pStyle w:val="TableParagraph"/>
              <w:spacing w:line="124" w:lineRule="exact" w:before="22"/>
              <w:ind w:right="38"/>
              <w:jc w:val="right"/>
              <w:rPr>
                <w:sz w:val="11"/>
              </w:rPr>
            </w:pPr>
            <w:r>
              <w:rPr>
                <w:sz w:val="11"/>
              </w:rPr>
              <w:t>1.396.127,45</w:t>
            </w:r>
          </w:p>
        </w:tc>
        <w:tc>
          <w:tcPr>
            <w:tcW w:w="740" w:type="dxa"/>
            <w:tcBorders>
              <w:right w:val="single" w:sz="4" w:space="0" w:color="000000"/>
            </w:tcBorders>
          </w:tcPr>
          <w:p>
            <w:pPr>
              <w:pStyle w:val="TableParagraph"/>
              <w:spacing w:line="124" w:lineRule="exact" w:before="22"/>
              <w:ind w:right="31"/>
              <w:jc w:val="right"/>
              <w:rPr>
                <w:sz w:val="11"/>
              </w:rPr>
            </w:pPr>
            <w:r>
              <w:rPr>
                <w:w w:val="95"/>
                <w:sz w:val="11"/>
              </w:rPr>
              <w:t>46.660,84</w:t>
            </w:r>
          </w:p>
        </w:tc>
      </w:tr>
      <w:tr>
        <w:trPr>
          <w:trHeight w:val="124" w:hRule="atLeast"/>
        </w:trPr>
        <w:tc>
          <w:tcPr>
            <w:tcW w:w="565" w:type="dxa"/>
            <w:vMerge/>
            <w:tcBorders>
              <w:top w:val="nil"/>
              <w:left w:val="single" w:sz="4" w:space="0" w:color="000000"/>
            </w:tcBorders>
          </w:tcPr>
          <w:p>
            <w:pPr>
              <w:rPr>
                <w:sz w:val="2"/>
                <w:szCs w:val="2"/>
              </w:rPr>
            </w:pPr>
          </w:p>
        </w:tc>
        <w:tc>
          <w:tcPr>
            <w:tcW w:w="1859" w:type="dxa"/>
            <w:vMerge/>
            <w:tcBorders>
              <w:top w:val="nil"/>
            </w:tcBorders>
          </w:tcPr>
          <w:p>
            <w:pPr>
              <w:rPr>
                <w:sz w:val="2"/>
                <w:szCs w:val="2"/>
              </w:rPr>
            </w:pPr>
          </w:p>
        </w:tc>
        <w:tc>
          <w:tcPr>
            <w:tcW w:w="660" w:type="dxa"/>
            <w:shd w:val="clear" w:color="auto" w:fill="E1EED9"/>
          </w:tcPr>
          <w:p>
            <w:pPr>
              <w:pStyle w:val="TableParagraph"/>
              <w:rPr>
                <w:rFonts w:ascii="Times New Roman"/>
                <w:sz w:val="6"/>
              </w:rPr>
            </w:pPr>
          </w:p>
        </w:tc>
        <w:tc>
          <w:tcPr>
            <w:tcW w:w="772" w:type="dxa"/>
            <w:shd w:val="clear" w:color="auto" w:fill="FBE3D5"/>
          </w:tcPr>
          <w:p>
            <w:pPr>
              <w:pStyle w:val="TableParagraph"/>
              <w:spacing w:line="105" w:lineRule="exact"/>
              <w:ind w:right="52"/>
              <w:jc w:val="right"/>
              <w:rPr>
                <w:sz w:val="11"/>
              </w:rPr>
            </w:pPr>
            <w:r>
              <w:rPr>
                <w:sz w:val="11"/>
              </w:rPr>
              <w:t>107.001,14</w:t>
            </w:r>
          </w:p>
        </w:tc>
        <w:tc>
          <w:tcPr>
            <w:tcW w:w="814" w:type="dxa"/>
            <w:shd w:val="clear" w:color="auto" w:fill="FBE3D5"/>
          </w:tcPr>
          <w:p>
            <w:pPr>
              <w:pStyle w:val="TableParagraph"/>
              <w:spacing w:line="105" w:lineRule="exact"/>
              <w:ind w:right="49"/>
              <w:jc w:val="right"/>
              <w:rPr>
                <w:sz w:val="11"/>
              </w:rPr>
            </w:pPr>
            <w:r>
              <w:rPr>
                <w:sz w:val="11"/>
              </w:rPr>
              <w:t>1.739.345,33</w:t>
            </w:r>
          </w:p>
        </w:tc>
        <w:tc>
          <w:tcPr>
            <w:tcW w:w="741" w:type="dxa"/>
            <w:shd w:val="clear" w:color="auto" w:fill="E1EEDA"/>
          </w:tcPr>
          <w:p>
            <w:pPr>
              <w:pStyle w:val="TableParagraph"/>
              <w:spacing w:line="105" w:lineRule="exact"/>
              <w:ind w:left="29" w:right="23"/>
              <w:jc w:val="center"/>
              <w:rPr>
                <w:sz w:val="11"/>
              </w:rPr>
            </w:pPr>
            <w:r>
              <w:rPr>
                <w:sz w:val="11"/>
              </w:rPr>
              <w:t>24.963.919,37</w:t>
            </w:r>
          </w:p>
        </w:tc>
        <w:tc>
          <w:tcPr>
            <w:tcW w:w="797" w:type="dxa"/>
            <w:shd w:val="clear" w:color="auto" w:fill="E1EEDA"/>
          </w:tcPr>
          <w:p>
            <w:pPr>
              <w:pStyle w:val="TableParagraph"/>
              <w:spacing w:line="105" w:lineRule="exact"/>
              <w:ind w:right="48"/>
              <w:jc w:val="right"/>
              <w:rPr>
                <w:sz w:val="11"/>
              </w:rPr>
            </w:pPr>
            <w:r>
              <w:rPr>
                <w:sz w:val="11"/>
              </w:rPr>
              <w:t>130.166.233,94</w:t>
            </w:r>
          </w:p>
        </w:tc>
        <w:tc>
          <w:tcPr>
            <w:tcW w:w="838" w:type="dxa"/>
            <w:shd w:val="clear" w:color="auto" w:fill="FAE3D4"/>
          </w:tcPr>
          <w:p>
            <w:pPr>
              <w:pStyle w:val="TableParagraph"/>
              <w:spacing w:line="105" w:lineRule="exact"/>
              <w:ind w:right="49"/>
              <w:jc w:val="right"/>
              <w:rPr>
                <w:sz w:val="11"/>
              </w:rPr>
            </w:pPr>
            <w:r>
              <w:rPr>
                <w:sz w:val="11"/>
              </w:rPr>
              <w:t>1.692.608,33</w:t>
            </w:r>
          </w:p>
        </w:tc>
        <w:tc>
          <w:tcPr>
            <w:tcW w:w="744" w:type="dxa"/>
            <w:shd w:val="clear" w:color="auto" w:fill="FAE3D4"/>
          </w:tcPr>
          <w:p>
            <w:pPr>
              <w:pStyle w:val="TableParagraph"/>
              <w:spacing w:line="105" w:lineRule="exact"/>
              <w:ind w:right="45"/>
              <w:jc w:val="right"/>
              <w:rPr>
                <w:sz w:val="11"/>
              </w:rPr>
            </w:pPr>
            <w:r>
              <w:rPr>
                <w:sz w:val="11"/>
              </w:rPr>
              <w:t>153.738,14</w:t>
            </w:r>
          </w:p>
        </w:tc>
        <w:tc>
          <w:tcPr>
            <w:tcW w:w="800" w:type="dxa"/>
            <w:shd w:val="clear" w:color="auto" w:fill="E1EEDA"/>
          </w:tcPr>
          <w:p>
            <w:pPr>
              <w:pStyle w:val="TableParagraph"/>
              <w:spacing w:line="105" w:lineRule="exact"/>
              <w:ind w:left="38" w:right="16"/>
              <w:jc w:val="center"/>
              <w:rPr>
                <w:sz w:val="11"/>
              </w:rPr>
            </w:pPr>
            <w:r>
              <w:rPr>
                <w:sz w:val="11"/>
              </w:rPr>
              <w:t>144.736.293,13</w:t>
            </w:r>
          </w:p>
        </w:tc>
        <w:tc>
          <w:tcPr>
            <w:tcW w:w="746" w:type="dxa"/>
            <w:shd w:val="clear" w:color="auto" w:fill="E1EEDA"/>
          </w:tcPr>
          <w:p>
            <w:pPr>
              <w:pStyle w:val="TableParagraph"/>
              <w:spacing w:line="105" w:lineRule="exact"/>
              <w:ind w:left="39" w:right="18"/>
              <w:jc w:val="center"/>
              <w:rPr>
                <w:sz w:val="11"/>
              </w:rPr>
            </w:pPr>
            <w:r>
              <w:rPr>
                <w:sz w:val="11"/>
              </w:rPr>
              <w:t>10.393.860,18</w:t>
            </w:r>
          </w:p>
        </w:tc>
        <w:tc>
          <w:tcPr>
            <w:tcW w:w="744" w:type="dxa"/>
          </w:tcPr>
          <w:p>
            <w:pPr>
              <w:pStyle w:val="TableParagraph"/>
              <w:spacing w:line="105" w:lineRule="exact"/>
              <w:ind w:right="40"/>
              <w:jc w:val="right"/>
              <w:rPr>
                <w:sz w:val="11"/>
              </w:rPr>
            </w:pPr>
            <w:r>
              <w:rPr>
                <w:w w:val="95"/>
                <w:sz w:val="11"/>
              </w:rPr>
              <w:t>19.699,58</w:t>
            </w:r>
          </w:p>
        </w:tc>
        <w:tc>
          <w:tcPr>
            <w:tcW w:w="707" w:type="dxa"/>
          </w:tcPr>
          <w:p>
            <w:pPr>
              <w:pStyle w:val="TableParagraph"/>
              <w:spacing w:line="105" w:lineRule="exact"/>
              <w:ind w:right="38"/>
              <w:jc w:val="right"/>
              <w:rPr>
                <w:sz w:val="11"/>
              </w:rPr>
            </w:pPr>
            <w:r>
              <w:rPr>
                <w:w w:val="95"/>
                <w:sz w:val="11"/>
              </w:rPr>
              <w:t>87.301,56</w:t>
            </w:r>
          </w:p>
        </w:tc>
        <w:tc>
          <w:tcPr>
            <w:tcW w:w="742" w:type="dxa"/>
          </w:tcPr>
          <w:p>
            <w:pPr>
              <w:pStyle w:val="TableParagraph"/>
              <w:spacing w:line="105" w:lineRule="exact"/>
              <w:ind w:right="38"/>
              <w:jc w:val="right"/>
              <w:rPr>
                <w:sz w:val="11"/>
              </w:rPr>
            </w:pPr>
            <w:r>
              <w:rPr>
                <w:sz w:val="11"/>
              </w:rPr>
              <w:t>1.672.908,75</w:t>
            </w:r>
          </w:p>
        </w:tc>
        <w:tc>
          <w:tcPr>
            <w:tcW w:w="740" w:type="dxa"/>
            <w:tcBorders>
              <w:right w:val="single" w:sz="4" w:space="0" w:color="000000"/>
            </w:tcBorders>
          </w:tcPr>
          <w:p>
            <w:pPr>
              <w:pStyle w:val="TableParagraph"/>
              <w:spacing w:line="105" w:lineRule="exact"/>
              <w:ind w:right="31"/>
              <w:jc w:val="right"/>
              <w:rPr>
                <w:sz w:val="11"/>
              </w:rPr>
            </w:pPr>
            <w:r>
              <w:rPr>
                <w:w w:val="95"/>
                <w:sz w:val="11"/>
              </w:rPr>
              <w:t>66.436,58</w:t>
            </w:r>
          </w:p>
        </w:tc>
      </w:tr>
      <w:tr>
        <w:trPr>
          <w:trHeight w:val="131" w:hRule="atLeast"/>
        </w:trPr>
        <w:tc>
          <w:tcPr>
            <w:tcW w:w="565" w:type="dxa"/>
            <w:tcBorders>
              <w:left w:val="single" w:sz="4" w:space="0" w:color="000000"/>
              <w:bottom w:val="single" w:sz="4" w:space="0" w:color="000000"/>
            </w:tcBorders>
            <w:shd w:val="clear" w:color="auto" w:fill="D9D9D9"/>
          </w:tcPr>
          <w:p>
            <w:pPr>
              <w:pStyle w:val="TableParagraph"/>
              <w:spacing w:line="111" w:lineRule="exact"/>
              <w:ind w:left="132"/>
              <w:rPr>
                <w:b/>
                <w:sz w:val="11"/>
              </w:rPr>
            </w:pPr>
            <w:r>
              <w:rPr>
                <w:b/>
                <w:sz w:val="11"/>
              </w:rPr>
              <w:t>TOTAL</w:t>
            </w:r>
          </w:p>
        </w:tc>
        <w:tc>
          <w:tcPr>
            <w:tcW w:w="1859" w:type="dxa"/>
            <w:tcBorders>
              <w:bottom w:val="single" w:sz="4" w:space="0" w:color="000000"/>
            </w:tcBorders>
            <w:shd w:val="clear" w:color="auto" w:fill="D9D9D9"/>
          </w:tcPr>
          <w:p>
            <w:pPr>
              <w:pStyle w:val="TableParagraph"/>
              <w:rPr>
                <w:rFonts w:ascii="Times New Roman"/>
                <w:sz w:val="6"/>
              </w:rPr>
            </w:pPr>
          </w:p>
        </w:tc>
        <w:tc>
          <w:tcPr>
            <w:tcW w:w="660" w:type="dxa"/>
            <w:tcBorders>
              <w:bottom w:val="single" w:sz="4" w:space="0" w:color="000000"/>
            </w:tcBorders>
            <w:shd w:val="clear" w:color="auto" w:fill="D9D9D9"/>
          </w:tcPr>
          <w:p>
            <w:pPr>
              <w:pStyle w:val="TableParagraph"/>
              <w:spacing w:line="111" w:lineRule="exact"/>
              <w:ind w:right="50"/>
              <w:jc w:val="right"/>
              <w:rPr>
                <w:b/>
                <w:sz w:val="11"/>
              </w:rPr>
            </w:pPr>
            <w:r>
              <w:rPr>
                <w:b/>
                <w:w w:val="95"/>
                <w:sz w:val="11"/>
              </w:rPr>
              <w:t>326.076,56</w:t>
            </w:r>
          </w:p>
        </w:tc>
        <w:tc>
          <w:tcPr>
            <w:tcW w:w="772" w:type="dxa"/>
            <w:tcBorders>
              <w:bottom w:val="single" w:sz="4" w:space="0" w:color="000000"/>
            </w:tcBorders>
            <w:shd w:val="clear" w:color="auto" w:fill="D9D9D9"/>
          </w:tcPr>
          <w:p>
            <w:pPr>
              <w:pStyle w:val="TableParagraph"/>
              <w:spacing w:line="111" w:lineRule="exact"/>
              <w:ind w:left="81"/>
              <w:rPr>
                <w:b/>
                <w:sz w:val="11"/>
              </w:rPr>
            </w:pPr>
            <w:r>
              <w:rPr>
                <w:b/>
                <w:sz w:val="11"/>
              </w:rPr>
              <w:t>40.718.756,15</w:t>
            </w:r>
          </w:p>
        </w:tc>
        <w:tc>
          <w:tcPr>
            <w:tcW w:w="814" w:type="dxa"/>
            <w:tcBorders>
              <w:bottom w:val="single" w:sz="4" w:space="0" w:color="000000"/>
            </w:tcBorders>
            <w:shd w:val="clear" w:color="auto" w:fill="D9D9D9"/>
          </w:tcPr>
          <w:p>
            <w:pPr>
              <w:pStyle w:val="TableParagraph"/>
              <w:spacing w:line="111" w:lineRule="exact"/>
              <w:ind w:right="49"/>
              <w:jc w:val="right"/>
              <w:rPr>
                <w:b/>
                <w:sz w:val="11"/>
              </w:rPr>
            </w:pPr>
            <w:r>
              <w:rPr>
                <w:b/>
                <w:w w:val="95"/>
                <w:sz w:val="11"/>
              </w:rPr>
              <w:t>239.534.059,16</w:t>
            </w:r>
          </w:p>
        </w:tc>
        <w:tc>
          <w:tcPr>
            <w:tcW w:w="741" w:type="dxa"/>
            <w:tcBorders>
              <w:bottom w:val="single" w:sz="4" w:space="0" w:color="000000"/>
            </w:tcBorders>
            <w:shd w:val="clear" w:color="auto" w:fill="D9D9D9"/>
          </w:tcPr>
          <w:p>
            <w:pPr>
              <w:pStyle w:val="TableParagraph"/>
              <w:spacing w:line="111" w:lineRule="exact"/>
              <w:ind w:left="29" w:right="26"/>
              <w:jc w:val="center"/>
              <w:rPr>
                <w:b/>
                <w:sz w:val="11"/>
              </w:rPr>
            </w:pPr>
            <w:r>
              <w:rPr>
                <w:b/>
                <w:sz w:val="11"/>
              </w:rPr>
              <w:t>40.718.756,15</w:t>
            </w:r>
          </w:p>
        </w:tc>
        <w:tc>
          <w:tcPr>
            <w:tcW w:w="797" w:type="dxa"/>
            <w:tcBorders>
              <w:bottom w:val="single" w:sz="4" w:space="0" w:color="000000"/>
            </w:tcBorders>
            <w:shd w:val="clear" w:color="auto" w:fill="D9D9D9"/>
          </w:tcPr>
          <w:p>
            <w:pPr>
              <w:pStyle w:val="TableParagraph"/>
              <w:spacing w:line="111" w:lineRule="exact"/>
              <w:ind w:right="48"/>
              <w:jc w:val="right"/>
              <w:rPr>
                <w:b/>
                <w:sz w:val="11"/>
              </w:rPr>
            </w:pPr>
            <w:r>
              <w:rPr>
                <w:b/>
                <w:w w:val="95"/>
                <w:sz w:val="11"/>
              </w:rPr>
              <w:t>239.534.059,16</w:t>
            </w:r>
          </w:p>
        </w:tc>
        <w:tc>
          <w:tcPr>
            <w:tcW w:w="838" w:type="dxa"/>
            <w:tcBorders>
              <w:bottom w:val="single" w:sz="4" w:space="0" w:color="000000"/>
            </w:tcBorders>
            <w:shd w:val="clear" w:color="auto" w:fill="D9D9D9"/>
          </w:tcPr>
          <w:p>
            <w:pPr>
              <w:pStyle w:val="TableParagraph"/>
              <w:spacing w:line="111" w:lineRule="exact"/>
              <w:ind w:right="49"/>
              <w:jc w:val="right"/>
              <w:rPr>
                <w:b/>
                <w:sz w:val="11"/>
              </w:rPr>
            </w:pPr>
            <w:r>
              <w:rPr>
                <w:b/>
                <w:w w:val="95"/>
                <w:sz w:val="11"/>
              </w:rPr>
              <w:t>231.029.456,60</w:t>
            </w:r>
          </w:p>
        </w:tc>
        <w:tc>
          <w:tcPr>
            <w:tcW w:w="744" w:type="dxa"/>
            <w:tcBorders>
              <w:bottom w:val="single" w:sz="4" w:space="0" w:color="000000"/>
            </w:tcBorders>
            <w:shd w:val="clear" w:color="auto" w:fill="D9D9D9"/>
          </w:tcPr>
          <w:p>
            <w:pPr>
              <w:pStyle w:val="TableParagraph"/>
              <w:spacing w:line="111" w:lineRule="exact"/>
              <w:ind w:right="45"/>
              <w:jc w:val="right"/>
              <w:rPr>
                <w:b/>
                <w:sz w:val="11"/>
              </w:rPr>
            </w:pPr>
            <w:r>
              <w:rPr>
                <w:b/>
                <w:sz w:val="11"/>
              </w:rPr>
              <w:t>49.223.358,71</w:t>
            </w:r>
          </w:p>
        </w:tc>
        <w:tc>
          <w:tcPr>
            <w:tcW w:w="800" w:type="dxa"/>
            <w:tcBorders>
              <w:bottom w:val="single" w:sz="4" w:space="0" w:color="000000"/>
            </w:tcBorders>
            <w:shd w:val="clear" w:color="auto" w:fill="D9D9D9"/>
          </w:tcPr>
          <w:p>
            <w:pPr>
              <w:pStyle w:val="TableParagraph"/>
              <w:spacing w:line="111" w:lineRule="exact"/>
              <w:ind w:left="38" w:right="20"/>
              <w:jc w:val="center"/>
              <w:rPr>
                <w:b/>
                <w:sz w:val="11"/>
              </w:rPr>
            </w:pPr>
            <w:r>
              <w:rPr>
                <w:b/>
                <w:sz w:val="11"/>
              </w:rPr>
              <w:t>231.029.456,60</w:t>
            </w:r>
          </w:p>
        </w:tc>
        <w:tc>
          <w:tcPr>
            <w:tcW w:w="746" w:type="dxa"/>
            <w:tcBorders>
              <w:bottom w:val="single" w:sz="4" w:space="0" w:color="000000"/>
            </w:tcBorders>
            <w:shd w:val="clear" w:color="auto" w:fill="D9D9D9"/>
          </w:tcPr>
          <w:p>
            <w:pPr>
              <w:pStyle w:val="TableParagraph"/>
              <w:spacing w:line="111" w:lineRule="exact"/>
              <w:ind w:left="39" w:right="22"/>
              <w:jc w:val="center"/>
              <w:rPr>
                <w:b/>
                <w:sz w:val="11"/>
              </w:rPr>
            </w:pPr>
            <w:r>
              <w:rPr>
                <w:b/>
                <w:sz w:val="11"/>
              </w:rPr>
              <w:t>49.223.358,71</w:t>
            </w:r>
          </w:p>
        </w:tc>
        <w:tc>
          <w:tcPr>
            <w:tcW w:w="744" w:type="dxa"/>
            <w:tcBorders>
              <w:bottom w:val="single" w:sz="4" w:space="0" w:color="000000"/>
            </w:tcBorders>
            <w:shd w:val="clear" w:color="auto" w:fill="D9D9D9"/>
          </w:tcPr>
          <w:p>
            <w:pPr>
              <w:pStyle w:val="TableParagraph"/>
              <w:spacing w:line="111" w:lineRule="exact"/>
              <w:ind w:right="40"/>
              <w:jc w:val="right"/>
              <w:rPr>
                <w:b/>
                <w:sz w:val="11"/>
              </w:rPr>
            </w:pPr>
            <w:r>
              <w:rPr>
                <w:b/>
                <w:sz w:val="11"/>
              </w:rPr>
              <w:t>21.704.286,33</w:t>
            </w:r>
          </w:p>
        </w:tc>
        <w:tc>
          <w:tcPr>
            <w:tcW w:w="707" w:type="dxa"/>
            <w:tcBorders>
              <w:bottom w:val="single" w:sz="4" w:space="0" w:color="000000"/>
            </w:tcBorders>
            <w:shd w:val="clear" w:color="auto" w:fill="D9D9D9"/>
          </w:tcPr>
          <w:p>
            <w:pPr>
              <w:pStyle w:val="TableParagraph"/>
              <w:spacing w:line="111" w:lineRule="exact"/>
              <w:ind w:right="38"/>
              <w:jc w:val="right"/>
              <w:rPr>
                <w:b/>
                <w:sz w:val="11"/>
              </w:rPr>
            </w:pPr>
            <w:r>
              <w:rPr>
                <w:b/>
                <w:sz w:val="11"/>
              </w:rPr>
              <w:t>19.014.469,82</w:t>
            </w:r>
          </w:p>
        </w:tc>
        <w:tc>
          <w:tcPr>
            <w:tcW w:w="742" w:type="dxa"/>
            <w:tcBorders>
              <w:bottom w:val="single" w:sz="4" w:space="0" w:color="000000"/>
            </w:tcBorders>
            <w:shd w:val="clear" w:color="auto" w:fill="D9D9D9"/>
          </w:tcPr>
          <w:p>
            <w:pPr>
              <w:pStyle w:val="TableParagraph"/>
              <w:spacing w:line="111" w:lineRule="exact"/>
              <w:ind w:right="39"/>
              <w:jc w:val="right"/>
              <w:rPr>
                <w:b/>
                <w:sz w:val="11"/>
              </w:rPr>
            </w:pPr>
            <w:r>
              <w:rPr>
                <w:b/>
                <w:w w:val="95"/>
                <w:sz w:val="11"/>
              </w:rPr>
              <w:t>209.325.170,27</w:t>
            </w:r>
          </w:p>
        </w:tc>
        <w:tc>
          <w:tcPr>
            <w:tcW w:w="740" w:type="dxa"/>
            <w:tcBorders>
              <w:bottom w:val="single" w:sz="4" w:space="0" w:color="000000"/>
              <w:right w:val="single" w:sz="4" w:space="0" w:color="000000"/>
            </w:tcBorders>
            <w:shd w:val="clear" w:color="auto" w:fill="D9D9D9"/>
          </w:tcPr>
          <w:p>
            <w:pPr>
              <w:pStyle w:val="TableParagraph"/>
              <w:spacing w:line="111" w:lineRule="exact"/>
              <w:ind w:right="32"/>
              <w:jc w:val="right"/>
              <w:rPr>
                <w:b/>
                <w:sz w:val="11"/>
              </w:rPr>
            </w:pPr>
            <w:r>
              <w:rPr>
                <w:b/>
                <w:sz w:val="11"/>
              </w:rPr>
              <w:t>29.882.812,30</w:t>
            </w:r>
          </w:p>
        </w:tc>
      </w:tr>
    </w:tbl>
    <w:p>
      <w:pPr>
        <w:pStyle w:val="BodyText"/>
        <w:spacing w:before="1"/>
        <w:rPr>
          <w:b/>
          <w:sz w:val="19"/>
        </w:rPr>
      </w:pPr>
    </w:p>
    <w:p>
      <w:pPr>
        <w:spacing w:before="69"/>
        <w:ind w:left="10855" w:right="1577" w:firstLine="0"/>
        <w:jc w:val="center"/>
        <w:rPr>
          <w:sz w:val="18"/>
        </w:rPr>
      </w:pPr>
      <w:r>
        <w:rPr>
          <w:w w:val="105"/>
          <w:sz w:val="18"/>
        </w:rPr>
        <w:t>172</w:t>
      </w:r>
    </w:p>
    <w:p>
      <w:pPr>
        <w:spacing w:before="8"/>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after="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65" name="image5.png"/>
                  <wp:cNvGraphicFramePr>
                    <a:graphicFrameLocks noChangeAspect="1"/>
                  </wp:cNvGraphicFramePr>
                  <a:graphic>
                    <a:graphicData uri="http://schemas.openxmlformats.org/drawingml/2006/picture">
                      <pic:pic>
                        <pic:nvPicPr>
                          <pic:cNvPr id="36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174/247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11:14:26</w:t>
            </w:r>
          </w:p>
        </w:tc>
        <w:tc>
          <w:tcPr>
            <w:tcW w:w="1442" w:type="dxa"/>
            <w:vMerge/>
            <w:tcBorders>
              <w:top w:val="nil"/>
            </w:tcBorders>
          </w:tcPr>
          <w:p>
            <w:pPr>
              <w:rPr>
                <w:sz w:val="2"/>
                <w:szCs w:val="2"/>
              </w:rPr>
            </w:pPr>
          </w:p>
        </w:tc>
      </w:tr>
    </w:tbl>
    <w:p>
      <w:pPr>
        <w:spacing w:after="0"/>
        <w:rPr>
          <w:sz w:val="2"/>
          <w:szCs w:val="2"/>
        </w:rPr>
        <w:sectPr>
          <w:pgSz w:w="16840" w:h="11900" w:orient="landscape"/>
          <w:pgMar w:header="797" w:footer="1006" w:top="1620" w:bottom="1200" w:left="1160" w:right="1160"/>
        </w:sectPr>
      </w:pPr>
    </w:p>
    <w:p>
      <w:pPr>
        <w:pStyle w:val="BodyText"/>
        <w:ind w:left="2215"/>
      </w:pPr>
      <w:r>
        <w:rPr/>
        <w:pict>
          <v:group style="position:absolute;margin-left:33.770pt;margin-top:781.679993pt;width:527.5pt;height:39.35pt;mso-position-horizontal-relative:page;mso-position-vertical-relative:page;z-index:251896832" coordorigin="675,15634" coordsize="10550,787">
            <v:shape style="position:absolute;left:680;top:15638;width:9849;height:777" coordorigin="680,15639" coordsize="9849,777" path="m680,16415l680,15639m680,16415l5403,16415m680,15639l5403,15639m5403,16415l10529,16415m5403,15639l10529,15639e" filled="false" stroked="true" strokeweight=".5pt" strokecolor="#000000">
              <v:path arrowok="t"/>
              <v:stroke dashstyle="solid"/>
            </v:shape>
            <v:shape style="position:absolute;left:5482;top:15658;width:4966;height:737" type="#_x0000_t75" stroked="false">
              <v:imagedata r:id="rId22" o:title=""/>
            </v:shape>
            <v:shape style="position:absolute;left:10528;top:15633;width:696;height:787" type="#_x0000_t75" stroked="false">
              <v:imagedata r:id="rId30" o:title=""/>
            </v:shape>
            <v:shape style="position:absolute;left:675;top:15633;width:10550;height:787" type="#_x0000_t202" filled="false" stroked="false">
              <v:textbox inset="0,0,0,0">
                <w:txbxContent>
                  <w:p>
                    <w:pPr>
                      <w:spacing w:line="240" w:lineRule="auto" w:before="8"/>
                      <w:rPr>
                        <w:b/>
                        <w:sz w:val="12"/>
                      </w:rPr>
                    </w:pPr>
                  </w:p>
                  <w:p>
                    <w:pPr>
                      <w:spacing w:line="208" w:lineRule="auto" w:before="0"/>
                      <w:ind w:left="45" w:right="6025"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41" w:right="0" w:firstLine="0"/>
                      <w:jc w:val="left"/>
                      <w:rPr>
                        <w:rFonts w:ascii="Courier New"/>
                        <w:sz w:val="16"/>
                      </w:rPr>
                    </w:pPr>
                    <w:r>
                      <w:rPr>
                        <w:rFonts w:ascii="Courier New"/>
                        <w:sz w:val="16"/>
                      </w:rPr>
                      <w:t>0RiqhLVW5LB5SgsthOzHlk4i4AYIZGsdi</w:t>
                    </w:r>
                  </w:p>
                </w:txbxContent>
              </v:textbox>
              <w10:wrap type="none"/>
            </v:shape>
            <w10:wrap type="none"/>
          </v:group>
        </w:pict>
      </w:r>
      <w:r>
        <w:rPr/>
        <w:drawing>
          <wp:inline distT="0" distB="0" distL="0" distR="0">
            <wp:extent cx="1585134" cy="573404"/>
            <wp:effectExtent l="0" t="0" r="0" b="0"/>
            <wp:docPr id="367" name="image7.jpeg"/>
            <wp:cNvGraphicFramePr>
              <a:graphicFrameLocks noChangeAspect="1"/>
            </wp:cNvGraphicFramePr>
            <a:graphic>
              <a:graphicData uri="http://schemas.openxmlformats.org/drawingml/2006/picture">
                <pic:pic>
                  <pic:nvPicPr>
                    <pic:cNvPr id="368" name="image7.jpeg"/>
                    <pic:cNvPicPr/>
                  </pic:nvPicPr>
                  <pic:blipFill>
                    <a:blip r:embed="rId21" cstate="print"/>
                    <a:stretch>
                      <a:fillRect/>
                    </a:stretch>
                  </pic:blipFill>
                  <pic:spPr>
                    <a:xfrm>
                      <a:off x="0" y="0"/>
                      <a:ext cx="1585134" cy="573404"/>
                    </a:xfrm>
                    <a:prstGeom prst="rect">
                      <a:avLst/>
                    </a:prstGeom>
                  </pic:spPr>
                </pic:pic>
              </a:graphicData>
            </a:graphic>
          </wp:inline>
        </w:drawing>
      </w:r>
      <w:r>
        <w:rPr/>
      </w:r>
    </w:p>
    <w:p>
      <w:pPr>
        <w:pStyle w:val="BodyText"/>
        <w:spacing w:before="9"/>
        <w:rPr>
          <w:b/>
          <w:sz w:val="9"/>
        </w:rPr>
      </w:pPr>
    </w:p>
    <w:p>
      <w:pPr>
        <w:pStyle w:val="Heading1"/>
        <w:spacing w:before="61" w:after="2"/>
        <w:ind w:left="2698" w:right="1201" w:hanging="484"/>
        <w:jc w:val="left"/>
      </w:pPr>
      <w:r>
        <w:rPr>
          <w:color w:val="53A1B9"/>
        </w:rPr>
        <w:t>10.4 Anexo IV. Pendientes de cobros de ejercicios cerrados en fase voluntaria PICCAC/ MAGIN Y SEFLOGIC (I).</w:t>
      </w:r>
    </w:p>
    <w:tbl>
      <w:tblPr>
        <w:tblW w:w="0" w:type="auto"/>
        <w:jc w:val="left"/>
        <w:tblInd w:w="1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3"/>
        <w:gridCol w:w="1070"/>
        <w:gridCol w:w="743"/>
        <w:gridCol w:w="917"/>
        <w:gridCol w:w="971"/>
        <w:gridCol w:w="806"/>
        <w:gridCol w:w="646"/>
        <w:gridCol w:w="735"/>
        <w:gridCol w:w="596"/>
      </w:tblGrid>
      <w:tr>
        <w:trPr>
          <w:trHeight w:val="818" w:hRule="atLeast"/>
        </w:trPr>
        <w:tc>
          <w:tcPr>
            <w:tcW w:w="953"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rPr>
                <w:b/>
                <w:sz w:val="14"/>
              </w:rPr>
            </w:pPr>
          </w:p>
          <w:p>
            <w:pPr>
              <w:pStyle w:val="TableParagraph"/>
              <w:spacing w:before="1"/>
              <w:rPr>
                <w:b/>
                <w:sz w:val="13"/>
              </w:rPr>
            </w:pPr>
          </w:p>
          <w:p>
            <w:pPr>
              <w:pStyle w:val="TableParagraph"/>
              <w:ind w:left="125" w:right="118"/>
              <w:jc w:val="center"/>
              <w:rPr>
                <w:b/>
                <w:sz w:val="13"/>
              </w:rPr>
            </w:pPr>
            <w:r>
              <w:rPr>
                <w:b/>
                <w:w w:val="105"/>
                <w:sz w:val="13"/>
              </w:rPr>
              <w:t>Descripción</w:t>
            </w:r>
          </w:p>
        </w:tc>
        <w:tc>
          <w:tcPr>
            <w:tcW w:w="1070"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3"/>
              <w:rPr>
                <w:b/>
                <w:sz w:val="20"/>
              </w:rPr>
            </w:pPr>
          </w:p>
          <w:p>
            <w:pPr>
              <w:pStyle w:val="TableParagraph"/>
              <w:spacing w:line="249" w:lineRule="auto" w:before="1"/>
              <w:ind w:left="209" w:hanging="29"/>
              <w:rPr>
                <w:b/>
                <w:sz w:val="13"/>
              </w:rPr>
            </w:pPr>
            <w:r>
              <w:rPr>
                <w:b/>
                <w:w w:val="105"/>
                <w:sz w:val="13"/>
              </w:rPr>
              <w:t>Sucesiones y Donaciones</w:t>
            </w:r>
          </w:p>
        </w:tc>
        <w:tc>
          <w:tcPr>
            <w:tcW w:w="743"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rPr>
                <w:b/>
                <w:sz w:val="14"/>
              </w:rPr>
            </w:pPr>
          </w:p>
          <w:p>
            <w:pPr>
              <w:pStyle w:val="TableParagraph"/>
              <w:spacing w:before="1"/>
              <w:rPr>
                <w:b/>
                <w:sz w:val="13"/>
              </w:rPr>
            </w:pPr>
          </w:p>
          <w:p>
            <w:pPr>
              <w:pStyle w:val="TableParagraph"/>
              <w:ind w:right="46"/>
              <w:jc w:val="right"/>
              <w:rPr>
                <w:b/>
                <w:sz w:val="13"/>
              </w:rPr>
            </w:pPr>
            <w:r>
              <w:rPr>
                <w:b/>
                <w:sz w:val="13"/>
              </w:rPr>
              <w:t>Patrimonio</w:t>
            </w:r>
          </w:p>
        </w:tc>
        <w:tc>
          <w:tcPr>
            <w:tcW w:w="917"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3"/>
              <w:rPr>
                <w:b/>
                <w:sz w:val="20"/>
              </w:rPr>
            </w:pPr>
          </w:p>
          <w:p>
            <w:pPr>
              <w:pStyle w:val="TableParagraph"/>
              <w:spacing w:line="249" w:lineRule="auto" w:before="1"/>
              <w:ind w:left="72" w:right="16" w:hanging="15"/>
              <w:rPr>
                <w:b/>
                <w:sz w:val="13"/>
              </w:rPr>
            </w:pPr>
            <w:r>
              <w:rPr>
                <w:b/>
                <w:w w:val="105"/>
                <w:sz w:val="13"/>
              </w:rPr>
              <w:t>Transmisiones </w:t>
            </w:r>
            <w:r>
              <w:rPr>
                <w:b/>
                <w:sz w:val="13"/>
              </w:rPr>
              <w:t>Patrimoniales</w:t>
            </w:r>
          </w:p>
        </w:tc>
        <w:tc>
          <w:tcPr>
            <w:tcW w:w="971"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3"/>
              <w:rPr>
                <w:b/>
                <w:sz w:val="20"/>
              </w:rPr>
            </w:pPr>
          </w:p>
          <w:p>
            <w:pPr>
              <w:pStyle w:val="TableParagraph"/>
              <w:spacing w:line="249" w:lineRule="auto" w:before="1"/>
              <w:ind w:left="64" w:right="18" w:firstLine="8"/>
              <w:rPr>
                <w:b/>
                <w:sz w:val="13"/>
              </w:rPr>
            </w:pPr>
            <w:r>
              <w:rPr>
                <w:b/>
                <w:w w:val="105"/>
                <w:sz w:val="13"/>
              </w:rPr>
              <w:t>Actos Jurídicos Documentados</w:t>
            </w:r>
          </w:p>
        </w:tc>
        <w:tc>
          <w:tcPr>
            <w:tcW w:w="80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8"/>
              <w:rPr>
                <w:b/>
                <w:sz w:val="13"/>
              </w:rPr>
            </w:pPr>
          </w:p>
          <w:p>
            <w:pPr>
              <w:pStyle w:val="TableParagraph"/>
              <w:spacing w:line="247" w:lineRule="auto"/>
              <w:ind w:left="59" w:right="46"/>
              <w:jc w:val="center"/>
              <w:rPr>
                <w:b/>
                <w:sz w:val="13"/>
              </w:rPr>
            </w:pPr>
            <w:r>
              <w:rPr>
                <w:b/>
                <w:w w:val="105"/>
                <w:sz w:val="13"/>
              </w:rPr>
              <w:t>Impuesto sobre </w:t>
            </w:r>
            <w:r>
              <w:rPr>
                <w:b/>
                <w:sz w:val="13"/>
              </w:rPr>
              <w:t>combustible</w:t>
            </w:r>
          </w:p>
        </w:tc>
        <w:tc>
          <w:tcPr>
            <w:tcW w:w="64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2"/>
              <w:ind w:left="43" w:right="26"/>
              <w:jc w:val="center"/>
              <w:rPr>
                <w:b/>
                <w:sz w:val="13"/>
              </w:rPr>
            </w:pPr>
            <w:r>
              <w:rPr>
                <w:b/>
                <w:w w:val="105"/>
                <w:sz w:val="13"/>
              </w:rPr>
              <w:t>Impuesto sobre las labores del</w:t>
            </w:r>
          </w:p>
          <w:p>
            <w:pPr>
              <w:pStyle w:val="TableParagraph"/>
              <w:spacing w:line="139" w:lineRule="exact" w:before="3"/>
              <w:ind w:left="39" w:right="26"/>
              <w:jc w:val="center"/>
              <w:rPr>
                <w:b/>
                <w:sz w:val="13"/>
              </w:rPr>
            </w:pPr>
            <w:r>
              <w:rPr>
                <w:b/>
                <w:w w:val="105"/>
                <w:sz w:val="13"/>
              </w:rPr>
              <w:t>tabaco</w:t>
            </w:r>
          </w:p>
        </w:tc>
        <w:tc>
          <w:tcPr>
            <w:tcW w:w="735"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3"/>
              <w:rPr>
                <w:b/>
                <w:sz w:val="20"/>
              </w:rPr>
            </w:pPr>
          </w:p>
          <w:p>
            <w:pPr>
              <w:pStyle w:val="TableParagraph"/>
              <w:spacing w:line="249" w:lineRule="auto" w:before="1"/>
              <w:ind w:left="60" w:right="18" w:firstLine="30"/>
              <w:rPr>
                <w:b/>
                <w:sz w:val="13"/>
              </w:rPr>
            </w:pPr>
            <w:r>
              <w:rPr>
                <w:b/>
                <w:w w:val="105"/>
                <w:sz w:val="13"/>
              </w:rPr>
              <w:t>Máquinas recreativas</w:t>
            </w:r>
          </w:p>
        </w:tc>
        <w:tc>
          <w:tcPr>
            <w:tcW w:w="59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8"/>
              <w:rPr>
                <w:b/>
                <w:sz w:val="13"/>
              </w:rPr>
            </w:pPr>
          </w:p>
          <w:p>
            <w:pPr>
              <w:pStyle w:val="TableParagraph"/>
              <w:ind w:left="61"/>
              <w:rPr>
                <w:b/>
                <w:sz w:val="13"/>
              </w:rPr>
            </w:pPr>
            <w:r>
              <w:rPr>
                <w:b/>
                <w:w w:val="105"/>
                <w:sz w:val="13"/>
              </w:rPr>
              <w:t>Tasas</w:t>
            </w:r>
            <w:r>
              <w:rPr>
                <w:b/>
                <w:spacing w:val="-10"/>
                <w:w w:val="105"/>
                <w:sz w:val="13"/>
              </w:rPr>
              <w:t> </w:t>
            </w:r>
            <w:r>
              <w:rPr>
                <w:b/>
                <w:w w:val="105"/>
                <w:sz w:val="13"/>
              </w:rPr>
              <w:t>de</w:t>
            </w:r>
          </w:p>
          <w:p>
            <w:pPr>
              <w:pStyle w:val="TableParagraph"/>
              <w:spacing w:line="247" w:lineRule="auto" w:before="5"/>
              <w:ind w:left="71" w:right="46" w:hanging="7"/>
              <w:rPr>
                <w:b/>
                <w:sz w:val="13"/>
              </w:rPr>
            </w:pPr>
            <w:r>
              <w:rPr>
                <w:b/>
                <w:w w:val="105"/>
                <w:sz w:val="13"/>
              </w:rPr>
              <w:t>C. </w:t>
            </w:r>
            <w:r>
              <w:rPr>
                <w:b/>
                <w:spacing w:val="-4"/>
                <w:w w:val="105"/>
                <w:sz w:val="13"/>
              </w:rPr>
              <w:t>Obras </w:t>
            </w:r>
            <w:r>
              <w:rPr>
                <w:b/>
                <w:sz w:val="13"/>
              </w:rPr>
              <w:t>Públicas</w:t>
            </w:r>
          </w:p>
        </w:tc>
      </w:tr>
      <w:tr>
        <w:trPr>
          <w:trHeight w:val="326" w:hRule="atLeast"/>
        </w:trPr>
        <w:tc>
          <w:tcPr>
            <w:tcW w:w="953" w:type="dxa"/>
            <w:tcBorders>
              <w:top w:val="single" w:sz="4" w:space="0" w:color="000000"/>
              <w:left w:val="single" w:sz="4" w:space="0" w:color="000000"/>
              <w:bottom w:val="single" w:sz="4" w:space="0" w:color="000000"/>
              <w:right w:val="single" w:sz="4" w:space="0" w:color="000000"/>
            </w:tcBorders>
            <w:shd w:val="clear" w:color="auto" w:fill="D9E0F1"/>
          </w:tcPr>
          <w:p>
            <w:pPr>
              <w:pStyle w:val="TableParagraph"/>
              <w:spacing w:before="2"/>
              <w:ind w:left="212"/>
              <w:rPr>
                <w:b/>
                <w:sz w:val="13"/>
              </w:rPr>
            </w:pPr>
            <w:r>
              <w:rPr>
                <w:b/>
                <w:w w:val="105"/>
                <w:sz w:val="13"/>
              </w:rPr>
              <w:t>Ejercicio/</w:t>
            </w:r>
          </w:p>
          <w:p>
            <w:pPr>
              <w:pStyle w:val="TableParagraph"/>
              <w:spacing w:line="139" w:lineRule="exact" w:before="6"/>
              <w:ind w:left="150"/>
              <w:rPr>
                <w:b/>
                <w:sz w:val="13"/>
              </w:rPr>
            </w:pPr>
            <w:r>
              <w:rPr>
                <w:b/>
                <w:w w:val="105"/>
                <w:sz w:val="13"/>
              </w:rPr>
              <w:t>Suconcepto</w:t>
            </w:r>
          </w:p>
        </w:tc>
        <w:tc>
          <w:tcPr>
            <w:tcW w:w="1070" w:type="dxa"/>
            <w:tcBorders>
              <w:top w:val="single" w:sz="4" w:space="0" w:color="000000"/>
              <w:left w:val="single" w:sz="4" w:space="0" w:color="000000"/>
              <w:bottom w:val="single" w:sz="4" w:space="0" w:color="000000"/>
              <w:right w:val="single" w:sz="4" w:space="0" w:color="000000"/>
            </w:tcBorders>
            <w:shd w:val="clear" w:color="auto" w:fill="D9E0F1"/>
          </w:tcPr>
          <w:p>
            <w:pPr>
              <w:pStyle w:val="TableParagraph"/>
              <w:spacing w:before="85"/>
              <w:ind w:left="364"/>
              <w:rPr>
                <w:b/>
                <w:sz w:val="13"/>
              </w:rPr>
            </w:pPr>
            <w:r>
              <w:rPr>
                <w:b/>
                <w:w w:val="105"/>
                <w:sz w:val="13"/>
              </w:rPr>
              <w:t>11000</w:t>
            </w:r>
          </w:p>
        </w:tc>
        <w:tc>
          <w:tcPr>
            <w:tcW w:w="743" w:type="dxa"/>
            <w:tcBorders>
              <w:top w:val="single" w:sz="4" w:space="0" w:color="000000"/>
              <w:left w:val="single" w:sz="4" w:space="0" w:color="000000"/>
              <w:bottom w:val="single" w:sz="4" w:space="0" w:color="000000"/>
              <w:right w:val="single" w:sz="4" w:space="0" w:color="000000"/>
            </w:tcBorders>
            <w:shd w:val="clear" w:color="auto" w:fill="D9E0F1"/>
          </w:tcPr>
          <w:p>
            <w:pPr>
              <w:pStyle w:val="TableParagraph"/>
              <w:spacing w:before="85"/>
              <w:ind w:left="201"/>
              <w:rPr>
                <w:b/>
                <w:sz w:val="13"/>
              </w:rPr>
            </w:pPr>
            <w:r>
              <w:rPr>
                <w:b/>
                <w:w w:val="105"/>
                <w:sz w:val="13"/>
              </w:rPr>
              <w:t>11100</w:t>
            </w:r>
          </w:p>
        </w:tc>
        <w:tc>
          <w:tcPr>
            <w:tcW w:w="917" w:type="dxa"/>
            <w:tcBorders>
              <w:top w:val="single" w:sz="4" w:space="0" w:color="000000"/>
              <w:left w:val="single" w:sz="4" w:space="0" w:color="000000"/>
              <w:bottom w:val="single" w:sz="4" w:space="0" w:color="000000"/>
              <w:right w:val="single" w:sz="4" w:space="0" w:color="000000"/>
            </w:tcBorders>
            <w:shd w:val="clear" w:color="auto" w:fill="D9E0F1"/>
          </w:tcPr>
          <w:p>
            <w:pPr>
              <w:pStyle w:val="TableParagraph"/>
              <w:spacing w:before="85"/>
              <w:ind w:left="288"/>
              <w:rPr>
                <w:b/>
                <w:sz w:val="13"/>
              </w:rPr>
            </w:pPr>
            <w:r>
              <w:rPr>
                <w:b/>
                <w:w w:val="105"/>
                <w:sz w:val="13"/>
              </w:rPr>
              <w:t>20000</w:t>
            </w:r>
          </w:p>
        </w:tc>
        <w:tc>
          <w:tcPr>
            <w:tcW w:w="971" w:type="dxa"/>
            <w:tcBorders>
              <w:top w:val="single" w:sz="4" w:space="0" w:color="000000"/>
              <w:left w:val="single" w:sz="4" w:space="0" w:color="000000"/>
              <w:bottom w:val="single" w:sz="4" w:space="0" w:color="000000"/>
              <w:right w:val="single" w:sz="4" w:space="0" w:color="000000"/>
            </w:tcBorders>
            <w:shd w:val="clear" w:color="auto" w:fill="D9E0F1"/>
          </w:tcPr>
          <w:p>
            <w:pPr>
              <w:pStyle w:val="TableParagraph"/>
              <w:spacing w:before="85"/>
              <w:ind w:left="316"/>
              <w:rPr>
                <w:b/>
                <w:sz w:val="13"/>
              </w:rPr>
            </w:pPr>
            <w:r>
              <w:rPr>
                <w:b/>
                <w:w w:val="105"/>
                <w:sz w:val="13"/>
              </w:rPr>
              <w:t>20001</w:t>
            </w:r>
          </w:p>
        </w:tc>
        <w:tc>
          <w:tcPr>
            <w:tcW w:w="806" w:type="dxa"/>
            <w:tcBorders>
              <w:top w:val="single" w:sz="4" w:space="0" w:color="000000"/>
              <w:left w:val="single" w:sz="4" w:space="0" w:color="000000"/>
              <w:bottom w:val="single" w:sz="4" w:space="0" w:color="000000"/>
              <w:right w:val="single" w:sz="4" w:space="0" w:color="000000"/>
            </w:tcBorders>
            <w:shd w:val="clear" w:color="auto" w:fill="D9E0F1"/>
          </w:tcPr>
          <w:p>
            <w:pPr>
              <w:pStyle w:val="TableParagraph"/>
              <w:spacing w:before="85"/>
              <w:ind w:left="232"/>
              <w:rPr>
                <w:b/>
                <w:sz w:val="13"/>
              </w:rPr>
            </w:pPr>
            <w:r>
              <w:rPr>
                <w:b/>
                <w:w w:val="105"/>
                <w:sz w:val="13"/>
              </w:rPr>
              <w:t>22010</w:t>
            </w:r>
          </w:p>
        </w:tc>
        <w:tc>
          <w:tcPr>
            <w:tcW w:w="646" w:type="dxa"/>
            <w:tcBorders>
              <w:top w:val="single" w:sz="4" w:space="0" w:color="000000"/>
              <w:left w:val="single" w:sz="4" w:space="0" w:color="000000"/>
              <w:bottom w:val="single" w:sz="4" w:space="0" w:color="000000"/>
              <w:right w:val="single" w:sz="4" w:space="0" w:color="000000"/>
            </w:tcBorders>
            <w:shd w:val="clear" w:color="auto" w:fill="D9E0F1"/>
          </w:tcPr>
          <w:p>
            <w:pPr>
              <w:pStyle w:val="TableParagraph"/>
              <w:spacing w:before="85"/>
              <w:ind w:left="154"/>
              <w:rPr>
                <w:b/>
                <w:sz w:val="13"/>
              </w:rPr>
            </w:pPr>
            <w:r>
              <w:rPr>
                <w:b/>
                <w:w w:val="105"/>
                <w:sz w:val="13"/>
              </w:rPr>
              <w:t>22030</w:t>
            </w:r>
          </w:p>
        </w:tc>
        <w:tc>
          <w:tcPr>
            <w:tcW w:w="735" w:type="dxa"/>
            <w:tcBorders>
              <w:top w:val="single" w:sz="4" w:space="0" w:color="000000"/>
              <w:left w:val="single" w:sz="4" w:space="0" w:color="000000"/>
              <w:bottom w:val="single" w:sz="4" w:space="0" w:color="000000"/>
              <w:right w:val="single" w:sz="4" w:space="0" w:color="000000"/>
            </w:tcBorders>
            <w:shd w:val="clear" w:color="auto" w:fill="D9E0F1"/>
          </w:tcPr>
          <w:p>
            <w:pPr>
              <w:pStyle w:val="TableParagraph"/>
              <w:spacing w:before="85"/>
              <w:ind w:left="197"/>
              <w:rPr>
                <w:b/>
                <w:sz w:val="13"/>
              </w:rPr>
            </w:pPr>
            <w:r>
              <w:rPr>
                <w:b/>
                <w:w w:val="105"/>
                <w:sz w:val="13"/>
              </w:rPr>
              <w:t>25004</w:t>
            </w:r>
          </w:p>
        </w:tc>
        <w:tc>
          <w:tcPr>
            <w:tcW w:w="596" w:type="dxa"/>
            <w:tcBorders>
              <w:top w:val="single" w:sz="4" w:space="0" w:color="000000"/>
              <w:left w:val="single" w:sz="4" w:space="0" w:color="000000"/>
              <w:bottom w:val="single" w:sz="4" w:space="0" w:color="000000"/>
              <w:right w:val="single" w:sz="4" w:space="0" w:color="000000"/>
            </w:tcBorders>
            <w:shd w:val="clear" w:color="auto" w:fill="D9E0F1"/>
          </w:tcPr>
          <w:p>
            <w:pPr>
              <w:pStyle w:val="TableParagraph"/>
              <w:spacing w:before="85"/>
              <w:ind w:left="129"/>
              <w:rPr>
                <w:b/>
                <w:sz w:val="13"/>
              </w:rPr>
            </w:pPr>
            <w:r>
              <w:rPr>
                <w:b/>
                <w:w w:val="105"/>
                <w:sz w:val="13"/>
              </w:rPr>
              <w:t>32911</w:t>
            </w:r>
          </w:p>
        </w:tc>
      </w:tr>
      <w:tr>
        <w:trPr>
          <w:trHeight w:val="174" w:hRule="atLeast"/>
        </w:trPr>
        <w:tc>
          <w:tcPr>
            <w:tcW w:w="953" w:type="dxa"/>
            <w:tcBorders>
              <w:top w:val="single" w:sz="4" w:space="0" w:color="000000"/>
              <w:left w:val="single" w:sz="4" w:space="0" w:color="000000"/>
            </w:tcBorders>
          </w:tcPr>
          <w:p>
            <w:pPr>
              <w:pStyle w:val="TableParagraph"/>
              <w:spacing w:line="153" w:lineRule="exact" w:before="2"/>
              <w:ind w:left="82" w:right="77"/>
              <w:jc w:val="center"/>
              <w:rPr>
                <w:sz w:val="13"/>
              </w:rPr>
            </w:pPr>
            <w:r>
              <w:rPr>
                <w:w w:val="105"/>
                <w:sz w:val="13"/>
              </w:rPr>
              <w:t>1987</w:t>
            </w:r>
          </w:p>
        </w:tc>
        <w:tc>
          <w:tcPr>
            <w:tcW w:w="1070" w:type="dxa"/>
            <w:tcBorders>
              <w:top w:val="single" w:sz="4" w:space="0" w:color="000000"/>
            </w:tcBorders>
          </w:tcPr>
          <w:p>
            <w:pPr>
              <w:pStyle w:val="TableParagraph"/>
              <w:rPr>
                <w:rFonts w:ascii="Times New Roman"/>
                <w:sz w:val="10"/>
              </w:rPr>
            </w:pPr>
          </w:p>
        </w:tc>
        <w:tc>
          <w:tcPr>
            <w:tcW w:w="743" w:type="dxa"/>
            <w:vMerge w:val="restart"/>
            <w:tcBorders>
              <w:top w:val="single" w:sz="4" w:space="0" w:color="000000"/>
            </w:tcBorders>
          </w:tcPr>
          <w:p>
            <w:pPr>
              <w:pStyle w:val="TableParagraph"/>
              <w:rPr>
                <w:rFonts w:ascii="Times New Roman"/>
                <w:sz w:val="12"/>
              </w:rPr>
            </w:pPr>
          </w:p>
        </w:tc>
        <w:tc>
          <w:tcPr>
            <w:tcW w:w="917" w:type="dxa"/>
            <w:tcBorders>
              <w:top w:val="single" w:sz="4" w:space="0" w:color="000000"/>
            </w:tcBorders>
          </w:tcPr>
          <w:p>
            <w:pPr>
              <w:pStyle w:val="TableParagraph"/>
              <w:rPr>
                <w:rFonts w:ascii="Times New Roman"/>
                <w:sz w:val="10"/>
              </w:rPr>
            </w:pPr>
          </w:p>
        </w:tc>
        <w:tc>
          <w:tcPr>
            <w:tcW w:w="971" w:type="dxa"/>
            <w:tcBorders>
              <w:top w:val="single" w:sz="4" w:space="0" w:color="000000"/>
            </w:tcBorders>
          </w:tcPr>
          <w:p>
            <w:pPr>
              <w:pStyle w:val="TableParagraph"/>
              <w:rPr>
                <w:rFonts w:ascii="Times New Roman"/>
                <w:sz w:val="10"/>
              </w:rPr>
            </w:pPr>
          </w:p>
        </w:tc>
        <w:tc>
          <w:tcPr>
            <w:tcW w:w="806" w:type="dxa"/>
            <w:tcBorders>
              <w:top w:val="single" w:sz="4" w:space="0" w:color="000000"/>
            </w:tcBorders>
          </w:tcPr>
          <w:p>
            <w:pPr>
              <w:pStyle w:val="TableParagraph"/>
              <w:rPr>
                <w:rFonts w:ascii="Times New Roman"/>
                <w:sz w:val="10"/>
              </w:rPr>
            </w:pPr>
          </w:p>
        </w:tc>
        <w:tc>
          <w:tcPr>
            <w:tcW w:w="646" w:type="dxa"/>
            <w:vMerge w:val="restart"/>
            <w:tcBorders>
              <w:top w:val="single" w:sz="4" w:space="0" w:color="000000"/>
            </w:tcBorders>
          </w:tcPr>
          <w:p>
            <w:pPr>
              <w:pStyle w:val="TableParagraph"/>
              <w:rPr>
                <w:rFonts w:ascii="Times New Roman"/>
                <w:sz w:val="12"/>
              </w:rPr>
            </w:pPr>
          </w:p>
        </w:tc>
        <w:tc>
          <w:tcPr>
            <w:tcW w:w="735" w:type="dxa"/>
            <w:vMerge w:val="restart"/>
            <w:tcBorders>
              <w:top w:val="single" w:sz="4" w:space="0" w:color="000000"/>
            </w:tcBorders>
          </w:tcPr>
          <w:p>
            <w:pPr>
              <w:pStyle w:val="TableParagraph"/>
              <w:rPr>
                <w:rFonts w:ascii="Times New Roman"/>
                <w:sz w:val="12"/>
              </w:rPr>
            </w:pPr>
          </w:p>
        </w:tc>
        <w:tc>
          <w:tcPr>
            <w:tcW w:w="596" w:type="dxa"/>
            <w:tcBorders>
              <w:top w:val="single" w:sz="4" w:space="0" w:color="000000"/>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1988</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3" w:hRule="atLeast"/>
        </w:trPr>
        <w:tc>
          <w:tcPr>
            <w:tcW w:w="953" w:type="dxa"/>
            <w:tcBorders>
              <w:left w:val="single" w:sz="4" w:space="0" w:color="000000"/>
            </w:tcBorders>
          </w:tcPr>
          <w:p>
            <w:pPr>
              <w:pStyle w:val="TableParagraph"/>
              <w:spacing w:line="143" w:lineRule="exact"/>
              <w:ind w:left="82" w:right="77"/>
              <w:jc w:val="center"/>
              <w:rPr>
                <w:sz w:val="13"/>
              </w:rPr>
            </w:pPr>
            <w:r>
              <w:rPr>
                <w:w w:val="105"/>
                <w:sz w:val="13"/>
              </w:rPr>
              <w:t>1989</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spacing w:line="143" w:lineRule="exact"/>
              <w:ind w:left="70"/>
              <w:rPr>
                <w:sz w:val="13"/>
              </w:rPr>
            </w:pPr>
            <w:r>
              <w:rPr>
                <w:w w:val="105"/>
                <w:sz w:val="13"/>
              </w:rPr>
              <w:t>2.026,57</w:t>
            </w: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1990</w:t>
            </w:r>
          </w:p>
        </w:tc>
        <w:tc>
          <w:tcPr>
            <w:tcW w:w="1070" w:type="dxa"/>
          </w:tcPr>
          <w:p>
            <w:pPr>
              <w:pStyle w:val="TableParagraph"/>
              <w:spacing w:line="144" w:lineRule="exact"/>
              <w:ind w:right="50"/>
              <w:jc w:val="right"/>
              <w:rPr>
                <w:sz w:val="13"/>
              </w:rPr>
            </w:pPr>
            <w:r>
              <w:rPr>
                <w:sz w:val="13"/>
              </w:rPr>
              <w:t>649,18</w:t>
            </w: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1991</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1992</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1993</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spacing w:line="144" w:lineRule="exact"/>
              <w:ind w:left="170"/>
              <w:rPr>
                <w:sz w:val="13"/>
              </w:rPr>
            </w:pPr>
            <w:r>
              <w:rPr>
                <w:w w:val="105"/>
                <w:sz w:val="13"/>
              </w:rPr>
              <w:t>184,33</w:t>
            </w:r>
          </w:p>
        </w:tc>
      </w:tr>
      <w:tr>
        <w:trPr>
          <w:trHeight w:val="163" w:hRule="atLeast"/>
        </w:trPr>
        <w:tc>
          <w:tcPr>
            <w:tcW w:w="953" w:type="dxa"/>
            <w:tcBorders>
              <w:left w:val="single" w:sz="4" w:space="0" w:color="000000"/>
            </w:tcBorders>
          </w:tcPr>
          <w:p>
            <w:pPr>
              <w:pStyle w:val="TableParagraph"/>
              <w:spacing w:line="143" w:lineRule="exact"/>
              <w:ind w:left="82" w:right="77"/>
              <w:jc w:val="center"/>
              <w:rPr>
                <w:sz w:val="13"/>
              </w:rPr>
            </w:pPr>
            <w:r>
              <w:rPr>
                <w:w w:val="105"/>
                <w:sz w:val="13"/>
              </w:rPr>
              <w:t>1994</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spacing w:line="143" w:lineRule="exact"/>
              <w:ind w:left="170"/>
              <w:rPr>
                <w:sz w:val="13"/>
              </w:rPr>
            </w:pPr>
            <w:r>
              <w:rPr>
                <w:w w:val="105"/>
                <w:sz w:val="13"/>
              </w:rPr>
              <w:t>360,61</w:t>
            </w: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1995</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1996</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3" w:hRule="atLeast"/>
        </w:trPr>
        <w:tc>
          <w:tcPr>
            <w:tcW w:w="953" w:type="dxa"/>
            <w:tcBorders>
              <w:left w:val="single" w:sz="4" w:space="0" w:color="000000"/>
            </w:tcBorders>
          </w:tcPr>
          <w:p>
            <w:pPr>
              <w:pStyle w:val="TableParagraph"/>
              <w:spacing w:line="143" w:lineRule="exact"/>
              <w:ind w:left="82" w:right="77"/>
              <w:jc w:val="center"/>
              <w:rPr>
                <w:sz w:val="13"/>
              </w:rPr>
            </w:pPr>
            <w:r>
              <w:rPr>
                <w:w w:val="105"/>
                <w:sz w:val="13"/>
              </w:rPr>
              <w:t>1997</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spacing w:line="143" w:lineRule="exact"/>
              <w:ind w:left="170"/>
              <w:rPr>
                <w:sz w:val="13"/>
              </w:rPr>
            </w:pPr>
            <w:r>
              <w:rPr>
                <w:w w:val="105"/>
                <w:sz w:val="13"/>
              </w:rPr>
              <w:t>282,48</w:t>
            </w: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1998</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1999</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2000</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2001</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3" w:hRule="atLeast"/>
        </w:trPr>
        <w:tc>
          <w:tcPr>
            <w:tcW w:w="953" w:type="dxa"/>
            <w:tcBorders>
              <w:left w:val="single" w:sz="4" w:space="0" w:color="000000"/>
            </w:tcBorders>
          </w:tcPr>
          <w:p>
            <w:pPr>
              <w:pStyle w:val="TableParagraph"/>
              <w:spacing w:line="143" w:lineRule="exact"/>
              <w:ind w:left="82" w:right="77"/>
              <w:jc w:val="center"/>
              <w:rPr>
                <w:sz w:val="13"/>
              </w:rPr>
            </w:pPr>
            <w:r>
              <w:rPr>
                <w:w w:val="105"/>
                <w:sz w:val="13"/>
              </w:rPr>
              <w:t>2002</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2003</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2004</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rPr>
                <w:rFonts w:ascii="Times New Roman"/>
                <w:sz w:val="10"/>
              </w:rPr>
            </w:pP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2005</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spacing w:line="144" w:lineRule="exact"/>
              <w:ind w:right="49"/>
              <w:jc w:val="right"/>
              <w:rPr>
                <w:sz w:val="13"/>
              </w:rPr>
            </w:pPr>
            <w:r>
              <w:rPr>
                <w:w w:val="105"/>
                <w:sz w:val="13"/>
              </w:rPr>
              <w:t>33.814,95</w:t>
            </w: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2006</w:t>
            </w:r>
          </w:p>
        </w:tc>
        <w:tc>
          <w:tcPr>
            <w:tcW w:w="1070" w:type="dxa"/>
          </w:tcPr>
          <w:p>
            <w:pPr>
              <w:pStyle w:val="TableParagraph"/>
              <w:spacing w:line="144" w:lineRule="exact"/>
              <w:ind w:right="50"/>
              <w:jc w:val="right"/>
              <w:rPr>
                <w:sz w:val="13"/>
              </w:rPr>
            </w:pPr>
            <w:r>
              <w:rPr>
                <w:w w:val="105"/>
                <w:sz w:val="13"/>
              </w:rPr>
              <w:t>3.067,30</w:t>
            </w:r>
          </w:p>
        </w:tc>
        <w:tc>
          <w:tcPr>
            <w:tcW w:w="743" w:type="dxa"/>
            <w:vMerge/>
            <w:tcBorders>
              <w:top w:val="nil"/>
            </w:tcBorders>
          </w:tcPr>
          <w:p>
            <w:pPr>
              <w:rPr>
                <w:sz w:val="2"/>
                <w:szCs w:val="2"/>
              </w:rPr>
            </w:pPr>
          </w:p>
        </w:tc>
        <w:tc>
          <w:tcPr>
            <w:tcW w:w="917" w:type="dxa"/>
          </w:tcPr>
          <w:p>
            <w:pPr>
              <w:pStyle w:val="TableParagraph"/>
              <w:spacing w:line="144" w:lineRule="exact"/>
              <w:ind w:right="49"/>
              <w:jc w:val="right"/>
              <w:rPr>
                <w:sz w:val="13"/>
              </w:rPr>
            </w:pPr>
            <w:r>
              <w:rPr>
                <w:w w:val="105"/>
                <w:sz w:val="13"/>
              </w:rPr>
              <w:t>4.914,00</w:t>
            </w: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3" w:hRule="atLeast"/>
        </w:trPr>
        <w:tc>
          <w:tcPr>
            <w:tcW w:w="953" w:type="dxa"/>
            <w:tcBorders>
              <w:left w:val="single" w:sz="4" w:space="0" w:color="000000"/>
            </w:tcBorders>
          </w:tcPr>
          <w:p>
            <w:pPr>
              <w:pStyle w:val="TableParagraph"/>
              <w:spacing w:line="143" w:lineRule="exact"/>
              <w:ind w:left="82" w:right="77"/>
              <w:jc w:val="center"/>
              <w:rPr>
                <w:sz w:val="13"/>
              </w:rPr>
            </w:pPr>
            <w:r>
              <w:rPr>
                <w:w w:val="105"/>
                <w:sz w:val="13"/>
              </w:rPr>
              <w:t>2007</w:t>
            </w:r>
          </w:p>
        </w:tc>
        <w:tc>
          <w:tcPr>
            <w:tcW w:w="1070" w:type="dxa"/>
          </w:tcPr>
          <w:p>
            <w:pPr>
              <w:pStyle w:val="TableParagraph"/>
              <w:spacing w:line="143" w:lineRule="exact"/>
              <w:ind w:right="50"/>
              <w:jc w:val="right"/>
              <w:rPr>
                <w:sz w:val="13"/>
              </w:rPr>
            </w:pPr>
            <w:r>
              <w:rPr>
                <w:w w:val="105"/>
                <w:sz w:val="13"/>
              </w:rPr>
              <w:t>1.063,09</w:t>
            </w:r>
          </w:p>
        </w:tc>
        <w:tc>
          <w:tcPr>
            <w:tcW w:w="743" w:type="dxa"/>
            <w:vMerge/>
            <w:tcBorders>
              <w:top w:val="nil"/>
            </w:tcBorders>
          </w:tcPr>
          <w:p>
            <w:pPr>
              <w:rPr>
                <w:sz w:val="2"/>
                <w:szCs w:val="2"/>
              </w:rPr>
            </w:pPr>
          </w:p>
        </w:tc>
        <w:tc>
          <w:tcPr>
            <w:tcW w:w="917" w:type="dxa"/>
          </w:tcPr>
          <w:p>
            <w:pPr>
              <w:pStyle w:val="TableParagraph"/>
              <w:spacing w:line="143" w:lineRule="exact"/>
              <w:ind w:right="49"/>
              <w:jc w:val="right"/>
              <w:rPr>
                <w:sz w:val="13"/>
              </w:rPr>
            </w:pPr>
            <w:r>
              <w:rPr>
                <w:w w:val="105"/>
                <w:sz w:val="13"/>
              </w:rPr>
              <w:t>12.941,87</w:t>
            </w:r>
          </w:p>
        </w:tc>
        <w:tc>
          <w:tcPr>
            <w:tcW w:w="971" w:type="dxa"/>
          </w:tcPr>
          <w:p>
            <w:pPr>
              <w:pStyle w:val="TableParagraph"/>
              <w:rPr>
                <w:rFonts w:ascii="Times New Roman"/>
                <w:sz w:val="10"/>
              </w:rPr>
            </w:pP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2008</w:t>
            </w:r>
          </w:p>
        </w:tc>
        <w:tc>
          <w:tcPr>
            <w:tcW w:w="1070" w:type="dxa"/>
          </w:tcPr>
          <w:p>
            <w:pPr>
              <w:pStyle w:val="TableParagraph"/>
              <w:rPr>
                <w:rFonts w:ascii="Times New Roman"/>
                <w:sz w:val="10"/>
              </w:rPr>
            </w:pPr>
          </w:p>
        </w:tc>
        <w:tc>
          <w:tcPr>
            <w:tcW w:w="743" w:type="dxa"/>
            <w:vMerge/>
            <w:tcBorders>
              <w:top w:val="nil"/>
            </w:tcBorders>
          </w:tcPr>
          <w:p>
            <w:pPr>
              <w:rPr>
                <w:sz w:val="2"/>
                <w:szCs w:val="2"/>
              </w:rPr>
            </w:pPr>
          </w:p>
        </w:tc>
        <w:tc>
          <w:tcPr>
            <w:tcW w:w="917" w:type="dxa"/>
          </w:tcPr>
          <w:p>
            <w:pPr>
              <w:pStyle w:val="TableParagraph"/>
              <w:spacing w:line="144" w:lineRule="exact"/>
              <w:ind w:right="49"/>
              <w:jc w:val="right"/>
              <w:rPr>
                <w:sz w:val="13"/>
              </w:rPr>
            </w:pPr>
            <w:r>
              <w:rPr>
                <w:w w:val="105"/>
                <w:sz w:val="13"/>
              </w:rPr>
              <w:t>244.609,25</w:t>
            </w:r>
          </w:p>
        </w:tc>
        <w:tc>
          <w:tcPr>
            <w:tcW w:w="971" w:type="dxa"/>
          </w:tcPr>
          <w:p>
            <w:pPr>
              <w:pStyle w:val="TableParagraph"/>
              <w:spacing w:line="144" w:lineRule="exact"/>
              <w:ind w:right="49"/>
              <w:jc w:val="right"/>
              <w:rPr>
                <w:sz w:val="13"/>
              </w:rPr>
            </w:pPr>
            <w:r>
              <w:rPr>
                <w:w w:val="105"/>
                <w:sz w:val="13"/>
              </w:rPr>
              <w:t>472.259,87</w:t>
            </w: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2009</w:t>
            </w:r>
          </w:p>
        </w:tc>
        <w:tc>
          <w:tcPr>
            <w:tcW w:w="1070" w:type="dxa"/>
          </w:tcPr>
          <w:p>
            <w:pPr>
              <w:pStyle w:val="TableParagraph"/>
              <w:spacing w:line="144" w:lineRule="exact"/>
              <w:ind w:right="50"/>
              <w:jc w:val="right"/>
              <w:rPr>
                <w:sz w:val="13"/>
              </w:rPr>
            </w:pPr>
            <w:r>
              <w:rPr>
                <w:w w:val="105"/>
                <w:sz w:val="13"/>
              </w:rPr>
              <w:t>46.173,59</w:t>
            </w:r>
          </w:p>
        </w:tc>
        <w:tc>
          <w:tcPr>
            <w:tcW w:w="743" w:type="dxa"/>
            <w:vMerge/>
            <w:tcBorders>
              <w:top w:val="nil"/>
            </w:tcBorders>
          </w:tcPr>
          <w:p>
            <w:pPr>
              <w:rPr>
                <w:sz w:val="2"/>
                <w:szCs w:val="2"/>
              </w:rPr>
            </w:pPr>
          </w:p>
        </w:tc>
        <w:tc>
          <w:tcPr>
            <w:tcW w:w="917" w:type="dxa"/>
          </w:tcPr>
          <w:p>
            <w:pPr>
              <w:pStyle w:val="TableParagraph"/>
              <w:spacing w:line="144" w:lineRule="exact"/>
              <w:ind w:right="49"/>
              <w:jc w:val="right"/>
              <w:rPr>
                <w:sz w:val="13"/>
              </w:rPr>
            </w:pPr>
            <w:r>
              <w:rPr>
                <w:w w:val="105"/>
                <w:sz w:val="13"/>
              </w:rPr>
              <w:t>274.593,15</w:t>
            </w:r>
          </w:p>
        </w:tc>
        <w:tc>
          <w:tcPr>
            <w:tcW w:w="971" w:type="dxa"/>
          </w:tcPr>
          <w:p>
            <w:pPr>
              <w:pStyle w:val="TableParagraph"/>
              <w:spacing w:line="144" w:lineRule="exact"/>
              <w:ind w:right="49"/>
              <w:jc w:val="right"/>
              <w:rPr>
                <w:sz w:val="13"/>
              </w:rPr>
            </w:pPr>
            <w:r>
              <w:rPr>
                <w:w w:val="105"/>
                <w:sz w:val="13"/>
              </w:rPr>
              <w:t>84.140,78</w:t>
            </w: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3" w:hRule="atLeast"/>
        </w:trPr>
        <w:tc>
          <w:tcPr>
            <w:tcW w:w="953" w:type="dxa"/>
            <w:tcBorders>
              <w:left w:val="single" w:sz="4" w:space="0" w:color="000000"/>
            </w:tcBorders>
          </w:tcPr>
          <w:p>
            <w:pPr>
              <w:pStyle w:val="TableParagraph"/>
              <w:spacing w:line="143" w:lineRule="exact"/>
              <w:ind w:left="82" w:right="77"/>
              <w:jc w:val="center"/>
              <w:rPr>
                <w:sz w:val="13"/>
              </w:rPr>
            </w:pPr>
            <w:r>
              <w:rPr>
                <w:w w:val="105"/>
                <w:sz w:val="13"/>
              </w:rPr>
              <w:t>2010</w:t>
            </w:r>
          </w:p>
        </w:tc>
        <w:tc>
          <w:tcPr>
            <w:tcW w:w="1070" w:type="dxa"/>
          </w:tcPr>
          <w:p>
            <w:pPr>
              <w:pStyle w:val="TableParagraph"/>
              <w:spacing w:line="143" w:lineRule="exact"/>
              <w:ind w:right="50"/>
              <w:jc w:val="right"/>
              <w:rPr>
                <w:sz w:val="13"/>
              </w:rPr>
            </w:pPr>
            <w:r>
              <w:rPr>
                <w:w w:val="105"/>
                <w:sz w:val="13"/>
              </w:rPr>
              <w:t>81.242,92</w:t>
            </w:r>
          </w:p>
        </w:tc>
        <w:tc>
          <w:tcPr>
            <w:tcW w:w="743" w:type="dxa"/>
            <w:vMerge/>
            <w:tcBorders>
              <w:top w:val="nil"/>
            </w:tcBorders>
          </w:tcPr>
          <w:p>
            <w:pPr>
              <w:rPr>
                <w:sz w:val="2"/>
                <w:szCs w:val="2"/>
              </w:rPr>
            </w:pPr>
          </w:p>
        </w:tc>
        <w:tc>
          <w:tcPr>
            <w:tcW w:w="917" w:type="dxa"/>
          </w:tcPr>
          <w:p>
            <w:pPr>
              <w:pStyle w:val="TableParagraph"/>
              <w:spacing w:line="143" w:lineRule="exact"/>
              <w:ind w:right="49"/>
              <w:jc w:val="right"/>
              <w:rPr>
                <w:sz w:val="13"/>
              </w:rPr>
            </w:pPr>
            <w:r>
              <w:rPr>
                <w:w w:val="105"/>
                <w:sz w:val="13"/>
              </w:rPr>
              <w:t>889.685,59</w:t>
            </w:r>
          </w:p>
        </w:tc>
        <w:tc>
          <w:tcPr>
            <w:tcW w:w="971" w:type="dxa"/>
          </w:tcPr>
          <w:p>
            <w:pPr>
              <w:pStyle w:val="TableParagraph"/>
              <w:spacing w:line="143" w:lineRule="exact"/>
              <w:ind w:right="49"/>
              <w:jc w:val="right"/>
              <w:rPr>
                <w:sz w:val="13"/>
              </w:rPr>
            </w:pPr>
            <w:r>
              <w:rPr>
                <w:w w:val="105"/>
                <w:sz w:val="13"/>
              </w:rPr>
              <w:t>14.398,73</w:t>
            </w: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2011</w:t>
            </w:r>
          </w:p>
        </w:tc>
        <w:tc>
          <w:tcPr>
            <w:tcW w:w="1070" w:type="dxa"/>
          </w:tcPr>
          <w:p>
            <w:pPr>
              <w:pStyle w:val="TableParagraph"/>
              <w:spacing w:line="144" w:lineRule="exact"/>
              <w:ind w:right="50"/>
              <w:jc w:val="right"/>
              <w:rPr>
                <w:sz w:val="13"/>
              </w:rPr>
            </w:pPr>
            <w:r>
              <w:rPr>
                <w:w w:val="105"/>
                <w:sz w:val="13"/>
              </w:rPr>
              <w:t>330.888,25</w:t>
            </w:r>
          </w:p>
        </w:tc>
        <w:tc>
          <w:tcPr>
            <w:tcW w:w="743" w:type="dxa"/>
            <w:vMerge/>
            <w:tcBorders>
              <w:top w:val="nil"/>
            </w:tcBorders>
          </w:tcPr>
          <w:p>
            <w:pPr>
              <w:rPr>
                <w:sz w:val="2"/>
                <w:szCs w:val="2"/>
              </w:rPr>
            </w:pPr>
          </w:p>
        </w:tc>
        <w:tc>
          <w:tcPr>
            <w:tcW w:w="917" w:type="dxa"/>
          </w:tcPr>
          <w:p>
            <w:pPr>
              <w:pStyle w:val="TableParagraph"/>
              <w:spacing w:line="144" w:lineRule="exact"/>
              <w:ind w:right="49"/>
              <w:jc w:val="right"/>
              <w:rPr>
                <w:sz w:val="13"/>
              </w:rPr>
            </w:pPr>
            <w:r>
              <w:rPr>
                <w:w w:val="105"/>
                <w:sz w:val="13"/>
              </w:rPr>
              <w:t>737.335,87</w:t>
            </w:r>
          </w:p>
        </w:tc>
        <w:tc>
          <w:tcPr>
            <w:tcW w:w="971" w:type="dxa"/>
          </w:tcPr>
          <w:p>
            <w:pPr>
              <w:pStyle w:val="TableParagraph"/>
              <w:spacing w:line="144" w:lineRule="exact"/>
              <w:ind w:right="49"/>
              <w:jc w:val="right"/>
              <w:rPr>
                <w:sz w:val="13"/>
              </w:rPr>
            </w:pPr>
            <w:r>
              <w:rPr>
                <w:w w:val="105"/>
                <w:sz w:val="13"/>
              </w:rPr>
              <w:t>665.289,50</w:t>
            </w: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2012</w:t>
            </w:r>
          </w:p>
        </w:tc>
        <w:tc>
          <w:tcPr>
            <w:tcW w:w="1070" w:type="dxa"/>
          </w:tcPr>
          <w:p>
            <w:pPr>
              <w:pStyle w:val="TableParagraph"/>
              <w:spacing w:line="144" w:lineRule="exact"/>
              <w:ind w:right="50"/>
              <w:jc w:val="right"/>
              <w:rPr>
                <w:sz w:val="13"/>
              </w:rPr>
            </w:pPr>
            <w:r>
              <w:rPr>
                <w:w w:val="105"/>
                <w:sz w:val="13"/>
              </w:rPr>
              <w:t>536.501,81</w:t>
            </w:r>
          </w:p>
        </w:tc>
        <w:tc>
          <w:tcPr>
            <w:tcW w:w="743" w:type="dxa"/>
            <w:vMerge/>
            <w:tcBorders>
              <w:top w:val="nil"/>
            </w:tcBorders>
          </w:tcPr>
          <w:p>
            <w:pPr>
              <w:rPr>
                <w:sz w:val="2"/>
                <w:szCs w:val="2"/>
              </w:rPr>
            </w:pPr>
          </w:p>
        </w:tc>
        <w:tc>
          <w:tcPr>
            <w:tcW w:w="917" w:type="dxa"/>
          </w:tcPr>
          <w:p>
            <w:pPr>
              <w:pStyle w:val="TableParagraph"/>
              <w:spacing w:line="144" w:lineRule="exact"/>
              <w:ind w:right="49"/>
              <w:jc w:val="right"/>
              <w:rPr>
                <w:sz w:val="13"/>
              </w:rPr>
            </w:pPr>
            <w:r>
              <w:rPr>
                <w:w w:val="105"/>
                <w:sz w:val="13"/>
              </w:rPr>
              <w:t>728.323,11</w:t>
            </w:r>
          </w:p>
        </w:tc>
        <w:tc>
          <w:tcPr>
            <w:tcW w:w="971" w:type="dxa"/>
          </w:tcPr>
          <w:p>
            <w:pPr>
              <w:pStyle w:val="TableParagraph"/>
              <w:spacing w:line="144" w:lineRule="exact"/>
              <w:ind w:right="49"/>
              <w:jc w:val="right"/>
              <w:rPr>
                <w:sz w:val="13"/>
              </w:rPr>
            </w:pPr>
            <w:r>
              <w:rPr>
                <w:w w:val="105"/>
                <w:sz w:val="13"/>
              </w:rPr>
              <w:t>249.129,63</w:t>
            </w: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2013</w:t>
            </w:r>
          </w:p>
        </w:tc>
        <w:tc>
          <w:tcPr>
            <w:tcW w:w="1070" w:type="dxa"/>
          </w:tcPr>
          <w:p>
            <w:pPr>
              <w:pStyle w:val="TableParagraph"/>
              <w:spacing w:line="144" w:lineRule="exact"/>
              <w:ind w:right="50"/>
              <w:jc w:val="right"/>
              <w:rPr>
                <w:sz w:val="13"/>
              </w:rPr>
            </w:pPr>
            <w:r>
              <w:rPr>
                <w:w w:val="105"/>
                <w:sz w:val="13"/>
              </w:rPr>
              <w:t>244.380,36</w:t>
            </w:r>
          </w:p>
        </w:tc>
        <w:tc>
          <w:tcPr>
            <w:tcW w:w="743" w:type="dxa"/>
            <w:vMerge/>
            <w:tcBorders>
              <w:top w:val="nil"/>
            </w:tcBorders>
          </w:tcPr>
          <w:p>
            <w:pPr>
              <w:rPr>
                <w:sz w:val="2"/>
                <w:szCs w:val="2"/>
              </w:rPr>
            </w:pPr>
          </w:p>
        </w:tc>
        <w:tc>
          <w:tcPr>
            <w:tcW w:w="917" w:type="dxa"/>
          </w:tcPr>
          <w:p>
            <w:pPr>
              <w:pStyle w:val="TableParagraph"/>
              <w:spacing w:line="144" w:lineRule="exact"/>
              <w:ind w:right="49"/>
              <w:jc w:val="right"/>
              <w:rPr>
                <w:sz w:val="13"/>
              </w:rPr>
            </w:pPr>
            <w:r>
              <w:rPr>
                <w:w w:val="105"/>
                <w:sz w:val="13"/>
              </w:rPr>
              <w:t>92.857,09</w:t>
            </w:r>
          </w:p>
        </w:tc>
        <w:tc>
          <w:tcPr>
            <w:tcW w:w="971" w:type="dxa"/>
          </w:tcPr>
          <w:p>
            <w:pPr>
              <w:pStyle w:val="TableParagraph"/>
              <w:spacing w:line="144" w:lineRule="exact"/>
              <w:ind w:right="49"/>
              <w:jc w:val="right"/>
              <w:rPr>
                <w:sz w:val="13"/>
              </w:rPr>
            </w:pPr>
            <w:r>
              <w:rPr>
                <w:w w:val="105"/>
                <w:sz w:val="13"/>
              </w:rPr>
              <w:t>61.280,16</w:t>
            </w: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2014</w:t>
            </w:r>
          </w:p>
        </w:tc>
        <w:tc>
          <w:tcPr>
            <w:tcW w:w="1070" w:type="dxa"/>
          </w:tcPr>
          <w:p>
            <w:pPr>
              <w:pStyle w:val="TableParagraph"/>
              <w:spacing w:line="144" w:lineRule="exact"/>
              <w:ind w:right="50"/>
              <w:jc w:val="right"/>
              <w:rPr>
                <w:sz w:val="13"/>
              </w:rPr>
            </w:pPr>
            <w:r>
              <w:rPr>
                <w:w w:val="105"/>
                <w:sz w:val="13"/>
              </w:rPr>
              <w:t>662.861,92</w:t>
            </w:r>
          </w:p>
        </w:tc>
        <w:tc>
          <w:tcPr>
            <w:tcW w:w="743" w:type="dxa"/>
            <w:vMerge/>
            <w:tcBorders>
              <w:top w:val="nil"/>
            </w:tcBorders>
          </w:tcPr>
          <w:p>
            <w:pPr>
              <w:rPr>
                <w:sz w:val="2"/>
                <w:szCs w:val="2"/>
              </w:rPr>
            </w:pPr>
          </w:p>
        </w:tc>
        <w:tc>
          <w:tcPr>
            <w:tcW w:w="917" w:type="dxa"/>
          </w:tcPr>
          <w:p>
            <w:pPr>
              <w:pStyle w:val="TableParagraph"/>
              <w:spacing w:line="144" w:lineRule="exact"/>
              <w:ind w:right="49"/>
              <w:jc w:val="right"/>
              <w:rPr>
                <w:sz w:val="13"/>
              </w:rPr>
            </w:pPr>
            <w:r>
              <w:rPr>
                <w:w w:val="105"/>
                <w:sz w:val="13"/>
              </w:rPr>
              <w:t>16.560,03</w:t>
            </w:r>
          </w:p>
        </w:tc>
        <w:tc>
          <w:tcPr>
            <w:tcW w:w="971" w:type="dxa"/>
          </w:tcPr>
          <w:p>
            <w:pPr>
              <w:pStyle w:val="TableParagraph"/>
              <w:spacing w:line="144" w:lineRule="exact"/>
              <w:ind w:right="49"/>
              <w:jc w:val="right"/>
              <w:rPr>
                <w:sz w:val="13"/>
              </w:rPr>
            </w:pPr>
            <w:r>
              <w:rPr>
                <w:w w:val="105"/>
                <w:sz w:val="13"/>
              </w:rPr>
              <w:t>15.838,98</w:t>
            </w: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3" w:hRule="atLeast"/>
        </w:trPr>
        <w:tc>
          <w:tcPr>
            <w:tcW w:w="953" w:type="dxa"/>
            <w:tcBorders>
              <w:left w:val="single" w:sz="4" w:space="0" w:color="000000"/>
            </w:tcBorders>
          </w:tcPr>
          <w:p>
            <w:pPr>
              <w:pStyle w:val="TableParagraph"/>
              <w:spacing w:line="143" w:lineRule="exact"/>
              <w:ind w:left="82" w:right="77"/>
              <w:jc w:val="center"/>
              <w:rPr>
                <w:sz w:val="13"/>
              </w:rPr>
            </w:pPr>
            <w:r>
              <w:rPr>
                <w:w w:val="105"/>
                <w:sz w:val="13"/>
              </w:rPr>
              <w:t>2015</w:t>
            </w:r>
          </w:p>
        </w:tc>
        <w:tc>
          <w:tcPr>
            <w:tcW w:w="1070" w:type="dxa"/>
          </w:tcPr>
          <w:p>
            <w:pPr>
              <w:pStyle w:val="TableParagraph"/>
              <w:spacing w:line="143" w:lineRule="exact"/>
              <w:ind w:right="49"/>
              <w:jc w:val="right"/>
              <w:rPr>
                <w:sz w:val="13"/>
              </w:rPr>
            </w:pPr>
            <w:r>
              <w:rPr>
                <w:w w:val="105"/>
                <w:sz w:val="13"/>
              </w:rPr>
              <w:t>1.509.114,58</w:t>
            </w:r>
          </w:p>
        </w:tc>
        <w:tc>
          <w:tcPr>
            <w:tcW w:w="743" w:type="dxa"/>
            <w:vMerge/>
            <w:tcBorders>
              <w:top w:val="nil"/>
            </w:tcBorders>
          </w:tcPr>
          <w:p>
            <w:pPr>
              <w:rPr>
                <w:sz w:val="2"/>
                <w:szCs w:val="2"/>
              </w:rPr>
            </w:pPr>
          </w:p>
        </w:tc>
        <w:tc>
          <w:tcPr>
            <w:tcW w:w="917" w:type="dxa"/>
          </w:tcPr>
          <w:p>
            <w:pPr>
              <w:pStyle w:val="TableParagraph"/>
              <w:spacing w:line="143" w:lineRule="exact"/>
              <w:ind w:right="49"/>
              <w:jc w:val="right"/>
              <w:rPr>
                <w:sz w:val="13"/>
              </w:rPr>
            </w:pPr>
            <w:r>
              <w:rPr>
                <w:w w:val="105"/>
                <w:sz w:val="13"/>
              </w:rPr>
              <w:t>63.883,88</w:t>
            </w:r>
          </w:p>
        </w:tc>
        <w:tc>
          <w:tcPr>
            <w:tcW w:w="971" w:type="dxa"/>
          </w:tcPr>
          <w:p>
            <w:pPr>
              <w:pStyle w:val="TableParagraph"/>
              <w:spacing w:line="143" w:lineRule="exact"/>
              <w:ind w:right="49"/>
              <w:jc w:val="right"/>
              <w:rPr>
                <w:sz w:val="13"/>
              </w:rPr>
            </w:pPr>
            <w:r>
              <w:rPr>
                <w:w w:val="105"/>
                <w:sz w:val="13"/>
              </w:rPr>
              <w:t>22.925,80</w:t>
            </w: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2016</w:t>
            </w:r>
          </w:p>
        </w:tc>
        <w:tc>
          <w:tcPr>
            <w:tcW w:w="1070" w:type="dxa"/>
          </w:tcPr>
          <w:p>
            <w:pPr>
              <w:pStyle w:val="TableParagraph"/>
              <w:spacing w:line="144" w:lineRule="exact"/>
              <w:ind w:right="49"/>
              <w:jc w:val="right"/>
              <w:rPr>
                <w:sz w:val="13"/>
              </w:rPr>
            </w:pPr>
            <w:r>
              <w:rPr>
                <w:w w:val="105"/>
                <w:sz w:val="13"/>
              </w:rPr>
              <w:t>1.206.762,00</w:t>
            </w:r>
          </w:p>
        </w:tc>
        <w:tc>
          <w:tcPr>
            <w:tcW w:w="743" w:type="dxa"/>
            <w:vMerge/>
            <w:tcBorders>
              <w:top w:val="nil"/>
            </w:tcBorders>
          </w:tcPr>
          <w:p>
            <w:pPr>
              <w:rPr>
                <w:sz w:val="2"/>
                <w:szCs w:val="2"/>
              </w:rPr>
            </w:pPr>
          </w:p>
        </w:tc>
        <w:tc>
          <w:tcPr>
            <w:tcW w:w="917" w:type="dxa"/>
          </w:tcPr>
          <w:p>
            <w:pPr>
              <w:pStyle w:val="TableParagraph"/>
              <w:spacing w:line="144" w:lineRule="exact"/>
              <w:ind w:right="49"/>
              <w:jc w:val="right"/>
              <w:rPr>
                <w:sz w:val="13"/>
              </w:rPr>
            </w:pPr>
            <w:r>
              <w:rPr>
                <w:w w:val="105"/>
                <w:sz w:val="13"/>
              </w:rPr>
              <w:t>115.213,55</w:t>
            </w:r>
          </w:p>
        </w:tc>
        <w:tc>
          <w:tcPr>
            <w:tcW w:w="971" w:type="dxa"/>
          </w:tcPr>
          <w:p>
            <w:pPr>
              <w:pStyle w:val="TableParagraph"/>
              <w:spacing w:line="144" w:lineRule="exact"/>
              <w:ind w:right="49"/>
              <w:jc w:val="right"/>
              <w:rPr>
                <w:sz w:val="13"/>
              </w:rPr>
            </w:pPr>
            <w:r>
              <w:rPr>
                <w:w w:val="105"/>
                <w:sz w:val="13"/>
              </w:rPr>
              <w:t>12.535,06</w:t>
            </w:r>
          </w:p>
        </w:tc>
        <w:tc>
          <w:tcPr>
            <w:tcW w:w="806" w:type="dxa"/>
          </w:tcPr>
          <w:p>
            <w:pPr>
              <w:pStyle w:val="TableParagraph"/>
              <w:spacing w:line="144" w:lineRule="exact"/>
              <w:ind w:right="48"/>
              <w:jc w:val="right"/>
              <w:rPr>
                <w:sz w:val="13"/>
              </w:rPr>
            </w:pPr>
            <w:r>
              <w:rPr>
                <w:w w:val="105"/>
                <w:sz w:val="13"/>
              </w:rPr>
              <w:t>13.889,62</w:t>
            </w: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4" w:hRule="atLeast"/>
        </w:trPr>
        <w:tc>
          <w:tcPr>
            <w:tcW w:w="953" w:type="dxa"/>
            <w:tcBorders>
              <w:left w:val="single" w:sz="4" w:space="0" w:color="000000"/>
            </w:tcBorders>
          </w:tcPr>
          <w:p>
            <w:pPr>
              <w:pStyle w:val="TableParagraph"/>
              <w:spacing w:line="144" w:lineRule="exact"/>
              <w:ind w:left="82" w:right="77"/>
              <w:jc w:val="center"/>
              <w:rPr>
                <w:sz w:val="13"/>
              </w:rPr>
            </w:pPr>
            <w:r>
              <w:rPr>
                <w:w w:val="105"/>
                <w:sz w:val="13"/>
              </w:rPr>
              <w:t>2017</w:t>
            </w:r>
          </w:p>
        </w:tc>
        <w:tc>
          <w:tcPr>
            <w:tcW w:w="1070" w:type="dxa"/>
          </w:tcPr>
          <w:p>
            <w:pPr>
              <w:pStyle w:val="TableParagraph"/>
              <w:spacing w:line="144" w:lineRule="exact"/>
              <w:ind w:right="50"/>
              <w:jc w:val="right"/>
              <w:rPr>
                <w:sz w:val="13"/>
              </w:rPr>
            </w:pPr>
            <w:r>
              <w:rPr>
                <w:w w:val="105"/>
                <w:sz w:val="13"/>
              </w:rPr>
              <w:t>118.672,25</w:t>
            </w:r>
          </w:p>
        </w:tc>
        <w:tc>
          <w:tcPr>
            <w:tcW w:w="743" w:type="dxa"/>
            <w:vMerge/>
            <w:tcBorders>
              <w:top w:val="nil"/>
            </w:tcBorders>
          </w:tcPr>
          <w:p>
            <w:pPr>
              <w:rPr>
                <w:sz w:val="2"/>
                <w:szCs w:val="2"/>
              </w:rPr>
            </w:pPr>
          </w:p>
        </w:tc>
        <w:tc>
          <w:tcPr>
            <w:tcW w:w="917" w:type="dxa"/>
          </w:tcPr>
          <w:p>
            <w:pPr>
              <w:pStyle w:val="TableParagraph"/>
              <w:spacing w:line="144" w:lineRule="exact"/>
              <w:ind w:right="49"/>
              <w:jc w:val="right"/>
              <w:rPr>
                <w:sz w:val="13"/>
              </w:rPr>
            </w:pPr>
            <w:r>
              <w:rPr>
                <w:w w:val="105"/>
                <w:sz w:val="13"/>
              </w:rPr>
              <w:t>13.880,50</w:t>
            </w:r>
          </w:p>
        </w:tc>
        <w:tc>
          <w:tcPr>
            <w:tcW w:w="971" w:type="dxa"/>
          </w:tcPr>
          <w:p>
            <w:pPr>
              <w:pStyle w:val="TableParagraph"/>
              <w:spacing w:line="144" w:lineRule="exact"/>
              <w:ind w:right="49"/>
              <w:jc w:val="right"/>
              <w:rPr>
                <w:sz w:val="13"/>
              </w:rPr>
            </w:pPr>
            <w:r>
              <w:rPr>
                <w:w w:val="105"/>
                <w:sz w:val="13"/>
              </w:rPr>
              <w:t>1.428,81</w:t>
            </w:r>
          </w:p>
        </w:tc>
        <w:tc>
          <w:tcPr>
            <w:tcW w:w="806" w:type="dxa"/>
          </w:tcPr>
          <w:p>
            <w:pPr>
              <w:pStyle w:val="TableParagraph"/>
              <w:rPr>
                <w:rFonts w:ascii="Times New Roman"/>
                <w:sz w:val="10"/>
              </w:rPr>
            </w:pP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63" w:hRule="atLeast"/>
        </w:trPr>
        <w:tc>
          <w:tcPr>
            <w:tcW w:w="953" w:type="dxa"/>
            <w:tcBorders>
              <w:left w:val="single" w:sz="4" w:space="0" w:color="000000"/>
            </w:tcBorders>
          </w:tcPr>
          <w:p>
            <w:pPr>
              <w:pStyle w:val="TableParagraph"/>
              <w:spacing w:line="143" w:lineRule="exact"/>
              <w:ind w:left="82" w:right="77"/>
              <w:jc w:val="center"/>
              <w:rPr>
                <w:sz w:val="13"/>
              </w:rPr>
            </w:pPr>
            <w:r>
              <w:rPr>
                <w:w w:val="105"/>
                <w:sz w:val="13"/>
              </w:rPr>
              <w:t>2018</w:t>
            </w:r>
          </w:p>
        </w:tc>
        <w:tc>
          <w:tcPr>
            <w:tcW w:w="1070" w:type="dxa"/>
          </w:tcPr>
          <w:p>
            <w:pPr>
              <w:pStyle w:val="TableParagraph"/>
              <w:spacing w:line="143" w:lineRule="exact"/>
              <w:ind w:right="50"/>
              <w:jc w:val="right"/>
              <w:rPr>
                <w:sz w:val="13"/>
              </w:rPr>
            </w:pPr>
            <w:r>
              <w:rPr>
                <w:w w:val="105"/>
                <w:sz w:val="13"/>
              </w:rPr>
              <w:t>948.060,52</w:t>
            </w:r>
          </w:p>
        </w:tc>
        <w:tc>
          <w:tcPr>
            <w:tcW w:w="743" w:type="dxa"/>
            <w:vMerge/>
            <w:tcBorders>
              <w:top w:val="nil"/>
            </w:tcBorders>
          </w:tcPr>
          <w:p>
            <w:pPr>
              <w:rPr>
                <w:sz w:val="2"/>
                <w:szCs w:val="2"/>
              </w:rPr>
            </w:pPr>
          </w:p>
        </w:tc>
        <w:tc>
          <w:tcPr>
            <w:tcW w:w="917" w:type="dxa"/>
          </w:tcPr>
          <w:p>
            <w:pPr>
              <w:pStyle w:val="TableParagraph"/>
              <w:spacing w:line="143" w:lineRule="exact"/>
              <w:ind w:right="49"/>
              <w:jc w:val="right"/>
              <w:rPr>
                <w:sz w:val="13"/>
              </w:rPr>
            </w:pPr>
            <w:r>
              <w:rPr>
                <w:w w:val="105"/>
                <w:sz w:val="13"/>
              </w:rPr>
              <w:t>33.613,63</w:t>
            </w:r>
          </w:p>
        </w:tc>
        <w:tc>
          <w:tcPr>
            <w:tcW w:w="971" w:type="dxa"/>
          </w:tcPr>
          <w:p>
            <w:pPr>
              <w:pStyle w:val="TableParagraph"/>
              <w:spacing w:line="143" w:lineRule="exact"/>
              <w:ind w:right="49"/>
              <w:jc w:val="right"/>
              <w:rPr>
                <w:sz w:val="13"/>
              </w:rPr>
            </w:pPr>
            <w:r>
              <w:rPr>
                <w:w w:val="105"/>
                <w:sz w:val="13"/>
              </w:rPr>
              <w:t>17.257,27</w:t>
            </w:r>
          </w:p>
        </w:tc>
        <w:tc>
          <w:tcPr>
            <w:tcW w:w="806" w:type="dxa"/>
          </w:tcPr>
          <w:p>
            <w:pPr>
              <w:pStyle w:val="TableParagraph"/>
              <w:spacing w:line="143" w:lineRule="exact"/>
              <w:ind w:right="48"/>
              <w:jc w:val="right"/>
              <w:rPr>
                <w:sz w:val="13"/>
              </w:rPr>
            </w:pPr>
            <w:r>
              <w:rPr>
                <w:w w:val="105"/>
                <w:sz w:val="13"/>
              </w:rPr>
              <w:t>6.280,79</w:t>
            </w: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10"/>
              </w:rPr>
            </w:pPr>
          </w:p>
        </w:tc>
      </w:tr>
      <w:tr>
        <w:trPr>
          <w:trHeight w:val="153" w:hRule="atLeast"/>
        </w:trPr>
        <w:tc>
          <w:tcPr>
            <w:tcW w:w="953" w:type="dxa"/>
            <w:tcBorders>
              <w:left w:val="single" w:sz="4" w:space="0" w:color="000000"/>
            </w:tcBorders>
          </w:tcPr>
          <w:p>
            <w:pPr>
              <w:pStyle w:val="TableParagraph"/>
              <w:spacing w:line="134" w:lineRule="exact"/>
              <w:ind w:left="82" w:right="77"/>
              <w:jc w:val="center"/>
              <w:rPr>
                <w:sz w:val="13"/>
              </w:rPr>
            </w:pPr>
            <w:r>
              <w:rPr>
                <w:w w:val="105"/>
                <w:sz w:val="13"/>
              </w:rPr>
              <w:t>2019</w:t>
            </w:r>
          </w:p>
        </w:tc>
        <w:tc>
          <w:tcPr>
            <w:tcW w:w="1070" w:type="dxa"/>
          </w:tcPr>
          <w:p>
            <w:pPr>
              <w:pStyle w:val="TableParagraph"/>
              <w:spacing w:line="134" w:lineRule="exact"/>
              <w:ind w:right="50"/>
              <w:jc w:val="right"/>
              <w:rPr>
                <w:sz w:val="13"/>
              </w:rPr>
            </w:pPr>
            <w:r>
              <w:rPr>
                <w:w w:val="105"/>
                <w:sz w:val="13"/>
              </w:rPr>
              <w:t>673.080,70</w:t>
            </w:r>
          </w:p>
        </w:tc>
        <w:tc>
          <w:tcPr>
            <w:tcW w:w="743" w:type="dxa"/>
            <w:vMerge/>
            <w:tcBorders>
              <w:top w:val="nil"/>
            </w:tcBorders>
          </w:tcPr>
          <w:p>
            <w:pPr>
              <w:rPr>
                <w:sz w:val="2"/>
                <w:szCs w:val="2"/>
              </w:rPr>
            </w:pPr>
          </w:p>
        </w:tc>
        <w:tc>
          <w:tcPr>
            <w:tcW w:w="917" w:type="dxa"/>
          </w:tcPr>
          <w:p>
            <w:pPr>
              <w:pStyle w:val="TableParagraph"/>
              <w:spacing w:line="134" w:lineRule="exact"/>
              <w:ind w:right="49"/>
              <w:jc w:val="right"/>
              <w:rPr>
                <w:sz w:val="13"/>
              </w:rPr>
            </w:pPr>
            <w:r>
              <w:rPr>
                <w:w w:val="105"/>
                <w:sz w:val="13"/>
              </w:rPr>
              <w:t>1.854.531,34</w:t>
            </w:r>
          </w:p>
        </w:tc>
        <w:tc>
          <w:tcPr>
            <w:tcW w:w="971" w:type="dxa"/>
          </w:tcPr>
          <w:p>
            <w:pPr>
              <w:pStyle w:val="TableParagraph"/>
              <w:spacing w:line="134" w:lineRule="exact"/>
              <w:ind w:right="49"/>
              <w:jc w:val="right"/>
              <w:rPr>
                <w:sz w:val="13"/>
              </w:rPr>
            </w:pPr>
            <w:r>
              <w:rPr>
                <w:w w:val="105"/>
                <w:sz w:val="13"/>
              </w:rPr>
              <w:t>208.493,76</w:t>
            </w:r>
          </w:p>
        </w:tc>
        <w:tc>
          <w:tcPr>
            <w:tcW w:w="806" w:type="dxa"/>
          </w:tcPr>
          <w:p>
            <w:pPr>
              <w:pStyle w:val="TableParagraph"/>
              <w:spacing w:line="134" w:lineRule="exact"/>
              <w:ind w:right="49"/>
              <w:jc w:val="right"/>
              <w:rPr>
                <w:sz w:val="13"/>
              </w:rPr>
            </w:pPr>
            <w:r>
              <w:rPr>
                <w:w w:val="105"/>
                <w:sz w:val="13"/>
              </w:rPr>
              <w:t>209.017,91</w:t>
            </w:r>
          </w:p>
        </w:tc>
        <w:tc>
          <w:tcPr>
            <w:tcW w:w="646" w:type="dxa"/>
            <w:vMerge/>
            <w:tcBorders>
              <w:top w:val="nil"/>
            </w:tcBorders>
          </w:tcPr>
          <w:p>
            <w:pPr>
              <w:rPr>
                <w:sz w:val="2"/>
                <w:szCs w:val="2"/>
              </w:rPr>
            </w:pPr>
          </w:p>
        </w:tc>
        <w:tc>
          <w:tcPr>
            <w:tcW w:w="735" w:type="dxa"/>
            <w:vMerge/>
            <w:tcBorders>
              <w:top w:val="nil"/>
            </w:tcBorders>
          </w:tcPr>
          <w:p>
            <w:pPr>
              <w:rPr>
                <w:sz w:val="2"/>
                <w:szCs w:val="2"/>
              </w:rPr>
            </w:pPr>
          </w:p>
        </w:tc>
        <w:tc>
          <w:tcPr>
            <w:tcW w:w="596" w:type="dxa"/>
            <w:tcBorders>
              <w:right w:val="single" w:sz="4" w:space="0" w:color="000000"/>
            </w:tcBorders>
          </w:tcPr>
          <w:p>
            <w:pPr>
              <w:pStyle w:val="TableParagraph"/>
              <w:rPr>
                <w:rFonts w:ascii="Times New Roman"/>
                <w:sz w:val="8"/>
              </w:rPr>
            </w:pPr>
          </w:p>
        </w:tc>
      </w:tr>
      <w:tr>
        <w:trPr>
          <w:trHeight w:val="174" w:hRule="atLeast"/>
        </w:trPr>
        <w:tc>
          <w:tcPr>
            <w:tcW w:w="953" w:type="dxa"/>
            <w:tcBorders>
              <w:left w:val="single" w:sz="4" w:space="0" w:color="000000"/>
            </w:tcBorders>
            <w:shd w:val="clear" w:color="auto" w:fill="D9D9D9"/>
          </w:tcPr>
          <w:p>
            <w:pPr>
              <w:pStyle w:val="TableParagraph"/>
              <w:spacing w:line="152" w:lineRule="exact" w:before="3"/>
              <w:ind w:left="82" w:right="77"/>
              <w:jc w:val="center"/>
              <w:rPr>
                <w:sz w:val="13"/>
              </w:rPr>
            </w:pPr>
            <w:r>
              <w:rPr>
                <w:w w:val="105"/>
                <w:sz w:val="13"/>
              </w:rPr>
              <w:t>2020</w:t>
            </w:r>
          </w:p>
        </w:tc>
        <w:tc>
          <w:tcPr>
            <w:tcW w:w="1070" w:type="dxa"/>
            <w:shd w:val="clear" w:color="auto" w:fill="D9D9D9"/>
          </w:tcPr>
          <w:p>
            <w:pPr>
              <w:pStyle w:val="TableParagraph"/>
              <w:spacing w:line="152" w:lineRule="exact" w:before="3"/>
              <w:ind w:right="50"/>
              <w:jc w:val="right"/>
              <w:rPr>
                <w:sz w:val="13"/>
              </w:rPr>
            </w:pPr>
            <w:r>
              <w:rPr>
                <w:w w:val="105"/>
                <w:sz w:val="13"/>
              </w:rPr>
              <w:t>568.969,91</w:t>
            </w:r>
          </w:p>
        </w:tc>
        <w:tc>
          <w:tcPr>
            <w:tcW w:w="743" w:type="dxa"/>
            <w:shd w:val="clear" w:color="auto" w:fill="D9D9D9"/>
          </w:tcPr>
          <w:p>
            <w:pPr>
              <w:pStyle w:val="TableParagraph"/>
              <w:spacing w:line="152" w:lineRule="exact" w:before="3"/>
              <w:ind w:right="49"/>
              <w:jc w:val="right"/>
              <w:rPr>
                <w:sz w:val="13"/>
              </w:rPr>
            </w:pPr>
            <w:r>
              <w:rPr>
                <w:w w:val="105"/>
                <w:sz w:val="13"/>
              </w:rPr>
              <w:t>99.184,90</w:t>
            </w:r>
          </w:p>
        </w:tc>
        <w:tc>
          <w:tcPr>
            <w:tcW w:w="917" w:type="dxa"/>
            <w:shd w:val="clear" w:color="auto" w:fill="D9D9D9"/>
          </w:tcPr>
          <w:p>
            <w:pPr>
              <w:pStyle w:val="TableParagraph"/>
              <w:spacing w:line="152" w:lineRule="exact" w:before="3"/>
              <w:ind w:right="49"/>
              <w:jc w:val="right"/>
              <w:rPr>
                <w:sz w:val="13"/>
              </w:rPr>
            </w:pPr>
            <w:r>
              <w:rPr>
                <w:w w:val="105"/>
                <w:sz w:val="13"/>
              </w:rPr>
              <w:t>65.214,70</w:t>
            </w:r>
          </w:p>
        </w:tc>
        <w:tc>
          <w:tcPr>
            <w:tcW w:w="971" w:type="dxa"/>
            <w:shd w:val="clear" w:color="auto" w:fill="D9D9D9"/>
          </w:tcPr>
          <w:p>
            <w:pPr>
              <w:pStyle w:val="TableParagraph"/>
              <w:rPr>
                <w:rFonts w:ascii="Times New Roman"/>
                <w:sz w:val="10"/>
              </w:rPr>
            </w:pPr>
          </w:p>
        </w:tc>
        <w:tc>
          <w:tcPr>
            <w:tcW w:w="806" w:type="dxa"/>
            <w:shd w:val="clear" w:color="auto" w:fill="D9D9D9"/>
          </w:tcPr>
          <w:p>
            <w:pPr>
              <w:pStyle w:val="TableParagraph"/>
              <w:spacing w:line="152" w:lineRule="exact" w:before="3"/>
              <w:ind w:right="48"/>
              <w:jc w:val="right"/>
              <w:rPr>
                <w:sz w:val="13"/>
              </w:rPr>
            </w:pPr>
            <w:r>
              <w:rPr>
                <w:w w:val="105"/>
                <w:sz w:val="13"/>
              </w:rPr>
              <w:t>98.298,58</w:t>
            </w:r>
          </w:p>
        </w:tc>
        <w:tc>
          <w:tcPr>
            <w:tcW w:w="646" w:type="dxa"/>
            <w:shd w:val="clear" w:color="auto" w:fill="D9D9D9"/>
          </w:tcPr>
          <w:p>
            <w:pPr>
              <w:pStyle w:val="TableParagraph"/>
              <w:rPr>
                <w:rFonts w:ascii="Times New Roman"/>
                <w:sz w:val="10"/>
              </w:rPr>
            </w:pPr>
          </w:p>
        </w:tc>
        <w:tc>
          <w:tcPr>
            <w:tcW w:w="735" w:type="dxa"/>
            <w:shd w:val="clear" w:color="auto" w:fill="D9D9D9"/>
          </w:tcPr>
          <w:p>
            <w:pPr>
              <w:pStyle w:val="TableParagraph"/>
              <w:spacing w:line="152" w:lineRule="exact" w:before="3"/>
              <w:ind w:right="49"/>
              <w:jc w:val="right"/>
              <w:rPr>
                <w:sz w:val="13"/>
              </w:rPr>
            </w:pPr>
            <w:r>
              <w:rPr>
                <w:w w:val="105"/>
                <w:sz w:val="13"/>
              </w:rPr>
              <w:t>23.020,82</w:t>
            </w:r>
          </w:p>
        </w:tc>
        <w:tc>
          <w:tcPr>
            <w:tcW w:w="596" w:type="dxa"/>
            <w:tcBorders>
              <w:right w:val="single" w:sz="4" w:space="0" w:color="000000"/>
            </w:tcBorders>
            <w:shd w:val="clear" w:color="auto" w:fill="D9D9D9"/>
          </w:tcPr>
          <w:p>
            <w:pPr>
              <w:pStyle w:val="TableParagraph"/>
              <w:rPr>
                <w:rFonts w:ascii="Times New Roman"/>
                <w:sz w:val="10"/>
              </w:rPr>
            </w:pPr>
          </w:p>
        </w:tc>
      </w:tr>
      <w:tr>
        <w:trPr>
          <w:trHeight w:val="164" w:hRule="atLeast"/>
        </w:trPr>
        <w:tc>
          <w:tcPr>
            <w:tcW w:w="953" w:type="dxa"/>
            <w:tcBorders>
              <w:left w:val="single" w:sz="4" w:space="0" w:color="000000"/>
            </w:tcBorders>
            <w:shd w:val="clear" w:color="auto" w:fill="D9D9D9"/>
          </w:tcPr>
          <w:p>
            <w:pPr>
              <w:pStyle w:val="TableParagraph"/>
              <w:spacing w:line="144" w:lineRule="exact"/>
              <w:ind w:left="82" w:right="77"/>
              <w:jc w:val="center"/>
              <w:rPr>
                <w:sz w:val="13"/>
              </w:rPr>
            </w:pPr>
            <w:r>
              <w:rPr>
                <w:w w:val="105"/>
                <w:sz w:val="13"/>
              </w:rPr>
              <w:t>2021</w:t>
            </w:r>
          </w:p>
        </w:tc>
        <w:tc>
          <w:tcPr>
            <w:tcW w:w="1070" w:type="dxa"/>
            <w:shd w:val="clear" w:color="auto" w:fill="D9D9D9"/>
          </w:tcPr>
          <w:p>
            <w:pPr>
              <w:pStyle w:val="TableParagraph"/>
              <w:spacing w:line="144" w:lineRule="exact"/>
              <w:ind w:right="49"/>
              <w:jc w:val="right"/>
              <w:rPr>
                <w:sz w:val="13"/>
              </w:rPr>
            </w:pPr>
            <w:r>
              <w:rPr>
                <w:w w:val="105"/>
                <w:sz w:val="13"/>
              </w:rPr>
              <w:t>10.307.369,61</w:t>
            </w:r>
          </w:p>
        </w:tc>
        <w:tc>
          <w:tcPr>
            <w:tcW w:w="743" w:type="dxa"/>
            <w:shd w:val="clear" w:color="auto" w:fill="D9D9D9"/>
          </w:tcPr>
          <w:p>
            <w:pPr>
              <w:pStyle w:val="TableParagraph"/>
              <w:spacing w:line="144" w:lineRule="exact"/>
              <w:ind w:right="49"/>
              <w:jc w:val="right"/>
              <w:rPr>
                <w:sz w:val="13"/>
              </w:rPr>
            </w:pPr>
            <w:r>
              <w:rPr>
                <w:w w:val="105"/>
                <w:sz w:val="13"/>
              </w:rPr>
              <w:t>213.976,09</w:t>
            </w:r>
          </w:p>
        </w:tc>
        <w:tc>
          <w:tcPr>
            <w:tcW w:w="917" w:type="dxa"/>
            <w:shd w:val="clear" w:color="auto" w:fill="D9D9D9"/>
          </w:tcPr>
          <w:p>
            <w:pPr>
              <w:pStyle w:val="TableParagraph"/>
              <w:spacing w:line="144" w:lineRule="exact"/>
              <w:ind w:right="49"/>
              <w:jc w:val="right"/>
              <w:rPr>
                <w:sz w:val="13"/>
              </w:rPr>
            </w:pPr>
            <w:r>
              <w:rPr>
                <w:w w:val="105"/>
                <w:sz w:val="13"/>
              </w:rPr>
              <w:t>312.801,54</w:t>
            </w:r>
          </w:p>
        </w:tc>
        <w:tc>
          <w:tcPr>
            <w:tcW w:w="971" w:type="dxa"/>
            <w:shd w:val="clear" w:color="auto" w:fill="D9D9D9"/>
          </w:tcPr>
          <w:p>
            <w:pPr>
              <w:pStyle w:val="TableParagraph"/>
              <w:spacing w:line="144" w:lineRule="exact"/>
              <w:ind w:right="49"/>
              <w:jc w:val="right"/>
              <w:rPr>
                <w:sz w:val="13"/>
              </w:rPr>
            </w:pPr>
            <w:r>
              <w:rPr>
                <w:w w:val="105"/>
                <w:sz w:val="13"/>
              </w:rPr>
              <w:t>31.322,04</w:t>
            </w:r>
          </w:p>
        </w:tc>
        <w:tc>
          <w:tcPr>
            <w:tcW w:w="806" w:type="dxa"/>
            <w:shd w:val="clear" w:color="auto" w:fill="D9D9D9"/>
          </w:tcPr>
          <w:p>
            <w:pPr>
              <w:pStyle w:val="TableParagraph"/>
              <w:spacing w:line="144" w:lineRule="exact"/>
              <w:ind w:right="48"/>
              <w:jc w:val="right"/>
              <w:rPr>
                <w:sz w:val="13"/>
              </w:rPr>
            </w:pPr>
            <w:r>
              <w:rPr>
                <w:w w:val="105"/>
                <w:sz w:val="13"/>
              </w:rPr>
              <w:t>12.154,03</w:t>
            </w:r>
          </w:p>
        </w:tc>
        <w:tc>
          <w:tcPr>
            <w:tcW w:w="646" w:type="dxa"/>
            <w:shd w:val="clear" w:color="auto" w:fill="D9D9D9"/>
          </w:tcPr>
          <w:p>
            <w:pPr>
              <w:pStyle w:val="TableParagraph"/>
              <w:spacing w:line="144" w:lineRule="exact"/>
              <w:ind w:left="118"/>
              <w:rPr>
                <w:sz w:val="13"/>
              </w:rPr>
            </w:pPr>
            <w:r>
              <w:rPr>
                <w:w w:val="105"/>
                <w:sz w:val="13"/>
              </w:rPr>
              <w:t>6.000,00</w:t>
            </w:r>
          </w:p>
        </w:tc>
        <w:tc>
          <w:tcPr>
            <w:tcW w:w="735" w:type="dxa"/>
            <w:shd w:val="clear" w:color="auto" w:fill="D9D9D9"/>
          </w:tcPr>
          <w:p>
            <w:pPr>
              <w:pStyle w:val="TableParagraph"/>
              <w:spacing w:line="144" w:lineRule="exact"/>
              <w:ind w:right="49"/>
              <w:jc w:val="right"/>
              <w:rPr>
                <w:sz w:val="13"/>
              </w:rPr>
            </w:pPr>
            <w:r>
              <w:rPr>
                <w:w w:val="105"/>
                <w:sz w:val="13"/>
              </w:rPr>
              <w:t>283.952,85</w:t>
            </w:r>
          </w:p>
        </w:tc>
        <w:tc>
          <w:tcPr>
            <w:tcW w:w="596" w:type="dxa"/>
            <w:tcBorders>
              <w:right w:val="single" w:sz="4" w:space="0" w:color="000000"/>
            </w:tcBorders>
            <w:shd w:val="clear" w:color="auto" w:fill="D9D9D9"/>
          </w:tcPr>
          <w:p>
            <w:pPr>
              <w:pStyle w:val="TableParagraph"/>
              <w:rPr>
                <w:rFonts w:ascii="Times New Roman"/>
                <w:sz w:val="10"/>
              </w:rPr>
            </w:pPr>
          </w:p>
        </w:tc>
      </w:tr>
      <w:tr>
        <w:trPr>
          <w:trHeight w:val="152" w:hRule="atLeast"/>
        </w:trPr>
        <w:tc>
          <w:tcPr>
            <w:tcW w:w="953" w:type="dxa"/>
            <w:tcBorders>
              <w:left w:val="single" w:sz="4" w:space="0" w:color="000000"/>
            </w:tcBorders>
            <w:shd w:val="clear" w:color="auto" w:fill="D9D9D9"/>
          </w:tcPr>
          <w:p>
            <w:pPr>
              <w:pStyle w:val="TableParagraph"/>
              <w:spacing w:line="133" w:lineRule="exact"/>
              <w:ind w:left="82" w:right="80"/>
              <w:jc w:val="center"/>
              <w:rPr>
                <w:b/>
                <w:sz w:val="13"/>
              </w:rPr>
            </w:pPr>
            <w:r>
              <w:rPr>
                <w:b/>
                <w:w w:val="105"/>
                <w:sz w:val="13"/>
              </w:rPr>
              <w:t>Total general</w:t>
            </w:r>
          </w:p>
        </w:tc>
        <w:tc>
          <w:tcPr>
            <w:tcW w:w="1070" w:type="dxa"/>
            <w:shd w:val="clear" w:color="auto" w:fill="D9D9D9"/>
          </w:tcPr>
          <w:p>
            <w:pPr>
              <w:pStyle w:val="TableParagraph"/>
              <w:spacing w:line="133" w:lineRule="exact"/>
              <w:ind w:right="49"/>
              <w:jc w:val="right"/>
              <w:rPr>
                <w:b/>
                <w:sz w:val="13"/>
              </w:rPr>
            </w:pPr>
            <w:r>
              <w:rPr>
                <w:b/>
                <w:w w:val="105"/>
                <w:sz w:val="13"/>
              </w:rPr>
              <w:t>17.238.857,99</w:t>
            </w:r>
          </w:p>
        </w:tc>
        <w:tc>
          <w:tcPr>
            <w:tcW w:w="743" w:type="dxa"/>
            <w:shd w:val="clear" w:color="auto" w:fill="D9D9D9"/>
          </w:tcPr>
          <w:p>
            <w:pPr>
              <w:pStyle w:val="TableParagraph"/>
              <w:spacing w:line="133" w:lineRule="exact"/>
              <w:ind w:right="49"/>
              <w:jc w:val="right"/>
              <w:rPr>
                <w:b/>
                <w:sz w:val="13"/>
              </w:rPr>
            </w:pPr>
            <w:r>
              <w:rPr>
                <w:b/>
                <w:w w:val="105"/>
                <w:sz w:val="13"/>
              </w:rPr>
              <w:t>313.160,99</w:t>
            </w:r>
          </w:p>
        </w:tc>
        <w:tc>
          <w:tcPr>
            <w:tcW w:w="917" w:type="dxa"/>
            <w:shd w:val="clear" w:color="auto" w:fill="D9D9D9"/>
          </w:tcPr>
          <w:p>
            <w:pPr>
              <w:pStyle w:val="TableParagraph"/>
              <w:spacing w:line="133" w:lineRule="exact"/>
              <w:ind w:right="49"/>
              <w:jc w:val="right"/>
              <w:rPr>
                <w:b/>
                <w:sz w:val="13"/>
              </w:rPr>
            </w:pPr>
            <w:r>
              <w:rPr>
                <w:b/>
                <w:w w:val="105"/>
                <w:sz w:val="13"/>
              </w:rPr>
              <w:t>5.494.774,05</w:t>
            </w:r>
          </w:p>
        </w:tc>
        <w:tc>
          <w:tcPr>
            <w:tcW w:w="971" w:type="dxa"/>
            <w:shd w:val="clear" w:color="auto" w:fill="D9D9D9"/>
          </w:tcPr>
          <w:p>
            <w:pPr>
              <w:pStyle w:val="TableParagraph"/>
              <w:spacing w:line="133" w:lineRule="exact"/>
              <w:ind w:right="48"/>
              <w:jc w:val="right"/>
              <w:rPr>
                <w:b/>
                <w:sz w:val="13"/>
              </w:rPr>
            </w:pPr>
            <w:r>
              <w:rPr>
                <w:b/>
                <w:w w:val="105"/>
                <w:sz w:val="13"/>
              </w:rPr>
              <w:t>1.856.300,39</w:t>
            </w:r>
          </w:p>
        </w:tc>
        <w:tc>
          <w:tcPr>
            <w:tcW w:w="806" w:type="dxa"/>
            <w:shd w:val="clear" w:color="auto" w:fill="D9D9D9"/>
          </w:tcPr>
          <w:p>
            <w:pPr>
              <w:pStyle w:val="TableParagraph"/>
              <w:spacing w:line="133" w:lineRule="exact"/>
              <w:ind w:right="48"/>
              <w:jc w:val="right"/>
              <w:rPr>
                <w:b/>
                <w:sz w:val="13"/>
              </w:rPr>
            </w:pPr>
            <w:r>
              <w:rPr>
                <w:b/>
                <w:w w:val="105"/>
                <w:sz w:val="13"/>
              </w:rPr>
              <w:t>339.640,93</w:t>
            </w:r>
          </w:p>
        </w:tc>
        <w:tc>
          <w:tcPr>
            <w:tcW w:w="646" w:type="dxa"/>
            <w:shd w:val="clear" w:color="auto" w:fill="D9D9D9"/>
          </w:tcPr>
          <w:p>
            <w:pPr>
              <w:pStyle w:val="TableParagraph"/>
              <w:spacing w:line="133" w:lineRule="exact"/>
              <w:ind w:left="114"/>
              <w:rPr>
                <w:b/>
                <w:sz w:val="13"/>
              </w:rPr>
            </w:pPr>
            <w:r>
              <w:rPr>
                <w:b/>
                <w:w w:val="105"/>
                <w:sz w:val="13"/>
              </w:rPr>
              <w:t>6.000,00</w:t>
            </w:r>
          </w:p>
        </w:tc>
        <w:tc>
          <w:tcPr>
            <w:tcW w:w="735" w:type="dxa"/>
            <w:shd w:val="clear" w:color="auto" w:fill="D9D9D9"/>
          </w:tcPr>
          <w:p>
            <w:pPr>
              <w:pStyle w:val="TableParagraph"/>
              <w:spacing w:line="133" w:lineRule="exact"/>
              <w:ind w:right="49"/>
              <w:jc w:val="right"/>
              <w:rPr>
                <w:b/>
                <w:sz w:val="13"/>
              </w:rPr>
            </w:pPr>
            <w:r>
              <w:rPr>
                <w:b/>
                <w:w w:val="105"/>
                <w:sz w:val="13"/>
              </w:rPr>
              <w:t>306.973,67</w:t>
            </w:r>
          </w:p>
        </w:tc>
        <w:tc>
          <w:tcPr>
            <w:tcW w:w="596" w:type="dxa"/>
            <w:tcBorders>
              <w:right w:val="single" w:sz="4" w:space="0" w:color="000000"/>
            </w:tcBorders>
            <w:shd w:val="clear" w:color="auto" w:fill="D9D9D9"/>
          </w:tcPr>
          <w:p>
            <w:pPr>
              <w:pStyle w:val="TableParagraph"/>
              <w:spacing w:line="133" w:lineRule="exact"/>
              <w:ind w:left="66"/>
              <w:rPr>
                <w:b/>
                <w:sz w:val="13"/>
              </w:rPr>
            </w:pPr>
            <w:r>
              <w:rPr>
                <w:b/>
                <w:w w:val="105"/>
                <w:sz w:val="13"/>
              </w:rPr>
              <w:t>2.853,99</w:t>
            </w:r>
          </w:p>
        </w:tc>
      </w:tr>
      <w:tr>
        <w:trPr>
          <w:trHeight w:val="327" w:hRule="atLeast"/>
        </w:trPr>
        <w:tc>
          <w:tcPr>
            <w:tcW w:w="7437" w:type="dxa"/>
            <w:gridSpan w:val="9"/>
            <w:tcBorders>
              <w:left w:val="single" w:sz="4" w:space="0" w:color="000000"/>
              <w:bottom w:val="single" w:sz="4" w:space="0" w:color="000000"/>
              <w:right w:val="single" w:sz="4" w:space="0" w:color="000000"/>
            </w:tcBorders>
          </w:tcPr>
          <w:p>
            <w:pPr>
              <w:pStyle w:val="TableParagraph"/>
              <w:spacing w:before="3"/>
              <w:ind w:left="206"/>
              <w:rPr>
                <w:sz w:val="13"/>
              </w:rPr>
            </w:pPr>
            <w:r>
              <w:rPr>
                <w:w w:val="105"/>
                <w:sz w:val="13"/>
              </w:rPr>
              <w:t>% s/</w:t>
            </w:r>
            <w:r>
              <w:rPr>
                <w:spacing w:val="-10"/>
                <w:w w:val="105"/>
                <w:sz w:val="13"/>
              </w:rPr>
              <w:t> </w:t>
            </w:r>
            <w:r>
              <w:rPr>
                <w:w w:val="105"/>
                <w:sz w:val="13"/>
              </w:rPr>
              <w:t>Total</w:t>
            </w:r>
          </w:p>
          <w:p>
            <w:pPr>
              <w:pStyle w:val="TableParagraph"/>
              <w:spacing w:line="141" w:lineRule="exact" w:before="4"/>
              <w:ind w:left="196"/>
              <w:rPr>
                <w:sz w:val="13"/>
              </w:rPr>
            </w:pPr>
            <w:r>
              <w:rPr>
                <w:w w:val="105"/>
                <w:sz w:val="13"/>
              </w:rPr>
              <w:t>pendiente</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7"/>
        </w:rPr>
      </w:pPr>
    </w:p>
    <w:p>
      <w:pPr>
        <w:pStyle w:val="BodyText"/>
        <w:ind w:left="7794"/>
        <w:jc w:val="center"/>
      </w:pPr>
      <w:r>
        <w:rPr/>
        <w:t>173</w:t>
      </w:r>
    </w:p>
    <w:p>
      <w:pPr>
        <w:pStyle w:val="Heading1"/>
        <w:spacing w:before="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19"/>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9"/>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9"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4"/>
              <w:rPr>
                <w:sz w:val="20"/>
              </w:rPr>
            </w:pPr>
            <w:r>
              <w:rPr>
                <w:sz w:val="20"/>
              </w:rPr>
              <w:drawing>
                <wp:inline distT="0" distB="0" distL="0" distR="0">
                  <wp:extent cx="514349" cy="514350"/>
                  <wp:effectExtent l="0" t="0" r="0" b="0"/>
                  <wp:docPr id="369" name="image5.png"/>
                  <wp:cNvGraphicFramePr>
                    <a:graphicFrameLocks noChangeAspect="1"/>
                  </wp:cNvGraphicFramePr>
                  <a:graphic>
                    <a:graphicData uri="http://schemas.openxmlformats.org/drawingml/2006/picture">
                      <pic:pic>
                        <pic:nvPicPr>
                          <pic:cNvPr id="370"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9"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61" w:type="dxa"/>
            <w:gridSpan w:val="3"/>
          </w:tcPr>
          <w:p>
            <w:pPr>
              <w:pStyle w:val="TableParagraph"/>
              <w:spacing w:line="352" w:lineRule="auto" w:before="78"/>
              <w:ind w:left="1350" w:right="642"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61" w:type="dxa"/>
            <w:gridSpan w:val="3"/>
          </w:tcPr>
          <w:p>
            <w:pPr>
              <w:pStyle w:val="TableParagraph"/>
              <w:tabs>
                <w:tab w:pos="4603" w:val="left" w:leader="none"/>
                <w:tab w:pos="5928"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175/247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11:14:26</w:t>
            </w:r>
          </w:p>
        </w:tc>
        <w:tc>
          <w:tcPr>
            <w:tcW w:w="1489" w:type="dxa"/>
            <w:vMerge/>
            <w:tcBorders>
              <w:top w:val="nil"/>
            </w:tcBorders>
          </w:tcPr>
          <w:p>
            <w:pPr>
              <w:rPr>
                <w:sz w:val="2"/>
                <w:szCs w:val="2"/>
              </w:rPr>
            </w:pPr>
          </w:p>
        </w:tc>
      </w:tr>
    </w:tbl>
    <w:p>
      <w:pPr>
        <w:spacing w:after="0"/>
        <w:rPr>
          <w:sz w:val="2"/>
          <w:szCs w:val="2"/>
        </w:rPr>
        <w:sectPr>
          <w:headerReference w:type="default" r:id="rId33"/>
          <w:footerReference w:type="default" r:id="rId34"/>
          <w:pgSz w:w="11900" w:h="16840"/>
          <w:pgMar w:header="0" w:footer="0" w:top="860" w:bottom="280" w:left="760" w:right="760"/>
        </w:sectPr>
      </w:pPr>
    </w:p>
    <w:p>
      <w:pPr>
        <w:pStyle w:val="BodyText"/>
        <w:spacing w:before="3"/>
        <w:rPr>
          <w:b/>
          <w:sz w:val="13"/>
        </w:rPr>
      </w:pPr>
    </w:p>
    <w:p>
      <w:pPr>
        <w:spacing w:before="0" w:after="3"/>
        <w:ind w:left="2041" w:right="0" w:firstLine="0"/>
        <w:jc w:val="left"/>
        <w:rPr>
          <w:b/>
          <w:sz w:val="12"/>
        </w:rPr>
      </w:pPr>
      <w:r>
        <w:rPr>
          <w:b/>
          <w:w w:val="105"/>
          <w:sz w:val="12"/>
        </w:rPr>
        <w:t>Datos de ejercicios cerrados en fase voluntaria PICCAC/ MAGIN Y SEFLOGIC (II)</w:t>
      </w:r>
    </w:p>
    <w:tbl>
      <w:tblPr>
        <w:tblW w:w="0" w:type="auto"/>
        <w:jc w:val="left"/>
        <w:tblInd w:w="1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2"/>
        <w:gridCol w:w="1159"/>
        <w:gridCol w:w="882"/>
        <w:gridCol w:w="809"/>
        <w:gridCol w:w="809"/>
        <w:gridCol w:w="917"/>
        <w:gridCol w:w="679"/>
        <w:gridCol w:w="774"/>
        <w:gridCol w:w="776"/>
        <w:gridCol w:w="922"/>
        <w:gridCol w:w="662"/>
        <w:gridCol w:w="660"/>
        <w:gridCol w:w="837"/>
      </w:tblGrid>
      <w:tr>
        <w:trPr>
          <w:trHeight w:val="452" w:hRule="atLeast"/>
        </w:trPr>
        <w:tc>
          <w:tcPr>
            <w:tcW w:w="126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
              <w:rPr>
                <w:b/>
                <w:sz w:val="12"/>
              </w:rPr>
            </w:pPr>
          </w:p>
          <w:p>
            <w:pPr>
              <w:pStyle w:val="TableParagraph"/>
              <w:ind w:left="23" w:right="16"/>
              <w:jc w:val="center"/>
              <w:rPr>
                <w:b/>
                <w:sz w:val="12"/>
              </w:rPr>
            </w:pPr>
            <w:r>
              <w:rPr>
                <w:b/>
                <w:w w:val="105"/>
                <w:sz w:val="12"/>
              </w:rPr>
              <w:t>Descripción</w:t>
            </w:r>
          </w:p>
        </w:tc>
        <w:tc>
          <w:tcPr>
            <w:tcW w:w="115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2"/>
              <w:ind w:left="46" w:right="39"/>
              <w:jc w:val="center"/>
              <w:rPr>
                <w:b/>
                <w:sz w:val="12"/>
              </w:rPr>
            </w:pPr>
            <w:r>
              <w:rPr>
                <w:b/>
                <w:w w:val="105"/>
                <w:sz w:val="12"/>
              </w:rPr>
              <w:t>Ingresos inherentes gestión compet.</w:t>
            </w:r>
          </w:p>
          <w:p>
            <w:pPr>
              <w:pStyle w:val="TableParagraph"/>
              <w:spacing w:line="127" w:lineRule="exact" w:before="2"/>
              <w:ind w:left="46" w:right="37"/>
              <w:jc w:val="center"/>
              <w:rPr>
                <w:b/>
                <w:sz w:val="12"/>
              </w:rPr>
            </w:pPr>
            <w:r>
              <w:rPr>
                <w:b/>
                <w:w w:val="105"/>
                <w:sz w:val="12"/>
              </w:rPr>
              <w:t>puertos</w:t>
            </w:r>
          </w:p>
        </w:tc>
        <w:tc>
          <w:tcPr>
            <w:tcW w:w="88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2"/>
              <w:ind w:left="161" w:right="152" w:hanging="2"/>
              <w:jc w:val="center"/>
              <w:rPr>
                <w:b/>
                <w:sz w:val="12"/>
              </w:rPr>
            </w:pPr>
            <w:r>
              <w:rPr>
                <w:b/>
                <w:w w:val="105"/>
                <w:sz w:val="12"/>
              </w:rPr>
              <w:t>Ingresos </w:t>
            </w:r>
            <w:r>
              <w:rPr>
                <w:b/>
                <w:spacing w:val="-1"/>
                <w:w w:val="105"/>
                <w:sz w:val="12"/>
              </w:rPr>
              <w:t>inherentes</w:t>
            </w:r>
          </w:p>
          <w:p>
            <w:pPr>
              <w:pStyle w:val="TableParagraph"/>
              <w:spacing w:line="127" w:lineRule="exact" w:before="2"/>
              <w:ind w:left="60" w:right="52"/>
              <w:jc w:val="center"/>
              <w:rPr>
                <w:b/>
                <w:sz w:val="12"/>
              </w:rPr>
            </w:pPr>
            <w:r>
              <w:rPr>
                <w:b/>
                <w:w w:val="105"/>
                <w:sz w:val="12"/>
              </w:rPr>
              <w:t>gestión labor.</w:t>
            </w:r>
          </w:p>
        </w:tc>
        <w:tc>
          <w:tcPr>
            <w:tcW w:w="80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2"/>
              <w:ind w:left="38" w:right="12"/>
              <w:jc w:val="center"/>
              <w:rPr>
                <w:b/>
                <w:sz w:val="12"/>
              </w:rPr>
            </w:pPr>
            <w:r>
              <w:rPr>
                <w:b/>
                <w:w w:val="105"/>
                <w:sz w:val="12"/>
              </w:rPr>
              <w:t>Reintegro </w:t>
            </w:r>
            <w:r>
              <w:rPr>
                <w:b/>
                <w:spacing w:val="-1"/>
                <w:w w:val="105"/>
                <w:sz w:val="12"/>
              </w:rPr>
              <w:t>subvenciones</w:t>
            </w:r>
          </w:p>
          <w:p>
            <w:pPr>
              <w:pStyle w:val="TableParagraph"/>
              <w:spacing w:line="127" w:lineRule="exact" w:before="2"/>
              <w:ind w:left="38" w:right="12"/>
              <w:jc w:val="center"/>
              <w:rPr>
                <w:b/>
                <w:sz w:val="12"/>
              </w:rPr>
            </w:pPr>
            <w:r>
              <w:rPr>
                <w:b/>
                <w:w w:val="105"/>
                <w:sz w:val="12"/>
              </w:rPr>
              <w:t>ejer.</w:t>
            </w:r>
            <w:r>
              <w:rPr>
                <w:b/>
                <w:spacing w:val="-12"/>
                <w:w w:val="105"/>
                <w:sz w:val="12"/>
              </w:rPr>
              <w:t> </w:t>
            </w:r>
            <w:r>
              <w:rPr>
                <w:b/>
                <w:w w:val="105"/>
                <w:sz w:val="12"/>
              </w:rPr>
              <w:t>cerrados</w:t>
            </w:r>
          </w:p>
        </w:tc>
        <w:tc>
          <w:tcPr>
            <w:tcW w:w="80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2"/>
              <w:ind w:left="15" w:right="12"/>
              <w:jc w:val="center"/>
              <w:rPr>
                <w:b/>
                <w:sz w:val="12"/>
              </w:rPr>
            </w:pPr>
            <w:r>
              <w:rPr>
                <w:b/>
                <w:w w:val="105"/>
                <w:sz w:val="12"/>
              </w:rPr>
              <w:t>Reintegro </w:t>
            </w:r>
            <w:r>
              <w:rPr>
                <w:b/>
                <w:spacing w:val="-1"/>
                <w:w w:val="105"/>
                <w:sz w:val="12"/>
              </w:rPr>
              <w:t>subvenciones</w:t>
            </w:r>
          </w:p>
          <w:p>
            <w:pPr>
              <w:pStyle w:val="TableParagraph"/>
              <w:spacing w:line="127" w:lineRule="exact" w:before="2"/>
              <w:ind w:left="14" w:right="12"/>
              <w:jc w:val="center"/>
              <w:rPr>
                <w:b/>
                <w:sz w:val="12"/>
              </w:rPr>
            </w:pPr>
            <w:r>
              <w:rPr>
                <w:b/>
                <w:w w:val="105"/>
                <w:sz w:val="12"/>
              </w:rPr>
              <w:t>ejer.</w:t>
            </w:r>
            <w:r>
              <w:rPr>
                <w:b/>
                <w:spacing w:val="-14"/>
                <w:w w:val="105"/>
                <w:sz w:val="12"/>
              </w:rPr>
              <w:t> </w:t>
            </w:r>
            <w:r>
              <w:rPr>
                <w:b/>
                <w:w w:val="105"/>
                <w:sz w:val="12"/>
              </w:rPr>
              <w:t>corriente</w:t>
            </w:r>
          </w:p>
        </w:tc>
        <w:tc>
          <w:tcPr>
            <w:tcW w:w="917"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78"/>
              <w:ind w:left="241" w:hanging="153"/>
              <w:rPr>
                <w:b/>
                <w:sz w:val="12"/>
              </w:rPr>
            </w:pPr>
            <w:r>
              <w:rPr>
                <w:b/>
                <w:w w:val="105"/>
                <w:sz w:val="12"/>
              </w:rPr>
              <w:t>Recargo sobre apremio</w:t>
            </w:r>
          </w:p>
        </w:tc>
        <w:tc>
          <w:tcPr>
            <w:tcW w:w="67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78"/>
              <w:ind w:left="135" w:hanging="36"/>
              <w:rPr>
                <w:b/>
                <w:sz w:val="12"/>
              </w:rPr>
            </w:pPr>
            <w:r>
              <w:rPr>
                <w:b/>
                <w:sz w:val="12"/>
              </w:rPr>
              <w:t>Intereses </w:t>
            </w:r>
            <w:r>
              <w:rPr>
                <w:b/>
                <w:w w:val="105"/>
                <w:sz w:val="12"/>
              </w:rPr>
              <w:t>demora</w:t>
            </w:r>
          </w:p>
        </w:tc>
        <w:tc>
          <w:tcPr>
            <w:tcW w:w="774"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6"/>
              <w:rPr>
                <w:b/>
                <w:sz w:val="12"/>
              </w:rPr>
            </w:pPr>
          </w:p>
          <w:p>
            <w:pPr>
              <w:pStyle w:val="TableParagraph"/>
              <w:ind w:left="206"/>
              <w:rPr>
                <w:b/>
                <w:sz w:val="12"/>
              </w:rPr>
            </w:pPr>
            <w:r>
              <w:rPr>
                <w:b/>
                <w:w w:val="105"/>
                <w:sz w:val="12"/>
              </w:rPr>
              <w:t>Multas</w:t>
            </w:r>
          </w:p>
        </w:tc>
        <w:tc>
          <w:tcPr>
            <w:tcW w:w="77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78"/>
              <w:ind w:left="114" w:firstLine="13"/>
              <w:rPr>
                <w:b/>
                <w:sz w:val="12"/>
              </w:rPr>
            </w:pPr>
            <w:r>
              <w:rPr>
                <w:b/>
                <w:w w:val="105"/>
                <w:sz w:val="12"/>
              </w:rPr>
              <w:t>Sanciones tributarias</w:t>
            </w:r>
          </w:p>
        </w:tc>
        <w:tc>
          <w:tcPr>
            <w:tcW w:w="92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2"/>
              <w:ind w:left="168" w:right="84" w:hanging="69"/>
              <w:rPr>
                <w:b/>
                <w:sz w:val="12"/>
              </w:rPr>
            </w:pPr>
            <w:r>
              <w:rPr>
                <w:b/>
                <w:w w:val="105"/>
                <w:sz w:val="12"/>
              </w:rPr>
              <w:t>Sanciones </w:t>
            </w:r>
            <w:r>
              <w:rPr>
                <w:b/>
                <w:spacing w:val="-6"/>
                <w:w w:val="105"/>
                <w:sz w:val="12"/>
              </w:rPr>
              <w:t>Ley </w:t>
            </w:r>
            <w:r>
              <w:rPr>
                <w:b/>
                <w:w w:val="105"/>
                <w:sz w:val="12"/>
              </w:rPr>
              <w:t>Prevención</w:t>
            </w:r>
          </w:p>
          <w:p>
            <w:pPr>
              <w:pStyle w:val="TableParagraph"/>
              <w:spacing w:line="127" w:lineRule="exact" w:before="2"/>
              <w:ind w:left="144"/>
              <w:rPr>
                <w:b/>
                <w:sz w:val="12"/>
              </w:rPr>
            </w:pPr>
            <w:r>
              <w:rPr>
                <w:b/>
                <w:w w:val="105"/>
                <w:sz w:val="12"/>
              </w:rPr>
              <w:t>Riesgos</w:t>
            </w:r>
            <w:r>
              <w:rPr>
                <w:b/>
                <w:spacing w:val="-10"/>
                <w:w w:val="105"/>
                <w:sz w:val="12"/>
              </w:rPr>
              <w:t> </w:t>
            </w:r>
            <w:r>
              <w:rPr>
                <w:b/>
                <w:w w:val="105"/>
                <w:sz w:val="12"/>
              </w:rPr>
              <w:t>Lab.</w:t>
            </w:r>
          </w:p>
        </w:tc>
        <w:tc>
          <w:tcPr>
            <w:tcW w:w="66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78"/>
              <w:ind w:left="74" w:firstLine="111"/>
              <w:rPr>
                <w:b/>
                <w:sz w:val="12"/>
              </w:rPr>
            </w:pPr>
            <w:r>
              <w:rPr>
                <w:b/>
                <w:w w:val="105"/>
                <w:sz w:val="12"/>
              </w:rPr>
              <w:t>Otras sanciones</w:t>
            </w:r>
          </w:p>
        </w:tc>
        <w:tc>
          <w:tcPr>
            <w:tcW w:w="660"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7" w:lineRule="auto" w:before="2"/>
              <w:ind w:left="111" w:right="104" w:firstLine="70"/>
              <w:rPr>
                <w:b/>
                <w:sz w:val="12"/>
              </w:rPr>
            </w:pPr>
            <w:r>
              <w:rPr>
                <w:b/>
                <w:w w:val="105"/>
                <w:sz w:val="12"/>
              </w:rPr>
              <w:t>Otros </w:t>
            </w:r>
            <w:r>
              <w:rPr>
                <w:b/>
                <w:sz w:val="12"/>
              </w:rPr>
              <w:t>ingresos</w:t>
            </w:r>
          </w:p>
          <w:p>
            <w:pPr>
              <w:pStyle w:val="TableParagraph"/>
              <w:spacing w:line="127" w:lineRule="exact" w:before="2"/>
              <w:ind w:left="113"/>
              <w:rPr>
                <w:b/>
                <w:sz w:val="12"/>
              </w:rPr>
            </w:pPr>
            <w:r>
              <w:rPr>
                <w:b/>
                <w:w w:val="105"/>
                <w:sz w:val="12"/>
              </w:rPr>
              <w:t>diversos</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DEEAF6"/>
          </w:tcPr>
          <w:p>
            <w:pPr>
              <w:pStyle w:val="TableParagraph"/>
              <w:rPr>
                <w:b/>
                <w:sz w:val="12"/>
              </w:rPr>
            </w:pPr>
          </w:p>
          <w:p>
            <w:pPr>
              <w:pStyle w:val="TableParagraph"/>
              <w:spacing w:before="8"/>
              <w:rPr>
                <w:b/>
                <w:sz w:val="11"/>
              </w:rPr>
            </w:pPr>
          </w:p>
          <w:p>
            <w:pPr>
              <w:pStyle w:val="TableParagraph"/>
              <w:ind w:left="263" w:right="257"/>
              <w:jc w:val="center"/>
              <w:rPr>
                <w:b/>
                <w:sz w:val="12"/>
              </w:rPr>
            </w:pPr>
            <w:r>
              <w:rPr>
                <w:b/>
                <w:w w:val="105"/>
                <w:sz w:val="12"/>
              </w:rPr>
              <w:t>Total</w:t>
            </w:r>
          </w:p>
        </w:tc>
      </w:tr>
      <w:tr>
        <w:trPr>
          <w:trHeight w:val="262" w:hRule="atLeast"/>
        </w:trPr>
        <w:tc>
          <w:tcPr>
            <w:tcW w:w="126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5" w:right="16"/>
              <w:jc w:val="center"/>
              <w:rPr>
                <w:b/>
                <w:sz w:val="12"/>
              </w:rPr>
            </w:pPr>
            <w:r>
              <w:rPr>
                <w:b/>
                <w:w w:val="105"/>
                <w:sz w:val="12"/>
              </w:rPr>
              <w:t>Ejercicio/Subconcepto</w:t>
            </w:r>
          </w:p>
        </w:tc>
        <w:tc>
          <w:tcPr>
            <w:tcW w:w="115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46" w:right="38"/>
              <w:jc w:val="center"/>
              <w:rPr>
                <w:b/>
                <w:sz w:val="12"/>
              </w:rPr>
            </w:pPr>
            <w:r>
              <w:rPr>
                <w:b/>
                <w:w w:val="105"/>
                <w:sz w:val="12"/>
              </w:rPr>
              <w:t>32984</w:t>
            </w:r>
          </w:p>
        </w:tc>
        <w:tc>
          <w:tcPr>
            <w:tcW w:w="88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82"/>
              <w:rPr>
                <w:b/>
                <w:sz w:val="12"/>
              </w:rPr>
            </w:pPr>
            <w:r>
              <w:rPr>
                <w:b/>
                <w:w w:val="105"/>
                <w:sz w:val="12"/>
              </w:rPr>
              <w:t>32985</w:t>
            </w:r>
          </w:p>
        </w:tc>
        <w:tc>
          <w:tcPr>
            <w:tcW w:w="80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45"/>
              <w:rPr>
                <w:b/>
                <w:sz w:val="12"/>
              </w:rPr>
            </w:pPr>
            <w:r>
              <w:rPr>
                <w:b/>
                <w:w w:val="105"/>
                <w:sz w:val="12"/>
              </w:rPr>
              <w:t>38000</w:t>
            </w:r>
          </w:p>
        </w:tc>
        <w:tc>
          <w:tcPr>
            <w:tcW w:w="80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45"/>
              <w:rPr>
                <w:b/>
                <w:sz w:val="12"/>
              </w:rPr>
            </w:pPr>
            <w:r>
              <w:rPr>
                <w:b/>
                <w:w w:val="105"/>
                <w:sz w:val="12"/>
              </w:rPr>
              <w:t>38100</w:t>
            </w:r>
          </w:p>
        </w:tc>
        <w:tc>
          <w:tcPr>
            <w:tcW w:w="917"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99"/>
              <w:rPr>
                <w:b/>
                <w:sz w:val="12"/>
              </w:rPr>
            </w:pPr>
            <w:r>
              <w:rPr>
                <w:b/>
                <w:w w:val="105"/>
                <w:sz w:val="12"/>
              </w:rPr>
              <w:t>39001</w:t>
            </w:r>
          </w:p>
        </w:tc>
        <w:tc>
          <w:tcPr>
            <w:tcW w:w="67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180"/>
              <w:rPr>
                <w:b/>
                <w:sz w:val="12"/>
              </w:rPr>
            </w:pPr>
            <w:r>
              <w:rPr>
                <w:b/>
                <w:w w:val="105"/>
                <w:sz w:val="12"/>
              </w:rPr>
              <w:t>39003</w:t>
            </w:r>
          </w:p>
        </w:tc>
        <w:tc>
          <w:tcPr>
            <w:tcW w:w="774"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28"/>
              <w:rPr>
                <w:b/>
                <w:sz w:val="12"/>
              </w:rPr>
            </w:pPr>
            <w:r>
              <w:rPr>
                <w:b/>
                <w:w w:val="105"/>
                <w:sz w:val="12"/>
              </w:rPr>
              <w:t>39100</w:t>
            </w:r>
          </w:p>
        </w:tc>
        <w:tc>
          <w:tcPr>
            <w:tcW w:w="77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28"/>
              <w:rPr>
                <w:b/>
                <w:sz w:val="12"/>
              </w:rPr>
            </w:pPr>
            <w:r>
              <w:rPr>
                <w:b/>
                <w:w w:val="105"/>
                <w:sz w:val="12"/>
              </w:rPr>
              <w:t>39101</w:t>
            </w:r>
          </w:p>
        </w:tc>
        <w:tc>
          <w:tcPr>
            <w:tcW w:w="92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300"/>
              <w:rPr>
                <w:b/>
                <w:sz w:val="12"/>
              </w:rPr>
            </w:pPr>
            <w:r>
              <w:rPr>
                <w:b/>
                <w:w w:val="105"/>
                <w:sz w:val="12"/>
              </w:rPr>
              <w:t>39104</w:t>
            </w:r>
          </w:p>
        </w:tc>
        <w:tc>
          <w:tcPr>
            <w:tcW w:w="66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147" w:right="144"/>
              <w:jc w:val="center"/>
              <w:rPr>
                <w:b/>
                <w:sz w:val="12"/>
              </w:rPr>
            </w:pPr>
            <w:r>
              <w:rPr>
                <w:b/>
                <w:w w:val="105"/>
                <w:sz w:val="12"/>
              </w:rPr>
              <w:t>39109</w:t>
            </w:r>
          </w:p>
        </w:tc>
        <w:tc>
          <w:tcPr>
            <w:tcW w:w="660"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169"/>
              <w:rPr>
                <w:b/>
                <w:sz w:val="12"/>
              </w:rPr>
            </w:pPr>
            <w:r>
              <w:rPr>
                <w:b/>
                <w:w w:val="105"/>
                <w:sz w:val="12"/>
              </w:rPr>
              <w:t>39909</w:t>
            </w:r>
          </w:p>
        </w:tc>
        <w:tc>
          <w:tcPr>
            <w:tcW w:w="837" w:type="dxa"/>
            <w:vMerge/>
            <w:tcBorders>
              <w:top w:val="nil"/>
              <w:left w:val="single" w:sz="4" w:space="0" w:color="000000"/>
              <w:bottom w:val="single" w:sz="4" w:space="0" w:color="000000"/>
              <w:right w:val="single" w:sz="4" w:space="0" w:color="000000"/>
            </w:tcBorders>
            <w:shd w:val="clear" w:color="auto" w:fill="DEEAF6"/>
          </w:tcPr>
          <w:p>
            <w:pPr>
              <w:rPr>
                <w:sz w:val="2"/>
                <w:szCs w:val="2"/>
              </w:rPr>
            </w:pPr>
          </w:p>
        </w:tc>
      </w:tr>
      <w:tr>
        <w:trPr>
          <w:trHeight w:val="160" w:hRule="atLeast"/>
        </w:trPr>
        <w:tc>
          <w:tcPr>
            <w:tcW w:w="1262" w:type="dxa"/>
            <w:tcBorders>
              <w:top w:val="single" w:sz="4" w:space="0" w:color="000000"/>
              <w:left w:val="single" w:sz="4" w:space="0" w:color="000000"/>
              <w:right w:val="single" w:sz="4" w:space="0" w:color="000000"/>
            </w:tcBorders>
          </w:tcPr>
          <w:p>
            <w:pPr>
              <w:pStyle w:val="TableParagraph"/>
              <w:spacing w:line="139" w:lineRule="exact" w:before="2"/>
              <w:ind w:left="25" w:right="15"/>
              <w:jc w:val="center"/>
              <w:rPr>
                <w:sz w:val="12"/>
              </w:rPr>
            </w:pPr>
            <w:r>
              <w:rPr>
                <w:w w:val="105"/>
                <w:sz w:val="12"/>
              </w:rPr>
              <w:t>1987</w:t>
            </w:r>
          </w:p>
        </w:tc>
        <w:tc>
          <w:tcPr>
            <w:tcW w:w="2850" w:type="dxa"/>
            <w:gridSpan w:val="3"/>
            <w:tcBorders>
              <w:top w:val="single" w:sz="4" w:space="0" w:color="000000"/>
              <w:left w:val="single" w:sz="4" w:space="0" w:color="000000"/>
            </w:tcBorders>
          </w:tcPr>
          <w:p>
            <w:pPr>
              <w:pStyle w:val="TableParagraph"/>
              <w:rPr>
                <w:rFonts w:ascii="Times New Roman"/>
                <w:sz w:val="10"/>
              </w:rPr>
            </w:pPr>
          </w:p>
        </w:tc>
        <w:tc>
          <w:tcPr>
            <w:tcW w:w="809" w:type="dxa"/>
            <w:tcBorders>
              <w:top w:val="single" w:sz="4" w:space="0" w:color="000000"/>
            </w:tcBorders>
          </w:tcPr>
          <w:p>
            <w:pPr>
              <w:pStyle w:val="TableParagraph"/>
              <w:rPr>
                <w:rFonts w:ascii="Times New Roman"/>
                <w:sz w:val="10"/>
              </w:rPr>
            </w:pPr>
          </w:p>
        </w:tc>
        <w:tc>
          <w:tcPr>
            <w:tcW w:w="1596" w:type="dxa"/>
            <w:gridSpan w:val="2"/>
            <w:tcBorders>
              <w:top w:val="single" w:sz="4" w:space="0" w:color="000000"/>
            </w:tcBorders>
          </w:tcPr>
          <w:p>
            <w:pPr>
              <w:pStyle w:val="TableParagraph"/>
              <w:rPr>
                <w:rFonts w:ascii="Times New Roman"/>
                <w:sz w:val="10"/>
              </w:rPr>
            </w:pPr>
          </w:p>
        </w:tc>
        <w:tc>
          <w:tcPr>
            <w:tcW w:w="774" w:type="dxa"/>
            <w:tcBorders>
              <w:top w:val="single" w:sz="4" w:space="0" w:color="000000"/>
            </w:tcBorders>
          </w:tcPr>
          <w:p>
            <w:pPr>
              <w:pStyle w:val="TableParagraph"/>
              <w:rPr>
                <w:rFonts w:ascii="Times New Roman"/>
                <w:sz w:val="10"/>
              </w:rPr>
            </w:pPr>
          </w:p>
        </w:tc>
        <w:tc>
          <w:tcPr>
            <w:tcW w:w="776" w:type="dxa"/>
            <w:tcBorders>
              <w:top w:val="single" w:sz="4" w:space="0" w:color="000000"/>
            </w:tcBorders>
          </w:tcPr>
          <w:p>
            <w:pPr>
              <w:pStyle w:val="TableParagraph"/>
              <w:spacing w:line="139" w:lineRule="exact" w:before="2"/>
              <w:ind w:right="48"/>
              <w:jc w:val="right"/>
              <w:rPr>
                <w:sz w:val="12"/>
              </w:rPr>
            </w:pPr>
            <w:r>
              <w:rPr>
                <w:sz w:val="12"/>
              </w:rPr>
              <w:t>931,57</w:t>
            </w:r>
          </w:p>
        </w:tc>
        <w:tc>
          <w:tcPr>
            <w:tcW w:w="922" w:type="dxa"/>
            <w:tcBorders>
              <w:top w:val="single" w:sz="4" w:space="0" w:color="000000"/>
            </w:tcBorders>
          </w:tcPr>
          <w:p>
            <w:pPr>
              <w:pStyle w:val="TableParagraph"/>
              <w:rPr>
                <w:rFonts w:ascii="Times New Roman"/>
                <w:sz w:val="10"/>
              </w:rPr>
            </w:pPr>
          </w:p>
        </w:tc>
        <w:tc>
          <w:tcPr>
            <w:tcW w:w="662" w:type="dxa"/>
            <w:tcBorders>
              <w:top w:val="single" w:sz="4" w:space="0" w:color="000000"/>
            </w:tcBorders>
          </w:tcPr>
          <w:p>
            <w:pPr>
              <w:pStyle w:val="TableParagraph"/>
              <w:rPr>
                <w:rFonts w:ascii="Times New Roman"/>
                <w:sz w:val="10"/>
              </w:rPr>
            </w:pPr>
          </w:p>
        </w:tc>
        <w:tc>
          <w:tcPr>
            <w:tcW w:w="660" w:type="dxa"/>
            <w:tcBorders>
              <w:top w:val="single" w:sz="4" w:space="0" w:color="000000"/>
            </w:tcBorders>
          </w:tcPr>
          <w:p>
            <w:pPr>
              <w:pStyle w:val="TableParagraph"/>
              <w:rPr>
                <w:rFonts w:ascii="Times New Roman"/>
                <w:sz w:val="10"/>
              </w:rPr>
            </w:pPr>
          </w:p>
        </w:tc>
        <w:tc>
          <w:tcPr>
            <w:tcW w:w="837" w:type="dxa"/>
            <w:tcBorders>
              <w:top w:val="single" w:sz="4" w:space="0" w:color="000000"/>
              <w:right w:val="single" w:sz="4" w:space="0" w:color="000000"/>
            </w:tcBorders>
            <w:shd w:val="clear" w:color="auto" w:fill="D9E0F1"/>
          </w:tcPr>
          <w:p>
            <w:pPr>
              <w:pStyle w:val="TableParagraph"/>
              <w:spacing w:line="139" w:lineRule="exact" w:before="2"/>
              <w:ind w:right="42"/>
              <w:jc w:val="right"/>
              <w:rPr>
                <w:sz w:val="12"/>
              </w:rPr>
            </w:pPr>
            <w:r>
              <w:rPr>
                <w:sz w:val="12"/>
              </w:rPr>
              <w:t>931,57</w:t>
            </w:r>
          </w:p>
        </w:tc>
      </w:tr>
      <w:tr>
        <w:trPr>
          <w:trHeight w:val="150" w:hRule="atLeast"/>
        </w:trPr>
        <w:tc>
          <w:tcPr>
            <w:tcW w:w="1262" w:type="dxa"/>
            <w:tcBorders>
              <w:left w:val="single" w:sz="4" w:space="0" w:color="000000"/>
              <w:right w:val="single" w:sz="4" w:space="0" w:color="000000"/>
            </w:tcBorders>
          </w:tcPr>
          <w:p>
            <w:pPr>
              <w:pStyle w:val="TableParagraph"/>
              <w:spacing w:line="131" w:lineRule="exact"/>
              <w:ind w:left="25" w:right="15"/>
              <w:jc w:val="center"/>
              <w:rPr>
                <w:sz w:val="12"/>
              </w:rPr>
            </w:pPr>
            <w:r>
              <w:rPr>
                <w:w w:val="105"/>
                <w:sz w:val="12"/>
              </w:rPr>
              <w:t>1988</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rPr>
                <w:rFonts w:ascii="Times New Roman"/>
                <w:sz w:val="8"/>
              </w:rPr>
            </w:pPr>
          </w:p>
        </w:tc>
        <w:tc>
          <w:tcPr>
            <w:tcW w:w="776" w:type="dxa"/>
          </w:tcPr>
          <w:p>
            <w:pPr>
              <w:pStyle w:val="TableParagraph"/>
              <w:spacing w:line="131" w:lineRule="exact"/>
              <w:ind w:right="48"/>
              <w:jc w:val="right"/>
              <w:rPr>
                <w:sz w:val="12"/>
              </w:rPr>
            </w:pPr>
            <w:r>
              <w:rPr>
                <w:sz w:val="12"/>
              </w:rPr>
              <w:t>631,05</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1" w:lineRule="exact"/>
              <w:ind w:right="42"/>
              <w:jc w:val="right"/>
              <w:rPr>
                <w:sz w:val="12"/>
              </w:rPr>
            </w:pPr>
            <w:r>
              <w:rPr>
                <w:sz w:val="12"/>
              </w:rPr>
              <w:t>631,05</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1989</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rPr>
                <w:rFonts w:ascii="Times New Roman"/>
                <w:sz w:val="8"/>
              </w:rPr>
            </w:pPr>
          </w:p>
        </w:tc>
        <w:tc>
          <w:tcPr>
            <w:tcW w:w="776" w:type="dxa"/>
          </w:tcPr>
          <w:p>
            <w:pPr>
              <w:pStyle w:val="TableParagraph"/>
              <w:rPr>
                <w:rFonts w:ascii="Times New Roman"/>
                <w:sz w:val="8"/>
              </w:rPr>
            </w:pP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2.026,57</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1990</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spacing w:line="132" w:lineRule="exact"/>
              <w:ind w:right="46"/>
              <w:jc w:val="right"/>
              <w:rPr>
                <w:sz w:val="12"/>
              </w:rPr>
            </w:pPr>
            <w:r>
              <w:rPr>
                <w:w w:val="105"/>
                <w:sz w:val="12"/>
              </w:rPr>
              <w:t>3.455,82</w:t>
            </w:r>
          </w:p>
        </w:tc>
        <w:tc>
          <w:tcPr>
            <w:tcW w:w="776" w:type="dxa"/>
          </w:tcPr>
          <w:p>
            <w:pPr>
              <w:pStyle w:val="TableParagraph"/>
              <w:spacing w:line="132" w:lineRule="exact"/>
              <w:ind w:right="48"/>
              <w:jc w:val="right"/>
              <w:rPr>
                <w:sz w:val="12"/>
              </w:rPr>
            </w:pPr>
            <w:r>
              <w:rPr>
                <w:w w:val="105"/>
                <w:sz w:val="12"/>
              </w:rPr>
              <w:t>1.592,65</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5.697,65</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1991</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rPr>
                <w:rFonts w:ascii="Times New Roman"/>
                <w:sz w:val="8"/>
              </w:rPr>
            </w:pPr>
          </w:p>
        </w:tc>
        <w:tc>
          <w:tcPr>
            <w:tcW w:w="776" w:type="dxa"/>
          </w:tcPr>
          <w:p>
            <w:pPr>
              <w:pStyle w:val="TableParagraph"/>
              <w:spacing w:line="132" w:lineRule="exact"/>
              <w:ind w:right="48"/>
              <w:jc w:val="right"/>
              <w:rPr>
                <w:sz w:val="12"/>
              </w:rPr>
            </w:pPr>
            <w:r>
              <w:rPr>
                <w:sz w:val="12"/>
              </w:rPr>
              <w:t>60,10</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sz w:val="12"/>
              </w:rPr>
              <w:t>60,10</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1992</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spacing w:line="132" w:lineRule="exact"/>
              <w:ind w:right="46"/>
              <w:jc w:val="right"/>
              <w:rPr>
                <w:sz w:val="12"/>
              </w:rPr>
            </w:pPr>
            <w:r>
              <w:rPr>
                <w:sz w:val="12"/>
              </w:rPr>
              <w:t>150,25</w:t>
            </w:r>
          </w:p>
        </w:tc>
        <w:tc>
          <w:tcPr>
            <w:tcW w:w="776" w:type="dxa"/>
          </w:tcPr>
          <w:p>
            <w:pPr>
              <w:pStyle w:val="TableParagraph"/>
              <w:spacing w:line="132" w:lineRule="exact"/>
              <w:ind w:right="48"/>
              <w:jc w:val="right"/>
              <w:rPr>
                <w:sz w:val="12"/>
              </w:rPr>
            </w:pPr>
            <w:r>
              <w:rPr>
                <w:w w:val="105"/>
                <w:sz w:val="12"/>
              </w:rPr>
              <w:t>2.193,65</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2.343,90</w:t>
            </w:r>
          </w:p>
        </w:tc>
      </w:tr>
      <w:tr>
        <w:trPr>
          <w:trHeight w:val="150" w:hRule="atLeast"/>
        </w:trPr>
        <w:tc>
          <w:tcPr>
            <w:tcW w:w="1262" w:type="dxa"/>
            <w:tcBorders>
              <w:left w:val="single" w:sz="4" w:space="0" w:color="000000"/>
              <w:right w:val="single" w:sz="4" w:space="0" w:color="000000"/>
            </w:tcBorders>
          </w:tcPr>
          <w:p>
            <w:pPr>
              <w:pStyle w:val="TableParagraph"/>
              <w:spacing w:line="131" w:lineRule="exact"/>
              <w:ind w:left="25" w:right="15"/>
              <w:jc w:val="center"/>
              <w:rPr>
                <w:sz w:val="12"/>
              </w:rPr>
            </w:pPr>
            <w:r>
              <w:rPr>
                <w:w w:val="105"/>
                <w:sz w:val="12"/>
              </w:rPr>
              <w:t>1993</w:t>
            </w:r>
          </w:p>
        </w:tc>
        <w:tc>
          <w:tcPr>
            <w:tcW w:w="2850" w:type="dxa"/>
            <w:gridSpan w:val="3"/>
            <w:tcBorders>
              <w:left w:val="single" w:sz="4" w:space="0" w:color="000000"/>
            </w:tcBorders>
          </w:tcPr>
          <w:p>
            <w:pPr>
              <w:pStyle w:val="TableParagraph"/>
              <w:spacing w:line="131" w:lineRule="exact"/>
              <w:ind w:right="47"/>
              <w:jc w:val="right"/>
              <w:rPr>
                <w:sz w:val="12"/>
              </w:rPr>
            </w:pPr>
            <w:r>
              <w:rPr>
                <w:w w:val="105"/>
                <w:sz w:val="12"/>
              </w:rPr>
              <w:t>1.369,36</w:t>
            </w: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spacing w:line="131" w:lineRule="exact"/>
              <w:ind w:right="46"/>
              <w:jc w:val="right"/>
              <w:rPr>
                <w:sz w:val="12"/>
              </w:rPr>
            </w:pPr>
            <w:r>
              <w:rPr>
                <w:w w:val="105"/>
                <w:sz w:val="12"/>
              </w:rPr>
              <w:t>1.051,77</w:t>
            </w:r>
          </w:p>
        </w:tc>
        <w:tc>
          <w:tcPr>
            <w:tcW w:w="776" w:type="dxa"/>
          </w:tcPr>
          <w:p>
            <w:pPr>
              <w:pStyle w:val="TableParagraph"/>
              <w:spacing w:line="131" w:lineRule="exact"/>
              <w:ind w:right="48"/>
              <w:jc w:val="right"/>
              <w:rPr>
                <w:sz w:val="12"/>
              </w:rPr>
            </w:pPr>
            <w:r>
              <w:rPr>
                <w:sz w:val="12"/>
              </w:rPr>
              <w:t>300,50</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1" w:lineRule="exact"/>
              <w:ind w:right="42"/>
              <w:jc w:val="right"/>
              <w:rPr>
                <w:sz w:val="12"/>
              </w:rPr>
            </w:pPr>
            <w:r>
              <w:rPr>
                <w:w w:val="105"/>
                <w:sz w:val="12"/>
              </w:rPr>
              <w:t>2.905,96</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1994</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spacing w:line="132" w:lineRule="exact"/>
              <w:ind w:right="46"/>
              <w:jc w:val="right"/>
              <w:rPr>
                <w:sz w:val="12"/>
              </w:rPr>
            </w:pPr>
            <w:r>
              <w:rPr>
                <w:w w:val="105"/>
                <w:sz w:val="12"/>
              </w:rPr>
              <w:t>4.553,86</w:t>
            </w:r>
          </w:p>
        </w:tc>
        <w:tc>
          <w:tcPr>
            <w:tcW w:w="776" w:type="dxa"/>
          </w:tcPr>
          <w:p>
            <w:pPr>
              <w:pStyle w:val="TableParagraph"/>
              <w:rPr>
                <w:rFonts w:ascii="Times New Roman"/>
                <w:sz w:val="8"/>
              </w:rPr>
            </w:pP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spacing w:line="132" w:lineRule="exact"/>
              <w:ind w:right="47"/>
              <w:jc w:val="right"/>
              <w:rPr>
                <w:sz w:val="12"/>
              </w:rPr>
            </w:pPr>
            <w:r>
              <w:rPr>
                <w:w w:val="105"/>
                <w:sz w:val="12"/>
              </w:rPr>
              <w:t>7.784,58</w:t>
            </w: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12.699,05</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1995</w:t>
            </w:r>
          </w:p>
        </w:tc>
        <w:tc>
          <w:tcPr>
            <w:tcW w:w="2850" w:type="dxa"/>
            <w:gridSpan w:val="3"/>
            <w:tcBorders>
              <w:left w:val="single" w:sz="4" w:space="0" w:color="000000"/>
            </w:tcBorders>
          </w:tcPr>
          <w:p>
            <w:pPr>
              <w:pStyle w:val="TableParagraph"/>
              <w:spacing w:line="132" w:lineRule="exact"/>
              <w:ind w:right="47"/>
              <w:jc w:val="right"/>
              <w:rPr>
                <w:sz w:val="12"/>
              </w:rPr>
            </w:pPr>
            <w:r>
              <w:rPr>
                <w:w w:val="105"/>
                <w:sz w:val="12"/>
              </w:rPr>
              <w:t>1.549,03</w:t>
            </w: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spacing w:line="132" w:lineRule="exact"/>
              <w:ind w:right="46"/>
              <w:jc w:val="right"/>
              <w:rPr>
                <w:sz w:val="12"/>
              </w:rPr>
            </w:pPr>
            <w:r>
              <w:rPr>
                <w:w w:val="105"/>
                <w:sz w:val="12"/>
              </w:rPr>
              <w:t>1.803,03</w:t>
            </w:r>
          </w:p>
        </w:tc>
        <w:tc>
          <w:tcPr>
            <w:tcW w:w="776" w:type="dxa"/>
          </w:tcPr>
          <w:p>
            <w:pPr>
              <w:pStyle w:val="TableParagraph"/>
              <w:rPr>
                <w:rFonts w:ascii="Times New Roman"/>
                <w:sz w:val="8"/>
              </w:rPr>
            </w:pP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spacing w:line="132" w:lineRule="exact"/>
              <w:ind w:right="47"/>
              <w:jc w:val="right"/>
              <w:rPr>
                <w:sz w:val="12"/>
              </w:rPr>
            </w:pPr>
            <w:r>
              <w:rPr>
                <w:w w:val="105"/>
                <w:sz w:val="12"/>
              </w:rPr>
              <w:t>6.627,32</w:t>
            </w: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9.979,38</w:t>
            </w:r>
          </w:p>
        </w:tc>
      </w:tr>
      <w:tr>
        <w:trPr>
          <w:trHeight w:val="150" w:hRule="atLeast"/>
        </w:trPr>
        <w:tc>
          <w:tcPr>
            <w:tcW w:w="1262" w:type="dxa"/>
            <w:tcBorders>
              <w:left w:val="single" w:sz="4" w:space="0" w:color="000000"/>
              <w:right w:val="single" w:sz="4" w:space="0" w:color="000000"/>
            </w:tcBorders>
          </w:tcPr>
          <w:p>
            <w:pPr>
              <w:pStyle w:val="TableParagraph"/>
              <w:spacing w:line="131" w:lineRule="exact"/>
              <w:ind w:left="25" w:right="15"/>
              <w:jc w:val="center"/>
              <w:rPr>
                <w:sz w:val="12"/>
              </w:rPr>
            </w:pPr>
            <w:r>
              <w:rPr>
                <w:w w:val="105"/>
                <w:sz w:val="12"/>
              </w:rPr>
              <w:t>1996</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spacing w:line="131" w:lineRule="exact"/>
              <w:ind w:right="46"/>
              <w:jc w:val="right"/>
              <w:rPr>
                <w:sz w:val="12"/>
              </w:rPr>
            </w:pPr>
            <w:r>
              <w:rPr>
                <w:w w:val="105"/>
                <w:sz w:val="12"/>
              </w:rPr>
              <w:t>4.509,40</w:t>
            </w:r>
          </w:p>
        </w:tc>
        <w:tc>
          <w:tcPr>
            <w:tcW w:w="776" w:type="dxa"/>
          </w:tcPr>
          <w:p>
            <w:pPr>
              <w:pStyle w:val="TableParagraph"/>
              <w:spacing w:line="131" w:lineRule="exact"/>
              <w:ind w:right="48"/>
              <w:jc w:val="right"/>
              <w:rPr>
                <w:sz w:val="12"/>
              </w:rPr>
            </w:pPr>
            <w:r>
              <w:rPr>
                <w:w w:val="105"/>
                <w:sz w:val="12"/>
              </w:rPr>
              <w:t>13.402,57</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1" w:lineRule="exact"/>
              <w:ind w:right="42"/>
              <w:jc w:val="right"/>
              <w:rPr>
                <w:sz w:val="12"/>
              </w:rPr>
            </w:pPr>
            <w:r>
              <w:rPr>
                <w:w w:val="105"/>
                <w:sz w:val="12"/>
              </w:rPr>
              <w:t>17.911,97</w:t>
            </w:r>
          </w:p>
        </w:tc>
      </w:tr>
      <w:tr>
        <w:trPr>
          <w:trHeight w:val="152"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1997</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rPr>
                <w:rFonts w:ascii="Times New Roman"/>
                <w:sz w:val="8"/>
              </w:rPr>
            </w:pPr>
          </w:p>
        </w:tc>
        <w:tc>
          <w:tcPr>
            <w:tcW w:w="776" w:type="dxa"/>
          </w:tcPr>
          <w:p>
            <w:pPr>
              <w:pStyle w:val="TableParagraph"/>
              <w:spacing w:line="132" w:lineRule="exact"/>
              <w:ind w:right="48"/>
              <w:jc w:val="right"/>
              <w:rPr>
                <w:sz w:val="12"/>
              </w:rPr>
            </w:pPr>
            <w:r>
              <w:rPr>
                <w:w w:val="105"/>
                <w:sz w:val="12"/>
              </w:rPr>
              <w:t>1.177,98</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1.460,46</w:t>
            </w:r>
          </w:p>
        </w:tc>
      </w:tr>
      <w:tr>
        <w:trPr>
          <w:trHeight w:val="152"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1998</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rPr>
                <w:rFonts w:ascii="Times New Roman"/>
                <w:sz w:val="8"/>
              </w:rPr>
            </w:pPr>
          </w:p>
        </w:tc>
        <w:tc>
          <w:tcPr>
            <w:tcW w:w="776" w:type="dxa"/>
          </w:tcPr>
          <w:p>
            <w:pPr>
              <w:pStyle w:val="TableParagraph"/>
              <w:spacing w:line="132" w:lineRule="exact"/>
              <w:ind w:right="48"/>
              <w:jc w:val="right"/>
              <w:rPr>
                <w:sz w:val="12"/>
              </w:rPr>
            </w:pPr>
            <w:r>
              <w:rPr>
                <w:w w:val="105"/>
                <w:sz w:val="12"/>
              </w:rPr>
              <w:t>2.163,81</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2.163,81</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1999</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spacing w:line="132" w:lineRule="exact"/>
              <w:ind w:right="46"/>
              <w:jc w:val="right"/>
              <w:rPr>
                <w:sz w:val="12"/>
              </w:rPr>
            </w:pPr>
            <w:r>
              <w:rPr>
                <w:w w:val="105"/>
                <w:sz w:val="12"/>
              </w:rPr>
              <w:t>65.979,81</w:t>
            </w:r>
          </w:p>
        </w:tc>
        <w:tc>
          <w:tcPr>
            <w:tcW w:w="776" w:type="dxa"/>
          </w:tcPr>
          <w:p>
            <w:pPr>
              <w:pStyle w:val="TableParagraph"/>
              <w:rPr>
                <w:rFonts w:ascii="Times New Roman"/>
                <w:sz w:val="8"/>
              </w:rPr>
            </w:pP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65.979,81</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2000</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spacing w:line="132" w:lineRule="exact"/>
              <w:ind w:right="46"/>
              <w:jc w:val="right"/>
              <w:rPr>
                <w:sz w:val="12"/>
              </w:rPr>
            </w:pPr>
            <w:r>
              <w:rPr>
                <w:w w:val="105"/>
                <w:sz w:val="12"/>
              </w:rPr>
              <w:t>45.616,85</w:t>
            </w:r>
          </w:p>
        </w:tc>
        <w:tc>
          <w:tcPr>
            <w:tcW w:w="776" w:type="dxa"/>
          </w:tcPr>
          <w:p>
            <w:pPr>
              <w:pStyle w:val="TableParagraph"/>
              <w:rPr>
                <w:rFonts w:ascii="Times New Roman"/>
                <w:sz w:val="8"/>
              </w:rPr>
            </w:pP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45.616,85</w:t>
            </w:r>
          </w:p>
        </w:tc>
      </w:tr>
      <w:tr>
        <w:trPr>
          <w:trHeight w:val="150" w:hRule="atLeast"/>
        </w:trPr>
        <w:tc>
          <w:tcPr>
            <w:tcW w:w="1262" w:type="dxa"/>
            <w:tcBorders>
              <w:left w:val="single" w:sz="4" w:space="0" w:color="000000"/>
              <w:right w:val="single" w:sz="4" w:space="0" w:color="000000"/>
            </w:tcBorders>
          </w:tcPr>
          <w:p>
            <w:pPr>
              <w:pStyle w:val="TableParagraph"/>
              <w:spacing w:line="131" w:lineRule="exact"/>
              <w:ind w:left="25" w:right="15"/>
              <w:jc w:val="center"/>
              <w:rPr>
                <w:sz w:val="12"/>
              </w:rPr>
            </w:pPr>
            <w:r>
              <w:rPr>
                <w:w w:val="105"/>
                <w:sz w:val="12"/>
              </w:rPr>
              <w:t>2001</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spacing w:line="131" w:lineRule="exact"/>
              <w:ind w:right="46"/>
              <w:jc w:val="right"/>
              <w:rPr>
                <w:sz w:val="12"/>
              </w:rPr>
            </w:pPr>
            <w:r>
              <w:rPr>
                <w:w w:val="105"/>
                <w:sz w:val="12"/>
              </w:rPr>
              <w:t>7.467,57</w:t>
            </w:r>
          </w:p>
        </w:tc>
        <w:tc>
          <w:tcPr>
            <w:tcW w:w="776" w:type="dxa"/>
          </w:tcPr>
          <w:p>
            <w:pPr>
              <w:pStyle w:val="TableParagraph"/>
              <w:rPr>
                <w:rFonts w:ascii="Times New Roman"/>
                <w:sz w:val="8"/>
              </w:rPr>
            </w:pP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1" w:lineRule="exact"/>
              <w:ind w:right="42"/>
              <w:jc w:val="right"/>
              <w:rPr>
                <w:sz w:val="12"/>
              </w:rPr>
            </w:pPr>
            <w:r>
              <w:rPr>
                <w:w w:val="105"/>
                <w:sz w:val="12"/>
              </w:rPr>
              <w:t>7.467,57</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2002</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spacing w:line="132" w:lineRule="exact"/>
              <w:ind w:right="47"/>
              <w:jc w:val="right"/>
              <w:rPr>
                <w:sz w:val="12"/>
              </w:rPr>
            </w:pPr>
            <w:r>
              <w:rPr>
                <w:sz w:val="12"/>
              </w:rPr>
              <w:t>9,15</w:t>
            </w:r>
          </w:p>
        </w:tc>
        <w:tc>
          <w:tcPr>
            <w:tcW w:w="774" w:type="dxa"/>
          </w:tcPr>
          <w:p>
            <w:pPr>
              <w:pStyle w:val="TableParagraph"/>
              <w:spacing w:line="132" w:lineRule="exact"/>
              <w:ind w:right="46"/>
              <w:jc w:val="right"/>
              <w:rPr>
                <w:sz w:val="12"/>
              </w:rPr>
            </w:pPr>
            <w:r>
              <w:rPr>
                <w:w w:val="105"/>
                <w:sz w:val="12"/>
              </w:rPr>
              <w:t>12.861,86</w:t>
            </w:r>
          </w:p>
        </w:tc>
        <w:tc>
          <w:tcPr>
            <w:tcW w:w="776" w:type="dxa"/>
          </w:tcPr>
          <w:p>
            <w:pPr>
              <w:pStyle w:val="TableParagraph"/>
              <w:spacing w:line="132" w:lineRule="exact"/>
              <w:ind w:right="48"/>
              <w:jc w:val="right"/>
              <w:rPr>
                <w:sz w:val="12"/>
              </w:rPr>
            </w:pPr>
            <w:r>
              <w:rPr>
                <w:sz w:val="12"/>
              </w:rPr>
              <w:t>35,31</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12.906,32</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2003</w:t>
            </w:r>
          </w:p>
        </w:tc>
        <w:tc>
          <w:tcPr>
            <w:tcW w:w="2850" w:type="dxa"/>
            <w:gridSpan w:val="3"/>
            <w:tcBorders>
              <w:left w:val="single" w:sz="4" w:space="0" w:color="000000"/>
            </w:tcBorders>
          </w:tcPr>
          <w:p>
            <w:pPr>
              <w:pStyle w:val="TableParagraph"/>
              <w:spacing w:line="132" w:lineRule="exact"/>
              <w:ind w:right="47"/>
              <w:jc w:val="right"/>
              <w:rPr>
                <w:sz w:val="12"/>
              </w:rPr>
            </w:pPr>
            <w:r>
              <w:rPr>
                <w:w w:val="105"/>
                <w:sz w:val="12"/>
              </w:rPr>
              <w:t>2.830,03</w:t>
            </w:r>
          </w:p>
        </w:tc>
        <w:tc>
          <w:tcPr>
            <w:tcW w:w="809" w:type="dxa"/>
          </w:tcPr>
          <w:p>
            <w:pPr>
              <w:pStyle w:val="TableParagraph"/>
              <w:rPr>
                <w:rFonts w:ascii="Times New Roman"/>
                <w:sz w:val="8"/>
              </w:rPr>
            </w:pPr>
          </w:p>
        </w:tc>
        <w:tc>
          <w:tcPr>
            <w:tcW w:w="1596" w:type="dxa"/>
            <w:gridSpan w:val="2"/>
          </w:tcPr>
          <w:p>
            <w:pPr>
              <w:pStyle w:val="TableParagraph"/>
              <w:spacing w:line="132" w:lineRule="exact"/>
              <w:ind w:right="47"/>
              <w:jc w:val="right"/>
              <w:rPr>
                <w:sz w:val="12"/>
              </w:rPr>
            </w:pPr>
            <w:r>
              <w:rPr>
                <w:sz w:val="12"/>
              </w:rPr>
              <w:t>273,04</w:t>
            </w:r>
          </w:p>
        </w:tc>
        <w:tc>
          <w:tcPr>
            <w:tcW w:w="774" w:type="dxa"/>
          </w:tcPr>
          <w:p>
            <w:pPr>
              <w:pStyle w:val="TableParagraph"/>
              <w:spacing w:line="132" w:lineRule="exact"/>
              <w:ind w:right="46"/>
              <w:jc w:val="right"/>
              <w:rPr>
                <w:sz w:val="12"/>
              </w:rPr>
            </w:pPr>
            <w:r>
              <w:rPr>
                <w:w w:val="105"/>
                <w:sz w:val="12"/>
              </w:rPr>
              <w:t>25.543,02</w:t>
            </w:r>
          </w:p>
        </w:tc>
        <w:tc>
          <w:tcPr>
            <w:tcW w:w="776" w:type="dxa"/>
          </w:tcPr>
          <w:p>
            <w:pPr>
              <w:pStyle w:val="TableParagraph"/>
              <w:rPr>
                <w:rFonts w:ascii="Times New Roman"/>
                <w:sz w:val="8"/>
              </w:rPr>
            </w:pP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28.646,09</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2004</w:t>
            </w:r>
          </w:p>
        </w:tc>
        <w:tc>
          <w:tcPr>
            <w:tcW w:w="2850" w:type="dxa"/>
            <w:gridSpan w:val="3"/>
            <w:tcBorders>
              <w:left w:val="single" w:sz="4" w:space="0" w:color="000000"/>
            </w:tcBorders>
          </w:tcPr>
          <w:p>
            <w:pPr>
              <w:pStyle w:val="TableParagraph"/>
              <w:rPr>
                <w:rFonts w:ascii="Times New Roman"/>
                <w:sz w:val="8"/>
              </w:rPr>
            </w:pP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rPr>
                <w:rFonts w:ascii="Times New Roman"/>
                <w:sz w:val="8"/>
              </w:rPr>
            </w:pPr>
          </w:p>
        </w:tc>
        <w:tc>
          <w:tcPr>
            <w:tcW w:w="776" w:type="dxa"/>
          </w:tcPr>
          <w:p>
            <w:pPr>
              <w:pStyle w:val="TableParagraph"/>
              <w:rPr>
                <w:rFonts w:ascii="Times New Roman"/>
                <w:sz w:val="8"/>
              </w:rPr>
            </w:pP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4"/>
              <w:jc w:val="right"/>
              <w:rPr>
                <w:sz w:val="12"/>
              </w:rPr>
            </w:pPr>
            <w:r>
              <w:rPr>
                <w:sz w:val="12"/>
              </w:rPr>
              <w:t>0,00</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2005</w:t>
            </w:r>
          </w:p>
        </w:tc>
        <w:tc>
          <w:tcPr>
            <w:tcW w:w="2850" w:type="dxa"/>
            <w:gridSpan w:val="3"/>
            <w:tcBorders>
              <w:left w:val="single" w:sz="4" w:space="0" w:color="000000"/>
            </w:tcBorders>
          </w:tcPr>
          <w:p>
            <w:pPr>
              <w:pStyle w:val="TableParagraph"/>
              <w:spacing w:line="132" w:lineRule="exact"/>
              <w:ind w:right="47"/>
              <w:jc w:val="right"/>
              <w:rPr>
                <w:sz w:val="12"/>
              </w:rPr>
            </w:pPr>
            <w:r>
              <w:rPr>
                <w:sz w:val="12"/>
              </w:rPr>
              <w:t>788,99</w:t>
            </w:r>
          </w:p>
        </w:tc>
        <w:tc>
          <w:tcPr>
            <w:tcW w:w="809" w:type="dxa"/>
          </w:tcPr>
          <w:p>
            <w:pPr>
              <w:pStyle w:val="TableParagraph"/>
              <w:rPr>
                <w:rFonts w:ascii="Times New Roman"/>
                <w:sz w:val="8"/>
              </w:rPr>
            </w:pPr>
          </w:p>
        </w:tc>
        <w:tc>
          <w:tcPr>
            <w:tcW w:w="1596" w:type="dxa"/>
            <w:gridSpan w:val="2"/>
          </w:tcPr>
          <w:p>
            <w:pPr>
              <w:pStyle w:val="TableParagraph"/>
              <w:rPr>
                <w:rFonts w:ascii="Times New Roman"/>
                <w:sz w:val="8"/>
              </w:rPr>
            </w:pPr>
          </w:p>
        </w:tc>
        <w:tc>
          <w:tcPr>
            <w:tcW w:w="774" w:type="dxa"/>
          </w:tcPr>
          <w:p>
            <w:pPr>
              <w:pStyle w:val="TableParagraph"/>
              <w:spacing w:line="132" w:lineRule="exact"/>
              <w:ind w:right="46"/>
              <w:jc w:val="right"/>
              <w:rPr>
                <w:sz w:val="12"/>
              </w:rPr>
            </w:pPr>
            <w:r>
              <w:rPr>
                <w:w w:val="105"/>
                <w:sz w:val="12"/>
              </w:rPr>
              <w:t>8.882,21</w:t>
            </w:r>
          </w:p>
        </w:tc>
        <w:tc>
          <w:tcPr>
            <w:tcW w:w="776" w:type="dxa"/>
          </w:tcPr>
          <w:p>
            <w:pPr>
              <w:pStyle w:val="TableParagraph"/>
              <w:spacing w:line="132" w:lineRule="exact"/>
              <w:ind w:right="48"/>
              <w:jc w:val="right"/>
              <w:rPr>
                <w:sz w:val="12"/>
              </w:rPr>
            </w:pPr>
            <w:r>
              <w:rPr>
                <w:sz w:val="12"/>
              </w:rPr>
              <w:t>15,03</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43.501,18</w:t>
            </w:r>
          </w:p>
        </w:tc>
      </w:tr>
      <w:tr>
        <w:trPr>
          <w:trHeight w:val="150" w:hRule="atLeast"/>
        </w:trPr>
        <w:tc>
          <w:tcPr>
            <w:tcW w:w="1262" w:type="dxa"/>
            <w:tcBorders>
              <w:left w:val="single" w:sz="4" w:space="0" w:color="000000"/>
              <w:right w:val="single" w:sz="4" w:space="0" w:color="000000"/>
            </w:tcBorders>
          </w:tcPr>
          <w:p>
            <w:pPr>
              <w:pStyle w:val="TableParagraph"/>
              <w:spacing w:line="131" w:lineRule="exact"/>
              <w:ind w:left="25" w:right="15"/>
              <w:jc w:val="center"/>
              <w:rPr>
                <w:sz w:val="12"/>
              </w:rPr>
            </w:pPr>
            <w:r>
              <w:rPr>
                <w:w w:val="105"/>
                <w:sz w:val="12"/>
              </w:rPr>
              <w:t>2006</w:t>
            </w:r>
          </w:p>
        </w:tc>
        <w:tc>
          <w:tcPr>
            <w:tcW w:w="2850" w:type="dxa"/>
            <w:gridSpan w:val="3"/>
            <w:tcBorders>
              <w:left w:val="single" w:sz="4" w:space="0" w:color="000000"/>
            </w:tcBorders>
          </w:tcPr>
          <w:p>
            <w:pPr>
              <w:pStyle w:val="TableParagraph"/>
              <w:spacing w:line="131" w:lineRule="exact"/>
              <w:ind w:right="47"/>
              <w:jc w:val="right"/>
              <w:rPr>
                <w:sz w:val="12"/>
              </w:rPr>
            </w:pPr>
            <w:r>
              <w:rPr>
                <w:w w:val="105"/>
                <w:sz w:val="12"/>
              </w:rPr>
              <w:t>30.050,61</w:t>
            </w:r>
          </w:p>
        </w:tc>
        <w:tc>
          <w:tcPr>
            <w:tcW w:w="809" w:type="dxa"/>
          </w:tcPr>
          <w:p>
            <w:pPr>
              <w:pStyle w:val="TableParagraph"/>
              <w:rPr>
                <w:rFonts w:ascii="Times New Roman"/>
                <w:sz w:val="8"/>
              </w:rPr>
            </w:pPr>
          </w:p>
        </w:tc>
        <w:tc>
          <w:tcPr>
            <w:tcW w:w="1596" w:type="dxa"/>
            <w:gridSpan w:val="2"/>
          </w:tcPr>
          <w:p>
            <w:pPr>
              <w:pStyle w:val="TableParagraph"/>
              <w:spacing w:line="131" w:lineRule="exact"/>
              <w:ind w:right="47"/>
              <w:jc w:val="right"/>
              <w:rPr>
                <w:sz w:val="12"/>
              </w:rPr>
            </w:pPr>
            <w:r>
              <w:rPr>
                <w:w w:val="105"/>
                <w:sz w:val="12"/>
              </w:rPr>
              <w:t>6.346,95</w:t>
            </w:r>
          </w:p>
        </w:tc>
        <w:tc>
          <w:tcPr>
            <w:tcW w:w="774" w:type="dxa"/>
          </w:tcPr>
          <w:p>
            <w:pPr>
              <w:pStyle w:val="TableParagraph"/>
              <w:spacing w:line="131" w:lineRule="exact"/>
              <w:ind w:right="46"/>
              <w:jc w:val="right"/>
              <w:rPr>
                <w:sz w:val="12"/>
              </w:rPr>
            </w:pPr>
            <w:r>
              <w:rPr>
                <w:w w:val="105"/>
                <w:sz w:val="12"/>
              </w:rPr>
              <w:t>166.336,45</w:t>
            </w:r>
          </w:p>
        </w:tc>
        <w:tc>
          <w:tcPr>
            <w:tcW w:w="776" w:type="dxa"/>
          </w:tcPr>
          <w:p>
            <w:pPr>
              <w:pStyle w:val="TableParagraph"/>
              <w:spacing w:line="131" w:lineRule="exact"/>
              <w:ind w:right="48"/>
              <w:jc w:val="right"/>
              <w:rPr>
                <w:sz w:val="12"/>
              </w:rPr>
            </w:pPr>
            <w:r>
              <w:rPr>
                <w:w w:val="105"/>
                <w:sz w:val="12"/>
              </w:rPr>
              <w:t>2.075,00</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1" w:lineRule="exact"/>
              <w:ind w:right="43"/>
              <w:jc w:val="right"/>
              <w:rPr>
                <w:sz w:val="12"/>
              </w:rPr>
            </w:pPr>
            <w:r>
              <w:rPr>
                <w:w w:val="105"/>
                <w:sz w:val="12"/>
              </w:rPr>
              <w:t>212.790,31</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2007</w:t>
            </w:r>
          </w:p>
        </w:tc>
        <w:tc>
          <w:tcPr>
            <w:tcW w:w="2850" w:type="dxa"/>
            <w:gridSpan w:val="3"/>
            <w:tcBorders>
              <w:left w:val="single" w:sz="4" w:space="0" w:color="000000"/>
            </w:tcBorders>
          </w:tcPr>
          <w:p>
            <w:pPr>
              <w:pStyle w:val="TableParagraph"/>
              <w:spacing w:line="132" w:lineRule="exact"/>
              <w:ind w:right="47"/>
              <w:jc w:val="right"/>
              <w:rPr>
                <w:sz w:val="12"/>
              </w:rPr>
            </w:pPr>
            <w:r>
              <w:rPr>
                <w:w w:val="105"/>
                <w:sz w:val="12"/>
              </w:rPr>
              <w:t>10.760,02</w:t>
            </w:r>
          </w:p>
        </w:tc>
        <w:tc>
          <w:tcPr>
            <w:tcW w:w="809" w:type="dxa"/>
          </w:tcPr>
          <w:p>
            <w:pPr>
              <w:pStyle w:val="TableParagraph"/>
              <w:rPr>
                <w:rFonts w:ascii="Times New Roman"/>
                <w:sz w:val="8"/>
              </w:rPr>
            </w:pPr>
          </w:p>
        </w:tc>
        <w:tc>
          <w:tcPr>
            <w:tcW w:w="1596" w:type="dxa"/>
            <w:gridSpan w:val="2"/>
          </w:tcPr>
          <w:p>
            <w:pPr>
              <w:pStyle w:val="TableParagraph"/>
              <w:spacing w:line="132" w:lineRule="exact"/>
              <w:ind w:right="47"/>
              <w:jc w:val="right"/>
              <w:rPr>
                <w:sz w:val="12"/>
              </w:rPr>
            </w:pPr>
            <w:r>
              <w:rPr>
                <w:w w:val="105"/>
                <w:sz w:val="12"/>
              </w:rPr>
              <w:t>2.761,48</w:t>
            </w:r>
          </w:p>
        </w:tc>
        <w:tc>
          <w:tcPr>
            <w:tcW w:w="774" w:type="dxa"/>
          </w:tcPr>
          <w:p>
            <w:pPr>
              <w:pStyle w:val="TableParagraph"/>
              <w:spacing w:line="132" w:lineRule="exact"/>
              <w:ind w:right="46"/>
              <w:jc w:val="right"/>
              <w:rPr>
                <w:sz w:val="12"/>
              </w:rPr>
            </w:pPr>
            <w:r>
              <w:rPr>
                <w:w w:val="105"/>
                <w:sz w:val="12"/>
              </w:rPr>
              <w:t>437.968,42</w:t>
            </w:r>
          </w:p>
        </w:tc>
        <w:tc>
          <w:tcPr>
            <w:tcW w:w="776" w:type="dxa"/>
          </w:tcPr>
          <w:p>
            <w:pPr>
              <w:pStyle w:val="TableParagraph"/>
              <w:spacing w:line="132" w:lineRule="exact"/>
              <w:ind w:right="48"/>
              <w:jc w:val="right"/>
              <w:rPr>
                <w:sz w:val="12"/>
              </w:rPr>
            </w:pPr>
            <w:r>
              <w:rPr>
                <w:w w:val="105"/>
                <w:sz w:val="12"/>
              </w:rPr>
              <w:t>5.336,67</w:t>
            </w:r>
          </w:p>
        </w:tc>
        <w:tc>
          <w:tcPr>
            <w:tcW w:w="922" w:type="dxa"/>
          </w:tcPr>
          <w:p>
            <w:pPr>
              <w:pStyle w:val="TableParagraph"/>
              <w:spacing w:line="132" w:lineRule="exact"/>
              <w:ind w:right="48"/>
              <w:jc w:val="right"/>
              <w:rPr>
                <w:sz w:val="12"/>
              </w:rPr>
            </w:pPr>
            <w:r>
              <w:rPr>
                <w:w w:val="105"/>
                <w:sz w:val="12"/>
              </w:rPr>
              <w:t>22.000,00</w:t>
            </w: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3"/>
              <w:jc w:val="right"/>
              <w:rPr>
                <w:sz w:val="12"/>
              </w:rPr>
            </w:pPr>
            <w:r>
              <w:rPr>
                <w:w w:val="105"/>
                <w:sz w:val="12"/>
              </w:rPr>
              <w:t>492.831,55</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2008</w:t>
            </w:r>
          </w:p>
        </w:tc>
        <w:tc>
          <w:tcPr>
            <w:tcW w:w="2850" w:type="dxa"/>
            <w:gridSpan w:val="3"/>
            <w:tcBorders>
              <w:left w:val="single" w:sz="4" w:space="0" w:color="000000"/>
            </w:tcBorders>
          </w:tcPr>
          <w:p>
            <w:pPr>
              <w:pStyle w:val="TableParagraph"/>
              <w:spacing w:line="132" w:lineRule="exact"/>
              <w:ind w:right="47"/>
              <w:jc w:val="right"/>
              <w:rPr>
                <w:sz w:val="12"/>
              </w:rPr>
            </w:pPr>
            <w:r>
              <w:rPr>
                <w:w w:val="105"/>
                <w:sz w:val="12"/>
              </w:rPr>
              <w:t>1.648,46</w:t>
            </w:r>
          </w:p>
        </w:tc>
        <w:tc>
          <w:tcPr>
            <w:tcW w:w="809" w:type="dxa"/>
          </w:tcPr>
          <w:p>
            <w:pPr>
              <w:pStyle w:val="TableParagraph"/>
              <w:spacing w:line="132" w:lineRule="exact"/>
              <w:ind w:right="47"/>
              <w:jc w:val="right"/>
              <w:rPr>
                <w:sz w:val="12"/>
              </w:rPr>
            </w:pPr>
            <w:r>
              <w:rPr>
                <w:sz w:val="12"/>
              </w:rPr>
              <w:t>749,30</w:t>
            </w:r>
          </w:p>
        </w:tc>
        <w:tc>
          <w:tcPr>
            <w:tcW w:w="1596" w:type="dxa"/>
            <w:gridSpan w:val="2"/>
          </w:tcPr>
          <w:p>
            <w:pPr>
              <w:pStyle w:val="TableParagraph"/>
              <w:spacing w:line="132" w:lineRule="exact"/>
              <w:ind w:right="47"/>
              <w:jc w:val="right"/>
              <w:rPr>
                <w:sz w:val="12"/>
              </w:rPr>
            </w:pPr>
            <w:r>
              <w:rPr>
                <w:w w:val="105"/>
                <w:sz w:val="12"/>
              </w:rPr>
              <w:t>3.793,63</w:t>
            </w:r>
          </w:p>
        </w:tc>
        <w:tc>
          <w:tcPr>
            <w:tcW w:w="774" w:type="dxa"/>
          </w:tcPr>
          <w:p>
            <w:pPr>
              <w:pStyle w:val="TableParagraph"/>
              <w:spacing w:line="132" w:lineRule="exact"/>
              <w:ind w:right="46"/>
              <w:jc w:val="right"/>
              <w:rPr>
                <w:sz w:val="12"/>
              </w:rPr>
            </w:pPr>
            <w:r>
              <w:rPr>
                <w:w w:val="105"/>
                <w:sz w:val="12"/>
              </w:rPr>
              <w:t>97.194,99</w:t>
            </w:r>
          </w:p>
        </w:tc>
        <w:tc>
          <w:tcPr>
            <w:tcW w:w="776" w:type="dxa"/>
          </w:tcPr>
          <w:p>
            <w:pPr>
              <w:pStyle w:val="TableParagraph"/>
              <w:spacing w:line="132" w:lineRule="exact"/>
              <w:ind w:right="48"/>
              <w:jc w:val="right"/>
              <w:rPr>
                <w:sz w:val="12"/>
              </w:rPr>
            </w:pPr>
            <w:r>
              <w:rPr>
                <w:sz w:val="12"/>
              </w:rPr>
              <w:t>500,00</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3"/>
              <w:jc w:val="right"/>
              <w:rPr>
                <w:sz w:val="12"/>
              </w:rPr>
            </w:pPr>
            <w:r>
              <w:rPr>
                <w:w w:val="105"/>
                <w:sz w:val="12"/>
              </w:rPr>
              <w:t>820.755,50</w:t>
            </w:r>
          </w:p>
        </w:tc>
      </w:tr>
      <w:tr>
        <w:trPr>
          <w:trHeight w:val="151" w:hRule="atLeast"/>
        </w:trPr>
        <w:tc>
          <w:tcPr>
            <w:tcW w:w="1262" w:type="dxa"/>
            <w:tcBorders>
              <w:left w:val="single" w:sz="4" w:space="0" w:color="000000"/>
              <w:right w:val="single" w:sz="4" w:space="0" w:color="000000"/>
            </w:tcBorders>
          </w:tcPr>
          <w:p>
            <w:pPr>
              <w:pStyle w:val="TableParagraph"/>
              <w:spacing w:line="131" w:lineRule="exact"/>
              <w:ind w:left="25" w:right="15"/>
              <w:jc w:val="center"/>
              <w:rPr>
                <w:sz w:val="12"/>
              </w:rPr>
            </w:pPr>
            <w:r>
              <w:rPr>
                <w:w w:val="105"/>
                <w:sz w:val="12"/>
              </w:rPr>
              <w:t>2009</w:t>
            </w:r>
          </w:p>
        </w:tc>
        <w:tc>
          <w:tcPr>
            <w:tcW w:w="2850" w:type="dxa"/>
            <w:gridSpan w:val="3"/>
            <w:tcBorders>
              <w:left w:val="single" w:sz="4" w:space="0" w:color="000000"/>
            </w:tcBorders>
          </w:tcPr>
          <w:p>
            <w:pPr>
              <w:pStyle w:val="TableParagraph"/>
              <w:spacing w:line="131" w:lineRule="exact"/>
              <w:ind w:right="47"/>
              <w:jc w:val="right"/>
              <w:rPr>
                <w:sz w:val="12"/>
              </w:rPr>
            </w:pPr>
            <w:r>
              <w:rPr>
                <w:w w:val="105"/>
                <w:sz w:val="12"/>
              </w:rPr>
              <w:t>115.991,64</w:t>
            </w:r>
          </w:p>
        </w:tc>
        <w:tc>
          <w:tcPr>
            <w:tcW w:w="809" w:type="dxa"/>
          </w:tcPr>
          <w:p>
            <w:pPr>
              <w:pStyle w:val="TableParagraph"/>
              <w:spacing w:line="131" w:lineRule="exact"/>
              <w:ind w:right="47"/>
              <w:jc w:val="right"/>
              <w:rPr>
                <w:sz w:val="12"/>
              </w:rPr>
            </w:pPr>
            <w:r>
              <w:rPr>
                <w:sz w:val="12"/>
              </w:rPr>
              <w:t>299,72</w:t>
            </w:r>
          </w:p>
        </w:tc>
        <w:tc>
          <w:tcPr>
            <w:tcW w:w="1596" w:type="dxa"/>
            <w:gridSpan w:val="2"/>
          </w:tcPr>
          <w:p>
            <w:pPr>
              <w:pStyle w:val="TableParagraph"/>
              <w:spacing w:line="131" w:lineRule="exact"/>
              <w:ind w:right="47"/>
              <w:jc w:val="right"/>
              <w:rPr>
                <w:sz w:val="12"/>
              </w:rPr>
            </w:pPr>
            <w:r>
              <w:rPr>
                <w:w w:val="105"/>
                <w:sz w:val="12"/>
              </w:rPr>
              <w:t>2.078,25</w:t>
            </w:r>
          </w:p>
        </w:tc>
        <w:tc>
          <w:tcPr>
            <w:tcW w:w="774" w:type="dxa"/>
          </w:tcPr>
          <w:p>
            <w:pPr>
              <w:pStyle w:val="TableParagraph"/>
              <w:spacing w:line="131" w:lineRule="exact"/>
              <w:ind w:right="46"/>
              <w:jc w:val="right"/>
              <w:rPr>
                <w:sz w:val="12"/>
              </w:rPr>
            </w:pPr>
            <w:r>
              <w:rPr>
                <w:w w:val="105"/>
                <w:sz w:val="12"/>
              </w:rPr>
              <w:t>135.484,49</w:t>
            </w:r>
          </w:p>
        </w:tc>
        <w:tc>
          <w:tcPr>
            <w:tcW w:w="776" w:type="dxa"/>
          </w:tcPr>
          <w:p>
            <w:pPr>
              <w:pStyle w:val="TableParagraph"/>
              <w:rPr>
                <w:rFonts w:ascii="Times New Roman"/>
                <w:sz w:val="8"/>
              </w:rPr>
            </w:pPr>
          </w:p>
        </w:tc>
        <w:tc>
          <w:tcPr>
            <w:tcW w:w="922" w:type="dxa"/>
          </w:tcPr>
          <w:p>
            <w:pPr>
              <w:pStyle w:val="TableParagraph"/>
              <w:spacing w:line="131" w:lineRule="exact"/>
              <w:ind w:right="47"/>
              <w:jc w:val="right"/>
              <w:rPr>
                <w:sz w:val="12"/>
              </w:rPr>
            </w:pPr>
            <w:r>
              <w:rPr>
                <w:w w:val="105"/>
                <w:sz w:val="12"/>
              </w:rPr>
              <w:t>1.502,54</w:t>
            </w: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1" w:lineRule="exact"/>
              <w:ind w:right="43"/>
              <w:jc w:val="right"/>
              <w:rPr>
                <w:sz w:val="12"/>
              </w:rPr>
            </w:pPr>
            <w:r>
              <w:rPr>
                <w:w w:val="105"/>
                <w:sz w:val="12"/>
              </w:rPr>
              <w:t>660.264,16</w:t>
            </w:r>
          </w:p>
        </w:tc>
      </w:tr>
      <w:tr>
        <w:trPr>
          <w:trHeight w:val="152"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2010</w:t>
            </w:r>
          </w:p>
        </w:tc>
        <w:tc>
          <w:tcPr>
            <w:tcW w:w="2850" w:type="dxa"/>
            <w:gridSpan w:val="3"/>
            <w:tcBorders>
              <w:left w:val="single" w:sz="4" w:space="0" w:color="000000"/>
            </w:tcBorders>
          </w:tcPr>
          <w:p>
            <w:pPr>
              <w:pStyle w:val="TableParagraph"/>
              <w:spacing w:line="132" w:lineRule="exact"/>
              <w:ind w:right="47"/>
              <w:jc w:val="right"/>
              <w:rPr>
                <w:sz w:val="12"/>
              </w:rPr>
            </w:pPr>
            <w:r>
              <w:rPr>
                <w:w w:val="105"/>
                <w:sz w:val="12"/>
              </w:rPr>
              <w:t>4.211,08</w:t>
            </w:r>
          </w:p>
        </w:tc>
        <w:tc>
          <w:tcPr>
            <w:tcW w:w="809" w:type="dxa"/>
          </w:tcPr>
          <w:p>
            <w:pPr>
              <w:pStyle w:val="TableParagraph"/>
              <w:spacing w:line="132" w:lineRule="exact"/>
              <w:ind w:right="47"/>
              <w:jc w:val="right"/>
              <w:rPr>
                <w:sz w:val="12"/>
              </w:rPr>
            </w:pPr>
            <w:r>
              <w:rPr>
                <w:w w:val="105"/>
                <w:sz w:val="12"/>
              </w:rPr>
              <w:t>2.338,88</w:t>
            </w:r>
          </w:p>
        </w:tc>
        <w:tc>
          <w:tcPr>
            <w:tcW w:w="1596" w:type="dxa"/>
            <w:gridSpan w:val="2"/>
          </w:tcPr>
          <w:p>
            <w:pPr>
              <w:pStyle w:val="TableParagraph"/>
              <w:spacing w:line="132" w:lineRule="exact"/>
              <w:ind w:right="47"/>
              <w:jc w:val="right"/>
              <w:rPr>
                <w:sz w:val="12"/>
              </w:rPr>
            </w:pPr>
            <w:r>
              <w:rPr>
                <w:w w:val="105"/>
                <w:sz w:val="12"/>
              </w:rPr>
              <w:t>7.137,02</w:t>
            </w:r>
          </w:p>
        </w:tc>
        <w:tc>
          <w:tcPr>
            <w:tcW w:w="774" w:type="dxa"/>
          </w:tcPr>
          <w:p>
            <w:pPr>
              <w:pStyle w:val="TableParagraph"/>
              <w:spacing w:line="132" w:lineRule="exact"/>
              <w:ind w:right="46"/>
              <w:jc w:val="right"/>
              <w:rPr>
                <w:sz w:val="12"/>
              </w:rPr>
            </w:pPr>
            <w:r>
              <w:rPr>
                <w:w w:val="105"/>
                <w:sz w:val="12"/>
              </w:rPr>
              <w:t>106.375,25</w:t>
            </w:r>
          </w:p>
        </w:tc>
        <w:tc>
          <w:tcPr>
            <w:tcW w:w="776" w:type="dxa"/>
          </w:tcPr>
          <w:p>
            <w:pPr>
              <w:pStyle w:val="TableParagraph"/>
              <w:spacing w:line="132" w:lineRule="exact"/>
              <w:ind w:right="48"/>
              <w:jc w:val="right"/>
              <w:rPr>
                <w:sz w:val="12"/>
              </w:rPr>
            </w:pPr>
            <w:r>
              <w:rPr>
                <w:w w:val="105"/>
                <w:sz w:val="12"/>
              </w:rPr>
              <w:t>4.752,06</w:t>
            </w:r>
          </w:p>
        </w:tc>
        <w:tc>
          <w:tcPr>
            <w:tcW w:w="922" w:type="dxa"/>
          </w:tcPr>
          <w:p>
            <w:pPr>
              <w:pStyle w:val="TableParagraph"/>
              <w:spacing w:line="132" w:lineRule="exact"/>
              <w:ind w:right="48"/>
              <w:jc w:val="right"/>
              <w:rPr>
                <w:sz w:val="12"/>
              </w:rPr>
            </w:pPr>
            <w:r>
              <w:rPr>
                <w:w w:val="105"/>
                <w:sz w:val="12"/>
              </w:rPr>
              <w:t>12.489,00</w:t>
            </w:r>
          </w:p>
        </w:tc>
        <w:tc>
          <w:tcPr>
            <w:tcW w:w="662" w:type="dxa"/>
          </w:tcPr>
          <w:p>
            <w:pPr>
              <w:pStyle w:val="TableParagraph"/>
              <w:spacing w:line="132" w:lineRule="exact"/>
              <w:ind w:left="79" w:right="26"/>
              <w:jc w:val="center"/>
              <w:rPr>
                <w:sz w:val="12"/>
              </w:rPr>
            </w:pPr>
            <w:r>
              <w:rPr>
                <w:w w:val="105"/>
                <w:sz w:val="12"/>
              </w:rPr>
              <w:t>46.660,84</w:t>
            </w: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1.169.291,37</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2011</w:t>
            </w:r>
          </w:p>
        </w:tc>
        <w:tc>
          <w:tcPr>
            <w:tcW w:w="2850" w:type="dxa"/>
            <w:gridSpan w:val="3"/>
            <w:tcBorders>
              <w:left w:val="single" w:sz="4" w:space="0" w:color="000000"/>
            </w:tcBorders>
          </w:tcPr>
          <w:p>
            <w:pPr>
              <w:pStyle w:val="TableParagraph"/>
              <w:spacing w:line="132" w:lineRule="exact"/>
              <w:ind w:right="47"/>
              <w:jc w:val="right"/>
              <w:rPr>
                <w:sz w:val="12"/>
              </w:rPr>
            </w:pPr>
            <w:r>
              <w:rPr>
                <w:w w:val="105"/>
                <w:sz w:val="12"/>
              </w:rPr>
              <w:t>28.779,08</w:t>
            </w:r>
          </w:p>
        </w:tc>
        <w:tc>
          <w:tcPr>
            <w:tcW w:w="809" w:type="dxa"/>
          </w:tcPr>
          <w:p>
            <w:pPr>
              <w:pStyle w:val="TableParagraph"/>
              <w:rPr>
                <w:rFonts w:ascii="Times New Roman"/>
                <w:sz w:val="8"/>
              </w:rPr>
            </w:pPr>
          </w:p>
        </w:tc>
        <w:tc>
          <w:tcPr>
            <w:tcW w:w="1596" w:type="dxa"/>
            <w:gridSpan w:val="2"/>
          </w:tcPr>
          <w:p>
            <w:pPr>
              <w:pStyle w:val="TableParagraph"/>
              <w:spacing w:line="132" w:lineRule="exact"/>
              <w:ind w:right="47"/>
              <w:jc w:val="right"/>
              <w:rPr>
                <w:sz w:val="12"/>
              </w:rPr>
            </w:pPr>
            <w:r>
              <w:rPr>
                <w:w w:val="105"/>
                <w:sz w:val="12"/>
              </w:rPr>
              <w:t>3.514,42</w:t>
            </w:r>
          </w:p>
        </w:tc>
        <w:tc>
          <w:tcPr>
            <w:tcW w:w="774" w:type="dxa"/>
          </w:tcPr>
          <w:p>
            <w:pPr>
              <w:pStyle w:val="TableParagraph"/>
              <w:spacing w:line="132" w:lineRule="exact"/>
              <w:ind w:right="46"/>
              <w:jc w:val="right"/>
              <w:rPr>
                <w:sz w:val="12"/>
              </w:rPr>
            </w:pPr>
            <w:r>
              <w:rPr>
                <w:w w:val="105"/>
                <w:sz w:val="12"/>
              </w:rPr>
              <w:t>1.501,00</w:t>
            </w:r>
          </w:p>
        </w:tc>
        <w:tc>
          <w:tcPr>
            <w:tcW w:w="776" w:type="dxa"/>
          </w:tcPr>
          <w:p>
            <w:pPr>
              <w:pStyle w:val="TableParagraph"/>
              <w:spacing w:line="132" w:lineRule="exact"/>
              <w:ind w:right="48"/>
              <w:jc w:val="right"/>
              <w:rPr>
                <w:sz w:val="12"/>
              </w:rPr>
            </w:pPr>
            <w:r>
              <w:rPr>
                <w:w w:val="105"/>
                <w:sz w:val="12"/>
              </w:rPr>
              <w:t>30.845,87</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1.798.153,99</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2012</w:t>
            </w:r>
          </w:p>
        </w:tc>
        <w:tc>
          <w:tcPr>
            <w:tcW w:w="2850" w:type="dxa"/>
            <w:gridSpan w:val="3"/>
            <w:tcBorders>
              <w:left w:val="single" w:sz="4" w:space="0" w:color="000000"/>
            </w:tcBorders>
          </w:tcPr>
          <w:p>
            <w:pPr>
              <w:pStyle w:val="TableParagraph"/>
              <w:spacing w:line="132" w:lineRule="exact"/>
              <w:ind w:right="47"/>
              <w:jc w:val="right"/>
              <w:rPr>
                <w:sz w:val="12"/>
              </w:rPr>
            </w:pPr>
            <w:r>
              <w:rPr>
                <w:w w:val="105"/>
                <w:sz w:val="12"/>
              </w:rPr>
              <w:t>418.174,81</w:t>
            </w:r>
          </w:p>
        </w:tc>
        <w:tc>
          <w:tcPr>
            <w:tcW w:w="809" w:type="dxa"/>
          </w:tcPr>
          <w:p>
            <w:pPr>
              <w:pStyle w:val="TableParagraph"/>
              <w:rPr>
                <w:rFonts w:ascii="Times New Roman"/>
                <w:sz w:val="8"/>
              </w:rPr>
            </w:pPr>
          </w:p>
        </w:tc>
        <w:tc>
          <w:tcPr>
            <w:tcW w:w="1596" w:type="dxa"/>
            <w:gridSpan w:val="2"/>
          </w:tcPr>
          <w:p>
            <w:pPr>
              <w:pStyle w:val="TableParagraph"/>
              <w:spacing w:line="132" w:lineRule="exact"/>
              <w:ind w:left="1041"/>
              <w:rPr>
                <w:sz w:val="12"/>
              </w:rPr>
            </w:pPr>
            <w:r>
              <w:rPr>
                <w:w w:val="105"/>
                <w:sz w:val="12"/>
              </w:rPr>
              <w:t>25.838,08</w:t>
            </w:r>
          </w:p>
        </w:tc>
        <w:tc>
          <w:tcPr>
            <w:tcW w:w="774" w:type="dxa"/>
          </w:tcPr>
          <w:p>
            <w:pPr>
              <w:pStyle w:val="TableParagraph"/>
              <w:spacing w:line="132" w:lineRule="exact"/>
              <w:ind w:right="46"/>
              <w:jc w:val="right"/>
              <w:rPr>
                <w:sz w:val="12"/>
              </w:rPr>
            </w:pPr>
            <w:r>
              <w:rPr>
                <w:w w:val="105"/>
                <w:sz w:val="12"/>
              </w:rPr>
              <w:t>18.201,00</w:t>
            </w:r>
          </w:p>
        </w:tc>
        <w:tc>
          <w:tcPr>
            <w:tcW w:w="776" w:type="dxa"/>
          </w:tcPr>
          <w:p>
            <w:pPr>
              <w:pStyle w:val="TableParagraph"/>
              <w:spacing w:line="132" w:lineRule="exact"/>
              <w:ind w:right="48"/>
              <w:jc w:val="right"/>
              <w:rPr>
                <w:sz w:val="12"/>
              </w:rPr>
            </w:pPr>
            <w:r>
              <w:rPr>
                <w:w w:val="105"/>
                <w:sz w:val="12"/>
              </w:rPr>
              <w:t>34.791,98</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spacing w:line="132" w:lineRule="exact"/>
              <w:ind w:right="47"/>
              <w:jc w:val="right"/>
              <w:rPr>
                <w:sz w:val="12"/>
              </w:rPr>
            </w:pPr>
            <w:r>
              <w:rPr>
                <w:w w:val="105"/>
                <w:sz w:val="12"/>
              </w:rPr>
              <w:t>47.016,70</w:t>
            </w:r>
          </w:p>
        </w:tc>
        <w:tc>
          <w:tcPr>
            <w:tcW w:w="837" w:type="dxa"/>
            <w:tcBorders>
              <w:right w:val="single" w:sz="4" w:space="0" w:color="000000"/>
            </w:tcBorders>
            <w:shd w:val="clear" w:color="auto" w:fill="D9E0F1"/>
          </w:tcPr>
          <w:p>
            <w:pPr>
              <w:pStyle w:val="TableParagraph"/>
              <w:spacing w:line="132" w:lineRule="exact"/>
              <w:ind w:right="42"/>
              <w:jc w:val="right"/>
              <w:rPr>
                <w:sz w:val="12"/>
              </w:rPr>
            </w:pPr>
            <w:r>
              <w:rPr>
                <w:w w:val="105"/>
                <w:sz w:val="12"/>
              </w:rPr>
              <w:t>2.057.977,12</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2013</w:t>
            </w:r>
          </w:p>
        </w:tc>
        <w:tc>
          <w:tcPr>
            <w:tcW w:w="2850" w:type="dxa"/>
            <w:gridSpan w:val="3"/>
            <w:tcBorders>
              <w:left w:val="single" w:sz="4" w:space="0" w:color="000000"/>
            </w:tcBorders>
          </w:tcPr>
          <w:p>
            <w:pPr>
              <w:pStyle w:val="TableParagraph"/>
              <w:spacing w:line="132" w:lineRule="exact"/>
              <w:ind w:right="47"/>
              <w:jc w:val="right"/>
              <w:rPr>
                <w:sz w:val="12"/>
              </w:rPr>
            </w:pPr>
            <w:r>
              <w:rPr>
                <w:w w:val="105"/>
                <w:sz w:val="12"/>
              </w:rPr>
              <w:t>9.586,50</w:t>
            </w:r>
          </w:p>
        </w:tc>
        <w:tc>
          <w:tcPr>
            <w:tcW w:w="809" w:type="dxa"/>
          </w:tcPr>
          <w:p>
            <w:pPr>
              <w:pStyle w:val="TableParagraph"/>
              <w:rPr>
                <w:rFonts w:ascii="Times New Roman"/>
                <w:sz w:val="8"/>
              </w:rPr>
            </w:pPr>
          </w:p>
        </w:tc>
        <w:tc>
          <w:tcPr>
            <w:tcW w:w="1596" w:type="dxa"/>
            <w:gridSpan w:val="2"/>
          </w:tcPr>
          <w:p>
            <w:pPr>
              <w:pStyle w:val="TableParagraph"/>
              <w:spacing w:line="132" w:lineRule="exact"/>
              <w:ind w:right="47"/>
              <w:jc w:val="right"/>
              <w:rPr>
                <w:sz w:val="12"/>
              </w:rPr>
            </w:pPr>
            <w:r>
              <w:rPr>
                <w:w w:val="105"/>
                <w:sz w:val="12"/>
              </w:rPr>
              <w:t>1.424,66</w:t>
            </w:r>
          </w:p>
        </w:tc>
        <w:tc>
          <w:tcPr>
            <w:tcW w:w="774" w:type="dxa"/>
          </w:tcPr>
          <w:p>
            <w:pPr>
              <w:pStyle w:val="TableParagraph"/>
              <w:spacing w:line="132" w:lineRule="exact"/>
              <w:ind w:right="46"/>
              <w:jc w:val="right"/>
              <w:rPr>
                <w:sz w:val="12"/>
              </w:rPr>
            </w:pPr>
            <w:r>
              <w:rPr>
                <w:sz w:val="12"/>
              </w:rPr>
              <w:t>780,00</w:t>
            </w:r>
          </w:p>
        </w:tc>
        <w:tc>
          <w:tcPr>
            <w:tcW w:w="776" w:type="dxa"/>
          </w:tcPr>
          <w:p>
            <w:pPr>
              <w:pStyle w:val="TableParagraph"/>
              <w:spacing w:line="132" w:lineRule="exact"/>
              <w:ind w:right="48"/>
              <w:jc w:val="right"/>
              <w:rPr>
                <w:sz w:val="12"/>
              </w:rPr>
            </w:pPr>
            <w:r>
              <w:rPr>
                <w:w w:val="105"/>
                <w:sz w:val="12"/>
              </w:rPr>
              <w:t>15.903,54</w:t>
            </w: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spacing w:line="132" w:lineRule="exact"/>
              <w:ind w:right="47"/>
              <w:jc w:val="right"/>
              <w:rPr>
                <w:sz w:val="12"/>
              </w:rPr>
            </w:pPr>
            <w:r>
              <w:rPr>
                <w:w w:val="105"/>
                <w:sz w:val="12"/>
              </w:rPr>
              <w:t>1.000,00</w:t>
            </w:r>
          </w:p>
        </w:tc>
        <w:tc>
          <w:tcPr>
            <w:tcW w:w="837" w:type="dxa"/>
            <w:tcBorders>
              <w:right w:val="single" w:sz="4" w:space="0" w:color="000000"/>
            </w:tcBorders>
            <w:shd w:val="clear" w:color="auto" w:fill="D9E0F1"/>
          </w:tcPr>
          <w:p>
            <w:pPr>
              <w:pStyle w:val="TableParagraph"/>
              <w:spacing w:line="132" w:lineRule="exact"/>
              <w:ind w:right="43"/>
              <w:jc w:val="right"/>
              <w:rPr>
                <w:sz w:val="12"/>
              </w:rPr>
            </w:pPr>
            <w:r>
              <w:rPr>
                <w:w w:val="105"/>
                <w:sz w:val="12"/>
              </w:rPr>
              <w:t>427.212,31</w:t>
            </w:r>
          </w:p>
        </w:tc>
      </w:tr>
      <w:tr>
        <w:trPr>
          <w:trHeight w:val="140" w:hRule="atLeast"/>
        </w:trPr>
        <w:tc>
          <w:tcPr>
            <w:tcW w:w="1262" w:type="dxa"/>
            <w:tcBorders>
              <w:left w:val="single" w:sz="4" w:space="0" w:color="000000"/>
              <w:right w:val="single" w:sz="4" w:space="0" w:color="000000"/>
            </w:tcBorders>
          </w:tcPr>
          <w:p>
            <w:pPr>
              <w:pStyle w:val="TableParagraph"/>
              <w:spacing w:line="120" w:lineRule="exact"/>
              <w:ind w:left="25" w:right="15"/>
              <w:jc w:val="center"/>
              <w:rPr>
                <w:sz w:val="12"/>
              </w:rPr>
            </w:pPr>
            <w:r>
              <w:rPr>
                <w:w w:val="105"/>
                <w:sz w:val="12"/>
              </w:rPr>
              <w:t>2014</w:t>
            </w:r>
          </w:p>
        </w:tc>
        <w:tc>
          <w:tcPr>
            <w:tcW w:w="2850" w:type="dxa"/>
            <w:gridSpan w:val="3"/>
            <w:tcBorders>
              <w:left w:val="single" w:sz="4" w:space="0" w:color="000000"/>
            </w:tcBorders>
          </w:tcPr>
          <w:p>
            <w:pPr>
              <w:pStyle w:val="TableParagraph"/>
              <w:spacing w:line="120" w:lineRule="exact"/>
              <w:ind w:right="47"/>
              <w:jc w:val="right"/>
              <w:rPr>
                <w:sz w:val="12"/>
              </w:rPr>
            </w:pPr>
            <w:r>
              <w:rPr>
                <w:w w:val="105"/>
                <w:sz w:val="12"/>
              </w:rPr>
              <w:t>3.738,43</w:t>
            </w:r>
          </w:p>
        </w:tc>
        <w:tc>
          <w:tcPr>
            <w:tcW w:w="809" w:type="dxa"/>
          </w:tcPr>
          <w:p>
            <w:pPr>
              <w:pStyle w:val="TableParagraph"/>
              <w:rPr>
                <w:rFonts w:ascii="Times New Roman"/>
                <w:sz w:val="8"/>
              </w:rPr>
            </w:pPr>
          </w:p>
        </w:tc>
        <w:tc>
          <w:tcPr>
            <w:tcW w:w="1596" w:type="dxa"/>
            <w:gridSpan w:val="2"/>
          </w:tcPr>
          <w:p>
            <w:pPr>
              <w:pStyle w:val="TableParagraph"/>
              <w:spacing w:line="120" w:lineRule="exact"/>
              <w:ind w:left="977"/>
              <w:rPr>
                <w:sz w:val="12"/>
              </w:rPr>
            </w:pPr>
            <w:r>
              <w:rPr>
                <w:w w:val="105"/>
                <w:sz w:val="12"/>
              </w:rPr>
              <w:t>175.466,65</w:t>
            </w:r>
          </w:p>
        </w:tc>
        <w:tc>
          <w:tcPr>
            <w:tcW w:w="774" w:type="dxa"/>
          </w:tcPr>
          <w:p>
            <w:pPr>
              <w:pStyle w:val="TableParagraph"/>
              <w:spacing w:line="120" w:lineRule="exact"/>
              <w:ind w:right="46"/>
              <w:jc w:val="right"/>
              <w:rPr>
                <w:sz w:val="12"/>
              </w:rPr>
            </w:pPr>
            <w:r>
              <w:rPr>
                <w:w w:val="105"/>
                <w:sz w:val="12"/>
              </w:rPr>
              <w:t>16.290,00</w:t>
            </w:r>
          </w:p>
        </w:tc>
        <w:tc>
          <w:tcPr>
            <w:tcW w:w="776" w:type="dxa"/>
          </w:tcPr>
          <w:p>
            <w:pPr>
              <w:pStyle w:val="TableParagraph"/>
              <w:rPr>
                <w:rFonts w:ascii="Times New Roman"/>
                <w:sz w:val="8"/>
              </w:rPr>
            </w:pPr>
          </w:p>
        </w:tc>
        <w:tc>
          <w:tcPr>
            <w:tcW w:w="922" w:type="dxa"/>
          </w:tcPr>
          <w:p>
            <w:pPr>
              <w:pStyle w:val="TableParagraph"/>
              <w:rPr>
                <w:rFonts w:ascii="Times New Roman"/>
                <w:sz w:val="8"/>
              </w:rPr>
            </w:pP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9E0F1"/>
          </w:tcPr>
          <w:p>
            <w:pPr>
              <w:pStyle w:val="TableParagraph"/>
              <w:spacing w:line="120" w:lineRule="exact"/>
              <w:ind w:right="43"/>
              <w:jc w:val="right"/>
              <w:rPr>
                <w:sz w:val="12"/>
              </w:rPr>
            </w:pPr>
            <w:r>
              <w:rPr>
                <w:w w:val="105"/>
                <w:sz w:val="12"/>
              </w:rPr>
              <w:t>890.756,01</w:t>
            </w:r>
          </w:p>
        </w:tc>
      </w:tr>
      <w:tr>
        <w:trPr>
          <w:trHeight w:val="162" w:hRule="atLeast"/>
        </w:trPr>
        <w:tc>
          <w:tcPr>
            <w:tcW w:w="1262" w:type="dxa"/>
            <w:tcBorders>
              <w:left w:val="single" w:sz="4" w:space="0" w:color="000000"/>
              <w:right w:val="single" w:sz="4" w:space="0" w:color="000000"/>
            </w:tcBorders>
          </w:tcPr>
          <w:p>
            <w:pPr>
              <w:pStyle w:val="TableParagraph"/>
              <w:spacing w:line="139" w:lineRule="exact" w:before="3"/>
              <w:ind w:left="25" w:right="15"/>
              <w:jc w:val="center"/>
              <w:rPr>
                <w:sz w:val="12"/>
              </w:rPr>
            </w:pPr>
            <w:r>
              <w:rPr>
                <w:w w:val="105"/>
                <w:sz w:val="12"/>
              </w:rPr>
              <w:t>2015</w:t>
            </w:r>
          </w:p>
        </w:tc>
        <w:tc>
          <w:tcPr>
            <w:tcW w:w="2850" w:type="dxa"/>
            <w:gridSpan w:val="3"/>
            <w:tcBorders>
              <w:left w:val="single" w:sz="4" w:space="0" w:color="000000"/>
            </w:tcBorders>
          </w:tcPr>
          <w:p>
            <w:pPr>
              <w:pStyle w:val="TableParagraph"/>
              <w:spacing w:line="139" w:lineRule="exact" w:before="3"/>
              <w:ind w:right="47"/>
              <w:jc w:val="right"/>
              <w:rPr>
                <w:sz w:val="12"/>
              </w:rPr>
            </w:pPr>
            <w:r>
              <w:rPr>
                <w:w w:val="105"/>
                <w:sz w:val="12"/>
              </w:rPr>
              <w:t>22.668,85</w:t>
            </w:r>
          </w:p>
        </w:tc>
        <w:tc>
          <w:tcPr>
            <w:tcW w:w="809" w:type="dxa"/>
          </w:tcPr>
          <w:p>
            <w:pPr>
              <w:pStyle w:val="TableParagraph"/>
              <w:spacing w:line="139" w:lineRule="exact" w:before="3"/>
              <w:ind w:right="47"/>
              <w:jc w:val="right"/>
              <w:rPr>
                <w:sz w:val="12"/>
              </w:rPr>
            </w:pPr>
            <w:r>
              <w:rPr>
                <w:w w:val="105"/>
                <w:sz w:val="12"/>
              </w:rPr>
              <w:t>8.142,13</w:t>
            </w:r>
          </w:p>
        </w:tc>
        <w:tc>
          <w:tcPr>
            <w:tcW w:w="1596" w:type="dxa"/>
            <w:gridSpan w:val="2"/>
          </w:tcPr>
          <w:p>
            <w:pPr>
              <w:pStyle w:val="TableParagraph"/>
              <w:spacing w:line="139" w:lineRule="exact" w:before="3"/>
              <w:ind w:right="47"/>
              <w:jc w:val="right"/>
              <w:rPr>
                <w:sz w:val="12"/>
              </w:rPr>
            </w:pPr>
            <w:r>
              <w:rPr>
                <w:w w:val="105"/>
                <w:sz w:val="12"/>
              </w:rPr>
              <w:t>1.187,62</w:t>
            </w:r>
          </w:p>
        </w:tc>
        <w:tc>
          <w:tcPr>
            <w:tcW w:w="774" w:type="dxa"/>
          </w:tcPr>
          <w:p>
            <w:pPr>
              <w:pStyle w:val="TableParagraph"/>
              <w:spacing w:line="139" w:lineRule="exact" w:before="3"/>
              <w:ind w:right="46"/>
              <w:jc w:val="right"/>
              <w:rPr>
                <w:sz w:val="12"/>
              </w:rPr>
            </w:pPr>
            <w:r>
              <w:rPr>
                <w:w w:val="105"/>
                <w:sz w:val="12"/>
              </w:rPr>
              <w:t>20.600,00</w:t>
            </w:r>
          </w:p>
        </w:tc>
        <w:tc>
          <w:tcPr>
            <w:tcW w:w="776" w:type="dxa"/>
          </w:tcPr>
          <w:p>
            <w:pPr>
              <w:pStyle w:val="TableParagraph"/>
              <w:spacing w:line="139" w:lineRule="exact" w:before="3"/>
              <w:ind w:right="48"/>
              <w:jc w:val="right"/>
              <w:rPr>
                <w:sz w:val="12"/>
              </w:rPr>
            </w:pPr>
            <w:r>
              <w:rPr>
                <w:w w:val="105"/>
                <w:sz w:val="12"/>
              </w:rPr>
              <w:t>68.631,60</w:t>
            </w:r>
          </w:p>
        </w:tc>
        <w:tc>
          <w:tcPr>
            <w:tcW w:w="922" w:type="dxa"/>
          </w:tcPr>
          <w:p>
            <w:pPr>
              <w:pStyle w:val="TableParagraph"/>
              <w:rPr>
                <w:rFonts w:ascii="Times New Roman"/>
                <w:sz w:val="10"/>
              </w:rPr>
            </w:pPr>
          </w:p>
        </w:tc>
        <w:tc>
          <w:tcPr>
            <w:tcW w:w="662" w:type="dxa"/>
          </w:tcPr>
          <w:p>
            <w:pPr>
              <w:pStyle w:val="TableParagraph"/>
              <w:rPr>
                <w:rFonts w:ascii="Times New Roman"/>
                <w:sz w:val="10"/>
              </w:rPr>
            </w:pPr>
          </w:p>
        </w:tc>
        <w:tc>
          <w:tcPr>
            <w:tcW w:w="660" w:type="dxa"/>
          </w:tcPr>
          <w:p>
            <w:pPr>
              <w:pStyle w:val="TableParagraph"/>
              <w:rPr>
                <w:rFonts w:ascii="Times New Roman"/>
                <w:sz w:val="10"/>
              </w:rPr>
            </w:pPr>
          </w:p>
        </w:tc>
        <w:tc>
          <w:tcPr>
            <w:tcW w:w="837" w:type="dxa"/>
            <w:tcBorders>
              <w:right w:val="single" w:sz="4" w:space="0" w:color="000000"/>
            </w:tcBorders>
            <w:shd w:val="clear" w:color="auto" w:fill="DEEAF6"/>
          </w:tcPr>
          <w:p>
            <w:pPr>
              <w:pStyle w:val="TableParagraph"/>
              <w:spacing w:line="139" w:lineRule="exact" w:before="3"/>
              <w:ind w:right="42"/>
              <w:jc w:val="right"/>
              <w:rPr>
                <w:sz w:val="12"/>
              </w:rPr>
            </w:pPr>
            <w:r>
              <w:rPr>
                <w:w w:val="105"/>
                <w:sz w:val="12"/>
              </w:rPr>
              <w:t>1.717.154,46</w:t>
            </w:r>
          </w:p>
        </w:tc>
      </w:tr>
      <w:tr>
        <w:trPr>
          <w:trHeight w:val="139" w:hRule="atLeast"/>
        </w:trPr>
        <w:tc>
          <w:tcPr>
            <w:tcW w:w="1262" w:type="dxa"/>
            <w:tcBorders>
              <w:left w:val="single" w:sz="4" w:space="0" w:color="000000"/>
              <w:bottom w:val="single" w:sz="4" w:space="0" w:color="000000"/>
              <w:right w:val="single" w:sz="4" w:space="0" w:color="000000"/>
            </w:tcBorders>
          </w:tcPr>
          <w:p>
            <w:pPr>
              <w:pStyle w:val="TableParagraph"/>
              <w:spacing w:line="120" w:lineRule="exact"/>
              <w:ind w:left="25" w:right="15"/>
              <w:jc w:val="center"/>
              <w:rPr>
                <w:sz w:val="12"/>
              </w:rPr>
            </w:pPr>
            <w:r>
              <w:rPr>
                <w:w w:val="105"/>
                <w:sz w:val="12"/>
              </w:rPr>
              <w:t>2016</w:t>
            </w:r>
          </w:p>
        </w:tc>
        <w:tc>
          <w:tcPr>
            <w:tcW w:w="2850" w:type="dxa"/>
            <w:gridSpan w:val="3"/>
            <w:tcBorders>
              <w:left w:val="single" w:sz="4" w:space="0" w:color="000000"/>
              <w:bottom w:val="single" w:sz="4" w:space="0" w:color="000000"/>
            </w:tcBorders>
          </w:tcPr>
          <w:p>
            <w:pPr>
              <w:pStyle w:val="TableParagraph"/>
              <w:spacing w:line="120" w:lineRule="exact"/>
              <w:ind w:right="47"/>
              <w:jc w:val="right"/>
              <w:rPr>
                <w:sz w:val="12"/>
              </w:rPr>
            </w:pPr>
            <w:r>
              <w:rPr>
                <w:sz w:val="12"/>
              </w:rPr>
              <w:t>631,30</w:t>
            </w:r>
          </w:p>
        </w:tc>
        <w:tc>
          <w:tcPr>
            <w:tcW w:w="809" w:type="dxa"/>
            <w:tcBorders>
              <w:bottom w:val="single" w:sz="4" w:space="0" w:color="000000"/>
            </w:tcBorders>
          </w:tcPr>
          <w:p>
            <w:pPr>
              <w:pStyle w:val="TableParagraph"/>
              <w:rPr>
                <w:rFonts w:ascii="Times New Roman"/>
                <w:sz w:val="8"/>
              </w:rPr>
            </w:pPr>
          </w:p>
        </w:tc>
        <w:tc>
          <w:tcPr>
            <w:tcW w:w="1596" w:type="dxa"/>
            <w:gridSpan w:val="2"/>
            <w:tcBorders>
              <w:bottom w:val="single" w:sz="4" w:space="0" w:color="000000"/>
            </w:tcBorders>
          </w:tcPr>
          <w:p>
            <w:pPr>
              <w:pStyle w:val="TableParagraph"/>
              <w:spacing w:line="120" w:lineRule="exact"/>
              <w:ind w:right="47"/>
              <w:jc w:val="right"/>
              <w:rPr>
                <w:sz w:val="12"/>
              </w:rPr>
            </w:pPr>
            <w:r>
              <w:rPr>
                <w:w w:val="105"/>
                <w:sz w:val="12"/>
              </w:rPr>
              <w:t>5.416,64</w:t>
            </w:r>
          </w:p>
        </w:tc>
        <w:tc>
          <w:tcPr>
            <w:tcW w:w="774" w:type="dxa"/>
            <w:tcBorders>
              <w:bottom w:val="single" w:sz="4" w:space="0" w:color="000000"/>
            </w:tcBorders>
          </w:tcPr>
          <w:p>
            <w:pPr>
              <w:pStyle w:val="TableParagraph"/>
              <w:spacing w:line="120" w:lineRule="exact"/>
              <w:ind w:right="46"/>
              <w:jc w:val="right"/>
              <w:rPr>
                <w:sz w:val="12"/>
              </w:rPr>
            </w:pPr>
            <w:r>
              <w:rPr>
                <w:sz w:val="12"/>
              </w:rPr>
              <w:t>360,00</w:t>
            </w:r>
          </w:p>
        </w:tc>
        <w:tc>
          <w:tcPr>
            <w:tcW w:w="776" w:type="dxa"/>
            <w:tcBorders>
              <w:bottom w:val="single" w:sz="4" w:space="0" w:color="000000"/>
            </w:tcBorders>
          </w:tcPr>
          <w:p>
            <w:pPr>
              <w:pStyle w:val="TableParagraph"/>
              <w:spacing w:line="120" w:lineRule="exact"/>
              <w:ind w:right="48"/>
              <w:jc w:val="right"/>
              <w:rPr>
                <w:sz w:val="12"/>
              </w:rPr>
            </w:pPr>
            <w:r>
              <w:rPr>
                <w:w w:val="105"/>
                <w:sz w:val="12"/>
              </w:rPr>
              <w:t>26.268,75</w:t>
            </w:r>
          </w:p>
        </w:tc>
        <w:tc>
          <w:tcPr>
            <w:tcW w:w="922" w:type="dxa"/>
            <w:tcBorders>
              <w:bottom w:val="single" w:sz="4" w:space="0" w:color="000000"/>
            </w:tcBorders>
          </w:tcPr>
          <w:p>
            <w:pPr>
              <w:pStyle w:val="TableParagraph"/>
              <w:rPr>
                <w:rFonts w:ascii="Times New Roman"/>
                <w:sz w:val="8"/>
              </w:rPr>
            </w:pPr>
          </w:p>
        </w:tc>
        <w:tc>
          <w:tcPr>
            <w:tcW w:w="662" w:type="dxa"/>
            <w:tcBorders>
              <w:bottom w:val="single" w:sz="4" w:space="0" w:color="000000"/>
            </w:tcBorders>
          </w:tcPr>
          <w:p>
            <w:pPr>
              <w:pStyle w:val="TableParagraph"/>
              <w:rPr>
                <w:rFonts w:ascii="Times New Roman"/>
                <w:sz w:val="8"/>
              </w:rPr>
            </w:pPr>
          </w:p>
        </w:tc>
        <w:tc>
          <w:tcPr>
            <w:tcW w:w="660" w:type="dxa"/>
            <w:tcBorders>
              <w:bottom w:val="single" w:sz="4" w:space="0" w:color="000000"/>
            </w:tcBorders>
          </w:tcPr>
          <w:p>
            <w:pPr>
              <w:pStyle w:val="TableParagraph"/>
              <w:rPr>
                <w:rFonts w:ascii="Times New Roman"/>
                <w:sz w:val="8"/>
              </w:rPr>
            </w:pPr>
          </w:p>
        </w:tc>
        <w:tc>
          <w:tcPr>
            <w:tcW w:w="837" w:type="dxa"/>
            <w:tcBorders>
              <w:bottom w:val="single" w:sz="4" w:space="0" w:color="000000"/>
              <w:right w:val="single" w:sz="4" w:space="0" w:color="000000"/>
            </w:tcBorders>
            <w:shd w:val="clear" w:color="auto" w:fill="DEEAF6"/>
          </w:tcPr>
          <w:p>
            <w:pPr>
              <w:pStyle w:val="TableParagraph"/>
              <w:spacing w:line="120" w:lineRule="exact"/>
              <w:ind w:right="42"/>
              <w:jc w:val="right"/>
              <w:rPr>
                <w:sz w:val="12"/>
              </w:rPr>
            </w:pPr>
            <w:r>
              <w:rPr>
                <w:w w:val="105"/>
                <w:sz w:val="12"/>
              </w:rPr>
              <w:t>1.381.076,92</w:t>
            </w:r>
          </w:p>
        </w:tc>
      </w:tr>
    </w:tbl>
    <w:p>
      <w:pPr>
        <w:spacing w:before="43"/>
        <w:ind w:left="10855" w:right="1577" w:firstLine="0"/>
        <w:jc w:val="center"/>
        <w:rPr>
          <w:sz w:val="18"/>
        </w:rPr>
      </w:pPr>
      <w:r>
        <w:rPr>
          <w:w w:val="105"/>
          <w:sz w:val="18"/>
        </w:rPr>
        <w:t>174</w:t>
      </w:r>
    </w:p>
    <w:p>
      <w:pPr>
        <w:spacing w:before="7"/>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73" name="image5.png"/>
                  <wp:cNvGraphicFramePr>
                    <a:graphicFrameLocks noChangeAspect="1"/>
                  </wp:cNvGraphicFramePr>
                  <a:graphic>
                    <a:graphicData uri="http://schemas.openxmlformats.org/drawingml/2006/picture">
                      <pic:pic>
                        <pic:nvPicPr>
                          <pic:cNvPr id="37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176/247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11:14:27</w:t>
            </w:r>
          </w:p>
        </w:tc>
        <w:tc>
          <w:tcPr>
            <w:tcW w:w="1442" w:type="dxa"/>
            <w:vMerge/>
            <w:tcBorders>
              <w:top w:val="nil"/>
            </w:tcBorders>
          </w:tcPr>
          <w:p>
            <w:pPr>
              <w:rPr>
                <w:sz w:val="2"/>
                <w:szCs w:val="2"/>
              </w:rPr>
            </w:pPr>
          </w:p>
        </w:tc>
      </w:tr>
    </w:tbl>
    <w:p>
      <w:pPr>
        <w:spacing w:after="0"/>
        <w:rPr>
          <w:sz w:val="2"/>
          <w:szCs w:val="2"/>
        </w:rPr>
        <w:sectPr>
          <w:headerReference w:type="default" r:id="rId35"/>
          <w:footerReference w:type="default" r:id="rId36"/>
          <w:pgSz w:w="16840" w:h="11900" w:orient="landscape"/>
          <w:pgMar w:header="797" w:footer="1006" w:top="1620" w:bottom="1200" w:left="1160" w:right="1160"/>
        </w:sectPr>
      </w:pPr>
    </w:p>
    <w:p>
      <w:pPr>
        <w:pStyle w:val="BodyText"/>
        <w:rPr>
          <w:b/>
          <w:sz w:val="13"/>
        </w:rPr>
      </w:pPr>
    </w:p>
    <w:tbl>
      <w:tblPr>
        <w:tblW w:w="0" w:type="auto"/>
        <w:jc w:val="left"/>
        <w:tblInd w:w="1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2"/>
        <w:gridCol w:w="1159"/>
        <w:gridCol w:w="882"/>
        <w:gridCol w:w="809"/>
        <w:gridCol w:w="809"/>
        <w:gridCol w:w="917"/>
        <w:gridCol w:w="679"/>
        <w:gridCol w:w="774"/>
        <w:gridCol w:w="776"/>
        <w:gridCol w:w="922"/>
        <w:gridCol w:w="662"/>
        <w:gridCol w:w="660"/>
        <w:gridCol w:w="837"/>
      </w:tblGrid>
      <w:tr>
        <w:trPr>
          <w:trHeight w:val="454" w:hRule="atLeast"/>
        </w:trPr>
        <w:tc>
          <w:tcPr>
            <w:tcW w:w="126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8"/>
              <w:rPr>
                <w:b/>
                <w:sz w:val="12"/>
              </w:rPr>
            </w:pPr>
          </w:p>
          <w:p>
            <w:pPr>
              <w:pStyle w:val="TableParagraph"/>
              <w:ind w:left="23" w:right="16"/>
              <w:jc w:val="center"/>
              <w:rPr>
                <w:b/>
                <w:sz w:val="12"/>
              </w:rPr>
            </w:pPr>
            <w:r>
              <w:rPr>
                <w:b/>
                <w:w w:val="105"/>
                <w:sz w:val="12"/>
              </w:rPr>
              <w:t>Descripción</w:t>
            </w:r>
          </w:p>
        </w:tc>
        <w:tc>
          <w:tcPr>
            <w:tcW w:w="115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3"/>
              <w:ind w:left="161" w:hanging="92"/>
              <w:rPr>
                <w:b/>
                <w:sz w:val="12"/>
              </w:rPr>
            </w:pPr>
            <w:r>
              <w:rPr>
                <w:b/>
                <w:w w:val="105"/>
                <w:sz w:val="12"/>
              </w:rPr>
              <w:t>Ingresos inherentes</w:t>
            </w:r>
          </w:p>
          <w:p>
            <w:pPr>
              <w:pStyle w:val="TableParagraph"/>
              <w:spacing w:line="150" w:lineRule="atLeast" w:before="1"/>
              <w:ind w:left="379" w:hanging="219"/>
              <w:rPr>
                <w:b/>
                <w:sz w:val="12"/>
              </w:rPr>
            </w:pPr>
            <w:r>
              <w:rPr>
                <w:b/>
                <w:w w:val="105"/>
                <w:sz w:val="12"/>
              </w:rPr>
              <w:t>gestión compet. puertos</w:t>
            </w:r>
          </w:p>
        </w:tc>
        <w:tc>
          <w:tcPr>
            <w:tcW w:w="88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3"/>
              <w:ind w:left="161" w:firstLine="61"/>
              <w:rPr>
                <w:b/>
                <w:sz w:val="12"/>
              </w:rPr>
            </w:pPr>
            <w:r>
              <w:rPr>
                <w:b/>
                <w:w w:val="105"/>
                <w:sz w:val="12"/>
              </w:rPr>
              <w:t>Ingresos</w:t>
            </w:r>
          </w:p>
          <w:p>
            <w:pPr>
              <w:pStyle w:val="TableParagraph"/>
              <w:spacing w:line="150" w:lineRule="atLeast" w:before="1"/>
              <w:ind w:left="85" w:firstLine="76"/>
              <w:rPr>
                <w:b/>
                <w:sz w:val="12"/>
              </w:rPr>
            </w:pPr>
            <w:r>
              <w:rPr>
                <w:b/>
                <w:w w:val="105"/>
                <w:sz w:val="12"/>
              </w:rPr>
              <w:t>inherentes gestión labor.</w:t>
            </w:r>
          </w:p>
        </w:tc>
        <w:tc>
          <w:tcPr>
            <w:tcW w:w="80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3"/>
              <w:ind w:left="61" w:firstLine="96"/>
              <w:rPr>
                <w:b/>
                <w:sz w:val="12"/>
              </w:rPr>
            </w:pPr>
            <w:r>
              <w:rPr>
                <w:b/>
                <w:w w:val="105"/>
                <w:sz w:val="12"/>
              </w:rPr>
              <w:t>Reintegro</w:t>
            </w:r>
          </w:p>
          <w:p>
            <w:pPr>
              <w:pStyle w:val="TableParagraph"/>
              <w:spacing w:line="150" w:lineRule="atLeast" w:before="1"/>
              <w:ind w:left="57" w:right="2" w:firstLine="3"/>
              <w:rPr>
                <w:b/>
                <w:sz w:val="12"/>
              </w:rPr>
            </w:pPr>
            <w:r>
              <w:rPr>
                <w:b/>
                <w:sz w:val="12"/>
              </w:rPr>
              <w:t>subvenciones </w:t>
            </w:r>
            <w:r>
              <w:rPr>
                <w:b/>
                <w:w w:val="105"/>
                <w:sz w:val="12"/>
              </w:rPr>
              <w:t>ejer. cerrados</w:t>
            </w:r>
          </w:p>
        </w:tc>
        <w:tc>
          <w:tcPr>
            <w:tcW w:w="80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3"/>
              <w:ind w:left="49" w:firstLine="96"/>
              <w:rPr>
                <w:b/>
                <w:sz w:val="12"/>
              </w:rPr>
            </w:pPr>
            <w:r>
              <w:rPr>
                <w:b/>
                <w:w w:val="105"/>
                <w:sz w:val="12"/>
              </w:rPr>
              <w:t>Reintegro</w:t>
            </w:r>
          </w:p>
          <w:p>
            <w:pPr>
              <w:pStyle w:val="TableParagraph"/>
              <w:spacing w:line="150" w:lineRule="atLeast" w:before="1"/>
              <w:ind w:left="33" w:firstLine="16"/>
              <w:rPr>
                <w:b/>
                <w:sz w:val="12"/>
              </w:rPr>
            </w:pPr>
            <w:r>
              <w:rPr>
                <w:b/>
                <w:w w:val="105"/>
                <w:sz w:val="12"/>
              </w:rPr>
              <w:t>subvenciones ejer. corriente</w:t>
            </w:r>
          </w:p>
        </w:tc>
        <w:tc>
          <w:tcPr>
            <w:tcW w:w="917"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9" w:lineRule="auto" w:before="78"/>
              <w:ind w:left="241" w:hanging="153"/>
              <w:rPr>
                <w:b/>
                <w:sz w:val="12"/>
              </w:rPr>
            </w:pPr>
            <w:r>
              <w:rPr>
                <w:b/>
                <w:w w:val="105"/>
                <w:sz w:val="12"/>
              </w:rPr>
              <w:t>Recargo sobre apremio</w:t>
            </w:r>
          </w:p>
        </w:tc>
        <w:tc>
          <w:tcPr>
            <w:tcW w:w="67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9" w:lineRule="auto" w:before="78"/>
              <w:ind w:left="135" w:hanging="36"/>
              <w:rPr>
                <w:b/>
                <w:sz w:val="12"/>
              </w:rPr>
            </w:pPr>
            <w:r>
              <w:rPr>
                <w:b/>
                <w:sz w:val="12"/>
              </w:rPr>
              <w:t>Intereses </w:t>
            </w:r>
            <w:r>
              <w:rPr>
                <w:b/>
                <w:w w:val="105"/>
                <w:sz w:val="12"/>
              </w:rPr>
              <w:t>demora</w:t>
            </w:r>
          </w:p>
        </w:tc>
        <w:tc>
          <w:tcPr>
            <w:tcW w:w="774"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8"/>
              <w:rPr>
                <w:b/>
                <w:sz w:val="12"/>
              </w:rPr>
            </w:pPr>
          </w:p>
          <w:p>
            <w:pPr>
              <w:pStyle w:val="TableParagraph"/>
              <w:ind w:left="206"/>
              <w:rPr>
                <w:b/>
                <w:sz w:val="12"/>
              </w:rPr>
            </w:pPr>
            <w:r>
              <w:rPr>
                <w:b/>
                <w:w w:val="105"/>
                <w:sz w:val="12"/>
              </w:rPr>
              <w:t>Multas</w:t>
            </w:r>
          </w:p>
        </w:tc>
        <w:tc>
          <w:tcPr>
            <w:tcW w:w="77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9" w:lineRule="auto" w:before="78"/>
              <w:ind w:left="114" w:firstLine="13"/>
              <w:rPr>
                <w:b/>
                <w:sz w:val="12"/>
              </w:rPr>
            </w:pPr>
            <w:r>
              <w:rPr>
                <w:b/>
                <w:w w:val="105"/>
                <w:sz w:val="12"/>
              </w:rPr>
              <w:t>Sanciones tributarias</w:t>
            </w:r>
          </w:p>
        </w:tc>
        <w:tc>
          <w:tcPr>
            <w:tcW w:w="92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3"/>
              <w:ind w:left="168" w:hanging="69"/>
              <w:rPr>
                <w:b/>
                <w:sz w:val="12"/>
              </w:rPr>
            </w:pPr>
            <w:r>
              <w:rPr>
                <w:b/>
                <w:w w:val="105"/>
                <w:sz w:val="12"/>
              </w:rPr>
              <w:t>Sanciones Ley</w:t>
            </w:r>
          </w:p>
          <w:p>
            <w:pPr>
              <w:pStyle w:val="TableParagraph"/>
              <w:spacing w:line="150" w:lineRule="atLeast" w:before="1"/>
              <w:ind w:left="144" w:right="84" w:firstLine="24"/>
              <w:rPr>
                <w:b/>
                <w:sz w:val="12"/>
              </w:rPr>
            </w:pPr>
            <w:r>
              <w:rPr>
                <w:b/>
                <w:w w:val="105"/>
                <w:sz w:val="12"/>
              </w:rPr>
              <w:t>Prevención Riesgos Lab.</w:t>
            </w:r>
          </w:p>
        </w:tc>
        <w:tc>
          <w:tcPr>
            <w:tcW w:w="66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9" w:lineRule="auto" w:before="78"/>
              <w:ind w:left="74" w:firstLine="111"/>
              <w:rPr>
                <w:b/>
                <w:sz w:val="12"/>
              </w:rPr>
            </w:pPr>
            <w:r>
              <w:rPr>
                <w:b/>
                <w:w w:val="105"/>
                <w:sz w:val="12"/>
              </w:rPr>
              <w:t>Otras sanciones</w:t>
            </w:r>
          </w:p>
        </w:tc>
        <w:tc>
          <w:tcPr>
            <w:tcW w:w="660"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3"/>
              <w:ind w:left="111" w:firstLine="70"/>
              <w:rPr>
                <w:b/>
                <w:sz w:val="12"/>
              </w:rPr>
            </w:pPr>
            <w:r>
              <w:rPr>
                <w:b/>
                <w:w w:val="105"/>
                <w:sz w:val="12"/>
              </w:rPr>
              <w:t>Otros</w:t>
            </w:r>
          </w:p>
          <w:p>
            <w:pPr>
              <w:pStyle w:val="TableParagraph"/>
              <w:spacing w:line="150" w:lineRule="atLeast" w:before="1"/>
              <w:ind w:left="113" w:right="103" w:hanging="2"/>
              <w:rPr>
                <w:b/>
                <w:sz w:val="12"/>
              </w:rPr>
            </w:pPr>
            <w:r>
              <w:rPr>
                <w:b/>
                <w:sz w:val="12"/>
              </w:rPr>
              <w:t>ingresos diversos</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DEEAF6"/>
          </w:tcPr>
          <w:p>
            <w:pPr>
              <w:pStyle w:val="TableParagraph"/>
              <w:rPr>
                <w:b/>
                <w:sz w:val="12"/>
              </w:rPr>
            </w:pPr>
          </w:p>
          <w:p>
            <w:pPr>
              <w:pStyle w:val="TableParagraph"/>
              <w:spacing w:before="10"/>
              <w:rPr>
                <w:b/>
                <w:sz w:val="11"/>
              </w:rPr>
            </w:pPr>
          </w:p>
          <w:p>
            <w:pPr>
              <w:pStyle w:val="TableParagraph"/>
              <w:ind w:left="263" w:right="257"/>
              <w:jc w:val="center"/>
              <w:rPr>
                <w:b/>
                <w:sz w:val="12"/>
              </w:rPr>
            </w:pPr>
            <w:r>
              <w:rPr>
                <w:b/>
                <w:w w:val="105"/>
                <w:sz w:val="12"/>
              </w:rPr>
              <w:t>Total</w:t>
            </w:r>
          </w:p>
        </w:tc>
      </w:tr>
      <w:tr>
        <w:trPr>
          <w:trHeight w:val="260" w:hRule="atLeast"/>
        </w:trPr>
        <w:tc>
          <w:tcPr>
            <w:tcW w:w="126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5" w:right="16"/>
              <w:jc w:val="center"/>
              <w:rPr>
                <w:b/>
                <w:sz w:val="12"/>
              </w:rPr>
            </w:pPr>
            <w:r>
              <w:rPr>
                <w:b/>
                <w:w w:val="105"/>
                <w:sz w:val="12"/>
              </w:rPr>
              <w:t>Ejercicio/Subconcepto</w:t>
            </w:r>
          </w:p>
        </w:tc>
        <w:tc>
          <w:tcPr>
            <w:tcW w:w="115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46" w:right="38"/>
              <w:jc w:val="center"/>
              <w:rPr>
                <w:b/>
                <w:sz w:val="12"/>
              </w:rPr>
            </w:pPr>
            <w:r>
              <w:rPr>
                <w:b/>
                <w:w w:val="105"/>
                <w:sz w:val="12"/>
              </w:rPr>
              <w:t>32984</w:t>
            </w:r>
          </w:p>
        </w:tc>
        <w:tc>
          <w:tcPr>
            <w:tcW w:w="88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82"/>
              <w:rPr>
                <w:b/>
                <w:sz w:val="12"/>
              </w:rPr>
            </w:pPr>
            <w:r>
              <w:rPr>
                <w:b/>
                <w:w w:val="105"/>
                <w:sz w:val="12"/>
              </w:rPr>
              <w:t>32985</w:t>
            </w:r>
          </w:p>
        </w:tc>
        <w:tc>
          <w:tcPr>
            <w:tcW w:w="80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45"/>
              <w:rPr>
                <w:b/>
                <w:sz w:val="12"/>
              </w:rPr>
            </w:pPr>
            <w:r>
              <w:rPr>
                <w:b/>
                <w:w w:val="105"/>
                <w:sz w:val="12"/>
              </w:rPr>
              <w:t>38000</w:t>
            </w:r>
          </w:p>
        </w:tc>
        <w:tc>
          <w:tcPr>
            <w:tcW w:w="80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45"/>
              <w:rPr>
                <w:b/>
                <w:sz w:val="12"/>
              </w:rPr>
            </w:pPr>
            <w:r>
              <w:rPr>
                <w:b/>
                <w:w w:val="105"/>
                <w:sz w:val="12"/>
              </w:rPr>
              <w:t>38100</w:t>
            </w:r>
          </w:p>
        </w:tc>
        <w:tc>
          <w:tcPr>
            <w:tcW w:w="917"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99"/>
              <w:rPr>
                <w:b/>
                <w:sz w:val="12"/>
              </w:rPr>
            </w:pPr>
            <w:r>
              <w:rPr>
                <w:b/>
                <w:w w:val="105"/>
                <w:sz w:val="12"/>
              </w:rPr>
              <w:t>39001</w:t>
            </w:r>
          </w:p>
        </w:tc>
        <w:tc>
          <w:tcPr>
            <w:tcW w:w="679"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180"/>
              <w:rPr>
                <w:b/>
                <w:sz w:val="12"/>
              </w:rPr>
            </w:pPr>
            <w:r>
              <w:rPr>
                <w:b/>
                <w:w w:val="105"/>
                <w:sz w:val="12"/>
              </w:rPr>
              <w:t>39003</w:t>
            </w:r>
          </w:p>
        </w:tc>
        <w:tc>
          <w:tcPr>
            <w:tcW w:w="774"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28"/>
              <w:rPr>
                <w:b/>
                <w:sz w:val="12"/>
              </w:rPr>
            </w:pPr>
            <w:r>
              <w:rPr>
                <w:b/>
                <w:w w:val="105"/>
                <w:sz w:val="12"/>
              </w:rPr>
              <w:t>39100</w:t>
            </w:r>
          </w:p>
        </w:tc>
        <w:tc>
          <w:tcPr>
            <w:tcW w:w="77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206" w:right="199"/>
              <w:jc w:val="center"/>
              <w:rPr>
                <w:b/>
                <w:sz w:val="12"/>
              </w:rPr>
            </w:pPr>
            <w:r>
              <w:rPr>
                <w:b/>
                <w:w w:val="105"/>
                <w:sz w:val="12"/>
              </w:rPr>
              <w:t>39101</w:t>
            </w:r>
          </w:p>
        </w:tc>
        <w:tc>
          <w:tcPr>
            <w:tcW w:w="92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300"/>
              <w:rPr>
                <w:b/>
                <w:sz w:val="12"/>
              </w:rPr>
            </w:pPr>
            <w:r>
              <w:rPr>
                <w:b/>
                <w:w w:val="105"/>
                <w:sz w:val="12"/>
              </w:rPr>
              <w:t>39104</w:t>
            </w:r>
          </w:p>
        </w:tc>
        <w:tc>
          <w:tcPr>
            <w:tcW w:w="66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147" w:right="144"/>
              <w:jc w:val="center"/>
              <w:rPr>
                <w:b/>
                <w:sz w:val="12"/>
              </w:rPr>
            </w:pPr>
            <w:r>
              <w:rPr>
                <w:b/>
                <w:w w:val="105"/>
                <w:sz w:val="12"/>
              </w:rPr>
              <w:t>39109</w:t>
            </w:r>
          </w:p>
        </w:tc>
        <w:tc>
          <w:tcPr>
            <w:tcW w:w="660"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58"/>
              <w:ind w:left="169"/>
              <w:rPr>
                <w:b/>
                <w:sz w:val="12"/>
              </w:rPr>
            </w:pPr>
            <w:r>
              <w:rPr>
                <w:b/>
                <w:w w:val="105"/>
                <w:sz w:val="12"/>
              </w:rPr>
              <w:t>39909</w:t>
            </w:r>
          </w:p>
        </w:tc>
        <w:tc>
          <w:tcPr>
            <w:tcW w:w="837" w:type="dxa"/>
            <w:vMerge/>
            <w:tcBorders>
              <w:top w:val="nil"/>
              <w:left w:val="single" w:sz="4" w:space="0" w:color="000000"/>
              <w:bottom w:val="single" w:sz="4" w:space="0" w:color="000000"/>
              <w:right w:val="single" w:sz="4" w:space="0" w:color="000000"/>
            </w:tcBorders>
            <w:shd w:val="clear" w:color="auto" w:fill="DEEAF6"/>
          </w:tcPr>
          <w:p>
            <w:pPr>
              <w:rPr>
                <w:sz w:val="2"/>
                <w:szCs w:val="2"/>
              </w:rPr>
            </w:pPr>
          </w:p>
        </w:tc>
      </w:tr>
      <w:tr>
        <w:trPr>
          <w:trHeight w:val="161" w:hRule="atLeast"/>
        </w:trPr>
        <w:tc>
          <w:tcPr>
            <w:tcW w:w="1262" w:type="dxa"/>
            <w:tcBorders>
              <w:top w:val="single" w:sz="4" w:space="0" w:color="000000"/>
              <w:left w:val="single" w:sz="4" w:space="0" w:color="000000"/>
              <w:right w:val="single" w:sz="4" w:space="0" w:color="000000"/>
            </w:tcBorders>
          </w:tcPr>
          <w:p>
            <w:pPr>
              <w:pStyle w:val="TableParagraph"/>
              <w:spacing w:line="140" w:lineRule="exact" w:before="2"/>
              <w:ind w:left="25" w:right="15"/>
              <w:jc w:val="center"/>
              <w:rPr>
                <w:sz w:val="12"/>
              </w:rPr>
            </w:pPr>
            <w:r>
              <w:rPr>
                <w:w w:val="105"/>
                <w:sz w:val="12"/>
              </w:rPr>
              <w:t>2017</w:t>
            </w:r>
          </w:p>
        </w:tc>
        <w:tc>
          <w:tcPr>
            <w:tcW w:w="1159" w:type="dxa"/>
            <w:tcBorders>
              <w:top w:val="single" w:sz="4" w:space="0" w:color="000000"/>
              <w:left w:val="single" w:sz="4" w:space="0" w:color="000000"/>
            </w:tcBorders>
          </w:tcPr>
          <w:p>
            <w:pPr>
              <w:pStyle w:val="TableParagraph"/>
              <w:rPr>
                <w:rFonts w:ascii="Times New Roman"/>
                <w:sz w:val="10"/>
              </w:rPr>
            </w:pPr>
          </w:p>
        </w:tc>
        <w:tc>
          <w:tcPr>
            <w:tcW w:w="882" w:type="dxa"/>
            <w:tcBorders>
              <w:top w:val="single" w:sz="4" w:space="0" w:color="000000"/>
            </w:tcBorders>
          </w:tcPr>
          <w:p>
            <w:pPr>
              <w:pStyle w:val="TableParagraph"/>
              <w:rPr>
                <w:rFonts w:ascii="Times New Roman"/>
                <w:sz w:val="10"/>
              </w:rPr>
            </w:pPr>
          </w:p>
        </w:tc>
        <w:tc>
          <w:tcPr>
            <w:tcW w:w="809" w:type="dxa"/>
            <w:tcBorders>
              <w:top w:val="single" w:sz="4" w:space="0" w:color="000000"/>
            </w:tcBorders>
          </w:tcPr>
          <w:p>
            <w:pPr>
              <w:pStyle w:val="TableParagraph"/>
              <w:spacing w:line="140" w:lineRule="exact" w:before="2"/>
              <w:ind w:right="47"/>
              <w:jc w:val="right"/>
              <w:rPr>
                <w:sz w:val="12"/>
              </w:rPr>
            </w:pPr>
            <w:r>
              <w:rPr>
                <w:w w:val="105"/>
                <w:sz w:val="12"/>
              </w:rPr>
              <w:t>31.621,57</w:t>
            </w:r>
          </w:p>
        </w:tc>
        <w:tc>
          <w:tcPr>
            <w:tcW w:w="809" w:type="dxa"/>
            <w:tcBorders>
              <w:top w:val="single" w:sz="4" w:space="0" w:color="000000"/>
            </w:tcBorders>
          </w:tcPr>
          <w:p>
            <w:pPr>
              <w:pStyle w:val="TableParagraph"/>
              <w:spacing w:line="140" w:lineRule="exact" w:before="2"/>
              <w:ind w:right="47"/>
              <w:jc w:val="right"/>
              <w:rPr>
                <w:sz w:val="12"/>
              </w:rPr>
            </w:pPr>
            <w:r>
              <w:rPr>
                <w:w w:val="105"/>
                <w:sz w:val="12"/>
              </w:rPr>
              <w:t>3.944,55</w:t>
            </w:r>
          </w:p>
        </w:tc>
        <w:tc>
          <w:tcPr>
            <w:tcW w:w="917" w:type="dxa"/>
            <w:tcBorders>
              <w:top w:val="single" w:sz="4" w:space="0" w:color="000000"/>
            </w:tcBorders>
          </w:tcPr>
          <w:p>
            <w:pPr>
              <w:pStyle w:val="TableParagraph"/>
              <w:rPr>
                <w:rFonts w:ascii="Times New Roman"/>
                <w:sz w:val="10"/>
              </w:rPr>
            </w:pPr>
          </w:p>
        </w:tc>
        <w:tc>
          <w:tcPr>
            <w:tcW w:w="679" w:type="dxa"/>
            <w:tcBorders>
              <w:top w:val="single" w:sz="4" w:space="0" w:color="000000"/>
            </w:tcBorders>
          </w:tcPr>
          <w:p>
            <w:pPr>
              <w:pStyle w:val="TableParagraph"/>
              <w:spacing w:line="140" w:lineRule="exact" w:before="2"/>
              <w:ind w:right="47"/>
              <w:jc w:val="right"/>
              <w:rPr>
                <w:sz w:val="12"/>
              </w:rPr>
            </w:pPr>
            <w:r>
              <w:rPr>
                <w:w w:val="105"/>
                <w:sz w:val="12"/>
              </w:rPr>
              <w:t>3.195,83</w:t>
            </w:r>
          </w:p>
        </w:tc>
        <w:tc>
          <w:tcPr>
            <w:tcW w:w="774" w:type="dxa"/>
            <w:tcBorders>
              <w:top w:val="single" w:sz="4" w:space="0" w:color="000000"/>
            </w:tcBorders>
          </w:tcPr>
          <w:p>
            <w:pPr>
              <w:pStyle w:val="TableParagraph"/>
              <w:spacing w:line="140" w:lineRule="exact" w:before="2"/>
              <w:ind w:right="46"/>
              <w:jc w:val="right"/>
              <w:rPr>
                <w:sz w:val="12"/>
              </w:rPr>
            </w:pPr>
            <w:r>
              <w:rPr>
                <w:w w:val="105"/>
                <w:sz w:val="12"/>
              </w:rPr>
              <w:t>3.375,00</w:t>
            </w:r>
          </w:p>
        </w:tc>
        <w:tc>
          <w:tcPr>
            <w:tcW w:w="776" w:type="dxa"/>
            <w:tcBorders>
              <w:top w:val="single" w:sz="4" w:space="0" w:color="000000"/>
            </w:tcBorders>
          </w:tcPr>
          <w:p>
            <w:pPr>
              <w:pStyle w:val="TableParagraph"/>
              <w:spacing w:line="140" w:lineRule="exact" w:before="2"/>
              <w:ind w:left="196" w:right="27"/>
              <w:jc w:val="center"/>
              <w:rPr>
                <w:sz w:val="12"/>
              </w:rPr>
            </w:pPr>
            <w:r>
              <w:rPr>
                <w:w w:val="105"/>
                <w:sz w:val="12"/>
              </w:rPr>
              <w:t>36.310,77</w:t>
            </w:r>
          </w:p>
        </w:tc>
        <w:tc>
          <w:tcPr>
            <w:tcW w:w="922" w:type="dxa"/>
            <w:tcBorders>
              <w:top w:val="single" w:sz="4" w:space="0" w:color="000000"/>
            </w:tcBorders>
          </w:tcPr>
          <w:p>
            <w:pPr>
              <w:pStyle w:val="TableParagraph"/>
              <w:rPr>
                <w:rFonts w:ascii="Times New Roman"/>
                <w:sz w:val="10"/>
              </w:rPr>
            </w:pPr>
          </w:p>
        </w:tc>
        <w:tc>
          <w:tcPr>
            <w:tcW w:w="662" w:type="dxa"/>
            <w:tcBorders>
              <w:top w:val="single" w:sz="4" w:space="0" w:color="000000"/>
            </w:tcBorders>
          </w:tcPr>
          <w:p>
            <w:pPr>
              <w:pStyle w:val="TableParagraph"/>
              <w:rPr>
                <w:rFonts w:ascii="Times New Roman"/>
                <w:sz w:val="10"/>
              </w:rPr>
            </w:pPr>
          </w:p>
        </w:tc>
        <w:tc>
          <w:tcPr>
            <w:tcW w:w="660" w:type="dxa"/>
            <w:tcBorders>
              <w:top w:val="single" w:sz="4" w:space="0" w:color="000000"/>
            </w:tcBorders>
          </w:tcPr>
          <w:p>
            <w:pPr>
              <w:pStyle w:val="TableParagraph"/>
              <w:rPr>
                <w:rFonts w:ascii="Times New Roman"/>
                <w:sz w:val="10"/>
              </w:rPr>
            </w:pPr>
          </w:p>
        </w:tc>
        <w:tc>
          <w:tcPr>
            <w:tcW w:w="837" w:type="dxa"/>
            <w:tcBorders>
              <w:top w:val="single" w:sz="4" w:space="0" w:color="000000"/>
              <w:right w:val="single" w:sz="4" w:space="0" w:color="000000"/>
            </w:tcBorders>
            <w:shd w:val="clear" w:color="auto" w:fill="DEEAF6"/>
          </w:tcPr>
          <w:p>
            <w:pPr>
              <w:pStyle w:val="TableParagraph"/>
              <w:spacing w:line="140" w:lineRule="exact" w:before="2"/>
              <w:ind w:left="193" w:right="20"/>
              <w:jc w:val="center"/>
              <w:rPr>
                <w:sz w:val="12"/>
              </w:rPr>
            </w:pPr>
            <w:r>
              <w:rPr>
                <w:w w:val="105"/>
                <w:sz w:val="12"/>
              </w:rPr>
              <w:t>212.429,28</w:t>
            </w:r>
          </w:p>
        </w:tc>
      </w:tr>
      <w:tr>
        <w:trPr>
          <w:trHeight w:val="152"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2018</w:t>
            </w:r>
          </w:p>
        </w:tc>
        <w:tc>
          <w:tcPr>
            <w:tcW w:w="1159" w:type="dxa"/>
            <w:tcBorders>
              <w:left w:val="single" w:sz="4" w:space="0" w:color="000000"/>
            </w:tcBorders>
          </w:tcPr>
          <w:p>
            <w:pPr>
              <w:pStyle w:val="TableParagraph"/>
              <w:rPr>
                <w:rFonts w:ascii="Times New Roman"/>
                <w:sz w:val="8"/>
              </w:rPr>
            </w:pPr>
          </w:p>
        </w:tc>
        <w:tc>
          <w:tcPr>
            <w:tcW w:w="882" w:type="dxa"/>
          </w:tcPr>
          <w:p>
            <w:pPr>
              <w:pStyle w:val="TableParagraph"/>
              <w:rPr>
                <w:rFonts w:ascii="Times New Roman"/>
                <w:sz w:val="8"/>
              </w:rPr>
            </w:pPr>
          </w:p>
        </w:tc>
        <w:tc>
          <w:tcPr>
            <w:tcW w:w="809" w:type="dxa"/>
          </w:tcPr>
          <w:p>
            <w:pPr>
              <w:pStyle w:val="TableParagraph"/>
              <w:spacing w:line="132" w:lineRule="exact"/>
              <w:ind w:right="47"/>
              <w:jc w:val="right"/>
              <w:rPr>
                <w:sz w:val="12"/>
              </w:rPr>
            </w:pPr>
            <w:r>
              <w:rPr>
                <w:w w:val="105"/>
                <w:sz w:val="12"/>
              </w:rPr>
              <w:t>475.000,00</w:t>
            </w:r>
          </w:p>
        </w:tc>
        <w:tc>
          <w:tcPr>
            <w:tcW w:w="809" w:type="dxa"/>
          </w:tcPr>
          <w:p>
            <w:pPr>
              <w:pStyle w:val="TableParagraph"/>
              <w:spacing w:line="132" w:lineRule="exact"/>
              <w:ind w:right="47"/>
              <w:jc w:val="right"/>
              <w:rPr>
                <w:sz w:val="12"/>
              </w:rPr>
            </w:pPr>
            <w:r>
              <w:rPr>
                <w:w w:val="105"/>
                <w:sz w:val="12"/>
              </w:rPr>
              <w:t>34.698,51</w:t>
            </w:r>
          </w:p>
        </w:tc>
        <w:tc>
          <w:tcPr>
            <w:tcW w:w="917" w:type="dxa"/>
          </w:tcPr>
          <w:p>
            <w:pPr>
              <w:pStyle w:val="TableParagraph"/>
              <w:rPr>
                <w:rFonts w:ascii="Times New Roman"/>
                <w:sz w:val="8"/>
              </w:rPr>
            </w:pPr>
          </w:p>
        </w:tc>
        <w:tc>
          <w:tcPr>
            <w:tcW w:w="679" w:type="dxa"/>
          </w:tcPr>
          <w:p>
            <w:pPr>
              <w:pStyle w:val="TableParagraph"/>
              <w:spacing w:line="132" w:lineRule="exact"/>
              <w:ind w:right="47"/>
              <w:jc w:val="right"/>
              <w:rPr>
                <w:sz w:val="12"/>
              </w:rPr>
            </w:pPr>
            <w:r>
              <w:rPr>
                <w:w w:val="105"/>
                <w:sz w:val="12"/>
              </w:rPr>
              <w:t>7.424,52</w:t>
            </w:r>
          </w:p>
        </w:tc>
        <w:tc>
          <w:tcPr>
            <w:tcW w:w="774" w:type="dxa"/>
          </w:tcPr>
          <w:p>
            <w:pPr>
              <w:pStyle w:val="TableParagraph"/>
              <w:spacing w:line="132" w:lineRule="exact"/>
              <w:ind w:right="46"/>
              <w:jc w:val="right"/>
              <w:rPr>
                <w:sz w:val="12"/>
              </w:rPr>
            </w:pPr>
            <w:r>
              <w:rPr>
                <w:w w:val="105"/>
                <w:sz w:val="12"/>
              </w:rPr>
              <w:t>2.607,00</w:t>
            </w:r>
          </w:p>
        </w:tc>
        <w:tc>
          <w:tcPr>
            <w:tcW w:w="776" w:type="dxa"/>
          </w:tcPr>
          <w:p>
            <w:pPr>
              <w:pStyle w:val="TableParagraph"/>
              <w:spacing w:line="132" w:lineRule="exact"/>
              <w:ind w:left="133" w:right="27"/>
              <w:jc w:val="center"/>
              <w:rPr>
                <w:sz w:val="12"/>
              </w:rPr>
            </w:pPr>
            <w:r>
              <w:rPr>
                <w:w w:val="105"/>
                <w:sz w:val="12"/>
              </w:rPr>
              <w:t>314.725,66</w:t>
            </w:r>
          </w:p>
        </w:tc>
        <w:tc>
          <w:tcPr>
            <w:tcW w:w="922" w:type="dxa"/>
          </w:tcPr>
          <w:p>
            <w:pPr>
              <w:pStyle w:val="TableParagraph"/>
              <w:spacing w:line="132" w:lineRule="exact"/>
              <w:ind w:right="48"/>
              <w:jc w:val="right"/>
              <w:rPr>
                <w:sz w:val="12"/>
              </w:rPr>
            </w:pPr>
            <w:r>
              <w:rPr>
                <w:w w:val="105"/>
                <w:sz w:val="12"/>
              </w:rPr>
              <w:t>17.916,25</w:t>
            </w: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EEAF6"/>
          </w:tcPr>
          <w:p>
            <w:pPr>
              <w:pStyle w:val="TableParagraph"/>
              <w:spacing w:line="132" w:lineRule="exact"/>
              <w:ind w:left="100" w:right="20"/>
              <w:jc w:val="center"/>
              <w:rPr>
                <w:sz w:val="12"/>
              </w:rPr>
            </w:pPr>
            <w:r>
              <w:rPr>
                <w:w w:val="105"/>
                <w:sz w:val="12"/>
              </w:rPr>
              <w:t>1.857.584,15</w:t>
            </w:r>
          </w:p>
        </w:tc>
      </w:tr>
      <w:tr>
        <w:trPr>
          <w:trHeight w:val="150" w:hRule="atLeast"/>
        </w:trPr>
        <w:tc>
          <w:tcPr>
            <w:tcW w:w="1262" w:type="dxa"/>
            <w:tcBorders>
              <w:left w:val="single" w:sz="4" w:space="0" w:color="000000"/>
              <w:right w:val="single" w:sz="4" w:space="0" w:color="000000"/>
            </w:tcBorders>
          </w:tcPr>
          <w:p>
            <w:pPr>
              <w:pStyle w:val="TableParagraph"/>
              <w:spacing w:line="131" w:lineRule="exact"/>
              <w:ind w:left="25" w:right="15"/>
              <w:jc w:val="center"/>
              <w:rPr>
                <w:sz w:val="12"/>
              </w:rPr>
            </w:pPr>
            <w:r>
              <w:rPr>
                <w:w w:val="105"/>
                <w:sz w:val="12"/>
              </w:rPr>
              <w:t>2019</w:t>
            </w:r>
          </w:p>
        </w:tc>
        <w:tc>
          <w:tcPr>
            <w:tcW w:w="1159" w:type="dxa"/>
            <w:tcBorders>
              <w:left w:val="single" w:sz="4" w:space="0" w:color="000000"/>
            </w:tcBorders>
          </w:tcPr>
          <w:p>
            <w:pPr>
              <w:pStyle w:val="TableParagraph"/>
              <w:rPr>
                <w:rFonts w:ascii="Times New Roman"/>
                <w:sz w:val="8"/>
              </w:rPr>
            </w:pPr>
          </w:p>
        </w:tc>
        <w:tc>
          <w:tcPr>
            <w:tcW w:w="882" w:type="dxa"/>
          </w:tcPr>
          <w:p>
            <w:pPr>
              <w:pStyle w:val="TableParagraph"/>
              <w:rPr>
                <w:rFonts w:ascii="Times New Roman"/>
                <w:sz w:val="8"/>
              </w:rPr>
            </w:pPr>
          </w:p>
        </w:tc>
        <w:tc>
          <w:tcPr>
            <w:tcW w:w="809" w:type="dxa"/>
          </w:tcPr>
          <w:p>
            <w:pPr>
              <w:pStyle w:val="TableParagraph"/>
              <w:spacing w:line="131" w:lineRule="exact"/>
              <w:ind w:right="47"/>
              <w:jc w:val="right"/>
              <w:rPr>
                <w:sz w:val="12"/>
              </w:rPr>
            </w:pPr>
            <w:r>
              <w:rPr>
                <w:w w:val="105"/>
                <w:sz w:val="12"/>
              </w:rPr>
              <w:t>16.360,66</w:t>
            </w:r>
          </w:p>
        </w:tc>
        <w:tc>
          <w:tcPr>
            <w:tcW w:w="809" w:type="dxa"/>
          </w:tcPr>
          <w:p>
            <w:pPr>
              <w:pStyle w:val="TableParagraph"/>
              <w:spacing w:line="131" w:lineRule="exact"/>
              <w:ind w:right="47"/>
              <w:jc w:val="right"/>
              <w:rPr>
                <w:sz w:val="12"/>
              </w:rPr>
            </w:pPr>
            <w:r>
              <w:rPr>
                <w:sz w:val="12"/>
              </w:rPr>
              <w:t>171,82</w:t>
            </w:r>
          </w:p>
        </w:tc>
        <w:tc>
          <w:tcPr>
            <w:tcW w:w="917" w:type="dxa"/>
          </w:tcPr>
          <w:p>
            <w:pPr>
              <w:pStyle w:val="TableParagraph"/>
              <w:rPr>
                <w:rFonts w:ascii="Times New Roman"/>
                <w:sz w:val="8"/>
              </w:rPr>
            </w:pPr>
          </w:p>
        </w:tc>
        <w:tc>
          <w:tcPr>
            <w:tcW w:w="679" w:type="dxa"/>
          </w:tcPr>
          <w:p>
            <w:pPr>
              <w:pStyle w:val="TableParagraph"/>
              <w:spacing w:line="131" w:lineRule="exact"/>
              <w:ind w:right="48"/>
              <w:jc w:val="right"/>
              <w:rPr>
                <w:sz w:val="12"/>
              </w:rPr>
            </w:pPr>
            <w:r>
              <w:rPr>
                <w:w w:val="105"/>
                <w:sz w:val="12"/>
              </w:rPr>
              <w:t>68.538,45</w:t>
            </w:r>
          </w:p>
        </w:tc>
        <w:tc>
          <w:tcPr>
            <w:tcW w:w="774" w:type="dxa"/>
          </w:tcPr>
          <w:p>
            <w:pPr>
              <w:pStyle w:val="TableParagraph"/>
              <w:spacing w:line="131" w:lineRule="exact"/>
              <w:ind w:right="46"/>
              <w:jc w:val="right"/>
              <w:rPr>
                <w:sz w:val="12"/>
              </w:rPr>
            </w:pPr>
            <w:r>
              <w:rPr>
                <w:w w:val="105"/>
                <w:sz w:val="12"/>
              </w:rPr>
              <w:t>4.440,00</w:t>
            </w:r>
          </w:p>
        </w:tc>
        <w:tc>
          <w:tcPr>
            <w:tcW w:w="776" w:type="dxa"/>
          </w:tcPr>
          <w:p>
            <w:pPr>
              <w:pStyle w:val="TableParagraph"/>
              <w:spacing w:line="131" w:lineRule="exact"/>
              <w:ind w:left="133" w:right="27"/>
              <w:jc w:val="center"/>
              <w:rPr>
                <w:sz w:val="12"/>
              </w:rPr>
            </w:pPr>
            <w:r>
              <w:rPr>
                <w:w w:val="105"/>
                <w:sz w:val="12"/>
              </w:rPr>
              <w:t>161.939,22</w:t>
            </w:r>
          </w:p>
        </w:tc>
        <w:tc>
          <w:tcPr>
            <w:tcW w:w="922" w:type="dxa"/>
          </w:tcPr>
          <w:p>
            <w:pPr>
              <w:pStyle w:val="TableParagraph"/>
              <w:spacing w:line="131" w:lineRule="exact"/>
              <w:ind w:right="47"/>
              <w:jc w:val="right"/>
              <w:rPr>
                <w:sz w:val="12"/>
              </w:rPr>
            </w:pPr>
            <w:r>
              <w:rPr>
                <w:w w:val="105"/>
                <w:sz w:val="12"/>
              </w:rPr>
              <w:t>8.195,00</w:t>
            </w:r>
          </w:p>
        </w:tc>
        <w:tc>
          <w:tcPr>
            <w:tcW w:w="662" w:type="dxa"/>
          </w:tcPr>
          <w:p>
            <w:pPr>
              <w:pStyle w:val="TableParagraph"/>
              <w:rPr>
                <w:rFonts w:ascii="Times New Roman"/>
                <w:sz w:val="8"/>
              </w:rPr>
            </w:pPr>
          </w:p>
        </w:tc>
        <w:tc>
          <w:tcPr>
            <w:tcW w:w="660" w:type="dxa"/>
          </w:tcPr>
          <w:p>
            <w:pPr>
              <w:pStyle w:val="TableParagraph"/>
              <w:spacing w:line="131" w:lineRule="exact"/>
              <w:ind w:right="47"/>
              <w:jc w:val="right"/>
              <w:rPr>
                <w:sz w:val="12"/>
              </w:rPr>
            </w:pPr>
            <w:r>
              <w:rPr>
                <w:w w:val="105"/>
                <w:sz w:val="12"/>
              </w:rPr>
              <w:t>4.007,98</w:t>
            </w:r>
          </w:p>
        </w:tc>
        <w:tc>
          <w:tcPr>
            <w:tcW w:w="837" w:type="dxa"/>
            <w:tcBorders>
              <w:right w:val="single" w:sz="4" w:space="0" w:color="000000"/>
            </w:tcBorders>
            <w:shd w:val="clear" w:color="auto" w:fill="DEEAF6"/>
          </w:tcPr>
          <w:p>
            <w:pPr>
              <w:pStyle w:val="TableParagraph"/>
              <w:spacing w:line="131" w:lineRule="exact"/>
              <w:ind w:left="100" w:right="20"/>
              <w:jc w:val="center"/>
              <w:rPr>
                <w:sz w:val="12"/>
              </w:rPr>
            </w:pPr>
            <w:r>
              <w:rPr>
                <w:w w:val="105"/>
                <w:sz w:val="12"/>
              </w:rPr>
              <w:t>3.208.776,84</w:t>
            </w:r>
          </w:p>
        </w:tc>
      </w:tr>
      <w:tr>
        <w:trPr>
          <w:trHeight w:val="151" w:hRule="atLeast"/>
        </w:trPr>
        <w:tc>
          <w:tcPr>
            <w:tcW w:w="1262" w:type="dxa"/>
            <w:tcBorders>
              <w:left w:val="single" w:sz="4" w:space="0" w:color="000000"/>
              <w:right w:val="single" w:sz="4" w:space="0" w:color="000000"/>
            </w:tcBorders>
          </w:tcPr>
          <w:p>
            <w:pPr>
              <w:pStyle w:val="TableParagraph"/>
              <w:spacing w:line="132" w:lineRule="exact"/>
              <w:ind w:left="25" w:right="15"/>
              <w:jc w:val="center"/>
              <w:rPr>
                <w:sz w:val="12"/>
              </w:rPr>
            </w:pPr>
            <w:r>
              <w:rPr>
                <w:w w:val="105"/>
                <w:sz w:val="12"/>
              </w:rPr>
              <w:t>2020</w:t>
            </w:r>
          </w:p>
        </w:tc>
        <w:tc>
          <w:tcPr>
            <w:tcW w:w="1159" w:type="dxa"/>
            <w:tcBorders>
              <w:left w:val="single" w:sz="4" w:space="0" w:color="000000"/>
            </w:tcBorders>
          </w:tcPr>
          <w:p>
            <w:pPr>
              <w:pStyle w:val="TableParagraph"/>
              <w:rPr>
                <w:rFonts w:ascii="Times New Roman"/>
                <w:sz w:val="8"/>
              </w:rPr>
            </w:pPr>
          </w:p>
        </w:tc>
        <w:tc>
          <w:tcPr>
            <w:tcW w:w="882" w:type="dxa"/>
          </w:tcPr>
          <w:p>
            <w:pPr>
              <w:pStyle w:val="TableParagraph"/>
              <w:rPr>
                <w:rFonts w:ascii="Times New Roman"/>
                <w:sz w:val="8"/>
              </w:rPr>
            </w:pPr>
          </w:p>
        </w:tc>
        <w:tc>
          <w:tcPr>
            <w:tcW w:w="809" w:type="dxa"/>
          </w:tcPr>
          <w:p>
            <w:pPr>
              <w:pStyle w:val="TableParagraph"/>
              <w:spacing w:line="132" w:lineRule="exact"/>
              <w:ind w:right="47"/>
              <w:jc w:val="right"/>
              <w:rPr>
                <w:sz w:val="12"/>
              </w:rPr>
            </w:pPr>
            <w:r>
              <w:rPr>
                <w:sz w:val="12"/>
              </w:rPr>
              <w:t>215,08</w:t>
            </w:r>
          </w:p>
        </w:tc>
        <w:tc>
          <w:tcPr>
            <w:tcW w:w="809" w:type="dxa"/>
          </w:tcPr>
          <w:p>
            <w:pPr>
              <w:pStyle w:val="TableParagraph"/>
              <w:rPr>
                <w:rFonts w:ascii="Times New Roman"/>
                <w:sz w:val="8"/>
              </w:rPr>
            </w:pPr>
          </w:p>
        </w:tc>
        <w:tc>
          <w:tcPr>
            <w:tcW w:w="917" w:type="dxa"/>
          </w:tcPr>
          <w:p>
            <w:pPr>
              <w:pStyle w:val="TableParagraph"/>
              <w:rPr>
                <w:rFonts w:ascii="Times New Roman"/>
                <w:sz w:val="8"/>
              </w:rPr>
            </w:pPr>
          </w:p>
        </w:tc>
        <w:tc>
          <w:tcPr>
            <w:tcW w:w="679" w:type="dxa"/>
          </w:tcPr>
          <w:p>
            <w:pPr>
              <w:pStyle w:val="TableParagraph"/>
              <w:spacing w:line="132" w:lineRule="exact"/>
              <w:ind w:right="47"/>
              <w:jc w:val="right"/>
              <w:rPr>
                <w:sz w:val="12"/>
              </w:rPr>
            </w:pPr>
            <w:r>
              <w:rPr>
                <w:w w:val="105"/>
                <w:sz w:val="12"/>
              </w:rPr>
              <w:t>6.511,27</w:t>
            </w:r>
          </w:p>
        </w:tc>
        <w:tc>
          <w:tcPr>
            <w:tcW w:w="774" w:type="dxa"/>
          </w:tcPr>
          <w:p>
            <w:pPr>
              <w:pStyle w:val="TableParagraph"/>
              <w:spacing w:line="132" w:lineRule="exact"/>
              <w:ind w:right="46"/>
              <w:jc w:val="right"/>
              <w:rPr>
                <w:sz w:val="12"/>
              </w:rPr>
            </w:pPr>
            <w:r>
              <w:rPr>
                <w:w w:val="105"/>
                <w:sz w:val="12"/>
              </w:rPr>
              <w:t>43.686,60</w:t>
            </w:r>
          </w:p>
        </w:tc>
        <w:tc>
          <w:tcPr>
            <w:tcW w:w="776" w:type="dxa"/>
          </w:tcPr>
          <w:p>
            <w:pPr>
              <w:pStyle w:val="TableParagraph"/>
              <w:spacing w:line="132" w:lineRule="exact"/>
              <w:ind w:left="133" w:right="27"/>
              <w:jc w:val="center"/>
              <w:rPr>
                <w:sz w:val="12"/>
              </w:rPr>
            </w:pPr>
            <w:r>
              <w:rPr>
                <w:w w:val="105"/>
                <w:sz w:val="12"/>
              </w:rPr>
              <w:t>145.059,70</w:t>
            </w:r>
          </w:p>
        </w:tc>
        <w:tc>
          <w:tcPr>
            <w:tcW w:w="922" w:type="dxa"/>
          </w:tcPr>
          <w:p>
            <w:pPr>
              <w:pStyle w:val="TableParagraph"/>
              <w:spacing w:line="132" w:lineRule="exact"/>
              <w:ind w:right="48"/>
              <w:jc w:val="right"/>
              <w:rPr>
                <w:sz w:val="12"/>
              </w:rPr>
            </w:pPr>
            <w:r>
              <w:rPr>
                <w:w w:val="105"/>
                <w:sz w:val="12"/>
              </w:rPr>
              <w:t>12.138,00</w:t>
            </w: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EEAF6"/>
          </w:tcPr>
          <w:p>
            <w:pPr>
              <w:pStyle w:val="TableParagraph"/>
              <w:spacing w:line="132" w:lineRule="exact"/>
              <w:ind w:left="100" w:right="20"/>
              <w:jc w:val="center"/>
              <w:rPr>
                <w:sz w:val="12"/>
              </w:rPr>
            </w:pPr>
            <w:r>
              <w:rPr>
                <w:w w:val="105"/>
                <w:sz w:val="12"/>
              </w:rPr>
              <w:t>1.062.299,56</w:t>
            </w:r>
          </w:p>
        </w:tc>
      </w:tr>
      <w:tr>
        <w:trPr>
          <w:trHeight w:val="141" w:hRule="atLeast"/>
        </w:trPr>
        <w:tc>
          <w:tcPr>
            <w:tcW w:w="1262" w:type="dxa"/>
            <w:tcBorders>
              <w:left w:val="single" w:sz="4" w:space="0" w:color="000000"/>
              <w:right w:val="single" w:sz="4" w:space="0" w:color="000000"/>
            </w:tcBorders>
          </w:tcPr>
          <w:p>
            <w:pPr>
              <w:pStyle w:val="TableParagraph"/>
              <w:spacing w:line="121" w:lineRule="exact"/>
              <w:ind w:left="25" w:right="15"/>
              <w:jc w:val="center"/>
              <w:rPr>
                <w:sz w:val="12"/>
              </w:rPr>
            </w:pPr>
            <w:r>
              <w:rPr>
                <w:w w:val="105"/>
                <w:sz w:val="12"/>
              </w:rPr>
              <w:t>2021</w:t>
            </w:r>
          </w:p>
        </w:tc>
        <w:tc>
          <w:tcPr>
            <w:tcW w:w="1159" w:type="dxa"/>
            <w:tcBorders>
              <w:left w:val="single" w:sz="4" w:space="0" w:color="000000"/>
            </w:tcBorders>
          </w:tcPr>
          <w:p>
            <w:pPr>
              <w:pStyle w:val="TableParagraph"/>
              <w:rPr>
                <w:rFonts w:ascii="Times New Roman"/>
                <w:sz w:val="8"/>
              </w:rPr>
            </w:pPr>
          </w:p>
        </w:tc>
        <w:tc>
          <w:tcPr>
            <w:tcW w:w="882" w:type="dxa"/>
          </w:tcPr>
          <w:p>
            <w:pPr>
              <w:pStyle w:val="TableParagraph"/>
              <w:rPr>
                <w:rFonts w:ascii="Times New Roman"/>
                <w:sz w:val="8"/>
              </w:rPr>
            </w:pPr>
          </w:p>
        </w:tc>
        <w:tc>
          <w:tcPr>
            <w:tcW w:w="809" w:type="dxa"/>
          </w:tcPr>
          <w:p>
            <w:pPr>
              <w:pStyle w:val="TableParagraph"/>
              <w:spacing w:line="121" w:lineRule="exact"/>
              <w:ind w:right="47"/>
              <w:jc w:val="right"/>
              <w:rPr>
                <w:sz w:val="12"/>
              </w:rPr>
            </w:pPr>
            <w:r>
              <w:rPr>
                <w:w w:val="105"/>
                <w:sz w:val="12"/>
              </w:rPr>
              <w:t>141.520,06</w:t>
            </w:r>
          </w:p>
        </w:tc>
        <w:tc>
          <w:tcPr>
            <w:tcW w:w="809" w:type="dxa"/>
          </w:tcPr>
          <w:p>
            <w:pPr>
              <w:pStyle w:val="TableParagraph"/>
              <w:rPr>
                <w:rFonts w:ascii="Times New Roman"/>
                <w:sz w:val="8"/>
              </w:rPr>
            </w:pPr>
          </w:p>
        </w:tc>
        <w:tc>
          <w:tcPr>
            <w:tcW w:w="917" w:type="dxa"/>
          </w:tcPr>
          <w:p>
            <w:pPr>
              <w:pStyle w:val="TableParagraph"/>
              <w:rPr>
                <w:rFonts w:ascii="Times New Roman"/>
                <w:sz w:val="8"/>
              </w:rPr>
            </w:pPr>
          </w:p>
        </w:tc>
        <w:tc>
          <w:tcPr>
            <w:tcW w:w="679" w:type="dxa"/>
          </w:tcPr>
          <w:p>
            <w:pPr>
              <w:pStyle w:val="TableParagraph"/>
              <w:spacing w:line="121" w:lineRule="exact"/>
              <w:ind w:right="48"/>
              <w:jc w:val="right"/>
              <w:rPr>
                <w:sz w:val="12"/>
              </w:rPr>
            </w:pPr>
            <w:r>
              <w:rPr>
                <w:w w:val="105"/>
                <w:sz w:val="12"/>
              </w:rPr>
              <w:t>38.811,78</w:t>
            </w:r>
          </w:p>
        </w:tc>
        <w:tc>
          <w:tcPr>
            <w:tcW w:w="774" w:type="dxa"/>
          </w:tcPr>
          <w:p>
            <w:pPr>
              <w:pStyle w:val="TableParagraph"/>
              <w:spacing w:line="121" w:lineRule="exact"/>
              <w:ind w:right="46"/>
              <w:jc w:val="right"/>
              <w:rPr>
                <w:sz w:val="12"/>
              </w:rPr>
            </w:pPr>
            <w:r>
              <w:rPr>
                <w:w w:val="105"/>
                <w:sz w:val="12"/>
              </w:rPr>
              <w:t>22.292,00</w:t>
            </w:r>
          </w:p>
        </w:tc>
        <w:tc>
          <w:tcPr>
            <w:tcW w:w="776" w:type="dxa"/>
          </w:tcPr>
          <w:p>
            <w:pPr>
              <w:pStyle w:val="TableParagraph"/>
              <w:spacing w:line="121" w:lineRule="exact"/>
              <w:ind w:left="133" w:right="27"/>
              <w:jc w:val="center"/>
              <w:rPr>
                <w:sz w:val="12"/>
              </w:rPr>
            </w:pPr>
            <w:r>
              <w:rPr>
                <w:w w:val="105"/>
                <w:sz w:val="12"/>
              </w:rPr>
              <w:t>239.593,51</w:t>
            </w:r>
          </w:p>
        </w:tc>
        <w:tc>
          <w:tcPr>
            <w:tcW w:w="922" w:type="dxa"/>
          </w:tcPr>
          <w:p>
            <w:pPr>
              <w:pStyle w:val="TableParagraph"/>
              <w:spacing w:line="121" w:lineRule="exact"/>
              <w:ind w:right="48"/>
              <w:jc w:val="right"/>
              <w:rPr>
                <w:sz w:val="12"/>
              </w:rPr>
            </w:pPr>
            <w:r>
              <w:rPr>
                <w:w w:val="105"/>
                <w:sz w:val="12"/>
              </w:rPr>
              <w:t>40.736,00</w:t>
            </w:r>
          </w:p>
        </w:tc>
        <w:tc>
          <w:tcPr>
            <w:tcW w:w="662" w:type="dxa"/>
          </w:tcPr>
          <w:p>
            <w:pPr>
              <w:pStyle w:val="TableParagraph"/>
              <w:rPr>
                <w:rFonts w:ascii="Times New Roman"/>
                <w:sz w:val="8"/>
              </w:rPr>
            </w:pPr>
          </w:p>
        </w:tc>
        <w:tc>
          <w:tcPr>
            <w:tcW w:w="660" w:type="dxa"/>
          </w:tcPr>
          <w:p>
            <w:pPr>
              <w:pStyle w:val="TableParagraph"/>
              <w:rPr>
                <w:rFonts w:ascii="Times New Roman"/>
                <w:sz w:val="8"/>
              </w:rPr>
            </w:pPr>
          </w:p>
        </w:tc>
        <w:tc>
          <w:tcPr>
            <w:tcW w:w="837" w:type="dxa"/>
            <w:tcBorders>
              <w:right w:val="single" w:sz="4" w:space="0" w:color="000000"/>
            </w:tcBorders>
            <w:shd w:val="clear" w:color="auto" w:fill="DEEAF6"/>
          </w:tcPr>
          <w:p>
            <w:pPr>
              <w:pStyle w:val="TableParagraph"/>
              <w:spacing w:line="121" w:lineRule="exact"/>
              <w:ind w:left="32" w:right="15"/>
              <w:jc w:val="center"/>
              <w:rPr>
                <w:sz w:val="12"/>
              </w:rPr>
            </w:pPr>
            <w:r>
              <w:rPr>
                <w:w w:val="105"/>
                <w:sz w:val="12"/>
              </w:rPr>
              <w:t>11.650.529,51</w:t>
            </w:r>
          </w:p>
        </w:tc>
      </w:tr>
      <w:tr>
        <w:trPr>
          <w:trHeight w:val="151" w:hRule="atLeast"/>
        </w:trPr>
        <w:tc>
          <w:tcPr>
            <w:tcW w:w="1262" w:type="dxa"/>
            <w:tcBorders>
              <w:left w:val="single" w:sz="4" w:space="0" w:color="000000"/>
              <w:bottom w:val="single" w:sz="4" w:space="0" w:color="000000"/>
              <w:right w:val="single" w:sz="4" w:space="0" w:color="000000"/>
            </w:tcBorders>
            <w:shd w:val="clear" w:color="auto" w:fill="D9D9D9"/>
          </w:tcPr>
          <w:p>
            <w:pPr>
              <w:pStyle w:val="TableParagraph"/>
              <w:spacing w:line="128" w:lineRule="exact" w:before="3"/>
              <w:ind w:left="22" w:right="16"/>
              <w:jc w:val="center"/>
              <w:rPr>
                <w:b/>
                <w:sz w:val="12"/>
              </w:rPr>
            </w:pPr>
            <w:r>
              <w:rPr>
                <w:b/>
                <w:w w:val="105"/>
                <w:sz w:val="12"/>
              </w:rPr>
              <w:t>Total general</w:t>
            </w:r>
          </w:p>
        </w:tc>
        <w:tc>
          <w:tcPr>
            <w:tcW w:w="1159" w:type="dxa"/>
            <w:tcBorders>
              <w:left w:val="single" w:sz="4" w:space="0" w:color="000000"/>
              <w:bottom w:val="single" w:sz="4" w:space="0" w:color="000000"/>
            </w:tcBorders>
            <w:shd w:val="clear" w:color="auto" w:fill="D9D9D9"/>
          </w:tcPr>
          <w:p>
            <w:pPr>
              <w:pStyle w:val="TableParagraph"/>
              <w:spacing w:line="128" w:lineRule="exact" w:before="3"/>
              <w:ind w:right="47"/>
              <w:jc w:val="right"/>
              <w:rPr>
                <w:b/>
                <w:sz w:val="12"/>
              </w:rPr>
            </w:pPr>
            <w:r>
              <w:rPr>
                <w:b/>
                <w:w w:val="105"/>
                <w:sz w:val="12"/>
              </w:rPr>
              <w:t>0,00</w:t>
            </w:r>
          </w:p>
        </w:tc>
        <w:tc>
          <w:tcPr>
            <w:tcW w:w="882" w:type="dxa"/>
            <w:tcBorders>
              <w:bottom w:val="single" w:sz="4" w:space="0" w:color="000000"/>
            </w:tcBorders>
            <w:shd w:val="clear" w:color="auto" w:fill="D9D9D9"/>
          </w:tcPr>
          <w:p>
            <w:pPr>
              <w:pStyle w:val="TableParagraph"/>
              <w:spacing w:line="128" w:lineRule="exact" w:before="3"/>
              <w:ind w:right="48"/>
              <w:jc w:val="right"/>
              <w:rPr>
                <w:b/>
                <w:sz w:val="12"/>
              </w:rPr>
            </w:pPr>
            <w:r>
              <w:rPr>
                <w:b/>
                <w:w w:val="105"/>
                <w:sz w:val="12"/>
              </w:rPr>
              <w:t>0,00</w:t>
            </w:r>
          </w:p>
        </w:tc>
        <w:tc>
          <w:tcPr>
            <w:tcW w:w="809" w:type="dxa"/>
            <w:tcBorders>
              <w:bottom w:val="single" w:sz="4" w:space="0" w:color="000000"/>
            </w:tcBorders>
            <w:shd w:val="clear" w:color="auto" w:fill="D9D9D9"/>
          </w:tcPr>
          <w:p>
            <w:pPr>
              <w:pStyle w:val="TableParagraph"/>
              <w:spacing w:line="128" w:lineRule="exact" w:before="3"/>
              <w:ind w:right="47"/>
              <w:jc w:val="right"/>
              <w:rPr>
                <w:b/>
                <w:sz w:val="12"/>
              </w:rPr>
            </w:pPr>
            <w:r>
              <w:rPr>
                <w:b/>
                <w:w w:val="105"/>
                <w:sz w:val="12"/>
              </w:rPr>
              <w:t>1.317.495,56</w:t>
            </w:r>
          </w:p>
        </w:tc>
        <w:tc>
          <w:tcPr>
            <w:tcW w:w="809" w:type="dxa"/>
            <w:tcBorders>
              <w:bottom w:val="single" w:sz="4" w:space="0" w:color="000000"/>
            </w:tcBorders>
            <w:shd w:val="clear" w:color="auto" w:fill="D9D9D9"/>
          </w:tcPr>
          <w:p>
            <w:pPr>
              <w:pStyle w:val="TableParagraph"/>
              <w:spacing w:line="128" w:lineRule="exact" w:before="3"/>
              <w:ind w:right="47"/>
              <w:jc w:val="right"/>
              <w:rPr>
                <w:b/>
                <w:sz w:val="12"/>
              </w:rPr>
            </w:pPr>
            <w:r>
              <w:rPr>
                <w:b/>
                <w:w w:val="105"/>
                <w:sz w:val="12"/>
              </w:rPr>
              <w:t>50.344,91</w:t>
            </w:r>
          </w:p>
        </w:tc>
        <w:tc>
          <w:tcPr>
            <w:tcW w:w="917" w:type="dxa"/>
            <w:tcBorders>
              <w:bottom w:val="single" w:sz="4" w:space="0" w:color="000000"/>
            </w:tcBorders>
            <w:shd w:val="clear" w:color="auto" w:fill="D9D9D9"/>
          </w:tcPr>
          <w:p>
            <w:pPr>
              <w:pStyle w:val="TableParagraph"/>
              <w:spacing w:line="128" w:lineRule="exact" w:before="3"/>
              <w:ind w:right="47"/>
              <w:jc w:val="right"/>
              <w:rPr>
                <w:b/>
                <w:sz w:val="12"/>
              </w:rPr>
            </w:pPr>
            <w:r>
              <w:rPr>
                <w:b/>
                <w:w w:val="105"/>
                <w:sz w:val="12"/>
              </w:rPr>
              <w:t>0,00</w:t>
            </w:r>
          </w:p>
        </w:tc>
        <w:tc>
          <w:tcPr>
            <w:tcW w:w="679" w:type="dxa"/>
            <w:tcBorders>
              <w:bottom w:val="single" w:sz="4" w:space="0" w:color="000000"/>
            </w:tcBorders>
            <w:shd w:val="clear" w:color="auto" w:fill="D9D9D9"/>
          </w:tcPr>
          <w:p>
            <w:pPr>
              <w:pStyle w:val="TableParagraph"/>
              <w:spacing w:line="128" w:lineRule="exact" w:before="3"/>
              <w:ind w:right="47"/>
              <w:jc w:val="right"/>
              <w:rPr>
                <w:b/>
                <w:sz w:val="12"/>
              </w:rPr>
            </w:pPr>
            <w:r>
              <w:rPr>
                <w:b/>
                <w:w w:val="105"/>
                <w:sz w:val="12"/>
              </w:rPr>
              <w:t>359.729,44</w:t>
            </w:r>
          </w:p>
        </w:tc>
        <w:tc>
          <w:tcPr>
            <w:tcW w:w="774" w:type="dxa"/>
            <w:tcBorders>
              <w:bottom w:val="single" w:sz="4" w:space="0" w:color="000000"/>
            </w:tcBorders>
            <w:shd w:val="clear" w:color="auto" w:fill="D9D9D9"/>
          </w:tcPr>
          <w:p>
            <w:pPr>
              <w:pStyle w:val="TableParagraph"/>
              <w:spacing w:line="128" w:lineRule="exact" w:before="3"/>
              <w:ind w:right="46"/>
              <w:jc w:val="right"/>
              <w:rPr>
                <w:b/>
                <w:sz w:val="12"/>
              </w:rPr>
            </w:pPr>
            <w:r>
              <w:rPr>
                <w:b/>
                <w:w w:val="105"/>
                <w:sz w:val="12"/>
              </w:rPr>
              <w:t>1.259.367,65</w:t>
            </w:r>
          </w:p>
        </w:tc>
        <w:tc>
          <w:tcPr>
            <w:tcW w:w="776" w:type="dxa"/>
            <w:tcBorders>
              <w:bottom w:val="single" w:sz="4" w:space="0" w:color="000000"/>
            </w:tcBorders>
            <w:shd w:val="clear" w:color="auto" w:fill="D9D9D9"/>
          </w:tcPr>
          <w:p>
            <w:pPr>
              <w:pStyle w:val="TableParagraph"/>
              <w:spacing w:line="128" w:lineRule="exact" w:before="3"/>
              <w:ind w:left="34" w:right="27"/>
              <w:jc w:val="center"/>
              <w:rPr>
                <w:b/>
                <w:sz w:val="12"/>
              </w:rPr>
            </w:pPr>
            <w:r>
              <w:rPr>
                <w:b/>
                <w:w w:val="105"/>
                <w:sz w:val="12"/>
              </w:rPr>
              <w:t>1.109.238,55</w:t>
            </w:r>
          </w:p>
        </w:tc>
        <w:tc>
          <w:tcPr>
            <w:tcW w:w="922" w:type="dxa"/>
            <w:tcBorders>
              <w:bottom w:val="single" w:sz="4" w:space="0" w:color="000000"/>
            </w:tcBorders>
            <w:shd w:val="clear" w:color="auto" w:fill="D9D9D9"/>
          </w:tcPr>
          <w:p>
            <w:pPr>
              <w:pStyle w:val="TableParagraph"/>
              <w:spacing w:line="128" w:lineRule="exact" w:before="3"/>
              <w:ind w:right="47"/>
              <w:jc w:val="right"/>
              <w:rPr>
                <w:b/>
                <w:sz w:val="12"/>
              </w:rPr>
            </w:pPr>
            <w:r>
              <w:rPr>
                <w:b/>
                <w:w w:val="105"/>
                <w:sz w:val="12"/>
              </w:rPr>
              <w:t>114.976,79</w:t>
            </w:r>
          </w:p>
        </w:tc>
        <w:tc>
          <w:tcPr>
            <w:tcW w:w="662" w:type="dxa"/>
            <w:tcBorders>
              <w:bottom w:val="single" w:sz="4" w:space="0" w:color="000000"/>
            </w:tcBorders>
            <w:shd w:val="clear" w:color="auto" w:fill="D9D9D9"/>
          </w:tcPr>
          <w:p>
            <w:pPr>
              <w:pStyle w:val="TableParagraph"/>
              <w:spacing w:line="128" w:lineRule="exact" w:before="3"/>
              <w:ind w:left="79" w:right="29"/>
              <w:jc w:val="center"/>
              <w:rPr>
                <w:b/>
                <w:sz w:val="12"/>
              </w:rPr>
            </w:pPr>
            <w:r>
              <w:rPr>
                <w:b/>
                <w:w w:val="105"/>
                <w:sz w:val="12"/>
              </w:rPr>
              <w:t>46.660,84</w:t>
            </w:r>
          </w:p>
        </w:tc>
        <w:tc>
          <w:tcPr>
            <w:tcW w:w="660" w:type="dxa"/>
            <w:tcBorders>
              <w:bottom w:val="single" w:sz="4" w:space="0" w:color="000000"/>
            </w:tcBorders>
            <w:shd w:val="clear" w:color="auto" w:fill="D9D9D9"/>
          </w:tcPr>
          <w:p>
            <w:pPr>
              <w:pStyle w:val="TableParagraph"/>
              <w:spacing w:line="128" w:lineRule="exact" w:before="3"/>
              <w:ind w:right="47"/>
              <w:jc w:val="right"/>
              <w:rPr>
                <w:b/>
                <w:sz w:val="12"/>
              </w:rPr>
            </w:pPr>
            <w:r>
              <w:rPr>
                <w:b/>
                <w:w w:val="105"/>
                <w:sz w:val="12"/>
              </w:rPr>
              <w:t>66.436,58</w:t>
            </w:r>
          </w:p>
        </w:tc>
        <w:tc>
          <w:tcPr>
            <w:tcW w:w="837" w:type="dxa"/>
            <w:tcBorders>
              <w:bottom w:val="single" w:sz="4" w:space="0" w:color="000000"/>
              <w:right w:val="single" w:sz="4" w:space="0" w:color="000000"/>
            </w:tcBorders>
            <w:shd w:val="clear" w:color="auto" w:fill="D9D9D9"/>
          </w:tcPr>
          <w:p>
            <w:pPr>
              <w:pStyle w:val="TableParagraph"/>
              <w:spacing w:line="128" w:lineRule="exact" w:before="3"/>
              <w:ind w:left="32" w:right="20"/>
              <w:jc w:val="center"/>
              <w:rPr>
                <w:b/>
                <w:sz w:val="12"/>
              </w:rPr>
            </w:pPr>
            <w:r>
              <w:rPr>
                <w:b/>
                <w:w w:val="105"/>
                <w:sz w:val="12"/>
              </w:rPr>
              <w:t>29.882.812,33</w:t>
            </w:r>
          </w:p>
        </w:tc>
      </w:tr>
    </w:tbl>
    <w:p>
      <w:pPr>
        <w:spacing w:before="16"/>
        <w:ind w:left="1655" w:right="0" w:firstLine="0"/>
        <w:jc w:val="left"/>
        <w:rPr>
          <w:sz w:val="12"/>
        </w:rPr>
      </w:pPr>
      <w:r>
        <w:rPr>
          <w:b/>
          <w:w w:val="105"/>
          <w:sz w:val="12"/>
        </w:rPr>
        <w:t>Fuente</w:t>
      </w:r>
      <w:r>
        <w:rPr>
          <w:w w:val="105"/>
          <w:sz w:val="12"/>
        </w:rPr>
        <w:t>: Ficheros Relación deudores MAGIN/PICCAC/SEFLOGIC cerrados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5"/>
        </w:rPr>
      </w:pPr>
    </w:p>
    <w:p>
      <w:pPr>
        <w:spacing w:before="68"/>
        <w:ind w:left="10855" w:right="1577" w:firstLine="0"/>
        <w:jc w:val="center"/>
        <w:rPr>
          <w:sz w:val="18"/>
        </w:rPr>
      </w:pPr>
      <w:r>
        <w:rPr>
          <w:w w:val="105"/>
          <w:sz w:val="18"/>
        </w:rPr>
        <w:t>175</w:t>
      </w:r>
    </w:p>
    <w:p>
      <w:pPr>
        <w:spacing w:before="8"/>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75" name="image5.png"/>
                  <wp:cNvGraphicFramePr>
                    <a:graphicFrameLocks noChangeAspect="1"/>
                  </wp:cNvGraphicFramePr>
                  <a:graphic>
                    <a:graphicData uri="http://schemas.openxmlformats.org/drawingml/2006/picture">
                      <pic:pic>
                        <pic:nvPicPr>
                          <pic:cNvPr id="37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177/247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11:14:27</w:t>
            </w:r>
          </w:p>
        </w:tc>
        <w:tc>
          <w:tcPr>
            <w:tcW w:w="1442" w:type="dxa"/>
            <w:vMerge/>
            <w:tcBorders>
              <w:top w:val="nil"/>
            </w:tcBorders>
          </w:tcPr>
          <w:p>
            <w:pPr>
              <w:rPr>
                <w:sz w:val="2"/>
                <w:szCs w:val="2"/>
              </w:rPr>
            </w:pPr>
          </w:p>
        </w:tc>
      </w:tr>
    </w:tbl>
    <w:p>
      <w:pPr>
        <w:spacing w:after="0"/>
        <w:rPr>
          <w:sz w:val="2"/>
          <w:szCs w:val="2"/>
        </w:rPr>
        <w:sectPr>
          <w:pgSz w:w="16840" w:h="11900" w:orient="landscape"/>
          <w:pgMar w:header="797" w:footer="1006" w:top="1620" w:bottom="1200" w:left="1160" w:right="1160"/>
        </w:sectPr>
      </w:pPr>
    </w:p>
    <w:p>
      <w:pPr>
        <w:pStyle w:val="BodyText"/>
        <w:spacing w:before="5"/>
        <w:rPr>
          <w:b/>
          <w:sz w:val="13"/>
        </w:rPr>
      </w:pPr>
    </w:p>
    <w:p>
      <w:pPr>
        <w:spacing w:line="247" w:lineRule="auto" w:before="0"/>
        <w:ind w:left="2489" w:right="2483" w:hanging="448"/>
        <w:jc w:val="left"/>
        <w:rPr>
          <w:b/>
          <w:sz w:val="18"/>
        </w:rPr>
      </w:pPr>
      <w:r>
        <w:rPr>
          <w:b/>
          <w:color w:val="53A1B9"/>
          <w:w w:val="105"/>
          <w:sz w:val="18"/>
        </w:rPr>
        <w:t>10.5 Anexo V. Pendientes de cobros del área REF, separado IGIC y resto de conceptos, por sistemas de origen y por estado de la deuda, voluntaria y ejecutiva.</w:t>
      </w:r>
    </w:p>
    <w:tbl>
      <w:tblPr>
        <w:tblW w:w="0" w:type="auto"/>
        <w:jc w:val="left"/>
        <w:tblInd w:w="1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0"/>
        <w:gridCol w:w="886"/>
        <w:gridCol w:w="1005"/>
        <w:gridCol w:w="1032"/>
        <w:gridCol w:w="1030"/>
        <w:gridCol w:w="1051"/>
        <w:gridCol w:w="904"/>
        <w:gridCol w:w="986"/>
        <w:gridCol w:w="1051"/>
        <w:gridCol w:w="1109"/>
        <w:gridCol w:w="1004"/>
        <w:gridCol w:w="1008"/>
      </w:tblGrid>
      <w:tr>
        <w:trPr>
          <w:trHeight w:val="148" w:hRule="atLeast"/>
        </w:trPr>
        <w:tc>
          <w:tcPr>
            <w:tcW w:w="580" w:type="dxa"/>
            <w:tcBorders>
              <w:bottom w:val="single" w:sz="4" w:space="0" w:color="000000"/>
              <w:right w:val="single" w:sz="4" w:space="0" w:color="000000"/>
            </w:tcBorders>
          </w:tcPr>
          <w:p>
            <w:pPr>
              <w:pStyle w:val="TableParagraph"/>
              <w:rPr>
                <w:rFonts w:ascii="Times New Roman"/>
                <w:sz w:val="8"/>
              </w:rPr>
            </w:pPr>
          </w:p>
        </w:tc>
        <w:tc>
          <w:tcPr>
            <w:tcW w:w="5004" w:type="dxa"/>
            <w:gridSpan w:val="5"/>
            <w:tcBorders>
              <w:top w:val="single" w:sz="4" w:space="0" w:color="000000"/>
              <w:left w:val="single" w:sz="4" w:space="0" w:color="000000"/>
              <w:bottom w:val="single" w:sz="4" w:space="0" w:color="000000"/>
              <w:right w:val="single" w:sz="4" w:space="0" w:color="000000"/>
            </w:tcBorders>
            <w:shd w:val="clear" w:color="auto" w:fill="D9E0F1"/>
          </w:tcPr>
          <w:p>
            <w:pPr>
              <w:pStyle w:val="TableParagraph"/>
              <w:spacing w:line="127" w:lineRule="exact" w:before="2"/>
              <w:ind w:left="2370" w:right="2369"/>
              <w:jc w:val="center"/>
              <w:rPr>
                <w:b/>
                <w:sz w:val="12"/>
              </w:rPr>
            </w:pPr>
            <w:r>
              <w:rPr>
                <w:b/>
                <w:w w:val="105"/>
                <w:sz w:val="12"/>
              </w:rPr>
              <w:t>IGIC</w:t>
            </w:r>
          </w:p>
        </w:tc>
        <w:tc>
          <w:tcPr>
            <w:tcW w:w="5054" w:type="dxa"/>
            <w:gridSpan w:val="5"/>
            <w:tcBorders>
              <w:top w:val="single" w:sz="4" w:space="0" w:color="000000"/>
              <w:left w:val="single" w:sz="4" w:space="0" w:color="000000"/>
              <w:bottom w:val="single" w:sz="4" w:space="0" w:color="000000"/>
              <w:right w:val="single" w:sz="4" w:space="0" w:color="000000"/>
            </w:tcBorders>
            <w:shd w:val="clear" w:color="auto" w:fill="FBE3D5"/>
          </w:tcPr>
          <w:p>
            <w:pPr>
              <w:pStyle w:val="TableParagraph"/>
              <w:spacing w:line="127" w:lineRule="exact" w:before="2"/>
              <w:ind w:left="2069" w:right="2075"/>
              <w:jc w:val="center"/>
              <w:rPr>
                <w:b/>
                <w:sz w:val="12"/>
              </w:rPr>
            </w:pPr>
            <w:r>
              <w:rPr>
                <w:b/>
                <w:w w:val="105"/>
                <w:sz w:val="12"/>
              </w:rPr>
              <w:t>Resto conceptos</w:t>
            </w:r>
          </w:p>
        </w:tc>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9" w:lineRule="auto" w:before="80"/>
              <w:ind w:left="308" w:right="317" w:firstLine="50"/>
              <w:rPr>
                <w:b/>
                <w:sz w:val="12"/>
              </w:rPr>
            </w:pPr>
            <w:r>
              <w:rPr>
                <w:b/>
                <w:w w:val="105"/>
                <w:sz w:val="12"/>
              </w:rPr>
              <w:t>Total </w:t>
            </w:r>
            <w:r>
              <w:rPr>
                <w:b/>
                <w:sz w:val="12"/>
              </w:rPr>
              <w:t>(Euros)</w:t>
            </w:r>
          </w:p>
        </w:tc>
      </w:tr>
      <w:tr>
        <w:trPr>
          <w:trHeight w:val="301" w:hRule="atLeast"/>
        </w:trPr>
        <w:tc>
          <w:tcPr>
            <w:tcW w:w="580"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78"/>
              <w:ind w:left="50" w:right="42"/>
              <w:jc w:val="center"/>
              <w:rPr>
                <w:b/>
                <w:sz w:val="12"/>
              </w:rPr>
            </w:pPr>
            <w:r>
              <w:rPr>
                <w:b/>
                <w:w w:val="105"/>
                <w:sz w:val="12"/>
              </w:rPr>
              <w:t>Ejercicio</w:t>
            </w:r>
          </w:p>
        </w:tc>
        <w:tc>
          <w:tcPr>
            <w:tcW w:w="88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2"/>
              <w:ind w:left="254"/>
              <w:rPr>
                <w:b/>
                <w:sz w:val="12"/>
              </w:rPr>
            </w:pPr>
            <w:r>
              <w:rPr>
                <w:b/>
                <w:w w:val="105"/>
                <w:sz w:val="12"/>
              </w:rPr>
              <w:t>PICCAC</w:t>
            </w:r>
          </w:p>
          <w:p>
            <w:pPr>
              <w:pStyle w:val="TableParagraph"/>
              <w:spacing w:line="127" w:lineRule="exact" w:before="6"/>
              <w:ind w:left="175"/>
              <w:rPr>
                <w:b/>
                <w:sz w:val="12"/>
              </w:rPr>
            </w:pPr>
            <w:r>
              <w:rPr>
                <w:b/>
                <w:w w:val="105"/>
                <w:sz w:val="12"/>
              </w:rPr>
              <w:t>voluntaria</w:t>
            </w:r>
          </w:p>
        </w:tc>
        <w:tc>
          <w:tcPr>
            <w:tcW w:w="1005"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2"/>
              <w:ind w:left="202" w:right="198"/>
              <w:jc w:val="center"/>
              <w:rPr>
                <w:b/>
                <w:sz w:val="12"/>
              </w:rPr>
            </w:pPr>
            <w:r>
              <w:rPr>
                <w:b/>
                <w:w w:val="105"/>
                <w:sz w:val="12"/>
              </w:rPr>
              <w:t>Magin</w:t>
            </w:r>
          </w:p>
          <w:p>
            <w:pPr>
              <w:pStyle w:val="TableParagraph"/>
              <w:spacing w:line="127" w:lineRule="exact" w:before="6"/>
              <w:ind w:left="204" w:right="198"/>
              <w:jc w:val="center"/>
              <w:rPr>
                <w:b/>
                <w:sz w:val="12"/>
              </w:rPr>
            </w:pPr>
            <w:r>
              <w:rPr>
                <w:b/>
                <w:w w:val="105"/>
                <w:sz w:val="12"/>
              </w:rPr>
              <w:t>Voluntaria</w:t>
            </w:r>
          </w:p>
        </w:tc>
        <w:tc>
          <w:tcPr>
            <w:tcW w:w="103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78"/>
              <w:ind w:right="73"/>
              <w:jc w:val="right"/>
              <w:rPr>
                <w:b/>
                <w:sz w:val="12"/>
              </w:rPr>
            </w:pPr>
            <w:r>
              <w:rPr>
                <w:b/>
                <w:w w:val="105"/>
                <w:sz w:val="12"/>
              </w:rPr>
              <w:t>PICCAC ejecutiva</w:t>
            </w:r>
          </w:p>
        </w:tc>
        <w:tc>
          <w:tcPr>
            <w:tcW w:w="1030"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78"/>
              <w:ind w:left="97"/>
              <w:rPr>
                <w:b/>
                <w:sz w:val="12"/>
              </w:rPr>
            </w:pPr>
            <w:r>
              <w:rPr>
                <w:b/>
                <w:w w:val="105"/>
                <w:sz w:val="12"/>
              </w:rPr>
              <w:t>Magin ejecutiva</w:t>
            </w:r>
          </w:p>
        </w:tc>
        <w:tc>
          <w:tcPr>
            <w:tcW w:w="1051"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78"/>
              <w:ind w:left="268"/>
              <w:rPr>
                <w:b/>
                <w:sz w:val="12"/>
              </w:rPr>
            </w:pPr>
            <w:r>
              <w:rPr>
                <w:b/>
                <w:w w:val="105"/>
                <w:sz w:val="12"/>
              </w:rPr>
              <w:t>Total IGIC</w:t>
            </w:r>
          </w:p>
        </w:tc>
        <w:tc>
          <w:tcPr>
            <w:tcW w:w="90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2"/>
              <w:ind w:left="257"/>
              <w:rPr>
                <w:b/>
                <w:sz w:val="12"/>
              </w:rPr>
            </w:pPr>
            <w:r>
              <w:rPr>
                <w:b/>
                <w:w w:val="105"/>
                <w:sz w:val="12"/>
              </w:rPr>
              <w:t>PICCAC</w:t>
            </w:r>
          </w:p>
          <w:p>
            <w:pPr>
              <w:pStyle w:val="TableParagraph"/>
              <w:spacing w:line="127" w:lineRule="exact" w:before="6"/>
              <w:ind w:left="181"/>
              <w:rPr>
                <w:b/>
                <w:sz w:val="12"/>
              </w:rPr>
            </w:pPr>
            <w:r>
              <w:rPr>
                <w:b/>
                <w:w w:val="105"/>
                <w:sz w:val="12"/>
              </w:rPr>
              <w:t>voluntaria</w:t>
            </w:r>
          </w:p>
        </w:tc>
        <w:tc>
          <w:tcPr>
            <w:tcW w:w="986"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2"/>
              <w:ind w:left="189" w:right="192"/>
              <w:jc w:val="center"/>
              <w:rPr>
                <w:b/>
                <w:sz w:val="12"/>
              </w:rPr>
            </w:pPr>
            <w:r>
              <w:rPr>
                <w:b/>
                <w:w w:val="105"/>
                <w:sz w:val="12"/>
              </w:rPr>
              <w:t>Magin</w:t>
            </w:r>
          </w:p>
          <w:p>
            <w:pPr>
              <w:pStyle w:val="TableParagraph"/>
              <w:spacing w:line="127" w:lineRule="exact" w:before="6"/>
              <w:ind w:left="191" w:right="192"/>
              <w:jc w:val="center"/>
              <w:rPr>
                <w:b/>
                <w:sz w:val="12"/>
              </w:rPr>
            </w:pPr>
            <w:r>
              <w:rPr>
                <w:b/>
                <w:w w:val="105"/>
                <w:sz w:val="12"/>
              </w:rPr>
              <w:t>Voluntaria</w:t>
            </w:r>
          </w:p>
        </w:tc>
        <w:tc>
          <w:tcPr>
            <w:tcW w:w="1051"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78"/>
              <w:ind w:right="88"/>
              <w:jc w:val="right"/>
              <w:rPr>
                <w:b/>
                <w:sz w:val="12"/>
              </w:rPr>
            </w:pPr>
            <w:r>
              <w:rPr>
                <w:b/>
                <w:w w:val="105"/>
                <w:sz w:val="12"/>
              </w:rPr>
              <w:t>PICCAC ejecutiva</w:t>
            </w:r>
          </w:p>
        </w:tc>
        <w:tc>
          <w:tcPr>
            <w:tcW w:w="110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78"/>
              <w:ind w:left="129"/>
              <w:rPr>
                <w:b/>
                <w:sz w:val="12"/>
              </w:rPr>
            </w:pPr>
            <w:r>
              <w:rPr>
                <w:b/>
                <w:w w:val="105"/>
                <w:sz w:val="12"/>
              </w:rPr>
              <w:t>Magin ejecutiva</w:t>
            </w:r>
          </w:p>
        </w:tc>
        <w:tc>
          <w:tcPr>
            <w:tcW w:w="100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2"/>
              <w:ind w:left="210"/>
              <w:rPr>
                <w:b/>
                <w:sz w:val="12"/>
              </w:rPr>
            </w:pPr>
            <w:r>
              <w:rPr>
                <w:b/>
                <w:w w:val="105"/>
                <w:sz w:val="12"/>
              </w:rPr>
              <w:t>Total</w:t>
            </w:r>
            <w:r>
              <w:rPr>
                <w:b/>
                <w:spacing w:val="-12"/>
                <w:w w:val="105"/>
                <w:sz w:val="12"/>
              </w:rPr>
              <w:t> </w:t>
            </w:r>
            <w:r>
              <w:rPr>
                <w:b/>
                <w:w w:val="105"/>
                <w:sz w:val="12"/>
              </w:rPr>
              <w:t>resto</w:t>
            </w:r>
          </w:p>
          <w:p>
            <w:pPr>
              <w:pStyle w:val="TableParagraph"/>
              <w:spacing w:line="127" w:lineRule="exact" w:before="6"/>
              <w:ind w:left="227"/>
              <w:rPr>
                <w:b/>
                <w:sz w:val="12"/>
              </w:rPr>
            </w:pPr>
            <w:r>
              <w:rPr>
                <w:b/>
                <w:w w:val="105"/>
                <w:sz w:val="12"/>
              </w:rPr>
              <w:t>conceptos</w:t>
            </w:r>
          </w:p>
        </w:tc>
        <w:tc>
          <w:tcPr>
            <w:tcW w:w="1008" w:type="dxa"/>
            <w:vMerge/>
            <w:tcBorders>
              <w:top w:val="nil"/>
              <w:left w:val="single" w:sz="4" w:space="0" w:color="000000"/>
              <w:bottom w:val="single" w:sz="4" w:space="0" w:color="000000"/>
              <w:right w:val="single" w:sz="4" w:space="0" w:color="000000"/>
            </w:tcBorders>
            <w:shd w:val="clear" w:color="auto" w:fill="DEEAF6"/>
          </w:tcPr>
          <w:p>
            <w:pPr>
              <w:rPr>
                <w:sz w:val="2"/>
                <w:szCs w:val="2"/>
              </w:rPr>
            </w:pPr>
          </w:p>
        </w:tc>
      </w:tr>
      <w:tr>
        <w:trPr>
          <w:trHeight w:val="161" w:hRule="atLeast"/>
        </w:trPr>
        <w:tc>
          <w:tcPr>
            <w:tcW w:w="580" w:type="dxa"/>
            <w:tcBorders>
              <w:top w:val="single" w:sz="4" w:space="0" w:color="000000"/>
              <w:left w:val="single" w:sz="4" w:space="0" w:color="000000"/>
            </w:tcBorders>
          </w:tcPr>
          <w:p>
            <w:pPr>
              <w:pStyle w:val="TableParagraph"/>
              <w:spacing w:line="139" w:lineRule="exact" w:before="2"/>
              <w:ind w:left="97" w:right="93"/>
              <w:jc w:val="center"/>
              <w:rPr>
                <w:sz w:val="12"/>
              </w:rPr>
            </w:pPr>
            <w:r>
              <w:rPr>
                <w:w w:val="105"/>
                <w:sz w:val="12"/>
              </w:rPr>
              <w:t>1984</w:t>
            </w:r>
          </w:p>
        </w:tc>
        <w:tc>
          <w:tcPr>
            <w:tcW w:w="886" w:type="dxa"/>
            <w:tcBorders>
              <w:top w:val="single" w:sz="4" w:space="0" w:color="000000"/>
            </w:tcBorders>
          </w:tcPr>
          <w:p>
            <w:pPr>
              <w:pStyle w:val="TableParagraph"/>
              <w:rPr>
                <w:rFonts w:ascii="Times New Roman"/>
                <w:sz w:val="10"/>
              </w:rPr>
            </w:pPr>
          </w:p>
        </w:tc>
        <w:tc>
          <w:tcPr>
            <w:tcW w:w="1005" w:type="dxa"/>
            <w:tcBorders>
              <w:top w:val="single" w:sz="4" w:space="0" w:color="000000"/>
            </w:tcBorders>
          </w:tcPr>
          <w:p>
            <w:pPr>
              <w:pStyle w:val="TableParagraph"/>
              <w:rPr>
                <w:rFonts w:ascii="Times New Roman"/>
                <w:sz w:val="10"/>
              </w:rPr>
            </w:pPr>
          </w:p>
        </w:tc>
        <w:tc>
          <w:tcPr>
            <w:tcW w:w="1032" w:type="dxa"/>
            <w:tcBorders>
              <w:top w:val="single" w:sz="4" w:space="0" w:color="000000"/>
            </w:tcBorders>
          </w:tcPr>
          <w:p>
            <w:pPr>
              <w:pStyle w:val="TableParagraph"/>
              <w:rPr>
                <w:rFonts w:ascii="Times New Roman"/>
                <w:sz w:val="10"/>
              </w:rPr>
            </w:pPr>
          </w:p>
        </w:tc>
        <w:tc>
          <w:tcPr>
            <w:tcW w:w="1030" w:type="dxa"/>
            <w:tcBorders>
              <w:top w:val="single" w:sz="4" w:space="0" w:color="000000"/>
            </w:tcBorders>
          </w:tcPr>
          <w:p>
            <w:pPr>
              <w:pStyle w:val="TableParagraph"/>
              <w:rPr>
                <w:rFonts w:ascii="Times New Roman"/>
                <w:sz w:val="10"/>
              </w:rPr>
            </w:pPr>
          </w:p>
        </w:tc>
        <w:tc>
          <w:tcPr>
            <w:tcW w:w="1051" w:type="dxa"/>
            <w:tcBorders>
              <w:top w:val="single" w:sz="4" w:space="0" w:color="000000"/>
            </w:tcBorders>
          </w:tcPr>
          <w:p>
            <w:pPr>
              <w:pStyle w:val="TableParagraph"/>
              <w:spacing w:line="139" w:lineRule="exact" w:before="2"/>
              <w:ind w:right="54"/>
              <w:jc w:val="right"/>
              <w:rPr>
                <w:b/>
                <w:sz w:val="12"/>
              </w:rPr>
            </w:pPr>
            <w:r>
              <w:rPr>
                <w:b/>
                <w:w w:val="105"/>
                <w:sz w:val="12"/>
              </w:rPr>
              <w:t>0,00</w:t>
            </w:r>
          </w:p>
        </w:tc>
        <w:tc>
          <w:tcPr>
            <w:tcW w:w="904" w:type="dxa"/>
            <w:tcBorders>
              <w:top w:val="single" w:sz="4" w:space="0" w:color="000000"/>
            </w:tcBorders>
          </w:tcPr>
          <w:p>
            <w:pPr>
              <w:pStyle w:val="TableParagraph"/>
              <w:rPr>
                <w:rFonts w:ascii="Times New Roman"/>
                <w:sz w:val="10"/>
              </w:rPr>
            </w:pPr>
          </w:p>
        </w:tc>
        <w:tc>
          <w:tcPr>
            <w:tcW w:w="986" w:type="dxa"/>
            <w:tcBorders>
              <w:top w:val="single" w:sz="4" w:space="0" w:color="000000"/>
            </w:tcBorders>
          </w:tcPr>
          <w:p>
            <w:pPr>
              <w:pStyle w:val="TableParagraph"/>
              <w:rPr>
                <w:rFonts w:ascii="Times New Roman"/>
                <w:sz w:val="10"/>
              </w:rPr>
            </w:pPr>
          </w:p>
        </w:tc>
        <w:tc>
          <w:tcPr>
            <w:tcW w:w="1051" w:type="dxa"/>
            <w:tcBorders>
              <w:top w:val="single" w:sz="4" w:space="0" w:color="000000"/>
            </w:tcBorders>
          </w:tcPr>
          <w:p>
            <w:pPr>
              <w:pStyle w:val="TableParagraph"/>
              <w:spacing w:line="139" w:lineRule="exact" w:before="2"/>
              <w:ind w:right="55"/>
              <w:jc w:val="right"/>
              <w:rPr>
                <w:sz w:val="12"/>
              </w:rPr>
            </w:pPr>
            <w:r>
              <w:rPr>
                <w:sz w:val="12"/>
              </w:rPr>
              <w:t>80,09</w:t>
            </w:r>
          </w:p>
        </w:tc>
        <w:tc>
          <w:tcPr>
            <w:tcW w:w="1109" w:type="dxa"/>
            <w:tcBorders>
              <w:top w:val="single" w:sz="4" w:space="0" w:color="000000"/>
            </w:tcBorders>
          </w:tcPr>
          <w:p>
            <w:pPr>
              <w:pStyle w:val="TableParagraph"/>
              <w:rPr>
                <w:rFonts w:ascii="Times New Roman"/>
                <w:sz w:val="10"/>
              </w:rPr>
            </w:pPr>
          </w:p>
        </w:tc>
        <w:tc>
          <w:tcPr>
            <w:tcW w:w="1004" w:type="dxa"/>
            <w:tcBorders>
              <w:top w:val="single" w:sz="4" w:space="0" w:color="000000"/>
            </w:tcBorders>
          </w:tcPr>
          <w:p>
            <w:pPr>
              <w:pStyle w:val="TableParagraph"/>
              <w:spacing w:line="139" w:lineRule="exact" w:before="2"/>
              <w:ind w:right="57"/>
              <w:jc w:val="right"/>
              <w:rPr>
                <w:b/>
                <w:sz w:val="12"/>
              </w:rPr>
            </w:pPr>
            <w:r>
              <w:rPr>
                <w:b/>
                <w:w w:val="105"/>
                <w:sz w:val="12"/>
              </w:rPr>
              <w:t>80,09</w:t>
            </w:r>
          </w:p>
        </w:tc>
        <w:tc>
          <w:tcPr>
            <w:tcW w:w="1008" w:type="dxa"/>
            <w:tcBorders>
              <w:top w:val="single" w:sz="4" w:space="0" w:color="000000"/>
              <w:right w:val="single" w:sz="4" w:space="0" w:color="000000"/>
            </w:tcBorders>
          </w:tcPr>
          <w:p>
            <w:pPr>
              <w:pStyle w:val="TableParagraph"/>
              <w:spacing w:line="139" w:lineRule="exact" w:before="2"/>
              <w:ind w:right="54"/>
              <w:jc w:val="right"/>
              <w:rPr>
                <w:b/>
                <w:sz w:val="12"/>
              </w:rPr>
            </w:pPr>
            <w:r>
              <w:rPr>
                <w:b/>
                <w:w w:val="105"/>
                <w:sz w:val="12"/>
              </w:rPr>
              <w:t>80,09</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1987</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rPr>
                <w:rFonts w:ascii="Times New Roman"/>
                <w:sz w:val="8"/>
              </w:rPr>
            </w:pPr>
          </w:p>
        </w:tc>
        <w:tc>
          <w:tcPr>
            <w:tcW w:w="1030" w:type="dxa"/>
          </w:tcPr>
          <w:p>
            <w:pPr>
              <w:pStyle w:val="TableParagraph"/>
              <w:rPr>
                <w:rFonts w:ascii="Times New Roman"/>
                <w:sz w:val="8"/>
              </w:rPr>
            </w:pPr>
          </w:p>
        </w:tc>
        <w:tc>
          <w:tcPr>
            <w:tcW w:w="1051" w:type="dxa"/>
          </w:tcPr>
          <w:p>
            <w:pPr>
              <w:pStyle w:val="TableParagraph"/>
              <w:spacing w:line="132" w:lineRule="exact"/>
              <w:ind w:right="54"/>
              <w:jc w:val="right"/>
              <w:rPr>
                <w:b/>
                <w:sz w:val="12"/>
              </w:rPr>
            </w:pPr>
            <w:r>
              <w:rPr>
                <w:b/>
                <w:w w:val="105"/>
                <w:sz w:val="12"/>
              </w:rPr>
              <w:t>0,00</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10,38</w:t>
            </w:r>
          </w:p>
        </w:tc>
        <w:tc>
          <w:tcPr>
            <w:tcW w:w="1109" w:type="dxa"/>
          </w:tcPr>
          <w:p>
            <w:pPr>
              <w:pStyle w:val="TableParagraph"/>
              <w:rPr>
                <w:rFonts w:ascii="Times New Roman"/>
                <w:sz w:val="8"/>
              </w:rPr>
            </w:pPr>
          </w:p>
        </w:tc>
        <w:tc>
          <w:tcPr>
            <w:tcW w:w="1004" w:type="dxa"/>
          </w:tcPr>
          <w:p>
            <w:pPr>
              <w:pStyle w:val="TableParagraph"/>
              <w:spacing w:line="132" w:lineRule="exact"/>
              <w:ind w:right="57"/>
              <w:jc w:val="right"/>
              <w:rPr>
                <w:b/>
                <w:sz w:val="12"/>
              </w:rPr>
            </w:pPr>
            <w:r>
              <w:rPr>
                <w:b/>
                <w:w w:val="105"/>
                <w:sz w:val="12"/>
              </w:rPr>
              <w:t>10,38</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10,38</w:t>
            </w:r>
          </w:p>
        </w:tc>
      </w:tr>
      <w:tr>
        <w:trPr>
          <w:trHeight w:val="150" w:hRule="atLeast"/>
        </w:trPr>
        <w:tc>
          <w:tcPr>
            <w:tcW w:w="580" w:type="dxa"/>
            <w:tcBorders>
              <w:left w:val="single" w:sz="4" w:space="0" w:color="000000"/>
            </w:tcBorders>
          </w:tcPr>
          <w:p>
            <w:pPr>
              <w:pStyle w:val="TableParagraph"/>
              <w:spacing w:line="131" w:lineRule="exact"/>
              <w:ind w:left="97" w:right="93"/>
              <w:jc w:val="center"/>
              <w:rPr>
                <w:sz w:val="12"/>
              </w:rPr>
            </w:pPr>
            <w:r>
              <w:rPr>
                <w:w w:val="105"/>
                <w:sz w:val="12"/>
              </w:rPr>
              <w:t>1988</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rPr>
                <w:rFonts w:ascii="Times New Roman"/>
                <w:sz w:val="8"/>
              </w:rPr>
            </w:pPr>
          </w:p>
        </w:tc>
        <w:tc>
          <w:tcPr>
            <w:tcW w:w="1030" w:type="dxa"/>
          </w:tcPr>
          <w:p>
            <w:pPr>
              <w:pStyle w:val="TableParagraph"/>
              <w:rPr>
                <w:rFonts w:ascii="Times New Roman"/>
                <w:sz w:val="8"/>
              </w:rPr>
            </w:pPr>
          </w:p>
        </w:tc>
        <w:tc>
          <w:tcPr>
            <w:tcW w:w="1051" w:type="dxa"/>
          </w:tcPr>
          <w:p>
            <w:pPr>
              <w:pStyle w:val="TableParagraph"/>
              <w:spacing w:line="131" w:lineRule="exact"/>
              <w:ind w:right="54"/>
              <w:jc w:val="right"/>
              <w:rPr>
                <w:b/>
                <w:sz w:val="12"/>
              </w:rPr>
            </w:pPr>
            <w:r>
              <w:rPr>
                <w:b/>
                <w:w w:val="105"/>
                <w:sz w:val="12"/>
              </w:rPr>
              <w:t>0,00</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1" w:lineRule="exact"/>
              <w:ind w:right="55"/>
              <w:jc w:val="right"/>
              <w:rPr>
                <w:sz w:val="12"/>
              </w:rPr>
            </w:pPr>
            <w:r>
              <w:rPr>
                <w:sz w:val="12"/>
              </w:rPr>
              <w:t>75,64</w:t>
            </w:r>
          </w:p>
        </w:tc>
        <w:tc>
          <w:tcPr>
            <w:tcW w:w="1109" w:type="dxa"/>
          </w:tcPr>
          <w:p>
            <w:pPr>
              <w:pStyle w:val="TableParagraph"/>
              <w:rPr>
                <w:rFonts w:ascii="Times New Roman"/>
                <w:sz w:val="8"/>
              </w:rPr>
            </w:pPr>
          </w:p>
        </w:tc>
        <w:tc>
          <w:tcPr>
            <w:tcW w:w="1004" w:type="dxa"/>
          </w:tcPr>
          <w:p>
            <w:pPr>
              <w:pStyle w:val="TableParagraph"/>
              <w:spacing w:line="131" w:lineRule="exact"/>
              <w:ind w:right="57"/>
              <w:jc w:val="right"/>
              <w:rPr>
                <w:b/>
                <w:sz w:val="12"/>
              </w:rPr>
            </w:pPr>
            <w:r>
              <w:rPr>
                <w:b/>
                <w:w w:val="105"/>
                <w:sz w:val="12"/>
              </w:rPr>
              <w:t>75,64</w:t>
            </w:r>
          </w:p>
        </w:tc>
        <w:tc>
          <w:tcPr>
            <w:tcW w:w="1008" w:type="dxa"/>
            <w:tcBorders>
              <w:right w:val="single" w:sz="4" w:space="0" w:color="000000"/>
            </w:tcBorders>
          </w:tcPr>
          <w:p>
            <w:pPr>
              <w:pStyle w:val="TableParagraph"/>
              <w:spacing w:line="131" w:lineRule="exact"/>
              <w:ind w:right="54"/>
              <w:jc w:val="right"/>
              <w:rPr>
                <w:b/>
                <w:sz w:val="12"/>
              </w:rPr>
            </w:pPr>
            <w:r>
              <w:rPr>
                <w:b/>
                <w:w w:val="105"/>
                <w:sz w:val="12"/>
              </w:rPr>
              <w:t>75,64</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1990</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rPr>
                <w:rFonts w:ascii="Times New Roman"/>
                <w:sz w:val="8"/>
              </w:rPr>
            </w:pPr>
          </w:p>
        </w:tc>
        <w:tc>
          <w:tcPr>
            <w:tcW w:w="1030" w:type="dxa"/>
          </w:tcPr>
          <w:p>
            <w:pPr>
              <w:pStyle w:val="TableParagraph"/>
              <w:rPr>
                <w:rFonts w:ascii="Times New Roman"/>
                <w:sz w:val="8"/>
              </w:rPr>
            </w:pPr>
          </w:p>
        </w:tc>
        <w:tc>
          <w:tcPr>
            <w:tcW w:w="1051" w:type="dxa"/>
          </w:tcPr>
          <w:p>
            <w:pPr>
              <w:pStyle w:val="TableParagraph"/>
              <w:spacing w:line="132" w:lineRule="exact"/>
              <w:ind w:right="54"/>
              <w:jc w:val="right"/>
              <w:rPr>
                <w:b/>
                <w:sz w:val="12"/>
              </w:rPr>
            </w:pPr>
            <w:r>
              <w:rPr>
                <w:b/>
                <w:w w:val="105"/>
                <w:sz w:val="12"/>
              </w:rPr>
              <w:t>0,00</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0,00</w:t>
            </w:r>
          </w:p>
        </w:tc>
        <w:tc>
          <w:tcPr>
            <w:tcW w:w="1109" w:type="dxa"/>
          </w:tcPr>
          <w:p>
            <w:pPr>
              <w:pStyle w:val="TableParagraph"/>
              <w:rPr>
                <w:rFonts w:ascii="Times New Roman"/>
                <w:sz w:val="8"/>
              </w:rPr>
            </w:pPr>
          </w:p>
        </w:tc>
        <w:tc>
          <w:tcPr>
            <w:tcW w:w="1004" w:type="dxa"/>
          </w:tcPr>
          <w:p>
            <w:pPr>
              <w:pStyle w:val="TableParagraph"/>
              <w:spacing w:line="132" w:lineRule="exact"/>
              <w:ind w:right="59"/>
              <w:jc w:val="right"/>
              <w:rPr>
                <w:b/>
                <w:sz w:val="12"/>
              </w:rPr>
            </w:pPr>
            <w:r>
              <w:rPr>
                <w:b/>
                <w:w w:val="105"/>
                <w:sz w:val="12"/>
              </w:rPr>
              <w:t>0,00</w:t>
            </w:r>
          </w:p>
        </w:tc>
        <w:tc>
          <w:tcPr>
            <w:tcW w:w="1008" w:type="dxa"/>
            <w:tcBorders>
              <w:right w:val="single" w:sz="4" w:space="0" w:color="000000"/>
            </w:tcBorders>
          </w:tcPr>
          <w:p>
            <w:pPr>
              <w:pStyle w:val="TableParagraph"/>
              <w:spacing w:line="132" w:lineRule="exact"/>
              <w:ind w:right="56"/>
              <w:jc w:val="right"/>
              <w:rPr>
                <w:b/>
                <w:sz w:val="12"/>
              </w:rPr>
            </w:pPr>
            <w:r>
              <w:rPr>
                <w:b/>
                <w:w w:val="105"/>
                <w:sz w:val="12"/>
              </w:rPr>
              <w:t>0,00</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1991</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rPr>
                <w:rFonts w:ascii="Times New Roman"/>
                <w:sz w:val="8"/>
              </w:rPr>
            </w:pPr>
          </w:p>
        </w:tc>
        <w:tc>
          <w:tcPr>
            <w:tcW w:w="1030" w:type="dxa"/>
          </w:tcPr>
          <w:p>
            <w:pPr>
              <w:pStyle w:val="TableParagraph"/>
              <w:rPr>
                <w:rFonts w:ascii="Times New Roman"/>
                <w:sz w:val="8"/>
              </w:rPr>
            </w:pPr>
          </w:p>
        </w:tc>
        <w:tc>
          <w:tcPr>
            <w:tcW w:w="1051" w:type="dxa"/>
          </w:tcPr>
          <w:p>
            <w:pPr>
              <w:pStyle w:val="TableParagraph"/>
              <w:spacing w:line="132" w:lineRule="exact"/>
              <w:ind w:right="54"/>
              <w:jc w:val="right"/>
              <w:rPr>
                <w:b/>
                <w:sz w:val="12"/>
              </w:rPr>
            </w:pPr>
            <w:r>
              <w:rPr>
                <w:b/>
                <w:w w:val="105"/>
                <w:sz w:val="12"/>
              </w:rPr>
              <w:t>0,00</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312,84</w:t>
            </w:r>
          </w:p>
        </w:tc>
        <w:tc>
          <w:tcPr>
            <w:tcW w:w="1109" w:type="dxa"/>
          </w:tcPr>
          <w:p>
            <w:pPr>
              <w:pStyle w:val="TableParagraph"/>
              <w:rPr>
                <w:rFonts w:ascii="Times New Roman"/>
                <w:sz w:val="8"/>
              </w:rPr>
            </w:pPr>
          </w:p>
        </w:tc>
        <w:tc>
          <w:tcPr>
            <w:tcW w:w="1004" w:type="dxa"/>
          </w:tcPr>
          <w:p>
            <w:pPr>
              <w:pStyle w:val="TableParagraph"/>
              <w:spacing w:line="132" w:lineRule="exact"/>
              <w:ind w:right="57"/>
              <w:jc w:val="right"/>
              <w:rPr>
                <w:b/>
                <w:sz w:val="12"/>
              </w:rPr>
            </w:pPr>
            <w:r>
              <w:rPr>
                <w:b/>
                <w:sz w:val="12"/>
              </w:rPr>
              <w:t>312,84</w:t>
            </w:r>
          </w:p>
        </w:tc>
        <w:tc>
          <w:tcPr>
            <w:tcW w:w="1008" w:type="dxa"/>
            <w:tcBorders>
              <w:right w:val="single" w:sz="4" w:space="0" w:color="000000"/>
            </w:tcBorders>
          </w:tcPr>
          <w:p>
            <w:pPr>
              <w:pStyle w:val="TableParagraph"/>
              <w:spacing w:line="132" w:lineRule="exact"/>
              <w:ind w:right="53"/>
              <w:jc w:val="right"/>
              <w:rPr>
                <w:b/>
                <w:sz w:val="12"/>
              </w:rPr>
            </w:pPr>
            <w:r>
              <w:rPr>
                <w:b/>
                <w:sz w:val="12"/>
              </w:rPr>
              <w:t>312,84</w:t>
            </w:r>
          </w:p>
        </w:tc>
      </w:tr>
      <w:tr>
        <w:trPr>
          <w:trHeight w:val="150" w:hRule="atLeast"/>
        </w:trPr>
        <w:tc>
          <w:tcPr>
            <w:tcW w:w="580" w:type="dxa"/>
            <w:tcBorders>
              <w:left w:val="single" w:sz="4" w:space="0" w:color="000000"/>
            </w:tcBorders>
          </w:tcPr>
          <w:p>
            <w:pPr>
              <w:pStyle w:val="TableParagraph"/>
              <w:spacing w:line="131" w:lineRule="exact"/>
              <w:ind w:left="97" w:right="93"/>
              <w:jc w:val="center"/>
              <w:rPr>
                <w:sz w:val="12"/>
              </w:rPr>
            </w:pPr>
            <w:r>
              <w:rPr>
                <w:w w:val="105"/>
                <w:sz w:val="12"/>
              </w:rPr>
              <w:t>1992</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rPr>
                <w:rFonts w:ascii="Times New Roman"/>
                <w:sz w:val="8"/>
              </w:rPr>
            </w:pPr>
          </w:p>
        </w:tc>
        <w:tc>
          <w:tcPr>
            <w:tcW w:w="1030" w:type="dxa"/>
          </w:tcPr>
          <w:p>
            <w:pPr>
              <w:pStyle w:val="TableParagraph"/>
              <w:rPr>
                <w:rFonts w:ascii="Times New Roman"/>
                <w:sz w:val="8"/>
              </w:rPr>
            </w:pPr>
          </w:p>
        </w:tc>
        <w:tc>
          <w:tcPr>
            <w:tcW w:w="1051" w:type="dxa"/>
          </w:tcPr>
          <w:p>
            <w:pPr>
              <w:pStyle w:val="TableParagraph"/>
              <w:spacing w:line="131" w:lineRule="exact"/>
              <w:ind w:right="54"/>
              <w:jc w:val="right"/>
              <w:rPr>
                <w:b/>
                <w:sz w:val="12"/>
              </w:rPr>
            </w:pPr>
            <w:r>
              <w:rPr>
                <w:b/>
                <w:w w:val="105"/>
                <w:sz w:val="12"/>
              </w:rPr>
              <w:t>0,00</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1" w:lineRule="exact"/>
              <w:ind w:right="55"/>
              <w:jc w:val="right"/>
              <w:rPr>
                <w:sz w:val="12"/>
              </w:rPr>
            </w:pPr>
            <w:r>
              <w:rPr>
                <w:w w:val="105"/>
                <w:sz w:val="12"/>
              </w:rPr>
              <w:t>3.015,37</w:t>
            </w:r>
          </w:p>
        </w:tc>
        <w:tc>
          <w:tcPr>
            <w:tcW w:w="1109" w:type="dxa"/>
          </w:tcPr>
          <w:p>
            <w:pPr>
              <w:pStyle w:val="TableParagraph"/>
              <w:rPr>
                <w:rFonts w:ascii="Times New Roman"/>
                <w:sz w:val="8"/>
              </w:rPr>
            </w:pPr>
          </w:p>
        </w:tc>
        <w:tc>
          <w:tcPr>
            <w:tcW w:w="1004" w:type="dxa"/>
          </w:tcPr>
          <w:p>
            <w:pPr>
              <w:pStyle w:val="TableParagraph"/>
              <w:spacing w:line="131" w:lineRule="exact"/>
              <w:ind w:right="58"/>
              <w:jc w:val="right"/>
              <w:rPr>
                <w:b/>
                <w:sz w:val="12"/>
              </w:rPr>
            </w:pPr>
            <w:r>
              <w:rPr>
                <w:b/>
                <w:w w:val="105"/>
                <w:sz w:val="12"/>
              </w:rPr>
              <w:t>3.015,37</w:t>
            </w:r>
          </w:p>
        </w:tc>
        <w:tc>
          <w:tcPr>
            <w:tcW w:w="1008" w:type="dxa"/>
            <w:tcBorders>
              <w:right w:val="single" w:sz="4" w:space="0" w:color="000000"/>
            </w:tcBorders>
          </w:tcPr>
          <w:p>
            <w:pPr>
              <w:pStyle w:val="TableParagraph"/>
              <w:spacing w:line="131" w:lineRule="exact"/>
              <w:ind w:right="54"/>
              <w:jc w:val="right"/>
              <w:rPr>
                <w:b/>
                <w:sz w:val="12"/>
              </w:rPr>
            </w:pPr>
            <w:r>
              <w:rPr>
                <w:b/>
                <w:w w:val="105"/>
                <w:sz w:val="12"/>
              </w:rPr>
              <w:t>3.015,37</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1993</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sz w:val="12"/>
              </w:rPr>
              <w:t>380,12</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380,12</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w w:val="105"/>
                <w:sz w:val="12"/>
              </w:rPr>
              <w:t>3.292,54</w:t>
            </w:r>
          </w:p>
        </w:tc>
        <w:tc>
          <w:tcPr>
            <w:tcW w:w="1109" w:type="dxa"/>
          </w:tcPr>
          <w:p>
            <w:pPr>
              <w:pStyle w:val="TableParagraph"/>
              <w:rPr>
                <w:rFonts w:ascii="Times New Roman"/>
                <w:sz w:val="8"/>
              </w:rPr>
            </w:pPr>
          </w:p>
        </w:tc>
        <w:tc>
          <w:tcPr>
            <w:tcW w:w="1004" w:type="dxa"/>
          </w:tcPr>
          <w:p>
            <w:pPr>
              <w:pStyle w:val="TableParagraph"/>
              <w:spacing w:line="132" w:lineRule="exact"/>
              <w:ind w:right="58"/>
              <w:jc w:val="right"/>
              <w:rPr>
                <w:b/>
                <w:sz w:val="12"/>
              </w:rPr>
            </w:pPr>
            <w:r>
              <w:rPr>
                <w:b/>
                <w:w w:val="105"/>
                <w:sz w:val="12"/>
              </w:rPr>
              <w:t>3.292,54</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3.672,66</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1994</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sz w:val="12"/>
              </w:rPr>
              <w:t>75,29</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75,29</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w w:val="105"/>
                <w:sz w:val="12"/>
              </w:rPr>
              <w:t>2.217,05</w:t>
            </w:r>
          </w:p>
        </w:tc>
        <w:tc>
          <w:tcPr>
            <w:tcW w:w="1109" w:type="dxa"/>
          </w:tcPr>
          <w:p>
            <w:pPr>
              <w:pStyle w:val="TableParagraph"/>
              <w:rPr>
                <w:rFonts w:ascii="Times New Roman"/>
                <w:sz w:val="8"/>
              </w:rPr>
            </w:pPr>
          </w:p>
        </w:tc>
        <w:tc>
          <w:tcPr>
            <w:tcW w:w="1004" w:type="dxa"/>
          </w:tcPr>
          <w:p>
            <w:pPr>
              <w:pStyle w:val="TableParagraph"/>
              <w:spacing w:line="132" w:lineRule="exact"/>
              <w:ind w:right="58"/>
              <w:jc w:val="right"/>
              <w:rPr>
                <w:b/>
                <w:sz w:val="12"/>
              </w:rPr>
            </w:pPr>
            <w:r>
              <w:rPr>
                <w:b/>
                <w:w w:val="105"/>
                <w:sz w:val="12"/>
              </w:rPr>
              <w:t>2.217,05</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2.292,34</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1995</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22.955,91</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22.955,91</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0,00</w:t>
            </w:r>
          </w:p>
        </w:tc>
        <w:tc>
          <w:tcPr>
            <w:tcW w:w="1109" w:type="dxa"/>
          </w:tcPr>
          <w:p>
            <w:pPr>
              <w:pStyle w:val="TableParagraph"/>
              <w:rPr>
                <w:rFonts w:ascii="Times New Roman"/>
                <w:sz w:val="8"/>
              </w:rPr>
            </w:pPr>
          </w:p>
        </w:tc>
        <w:tc>
          <w:tcPr>
            <w:tcW w:w="1004" w:type="dxa"/>
          </w:tcPr>
          <w:p>
            <w:pPr>
              <w:pStyle w:val="TableParagraph"/>
              <w:spacing w:line="132" w:lineRule="exact"/>
              <w:ind w:right="59"/>
              <w:jc w:val="right"/>
              <w:rPr>
                <w:b/>
                <w:sz w:val="12"/>
              </w:rPr>
            </w:pPr>
            <w:r>
              <w:rPr>
                <w:b/>
                <w:w w:val="105"/>
                <w:sz w:val="12"/>
              </w:rPr>
              <w:t>0,00</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22.955,91</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1996</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32.174,67</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32.174,67</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80,53</w:t>
            </w:r>
          </w:p>
        </w:tc>
        <w:tc>
          <w:tcPr>
            <w:tcW w:w="1109" w:type="dxa"/>
          </w:tcPr>
          <w:p>
            <w:pPr>
              <w:pStyle w:val="TableParagraph"/>
              <w:rPr>
                <w:rFonts w:ascii="Times New Roman"/>
                <w:sz w:val="8"/>
              </w:rPr>
            </w:pPr>
          </w:p>
        </w:tc>
        <w:tc>
          <w:tcPr>
            <w:tcW w:w="1004" w:type="dxa"/>
          </w:tcPr>
          <w:p>
            <w:pPr>
              <w:pStyle w:val="TableParagraph"/>
              <w:spacing w:line="132" w:lineRule="exact"/>
              <w:ind w:right="57"/>
              <w:jc w:val="right"/>
              <w:rPr>
                <w:b/>
                <w:sz w:val="12"/>
              </w:rPr>
            </w:pPr>
            <w:r>
              <w:rPr>
                <w:b/>
                <w:w w:val="105"/>
                <w:sz w:val="12"/>
              </w:rPr>
              <w:t>80,53</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32.255,20</w:t>
            </w:r>
          </w:p>
        </w:tc>
      </w:tr>
      <w:tr>
        <w:trPr>
          <w:trHeight w:val="151" w:hRule="atLeast"/>
        </w:trPr>
        <w:tc>
          <w:tcPr>
            <w:tcW w:w="580" w:type="dxa"/>
            <w:tcBorders>
              <w:left w:val="single" w:sz="4" w:space="0" w:color="000000"/>
            </w:tcBorders>
          </w:tcPr>
          <w:p>
            <w:pPr>
              <w:pStyle w:val="TableParagraph"/>
              <w:spacing w:line="131" w:lineRule="exact"/>
              <w:ind w:left="97" w:right="93"/>
              <w:jc w:val="center"/>
              <w:rPr>
                <w:sz w:val="12"/>
              </w:rPr>
            </w:pPr>
            <w:r>
              <w:rPr>
                <w:w w:val="105"/>
                <w:sz w:val="12"/>
              </w:rPr>
              <w:t>1997</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1" w:lineRule="exact"/>
              <w:ind w:right="48"/>
              <w:jc w:val="right"/>
              <w:rPr>
                <w:sz w:val="12"/>
              </w:rPr>
            </w:pPr>
            <w:r>
              <w:rPr>
                <w:w w:val="105"/>
                <w:sz w:val="12"/>
              </w:rPr>
              <w:t>49.492,70</w:t>
            </w:r>
          </w:p>
        </w:tc>
        <w:tc>
          <w:tcPr>
            <w:tcW w:w="1030" w:type="dxa"/>
          </w:tcPr>
          <w:p>
            <w:pPr>
              <w:pStyle w:val="TableParagraph"/>
              <w:rPr>
                <w:rFonts w:ascii="Times New Roman"/>
                <w:sz w:val="8"/>
              </w:rPr>
            </w:pPr>
          </w:p>
        </w:tc>
        <w:tc>
          <w:tcPr>
            <w:tcW w:w="1051" w:type="dxa"/>
          </w:tcPr>
          <w:p>
            <w:pPr>
              <w:pStyle w:val="TableParagraph"/>
              <w:spacing w:line="131" w:lineRule="exact"/>
              <w:ind w:right="52"/>
              <w:jc w:val="right"/>
              <w:rPr>
                <w:b/>
                <w:sz w:val="12"/>
              </w:rPr>
            </w:pPr>
            <w:r>
              <w:rPr>
                <w:b/>
                <w:w w:val="105"/>
                <w:sz w:val="12"/>
              </w:rPr>
              <w:t>49.492,70</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1" w:lineRule="exact"/>
              <w:ind w:right="55"/>
              <w:jc w:val="right"/>
              <w:rPr>
                <w:sz w:val="12"/>
              </w:rPr>
            </w:pPr>
            <w:r>
              <w:rPr>
                <w:sz w:val="12"/>
              </w:rPr>
              <w:t>129,24</w:t>
            </w:r>
          </w:p>
        </w:tc>
        <w:tc>
          <w:tcPr>
            <w:tcW w:w="1109" w:type="dxa"/>
          </w:tcPr>
          <w:p>
            <w:pPr>
              <w:pStyle w:val="TableParagraph"/>
              <w:rPr>
                <w:rFonts w:ascii="Times New Roman"/>
                <w:sz w:val="8"/>
              </w:rPr>
            </w:pPr>
          </w:p>
        </w:tc>
        <w:tc>
          <w:tcPr>
            <w:tcW w:w="1004" w:type="dxa"/>
          </w:tcPr>
          <w:p>
            <w:pPr>
              <w:pStyle w:val="TableParagraph"/>
              <w:spacing w:line="131" w:lineRule="exact"/>
              <w:ind w:right="57"/>
              <w:jc w:val="right"/>
              <w:rPr>
                <w:b/>
                <w:sz w:val="12"/>
              </w:rPr>
            </w:pPr>
            <w:r>
              <w:rPr>
                <w:b/>
                <w:sz w:val="12"/>
              </w:rPr>
              <w:t>129,24</w:t>
            </w:r>
          </w:p>
        </w:tc>
        <w:tc>
          <w:tcPr>
            <w:tcW w:w="1008" w:type="dxa"/>
            <w:tcBorders>
              <w:right w:val="single" w:sz="4" w:space="0" w:color="000000"/>
            </w:tcBorders>
          </w:tcPr>
          <w:p>
            <w:pPr>
              <w:pStyle w:val="TableParagraph"/>
              <w:spacing w:line="131" w:lineRule="exact"/>
              <w:ind w:right="54"/>
              <w:jc w:val="right"/>
              <w:rPr>
                <w:b/>
                <w:sz w:val="12"/>
              </w:rPr>
            </w:pPr>
            <w:r>
              <w:rPr>
                <w:b/>
                <w:w w:val="105"/>
                <w:sz w:val="12"/>
              </w:rPr>
              <w:t>49.621,94</w:t>
            </w:r>
          </w:p>
        </w:tc>
      </w:tr>
      <w:tr>
        <w:trPr>
          <w:trHeight w:val="152"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1998</w:t>
            </w:r>
          </w:p>
        </w:tc>
        <w:tc>
          <w:tcPr>
            <w:tcW w:w="886" w:type="dxa"/>
          </w:tcPr>
          <w:p>
            <w:pPr>
              <w:pStyle w:val="TableParagraph"/>
              <w:spacing w:line="132" w:lineRule="exact"/>
              <w:ind w:right="47"/>
              <w:jc w:val="right"/>
              <w:rPr>
                <w:sz w:val="12"/>
              </w:rPr>
            </w:pPr>
            <w:r>
              <w:rPr>
                <w:w w:val="105"/>
                <w:sz w:val="12"/>
              </w:rPr>
              <w:t>3.143,99</w:t>
            </w: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20.625,33</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23.769,32</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144,36</w:t>
            </w:r>
          </w:p>
        </w:tc>
        <w:tc>
          <w:tcPr>
            <w:tcW w:w="1109" w:type="dxa"/>
          </w:tcPr>
          <w:p>
            <w:pPr>
              <w:pStyle w:val="TableParagraph"/>
              <w:rPr>
                <w:rFonts w:ascii="Times New Roman"/>
                <w:sz w:val="8"/>
              </w:rPr>
            </w:pPr>
          </w:p>
        </w:tc>
        <w:tc>
          <w:tcPr>
            <w:tcW w:w="1004" w:type="dxa"/>
          </w:tcPr>
          <w:p>
            <w:pPr>
              <w:pStyle w:val="TableParagraph"/>
              <w:spacing w:line="132" w:lineRule="exact"/>
              <w:ind w:right="57"/>
              <w:jc w:val="right"/>
              <w:rPr>
                <w:b/>
                <w:sz w:val="12"/>
              </w:rPr>
            </w:pPr>
            <w:r>
              <w:rPr>
                <w:b/>
                <w:sz w:val="12"/>
              </w:rPr>
              <w:t>144,36</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23.913,68</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1999</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sz w:val="12"/>
              </w:rPr>
              <w:t>0,00</w:t>
            </w:r>
          </w:p>
        </w:tc>
        <w:tc>
          <w:tcPr>
            <w:tcW w:w="1030" w:type="dxa"/>
          </w:tcPr>
          <w:p>
            <w:pPr>
              <w:pStyle w:val="TableParagraph"/>
              <w:rPr>
                <w:rFonts w:ascii="Times New Roman"/>
                <w:sz w:val="8"/>
              </w:rPr>
            </w:pPr>
          </w:p>
        </w:tc>
        <w:tc>
          <w:tcPr>
            <w:tcW w:w="1051" w:type="dxa"/>
          </w:tcPr>
          <w:p>
            <w:pPr>
              <w:pStyle w:val="TableParagraph"/>
              <w:spacing w:line="132" w:lineRule="exact"/>
              <w:ind w:right="54"/>
              <w:jc w:val="right"/>
              <w:rPr>
                <w:b/>
                <w:sz w:val="12"/>
              </w:rPr>
            </w:pPr>
            <w:r>
              <w:rPr>
                <w:b/>
                <w:w w:val="105"/>
                <w:sz w:val="12"/>
              </w:rPr>
              <w:t>0,00</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0,00</w:t>
            </w:r>
          </w:p>
        </w:tc>
        <w:tc>
          <w:tcPr>
            <w:tcW w:w="1109" w:type="dxa"/>
          </w:tcPr>
          <w:p>
            <w:pPr>
              <w:pStyle w:val="TableParagraph"/>
              <w:rPr>
                <w:rFonts w:ascii="Times New Roman"/>
                <w:sz w:val="8"/>
              </w:rPr>
            </w:pPr>
          </w:p>
        </w:tc>
        <w:tc>
          <w:tcPr>
            <w:tcW w:w="1004" w:type="dxa"/>
          </w:tcPr>
          <w:p>
            <w:pPr>
              <w:pStyle w:val="TableParagraph"/>
              <w:spacing w:line="132" w:lineRule="exact"/>
              <w:ind w:right="59"/>
              <w:jc w:val="right"/>
              <w:rPr>
                <w:b/>
                <w:sz w:val="12"/>
              </w:rPr>
            </w:pPr>
            <w:r>
              <w:rPr>
                <w:b/>
                <w:w w:val="105"/>
                <w:sz w:val="12"/>
              </w:rPr>
              <w:t>0,00</w:t>
            </w:r>
          </w:p>
        </w:tc>
        <w:tc>
          <w:tcPr>
            <w:tcW w:w="1008" w:type="dxa"/>
            <w:tcBorders>
              <w:right w:val="single" w:sz="4" w:space="0" w:color="000000"/>
            </w:tcBorders>
          </w:tcPr>
          <w:p>
            <w:pPr>
              <w:pStyle w:val="TableParagraph"/>
              <w:spacing w:line="132" w:lineRule="exact"/>
              <w:ind w:right="56"/>
              <w:jc w:val="right"/>
              <w:rPr>
                <w:b/>
                <w:sz w:val="12"/>
              </w:rPr>
            </w:pPr>
            <w:r>
              <w:rPr>
                <w:b/>
                <w:w w:val="105"/>
                <w:sz w:val="12"/>
              </w:rPr>
              <w:t>0,00</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2000</w:t>
            </w:r>
          </w:p>
        </w:tc>
        <w:tc>
          <w:tcPr>
            <w:tcW w:w="886" w:type="dxa"/>
          </w:tcPr>
          <w:p>
            <w:pPr>
              <w:pStyle w:val="TableParagraph"/>
              <w:spacing w:line="132" w:lineRule="exact"/>
              <w:ind w:right="47"/>
              <w:jc w:val="right"/>
              <w:rPr>
                <w:sz w:val="12"/>
              </w:rPr>
            </w:pPr>
            <w:r>
              <w:rPr>
                <w:sz w:val="12"/>
              </w:rPr>
              <w:t>688,94</w:t>
            </w: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284.901,03</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285.589,97</w:t>
            </w:r>
          </w:p>
        </w:tc>
        <w:tc>
          <w:tcPr>
            <w:tcW w:w="904" w:type="dxa"/>
          </w:tcPr>
          <w:p>
            <w:pPr>
              <w:pStyle w:val="TableParagraph"/>
              <w:spacing w:line="132" w:lineRule="exact"/>
              <w:ind w:right="52"/>
              <w:jc w:val="right"/>
              <w:rPr>
                <w:sz w:val="12"/>
              </w:rPr>
            </w:pPr>
            <w:r>
              <w:rPr>
                <w:sz w:val="12"/>
              </w:rPr>
              <w:t>1,06</w:t>
            </w: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1,62</w:t>
            </w:r>
          </w:p>
        </w:tc>
        <w:tc>
          <w:tcPr>
            <w:tcW w:w="1109" w:type="dxa"/>
          </w:tcPr>
          <w:p>
            <w:pPr>
              <w:pStyle w:val="TableParagraph"/>
              <w:rPr>
                <w:rFonts w:ascii="Times New Roman"/>
                <w:sz w:val="8"/>
              </w:rPr>
            </w:pPr>
          </w:p>
        </w:tc>
        <w:tc>
          <w:tcPr>
            <w:tcW w:w="1004" w:type="dxa"/>
          </w:tcPr>
          <w:p>
            <w:pPr>
              <w:pStyle w:val="TableParagraph"/>
              <w:spacing w:line="132" w:lineRule="exact"/>
              <w:ind w:right="59"/>
              <w:jc w:val="right"/>
              <w:rPr>
                <w:b/>
                <w:sz w:val="12"/>
              </w:rPr>
            </w:pPr>
            <w:r>
              <w:rPr>
                <w:b/>
                <w:w w:val="105"/>
                <w:sz w:val="12"/>
              </w:rPr>
              <w:t>2,68</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285.592,65</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2001</w:t>
            </w:r>
          </w:p>
        </w:tc>
        <w:tc>
          <w:tcPr>
            <w:tcW w:w="886" w:type="dxa"/>
          </w:tcPr>
          <w:p>
            <w:pPr>
              <w:pStyle w:val="TableParagraph"/>
              <w:spacing w:line="132" w:lineRule="exact"/>
              <w:ind w:right="47"/>
              <w:jc w:val="right"/>
              <w:rPr>
                <w:sz w:val="12"/>
              </w:rPr>
            </w:pPr>
            <w:r>
              <w:rPr>
                <w:w w:val="105"/>
                <w:sz w:val="12"/>
              </w:rPr>
              <w:t>29.968,21</w:t>
            </w: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447.073,11</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477.041,32</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22,26</w:t>
            </w:r>
          </w:p>
        </w:tc>
        <w:tc>
          <w:tcPr>
            <w:tcW w:w="1109" w:type="dxa"/>
          </w:tcPr>
          <w:p>
            <w:pPr>
              <w:pStyle w:val="TableParagraph"/>
              <w:rPr>
                <w:rFonts w:ascii="Times New Roman"/>
                <w:sz w:val="8"/>
              </w:rPr>
            </w:pPr>
          </w:p>
        </w:tc>
        <w:tc>
          <w:tcPr>
            <w:tcW w:w="1004" w:type="dxa"/>
          </w:tcPr>
          <w:p>
            <w:pPr>
              <w:pStyle w:val="TableParagraph"/>
              <w:spacing w:line="132" w:lineRule="exact"/>
              <w:ind w:right="57"/>
              <w:jc w:val="right"/>
              <w:rPr>
                <w:b/>
                <w:sz w:val="12"/>
              </w:rPr>
            </w:pPr>
            <w:r>
              <w:rPr>
                <w:b/>
                <w:w w:val="105"/>
                <w:sz w:val="12"/>
              </w:rPr>
              <w:t>22,26</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477.063,58</w:t>
            </w:r>
          </w:p>
        </w:tc>
      </w:tr>
      <w:tr>
        <w:trPr>
          <w:trHeight w:val="150" w:hRule="atLeast"/>
        </w:trPr>
        <w:tc>
          <w:tcPr>
            <w:tcW w:w="580" w:type="dxa"/>
            <w:tcBorders>
              <w:left w:val="single" w:sz="4" w:space="0" w:color="000000"/>
            </w:tcBorders>
          </w:tcPr>
          <w:p>
            <w:pPr>
              <w:pStyle w:val="TableParagraph"/>
              <w:spacing w:line="131" w:lineRule="exact"/>
              <w:ind w:left="97" w:right="93"/>
              <w:jc w:val="center"/>
              <w:rPr>
                <w:sz w:val="12"/>
              </w:rPr>
            </w:pPr>
            <w:r>
              <w:rPr>
                <w:w w:val="105"/>
                <w:sz w:val="12"/>
              </w:rPr>
              <w:t>2002</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1" w:lineRule="exact"/>
              <w:ind w:right="48"/>
              <w:jc w:val="right"/>
              <w:rPr>
                <w:sz w:val="12"/>
              </w:rPr>
            </w:pPr>
            <w:r>
              <w:rPr>
                <w:w w:val="105"/>
                <w:sz w:val="12"/>
              </w:rPr>
              <w:t>272.594,41</w:t>
            </w:r>
          </w:p>
        </w:tc>
        <w:tc>
          <w:tcPr>
            <w:tcW w:w="1030" w:type="dxa"/>
          </w:tcPr>
          <w:p>
            <w:pPr>
              <w:pStyle w:val="TableParagraph"/>
              <w:rPr>
                <w:rFonts w:ascii="Times New Roman"/>
                <w:sz w:val="8"/>
              </w:rPr>
            </w:pPr>
          </w:p>
        </w:tc>
        <w:tc>
          <w:tcPr>
            <w:tcW w:w="1051" w:type="dxa"/>
          </w:tcPr>
          <w:p>
            <w:pPr>
              <w:pStyle w:val="TableParagraph"/>
              <w:spacing w:line="131" w:lineRule="exact"/>
              <w:ind w:right="52"/>
              <w:jc w:val="right"/>
              <w:rPr>
                <w:b/>
                <w:sz w:val="12"/>
              </w:rPr>
            </w:pPr>
            <w:r>
              <w:rPr>
                <w:b/>
                <w:w w:val="105"/>
                <w:sz w:val="12"/>
              </w:rPr>
              <w:t>272.594,41</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1" w:lineRule="exact"/>
              <w:ind w:right="55"/>
              <w:jc w:val="right"/>
              <w:rPr>
                <w:sz w:val="12"/>
              </w:rPr>
            </w:pPr>
            <w:r>
              <w:rPr>
                <w:w w:val="105"/>
                <w:sz w:val="12"/>
              </w:rPr>
              <w:t>20.050,60</w:t>
            </w:r>
          </w:p>
        </w:tc>
        <w:tc>
          <w:tcPr>
            <w:tcW w:w="1109" w:type="dxa"/>
          </w:tcPr>
          <w:p>
            <w:pPr>
              <w:pStyle w:val="TableParagraph"/>
              <w:rPr>
                <w:rFonts w:ascii="Times New Roman"/>
                <w:sz w:val="8"/>
              </w:rPr>
            </w:pPr>
          </w:p>
        </w:tc>
        <w:tc>
          <w:tcPr>
            <w:tcW w:w="1004" w:type="dxa"/>
          </w:tcPr>
          <w:p>
            <w:pPr>
              <w:pStyle w:val="TableParagraph"/>
              <w:spacing w:line="131" w:lineRule="exact"/>
              <w:ind w:right="57"/>
              <w:jc w:val="right"/>
              <w:rPr>
                <w:b/>
                <w:sz w:val="12"/>
              </w:rPr>
            </w:pPr>
            <w:r>
              <w:rPr>
                <w:b/>
                <w:w w:val="105"/>
                <w:sz w:val="12"/>
              </w:rPr>
              <w:t>20.050,60</w:t>
            </w:r>
          </w:p>
        </w:tc>
        <w:tc>
          <w:tcPr>
            <w:tcW w:w="1008" w:type="dxa"/>
            <w:tcBorders>
              <w:right w:val="single" w:sz="4" w:space="0" w:color="000000"/>
            </w:tcBorders>
          </w:tcPr>
          <w:p>
            <w:pPr>
              <w:pStyle w:val="TableParagraph"/>
              <w:spacing w:line="131" w:lineRule="exact"/>
              <w:ind w:right="54"/>
              <w:jc w:val="right"/>
              <w:rPr>
                <w:b/>
                <w:sz w:val="12"/>
              </w:rPr>
            </w:pPr>
            <w:r>
              <w:rPr>
                <w:b/>
                <w:w w:val="105"/>
                <w:sz w:val="12"/>
              </w:rPr>
              <w:t>292.645,01</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2003</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492.362,28</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492.362,28</w:t>
            </w:r>
          </w:p>
        </w:tc>
        <w:tc>
          <w:tcPr>
            <w:tcW w:w="904" w:type="dxa"/>
          </w:tcPr>
          <w:p>
            <w:pPr>
              <w:pStyle w:val="TableParagraph"/>
              <w:spacing w:line="132" w:lineRule="exact"/>
              <w:ind w:right="52"/>
              <w:jc w:val="right"/>
              <w:rPr>
                <w:sz w:val="12"/>
              </w:rPr>
            </w:pPr>
            <w:r>
              <w:rPr>
                <w:w w:val="105"/>
                <w:sz w:val="12"/>
              </w:rPr>
              <w:t>5.268,92</w:t>
            </w: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0,00</w:t>
            </w:r>
          </w:p>
        </w:tc>
        <w:tc>
          <w:tcPr>
            <w:tcW w:w="1109" w:type="dxa"/>
          </w:tcPr>
          <w:p>
            <w:pPr>
              <w:pStyle w:val="TableParagraph"/>
              <w:rPr>
                <w:rFonts w:ascii="Times New Roman"/>
                <w:sz w:val="8"/>
              </w:rPr>
            </w:pPr>
          </w:p>
        </w:tc>
        <w:tc>
          <w:tcPr>
            <w:tcW w:w="1004" w:type="dxa"/>
          </w:tcPr>
          <w:p>
            <w:pPr>
              <w:pStyle w:val="TableParagraph"/>
              <w:spacing w:line="132" w:lineRule="exact"/>
              <w:ind w:right="58"/>
              <w:jc w:val="right"/>
              <w:rPr>
                <w:b/>
                <w:sz w:val="12"/>
              </w:rPr>
            </w:pPr>
            <w:r>
              <w:rPr>
                <w:b/>
                <w:w w:val="105"/>
                <w:sz w:val="12"/>
              </w:rPr>
              <w:t>5.268,92</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497.631,20</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2004</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1.071.968,82</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1.071.968,82</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501,06</w:t>
            </w:r>
          </w:p>
        </w:tc>
        <w:tc>
          <w:tcPr>
            <w:tcW w:w="1109" w:type="dxa"/>
          </w:tcPr>
          <w:p>
            <w:pPr>
              <w:pStyle w:val="TableParagraph"/>
              <w:rPr>
                <w:rFonts w:ascii="Times New Roman"/>
                <w:sz w:val="8"/>
              </w:rPr>
            </w:pPr>
          </w:p>
        </w:tc>
        <w:tc>
          <w:tcPr>
            <w:tcW w:w="1004" w:type="dxa"/>
          </w:tcPr>
          <w:p>
            <w:pPr>
              <w:pStyle w:val="TableParagraph"/>
              <w:spacing w:line="132" w:lineRule="exact"/>
              <w:ind w:right="57"/>
              <w:jc w:val="right"/>
              <w:rPr>
                <w:b/>
                <w:sz w:val="12"/>
              </w:rPr>
            </w:pPr>
            <w:r>
              <w:rPr>
                <w:b/>
                <w:sz w:val="12"/>
              </w:rPr>
              <w:t>501,06</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1.072.469,88</w:t>
            </w:r>
          </w:p>
        </w:tc>
      </w:tr>
      <w:tr>
        <w:trPr>
          <w:trHeight w:val="150" w:hRule="atLeast"/>
        </w:trPr>
        <w:tc>
          <w:tcPr>
            <w:tcW w:w="580" w:type="dxa"/>
            <w:tcBorders>
              <w:left w:val="single" w:sz="4" w:space="0" w:color="000000"/>
            </w:tcBorders>
          </w:tcPr>
          <w:p>
            <w:pPr>
              <w:pStyle w:val="TableParagraph"/>
              <w:spacing w:line="131" w:lineRule="exact"/>
              <w:ind w:left="97" w:right="93"/>
              <w:jc w:val="center"/>
              <w:rPr>
                <w:sz w:val="12"/>
              </w:rPr>
            </w:pPr>
            <w:r>
              <w:rPr>
                <w:w w:val="105"/>
                <w:sz w:val="12"/>
              </w:rPr>
              <w:t>2005</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1" w:lineRule="exact"/>
              <w:ind w:right="48"/>
              <w:jc w:val="right"/>
              <w:rPr>
                <w:sz w:val="12"/>
              </w:rPr>
            </w:pPr>
            <w:r>
              <w:rPr>
                <w:w w:val="105"/>
                <w:sz w:val="12"/>
              </w:rPr>
              <w:t>1.910.206,35</w:t>
            </w:r>
          </w:p>
        </w:tc>
        <w:tc>
          <w:tcPr>
            <w:tcW w:w="1030" w:type="dxa"/>
          </w:tcPr>
          <w:p>
            <w:pPr>
              <w:pStyle w:val="TableParagraph"/>
              <w:rPr>
                <w:rFonts w:ascii="Times New Roman"/>
                <w:sz w:val="8"/>
              </w:rPr>
            </w:pPr>
          </w:p>
        </w:tc>
        <w:tc>
          <w:tcPr>
            <w:tcW w:w="1051" w:type="dxa"/>
          </w:tcPr>
          <w:p>
            <w:pPr>
              <w:pStyle w:val="TableParagraph"/>
              <w:spacing w:line="131" w:lineRule="exact"/>
              <w:ind w:right="52"/>
              <w:jc w:val="right"/>
              <w:rPr>
                <w:b/>
                <w:sz w:val="12"/>
              </w:rPr>
            </w:pPr>
            <w:r>
              <w:rPr>
                <w:b/>
                <w:w w:val="105"/>
                <w:sz w:val="12"/>
              </w:rPr>
              <w:t>1.910.206,35</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1" w:lineRule="exact"/>
              <w:ind w:right="55"/>
              <w:jc w:val="right"/>
              <w:rPr>
                <w:sz w:val="12"/>
              </w:rPr>
            </w:pPr>
            <w:r>
              <w:rPr>
                <w:w w:val="105"/>
                <w:sz w:val="12"/>
              </w:rPr>
              <w:t>1.002,01</w:t>
            </w:r>
          </w:p>
        </w:tc>
        <w:tc>
          <w:tcPr>
            <w:tcW w:w="1109" w:type="dxa"/>
          </w:tcPr>
          <w:p>
            <w:pPr>
              <w:pStyle w:val="TableParagraph"/>
              <w:rPr>
                <w:rFonts w:ascii="Times New Roman"/>
                <w:sz w:val="8"/>
              </w:rPr>
            </w:pPr>
          </w:p>
        </w:tc>
        <w:tc>
          <w:tcPr>
            <w:tcW w:w="1004" w:type="dxa"/>
          </w:tcPr>
          <w:p>
            <w:pPr>
              <w:pStyle w:val="TableParagraph"/>
              <w:spacing w:line="131" w:lineRule="exact"/>
              <w:ind w:right="58"/>
              <w:jc w:val="right"/>
              <w:rPr>
                <w:b/>
                <w:sz w:val="12"/>
              </w:rPr>
            </w:pPr>
            <w:r>
              <w:rPr>
                <w:b/>
                <w:w w:val="105"/>
                <w:sz w:val="12"/>
              </w:rPr>
              <w:t>1.002,01</w:t>
            </w:r>
          </w:p>
        </w:tc>
        <w:tc>
          <w:tcPr>
            <w:tcW w:w="1008" w:type="dxa"/>
            <w:tcBorders>
              <w:right w:val="single" w:sz="4" w:space="0" w:color="000000"/>
            </w:tcBorders>
          </w:tcPr>
          <w:p>
            <w:pPr>
              <w:pStyle w:val="TableParagraph"/>
              <w:spacing w:line="131" w:lineRule="exact"/>
              <w:ind w:right="54"/>
              <w:jc w:val="right"/>
              <w:rPr>
                <w:b/>
                <w:sz w:val="12"/>
              </w:rPr>
            </w:pPr>
            <w:r>
              <w:rPr>
                <w:b/>
                <w:w w:val="105"/>
                <w:sz w:val="12"/>
              </w:rPr>
              <w:t>1.911.208,36</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2006</w:t>
            </w:r>
          </w:p>
        </w:tc>
        <w:tc>
          <w:tcPr>
            <w:tcW w:w="886" w:type="dxa"/>
          </w:tcPr>
          <w:p>
            <w:pPr>
              <w:pStyle w:val="TableParagraph"/>
              <w:spacing w:line="132" w:lineRule="exact"/>
              <w:ind w:right="47"/>
              <w:jc w:val="right"/>
              <w:rPr>
                <w:sz w:val="12"/>
              </w:rPr>
            </w:pPr>
            <w:r>
              <w:rPr>
                <w:sz w:val="12"/>
              </w:rPr>
              <w:t>40,70</w:t>
            </w: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6.554.963,19</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6.555.003,89</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w w:val="105"/>
                <w:sz w:val="12"/>
              </w:rPr>
              <w:t>20.995,96</w:t>
            </w:r>
          </w:p>
        </w:tc>
        <w:tc>
          <w:tcPr>
            <w:tcW w:w="1109" w:type="dxa"/>
          </w:tcPr>
          <w:p>
            <w:pPr>
              <w:pStyle w:val="TableParagraph"/>
              <w:rPr>
                <w:rFonts w:ascii="Times New Roman"/>
                <w:sz w:val="8"/>
              </w:rPr>
            </w:pPr>
          </w:p>
        </w:tc>
        <w:tc>
          <w:tcPr>
            <w:tcW w:w="1004" w:type="dxa"/>
          </w:tcPr>
          <w:p>
            <w:pPr>
              <w:pStyle w:val="TableParagraph"/>
              <w:spacing w:line="132" w:lineRule="exact"/>
              <w:ind w:right="57"/>
              <w:jc w:val="right"/>
              <w:rPr>
                <w:b/>
                <w:sz w:val="12"/>
              </w:rPr>
            </w:pPr>
            <w:r>
              <w:rPr>
                <w:b/>
                <w:w w:val="105"/>
                <w:sz w:val="12"/>
              </w:rPr>
              <w:t>20.995,96</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6.575.999,85</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2007</w:t>
            </w:r>
          </w:p>
        </w:tc>
        <w:tc>
          <w:tcPr>
            <w:tcW w:w="886" w:type="dxa"/>
          </w:tcPr>
          <w:p>
            <w:pPr>
              <w:pStyle w:val="TableParagraph"/>
              <w:spacing w:line="132" w:lineRule="exact"/>
              <w:ind w:right="47"/>
              <w:jc w:val="right"/>
              <w:rPr>
                <w:sz w:val="12"/>
              </w:rPr>
            </w:pPr>
            <w:r>
              <w:rPr>
                <w:w w:val="105"/>
                <w:sz w:val="12"/>
              </w:rPr>
              <w:t>34.620,04</w:t>
            </w: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7.357.928,91</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7.392.548,95</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w w:val="105"/>
                <w:sz w:val="12"/>
              </w:rPr>
              <w:t>1.792,45</w:t>
            </w:r>
          </w:p>
        </w:tc>
        <w:tc>
          <w:tcPr>
            <w:tcW w:w="1109" w:type="dxa"/>
          </w:tcPr>
          <w:p>
            <w:pPr>
              <w:pStyle w:val="TableParagraph"/>
              <w:rPr>
                <w:rFonts w:ascii="Times New Roman"/>
                <w:sz w:val="8"/>
              </w:rPr>
            </w:pPr>
          </w:p>
        </w:tc>
        <w:tc>
          <w:tcPr>
            <w:tcW w:w="1004" w:type="dxa"/>
          </w:tcPr>
          <w:p>
            <w:pPr>
              <w:pStyle w:val="TableParagraph"/>
              <w:spacing w:line="132" w:lineRule="exact"/>
              <w:ind w:right="58"/>
              <w:jc w:val="right"/>
              <w:rPr>
                <w:b/>
                <w:sz w:val="12"/>
              </w:rPr>
            </w:pPr>
            <w:r>
              <w:rPr>
                <w:b/>
                <w:w w:val="105"/>
                <w:sz w:val="12"/>
              </w:rPr>
              <w:t>1.792,45</w:t>
            </w:r>
          </w:p>
        </w:tc>
        <w:tc>
          <w:tcPr>
            <w:tcW w:w="1008" w:type="dxa"/>
            <w:tcBorders>
              <w:right w:val="single" w:sz="4" w:space="0" w:color="000000"/>
            </w:tcBorders>
          </w:tcPr>
          <w:p>
            <w:pPr>
              <w:pStyle w:val="TableParagraph"/>
              <w:spacing w:line="132" w:lineRule="exact"/>
              <w:ind w:right="54"/>
              <w:jc w:val="right"/>
              <w:rPr>
                <w:b/>
                <w:sz w:val="12"/>
              </w:rPr>
            </w:pPr>
            <w:r>
              <w:rPr>
                <w:b/>
                <w:w w:val="105"/>
                <w:sz w:val="12"/>
              </w:rPr>
              <w:t>7.394.341,40</w:t>
            </w:r>
          </w:p>
        </w:tc>
      </w:tr>
      <w:tr>
        <w:trPr>
          <w:trHeight w:val="152"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2008</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26.424.301,34</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26.424.301,34</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sz w:val="12"/>
              </w:rPr>
              <w:t>0,00</w:t>
            </w:r>
          </w:p>
        </w:tc>
        <w:tc>
          <w:tcPr>
            <w:tcW w:w="1109" w:type="dxa"/>
          </w:tcPr>
          <w:p>
            <w:pPr>
              <w:pStyle w:val="TableParagraph"/>
              <w:rPr>
                <w:rFonts w:ascii="Times New Roman"/>
                <w:sz w:val="8"/>
              </w:rPr>
            </w:pPr>
          </w:p>
        </w:tc>
        <w:tc>
          <w:tcPr>
            <w:tcW w:w="1004" w:type="dxa"/>
          </w:tcPr>
          <w:p>
            <w:pPr>
              <w:pStyle w:val="TableParagraph"/>
              <w:spacing w:line="132" w:lineRule="exact"/>
              <w:ind w:right="59"/>
              <w:jc w:val="right"/>
              <w:rPr>
                <w:b/>
                <w:sz w:val="12"/>
              </w:rPr>
            </w:pPr>
            <w:r>
              <w:rPr>
                <w:b/>
                <w:w w:val="105"/>
                <w:sz w:val="12"/>
              </w:rPr>
              <w:t>0,00</w:t>
            </w:r>
          </w:p>
        </w:tc>
        <w:tc>
          <w:tcPr>
            <w:tcW w:w="1008" w:type="dxa"/>
            <w:tcBorders>
              <w:right w:val="single" w:sz="4" w:space="0" w:color="000000"/>
            </w:tcBorders>
          </w:tcPr>
          <w:p>
            <w:pPr>
              <w:pStyle w:val="TableParagraph"/>
              <w:spacing w:line="132" w:lineRule="exact"/>
              <w:ind w:right="53"/>
              <w:jc w:val="right"/>
              <w:rPr>
                <w:b/>
                <w:sz w:val="12"/>
              </w:rPr>
            </w:pPr>
            <w:r>
              <w:rPr>
                <w:b/>
                <w:w w:val="105"/>
                <w:sz w:val="12"/>
              </w:rPr>
              <w:t>26.424.301,34</w:t>
            </w:r>
          </w:p>
        </w:tc>
      </w:tr>
      <w:tr>
        <w:trPr>
          <w:trHeight w:val="152"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2009</w:t>
            </w:r>
          </w:p>
        </w:tc>
        <w:tc>
          <w:tcPr>
            <w:tcW w:w="886" w:type="dxa"/>
          </w:tcPr>
          <w:p>
            <w:pPr>
              <w:pStyle w:val="TableParagraph"/>
              <w:spacing w:line="132" w:lineRule="exact"/>
              <w:ind w:right="47"/>
              <w:jc w:val="right"/>
              <w:rPr>
                <w:sz w:val="12"/>
              </w:rPr>
            </w:pPr>
            <w:r>
              <w:rPr>
                <w:w w:val="105"/>
                <w:sz w:val="12"/>
              </w:rPr>
              <w:t>6.692,22</w:t>
            </w: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20.371.244,07</w:t>
            </w:r>
          </w:p>
        </w:tc>
        <w:tc>
          <w:tcPr>
            <w:tcW w:w="1030" w:type="dxa"/>
          </w:tcPr>
          <w:p>
            <w:pPr>
              <w:pStyle w:val="TableParagraph"/>
              <w:rPr>
                <w:rFonts w:ascii="Times New Roman"/>
                <w:sz w:val="8"/>
              </w:rPr>
            </w:pPr>
          </w:p>
        </w:tc>
        <w:tc>
          <w:tcPr>
            <w:tcW w:w="1051" w:type="dxa"/>
          </w:tcPr>
          <w:p>
            <w:pPr>
              <w:pStyle w:val="TableParagraph"/>
              <w:spacing w:line="132" w:lineRule="exact"/>
              <w:ind w:right="52"/>
              <w:jc w:val="right"/>
              <w:rPr>
                <w:b/>
                <w:sz w:val="12"/>
              </w:rPr>
            </w:pPr>
            <w:r>
              <w:rPr>
                <w:b/>
                <w:w w:val="105"/>
                <w:sz w:val="12"/>
              </w:rPr>
              <w:t>20.377.936,29</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w w:val="105"/>
                <w:sz w:val="12"/>
              </w:rPr>
              <w:t>115.166,04</w:t>
            </w:r>
          </w:p>
        </w:tc>
        <w:tc>
          <w:tcPr>
            <w:tcW w:w="1109" w:type="dxa"/>
          </w:tcPr>
          <w:p>
            <w:pPr>
              <w:pStyle w:val="TableParagraph"/>
              <w:rPr>
                <w:rFonts w:ascii="Times New Roman"/>
                <w:sz w:val="8"/>
              </w:rPr>
            </w:pPr>
          </w:p>
        </w:tc>
        <w:tc>
          <w:tcPr>
            <w:tcW w:w="1004" w:type="dxa"/>
          </w:tcPr>
          <w:p>
            <w:pPr>
              <w:pStyle w:val="TableParagraph"/>
              <w:spacing w:line="132" w:lineRule="exact"/>
              <w:ind w:right="57"/>
              <w:jc w:val="right"/>
              <w:rPr>
                <w:b/>
                <w:sz w:val="12"/>
              </w:rPr>
            </w:pPr>
            <w:r>
              <w:rPr>
                <w:b/>
                <w:w w:val="105"/>
                <w:sz w:val="12"/>
              </w:rPr>
              <w:t>115.166,04</w:t>
            </w:r>
          </w:p>
        </w:tc>
        <w:tc>
          <w:tcPr>
            <w:tcW w:w="1008" w:type="dxa"/>
            <w:tcBorders>
              <w:right w:val="single" w:sz="4" w:space="0" w:color="000000"/>
            </w:tcBorders>
          </w:tcPr>
          <w:p>
            <w:pPr>
              <w:pStyle w:val="TableParagraph"/>
              <w:spacing w:line="132" w:lineRule="exact"/>
              <w:ind w:right="53"/>
              <w:jc w:val="right"/>
              <w:rPr>
                <w:b/>
                <w:sz w:val="12"/>
              </w:rPr>
            </w:pPr>
            <w:r>
              <w:rPr>
                <w:b/>
                <w:w w:val="105"/>
                <w:sz w:val="12"/>
              </w:rPr>
              <w:t>20.493.102,33</w:t>
            </w:r>
          </w:p>
        </w:tc>
      </w:tr>
      <w:tr>
        <w:trPr>
          <w:trHeight w:val="150" w:hRule="atLeast"/>
        </w:trPr>
        <w:tc>
          <w:tcPr>
            <w:tcW w:w="580" w:type="dxa"/>
            <w:tcBorders>
              <w:left w:val="single" w:sz="4" w:space="0" w:color="000000"/>
            </w:tcBorders>
          </w:tcPr>
          <w:p>
            <w:pPr>
              <w:pStyle w:val="TableParagraph"/>
              <w:spacing w:line="131" w:lineRule="exact"/>
              <w:ind w:left="97" w:right="93"/>
              <w:jc w:val="center"/>
              <w:rPr>
                <w:sz w:val="12"/>
              </w:rPr>
            </w:pPr>
            <w:r>
              <w:rPr>
                <w:w w:val="105"/>
                <w:sz w:val="12"/>
              </w:rPr>
              <w:t>2010</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1" w:lineRule="exact"/>
              <w:ind w:right="48"/>
              <w:jc w:val="right"/>
              <w:rPr>
                <w:sz w:val="12"/>
              </w:rPr>
            </w:pPr>
            <w:r>
              <w:rPr>
                <w:w w:val="105"/>
                <w:sz w:val="12"/>
              </w:rPr>
              <w:t>21.641.622,80</w:t>
            </w:r>
          </w:p>
        </w:tc>
        <w:tc>
          <w:tcPr>
            <w:tcW w:w="1030" w:type="dxa"/>
          </w:tcPr>
          <w:p>
            <w:pPr>
              <w:pStyle w:val="TableParagraph"/>
              <w:rPr>
                <w:rFonts w:ascii="Times New Roman"/>
                <w:sz w:val="8"/>
              </w:rPr>
            </w:pPr>
          </w:p>
        </w:tc>
        <w:tc>
          <w:tcPr>
            <w:tcW w:w="1051" w:type="dxa"/>
          </w:tcPr>
          <w:p>
            <w:pPr>
              <w:pStyle w:val="TableParagraph"/>
              <w:spacing w:line="131" w:lineRule="exact"/>
              <w:ind w:right="52"/>
              <w:jc w:val="right"/>
              <w:rPr>
                <w:b/>
                <w:sz w:val="12"/>
              </w:rPr>
            </w:pPr>
            <w:r>
              <w:rPr>
                <w:b/>
                <w:w w:val="105"/>
                <w:sz w:val="12"/>
              </w:rPr>
              <w:t>21.641.622,80</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1" w:lineRule="exact"/>
              <w:ind w:right="55"/>
              <w:jc w:val="right"/>
              <w:rPr>
                <w:sz w:val="12"/>
              </w:rPr>
            </w:pPr>
            <w:r>
              <w:rPr>
                <w:w w:val="105"/>
                <w:sz w:val="12"/>
              </w:rPr>
              <w:t>17.784,37</w:t>
            </w:r>
          </w:p>
        </w:tc>
        <w:tc>
          <w:tcPr>
            <w:tcW w:w="1109" w:type="dxa"/>
          </w:tcPr>
          <w:p>
            <w:pPr>
              <w:pStyle w:val="TableParagraph"/>
              <w:rPr>
                <w:rFonts w:ascii="Times New Roman"/>
                <w:sz w:val="8"/>
              </w:rPr>
            </w:pPr>
          </w:p>
        </w:tc>
        <w:tc>
          <w:tcPr>
            <w:tcW w:w="1004" w:type="dxa"/>
          </w:tcPr>
          <w:p>
            <w:pPr>
              <w:pStyle w:val="TableParagraph"/>
              <w:spacing w:line="131" w:lineRule="exact"/>
              <w:ind w:right="57"/>
              <w:jc w:val="right"/>
              <w:rPr>
                <w:b/>
                <w:sz w:val="12"/>
              </w:rPr>
            </w:pPr>
            <w:r>
              <w:rPr>
                <w:b/>
                <w:w w:val="105"/>
                <w:sz w:val="12"/>
              </w:rPr>
              <w:t>17.784,37</w:t>
            </w:r>
          </w:p>
        </w:tc>
        <w:tc>
          <w:tcPr>
            <w:tcW w:w="1008" w:type="dxa"/>
            <w:tcBorders>
              <w:right w:val="single" w:sz="4" w:space="0" w:color="000000"/>
            </w:tcBorders>
          </w:tcPr>
          <w:p>
            <w:pPr>
              <w:pStyle w:val="TableParagraph"/>
              <w:spacing w:line="131" w:lineRule="exact"/>
              <w:ind w:right="53"/>
              <w:jc w:val="right"/>
              <w:rPr>
                <w:b/>
                <w:sz w:val="12"/>
              </w:rPr>
            </w:pPr>
            <w:r>
              <w:rPr>
                <w:b/>
                <w:w w:val="105"/>
                <w:sz w:val="12"/>
              </w:rPr>
              <w:t>21.659.407,17</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2011</w:t>
            </w:r>
          </w:p>
        </w:tc>
        <w:tc>
          <w:tcPr>
            <w:tcW w:w="886" w:type="dxa"/>
          </w:tcPr>
          <w:p>
            <w:pPr>
              <w:pStyle w:val="TableParagraph"/>
              <w:rPr>
                <w:rFonts w:ascii="Times New Roman"/>
                <w:sz w:val="8"/>
              </w:rPr>
            </w:pPr>
          </w:p>
        </w:tc>
        <w:tc>
          <w:tcPr>
            <w:tcW w:w="1005" w:type="dxa"/>
          </w:tcPr>
          <w:p>
            <w:pPr>
              <w:pStyle w:val="TableParagraph"/>
              <w:rPr>
                <w:rFonts w:ascii="Times New Roman"/>
                <w:sz w:val="8"/>
              </w:rPr>
            </w:pPr>
          </w:p>
        </w:tc>
        <w:tc>
          <w:tcPr>
            <w:tcW w:w="1032" w:type="dxa"/>
          </w:tcPr>
          <w:p>
            <w:pPr>
              <w:pStyle w:val="TableParagraph"/>
              <w:spacing w:line="132" w:lineRule="exact"/>
              <w:ind w:right="48"/>
              <w:jc w:val="right"/>
              <w:rPr>
                <w:sz w:val="12"/>
              </w:rPr>
            </w:pPr>
            <w:r>
              <w:rPr>
                <w:w w:val="105"/>
                <w:sz w:val="12"/>
              </w:rPr>
              <w:t>12.777.701,94</w:t>
            </w:r>
          </w:p>
        </w:tc>
        <w:tc>
          <w:tcPr>
            <w:tcW w:w="1030" w:type="dxa"/>
          </w:tcPr>
          <w:p>
            <w:pPr>
              <w:pStyle w:val="TableParagraph"/>
              <w:spacing w:line="132" w:lineRule="exact"/>
              <w:ind w:right="49"/>
              <w:jc w:val="right"/>
              <w:rPr>
                <w:sz w:val="12"/>
              </w:rPr>
            </w:pPr>
            <w:r>
              <w:rPr>
                <w:w w:val="105"/>
                <w:sz w:val="12"/>
              </w:rPr>
              <w:t>433.086,75</w:t>
            </w:r>
          </w:p>
        </w:tc>
        <w:tc>
          <w:tcPr>
            <w:tcW w:w="1051" w:type="dxa"/>
          </w:tcPr>
          <w:p>
            <w:pPr>
              <w:pStyle w:val="TableParagraph"/>
              <w:spacing w:line="132" w:lineRule="exact"/>
              <w:ind w:right="52"/>
              <w:jc w:val="right"/>
              <w:rPr>
                <w:b/>
                <w:sz w:val="12"/>
              </w:rPr>
            </w:pPr>
            <w:r>
              <w:rPr>
                <w:b/>
                <w:w w:val="105"/>
                <w:sz w:val="12"/>
              </w:rPr>
              <w:t>13.210.788,69</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w w:val="105"/>
                <w:sz w:val="12"/>
              </w:rPr>
              <w:t>48.270,95</w:t>
            </w:r>
          </w:p>
        </w:tc>
        <w:tc>
          <w:tcPr>
            <w:tcW w:w="1109" w:type="dxa"/>
          </w:tcPr>
          <w:p>
            <w:pPr>
              <w:pStyle w:val="TableParagraph"/>
              <w:rPr>
                <w:rFonts w:ascii="Times New Roman"/>
                <w:sz w:val="8"/>
              </w:rPr>
            </w:pPr>
          </w:p>
        </w:tc>
        <w:tc>
          <w:tcPr>
            <w:tcW w:w="1004" w:type="dxa"/>
          </w:tcPr>
          <w:p>
            <w:pPr>
              <w:pStyle w:val="TableParagraph"/>
              <w:spacing w:line="132" w:lineRule="exact"/>
              <w:ind w:right="57"/>
              <w:jc w:val="right"/>
              <w:rPr>
                <w:b/>
                <w:sz w:val="12"/>
              </w:rPr>
            </w:pPr>
            <w:r>
              <w:rPr>
                <w:b/>
                <w:w w:val="105"/>
                <w:sz w:val="12"/>
              </w:rPr>
              <w:t>48.270,95</w:t>
            </w:r>
          </w:p>
        </w:tc>
        <w:tc>
          <w:tcPr>
            <w:tcW w:w="1008" w:type="dxa"/>
            <w:tcBorders>
              <w:right w:val="single" w:sz="4" w:space="0" w:color="000000"/>
            </w:tcBorders>
          </w:tcPr>
          <w:p>
            <w:pPr>
              <w:pStyle w:val="TableParagraph"/>
              <w:spacing w:line="132" w:lineRule="exact"/>
              <w:ind w:right="53"/>
              <w:jc w:val="right"/>
              <w:rPr>
                <w:b/>
                <w:sz w:val="12"/>
              </w:rPr>
            </w:pPr>
            <w:r>
              <w:rPr>
                <w:b/>
                <w:w w:val="105"/>
                <w:sz w:val="12"/>
              </w:rPr>
              <w:t>13.259.059,64</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2012</w:t>
            </w:r>
          </w:p>
        </w:tc>
        <w:tc>
          <w:tcPr>
            <w:tcW w:w="886" w:type="dxa"/>
          </w:tcPr>
          <w:p>
            <w:pPr>
              <w:pStyle w:val="TableParagraph"/>
              <w:spacing w:line="132" w:lineRule="exact"/>
              <w:ind w:right="47"/>
              <w:jc w:val="right"/>
              <w:rPr>
                <w:sz w:val="12"/>
              </w:rPr>
            </w:pPr>
            <w:r>
              <w:rPr>
                <w:w w:val="105"/>
                <w:sz w:val="12"/>
              </w:rPr>
              <w:t>68.893,62</w:t>
            </w:r>
          </w:p>
        </w:tc>
        <w:tc>
          <w:tcPr>
            <w:tcW w:w="1005" w:type="dxa"/>
          </w:tcPr>
          <w:p>
            <w:pPr>
              <w:pStyle w:val="TableParagraph"/>
              <w:spacing w:line="132" w:lineRule="exact"/>
              <w:ind w:right="49"/>
              <w:jc w:val="right"/>
              <w:rPr>
                <w:sz w:val="12"/>
              </w:rPr>
            </w:pPr>
            <w:r>
              <w:rPr>
                <w:w w:val="105"/>
                <w:sz w:val="12"/>
              </w:rPr>
              <w:t>20.559,19</w:t>
            </w:r>
          </w:p>
        </w:tc>
        <w:tc>
          <w:tcPr>
            <w:tcW w:w="1032" w:type="dxa"/>
          </w:tcPr>
          <w:p>
            <w:pPr>
              <w:pStyle w:val="TableParagraph"/>
              <w:spacing w:line="132" w:lineRule="exact"/>
              <w:ind w:right="48"/>
              <w:jc w:val="right"/>
              <w:rPr>
                <w:sz w:val="12"/>
              </w:rPr>
            </w:pPr>
            <w:r>
              <w:rPr>
                <w:w w:val="105"/>
                <w:sz w:val="12"/>
              </w:rPr>
              <w:t>10.052.364,69</w:t>
            </w:r>
          </w:p>
        </w:tc>
        <w:tc>
          <w:tcPr>
            <w:tcW w:w="1030" w:type="dxa"/>
          </w:tcPr>
          <w:p>
            <w:pPr>
              <w:pStyle w:val="TableParagraph"/>
              <w:spacing w:line="132" w:lineRule="exact"/>
              <w:ind w:right="49"/>
              <w:jc w:val="right"/>
              <w:rPr>
                <w:sz w:val="12"/>
              </w:rPr>
            </w:pPr>
            <w:r>
              <w:rPr>
                <w:w w:val="105"/>
                <w:sz w:val="12"/>
              </w:rPr>
              <w:t>14.399.642,61</w:t>
            </w:r>
          </w:p>
        </w:tc>
        <w:tc>
          <w:tcPr>
            <w:tcW w:w="1051" w:type="dxa"/>
          </w:tcPr>
          <w:p>
            <w:pPr>
              <w:pStyle w:val="TableParagraph"/>
              <w:spacing w:line="132" w:lineRule="exact"/>
              <w:ind w:right="52"/>
              <w:jc w:val="right"/>
              <w:rPr>
                <w:b/>
                <w:sz w:val="12"/>
              </w:rPr>
            </w:pPr>
            <w:r>
              <w:rPr>
                <w:b/>
                <w:w w:val="105"/>
                <w:sz w:val="12"/>
              </w:rPr>
              <w:t>24.541.460,11</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2" w:lineRule="exact"/>
              <w:ind w:right="55"/>
              <w:jc w:val="right"/>
              <w:rPr>
                <w:sz w:val="12"/>
              </w:rPr>
            </w:pPr>
            <w:r>
              <w:rPr>
                <w:w w:val="105"/>
                <w:sz w:val="12"/>
              </w:rPr>
              <w:t>33.217,43</w:t>
            </w:r>
          </w:p>
        </w:tc>
        <w:tc>
          <w:tcPr>
            <w:tcW w:w="1109" w:type="dxa"/>
          </w:tcPr>
          <w:p>
            <w:pPr>
              <w:pStyle w:val="TableParagraph"/>
              <w:spacing w:line="132" w:lineRule="exact"/>
              <w:ind w:right="58"/>
              <w:jc w:val="right"/>
              <w:rPr>
                <w:sz w:val="12"/>
              </w:rPr>
            </w:pPr>
            <w:r>
              <w:rPr>
                <w:w w:val="105"/>
                <w:sz w:val="12"/>
              </w:rPr>
              <w:t>20.839,68</w:t>
            </w:r>
          </w:p>
        </w:tc>
        <w:tc>
          <w:tcPr>
            <w:tcW w:w="1004" w:type="dxa"/>
          </w:tcPr>
          <w:p>
            <w:pPr>
              <w:pStyle w:val="TableParagraph"/>
              <w:spacing w:line="132" w:lineRule="exact"/>
              <w:ind w:right="57"/>
              <w:jc w:val="right"/>
              <w:rPr>
                <w:b/>
                <w:sz w:val="12"/>
              </w:rPr>
            </w:pPr>
            <w:r>
              <w:rPr>
                <w:b/>
                <w:w w:val="105"/>
                <w:sz w:val="12"/>
              </w:rPr>
              <w:t>54.057,11</w:t>
            </w:r>
          </w:p>
        </w:tc>
        <w:tc>
          <w:tcPr>
            <w:tcW w:w="1008" w:type="dxa"/>
            <w:tcBorders>
              <w:right w:val="single" w:sz="4" w:space="0" w:color="000000"/>
            </w:tcBorders>
          </w:tcPr>
          <w:p>
            <w:pPr>
              <w:pStyle w:val="TableParagraph"/>
              <w:spacing w:line="132" w:lineRule="exact"/>
              <w:ind w:right="53"/>
              <w:jc w:val="right"/>
              <w:rPr>
                <w:b/>
                <w:sz w:val="12"/>
              </w:rPr>
            </w:pPr>
            <w:r>
              <w:rPr>
                <w:b/>
                <w:w w:val="105"/>
                <w:sz w:val="12"/>
              </w:rPr>
              <w:t>24.595.517,22</w:t>
            </w:r>
          </w:p>
        </w:tc>
      </w:tr>
      <w:tr>
        <w:trPr>
          <w:trHeight w:val="150" w:hRule="atLeast"/>
        </w:trPr>
        <w:tc>
          <w:tcPr>
            <w:tcW w:w="580" w:type="dxa"/>
            <w:tcBorders>
              <w:left w:val="single" w:sz="4" w:space="0" w:color="000000"/>
            </w:tcBorders>
          </w:tcPr>
          <w:p>
            <w:pPr>
              <w:pStyle w:val="TableParagraph"/>
              <w:spacing w:line="131" w:lineRule="exact"/>
              <w:ind w:left="97" w:right="93"/>
              <w:jc w:val="center"/>
              <w:rPr>
                <w:sz w:val="12"/>
              </w:rPr>
            </w:pPr>
            <w:r>
              <w:rPr>
                <w:w w:val="105"/>
                <w:sz w:val="12"/>
              </w:rPr>
              <w:t>2013</w:t>
            </w:r>
          </w:p>
        </w:tc>
        <w:tc>
          <w:tcPr>
            <w:tcW w:w="886" w:type="dxa"/>
          </w:tcPr>
          <w:p>
            <w:pPr>
              <w:pStyle w:val="TableParagraph"/>
              <w:rPr>
                <w:rFonts w:ascii="Times New Roman"/>
                <w:sz w:val="8"/>
              </w:rPr>
            </w:pPr>
          </w:p>
        </w:tc>
        <w:tc>
          <w:tcPr>
            <w:tcW w:w="1005" w:type="dxa"/>
          </w:tcPr>
          <w:p>
            <w:pPr>
              <w:pStyle w:val="TableParagraph"/>
              <w:spacing w:line="131" w:lineRule="exact"/>
              <w:ind w:right="49"/>
              <w:jc w:val="right"/>
              <w:rPr>
                <w:sz w:val="12"/>
              </w:rPr>
            </w:pPr>
            <w:r>
              <w:rPr>
                <w:w w:val="105"/>
                <w:sz w:val="12"/>
              </w:rPr>
              <w:t>71.997,16</w:t>
            </w:r>
          </w:p>
        </w:tc>
        <w:tc>
          <w:tcPr>
            <w:tcW w:w="1032" w:type="dxa"/>
          </w:tcPr>
          <w:p>
            <w:pPr>
              <w:pStyle w:val="TableParagraph"/>
              <w:spacing w:line="131" w:lineRule="exact"/>
              <w:ind w:right="48"/>
              <w:jc w:val="right"/>
              <w:rPr>
                <w:sz w:val="12"/>
              </w:rPr>
            </w:pPr>
            <w:r>
              <w:rPr>
                <w:w w:val="105"/>
                <w:sz w:val="12"/>
              </w:rPr>
              <w:t>2.918.621,59</w:t>
            </w:r>
          </w:p>
        </w:tc>
        <w:tc>
          <w:tcPr>
            <w:tcW w:w="1030" w:type="dxa"/>
          </w:tcPr>
          <w:p>
            <w:pPr>
              <w:pStyle w:val="TableParagraph"/>
              <w:spacing w:line="131" w:lineRule="exact"/>
              <w:ind w:right="49"/>
              <w:jc w:val="right"/>
              <w:rPr>
                <w:sz w:val="12"/>
              </w:rPr>
            </w:pPr>
            <w:r>
              <w:rPr>
                <w:w w:val="105"/>
                <w:sz w:val="12"/>
              </w:rPr>
              <w:t>10.996.830,22</w:t>
            </w:r>
          </w:p>
        </w:tc>
        <w:tc>
          <w:tcPr>
            <w:tcW w:w="1051" w:type="dxa"/>
          </w:tcPr>
          <w:p>
            <w:pPr>
              <w:pStyle w:val="TableParagraph"/>
              <w:spacing w:line="131" w:lineRule="exact"/>
              <w:ind w:right="52"/>
              <w:jc w:val="right"/>
              <w:rPr>
                <w:b/>
                <w:sz w:val="12"/>
              </w:rPr>
            </w:pPr>
            <w:r>
              <w:rPr>
                <w:b/>
                <w:w w:val="105"/>
                <w:sz w:val="12"/>
              </w:rPr>
              <w:t>13.987.448,97</w:t>
            </w:r>
          </w:p>
        </w:tc>
        <w:tc>
          <w:tcPr>
            <w:tcW w:w="904" w:type="dxa"/>
          </w:tcPr>
          <w:p>
            <w:pPr>
              <w:pStyle w:val="TableParagraph"/>
              <w:rPr>
                <w:rFonts w:ascii="Times New Roman"/>
                <w:sz w:val="8"/>
              </w:rPr>
            </w:pPr>
          </w:p>
        </w:tc>
        <w:tc>
          <w:tcPr>
            <w:tcW w:w="986" w:type="dxa"/>
          </w:tcPr>
          <w:p>
            <w:pPr>
              <w:pStyle w:val="TableParagraph"/>
              <w:rPr>
                <w:rFonts w:ascii="Times New Roman"/>
                <w:sz w:val="8"/>
              </w:rPr>
            </w:pPr>
          </w:p>
        </w:tc>
        <w:tc>
          <w:tcPr>
            <w:tcW w:w="1051" w:type="dxa"/>
          </w:tcPr>
          <w:p>
            <w:pPr>
              <w:pStyle w:val="TableParagraph"/>
              <w:spacing w:line="131" w:lineRule="exact"/>
              <w:ind w:right="55"/>
              <w:jc w:val="right"/>
              <w:rPr>
                <w:sz w:val="12"/>
              </w:rPr>
            </w:pPr>
            <w:r>
              <w:rPr>
                <w:w w:val="105"/>
                <w:sz w:val="12"/>
              </w:rPr>
              <w:t>114.814,51</w:t>
            </w:r>
          </w:p>
        </w:tc>
        <w:tc>
          <w:tcPr>
            <w:tcW w:w="1109" w:type="dxa"/>
          </w:tcPr>
          <w:p>
            <w:pPr>
              <w:pStyle w:val="TableParagraph"/>
              <w:spacing w:line="131" w:lineRule="exact"/>
              <w:ind w:right="58"/>
              <w:jc w:val="right"/>
              <w:rPr>
                <w:sz w:val="12"/>
              </w:rPr>
            </w:pPr>
            <w:r>
              <w:rPr>
                <w:w w:val="105"/>
                <w:sz w:val="12"/>
              </w:rPr>
              <w:t>12.286,40</w:t>
            </w:r>
          </w:p>
        </w:tc>
        <w:tc>
          <w:tcPr>
            <w:tcW w:w="1004" w:type="dxa"/>
          </w:tcPr>
          <w:p>
            <w:pPr>
              <w:pStyle w:val="TableParagraph"/>
              <w:spacing w:line="131" w:lineRule="exact"/>
              <w:ind w:right="57"/>
              <w:jc w:val="right"/>
              <w:rPr>
                <w:b/>
                <w:sz w:val="12"/>
              </w:rPr>
            </w:pPr>
            <w:r>
              <w:rPr>
                <w:b/>
                <w:w w:val="105"/>
                <w:sz w:val="12"/>
              </w:rPr>
              <w:t>127.100,91</w:t>
            </w:r>
          </w:p>
        </w:tc>
        <w:tc>
          <w:tcPr>
            <w:tcW w:w="1008" w:type="dxa"/>
            <w:tcBorders>
              <w:right w:val="single" w:sz="4" w:space="0" w:color="000000"/>
            </w:tcBorders>
          </w:tcPr>
          <w:p>
            <w:pPr>
              <w:pStyle w:val="TableParagraph"/>
              <w:spacing w:line="131" w:lineRule="exact"/>
              <w:ind w:right="53"/>
              <w:jc w:val="right"/>
              <w:rPr>
                <w:b/>
                <w:sz w:val="12"/>
              </w:rPr>
            </w:pPr>
            <w:r>
              <w:rPr>
                <w:b/>
                <w:w w:val="105"/>
                <w:sz w:val="12"/>
              </w:rPr>
              <w:t>14.114.549,88</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2014</w:t>
            </w:r>
          </w:p>
        </w:tc>
        <w:tc>
          <w:tcPr>
            <w:tcW w:w="886" w:type="dxa"/>
          </w:tcPr>
          <w:p>
            <w:pPr>
              <w:pStyle w:val="TableParagraph"/>
              <w:rPr>
                <w:rFonts w:ascii="Times New Roman"/>
                <w:sz w:val="8"/>
              </w:rPr>
            </w:pPr>
          </w:p>
        </w:tc>
        <w:tc>
          <w:tcPr>
            <w:tcW w:w="1005" w:type="dxa"/>
          </w:tcPr>
          <w:p>
            <w:pPr>
              <w:pStyle w:val="TableParagraph"/>
              <w:spacing w:line="132" w:lineRule="exact"/>
              <w:ind w:right="49"/>
              <w:jc w:val="right"/>
              <w:rPr>
                <w:sz w:val="12"/>
              </w:rPr>
            </w:pPr>
            <w:r>
              <w:rPr>
                <w:w w:val="105"/>
                <w:sz w:val="12"/>
              </w:rPr>
              <w:t>277.186,21</w:t>
            </w:r>
          </w:p>
        </w:tc>
        <w:tc>
          <w:tcPr>
            <w:tcW w:w="1032" w:type="dxa"/>
          </w:tcPr>
          <w:p>
            <w:pPr>
              <w:pStyle w:val="TableParagraph"/>
              <w:spacing w:line="132" w:lineRule="exact"/>
              <w:ind w:right="48"/>
              <w:jc w:val="right"/>
              <w:rPr>
                <w:sz w:val="12"/>
              </w:rPr>
            </w:pPr>
            <w:r>
              <w:rPr>
                <w:w w:val="105"/>
                <w:sz w:val="12"/>
              </w:rPr>
              <w:t>2.971.490,36</w:t>
            </w:r>
          </w:p>
        </w:tc>
        <w:tc>
          <w:tcPr>
            <w:tcW w:w="1030" w:type="dxa"/>
          </w:tcPr>
          <w:p>
            <w:pPr>
              <w:pStyle w:val="TableParagraph"/>
              <w:spacing w:line="132" w:lineRule="exact"/>
              <w:ind w:right="49"/>
              <w:jc w:val="right"/>
              <w:rPr>
                <w:sz w:val="12"/>
              </w:rPr>
            </w:pPr>
            <w:r>
              <w:rPr>
                <w:w w:val="105"/>
                <w:sz w:val="12"/>
              </w:rPr>
              <w:t>10.067.127,36</w:t>
            </w:r>
          </w:p>
        </w:tc>
        <w:tc>
          <w:tcPr>
            <w:tcW w:w="1051" w:type="dxa"/>
          </w:tcPr>
          <w:p>
            <w:pPr>
              <w:pStyle w:val="TableParagraph"/>
              <w:spacing w:line="132" w:lineRule="exact"/>
              <w:ind w:right="52"/>
              <w:jc w:val="right"/>
              <w:rPr>
                <w:b/>
                <w:sz w:val="12"/>
              </w:rPr>
            </w:pPr>
            <w:r>
              <w:rPr>
                <w:b/>
                <w:w w:val="105"/>
                <w:sz w:val="12"/>
              </w:rPr>
              <w:t>13.315.803,93</w:t>
            </w:r>
          </w:p>
        </w:tc>
        <w:tc>
          <w:tcPr>
            <w:tcW w:w="904" w:type="dxa"/>
          </w:tcPr>
          <w:p>
            <w:pPr>
              <w:pStyle w:val="TableParagraph"/>
              <w:rPr>
                <w:rFonts w:ascii="Times New Roman"/>
                <w:sz w:val="8"/>
              </w:rPr>
            </w:pPr>
          </w:p>
        </w:tc>
        <w:tc>
          <w:tcPr>
            <w:tcW w:w="986" w:type="dxa"/>
          </w:tcPr>
          <w:p>
            <w:pPr>
              <w:pStyle w:val="TableParagraph"/>
              <w:spacing w:line="132" w:lineRule="exact"/>
              <w:ind w:right="54"/>
              <w:jc w:val="right"/>
              <w:rPr>
                <w:sz w:val="12"/>
              </w:rPr>
            </w:pPr>
            <w:r>
              <w:rPr>
                <w:sz w:val="12"/>
              </w:rPr>
              <w:t>239,96</w:t>
            </w:r>
          </w:p>
        </w:tc>
        <w:tc>
          <w:tcPr>
            <w:tcW w:w="1051" w:type="dxa"/>
          </w:tcPr>
          <w:p>
            <w:pPr>
              <w:pStyle w:val="TableParagraph"/>
              <w:spacing w:line="132" w:lineRule="exact"/>
              <w:ind w:right="55"/>
              <w:jc w:val="right"/>
              <w:rPr>
                <w:sz w:val="12"/>
              </w:rPr>
            </w:pPr>
            <w:r>
              <w:rPr>
                <w:w w:val="105"/>
                <w:sz w:val="12"/>
              </w:rPr>
              <w:t>1.163.188,71</w:t>
            </w:r>
          </w:p>
        </w:tc>
        <w:tc>
          <w:tcPr>
            <w:tcW w:w="1109" w:type="dxa"/>
          </w:tcPr>
          <w:p>
            <w:pPr>
              <w:pStyle w:val="TableParagraph"/>
              <w:spacing w:line="132" w:lineRule="exact"/>
              <w:ind w:right="58"/>
              <w:jc w:val="right"/>
              <w:rPr>
                <w:sz w:val="12"/>
              </w:rPr>
            </w:pPr>
            <w:r>
              <w:rPr>
                <w:w w:val="105"/>
                <w:sz w:val="12"/>
              </w:rPr>
              <w:t>98.590,32</w:t>
            </w:r>
          </w:p>
        </w:tc>
        <w:tc>
          <w:tcPr>
            <w:tcW w:w="1004" w:type="dxa"/>
          </w:tcPr>
          <w:p>
            <w:pPr>
              <w:pStyle w:val="TableParagraph"/>
              <w:spacing w:line="132" w:lineRule="exact"/>
              <w:ind w:right="57"/>
              <w:jc w:val="right"/>
              <w:rPr>
                <w:b/>
                <w:sz w:val="12"/>
              </w:rPr>
            </w:pPr>
            <w:r>
              <w:rPr>
                <w:b/>
                <w:w w:val="105"/>
                <w:sz w:val="12"/>
              </w:rPr>
              <w:t>1.262.018,99</w:t>
            </w:r>
          </w:p>
        </w:tc>
        <w:tc>
          <w:tcPr>
            <w:tcW w:w="1008" w:type="dxa"/>
            <w:tcBorders>
              <w:right w:val="single" w:sz="4" w:space="0" w:color="000000"/>
            </w:tcBorders>
          </w:tcPr>
          <w:p>
            <w:pPr>
              <w:pStyle w:val="TableParagraph"/>
              <w:spacing w:line="132" w:lineRule="exact"/>
              <w:ind w:right="53"/>
              <w:jc w:val="right"/>
              <w:rPr>
                <w:b/>
                <w:sz w:val="12"/>
              </w:rPr>
            </w:pPr>
            <w:r>
              <w:rPr>
                <w:b/>
                <w:w w:val="105"/>
                <w:sz w:val="12"/>
              </w:rPr>
              <w:t>14.577.822,92</w:t>
            </w:r>
          </w:p>
        </w:tc>
      </w:tr>
      <w:tr>
        <w:trPr>
          <w:trHeight w:val="141" w:hRule="atLeast"/>
        </w:trPr>
        <w:tc>
          <w:tcPr>
            <w:tcW w:w="580" w:type="dxa"/>
            <w:tcBorders>
              <w:left w:val="single" w:sz="4" w:space="0" w:color="000000"/>
            </w:tcBorders>
          </w:tcPr>
          <w:p>
            <w:pPr>
              <w:pStyle w:val="TableParagraph"/>
              <w:spacing w:line="121" w:lineRule="exact"/>
              <w:ind w:left="97" w:right="93"/>
              <w:jc w:val="center"/>
              <w:rPr>
                <w:sz w:val="12"/>
              </w:rPr>
            </w:pPr>
            <w:r>
              <w:rPr>
                <w:w w:val="105"/>
                <w:sz w:val="12"/>
              </w:rPr>
              <w:t>2015</w:t>
            </w:r>
          </w:p>
        </w:tc>
        <w:tc>
          <w:tcPr>
            <w:tcW w:w="886" w:type="dxa"/>
          </w:tcPr>
          <w:p>
            <w:pPr>
              <w:pStyle w:val="TableParagraph"/>
              <w:rPr>
                <w:rFonts w:ascii="Times New Roman"/>
                <w:sz w:val="8"/>
              </w:rPr>
            </w:pPr>
          </w:p>
        </w:tc>
        <w:tc>
          <w:tcPr>
            <w:tcW w:w="1005" w:type="dxa"/>
          </w:tcPr>
          <w:p>
            <w:pPr>
              <w:pStyle w:val="TableParagraph"/>
              <w:spacing w:line="121" w:lineRule="exact"/>
              <w:ind w:right="49"/>
              <w:jc w:val="right"/>
              <w:rPr>
                <w:sz w:val="12"/>
              </w:rPr>
            </w:pPr>
            <w:r>
              <w:rPr>
                <w:w w:val="105"/>
                <w:sz w:val="12"/>
              </w:rPr>
              <w:t>203.713,00</w:t>
            </w:r>
          </w:p>
        </w:tc>
        <w:tc>
          <w:tcPr>
            <w:tcW w:w="1032" w:type="dxa"/>
          </w:tcPr>
          <w:p>
            <w:pPr>
              <w:pStyle w:val="TableParagraph"/>
              <w:spacing w:line="121" w:lineRule="exact"/>
              <w:ind w:right="48"/>
              <w:jc w:val="right"/>
              <w:rPr>
                <w:sz w:val="12"/>
              </w:rPr>
            </w:pPr>
            <w:r>
              <w:rPr>
                <w:w w:val="105"/>
                <w:sz w:val="12"/>
              </w:rPr>
              <w:t>507.044,71</w:t>
            </w:r>
          </w:p>
        </w:tc>
        <w:tc>
          <w:tcPr>
            <w:tcW w:w="1030" w:type="dxa"/>
          </w:tcPr>
          <w:p>
            <w:pPr>
              <w:pStyle w:val="TableParagraph"/>
              <w:spacing w:line="121" w:lineRule="exact"/>
              <w:ind w:right="49"/>
              <w:jc w:val="right"/>
              <w:rPr>
                <w:sz w:val="12"/>
              </w:rPr>
            </w:pPr>
            <w:r>
              <w:rPr>
                <w:w w:val="105"/>
                <w:sz w:val="12"/>
              </w:rPr>
              <w:t>8.543.523,01</w:t>
            </w:r>
          </w:p>
        </w:tc>
        <w:tc>
          <w:tcPr>
            <w:tcW w:w="1051" w:type="dxa"/>
          </w:tcPr>
          <w:p>
            <w:pPr>
              <w:pStyle w:val="TableParagraph"/>
              <w:spacing w:line="121" w:lineRule="exact"/>
              <w:ind w:right="52"/>
              <w:jc w:val="right"/>
              <w:rPr>
                <w:b/>
                <w:sz w:val="12"/>
              </w:rPr>
            </w:pPr>
            <w:r>
              <w:rPr>
                <w:b/>
                <w:w w:val="105"/>
                <w:sz w:val="12"/>
              </w:rPr>
              <w:t>9.254.280,72</w:t>
            </w:r>
          </w:p>
        </w:tc>
        <w:tc>
          <w:tcPr>
            <w:tcW w:w="904" w:type="dxa"/>
          </w:tcPr>
          <w:p>
            <w:pPr>
              <w:pStyle w:val="TableParagraph"/>
              <w:rPr>
                <w:rFonts w:ascii="Times New Roman"/>
                <w:sz w:val="8"/>
              </w:rPr>
            </w:pPr>
          </w:p>
        </w:tc>
        <w:tc>
          <w:tcPr>
            <w:tcW w:w="986" w:type="dxa"/>
          </w:tcPr>
          <w:p>
            <w:pPr>
              <w:pStyle w:val="TableParagraph"/>
              <w:spacing w:line="121" w:lineRule="exact"/>
              <w:ind w:right="54"/>
              <w:jc w:val="right"/>
              <w:rPr>
                <w:sz w:val="12"/>
              </w:rPr>
            </w:pPr>
            <w:r>
              <w:rPr>
                <w:w w:val="105"/>
                <w:sz w:val="12"/>
              </w:rPr>
              <w:t>14.565,96</w:t>
            </w:r>
          </w:p>
        </w:tc>
        <w:tc>
          <w:tcPr>
            <w:tcW w:w="1051" w:type="dxa"/>
          </w:tcPr>
          <w:p>
            <w:pPr>
              <w:pStyle w:val="TableParagraph"/>
              <w:spacing w:line="121" w:lineRule="exact"/>
              <w:ind w:right="55"/>
              <w:jc w:val="right"/>
              <w:rPr>
                <w:sz w:val="12"/>
              </w:rPr>
            </w:pPr>
            <w:r>
              <w:rPr>
                <w:w w:val="105"/>
                <w:sz w:val="12"/>
              </w:rPr>
              <w:t>541.759,67</w:t>
            </w:r>
          </w:p>
        </w:tc>
        <w:tc>
          <w:tcPr>
            <w:tcW w:w="1109" w:type="dxa"/>
          </w:tcPr>
          <w:p>
            <w:pPr>
              <w:pStyle w:val="TableParagraph"/>
              <w:spacing w:line="121" w:lineRule="exact"/>
              <w:ind w:right="58"/>
              <w:jc w:val="right"/>
              <w:rPr>
                <w:sz w:val="12"/>
              </w:rPr>
            </w:pPr>
            <w:r>
              <w:rPr>
                <w:w w:val="105"/>
                <w:sz w:val="12"/>
              </w:rPr>
              <w:t>254.576,55</w:t>
            </w:r>
          </w:p>
        </w:tc>
        <w:tc>
          <w:tcPr>
            <w:tcW w:w="1004" w:type="dxa"/>
          </w:tcPr>
          <w:p>
            <w:pPr>
              <w:pStyle w:val="TableParagraph"/>
              <w:spacing w:line="121" w:lineRule="exact"/>
              <w:ind w:right="57"/>
              <w:jc w:val="right"/>
              <w:rPr>
                <w:b/>
                <w:sz w:val="12"/>
              </w:rPr>
            </w:pPr>
            <w:r>
              <w:rPr>
                <w:b/>
                <w:w w:val="105"/>
                <w:sz w:val="12"/>
              </w:rPr>
              <w:t>810.902,18</w:t>
            </w:r>
          </w:p>
        </w:tc>
        <w:tc>
          <w:tcPr>
            <w:tcW w:w="1008" w:type="dxa"/>
            <w:tcBorders>
              <w:right w:val="single" w:sz="4" w:space="0" w:color="000000"/>
            </w:tcBorders>
          </w:tcPr>
          <w:p>
            <w:pPr>
              <w:pStyle w:val="TableParagraph"/>
              <w:spacing w:line="121" w:lineRule="exact"/>
              <w:ind w:right="53"/>
              <w:jc w:val="right"/>
              <w:rPr>
                <w:b/>
                <w:sz w:val="12"/>
              </w:rPr>
            </w:pPr>
            <w:r>
              <w:rPr>
                <w:b/>
                <w:w w:val="105"/>
                <w:sz w:val="12"/>
              </w:rPr>
              <w:t>10.065.182,90</w:t>
            </w:r>
          </w:p>
        </w:tc>
      </w:tr>
    </w:tbl>
    <w:p>
      <w:pPr>
        <w:pStyle w:val="BodyText"/>
        <w:spacing w:before="3"/>
        <w:rPr>
          <w:b/>
          <w:sz w:val="7"/>
        </w:rPr>
      </w:pPr>
    </w:p>
    <w:p>
      <w:pPr>
        <w:spacing w:before="69"/>
        <w:ind w:left="10855" w:right="1577" w:firstLine="0"/>
        <w:jc w:val="center"/>
        <w:rPr>
          <w:sz w:val="18"/>
        </w:rPr>
      </w:pPr>
      <w:r>
        <w:rPr/>
        <w:pict>
          <v:shape style="position:absolute;margin-left:359.095032pt;margin-top:-224.662064pt;width:52.5pt;height:220pt;mso-position-horizontal-relative:page;mso-position-vertical-relative:paragraph;z-index:-322932736" coordorigin="7182,-4493" coordsize="1050,4400" path="m8231,-1154l8177,-1154,7236,-1154,7182,-1154,7182,-1003,7182,-852,7182,-699,7182,-548,7182,-397,7182,-244,7182,-93,7236,-93,8177,-93,8231,-93,8231,-244,8231,-397,8231,-548,8231,-699,8231,-852,8231,-1003,8231,-1154m8231,-4493l8177,-4493,7236,-4493,7182,-4493,7182,-4340,7182,-4189,7182,-4038,7182,-3886,7182,-3735,7182,-3584,7182,-3431,7182,-3280,7182,-3127,7182,-2976,7182,-2825,7182,-2825,7182,-2672,7182,-2521,7182,-2368,7182,-2217,7182,-2066,7182,-1913,7182,-1762,7182,-1611,7182,-1458,7182,-1307,7182,-1154,7236,-1154,8177,-1154,8231,-1154,8231,-1307,8231,-1458,8231,-1611,8231,-1762,8231,-1913,8231,-2066,8231,-2217,8231,-2368,8231,-2521,8231,-2672,8231,-2825,8231,-2825,8231,-2976,8231,-3127,8231,-3280,8231,-3431,8231,-3584,8231,-3735,8231,-3886,8231,-4038,8231,-4189,8231,-4340,8231,-4493e" filled="true" fillcolor="#d9d9d9" stroked="false">
            <v:path arrowok="t"/>
            <v:fill type="solid"/>
            <w10:wrap type="none"/>
          </v:shape>
        </w:pict>
      </w:r>
      <w:r>
        <w:rPr/>
        <w:pict>
          <v:shape style="position:absolute;margin-left:613.671021pt;margin-top:-224.662064pt;width:50.25pt;height:220pt;mso-position-horizontal-relative:page;mso-position-vertical-relative:paragraph;z-index:-322931712" coordorigin="12273,-4493" coordsize="1005,4400" path="m13278,-1154l13224,-1154,12329,-1154,12273,-1154,12273,-1003,12273,-852,12273,-699,12273,-548,12273,-397,12273,-244,12273,-93,12329,-93,13224,-93,13278,-93,13278,-244,13278,-397,13278,-548,13278,-699,13278,-852,13278,-1003,13278,-1154m13278,-4493l13224,-4493,12329,-4493,12273,-4493,12273,-4340,12273,-4189,12273,-4038,12273,-3886,12273,-3735,12273,-3584,12273,-3431,12273,-3280,12273,-3127,12273,-2976,12273,-2825,12273,-2825,12273,-2672,12273,-2521,12273,-2368,12273,-2217,12273,-2066,12273,-1913,12273,-1762,12273,-1611,12273,-1458,12273,-1307,12273,-1154,12329,-1154,13224,-1154,13278,-1154,13278,-1307,13278,-1458,13278,-1611,13278,-1762,13278,-1913,13278,-2066,13278,-2217,13278,-2368,13278,-2521,13278,-2672,13278,-2825,13278,-2825,13278,-2976,13278,-3127,13278,-3280,13278,-3431,13278,-3584,13278,-3735,13278,-3886,13278,-4038,13278,-4189,13278,-4340,13278,-4493e" filled="true" fillcolor="#d9d9d9" stroked="false">
            <v:path arrowok="t"/>
            <v:fill type="solid"/>
            <w10:wrap type="none"/>
          </v:shape>
        </w:pict>
      </w:r>
      <w:r>
        <w:rPr>
          <w:w w:val="105"/>
          <w:sz w:val="18"/>
        </w:rPr>
        <w:t>176</w:t>
      </w:r>
    </w:p>
    <w:p>
      <w:pPr>
        <w:spacing w:before="8"/>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after="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77" name="image5.png"/>
                  <wp:cNvGraphicFramePr>
                    <a:graphicFrameLocks noChangeAspect="1"/>
                  </wp:cNvGraphicFramePr>
                  <a:graphic>
                    <a:graphicData uri="http://schemas.openxmlformats.org/drawingml/2006/picture">
                      <pic:pic>
                        <pic:nvPicPr>
                          <pic:cNvPr id="37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178/247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11:14:27</w:t>
            </w:r>
          </w:p>
        </w:tc>
        <w:tc>
          <w:tcPr>
            <w:tcW w:w="1442" w:type="dxa"/>
            <w:vMerge/>
            <w:tcBorders>
              <w:top w:val="nil"/>
            </w:tcBorders>
          </w:tcPr>
          <w:p>
            <w:pPr>
              <w:rPr>
                <w:sz w:val="2"/>
                <w:szCs w:val="2"/>
              </w:rPr>
            </w:pPr>
          </w:p>
        </w:tc>
      </w:tr>
    </w:tbl>
    <w:p>
      <w:pPr>
        <w:spacing w:after="0"/>
        <w:rPr>
          <w:sz w:val="2"/>
          <w:szCs w:val="2"/>
        </w:rPr>
        <w:sectPr>
          <w:pgSz w:w="16840" w:h="11900" w:orient="landscape"/>
          <w:pgMar w:header="797" w:footer="1006" w:top="1620" w:bottom="1200" w:left="1160" w:right="1160"/>
        </w:sectPr>
      </w:pPr>
    </w:p>
    <w:p>
      <w:pPr>
        <w:pStyle w:val="BodyText"/>
        <w:rPr>
          <w:b/>
          <w:sz w:val="13"/>
        </w:rPr>
      </w:pPr>
    </w:p>
    <w:tbl>
      <w:tblPr>
        <w:tblW w:w="0" w:type="auto"/>
        <w:jc w:val="left"/>
        <w:tblInd w:w="1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0"/>
        <w:gridCol w:w="886"/>
        <w:gridCol w:w="1005"/>
        <w:gridCol w:w="1032"/>
        <w:gridCol w:w="1030"/>
        <w:gridCol w:w="1051"/>
        <w:gridCol w:w="904"/>
        <w:gridCol w:w="986"/>
        <w:gridCol w:w="1051"/>
        <w:gridCol w:w="1109"/>
        <w:gridCol w:w="1004"/>
        <w:gridCol w:w="1008"/>
      </w:tblGrid>
      <w:tr>
        <w:trPr>
          <w:trHeight w:val="150" w:hRule="atLeast"/>
        </w:trPr>
        <w:tc>
          <w:tcPr>
            <w:tcW w:w="580" w:type="dxa"/>
            <w:tcBorders>
              <w:bottom w:val="single" w:sz="4" w:space="0" w:color="000000"/>
              <w:right w:val="single" w:sz="4" w:space="0" w:color="000000"/>
            </w:tcBorders>
          </w:tcPr>
          <w:p>
            <w:pPr>
              <w:pStyle w:val="TableParagraph"/>
              <w:rPr>
                <w:rFonts w:ascii="Times New Roman"/>
                <w:sz w:val="8"/>
              </w:rPr>
            </w:pPr>
          </w:p>
        </w:tc>
        <w:tc>
          <w:tcPr>
            <w:tcW w:w="5004" w:type="dxa"/>
            <w:gridSpan w:val="5"/>
            <w:tcBorders>
              <w:top w:val="single" w:sz="4" w:space="0" w:color="000000"/>
              <w:left w:val="single" w:sz="4" w:space="0" w:color="000000"/>
              <w:bottom w:val="single" w:sz="4" w:space="0" w:color="000000"/>
              <w:right w:val="single" w:sz="4" w:space="0" w:color="000000"/>
            </w:tcBorders>
            <w:shd w:val="clear" w:color="auto" w:fill="D9E0F1"/>
          </w:tcPr>
          <w:p>
            <w:pPr>
              <w:pStyle w:val="TableParagraph"/>
              <w:spacing w:line="127" w:lineRule="exact" w:before="3"/>
              <w:ind w:left="2370" w:right="2369"/>
              <w:jc w:val="center"/>
              <w:rPr>
                <w:b/>
                <w:sz w:val="12"/>
              </w:rPr>
            </w:pPr>
            <w:r>
              <w:rPr>
                <w:b/>
                <w:w w:val="105"/>
                <w:sz w:val="12"/>
              </w:rPr>
              <w:t>IGIC</w:t>
            </w:r>
          </w:p>
        </w:tc>
        <w:tc>
          <w:tcPr>
            <w:tcW w:w="5054" w:type="dxa"/>
            <w:gridSpan w:val="5"/>
            <w:tcBorders>
              <w:top w:val="single" w:sz="4" w:space="0" w:color="000000"/>
              <w:left w:val="single" w:sz="4" w:space="0" w:color="000000"/>
              <w:bottom w:val="single" w:sz="4" w:space="0" w:color="000000"/>
              <w:right w:val="single" w:sz="4" w:space="0" w:color="000000"/>
            </w:tcBorders>
            <w:shd w:val="clear" w:color="auto" w:fill="FBE3D5"/>
          </w:tcPr>
          <w:p>
            <w:pPr>
              <w:pStyle w:val="TableParagraph"/>
              <w:spacing w:line="127" w:lineRule="exact" w:before="3"/>
              <w:ind w:left="2069" w:right="2075"/>
              <w:jc w:val="center"/>
              <w:rPr>
                <w:b/>
                <w:sz w:val="12"/>
              </w:rPr>
            </w:pPr>
            <w:r>
              <w:rPr>
                <w:b/>
                <w:w w:val="105"/>
                <w:sz w:val="12"/>
              </w:rPr>
              <w:t>Resto conceptos</w:t>
            </w:r>
          </w:p>
        </w:tc>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line="249" w:lineRule="auto" w:before="82"/>
              <w:ind w:left="308" w:right="317" w:firstLine="50"/>
              <w:rPr>
                <w:b/>
                <w:sz w:val="12"/>
              </w:rPr>
            </w:pPr>
            <w:r>
              <w:rPr>
                <w:b/>
                <w:w w:val="105"/>
                <w:sz w:val="12"/>
              </w:rPr>
              <w:t>Total </w:t>
            </w:r>
            <w:r>
              <w:rPr>
                <w:b/>
                <w:sz w:val="12"/>
              </w:rPr>
              <w:t>(Euros)</w:t>
            </w:r>
          </w:p>
        </w:tc>
      </w:tr>
      <w:tr>
        <w:trPr>
          <w:trHeight w:val="301" w:hRule="atLeast"/>
        </w:trPr>
        <w:tc>
          <w:tcPr>
            <w:tcW w:w="580"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78"/>
              <w:ind w:left="50" w:right="42"/>
              <w:jc w:val="center"/>
              <w:rPr>
                <w:b/>
                <w:sz w:val="12"/>
              </w:rPr>
            </w:pPr>
            <w:r>
              <w:rPr>
                <w:b/>
                <w:w w:val="105"/>
                <w:sz w:val="12"/>
              </w:rPr>
              <w:t>Ejercicio</w:t>
            </w:r>
          </w:p>
        </w:tc>
        <w:tc>
          <w:tcPr>
            <w:tcW w:w="886"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2"/>
              <w:ind w:left="254"/>
              <w:rPr>
                <w:b/>
                <w:sz w:val="12"/>
              </w:rPr>
            </w:pPr>
            <w:r>
              <w:rPr>
                <w:b/>
                <w:w w:val="105"/>
                <w:sz w:val="12"/>
              </w:rPr>
              <w:t>PICCAC</w:t>
            </w:r>
          </w:p>
          <w:p>
            <w:pPr>
              <w:pStyle w:val="TableParagraph"/>
              <w:spacing w:line="127" w:lineRule="exact" w:before="6"/>
              <w:ind w:left="175"/>
              <w:rPr>
                <w:b/>
                <w:sz w:val="12"/>
              </w:rPr>
            </w:pPr>
            <w:r>
              <w:rPr>
                <w:b/>
                <w:w w:val="105"/>
                <w:sz w:val="12"/>
              </w:rPr>
              <w:t>voluntaria</w:t>
            </w:r>
          </w:p>
        </w:tc>
        <w:tc>
          <w:tcPr>
            <w:tcW w:w="1005"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2"/>
              <w:ind w:left="202" w:right="198"/>
              <w:jc w:val="center"/>
              <w:rPr>
                <w:b/>
                <w:sz w:val="12"/>
              </w:rPr>
            </w:pPr>
            <w:r>
              <w:rPr>
                <w:b/>
                <w:w w:val="105"/>
                <w:sz w:val="12"/>
              </w:rPr>
              <w:t>Magin</w:t>
            </w:r>
          </w:p>
          <w:p>
            <w:pPr>
              <w:pStyle w:val="TableParagraph"/>
              <w:spacing w:line="127" w:lineRule="exact" w:before="6"/>
              <w:ind w:left="204" w:right="198"/>
              <w:jc w:val="center"/>
              <w:rPr>
                <w:b/>
                <w:sz w:val="12"/>
              </w:rPr>
            </w:pPr>
            <w:r>
              <w:rPr>
                <w:b/>
                <w:w w:val="105"/>
                <w:sz w:val="12"/>
              </w:rPr>
              <w:t>Voluntaria</w:t>
            </w:r>
          </w:p>
        </w:tc>
        <w:tc>
          <w:tcPr>
            <w:tcW w:w="1032"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78"/>
              <w:ind w:right="73"/>
              <w:jc w:val="right"/>
              <w:rPr>
                <w:b/>
                <w:sz w:val="12"/>
              </w:rPr>
            </w:pPr>
            <w:r>
              <w:rPr>
                <w:b/>
                <w:w w:val="105"/>
                <w:sz w:val="12"/>
              </w:rPr>
              <w:t>PICCAC ejecutiva</w:t>
            </w:r>
          </w:p>
        </w:tc>
        <w:tc>
          <w:tcPr>
            <w:tcW w:w="1030"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78"/>
              <w:ind w:left="97"/>
              <w:rPr>
                <w:b/>
                <w:sz w:val="12"/>
              </w:rPr>
            </w:pPr>
            <w:r>
              <w:rPr>
                <w:b/>
                <w:w w:val="105"/>
                <w:sz w:val="12"/>
              </w:rPr>
              <w:t>Magin ejecutiva</w:t>
            </w:r>
          </w:p>
        </w:tc>
        <w:tc>
          <w:tcPr>
            <w:tcW w:w="1051" w:type="dxa"/>
            <w:tcBorders>
              <w:top w:val="single" w:sz="4" w:space="0" w:color="000000"/>
              <w:left w:val="single" w:sz="4" w:space="0" w:color="000000"/>
              <w:bottom w:val="single" w:sz="4" w:space="0" w:color="000000"/>
              <w:right w:val="single" w:sz="4" w:space="0" w:color="000000"/>
            </w:tcBorders>
            <w:shd w:val="clear" w:color="auto" w:fill="DEEAF6"/>
          </w:tcPr>
          <w:p>
            <w:pPr>
              <w:pStyle w:val="TableParagraph"/>
              <w:spacing w:before="78"/>
              <w:ind w:left="268"/>
              <w:rPr>
                <w:b/>
                <w:sz w:val="12"/>
              </w:rPr>
            </w:pPr>
            <w:r>
              <w:rPr>
                <w:b/>
                <w:w w:val="105"/>
                <w:sz w:val="12"/>
              </w:rPr>
              <w:t>Total IGIC</w:t>
            </w:r>
          </w:p>
        </w:tc>
        <w:tc>
          <w:tcPr>
            <w:tcW w:w="90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2"/>
              <w:ind w:left="257"/>
              <w:rPr>
                <w:b/>
                <w:sz w:val="12"/>
              </w:rPr>
            </w:pPr>
            <w:r>
              <w:rPr>
                <w:b/>
                <w:w w:val="105"/>
                <w:sz w:val="12"/>
              </w:rPr>
              <w:t>PICCAC</w:t>
            </w:r>
          </w:p>
          <w:p>
            <w:pPr>
              <w:pStyle w:val="TableParagraph"/>
              <w:spacing w:line="127" w:lineRule="exact" w:before="6"/>
              <w:ind w:left="181"/>
              <w:rPr>
                <w:b/>
                <w:sz w:val="12"/>
              </w:rPr>
            </w:pPr>
            <w:r>
              <w:rPr>
                <w:b/>
                <w:w w:val="105"/>
                <w:sz w:val="12"/>
              </w:rPr>
              <w:t>voluntaria</w:t>
            </w:r>
          </w:p>
        </w:tc>
        <w:tc>
          <w:tcPr>
            <w:tcW w:w="986"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2"/>
              <w:ind w:left="189" w:right="192"/>
              <w:jc w:val="center"/>
              <w:rPr>
                <w:b/>
                <w:sz w:val="12"/>
              </w:rPr>
            </w:pPr>
            <w:r>
              <w:rPr>
                <w:b/>
                <w:w w:val="105"/>
                <w:sz w:val="12"/>
              </w:rPr>
              <w:t>Magin</w:t>
            </w:r>
          </w:p>
          <w:p>
            <w:pPr>
              <w:pStyle w:val="TableParagraph"/>
              <w:spacing w:line="127" w:lineRule="exact" w:before="6"/>
              <w:ind w:left="191" w:right="192"/>
              <w:jc w:val="center"/>
              <w:rPr>
                <w:b/>
                <w:sz w:val="12"/>
              </w:rPr>
            </w:pPr>
            <w:r>
              <w:rPr>
                <w:b/>
                <w:w w:val="105"/>
                <w:sz w:val="12"/>
              </w:rPr>
              <w:t>Voluntaria</w:t>
            </w:r>
          </w:p>
        </w:tc>
        <w:tc>
          <w:tcPr>
            <w:tcW w:w="1051"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78"/>
              <w:ind w:right="88"/>
              <w:jc w:val="right"/>
              <w:rPr>
                <w:b/>
                <w:sz w:val="12"/>
              </w:rPr>
            </w:pPr>
            <w:r>
              <w:rPr>
                <w:b/>
                <w:w w:val="105"/>
                <w:sz w:val="12"/>
              </w:rPr>
              <w:t>PICCAC ejecutiva</w:t>
            </w:r>
          </w:p>
        </w:tc>
        <w:tc>
          <w:tcPr>
            <w:tcW w:w="1109"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78"/>
              <w:ind w:left="129"/>
              <w:rPr>
                <w:b/>
                <w:sz w:val="12"/>
              </w:rPr>
            </w:pPr>
            <w:r>
              <w:rPr>
                <w:b/>
                <w:w w:val="105"/>
                <w:sz w:val="12"/>
              </w:rPr>
              <w:t>Magin ejecutiva</w:t>
            </w:r>
          </w:p>
        </w:tc>
        <w:tc>
          <w:tcPr>
            <w:tcW w:w="1004"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2"/>
              <w:ind w:left="210"/>
              <w:rPr>
                <w:b/>
                <w:sz w:val="12"/>
              </w:rPr>
            </w:pPr>
            <w:r>
              <w:rPr>
                <w:b/>
                <w:w w:val="105"/>
                <w:sz w:val="12"/>
              </w:rPr>
              <w:t>Total</w:t>
            </w:r>
            <w:r>
              <w:rPr>
                <w:b/>
                <w:spacing w:val="-12"/>
                <w:w w:val="105"/>
                <w:sz w:val="12"/>
              </w:rPr>
              <w:t> </w:t>
            </w:r>
            <w:r>
              <w:rPr>
                <w:b/>
                <w:w w:val="105"/>
                <w:sz w:val="12"/>
              </w:rPr>
              <w:t>resto</w:t>
            </w:r>
          </w:p>
          <w:p>
            <w:pPr>
              <w:pStyle w:val="TableParagraph"/>
              <w:spacing w:line="127" w:lineRule="exact" w:before="6"/>
              <w:ind w:left="227"/>
              <w:rPr>
                <w:b/>
                <w:sz w:val="12"/>
              </w:rPr>
            </w:pPr>
            <w:r>
              <w:rPr>
                <w:b/>
                <w:w w:val="105"/>
                <w:sz w:val="12"/>
              </w:rPr>
              <w:t>conceptos</w:t>
            </w:r>
          </w:p>
        </w:tc>
        <w:tc>
          <w:tcPr>
            <w:tcW w:w="1008" w:type="dxa"/>
            <w:vMerge/>
            <w:tcBorders>
              <w:top w:val="nil"/>
              <w:left w:val="single" w:sz="4" w:space="0" w:color="000000"/>
              <w:bottom w:val="single" w:sz="4" w:space="0" w:color="000000"/>
              <w:right w:val="single" w:sz="4" w:space="0" w:color="000000"/>
            </w:tcBorders>
            <w:shd w:val="clear" w:color="auto" w:fill="DEEAF6"/>
          </w:tcPr>
          <w:p>
            <w:pPr>
              <w:rPr>
                <w:sz w:val="2"/>
                <w:szCs w:val="2"/>
              </w:rPr>
            </w:pPr>
          </w:p>
        </w:tc>
      </w:tr>
      <w:tr>
        <w:trPr>
          <w:trHeight w:val="140" w:hRule="atLeast"/>
        </w:trPr>
        <w:tc>
          <w:tcPr>
            <w:tcW w:w="580" w:type="dxa"/>
            <w:tcBorders>
              <w:top w:val="single" w:sz="4" w:space="0" w:color="000000"/>
              <w:left w:val="single" w:sz="4" w:space="0" w:color="000000"/>
              <w:bottom w:val="single" w:sz="4" w:space="0" w:color="000000"/>
            </w:tcBorders>
          </w:tcPr>
          <w:p>
            <w:pPr>
              <w:pStyle w:val="TableParagraph"/>
              <w:spacing w:line="121" w:lineRule="exact"/>
              <w:ind w:left="97" w:right="93"/>
              <w:jc w:val="center"/>
              <w:rPr>
                <w:sz w:val="12"/>
              </w:rPr>
            </w:pPr>
            <w:r>
              <w:rPr>
                <w:w w:val="105"/>
                <w:sz w:val="12"/>
              </w:rPr>
              <w:t>2016</w:t>
            </w:r>
          </w:p>
        </w:tc>
        <w:tc>
          <w:tcPr>
            <w:tcW w:w="886" w:type="dxa"/>
            <w:tcBorders>
              <w:top w:val="single" w:sz="4" w:space="0" w:color="000000"/>
              <w:bottom w:val="single" w:sz="4" w:space="0" w:color="000000"/>
            </w:tcBorders>
          </w:tcPr>
          <w:p>
            <w:pPr>
              <w:pStyle w:val="TableParagraph"/>
              <w:rPr>
                <w:rFonts w:ascii="Times New Roman"/>
                <w:sz w:val="8"/>
              </w:rPr>
            </w:pPr>
          </w:p>
        </w:tc>
        <w:tc>
          <w:tcPr>
            <w:tcW w:w="1005" w:type="dxa"/>
            <w:tcBorders>
              <w:top w:val="single" w:sz="4" w:space="0" w:color="000000"/>
              <w:bottom w:val="single" w:sz="4" w:space="0" w:color="000000"/>
            </w:tcBorders>
          </w:tcPr>
          <w:p>
            <w:pPr>
              <w:pStyle w:val="TableParagraph"/>
              <w:spacing w:line="121" w:lineRule="exact"/>
              <w:ind w:right="49"/>
              <w:jc w:val="right"/>
              <w:rPr>
                <w:sz w:val="12"/>
              </w:rPr>
            </w:pPr>
            <w:r>
              <w:rPr>
                <w:w w:val="105"/>
                <w:sz w:val="12"/>
              </w:rPr>
              <w:t>555.210,89</w:t>
            </w:r>
          </w:p>
        </w:tc>
        <w:tc>
          <w:tcPr>
            <w:tcW w:w="1032" w:type="dxa"/>
            <w:tcBorders>
              <w:top w:val="single" w:sz="4" w:space="0" w:color="000000"/>
              <w:bottom w:val="single" w:sz="4" w:space="0" w:color="000000"/>
            </w:tcBorders>
          </w:tcPr>
          <w:p>
            <w:pPr>
              <w:pStyle w:val="TableParagraph"/>
              <w:spacing w:line="121" w:lineRule="exact"/>
              <w:ind w:right="48"/>
              <w:jc w:val="right"/>
              <w:rPr>
                <w:sz w:val="12"/>
              </w:rPr>
            </w:pPr>
            <w:r>
              <w:rPr>
                <w:w w:val="105"/>
                <w:sz w:val="12"/>
              </w:rPr>
              <w:t>645.053,33</w:t>
            </w:r>
          </w:p>
        </w:tc>
        <w:tc>
          <w:tcPr>
            <w:tcW w:w="1030" w:type="dxa"/>
            <w:tcBorders>
              <w:top w:val="single" w:sz="4" w:space="0" w:color="000000"/>
              <w:bottom w:val="single" w:sz="4" w:space="0" w:color="000000"/>
            </w:tcBorders>
          </w:tcPr>
          <w:p>
            <w:pPr>
              <w:pStyle w:val="TableParagraph"/>
              <w:spacing w:line="121" w:lineRule="exact"/>
              <w:ind w:right="49"/>
              <w:jc w:val="right"/>
              <w:rPr>
                <w:sz w:val="12"/>
              </w:rPr>
            </w:pPr>
            <w:r>
              <w:rPr>
                <w:w w:val="105"/>
                <w:sz w:val="12"/>
              </w:rPr>
              <w:t>10.513.638,99</w:t>
            </w:r>
          </w:p>
        </w:tc>
        <w:tc>
          <w:tcPr>
            <w:tcW w:w="1051" w:type="dxa"/>
            <w:tcBorders>
              <w:top w:val="single" w:sz="4" w:space="0" w:color="000000"/>
              <w:bottom w:val="single" w:sz="4" w:space="0" w:color="000000"/>
            </w:tcBorders>
            <w:shd w:val="clear" w:color="auto" w:fill="D9D9D9"/>
          </w:tcPr>
          <w:p>
            <w:pPr>
              <w:pStyle w:val="TableParagraph"/>
              <w:spacing w:line="121" w:lineRule="exact"/>
              <w:ind w:right="52"/>
              <w:jc w:val="right"/>
              <w:rPr>
                <w:b/>
                <w:sz w:val="12"/>
              </w:rPr>
            </w:pPr>
            <w:r>
              <w:rPr>
                <w:b/>
                <w:w w:val="105"/>
                <w:sz w:val="12"/>
              </w:rPr>
              <w:t>11.713.903,21</w:t>
            </w:r>
          </w:p>
        </w:tc>
        <w:tc>
          <w:tcPr>
            <w:tcW w:w="904" w:type="dxa"/>
            <w:tcBorders>
              <w:top w:val="single" w:sz="4" w:space="0" w:color="000000"/>
              <w:bottom w:val="single" w:sz="4" w:space="0" w:color="000000"/>
            </w:tcBorders>
          </w:tcPr>
          <w:p>
            <w:pPr>
              <w:pStyle w:val="TableParagraph"/>
              <w:spacing w:line="121" w:lineRule="exact"/>
              <w:ind w:right="52"/>
              <w:jc w:val="right"/>
              <w:rPr>
                <w:sz w:val="12"/>
              </w:rPr>
            </w:pPr>
            <w:r>
              <w:rPr>
                <w:sz w:val="12"/>
              </w:rPr>
              <w:t>750,00</w:t>
            </w:r>
          </w:p>
        </w:tc>
        <w:tc>
          <w:tcPr>
            <w:tcW w:w="986" w:type="dxa"/>
            <w:tcBorders>
              <w:top w:val="single" w:sz="4" w:space="0" w:color="000000"/>
              <w:bottom w:val="single" w:sz="4" w:space="0" w:color="000000"/>
            </w:tcBorders>
          </w:tcPr>
          <w:p>
            <w:pPr>
              <w:pStyle w:val="TableParagraph"/>
              <w:spacing w:line="121" w:lineRule="exact"/>
              <w:ind w:right="54"/>
              <w:jc w:val="right"/>
              <w:rPr>
                <w:sz w:val="12"/>
              </w:rPr>
            </w:pPr>
            <w:r>
              <w:rPr>
                <w:w w:val="105"/>
                <w:sz w:val="12"/>
              </w:rPr>
              <w:t>10.989,40</w:t>
            </w:r>
          </w:p>
        </w:tc>
        <w:tc>
          <w:tcPr>
            <w:tcW w:w="1051" w:type="dxa"/>
            <w:tcBorders>
              <w:top w:val="single" w:sz="4" w:space="0" w:color="000000"/>
              <w:bottom w:val="single" w:sz="4" w:space="0" w:color="000000"/>
            </w:tcBorders>
          </w:tcPr>
          <w:p>
            <w:pPr>
              <w:pStyle w:val="TableParagraph"/>
              <w:spacing w:line="121" w:lineRule="exact"/>
              <w:ind w:right="55"/>
              <w:jc w:val="right"/>
              <w:rPr>
                <w:sz w:val="12"/>
              </w:rPr>
            </w:pPr>
            <w:r>
              <w:rPr>
                <w:w w:val="105"/>
                <w:sz w:val="12"/>
              </w:rPr>
              <w:t>459.870,33</w:t>
            </w:r>
          </w:p>
        </w:tc>
        <w:tc>
          <w:tcPr>
            <w:tcW w:w="1109" w:type="dxa"/>
            <w:tcBorders>
              <w:top w:val="single" w:sz="4" w:space="0" w:color="000000"/>
              <w:bottom w:val="single" w:sz="4" w:space="0" w:color="000000"/>
            </w:tcBorders>
          </w:tcPr>
          <w:p>
            <w:pPr>
              <w:pStyle w:val="TableParagraph"/>
              <w:spacing w:line="121" w:lineRule="exact"/>
              <w:ind w:right="58"/>
              <w:jc w:val="right"/>
              <w:rPr>
                <w:sz w:val="12"/>
              </w:rPr>
            </w:pPr>
            <w:r>
              <w:rPr>
                <w:w w:val="105"/>
                <w:sz w:val="12"/>
              </w:rPr>
              <w:t>196.485,68</w:t>
            </w:r>
          </w:p>
        </w:tc>
        <w:tc>
          <w:tcPr>
            <w:tcW w:w="1004" w:type="dxa"/>
            <w:tcBorders>
              <w:top w:val="single" w:sz="4" w:space="0" w:color="000000"/>
              <w:bottom w:val="single" w:sz="4" w:space="0" w:color="000000"/>
            </w:tcBorders>
            <w:shd w:val="clear" w:color="auto" w:fill="D9D9D9"/>
          </w:tcPr>
          <w:p>
            <w:pPr>
              <w:pStyle w:val="TableParagraph"/>
              <w:spacing w:line="121" w:lineRule="exact"/>
              <w:ind w:right="57"/>
              <w:jc w:val="right"/>
              <w:rPr>
                <w:b/>
                <w:sz w:val="12"/>
              </w:rPr>
            </w:pPr>
            <w:r>
              <w:rPr>
                <w:b/>
                <w:w w:val="105"/>
                <w:sz w:val="12"/>
              </w:rPr>
              <w:t>668.095,41</w:t>
            </w:r>
          </w:p>
        </w:tc>
        <w:tc>
          <w:tcPr>
            <w:tcW w:w="1008" w:type="dxa"/>
            <w:tcBorders>
              <w:top w:val="single" w:sz="4" w:space="0" w:color="000000"/>
              <w:bottom w:val="single" w:sz="4" w:space="0" w:color="000000"/>
              <w:right w:val="single" w:sz="4" w:space="0" w:color="000000"/>
            </w:tcBorders>
          </w:tcPr>
          <w:p>
            <w:pPr>
              <w:pStyle w:val="TableParagraph"/>
              <w:spacing w:line="121" w:lineRule="exact"/>
              <w:ind w:right="53"/>
              <w:jc w:val="right"/>
              <w:rPr>
                <w:b/>
                <w:sz w:val="12"/>
              </w:rPr>
            </w:pPr>
            <w:r>
              <w:rPr>
                <w:b/>
                <w:w w:val="105"/>
                <w:sz w:val="12"/>
              </w:rPr>
              <w:t>12.381.998,62</w:t>
            </w:r>
          </w:p>
        </w:tc>
      </w:tr>
      <w:tr>
        <w:trPr>
          <w:trHeight w:val="161" w:hRule="atLeast"/>
        </w:trPr>
        <w:tc>
          <w:tcPr>
            <w:tcW w:w="580" w:type="dxa"/>
            <w:tcBorders>
              <w:top w:val="single" w:sz="4" w:space="0" w:color="000000"/>
              <w:left w:val="single" w:sz="4" w:space="0" w:color="000000"/>
            </w:tcBorders>
          </w:tcPr>
          <w:p>
            <w:pPr>
              <w:pStyle w:val="TableParagraph"/>
              <w:spacing w:line="140" w:lineRule="exact" w:before="2"/>
              <w:ind w:left="97" w:right="93"/>
              <w:jc w:val="center"/>
              <w:rPr>
                <w:sz w:val="12"/>
              </w:rPr>
            </w:pPr>
            <w:r>
              <w:rPr>
                <w:w w:val="105"/>
                <w:sz w:val="12"/>
              </w:rPr>
              <w:t>2017</w:t>
            </w:r>
          </w:p>
        </w:tc>
        <w:tc>
          <w:tcPr>
            <w:tcW w:w="886" w:type="dxa"/>
            <w:tcBorders>
              <w:top w:val="single" w:sz="4" w:space="0" w:color="000000"/>
            </w:tcBorders>
          </w:tcPr>
          <w:p>
            <w:pPr>
              <w:pStyle w:val="TableParagraph"/>
              <w:rPr>
                <w:rFonts w:ascii="Times New Roman"/>
                <w:sz w:val="10"/>
              </w:rPr>
            </w:pPr>
          </w:p>
        </w:tc>
        <w:tc>
          <w:tcPr>
            <w:tcW w:w="1005" w:type="dxa"/>
            <w:tcBorders>
              <w:top w:val="single" w:sz="4" w:space="0" w:color="000000"/>
            </w:tcBorders>
          </w:tcPr>
          <w:p>
            <w:pPr>
              <w:pStyle w:val="TableParagraph"/>
              <w:spacing w:line="140" w:lineRule="exact" w:before="2"/>
              <w:ind w:right="49"/>
              <w:jc w:val="right"/>
              <w:rPr>
                <w:sz w:val="12"/>
              </w:rPr>
            </w:pPr>
            <w:r>
              <w:rPr>
                <w:w w:val="105"/>
                <w:sz w:val="12"/>
              </w:rPr>
              <w:t>353.998,19</w:t>
            </w:r>
          </w:p>
        </w:tc>
        <w:tc>
          <w:tcPr>
            <w:tcW w:w="1032" w:type="dxa"/>
            <w:tcBorders>
              <w:top w:val="single" w:sz="4" w:space="0" w:color="000000"/>
            </w:tcBorders>
          </w:tcPr>
          <w:p>
            <w:pPr>
              <w:pStyle w:val="TableParagraph"/>
              <w:spacing w:line="140" w:lineRule="exact" w:before="2"/>
              <w:ind w:right="48"/>
              <w:jc w:val="right"/>
              <w:rPr>
                <w:sz w:val="12"/>
              </w:rPr>
            </w:pPr>
            <w:r>
              <w:rPr>
                <w:w w:val="105"/>
                <w:sz w:val="12"/>
              </w:rPr>
              <w:t>4.181.102,31</w:t>
            </w:r>
          </w:p>
        </w:tc>
        <w:tc>
          <w:tcPr>
            <w:tcW w:w="1030" w:type="dxa"/>
            <w:tcBorders>
              <w:top w:val="single" w:sz="4" w:space="0" w:color="000000"/>
            </w:tcBorders>
          </w:tcPr>
          <w:p>
            <w:pPr>
              <w:pStyle w:val="TableParagraph"/>
              <w:spacing w:line="140" w:lineRule="exact" w:before="2"/>
              <w:ind w:right="49"/>
              <w:jc w:val="right"/>
              <w:rPr>
                <w:sz w:val="12"/>
              </w:rPr>
            </w:pPr>
            <w:r>
              <w:rPr>
                <w:w w:val="105"/>
                <w:sz w:val="12"/>
              </w:rPr>
              <w:t>13.608.396,40</w:t>
            </w:r>
          </w:p>
        </w:tc>
        <w:tc>
          <w:tcPr>
            <w:tcW w:w="1051" w:type="dxa"/>
            <w:tcBorders>
              <w:top w:val="single" w:sz="4" w:space="0" w:color="000000"/>
            </w:tcBorders>
            <w:shd w:val="clear" w:color="auto" w:fill="D9D9D9"/>
          </w:tcPr>
          <w:p>
            <w:pPr>
              <w:pStyle w:val="TableParagraph"/>
              <w:spacing w:line="140" w:lineRule="exact" w:before="2"/>
              <w:ind w:right="52"/>
              <w:jc w:val="right"/>
              <w:rPr>
                <w:b/>
                <w:sz w:val="12"/>
              </w:rPr>
            </w:pPr>
            <w:r>
              <w:rPr>
                <w:b/>
                <w:w w:val="105"/>
                <w:sz w:val="12"/>
              </w:rPr>
              <w:t>18.143.496,90</w:t>
            </w:r>
          </w:p>
        </w:tc>
        <w:tc>
          <w:tcPr>
            <w:tcW w:w="904" w:type="dxa"/>
            <w:tcBorders>
              <w:top w:val="single" w:sz="4" w:space="0" w:color="000000"/>
            </w:tcBorders>
          </w:tcPr>
          <w:p>
            <w:pPr>
              <w:pStyle w:val="TableParagraph"/>
              <w:rPr>
                <w:rFonts w:ascii="Times New Roman"/>
                <w:sz w:val="10"/>
              </w:rPr>
            </w:pPr>
          </w:p>
        </w:tc>
        <w:tc>
          <w:tcPr>
            <w:tcW w:w="986" w:type="dxa"/>
            <w:tcBorders>
              <w:top w:val="single" w:sz="4" w:space="0" w:color="000000"/>
            </w:tcBorders>
          </w:tcPr>
          <w:p>
            <w:pPr>
              <w:pStyle w:val="TableParagraph"/>
              <w:spacing w:line="140" w:lineRule="exact" w:before="2"/>
              <w:ind w:right="54"/>
              <w:jc w:val="right"/>
              <w:rPr>
                <w:sz w:val="12"/>
              </w:rPr>
            </w:pPr>
            <w:r>
              <w:rPr>
                <w:w w:val="105"/>
                <w:sz w:val="12"/>
              </w:rPr>
              <w:t>3.971,47</w:t>
            </w:r>
          </w:p>
        </w:tc>
        <w:tc>
          <w:tcPr>
            <w:tcW w:w="1051" w:type="dxa"/>
            <w:tcBorders>
              <w:top w:val="single" w:sz="4" w:space="0" w:color="000000"/>
            </w:tcBorders>
          </w:tcPr>
          <w:p>
            <w:pPr>
              <w:pStyle w:val="TableParagraph"/>
              <w:spacing w:line="140" w:lineRule="exact" w:before="2"/>
              <w:ind w:right="55"/>
              <w:jc w:val="right"/>
              <w:rPr>
                <w:sz w:val="12"/>
              </w:rPr>
            </w:pPr>
            <w:r>
              <w:rPr>
                <w:w w:val="105"/>
                <w:sz w:val="12"/>
              </w:rPr>
              <w:t>6.116.568,97</w:t>
            </w:r>
          </w:p>
        </w:tc>
        <w:tc>
          <w:tcPr>
            <w:tcW w:w="1109" w:type="dxa"/>
            <w:tcBorders>
              <w:top w:val="single" w:sz="4" w:space="0" w:color="000000"/>
            </w:tcBorders>
          </w:tcPr>
          <w:p>
            <w:pPr>
              <w:pStyle w:val="TableParagraph"/>
              <w:spacing w:line="140" w:lineRule="exact" w:before="2"/>
              <w:ind w:right="58"/>
              <w:jc w:val="right"/>
              <w:rPr>
                <w:sz w:val="12"/>
              </w:rPr>
            </w:pPr>
            <w:r>
              <w:rPr>
                <w:w w:val="105"/>
                <w:sz w:val="12"/>
              </w:rPr>
              <w:t>1.167.487,72</w:t>
            </w:r>
          </w:p>
        </w:tc>
        <w:tc>
          <w:tcPr>
            <w:tcW w:w="1004" w:type="dxa"/>
            <w:tcBorders>
              <w:top w:val="single" w:sz="4" w:space="0" w:color="000000"/>
            </w:tcBorders>
            <w:shd w:val="clear" w:color="auto" w:fill="D9D9D9"/>
          </w:tcPr>
          <w:p>
            <w:pPr>
              <w:pStyle w:val="TableParagraph"/>
              <w:spacing w:line="140" w:lineRule="exact" w:before="2"/>
              <w:ind w:right="57"/>
              <w:jc w:val="right"/>
              <w:rPr>
                <w:b/>
                <w:sz w:val="12"/>
              </w:rPr>
            </w:pPr>
            <w:r>
              <w:rPr>
                <w:b/>
                <w:w w:val="105"/>
                <w:sz w:val="12"/>
              </w:rPr>
              <w:t>7.288.028,16</w:t>
            </w:r>
          </w:p>
        </w:tc>
        <w:tc>
          <w:tcPr>
            <w:tcW w:w="1008" w:type="dxa"/>
            <w:tcBorders>
              <w:top w:val="single" w:sz="4" w:space="0" w:color="000000"/>
              <w:right w:val="single" w:sz="4" w:space="0" w:color="000000"/>
            </w:tcBorders>
          </w:tcPr>
          <w:p>
            <w:pPr>
              <w:pStyle w:val="TableParagraph"/>
              <w:spacing w:line="140" w:lineRule="exact" w:before="2"/>
              <w:ind w:right="53"/>
              <w:jc w:val="right"/>
              <w:rPr>
                <w:b/>
                <w:sz w:val="12"/>
              </w:rPr>
            </w:pPr>
            <w:r>
              <w:rPr>
                <w:b/>
                <w:w w:val="105"/>
                <w:sz w:val="12"/>
              </w:rPr>
              <w:t>25.431.525,06</w:t>
            </w:r>
          </w:p>
        </w:tc>
      </w:tr>
      <w:tr>
        <w:trPr>
          <w:trHeight w:val="152"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2018</w:t>
            </w:r>
          </w:p>
        </w:tc>
        <w:tc>
          <w:tcPr>
            <w:tcW w:w="886" w:type="dxa"/>
          </w:tcPr>
          <w:p>
            <w:pPr>
              <w:pStyle w:val="TableParagraph"/>
              <w:rPr>
                <w:rFonts w:ascii="Times New Roman"/>
                <w:sz w:val="8"/>
              </w:rPr>
            </w:pPr>
          </w:p>
        </w:tc>
        <w:tc>
          <w:tcPr>
            <w:tcW w:w="1005" w:type="dxa"/>
          </w:tcPr>
          <w:p>
            <w:pPr>
              <w:pStyle w:val="TableParagraph"/>
              <w:spacing w:line="132" w:lineRule="exact"/>
              <w:ind w:right="49"/>
              <w:jc w:val="right"/>
              <w:rPr>
                <w:sz w:val="12"/>
              </w:rPr>
            </w:pPr>
            <w:r>
              <w:rPr>
                <w:w w:val="105"/>
                <w:sz w:val="12"/>
              </w:rPr>
              <w:t>2.754.008,65</w:t>
            </w:r>
          </w:p>
        </w:tc>
        <w:tc>
          <w:tcPr>
            <w:tcW w:w="1032" w:type="dxa"/>
          </w:tcPr>
          <w:p>
            <w:pPr>
              <w:pStyle w:val="TableParagraph"/>
              <w:spacing w:line="132" w:lineRule="exact"/>
              <w:ind w:right="48"/>
              <w:jc w:val="right"/>
              <w:rPr>
                <w:sz w:val="12"/>
              </w:rPr>
            </w:pPr>
            <w:r>
              <w:rPr>
                <w:w w:val="105"/>
                <w:sz w:val="12"/>
              </w:rPr>
              <w:t>484.390,26</w:t>
            </w:r>
          </w:p>
        </w:tc>
        <w:tc>
          <w:tcPr>
            <w:tcW w:w="1030" w:type="dxa"/>
          </w:tcPr>
          <w:p>
            <w:pPr>
              <w:pStyle w:val="TableParagraph"/>
              <w:spacing w:line="132" w:lineRule="exact"/>
              <w:ind w:right="49"/>
              <w:jc w:val="right"/>
              <w:rPr>
                <w:sz w:val="12"/>
              </w:rPr>
            </w:pPr>
            <w:r>
              <w:rPr>
                <w:w w:val="105"/>
                <w:sz w:val="12"/>
              </w:rPr>
              <w:t>15.158.282,47</w:t>
            </w:r>
          </w:p>
        </w:tc>
        <w:tc>
          <w:tcPr>
            <w:tcW w:w="1051" w:type="dxa"/>
            <w:shd w:val="clear" w:color="auto" w:fill="D9D9D9"/>
          </w:tcPr>
          <w:p>
            <w:pPr>
              <w:pStyle w:val="TableParagraph"/>
              <w:spacing w:line="132" w:lineRule="exact"/>
              <w:ind w:right="52"/>
              <w:jc w:val="right"/>
              <w:rPr>
                <w:b/>
                <w:sz w:val="12"/>
              </w:rPr>
            </w:pPr>
            <w:r>
              <w:rPr>
                <w:b/>
                <w:w w:val="105"/>
                <w:sz w:val="12"/>
              </w:rPr>
              <w:t>18.396.681,38</w:t>
            </w:r>
          </w:p>
        </w:tc>
        <w:tc>
          <w:tcPr>
            <w:tcW w:w="904" w:type="dxa"/>
          </w:tcPr>
          <w:p>
            <w:pPr>
              <w:pStyle w:val="TableParagraph"/>
              <w:rPr>
                <w:rFonts w:ascii="Times New Roman"/>
                <w:sz w:val="8"/>
              </w:rPr>
            </w:pPr>
          </w:p>
        </w:tc>
        <w:tc>
          <w:tcPr>
            <w:tcW w:w="986" w:type="dxa"/>
          </w:tcPr>
          <w:p>
            <w:pPr>
              <w:pStyle w:val="TableParagraph"/>
              <w:spacing w:line="132" w:lineRule="exact"/>
              <w:ind w:right="54"/>
              <w:jc w:val="right"/>
              <w:rPr>
                <w:sz w:val="12"/>
              </w:rPr>
            </w:pPr>
            <w:r>
              <w:rPr>
                <w:w w:val="105"/>
                <w:sz w:val="12"/>
              </w:rPr>
              <w:t>9.047,67</w:t>
            </w:r>
          </w:p>
        </w:tc>
        <w:tc>
          <w:tcPr>
            <w:tcW w:w="1051" w:type="dxa"/>
          </w:tcPr>
          <w:p>
            <w:pPr>
              <w:pStyle w:val="TableParagraph"/>
              <w:spacing w:line="132" w:lineRule="exact"/>
              <w:ind w:right="55"/>
              <w:jc w:val="right"/>
              <w:rPr>
                <w:sz w:val="12"/>
              </w:rPr>
            </w:pPr>
            <w:r>
              <w:rPr>
                <w:w w:val="105"/>
                <w:sz w:val="12"/>
              </w:rPr>
              <w:t>294.383,76</w:t>
            </w:r>
          </w:p>
        </w:tc>
        <w:tc>
          <w:tcPr>
            <w:tcW w:w="1109" w:type="dxa"/>
          </w:tcPr>
          <w:p>
            <w:pPr>
              <w:pStyle w:val="TableParagraph"/>
              <w:spacing w:line="132" w:lineRule="exact"/>
              <w:ind w:right="58"/>
              <w:jc w:val="right"/>
              <w:rPr>
                <w:sz w:val="12"/>
              </w:rPr>
            </w:pPr>
            <w:r>
              <w:rPr>
                <w:w w:val="105"/>
                <w:sz w:val="12"/>
              </w:rPr>
              <w:t>1.396.011,49</w:t>
            </w:r>
          </w:p>
        </w:tc>
        <w:tc>
          <w:tcPr>
            <w:tcW w:w="1004" w:type="dxa"/>
            <w:shd w:val="clear" w:color="auto" w:fill="D9D9D9"/>
          </w:tcPr>
          <w:p>
            <w:pPr>
              <w:pStyle w:val="TableParagraph"/>
              <w:spacing w:line="132" w:lineRule="exact"/>
              <w:ind w:right="57"/>
              <w:jc w:val="right"/>
              <w:rPr>
                <w:b/>
                <w:sz w:val="12"/>
              </w:rPr>
            </w:pPr>
            <w:r>
              <w:rPr>
                <w:b/>
                <w:w w:val="105"/>
                <w:sz w:val="12"/>
              </w:rPr>
              <w:t>1.699.442,92</w:t>
            </w:r>
          </w:p>
        </w:tc>
        <w:tc>
          <w:tcPr>
            <w:tcW w:w="1008" w:type="dxa"/>
            <w:tcBorders>
              <w:right w:val="single" w:sz="4" w:space="0" w:color="000000"/>
            </w:tcBorders>
          </w:tcPr>
          <w:p>
            <w:pPr>
              <w:pStyle w:val="TableParagraph"/>
              <w:spacing w:line="132" w:lineRule="exact"/>
              <w:ind w:right="53"/>
              <w:jc w:val="right"/>
              <w:rPr>
                <w:b/>
                <w:sz w:val="12"/>
              </w:rPr>
            </w:pPr>
            <w:r>
              <w:rPr>
                <w:b/>
                <w:w w:val="105"/>
                <w:sz w:val="12"/>
              </w:rPr>
              <w:t>20.096.124,30</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2019</w:t>
            </w:r>
          </w:p>
        </w:tc>
        <w:tc>
          <w:tcPr>
            <w:tcW w:w="886" w:type="dxa"/>
          </w:tcPr>
          <w:p>
            <w:pPr>
              <w:pStyle w:val="TableParagraph"/>
              <w:rPr>
                <w:rFonts w:ascii="Times New Roman"/>
                <w:sz w:val="8"/>
              </w:rPr>
            </w:pPr>
          </w:p>
        </w:tc>
        <w:tc>
          <w:tcPr>
            <w:tcW w:w="1005" w:type="dxa"/>
          </w:tcPr>
          <w:p>
            <w:pPr>
              <w:pStyle w:val="TableParagraph"/>
              <w:spacing w:line="132" w:lineRule="exact"/>
              <w:ind w:right="49"/>
              <w:jc w:val="right"/>
              <w:rPr>
                <w:sz w:val="12"/>
              </w:rPr>
            </w:pPr>
            <w:r>
              <w:rPr>
                <w:w w:val="105"/>
                <w:sz w:val="12"/>
              </w:rPr>
              <w:t>2.886.904,97</w:t>
            </w:r>
          </w:p>
        </w:tc>
        <w:tc>
          <w:tcPr>
            <w:tcW w:w="1032" w:type="dxa"/>
          </w:tcPr>
          <w:p>
            <w:pPr>
              <w:pStyle w:val="TableParagraph"/>
              <w:spacing w:line="132" w:lineRule="exact"/>
              <w:ind w:right="48"/>
              <w:jc w:val="right"/>
              <w:rPr>
                <w:sz w:val="12"/>
              </w:rPr>
            </w:pPr>
            <w:r>
              <w:rPr>
                <w:w w:val="105"/>
                <w:sz w:val="12"/>
              </w:rPr>
              <w:t>91.076,37</w:t>
            </w:r>
          </w:p>
        </w:tc>
        <w:tc>
          <w:tcPr>
            <w:tcW w:w="1030" w:type="dxa"/>
          </w:tcPr>
          <w:p>
            <w:pPr>
              <w:pStyle w:val="TableParagraph"/>
              <w:spacing w:line="132" w:lineRule="exact"/>
              <w:ind w:right="49"/>
              <w:jc w:val="right"/>
              <w:rPr>
                <w:sz w:val="12"/>
              </w:rPr>
            </w:pPr>
            <w:r>
              <w:rPr>
                <w:w w:val="105"/>
                <w:sz w:val="12"/>
              </w:rPr>
              <w:t>17.852.873,04</w:t>
            </w:r>
          </w:p>
        </w:tc>
        <w:tc>
          <w:tcPr>
            <w:tcW w:w="1051" w:type="dxa"/>
            <w:shd w:val="clear" w:color="auto" w:fill="D9D9D9"/>
          </w:tcPr>
          <w:p>
            <w:pPr>
              <w:pStyle w:val="TableParagraph"/>
              <w:spacing w:line="132" w:lineRule="exact"/>
              <w:ind w:right="52"/>
              <w:jc w:val="right"/>
              <w:rPr>
                <w:b/>
                <w:sz w:val="12"/>
              </w:rPr>
            </w:pPr>
            <w:r>
              <w:rPr>
                <w:b/>
                <w:w w:val="105"/>
                <w:sz w:val="12"/>
              </w:rPr>
              <w:t>20.830.854,38</w:t>
            </w:r>
          </w:p>
        </w:tc>
        <w:tc>
          <w:tcPr>
            <w:tcW w:w="904" w:type="dxa"/>
          </w:tcPr>
          <w:p>
            <w:pPr>
              <w:pStyle w:val="TableParagraph"/>
              <w:rPr>
                <w:rFonts w:ascii="Times New Roman"/>
                <w:sz w:val="8"/>
              </w:rPr>
            </w:pPr>
          </w:p>
        </w:tc>
        <w:tc>
          <w:tcPr>
            <w:tcW w:w="986" w:type="dxa"/>
          </w:tcPr>
          <w:p>
            <w:pPr>
              <w:pStyle w:val="TableParagraph"/>
              <w:spacing w:line="132" w:lineRule="exact"/>
              <w:ind w:right="54"/>
              <w:jc w:val="right"/>
              <w:rPr>
                <w:sz w:val="12"/>
              </w:rPr>
            </w:pPr>
            <w:r>
              <w:rPr>
                <w:w w:val="105"/>
                <w:sz w:val="12"/>
              </w:rPr>
              <w:t>24.795,85</w:t>
            </w:r>
          </w:p>
        </w:tc>
        <w:tc>
          <w:tcPr>
            <w:tcW w:w="1051" w:type="dxa"/>
          </w:tcPr>
          <w:p>
            <w:pPr>
              <w:pStyle w:val="TableParagraph"/>
              <w:spacing w:line="132" w:lineRule="exact"/>
              <w:ind w:right="55"/>
              <w:jc w:val="right"/>
              <w:rPr>
                <w:sz w:val="12"/>
              </w:rPr>
            </w:pPr>
            <w:r>
              <w:rPr>
                <w:w w:val="105"/>
                <w:sz w:val="12"/>
              </w:rPr>
              <w:t>877.071,66</w:t>
            </w:r>
          </w:p>
        </w:tc>
        <w:tc>
          <w:tcPr>
            <w:tcW w:w="1109" w:type="dxa"/>
          </w:tcPr>
          <w:p>
            <w:pPr>
              <w:pStyle w:val="TableParagraph"/>
              <w:spacing w:line="132" w:lineRule="exact"/>
              <w:ind w:right="58"/>
              <w:jc w:val="right"/>
              <w:rPr>
                <w:sz w:val="12"/>
              </w:rPr>
            </w:pPr>
            <w:r>
              <w:rPr>
                <w:w w:val="105"/>
                <w:sz w:val="12"/>
              </w:rPr>
              <w:t>1.262.369,60</w:t>
            </w:r>
          </w:p>
        </w:tc>
        <w:tc>
          <w:tcPr>
            <w:tcW w:w="1004" w:type="dxa"/>
            <w:shd w:val="clear" w:color="auto" w:fill="D9D9D9"/>
          </w:tcPr>
          <w:p>
            <w:pPr>
              <w:pStyle w:val="TableParagraph"/>
              <w:spacing w:line="132" w:lineRule="exact"/>
              <w:ind w:right="57"/>
              <w:jc w:val="right"/>
              <w:rPr>
                <w:b/>
                <w:sz w:val="12"/>
              </w:rPr>
            </w:pPr>
            <w:r>
              <w:rPr>
                <w:b/>
                <w:w w:val="105"/>
                <w:sz w:val="12"/>
              </w:rPr>
              <w:t>2.164.237,11</w:t>
            </w:r>
          </w:p>
        </w:tc>
        <w:tc>
          <w:tcPr>
            <w:tcW w:w="1008" w:type="dxa"/>
            <w:tcBorders>
              <w:right w:val="single" w:sz="4" w:space="0" w:color="000000"/>
            </w:tcBorders>
          </w:tcPr>
          <w:p>
            <w:pPr>
              <w:pStyle w:val="TableParagraph"/>
              <w:spacing w:line="132" w:lineRule="exact"/>
              <w:ind w:right="53"/>
              <w:jc w:val="right"/>
              <w:rPr>
                <w:b/>
                <w:sz w:val="12"/>
              </w:rPr>
            </w:pPr>
            <w:r>
              <w:rPr>
                <w:b/>
                <w:w w:val="105"/>
                <w:sz w:val="12"/>
              </w:rPr>
              <w:t>22.995.091,49</w:t>
            </w:r>
          </w:p>
        </w:tc>
      </w:tr>
      <w:tr>
        <w:trPr>
          <w:trHeight w:val="151" w:hRule="atLeast"/>
        </w:trPr>
        <w:tc>
          <w:tcPr>
            <w:tcW w:w="580" w:type="dxa"/>
            <w:tcBorders>
              <w:left w:val="single" w:sz="4" w:space="0" w:color="000000"/>
            </w:tcBorders>
          </w:tcPr>
          <w:p>
            <w:pPr>
              <w:pStyle w:val="TableParagraph"/>
              <w:spacing w:line="132" w:lineRule="exact"/>
              <w:ind w:left="97" w:right="93"/>
              <w:jc w:val="center"/>
              <w:rPr>
                <w:sz w:val="12"/>
              </w:rPr>
            </w:pPr>
            <w:r>
              <w:rPr>
                <w:w w:val="105"/>
                <w:sz w:val="12"/>
              </w:rPr>
              <w:t>2020</w:t>
            </w:r>
          </w:p>
        </w:tc>
        <w:tc>
          <w:tcPr>
            <w:tcW w:w="886" w:type="dxa"/>
          </w:tcPr>
          <w:p>
            <w:pPr>
              <w:pStyle w:val="TableParagraph"/>
              <w:rPr>
                <w:rFonts w:ascii="Times New Roman"/>
                <w:sz w:val="8"/>
              </w:rPr>
            </w:pPr>
          </w:p>
        </w:tc>
        <w:tc>
          <w:tcPr>
            <w:tcW w:w="1005" w:type="dxa"/>
          </w:tcPr>
          <w:p>
            <w:pPr>
              <w:pStyle w:val="TableParagraph"/>
              <w:spacing w:line="132" w:lineRule="exact"/>
              <w:ind w:right="49"/>
              <w:jc w:val="right"/>
              <w:rPr>
                <w:sz w:val="12"/>
              </w:rPr>
            </w:pPr>
            <w:r>
              <w:rPr>
                <w:w w:val="105"/>
                <w:sz w:val="12"/>
              </w:rPr>
              <w:t>2.105.998,15</w:t>
            </w:r>
          </w:p>
        </w:tc>
        <w:tc>
          <w:tcPr>
            <w:tcW w:w="1032" w:type="dxa"/>
          </w:tcPr>
          <w:p>
            <w:pPr>
              <w:pStyle w:val="TableParagraph"/>
              <w:rPr>
                <w:rFonts w:ascii="Times New Roman"/>
                <w:sz w:val="8"/>
              </w:rPr>
            </w:pPr>
          </w:p>
        </w:tc>
        <w:tc>
          <w:tcPr>
            <w:tcW w:w="1030" w:type="dxa"/>
          </w:tcPr>
          <w:p>
            <w:pPr>
              <w:pStyle w:val="TableParagraph"/>
              <w:spacing w:line="132" w:lineRule="exact"/>
              <w:ind w:right="49"/>
              <w:jc w:val="right"/>
              <w:rPr>
                <w:sz w:val="12"/>
              </w:rPr>
            </w:pPr>
            <w:r>
              <w:rPr>
                <w:w w:val="105"/>
                <w:sz w:val="12"/>
              </w:rPr>
              <w:t>12.568.342,09</w:t>
            </w:r>
          </w:p>
        </w:tc>
        <w:tc>
          <w:tcPr>
            <w:tcW w:w="1051" w:type="dxa"/>
            <w:shd w:val="clear" w:color="auto" w:fill="D9D9D9"/>
          </w:tcPr>
          <w:p>
            <w:pPr>
              <w:pStyle w:val="TableParagraph"/>
              <w:spacing w:line="132" w:lineRule="exact"/>
              <w:ind w:right="52"/>
              <w:jc w:val="right"/>
              <w:rPr>
                <w:b/>
                <w:sz w:val="12"/>
              </w:rPr>
            </w:pPr>
            <w:r>
              <w:rPr>
                <w:b/>
                <w:w w:val="105"/>
                <w:sz w:val="12"/>
              </w:rPr>
              <w:t>14.674.340,24</w:t>
            </w:r>
          </w:p>
        </w:tc>
        <w:tc>
          <w:tcPr>
            <w:tcW w:w="904" w:type="dxa"/>
          </w:tcPr>
          <w:p>
            <w:pPr>
              <w:pStyle w:val="TableParagraph"/>
              <w:rPr>
                <w:rFonts w:ascii="Times New Roman"/>
                <w:sz w:val="8"/>
              </w:rPr>
            </w:pPr>
          </w:p>
        </w:tc>
        <w:tc>
          <w:tcPr>
            <w:tcW w:w="986" w:type="dxa"/>
          </w:tcPr>
          <w:p>
            <w:pPr>
              <w:pStyle w:val="TableParagraph"/>
              <w:spacing w:line="132" w:lineRule="exact"/>
              <w:ind w:right="54"/>
              <w:jc w:val="right"/>
              <w:rPr>
                <w:sz w:val="12"/>
              </w:rPr>
            </w:pPr>
            <w:r>
              <w:rPr>
                <w:w w:val="105"/>
                <w:sz w:val="12"/>
              </w:rPr>
              <w:t>99.849,26</w:t>
            </w:r>
          </w:p>
        </w:tc>
        <w:tc>
          <w:tcPr>
            <w:tcW w:w="1051" w:type="dxa"/>
          </w:tcPr>
          <w:p>
            <w:pPr>
              <w:pStyle w:val="TableParagraph"/>
              <w:rPr>
                <w:rFonts w:ascii="Times New Roman"/>
                <w:sz w:val="8"/>
              </w:rPr>
            </w:pPr>
          </w:p>
        </w:tc>
        <w:tc>
          <w:tcPr>
            <w:tcW w:w="1109" w:type="dxa"/>
          </w:tcPr>
          <w:p>
            <w:pPr>
              <w:pStyle w:val="TableParagraph"/>
              <w:spacing w:line="132" w:lineRule="exact"/>
              <w:ind w:right="58"/>
              <w:jc w:val="right"/>
              <w:rPr>
                <w:sz w:val="12"/>
              </w:rPr>
            </w:pPr>
            <w:r>
              <w:rPr>
                <w:w w:val="105"/>
                <w:sz w:val="12"/>
              </w:rPr>
              <w:t>2.321.628,92</w:t>
            </w:r>
          </w:p>
        </w:tc>
        <w:tc>
          <w:tcPr>
            <w:tcW w:w="1004" w:type="dxa"/>
            <w:shd w:val="clear" w:color="auto" w:fill="D9D9D9"/>
          </w:tcPr>
          <w:p>
            <w:pPr>
              <w:pStyle w:val="TableParagraph"/>
              <w:spacing w:line="132" w:lineRule="exact"/>
              <w:ind w:right="57"/>
              <w:jc w:val="right"/>
              <w:rPr>
                <w:b/>
                <w:sz w:val="12"/>
              </w:rPr>
            </w:pPr>
            <w:r>
              <w:rPr>
                <w:b/>
                <w:w w:val="105"/>
                <w:sz w:val="12"/>
              </w:rPr>
              <w:t>2.421.478,18</w:t>
            </w:r>
          </w:p>
        </w:tc>
        <w:tc>
          <w:tcPr>
            <w:tcW w:w="1008" w:type="dxa"/>
            <w:tcBorders>
              <w:right w:val="single" w:sz="4" w:space="0" w:color="000000"/>
            </w:tcBorders>
          </w:tcPr>
          <w:p>
            <w:pPr>
              <w:pStyle w:val="TableParagraph"/>
              <w:spacing w:line="132" w:lineRule="exact"/>
              <w:ind w:right="53"/>
              <w:jc w:val="right"/>
              <w:rPr>
                <w:b/>
                <w:sz w:val="12"/>
              </w:rPr>
            </w:pPr>
            <w:r>
              <w:rPr>
                <w:b/>
                <w:w w:val="105"/>
                <w:sz w:val="12"/>
              </w:rPr>
              <w:t>17.095.818,42</w:t>
            </w:r>
          </w:p>
        </w:tc>
      </w:tr>
      <w:tr>
        <w:trPr>
          <w:trHeight w:val="150" w:hRule="atLeast"/>
        </w:trPr>
        <w:tc>
          <w:tcPr>
            <w:tcW w:w="580" w:type="dxa"/>
            <w:tcBorders>
              <w:left w:val="single" w:sz="4" w:space="0" w:color="000000"/>
            </w:tcBorders>
          </w:tcPr>
          <w:p>
            <w:pPr>
              <w:pStyle w:val="TableParagraph"/>
              <w:spacing w:line="131" w:lineRule="exact"/>
              <w:ind w:left="97" w:right="93"/>
              <w:jc w:val="center"/>
              <w:rPr>
                <w:sz w:val="12"/>
              </w:rPr>
            </w:pPr>
            <w:r>
              <w:rPr>
                <w:w w:val="105"/>
                <w:sz w:val="12"/>
              </w:rPr>
              <w:t>2021</w:t>
            </w:r>
          </w:p>
        </w:tc>
        <w:tc>
          <w:tcPr>
            <w:tcW w:w="886" w:type="dxa"/>
          </w:tcPr>
          <w:p>
            <w:pPr>
              <w:pStyle w:val="TableParagraph"/>
              <w:rPr>
                <w:rFonts w:ascii="Times New Roman"/>
                <w:sz w:val="8"/>
              </w:rPr>
            </w:pPr>
          </w:p>
        </w:tc>
        <w:tc>
          <w:tcPr>
            <w:tcW w:w="1005" w:type="dxa"/>
          </w:tcPr>
          <w:p>
            <w:pPr>
              <w:pStyle w:val="TableParagraph"/>
              <w:spacing w:line="131" w:lineRule="exact"/>
              <w:ind w:right="49"/>
              <w:jc w:val="right"/>
              <w:rPr>
                <w:sz w:val="12"/>
              </w:rPr>
            </w:pPr>
            <w:r>
              <w:rPr>
                <w:w w:val="105"/>
                <w:sz w:val="12"/>
              </w:rPr>
              <w:t>2.303.851,35</w:t>
            </w:r>
          </w:p>
        </w:tc>
        <w:tc>
          <w:tcPr>
            <w:tcW w:w="1032" w:type="dxa"/>
          </w:tcPr>
          <w:p>
            <w:pPr>
              <w:pStyle w:val="TableParagraph"/>
              <w:rPr>
                <w:rFonts w:ascii="Times New Roman"/>
                <w:sz w:val="8"/>
              </w:rPr>
            </w:pPr>
          </w:p>
        </w:tc>
        <w:tc>
          <w:tcPr>
            <w:tcW w:w="1030" w:type="dxa"/>
          </w:tcPr>
          <w:p>
            <w:pPr>
              <w:pStyle w:val="TableParagraph"/>
              <w:spacing w:line="131" w:lineRule="exact"/>
              <w:ind w:right="49"/>
              <w:jc w:val="right"/>
              <w:rPr>
                <w:sz w:val="12"/>
              </w:rPr>
            </w:pPr>
            <w:r>
              <w:rPr>
                <w:w w:val="105"/>
                <w:sz w:val="12"/>
              </w:rPr>
              <w:t>16.551.786,67</w:t>
            </w:r>
          </w:p>
        </w:tc>
        <w:tc>
          <w:tcPr>
            <w:tcW w:w="1051" w:type="dxa"/>
            <w:shd w:val="clear" w:color="auto" w:fill="D9D9D9"/>
          </w:tcPr>
          <w:p>
            <w:pPr>
              <w:pStyle w:val="TableParagraph"/>
              <w:spacing w:line="131" w:lineRule="exact"/>
              <w:ind w:right="52"/>
              <w:jc w:val="right"/>
              <w:rPr>
                <w:b/>
                <w:sz w:val="12"/>
              </w:rPr>
            </w:pPr>
            <w:r>
              <w:rPr>
                <w:b/>
                <w:w w:val="105"/>
                <w:sz w:val="12"/>
              </w:rPr>
              <w:t>18.855.638,02</w:t>
            </w:r>
          </w:p>
        </w:tc>
        <w:tc>
          <w:tcPr>
            <w:tcW w:w="904" w:type="dxa"/>
          </w:tcPr>
          <w:p>
            <w:pPr>
              <w:pStyle w:val="TableParagraph"/>
              <w:rPr>
                <w:rFonts w:ascii="Times New Roman"/>
                <w:sz w:val="8"/>
              </w:rPr>
            </w:pPr>
          </w:p>
        </w:tc>
        <w:tc>
          <w:tcPr>
            <w:tcW w:w="986" w:type="dxa"/>
          </w:tcPr>
          <w:p>
            <w:pPr>
              <w:pStyle w:val="TableParagraph"/>
              <w:spacing w:line="131" w:lineRule="exact"/>
              <w:ind w:right="54"/>
              <w:jc w:val="right"/>
              <w:rPr>
                <w:sz w:val="12"/>
              </w:rPr>
            </w:pPr>
            <w:r>
              <w:rPr>
                <w:w w:val="105"/>
                <w:sz w:val="12"/>
              </w:rPr>
              <w:t>572.956,96</w:t>
            </w:r>
          </w:p>
        </w:tc>
        <w:tc>
          <w:tcPr>
            <w:tcW w:w="1051" w:type="dxa"/>
          </w:tcPr>
          <w:p>
            <w:pPr>
              <w:pStyle w:val="TableParagraph"/>
              <w:rPr>
                <w:rFonts w:ascii="Times New Roman"/>
                <w:sz w:val="8"/>
              </w:rPr>
            </w:pPr>
          </w:p>
        </w:tc>
        <w:tc>
          <w:tcPr>
            <w:tcW w:w="1109" w:type="dxa"/>
          </w:tcPr>
          <w:p>
            <w:pPr>
              <w:pStyle w:val="TableParagraph"/>
              <w:spacing w:line="131" w:lineRule="exact"/>
              <w:ind w:right="58"/>
              <w:jc w:val="right"/>
              <w:rPr>
                <w:sz w:val="12"/>
              </w:rPr>
            </w:pPr>
            <w:r>
              <w:rPr>
                <w:w w:val="105"/>
                <w:sz w:val="12"/>
              </w:rPr>
              <w:t>2.367.342,47</w:t>
            </w:r>
          </w:p>
        </w:tc>
        <w:tc>
          <w:tcPr>
            <w:tcW w:w="1004" w:type="dxa"/>
            <w:shd w:val="clear" w:color="auto" w:fill="D9D9D9"/>
          </w:tcPr>
          <w:p>
            <w:pPr>
              <w:pStyle w:val="TableParagraph"/>
              <w:spacing w:line="131" w:lineRule="exact"/>
              <w:ind w:right="57"/>
              <w:jc w:val="right"/>
              <w:rPr>
                <w:b/>
                <w:sz w:val="12"/>
              </w:rPr>
            </w:pPr>
            <w:r>
              <w:rPr>
                <w:b/>
                <w:w w:val="105"/>
                <w:sz w:val="12"/>
              </w:rPr>
              <w:t>2.940.299,43</w:t>
            </w:r>
          </w:p>
        </w:tc>
        <w:tc>
          <w:tcPr>
            <w:tcW w:w="1008" w:type="dxa"/>
            <w:tcBorders>
              <w:right w:val="single" w:sz="4" w:space="0" w:color="000000"/>
            </w:tcBorders>
          </w:tcPr>
          <w:p>
            <w:pPr>
              <w:pStyle w:val="TableParagraph"/>
              <w:spacing w:line="131" w:lineRule="exact"/>
              <w:ind w:right="53"/>
              <w:jc w:val="right"/>
              <w:rPr>
                <w:b/>
                <w:sz w:val="12"/>
              </w:rPr>
            </w:pPr>
            <w:r>
              <w:rPr>
                <w:b/>
                <w:w w:val="105"/>
                <w:sz w:val="12"/>
              </w:rPr>
              <w:t>21.795.937,45</w:t>
            </w:r>
          </w:p>
        </w:tc>
      </w:tr>
      <w:tr>
        <w:trPr>
          <w:trHeight w:val="142" w:hRule="atLeast"/>
        </w:trPr>
        <w:tc>
          <w:tcPr>
            <w:tcW w:w="580" w:type="dxa"/>
            <w:tcBorders>
              <w:left w:val="single" w:sz="4" w:space="0" w:color="000000"/>
            </w:tcBorders>
          </w:tcPr>
          <w:p>
            <w:pPr>
              <w:pStyle w:val="TableParagraph"/>
              <w:spacing w:line="122" w:lineRule="exact"/>
              <w:ind w:left="97" w:right="93"/>
              <w:jc w:val="center"/>
              <w:rPr>
                <w:sz w:val="12"/>
              </w:rPr>
            </w:pPr>
            <w:r>
              <w:rPr>
                <w:w w:val="105"/>
                <w:sz w:val="12"/>
              </w:rPr>
              <w:t>2022</w:t>
            </w:r>
          </w:p>
        </w:tc>
        <w:tc>
          <w:tcPr>
            <w:tcW w:w="886" w:type="dxa"/>
          </w:tcPr>
          <w:p>
            <w:pPr>
              <w:pStyle w:val="TableParagraph"/>
              <w:rPr>
                <w:rFonts w:ascii="Times New Roman"/>
                <w:sz w:val="8"/>
              </w:rPr>
            </w:pPr>
          </w:p>
        </w:tc>
        <w:tc>
          <w:tcPr>
            <w:tcW w:w="1005" w:type="dxa"/>
          </w:tcPr>
          <w:p>
            <w:pPr>
              <w:pStyle w:val="TableParagraph"/>
              <w:spacing w:line="122" w:lineRule="exact"/>
              <w:ind w:right="49"/>
              <w:jc w:val="right"/>
              <w:rPr>
                <w:sz w:val="12"/>
              </w:rPr>
            </w:pPr>
            <w:r>
              <w:rPr>
                <w:w w:val="105"/>
                <w:sz w:val="12"/>
              </w:rPr>
              <w:t>23.308.696,52</w:t>
            </w:r>
          </w:p>
        </w:tc>
        <w:tc>
          <w:tcPr>
            <w:tcW w:w="1032" w:type="dxa"/>
          </w:tcPr>
          <w:p>
            <w:pPr>
              <w:pStyle w:val="TableParagraph"/>
              <w:rPr>
                <w:rFonts w:ascii="Times New Roman"/>
                <w:sz w:val="8"/>
              </w:rPr>
            </w:pPr>
          </w:p>
        </w:tc>
        <w:tc>
          <w:tcPr>
            <w:tcW w:w="1030" w:type="dxa"/>
          </w:tcPr>
          <w:p>
            <w:pPr>
              <w:pStyle w:val="TableParagraph"/>
              <w:spacing w:line="122" w:lineRule="exact"/>
              <w:ind w:right="49"/>
              <w:jc w:val="right"/>
              <w:rPr>
                <w:sz w:val="12"/>
              </w:rPr>
            </w:pPr>
            <w:r>
              <w:rPr>
                <w:w w:val="105"/>
                <w:sz w:val="12"/>
              </w:rPr>
              <w:t>13.666.563,33</w:t>
            </w:r>
          </w:p>
        </w:tc>
        <w:tc>
          <w:tcPr>
            <w:tcW w:w="1051" w:type="dxa"/>
            <w:shd w:val="clear" w:color="auto" w:fill="D9D9D9"/>
          </w:tcPr>
          <w:p>
            <w:pPr>
              <w:pStyle w:val="TableParagraph"/>
              <w:spacing w:line="122" w:lineRule="exact"/>
              <w:ind w:right="52"/>
              <w:jc w:val="right"/>
              <w:rPr>
                <w:b/>
                <w:sz w:val="12"/>
              </w:rPr>
            </w:pPr>
            <w:r>
              <w:rPr>
                <w:b/>
                <w:w w:val="105"/>
                <w:sz w:val="12"/>
              </w:rPr>
              <w:t>36.975.259,85</w:t>
            </w:r>
          </w:p>
        </w:tc>
        <w:tc>
          <w:tcPr>
            <w:tcW w:w="904" w:type="dxa"/>
          </w:tcPr>
          <w:p>
            <w:pPr>
              <w:pStyle w:val="TableParagraph"/>
              <w:rPr>
                <w:rFonts w:ascii="Times New Roman"/>
                <w:sz w:val="8"/>
              </w:rPr>
            </w:pPr>
          </w:p>
        </w:tc>
        <w:tc>
          <w:tcPr>
            <w:tcW w:w="986" w:type="dxa"/>
          </w:tcPr>
          <w:p>
            <w:pPr>
              <w:pStyle w:val="TableParagraph"/>
              <w:spacing w:line="122" w:lineRule="exact"/>
              <w:ind w:right="53"/>
              <w:jc w:val="right"/>
              <w:rPr>
                <w:sz w:val="12"/>
              </w:rPr>
            </w:pPr>
            <w:r>
              <w:rPr>
                <w:w w:val="105"/>
                <w:sz w:val="12"/>
              </w:rPr>
              <w:t>2.497.636,21</w:t>
            </w:r>
          </w:p>
        </w:tc>
        <w:tc>
          <w:tcPr>
            <w:tcW w:w="1051" w:type="dxa"/>
          </w:tcPr>
          <w:p>
            <w:pPr>
              <w:pStyle w:val="TableParagraph"/>
              <w:rPr>
                <w:rFonts w:ascii="Times New Roman"/>
                <w:sz w:val="8"/>
              </w:rPr>
            </w:pPr>
          </w:p>
        </w:tc>
        <w:tc>
          <w:tcPr>
            <w:tcW w:w="1109" w:type="dxa"/>
          </w:tcPr>
          <w:p>
            <w:pPr>
              <w:pStyle w:val="TableParagraph"/>
              <w:spacing w:line="122" w:lineRule="exact"/>
              <w:ind w:right="58"/>
              <w:jc w:val="right"/>
              <w:rPr>
                <w:sz w:val="12"/>
              </w:rPr>
            </w:pPr>
            <w:r>
              <w:rPr>
                <w:w w:val="105"/>
                <w:sz w:val="12"/>
              </w:rPr>
              <w:t>1.633.807,93</w:t>
            </w:r>
          </w:p>
        </w:tc>
        <w:tc>
          <w:tcPr>
            <w:tcW w:w="1004" w:type="dxa"/>
            <w:shd w:val="clear" w:color="auto" w:fill="D9D9D9"/>
          </w:tcPr>
          <w:p>
            <w:pPr>
              <w:pStyle w:val="TableParagraph"/>
              <w:spacing w:line="122" w:lineRule="exact"/>
              <w:ind w:right="57"/>
              <w:jc w:val="right"/>
              <w:rPr>
                <w:b/>
                <w:sz w:val="12"/>
              </w:rPr>
            </w:pPr>
            <w:r>
              <w:rPr>
                <w:b/>
                <w:w w:val="105"/>
                <w:sz w:val="12"/>
              </w:rPr>
              <w:t>4.131.444,14</w:t>
            </w:r>
          </w:p>
        </w:tc>
        <w:tc>
          <w:tcPr>
            <w:tcW w:w="1008" w:type="dxa"/>
            <w:tcBorders>
              <w:right w:val="single" w:sz="4" w:space="0" w:color="000000"/>
            </w:tcBorders>
          </w:tcPr>
          <w:p>
            <w:pPr>
              <w:pStyle w:val="TableParagraph"/>
              <w:spacing w:line="122" w:lineRule="exact"/>
              <w:ind w:right="53"/>
              <w:jc w:val="right"/>
              <w:rPr>
                <w:b/>
                <w:sz w:val="12"/>
              </w:rPr>
            </w:pPr>
            <w:r>
              <w:rPr>
                <w:b/>
                <w:w w:val="105"/>
                <w:sz w:val="12"/>
              </w:rPr>
              <w:t>41.106.703,99</w:t>
            </w:r>
          </w:p>
        </w:tc>
      </w:tr>
      <w:tr>
        <w:trPr>
          <w:trHeight w:val="149" w:hRule="atLeast"/>
        </w:trPr>
        <w:tc>
          <w:tcPr>
            <w:tcW w:w="580" w:type="dxa"/>
            <w:tcBorders>
              <w:left w:val="single" w:sz="4" w:space="0" w:color="000000"/>
              <w:bottom w:val="single" w:sz="4" w:space="0" w:color="000000"/>
            </w:tcBorders>
            <w:shd w:val="clear" w:color="auto" w:fill="D9D9D9"/>
          </w:tcPr>
          <w:p>
            <w:pPr>
              <w:pStyle w:val="TableParagraph"/>
              <w:spacing w:line="127" w:lineRule="exact" w:before="3"/>
              <w:ind w:left="97" w:right="97"/>
              <w:jc w:val="center"/>
              <w:rPr>
                <w:b/>
                <w:sz w:val="12"/>
              </w:rPr>
            </w:pPr>
            <w:r>
              <w:rPr>
                <w:b/>
                <w:w w:val="105"/>
                <w:sz w:val="12"/>
              </w:rPr>
              <w:t>TOTAL</w:t>
            </w:r>
          </w:p>
        </w:tc>
        <w:tc>
          <w:tcPr>
            <w:tcW w:w="886" w:type="dxa"/>
            <w:tcBorders>
              <w:bottom w:val="single" w:sz="4" w:space="0" w:color="000000"/>
            </w:tcBorders>
            <w:shd w:val="clear" w:color="auto" w:fill="D9D9D9"/>
          </w:tcPr>
          <w:p>
            <w:pPr>
              <w:pStyle w:val="TableParagraph"/>
              <w:spacing w:line="127" w:lineRule="exact" w:before="3"/>
              <w:ind w:left="266"/>
              <w:rPr>
                <w:b/>
                <w:sz w:val="12"/>
              </w:rPr>
            </w:pPr>
            <w:r>
              <w:rPr>
                <w:b/>
                <w:w w:val="105"/>
                <w:sz w:val="12"/>
              </w:rPr>
              <w:t>144.047,72</w:t>
            </w:r>
          </w:p>
        </w:tc>
        <w:tc>
          <w:tcPr>
            <w:tcW w:w="1005" w:type="dxa"/>
            <w:tcBorders>
              <w:bottom w:val="single" w:sz="4" w:space="0" w:color="000000"/>
            </w:tcBorders>
            <w:shd w:val="clear" w:color="auto" w:fill="D9D9D9"/>
          </w:tcPr>
          <w:p>
            <w:pPr>
              <w:pStyle w:val="TableParagraph"/>
              <w:spacing w:line="127" w:lineRule="exact" w:before="3"/>
              <w:ind w:right="48"/>
              <w:jc w:val="right"/>
              <w:rPr>
                <w:b/>
                <w:sz w:val="12"/>
              </w:rPr>
            </w:pPr>
            <w:r>
              <w:rPr>
                <w:b/>
                <w:w w:val="105"/>
                <w:sz w:val="12"/>
              </w:rPr>
              <w:t>34.842.124,28</w:t>
            </w:r>
          </w:p>
        </w:tc>
        <w:tc>
          <w:tcPr>
            <w:tcW w:w="1032" w:type="dxa"/>
            <w:tcBorders>
              <w:bottom w:val="single" w:sz="4" w:space="0" w:color="000000"/>
            </w:tcBorders>
            <w:shd w:val="clear" w:color="auto" w:fill="D9D9D9"/>
          </w:tcPr>
          <w:p>
            <w:pPr>
              <w:pStyle w:val="TableParagraph"/>
              <w:spacing w:line="127" w:lineRule="exact" w:before="3"/>
              <w:ind w:right="48"/>
              <w:jc w:val="right"/>
              <w:rPr>
                <w:b/>
                <w:sz w:val="12"/>
              </w:rPr>
            </w:pPr>
            <w:r>
              <w:rPr>
                <w:b/>
                <w:w w:val="105"/>
                <w:sz w:val="12"/>
              </w:rPr>
              <w:t>121.583.715,89</w:t>
            </w:r>
          </w:p>
        </w:tc>
        <w:tc>
          <w:tcPr>
            <w:tcW w:w="1030" w:type="dxa"/>
            <w:tcBorders>
              <w:bottom w:val="single" w:sz="4" w:space="0" w:color="000000"/>
            </w:tcBorders>
            <w:shd w:val="clear" w:color="auto" w:fill="D9D9D9"/>
          </w:tcPr>
          <w:p>
            <w:pPr>
              <w:pStyle w:val="TableParagraph"/>
              <w:spacing w:line="127" w:lineRule="exact" w:before="3"/>
              <w:ind w:right="49"/>
              <w:jc w:val="right"/>
              <w:rPr>
                <w:b/>
                <w:sz w:val="12"/>
              </w:rPr>
            </w:pPr>
            <w:r>
              <w:rPr>
                <w:b/>
                <w:w w:val="105"/>
                <w:sz w:val="12"/>
              </w:rPr>
              <w:t>144.360.092,94</w:t>
            </w:r>
          </w:p>
        </w:tc>
        <w:tc>
          <w:tcPr>
            <w:tcW w:w="1051" w:type="dxa"/>
            <w:tcBorders>
              <w:bottom w:val="single" w:sz="4" w:space="0" w:color="000000"/>
            </w:tcBorders>
            <w:shd w:val="clear" w:color="auto" w:fill="D9D9D9"/>
          </w:tcPr>
          <w:p>
            <w:pPr>
              <w:pStyle w:val="TableParagraph"/>
              <w:spacing w:line="127" w:lineRule="exact" w:before="3"/>
              <w:ind w:right="52"/>
              <w:jc w:val="right"/>
              <w:rPr>
                <w:b/>
                <w:sz w:val="12"/>
              </w:rPr>
            </w:pPr>
            <w:r>
              <w:rPr>
                <w:b/>
                <w:w w:val="105"/>
                <w:sz w:val="12"/>
              </w:rPr>
              <w:t>300.929.980,83</w:t>
            </w:r>
          </w:p>
        </w:tc>
        <w:tc>
          <w:tcPr>
            <w:tcW w:w="904" w:type="dxa"/>
            <w:tcBorders>
              <w:bottom w:val="single" w:sz="4" w:space="0" w:color="000000"/>
            </w:tcBorders>
            <w:shd w:val="clear" w:color="auto" w:fill="D9D9D9"/>
          </w:tcPr>
          <w:p>
            <w:pPr>
              <w:pStyle w:val="TableParagraph"/>
              <w:spacing w:line="127" w:lineRule="exact" w:before="3"/>
              <w:ind w:right="52"/>
              <w:jc w:val="right"/>
              <w:rPr>
                <w:b/>
                <w:sz w:val="12"/>
              </w:rPr>
            </w:pPr>
            <w:r>
              <w:rPr>
                <w:b/>
                <w:w w:val="105"/>
                <w:sz w:val="12"/>
              </w:rPr>
              <w:t>6.019,98</w:t>
            </w:r>
          </w:p>
        </w:tc>
        <w:tc>
          <w:tcPr>
            <w:tcW w:w="986" w:type="dxa"/>
            <w:tcBorders>
              <w:bottom w:val="single" w:sz="4" w:space="0" w:color="000000"/>
            </w:tcBorders>
            <w:shd w:val="clear" w:color="auto" w:fill="D9D9D9"/>
          </w:tcPr>
          <w:p>
            <w:pPr>
              <w:pStyle w:val="TableParagraph"/>
              <w:spacing w:line="127" w:lineRule="exact" w:before="3"/>
              <w:ind w:right="53"/>
              <w:jc w:val="right"/>
              <w:rPr>
                <w:b/>
                <w:sz w:val="12"/>
              </w:rPr>
            </w:pPr>
            <w:r>
              <w:rPr>
                <w:b/>
                <w:w w:val="105"/>
                <w:sz w:val="12"/>
              </w:rPr>
              <w:t>3.234.052,74</w:t>
            </w:r>
          </w:p>
        </w:tc>
        <w:tc>
          <w:tcPr>
            <w:tcW w:w="1051" w:type="dxa"/>
            <w:tcBorders>
              <w:bottom w:val="single" w:sz="4" w:space="0" w:color="000000"/>
            </w:tcBorders>
            <w:shd w:val="clear" w:color="auto" w:fill="D9D9D9"/>
          </w:tcPr>
          <w:p>
            <w:pPr>
              <w:pStyle w:val="TableParagraph"/>
              <w:spacing w:line="127" w:lineRule="exact" w:before="3"/>
              <w:ind w:right="55"/>
              <w:jc w:val="right"/>
              <w:rPr>
                <w:b/>
                <w:sz w:val="12"/>
              </w:rPr>
            </w:pPr>
            <w:r>
              <w:rPr>
                <w:b/>
                <w:w w:val="105"/>
                <w:sz w:val="12"/>
              </w:rPr>
              <w:t>9.835.820,40</w:t>
            </w:r>
          </w:p>
        </w:tc>
        <w:tc>
          <w:tcPr>
            <w:tcW w:w="1109" w:type="dxa"/>
            <w:tcBorders>
              <w:bottom w:val="single" w:sz="4" w:space="0" w:color="000000"/>
            </w:tcBorders>
            <w:shd w:val="clear" w:color="auto" w:fill="D9D9D9"/>
          </w:tcPr>
          <w:p>
            <w:pPr>
              <w:pStyle w:val="TableParagraph"/>
              <w:spacing w:line="127" w:lineRule="exact" w:before="3"/>
              <w:ind w:right="58"/>
              <w:jc w:val="right"/>
              <w:rPr>
                <w:b/>
                <w:sz w:val="12"/>
              </w:rPr>
            </w:pPr>
            <w:r>
              <w:rPr>
                <w:b/>
                <w:w w:val="105"/>
                <w:sz w:val="12"/>
              </w:rPr>
              <w:t>10.731.426,76</w:t>
            </w:r>
          </w:p>
        </w:tc>
        <w:tc>
          <w:tcPr>
            <w:tcW w:w="1004" w:type="dxa"/>
            <w:tcBorders>
              <w:bottom w:val="single" w:sz="4" w:space="0" w:color="000000"/>
            </w:tcBorders>
            <w:shd w:val="clear" w:color="auto" w:fill="D9D9D9"/>
          </w:tcPr>
          <w:p>
            <w:pPr>
              <w:pStyle w:val="TableParagraph"/>
              <w:spacing w:line="127" w:lineRule="exact" w:before="3"/>
              <w:ind w:right="57"/>
              <w:jc w:val="right"/>
              <w:rPr>
                <w:b/>
                <w:sz w:val="12"/>
              </w:rPr>
            </w:pPr>
            <w:r>
              <w:rPr>
                <w:b/>
                <w:w w:val="105"/>
                <w:sz w:val="12"/>
              </w:rPr>
              <w:t>23.807.319,88</w:t>
            </w:r>
          </w:p>
        </w:tc>
        <w:tc>
          <w:tcPr>
            <w:tcW w:w="1008" w:type="dxa"/>
            <w:tcBorders>
              <w:bottom w:val="single" w:sz="4" w:space="0" w:color="000000"/>
              <w:right w:val="single" w:sz="4" w:space="0" w:color="000000"/>
            </w:tcBorders>
            <w:shd w:val="clear" w:color="auto" w:fill="D9D9D9"/>
          </w:tcPr>
          <w:p>
            <w:pPr>
              <w:pStyle w:val="TableParagraph"/>
              <w:spacing w:line="127" w:lineRule="exact" w:before="3"/>
              <w:ind w:right="54"/>
              <w:jc w:val="right"/>
              <w:rPr>
                <w:b/>
                <w:sz w:val="12"/>
              </w:rPr>
            </w:pPr>
            <w:r>
              <w:rPr>
                <w:b/>
                <w:w w:val="105"/>
                <w:sz w:val="12"/>
              </w:rPr>
              <w:t>324.737.300,71</w:t>
            </w:r>
          </w:p>
        </w:tc>
      </w:tr>
    </w:tbl>
    <w:p>
      <w:pPr>
        <w:spacing w:before="3"/>
        <w:ind w:left="1545" w:right="0" w:firstLine="0"/>
        <w:jc w:val="left"/>
        <w:rPr>
          <w:sz w:val="12"/>
        </w:rPr>
      </w:pPr>
      <w:r>
        <w:rPr>
          <w:b/>
          <w:w w:val="105"/>
          <w:sz w:val="12"/>
        </w:rPr>
        <w:t>Fuente</w:t>
      </w:r>
      <w:r>
        <w:rPr>
          <w:w w:val="105"/>
          <w:sz w:val="12"/>
        </w:rPr>
        <w:t>: Ficheros Relación deudores MAGIN/PICCAC/SEFLOGIC cerrados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8"/>
        </w:rPr>
      </w:pPr>
    </w:p>
    <w:p>
      <w:pPr>
        <w:spacing w:before="1"/>
        <w:ind w:left="10855" w:right="1577" w:firstLine="0"/>
        <w:jc w:val="center"/>
        <w:rPr>
          <w:sz w:val="18"/>
        </w:rPr>
      </w:pPr>
      <w:r>
        <w:rPr>
          <w:w w:val="105"/>
          <w:sz w:val="18"/>
        </w:rPr>
        <w:t>177</w:t>
      </w:r>
    </w:p>
    <w:p>
      <w:pPr>
        <w:spacing w:before="7"/>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79" name="image5.png"/>
                  <wp:cNvGraphicFramePr>
                    <a:graphicFrameLocks noChangeAspect="1"/>
                  </wp:cNvGraphicFramePr>
                  <a:graphic>
                    <a:graphicData uri="http://schemas.openxmlformats.org/drawingml/2006/picture">
                      <pic:pic>
                        <pic:nvPicPr>
                          <pic:cNvPr id="38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179/247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11:14:27</w:t>
            </w:r>
          </w:p>
        </w:tc>
        <w:tc>
          <w:tcPr>
            <w:tcW w:w="1442" w:type="dxa"/>
            <w:vMerge/>
            <w:tcBorders>
              <w:top w:val="nil"/>
            </w:tcBorders>
          </w:tcPr>
          <w:p>
            <w:pPr>
              <w:rPr>
                <w:sz w:val="2"/>
                <w:szCs w:val="2"/>
              </w:rPr>
            </w:pPr>
          </w:p>
        </w:tc>
      </w:tr>
    </w:tbl>
    <w:p>
      <w:pPr>
        <w:spacing w:after="0"/>
        <w:rPr>
          <w:sz w:val="2"/>
          <w:szCs w:val="2"/>
        </w:rPr>
        <w:sectPr>
          <w:pgSz w:w="16840" w:h="11900" w:orient="landscape"/>
          <w:pgMar w:header="797" w:footer="1006" w:top="1620" w:bottom="1200" w:left="1160" w:right="1160"/>
        </w:sectPr>
      </w:pPr>
    </w:p>
    <w:p>
      <w:pPr>
        <w:pStyle w:val="BodyText"/>
        <w:spacing w:before="5"/>
        <w:rPr>
          <w:b/>
          <w:sz w:val="13"/>
        </w:rPr>
      </w:pPr>
    </w:p>
    <w:p>
      <w:pPr>
        <w:spacing w:before="0" w:after="3"/>
        <w:ind w:left="2041" w:right="0" w:firstLine="0"/>
        <w:jc w:val="left"/>
        <w:rPr>
          <w:b/>
          <w:sz w:val="15"/>
        </w:rPr>
      </w:pPr>
      <w:r>
        <w:rPr>
          <w:b/>
          <w:color w:val="53A1B9"/>
          <w:w w:val="105"/>
          <w:sz w:val="18"/>
        </w:rPr>
        <w:t>10.6 Anexo VI. Punto 3 del 2.2.6. Modificaciones presupuestarias de ingresos por subconcepto</w:t>
      </w:r>
      <w:r>
        <w:rPr>
          <w:b/>
          <w:color w:val="53A1B9"/>
          <w:w w:val="105"/>
          <w:sz w:val="15"/>
        </w:rPr>
        <w:t>.</w:t>
      </w:r>
    </w:p>
    <w:tbl>
      <w:tblPr>
        <w:tblW w:w="0" w:type="auto"/>
        <w:jc w:val="left"/>
        <w:tblInd w:w="1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15"/>
        <w:gridCol w:w="1263"/>
        <w:gridCol w:w="956"/>
        <w:gridCol w:w="1092"/>
        <w:gridCol w:w="1028"/>
        <w:gridCol w:w="843"/>
        <w:gridCol w:w="718"/>
        <w:gridCol w:w="1029"/>
        <w:gridCol w:w="1034"/>
        <w:gridCol w:w="864"/>
      </w:tblGrid>
      <w:tr>
        <w:trPr>
          <w:trHeight w:val="282" w:hRule="atLeast"/>
        </w:trPr>
        <w:tc>
          <w:tcPr>
            <w:tcW w:w="3415" w:type="dxa"/>
            <w:tcBorders>
              <w:top w:val="single" w:sz="4" w:space="0" w:color="000000"/>
              <w:left w:val="single" w:sz="4" w:space="0" w:color="000000"/>
              <w:bottom w:val="single" w:sz="4" w:space="0" w:color="000000"/>
            </w:tcBorders>
            <w:shd w:val="clear" w:color="auto" w:fill="DEEAF6"/>
          </w:tcPr>
          <w:p>
            <w:pPr>
              <w:pStyle w:val="TableParagraph"/>
              <w:spacing w:before="76"/>
              <w:ind w:left="1460" w:right="1352"/>
              <w:jc w:val="center"/>
              <w:rPr>
                <w:b/>
                <w:sz w:val="11"/>
              </w:rPr>
            </w:pPr>
            <w:r>
              <w:rPr>
                <w:b/>
                <w:w w:val="105"/>
                <w:sz w:val="11"/>
              </w:rPr>
              <w:t>Descripción</w:t>
            </w:r>
          </w:p>
        </w:tc>
        <w:tc>
          <w:tcPr>
            <w:tcW w:w="1263" w:type="dxa"/>
            <w:tcBorders>
              <w:top w:val="single" w:sz="4" w:space="0" w:color="000000"/>
              <w:bottom w:val="single" w:sz="4" w:space="0" w:color="000000"/>
            </w:tcBorders>
            <w:shd w:val="clear" w:color="auto" w:fill="DEEAF6"/>
          </w:tcPr>
          <w:p>
            <w:pPr>
              <w:pStyle w:val="TableParagraph"/>
              <w:spacing w:before="76"/>
              <w:ind w:left="289"/>
              <w:rPr>
                <w:b/>
                <w:sz w:val="11"/>
              </w:rPr>
            </w:pPr>
            <w:r>
              <w:rPr>
                <w:b/>
                <w:w w:val="105"/>
                <w:sz w:val="11"/>
              </w:rPr>
              <w:t>Previsión Inicial</w:t>
            </w:r>
          </w:p>
        </w:tc>
        <w:tc>
          <w:tcPr>
            <w:tcW w:w="956" w:type="dxa"/>
            <w:tcBorders>
              <w:top w:val="single" w:sz="4" w:space="0" w:color="000000"/>
              <w:bottom w:val="single" w:sz="4" w:space="0" w:color="000000"/>
            </w:tcBorders>
            <w:shd w:val="clear" w:color="auto" w:fill="DEEAF6"/>
          </w:tcPr>
          <w:p>
            <w:pPr>
              <w:pStyle w:val="TableParagraph"/>
              <w:spacing w:before="6"/>
              <w:ind w:left="19" w:right="47"/>
              <w:jc w:val="center"/>
              <w:rPr>
                <w:b/>
                <w:sz w:val="11"/>
              </w:rPr>
            </w:pPr>
            <w:r>
              <w:rPr>
                <w:b/>
                <w:w w:val="105"/>
                <w:sz w:val="11"/>
              </w:rPr>
              <w:t>Modificaciones</w:t>
            </w:r>
          </w:p>
          <w:p>
            <w:pPr>
              <w:pStyle w:val="TableParagraph"/>
              <w:spacing w:line="115" w:lineRule="exact" w:before="7"/>
              <w:ind w:left="21" w:right="47"/>
              <w:jc w:val="center"/>
              <w:rPr>
                <w:b/>
                <w:sz w:val="11"/>
              </w:rPr>
            </w:pPr>
            <w:r>
              <w:rPr>
                <w:b/>
                <w:w w:val="105"/>
                <w:sz w:val="11"/>
              </w:rPr>
              <w:t>de crédito</w:t>
            </w:r>
          </w:p>
        </w:tc>
        <w:tc>
          <w:tcPr>
            <w:tcW w:w="1092" w:type="dxa"/>
            <w:tcBorders>
              <w:top w:val="single" w:sz="4" w:space="0" w:color="000000"/>
              <w:bottom w:val="single" w:sz="4" w:space="0" w:color="000000"/>
            </w:tcBorders>
            <w:shd w:val="clear" w:color="auto" w:fill="DEEAF6"/>
          </w:tcPr>
          <w:p>
            <w:pPr>
              <w:pStyle w:val="TableParagraph"/>
              <w:spacing w:before="76"/>
              <w:ind w:right="86"/>
              <w:jc w:val="right"/>
              <w:rPr>
                <w:b/>
                <w:sz w:val="11"/>
              </w:rPr>
            </w:pPr>
            <w:r>
              <w:rPr>
                <w:b/>
                <w:w w:val="105"/>
                <w:sz w:val="11"/>
              </w:rPr>
              <w:t>Previsión Definitiva</w:t>
            </w:r>
          </w:p>
        </w:tc>
        <w:tc>
          <w:tcPr>
            <w:tcW w:w="1028" w:type="dxa"/>
            <w:tcBorders>
              <w:top w:val="single" w:sz="4" w:space="0" w:color="000000"/>
              <w:bottom w:val="single" w:sz="4" w:space="0" w:color="000000"/>
            </w:tcBorders>
            <w:shd w:val="clear" w:color="auto" w:fill="DEEAF6"/>
          </w:tcPr>
          <w:p>
            <w:pPr>
              <w:pStyle w:val="TableParagraph"/>
              <w:spacing w:before="6"/>
              <w:ind w:left="79" w:right="107"/>
              <w:jc w:val="center"/>
              <w:rPr>
                <w:b/>
                <w:sz w:val="11"/>
              </w:rPr>
            </w:pPr>
            <w:r>
              <w:rPr>
                <w:b/>
                <w:w w:val="105"/>
                <w:sz w:val="11"/>
              </w:rPr>
              <w:t>Derechos Recon.</w:t>
            </w:r>
          </w:p>
          <w:p>
            <w:pPr>
              <w:pStyle w:val="TableParagraph"/>
              <w:spacing w:line="115" w:lineRule="exact" w:before="7"/>
              <w:ind w:left="79" w:right="103"/>
              <w:jc w:val="center"/>
              <w:rPr>
                <w:b/>
                <w:sz w:val="11"/>
              </w:rPr>
            </w:pPr>
            <w:r>
              <w:rPr>
                <w:b/>
                <w:w w:val="105"/>
                <w:sz w:val="11"/>
              </w:rPr>
              <w:t>Total</w:t>
            </w:r>
          </w:p>
        </w:tc>
        <w:tc>
          <w:tcPr>
            <w:tcW w:w="843" w:type="dxa"/>
            <w:tcBorders>
              <w:top w:val="single" w:sz="4" w:space="0" w:color="000000"/>
              <w:bottom w:val="single" w:sz="4" w:space="0" w:color="000000"/>
            </w:tcBorders>
            <w:shd w:val="clear" w:color="auto" w:fill="DEEAF6"/>
          </w:tcPr>
          <w:p>
            <w:pPr>
              <w:pStyle w:val="TableParagraph"/>
              <w:spacing w:before="6"/>
              <w:ind w:left="191"/>
              <w:rPr>
                <w:b/>
                <w:sz w:val="11"/>
              </w:rPr>
            </w:pPr>
            <w:r>
              <w:rPr>
                <w:b/>
                <w:w w:val="105"/>
                <w:sz w:val="11"/>
              </w:rPr>
              <w:t>Derechos</w:t>
            </w:r>
          </w:p>
          <w:p>
            <w:pPr>
              <w:pStyle w:val="TableParagraph"/>
              <w:spacing w:line="115" w:lineRule="exact" w:before="7"/>
              <w:ind w:left="193"/>
              <w:rPr>
                <w:b/>
                <w:sz w:val="11"/>
              </w:rPr>
            </w:pPr>
            <w:r>
              <w:rPr>
                <w:b/>
                <w:w w:val="105"/>
                <w:sz w:val="11"/>
              </w:rPr>
              <w:t>Anulados</w:t>
            </w:r>
          </w:p>
        </w:tc>
        <w:tc>
          <w:tcPr>
            <w:tcW w:w="718" w:type="dxa"/>
            <w:tcBorders>
              <w:top w:val="single" w:sz="4" w:space="0" w:color="000000"/>
              <w:bottom w:val="single" w:sz="4" w:space="0" w:color="000000"/>
            </w:tcBorders>
            <w:shd w:val="clear" w:color="auto" w:fill="DEEAF6"/>
          </w:tcPr>
          <w:p>
            <w:pPr>
              <w:pStyle w:val="TableParagraph"/>
              <w:spacing w:before="6"/>
              <w:ind w:left="112"/>
              <w:rPr>
                <w:b/>
                <w:sz w:val="11"/>
              </w:rPr>
            </w:pPr>
            <w:r>
              <w:rPr>
                <w:b/>
                <w:w w:val="105"/>
                <w:sz w:val="11"/>
              </w:rPr>
              <w:t>Derechos</w:t>
            </w:r>
          </w:p>
          <w:p>
            <w:pPr>
              <w:pStyle w:val="TableParagraph"/>
              <w:spacing w:line="115" w:lineRule="exact" w:before="7"/>
              <w:ind w:left="68"/>
              <w:rPr>
                <w:b/>
                <w:sz w:val="11"/>
              </w:rPr>
            </w:pPr>
            <w:r>
              <w:rPr>
                <w:b/>
                <w:w w:val="105"/>
                <w:sz w:val="11"/>
              </w:rPr>
              <w:t>Cancelados</w:t>
            </w:r>
          </w:p>
        </w:tc>
        <w:tc>
          <w:tcPr>
            <w:tcW w:w="1029" w:type="dxa"/>
            <w:tcBorders>
              <w:top w:val="single" w:sz="4" w:space="0" w:color="000000"/>
              <w:bottom w:val="single" w:sz="4" w:space="0" w:color="000000"/>
            </w:tcBorders>
            <w:shd w:val="clear" w:color="auto" w:fill="DEEAF6"/>
          </w:tcPr>
          <w:p>
            <w:pPr>
              <w:pStyle w:val="TableParagraph"/>
              <w:spacing w:before="6"/>
              <w:ind w:left="81" w:right="104"/>
              <w:jc w:val="center"/>
              <w:rPr>
                <w:b/>
                <w:sz w:val="11"/>
              </w:rPr>
            </w:pPr>
            <w:r>
              <w:rPr>
                <w:b/>
                <w:w w:val="105"/>
                <w:sz w:val="11"/>
              </w:rPr>
              <w:t>Derechos Recon.</w:t>
            </w:r>
          </w:p>
          <w:p>
            <w:pPr>
              <w:pStyle w:val="TableParagraph"/>
              <w:spacing w:line="115" w:lineRule="exact" w:before="7"/>
              <w:ind w:left="80" w:right="105"/>
              <w:jc w:val="center"/>
              <w:rPr>
                <w:b/>
                <w:sz w:val="11"/>
              </w:rPr>
            </w:pPr>
            <w:r>
              <w:rPr>
                <w:b/>
                <w:w w:val="105"/>
                <w:sz w:val="11"/>
              </w:rPr>
              <w:t>Netos</w:t>
            </w:r>
          </w:p>
        </w:tc>
        <w:tc>
          <w:tcPr>
            <w:tcW w:w="1034" w:type="dxa"/>
            <w:tcBorders>
              <w:top w:val="single" w:sz="4" w:space="0" w:color="000000"/>
              <w:bottom w:val="single" w:sz="4" w:space="0" w:color="000000"/>
            </w:tcBorders>
            <w:shd w:val="clear" w:color="auto" w:fill="DEEAF6"/>
          </w:tcPr>
          <w:p>
            <w:pPr>
              <w:pStyle w:val="TableParagraph"/>
              <w:spacing w:before="76"/>
              <w:ind w:right="91"/>
              <w:jc w:val="right"/>
              <w:rPr>
                <w:b/>
                <w:sz w:val="11"/>
              </w:rPr>
            </w:pPr>
            <w:r>
              <w:rPr>
                <w:b/>
                <w:w w:val="105"/>
                <w:sz w:val="11"/>
              </w:rPr>
              <w:t>Recaudación Neta</w:t>
            </w:r>
          </w:p>
        </w:tc>
        <w:tc>
          <w:tcPr>
            <w:tcW w:w="864" w:type="dxa"/>
            <w:tcBorders>
              <w:top w:val="single" w:sz="4" w:space="0" w:color="000000"/>
              <w:bottom w:val="single" w:sz="4" w:space="0" w:color="000000"/>
              <w:right w:val="single" w:sz="4" w:space="0" w:color="000000"/>
            </w:tcBorders>
            <w:shd w:val="clear" w:color="auto" w:fill="DEEAF6"/>
          </w:tcPr>
          <w:p>
            <w:pPr>
              <w:pStyle w:val="TableParagraph"/>
              <w:spacing w:before="6"/>
              <w:ind w:left="80" w:right="101"/>
              <w:jc w:val="center"/>
              <w:rPr>
                <w:b/>
                <w:sz w:val="11"/>
              </w:rPr>
            </w:pPr>
            <w:r>
              <w:rPr>
                <w:b/>
                <w:w w:val="105"/>
                <w:sz w:val="11"/>
              </w:rPr>
              <w:t>Pendiente de</w:t>
            </w:r>
          </w:p>
          <w:p>
            <w:pPr>
              <w:pStyle w:val="TableParagraph"/>
              <w:spacing w:line="115" w:lineRule="exact" w:before="7"/>
              <w:ind w:left="80" w:right="100"/>
              <w:jc w:val="center"/>
              <w:rPr>
                <w:b/>
                <w:sz w:val="11"/>
              </w:rPr>
            </w:pPr>
            <w:r>
              <w:rPr>
                <w:b/>
                <w:w w:val="105"/>
                <w:sz w:val="11"/>
              </w:rPr>
              <w:t>Cobro</w:t>
            </w:r>
          </w:p>
        </w:tc>
      </w:tr>
      <w:tr>
        <w:trPr>
          <w:trHeight w:val="161" w:hRule="atLeast"/>
        </w:trPr>
        <w:tc>
          <w:tcPr>
            <w:tcW w:w="3415" w:type="dxa"/>
            <w:tcBorders>
              <w:top w:val="single" w:sz="4" w:space="0" w:color="000000"/>
              <w:left w:val="single" w:sz="4" w:space="0" w:color="000000"/>
            </w:tcBorders>
          </w:tcPr>
          <w:p>
            <w:pPr>
              <w:pStyle w:val="TableParagraph"/>
              <w:spacing w:line="139" w:lineRule="exact" w:before="2"/>
              <w:ind w:left="52"/>
              <w:rPr>
                <w:sz w:val="12"/>
              </w:rPr>
            </w:pPr>
            <w:r>
              <w:rPr>
                <w:w w:val="105"/>
                <w:sz w:val="12"/>
              </w:rPr>
              <w:t>10000 - I.R.P.F. Tarifa autonómica</w:t>
            </w:r>
          </w:p>
        </w:tc>
        <w:tc>
          <w:tcPr>
            <w:tcW w:w="1263" w:type="dxa"/>
            <w:tcBorders>
              <w:top w:val="single" w:sz="4" w:space="0" w:color="000000"/>
            </w:tcBorders>
          </w:tcPr>
          <w:p>
            <w:pPr>
              <w:pStyle w:val="TableParagraph"/>
              <w:spacing w:line="139" w:lineRule="exact" w:before="2"/>
              <w:ind w:right="84"/>
              <w:jc w:val="right"/>
              <w:rPr>
                <w:sz w:val="12"/>
              </w:rPr>
            </w:pPr>
            <w:r>
              <w:rPr>
                <w:w w:val="105"/>
                <w:sz w:val="12"/>
              </w:rPr>
              <w:t>1.627.159.400,00</w:t>
            </w:r>
          </w:p>
        </w:tc>
        <w:tc>
          <w:tcPr>
            <w:tcW w:w="956" w:type="dxa"/>
            <w:tcBorders>
              <w:top w:val="single" w:sz="4" w:space="0" w:color="000000"/>
            </w:tcBorders>
          </w:tcPr>
          <w:p>
            <w:pPr>
              <w:pStyle w:val="TableParagraph"/>
              <w:spacing w:line="139" w:lineRule="exact" w:before="2"/>
              <w:ind w:right="48"/>
              <w:jc w:val="right"/>
              <w:rPr>
                <w:sz w:val="12"/>
              </w:rPr>
            </w:pPr>
            <w:r>
              <w:rPr>
                <w:sz w:val="12"/>
              </w:rPr>
              <w:t>0,00</w:t>
            </w:r>
          </w:p>
        </w:tc>
        <w:tc>
          <w:tcPr>
            <w:tcW w:w="1092" w:type="dxa"/>
            <w:tcBorders>
              <w:top w:val="single" w:sz="4" w:space="0" w:color="000000"/>
            </w:tcBorders>
          </w:tcPr>
          <w:p>
            <w:pPr>
              <w:pStyle w:val="TableParagraph"/>
              <w:spacing w:line="139" w:lineRule="exact" w:before="2"/>
              <w:ind w:right="81"/>
              <w:jc w:val="right"/>
              <w:rPr>
                <w:sz w:val="12"/>
              </w:rPr>
            </w:pPr>
            <w:r>
              <w:rPr>
                <w:w w:val="105"/>
                <w:sz w:val="12"/>
              </w:rPr>
              <w:t>1.627.159.400,00</w:t>
            </w:r>
          </w:p>
        </w:tc>
        <w:tc>
          <w:tcPr>
            <w:tcW w:w="1028" w:type="dxa"/>
            <w:tcBorders>
              <w:top w:val="single" w:sz="4" w:space="0" w:color="000000"/>
            </w:tcBorders>
          </w:tcPr>
          <w:p>
            <w:pPr>
              <w:pStyle w:val="TableParagraph"/>
              <w:spacing w:line="139" w:lineRule="exact" w:before="2"/>
              <w:ind w:right="48"/>
              <w:jc w:val="right"/>
              <w:rPr>
                <w:sz w:val="12"/>
              </w:rPr>
            </w:pPr>
            <w:r>
              <w:rPr>
                <w:w w:val="105"/>
                <w:sz w:val="12"/>
              </w:rPr>
              <w:t>1.559.870.341,51</w:t>
            </w:r>
          </w:p>
        </w:tc>
        <w:tc>
          <w:tcPr>
            <w:tcW w:w="843" w:type="dxa"/>
            <w:tcBorders>
              <w:top w:val="single" w:sz="4" w:space="0" w:color="000000"/>
            </w:tcBorders>
          </w:tcPr>
          <w:p>
            <w:pPr>
              <w:pStyle w:val="TableParagraph"/>
              <w:spacing w:line="139" w:lineRule="exact" w:before="2"/>
              <w:ind w:right="54"/>
              <w:jc w:val="right"/>
              <w:rPr>
                <w:sz w:val="12"/>
              </w:rPr>
            </w:pPr>
            <w:r>
              <w:rPr>
                <w:sz w:val="12"/>
              </w:rPr>
              <w:t>0,00</w:t>
            </w:r>
          </w:p>
        </w:tc>
        <w:tc>
          <w:tcPr>
            <w:tcW w:w="718" w:type="dxa"/>
            <w:tcBorders>
              <w:top w:val="single" w:sz="4" w:space="0" w:color="000000"/>
            </w:tcBorders>
          </w:tcPr>
          <w:p>
            <w:pPr>
              <w:pStyle w:val="TableParagraph"/>
              <w:spacing w:line="139" w:lineRule="exact" w:before="2"/>
              <w:ind w:right="80"/>
              <w:jc w:val="right"/>
              <w:rPr>
                <w:sz w:val="12"/>
              </w:rPr>
            </w:pPr>
            <w:r>
              <w:rPr>
                <w:sz w:val="12"/>
              </w:rPr>
              <w:t>0,00</w:t>
            </w:r>
          </w:p>
        </w:tc>
        <w:tc>
          <w:tcPr>
            <w:tcW w:w="1029" w:type="dxa"/>
            <w:tcBorders>
              <w:top w:val="single" w:sz="4" w:space="0" w:color="000000"/>
            </w:tcBorders>
          </w:tcPr>
          <w:p>
            <w:pPr>
              <w:pStyle w:val="TableParagraph"/>
              <w:spacing w:line="139" w:lineRule="exact" w:before="2"/>
              <w:ind w:right="49"/>
              <w:jc w:val="right"/>
              <w:rPr>
                <w:sz w:val="12"/>
              </w:rPr>
            </w:pPr>
            <w:r>
              <w:rPr>
                <w:w w:val="105"/>
                <w:sz w:val="12"/>
              </w:rPr>
              <w:t>1.559.870.341,51</w:t>
            </w:r>
          </w:p>
        </w:tc>
        <w:tc>
          <w:tcPr>
            <w:tcW w:w="1034" w:type="dxa"/>
            <w:tcBorders>
              <w:top w:val="single" w:sz="4" w:space="0" w:color="000000"/>
            </w:tcBorders>
          </w:tcPr>
          <w:p>
            <w:pPr>
              <w:pStyle w:val="TableParagraph"/>
              <w:spacing w:line="139" w:lineRule="exact" w:before="2"/>
              <w:ind w:right="84"/>
              <w:jc w:val="right"/>
              <w:rPr>
                <w:sz w:val="12"/>
              </w:rPr>
            </w:pPr>
            <w:r>
              <w:rPr>
                <w:w w:val="105"/>
                <w:sz w:val="12"/>
              </w:rPr>
              <w:t>1.559.870.341,51</w:t>
            </w:r>
          </w:p>
        </w:tc>
        <w:tc>
          <w:tcPr>
            <w:tcW w:w="864" w:type="dxa"/>
            <w:tcBorders>
              <w:top w:val="single" w:sz="4" w:space="0" w:color="000000"/>
              <w:right w:val="single" w:sz="4" w:space="0" w:color="000000"/>
            </w:tcBorders>
          </w:tcPr>
          <w:p>
            <w:pPr>
              <w:pStyle w:val="TableParagraph"/>
              <w:spacing w:line="139" w:lineRule="exact" w:before="2"/>
              <w:ind w:right="40"/>
              <w:jc w:val="right"/>
              <w:rPr>
                <w:sz w:val="12"/>
              </w:rPr>
            </w:pPr>
            <w:r>
              <w:rPr>
                <w:sz w:val="12"/>
              </w:rPr>
              <w:t>0,00</w:t>
            </w:r>
          </w:p>
        </w:tc>
      </w:tr>
      <w:tr>
        <w:trPr>
          <w:trHeight w:val="152" w:hRule="atLeast"/>
        </w:trPr>
        <w:tc>
          <w:tcPr>
            <w:tcW w:w="3415" w:type="dxa"/>
            <w:tcBorders>
              <w:left w:val="single" w:sz="4" w:space="0" w:color="000000"/>
            </w:tcBorders>
          </w:tcPr>
          <w:p>
            <w:pPr>
              <w:pStyle w:val="TableParagraph"/>
              <w:spacing w:line="132" w:lineRule="exact"/>
              <w:ind w:left="52"/>
              <w:rPr>
                <w:sz w:val="12"/>
              </w:rPr>
            </w:pPr>
            <w:r>
              <w:rPr>
                <w:w w:val="105"/>
                <w:sz w:val="12"/>
              </w:rPr>
              <w:t>10002 - Liquidación I.R.P.F. ejercicios anteriores</w:t>
            </w:r>
          </w:p>
        </w:tc>
        <w:tc>
          <w:tcPr>
            <w:tcW w:w="1263" w:type="dxa"/>
          </w:tcPr>
          <w:p>
            <w:pPr>
              <w:pStyle w:val="TableParagraph"/>
              <w:spacing w:line="132" w:lineRule="exact"/>
              <w:ind w:right="84"/>
              <w:jc w:val="right"/>
              <w:rPr>
                <w:sz w:val="12"/>
              </w:rPr>
            </w:pPr>
            <w:r>
              <w:rPr>
                <w:w w:val="105"/>
                <w:sz w:val="12"/>
              </w:rPr>
              <w:t>18.121.880,00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18.121.880,00</w:t>
            </w:r>
          </w:p>
        </w:tc>
        <w:tc>
          <w:tcPr>
            <w:tcW w:w="1028" w:type="dxa"/>
          </w:tcPr>
          <w:p>
            <w:pPr>
              <w:pStyle w:val="TableParagraph"/>
              <w:spacing w:line="132" w:lineRule="exact"/>
              <w:ind w:right="48"/>
              <w:jc w:val="right"/>
              <w:rPr>
                <w:sz w:val="12"/>
              </w:rPr>
            </w:pPr>
            <w:r>
              <w:rPr>
                <w:sz w:val="12"/>
              </w:rPr>
              <w:t>0,00</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sz w:val="12"/>
              </w:rPr>
              <w:t>0,00</w:t>
            </w:r>
          </w:p>
        </w:tc>
        <w:tc>
          <w:tcPr>
            <w:tcW w:w="1034" w:type="dxa"/>
          </w:tcPr>
          <w:p>
            <w:pPr>
              <w:pStyle w:val="TableParagraph"/>
              <w:spacing w:line="132" w:lineRule="exact"/>
              <w:ind w:right="84"/>
              <w:jc w:val="right"/>
              <w:rPr>
                <w:sz w:val="12"/>
              </w:rPr>
            </w:pPr>
            <w:r>
              <w:rPr>
                <w:sz w:val="12"/>
              </w:rPr>
              <w:t>0,00</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2" w:hRule="atLeast"/>
        </w:trPr>
        <w:tc>
          <w:tcPr>
            <w:tcW w:w="3415" w:type="dxa"/>
            <w:tcBorders>
              <w:left w:val="single" w:sz="4" w:space="0" w:color="000000"/>
            </w:tcBorders>
          </w:tcPr>
          <w:p>
            <w:pPr>
              <w:pStyle w:val="TableParagraph"/>
              <w:spacing w:line="132" w:lineRule="exact"/>
              <w:ind w:left="52"/>
              <w:rPr>
                <w:sz w:val="12"/>
              </w:rPr>
            </w:pPr>
            <w:r>
              <w:rPr>
                <w:w w:val="105"/>
                <w:sz w:val="12"/>
              </w:rPr>
              <w:t>11000 - Impuesto sobre Sucesiones y Donaciones</w:t>
            </w:r>
          </w:p>
        </w:tc>
        <w:tc>
          <w:tcPr>
            <w:tcW w:w="1263" w:type="dxa"/>
          </w:tcPr>
          <w:p>
            <w:pPr>
              <w:pStyle w:val="TableParagraph"/>
              <w:spacing w:line="132" w:lineRule="exact"/>
              <w:ind w:right="84"/>
              <w:jc w:val="right"/>
              <w:rPr>
                <w:sz w:val="12"/>
              </w:rPr>
            </w:pPr>
            <w:r>
              <w:rPr>
                <w:w w:val="105"/>
                <w:sz w:val="12"/>
              </w:rPr>
              <w:t>53.174.643,00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53.174.643,00</w:t>
            </w:r>
          </w:p>
        </w:tc>
        <w:tc>
          <w:tcPr>
            <w:tcW w:w="1028" w:type="dxa"/>
          </w:tcPr>
          <w:p>
            <w:pPr>
              <w:pStyle w:val="TableParagraph"/>
              <w:spacing w:line="132" w:lineRule="exact"/>
              <w:ind w:right="48"/>
              <w:jc w:val="right"/>
              <w:rPr>
                <w:sz w:val="12"/>
              </w:rPr>
            </w:pPr>
            <w:r>
              <w:rPr>
                <w:w w:val="105"/>
                <w:sz w:val="12"/>
              </w:rPr>
              <w:t>60.101.748,26</w:t>
            </w:r>
          </w:p>
        </w:tc>
        <w:tc>
          <w:tcPr>
            <w:tcW w:w="843" w:type="dxa"/>
          </w:tcPr>
          <w:p>
            <w:pPr>
              <w:pStyle w:val="TableParagraph"/>
              <w:spacing w:line="132" w:lineRule="exact"/>
              <w:ind w:right="54"/>
              <w:jc w:val="right"/>
              <w:rPr>
                <w:sz w:val="12"/>
              </w:rPr>
            </w:pPr>
            <w:r>
              <w:rPr>
                <w:w w:val="105"/>
                <w:sz w:val="12"/>
              </w:rPr>
              <w:t>4.232.304,11</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55.869.444,15</w:t>
            </w:r>
          </w:p>
        </w:tc>
        <w:tc>
          <w:tcPr>
            <w:tcW w:w="1034" w:type="dxa"/>
          </w:tcPr>
          <w:p>
            <w:pPr>
              <w:pStyle w:val="TableParagraph"/>
              <w:spacing w:line="132" w:lineRule="exact"/>
              <w:ind w:right="83"/>
              <w:jc w:val="right"/>
              <w:rPr>
                <w:sz w:val="12"/>
              </w:rPr>
            </w:pPr>
            <w:r>
              <w:rPr>
                <w:w w:val="105"/>
                <w:sz w:val="12"/>
              </w:rPr>
              <w:t>50.431.815,11</w:t>
            </w:r>
          </w:p>
        </w:tc>
        <w:tc>
          <w:tcPr>
            <w:tcW w:w="864" w:type="dxa"/>
            <w:tcBorders>
              <w:right w:val="single" w:sz="4" w:space="0" w:color="000000"/>
            </w:tcBorders>
          </w:tcPr>
          <w:p>
            <w:pPr>
              <w:pStyle w:val="TableParagraph"/>
              <w:spacing w:line="132" w:lineRule="exact"/>
              <w:ind w:right="40"/>
              <w:jc w:val="right"/>
              <w:rPr>
                <w:sz w:val="12"/>
              </w:rPr>
            </w:pPr>
            <w:r>
              <w:rPr>
                <w:w w:val="105"/>
                <w:sz w:val="12"/>
              </w:rPr>
              <w:t>5.437.629,04</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11100 - Impuesto sobre el Patrimonio</w:t>
            </w:r>
          </w:p>
        </w:tc>
        <w:tc>
          <w:tcPr>
            <w:tcW w:w="1263" w:type="dxa"/>
          </w:tcPr>
          <w:p>
            <w:pPr>
              <w:pStyle w:val="TableParagraph"/>
              <w:spacing w:line="132" w:lineRule="exact"/>
              <w:ind w:right="84"/>
              <w:jc w:val="right"/>
              <w:rPr>
                <w:sz w:val="12"/>
              </w:rPr>
            </w:pPr>
            <w:r>
              <w:rPr>
                <w:w w:val="105"/>
                <w:sz w:val="12"/>
              </w:rPr>
              <w:t>32.002.159,00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32.002.159,00</w:t>
            </w:r>
          </w:p>
        </w:tc>
        <w:tc>
          <w:tcPr>
            <w:tcW w:w="1028" w:type="dxa"/>
          </w:tcPr>
          <w:p>
            <w:pPr>
              <w:pStyle w:val="TableParagraph"/>
              <w:spacing w:line="132" w:lineRule="exact"/>
              <w:ind w:right="48"/>
              <w:jc w:val="right"/>
              <w:rPr>
                <w:sz w:val="12"/>
              </w:rPr>
            </w:pPr>
            <w:r>
              <w:rPr>
                <w:w w:val="105"/>
                <w:sz w:val="12"/>
              </w:rPr>
              <w:t>40.531.659,69</w:t>
            </w:r>
          </w:p>
        </w:tc>
        <w:tc>
          <w:tcPr>
            <w:tcW w:w="843" w:type="dxa"/>
          </w:tcPr>
          <w:p>
            <w:pPr>
              <w:pStyle w:val="TableParagraph"/>
              <w:spacing w:line="132" w:lineRule="exact"/>
              <w:ind w:right="54"/>
              <w:jc w:val="right"/>
              <w:rPr>
                <w:sz w:val="12"/>
              </w:rPr>
            </w:pPr>
            <w:r>
              <w:rPr>
                <w:w w:val="105"/>
                <w:sz w:val="12"/>
              </w:rPr>
              <w:t>1.197.269,29</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39.334.390,40</w:t>
            </w:r>
          </w:p>
        </w:tc>
        <w:tc>
          <w:tcPr>
            <w:tcW w:w="1034" w:type="dxa"/>
          </w:tcPr>
          <w:p>
            <w:pPr>
              <w:pStyle w:val="TableParagraph"/>
              <w:spacing w:line="132" w:lineRule="exact"/>
              <w:ind w:right="83"/>
              <w:jc w:val="right"/>
              <w:rPr>
                <w:sz w:val="12"/>
              </w:rPr>
            </w:pPr>
            <w:r>
              <w:rPr>
                <w:w w:val="105"/>
                <w:sz w:val="12"/>
              </w:rPr>
              <w:t>38.843.956,93</w:t>
            </w:r>
          </w:p>
        </w:tc>
        <w:tc>
          <w:tcPr>
            <w:tcW w:w="864" w:type="dxa"/>
            <w:tcBorders>
              <w:right w:val="single" w:sz="4" w:space="0" w:color="000000"/>
            </w:tcBorders>
          </w:tcPr>
          <w:p>
            <w:pPr>
              <w:pStyle w:val="TableParagraph"/>
              <w:spacing w:line="132" w:lineRule="exact"/>
              <w:ind w:right="40"/>
              <w:jc w:val="right"/>
              <w:rPr>
                <w:sz w:val="12"/>
              </w:rPr>
            </w:pPr>
            <w:r>
              <w:rPr>
                <w:w w:val="105"/>
                <w:sz w:val="12"/>
              </w:rPr>
              <w:t>490.433,47</w:t>
            </w:r>
          </w:p>
        </w:tc>
      </w:tr>
      <w:tr>
        <w:trPr>
          <w:trHeight w:val="150" w:hRule="atLeast"/>
        </w:trPr>
        <w:tc>
          <w:tcPr>
            <w:tcW w:w="3415" w:type="dxa"/>
            <w:tcBorders>
              <w:left w:val="single" w:sz="4" w:space="0" w:color="000000"/>
            </w:tcBorders>
          </w:tcPr>
          <w:p>
            <w:pPr>
              <w:pStyle w:val="TableParagraph"/>
              <w:spacing w:line="131" w:lineRule="exact"/>
              <w:ind w:left="52"/>
              <w:rPr>
                <w:sz w:val="12"/>
              </w:rPr>
            </w:pPr>
            <w:r>
              <w:rPr>
                <w:w w:val="105"/>
                <w:sz w:val="12"/>
              </w:rPr>
              <w:t>13000 - Impto.CAC Depósitos clientes en Entidad.cto.CAC</w:t>
            </w:r>
          </w:p>
        </w:tc>
        <w:tc>
          <w:tcPr>
            <w:tcW w:w="1263" w:type="dxa"/>
          </w:tcPr>
          <w:p>
            <w:pPr>
              <w:pStyle w:val="TableParagraph"/>
              <w:spacing w:line="131" w:lineRule="exact"/>
              <w:ind w:right="84"/>
              <w:jc w:val="right"/>
              <w:rPr>
                <w:sz w:val="12"/>
              </w:rPr>
            </w:pPr>
            <w:r>
              <w:rPr>
                <w:sz w:val="12"/>
              </w:rPr>
              <w:t>0,00</w:t>
            </w:r>
          </w:p>
        </w:tc>
        <w:tc>
          <w:tcPr>
            <w:tcW w:w="956" w:type="dxa"/>
          </w:tcPr>
          <w:p>
            <w:pPr>
              <w:pStyle w:val="TableParagraph"/>
              <w:spacing w:line="131" w:lineRule="exact"/>
              <w:ind w:right="48"/>
              <w:jc w:val="right"/>
              <w:rPr>
                <w:sz w:val="12"/>
              </w:rPr>
            </w:pPr>
            <w:r>
              <w:rPr>
                <w:sz w:val="12"/>
              </w:rPr>
              <w:t>0,00</w:t>
            </w:r>
          </w:p>
        </w:tc>
        <w:tc>
          <w:tcPr>
            <w:tcW w:w="1092" w:type="dxa"/>
          </w:tcPr>
          <w:p>
            <w:pPr>
              <w:pStyle w:val="TableParagraph"/>
              <w:spacing w:line="131" w:lineRule="exact"/>
              <w:ind w:right="81"/>
              <w:jc w:val="right"/>
              <w:rPr>
                <w:sz w:val="12"/>
              </w:rPr>
            </w:pPr>
            <w:r>
              <w:rPr>
                <w:sz w:val="12"/>
              </w:rPr>
              <w:t>0,00</w:t>
            </w:r>
          </w:p>
        </w:tc>
        <w:tc>
          <w:tcPr>
            <w:tcW w:w="1028" w:type="dxa"/>
          </w:tcPr>
          <w:p>
            <w:pPr>
              <w:pStyle w:val="TableParagraph"/>
              <w:spacing w:line="131" w:lineRule="exact"/>
              <w:ind w:right="48"/>
              <w:jc w:val="right"/>
              <w:rPr>
                <w:sz w:val="12"/>
              </w:rPr>
            </w:pPr>
            <w:r>
              <w:rPr>
                <w:sz w:val="12"/>
              </w:rPr>
              <w:t>0,00</w:t>
            </w:r>
          </w:p>
        </w:tc>
        <w:tc>
          <w:tcPr>
            <w:tcW w:w="843" w:type="dxa"/>
          </w:tcPr>
          <w:p>
            <w:pPr>
              <w:pStyle w:val="TableParagraph"/>
              <w:spacing w:line="131" w:lineRule="exact"/>
              <w:ind w:right="54"/>
              <w:jc w:val="right"/>
              <w:rPr>
                <w:sz w:val="12"/>
              </w:rPr>
            </w:pPr>
            <w:r>
              <w:rPr>
                <w:w w:val="105"/>
                <w:sz w:val="12"/>
              </w:rPr>
              <w:t>10.888.328,25</w:t>
            </w:r>
          </w:p>
        </w:tc>
        <w:tc>
          <w:tcPr>
            <w:tcW w:w="718" w:type="dxa"/>
          </w:tcPr>
          <w:p>
            <w:pPr>
              <w:pStyle w:val="TableParagraph"/>
              <w:spacing w:line="131" w:lineRule="exact"/>
              <w:ind w:right="80"/>
              <w:jc w:val="right"/>
              <w:rPr>
                <w:sz w:val="12"/>
              </w:rPr>
            </w:pPr>
            <w:r>
              <w:rPr>
                <w:sz w:val="12"/>
              </w:rPr>
              <w:t>0,00</w:t>
            </w:r>
          </w:p>
        </w:tc>
        <w:tc>
          <w:tcPr>
            <w:tcW w:w="1029" w:type="dxa"/>
          </w:tcPr>
          <w:p>
            <w:pPr>
              <w:pStyle w:val="TableParagraph"/>
              <w:spacing w:line="131" w:lineRule="exact"/>
              <w:ind w:right="49"/>
              <w:jc w:val="right"/>
              <w:rPr>
                <w:sz w:val="12"/>
              </w:rPr>
            </w:pPr>
            <w:r>
              <w:rPr>
                <w:w w:val="105"/>
                <w:sz w:val="12"/>
              </w:rPr>
              <w:t>-10.888.328,25</w:t>
            </w:r>
          </w:p>
        </w:tc>
        <w:tc>
          <w:tcPr>
            <w:tcW w:w="1034" w:type="dxa"/>
          </w:tcPr>
          <w:p>
            <w:pPr>
              <w:pStyle w:val="TableParagraph"/>
              <w:spacing w:line="131" w:lineRule="exact"/>
              <w:ind w:right="84"/>
              <w:jc w:val="right"/>
              <w:rPr>
                <w:sz w:val="12"/>
              </w:rPr>
            </w:pPr>
            <w:r>
              <w:rPr>
                <w:w w:val="105"/>
                <w:sz w:val="12"/>
              </w:rPr>
              <w:t>-10.888.328,25</w:t>
            </w:r>
          </w:p>
        </w:tc>
        <w:tc>
          <w:tcPr>
            <w:tcW w:w="864" w:type="dxa"/>
            <w:tcBorders>
              <w:right w:val="single" w:sz="4" w:space="0" w:color="000000"/>
            </w:tcBorders>
          </w:tcPr>
          <w:p>
            <w:pPr>
              <w:pStyle w:val="TableParagraph"/>
              <w:spacing w:line="131"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20000 - Sobre Transmisiones Intervivos</w:t>
            </w:r>
          </w:p>
        </w:tc>
        <w:tc>
          <w:tcPr>
            <w:tcW w:w="1263" w:type="dxa"/>
          </w:tcPr>
          <w:p>
            <w:pPr>
              <w:pStyle w:val="TableParagraph"/>
              <w:spacing w:line="132" w:lineRule="exact"/>
              <w:ind w:right="84"/>
              <w:jc w:val="right"/>
              <w:rPr>
                <w:sz w:val="12"/>
              </w:rPr>
            </w:pPr>
            <w:r>
              <w:rPr>
                <w:w w:val="105"/>
                <w:sz w:val="12"/>
              </w:rPr>
              <w:t>254.672.273,00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2"/>
              <w:jc w:val="right"/>
              <w:rPr>
                <w:sz w:val="12"/>
              </w:rPr>
            </w:pPr>
            <w:r>
              <w:rPr>
                <w:w w:val="105"/>
                <w:sz w:val="12"/>
              </w:rPr>
              <w:t>254.672.273,00</w:t>
            </w:r>
          </w:p>
        </w:tc>
        <w:tc>
          <w:tcPr>
            <w:tcW w:w="1028" w:type="dxa"/>
          </w:tcPr>
          <w:p>
            <w:pPr>
              <w:pStyle w:val="TableParagraph"/>
              <w:spacing w:line="132" w:lineRule="exact"/>
              <w:ind w:right="49"/>
              <w:jc w:val="right"/>
              <w:rPr>
                <w:sz w:val="12"/>
              </w:rPr>
            </w:pPr>
            <w:r>
              <w:rPr>
                <w:w w:val="105"/>
                <w:sz w:val="12"/>
              </w:rPr>
              <w:t>364.653.744,51</w:t>
            </w:r>
          </w:p>
        </w:tc>
        <w:tc>
          <w:tcPr>
            <w:tcW w:w="843" w:type="dxa"/>
          </w:tcPr>
          <w:p>
            <w:pPr>
              <w:pStyle w:val="TableParagraph"/>
              <w:spacing w:line="132" w:lineRule="exact"/>
              <w:ind w:right="54"/>
              <w:jc w:val="right"/>
              <w:rPr>
                <w:sz w:val="12"/>
              </w:rPr>
            </w:pPr>
            <w:r>
              <w:rPr>
                <w:w w:val="105"/>
                <w:sz w:val="12"/>
              </w:rPr>
              <w:t>9.976.927,86</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354.676.816,65</w:t>
            </w:r>
          </w:p>
        </w:tc>
        <w:tc>
          <w:tcPr>
            <w:tcW w:w="1034" w:type="dxa"/>
          </w:tcPr>
          <w:p>
            <w:pPr>
              <w:pStyle w:val="TableParagraph"/>
              <w:spacing w:line="132" w:lineRule="exact"/>
              <w:ind w:right="84"/>
              <w:jc w:val="right"/>
              <w:rPr>
                <w:sz w:val="12"/>
              </w:rPr>
            </w:pPr>
            <w:r>
              <w:rPr>
                <w:w w:val="105"/>
                <w:sz w:val="12"/>
              </w:rPr>
              <w:t>347.169.657,46</w:t>
            </w:r>
          </w:p>
        </w:tc>
        <w:tc>
          <w:tcPr>
            <w:tcW w:w="864" w:type="dxa"/>
            <w:tcBorders>
              <w:right w:val="single" w:sz="4" w:space="0" w:color="000000"/>
            </w:tcBorders>
          </w:tcPr>
          <w:p>
            <w:pPr>
              <w:pStyle w:val="TableParagraph"/>
              <w:spacing w:line="132" w:lineRule="exact"/>
              <w:ind w:right="40"/>
              <w:jc w:val="right"/>
              <w:rPr>
                <w:sz w:val="12"/>
              </w:rPr>
            </w:pPr>
            <w:r>
              <w:rPr>
                <w:w w:val="105"/>
                <w:sz w:val="12"/>
              </w:rPr>
              <w:t>7.507.159,19</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20001 - Sobre Actos Juridicos Documentados</w:t>
            </w:r>
          </w:p>
        </w:tc>
        <w:tc>
          <w:tcPr>
            <w:tcW w:w="1263" w:type="dxa"/>
          </w:tcPr>
          <w:p>
            <w:pPr>
              <w:pStyle w:val="TableParagraph"/>
              <w:spacing w:line="132" w:lineRule="exact"/>
              <w:ind w:right="84"/>
              <w:jc w:val="right"/>
              <w:rPr>
                <w:sz w:val="12"/>
              </w:rPr>
            </w:pPr>
            <w:r>
              <w:rPr>
                <w:w w:val="105"/>
                <w:sz w:val="12"/>
              </w:rPr>
              <w:t>66.471.700,00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66.471.700,00</w:t>
            </w:r>
          </w:p>
        </w:tc>
        <w:tc>
          <w:tcPr>
            <w:tcW w:w="1028" w:type="dxa"/>
          </w:tcPr>
          <w:p>
            <w:pPr>
              <w:pStyle w:val="TableParagraph"/>
              <w:spacing w:line="132" w:lineRule="exact"/>
              <w:ind w:right="48"/>
              <w:jc w:val="right"/>
              <w:rPr>
                <w:sz w:val="12"/>
              </w:rPr>
            </w:pPr>
            <w:r>
              <w:rPr>
                <w:w w:val="105"/>
                <w:sz w:val="12"/>
              </w:rPr>
              <w:t>75.341.291,59</w:t>
            </w:r>
          </w:p>
        </w:tc>
        <w:tc>
          <w:tcPr>
            <w:tcW w:w="843" w:type="dxa"/>
          </w:tcPr>
          <w:p>
            <w:pPr>
              <w:pStyle w:val="TableParagraph"/>
              <w:spacing w:line="132" w:lineRule="exact"/>
              <w:ind w:right="54"/>
              <w:jc w:val="right"/>
              <w:rPr>
                <w:sz w:val="12"/>
              </w:rPr>
            </w:pPr>
            <w:r>
              <w:rPr>
                <w:w w:val="105"/>
                <w:sz w:val="12"/>
              </w:rPr>
              <w:t>961.975,74</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74.379.315,85</w:t>
            </w:r>
          </w:p>
        </w:tc>
        <w:tc>
          <w:tcPr>
            <w:tcW w:w="1034" w:type="dxa"/>
          </w:tcPr>
          <w:p>
            <w:pPr>
              <w:pStyle w:val="TableParagraph"/>
              <w:spacing w:line="132" w:lineRule="exact"/>
              <w:ind w:right="83"/>
              <w:jc w:val="right"/>
              <w:rPr>
                <w:sz w:val="12"/>
              </w:rPr>
            </w:pPr>
            <w:r>
              <w:rPr>
                <w:w w:val="105"/>
                <w:sz w:val="12"/>
              </w:rPr>
              <w:t>73.695.976,12</w:t>
            </w:r>
          </w:p>
        </w:tc>
        <w:tc>
          <w:tcPr>
            <w:tcW w:w="864" w:type="dxa"/>
            <w:tcBorders>
              <w:right w:val="single" w:sz="4" w:space="0" w:color="000000"/>
            </w:tcBorders>
          </w:tcPr>
          <w:p>
            <w:pPr>
              <w:pStyle w:val="TableParagraph"/>
              <w:spacing w:line="132" w:lineRule="exact"/>
              <w:ind w:right="40"/>
              <w:jc w:val="right"/>
              <w:rPr>
                <w:sz w:val="12"/>
              </w:rPr>
            </w:pPr>
            <w:r>
              <w:rPr>
                <w:w w:val="105"/>
                <w:sz w:val="12"/>
              </w:rPr>
              <w:t>683.339,73</w:t>
            </w:r>
          </w:p>
        </w:tc>
      </w:tr>
      <w:tr>
        <w:trPr>
          <w:trHeight w:val="150" w:hRule="atLeast"/>
        </w:trPr>
        <w:tc>
          <w:tcPr>
            <w:tcW w:w="3415" w:type="dxa"/>
            <w:tcBorders>
              <w:left w:val="single" w:sz="4" w:space="0" w:color="000000"/>
            </w:tcBorders>
          </w:tcPr>
          <w:p>
            <w:pPr>
              <w:pStyle w:val="TableParagraph"/>
              <w:spacing w:line="131" w:lineRule="exact"/>
              <w:ind w:left="52"/>
              <w:rPr>
                <w:sz w:val="12"/>
              </w:rPr>
            </w:pPr>
            <w:r>
              <w:rPr>
                <w:w w:val="105"/>
                <w:sz w:val="12"/>
              </w:rPr>
              <w:t>22010 - Sobre Combustible Derivados del Petróleo</w:t>
            </w:r>
          </w:p>
        </w:tc>
        <w:tc>
          <w:tcPr>
            <w:tcW w:w="1263" w:type="dxa"/>
          </w:tcPr>
          <w:p>
            <w:pPr>
              <w:pStyle w:val="TableParagraph"/>
              <w:spacing w:line="131" w:lineRule="exact"/>
              <w:ind w:right="84"/>
              <w:jc w:val="right"/>
              <w:rPr>
                <w:sz w:val="12"/>
              </w:rPr>
            </w:pPr>
            <w:r>
              <w:rPr>
                <w:w w:val="105"/>
                <w:sz w:val="12"/>
              </w:rPr>
              <w:t>301.885.188,00</w:t>
            </w:r>
          </w:p>
        </w:tc>
        <w:tc>
          <w:tcPr>
            <w:tcW w:w="956" w:type="dxa"/>
          </w:tcPr>
          <w:p>
            <w:pPr>
              <w:pStyle w:val="TableParagraph"/>
              <w:spacing w:line="131" w:lineRule="exact"/>
              <w:ind w:right="48"/>
              <w:jc w:val="right"/>
              <w:rPr>
                <w:sz w:val="12"/>
              </w:rPr>
            </w:pPr>
            <w:r>
              <w:rPr>
                <w:sz w:val="12"/>
              </w:rPr>
              <w:t>0,00</w:t>
            </w:r>
          </w:p>
        </w:tc>
        <w:tc>
          <w:tcPr>
            <w:tcW w:w="1092" w:type="dxa"/>
          </w:tcPr>
          <w:p>
            <w:pPr>
              <w:pStyle w:val="TableParagraph"/>
              <w:spacing w:line="131" w:lineRule="exact"/>
              <w:ind w:right="82"/>
              <w:jc w:val="right"/>
              <w:rPr>
                <w:sz w:val="12"/>
              </w:rPr>
            </w:pPr>
            <w:r>
              <w:rPr>
                <w:w w:val="105"/>
                <w:sz w:val="12"/>
              </w:rPr>
              <w:t>301.885.188,00</w:t>
            </w:r>
          </w:p>
        </w:tc>
        <w:tc>
          <w:tcPr>
            <w:tcW w:w="1028" w:type="dxa"/>
          </w:tcPr>
          <w:p>
            <w:pPr>
              <w:pStyle w:val="TableParagraph"/>
              <w:spacing w:line="131" w:lineRule="exact"/>
              <w:ind w:right="49"/>
              <w:jc w:val="right"/>
              <w:rPr>
                <w:sz w:val="12"/>
              </w:rPr>
            </w:pPr>
            <w:r>
              <w:rPr>
                <w:w w:val="105"/>
                <w:sz w:val="12"/>
              </w:rPr>
              <w:t>350.978.474,63</w:t>
            </w:r>
          </w:p>
        </w:tc>
        <w:tc>
          <w:tcPr>
            <w:tcW w:w="843" w:type="dxa"/>
          </w:tcPr>
          <w:p>
            <w:pPr>
              <w:pStyle w:val="TableParagraph"/>
              <w:spacing w:line="131" w:lineRule="exact"/>
              <w:ind w:right="54"/>
              <w:jc w:val="right"/>
              <w:rPr>
                <w:sz w:val="12"/>
              </w:rPr>
            </w:pPr>
            <w:r>
              <w:rPr>
                <w:w w:val="105"/>
                <w:sz w:val="12"/>
              </w:rPr>
              <w:t>49.904.643,51</w:t>
            </w:r>
          </w:p>
        </w:tc>
        <w:tc>
          <w:tcPr>
            <w:tcW w:w="718" w:type="dxa"/>
          </w:tcPr>
          <w:p>
            <w:pPr>
              <w:pStyle w:val="TableParagraph"/>
              <w:spacing w:line="131" w:lineRule="exact"/>
              <w:ind w:right="80"/>
              <w:jc w:val="right"/>
              <w:rPr>
                <w:sz w:val="12"/>
              </w:rPr>
            </w:pPr>
            <w:r>
              <w:rPr>
                <w:sz w:val="12"/>
              </w:rPr>
              <w:t>0,00</w:t>
            </w:r>
          </w:p>
        </w:tc>
        <w:tc>
          <w:tcPr>
            <w:tcW w:w="1029" w:type="dxa"/>
          </w:tcPr>
          <w:p>
            <w:pPr>
              <w:pStyle w:val="TableParagraph"/>
              <w:spacing w:line="131" w:lineRule="exact"/>
              <w:ind w:right="49"/>
              <w:jc w:val="right"/>
              <w:rPr>
                <w:sz w:val="12"/>
              </w:rPr>
            </w:pPr>
            <w:r>
              <w:rPr>
                <w:w w:val="105"/>
                <w:sz w:val="12"/>
              </w:rPr>
              <w:t>301.073.831,12</w:t>
            </w:r>
          </w:p>
        </w:tc>
        <w:tc>
          <w:tcPr>
            <w:tcW w:w="1034" w:type="dxa"/>
          </w:tcPr>
          <w:p>
            <w:pPr>
              <w:pStyle w:val="TableParagraph"/>
              <w:spacing w:line="131" w:lineRule="exact"/>
              <w:ind w:right="84"/>
              <w:jc w:val="right"/>
              <w:rPr>
                <w:sz w:val="12"/>
              </w:rPr>
            </w:pPr>
            <w:r>
              <w:rPr>
                <w:w w:val="105"/>
                <w:sz w:val="12"/>
              </w:rPr>
              <w:t>299.806.594,36</w:t>
            </w:r>
          </w:p>
        </w:tc>
        <w:tc>
          <w:tcPr>
            <w:tcW w:w="864" w:type="dxa"/>
            <w:tcBorders>
              <w:right w:val="single" w:sz="4" w:space="0" w:color="000000"/>
            </w:tcBorders>
          </w:tcPr>
          <w:p>
            <w:pPr>
              <w:pStyle w:val="TableParagraph"/>
              <w:spacing w:line="131" w:lineRule="exact"/>
              <w:ind w:right="40"/>
              <w:jc w:val="right"/>
              <w:rPr>
                <w:sz w:val="12"/>
              </w:rPr>
            </w:pPr>
            <w:r>
              <w:rPr>
                <w:w w:val="105"/>
                <w:sz w:val="12"/>
              </w:rPr>
              <w:t>1.267.236,76</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22021 - Sobre la electricidad</w:t>
            </w:r>
          </w:p>
        </w:tc>
        <w:tc>
          <w:tcPr>
            <w:tcW w:w="1263" w:type="dxa"/>
          </w:tcPr>
          <w:p>
            <w:pPr>
              <w:pStyle w:val="TableParagraph"/>
              <w:spacing w:line="132" w:lineRule="exact"/>
              <w:ind w:right="84"/>
              <w:jc w:val="right"/>
              <w:rPr>
                <w:sz w:val="12"/>
              </w:rPr>
            </w:pPr>
            <w:r>
              <w:rPr>
                <w:w w:val="105"/>
                <w:sz w:val="12"/>
              </w:rPr>
              <w:t>47.050.247,00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47.050.247,00</w:t>
            </w:r>
          </w:p>
        </w:tc>
        <w:tc>
          <w:tcPr>
            <w:tcW w:w="1028" w:type="dxa"/>
          </w:tcPr>
          <w:p>
            <w:pPr>
              <w:pStyle w:val="TableParagraph"/>
              <w:spacing w:line="132" w:lineRule="exact"/>
              <w:ind w:right="48"/>
              <w:jc w:val="right"/>
              <w:rPr>
                <w:sz w:val="12"/>
              </w:rPr>
            </w:pPr>
            <w:r>
              <w:rPr>
                <w:w w:val="105"/>
                <w:sz w:val="12"/>
              </w:rPr>
              <w:t>46.576.508,11</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46.576.508,11</w:t>
            </w:r>
          </w:p>
        </w:tc>
        <w:tc>
          <w:tcPr>
            <w:tcW w:w="1034" w:type="dxa"/>
          </w:tcPr>
          <w:p>
            <w:pPr>
              <w:pStyle w:val="TableParagraph"/>
              <w:spacing w:line="132" w:lineRule="exact"/>
              <w:ind w:right="83"/>
              <w:jc w:val="right"/>
              <w:rPr>
                <w:sz w:val="12"/>
              </w:rPr>
            </w:pPr>
            <w:r>
              <w:rPr>
                <w:w w:val="105"/>
                <w:sz w:val="12"/>
              </w:rPr>
              <w:t>46.576.508,11</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22022 - sobre alcohol y bebidas derivadas</w:t>
            </w:r>
          </w:p>
        </w:tc>
        <w:tc>
          <w:tcPr>
            <w:tcW w:w="1263" w:type="dxa"/>
          </w:tcPr>
          <w:p>
            <w:pPr>
              <w:pStyle w:val="TableParagraph"/>
              <w:spacing w:line="132" w:lineRule="exact"/>
              <w:ind w:right="84"/>
              <w:jc w:val="right"/>
              <w:rPr>
                <w:sz w:val="12"/>
              </w:rPr>
            </w:pPr>
            <w:r>
              <w:rPr>
                <w:w w:val="105"/>
                <w:sz w:val="12"/>
              </w:rPr>
              <w:t>12.887.771,00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12.887.771,00</w:t>
            </w:r>
          </w:p>
        </w:tc>
        <w:tc>
          <w:tcPr>
            <w:tcW w:w="1028" w:type="dxa"/>
          </w:tcPr>
          <w:p>
            <w:pPr>
              <w:pStyle w:val="TableParagraph"/>
              <w:spacing w:line="132" w:lineRule="exact"/>
              <w:ind w:right="48"/>
              <w:jc w:val="right"/>
              <w:rPr>
                <w:sz w:val="12"/>
              </w:rPr>
            </w:pPr>
            <w:r>
              <w:rPr>
                <w:w w:val="105"/>
                <w:sz w:val="12"/>
              </w:rPr>
              <w:t>10.396.715,88</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10.396.715,88</w:t>
            </w:r>
          </w:p>
        </w:tc>
        <w:tc>
          <w:tcPr>
            <w:tcW w:w="1034" w:type="dxa"/>
          </w:tcPr>
          <w:p>
            <w:pPr>
              <w:pStyle w:val="TableParagraph"/>
              <w:spacing w:line="132" w:lineRule="exact"/>
              <w:ind w:right="83"/>
              <w:jc w:val="right"/>
              <w:rPr>
                <w:sz w:val="12"/>
              </w:rPr>
            </w:pPr>
            <w:r>
              <w:rPr>
                <w:w w:val="105"/>
                <w:sz w:val="12"/>
              </w:rPr>
              <w:t>10.396.715,88</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22023 - sobre productos intermedios</w:t>
            </w:r>
          </w:p>
        </w:tc>
        <w:tc>
          <w:tcPr>
            <w:tcW w:w="1263" w:type="dxa"/>
          </w:tcPr>
          <w:p>
            <w:pPr>
              <w:pStyle w:val="TableParagraph"/>
              <w:spacing w:line="132" w:lineRule="exact"/>
              <w:ind w:right="84"/>
              <w:jc w:val="right"/>
              <w:rPr>
                <w:sz w:val="12"/>
              </w:rPr>
            </w:pPr>
            <w:r>
              <w:rPr>
                <w:w w:val="105"/>
                <w:sz w:val="12"/>
              </w:rPr>
              <w:t>444.970,00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444.970,00</w:t>
            </w:r>
          </w:p>
        </w:tc>
        <w:tc>
          <w:tcPr>
            <w:tcW w:w="1028" w:type="dxa"/>
          </w:tcPr>
          <w:p>
            <w:pPr>
              <w:pStyle w:val="TableParagraph"/>
              <w:spacing w:line="132" w:lineRule="exact"/>
              <w:ind w:right="48"/>
              <w:jc w:val="right"/>
              <w:rPr>
                <w:sz w:val="12"/>
              </w:rPr>
            </w:pPr>
            <w:r>
              <w:rPr>
                <w:w w:val="105"/>
                <w:sz w:val="12"/>
              </w:rPr>
              <w:t>398.059,31</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398.059,31</w:t>
            </w:r>
          </w:p>
        </w:tc>
        <w:tc>
          <w:tcPr>
            <w:tcW w:w="1034" w:type="dxa"/>
          </w:tcPr>
          <w:p>
            <w:pPr>
              <w:pStyle w:val="TableParagraph"/>
              <w:spacing w:line="132" w:lineRule="exact"/>
              <w:ind w:right="84"/>
              <w:jc w:val="right"/>
              <w:rPr>
                <w:sz w:val="12"/>
              </w:rPr>
            </w:pPr>
            <w:r>
              <w:rPr>
                <w:w w:val="105"/>
                <w:sz w:val="12"/>
              </w:rPr>
              <w:t>398.059,31</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22024 - sobre la cerveza</w:t>
            </w:r>
          </w:p>
        </w:tc>
        <w:tc>
          <w:tcPr>
            <w:tcW w:w="1263" w:type="dxa"/>
          </w:tcPr>
          <w:p>
            <w:pPr>
              <w:pStyle w:val="TableParagraph"/>
              <w:spacing w:line="132" w:lineRule="exact"/>
              <w:ind w:right="84"/>
              <w:jc w:val="right"/>
              <w:rPr>
                <w:sz w:val="12"/>
              </w:rPr>
            </w:pPr>
            <w:r>
              <w:rPr>
                <w:w w:val="105"/>
                <w:sz w:val="12"/>
              </w:rPr>
              <w:t>7.017.053,00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7.017.053,00</w:t>
            </w:r>
          </w:p>
        </w:tc>
        <w:tc>
          <w:tcPr>
            <w:tcW w:w="1028" w:type="dxa"/>
          </w:tcPr>
          <w:p>
            <w:pPr>
              <w:pStyle w:val="TableParagraph"/>
              <w:spacing w:line="132" w:lineRule="exact"/>
              <w:ind w:right="48"/>
              <w:jc w:val="right"/>
              <w:rPr>
                <w:sz w:val="12"/>
              </w:rPr>
            </w:pPr>
            <w:r>
              <w:rPr>
                <w:w w:val="105"/>
                <w:sz w:val="12"/>
              </w:rPr>
              <w:t>7.723.273,23</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7.723.273,23</w:t>
            </w:r>
          </w:p>
        </w:tc>
        <w:tc>
          <w:tcPr>
            <w:tcW w:w="1034" w:type="dxa"/>
          </w:tcPr>
          <w:p>
            <w:pPr>
              <w:pStyle w:val="TableParagraph"/>
              <w:spacing w:line="132" w:lineRule="exact"/>
              <w:ind w:right="83"/>
              <w:jc w:val="right"/>
              <w:rPr>
                <w:sz w:val="12"/>
              </w:rPr>
            </w:pPr>
            <w:r>
              <w:rPr>
                <w:w w:val="105"/>
                <w:sz w:val="12"/>
              </w:rPr>
              <w:t>7.723.273,23</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1" w:lineRule="exact"/>
              <w:ind w:left="52"/>
              <w:rPr>
                <w:sz w:val="12"/>
              </w:rPr>
            </w:pPr>
            <w:r>
              <w:rPr>
                <w:w w:val="105"/>
                <w:sz w:val="12"/>
              </w:rPr>
              <w:t>22030 - Impuesto sobre las labores del tabaco</w:t>
            </w:r>
          </w:p>
        </w:tc>
        <w:tc>
          <w:tcPr>
            <w:tcW w:w="1263" w:type="dxa"/>
          </w:tcPr>
          <w:p>
            <w:pPr>
              <w:pStyle w:val="TableParagraph"/>
              <w:spacing w:line="131" w:lineRule="exact"/>
              <w:ind w:right="84"/>
              <w:jc w:val="right"/>
              <w:rPr>
                <w:sz w:val="12"/>
              </w:rPr>
            </w:pPr>
            <w:r>
              <w:rPr>
                <w:w w:val="105"/>
                <w:sz w:val="12"/>
              </w:rPr>
              <w:t>94.748.408,00</w:t>
            </w:r>
          </w:p>
        </w:tc>
        <w:tc>
          <w:tcPr>
            <w:tcW w:w="956" w:type="dxa"/>
          </w:tcPr>
          <w:p>
            <w:pPr>
              <w:pStyle w:val="TableParagraph"/>
              <w:spacing w:line="131" w:lineRule="exact"/>
              <w:ind w:right="48"/>
              <w:jc w:val="right"/>
              <w:rPr>
                <w:sz w:val="12"/>
              </w:rPr>
            </w:pPr>
            <w:r>
              <w:rPr>
                <w:sz w:val="12"/>
              </w:rPr>
              <w:t>0,00</w:t>
            </w:r>
          </w:p>
        </w:tc>
        <w:tc>
          <w:tcPr>
            <w:tcW w:w="1092" w:type="dxa"/>
          </w:tcPr>
          <w:p>
            <w:pPr>
              <w:pStyle w:val="TableParagraph"/>
              <w:spacing w:line="131" w:lineRule="exact"/>
              <w:ind w:right="81"/>
              <w:jc w:val="right"/>
              <w:rPr>
                <w:sz w:val="12"/>
              </w:rPr>
            </w:pPr>
            <w:r>
              <w:rPr>
                <w:w w:val="105"/>
                <w:sz w:val="12"/>
              </w:rPr>
              <w:t>94.748.408,00</w:t>
            </w:r>
          </w:p>
        </w:tc>
        <w:tc>
          <w:tcPr>
            <w:tcW w:w="1028" w:type="dxa"/>
          </w:tcPr>
          <w:p>
            <w:pPr>
              <w:pStyle w:val="TableParagraph"/>
              <w:spacing w:line="131" w:lineRule="exact"/>
              <w:ind w:right="49"/>
              <w:jc w:val="right"/>
              <w:rPr>
                <w:sz w:val="12"/>
              </w:rPr>
            </w:pPr>
            <w:r>
              <w:rPr>
                <w:w w:val="105"/>
                <w:sz w:val="12"/>
              </w:rPr>
              <w:t>119.164.975,23</w:t>
            </w:r>
          </w:p>
        </w:tc>
        <w:tc>
          <w:tcPr>
            <w:tcW w:w="843" w:type="dxa"/>
          </w:tcPr>
          <w:p>
            <w:pPr>
              <w:pStyle w:val="TableParagraph"/>
              <w:spacing w:line="131" w:lineRule="exact"/>
              <w:ind w:right="54"/>
              <w:jc w:val="right"/>
              <w:rPr>
                <w:sz w:val="12"/>
              </w:rPr>
            </w:pPr>
            <w:r>
              <w:rPr>
                <w:w w:val="105"/>
                <w:sz w:val="12"/>
              </w:rPr>
              <w:t>1.887.620,83</w:t>
            </w:r>
          </w:p>
        </w:tc>
        <w:tc>
          <w:tcPr>
            <w:tcW w:w="718" w:type="dxa"/>
          </w:tcPr>
          <w:p>
            <w:pPr>
              <w:pStyle w:val="TableParagraph"/>
              <w:spacing w:line="131" w:lineRule="exact"/>
              <w:ind w:right="80"/>
              <w:jc w:val="right"/>
              <w:rPr>
                <w:sz w:val="12"/>
              </w:rPr>
            </w:pPr>
            <w:r>
              <w:rPr>
                <w:sz w:val="12"/>
              </w:rPr>
              <w:t>0,00</w:t>
            </w:r>
          </w:p>
        </w:tc>
        <w:tc>
          <w:tcPr>
            <w:tcW w:w="1029" w:type="dxa"/>
          </w:tcPr>
          <w:p>
            <w:pPr>
              <w:pStyle w:val="TableParagraph"/>
              <w:spacing w:line="131" w:lineRule="exact"/>
              <w:ind w:right="49"/>
              <w:jc w:val="right"/>
              <w:rPr>
                <w:sz w:val="12"/>
              </w:rPr>
            </w:pPr>
            <w:r>
              <w:rPr>
                <w:w w:val="105"/>
                <w:sz w:val="12"/>
              </w:rPr>
              <w:t>117.277.354,40</w:t>
            </w:r>
          </w:p>
        </w:tc>
        <w:tc>
          <w:tcPr>
            <w:tcW w:w="1034" w:type="dxa"/>
          </w:tcPr>
          <w:p>
            <w:pPr>
              <w:pStyle w:val="TableParagraph"/>
              <w:spacing w:line="131" w:lineRule="exact"/>
              <w:ind w:right="84"/>
              <w:jc w:val="right"/>
              <w:rPr>
                <w:sz w:val="12"/>
              </w:rPr>
            </w:pPr>
            <w:r>
              <w:rPr>
                <w:w w:val="105"/>
                <w:sz w:val="12"/>
              </w:rPr>
              <w:t>117.275.865,42</w:t>
            </w:r>
          </w:p>
        </w:tc>
        <w:tc>
          <w:tcPr>
            <w:tcW w:w="864" w:type="dxa"/>
            <w:tcBorders>
              <w:right w:val="single" w:sz="4" w:space="0" w:color="000000"/>
            </w:tcBorders>
          </w:tcPr>
          <w:p>
            <w:pPr>
              <w:pStyle w:val="TableParagraph"/>
              <w:spacing w:line="131" w:lineRule="exact"/>
              <w:ind w:right="40"/>
              <w:jc w:val="right"/>
              <w:rPr>
                <w:sz w:val="12"/>
              </w:rPr>
            </w:pPr>
            <w:r>
              <w:rPr>
                <w:w w:val="105"/>
                <w:sz w:val="12"/>
              </w:rPr>
              <w:t>1.488,98</w:t>
            </w:r>
          </w:p>
        </w:tc>
      </w:tr>
      <w:tr>
        <w:trPr>
          <w:trHeight w:val="152" w:hRule="atLeast"/>
        </w:trPr>
        <w:tc>
          <w:tcPr>
            <w:tcW w:w="3415" w:type="dxa"/>
            <w:tcBorders>
              <w:left w:val="single" w:sz="4" w:space="0" w:color="000000"/>
            </w:tcBorders>
          </w:tcPr>
          <w:p>
            <w:pPr>
              <w:pStyle w:val="TableParagraph"/>
              <w:spacing w:line="132" w:lineRule="exact"/>
              <w:ind w:left="52"/>
              <w:rPr>
                <w:sz w:val="12"/>
              </w:rPr>
            </w:pPr>
            <w:r>
              <w:rPr>
                <w:w w:val="105"/>
                <w:sz w:val="12"/>
              </w:rPr>
              <w:t>25004 - Máquinas recreativas</w:t>
            </w:r>
          </w:p>
        </w:tc>
        <w:tc>
          <w:tcPr>
            <w:tcW w:w="1263" w:type="dxa"/>
          </w:tcPr>
          <w:p>
            <w:pPr>
              <w:pStyle w:val="TableParagraph"/>
              <w:spacing w:line="132" w:lineRule="exact"/>
              <w:ind w:right="84"/>
              <w:jc w:val="right"/>
              <w:rPr>
                <w:sz w:val="12"/>
              </w:rPr>
            </w:pPr>
            <w:r>
              <w:rPr>
                <w:w w:val="105"/>
                <w:sz w:val="12"/>
              </w:rPr>
              <w:t>23.717.564,00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23.717.564,00</w:t>
            </w:r>
          </w:p>
        </w:tc>
        <w:tc>
          <w:tcPr>
            <w:tcW w:w="1028" w:type="dxa"/>
          </w:tcPr>
          <w:p>
            <w:pPr>
              <w:pStyle w:val="TableParagraph"/>
              <w:spacing w:line="132" w:lineRule="exact"/>
              <w:ind w:right="48"/>
              <w:jc w:val="right"/>
              <w:rPr>
                <w:sz w:val="12"/>
              </w:rPr>
            </w:pPr>
            <w:r>
              <w:rPr>
                <w:w w:val="105"/>
                <w:sz w:val="12"/>
              </w:rPr>
              <w:t>31.804.578,28</w:t>
            </w:r>
          </w:p>
        </w:tc>
        <w:tc>
          <w:tcPr>
            <w:tcW w:w="843" w:type="dxa"/>
          </w:tcPr>
          <w:p>
            <w:pPr>
              <w:pStyle w:val="TableParagraph"/>
              <w:spacing w:line="132" w:lineRule="exact"/>
              <w:ind w:right="54"/>
              <w:jc w:val="right"/>
              <w:rPr>
                <w:sz w:val="12"/>
              </w:rPr>
            </w:pPr>
            <w:r>
              <w:rPr>
                <w:w w:val="105"/>
                <w:sz w:val="12"/>
              </w:rPr>
              <w:t>176.079,80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31.628.498,48</w:t>
            </w:r>
          </w:p>
        </w:tc>
        <w:tc>
          <w:tcPr>
            <w:tcW w:w="1034" w:type="dxa"/>
          </w:tcPr>
          <w:p>
            <w:pPr>
              <w:pStyle w:val="TableParagraph"/>
              <w:spacing w:line="132" w:lineRule="exact"/>
              <w:ind w:right="83"/>
              <w:jc w:val="right"/>
              <w:rPr>
                <w:sz w:val="12"/>
              </w:rPr>
            </w:pPr>
            <w:r>
              <w:rPr>
                <w:w w:val="105"/>
                <w:sz w:val="12"/>
              </w:rPr>
              <w:t>31.264.292,77</w:t>
            </w:r>
          </w:p>
        </w:tc>
        <w:tc>
          <w:tcPr>
            <w:tcW w:w="864" w:type="dxa"/>
            <w:tcBorders>
              <w:right w:val="single" w:sz="4" w:space="0" w:color="000000"/>
            </w:tcBorders>
          </w:tcPr>
          <w:p>
            <w:pPr>
              <w:pStyle w:val="TableParagraph"/>
              <w:spacing w:line="132" w:lineRule="exact"/>
              <w:ind w:right="40"/>
              <w:jc w:val="right"/>
              <w:rPr>
                <w:sz w:val="12"/>
              </w:rPr>
            </w:pPr>
            <w:r>
              <w:rPr>
                <w:w w:val="105"/>
                <w:sz w:val="12"/>
              </w:rPr>
              <w:t>364.205,71</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25003 - Casinos</w:t>
            </w:r>
          </w:p>
        </w:tc>
        <w:tc>
          <w:tcPr>
            <w:tcW w:w="1263" w:type="dxa"/>
          </w:tcPr>
          <w:p>
            <w:pPr>
              <w:pStyle w:val="TableParagraph"/>
              <w:spacing w:line="132" w:lineRule="exact"/>
              <w:ind w:right="84"/>
              <w:jc w:val="right"/>
              <w:rPr>
                <w:sz w:val="12"/>
              </w:rPr>
            </w:pPr>
            <w:r>
              <w:rPr>
                <w:w w:val="105"/>
                <w:sz w:val="12"/>
              </w:rPr>
              <w:t>207.994,00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207.994,00</w:t>
            </w:r>
          </w:p>
        </w:tc>
        <w:tc>
          <w:tcPr>
            <w:tcW w:w="1028" w:type="dxa"/>
          </w:tcPr>
          <w:p>
            <w:pPr>
              <w:pStyle w:val="TableParagraph"/>
              <w:spacing w:line="132" w:lineRule="exact"/>
              <w:ind w:right="48"/>
              <w:jc w:val="right"/>
              <w:rPr>
                <w:sz w:val="12"/>
              </w:rPr>
            </w:pPr>
            <w:r>
              <w:rPr>
                <w:w w:val="105"/>
                <w:sz w:val="12"/>
              </w:rPr>
              <w:t>1.073.876,64</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1.073.876,64</w:t>
            </w:r>
          </w:p>
        </w:tc>
        <w:tc>
          <w:tcPr>
            <w:tcW w:w="1034" w:type="dxa"/>
          </w:tcPr>
          <w:p>
            <w:pPr>
              <w:pStyle w:val="TableParagraph"/>
              <w:spacing w:line="132" w:lineRule="exact"/>
              <w:ind w:right="83"/>
              <w:jc w:val="right"/>
              <w:rPr>
                <w:sz w:val="12"/>
              </w:rPr>
            </w:pPr>
            <w:r>
              <w:rPr>
                <w:w w:val="105"/>
                <w:sz w:val="12"/>
              </w:rPr>
              <w:t>1.073.876,64</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0" w:hRule="atLeast"/>
        </w:trPr>
        <w:tc>
          <w:tcPr>
            <w:tcW w:w="3415" w:type="dxa"/>
            <w:tcBorders>
              <w:left w:val="single" w:sz="4" w:space="0" w:color="000000"/>
            </w:tcBorders>
          </w:tcPr>
          <w:p>
            <w:pPr>
              <w:pStyle w:val="TableParagraph"/>
              <w:spacing w:line="131" w:lineRule="exact"/>
              <w:ind w:left="52"/>
              <w:rPr>
                <w:sz w:val="12"/>
              </w:rPr>
            </w:pPr>
            <w:r>
              <w:rPr>
                <w:w w:val="105"/>
                <w:sz w:val="12"/>
              </w:rPr>
              <w:t>25002 - Bingos</w:t>
            </w:r>
          </w:p>
        </w:tc>
        <w:tc>
          <w:tcPr>
            <w:tcW w:w="1263" w:type="dxa"/>
          </w:tcPr>
          <w:p>
            <w:pPr>
              <w:pStyle w:val="TableParagraph"/>
              <w:spacing w:line="131" w:lineRule="exact"/>
              <w:ind w:right="84"/>
              <w:jc w:val="right"/>
              <w:rPr>
                <w:sz w:val="12"/>
              </w:rPr>
            </w:pPr>
            <w:r>
              <w:rPr>
                <w:w w:val="105"/>
                <w:sz w:val="12"/>
              </w:rPr>
              <w:t>9.023.018,00</w:t>
            </w:r>
          </w:p>
        </w:tc>
        <w:tc>
          <w:tcPr>
            <w:tcW w:w="956" w:type="dxa"/>
          </w:tcPr>
          <w:p>
            <w:pPr>
              <w:pStyle w:val="TableParagraph"/>
              <w:spacing w:line="131" w:lineRule="exact"/>
              <w:ind w:right="48"/>
              <w:jc w:val="right"/>
              <w:rPr>
                <w:sz w:val="12"/>
              </w:rPr>
            </w:pPr>
            <w:r>
              <w:rPr>
                <w:sz w:val="12"/>
              </w:rPr>
              <w:t>0,00</w:t>
            </w:r>
          </w:p>
        </w:tc>
        <w:tc>
          <w:tcPr>
            <w:tcW w:w="1092" w:type="dxa"/>
          </w:tcPr>
          <w:p>
            <w:pPr>
              <w:pStyle w:val="TableParagraph"/>
              <w:spacing w:line="131" w:lineRule="exact"/>
              <w:ind w:right="81"/>
              <w:jc w:val="right"/>
              <w:rPr>
                <w:sz w:val="12"/>
              </w:rPr>
            </w:pPr>
            <w:r>
              <w:rPr>
                <w:w w:val="105"/>
                <w:sz w:val="12"/>
              </w:rPr>
              <w:t>9.023.018,00</w:t>
            </w:r>
          </w:p>
        </w:tc>
        <w:tc>
          <w:tcPr>
            <w:tcW w:w="1028" w:type="dxa"/>
          </w:tcPr>
          <w:p>
            <w:pPr>
              <w:pStyle w:val="TableParagraph"/>
              <w:spacing w:line="131" w:lineRule="exact"/>
              <w:ind w:right="48"/>
              <w:jc w:val="right"/>
              <w:rPr>
                <w:sz w:val="12"/>
              </w:rPr>
            </w:pPr>
            <w:r>
              <w:rPr>
                <w:w w:val="105"/>
                <w:sz w:val="12"/>
              </w:rPr>
              <w:t>19.318.292,58</w:t>
            </w:r>
          </w:p>
        </w:tc>
        <w:tc>
          <w:tcPr>
            <w:tcW w:w="843" w:type="dxa"/>
          </w:tcPr>
          <w:p>
            <w:pPr>
              <w:pStyle w:val="TableParagraph"/>
              <w:spacing w:line="131" w:lineRule="exact"/>
              <w:ind w:right="54"/>
              <w:jc w:val="right"/>
              <w:rPr>
                <w:sz w:val="12"/>
              </w:rPr>
            </w:pPr>
            <w:r>
              <w:rPr>
                <w:w w:val="105"/>
                <w:sz w:val="12"/>
              </w:rPr>
              <w:t>1.006.175,40</w:t>
            </w:r>
          </w:p>
        </w:tc>
        <w:tc>
          <w:tcPr>
            <w:tcW w:w="718" w:type="dxa"/>
          </w:tcPr>
          <w:p>
            <w:pPr>
              <w:pStyle w:val="TableParagraph"/>
              <w:spacing w:line="131" w:lineRule="exact"/>
              <w:ind w:right="80"/>
              <w:jc w:val="right"/>
              <w:rPr>
                <w:sz w:val="12"/>
              </w:rPr>
            </w:pPr>
            <w:r>
              <w:rPr>
                <w:sz w:val="12"/>
              </w:rPr>
              <w:t>0,00</w:t>
            </w:r>
          </w:p>
        </w:tc>
        <w:tc>
          <w:tcPr>
            <w:tcW w:w="1029" w:type="dxa"/>
          </w:tcPr>
          <w:p>
            <w:pPr>
              <w:pStyle w:val="TableParagraph"/>
              <w:spacing w:line="131" w:lineRule="exact"/>
              <w:ind w:right="49"/>
              <w:jc w:val="right"/>
              <w:rPr>
                <w:sz w:val="12"/>
              </w:rPr>
            </w:pPr>
            <w:r>
              <w:rPr>
                <w:w w:val="105"/>
                <w:sz w:val="12"/>
              </w:rPr>
              <w:t>18.312.117,18</w:t>
            </w:r>
          </w:p>
        </w:tc>
        <w:tc>
          <w:tcPr>
            <w:tcW w:w="1034" w:type="dxa"/>
          </w:tcPr>
          <w:p>
            <w:pPr>
              <w:pStyle w:val="TableParagraph"/>
              <w:spacing w:line="131" w:lineRule="exact"/>
              <w:ind w:right="83"/>
              <w:jc w:val="right"/>
              <w:rPr>
                <w:sz w:val="12"/>
              </w:rPr>
            </w:pPr>
            <w:r>
              <w:rPr>
                <w:w w:val="105"/>
                <w:sz w:val="12"/>
              </w:rPr>
              <w:t>18.310.468,65</w:t>
            </w:r>
          </w:p>
        </w:tc>
        <w:tc>
          <w:tcPr>
            <w:tcW w:w="864" w:type="dxa"/>
            <w:tcBorders>
              <w:right w:val="single" w:sz="4" w:space="0" w:color="000000"/>
            </w:tcBorders>
          </w:tcPr>
          <w:p>
            <w:pPr>
              <w:pStyle w:val="TableParagraph"/>
              <w:spacing w:line="131" w:lineRule="exact"/>
              <w:ind w:right="40"/>
              <w:jc w:val="right"/>
              <w:rPr>
                <w:sz w:val="12"/>
              </w:rPr>
            </w:pPr>
            <w:r>
              <w:rPr>
                <w:w w:val="105"/>
                <w:sz w:val="12"/>
              </w:rPr>
              <w:t>1.648,53</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25001 - Apuestas y combinaciones aleatorias</w:t>
            </w:r>
          </w:p>
        </w:tc>
        <w:tc>
          <w:tcPr>
            <w:tcW w:w="1263" w:type="dxa"/>
          </w:tcPr>
          <w:p>
            <w:pPr>
              <w:pStyle w:val="TableParagraph"/>
              <w:spacing w:line="132" w:lineRule="exact"/>
              <w:ind w:right="84"/>
              <w:jc w:val="right"/>
              <w:rPr>
                <w:sz w:val="12"/>
              </w:rPr>
            </w:pPr>
            <w:r>
              <w:rPr>
                <w:w w:val="105"/>
                <w:sz w:val="12"/>
              </w:rPr>
              <w:t>2.616.390,00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2.616.390,00</w:t>
            </w:r>
          </w:p>
        </w:tc>
        <w:tc>
          <w:tcPr>
            <w:tcW w:w="1028" w:type="dxa"/>
          </w:tcPr>
          <w:p>
            <w:pPr>
              <w:pStyle w:val="TableParagraph"/>
              <w:spacing w:line="132" w:lineRule="exact"/>
              <w:ind w:right="48"/>
              <w:jc w:val="right"/>
              <w:rPr>
                <w:sz w:val="12"/>
              </w:rPr>
            </w:pPr>
            <w:r>
              <w:rPr>
                <w:w w:val="105"/>
                <w:sz w:val="12"/>
              </w:rPr>
              <w:t>2.635.679,89</w:t>
            </w:r>
          </w:p>
        </w:tc>
        <w:tc>
          <w:tcPr>
            <w:tcW w:w="843" w:type="dxa"/>
          </w:tcPr>
          <w:p>
            <w:pPr>
              <w:pStyle w:val="TableParagraph"/>
              <w:spacing w:line="132" w:lineRule="exact"/>
              <w:ind w:right="54"/>
              <w:jc w:val="right"/>
              <w:rPr>
                <w:sz w:val="12"/>
              </w:rPr>
            </w:pPr>
            <w:r>
              <w:rPr>
                <w:w w:val="105"/>
                <w:sz w:val="12"/>
              </w:rPr>
              <w:t>2.800,00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2.632.879,89</w:t>
            </w:r>
          </w:p>
        </w:tc>
        <w:tc>
          <w:tcPr>
            <w:tcW w:w="1034" w:type="dxa"/>
          </w:tcPr>
          <w:p>
            <w:pPr>
              <w:pStyle w:val="TableParagraph"/>
              <w:spacing w:line="132" w:lineRule="exact"/>
              <w:ind w:right="83"/>
              <w:jc w:val="right"/>
              <w:rPr>
                <w:sz w:val="12"/>
              </w:rPr>
            </w:pPr>
            <w:r>
              <w:rPr>
                <w:w w:val="105"/>
                <w:sz w:val="12"/>
              </w:rPr>
              <w:t>2.631.184,52</w:t>
            </w:r>
          </w:p>
        </w:tc>
        <w:tc>
          <w:tcPr>
            <w:tcW w:w="864" w:type="dxa"/>
            <w:tcBorders>
              <w:right w:val="single" w:sz="4" w:space="0" w:color="000000"/>
            </w:tcBorders>
          </w:tcPr>
          <w:p>
            <w:pPr>
              <w:pStyle w:val="TableParagraph"/>
              <w:spacing w:line="132" w:lineRule="exact"/>
              <w:ind w:right="40"/>
              <w:jc w:val="right"/>
              <w:rPr>
                <w:sz w:val="12"/>
              </w:rPr>
            </w:pPr>
            <w:r>
              <w:rPr>
                <w:w w:val="105"/>
                <w:sz w:val="12"/>
              </w:rPr>
              <w:t>1.695,37</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25100 - Partic. CAC en impto. s/activ. juego (DT 6 Ley 13)</w:t>
            </w:r>
          </w:p>
        </w:tc>
        <w:tc>
          <w:tcPr>
            <w:tcW w:w="1263" w:type="dxa"/>
          </w:tcPr>
          <w:p>
            <w:pPr>
              <w:pStyle w:val="TableParagraph"/>
              <w:spacing w:line="132" w:lineRule="exact"/>
              <w:ind w:right="84"/>
              <w:jc w:val="right"/>
              <w:rPr>
                <w:sz w:val="12"/>
              </w:rPr>
            </w:pPr>
            <w:r>
              <w:rPr>
                <w:w w:val="105"/>
                <w:sz w:val="12"/>
              </w:rPr>
              <w:t>5.680.434,00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5.680.434,00</w:t>
            </w:r>
          </w:p>
        </w:tc>
        <w:tc>
          <w:tcPr>
            <w:tcW w:w="1028" w:type="dxa"/>
          </w:tcPr>
          <w:p>
            <w:pPr>
              <w:pStyle w:val="TableParagraph"/>
              <w:spacing w:line="132" w:lineRule="exact"/>
              <w:ind w:right="48"/>
              <w:jc w:val="right"/>
              <w:rPr>
                <w:sz w:val="12"/>
              </w:rPr>
            </w:pPr>
            <w:r>
              <w:rPr>
                <w:w w:val="105"/>
                <w:sz w:val="12"/>
              </w:rPr>
              <w:t>5.575.663,85</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5.575.663,85</w:t>
            </w:r>
          </w:p>
        </w:tc>
        <w:tc>
          <w:tcPr>
            <w:tcW w:w="1034" w:type="dxa"/>
          </w:tcPr>
          <w:p>
            <w:pPr>
              <w:pStyle w:val="TableParagraph"/>
              <w:spacing w:line="132" w:lineRule="exact"/>
              <w:ind w:right="83"/>
              <w:jc w:val="right"/>
              <w:rPr>
                <w:sz w:val="12"/>
              </w:rPr>
            </w:pPr>
            <w:r>
              <w:rPr>
                <w:w w:val="105"/>
                <w:sz w:val="12"/>
              </w:rPr>
              <w:t>5.575.663,85</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28801 - Impuesto General Indirecto Canario (IGIC)</w:t>
            </w:r>
          </w:p>
        </w:tc>
        <w:tc>
          <w:tcPr>
            <w:tcW w:w="1263" w:type="dxa"/>
          </w:tcPr>
          <w:p>
            <w:pPr>
              <w:pStyle w:val="TableParagraph"/>
              <w:spacing w:line="132" w:lineRule="exact"/>
              <w:ind w:right="84"/>
              <w:jc w:val="right"/>
              <w:rPr>
                <w:sz w:val="12"/>
              </w:rPr>
            </w:pPr>
            <w:r>
              <w:rPr>
                <w:w w:val="105"/>
                <w:sz w:val="12"/>
              </w:rPr>
              <w:t>639.027.597,00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2"/>
              <w:jc w:val="right"/>
              <w:rPr>
                <w:sz w:val="12"/>
              </w:rPr>
            </w:pPr>
            <w:r>
              <w:rPr>
                <w:w w:val="105"/>
                <w:sz w:val="12"/>
              </w:rPr>
              <w:t>639.027.597,00</w:t>
            </w:r>
          </w:p>
        </w:tc>
        <w:tc>
          <w:tcPr>
            <w:tcW w:w="1028" w:type="dxa"/>
          </w:tcPr>
          <w:p>
            <w:pPr>
              <w:pStyle w:val="TableParagraph"/>
              <w:spacing w:line="132" w:lineRule="exact"/>
              <w:ind w:right="49"/>
              <w:jc w:val="right"/>
              <w:rPr>
                <w:sz w:val="12"/>
              </w:rPr>
            </w:pPr>
            <w:r>
              <w:rPr>
                <w:w w:val="105"/>
                <w:sz w:val="12"/>
              </w:rPr>
              <w:t>639.029.902,95</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639.029.902,95</w:t>
            </w:r>
          </w:p>
        </w:tc>
        <w:tc>
          <w:tcPr>
            <w:tcW w:w="1034" w:type="dxa"/>
          </w:tcPr>
          <w:p>
            <w:pPr>
              <w:pStyle w:val="TableParagraph"/>
              <w:spacing w:line="132" w:lineRule="exact"/>
              <w:ind w:right="84"/>
              <w:jc w:val="right"/>
              <w:rPr>
                <w:sz w:val="12"/>
              </w:rPr>
            </w:pPr>
            <w:r>
              <w:rPr>
                <w:w w:val="105"/>
                <w:sz w:val="12"/>
              </w:rPr>
              <w:t>639.029.902,95</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28802 - Arbitrio s/Importac. y Entregas Mercanc.Canar.AIEM</w:t>
            </w:r>
          </w:p>
        </w:tc>
        <w:tc>
          <w:tcPr>
            <w:tcW w:w="1263" w:type="dxa"/>
          </w:tcPr>
          <w:p>
            <w:pPr>
              <w:pStyle w:val="TableParagraph"/>
              <w:spacing w:line="132" w:lineRule="exact"/>
              <w:ind w:right="84"/>
              <w:jc w:val="right"/>
              <w:rPr>
                <w:sz w:val="12"/>
              </w:rPr>
            </w:pPr>
            <w:r>
              <w:rPr>
                <w:w w:val="105"/>
                <w:sz w:val="12"/>
              </w:rPr>
              <w:t>82.608.036,00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82.608.036,00</w:t>
            </w:r>
          </w:p>
        </w:tc>
        <w:tc>
          <w:tcPr>
            <w:tcW w:w="1028" w:type="dxa"/>
          </w:tcPr>
          <w:p>
            <w:pPr>
              <w:pStyle w:val="TableParagraph"/>
              <w:spacing w:line="132" w:lineRule="exact"/>
              <w:ind w:right="48"/>
              <w:jc w:val="right"/>
              <w:rPr>
                <w:sz w:val="12"/>
              </w:rPr>
            </w:pPr>
            <w:r>
              <w:rPr>
                <w:w w:val="105"/>
                <w:sz w:val="12"/>
              </w:rPr>
              <w:t>82.608.035,64</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82.608.035,64</w:t>
            </w:r>
          </w:p>
        </w:tc>
        <w:tc>
          <w:tcPr>
            <w:tcW w:w="1034" w:type="dxa"/>
          </w:tcPr>
          <w:p>
            <w:pPr>
              <w:pStyle w:val="TableParagraph"/>
              <w:spacing w:line="132" w:lineRule="exact"/>
              <w:ind w:right="83"/>
              <w:jc w:val="right"/>
              <w:rPr>
                <w:sz w:val="12"/>
              </w:rPr>
            </w:pPr>
            <w:r>
              <w:rPr>
                <w:w w:val="105"/>
                <w:sz w:val="12"/>
              </w:rPr>
              <w:t>82.608.035,64</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0" w:hRule="atLeast"/>
        </w:trPr>
        <w:tc>
          <w:tcPr>
            <w:tcW w:w="3415" w:type="dxa"/>
            <w:tcBorders>
              <w:left w:val="single" w:sz="4" w:space="0" w:color="000000"/>
            </w:tcBorders>
          </w:tcPr>
          <w:p>
            <w:pPr>
              <w:pStyle w:val="TableParagraph"/>
              <w:spacing w:line="131" w:lineRule="exact"/>
              <w:ind w:left="52"/>
              <w:rPr>
                <w:sz w:val="12"/>
              </w:rPr>
            </w:pPr>
            <w:r>
              <w:rPr>
                <w:w w:val="105"/>
                <w:sz w:val="12"/>
              </w:rPr>
              <w:t>28803 - Impuesto Espec. s/determinados medios transportes</w:t>
            </w:r>
          </w:p>
        </w:tc>
        <w:tc>
          <w:tcPr>
            <w:tcW w:w="1263" w:type="dxa"/>
          </w:tcPr>
          <w:p>
            <w:pPr>
              <w:pStyle w:val="TableParagraph"/>
              <w:spacing w:line="131" w:lineRule="exact"/>
              <w:ind w:right="84"/>
              <w:jc w:val="right"/>
              <w:rPr>
                <w:sz w:val="12"/>
              </w:rPr>
            </w:pPr>
            <w:r>
              <w:rPr>
                <w:w w:val="105"/>
                <w:sz w:val="12"/>
              </w:rPr>
              <w:t>8.692.226,00</w:t>
            </w:r>
          </w:p>
        </w:tc>
        <w:tc>
          <w:tcPr>
            <w:tcW w:w="956" w:type="dxa"/>
          </w:tcPr>
          <w:p>
            <w:pPr>
              <w:pStyle w:val="TableParagraph"/>
              <w:spacing w:line="131" w:lineRule="exact"/>
              <w:ind w:right="48"/>
              <w:jc w:val="right"/>
              <w:rPr>
                <w:sz w:val="12"/>
              </w:rPr>
            </w:pPr>
            <w:r>
              <w:rPr>
                <w:sz w:val="12"/>
              </w:rPr>
              <w:t>0,00</w:t>
            </w:r>
          </w:p>
        </w:tc>
        <w:tc>
          <w:tcPr>
            <w:tcW w:w="1092" w:type="dxa"/>
          </w:tcPr>
          <w:p>
            <w:pPr>
              <w:pStyle w:val="TableParagraph"/>
              <w:spacing w:line="131" w:lineRule="exact"/>
              <w:ind w:right="81"/>
              <w:jc w:val="right"/>
              <w:rPr>
                <w:sz w:val="12"/>
              </w:rPr>
            </w:pPr>
            <w:r>
              <w:rPr>
                <w:w w:val="105"/>
                <w:sz w:val="12"/>
              </w:rPr>
              <w:t>8.692.226,00</w:t>
            </w:r>
          </w:p>
        </w:tc>
        <w:tc>
          <w:tcPr>
            <w:tcW w:w="1028" w:type="dxa"/>
          </w:tcPr>
          <w:p>
            <w:pPr>
              <w:pStyle w:val="TableParagraph"/>
              <w:spacing w:line="131" w:lineRule="exact"/>
              <w:ind w:right="48"/>
              <w:jc w:val="right"/>
              <w:rPr>
                <w:sz w:val="12"/>
              </w:rPr>
            </w:pPr>
            <w:r>
              <w:rPr>
                <w:w w:val="105"/>
                <w:sz w:val="12"/>
              </w:rPr>
              <w:t>8.692.225,80</w:t>
            </w:r>
          </w:p>
        </w:tc>
        <w:tc>
          <w:tcPr>
            <w:tcW w:w="843" w:type="dxa"/>
          </w:tcPr>
          <w:p>
            <w:pPr>
              <w:pStyle w:val="TableParagraph"/>
              <w:spacing w:line="131" w:lineRule="exact"/>
              <w:ind w:right="54"/>
              <w:jc w:val="right"/>
              <w:rPr>
                <w:sz w:val="12"/>
              </w:rPr>
            </w:pPr>
            <w:r>
              <w:rPr>
                <w:sz w:val="12"/>
              </w:rPr>
              <w:t>0,00</w:t>
            </w:r>
          </w:p>
        </w:tc>
        <w:tc>
          <w:tcPr>
            <w:tcW w:w="718" w:type="dxa"/>
          </w:tcPr>
          <w:p>
            <w:pPr>
              <w:pStyle w:val="TableParagraph"/>
              <w:spacing w:line="131" w:lineRule="exact"/>
              <w:ind w:right="80"/>
              <w:jc w:val="right"/>
              <w:rPr>
                <w:sz w:val="12"/>
              </w:rPr>
            </w:pPr>
            <w:r>
              <w:rPr>
                <w:sz w:val="12"/>
              </w:rPr>
              <w:t>0,00</w:t>
            </w:r>
          </w:p>
        </w:tc>
        <w:tc>
          <w:tcPr>
            <w:tcW w:w="1029" w:type="dxa"/>
          </w:tcPr>
          <w:p>
            <w:pPr>
              <w:pStyle w:val="TableParagraph"/>
              <w:spacing w:line="131" w:lineRule="exact"/>
              <w:ind w:right="49"/>
              <w:jc w:val="right"/>
              <w:rPr>
                <w:sz w:val="12"/>
              </w:rPr>
            </w:pPr>
            <w:r>
              <w:rPr>
                <w:w w:val="105"/>
                <w:sz w:val="12"/>
              </w:rPr>
              <w:t>8.692.225,80</w:t>
            </w:r>
          </w:p>
        </w:tc>
        <w:tc>
          <w:tcPr>
            <w:tcW w:w="1034" w:type="dxa"/>
          </w:tcPr>
          <w:p>
            <w:pPr>
              <w:pStyle w:val="TableParagraph"/>
              <w:spacing w:line="131" w:lineRule="exact"/>
              <w:ind w:right="83"/>
              <w:jc w:val="right"/>
              <w:rPr>
                <w:sz w:val="12"/>
              </w:rPr>
            </w:pPr>
            <w:r>
              <w:rPr>
                <w:w w:val="105"/>
                <w:sz w:val="12"/>
              </w:rPr>
              <w:t>8.692.225,80</w:t>
            </w:r>
          </w:p>
        </w:tc>
        <w:tc>
          <w:tcPr>
            <w:tcW w:w="864" w:type="dxa"/>
            <w:tcBorders>
              <w:right w:val="single" w:sz="4" w:space="0" w:color="000000"/>
            </w:tcBorders>
          </w:tcPr>
          <w:p>
            <w:pPr>
              <w:pStyle w:val="TableParagraph"/>
              <w:spacing w:line="131"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28805 - IGIC.Liquidac.Particip.recursos REF ejerc.anterior</w:t>
            </w:r>
          </w:p>
        </w:tc>
        <w:tc>
          <w:tcPr>
            <w:tcW w:w="1263" w:type="dxa"/>
          </w:tcPr>
          <w:p>
            <w:pPr>
              <w:pStyle w:val="TableParagraph"/>
              <w:spacing w:line="132" w:lineRule="exact"/>
              <w:ind w:right="84"/>
              <w:jc w:val="right"/>
              <w:rPr>
                <w:sz w:val="12"/>
              </w:rPr>
            </w:pPr>
            <w:r>
              <w:rPr>
                <w:sz w:val="12"/>
              </w:rPr>
              <w:t>0,00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sz w:val="12"/>
              </w:rPr>
              <w:t>0,00</w:t>
            </w:r>
          </w:p>
        </w:tc>
        <w:tc>
          <w:tcPr>
            <w:tcW w:w="1028" w:type="dxa"/>
          </w:tcPr>
          <w:p>
            <w:pPr>
              <w:pStyle w:val="TableParagraph"/>
              <w:spacing w:line="132" w:lineRule="exact"/>
              <w:ind w:right="48"/>
              <w:jc w:val="right"/>
              <w:rPr>
                <w:sz w:val="12"/>
              </w:rPr>
            </w:pPr>
            <w:r>
              <w:rPr>
                <w:w w:val="105"/>
                <w:sz w:val="12"/>
              </w:rPr>
              <w:t>-28.834.093,31</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-28.834.093,31</w:t>
            </w:r>
          </w:p>
        </w:tc>
        <w:tc>
          <w:tcPr>
            <w:tcW w:w="1034" w:type="dxa"/>
          </w:tcPr>
          <w:p>
            <w:pPr>
              <w:pStyle w:val="TableParagraph"/>
              <w:spacing w:line="132" w:lineRule="exact"/>
              <w:ind w:right="84"/>
              <w:jc w:val="right"/>
              <w:rPr>
                <w:sz w:val="12"/>
              </w:rPr>
            </w:pPr>
            <w:r>
              <w:rPr>
                <w:w w:val="105"/>
                <w:sz w:val="12"/>
              </w:rPr>
              <w:t>-28.834.093,31</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28806 - AIEM.Liquidac.Particip.recursos REF ejerc.anterior</w:t>
            </w:r>
          </w:p>
        </w:tc>
        <w:tc>
          <w:tcPr>
            <w:tcW w:w="1263" w:type="dxa"/>
          </w:tcPr>
          <w:p>
            <w:pPr>
              <w:pStyle w:val="TableParagraph"/>
              <w:spacing w:line="132" w:lineRule="exact"/>
              <w:ind w:right="84"/>
              <w:jc w:val="right"/>
              <w:rPr>
                <w:sz w:val="12"/>
              </w:rPr>
            </w:pPr>
            <w:r>
              <w:rPr>
                <w:sz w:val="12"/>
              </w:rPr>
              <w:t>0,00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sz w:val="12"/>
              </w:rPr>
              <w:t>0,00</w:t>
            </w:r>
          </w:p>
        </w:tc>
        <w:tc>
          <w:tcPr>
            <w:tcW w:w="1028" w:type="dxa"/>
          </w:tcPr>
          <w:p>
            <w:pPr>
              <w:pStyle w:val="TableParagraph"/>
              <w:spacing w:line="132" w:lineRule="exact"/>
              <w:ind w:right="48"/>
              <w:jc w:val="right"/>
              <w:rPr>
                <w:sz w:val="12"/>
              </w:rPr>
            </w:pPr>
            <w:r>
              <w:rPr>
                <w:w w:val="105"/>
                <w:sz w:val="12"/>
              </w:rPr>
              <w:t>14.945.956,66</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14.945.956,66</w:t>
            </w:r>
          </w:p>
        </w:tc>
        <w:tc>
          <w:tcPr>
            <w:tcW w:w="1034" w:type="dxa"/>
          </w:tcPr>
          <w:p>
            <w:pPr>
              <w:pStyle w:val="TableParagraph"/>
              <w:spacing w:line="132" w:lineRule="exact"/>
              <w:ind w:right="83"/>
              <w:jc w:val="right"/>
              <w:rPr>
                <w:sz w:val="12"/>
              </w:rPr>
            </w:pPr>
            <w:r>
              <w:rPr>
                <w:w w:val="105"/>
                <w:sz w:val="12"/>
              </w:rPr>
              <w:t>14.945.956,66</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28807 - IED Medios Transp.Liquid.Particip.REF ejerc.anteri</w:t>
            </w:r>
          </w:p>
        </w:tc>
        <w:tc>
          <w:tcPr>
            <w:tcW w:w="1263" w:type="dxa"/>
          </w:tcPr>
          <w:p>
            <w:pPr>
              <w:pStyle w:val="TableParagraph"/>
              <w:spacing w:line="132" w:lineRule="exact"/>
              <w:ind w:right="84"/>
              <w:jc w:val="right"/>
              <w:rPr>
                <w:sz w:val="12"/>
              </w:rPr>
            </w:pPr>
            <w:r>
              <w:rPr>
                <w:sz w:val="12"/>
              </w:rPr>
              <w:t>0,00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sz w:val="12"/>
              </w:rPr>
              <w:t>0,00</w:t>
            </w:r>
          </w:p>
        </w:tc>
        <w:tc>
          <w:tcPr>
            <w:tcW w:w="1028" w:type="dxa"/>
          </w:tcPr>
          <w:p>
            <w:pPr>
              <w:pStyle w:val="TableParagraph"/>
              <w:spacing w:line="132" w:lineRule="exact"/>
              <w:ind w:right="48"/>
              <w:jc w:val="right"/>
              <w:rPr>
                <w:sz w:val="12"/>
              </w:rPr>
            </w:pPr>
            <w:r>
              <w:rPr>
                <w:w w:val="105"/>
                <w:sz w:val="12"/>
              </w:rPr>
              <w:t>-326.737,65</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-326.737,65</w:t>
            </w:r>
          </w:p>
        </w:tc>
        <w:tc>
          <w:tcPr>
            <w:tcW w:w="1034" w:type="dxa"/>
          </w:tcPr>
          <w:p>
            <w:pPr>
              <w:pStyle w:val="TableParagraph"/>
              <w:spacing w:line="132" w:lineRule="exact"/>
              <w:ind w:right="83"/>
              <w:jc w:val="right"/>
              <w:rPr>
                <w:sz w:val="12"/>
              </w:rPr>
            </w:pPr>
            <w:r>
              <w:rPr>
                <w:w w:val="105"/>
                <w:sz w:val="12"/>
              </w:rPr>
              <w:t>-326.737,65</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2" w:hRule="atLeast"/>
        </w:trPr>
        <w:tc>
          <w:tcPr>
            <w:tcW w:w="3415" w:type="dxa"/>
            <w:tcBorders>
              <w:left w:val="single" w:sz="4" w:space="0" w:color="000000"/>
            </w:tcBorders>
          </w:tcPr>
          <w:p>
            <w:pPr>
              <w:pStyle w:val="TableParagraph"/>
              <w:spacing w:line="132" w:lineRule="exact"/>
              <w:ind w:left="52"/>
              <w:rPr>
                <w:sz w:val="12"/>
              </w:rPr>
            </w:pPr>
            <w:r>
              <w:rPr>
                <w:w w:val="105"/>
                <w:sz w:val="12"/>
              </w:rPr>
              <w:t>32700 - Derechos de examen</w:t>
            </w:r>
          </w:p>
        </w:tc>
        <w:tc>
          <w:tcPr>
            <w:tcW w:w="1263" w:type="dxa"/>
          </w:tcPr>
          <w:p>
            <w:pPr>
              <w:pStyle w:val="TableParagraph"/>
              <w:spacing w:line="132" w:lineRule="exact"/>
              <w:ind w:right="84"/>
              <w:jc w:val="right"/>
              <w:rPr>
                <w:sz w:val="12"/>
              </w:rPr>
            </w:pPr>
            <w:r>
              <w:rPr>
                <w:w w:val="105"/>
                <w:sz w:val="12"/>
              </w:rPr>
              <w:t>100.000,00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100.000,00</w:t>
            </w:r>
          </w:p>
        </w:tc>
        <w:tc>
          <w:tcPr>
            <w:tcW w:w="1028" w:type="dxa"/>
          </w:tcPr>
          <w:p>
            <w:pPr>
              <w:pStyle w:val="TableParagraph"/>
              <w:spacing w:line="132" w:lineRule="exact"/>
              <w:ind w:right="48"/>
              <w:jc w:val="right"/>
              <w:rPr>
                <w:sz w:val="12"/>
              </w:rPr>
            </w:pPr>
            <w:r>
              <w:rPr>
                <w:w w:val="105"/>
                <w:sz w:val="12"/>
              </w:rPr>
              <w:t>199.303,67</w:t>
            </w:r>
          </w:p>
        </w:tc>
        <w:tc>
          <w:tcPr>
            <w:tcW w:w="843" w:type="dxa"/>
          </w:tcPr>
          <w:p>
            <w:pPr>
              <w:pStyle w:val="TableParagraph"/>
              <w:spacing w:line="132" w:lineRule="exact"/>
              <w:ind w:right="54"/>
              <w:jc w:val="right"/>
              <w:rPr>
                <w:sz w:val="12"/>
              </w:rPr>
            </w:pPr>
            <w:r>
              <w:rPr>
                <w:w w:val="105"/>
                <w:sz w:val="12"/>
              </w:rPr>
              <w:t>2.255,41</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197.048,26</w:t>
            </w:r>
          </w:p>
        </w:tc>
        <w:tc>
          <w:tcPr>
            <w:tcW w:w="1034" w:type="dxa"/>
          </w:tcPr>
          <w:p>
            <w:pPr>
              <w:pStyle w:val="TableParagraph"/>
              <w:spacing w:line="132" w:lineRule="exact"/>
              <w:ind w:right="84"/>
              <w:jc w:val="right"/>
              <w:rPr>
                <w:sz w:val="12"/>
              </w:rPr>
            </w:pPr>
            <w:r>
              <w:rPr>
                <w:w w:val="105"/>
                <w:sz w:val="12"/>
              </w:rPr>
              <w:t>197.048,26</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1" w:lineRule="exact"/>
              <w:ind w:left="52"/>
              <w:rPr>
                <w:sz w:val="12"/>
              </w:rPr>
            </w:pPr>
            <w:r>
              <w:rPr>
                <w:w w:val="105"/>
                <w:sz w:val="12"/>
              </w:rPr>
              <w:t>32701 - Derechos de examen, personal docente</w:t>
            </w:r>
          </w:p>
        </w:tc>
        <w:tc>
          <w:tcPr>
            <w:tcW w:w="1263" w:type="dxa"/>
          </w:tcPr>
          <w:p>
            <w:pPr>
              <w:pStyle w:val="TableParagraph"/>
              <w:spacing w:line="131" w:lineRule="exact"/>
              <w:ind w:right="84"/>
              <w:jc w:val="right"/>
              <w:rPr>
                <w:sz w:val="12"/>
              </w:rPr>
            </w:pPr>
            <w:r>
              <w:rPr>
                <w:w w:val="105"/>
                <w:sz w:val="12"/>
              </w:rPr>
              <w:t>150.000,00</w:t>
            </w:r>
          </w:p>
        </w:tc>
        <w:tc>
          <w:tcPr>
            <w:tcW w:w="956" w:type="dxa"/>
          </w:tcPr>
          <w:p>
            <w:pPr>
              <w:pStyle w:val="TableParagraph"/>
              <w:spacing w:line="131" w:lineRule="exact"/>
              <w:ind w:right="48"/>
              <w:jc w:val="right"/>
              <w:rPr>
                <w:sz w:val="12"/>
              </w:rPr>
            </w:pPr>
            <w:r>
              <w:rPr>
                <w:sz w:val="12"/>
              </w:rPr>
              <w:t>0,00</w:t>
            </w:r>
          </w:p>
        </w:tc>
        <w:tc>
          <w:tcPr>
            <w:tcW w:w="1092" w:type="dxa"/>
          </w:tcPr>
          <w:p>
            <w:pPr>
              <w:pStyle w:val="TableParagraph"/>
              <w:spacing w:line="131" w:lineRule="exact"/>
              <w:ind w:right="81"/>
              <w:jc w:val="right"/>
              <w:rPr>
                <w:sz w:val="12"/>
              </w:rPr>
            </w:pPr>
            <w:r>
              <w:rPr>
                <w:w w:val="105"/>
                <w:sz w:val="12"/>
              </w:rPr>
              <w:t>150.000,00</w:t>
            </w:r>
          </w:p>
        </w:tc>
        <w:tc>
          <w:tcPr>
            <w:tcW w:w="1028" w:type="dxa"/>
          </w:tcPr>
          <w:p>
            <w:pPr>
              <w:pStyle w:val="TableParagraph"/>
              <w:spacing w:line="131" w:lineRule="exact"/>
              <w:ind w:right="48"/>
              <w:jc w:val="right"/>
              <w:rPr>
                <w:sz w:val="12"/>
              </w:rPr>
            </w:pPr>
            <w:r>
              <w:rPr>
                <w:w w:val="105"/>
                <w:sz w:val="12"/>
              </w:rPr>
              <w:t>1.419.925,58</w:t>
            </w:r>
          </w:p>
        </w:tc>
        <w:tc>
          <w:tcPr>
            <w:tcW w:w="843" w:type="dxa"/>
          </w:tcPr>
          <w:p>
            <w:pPr>
              <w:pStyle w:val="TableParagraph"/>
              <w:spacing w:line="131" w:lineRule="exact"/>
              <w:ind w:right="54"/>
              <w:jc w:val="right"/>
              <w:rPr>
                <w:sz w:val="12"/>
              </w:rPr>
            </w:pPr>
            <w:r>
              <w:rPr>
                <w:w w:val="105"/>
                <w:sz w:val="12"/>
              </w:rPr>
              <w:t>9.165,06</w:t>
            </w:r>
          </w:p>
        </w:tc>
        <w:tc>
          <w:tcPr>
            <w:tcW w:w="718" w:type="dxa"/>
          </w:tcPr>
          <w:p>
            <w:pPr>
              <w:pStyle w:val="TableParagraph"/>
              <w:spacing w:line="131" w:lineRule="exact"/>
              <w:ind w:right="80"/>
              <w:jc w:val="right"/>
              <w:rPr>
                <w:sz w:val="12"/>
              </w:rPr>
            </w:pPr>
            <w:r>
              <w:rPr>
                <w:sz w:val="12"/>
              </w:rPr>
              <w:t>0,00</w:t>
            </w:r>
          </w:p>
        </w:tc>
        <w:tc>
          <w:tcPr>
            <w:tcW w:w="1029" w:type="dxa"/>
          </w:tcPr>
          <w:p>
            <w:pPr>
              <w:pStyle w:val="TableParagraph"/>
              <w:spacing w:line="131" w:lineRule="exact"/>
              <w:ind w:right="49"/>
              <w:jc w:val="right"/>
              <w:rPr>
                <w:sz w:val="12"/>
              </w:rPr>
            </w:pPr>
            <w:r>
              <w:rPr>
                <w:w w:val="105"/>
                <w:sz w:val="12"/>
              </w:rPr>
              <w:t>1.410.760,52</w:t>
            </w:r>
          </w:p>
        </w:tc>
        <w:tc>
          <w:tcPr>
            <w:tcW w:w="1034" w:type="dxa"/>
          </w:tcPr>
          <w:p>
            <w:pPr>
              <w:pStyle w:val="TableParagraph"/>
              <w:spacing w:line="131" w:lineRule="exact"/>
              <w:ind w:right="83"/>
              <w:jc w:val="right"/>
              <w:rPr>
                <w:sz w:val="12"/>
              </w:rPr>
            </w:pPr>
            <w:r>
              <w:rPr>
                <w:w w:val="105"/>
                <w:sz w:val="12"/>
              </w:rPr>
              <w:t>1.410.760,52</w:t>
            </w:r>
          </w:p>
        </w:tc>
        <w:tc>
          <w:tcPr>
            <w:tcW w:w="864" w:type="dxa"/>
            <w:tcBorders>
              <w:right w:val="single" w:sz="4" w:space="0" w:color="000000"/>
            </w:tcBorders>
          </w:tcPr>
          <w:p>
            <w:pPr>
              <w:pStyle w:val="TableParagraph"/>
              <w:spacing w:line="131"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32998 - TasasEnseñ.náut.-deprt.buceo port.y prof.mar.-pes.</w:t>
            </w:r>
          </w:p>
        </w:tc>
        <w:tc>
          <w:tcPr>
            <w:tcW w:w="1263" w:type="dxa"/>
          </w:tcPr>
          <w:p>
            <w:pPr>
              <w:pStyle w:val="TableParagraph"/>
              <w:spacing w:line="132" w:lineRule="exact"/>
              <w:ind w:right="84"/>
              <w:jc w:val="right"/>
              <w:rPr>
                <w:sz w:val="12"/>
              </w:rPr>
            </w:pPr>
            <w:r>
              <w:rPr>
                <w:w w:val="105"/>
                <w:sz w:val="12"/>
              </w:rPr>
              <w:t>72.997,00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72.997,00</w:t>
            </w:r>
          </w:p>
        </w:tc>
        <w:tc>
          <w:tcPr>
            <w:tcW w:w="1028" w:type="dxa"/>
          </w:tcPr>
          <w:p>
            <w:pPr>
              <w:pStyle w:val="TableParagraph"/>
              <w:spacing w:line="132" w:lineRule="exact"/>
              <w:ind w:right="48"/>
              <w:jc w:val="right"/>
              <w:rPr>
                <w:sz w:val="12"/>
              </w:rPr>
            </w:pPr>
            <w:r>
              <w:rPr>
                <w:w w:val="105"/>
                <w:sz w:val="12"/>
              </w:rPr>
              <w:t>26.697,75</w:t>
            </w:r>
          </w:p>
        </w:tc>
        <w:tc>
          <w:tcPr>
            <w:tcW w:w="843" w:type="dxa"/>
          </w:tcPr>
          <w:p>
            <w:pPr>
              <w:pStyle w:val="TableParagraph"/>
              <w:spacing w:line="132" w:lineRule="exact"/>
              <w:ind w:right="54"/>
              <w:jc w:val="right"/>
              <w:rPr>
                <w:sz w:val="12"/>
              </w:rPr>
            </w:pPr>
            <w:r>
              <w:rPr>
                <w:sz w:val="12"/>
              </w:rPr>
              <w:t>67,59</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26.630,16</w:t>
            </w:r>
          </w:p>
        </w:tc>
        <w:tc>
          <w:tcPr>
            <w:tcW w:w="1034" w:type="dxa"/>
          </w:tcPr>
          <w:p>
            <w:pPr>
              <w:pStyle w:val="TableParagraph"/>
              <w:spacing w:line="132" w:lineRule="exact"/>
              <w:ind w:right="84"/>
              <w:jc w:val="right"/>
              <w:rPr>
                <w:sz w:val="12"/>
              </w:rPr>
            </w:pPr>
            <w:r>
              <w:rPr>
                <w:w w:val="105"/>
                <w:sz w:val="12"/>
              </w:rPr>
              <w:t>26.630,16</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32990 - Ingresos Boletín Oficial de Canarias</w:t>
            </w:r>
          </w:p>
        </w:tc>
        <w:tc>
          <w:tcPr>
            <w:tcW w:w="1263" w:type="dxa"/>
          </w:tcPr>
          <w:p>
            <w:pPr>
              <w:pStyle w:val="TableParagraph"/>
              <w:spacing w:line="132" w:lineRule="exact"/>
              <w:ind w:right="84"/>
              <w:jc w:val="right"/>
              <w:rPr>
                <w:sz w:val="12"/>
              </w:rPr>
            </w:pPr>
            <w:r>
              <w:rPr>
                <w:w w:val="105"/>
                <w:sz w:val="12"/>
              </w:rPr>
              <w:t>205.091,00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205.091,00</w:t>
            </w:r>
          </w:p>
        </w:tc>
        <w:tc>
          <w:tcPr>
            <w:tcW w:w="1028" w:type="dxa"/>
          </w:tcPr>
          <w:p>
            <w:pPr>
              <w:pStyle w:val="TableParagraph"/>
              <w:spacing w:line="132" w:lineRule="exact"/>
              <w:ind w:right="48"/>
              <w:jc w:val="right"/>
              <w:rPr>
                <w:sz w:val="12"/>
              </w:rPr>
            </w:pPr>
            <w:r>
              <w:rPr>
                <w:w w:val="105"/>
                <w:sz w:val="12"/>
              </w:rPr>
              <w:t>187.029,92</w:t>
            </w:r>
          </w:p>
        </w:tc>
        <w:tc>
          <w:tcPr>
            <w:tcW w:w="843" w:type="dxa"/>
          </w:tcPr>
          <w:p>
            <w:pPr>
              <w:pStyle w:val="TableParagraph"/>
              <w:spacing w:line="132" w:lineRule="exact"/>
              <w:ind w:right="54"/>
              <w:jc w:val="right"/>
              <w:rPr>
                <w:sz w:val="12"/>
              </w:rPr>
            </w:pPr>
            <w:r>
              <w:rPr>
                <w:sz w:val="12"/>
              </w:rPr>
              <w:t>201,30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186.828,62</w:t>
            </w:r>
          </w:p>
        </w:tc>
        <w:tc>
          <w:tcPr>
            <w:tcW w:w="1034" w:type="dxa"/>
          </w:tcPr>
          <w:p>
            <w:pPr>
              <w:pStyle w:val="TableParagraph"/>
              <w:spacing w:line="132" w:lineRule="exact"/>
              <w:ind w:right="84"/>
              <w:jc w:val="right"/>
              <w:rPr>
                <w:sz w:val="12"/>
              </w:rPr>
            </w:pPr>
            <w:r>
              <w:rPr>
                <w:w w:val="105"/>
                <w:sz w:val="12"/>
              </w:rPr>
              <w:t>186.828,62</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0" w:hRule="atLeast"/>
        </w:trPr>
        <w:tc>
          <w:tcPr>
            <w:tcW w:w="3415" w:type="dxa"/>
            <w:tcBorders>
              <w:left w:val="single" w:sz="4" w:space="0" w:color="000000"/>
            </w:tcBorders>
          </w:tcPr>
          <w:p>
            <w:pPr>
              <w:pStyle w:val="TableParagraph"/>
              <w:spacing w:line="131" w:lineRule="exact"/>
              <w:ind w:left="52"/>
              <w:rPr>
                <w:sz w:val="12"/>
              </w:rPr>
            </w:pPr>
            <w:r>
              <w:rPr>
                <w:w w:val="105"/>
                <w:sz w:val="12"/>
              </w:rPr>
              <w:t>32989 - Tasas expedición licencias pesca marítima recreat.</w:t>
            </w:r>
          </w:p>
        </w:tc>
        <w:tc>
          <w:tcPr>
            <w:tcW w:w="1263" w:type="dxa"/>
          </w:tcPr>
          <w:p>
            <w:pPr>
              <w:pStyle w:val="TableParagraph"/>
              <w:spacing w:line="131" w:lineRule="exact"/>
              <w:ind w:right="84"/>
              <w:jc w:val="right"/>
              <w:rPr>
                <w:sz w:val="12"/>
              </w:rPr>
            </w:pPr>
            <w:r>
              <w:rPr>
                <w:w w:val="105"/>
                <w:sz w:val="12"/>
              </w:rPr>
              <w:t>690.417,00</w:t>
            </w:r>
          </w:p>
        </w:tc>
        <w:tc>
          <w:tcPr>
            <w:tcW w:w="956" w:type="dxa"/>
          </w:tcPr>
          <w:p>
            <w:pPr>
              <w:pStyle w:val="TableParagraph"/>
              <w:spacing w:line="131" w:lineRule="exact"/>
              <w:ind w:right="48"/>
              <w:jc w:val="right"/>
              <w:rPr>
                <w:sz w:val="12"/>
              </w:rPr>
            </w:pPr>
            <w:r>
              <w:rPr>
                <w:sz w:val="12"/>
              </w:rPr>
              <w:t>0,00</w:t>
            </w:r>
          </w:p>
        </w:tc>
        <w:tc>
          <w:tcPr>
            <w:tcW w:w="1092" w:type="dxa"/>
          </w:tcPr>
          <w:p>
            <w:pPr>
              <w:pStyle w:val="TableParagraph"/>
              <w:spacing w:line="131" w:lineRule="exact"/>
              <w:ind w:right="81"/>
              <w:jc w:val="right"/>
              <w:rPr>
                <w:sz w:val="12"/>
              </w:rPr>
            </w:pPr>
            <w:r>
              <w:rPr>
                <w:w w:val="105"/>
                <w:sz w:val="12"/>
              </w:rPr>
              <w:t>690.417,00</w:t>
            </w:r>
          </w:p>
        </w:tc>
        <w:tc>
          <w:tcPr>
            <w:tcW w:w="1028" w:type="dxa"/>
          </w:tcPr>
          <w:p>
            <w:pPr>
              <w:pStyle w:val="TableParagraph"/>
              <w:spacing w:line="131" w:lineRule="exact"/>
              <w:ind w:right="48"/>
              <w:jc w:val="right"/>
              <w:rPr>
                <w:sz w:val="12"/>
              </w:rPr>
            </w:pPr>
            <w:r>
              <w:rPr>
                <w:w w:val="105"/>
                <w:sz w:val="12"/>
              </w:rPr>
              <w:t>552.715,04</w:t>
            </w:r>
          </w:p>
        </w:tc>
        <w:tc>
          <w:tcPr>
            <w:tcW w:w="843" w:type="dxa"/>
          </w:tcPr>
          <w:p>
            <w:pPr>
              <w:pStyle w:val="TableParagraph"/>
              <w:spacing w:line="131" w:lineRule="exact"/>
              <w:ind w:right="54"/>
              <w:jc w:val="right"/>
              <w:rPr>
                <w:sz w:val="12"/>
              </w:rPr>
            </w:pPr>
            <w:r>
              <w:rPr>
                <w:w w:val="105"/>
                <w:sz w:val="12"/>
              </w:rPr>
              <w:t>1.495,02</w:t>
            </w:r>
          </w:p>
        </w:tc>
        <w:tc>
          <w:tcPr>
            <w:tcW w:w="718" w:type="dxa"/>
          </w:tcPr>
          <w:p>
            <w:pPr>
              <w:pStyle w:val="TableParagraph"/>
              <w:spacing w:line="131" w:lineRule="exact"/>
              <w:ind w:right="80"/>
              <w:jc w:val="right"/>
              <w:rPr>
                <w:sz w:val="12"/>
              </w:rPr>
            </w:pPr>
            <w:r>
              <w:rPr>
                <w:sz w:val="12"/>
              </w:rPr>
              <w:t>0,00</w:t>
            </w:r>
          </w:p>
        </w:tc>
        <w:tc>
          <w:tcPr>
            <w:tcW w:w="1029" w:type="dxa"/>
          </w:tcPr>
          <w:p>
            <w:pPr>
              <w:pStyle w:val="TableParagraph"/>
              <w:spacing w:line="131" w:lineRule="exact"/>
              <w:ind w:right="49"/>
              <w:jc w:val="right"/>
              <w:rPr>
                <w:sz w:val="12"/>
              </w:rPr>
            </w:pPr>
            <w:r>
              <w:rPr>
                <w:w w:val="105"/>
                <w:sz w:val="12"/>
              </w:rPr>
              <w:t>551.220,02</w:t>
            </w:r>
          </w:p>
        </w:tc>
        <w:tc>
          <w:tcPr>
            <w:tcW w:w="1034" w:type="dxa"/>
          </w:tcPr>
          <w:p>
            <w:pPr>
              <w:pStyle w:val="TableParagraph"/>
              <w:spacing w:line="131" w:lineRule="exact"/>
              <w:ind w:right="84"/>
              <w:jc w:val="right"/>
              <w:rPr>
                <w:sz w:val="12"/>
              </w:rPr>
            </w:pPr>
            <w:r>
              <w:rPr>
                <w:w w:val="105"/>
                <w:sz w:val="12"/>
              </w:rPr>
              <w:t>551.220,02</w:t>
            </w:r>
          </w:p>
        </w:tc>
        <w:tc>
          <w:tcPr>
            <w:tcW w:w="864" w:type="dxa"/>
            <w:tcBorders>
              <w:right w:val="single" w:sz="4" w:space="0" w:color="000000"/>
            </w:tcBorders>
          </w:tcPr>
          <w:p>
            <w:pPr>
              <w:pStyle w:val="TableParagraph"/>
              <w:spacing w:line="131"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32986 - Tasas Direcc.e Inspecc.obras DG Infraestura Viaria</w:t>
            </w:r>
          </w:p>
        </w:tc>
        <w:tc>
          <w:tcPr>
            <w:tcW w:w="1263" w:type="dxa"/>
          </w:tcPr>
          <w:p>
            <w:pPr>
              <w:pStyle w:val="TableParagraph"/>
              <w:spacing w:line="132" w:lineRule="exact"/>
              <w:ind w:right="84"/>
              <w:jc w:val="right"/>
              <w:rPr>
                <w:sz w:val="12"/>
              </w:rPr>
            </w:pPr>
            <w:r>
              <w:rPr>
                <w:sz w:val="12"/>
              </w:rPr>
              <w:t>0,00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sz w:val="12"/>
              </w:rPr>
              <w:t>0,00</w:t>
            </w:r>
          </w:p>
        </w:tc>
        <w:tc>
          <w:tcPr>
            <w:tcW w:w="1028" w:type="dxa"/>
          </w:tcPr>
          <w:p>
            <w:pPr>
              <w:pStyle w:val="TableParagraph"/>
              <w:spacing w:line="132" w:lineRule="exact"/>
              <w:ind w:right="48"/>
              <w:jc w:val="right"/>
              <w:rPr>
                <w:sz w:val="12"/>
              </w:rPr>
            </w:pPr>
            <w:r>
              <w:rPr>
                <w:w w:val="105"/>
                <w:sz w:val="12"/>
              </w:rPr>
              <w:t>4.071,92</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4.071,92</w:t>
            </w:r>
          </w:p>
        </w:tc>
        <w:tc>
          <w:tcPr>
            <w:tcW w:w="1034" w:type="dxa"/>
          </w:tcPr>
          <w:p>
            <w:pPr>
              <w:pStyle w:val="TableParagraph"/>
              <w:spacing w:line="132" w:lineRule="exact"/>
              <w:ind w:right="84"/>
              <w:jc w:val="right"/>
              <w:rPr>
                <w:sz w:val="12"/>
              </w:rPr>
            </w:pPr>
            <w:r>
              <w:rPr>
                <w:w w:val="105"/>
                <w:sz w:val="12"/>
              </w:rPr>
              <w:t>4.071,92</w:t>
            </w:r>
          </w:p>
        </w:tc>
        <w:tc>
          <w:tcPr>
            <w:tcW w:w="864"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15" w:type="dxa"/>
            <w:tcBorders>
              <w:left w:val="single" w:sz="4" w:space="0" w:color="000000"/>
            </w:tcBorders>
          </w:tcPr>
          <w:p>
            <w:pPr>
              <w:pStyle w:val="TableParagraph"/>
              <w:spacing w:line="132" w:lineRule="exact"/>
              <w:ind w:left="52"/>
              <w:rPr>
                <w:sz w:val="12"/>
              </w:rPr>
            </w:pPr>
            <w:r>
              <w:rPr>
                <w:w w:val="105"/>
                <w:sz w:val="12"/>
              </w:rPr>
              <w:t>32985 - Ingresos gestión laborator.C.ObrasPúb.,Transp.yVvd</w:t>
            </w:r>
          </w:p>
        </w:tc>
        <w:tc>
          <w:tcPr>
            <w:tcW w:w="1263" w:type="dxa"/>
          </w:tcPr>
          <w:p>
            <w:pPr>
              <w:pStyle w:val="TableParagraph"/>
              <w:spacing w:line="132" w:lineRule="exact"/>
              <w:ind w:right="84"/>
              <w:jc w:val="right"/>
              <w:rPr>
                <w:sz w:val="12"/>
              </w:rPr>
            </w:pPr>
            <w:r>
              <w:rPr>
                <w:w w:val="105"/>
                <w:sz w:val="12"/>
              </w:rPr>
              <w:t>62.264,00</w:t>
            </w:r>
          </w:p>
        </w:tc>
        <w:tc>
          <w:tcPr>
            <w:tcW w:w="956" w:type="dxa"/>
          </w:tcPr>
          <w:p>
            <w:pPr>
              <w:pStyle w:val="TableParagraph"/>
              <w:spacing w:line="132" w:lineRule="exact"/>
              <w:ind w:right="48"/>
              <w:jc w:val="right"/>
              <w:rPr>
                <w:sz w:val="12"/>
              </w:rPr>
            </w:pPr>
            <w:r>
              <w:rPr>
                <w:sz w:val="12"/>
              </w:rPr>
              <w:t>0,00</w:t>
            </w:r>
          </w:p>
        </w:tc>
        <w:tc>
          <w:tcPr>
            <w:tcW w:w="1092" w:type="dxa"/>
          </w:tcPr>
          <w:p>
            <w:pPr>
              <w:pStyle w:val="TableParagraph"/>
              <w:spacing w:line="132" w:lineRule="exact"/>
              <w:ind w:right="81"/>
              <w:jc w:val="right"/>
              <w:rPr>
                <w:sz w:val="12"/>
              </w:rPr>
            </w:pPr>
            <w:r>
              <w:rPr>
                <w:w w:val="105"/>
                <w:sz w:val="12"/>
              </w:rPr>
              <w:t>62.264,00</w:t>
            </w:r>
          </w:p>
        </w:tc>
        <w:tc>
          <w:tcPr>
            <w:tcW w:w="1028" w:type="dxa"/>
          </w:tcPr>
          <w:p>
            <w:pPr>
              <w:pStyle w:val="TableParagraph"/>
              <w:spacing w:line="132" w:lineRule="exact"/>
              <w:ind w:right="48"/>
              <w:jc w:val="right"/>
              <w:rPr>
                <w:sz w:val="12"/>
              </w:rPr>
            </w:pPr>
            <w:r>
              <w:rPr>
                <w:w w:val="105"/>
                <w:sz w:val="12"/>
              </w:rPr>
              <w:t>16.187,63</w:t>
            </w:r>
          </w:p>
        </w:tc>
        <w:tc>
          <w:tcPr>
            <w:tcW w:w="843"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9" w:type="dxa"/>
          </w:tcPr>
          <w:p>
            <w:pPr>
              <w:pStyle w:val="TableParagraph"/>
              <w:spacing w:line="132" w:lineRule="exact"/>
              <w:ind w:right="49"/>
              <w:jc w:val="right"/>
              <w:rPr>
                <w:sz w:val="12"/>
              </w:rPr>
            </w:pPr>
            <w:r>
              <w:rPr>
                <w:w w:val="105"/>
                <w:sz w:val="12"/>
              </w:rPr>
              <w:t>16.187,63</w:t>
            </w:r>
          </w:p>
        </w:tc>
        <w:tc>
          <w:tcPr>
            <w:tcW w:w="1034" w:type="dxa"/>
          </w:tcPr>
          <w:p>
            <w:pPr>
              <w:pStyle w:val="TableParagraph"/>
              <w:spacing w:line="132" w:lineRule="exact"/>
              <w:ind w:right="84"/>
              <w:jc w:val="right"/>
              <w:rPr>
                <w:sz w:val="12"/>
              </w:rPr>
            </w:pPr>
            <w:r>
              <w:rPr>
                <w:w w:val="105"/>
                <w:sz w:val="12"/>
              </w:rPr>
              <w:t>14.427,74</w:t>
            </w:r>
          </w:p>
        </w:tc>
        <w:tc>
          <w:tcPr>
            <w:tcW w:w="864" w:type="dxa"/>
            <w:tcBorders>
              <w:right w:val="single" w:sz="4" w:space="0" w:color="000000"/>
            </w:tcBorders>
          </w:tcPr>
          <w:p>
            <w:pPr>
              <w:pStyle w:val="TableParagraph"/>
              <w:spacing w:line="132" w:lineRule="exact"/>
              <w:ind w:right="40"/>
              <w:jc w:val="right"/>
              <w:rPr>
                <w:sz w:val="12"/>
              </w:rPr>
            </w:pPr>
            <w:r>
              <w:rPr>
                <w:w w:val="105"/>
                <w:sz w:val="12"/>
              </w:rPr>
              <w:t>1.759,89</w:t>
            </w:r>
          </w:p>
        </w:tc>
      </w:tr>
      <w:tr>
        <w:trPr>
          <w:trHeight w:val="140" w:hRule="atLeast"/>
        </w:trPr>
        <w:tc>
          <w:tcPr>
            <w:tcW w:w="3415" w:type="dxa"/>
            <w:tcBorders>
              <w:left w:val="single" w:sz="4" w:space="0" w:color="000000"/>
              <w:bottom w:val="single" w:sz="4" w:space="0" w:color="000000"/>
            </w:tcBorders>
          </w:tcPr>
          <w:p>
            <w:pPr>
              <w:pStyle w:val="TableParagraph"/>
              <w:spacing w:line="121" w:lineRule="exact"/>
              <w:ind w:left="52"/>
              <w:rPr>
                <w:sz w:val="12"/>
              </w:rPr>
            </w:pPr>
            <w:r>
              <w:rPr>
                <w:w w:val="105"/>
                <w:sz w:val="12"/>
              </w:rPr>
              <w:t>32970 - Tasas por Dirección e Inspección de Obras</w:t>
            </w:r>
          </w:p>
        </w:tc>
        <w:tc>
          <w:tcPr>
            <w:tcW w:w="1263" w:type="dxa"/>
            <w:tcBorders>
              <w:bottom w:val="single" w:sz="4" w:space="0" w:color="000000"/>
            </w:tcBorders>
          </w:tcPr>
          <w:p>
            <w:pPr>
              <w:pStyle w:val="TableParagraph"/>
              <w:spacing w:line="121" w:lineRule="exact"/>
              <w:ind w:right="84"/>
              <w:jc w:val="right"/>
              <w:rPr>
                <w:sz w:val="12"/>
              </w:rPr>
            </w:pPr>
            <w:r>
              <w:rPr>
                <w:w w:val="105"/>
                <w:sz w:val="12"/>
              </w:rPr>
              <w:t>4.554.000,00</w:t>
            </w:r>
          </w:p>
        </w:tc>
        <w:tc>
          <w:tcPr>
            <w:tcW w:w="956" w:type="dxa"/>
            <w:tcBorders>
              <w:bottom w:val="single" w:sz="4" w:space="0" w:color="000000"/>
            </w:tcBorders>
          </w:tcPr>
          <w:p>
            <w:pPr>
              <w:pStyle w:val="TableParagraph"/>
              <w:spacing w:line="121" w:lineRule="exact"/>
              <w:ind w:right="48"/>
              <w:jc w:val="right"/>
              <w:rPr>
                <w:sz w:val="12"/>
              </w:rPr>
            </w:pPr>
            <w:r>
              <w:rPr>
                <w:sz w:val="12"/>
              </w:rPr>
              <w:t>0,00</w:t>
            </w:r>
          </w:p>
        </w:tc>
        <w:tc>
          <w:tcPr>
            <w:tcW w:w="1092" w:type="dxa"/>
            <w:tcBorders>
              <w:bottom w:val="single" w:sz="4" w:space="0" w:color="000000"/>
            </w:tcBorders>
          </w:tcPr>
          <w:p>
            <w:pPr>
              <w:pStyle w:val="TableParagraph"/>
              <w:spacing w:line="121" w:lineRule="exact"/>
              <w:ind w:right="81"/>
              <w:jc w:val="right"/>
              <w:rPr>
                <w:sz w:val="12"/>
              </w:rPr>
            </w:pPr>
            <w:r>
              <w:rPr>
                <w:w w:val="105"/>
                <w:sz w:val="12"/>
              </w:rPr>
              <w:t>4.554.000,00</w:t>
            </w:r>
          </w:p>
        </w:tc>
        <w:tc>
          <w:tcPr>
            <w:tcW w:w="1028" w:type="dxa"/>
            <w:tcBorders>
              <w:bottom w:val="single" w:sz="4" w:space="0" w:color="000000"/>
            </w:tcBorders>
          </w:tcPr>
          <w:p>
            <w:pPr>
              <w:pStyle w:val="TableParagraph"/>
              <w:spacing w:line="121" w:lineRule="exact"/>
              <w:ind w:right="48"/>
              <w:jc w:val="right"/>
              <w:rPr>
                <w:sz w:val="12"/>
              </w:rPr>
            </w:pPr>
            <w:r>
              <w:rPr>
                <w:w w:val="105"/>
                <w:sz w:val="12"/>
              </w:rPr>
              <w:t>4.791.787,36</w:t>
            </w:r>
          </w:p>
        </w:tc>
        <w:tc>
          <w:tcPr>
            <w:tcW w:w="843" w:type="dxa"/>
            <w:tcBorders>
              <w:bottom w:val="single" w:sz="4" w:space="0" w:color="000000"/>
            </w:tcBorders>
          </w:tcPr>
          <w:p>
            <w:pPr>
              <w:pStyle w:val="TableParagraph"/>
              <w:spacing w:line="121" w:lineRule="exact"/>
              <w:ind w:right="54"/>
              <w:jc w:val="right"/>
              <w:rPr>
                <w:sz w:val="12"/>
              </w:rPr>
            </w:pPr>
            <w:r>
              <w:rPr>
                <w:sz w:val="12"/>
              </w:rPr>
              <w:t>0,00</w:t>
            </w:r>
          </w:p>
        </w:tc>
        <w:tc>
          <w:tcPr>
            <w:tcW w:w="718" w:type="dxa"/>
            <w:tcBorders>
              <w:bottom w:val="single" w:sz="4" w:space="0" w:color="000000"/>
            </w:tcBorders>
          </w:tcPr>
          <w:p>
            <w:pPr>
              <w:pStyle w:val="TableParagraph"/>
              <w:spacing w:line="121" w:lineRule="exact"/>
              <w:ind w:right="80"/>
              <w:jc w:val="right"/>
              <w:rPr>
                <w:sz w:val="12"/>
              </w:rPr>
            </w:pPr>
            <w:r>
              <w:rPr>
                <w:sz w:val="12"/>
              </w:rPr>
              <w:t>0,00</w:t>
            </w:r>
          </w:p>
        </w:tc>
        <w:tc>
          <w:tcPr>
            <w:tcW w:w="1029" w:type="dxa"/>
            <w:tcBorders>
              <w:bottom w:val="single" w:sz="4" w:space="0" w:color="000000"/>
            </w:tcBorders>
          </w:tcPr>
          <w:p>
            <w:pPr>
              <w:pStyle w:val="TableParagraph"/>
              <w:spacing w:line="121" w:lineRule="exact"/>
              <w:ind w:right="49"/>
              <w:jc w:val="right"/>
              <w:rPr>
                <w:sz w:val="12"/>
              </w:rPr>
            </w:pPr>
            <w:r>
              <w:rPr>
                <w:w w:val="105"/>
                <w:sz w:val="12"/>
              </w:rPr>
              <w:t>4.791.787,36</w:t>
            </w:r>
          </w:p>
        </w:tc>
        <w:tc>
          <w:tcPr>
            <w:tcW w:w="1034" w:type="dxa"/>
            <w:tcBorders>
              <w:bottom w:val="single" w:sz="4" w:space="0" w:color="000000"/>
            </w:tcBorders>
          </w:tcPr>
          <w:p>
            <w:pPr>
              <w:pStyle w:val="TableParagraph"/>
              <w:spacing w:line="121" w:lineRule="exact"/>
              <w:ind w:right="83"/>
              <w:jc w:val="right"/>
              <w:rPr>
                <w:sz w:val="12"/>
              </w:rPr>
            </w:pPr>
            <w:r>
              <w:rPr>
                <w:w w:val="105"/>
                <w:sz w:val="12"/>
              </w:rPr>
              <w:t>4.791.787,36</w:t>
            </w:r>
          </w:p>
        </w:tc>
        <w:tc>
          <w:tcPr>
            <w:tcW w:w="864" w:type="dxa"/>
            <w:tcBorders>
              <w:bottom w:val="single" w:sz="4" w:space="0" w:color="000000"/>
              <w:right w:val="single" w:sz="4" w:space="0" w:color="000000"/>
            </w:tcBorders>
          </w:tcPr>
          <w:p>
            <w:pPr>
              <w:pStyle w:val="TableParagraph"/>
              <w:spacing w:line="121" w:lineRule="exact"/>
              <w:ind w:right="40"/>
              <w:jc w:val="right"/>
              <w:rPr>
                <w:sz w:val="12"/>
              </w:rPr>
            </w:pPr>
            <w:r>
              <w:rPr>
                <w:sz w:val="12"/>
              </w:rPr>
              <w:t>0,00</w:t>
            </w:r>
          </w:p>
        </w:tc>
      </w:tr>
    </w:tbl>
    <w:p>
      <w:pPr>
        <w:spacing w:before="104"/>
        <w:ind w:left="10855" w:right="1577" w:firstLine="0"/>
        <w:jc w:val="center"/>
        <w:rPr>
          <w:sz w:val="18"/>
        </w:rPr>
      </w:pPr>
      <w:r>
        <w:rPr>
          <w:w w:val="105"/>
          <w:sz w:val="18"/>
        </w:rPr>
        <w:t>178</w:t>
      </w:r>
    </w:p>
    <w:p>
      <w:pPr>
        <w:spacing w:before="8"/>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81" name="image5.png"/>
                  <wp:cNvGraphicFramePr>
                    <a:graphicFrameLocks noChangeAspect="1"/>
                  </wp:cNvGraphicFramePr>
                  <a:graphic>
                    <a:graphicData uri="http://schemas.openxmlformats.org/drawingml/2006/picture">
                      <pic:pic>
                        <pic:nvPicPr>
                          <pic:cNvPr id="38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180/247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11:14:27</w:t>
            </w:r>
          </w:p>
        </w:tc>
        <w:tc>
          <w:tcPr>
            <w:tcW w:w="1442" w:type="dxa"/>
            <w:vMerge/>
            <w:tcBorders>
              <w:top w:val="nil"/>
            </w:tcBorders>
          </w:tcPr>
          <w:p>
            <w:pPr>
              <w:rPr>
                <w:sz w:val="2"/>
                <w:szCs w:val="2"/>
              </w:rPr>
            </w:pPr>
          </w:p>
        </w:tc>
      </w:tr>
    </w:tbl>
    <w:p>
      <w:pPr>
        <w:spacing w:after="0"/>
        <w:rPr>
          <w:sz w:val="2"/>
          <w:szCs w:val="2"/>
        </w:rPr>
        <w:sectPr>
          <w:pgSz w:w="16840" w:h="11900" w:orient="landscape"/>
          <w:pgMar w:header="797" w:footer="1006" w:top="1620" w:bottom="1200" w:left="1160" w:right="1160"/>
        </w:sectPr>
      </w:pPr>
    </w:p>
    <w:p>
      <w:pPr>
        <w:pStyle w:val="BodyText"/>
        <w:rPr>
          <w:b/>
          <w:sz w:val="13"/>
        </w:rPr>
      </w:pPr>
    </w:p>
    <w:tbl>
      <w:tblPr>
        <w:tblW w:w="0" w:type="auto"/>
        <w:jc w:val="left"/>
        <w:tblInd w:w="1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45"/>
        <w:gridCol w:w="1234"/>
        <w:gridCol w:w="956"/>
        <w:gridCol w:w="1092"/>
        <w:gridCol w:w="1059"/>
        <w:gridCol w:w="811"/>
        <w:gridCol w:w="718"/>
        <w:gridCol w:w="1027"/>
        <w:gridCol w:w="1030"/>
        <w:gridCol w:w="865"/>
      </w:tblGrid>
      <w:tr>
        <w:trPr>
          <w:trHeight w:val="282" w:hRule="atLeast"/>
        </w:trPr>
        <w:tc>
          <w:tcPr>
            <w:tcW w:w="3445" w:type="dxa"/>
            <w:tcBorders>
              <w:top w:val="single" w:sz="4" w:space="0" w:color="000000"/>
              <w:left w:val="single" w:sz="4" w:space="0" w:color="000000"/>
              <w:bottom w:val="single" w:sz="4" w:space="0" w:color="000000"/>
            </w:tcBorders>
            <w:shd w:val="clear" w:color="auto" w:fill="DEEAF6"/>
          </w:tcPr>
          <w:p>
            <w:pPr>
              <w:pStyle w:val="TableParagraph"/>
              <w:spacing w:before="76"/>
              <w:ind w:left="1460" w:right="1382"/>
              <w:jc w:val="center"/>
              <w:rPr>
                <w:b/>
                <w:sz w:val="11"/>
              </w:rPr>
            </w:pPr>
            <w:r>
              <w:rPr>
                <w:b/>
                <w:w w:val="105"/>
                <w:sz w:val="11"/>
              </w:rPr>
              <w:t>Descripción</w:t>
            </w:r>
          </w:p>
        </w:tc>
        <w:tc>
          <w:tcPr>
            <w:tcW w:w="1234" w:type="dxa"/>
            <w:tcBorders>
              <w:top w:val="single" w:sz="4" w:space="0" w:color="000000"/>
              <w:bottom w:val="single" w:sz="4" w:space="0" w:color="000000"/>
            </w:tcBorders>
            <w:shd w:val="clear" w:color="auto" w:fill="DEEAF6"/>
          </w:tcPr>
          <w:p>
            <w:pPr>
              <w:pStyle w:val="TableParagraph"/>
              <w:spacing w:before="76"/>
              <w:ind w:left="259"/>
              <w:rPr>
                <w:b/>
                <w:sz w:val="11"/>
              </w:rPr>
            </w:pPr>
            <w:r>
              <w:rPr>
                <w:b/>
                <w:w w:val="105"/>
                <w:sz w:val="11"/>
              </w:rPr>
              <w:t>Previsión Inicial</w:t>
            </w:r>
          </w:p>
        </w:tc>
        <w:tc>
          <w:tcPr>
            <w:tcW w:w="956" w:type="dxa"/>
            <w:tcBorders>
              <w:top w:val="single" w:sz="4" w:space="0" w:color="000000"/>
              <w:bottom w:val="single" w:sz="4" w:space="0" w:color="000000"/>
            </w:tcBorders>
            <w:shd w:val="clear" w:color="auto" w:fill="DEEAF6"/>
          </w:tcPr>
          <w:p>
            <w:pPr>
              <w:pStyle w:val="TableParagraph"/>
              <w:spacing w:before="6"/>
              <w:ind w:left="17" w:right="47"/>
              <w:jc w:val="center"/>
              <w:rPr>
                <w:b/>
                <w:sz w:val="11"/>
              </w:rPr>
            </w:pPr>
            <w:r>
              <w:rPr>
                <w:b/>
                <w:w w:val="105"/>
                <w:sz w:val="11"/>
              </w:rPr>
              <w:t>Modificaciones</w:t>
            </w:r>
          </w:p>
          <w:p>
            <w:pPr>
              <w:pStyle w:val="TableParagraph"/>
              <w:spacing w:line="115" w:lineRule="exact" w:before="7"/>
              <w:ind w:left="19" w:right="47"/>
              <w:jc w:val="center"/>
              <w:rPr>
                <w:b/>
                <w:sz w:val="11"/>
              </w:rPr>
            </w:pPr>
            <w:r>
              <w:rPr>
                <w:b/>
                <w:w w:val="105"/>
                <w:sz w:val="11"/>
              </w:rPr>
              <w:t>de crédito</w:t>
            </w:r>
          </w:p>
        </w:tc>
        <w:tc>
          <w:tcPr>
            <w:tcW w:w="1092" w:type="dxa"/>
            <w:tcBorders>
              <w:top w:val="single" w:sz="4" w:space="0" w:color="000000"/>
              <w:bottom w:val="single" w:sz="4" w:space="0" w:color="000000"/>
            </w:tcBorders>
            <w:shd w:val="clear" w:color="auto" w:fill="DEEAF6"/>
          </w:tcPr>
          <w:p>
            <w:pPr>
              <w:pStyle w:val="TableParagraph"/>
              <w:spacing w:before="76"/>
              <w:ind w:right="87"/>
              <w:jc w:val="right"/>
              <w:rPr>
                <w:b/>
                <w:sz w:val="11"/>
              </w:rPr>
            </w:pPr>
            <w:r>
              <w:rPr>
                <w:b/>
                <w:w w:val="105"/>
                <w:sz w:val="11"/>
              </w:rPr>
              <w:t>Previsión Definitiva</w:t>
            </w:r>
          </w:p>
        </w:tc>
        <w:tc>
          <w:tcPr>
            <w:tcW w:w="1059" w:type="dxa"/>
            <w:tcBorders>
              <w:top w:val="single" w:sz="4" w:space="0" w:color="000000"/>
              <w:bottom w:val="single" w:sz="4" w:space="0" w:color="000000"/>
            </w:tcBorders>
            <w:shd w:val="clear" w:color="auto" w:fill="DEEAF6"/>
          </w:tcPr>
          <w:p>
            <w:pPr>
              <w:pStyle w:val="TableParagraph"/>
              <w:spacing w:before="6"/>
              <w:ind w:left="43" w:right="104"/>
              <w:jc w:val="center"/>
              <w:rPr>
                <w:b/>
                <w:sz w:val="11"/>
              </w:rPr>
            </w:pPr>
            <w:r>
              <w:rPr>
                <w:b/>
                <w:w w:val="105"/>
                <w:sz w:val="11"/>
              </w:rPr>
              <w:t>Derechos Recon.</w:t>
            </w:r>
          </w:p>
          <w:p>
            <w:pPr>
              <w:pStyle w:val="TableParagraph"/>
              <w:spacing w:line="115" w:lineRule="exact" w:before="7"/>
              <w:ind w:left="47" w:right="104"/>
              <w:jc w:val="center"/>
              <w:rPr>
                <w:b/>
                <w:sz w:val="11"/>
              </w:rPr>
            </w:pPr>
            <w:r>
              <w:rPr>
                <w:b/>
                <w:w w:val="105"/>
                <w:sz w:val="11"/>
              </w:rPr>
              <w:t>Total</w:t>
            </w:r>
          </w:p>
        </w:tc>
        <w:tc>
          <w:tcPr>
            <w:tcW w:w="811" w:type="dxa"/>
            <w:tcBorders>
              <w:top w:val="single" w:sz="4" w:space="0" w:color="000000"/>
              <w:bottom w:val="single" w:sz="4" w:space="0" w:color="000000"/>
            </w:tcBorders>
            <w:shd w:val="clear" w:color="auto" w:fill="DEEAF6"/>
          </w:tcPr>
          <w:p>
            <w:pPr>
              <w:pStyle w:val="TableParagraph"/>
              <w:spacing w:before="6"/>
              <w:ind w:left="159"/>
              <w:rPr>
                <w:b/>
                <w:sz w:val="11"/>
              </w:rPr>
            </w:pPr>
            <w:r>
              <w:rPr>
                <w:b/>
                <w:w w:val="105"/>
                <w:sz w:val="11"/>
              </w:rPr>
              <w:t>Derechos</w:t>
            </w:r>
          </w:p>
          <w:p>
            <w:pPr>
              <w:pStyle w:val="TableParagraph"/>
              <w:spacing w:line="115" w:lineRule="exact" w:before="7"/>
              <w:ind w:left="161"/>
              <w:rPr>
                <w:b/>
                <w:sz w:val="11"/>
              </w:rPr>
            </w:pPr>
            <w:r>
              <w:rPr>
                <w:b/>
                <w:w w:val="105"/>
                <w:sz w:val="11"/>
              </w:rPr>
              <w:t>Anulados</w:t>
            </w:r>
          </w:p>
        </w:tc>
        <w:tc>
          <w:tcPr>
            <w:tcW w:w="718" w:type="dxa"/>
            <w:tcBorders>
              <w:top w:val="single" w:sz="4" w:space="0" w:color="000000"/>
              <w:bottom w:val="single" w:sz="4" w:space="0" w:color="000000"/>
            </w:tcBorders>
            <w:shd w:val="clear" w:color="auto" w:fill="DEEAF6"/>
          </w:tcPr>
          <w:p>
            <w:pPr>
              <w:pStyle w:val="TableParagraph"/>
              <w:spacing w:before="6"/>
              <w:ind w:left="112"/>
              <w:rPr>
                <w:b/>
                <w:sz w:val="11"/>
              </w:rPr>
            </w:pPr>
            <w:r>
              <w:rPr>
                <w:b/>
                <w:w w:val="105"/>
                <w:sz w:val="11"/>
              </w:rPr>
              <w:t>Derechos</w:t>
            </w:r>
          </w:p>
          <w:p>
            <w:pPr>
              <w:pStyle w:val="TableParagraph"/>
              <w:spacing w:line="115" w:lineRule="exact" w:before="7"/>
              <w:ind w:left="68"/>
              <w:rPr>
                <w:b/>
                <w:sz w:val="11"/>
              </w:rPr>
            </w:pPr>
            <w:r>
              <w:rPr>
                <w:b/>
                <w:w w:val="105"/>
                <w:sz w:val="11"/>
              </w:rPr>
              <w:t>Cancelados</w:t>
            </w:r>
          </w:p>
        </w:tc>
        <w:tc>
          <w:tcPr>
            <w:tcW w:w="1027" w:type="dxa"/>
            <w:tcBorders>
              <w:top w:val="single" w:sz="4" w:space="0" w:color="000000"/>
              <w:bottom w:val="single" w:sz="4" w:space="0" w:color="000000"/>
            </w:tcBorders>
            <w:shd w:val="clear" w:color="auto" w:fill="DEEAF6"/>
          </w:tcPr>
          <w:p>
            <w:pPr>
              <w:pStyle w:val="TableParagraph"/>
              <w:spacing w:before="6"/>
              <w:ind w:left="82" w:right="103"/>
              <w:jc w:val="center"/>
              <w:rPr>
                <w:b/>
                <w:sz w:val="11"/>
              </w:rPr>
            </w:pPr>
            <w:r>
              <w:rPr>
                <w:b/>
                <w:w w:val="105"/>
                <w:sz w:val="11"/>
              </w:rPr>
              <w:t>Derechos Recon.</w:t>
            </w:r>
          </w:p>
          <w:p>
            <w:pPr>
              <w:pStyle w:val="TableParagraph"/>
              <w:spacing w:line="115" w:lineRule="exact" w:before="7"/>
              <w:ind w:left="80" w:right="103"/>
              <w:jc w:val="center"/>
              <w:rPr>
                <w:b/>
                <w:sz w:val="11"/>
              </w:rPr>
            </w:pPr>
            <w:r>
              <w:rPr>
                <w:b/>
                <w:w w:val="105"/>
                <w:sz w:val="11"/>
              </w:rPr>
              <w:t>Netos</w:t>
            </w:r>
          </w:p>
        </w:tc>
        <w:tc>
          <w:tcPr>
            <w:tcW w:w="1030" w:type="dxa"/>
            <w:tcBorders>
              <w:top w:val="single" w:sz="4" w:space="0" w:color="000000"/>
              <w:bottom w:val="single" w:sz="4" w:space="0" w:color="000000"/>
            </w:tcBorders>
            <w:shd w:val="clear" w:color="auto" w:fill="DEEAF6"/>
          </w:tcPr>
          <w:p>
            <w:pPr>
              <w:pStyle w:val="TableParagraph"/>
              <w:spacing w:before="76"/>
              <w:ind w:right="85"/>
              <w:jc w:val="right"/>
              <w:rPr>
                <w:b/>
                <w:sz w:val="11"/>
              </w:rPr>
            </w:pPr>
            <w:r>
              <w:rPr>
                <w:b/>
                <w:w w:val="105"/>
                <w:sz w:val="11"/>
              </w:rPr>
              <w:t>Recaudación Neta</w:t>
            </w:r>
          </w:p>
        </w:tc>
        <w:tc>
          <w:tcPr>
            <w:tcW w:w="865" w:type="dxa"/>
            <w:tcBorders>
              <w:top w:val="single" w:sz="4" w:space="0" w:color="000000"/>
              <w:bottom w:val="single" w:sz="4" w:space="0" w:color="000000"/>
              <w:right w:val="single" w:sz="4" w:space="0" w:color="000000"/>
            </w:tcBorders>
            <w:shd w:val="clear" w:color="auto" w:fill="DEEAF6"/>
          </w:tcPr>
          <w:p>
            <w:pPr>
              <w:pStyle w:val="TableParagraph"/>
              <w:spacing w:before="6"/>
              <w:ind w:left="86" w:right="96"/>
              <w:jc w:val="center"/>
              <w:rPr>
                <w:b/>
                <w:sz w:val="11"/>
              </w:rPr>
            </w:pPr>
            <w:r>
              <w:rPr>
                <w:b/>
                <w:w w:val="105"/>
                <w:sz w:val="11"/>
              </w:rPr>
              <w:t>Pendiente de</w:t>
            </w:r>
          </w:p>
          <w:p>
            <w:pPr>
              <w:pStyle w:val="TableParagraph"/>
              <w:spacing w:line="115" w:lineRule="exact" w:before="7"/>
              <w:ind w:left="86" w:right="95"/>
              <w:jc w:val="center"/>
              <w:rPr>
                <w:b/>
                <w:sz w:val="11"/>
              </w:rPr>
            </w:pPr>
            <w:r>
              <w:rPr>
                <w:b/>
                <w:w w:val="105"/>
                <w:sz w:val="11"/>
              </w:rPr>
              <w:t>Cobro</w:t>
            </w:r>
          </w:p>
        </w:tc>
      </w:tr>
      <w:tr>
        <w:trPr>
          <w:trHeight w:val="161" w:hRule="atLeast"/>
        </w:trPr>
        <w:tc>
          <w:tcPr>
            <w:tcW w:w="3445" w:type="dxa"/>
            <w:tcBorders>
              <w:top w:val="single" w:sz="4" w:space="0" w:color="000000"/>
              <w:left w:val="single" w:sz="4" w:space="0" w:color="000000"/>
            </w:tcBorders>
          </w:tcPr>
          <w:p>
            <w:pPr>
              <w:pStyle w:val="TableParagraph"/>
              <w:spacing w:line="139" w:lineRule="exact" w:before="2"/>
              <w:ind w:left="52"/>
              <w:rPr>
                <w:sz w:val="12"/>
              </w:rPr>
            </w:pPr>
            <w:r>
              <w:rPr>
                <w:w w:val="105"/>
                <w:sz w:val="12"/>
              </w:rPr>
              <w:t>32961 - Ingresos conservatorios superiores de música</w:t>
            </w:r>
          </w:p>
        </w:tc>
        <w:tc>
          <w:tcPr>
            <w:tcW w:w="1234" w:type="dxa"/>
            <w:tcBorders>
              <w:top w:val="single" w:sz="4" w:space="0" w:color="000000"/>
            </w:tcBorders>
          </w:tcPr>
          <w:p>
            <w:pPr>
              <w:pStyle w:val="TableParagraph"/>
              <w:spacing w:line="139" w:lineRule="exact" w:before="2"/>
              <w:ind w:right="85"/>
              <w:jc w:val="right"/>
              <w:rPr>
                <w:sz w:val="12"/>
              </w:rPr>
            </w:pPr>
            <w:r>
              <w:rPr>
                <w:w w:val="105"/>
                <w:sz w:val="12"/>
              </w:rPr>
              <w:t>872.507,00</w:t>
            </w:r>
          </w:p>
        </w:tc>
        <w:tc>
          <w:tcPr>
            <w:tcW w:w="956" w:type="dxa"/>
            <w:tcBorders>
              <w:top w:val="single" w:sz="4" w:space="0" w:color="000000"/>
            </w:tcBorders>
          </w:tcPr>
          <w:p>
            <w:pPr>
              <w:pStyle w:val="TableParagraph"/>
              <w:spacing w:line="139" w:lineRule="exact" w:before="2"/>
              <w:ind w:right="49"/>
              <w:jc w:val="right"/>
              <w:rPr>
                <w:sz w:val="12"/>
              </w:rPr>
            </w:pPr>
            <w:r>
              <w:rPr>
                <w:sz w:val="12"/>
              </w:rPr>
              <w:t>0,00</w:t>
            </w:r>
          </w:p>
        </w:tc>
        <w:tc>
          <w:tcPr>
            <w:tcW w:w="1092" w:type="dxa"/>
            <w:tcBorders>
              <w:top w:val="single" w:sz="4" w:space="0" w:color="000000"/>
            </w:tcBorders>
          </w:tcPr>
          <w:p>
            <w:pPr>
              <w:pStyle w:val="TableParagraph"/>
              <w:spacing w:line="139" w:lineRule="exact" w:before="2"/>
              <w:ind w:right="82"/>
              <w:jc w:val="right"/>
              <w:rPr>
                <w:sz w:val="12"/>
              </w:rPr>
            </w:pPr>
            <w:r>
              <w:rPr>
                <w:w w:val="105"/>
                <w:sz w:val="12"/>
              </w:rPr>
              <w:t>872.507,00</w:t>
            </w:r>
          </w:p>
        </w:tc>
        <w:tc>
          <w:tcPr>
            <w:tcW w:w="1059" w:type="dxa"/>
            <w:tcBorders>
              <w:top w:val="single" w:sz="4" w:space="0" w:color="000000"/>
            </w:tcBorders>
          </w:tcPr>
          <w:p>
            <w:pPr>
              <w:pStyle w:val="TableParagraph"/>
              <w:spacing w:line="139" w:lineRule="exact" w:before="2"/>
              <w:ind w:right="80"/>
              <w:jc w:val="right"/>
              <w:rPr>
                <w:sz w:val="12"/>
              </w:rPr>
            </w:pPr>
            <w:r>
              <w:rPr>
                <w:w w:val="105"/>
                <w:sz w:val="12"/>
              </w:rPr>
              <w:t>725.544,39</w:t>
            </w:r>
          </w:p>
        </w:tc>
        <w:tc>
          <w:tcPr>
            <w:tcW w:w="811" w:type="dxa"/>
            <w:tcBorders>
              <w:top w:val="single" w:sz="4" w:space="0" w:color="000000"/>
            </w:tcBorders>
          </w:tcPr>
          <w:p>
            <w:pPr>
              <w:pStyle w:val="TableParagraph"/>
              <w:spacing w:line="139" w:lineRule="exact" w:before="2"/>
              <w:ind w:right="54"/>
              <w:jc w:val="right"/>
              <w:rPr>
                <w:sz w:val="12"/>
              </w:rPr>
            </w:pPr>
            <w:r>
              <w:rPr>
                <w:w w:val="105"/>
                <w:sz w:val="12"/>
              </w:rPr>
              <w:t>1.166,48</w:t>
            </w:r>
          </w:p>
        </w:tc>
        <w:tc>
          <w:tcPr>
            <w:tcW w:w="718" w:type="dxa"/>
            <w:tcBorders>
              <w:top w:val="single" w:sz="4" w:space="0" w:color="000000"/>
            </w:tcBorders>
          </w:tcPr>
          <w:p>
            <w:pPr>
              <w:pStyle w:val="TableParagraph"/>
              <w:spacing w:line="139" w:lineRule="exact" w:before="2"/>
              <w:ind w:right="80"/>
              <w:jc w:val="right"/>
              <w:rPr>
                <w:sz w:val="12"/>
              </w:rPr>
            </w:pPr>
            <w:r>
              <w:rPr>
                <w:sz w:val="12"/>
              </w:rPr>
              <w:t>0,00</w:t>
            </w:r>
          </w:p>
        </w:tc>
        <w:tc>
          <w:tcPr>
            <w:tcW w:w="1027" w:type="dxa"/>
            <w:tcBorders>
              <w:top w:val="single" w:sz="4" w:space="0" w:color="000000"/>
            </w:tcBorders>
          </w:tcPr>
          <w:p>
            <w:pPr>
              <w:pStyle w:val="TableParagraph"/>
              <w:spacing w:line="139" w:lineRule="exact" w:before="2"/>
              <w:ind w:right="47"/>
              <w:jc w:val="right"/>
              <w:rPr>
                <w:sz w:val="12"/>
              </w:rPr>
            </w:pPr>
            <w:r>
              <w:rPr>
                <w:w w:val="105"/>
                <w:sz w:val="12"/>
              </w:rPr>
              <w:t>724.377,91</w:t>
            </w:r>
          </w:p>
        </w:tc>
        <w:tc>
          <w:tcPr>
            <w:tcW w:w="1030" w:type="dxa"/>
            <w:tcBorders>
              <w:top w:val="single" w:sz="4" w:space="0" w:color="000000"/>
            </w:tcBorders>
          </w:tcPr>
          <w:p>
            <w:pPr>
              <w:pStyle w:val="TableParagraph"/>
              <w:spacing w:line="139" w:lineRule="exact" w:before="2"/>
              <w:ind w:right="78"/>
              <w:jc w:val="right"/>
              <w:rPr>
                <w:sz w:val="12"/>
              </w:rPr>
            </w:pPr>
            <w:r>
              <w:rPr>
                <w:w w:val="105"/>
                <w:sz w:val="12"/>
              </w:rPr>
              <w:t>724.377,91</w:t>
            </w:r>
          </w:p>
        </w:tc>
        <w:tc>
          <w:tcPr>
            <w:tcW w:w="865" w:type="dxa"/>
            <w:tcBorders>
              <w:top w:val="single" w:sz="4" w:space="0" w:color="000000"/>
              <w:right w:val="single" w:sz="4" w:space="0" w:color="000000"/>
            </w:tcBorders>
          </w:tcPr>
          <w:p>
            <w:pPr>
              <w:pStyle w:val="TableParagraph"/>
              <w:spacing w:line="139" w:lineRule="exact" w:before="2"/>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32923 - Consj.Dchos.Sociales,Igualdad,Diversidad yJuventud</w:t>
            </w:r>
          </w:p>
        </w:tc>
        <w:tc>
          <w:tcPr>
            <w:tcW w:w="1234" w:type="dxa"/>
          </w:tcPr>
          <w:p>
            <w:pPr>
              <w:pStyle w:val="TableParagraph"/>
              <w:spacing w:line="132" w:lineRule="exact"/>
              <w:ind w:right="85"/>
              <w:jc w:val="right"/>
              <w:rPr>
                <w:sz w:val="12"/>
              </w:rPr>
            </w:pPr>
            <w:r>
              <w:rPr>
                <w:w w:val="105"/>
                <w:sz w:val="12"/>
              </w:rPr>
              <w:t>50.000,00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50.000,00</w:t>
            </w:r>
          </w:p>
        </w:tc>
        <w:tc>
          <w:tcPr>
            <w:tcW w:w="1059" w:type="dxa"/>
          </w:tcPr>
          <w:p>
            <w:pPr>
              <w:pStyle w:val="TableParagraph"/>
              <w:spacing w:line="132" w:lineRule="exact"/>
              <w:ind w:right="80"/>
              <w:jc w:val="right"/>
              <w:rPr>
                <w:sz w:val="12"/>
              </w:rPr>
            </w:pPr>
            <w:r>
              <w:rPr>
                <w:w w:val="105"/>
                <w:sz w:val="12"/>
              </w:rPr>
              <w:t>33.918,47</w:t>
            </w:r>
          </w:p>
        </w:tc>
        <w:tc>
          <w:tcPr>
            <w:tcW w:w="811" w:type="dxa"/>
          </w:tcPr>
          <w:p>
            <w:pPr>
              <w:pStyle w:val="TableParagraph"/>
              <w:spacing w:line="132" w:lineRule="exact"/>
              <w:ind w:right="54"/>
              <w:jc w:val="right"/>
              <w:rPr>
                <w:sz w:val="12"/>
              </w:rPr>
            </w:pPr>
            <w:r>
              <w:rPr>
                <w:w w:val="105"/>
                <w:sz w:val="12"/>
              </w:rPr>
              <w:t>4.632,47</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29.286,00</w:t>
            </w:r>
          </w:p>
        </w:tc>
        <w:tc>
          <w:tcPr>
            <w:tcW w:w="1030" w:type="dxa"/>
          </w:tcPr>
          <w:p>
            <w:pPr>
              <w:pStyle w:val="TableParagraph"/>
              <w:spacing w:line="132" w:lineRule="exact"/>
              <w:ind w:right="78"/>
              <w:jc w:val="right"/>
              <w:rPr>
                <w:sz w:val="12"/>
              </w:rPr>
            </w:pPr>
            <w:r>
              <w:rPr>
                <w:w w:val="105"/>
                <w:sz w:val="12"/>
              </w:rPr>
              <w:t>29.286,00</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1" w:lineRule="exact"/>
              <w:ind w:left="52"/>
              <w:rPr>
                <w:sz w:val="12"/>
              </w:rPr>
            </w:pPr>
            <w:r>
              <w:rPr>
                <w:w w:val="105"/>
                <w:sz w:val="12"/>
              </w:rPr>
              <w:t>32918 - Consj. Educación,Universidades,Cultura y Deportes</w:t>
            </w:r>
          </w:p>
        </w:tc>
        <w:tc>
          <w:tcPr>
            <w:tcW w:w="1234" w:type="dxa"/>
          </w:tcPr>
          <w:p>
            <w:pPr>
              <w:pStyle w:val="TableParagraph"/>
              <w:spacing w:line="131" w:lineRule="exact"/>
              <w:ind w:right="85"/>
              <w:jc w:val="right"/>
              <w:rPr>
                <w:sz w:val="12"/>
              </w:rPr>
            </w:pPr>
            <w:r>
              <w:rPr>
                <w:w w:val="105"/>
                <w:sz w:val="12"/>
              </w:rPr>
              <w:t>2.896.643,00</w:t>
            </w:r>
          </w:p>
        </w:tc>
        <w:tc>
          <w:tcPr>
            <w:tcW w:w="956" w:type="dxa"/>
          </w:tcPr>
          <w:p>
            <w:pPr>
              <w:pStyle w:val="TableParagraph"/>
              <w:spacing w:line="131" w:lineRule="exact"/>
              <w:ind w:right="49"/>
              <w:jc w:val="right"/>
              <w:rPr>
                <w:sz w:val="12"/>
              </w:rPr>
            </w:pPr>
            <w:r>
              <w:rPr>
                <w:sz w:val="12"/>
              </w:rPr>
              <w:t>0,00</w:t>
            </w:r>
          </w:p>
        </w:tc>
        <w:tc>
          <w:tcPr>
            <w:tcW w:w="1092" w:type="dxa"/>
          </w:tcPr>
          <w:p>
            <w:pPr>
              <w:pStyle w:val="TableParagraph"/>
              <w:spacing w:line="131" w:lineRule="exact"/>
              <w:ind w:right="82"/>
              <w:jc w:val="right"/>
              <w:rPr>
                <w:sz w:val="12"/>
              </w:rPr>
            </w:pPr>
            <w:r>
              <w:rPr>
                <w:w w:val="105"/>
                <w:sz w:val="12"/>
              </w:rPr>
              <w:t>2.896.643,00</w:t>
            </w:r>
          </w:p>
        </w:tc>
        <w:tc>
          <w:tcPr>
            <w:tcW w:w="1059" w:type="dxa"/>
          </w:tcPr>
          <w:p>
            <w:pPr>
              <w:pStyle w:val="TableParagraph"/>
              <w:spacing w:line="131" w:lineRule="exact"/>
              <w:ind w:right="80"/>
              <w:jc w:val="right"/>
              <w:rPr>
                <w:sz w:val="12"/>
              </w:rPr>
            </w:pPr>
            <w:r>
              <w:rPr>
                <w:w w:val="105"/>
                <w:sz w:val="12"/>
              </w:rPr>
              <w:t>2.816.153,08</w:t>
            </w:r>
          </w:p>
        </w:tc>
        <w:tc>
          <w:tcPr>
            <w:tcW w:w="811" w:type="dxa"/>
          </w:tcPr>
          <w:p>
            <w:pPr>
              <w:pStyle w:val="TableParagraph"/>
              <w:spacing w:line="131" w:lineRule="exact"/>
              <w:ind w:right="54"/>
              <w:jc w:val="right"/>
              <w:rPr>
                <w:sz w:val="12"/>
              </w:rPr>
            </w:pPr>
            <w:r>
              <w:rPr>
                <w:w w:val="105"/>
                <w:sz w:val="12"/>
              </w:rPr>
              <w:t>66.788,22</w:t>
            </w:r>
          </w:p>
        </w:tc>
        <w:tc>
          <w:tcPr>
            <w:tcW w:w="718" w:type="dxa"/>
          </w:tcPr>
          <w:p>
            <w:pPr>
              <w:pStyle w:val="TableParagraph"/>
              <w:spacing w:line="131" w:lineRule="exact"/>
              <w:ind w:right="80"/>
              <w:jc w:val="right"/>
              <w:rPr>
                <w:sz w:val="12"/>
              </w:rPr>
            </w:pPr>
            <w:r>
              <w:rPr>
                <w:sz w:val="12"/>
              </w:rPr>
              <w:t>0,00</w:t>
            </w:r>
          </w:p>
        </w:tc>
        <w:tc>
          <w:tcPr>
            <w:tcW w:w="1027" w:type="dxa"/>
          </w:tcPr>
          <w:p>
            <w:pPr>
              <w:pStyle w:val="TableParagraph"/>
              <w:spacing w:line="131" w:lineRule="exact"/>
              <w:ind w:right="47"/>
              <w:jc w:val="right"/>
              <w:rPr>
                <w:sz w:val="12"/>
              </w:rPr>
            </w:pPr>
            <w:r>
              <w:rPr>
                <w:w w:val="105"/>
                <w:sz w:val="12"/>
              </w:rPr>
              <w:t>2.749.364,86</w:t>
            </w:r>
          </w:p>
        </w:tc>
        <w:tc>
          <w:tcPr>
            <w:tcW w:w="1030" w:type="dxa"/>
          </w:tcPr>
          <w:p>
            <w:pPr>
              <w:pStyle w:val="TableParagraph"/>
              <w:spacing w:line="131" w:lineRule="exact"/>
              <w:ind w:right="77"/>
              <w:jc w:val="right"/>
              <w:rPr>
                <w:sz w:val="12"/>
              </w:rPr>
            </w:pPr>
            <w:r>
              <w:rPr>
                <w:w w:val="105"/>
                <w:sz w:val="12"/>
              </w:rPr>
              <w:t>2.749.364,86</w:t>
            </w:r>
          </w:p>
        </w:tc>
        <w:tc>
          <w:tcPr>
            <w:tcW w:w="865" w:type="dxa"/>
            <w:tcBorders>
              <w:right w:val="single" w:sz="4" w:space="0" w:color="000000"/>
            </w:tcBorders>
          </w:tcPr>
          <w:p>
            <w:pPr>
              <w:pStyle w:val="TableParagraph"/>
              <w:spacing w:line="131" w:lineRule="exact"/>
              <w:ind w:right="35"/>
              <w:jc w:val="right"/>
              <w:rPr>
                <w:sz w:val="12"/>
              </w:rPr>
            </w:pPr>
            <w:r>
              <w:rPr>
                <w:sz w:val="12"/>
              </w:rPr>
              <w:t>0,00</w:t>
            </w:r>
          </w:p>
        </w:tc>
      </w:tr>
      <w:tr>
        <w:trPr>
          <w:trHeight w:val="152" w:hRule="atLeast"/>
        </w:trPr>
        <w:tc>
          <w:tcPr>
            <w:tcW w:w="3445" w:type="dxa"/>
            <w:tcBorders>
              <w:left w:val="single" w:sz="4" w:space="0" w:color="000000"/>
            </w:tcBorders>
          </w:tcPr>
          <w:p>
            <w:pPr>
              <w:pStyle w:val="TableParagraph"/>
              <w:spacing w:line="132" w:lineRule="exact"/>
              <w:ind w:left="52"/>
              <w:rPr>
                <w:sz w:val="12"/>
              </w:rPr>
            </w:pPr>
            <w:r>
              <w:rPr>
                <w:w w:val="105"/>
                <w:sz w:val="12"/>
              </w:rPr>
              <w:t>32915 - Consejería de Economía, Conocimiento y Empleo</w:t>
            </w:r>
          </w:p>
        </w:tc>
        <w:tc>
          <w:tcPr>
            <w:tcW w:w="1234" w:type="dxa"/>
          </w:tcPr>
          <w:p>
            <w:pPr>
              <w:pStyle w:val="TableParagraph"/>
              <w:spacing w:line="132" w:lineRule="exact"/>
              <w:ind w:right="85"/>
              <w:jc w:val="right"/>
              <w:rPr>
                <w:sz w:val="12"/>
              </w:rPr>
            </w:pPr>
            <w:r>
              <w:rPr>
                <w:w w:val="105"/>
                <w:sz w:val="12"/>
              </w:rPr>
              <w:t>1.263.290,00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1.263.290,00</w:t>
            </w:r>
          </w:p>
        </w:tc>
        <w:tc>
          <w:tcPr>
            <w:tcW w:w="1059" w:type="dxa"/>
          </w:tcPr>
          <w:p>
            <w:pPr>
              <w:pStyle w:val="TableParagraph"/>
              <w:spacing w:line="132" w:lineRule="exact"/>
              <w:ind w:right="80"/>
              <w:jc w:val="right"/>
              <w:rPr>
                <w:sz w:val="12"/>
              </w:rPr>
            </w:pPr>
            <w:r>
              <w:rPr>
                <w:w w:val="105"/>
                <w:sz w:val="12"/>
              </w:rPr>
              <w:t>1.828.876,77</w:t>
            </w:r>
          </w:p>
        </w:tc>
        <w:tc>
          <w:tcPr>
            <w:tcW w:w="811" w:type="dxa"/>
          </w:tcPr>
          <w:p>
            <w:pPr>
              <w:pStyle w:val="TableParagraph"/>
              <w:spacing w:line="132" w:lineRule="exact"/>
              <w:ind w:right="54"/>
              <w:jc w:val="right"/>
              <w:rPr>
                <w:sz w:val="12"/>
              </w:rPr>
            </w:pPr>
            <w:r>
              <w:rPr>
                <w:w w:val="105"/>
                <w:sz w:val="12"/>
              </w:rPr>
              <w:t>5.534,77</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1.823.342,00</w:t>
            </w:r>
          </w:p>
        </w:tc>
        <w:tc>
          <w:tcPr>
            <w:tcW w:w="1030" w:type="dxa"/>
          </w:tcPr>
          <w:p>
            <w:pPr>
              <w:pStyle w:val="TableParagraph"/>
              <w:spacing w:line="132" w:lineRule="exact"/>
              <w:ind w:right="77"/>
              <w:jc w:val="right"/>
              <w:rPr>
                <w:sz w:val="12"/>
              </w:rPr>
            </w:pPr>
            <w:r>
              <w:rPr>
                <w:w w:val="105"/>
                <w:sz w:val="12"/>
              </w:rPr>
              <w:t>1.823.342,00</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32913 - Consejería de Agricultura, Ganadería y Pesca</w:t>
            </w:r>
          </w:p>
        </w:tc>
        <w:tc>
          <w:tcPr>
            <w:tcW w:w="1234" w:type="dxa"/>
          </w:tcPr>
          <w:p>
            <w:pPr>
              <w:pStyle w:val="TableParagraph"/>
              <w:spacing w:line="132" w:lineRule="exact"/>
              <w:ind w:right="85"/>
              <w:jc w:val="right"/>
              <w:rPr>
                <w:sz w:val="12"/>
              </w:rPr>
            </w:pPr>
            <w:r>
              <w:rPr>
                <w:w w:val="105"/>
                <w:sz w:val="12"/>
              </w:rPr>
              <w:t>250.000,00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250.000,00</w:t>
            </w:r>
          </w:p>
        </w:tc>
        <w:tc>
          <w:tcPr>
            <w:tcW w:w="1059" w:type="dxa"/>
          </w:tcPr>
          <w:p>
            <w:pPr>
              <w:pStyle w:val="TableParagraph"/>
              <w:spacing w:line="132" w:lineRule="exact"/>
              <w:ind w:right="80"/>
              <w:jc w:val="right"/>
              <w:rPr>
                <w:sz w:val="12"/>
              </w:rPr>
            </w:pPr>
            <w:r>
              <w:rPr>
                <w:w w:val="105"/>
                <w:sz w:val="12"/>
              </w:rPr>
              <w:t>153.453,67</w:t>
            </w:r>
          </w:p>
        </w:tc>
        <w:tc>
          <w:tcPr>
            <w:tcW w:w="811" w:type="dxa"/>
          </w:tcPr>
          <w:p>
            <w:pPr>
              <w:pStyle w:val="TableParagraph"/>
              <w:spacing w:line="132" w:lineRule="exact"/>
              <w:ind w:right="54"/>
              <w:jc w:val="right"/>
              <w:rPr>
                <w:sz w:val="12"/>
              </w:rPr>
            </w:pPr>
            <w:r>
              <w:rPr>
                <w:sz w:val="12"/>
              </w:rPr>
              <w:t>907,00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152.546,67</w:t>
            </w:r>
          </w:p>
        </w:tc>
        <w:tc>
          <w:tcPr>
            <w:tcW w:w="1030" w:type="dxa"/>
          </w:tcPr>
          <w:p>
            <w:pPr>
              <w:pStyle w:val="TableParagraph"/>
              <w:spacing w:line="132" w:lineRule="exact"/>
              <w:ind w:right="78"/>
              <w:jc w:val="right"/>
              <w:rPr>
                <w:sz w:val="12"/>
              </w:rPr>
            </w:pPr>
            <w:r>
              <w:rPr>
                <w:w w:val="105"/>
                <w:sz w:val="12"/>
              </w:rPr>
              <w:t>152.546,67</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32911 - Consej. de Obras Públicas, Transportes y Vivienda</w:t>
            </w:r>
          </w:p>
        </w:tc>
        <w:tc>
          <w:tcPr>
            <w:tcW w:w="1234" w:type="dxa"/>
          </w:tcPr>
          <w:p>
            <w:pPr>
              <w:pStyle w:val="TableParagraph"/>
              <w:spacing w:line="132" w:lineRule="exact"/>
              <w:ind w:right="85"/>
              <w:jc w:val="right"/>
              <w:rPr>
                <w:sz w:val="12"/>
              </w:rPr>
            </w:pPr>
            <w:r>
              <w:rPr>
                <w:w w:val="105"/>
                <w:sz w:val="12"/>
              </w:rPr>
              <w:t>60.000,00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60.000,00</w:t>
            </w:r>
          </w:p>
        </w:tc>
        <w:tc>
          <w:tcPr>
            <w:tcW w:w="1059" w:type="dxa"/>
          </w:tcPr>
          <w:p>
            <w:pPr>
              <w:pStyle w:val="TableParagraph"/>
              <w:spacing w:line="132" w:lineRule="exact"/>
              <w:ind w:right="80"/>
              <w:jc w:val="right"/>
              <w:rPr>
                <w:sz w:val="12"/>
              </w:rPr>
            </w:pPr>
            <w:r>
              <w:rPr>
                <w:w w:val="105"/>
                <w:sz w:val="12"/>
              </w:rPr>
              <w:t>84.158,55</w:t>
            </w:r>
          </w:p>
        </w:tc>
        <w:tc>
          <w:tcPr>
            <w:tcW w:w="811" w:type="dxa"/>
          </w:tcPr>
          <w:p>
            <w:pPr>
              <w:pStyle w:val="TableParagraph"/>
              <w:spacing w:line="132" w:lineRule="exact"/>
              <w:ind w:right="54"/>
              <w:jc w:val="right"/>
              <w:rPr>
                <w:sz w:val="12"/>
              </w:rPr>
            </w:pPr>
            <w:r>
              <w:rPr>
                <w:sz w:val="12"/>
              </w:rPr>
              <w:t>161,12</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83.997,43</w:t>
            </w:r>
          </w:p>
        </w:tc>
        <w:tc>
          <w:tcPr>
            <w:tcW w:w="1030" w:type="dxa"/>
          </w:tcPr>
          <w:p>
            <w:pPr>
              <w:pStyle w:val="TableParagraph"/>
              <w:spacing w:line="132" w:lineRule="exact"/>
              <w:ind w:right="78"/>
              <w:jc w:val="right"/>
              <w:rPr>
                <w:sz w:val="12"/>
              </w:rPr>
            </w:pPr>
            <w:r>
              <w:rPr>
                <w:w w:val="105"/>
                <w:sz w:val="12"/>
              </w:rPr>
              <w:t>83.997,43</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32910 - Consej.de Hacienda,Presupuestos y Asuntos Europeos</w:t>
            </w:r>
          </w:p>
        </w:tc>
        <w:tc>
          <w:tcPr>
            <w:tcW w:w="1234" w:type="dxa"/>
          </w:tcPr>
          <w:p>
            <w:pPr>
              <w:pStyle w:val="TableParagraph"/>
              <w:spacing w:line="132" w:lineRule="exact"/>
              <w:ind w:right="85"/>
              <w:jc w:val="right"/>
              <w:rPr>
                <w:sz w:val="12"/>
              </w:rPr>
            </w:pPr>
            <w:r>
              <w:rPr>
                <w:sz w:val="12"/>
              </w:rPr>
              <w:t>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sz w:val="12"/>
              </w:rPr>
              <w:t>0,00</w:t>
            </w:r>
          </w:p>
        </w:tc>
        <w:tc>
          <w:tcPr>
            <w:tcW w:w="1059" w:type="dxa"/>
          </w:tcPr>
          <w:p>
            <w:pPr>
              <w:pStyle w:val="TableParagraph"/>
              <w:spacing w:line="132" w:lineRule="exact"/>
              <w:ind w:right="80"/>
              <w:jc w:val="right"/>
              <w:rPr>
                <w:sz w:val="12"/>
              </w:rPr>
            </w:pPr>
            <w:r>
              <w:rPr>
                <w:w w:val="105"/>
                <w:sz w:val="12"/>
              </w:rPr>
              <w:t>9.310,84</w:t>
            </w:r>
          </w:p>
        </w:tc>
        <w:tc>
          <w:tcPr>
            <w:tcW w:w="811" w:type="dxa"/>
          </w:tcPr>
          <w:p>
            <w:pPr>
              <w:pStyle w:val="TableParagraph"/>
              <w:spacing w:line="132" w:lineRule="exact"/>
              <w:ind w:right="54"/>
              <w:jc w:val="right"/>
              <w:rPr>
                <w:sz w:val="12"/>
              </w:rPr>
            </w:pPr>
            <w:r>
              <w:rPr>
                <w:sz w:val="12"/>
              </w:rPr>
              <w:t>4,41</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9.306,43</w:t>
            </w:r>
          </w:p>
        </w:tc>
        <w:tc>
          <w:tcPr>
            <w:tcW w:w="1030" w:type="dxa"/>
          </w:tcPr>
          <w:p>
            <w:pPr>
              <w:pStyle w:val="TableParagraph"/>
              <w:spacing w:line="132" w:lineRule="exact"/>
              <w:ind w:right="78"/>
              <w:jc w:val="right"/>
              <w:rPr>
                <w:sz w:val="12"/>
              </w:rPr>
            </w:pPr>
            <w:r>
              <w:rPr>
                <w:w w:val="105"/>
                <w:sz w:val="12"/>
              </w:rPr>
              <w:t>9.306,43</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0" w:hRule="atLeast"/>
        </w:trPr>
        <w:tc>
          <w:tcPr>
            <w:tcW w:w="3445" w:type="dxa"/>
            <w:tcBorders>
              <w:left w:val="single" w:sz="4" w:space="0" w:color="000000"/>
            </w:tcBorders>
          </w:tcPr>
          <w:p>
            <w:pPr>
              <w:pStyle w:val="TableParagraph"/>
              <w:spacing w:line="131" w:lineRule="exact"/>
              <w:ind w:left="52"/>
              <w:rPr>
                <w:sz w:val="12"/>
              </w:rPr>
            </w:pPr>
            <w:r>
              <w:rPr>
                <w:w w:val="105"/>
                <w:sz w:val="12"/>
              </w:rPr>
              <w:t>32908 - Consej. de Admones. Públicas, Justicia y Seguridad</w:t>
            </w:r>
          </w:p>
        </w:tc>
        <w:tc>
          <w:tcPr>
            <w:tcW w:w="1234" w:type="dxa"/>
          </w:tcPr>
          <w:p>
            <w:pPr>
              <w:pStyle w:val="TableParagraph"/>
              <w:spacing w:line="131" w:lineRule="exact"/>
              <w:ind w:right="85"/>
              <w:jc w:val="right"/>
              <w:rPr>
                <w:sz w:val="12"/>
              </w:rPr>
            </w:pPr>
            <w:r>
              <w:rPr>
                <w:w w:val="105"/>
                <w:sz w:val="12"/>
              </w:rPr>
              <w:t>797.154,00</w:t>
            </w:r>
          </w:p>
        </w:tc>
        <w:tc>
          <w:tcPr>
            <w:tcW w:w="956" w:type="dxa"/>
          </w:tcPr>
          <w:p>
            <w:pPr>
              <w:pStyle w:val="TableParagraph"/>
              <w:spacing w:line="131" w:lineRule="exact"/>
              <w:ind w:right="49"/>
              <w:jc w:val="right"/>
              <w:rPr>
                <w:sz w:val="12"/>
              </w:rPr>
            </w:pPr>
            <w:r>
              <w:rPr>
                <w:sz w:val="12"/>
              </w:rPr>
              <w:t>0,00</w:t>
            </w:r>
          </w:p>
        </w:tc>
        <w:tc>
          <w:tcPr>
            <w:tcW w:w="1092" w:type="dxa"/>
          </w:tcPr>
          <w:p>
            <w:pPr>
              <w:pStyle w:val="TableParagraph"/>
              <w:spacing w:line="131" w:lineRule="exact"/>
              <w:ind w:right="82"/>
              <w:jc w:val="right"/>
              <w:rPr>
                <w:sz w:val="12"/>
              </w:rPr>
            </w:pPr>
            <w:r>
              <w:rPr>
                <w:w w:val="105"/>
                <w:sz w:val="12"/>
              </w:rPr>
              <w:t>797.154,00</w:t>
            </w:r>
          </w:p>
        </w:tc>
        <w:tc>
          <w:tcPr>
            <w:tcW w:w="1059" w:type="dxa"/>
          </w:tcPr>
          <w:p>
            <w:pPr>
              <w:pStyle w:val="TableParagraph"/>
              <w:spacing w:line="131" w:lineRule="exact"/>
              <w:ind w:right="80"/>
              <w:jc w:val="right"/>
              <w:rPr>
                <w:sz w:val="12"/>
              </w:rPr>
            </w:pPr>
            <w:r>
              <w:rPr>
                <w:w w:val="105"/>
                <w:sz w:val="12"/>
              </w:rPr>
              <w:t>486.756,59</w:t>
            </w:r>
          </w:p>
        </w:tc>
        <w:tc>
          <w:tcPr>
            <w:tcW w:w="811" w:type="dxa"/>
          </w:tcPr>
          <w:p>
            <w:pPr>
              <w:pStyle w:val="TableParagraph"/>
              <w:spacing w:line="131" w:lineRule="exact"/>
              <w:ind w:right="54"/>
              <w:jc w:val="right"/>
              <w:rPr>
                <w:sz w:val="12"/>
              </w:rPr>
            </w:pPr>
            <w:r>
              <w:rPr>
                <w:sz w:val="12"/>
              </w:rPr>
              <w:t>448,44</w:t>
            </w:r>
          </w:p>
        </w:tc>
        <w:tc>
          <w:tcPr>
            <w:tcW w:w="718" w:type="dxa"/>
          </w:tcPr>
          <w:p>
            <w:pPr>
              <w:pStyle w:val="TableParagraph"/>
              <w:spacing w:line="131" w:lineRule="exact"/>
              <w:ind w:right="80"/>
              <w:jc w:val="right"/>
              <w:rPr>
                <w:sz w:val="12"/>
              </w:rPr>
            </w:pPr>
            <w:r>
              <w:rPr>
                <w:sz w:val="12"/>
              </w:rPr>
              <w:t>0,00</w:t>
            </w:r>
          </w:p>
        </w:tc>
        <w:tc>
          <w:tcPr>
            <w:tcW w:w="1027" w:type="dxa"/>
          </w:tcPr>
          <w:p>
            <w:pPr>
              <w:pStyle w:val="TableParagraph"/>
              <w:spacing w:line="131" w:lineRule="exact"/>
              <w:ind w:right="47"/>
              <w:jc w:val="right"/>
              <w:rPr>
                <w:sz w:val="12"/>
              </w:rPr>
            </w:pPr>
            <w:r>
              <w:rPr>
                <w:w w:val="105"/>
                <w:sz w:val="12"/>
              </w:rPr>
              <w:t>486.308,15</w:t>
            </w:r>
          </w:p>
        </w:tc>
        <w:tc>
          <w:tcPr>
            <w:tcW w:w="1030" w:type="dxa"/>
          </w:tcPr>
          <w:p>
            <w:pPr>
              <w:pStyle w:val="TableParagraph"/>
              <w:spacing w:line="131" w:lineRule="exact"/>
              <w:ind w:right="78"/>
              <w:jc w:val="right"/>
              <w:rPr>
                <w:sz w:val="12"/>
              </w:rPr>
            </w:pPr>
            <w:r>
              <w:rPr>
                <w:w w:val="105"/>
                <w:sz w:val="12"/>
              </w:rPr>
              <w:t>486.308,15</w:t>
            </w:r>
          </w:p>
        </w:tc>
        <w:tc>
          <w:tcPr>
            <w:tcW w:w="865" w:type="dxa"/>
            <w:tcBorders>
              <w:right w:val="single" w:sz="4" w:space="0" w:color="000000"/>
            </w:tcBorders>
          </w:tcPr>
          <w:p>
            <w:pPr>
              <w:pStyle w:val="TableParagraph"/>
              <w:spacing w:line="131"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32906 - Presidencia del Gobierno</w:t>
            </w:r>
          </w:p>
        </w:tc>
        <w:tc>
          <w:tcPr>
            <w:tcW w:w="1234" w:type="dxa"/>
          </w:tcPr>
          <w:p>
            <w:pPr>
              <w:pStyle w:val="TableParagraph"/>
              <w:spacing w:line="132" w:lineRule="exact"/>
              <w:ind w:right="85"/>
              <w:jc w:val="right"/>
              <w:rPr>
                <w:sz w:val="12"/>
              </w:rPr>
            </w:pPr>
            <w:r>
              <w:rPr>
                <w:w w:val="105"/>
                <w:sz w:val="12"/>
              </w:rPr>
              <w:t>38.686,00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38.686,00</w:t>
            </w:r>
          </w:p>
        </w:tc>
        <w:tc>
          <w:tcPr>
            <w:tcW w:w="1059" w:type="dxa"/>
          </w:tcPr>
          <w:p>
            <w:pPr>
              <w:pStyle w:val="TableParagraph"/>
              <w:spacing w:line="132" w:lineRule="exact"/>
              <w:ind w:right="80"/>
              <w:jc w:val="right"/>
              <w:rPr>
                <w:sz w:val="12"/>
              </w:rPr>
            </w:pPr>
            <w:r>
              <w:rPr>
                <w:w w:val="105"/>
                <w:sz w:val="12"/>
              </w:rPr>
              <w:t>25.111,27</w:t>
            </w:r>
          </w:p>
        </w:tc>
        <w:tc>
          <w:tcPr>
            <w:tcW w:w="811" w:type="dxa"/>
          </w:tcPr>
          <w:p>
            <w:pPr>
              <w:pStyle w:val="TableParagraph"/>
              <w:spacing w:line="132" w:lineRule="exact"/>
              <w:ind w:right="54"/>
              <w:jc w:val="right"/>
              <w:rPr>
                <w:sz w:val="12"/>
              </w:rPr>
            </w:pPr>
            <w:r>
              <w:rPr>
                <w:w w:val="105"/>
                <w:sz w:val="12"/>
              </w:rPr>
              <w:t>6.394,25</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18.717,02</w:t>
            </w:r>
          </w:p>
        </w:tc>
        <w:tc>
          <w:tcPr>
            <w:tcW w:w="1030" w:type="dxa"/>
          </w:tcPr>
          <w:p>
            <w:pPr>
              <w:pStyle w:val="TableParagraph"/>
              <w:spacing w:line="132" w:lineRule="exact"/>
              <w:ind w:right="78"/>
              <w:jc w:val="right"/>
              <w:rPr>
                <w:sz w:val="12"/>
              </w:rPr>
            </w:pPr>
            <w:r>
              <w:rPr>
                <w:w w:val="105"/>
                <w:sz w:val="12"/>
              </w:rPr>
              <w:t>18.717,02</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34000 - Derechos de matrícula cursos, seminariosy otros</w:t>
            </w:r>
          </w:p>
        </w:tc>
        <w:tc>
          <w:tcPr>
            <w:tcW w:w="1234" w:type="dxa"/>
          </w:tcPr>
          <w:p>
            <w:pPr>
              <w:pStyle w:val="TableParagraph"/>
              <w:spacing w:line="132" w:lineRule="exact"/>
              <w:ind w:right="85"/>
              <w:jc w:val="right"/>
              <w:rPr>
                <w:sz w:val="12"/>
              </w:rPr>
            </w:pPr>
            <w:r>
              <w:rPr>
                <w:sz w:val="12"/>
              </w:rPr>
              <w:t>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sz w:val="12"/>
              </w:rPr>
              <w:t>0,00</w:t>
            </w:r>
          </w:p>
        </w:tc>
        <w:tc>
          <w:tcPr>
            <w:tcW w:w="1059" w:type="dxa"/>
          </w:tcPr>
          <w:p>
            <w:pPr>
              <w:pStyle w:val="TableParagraph"/>
              <w:spacing w:line="132" w:lineRule="exact"/>
              <w:ind w:right="80"/>
              <w:jc w:val="right"/>
              <w:rPr>
                <w:sz w:val="12"/>
              </w:rPr>
            </w:pPr>
            <w:r>
              <w:rPr>
                <w:w w:val="105"/>
                <w:sz w:val="12"/>
              </w:rPr>
              <w:t>236.798,35</w:t>
            </w:r>
          </w:p>
        </w:tc>
        <w:tc>
          <w:tcPr>
            <w:tcW w:w="811" w:type="dxa"/>
          </w:tcPr>
          <w:p>
            <w:pPr>
              <w:pStyle w:val="TableParagraph"/>
              <w:spacing w:line="132" w:lineRule="exact"/>
              <w:ind w:right="54"/>
              <w:jc w:val="right"/>
              <w:rPr>
                <w:sz w:val="12"/>
              </w:rPr>
            </w:pPr>
            <w:r>
              <w:rPr>
                <w:sz w:val="12"/>
              </w:rPr>
              <w:t>88,08</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236.710,27</w:t>
            </w:r>
          </w:p>
        </w:tc>
        <w:tc>
          <w:tcPr>
            <w:tcW w:w="1030" w:type="dxa"/>
          </w:tcPr>
          <w:p>
            <w:pPr>
              <w:pStyle w:val="TableParagraph"/>
              <w:spacing w:line="132" w:lineRule="exact"/>
              <w:ind w:right="78"/>
              <w:jc w:val="right"/>
              <w:rPr>
                <w:sz w:val="12"/>
              </w:rPr>
            </w:pPr>
            <w:r>
              <w:rPr>
                <w:w w:val="105"/>
                <w:sz w:val="12"/>
              </w:rPr>
              <w:t>236.710,27</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34940 - Informes y dictám. pericial. I.Medic.Legal y C.For</w:t>
            </w:r>
          </w:p>
        </w:tc>
        <w:tc>
          <w:tcPr>
            <w:tcW w:w="1234" w:type="dxa"/>
          </w:tcPr>
          <w:p>
            <w:pPr>
              <w:pStyle w:val="TableParagraph"/>
              <w:spacing w:line="132" w:lineRule="exact"/>
              <w:ind w:right="85"/>
              <w:jc w:val="right"/>
              <w:rPr>
                <w:sz w:val="12"/>
              </w:rPr>
            </w:pPr>
            <w:r>
              <w:rPr>
                <w:w w:val="105"/>
                <w:sz w:val="12"/>
              </w:rPr>
              <w:t>50.000,00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50.000,00</w:t>
            </w:r>
          </w:p>
        </w:tc>
        <w:tc>
          <w:tcPr>
            <w:tcW w:w="1059" w:type="dxa"/>
          </w:tcPr>
          <w:p>
            <w:pPr>
              <w:pStyle w:val="TableParagraph"/>
              <w:spacing w:line="132" w:lineRule="exact"/>
              <w:ind w:right="80"/>
              <w:jc w:val="right"/>
              <w:rPr>
                <w:sz w:val="12"/>
              </w:rPr>
            </w:pPr>
            <w:r>
              <w:rPr>
                <w:w w:val="105"/>
                <w:sz w:val="12"/>
              </w:rPr>
              <w:t>50.239,72</w:t>
            </w:r>
          </w:p>
        </w:tc>
        <w:tc>
          <w:tcPr>
            <w:tcW w:w="811"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50.239,72</w:t>
            </w:r>
          </w:p>
        </w:tc>
        <w:tc>
          <w:tcPr>
            <w:tcW w:w="1030" w:type="dxa"/>
          </w:tcPr>
          <w:p>
            <w:pPr>
              <w:pStyle w:val="TableParagraph"/>
              <w:spacing w:line="132" w:lineRule="exact"/>
              <w:ind w:right="78"/>
              <w:jc w:val="right"/>
              <w:rPr>
                <w:sz w:val="12"/>
              </w:rPr>
            </w:pPr>
            <w:r>
              <w:rPr>
                <w:w w:val="105"/>
                <w:sz w:val="12"/>
              </w:rPr>
              <w:t>50.239,72</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34988 - Carnet joven</w:t>
            </w:r>
          </w:p>
        </w:tc>
        <w:tc>
          <w:tcPr>
            <w:tcW w:w="1234" w:type="dxa"/>
          </w:tcPr>
          <w:p>
            <w:pPr>
              <w:pStyle w:val="TableParagraph"/>
              <w:spacing w:line="132" w:lineRule="exact"/>
              <w:ind w:right="85"/>
              <w:jc w:val="right"/>
              <w:rPr>
                <w:sz w:val="12"/>
              </w:rPr>
            </w:pPr>
            <w:r>
              <w:rPr>
                <w:w w:val="105"/>
                <w:sz w:val="12"/>
              </w:rPr>
              <w:t>10.000,00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10.000,00</w:t>
            </w:r>
          </w:p>
        </w:tc>
        <w:tc>
          <w:tcPr>
            <w:tcW w:w="1059" w:type="dxa"/>
          </w:tcPr>
          <w:p>
            <w:pPr>
              <w:pStyle w:val="TableParagraph"/>
              <w:spacing w:line="132" w:lineRule="exact"/>
              <w:ind w:right="80"/>
              <w:jc w:val="right"/>
              <w:rPr>
                <w:sz w:val="12"/>
              </w:rPr>
            </w:pPr>
            <w:r>
              <w:rPr>
                <w:sz w:val="12"/>
              </w:rPr>
              <w:t>0,00</w:t>
            </w:r>
          </w:p>
        </w:tc>
        <w:tc>
          <w:tcPr>
            <w:tcW w:w="811"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sz w:val="12"/>
              </w:rPr>
              <w:t>0,00</w:t>
            </w:r>
          </w:p>
        </w:tc>
        <w:tc>
          <w:tcPr>
            <w:tcW w:w="1030" w:type="dxa"/>
          </w:tcPr>
          <w:p>
            <w:pPr>
              <w:pStyle w:val="TableParagraph"/>
              <w:spacing w:line="132" w:lineRule="exact"/>
              <w:ind w:right="78"/>
              <w:jc w:val="right"/>
              <w:rPr>
                <w:sz w:val="12"/>
              </w:rPr>
            </w:pPr>
            <w:r>
              <w:rPr>
                <w:sz w:val="12"/>
              </w:rPr>
              <w:t>0,00</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0" w:hRule="atLeast"/>
        </w:trPr>
        <w:tc>
          <w:tcPr>
            <w:tcW w:w="3445" w:type="dxa"/>
            <w:tcBorders>
              <w:left w:val="single" w:sz="4" w:space="0" w:color="000000"/>
            </w:tcBorders>
          </w:tcPr>
          <w:p>
            <w:pPr>
              <w:pStyle w:val="TableParagraph"/>
              <w:spacing w:line="131" w:lineRule="exact"/>
              <w:ind w:left="52"/>
              <w:rPr>
                <w:sz w:val="12"/>
              </w:rPr>
            </w:pPr>
            <w:r>
              <w:rPr>
                <w:w w:val="105"/>
                <w:sz w:val="12"/>
              </w:rPr>
              <w:t>34994 - Prestación de servicios centros tercera edad</w:t>
            </w:r>
          </w:p>
        </w:tc>
        <w:tc>
          <w:tcPr>
            <w:tcW w:w="1234" w:type="dxa"/>
          </w:tcPr>
          <w:p>
            <w:pPr>
              <w:pStyle w:val="TableParagraph"/>
              <w:spacing w:line="131" w:lineRule="exact"/>
              <w:ind w:right="85"/>
              <w:jc w:val="right"/>
              <w:rPr>
                <w:sz w:val="12"/>
              </w:rPr>
            </w:pPr>
            <w:r>
              <w:rPr>
                <w:sz w:val="12"/>
              </w:rPr>
              <w:t>0,00</w:t>
            </w:r>
          </w:p>
        </w:tc>
        <w:tc>
          <w:tcPr>
            <w:tcW w:w="956" w:type="dxa"/>
          </w:tcPr>
          <w:p>
            <w:pPr>
              <w:pStyle w:val="TableParagraph"/>
              <w:spacing w:line="131" w:lineRule="exact"/>
              <w:ind w:right="49"/>
              <w:jc w:val="right"/>
              <w:rPr>
                <w:sz w:val="12"/>
              </w:rPr>
            </w:pPr>
            <w:r>
              <w:rPr>
                <w:sz w:val="12"/>
              </w:rPr>
              <w:t>0,00</w:t>
            </w:r>
          </w:p>
        </w:tc>
        <w:tc>
          <w:tcPr>
            <w:tcW w:w="1092" w:type="dxa"/>
          </w:tcPr>
          <w:p>
            <w:pPr>
              <w:pStyle w:val="TableParagraph"/>
              <w:spacing w:line="131" w:lineRule="exact"/>
              <w:ind w:right="82"/>
              <w:jc w:val="right"/>
              <w:rPr>
                <w:sz w:val="12"/>
              </w:rPr>
            </w:pPr>
            <w:r>
              <w:rPr>
                <w:sz w:val="12"/>
              </w:rPr>
              <w:t>0,00</w:t>
            </w:r>
          </w:p>
        </w:tc>
        <w:tc>
          <w:tcPr>
            <w:tcW w:w="1059" w:type="dxa"/>
          </w:tcPr>
          <w:p>
            <w:pPr>
              <w:pStyle w:val="TableParagraph"/>
              <w:spacing w:line="131" w:lineRule="exact"/>
              <w:ind w:right="80"/>
              <w:jc w:val="right"/>
              <w:rPr>
                <w:sz w:val="12"/>
              </w:rPr>
            </w:pPr>
            <w:r>
              <w:rPr>
                <w:w w:val="105"/>
                <w:sz w:val="12"/>
              </w:rPr>
              <w:t>2.063,90</w:t>
            </w:r>
          </w:p>
        </w:tc>
        <w:tc>
          <w:tcPr>
            <w:tcW w:w="811" w:type="dxa"/>
          </w:tcPr>
          <w:p>
            <w:pPr>
              <w:pStyle w:val="TableParagraph"/>
              <w:spacing w:line="131" w:lineRule="exact"/>
              <w:ind w:right="54"/>
              <w:jc w:val="right"/>
              <w:rPr>
                <w:sz w:val="12"/>
              </w:rPr>
            </w:pPr>
            <w:r>
              <w:rPr>
                <w:sz w:val="12"/>
              </w:rPr>
              <w:t>0,00</w:t>
            </w:r>
          </w:p>
        </w:tc>
        <w:tc>
          <w:tcPr>
            <w:tcW w:w="718" w:type="dxa"/>
          </w:tcPr>
          <w:p>
            <w:pPr>
              <w:pStyle w:val="TableParagraph"/>
              <w:spacing w:line="131" w:lineRule="exact"/>
              <w:ind w:right="80"/>
              <w:jc w:val="right"/>
              <w:rPr>
                <w:sz w:val="12"/>
              </w:rPr>
            </w:pPr>
            <w:r>
              <w:rPr>
                <w:sz w:val="12"/>
              </w:rPr>
              <w:t>0,00</w:t>
            </w:r>
          </w:p>
        </w:tc>
        <w:tc>
          <w:tcPr>
            <w:tcW w:w="1027" w:type="dxa"/>
          </w:tcPr>
          <w:p>
            <w:pPr>
              <w:pStyle w:val="TableParagraph"/>
              <w:spacing w:line="131" w:lineRule="exact"/>
              <w:ind w:right="47"/>
              <w:jc w:val="right"/>
              <w:rPr>
                <w:sz w:val="12"/>
              </w:rPr>
            </w:pPr>
            <w:r>
              <w:rPr>
                <w:w w:val="105"/>
                <w:sz w:val="12"/>
              </w:rPr>
              <w:t>2.063,90</w:t>
            </w:r>
          </w:p>
        </w:tc>
        <w:tc>
          <w:tcPr>
            <w:tcW w:w="1030" w:type="dxa"/>
          </w:tcPr>
          <w:p>
            <w:pPr>
              <w:pStyle w:val="TableParagraph"/>
              <w:spacing w:line="131" w:lineRule="exact"/>
              <w:ind w:right="78"/>
              <w:jc w:val="right"/>
              <w:rPr>
                <w:sz w:val="12"/>
              </w:rPr>
            </w:pPr>
            <w:r>
              <w:rPr>
                <w:w w:val="105"/>
                <w:sz w:val="12"/>
              </w:rPr>
              <w:t>2.063,90</w:t>
            </w:r>
          </w:p>
        </w:tc>
        <w:tc>
          <w:tcPr>
            <w:tcW w:w="865" w:type="dxa"/>
            <w:tcBorders>
              <w:right w:val="single" w:sz="4" w:space="0" w:color="000000"/>
            </w:tcBorders>
          </w:tcPr>
          <w:p>
            <w:pPr>
              <w:pStyle w:val="TableParagraph"/>
              <w:spacing w:line="131"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34995 - Prestación de servicios centros minusválidos</w:t>
            </w:r>
          </w:p>
        </w:tc>
        <w:tc>
          <w:tcPr>
            <w:tcW w:w="1234" w:type="dxa"/>
          </w:tcPr>
          <w:p>
            <w:pPr>
              <w:pStyle w:val="TableParagraph"/>
              <w:spacing w:line="132" w:lineRule="exact"/>
              <w:ind w:right="85"/>
              <w:jc w:val="right"/>
              <w:rPr>
                <w:sz w:val="12"/>
              </w:rPr>
            </w:pPr>
            <w:r>
              <w:rPr>
                <w:sz w:val="12"/>
              </w:rPr>
              <w:t>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sz w:val="12"/>
              </w:rPr>
              <w:t>0,00</w:t>
            </w:r>
          </w:p>
        </w:tc>
        <w:tc>
          <w:tcPr>
            <w:tcW w:w="1059" w:type="dxa"/>
          </w:tcPr>
          <w:p>
            <w:pPr>
              <w:pStyle w:val="TableParagraph"/>
              <w:spacing w:line="132" w:lineRule="exact"/>
              <w:ind w:right="80"/>
              <w:jc w:val="right"/>
              <w:rPr>
                <w:sz w:val="12"/>
              </w:rPr>
            </w:pPr>
            <w:r>
              <w:rPr>
                <w:sz w:val="12"/>
              </w:rPr>
              <w:t>318,42</w:t>
            </w:r>
          </w:p>
        </w:tc>
        <w:tc>
          <w:tcPr>
            <w:tcW w:w="811"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sz w:val="12"/>
              </w:rPr>
              <w:t>318,42</w:t>
            </w:r>
          </w:p>
        </w:tc>
        <w:tc>
          <w:tcPr>
            <w:tcW w:w="1030" w:type="dxa"/>
          </w:tcPr>
          <w:p>
            <w:pPr>
              <w:pStyle w:val="TableParagraph"/>
              <w:spacing w:line="132" w:lineRule="exact"/>
              <w:ind w:right="78"/>
              <w:jc w:val="right"/>
              <w:rPr>
                <w:sz w:val="12"/>
              </w:rPr>
            </w:pPr>
            <w:r>
              <w:rPr>
                <w:sz w:val="12"/>
              </w:rPr>
              <w:t>318,42</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2" w:hRule="atLeast"/>
        </w:trPr>
        <w:tc>
          <w:tcPr>
            <w:tcW w:w="3445" w:type="dxa"/>
            <w:tcBorders>
              <w:left w:val="single" w:sz="4" w:space="0" w:color="000000"/>
            </w:tcBorders>
          </w:tcPr>
          <w:p>
            <w:pPr>
              <w:pStyle w:val="TableParagraph"/>
              <w:spacing w:line="132" w:lineRule="exact"/>
              <w:ind w:left="52"/>
              <w:rPr>
                <w:sz w:val="12"/>
              </w:rPr>
            </w:pPr>
            <w:r>
              <w:rPr>
                <w:w w:val="105"/>
                <w:sz w:val="12"/>
              </w:rPr>
              <w:t>35209 - Otros</w:t>
            </w:r>
          </w:p>
        </w:tc>
        <w:tc>
          <w:tcPr>
            <w:tcW w:w="1234" w:type="dxa"/>
          </w:tcPr>
          <w:p>
            <w:pPr>
              <w:pStyle w:val="TableParagraph"/>
              <w:spacing w:line="132" w:lineRule="exact"/>
              <w:ind w:right="85"/>
              <w:jc w:val="right"/>
              <w:rPr>
                <w:sz w:val="12"/>
              </w:rPr>
            </w:pPr>
            <w:r>
              <w:rPr>
                <w:w w:val="105"/>
                <w:sz w:val="12"/>
              </w:rPr>
              <w:t>350.000,00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350.000,00</w:t>
            </w:r>
          </w:p>
        </w:tc>
        <w:tc>
          <w:tcPr>
            <w:tcW w:w="1059" w:type="dxa"/>
          </w:tcPr>
          <w:p>
            <w:pPr>
              <w:pStyle w:val="TableParagraph"/>
              <w:spacing w:line="132" w:lineRule="exact"/>
              <w:ind w:right="80"/>
              <w:jc w:val="right"/>
              <w:rPr>
                <w:sz w:val="12"/>
              </w:rPr>
            </w:pPr>
            <w:r>
              <w:rPr>
                <w:sz w:val="12"/>
              </w:rPr>
              <w:t>0,00</w:t>
            </w:r>
          </w:p>
        </w:tc>
        <w:tc>
          <w:tcPr>
            <w:tcW w:w="811"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sz w:val="12"/>
              </w:rPr>
              <w:t>0,00</w:t>
            </w:r>
          </w:p>
        </w:tc>
        <w:tc>
          <w:tcPr>
            <w:tcW w:w="1030" w:type="dxa"/>
          </w:tcPr>
          <w:p>
            <w:pPr>
              <w:pStyle w:val="TableParagraph"/>
              <w:spacing w:line="132" w:lineRule="exact"/>
              <w:ind w:right="78"/>
              <w:jc w:val="right"/>
              <w:rPr>
                <w:sz w:val="12"/>
              </w:rPr>
            </w:pPr>
            <w:r>
              <w:rPr>
                <w:sz w:val="12"/>
              </w:rPr>
              <w:t>0,00</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1" w:lineRule="exact"/>
              <w:ind w:left="52"/>
              <w:rPr>
                <w:sz w:val="12"/>
              </w:rPr>
            </w:pPr>
            <w:r>
              <w:rPr>
                <w:w w:val="105"/>
                <w:sz w:val="12"/>
              </w:rPr>
              <w:t>35202 - Coste gestión tributos del REF</w:t>
            </w:r>
          </w:p>
        </w:tc>
        <w:tc>
          <w:tcPr>
            <w:tcW w:w="1234" w:type="dxa"/>
          </w:tcPr>
          <w:p>
            <w:pPr>
              <w:pStyle w:val="TableParagraph"/>
              <w:spacing w:line="131" w:lineRule="exact"/>
              <w:ind w:right="85"/>
              <w:jc w:val="right"/>
              <w:rPr>
                <w:sz w:val="12"/>
              </w:rPr>
            </w:pPr>
            <w:r>
              <w:rPr>
                <w:w w:val="105"/>
                <w:sz w:val="12"/>
              </w:rPr>
              <w:t>42.346.477,00</w:t>
            </w:r>
          </w:p>
        </w:tc>
        <w:tc>
          <w:tcPr>
            <w:tcW w:w="956" w:type="dxa"/>
          </w:tcPr>
          <w:p>
            <w:pPr>
              <w:pStyle w:val="TableParagraph"/>
              <w:spacing w:line="131" w:lineRule="exact"/>
              <w:ind w:right="49"/>
              <w:jc w:val="right"/>
              <w:rPr>
                <w:sz w:val="12"/>
              </w:rPr>
            </w:pPr>
            <w:r>
              <w:rPr>
                <w:sz w:val="12"/>
              </w:rPr>
              <w:t>0,00</w:t>
            </w:r>
          </w:p>
        </w:tc>
        <w:tc>
          <w:tcPr>
            <w:tcW w:w="1092" w:type="dxa"/>
          </w:tcPr>
          <w:p>
            <w:pPr>
              <w:pStyle w:val="TableParagraph"/>
              <w:spacing w:line="131" w:lineRule="exact"/>
              <w:ind w:right="82"/>
              <w:jc w:val="right"/>
              <w:rPr>
                <w:sz w:val="12"/>
              </w:rPr>
            </w:pPr>
            <w:r>
              <w:rPr>
                <w:w w:val="105"/>
                <w:sz w:val="12"/>
              </w:rPr>
              <w:t>42.346.477,00</w:t>
            </w:r>
          </w:p>
        </w:tc>
        <w:tc>
          <w:tcPr>
            <w:tcW w:w="1059" w:type="dxa"/>
          </w:tcPr>
          <w:p>
            <w:pPr>
              <w:pStyle w:val="TableParagraph"/>
              <w:spacing w:line="131" w:lineRule="exact"/>
              <w:ind w:right="80"/>
              <w:jc w:val="right"/>
              <w:rPr>
                <w:sz w:val="12"/>
              </w:rPr>
            </w:pPr>
            <w:r>
              <w:rPr>
                <w:w w:val="105"/>
                <w:sz w:val="12"/>
              </w:rPr>
              <w:t>42.346.493,76</w:t>
            </w:r>
          </w:p>
        </w:tc>
        <w:tc>
          <w:tcPr>
            <w:tcW w:w="811" w:type="dxa"/>
          </w:tcPr>
          <w:p>
            <w:pPr>
              <w:pStyle w:val="TableParagraph"/>
              <w:spacing w:line="131" w:lineRule="exact"/>
              <w:ind w:right="54"/>
              <w:jc w:val="right"/>
              <w:rPr>
                <w:sz w:val="12"/>
              </w:rPr>
            </w:pPr>
            <w:r>
              <w:rPr>
                <w:sz w:val="12"/>
              </w:rPr>
              <w:t>0,00</w:t>
            </w:r>
          </w:p>
        </w:tc>
        <w:tc>
          <w:tcPr>
            <w:tcW w:w="718" w:type="dxa"/>
          </w:tcPr>
          <w:p>
            <w:pPr>
              <w:pStyle w:val="TableParagraph"/>
              <w:spacing w:line="131" w:lineRule="exact"/>
              <w:ind w:right="80"/>
              <w:jc w:val="right"/>
              <w:rPr>
                <w:sz w:val="12"/>
              </w:rPr>
            </w:pPr>
            <w:r>
              <w:rPr>
                <w:sz w:val="12"/>
              </w:rPr>
              <w:t>0,00</w:t>
            </w:r>
          </w:p>
        </w:tc>
        <w:tc>
          <w:tcPr>
            <w:tcW w:w="1027" w:type="dxa"/>
          </w:tcPr>
          <w:p>
            <w:pPr>
              <w:pStyle w:val="TableParagraph"/>
              <w:spacing w:line="131" w:lineRule="exact"/>
              <w:ind w:right="47"/>
              <w:jc w:val="right"/>
              <w:rPr>
                <w:sz w:val="12"/>
              </w:rPr>
            </w:pPr>
            <w:r>
              <w:rPr>
                <w:w w:val="105"/>
                <w:sz w:val="12"/>
              </w:rPr>
              <w:t>42.346.493,76</w:t>
            </w:r>
          </w:p>
        </w:tc>
        <w:tc>
          <w:tcPr>
            <w:tcW w:w="1030" w:type="dxa"/>
          </w:tcPr>
          <w:p>
            <w:pPr>
              <w:pStyle w:val="TableParagraph"/>
              <w:spacing w:line="131" w:lineRule="exact"/>
              <w:ind w:right="77"/>
              <w:jc w:val="right"/>
              <w:rPr>
                <w:sz w:val="12"/>
              </w:rPr>
            </w:pPr>
            <w:r>
              <w:rPr>
                <w:w w:val="105"/>
                <w:sz w:val="12"/>
              </w:rPr>
              <w:t>42.346.493,76</w:t>
            </w:r>
          </w:p>
        </w:tc>
        <w:tc>
          <w:tcPr>
            <w:tcW w:w="865" w:type="dxa"/>
            <w:tcBorders>
              <w:right w:val="single" w:sz="4" w:space="0" w:color="000000"/>
            </w:tcBorders>
          </w:tcPr>
          <w:p>
            <w:pPr>
              <w:pStyle w:val="TableParagraph"/>
              <w:spacing w:line="131"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35201 - Administración y cobranza</w:t>
            </w:r>
          </w:p>
        </w:tc>
        <w:tc>
          <w:tcPr>
            <w:tcW w:w="1234" w:type="dxa"/>
          </w:tcPr>
          <w:p>
            <w:pPr>
              <w:pStyle w:val="TableParagraph"/>
              <w:spacing w:line="132" w:lineRule="exact"/>
              <w:ind w:right="85"/>
              <w:jc w:val="right"/>
              <w:rPr>
                <w:sz w:val="12"/>
              </w:rPr>
            </w:pPr>
            <w:r>
              <w:rPr>
                <w:w w:val="105"/>
                <w:sz w:val="12"/>
              </w:rPr>
              <w:t>1.000.000,00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1.000.000,00</w:t>
            </w:r>
          </w:p>
        </w:tc>
        <w:tc>
          <w:tcPr>
            <w:tcW w:w="1059" w:type="dxa"/>
          </w:tcPr>
          <w:p>
            <w:pPr>
              <w:pStyle w:val="TableParagraph"/>
              <w:spacing w:line="132" w:lineRule="exact"/>
              <w:ind w:right="80"/>
              <w:jc w:val="right"/>
              <w:rPr>
                <w:sz w:val="12"/>
              </w:rPr>
            </w:pPr>
            <w:r>
              <w:rPr>
                <w:w w:val="105"/>
                <w:sz w:val="12"/>
              </w:rPr>
              <w:t>791.646,06</w:t>
            </w:r>
          </w:p>
        </w:tc>
        <w:tc>
          <w:tcPr>
            <w:tcW w:w="811"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791.646,06</w:t>
            </w:r>
          </w:p>
        </w:tc>
        <w:tc>
          <w:tcPr>
            <w:tcW w:w="1030" w:type="dxa"/>
          </w:tcPr>
          <w:p>
            <w:pPr>
              <w:pStyle w:val="TableParagraph"/>
              <w:spacing w:line="132" w:lineRule="exact"/>
              <w:ind w:right="78"/>
              <w:jc w:val="right"/>
              <w:rPr>
                <w:sz w:val="12"/>
              </w:rPr>
            </w:pPr>
            <w:r>
              <w:rPr>
                <w:w w:val="105"/>
                <w:sz w:val="12"/>
              </w:rPr>
              <w:t>791.646,06</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35909 - Otros servicios</w:t>
            </w:r>
          </w:p>
        </w:tc>
        <w:tc>
          <w:tcPr>
            <w:tcW w:w="1234" w:type="dxa"/>
          </w:tcPr>
          <w:p>
            <w:pPr>
              <w:pStyle w:val="TableParagraph"/>
              <w:spacing w:line="132" w:lineRule="exact"/>
              <w:ind w:right="85"/>
              <w:jc w:val="right"/>
              <w:rPr>
                <w:sz w:val="12"/>
              </w:rPr>
            </w:pPr>
            <w:r>
              <w:rPr>
                <w:w w:val="105"/>
                <w:sz w:val="12"/>
              </w:rPr>
              <w:t>494.000,00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494.000,00</w:t>
            </w:r>
          </w:p>
        </w:tc>
        <w:tc>
          <w:tcPr>
            <w:tcW w:w="1059" w:type="dxa"/>
          </w:tcPr>
          <w:p>
            <w:pPr>
              <w:pStyle w:val="TableParagraph"/>
              <w:spacing w:line="132" w:lineRule="exact"/>
              <w:ind w:right="80"/>
              <w:jc w:val="right"/>
              <w:rPr>
                <w:sz w:val="12"/>
              </w:rPr>
            </w:pPr>
            <w:r>
              <w:rPr>
                <w:sz w:val="12"/>
              </w:rPr>
              <w:t>0,16</w:t>
            </w:r>
          </w:p>
        </w:tc>
        <w:tc>
          <w:tcPr>
            <w:tcW w:w="811"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sz w:val="12"/>
              </w:rPr>
              <w:t>0,16</w:t>
            </w:r>
          </w:p>
        </w:tc>
        <w:tc>
          <w:tcPr>
            <w:tcW w:w="1030" w:type="dxa"/>
          </w:tcPr>
          <w:p>
            <w:pPr>
              <w:pStyle w:val="TableParagraph"/>
              <w:spacing w:line="132" w:lineRule="exact"/>
              <w:ind w:right="78"/>
              <w:jc w:val="right"/>
              <w:rPr>
                <w:sz w:val="12"/>
              </w:rPr>
            </w:pPr>
            <w:r>
              <w:rPr>
                <w:sz w:val="12"/>
              </w:rPr>
              <w:t>0,16</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35924 - Estancias residencias escuelas capacit. agrarias</w:t>
            </w:r>
          </w:p>
        </w:tc>
        <w:tc>
          <w:tcPr>
            <w:tcW w:w="1234" w:type="dxa"/>
          </w:tcPr>
          <w:p>
            <w:pPr>
              <w:pStyle w:val="TableParagraph"/>
              <w:spacing w:line="132" w:lineRule="exact"/>
              <w:ind w:right="85"/>
              <w:jc w:val="right"/>
              <w:rPr>
                <w:sz w:val="12"/>
              </w:rPr>
            </w:pPr>
            <w:r>
              <w:rPr>
                <w:w w:val="105"/>
                <w:sz w:val="12"/>
              </w:rPr>
              <w:t>100.000,00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100.000,00</w:t>
            </w:r>
          </w:p>
        </w:tc>
        <w:tc>
          <w:tcPr>
            <w:tcW w:w="1059" w:type="dxa"/>
          </w:tcPr>
          <w:p>
            <w:pPr>
              <w:pStyle w:val="TableParagraph"/>
              <w:spacing w:line="132" w:lineRule="exact"/>
              <w:ind w:right="80"/>
              <w:jc w:val="right"/>
              <w:rPr>
                <w:sz w:val="12"/>
              </w:rPr>
            </w:pPr>
            <w:r>
              <w:rPr>
                <w:w w:val="105"/>
                <w:sz w:val="12"/>
              </w:rPr>
              <w:t>86.226,45</w:t>
            </w:r>
          </w:p>
        </w:tc>
        <w:tc>
          <w:tcPr>
            <w:tcW w:w="811"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86.226,45</w:t>
            </w:r>
          </w:p>
        </w:tc>
        <w:tc>
          <w:tcPr>
            <w:tcW w:w="1030" w:type="dxa"/>
          </w:tcPr>
          <w:p>
            <w:pPr>
              <w:pStyle w:val="TableParagraph"/>
              <w:spacing w:line="132" w:lineRule="exact"/>
              <w:ind w:right="78"/>
              <w:jc w:val="right"/>
              <w:rPr>
                <w:sz w:val="12"/>
              </w:rPr>
            </w:pPr>
            <w:r>
              <w:rPr>
                <w:w w:val="105"/>
                <w:sz w:val="12"/>
              </w:rPr>
              <w:t>86.226,45</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36000 - Venta de libros y publicaciones</w:t>
            </w:r>
          </w:p>
        </w:tc>
        <w:tc>
          <w:tcPr>
            <w:tcW w:w="1234" w:type="dxa"/>
          </w:tcPr>
          <w:p>
            <w:pPr>
              <w:pStyle w:val="TableParagraph"/>
              <w:spacing w:line="132" w:lineRule="exact"/>
              <w:ind w:right="85"/>
              <w:jc w:val="right"/>
              <w:rPr>
                <w:sz w:val="12"/>
              </w:rPr>
            </w:pPr>
            <w:r>
              <w:rPr>
                <w:sz w:val="12"/>
              </w:rPr>
              <w:t>100,00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sz w:val="12"/>
              </w:rPr>
              <w:t>100,00</w:t>
            </w:r>
          </w:p>
        </w:tc>
        <w:tc>
          <w:tcPr>
            <w:tcW w:w="1059" w:type="dxa"/>
          </w:tcPr>
          <w:p>
            <w:pPr>
              <w:pStyle w:val="TableParagraph"/>
              <w:spacing w:line="132" w:lineRule="exact"/>
              <w:ind w:right="80"/>
              <w:jc w:val="right"/>
              <w:rPr>
                <w:sz w:val="12"/>
              </w:rPr>
            </w:pPr>
            <w:r>
              <w:rPr>
                <w:sz w:val="12"/>
              </w:rPr>
              <w:t>0,00</w:t>
            </w:r>
          </w:p>
        </w:tc>
        <w:tc>
          <w:tcPr>
            <w:tcW w:w="811"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sz w:val="12"/>
              </w:rPr>
              <w:t>0,00</w:t>
            </w:r>
          </w:p>
        </w:tc>
        <w:tc>
          <w:tcPr>
            <w:tcW w:w="1030" w:type="dxa"/>
          </w:tcPr>
          <w:p>
            <w:pPr>
              <w:pStyle w:val="TableParagraph"/>
              <w:spacing w:line="132" w:lineRule="exact"/>
              <w:ind w:right="78"/>
              <w:jc w:val="right"/>
              <w:rPr>
                <w:sz w:val="12"/>
              </w:rPr>
            </w:pPr>
            <w:r>
              <w:rPr>
                <w:sz w:val="12"/>
              </w:rPr>
              <w:t>0,00</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0" w:hRule="atLeast"/>
        </w:trPr>
        <w:tc>
          <w:tcPr>
            <w:tcW w:w="3445" w:type="dxa"/>
            <w:tcBorders>
              <w:left w:val="single" w:sz="4" w:space="0" w:color="000000"/>
            </w:tcBorders>
          </w:tcPr>
          <w:p>
            <w:pPr>
              <w:pStyle w:val="TableParagraph"/>
              <w:spacing w:line="131" w:lineRule="exact"/>
              <w:ind w:left="52"/>
              <w:rPr>
                <w:sz w:val="12"/>
              </w:rPr>
            </w:pPr>
            <w:r>
              <w:rPr>
                <w:w w:val="105"/>
                <w:sz w:val="12"/>
              </w:rPr>
              <w:t>36400 - Venta de productos agropecuarios</w:t>
            </w:r>
          </w:p>
        </w:tc>
        <w:tc>
          <w:tcPr>
            <w:tcW w:w="1234" w:type="dxa"/>
          </w:tcPr>
          <w:p>
            <w:pPr>
              <w:pStyle w:val="TableParagraph"/>
              <w:spacing w:line="131" w:lineRule="exact"/>
              <w:ind w:right="85"/>
              <w:jc w:val="right"/>
              <w:rPr>
                <w:sz w:val="12"/>
              </w:rPr>
            </w:pPr>
            <w:r>
              <w:rPr>
                <w:w w:val="105"/>
                <w:sz w:val="12"/>
              </w:rPr>
              <w:t>14.668,00</w:t>
            </w:r>
          </w:p>
        </w:tc>
        <w:tc>
          <w:tcPr>
            <w:tcW w:w="956" w:type="dxa"/>
          </w:tcPr>
          <w:p>
            <w:pPr>
              <w:pStyle w:val="TableParagraph"/>
              <w:spacing w:line="131" w:lineRule="exact"/>
              <w:ind w:right="49"/>
              <w:jc w:val="right"/>
              <w:rPr>
                <w:sz w:val="12"/>
              </w:rPr>
            </w:pPr>
            <w:r>
              <w:rPr>
                <w:sz w:val="12"/>
              </w:rPr>
              <w:t>0,00</w:t>
            </w:r>
          </w:p>
        </w:tc>
        <w:tc>
          <w:tcPr>
            <w:tcW w:w="1092" w:type="dxa"/>
          </w:tcPr>
          <w:p>
            <w:pPr>
              <w:pStyle w:val="TableParagraph"/>
              <w:spacing w:line="131" w:lineRule="exact"/>
              <w:ind w:right="82"/>
              <w:jc w:val="right"/>
              <w:rPr>
                <w:sz w:val="12"/>
              </w:rPr>
            </w:pPr>
            <w:r>
              <w:rPr>
                <w:w w:val="105"/>
                <w:sz w:val="12"/>
              </w:rPr>
              <w:t>14.668,00</w:t>
            </w:r>
          </w:p>
        </w:tc>
        <w:tc>
          <w:tcPr>
            <w:tcW w:w="1059" w:type="dxa"/>
          </w:tcPr>
          <w:p>
            <w:pPr>
              <w:pStyle w:val="TableParagraph"/>
              <w:spacing w:line="131" w:lineRule="exact"/>
              <w:ind w:right="80"/>
              <w:jc w:val="right"/>
              <w:rPr>
                <w:sz w:val="12"/>
              </w:rPr>
            </w:pPr>
            <w:r>
              <w:rPr>
                <w:w w:val="105"/>
                <w:sz w:val="12"/>
              </w:rPr>
              <w:t>9.743,44</w:t>
            </w:r>
          </w:p>
        </w:tc>
        <w:tc>
          <w:tcPr>
            <w:tcW w:w="811" w:type="dxa"/>
          </w:tcPr>
          <w:p>
            <w:pPr>
              <w:pStyle w:val="TableParagraph"/>
              <w:spacing w:line="131" w:lineRule="exact"/>
              <w:ind w:right="54"/>
              <w:jc w:val="right"/>
              <w:rPr>
                <w:sz w:val="12"/>
              </w:rPr>
            </w:pPr>
            <w:r>
              <w:rPr>
                <w:sz w:val="12"/>
              </w:rPr>
              <w:t>0,00</w:t>
            </w:r>
          </w:p>
        </w:tc>
        <w:tc>
          <w:tcPr>
            <w:tcW w:w="718" w:type="dxa"/>
          </w:tcPr>
          <w:p>
            <w:pPr>
              <w:pStyle w:val="TableParagraph"/>
              <w:spacing w:line="131" w:lineRule="exact"/>
              <w:ind w:right="80"/>
              <w:jc w:val="right"/>
              <w:rPr>
                <w:sz w:val="12"/>
              </w:rPr>
            </w:pPr>
            <w:r>
              <w:rPr>
                <w:sz w:val="12"/>
              </w:rPr>
              <w:t>0,00</w:t>
            </w:r>
          </w:p>
        </w:tc>
        <w:tc>
          <w:tcPr>
            <w:tcW w:w="1027" w:type="dxa"/>
          </w:tcPr>
          <w:p>
            <w:pPr>
              <w:pStyle w:val="TableParagraph"/>
              <w:spacing w:line="131" w:lineRule="exact"/>
              <w:ind w:right="47"/>
              <w:jc w:val="right"/>
              <w:rPr>
                <w:sz w:val="12"/>
              </w:rPr>
            </w:pPr>
            <w:r>
              <w:rPr>
                <w:w w:val="105"/>
                <w:sz w:val="12"/>
              </w:rPr>
              <w:t>9.743,44</w:t>
            </w:r>
          </w:p>
        </w:tc>
        <w:tc>
          <w:tcPr>
            <w:tcW w:w="1030" w:type="dxa"/>
          </w:tcPr>
          <w:p>
            <w:pPr>
              <w:pStyle w:val="TableParagraph"/>
              <w:spacing w:line="131" w:lineRule="exact"/>
              <w:ind w:right="78"/>
              <w:jc w:val="right"/>
              <w:rPr>
                <w:sz w:val="12"/>
              </w:rPr>
            </w:pPr>
            <w:r>
              <w:rPr>
                <w:w w:val="105"/>
                <w:sz w:val="12"/>
              </w:rPr>
              <w:t>9.743,44</w:t>
            </w:r>
          </w:p>
        </w:tc>
        <w:tc>
          <w:tcPr>
            <w:tcW w:w="865" w:type="dxa"/>
            <w:tcBorders>
              <w:right w:val="single" w:sz="4" w:space="0" w:color="000000"/>
            </w:tcBorders>
          </w:tcPr>
          <w:p>
            <w:pPr>
              <w:pStyle w:val="TableParagraph"/>
              <w:spacing w:line="131"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38000 - De ejercicios cerrados</w:t>
            </w:r>
          </w:p>
        </w:tc>
        <w:tc>
          <w:tcPr>
            <w:tcW w:w="1234" w:type="dxa"/>
          </w:tcPr>
          <w:p>
            <w:pPr>
              <w:pStyle w:val="TableParagraph"/>
              <w:spacing w:line="132" w:lineRule="exact"/>
              <w:ind w:right="85"/>
              <w:jc w:val="right"/>
              <w:rPr>
                <w:sz w:val="12"/>
              </w:rPr>
            </w:pPr>
            <w:r>
              <w:rPr>
                <w:w w:val="105"/>
                <w:sz w:val="12"/>
              </w:rPr>
              <w:t>24.026.809,00</w:t>
            </w:r>
          </w:p>
        </w:tc>
        <w:tc>
          <w:tcPr>
            <w:tcW w:w="956" w:type="dxa"/>
          </w:tcPr>
          <w:p>
            <w:pPr>
              <w:pStyle w:val="TableParagraph"/>
              <w:spacing w:line="132" w:lineRule="exact"/>
              <w:ind w:right="49"/>
              <w:jc w:val="right"/>
              <w:rPr>
                <w:sz w:val="12"/>
              </w:rPr>
            </w:pPr>
            <w:r>
              <w:rPr>
                <w:w w:val="105"/>
                <w:sz w:val="12"/>
              </w:rPr>
              <w:t>12.828.163,81</w:t>
            </w:r>
          </w:p>
        </w:tc>
        <w:tc>
          <w:tcPr>
            <w:tcW w:w="1092" w:type="dxa"/>
          </w:tcPr>
          <w:p>
            <w:pPr>
              <w:pStyle w:val="TableParagraph"/>
              <w:spacing w:line="132" w:lineRule="exact"/>
              <w:ind w:right="82"/>
              <w:jc w:val="right"/>
              <w:rPr>
                <w:sz w:val="12"/>
              </w:rPr>
            </w:pPr>
            <w:r>
              <w:rPr>
                <w:w w:val="105"/>
                <w:sz w:val="12"/>
              </w:rPr>
              <w:t>36.854.972,81</w:t>
            </w:r>
          </w:p>
        </w:tc>
        <w:tc>
          <w:tcPr>
            <w:tcW w:w="1059" w:type="dxa"/>
          </w:tcPr>
          <w:p>
            <w:pPr>
              <w:pStyle w:val="TableParagraph"/>
              <w:spacing w:line="132" w:lineRule="exact"/>
              <w:ind w:right="80"/>
              <w:jc w:val="right"/>
              <w:rPr>
                <w:sz w:val="12"/>
              </w:rPr>
            </w:pPr>
            <w:r>
              <w:rPr>
                <w:w w:val="105"/>
                <w:sz w:val="12"/>
              </w:rPr>
              <w:t>67.332.063,77</w:t>
            </w:r>
          </w:p>
        </w:tc>
        <w:tc>
          <w:tcPr>
            <w:tcW w:w="811" w:type="dxa"/>
          </w:tcPr>
          <w:p>
            <w:pPr>
              <w:pStyle w:val="TableParagraph"/>
              <w:spacing w:line="132" w:lineRule="exact"/>
              <w:ind w:right="54"/>
              <w:jc w:val="right"/>
              <w:rPr>
                <w:sz w:val="12"/>
              </w:rPr>
            </w:pPr>
            <w:r>
              <w:rPr>
                <w:w w:val="105"/>
                <w:sz w:val="12"/>
              </w:rPr>
              <w:t>1.024.965,70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66.307.098,07</w:t>
            </w:r>
          </w:p>
        </w:tc>
        <w:tc>
          <w:tcPr>
            <w:tcW w:w="1030" w:type="dxa"/>
          </w:tcPr>
          <w:p>
            <w:pPr>
              <w:pStyle w:val="TableParagraph"/>
              <w:spacing w:line="132" w:lineRule="exact"/>
              <w:ind w:right="77"/>
              <w:jc w:val="right"/>
              <w:rPr>
                <w:sz w:val="12"/>
              </w:rPr>
            </w:pPr>
            <w:r>
              <w:rPr>
                <w:w w:val="105"/>
                <w:sz w:val="12"/>
              </w:rPr>
              <w:t>59.867.204,90</w:t>
            </w:r>
          </w:p>
        </w:tc>
        <w:tc>
          <w:tcPr>
            <w:tcW w:w="865" w:type="dxa"/>
            <w:tcBorders>
              <w:right w:val="single" w:sz="4" w:space="0" w:color="000000"/>
            </w:tcBorders>
          </w:tcPr>
          <w:p>
            <w:pPr>
              <w:pStyle w:val="TableParagraph"/>
              <w:spacing w:line="132" w:lineRule="exact"/>
              <w:ind w:right="35"/>
              <w:jc w:val="right"/>
              <w:rPr>
                <w:sz w:val="12"/>
              </w:rPr>
            </w:pPr>
            <w:r>
              <w:rPr>
                <w:w w:val="105"/>
                <w:sz w:val="12"/>
              </w:rPr>
              <w:t>6.439.893,17</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38100 - De Presupuesto corriente</w:t>
            </w:r>
          </w:p>
        </w:tc>
        <w:tc>
          <w:tcPr>
            <w:tcW w:w="1234" w:type="dxa"/>
          </w:tcPr>
          <w:p>
            <w:pPr>
              <w:pStyle w:val="TableParagraph"/>
              <w:spacing w:line="132" w:lineRule="exact"/>
              <w:ind w:right="85"/>
              <w:jc w:val="right"/>
              <w:rPr>
                <w:sz w:val="12"/>
              </w:rPr>
            </w:pPr>
            <w:r>
              <w:rPr>
                <w:w w:val="105"/>
                <w:sz w:val="12"/>
              </w:rPr>
              <w:t>3.232.653,00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3.232.653,00</w:t>
            </w:r>
          </w:p>
        </w:tc>
        <w:tc>
          <w:tcPr>
            <w:tcW w:w="1059" w:type="dxa"/>
          </w:tcPr>
          <w:p>
            <w:pPr>
              <w:pStyle w:val="TableParagraph"/>
              <w:spacing w:line="132" w:lineRule="exact"/>
              <w:ind w:right="80"/>
              <w:jc w:val="right"/>
              <w:rPr>
                <w:sz w:val="12"/>
              </w:rPr>
            </w:pPr>
            <w:r>
              <w:rPr>
                <w:w w:val="105"/>
                <w:sz w:val="12"/>
              </w:rPr>
              <w:t>691.003,87</w:t>
            </w:r>
          </w:p>
        </w:tc>
        <w:tc>
          <w:tcPr>
            <w:tcW w:w="811" w:type="dxa"/>
          </w:tcPr>
          <w:p>
            <w:pPr>
              <w:pStyle w:val="TableParagraph"/>
              <w:spacing w:line="132" w:lineRule="exact"/>
              <w:ind w:right="54"/>
              <w:jc w:val="right"/>
              <w:rPr>
                <w:sz w:val="12"/>
              </w:rPr>
            </w:pPr>
            <w:r>
              <w:rPr>
                <w:w w:val="105"/>
                <w:sz w:val="12"/>
              </w:rPr>
              <w:t>23.139,05</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667.864,82</w:t>
            </w:r>
          </w:p>
        </w:tc>
        <w:tc>
          <w:tcPr>
            <w:tcW w:w="1030" w:type="dxa"/>
          </w:tcPr>
          <w:p>
            <w:pPr>
              <w:pStyle w:val="TableParagraph"/>
              <w:spacing w:line="132" w:lineRule="exact"/>
              <w:ind w:right="78"/>
              <w:jc w:val="right"/>
              <w:rPr>
                <w:sz w:val="12"/>
              </w:rPr>
            </w:pPr>
            <w:r>
              <w:rPr>
                <w:w w:val="105"/>
                <w:sz w:val="12"/>
              </w:rPr>
              <w:t>657.905,06</w:t>
            </w:r>
          </w:p>
        </w:tc>
        <w:tc>
          <w:tcPr>
            <w:tcW w:w="865" w:type="dxa"/>
            <w:tcBorders>
              <w:right w:val="single" w:sz="4" w:space="0" w:color="000000"/>
            </w:tcBorders>
          </w:tcPr>
          <w:p>
            <w:pPr>
              <w:pStyle w:val="TableParagraph"/>
              <w:spacing w:line="132" w:lineRule="exact"/>
              <w:ind w:right="35"/>
              <w:jc w:val="right"/>
              <w:rPr>
                <w:sz w:val="12"/>
              </w:rPr>
            </w:pPr>
            <w:r>
              <w:rPr>
                <w:w w:val="105"/>
                <w:sz w:val="12"/>
              </w:rPr>
              <w:t>9.959,76</w:t>
            </w:r>
          </w:p>
        </w:tc>
      </w:tr>
      <w:tr>
        <w:trPr>
          <w:trHeight w:val="150" w:hRule="atLeast"/>
        </w:trPr>
        <w:tc>
          <w:tcPr>
            <w:tcW w:w="3445" w:type="dxa"/>
            <w:tcBorders>
              <w:left w:val="single" w:sz="4" w:space="0" w:color="000000"/>
            </w:tcBorders>
          </w:tcPr>
          <w:p>
            <w:pPr>
              <w:pStyle w:val="TableParagraph"/>
              <w:spacing w:line="131" w:lineRule="exact"/>
              <w:ind w:left="52"/>
              <w:rPr>
                <w:sz w:val="12"/>
              </w:rPr>
            </w:pPr>
            <w:r>
              <w:rPr>
                <w:w w:val="105"/>
                <w:sz w:val="12"/>
              </w:rPr>
              <w:t>39001 - Recargo sobre apremio</w:t>
            </w:r>
          </w:p>
        </w:tc>
        <w:tc>
          <w:tcPr>
            <w:tcW w:w="1234" w:type="dxa"/>
          </w:tcPr>
          <w:p>
            <w:pPr>
              <w:pStyle w:val="TableParagraph"/>
              <w:spacing w:line="131" w:lineRule="exact"/>
              <w:ind w:right="85"/>
              <w:jc w:val="right"/>
              <w:rPr>
                <w:sz w:val="12"/>
              </w:rPr>
            </w:pPr>
            <w:r>
              <w:rPr>
                <w:w w:val="105"/>
                <w:sz w:val="12"/>
              </w:rPr>
              <w:t>4.789.353,00</w:t>
            </w:r>
          </w:p>
        </w:tc>
        <w:tc>
          <w:tcPr>
            <w:tcW w:w="956" w:type="dxa"/>
          </w:tcPr>
          <w:p>
            <w:pPr>
              <w:pStyle w:val="TableParagraph"/>
              <w:spacing w:line="131" w:lineRule="exact"/>
              <w:ind w:right="49"/>
              <w:jc w:val="right"/>
              <w:rPr>
                <w:sz w:val="12"/>
              </w:rPr>
            </w:pPr>
            <w:r>
              <w:rPr>
                <w:sz w:val="12"/>
              </w:rPr>
              <w:t>0,00</w:t>
            </w:r>
          </w:p>
        </w:tc>
        <w:tc>
          <w:tcPr>
            <w:tcW w:w="1092" w:type="dxa"/>
          </w:tcPr>
          <w:p>
            <w:pPr>
              <w:pStyle w:val="TableParagraph"/>
              <w:spacing w:line="131" w:lineRule="exact"/>
              <w:ind w:right="82"/>
              <w:jc w:val="right"/>
              <w:rPr>
                <w:sz w:val="12"/>
              </w:rPr>
            </w:pPr>
            <w:r>
              <w:rPr>
                <w:w w:val="105"/>
                <w:sz w:val="12"/>
              </w:rPr>
              <w:t>4.789.353,00</w:t>
            </w:r>
          </w:p>
        </w:tc>
        <w:tc>
          <w:tcPr>
            <w:tcW w:w="1059" w:type="dxa"/>
          </w:tcPr>
          <w:p>
            <w:pPr>
              <w:pStyle w:val="TableParagraph"/>
              <w:spacing w:line="131" w:lineRule="exact"/>
              <w:ind w:right="80"/>
              <w:jc w:val="right"/>
              <w:rPr>
                <w:sz w:val="12"/>
              </w:rPr>
            </w:pPr>
            <w:r>
              <w:rPr>
                <w:w w:val="105"/>
                <w:sz w:val="12"/>
              </w:rPr>
              <w:t>4.005.879,35</w:t>
            </w:r>
          </w:p>
        </w:tc>
        <w:tc>
          <w:tcPr>
            <w:tcW w:w="811" w:type="dxa"/>
          </w:tcPr>
          <w:p>
            <w:pPr>
              <w:pStyle w:val="TableParagraph"/>
              <w:spacing w:line="131" w:lineRule="exact"/>
              <w:ind w:right="54"/>
              <w:jc w:val="right"/>
              <w:rPr>
                <w:sz w:val="12"/>
              </w:rPr>
            </w:pPr>
            <w:r>
              <w:rPr>
                <w:w w:val="105"/>
                <w:sz w:val="12"/>
              </w:rPr>
              <w:t>913.019,73</w:t>
            </w:r>
          </w:p>
        </w:tc>
        <w:tc>
          <w:tcPr>
            <w:tcW w:w="718" w:type="dxa"/>
          </w:tcPr>
          <w:p>
            <w:pPr>
              <w:pStyle w:val="TableParagraph"/>
              <w:spacing w:line="131" w:lineRule="exact"/>
              <w:ind w:right="81"/>
              <w:jc w:val="right"/>
              <w:rPr>
                <w:sz w:val="12"/>
              </w:rPr>
            </w:pPr>
            <w:r>
              <w:rPr>
                <w:w w:val="105"/>
                <w:sz w:val="12"/>
              </w:rPr>
              <w:t>3.804,26</w:t>
            </w:r>
          </w:p>
        </w:tc>
        <w:tc>
          <w:tcPr>
            <w:tcW w:w="1027" w:type="dxa"/>
          </w:tcPr>
          <w:p>
            <w:pPr>
              <w:pStyle w:val="TableParagraph"/>
              <w:spacing w:line="131" w:lineRule="exact"/>
              <w:ind w:right="47"/>
              <w:jc w:val="right"/>
              <w:rPr>
                <w:sz w:val="12"/>
              </w:rPr>
            </w:pPr>
            <w:r>
              <w:rPr>
                <w:w w:val="105"/>
                <w:sz w:val="12"/>
              </w:rPr>
              <w:t>3.089.055,36</w:t>
            </w:r>
          </w:p>
        </w:tc>
        <w:tc>
          <w:tcPr>
            <w:tcW w:w="1030" w:type="dxa"/>
          </w:tcPr>
          <w:p>
            <w:pPr>
              <w:pStyle w:val="TableParagraph"/>
              <w:spacing w:line="131" w:lineRule="exact"/>
              <w:ind w:right="77"/>
              <w:jc w:val="right"/>
              <w:rPr>
                <w:sz w:val="12"/>
              </w:rPr>
            </w:pPr>
            <w:r>
              <w:rPr>
                <w:w w:val="105"/>
                <w:sz w:val="12"/>
              </w:rPr>
              <w:t>1.511.041,02</w:t>
            </w:r>
          </w:p>
        </w:tc>
        <w:tc>
          <w:tcPr>
            <w:tcW w:w="865" w:type="dxa"/>
            <w:tcBorders>
              <w:right w:val="single" w:sz="4" w:space="0" w:color="000000"/>
            </w:tcBorders>
          </w:tcPr>
          <w:p>
            <w:pPr>
              <w:pStyle w:val="TableParagraph"/>
              <w:spacing w:line="131" w:lineRule="exact"/>
              <w:ind w:right="35"/>
              <w:jc w:val="right"/>
              <w:rPr>
                <w:sz w:val="12"/>
              </w:rPr>
            </w:pPr>
            <w:r>
              <w:rPr>
                <w:w w:val="105"/>
                <w:sz w:val="12"/>
              </w:rPr>
              <w:t>1.578.014,34</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39003 - Intereses de demora</w:t>
            </w:r>
          </w:p>
        </w:tc>
        <w:tc>
          <w:tcPr>
            <w:tcW w:w="1234" w:type="dxa"/>
          </w:tcPr>
          <w:p>
            <w:pPr>
              <w:pStyle w:val="TableParagraph"/>
              <w:spacing w:line="132" w:lineRule="exact"/>
              <w:ind w:right="85"/>
              <w:jc w:val="right"/>
              <w:rPr>
                <w:sz w:val="12"/>
              </w:rPr>
            </w:pPr>
            <w:r>
              <w:rPr>
                <w:w w:val="105"/>
                <w:sz w:val="12"/>
              </w:rPr>
              <w:t>6.742.075,00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6.742.075,00</w:t>
            </w:r>
          </w:p>
        </w:tc>
        <w:tc>
          <w:tcPr>
            <w:tcW w:w="1059" w:type="dxa"/>
          </w:tcPr>
          <w:p>
            <w:pPr>
              <w:pStyle w:val="TableParagraph"/>
              <w:spacing w:line="132" w:lineRule="exact"/>
              <w:ind w:right="80"/>
              <w:jc w:val="right"/>
              <w:rPr>
                <w:sz w:val="12"/>
              </w:rPr>
            </w:pPr>
            <w:r>
              <w:rPr>
                <w:w w:val="105"/>
                <w:sz w:val="12"/>
              </w:rPr>
              <w:t>6.985.842,81</w:t>
            </w:r>
          </w:p>
        </w:tc>
        <w:tc>
          <w:tcPr>
            <w:tcW w:w="811" w:type="dxa"/>
          </w:tcPr>
          <w:p>
            <w:pPr>
              <w:pStyle w:val="TableParagraph"/>
              <w:spacing w:line="132" w:lineRule="exact"/>
              <w:ind w:right="54"/>
              <w:jc w:val="right"/>
              <w:rPr>
                <w:sz w:val="12"/>
              </w:rPr>
            </w:pPr>
            <w:r>
              <w:rPr>
                <w:w w:val="105"/>
                <w:sz w:val="12"/>
              </w:rPr>
              <w:t>322.484,48</w:t>
            </w:r>
          </w:p>
        </w:tc>
        <w:tc>
          <w:tcPr>
            <w:tcW w:w="718" w:type="dxa"/>
          </w:tcPr>
          <w:p>
            <w:pPr>
              <w:pStyle w:val="TableParagraph"/>
              <w:spacing w:line="132" w:lineRule="exact"/>
              <w:ind w:right="81"/>
              <w:jc w:val="right"/>
              <w:rPr>
                <w:sz w:val="12"/>
              </w:rPr>
            </w:pPr>
            <w:r>
              <w:rPr>
                <w:sz w:val="12"/>
              </w:rPr>
              <w:t>21,63</w:t>
            </w:r>
          </w:p>
        </w:tc>
        <w:tc>
          <w:tcPr>
            <w:tcW w:w="1027" w:type="dxa"/>
          </w:tcPr>
          <w:p>
            <w:pPr>
              <w:pStyle w:val="TableParagraph"/>
              <w:spacing w:line="132" w:lineRule="exact"/>
              <w:ind w:right="47"/>
              <w:jc w:val="right"/>
              <w:rPr>
                <w:sz w:val="12"/>
              </w:rPr>
            </w:pPr>
            <w:r>
              <w:rPr>
                <w:w w:val="105"/>
                <w:sz w:val="12"/>
              </w:rPr>
              <w:t>6.663.336,70</w:t>
            </w:r>
          </w:p>
        </w:tc>
        <w:tc>
          <w:tcPr>
            <w:tcW w:w="1030" w:type="dxa"/>
          </w:tcPr>
          <w:p>
            <w:pPr>
              <w:pStyle w:val="TableParagraph"/>
              <w:spacing w:line="132" w:lineRule="exact"/>
              <w:ind w:right="77"/>
              <w:jc w:val="right"/>
              <w:rPr>
                <w:sz w:val="12"/>
              </w:rPr>
            </w:pPr>
            <w:r>
              <w:rPr>
                <w:w w:val="105"/>
                <w:sz w:val="12"/>
              </w:rPr>
              <w:t>4.652.948,25</w:t>
            </w:r>
          </w:p>
        </w:tc>
        <w:tc>
          <w:tcPr>
            <w:tcW w:w="865" w:type="dxa"/>
            <w:tcBorders>
              <w:right w:val="single" w:sz="4" w:space="0" w:color="000000"/>
            </w:tcBorders>
          </w:tcPr>
          <w:p>
            <w:pPr>
              <w:pStyle w:val="TableParagraph"/>
              <w:spacing w:line="132" w:lineRule="exact"/>
              <w:ind w:right="35"/>
              <w:jc w:val="right"/>
              <w:rPr>
                <w:sz w:val="12"/>
              </w:rPr>
            </w:pPr>
            <w:r>
              <w:rPr>
                <w:w w:val="105"/>
                <w:sz w:val="12"/>
              </w:rPr>
              <w:t>2.010.388,45</w:t>
            </w:r>
          </w:p>
        </w:tc>
      </w:tr>
      <w:tr>
        <w:trPr>
          <w:trHeight w:val="152" w:hRule="atLeast"/>
        </w:trPr>
        <w:tc>
          <w:tcPr>
            <w:tcW w:w="3445" w:type="dxa"/>
            <w:tcBorders>
              <w:left w:val="single" w:sz="4" w:space="0" w:color="000000"/>
            </w:tcBorders>
          </w:tcPr>
          <w:p>
            <w:pPr>
              <w:pStyle w:val="TableParagraph"/>
              <w:spacing w:line="132" w:lineRule="exact"/>
              <w:ind w:left="52"/>
              <w:rPr>
                <w:sz w:val="12"/>
              </w:rPr>
            </w:pPr>
            <w:r>
              <w:rPr>
                <w:w w:val="105"/>
                <w:sz w:val="12"/>
              </w:rPr>
              <w:t>39109 - Otras sanciones</w:t>
            </w:r>
          </w:p>
        </w:tc>
        <w:tc>
          <w:tcPr>
            <w:tcW w:w="1234" w:type="dxa"/>
          </w:tcPr>
          <w:p>
            <w:pPr>
              <w:pStyle w:val="TableParagraph"/>
              <w:spacing w:line="132" w:lineRule="exact"/>
              <w:ind w:right="85"/>
              <w:jc w:val="right"/>
              <w:rPr>
                <w:sz w:val="12"/>
              </w:rPr>
            </w:pPr>
            <w:r>
              <w:rPr>
                <w:w w:val="105"/>
                <w:sz w:val="12"/>
              </w:rPr>
              <w:t>500.000,00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500.000,00</w:t>
            </w:r>
          </w:p>
        </w:tc>
        <w:tc>
          <w:tcPr>
            <w:tcW w:w="1059" w:type="dxa"/>
          </w:tcPr>
          <w:p>
            <w:pPr>
              <w:pStyle w:val="TableParagraph"/>
              <w:spacing w:line="132" w:lineRule="exact"/>
              <w:ind w:right="80"/>
              <w:jc w:val="right"/>
              <w:rPr>
                <w:sz w:val="12"/>
              </w:rPr>
            </w:pPr>
            <w:r>
              <w:rPr>
                <w:w w:val="105"/>
                <w:sz w:val="12"/>
              </w:rPr>
              <w:t>353.816,52</w:t>
            </w:r>
          </w:p>
        </w:tc>
        <w:tc>
          <w:tcPr>
            <w:tcW w:w="811" w:type="dxa"/>
          </w:tcPr>
          <w:p>
            <w:pPr>
              <w:pStyle w:val="TableParagraph"/>
              <w:spacing w:line="132" w:lineRule="exact"/>
              <w:ind w:right="54"/>
              <w:jc w:val="right"/>
              <w:rPr>
                <w:sz w:val="12"/>
              </w:rPr>
            </w:pPr>
            <w:r>
              <w:rPr>
                <w:w w:val="105"/>
                <w:sz w:val="12"/>
              </w:rPr>
              <w:t>38.708,36</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315.108,16</w:t>
            </w:r>
          </w:p>
        </w:tc>
        <w:tc>
          <w:tcPr>
            <w:tcW w:w="1030" w:type="dxa"/>
          </w:tcPr>
          <w:p>
            <w:pPr>
              <w:pStyle w:val="TableParagraph"/>
              <w:spacing w:line="132" w:lineRule="exact"/>
              <w:ind w:right="78"/>
              <w:jc w:val="right"/>
              <w:rPr>
                <w:sz w:val="12"/>
              </w:rPr>
            </w:pPr>
            <w:r>
              <w:rPr>
                <w:w w:val="105"/>
                <w:sz w:val="12"/>
              </w:rPr>
              <w:t>315.108,16</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2" w:hRule="atLeast"/>
        </w:trPr>
        <w:tc>
          <w:tcPr>
            <w:tcW w:w="3445" w:type="dxa"/>
            <w:tcBorders>
              <w:left w:val="single" w:sz="4" w:space="0" w:color="000000"/>
            </w:tcBorders>
          </w:tcPr>
          <w:p>
            <w:pPr>
              <w:pStyle w:val="TableParagraph"/>
              <w:spacing w:line="132" w:lineRule="exact"/>
              <w:ind w:left="52"/>
              <w:rPr>
                <w:sz w:val="12"/>
              </w:rPr>
            </w:pPr>
            <w:r>
              <w:rPr>
                <w:w w:val="105"/>
                <w:sz w:val="12"/>
              </w:rPr>
              <w:t>39105 - Sanciones por infracciones turísticas</w:t>
            </w:r>
          </w:p>
        </w:tc>
        <w:tc>
          <w:tcPr>
            <w:tcW w:w="1234" w:type="dxa"/>
          </w:tcPr>
          <w:p>
            <w:pPr>
              <w:pStyle w:val="TableParagraph"/>
              <w:spacing w:line="132" w:lineRule="exact"/>
              <w:ind w:right="85"/>
              <w:jc w:val="right"/>
              <w:rPr>
                <w:sz w:val="12"/>
              </w:rPr>
            </w:pPr>
            <w:r>
              <w:rPr>
                <w:w w:val="105"/>
                <w:sz w:val="12"/>
              </w:rPr>
              <w:t>5.000,00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5.000,00</w:t>
            </w:r>
          </w:p>
        </w:tc>
        <w:tc>
          <w:tcPr>
            <w:tcW w:w="1059" w:type="dxa"/>
          </w:tcPr>
          <w:p>
            <w:pPr>
              <w:pStyle w:val="TableParagraph"/>
              <w:spacing w:line="132" w:lineRule="exact"/>
              <w:ind w:right="80"/>
              <w:jc w:val="right"/>
              <w:rPr>
                <w:sz w:val="12"/>
              </w:rPr>
            </w:pPr>
            <w:r>
              <w:rPr>
                <w:w w:val="105"/>
                <w:sz w:val="12"/>
              </w:rPr>
              <w:t>271.571,96</w:t>
            </w:r>
          </w:p>
        </w:tc>
        <w:tc>
          <w:tcPr>
            <w:tcW w:w="811"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271.571,96</w:t>
            </w:r>
          </w:p>
        </w:tc>
        <w:tc>
          <w:tcPr>
            <w:tcW w:w="1030" w:type="dxa"/>
          </w:tcPr>
          <w:p>
            <w:pPr>
              <w:pStyle w:val="TableParagraph"/>
              <w:spacing w:line="132" w:lineRule="exact"/>
              <w:ind w:right="78"/>
              <w:jc w:val="right"/>
              <w:rPr>
                <w:sz w:val="12"/>
              </w:rPr>
            </w:pPr>
            <w:r>
              <w:rPr>
                <w:w w:val="105"/>
                <w:sz w:val="12"/>
              </w:rPr>
              <w:t>271.571,96</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39104 - Sancion.Ley Prevenc.Riesgos Labor.y legisl.laboral</w:t>
            </w:r>
          </w:p>
        </w:tc>
        <w:tc>
          <w:tcPr>
            <w:tcW w:w="1234" w:type="dxa"/>
          </w:tcPr>
          <w:p>
            <w:pPr>
              <w:pStyle w:val="TableParagraph"/>
              <w:spacing w:line="132" w:lineRule="exact"/>
              <w:ind w:right="85"/>
              <w:jc w:val="right"/>
              <w:rPr>
                <w:sz w:val="12"/>
              </w:rPr>
            </w:pPr>
            <w:r>
              <w:rPr>
                <w:w w:val="105"/>
                <w:sz w:val="12"/>
              </w:rPr>
              <w:t>2.496.504,00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2.496.504,00</w:t>
            </w:r>
          </w:p>
        </w:tc>
        <w:tc>
          <w:tcPr>
            <w:tcW w:w="1059" w:type="dxa"/>
          </w:tcPr>
          <w:p>
            <w:pPr>
              <w:pStyle w:val="TableParagraph"/>
              <w:spacing w:line="132" w:lineRule="exact"/>
              <w:ind w:right="80"/>
              <w:jc w:val="right"/>
              <w:rPr>
                <w:sz w:val="12"/>
              </w:rPr>
            </w:pPr>
            <w:r>
              <w:rPr>
                <w:w w:val="105"/>
                <w:sz w:val="12"/>
              </w:rPr>
              <w:t>4.644.409,85</w:t>
            </w:r>
          </w:p>
        </w:tc>
        <w:tc>
          <w:tcPr>
            <w:tcW w:w="811" w:type="dxa"/>
          </w:tcPr>
          <w:p>
            <w:pPr>
              <w:pStyle w:val="TableParagraph"/>
              <w:spacing w:line="132" w:lineRule="exact"/>
              <w:ind w:right="54"/>
              <w:jc w:val="right"/>
              <w:rPr>
                <w:sz w:val="12"/>
              </w:rPr>
            </w:pPr>
            <w:r>
              <w:rPr>
                <w:w w:val="105"/>
                <w:sz w:val="12"/>
              </w:rPr>
              <w:t>307.283,71</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4.337.126,14</w:t>
            </w:r>
          </w:p>
        </w:tc>
        <w:tc>
          <w:tcPr>
            <w:tcW w:w="1030" w:type="dxa"/>
          </w:tcPr>
          <w:p>
            <w:pPr>
              <w:pStyle w:val="TableParagraph"/>
              <w:spacing w:line="132" w:lineRule="exact"/>
              <w:ind w:right="77"/>
              <w:jc w:val="right"/>
              <w:rPr>
                <w:sz w:val="12"/>
              </w:rPr>
            </w:pPr>
            <w:r>
              <w:rPr>
                <w:w w:val="105"/>
                <w:sz w:val="12"/>
              </w:rPr>
              <w:t>3.264.206,07</w:t>
            </w:r>
          </w:p>
        </w:tc>
        <w:tc>
          <w:tcPr>
            <w:tcW w:w="865" w:type="dxa"/>
            <w:tcBorders>
              <w:right w:val="single" w:sz="4" w:space="0" w:color="000000"/>
            </w:tcBorders>
          </w:tcPr>
          <w:p>
            <w:pPr>
              <w:pStyle w:val="TableParagraph"/>
              <w:spacing w:line="132" w:lineRule="exact"/>
              <w:ind w:right="35"/>
              <w:jc w:val="right"/>
              <w:rPr>
                <w:sz w:val="12"/>
              </w:rPr>
            </w:pPr>
            <w:r>
              <w:rPr>
                <w:w w:val="105"/>
                <w:sz w:val="12"/>
              </w:rPr>
              <w:t>1.072.920,07</w:t>
            </w:r>
          </w:p>
        </w:tc>
      </w:tr>
      <w:tr>
        <w:trPr>
          <w:trHeight w:val="150" w:hRule="atLeast"/>
        </w:trPr>
        <w:tc>
          <w:tcPr>
            <w:tcW w:w="3445" w:type="dxa"/>
            <w:tcBorders>
              <w:left w:val="single" w:sz="4" w:space="0" w:color="000000"/>
            </w:tcBorders>
          </w:tcPr>
          <w:p>
            <w:pPr>
              <w:pStyle w:val="TableParagraph"/>
              <w:spacing w:line="131" w:lineRule="exact"/>
              <w:ind w:left="52"/>
              <w:rPr>
                <w:sz w:val="12"/>
              </w:rPr>
            </w:pPr>
            <w:r>
              <w:rPr>
                <w:w w:val="105"/>
                <w:sz w:val="12"/>
              </w:rPr>
              <w:t>39103 - Sanciones por infracciones pesqueras</w:t>
            </w:r>
          </w:p>
        </w:tc>
        <w:tc>
          <w:tcPr>
            <w:tcW w:w="1234" w:type="dxa"/>
          </w:tcPr>
          <w:p>
            <w:pPr>
              <w:pStyle w:val="TableParagraph"/>
              <w:spacing w:line="131" w:lineRule="exact"/>
              <w:ind w:right="85"/>
              <w:jc w:val="right"/>
              <w:rPr>
                <w:sz w:val="12"/>
              </w:rPr>
            </w:pPr>
            <w:r>
              <w:rPr>
                <w:sz w:val="12"/>
              </w:rPr>
              <w:t>0,00</w:t>
            </w:r>
          </w:p>
        </w:tc>
        <w:tc>
          <w:tcPr>
            <w:tcW w:w="956" w:type="dxa"/>
          </w:tcPr>
          <w:p>
            <w:pPr>
              <w:pStyle w:val="TableParagraph"/>
              <w:spacing w:line="131" w:lineRule="exact"/>
              <w:ind w:right="49"/>
              <w:jc w:val="right"/>
              <w:rPr>
                <w:sz w:val="12"/>
              </w:rPr>
            </w:pPr>
            <w:r>
              <w:rPr>
                <w:sz w:val="12"/>
              </w:rPr>
              <w:t>0,00</w:t>
            </w:r>
          </w:p>
        </w:tc>
        <w:tc>
          <w:tcPr>
            <w:tcW w:w="1092" w:type="dxa"/>
          </w:tcPr>
          <w:p>
            <w:pPr>
              <w:pStyle w:val="TableParagraph"/>
              <w:spacing w:line="131" w:lineRule="exact"/>
              <w:ind w:right="82"/>
              <w:jc w:val="right"/>
              <w:rPr>
                <w:sz w:val="12"/>
              </w:rPr>
            </w:pPr>
            <w:r>
              <w:rPr>
                <w:sz w:val="12"/>
              </w:rPr>
              <w:t>0,00</w:t>
            </w:r>
          </w:p>
        </w:tc>
        <w:tc>
          <w:tcPr>
            <w:tcW w:w="1059" w:type="dxa"/>
          </w:tcPr>
          <w:p>
            <w:pPr>
              <w:pStyle w:val="TableParagraph"/>
              <w:spacing w:line="131" w:lineRule="exact"/>
              <w:ind w:right="80"/>
              <w:jc w:val="right"/>
              <w:rPr>
                <w:sz w:val="12"/>
              </w:rPr>
            </w:pPr>
            <w:r>
              <w:rPr>
                <w:w w:val="105"/>
                <w:sz w:val="12"/>
              </w:rPr>
              <w:t>94.137,00</w:t>
            </w:r>
          </w:p>
        </w:tc>
        <w:tc>
          <w:tcPr>
            <w:tcW w:w="811" w:type="dxa"/>
          </w:tcPr>
          <w:p>
            <w:pPr>
              <w:pStyle w:val="TableParagraph"/>
              <w:spacing w:line="131" w:lineRule="exact"/>
              <w:ind w:right="54"/>
              <w:jc w:val="right"/>
              <w:rPr>
                <w:sz w:val="12"/>
              </w:rPr>
            </w:pPr>
            <w:r>
              <w:rPr>
                <w:sz w:val="12"/>
              </w:rPr>
              <w:t>510,19</w:t>
            </w:r>
          </w:p>
        </w:tc>
        <w:tc>
          <w:tcPr>
            <w:tcW w:w="718" w:type="dxa"/>
          </w:tcPr>
          <w:p>
            <w:pPr>
              <w:pStyle w:val="TableParagraph"/>
              <w:spacing w:line="131" w:lineRule="exact"/>
              <w:ind w:right="80"/>
              <w:jc w:val="right"/>
              <w:rPr>
                <w:sz w:val="12"/>
              </w:rPr>
            </w:pPr>
            <w:r>
              <w:rPr>
                <w:sz w:val="12"/>
              </w:rPr>
              <w:t>0,00</w:t>
            </w:r>
          </w:p>
        </w:tc>
        <w:tc>
          <w:tcPr>
            <w:tcW w:w="1027" w:type="dxa"/>
          </w:tcPr>
          <w:p>
            <w:pPr>
              <w:pStyle w:val="TableParagraph"/>
              <w:spacing w:line="131" w:lineRule="exact"/>
              <w:ind w:right="47"/>
              <w:jc w:val="right"/>
              <w:rPr>
                <w:sz w:val="12"/>
              </w:rPr>
            </w:pPr>
            <w:r>
              <w:rPr>
                <w:w w:val="105"/>
                <w:sz w:val="12"/>
              </w:rPr>
              <w:t>93.626,81</w:t>
            </w:r>
          </w:p>
        </w:tc>
        <w:tc>
          <w:tcPr>
            <w:tcW w:w="1030" w:type="dxa"/>
          </w:tcPr>
          <w:p>
            <w:pPr>
              <w:pStyle w:val="TableParagraph"/>
              <w:spacing w:line="131" w:lineRule="exact"/>
              <w:ind w:right="78"/>
              <w:jc w:val="right"/>
              <w:rPr>
                <w:sz w:val="12"/>
              </w:rPr>
            </w:pPr>
            <w:r>
              <w:rPr>
                <w:w w:val="105"/>
                <w:sz w:val="12"/>
              </w:rPr>
              <w:t>93.626,81</w:t>
            </w:r>
          </w:p>
        </w:tc>
        <w:tc>
          <w:tcPr>
            <w:tcW w:w="865" w:type="dxa"/>
            <w:tcBorders>
              <w:right w:val="single" w:sz="4" w:space="0" w:color="000000"/>
            </w:tcBorders>
          </w:tcPr>
          <w:p>
            <w:pPr>
              <w:pStyle w:val="TableParagraph"/>
              <w:spacing w:line="131"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39101 - Sanciones tributarias</w:t>
            </w:r>
          </w:p>
        </w:tc>
        <w:tc>
          <w:tcPr>
            <w:tcW w:w="1234" w:type="dxa"/>
          </w:tcPr>
          <w:p>
            <w:pPr>
              <w:pStyle w:val="TableParagraph"/>
              <w:spacing w:line="132" w:lineRule="exact"/>
              <w:ind w:right="85"/>
              <w:jc w:val="right"/>
              <w:rPr>
                <w:sz w:val="12"/>
              </w:rPr>
            </w:pPr>
            <w:r>
              <w:rPr>
                <w:w w:val="105"/>
                <w:sz w:val="12"/>
              </w:rPr>
              <w:t>7.528.959,00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7.528.959,00</w:t>
            </w:r>
          </w:p>
        </w:tc>
        <w:tc>
          <w:tcPr>
            <w:tcW w:w="1059" w:type="dxa"/>
          </w:tcPr>
          <w:p>
            <w:pPr>
              <w:pStyle w:val="TableParagraph"/>
              <w:spacing w:line="132" w:lineRule="exact"/>
              <w:ind w:right="80"/>
              <w:jc w:val="right"/>
              <w:rPr>
                <w:sz w:val="12"/>
              </w:rPr>
            </w:pPr>
            <w:r>
              <w:rPr>
                <w:w w:val="105"/>
                <w:sz w:val="12"/>
              </w:rPr>
              <w:t>1.514.890,36</w:t>
            </w:r>
          </w:p>
        </w:tc>
        <w:tc>
          <w:tcPr>
            <w:tcW w:w="811" w:type="dxa"/>
          </w:tcPr>
          <w:p>
            <w:pPr>
              <w:pStyle w:val="TableParagraph"/>
              <w:spacing w:line="132" w:lineRule="exact"/>
              <w:ind w:right="54"/>
              <w:jc w:val="right"/>
              <w:rPr>
                <w:sz w:val="12"/>
              </w:rPr>
            </w:pPr>
            <w:r>
              <w:rPr>
                <w:w w:val="105"/>
                <w:sz w:val="12"/>
              </w:rPr>
              <w:t>177.204,00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1.337.686,36</w:t>
            </w:r>
          </w:p>
        </w:tc>
        <w:tc>
          <w:tcPr>
            <w:tcW w:w="1030" w:type="dxa"/>
          </w:tcPr>
          <w:p>
            <w:pPr>
              <w:pStyle w:val="TableParagraph"/>
              <w:spacing w:line="132" w:lineRule="exact"/>
              <w:ind w:right="78"/>
              <w:jc w:val="right"/>
              <w:rPr>
                <w:sz w:val="12"/>
              </w:rPr>
            </w:pPr>
            <w:r>
              <w:rPr>
                <w:w w:val="105"/>
                <w:sz w:val="12"/>
              </w:rPr>
              <w:t>946.616,26</w:t>
            </w:r>
          </w:p>
        </w:tc>
        <w:tc>
          <w:tcPr>
            <w:tcW w:w="865" w:type="dxa"/>
            <w:tcBorders>
              <w:right w:val="single" w:sz="4" w:space="0" w:color="000000"/>
            </w:tcBorders>
          </w:tcPr>
          <w:p>
            <w:pPr>
              <w:pStyle w:val="TableParagraph"/>
              <w:spacing w:line="132" w:lineRule="exact"/>
              <w:ind w:right="35"/>
              <w:jc w:val="right"/>
              <w:rPr>
                <w:sz w:val="12"/>
              </w:rPr>
            </w:pPr>
            <w:r>
              <w:rPr>
                <w:w w:val="105"/>
                <w:sz w:val="12"/>
              </w:rPr>
              <w:t>391.070,10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39100 - Multas</w:t>
            </w:r>
          </w:p>
        </w:tc>
        <w:tc>
          <w:tcPr>
            <w:tcW w:w="1234" w:type="dxa"/>
          </w:tcPr>
          <w:p>
            <w:pPr>
              <w:pStyle w:val="TableParagraph"/>
              <w:spacing w:line="132" w:lineRule="exact"/>
              <w:ind w:right="85"/>
              <w:jc w:val="right"/>
              <w:rPr>
                <w:sz w:val="12"/>
              </w:rPr>
            </w:pPr>
            <w:r>
              <w:rPr>
                <w:w w:val="105"/>
                <w:sz w:val="12"/>
              </w:rPr>
              <w:t>9.548.307,00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9.548.307,00</w:t>
            </w:r>
          </w:p>
        </w:tc>
        <w:tc>
          <w:tcPr>
            <w:tcW w:w="1059" w:type="dxa"/>
          </w:tcPr>
          <w:p>
            <w:pPr>
              <w:pStyle w:val="TableParagraph"/>
              <w:spacing w:line="132" w:lineRule="exact"/>
              <w:ind w:right="80"/>
              <w:jc w:val="right"/>
              <w:rPr>
                <w:sz w:val="12"/>
              </w:rPr>
            </w:pPr>
            <w:r>
              <w:rPr>
                <w:w w:val="105"/>
                <w:sz w:val="12"/>
              </w:rPr>
              <w:t>63.136.572,82</w:t>
            </w:r>
          </w:p>
        </w:tc>
        <w:tc>
          <w:tcPr>
            <w:tcW w:w="811" w:type="dxa"/>
          </w:tcPr>
          <w:p>
            <w:pPr>
              <w:pStyle w:val="TableParagraph"/>
              <w:spacing w:line="132" w:lineRule="exact"/>
              <w:ind w:right="54"/>
              <w:jc w:val="right"/>
              <w:rPr>
                <w:sz w:val="12"/>
              </w:rPr>
            </w:pPr>
            <w:r>
              <w:rPr>
                <w:w w:val="105"/>
                <w:sz w:val="12"/>
              </w:rPr>
              <w:t>241.021,44</w:t>
            </w:r>
          </w:p>
        </w:tc>
        <w:tc>
          <w:tcPr>
            <w:tcW w:w="718" w:type="dxa"/>
          </w:tcPr>
          <w:p>
            <w:pPr>
              <w:pStyle w:val="TableParagraph"/>
              <w:spacing w:line="132" w:lineRule="exact"/>
              <w:ind w:right="81"/>
              <w:jc w:val="right"/>
              <w:rPr>
                <w:sz w:val="12"/>
              </w:rPr>
            </w:pPr>
            <w:r>
              <w:rPr>
                <w:w w:val="105"/>
                <w:sz w:val="12"/>
              </w:rPr>
              <w:t>1.252,00</w:t>
            </w:r>
          </w:p>
        </w:tc>
        <w:tc>
          <w:tcPr>
            <w:tcW w:w="1027" w:type="dxa"/>
          </w:tcPr>
          <w:p>
            <w:pPr>
              <w:pStyle w:val="TableParagraph"/>
              <w:spacing w:line="132" w:lineRule="exact"/>
              <w:ind w:right="47"/>
              <w:jc w:val="right"/>
              <w:rPr>
                <w:sz w:val="12"/>
              </w:rPr>
            </w:pPr>
            <w:r>
              <w:rPr>
                <w:w w:val="105"/>
                <w:sz w:val="12"/>
              </w:rPr>
              <w:t>62.894.299,38</w:t>
            </w:r>
          </w:p>
        </w:tc>
        <w:tc>
          <w:tcPr>
            <w:tcW w:w="1030" w:type="dxa"/>
          </w:tcPr>
          <w:p>
            <w:pPr>
              <w:pStyle w:val="TableParagraph"/>
              <w:spacing w:line="132" w:lineRule="exact"/>
              <w:ind w:right="77"/>
              <w:jc w:val="right"/>
              <w:rPr>
                <w:sz w:val="12"/>
              </w:rPr>
            </w:pPr>
            <w:r>
              <w:rPr>
                <w:w w:val="105"/>
                <w:sz w:val="12"/>
              </w:rPr>
              <w:t>49.541.386,93</w:t>
            </w:r>
          </w:p>
        </w:tc>
        <w:tc>
          <w:tcPr>
            <w:tcW w:w="865" w:type="dxa"/>
            <w:tcBorders>
              <w:right w:val="single" w:sz="4" w:space="0" w:color="000000"/>
            </w:tcBorders>
          </w:tcPr>
          <w:p>
            <w:pPr>
              <w:pStyle w:val="TableParagraph"/>
              <w:spacing w:line="132" w:lineRule="exact"/>
              <w:ind w:right="35"/>
              <w:jc w:val="right"/>
              <w:rPr>
                <w:sz w:val="12"/>
              </w:rPr>
            </w:pPr>
            <w:r>
              <w:rPr>
                <w:w w:val="105"/>
                <w:sz w:val="12"/>
              </w:rPr>
              <w:t>13.352.912,45</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39902 - Indemnizaciones derivadas de siniestros</w:t>
            </w:r>
          </w:p>
        </w:tc>
        <w:tc>
          <w:tcPr>
            <w:tcW w:w="1234" w:type="dxa"/>
          </w:tcPr>
          <w:p>
            <w:pPr>
              <w:pStyle w:val="TableParagraph"/>
              <w:spacing w:line="132" w:lineRule="exact"/>
              <w:ind w:right="85"/>
              <w:jc w:val="right"/>
              <w:rPr>
                <w:sz w:val="12"/>
              </w:rPr>
            </w:pPr>
            <w:r>
              <w:rPr>
                <w:w w:val="105"/>
                <w:sz w:val="12"/>
              </w:rPr>
              <w:t>400.000,00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400.000,00</w:t>
            </w:r>
          </w:p>
        </w:tc>
        <w:tc>
          <w:tcPr>
            <w:tcW w:w="1059" w:type="dxa"/>
          </w:tcPr>
          <w:p>
            <w:pPr>
              <w:pStyle w:val="TableParagraph"/>
              <w:spacing w:line="132" w:lineRule="exact"/>
              <w:ind w:right="80"/>
              <w:jc w:val="right"/>
              <w:rPr>
                <w:sz w:val="12"/>
              </w:rPr>
            </w:pPr>
            <w:r>
              <w:rPr>
                <w:w w:val="105"/>
                <w:sz w:val="12"/>
              </w:rPr>
              <w:t>14.021,06</w:t>
            </w:r>
          </w:p>
        </w:tc>
        <w:tc>
          <w:tcPr>
            <w:tcW w:w="811" w:type="dxa"/>
          </w:tcPr>
          <w:p>
            <w:pPr>
              <w:pStyle w:val="TableParagraph"/>
              <w:spacing w:line="132" w:lineRule="exact"/>
              <w:ind w:right="54"/>
              <w:jc w:val="right"/>
              <w:rPr>
                <w:sz w:val="12"/>
              </w:rPr>
            </w:pPr>
            <w:r>
              <w:rPr>
                <w:sz w:val="12"/>
              </w:rPr>
              <w:t>390,00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w w:val="105"/>
                <w:sz w:val="12"/>
              </w:rPr>
              <w:t>13.631,06</w:t>
            </w:r>
          </w:p>
        </w:tc>
        <w:tc>
          <w:tcPr>
            <w:tcW w:w="1030" w:type="dxa"/>
          </w:tcPr>
          <w:p>
            <w:pPr>
              <w:pStyle w:val="TableParagraph"/>
              <w:spacing w:line="132" w:lineRule="exact"/>
              <w:ind w:right="78"/>
              <w:jc w:val="right"/>
              <w:rPr>
                <w:sz w:val="12"/>
              </w:rPr>
            </w:pPr>
            <w:r>
              <w:rPr>
                <w:w w:val="105"/>
                <w:sz w:val="12"/>
              </w:rPr>
              <w:t>13.631,06</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51" w:hRule="atLeast"/>
        </w:trPr>
        <w:tc>
          <w:tcPr>
            <w:tcW w:w="3445" w:type="dxa"/>
            <w:tcBorders>
              <w:left w:val="single" w:sz="4" w:space="0" w:color="000000"/>
            </w:tcBorders>
          </w:tcPr>
          <w:p>
            <w:pPr>
              <w:pStyle w:val="TableParagraph"/>
              <w:spacing w:line="132" w:lineRule="exact"/>
              <w:ind w:left="52"/>
              <w:rPr>
                <w:sz w:val="12"/>
              </w:rPr>
            </w:pPr>
            <w:r>
              <w:rPr>
                <w:w w:val="105"/>
                <w:sz w:val="12"/>
              </w:rPr>
              <w:t>39908 - Ingresos acción social Personal CAC</w:t>
            </w:r>
          </w:p>
        </w:tc>
        <w:tc>
          <w:tcPr>
            <w:tcW w:w="1234" w:type="dxa"/>
          </w:tcPr>
          <w:p>
            <w:pPr>
              <w:pStyle w:val="TableParagraph"/>
              <w:spacing w:line="132" w:lineRule="exact"/>
              <w:ind w:right="85"/>
              <w:jc w:val="right"/>
              <w:rPr>
                <w:sz w:val="12"/>
              </w:rPr>
            </w:pPr>
            <w:r>
              <w:rPr>
                <w:w w:val="105"/>
                <w:sz w:val="12"/>
              </w:rPr>
              <w:t>1.000,00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1.000,00</w:t>
            </w:r>
          </w:p>
        </w:tc>
        <w:tc>
          <w:tcPr>
            <w:tcW w:w="1059" w:type="dxa"/>
          </w:tcPr>
          <w:p>
            <w:pPr>
              <w:pStyle w:val="TableParagraph"/>
              <w:spacing w:line="132" w:lineRule="exact"/>
              <w:ind w:right="80"/>
              <w:jc w:val="right"/>
              <w:rPr>
                <w:sz w:val="12"/>
              </w:rPr>
            </w:pPr>
            <w:r>
              <w:rPr>
                <w:sz w:val="12"/>
              </w:rPr>
              <w:t>0,00</w:t>
            </w:r>
          </w:p>
        </w:tc>
        <w:tc>
          <w:tcPr>
            <w:tcW w:w="811" w:type="dxa"/>
          </w:tcPr>
          <w:p>
            <w:pPr>
              <w:pStyle w:val="TableParagraph"/>
              <w:spacing w:line="132" w:lineRule="exact"/>
              <w:ind w:right="54"/>
              <w:jc w:val="right"/>
              <w:rPr>
                <w:sz w:val="12"/>
              </w:rPr>
            </w:pPr>
            <w:r>
              <w:rPr>
                <w:sz w:val="12"/>
              </w:rPr>
              <w:t>0,00</w:t>
            </w:r>
          </w:p>
        </w:tc>
        <w:tc>
          <w:tcPr>
            <w:tcW w:w="718" w:type="dxa"/>
          </w:tcPr>
          <w:p>
            <w:pPr>
              <w:pStyle w:val="TableParagraph"/>
              <w:spacing w:line="132" w:lineRule="exact"/>
              <w:ind w:right="80"/>
              <w:jc w:val="right"/>
              <w:rPr>
                <w:sz w:val="12"/>
              </w:rPr>
            </w:pPr>
            <w:r>
              <w:rPr>
                <w:sz w:val="12"/>
              </w:rPr>
              <w:t>0,00</w:t>
            </w:r>
          </w:p>
        </w:tc>
        <w:tc>
          <w:tcPr>
            <w:tcW w:w="1027" w:type="dxa"/>
          </w:tcPr>
          <w:p>
            <w:pPr>
              <w:pStyle w:val="TableParagraph"/>
              <w:spacing w:line="132" w:lineRule="exact"/>
              <w:ind w:right="47"/>
              <w:jc w:val="right"/>
              <w:rPr>
                <w:sz w:val="12"/>
              </w:rPr>
            </w:pPr>
            <w:r>
              <w:rPr>
                <w:sz w:val="12"/>
              </w:rPr>
              <w:t>0,00</w:t>
            </w:r>
          </w:p>
        </w:tc>
        <w:tc>
          <w:tcPr>
            <w:tcW w:w="1030" w:type="dxa"/>
          </w:tcPr>
          <w:p>
            <w:pPr>
              <w:pStyle w:val="TableParagraph"/>
              <w:spacing w:line="132" w:lineRule="exact"/>
              <w:ind w:right="78"/>
              <w:jc w:val="right"/>
              <w:rPr>
                <w:sz w:val="12"/>
              </w:rPr>
            </w:pPr>
            <w:r>
              <w:rPr>
                <w:sz w:val="12"/>
              </w:rPr>
              <w:t>0,00</w:t>
            </w:r>
          </w:p>
        </w:tc>
        <w:tc>
          <w:tcPr>
            <w:tcW w:w="865" w:type="dxa"/>
            <w:tcBorders>
              <w:right w:val="single" w:sz="4" w:space="0" w:color="000000"/>
            </w:tcBorders>
          </w:tcPr>
          <w:p>
            <w:pPr>
              <w:pStyle w:val="TableParagraph"/>
              <w:spacing w:line="132" w:lineRule="exact"/>
              <w:ind w:right="35"/>
              <w:jc w:val="right"/>
              <w:rPr>
                <w:sz w:val="12"/>
              </w:rPr>
            </w:pPr>
            <w:r>
              <w:rPr>
                <w:sz w:val="12"/>
              </w:rPr>
              <w:t>0,00</w:t>
            </w:r>
          </w:p>
        </w:tc>
      </w:tr>
      <w:tr>
        <w:trPr>
          <w:trHeight w:val="138" w:hRule="atLeast"/>
        </w:trPr>
        <w:tc>
          <w:tcPr>
            <w:tcW w:w="3445" w:type="dxa"/>
            <w:tcBorders>
              <w:left w:val="single" w:sz="4" w:space="0" w:color="000000"/>
              <w:bottom w:val="single" w:sz="4" w:space="0" w:color="000000"/>
            </w:tcBorders>
          </w:tcPr>
          <w:p>
            <w:pPr>
              <w:pStyle w:val="TableParagraph"/>
              <w:spacing w:line="119" w:lineRule="exact"/>
              <w:ind w:left="52"/>
              <w:rPr>
                <w:sz w:val="12"/>
              </w:rPr>
            </w:pPr>
            <w:r>
              <w:rPr>
                <w:w w:val="105"/>
                <w:sz w:val="12"/>
              </w:rPr>
              <w:t>39909 - Otros ingresos diversos</w:t>
            </w:r>
          </w:p>
        </w:tc>
        <w:tc>
          <w:tcPr>
            <w:tcW w:w="1234" w:type="dxa"/>
            <w:tcBorders>
              <w:bottom w:val="single" w:sz="4" w:space="0" w:color="000000"/>
            </w:tcBorders>
          </w:tcPr>
          <w:p>
            <w:pPr>
              <w:pStyle w:val="TableParagraph"/>
              <w:spacing w:line="119" w:lineRule="exact"/>
              <w:ind w:right="85"/>
              <w:jc w:val="right"/>
              <w:rPr>
                <w:sz w:val="12"/>
              </w:rPr>
            </w:pPr>
            <w:r>
              <w:rPr>
                <w:w w:val="105"/>
                <w:sz w:val="12"/>
              </w:rPr>
              <w:t>2.965.621,00</w:t>
            </w:r>
          </w:p>
        </w:tc>
        <w:tc>
          <w:tcPr>
            <w:tcW w:w="956" w:type="dxa"/>
            <w:tcBorders>
              <w:bottom w:val="single" w:sz="4" w:space="0" w:color="000000"/>
            </w:tcBorders>
          </w:tcPr>
          <w:p>
            <w:pPr>
              <w:pStyle w:val="TableParagraph"/>
              <w:spacing w:line="119" w:lineRule="exact"/>
              <w:ind w:right="49"/>
              <w:jc w:val="right"/>
              <w:rPr>
                <w:sz w:val="12"/>
              </w:rPr>
            </w:pPr>
            <w:r>
              <w:rPr>
                <w:sz w:val="12"/>
              </w:rPr>
              <w:t>0,00</w:t>
            </w:r>
          </w:p>
        </w:tc>
        <w:tc>
          <w:tcPr>
            <w:tcW w:w="1092" w:type="dxa"/>
            <w:tcBorders>
              <w:bottom w:val="single" w:sz="4" w:space="0" w:color="000000"/>
            </w:tcBorders>
          </w:tcPr>
          <w:p>
            <w:pPr>
              <w:pStyle w:val="TableParagraph"/>
              <w:spacing w:line="119" w:lineRule="exact"/>
              <w:ind w:right="82"/>
              <w:jc w:val="right"/>
              <w:rPr>
                <w:sz w:val="12"/>
              </w:rPr>
            </w:pPr>
            <w:r>
              <w:rPr>
                <w:w w:val="105"/>
                <w:sz w:val="12"/>
              </w:rPr>
              <w:t>2.965.621,00</w:t>
            </w:r>
          </w:p>
        </w:tc>
        <w:tc>
          <w:tcPr>
            <w:tcW w:w="1059" w:type="dxa"/>
            <w:tcBorders>
              <w:bottom w:val="single" w:sz="4" w:space="0" w:color="000000"/>
            </w:tcBorders>
          </w:tcPr>
          <w:p>
            <w:pPr>
              <w:pStyle w:val="TableParagraph"/>
              <w:spacing w:line="119" w:lineRule="exact"/>
              <w:ind w:right="80"/>
              <w:jc w:val="right"/>
              <w:rPr>
                <w:sz w:val="12"/>
              </w:rPr>
            </w:pPr>
            <w:r>
              <w:rPr>
                <w:w w:val="105"/>
                <w:sz w:val="12"/>
              </w:rPr>
              <w:t>2.034.077,07</w:t>
            </w:r>
          </w:p>
        </w:tc>
        <w:tc>
          <w:tcPr>
            <w:tcW w:w="811" w:type="dxa"/>
            <w:tcBorders>
              <w:bottom w:val="single" w:sz="4" w:space="0" w:color="000000"/>
            </w:tcBorders>
          </w:tcPr>
          <w:p>
            <w:pPr>
              <w:pStyle w:val="TableParagraph"/>
              <w:spacing w:line="119" w:lineRule="exact"/>
              <w:ind w:right="54"/>
              <w:jc w:val="right"/>
              <w:rPr>
                <w:sz w:val="12"/>
              </w:rPr>
            </w:pPr>
            <w:r>
              <w:rPr>
                <w:w w:val="105"/>
                <w:sz w:val="12"/>
              </w:rPr>
              <w:t>109.064,18</w:t>
            </w:r>
          </w:p>
        </w:tc>
        <w:tc>
          <w:tcPr>
            <w:tcW w:w="718" w:type="dxa"/>
            <w:tcBorders>
              <w:bottom w:val="single" w:sz="4" w:space="0" w:color="000000"/>
            </w:tcBorders>
          </w:tcPr>
          <w:p>
            <w:pPr>
              <w:pStyle w:val="TableParagraph"/>
              <w:spacing w:line="119" w:lineRule="exact"/>
              <w:ind w:right="80"/>
              <w:jc w:val="right"/>
              <w:rPr>
                <w:sz w:val="12"/>
              </w:rPr>
            </w:pPr>
            <w:r>
              <w:rPr>
                <w:sz w:val="12"/>
              </w:rPr>
              <w:t>0,00</w:t>
            </w:r>
          </w:p>
        </w:tc>
        <w:tc>
          <w:tcPr>
            <w:tcW w:w="1027" w:type="dxa"/>
            <w:tcBorders>
              <w:bottom w:val="single" w:sz="4" w:space="0" w:color="000000"/>
            </w:tcBorders>
          </w:tcPr>
          <w:p>
            <w:pPr>
              <w:pStyle w:val="TableParagraph"/>
              <w:spacing w:line="119" w:lineRule="exact"/>
              <w:ind w:right="47"/>
              <w:jc w:val="right"/>
              <w:rPr>
                <w:sz w:val="12"/>
              </w:rPr>
            </w:pPr>
            <w:r>
              <w:rPr>
                <w:w w:val="105"/>
                <w:sz w:val="12"/>
              </w:rPr>
              <w:t>1.925.012,89</w:t>
            </w:r>
          </w:p>
        </w:tc>
        <w:tc>
          <w:tcPr>
            <w:tcW w:w="1030" w:type="dxa"/>
            <w:tcBorders>
              <w:bottom w:val="single" w:sz="4" w:space="0" w:color="000000"/>
            </w:tcBorders>
          </w:tcPr>
          <w:p>
            <w:pPr>
              <w:pStyle w:val="TableParagraph"/>
              <w:spacing w:line="119" w:lineRule="exact"/>
              <w:ind w:right="77"/>
              <w:jc w:val="right"/>
              <w:rPr>
                <w:sz w:val="12"/>
              </w:rPr>
            </w:pPr>
            <w:r>
              <w:rPr>
                <w:w w:val="105"/>
                <w:sz w:val="12"/>
              </w:rPr>
              <w:t>1.818.011,75</w:t>
            </w:r>
          </w:p>
        </w:tc>
        <w:tc>
          <w:tcPr>
            <w:tcW w:w="865" w:type="dxa"/>
            <w:tcBorders>
              <w:bottom w:val="single" w:sz="4" w:space="0" w:color="000000"/>
              <w:right w:val="single" w:sz="4" w:space="0" w:color="000000"/>
            </w:tcBorders>
          </w:tcPr>
          <w:p>
            <w:pPr>
              <w:pStyle w:val="TableParagraph"/>
              <w:spacing w:line="119" w:lineRule="exact"/>
              <w:ind w:right="35"/>
              <w:jc w:val="right"/>
              <w:rPr>
                <w:sz w:val="12"/>
              </w:rPr>
            </w:pPr>
            <w:r>
              <w:rPr>
                <w:w w:val="105"/>
                <w:sz w:val="12"/>
              </w:rPr>
              <w:t>107.001,14</w:t>
            </w:r>
          </w:p>
        </w:tc>
      </w:tr>
    </w:tbl>
    <w:p>
      <w:pPr>
        <w:spacing w:before="30"/>
        <w:ind w:left="10855" w:right="1577" w:firstLine="0"/>
        <w:jc w:val="center"/>
        <w:rPr>
          <w:sz w:val="18"/>
        </w:rPr>
      </w:pPr>
      <w:r>
        <w:rPr>
          <w:w w:val="105"/>
          <w:sz w:val="18"/>
        </w:rPr>
        <w:t>179</w:t>
      </w:r>
    </w:p>
    <w:p>
      <w:pPr>
        <w:spacing w:before="7"/>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83" name="image5.png"/>
                  <wp:cNvGraphicFramePr>
                    <a:graphicFrameLocks noChangeAspect="1"/>
                  </wp:cNvGraphicFramePr>
                  <a:graphic>
                    <a:graphicData uri="http://schemas.openxmlformats.org/drawingml/2006/picture">
                      <pic:pic>
                        <pic:nvPicPr>
                          <pic:cNvPr id="38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181/247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11:14:27</w:t>
            </w:r>
          </w:p>
        </w:tc>
        <w:tc>
          <w:tcPr>
            <w:tcW w:w="1442" w:type="dxa"/>
            <w:vMerge/>
            <w:tcBorders>
              <w:top w:val="nil"/>
            </w:tcBorders>
          </w:tcPr>
          <w:p>
            <w:pPr>
              <w:rPr>
                <w:sz w:val="2"/>
                <w:szCs w:val="2"/>
              </w:rPr>
            </w:pPr>
          </w:p>
        </w:tc>
      </w:tr>
    </w:tbl>
    <w:p>
      <w:pPr>
        <w:spacing w:after="0"/>
        <w:rPr>
          <w:sz w:val="2"/>
          <w:szCs w:val="2"/>
        </w:rPr>
        <w:sectPr>
          <w:pgSz w:w="16840" w:h="11900" w:orient="landscape"/>
          <w:pgMar w:header="797" w:footer="1006" w:top="1620" w:bottom="1200" w:left="1160" w:right="1160"/>
        </w:sectPr>
      </w:pPr>
    </w:p>
    <w:p>
      <w:pPr>
        <w:pStyle w:val="BodyText"/>
        <w:rPr>
          <w:b/>
          <w:sz w:val="13"/>
        </w:rPr>
      </w:pPr>
    </w:p>
    <w:tbl>
      <w:tblPr>
        <w:tblW w:w="0" w:type="auto"/>
        <w:jc w:val="left"/>
        <w:tblInd w:w="1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4"/>
        <w:gridCol w:w="1245"/>
        <w:gridCol w:w="956"/>
        <w:gridCol w:w="1092"/>
        <w:gridCol w:w="1093"/>
        <w:gridCol w:w="778"/>
        <w:gridCol w:w="718"/>
        <w:gridCol w:w="1029"/>
        <w:gridCol w:w="999"/>
        <w:gridCol w:w="898"/>
      </w:tblGrid>
      <w:tr>
        <w:trPr>
          <w:trHeight w:val="282" w:hRule="atLeast"/>
        </w:trPr>
        <w:tc>
          <w:tcPr>
            <w:tcW w:w="3434" w:type="dxa"/>
            <w:tcBorders>
              <w:top w:val="single" w:sz="4" w:space="0" w:color="000000"/>
              <w:left w:val="single" w:sz="4" w:space="0" w:color="000000"/>
              <w:bottom w:val="single" w:sz="4" w:space="0" w:color="000000"/>
            </w:tcBorders>
            <w:shd w:val="clear" w:color="auto" w:fill="DEEAF6"/>
          </w:tcPr>
          <w:p>
            <w:pPr>
              <w:pStyle w:val="TableParagraph"/>
              <w:spacing w:before="76"/>
              <w:ind w:left="1460" w:right="1371"/>
              <w:jc w:val="center"/>
              <w:rPr>
                <w:b/>
                <w:sz w:val="11"/>
              </w:rPr>
            </w:pPr>
            <w:r>
              <w:rPr>
                <w:b/>
                <w:w w:val="105"/>
                <w:sz w:val="11"/>
              </w:rPr>
              <w:t>Descripción</w:t>
            </w:r>
          </w:p>
        </w:tc>
        <w:tc>
          <w:tcPr>
            <w:tcW w:w="1245" w:type="dxa"/>
            <w:tcBorders>
              <w:top w:val="single" w:sz="4" w:space="0" w:color="000000"/>
              <w:bottom w:val="single" w:sz="4" w:space="0" w:color="000000"/>
            </w:tcBorders>
            <w:shd w:val="clear" w:color="auto" w:fill="DEEAF6"/>
          </w:tcPr>
          <w:p>
            <w:pPr>
              <w:pStyle w:val="TableParagraph"/>
              <w:spacing w:before="76"/>
              <w:ind w:left="270"/>
              <w:rPr>
                <w:b/>
                <w:sz w:val="11"/>
              </w:rPr>
            </w:pPr>
            <w:r>
              <w:rPr>
                <w:b/>
                <w:w w:val="105"/>
                <w:sz w:val="11"/>
              </w:rPr>
              <w:t>Previsión Inicial</w:t>
            </w:r>
          </w:p>
        </w:tc>
        <w:tc>
          <w:tcPr>
            <w:tcW w:w="956" w:type="dxa"/>
            <w:tcBorders>
              <w:top w:val="single" w:sz="4" w:space="0" w:color="000000"/>
              <w:bottom w:val="single" w:sz="4" w:space="0" w:color="000000"/>
            </w:tcBorders>
            <w:shd w:val="clear" w:color="auto" w:fill="DEEAF6"/>
          </w:tcPr>
          <w:p>
            <w:pPr>
              <w:pStyle w:val="TableParagraph"/>
              <w:spacing w:before="6"/>
              <w:ind w:left="17" w:right="47"/>
              <w:jc w:val="center"/>
              <w:rPr>
                <w:b/>
                <w:sz w:val="11"/>
              </w:rPr>
            </w:pPr>
            <w:r>
              <w:rPr>
                <w:b/>
                <w:w w:val="105"/>
                <w:sz w:val="11"/>
              </w:rPr>
              <w:t>Modificaciones</w:t>
            </w:r>
          </w:p>
          <w:p>
            <w:pPr>
              <w:pStyle w:val="TableParagraph"/>
              <w:spacing w:line="115" w:lineRule="exact" w:before="7"/>
              <w:ind w:left="19" w:right="47"/>
              <w:jc w:val="center"/>
              <w:rPr>
                <w:b/>
                <w:sz w:val="11"/>
              </w:rPr>
            </w:pPr>
            <w:r>
              <w:rPr>
                <w:b/>
                <w:w w:val="105"/>
                <w:sz w:val="11"/>
              </w:rPr>
              <w:t>de crédito</w:t>
            </w:r>
          </w:p>
        </w:tc>
        <w:tc>
          <w:tcPr>
            <w:tcW w:w="1092" w:type="dxa"/>
            <w:tcBorders>
              <w:top w:val="single" w:sz="4" w:space="0" w:color="000000"/>
              <w:bottom w:val="single" w:sz="4" w:space="0" w:color="000000"/>
            </w:tcBorders>
            <w:shd w:val="clear" w:color="auto" w:fill="DEEAF6"/>
          </w:tcPr>
          <w:p>
            <w:pPr>
              <w:pStyle w:val="TableParagraph"/>
              <w:spacing w:before="76"/>
              <w:ind w:right="87"/>
              <w:jc w:val="right"/>
              <w:rPr>
                <w:b/>
                <w:sz w:val="11"/>
              </w:rPr>
            </w:pPr>
            <w:r>
              <w:rPr>
                <w:b/>
                <w:w w:val="105"/>
                <w:sz w:val="11"/>
              </w:rPr>
              <w:t>Previsión Definitiva</w:t>
            </w:r>
          </w:p>
        </w:tc>
        <w:tc>
          <w:tcPr>
            <w:tcW w:w="1093" w:type="dxa"/>
            <w:tcBorders>
              <w:top w:val="single" w:sz="4" w:space="0" w:color="000000"/>
              <w:bottom w:val="single" w:sz="4" w:space="0" w:color="000000"/>
            </w:tcBorders>
            <w:shd w:val="clear" w:color="auto" w:fill="DEEAF6"/>
          </w:tcPr>
          <w:p>
            <w:pPr>
              <w:pStyle w:val="TableParagraph"/>
              <w:spacing w:before="6"/>
              <w:ind w:left="78" w:right="173"/>
              <w:jc w:val="center"/>
              <w:rPr>
                <w:b/>
                <w:sz w:val="11"/>
              </w:rPr>
            </w:pPr>
            <w:r>
              <w:rPr>
                <w:b/>
                <w:w w:val="105"/>
                <w:sz w:val="11"/>
              </w:rPr>
              <w:t>Derechos Recon.</w:t>
            </w:r>
          </w:p>
          <w:p>
            <w:pPr>
              <w:pStyle w:val="TableParagraph"/>
              <w:spacing w:line="115" w:lineRule="exact" w:before="7"/>
              <w:ind w:left="78" w:right="169"/>
              <w:jc w:val="center"/>
              <w:rPr>
                <w:b/>
                <w:sz w:val="11"/>
              </w:rPr>
            </w:pPr>
            <w:r>
              <w:rPr>
                <w:b/>
                <w:w w:val="105"/>
                <w:sz w:val="11"/>
              </w:rPr>
              <w:t>Total</w:t>
            </w:r>
          </w:p>
        </w:tc>
        <w:tc>
          <w:tcPr>
            <w:tcW w:w="778" w:type="dxa"/>
            <w:tcBorders>
              <w:top w:val="single" w:sz="4" w:space="0" w:color="000000"/>
              <w:bottom w:val="single" w:sz="4" w:space="0" w:color="000000"/>
            </w:tcBorders>
            <w:shd w:val="clear" w:color="auto" w:fill="DEEAF6"/>
          </w:tcPr>
          <w:p>
            <w:pPr>
              <w:pStyle w:val="TableParagraph"/>
              <w:spacing w:before="6"/>
              <w:ind w:left="125"/>
              <w:rPr>
                <w:b/>
                <w:sz w:val="11"/>
              </w:rPr>
            </w:pPr>
            <w:r>
              <w:rPr>
                <w:b/>
                <w:w w:val="105"/>
                <w:sz w:val="11"/>
              </w:rPr>
              <w:t>Derechos</w:t>
            </w:r>
          </w:p>
          <w:p>
            <w:pPr>
              <w:pStyle w:val="TableParagraph"/>
              <w:spacing w:line="115" w:lineRule="exact" w:before="7"/>
              <w:ind w:left="127"/>
              <w:rPr>
                <w:b/>
                <w:sz w:val="11"/>
              </w:rPr>
            </w:pPr>
            <w:r>
              <w:rPr>
                <w:b/>
                <w:w w:val="105"/>
                <w:sz w:val="11"/>
              </w:rPr>
              <w:t>Anulados</w:t>
            </w:r>
          </w:p>
        </w:tc>
        <w:tc>
          <w:tcPr>
            <w:tcW w:w="718" w:type="dxa"/>
            <w:tcBorders>
              <w:top w:val="single" w:sz="4" w:space="0" w:color="000000"/>
              <w:bottom w:val="single" w:sz="4" w:space="0" w:color="000000"/>
            </w:tcBorders>
            <w:shd w:val="clear" w:color="auto" w:fill="DEEAF6"/>
          </w:tcPr>
          <w:p>
            <w:pPr>
              <w:pStyle w:val="TableParagraph"/>
              <w:spacing w:before="6"/>
              <w:ind w:left="111"/>
              <w:rPr>
                <w:b/>
                <w:sz w:val="11"/>
              </w:rPr>
            </w:pPr>
            <w:r>
              <w:rPr>
                <w:b/>
                <w:w w:val="105"/>
                <w:sz w:val="11"/>
              </w:rPr>
              <w:t>Derechos</w:t>
            </w:r>
          </w:p>
          <w:p>
            <w:pPr>
              <w:pStyle w:val="TableParagraph"/>
              <w:spacing w:line="115" w:lineRule="exact" w:before="7"/>
              <w:ind w:left="67"/>
              <w:rPr>
                <w:b/>
                <w:sz w:val="11"/>
              </w:rPr>
            </w:pPr>
            <w:r>
              <w:rPr>
                <w:b/>
                <w:w w:val="105"/>
                <w:sz w:val="11"/>
              </w:rPr>
              <w:t>Cancelados</w:t>
            </w:r>
          </w:p>
        </w:tc>
        <w:tc>
          <w:tcPr>
            <w:tcW w:w="1029" w:type="dxa"/>
            <w:tcBorders>
              <w:top w:val="single" w:sz="4" w:space="0" w:color="000000"/>
              <w:bottom w:val="single" w:sz="4" w:space="0" w:color="000000"/>
            </w:tcBorders>
            <w:shd w:val="clear" w:color="auto" w:fill="DEEAF6"/>
          </w:tcPr>
          <w:p>
            <w:pPr>
              <w:pStyle w:val="TableParagraph"/>
              <w:spacing w:before="6"/>
              <w:ind w:left="80" w:right="105"/>
              <w:jc w:val="center"/>
              <w:rPr>
                <w:b/>
                <w:sz w:val="11"/>
              </w:rPr>
            </w:pPr>
            <w:r>
              <w:rPr>
                <w:b/>
                <w:w w:val="105"/>
                <w:sz w:val="11"/>
              </w:rPr>
              <w:t>Derechos Recon.</w:t>
            </w:r>
          </w:p>
          <w:p>
            <w:pPr>
              <w:pStyle w:val="TableParagraph"/>
              <w:spacing w:line="115" w:lineRule="exact" w:before="7"/>
              <w:ind w:left="78" w:right="105"/>
              <w:jc w:val="center"/>
              <w:rPr>
                <w:b/>
                <w:sz w:val="11"/>
              </w:rPr>
            </w:pPr>
            <w:r>
              <w:rPr>
                <w:b/>
                <w:w w:val="105"/>
                <w:sz w:val="11"/>
              </w:rPr>
              <w:t>Netos</w:t>
            </w:r>
          </w:p>
        </w:tc>
        <w:tc>
          <w:tcPr>
            <w:tcW w:w="999" w:type="dxa"/>
            <w:tcBorders>
              <w:top w:val="single" w:sz="4" w:space="0" w:color="000000"/>
              <w:bottom w:val="single" w:sz="4" w:space="0" w:color="000000"/>
            </w:tcBorders>
            <w:shd w:val="clear" w:color="auto" w:fill="DEEAF6"/>
          </w:tcPr>
          <w:p>
            <w:pPr>
              <w:pStyle w:val="TableParagraph"/>
              <w:spacing w:before="76"/>
              <w:ind w:right="57"/>
              <w:jc w:val="right"/>
              <w:rPr>
                <w:b/>
                <w:sz w:val="11"/>
              </w:rPr>
            </w:pPr>
            <w:r>
              <w:rPr>
                <w:b/>
                <w:w w:val="105"/>
                <w:sz w:val="11"/>
              </w:rPr>
              <w:t>Recaudación Neta</w:t>
            </w:r>
          </w:p>
        </w:tc>
        <w:tc>
          <w:tcPr>
            <w:tcW w:w="898" w:type="dxa"/>
            <w:tcBorders>
              <w:top w:val="single" w:sz="4" w:space="0" w:color="000000"/>
              <w:bottom w:val="single" w:sz="4" w:space="0" w:color="000000"/>
              <w:right w:val="single" w:sz="4" w:space="0" w:color="000000"/>
            </w:tcBorders>
            <w:shd w:val="clear" w:color="auto" w:fill="DEEAF6"/>
          </w:tcPr>
          <w:p>
            <w:pPr>
              <w:pStyle w:val="TableParagraph"/>
              <w:spacing w:before="6"/>
              <w:ind w:left="113" w:right="103"/>
              <w:jc w:val="center"/>
              <w:rPr>
                <w:b/>
                <w:sz w:val="11"/>
              </w:rPr>
            </w:pPr>
            <w:r>
              <w:rPr>
                <w:b/>
                <w:w w:val="105"/>
                <w:sz w:val="11"/>
              </w:rPr>
              <w:t>Pendiente de</w:t>
            </w:r>
          </w:p>
          <w:p>
            <w:pPr>
              <w:pStyle w:val="TableParagraph"/>
              <w:spacing w:line="115" w:lineRule="exact" w:before="7"/>
              <w:ind w:left="113" w:right="102"/>
              <w:jc w:val="center"/>
              <w:rPr>
                <w:b/>
                <w:sz w:val="11"/>
              </w:rPr>
            </w:pPr>
            <w:r>
              <w:rPr>
                <w:b/>
                <w:w w:val="105"/>
                <w:sz w:val="11"/>
              </w:rPr>
              <w:t>Cobro</w:t>
            </w:r>
          </w:p>
        </w:tc>
      </w:tr>
      <w:tr>
        <w:trPr>
          <w:trHeight w:val="161" w:hRule="atLeast"/>
        </w:trPr>
        <w:tc>
          <w:tcPr>
            <w:tcW w:w="3434" w:type="dxa"/>
            <w:tcBorders>
              <w:top w:val="single" w:sz="4" w:space="0" w:color="000000"/>
              <w:left w:val="single" w:sz="4" w:space="0" w:color="000000"/>
            </w:tcBorders>
          </w:tcPr>
          <w:p>
            <w:pPr>
              <w:pStyle w:val="TableParagraph"/>
              <w:spacing w:line="139" w:lineRule="exact" w:before="2"/>
              <w:ind w:left="52"/>
              <w:rPr>
                <w:sz w:val="12"/>
              </w:rPr>
            </w:pPr>
            <w:r>
              <w:rPr>
                <w:w w:val="105"/>
                <w:sz w:val="12"/>
              </w:rPr>
              <w:t>40020 - Fondo Garantía de Servicios Públicos Fundamentales</w:t>
            </w:r>
          </w:p>
        </w:tc>
        <w:tc>
          <w:tcPr>
            <w:tcW w:w="1245" w:type="dxa"/>
            <w:tcBorders>
              <w:top w:val="single" w:sz="4" w:space="0" w:color="000000"/>
            </w:tcBorders>
          </w:tcPr>
          <w:p>
            <w:pPr>
              <w:pStyle w:val="TableParagraph"/>
              <w:spacing w:line="139" w:lineRule="exact" w:before="2"/>
              <w:ind w:right="85"/>
              <w:jc w:val="right"/>
              <w:rPr>
                <w:sz w:val="12"/>
              </w:rPr>
            </w:pPr>
            <w:r>
              <w:rPr>
                <w:w w:val="105"/>
                <w:sz w:val="12"/>
              </w:rPr>
              <w:t>2.755.334.660,00</w:t>
            </w:r>
          </w:p>
        </w:tc>
        <w:tc>
          <w:tcPr>
            <w:tcW w:w="956" w:type="dxa"/>
            <w:tcBorders>
              <w:top w:val="single" w:sz="4" w:space="0" w:color="000000"/>
            </w:tcBorders>
          </w:tcPr>
          <w:p>
            <w:pPr>
              <w:pStyle w:val="TableParagraph"/>
              <w:spacing w:line="139" w:lineRule="exact" w:before="2"/>
              <w:ind w:right="49"/>
              <w:jc w:val="right"/>
              <w:rPr>
                <w:sz w:val="12"/>
              </w:rPr>
            </w:pPr>
            <w:r>
              <w:rPr>
                <w:sz w:val="12"/>
              </w:rPr>
              <w:t>0,00</w:t>
            </w:r>
          </w:p>
        </w:tc>
        <w:tc>
          <w:tcPr>
            <w:tcW w:w="1092" w:type="dxa"/>
            <w:tcBorders>
              <w:top w:val="single" w:sz="4" w:space="0" w:color="000000"/>
            </w:tcBorders>
          </w:tcPr>
          <w:p>
            <w:pPr>
              <w:pStyle w:val="TableParagraph"/>
              <w:spacing w:line="139" w:lineRule="exact" w:before="2"/>
              <w:ind w:right="82"/>
              <w:jc w:val="right"/>
              <w:rPr>
                <w:sz w:val="12"/>
              </w:rPr>
            </w:pPr>
            <w:r>
              <w:rPr>
                <w:w w:val="105"/>
                <w:sz w:val="12"/>
              </w:rPr>
              <w:t>2.755.334.660,00</w:t>
            </w:r>
          </w:p>
        </w:tc>
        <w:tc>
          <w:tcPr>
            <w:tcW w:w="1093" w:type="dxa"/>
            <w:tcBorders>
              <w:top w:val="single" w:sz="4" w:space="0" w:color="000000"/>
            </w:tcBorders>
          </w:tcPr>
          <w:p>
            <w:pPr>
              <w:pStyle w:val="TableParagraph"/>
              <w:spacing w:line="139" w:lineRule="exact" w:before="2"/>
              <w:ind w:right="114"/>
              <w:jc w:val="right"/>
              <w:rPr>
                <w:sz w:val="12"/>
              </w:rPr>
            </w:pPr>
            <w:r>
              <w:rPr>
                <w:w w:val="105"/>
                <w:sz w:val="12"/>
              </w:rPr>
              <w:t>2.819.348.165,74</w:t>
            </w:r>
          </w:p>
        </w:tc>
        <w:tc>
          <w:tcPr>
            <w:tcW w:w="778" w:type="dxa"/>
            <w:tcBorders>
              <w:top w:val="single" w:sz="4" w:space="0" w:color="000000"/>
            </w:tcBorders>
          </w:tcPr>
          <w:p>
            <w:pPr>
              <w:pStyle w:val="TableParagraph"/>
              <w:spacing w:line="139" w:lineRule="exact" w:before="2"/>
              <w:ind w:right="55"/>
              <w:jc w:val="right"/>
              <w:rPr>
                <w:sz w:val="12"/>
              </w:rPr>
            </w:pPr>
            <w:r>
              <w:rPr>
                <w:sz w:val="12"/>
              </w:rPr>
              <w:t>0,00</w:t>
            </w:r>
          </w:p>
        </w:tc>
        <w:tc>
          <w:tcPr>
            <w:tcW w:w="718" w:type="dxa"/>
            <w:tcBorders>
              <w:top w:val="single" w:sz="4" w:space="0" w:color="000000"/>
            </w:tcBorders>
          </w:tcPr>
          <w:p>
            <w:pPr>
              <w:pStyle w:val="TableParagraph"/>
              <w:spacing w:line="139" w:lineRule="exact" w:before="2"/>
              <w:ind w:right="81"/>
              <w:jc w:val="right"/>
              <w:rPr>
                <w:sz w:val="12"/>
              </w:rPr>
            </w:pPr>
            <w:r>
              <w:rPr>
                <w:sz w:val="12"/>
              </w:rPr>
              <w:t>0,00</w:t>
            </w:r>
          </w:p>
        </w:tc>
        <w:tc>
          <w:tcPr>
            <w:tcW w:w="1029" w:type="dxa"/>
            <w:tcBorders>
              <w:top w:val="single" w:sz="4" w:space="0" w:color="000000"/>
            </w:tcBorders>
          </w:tcPr>
          <w:p>
            <w:pPr>
              <w:pStyle w:val="TableParagraph"/>
              <w:spacing w:line="139" w:lineRule="exact" w:before="2"/>
              <w:ind w:right="50"/>
              <w:jc w:val="right"/>
              <w:rPr>
                <w:sz w:val="12"/>
              </w:rPr>
            </w:pPr>
            <w:r>
              <w:rPr>
                <w:w w:val="105"/>
                <w:sz w:val="12"/>
              </w:rPr>
              <w:t>2.819.348.165,74</w:t>
            </w:r>
          </w:p>
        </w:tc>
        <w:tc>
          <w:tcPr>
            <w:tcW w:w="999" w:type="dxa"/>
            <w:tcBorders>
              <w:top w:val="single" w:sz="4" w:space="0" w:color="000000"/>
            </w:tcBorders>
          </w:tcPr>
          <w:p>
            <w:pPr>
              <w:pStyle w:val="TableParagraph"/>
              <w:spacing w:line="139" w:lineRule="exact" w:before="2"/>
              <w:ind w:right="50"/>
              <w:jc w:val="right"/>
              <w:rPr>
                <w:sz w:val="12"/>
              </w:rPr>
            </w:pPr>
            <w:r>
              <w:rPr>
                <w:w w:val="105"/>
                <w:sz w:val="12"/>
              </w:rPr>
              <w:t>2.819.348.165,74</w:t>
            </w:r>
          </w:p>
        </w:tc>
        <w:tc>
          <w:tcPr>
            <w:tcW w:w="898" w:type="dxa"/>
            <w:tcBorders>
              <w:top w:val="single" w:sz="4" w:space="0" w:color="000000"/>
              <w:right w:val="single" w:sz="4" w:space="0" w:color="000000"/>
            </w:tcBorders>
          </w:tcPr>
          <w:p>
            <w:pPr>
              <w:pStyle w:val="TableParagraph"/>
              <w:spacing w:line="139" w:lineRule="exact" w:before="2"/>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40021 - Fondo de Suficiencia Global</w:t>
            </w:r>
          </w:p>
        </w:tc>
        <w:tc>
          <w:tcPr>
            <w:tcW w:w="1245" w:type="dxa"/>
          </w:tcPr>
          <w:p>
            <w:pPr>
              <w:pStyle w:val="TableParagraph"/>
              <w:spacing w:line="132" w:lineRule="exact"/>
              <w:ind w:right="85"/>
              <w:jc w:val="right"/>
              <w:rPr>
                <w:sz w:val="12"/>
              </w:rPr>
            </w:pPr>
            <w:r>
              <w:rPr>
                <w:w w:val="105"/>
                <w:sz w:val="12"/>
              </w:rPr>
              <w:t>77.400.400,00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77.400.400,00</w:t>
            </w:r>
          </w:p>
        </w:tc>
        <w:tc>
          <w:tcPr>
            <w:tcW w:w="1093" w:type="dxa"/>
          </w:tcPr>
          <w:p>
            <w:pPr>
              <w:pStyle w:val="TableParagraph"/>
              <w:spacing w:line="132" w:lineRule="exact"/>
              <w:ind w:right="114"/>
              <w:jc w:val="right"/>
              <w:rPr>
                <w:sz w:val="12"/>
              </w:rPr>
            </w:pPr>
            <w:r>
              <w:rPr>
                <w:w w:val="105"/>
                <w:sz w:val="12"/>
              </w:rPr>
              <w:t>77.400.402,53</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77.400.402,53</w:t>
            </w:r>
          </w:p>
        </w:tc>
        <w:tc>
          <w:tcPr>
            <w:tcW w:w="999" w:type="dxa"/>
          </w:tcPr>
          <w:p>
            <w:pPr>
              <w:pStyle w:val="TableParagraph"/>
              <w:spacing w:line="132" w:lineRule="exact"/>
              <w:ind w:right="49"/>
              <w:jc w:val="right"/>
              <w:rPr>
                <w:sz w:val="12"/>
              </w:rPr>
            </w:pPr>
            <w:r>
              <w:rPr>
                <w:w w:val="105"/>
                <w:sz w:val="12"/>
              </w:rPr>
              <w:t>77.400.402,53</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1" w:lineRule="exact"/>
              <w:ind w:left="52"/>
              <w:rPr>
                <w:sz w:val="12"/>
              </w:rPr>
            </w:pPr>
            <w:r>
              <w:rPr>
                <w:w w:val="105"/>
                <w:sz w:val="12"/>
              </w:rPr>
              <w:t>40027 - Liquidación Fondo de Competitividad</w:t>
            </w:r>
          </w:p>
        </w:tc>
        <w:tc>
          <w:tcPr>
            <w:tcW w:w="1245" w:type="dxa"/>
          </w:tcPr>
          <w:p>
            <w:pPr>
              <w:pStyle w:val="TableParagraph"/>
              <w:spacing w:line="131" w:lineRule="exact"/>
              <w:ind w:right="85"/>
              <w:jc w:val="right"/>
              <w:rPr>
                <w:sz w:val="12"/>
              </w:rPr>
            </w:pPr>
            <w:r>
              <w:rPr>
                <w:w w:val="105"/>
                <w:sz w:val="12"/>
              </w:rPr>
              <w:t>637.892.190,00</w:t>
            </w:r>
          </w:p>
        </w:tc>
        <w:tc>
          <w:tcPr>
            <w:tcW w:w="956" w:type="dxa"/>
          </w:tcPr>
          <w:p>
            <w:pPr>
              <w:pStyle w:val="TableParagraph"/>
              <w:spacing w:line="131" w:lineRule="exact"/>
              <w:ind w:right="49"/>
              <w:jc w:val="right"/>
              <w:rPr>
                <w:sz w:val="12"/>
              </w:rPr>
            </w:pPr>
            <w:r>
              <w:rPr>
                <w:sz w:val="12"/>
              </w:rPr>
              <w:t>0,00</w:t>
            </w:r>
          </w:p>
        </w:tc>
        <w:tc>
          <w:tcPr>
            <w:tcW w:w="1092" w:type="dxa"/>
          </w:tcPr>
          <w:p>
            <w:pPr>
              <w:pStyle w:val="TableParagraph"/>
              <w:spacing w:line="131" w:lineRule="exact"/>
              <w:ind w:right="83"/>
              <w:jc w:val="right"/>
              <w:rPr>
                <w:sz w:val="12"/>
              </w:rPr>
            </w:pPr>
            <w:r>
              <w:rPr>
                <w:w w:val="105"/>
                <w:sz w:val="12"/>
              </w:rPr>
              <w:t>637.892.190,00</w:t>
            </w:r>
          </w:p>
        </w:tc>
        <w:tc>
          <w:tcPr>
            <w:tcW w:w="1093" w:type="dxa"/>
          </w:tcPr>
          <w:p>
            <w:pPr>
              <w:pStyle w:val="TableParagraph"/>
              <w:spacing w:line="131" w:lineRule="exact"/>
              <w:ind w:right="115"/>
              <w:jc w:val="right"/>
              <w:rPr>
                <w:sz w:val="12"/>
              </w:rPr>
            </w:pPr>
            <w:r>
              <w:rPr>
                <w:w w:val="105"/>
                <w:sz w:val="12"/>
              </w:rPr>
              <w:t>648.861.363,66</w:t>
            </w:r>
          </w:p>
        </w:tc>
        <w:tc>
          <w:tcPr>
            <w:tcW w:w="778" w:type="dxa"/>
          </w:tcPr>
          <w:p>
            <w:pPr>
              <w:pStyle w:val="TableParagraph"/>
              <w:spacing w:line="131" w:lineRule="exact"/>
              <w:ind w:right="55"/>
              <w:jc w:val="right"/>
              <w:rPr>
                <w:sz w:val="12"/>
              </w:rPr>
            </w:pPr>
            <w:r>
              <w:rPr>
                <w:sz w:val="12"/>
              </w:rPr>
              <w:t>0,00</w:t>
            </w:r>
          </w:p>
        </w:tc>
        <w:tc>
          <w:tcPr>
            <w:tcW w:w="718" w:type="dxa"/>
          </w:tcPr>
          <w:p>
            <w:pPr>
              <w:pStyle w:val="TableParagraph"/>
              <w:spacing w:line="131" w:lineRule="exact"/>
              <w:ind w:right="81"/>
              <w:jc w:val="right"/>
              <w:rPr>
                <w:sz w:val="12"/>
              </w:rPr>
            </w:pPr>
            <w:r>
              <w:rPr>
                <w:sz w:val="12"/>
              </w:rPr>
              <w:t>0,00</w:t>
            </w:r>
          </w:p>
        </w:tc>
        <w:tc>
          <w:tcPr>
            <w:tcW w:w="1029" w:type="dxa"/>
          </w:tcPr>
          <w:p>
            <w:pPr>
              <w:pStyle w:val="TableParagraph"/>
              <w:spacing w:line="131" w:lineRule="exact"/>
              <w:ind w:right="50"/>
              <w:jc w:val="right"/>
              <w:rPr>
                <w:sz w:val="12"/>
              </w:rPr>
            </w:pPr>
            <w:r>
              <w:rPr>
                <w:w w:val="105"/>
                <w:sz w:val="12"/>
              </w:rPr>
              <w:t>648.861.363,66</w:t>
            </w:r>
          </w:p>
        </w:tc>
        <w:tc>
          <w:tcPr>
            <w:tcW w:w="999" w:type="dxa"/>
          </w:tcPr>
          <w:p>
            <w:pPr>
              <w:pStyle w:val="TableParagraph"/>
              <w:spacing w:line="131" w:lineRule="exact"/>
              <w:ind w:right="50"/>
              <w:jc w:val="right"/>
              <w:rPr>
                <w:sz w:val="12"/>
              </w:rPr>
            </w:pPr>
            <w:r>
              <w:rPr>
                <w:w w:val="105"/>
                <w:sz w:val="12"/>
              </w:rPr>
              <w:t>648.861.363,66</w:t>
            </w:r>
          </w:p>
        </w:tc>
        <w:tc>
          <w:tcPr>
            <w:tcW w:w="898" w:type="dxa"/>
            <w:tcBorders>
              <w:right w:val="single" w:sz="4" w:space="0" w:color="000000"/>
            </w:tcBorders>
          </w:tcPr>
          <w:p>
            <w:pPr>
              <w:pStyle w:val="TableParagraph"/>
              <w:spacing w:line="131" w:lineRule="exact"/>
              <w:ind w:right="40"/>
              <w:jc w:val="right"/>
              <w:rPr>
                <w:sz w:val="12"/>
              </w:rPr>
            </w:pPr>
            <w:r>
              <w:rPr>
                <w:sz w:val="12"/>
              </w:rPr>
              <w:t>0,00</w:t>
            </w:r>
          </w:p>
        </w:tc>
      </w:tr>
      <w:tr>
        <w:trPr>
          <w:trHeight w:val="152" w:hRule="atLeast"/>
        </w:trPr>
        <w:tc>
          <w:tcPr>
            <w:tcW w:w="3434" w:type="dxa"/>
            <w:tcBorders>
              <w:left w:val="single" w:sz="4" w:space="0" w:color="000000"/>
            </w:tcBorders>
          </w:tcPr>
          <w:p>
            <w:pPr>
              <w:pStyle w:val="TableParagraph"/>
              <w:spacing w:line="132" w:lineRule="exact"/>
              <w:ind w:left="52"/>
              <w:rPr>
                <w:sz w:val="12"/>
              </w:rPr>
            </w:pPr>
            <w:r>
              <w:rPr>
                <w:w w:val="105"/>
                <w:sz w:val="12"/>
              </w:rPr>
              <w:t>40028 - Liquidación Fondo de Cooperación</w:t>
            </w:r>
          </w:p>
        </w:tc>
        <w:tc>
          <w:tcPr>
            <w:tcW w:w="1245" w:type="dxa"/>
          </w:tcPr>
          <w:p>
            <w:pPr>
              <w:pStyle w:val="TableParagraph"/>
              <w:spacing w:line="132" w:lineRule="exact"/>
              <w:ind w:right="85"/>
              <w:jc w:val="right"/>
              <w:rPr>
                <w:sz w:val="12"/>
              </w:rPr>
            </w:pPr>
            <w:r>
              <w:rPr>
                <w:w w:val="105"/>
                <w:sz w:val="12"/>
              </w:rPr>
              <w:t>90.000.000,00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90.000.000,00</w:t>
            </w:r>
          </w:p>
        </w:tc>
        <w:tc>
          <w:tcPr>
            <w:tcW w:w="1093" w:type="dxa"/>
          </w:tcPr>
          <w:p>
            <w:pPr>
              <w:pStyle w:val="TableParagraph"/>
              <w:spacing w:line="132" w:lineRule="exact"/>
              <w:ind w:right="115"/>
              <w:jc w:val="right"/>
              <w:rPr>
                <w:sz w:val="12"/>
              </w:rPr>
            </w:pPr>
            <w:r>
              <w:rPr>
                <w:w w:val="105"/>
                <w:sz w:val="12"/>
              </w:rPr>
              <w:t>100.368.666,57</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100.368.666,57</w:t>
            </w:r>
          </w:p>
        </w:tc>
        <w:tc>
          <w:tcPr>
            <w:tcW w:w="999" w:type="dxa"/>
          </w:tcPr>
          <w:p>
            <w:pPr>
              <w:pStyle w:val="TableParagraph"/>
              <w:spacing w:line="132" w:lineRule="exact"/>
              <w:ind w:right="50"/>
              <w:jc w:val="right"/>
              <w:rPr>
                <w:sz w:val="12"/>
              </w:rPr>
            </w:pPr>
            <w:r>
              <w:rPr>
                <w:w w:val="105"/>
                <w:sz w:val="12"/>
              </w:rPr>
              <w:t>100.368.666,57</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40050 - Subvc. Admón. Estado para gtos. no fros. ejercicio</w:t>
            </w:r>
          </w:p>
        </w:tc>
        <w:tc>
          <w:tcPr>
            <w:tcW w:w="1245" w:type="dxa"/>
          </w:tcPr>
          <w:p>
            <w:pPr>
              <w:pStyle w:val="TableParagraph"/>
              <w:spacing w:line="132" w:lineRule="exact"/>
              <w:ind w:right="85"/>
              <w:jc w:val="right"/>
              <w:rPr>
                <w:sz w:val="12"/>
              </w:rPr>
            </w:pPr>
            <w:r>
              <w:rPr>
                <w:w w:val="105"/>
                <w:sz w:val="12"/>
              </w:rPr>
              <w:t>100.890.711,00</w:t>
            </w:r>
          </w:p>
        </w:tc>
        <w:tc>
          <w:tcPr>
            <w:tcW w:w="956" w:type="dxa"/>
          </w:tcPr>
          <w:p>
            <w:pPr>
              <w:pStyle w:val="TableParagraph"/>
              <w:spacing w:line="132" w:lineRule="exact"/>
              <w:ind w:right="49"/>
              <w:jc w:val="right"/>
              <w:rPr>
                <w:sz w:val="12"/>
              </w:rPr>
            </w:pPr>
            <w:r>
              <w:rPr>
                <w:w w:val="105"/>
                <w:sz w:val="12"/>
              </w:rPr>
              <w:t>104.326.792,25</w:t>
            </w:r>
          </w:p>
        </w:tc>
        <w:tc>
          <w:tcPr>
            <w:tcW w:w="1092" w:type="dxa"/>
          </w:tcPr>
          <w:p>
            <w:pPr>
              <w:pStyle w:val="TableParagraph"/>
              <w:spacing w:line="132" w:lineRule="exact"/>
              <w:ind w:right="83"/>
              <w:jc w:val="right"/>
              <w:rPr>
                <w:sz w:val="12"/>
              </w:rPr>
            </w:pPr>
            <w:r>
              <w:rPr>
                <w:w w:val="105"/>
                <w:sz w:val="12"/>
              </w:rPr>
              <w:t>205.217.503,25</w:t>
            </w:r>
          </w:p>
        </w:tc>
        <w:tc>
          <w:tcPr>
            <w:tcW w:w="1093" w:type="dxa"/>
          </w:tcPr>
          <w:p>
            <w:pPr>
              <w:pStyle w:val="TableParagraph"/>
              <w:spacing w:line="132" w:lineRule="exact"/>
              <w:ind w:right="115"/>
              <w:jc w:val="right"/>
              <w:rPr>
                <w:sz w:val="12"/>
              </w:rPr>
            </w:pPr>
            <w:r>
              <w:rPr>
                <w:w w:val="105"/>
                <w:sz w:val="12"/>
              </w:rPr>
              <w:t>298.887.598,74</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298.887.598,74</w:t>
            </w:r>
          </w:p>
        </w:tc>
        <w:tc>
          <w:tcPr>
            <w:tcW w:w="999" w:type="dxa"/>
          </w:tcPr>
          <w:p>
            <w:pPr>
              <w:pStyle w:val="TableParagraph"/>
              <w:spacing w:line="132" w:lineRule="exact"/>
              <w:ind w:right="50"/>
              <w:jc w:val="right"/>
              <w:rPr>
                <w:sz w:val="12"/>
              </w:rPr>
            </w:pPr>
            <w:r>
              <w:rPr>
                <w:w w:val="105"/>
                <w:sz w:val="12"/>
              </w:rPr>
              <w:t>276.485.570,77</w:t>
            </w:r>
          </w:p>
        </w:tc>
        <w:tc>
          <w:tcPr>
            <w:tcW w:w="898" w:type="dxa"/>
            <w:tcBorders>
              <w:right w:val="single" w:sz="4" w:space="0" w:color="000000"/>
            </w:tcBorders>
          </w:tcPr>
          <w:p>
            <w:pPr>
              <w:pStyle w:val="TableParagraph"/>
              <w:spacing w:line="132" w:lineRule="exact"/>
              <w:ind w:right="40"/>
              <w:jc w:val="right"/>
              <w:rPr>
                <w:sz w:val="12"/>
              </w:rPr>
            </w:pPr>
            <w:r>
              <w:rPr>
                <w:w w:val="105"/>
                <w:sz w:val="12"/>
              </w:rPr>
              <w:t>22.402.027,97</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40099 - Otras tranferencias corrientes de Admón.del Estado</w:t>
            </w:r>
          </w:p>
        </w:tc>
        <w:tc>
          <w:tcPr>
            <w:tcW w:w="1245" w:type="dxa"/>
          </w:tcPr>
          <w:p>
            <w:pPr>
              <w:pStyle w:val="TableParagraph"/>
              <w:spacing w:line="132" w:lineRule="exact"/>
              <w:ind w:right="85"/>
              <w:jc w:val="right"/>
              <w:rPr>
                <w:sz w:val="12"/>
              </w:rPr>
            </w:pPr>
            <w:r>
              <w:rPr>
                <w:w w:val="105"/>
                <w:sz w:val="12"/>
              </w:rPr>
              <w:t>262.458.942,00</w:t>
            </w:r>
          </w:p>
        </w:tc>
        <w:tc>
          <w:tcPr>
            <w:tcW w:w="956" w:type="dxa"/>
          </w:tcPr>
          <w:p>
            <w:pPr>
              <w:pStyle w:val="TableParagraph"/>
              <w:spacing w:line="132" w:lineRule="exact"/>
              <w:ind w:right="49"/>
              <w:jc w:val="right"/>
              <w:rPr>
                <w:sz w:val="12"/>
              </w:rPr>
            </w:pPr>
            <w:r>
              <w:rPr>
                <w:w w:val="105"/>
                <w:sz w:val="12"/>
              </w:rPr>
              <w:t>30.416.319,07</w:t>
            </w:r>
          </w:p>
        </w:tc>
        <w:tc>
          <w:tcPr>
            <w:tcW w:w="1092" w:type="dxa"/>
          </w:tcPr>
          <w:p>
            <w:pPr>
              <w:pStyle w:val="TableParagraph"/>
              <w:spacing w:line="132" w:lineRule="exact"/>
              <w:ind w:right="83"/>
              <w:jc w:val="right"/>
              <w:rPr>
                <w:sz w:val="12"/>
              </w:rPr>
            </w:pPr>
            <w:r>
              <w:rPr>
                <w:w w:val="105"/>
                <w:sz w:val="12"/>
              </w:rPr>
              <w:t>292.875.261,07</w:t>
            </w:r>
          </w:p>
        </w:tc>
        <w:tc>
          <w:tcPr>
            <w:tcW w:w="1093" w:type="dxa"/>
          </w:tcPr>
          <w:p>
            <w:pPr>
              <w:pStyle w:val="TableParagraph"/>
              <w:spacing w:line="132" w:lineRule="exact"/>
              <w:ind w:right="115"/>
              <w:jc w:val="right"/>
              <w:rPr>
                <w:sz w:val="12"/>
              </w:rPr>
            </w:pPr>
            <w:r>
              <w:rPr>
                <w:w w:val="105"/>
                <w:sz w:val="12"/>
              </w:rPr>
              <w:t>287.268.334,77</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287.268.334,77</w:t>
            </w:r>
          </w:p>
        </w:tc>
        <w:tc>
          <w:tcPr>
            <w:tcW w:w="999" w:type="dxa"/>
          </w:tcPr>
          <w:p>
            <w:pPr>
              <w:pStyle w:val="TableParagraph"/>
              <w:spacing w:line="132" w:lineRule="exact"/>
              <w:ind w:right="50"/>
              <w:jc w:val="right"/>
              <w:rPr>
                <w:sz w:val="12"/>
              </w:rPr>
            </w:pPr>
            <w:r>
              <w:rPr>
                <w:w w:val="105"/>
                <w:sz w:val="12"/>
              </w:rPr>
              <w:t>247.268.334,77</w:t>
            </w:r>
          </w:p>
        </w:tc>
        <w:tc>
          <w:tcPr>
            <w:tcW w:w="898" w:type="dxa"/>
            <w:tcBorders>
              <w:right w:val="single" w:sz="4" w:space="0" w:color="000000"/>
            </w:tcBorders>
          </w:tcPr>
          <w:p>
            <w:pPr>
              <w:pStyle w:val="TableParagraph"/>
              <w:spacing w:line="132" w:lineRule="exact"/>
              <w:ind w:right="40"/>
              <w:jc w:val="right"/>
              <w:rPr>
                <w:sz w:val="12"/>
              </w:rPr>
            </w:pPr>
            <w:r>
              <w:rPr>
                <w:w w:val="105"/>
                <w:sz w:val="12"/>
              </w:rPr>
              <w:t>40.000.000,00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40150 - Subc.OOAA Estado exceptoSPEE para gtos.nofros.ejer</w:t>
            </w:r>
          </w:p>
        </w:tc>
        <w:tc>
          <w:tcPr>
            <w:tcW w:w="1245" w:type="dxa"/>
          </w:tcPr>
          <w:p>
            <w:pPr>
              <w:pStyle w:val="TableParagraph"/>
              <w:spacing w:line="132" w:lineRule="exact"/>
              <w:ind w:right="85"/>
              <w:jc w:val="right"/>
              <w:rPr>
                <w:sz w:val="12"/>
              </w:rPr>
            </w:pPr>
            <w:r>
              <w:rPr>
                <w:w w:val="105"/>
                <w:sz w:val="12"/>
              </w:rPr>
              <w:t>102.943,00</w:t>
            </w:r>
          </w:p>
        </w:tc>
        <w:tc>
          <w:tcPr>
            <w:tcW w:w="956" w:type="dxa"/>
          </w:tcPr>
          <w:p>
            <w:pPr>
              <w:pStyle w:val="TableParagraph"/>
              <w:spacing w:line="132" w:lineRule="exact"/>
              <w:ind w:right="49"/>
              <w:jc w:val="right"/>
              <w:rPr>
                <w:sz w:val="12"/>
              </w:rPr>
            </w:pPr>
            <w:r>
              <w:rPr>
                <w:w w:val="105"/>
                <w:sz w:val="12"/>
              </w:rPr>
              <w:t>1.039.343,00</w:t>
            </w:r>
          </w:p>
        </w:tc>
        <w:tc>
          <w:tcPr>
            <w:tcW w:w="1092" w:type="dxa"/>
          </w:tcPr>
          <w:p>
            <w:pPr>
              <w:pStyle w:val="TableParagraph"/>
              <w:spacing w:line="132" w:lineRule="exact"/>
              <w:ind w:right="82"/>
              <w:jc w:val="right"/>
              <w:rPr>
                <w:sz w:val="12"/>
              </w:rPr>
            </w:pPr>
            <w:r>
              <w:rPr>
                <w:w w:val="105"/>
                <w:sz w:val="12"/>
              </w:rPr>
              <w:t>1.142.286,00</w:t>
            </w:r>
          </w:p>
        </w:tc>
        <w:tc>
          <w:tcPr>
            <w:tcW w:w="1093" w:type="dxa"/>
          </w:tcPr>
          <w:p>
            <w:pPr>
              <w:pStyle w:val="TableParagraph"/>
              <w:spacing w:line="132" w:lineRule="exact"/>
              <w:ind w:right="114"/>
              <w:jc w:val="right"/>
              <w:rPr>
                <w:sz w:val="12"/>
              </w:rPr>
            </w:pPr>
            <w:r>
              <w:rPr>
                <w:w w:val="105"/>
                <w:sz w:val="12"/>
              </w:rPr>
              <w:t>1.142.286,00</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1.142.286,00</w:t>
            </w:r>
          </w:p>
        </w:tc>
        <w:tc>
          <w:tcPr>
            <w:tcW w:w="999" w:type="dxa"/>
          </w:tcPr>
          <w:p>
            <w:pPr>
              <w:pStyle w:val="TableParagraph"/>
              <w:spacing w:line="132" w:lineRule="exact"/>
              <w:ind w:right="49"/>
              <w:jc w:val="right"/>
              <w:rPr>
                <w:sz w:val="12"/>
              </w:rPr>
            </w:pPr>
            <w:r>
              <w:rPr>
                <w:w w:val="105"/>
                <w:sz w:val="12"/>
              </w:rPr>
              <w:t>1.142.286,00</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0" w:hRule="atLeast"/>
        </w:trPr>
        <w:tc>
          <w:tcPr>
            <w:tcW w:w="3434" w:type="dxa"/>
            <w:tcBorders>
              <w:left w:val="single" w:sz="4" w:space="0" w:color="000000"/>
            </w:tcBorders>
          </w:tcPr>
          <w:p>
            <w:pPr>
              <w:pStyle w:val="TableParagraph"/>
              <w:spacing w:line="131" w:lineRule="exact"/>
              <w:ind w:left="52"/>
              <w:rPr>
                <w:sz w:val="12"/>
              </w:rPr>
            </w:pPr>
            <w:r>
              <w:rPr>
                <w:w w:val="105"/>
                <w:sz w:val="12"/>
              </w:rPr>
              <w:t>40250 - Subv.de la Segur. Social para gtos. no fros.ejerc.</w:t>
            </w:r>
          </w:p>
        </w:tc>
        <w:tc>
          <w:tcPr>
            <w:tcW w:w="1245" w:type="dxa"/>
          </w:tcPr>
          <w:p>
            <w:pPr>
              <w:pStyle w:val="TableParagraph"/>
              <w:spacing w:line="131" w:lineRule="exact"/>
              <w:ind w:right="85"/>
              <w:jc w:val="right"/>
              <w:rPr>
                <w:sz w:val="12"/>
              </w:rPr>
            </w:pPr>
            <w:r>
              <w:rPr>
                <w:w w:val="105"/>
                <w:sz w:val="12"/>
              </w:rPr>
              <w:t>35.012.364,00</w:t>
            </w:r>
          </w:p>
        </w:tc>
        <w:tc>
          <w:tcPr>
            <w:tcW w:w="956" w:type="dxa"/>
          </w:tcPr>
          <w:p>
            <w:pPr>
              <w:pStyle w:val="TableParagraph"/>
              <w:spacing w:line="131" w:lineRule="exact"/>
              <w:ind w:right="49"/>
              <w:jc w:val="right"/>
              <w:rPr>
                <w:sz w:val="12"/>
              </w:rPr>
            </w:pPr>
            <w:r>
              <w:rPr>
                <w:w w:val="105"/>
                <w:sz w:val="12"/>
              </w:rPr>
              <w:t>9.267.166,30</w:t>
            </w:r>
          </w:p>
        </w:tc>
        <w:tc>
          <w:tcPr>
            <w:tcW w:w="1092" w:type="dxa"/>
          </w:tcPr>
          <w:p>
            <w:pPr>
              <w:pStyle w:val="TableParagraph"/>
              <w:spacing w:line="131" w:lineRule="exact"/>
              <w:ind w:right="82"/>
              <w:jc w:val="right"/>
              <w:rPr>
                <w:sz w:val="12"/>
              </w:rPr>
            </w:pPr>
            <w:r>
              <w:rPr>
                <w:w w:val="105"/>
                <w:sz w:val="12"/>
              </w:rPr>
              <w:t>44.279.530,30</w:t>
            </w:r>
          </w:p>
        </w:tc>
        <w:tc>
          <w:tcPr>
            <w:tcW w:w="1093" w:type="dxa"/>
          </w:tcPr>
          <w:p>
            <w:pPr>
              <w:pStyle w:val="TableParagraph"/>
              <w:spacing w:line="131" w:lineRule="exact"/>
              <w:ind w:right="114"/>
              <w:jc w:val="right"/>
              <w:rPr>
                <w:sz w:val="12"/>
              </w:rPr>
            </w:pPr>
            <w:r>
              <w:rPr>
                <w:w w:val="105"/>
                <w:sz w:val="12"/>
              </w:rPr>
              <w:t>55.168.402,48</w:t>
            </w:r>
          </w:p>
        </w:tc>
        <w:tc>
          <w:tcPr>
            <w:tcW w:w="778" w:type="dxa"/>
          </w:tcPr>
          <w:p>
            <w:pPr>
              <w:pStyle w:val="TableParagraph"/>
              <w:spacing w:line="131" w:lineRule="exact"/>
              <w:ind w:right="55"/>
              <w:jc w:val="right"/>
              <w:rPr>
                <w:sz w:val="12"/>
              </w:rPr>
            </w:pPr>
            <w:r>
              <w:rPr>
                <w:sz w:val="12"/>
              </w:rPr>
              <w:t>0,00</w:t>
            </w:r>
          </w:p>
        </w:tc>
        <w:tc>
          <w:tcPr>
            <w:tcW w:w="718" w:type="dxa"/>
          </w:tcPr>
          <w:p>
            <w:pPr>
              <w:pStyle w:val="TableParagraph"/>
              <w:spacing w:line="131" w:lineRule="exact"/>
              <w:ind w:right="81"/>
              <w:jc w:val="right"/>
              <w:rPr>
                <w:sz w:val="12"/>
              </w:rPr>
            </w:pPr>
            <w:r>
              <w:rPr>
                <w:sz w:val="12"/>
              </w:rPr>
              <w:t>0,00</w:t>
            </w:r>
          </w:p>
        </w:tc>
        <w:tc>
          <w:tcPr>
            <w:tcW w:w="1029" w:type="dxa"/>
          </w:tcPr>
          <w:p>
            <w:pPr>
              <w:pStyle w:val="TableParagraph"/>
              <w:spacing w:line="131" w:lineRule="exact"/>
              <w:ind w:right="50"/>
              <w:jc w:val="right"/>
              <w:rPr>
                <w:sz w:val="12"/>
              </w:rPr>
            </w:pPr>
            <w:r>
              <w:rPr>
                <w:w w:val="105"/>
                <w:sz w:val="12"/>
              </w:rPr>
              <w:t>55.168.402,48</w:t>
            </w:r>
          </w:p>
        </w:tc>
        <w:tc>
          <w:tcPr>
            <w:tcW w:w="999" w:type="dxa"/>
          </w:tcPr>
          <w:p>
            <w:pPr>
              <w:pStyle w:val="TableParagraph"/>
              <w:spacing w:line="131" w:lineRule="exact"/>
              <w:ind w:right="49"/>
              <w:jc w:val="right"/>
              <w:rPr>
                <w:sz w:val="12"/>
              </w:rPr>
            </w:pPr>
            <w:r>
              <w:rPr>
                <w:w w:val="105"/>
                <w:sz w:val="12"/>
              </w:rPr>
              <w:t>51.012.631,19</w:t>
            </w:r>
          </w:p>
        </w:tc>
        <w:tc>
          <w:tcPr>
            <w:tcW w:w="898" w:type="dxa"/>
            <w:tcBorders>
              <w:right w:val="single" w:sz="4" w:space="0" w:color="000000"/>
            </w:tcBorders>
          </w:tcPr>
          <w:p>
            <w:pPr>
              <w:pStyle w:val="TableParagraph"/>
              <w:spacing w:line="131" w:lineRule="exact"/>
              <w:ind w:right="40"/>
              <w:jc w:val="right"/>
              <w:rPr>
                <w:sz w:val="12"/>
              </w:rPr>
            </w:pPr>
            <w:r>
              <w:rPr>
                <w:w w:val="105"/>
                <w:sz w:val="12"/>
              </w:rPr>
              <w:t>4.155.771,29</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40210 - Transferencias de la Seguridad Social</w:t>
            </w:r>
          </w:p>
        </w:tc>
        <w:tc>
          <w:tcPr>
            <w:tcW w:w="1245" w:type="dxa"/>
          </w:tcPr>
          <w:p>
            <w:pPr>
              <w:pStyle w:val="TableParagraph"/>
              <w:spacing w:line="132" w:lineRule="exact"/>
              <w:ind w:right="85"/>
              <w:jc w:val="right"/>
              <w:rPr>
                <w:sz w:val="12"/>
              </w:rPr>
            </w:pPr>
            <w:r>
              <w:rPr>
                <w:sz w:val="12"/>
              </w:rPr>
              <w:t>0,00</w:t>
            </w:r>
          </w:p>
        </w:tc>
        <w:tc>
          <w:tcPr>
            <w:tcW w:w="956" w:type="dxa"/>
          </w:tcPr>
          <w:p>
            <w:pPr>
              <w:pStyle w:val="TableParagraph"/>
              <w:spacing w:line="132" w:lineRule="exact"/>
              <w:ind w:right="49"/>
              <w:jc w:val="right"/>
              <w:rPr>
                <w:sz w:val="12"/>
              </w:rPr>
            </w:pPr>
            <w:r>
              <w:rPr>
                <w:w w:val="105"/>
                <w:sz w:val="12"/>
              </w:rPr>
              <w:t>604.939,10</w:t>
            </w:r>
          </w:p>
        </w:tc>
        <w:tc>
          <w:tcPr>
            <w:tcW w:w="1092" w:type="dxa"/>
          </w:tcPr>
          <w:p>
            <w:pPr>
              <w:pStyle w:val="TableParagraph"/>
              <w:spacing w:line="132" w:lineRule="exact"/>
              <w:ind w:right="82"/>
              <w:jc w:val="right"/>
              <w:rPr>
                <w:sz w:val="12"/>
              </w:rPr>
            </w:pPr>
            <w:r>
              <w:rPr>
                <w:w w:val="105"/>
                <w:sz w:val="12"/>
              </w:rPr>
              <w:t>604.939,10</w:t>
            </w:r>
          </w:p>
        </w:tc>
        <w:tc>
          <w:tcPr>
            <w:tcW w:w="1093" w:type="dxa"/>
          </w:tcPr>
          <w:p>
            <w:pPr>
              <w:pStyle w:val="TableParagraph"/>
              <w:spacing w:line="132" w:lineRule="exact"/>
              <w:ind w:right="114"/>
              <w:jc w:val="right"/>
              <w:rPr>
                <w:sz w:val="12"/>
              </w:rPr>
            </w:pPr>
            <w:r>
              <w:rPr>
                <w:w w:val="105"/>
                <w:sz w:val="12"/>
              </w:rPr>
              <w:t>604.939,10</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604.939,10</w:t>
            </w:r>
          </w:p>
        </w:tc>
        <w:tc>
          <w:tcPr>
            <w:tcW w:w="999" w:type="dxa"/>
          </w:tcPr>
          <w:p>
            <w:pPr>
              <w:pStyle w:val="TableParagraph"/>
              <w:spacing w:line="132" w:lineRule="exact"/>
              <w:ind w:right="50"/>
              <w:jc w:val="right"/>
              <w:rPr>
                <w:sz w:val="12"/>
              </w:rPr>
            </w:pPr>
            <w:r>
              <w:rPr>
                <w:w w:val="105"/>
                <w:sz w:val="12"/>
              </w:rPr>
              <w:t>604.939,10</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40320 - Transferencias de otros Organismos Públicos Estado</w:t>
            </w:r>
          </w:p>
        </w:tc>
        <w:tc>
          <w:tcPr>
            <w:tcW w:w="1245" w:type="dxa"/>
          </w:tcPr>
          <w:p>
            <w:pPr>
              <w:pStyle w:val="TableParagraph"/>
              <w:spacing w:line="132" w:lineRule="exact"/>
              <w:ind w:right="85"/>
              <w:jc w:val="right"/>
              <w:rPr>
                <w:sz w:val="12"/>
              </w:rPr>
            </w:pPr>
            <w:r>
              <w:rPr>
                <w:sz w:val="12"/>
              </w:rPr>
              <w:t>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sz w:val="12"/>
              </w:rPr>
              <w:t>0,00</w:t>
            </w:r>
          </w:p>
        </w:tc>
        <w:tc>
          <w:tcPr>
            <w:tcW w:w="1093" w:type="dxa"/>
          </w:tcPr>
          <w:p>
            <w:pPr>
              <w:pStyle w:val="TableParagraph"/>
              <w:spacing w:line="132" w:lineRule="exact"/>
              <w:ind w:right="114"/>
              <w:jc w:val="right"/>
              <w:rPr>
                <w:sz w:val="12"/>
              </w:rPr>
            </w:pPr>
            <w:r>
              <w:rPr>
                <w:w w:val="105"/>
                <w:sz w:val="12"/>
              </w:rPr>
              <w:t>36.490,11</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36.490,11</w:t>
            </w:r>
          </w:p>
        </w:tc>
        <w:tc>
          <w:tcPr>
            <w:tcW w:w="999" w:type="dxa"/>
          </w:tcPr>
          <w:p>
            <w:pPr>
              <w:pStyle w:val="TableParagraph"/>
              <w:spacing w:line="132" w:lineRule="exact"/>
              <w:ind w:right="50"/>
              <w:jc w:val="right"/>
              <w:rPr>
                <w:sz w:val="12"/>
              </w:rPr>
            </w:pPr>
            <w:r>
              <w:rPr>
                <w:w w:val="105"/>
                <w:sz w:val="12"/>
              </w:rPr>
              <w:t>36.490,11</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41110 - Transferencias de Organismos Autónomos de la CAC</w:t>
            </w:r>
          </w:p>
        </w:tc>
        <w:tc>
          <w:tcPr>
            <w:tcW w:w="1245" w:type="dxa"/>
          </w:tcPr>
          <w:p>
            <w:pPr>
              <w:pStyle w:val="TableParagraph"/>
              <w:spacing w:line="132" w:lineRule="exact"/>
              <w:ind w:right="85"/>
              <w:jc w:val="right"/>
              <w:rPr>
                <w:sz w:val="12"/>
              </w:rPr>
            </w:pPr>
            <w:r>
              <w:rPr>
                <w:sz w:val="12"/>
              </w:rPr>
              <w:t>0,00</w:t>
            </w:r>
          </w:p>
        </w:tc>
        <w:tc>
          <w:tcPr>
            <w:tcW w:w="956" w:type="dxa"/>
          </w:tcPr>
          <w:p>
            <w:pPr>
              <w:pStyle w:val="TableParagraph"/>
              <w:spacing w:line="132" w:lineRule="exact"/>
              <w:ind w:right="49"/>
              <w:jc w:val="right"/>
              <w:rPr>
                <w:sz w:val="12"/>
              </w:rPr>
            </w:pPr>
            <w:r>
              <w:rPr>
                <w:w w:val="105"/>
                <w:sz w:val="12"/>
              </w:rPr>
              <w:t>48.805.531,05</w:t>
            </w:r>
          </w:p>
        </w:tc>
        <w:tc>
          <w:tcPr>
            <w:tcW w:w="1092" w:type="dxa"/>
          </w:tcPr>
          <w:p>
            <w:pPr>
              <w:pStyle w:val="TableParagraph"/>
              <w:spacing w:line="132" w:lineRule="exact"/>
              <w:ind w:right="82"/>
              <w:jc w:val="right"/>
              <w:rPr>
                <w:sz w:val="12"/>
              </w:rPr>
            </w:pPr>
            <w:r>
              <w:rPr>
                <w:w w:val="105"/>
                <w:sz w:val="12"/>
              </w:rPr>
              <w:t>48.805.531,05</w:t>
            </w:r>
          </w:p>
        </w:tc>
        <w:tc>
          <w:tcPr>
            <w:tcW w:w="1093" w:type="dxa"/>
          </w:tcPr>
          <w:p>
            <w:pPr>
              <w:pStyle w:val="TableParagraph"/>
              <w:spacing w:line="132" w:lineRule="exact"/>
              <w:ind w:right="114"/>
              <w:jc w:val="right"/>
              <w:rPr>
                <w:sz w:val="12"/>
              </w:rPr>
            </w:pPr>
            <w:r>
              <w:rPr>
                <w:w w:val="105"/>
                <w:sz w:val="12"/>
              </w:rPr>
              <w:t>49.084.866,21</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49.084.866,21</w:t>
            </w:r>
          </w:p>
        </w:tc>
        <w:tc>
          <w:tcPr>
            <w:tcW w:w="999" w:type="dxa"/>
          </w:tcPr>
          <w:p>
            <w:pPr>
              <w:pStyle w:val="TableParagraph"/>
              <w:spacing w:line="132" w:lineRule="exact"/>
              <w:ind w:right="49"/>
              <w:jc w:val="right"/>
              <w:rPr>
                <w:sz w:val="12"/>
              </w:rPr>
            </w:pPr>
            <w:r>
              <w:rPr>
                <w:w w:val="105"/>
                <w:sz w:val="12"/>
              </w:rPr>
              <w:t>49.084.866,21</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41120 - Transferen. Entes Públicos CAC con ppto.limitativo</w:t>
            </w:r>
          </w:p>
        </w:tc>
        <w:tc>
          <w:tcPr>
            <w:tcW w:w="1245" w:type="dxa"/>
          </w:tcPr>
          <w:p>
            <w:pPr>
              <w:pStyle w:val="TableParagraph"/>
              <w:spacing w:line="132" w:lineRule="exact"/>
              <w:ind w:right="85"/>
              <w:jc w:val="right"/>
              <w:rPr>
                <w:sz w:val="12"/>
              </w:rPr>
            </w:pPr>
            <w:r>
              <w:rPr>
                <w:sz w:val="12"/>
              </w:rPr>
              <w:t>0,00</w:t>
            </w:r>
          </w:p>
        </w:tc>
        <w:tc>
          <w:tcPr>
            <w:tcW w:w="956" w:type="dxa"/>
          </w:tcPr>
          <w:p>
            <w:pPr>
              <w:pStyle w:val="TableParagraph"/>
              <w:spacing w:line="132" w:lineRule="exact"/>
              <w:ind w:right="49"/>
              <w:jc w:val="right"/>
              <w:rPr>
                <w:sz w:val="12"/>
              </w:rPr>
            </w:pPr>
            <w:r>
              <w:rPr>
                <w:w w:val="105"/>
                <w:sz w:val="12"/>
              </w:rPr>
              <w:t>45.045.601,32</w:t>
            </w:r>
          </w:p>
        </w:tc>
        <w:tc>
          <w:tcPr>
            <w:tcW w:w="1092" w:type="dxa"/>
          </w:tcPr>
          <w:p>
            <w:pPr>
              <w:pStyle w:val="TableParagraph"/>
              <w:spacing w:line="132" w:lineRule="exact"/>
              <w:ind w:right="82"/>
              <w:jc w:val="right"/>
              <w:rPr>
                <w:sz w:val="12"/>
              </w:rPr>
            </w:pPr>
            <w:r>
              <w:rPr>
                <w:w w:val="105"/>
                <w:sz w:val="12"/>
              </w:rPr>
              <w:t>45.045.601,32</w:t>
            </w:r>
          </w:p>
        </w:tc>
        <w:tc>
          <w:tcPr>
            <w:tcW w:w="1093" w:type="dxa"/>
          </w:tcPr>
          <w:p>
            <w:pPr>
              <w:pStyle w:val="TableParagraph"/>
              <w:spacing w:line="132" w:lineRule="exact"/>
              <w:ind w:right="114"/>
              <w:jc w:val="right"/>
              <w:rPr>
                <w:sz w:val="12"/>
              </w:rPr>
            </w:pPr>
            <w:r>
              <w:rPr>
                <w:w w:val="105"/>
                <w:sz w:val="12"/>
              </w:rPr>
              <w:t>41.123.991,37</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41.123.991,37</w:t>
            </w:r>
          </w:p>
        </w:tc>
        <w:tc>
          <w:tcPr>
            <w:tcW w:w="999" w:type="dxa"/>
          </w:tcPr>
          <w:p>
            <w:pPr>
              <w:pStyle w:val="TableParagraph"/>
              <w:spacing w:line="132" w:lineRule="exact"/>
              <w:ind w:right="49"/>
              <w:jc w:val="right"/>
              <w:rPr>
                <w:sz w:val="12"/>
              </w:rPr>
            </w:pPr>
            <w:r>
              <w:rPr>
                <w:w w:val="105"/>
                <w:sz w:val="12"/>
              </w:rPr>
              <w:t>41.123.991,37</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0" w:hRule="atLeast"/>
        </w:trPr>
        <w:tc>
          <w:tcPr>
            <w:tcW w:w="3434" w:type="dxa"/>
            <w:tcBorders>
              <w:left w:val="single" w:sz="4" w:space="0" w:color="000000"/>
            </w:tcBorders>
          </w:tcPr>
          <w:p>
            <w:pPr>
              <w:pStyle w:val="TableParagraph"/>
              <w:spacing w:line="131" w:lineRule="exact"/>
              <w:ind w:left="52"/>
              <w:rPr>
                <w:sz w:val="12"/>
              </w:rPr>
            </w:pPr>
            <w:r>
              <w:rPr>
                <w:w w:val="105"/>
                <w:sz w:val="12"/>
              </w:rPr>
              <w:t>41150 - Subv.OOAA,EEPPppto.limit.yCons.CAC gtos.nofros.ejr</w:t>
            </w:r>
          </w:p>
        </w:tc>
        <w:tc>
          <w:tcPr>
            <w:tcW w:w="1245" w:type="dxa"/>
          </w:tcPr>
          <w:p>
            <w:pPr>
              <w:pStyle w:val="TableParagraph"/>
              <w:spacing w:line="131" w:lineRule="exact"/>
              <w:ind w:right="85"/>
              <w:jc w:val="right"/>
              <w:rPr>
                <w:sz w:val="12"/>
              </w:rPr>
            </w:pPr>
            <w:r>
              <w:rPr>
                <w:sz w:val="12"/>
              </w:rPr>
              <w:t>0,00</w:t>
            </w:r>
          </w:p>
        </w:tc>
        <w:tc>
          <w:tcPr>
            <w:tcW w:w="956" w:type="dxa"/>
          </w:tcPr>
          <w:p>
            <w:pPr>
              <w:pStyle w:val="TableParagraph"/>
              <w:spacing w:line="131" w:lineRule="exact"/>
              <w:ind w:right="49"/>
              <w:jc w:val="right"/>
              <w:rPr>
                <w:sz w:val="12"/>
              </w:rPr>
            </w:pPr>
            <w:r>
              <w:rPr>
                <w:w w:val="105"/>
                <w:sz w:val="12"/>
              </w:rPr>
              <w:t>257.422,75</w:t>
            </w:r>
          </w:p>
        </w:tc>
        <w:tc>
          <w:tcPr>
            <w:tcW w:w="1092" w:type="dxa"/>
          </w:tcPr>
          <w:p>
            <w:pPr>
              <w:pStyle w:val="TableParagraph"/>
              <w:spacing w:line="131" w:lineRule="exact"/>
              <w:ind w:right="82"/>
              <w:jc w:val="right"/>
              <w:rPr>
                <w:sz w:val="12"/>
              </w:rPr>
            </w:pPr>
            <w:r>
              <w:rPr>
                <w:w w:val="105"/>
                <w:sz w:val="12"/>
              </w:rPr>
              <w:t>257.422,75</w:t>
            </w:r>
          </w:p>
        </w:tc>
        <w:tc>
          <w:tcPr>
            <w:tcW w:w="1093" w:type="dxa"/>
          </w:tcPr>
          <w:p>
            <w:pPr>
              <w:pStyle w:val="TableParagraph"/>
              <w:spacing w:line="131" w:lineRule="exact"/>
              <w:ind w:right="114"/>
              <w:jc w:val="right"/>
              <w:rPr>
                <w:sz w:val="12"/>
              </w:rPr>
            </w:pPr>
            <w:r>
              <w:rPr>
                <w:w w:val="105"/>
                <w:sz w:val="12"/>
              </w:rPr>
              <w:t>257.422,75</w:t>
            </w:r>
          </w:p>
        </w:tc>
        <w:tc>
          <w:tcPr>
            <w:tcW w:w="778" w:type="dxa"/>
          </w:tcPr>
          <w:p>
            <w:pPr>
              <w:pStyle w:val="TableParagraph"/>
              <w:spacing w:line="131" w:lineRule="exact"/>
              <w:ind w:right="55"/>
              <w:jc w:val="right"/>
              <w:rPr>
                <w:sz w:val="12"/>
              </w:rPr>
            </w:pPr>
            <w:r>
              <w:rPr>
                <w:sz w:val="12"/>
              </w:rPr>
              <w:t>0,00</w:t>
            </w:r>
          </w:p>
        </w:tc>
        <w:tc>
          <w:tcPr>
            <w:tcW w:w="718" w:type="dxa"/>
          </w:tcPr>
          <w:p>
            <w:pPr>
              <w:pStyle w:val="TableParagraph"/>
              <w:spacing w:line="131" w:lineRule="exact"/>
              <w:ind w:right="81"/>
              <w:jc w:val="right"/>
              <w:rPr>
                <w:sz w:val="12"/>
              </w:rPr>
            </w:pPr>
            <w:r>
              <w:rPr>
                <w:sz w:val="12"/>
              </w:rPr>
              <w:t>0,00</w:t>
            </w:r>
          </w:p>
        </w:tc>
        <w:tc>
          <w:tcPr>
            <w:tcW w:w="1029" w:type="dxa"/>
          </w:tcPr>
          <w:p>
            <w:pPr>
              <w:pStyle w:val="TableParagraph"/>
              <w:spacing w:line="131" w:lineRule="exact"/>
              <w:ind w:right="50"/>
              <w:jc w:val="right"/>
              <w:rPr>
                <w:sz w:val="12"/>
              </w:rPr>
            </w:pPr>
            <w:r>
              <w:rPr>
                <w:w w:val="105"/>
                <w:sz w:val="12"/>
              </w:rPr>
              <w:t>257.422,75</w:t>
            </w:r>
          </w:p>
        </w:tc>
        <w:tc>
          <w:tcPr>
            <w:tcW w:w="999" w:type="dxa"/>
          </w:tcPr>
          <w:p>
            <w:pPr>
              <w:pStyle w:val="TableParagraph"/>
              <w:spacing w:line="131" w:lineRule="exact"/>
              <w:ind w:right="50"/>
              <w:jc w:val="right"/>
              <w:rPr>
                <w:sz w:val="12"/>
              </w:rPr>
            </w:pPr>
            <w:r>
              <w:rPr>
                <w:w w:val="105"/>
                <w:sz w:val="12"/>
              </w:rPr>
              <w:t>257.422,75</w:t>
            </w:r>
          </w:p>
        </w:tc>
        <w:tc>
          <w:tcPr>
            <w:tcW w:w="898" w:type="dxa"/>
            <w:tcBorders>
              <w:right w:val="single" w:sz="4" w:space="0" w:color="000000"/>
            </w:tcBorders>
          </w:tcPr>
          <w:p>
            <w:pPr>
              <w:pStyle w:val="TableParagraph"/>
              <w:spacing w:line="131"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45010 - Transferencias de Ayuntamientos</w:t>
            </w:r>
          </w:p>
        </w:tc>
        <w:tc>
          <w:tcPr>
            <w:tcW w:w="1245" w:type="dxa"/>
          </w:tcPr>
          <w:p>
            <w:pPr>
              <w:pStyle w:val="TableParagraph"/>
              <w:spacing w:line="132" w:lineRule="exact"/>
              <w:ind w:right="85"/>
              <w:jc w:val="right"/>
              <w:rPr>
                <w:sz w:val="12"/>
              </w:rPr>
            </w:pPr>
            <w:r>
              <w:rPr>
                <w:w w:val="105"/>
                <w:sz w:val="12"/>
              </w:rPr>
              <w:t>930.471,00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930.471,00</w:t>
            </w:r>
          </w:p>
        </w:tc>
        <w:tc>
          <w:tcPr>
            <w:tcW w:w="1093" w:type="dxa"/>
          </w:tcPr>
          <w:p>
            <w:pPr>
              <w:pStyle w:val="TableParagraph"/>
              <w:spacing w:line="132" w:lineRule="exact"/>
              <w:ind w:right="114"/>
              <w:jc w:val="right"/>
              <w:rPr>
                <w:sz w:val="12"/>
              </w:rPr>
            </w:pPr>
            <w:r>
              <w:rPr>
                <w:sz w:val="12"/>
              </w:rPr>
              <w:t>0,00</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sz w:val="12"/>
              </w:rPr>
              <w:t>0,00</w:t>
            </w:r>
          </w:p>
        </w:tc>
        <w:tc>
          <w:tcPr>
            <w:tcW w:w="999" w:type="dxa"/>
          </w:tcPr>
          <w:p>
            <w:pPr>
              <w:pStyle w:val="TableParagraph"/>
              <w:spacing w:line="132" w:lineRule="exact"/>
              <w:ind w:right="50"/>
              <w:jc w:val="right"/>
              <w:rPr>
                <w:sz w:val="12"/>
              </w:rPr>
            </w:pPr>
            <w:r>
              <w:rPr>
                <w:sz w:val="12"/>
              </w:rPr>
              <w:t>0,00</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2" w:hRule="atLeast"/>
        </w:trPr>
        <w:tc>
          <w:tcPr>
            <w:tcW w:w="3434" w:type="dxa"/>
            <w:tcBorders>
              <w:left w:val="single" w:sz="4" w:space="0" w:color="000000"/>
            </w:tcBorders>
          </w:tcPr>
          <w:p>
            <w:pPr>
              <w:pStyle w:val="TableParagraph"/>
              <w:spacing w:line="132" w:lineRule="exact"/>
              <w:ind w:left="52"/>
              <w:rPr>
                <w:sz w:val="12"/>
              </w:rPr>
            </w:pPr>
            <w:r>
              <w:rPr>
                <w:w w:val="105"/>
                <w:sz w:val="12"/>
              </w:rPr>
              <w:t>46010 - Transferencias de Cabildos Insulares</w:t>
            </w:r>
          </w:p>
        </w:tc>
        <w:tc>
          <w:tcPr>
            <w:tcW w:w="1245" w:type="dxa"/>
          </w:tcPr>
          <w:p>
            <w:pPr>
              <w:pStyle w:val="TableParagraph"/>
              <w:spacing w:line="132" w:lineRule="exact"/>
              <w:ind w:right="85"/>
              <w:jc w:val="right"/>
              <w:rPr>
                <w:sz w:val="12"/>
              </w:rPr>
            </w:pPr>
            <w:r>
              <w:rPr>
                <w:w w:val="105"/>
                <w:sz w:val="12"/>
              </w:rPr>
              <w:t>16.916.443,00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16.916.443,00</w:t>
            </w:r>
          </w:p>
        </w:tc>
        <w:tc>
          <w:tcPr>
            <w:tcW w:w="1093" w:type="dxa"/>
          </w:tcPr>
          <w:p>
            <w:pPr>
              <w:pStyle w:val="TableParagraph"/>
              <w:spacing w:line="132" w:lineRule="exact"/>
              <w:ind w:right="114"/>
              <w:jc w:val="right"/>
              <w:rPr>
                <w:sz w:val="12"/>
              </w:rPr>
            </w:pPr>
            <w:r>
              <w:rPr>
                <w:w w:val="105"/>
                <w:sz w:val="12"/>
              </w:rPr>
              <w:t>17.032.630,00</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17.032.630,00</w:t>
            </w:r>
          </w:p>
        </w:tc>
        <w:tc>
          <w:tcPr>
            <w:tcW w:w="999" w:type="dxa"/>
          </w:tcPr>
          <w:p>
            <w:pPr>
              <w:pStyle w:val="TableParagraph"/>
              <w:spacing w:line="132" w:lineRule="exact"/>
              <w:ind w:right="49"/>
              <w:jc w:val="right"/>
              <w:rPr>
                <w:sz w:val="12"/>
              </w:rPr>
            </w:pPr>
            <w:r>
              <w:rPr>
                <w:w w:val="105"/>
                <w:sz w:val="12"/>
              </w:rPr>
              <w:t>17.032.630,00</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1" w:lineRule="exact"/>
              <w:ind w:left="52"/>
              <w:rPr>
                <w:sz w:val="12"/>
              </w:rPr>
            </w:pPr>
            <w:r>
              <w:rPr>
                <w:w w:val="105"/>
                <w:sz w:val="12"/>
              </w:rPr>
              <w:t>46110 - Transferencias de Empresas Pcas. de Cabildos Insul</w:t>
            </w:r>
          </w:p>
        </w:tc>
        <w:tc>
          <w:tcPr>
            <w:tcW w:w="1245" w:type="dxa"/>
          </w:tcPr>
          <w:p>
            <w:pPr>
              <w:pStyle w:val="TableParagraph"/>
              <w:spacing w:line="131" w:lineRule="exact"/>
              <w:ind w:right="85"/>
              <w:jc w:val="right"/>
              <w:rPr>
                <w:sz w:val="12"/>
              </w:rPr>
            </w:pPr>
            <w:r>
              <w:rPr>
                <w:sz w:val="12"/>
              </w:rPr>
              <w:t>0,00</w:t>
            </w:r>
          </w:p>
        </w:tc>
        <w:tc>
          <w:tcPr>
            <w:tcW w:w="956" w:type="dxa"/>
          </w:tcPr>
          <w:p>
            <w:pPr>
              <w:pStyle w:val="TableParagraph"/>
              <w:spacing w:line="131" w:lineRule="exact"/>
              <w:ind w:right="49"/>
              <w:jc w:val="right"/>
              <w:rPr>
                <w:sz w:val="12"/>
              </w:rPr>
            </w:pPr>
            <w:r>
              <w:rPr>
                <w:w w:val="105"/>
                <w:sz w:val="12"/>
              </w:rPr>
              <w:t>127.345,38</w:t>
            </w:r>
          </w:p>
        </w:tc>
        <w:tc>
          <w:tcPr>
            <w:tcW w:w="1092" w:type="dxa"/>
          </w:tcPr>
          <w:p>
            <w:pPr>
              <w:pStyle w:val="TableParagraph"/>
              <w:spacing w:line="131" w:lineRule="exact"/>
              <w:ind w:right="82"/>
              <w:jc w:val="right"/>
              <w:rPr>
                <w:sz w:val="12"/>
              </w:rPr>
            </w:pPr>
            <w:r>
              <w:rPr>
                <w:w w:val="105"/>
                <w:sz w:val="12"/>
              </w:rPr>
              <w:t>127.345,38</w:t>
            </w:r>
          </w:p>
        </w:tc>
        <w:tc>
          <w:tcPr>
            <w:tcW w:w="1093" w:type="dxa"/>
          </w:tcPr>
          <w:p>
            <w:pPr>
              <w:pStyle w:val="TableParagraph"/>
              <w:spacing w:line="131" w:lineRule="exact"/>
              <w:ind w:right="114"/>
              <w:jc w:val="right"/>
              <w:rPr>
                <w:sz w:val="12"/>
              </w:rPr>
            </w:pPr>
            <w:r>
              <w:rPr>
                <w:w w:val="105"/>
                <w:sz w:val="12"/>
              </w:rPr>
              <w:t>127.345,38</w:t>
            </w:r>
          </w:p>
        </w:tc>
        <w:tc>
          <w:tcPr>
            <w:tcW w:w="778" w:type="dxa"/>
          </w:tcPr>
          <w:p>
            <w:pPr>
              <w:pStyle w:val="TableParagraph"/>
              <w:spacing w:line="131" w:lineRule="exact"/>
              <w:ind w:right="55"/>
              <w:jc w:val="right"/>
              <w:rPr>
                <w:sz w:val="12"/>
              </w:rPr>
            </w:pPr>
            <w:r>
              <w:rPr>
                <w:sz w:val="12"/>
              </w:rPr>
              <w:t>0,00</w:t>
            </w:r>
          </w:p>
        </w:tc>
        <w:tc>
          <w:tcPr>
            <w:tcW w:w="718" w:type="dxa"/>
          </w:tcPr>
          <w:p>
            <w:pPr>
              <w:pStyle w:val="TableParagraph"/>
              <w:spacing w:line="131" w:lineRule="exact"/>
              <w:ind w:right="81"/>
              <w:jc w:val="right"/>
              <w:rPr>
                <w:sz w:val="12"/>
              </w:rPr>
            </w:pPr>
            <w:r>
              <w:rPr>
                <w:sz w:val="12"/>
              </w:rPr>
              <w:t>0,00</w:t>
            </w:r>
          </w:p>
        </w:tc>
        <w:tc>
          <w:tcPr>
            <w:tcW w:w="1029" w:type="dxa"/>
          </w:tcPr>
          <w:p>
            <w:pPr>
              <w:pStyle w:val="TableParagraph"/>
              <w:spacing w:line="131" w:lineRule="exact"/>
              <w:ind w:right="50"/>
              <w:jc w:val="right"/>
              <w:rPr>
                <w:sz w:val="12"/>
              </w:rPr>
            </w:pPr>
            <w:r>
              <w:rPr>
                <w:w w:val="105"/>
                <w:sz w:val="12"/>
              </w:rPr>
              <w:t>127.345,38</w:t>
            </w:r>
          </w:p>
        </w:tc>
        <w:tc>
          <w:tcPr>
            <w:tcW w:w="999" w:type="dxa"/>
          </w:tcPr>
          <w:p>
            <w:pPr>
              <w:pStyle w:val="TableParagraph"/>
              <w:spacing w:line="131" w:lineRule="exact"/>
              <w:ind w:right="50"/>
              <w:jc w:val="right"/>
              <w:rPr>
                <w:sz w:val="12"/>
              </w:rPr>
            </w:pPr>
            <w:r>
              <w:rPr>
                <w:w w:val="105"/>
                <w:sz w:val="12"/>
              </w:rPr>
              <w:t>127.345,38</w:t>
            </w:r>
          </w:p>
        </w:tc>
        <w:tc>
          <w:tcPr>
            <w:tcW w:w="898" w:type="dxa"/>
            <w:tcBorders>
              <w:right w:val="single" w:sz="4" w:space="0" w:color="000000"/>
            </w:tcBorders>
          </w:tcPr>
          <w:p>
            <w:pPr>
              <w:pStyle w:val="TableParagraph"/>
              <w:spacing w:line="131"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49050 - Subvenciones del FSE para gastos no fros.ejercicio</w:t>
            </w:r>
          </w:p>
        </w:tc>
        <w:tc>
          <w:tcPr>
            <w:tcW w:w="1245" w:type="dxa"/>
          </w:tcPr>
          <w:p>
            <w:pPr>
              <w:pStyle w:val="TableParagraph"/>
              <w:spacing w:line="132" w:lineRule="exact"/>
              <w:ind w:right="85"/>
              <w:jc w:val="right"/>
              <w:rPr>
                <w:sz w:val="12"/>
              </w:rPr>
            </w:pPr>
            <w:r>
              <w:rPr>
                <w:w w:val="105"/>
                <w:sz w:val="12"/>
              </w:rPr>
              <w:t>150.409.112,00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3"/>
              <w:jc w:val="right"/>
              <w:rPr>
                <w:sz w:val="12"/>
              </w:rPr>
            </w:pPr>
            <w:r>
              <w:rPr>
                <w:w w:val="105"/>
                <w:sz w:val="12"/>
              </w:rPr>
              <w:t>150.409.112,00</w:t>
            </w:r>
          </w:p>
        </w:tc>
        <w:tc>
          <w:tcPr>
            <w:tcW w:w="1093" w:type="dxa"/>
          </w:tcPr>
          <w:p>
            <w:pPr>
              <w:pStyle w:val="TableParagraph"/>
              <w:spacing w:line="132" w:lineRule="exact"/>
              <w:ind w:right="114"/>
              <w:jc w:val="right"/>
              <w:rPr>
                <w:sz w:val="12"/>
              </w:rPr>
            </w:pPr>
            <w:r>
              <w:rPr>
                <w:w w:val="105"/>
                <w:sz w:val="12"/>
              </w:rPr>
              <w:t>49.804.873,16</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49.804.873,16</w:t>
            </w:r>
          </w:p>
        </w:tc>
        <w:tc>
          <w:tcPr>
            <w:tcW w:w="999" w:type="dxa"/>
          </w:tcPr>
          <w:p>
            <w:pPr>
              <w:pStyle w:val="TableParagraph"/>
              <w:spacing w:line="132" w:lineRule="exact"/>
              <w:ind w:right="49"/>
              <w:jc w:val="right"/>
              <w:rPr>
                <w:sz w:val="12"/>
              </w:rPr>
            </w:pPr>
            <w:r>
              <w:rPr>
                <w:w w:val="105"/>
                <w:sz w:val="12"/>
              </w:rPr>
              <w:t>12.944.032,98</w:t>
            </w:r>
          </w:p>
        </w:tc>
        <w:tc>
          <w:tcPr>
            <w:tcW w:w="898" w:type="dxa"/>
            <w:tcBorders>
              <w:right w:val="single" w:sz="4" w:space="0" w:color="000000"/>
            </w:tcBorders>
          </w:tcPr>
          <w:p>
            <w:pPr>
              <w:pStyle w:val="TableParagraph"/>
              <w:spacing w:line="132" w:lineRule="exact"/>
              <w:ind w:right="40"/>
              <w:jc w:val="right"/>
              <w:rPr>
                <w:sz w:val="12"/>
              </w:rPr>
            </w:pPr>
            <w:r>
              <w:rPr>
                <w:w w:val="105"/>
                <w:sz w:val="12"/>
              </w:rPr>
              <w:t>36.860.840,18</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49650 - Otras subvenc.de la Unión Europea gtos.nofros. ejr</w:t>
            </w:r>
          </w:p>
        </w:tc>
        <w:tc>
          <w:tcPr>
            <w:tcW w:w="1245" w:type="dxa"/>
          </w:tcPr>
          <w:p>
            <w:pPr>
              <w:pStyle w:val="TableParagraph"/>
              <w:spacing w:line="132" w:lineRule="exact"/>
              <w:ind w:right="85"/>
              <w:jc w:val="right"/>
              <w:rPr>
                <w:sz w:val="12"/>
              </w:rPr>
            </w:pPr>
            <w:r>
              <w:rPr>
                <w:w w:val="105"/>
                <w:sz w:val="12"/>
              </w:rPr>
              <w:t>4.000,00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4.000,00</w:t>
            </w:r>
          </w:p>
        </w:tc>
        <w:tc>
          <w:tcPr>
            <w:tcW w:w="1093" w:type="dxa"/>
          </w:tcPr>
          <w:p>
            <w:pPr>
              <w:pStyle w:val="TableParagraph"/>
              <w:spacing w:line="132" w:lineRule="exact"/>
              <w:ind w:right="114"/>
              <w:jc w:val="right"/>
              <w:rPr>
                <w:sz w:val="12"/>
              </w:rPr>
            </w:pPr>
            <w:r>
              <w:rPr>
                <w:w w:val="105"/>
                <w:sz w:val="12"/>
              </w:rPr>
              <w:t>241.133,11</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241.133,11</w:t>
            </w:r>
          </w:p>
        </w:tc>
        <w:tc>
          <w:tcPr>
            <w:tcW w:w="999" w:type="dxa"/>
          </w:tcPr>
          <w:p>
            <w:pPr>
              <w:pStyle w:val="TableParagraph"/>
              <w:spacing w:line="132" w:lineRule="exact"/>
              <w:ind w:right="50"/>
              <w:jc w:val="right"/>
              <w:rPr>
                <w:sz w:val="12"/>
              </w:rPr>
            </w:pPr>
            <w:r>
              <w:rPr>
                <w:w w:val="105"/>
                <w:sz w:val="12"/>
              </w:rPr>
              <w:t>104.043,01</w:t>
            </w:r>
          </w:p>
        </w:tc>
        <w:tc>
          <w:tcPr>
            <w:tcW w:w="898" w:type="dxa"/>
            <w:tcBorders>
              <w:right w:val="single" w:sz="4" w:space="0" w:color="000000"/>
            </w:tcBorders>
          </w:tcPr>
          <w:p>
            <w:pPr>
              <w:pStyle w:val="TableParagraph"/>
              <w:spacing w:line="132" w:lineRule="exact"/>
              <w:ind w:right="40"/>
              <w:jc w:val="right"/>
              <w:rPr>
                <w:sz w:val="12"/>
              </w:rPr>
            </w:pPr>
            <w:r>
              <w:rPr>
                <w:w w:val="105"/>
                <w:sz w:val="12"/>
              </w:rPr>
              <w:t>137.090,10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51001 - Intereses anticipos y préstamos conce.c/p por AAPP</w:t>
            </w:r>
          </w:p>
        </w:tc>
        <w:tc>
          <w:tcPr>
            <w:tcW w:w="1245" w:type="dxa"/>
          </w:tcPr>
          <w:p>
            <w:pPr>
              <w:pStyle w:val="TableParagraph"/>
              <w:spacing w:line="132" w:lineRule="exact"/>
              <w:ind w:right="85"/>
              <w:jc w:val="right"/>
              <w:rPr>
                <w:sz w:val="12"/>
              </w:rPr>
            </w:pPr>
            <w:r>
              <w:rPr>
                <w:sz w:val="12"/>
              </w:rPr>
              <w:t>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sz w:val="12"/>
              </w:rPr>
              <w:t>0,00</w:t>
            </w:r>
          </w:p>
        </w:tc>
        <w:tc>
          <w:tcPr>
            <w:tcW w:w="1093" w:type="dxa"/>
          </w:tcPr>
          <w:p>
            <w:pPr>
              <w:pStyle w:val="TableParagraph"/>
              <w:spacing w:line="132" w:lineRule="exact"/>
              <w:ind w:right="114"/>
              <w:jc w:val="right"/>
              <w:rPr>
                <w:sz w:val="12"/>
              </w:rPr>
            </w:pPr>
            <w:r>
              <w:rPr>
                <w:sz w:val="12"/>
              </w:rPr>
              <w:t>334,56</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sz w:val="12"/>
              </w:rPr>
              <w:t>334,56</w:t>
            </w:r>
          </w:p>
        </w:tc>
        <w:tc>
          <w:tcPr>
            <w:tcW w:w="999" w:type="dxa"/>
          </w:tcPr>
          <w:p>
            <w:pPr>
              <w:pStyle w:val="TableParagraph"/>
              <w:spacing w:line="132" w:lineRule="exact"/>
              <w:ind w:right="50"/>
              <w:jc w:val="right"/>
              <w:rPr>
                <w:sz w:val="12"/>
              </w:rPr>
            </w:pPr>
            <w:r>
              <w:rPr>
                <w:sz w:val="12"/>
              </w:rPr>
              <w:t>334,56</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51002 - Intereses anticipos y préstamos conce.l/p por AAPP</w:t>
            </w:r>
          </w:p>
        </w:tc>
        <w:tc>
          <w:tcPr>
            <w:tcW w:w="1245" w:type="dxa"/>
          </w:tcPr>
          <w:p>
            <w:pPr>
              <w:pStyle w:val="TableParagraph"/>
              <w:spacing w:line="132" w:lineRule="exact"/>
              <w:ind w:right="85"/>
              <w:jc w:val="right"/>
              <w:rPr>
                <w:sz w:val="12"/>
              </w:rPr>
            </w:pPr>
            <w:r>
              <w:rPr>
                <w:w w:val="105"/>
                <w:sz w:val="12"/>
              </w:rPr>
              <w:t>417.112,00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417.112,00</w:t>
            </w:r>
          </w:p>
        </w:tc>
        <w:tc>
          <w:tcPr>
            <w:tcW w:w="1093" w:type="dxa"/>
          </w:tcPr>
          <w:p>
            <w:pPr>
              <w:pStyle w:val="TableParagraph"/>
              <w:spacing w:line="132" w:lineRule="exact"/>
              <w:ind w:right="114"/>
              <w:jc w:val="right"/>
              <w:rPr>
                <w:sz w:val="12"/>
              </w:rPr>
            </w:pPr>
            <w:r>
              <w:rPr>
                <w:w w:val="105"/>
                <w:sz w:val="12"/>
              </w:rPr>
              <w:t>793.325,33</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793.325,33</w:t>
            </w:r>
          </w:p>
        </w:tc>
        <w:tc>
          <w:tcPr>
            <w:tcW w:w="999" w:type="dxa"/>
          </w:tcPr>
          <w:p>
            <w:pPr>
              <w:pStyle w:val="TableParagraph"/>
              <w:spacing w:line="132" w:lineRule="exact"/>
              <w:ind w:right="50"/>
              <w:jc w:val="right"/>
              <w:rPr>
                <w:sz w:val="12"/>
              </w:rPr>
            </w:pPr>
            <w:r>
              <w:rPr>
                <w:w w:val="105"/>
                <w:sz w:val="12"/>
              </w:rPr>
              <w:t>793.325,33</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0" w:hRule="atLeast"/>
        </w:trPr>
        <w:tc>
          <w:tcPr>
            <w:tcW w:w="3434" w:type="dxa"/>
            <w:tcBorders>
              <w:left w:val="single" w:sz="4" w:space="0" w:color="000000"/>
            </w:tcBorders>
          </w:tcPr>
          <w:p>
            <w:pPr>
              <w:pStyle w:val="TableParagraph"/>
              <w:spacing w:line="131" w:lineRule="exact"/>
              <w:ind w:left="52"/>
              <w:rPr>
                <w:sz w:val="12"/>
              </w:rPr>
            </w:pPr>
            <w:r>
              <w:rPr>
                <w:w w:val="105"/>
                <w:sz w:val="12"/>
              </w:rPr>
              <w:t>52000 - Intereses de depósitos</w:t>
            </w:r>
          </w:p>
        </w:tc>
        <w:tc>
          <w:tcPr>
            <w:tcW w:w="1245" w:type="dxa"/>
          </w:tcPr>
          <w:p>
            <w:pPr>
              <w:pStyle w:val="TableParagraph"/>
              <w:spacing w:line="131" w:lineRule="exact"/>
              <w:ind w:right="85"/>
              <w:jc w:val="right"/>
              <w:rPr>
                <w:sz w:val="12"/>
              </w:rPr>
            </w:pPr>
            <w:r>
              <w:rPr>
                <w:w w:val="105"/>
                <w:sz w:val="12"/>
              </w:rPr>
              <w:t>1.000.000,00</w:t>
            </w:r>
          </w:p>
        </w:tc>
        <w:tc>
          <w:tcPr>
            <w:tcW w:w="956" w:type="dxa"/>
          </w:tcPr>
          <w:p>
            <w:pPr>
              <w:pStyle w:val="TableParagraph"/>
              <w:spacing w:line="131" w:lineRule="exact"/>
              <w:ind w:right="49"/>
              <w:jc w:val="right"/>
              <w:rPr>
                <w:sz w:val="12"/>
              </w:rPr>
            </w:pPr>
            <w:r>
              <w:rPr>
                <w:sz w:val="12"/>
              </w:rPr>
              <w:t>0,00</w:t>
            </w:r>
          </w:p>
        </w:tc>
        <w:tc>
          <w:tcPr>
            <w:tcW w:w="1092" w:type="dxa"/>
          </w:tcPr>
          <w:p>
            <w:pPr>
              <w:pStyle w:val="TableParagraph"/>
              <w:spacing w:line="131" w:lineRule="exact"/>
              <w:ind w:right="82"/>
              <w:jc w:val="right"/>
              <w:rPr>
                <w:sz w:val="12"/>
              </w:rPr>
            </w:pPr>
            <w:r>
              <w:rPr>
                <w:w w:val="105"/>
                <w:sz w:val="12"/>
              </w:rPr>
              <w:t>1.000.000,00</w:t>
            </w:r>
          </w:p>
        </w:tc>
        <w:tc>
          <w:tcPr>
            <w:tcW w:w="1093" w:type="dxa"/>
          </w:tcPr>
          <w:p>
            <w:pPr>
              <w:pStyle w:val="TableParagraph"/>
              <w:spacing w:line="131" w:lineRule="exact"/>
              <w:ind w:right="114"/>
              <w:jc w:val="right"/>
              <w:rPr>
                <w:sz w:val="12"/>
              </w:rPr>
            </w:pPr>
            <w:r>
              <w:rPr>
                <w:w w:val="105"/>
                <w:sz w:val="12"/>
              </w:rPr>
              <w:t>4.224.504,05</w:t>
            </w:r>
          </w:p>
        </w:tc>
        <w:tc>
          <w:tcPr>
            <w:tcW w:w="778" w:type="dxa"/>
          </w:tcPr>
          <w:p>
            <w:pPr>
              <w:pStyle w:val="TableParagraph"/>
              <w:spacing w:line="131" w:lineRule="exact"/>
              <w:ind w:right="55"/>
              <w:jc w:val="right"/>
              <w:rPr>
                <w:sz w:val="12"/>
              </w:rPr>
            </w:pPr>
            <w:r>
              <w:rPr>
                <w:sz w:val="12"/>
              </w:rPr>
              <w:t>0,00</w:t>
            </w:r>
          </w:p>
        </w:tc>
        <w:tc>
          <w:tcPr>
            <w:tcW w:w="718" w:type="dxa"/>
          </w:tcPr>
          <w:p>
            <w:pPr>
              <w:pStyle w:val="TableParagraph"/>
              <w:spacing w:line="131" w:lineRule="exact"/>
              <w:ind w:right="81"/>
              <w:jc w:val="right"/>
              <w:rPr>
                <w:sz w:val="12"/>
              </w:rPr>
            </w:pPr>
            <w:r>
              <w:rPr>
                <w:sz w:val="12"/>
              </w:rPr>
              <w:t>0,00</w:t>
            </w:r>
          </w:p>
        </w:tc>
        <w:tc>
          <w:tcPr>
            <w:tcW w:w="1029" w:type="dxa"/>
          </w:tcPr>
          <w:p>
            <w:pPr>
              <w:pStyle w:val="TableParagraph"/>
              <w:spacing w:line="131" w:lineRule="exact"/>
              <w:ind w:right="50"/>
              <w:jc w:val="right"/>
              <w:rPr>
                <w:sz w:val="12"/>
              </w:rPr>
            </w:pPr>
            <w:r>
              <w:rPr>
                <w:w w:val="105"/>
                <w:sz w:val="12"/>
              </w:rPr>
              <w:t>4.224.504,05</w:t>
            </w:r>
          </w:p>
        </w:tc>
        <w:tc>
          <w:tcPr>
            <w:tcW w:w="999" w:type="dxa"/>
          </w:tcPr>
          <w:p>
            <w:pPr>
              <w:pStyle w:val="TableParagraph"/>
              <w:spacing w:line="131" w:lineRule="exact"/>
              <w:ind w:right="50"/>
              <w:jc w:val="right"/>
              <w:rPr>
                <w:sz w:val="12"/>
              </w:rPr>
            </w:pPr>
            <w:r>
              <w:rPr>
                <w:w w:val="105"/>
                <w:sz w:val="12"/>
              </w:rPr>
              <w:t>317.777,81</w:t>
            </w:r>
          </w:p>
        </w:tc>
        <w:tc>
          <w:tcPr>
            <w:tcW w:w="898" w:type="dxa"/>
            <w:tcBorders>
              <w:right w:val="single" w:sz="4" w:space="0" w:color="000000"/>
            </w:tcBorders>
          </w:tcPr>
          <w:p>
            <w:pPr>
              <w:pStyle w:val="TableParagraph"/>
              <w:spacing w:line="131" w:lineRule="exact"/>
              <w:ind w:right="40"/>
              <w:jc w:val="right"/>
              <w:rPr>
                <w:sz w:val="12"/>
              </w:rPr>
            </w:pPr>
            <w:r>
              <w:rPr>
                <w:w w:val="105"/>
                <w:sz w:val="12"/>
              </w:rPr>
              <w:t>3.906.726,24</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53100 - Otros</w:t>
            </w:r>
          </w:p>
        </w:tc>
        <w:tc>
          <w:tcPr>
            <w:tcW w:w="1245" w:type="dxa"/>
          </w:tcPr>
          <w:p>
            <w:pPr>
              <w:pStyle w:val="TableParagraph"/>
              <w:spacing w:line="132" w:lineRule="exact"/>
              <w:ind w:right="85"/>
              <w:jc w:val="right"/>
              <w:rPr>
                <w:sz w:val="12"/>
              </w:rPr>
            </w:pPr>
            <w:r>
              <w:rPr>
                <w:sz w:val="12"/>
              </w:rPr>
              <w:t>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sz w:val="12"/>
              </w:rPr>
              <w:t>0,00</w:t>
            </w:r>
          </w:p>
        </w:tc>
        <w:tc>
          <w:tcPr>
            <w:tcW w:w="1093" w:type="dxa"/>
          </w:tcPr>
          <w:p>
            <w:pPr>
              <w:pStyle w:val="TableParagraph"/>
              <w:spacing w:line="132" w:lineRule="exact"/>
              <w:ind w:right="114"/>
              <w:jc w:val="right"/>
              <w:rPr>
                <w:sz w:val="12"/>
              </w:rPr>
            </w:pPr>
            <w:r>
              <w:rPr>
                <w:w w:val="105"/>
                <w:sz w:val="12"/>
              </w:rPr>
              <w:t>116.426,66</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116.426,66</w:t>
            </w:r>
          </w:p>
        </w:tc>
        <w:tc>
          <w:tcPr>
            <w:tcW w:w="999" w:type="dxa"/>
          </w:tcPr>
          <w:p>
            <w:pPr>
              <w:pStyle w:val="TableParagraph"/>
              <w:spacing w:line="132" w:lineRule="exact"/>
              <w:ind w:right="50"/>
              <w:jc w:val="right"/>
              <w:rPr>
                <w:sz w:val="12"/>
              </w:rPr>
            </w:pPr>
            <w:r>
              <w:rPr>
                <w:w w:val="105"/>
                <w:sz w:val="12"/>
              </w:rPr>
              <w:t>116.426,66</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54010 - Alquiler viviendas y locales comerciales</w:t>
            </w:r>
          </w:p>
        </w:tc>
        <w:tc>
          <w:tcPr>
            <w:tcW w:w="1245" w:type="dxa"/>
          </w:tcPr>
          <w:p>
            <w:pPr>
              <w:pStyle w:val="TableParagraph"/>
              <w:spacing w:line="132" w:lineRule="exact"/>
              <w:ind w:right="85"/>
              <w:jc w:val="right"/>
              <w:rPr>
                <w:sz w:val="12"/>
              </w:rPr>
            </w:pPr>
            <w:r>
              <w:rPr>
                <w:sz w:val="12"/>
              </w:rPr>
              <w:t>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sz w:val="12"/>
              </w:rPr>
              <w:t>0,00</w:t>
            </w:r>
          </w:p>
        </w:tc>
        <w:tc>
          <w:tcPr>
            <w:tcW w:w="1093" w:type="dxa"/>
          </w:tcPr>
          <w:p>
            <w:pPr>
              <w:pStyle w:val="TableParagraph"/>
              <w:spacing w:line="132" w:lineRule="exact"/>
              <w:ind w:right="114"/>
              <w:jc w:val="right"/>
              <w:rPr>
                <w:sz w:val="12"/>
              </w:rPr>
            </w:pPr>
            <w:r>
              <w:rPr>
                <w:w w:val="105"/>
                <w:sz w:val="12"/>
              </w:rPr>
              <w:t>20.709,69</w:t>
            </w:r>
          </w:p>
        </w:tc>
        <w:tc>
          <w:tcPr>
            <w:tcW w:w="778" w:type="dxa"/>
          </w:tcPr>
          <w:p>
            <w:pPr>
              <w:pStyle w:val="TableParagraph"/>
              <w:spacing w:line="132" w:lineRule="exact"/>
              <w:ind w:right="55"/>
              <w:jc w:val="right"/>
              <w:rPr>
                <w:sz w:val="12"/>
              </w:rPr>
            </w:pPr>
            <w:r>
              <w:rPr>
                <w:sz w:val="12"/>
              </w:rPr>
              <w:t>400,00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20.309,69</w:t>
            </w:r>
          </w:p>
        </w:tc>
        <w:tc>
          <w:tcPr>
            <w:tcW w:w="999" w:type="dxa"/>
          </w:tcPr>
          <w:p>
            <w:pPr>
              <w:pStyle w:val="TableParagraph"/>
              <w:spacing w:line="132" w:lineRule="exact"/>
              <w:ind w:right="50"/>
              <w:jc w:val="right"/>
              <w:rPr>
                <w:sz w:val="12"/>
              </w:rPr>
            </w:pPr>
            <w:r>
              <w:rPr>
                <w:w w:val="105"/>
                <w:sz w:val="12"/>
              </w:rPr>
              <w:t>20.309,69</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0" w:hRule="atLeast"/>
        </w:trPr>
        <w:tc>
          <w:tcPr>
            <w:tcW w:w="3434" w:type="dxa"/>
            <w:tcBorders>
              <w:left w:val="single" w:sz="4" w:space="0" w:color="000000"/>
            </w:tcBorders>
          </w:tcPr>
          <w:p>
            <w:pPr>
              <w:pStyle w:val="TableParagraph"/>
              <w:spacing w:line="131" w:lineRule="exact"/>
              <w:ind w:left="52"/>
              <w:rPr>
                <w:sz w:val="12"/>
              </w:rPr>
            </w:pPr>
            <w:r>
              <w:rPr>
                <w:w w:val="105"/>
                <w:sz w:val="12"/>
              </w:rPr>
              <w:t>55000 - De concesiones administrativas</w:t>
            </w:r>
          </w:p>
        </w:tc>
        <w:tc>
          <w:tcPr>
            <w:tcW w:w="1245" w:type="dxa"/>
          </w:tcPr>
          <w:p>
            <w:pPr>
              <w:pStyle w:val="TableParagraph"/>
              <w:spacing w:line="131" w:lineRule="exact"/>
              <w:ind w:right="85"/>
              <w:jc w:val="right"/>
              <w:rPr>
                <w:sz w:val="12"/>
              </w:rPr>
            </w:pPr>
            <w:r>
              <w:rPr>
                <w:w w:val="105"/>
                <w:sz w:val="12"/>
              </w:rPr>
              <w:t>500.000,00</w:t>
            </w:r>
          </w:p>
        </w:tc>
        <w:tc>
          <w:tcPr>
            <w:tcW w:w="956" w:type="dxa"/>
          </w:tcPr>
          <w:p>
            <w:pPr>
              <w:pStyle w:val="TableParagraph"/>
              <w:spacing w:line="131" w:lineRule="exact"/>
              <w:ind w:right="49"/>
              <w:jc w:val="right"/>
              <w:rPr>
                <w:sz w:val="12"/>
              </w:rPr>
            </w:pPr>
            <w:r>
              <w:rPr>
                <w:sz w:val="12"/>
              </w:rPr>
              <w:t>0,00</w:t>
            </w:r>
          </w:p>
        </w:tc>
        <w:tc>
          <w:tcPr>
            <w:tcW w:w="1092" w:type="dxa"/>
          </w:tcPr>
          <w:p>
            <w:pPr>
              <w:pStyle w:val="TableParagraph"/>
              <w:spacing w:line="131" w:lineRule="exact"/>
              <w:ind w:right="82"/>
              <w:jc w:val="right"/>
              <w:rPr>
                <w:sz w:val="12"/>
              </w:rPr>
            </w:pPr>
            <w:r>
              <w:rPr>
                <w:w w:val="105"/>
                <w:sz w:val="12"/>
              </w:rPr>
              <w:t>500.000,00</w:t>
            </w:r>
          </w:p>
        </w:tc>
        <w:tc>
          <w:tcPr>
            <w:tcW w:w="1093" w:type="dxa"/>
          </w:tcPr>
          <w:p>
            <w:pPr>
              <w:pStyle w:val="TableParagraph"/>
              <w:spacing w:line="131" w:lineRule="exact"/>
              <w:ind w:right="114"/>
              <w:jc w:val="right"/>
              <w:rPr>
                <w:sz w:val="12"/>
              </w:rPr>
            </w:pPr>
            <w:r>
              <w:rPr>
                <w:w w:val="105"/>
                <w:sz w:val="12"/>
              </w:rPr>
              <w:t>413.716,19</w:t>
            </w:r>
          </w:p>
        </w:tc>
        <w:tc>
          <w:tcPr>
            <w:tcW w:w="778" w:type="dxa"/>
          </w:tcPr>
          <w:p>
            <w:pPr>
              <w:pStyle w:val="TableParagraph"/>
              <w:spacing w:line="131" w:lineRule="exact"/>
              <w:ind w:right="55"/>
              <w:jc w:val="right"/>
              <w:rPr>
                <w:sz w:val="12"/>
              </w:rPr>
            </w:pPr>
            <w:r>
              <w:rPr>
                <w:sz w:val="12"/>
              </w:rPr>
              <w:t>0,00</w:t>
            </w:r>
          </w:p>
        </w:tc>
        <w:tc>
          <w:tcPr>
            <w:tcW w:w="718" w:type="dxa"/>
          </w:tcPr>
          <w:p>
            <w:pPr>
              <w:pStyle w:val="TableParagraph"/>
              <w:spacing w:line="131" w:lineRule="exact"/>
              <w:ind w:right="81"/>
              <w:jc w:val="right"/>
              <w:rPr>
                <w:sz w:val="12"/>
              </w:rPr>
            </w:pPr>
            <w:r>
              <w:rPr>
                <w:sz w:val="12"/>
              </w:rPr>
              <w:t>0,00</w:t>
            </w:r>
          </w:p>
        </w:tc>
        <w:tc>
          <w:tcPr>
            <w:tcW w:w="1029" w:type="dxa"/>
          </w:tcPr>
          <w:p>
            <w:pPr>
              <w:pStyle w:val="TableParagraph"/>
              <w:spacing w:line="131" w:lineRule="exact"/>
              <w:ind w:right="50"/>
              <w:jc w:val="right"/>
              <w:rPr>
                <w:sz w:val="12"/>
              </w:rPr>
            </w:pPr>
            <w:r>
              <w:rPr>
                <w:w w:val="105"/>
                <w:sz w:val="12"/>
              </w:rPr>
              <w:t>413.716,19</w:t>
            </w:r>
          </w:p>
        </w:tc>
        <w:tc>
          <w:tcPr>
            <w:tcW w:w="999" w:type="dxa"/>
          </w:tcPr>
          <w:p>
            <w:pPr>
              <w:pStyle w:val="TableParagraph"/>
              <w:spacing w:line="131" w:lineRule="exact"/>
              <w:ind w:right="50"/>
              <w:jc w:val="right"/>
              <w:rPr>
                <w:sz w:val="12"/>
              </w:rPr>
            </w:pPr>
            <w:r>
              <w:rPr>
                <w:w w:val="105"/>
                <w:sz w:val="12"/>
              </w:rPr>
              <w:t>413.716,19</w:t>
            </w:r>
          </w:p>
        </w:tc>
        <w:tc>
          <w:tcPr>
            <w:tcW w:w="898" w:type="dxa"/>
            <w:tcBorders>
              <w:right w:val="single" w:sz="4" w:space="0" w:color="000000"/>
            </w:tcBorders>
          </w:tcPr>
          <w:p>
            <w:pPr>
              <w:pStyle w:val="TableParagraph"/>
              <w:spacing w:line="131"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59900 - Otros ingresos patrimoniales</w:t>
            </w:r>
          </w:p>
        </w:tc>
        <w:tc>
          <w:tcPr>
            <w:tcW w:w="1245" w:type="dxa"/>
          </w:tcPr>
          <w:p>
            <w:pPr>
              <w:pStyle w:val="TableParagraph"/>
              <w:spacing w:line="132" w:lineRule="exact"/>
              <w:ind w:right="85"/>
              <w:jc w:val="right"/>
              <w:rPr>
                <w:sz w:val="12"/>
              </w:rPr>
            </w:pPr>
            <w:r>
              <w:rPr>
                <w:sz w:val="12"/>
              </w:rPr>
              <w:t>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sz w:val="12"/>
              </w:rPr>
              <w:t>0,00</w:t>
            </w:r>
          </w:p>
        </w:tc>
        <w:tc>
          <w:tcPr>
            <w:tcW w:w="1093" w:type="dxa"/>
          </w:tcPr>
          <w:p>
            <w:pPr>
              <w:pStyle w:val="TableParagraph"/>
              <w:spacing w:line="132" w:lineRule="exact"/>
              <w:ind w:right="114"/>
              <w:jc w:val="right"/>
              <w:rPr>
                <w:sz w:val="12"/>
              </w:rPr>
            </w:pPr>
            <w:r>
              <w:rPr>
                <w:w w:val="105"/>
                <w:sz w:val="12"/>
              </w:rPr>
              <w:t>6.630,43</w:t>
            </w:r>
          </w:p>
        </w:tc>
        <w:tc>
          <w:tcPr>
            <w:tcW w:w="778" w:type="dxa"/>
          </w:tcPr>
          <w:p>
            <w:pPr>
              <w:pStyle w:val="TableParagraph"/>
              <w:spacing w:line="132" w:lineRule="exact"/>
              <w:ind w:right="55"/>
              <w:jc w:val="right"/>
              <w:rPr>
                <w:sz w:val="12"/>
              </w:rPr>
            </w:pPr>
            <w:r>
              <w:rPr>
                <w:sz w:val="12"/>
              </w:rPr>
              <w:t>314,68</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6.315,75</w:t>
            </w:r>
          </w:p>
        </w:tc>
        <w:tc>
          <w:tcPr>
            <w:tcW w:w="999" w:type="dxa"/>
          </w:tcPr>
          <w:p>
            <w:pPr>
              <w:pStyle w:val="TableParagraph"/>
              <w:spacing w:line="132" w:lineRule="exact"/>
              <w:ind w:right="50"/>
              <w:jc w:val="right"/>
              <w:rPr>
                <w:sz w:val="12"/>
              </w:rPr>
            </w:pPr>
            <w:r>
              <w:rPr>
                <w:w w:val="105"/>
                <w:sz w:val="12"/>
              </w:rPr>
              <w:t>6.315,75</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2" w:hRule="atLeast"/>
        </w:trPr>
        <w:tc>
          <w:tcPr>
            <w:tcW w:w="3434" w:type="dxa"/>
            <w:tcBorders>
              <w:left w:val="single" w:sz="4" w:space="0" w:color="000000"/>
            </w:tcBorders>
          </w:tcPr>
          <w:p>
            <w:pPr>
              <w:pStyle w:val="TableParagraph"/>
              <w:spacing w:line="132" w:lineRule="exact"/>
              <w:ind w:left="52"/>
              <w:rPr>
                <w:sz w:val="12"/>
              </w:rPr>
            </w:pPr>
            <w:r>
              <w:rPr>
                <w:w w:val="105"/>
                <w:sz w:val="12"/>
              </w:rPr>
              <w:t>61900 - De las demás inversiones reales</w:t>
            </w:r>
          </w:p>
        </w:tc>
        <w:tc>
          <w:tcPr>
            <w:tcW w:w="1245" w:type="dxa"/>
          </w:tcPr>
          <w:p>
            <w:pPr>
              <w:pStyle w:val="TableParagraph"/>
              <w:spacing w:line="132" w:lineRule="exact"/>
              <w:ind w:right="85"/>
              <w:jc w:val="right"/>
              <w:rPr>
                <w:sz w:val="12"/>
              </w:rPr>
            </w:pPr>
            <w:r>
              <w:rPr>
                <w:w w:val="105"/>
                <w:sz w:val="12"/>
              </w:rPr>
              <w:t>500.000,00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500.000,00</w:t>
            </w:r>
          </w:p>
        </w:tc>
        <w:tc>
          <w:tcPr>
            <w:tcW w:w="1093" w:type="dxa"/>
          </w:tcPr>
          <w:p>
            <w:pPr>
              <w:pStyle w:val="TableParagraph"/>
              <w:spacing w:line="132" w:lineRule="exact"/>
              <w:ind w:right="114"/>
              <w:jc w:val="right"/>
              <w:rPr>
                <w:sz w:val="12"/>
              </w:rPr>
            </w:pPr>
            <w:r>
              <w:rPr>
                <w:sz w:val="12"/>
              </w:rPr>
              <w:t>0,00</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sz w:val="12"/>
              </w:rPr>
              <w:t>0,00</w:t>
            </w:r>
          </w:p>
        </w:tc>
        <w:tc>
          <w:tcPr>
            <w:tcW w:w="999" w:type="dxa"/>
          </w:tcPr>
          <w:p>
            <w:pPr>
              <w:pStyle w:val="TableParagraph"/>
              <w:spacing w:line="132" w:lineRule="exact"/>
              <w:ind w:right="50"/>
              <w:jc w:val="right"/>
              <w:rPr>
                <w:sz w:val="12"/>
              </w:rPr>
            </w:pPr>
            <w:r>
              <w:rPr>
                <w:sz w:val="12"/>
              </w:rPr>
              <w:t>0,00</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2" w:hRule="atLeast"/>
        </w:trPr>
        <w:tc>
          <w:tcPr>
            <w:tcW w:w="3434" w:type="dxa"/>
            <w:tcBorders>
              <w:left w:val="single" w:sz="4" w:space="0" w:color="000000"/>
            </w:tcBorders>
          </w:tcPr>
          <w:p>
            <w:pPr>
              <w:pStyle w:val="TableParagraph"/>
              <w:spacing w:line="132" w:lineRule="exact"/>
              <w:ind w:left="52"/>
              <w:rPr>
                <w:sz w:val="12"/>
              </w:rPr>
            </w:pPr>
            <w:r>
              <w:rPr>
                <w:w w:val="105"/>
                <w:sz w:val="12"/>
              </w:rPr>
              <w:t>70040 - Fondo de Compensación Interterritorial.Ej.corrien.</w:t>
            </w:r>
          </w:p>
        </w:tc>
        <w:tc>
          <w:tcPr>
            <w:tcW w:w="1245" w:type="dxa"/>
          </w:tcPr>
          <w:p>
            <w:pPr>
              <w:pStyle w:val="TableParagraph"/>
              <w:spacing w:line="132" w:lineRule="exact"/>
              <w:ind w:right="85"/>
              <w:jc w:val="right"/>
              <w:rPr>
                <w:sz w:val="12"/>
              </w:rPr>
            </w:pPr>
            <w:r>
              <w:rPr>
                <w:w w:val="105"/>
                <w:sz w:val="12"/>
              </w:rPr>
              <w:t>43.364.240,00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43.364.240,00</w:t>
            </w:r>
          </w:p>
        </w:tc>
        <w:tc>
          <w:tcPr>
            <w:tcW w:w="1093" w:type="dxa"/>
          </w:tcPr>
          <w:p>
            <w:pPr>
              <w:pStyle w:val="TableParagraph"/>
              <w:spacing w:line="132" w:lineRule="exact"/>
              <w:ind w:right="114"/>
              <w:jc w:val="right"/>
              <w:rPr>
                <w:sz w:val="12"/>
              </w:rPr>
            </w:pPr>
            <w:r>
              <w:rPr>
                <w:w w:val="105"/>
                <w:sz w:val="12"/>
              </w:rPr>
              <w:t>40.079.846,84</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40.079.846,84</w:t>
            </w:r>
          </w:p>
        </w:tc>
        <w:tc>
          <w:tcPr>
            <w:tcW w:w="999" w:type="dxa"/>
          </w:tcPr>
          <w:p>
            <w:pPr>
              <w:pStyle w:val="TableParagraph"/>
              <w:spacing w:line="132" w:lineRule="exact"/>
              <w:ind w:right="49"/>
              <w:jc w:val="right"/>
              <w:rPr>
                <w:sz w:val="12"/>
              </w:rPr>
            </w:pPr>
            <w:r>
              <w:rPr>
                <w:w w:val="105"/>
                <w:sz w:val="12"/>
              </w:rPr>
              <w:t>31.566.889,35</w:t>
            </w:r>
          </w:p>
        </w:tc>
        <w:tc>
          <w:tcPr>
            <w:tcW w:w="898" w:type="dxa"/>
            <w:tcBorders>
              <w:right w:val="single" w:sz="4" w:space="0" w:color="000000"/>
            </w:tcBorders>
          </w:tcPr>
          <w:p>
            <w:pPr>
              <w:pStyle w:val="TableParagraph"/>
              <w:spacing w:line="132" w:lineRule="exact"/>
              <w:ind w:right="40"/>
              <w:jc w:val="right"/>
              <w:rPr>
                <w:sz w:val="12"/>
              </w:rPr>
            </w:pPr>
            <w:r>
              <w:rPr>
                <w:w w:val="105"/>
                <w:sz w:val="12"/>
              </w:rPr>
              <w:t>8.512.957,49</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70041 - Fondo de Compensación Interterritorial.Eje.cerrado</w:t>
            </w:r>
          </w:p>
        </w:tc>
        <w:tc>
          <w:tcPr>
            <w:tcW w:w="1245" w:type="dxa"/>
          </w:tcPr>
          <w:p>
            <w:pPr>
              <w:pStyle w:val="TableParagraph"/>
              <w:spacing w:line="132" w:lineRule="exact"/>
              <w:ind w:right="85"/>
              <w:jc w:val="right"/>
              <w:rPr>
                <w:sz w:val="12"/>
              </w:rPr>
            </w:pPr>
            <w:r>
              <w:rPr>
                <w:w w:val="105"/>
                <w:sz w:val="12"/>
              </w:rPr>
              <w:t>4.684.343,00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4.684.343,00</w:t>
            </w:r>
          </w:p>
        </w:tc>
        <w:tc>
          <w:tcPr>
            <w:tcW w:w="1093" w:type="dxa"/>
          </w:tcPr>
          <w:p>
            <w:pPr>
              <w:pStyle w:val="TableParagraph"/>
              <w:spacing w:line="132" w:lineRule="exact"/>
              <w:ind w:right="114"/>
              <w:jc w:val="right"/>
              <w:rPr>
                <w:sz w:val="12"/>
              </w:rPr>
            </w:pPr>
            <w:r>
              <w:rPr>
                <w:w w:val="105"/>
                <w:sz w:val="12"/>
              </w:rPr>
              <w:t>500.417,98</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500.417,98</w:t>
            </w:r>
          </w:p>
        </w:tc>
        <w:tc>
          <w:tcPr>
            <w:tcW w:w="999" w:type="dxa"/>
          </w:tcPr>
          <w:p>
            <w:pPr>
              <w:pStyle w:val="TableParagraph"/>
              <w:spacing w:line="132" w:lineRule="exact"/>
              <w:ind w:right="50"/>
              <w:jc w:val="right"/>
              <w:rPr>
                <w:sz w:val="12"/>
              </w:rPr>
            </w:pPr>
            <w:r>
              <w:rPr>
                <w:w w:val="105"/>
                <w:sz w:val="12"/>
              </w:rPr>
              <w:t>334.458,91</w:t>
            </w:r>
          </w:p>
        </w:tc>
        <w:tc>
          <w:tcPr>
            <w:tcW w:w="898" w:type="dxa"/>
            <w:tcBorders>
              <w:right w:val="single" w:sz="4" w:space="0" w:color="000000"/>
            </w:tcBorders>
          </w:tcPr>
          <w:p>
            <w:pPr>
              <w:pStyle w:val="TableParagraph"/>
              <w:spacing w:line="132" w:lineRule="exact"/>
              <w:ind w:right="40"/>
              <w:jc w:val="right"/>
              <w:rPr>
                <w:sz w:val="12"/>
              </w:rPr>
            </w:pPr>
            <w:r>
              <w:rPr>
                <w:w w:val="105"/>
                <w:sz w:val="12"/>
              </w:rPr>
              <w:t>165.959,07</w:t>
            </w:r>
          </w:p>
        </w:tc>
      </w:tr>
      <w:tr>
        <w:trPr>
          <w:trHeight w:val="150" w:hRule="atLeast"/>
        </w:trPr>
        <w:tc>
          <w:tcPr>
            <w:tcW w:w="3434" w:type="dxa"/>
            <w:tcBorders>
              <w:left w:val="single" w:sz="4" w:space="0" w:color="000000"/>
            </w:tcBorders>
          </w:tcPr>
          <w:p>
            <w:pPr>
              <w:pStyle w:val="TableParagraph"/>
              <w:spacing w:line="131" w:lineRule="exact"/>
              <w:ind w:left="52"/>
              <w:rPr>
                <w:sz w:val="12"/>
              </w:rPr>
            </w:pPr>
            <w:r>
              <w:rPr>
                <w:w w:val="105"/>
                <w:sz w:val="12"/>
              </w:rPr>
              <w:t>70042 - Fondo Complementario. De ejercicio corriente</w:t>
            </w:r>
          </w:p>
        </w:tc>
        <w:tc>
          <w:tcPr>
            <w:tcW w:w="1245" w:type="dxa"/>
          </w:tcPr>
          <w:p>
            <w:pPr>
              <w:pStyle w:val="TableParagraph"/>
              <w:spacing w:line="131" w:lineRule="exact"/>
              <w:ind w:right="85"/>
              <w:jc w:val="right"/>
              <w:rPr>
                <w:sz w:val="12"/>
              </w:rPr>
            </w:pPr>
            <w:r>
              <w:rPr>
                <w:w w:val="105"/>
                <w:sz w:val="12"/>
              </w:rPr>
              <w:t>14.453.300,00</w:t>
            </w:r>
          </w:p>
        </w:tc>
        <w:tc>
          <w:tcPr>
            <w:tcW w:w="956" w:type="dxa"/>
          </w:tcPr>
          <w:p>
            <w:pPr>
              <w:pStyle w:val="TableParagraph"/>
              <w:spacing w:line="131" w:lineRule="exact"/>
              <w:ind w:right="49"/>
              <w:jc w:val="right"/>
              <w:rPr>
                <w:sz w:val="12"/>
              </w:rPr>
            </w:pPr>
            <w:r>
              <w:rPr>
                <w:sz w:val="12"/>
              </w:rPr>
              <w:t>0,00</w:t>
            </w:r>
          </w:p>
        </w:tc>
        <w:tc>
          <w:tcPr>
            <w:tcW w:w="1092" w:type="dxa"/>
          </w:tcPr>
          <w:p>
            <w:pPr>
              <w:pStyle w:val="TableParagraph"/>
              <w:spacing w:line="131" w:lineRule="exact"/>
              <w:ind w:right="82"/>
              <w:jc w:val="right"/>
              <w:rPr>
                <w:sz w:val="12"/>
              </w:rPr>
            </w:pPr>
            <w:r>
              <w:rPr>
                <w:w w:val="105"/>
                <w:sz w:val="12"/>
              </w:rPr>
              <w:t>14.453.300,00</w:t>
            </w:r>
          </w:p>
        </w:tc>
        <w:tc>
          <w:tcPr>
            <w:tcW w:w="1093" w:type="dxa"/>
          </w:tcPr>
          <w:p>
            <w:pPr>
              <w:pStyle w:val="TableParagraph"/>
              <w:spacing w:line="131" w:lineRule="exact"/>
              <w:ind w:right="114"/>
              <w:jc w:val="right"/>
              <w:rPr>
                <w:sz w:val="12"/>
              </w:rPr>
            </w:pPr>
            <w:r>
              <w:rPr>
                <w:w w:val="105"/>
                <w:sz w:val="12"/>
              </w:rPr>
              <w:t>14.304.273,75</w:t>
            </w:r>
          </w:p>
        </w:tc>
        <w:tc>
          <w:tcPr>
            <w:tcW w:w="778" w:type="dxa"/>
          </w:tcPr>
          <w:p>
            <w:pPr>
              <w:pStyle w:val="TableParagraph"/>
              <w:spacing w:line="131" w:lineRule="exact"/>
              <w:ind w:right="55"/>
              <w:jc w:val="right"/>
              <w:rPr>
                <w:sz w:val="12"/>
              </w:rPr>
            </w:pPr>
            <w:r>
              <w:rPr>
                <w:sz w:val="12"/>
              </w:rPr>
              <w:t>0,00</w:t>
            </w:r>
          </w:p>
        </w:tc>
        <w:tc>
          <w:tcPr>
            <w:tcW w:w="718" w:type="dxa"/>
          </w:tcPr>
          <w:p>
            <w:pPr>
              <w:pStyle w:val="TableParagraph"/>
              <w:spacing w:line="131" w:lineRule="exact"/>
              <w:ind w:right="81"/>
              <w:jc w:val="right"/>
              <w:rPr>
                <w:sz w:val="12"/>
              </w:rPr>
            </w:pPr>
            <w:r>
              <w:rPr>
                <w:sz w:val="12"/>
              </w:rPr>
              <w:t>0,00</w:t>
            </w:r>
          </w:p>
        </w:tc>
        <w:tc>
          <w:tcPr>
            <w:tcW w:w="1029" w:type="dxa"/>
          </w:tcPr>
          <w:p>
            <w:pPr>
              <w:pStyle w:val="TableParagraph"/>
              <w:spacing w:line="131" w:lineRule="exact"/>
              <w:ind w:right="50"/>
              <w:jc w:val="right"/>
              <w:rPr>
                <w:sz w:val="12"/>
              </w:rPr>
            </w:pPr>
            <w:r>
              <w:rPr>
                <w:w w:val="105"/>
                <w:sz w:val="12"/>
              </w:rPr>
              <w:t>14.304.273,75</w:t>
            </w:r>
          </w:p>
        </w:tc>
        <w:tc>
          <w:tcPr>
            <w:tcW w:w="999" w:type="dxa"/>
          </w:tcPr>
          <w:p>
            <w:pPr>
              <w:pStyle w:val="TableParagraph"/>
              <w:spacing w:line="131" w:lineRule="exact"/>
              <w:ind w:right="49"/>
              <w:jc w:val="right"/>
              <w:rPr>
                <w:sz w:val="12"/>
              </w:rPr>
            </w:pPr>
            <w:r>
              <w:rPr>
                <w:w w:val="105"/>
                <w:sz w:val="12"/>
              </w:rPr>
              <w:t>11.056.197,44</w:t>
            </w:r>
          </w:p>
        </w:tc>
        <w:tc>
          <w:tcPr>
            <w:tcW w:w="898" w:type="dxa"/>
            <w:tcBorders>
              <w:right w:val="single" w:sz="4" w:space="0" w:color="000000"/>
            </w:tcBorders>
          </w:tcPr>
          <w:p>
            <w:pPr>
              <w:pStyle w:val="TableParagraph"/>
              <w:spacing w:line="131" w:lineRule="exact"/>
              <w:ind w:right="40"/>
              <w:jc w:val="right"/>
              <w:rPr>
                <w:sz w:val="12"/>
              </w:rPr>
            </w:pPr>
            <w:r>
              <w:rPr>
                <w:w w:val="105"/>
                <w:sz w:val="12"/>
              </w:rPr>
              <w:t>3.248.076,31</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70050 - Sub.Adm.Est.financ.inmv.nofro.yact.vta.imp.rdo.ejr</w:t>
            </w:r>
          </w:p>
        </w:tc>
        <w:tc>
          <w:tcPr>
            <w:tcW w:w="1245" w:type="dxa"/>
          </w:tcPr>
          <w:p>
            <w:pPr>
              <w:pStyle w:val="TableParagraph"/>
              <w:spacing w:line="132" w:lineRule="exact"/>
              <w:ind w:right="85"/>
              <w:jc w:val="right"/>
              <w:rPr>
                <w:sz w:val="12"/>
              </w:rPr>
            </w:pPr>
            <w:r>
              <w:rPr>
                <w:w w:val="105"/>
                <w:sz w:val="12"/>
              </w:rPr>
              <w:t>289.723.448,00</w:t>
            </w:r>
          </w:p>
        </w:tc>
        <w:tc>
          <w:tcPr>
            <w:tcW w:w="956" w:type="dxa"/>
          </w:tcPr>
          <w:p>
            <w:pPr>
              <w:pStyle w:val="TableParagraph"/>
              <w:spacing w:line="132" w:lineRule="exact"/>
              <w:ind w:right="49"/>
              <w:jc w:val="right"/>
              <w:rPr>
                <w:sz w:val="12"/>
              </w:rPr>
            </w:pPr>
            <w:r>
              <w:rPr>
                <w:w w:val="105"/>
                <w:sz w:val="12"/>
              </w:rPr>
              <w:t>110.730.288,41</w:t>
            </w:r>
          </w:p>
        </w:tc>
        <w:tc>
          <w:tcPr>
            <w:tcW w:w="1092" w:type="dxa"/>
          </w:tcPr>
          <w:p>
            <w:pPr>
              <w:pStyle w:val="TableParagraph"/>
              <w:spacing w:line="132" w:lineRule="exact"/>
              <w:ind w:right="83"/>
              <w:jc w:val="right"/>
              <w:rPr>
                <w:sz w:val="12"/>
              </w:rPr>
            </w:pPr>
            <w:r>
              <w:rPr>
                <w:w w:val="105"/>
                <w:sz w:val="12"/>
              </w:rPr>
              <w:t>400.453.736,41</w:t>
            </w:r>
          </w:p>
        </w:tc>
        <w:tc>
          <w:tcPr>
            <w:tcW w:w="1093" w:type="dxa"/>
          </w:tcPr>
          <w:p>
            <w:pPr>
              <w:pStyle w:val="TableParagraph"/>
              <w:spacing w:line="132" w:lineRule="exact"/>
              <w:ind w:right="115"/>
              <w:jc w:val="right"/>
              <w:rPr>
                <w:sz w:val="12"/>
              </w:rPr>
            </w:pPr>
            <w:r>
              <w:rPr>
                <w:w w:val="105"/>
                <w:sz w:val="12"/>
              </w:rPr>
              <w:t>445.671.576,95</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445.671.576,95</w:t>
            </w:r>
          </w:p>
        </w:tc>
        <w:tc>
          <w:tcPr>
            <w:tcW w:w="999" w:type="dxa"/>
          </w:tcPr>
          <w:p>
            <w:pPr>
              <w:pStyle w:val="TableParagraph"/>
              <w:spacing w:line="132" w:lineRule="exact"/>
              <w:ind w:right="50"/>
              <w:jc w:val="right"/>
              <w:rPr>
                <w:sz w:val="12"/>
              </w:rPr>
            </w:pPr>
            <w:r>
              <w:rPr>
                <w:w w:val="105"/>
                <w:sz w:val="12"/>
              </w:rPr>
              <w:t>225.147.309,75</w:t>
            </w:r>
          </w:p>
        </w:tc>
        <w:tc>
          <w:tcPr>
            <w:tcW w:w="898" w:type="dxa"/>
            <w:tcBorders>
              <w:right w:val="single" w:sz="4" w:space="0" w:color="000000"/>
            </w:tcBorders>
          </w:tcPr>
          <w:p>
            <w:pPr>
              <w:pStyle w:val="TableParagraph"/>
              <w:spacing w:line="132" w:lineRule="exact"/>
              <w:ind w:right="41"/>
              <w:jc w:val="right"/>
              <w:rPr>
                <w:sz w:val="12"/>
              </w:rPr>
            </w:pPr>
            <w:r>
              <w:rPr>
                <w:w w:val="105"/>
                <w:sz w:val="12"/>
              </w:rPr>
              <w:t>220.524.267,20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70099 - Otras Transferencias de Capital de Admón. Estado</w:t>
            </w:r>
          </w:p>
        </w:tc>
        <w:tc>
          <w:tcPr>
            <w:tcW w:w="1245" w:type="dxa"/>
          </w:tcPr>
          <w:p>
            <w:pPr>
              <w:pStyle w:val="TableParagraph"/>
              <w:spacing w:line="132" w:lineRule="exact"/>
              <w:ind w:right="85"/>
              <w:jc w:val="right"/>
              <w:rPr>
                <w:sz w:val="12"/>
              </w:rPr>
            </w:pPr>
            <w:r>
              <w:rPr>
                <w:w w:val="105"/>
                <w:sz w:val="12"/>
              </w:rPr>
              <w:t>160.000.000,00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3"/>
              <w:jc w:val="right"/>
              <w:rPr>
                <w:sz w:val="12"/>
              </w:rPr>
            </w:pPr>
            <w:r>
              <w:rPr>
                <w:w w:val="105"/>
                <w:sz w:val="12"/>
              </w:rPr>
              <w:t>160.000.000,00</w:t>
            </w:r>
          </w:p>
        </w:tc>
        <w:tc>
          <w:tcPr>
            <w:tcW w:w="1093" w:type="dxa"/>
          </w:tcPr>
          <w:p>
            <w:pPr>
              <w:pStyle w:val="TableParagraph"/>
              <w:spacing w:line="132" w:lineRule="exact"/>
              <w:ind w:right="115"/>
              <w:jc w:val="right"/>
              <w:rPr>
                <w:sz w:val="12"/>
              </w:rPr>
            </w:pPr>
            <w:r>
              <w:rPr>
                <w:w w:val="105"/>
                <w:sz w:val="12"/>
              </w:rPr>
              <w:t>160.000.000,00</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160.000.000,00</w:t>
            </w:r>
          </w:p>
        </w:tc>
        <w:tc>
          <w:tcPr>
            <w:tcW w:w="999" w:type="dxa"/>
          </w:tcPr>
          <w:p>
            <w:pPr>
              <w:pStyle w:val="TableParagraph"/>
              <w:spacing w:line="132" w:lineRule="exact"/>
              <w:ind w:right="50"/>
              <w:jc w:val="right"/>
              <w:rPr>
                <w:sz w:val="12"/>
              </w:rPr>
            </w:pPr>
            <w:r>
              <w:rPr>
                <w:sz w:val="12"/>
              </w:rPr>
              <w:t>0,00</w:t>
            </w:r>
          </w:p>
        </w:tc>
        <w:tc>
          <w:tcPr>
            <w:tcW w:w="898" w:type="dxa"/>
            <w:tcBorders>
              <w:right w:val="single" w:sz="4" w:space="0" w:color="000000"/>
            </w:tcBorders>
          </w:tcPr>
          <w:p>
            <w:pPr>
              <w:pStyle w:val="TableParagraph"/>
              <w:spacing w:line="132" w:lineRule="exact"/>
              <w:ind w:right="41"/>
              <w:jc w:val="right"/>
              <w:rPr>
                <w:sz w:val="12"/>
              </w:rPr>
            </w:pPr>
            <w:r>
              <w:rPr>
                <w:w w:val="105"/>
                <w:sz w:val="12"/>
              </w:rPr>
              <w:t>160.000.000,00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70150 - Sub.OOAAEst.noSPEEfin.inm.nofro.yact.vta.im.rdo.ej</w:t>
            </w:r>
          </w:p>
        </w:tc>
        <w:tc>
          <w:tcPr>
            <w:tcW w:w="1245" w:type="dxa"/>
          </w:tcPr>
          <w:p>
            <w:pPr>
              <w:pStyle w:val="TableParagraph"/>
              <w:spacing w:line="132" w:lineRule="exact"/>
              <w:ind w:right="85"/>
              <w:jc w:val="right"/>
              <w:rPr>
                <w:sz w:val="12"/>
              </w:rPr>
            </w:pPr>
            <w:r>
              <w:rPr>
                <w:w w:val="105"/>
                <w:sz w:val="12"/>
              </w:rPr>
              <w:t>190.000,00</w:t>
            </w:r>
          </w:p>
        </w:tc>
        <w:tc>
          <w:tcPr>
            <w:tcW w:w="956" w:type="dxa"/>
          </w:tcPr>
          <w:p>
            <w:pPr>
              <w:pStyle w:val="TableParagraph"/>
              <w:spacing w:line="132" w:lineRule="exact"/>
              <w:ind w:right="49"/>
              <w:jc w:val="right"/>
              <w:rPr>
                <w:sz w:val="12"/>
              </w:rPr>
            </w:pPr>
            <w:r>
              <w:rPr>
                <w:w w:val="105"/>
                <w:sz w:val="12"/>
              </w:rPr>
              <w:t>1.344.489,90</w:t>
            </w:r>
          </w:p>
        </w:tc>
        <w:tc>
          <w:tcPr>
            <w:tcW w:w="1092" w:type="dxa"/>
          </w:tcPr>
          <w:p>
            <w:pPr>
              <w:pStyle w:val="TableParagraph"/>
              <w:spacing w:line="132" w:lineRule="exact"/>
              <w:ind w:right="82"/>
              <w:jc w:val="right"/>
              <w:rPr>
                <w:sz w:val="12"/>
              </w:rPr>
            </w:pPr>
            <w:r>
              <w:rPr>
                <w:w w:val="105"/>
                <w:sz w:val="12"/>
              </w:rPr>
              <w:t>1.534.489,90</w:t>
            </w:r>
          </w:p>
        </w:tc>
        <w:tc>
          <w:tcPr>
            <w:tcW w:w="1093" w:type="dxa"/>
          </w:tcPr>
          <w:p>
            <w:pPr>
              <w:pStyle w:val="TableParagraph"/>
              <w:spacing w:line="132" w:lineRule="exact"/>
              <w:ind w:right="114"/>
              <w:jc w:val="right"/>
              <w:rPr>
                <w:sz w:val="12"/>
              </w:rPr>
            </w:pPr>
            <w:r>
              <w:rPr>
                <w:w w:val="105"/>
                <w:sz w:val="12"/>
              </w:rPr>
              <w:t>2.956.422,11</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w w:val="105"/>
                <w:sz w:val="12"/>
              </w:rPr>
              <w:t>2.956.422,11</w:t>
            </w:r>
          </w:p>
        </w:tc>
        <w:tc>
          <w:tcPr>
            <w:tcW w:w="999" w:type="dxa"/>
          </w:tcPr>
          <w:p>
            <w:pPr>
              <w:pStyle w:val="TableParagraph"/>
              <w:spacing w:line="132" w:lineRule="exact"/>
              <w:ind w:right="49"/>
              <w:jc w:val="right"/>
              <w:rPr>
                <w:sz w:val="12"/>
              </w:rPr>
            </w:pPr>
            <w:r>
              <w:rPr>
                <w:w w:val="105"/>
                <w:sz w:val="12"/>
              </w:rPr>
              <w:t>2.956.422,11</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51" w:hRule="atLeast"/>
        </w:trPr>
        <w:tc>
          <w:tcPr>
            <w:tcW w:w="3434" w:type="dxa"/>
            <w:tcBorders>
              <w:left w:val="single" w:sz="4" w:space="0" w:color="000000"/>
            </w:tcBorders>
          </w:tcPr>
          <w:p>
            <w:pPr>
              <w:pStyle w:val="TableParagraph"/>
              <w:spacing w:line="132" w:lineRule="exact"/>
              <w:ind w:left="52"/>
              <w:rPr>
                <w:sz w:val="12"/>
              </w:rPr>
            </w:pPr>
            <w:r>
              <w:rPr>
                <w:w w:val="105"/>
                <w:sz w:val="12"/>
              </w:rPr>
              <w:t>70250 - Subven.SS.financ.inm.nofro.yact.vta.impt.rdo.ejerc</w:t>
            </w:r>
          </w:p>
        </w:tc>
        <w:tc>
          <w:tcPr>
            <w:tcW w:w="1245" w:type="dxa"/>
          </w:tcPr>
          <w:p>
            <w:pPr>
              <w:pStyle w:val="TableParagraph"/>
              <w:spacing w:line="132" w:lineRule="exact"/>
              <w:ind w:right="85"/>
              <w:jc w:val="right"/>
              <w:rPr>
                <w:sz w:val="12"/>
              </w:rPr>
            </w:pPr>
            <w:r>
              <w:rPr>
                <w:w w:val="105"/>
                <w:sz w:val="12"/>
              </w:rPr>
              <w:t>3.600.000,00</w:t>
            </w:r>
          </w:p>
        </w:tc>
        <w:tc>
          <w:tcPr>
            <w:tcW w:w="956" w:type="dxa"/>
          </w:tcPr>
          <w:p>
            <w:pPr>
              <w:pStyle w:val="TableParagraph"/>
              <w:spacing w:line="132" w:lineRule="exact"/>
              <w:ind w:right="49"/>
              <w:jc w:val="right"/>
              <w:rPr>
                <w:sz w:val="12"/>
              </w:rPr>
            </w:pPr>
            <w:r>
              <w:rPr>
                <w:sz w:val="12"/>
              </w:rPr>
              <w:t>0,00</w:t>
            </w:r>
          </w:p>
        </w:tc>
        <w:tc>
          <w:tcPr>
            <w:tcW w:w="1092" w:type="dxa"/>
          </w:tcPr>
          <w:p>
            <w:pPr>
              <w:pStyle w:val="TableParagraph"/>
              <w:spacing w:line="132" w:lineRule="exact"/>
              <w:ind w:right="82"/>
              <w:jc w:val="right"/>
              <w:rPr>
                <w:sz w:val="12"/>
              </w:rPr>
            </w:pPr>
            <w:r>
              <w:rPr>
                <w:w w:val="105"/>
                <w:sz w:val="12"/>
              </w:rPr>
              <w:t>3.600.000,00</w:t>
            </w:r>
          </w:p>
        </w:tc>
        <w:tc>
          <w:tcPr>
            <w:tcW w:w="1093" w:type="dxa"/>
          </w:tcPr>
          <w:p>
            <w:pPr>
              <w:pStyle w:val="TableParagraph"/>
              <w:spacing w:line="132" w:lineRule="exact"/>
              <w:ind w:right="114"/>
              <w:jc w:val="right"/>
              <w:rPr>
                <w:sz w:val="12"/>
              </w:rPr>
            </w:pPr>
            <w:r>
              <w:rPr>
                <w:sz w:val="12"/>
              </w:rPr>
              <w:t>0,00</w:t>
            </w:r>
          </w:p>
        </w:tc>
        <w:tc>
          <w:tcPr>
            <w:tcW w:w="778" w:type="dxa"/>
          </w:tcPr>
          <w:p>
            <w:pPr>
              <w:pStyle w:val="TableParagraph"/>
              <w:spacing w:line="132" w:lineRule="exact"/>
              <w:ind w:right="55"/>
              <w:jc w:val="right"/>
              <w:rPr>
                <w:sz w:val="12"/>
              </w:rPr>
            </w:pPr>
            <w:r>
              <w:rPr>
                <w:sz w:val="12"/>
              </w:rPr>
              <w:t>0,00</w:t>
            </w:r>
          </w:p>
        </w:tc>
        <w:tc>
          <w:tcPr>
            <w:tcW w:w="718" w:type="dxa"/>
          </w:tcPr>
          <w:p>
            <w:pPr>
              <w:pStyle w:val="TableParagraph"/>
              <w:spacing w:line="132" w:lineRule="exact"/>
              <w:ind w:right="81"/>
              <w:jc w:val="right"/>
              <w:rPr>
                <w:sz w:val="12"/>
              </w:rPr>
            </w:pPr>
            <w:r>
              <w:rPr>
                <w:sz w:val="12"/>
              </w:rPr>
              <w:t>0,00</w:t>
            </w:r>
          </w:p>
        </w:tc>
        <w:tc>
          <w:tcPr>
            <w:tcW w:w="1029" w:type="dxa"/>
          </w:tcPr>
          <w:p>
            <w:pPr>
              <w:pStyle w:val="TableParagraph"/>
              <w:spacing w:line="132" w:lineRule="exact"/>
              <w:ind w:right="50"/>
              <w:jc w:val="right"/>
              <w:rPr>
                <w:sz w:val="12"/>
              </w:rPr>
            </w:pPr>
            <w:r>
              <w:rPr>
                <w:sz w:val="12"/>
              </w:rPr>
              <w:t>0,00</w:t>
            </w:r>
          </w:p>
        </w:tc>
        <w:tc>
          <w:tcPr>
            <w:tcW w:w="999" w:type="dxa"/>
          </w:tcPr>
          <w:p>
            <w:pPr>
              <w:pStyle w:val="TableParagraph"/>
              <w:spacing w:line="132" w:lineRule="exact"/>
              <w:ind w:right="50"/>
              <w:jc w:val="right"/>
              <w:rPr>
                <w:sz w:val="12"/>
              </w:rPr>
            </w:pPr>
            <w:r>
              <w:rPr>
                <w:sz w:val="12"/>
              </w:rPr>
              <w:t>0,00</w:t>
            </w:r>
          </w:p>
        </w:tc>
        <w:tc>
          <w:tcPr>
            <w:tcW w:w="898" w:type="dxa"/>
            <w:tcBorders>
              <w:right w:val="single" w:sz="4" w:space="0" w:color="000000"/>
            </w:tcBorders>
          </w:tcPr>
          <w:p>
            <w:pPr>
              <w:pStyle w:val="TableParagraph"/>
              <w:spacing w:line="132" w:lineRule="exact"/>
              <w:ind w:right="40"/>
              <w:jc w:val="right"/>
              <w:rPr>
                <w:sz w:val="12"/>
              </w:rPr>
            </w:pPr>
            <w:r>
              <w:rPr>
                <w:sz w:val="12"/>
              </w:rPr>
              <w:t>0,00</w:t>
            </w:r>
          </w:p>
        </w:tc>
      </w:tr>
      <w:tr>
        <w:trPr>
          <w:trHeight w:val="138" w:hRule="atLeast"/>
        </w:trPr>
        <w:tc>
          <w:tcPr>
            <w:tcW w:w="3434" w:type="dxa"/>
            <w:tcBorders>
              <w:left w:val="single" w:sz="4" w:space="0" w:color="000000"/>
              <w:bottom w:val="single" w:sz="4" w:space="0" w:color="000000"/>
            </w:tcBorders>
          </w:tcPr>
          <w:p>
            <w:pPr>
              <w:pStyle w:val="TableParagraph"/>
              <w:spacing w:line="119" w:lineRule="exact"/>
              <w:ind w:left="52"/>
              <w:rPr>
                <w:sz w:val="12"/>
              </w:rPr>
            </w:pPr>
            <w:r>
              <w:rPr>
                <w:w w:val="105"/>
                <w:sz w:val="12"/>
              </w:rPr>
              <w:t>70450 - Sub.S.m,EEPPEE,Fun.yRes.fi.inm.nofro.yact.vta.r.ej</w:t>
            </w:r>
          </w:p>
        </w:tc>
        <w:tc>
          <w:tcPr>
            <w:tcW w:w="1245" w:type="dxa"/>
            <w:tcBorders>
              <w:bottom w:val="single" w:sz="4" w:space="0" w:color="000000"/>
            </w:tcBorders>
          </w:tcPr>
          <w:p>
            <w:pPr>
              <w:pStyle w:val="TableParagraph"/>
              <w:spacing w:line="119" w:lineRule="exact"/>
              <w:ind w:right="85"/>
              <w:jc w:val="right"/>
              <w:rPr>
                <w:sz w:val="12"/>
              </w:rPr>
            </w:pPr>
            <w:r>
              <w:rPr>
                <w:w w:val="105"/>
                <w:sz w:val="12"/>
              </w:rPr>
              <w:t>27.848.535,00</w:t>
            </w:r>
          </w:p>
        </w:tc>
        <w:tc>
          <w:tcPr>
            <w:tcW w:w="956" w:type="dxa"/>
            <w:tcBorders>
              <w:bottom w:val="single" w:sz="4" w:space="0" w:color="000000"/>
            </w:tcBorders>
          </w:tcPr>
          <w:p>
            <w:pPr>
              <w:pStyle w:val="TableParagraph"/>
              <w:spacing w:line="119" w:lineRule="exact"/>
              <w:ind w:right="49"/>
              <w:jc w:val="right"/>
              <w:rPr>
                <w:sz w:val="12"/>
              </w:rPr>
            </w:pPr>
            <w:r>
              <w:rPr>
                <w:w w:val="105"/>
                <w:sz w:val="12"/>
              </w:rPr>
              <w:t>6.110.236,47</w:t>
            </w:r>
          </w:p>
        </w:tc>
        <w:tc>
          <w:tcPr>
            <w:tcW w:w="1092" w:type="dxa"/>
            <w:tcBorders>
              <w:bottom w:val="single" w:sz="4" w:space="0" w:color="000000"/>
            </w:tcBorders>
          </w:tcPr>
          <w:p>
            <w:pPr>
              <w:pStyle w:val="TableParagraph"/>
              <w:spacing w:line="119" w:lineRule="exact"/>
              <w:ind w:right="82"/>
              <w:jc w:val="right"/>
              <w:rPr>
                <w:sz w:val="12"/>
              </w:rPr>
            </w:pPr>
            <w:r>
              <w:rPr>
                <w:w w:val="105"/>
                <w:sz w:val="12"/>
              </w:rPr>
              <w:t>33.958.771,47</w:t>
            </w:r>
          </w:p>
        </w:tc>
        <w:tc>
          <w:tcPr>
            <w:tcW w:w="1093" w:type="dxa"/>
            <w:tcBorders>
              <w:bottom w:val="single" w:sz="4" w:space="0" w:color="000000"/>
            </w:tcBorders>
          </w:tcPr>
          <w:p>
            <w:pPr>
              <w:pStyle w:val="TableParagraph"/>
              <w:spacing w:line="119" w:lineRule="exact"/>
              <w:ind w:right="115"/>
              <w:jc w:val="right"/>
              <w:rPr>
                <w:sz w:val="12"/>
              </w:rPr>
            </w:pPr>
            <w:r>
              <w:rPr>
                <w:w w:val="105"/>
                <w:sz w:val="12"/>
              </w:rPr>
              <w:t>321.680.420,71</w:t>
            </w:r>
          </w:p>
        </w:tc>
        <w:tc>
          <w:tcPr>
            <w:tcW w:w="778" w:type="dxa"/>
            <w:tcBorders>
              <w:bottom w:val="single" w:sz="4" w:space="0" w:color="000000"/>
            </w:tcBorders>
          </w:tcPr>
          <w:p>
            <w:pPr>
              <w:pStyle w:val="TableParagraph"/>
              <w:spacing w:line="119" w:lineRule="exact"/>
              <w:ind w:right="55"/>
              <w:jc w:val="right"/>
              <w:rPr>
                <w:sz w:val="12"/>
              </w:rPr>
            </w:pPr>
            <w:r>
              <w:rPr>
                <w:sz w:val="12"/>
              </w:rPr>
              <w:t>0,00</w:t>
            </w:r>
          </w:p>
        </w:tc>
        <w:tc>
          <w:tcPr>
            <w:tcW w:w="718" w:type="dxa"/>
            <w:tcBorders>
              <w:bottom w:val="single" w:sz="4" w:space="0" w:color="000000"/>
            </w:tcBorders>
          </w:tcPr>
          <w:p>
            <w:pPr>
              <w:pStyle w:val="TableParagraph"/>
              <w:spacing w:line="119" w:lineRule="exact"/>
              <w:ind w:right="81"/>
              <w:jc w:val="right"/>
              <w:rPr>
                <w:sz w:val="12"/>
              </w:rPr>
            </w:pPr>
            <w:r>
              <w:rPr>
                <w:sz w:val="12"/>
              </w:rPr>
              <w:t>0,00</w:t>
            </w:r>
          </w:p>
        </w:tc>
        <w:tc>
          <w:tcPr>
            <w:tcW w:w="1029" w:type="dxa"/>
            <w:tcBorders>
              <w:bottom w:val="single" w:sz="4" w:space="0" w:color="000000"/>
            </w:tcBorders>
          </w:tcPr>
          <w:p>
            <w:pPr>
              <w:pStyle w:val="TableParagraph"/>
              <w:spacing w:line="119" w:lineRule="exact"/>
              <w:ind w:right="50"/>
              <w:jc w:val="right"/>
              <w:rPr>
                <w:sz w:val="12"/>
              </w:rPr>
            </w:pPr>
            <w:r>
              <w:rPr>
                <w:w w:val="105"/>
                <w:sz w:val="12"/>
              </w:rPr>
              <w:t>321.680.420,71</w:t>
            </w:r>
          </w:p>
        </w:tc>
        <w:tc>
          <w:tcPr>
            <w:tcW w:w="999" w:type="dxa"/>
            <w:tcBorders>
              <w:bottom w:val="single" w:sz="4" w:space="0" w:color="000000"/>
            </w:tcBorders>
          </w:tcPr>
          <w:p>
            <w:pPr>
              <w:pStyle w:val="TableParagraph"/>
              <w:spacing w:line="119" w:lineRule="exact"/>
              <w:ind w:right="50"/>
              <w:jc w:val="right"/>
              <w:rPr>
                <w:sz w:val="12"/>
              </w:rPr>
            </w:pPr>
            <w:r>
              <w:rPr>
                <w:w w:val="105"/>
                <w:sz w:val="12"/>
              </w:rPr>
              <w:t>321.680.420,71</w:t>
            </w:r>
          </w:p>
        </w:tc>
        <w:tc>
          <w:tcPr>
            <w:tcW w:w="898" w:type="dxa"/>
            <w:tcBorders>
              <w:bottom w:val="single" w:sz="4" w:space="0" w:color="000000"/>
              <w:right w:val="single" w:sz="4" w:space="0" w:color="000000"/>
            </w:tcBorders>
          </w:tcPr>
          <w:p>
            <w:pPr>
              <w:pStyle w:val="TableParagraph"/>
              <w:spacing w:line="119" w:lineRule="exact"/>
              <w:ind w:right="40"/>
              <w:jc w:val="right"/>
              <w:rPr>
                <w:sz w:val="12"/>
              </w:rPr>
            </w:pPr>
            <w:r>
              <w:rPr>
                <w:sz w:val="12"/>
              </w:rPr>
              <w:t>0,00</w:t>
            </w:r>
          </w:p>
        </w:tc>
      </w:tr>
    </w:tbl>
    <w:p>
      <w:pPr>
        <w:spacing w:before="30"/>
        <w:ind w:left="10855" w:right="1577" w:firstLine="0"/>
        <w:jc w:val="center"/>
        <w:rPr>
          <w:sz w:val="18"/>
        </w:rPr>
      </w:pPr>
      <w:r>
        <w:rPr>
          <w:w w:val="105"/>
          <w:sz w:val="18"/>
        </w:rPr>
        <w:t>180</w:t>
      </w:r>
    </w:p>
    <w:p>
      <w:pPr>
        <w:spacing w:before="7"/>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85" name="image5.png"/>
                  <wp:cNvGraphicFramePr>
                    <a:graphicFrameLocks noChangeAspect="1"/>
                  </wp:cNvGraphicFramePr>
                  <a:graphic>
                    <a:graphicData uri="http://schemas.openxmlformats.org/drawingml/2006/picture">
                      <pic:pic>
                        <pic:nvPicPr>
                          <pic:cNvPr id="38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182/247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11:14:27</w:t>
            </w:r>
          </w:p>
        </w:tc>
        <w:tc>
          <w:tcPr>
            <w:tcW w:w="1442" w:type="dxa"/>
            <w:vMerge/>
            <w:tcBorders>
              <w:top w:val="nil"/>
            </w:tcBorders>
          </w:tcPr>
          <w:p>
            <w:pPr>
              <w:rPr>
                <w:sz w:val="2"/>
                <w:szCs w:val="2"/>
              </w:rPr>
            </w:pPr>
          </w:p>
        </w:tc>
      </w:tr>
    </w:tbl>
    <w:p>
      <w:pPr>
        <w:spacing w:after="0"/>
        <w:rPr>
          <w:sz w:val="2"/>
          <w:szCs w:val="2"/>
        </w:rPr>
        <w:sectPr>
          <w:pgSz w:w="16840" w:h="11900" w:orient="landscape"/>
          <w:pgMar w:header="797" w:footer="1006" w:top="1620" w:bottom="1200" w:left="1160" w:right="1160"/>
        </w:sectPr>
      </w:pPr>
    </w:p>
    <w:p>
      <w:pPr>
        <w:pStyle w:val="BodyText"/>
        <w:rPr>
          <w:b/>
          <w:sz w:val="13"/>
        </w:rPr>
      </w:pPr>
    </w:p>
    <w:tbl>
      <w:tblPr>
        <w:tblW w:w="0" w:type="auto"/>
        <w:jc w:val="left"/>
        <w:tblInd w:w="1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4"/>
        <w:gridCol w:w="1254"/>
        <w:gridCol w:w="954"/>
        <w:gridCol w:w="1059"/>
        <w:gridCol w:w="1059"/>
        <w:gridCol w:w="846"/>
        <w:gridCol w:w="683"/>
        <w:gridCol w:w="1061"/>
        <w:gridCol w:w="998"/>
        <w:gridCol w:w="901"/>
      </w:tblGrid>
      <w:tr>
        <w:trPr>
          <w:trHeight w:val="282" w:hRule="atLeast"/>
        </w:trPr>
        <w:tc>
          <w:tcPr>
            <w:tcW w:w="3424" w:type="dxa"/>
            <w:tcBorders>
              <w:top w:val="single" w:sz="4" w:space="0" w:color="000000"/>
              <w:left w:val="single" w:sz="4" w:space="0" w:color="000000"/>
              <w:bottom w:val="single" w:sz="4" w:space="0" w:color="000000"/>
            </w:tcBorders>
            <w:shd w:val="clear" w:color="auto" w:fill="DEEAF6"/>
          </w:tcPr>
          <w:p>
            <w:pPr>
              <w:pStyle w:val="TableParagraph"/>
              <w:spacing w:before="76"/>
              <w:ind w:left="1460" w:right="1361"/>
              <w:jc w:val="center"/>
              <w:rPr>
                <w:b/>
                <w:sz w:val="11"/>
              </w:rPr>
            </w:pPr>
            <w:r>
              <w:rPr>
                <w:b/>
                <w:w w:val="105"/>
                <w:sz w:val="11"/>
              </w:rPr>
              <w:t>Descripción</w:t>
            </w:r>
          </w:p>
        </w:tc>
        <w:tc>
          <w:tcPr>
            <w:tcW w:w="1254" w:type="dxa"/>
            <w:tcBorders>
              <w:top w:val="single" w:sz="4" w:space="0" w:color="000000"/>
              <w:bottom w:val="single" w:sz="4" w:space="0" w:color="000000"/>
            </w:tcBorders>
            <w:shd w:val="clear" w:color="auto" w:fill="DEEAF6"/>
          </w:tcPr>
          <w:p>
            <w:pPr>
              <w:pStyle w:val="TableParagraph"/>
              <w:spacing w:before="76"/>
              <w:ind w:left="280"/>
              <w:rPr>
                <w:b/>
                <w:sz w:val="11"/>
              </w:rPr>
            </w:pPr>
            <w:r>
              <w:rPr>
                <w:b/>
                <w:w w:val="105"/>
                <w:sz w:val="11"/>
              </w:rPr>
              <w:t>Previsión Inicial</w:t>
            </w:r>
          </w:p>
        </w:tc>
        <w:tc>
          <w:tcPr>
            <w:tcW w:w="954" w:type="dxa"/>
            <w:tcBorders>
              <w:top w:val="single" w:sz="4" w:space="0" w:color="000000"/>
              <w:bottom w:val="single" w:sz="4" w:space="0" w:color="000000"/>
            </w:tcBorders>
            <w:shd w:val="clear" w:color="auto" w:fill="DEEAF6"/>
          </w:tcPr>
          <w:p>
            <w:pPr>
              <w:pStyle w:val="TableParagraph"/>
              <w:spacing w:before="6"/>
              <w:ind w:left="79" w:right="105"/>
              <w:jc w:val="center"/>
              <w:rPr>
                <w:b/>
                <w:sz w:val="11"/>
              </w:rPr>
            </w:pPr>
            <w:r>
              <w:rPr>
                <w:b/>
                <w:w w:val="105"/>
                <w:sz w:val="11"/>
              </w:rPr>
              <w:t>Modificaciones</w:t>
            </w:r>
          </w:p>
          <w:p>
            <w:pPr>
              <w:pStyle w:val="TableParagraph"/>
              <w:spacing w:line="115" w:lineRule="exact" w:before="7"/>
              <w:ind w:left="79" w:right="103"/>
              <w:jc w:val="center"/>
              <w:rPr>
                <w:b/>
                <w:sz w:val="11"/>
              </w:rPr>
            </w:pPr>
            <w:r>
              <w:rPr>
                <w:b/>
                <w:w w:val="105"/>
                <w:sz w:val="11"/>
              </w:rPr>
              <w:t>de crédito</w:t>
            </w:r>
          </w:p>
        </w:tc>
        <w:tc>
          <w:tcPr>
            <w:tcW w:w="1059" w:type="dxa"/>
            <w:tcBorders>
              <w:top w:val="single" w:sz="4" w:space="0" w:color="000000"/>
              <w:bottom w:val="single" w:sz="4" w:space="0" w:color="000000"/>
            </w:tcBorders>
            <w:shd w:val="clear" w:color="auto" w:fill="DEEAF6"/>
          </w:tcPr>
          <w:p>
            <w:pPr>
              <w:pStyle w:val="TableParagraph"/>
              <w:spacing w:before="76"/>
              <w:ind w:right="51"/>
              <w:jc w:val="right"/>
              <w:rPr>
                <w:b/>
                <w:sz w:val="11"/>
              </w:rPr>
            </w:pPr>
            <w:r>
              <w:rPr>
                <w:b/>
                <w:w w:val="105"/>
                <w:sz w:val="11"/>
              </w:rPr>
              <w:t>Previsión Definitiva</w:t>
            </w:r>
          </w:p>
        </w:tc>
        <w:tc>
          <w:tcPr>
            <w:tcW w:w="1059" w:type="dxa"/>
            <w:tcBorders>
              <w:top w:val="single" w:sz="4" w:space="0" w:color="000000"/>
              <w:bottom w:val="single" w:sz="4" w:space="0" w:color="000000"/>
            </w:tcBorders>
            <w:shd w:val="clear" w:color="auto" w:fill="DEEAF6"/>
          </w:tcPr>
          <w:p>
            <w:pPr>
              <w:pStyle w:val="TableParagraph"/>
              <w:spacing w:before="6"/>
              <w:ind w:left="78" w:right="70"/>
              <w:jc w:val="center"/>
              <w:rPr>
                <w:b/>
                <w:sz w:val="11"/>
              </w:rPr>
            </w:pPr>
            <w:r>
              <w:rPr>
                <w:b/>
                <w:w w:val="105"/>
                <w:sz w:val="11"/>
              </w:rPr>
              <w:t>Derechos Recon.</w:t>
            </w:r>
          </w:p>
          <w:p>
            <w:pPr>
              <w:pStyle w:val="TableParagraph"/>
              <w:spacing w:line="115" w:lineRule="exact" w:before="7"/>
              <w:ind w:left="78" w:right="66"/>
              <w:jc w:val="center"/>
              <w:rPr>
                <w:b/>
                <w:sz w:val="11"/>
              </w:rPr>
            </w:pPr>
            <w:r>
              <w:rPr>
                <w:b/>
                <w:w w:val="105"/>
                <w:sz w:val="11"/>
              </w:rPr>
              <w:t>Total</w:t>
            </w:r>
          </w:p>
        </w:tc>
        <w:tc>
          <w:tcPr>
            <w:tcW w:w="846" w:type="dxa"/>
            <w:tcBorders>
              <w:top w:val="single" w:sz="4" w:space="0" w:color="000000"/>
              <w:bottom w:val="single" w:sz="4" w:space="0" w:color="000000"/>
            </w:tcBorders>
            <w:shd w:val="clear" w:color="auto" w:fill="DEEAF6"/>
          </w:tcPr>
          <w:p>
            <w:pPr>
              <w:pStyle w:val="TableParagraph"/>
              <w:spacing w:before="6"/>
              <w:ind w:left="195"/>
              <w:rPr>
                <w:b/>
                <w:sz w:val="11"/>
              </w:rPr>
            </w:pPr>
            <w:r>
              <w:rPr>
                <w:b/>
                <w:w w:val="105"/>
                <w:sz w:val="11"/>
              </w:rPr>
              <w:t>Derechos</w:t>
            </w:r>
          </w:p>
          <w:p>
            <w:pPr>
              <w:pStyle w:val="TableParagraph"/>
              <w:spacing w:line="115" w:lineRule="exact" w:before="7"/>
              <w:ind w:left="197"/>
              <w:rPr>
                <w:b/>
                <w:sz w:val="11"/>
              </w:rPr>
            </w:pPr>
            <w:r>
              <w:rPr>
                <w:b/>
                <w:w w:val="105"/>
                <w:sz w:val="11"/>
              </w:rPr>
              <w:t>Anulados</w:t>
            </w:r>
          </w:p>
        </w:tc>
        <w:tc>
          <w:tcPr>
            <w:tcW w:w="683" w:type="dxa"/>
            <w:tcBorders>
              <w:top w:val="single" w:sz="4" w:space="0" w:color="000000"/>
              <w:bottom w:val="single" w:sz="4" w:space="0" w:color="000000"/>
            </w:tcBorders>
            <w:shd w:val="clear" w:color="auto" w:fill="DEEAF6"/>
          </w:tcPr>
          <w:p>
            <w:pPr>
              <w:pStyle w:val="TableParagraph"/>
              <w:spacing w:before="6"/>
              <w:ind w:left="113"/>
              <w:rPr>
                <w:b/>
                <w:sz w:val="11"/>
              </w:rPr>
            </w:pPr>
            <w:r>
              <w:rPr>
                <w:b/>
                <w:w w:val="105"/>
                <w:sz w:val="11"/>
              </w:rPr>
              <w:t>Derechos</w:t>
            </w:r>
          </w:p>
          <w:p>
            <w:pPr>
              <w:pStyle w:val="TableParagraph"/>
              <w:spacing w:line="115" w:lineRule="exact" w:before="7"/>
              <w:ind w:left="69"/>
              <w:rPr>
                <w:b/>
                <w:sz w:val="11"/>
              </w:rPr>
            </w:pPr>
            <w:r>
              <w:rPr>
                <w:b/>
                <w:w w:val="105"/>
                <w:sz w:val="11"/>
              </w:rPr>
              <w:t>Cancelados</w:t>
            </w:r>
          </w:p>
        </w:tc>
        <w:tc>
          <w:tcPr>
            <w:tcW w:w="1061" w:type="dxa"/>
            <w:tcBorders>
              <w:top w:val="single" w:sz="4" w:space="0" w:color="000000"/>
              <w:bottom w:val="single" w:sz="4" w:space="0" w:color="000000"/>
            </w:tcBorders>
            <w:shd w:val="clear" w:color="auto" w:fill="DEEAF6"/>
          </w:tcPr>
          <w:p>
            <w:pPr>
              <w:pStyle w:val="TableParagraph"/>
              <w:spacing w:before="6"/>
              <w:ind w:left="116" w:right="102"/>
              <w:jc w:val="center"/>
              <w:rPr>
                <w:b/>
                <w:sz w:val="11"/>
              </w:rPr>
            </w:pPr>
            <w:r>
              <w:rPr>
                <w:b/>
                <w:w w:val="105"/>
                <w:sz w:val="11"/>
              </w:rPr>
              <w:t>Derechos Recon.</w:t>
            </w:r>
          </w:p>
          <w:p>
            <w:pPr>
              <w:pStyle w:val="TableParagraph"/>
              <w:spacing w:line="115" w:lineRule="exact" w:before="7"/>
              <w:ind w:left="114" w:right="102"/>
              <w:jc w:val="center"/>
              <w:rPr>
                <w:b/>
                <w:sz w:val="11"/>
              </w:rPr>
            </w:pPr>
            <w:r>
              <w:rPr>
                <w:b/>
                <w:w w:val="105"/>
                <w:sz w:val="11"/>
              </w:rPr>
              <w:t>Netos</w:t>
            </w:r>
          </w:p>
        </w:tc>
        <w:tc>
          <w:tcPr>
            <w:tcW w:w="998" w:type="dxa"/>
            <w:tcBorders>
              <w:top w:val="single" w:sz="4" w:space="0" w:color="000000"/>
              <w:bottom w:val="single" w:sz="4" w:space="0" w:color="000000"/>
            </w:tcBorders>
            <w:shd w:val="clear" w:color="auto" w:fill="DEEAF6"/>
          </w:tcPr>
          <w:p>
            <w:pPr>
              <w:pStyle w:val="TableParagraph"/>
              <w:spacing w:before="76"/>
              <w:ind w:right="51"/>
              <w:jc w:val="right"/>
              <w:rPr>
                <w:b/>
                <w:sz w:val="11"/>
              </w:rPr>
            </w:pPr>
            <w:r>
              <w:rPr>
                <w:b/>
                <w:w w:val="105"/>
                <w:sz w:val="11"/>
              </w:rPr>
              <w:t>Recaudación Neta</w:t>
            </w:r>
          </w:p>
        </w:tc>
        <w:tc>
          <w:tcPr>
            <w:tcW w:w="901" w:type="dxa"/>
            <w:tcBorders>
              <w:top w:val="single" w:sz="4" w:space="0" w:color="000000"/>
              <w:bottom w:val="single" w:sz="4" w:space="0" w:color="000000"/>
              <w:right w:val="single" w:sz="4" w:space="0" w:color="000000"/>
            </w:tcBorders>
            <w:shd w:val="clear" w:color="auto" w:fill="DEEAF6"/>
          </w:tcPr>
          <w:p>
            <w:pPr>
              <w:pStyle w:val="TableParagraph"/>
              <w:spacing w:before="6"/>
              <w:ind w:left="119" w:right="100"/>
              <w:jc w:val="center"/>
              <w:rPr>
                <w:b/>
                <w:sz w:val="11"/>
              </w:rPr>
            </w:pPr>
            <w:r>
              <w:rPr>
                <w:b/>
                <w:w w:val="105"/>
                <w:sz w:val="11"/>
              </w:rPr>
              <w:t>Pendiente de</w:t>
            </w:r>
          </w:p>
          <w:p>
            <w:pPr>
              <w:pStyle w:val="TableParagraph"/>
              <w:spacing w:line="115" w:lineRule="exact" w:before="7"/>
              <w:ind w:left="119" w:right="99"/>
              <w:jc w:val="center"/>
              <w:rPr>
                <w:b/>
                <w:sz w:val="11"/>
              </w:rPr>
            </w:pPr>
            <w:r>
              <w:rPr>
                <w:b/>
                <w:w w:val="105"/>
                <w:sz w:val="11"/>
              </w:rPr>
              <w:t>Cobro</w:t>
            </w:r>
          </w:p>
        </w:tc>
      </w:tr>
      <w:tr>
        <w:trPr>
          <w:trHeight w:val="161" w:hRule="atLeast"/>
        </w:trPr>
        <w:tc>
          <w:tcPr>
            <w:tcW w:w="3424" w:type="dxa"/>
            <w:tcBorders>
              <w:top w:val="single" w:sz="4" w:space="0" w:color="000000"/>
              <w:left w:val="single" w:sz="4" w:space="0" w:color="000000"/>
            </w:tcBorders>
          </w:tcPr>
          <w:p>
            <w:pPr>
              <w:pStyle w:val="TableParagraph"/>
              <w:spacing w:line="139" w:lineRule="exact" w:before="2"/>
              <w:ind w:left="52"/>
              <w:rPr>
                <w:sz w:val="12"/>
              </w:rPr>
            </w:pPr>
            <w:r>
              <w:rPr>
                <w:w w:val="105"/>
                <w:sz w:val="12"/>
              </w:rPr>
              <w:t>71150 - Sub.OOAA,EEPP,Cons.CACfin.inm.nofro.act.vta.rdo.ej</w:t>
            </w:r>
          </w:p>
        </w:tc>
        <w:tc>
          <w:tcPr>
            <w:tcW w:w="1254" w:type="dxa"/>
            <w:tcBorders>
              <w:top w:val="single" w:sz="4" w:space="0" w:color="000000"/>
            </w:tcBorders>
          </w:tcPr>
          <w:p>
            <w:pPr>
              <w:pStyle w:val="TableParagraph"/>
              <w:spacing w:line="139" w:lineRule="exact" w:before="2"/>
              <w:ind w:right="84"/>
              <w:jc w:val="right"/>
              <w:rPr>
                <w:sz w:val="12"/>
              </w:rPr>
            </w:pPr>
            <w:r>
              <w:rPr>
                <w:sz w:val="12"/>
              </w:rPr>
              <w:t>0,00</w:t>
            </w:r>
          </w:p>
        </w:tc>
        <w:tc>
          <w:tcPr>
            <w:tcW w:w="954" w:type="dxa"/>
            <w:tcBorders>
              <w:top w:val="single" w:sz="4" w:space="0" w:color="000000"/>
            </w:tcBorders>
          </w:tcPr>
          <w:p>
            <w:pPr>
              <w:pStyle w:val="TableParagraph"/>
              <w:spacing w:line="139" w:lineRule="exact" w:before="2"/>
              <w:ind w:right="46"/>
              <w:jc w:val="right"/>
              <w:rPr>
                <w:sz w:val="12"/>
              </w:rPr>
            </w:pPr>
            <w:r>
              <w:rPr>
                <w:w w:val="105"/>
                <w:sz w:val="12"/>
              </w:rPr>
              <w:t>85.623,84</w:t>
            </w:r>
          </w:p>
        </w:tc>
        <w:tc>
          <w:tcPr>
            <w:tcW w:w="1059" w:type="dxa"/>
            <w:tcBorders>
              <w:top w:val="single" w:sz="4" w:space="0" w:color="000000"/>
            </w:tcBorders>
          </w:tcPr>
          <w:p>
            <w:pPr>
              <w:pStyle w:val="TableParagraph"/>
              <w:spacing w:line="139" w:lineRule="exact" w:before="2"/>
              <w:ind w:right="46"/>
              <w:jc w:val="right"/>
              <w:rPr>
                <w:sz w:val="12"/>
              </w:rPr>
            </w:pPr>
            <w:r>
              <w:rPr>
                <w:w w:val="105"/>
                <w:sz w:val="12"/>
              </w:rPr>
              <w:t>85.623,84</w:t>
            </w:r>
          </w:p>
        </w:tc>
        <w:tc>
          <w:tcPr>
            <w:tcW w:w="1059" w:type="dxa"/>
            <w:tcBorders>
              <w:top w:val="single" w:sz="4" w:space="0" w:color="000000"/>
            </w:tcBorders>
          </w:tcPr>
          <w:p>
            <w:pPr>
              <w:pStyle w:val="TableParagraph"/>
              <w:spacing w:line="139" w:lineRule="exact" w:before="2"/>
              <w:ind w:right="44"/>
              <w:jc w:val="right"/>
              <w:rPr>
                <w:sz w:val="12"/>
              </w:rPr>
            </w:pPr>
            <w:r>
              <w:rPr>
                <w:w w:val="105"/>
                <w:sz w:val="12"/>
              </w:rPr>
              <w:t>2.431.459,23</w:t>
            </w:r>
          </w:p>
        </w:tc>
        <w:tc>
          <w:tcPr>
            <w:tcW w:w="846" w:type="dxa"/>
            <w:tcBorders>
              <w:top w:val="single" w:sz="4" w:space="0" w:color="000000"/>
            </w:tcBorders>
          </w:tcPr>
          <w:p>
            <w:pPr>
              <w:pStyle w:val="TableParagraph"/>
              <w:spacing w:line="139" w:lineRule="exact" w:before="2"/>
              <w:ind w:right="53"/>
              <w:jc w:val="right"/>
              <w:rPr>
                <w:sz w:val="12"/>
              </w:rPr>
            </w:pPr>
            <w:r>
              <w:rPr>
                <w:sz w:val="12"/>
              </w:rPr>
              <w:t>0,00</w:t>
            </w:r>
          </w:p>
        </w:tc>
        <w:tc>
          <w:tcPr>
            <w:tcW w:w="683" w:type="dxa"/>
            <w:tcBorders>
              <w:top w:val="single" w:sz="4" w:space="0" w:color="000000"/>
            </w:tcBorders>
          </w:tcPr>
          <w:p>
            <w:pPr>
              <w:pStyle w:val="TableParagraph"/>
              <w:spacing w:line="139" w:lineRule="exact" w:before="2"/>
              <w:ind w:right="44"/>
              <w:jc w:val="right"/>
              <w:rPr>
                <w:sz w:val="12"/>
              </w:rPr>
            </w:pPr>
            <w:r>
              <w:rPr>
                <w:sz w:val="12"/>
              </w:rPr>
              <w:t>0,00</w:t>
            </w:r>
          </w:p>
        </w:tc>
        <w:tc>
          <w:tcPr>
            <w:tcW w:w="1061" w:type="dxa"/>
            <w:tcBorders>
              <w:top w:val="single" w:sz="4" w:space="0" w:color="000000"/>
            </w:tcBorders>
          </w:tcPr>
          <w:p>
            <w:pPr>
              <w:pStyle w:val="TableParagraph"/>
              <w:spacing w:line="139" w:lineRule="exact" w:before="2"/>
              <w:ind w:right="45"/>
              <w:jc w:val="right"/>
              <w:rPr>
                <w:sz w:val="12"/>
              </w:rPr>
            </w:pPr>
            <w:r>
              <w:rPr>
                <w:w w:val="105"/>
                <w:sz w:val="12"/>
              </w:rPr>
              <w:t>2.431.459,23</w:t>
            </w:r>
          </w:p>
        </w:tc>
        <w:tc>
          <w:tcPr>
            <w:tcW w:w="998" w:type="dxa"/>
            <w:tcBorders>
              <w:top w:val="single" w:sz="4" w:space="0" w:color="000000"/>
            </w:tcBorders>
          </w:tcPr>
          <w:p>
            <w:pPr>
              <w:pStyle w:val="TableParagraph"/>
              <w:spacing w:line="139" w:lineRule="exact" w:before="2"/>
              <w:ind w:right="43"/>
              <w:jc w:val="right"/>
              <w:rPr>
                <w:sz w:val="12"/>
              </w:rPr>
            </w:pPr>
            <w:r>
              <w:rPr>
                <w:w w:val="105"/>
                <w:sz w:val="12"/>
              </w:rPr>
              <w:t>2.431.459,23</w:t>
            </w:r>
          </w:p>
        </w:tc>
        <w:tc>
          <w:tcPr>
            <w:tcW w:w="901" w:type="dxa"/>
            <w:tcBorders>
              <w:top w:val="single" w:sz="4" w:space="0" w:color="000000"/>
              <w:right w:val="single" w:sz="4" w:space="0" w:color="000000"/>
            </w:tcBorders>
          </w:tcPr>
          <w:p>
            <w:pPr>
              <w:pStyle w:val="TableParagraph"/>
              <w:spacing w:line="139" w:lineRule="exact" w:before="2"/>
              <w:ind w:right="37"/>
              <w:jc w:val="right"/>
              <w:rPr>
                <w:sz w:val="12"/>
              </w:rPr>
            </w:pPr>
            <w:r>
              <w:rPr>
                <w:sz w:val="12"/>
              </w:rPr>
              <w:t>0,00</w:t>
            </w:r>
          </w:p>
        </w:tc>
      </w:tr>
      <w:tr>
        <w:trPr>
          <w:trHeight w:val="151" w:hRule="atLeast"/>
        </w:trPr>
        <w:tc>
          <w:tcPr>
            <w:tcW w:w="3424" w:type="dxa"/>
            <w:tcBorders>
              <w:left w:val="single" w:sz="4" w:space="0" w:color="000000"/>
            </w:tcBorders>
          </w:tcPr>
          <w:p>
            <w:pPr>
              <w:pStyle w:val="TableParagraph"/>
              <w:spacing w:line="132" w:lineRule="exact"/>
              <w:ind w:left="52"/>
              <w:rPr>
                <w:sz w:val="12"/>
              </w:rPr>
            </w:pPr>
            <w:r>
              <w:rPr>
                <w:w w:val="105"/>
                <w:sz w:val="12"/>
              </w:rPr>
              <w:t>71120 - Transfer. Entes Públicos CAC con ppto. limitativo</w:t>
            </w:r>
          </w:p>
        </w:tc>
        <w:tc>
          <w:tcPr>
            <w:tcW w:w="1254" w:type="dxa"/>
          </w:tcPr>
          <w:p>
            <w:pPr>
              <w:pStyle w:val="TableParagraph"/>
              <w:spacing w:line="132" w:lineRule="exact"/>
              <w:ind w:right="84"/>
              <w:jc w:val="right"/>
              <w:rPr>
                <w:sz w:val="12"/>
              </w:rPr>
            </w:pPr>
            <w:r>
              <w:rPr>
                <w:sz w:val="12"/>
              </w:rPr>
              <w:t>0,00</w:t>
            </w:r>
          </w:p>
        </w:tc>
        <w:tc>
          <w:tcPr>
            <w:tcW w:w="954" w:type="dxa"/>
          </w:tcPr>
          <w:p>
            <w:pPr>
              <w:pStyle w:val="TableParagraph"/>
              <w:spacing w:line="132" w:lineRule="exact"/>
              <w:ind w:right="46"/>
              <w:jc w:val="right"/>
              <w:rPr>
                <w:sz w:val="12"/>
              </w:rPr>
            </w:pPr>
            <w:r>
              <w:rPr>
                <w:sz w:val="12"/>
              </w:rPr>
              <w:t>0,00</w:t>
            </w:r>
          </w:p>
        </w:tc>
        <w:tc>
          <w:tcPr>
            <w:tcW w:w="1059" w:type="dxa"/>
          </w:tcPr>
          <w:p>
            <w:pPr>
              <w:pStyle w:val="TableParagraph"/>
              <w:spacing w:line="132" w:lineRule="exact"/>
              <w:ind w:right="46"/>
              <w:jc w:val="right"/>
              <w:rPr>
                <w:sz w:val="12"/>
              </w:rPr>
            </w:pPr>
            <w:r>
              <w:rPr>
                <w:sz w:val="12"/>
              </w:rPr>
              <w:t>0,00</w:t>
            </w:r>
          </w:p>
        </w:tc>
        <w:tc>
          <w:tcPr>
            <w:tcW w:w="1059" w:type="dxa"/>
          </w:tcPr>
          <w:p>
            <w:pPr>
              <w:pStyle w:val="TableParagraph"/>
              <w:spacing w:line="132" w:lineRule="exact"/>
              <w:ind w:right="44"/>
              <w:jc w:val="right"/>
              <w:rPr>
                <w:sz w:val="12"/>
              </w:rPr>
            </w:pPr>
            <w:r>
              <w:rPr>
                <w:w w:val="105"/>
                <w:sz w:val="12"/>
              </w:rPr>
              <w:t>3.921.609,95</w:t>
            </w:r>
          </w:p>
        </w:tc>
        <w:tc>
          <w:tcPr>
            <w:tcW w:w="846" w:type="dxa"/>
          </w:tcPr>
          <w:p>
            <w:pPr>
              <w:pStyle w:val="TableParagraph"/>
              <w:spacing w:line="132" w:lineRule="exact"/>
              <w:ind w:right="53"/>
              <w:jc w:val="right"/>
              <w:rPr>
                <w:sz w:val="12"/>
              </w:rPr>
            </w:pPr>
            <w:r>
              <w:rPr>
                <w:sz w:val="12"/>
              </w:rPr>
              <w:t>0,00</w:t>
            </w:r>
          </w:p>
        </w:tc>
        <w:tc>
          <w:tcPr>
            <w:tcW w:w="683" w:type="dxa"/>
          </w:tcPr>
          <w:p>
            <w:pPr>
              <w:pStyle w:val="TableParagraph"/>
              <w:spacing w:line="132" w:lineRule="exact"/>
              <w:ind w:right="44"/>
              <w:jc w:val="right"/>
              <w:rPr>
                <w:sz w:val="12"/>
              </w:rPr>
            </w:pPr>
            <w:r>
              <w:rPr>
                <w:sz w:val="12"/>
              </w:rPr>
              <w:t>0,00</w:t>
            </w:r>
          </w:p>
        </w:tc>
        <w:tc>
          <w:tcPr>
            <w:tcW w:w="1061" w:type="dxa"/>
          </w:tcPr>
          <w:p>
            <w:pPr>
              <w:pStyle w:val="TableParagraph"/>
              <w:spacing w:line="132" w:lineRule="exact"/>
              <w:ind w:right="45"/>
              <w:jc w:val="right"/>
              <w:rPr>
                <w:sz w:val="12"/>
              </w:rPr>
            </w:pPr>
            <w:r>
              <w:rPr>
                <w:w w:val="105"/>
                <w:sz w:val="12"/>
              </w:rPr>
              <w:t>3.921.609,95</w:t>
            </w:r>
          </w:p>
        </w:tc>
        <w:tc>
          <w:tcPr>
            <w:tcW w:w="998" w:type="dxa"/>
          </w:tcPr>
          <w:p>
            <w:pPr>
              <w:pStyle w:val="TableParagraph"/>
              <w:spacing w:line="132" w:lineRule="exact"/>
              <w:ind w:right="43"/>
              <w:jc w:val="right"/>
              <w:rPr>
                <w:sz w:val="12"/>
              </w:rPr>
            </w:pPr>
            <w:r>
              <w:rPr>
                <w:w w:val="105"/>
                <w:sz w:val="12"/>
              </w:rPr>
              <w:t>3.921.609,95</w:t>
            </w:r>
          </w:p>
        </w:tc>
        <w:tc>
          <w:tcPr>
            <w:tcW w:w="901" w:type="dxa"/>
            <w:tcBorders>
              <w:right w:val="single" w:sz="4" w:space="0" w:color="000000"/>
            </w:tcBorders>
          </w:tcPr>
          <w:p>
            <w:pPr>
              <w:pStyle w:val="TableParagraph"/>
              <w:spacing w:line="132" w:lineRule="exact"/>
              <w:ind w:right="37"/>
              <w:jc w:val="right"/>
              <w:rPr>
                <w:sz w:val="12"/>
              </w:rPr>
            </w:pPr>
            <w:r>
              <w:rPr>
                <w:sz w:val="12"/>
              </w:rPr>
              <w:t>0,00</w:t>
            </w:r>
          </w:p>
        </w:tc>
      </w:tr>
      <w:tr>
        <w:trPr>
          <w:trHeight w:val="151" w:hRule="atLeast"/>
        </w:trPr>
        <w:tc>
          <w:tcPr>
            <w:tcW w:w="3424" w:type="dxa"/>
            <w:tcBorders>
              <w:left w:val="single" w:sz="4" w:space="0" w:color="000000"/>
            </w:tcBorders>
          </w:tcPr>
          <w:p>
            <w:pPr>
              <w:pStyle w:val="TableParagraph"/>
              <w:spacing w:line="131" w:lineRule="exact"/>
              <w:ind w:left="52"/>
              <w:rPr>
                <w:sz w:val="12"/>
              </w:rPr>
            </w:pPr>
            <w:r>
              <w:rPr>
                <w:w w:val="105"/>
                <w:sz w:val="12"/>
              </w:rPr>
              <w:t>71110 - Transferencias de Organismos Autónomos de la CAC</w:t>
            </w:r>
          </w:p>
        </w:tc>
        <w:tc>
          <w:tcPr>
            <w:tcW w:w="1254" w:type="dxa"/>
          </w:tcPr>
          <w:p>
            <w:pPr>
              <w:pStyle w:val="TableParagraph"/>
              <w:spacing w:line="131" w:lineRule="exact"/>
              <w:ind w:right="84"/>
              <w:jc w:val="right"/>
              <w:rPr>
                <w:sz w:val="12"/>
              </w:rPr>
            </w:pPr>
            <w:r>
              <w:rPr>
                <w:sz w:val="12"/>
              </w:rPr>
              <w:t>0,00</w:t>
            </w:r>
          </w:p>
        </w:tc>
        <w:tc>
          <w:tcPr>
            <w:tcW w:w="954" w:type="dxa"/>
          </w:tcPr>
          <w:p>
            <w:pPr>
              <w:pStyle w:val="TableParagraph"/>
              <w:spacing w:line="131" w:lineRule="exact"/>
              <w:ind w:right="46"/>
              <w:jc w:val="right"/>
              <w:rPr>
                <w:sz w:val="12"/>
              </w:rPr>
            </w:pPr>
            <w:r>
              <w:rPr>
                <w:w w:val="105"/>
                <w:sz w:val="12"/>
              </w:rPr>
              <w:t>2.274.520,36</w:t>
            </w:r>
          </w:p>
        </w:tc>
        <w:tc>
          <w:tcPr>
            <w:tcW w:w="1059" w:type="dxa"/>
          </w:tcPr>
          <w:p>
            <w:pPr>
              <w:pStyle w:val="TableParagraph"/>
              <w:spacing w:line="131" w:lineRule="exact"/>
              <w:ind w:right="46"/>
              <w:jc w:val="right"/>
              <w:rPr>
                <w:sz w:val="12"/>
              </w:rPr>
            </w:pPr>
            <w:r>
              <w:rPr>
                <w:w w:val="105"/>
                <w:sz w:val="12"/>
              </w:rPr>
              <w:t>2.274.520,36</w:t>
            </w:r>
          </w:p>
        </w:tc>
        <w:tc>
          <w:tcPr>
            <w:tcW w:w="1059" w:type="dxa"/>
          </w:tcPr>
          <w:p>
            <w:pPr>
              <w:pStyle w:val="TableParagraph"/>
              <w:spacing w:line="131" w:lineRule="exact"/>
              <w:ind w:right="44"/>
              <w:jc w:val="right"/>
              <w:rPr>
                <w:sz w:val="12"/>
              </w:rPr>
            </w:pPr>
            <w:r>
              <w:rPr>
                <w:w w:val="105"/>
                <w:sz w:val="12"/>
              </w:rPr>
              <w:t>2.546.581,78</w:t>
            </w:r>
          </w:p>
        </w:tc>
        <w:tc>
          <w:tcPr>
            <w:tcW w:w="846" w:type="dxa"/>
          </w:tcPr>
          <w:p>
            <w:pPr>
              <w:pStyle w:val="TableParagraph"/>
              <w:spacing w:line="131" w:lineRule="exact"/>
              <w:ind w:right="53"/>
              <w:jc w:val="right"/>
              <w:rPr>
                <w:sz w:val="12"/>
              </w:rPr>
            </w:pPr>
            <w:r>
              <w:rPr>
                <w:sz w:val="12"/>
              </w:rPr>
              <w:t>0,00</w:t>
            </w:r>
          </w:p>
        </w:tc>
        <w:tc>
          <w:tcPr>
            <w:tcW w:w="683" w:type="dxa"/>
          </w:tcPr>
          <w:p>
            <w:pPr>
              <w:pStyle w:val="TableParagraph"/>
              <w:spacing w:line="131" w:lineRule="exact"/>
              <w:ind w:right="44"/>
              <w:jc w:val="right"/>
              <w:rPr>
                <w:sz w:val="12"/>
              </w:rPr>
            </w:pPr>
            <w:r>
              <w:rPr>
                <w:sz w:val="12"/>
              </w:rPr>
              <w:t>0,00</w:t>
            </w:r>
          </w:p>
        </w:tc>
        <w:tc>
          <w:tcPr>
            <w:tcW w:w="1061" w:type="dxa"/>
          </w:tcPr>
          <w:p>
            <w:pPr>
              <w:pStyle w:val="TableParagraph"/>
              <w:spacing w:line="131" w:lineRule="exact"/>
              <w:ind w:right="45"/>
              <w:jc w:val="right"/>
              <w:rPr>
                <w:sz w:val="12"/>
              </w:rPr>
            </w:pPr>
            <w:r>
              <w:rPr>
                <w:w w:val="105"/>
                <w:sz w:val="12"/>
              </w:rPr>
              <w:t>2.546.581,78</w:t>
            </w:r>
          </w:p>
        </w:tc>
        <w:tc>
          <w:tcPr>
            <w:tcW w:w="998" w:type="dxa"/>
          </w:tcPr>
          <w:p>
            <w:pPr>
              <w:pStyle w:val="TableParagraph"/>
              <w:spacing w:line="131" w:lineRule="exact"/>
              <w:ind w:right="43"/>
              <w:jc w:val="right"/>
              <w:rPr>
                <w:sz w:val="12"/>
              </w:rPr>
            </w:pPr>
            <w:r>
              <w:rPr>
                <w:w w:val="105"/>
                <w:sz w:val="12"/>
              </w:rPr>
              <w:t>2.546.581,78</w:t>
            </w:r>
          </w:p>
        </w:tc>
        <w:tc>
          <w:tcPr>
            <w:tcW w:w="901" w:type="dxa"/>
            <w:tcBorders>
              <w:right w:val="single" w:sz="4" w:space="0" w:color="000000"/>
            </w:tcBorders>
          </w:tcPr>
          <w:p>
            <w:pPr>
              <w:pStyle w:val="TableParagraph"/>
              <w:spacing w:line="131" w:lineRule="exact"/>
              <w:ind w:right="37"/>
              <w:jc w:val="right"/>
              <w:rPr>
                <w:sz w:val="12"/>
              </w:rPr>
            </w:pPr>
            <w:r>
              <w:rPr>
                <w:sz w:val="12"/>
              </w:rPr>
              <w:t>0,00</w:t>
            </w:r>
          </w:p>
        </w:tc>
      </w:tr>
      <w:tr>
        <w:trPr>
          <w:trHeight w:val="152" w:hRule="atLeast"/>
        </w:trPr>
        <w:tc>
          <w:tcPr>
            <w:tcW w:w="3424" w:type="dxa"/>
            <w:tcBorders>
              <w:left w:val="single" w:sz="4" w:space="0" w:color="000000"/>
            </w:tcBorders>
          </w:tcPr>
          <w:p>
            <w:pPr>
              <w:pStyle w:val="TableParagraph"/>
              <w:spacing w:line="132" w:lineRule="exact"/>
              <w:ind w:left="52"/>
              <w:rPr>
                <w:sz w:val="12"/>
              </w:rPr>
            </w:pPr>
            <w:r>
              <w:rPr>
                <w:w w:val="105"/>
                <w:sz w:val="12"/>
              </w:rPr>
              <w:t>76050 - Subv.CabildosIns.fin.inm.nofro.yact.vta.imp.rdo.ej</w:t>
            </w:r>
          </w:p>
        </w:tc>
        <w:tc>
          <w:tcPr>
            <w:tcW w:w="1254" w:type="dxa"/>
          </w:tcPr>
          <w:p>
            <w:pPr>
              <w:pStyle w:val="TableParagraph"/>
              <w:spacing w:line="132" w:lineRule="exact"/>
              <w:ind w:right="84"/>
              <w:jc w:val="right"/>
              <w:rPr>
                <w:sz w:val="12"/>
              </w:rPr>
            </w:pPr>
            <w:r>
              <w:rPr>
                <w:sz w:val="12"/>
              </w:rPr>
              <w:t>0,00</w:t>
            </w:r>
          </w:p>
        </w:tc>
        <w:tc>
          <w:tcPr>
            <w:tcW w:w="954" w:type="dxa"/>
          </w:tcPr>
          <w:p>
            <w:pPr>
              <w:pStyle w:val="TableParagraph"/>
              <w:spacing w:line="132" w:lineRule="exact"/>
              <w:ind w:right="46"/>
              <w:jc w:val="right"/>
              <w:rPr>
                <w:sz w:val="12"/>
              </w:rPr>
            </w:pPr>
            <w:r>
              <w:rPr>
                <w:sz w:val="12"/>
              </w:rPr>
              <w:t>0,00</w:t>
            </w:r>
          </w:p>
        </w:tc>
        <w:tc>
          <w:tcPr>
            <w:tcW w:w="1059" w:type="dxa"/>
          </w:tcPr>
          <w:p>
            <w:pPr>
              <w:pStyle w:val="TableParagraph"/>
              <w:spacing w:line="132" w:lineRule="exact"/>
              <w:ind w:right="46"/>
              <w:jc w:val="right"/>
              <w:rPr>
                <w:sz w:val="12"/>
              </w:rPr>
            </w:pPr>
            <w:r>
              <w:rPr>
                <w:sz w:val="12"/>
              </w:rPr>
              <w:t>0,00</w:t>
            </w:r>
          </w:p>
        </w:tc>
        <w:tc>
          <w:tcPr>
            <w:tcW w:w="1059" w:type="dxa"/>
          </w:tcPr>
          <w:p>
            <w:pPr>
              <w:pStyle w:val="TableParagraph"/>
              <w:spacing w:line="132" w:lineRule="exact"/>
              <w:ind w:right="44"/>
              <w:jc w:val="right"/>
              <w:rPr>
                <w:sz w:val="12"/>
              </w:rPr>
            </w:pPr>
            <w:r>
              <w:rPr>
                <w:w w:val="105"/>
                <w:sz w:val="12"/>
              </w:rPr>
              <w:t>1.000.000,00</w:t>
            </w:r>
          </w:p>
        </w:tc>
        <w:tc>
          <w:tcPr>
            <w:tcW w:w="846" w:type="dxa"/>
          </w:tcPr>
          <w:p>
            <w:pPr>
              <w:pStyle w:val="TableParagraph"/>
              <w:spacing w:line="132" w:lineRule="exact"/>
              <w:ind w:right="53"/>
              <w:jc w:val="right"/>
              <w:rPr>
                <w:sz w:val="12"/>
              </w:rPr>
            </w:pPr>
            <w:r>
              <w:rPr>
                <w:sz w:val="12"/>
              </w:rPr>
              <w:t>0,00</w:t>
            </w:r>
          </w:p>
        </w:tc>
        <w:tc>
          <w:tcPr>
            <w:tcW w:w="683" w:type="dxa"/>
          </w:tcPr>
          <w:p>
            <w:pPr>
              <w:pStyle w:val="TableParagraph"/>
              <w:spacing w:line="132" w:lineRule="exact"/>
              <w:ind w:right="44"/>
              <w:jc w:val="right"/>
              <w:rPr>
                <w:sz w:val="12"/>
              </w:rPr>
            </w:pPr>
            <w:r>
              <w:rPr>
                <w:sz w:val="12"/>
              </w:rPr>
              <w:t>0,00</w:t>
            </w:r>
          </w:p>
        </w:tc>
        <w:tc>
          <w:tcPr>
            <w:tcW w:w="1061" w:type="dxa"/>
          </w:tcPr>
          <w:p>
            <w:pPr>
              <w:pStyle w:val="TableParagraph"/>
              <w:spacing w:line="132" w:lineRule="exact"/>
              <w:ind w:right="45"/>
              <w:jc w:val="right"/>
              <w:rPr>
                <w:sz w:val="12"/>
              </w:rPr>
            </w:pPr>
            <w:r>
              <w:rPr>
                <w:w w:val="105"/>
                <w:sz w:val="12"/>
              </w:rPr>
              <w:t>1.000.000,00</w:t>
            </w:r>
          </w:p>
        </w:tc>
        <w:tc>
          <w:tcPr>
            <w:tcW w:w="998" w:type="dxa"/>
          </w:tcPr>
          <w:p>
            <w:pPr>
              <w:pStyle w:val="TableParagraph"/>
              <w:spacing w:line="132" w:lineRule="exact"/>
              <w:ind w:right="44"/>
              <w:jc w:val="right"/>
              <w:rPr>
                <w:sz w:val="12"/>
              </w:rPr>
            </w:pPr>
            <w:r>
              <w:rPr>
                <w:sz w:val="12"/>
              </w:rPr>
              <w:t>0,00</w:t>
            </w:r>
          </w:p>
        </w:tc>
        <w:tc>
          <w:tcPr>
            <w:tcW w:w="901" w:type="dxa"/>
            <w:tcBorders>
              <w:right w:val="single" w:sz="4" w:space="0" w:color="000000"/>
            </w:tcBorders>
          </w:tcPr>
          <w:p>
            <w:pPr>
              <w:pStyle w:val="TableParagraph"/>
              <w:spacing w:line="132" w:lineRule="exact"/>
              <w:ind w:right="37"/>
              <w:jc w:val="right"/>
              <w:rPr>
                <w:sz w:val="12"/>
              </w:rPr>
            </w:pPr>
            <w:r>
              <w:rPr>
                <w:w w:val="105"/>
                <w:sz w:val="12"/>
              </w:rPr>
              <w:t>1.000.000,00</w:t>
            </w:r>
          </w:p>
        </w:tc>
      </w:tr>
      <w:tr>
        <w:trPr>
          <w:trHeight w:val="151" w:hRule="atLeast"/>
        </w:trPr>
        <w:tc>
          <w:tcPr>
            <w:tcW w:w="3424" w:type="dxa"/>
            <w:tcBorders>
              <w:left w:val="single" w:sz="4" w:space="0" w:color="000000"/>
            </w:tcBorders>
          </w:tcPr>
          <w:p>
            <w:pPr>
              <w:pStyle w:val="TableParagraph"/>
              <w:spacing w:line="132" w:lineRule="exact"/>
              <w:ind w:left="52"/>
              <w:rPr>
                <w:sz w:val="12"/>
              </w:rPr>
            </w:pPr>
            <w:r>
              <w:rPr>
                <w:w w:val="105"/>
                <w:sz w:val="12"/>
              </w:rPr>
              <w:t>79050 - Subvenc.FEDER fin.inm.nofro.yact.vta.imp.rdo.ejerc</w:t>
            </w:r>
          </w:p>
        </w:tc>
        <w:tc>
          <w:tcPr>
            <w:tcW w:w="1254" w:type="dxa"/>
          </w:tcPr>
          <w:p>
            <w:pPr>
              <w:pStyle w:val="TableParagraph"/>
              <w:spacing w:line="132" w:lineRule="exact"/>
              <w:ind w:right="84"/>
              <w:jc w:val="right"/>
              <w:rPr>
                <w:sz w:val="12"/>
              </w:rPr>
            </w:pPr>
            <w:r>
              <w:rPr>
                <w:w w:val="105"/>
                <w:sz w:val="12"/>
              </w:rPr>
              <w:t>367.027.203,00</w:t>
            </w:r>
          </w:p>
        </w:tc>
        <w:tc>
          <w:tcPr>
            <w:tcW w:w="954" w:type="dxa"/>
          </w:tcPr>
          <w:p>
            <w:pPr>
              <w:pStyle w:val="TableParagraph"/>
              <w:spacing w:line="132" w:lineRule="exact"/>
              <w:ind w:right="46"/>
              <w:jc w:val="right"/>
              <w:rPr>
                <w:sz w:val="12"/>
              </w:rPr>
            </w:pPr>
            <w:r>
              <w:rPr>
                <w:sz w:val="12"/>
              </w:rPr>
              <w:t>0,00</w:t>
            </w:r>
          </w:p>
        </w:tc>
        <w:tc>
          <w:tcPr>
            <w:tcW w:w="1059" w:type="dxa"/>
          </w:tcPr>
          <w:p>
            <w:pPr>
              <w:pStyle w:val="TableParagraph"/>
              <w:spacing w:line="132" w:lineRule="exact"/>
              <w:ind w:right="47"/>
              <w:jc w:val="right"/>
              <w:rPr>
                <w:sz w:val="12"/>
              </w:rPr>
            </w:pPr>
            <w:r>
              <w:rPr>
                <w:w w:val="105"/>
                <w:sz w:val="12"/>
              </w:rPr>
              <w:t>367.027.203,00</w:t>
            </w:r>
          </w:p>
        </w:tc>
        <w:tc>
          <w:tcPr>
            <w:tcW w:w="1059" w:type="dxa"/>
          </w:tcPr>
          <w:p>
            <w:pPr>
              <w:pStyle w:val="TableParagraph"/>
              <w:spacing w:line="132" w:lineRule="exact"/>
              <w:ind w:right="45"/>
              <w:jc w:val="right"/>
              <w:rPr>
                <w:sz w:val="12"/>
              </w:rPr>
            </w:pPr>
            <w:r>
              <w:rPr>
                <w:w w:val="105"/>
                <w:sz w:val="12"/>
              </w:rPr>
              <w:t>144.165.759,46</w:t>
            </w:r>
          </w:p>
        </w:tc>
        <w:tc>
          <w:tcPr>
            <w:tcW w:w="846" w:type="dxa"/>
          </w:tcPr>
          <w:p>
            <w:pPr>
              <w:pStyle w:val="TableParagraph"/>
              <w:spacing w:line="132" w:lineRule="exact"/>
              <w:ind w:right="53"/>
              <w:jc w:val="right"/>
              <w:rPr>
                <w:sz w:val="12"/>
              </w:rPr>
            </w:pPr>
            <w:r>
              <w:rPr>
                <w:sz w:val="12"/>
              </w:rPr>
              <w:t>0,00</w:t>
            </w:r>
          </w:p>
        </w:tc>
        <w:tc>
          <w:tcPr>
            <w:tcW w:w="683" w:type="dxa"/>
          </w:tcPr>
          <w:p>
            <w:pPr>
              <w:pStyle w:val="TableParagraph"/>
              <w:spacing w:line="132" w:lineRule="exact"/>
              <w:ind w:right="44"/>
              <w:jc w:val="right"/>
              <w:rPr>
                <w:sz w:val="12"/>
              </w:rPr>
            </w:pPr>
            <w:r>
              <w:rPr>
                <w:sz w:val="12"/>
              </w:rPr>
              <w:t>0,00</w:t>
            </w:r>
          </w:p>
        </w:tc>
        <w:tc>
          <w:tcPr>
            <w:tcW w:w="1061" w:type="dxa"/>
          </w:tcPr>
          <w:p>
            <w:pPr>
              <w:pStyle w:val="TableParagraph"/>
              <w:spacing w:line="132" w:lineRule="exact"/>
              <w:ind w:right="45"/>
              <w:jc w:val="right"/>
              <w:rPr>
                <w:sz w:val="12"/>
              </w:rPr>
            </w:pPr>
            <w:r>
              <w:rPr>
                <w:w w:val="105"/>
                <w:sz w:val="12"/>
              </w:rPr>
              <w:t>144.165.759,46</w:t>
            </w:r>
          </w:p>
        </w:tc>
        <w:tc>
          <w:tcPr>
            <w:tcW w:w="998" w:type="dxa"/>
          </w:tcPr>
          <w:p>
            <w:pPr>
              <w:pStyle w:val="TableParagraph"/>
              <w:spacing w:line="132" w:lineRule="exact"/>
              <w:ind w:right="43"/>
              <w:jc w:val="right"/>
              <w:rPr>
                <w:sz w:val="12"/>
              </w:rPr>
            </w:pPr>
            <w:r>
              <w:rPr>
                <w:w w:val="105"/>
                <w:sz w:val="12"/>
              </w:rPr>
              <w:t>46.299.990,97</w:t>
            </w:r>
          </w:p>
        </w:tc>
        <w:tc>
          <w:tcPr>
            <w:tcW w:w="901" w:type="dxa"/>
            <w:tcBorders>
              <w:right w:val="single" w:sz="4" w:space="0" w:color="000000"/>
            </w:tcBorders>
          </w:tcPr>
          <w:p>
            <w:pPr>
              <w:pStyle w:val="TableParagraph"/>
              <w:spacing w:line="132" w:lineRule="exact"/>
              <w:ind w:right="37"/>
              <w:jc w:val="right"/>
              <w:rPr>
                <w:sz w:val="12"/>
              </w:rPr>
            </w:pPr>
            <w:r>
              <w:rPr>
                <w:w w:val="105"/>
                <w:sz w:val="12"/>
              </w:rPr>
              <w:t>97.865.768,49</w:t>
            </w:r>
          </w:p>
        </w:tc>
      </w:tr>
      <w:tr>
        <w:trPr>
          <w:trHeight w:val="151" w:hRule="atLeast"/>
        </w:trPr>
        <w:tc>
          <w:tcPr>
            <w:tcW w:w="3424" w:type="dxa"/>
            <w:tcBorders>
              <w:left w:val="single" w:sz="4" w:space="0" w:color="000000"/>
            </w:tcBorders>
          </w:tcPr>
          <w:p>
            <w:pPr>
              <w:pStyle w:val="TableParagraph"/>
              <w:spacing w:line="132" w:lineRule="exact"/>
              <w:ind w:left="52"/>
              <w:rPr>
                <w:sz w:val="12"/>
              </w:rPr>
            </w:pPr>
            <w:r>
              <w:rPr>
                <w:w w:val="105"/>
                <w:sz w:val="12"/>
              </w:rPr>
              <w:t>79450 - Subv.FEADER financ.inm.nofro.y act.vta.imp.rdo.ejr</w:t>
            </w:r>
          </w:p>
        </w:tc>
        <w:tc>
          <w:tcPr>
            <w:tcW w:w="1254" w:type="dxa"/>
          </w:tcPr>
          <w:p>
            <w:pPr>
              <w:pStyle w:val="TableParagraph"/>
              <w:spacing w:line="132" w:lineRule="exact"/>
              <w:ind w:right="84"/>
              <w:jc w:val="right"/>
              <w:rPr>
                <w:sz w:val="12"/>
              </w:rPr>
            </w:pPr>
            <w:r>
              <w:rPr>
                <w:w w:val="105"/>
                <w:sz w:val="12"/>
              </w:rPr>
              <w:t>3.952.807,00</w:t>
            </w:r>
          </w:p>
        </w:tc>
        <w:tc>
          <w:tcPr>
            <w:tcW w:w="954" w:type="dxa"/>
          </w:tcPr>
          <w:p>
            <w:pPr>
              <w:pStyle w:val="TableParagraph"/>
              <w:spacing w:line="132" w:lineRule="exact"/>
              <w:ind w:right="46"/>
              <w:jc w:val="right"/>
              <w:rPr>
                <w:sz w:val="12"/>
              </w:rPr>
            </w:pPr>
            <w:r>
              <w:rPr>
                <w:sz w:val="12"/>
              </w:rPr>
              <w:t>0,00</w:t>
            </w:r>
          </w:p>
        </w:tc>
        <w:tc>
          <w:tcPr>
            <w:tcW w:w="1059" w:type="dxa"/>
          </w:tcPr>
          <w:p>
            <w:pPr>
              <w:pStyle w:val="TableParagraph"/>
              <w:spacing w:line="132" w:lineRule="exact"/>
              <w:ind w:right="46"/>
              <w:jc w:val="right"/>
              <w:rPr>
                <w:sz w:val="12"/>
              </w:rPr>
            </w:pPr>
            <w:r>
              <w:rPr>
                <w:w w:val="105"/>
                <w:sz w:val="12"/>
              </w:rPr>
              <w:t>3.952.807,00</w:t>
            </w:r>
          </w:p>
        </w:tc>
        <w:tc>
          <w:tcPr>
            <w:tcW w:w="1059" w:type="dxa"/>
          </w:tcPr>
          <w:p>
            <w:pPr>
              <w:pStyle w:val="TableParagraph"/>
              <w:spacing w:line="132" w:lineRule="exact"/>
              <w:ind w:right="44"/>
              <w:jc w:val="right"/>
              <w:rPr>
                <w:sz w:val="12"/>
              </w:rPr>
            </w:pPr>
            <w:r>
              <w:rPr>
                <w:w w:val="105"/>
                <w:sz w:val="12"/>
              </w:rPr>
              <w:t>4.444.689,15</w:t>
            </w:r>
          </w:p>
        </w:tc>
        <w:tc>
          <w:tcPr>
            <w:tcW w:w="846" w:type="dxa"/>
          </w:tcPr>
          <w:p>
            <w:pPr>
              <w:pStyle w:val="TableParagraph"/>
              <w:spacing w:line="132" w:lineRule="exact"/>
              <w:ind w:right="53"/>
              <w:jc w:val="right"/>
              <w:rPr>
                <w:sz w:val="12"/>
              </w:rPr>
            </w:pPr>
            <w:r>
              <w:rPr>
                <w:sz w:val="12"/>
              </w:rPr>
              <w:t>0,00</w:t>
            </w:r>
          </w:p>
        </w:tc>
        <w:tc>
          <w:tcPr>
            <w:tcW w:w="683" w:type="dxa"/>
          </w:tcPr>
          <w:p>
            <w:pPr>
              <w:pStyle w:val="TableParagraph"/>
              <w:spacing w:line="132" w:lineRule="exact"/>
              <w:ind w:right="44"/>
              <w:jc w:val="right"/>
              <w:rPr>
                <w:sz w:val="12"/>
              </w:rPr>
            </w:pPr>
            <w:r>
              <w:rPr>
                <w:sz w:val="12"/>
              </w:rPr>
              <w:t>0,00</w:t>
            </w:r>
          </w:p>
        </w:tc>
        <w:tc>
          <w:tcPr>
            <w:tcW w:w="1061" w:type="dxa"/>
          </w:tcPr>
          <w:p>
            <w:pPr>
              <w:pStyle w:val="TableParagraph"/>
              <w:spacing w:line="132" w:lineRule="exact"/>
              <w:ind w:right="45"/>
              <w:jc w:val="right"/>
              <w:rPr>
                <w:sz w:val="12"/>
              </w:rPr>
            </w:pPr>
            <w:r>
              <w:rPr>
                <w:w w:val="105"/>
                <w:sz w:val="12"/>
              </w:rPr>
              <w:t>4.444.689,15</w:t>
            </w:r>
          </w:p>
        </w:tc>
        <w:tc>
          <w:tcPr>
            <w:tcW w:w="998" w:type="dxa"/>
          </w:tcPr>
          <w:p>
            <w:pPr>
              <w:pStyle w:val="TableParagraph"/>
              <w:spacing w:line="132" w:lineRule="exact"/>
              <w:ind w:right="43"/>
              <w:jc w:val="right"/>
              <w:rPr>
                <w:sz w:val="12"/>
              </w:rPr>
            </w:pPr>
            <w:r>
              <w:rPr>
                <w:w w:val="105"/>
                <w:sz w:val="12"/>
              </w:rPr>
              <w:t>4.444.689,15</w:t>
            </w:r>
          </w:p>
        </w:tc>
        <w:tc>
          <w:tcPr>
            <w:tcW w:w="901" w:type="dxa"/>
            <w:tcBorders>
              <w:right w:val="single" w:sz="4" w:space="0" w:color="000000"/>
            </w:tcBorders>
          </w:tcPr>
          <w:p>
            <w:pPr>
              <w:pStyle w:val="TableParagraph"/>
              <w:spacing w:line="132" w:lineRule="exact"/>
              <w:ind w:right="37"/>
              <w:jc w:val="right"/>
              <w:rPr>
                <w:sz w:val="12"/>
              </w:rPr>
            </w:pPr>
            <w:r>
              <w:rPr>
                <w:sz w:val="12"/>
              </w:rPr>
              <w:t>0,00</w:t>
            </w:r>
          </w:p>
        </w:tc>
      </w:tr>
      <w:tr>
        <w:trPr>
          <w:trHeight w:val="151" w:hRule="atLeast"/>
        </w:trPr>
        <w:tc>
          <w:tcPr>
            <w:tcW w:w="3424" w:type="dxa"/>
            <w:tcBorders>
              <w:left w:val="single" w:sz="4" w:space="0" w:color="000000"/>
            </w:tcBorders>
          </w:tcPr>
          <w:p>
            <w:pPr>
              <w:pStyle w:val="TableParagraph"/>
              <w:spacing w:line="132" w:lineRule="exact"/>
              <w:ind w:left="52"/>
              <w:rPr>
                <w:sz w:val="12"/>
              </w:rPr>
            </w:pPr>
            <w:r>
              <w:rPr>
                <w:w w:val="105"/>
                <w:sz w:val="12"/>
              </w:rPr>
              <w:t>79750 - Subv. FEMP financ.inmov.nofro.y act.vta.imp.rdo.ej</w:t>
            </w:r>
          </w:p>
        </w:tc>
        <w:tc>
          <w:tcPr>
            <w:tcW w:w="1254" w:type="dxa"/>
          </w:tcPr>
          <w:p>
            <w:pPr>
              <w:pStyle w:val="TableParagraph"/>
              <w:spacing w:line="132" w:lineRule="exact"/>
              <w:ind w:right="84"/>
              <w:jc w:val="right"/>
              <w:rPr>
                <w:sz w:val="12"/>
              </w:rPr>
            </w:pPr>
            <w:r>
              <w:rPr>
                <w:w w:val="105"/>
                <w:sz w:val="12"/>
              </w:rPr>
              <w:t>30.793.716,00</w:t>
            </w:r>
          </w:p>
        </w:tc>
        <w:tc>
          <w:tcPr>
            <w:tcW w:w="954" w:type="dxa"/>
          </w:tcPr>
          <w:p>
            <w:pPr>
              <w:pStyle w:val="TableParagraph"/>
              <w:spacing w:line="132" w:lineRule="exact"/>
              <w:ind w:right="46"/>
              <w:jc w:val="right"/>
              <w:rPr>
                <w:sz w:val="12"/>
              </w:rPr>
            </w:pPr>
            <w:r>
              <w:rPr>
                <w:sz w:val="12"/>
              </w:rPr>
              <w:t>0,00</w:t>
            </w:r>
          </w:p>
        </w:tc>
        <w:tc>
          <w:tcPr>
            <w:tcW w:w="1059" w:type="dxa"/>
          </w:tcPr>
          <w:p>
            <w:pPr>
              <w:pStyle w:val="TableParagraph"/>
              <w:spacing w:line="132" w:lineRule="exact"/>
              <w:ind w:right="46"/>
              <w:jc w:val="right"/>
              <w:rPr>
                <w:sz w:val="12"/>
              </w:rPr>
            </w:pPr>
            <w:r>
              <w:rPr>
                <w:w w:val="105"/>
                <w:sz w:val="12"/>
              </w:rPr>
              <w:t>30.793.716,00</w:t>
            </w:r>
          </w:p>
        </w:tc>
        <w:tc>
          <w:tcPr>
            <w:tcW w:w="1059" w:type="dxa"/>
          </w:tcPr>
          <w:p>
            <w:pPr>
              <w:pStyle w:val="TableParagraph"/>
              <w:spacing w:line="132" w:lineRule="exact"/>
              <w:ind w:right="44"/>
              <w:jc w:val="right"/>
              <w:rPr>
                <w:sz w:val="12"/>
              </w:rPr>
            </w:pPr>
            <w:r>
              <w:rPr>
                <w:w w:val="105"/>
                <w:sz w:val="12"/>
              </w:rPr>
              <w:t>15.207.211,92</w:t>
            </w:r>
          </w:p>
        </w:tc>
        <w:tc>
          <w:tcPr>
            <w:tcW w:w="846" w:type="dxa"/>
          </w:tcPr>
          <w:p>
            <w:pPr>
              <w:pStyle w:val="TableParagraph"/>
              <w:spacing w:line="132" w:lineRule="exact"/>
              <w:ind w:right="53"/>
              <w:jc w:val="right"/>
              <w:rPr>
                <w:sz w:val="12"/>
              </w:rPr>
            </w:pPr>
            <w:r>
              <w:rPr>
                <w:sz w:val="12"/>
              </w:rPr>
              <w:t>0,00</w:t>
            </w:r>
          </w:p>
        </w:tc>
        <w:tc>
          <w:tcPr>
            <w:tcW w:w="683" w:type="dxa"/>
          </w:tcPr>
          <w:p>
            <w:pPr>
              <w:pStyle w:val="TableParagraph"/>
              <w:spacing w:line="132" w:lineRule="exact"/>
              <w:ind w:right="44"/>
              <w:jc w:val="right"/>
              <w:rPr>
                <w:sz w:val="12"/>
              </w:rPr>
            </w:pPr>
            <w:r>
              <w:rPr>
                <w:sz w:val="12"/>
              </w:rPr>
              <w:t>0,00</w:t>
            </w:r>
          </w:p>
        </w:tc>
        <w:tc>
          <w:tcPr>
            <w:tcW w:w="1061" w:type="dxa"/>
          </w:tcPr>
          <w:p>
            <w:pPr>
              <w:pStyle w:val="TableParagraph"/>
              <w:spacing w:line="132" w:lineRule="exact"/>
              <w:ind w:right="45"/>
              <w:jc w:val="right"/>
              <w:rPr>
                <w:sz w:val="12"/>
              </w:rPr>
            </w:pPr>
            <w:r>
              <w:rPr>
                <w:w w:val="105"/>
                <w:sz w:val="12"/>
              </w:rPr>
              <w:t>15.207.211,92</w:t>
            </w:r>
          </w:p>
        </w:tc>
        <w:tc>
          <w:tcPr>
            <w:tcW w:w="998" w:type="dxa"/>
          </w:tcPr>
          <w:p>
            <w:pPr>
              <w:pStyle w:val="TableParagraph"/>
              <w:spacing w:line="132" w:lineRule="exact"/>
              <w:ind w:right="44"/>
              <w:jc w:val="right"/>
              <w:rPr>
                <w:sz w:val="12"/>
              </w:rPr>
            </w:pPr>
            <w:r>
              <w:rPr>
                <w:sz w:val="12"/>
              </w:rPr>
              <w:t>0,00</w:t>
            </w:r>
          </w:p>
        </w:tc>
        <w:tc>
          <w:tcPr>
            <w:tcW w:w="901" w:type="dxa"/>
            <w:tcBorders>
              <w:right w:val="single" w:sz="4" w:space="0" w:color="000000"/>
            </w:tcBorders>
          </w:tcPr>
          <w:p>
            <w:pPr>
              <w:pStyle w:val="TableParagraph"/>
              <w:spacing w:line="132" w:lineRule="exact"/>
              <w:ind w:right="37"/>
              <w:jc w:val="right"/>
              <w:rPr>
                <w:sz w:val="12"/>
              </w:rPr>
            </w:pPr>
            <w:r>
              <w:rPr>
                <w:w w:val="105"/>
                <w:sz w:val="12"/>
              </w:rPr>
              <w:t>15.207.211,92</w:t>
            </w:r>
          </w:p>
        </w:tc>
      </w:tr>
      <w:tr>
        <w:trPr>
          <w:trHeight w:val="150" w:hRule="atLeast"/>
        </w:trPr>
        <w:tc>
          <w:tcPr>
            <w:tcW w:w="3424" w:type="dxa"/>
            <w:tcBorders>
              <w:left w:val="single" w:sz="4" w:space="0" w:color="000000"/>
            </w:tcBorders>
          </w:tcPr>
          <w:p>
            <w:pPr>
              <w:pStyle w:val="TableParagraph"/>
              <w:spacing w:line="131" w:lineRule="exact"/>
              <w:ind w:left="52"/>
              <w:rPr>
                <w:sz w:val="12"/>
              </w:rPr>
            </w:pPr>
            <w:r>
              <w:rPr>
                <w:w w:val="105"/>
                <w:sz w:val="12"/>
              </w:rPr>
              <w:t>79850 - Otr.Subv.Unión Europ.fin.inm.nofr.y act.vta.rdo.ej</w:t>
            </w:r>
          </w:p>
        </w:tc>
        <w:tc>
          <w:tcPr>
            <w:tcW w:w="1254" w:type="dxa"/>
          </w:tcPr>
          <w:p>
            <w:pPr>
              <w:pStyle w:val="TableParagraph"/>
              <w:spacing w:line="131" w:lineRule="exact"/>
              <w:ind w:right="84"/>
              <w:jc w:val="right"/>
              <w:rPr>
                <w:sz w:val="12"/>
              </w:rPr>
            </w:pPr>
            <w:r>
              <w:rPr>
                <w:sz w:val="12"/>
              </w:rPr>
              <w:t>0,00</w:t>
            </w:r>
          </w:p>
        </w:tc>
        <w:tc>
          <w:tcPr>
            <w:tcW w:w="954" w:type="dxa"/>
          </w:tcPr>
          <w:p>
            <w:pPr>
              <w:pStyle w:val="TableParagraph"/>
              <w:spacing w:line="131" w:lineRule="exact"/>
              <w:ind w:right="46"/>
              <w:jc w:val="right"/>
              <w:rPr>
                <w:sz w:val="12"/>
              </w:rPr>
            </w:pPr>
            <w:r>
              <w:rPr>
                <w:sz w:val="12"/>
              </w:rPr>
              <w:t>0,00</w:t>
            </w:r>
          </w:p>
        </w:tc>
        <w:tc>
          <w:tcPr>
            <w:tcW w:w="1059" w:type="dxa"/>
          </w:tcPr>
          <w:p>
            <w:pPr>
              <w:pStyle w:val="TableParagraph"/>
              <w:spacing w:line="131" w:lineRule="exact"/>
              <w:ind w:right="46"/>
              <w:jc w:val="right"/>
              <w:rPr>
                <w:sz w:val="12"/>
              </w:rPr>
            </w:pPr>
            <w:r>
              <w:rPr>
                <w:sz w:val="12"/>
              </w:rPr>
              <w:t>0,00</w:t>
            </w:r>
          </w:p>
        </w:tc>
        <w:tc>
          <w:tcPr>
            <w:tcW w:w="1059" w:type="dxa"/>
          </w:tcPr>
          <w:p>
            <w:pPr>
              <w:pStyle w:val="TableParagraph"/>
              <w:spacing w:line="131" w:lineRule="exact"/>
              <w:ind w:right="44"/>
              <w:jc w:val="right"/>
              <w:rPr>
                <w:sz w:val="12"/>
              </w:rPr>
            </w:pPr>
            <w:r>
              <w:rPr>
                <w:w w:val="105"/>
                <w:sz w:val="12"/>
              </w:rPr>
              <w:t>198.100,00</w:t>
            </w:r>
          </w:p>
        </w:tc>
        <w:tc>
          <w:tcPr>
            <w:tcW w:w="846" w:type="dxa"/>
          </w:tcPr>
          <w:p>
            <w:pPr>
              <w:pStyle w:val="TableParagraph"/>
              <w:spacing w:line="131" w:lineRule="exact"/>
              <w:ind w:right="53"/>
              <w:jc w:val="right"/>
              <w:rPr>
                <w:sz w:val="12"/>
              </w:rPr>
            </w:pPr>
            <w:r>
              <w:rPr>
                <w:sz w:val="12"/>
              </w:rPr>
              <w:t>0,00</w:t>
            </w:r>
          </w:p>
        </w:tc>
        <w:tc>
          <w:tcPr>
            <w:tcW w:w="683" w:type="dxa"/>
          </w:tcPr>
          <w:p>
            <w:pPr>
              <w:pStyle w:val="TableParagraph"/>
              <w:spacing w:line="131" w:lineRule="exact"/>
              <w:ind w:right="44"/>
              <w:jc w:val="right"/>
              <w:rPr>
                <w:sz w:val="12"/>
              </w:rPr>
            </w:pPr>
            <w:r>
              <w:rPr>
                <w:sz w:val="12"/>
              </w:rPr>
              <w:t>0,00</w:t>
            </w:r>
          </w:p>
        </w:tc>
        <w:tc>
          <w:tcPr>
            <w:tcW w:w="1061" w:type="dxa"/>
          </w:tcPr>
          <w:p>
            <w:pPr>
              <w:pStyle w:val="TableParagraph"/>
              <w:spacing w:line="131" w:lineRule="exact"/>
              <w:ind w:right="45"/>
              <w:jc w:val="right"/>
              <w:rPr>
                <w:sz w:val="12"/>
              </w:rPr>
            </w:pPr>
            <w:r>
              <w:rPr>
                <w:w w:val="105"/>
                <w:sz w:val="12"/>
              </w:rPr>
              <w:t>198.100,00</w:t>
            </w:r>
          </w:p>
        </w:tc>
        <w:tc>
          <w:tcPr>
            <w:tcW w:w="998" w:type="dxa"/>
          </w:tcPr>
          <w:p>
            <w:pPr>
              <w:pStyle w:val="TableParagraph"/>
              <w:spacing w:line="131" w:lineRule="exact"/>
              <w:ind w:right="44"/>
              <w:jc w:val="right"/>
              <w:rPr>
                <w:sz w:val="12"/>
              </w:rPr>
            </w:pPr>
            <w:r>
              <w:rPr>
                <w:w w:val="105"/>
                <w:sz w:val="12"/>
              </w:rPr>
              <w:t>53.026,89</w:t>
            </w:r>
          </w:p>
        </w:tc>
        <w:tc>
          <w:tcPr>
            <w:tcW w:w="901" w:type="dxa"/>
            <w:tcBorders>
              <w:right w:val="single" w:sz="4" w:space="0" w:color="000000"/>
            </w:tcBorders>
          </w:tcPr>
          <w:p>
            <w:pPr>
              <w:pStyle w:val="TableParagraph"/>
              <w:spacing w:line="131" w:lineRule="exact"/>
              <w:ind w:right="37"/>
              <w:jc w:val="right"/>
              <w:rPr>
                <w:sz w:val="12"/>
              </w:rPr>
            </w:pPr>
            <w:r>
              <w:rPr>
                <w:w w:val="105"/>
                <w:sz w:val="12"/>
              </w:rPr>
              <w:t>145.073,11</w:t>
            </w:r>
          </w:p>
        </w:tc>
      </w:tr>
      <w:tr>
        <w:trPr>
          <w:trHeight w:val="151" w:hRule="atLeast"/>
        </w:trPr>
        <w:tc>
          <w:tcPr>
            <w:tcW w:w="3424" w:type="dxa"/>
            <w:tcBorders>
              <w:left w:val="single" w:sz="4" w:space="0" w:color="000000"/>
            </w:tcBorders>
          </w:tcPr>
          <w:p>
            <w:pPr>
              <w:pStyle w:val="TableParagraph"/>
              <w:spacing w:line="132" w:lineRule="exact"/>
              <w:ind w:left="52"/>
              <w:rPr>
                <w:sz w:val="12"/>
              </w:rPr>
            </w:pPr>
            <w:r>
              <w:rPr>
                <w:w w:val="105"/>
                <w:sz w:val="12"/>
              </w:rPr>
              <w:t>82101 - A largo plazo</w:t>
            </w:r>
          </w:p>
        </w:tc>
        <w:tc>
          <w:tcPr>
            <w:tcW w:w="1254" w:type="dxa"/>
          </w:tcPr>
          <w:p>
            <w:pPr>
              <w:pStyle w:val="TableParagraph"/>
              <w:spacing w:line="132" w:lineRule="exact"/>
              <w:ind w:right="84"/>
              <w:jc w:val="right"/>
              <w:rPr>
                <w:sz w:val="12"/>
              </w:rPr>
            </w:pPr>
            <w:r>
              <w:rPr>
                <w:w w:val="105"/>
                <w:sz w:val="12"/>
              </w:rPr>
              <w:t>2.859.667,00</w:t>
            </w:r>
          </w:p>
        </w:tc>
        <w:tc>
          <w:tcPr>
            <w:tcW w:w="954" w:type="dxa"/>
          </w:tcPr>
          <w:p>
            <w:pPr>
              <w:pStyle w:val="TableParagraph"/>
              <w:spacing w:line="132" w:lineRule="exact"/>
              <w:ind w:right="46"/>
              <w:jc w:val="right"/>
              <w:rPr>
                <w:sz w:val="12"/>
              </w:rPr>
            </w:pPr>
            <w:r>
              <w:rPr>
                <w:sz w:val="12"/>
              </w:rPr>
              <w:t>0,00</w:t>
            </w:r>
          </w:p>
        </w:tc>
        <w:tc>
          <w:tcPr>
            <w:tcW w:w="1059" w:type="dxa"/>
          </w:tcPr>
          <w:p>
            <w:pPr>
              <w:pStyle w:val="TableParagraph"/>
              <w:spacing w:line="132" w:lineRule="exact"/>
              <w:ind w:right="46"/>
              <w:jc w:val="right"/>
              <w:rPr>
                <w:sz w:val="12"/>
              </w:rPr>
            </w:pPr>
            <w:r>
              <w:rPr>
                <w:w w:val="105"/>
                <w:sz w:val="12"/>
              </w:rPr>
              <w:t>2.859.667,00</w:t>
            </w:r>
          </w:p>
        </w:tc>
        <w:tc>
          <w:tcPr>
            <w:tcW w:w="1059" w:type="dxa"/>
          </w:tcPr>
          <w:p>
            <w:pPr>
              <w:pStyle w:val="TableParagraph"/>
              <w:spacing w:line="132" w:lineRule="exact"/>
              <w:ind w:right="44"/>
              <w:jc w:val="right"/>
              <w:rPr>
                <w:sz w:val="12"/>
              </w:rPr>
            </w:pPr>
            <w:r>
              <w:rPr>
                <w:w w:val="105"/>
                <w:sz w:val="12"/>
              </w:rPr>
              <w:t>240.000,00</w:t>
            </w:r>
          </w:p>
        </w:tc>
        <w:tc>
          <w:tcPr>
            <w:tcW w:w="846" w:type="dxa"/>
          </w:tcPr>
          <w:p>
            <w:pPr>
              <w:pStyle w:val="TableParagraph"/>
              <w:spacing w:line="132" w:lineRule="exact"/>
              <w:ind w:right="53"/>
              <w:jc w:val="right"/>
              <w:rPr>
                <w:sz w:val="12"/>
              </w:rPr>
            </w:pPr>
            <w:r>
              <w:rPr>
                <w:sz w:val="12"/>
              </w:rPr>
              <w:t>0,00</w:t>
            </w:r>
          </w:p>
        </w:tc>
        <w:tc>
          <w:tcPr>
            <w:tcW w:w="683" w:type="dxa"/>
          </w:tcPr>
          <w:p>
            <w:pPr>
              <w:pStyle w:val="TableParagraph"/>
              <w:spacing w:line="132" w:lineRule="exact"/>
              <w:ind w:right="44"/>
              <w:jc w:val="right"/>
              <w:rPr>
                <w:sz w:val="12"/>
              </w:rPr>
            </w:pPr>
            <w:r>
              <w:rPr>
                <w:sz w:val="12"/>
              </w:rPr>
              <w:t>0,00</w:t>
            </w:r>
          </w:p>
        </w:tc>
        <w:tc>
          <w:tcPr>
            <w:tcW w:w="1061" w:type="dxa"/>
          </w:tcPr>
          <w:p>
            <w:pPr>
              <w:pStyle w:val="TableParagraph"/>
              <w:spacing w:line="132" w:lineRule="exact"/>
              <w:ind w:right="45"/>
              <w:jc w:val="right"/>
              <w:rPr>
                <w:sz w:val="12"/>
              </w:rPr>
            </w:pPr>
            <w:r>
              <w:rPr>
                <w:w w:val="105"/>
                <w:sz w:val="12"/>
              </w:rPr>
              <w:t>240.000,00</w:t>
            </w:r>
          </w:p>
        </w:tc>
        <w:tc>
          <w:tcPr>
            <w:tcW w:w="998" w:type="dxa"/>
          </w:tcPr>
          <w:p>
            <w:pPr>
              <w:pStyle w:val="TableParagraph"/>
              <w:spacing w:line="132" w:lineRule="exact"/>
              <w:ind w:right="44"/>
              <w:jc w:val="right"/>
              <w:rPr>
                <w:sz w:val="12"/>
              </w:rPr>
            </w:pPr>
            <w:r>
              <w:rPr>
                <w:w w:val="105"/>
                <w:sz w:val="12"/>
              </w:rPr>
              <w:t>240.000,00</w:t>
            </w:r>
          </w:p>
        </w:tc>
        <w:tc>
          <w:tcPr>
            <w:tcW w:w="901" w:type="dxa"/>
            <w:tcBorders>
              <w:right w:val="single" w:sz="4" w:space="0" w:color="000000"/>
            </w:tcBorders>
          </w:tcPr>
          <w:p>
            <w:pPr>
              <w:pStyle w:val="TableParagraph"/>
              <w:spacing w:line="132" w:lineRule="exact"/>
              <w:ind w:right="37"/>
              <w:jc w:val="right"/>
              <w:rPr>
                <w:sz w:val="12"/>
              </w:rPr>
            </w:pPr>
            <w:r>
              <w:rPr>
                <w:sz w:val="12"/>
              </w:rPr>
              <w:t>0,00</w:t>
            </w:r>
          </w:p>
        </w:tc>
      </w:tr>
      <w:tr>
        <w:trPr>
          <w:trHeight w:val="151" w:hRule="atLeast"/>
        </w:trPr>
        <w:tc>
          <w:tcPr>
            <w:tcW w:w="3424" w:type="dxa"/>
            <w:tcBorders>
              <w:left w:val="single" w:sz="4" w:space="0" w:color="000000"/>
            </w:tcBorders>
          </w:tcPr>
          <w:p>
            <w:pPr>
              <w:pStyle w:val="TableParagraph"/>
              <w:spacing w:line="132" w:lineRule="exact"/>
              <w:ind w:left="52"/>
              <w:rPr>
                <w:sz w:val="12"/>
              </w:rPr>
            </w:pPr>
            <w:r>
              <w:rPr>
                <w:w w:val="105"/>
                <w:sz w:val="12"/>
              </w:rPr>
              <w:t>83009 - Anticipos Reintegrables</w:t>
            </w:r>
          </w:p>
        </w:tc>
        <w:tc>
          <w:tcPr>
            <w:tcW w:w="1254" w:type="dxa"/>
          </w:tcPr>
          <w:p>
            <w:pPr>
              <w:pStyle w:val="TableParagraph"/>
              <w:spacing w:line="132" w:lineRule="exact"/>
              <w:ind w:right="84"/>
              <w:jc w:val="right"/>
              <w:rPr>
                <w:sz w:val="12"/>
              </w:rPr>
            </w:pPr>
            <w:r>
              <w:rPr>
                <w:sz w:val="12"/>
              </w:rPr>
              <w:t>0,00</w:t>
            </w:r>
          </w:p>
        </w:tc>
        <w:tc>
          <w:tcPr>
            <w:tcW w:w="954" w:type="dxa"/>
          </w:tcPr>
          <w:p>
            <w:pPr>
              <w:pStyle w:val="TableParagraph"/>
              <w:spacing w:line="132" w:lineRule="exact"/>
              <w:ind w:right="46"/>
              <w:jc w:val="right"/>
              <w:rPr>
                <w:sz w:val="12"/>
              </w:rPr>
            </w:pPr>
            <w:r>
              <w:rPr>
                <w:w w:val="105"/>
                <w:sz w:val="12"/>
              </w:rPr>
              <w:t>9.423.832,63</w:t>
            </w:r>
          </w:p>
        </w:tc>
        <w:tc>
          <w:tcPr>
            <w:tcW w:w="1059" w:type="dxa"/>
          </w:tcPr>
          <w:p>
            <w:pPr>
              <w:pStyle w:val="TableParagraph"/>
              <w:spacing w:line="132" w:lineRule="exact"/>
              <w:ind w:right="46"/>
              <w:jc w:val="right"/>
              <w:rPr>
                <w:sz w:val="12"/>
              </w:rPr>
            </w:pPr>
            <w:r>
              <w:rPr>
                <w:w w:val="105"/>
                <w:sz w:val="12"/>
              </w:rPr>
              <w:t>9.423.832,63</w:t>
            </w:r>
          </w:p>
        </w:tc>
        <w:tc>
          <w:tcPr>
            <w:tcW w:w="1059" w:type="dxa"/>
          </w:tcPr>
          <w:p>
            <w:pPr>
              <w:pStyle w:val="TableParagraph"/>
              <w:spacing w:line="132" w:lineRule="exact"/>
              <w:ind w:right="44"/>
              <w:jc w:val="right"/>
              <w:rPr>
                <w:sz w:val="12"/>
              </w:rPr>
            </w:pPr>
            <w:r>
              <w:rPr>
                <w:w w:val="105"/>
                <w:sz w:val="12"/>
              </w:rPr>
              <w:t>8.809.596,42</w:t>
            </w:r>
          </w:p>
        </w:tc>
        <w:tc>
          <w:tcPr>
            <w:tcW w:w="846" w:type="dxa"/>
          </w:tcPr>
          <w:p>
            <w:pPr>
              <w:pStyle w:val="TableParagraph"/>
              <w:spacing w:line="132" w:lineRule="exact"/>
              <w:ind w:right="53"/>
              <w:jc w:val="right"/>
              <w:rPr>
                <w:sz w:val="12"/>
              </w:rPr>
            </w:pPr>
            <w:r>
              <w:rPr>
                <w:sz w:val="12"/>
              </w:rPr>
              <w:t>666,64</w:t>
            </w:r>
          </w:p>
        </w:tc>
        <w:tc>
          <w:tcPr>
            <w:tcW w:w="683" w:type="dxa"/>
          </w:tcPr>
          <w:p>
            <w:pPr>
              <w:pStyle w:val="TableParagraph"/>
              <w:spacing w:line="132" w:lineRule="exact"/>
              <w:ind w:right="44"/>
              <w:jc w:val="right"/>
              <w:rPr>
                <w:sz w:val="12"/>
              </w:rPr>
            </w:pPr>
            <w:r>
              <w:rPr>
                <w:sz w:val="12"/>
              </w:rPr>
              <w:t>0,00</w:t>
            </w:r>
          </w:p>
        </w:tc>
        <w:tc>
          <w:tcPr>
            <w:tcW w:w="1061" w:type="dxa"/>
          </w:tcPr>
          <w:p>
            <w:pPr>
              <w:pStyle w:val="TableParagraph"/>
              <w:spacing w:line="132" w:lineRule="exact"/>
              <w:ind w:right="45"/>
              <w:jc w:val="right"/>
              <w:rPr>
                <w:sz w:val="12"/>
              </w:rPr>
            </w:pPr>
            <w:r>
              <w:rPr>
                <w:w w:val="105"/>
                <w:sz w:val="12"/>
              </w:rPr>
              <w:t>8.808.929,78</w:t>
            </w:r>
          </w:p>
        </w:tc>
        <w:tc>
          <w:tcPr>
            <w:tcW w:w="998" w:type="dxa"/>
          </w:tcPr>
          <w:p>
            <w:pPr>
              <w:pStyle w:val="TableParagraph"/>
              <w:spacing w:line="132" w:lineRule="exact"/>
              <w:ind w:right="43"/>
              <w:jc w:val="right"/>
              <w:rPr>
                <w:sz w:val="12"/>
              </w:rPr>
            </w:pPr>
            <w:r>
              <w:rPr>
                <w:w w:val="105"/>
                <w:sz w:val="12"/>
              </w:rPr>
              <w:t>8.808.929,78</w:t>
            </w:r>
          </w:p>
        </w:tc>
        <w:tc>
          <w:tcPr>
            <w:tcW w:w="901" w:type="dxa"/>
            <w:tcBorders>
              <w:right w:val="single" w:sz="4" w:space="0" w:color="000000"/>
            </w:tcBorders>
          </w:tcPr>
          <w:p>
            <w:pPr>
              <w:pStyle w:val="TableParagraph"/>
              <w:spacing w:line="132" w:lineRule="exact"/>
              <w:ind w:right="37"/>
              <w:jc w:val="right"/>
              <w:rPr>
                <w:sz w:val="12"/>
              </w:rPr>
            </w:pPr>
            <w:r>
              <w:rPr>
                <w:sz w:val="12"/>
              </w:rPr>
              <w:t>0,00</w:t>
            </w:r>
          </w:p>
        </w:tc>
      </w:tr>
      <w:tr>
        <w:trPr>
          <w:trHeight w:val="151" w:hRule="atLeast"/>
        </w:trPr>
        <w:tc>
          <w:tcPr>
            <w:tcW w:w="3424" w:type="dxa"/>
            <w:tcBorders>
              <w:left w:val="single" w:sz="4" w:space="0" w:color="000000"/>
            </w:tcBorders>
          </w:tcPr>
          <w:p>
            <w:pPr>
              <w:pStyle w:val="TableParagraph"/>
              <w:spacing w:line="132" w:lineRule="exact"/>
              <w:ind w:left="52"/>
              <w:rPr>
                <w:sz w:val="12"/>
              </w:rPr>
            </w:pPr>
            <w:r>
              <w:rPr>
                <w:w w:val="105"/>
                <w:sz w:val="12"/>
              </w:rPr>
              <w:t>83100 - A largo plazo</w:t>
            </w:r>
          </w:p>
        </w:tc>
        <w:tc>
          <w:tcPr>
            <w:tcW w:w="1254" w:type="dxa"/>
          </w:tcPr>
          <w:p>
            <w:pPr>
              <w:pStyle w:val="TableParagraph"/>
              <w:spacing w:line="132" w:lineRule="exact"/>
              <w:ind w:right="84"/>
              <w:jc w:val="right"/>
              <w:rPr>
                <w:sz w:val="12"/>
              </w:rPr>
            </w:pPr>
            <w:r>
              <w:rPr>
                <w:sz w:val="12"/>
              </w:rPr>
              <w:t>0,00</w:t>
            </w:r>
          </w:p>
        </w:tc>
        <w:tc>
          <w:tcPr>
            <w:tcW w:w="954" w:type="dxa"/>
          </w:tcPr>
          <w:p>
            <w:pPr>
              <w:pStyle w:val="TableParagraph"/>
              <w:spacing w:line="132" w:lineRule="exact"/>
              <w:ind w:right="46"/>
              <w:jc w:val="right"/>
              <w:rPr>
                <w:sz w:val="12"/>
              </w:rPr>
            </w:pPr>
            <w:r>
              <w:rPr>
                <w:sz w:val="12"/>
              </w:rPr>
              <w:t>0,00</w:t>
            </w:r>
          </w:p>
        </w:tc>
        <w:tc>
          <w:tcPr>
            <w:tcW w:w="1059" w:type="dxa"/>
          </w:tcPr>
          <w:p>
            <w:pPr>
              <w:pStyle w:val="TableParagraph"/>
              <w:spacing w:line="132" w:lineRule="exact"/>
              <w:ind w:right="46"/>
              <w:jc w:val="right"/>
              <w:rPr>
                <w:sz w:val="12"/>
              </w:rPr>
            </w:pPr>
            <w:r>
              <w:rPr>
                <w:sz w:val="12"/>
              </w:rPr>
              <w:t>0,00</w:t>
            </w:r>
          </w:p>
        </w:tc>
        <w:tc>
          <w:tcPr>
            <w:tcW w:w="1059" w:type="dxa"/>
          </w:tcPr>
          <w:p>
            <w:pPr>
              <w:pStyle w:val="TableParagraph"/>
              <w:spacing w:line="132" w:lineRule="exact"/>
              <w:ind w:right="44"/>
              <w:jc w:val="right"/>
              <w:rPr>
                <w:sz w:val="12"/>
              </w:rPr>
            </w:pPr>
            <w:r>
              <w:rPr>
                <w:w w:val="105"/>
                <w:sz w:val="12"/>
              </w:rPr>
              <w:t>9.595.075,38</w:t>
            </w:r>
          </w:p>
        </w:tc>
        <w:tc>
          <w:tcPr>
            <w:tcW w:w="846" w:type="dxa"/>
          </w:tcPr>
          <w:p>
            <w:pPr>
              <w:pStyle w:val="TableParagraph"/>
              <w:spacing w:line="132" w:lineRule="exact"/>
              <w:ind w:right="53"/>
              <w:jc w:val="right"/>
              <w:rPr>
                <w:sz w:val="12"/>
              </w:rPr>
            </w:pPr>
            <w:r>
              <w:rPr>
                <w:sz w:val="12"/>
              </w:rPr>
              <w:t>0,00</w:t>
            </w:r>
          </w:p>
        </w:tc>
        <w:tc>
          <w:tcPr>
            <w:tcW w:w="683" w:type="dxa"/>
          </w:tcPr>
          <w:p>
            <w:pPr>
              <w:pStyle w:val="TableParagraph"/>
              <w:spacing w:line="132" w:lineRule="exact"/>
              <w:ind w:right="44"/>
              <w:jc w:val="right"/>
              <w:rPr>
                <w:sz w:val="12"/>
              </w:rPr>
            </w:pPr>
            <w:r>
              <w:rPr>
                <w:sz w:val="12"/>
              </w:rPr>
              <w:t>0,00</w:t>
            </w:r>
          </w:p>
        </w:tc>
        <w:tc>
          <w:tcPr>
            <w:tcW w:w="1061" w:type="dxa"/>
          </w:tcPr>
          <w:p>
            <w:pPr>
              <w:pStyle w:val="TableParagraph"/>
              <w:spacing w:line="132" w:lineRule="exact"/>
              <w:ind w:right="45"/>
              <w:jc w:val="right"/>
              <w:rPr>
                <w:sz w:val="12"/>
              </w:rPr>
            </w:pPr>
            <w:r>
              <w:rPr>
                <w:w w:val="105"/>
                <w:sz w:val="12"/>
              </w:rPr>
              <w:t>9.595.075,38</w:t>
            </w:r>
          </w:p>
        </w:tc>
        <w:tc>
          <w:tcPr>
            <w:tcW w:w="998" w:type="dxa"/>
          </w:tcPr>
          <w:p>
            <w:pPr>
              <w:pStyle w:val="TableParagraph"/>
              <w:spacing w:line="132" w:lineRule="exact"/>
              <w:ind w:right="43"/>
              <w:jc w:val="right"/>
              <w:rPr>
                <w:sz w:val="12"/>
              </w:rPr>
            </w:pPr>
            <w:r>
              <w:rPr>
                <w:w w:val="105"/>
                <w:sz w:val="12"/>
              </w:rPr>
              <w:t>9.595.075,38</w:t>
            </w:r>
          </w:p>
        </w:tc>
        <w:tc>
          <w:tcPr>
            <w:tcW w:w="901" w:type="dxa"/>
            <w:tcBorders>
              <w:right w:val="single" w:sz="4" w:space="0" w:color="000000"/>
            </w:tcBorders>
          </w:tcPr>
          <w:p>
            <w:pPr>
              <w:pStyle w:val="TableParagraph"/>
              <w:spacing w:line="132" w:lineRule="exact"/>
              <w:ind w:right="37"/>
              <w:jc w:val="right"/>
              <w:rPr>
                <w:sz w:val="12"/>
              </w:rPr>
            </w:pPr>
            <w:r>
              <w:rPr>
                <w:sz w:val="12"/>
              </w:rPr>
              <w:t>0,00</w:t>
            </w:r>
          </w:p>
        </w:tc>
      </w:tr>
      <w:tr>
        <w:trPr>
          <w:trHeight w:val="151" w:hRule="atLeast"/>
        </w:trPr>
        <w:tc>
          <w:tcPr>
            <w:tcW w:w="3424" w:type="dxa"/>
            <w:tcBorders>
              <w:left w:val="single" w:sz="4" w:space="0" w:color="000000"/>
            </w:tcBorders>
          </w:tcPr>
          <w:p>
            <w:pPr>
              <w:pStyle w:val="TableParagraph"/>
              <w:spacing w:line="132" w:lineRule="exact"/>
              <w:ind w:left="52"/>
              <w:rPr>
                <w:sz w:val="12"/>
              </w:rPr>
            </w:pPr>
            <w:r>
              <w:rPr>
                <w:w w:val="105"/>
                <w:sz w:val="12"/>
              </w:rPr>
              <w:t>87001 - Remanente de tesorería afectado</w:t>
            </w:r>
          </w:p>
        </w:tc>
        <w:tc>
          <w:tcPr>
            <w:tcW w:w="1254" w:type="dxa"/>
          </w:tcPr>
          <w:p>
            <w:pPr>
              <w:pStyle w:val="TableParagraph"/>
              <w:spacing w:line="132" w:lineRule="exact"/>
              <w:ind w:right="84"/>
              <w:jc w:val="right"/>
              <w:rPr>
                <w:sz w:val="12"/>
              </w:rPr>
            </w:pPr>
            <w:r>
              <w:rPr>
                <w:sz w:val="12"/>
              </w:rPr>
              <w:t>0,00</w:t>
            </w:r>
          </w:p>
        </w:tc>
        <w:tc>
          <w:tcPr>
            <w:tcW w:w="954" w:type="dxa"/>
          </w:tcPr>
          <w:p>
            <w:pPr>
              <w:pStyle w:val="TableParagraph"/>
              <w:spacing w:line="132" w:lineRule="exact"/>
              <w:ind w:right="46"/>
              <w:jc w:val="right"/>
              <w:rPr>
                <w:sz w:val="12"/>
              </w:rPr>
            </w:pPr>
            <w:r>
              <w:rPr>
                <w:w w:val="105"/>
                <w:sz w:val="12"/>
              </w:rPr>
              <w:t>331.230.827,85</w:t>
            </w:r>
          </w:p>
        </w:tc>
        <w:tc>
          <w:tcPr>
            <w:tcW w:w="1059" w:type="dxa"/>
          </w:tcPr>
          <w:p>
            <w:pPr>
              <w:pStyle w:val="TableParagraph"/>
              <w:spacing w:line="132" w:lineRule="exact"/>
              <w:ind w:right="47"/>
              <w:jc w:val="right"/>
              <w:rPr>
                <w:sz w:val="12"/>
              </w:rPr>
            </w:pPr>
            <w:r>
              <w:rPr>
                <w:w w:val="105"/>
                <w:sz w:val="12"/>
              </w:rPr>
              <w:t>331.230.827,85</w:t>
            </w:r>
          </w:p>
        </w:tc>
        <w:tc>
          <w:tcPr>
            <w:tcW w:w="1059" w:type="dxa"/>
          </w:tcPr>
          <w:p>
            <w:pPr>
              <w:pStyle w:val="TableParagraph"/>
              <w:spacing w:line="132" w:lineRule="exact"/>
              <w:ind w:right="44"/>
              <w:jc w:val="right"/>
              <w:rPr>
                <w:sz w:val="12"/>
              </w:rPr>
            </w:pPr>
            <w:r>
              <w:rPr>
                <w:sz w:val="12"/>
              </w:rPr>
              <w:t>0,00</w:t>
            </w:r>
          </w:p>
        </w:tc>
        <w:tc>
          <w:tcPr>
            <w:tcW w:w="846" w:type="dxa"/>
          </w:tcPr>
          <w:p>
            <w:pPr>
              <w:pStyle w:val="TableParagraph"/>
              <w:spacing w:line="132" w:lineRule="exact"/>
              <w:ind w:right="53"/>
              <w:jc w:val="right"/>
              <w:rPr>
                <w:sz w:val="12"/>
              </w:rPr>
            </w:pPr>
            <w:r>
              <w:rPr>
                <w:sz w:val="12"/>
              </w:rPr>
              <w:t>0,00</w:t>
            </w:r>
          </w:p>
        </w:tc>
        <w:tc>
          <w:tcPr>
            <w:tcW w:w="683" w:type="dxa"/>
          </w:tcPr>
          <w:p>
            <w:pPr>
              <w:pStyle w:val="TableParagraph"/>
              <w:spacing w:line="132" w:lineRule="exact"/>
              <w:ind w:right="44"/>
              <w:jc w:val="right"/>
              <w:rPr>
                <w:sz w:val="12"/>
              </w:rPr>
            </w:pPr>
            <w:r>
              <w:rPr>
                <w:sz w:val="12"/>
              </w:rPr>
              <w:t>0,00</w:t>
            </w:r>
          </w:p>
        </w:tc>
        <w:tc>
          <w:tcPr>
            <w:tcW w:w="1061" w:type="dxa"/>
          </w:tcPr>
          <w:p>
            <w:pPr>
              <w:pStyle w:val="TableParagraph"/>
              <w:spacing w:line="132" w:lineRule="exact"/>
              <w:ind w:right="45"/>
              <w:jc w:val="right"/>
              <w:rPr>
                <w:sz w:val="12"/>
              </w:rPr>
            </w:pPr>
            <w:r>
              <w:rPr>
                <w:sz w:val="12"/>
              </w:rPr>
              <w:t>0,00</w:t>
            </w:r>
          </w:p>
        </w:tc>
        <w:tc>
          <w:tcPr>
            <w:tcW w:w="998" w:type="dxa"/>
          </w:tcPr>
          <w:p>
            <w:pPr>
              <w:pStyle w:val="TableParagraph"/>
              <w:spacing w:line="132" w:lineRule="exact"/>
              <w:ind w:right="44"/>
              <w:jc w:val="right"/>
              <w:rPr>
                <w:sz w:val="12"/>
              </w:rPr>
            </w:pPr>
            <w:r>
              <w:rPr>
                <w:sz w:val="12"/>
              </w:rPr>
              <w:t>0,00</w:t>
            </w:r>
          </w:p>
        </w:tc>
        <w:tc>
          <w:tcPr>
            <w:tcW w:w="901" w:type="dxa"/>
            <w:tcBorders>
              <w:right w:val="single" w:sz="4" w:space="0" w:color="000000"/>
            </w:tcBorders>
          </w:tcPr>
          <w:p>
            <w:pPr>
              <w:pStyle w:val="TableParagraph"/>
              <w:spacing w:line="132" w:lineRule="exact"/>
              <w:ind w:right="37"/>
              <w:jc w:val="right"/>
              <w:rPr>
                <w:sz w:val="12"/>
              </w:rPr>
            </w:pPr>
            <w:r>
              <w:rPr>
                <w:sz w:val="12"/>
              </w:rPr>
              <w:t>0,00</w:t>
            </w:r>
          </w:p>
        </w:tc>
      </w:tr>
      <w:tr>
        <w:trPr>
          <w:trHeight w:val="150" w:hRule="atLeast"/>
        </w:trPr>
        <w:tc>
          <w:tcPr>
            <w:tcW w:w="3424" w:type="dxa"/>
            <w:tcBorders>
              <w:left w:val="single" w:sz="4" w:space="0" w:color="000000"/>
            </w:tcBorders>
          </w:tcPr>
          <w:p>
            <w:pPr>
              <w:pStyle w:val="TableParagraph"/>
              <w:spacing w:line="131" w:lineRule="exact"/>
              <w:ind w:left="52"/>
              <w:rPr>
                <w:sz w:val="12"/>
              </w:rPr>
            </w:pPr>
            <w:r>
              <w:rPr>
                <w:w w:val="105"/>
                <w:sz w:val="12"/>
              </w:rPr>
              <w:t>87002 - Remanente de tesorería no afectado</w:t>
            </w:r>
          </w:p>
        </w:tc>
        <w:tc>
          <w:tcPr>
            <w:tcW w:w="1254" w:type="dxa"/>
          </w:tcPr>
          <w:p>
            <w:pPr>
              <w:pStyle w:val="TableParagraph"/>
              <w:spacing w:line="131" w:lineRule="exact"/>
              <w:ind w:right="84"/>
              <w:jc w:val="right"/>
              <w:rPr>
                <w:sz w:val="12"/>
              </w:rPr>
            </w:pPr>
            <w:r>
              <w:rPr>
                <w:w w:val="105"/>
                <w:sz w:val="12"/>
              </w:rPr>
              <w:t>85.000.000,00</w:t>
            </w:r>
          </w:p>
        </w:tc>
        <w:tc>
          <w:tcPr>
            <w:tcW w:w="954" w:type="dxa"/>
          </w:tcPr>
          <w:p>
            <w:pPr>
              <w:pStyle w:val="TableParagraph"/>
              <w:spacing w:line="131" w:lineRule="exact"/>
              <w:ind w:right="46"/>
              <w:jc w:val="right"/>
              <w:rPr>
                <w:sz w:val="12"/>
              </w:rPr>
            </w:pPr>
            <w:r>
              <w:rPr>
                <w:sz w:val="12"/>
              </w:rPr>
              <w:t>0,00</w:t>
            </w:r>
          </w:p>
        </w:tc>
        <w:tc>
          <w:tcPr>
            <w:tcW w:w="1059" w:type="dxa"/>
          </w:tcPr>
          <w:p>
            <w:pPr>
              <w:pStyle w:val="TableParagraph"/>
              <w:spacing w:line="131" w:lineRule="exact"/>
              <w:ind w:right="46"/>
              <w:jc w:val="right"/>
              <w:rPr>
                <w:sz w:val="12"/>
              </w:rPr>
            </w:pPr>
            <w:r>
              <w:rPr>
                <w:w w:val="105"/>
                <w:sz w:val="12"/>
              </w:rPr>
              <w:t>85.000.000,00</w:t>
            </w:r>
          </w:p>
        </w:tc>
        <w:tc>
          <w:tcPr>
            <w:tcW w:w="1059" w:type="dxa"/>
          </w:tcPr>
          <w:p>
            <w:pPr>
              <w:pStyle w:val="TableParagraph"/>
              <w:spacing w:line="131" w:lineRule="exact"/>
              <w:ind w:right="44"/>
              <w:jc w:val="right"/>
              <w:rPr>
                <w:sz w:val="12"/>
              </w:rPr>
            </w:pPr>
            <w:r>
              <w:rPr>
                <w:sz w:val="12"/>
              </w:rPr>
              <w:t>0,00</w:t>
            </w:r>
          </w:p>
        </w:tc>
        <w:tc>
          <w:tcPr>
            <w:tcW w:w="846" w:type="dxa"/>
          </w:tcPr>
          <w:p>
            <w:pPr>
              <w:pStyle w:val="TableParagraph"/>
              <w:spacing w:line="131" w:lineRule="exact"/>
              <w:ind w:right="53"/>
              <w:jc w:val="right"/>
              <w:rPr>
                <w:sz w:val="12"/>
              </w:rPr>
            </w:pPr>
            <w:r>
              <w:rPr>
                <w:sz w:val="12"/>
              </w:rPr>
              <w:t>0,00</w:t>
            </w:r>
          </w:p>
        </w:tc>
        <w:tc>
          <w:tcPr>
            <w:tcW w:w="683" w:type="dxa"/>
          </w:tcPr>
          <w:p>
            <w:pPr>
              <w:pStyle w:val="TableParagraph"/>
              <w:spacing w:line="131" w:lineRule="exact"/>
              <w:ind w:right="44"/>
              <w:jc w:val="right"/>
              <w:rPr>
                <w:sz w:val="12"/>
              </w:rPr>
            </w:pPr>
            <w:r>
              <w:rPr>
                <w:sz w:val="12"/>
              </w:rPr>
              <w:t>0,00</w:t>
            </w:r>
          </w:p>
        </w:tc>
        <w:tc>
          <w:tcPr>
            <w:tcW w:w="1061" w:type="dxa"/>
          </w:tcPr>
          <w:p>
            <w:pPr>
              <w:pStyle w:val="TableParagraph"/>
              <w:spacing w:line="131" w:lineRule="exact"/>
              <w:ind w:right="45"/>
              <w:jc w:val="right"/>
              <w:rPr>
                <w:sz w:val="12"/>
              </w:rPr>
            </w:pPr>
            <w:r>
              <w:rPr>
                <w:sz w:val="12"/>
              </w:rPr>
              <w:t>0,00</w:t>
            </w:r>
          </w:p>
        </w:tc>
        <w:tc>
          <w:tcPr>
            <w:tcW w:w="998" w:type="dxa"/>
          </w:tcPr>
          <w:p>
            <w:pPr>
              <w:pStyle w:val="TableParagraph"/>
              <w:spacing w:line="131" w:lineRule="exact"/>
              <w:ind w:right="44"/>
              <w:jc w:val="right"/>
              <w:rPr>
                <w:sz w:val="12"/>
              </w:rPr>
            </w:pPr>
            <w:r>
              <w:rPr>
                <w:sz w:val="12"/>
              </w:rPr>
              <w:t>0,00</w:t>
            </w:r>
          </w:p>
        </w:tc>
        <w:tc>
          <w:tcPr>
            <w:tcW w:w="901" w:type="dxa"/>
            <w:tcBorders>
              <w:right w:val="single" w:sz="4" w:space="0" w:color="000000"/>
            </w:tcBorders>
          </w:tcPr>
          <w:p>
            <w:pPr>
              <w:pStyle w:val="TableParagraph"/>
              <w:spacing w:line="131" w:lineRule="exact"/>
              <w:ind w:right="37"/>
              <w:jc w:val="right"/>
              <w:rPr>
                <w:sz w:val="12"/>
              </w:rPr>
            </w:pPr>
            <w:r>
              <w:rPr>
                <w:sz w:val="12"/>
              </w:rPr>
              <w:t>0,00</w:t>
            </w:r>
          </w:p>
        </w:tc>
      </w:tr>
      <w:tr>
        <w:trPr>
          <w:trHeight w:val="151" w:hRule="atLeast"/>
        </w:trPr>
        <w:tc>
          <w:tcPr>
            <w:tcW w:w="3424" w:type="dxa"/>
            <w:tcBorders>
              <w:left w:val="single" w:sz="4" w:space="0" w:color="000000"/>
            </w:tcBorders>
          </w:tcPr>
          <w:p>
            <w:pPr>
              <w:pStyle w:val="TableParagraph"/>
              <w:spacing w:line="132" w:lineRule="exact"/>
              <w:ind w:left="52"/>
              <w:rPr>
                <w:sz w:val="12"/>
              </w:rPr>
            </w:pPr>
            <w:r>
              <w:rPr>
                <w:w w:val="105"/>
                <w:sz w:val="12"/>
              </w:rPr>
              <w:t>91106 - Préstamos a largo plazo transformables en subvenc.</w:t>
            </w:r>
          </w:p>
        </w:tc>
        <w:tc>
          <w:tcPr>
            <w:tcW w:w="1254" w:type="dxa"/>
          </w:tcPr>
          <w:p>
            <w:pPr>
              <w:pStyle w:val="TableParagraph"/>
              <w:spacing w:line="132" w:lineRule="exact"/>
              <w:ind w:right="84"/>
              <w:jc w:val="right"/>
              <w:rPr>
                <w:sz w:val="12"/>
              </w:rPr>
            </w:pPr>
            <w:r>
              <w:rPr>
                <w:w w:val="105"/>
                <w:sz w:val="12"/>
              </w:rPr>
              <w:t>1.000,00</w:t>
            </w:r>
          </w:p>
        </w:tc>
        <w:tc>
          <w:tcPr>
            <w:tcW w:w="954" w:type="dxa"/>
          </w:tcPr>
          <w:p>
            <w:pPr>
              <w:pStyle w:val="TableParagraph"/>
              <w:spacing w:line="132" w:lineRule="exact"/>
              <w:ind w:right="46"/>
              <w:jc w:val="right"/>
              <w:rPr>
                <w:sz w:val="12"/>
              </w:rPr>
            </w:pPr>
            <w:r>
              <w:rPr>
                <w:w w:val="105"/>
                <w:sz w:val="12"/>
              </w:rPr>
              <w:t>89.680,80</w:t>
            </w:r>
          </w:p>
        </w:tc>
        <w:tc>
          <w:tcPr>
            <w:tcW w:w="1059" w:type="dxa"/>
          </w:tcPr>
          <w:p>
            <w:pPr>
              <w:pStyle w:val="TableParagraph"/>
              <w:spacing w:line="132" w:lineRule="exact"/>
              <w:ind w:right="46"/>
              <w:jc w:val="right"/>
              <w:rPr>
                <w:sz w:val="12"/>
              </w:rPr>
            </w:pPr>
            <w:r>
              <w:rPr>
                <w:w w:val="105"/>
                <w:sz w:val="12"/>
              </w:rPr>
              <w:t>90.680,80</w:t>
            </w:r>
          </w:p>
        </w:tc>
        <w:tc>
          <w:tcPr>
            <w:tcW w:w="1059" w:type="dxa"/>
          </w:tcPr>
          <w:p>
            <w:pPr>
              <w:pStyle w:val="TableParagraph"/>
              <w:spacing w:line="132" w:lineRule="exact"/>
              <w:ind w:right="44"/>
              <w:jc w:val="right"/>
              <w:rPr>
                <w:sz w:val="12"/>
              </w:rPr>
            </w:pPr>
            <w:r>
              <w:rPr>
                <w:w w:val="105"/>
                <w:sz w:val="12"/>
              </w:rPr>
              <w:t>28.638.473,89</w:t>
            </w:r>
          </w:p>
        </w:tc>
        <w:tc>
          <w:tcPr>
            <w:tcW w:w="846" w:type="dxa"/>
          </w:tcPr>
          <w:p>
            <w:pPr>
              <w:pStyle w:val="TableParagraph"/>
              <w:spacing w:line="132" w:lineRule="exact"/>
              <w:ind w:right="53"/>
              <w:jc w:val="right"/>
              <w:rPr>
                <w:sz w:val="12"/>
              </w:rPr>
            </w:pPr>
            <w:r>
              <w:rPr>
                <w:sz w:val="12"/>
              </w:rPr>
              <w:t>0,00</w:t>
            </w:r>
          </w:p>
        </w:tc>
        <w:tc>
          <w:tcPr>
            <w:tcW w:w="683" w:type="dxa"/>
          </w:tcPr>
          <w:p>
            <w:pPr>
              <w:pStyle w:val="TableParagraph"/>
              <w:spacing w:line="132" w:lineRule="exact"/>
              <w:ind w:right="44"/>
              <w:jc w:val="right"/>
              <w:rPr>
                <w:sz w:val="12"/>
              </w:rPr>
            </w:pPr>
            <w:r>
              <w:rPr>
                <w:sz w:val="12"/>
              </w:rPr>
              <w:t>0,00</w:t>
            </w:r>
          </w:p>
        </w:tc>
        <w:tc>
          <w:tcPr>
            <w:tcW w:w="1061" w:type="dxa"/>
          </w:tcPr>
          <w:p>
            <w:pPr>
              <w:pStyle w:val="TableParagraph"/>
              <w:spacing w:line="132" w:lineRule="exact"/>
              <w:ind w:right="45"/>
              <w:jc w:val="right"/>
              <w:rPr>
                <w:sz w:val="12"/>
              </w:rPr>
            </w:pPr>
            <w:r>
              <w:rPr>
                <w:w w:val="105"/>
                <w:sz w:val="12"/>
              </w:rPr>
              <w:t>28.638.473,89</w:t>
            </w:r>
          </w:p>
        </w:tc>
        <w:tc>
          <w:tcPr>
            <w:tcW w:w="998" w:type="dxa"/>
          </w:tcPr>
          <w:p>
            <w:pPr>
              <w:pStyle w:val="TableParagraph"/>
              <w:spacing w:line="132" w:lineRule="exact"/>
              <w:ind w:right="43"/>
              <w:jc w:val="right"/>
              <w:rPr>
                <w:sz w:val="12"/>
              </w:rPr>
            </w:pPr>
            <w:r>
              <w:rPr>
                <w:w w:val="105"/>
                <w:sz w:val="12"/>
              </w:rPr>
              <w:t>28.638.473,89</w:t>
            </w:r>
          </w:p>
        </w:tc>
        <w:tc>
          <w:tcPr>
            <w:tcW w:w="901" w:type="dxa"/>
            <w:tcBorders>
              <w:right w:val="single" w:sz="4" w:space="0" w:color="000000"/>
            </w:tcBorders>
          </w:tcPr>
          <w:p>
            <w:pPr>
              <w:pStyle w:val="TableParagraph"/>
              <w:spacing w:line="132" w:lineRule="exact"/>
              <w:ind w:right="37"/>
              <w:jc w:val="right"/>
              <w:rPr>
                <w:sz w:val="12"/>
              </w:rPr>
            </w:pPr>
            <w:r>
              <w:rPr>
                <w:sz w:val="12"/>
              </w:rPr>
              <w:t>0,00</w:t>
            </w:r>
          </w:p>
        </w:tc>
      </w:tr>
      <w:tr>
        <w:trPr>
          <w:trHeight w:val="152" w:hRule="atLeast"/>
        </w:trPr>
        <w:tc>
          <w:tcPr>
            <w:tcW w:w="3424" w:type="dxa"/>
            <w:tcBorders>
              <w:left w:val="single" w:sz="4" w:space="0" w:color="000000"/>
            </w:tcBorders>
          </w:tcPr>
          <w:p>
            <w:pPr>
              <w:pStyle w:val="TableParagraph"/>
              <w:spacing w:line="132" w:lineRule="exact"/>
              <w:ind w:left="52"/>
              <w:rPr>
                <w:sz w:val="12"/>
              </w:rPr>
            </w:pPr>
            <w:r>
              <w:rPr>
                <w:w w:val="105"/>
                <w:sz w:val="12"/>
              </w:rPr>
              <w:t>91301 - Préstamos a largo plazo con entidades de crédito</w:t>
            </w:r>
          </w:p>
        </w:tc>
        <w:tc>
          <w:tcPr>
            <w:tcW w:w="1254" w:type="dxa"/>
          </w:tcPr>
          <w:p>
            <w:pPr>
              <w:pStyle w:val="TableParagraph"/>
              <w:spacing w:line="132" w:lineRule="exact"/>
              <w:ind w:right="84"/>
              <w:jc w:val="right"/>
              <w:rPr>
                <w:sz w:val="12"/>
              </w:rPr>
            </w:pPr>
            <w:r>
              <w:rPr>
                <w:w w:val="105"/>
                <w:sz w:val="12"/>
              </w:rPr>
              <w:t>898.747.536,00</w:t>
            </w:r>
          </w:p>
        </w:tc>
        <w:tc>
          <w:tcPr>
            <w:tcW w:w="954" w:type="dxa"/>
          </w:tcPr>
          <w:p>
            <w:pPr>
              <w:pStyle w:val="TableParagraph"/>
              <w:spacing w:line="132" w:lineRule="exact"/>
              <w:ind w:right="46"/>
              <w:jc w:val="right"/>
              <w:rPr>
                <w:sz w:val="12"/>
              </w:rPr>
            </w:pPr>
            <w:r>
              <w:rPr>
                <w:sz w:val="12"/>
              </w:rPr>
              <w:t>0,00</w:t>
            </w:r>
          </w:p>
        </w:tc>
        <w:tc>
          <w:tcPr>
            <w:tcW w:w="1059" w:type="dxa"/>
          </w:tcPr>
          <w:p>
            <w:pPr>
              <w:pStyle w:val="TableParagraph"/>
              <w:spacing w:line="132" w:lineRule="exact"/>
              <w:ind w:right="47"/>
              <w:jc w:val="right"/>
              <w:rPr>
                <w:sz w:val="12"/>
              </w:rPr>
            </w:pPr>
            <w:r>
              <w:rPr>
                <w:w w:val="105"/>
                <w:sz w:val="12"/>
              </w:rPr>
              <w:t>898.747.536,00</w:t>
            </w:r>
          </w:p>
        </w:tc>
        <w:tc>
          <w:tcPr>
            <w:tcW w:w="1059" w:type="dxa"/>
          </w:tcPr>
          <w:p>
            <w:pPr>
              <w:pStyle w:val="TableParagraph"/>
              <w:spacing w:line="132" w:lineRule="exact"/>
              <w:ind w:right="45"/>
              <w:jc w:val="right"/>
              <w:rPr>
                <w:sz w:val="12"/>
              </w:rPr>
            </w:pPr>
            <w:r>
              <w:rPr>
                <w:w w:val="105"/>
                <w:sz w:val="12"/>
              </w:rPr>
              <w:t>898.747.500,00</w:t>
            </w:r>
          </w:p>
        </w:tc>
        <w:tc>
          <w:tcPr>
            <w:tcW w:w="846" w:type="dxa"/>
          </w:tcPr>
          <w:p>
            <w:pPr>
              <w:pStyle w:val="TableParagraph"/>
              <w:spacing w:line="132" w:lineRule="exact"/>
              <w:ind w:right="53"/>
              <w:jc w:val="right"/>
              <w:rPr>
                <w:sz w:val="12"/>
              </w:rPr>
            </w:pPr>
            <w:r>
              <w:rPr>
                <w:sz w:val="12"/>
              </w:rPr>
              <w:t>0,00</w:t>
            </w:r>
          </w:p>
        </w:tc>
        <w:tc>
          <w:tcPr>
            <w:tcW w:w="683" w:type="dxa"/>
          </w:tcPr>
          <w:p>
            <w:pPr>
              <w:pStyle w:val="TableParagraph"/>
              <w:spacing w:line="132" w:lineRule="exact"/>
              <w:ind w:right="44"/>
              <w:jc w:val="right"/>
              <w:rPr>
                <w:sz w:val="12"/>
              </w:rPr>
            </w:pPr>
            <w:r>
              <w:rPr>
                <w:sz w:val="12"/>
              </w:rPr>
              <w:t>0,00</w:t>
            </w:r>
          </w:p>
        </w:tc>
        <w:tc>
          <w:tcPr>
            <w:tcW w:w="1061" w:type="dxa"/>
          </w:tcPr>
          <w:p>
            <w:pPr>
              <w:pStyle w:val="TableParagraph"/>
              <w:spacing w:line="132" w:lineRule="exact"/>
              <w:ind w:right="45"/>
              <w:jc w:val="right"/>
              <w:rPr>
                <w:sz w:val="12"/>
              </w:rPr>
            </w:pPr>
            <w:r>
              <w:rPr>
                <w:w w:val="105"/>
                <w:sz w:val="12"/>
              </w:rPr>
              <w:t>898.747.500,00</w:t>
            </w:r>
          </w:p>
        </w:tc>
        <w:tc>
          <w:tcPr>
            <w:tcW w:w="998" w:type="dxa"/>
          </w:tcPr>
          <w:p>
            <w:pPr>
              <w:pStyle w:val="TableParagraph"/>
              <w:spacing w:line="132" w:lineRule="exact"/>
              <w:ind w:right="44"/>
              <w:jc w:val="right"/>
              <w:rPr>
                <w:sz w:val="12"/>
              </w:rPr>
            </w:pPr>
            <w:r>
              <w:rPr>
                <w:w w:val="105"/>
                <w:sz w:val="12"/>
              </w:rPr>
              <w:t>898.747.500,00</w:t>
            </w:r>
          </w:p>
        </w:tc>
        <w:tc>
          <w:tcPr>
            <w:tcW w:w="901" w:type="dxa"/>
            <w:tcBorders>
              <w:right w:val="single" w:sz="4" w:space="0" w:color="000000"/>
            </w:tcBorders>
          </w:tcPr>
          <w:p>
            <w:pPr>
              <w:pStyle w:val="TableParagraph"/>
              <w:spacing w:line="132" w:lineRule="exact"/>
              <w:ind w:right="37"/>
              <w:jc w:val="right"/>
              <w:rPr>
                <w:sz w:val="12"/>
              </w:rPr>
            </w:pPr>
            <w:r>
              <w:rPr>
                <w:sz w:val="12"/>
              </w:rPr>
              <w:t>0,00</w:t>
            </w:r>
          </w:p>
        </w:tc>
      </w:tr>
      <w:tr>
        <w:trPr>
          <w:trHeight w:val="141" w:hRule="atLeast"/>
        </w:trPr>
        <w:tc>
          <w:tcPr>
            <w:tcW w:w="3424" w:type="dxa"/>
            <w:tcBorders>
              <w:left w:val="single" w:sz="4" w:space="0" w:color="000000"/>
              <w:bottom w:val="single" w:sz="4" w:space="0" w:color="000000"/>
            </w:tcBorders>
          </w:tcPr>
          <w:p>
            <w:pPr>
              <w:pStyle w:val="TableParagraph"/>
              <w:spacing w:line="121" w:lineRule="exact"/>
              <w:ind w:left="1458" w:right="1361"/>
              <w:jc w:val="center"/>
              <w:rPr>
                <w:b/>
                <w:sz w:val="12"/>
              </w:rPr>
            </w:pPr>
            <w:r>
              <w:rPr>
                <w:b/>
                <w:w w:val="105"/>
                <w:sz w:val="12"/>
              </w:rPr>
              <w:t>Total</w:t>
            </w:r>
          </w:p>
        </w:tc>
        <w:tc>
          <w:tcPr>
            <w:tcW w:w="1254" w:type="dxa"/>
            <w:tcBorders>
              <w:bottom w:val="single" w:sz="4" w:space="0" w:color="000000"/>
            </w:tcBorders>
          </w:tcPr>
          <w:p>
            <w:pPr>
              <w:pStyle w:val="TableParagraph"/>
              <w:spacing w:line="121" w:lineRule="exact"/>
              <w:ind w:right="84"/>
              <w:jc w:val="right"/>
              <w:rPr>
                <w:b/>
                <w:sz w:val="12"/>
              </w:rPr>
            </w:pPr>
            <w:r>
              <w:rPr>
                <w:b/>
                <w:w w:val="105"/>
                <w:sz w:val="12"/>
              </w:rPr>
              <w:t>9.467.888.669,00</w:t>
            </w:r>
          </w:p>
        </w:tc>
        <w:tc>
          <w:tcPr>
            <w:tcW w:w="954" w:type="dxa"/>
            <w:tcBorders>
              <w:bottom w:val="single" w:sz="4" w:space="0" w:color="000000"/>
            </w:tcBorders>
          </w:tcPr>
          <w:p>
            <w:pPr>
              <w:pStyle w:val="TableParagraph"/>
              <w:spacing w:line="121" w:lineRule="exact"/>
              <w:ind w:right="46"/>
              <w:jc w:val="right"/>
              <w:rPr>
                <w:b/>
                <w:sz w:val="12"/>
              </w:rPr>
            </w:pPr>
            <w:r>
              <w:rPr>
                <w:b/>
                <w:w w:val="105"/>
                <w:sz w:val="12"/>
              </w:rPr>
              <w:t>714.008.124,29</w:t>
            </w:r>
          </w:p>
        </w:tc>
        <w:tc>
          <w:tcPr>
            <w:tcW w:w="1059" w:type="dxa"/>
            <w:tcBorders>
              <w:bottom w:val="single" w:sz="4" w:space="0" w:color="000000"/>
            </w:tcBorders>
          </w:tcPr>
          <w:p>
            <w:pPr>
              <w:pStyle w:val="TableParagraph"/>
              <w:spacing w:line="121" w:lineRule="exact"/>
              <w:ind w:right="46"/>
              <w:jc w:val="right"/>
              <w:rPr>
                <w:b/>
                <w:sz w:val="12"/>
              </w:rPr>
            </w:pPr>
            <w:r>
              <w:rPr>
                <w:b/>
                <w:w w:val="105"/>
                <w:sz w:val="12"/>
              </w:rPr>
              <w:t>10.181.896.793,29</w:t>
            </w:r>
          </w:p>
        </w:tc>
        <w:tc>
          <w:tcPr>
            <w:tcW w:w="1059" w:type="dxa"/>
            <w:tcBorders>
              <w:bottom w:val="single" w:sz="4" w:space="0" w:color="000000"/>
            </w:tcBorders>
          </w:tcPr>
          <w:p>
            <w:pPr>
              <w:pStyle w:val="TableParagraph"/>
              <w:spacing w:line="121" w:lineRule="exact"/>
              <w:ind w:right="44"/>
              <w:jc w:val="right"/>
              <w:rPr>
                <w:b/>
                <w:sz w:val="12"/>
              </w:rPr>
            </w:pPr>
            <w:r>
              <w:rPr>
                <w:b/>
                <w:w w:val="105"/>
                <w:sz w:val="12"/>
              </w:rPr>
              <w:t>10.177.696.566,59</w:t>
            </w:r>
          </w:p>
        </w:tc>
        <w:tc>
          <w:tcPr>
            <w:tcW w:w="846" w:type="dxa"/>
            <w:tcBorders>
              <w:bottom w:val="single" w:sz="4" w:space="0" w:color="000000"/>
            </w:tcBorders>
          </w:tcPr>
          <w:p>
            <w:pPr>
              <w:pStyle w:val="TableParagraph"/>
              <w:spacing w:line="121" w:lineRule="exact"/>
              <w:ind w:right="53"/>
              <w:jc w:val="right"/>
              <w:rPr>
                <w:b/>
                <w:sz w:val="12"/>
              </w:rPr>
            </w:pPr>
            <w:r>
              <w:rPr>
                <w:b/>
                <w:w w:val="105"/>
                <w:sz w:val="12"/>
              </w:rPr>
              <w:t>83.492.606,57</w:t>
            </w:r>
          </w:p>
        </w:tc>
        <w:tc>
          <w:tcPr>
            <w:tcW w:w="683" w:type="dxa"/>
            <w:tcBorders>
              <w:bottom w:val="single" w:sz="4" w:space="0" w:color="000000"/>
            </w:tcBorders>
          </w:tcPr>
          <w:p>
            <w:pPr>
              <w:pStyle w:val="TableParagraph"/>
              <w:spacing w:line="121" w:lineRule="exact"/>
              <w:ind w:right="45"/>
              <w:jc w:val="right"/>
              <w:rPr>
                <w:b/>
                <w:sz w:val="12"/>
              </w:rPr>
            </w:pPr>
            <w:r>
              <w:rPr>
                <w:b/>
                <w:w w:val="105"/>
                <w:sz w:val="12"/>
              </w:rPr>
              <w:t>5.077,89</w:t>
            </w:r>
          </w:p>
        </w:tc>
        <w:tc>
          <w:tcPr>
            <w:tcW w:w="1061" w:type="dxa"/>
            <w:tcBorders>
              <w:bottom w:val="single" w:sz="4" w:space="0" w:color="000000"/>
            </w:tcBorders>
          </w:tcPr>
          <w:p>
            <w:pPr>
              <w:pStyle w:val="TableParagraph"/>
              <w:spacing w:line="121" w:lineRule="exact"/>
              <w:ind w:right="45"/>
              <w:jc w:val="right"/>
              <w:rPr>
                <w:b/>
                <w:sz w:val="12"/>
              </w:rPr>
            </w:pPr>
            <w:r>
              <w:rPr>
                <w:b/>
                <w:w w:val="105"/>
                <w:sz w:val="12"/>
              </w:rPr>
              <w:t>10.094.198.882,13</w:t>
            </w:r>
          </w:p>
        </w:tc>
        <w:tc>
          <w:tcPr>
            <w:tcW w:w="998" w:type="dxa"/>
            <w:tcBorders>
              <w:bottom w:val="single" w:sz="4" w:space="0" w:color="000000"/>
            </w:tcBorders>
          </w:tcPr>
          <w:p>
            <w:pPr>
              <w:pStyle w:val="TableParagraph"/>
              <w:spacing w:line="121" w:lineRule="exact"/>
              <w:ind w:right="44"/>
              <w:jc w:val="right"/>
              <w:rPr>
                <w:b/>
                <w:sz w:val="12"/>
              </w:rPr>
            </w:pPr>
            <w:r>
              <w:rPr>
                <w:b/>
                <w:w w:val="105"/>
                <w:sz w:val="12"/>
              </w:rPr>
              <w:t>9.439.348.356,61</w:t>
            </w:r>
          </w:p>
        </w:tc>
        <w:tc>
          <w:tcPr>
            <w:tcW w:w="901" w:type="dxa"/>
            <w:tcBorders>
              <w:bottom w:val="single" w:sz="4" w:space="0" w:color="000000"/>
              <w:right w:val="single" w:sz="4" w:space="0" w:color="000000"/>
            </w:tcBorders>
          </w:tcPr>
          <w:p>
            <w:pPr>
              <w:pStyle w:val="TableParagraph"/>
              <w:spacing w:line="121" w:lineRule="exact"/>
              <w:ind w:right="38"/>
              <w:jc w:val="right"/>
              <w:rPr>
                <w:b/>
                <w:sz w:val="12"/>
              </w:rPr>
            </w:pPr>
            <w:r>
              <w:rPr>
                <w:b/>
                <w:w w:val="105"/>
                <w:sz w:val="12"/>
              </w:rPr>
              <w:t>654.850.525,52</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rPr>
      </w:pPr>
    </w:p>
    <w:p>
      <w:pPr>
        <w:spacing w:before="69"/>
        <w:ind w:left="10855" w:right="1577" w:firstLine="0"/>
        <w:jc w:val="center"/>
        <w:rPr>
          <w:sz w:val="18"/>
        </w:rPr>
      </w:pPr>
      <w:r>
        <w:rPr>
          <w:w w:val="105"/>
          <w:sz w:val="18"/>
        </w:rPr>
        <w:t>181</w:t>
      </w:r>
    </w:p>
    <w:p>
      <w:pPr>
        <w:spacing w:before="7"/>
        <w:ind w:left="114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2"/>
        <w:gridCol w:w="1622"/>
        <w:gridCol w:w="1442"/>
      </w:tblGrid>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Firmado por:</w:t>
            </w:r>
          </w:p>
        </w:tc>
        <w:tc>
          <w:tcPr>
            <w:tcW w:w="10132" w:type="dxa"/>
          </w:tcPr>
          <w:p>
            <w:pPr>
              <w:pStyle w:val="TableParagraph"/>
              <w:spacing w:before="23"/>
              <w:ind w:left="57"/>
              <w:rPr>
                <w:rFonts w:ascii="Arial" w:hAnsi="Arial"/>
                <w:sz w:val="11"/>
              </w:rPr>
            </w:pPr>
            <w:r>
              <w:rPr>
                <w:rFonts w:ascii="Arial" w:hAnsi="Arial"/>
                <w:sz w:val="11"/>
              </w:rPr>
              <w:t>PEDRO PACHECO GONZÁLEZ - Presidente</w:t>
            </w:r>
          </w:p>
        </w:tc>
        <w:tc>
          <w:tcPr>
            <w:tcW w:w="1622" w:type="dxa"/>
          </w:tcPr>
          <w:p>
            <w:pPr>
              <w:pStyle w:val="TableParagraph"/>
              <w:spacing w:before="23"/>
              <w:ind w:left="57"/>
              <w:rPr>
                <w:rFonts w:ascii="Arial"/>
                <w:sz w:val="11"/>
              </w:rPr>
            </w:pPr>
            <w:r>
              <w:rPr>
                <w:rFonts w:ascii="Arial"/>
                <w:sz w:val="11"/>
              </w:rPr>
              <w:t>Fecha: 29-12-2023 10:26:53</w:t>
            </w:r>
          </w:p>
        </w:tc>
        <w:tc>
          <w:tcPr>
            <w:tcW w:w="1442" w:type="dxa"/>
            <w:vMerge w:val="restart"/>
          </w:tcPr>
          <w:p>
            <w:pPr>
              <w:pStyle w:val="TableParagraph"/>
              <w:spacing w:before="5"/>
              <w:rPr>
                <w:b/>
                <w:sz w:val="9"/>
              </w:rPr>
            </w:pPr>
          </w:p>
          <w:p>
            <w:pPr>
              <w:pStyle w:val="TableParagraph"/>
              <w:ind w:left="315"/>
              <w:rPr>
                <w:sz w:val="20"/>
              </w:rPr>
            </w:pPr>
            <w:r>
              <w:rPr>
                <w:sz w:val="20"/>
              </w:rPr>
              <w:drawing>
                <wp:inline distT="0" distB="0" distL="0" distR="0">
                  <wp:extent cx="514350" cy="514350"/>
                  <wp:effectExtent l="0" t="0" r="0" b="0"/>
                  <wp:docPr id="387" name="image5.png"/>
                  <wp:cNvGraphicFramePr>
                    <a:graphicFrameLocks noChangeAspect="1"/>
                  </wp:cNvGraphicFramePr>
                  <a:graphic>
                    <a:graphicData uri="http://schemas.openxmlformats.org/drawingml/2006/picture">
                      <pic:pic>
                        <pic:nvPicPr>
                          <pic:cNvPr id="38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6"/>
              <w:jc w:val="center"/>
              <w:rPr>
                <w:rFonts w:ascii="Arial"/>
                <w:b/>
                <w:sz w:val="11"/>
              </w:rPr>
            </w:pPr>
            <w:r>
              <w:rPr>
                <w:rFonts w:ascii="Arial"/>
                <w:b/>
                <w:sz w:val="11"/>
              </w:rPr>
              <w:t>Registrado en:</w:t>
            </w:r>
          </w:p>
        </w:tc>
        <w:tc>
          <w:tcPr>
            <w:tcW w:w="10132" w:type="dxa"/>
          </w:tcPr>
          <w:p>
            <w:pPr>
              <w:pStyle w:val="TableParagraph"/>
              <w:spacing w:before="23"/>
              <w:ind w:left="57"/>
              <w:rPr>
                <w:rFonts w:ascii="Arial" w:hAnsi="Arial"/>
                <w:sz w:val="11"/>
              </w:rPr>
            </w:pPr>
            <w:r>
              <w:rPr>
                <w:rFonts w:ascii="Arial" w:hAnsi="Arial"/>
                <w:sz w:val="11"/>
              </w:rPr>
              <w:t>SALIDA - Nº: 2023-001719</w:t>
            </w:r>
          </w:p>
        </w:tc>
        <w:tc>
          <w:tcPr>
            <w:tcW w:w="1622" w:type="dxa"/>
          </w:tcPr>
          <w:p>
            <w:pPr>
              <w:pStyle w:val="TableParagraph"/>
              <w:spacing w:before="23"/>
              <w:ind w:left="57"/>
              <w:rPr>
                <w:rFonts w:ascii="Arial"/>
                <w:sz w:val="11"/>
              </w:rPr>
            </w:pPr>
            <w:r>
              <w:rPr>
                <w:rFonts w:ascii="Arial"/>
                <w:sz w:val="11"/>
              </w:rPr>
              <w:t>Fecha: 29-12-2023 11:10</w:t>
            </w:r>
          </w:p>
        </w:tc>
        <w:tc>
          <w:tcPr>
            <w:tcW w:w="1442" w:type="dxa"/>
            <w:vMerge/>
            <w:tcBorders>
              <w:top w:val="nil"/>
            </w:tcBorders>
          </w:tcPr>
          <w:p>
            <w:pPr>
              <w:rPr>
                <w:sz w:val="2"/>
                <w:szCs w:val="2"/>
              </w:rPr>
            </w:pPr>
          </w:p>
        </w:tc>
      </w:tr>
      <w:tr>
        <w:trPr>
          <w:trHeight w:val="458" w:hRule="atLeast"/>
        </w:trPr>
        <w:tc>
          <w:tcPr>
            <w:tcW w:w="12836" w:type="dxa"/>
            <w:gridSpan w:val="3"/>
          </w:tcPr>
          <w:p>
            <w:pPr>
              <w:pStyle w:val="TableParagraph"/>
              <w:spacing w:line="343" w:lineRule="auto" w:before="72"/>
              <w:ind w:left="3531" w:right="2630"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2" w:type="dxa"/>
            <w:vMerge/>
            <w:tcBorders>
              <w:top w:val="nil"/>
            </w:tcBorders>
          </w:tcPr>
          <w:p>
            <w:pPr>
              <w:rPr>
                <w:sz w:val="2"/>
                <w:szCs w:val="2"/>
              </w:rPr>
            </w:pPr>
          </w:p>
        </w:tc>
      </w:tr>
      <w:tr>
        <w:trPr>
          <w:trHeight w:val="192" w:hRule="atLeast"/>
        </w:trPr>
        <w:tc>
          <w:tcPr>
            <w:tcW w:w="12836" w:type="dxa"/>
            <w:gridSpan w:val="3"/>
          </w:tcPr>
          <w:p>
            <w:pPr>
              <w:pStyle w:val="TableParagraph"/>
              <w:tabs>
                <w:tab w:pos="7424" w:val="left" w:leader="none"/>
                <w:tab w:pos="10190"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7"/>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183/247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6"/>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11:14:27</w:t>
            </w:r>
          </w:p>
        </w:tc>
        <w:tc>
          <w:tcPr>
            <w:tcW w:w="1442" w:type="dxa"/>
            <w:vMerge/>
            <w:tcBorders>
              <w:top w:val="nil"/>
            </w:tcBorders>
          </w:tcPr>
          <w:p>
            <w:pPr>
              <w:rPr>
                <w:sz w:val="2"/>
                <w:szCs w:val="2"/>
              </w:rPr>
            </w:pPr>
          </w:p>
        </w:tc>
      </w:tr>
    </w:tbl>
    <w:p>
      <w:pPr>
        <w:spacing w:after="0"/>
        <w:rPr>
          <w:sz w:val="2"/>
          <w:szCs w:val="2"/>
        </w:rPr>
        <w:sectPr>
          <w:pgSz w:w="16840" w:h="11900" w:orient="landscape"/>
          <w:pgMar w:header="797" w:footer="1006" w:top="1620" w:bottom="1200" w:left="1160" w:right="1160"/>
        </w:sectPr>
      </w:pPr>
    </w:p>
    <w:p>
      <w:pPr>
        <w:spacing w:before="156"/>
        <w:ind w:left="2038" w:right="0" w:firstLine="0"/>
        <w:jc w:val="left"/>
        <w:rPr>
          <w:b/>
          <w:sz w:val="17"/>
        </w:rPr>
      </w:pPr>
      <w:r>
        <w:rPr>
          <w:b/>
          <w:color w:val="53A1B9"/>
          <w:w w:val="105"/>
          <w:sz w:val="18"/>
        </w:rPr>
        <w:t>10.7 Anexo VII. Resultado Presupuestario Ajustado 2022 OOAA y EEPP</w:t>
      </w:r>
      <w:r>
        <w:rPr>
          <w:b/>
          <w:color w:val="53A1B9"/>
          <w:w w:val="105"/>
          <w:sz w:val="17"/>
        </w:rPr>
        <w:t>.</w:t>
      </w:r>
    </w:p>
    <w:p>
      <w:pPr>
        <w:spacing w:before="5"/>
        <w:ind w:left="2038" w:right="0" w:firstLine="0"/>
        <w:jc w:val="left"/>
        <w:rPr>
          <w:sz w:val="12"/>
        </w:rPr>
      </w:pPr>
      <w:r>
        <w:rPr>
          <w:w w:val="105"/>
          <w:sz w:val="12"/>
        </w:rPr>
        <w:t>(Miles de €)</w:t>
      </w:r>
    </w:p>
    <w:tbl>
      <w:tblPr>
        <w:tblW w:w="0" w:type="auto"/>
        <w:jc w:val="left"/>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9"/>
        <w:gridCol w:w="574"/>
        <w:gridCol w:w="574"/>
        <w:gridCol w:w="681"/>
        <w:gridCol w:w="332"/>
        <w:gridCol w:w="573"/>
        <w:gridCol w:w="575"/>
        <w:gridCol w:w="747"/>
        <w:gridCol w:w="517"/>
        <w:gridCol w:w="683"/>
        <w:gridCol w:w="575"/>
        <w:gridCol w:w="577"/>
        <w:gridCol w:w="467"/>
        <w:gridCol w:w="467"/>
        <w:gridCol w:w="681"/>
        <w:gridCol w:w="526"/>
        <w:gridCol w:w="746"/>
      </w:tblGrid>
      <w:tr>
        <w:trPr>
          <w:trHeight w:val="310" w:hRule="atLeast"/>
        </w:trPr>
        <w:tc>
          <w:tcPr>
            <w:tcW w:w="2199" w:type="dxa"/>
            <w:shd w:val="clear" w:color="auto" w:fill="DEEAF6"/>
          </w:tcPr>
          <w:p>
            <w:pPr>
              <w:pStyle w:val="TableParagraph"/>
              <w:spacing w:before="84"/>
              <w:ind w:left="730" w:right="722"/>
              <w:jc w:val="center"/>
              <w:rPr>
                <w:b/>
                <w:sz w:val="12"/>
              </w:rPr>
            </w:pPr>
            <w:r>
              <w:rPr>
                <w:b/>
                <w:w w:val="105"/>
                <w:sz w:val="12"/>
              </w:rPr>
              <w:t>OOAA y EEPP</w:t>
            </w:r>
          </w:p>
        </w:tc>
        <w:tc>
          <w:tcPr>
            <w:tcW w:w="574" w:type="dxa"/>
            <w:shd w:val="clear" w:color="auto" w:fill="DEEAF6"/>
          </w:tcPr>
          <w:p>
            <w:pPr>
              <w:pStyle w:val="TableParagraph"/>
              <w:spacing w:before="84"/>
              <w:ind w:left="164"/>
              <w:rPr>
                <w:b/>
                <w:sz w:val="12"/>
              </w:rPr>
            </w:pPr>
            <w:r>
              <w:rPr>
                <w:b/>
                <w:w w:val="105"/>
                <w:sz w:val="12"/>
              </w:rPr>
              <w:t>ICAP</w:t>
            </w:r>
          </w:p>
        </w:tc>
        <w:tc>
          <w:tcPr>
            <w:tcW w:w="574" w:type="dxa"/>
            <w:shd w:val="clear" w:color="auto" w:fill="DEEAF6"/>
          </w:tcPr>
          <w:p>
            <w:pPr>
              <w:pStyle w:val="TableParagraph"/>
              <w:spacing w:before="84"/>
              <w:ind w:left="139"/>
              <w:rPr>
                <w:b/>
                <w:sz w:val="12"/>
              </w:rPr>
            </w:pPr>
            <w:r>
              <w:rPr>
                <w:b/>
                <w:w w:val="105"/>
                <w:sz w:val="12"/>
              </w:rPr>
              <w:t>ISTAC</w:t>
            </w:r>
          </w:p>
        </w:tc>
        <w:tc>
          <w:tcPr>
            <w:tcW w:w="681" w:type="dxa"/>
            <w:shd w:val="clear" w:color="auto" w:fill="DEEAF6"/>
          </w:tcPr>
          <w:p>
            <w:pPr>
              <w:pStyle w:val="TableParagraph"/>
              <w:spacing w:before="84"/>
              <w:ind w:left="212" w:right="201"/>
              <w:jc w:val="center"/>
              <w:rPr>
                <w:b/>
                <w:sz w:val="12"/>
              </w:rPr>
            </w:pPr>
            <w:r>
              <w:rPr>
                <w:b/>
                <w:w w:val="105"/>
                <w:sz w:val="12"/>
              </w:rPr>
              <w:t>SCE</w:t>
            </w:r>
          </w:p>
        </w:tc>
        <w:tc>
          <w:tcPr>
            <w:tcW w:w="332" w:type="dxa"/>
            <w:shd w:val="clear" w:color="auto" w:fill="DEEAF6"/>
          </w:tcPr>
          <w:p>
            <w:pPr>
              <w:pStyle w:val="TableParagraph"/>
              <w:spacing w:before="84"/>
              <w:ind w:left="98"/>
              <w:rPr>
                <w:b/>
                <w:sz w:val="12"/>
              </w:rPr>
            </w:pPr>
            <w:r>
              <w:rPr>
                <w:b/>
                <w:w w:val="105"/>
                <w:sz w:val="12"/>
              </w:rPr>
              <w:t>ICI</w:t>
            </w:r>
          </w:p>
        </w:tc>
        <w:tc>
          <w:tcPr>
            <w:tcW w:w="573" w:type="dxa"/>
            <w:shd w:val="clear" w:color="auto" w:fill="DEEAF6"/>
          </w:tcPr>
          <w:p>
            <w:pPr>
              <w:pStyle w:val="TableParagraph"/>
              <w:spacing w:before="84"/>
              <w:ind w:left="180"/>
              <w:rPr>
                <w:b/>
                <w:sz w:val="12"/>
              </w:rPr>
            </w:pPr>
            <w:r>
              <w:rPr>
                <w:b/>
                <w:w w:val="105"/>
                <w:sz w:val="12"/>
              </w:rPr>
              <w:t>ICIA</w:t>
            </w:r>
          </w:p>
        </w:tc>
        <w:tc>
          <w:tcPr>
            <w:tcW w:w="575" w:type="dxa"/>
            <w:shd w:val="clear" w:color="auto" w:fill="DEEAF6"/>
          </w:tcPr>
          <w:p>
            <w:pPr>
              <w:pStyle w:val="TableParagraph"/>
              <w:spacing w:before="84"/>
              <w:ind w:left="158"/>
              <w:rPr>
                <w:b/>
                <w:sz w:val="12"/>
              </w:rPr>
            </w:pPr>
            <w:r>
              <w:rPr>
                <w:b/>
                <w:w w:val="105"/>
                <w:sz w:val="12"/>
              </w:rPr>
              <w:t>ICHH</w:t>
            </w:r>
          </w:p>
        </w:tc>
        <w:tc>
          <w:tcPr>
            <w:tcW w:w="747" w:type="dxa"/>
            <w:shd w:val="clear" w:color="auto" w:fill="DEEAF6"/>
          </w:tcPr>
          <w:p>
            <w:pPr>
              <w:pStyle w:val="TableParagraph"/>
              <w:spacing w:before="84"/>
              <w:ind w:left="149" w:right="145"/>
              <w:jc w:val="center"/>
              <w:rPr>
                <w:b/>
                <w:sz w:val="12"/>
              </w:rPr>
            </w:pPr>
            <w:r>
              <w:rPr>
                <w:b/>
                <w:w w:val="105"/>
                <w:sz w:val="12"/>
              </w:rPr>
              <w:t>SCS</w:t>
            </w:r>
          </w:p>
        </w:tc>
        <w:tc>
          <w:tcPr>
            <w:tcW w:w="517" w:type="dxa"/>
            <w:shd w:val="clear" w:color="auto" w:fill="DEEAF6"/>
          </w:tcPr>
          <w:p>
            <w:pPr>
              <w:pStyle w:val="TableParagraph"/>
              <w:spacing w:before="84"/>
              <w:ind w:left="28" w:right="23"/>
              <w:jc w:val="center"/>
              <w:rPr>
                <w:b/>
                <w:sz w:val="12"/>
              </w:rPr>
            </w:pPr>
            <w:r>
              <w:rPr>
                <w:b/>
                <w:w w:val="105"/>
                <w:sz w:val="12"/>
              </w:rPr>
              <w:t>ACCUEE</w:t>
            </w:r>
          </w:p>
        </w:tc>
        <w:tc>
          <w:tcPr>
            <w:tcW w:w="683" w:type="dxa"/>
            <w:shd w:val="clear" w:color="auto" w:fill="DEEAF6"/>
          </w:tcPr>
          <w:p>
            <w:pPr>
              <w:pStyle w:val="TableParagraph"/>
              <w:spacing w:before="84"/>
              <w:ind w:left="197"/>
              <w:rPr>
                <w:b/>
                <w:sz w:val="12"/>
              </w:rPr>
            </w:pPr>
            <w:r>
              <w:rPr>
                <w:b/>
                <w:w w:val="105"/>
                <w:sz w:val="12"/>
              </w:rPr>
              <w:t>ICAVI</w:t>
            </w:r>
          </w:p>
        </w:tc>
        <w:tc>
          <w:tcPr>
            <w:tcW w:w="575" w:type="dxa"/>
            <w:shd w:val="clear" w:color="auto" w:fill="DEEAF6"/>
          </w:tcPr>
          <w:p>
            <w:pPr>
              <w:pStyle w:val="TableParagraph"/>
              <w:spacing w:before="84"/>
              <w:ind w:left="163"/>
              <w:rPr>
                <w:b/>
                <w:sz w:val="12"/>
              </w:rPr>
            </w:pPr>
            <w:r>
              <w:rPr>
                <w:b/>
                <w:w w:val="105"/>
                <w:sz w:val="12"/>
              </w:rPr>
              <w:t>ICCA</w:t>
            </w:r>
          </w:p>
        </w:tc>
        <w:tc>
          <w:tcPr>
            <w:tcW w:w="577" w:type="dxa"/>
            <w:shd w:val="clear" w:color="auto" w:fill="DEEAF6"/>
          </w:tcPr>
          <w:p>
            <w:pPr>
              <w:pStyle w:val="TableParagraph"/>
              <w:spacing w:before="84"/>
              <w:ind w:right="113"/>
              <w:jc w:val="right"/>
              <w:rPr>
                <w:b/>
                <w:sz w:val="12"/>
              </w:rPr>
            </w:pPr>
            <w:r>
              <w:rPr>
                <w:b/>
                <w:sz w:val="12"/>
              </w:rPr>
              <w:t>APMN</w:t>
            </w:r>
          </w:p>
        </w:tc>
        <w:tc>
          <w:tcPr>
            <w:tcW w:w="467" w:type="dxa"/>
            <w:shd w:val="clear" w:color="auto" w:fill="DEEAF6"/>
          </w:tcPr>
          <w:p>
            <w:pPr>
              <w:pStyle w:val="TableParagraph"/>
              <w:spacing w:before="84"/>
              <w:ind w:left="27" w:right="27"/>
              <w:jc w:val="center"/>
              <w:rPr>
                <w:b/>
                <w:sz w:val="12"/>
              </w:rPr>
            </w:pPr>
            <w:r>
              <w:rPr>
                <w:b/>
                <w:w w:val="105"/>
                <w:sz w:val="12"/>
              </w:rPr>
              <w:t>CES</w:t>
            </w:r>
          </w:p>
        </w:tc>
        <w:tc>
          <w:tcPr>
            <w:tcW w:w="467" w:type="dxa"/>
            <w:shd w:val="clear" w:color="auto" w:fill="DEEAF6"/>
          </w:tcPr>
          <w:p>
            <w:pPr>
              <w:pStyle w:val="TableParagraph"/>
              <w:spacing w:before="84"/>
              <w:ind w:right="92"/>
              <w:jc w:val="right"/>
              <w:rPr>
                <w:b/>
                <w:sz w:val="12"/>
              </w:rPr>
            </w:pPr>
            <w:r>
              <w:rPr>
                <w:b/>
                <w:sz w:val="12"/>
              </w:rPr>
              <w:t>RTVC</w:t>
            </w:r>
          </w:p>
        </w:tc>
        <w:tc>
          <w:tcPr>
            <w:tcW w:w="681" w:type="dxa"/>
            <w:shd w:val="clear" w:color="auto" w:fill="DEEAF6"/>
          </w:tcPr>
          <w:p>
            <w:pPr>
              <w:pStyle w:val="TableParagraph"/>
              <w:spacing w:before="84"/>
              <w:ind w:left="212" w:right="212"/>
              <w:jc w:val="center"/>
              <w:rPr>
                <w:b/>
                <w:sz w:val="12"/>
              </w:rPr>
            </w:pPr>
            <w:r>
              <w:rPr>
                <w:b/>
                <w:w w:val="105"/>
                <w:sz w:val="12"/>
              </w:rPr>
              <w:t>ATC</w:t>
            </w:r>
          </w:p>
        </w:tc>
        <w:tc>
          <w:tcPr>
            <w:tcW w:w="526" w:type="dxa"/>
            <w:shd w:val="clear" w:color="auto" w:fill="DEEAF6"/>
          </w:tcPr>
          <w:p>
            <w:pPr>
              <w:pStyle w:val="TableParagraph"/>
              <w:spacing w:before="84"/>
              <w:ind w:right="45"/>
              <w:jc w:val="right"/>
              <w:rPr>
                <w:b/>
                <w:sz w:val="12"/>
              </w:rPr>
            </w:pPr>
            <w:r>
              <w:rPr>
                <w:b/>
                <w:w w:val="105"/>
                <w:sz w:val="12"/>
              </w:rPr>
              <w:t>RINCON</w:t>
            </w:r>
          </w:p>
        </w:tc>
        <w:tc>
          <w:tcPr>
            <w:tcW w:w="746" w:type="dxa"/>
            <w:shd w:val="clear" w:color="auto" w:fill="DEEAF6"/>
          </w:tcPr>
          <w:p>
            <w:pPr>
              <w:pStyle w:val="TableParagraph"/>
              <w:spacing w:before="84"/>
              <w:ind w:left="198"/>
              <w:rPr>
                <w:b/>
                <w:sz w:val="12"/>
              </w:rPr>
            </w:pPr>
            <w:r>
              <w:rPr>
                <w:b/>
                <w:w w:val="105"/>
                <w:sz w:val="12"/>
              </w:rPr>
              <w:t>TOTAL</w:t>
            </w:r>
          </w:p>
        </w:tc>
      </w:tr>
      <w:tr>
        <w:trPr>
          <w:trHeight w:val="230" w:hRule="atLeast"/>
        </w:trPr>
        <w:tc>
          <w:tcPr>
            <w:tcW w:w="2199" w:type="dxa"/>
          </w:tcPr>
          <w:p>
            <w:pPr>
              <w:pStyle w:val="TableParagraph"/>
              <w:spacing w:before="43"/>
              <w:ind w:left="52"/>
              <w:rPr>
                <w:sz w:val="12"/>
              </w:rPr>
            </w:pPr>
            <w:r>
              <w:rPr>
                <w:w w:val="105"/>
                <w:sz w:val="12"/>
              </w:rPr>
              <w:t>a. Operaciones corrientes</w:t>
            </w:r>
          </w:p>
        </w:tc>
        <w:tc>
          <w:tcPr>
            <w:tcW w:w="574" w:type="dxa"/>
          </w:tcPr>
          <w:p>
            <w:pPr>
              <w:pStyle w:val="TableParagraph"/>
              <w:spacing w:before="43"/>
              <w:ind w:left="79"/>
              <w:rPr>
                <w:sz w:val="12"/>
              </w:rPr>
            </w:pPr>
            <w:r>
              <w:rPr>
                <w:w w:val="105"/>
                <w:sz w:val="12"/>
              </w:rPr>
              <w:t>1.011,35</w:t>
            </w:r>
          </w:p>
        </w:tc>
        <w:tc>
          <w:tcPr>
            <w:tcW w:w="574" w:type="dxa"/>
          </w:tcPr>
          <w:p>
            <w:pPr>
              <w:pStyle w:val="TableParagraph"/>
              <w:spacing w:before="43"/>
              <w:ind w:left="172"/>
              <w:rPr>
                <w:sz w:val="12"/>
              </w:rPr>
            </w:pPr>
            <w:r>
              <w:rPr>
                <w:w w:val="105"/>
                <w:sz w:val="12"/>
              </w:rPr>
              <w:t>376,17</w:t>
            </w:r>
          </w:p>
        </w:tc>
        <w:tc>
          <w:tcPr>
            <w:tcW w:w="681" w:type="dxa"/>
          </w:tcPr>
          <w:p>
            <w:pPr>
              <w:pStyle w:val="TableParagraph"/>
              <w:spacing w:before="43"/>
              <w:ind w:right="40"/>
              <w:jc w:val="right"/>
              <w:rPr>
                <w:sz w:val="12"/>
              </w:rPr>
            </w:pPr>
            <w:r>
              <w:rPr>
                <w:w w:val="105"/>
                <w:sz w:val="12"/>
              </w:rPr>
              <w:t>-39.028,11</w:t>
            </w:r>
          </w:p>
        </w:tc>
        <w:tc>
          <w:tcPr>
            <w:tcW w:w="332" w:type="dxa"/>
          </w:tcPr>
          <w:p>
            <w:pPr>
              <w:pStyle w:val="TableParagraph"/>
              <w:spacing w:before="43"/>
              <w:ind w:left="55"/>
              <w:rPr>
                <w:sz w:val="12"/>
              </w:rPr>
            </w:pPr>
            <w:r>
              <w:rPr>
                <w:w w:val="105"/>
                <w:sz w:val="12"/>
              </w:rPr>
              <w:t>0,00</w:t>
            </w:r>
          </w:p>
        </w:tc>
        <w:tc>
          <w:tcPr>
            <w:tcW w:w="573" w:type="dxa"/>
          </w:tcPr>
          <w:p>
            <w:pPr>
              <w:pStyle w:val="TableParagraph"/>
              <w:spacing w:before="43"/>
              <w:ind w:right="41"/>
              <w:jc w:val="right"/>
              <w:rPr>
                <w:sz w:val="12"/>
              </w:rPr>
            </w:pPr>
            <w:r>
              <w:rPr>
                <w:sz w:val="12"/>
              </w:rPr>
              <w:t>833,51</w:t>
            </w:r>
          </w:p>
        </w:tc>
        <w:tc>
          <w:tcPr>
            <w:tcW w:w="575" w:type="dxa"/>
          </w:tcPr>
          <w:p>
            <w:pPr>
              <w:pStyle w:val="TableParagraph"/>
              <w:spacing w:before="43"/>
              <w:ind w:left="172"/>
              <w:rPr>
                <w:sz w:val="12"/>
              </w:rPr>
            </w:pPr>
            <w:r>
              <w:rPr>
                <w:w w:val="105"/>
                <w:sz w:val="12"/>
              </w:rPr>
              <w:t>709,46</w:t>
            </w:r>
          </w:p>
        </w:tc>
        <w:tc>
          <w:tcPr>
            <w:tcW w:w="747" w:type="dxa"/>
          </w:tcPr>
          <w:p>
            <w:pPr>
              <w:pStyle w:val="TableParagraph"/>
              <w:spacing w:before="43"/>
              <w:ind w:right="44"/>
              <w:jc w:val="right"/>
              <w:rPr>
                <w:sz w:val="12"/>
              </w:rPr>
            </w:pPr>
            <w:r>
              <w:rPr>
                <w:w w:val="105"/>
                <w:sz w:val="12"/>
              </w:rPr>
              <w:t>-148.812,02</w:t>
            </w:r>
          </w:p>
        </w:tc>
        <w:tc>
          <w:tcPr>
            <w:tcW w:w="517" w:type="dxa"/>
          </w:tcPr>
          <w:p>
            <w:pPr>
              <w:pStyle w:val="TableParagraph"/>
              <w:spacing w:before="43"/>
              <w:ind w:left="92" w:right="23"/>
              <w:jc w:val="center"/>
              <w:rPr>
                <w:sz w:val="12"/>
              </w:rPr>
            </w:pPr>
            <w:r>
              <w:rPr>
                <w:w w:val="105"/>
                <w:sz w:val="12"/>
              </w:rPr>
              <w:t>231,60</w:t>
            </w:r>
          </w:p>
        </w:tc>
        <w:tc>
          <w:tcPr>
            <w:tcW w:w="683" w:type="dxa"/>
          </w:tcPr>
          <w:p>
            <w:pPr>
              <w:pStyle w:val="TableParagraph"/>
              <w:spacing w:before="43"/>
              <w:ind w:right="44"/>
              <w:jc w:val="right"/>
              <w:rPr>
                <w:sz w:val="12"/>
              </w:rPr>
            </w:pPr>
            <w:r>
              <w:rPr>
                <w:w w:val="105"/>
                <w:sz w:val="12"/>
              </w:rPr>
              <w:t>23.241,85</w:t>
            </w:r>
          </w:p>
        </w:tc>
        <w:tc>
          <w:tcPr>
            <w:tcW w:w="575" w:type="dxa"/>
          </w:tcPr>
          <w:p>
            <w:pPr>
              <w:pStyle w:val="TableParagraph"/>
              <w:spacing w:before="43"/>
              <w:ind w:right="43"/>
              <w:jc w:val="right"/>
              <w:rPr>
                <w:sz w:val="12"/>
              </w:rPr>
            </w:pPr>
            <w:r>
              <w:rPr>
                <w:sz w:val="12"/>
              </w:rPr>
              <w:t>350,78</w:t>
            </w:r>
          </w:p>
        </w:tc>
        <w:tc>
          <w:tcPr>
            <w:tcW w:w="577" w:type="dxa"/>
          </w:tcPr>
          <w:p>
            <w:pPr>
              <w:pStyle w:val="TableParagraph"/>
              <w:spacing w:before="43"/>
              <w:ind w:right="46"/>
              <w:jc w:val="right"/>
              <w:rPr>
                <w:sz w:val="12"/>
              </w:rPr>
            </w:pPr>
            <w:r>
              <w:rPr>
                <w:w w:val="105"/>
                <w:sz w:val="12"/>
              </w:rPr>
              <w:t>4.460,44</w:t>
            </w:r>
          </w:p>
        </w:tc>
        <w:tc>
          <w:tcPr>
            <w:tcW w:w="467" w:type="dxa"/>
          </w:tcPr>
          <w:p>
            <w:pPr>
              <w:pStyle w:val="TableParagraph"/>
              <w:spacing w:before="43"/>
              <w:ind w:left="37" w:right="27"/>
              <w:jc w:val="center"/>
              <w:rPr>
                <w:sz w:val="12"/>
              </w:rPr>
            </w:pPr>
            <w:r>
              <w:rPr>
                <w:w w:val="105"/>
                <w:sz w:val="12"/>
              </w:rPr>
              <w:t>145,94</w:t>
            </w:r>
          </w:p>
        </w:tc>
        <w:tc>
          <w:tcPr>
            <w:tcW w:w="467" w:type="dxa"/>
          </w:tcPr>
          <w:p>
            <w:pPr>
              <w:pStyle w:val="TableParagraph"/>
              <w:spacing w:before="43"/>
              <w:ind w:right="47"/>
              <w:jc w:val="right"/>
              <w:rPr>
                <w:sz w:val="12"/>
              </w:rPr>
            </w:pPr>
            <w:r>
              <w:rPr>
                <w:sz w:val="12"/>
              </w:rPr>
              <w:t>140,12</w:t>
            </w:r>
          </w:p>
        </w:tc>
        <w:tc>
          <w:tcPr>
            <w:tcW w:w="681" w:type="dxa"/>
          </w:tcPr>
          <w:p>
            <w:pPr>
              <w:pStyle w:val="TableParagraph"/>
              <w:spacing w:before="43"/>
              <w:ind w:right="47"/>
              <w:jc w:val="right"/>
              <w:rPr>
                <w:sz w:val="12"/>
              </w:rPr>
            </w:pPr>
            <w:r>
              <w:rPr>
                <w:w w:val="105"/>
                <w:sz w:val="12"/>
              </w:rPr>
              <w:t>-35.818,33</w:t>
            </w:r>
          </w:p>
        </w:tc>
        <w:tc>
          <w:tcPr>
            <w:tcW w:w="526" w:type="dxa"/>
          </w:tcPr>
          <w:p>
            <w:pPr>
              <w:pStyle w:val="TableParagraph"/>
              <w:spacing w:before="43"/>
              <w:ind w:right="45"/>
              <w:jc w:val="right"/>
              <w:rPr>
                <w:sz w:val="12"/>
              </w:rPr>
            </w:pPr>
            <w:r>
              <w:rPr>
                <w:sz w:val="12"/>
              </w:rPr>
              <w:t>0,00</w:t>
            </w:r>
          </w:p>
        </w:tc>
        <w:tc>
          <w:tcPr>
            <w:tcW w:w="746" w:type="dxa"/>
          </w:tcPr>
          <w:p>
            <w:pPr>
              <w:pStyle w:val="TableParagraph"/>
              <w:spacing w:before="43"/>
              <w:ind w:right="47"/>
              <w:jc w:val="right"/>
              <w:rPr>
                <w:sz w:val="12"/>
              </w:rPr>
            </w:pPr>
            <w:r>
              <w:rPr>
                <w:w w:val="105"/>
                <w:sz w:val="12"/>
              </w:rPr>
              <w:t>-192.157,24</w:t>
            </w:r>
          </w:p>
        </w:tc>
      </w:tr>
      <w:tr>
        <w:trPr>
          <w:trHeight w:val="230" w:hRule="atLeast"/>
        </w:trPr>
        <w:tc>
          <w:tcPr>
            <w:tcW w:w="2199" w:type="dxa"/>
          </w:tcPr>
          <w:p>
            <w:pPr>
              <w:pStyle w:val="TableParagraph"/>
              <w:spacing w:before="43"/>
              <w:ind w:left="52"/>
              <w:rPr>
                <w:sz w:val="12"/>
              </w:rPr>
            </w:pPr>
            <w:r>
              <w:rPr>
                <w:w w:val="105"/>
                <w:sz w:val="12"/>
              </w:rPr>
              <w:t>b. Operaciones de capital</w:t>
            </w:r>
          </w:p>
        </w:tc>
        <w:tc>
          <w:tcPr>
            <w:tcW w:w="574" w:type="dxa"/>
          </w:tcPr>
          <w:p>
            <w:pPr>
              <w:pStyle w:val="TableParagraph"/>
              <w:spacing w:before="43"/>
              <w:ind w:right="41"/>
              <w:jc w:val="right"/>
              <w:rPr>
                <w:sz w:val="12"/>
              </w:rPr>
            </w:pPr>
            <w:r>
              <w:rPr>
                <w:sz w:val="12"/>
              </w:rPr>
              <w:t>17,24</w:t>
            </w:r>
          </w:p>
        </w:tc>
        <w:tc>
          <w:tcPr>
            <w:tcW w:w="574" w:type="dxa"/>
          </w:tcPr>
          <w:p>
            <w:pPr>
              <w:pStyle w:val="TableParagraph"/>
              <w:spacing w:before="43"/>
              <w:ind w:left="172"/>
              <w:rPr>
                <w:sz w:val="12"/>
              </w:rPr>
            </w:pPr>
            <w:r>
              <w:rPr>
                <w:w w:val="105"/>
                <w:sz w:val="12"/>
              </w:rPr>
              <w:t>727,87</w:t>
            </w:r>
          </w:p>
        </w:tc>
        <w:tc>
          <w:tcPr>
            <w:tcW w:w="681" w:type="dxa"/>
          </w:tcPr>
          <w:p>
            <w:pPr>
              <w:pStyle w:val="TableParagraph"/>
              <w:spacing w:before="43"/>
              <w:ind w:right="40"/>
              <w:jc w:val="right"/>
              <w:rPr>
                <w:sz w:val="12"/>
              </w:rPr>
            </w:pPr>
            <w:r>
              <w:rPr>
                <w:w w:val="105"/>
                <w:sz w:val="12"/>
              </w:rPr>
              <w:t>-3.453,03</w:t>
            </w:r>
          </w:p>
        </w:tc>
        <w:tc>
          <w:tcPr>
            <w:tcW w:w="332" w:type="dxa"/>
          </w:tcPr>
          <w:p>
            <w:pPr>
              <w:pStyle w:val="TableParagraph"/>
              <w:spacing w:before="43"/>
              <w:ind w:left="55"/>
              <w:rPr>
                <w:sz w:val="12"/>
              </w:rPr>
            </w:pPr>
            <w:r>
              <w:rPr>
                <w:w w:val="105"/>
                <w:sz w:val="12"/>
              </w:rPr>
              <w:t>0,00</w:t>
            </w:r>
          </w:p>
        </w:tc>
        <w:tc>
          <w:tcPr>
            <w:tcW w:w="573" w:type="dxa"/>
          </w:tcPr>
          <w:p>
            <w:pPr>
              <w:pStyle w:val="TableParagraph"/>
              <w:spacing w:before="43"/>
              <w:ind w:right="40"/>
              <w:jc w:val="right"/>
              <w:rPr>
                <w:sz w:val="12"/>
              </w:rPr>
            </w:pPr>
            <w:r>
              <w:rPr>
                <w:w w:val="105"/>
                <w:sz w:val="12"/>
              </w:rPr>
              <w:t>1.162,35</w:t>
            </w:r>
          </w:p>
        </w:tc>
        <w:tc>
          <w:tcPr>
            <w:tcW w:w="575" w:type="dxa"/>
          </w:tcPr>
          <w:p>
            <w:pPr>
              <w:pStyle w:val="TableParagraph"/>
              <w:spacing w:before="43"/>
              <w:ind w:right="41"/>
              <w:jc w:val="right"/>
              <w:rPr>
                <w:sz w:val="12"/>
              </w:rPr>
            </w:pPr>
            <w:r>
              <w:rPr>
                <w:sz w:val="12"/>
              </w:rPr>
              <w:t>0,00</w:t>
            </w:r>
          </w:p>
        </w:tc>
        <w:tc>
          <w:tcPr>
            <w:tcW w:w="747" w:type="dxa"/>
          </w:tcPr>
          <w:p>
            <w:pPr>
              <w:pStyle w:val="TableParagraph"/>
              <w:spacing w:before="43"/>
              <w:ind w:right="44"/>
              <w:jc w:val="right"/>
              <w:rPr>
                <w:sz w:val="12"/>
              </w:rPr>
            </w:pPr>
            <w:r>
              <w:rPr>
                <w:w w:val="105"/>
                <w:sz w:val="12"/>
              </w:rPr>
              <w:t>116.974,32</w:t>
            </w:r>
          </w:p>
        </w:tc>
        <w:tc>
          <w:tcPr>
            <w:tcW w:w="517" w:type="dxa"/>
          </w:tcPr>
          <w:p>
            <w:pPr>
              <w:pStyle w:val="TableParagraph"/>
              <w:spacing w:before="43"/>
              <w:ind w:left="155" w:right="23"/>
              <w:jc w:val="center"/>
              <w:rPr>
                <w:sz w:val="12"/>
              </w:rPr>
            </w:pPr>
            <w:r>
              <w:rPr>
                <w:w w:val="105"/>
                <w:sz w:val="12"/>
              </w:rPr>
              <w:t>20,47</w:t>
            </w:r>
          </w:p>
        </w:tc>
        <w:tc>
          <w:tcPr>
            <w:tcW w:w="683" w:type="dxa"/>
          </w:tcPr>
          <w:p>
            <w:pPr>
              <w:pStyle w:val="TableParagraph"/>
              <w:spacing w:before="43"/>
              <w:ind w:right="44"/>
              <w:jc w:val="right"/>
              <w:rPr>
                <w:sz w:val="12"/>
              </w:rPr>
            </w:pPr>
            <w:r>
              <w:rPr>
                <w:w w:val="105"/>
                <w:sz w:val="12"/>
              </w:rPr>
              <w:t>17.501,19</w:t>
            </w:r>
          </w:p>
        </w:tc>
        <w:tc>
          <w:tcPr>
            <w:tcW w:w="575" w:type="dxa"/>
          </w:tcPr>
          <w:p>
            <w:pPr>
              <w:pStyle w:val="TableParagraph"/>
              <w:spacing w:before="43"/>
              <w:ind w:right="43"/>
              <w:jc w:val="right"/>
              <w:rPr>
                <w:sz w:val="12"/>
              </w:rPr>
            </w:pPr>
            <w:r>
              <w:rPr>
                <w:w w:val="105"/>
                <w:sz w:val="12"/>
              </w:rPr>
              <w:t>1.647,85</w:t>
            </w:r>
          </w:p>
        </w:tc>
        <w:tc>
          <w:tcPr>
            <w:tcW w:w="577" w:type="dxa"/>
          </w:tcPr>
          <w:p>
            <w:pPr>
              <w:pStyle w:val="TableParagraph"/>
              <w:spacing w:before="43"/>
              <w:ind w:right="46"/>
              <w:jc w:val="right"/>
              <w:rPr>
                <w:sz w:val="12"/>
              </w:rPr>
            </w:pPr>
            <w:r>
              <w:rPr>
                <w:w w:val="105"/>
                <w:sz w:val="12"/>
              </w:rPr>
              <w:t>3.313,91</w:t>
            </w:r>
          </w:p>
        </w:tc>
        <w:tc>
          <w:tcPr>
            <w:tcW w:w="467" w:type="dxa"/>
          </w:tcPr>
          <w:p>
            <w:pPr>
              <w:pStyle w:val="TableParagraph"/>
              <w:spacing w:before="43"/>
              <w:ind w:left="162" w:right="25"/>
              <w:jc w:val="center"/>
              <w:rPr>
                <w:sz w:val="12"/>
              </w:rPr>
            </w:pPr>
            <w:r>
              <w:rPr>
                <w:w w:val="105"/>
                <w:sz w:val="12"/>
              </w:rPr>
              <w:t>7,28</w:t>
            </w:r>
          </w:p>
        </w:tc>
        <w:tc>
          <w:tcPr>
            <w:tcW w:w="467" w:type="dxa"/>
          </w:tcPr>
          <w:p>
            <w:pPr>
              <w:pStyle w:val="TableParagraph"/>
              <w:spacing w:before="43"/>
              <w:ind w:right="47"/>
              <w:jc w:val="right"/>
              <w:rPr>
                <w:sz w:val="12"/>
              </w:rPr>
            </w:pPr>
            <w:r>
              <w:rPr>
                <w:sz w:val="12"/>
              </w:rPr>
              <w:t>0,34</w:t>
            </w:r>
          </w:p>
        </w:tc>
        <w:tc>
          <w:tcPr>
            <w:tcW w:w="681" w:type="dxa"/>
          </w:tcPr>
          <w:p>
            <w:pPr>
              <w:pStyle w:val="TableParagraph"/>
              <w:spacing w:before="43"/>
              <w:ind w:right="47"/>
              <w:jc w:val="right"/>
              <w:rPr>
                <w:sz w:val="12"/>
              </w:rPr>
            </w:pPr>
            <w:r>
              <w:rPr>
                <w:w w:val="105"/>
                <w:sz w:val="12"/>
              </w:rPr>
              <w:t>6.259,40</w:t>
            </w:r>
          </w:p>
        </w:tc>
        <w:tc>
          <w:tcPr>
            <w:tcW w:w="526" w:type="dxa"/>
          </w:tcPr>
          <w:p>
            <w:pPr>
              <w:pStyle w:val="TableParagraph"/>
              <w:spacing w:before="43"/>
              <w:ind w:right="45"/>
              <w:jc w:val="right"/>
              <w:rPr>
                <w:sz w:val="12"/>
              </w:rPr>
            </w:pPr>
            <w:r>
              <w:rPr>
                <w:sz w:val="12"/>
              </w:rPr>
              <w:t>0,00</w:t>
            </w:r>
          </w:p>
        </w:tc>
        <w:tc>
          <w:tcPr>
            <w:tcW w:w="746" w:type="dxa"/>
          </w:tcPr>
          <w:p>
            <w:pPr>
              <w:pStyle w:val="TableParagraph"/>
              <w:spacing w:before="43"/>
              <w:ind w:right="47"/>
              <w:jc w:val="right"/>
              <w:rPr>
                <w:sz w:val="12"/>
              </w:rPr>
            </w:pPr>
            <w:r>
              <w:rPr>
                <w:w w:val="105"/>
                <w:sz w:val="12"/>
              </w:rPr>
              <w:t>144.179,19</w:t>
            </w:r>
          </w:p>
        </w:tc>
      </w:tr>
      <w:tr>
        <w:trPr>
          <w:trHeight w:val="232" w:hRule="atLeast"/>
        </w:trPr>
        <w:tc>
          <w:tcPr>
            <w:tcW w:w="2199" w:type="dxa"/>
          </w:tcPr>
          <w:p>
            <w:pPr>
              <w:pStyle w:val="TableParagraph"/>
              <w:spacing w:before="43"/>
              <w:ind w:left="52"/>
              <w:rPr>
                <w:sz w:val="12"/>
              </w:rPr>
            </w:pPr>
            <w:r>
              <w:rPr>
                <w:w w:val="105"/>
                <w:sz w:val="12"/>
              </w:rPr>
              <w:t>c. Operaciones comerciales</w:t>
            </w:r>
          </w:p>
        </w:tc>
        <w:tc>
          <w:tcPr>
            <w:tcW w:w="574" w:type="dxa"/>
          </w:tcPr>
          <w:p>
            <w:pPr>
              <w:pStyle w:val="TableParagraph"/>
              <w:spacing w:before="43"/>
              <w:ind w:right="41"/>
              <w:jc w:val="right"/>
              <w:rPr>
                <w:sz w:val="12"/>
              </w:rPr>
            </w:pPr>
            <w:r>
              <w:rPr>
                <w:sz w:val="12"/>
              </w:rPr>
              <w:t>0,00</w:t>
            </w:r>
          </w:p>
        </w:tc>
        <w:tc>
          <w:tcPr>
            <w:tcW w:w="574" w:type="dxa"/>
          </w:tcPr>
          <w:p>
            <w:pPr>
              <w:pStyle w:val="TableParagraph"/>
              <w:spacing w:before="43"/>
              <w:ind w:right="40"/>
              <w:jc w:val="right"/>
              <w:rPr>
                <w:sz w:val="12"/>
              </w:rPr>
            </w:pPr>
            <w:r>
              <w:rPr>
                <w:sz w:val="12"/>
              </w:rPr>
              <w:t>0,00</w:t>
            </w:r>
          </w:p>
        </w:tc>
        <w:tc>
          <w:tcPr>
            <w:tcW w:w="681" w:type="dxa"/>
          </w:tcPr>
          <w:p>
            <w:pPr>
              <w:pStyle w:val="TableParagraph"/>
              <w:spacing w:before="43"/>
              <w:ind w:right="40"/>
              <w:jc w:val="right"/>
              <w:rPr>
                <w:sz w:val="12"/>
              </w:rPr>
            </w:pPr>
            <w:r>
              <w:rPr>
                <w:sz w:val="12"/>
              </w:rPr>
              <w:t>0,00</w:t>
            </w:r>
          </w:p>
        </w:tc>
        <w:tc>
          <w:tcPr>
            <w:tcW w:w="332" w:type="dxa"/>
          </w:tcPr>
          <w:p>
            <w:pPr>
              <w:pStyle w:val="TableParagraph"/>
              <w:spacing w:before="43"/>
              <w:ind w:left="55"/>
              <w:rPr>
                <w:sz w:val="12"/>
              </w:rPr>
            </w:pPr>
            <w:r>
              <w:rPr>
                <w:w w:val="105"/>
                <w:sz w:val="12"/>
              </w:rPr>
              <w:t>0,00</w:t>
            </w:r>
          </w:p>
        </w:tc>
        <w:tc>
          <w:tcPr>
            <w:tcW w:w="573" w:type="dxa"/>
          </w:tcPr>
          <w:p>
            <w:pPr>
              <w:pStyle w:val="TableParagraph"/>
              <w:spacing w:before="43"/>
              <w:ind w:right="41"/>
              <w:jc w:val="right"/>
              <w:rPr>
                <w:sz w:val="12"/>
              </w:rPr>
            </w:pPr>
            <w:r>
              <w:rPr>
                <w:sz w:val="12"/>
              </w:rPr>
              <w:t>0,00</w:t>
            </w:r>
          </w:p>
        </w:tc>
        <w:tc>
          <w:tcPr>
            <w:tcW w:w="575" w:type="dxa"/>
          </w:tcPr>
          <w:p>
            <w:pPr>
              <w:pStyle w:val="TableParagraph"/>
              <w:spacing w:before="43"/>
              <w:ind w:left="172"/>
              <w:rPr>
                <w:sz w:val="12"/>
              </w:rPr>
            </w:pPr>
            <w:r>
              <w:rPr>
                <w:w w:val="105"/>
                <w:sz w:val="12"/>
              </w:rPr>
              <w:t>496,98</w:t>
            </w:r>
          </w:p>
        </w:tc>
        <w:tc>
          <w:tcPr>
            <w:tcW w:w="747" w:type="dxa"/>
          </w:tcPr>
          <w:p>
            <w:pPr>
              <w:pStyle w:val="TableParagraph"/>
              <w:spacing w:before="43"/>
              <w:ind w:right="44"/>
              <w:jc w:val="right"/>
              <w:rPr>
                <w:sz w:val="12"/>
              </w:rPr>
            </w:pPr>
            <w:r>
              <w:rPr>
                <w:sz w:val="12"/>
              </w:rPr>
              <w:t>0,00</w:t>
            </w:r>
          </w:p>
        </w:tc>
        <w:tc>
          <w:tcPr>
            <w:tcW w:w="517" w:type="dxa"/>
          </w:tcPr>
          <w:p>
            <w:pPr>
              <w:pStyle w:val="TableParagraph"/>
              <w:spacing w:before="43"/>
              <w:ind w:left="217" w:right="21"/>
              <w:jc w:val="center"/>
              <w:rPr>
                <w:sz w:val="12"/>
              </w:rPr>
            </w:pPr>
            <w:r>
              <w:rPr>
                <w:w w:val="105"/>
                <w:sz w:val="12"/>
              </w:rPr>
              <w:t>0,00</w:t>
            </w:r>
          </w:p>
        </w:tc>
        <w:tc>
          <w:tcPr>
            <w:tcW w:w="683" w:type="dxa"/>
          </w:tcPr>
          <w:p>
            <w:pPr>
              <w:pStyle w:val="TableParagraph"/>
              <w:spacing w:before="43"/>
              <w:ind w:right="44"/>
              <w:jc w:val="right"/>
              <w:rPr>
                <w:sz w:val="12"/>
              </w:rPr>
            </w:pPr>
            <w:r>
              <w:rPr>
                <w:sz w:val="12"/>
              </w:rPr>
              <w:t>0,00</w:t>
            </w:r>
          </w:p>
        </w:tc>
        <w:tc>
          <w:tcPr>
            <w:tcW w:w="575" w:type="dxa"/>
          </w:tcPr>
          <w:p>
            <w:pPr>
              <w:pStyle w:val="TableParagraph"/>
              <w:spacing w:before="43"/>
              <w:ind w:right="43"/>
              <w:jc w:val="right"/>
              <w:rPr>
                <w:sz w:val="12"/>
              </w:rPr>
            </w:pPr>
            <w:r>
              <w:rPr>
                <w:sz w:val="12"/>
              </w:rPr>
              <w:t>0,00</w:t>
            </w:r>
          </w:p>
        </w:tc>
        <w:tc>
          <w:tcPr>
            <w:tcW w:w="577" w:type="dxa"/>
          </w:tcPr>
          <w:p>
            <w:pPr>
              <w:pStyle w:val="TableParagraph"/>
              <w:spacing w:before="4"/>
              <w:ind w:right="46"/>
              <w:jc w:val="right"/>
              <w:rPr>
                <w:sz w:val="12"/>
              </w:rPr>
            </w:pPr>
            <w:r>
              <w:rPr>
                <w:sz w:val="12"/>
              </w:rPr>
              <w:t>0,00</w:t>
            </w:r>
          </w:p>
        </w:tc>
        <w:tc>
          <w:tcPr>
            <w:tcW w:w="467" w:type="dxa"/>
          </w:tcPr>
          <w:p>
            <w:pPr>
              <w:pStyle w:val="TableParagraph"/>
              <w:spacing w:before="43"/>
              <w:ind w:left="162" w:right="25"/>
              <w:jc w:val="center"/>
              <w:rPr>
                <w:sz w:val="12"/>
              </w:rPr>
            </w:pPr>
            <w:r>
              <w:rPr>
                <w:w w:val="105"/>
                <w:sz w:val="12"/>
              </w:rPr>
              <w:t>0,00</w:t>
            </w:r>
          </w:p>
        </w:tc>
        <w:tc>
          <w:tcPr>
            <w:tcW w:w="467" w:type="dxa"/>
          </w:tcPr>
          <w:p>
            <w:pPr>
              <w:pStyle w:val="TableParagraph"/>
              <w:spacing w:before="43"/>
              <w:ind w:right="47"/>
              <w:jc w:val="right"/>
              <w:rPr>
                <w:sz w:val="12"/>
              </w:rPr>
            </w:pPr>
            <w:r>
              <w:rPr>
                <w:sz w:val="12"/>
              </w:rPr>
              <w:t>0,00</w:t>
            </w:r>
          </w:p>
        </w:tc>
        <w:tc>
          <w:tcPr>
            <w:tcW w:w="681" w:type="dxa"/>
          </w:tcPr>
          <w:p>
            <w:pPr>
              <w:pStyle w:val="TableParagraph"/>
              <w:spacing w:before="43"/>
              <w:ind w:right="47"/>
              <w:jc w:val="right"/>
              <w:rPr>
                <w:sz w:val="12"/>
              </w:rPr>
            </w:pPr>
            <w:r>
              <w:rPr>
                <w:sz w:val="12"/>
              </w:rPr>
              <w:t>0,00</w:t>
            </w:r>
          </w:p>
        </w:tc>
        <w:tc>
          <w:tcPr>
            <w:tcW w:w="526" w:type="dxa"/>
          </w:tcPr>
          <w:p>
            <w:pPr>
              <w:pStyle w:val="TableParagraph"/>
              <w:spacing w:before="43"/>
              <w:ind w:right="45"/>
              <w:jc w:val="right"/>
              <w:rPr>
                <w:sz w:val="12"/>
              </w:rPr>
            </w:pPr>
            <w:r>
              <w:rPr>
                <w:sz w:val="12"/>
              </w:rPr>
              <w:t>0,00</w:t>
            </w:r>
          </w:p>
        </w:tc>
        <w:tc>
          <w:tcPr>
            <w:tcW w:w="746" w:type="dxa"/>
          </w:tcPr>
          <w:p>
            <w:pPr>
              <w:pStyle w:val="TableParagraph"/>
              <w:spacing w:before="43"/>
              <w:ind w:right="47"/>
              <w:jc w:val="right"/>
              <w:rPr>
                <w:sz w:val="12"/>
              </w:rPr>
            </w:pPr>
            <w:r>
              <w:rPr>
                <w:sz w:val="12"/>
              </w:rPr>
              <w:t>496,98</w:t>
            </w:r>
          </w:p>
        </w:tc>
      </w:tr>
      <w:tr>
        <w:trPr>
          <w:trHeight w:val="308" w:hRule="atLeast"/>
        </w:trPr>
        <w:tc>
          <w:tcPr>
            <w:tcW w:w="2199" w:type="dxa"/>
          </w:tcPr>
          <w:p>
            <w:pPr>
              <w:pStyle w:val="TableParagraph"/>
              <w:spacing w:before="5"/>
              <w:ind w:left="52"/>
              <w:rPr>
                <w:sz w:val="12"/>
              </w:rPr>
            </w:pPr>
            <w:r>
              <w:rPr>
                <w:w w:val="105"/>
                <w:sz w:val="12"/>
              </w:rPr>
              <w:t>1. Total operaciones no financieras</w:t>
            </w:r>
          </w:p>
          <w:p>
            <w:pPr>
              <w:pStyle w:val="TableParagraph"/>
              <w:spacing w:line="130" w:lineRule="exact" w:before="7"/>
              <w:ind w:left="52"/>
              <w:rPr>
                <w:sz w:val="12"/>
              </w:rPr>
            </w:pPr>
            <w:r>
              <w:rPr>
                <w:w w:val="105"/>
                <w:sz w:val="12"/>
              </w:rPr>
              <w:t>(a+b+c )</w:t>
            </w:r>
          </w:p>
        </w:tc>
        <w:tc>
          <w:tcPr>
            <w:tcW w:w="574" w:type="dxa"/>
          </w:tcPr>
          <w:p>
            <w:pPr>
              <w:pStyle w:val="TableParagraph"/>
              <w:spacing w:before="82"/>
              <w:ind w:left="79"/>
              <w:rPr>
                <w:sz w:val="12"/>
              </w:rPr>
            </w:pPr>
            <w:r>
              <w:rPr>
                <w:w w:val="105"/>
                <w:sz w:val="12"/>
              </w:rPr>
              <w:t>1.028,59</w:t>
            </w:r>
          </w:p>
        </w:tc>
        <w:tc>
          <w:tcPr>
            <w:tcW w:w="574" w:type="dxa"/>
          </w:tcPr>
          <w:p>
            <w:pPr>
              <w:pStyle w:val="TableParagraph"/>
              <w:spacing w:before="82"/>
              <w:ind w:left="79"/>
              <w:rPr>
                <w:sz w:val="12"/>
              </w:rPr>
            </w:pPr>
            <w:r>
              <w:rPr>
                <w:w w:val="105"/>
                <w:sz w:val="12"/>
              </w:rPr>
              <w:t>1.104,04</w:t>
            </w:r>
          </w:p>
        </w:tc>
        <w:tc>
          <w:tcPr>
            <w:tcW w:w="681" w:type="dxa"/>
          </w:tcPr>
          <w:p>
            <w:pPr>
              <w:pStyle w:val="TableParagraph"/>
              <w:spacing w:before="82"/>
              <w:ind w:right="40"/>
              <w:jc w:val="right"/>
              <w:rPr>
                <w:sz w:val="12"/>
              </w:rPr>
            </w:pPr>
            <w:r>
              <w:rPr>
                <w:w w:val="105"/>
                <w:sz w:val="12"/>
              </w:rPr>
              <w:t>-42.481,14</w:t>
            </w:r>
          </w:p>
        </w:tc>
        <w:tc>
          <w:tcPr>
            <w:tcW w:w="332" w:type="dxa"/>
          </w:tcPr>
          <w:p>
            <w:pPr>
              <w:pStyle w:val="TableParagraph"/>
              <w:spacing w:before="82"/>
              <w:ind w:left="55"/>
              <w:rPr>
                <w:sz w:val="12"/>
              </w:rPr>
            </w:pPr>
            <w:r>
              <w:rPr>
                <w:w w:val="105"/>
                <w:sz w:val="12"/>
              </w:rPr>
              <w:t>0,00</w:t>
            </w:r>
          </w:p>
        </w:tc>
        <w:tc>
          <w:tcPr>
            <w:tcW w:w="573" w:type="dxa"/>
          </w:tcPr>
          <w:p>
            <w:pPr>
              <w:pStyle w:val="TableParagraph"/>
              <w:spacing w:before="82"/>
              <w:ind w:right="40"/>
              <w:jc w:val="right"/>
              <w:rPr>
                <w:sz w:val="12"/>
              </w:rPr>
            </w:pPr>
            <w:r>
              <w:rPr>
                <w:w w:val="105"/>
                <w:sz w:val="12"/>
              </w:rPr>
              <w:t>1.995,86</w:t>
            </w:r>
          </w:p>
        </w:tc>
        <w:tc>
          <w:tcPr>
            <w:tcW w:w="575" w:type="dxa"/>
          </w:tcPr>
          <w:p>
            <w:pPr>
              <w:pStyle w:val="TableParagraph"/>
              <w:spacing w:before="82"/>
              <w:ind w:left="79"/>
              <w:rPr>
                <w:sz w:val="12"/>
              </w:rPr>
            </w:pPr>
            <w:r>
              <w:rPr>
                <w:w w:val="105"/>
                <w:sz w:val="12"/>
              </w:rPr>
              <w:t>1.206,44</w:t>
            </w:r>
          </w:p>
        </w:tc>
        <w:tc>
          <w:tcPr>
            <w:tcW w:w="747" w:type="dxa"/>
          </w:tcPr>
          <w:p>
            <w:pPr>
              <w:pStyle w:val="TableParagraph"/>
              <w:spacing w:before="82"/>
              <w:ind w:right="44"/>
              <w:jc w:val="right"/>
              <w:rPr>
                <w:sz w:val="12"/>
              </w:rPr>
            </w:pPr>
            <w:r>
              <w:rPr>
                <w:w w:val="105"/>
                <w:sz w:val="12"/>
              </w:rPr>
              <w:t>-31.837,70</w:t>
            </w:r>
          </w:p>
        </w:tc>
        <w:tc>
          <w:tcPr>
            <w:tcW w:w="517" w:type="dxa"/>
          </w:tcPr>
          <w:p>
            <w:pPr>
              <w:pStyle w:val="TableParagraph"/>
              <w:spacing w:before="82"/>
              <w:ind w:left="92" w:right="23"/>
              <w:jc w:val="center"/>
              <w:rPr>
                <w:sz w:val="12"/>
              </w:rPr>
            </w:pPr>
            <w:r>
              <w:rPr>
                <w:w w:val="105"/>
                <w:sz w:val="12"/>
              </w:rPr>
              <w:t>252,07</w:t>
            </w:r>
          </w:p>
        </w:tc>
        <w:tc>
          <w:tcPr>
            <w:tcW w:w="683" w:type="dxa"/>
          </w:tcPr>
          <w:p>
            <w:pPr>
              <w:pStyle w:val="TableParagraph"/>
              <w:spacing w:before="82"/>
              <w:ind w:right="44"/>
              <w:jc w:val="right"/>
              <w:rPr>
                <w:sz w:val="12"/>
              </w:rPr>
            </w:pPr>
            <w:r>
              <w:rPr>
                <w:w w:val="105"/>
                <w:sz w:val="12"/>
              </w:rPr>
              <w:t>40.743,04</w:t>
            </w:r>
          </w:p>
        </w:tc>
        <w:tc>
          <w:tcPr>
            <w:tcW w:w="575" w:type="dxa"/>
          </w:tcPr>
          <w:p>
            <w:pPr>
              <w:pStyle w:val="TableParagraph"/>
              <w:spacing w:before="82"/>
              <w:ind w:right="43"/>
              <w:jc w:val="right"/>
              <w:rPr>
                <w:sz w:val="12"/>
              </w:rPr>
            </w:pPr>
            <w:r>
              <w:rPr>
                <w:w w:val="105"/>
                <w:sz w:val="12"/>
              </w:rPr>
              <w:t>1.998,63</w:t>
            </w:r>
          </w:p>
        </w:tc>
        <w:tc>
          <w:tcPr>
            <w:tcW w:w="577" w:type="dxa"/>
          </w:tcPr>
          <w:p>
            <w:pPr>
              <w:pStyle w:val="TableParagraph"/>
              <w:spacing w:before="82"/>
              <w:ind w:right="46"/>
              <w:jc w:val="right"/>
              <w:rPr>
                <w:sz w:val="12"/>
              </w:rPr>
            </w:pPr>
            <w:r>
              <w:rPr>
                <w:w w:val="105"/>
                <w:sz w:val="12"/>
              </w:rPr>
              <w:t>7.774,35</w:t>
            </w:r>
          </w:p>
        </w:tc>
        <w:tc>
          <w:tcPr>
            <w:tcW w:w="467" w:type="dxa"/>
          </w:tcPr>
          <w:p>
            <w:pPr>
              <w:pStyle w:val="TableParagraph"/>
              <w:spacing w:before="82"/>
              <w:ind w:left="37" w:right="27"/>
              <w:jc w:val="center"/>
              <w:rPr>
                <w:sz w:val="12"/>
              </w:rPr>
            </w:pPr>
            <w:r>
              <w:rPr>
                <w:w w:val="105"/>
                <w:sz w:val="12"/>
              </w:rPr>
              <w:t>153,22</w:t>
            </w:r>
          </w:p>
        </w:tc>
        <w:tc>
          <w:tcPr>
            <w:tcW w:w="467" w:type="dxa"/>
          </w:tcPr>
          <w:p>
            <w:pPr>
              <w:pStyle w:val="TableParagraph"/>
              <w:spacing w:before="82"/>
              <w:ind w:right="47"/>
              <w:jc w:val="right"/>
              <w:rPr>
                <w:sz w:val="12"/>
              </w:rPr>
            </w:pPr>
            <w:r>
              <w:rPr>
                <w:sz w:val="12"/>
              </w:rPr>
              <w:t>140,46</w:t>
            </w:r>
          </w:p>
        </w:tc>
        <w:tc>
          <w:tcPr>
            <w:tcW w:w="681" w:type="dxa"/>
          </w:tcPr>
          <w:p>
            <w:pPr>
              <w:pStyle w:val="TableParagraph"/>
              <w:spacing w:before="82"/>
              <w:ind w:right="47"/>
              <w:jc w:val="right"/>
              <w:rPr>
                <w:sz w:val="12"/>
              </w:rPr>
            </w:pPr>
            <w:r>
              <w:rPr>
                <w:w w:val="105"/>
                <w:sz w:val="12"/>
              </w:rPr>
              <w:t>-29.558,94</w:t>
            </w:r>
          </w:p>
        </w:tc>
        <w:tc>
          <w:tcPr>
            <w:tcW w:w="526" w:type="dxa"/>
          </w:tcPr>
          <w:p>
            <w:pPr>
              <w:pStyle w:val="TableParagraph"/>
              <w:spacing w:before="82"/>
              <w:ind w:right="45"/>
              <w:jc w:val="right"/>
              <w:rPr>
                <w:sz w:val="12"/>
              </w:rPr>
            </w:pPr>
            <w:r>
              <w:rPr>
                <w:sz w:val="12"/>
              </w:rPr>
              <w:t>0,00</w:t>
            </w:r>
          </w:p>
        </w:tc>
        <w:tc>
          <w:tcPr>
            <w:tcW w:w="746" w:type="dxa"/>
          </w:tcPr>
          <w:p>
            <w:pPr>
              <w:pStyle w:val="TableParagraph"/>
              <w:spacing w:before="82"/>
              <w:ind w:right="47"/>
              <w:jc w:val="right"/>
              <w:rPr>
                <w:sz w:val="12"/>
              </w:rPr>
            </w:pPr>
            <w:r>
              <w:rPr>
                <w:w w:val="105"/>
                <w:sz w:val="12"/>
              </w:rPr>
              <w:t>-47.481,07</w:t>
            </w:r>
          </w:p>
        </w:tc>
      </w:tr>
      <w:tr>
        <w:trPr>
          <w:trHeight w:val="230" w:hRule="atLeast"/>
        </w:trPr>
        <w:tc>
          <w:tcPr>
            <w:tcW w:w="2199" w:type="dxa"/>
          </w:tcPr>
          <w:p>
            <w:pPr>
              <w:pStyle w:val="TableParagraph"/>
              <w:spacing w:before="43"/>
              <w:ind w:left="52"/>
              <w:rPr>
                <w:sz w:val="12"/>
              </w:rPr>
            </w:pPr>
            <w:r>
              <w:rPr>
                <w:w w:val="105"/>
                <w:sz w:val="12"/>
              </w:rPr>
              <w:t>d. Activos financieros</w:t>
            </w:r>
          </w:p>
        </w:tc>
        <w:tc>
          <w:tcPr>
            <w:tcW w:w="574" w:type="dxa"/>
          </w:tcPr>
          <w:p>
            <w:pPr>
              <w:pStyle w:val="TableParagraph"/>
              <w:spacing w:before="43"/>
              <w:ind w:right="41"/>
              <w:jc w:val="right"/>
              <w:rPr>
                <w:sz w:val="12"/>
              </w:rPr>
            </w:pPr>
            <w:r>
              <w:rPr>
                <w:w w:val="105"/>
                <w:sz w:val="12"/>
              </w:rPr>
              <w:t>-3,66</w:t>
            </w:r>
          </w:p>
        </w:tc>
        <w:tc>
          <w:tcPr>
            <w:tcW w:w="574" w:type="dxa"/>
          </w:tcPr>
          <w:p>
            <w:pPr>
              <w:pStyle w:val="TableParagraph"/>
              <w:spacing w:before="43"/>
              <w:ind w:right="40"/>
              <w:jc w:val="right"/>
              <w:rPr>
                <w:sz w:val="12"/>
              </w:rPr>
            </w:pPr>
            <w:r>
              <w:rPr>
                <w:w w:val="105"/>
                <w:sz w:val="12"/>
              </w:rPr>
              <w:t>-0,20</w:t>
            </w:r>
          </w:p>
        </w:tc>
        <w:tc>
          <w:tcPr>
            <w:tcW w:w="681" w:type="dxa"/>
          </w:tcPr>
          <w:p>
            <w:pPr>
              <w:pStyle w:val="TableParagraph"/>
              <w:spacing w:before="43"/>
              <w:ind w:right="40"/>
              <w:jc w:val="right"/>
              <w:rPr>
                <w:sz w:val="12"/>
              </w:rPr>
            </w:pPr>
            <w:r>
              <w:rPr>
                <w:w w:val="105"/>
                <w:sz w:val="12"/>
              </w:rPr>
              <w:t>-23,24</w:t>
            </w:r>
          </w:p>
        </w:tc>
        <w:tc>
          <w:tcPr>
            <w:tcW w:w="332" w:type="dxa"/>
          </w:tcPr>
          <w:p>
            <w:pPr>
              <w:pStyle w:val="TableParagraph"/>
              <w:spacing w:before="43"/>
              <w:ind w:left="55"/>
              <w:rPr>
                <w:sz w:val="12"/>
              </w:rPr>
            </w:pPr>
            <w:r>
              <w:rPr>
                <w:w w:val="105"/>
                <w:sz w:val="12"/>
              </w:rPr>
              <w:t>0,00</w:t>
            </w:r>
          </w:p>
        </w:tc>
        <w:tc>
          <w:tcPr>
            <w:tcW w:w="573" w:type="dxa"/>
          </w:tcPr>
          <w:p>
            <w:pPr>
              <w:pStyle w:val="TableParagraph"/>
              <w:spacing w:before="43"/>
              <w:ind w:right="40"/>
              <w:jc w:val="right"/>
              <w:rPr>
                <w:sz w:val="12"/>
              </w:rPr>
            </w:pPr>
            <w:r>
              <w:rPr>
                <w:w w:val="105"/>
                <w:sz w:val="12"/>
              </w:rPr>
              <w:t>-16,18</w:t>
            </w:r>
          </w:p>
        </w:tc>
        <w:tc>
          <w:tcPr>
            <w:tcW w:w="575" w:type="dxa"/>
          </w:tcPr>
          <w:p>
            <w:pPr>
              <w:pStyle w:val="TableParagraph"/>
              <w:spacing w:before="43"/>
              <w:ind w:right="41"/>
              <w:jc w:val="right"/>
              <w:rPr>
                <w:sz w:val="12"/>
              </w:rPr>
            </w:pPr>
            <w:r>
              <w:rPr>
                <w:sz w:val="12"/>
              </w:rPr>
              <w:t>0,00</w:t>
            </w:r>
          </w:p>
        </w:tc>
        <w:tc>
          <w:tcPr>
            <w:tcW w:w="747" w:type="dxa"/>
          </w:tcPr>
          <w:p>
            <w:pPr>
              <w:pStyle w:val="TableParagraph"/>
              <w:spacing w:before="43"/>
              <w:ind w:right="44"/>
              <w:jc w:val="right"/>
              <w:rPr>
                <w:sz w:val="12"/>
              </w:rPr>
            </w:pPr>
            <w:r>
              <w:rPr>
                <w:w w:val="105"/>
                <w:sz w:val="12"/>
              </w:rPr>
              <w:t>-1.499,11</w:t>
            </w:r>
          </w:p>
        </w:tc>
        <w:tc>
          <w:tcPr>
            <w:tcW w:w="517" w:type="dxa"/>
          </w:tcPr>
          <w:p>
            <w:pPr>
              <w:pStyle w:val="TableParagraph"/>
              <w:spacing w:before="43"/>
              <w:ind w:left="181" w:right="23"/>
              <w:jc w:val="center"/>
              <w:rPr>
                <w:sz w:val="12"/>
              </w:rPr>
            </w:pPr>
            <w:r>
              <w:rPr>
                <w:w w:val="105"/>
                <w:sz w:val="12"/>
              </w:rPr>
              <w:t>-8,21</w:t>
            </w:r>
          </w:p>
        </w:tc>
        <w:tc>
          <w:tcPr>
            <w:tcW w:w="683" w:type="dxa"/>
          </w:tcPr>
          <w:p>
            <w:pPr>
              <w:pStyle w:val="TableParagraph"/>
              <w:spacing w:before="43"/>
              <w:ind w:right="44"/>
              <w:jc w:val="right"/>
              <w:rPr>
                <w:sz w:val="12"/>
              </w:rPr>
            </w:pPr>
            <w:r>
              <w:rPr>
                <w:sz w:val="12"/>
              </w:rPr>
              <w:t>9,52</w:t>
            </w:r>
          </w:p>
        </w:tc>
        <w:tc>
          <w:tcPr>
            <w:tcW w:w="575" w:type="dxa"/>
          </w:tcPr>
          <w:p>
            <w:pPr>
              <w:pStyle w:val="TableParagraph"/>
              <w:spacing w:before="43"/>
              <w:ind w:right="43"/>
              <w:jc w:val="right"/>
              <w:rPr>
                <w:sz w:val="12"/>
              </w:rPr>
            </w:pPr>
            <w:r>
              <w:rPr>
                <w:sz w:val="12"/>
              </w:rPr>
              <w:t>11,68</w:t>
            </w:r>
          </w:p>
        </w:tc>
        <w:tc>
          <w:tcPr>
            <w:tcW w:w="577" w:type="dxa"/>
          </w:tcPr>
          <w:p>
            <w:pPr>
              <w:pStyle w:val="TableParagraph"/>
              <w:spacing w:before="43"/>
              <w:ind w:right="46"/>
              <w:jc w:val="right"/>
              <w:rPr>
                <w:sz w:val="12"/>
              </w:rPr>
            </w:pPr>
            <w:r>
              <w:rPr>
                <w:sz w:val="12"/>
              </w:rPr>
              <w:t>17,37</w:t>
            </w:r>
          </w:p>
        </w:tc>
        <w:tc>
          <w:tcPr>
            <w:tcW w:w="467" w:type="dxa"/>
          </w:tcPr>
          <w:p>
            <w:pPr>
              <w:pStyle w:val="TableParagraph"/>
              <w:spacing w:before="43"/>
              <w:ind w:left="127" w:right="27"/>
              <w:jc w:val="center"/>
              <w:rPr>
                <w:sz w:val="12"/>
              </w:rPr>
            </w:pPr>
            <w:r>
              <w:rPr>
                <w:w w:val="105"/>
                <w:sz w:val="12"/>
              </w:rPr>
              <w:t>-4,38</w:t>
            </w:r>
          </w:p>
        </w:tc>
        <w:tc>
          <w:tcPr>
            <w:tcW w:w="467" w:type="dxa"/>
          </w:tcPr>
          <w:p>
            <w:pPr>
              <w:pStyle w:val="TableParagraph"/>
              <w:spacing w:before="43"/>
              <w:ind w:right="47"/>
              <w:jc w:val="right"/>
              <w:rPr>
                <w:sz w:val="12"/>
              </w:rPr>
            </w:pPr>
            <w:r>
              <w:rPr>
                <w:w w:val="105"/>
                <w:sz w:val="12"/>
              </w:rPr>
              <w:t>-5,43</w:t>
            </w:r>
          </w:p>
        </w:tc>
        <w:tc>
          <w:tcPr>
            <w:tcW w:w="681" w:type="dxa"/>
          </w:tcPr>
          <w:p>
            <w:pPr>
              <w:pStyle w:val="TableParagraph"/>
              <w:spacing w:before="43"/>
              <w:ind w:right="47"/>
              <w:jc w:val="right"/>
              <w:rPr>
                <w:sz w:val="12"/>
              </w:rPr>
            </w:pPr>
            <w:r>
              <w:rPr>
                <w:w w:val="105"/>
                <w:sz w:val="12"/>
              </w:rPr>
              <w:t>-20,69</w:t>
            </w:r>
          </w:p>
        </w:tc>
        <w:tc>
          <w:tcPr>
            <w:tcW w:w="526" w:type="dxa"/>
          </w:tcPr>
          <w:p>
            <w:pPr>
              <w:pStyle w:val="TableParagraph"/>
              <w:spacing w:before="43"/>
              <w:ind w:right="45"/>
              <w:jc w:val="right"/>
              <w:rPr>
                <w:sz w:val="12"/>
              </w:rPr>
            </w:pPr>
            <w:r>
              <w:rPr>
                <w:sz w:val="12"/>
              </w:rPr>
              <w:t>0,00</w:t>
            </w:r>
          </w:p>
        </w:tc>
        <w:tc>
          <w:tcPr>
            <w:tcW w:w="746" w:type="dxa"/>
          </w:tcPr>
          <w:p>
            <w:pPr>
              <w:pStyle w:val="TableParagraph"/>
              <w:spacing w:before="43"/>
              <w:ind w:right="47"/>
              <w:jc w:val="right"/>
              <w:rPr>
                <w:sz w:val="12"/>
              </w:rPr>
            </w:pPr>
            <w:r>
              <w:rPr>
                <w:w w:val="105"/>
                <w:sz w:val="12"/>
              </w:rPr>
              <w:t>-1.542,53</w:t>
            </w:r>
          </w:p>
        </w:tc>
      </w:tr>
      <w:tr>
        <w:trPr>
          <w:trHeight w:val="232" w:hRule="atLeast"/>
        </w:trPr>
        <w:tc>
          <w:tcPr>
            <w:tcW w:w="2199" w:type="dxa"/>
          </w:tcPr>
          <w:p>
            <w:pPr>
              <w:pStyle w:val="TableParagraph"/>
              <w:spacing w:before="43"/>
              <w:ind w:left="52"/>
              <w:rPr>
                <w:sz w:val="12"/>
              </w:rPr>
            </w:pPr>
            <w:r>
              <w:rPr>
                <w:w w:val="105"/>
                <w:sz w:val="12"/>
              </w:rPr>
              <w:t>e. Pasivos financieros</w:t>
            </w:r>
          </w:p>
        </w:tc>
        <w:tc>
          <w:tcPr>
            <w:tcW w:w="574" w:type="dxa"/>
          </w:tcPr>
          <w:p>
            <w:pPr>
              <w:pStyle w:val="TableParagraph"/>
              <w:spacing w:before="43"/>
              <w:ind w:right="41"/>
              <w:jc w:val="right"/>
              <w:rPr>
                <w:sz w:val="12"/>
              </w:rPr>
            </w:pPr>
            <w:r>
              <w:rPr>
                <w:sz w:val="12"/>
              </w:rPr>
              <w:t>0,00</w:t>
            </w:r>
          </w:p>
        </w:tc>
        <w:tc>
          <w:tcPr>
            <w:tcW w:w="574" w:type="dxa"/>
          </w:tcPr>
          <w:p>
            <w:pPr>
              <w:pStyle w:val="TableParagraph"/>
              <w:spacing w:before="43"/>
              <w:ind w:right="40"/>
              <w:jc w:val="right"/>
              <w:rPr>
                <w:sz w:val="12"/>
              </w:rPr>
            </w:pPr>
            <w:r>
              <w:rPr>
                <w:sz w:val="12"/>
              </w:rPr>
              <w:t>0,00</w:t>
            </w:r>
          </w:p>
        </w:tc>
        <w:tc>
          <w:tcPr>
            <w:tcW w:w="681" w:type="dxa"/>
          </w:tcPr>
          <w:p>
            <w:pPr>
              <w:pStyle w:val="TableParagraph"/>
              <w:spacing w:before="43"/>
              <w:ind w:right="40"/>
              <w:jc w:val="right"/>
              <w:rPr>
                <w:sz w:val="12"/>
              </w:rPr>
            </w:pPr>
            <w:r>
              <w:rPr>
                <w:sz w:val="12"/>
              </w:rPr>
              <w:t>0,00</w:t>
            </w:r>
          </w:p>
        </w:tc>
        <w:tc>
          <w:tcPr>
            <w:tcW w:w="332" w:type="dxa"/>
          </w:tcPr>
          <w:p>
            <w:pPr>
              <w:pStyle w:val="TableParagraph"/>
              <w:spacing w:before="43"/>
              <w:ind w:left="55"/>
              <w:rPr>
                <w:sz w:val="12"/>
              </w:rPr>
            </w:pPr>
            <w:r>
              <w:rPr>
                <w:w w:val="105"/>
                <w:sz w:val="12"/>
              </w:rPr>
              <w:t>0,00</w:t>
            </w:r>
          </w:p>
        </w:tc>
        <w:tc>
          <w:tcPr>
            <w:tcW w:w="573" w:type="dxa"/>
          </w:tcPr>
          <w:p>
            <w:pPr>
              <w:pStyle w:val="TableParagraph"/>
              <w:spacing w:before="43"/>
              <w:ind w:right="41"/>
              <w:jc w:val="right"/>
              <w:rPr>
                <w:sz w:val="12"/>
              </w:rPr>
            </w:pPr>
            <w:r>
              <w:rPr>
                <w:sz w:val="12"/>
              </w:rPr>
              <w:t>0,00</w:t>
            </w:r>
          </w:p>
        </w:tc>
        <w:tc>
          <w:tcPr>
            <w:tcW w:w="575" w:type="dxa"/>
          </w:tcPr>
          <w:p>
            <w:pPr>
              <w:pStyle w:val="TableParagraph"/>
              <w:spacing w:before="43"/>
              <w:ind w:right="41"/>
              <w:jc w:val="right"/>
              <w:rPr>
                <w:sz w:val="12"/>
              </w:rPr>
            </w:pPr>
            <w:r>
              <w:rPr>
                <w:sz w:val="12"/>
              </w:rPr>
              <w:t>0,00</w:t>
            </w:r>
          </w:p>
        </w:tc>
        <w:tc>
          <w:tcPr>
            <w:tcW w:w="747" w:type="dxa"/>
          </w:tcPr>
          <w:p>
            <w:pPr>
              <w:pStyle w:val="TableParagraph"/>
              <w:spacing w:before="43"/>
              <w:ind w:right="44"/>
              <w:jc w:val="right"/>
              <w:rPr>
                <w:sz w:val="12"/>
              </w:rPr>
            </w:pPr>
            <w:r>
              <w:rPr>
                <w:w w:val="105"/>
                <w:sz w:val="12"/>
              </w:rPr>
              <w:t>-1.253,75</w:t>
            </w:r>
          </w:p>
        </w:tc>
        <w:tc>
          <w:tcPr>
            <w:tcW w:w="517" w:type="dxa"/>
          </w:tcPr>
          <w:p>
            <w:pPr>
              <w:pStyle w:val="TableParagraph"/>
              <w:spacing w:before="43"/>
              <w:ind w:left="217" w:right="21"/>
              <w:jc w:val="center"/>
              <w:rPr>
                <w:sz w:val="12"/>
              </w:rPr>
            </w:pPr>
            <w:r>
              <w:rPr>
                <w:w w:val="105"/>
                <w:sz w:val="12"/>
              </w:rPr>
              <w:t>0,00</w:t>
            </w:r>
          </w:p>
        </w:tc>
        <w:tc>
          <w:tcPr>
            <w:tcW w:w="683" w:type="dxa"/>
          </w:tcPr>
          <w:p>
            <w:pPr>
              <w:pStyle w:val="TableParagraph"/>
              <w:spacing w:before="43"/>
              <w:ind w:right="44"/>
              <w:jc w:val="right"/>
              <w:rPr>
                <w:sz w:val="12"/>
              </w:rPr>
            </w:pPr>
            <w:r>
              <w:rPr>
                <w:sz w:val="12"/>
              </w:rPr>
              <w:t>0,00</w:t>
            </w:r>
          </w:p>
        </w:tc>
        <w:tc>
          <w:tcPr>
            <w:tcW w:w="575" w:type="dxa"/>
          </w:tcPr>
          <w:p>
            <w:pPr>
              <w:pStyle w:val="TableParagraph"/>
              <w:spacing w:before="43"/>
              <w:ind w:right="43"/>
              <w:jc w:val="right"/>
              <w:rPr>
                <w:sz w:val="12"/>
              </w:rPr>
            </w:pPr>
            <w:r>
              <w:rPr>
                <w:sz w:val="12"/>
              </w:rPr>
              <w:t>0,00</w:t>
            </w:r>
          </w:p>
        </w:tc>
        <w:tc>
          <w:tcPr>
            <w:tcW w:w="577" w:type="dxa"/>
          </w:tcPr>
          <w:p>
            <w:pPr>
              <w:pStyle w:val="TableParagraph"/>
              <w:spacing w:before="43"/>
              <w:ind w:right="46"/>
              <w:jc w:val="right"/>
              <w:rPr>
                <w:sz w:val="12"/>
              </w:rPr>
            </w:pPr>
            <w:r>
              <w:rPr>
                <w:sz w:val="12"/>
              </w:rPr>
              <w:t>0,00</w:t>
            </w:r>
          </w:p>
        </w:tc>
        <w:tc>
          <w:tcPr>
            <w:tcW w:w="467" w:type="dxa"/>
          </w:tcPr>
          <w:p>
            <w:pPr>
              <w:pStyle w:val="TableParagraph"/>
              <w:spacing w:before="43"/>
              <w:ind w:left="162" w:right="25"/>
              <w:jc w:val="center"/>
              <w:rPr>
                <w:sz w:val="12"/>
              </w:rPr>
            </w:pPr>
            <w:r>
              <w:rPr>
                <w:w w:val="105"/>
                <w:sz w:val="12"/>
              </w:rPr>
              <w:t>0,00</w:t>
            </w:r>
          </w:p>
        </w:tc>
        <w:tc>
          <w:tcPr>
            <w:tcW w:w="467" w:type="dxa"/>
          </w:tcPr>
          <w:p>
            <w:pPr>
              <w:pStyle w:val="TableParagraph"/>
              <w:spacing w:before="43"/>
              <w:ind w:right="47"/>
              <w:jc w:val="right"/>
              <w:rPr>
                <w:sz w:val="12"/>
              </w:rPr>
            </w:pPr>
            <w:r>
              <w:rPr>
                <w:sz w:val="12"/>
              </w:rPr>
              <w:t>0,00</w:t>
            </w:r>
          </w:p>
        </w:tc>
        <w:tc>
          <w:tcPr>
            <w:tcW w:w="681" w:type="dxa"/>
          </w:tcPr>
          <w:p>
            <w:pPr>
              <w:pStyle w:val="TableParagraph"/>
              <w:spacing w:before="43"/>
              <w:ind w:right="47"/>
              <w:jc w:val="right"/>
              <w:rPr>
                <w:sz w:val="12"/>
              </w:rPr>
            </w:pPr>
            <w:r>
              <w:rPr>
                <w:sz w:val="12"/>
              </w:rPr>
              <w:t>0,00</w:t>
            </w:r>
          </w:p>
        </w:tc>
        <w:tc>
          <w:tcPr>
            <w:tcW w:w="526" w:type="dxa"/>
          </w:tcPr>
          <w:p>
            <w:pPr>
              <w:pStyle w:val="TableParagraph"/>
              <w:spacing w:before="43"/>
              <w:ind w:right="45"/>
              <w:jc w:val="right"/>
              <w:rPr>
                <w:sz w:val="12"/>
              </w:rPr>
            </w:pPr>
            <w:r>
              <w:rPr>
                <w:sz w:val="12"/>
              </w:rPr>
              <w:t>0,00</w:t>
            </w:r>
          </w:p>
        </w:tc>
        <w:tc>
          <w:tcPr>
            <w:tcW w:w="746" w:type="dxa"/>
          </w:tcPr>
          <w:p>
            <w:pPr>
              <w:pStyle w:val="TableParagraph"/>
              <w:spacing w:before="43"/>
              <w:ind w:right="47"/>
              <w:jc w:val="right"/>
              <w:rPr>
                <w:sz w:val="12"/>
              </w:rPr>
            </w:pPr>
            <w:r>
              <w:rPr>
                <w:w w:val="105"/>
                <w:sz w:val="12"/>
              </w:rPr>
              <w:t>-1.253,75</w:t>
            </w:r>
          </w:p>
        </w:tc>
      </w:tr>
      <w:tr>
        <w:trPr>
          <w:trHeight w:val="308" w:hRule="atLeast"/>
        </w:trPr>
        <w:tc>
          <w:tcPr>
            <w:tcW w:w="2199" w:type="dxa"/>
          </w:tcPr>
          <w:p>
            <w:pPr>
              <w:pStyle w:val="TableParagraph"/>
              <w:spacing w:before="82"/>
              <w:ind w:left="52"/>
              <w:rPr>
                <w:sz w:val="12"/>
              </w:rPr>
            </w:pPr>
            <w:r>
              <w:rPr>
                <w:w w:val="105"/>
                <w:sz w:val="12"/>
              </w:rPr>
              <w:t>2. Total operaciones financieras ( d+e)</w:t>
            </w:r>
          </w:p>
        </w:tc>
        <w:tc>
          <w:tcPr>
            <w:tcW w:w="574" w:type="dxa"/>
          </w:tcPr>
          <w:p>
            <w:pPr>
              <w:pStyle w:val="TableParagraph"/>
              <w:spacing w:before="82"/>
              <w:ind w:right="41"/>
              <w:jc w:val="right"/>
              <w:rPr>
                <w:sz w:val="12"/>
              </w:rPr>
            </w:pPr>
            <w:r>
              <w:rPr>
                <w:w w:val="105"/>
                <w:sz w:val="12"/>
              </w:rPr>
              <w:t>-3,66</w:t>
            </w:r>
          </w:p>
        </w:tc>
        <w:tc>
          <w:tcPr>
            <w:tcW w:w="574" w:type="dxa"/>
          </w:tcPr>
          <w:p>
            <w:pPr>
              <w:pStyle w:val="TableParagraph"/>
              <w:spacing w:before="82"/>
              <w:ind w:right="40"/>
              <w:jc w:val="right"/>
              <w:rPr>
                <w:sz w:val="12"/>
              </w:rPr>
            </w:pPr>
            <w:r>
              <w:rPr>
                <w:w w:val="105"/>
                <w:sz w:val="12"/>
              </w:rPr>
              <w:t>-0,20</w:t>
            </w:r>
          </w:p>
        </w:tc>
        <w:tc>
          <w:tcPr>
            <w:tcW w:w="681" w:type="dxa"/>
          </w:tcPr>
          <w:p>
            <w:pPr>
              <w:pStyle w:val="TableParagraph"/>
              <w:spacing w:before="82"/>
              <w:ind w:right="40"/>
              <w:jc w:val="right"/>
              <w:rPr>
                <w:sz w:val="12"/>
              </w:rPr>
            </w:pPr>
            <w:r>
              <w:rPr>
                <w:w w:val="105"/>
                <w:sz w:val="12"/>
              </w:rPr>
              <w:t>-23,24</w:t>
            </w:r>
          </w:p>
        </w:tc>
        <w:tc>
          <w:tcPr>
            <w:tcW w:w="332" w:type="dxa"/>
          </w:tcPr>
          <w:p>
            <w:pPr>
              <w:pStyle w:val="TableParagraph"/>
              <w:spacing w:before="82"/>
              <w:ind w:left="55"/>
              <w:rPr>
                <w:sz w:val="12"/>
              </w:rPr>
            </w:pPr>
            <w:r>
              <w:rPr>
                <w:w w:val="105"/>
                <w:sz w:val="12"/>
              </w:rPr>
              <w:t>0,00</w:t>
            </w:r>
          </w:p>
        </w:tc>
        <w:tc>
          <w:tcPr>
            <w:tcW w:w="573" w:type="dxa"/>
          </w:tcPr>
          <w:p>
            <w:pPr>
              <w:pStyle w:val="TableParagraph"/>
              <w:spacing w:before="82"/>
              <w:ind w:right="40"/>
              <w:jc w:val="right"/>
              <w:rPr>
                <w:sz w:val="12"/>
              </w:rPr>
            </w:pPr>
            <w:r>
              <w:rPr>
                <w:w w:val="105"/>
                <w:sz w:val="12"/>
              </w:rPr>
              <w:t>-16,18</w:t>
            </w:r>
          </w:p>
        </w:tc>
        <w:tc>
          <w:tcPr>
            <w:tcW w:w="575" w:type="dxa"/>
          </w:tcPr>
          <w:p>
            <w:pPr>
              <w:pStyle w:val="TableParagraph"/>
              <w:spacing w:before="82"/>
              <w:ind w:right="41"/>
              <w:jc w:val="right"/>
              <w:rPr>
                <w:sz w:val="12"/>
              </w:rPr>
            </w:pPr>
            <w:r>
              <w:rPr>
                <w:sz w:val="12"/>
              </w:rPr>
              <w:t>0,00</w:t>
            </w:r>
          </w:p>
        </w:tc>
        <w:tc>
          <w:tcPr>
            <w:tcW w:w="747" w:type="dxa"/>
          </w:tcPr>
          <w:p>
            <w:pPr>
              <w:pStyle w:val="TableParagraph"/>
              <w:spacing w:before="82"/>
              <w:ind w:right="44"/>
              <w:jc w:val="right"/>
              <w:rPr>
                <w:sz w:val="12"/>
              </w:rPr>
            </w:pPr>
            <w:r>
              <w:rPr>
                <w:w w:val="105"/>
                <w:sz w:val="12"/>
              </w:rPr>
              <w:t>-2.752,86</w:t>
            </w:r>
          </w:p>
        </w:tc>
        <w:tc>
          <w:tcPr>
            <w:tcW w:w="517" w:type="dxa"/>
          </w:tcPr>
          <w:p>
            <w:pPr>
              <w:pStyle w:val="TableParagraph"/>
              <w:spacing w:before="82"/>
              <w:ind w:left="181" w:right="23"/>
              <w:jc w:val="center"/>
              <w:rPr>
                <w:sz w:val="12"/>
              </w:rPr>
            </w:pPr>
            <w:r>
              <w:rPr>
                <w:w w:val="105"/>
                <w:sz w:val="12"/>
              </w:rPr>
              <w:t>-8,21</w:t>
            </w:r>
          </w:p>
        </w:tc>
        <w:tc>
          <w:tcPr>
            <w:tcW w:w="683" w:type="dxa"/>
          </w:tcPr>
          <w:p>
            <w:pPr>
              <w:pStyle w:val="TableParagraph"/>
              <w:spacing w:before="82"/>
              <w:ind w:right="44"/>
              <w:jc w:val="right"/>
              <w:rPr>
                <w:sz w:val="12"/>
              </w:rPr>
            </w:pPr>
            <w:r>
              <w:rPr>
                <w:sz w:val="12"/>
              </w:rPr>
              <w:t>9,52</w:t>
            </w:r>
          </w:p>
        </w:tc>
        <w:tc>
          <w:tcPr>
            <w:tcW w:w="575" w:type="dxa"/>
          </w:tcPr>
          <w:p>
            <w:pPr>
              <w:pStyle w:val="TableParagraph"/>
              <w:spacing w:before="82"/>
              <w:ind w:right="43"/>
              <w:jc w:val="right"/>
              <w:rPr>
                <w:sz w:val="12"/>
              </w:rPr>
            </w:pPr>
            <w:r>
              <w:rPr>
                <w:sz w:val="12"/>
              </w:rPr>
              <w:t>11,68</w:t>
            </w:r>
          </w:p>
        </w:tc>
        <w:tc>
          <w:tcPr>
            <w:tcW w:w="577" w:type="dxa"/>
          </w:tcPr>
          <w:p>
            <w:pPr>
              <w:pStyle w:val="TableParagraph"/>
              <w:spacing w:before="82"/>
              <w:ind w:right="46"/>
              <w:jc w:val="right"/>
              <w:rPr>
                <w:sz w:val="12"/>
              </w:rPr>
            </w:pPr>
            <w:r>
              <w:rPr>
                <w:sz w:val="12"/>
              </w:rPr>
              <w:t>17,37</w:t>
            </w:r>
          </w:p>
        </w:tc>
        <w:tc>
          <w:tcPr>
            <w:tcW w:w="467" w:type="dxa"/>
          </w:tcPr>
          <w:p>
            <w:pPr>
              <w:pStyle w:val="TableParagraph"/>
              <w:spacing w:before="82"/>
              <w:ind w:left="127" w:right="27"/>
              <w:jc w:val="center"/>
              <w:rPr>
                <w:sz w:val="12"/>
              </w:rPr>
            </w:pPr>
            <w:r>
              <w:rPr>
                <w:w w:val="105"/>
                <w:sz w:val="12"/>
              </w:rPr>
              <w:t>-4,38</w:t>
            </w:r>
          </w:p>
        </w:tc>
        <w:tc>
          <w:tcPr>
            <w:tcW w:w="467" w:type="dxa"/>
          </w:tcPr>
          <w:p>
            <w:pPr>
              <w:pStyle w:val="TableParagraph"/>
              <w:spacing w:before="82"/>
              <w:ind w:right="47"/>
              <w:jc w:val="right"/>
              <w:rPr>
                <w:sz w:val="12"/>
              </w:rPr>
            </w:pPr>
            <w:r>
              <w:rPr>
                <w:w w:val="105"/>
                <w:sz w:val="12"/>
              </w:rPr>
              <w:t>-5,43</w:t>
            </w:r>
          </w:p>
        </w:tc>
        <w:tc>
          <w:tcPr>
            <w:tcW w:w="681" w:type="dxa"/>
          </w:tcPr>
          <w:p>
            <w:pPr>
              <w:pStyle w:val="TableParagraph"/>
              <w:spacing w:before="82"/>
              <w:ind w:right="47"/>
              <w:jc w:val="right"/>
              <w:rPr>
                <w:sz w:val="12"/>
              </w:rPr>
            </w:pPr>
            <w:r>
              <w:rPr>
                <w:w w:val="105"/>
                <w:sz w:val="12"/>
              </w:rPr>
              <w:t>-20,69</w:t>
            </w:r>
          </w:p>
        </w:tc>
        <w:tc>
          <w:tcPr>
            <w:tcW w:w="526" w:type="dxa"/>
          </w:tcPr>
          <w:p>
            <w:pPr>
              <w:pStyle w:val="TableParagraph"/>
              <w:spacing w:before="82"/>
              <w:ind w:right="45"/>
              <w:jc w:val="right"/>
              <w:rPr>
                <w:sz w:val="12"/>
              </w:rPr>
            </w:pPr>
            <w:r>
              <w:rPr>
                <w:sz w:val="12"/>
              </w:rPr>
              <w:t>0,00</w:t>
            </w:r>
          </w:p>
        </w:tc>
        <w:tc>
          <w:tcPr>
            <w:tcW w:w="746" w:type="dxa"/>
          </w:tcPr>
          <w:p>
            <w:pPr>
              <w:pStyle w:val="TableParagraph"/>
              <w:spacing w:before="82"/>
              <w:ind w:right="47"/>
              <w:jc w:val="right"/>
              <w:rPr>
                <w:sz w:val="12"/>
              </w:rPr>
            </w:pPr>
            <w:r>
              <w:rPr>
                <w:w w:val="105"/>
                <w:sz w:val="12"/>
              </w:rPr>
              <w:t>-2.796,28</w:t>
            </w:r>
          </w:p>
        </w:tc>
      </w:tr>
      <w:tr>
        <w:trPr>
          <w:trHeight w:val="310" w:hRule="atLeast"/>
        </w:trPr>
        <w:tc>
          <w:tcPr>
            <w:tcW w:w="2199" w:type="dxa"/>
            <w:shd w:val="clear" w:color="auto" w:fill="D9D9D9"/>
          </w:tcPr>
          <w:p>
            <w:pPr>
              <w:pStyle w:val="TableParagraph"/>
              <w:spacing w:line="150" w:lineRule="atLeast" w:before="4"/>
              <w:ind w:left="52"/>
              <w:rPr>
                <w:b/>
                <w:sz w:val="12"/>
              </w:rPr>
            </w:pPr>
            <w:r>
              <w:rPr>
                <w:b/>
                <w:w w:val="105"/>
                <w:sz w:val="12"/>
              </w:rPr>
              <w:t>I. RESULTADO PRESUPUESTARIO DEL EJERCICIO ( I=1+2)</w:t>
            </w:r>
          </w:p>
        </w:tc>
        <w:tc>
          <w:tcPr>
            <w:tcW w:w="574" w:type="dxa"/>
            <w:shd w:val="clear" w:color="auto" w:fill="D9D9D9"/>
          </w:tcPr>
          <w:p>
            <w:pPr>
              <w:pStyle w:val="TableParagraph"/>
              <w:spacing w:before="84"/>
              <w:ind w:left="75"/>
              <w:rPr>
                <w:b/>
                <w:sz w:val="12"/>
              </w:rPr>
            </w:pPr>
            <w:r>
              <w:rPr>
                <w:b/>
                <w:w w:val="105"/>
                <w:sz w:val="12"/>
              </w:rPr>
              <w:t>1.024,93</w:t>
            </w:r>
          </w:p>
        </w:tc>
        <w:tc>
          <w:tcPr>
            <w:tcW w:w="574" w:type="dxa"/>
            <w:shd w:val="clear" w:color="auto" w:fill="D9D9D9"/>
          </w:tcPr>
          <w:p>
            <w:pPr>
              <w:pStyle w:val="TableParagraph"/>
              <w:spacing w:before="84"/>
              <w:ind w:left="75"/>
              <w:rPr>
                <w:b/>
                <w:sz w:val="12"/>
              </w:rPr>
            </w:pPr>
            <w:r>
              <w:rPr>
                <w:b/>
                <w:w w:val="105"/>
                <w:sz w:val="12"/>
              </w:rPr>
              <w:t>1.103,84</w:t>
            </w:r>
          </w:p>
        </w:tc>
        <w:tc>
          <w:tcPr>
            <w:tcW w:w="681" w:type="dxa"/>
            <w:shd w:val="clear" w:color="auto" w:fill="D9D9D9"/>
          </w:tcPr>
          <w:p>
            <w:pPr>
              <w:pStyle w:val="TableParagraph"/>
              <w:spacing w:before="84"/>
              <w:ind w:right="40"/>
              <w:jc w:val="right"/>
              <w:rPr>
                <w:b/>
                <w:sz w:val="12"/>
              </w:rPr>
            </w:pPr>
            <w:r>
              <w:rPr>
                <w:b/>
                <w:w w:val="105"/>
                <w:sz w:val="12"/>
              </w:rPr>
              <w:t>-42.504,39</w:t>
            </w:r>
          </w:p>
        </w:tc>
        <w:tc>
          <w:tcPr>
            <w:tcW w:w="332" w:type="dxa"/>
            <w:shd w:val="clear" w:color="auto" w:fill="D9D9D9"/>
          </w:tcPr>
          <w:p>
            <w:pPr>
              <w:pStyle w:val="TableParagraph"/>
              <w:spacing w:before="84"/>
              <w:ind w:left="54"/>
              <w:rPr>
                <w:b/>
                <w:sz w:val="12"/>
              </w:rPr>
            </w:pPr>
            <w:r>
              <w:rPr>
                <w:b/>
                <w:w w:val="105"/>
                <w:sz w:val="12"/>
              </w:rPr>
              <w:t>0,00</w:t>
            </w:r>
          </w:p>
        </w:tc>
        <w:tc>
          <w:tcPr>
            <w:tcW w:w="573" w:type="dxa"/>
            <w:shd w:val="clear" w:color="auto" w:fill="D9D9D9"/>
          </w:tcPr>
          <w:p>
            <w:pPr>
              <w:pStyle w:val="TableParagraph"/>
              <w:spacing w:before="84"/>
              <w:ind w:right="40"/>
              <w:jc w:val="right"/>
              <w:rPr>
                <w:b/>
                <w:sz w:val="12"/>
              </w:rPr>
            </w:pPr>
            <w:r>
              <w:rPr>
                <w:b/>
                <w:w w:val="105"/>
                <w:sz w:val="12"/>
              </w:rPr>
              <w:t>1.979,68</w:t>
            </w:r>
          </w:p>
        </w:tc>
        <w:tc>
          <w:tcPr>
            <w:tcW w:w="575" w:type="dxa"/>
            <w:shd w:val="clear" w:color="auto" w:fill="D9D9D9"/>
          </w:tcPr>
          <w:p>
            <w:pPr>
              <w:pStyle w:val="TableParagraph"/>
              <w:spacing w:before="84"/>
              <w:ind w:left="75"/>
              <w:rPr>
                <w:b/>
                <w:sz w:val="12"/>
              </w:rPr>
            </w:pPr>
            <w:r>
              <w:rPr>
                <w:b/>
                <w:w w:val="105"/>
                <w:sz w:val="12"/>
              </w:rPr>
              <w:t>1.206,44</w:t>
            </w:r>
          </w:p>
        </w:tc>
        <w:tc>
          <w:tcPr>
            <w:tcW w:w="747" w:type="dxa"/>
            <w:shd w:val="clear" w:color="auto" w:fill="D9D9D9"/>
          </w:tcPr>
          <w:p>
            <w:pPr>
              <w:pStyle w:val="TableParagraph"/>
              <w:spacing w:before="84"/>
              <w:ind w:right="44"/>
              <w:jc w:val="right"/>
              <w:rPr>
                <w:b/>
                <w:sz w:val="12"/>
              </w:rPr>
            </w:pPr>
            <w:r>
              <w:rPr>
                <w:b/>
                <w:w w:val="105"/>
                <w:sz w:val="12"/>
              </w:rPr>
              <w:t>-34.590,56</w:t>
            </w:r>
          </w:p>
        </w:tc>
        <w:tc>
          <w:tcPr>
            <w:tcW w:w="517" w:type="dxa"/>
            <w:shd w:val="clear" w:color="auto" w:fill="D9D9D9"/>
          </w:tcPr>
          <w:p>
            <w:pPr>
              <w:pStyle w:val="TableParagraph"/>
              <w:spacing w:before="84"/>
              <w:ind w:left="92" w:right="23"/>
              <w:jc w:val="center"/>
              <w:rPr>
                <w:b/>
                <w:sz w:val="12"/>
              </w:rPr>
            </w:pPr>
            <w:r>
              <w:rPr>
                <w:b/>
                <w:w w:val="105"/>
                <w:sz w:val="12"/>
              </w:rPr>
              <w:t>243,86</w:t>
            </w:r>
          </w:p>
        </w:tc>
        <w:tc>
          <w:tcPr>
            <w:tcW w:w="683" w:type="dxa"/>
            <w:shd w:val="clear" w:color="auto" w:fill="D9D9D9"/>
          </w:tcPr>
          <w:p>
            <w:pPr>
              <w:pStyle w:val="TableParagraph"/>
              <w:spacing w:before="84"/>
              <w:ind w:right="44"/>
              <w:jc w:val="right"/>
              <w:rPr>
                <w:b/>
                <w:sz w:val="12"/>
              </w:rPr>
            </w:pPr>
            <w:r>
              <w:rPr>
                <w:b/>
                <w:w w:val="105"/>
                <w:sz w:val="12"/>
              </w:rPr>
              <w:t>40.752,56</w:t>
            </w:r>
          </w:p>
        </w:tc>
        <w:tc>
          <w:tcPr>
            <w:tcW w:w="575" w:type="dxa"/>
            <w:shd w:val="clear" w:color="auto" w:fill="D9D9D9"/>
          </w:tcPr>
          <w:p>
            <w:pPr>
              <w:pStyle w:val="TableParagraph"/>
              <w:spacing w:before="84"/>
              <w:ind w:right="43"/>
              <w:jc w:val="right"/>
              <w:rPr>
                <w:b/>
                <w:sz w:val="12"/>
              </w:rPr>
            </w:pPr>
            <w:r>
              <w:rPr>
                <w:b/>
                <w:w w:val="105"/>
                <w:sz w:val="12"/>
              </w:rPr>
              <w:t>2.010,31</w:t>
            </w:r>
          </w:p>
        </w:tc>
        <w:tc>
          <w:tcPr>
            <w:tcW w:w="577" w:type="dxa"/>
            <w:shd w:val="clear" w:color="auto" w:fill="D9D9D9"/>
          </w:tcPr>
          <w:p>
            <w:pPr>
              <w:pStyle w:val="TableParagraph"/>
              <w:spacing w:before="84"/>
              <w:ind w:right="46"/>
              <w:jc w:val="right"/>
              <w:rPr>
                <w:b/>
                <w:sz w:val="12"/>
              </w:rPr>
            </w:pPr>
            <w:r>
              <w:rPr>
                <w:b/>
                <w:w w:val="105"/>
                <w:sz w:val="12"/>
              </w:rPr>
              <w:t>7.791,73</w:t>
            </w:r>
          </w:p>
        </w:tc>
        <w:tc>
          <w:tcPr>
            <w:tcW w:w="467" w:type="dxa"/>
            <w:shd w:val="clear" w:color="auto" w:fill="D9D9D9"/>
          </w:tcPr>
          <w:p>
            <w:pPr>
              <w:pStyle w:val="TableParagraph"/>
              <w:spacing w:before="84"/>
              <w:ind w:left="38" w:right="27"/>
              <w:jc w:val="center"/>
              <w:rPr>
                <w:b/>
                <w:sz w:val="12"/>
              </w:rPr>
            </w:pPr>
            <w:r>
              <w:rPr>
                <w:b/>
                <w:w w:val="105"/>
                <w:sz w:val="12"/>
              </w:rPr>
              <w:t>148,84</w:t>
            </w:r>
          </w:p>
        </w:tc>
        <w:tc>
          <w:tcPr>
            <w:tcW w:w="467" w:type="dxa"/>
            <w:shd w:val="clear" w:color="auto" w:fill="D9D9D9"/>
          </w:tcPr>
          <w:p>
            <w:pPr>
              <w:pStyle w:val="TableParagraph"/>
              <w:spacing w:before="84"/>
              <w:ind w:right="46"/>
              <w:jc w:val="right"/>
              <w:rPr>
                <w:b/>
                <w:sz w:val="12"/>
              </w:rPr>
            </w:pPr>
            <w:r>
              <w:rPr>
                <w:b/>
                <w:sz w:val="12"/>
              </w:rPr>
              <w:t>135,03</w:t>
            </w:r>
          </w:p>
        </w:tc>
        <w:tc>
          <w:tcPr>
            <w:tcW w:w="681" w:type="dxa"/>
            <w:shd w:val="clear" w:color="auto" w:fill="D9D9D9"/>
          </w:tcPr>
          <w:p>
            <w:pPr>
              <w:pStyle w:val="TableParagraph"/>
              <w:spacing w:before="84"/>
              <w:ind w:right="47"/>
              <w:jc w:val="right"/>
              <w:rPr>
                <w:b/>
                <w:sz w:val="12"/>
              </w:rPr>
            </w:pPr>
            <w:r>
              <w:rPr>
                <w:b/>
                <w:w w:val="105"/>
                <w:sz w:val="12"/>
              </w:rPr>
              <w:t>-29.579,62</w:t>
            </w:r>
          </w:p>
        </w:tc>
        <w:tc>
          <w:tcPr>
            <w:tcW w:w="526" w:type="dxa"/>
            <w:shd w:val="clear" w:color="auto" w:fill="D9D9D9"/>
          </w:tcPr>
          <w:p>
            <w:pPr>
              <w:pStyle w:val="TableParagraph"/>
              <w:spacing w:before="84"/>
              <w:ind w:right="47"/>
              <w:jc w:val="right"/>
              <w:rPr>
                <w:b/>
                <w:sz w:val="12"/>
              </w:rPr>
            </w:pPr>
            <w:r>
              <w:rPr>
                <w:b/>
                <w:w w:val="105"/>
                <w:sz w:val="12"/>
              </w:rPr>
              <w:t>0,00</w:t>
            </w:r>
          </w:p>
        </w:tc>
        <w:tc>
          <w:tcPr>
            <w:tcW w:w="746" w:type="dxa"/>
            <w:shd w:val="clear" w:color="auto" w:fill="D9D9D9"/>
          </w:tcPr>
          <w:p>
            <w:pPr>
              <w:pStyle w:val="TableParagraph"/>
              <w:spacing w:before="84"/>
              <w:ind w:right="47"/>
              <w:jc w:val="right"/>
              <w:rPr>
                <w:b/>
                <w:sz w:val="12"/>
              </w:rPr>
            </w:pPr>
            <w:r>
              <w:rPr>
                <w:b/>
                <w:w w:val="105"/>
                <w:sz w:val="12"/>
              </w:rPr>
              <w:t>-50.277,35</w:t>
            </w:r>
          </w:p>
        </w:tc>
      </w:tr>
      <w:tr>
        <w:trPr>
          <w:trHeight w:val="230" w:hRule="atLeast"/>
        </w:trPr>
        <w:tc>
          <w:tcPr>
            <w:tcW w:w="2199" w:type="dxa"/>
          </w:tcPr>
          <w:p>
            <w:pPr>
              <w:pStyle w:val="TableParagraph"/>
              <w:spacing w:before="43"/>
              <w:ind w:left="52"/>
              <w:rPr>
                <w:sz w:val="12"/>
              </w:rPr>
            </w:pPr>
            <w:r>
              <w:rPr>
                <w:w w:val="105"/>
                <w:sz w:val="12"/>
              </w:rPr>
              <w:t>Ajustes:</w:t>
            </w:r>
          </w:p>
        </w:tc>
        <w:tc>
          <w:tcPr>
            <w:tcW w:w="574" w:type="dxa"/>
          </w:tcPr>
          <w:p>
            <w:pPr>
              <w:pStyle w:val="TableParagraph"/>
              <w:rPr>
                <w:rFonts w:ascii="Times New Roman"/>
                <w:sz w:val="12"/>
              </w:rPr>
            </w:pPr>
          </w:p>
        </w:tc>
        <w:tc>
          <w:tcPr>
            <w:tcW w:w="574" w:type="dxa"/>
          </w:tcPr>
          <w:p>
            <w:pPr>
              <w:pStyle w:val="TableParagraph"/>
              <w:rPr>
                <w:rFonts w:ascii="Times New Roman"/>
                <w:sz w:val="12"/>
              </w:rPr>
            </w:pPr>
          </w:p>
        </w:tc>
        <w:tc>
          <w:tcPr>
            <w:tcW w:w="681" w:type="dxa"/>
          </w:tcPr>
          <w:p>
            <w:pPr>
              <w:pStyle w:val="TableParagraph"/>
              <w:rPr>
                <w:rFonts w:ascii="Times New Roman"/>
                <w:sz w:val="12"/>
              </w:rPr>
            </w:pPr>
          </w:p>
        </w:tc>
        <w:tc>
          <w:tcPr>
            <w:tcW w:w="332" w:type="dxa"/>
          </w:tcPr>
          <w:p>
            <w:pPr>
              <w:pStyle w:val="TableParagraph"/>
              <w:rPr>
                <w:rFonts w:ascii="Times New Roman"/>
                <w:sz w:val="12"/>
              </w:rPr>
            </w:pPr>
          </w:p>
        </w:tc>
        <w:tc>
          <w:tcPr>
            <w:tcW w:w="573" w:type="dxa"/>
          </w:tcPr>
          <w:p>
            <w:pPr>
              <w:pStyle w:val="TableParagraph"/>
              <w:rPr>
                <w:rFonts w:ascii="Times New Roman"/>
                <w:sz w:val="12"/>
              </w:rPr>
            </w:pPr>
          </w:p>
        </w:tc>
        <w:tc>
          <w:tcPr>
            <w:tcW w:w="575" w:type="dxa"/>
          </w:tcPr>
          <w:p>
            <w:pPr>
              <w:pStyle w:val="TableParagraph"/>
              <w:rPr>
                <w:rFonts w:ascii="Times New Roman"/>
                <w:sz w:val="12"/>
              </w:rPr>
            </w:pPr>
          </w:p>
        </w:tc>
        <w:tc>
          <w:tcPr>
            <w:tcW w:w="747" w:type="dxa"/>
          </w:tcPr>
          <w:p>
            <w:pPr>
              <w:pStyle w:val="TableParagraph"/>
              <w:rPr>
                <w:rFonts w:ascii="Times New Roman"/>
                <w:sz w:val="12"/>
              </w:rPr>
            </w:pPr>
          </w:p>
        </w:tc>
        <w:tc>
          <w:tcPr>
            <w:tcW w:w="517" w:type="dxa"/>
          </w:tcPr>
          <w:p>
            <w:pPr>
              <w:pStyle w:val="TableParagraph"/>
              <w:rPr>
                <w:rFonts w:ascii="Times New Roman"/>
                <w:sz w:val="12"/>
              </w:rPr>
            </w:pPr>
          </w:p>
        </w:tc>
        <w:tc>
          <w:tcPr>
            <w:tcW w:w="683" w:type="dxa"/>
          </w:tcPr>
          <w:p>
            <w:pPr>
              <w:pStyle w:val="TableParagraph"/>
              <w:rPr>
                <w:rFonts w:ascii="Times New Roman"/>
                <w:sz w:val="12"/>
              </w:rPr>
            </w:pPr>
          </w:p>
        </w:tc>
        <w:tc>
          <w:tcPr>
            <w:tcW w:w="575" w:type="dxa"/>
          </w:tcPr>
          <w:p>
            <w:pPr>
              <w:pStyle w:val="TableParagraph"/>
              <w:rPr>
                <w:rFonts w:ascii="Times New Roman"/>
                <w:sz w:val="12"/>
              </w:rPr>
            </w:pPr>
          </w:p>
        </w:tc>
        <w:tc>
          <w:tcPr>
            <w:tcW w:w="577" w:type="dxa"/>
          </w:tcPr>
          <w:p>
            <w:pPr>
              <w:pStyle w:val="TableParagraph"/>
              <w:rPr>
                <w:rFonts w:ascii="Times New Roman"/>
                <w:sz w:val="12"/>
              </w:rPr>
            </w:pPr>
          </w:p>
        </w:tc>
        <w:tc>
          <w:tcPr>
            <w:tcW w:w="467" w:type="dxa"/>
          </w:tcPr>
          <w:p>
            <w:pPr>
              <w:pStyle w:val="TableParagraph"/>
              <w:rPr>
                <w:rFonts w:ascii="Times New Roman"/>
                <w:sz w:val="12"/>
              </w:rPr>
            </w:pPr>
          </w:p>
        </w:tc>
        <w:tc>
          <w:tcPr>
            <w:tcW w:w="467" w:type="dxa"/>
          </w:tcPr>
          <w:p>
            <w:pPr>
              <w:pStyle w:val="TableParagraph"/>
              <w:rPr>
                <w:rFonts w:ascii="Times New Roman"/>
                <w:sz w:val="12"/>
              </w:rPr>
            </w:pPr>
          </w:p>
        </w:tc>
        <w:tc>
          <w:tcPr>
            <w:tcW w:w="681" w:type="dxa"/>
          </w:tcPr>
          <w:p>
            <w:pPr>
              <w:pStyle w:val="TableParagraph"/>
              <w:rPr>
                <w:rFonts w:ascii="Times New Roman"/>
                <w:sz w:val="12"/>
              </w:rPr>
            </w:pPr>
          </w:p>
        </w:tc>
        <w:tc>
          <w:tcPr>
            <w:tcW w:w="526" w:type="dxa"/>
          </w:tcPr>
          <w:p>
            <w:pPr>
              <w:pStyle w:val="TableParagraph"/>
              <w:rPr>
                <w:rFonts w:ascii="Times New Roman"/>
                <w:sz w:val="12"/>
              </w:rPr>
            </w:pPr>
          </w:p>
        </w:tc>
        <w:tc>
          <w:tcPr>
            <w:tcW w:w="746" w:type="dxa"/>
          </w:tcPr>
          <w:p>
            <w:pPr>
              <w:pStyle w:val="TableParagraph"/>
              <w:spacing w:before="43"/>
              <w:ind w:right="47"/>
              <w:jc w:val="right"/>
              <w:rPr>
                <w:sz w:val="12"/>
              </w:rPr>
            </w:pPr>
            <w:r>
              <w:rPr>
                <w:sz w:val="12"/>
              </w:rPr>
              <w:t>0,00</w:t>
            </w:r>
          </w:p>
        </w:tc>
      </w:tr>
      <w:tr>
        <w:trPr>
          <w:trHeight w:val="464" w:hRule="atLeast"/>
        </w:trPr>
        <w:tc>
          <w:tcPr>
            <w:tcW w:w="2199" w:type="dxa"/>
          </w:tcPr>
          <w:p>
            <w:pPr>
              <w:pStyle w:val="TableParagraph"/>
              <w:spacing w:line="247" w:lineRule="auto" w:before="84"/>
              <w:ind w:left="52"/>
              <w:rPr>
                <w:sz w:val="12"/>
              </w:rPr>
            </w:pPr>
            <w:r>
              <w:rPr>
                <w:w w:val="105"/>
                <w:sz w:val="12"/>
              </w:rPr>
              <w:t>3. Créditos gastados financiados con remanente de tesorería no afectado</w:t>
            </w:r>
          </w:p>
        </w:tc>
        <w:tc>
          <w:tcPr>
            <w:tcW w:w="574" w:type="dxa"/>
          </w:tcPr>
          <w:p>
            <w:pPr>
              <w:pStyle w:val="TableParagraph"/>
              <w:spacing w:before="1"/>
              <w:rPr>
                <w:sz w:val="13"/>
              </w:rPr>
            </w:pPr>
          </w:p>
          <w:p>
            <w:pPr>
              <w:pStyle w:val="TableParagraph"/>
              <w:spacing w:before="1"/>
              <w:ind w:right="41"/>
              <w:jc w:val="right"/>
              <w:rPr>
                <w:sz w:val="12"/>
              </w:rPr>
            </w:pPr>
            <w:r>
              <w:rPr>
                <w:sz w:val="12"/>
              </w:rPr>
              <w:t>0,00</w:t>
            </w:r>
          </w:p>
        </w:tc>
        <w:tc>
          <w:tcPr>
            <w:tcW w:w="574" w:type="dxa"/>
          </w:tcPr>
          <w:p>
            <w:pPr>
              <w:pStyle w:val="TableParagraph"/>
              <w:spacing w:before="1"/>
              <w:rPr>
                <w:sz w:val="13"/>
              </w:rPr>
            </w:pPr>
          </w:p>
          <w:p>
            <w:pPr>
              <w:pStyle w:val="TableParagraph"/>
              <w:spacing w:before="1"/>
              <w:ind w:right="40"/>
              <w:jc w:val="right"/>
              <w:rPr>
                <w:sz w:val="12"/>
              </w:rPr>
            </w:pPr>
            <w:r>
              <w:rPr>
                <w:sz w:val="12"/>
              </w:rPr>
              <w:t>0,00</w:t>
            </w:r>
          </w:p>
        </w:tc>
        <w:tc>
          <w:tcPr>
            <w:tcW w:w="681" w:type="dxa"/>
          </w:tcPr>
          <w:p>
            <w:pPr>
              <w:pStyle w:val="TableParagraph"/>
              <w:spacing w:before="1"/>
              <w:rPr>
                <w:sz w:val="13"/>
              </w:rPr>
            </w:pPr>
          </w:p>
          <w:p>
            <w:pPr>
              <w:pStyle w:val="TableParagraph"/>
              <w:spacing w:before="1"/>
              <w:ind w:right="40"/>
              <w:jc w:val="right"/>
              <w:rPr>
                <w:sz w:val="12"/>
              </w:rPr>
            </w:pPr>
            <w:r>
              <w:rPr>
                <w:w w:val="105"/>
                <w:sz w:val="12"/>
              </w:rPr>
              <w:t>44.768,06</w:t>
            </w:r>
          </w:p>
        </w:tc>
        <w:tc>
          <w:tcPr>
            <w:tcW w:w="332" w:type="dxa"/>
          </w:tcPr>
          <w:p>
            <w:pPr>
              <w:pStyle w:val="TableParagraph"/>
              <w:spacing w:before="1"/>
              <w:rPr>
                <w:sz w:val="13"/>
              </w:rPr>
            </w:pPr>
          </w:p>
          <w:p>
            <w:pPr>
              <w:pStyle w:val="TableParagraph"/>
              <w:spacing w:before="1"/>
              <w:ind w:left="55"/>
              <w:rPr>
                <w:sz w:val="12"/>
              </w:rPr>
            </w:pPr>
            <w:r>
              <w:rPr>
                <w:w w:val="105"/>
                <w:sz w:val="12"/>
              </w:rPr>
              <w:t>0,00</w:t>
            </w:r>
          </w:p>
        </w:tc>
        <w:tc>
          <w:tcPr>
            <w:tcW w:w="573" w:type="dxa"/>
          </w:tcPr>
          <w:p>
            <w:pPr>
              <w:pStyle w:val="TableParagraph"/>
              <w:spacing w:before="1"/>
              <w:rPr>
                <w:sz w:val="13"/>
              </w:rPr>
            </w:pPr>
          </w:p>
          <w:p>
            <w:pPr>
              <w:pStyle w:val="TableParagraph"/>
              <w:spacing w:before="1"/>
              <w:ind w:right="41"/>
              <w:jc w:val="right"/>
              <w:rPr>
                <w:sz w:val="12"/>
              </w:rPr>
            </w:pPr>
            <w:r>
              <w:rPr>
                <w:sz w:val="12"/>
              </w:rPr>
              <w:t>0,00</w:t>
            </w:r>
          </w:p>
        </w:tc>
        <w:tc>
          <w:tcPr>
            <w:tcW w:w="575" w:type="dxa"/>
          </w:tcPr>
          <w:p>
            <w:pPr>
              <w:pStyle w:val="TableParagraph"/>
              <w:spacing w:before="1"/>
              <w:rPr>
                <w:sz w:val="13"/>
              </w:rPr>
            </w:pPr>
          </w:p>
          <w:p>
            <w:pPr>
              <w:pStyle w:val="TableParagraph"/>
              <w:spacing w:before="1"/>
              <w:ind w:right="41"/>
              <w:jc w:val="right"/>
              <w:rPr>
                <w:sz w:val="12"/>
              </w:rPr>
            </w:pPr>
            <w:r>
              <w:rPr>
                <w:sz w:val="12"/>
              </w:rPr>
              <w:t>0,00</w:t>
            </w:r>
          </w:p>
        </w:tc>
        <w:tc>
          <w:tcPr>
            <w:tcW w:w="747" w:type="dxa"/>
          </w:tcPr>
          <w:p>
            <w:pPr>
              <w:pStyle w:val="TableParagraph"/>
              <w:spacing w:before="1"/>
              <w:rPr>
                <w:sz w:val="13"/>
              </w:rPr>
            </w:pPr>
          </w:p>
          <w:p>
            <w:pPr>
              <w:pStyle w:val="TableParagraph"/>
              <w:spacing w:before="1"/>
              <w:ind w:right="44"/>
              <w:jc w:val="right"/>
              <w:rPr>
                <w:sz w:val="12"/>
              </w:rPr>
            </w:pPr>
            <w:r>
              <w:rPr>
                <w:w w:val="105"/>
                <w:sz w:val="12"/>
              </w:rPr>
              <w:t>48.830,92</w:t>
            </w:r>
          </w:p>
        </w:tc>
        <w:tc>
          <w:tcPr>
            <w:tcW w:w="517" w:type="dxa"/>
          </w:tcPr>
          <w:p>
            <w:pPr>
              <w:pStyle w:val="TableParagraph"/>
              <w:spacing w:before="1"/>
              <w:rPr>
                <w:sz w:val="13"/>
              </w:rPr>
            </w:pPr>
          </w:p>
          <w:p>
            <w:pPr>
              <w:pStyle w:val="TableParagraph"/>
              <w:spacing w:before="1"/>
              <w:ind w:left="217" w:right="21"/>
              <w:jc w:val="center"/>
              <w:rPr>
                <w:sz w:val="12"/>
              </w:rPr>
            </w:pPr>
            <w:r>
              <w:rPr>
                <w:w w:val="105"/>
                <w:sz w:val="12"/>
              </w:rPr>
              <w:t>0,00</w:t>
            </w:r>
          </w:p>
        </w:tc>
        <w:tc>
          <w:tcPr>
            <w:tcW w:w="683" w:type="dxa"/>
          </w:tcPr>
          <w:p>
            <w:pPr>
              <w:pStyle w:val="TableParagraph"/>
              <w:spacing w:before="1"/>
              <w:rPr>
                <w:sz w:val="13"/>
              </w:rPr>
            </w:pPr>
          </w:p>
          <w:p>
            <w:pPr>
              <w:pStyle w:val="TableParagraph"/>
              <w:spacing w:before="1"/>
              <w:ind w:right="44"/>
              <w:jc w:val="right"/>
              <w:rPr>
                <w:sz w:val="12"/>
              </w:rPr>
            </w:pPr>
            <w:r>
              <w:rPr>
                <w:sz w:val="12"/>
              </w:rPr>
              <w:t>0,00</w:t>
            </w:r>
          </w:p>
        </w:tc>
        <w:tc>
          <w:tcPr>
            <w:tcW w:w="575" w:type="dxa"/>
          </w:tcPr>
          <w:p>
            <w:pPr>
              <w:pStyle w:val="TableParagraph"/>
              <w:spacing w:before="1"/>
              <w:rPr>
                <w:sz w:val="13"/>
              </w:rPr>
            </w:pPr>
          </w:p>
          <w:p>
            <w:pPr>
              <w:pStyle w:val="TableParagraph"/>
              <w:spacing w:before="1"/>
              <w:ind w:right="43"/>
              <w:jc w:val="right"/>
              <w:rPr>
                <w:sz w:val="12"/>
              </w:rPr>
            </w:pPr>
            <w:r>
              <w:rPr>
                <w:sz w:val="12"/>
              </w:rPr>
              <w:t>0,00</w:t>
            </w:r>
          </w:p>
        </w:tc>
        <w:tc>
          <w:tcPr>
            <w:tcW w:w="577" w:type="dxa"/>
          </w:tcPr>
          <w:p>
            <w:pPr>
              <w:pStyle w:val="TableParagraph"/>
              <w:spacing w:before="1"/>
              <w:rPr>
                <w:sz w:val="13"/>
              </w:rPr>
            </w:pPr>
          </w:p>
          <w:p>
            <w:pPr>
              <w:pStyle w:val="TableParagraph"/>
              <w:spacing w:before="1"/>
              <w:ind w:right="46"/>
              <w:jc w:val="right"/>
              <w:rPr>
                <w:sz w:val="12"/>
              </w:rPr>
            </w:pPr>
            <w:r>
              <w:rPr>
                <w:sz w:val="12"/>
              </w:rPr>
              <w:t>0,00</w:t>
            </w:r>
          </w:p>
        </w:tc>
        <w:tc>
          <w:tcPr>
            <w:tcW w:w="467" w:type="dxa"/>
          </w:tcPr>
          <w:p>
            <w:pPr>
              <w:pStyle w:val="TableParagraph"/>
              <w:spacing w:before="1"/>
              <w:rPr>
                <w:sz w:val="13"/>
              </w:rPr>
            </w:pPr>
          </w:p>
          <w:p>
            <w:pPr>
              <w:pStyle w:val="TableParagraph"/>
              <w:spacing w:before="1"/>
              <w:ind w:left="162" w:right="25"/>
              <w:jc w:val="center"/>
              <w:rPr>
                <w:sz w:val="12"/>
              </w:rPr>
            </w:pPr>
            <w:r>
              <w:rPr>
                <w:w w:val="105"/>
                <w:sz w:val="12"/>
              </w:rPr>
              <w:t>0,00</w:t>
            </w:r>
          </w:p>
        </w:tc>
        <w:tc>
          <w:tcPr>
            <w:tcW w:w="467" w:type="dxa"/>
          </w:tcPr>
          <w:p>
            <w:pPr>
              <w:pStyle w:val="TableParagraph"/>
              <w:spacing w:before="1"/>
              <w:rPr>
                <w:sz w:val="13"/>
              </w:rPr>
            </w:pPr>
          </w:p>
          <w:p>
            <w:pPr>
              <w:pStyle w:val="TableParagraph"/>
              <w:spacing w:before="1"/>
              <w:ind w:right="47"/>
              <w:jc w:val="right"/>
              <w:rPr>
                <w:sz w:val="12"/>
              </w:rPr>
            </w:pPr>
            <w:r>
              <w:rPr>
                <w:sz w:val="12"/>
              </w:rPr>
              <w:t>0,00</w:t>
            </w:r>
          </w:p>
        </w:tc>
        <w:tc>
          <w:tcPr>
            <w:tcW w:w="681" w:type="dxa"/>
          </w:tcPr>
          <w:p>
            <w:pPr>
              <w:pStyle w:val="TableParagraph"/>
              <w:spacing w:before="1"/>
              <w:rPr>
                <w:sz w:val="13"/>
              </w:rPr>
            </w:pPr>
          </w:p>
          <w:p>
            <w:pPr>
              <w:pStyle w:val="TableParagraph"/>
              <w:spacing w:before="1"/>
              <w:ind w:right="47"/>
              <w:jc w:val="right"/>
              <w:rPr>
                <w:sz w:val="12"/>
              </w:rPr>
            </w:pPr>
            <w:r>
              <w:rPr>
                <w:w w:val="105"/>
                <w:sz w:val="12"/>
              </w:rPr>
              <w:t>39.045,60</w:t>
            </w:r>
          </w:p>
        </w:tc>
        <w:tc>
          <w:tcPr>
            <w:tcW w:w="526" w:type="dxa"/>
          </w:tcPr>
          <w:p>
            <w:pPr>
              <w:pStyle w:val="TableParagraph"/>
              <w:spacing w:before="1"/>
              <w:rPr>
                <w:sz w:val="13"/>
              </w:rPr>
            </w:pPr>
          </w:p>
          <w:p>
            <w:pPr>
              <w:pStyle w:val="TableParagraph"/>
              <w:spacing w:before="1"/>
              <w:ind w:right="45"/>
              <w:jc w:val="right"/>
              <w:rPr>
                <w:sz w:val="12"/>
              </w:rPr>
            </w:pPr>
            <w:r>
              <w:rPr>
                <w:sz w:val="12"/>
              </w:rPr>
              <w:t>0,00</w:t>
            </w:r>
          </w:p>
        </w:tc>
        <w:tc>
          <w:tcPr>
            <w:tcW w:w="746" w:type="dxa"/>
          </w:tcPr>
          <w:p>
            <w:pPr>
              <w:pStyle w:val="TableParagraph"/>
              <w:spacing w:before="1"/>
              <w:rPr>
                <w:sz w:val="13"/>
              </w:rPr>
            </w:pPr>
          </w:p>
          <w:p>
            <w:pPr>
              <w:pStyle w:val="TableParagraph"/>
              <w:spacing w:before="1"/>
              <w:ind w:right="47"/>
              <w:jc w:val="right"/>
              <w:rPr>
                <w:sz w:val="12"/>
              </w:rPr>
            </w:pPr>
            <w:r>
              <w:rPr>
                <w:w w:val="105"/>
                <w:sz w:val="12"/>
              </w:rPr>
              <w:t>132.644,59</w:t>
            </w:r>
          </w:p>
        </w:tc>
      </w:tr>
      <w:tr>
        <w:trPr>
          <w:trHeight w:val="463" w:hRule="atLeast"/>
        </w:trPr>
        <w:tc>
          <w:tcPr>
            <w:tcW w:w="2199" w:type="dxa"/>
          </w:tcPr>
          <w:p>
            <w:pPr>
              <w:pStyle w:val="TableParagraph"/>
              <w:spacing w:line="247" w:lineRule="auto" w:before="84"/>
              <w:ind w:left="52" w:right="12"/>
              <w:rPr>
                <w:sz w:val="12"/>
              </w:rPr>
            </w:pPr>
            <w:r>
              <w:rPr>
                <w:w w:val="105"/>
                <w:sz w:val="12"/>
              </w:rPr>
              <w:t>4. Desviaciones de financiación negativas del ejercicio</w:t>
            </w:r>
          </w:p>
        </w:tc>
        <w:tc>
          <w:tcPr>
            <w:tcW w:w="574" w:type="dxa"/>
          </w:tcPr>
          <w:p>
            <w:pPr>
              <w:pStyle w:val="TableParagraph"/>
              <w:spacing w:before="1"/>
              <w:rPr>
                <w:sz w:val="13"/>
              </w:rPr>
            </w:pPr>
          </w:p>
          <w:p>
            <w:pPr>
              <w:pStyle w:val="TableParagraph"/>
              <w:spacing w:before="1"/>
              <w:ind w:right="41"/>
              <w:jc w:val="right"/>
              <w:rPr>
                <w:sz w:val="12"/>
              </w:rPr>
            </w:pPr>
            <w:r>
              <w:rPr>
                <w:sz w:val="12"/>
              </w:rPr>
              <w:t>0,00</w:t>
            </w:r>
          </w:p>
        </w:tc>
        <w:tc>
          <w:tcPr>
            <w:tcW w:w="574" w:type="dxa"/>
          </w:tcPr>
          <w:p>
            <w:pPr>
              <w:pStyle w:val="TableParagraph"/>
              <w:spacing w:before="1"/>
              <w:rPr>
                <w:sz w:val="13"/>
              </w:rPr>
            </w:pPr>
          </w:p>
          <w:p>
            <w:pPr>
              <w:pStyle w:val="TableParagraph"/>
              <w:spacing w:before="1"/>
              <w:ind w:right="40"/>
              <w:jc w:val="right"/>
              <w:rPr>
                <w:sz w:val="12"/>
              </w:rPr>
            </w:pPr>
            <w:r>
              <w:rPr>
                <w:sz w:val="12"/>
              </w:rPr>
              <w:t>0,00</w:t>
            </w:r>
          </w:p>
        </w:tc>
        <w:tc>
          <w:tcPr>
            <w:tcW w:w="681" w:type="dxa"/>
          </w:tcPr>
          <w:p>
            <w:pPr>
              <w:pStyle w:val="TableParagraph"/>
              <w:spacing w:before="1"/>
              <w:rPr>
                <w:sz w:val="13"/>
              </w:rPr>
            </w:pPr>
          </w:p>
          <w:p>
            <w:pPr>
              <w:pStyle w:val="TableParagraph"/>
              <w:spacing w:before="1"/>
              <w:ind w:right="40"/>
              <w:jc w:val="right"/>
              <w:rPr>
                <w:sz w:val="12"/>
              </w:rPr>
            </w:pPr>
            <w:r>
              <w:rPr>
                <w:w w:val="105"/>
                <w:sz w:val="12"/>
              </w:rPr>
              <w:t>67.506,85</w:t>
            </w:r>
          </w:p>
        </w:tc>
        <w:tc>
          <w:tcPr>
            <w:tcW w:w="332" w:type="dxa"/>
          </w:tcPr>
          <w:p>
            <w:pPr>
              <w:pStyle w:val="TableParagraph"/>
              <w:spacing w:before="1"/>
              <w:rPr>
                <w:sz w:val="13"/>
              </w:rPr>
            </w:pPr>
          </w:p>
          <w:p>
            <w:pPr>
              <w:pStyle w:val="TableParagraph"/>
              <w:spacing w:before="1"/>
              <w:ind w:left="55"/>
              <w:rPr>
                <w:sz w:val="12"/>
              </w:rPr>
            </w:pPr>
            <w:r>
              <w:rPr>
                <w:w w:val="105"/>
                <w:sz w:val="12"/>
              </w:rPr>
              <w:t>0,00</w:t>
            </w:r>
          </w:p>
        </w:tc>
        <w:tc>
          <w:tcPr>
            <w:tcW w:w="573" w:type="dxa"/>
          </w:tcPr>
          <w:p>
            <w:pPr>
              <w:pStyle w:val="TableParagraph"/>
              <w:spacing w:before="1"/>
              <w:rPr>
                <w:sz w:val="13"/>
              </w:rPr>
            </w:pPr>
          </w:p>
          <w:p>
            <w:pPr>
              <w:pStyle w:val="TableParagraph"/>
              <w:spacing w:before="1"/>
              <w:ind w:right="41"/>
              <w:jc w:val="right"/>
              <w:rPr>
                <w:sz w:val="12"/>
              </w:rPr>
            </w:pPr>
            <w:r>
              <w:rPr>
                <w:sz w:val="12"/>
              </w:rPr>
              <w:t>211,09</w:t>
            </w:r>
          </w:p>
        </w:tc>
        <w:tc>
          <w:tcPr>
            <w:tcW w:w="575" w:type="dxa"/>
          </w:tcPr>
          <w:p>
            <w:pPr>
              <w:pStyle w:val="TableParagraph"/>
              <w:spacing w:before="1"/>
              <w:rPr>
                <w:sz w:val="13"/>
              </w:rPr>
            </w:pPr>
          </w:p>
          <w:p>
            <w:pPr>
              <w:pStyle w:val="TableParagraph"/>
              <w:spacing w:before="1"/>
              <w:ind w:right="41"/>
              <w:jc w:val="right"/>
              <w:rPr>
                <w:sz w:val="12"/>
              </w:rPr>
            </w:pPr>
            <w:r>
              <w:rPr>
                <w:sz w:val="12"/>
              </w:rPr>
              <w:t>0,00</w:t>
            </w:r>
          </w:p>
        </w:tc>
        <w:tc>
          <w:tcPr>
            <w:tcW w:w="747" w:type="dxa"/>
          </w:tcPr>
          <w:p>
            <w:pPr>
              <w:pStyle w:val="TableParagraph"/>
              <w:spacing w:before="1"/>
              <w:rPr>
                <w:sz w:val="13"/>
              </w:rPr>
            </w:pPr>
          </w:p>
          <w:p>
            <w:pPr>
              <w:pStyle w:val="TableParagraph"/>
              <w:spacing w:before="1"/>
              <w:ind w:right="44"/>
              <w:jc w:val="right"/>
              <w:rPr>
                <w:sz w:val="12"/>
              </w:rPr>
            </w:pPr>
            <w:r>
              <w:rPr>
                <w:w w:val="105"/>
                <w:sz w:val="12"/>
              </w:rPr>
              <w:t>5.932,65</w:t>
            </w:r>
          </w:p>
        </w:tc>
        <w:tc>
          <w:tcPr>
            <w:tcW w:w="517" w:type="dxa"/>
          </w:tcPr>
          <w:p>
            <w:pPr>
              <w:pStyle w:val="TableParagraph"/>
              <w:spacing w:before="1"/>
              <w:rPr>
                <w:sz w:val="13"/>
              </w:rPr>
            </w:pPr>
          </w:p>
          <w:p>
            <w:pPr>
              <w:pStyle w:val="TableParagraph"/>
              <w:spacing w:before="1"/>
              <w:ind w:left="217" w:right="21"/>
              <w:jc w:val="center"/>
              <w:rPr>
                <w:sz w:val="12"/>
              </w:rPr>
            </w:pPr>
            <w:r>
              <w:rPr>
                <w:w w:val="105"/>
                <w:sz w:val="12"/>
              </w:rPr>
              <w:t>0,00</w:t>
            </w:r>
          </w:p>
        </w:tc>
        <w:tc>
          <w:tcPr>
            <w:tcW w:w="683" w:type="dxa"/>
          </w:tcPr>
          <w:p>
            <w:pPr>
              <w:pStyle w:val="TableParagraph"/>
              <w:spacing w:before="1"/>
              <w:rPr>
                <w:sz w:val="13"/>
              </w:rPr>
            </w:pPr>
          </w:p>
          <w:p>
            <w:pPr>
              <w:pStyle w:val="TableParagraph"/>
              <w:spacing w:before="1"/>
              <w:ind w:right="44"/>
              <w:jc w:val="right"/>
              <w:rPr>
                <w:sz w:val="12"/>
              </w:rPr>
            </w:pPr>
            <w:r>
              <w:rPr>
                <w:w w:val="105"/>
                <w:sz w:val="12"/>
              </w:rPr>
              <w:t>13.571,55</w:t>
            </w:r>
          </w:p>
        </w:tc>
        <w:tc>
          <w:tcPr>
            <w:tcW w:w="575" w:type="dxa"/>
          </w:tcPr>
          <w:p>
            <w:pPr>
              <w:pStyle w:val="TableParagraph"/>
              <w:spacing w:before="1"/>
              <w:rPr>
                <w:sz w:val="13"/>
              </w:rPr>
            </w:pPr>
          </w:p>
          <w:p>
            <w:pPr>
              <w:pStyle w:val="TableParagraph"/>
              <w:spacing w:before="1"/>
              <w:ind w:right="43"/>
              <w:jc w:val="right"/>
              <w:rPr>
                <w:sz w:val="12"/>
              </w:rPr>
            </w:pPr>
            <w:r>
              <w:rPr>
                <w:sz w:val="12"/>
              </w:rPr>
              <w:t>0,00</w:t>
            </w:r>
          </w:p>
        </w:tc>
        <w:tc>
          <w:tcPr>
            <w:tcW w:w="577" w:type="dxa"/>
          </w:tcPr>
          <w:p>
            <w:pPr>
              <w:pStyle w:val="TableParagraph"/>
              <w:spacing w:before="1"/>
              <w:rPr>
                <w:sz w:val="13"/>
              </w:rPr>
            </w:pPr>
          </w:p>
          <w:p>
            <w:pPr>
              <w:pStyle w:val="TableParagraph"/>
              <w:spacing w:before="1"/>
              <w:ind w:right="46"/>
              <w:jc w:val="right"/>
              <w:rPr>
                <w:sz w:val="12"/>
              </w:rPr>
            </w:pPr>
            <w:r>
              <w:rPr>
                <w:sz w:val="12"/>
              </w:rPr>
              <w:t>0,00</w:t>
            </w:r>
          </w:p>
        </w:tc>
        <w:tc>
          <w:tcPr>
            <w:tcW w:w="467" w:type="dxa"/>
          </w:tcPr>
          <w:p>
            <w:pPr>
              <w:pStyle w:val="TableParagraph"/>
              <w:spacing w:before="1"/>
              <w:rPr>
                <w:sz w:val="13"/>
              </w:rPr>
            </w:pPr>
          </w:p>
          <w:p>
            <w:pPr>
              <w:pStyle w:val="TableParagraph"/>
              <w:spacing w:before="1"/>
              <w:ind w:left="162" w:right="25"/>
              <w:jc w:val="center"/>
              <w:rPr>
                <w:sz w:val="12"/>
              </w:rPr>
            </w:pPr>
            <w:r>
              <w:rPr>
                <w:w w:val="105"/>
                <w:sz w:val="12"/>
              </w:rPr>
              <w:t>0,00</w:t>
            </w:r>
          </w:p>
        </w:tc>
        <w:tc>
          <w:tcPr>
            <w:tcW w:w="467" w:type="dxa"/>
          </w:tcPr>
          <w:p>
            <w:pPr>
              <w:pStyle w:val="TableParagraph"/>
              <w:spacing w:before="1"/>
              <w:rPr>
                <w:sz w:val="13"/>
              </w:rPr>
            </w:pPr>
          </w:p>
          <w:p>
            <w:pPr>
              <w:pStyle w:val="TableParagraph"/>
              <w:spacing w:before="1"/>
              <w:ind w:right="47"/>
              <w:jc w:val="right"/>
              <w:rPr>
                <w:sz w:val="12"/>
              </w:rPr>
            </w:pPr>
            <w:r>
              <w:rPr>
                <w:sz w:val="12"/>
              </w:rPr>
              <w:t>0,00</w:t>
            </w:r>
          </w:p>
        </w:tc>
        <w:tc>
          <w:tcPr>
            <w:tcW w:w="681" w:type="dxa"/>
          </w:tcPr>
          <w:p>
            <w:pPr>
              <w:pStyle w:val="TableParagraph"/>
              <w:spacing w:before="1"/>
              <w:rPr>
                <w:sz w:val="13"/>
              </w:rPr>
            </w:pPr>
          </w:p>
          <w:p>
            <w:pPr>
              <w:pStyle w:val="TableParagraph"/>
              <w:spacing w:before="1"/>
              <w:ind w:right="47"/>
              <w:jc w:val="right"/>
              <w:rPr>
                <w:sz w:val="12"/>
              </w:rPr>
            </w:pPr>
            <w:r>
              <w:rPr>
                <w:sz w:val="12"/>
              </w:rPr>
              <w:t>0,00</w:t>
            </w:r>
          </w:p>
        </w:tc>
        <w:tc>
          <w:tcPr>
            <w:tcW w:w="526" w:type="dxa"/>
          </w:tcPr>
          <w:p>
            <w:pPr>
              <w:pStyle w:val="TableParagraph"/>
              <w:spacing w:before="1"/>
              <w:rPr>
                <w:sz w:val="13"/>
              </w:rPr>
            </w:pPr>
          </w:p>
          <w:p>
            <w:pPr>
              <w:pStyle w:val="TableParagraph"/>
              <w:spacing w:before="1"/>
              <w:ind w:right="45"/>
              <w:jc w:val="right"/>
              <w:rPr>
                <w:sz w:val="12"/>
              </w:rPr>
            </w:pPr>
            <w:r>
              <w:rPr>
                <w:sz w:val="12"/>
              </w:rPr>
              <w:t>0,00</w:t>
            </w:r>
          </w:p>
        </w:tc>
        <w:tc>
          <w:tcPr>
            <w:tcW w:w="746" w:type="dxa"/>
          </w:tcPr>
          <w:p>
            <w:pPr>
              <w:pStyle w:val="TableParagraph"/>
              <w:spacing w:before="1"/>
              <w:rPr>
                <w:sz w:val="13"/>
              </w:rPr>
            </w:pPr>
          </w:p>
          <w:p>
            <w:pPr>
              <w:pStyle w:val="TableParagraph"/>
              <w:spacing w:before="1"/>
              <w:ind w:right="47"/>
              <w:jc w:val="right"/>
              <w:rPr>
                <w:sz w:val="12"/>
              </w:rPr>
            </w:pPr>
            <w:r>
              <w:rPr>
                <w:w w:val="105"/>
                <w:sz w:val="12"/>
              </w:rPr>
              <w:t>87.222,14</w:t>
            </w:r>
          </w:p>
        </w:tc>
      </w:tr>
      <w:tr>
        <w:trPr>
          <w:trHeight w:val="465" w:hRule="atLeast"/>
        </w:trPr>
        <w:tc>
          <w:tcPr>
            <w:tcW w:w="2199" w:type="dxa"/>
          </w:tcPr>
          <w:p>
            <w:pPr>
              <w:pStyle w:val="TableParagraph"/>
              <w:spacing w:line="249" w:lineRule="auto" w:before="84"/>
              <w:ind w:left="52"/>
              <w:rPr>
                <w:sz w:val="12"/>
              </w:rPr>
            </w:pPr>
            <w:r>
              <w:rPr>
                <w:w w:val="105"/>
                <w:sz w:val="12"/>
              </w:rPr>
              <w:t>5. Desviaciones de financiación positivas del ejercicio</w:t>
            </w:r>
          </w:p>
        </w:tc>
        <w:tc>
          <w:tcPr>
            <w:tcW w:w="574" w:type="dxa"/>
          </w:tcPr>
          <w:p>
            <w:pPr>
              <w:pStyle w:val="TableParagraph"/>
              <w:spacing w:before="1"/>
              <w:rPr>
                <w:sz w:val="13"/>
              </w:rPr>
            </w:pPr>
          </w:p>
          <w:p>
            <w:pPr>
              <w:pStyle w:val="TableParagraph"/>
              <w:spacing w:before="1"/>
              <w:ind w:left="172"/>
              <w:rPr>
                <w:sz w:val="12"/>
              </w:rPr>
            </w:pPr>
            <w:r>
              <w:rPr>
                <w:w w:val="105"/>
                <w:sz w:val="12"/>
              </w:rPr>
              <w:t>780,49</w:t>
            </w:r>
          </w:p>
        </w:tc>
        <w:tc>
          <w:tcPr>
            <w:tcW w:w="574" w:type="dxa"/>
          </w:tcPr>
          <w:p>
            <w:pPr>
              <w:pStyle w:val="TableParagraph"/>
              <w:spacing w:before="1"/>
              <w:rPr>
                <w:sz w:val="13"/>
              </w:rPr>
            </w:pPr>
          </w:p>
          <w:p>
            <w:pPr>
              <w:pStyle w:val="TableParagraph"/>
              <w:spacing w:before="1"/>
              <w:ind w:left="172"/>
              <w:rPr>
                <w:sz w:val="12"/>
              </w:rPr>
            </w:pPr>
            <w:r>
              <w:rPr>
                <w:w w:val="105"/>
                <w:sz w:val="12"/>
              </w:rPr>
              <w:t>332,74</w:t>
            </w:r>
          </w:p>
        </w:tc>
        <w:tc>
          <w:tcPr>
            <w:tcW w:w="681" w:type="dxa"/>
          </w:tcPr>
          <w:p>
            <w:pPr>
              <w:pStyle w:val="TableParagraph"/>
              <w:spacing w:before="1"/>
              <w:rPr>
                <w:sz w:val="13"/>
              </w:rPr>
            </w:pPr>
          </w:p>
          <w:p>
            <w:pPr>
              <w:pStyle w:val="TableParagraph"/>
              <w:spacing w:before="1"/>
              <w:ind w:right="40"/>
              <w:jc w:val="right"/>
              <w:rPr>
                <w:sz w:val="12"/>
              </w:rPr>
            </w:pPr>
            <w:r>
              <w:rPr>
                <w:w w:val="105"/>
                <w:sz w:val="12"/>
              </w:rPr>
              <w:t>52.801,12</w:t>
            </w:r>
          </w:p>
        </w:tc>
        <w:tc>
          <w:tcPr>
            <w:tcW w:w="332" w:type="dxa"/>
          </w:tcPr>
          <w:p>
            <w:pPr>
              <w:pStyle w:val="TableParagraph"/>
              <w:spacing w:before="1"/>
              <w:rPr>
                <w:sz w:val="13"/>
              </w:rPr>
            </w:pPr>
          </w:p>
          <w:p>
            <w:pPr>
              <w:pStyle w:val="TableParagraph"/>
              <w:spacing w:before="1"/>
              <w:ind w:left="55"/>
              <w:rPr>
                <w:sz w:val="12"/>
              </w:rPr>
            </w:pPr>
            <w:r>
              <w:rPr>
                <w:w w:val="105"/>
                <w:sz w:val="12"/>
              </w:rPr>
              <w:t>0,00</w:t>
            </w:r>
          </w:p>
        </w:tc>
        <w:tc>
          <w:tcPr>
            <w:tcW w:w="573" w:type="dxa"/>
          </w:tcPr>
          <w:p>
            <w:pPr>
              <w:pStyle w:val="TableParagraph"/>
              <w:spacing w:before="1"/>
              <w:rPr>
                <w:sz w:val="13"/>
              </w:rPr>
            </w:pPr>
          </w:p>
          <w:p>
            <w:pPr>
              <w:pStyle w:val="TableParagraph"/>
              <w:spacing w:before="1"/>
              <w:ind w:right="40"/>
              <w:jc w:val="right"/>
              <w:rPr>
                <w:sz w:val="12"/>
              </w:rPr>
            </w:pPr>
            <w:r>
              <w:rPr>
                <w:sz w:val="12"/>
              </w:rPr>
              <w:t>49,30</w:t>
            </w:r>
          </w:p>
        </w:tc>
        <w:tc>
          <w:tcPr>
            <w:tcW w:w="575" w:type="dxa"/>
          </w:tcPr>
          <w:p>
            <w:pPr>
              <w:pStyle w:val="TableParagraph"/>
              <w:spacing w:before="1"/>
              <w:rPr>
                <w:sz w:val="13"/>
              </w:rPr>
            </w:pPr>
          </w:p>
          <w:p>
            <w:pPr>
              <w:pStyle w:val="TableParagraph"/>
              <w:spacing w:before="1"/>
              <w:ind w:left="172"/>
              <w:rPr>
                <w:sz w:val="12"/>
              </w:rPr>
            </w:pPr>
            <w:r>
              <w:rPr>
                <w:w w:val="105"/>
                <w:sz w:val="12"/>
              </w:rPr>
              <w:t>107,82</w:t>
            </w:r>
          </w:p>
        </w:tc>
        <w:tc>
          <w:tcPr>
            <w:tcW w:w="747" w:type="dxa"/>
          </w:tcPr>
          <w:p>
            <w:pPr>
              <w:pStyle w:val="TableParagraph"/>
              <w:spacing w:before="1"/>
              <w:rPr>
                <w:sz w:val="13"/>
              </w:rPr>
            </w:pPr>
          </w:p>
          <w:p>
            <w:pPr>
              <w:pStyle w:val="TableParagraph"/>
              <w:spacing w:before="1"/>
              <w:ind w:right="44"/>
              <w:jc w:val="right"/>
              <w:rPr>
                <w:sz w:val="12"/>
              </w:rPr>
            </w:pPr>
            <w:r>
              <w:rPr>
                <w:w w:val="105"/>
                <w:sz w:val="12"/>
              </w:rPr>
              <w:t>35.294,24</w:t>
            </w:r>
          </w:p>
        </w:tc>
        <w:tc>
          <w:tcPr>
            <w:tcW w:w="517" w:type="dxa"/>
          </w:tcPr>
          <w:p>
            <w:pPr>
              <w:pStyle w:val="TableParagraph"/>
              <w:spacing w:before="1"/>
              <w:rPr>
                <w:sz w:val="13"/>
              </w:rPr>
            </w:pPr>
          </w:p>
          <w:p>
            <w:pPr>
              <w:pStyle w:val="TableParagraph"/>
              <w:spacing w:before="1"/>
              <w:ind w:left="217" w:right="21"/>
              <w:jc w:val="center"/>
              <w:rPr>
                <w:sz w:val="12"/>
              </w:rPr>
            </w:pPr>
            <w:r>
              <w:rPr>
                <w:w w:val="105"/>
                <w:sz w:val="12"/>
              </w:rPr>
              <w:t>0,00</w:t>
            </w:r>
          </w:p>
        </w:tc>
        <w:tc>
          <w:tcPr>
            <w:tcW w:w="683" w:type="dxa"/>
          </w:tcPr>
          <w:p>
            <w:pPr>
              <w:pStyle w:val="TableParagraph"/>
              <w:spacing w:before="1"/>
              <w:rPr>
                <w:sz w:val="13"/>
              </w:rPr>
            </w:pPr>
          </w:p>
          <w:p>
            <w:pPr>
              <w:pStyle w:val="TableParagraph"/>
              <w:spacing w:before="1"/>
              <w:ind w:right="44"/>
              <w:jc w:val="right"/>
              <w:rPr>
                <w:sz w:val="12"/>
              </w:rPr>
            </w:pPr>
            <w:r>
              <w:rPr>
                <w:w w:val="105"/>
                <w:sz w:val="12"/>
              </w:rPr>
              <w:t>44.014,47</w:t>
            </w:r>
          </w:p>
        </w:tc>
        <w:tc>
          <w:tcPr>
            <w:tcW w:w="575" w:type="dxa"/>
          </w:tcPr>
          <w:p>
            <w:pPr>
              <w:pStyle w:val="TableParagraph"/>
              <w:spacing w:before="1"/>
              <w:rPr>
                <w:sz w:val="13"/>
              </w:rPr>
            </w:pPr>
          </w:p>
          <w:p>
            <w:pPr>
              <w:pStyle w:val="TableParagraph"/>
              <w:spacing w:before="1"/>
              <w:ind w:right="43"/>
              <w:jc w:val="right"/>
              <w:rPr>
                <w:sz w:val="12"/>
              </w:rPr>
            </w:pPr>
            <w:r>
              <w:rPr>
                <w:sz w:val="12"/>
              </w:rPr>
              <w:t>0,00</w:t>
            </w:r>
          </w:p>
        </w:tc>
        <w:tc>
          <w:tcPr>
            <w:tcW w:w="577" w:type="dxa"/>
          </w:tcPr>
          <w:p>
            <w:pPr>
              <w:pStyle w:val="TableParagraph"/>
              <w:spacing w:before="1"/>
              <w:rPr>
                <w:sz w:val="13"/>
              </w:rPr>
            </w:pPr>
          </w:p>
          <w:p>
            <w:pPr>
              <w:pStyle w:val="TableParagraph"/>
              <w:spacing w:before="1"/>
              <w:ind w:right="46"/>
              <w:jc w:val="right"/>
              <w:rPr>
                <w:sz w:val="12"/>
              </w:rPr>
            </w:pPr>
            <w:r>
              <w:rPr>
                <w:sz w:val="12"/>
              </w:rPr>
              <w:t>0,00</w:t>
            </w:r>
          </w:p>
        </w:tc>
        <w:tc>
          <w:tcPr>
            <w:tcW w:w="467" w:type="dxa"/>
          </w:tcPr>
          <w:p>
            <w:pPr>
              <w:pStyle w:val="TableParagraph"/>
              <w:spacing w:before="1"/>
              <w:rPr>
                <w:sz w:val="13"/>
              </w:rPr>
            </w:pPr>
          </w:p>
          <w:p>
            <w:pPr>
              <w:pStyle w:val="TableParagraph"/>
              <w:spacing w:before="1"/>
              <w:ind w:left="162" w:right="25"/>
              <w:jc w:val="center"/>
              <w:rPr>
                <w:sz w:val="12"/>
              </w:rPr>
            </w:pPr>
            <w:r>
              <w:rPr>
                <w:w w:val="105"/>
                <w:sz w:val="12"/>
              </w:rPr>
              <w:t>0,00</w:t>
            </w:r>
          </w:p>
        </w:tc>
        <w:tc>
          <w:tcPr>
            <w:tcW w:w="467" w:type="dxa"/>
          </w:tcPr>
          <w:p>
            <w:pPr>
              <w:pStyle w:val="TableParagraph"/>
              <w:spacing w:before="1"/>
              <w:rPr>
                <w:sz w:val="13"/>
              </w:rPr>
            </w:pPr>
          </w:p>
          <w:p>
            <w:pPr>
              <w:pStyle w:val="TableParagraph"/>
              <w:spacing w:before="1"/>
              <w:ind w:right="47"/>
              <w:jc w:val="right"/>
              <w:rPr>
                <w:sz w:val="12"/>
              </w:rPr>
            </w:pPr>
            <w:r>
              <w:rPr>
                <w:sz w:val="12"/>
              </w:rPr>
              <w:t>0,00</w:t>
            </w:r>
          </w:p>
        </w:tc>
        <w:tc>
          <w:tcPr>
            <w:tcW w:w="681" w:type="dxa"/>
          </w:tcPr>
          <w:p>
            <w:pPr>
              <w:pStyle w:val="TableParagraph"/>
              <w:spacing w:before="1"/>
              <w:rPr>
                <w:sz w:val="13"/>
              </w:rPr>
            </w:pPr>
          </w:p>
          <w:p>
            <w:pPr>
              <w:pStyle w:val="TableParagraph"/>
              <w:spacing w:before="1"/>
              <w:ind w:right="47"/>
              <w:jc w:val="right"/>
              <w:rPr>
                <w:sz w:val="12"/>
              </w:rPr>
            </w:pPr>
            <w:r>
              <w:rPr>
                <w:sz w:val="12"/>
              </w:rPr>
              <w:t>0,00</w:t>
            </w:r>
          </w:p>
        </w:tc>
        <w:tc>
          <w:tcPr>
            <w:tcW w:w="526" w:type="dxa"/>
          </w:tcPr>
          <w:p>
            <w:pPr>
              <w:pStyle w:val="TableParagraph"/>
              <w:spacing w:before="1"/>
              <w:rPr>
                <w:sz w:val="13"/>
              </w:rPr>
            </w:pPr>
          </w:p>
          <w:p>
            <w:pPr>
              <w:pStyle w:val="TableParagraph"/>
              <w:spacing w:before="1"/>
              <w:ind w:right="45"/>
              <w:jc w:val="right"/>
              <w:rPr>
                <w:sz w:val="12"/>
              </w:rPr>
            </w:pPr>
            <w:r>
              <w:rPr>
                <w:sz w:val="12"/>
              </w:rPr>
              <w:t>0,00</w:t>
            </w:r>
          </w:p>
        </w:tc>
        <w:tc>
          <w:tcPr>
            <w:tcW w:w="746" w:type="dxa"/>
          </w:tcPr>
          <w:p>
            <w:pPr>
              <w:pStyle w:val="TableParagraph"/>
              <w:spacing w:before="1"/>
              <w:rPr>
                <w:sz w:val="13"/>
              </w:rPr>
            </w:pPr>
          </w:p>
          <w:p>
            <w:pPr>
              <w:pStyle w:val="TableParagraph"/>
              <w:spacing w:before="1"/>
              <w:ind w:right="47"/>
              <w:jc w:val="right"/>
              <w:rPr>
                <w:sz w:val="12"/>
              </w:rPr>
            </w:pPr>
            <w:r>
              <w:rPr>
                <w:w w:val="105"/>
                <w:sz w:val="12"/>
              </w:rPr>
              <w:t>133.380,17</w:t>
            </w:r>
          </w:p>
        </w:tc>
      </w:tr>
      <w:tr>
        <w:trPr>
          <w:trHeight w:val="308" w:hRule="atLeast"/>
        </w:trPr>
        <w:tc>
          <w:tcPr>
            <w:tcW w:w="2199" w:type="dxa"/>
          </w:tcPr>
          <w:p>
            <w:pPr>
              <w:pStyle w:val="TableParagraph"/>
              <w:spacing w:before="82"/>
              <w:ind w:left="52"/>
              <w:rPr>
                <w:b/>
                <w:sz w:val="12"/>
              </w:rPr>
            </w:pPr>
            <w:r>
              <w:rPr>
                <w:b/>
                <w:w w:val="105"/>
                <w:sz w:val="12"/>
              </w:rPr>
              <w:t>II. TOTAL AJUSTES (II=3+4-5)</w:t>
            </w:r>
          </w:p>
        </w:tc>
        <w:tc>
          <w:tcPr>
            <w:tcW w:w="574" w:type="dxa"/>
          </w:tcPr>
          <w:p>
            <w:pPr>
              <w:pStyle w:val="TableParagraph"/>
              <w:spacing w:before="82"/>
              <w:ind w:left="133"/>
              <w:rPr>
                <w:b/>
                <w:sz w:val="12"/>
              </w:rPr>
            </w:pPr>
            <w:r>
              <w:rPr>
                <w:b/>
                <w:w w:val="105"/>
                <w:sz w:val="12"/>
              </w:rPr>
              <w:t>-780,49</w:t>
            </w:r>
          </w:p>
        </w:tc>
        <w:tc>
          <w:tcPr>
            <w:tcW w:w="574" w:type="dxa"/>
          </w:tcPr>
          <w:p>
            <w:pPr>
              <w:pStyle w:val="TableParagraph"/>
              <w:spacing w:before="82"/>
              <w:ind w:left="133"/>
              <w:rPr>
                <w:b/>
                <w:sz w:val="12"/>
              </w:rPr>
            </w:pPr>
            <w:r>
              <w:rPr>
                <w:b/>
                <w:w w:val="105"/>
                <w:sz w:val="12"/>
              </w:rPr>
              <w:t>-332,74</w:t>
            </w:r>
          </w:p>
        </w:tc>
        <w:tc>
          <w:tcPr>
            <w:tcW w:w="681" w:type="dxa"/>
          </w:tcPr>
          <w:p>
            <w:pPr>
              <w:pStyle w:val="TableParagraph"/>
              <w:spacing w:before="82"/>
              <w:ind w:right="40"/>
              <w:jc w:val="right"/>
              <w:rPr>
                <w:b/>
                <w:sz w:val="12"/>
              </w:rPr>
            </w:pPr>
            <w:r>
              <w:rPr>
                <w:b/>
                <w:w w:val="105"/>
                <w:sz w:val="12"/>
              </w:rPr>
              <w:t>59.473,79</w:t>
            </w:r>
          </w:p>
        </w:tc>
        <w:tc>
          <w:tcPr>
            <w:tcW w:w="332" w:type="dxa"/>
          </w:tcPr>
          <w:p>
            <w:pPr>
              <w:pStyle w:val="TableParagraph"/>
              <w:spacing w:before="82"/>
              <w:ind w:left="54"/>
              <w:rPr>
                <w:b/>
                <w:sz w:val="12"/>
              </w:rPr>
            </w:pPr>
            <w:r>
              <w:rPr>
                <w:b/>
                <w:w w:val="105"/>
                <w:sz w:val="12"/>
              </w:rPr>
              <w:t>0,00</w:t>
            </w:r>
          </w:p>
        </w:tc>
        <w:tc>
          <w:tcPr>
            <w:tcW w:w="573" w:type="dxa"/>
          </w:tcPr>
          <w:p>
            <w:pPr>
              <w:pStyle w:val="TableParagraph"/>
              <w:spacing w:before="82"/>
              <w:ind w:right="40"/>
              <w:jc w:val="right"/>
              <w:rPr>
                <w:b/>
                <w:sz w:val="12"/>
              </w:rPr>
            </w:pPr>
            <w:r>
              <w:rPr>
                <w:b/>
                <w:sz w:val="12"/>
              </w:rPr>
              <w:t>161,79</w:t>
            </w:r>
          </w:p>
        </w:tc>
        <w:tc>
          <w:tcPr>
            <w:tcW w:w="575" w:type="dxa"/>
          </w:tcPr>
          <w:p>
            <w:pPr>
              <w:pStyle w:val="TableParagraph"/>
              <w:spacing w:before="82"/>
              <w:ind w:left="133"/>
              <w:rPr>
                <w:b/>
                <w:sz w:val="12"/>
              </w:rPr>
            </w:pPr>
            <w:r>
              <w:rPr>
                <w:b/>
                <w:w w:val="105"/>
                <w:sz w:val="12"/>
              </w:rPr>
              <w:t>-107,82</w:t>
            </w:r>
          </w:p>
        </w:tc>
        <w:tc>
          <w:tcPr>
            <w:tcW w:w="747" w:type="dxa"/>
          </w:tcPr>
          <w:p>
            <w:pPr>
              <w:pStyle w:val="TableParagraph"/>
              <w:spacing w:before="82"/>
              <w:ind w:right="44"/>
              <w:jc w:val="right"/>
              <w:rPr>
                <w:b/>
                <w:sz w:val="12"/>
              </w:rPr>
            </w:pPr>
            <w:r>
              <w:rPr>
                <w:b/>
                <w:w w:val="105"/>
                <w:sz w:val="12"/>
              </w:rPr>
              <w:t>19.469,33</w:t>
            </w:r>
          </w:p>
        </w:tc>
        <w:tc>
          <w:tcPr>
            <w:tcW w:w="517" w:type="dxa"/>
          </w:tcPr>
          <w:p>
            <w:pPr>
              <w:pStyle w:val="TableParagraph"/>
              <w:spacing w:before="82"/>
              <w:ind w:left="215" w:right="23"/>
              <w:jc w:val="center"/>
              <w:rPr>
                <w:b/>
                <w:sz w:val="12"/>
              </w:rPr>
            </w:pPr>
            <w:r>
              <w:rPr>
                <w:b/>
                <w:w w:val="105"/>
                <w:sz w:val="12"/>
              </w:rPr>
              <w:t>0,00</w:t>
            </w:r>
          </w:p>
        </w:tc>
        <w:tc>
          <w:tcPr>
            <w:tcW w:w="683" w:type="dxa"/>
          </w:tcPr>
          <w:p>
            <w:pPr>
              <w:pStyle w:val="TableParagraph"/>
              <w:spacing w:before="82"/>
              <w:ind w:right="44"/>
              <w:jc w:val="right"/>
              <w:rPr>
                <w:b/>
                <w:sz w:val="12"/>
              </w:rPr>
            </w:pPr>
            <w:r>
              <w:rPr>
                <w:b/>
                <w:w w:val="105"/>
                <w:sz w:val="12"/>
              </w:rPr>
              <w:t>-30.442,91</w:t>
            </w:r>
          </w:p>
        </w:tc>
        <w:tc>
          <w:tcPr>
            <w:tcW w:w="575" w:type="dxa"/>
          </w:tcPr>
          <w:p>
            <w:pPr>
              <w:pStyle w:val="TableParagraph"/>
              <w:spacing w:before="82"/>
              <w:ind w:right="45"/>
              <w:jc w:val="right"/>
              <w:rPr>
                <w:b/>
                <w:sz w:val="12"/>
              </w:rPr>
            </w:pPr>
            <w:r>
              <w:rPr>
                <w:b/>
                <w:w w:val="105"/>
                <w:sz w:val="12"/>
              </w:rPr>
              <w:t>0,00</w:t>
            </w:r>
          </w:p>
        </w:tc>
        <w:tc>
          <w:tcPr>
            <w:tcW w:w="577" w:type="dxa"/>
          </w:tcPr>
          <w:p>
            <w:pPr>
              <w:pStyle w:val="TableParagraph"/>
              <w:spacing w:before="82"/>
              <w:ind w:right="47"/>
              <w:jc w:val="right"/>
              <w:rPr>
                <w:b/>
                <w:sz w:val="12"/>
              </w:rPr>
            </w:pPr>
            <w:r>
              <w:rPr>
                <w:b/>
                <w:w w:val="105"/>
                <w:sz w:val="12"/>
              </w:rPr>
              <w:t>0,00</w:t>
            </w:r>
          </w:p>
        </w:tc>
        <w:tc>
          <w:tcPr>
            <w:tcW w:w="467" w:type="dxa"/>
          </w:tcPr>
          <w:p>
            <w:pPr>
              <w:pStyle w:val="TableParagraph"/>
              <w:spacing w:before="82"/>
              <w:ind w:left="160" w:right="27"/>
              <w:jc w:val="center"/>
              <w:rPr>
                <w:b/>
                <w:sz w:val="12"/>
              </w:rPr>
            </w:pPr>
            <w:r>
              <w:rPr>
                <w:b/>
                <w:w w:val="105"/>
                <w:sz w:val="12"/>
              </w:rPr>
              <w:t>0,00</w:t>
            </w:r>
          </w:p>
        </w:tc>
        <w:tc>
          <w:tcPr>
            <w:tcW w:w="467" w:type="dxa"/>
          </w:tcPr>
          <w:p>
            <w:pPr>
              <w:pStyle w:val="TableParagraph"/>
              <w:spacing w:before="82"/>
              <w:ind w:right="48"/>
              <w:jc w:val="right"/>
              <w:rPr>
                <w:b/>
                <w:sz w:val="12"/>
              </w:rPr>
            </w:pPr>
            <w:r>
              <w:rPr>
                <w:b/>
                <w:w w:val="105"/>
                <w:sz w:val="12"/>
              </w:rPr>
              <w:t>0,00</w:t>
            </w:r>
          </w:p>
        </w:tc>
        <w:tc>
          <w:tcPr>
            <w:tcW w:w="681" w:type="dxa"/>
          </w:tcPr>
          <w:p>
            <w:pPr>
              <w:pStyle w:val="TableParagraph"/>
              <w:spacing w:before="82"/>
              <w:ind w:right="47"/>
              <w:jc w:val="right"/>
              <w:rPr>
                <w:b/>
                <w:sz w:val="12"/>
              </w:rPr>
            </w:pPr>
            <w:r>
              <w:rPr>
                <w:b/>
                <w:w w:val="105"/>
                <w:sz w:val="12"/>
              </w:rPr>
              <w:t>39.045,60</w:t>
            </w:r>
          </w:p>
        </w:tc>
        <w:tc>
          <w:tcPr>
            <w:tcW w:w="526" w:type="dxa"/>
          </w:tcPr>
          <w:p>
            <w:pPr>
              <w:pStyle w:val="TableParagraph"/>
              <w:spacing w:before="82"/>
              <w:ind w:right="47"/>
              <w:jc w:val="right"/>
              <w:rPr>
                <w:b/>
                <w:sz w:val="12"/>
              </w:rPr>
            </w:pPr>
            <w:r>
              <w:rPr>
                <w:b/>
                <w:w w:val="105"/>
                <w:sz w:val="12"/>
              </w:rPr>
              <w:t>0,00</w:t>
            </w:r>
          </w:p>
        </w:tc>
        <w:tc>
          <w:tcPr>
            <w:tcW w:w="746" w:type="dxa"/>
          </w:tcPr>
          <w:p>
            <w:pPr>
              <w:pStyle w:val="TableParagraph"/>
              <w:spacing w:before="82"/>
              <w:ind w:right="47"/>
              <w:jc w:val="right"/>
              <w:rPr>
                <w:b/>
                <w:sz w:val="12"/>
              </w:rPr>
            </w:pPr>
            <w:r>
              <w:rPr>
                <w:b/>
                <w:w w:val="105"/>
                <w:sz w:val="12"/>
              </w:rPr>
              <w:t>86.486,55</w:t>
            </w:r>
          </w:p>
        </w:tc>
      </w:tr>
      <w:tr>
        <w:trPr>
          <w:trHeight w:val="310" w:hRule="atLeast"/>
        </w:trPr>
        <w:tc>
          <w:tcPr>
            <w:tcW w:w="2199" w:type="dxa"/>
            <w:shd w:val="clear" w:color="auto" w:fill="D9D9D9"/>
          </w:tcPr>
          <w:p>
            <w:pPr>
              <w:pStyle w:val="TableParagraph"/>
              <w:spacing w:line="150" w:lineRule="atLeast" w:before="4"/>
              <w:ind w:left="52" w:right="70"/>
              <w:rPr>
                <w:b/>
                <w:sz w:val="12"/>
              </w:rPr>
            </w:pPr>
            <w:r>
              <w:rPr>
                <w:b/>
                <w:sz w:val="12"/>
              </w:rPr>
              <w:t>RESULTADO PRESUPUESTARIO </w:t>
            </w:r>
            <w:r>
              <w:rPr>
                <w:b/>
                <w:w w:val="105"/>
                <w:sz w:val="12"/>
              </w:rPr>
              <w:t>AJUSTADO (I+II)</w:t>
            </w:r>
          </w:p>
        </w:tc>
        <w:tc>
          <w:tcPr>
            <w:tcW w:w="574" w:type="dxa"/>
            <w:shd w:val="clear" w:color="auto" w:fill="D9D9D9"/>
          </w:tcPr>
          <w:p>
            <w:pPr>
              <w:pStyle w:val="TableParagraph"/>
              <w:spacing w:before="84"/>
              <w:ind w:left="172"/>
              <w:rPr>
                <w:b/>
                <w:sz w:val="12"/>
              </w:rPr>
            </w:pPr>
            <w:r>
              <w:rPr>
                <w:b/>
                <w:w w:val="105"/>
                <w:sz w:val="12"/>
              </w:rPr>
              <w:t>244,44</w:t>
            </w:r>
          </w:p>
        </w:tc>
        <w:tc>
          <w:tcPr>
            <w:tcW w:w="574" w:type="dxa"/>
            <w:shd w:val="clear" w:color="auto" w:fill="D9D9D9"/>
          </w:tcPr>
          <w:p>
            <w:pPr>
              <w:pStyle w:val="TableParagraph"/>
              <w:spacing w:before="84"/>
              <w:ind w:left="172"/>
              <w:rPr>
                <w:b/>
                <w:sz w:val="12"/>
              </w:rPr>
            </w:pPr>
            <w:r>
              <w:rPr>
                <w:b/>
                <w:w w:val="105"/>
                <w:sz w:val="12"/>
              </w:rPr>
              <w:t>771,10</w:t>
            </w:r>
          </w:p>
        </w:tc>
        <w:tc>
          <w:tcPr>
            <w:tcW w:w="681" w:type="dxa"/>
            <w:shd w:val="clear" w:color="auto" w:fill="D9D9D9"/>
          </w:tcPr>
          <w:p>
            <w:pPr>
              <w:pStyle w:val="TableParagraph"/>
              <w:spacing w:before="84"/>
              <w:ind w:right="40"/>
              <w:jc w:val="right"/>
              <w:rPr>
                <w:b/>
                <w:sz w:val="12"/>
              </w:rPr>
            </w:pPr>
            <w:r>
              <w:rPr>
                <w:b/>
                <w:w w:val="105"/>
                <w:sz w:val="12"/>
              </w:rPr>
              <w:t>16.969,40</w:t>
            </w:r>
          </w:p>
        </w:tc>
        <w:tc>
          <w:tcPr>
            <w:tcW w:w="332" w:type="dxa"/>
            <w:shd w:val="clear" w:color="auto" w:fill="D9D9D9"/>
          </w:tcPr>
          <w:p>
            <w:pPr>
              <w:pStyle w:val="TableParagraph"/>
              <w:spacing w:before="84"/>
              <w:ind w:left="54"/>
              <w:rPr>
                <w:b/>
                <w:sz w:val="12"/>
              </w:rPr>
            </w:pPr>
            <w:r>
              <w:rPr>
                <w:b/>
                <w:w w:val="105"/>
                <w:sz w:val="12"/>
              </w:rPr>
              <w:t>0,00</w:t>
            </w:r>
          </w:p>
        </w:tc>
        <w:tc>
          <w:tcPr>
            <w:tcW w:w="573" w:type="dxa"/>
            <w:shd w:val="clear" w:color="auto" w:fill="D9D9D9"/>
          </w:tcPr>
          <w:p>
            <w:pPr>
              <w:pStyle w:val="TableParagraph"/>
              <w:spacing w:before="84"/>
              <w:ind w:right="40"/>
              <w:jc w:val="right"/>
              <w:rPr>
                <w:b/>
                <w:sz w:val="12"/>
              </w:rPr>
            </w:pPr>
            <w:r>
              <w:rPr>
                <w:b/>
                <w:w w:val="105"/>
                <w:sz w:val="12"/>
              </w:rPr>
              <w:t>2.141,48</w:t>
            </w:r>
          </w:p>
        </w:tc>
        <w:tc>
          <w:tcPr>
            <w:tcW w:w="575" w:type="dxa"/>
            <w:shd w:val="clear" w:color="auto" w:fill="D9D9D9"/>
          </w:tcPr>
          <w:p>
            <w:pPr>
              <w:pStyle w:val="TableParagraph"/>
              <w:spacing w:before="84"/>
              <w:ind w:left="75"/>
              <w:rPr>
                <w:b/>
                <w:sz w:val="12"/>
              </w:rPr>
            </w:pPr>
            <w:r>
              <w:rPr>
                <w:b/>
                <w:w w:val="105"/>
                <w:sz w:val="12"/>
              </w:rPr>
              <w:t>1.098,62</w:t>
            </w:r>
          </w:p>
        </w:tc>
        <w:tc>
          <w:tcPr>
            <w:tcW w:w="747" w:type="dxa"/>
            <w:shd w:val="clear" w:color="auto" w:fill="D9D9D9"/>
          </w:tcPr>
          <w:p>
            <w:pPr>
              <w:pStyle w:val="TableParagraph"/>
              <w:spacing w:before="84"/>
              <w:ind w:right="44"/>
              <w:jc w:val="right"/>
              <w:rPr>
                <w:b/>
                <w:sz w:val="12"/>
              </w:rPr>
            </w:pPr>
            <w:r>
              <w:rPr>
                <w:b/>
                <w:w w:val="105"/>
                <w:sz w:val="12"/>
              </w:rPr>
              <w:t>-15.121,23</w:t>
            </w:r>
          </w:p>
        </w:tc>
        <w:tc>
          <w:tcPr>
            <w:tcW w:w="517" w:type="dxa"/>
            <w:shd w:val="clear" w:color="auto" w:fill="D9D9D9"/>
          </w:tcPr>
          <w:p>
            <w:pPr>
              <w:pStyle w:val="TableParagraph"/>
              <w:spacing w:before="84"/>
              <w:ind w:left="92" w:right="23"/>
              <w:jc w:val="center"/>
              <w:rPr>
                <w:b/>
                <w:sz w:val="12"/>
              </w:rPr>
            </w:pPr>
            <w:r>
              <w:rPr>
                <w:b/>
                <w:w w:val="105"/>
                <w:sz w:val="12"/>
              </w:rPr>
              <w:t>243,86</w:t>
            </w:r>
          </w:p>
        </w:tc>
        <w:tc>
          <w:tcPr>
            <w:tcW w:w="683" w:type="dxa"/>
            <w:shd w:val="clear" w:color="auto" w:fill="D9D9D9"/>
          </w:tcPr>
          <w:p>
            <w:pPr>
              <w:pStyle w:val="TableParagraph"/>
              <w:spacing w:before="84"/>
              <w:ind w:right="44"/>
              <w:jc w:val="right"/>
              <w:rPr>
                <w:b/>
                <w:sz w:val="12"/>
              </w:rPr>
            </w:pPr>
            <w:r>
              <w:rPr>
                <w:b/>
                <w:w w:val="105"/>
                <w:sz w:val="12"/>
              </w:rPr>
              <w:t>10.309,65</w:t>
            </w:r>
          </w:p>
        </w:tc>
        <w:tc>
          <w:tcPr>
            <w:tcW w:w="575" w:type="dxa"/>
            <w:shd w:val="clear" w:color="auto" w:fill="D9D9D9"/>
          </w:tcPr>
          <w:p>
            <w:pPr>
              <w:pStyle w:val="TableParagraph"/>
              <w:spacing w:before="84"/>
              <w:ind w:right="43"/>
              <w:jc w:val="right"/>
              <w:rPr>
                <w:b/>
                <w:sz w:val="12"/>
              </w:rPr>
            </w:pPr>
            <w:r>
              <w:rPr>
                <w:b/>
                <w:w w:val="105"/>
                <w:sz w:val="12"/>
              </w:rPr>
              <w:t>2.010,31</w:t>
            </w:r>
          </w:p>
        </w:tc>
        <w:tc>
          <w:tcPr>
            <w:tcW w:w="577" w:type="dxa"/>
            <w:shd w:val="clear" w:color="auto" w:fill="D9D9D9"/>
          </w:tcPr>
          <w:p>
            <w:pPr>
              <w:pStyle w:val="TableParagraph"/>
              <w:spacing w:before="84"/>
              <w:ind w:right="46"/>
              <w:jc w:val="right"/>
              <w:rPr>
                <w:b/>
                <w:sz w:val="12"/>
              </w:rPr>
            </w:pPr>
            <w:r>
              <w:rPr>
                <w:b/>
                <w:w w:val="105"/>
                <w:sz w:val="12"/>
              </w:rPr>
              <w:t>7.791,73</w:t>
            </w:r>
          </w:p>
        </w:tc>
        <w:tc>
          <w:tcPr>
            <w:tcW w:w="467" w:type="dxa"/>
            <w:shd w:val="clear" w:color="auto" w:fill="D9D9D9"/>
          </w:tcPr>
          <w:p>
            <w:pPr>
              <w:pStyle w:val="TableParagraph"/>
              <w:spacing w:before="84"/>
              <w:ind w:left="38" w:right="27"/>
              <w:jc w:val="center"/>
              <w:rPr>
                <w:b/>
                <w:sz w:val="12"/>
              </w:rPr>
            </w:pPr>
            <w:r>
              <w:rPr>
                <w:b/>
                <w:w w:val="105"/>
                <w:sz w:val="12"/>
              </w:rPr>
              <w:t>148,84</w:t>
            </w:r>
          </w:p>
        </w:tc>
        <w:tc>
          <w:tcPr>
            <w:tcW w:w="467" w:type="dxa"/>
            <w:shd w:val="clear" w:color="auto" w:fill="D9D9D9"/>
          </w:tcPr>
          <w:p>
            <w:pPr>
              <w:pStyle w:val="TableParagraph"/>
              <w:spacing w:before="84"/>
              <w:ind w:right="46"/>
              <w:jc w:val="right"/>
              <w:rPr>
                <w:b/>
                <w:sz w:val="12"/>
              </w:rPr>
            </w:pPr>
            <w:r>
              <w:rPr>
                <w:b/>
                <w:sz w:val="12"/>
              </w:rPr>
              <w:t>135,03</w:t>
            </w:r>
          </w:p>
        </w:tc>
        <w:tc>
          <w:tcPr>
            <w:tcW w:w="681" w:type="dxa"/>
            <w:shd w:val="clear" w:color="auto" w:fill="D9D9D9"/>
          </w:tcPr>
          <w:p>
            <w:pPr>
              <w:pStyle w:val="TableParagraph"/>
              <w:spacing w:before="84"/>
              <w:ind w:right="47"/>
              <w:jc w:val="right"/>
              <w:rPr>
                <w:b/>
                <w:sz w:val="12"/>
              </w:rPr>
            </w:pPr>
            <w:r>
              <w:rPr>
                <w:b/>
                <w:w w:val="105"/>
                <w:sz w:val="12"/>
              </w:rPr>
              <w:t>9.465,98</w:t>
            </w:r>
          </w:p>
        </w:tc>
        <w:tc>
          <w:tcPr>
            <w:tcW w:w="526" w:type="dxa"/>
            <w:shd w:val="clear" w:color="auto" w:fill="D9D9D9"/>
          </w:tcPr>
          <w:p>
            <w:pPr>
              <w:pStyle w:val="TableParagraph"/>
              <w:spacing w:before="84"/>
              <w:ind w:right="47"/>
              <w:jc w:val="right"/>
              <w:rPr>
                <w:b/>
                <w:sz w:val="12"/>
              </w:rPr>
            </w:pPr>
            <w:r>
              <w:rPr>
                <w:b/>
                <w:w w:val="105"/>
                <w:sz w:val="12"/>
              </w:rPr>
              <w:t>0,00</w:t>
            </w:r>
          </w:p>
        </w:tc>
        <w:tc>
          <w:tcPr>
            <w:tcW w:w="746" w:type="dxa"/>
            <w:shd w:val="clear" w:color="auto" w:fill="D9D9D9"/>
          </w:tcPr>
          <w:p>
            <w:pPr>
              <w:pStyle w:val="TableParagraph"/>
              <w:spacing w:before="84"/>
              <w:ind w:right="47"/>
              <w:jc w:val="right"/>
              <w:rPr>
                <w:b/>
                <w:sz w:val="12"/>
              </w:rPr>
            </w:pPr>
            <w:r>
              <w:rPr>
                <w:b/>
                <w:w w:val="105"/>
                <w:sz w:val="12"/>
              </w:rPr>
              <w:t>36.209,20</w:t>
            </w:r>
          </w:p>
        </w:tc>
      </w:tr>
    </w:tbl>
    <w:p>
      <w:pPr>
        <w:pStyle w:val="BodyText"/>
        <w:spacing w:before="5"/>
      </w:pPr>
    </w:p>
    <w:p>
      <w:pPr>
        <w:spacing w:before="68"/>
        <w:ind w:left="10420" w:right="1577" w:firstLine="0"/>
        <w:jc w:val="center"/>
        <w:rPr>
          <w:sz w:val="18"/>
        </w:rPr>
      </w:pPr>
      <w:r>
        <w:rPr>
          <w:w w:val="105"/>
          <w:sz w:val="18"/>
        </w:rPr>
        <w:t>182</w:t>
      </w:r>
    </w:p>
    <w:p>
      <w:pPr>
        <w:spacing w:before="8"/>
        <w:ind w:left="92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9"/>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389" name="image5.png"/>
                  <wp:cNvGraphicFramePr>
                    <a:graphicFrameLocks noChangeAspect="1"/>
                  </wp:cNvGraphicFramePr>
                  <a:graphic>
                    <a:graphicData uri="http://schemas.openxmlformats.org/drawingml/2006/picture">
                      <pic:pic>
                        <pic:nvPicPr>
                          <pic:cNvPr id="39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184/247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797" w:footer="1006" w:top="1640" w:bottom="1200" w:left="1160" w:right="1160"/>
        </w:sectPr>
      </w:pPr>
    </w:p>
    <w:p>
      <w:pPr>
        <w:spacing w:before="156"/>
        <w:ind w:left="2038" w:right="0" w:firstLine="0"/>
        <w:jc w:val="left"/>
        <w:rPr>
          <w:b/>
          <w:sz w:val="18"/>
        </w:rPr>
      </w:pPr>
      <w:r>
        <w:rPr>
          <w:b/>
          <w:color w:val="53A1B9"/>
          <w:w w:val="105"/>
          <w:sz w:val="18"/>
        </w:rPr>
        <w:t>10.8 Anexo VIII. Remanente </w:t>
      </w:r>
      <w:r>
        <w:rPr>
          <w:b/>
          <w:color w:val="53A1B9"/>
          <w:w w:val="105"/>
          <w:sz w:val="17"/>
        </w:rPr>
        <w:t>Tesorería </w:t>
      </w:r>
      <w:r>
        <w:rPr>
          <w:b/>
          <w:color w:val="53A1B9"/>
          <w:w w:val="105"/>
          <w:sz w:val="18"/>
        </w:rPr>
        <w:t>2022 OOAA y EEPP.</w:t>
      </w:r>
    </w:p>
    <w:p>
      <w:pPr>
        <w:spacing w:before="5"/>
        <w:ind w:left="2038" w:right="0" w:firstLine="0"/>
        <w:jc w:val="left"/>
        <w:rPr>
          <w:sz w:val="12"/>
        </w:rPr>
      </w:pPr>
      <w:r>
        <w:rPr>
          <w:w w:val="105"/>
          <w:sz w:val="12"/>
        </w:rPr>
        <w:t>(Miles de €)</w:t>
      </w:r>
    </w:p>
    <w:tbl>
      <w:tblPr>
        <w:tblW w:w="0" w:type="auto"/>
        <w:jc w:val="left"/>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3"/>
        <w:gridCol w:w="590"/>
        <w:gridCol w:w="592"/>
        <w:gridCol w:w="732"/>
        <w:gridCol w:w="263"/>
        <w:gridCol w:w="638"/>
        <w:gridCol w:w="638"/>
        <w:gridCol w:w="746"/>
        <w:gridCol w:w="552"/>
        <w:gridCol w:w="731"/>
        <w:gridCol w:w="589"/>
        <w:gridCol w:w="669"/>
        <w:gridCol w:w="574"/>
        <w:gridCol w:w="611"/>
        <w:gridCol w:w="615"/>
        <w:gridCol w:w="525"/>
        <w:gridCol w:w="698"/>
      </w:tblGrid>
      <w:tr>
        <w:trPr>
          <w:trHeight w:val="150" w:hRule="atLeast"/>
        </w:trPr>
        <w:tc>
          <w:tcPr>
            <w:tcW w:w="1873" w:type="dxa"/>
            <w:shd w:val="clear" w:color="auto" w:fill="DEEAF6"/>
          </w:tcPr>
          <w:p>
            <w:pPr>
              <w:pStyle w:val="TableParagraph"/>
              <w:spacing w:line="127" w:lineRule="exact" w:before="4"/>
              <w:ind w:left="588"/>
              <w:rPr>
                <w:b/>
                <w:sz w:val="12"/>
              </w:rPr>
            </w:pPr>
            <w:r>
              <w:rPr>
                <w:b/>
                <w:w w:val="105"/>
                <w:sz w:val="12"/>
              </w:rPr>
              <w:t>OOAA Y EEPP</w:t>
            </w:r>
          </w:p>
        </w:tc>
        <w:tc>
          <w:tcPr>
            <w:tcW w:w="590" w:type="dxa"/>
            <w:shd w:val="clear" w:color="auto" w:fill="DEEAF6"/>
          </w:tcPr>
          <w:p>
            <w:pPr>
              <w:pStyle w:val="TableParagraph"/>
              <w:spacing w:line="127" w:lineRule="exact" w:before="4"/>
              <w:ind w:left="171"/>
              <w:rPr>
                <w:b/>
                <w:sz w:val="12"/>
              </w:rPr>
            </w:pPr>
            <w:r>
              <w:rPr>
                <w:b/>
                <w:w w:val="105"/>
                <w:sz w:val="12"/>
              </w:rPr>
              <w:t>ICAP</w:t>
            </w:r>
          </w:p>
        </w:tc>
        <w:tc>
          <w:tcPr>
            <w:tcW w:w="592" w:type="dxa"/>
            <w:shd w:val="clear" w:color="auto" w:fill="DEEAF6"/>
          </w:tcPr>
          <w:p>
            <w:pPr>
              <w:pStyle w:val="TableParagraph"/>
              <w:spacing w:line="127" w:lineRule="exact" w:before="4"/>
              <w:ind w:left="145"/>
              <w:rPr>
                <w:b/>
                <w:sz w:val="12"/>
              </w:rPr>
            </w:pPr>
            <w:r>
              <w:rPr>
                <w:b/>
                <w:w w:val="105"/>
                <w:sz w:val="12"/>
              </w:rPr>
              <w:t>ISTAC</w:t>
            </w:r>
          </w:p>
        </w:tc>
        <w:tc>
          <w:tcPr>
            <w:tcW w:w="732" w:type="dxa"/>
            <w:shd w:val="clear" w:color="auto" w:fill="DEEAF6"/>
          </w:tcPr>
          <w:p>
            <w:pPr>
              <w:pStyle w:val="TableParagraph"/>
              <w:spacing w:line="127" w:lineRule="exact" w:before="4"/>
              <w:ind w:left="27" w:right="25"/>
              <w:jc w:val="center"/>
              <w:rPr>
                <w:b/>
                <w:sz w:val="12"/>
              </w:rPr>
            </w:pPr>
            <w:r>
              <w:rPr>
                <w:b/>
                <w:w w:val="105"/>
                <w:sz w:val="12"/>
              </w:rPr>
              <w:t>SCE</w:t>
            </w:r>
          </w:p>
        </w:tc>
        <w:tc>
          <w:tcPr>
            <w:tcW w:w="263" w:type="dxa"/>
            <w:shd w:val="clear" w:color="auto" w:fill="DEEAF6"/>
          </w:tcPr>
          <w:p>
            <w:pPr>
              <w:pStyle w:val="TableParagraph"/>
              <w:spacing w:line="127" w:lineRule="exact" w:before="4"/>
              <w:ind w:left="61"/>
              <w:rPr>
                <w:b/>
                <w:sz w:val="12"/>
              </w:rPr>
            </w:pPr>
            <w:r>
              <w:rPr>
                <w:b/>
                <w:w w:val="105"/>
                <w:sz w:val="12"/>
              </w:rPr>
              <w:t>ICI</w:t>
            </w:r>
          </w:p>
        </w:tc>
        <w:tc>
          <w:tcPr>
            <w:tcW w:w="638" w:type="dxa"/>
            <w:shd w:val="clear" w:color="auto" w:fill="DEEAF6"/>
          </w:tcPr>
          <w:p>
            <w:pPr>
              <w:pStyle w:val="TableParagraph"/>
              <w:spacing w:line="127" w:lineRule="exact" w:before="4"/>
              <w:ind w:left="211"/>
              <w:rPr>
                <w:b/>
                <w:sz w:val="12"/>
              </w:rPr>
            </w:pPr>
            <w:r>
              <w:rPr>
                <w:b/>
                <w:w w:val="105"/>
                <w:sz w:val="12"/>
              </w:rPr>
              <w:t>ICIA</w:t>
            </w:r>
          </w:p>
        </w:tc>
        <w:tc>
          <w:tcPr>
            <w:tcW w:w="638" w:type="dxa"/>
            <w:shd w:val="clear" w:color="auto" w:fill="DEEAF6"/>
          </w:tcPr>
          <w:p>
            <w:pPr>
              <w:pStyle w:val="TableParagraph"/>
              <w:spacing w:line="127" w:lineRule="exact" w:before="4"/>
              <w:ind w:left="186"/>
              <w:rPr>
                <w:b/>
                <w:sz w:val="12"/>
              </w:rPr>
            </w:pPr>
            <w:r>
              <w:rPr>
                <w:b/>
                <w:w w:val="105"/>
                <w:sz w:val="12"/>
              </w:rPr>
              <w:t>ICHH</w:t>
            </w:r>
          </w:p>
        </w:tc>
        <w:tc>
          <w:tcPr>
            <w:tcW w:w="746" w:type="dxa"/>
            <w:shd w:val="clear" w:color="auto" w:fill="DEEAF6"/>
          </w:tcPr>
          <w:p>
            <w:pPr>
              <w:pStyle w:val="TableParagraph"/>
              <w:spacing w:line="127" w:lineRule="exact" w:before="4"/>
              <w:ind w:left="78" w:right="75"/>
              <w:jc w:val="center"/>
              <w:rPr>
                <w:b/>
                <w:sz w:val="12"/>
              </w:rPr>
            </w:pPr>
            <w:r>
              <w:rPr>
                <w:b/>
                <w:w w:val="105"/>
                <w:sz w:val="12"/>
              </w:rPr>
              <w:t>SCS</w:t>
            </w:r>
          </w:p>
        </w:tc>
        <w:tc>
          <w:tcPr>
            <w:tcW w:w="552" w:type="dxa"/>
            <w:shd w:val="clear" w:color="auto" w:fill="DEEAF6"/>
          </w:tcPr>
          <w:p>
            <w:pPr>
              <w:pStyle w:val="TableParagraph"/>
              <w:spacing w:line="127" w:lineRule="exact" w:before="4"/>
              <w:ind w:right="61"/>
              <w:jc w:val="right"/>
              <w:rPr>
                <w:b/>
                <w:sz w:val="12"/>
              </w:rPr>
            </w:pPr>
            <w:r>
              <w:rPr>
                <w:b/>
                <w:sz w:val="12"/>
              </w:rPr>
              <w:t>ACCUEE</w:t>
            </w:r>
          </w:p>
        </w:tc>
        <w:tc>
          <w:tcPr>
            <w:tcW w:w="731" w:type="dxa"/>
            <w:shd w:val="clear" w:color="auto" w:fill="DEEAF6"/>
          </w:tcPr>
          <w:p>
            <w:pPr>
              <w:pStyle w:val="TableParagraph"/>
              <w:spacing w:line="127" w:lineRule="exact" w:before="4"/>
              <w:ind w:left="220"/>
              <w:rPr>
                <w:b/>
                <w:sz w:val="12"/>
              </w:rPr>
            </w:pPr>
            <w:r>
              <w:rPr>
                <w:b/>
                <w:w w:val="105"/>
                <w:sz w:val="12"/>
              </w:rPr>
              <w:t>ICAVI</w:t>
            </w:r>
          </w:p>
        </w:tc>
        <w:tc>
          <w:tcPr>
            <w:tcW w:w="589" w:type="dxa"/>
            <w:shd w:val="clear" w:color="auto" w:fill="DEEAF6"/>
          </w:tcPr>
          <w:p>
            <w:pPr>
              <w:pStyle w:val="TableParagraph"/>
              <w:spacing w:line="127" w:lineRule="exact" w:before="4"/>
              <w:ind w:left="170"/>
              <w:rPr>
                <w:b/>
                <w:sz w:val="12"/>
              </w:rPr>
            </w:pPr>
            <w:r>
              <w:rPr>
                <w:b/>
                <w:w w:val="105"/>
                <w:sz w:val="12"/>
              </w:rPr>
              <w:t>ICCA</w:t>
            </w:r>
          </w:p>
        </w:tc>
        <w:tc>
          <w:tcPr>
            <w:tcW w:w="669" w:type="dxa"/>
            <w:shd w:val="clear" w:color="auto" w:fill="DEEAF6"/>
          </w:tcPr>
          <w:p>
            <w:pPr>
              <w:pStyle w:val="TableParagraph"/>
              <w:spacing w:line="127" w:lineRule="exact" w:before="4"/>
              <w:ind w:left="164"/>
              <w:rPr>
                <w:b/>
                <w:sz w:val="12"/>
              </w:rPr>
            </w:pPr>
            <w:r>
              <w:rPr>
                <w:b/>
                <w:w w:val="105"/>
                <w:sz w:val="12"/>
              </w:rPr>
              <w:t>APMN</w:t>
            </w:r>
          </w:p>
        </w:tc>
        <w:tc>
          <w:tcPr>
            <w:tcW w:w="574" w:type="dxa"/>
            <w:shd w:val="clear" w:color="auto" w:fill="DEEAF6"/>
          </w:tcPr>
          <w:p>
            <w:pPr>
              <w:pStyle w:val="TableParagraph"/>
              <w:spacing w:line="127" w:lineRule="exact" w:before="4"/>
              <w:ind w:left="191"/>
              <w:rPr>
                <w:b/>
                <w:sz w:val="12"/>
              </w:rPr>
            </w:pPr>
            <w:r>
              <w:rPr>
                <w:b/>
                <w:w w:val="105"/>
                <w:sz w:val="12"/>
              </w:rPr>
              <w:t>CES</w:t>
            </w:r>
          </w:p>
        </w:tc>
        <w:tc>
          <w:tcPr>
            <w:tcW w:w="611" w:type="dxa"/>
            <w:shd w:val="clear" w:color="auto" w:fill="DEEAF6"/>
          </w:tcPr>
          <w:p>
            <w:pPr>
              <w:pStyle w:val="TableParagraph"/>
              <w:spacing w:line="127" w:lineRule="exact" w:before="4"/>
              <w:ind w:left="168"/>
              <w:rPr>
                <w:b/>
                <w:sz w:val="12"/>
              </w:rPr>
            </w:pPr>
            <w:r>
              <w:rPr>
                <w:b/>
                <w:w w:val="105"/>
                <w:sz w:val="12"/>
              </w:rPr>
              <w:t>RTVC</w:t>
            </w:r>
          </w:p>
        </w:tc>
        <w:tc>
          <w:tcPr>
            <w:tcW w:w="615" w:type="dxa"/>
            <w:shd w:val="clear" w:color="auto" w:fill="DEEAF6"/>
          </w:tcPr>
          <w:p>
            <w:pPr>
              <w:pStyle w:val="TableParagraph"/>
              <w:spacing w:line="127" w:lineRule="exact" w:before="4"/>
              <w:ind w:left="204"/>
              <w:rPr>
                <w:b/>
                <w:sz w:val="12"/>
              </w:rPr>
            </w:pPr>
            <w:r>
              <w:rPr>
                <w:b/>
                <w:w w:val="105"/>
                <w:sz w:val="12"/>
              </w:rPr>
              <w:t>ATC</w:t>
            </w:r>
          </w:p>
        </w:tc>
        <w:tc>
          <w:tcPr>
            <w:tcW w:w="525" w:type="dxa"/>
            <w:shd w:val="clear" w:color="auto" w:fill="DEEAF6"/>
          </w:tcPr>
          <w:p>
            <w:pPr>
              <w:pStyle w:val="TableParagraph"/>
              <w:spacing w:line="127" w:lineRule="exact" w:before="4"/>
              <w:ind w:left="53"/>
              <w:rPr>
                <w:b/>
                <w:sz w:val="12"/>
              </w:rPr>
            </w:pPr>
            <w:r>
              <w:rPr>
                <w:b/>
                <w:w w:val="105"/>
                <w:sz w:val="12"/>
              </w:rPr>
              <w:t>RINCON</w:t>
            </w:r>
          </w:p>
        </w:tc>
        <w:tc>
          <w:tcPr>
            <w:tcW w:w="698" w:type="dxa"/>
            <w:shd w:val="clear" w:color="auto" w:fill="DEEAF6"/>
          </w:tcPr>
          <w:p>
            <w:pPr>
              <w:pStyle w:val="TableParagraph"/>
              <w:spacing w:line="127" w:lineRule="exact" w:before="4"/>
              <w:ind w:left="181"/>
              <w:rPr>
                <w:b/>
                <w:sz w:val="12"/>
              </w:rPr>
            </w:pPr>
            <w:r>
              <w:rPr>
                <w:b/>
                <w:w w:val="105"/>
                <w:sz w:val="12"/>
              </w:rPr>
              <w:t>TOTAL</w:t>
            </w:r>
          </w:p>
        </w:tc>
      </w:tr>
      <w:tr>
        <w:trPr>
          <w:trHeight w:val="150" w:hRule="atLeast"/>
        </w:trPr>
        <w:tc>
          <w:tcPr>
            <w:tcW w:w="1873" w:type="dxa"/>
          </w:tcPr>
          <w:p>
            <w:pPr>
              <w:pStyle w:val="TableParagraph"/>
              <w:spacing w:line="128" w:lineRule="exact" w:before="2"/>
              <w:ind w:left="52"/>
              <w:rPr>
                <w:b/>
                <w:sz w:val="12"/>
              </w:rPr>
            </w:pPr>
            <w:r>
              <w:rPr>
                <w:b/>
                <w:w w:val="105"/>
                <w:sz w:val="12"/>
              </w:rPr>
              <w:t>1.(+) FONDOS LÍQUIDOS</w:t>
            </w:r>
          </w:p>
        </w:tc>
        <w:tc>
          <w:tcPr>
            <w:tcW w:w="590" w:type="dxa"/>
          </w:tcPr>
          <w:p>
            <w:pPr>
              <w:pStyle w:val="TableParagraph"/>
              <w:spacing w:line="128" w:lineRule="exact" w:before="2"/>
              <w:ind w:right="42"/>
              <w:jc w:val="right"/>
              <w:rPr>
                <w:sz w:val="12"/>
              </w:rPr>
            </w:pPr>
            <w:r>
              <w:rPr>
                <w:w w:val="105"/>
                <w:sz w:val="12"/>
              </w:rPr>
              <w:t>9.644,29</w:t>
            </w:r>
          </w:p>
        </w:tc>
        <w:tc>
          <w:tcPr>
            <w:tcW w:w="592" w:type="dxa"/>
          </w:tcPr>
          <w:p>
            <w:pPr>
              <w:pStyle w:val="TableParagraph"/>
              <w:spacing w:line="128" w:lineRule="exact" w:before="2"/>
              <w:ind w:right="45"/>
              <w:jc w:val="right"/>
              <w:rPr>
                <w:sz w:val="12"/>
              </w:rPr>
            </w:pPr>
            <w:r>
              <w:rPr>
                <w:w w:val="105"/>
                <w:sz w:val="12"/>
              </w:rPr>
              <w:t>4.360,46</w:t>
            </w:r>
          </w:p>
        </w:tc>
        <w:tc>
          <w:tcPr>
            <w:tcW w:w="732" w:type="dxa"/>
          </w:tcPr>
          <w:p>
            <w:pPr>
              <w:pStyle w:val="TableParagraph"/>
              <w:spacing w:line="128" w:lineRule="exact" w:before="2"/>
              <w:ind w:right="46"/>
              <w:jc w:val="right"/>
              <w:rPr>
                <w:sz w:val="12"/>
              </w:rPr>
            </w:pPr>
            <w:r>
              <w:rPr>
                <w:w w:val="105"/>
                <w:sz w:val="12"/>
              </w:rPr>
              <w:t>397.469,30</w:t>
            </w:r>
          </w:p>
        </w:tc>
        <w:tc>
          <w:tcPr>
            <w:tcW w:w="263" w:type="dxa"/>
          </w:tcPr>
          <w:p>
            <w:pPr>
              <w:pStyle w:val="TableParagraph"/>
              <w:rPr>
                <w:rFonts w:ascii="Times New Roman"/>
                <w:sz w:val="8"/>
              </w:rPr>
            </w:pPr>
          </w:p>
        </w:tc>
        <w:tc>
          <w:tcPr>
            <w:tcW w:w="638" w:type="dxa"/>
          </w:tcPr>
          <w:p>
            <w:pPr>
              <w:pStyle w:val="TableParagraph"/>
              <w:spacing w:line="128" w:lineRule="exact" w:before="2"/>
              <w:ind w:right="45"/>
              <w:jc w:val="right"/>
              <w:rPr>
                <w:sz w:val="12"/>
              </w:rPr>
            </w:pPr>
            <w:r>
              <w:rPr>
                <w:w w:val="105"/>
                <w:sz w:val="12"/>
              </w:rPr>
              <w:t>11.067,04</w:t>
            </w:r>
          </w:p>
        </w:tc>
        <w:tc>
          <w:tcPr>
            <w:tcW w:w="638" w:type="dxa"/>
          </w:tcPr>
          <w:p>
            <w:pPr>
              <w:pStyle w:val="TableParagraph"/>
              <w:spacing w:line="128" w:lineRule="exact" w:before="2"/>
              <w:ind w:right="46"/>
              <w:jc w:val="right"/>
              <w:rPr>
                <w:sz w:val="12"/>
              </w:rPr>
            </w:pPr>
            <w:r>
              <w:rPr>
                <w:w w:val="105"/>
                <w:sz w:val="12"/>
              </w:rPr>
              <w:t>1.645,92</w:t>
            </w:r>
          </w:p>
        </w:tc>
        <w:tc>
          <w:tcPr>
            <w:tcW w:w="746" w:type="dxa"/>
          </w:tcPr>
          <w:p>
            <w:pPr>
              <w:pStyle w:val="TableParagraph"/>
              <w:spacing w:line="128" w:lineRule="exact" w:before="2"/>
              <w:ind w:right="44"/>
              <w:jc w:val="right"/>
              <w:rPr>
                <w:sz w:val="12"/>
              </w:rPr>
            </w:pPr>
            <w:r>
              <w:rPr>
                <w:w w:val="105"/>
                <w:sz w:val="12"/>
              </w:rPr>
              <w:t>170.020,94</w:t>
            </w:r>
          </w:p>
        </w:tc>
        <w:tc>
          <w:tcPr>
            <w:tcW w:w="552" w:type="dxa"/>
          </w:tcPr>
          <w:p>
            <w:pPr>
              <w:pStyle w:val="TableParagraph"/>
              <w:spacing w:line="128" w:lineRule="exact" w:before="2"/>
              <w:ind w:right="44"/>
              <w:jc w:val="right"/>
              <w:rPr>
                <w:sz w:val="12"/>
              </w:rPr>
            </w:pPr>
            <w:r>
              <w:rPr>
                <w:w w:val="105"/>
                <w:sz w:val="12"/>
              </w:rPr>
              <w:t>1.816,93</w:t>
            </w:r>
          </w:p>
        </w:tc>
        <w:tc>
          <w:tcPr>
            <w:tcW w:w="731" w:type="dxa"/>
          </w:tcPr>
          <w:p>
            <w:pPr>
              <w:pStyle w:val="TableParagraph"/>
              <w:spacing w:line="128" w:lineRule="exact" w:before="2"/>
              <w:ind w:right="45"/>
              <w:jc w:val="right"/>
              <w:rPr>
                <w:sz w:val="12"/>
              </w:rPr>
            </w:pPr>
            <w:r>
              <w:rPr>
                <w:w w:val="105"/>
                <w:sz w:val="12"/>
              </w:rPr>
              <w:t>313.117,84</w:t>
            </w:r>
          </w:p>
        </w:tc>
        <w:tc>
          <w:tcPr>
            <w:tcW w:w="589" w:type="dxa"/>
          </w:tcPr>
          <w:p>
            <w:pPr>
              <w:pStyle w:val="TableParagraph"/>
              <w:spacing w:line="128" w:lineRule="exact" w:before="2"/>
              <w:ind w:right="43"/>
              <w:jc w:val="right"/>
              <w:rPr>
                <w:sz w:val="12"/>
              </w:rPr>
            </w:pPr>
            <w:r>
              <w:rPr>
                <w:w w:val="105"/>
                <w:sz w:val="12"/>
              </w:rPr>
              <w:t>9.131,86</w:t>
            </w:r>
          </w:p>
        </w:tc>
        <w:tc>
          <w:tcPr>
            <w:tcW w:w="669" w:type="dxa"/>
          </w:tcPr>
          <w:p>
            <w:pPr>
              <w:pStyle w:val="TableParagraph"/>
              <w:spacing w:line="128" w:lineRule="exact" w:before="2"/>
              <w:ind w:right="44"/>
              <w:jc w:val="right"/>
              <w:rPr>
                <w:sz w:val="12"/>
              </w:rPr>
            </w:pPr>
            <w:r>
              <w:rPr>
                <w:w w:val="105"/>
                <w:sz w:val="12"/>
              </w:rPr>
              <w:t>21.491,72</w:t>
            </w:r>
          </w:p>
        </w:tc>
        <w:tc>
          <w:tcPr>
            <w:tcW w:w="574" w:type="dxa"/>
          </w:tcPr>
          <w:p>
            <w:pPr>
              <w:pStyle w:val="TableParagraph"/>
              <w:spacing w:line="128" w:lineRule="exact" w:before="2"/>
              <w:ind w:right="42"/>
              <w:jc w:val="right"/>
              <w:rPr>
                <w:sz w:val="12"/>
              </w:rPr>
            </w:pPr>
            <w:r>
              <w:rPr>
                <w:w w:val="105"/>
                <w:sz w:val="12"/>
              </w:rPr>
              <w:t>1.955,75</w:t>
            </w:r>
          </w:p>
        </w:tc>
        <w:tc>
          <w:tcPr>
            <w:tcW w:w="611" w:type="dxa"/>
          </w:tcPr>
          <w:p>
            <w:pPr>
              <w:pStyle w:val="TableParagraph"/>
              <w:spacing w:line="128" w:lineRule="exact" w:before="2"/>
              <w:ind w:right="41"/>
              <w:jc w:val="right"/>
              <w:rPr>
                <w:sz w:val="12"/>
              </w:rPr>
            </w:pPr>
            <w:r>
              <w:rPr>
                <w:w w:val="105"/>
                <w:sz w:val="12"/>
              </w:rPr>
              <w:t>9.140,47</w:t>
            </w:r>
          </w:p>
        </w:tc>
        <w:tc>
          <w:tcPr>
            <w:tcW w:w="615" w:type="dxa"/>
          </w:tcPr>
          <w:p>
            <w:pPr>
              <w:pStyle w:val="TableParagraph"/>
              <w:spacing w:line="128" w:lineRule="exact" w:before="2"/>
              <w:ind w:right="40"/>
              <w:jc w:val="right"/>
              <w:rPr>
                <w:sz w:val="12"/>
              </w:rPr>
            </w:pPr>
            <w:r>
              <w:rPr>
                <w:w w:val="105"/>
                <w:sz w:val="12"/>
              </w:rPr>
              <w:t>38.564,62</w:t>
            </w:r>
          </w:p>
        </w:tc>
        <w:tc>
          <w:tcPr>
            <w:tcW w:w="525" w:type="dxa"/>
          </w:tcPr>
          <w:p>
            <w:pPr>
              <w:pStyle w:val="TableParagraph"/>
              <w:rPr>
                <w:rFonts w:ascii="Times New Roman"/>
                <w:sz w:val="8"/>
              </w:rPr>
            </w:pPr>
          </w:p>
        </w:tc>
        <w:tc>
          <w:tcPr>
            <w:tcW w:w="698" w:type="dxa"/>
          </w:tcPr>
          <w:p>
            <w:pPr>
              <w:pStyle w:val="TableParagraph"/>
              <w:spacing w:line="128" w:lineRule="exact" w:before="2"/>
              <w:ind w:right="38"/>
              <w:jc w:val="right"/>
              <w:rPr>
                <w:sz w:val="12"/>
              </w:rPr>
            </w:pPr>
            <w:r>
              <w:rPr>
                <w:w w:val="105"/>
                <w:sz w:val="12"/>
              </w:rPr>
              <w:t>989.427,14</w:t>
            </w:r>
          </w:p>
        </w:tc>
      </w:tr>
      <w:tr>
        <w:trPr>
          <w:trHeight w:val="299" w:hRule="atLeast"/>
        </w:trPr>
        <w:tc>
          <w:tcPr>
            <w:tcW w:w="1873" w:type="dxa"/>
          </w:tcPr>
          <w:p>
            <w:pPr>
              <w:pStyle w:val="TableParagraph"/>
              <w:spacing w:before="2"/>
              <w:ind w:left="52"/>
              <w:rPr>
                <w:b/>
                <w:sz w:val="12"/>
              </w:rPr>
            </w:pPr>
            <w:r>
              <w:rPr>
                <w:b/>
                <w:w w:val="105"/>
                <w:sz w:val="12"/>
              </w:rPr>
              <w:t>2.(+) DERECHOS PENDIENTES DE</w:t>
            </w:r>
          </w:p>
          <w:p>
            <w:pPr>
              <w:pStyle w:val="TableParagraph"/>
              <w:spacing w:line="127" w:lineRule="exact" w:before="4"/>
              <w:ind w:left="52"/>
              <w:rPr>
                <w:b/>
                <w:sz w:val="12"/>
              </w:rPr>
            </w:pPr>
            <w:r>
              <w:rPr>
                <w:b/>
                <w:w w:val="105"/>
                <w:sz w:val="12"/>
              </w:rPr>
              <w:t>COBRO</w:t>
            </w:r>
          </w:p>
        </w:tc>
        <w:tc>
          <w:tcPr>
            <w:tcW w:w="590" w:type="dxa"/>
          </w:tcPr>
          <w:p>
            <w:pPr>
              <w:pStyle w:val="TableParagraph"/>
              <w:spacing w:before="76"/>
              <w:ind w:right="42"/>
              <w:jc w:val="right"/>
              <w:rPr>
                <w:sz w:val="12"/>
              </w:rPr>
            </w:pPr>
            <w:r>
              <w:rPr>
                <w:sz w:val="12"/>
              </w:rPr>
              <w:t>1,79</w:t>
            </w:r>
          </w:p>
        </w:tc>
        <w:tc>
          <w:tcPr>
            <w:tcW w:w="592" w:type="dxa"/>
          </w:tcPr>
          <w:p>
            <w:pPr>
              <w:pStyle w:val="TableParagraph"/>
              <w:spacing w:before="76"/>
              <w:ind w:right="45"/>
              <w:jc w:val="right"/>
              <w:rPr>
                <w:sz w:val="12"/>
              </w:rPr>
            </w:pPr>
            <w:r>
              <w:rPr>
                <w:sz w:val="12"/>
              </w:rPr>
              <w:t>298,68</w:t>
            </w:r>
          </w:p>
        </w:tc>
        <w:tc>
          <w:tcPr>
            <w:tcW w:w="732" w:type="dxa"/>
          </w:tcPr>
          <w:p>
            <w:pPr>
              <w:pStyle w:val="TableParagraph"/>
              <w:spacing w:before="76"/>
              <w:ind w:right="46"/>
              <w:jc w:val="right"/>
              <w:rPr>
                <w:sz w:val="12"/>
              </w:rPr>
            </w:pPr>
            <w:r>
              <w:rPr>
                <w:w w:val="105"/>
                <w:sz w:val="12"/>
              </w:rPr>
              <w:t>20.791,07</w:t>
            </w:r>
          </w:p>
        </w:tc>
        <w:tc>
          <w:tcPr>
            <w:tcW w:w="263" w:type="dxa"/>
          </w:tcPr>
          <w:p>
            <w:pPr>
              <w:pStyle w:val="TableParagraph"/>
              <w:rPr>
                <w:rFonts w:ascii="Times New Roman"/>
                <w:sz w:val="12"/>
              </w:rPr>
            </w:pPr>
          </w:p>
        </w:tc>
        <w:tc>
          <w:tcPr>
            <w:tcW w:w="638" w:type="dxa"/>
          </w:tcPr>
          <w:p>
            <w:pPr>
              <w:pStyle w:val="TableParagraph"/>
              <w:spacing w:before="76"/>
              <w:ind w:right="45"/>
              <w:jc w:val="right"/>
              <w:rPr>
                <w:sz w:val="12"/>
              </w:rPr>
            </w:pPr>
            <w:r>
              <w:rPr>
                <w:sz w:val="12"/>
              </w:rPr>
              <w:t>834,90</w:t>
            </w:r>
          </w:p>
        </w:tc>
        <w:tc>
          <w:tcPr>
            <w:tcW w:w="638" w:type="dxa"/>
          </w:tcPr>
          <w:p>
            <w:pPr>
              <w:pStyle w:val="TableParagraph"/>
              <w:spacing w:before="76"/>
              <w:ind w:right="46"/>
              <w:jc w:val="right"/>
              <w:rPr>
                <w:sz w:val="12"/>
              </w:rPr>
            </w:pPr>
            <w:r>
              <w:rPr>
                <w:w w:val="105"/>
                <w:sz w:val="12"/>
              </w:rPr>
              <w:t>3.279,52</w:t>
            </w:r>
          </w:p>
        </w:tc>
        <w:tc>
          <w:tcPr>
            <w:tcW w:w="746" w:type="dxa"/>
          </w:tcPr>
          <w:p>
            <w:pPr>
              <w:pStyle w:val="TableParagraph"/>
              <w:spacing w:before="76"/>
              <w:ind w:right="44"/>
              <w:jc w:val="right"/>
              <w:rPr>
                <w:sz w:val="12"/>
              </w:rPr>
            </w:pPr>
            <w:r>
              <w:rPr>
                <w:w w:val="105"/>
                <w:sz w:val="12"/>
              </w:rPr>
              <w:t>118.822,30</w:t>
            </w:r>
          </w:p>
        </w:tc>
        <w:tc>
          <w:tcPr>
            <w:tcW w:w="552" w:type="dxa"/>
          </w:tcPr>
          <w:p>
            <w:pPr>
              <w:pStyle w:val="TableParagraph"/>
              <w:spacing w:before="76"/>
              <w:ind w:right="43"/>
              <w:jc w:val="right"/>
              <w:rPr>
                <w:sz w:val="12"/>
              </w:rPr>
            </w:pPr>
            <w:r>
              <w:rPr>
                <w:sz w:val="12"/>
              </w:rPr>
              <w:t>0,01</w:t>
            </w:r>
          </w:p>
        </w:tc>
        <w:tc>
          <w:tcPr>
            <w:tcW w:w="731" w:type="dxa"/>
          </w:tcPr>
          <w:p>
            <w:pPr>
              <w:pStyle w:val="TableParagraph"/>
              <w:spacing w:before="76"/>
              <w:ind w:right="45"/>
              <w:jc w:val="right"/>
              <w:rPr>
                <w:sz w:val="12"/>
              </w:rPr>
            </w:pPr>
            <w:r>
              <w:rPr>
                <w:w w:val="105"/>
                <w:sz w:val="12"/>
              </w:rPr>
              <w:t>105.050,19</w:t>
            </w:r>
          </w:p>
        </w:tc>
        <w:tc>
          <w:tcPr>
            <w:tcW w:w="589" w:type="dxa"/>
          </w:tcPr>
          <w:p>
            <w:pPr>
              <w:pStyle w:val="TableParagraph"/>
              <w:spacing w:before="76"/>
              <w:ind w:right="43"/>
              <w:jc w:val="right"/>
              <w:rPr>
                <w:sz w:val="12"/>
              </w:rPr>
            </w:pPr>
            <w:r>
              <w:rPr>
                <w:sz w:val="12"/>
              </w:rPr>
              <w:t>735,23</w:t>
            </w:r>
          </w:p>
        </w:tc>
        <w:tc>
          <w:tcPr>
            <w:tcW w:w="669" w:type="dxa"/>
          </w:tcPr>
          <w:p>
            <w:pPr>
              <w:pStyle w:val="TableParagraph"/>
              <w:spacing w:before="76"/>
              <w:ind w:right="44"/>
              <w:jc w:val="right"/>
              <w:rPr>
                <w:sz w:val="12"/>
              </w:rPr>
            </w:pPr>
            <w:r>
              <w:rPr>
                <w:w w:val="105"/>
                <w:sz w:val="12"/>
              </w:rPr>
              <w:t>34.969,69</w:t>
            </w:r>
          </w:p>
        </w:tc>
        <w:tc>
          <w:tcPr>
            <w:tcW w:w="574" w:type="dxa"/>
          </w:tcPr>
          <w:p>
            <w:pPr>
              <w:pStyle w:val="TableParagraph"/>
              <w:spacing w:before="76"/>
              <w:ind w:right="41"/>
              <w:jc w:val="right"/>
              <w:rPr>
                <w:sz w:val="12"/>
              </w:rPr>
            </w:pPr>
            <w:r>
              <w:rPr>
                <w:sz w:val="12"/>
              </w:rPr>
              <w:t>0,00</w:t>
            </w:r>
          </w:p>
        </w:tc>
        <w:tc>
          <w:tcPr>
            <w:tcW w:w="611" w:type="dxa"/>
          </w:tcPr>
          <w:p>
            <w:pPr>
              <w:pStyle w:val="TableParagraph"/>
              <w:spacing w:before="76"/>
              <w:ind w:right="41"/>
              <w:jc w:val="right"/>
              <w:rPr>
                <w:sz w:val="12"/>
              </w:rPr>
            </w:pPr>
            <w:r>
              <w:rPr>
                <w:w w:val="105"/>
                <w:sz w:val="12"/>
              </w:rPr>
              <w:t>6.000,00</w:t>
            </w:r>
          </w:p>
        </w:tc>
        <w:tc>
          <w:tcPr>
            <w:tcW w:w="615" w:type="dxa"/>
          </w:tcPr>
          <w:p>
            <w:pPr>
              <w:pStyle w:val="TableParagraph"/>
              <w:spacing w:before="76"/>
              <w:ind w:right="40"/>
              <w:jc w:val="right"/>
              <w:rPr>
                <w:sz w:val="12"/>
              </w:rPr>
            </w:pPr>
            <w:r>
              <w:rPr>
                <w:sz w:val="12"/>
              </w:rPr>
              <w:t>14,12</w:t>
            </w:r>
          </w:p>
        </w:tc>
        <w:tc>
          <w:tcPr>
            <w:tcW w:w="525" w:type="dxa"/>
          </w:tcPr>
          <w:p>
            <w:pPr>
              <w:pStyle w:val="TableParagraph"/>
              <w:rPr>
                <w:rFonts w:ascii="Times New Roman"/>
                <w:sz w:val="12"/>
              </w:rPr>
            </w:pPr>
          </w:p>
        </w:tc>
        <w:tc>
          <w:tcPr>
            <w:tcW w:w="698" w:type="dxa"/>
          </w:tcPr>
          <w:p>
            <w:pPr>
              <w:pStyle w:val="TableParagraph"/>
              <w:spacing w:before="76"/>
              <w:ind w:right="38"/>
              <w:jc w:val="right"/>
              <w:rPr>
                <w:sz w:val="12"/>
              </w:rPr>
            </w:pPr>
            <w:r>
              <w:rPr>
                <w:w w:val="105"/>
                <w:sz w:val="12"/>
              </w:rPr>
              <w:t>290.797,49</w:t>
            </w:r>
          </w:p>
        </w:tc>
      </w:tr>
      <w:tr>
        <w:trPr>
          <w:trHeight w:val="150" w:hRule="atLeast"/>
        </w:trPr>
        <w:tc>
          <w:tcPr>
            <w:tcW w:w="1873" w:type="dxa"/>
          </w:tcPr>
          <w:p>
            <w:pPr>
              <w:pStyle w:val="TableParagraph"/>
              <w:spacing w:line="127" w:lineRule="exact" w:before="4"/>
              <w:ind w:left="52"/>
              <w:rPr>
                <w:sz w:val="12"/>
              </w:rPr>
            </w:pPr>
            <w:r>
              <w:rPr>
                <w:w w:val="105"/>
                <w:sz w:val="12"/>
              </w:rPr>
              <w:t>(+) Del presupuesto corriente</w:t>
            </w:r>
          </w:p>
        </w:tc>
        <w:tc>
          <w:tcPr>
            <w:tcW w:w="590" w:type="dxa"/>
          </w:tcPr>
          <w:p>
            <w:pPr>
              <w:pStyle w:val="TableParagraph"/>
              <w:spacing w:line="127" w:lineRule="exact" w:before="4"/>
              <w:ind w:right="42"/>
              <w:jc w:val="right"/>
              <w:rPr>
                <w:sz w:val="12"/>
              </w:rPr>
            </w:pPr>
            <w:r>
              <w:rPr>
                <w:sz w:val="12"/>
              </w:rPr>
              <w:t>1,79</w:t>
            </w:r>
          </w:p>
        </w:tc>
        <w:tc>
          <w:tcPr>
            <w:tcW w:w="592" w:type="dxa"/>
          </w:tcPr>
          <w:p>
            <w:pPr>
              <w:pStyle w:val="TableParagraph"/>
              <w:spacing w:line="127" w:lineRule="exact" w:before="4"/>
              <w:ind w:right="45"/>
              <w:jc w:val="right"/>
              <w:rPr>
                <w:sz w:val="12"/>
              </w:rPr>
            </w:pPr>
            <w:r>
              <w:rPr>
                <w:sz w:val="12"/>
              </w:rPr>
              <w:t>298,68</w:t>
            </w:r>
          </w:p>
        </w:tc>
        <w:tc>
          <w:tcPr>
            <w:tcW w:w="732" w:type="dxa"/>
          </w:tcPr>
          <w:p>
            <w:pPr>
              <w:pStyle w:val="TableParagraph"/>
              <w:spacing w:line="127" w:lineRule="exact" w:before="4"/>
              <w:ind w:right="46"/>
              <w:jc w:val="right"/>
              <w:rPr>
                <w:sz w:val="12"/>
              </w:rPr>
            </w:pPr>
            <w:r>
              <w:rPr>
                <w:w w:val="105"/>
                <w:sz w:val="12"/>
              </w:rPr>
              <w:t>1.755,45</w:t>
            </w:r>
          </w:p>
        </w:tc>
        <w:tc>
          <w:tcPr>
            <w:tcW w:w="263" w:type="dxa"/>
          </w:tcPr>
          <w:p>
            <w:pPr>
              <w:pStyle w:val="TableParagraph"/>
              <w:rPr>
                <w:rFonts w:ascii="Times New Roman"/>
                <w:sz w:val="8"/>
              </w:rPr>
            </w:pPr>
          </w:p>
        </w:tc>
        <w:tc>
          <w:tcPr>
            <w:tcW w:w="638" w:type="dxa"/>
          </w:tcPr>
          <w:p>
            <w:pPr>
              <w:pStyle w:val="TableParagraph"/>
              <w:spacing w:line="127" w:lineRule="exact" w:before="4"/>
              <w:ind w:right="45"/>
              <w:jc w:val="right"/>
              <w:rPr>
                <w:sz w:val="12"/>
              </w:rPr>
            </w:pPr>
            <w:r>
              <w:rPr>
                <w:sz w:val="12"/>
              </w:rPr>
              <w:t>46,93</w:t>
            </w:r>
          </w:p>
        </w:tc>
        <w:tc>
          <w:tcPr>
            <w:tcW w:w="638" w:type="dxa"/>
          </w:tcPr>
          <w:p>
            <w:pPr>
              <w:pStyle w:val="TableParagraph"/>
              <w:spacing w:line="127" w:lineRule="exact" w:before="4"/>
              <w:ind w:right="46"/>
              <w:jc w:val="right"/>
              <w:rPr>
                <w:sz w:val="12"/>
              </w:rPr>
            </w:pPr>
            <w:r>
              <w:rPr>
                <w:sz w:val="12"/>
              </w:rPr>
              <w:t>13,26</w:t>
            </w:r>
          </w:p>
        </w:tc>
        <w:tc>
          <w:tcPr>
            <w:tcW w:w="746" w:type="dxa"/>
          </w:tcPr>
          <w:p>
            <w:pPr>
              <w:pStyle w:val="TableParagraph"/>
              <w:spacing w:line="127" w:lineRule="exact" w:before="4"/>
              <w:ind w:right="44"/>
              <w:jc w:val="right"/>
              <w:rPr>
                <w:sz w:val="12"/>
              </w:rPr>
            </w:pPr>
            <w:r>
              <w:rPr>
                <w:w w:val="105"/>
                <w:sz w:val="12"/>
              </w:rPr>
              <w:t>30.358,60</w:t>
            </w:r>
          </w:p>
        </w:tc>
        <w:tc>
          <w:tcPr>
            <w:tcW w:w="552" w:type="dxa"/>
          </w:tcPr>
          <w:p>
            <w:pPr>
              <w:pStyle w:val="TableParagraph"/>
              <w:spacing w:line="127" w:lineRule="exact" w:before="4"/>
              <w:ind w:right="43"/>
              <w:jc w:val="right"/>
              <w:rPr>
                <w:sz w:val="12"/>
              </w:rPr>
            </w:pPr>
            <w:r>
              <w:rPr>
                <w:sz w:val="12"/>
              </w:rPr>
              <w:t>0,00</w:t>
            </w:r>
          </w:p>
        </w:tc>
        <w:tc>
          <w:tcPr>
            <w:tcW w:w="731" w:type="dxa"/>
          </w:tcPr>
          <w:p>
            <w:pPr>
              <w:pStyle w:val="TableParagraph"/>
              <w:spacing w:line="127" w:lineRule="exact" w:before="4"/>
              <w:ind w:right="45"/>
              <w:jc w:val="right"/>
              <w:rPr>
                <w:sz w:val="12"/>
              </w:rPr>
            </w:pPr>
            <w:r>
              <w:rPr>
                <w:w w:val="105"/>
                <w:sz w:val="12"/>
              </w:rPr>
              <w:t>6.055,90</w:t>
            </w:r>
          </w:p>
        </w:tc>
        <w:tc>
          <w:tcPr>
            <w:tcW w:w="589" w:type="dxa"/>
          </w:tcPr>
          <w:p>
            <w:pPr>
              <w:pStyle w:val="TableParagraph"/>
              <w:spacing w:line="127" w:lineRule="exact" w:before="4"/>
              <w:ind w:right="43"/>
              <w:jc w:val="right"/>
              <w:rPr>
                <w:sz w:val="12"/>
              </w:rPr>
            </w:pPr>
            <w:r>
              <w:rPr>
                <w:sz w:val="12"/>
              </w:rPr>
              <w:t>26,21</w:t>
            </w:r>
          </w:p>
        </w:tc>
        <w:tc>
          <w:tcPr>
            <w:tcW w:w="669" w:type="dxa"/>
          </w:tcPr>
          <w:p>
            <w:pPr>
              <w:pStyle w:val="TableParagraph"/>
              <w:spacing w:line="127" w:lineRule="exact" w:before="4"/>
              <w:ind w:right="44"/>
              <w:jc w:val="right"/>
              <w:rPr>
                <w:sz w:val="12"/>
              </w:rPr>
            </w:pPr>
            <w:r>
              <w:rPr>
                <w:w w:val="105"/>
                <w:sz w:val="12"/>
              </w:rPr>
              <w:t>3.620,58</w:t>
            </w:r>
          </w:p>
        </w:tc>
        <w:tc>
          <w:tcPr>
            <w:tcW w:w="574" w:type="dxa"/>
          </w:tcPr>
          <w:p>
            <w:pPr>
              <w:pStyle w:val="TableParagraph"/>
              <w:spacing w:line="127" w:lineRule="exact" w:before="4"/>
              <w:ind w:right="41"/>
              <w:jc w:val="right"/>
              <w:rPr>
                <w:sz w:val="12"/>
              </w:rPr>
            </w:pPr>
            <w:r>
              <w:rPr>
                <w:sz w:val="12"/>
              </w:rPr>
              <w:t>0,00</w:t>
            </w:r>
          </w:p>
        </w:tc>
        <w:tc>
          <w:tcPr>
            <w:tcW w:w="611" w:type="dxa"/>
          </w:tcPr>
          <w:p>
            <w:pPr>
              <w:pStyle w:val="TableParagraph"/>
              <w:spacing w:line="127" w:lineRule="exact" w:before="4"/>
              <w:ind w:right="41"/>
              <w:jc w:val="right"/>
              <w:rPr>
                <w:sz w:val="12"/>
              </w:rPr>
            </w:pPr>
            <w:r>
              <w:rPr>
                <w:w w:val="105"/>
                <w:sz w:val="12"/>
              </w:rPr>
              <w:t>6.000,00</w:t>
            </w:r>
          </w:p>
        </w:tc>
        <w:tc>
          <w:tcPr>
            <w:tcW w:w="615" w:type="dxa"/>
          </w:tcPr>
          <w:p>
            <w:pPr>
              <w:pStyle w:val="TableParagraph"/>
              <w:spacing w:line="127" w:lineRule="exact" w:before="4"/>
              <w:ind w:right="40"/>
              <w:jc w:val="right"/>
              <w:rPr>
                <w:sz w:val="12"/>
              </w:rPr>
            </w:pPr>
            <w:r>
              <w:rPr>
                <w:sz w:val="12"/>
              </w:rPr>
              <w:t>0,00</w:t>
            </w:r>
          </w:p>
        </w:tc>
        <w:tc>
          <w:tcPr>
            <w:tcW w:w="525" w:type="dxa"/>
          </w:tcPr>
          <w:p>
            <w:pPr>
              <w:pStyle w:val="TableParagraph"/>
              <w:rPr>
                <w:rFonts w:ascii="Times New Roman"/>
                <w:sz w:val="8"/>
              </w:rPr>
            </w:pPr>
          </w:p>
        </w:tc>
        <w:tc>
          <w:tcPr>
            <w:tcW w:w="698" w:type="dxa"/>
          </w:tcPr>
          <w:p>
            <w:pPr>
              <w:pStyle w:val="TableParagraph"/>
              <w:spacing w:line="127" w:lineRule="exact" w:before="4"/>
              <w:ind w:right="38"/>
              <w:jc w:val="right"/>
              <w:rPr>
                <w:sz w:val="12"/>
              </w:rPr>
            </w:pPr>
            <w:r>
              <w:rPr>
                <w:w w:val="105"/>
                <w:sz w:val="12"/>
              </w:rPr>
              <w:t>48.177,40</w:t>
            </w:r>
          </w:p>
        </w:tc>
      </w:tr>
      <w:tr>
        <w:trPr>
          <w:trHeight w:val="150" w:hRule="atLeast"/>
        </w:trPr>
        <w:tc>
          <w:tcPr>
            <w:tcW w:w="1873" w:type="dxa"/>
          </w:tcPr>
          <w:p>
            <w:pPr>
              <w:pStyle w:val="TableParagraph"/>
              <w:spacing w:line="128" w:lineRule="exact" w:before="2"/>
              <w:ind w:left="52"/>
              <w:rPr>
                <w:sz w:val="12"/>
              </w:rPr>
            </w:pPr>
            <w:r>
              <w:rPr>
                <w:w w:val="105"/>
                <w:sz w:val="12"/>
              </w:rPr>
              <w:t>(+) Del presupuesto Cerrados</w:t>
            </w:r>
          </w:p>
        </w:tc>
        <w:tc>
          <w:tcPr>
            <w:tcW w:w="590" w:type="dxa"/>
          </w:tcPr>
          <w:p>
            <w:pPr>
              <w:pStyle w:val="TableParagraph"/>
              <w:spacing w:line="128" w:lineRule="exact" w:before="2"/>
              <w:ind w:right="42"/>
              <w:jc w:val="right"/>
              <w:rPr>
                <w:sz w:val="12"/>
              </w:rPr>
            </w:pPr>
            <w:r>
              <w:rPr>
                <w:sz w:val="12"/>
              </w:rPr>
              <w:t>0,00</w:t>
            </w:r>
          </w:p>
        </w:tc>
        <w:tc>
          <w:tcPr>
            <w:tcW w:w="592" w:type="dxa"/>
          </w:tcPr>
          <w:p>
            <w:pPr>
              <w:pStyle w:val="TableParagraph"/>
              <w:spacing w:line="128" w:lineRule="exact" w:before="2"/>
              <w:ind w:right="45"/>
              <w:jc w:val="right"/>
              <w:rPr>
                <w:sz w:val="12"/>
              </w:rPr>
            </w:pPr>
            <w:r>
              <w:rPr>
                <w:sz w:val="12"/>
              </w:rPr>
              <w:t>0,00</w:t>
            </w:r>
          </w:p>
        </w:tc>
        <w:tc>
          <w:tcPr>
            <w:tcW w:w="732" w:type="dxa"/>
          </w:tcPr>
          <w:p>
            <w:pPr>
              <w:pStyle w:val="TableParagraph"/>
              <w:spacing w:line="128" w:lineRule="exact" w:before="2"/>
              <w:ind w:right="46"/>
              <w:jc w:val="right"/>
              <w:rPr>
                <w:sz w:val="12"/>
              </w:rPr>
            </w:pPr>
            <w:r>
              <w:rPr>
                <w:w w:val="105"/>
                <w:sz w:val="12"/>
              </w:rPr>
              <w:t>19.078,47</w:t>
            </w:r>
          </w:p>
        </w:tc>
        <w:tc>
          <w:tcPr>
            <w:tcW w:w="263" w:type="dxa"/>
          </w:tcPr>
          <w:p>
            <w:pPr>
              <w:pStyle w:val="TableParagraph"/>
              <w:rPr>
                <w:rFonts w:ascii="Times New Roman"/>
                <w:sz w:val="8"/>
              </w:rPr>
            </w:pPr>
          </w:p>
        </w:tc>
        <w:tc>
          <w:tcPr>
            <w:tcW w:w="638" w:type="dxa"/>
          </w:tcPr>
          <w:p>
            <w:pPr>
              <w:pStyle w:val="TableParagraph"/>
              <w:spacing w:line="128" w:lineRule="exact" w:before="2"/>
              <w:ind w:right="45"/>
              <w:jc w:val="right"/>
              <w:rPr>
                <w:sz w:val="12"/>
              </w:rPr>
            </w:pPr>
            <w:r>
              <w:rPr>
                <w:sz w:val="12"/>
              </w:rPr>
              <w:t>787,97</w:t>
            </w:r>
          </w:p>
        </w:tc>
        <w:tc>
          <w:tcPr>
            <w:tcW w:w="638" w:type="dxa"/>
          </w:tcPr>
          <w:p>
            <w:pPr>
              <w:pStyle w:val="TableParagraph"/>
              <w:spacing w:line="128" w:lineRule="exact" w:before="2"/>
              <w:ind w:right="46"/>
              <w:jc w:val="right"/>
              <w:rPr>
                <w:sz w:val="12"/>
              </w:rPr>
            </w:pPr>
            <w:r>
              <w:rPr>
                <w:sz w:val="12"/>
              </w:rPr>
              <w:t>0,56</w:t>
            </w:r>
          </w:p>
        </w:tc>
        <w:tc>
          <w:tcPr>
            <w:tcW w:w="746" w:type="dxa"/>
          </w:tcPr>
          <w:p>
            <w:pPr>
              <w:pStyle w:val="TableParagraph"/>
              <w:spacing w:line="128" w:lineRule="exact" w:before="2"/>
              <w:ind w:right="44"/>
              <w:jc w:val="right"/>
              <w:rPr>
                <w:sz w:val="12"/>
              </w:rPr>
            </w:pPr>
            <w:r>
              <w:rPr>
                <w:w w:val="105"/>
                <w:sz w:val="12"/>
              </w:rPr>
              <w:t>88.611,86</w:t>
            </w:r>
          </w:p>
        </w:tc>
        <w:tc>
          <w:tcPr>
            <w:tcW w:w="552" w:type="dxa"/>
          </w:tcPr>
          <w:p>
            <w:pPr>
              <w:pStyle w:val="TableParagraph"/>
              <w:spacing w:line="128" w:lineRule="exact" w:before="2"/>
              <w:ind w:right="43"/>
              <w:jc w:val="right"/>
              <w:rPr>
                <w:sz w:val="12"/>
              </w:rPr>
            </w:pPr>
            <w:r>
              <w:rPr>
                <w:sz w:val="12"/>
              </w:rPr>
              <w:t>0,00</w:t>
            </w:r>
          </w:p>
        </w:tc>
        <w:tc>
          <w:tcPr>
            <w:tcW w:w="731" w:type="dxa"/>
          </w:tcPr>
          <w:p>
            <w:pPr>
              <w:pStyle w:val="TableParagraph"/>
              <w:spacing w:line="128" w:lineRule="exact" w:before="2"/>
              <w:ind w:right="45"/>
              <w:jc w:val="right"/>
              <w:rPr>
                <w:sz w:val="12"/>
              </w:rPr>
            </w:pPr>
            <w:r>
              <w:rPr>
                <w:w w:val="105"/>
                <w:sz w:val="12"/>
              </w:rPr>
              <w:t>97.598,24</w:t>
            </w:r>
          </w:p>
        </w:tc>
        <w:tc>
          <w:tcPr>
            <w:tcW w:w="589" w:type="dxa"/>
          </w:tcPr>
          <w:p>
            <w:pPr>
              <w:pStyle w:val="TableParagraph"/>
              <w:spacing w:line="128" w:lineRule="exact" w:before="2"/>
              <w:ind w:right="43"/>
              <w:jc w:val="right"/>
              <w:rPr>
                <w:sz w:val="12"/>
              </w:rPr>
            </w:pPr>
            <w:r>
              <w:rPr>
                <w:sz w:val="12"/>
              </w:rPr>
              <w:t>590,60</w:t>
            </w:r>
          </w:p>
        </w:tc>
        <w:tc>
          <w:tcPr>
            <w:tcW w:w="669" w:type="dxa"/>
          </w:tcPr>
          <w:p>
            <w:pPr>
              <w:pStyle w:val="TableParagraph"/>
              <w:spacing w:line="128" w:lineRule="exact" w:before="2"/>
              <w:ind w:right="44"/>
              <w:jc w:val="right"/>
              <w:rPr>
                <w:sz w:val="12"/>
              </w:rPr>
            </w:pPr>
            <w:r>
              <w:rPr>
                <w:w w:val="105"/>
                <w:sz w:val="12"/>
              </w:rPr>
              <w:t>22.399,13</w:t>
            </w:r>
          </w:p>
        </w:tc>
        <w:tc>
          <w:tcPr>
            <w:tcW w:w="574" w:type="dxa"/>
          </w:tcPr>
          <w:p>
            <w:pPr>
              <w:pStyle w:val="TableParagraph"/>
              <w:spacing w:line="128" w:lineRule="exact" w:before="2"/>
              <w:ind w:right="41"/>
              <w:jc w:val="right"/>
              <w:rPr>
                <w:sz w:val="12"/>
              </w:rPr>
            </w:pPr>
            <w:r>
              <w:rPr>
                <w:sz w:val="12"/>
              </w:rPr>
              <w:t>0,00</w:t>
            </w:r>
          </w:p>
        </w:tc>
        <w:tc>
          <w:tcPr>
            <w:tcW w:w="611" w:type="dxa"/>
          </w:tcPr>
          <w:p>
            <w:pPr>
              <w:pStyle w:val="TableParagraph"/>
              <w:spacing w:line="128" w:lineRule="exact" w:before="2"/>
              <w:ind w:right="41"/>
              <w:jc w:val="right"/>
              <w:rPr>
                <w:sz w:val="12"/>
              </w:rPr>
            </w:pPr>
            <w:r>
              <w:rPr>
                <w:sz w:val="12"/>
              </w:rPr>
              <w:t>0,00</w:t>
            </w:r>
          </w:p>
        </w:tc>
        <w:tc>
          <w:tcPr>
            <w:tcW w:w="615" w:type="dxa"/>
          </w:tcPr>
          <w:p>
            <w:pPr>
              <w:pStyle w:val="TableParagraph"/>
              <w:spacing w:line="128" w:lineRule="exact" w:before="2"/>
              <w:ind w:right="40"/>
              <w:jc w:val="right"/>
              <w:rPr>
                <w:sz w:val="12"/>
              </w:rPr>
            </w:pPr>
            <w:r>
              <w:rPr>
                <w:sz w:val="12"/>
              </w:rPr>
              <w:t>0,00</w:t>
            </w:r>
          </w:p>
        </w:tc>
        <w:tc>
          <w:tcPr>
            <w:tcW w:w="525" w:type="dxa"/>
          </w:tcPr>
          <w:p>
            <w:pPr>
              <w:pStyle w:val="TableParagraph"/>
              <w:rPr>
                <w:rFonts w:ascii="Times New Roman"/>
                <w:sz w:val="8"/>
              </w:rPr>
            </w:pPr>
          </w:p>
        </w:tc>
        <w:tc>
          <w:tcPr>
            <w:tcW w:w="698" w:type="dxa"/>
          </w:tcPr>
          <w:p>
            <w:pPr>
              <w:pStyle w:val="TableParagraph"/>
              <w:spacing w:line="128" w:lineRule="exact" w:before="2"/>
              <w:ind w:right="38"/>
              <w:jc w:val="right"/>
              <w:rPr>
                <w:sz w:val="12"/>
              </w:rPr>
            </w:pPr>
            <w:r>
              <w:rPr>
                <w:w w:val="105"/>
                <w:sz w:val="12"/>
              </w:rPr>
              <w:t>229.066,84</w:t>
            </w:r>
          </w:p>
        </w:tc>
      </w:tr>
      <w:tr>
        <w:trPr>
          <w:trHeight w:val="300" w:hRule="atLeast"/>
        </w:trPr>
        <w:tc>
          <w:tcPr>
            <w:tcW w:w="1873" w:type="dxa"/>
          </w:tcPr>
          <w:p>
            <w:pPr>
              <w:pStyle w:val="TableParagraph"/>
              <w:spacing w:before="2"/>
              <w:ind w:left="52"/>
              <w:rPr>
                <w:sz w:val="12"/>
              </w:rPr>
            </w:pPr>
            <w:r>
              <w:rPr>
                <w:w w:val="105"/>
                <w:sz w:val="12"/>
              </w:rPr>
              <w:t>(+) De operaciones no</w:t>
            </w:r>
          </w:p>
          <w:p>
            <w:pPr>
              <w:pStyle w:val="TableParagraph"/>
              <w:spacing w:line="127" w:lineRule="exact" w:before="5"/>
              <w:ind w:left="52"/>
              <w:rPr>
                <w:sz w:val="12"/>
              </w:rPr>
            </w:pPr>
            <w:r>
              <w:rPr>
                <w:w w:val="105"/>
                <w:sz w:val="12"/>
              </w:rPr>
              <w:t>presupuestarias</w:t>
            </w:r>
          </w:p>
        </w:tc>
        <w:tc>
          <w:tcPr>
            <w:tcW w:w="590" w:type="dxa"/>
          </w:tcPr>
          <w:p>
            <w:pPr>
              <w:pStyle w:val="TableParagraph"/>
              <w:spacing w:before="77"/>
              <w:ind w:right="42"/>
              <w:jc w:val="right"/>
              <w:rPr>
                <w:sz w:val="12"/>
              </w:rPr>
            </w:pPr>
            <w:r>
              <w:rPr>
                <w:sz w:val="12"/>
              </w:rPr>
              <w:t>0,00</w:t>
            </w:r>
          </w:p>
        </w:tc>
        <w:tc>
          <w:tcPr>
            <w:tcW w:w="592" w:type="dxa"/>
          </w:tcPr>
          <w:p>
            <w:pPr>
              <w:pStyle w:val="TableParagraph"/>
              <w:spacing w:before="77"/>
              <w:ind w:right="45"/>
              <w:jc w:val="right"/>
              <w:rPr>
                <w:sz w:val="12"/>
              </w:rPr>
            </w:pPr>
            <w:r>
              <w:rPr>
                <w:sz w:val="12"/>
              </w:rPr>
              <w:t>0,00</w:t>
            </w:r>
          </w:p>
        </w:tc>
        <w:tc>
          <w:tcPr>
            <w:tcW w:w="732" w:type="dxa"/>
          </w:tcPr>
          <w:p>
            <w:pPr>
              <w:pStyle w:val="TableParagraph"/>
              <w:spacing w:before="77"/>
              <w:ind w:right="45"/>
              <w:jc w:val="right"/>
              <w:rPr>
                <w:sz w:val="12"/>
              </w:rPr>
            </w:pPr>
            <w:r>
              <w:rPr>
                <w:w w:val="105"/>
                <w:sz w:val="12"/>
              </w:rPr>
              <w:t>-42,85</w:t>
            </w:r>
          </w:p>
        </w:tc>
        <w:tc>
          <w:tcPr>
            <w:tcW w:w="263" w:type="dxa"/>
          </w:tcPr>
          <w:p>
            <w:pPr>
              <w:pStyle w:val="TableParagraph"/>
              <w:rPr>
                <w:rFonts w:ascii="Times New Roman"/>
                <w:sz w:val="12"/>
              </w:rPr>
            </w:pPr>
          </w:p>
        </w:tc>
        <w:tc>
          <w:tcPr>
            <w:tcW w:w="638" w:type="dxa"/>
          </w:tcPr>
          <w:p>
            <w:pPr>
              <w:pStyle w:val="TableParagraph"/>
              <w:spacing w:before="77"/>
              <w:ind w:right="45"/>
              <w:jc w:val="right"/>
              <w:rPr>
                <w:sz w:val="12"/>
              </w:rPr>
            </w:pPr>
            <w:r>
              <w:rPr>
                <w:sz w:val="12"/>
              </w:rPr>
              <w:t>0,00</w:t>
            </w:r>
          </w:p>
        </w:tc>
        <w:tc>
          <w:tcPr>
            <w:tcW w:w="638" w:type="dxa"/>
          </w:tcPr>
          <w:p>
            <w:pPr>
              <w:pStyle w:val="TableParagraph"/>
              <w:spacing w:before="77"/>
              <w:ind w:right="46"/>
              <w:jc w:val="right"/>
              <w:rPr>
                <w:sz w:val="12"/>
              </w:rPr>
            </w:pPr>
            <w:r>
              <w:rPr>
                <w:sz w:val="12"/>
              </w:rPr>
              <w:t>58,98</w:t>
            </w:r>
          </w:p>
        </w:tc>
        <w:tc>
          <w:tcPr>
            <w:tcW w:w="746" w:type="dxa"/>
          </w:tcPr>
          <w:p>
            <w:pPr>
              <w:pStyle w:val="TableParagraph"/>
              <w:spacing w:before="77"/>
              <w:ind w:right="44"/>
              <w:jc w:val="right"/>
              <w:rPr>
                <w:sz w:val="12"/>
              </w:rPr>
            </w:pPr>
            <w:r>
              <w:rPr>
                <w:w w:val="105"/>
                <w:sz w:val="12"/>
              </w:rPr>
              <w:t>-148,16</w:t>
            </w:r>
          </w:p>
        </w:tc>
        <w:tc>
          <w:tcPr>
            <w:tcW w:w="552" w:type="dxa"/>
          </w:tcPr>
          <w:p>
            <w:pPr>
              <w:pStyle w:val="TableParagraph"/>
              <w:spacing w:before="77"/>
              <w:ind w:right="43"/>
              <w:jc w:val="right"/>
              <w:rPr>
                <w:sz w:val="12"/>
              </w:rPr>
            </w:pPr>
            <w:r>
              <w:rPr>
                <w:sz w:val="12"/>
              </w:rPr>
              <w:t>0,01</w:t>
            </w:r>
          </w:p>
        </w:tc>
        <w:tc>
          <w:tcPr>
            <w:tcW w:w="731" w:type="dxa"/>
          </w:tcPr>
          <w:p>
            <w:pPr>
              <w:pStyle w:val="TableParagraph"/>
              <w:spacing w:before="77"/>
              <w:ind w:right="45"/>
              <w:jc w:val="right"/>
              <w:rPr>
                <w:sz w:val="12"/>
              </w:rPr>
            </w:pPr>
            <w:r>
              <w:rPr>
                <w:w w:val="105"/>
                <w:sz w:val="12"/>
              </w:rPr>
              <w:t>1.396,04</w:t>
            </w:r>
          </w:p>
        </w:tc>
        <w:tc>
          <w:tcPr>
            <w:tcW w:w="589" w:type="dxa"/>
          </w:tcPr>
          <w:p>
            <w:pPr>
              <w:pStyle w:val="TableParagraph"/>
              <w:spacing w:before="77"/>
              <w:ind w:right="43"/>
              <w:jc w:val="right"/>
              <w:rPr>
                <w:sz w:val="12"/>
              </w:rPr>
            </w:pPr>
            <w:r>
              <w:rPr>
                <w:sz w:val="12"/>
              </w:rPr>
              <w:t>118,42</w:t>
            </w:r>
          </w:p>
        </w:tc>
        <w:tc>
          <w:tcPr>
            <w:tcW w:w="669" w:type="dxa"/>
          </w:tcPr>
          <w:p>
            <w:pPr>
              <w:pStyle w:val="TableParagraph"/>
              <w:spacing w:before="77"/>
              <w:ind w:right="44"/>
              <w:jc w:val="right"/>
              <w:rPr>
                <w:sz w:val="12"/>
              </w:rPr>
            </w:pPr>
            <w:r>
              <w:rPr>
                <w:w w:val="105"/>
                <w:sz w:val="12"/>
              </w:rPr>
              <w:t>8.949,98</w:t>
            </w:r>
          </w:p>
        </w:tc>
        <w:tc>
          <w:tcPr>
            <w:tcW w:w="574" w:type="dxa"/>
          </w:tcPr>
          <w:p>
            <w:pPr>
              <w:pStyle w:val="TableParagraph"/>
              <w:spacing w:before="77"/>
              <w:ind w:right="41"/>
              <w:jc w:val="right"/>
              <w:rPr>
                <w:sz w:val="12"/>
              </w:rPr>
            </w:pPr>
            <w:r>
              <w:rPr>
                <w:sz w:val="12"/>
              </w:rPr>
              <w:t>0,00</w:t>
            </w:r>
          </w:p>
        </w:tc>
        <w:tc>
          <w:tcPr>
            <w:tcW w:w="611" w:type="dxa"/>
          </w:tcPr>
          <w:p>
            <w:pPr>
              <w:pStyle w:val="TableParagraph"/>
              <w:spacing w:before="77"/>
              <w:ind w:right="41"/>
              <w:jc w:val="right"/>
              <w:rPr>
                <w:sz w:val="12"/>
              </w:rPr>
            </w:pPr>
            <w:r>
              <w:rPr>
                <w:sz w:val="12"/>
              </w:rPr>
              <w:t>0,00</w:t>
            </w:r>
          </w:p>
        </w:tc>
        <w:tc>
          <w:tcPr>
            <w:tcW w:w="615" w:type="dxa"/>
          </w:tcPr>
          <w:p>
            <w:pPr>
              <w:pStyle w:val="TableParagraph"/>
              <w:spacing w:before="77"/>
              <w:ind w:right="40"/>
              <w:jc w:val="right"/>
              <w:rPr>
                <w:sz w:val="12"/>
              </w:rPr>
            </w:pPr>
            <w:r>
              <w:rPr>
                <w:sz w:val="12"/>
              </w:rPr>
              <w:t>14,12</w:t>
            </w:r>
          </w:p>
        </w:tc>
        <w:tc>
          <w:tcPr>
            <w:tcW w:w="525" w:type="dxa"/>
          </w:tcPr>
          <w:p>
            <w:pPr>
              <w:pStyle w:val="TableParagraph"/>
              <w:rPr>
                <w:rFonts w:ascii="Times New Roman"/>
                <w:sz w:val="12"/>
              </w:rPr>
            </w:pPr>
          </w:p>
        </w:tc>
        <w:tc>
          <w:tcPr>
            <w:tcW w:w="698" w:type="dxa"/>
          </w:tcPr>
          <w:p>
            <w:pPr>
              <w:pStyle w:val="TableParagraph"/>
              <w:spacing w:before="77"/>
              <w:ind w:right="38"/>
              <w:jc w:val="right"/>
              <w:rPr>
                <w:sz w:val="12"/>
              </w:rPr>
            </w:pPr>
            <w:r>
              <w:rPr>
                <w:w w:val="105"/>
                <w:sz w:val="12"/>
              </w:rPr>
              <w:t>10.346,55</w:t>
            </w:r>
          </w:p>
        </w:tc>
      </w:tr>
      <w:tr>
        <w:trPr>
          <w:trHeight w:val="150" w:hRule="atLeast"/>
        </w:trPr>
        <w:tc>
          <w:tcPr>
            <w:tcW w:w="1873" w:type="dxa"/>
          </w:tcPr>
          <w:p>
            <w:pPr>
              <w:pStyle w:val="TableParagraph"/>
              <w:spacing w:line="127" w:lineRule="exact" w:before="4"/>
              <w:ind w:left="52"/>
              <w:rPr>
                <w:sz w:val="12"/>
              </w:rPr>
            </w:pPr>
            <w:r>
              <w:rPr>
                <w:w w:val="105"/>
                <w:sz w:val="12"/>
              </w:rPr>
              <w:t>(+) De operaciones Comerciales</w:t>
            </w:r>
          </w:p>
        </w:tc>
        <w:tc>
          <w:tcPr>
            <w:tcW w:w="590" w:type="dxa"/>
          </w:tcPr>
          <w:p>
            <w:pPr>
              <w:pStyle w:val="TableParagraph"/>
              <w:spacing w:line="127" w:lineRule="exact" w:before="4"/>
              <w:ind w:right="42"/>
              <w:jc w:val="right"/>
              <w:rPr>
                <w:sz w:val="12"/>
              </w:rPr>
            </w:pPr>
            <w:r>
              <w:rPr>
                <w:sz w:val="12"/>
              </w:rPr>
              <w:t>0,00</w:t>
            </w:r>
          </w:p>
        </w:tc>
        <w:tc>
          <w:tcPr>
            <w:tcW w:w="592" w:type="dxa"/>
          </w:tcPr>
          <w:p>
            <w:pPr>
              <w:pStyle w:val="TableParagraph"/>
              <w:spacing w:line="127" w:lineRule="exact" w:before="4"/>
              <w:ind w:right="45"/>
              <w:jc w:val="right"/>
              <w:rPr>
                <w:sz w:val="12"/>
              </w:rPr>
            </w:pPr>
            <w:r>
              <w:rPr>
                <w:sz w:val="12"/>
              </w:rPr>
              <w:t>0,00</w:t>
            </w:r>
          </w:p>
        </w:tc>
        <w:tc>
          <w:tcPr>
            <w:tcW w:w="732" w:type="dxa"/>
          </w:tcPr>
          <w:p>
            <w:pPr>
              <w:pStyle w:val="TableParagraph"/>
              <w:spacing w:line="127" w:lineRule="exact" w:before="4"/>
              <w:ind w:right="45"/>
              <w:jc w:val="right"/>
              <w:rPr>
                <w:sz w:val="12"/>
              </w:rPr>
            </w:pPr>
            <w:r>
              <w:rPr>
                <w:sz w:val="12"/>
              </w:rPr>
              <w:t>0,00</w:t>
            </w:r>
          </w:p>
        </w:tc>
        <w:tc>
          <w:tcPr>
            <w:tcW w:w="263" w:type="dxa"/>
          </w:tcPr>
          <w:p>
            <w:pPr>
              <w:pStyle w:val="TableParagraph"/>
              <w:rPr>
                <w:rFonts w:ascii="Times New Roman"/>
                <w:sz w:val="8"/>
              </w:rPr>
            </w:pPr>
          </w:p>
        </w:tc>
        <w:tc>
          <w:tcPr>
            <w:tcW w:w="638" w:type="dxa"/>
          </w:tcPr>
          <w:p>
            <w:pPr>
              <w:pStyle w:val="TableParagraph"/>
              <w:spacing w:line="127" w:lineRule="exact" w:before="4"/>
              <w:ind w:right="45"/>
              <w:jc w:val="right"/>
              <w:rPr>
                <w:sz w:val="12"/>
              </w:rPr>
            </w:pPr>
            <w:r>
              <w:rPr>
                <w:sz w:val="12"/>
              </w:rPr>
              <w:t>0,00</w:t>
            </w:r>
          </w:p>
        </w:tc>
        <w:tc>
          <w:tcPr>
            <w:tcW w:w="638" w:type="dxa"/>
          </w:tcPr>
          <w:p>
            <w:pPr>
              <w:pStyle w:val="TableParagraph"/>
              <w:spacing w:line="127" w:lineRule="exact" w:before="4"/>
              <w:ind w:right="46"/>
              <w:jc w:val="right"/>
              <w:rPr>
                <w:sz w:val="12"/>
              </w:rPr>
            </w:pPr>
            <w:r>
              <w:rPr>
                <w:w w:val="105"/>
                <w:sz w:val="12"/>
              </w:rPr>
              <w:t>3.206,71</w:t>
            </w:r>
          </w:p>
        </w:tc>
        <w:tc>
          <w:tcPr>
            <w:tcW w:w="746" w:type="dxa"/>
          </w:tcPr>
          <w:p>
            <w:pPr>
              <w:pStyle w:val="TableParagraph"/>
              <w:spacing w:line="127" w:lineRule="exact" w:before="4"/>
              <w:ind w:right="44"/>
              <w:jc w:val="right"/>
              <w:rPr>
                <w:sz w:val="12"/>
              </w:rPr>
            </w:pPr>
            <w:r>
              <w:rPr>
                <w:sz w:val="12"/>
              </w:rPr>
              <w:t>0,00</w:t>
            </w:r>
          </w:p>
        </w:tc>
        <w:tc>
          <w:tcPr>
            <w:tcW w:w="552" w:type="dxa"/>
          </w:tcPr>
          <w:p>
            <w:pPr>
              <w:pStyle w:val="TableParagraph"/>
              <w:spacing w:line="127" w:lineRule="exact" w:before="4"/>
              <w:ind w:right="43"/>
              <w:jc w:val="right"/>
              <w:rPr>
                <w:sz w:val="12"/>
              </w:rPr>
            </w:pPr>
            <w:r>
              <w:rPr>
                <w:sz w:val="12"/>
              </w:rPr>
              <w:t>0,00</w:t>
            </w:r>
          </w:p>
        </w:tc>
        <w:tc>
          <w:tcPr>
            <w:tcW w:w="731" w:type="dxa"/>
          </w:tcPr>
          <w:p>
            <w:pPr>
              <w:pStyle w:val="TableParagraph"/>
              <w:spacing w:line="127" w:lineRule="exact" w:before="4"/>
              <w:ind w:right="45"/>
              <w:jc w:val="right"/>
              <w:rPr>
                <w:sz w:val="12"/>
              </w:rPr>
            </w:pPr>
            <w:r>
              <w:rPr>
                <w:sz w:val="12"/>
              </w:rPr>
              <w:t>0,00</w:t>
            </w:r>
          </w:p>
        </w:tc>
        <w:tc>
          <w:tcPr>
            <w:tcW w:w="589" w:type="dxa"/>
          </w:tcPr>
          <w:p>
            <w:pPr>
              <w:pStyle w:val="TableParagraph"/>
              <w:spacing w:line="127" w:lineRule="exact" w:before="4"/>
              <w:ind w:right="43"/>
              <w:jc w:val="right"/>
              <w:rPr>
                <w:sz w:val="12"/>
              </w:rPr>
            </w:pPr>
            <w:r>
              <w:rPr>
                <w:sz w:val="12"/>
              </w:rPr>
              <w:t>0,00</w:t>
            </w:r>
          </w:p>
        </w:tc>
        <w:tc>
          <w:tcPr>
            <w:tcW w:w="669" w:type="dxa"/>
          </w:tcPr>
          <w:p>
            <w:pPr>
              <w:pStyle w:val="TableParagraph"/>
              <w:spacing w:line="127" w:lineRule="exact" w:before="4"/>
              <w:ind w:right="44"/>
              <w:jc w:val="right"/>
              <w:rPr>
                <w:sz w:val="12"/>
              </w:rPr>
            </w:pPr>
            <w:r>
              <w:rPr>
                <w:sz w:val="12"/>
              </w:rPr>
              <w:t>0,00</w:t>
            </w:r>
          </w:p>
        </w:tc>
        <w:tc>
          <w:tcPr>
            <w:tcW w:w="574" w:type="dxa"/>
          </w:tcPr>
          <w:p>
            <w:pPr>
              <w:pStyle w:val="TableParagraph"/>
              <w:spacing w:line="127" w:lineRule="exact" w:before="4"/>
              <w:ind w:right="41"/>
              <w:jc w:val="right"/>
              <w:rPr>
                <w:sz w:val="12"/>
              </w:rPr>
            </w:pPr>
            <w:r>
              <w:rPr>
                <w:sz w:val="12"/>
              </w:rPr>
              <w:t>0,00</w:t>
            </w:r>
          </w:p>
        </w:tc>
        <w:tc>
          <w:tcPr>
            <w:tcW w:w="611" w:type="dxa"/>
          </w:tcPr>
          <w:p>
            <w:pPr>
              <w:pStyle w:val="TableParagraph"/>
              <w:spacing w:line="127" w:lineRule="exact" w:before="4"/>
              <w:ind w:right="41"/>
              <w:jc w:val="right"/>
              <w:rPr>
                <w:sz w:val="12"/>
              </w:rPr>
            </w:pPr>
            <w:r>
              <w:rPr>
                <w:sz w:val="12"/>
              </w:rPr>
              <w:t>0,00</w:t>
            </w:r>
          </w:p>
        </w:tc>
        <w:tc>
          <w:tcPr>
            <w:tcW w:w="615" w:type="dxa"/>
          </w:tcPr>
          <w:p>
            <w:pPr>
              <w:pStyle w:val="TableParagraph"/>
              <w:spacing w:line="127" w:lineRule="exact" w:before="4"/>
              <w:ind w:right="40"/>
              <w:jc w:val="right"/>
              <w:rPr>
                <w:sz w:val="12"/>
              </w:rPr>
            </w:pPr>
            <w:r>
              <w:rPr>
                <w:sz w:val="12"/>
              </w:rPr>
              <w:t>0,00</w:t>
            </w:r>
          </w:p>
        </w:tc>
        <w:tc>
          <w:tcPr>
            <w:tcW w:w="525" w:type="dxa"/>
          </w:tcPr>
          <w:p>
            <w:pPr>
              <w:pStyle w:val="TableParagraph"/>
              <w:rPr>
                <w:rFonts w:ascii="Times New Roman"/>
                <w:sz w:val="8"/>
              </w:rPr>
            </w:pPr>
          </w:p>
        </w:tc>
        <w:tc>
          <w:tcPr>
            <w:tcW w:w="698" w:type="dxa"/>
          </w:tcPr>
          <w:p>
            <w:pPr>
              <w:pStyle w:val="TableParagraph"/>
              <w:spacing w:line="127" w:lineRule="exact" w:before="4"/>
              <w:ind w:right="38"/>
              <w:jc w:val="right"/>
              <w:rPr>
                <w:sz w:val="12"/>
              </w:rPr>
            </w:pPr>
            <w:r>
              <w:rPr>
                <w:w w:val="105"/>
                <w:sz w:val="12"/>
              </w:rPr>
              <w:t>3.206,71</w:t>
            </w:r>
          </w:p>
        </w:tc>
      </w:tr>
      <w:tr>
        <w:trPr>
          <w:trHeight w:val="301" w:hRule="atLeast"/>
        </w:trPr>
        <w:tc>
          <w:tcPr>
            <w:tcW w:w="1873" w:type="dxa"/>
          </w:tcPr>
          <w:p>
            <w:pPr>
              <w:pStyle w:val="TableParagraph"/>
              <w:spacing w:before="2"/>
              <w:ind w:left="52"/>
              <w:rPr>
                <w:b/>
                <w:sz w:val="12"/>
              </w:rPr>
            </w:pPr>
            <w:r>
              <w:rPr>
                <w:b/>
                <w:w w:val="105"/>
                <w:sz w:val="12"/>
              </w:rPr>
              <w:t>3.(-) OBLIGACIONES PENDIENTES</w:t>
            </w:r>
          </w:p>
          <w:p>
            <w:pPr>
              <w:pStyle w:val="TableParagraph"/>
              <w:spacing w:line="127" w:lineRule="exact" w:before="6"/>
              <w:ind w:left="52"/>
              <w:rPr>
                <w:b/>
                <w:sz w:val="12"/>
              </w:rPr>
            </w:pPr>
            <w:r>
              <w:rPr>
                <w:b/>
                <w:w w:val="105"/>
                <w:sz w:val="12"/>
              </w:rPr>
              <w:t>DE PAGO</w:t>
            </w:r>
          </w:p>
        </w:tc>
        <w:tc>
          <w:tcPr>
            <w:tcW w:w="590" w:type="dxa"/>
          </w:tcPr>
          <w:p>
            <w:pPr>
              <w:pStyle w:val="TableParagraph"/>
              <w:spacing w:before="78"/>
              <w:ind w:right="42"/>
              <w:jc w:val="right"/>
              <w:rPr>
                <w:sz w:val="12"/>
              </w:rPr>
            </w:pPr>
            <w:r>
              <w:rPr>
                <w:sz w:val="12"/>
              </w:rPr>
              <w:t>201,89</w:t>
            </w:r>
          </w:p>
        </w:tc>
        <w:tc>
          <w:tcPr>
            <w:tcW w:w="592" w:type="dxa"/>
          </w:tcPr>
          <w:p>
            <w:pPr>
              <w:pStyle w:val="TableParagraph"/>
              <w:spacing w:before="78"/>
              <w:ind w:right="45"/>
              <w:jc w:val="right"/>
              <w:rPr>
                <w:sz w:val="12"/>
              </w:rPr>
            </w:pPr>
            <w:r>
              <w:rPr>
                <w:w w:val="105"/>
                <w:sz w:val="12"/>
              </w:rPr>
              <w:t>1.201,18</w:t>
            </w:r>
          </w:p>
        </w:tc>
        <w:tc>
          <w:tcPr>
            <w:tcW w:w="732" w:type="dxa"/>
          </w:tcPr>
          <w:p>
            <w:pPr>
              <w:pStyle w:val="TableParagraph"/>
              <w:spacing w:before="78"/>
              <w:ind w:right="46"/>
              <w:jc w:val="right"/>
              <w:rPr>
                <w:sz w:val="12"/>
              </w:rPr>
            </w:pPr>
            <w:r>
              <w:rPr>
                <w:w w:val="105"/>
                <w:sz w:val="12"/>
              </w:rPr>
              <w:t>148.796,27</w:t>
            </w:r>
          </w:p>
        </w:tc>
        <w:tc>
          <w:tcPr>
            <w:tcW w:w="263" w:type="dxa"/>
          </w:tcPr>
          <w:p>
            <w:pPr>
              <w:pStyle w:val="TableParagraph"/>
              <w:rPr>
                <w:rFonts w:ascii="Times New Roman"/>
                <w:sz w:val="12"/>
              </w:rPr>
            </w:pPr>
          </w:p>
        </w:tc>
        <w:tc>
          <w:tcPr>
            <w:tcW w:w="638" w:type="dxa"/>
          </w:tcPr>
          <w:p>
            <w:pPr>
              <w:pStyle w:val="TableParagraph"/>
              <w:spacing w:before="78"/>
              <w:ind w:right="45"/>
              <w:jc w:val="right"/>
              <w:rPr>
                <w:sz w:val="12"/>
              </w:rPr>
            </w:pPr>
            <w:r>
              <w:rPr>
                <w:sz w:val="12"/>
              </w:rPr>
              <w:t>942,71</w:t>
            </w:r>
          </w:p>
        </w:tc>
        <w:tc>
          <w:tcPr>
            <w:tcW w:w="638" w:type="dxa"/>
          </w:tcPr>
          <w:p>
            <w:pPr>
              <w:pStyle w:val="TableParagraph"/>
              <w:spacing w:before="78"/>
              <w:ind w:right="46"/>
              <w:jc w:val="right"/>
              <w:rPr>
                <w:sz w:val="12"/>
              </w:rPr>
            </w:pPr>
            <w:r>
              <w:rPr>
                <w:w w:val="105"/>
                <w:sz w:val="12"/>
              </w:rPr>
              <w:t>4.999,31</w:t>
            </w:r>
          </w:p>
        </w:tc>
        <w:tc>
          <w:tcPr>
            <w:tcW w:w="746" w:type="dxa"/>
          </w:tcPr>
          <w:p>
            <w:pPr>
              <w:pStyle w:val="TableParagraph"/>
              <w:spacing w:before="78"/>
              <w:ind w:right="44"/>
              <w:jc w:val="right"/>
              <w:rPr>
                <w:sz w:val="12"/>
              </w:rPr>
            </w:pPr>
            <w:r>
              <w:rPr>
                <w:w w:val="105"/>
                <w:sz w:val="12"/>
              </w:rPr>
              <w:t>192.487,79</w:t>
            </w:r>
          </w:p>
        </w:tc>
        <w:tc>
          <w:tcPr>
            <w:tcW w:w="552" w:type="dxa"/>
          </w:tcPr>
          <w:p>
            <w:pPr>
              <w:pStyle w:val="TableParagraph"/>
              <w:spacing w:before="78"/>
              <w:ind w:right="43"/>
              <w:jc w:val="right"/>
              <w:rPr>
                <w:sz w:val="12"/>
              </w:rPr>
            </w:pPr>
            <w:r>
              <w:rPr>
                <w:sz w:val="12"/>
              </w:rPr>
              <w:t>96,23</w:t>
            </w:r>
          </w:p>
        </w:tc>
        <w:tc>
          <w:tcPr>
            <w:tcW w:w="731" w:type="dxa"/>
          </w:tcPr>
          <w:p>
            <w:pPr>
              <w:pStyle w:val="TableParagraph"/>
              <w:spacing w:before="78"/>
              <w:ind w:right="45"/>
              <w:jc w:val="right"/>
              <w:rPr>
                <w:sz w:val="12"/>
              </w:rPr>
            </w:pPr>
            <w:r>
              <w:rPr>
                <w:w w:val="105"/>
                <w:sz w:val="12"/>
              </w:rPr>
              <w:t>38.101,65</w:t>
            </w:r>
          </w:p>
        </w:tc>
        <w:tc>
          <w:tcPr>
            <w:tcW w:w="589" w:type="dxa"/>
          </w:tcPr>
          <w:p>
            <w:pPr>
              <w:pStyle w:val="TableParagraph"/>
              <w:spacing w:before="78"/>
              <w:ind w:right="43"/>
              <w:jc w:val="right"/>
              <w:rPr>
                <w:sz w:val="12"/>
              </w:rPr>
            </w:pPr>
            <w:r>
              <w:rPr>
                <w:sz w:val="12"/>
              </w:rPr>
              <w:t>870,38</w:t>
            </w:r>
          </w:p>
        </w:tc>
        <w:tc>
          <w:tcPr>
            <w:tcW w:w="669" w:type="dxa"/>
          </w:tcPr>
          <w:p>
            <w:pPr>
              <w:pStyle w:val="TableParagraph"/>
              <w:spacing w:before="78"/>
              <w:ind w:right="44"/>
              <w:jc w:val="right"/>
              <w:rPr>
                <w:sz w:val="12"/>
              </w:rPr>
            </w:pPr>
            <w:r>
              <w:rPr>
                <w:w w:val="105"/>
                <w:sz w:val="12"/>
              </w:rPr>
              <w:t>1.125,78</w:t>
            </w:r>
          </w:p>
        </w:tc>
        <w:tc>
          <w:tcPr>
            <w:tcW w:w="574" w:type="dxa"/>
          </w:tcPr>
          <w:p>
            <w:pPr>
              <w:pStyle w:val="TableParagraph"/>
              <w:spacing w:before="78"/>
              <w:ind w:right="42"/>
              <w:jc w:val="right"/>
              <w:rPr>
                <w:sz w:val="12"/>
              </w:rPr>
            </w:pPr>
            <w:r>
              <w:rPr>
                <w:sz w:val="12"/>
              </w:rPr>
              <w:t>57,42</w:t>
            </w:r>
          </w:p>
        </w:tc>
        <w:tc>
          <w:tcPr>
            <w:tcW w:w="611" w:type="dxa"/>
          </w:tcPr>
          <w:p>
            <w:pPr>
              <w:pStyle w:val="TableParagraph"/>
              <w:spacing w:before="78"/>
              <w:ind w:right="41"/>
              <w:jc w:val="right"/>
              <w:rPr>
                <w:sz w:val="12"/>
              </w:rPr>
            </w:pPr>
            <w:r>
              <w:rPr>
                <w:w w:val="105"/>
                <w:sz w:val="12"/>
              </w:rPr>
              <w:t>12.406,61</w:t>
            </w:r>
          </w:p>
        </w:tc>
        <w:tc>
          <w:tcPr>
            <w:tcW w:w="615" w:type="dxa"/>
          </w:tcPr>
          <w:p>
            <w:pPr>
              <w:pStyle w:val="TableParagraph"/>
              <w:spacing w:before="78"/>
              <w:ind w:right="40"/>
              <w:jc w:val="right"/>
              <w:rPr>
                <w:sz w:val="12"/>
              </w:rPr>
            </w:pPr>
            <w:r>
              <w:rPr>
                <w:w w:val="105"/>
                <w:sz w:val="12"/>
              </w:rPr>
              <w:t>30.254,55</w:t>
            </w:r>
          </w:p>
        </w:tc>
        <w:tc>
          <w:tcPr>
            <w:tcW w:w="525" w:type="dxa"/>
          </w:tcPr>
          <w:p>
            <w:pPr>
              <w:pStyle w:val="TableParagraph"/>
              <w:rPr>
                <w:rFonts w:ascii="Times New Roman"/>
                <w:sz w:val="12"/>
              </w:rPr>
            </w:pPr>
          </w:p>
        </w:tc>
        <w:tc>
          <w:tcPr>
            <w:tcW w:w="698" w:type="dxa"/>
          </w:tcPr>
          <w:p>
            <w:pPr>
              <w:pStyle w:val="TableParagraph"/>
              <w:spacing w:before="78"/>
              <w:ind w:right="38"/>
              <w:jc w:val="right"/>
              <w:rPr>
                <w:sz w:val="12"/>
              </w:rPr>
            </w:pPr>
            <w:r>
              <w:rPr>
                <w:w w:val="105"/>
                <w:sz w:val="12"/>
              </w:rPr>
              <w:t>431.541,77</w:t>
            </w:r>
          </w:p>
        </w:tc>
      </w:tr>
      <w:tr>
        <w:trPr>
          <w:trHeight w:val="150" w:hRule="atLeast"/>
        </w:trPr>
        <w:tc>
          <w:tcPr>
            <w:tcW w:w="1873" w:type="dxa"/>
          </w:tcPr>
          <w:p>
            <w:pPr>
              <w:pStyle w:val="TableParagraph"/>
              <w:spacing w:line="128" w:lineRule="exact" w:before="2"/>
              <w:ind w:left="52"/>
              <w:rPr>
                <w:sz w:val="12"/>
              </w:rPr>
            </w:pPr>
            <w:r>
              <w:rPr>
                <w:w w:val="105"/>
                <w:sz w:val="12"/>
              </w:rPr>
              <w:t>(+) Del presupuesto corriente</w:t>
            </w:r>
          </w:p>
        </w:tc>
        <w:tc>
          <w:tcPr>
            <w:tcW w:w="590" w:type="dxa"/>
          </w:tcPr>
          <w:p>
            <w:pPr>
              <w:pStyle w:val="TableParagraph"/>
              <w:spacing w:line="128" w:lineRule="exact" w:before="2"/>
              <w:ind w:right="42"/>
              <w:jc w:val="right"/>
              <w:rPr>
                <w:sz w:val="12"/>
              </w:rPr>
            </w:pPr>
            <w:r>
              <w:rPr>
                <w:sz w:val="12"/>
              </w:rPr>
              <w:t>123,06</w:t>
            </w:r>
          </w:p>
        </w:tc>
        <w:tc>
          <w:tcPr>
            <w:tcW w:w="592" w:type="dxa"/>
          </w:tcPr>
          <w:p>
            <w:pPr>
              <w:pStyle w:val="TableParagraph"/>
              <w:spacing w:line="128" w:lineRule="exact" w:before="2"/>
              <w:ind w:right="45"/>
              <w:jc w:val="right"/>
              <w:rPr>
                <w:sz w:val="12"/>
              </w:rPr>
            </w:pPr>
            <w:r>
              <w:rPr>
                <w:w w:val="105"/>
                <w:sz w:val="12"/>
              </w:rPr>
              <w:t>1.075,38</w:t>
            </w:r>
          </w:p>
        </w:tc>
        <w:tc>
          <w:tcPr>
            <w:tcW w:w="732" w:type="dxa"/>
          </w:tcPr>
          <w:p>
            <w:pPr>
              <w:pStyle w:val="TableParagraph"/>
              <w:spacing w:line="128" w:lineRule="exact" w:before="2"/>
              <w:ind w:right="46"/>
              <w:jc w:val="right"/>
              <w:rPr>
                <w:sz w:val="12"/>
              </w:rPr>
            </w:pPr>
            <w:r>
              <w:rPr>
                <w:w w:val="105"/>
                <w:sz w:val="12"/>
              </w:rPr>
              <w:t>147.695,26</w:t>
            </w:r>
          </w:p>
        </w:tc>
        <w:tc>
          <w:tcPr>
            <w:tcW w:w="263" w:type="dxa"/>
          </w:tcPr>
          <w:p>
            <w:pPr>
              <w:pStyle w:val="TableParagraph"/>
              <w:rPr>
                <w:rFonts w:ascii="Times New Roman"/>
                <w:sz w:val="8"/>
              </w:rPr>
            </w:pPr>
          </w:p>
        </w:tc>
        <w:tc>
          <w:tcPr>
            <w:tcW w:w="638" w:type="dxa"/>
          </w:tcPr>
          <w:p>
            <w:pPr>
              <w:pStyle w:val="TableParagraph"/>
              <w:spacing w:line="128" w:lineRule="exact" w:before="2"/>
              <w:ind w:right="45"/>
              <w:jc w:val="right"/>
              <w:rPr>
                <w:sz w:val="12"/>
              </w:rPr>
            </w:pPr>
            <w:r>
              <w:rPr>
                <w:sz w:val="12"/>
              </w:rPr>
              <w:t>477,83</w:t>
            </w:r>
          </w:p>
        </w:tc>
        <w:tc>
          <w:tcPr>
            <w:tcW w:w="638" w:type="dxa"/>
          </w:tcPr>
          <w:p>
            <w:pPr>
              <w:pStyle w:val="TableParagraph"/>
              <w:spacing w:line="128" w:lineRule="exact" w:before="2"/>
              <w:ind w:right="46"/>
              <w:jc w:val="right"/>
              <w:rPr>
                <w:sz w:val="12"/>
              </w:rPr>
            </w:pPr>
            <w:r>
              <w:rPr>
                <w:sz w:val="12"/>
              </w:rPr>
              <w:t>247,23</w:t>
            </w:r>
          </w:p>
        </w:tc>
        <w:tc>
          <w:tcPr>
            <w:tcW w:w="746" w:type="dxa"/>
          </w:tcPr>
          <w:p>
            <w:pPr>
              <w:pStyle w:val="TableParagraph"/>
              <w:spacing w:line="128" w:lineRule="exact" w:before="2"/>
              <w:ind w:right="44"/>
              <w:jc w:val="right"/>
              <w:rPr>
                <w:sz w:val="12"/>
              </w:rPr>
            </w:pPr>
            <w:r>
              <w:rPr>
                <w:w w:val="105"/>
                <w:sz w:val="12"/>
              </w:rPr>
              <w:t>132.585,07</w:t>
            </w:r>
          </w:p>
        </w:tc>
        <w:tc>
          <w:tcPr>
            <w:tcW w:w="552" w:type="dxa"/>
          </w:tcPr>
          <w:p>
            <w:pPr>
              <w:pStyle w:val="TableParagraph"/>
              <w:spacing w:line="128" w:lineRule="exact" w:before="2"/>
              <w:ind w:right="43"/>
              <w:jc w:val="right"/>
              <w:rPr>
                <w:sz w:val="12"/>
              </w:rPr>
            </w:pPr>
            <w:r>
              <w:rPr>
                <w:sz w:val="12"/>
              </w:rPr>
              <w:t>39,33</w:t>
            </w:r>
          </w:p>
        </w:tc>
        <w:tc>
          <w:tcPr>
            <w:tcW w:w="731" w:type="dxa"/>
          </w:tcPr>
          <w:p>
            <w:pPr>
              <w:pStyle w:val="TableParagraph"/>
              <w:spacing w:line="128" w:lineRule="exact" w:before="2"/>
              <w:ind w:right="45"/>
              <w:jc w:val="right"/>
              <w:rPr>
                <w:sz w:val="12"/>
              </w:rPr>
            </w:pPr>
            <w:r>
              <w:rPr>
                <w:w w:val="105"/>
                <w:sz w:val="12"/>
              </w:rPr>
              <w:t>36.827,52</w:t>
            </w:r>
          </w:p>
        </w:tc>
        <w:tc>
          <w:tcPr>
            <w:tcW w:w="589" w:type="dxa"/>
          </w:tcPr>
          <w:p>
            <w:pPr>
              <w:pStyle w:val="TableParagraph"/>
              <w:spacing w:line="128" w:lineRule="exact" w:before="2"/>
              <w:ind w:right="43"/>
              <w:jc w:val="right"/>
              <w:rPr>
                <w:sz w:val="12"/>
              </w:rPr>
            </w:pPr>
            <w:r>
              <w:rPr>
                <w:sz w:val="12"/>
              </w:rPr>
              <w:t>682,14</w:t>
            </w:r>
          </w:p>
        </w:tc>
        <w:tc>
          <w:tcPr>
            <w:tcW w:w="669" w:type="dxa"/>
          </w:tcPr>
          <w:p>
            <w:pPr>
              <w:pStyle w:val="TableParagraph"/>
              <w:spacing w:line="128" w:lineRule="exact" w:before="2"/>
              <w:ind w:right="44"/>
              <w:jc w:val="right"/>
              <w:rPr>
                <w:sz w:val="12"/>
              </w:rPr>
            </w:pPr>
            <w:r>
              <w:rPr>
                <w:sz w:val="12"/>
              </w:rPr>
              <w:t>556,02</w:t>
            </w:r>
          </w:p>
        </w:tc>
        <w:tc>
          <w:tcPr>
            <w:tcW w:w="574" w:type="dxa"/>
          </w:tcPr>
          <w:p>
            <w:pPr>
              <w:pStyle w:val="TableParagraph"/>
              <w:spacing w:line="128" w:lineRule="exact" w:before="2"/>
              <w:ind w:right="42"/>
              <w:jc w:val="right"/>
              <w:rPr>
                <w:sz w:val="12"/>
              </w:rPr>
            </w:pPr>
            <w:r>
              <w:rPr>
                <w:sz w:val="12"/>
              </w:rPr>
              <w:t>21,10</w:t>
            </w:r>
          </w:p>
        </w:tc>
        <w:tc>
          <w:tcPr>
            <w:tcW w:w="611" w:type="dxa"/>
          </w:tcPr>
          <w:p>
            <w:pPr>
              <w:pStyle w:val="TableParagraph"/>
              <w:spacing w:line="128" w:lineRule="exact" w:before="2"/>
              <w:ind w:right="41"/>
              <w:jc w:val="right"/>
              <w:rPr>
                <w:sz w:val="12"/>
              </w:rPr>
            </w:pPr>
            <w:r>
              <w:rPr>
                <w:w w:val="105"/>
                <w:sz w:val="12"/>
              </w:rPr>
              <w:t>12.394,89</w:t>
            </w:r>
          </w:p>
        </w:tc>
        <w:tc>
          <w:tcPr>
            <w:tcW w:w="615" w:type="dxa"/>
          </w:tcPr>
          <w:p>
            <w:pPr>
              <w:pStyle w:val="TableParagraph"/>
              <w:spacing w:line="128" w:lineRule="exact" w:before="2"/>
              <w:ind w:right="40"/>
              <w:jc w:val="right"/>
              <w:rPr>
                <w:sz w:val="12"/>
              </w:rPr>
            </w:pPr>
            <w:r>
              <w:rPr>
                <w:w w:val="105"/>
                <w:sz w:val="12"/>
              </w:rPr>
              <w:t>7.933,33</w:t>
            </w:r>
          </w:p>
        </w:tc>
        <w:tc>
          <w:tcPr>
            <w:tcW w:w="525" w:type="dxa"/>
          </w:tcPr>
          <w:p>
            <w:pPr>
              <w:pStyle w:val="TableParagraph"/>
              <w:rPr>
                <w:rFonts w:ascii="Times New Roman"/>
                <w:sz w:val="8"/>
              </w:rPr>
            </w:pPr>
          </w:p>
        </w:tc>
        <w:tc>
          <w:tcPr>
            <w:tcW w:w="698" w:type="dxa"/>
          </w:tcPr>
          <w:p>
            <w:pPr>
              <w:pStyle w:val="TableParagraph"/>
              <w:spacing w:line="128" w:lineRule="exact" w:before="2"/>
              <w:ind w:right="38"/>
              <w:jc w:val="right"/>
              <w:rPr>
                <w:sz w:val="12"/>
              </w:rPr>
            </w:pPr>
            <w:r>
              <w:rPr>
                <w:w w:val="105"/>
                <w:sz w:val="12"/>
              </w:rPr>
              <w:t>340.658,14</w:t>
            </w:r>
          </w:p>
        </w:tc>
      </w:tr>
      <w:tr>
        <w:trPr>
          <w:trHeight w:val="148" w:hRule="atLeast"/>
        </w:trPr>
        <w:tc>
          <w:tcPr>
            <w:tcW w:w="1873" w:type="dxa"/>
          </w:tcPr>
          <w:p>
            <w:pPr>
              <w:pStyle w:val="TableParagraph"/>
              <w:spacing w:line="127" w:lineRule="exact" w:before="2"/>
              <w:ind w:left="52"/>
              <w:rPr>
                <w:sz w:val="12"/>
              </w:rPr>
            </w:pPr>
            <w:r>
              <w:rPr>
                <w:w w:val="105"/>
                <w:sz w:val="12"/>
              </w:rPr>
              <w:t>(+) Del presupuesto Cerrados</w:t>
            </w:r>
          </w:p>
        </w:tc>
        <w:tc>
          <w:tcPr>
            <w:tcW w:w="590" w:type="dxa"/>
          </w:tcPr>
          <w:p>
            <w:pPr>
              <w:pStyle w:val="TableParagraph"/>
              <w:spacing w:line="127" w:lineRule="exact" w:before="2"/>
              <w:ind w:right="42"/>
              <w:jc w:val="right"/>
              <w:rPr>
                <w:sz w:val="12"/>
              </w:rPr>
            </w:pPr>
            <w:r>
              <w:rPr>
                <w:sz w:val="12"/>
              </w:rPr>
              <w:t>0,00</w:t>
            </w:r>
          </w:p>
        </w:tc>
        <w:tc>
          <w:tcPr>
            <w:tcW w:w="592" w:type="dxa"/>
          </w:tcPr>
          <w:p>
            <w:pPr>
              <w:pStyle w:val="TableParagraph"/>
              <w:spacing w:line="127" w:lineRule="exact" w:before="2"/>
              <w:ind w:right="45"/>
              <w:jc w:val="right"/>
              <w:rPr>
                <w:sz w:val="12"/>
              </w:rPr>
            </w:pPr>
            <w:r>
              <w:rPr>
                <w:sz w:val="12"/>
              </w:rPr>
              <w:t>0,00</w:t>
            </w:r>
          </w:p>
        </w:tc>
        <w:tc>
          <w:tcPr>
            <w:tcW w:w="732" w:type="dxa"/>
          </w:tcPr>
          <w:p>
            <w:pPr>
              <w:pStyle w:val="TableParagraph"/>
              <w:spacing w:line="127" w:lineRule="exact" w:before="2"/>
              <w:ind w:right="45"/>
              <w:jc w:val="right"/>
              <w:rPr>
                <w:sz w:val="12"/>
              </w:rPr>
            </w:pPr>
            <w:r>
              <w:rPr>
                <w:sz w:val="12"/>
              </w:rPr>
              <w:t>0,02</w:t>
            </w:r>
          </w:p>
        </w:tc>
        <w:tc>
          <w:tcPr>
            <w:tcW w:w="263" w:type="dxa"/>
          </w:tcPr>
          <w:p>
            <w:pPr>
              <w:pStyle w:val="TableParagraph"/>
              <w:rPr>
                <w:rFonts w:ascii="Times New Roman"/>
                <w:sz w:val="8"/>
              </w:rPr>
            </w:pPr>
          </w:p>
        </w:tc>
        <w:tc>
          <w:tcPr>
            <w:tcW w:w="638" w:type="dxa"/>
          </w:tcPr>
          <w:p>
            <w:pPr>
              <w:pStyle w:val="TableParagraph"/>
              <w:spacing w:line="127" w:lineRule="exact" w:before="2"/>
              <w:ind w:right="45"/>
              <w:jc w:val="right"/>
              <w:rPr>
                <w:sz w:val="12"/>
              </w:rPr>
            </w:pPr>
            <w:r>
              <w:rPr>
                <w:sz w:val="12"/>
              </w:rPr>
              <w:t>0,03</w:t>
            </w:r>
          </w:p>
        </w:tc>
        <w:tc>
          <w:tcPr>
            <w:tcW w:w="638" w:type="dxa"/>
          </w:tcPr>
          <w:p>
            <w:pPr>
              <w:pStyle w:val="TableParagraph"/>
              <w:spacing w:line="127" w:lineRule="exact" w:before="2"/>
              <w:ind w:right="46"/>
              <w:jc w:val="right"/>
              <w:rPr>
                <w:sz w:val="12"/>
              </w:rPr>
            </w:pPr>
            <w:r>
              <w:rPr>
                <w:sz w:val="12"/>
              </w:rPr>
              <w:t>0,79</w:t>
            </w:r>
          </w:p>
        </w:tc>
        <w:tc>
          <w:tcPr>
            <w:tcW w:w="746" w:type="dxa"/>
          </w:tcPr>
          <w:p>
            <w:pPr>
              <w:pStyle w:val="TableParagraph"/>
              <w:spacing w:line="127" w:lineRule="exact" w:before="2"/>
              <w:ind w:right="44"/>
              <w:jc w:val="right"/>
              <w:rPr>
                <w:sz w:val="12"/>
              </w:rPr>
            </w:pPr>
            <w:r>
              <w:rPr>
                <w:sz w:val="12"/>
              </w:rPr>
              <w:t>15,17</w:t>
            </w:r>
          </w:p>
        </w:tc>
        <w:tc>
          <w:tcPr>
            <w:tcW w:w="552" w:type="dxa"/>
          </w:tcPr>
          <w:p>
            <w:pPr>
              <w:pStyle w:val="TableParagraph"/>
              <w:spacing w:line="127" w:lineRule="exact" w:before="2"/>
              <w:ind w:right="43"/>
              <w:jc w:val="right"/>
              <w:rPr>
                <w:sz w:val="12"/>
              </w:rPr>
            </w:pPr>
            <w:r>
              <w:rPr>
                <w:sz w:val="12"/>
              </w:rPr>
              <w:t>0,00</w:t>
            </w:r>
          </w:p>
        </w:tc>
        <w:tc>
          <w:tcPr>
            <w:tcW w:w="731" w:type="dxa"/>
          </w:tcPr>
          <w:p>
            <w:pPr>
              <w:pStyle w:val="TableParagraph"/>
              <w:spacing w:line="127" w:lineRule="exact" w:before="2"/>
              <w:ind w:right="45"/>
              <w:jc w:val="right"/>
              <w:rPr>
                <w:sz w:val="12"/>
              </w:rPr>
            </w:pPr>
            <w:r>
              <w:rPr>
                <w:sz w:val="12"/>
              </w:rPr>
              <w:t>1,62</w:t>
            </w:r>
          </w:p>
        </w:tc>
        <w:tc>
          <w:tcPr>
            <w:tcW w:w="589" w:type="dxa"/>
          </w:tcPr>
          <w:p>
            <w:pPr>
              <w:pStyle w:val="TableParagraph"/>
              <w:spacing w:line="127" w:lineRule="exact" w:before="2"/>
              <w:ind w:right="43"/>
              <w:jc w:val="right"/>
              <w:rPr>
                <w:sz w:val="12"/>
              </w:rPr>
            </w:pPr>
            <w:r>
              <w:rPr>
                <w:sz w:val="12"/>
              </w:rPr>
              <w:t>1,30</w:t>
            </w:r>
          </w:p>
        </w:tc>
        <w:tc>
          <w:tcPr>
            <w:tcW w:w="669" w:type="dxa"/>
          </w:tcPr>
          <w:p>
            <w:pPr>
              <w:pStyle w:val="TableParagraph"/>
              <w:spacing w:line="127" w:lineRule="exact" w:before="2"/>
              <w:ind w:right="44"/>
              <w:jc w:val="right"/>
              <w:rPr>
                <w:sz w:val="12"/>
              </w:rPr>
            </w:pPr>
            <w:r>
              <w:rPr>
                <w:sz w:val="12"/>
              </w:rPr>
              <w:t>0,07</w:t>
            </w:r>
          </w:p>
        </w:tc>
        <w:tc>
          <w:tcPr>
            <w:tcW w:w="574" w:type="dxa"/>
          </w:tcPr>
          <w:p>
            <w:pPr>
              <w:pStyle w:val="TableParagraph"/>
              <w:spacing w:line="127" w:lineRule="exact" w:before="2"/>
              <w:ind w:right="41"/>
              <w:jc w:val="right"/>
              <w:rPr>
                <w:sz w:val="12"/>
              </w:rPr>
            </w:pPr>
            <w:r>
              <w:rPr>
                <w:sz w:val="12"/>
              </w:rPr>
              <w:t>0,00</w:t>
            </w:r>
          </w:p>
        </w:tc>
        <w:tc>
          <w:tcPr>
            <w:tcW w:w="611" w:type="dxa"/>
          </w:tcPr>
          <w:p>
            <w:pPr>
              <w:pStyle w:val="TableParagraph"/>
              <w:spacing w:line="127" w:lineRule="exact" w:before="2"/>
              <w:ind w:right="41"/>
              <w:jc w:val="right"/>
              <w:rPr>
                <w:sz w:val="12"/>
              </w:rPr>
            </w:pPr>
            <w:r>
              <w:rPr>
                <w:sz w:val="12"/>
              </w:rPr>
              <w:t>0,00</w:t>
            </w:r>
          </w:p>
        </w:tc>
        <w:tc>
          <w:tcPr>
            <w:tcW w:w="615" w:type="dxa"/>
          </w:tcPr>
          <w:p>
            <w:pPr>
              <w:pStyle w:val="TableParagraph"/>
              <w:spacing w:line="127" w:lineRule="exact" w:before="2"/>
              <w:ind w:right="40"/>
              <w:jc w:val="right"/>
              <w:rPr>
                <w:sz w:val="12"/>
              </w:rPr>
            </w:pPr>
            <w:r>
              <w:rPr>
                <w:sz w:val="12"/>
              </w:rPr>
              <w:t>0,00</w:t>
            </w:r>
          </w:p>
        </w:tc>
        <w:tc>
          <w:tcPr>
            <w:tcW w:w="525" w:type="dxa"/>
          </w:tcPr>
          <w:p>
            <w:pPr>
              <w:pStyle w:val="TableParagraph"/>
              <w:rPr>
                <w:rFonts w:ascii="Times New Roman"/>
                <w:sz w:val="8"/>
              </w:rPr>
            </w:pPr>
          </w:p>
        </w:tc>
        <w:tc>
          <w:tcPr>
            <w:tcW w:w="698" w:type="dxa"/>
          </w:tcPr>
          <w:p>
            <w:pPr>
              <w:pStyle w:val="TableParagraph"/>
              <w:spacing w:line="127" w:lineRule="exact" w:before="2"/>
              <w:ind w:right="38"/>
              <w:jc w:val="right"/>
              <w:rPr>
                <w:sz w:val="12"/>
              </w:rPr>
            </w:pPr>
            <w:r>
              <w:rPr>
                <w:sz w:val="12"/>
              </w:rPr>
              <w:t>18,99</w:t>
            </w:r>
          </w:p>
        </w:tc>
      </w:tr>
      <w:tr>
        <w:trPr>
          <w:trHeight w:val="301" w:hRule="atLeast"/>
        </w:trPr>
        <w:tc>
          <w:tcPr>
            <w:tcW w:w="1873" w:type="dxa"/>
          </w:tcPr>
          <w:p>
            <w:pPr>
              <w:pStyle w:val="TableParagraph"/>
              <w:spacing w:before="2"/>
              <w:ind w:left="52"/>
              <w:rPr>
                <w:sz w:val="12"/>
              </w:rPr>
            </w:pPr>
            <w:r>
              <w:rPr>
                <w:w w:val="105"/>
                <w:sz w:val="12"/>
              </w:rPr>
              <w:t>(+) De operaciones no</w:t>
            </w:r>
          </w:p>
          <w:p>
            <w:pPr>
              <w:pStyle w:val="TableParagraph"/>
              <w:spacing w:line="127" w:lineRule="exact" w:before="6"/>
              <w:ind w:left="52"/>
              <w:rPr>
                <w:sz w:val="12"/>
              </w:rPr>
            </w:pPr>
            <w:r>
              <w:rPr>
                <w:w w:val="105"/>
                <w:sz w:val="12"/>
              </w:rPr>
              <w:t>presupuestarias</w:t>
            </w:r>
          </w:p>
        </w:tc>
        <w:tc>
          <w:tcPr>
            <w:tcW w:w="590" w:type="dxa"/>
          </w:tcPr>
          <w:p>
            <w:pPr>
              <w:pStyle w:val="TableParagraph"/>
              <w:spacing w:before="78"/>
              <w:ind w:right="42"/>
              <w:jc w:val="right"/>
              <w:rPr>
                <w:sz w:val="12"/>
              </w:rPr>
            </w:pPr>
            <w:r>
              <w:rPr>
                <w:sz w:val="12"/>
              </w:rPr>
              <w:t>78,83</w:t>
            </w:r>
          </w:p>
        </w:tc>
        <w:tc>
          <w:tcPr>
            <w:tcW w:w="592" w:type="dxa"/>
          </w:tcPr>
          <w:p>
            <w:pPr>
              <w:pStyle w:val="TableParagraph"/>
              <w:spacing w:before="78"/>
              <w:ind w:right="45"/>
              <w:jc w:val="right"/>
              <w:rPr>
                <w:sz w:val="12"/>
              </w:rPr>
            </w:pPr>
            <w:r>
              <w:rPr>
                <w:sz w:val="12"/>
              </w:rPr>
              <w:t>125,80</w:t>
            </w:r>
          </w:p>
        </w:tc>
        <w:tc>
          <w:tcPr>
            <w:tcW w:w="732" w:type="dxa"/>
          </w:tcPr>
          <w:p>
            <w:pPr>
              <w:pStyle w:val="TableParagraph"/>
              <w:spacing w:before="78"/>
              <w:ind w:right="46"/>
              <w:jc w:val="right"/>
              <w:rPr>
                <w:sz w:val="12"/>
              </w:rPr>
            </w:pPr>
            <w:r>
              <w:rPr>
                <w:w w:val="105"/>
                <w:sz w:val="12"/>
              </w:rPr>
              <w:t>1.101,00</w:t>
            </w:r>
          </w:p>
        </w:tc>
        <w:tc>
          <w:tcPr>
            <w:tcW w:w="263" w:type="dxa"/>
          </w:tcPr>
          <w:p>
            <w:pPr>
              <w:pStyle w:val="TableParagraph"/>
              <w:rPr>
                <w:rFonts w:ascii="Times New Roman"/>
                <w:sz w:val="12"/>
              </w:rPr>
            </w:pPr>
          </w:p>
        </w:tc>
        <w:tc>
          <w:tcPr>
            <w:tcW w:w="638" w:type="dxa"/>
          </w:tcPr>
          <w:p>
            <w:pPr>
              <w:pStyle w:val="TableParagraph"/>
              <w:spacing w:before="78"/>
              <w:ind w:right="45"/>
              <w:jc w:val="right"/>
              <w:rPr>
                <w:sz w:val="12"/>
              </w:rPr>
            </w:pPr>
            <w:r>
              <w:rPr>
                <w:sz w:val="12"/>
              </w:rPr>
              <w:t>464,85</w:t>
            </w:r>
          </w:p>
        </w:tc>
        <w:tc>
          <w:tcPr>
            <w:tcW w:w="638" w:type="dxa"/>
          </w:tcPr>
          <w:p>
            <w:pPr>
              <w:pStyle w:val="TableParagraph"/>
              <w:spacing w:before="78"/>
              <w:ind w:right="46"/>
              <w:jc w:val="right"/>
              <w:rPr>
                <w:sz w:val="12"/>
              </w:rPr>
            </w:pPr>
            <w:r>
              <w:rPr>
                <w:sz w:val="12"/>
              </w:rPr>
              <w:t>684,03</w:t>
            </w:r>
          </w:p>
        </w:tc>
        <w:tc>
          <w:tcPr>
            <w:tcW w:w="746" w:type="dxa"/>
          </w:tcPr>
          <w:p>
            <w:pPr>
              <w:pStyle w:val="TableParagraph"/>
              <w:spacing w:before="78"/>
              <w:ind w:right="44"/>
              <w:jc w:val="right"/>
              <w:rPr>
                <w:sz w:val="12"/>
              </w:rPr>
            </w:pPr>
            <w:r>
              <w:rPr>
                <w:w w:val="105"/>
                <w:sz w:val="12"/>
              </w:rPr>
              <w:t>59.887,55</w:t>
            </w:r>
          </w:p>
        </w:tc>
        <w:tc>
          <w:tcPr>
            <w:tcW w:w="552" w:type="dxa"/>
          </w:tcPr>
          <w:p>
            <w:pPr>
              <w:pStyle w:val="TableParagraph"/>
              <w:spacing w:before="78"/>
              <w:ind w:right="43"/>
              <w:jc w:val="right"/>
              <w:rPr>
                <w:sz w:val="12"/>
              </w:rPr>
            </w:pPr>
            <w:r>
              <w:rPr>
                <w:sz w:val="12"/>
              </w:rPr>
              <w:t>56,90</w:t>
            </w:r>
          </w:p>
        </w:tc>
        <w:tc>
          <w:tcPr>
            <w:tcW w:w="731" w:type="dxa"/>
          </w:tcPr>
          <w:p>
            <w:pPr>
              <w:pStyle w:val="TableParagraph"/>
              <w:spacing w:before="78"/>
              <w:ind w:right="45"/>
              <w:jc w:val="right"/>
              <w:rPr>
                <w:sz w:val="12"/>
              </w:rPr>
            </w:pPr>
            <w:r>
              <w:rPr>
                <w:w w:val="105"/>
                <w:sz w:val="12"/>
              </w:rPr>
              <w:t>1.272,52</w:t>
            </w:r>
          </w:p>
        </w:tc>
        <w:tc>
          <w:tcPr>
            <w:tcW w:w="589" w:type="dxa"/>
          </w:tcPr>
          <w:p>
            <w:pPr>
              <w:pStyle w:val="TableParagraph"/>
              <w:spacing w:before="78"/>
              <w:ind w:right="43"/>
              <w:jc w:val="right"/>
              <w:rPr>
                <w:sz w:val="12"/>
              </w:rPr>
            </w:pPr>
            <w:r>
              <w:rPr>
                <w:sz w:val="12"/>
              </w:rPr>
              <w:t>186,95</w:t>
            </w:r>
          </w:p>
        </w:tc>
        <w:tc>
          <w:tcPr>
            <w:tcW w:w="669" w:type="dxa"/>
          </w:tcPr>
          <w:p>
            <w:pPr>
              <w:pStyle w:val="TableParagraph"/>
              <w:spacing w:before="78"/>
              <w:ind w:right="44"/>
              <w:jc w:val="right"/>
              <w:rPr>
                <w:sz w:val="12"/>
              </w:rPr>
            </w:pPr>
            <w:r>
              <w:rPr>
                <w:sz w:val="12"/>
              </w:rPr>
              <w:t>569,69</w:t>
            </w:r>
          </w:p>
        </w:tc>
        <w:tc>
          <w:tcPr>
            <w:tcW w:w="574" w:type="dxa"/>
          </w:tcPr>
          <w:p>
            <w:pPr>
              <w:pStyle w:val="TableParagraph"/>
              <w:spacing w:before="78"/>
              <w:ind w:right="42"/>
              <w:jc w:val="right"/>
              <w:rPr>
                <w:sz w:val="12"/>
              </w:rPr>
            </w:pPr>
            <w:r>
              <w:rPr>
                <w:sz w:val="12"/>
              </w:rPr>
              <w:t>36,32</w:t>
            </w:r>
          </w:p>
        </w:tc>
        <w:tc>
          <w:tcPr>
            <w:tcW w:w="611" w:type="dxa"/>
          </w:tcPr>
          <w:p>
            <w:pPr>
              <w:pStyle w:val="TableParagraph"/>
              <w:spacing w:before="78"/>
              <w:ind w:right="41"/>
              <w:jc w:val="right"/>
              <w:rPr>
                <w:sz w:val="12"/>
              </w:rPr>
            </w:pPr>
            <w:r>
              <w:rPr>
                <w:sz w:val="12"/>
              </w:rPr>
              <w:t>11,72</w:t>
            </w:r>
          </w:p>
        </w:tc>
        <w:tc>
          <w:tcPr>
            <w:tcW w:w="615" w:type="dxa"/>
          </w:tcPr>
          <w:p>
            <w:pPr>
              <w:pStyle w:val="TableParagraph"/>
              <w:spacing w:before="78"/>
              <w:ind w:right="40"/>
              <w:jc w:val="right"/>
              <w:rPr>
                <w:sz w:val="12"/>
              </w:rPr>
            </w:pPr>
            <w:r>
              <w:rPr>
                <w:w w:val="105"/>
                <w:sz w:val="12"/>
              </w:rPr>
              <w:t>22.321,22</w:t>
            </w:r>
          </w:p>
        </w:tc>
        <w:tc>
          <w:tcPr>
            <w:tcW w:w="525" w:type="dxa"/>
          </w:tcPr>
          <w:p>
            <w:pPr>
              <w:pStyle w:val="TableParagraph"/>
              <w:rPr>
                <w:rFonts w:ascii="Times New Roman"/>
                <w:sz w:val="12"/>
              </w:rPr>
            </w:pPr>
          </w:p>
        </w:tc>
        <w:tc>
          <w:tcPr>
            <w:tcW w:w="698" w:type="dxa"/>
          </w:tcPr>
          <w:p>
            <w:pPr>
              <w:pStyle w:val="TableParagraph"/>
              <w:spacing w:before="78"/>
              <w:ind w:right="38"/>
              <w:jc w:val="right"/>
              <w:rPr>
                <w:sz w:val="12"/>
              </w:rPr>
            </w:pPr>
            <w:r>
              <w:rPr>
                <w:w w:val="105"/>
                <w:sz w:val="12"/>
              </w:rPr>
              <w:t>86.797,38</w:t>
            </w:r>
          </w:p>
        </w:tc>
      </w:tr>
      <w:tr>
        <w:trPr>
          <w:trHeight w:val="150" w:hRule="atLeast"/>
        </w:trPr>
        <w:tc>
          <w:tcPr>
            <w:tcW w:w="1873" w:type="dxa"/>
          </w:tcPr>
          <w:p>
            <w:pPr>
              <w:pStyle w:val="TableParagraph"/>
              <w:spacing w:line="128" w:lineRule="exact" w:before="2"/>
              <w:ind w:left="52"/>
              <w:rPr>
                <w:sz w:val="12"/>
              </w:rPr>
            </w:pPr>
            <w:r>
              <w:rPr>
                <w:w w:val="105"/>
                <w:sz w:val="12"/>
              </w:rPr>
              <w:t>(+) De operaciones Comerciales</w:t>
            </w:r>
          </w:p>
        </w:tc>
        <w:tc>
          <w:tcPr>
            <w:tcW w:w="590" w:type="dxa"/>
          </w:tcPr>
          <w:p>
            <w:pPr>
              <w:pStyle w:val="TableParagraph"/>
              <w:spacing w:line="128" w:lineRule="exact" w:before="2"/>
              <w:ind w:right="42"/>
              <w:jc w:val="right"/>
              <w:rPr>
                <w:sz w:val="12"/>
              </w:rPr>
            </w:pPr>
            <w:r>
              <w:rPr>
                <w:sz w:val="12"/>
              </w:rPr>
              <w:t>0,00</w:t>
            </w:r>
          </w:p>
        </w:tc>
        <w:tc>
          <w:tcPr>
            <w:tcW w:w="592" w:type="dxa"/>
          </w:tcPr>
          <w:p>
            <w:pPr>
              <w:pStyle w:val="TableParagraph"/>
              <w:spacing w:line="128" w:lineRule="exact" w:before="2"/>
              <w:ind w:right="45"/>
              <w:jc w:val="right"/>
              <w:rPr>
                <w:sz w:val="12"/>
              </w:rPr>
            </w:pPr>
            <w:r>
              <w:rPr>
                <w:sz w:val="12"/>
              </w:rPr>
              <w:t>0,00</w:t>
            </w:r>
          </w:p>
        </w:tc>
        <w:tc>
          <w:tcPr>
            <w:tcW w:w="732" w:type="dxa"/>
          </w:tcPr>
          <w:p>
            <w:pPr>
              <w:pStyle w:val="TableParagraph"/>
              <w:spacing w:line="128" w:lineRule="exact" w:before="2"/>
              <w:ind w:right="45"/>
              <w:jc w:val="right"/>
              <w:rPr>
                <w:sz w:val="12"/>
              </w:rPr>
            </w:pPr>
            <w:r>
              <w:rPr>
                <w:sz w:val="12"/>
              </w:rPr>
              <w:t>0,00</w:t>
            </w:r>
          </w:p>
        </w:tc>
        <w:tc>
          <w:tcPr>
            <w:tcW w:w="263" w:type="dxa"/>
          </w:tcPr>
          <w:p>
            <w:pPr>
              <w:pStyle w:val="TableParagraph"/>
              <w:rPr>
                <w:rFonts w:ascii="Times New Roman"/>
                <w:sz w:val="8"/>
              </w:rPr>
            </w:pPr>
          </w:p>
        </w:tc>
        <w:tc>
          <w:tcPr>
            <w:tcW w:w="638" w:type="dxa"/>
          </w:tcPr>
          <w:p>
            <w:pPr>
              <w:pStyle w:val="TableParagraph"/>
              <w:spacing w:line="128" w:lineRule="exact" w:before="2"/>
              <w:ind w:right="45"/>
              <w:jc w:val="right"/>
              <w:rPr>
                <w:sz w:val="12"/>
              </w:rPr>
            </w:pPr>
            <w:r>
              <w:rPr>
                <w:sz w:val="12"/>
              </w:rPr>
              <w:t>0,00</w:t>
            </w:r>
          </w:p>
        </w:tc>
        <w:tc>
          <w:tcPr>
            <w:tcW w:w="638" w:type="dxa"/>
          </w:tcPr>
          <w:p>
            <w:pPr>
              <w:pStyle w:val="TableParagraph"/>
              <w:spacing w:line="128" w:lineRule="exact" w:before="2"/>
              <w:ind w:right="46"/>
              <w:jc w:val="right"/>
              <w:rPr>
                <w:sz w:val="12"/>
              </w:rPr>
            </w:pPr>
            <w:r>
              <w:rPr>
                <w:w w:val="105"/>
                <w:sz w:val="12"/>
              </w:rPr>
              <w:t>4.067,26</w:t>
            </w:r>
          </w:p>
        </w:tc>
        <w:tc>
          <w:tcPr>
            <w:tcW w:w="746" w:type="dxa"/>
          </w:tcPr>
          <w:p>
            <w:pPr>
              <w:pStyle w:val="TableParagraph"/>
              <w:spacing w:line="128" w:lineRule="exact" w:before="2"/>
              <w:ind w:right="44"/>
              <w:jc w:val="right"/>
              <w:rPr>
                <w:sz w:val="12"/>
              </w:rPr>
            </w:pPr>
            <w:r>
              <w:rPr>
                <w:sz w:val="12"/>
              </w:rPr>
              <w:t>0,00</w:t>
            </w:r>
          </w:p>
        </w:tc>
        <w:tc>
          <w:tcPr>
            <w:tcW w:w="552" w:type="dxa"/>
          </w:tcPr>
          <w:p>
            <w:pPr>
              <w:pStyle w:val="TableParagraph"/>
              <w:spacing w:line="128" w:lineRule="exact" w:before="2"/>
              <w:ind w:right="43"/>
              <w:jc w:val="right"/>
              <w:rPr>
                <w:sz w:val="12"/>
              </w:rPr>
            </w:pPr>
            <w:r>
              <w:rPr>
                <w:sz w:val="12"/>
              </w:rPr>
              <w:t>0,00</w:t>
            </w:r>
          </w:p>
        </w:tc>
        <w:tc>
          <w:tcPr>
            <w:tcW w:w="731" w:type="dxa"/>
          </w:tcPr>
          <w:p>
            <w:pPr>
              <w:pStyle w:val="TableParagraph"/>
              <w:spacing w:line="128" w:lineRule="exact" w:before="2"/>
              <w:ind w:right="45"/>
              <w:jc w:val="right"/>
              <w:rPr>
                <w:sz w:val="12"/>
              </w:rPr>
            </w:pPr>
            <w:r>
              <w:rPr>
                <w:sz w:val="12"/>
              </w:rPr>
              <w:t>0,00</w:t>
            </w:r>
          </w:p>
        </w:tc>
        <w:tc>
          <w:tcPr>
            <w:tcW w:w="589" w:type="dxa"/>
          </w:tcPr>
          <w:p>
            <w:pPr>
              <w:pStyle w:val="TableParagraph"/>
              <w:spacing w:line="128" w:lineRule="exact" w:before="2"/>
              <w:ind w:right="43"/>
              <w:jc w:val="right"/>
              <w:rPr>
                <w:sz w:val="12"/>
              </w:rPr>
            </w:pPr>
            <w:r>
              <w:rPr>
                <w:sz w:val="12"/>
              </w:rPr>
              <w:t>0,00</w:t>
            </w:r>
          </w:p>
        </w:tc>
        <w:tc>
          <w:tcPr>
            <w:tcW w:w="669" w:type="dxa"/>
          </w:tcPr>
          <w:p>
            <w:pPr>
              <w:pStyle w:val="TableParagraph"/>
              <w:spacing w:line="128" w:lineRule="exact" w:before="2"/>
              <w:ind w:right="44"/>
              <w:jc w:val="right"/>
              <w:rPr>
                <w:sz w:val="12"/>
              </w:rPr>
            </w:pPr>
            <w:r>
              <w:rPr>
                <w:sz w:val="12"/>
              </w:rPr>
              <w:t>0,00</w:t>
            </w:r>
          </w:p>
        </w:tc>
        <w:tc>
          <w:tcPr>
            <w:tcW w:w="574" w:type="dxa"/>
          </w:tcPr>
          <w:p>
            <w:pPr>
              <w:pStyle w:val="TableParagraph"/>
              <w:spacing w:line="128" w:lineRule="exact" w:before="2"/>
              <w:ind w:right="41"/>
              <w:jc w:val="right"/>
              <w:rPr>
                <w:sz w:val="12"/>
              </w:rPr>
            </w:pPr>
            <w:r>
              <w:rPr>
                <w:sz w:val="12"/>
              </w:rPr>
              <w:t>0,00</w:t>
            </w:r>
          </w:p>
        </w:tc>
        <w:tc>
          <w:tcPr>
            <w:tcW w:w="611" w:type="dxa"/>
          </w:tcPr>
          <w:p>
            <w:pPr>
              <w:pStyle w:val="TableParagraph"/>
              <w:spacing w:line="128" w:lineRule="exact" w:before="2"/>
              <w:ind w:right="41"/>
              <w:jc w:val="right"/>
              <w:rPr>
                <w:sz w:val="12"/>
              </w:rPr>
            </w:pPr>
            <w:r>
              <w:rPr>
                <w:sz w:val="12"/>
              </w:rPr>
              <w:t>0,00</w:t>
            </w:r>
          </w:p>
        </w:tc>
        <w:tc>
          <w:tcPr>
            <w:tcW w:w="615" w:type="dxa"/>
          </w:tcPr>
          <w:p>
            <w:pPr>
              <w:pStyle w:val="TableParagraph"/>
              <w:spacing w:line="128" w:lineRule="exact" w:before="2"/>
              <w:ind w:right="40"/>
              <w:jc w:val="right"/>
              <w:rPr>
                <w:sz w:val="12"/>
              </w:rPr>
            </w:pPr>
            <w:r>
              <w:rPr>
                <w:sz w:val="12"/>
              </w:rPr>
              <w:t>0,00</w:t>
            </w:r>
          </w:p>
        </w:tc>
        <w:tc>
          <w:tcPr>
            <w:tcW w:w="525" w:type="dxa"/>
          </w:tcPr>
          <w:p>
            <w:pPr>
              <w:pStyle w:val="TableParagraph"/>
              <w:rPr>
                <w:rFonts w:ascii="Times New Roman"/>
                <w:sz w:val="8"/>
              </w:rPr>
            </w:pPr>
          </w:p>
        </w:tc>
        <w:tc>
          <w:tcPr>
            <w:tcW w:w="698" w:type="dxa"/>
          </w:tcPr>
          <w:p>
            <w:pPr>
              <w:pStyle w:val="TableParagraph"/>
              <w:spacing w:line="128" w:lineRule="exact" w:before="2"/>
              <w:ind w:right="38"/>
              <w:jc w:val="right"/>
              <w:rPr>
                <w:sz w:val="12"/>
              </w:rPr>
            </w:pPr>
            <w:r>
              <w:rPr>
                <w:w w:val="105"/>
                <w:sz w:val="12"/>
              </w:rPr>
              <w:t>4.067,26</w:t>
            </w:r>
          </w:p>
        </w:tc>
      </w:tr>
      <w:tr>
        <w:trPr>
          <w:trHeight w:val="299" w:hRule="atLeast"/>
        </w:trPr>
        <w:tc>
          <w:tcPr>
            <w:tcW w:w="1873" w:type="dxa"/>
          </w:tcPr>
          <w:p>
            <w:pPr>
              <w:pStyle w:val="TableParagraph"/>
              <w:spacing w:before="2"/>
              <w:ind w:left="52"/>
              <w:rPr>
                <w:b/>
                <w:sz w:val="12"/>
              </w:rPr>
            </w:pPr>
            <w:r>
              <w:rPr>
                <w:b/>
                <w:w w:val="105"/>
                <w:sz w:val="12"/>
              </w:rPr>
              <w:t>4.(+) PARTIDAS PENDIENTES DE</w:t>
            </w:r>
          </w:p>
          <w:p>
            <w:pPr>
              <w:pStyle w:val="TableParagraph"/>
              <w:spacing w:line="127" w:lineRule="exact" w:before="4"/>
              <w:ind w:left="52"/>
              <w:rPr>
                <w:b/>
                <w:sz w:val="12"/>
              </w:rPr>
            </w:pPr>
            <w:r>
              <w:rPr>
                <w:b/>
                <w:w w:val="105"/>
                <w:sz w:val="12"/>
              </w:rPr>
              <w:t>APLICACIÓN</w:t>
            </w:r>
          </w:p>
        </w:tc>
        <w:tc>
          <w:tcPr>
            <w:tcW w:w="590" w:type="dxa"/>
          </w:tcPr>
          <w:p>
            <w:pPr>
              <w:pStyle w:val="TableParagraph"/>
              <w:spacing w:before="76"/>
              <w:ind w:right="42"/>
              <w:jc w:val="right"/>
              <w:rPr>
                <w:sz w:val="12"/>
              </w:rPr>
            </w:pPr>
            <w:r>
              <w:rPr>
                <w:w w:val="105"/>
                <w:sz w:val="12"/>
              </w:rPr>
              <w:t>-0,65</w:t>
            </w:r>
          </w:p>
        </w:tc>
        <w:tc>
          <w:tcPr>
            <w:tcW w:w="592" w:type="dxa"/>
          </w:tcPr>
          <w:p>
            <w:pPr>
              <w:pStyle w:val="TableParagraph"/>
              <w:spacing w:before="76"/>
              <w:ind w:right="45"/>
              <w:jc w:val="right"/>
              <w:rPr>
                <w:sz w:val="12"/>
              </w:rPr>
            </w:pPr>
            <w:r>
              <w:rPr>
                <w:sz w:val="12"/>
              </w:rPr>
              <w:t>0,05</w:t>
            </w:r>
          </w:p>
        </w:tc>
        <w:tc>
          <w:tcPr>
            <w:tcW w:w="732" w:type="dxa"/>
          </w:tcPr>
          <w:p>
            <w:pPr>
              <w:pStyle w:val="TableParagraph"/>
              <w:spacing w:before="76"/>
              <w:ind w:right="45"/>
              <w:jc w:val="right"/>
              <w:rPr>
                <w:sz w:val="12"/>
              </w:rPr>
            </w:pPr>
            <w:r>
              <w:rPr>
                <w:w w:val="105"/>
                <w:sz w:val="12"/>
              </w:rPr>
              <w:t>-789,71</w:t>
            </w:r>
          </w:p>
        </w:tc>
        <w:tc>
          <w:tcPr>
            <w:tcW w:w="263" w:type="dxa"/>
          </w:tcPr>
          <w:p>
            <w:pPr>
              <w:pStyle w:val="TableParagraph"/>
              <w:rPr>
                <w:rFonts w:ascii="Times New Roman"/>
                <w:sz w:val="12"/>
              </w:rPr>
            </w:pPr>
          </w:p>
        </w:tc>
        <w:tc>
          <w:tcPr>
            <w:tcW w:w="638" w:type="dxa"/>
          </w:tcPr>
          <w:p>
            <w:pPr>
              <w:pStyle w:val="TableParagraph"/>
              <w:spacing w:before="76"/>
              <w:ind w:right="45"/>
              <w:jc w:val="right"/>
              <w:rPr>
                <w:sz w:val="12"/>
              </w:rPr>
            </w:pPr>
            <w:r>
              <w:rPr>
                <w:w w:val="105"/>
                <w:sz w:val="12"/>
              </w:rPr>
              <w:t>-1,23</w:t>
            </w:r>
          </w:p>
        </w:tc>
        <w:tc>
          <w:tcPr>
            <w:tcW w:w="638" w:type="dxa"/>
          </w:tcPr>
          <w:p>
            <w:pPr>
              <w:pStyle w:val="TableParagraph"/>
              <w:spacing w:before="76"/>
              <w:ind w:right="46"/>
              <w:jc w:val="right"/>
              <w:rPr>
                <w:sz w:val="12"/>
              </w:rPr>
            </w:pPr>
            <w:r>
              <w:rPr>
                <w:sz w:val="12"/>
              </w:rPr>
              <w:t>0,00</w:t>
            </w:r>
          </w:p>
        </w:tc>
        <w:tc>
          <w:tcPr>
            <w:tcW w:w="746" w:type="dxa"/>
          </w:tcPr>
          <w:p>
            <w:pPr>
              <w:pStyle w:val="TableParagraph"/>
              <w:spacing w:before="76"/>
              <w:ind w:right="44"/>
              <w:jc w:val="right"/>
              <w:rPr>
                <w:sz w:val="12"/>
              </w:rPr>
            </w:pPr>
            <w:r>
              <w:rPr>
                <w:w w:val="105"/>
                <w:sz w:val="12"/>
              </w:rPr>
              <w:t>-757,46</w:t>
            </w:r>
          </w:p>
        </w:tc>
        <w:tc>
          <w:tcPr>
            <w:tcW w:w="552" w:type="dxa"/>
          </w:tcPr>
          <w:p>
            <w:pPr>
              <w:pStyle w:val="TableParagraph"/>
              <w:spacing w:before="76"/>
              <w:ind w:right="43"/>
              <w:jc w:val="right"/>
              <w:rPr>
                <w:sz w:val="12"/>
              </w:rPr>
            </w:pPr>
            <w:r>
              <w:rPr>
                <w:w w:val="105"/>
                <w:sz w:val="12"/>
              </w:rPr>
              <w:t>-0,87</w:t>
            </w:r>
          </w:p>
        </w:tc>
        <w:tc>
          <w:tcPr>
            <w:tcW w:w="731" w:type="dxa"/>
          </w:tcPr>
          <w:p>
            <w:pPr>
              <w:pStyle w:val="TableParagraph"/>
              <w:spacing w:before="76"/>
              <w:ind w:right="45"/>
              <w:jc w:val="right"/>
              <w:rPr>
                <w:sz w:val="12"/>
              </w:rPr>
            </w:pPr>
            <w:r>
              <w:rPr>
                <w:w w:val="105"/>
                <w:sz w:val="12"/>
              </w:rPr>
              <w:t>-123.573,89</w:t>
            </w:r>
          </w:p>
        </w:tc>
        <w:tc>
          <w:tcPr>
            <w:tcW w:w="589" w:type="dxa"/>
          </w:tcPr>
          <w:p>
            <w:pPr>
              <w:pStyle w:val="TableParagraph"/>
              <w:spacing w:before="76"/>
              <w:ind w:right="43"/>
              <w:jc w:val="right"/>
              <w:rPr>
                <w:sz w:val="12"/>
              </w:rPr>
            </w:pPr>
            <w:r>
              <w:rPr>
                <w:sz w:val="12"/>
              </w:rPr>
              <w:t>127,02</w:t>
            </w:r>
          </w:p>
        </w:tc>
        <w:tc>
          <w:tcPr>
            <w:tcW w:w="669" w:type="dxa"/>
          </w:tcPr>
          <w:p>
            <w:pPr>
              <w:pStyle w:val="TableParagraph"/>
              <w:spacing w:before="76"/>
              <w:ind w:right="44"/>
              <w:jc w:val="right"/>
              <w:rPr>
                <w:sz w:val="12"/>
              </w:rPr>
            </w:pPr>
            <w:r>
              <w:rPr>
                <w:w w:val="105"/>
                <w:sz w:val="12"/>
              </w:rPr>
              <w:t>-7.251,34</w:t>
            </w:r>
          </w:p>
        </w:tc>
        <w:tc>
          <w:tcPr>
            <w:tcW w:w="574" w:type="dxa"/>
          </w:tcPr>
          <w:p>
            <w:pPr>
              <w:pStyle w:val="TableParagraph"/>
              <w:spacing w:before="76"/>
              <w:ind w:right="41"/>
              <w:jc w:val="right"/>
              <w:rPr>
                <w:sz w:val="12"/>
              </w:rPr>
            </w:pPr>
            <w:r>
              <w:rPr>
                <w:w w:val="105"/>
                <w:sz w:val="12"/>
              </w:rPr>
              <w:t>-1,27</w:t>
            </w:r>
          </w:p>
        </w:tc>
        <w:tc>
          <w:tcPr>
            <w:tcW w:w="611" w:type="dxa"/>
          </w:tcPr>
          <w:p>
            <w:pPr>
              <w:pStyle w:val="TableParagraph"/>
              <w:spacing w:before="76"/>
              <w:ind w:right="41"/>
              <w:jc w:val="right"/>
              <w:rPr>
                <w:sz w:val="12"/>
              </w:rPr>
            </w:pPr>
            <w:r>
              <w:rPr>
                <w:sz w:val="12"/>
              </w:rPr>
              <w:t>0,00</w:t>
            </w:r>
          </w:p>
        </w:tc>
        <w:tc>
          <w:tcPr>
            <w:tcW w:w="615" w:type="dxa"/>
          </w:tcPr>
          <w:p>
            <w:pPr>
              <w:pStyle w:val="TableParagraph"/>
              <w:spacing w:before="76"/>
              <w:ind w:right="40"/>
              <w:jc w:val="right"/>
              <w:rPr>
                <w:sz w:val="12"/>
              </w:rPr>
            </w:pPr>
            <w:r>
              <w:rPr>
                <w:w w:val="105"/>
                <w:sz w:val="12"/>
              </w:rPr>
              <w:t>1.141,79</w:t>
            </w:r>
          </w:p>
        </w:tc>
        <w:tc>
          <w:tcPr>
            <w:tcW w:w="525" w:type="dxa"/>
          </w:tcPr>
          <w:p>
            <w:pPr>
              <w:pStyle w:val="TableParagraph"/>
              <w:rPr>
                <w:rFonts w:ascii="Times New Roman"/>
                <w:sz w:val="12"/>
              </w:rPr>
            </w:pPr>
          </w:p>
        </w:tc>
        <w:tc>
          <w:tcPr>
            <w:tcW w:w="698" w:type="dxa"/>
          </w:tcPr>
          <w:p>
            <w:pPr>
              <w:pStyle w:val="TableParagraph"/>
              <w:spacing w:before="2"/>
              <w:ind w:right="39"/>
              <w:jc w:val="right"/>
              <w:rPr>
                <w:sz w:val="12"/>
              </w:rPr>
            </w:pPr>
            <w:r>
              <w:rPr>
                <w:w w:val="104"/>
                <w:sz w:val="12"/>
              </w:rPr>
              <w:t>-</w:t>
            </w:r>
          </w:p>
          <w:p>
            <w:pPr>
              <w:pStyle w:val="TableParagraph"/>
              <w:spacing w:line="127" w:lineRule="exact" w:before="4"/>
              <w:ind w:right="38"/>
              <w:jc w:val="right"/>
              <w:rPr>
                <w:sz w:val="12"/>
              </w:rPr>
            </w:pPr>
            <w:r>
              <w:rPr>
                <w:w w:val="105"/>
                <w:sz w:val="12"/>
              </w:rPr>
              <w:t>131.107,55</w:t>
            </w:r>
          </w:p>
        </w:tc>
      </w:tr>
      <w:tr>
        <w:trPr>
          <w:trHeight w:val="301" w:hRule="atLeast"/>
        </w:trPr>
        <w:tc>
          <w:tcPr>
            <w:tcW w:w="1873" w:type="dxa"/>
          </w:tcPr>
          <w:p>
            <w:pPr>
              <w:pStyle w:val="TableParagraph"/>
              <w:spacing w:before="4"/>
              <w:ind w:left="52"/>
              <w:rPr>
                <w:sz w:val="12"/>
              </w:rPr>
            </w:pPr>
            <w:r>
              <w:rPr>
                <w:w w:val="105"/>
                <w:sz w:val="12"/>
              </w:rPr>
              <w:t>(-) Cobros realizados pendientes</w:t>
            </w:r>
          </w:p>
          <w:p>
            <w:pPr>
              <w:pStyle w:val="TableParagraph"/>
              <w:spacing w:line="127" w:lineRule="exact" w:before="4"/>
              <w:ind w:left="52"/>
              <w:rPr>
                <w:sz w:val="12"/>
              </w:rPr>
            </w:pPr>
            <w:r>
              <w:rPr>
                <w:w w:val="105"/>
                <w:sz w:val="12"/>
              </w:rPr>
              <w:t>de aplicación definitiva</w:t>
            </w:r>
          </w:p>
        </w:tc>
        <w:tc>
          <w:tcPr>
            <w:tcW w:w="590" w:type="dxa"/>
          </w:tcPr>
          <w:p>
            <w:pPr>
              <w:pStyle w:val="TableParagraph"/>
              <w:spacing w:before="78"/>
              <w:ind w:right="42"/>
              <w:jc w:val="right"/>
              <w:rPr>
                <w:sz w:val="12"/>
              </w:rPr>
            </w:pPr>
            <w:r>
              <w:rPr>
                <w:sz w:val="12"/>
              </w:rPr>
              <w:t>0,65</w:t>
            </w:r>
          </w:p>
        </w:tc>
        <w:tc>
          <w:tcPr>
            <w:tcW w:w="592" w:type="dxa"/>
          </w:tcPr>
          <w:p>
            <w:pPr>
              <w:pStyle w:val="TableParagraph"/>
              <w:spacing w:before="78"/>
              <w:ind w:right="45"/>
              <w:jc w:val="right"/>
              <w:rPr>
                <w:sz w:val="12"/>
              </w:rPr>
            </w:pPr>
            <w:r>
              <w:rPr>
                <w:w w:val="105"/>
                <w:sz w:val="12"/>
              </w:rPr>
              <w:t>-0,05</w:t>
            </w:r>
          </w:p>
        </w:tc>
        <w:tc>
          <w:tcPr>
            <w:tcW w:w="732" w:type="dxa"/>
          </w:tcPr>
          <w:p>
            <w:pPr>
              <w:pStyle w:val="TableParagraph"/>
              <w:spacing w:before="78"/>
              <w:ind w:right="45"/>
              <w:jc w:val="right"/>
              <w:rPr>
                <w:sz w:val="12"/>
              </w:rPr>
            </w:pPr>
            <w:r>
              <w:rPr>
                <w:sz w:val="12"/>
              </w:rPr>
              <w:t>789,71</w:t>
            </w:r>
          </w:p>
        </w:tc>
        <w:tc>
          <w:tcPr>
            <w:tcW w:w="263" w:type="dxa"/>
          </w:tcPr>
          <w:p>
            <w:pPr>
              <w:pStyle w:val="TableParagraph"/>
              <w:rPr>
                <w:rFonts w:ascii="Times New Roman"/>
                <w:sz w:val="12"/>
              </w:rPr>
            </w:pPr>
          </w:p>
        </w:tc>
        <w:tc>
          <w:tcPr>
            <w:tcW w:w="638" w:type="dxa"/>
          </w:tcPr>
          <w:p>
            <w:pPr>
              <w:pStyle w:val="TableParagraph"/>
              <w:spacing w:before="78"/>
              <w:ind w:right="45"/>
              <w:jc w:val="right"/>
              <w:rPr>
                <w:sz w:val="12"/>
              </w:rPr>
            </w:pPr>
            <w:r>
              <w:rPr>
                <w:sz w:val="12"/>
              </w:rPr>
              <w:t>1,23</w:t>
            </w:r>
          </w:p>
        </w:tc>
        <w:tc>
          <w:tcPr>
            <w:tcW w:w="638" w:type="dxa"/>
          </w:tcPr>
          <w:p>
            <w:pPr>
              <w:pStyle w:val="TableParagraph"/>
              <w:spacing w:before="78"/>
              <w:ind w:right="46"/>
              <w:jc w:val="right"/>
              <w:rPr>
                <w:sz w:val="12"/>
              </w:rPr>
            </w:pPr>
            <w:r>
              <w:rPr>
                <w:sz w:val="12"/>
              </w:rPr>
              <w:t>0,00</w:t>
            </w:r>
          </w:p>
        </w:tc>
        <w:tc>
          <w:tcPr>
            <w:tcW w:w="746" w:type="dxa"/>
          </w:tcPr>
          <w:p>
            <w:pPr>
              <w:pStyle w:val="TableParagraph"/>
              <w:spacing w:before="78"/>
              <w:ind w:right="44"/>
              <w:jc w:val="right"/>
              <w:rPr>
                <w:sz w:val="12"/>
              </w:rPr>
            </w:pPr>
            <w:r>
              <w:rPr>
                <w:sz w:val="12"/>
              </w:rPr>
              <w:t>757,46</w:t>
            </w:r>
          </w:p>
        </w:tc>
        <w:tc>
          <w:tcPr>
            <w:tcW w:w="552" w:type="dxa"/>
          </w:tcPr>
          <w:p>
            <w:pPr>
              <w:pStyle w:val="TableParagraph"/>
              <w:spacing w:before="78"/>
              <w:ind w:right="43"/>
              <w:jc w:val="right"/>
              <w:rPr>
                <w:sz w:val="12"/>
              </w:rPr>
            </w:pPr>
            <w:r>
              <w:rPr>
                <w:sz w:val="12"/>
              </w:rPr>
              <w:t>0,87</w:t>
            </w:r>
          </w:p>
        </w:tc>
        <w:tc>
          <w:tcPr>
            <w:tcW w:w="731" w:type="dxa"/>
          </w:tcPr>
          <w:p>
            <w:pPr>
              <w:pStyle w:val="TableParagraph"/>
              <w:spacing w:before="78"/>
              <w:ind w:right="45"/>
              <w:jc w:val="right"/>
              <w:rPr>
                <w:sz w:val="12"/>
              </w:rPr>
            </w:pPr>
            <w:r>
              <w:rPr>
                <w:w w:val="105"/>
                <w:sz w:val="12"/>
              </w:rPr>
              <w:t>123.576,89</w:t>
            </w:r>
          </w:p>
        </w:tc>
        <w:tc>
          <w:tcPr>
            <w:tcW w:w="589" w:type="dxa"/>
          </w:tcPr>
          <w:p>
            <w:pPr>
              <w:pStyle w:val="TableParagraph"/>
              <w:spacing w:before="78"/>
              <w:ind w:right="43"/>
              <w:jc w:val="right"/>
              <w:rPr>
                <w:sz w:val="12"/>
              </w:rPr>
            </w:pPr>
            <w:r>
              <w:rPr>
                <w:w w:val="105"/>
                <w:sz w:val="12"/>
              </w:rPr>
              <w:t>-127,02</w:t>
            </w:r>
          </w:p>
        </w:tc>
        <w:tc>
          <w:tcPr>
            <w:tcW w:w="669" w:type="dxa"/>
          </w:tcPr>
          <w:p>
            <w:pPr>
              <w:pStyle w:val="TableParagraph"/>
              <w:spacing w:before="78"/>
              <w:ind w:right="44"/>
              <w:jc w:val="right"/>
              <w:rPr>
                <w:sz w:val="12"/>
              </w:rPr>
            </w:pPr>
            <w:r>
              <w:rPr>
                <w:w w:val="105"/>
                <w:sz w:val="12"/>
              </w:rPr>
              <w:t>7.251,34</w:t>
            </w:r>
          </w:p>
        </w:tc>
        <w:tc>
          <w:tcPr>
            <w:tcW w:w="574" w:type="dxa"/>
          </w:tcPr>
          <w:p>
            <w:pPr>
              <w:pStyle w:val="TableParagraph"/>
              <w:spacing w:before="78"/>
              <w:ind w:right="41"/>
              <w:jc w:val="right"/>
              <w:rPr>
                <w:sz w:val="12"/>
              </w:rPr>
            </w:pPr>
            <w:r>
              <w:rPr>
                <w:sz w:val="12"/>
              </w:rPr>
              <w:t>1,27</w:t>
            </w:r>
          </w:p>
        </w:tc>
        <w:tc>
          <w:tcPr>
            <w:tcW w:w="611" w:type="dxa"/>
          </w:tcPr>
          <w:p>
            <w:pPr>
              <w:pStyle w:val="TableParagraph"/>
              <w:spacing w:before="78"/>
              <w:ind w:right="41"/>
              <w:jc w:val="right"/>
              <w:rPr>
                <w:sz w:val="12"/>
              </w:rPr>
            </w:pPr>
            <w:r>
              <w:rPr>
                <w:sz w:val="12"/>
              </w:rPr>
              <w:t>0,00</w:t>
            </w:r>
          </w:p>
        </w:tc>
        <w:tc>
          <w:tcPr>
            <w:tcW w:w="615" w:type="dxa"/>
          </w:tcPr>
          <w:p>
            <w:pPr>
              <w:pStyle w:val="TableParagraph"/>
              <w:spacing w:before="78"/>
              <w:ind w:right="40"/>
              <w:jc w:val="right"/>
              <w:rPr>
                <w:sz w:val="12"/>
              </w:rPr>
            </w:pPr>
            <w:r>
              <w:rPr>
                <w:w w:val="105"/>
                <w:sz w:val="12"/>
              </w:rPr>
              <w:t>-1.141,79</w:t>
            </w:r>
          </w:p>
        </w:tc>
        <w:tc>
          <w:tcPr>
            <w:tcW w:w="525" w:type="dxa"/>
          </w:tcPr>
          <w:p>
            <w:pPr>
              <w:pStyle w:val="TableParagraph"/>
              <w:rPr>
                <w:rFonts w:ascii="Times New Roman"/>
                <w:sz w:val="12"/>
              </w:rPr>
            </w:pPr>
          </w:p>
        </w:tc>
        <w:tc>
          <w:tcPr>
            <w:tcW w:w="698" w:type="dxa"/>
          </w:tcPr>
          <w:p>
            <w:pPr>
              <w:pStyle w:val="TableParagraph"/>
              <w:spacing w:before="78"/>
              <w:ind w:right="38"/>
              <w:jc w:val="right"/>
              <w:rPr>
                <w:sz w:val="12"/>
              </w:rPr>
            </w:pPr>
            <w:r>
              <w:rPr>
                <w:w w:val="105"/>
                <w:sz w:val="12"/>
              </w:rPr>
              <w:t>131.110,56</w:t>
            </w:r>
          </w:p>
        </w:tc>
      </w:tr>
      <w:tr>
        <w:trPr>
          <w:trHeight w:val="301" w:hRule="atLeast"/>
        </w:trPr>
        <w:tc>
          <w:tcPr>
            <w:tcW w:w="1873" w:type="dxa"/>
          </w:tcPr>
          <w:p>
            <w:pPr>
              <w:pStyle w:val="TableParagraph"/>
              <w:spacing w:before="4"/>
              <w:ind w:left="52"/>
              <w:rPr>
                <w:sz w:val="12"/>
              </w:rPr>
            </w:pPr>
            <w:r>
              <w:rPr>
                <w:w w:val="105"/>
                <w:sz w:val="12"/>
              </w:rPr>
              <w:t>(+) Pagos realizados pendientes de</w:t>
            </w:r>
          </w:p>
          <w:p>
            <w:pPr>
              <w:pStyle w:val="TableParagraph"/>
              <w:spacing w:line="127" w:lineRule="exact" w:before="4"/>
              <w:ind w:left="52"/>
              <w:rPr>
                <w:sz w:val="12"/>
              </w:rPr>
            </w:pPr>
            <w:r>
              <w:rPr>
                <w:w w:val="105"/>
                <w:sz w:val="12"/>
              </w:rPr>
              <w:t>aplicación definitiva</w:t>
            </w:r>
          </w:p>
        </w:tc>
        <w:tc>
          <w:tcPr>
            <w:tcW w:w="590" w:type="dxa"/>
          </w:tcPr>
          <w:p>
            <w:pPr>
              <w:pStyle w:val="TableParagraph"/>
              <w:spacing w:before="78"/>
              <w:ind w:right="42"/>
              <w:jc w:val="right"/>
              <w:rPr>
                <w:sz w:val="12"/>
              </w:rPr>
            </w:pPr>
            <w:r>
              <w:rPr>
                <w:sz w:val="12"/>
              </w:rPr>
              <w:t>0,00</w:t>
            </w:r>
          </w:p>
        </w:tc>
        <w:tc>
          <w:tcPr>
            <w:tcW w:w="592" w:type="dxa"/>
          </w:tcPr>
          <w:p>
            <w:pPr>
              <w:pStyle w:val="TableParagraph"/>
              <w:spacing w:before="78"/>
              <w:ind w:right="45"/>
              <w:jc w:val="right"/>
              <w:rPr>
                <w:sz w:val="12"/>
              </w:rPr>
            </w:pPr>
            <w:r>
              <w:rPr>
                <w:sz w:val="12"/>
              </w:rPr>
              <w:t>0,00</w:t>
            </w:r>
          </w:p>
        </w:tc>
        <w:tc>
          <w:tcPr>
            <w:tcW w:w="732" w:type="dxa"/>
          </w:tcPr>
          <w:p>
            <w:pPr>
              <w:pStyle w:val="TableParagraph"/>
              <w:spacing w:before="78"/>
              <w:ind w:right="45"/>
              <w:jc w:val="right"/>
              <w:rPr>
                <w:sz w:val="12"/>
              </w:rPr>
            </w:pPr>
            <w:r>
              <w:rPr>
                <w:sz w:val="12"/>
              </w:rPr>
              <w:t>0,00</w:t>
            </w:r>
          </w:p>
        </w:tc>
        <w:tc>
          <w:tcPr>
            <w:tcW w:w="263" w:type="dxa"/>
          </w:tcPr>
          <w:p>
            <w:pPr>
              <w:pStyle w:val="TableParagraph"/>
              <w:rPr>
                <w:rFonts w:ascii="Times New Roman"/>
                <w:sz w:val="12"/>
              </w:rPr>
            </w:pPr>
          </w:p>
        </w:tc>
        <w:tc>
          <w:tcPr>
            <w:tcW w:w="638" w:type="dxa"/>
          </w:tcPr>
          <w:p>
            <w:pPr>
              <w:pStyle w:val="TableParagraph"/>
              <w:spacing w:before="78"/>
              <w:ind w:right="45"/>
              <w:jc w:val="right"/>
              <w:rPr>
                <w:sz w:val="12"/>
              </w:rPr>
            </w:pPr>
            <w:r>
              <w:rPr>
                <w:sz w:val="12"/>
              </w:rPr>
              <w:t>0,00</w:t>
            </w:r>
          </w:p>
        </w:tc>
        <w:tc>
          <w:tcPr>
            <w:tcW w:w="638" w:type="dxa"/>
          </w:tcPr>
          <w:p>
            <w:pPr>
              <w:pStyle w:val="TableParagraph"/>
              <w:spacing w:before="78"/>
              <w:ind w:right="46"/>
              <w:jc w:val="right"/>
              <w:rPr>
                <w:sz w:val="12"/>
              </w:rPr>
            </w:pPr>
            <w:r>
              <w:rPr>
                <w:sz w:val="12"/>
              </w:rPr>
              <w:t>0,00</w:t>
            </w:r>
          </w:p>
        </w:tc>
        <w:tc>
          <w:tcPr>
            <w:tcW w:w="746" w:type="dxa"/>
          </w:tcPr>
          <w:p>
            <w:pPr>
              <w:pStyle w:val="TableParagraph"/>
              <w:spacing w:before="78"/>
              <w:ind w:right="44"/>
              <w:jc w:val="right"/>
              <w:rPr>
                <w:sz w:val="12"/>
              </w:rPr>
            </w:pPr>
            <w:r>
              <w:rPr>
                <w:sz w:val="12"/>
              </w:rPr>
              <w:t>0,00</w:t>
            </w:r>
          </w:p>
        </w:tc>
        <w:tc>
          <w:tcPr>
            <w:tcW w:w="552" w:type="dxa"/>
          </w:tcPr>
          <w:p>
            <w:pPr>
              <w:pStyle w:val="TableParagraph"/>
              <w:spacing w:before="78"/>
              <w:ind w:right="43"/>
              <w:jc w:val="right"/>
              <w:rPr>
                <w:sz w:val="12"/>
              </w:rPr>
            </w:pPr>
            <w:r>
              <w:rPr>
                <w:sz w:val="12"/>
              </w:rPr>
              <w:t>0,00</w:t>
            </w:r>
          </w:p>
        </w:tc>
        <w:tc>
          <w:tcPr>
            <w:tcW w:w="731" w:type="dxa"/>
          </w:tcPr>
          <w:p>
            <w:pPr>
              <w:pStyle w:val="TableParagraph"/>
              <w:spacing w:before="78"/>
              <w:ind w:right="45"/>
              <w:jc w:val="right"/>
              <w:rPr>
                <w:sz w:val="12"/>
              </w:rPr>
            </w:pPr>
            <w:r>
              <w:rPr>
                <w:sz w:val="12"/>
              </w:rPr>
              <w:t>3,01</w:t>
            </w:r>
          </w:p>
        </w:tc>
        <w:tc>
          <w:tcPr>
            <w:tcW w:w="589" w:type="dxa"/>
          </w:tcPr>
          <w:p>
            <w:pPr>
              <w:pStyle w:val="TableParagraph"/>
              <w:spacing w:before="78"/>
              <w:ind w:right="43"/>
              <w:jc w:val="right"/>
              <w:rPr>
                <w:sz w:val="12"/>
              </w:rPr>
            </w:pPr>
            <w:r>
              <w:rPr>
                <w:sz w:val="12"/>
              </w:rPr>
              <w:t>0,00</w:t>
            </w:r>
          </w:p>
        </w:tc>
        <w:tc>
          <w:tcPr>
            <w:tcW w:w="669" w:type="dxa"/>
          </w:tcPr>
          <w:p>
            <w:pPr>
              <w:pStyle w:val="TableParagraph"/>
              <w:spacing w:before="78"/>
              <w:ind w:right="44"/>
              <w:jc w:val="right"/>
              <w:rPr>
                <w:sz w:val="12"/>
              </w:rPr>
            </w:pPr>
            <w:r>
              <w:rPr>
                <w:sz w:val="12"/>
              </w:rPr>
              <w:t>0,00</w:t>
            </w:r>
          </w:p>
        </w:tc>
        <w:tc>
          <w:tcPr>
            <w:tcW w:w="574" w:type="dxa"/>
          </w:tcPr>
          <w:p>
            <w:pPr>
              <w:pStyle w:val="TableParagraph"/>
              <w:spacing w:before="78"/>
              <w:ind w:right="41"/>
              <w:jc w:val="right"/>
              <w:rPr>
                <w:sz w:val="12"/>
              </w:rPr>
            </w:pPr>
            <w:r>
              <w:rPr>
                <w:sz w:val="12"/>
              </w:rPr>
              <w:t>0,00</w:t>
            </w:r>
          </w:p>
        </w:tc>
        <w:tc>
          <w:tcPr>
            <w:tcW w:w="611" w:type="dxa"/>
          </w:tcPr>
          <w:p>
            <w:pPr>
              <w:pStyle w:val="TableParagraph"/>
              <w:spacing w:before="78"/>
              <w:ind w:right="41"/>
              <w:jc w:val="right"/>
              <w:rPr>
                <w:sz w:val="12"/>
              </w:rPr>
            </w:pPr>
            <w:r>
              <w:rPr>
                <w:sz w:val="12"/>
              </w:rPr>
              <w:t>0,00</w:t>
            </w:r>
          </w:p>
        </w:tc>
        <w:tc>
          <w:tcPr>
            <w:tcW w:w="615" w:type="dxa"/>
          </w:tcPr>
          <w:p>
            <w:pPr>
              <w:pStyle w:val="TableParagraph"/>
              <w:spacing w:before="78"/>
              <w:ind w:right="40"/>
              <w:jc w:val="right"/>
              <w:rPr>
                <w:sz w:val="12"/>
              </w:rPr>
            </w:pPr>
            <w:r>
              <w:rPr>
                <w:sz w:val="12"/>
              </w:rPr>
              <w:t>0,00</w:t>
            </w:r>
          </w:p>
        </w:tc>
        <w:tc>
          <w:tcPr>
            <w:tcW w:w="525" w:type="dxa"/>
          </w:tcPr>
          <w:p>
            <w:pPr>
              <w:pStyle w:val="TableParagraph"/>
              <w:rPr>
                <w:rFonts w:ascii="Times New Roman"/>
                <w:sz w:val="12"/>
              </w:rPr>
            </w:pPr>
          </w:p>
        </w:tc>
        <w:tc>
          <w:tcPr>
            <w:tcW w:w="698" w:type="dxa"/>
          </w:tcPr>
          <w:p>
            <w:pPr>
              <w:pStyle w:val="TableParagraph"/>
              <w:spacing w:before="78"/>
              <w:ind w:right="38"/>
              <w:jc w:val="right"/>
              <w:rPr>
                <w:sz w:val="12"/>
              </w:rPr>
            </w:pPr>
            <w:r>
              <w:rPr>
                <w:sz w:val="12"/>
              </w:rPr>
              <w:t>3,01</w:t>
            </w:r>
          </w:p>
        </w:tc>
      </w:tr>
      <w:tr>
        <w:trPr>
          <w:trHeight w:val="301" w:hRule="atLeast"/>
        </w:trPr>
        <w:tc>
          <w:tcPr>
            <w:tcW w:w="1873" w:type="dxa"/>
            <w:shd w:val="clear" w:color="auto" w:fill="D9D9D9"/>
          </w:tcPr>
          <w:p>
            <w:pPr>
              <w:pStyle w:val="TableParagraph"/>
              <w:spacing w:before="2"/>
              <w:ind w:left="52"/>
              <w:rPr>
                <w:b/>
                <w:sz w:val="12"/>
              </w:rPr>
            </w:pPr>
            <w:r>
              <w:rPr>
                <w:b/>
                <w:w w:val="105"/>
                <w:sz w:val="12"/>
              </w:rPr>
              <w:t>I.REMANENTE TESORERÍA TOTAL</w:t>
            </w:r>
          </w:p>
          <w:p>
            <w:pPr>
              <w:pStyle w:val="TableParagraph"/>
              <w:spacing w:line="127" w:lineRule="exact" w:before="6"/>
              <w:ind w:left="52"/>
              <w:rPr>
                <w:b/>
                <w:sz w:val="12"/>
              </w:rPr>
            </w:pPr>
            <w:r>
              <w:rPr>
                <w:b/>
                <w:w w:val="105"/>
                <w:sz w:val="12"/>
              </w:rPr>
              <w:t>(1+2-3+4)</w:t>
            </w:r>
          </w:p>
        </w:tc>
        <w:tc>
          <w:tcPr>
            <w:tcW w:w="590" w:type="dxa"/>
            <w:shd w:val="clear" w:color="auto" w:fill="D9D9D9"/>
          </w:tcPr>
          <w:p>
            <w:pPr>
              <w:pStyle w:val="TableParagraph"/>
              <w:spacing w:before="78"/>
              <w:ind w:right="42"/>
              <w:jc w:val="right"/>
              <w:rPr>
                <w:b/>
                <w:sz w:val="12"/>
              </w:rPr>
            </w:pPr>
            <w:r>
              <w:rPr>
                <w:b/>
                <w:w w:val="105"/>
                <w:sz w:val="12"/>
              </w:rPr>
              <w:t>9.443,53</w:t>
            </w:r>
          </w:p>
        </w:tc>
        <w:tc>
          <w:tcPr>
            <w:tcW w:w="592" w:type="dxa"/>
            <w:shd w:val="clear" w:color="auto" w:fill="D9D9D9"/>
          </w:tcPr>
          <w:p>
            <w:pPr>
              <w:pStyle w:val="TableParagraph"/>
              <w:spacing w:before="78"/>
              <w:ind w:right="45"/>
              <w:jc w:val="right"/>
              <w:rPr>
                <w:b/>
                <w:sz w:val="12"/>
              </w:rPr>
            </w:pPr>
            <w:r>
              <w:rPr>
                <w:b/>
                <w:w w:val="105"/>
                <w:sz w:val="12"/>
              </w:rPr>
              <w:t>3.458,02</w:t>
            </w:r>
          </w:p>
        </w:tc>
        <w:tc>
          <w:tcPr>
            <w:tcW w:w="732" w:type="dxa"/>
            <w:shd w:val="clear" w:color="auto" w:fill="D9D9D9"/>
          </w:tcPr>
          <w:p>
            <w:pPr>
              <w:pStyle w:val="TableParagraph"/>
              <w:spacing w:before="78"/>
              <w:ind w:right="46"/>
              <w:jc w:val="right"/>
              <w:rPr>
                <w:b/>
                <w:sz w:val="12"/>
              </w:rPr>
            </w:pPr>
            <w:r>
              <w:rPr>
                <w:b/>
                <w:w w:val="105"/>
                <w:sz w:val="12"/>
              </w:rPr>
              <w:t>268.674,39</w:t>
            </w:r>
          </w:p>
        </w:tc>
        <w:tc>
          <w:tcPr>
            <w:tcW w:w="263" w:type="dxa"/>
            <w:shd w:val="clear" w:color="auto" w:fill="D9D9D9"/>
          </w:tcPr>
          <w:p>
            <w:pPr>
              <w:pStyle w:val="TableParagraph"/>
              <w:rPr>
                <w:rFonts w:ascii="Times New Roman"/>
                <w:sz w:val="12"/>
              </w:rPr>
            </w:pPr>
          </w:p>
        </w:tc>
        <w:tc>
          <w:tcPr>
            <w:tcW w:w="638" w:type="dxa"/>
            <w:shd w:val="clear" w:color="auto" w:fill="D9D9D9"/>
          </w:tcPr>
          <w:p>
            <w:pPr>
              <w:pStyle w:val="TableParagraph"/>
              <w:spacing w:before="78"/>
              <w:ind w:right="45"/>
              <w:jc w:val="right"/>
              <w:rPr>
                <w:b/>
                <w:sz w:val="12"/>
              </w:rPr>
            </w:pPr>
            <w:r>
              <w:rPr>
                <w:b/>
                <w:w w:val="105"/>
                <w:sz w:val="12"/>
              </w:rPr>
              <w:t>10.958,00</w:t>
            </w:r>
          </w:p>
        </w:tc>
        <w:tc>
          <w:tcPr>
            <w:tcW w:w="638" w:type="dxa"/>
            <w:shd w:val="clear" w:color="auto" w:fill="D9D9D9"/>
          </w:tcPr>
          <w:p>
            <w:pPr>
              <w:pStyle w:val="TableParagraph"/>
              <w:spacing w:before="78"/>
              <w:ind w:right="45"/>
              <w:jc w:val="right"/>
              <w:rPr>
                <w:b/>
                <w:sz w:val="12"/>
              </w:rPr>
            </w:pPr>
            <w:r>
              <w:rPr>
                <w:b/>
                <w:w w:val="105"/>
                <w:sz w:val="12"/>
              </w:rPr>
              <w:t>-73,87</w:t>
            </w:r>
          </w:p>
        </w:tc>
        <w:tc>
          <w:tcPr>
            <w:tcW w:w="746" w:type="dxa"/>
            <w:shd w:val="clear" w:color="auto" w:fill="D9D9D9"/>
          </w:tcPr>
          <w:p>
            <w:pPr>
              <w:pStyle w:val="TableParagraph"/>
              <w:spacing w:before="78"/>
              <w:ind w:right="44"/>
              <w:jc w:val="right"/>
              <w:rPr>
                <w:b/>
                <w:sz w:val="12"/>
              </w:rPr>
            </w:pPr>
            <w:r>
              <w:rPr>
                <w:b/>
                <w:w w:val="105"/>
                <w:sz w:val="12"/>
              </w:rPr>
              <w:t>95.597,99</w:t>
            </w:r>
          </w:p>
        </w:tc>
        <w:tc>
          <w:tcPr>
            <w:tcW w:w="552" w:type="dxa"/>
            <w:shd w:val="clear" w:color="auto" w:fill="D9D9D9"/>
          </w:tcPr>
          <w:p>
            <w:pPr>
              <w:pStyle w:val="TableParagraph"/>
              <w:spacing w:before="78"/>
              <w:ind w:right="44"/>
              <w:jc w:val="right"/>
              <w:rPr>
                <w:b/>
                <w:sz w:val="12"/>
              </w:rPr>
            </w:pPr>
            <w:r>
              <w:rPr>
                <w:b/>
                <w:w w:val="105"/>
                <w:sz w:val="12"/>
              </w:rPr>
              <w:t>1.719,84</w:t>
            </w:r>
          </w:p>
        </w:tc>
        <w:tc>
          <w:tcPr>
            <w:tcW w:w="731" w:type="dxa"/>
            <w:shd w:val="clear" w:color="auto" w:fill="D9D9D9"/>
          </w:tcPr>
          <w:p>
            <w:pPr>
              <w:pStyle w:val="TableParagraph"/>
              <w:spacing w:before="78"/>
              <w:ind w:right="45"/>
              <w:jc w:val="right"/>
              <w:rPr>
                <w:b/>
                <w:sz w:val="12"/>
              </w:rPr>
            </w:pPr>
            <w:r>
              <w:rPr>
                <w:b/>
                <w:w w:val="105"/>
                <w:sz w:val="12"/>
              </w:rPr>
              <w:t>256.492,49</w:t>
            </w:r>
          </w:p>
        </w:tc>
        <w:tc>
          <w:tcPr>
            <w:tcW w:w="589" w:type="dxa"/>
            <w:shd w:val="clear" w:color="auto" w:fill="D9D9D9"/>
          </w:tcPr>
          <w:p>
            <w:pPr>
              <w:pStyle w:val="TableParagraph"/>
              <w:spacing w:before="78"/>
              <w:ind w:right="43"/>
              <w:jc w:val="right"/>
              <w:rPr>
                <w:b/>
                <w:sz w:val="12"/>
              </w:rPr>
            </w:pPr>
            <w:r>
              <w:rPr>
                <w:b/>
                <w:w w:val="105"/>
                <w:sz w:val="12"/>
              </w:rPr>
              <w:t>9.123,72</w:t>
            </w:r>
          </w:p>
        </w:tc>
        <w:tc>
          <w:tcPr>
            <w:tcW w:w="669" w:type="dxa"/>
            <w:shd w:val="clear" w:color="auto" w:fill="D9D9D9"/>
          </w:tcPr>
          <w:p>
            <w:pPr>
              <w:pStyle w:val="TableParagraph"/>
              <w:spacing w:before="78"/>
              <w:ind w:right="44"/>
              <w:jc w:val="right"/>
              <w:rPr>
                <w:b/>
                <w:sz w:val="12"/>
              </w:rPr>
            </w:pPr>
            <w:r>
              <w:rPr>
                <w:b/>
                <w:w w:val="105"/>
                <w:sz w:val="12"/>
              </w:rPr>
              <w:t>48.084,29</w:t>
            </w:r>
          </w:p>
        </w:tc>
        <w:tc>
          <w:tcPr>
            <w:tcW w:w="574" w:type="dxa"/>
            <w:shd w:val="clear" w:color="auto" w:fill="D9D9D9"/>
          </w:tcPr>
          <w:p>
            <w:pPr>
              <w:pStyle w:val="TableParagraph"/>
              <w:spacing w:before="78"/>
              <w:ind w:right="42"/>
              <w:jc w:val="right"/>
              <w:rPr>
                <w:b/>
                <w:sz w:val="12"/>
              </w:rPr>
            </w:pPr>
            <w:r>
              <w:rPr>
                <w:b/>
                <w:w w:val="105"/>
                <w:sz w:val="12"/>
              </w:rPr>
              <w:t>1.897,06</w:t>
            </w:r>
          </w:p>
        </w:tc>
        <w:tc>
          <w:tcPr>
            <w:tcW w:w="611" w:type="dxa"/>
            <w:shd w:val="clear" w:color="auto" w:fill="D9D9D9"/>
          </w:tcPr>
          <w:p>
            <w:pPr>
              <w:pStyle w:val="TableParagraph"/>
              <w:spacing w:before="78"/>
              <w:ind w:right="41"/>
              <w:jc w:val="right"/>
              <w:rPr>
                <w:b/>
                <w:sz w:val="12"/>
              </w:rPr>
            </w:pPr>
            <w:r>
              <w:rPr>
                <w:b/>
                <w:w w:val="105"/>
                <w:sz w:val="12"/>
              </w:rPr>
              <w:t>2.733,86</w:t>
            </w:r>
          </w:p>
        </w:tc>
        <w:tc>
          <w:tcPr>
            <w:tcW w:w="615" w:type="dxa"/>
            <w:shd w:val="clear" w:color="auto" w:fill="D9D9D9"/>
          </w:tcPr>
          <w:p>
            <w:pPr>
              <w:pStyle w:val="TableParagraph"/>
              <w:spacing w:before="78"/>
              <w:ind w:right="40"/>
              <w:jc w:val="right"/>
              <w:rPr>
                <w:b/>
                <w:sz w:val="12"/>
              </w:rPr>
            </w:pPr>
            <w:r>
              <w:rPr>
                <w:b/>
                <w:w w:val="105"/>
                <w:sz w:val="12"/>
              </w:rPr>
              <w:t>9.465,98</w:t>
            </w:r>
          </w:p>
        </w:tc>
        <w:tc>
          <w:tcPr>
            <w:tcW w:w="525" w:type="dxa"/>
            <w:shd w:val="clear" w:color="auto" w:fill="D9D9D9"/>
          </w:tcPr>
          <w:p>
            <w:pPr>
              <w:pStyle w:val="TableParagraph"/>
              <w:rPr>
                <w:rFonts w:ascii="Times New Roman"/>
                <w:sz w:val="12"/>
              </w:rPr>
            </w:pPr>
          </w:p>
        </w:tc>
        <w:tc>
          <w:tcPr>
            <w:tcW w:w="698" w:type="dxa"/>
            <w:shd w:val="clear" w:color="auto" w:fill="D9D9D9"/>
          </w:tcPr>
          <w:p>
            <w:pPr>
              <w:pStyle w:val="TableParagraph"/>
              <w:spacing w:before="78"/>
              <w:ind w:right="38"/>
              <w:jc w:val="right"/>
              <w:rPr>
                <w:b/>
                <w:sz w:val="12"/>
              </w:rPr>
            </w:pPr>
            <w:r>
              <w:rPr>
                <w:b/>
                <w:w w:val="105"/>
                <w:sz w:val="12"/>
              </w:rPr>
              <w:t>717.575,30</w:t>
            </w:r>
          </w:p>
        </w:tc>
      </w:tr>
      <w:tr>
        <w:trPr>
          <w:trHeight w:val="150" w:hRule="atLeast"/>
        </w:trPr>
        <w:tc>
          <w:tcPr>
            <w:tcW w:w="1873" w:type="dxa"/>
          </w:tcPr>
          <w:p>
            <w:pPr>
              <w:pStyle w:val="TableParagraph"/>
              <w:spacing w:line="128" w:lineRule="exact" w:before="2"/>
              <w:ind w:left="52"/>
              <w:rPr>
                <w:b/>
                <w:sz w:val="12"/>
              </w:rPr>
            </w:pPr>
            <w:r>
              <w:rPr>
                <w:b/>
                <w:w w:val="105"/>
                <w:sz w:val="12"/>
              </w:rPr>
              <w:t>II.EXCESO D FINANC AFECTADA</w:t>
            </w:r>
          </w:p>
        </w:tc>
        <w:tc>
          <w:tcPr>
            <w:tcW w:w="590" w:type="dxa"/>
          </w:tcPr>
          <w:p>
            <w:pPr>
              <w:pStyle w:val="TableParagraph"/>
              <w:spacing w:line="128" w:lineRule="exact" w:before="2"/>
              <w:ind w:right="42"/>
              <w:jc w:val="right"/>
              <w:rPr>
                <w:sz w:val="12"/>
              </w:rPr>
            </w:pPr>
            <w:r>
              <w:rPr>
                <w:w w:val="105"/>
                <w:sz w:val="12"/>
              </w:rPr>
              <w:t>3.376,92</w:t>
            </w:r>
          </w:p>
        </w:tc>
        <w:tc>
          <w:tcPr>
            <w:tcW w:w="592" w:type="dxa"/>
          </w:tcPr>
          <w:p>
            <w:pPr>
              <w:pStyle w:val="TableParagraph"/>
              <w:spacing w:line="128" w:lineRule="exact" w:before="2"/>
              <w:ind w:right="45"/>
              <w:jc w:val="right"/>
              <w:rPr>
                <w:sz w:val="12"/>
              </w:rPr>
            </w:pPr>
            <w:r>
              <w:rPr>
                <w:sz w:val="12"/>
              </w:rPr>
              <w:t>332,74</w:t>
            </w:r>
          </w:p>
        </w:tc>
        <w:tc>
          <w:tcPr>
            <w:tcW w:w="732" w:type="dxa"/>
          </w:tcPr>
          <w:p>
            <w:pPr>
              <w:pStyle w:val="TableParagraph"/>
              <w:spacing w:line="128" w:lineRule="exact" w:before="2"/>
              <w:ind w:right="46"/>
              <w:jc w:val="right"/>
              <w:rPr>
                <w:sz w:val="12"/>
              </w:rPr>
            </w:pPr>
            <w:r>
              <w:rPr>
                <w:w w:val="105"/>
                <w:sz w:val="12"/>
              </w:rPr>
              <w:t>75.893,34</w:t>
            </w:r>
          </w:p>
        </w:tc>
        <w:tc>
          <w:tcPr>
            <w:tcW w:w="263" w:type="dxa"/>
          </w:tcPr>
          <w:p>
            <w:pPr>
              <w:pStyle w:val="TableParagraph"/>
              <w:rPr>
                <w:rFonts w:ascii="Times New Roman"/>
                <w:sz w:val="8"/>
              </w:rPr>
            </w:pPr>
          </w:p>
        </w:tc>
        <w:tc>
          <w:tcPr>
            <w:tcW w:w="638" w:type="dxa"/>
          </w:tcPr>
          <w:p>
            <w:pPr>
              <w:pStyle w:val="TableParagraph"/>
              <w:spacing w:line="128" w:lineRule="exact" w:before="2"/>
              <w:ind w:right="45"/>
              <w:jc w:val="right"/>
              <w:rPr>
                <w:sz w:val="12"/>
              </w:rPr>
            </w:pPr>
            <w:r>
              <w:rPr>
                <w:sz w:val="12"/>
              </w:rPr>
              <w:t>47,70</w:t>
            </w:r>
          </w:p>
        </w:tc>
        <w:tc>
          <w:tcPr>
            <w:tcW w:w="638" w:type="dxa"/>
          </w:tcPr>
          <w:p>
            <w:pPr>
              <w:pStyle w:val="TableParagraph"/>
              <w:spacing w:line="128" w:lineRule="exact" w:before="2"/>
              <w:ind w:right="46"/>
              <w:jc w:val="right"/>
              <w:rPr>
                <w:sz w:val="12"/>
              </w:rPr>
            </w:pPr>
            <w:r>
              <w:rPr>
                <w:sz w:val="12"/>
              </w:rPr>
              <w:t>107,82</w:t>
            </w:r>
          </w:p>
        </w:tc>
        <w:tc>
          <w:tcPr>
            <w:tcW w:w="746" w:type="dxa"/>
          </w:tcPr>
          <w:p>
            <w:pPr>
              <w:pStyle w:val="TableParagraph"/>
              <w:spacing w:line="128" w:lineRule="exact" w:before="2"/>
              <w:ind w:right="44"/>
              <w:jc w:val="right"/>
              <w:rPr>
                <w:sz w:val="12"/>
              </w:rPr>
            </w:pPr>
            <w:r>
              <w:rPr>
                <w:w w:val="105"/>
                <w:sz w:val="12"/>
              </w:rPr>
              <w:t>80.326,56</w:t>
            </w:r>
          </w:p>
        </w:tc>
        <w:tc>
          <w:tcPr>
            <w:tcW w:w="552" w:type="dxa"/>
          </w:tcPr>
          <w:p>
            <w:pPr>
              <w:pStyle w:val="TableParagraph"/>
              <w:spacing w:line="128" w:lineRule="exact" w:before="2"/>
              <w:ind w:right="43"/>
              <w:jc w:val="right"/>
              <w:rPr>
                <w:sz w:val="12"/>
              </w:rPr>
            </w:pPr>
            <w:r>
              <w:rPr>
                <w:sz w:val="12"/>
              </w:rPr>
              <w:t>0,00</w:t>
            </w:r>
          </w:p>
        </w:tc>
        <w:tc>
          <w:tcPr>
            <w:tcW w:w="731" w:type="dxa"/>
          </w:tcPr>
          <w:p>
            <w:pPr>
              <w:pStyle w:val="TableParagraph"/>
              <w:spacing w:line="128" w:lineRule="exact" w:before="2"/>
              <w:ind w:right="45"/>
              <w:jc w:val="right"/>
              <w:rPr>
                <w:sz w:val="12"/>
              </w:rPr>
            </w:pPr>
            <w:r>
              <w:rPr>
                <w:w w:val="105"/>
                <w:sz w:val="12"/>
              </w:rPr>
              <w:t>104.213,79</w:t>
            </w:r>
          </w:p>
        </w:tc>
        <w:tc>
          <w:tcPr>
            <w:tcW w:w="589" w:type="dxa"/>
          </w:tcPr>
          <w:p>
            <w:pPr>
              <w:pStyle w:val="TableParagraph"/>
              <w:spacing w:line="128" w:lineRule="exact" w:before="2"/>
              <w:ind w:right="43"/>
              <w:jc w:val="right"/>
              <w:rPr>
                <w:sz w:val="12"/>
              </w:rPr>
            </w:pPr>
            <w:r>
              <w:rPr>
                <w:sz w:val="12"/>
              </w:rPr>
              <w:t>0,00</w:t>
            </w:r>
          </w:p>
        </w:tc>
        <w:tc>
          <w:tcPr>
            <w:tcW w:w="669" w:type="dxa"/>
          </w:tcPr>
          <w:p>
            <w:pPr>
              <w:pStyle w:val="TableParagraph"/>
              <w:spacing w:line="128" w:lineRule="exact" w:before="2"/>
              <w:ind w:right="44"/>
              <w:jc w:val="right"/>
              <w:rPr>
                <w:sz w:val="12"/>
              </w:rPr>
            </w:pPr>
            <w:r>
              <w:rPr>
                <w:sz w:val="12"/>
              </w:rPr>
              <w:t>0,00</w:t>
            </w:r>
          </w:p>
        </w:tc>
        <w:tc>
          <w:tcPr>
            <w:tcW w:w="574" w:type="dxa"/>
          </w:tcPr>
          <w:p>
            <w:pPr>
              <w:pStyle w:val="TableParagraph"/>
              <w:spacing w:line="128" w:lineRule="exact" w:before="2"/>
              <w:ind w:right="41"/>
              <w:jc w:val="right"/>
              <w:rPr>
                <w:sz w:val="12"/>
              </w:rPr>
            </w:pPr>
            <w:r>
              <w:rPr>
                <w:sz w:val="12"/>
              </w:rPr>
              <w:t>0,00</w:t>
            </w:r>
          </w:p>
        </w:tc>
        <w:tc>
          <w:tcPr>
            <w:tcW w:w="611" w:type="dxa"/>
          </w:tcPr>
          <w:p>
            <w:pPr>
              <w:pStyle w:val="TableParagraph"/>
              <w:spacing w:line="128" w:lineRule="exact" w:before="2"/>
              <w:ind w:right="41"/>
              <w:jc w:val="right"/>
              <w:rPr>
                <w:sz w:val="12"/>
              </w:rPr>
            </w:pPr>
            <w:r>
              <w:rPr>
                <w:sz w:val="12"/>
              </w:rPr>
              <w:t>0,00</w:t>
            </w:r>
          </w:p>
        </w:tc>
        <w:tc>
          <w:tcPr>
            <w:tcW w:w="615" w:type="dxa"/>
          </w:tcPr>
          <w:p>
            <w:pPr>
              <w:pStyle w:val="TableParagraph"/>
              <w:spacing w:line="128" w:lineRule="exact" w:before="2"/>
              <w:ind w:right="40"/>
              <w:jc w:val="right"/>
              <w:rPr>
                <w:sz w:val="12"/>
              </w:rPr>
            </w:pPr>
            <w:r>
              <w:rPr>
                <w:sz w:val="12"/>
              </w:rPr>
              <w:t>0,00</w:t>
            </w:r>
          </w:p>
        </w:tc>
        <w:tc>
          <w:tcPr>
            <w:tcW w:w="525" w:type="dxa"/>
          </w:tcPr>
          <w:p>
            <w:pPr>
              <w:pStyle w:val="TableParagraph"/>
              <w:rPr>
                <w:rFonts w:ascii="Times New Roman"/>
                <w:sz w:val="8"/>
              </w:rPr>
            </w:pPr>
          </w:p>
        </w:tc>
        <w:tc>
          <w:tcPr>
            <w:tcW w:w="698" w:type="dxa"/>
          </w:tcPr>
          <w:p>
            <w:pPr>
              <w:pStyle w:val="TableParagraph"/>
              <w:spacing w:line="128" w:lineRule="exact" w:before="2"/>
              <w:ind w:right="38"/>
              <w:jc w:val="right"/>
              <w:rPr>
                <w:sz w:val="12"/>
              </w:rPr>
            </w:pPr>
            <w:r>
              <w:rPr>
                <w:w w:val="105"/>
                <w:sz w:val="12"/>
              </w:rPr>
              <w:t>264.298,87</w:t>
            </w:r>
          </w:p>
        </w:tc>
      </w:tr>
      <w:tr>
        <w:trPr>
          <w:trHeight w:val="148" w:hRule="atLeast"/>
        </w:trPr>
        <w:tc>
          <w:tcPr>
            <w:tcW w:w="1873" w:type="dxa"/>
          </w:tcPr>
          <w:p>
            <w:pPr>
              <w:pStyle w:val="TableParagraph"/>
              <w:spacing w:line="127" w:lineRule="exact" w:before="2"/>
              <w:ind w:left="52"/>
              <w:rPr>
                <w:b/>
                <w:sz w:val="12"/>
              </w:rPr>
            </w:pPr>
            <w:r>
              <w:rPr>
                <w:b/>
                <w:w w:val="105"/>
                <w:sz w:val="12"/>
              </w:rPr>
              <w:t>III.SALDO DE DUDOSO COBRO</w:t>
            </w:r>
          </w:p>
        </w:tc>
        <w:tc>
          <w:tcPr>
            <w:tcW w:w="590" w:type="dxa"/>
          </w:tcPr>
          <w:p>
            <w:pPr>
              <w:pStyle w:val="TableParagraph"/>
              <w:spacing w:line="127" w:lineRule="exact" w:before="2"/>
              <w:ind w:right="42"/>
              <w:jc w:val="right"/>
              <w:rPr>
                <w:sz w:val="12"/>
              </w:rPr>
            </w:pPr>
            <w:r>
              <w:rPr>
                <w:sz w:val="12"/>
              </w:rPr>
              <w:t>0,00</w:t>
            </w:r>
          </w:p>
        </w:tc>
        <w:tc>
          <w:tcPr>
            <w:tcW w:w="592" w:type="dxa"/>
          </w:tcPr>
          <w:p>
            <w:pPr>
              <w:pStyle w:val="TableParagraph"/>
              <w:spacing w:line="127" w:lineRule="exact" w:before="2"/>
              <w:ind w:right="45"/>
              <w:jc w:val="right"/>
              <w:rPr>
                <w:sz w:val="12"/>
              </w:rPr>
            </w:pPr>
            <w:r>
              <w:rPr>
                <w:sz w:val="12"/>
              </w:rPr>
              <w:t>0,00</w:t>
            </w:r>
          </w:p>
        </w:tc>
        <w:tc>
          <w:tcPr>
            <w:tcW w:w="732" w:type="dxa"/>
          </w:tcPr>
          <w:p>
            <w:pPr>
              <w:pStyle w:val="TableParagraph"/>
              <w:spacing w:line="127" w:lineRule="exact" w:before="2"/>
              <w:ind w:right="46"/>
              <w:jc w:val="right"/>
              <w:rPr>
                <w:sz w:val="12"/>
              </w:rPr>
            </w:pPr>
            <w:r>
              <w:rPr>
                <w:w w:val="105"/>
                <w:sz w:val="12"/>
              </w:rPr>
              <w:t>7.963,27</w:t>
            </w:r>
          </w:p>
        </w:tc>
        <w:tc>
          <w:tcPr>
            <w:tcW w:w="263" w:type="dxa"/>
          </w:tcPr>
          <w:p>
            <w:pPr>
              <w:pStyle w:val="TableParagraph"/>
              <w:rPr>
                <w:rFonts w:ascii="Times New Roman"/>
                <w:sz w:val="8"/>
              </w:rPr>
            </w:pPr>
          </w:p>
        </w:tc>
        <w:tc>
          <w:tcPr>
            <w:tcW w:w="638" w:type="dxa"/>
          </w:tcPr>
          <w:p>
            <w:pPr>
              <w:pStyle w:val="TableParagraph"/>
              <w:spacing w:line="127" w:lineRule="exact" w:before="2"/>
              <w:ind w:right="45"/>
              <w:jc w:val="right"/>
              <w:rPr>
                <w:sz w:val="12"/>
              </w:rPr>
            </w:pPr>
            <w:r>
              <w:rPr>
                <w:sz w:val="12"/>
              </w:rPr>
              <w:t>0,00</w:t>
            </w:r>
          </w:p>
        </w:tc>
        <w:tc>
          <w:tcPr>
            <w:tcW w:w="638" w:type="dxa"/>
          </w:tcPr>
          <w:p>
            <w:pPr>
              <w:pStyle w:val="TableParagraph"/>
              <w:spacing w:line="127" w:lineRule="exact" w:before="2"/>
              <w:ind w:right="46"/>
              <w:jc w:val="right"/>
              <w:rPr>
                <w:sz w:val="12"/>
              </w:rPr>
            </w:pPr>
            <w:r>
              <w:rPr>
                <w:sz w:val="12"/>
              </w:rPr>
              <w:t>0,00</w:t>
            </w:r>
          </w:p>
        </w:tc>
        <w:tc>
          <w:tcPr>
            <w:tcW w:w="746" w:type="dxa"/>
          </w:tcPr>
          <w:p>
            <w:pPr>
              <w:pStyle w:val="TableParagraph"/>
              <w:spacing w:line="127" w:lineRule="exact" w:before="2"/>
              <w:ind w:right="44"/>
              <w:jc w:val="right"/>
              <w:rPr>
                <w:sz w:val="12"/>
              </w:rPr>
            </w:pPr>
            <w:r>
              <w:rPr>
                <w:w w:val="105"/>
                <w:sz w:val="12"/>
              </w:rPr>
              <w:t>56.434,31</w:t>
            </w:r>
          </w:p>
        </w:tc>
        <w:tc>
          <w:tcPr>
            <w:tcW w:w="552" w:type="dxa"/>
          </w:tcPr>
          <w:p>
            <w:pPr>
              <w:pStyle w:val="TableParagraph"/>
              <w:spacing w:line="127" w:lineRule="exact" w:before="2"/>
              <w:ind w:right="43"/>
              <w:jc w:val="right"/>
              <w:rPr>
                <w:sz w:val="12"/>
              </w:rPr>
            </w:pPr>
            <w:r>
              <w:rPr>
                <w:sz w:val="12"/>
              </w:rPr>
              <w:t>0,00</w:t>
            </w:r>
          </w:p>
        </w:tc>
        <w:tc>
          <w:tcPr>
            <w:tcW w:w="731" w:type="dxa"/>
          </w:tcPr>
          <w:p>
            <w:pPr>
              <w:pStyle w:val="TableParagraph"/>
              <w:spacing w:line="127" w:lineRule="exact" w:before="2"/>
              <w:ind w:right="45"/>
              <w:jc w:val="right"/>
              <w:rPr>
                <w:sz w:val="12"/>
              </w:rPr>
            </w:pPr>
            <w:r>
              <w:rPr>
                <w:w w:val="105"/>
                <w:sz w:val="12"/>
              </w:rPr>
              <w:t>5.516,88</w:t>
            </w:r>
          </w:p>
        </w:tc>
        <w:tc>
          <w:tcPr>
            <w:tcW w:w="589" w:type="dxa"/>
          </w:tcPr>
          <w:p>
            <w:pPr>
              <w:pStyle w:val="TableParagraph"/>
              <w:spacing w:line="127" w:lineRule="exact" w:before="2"/>
              <w:ind w:right="43"/>
              <w:jc w:val="right"/>
              <w:rPr>
                <w:sz w:val="12"/>
              </w:rPr>
            </w:pPr>
            <w:r>
              <w:rPr>
                <w:sz w:val="12"/>
              </w:rPr>
              <w:t>89,77</w:t>
            </w:r>
          </w:p>
        </w:tc>
        <w:tc>
          <w:tcPr>
            <w:tcW w:w="669" w:type="dxa"/>
          </w:tcPr>
          <w:p>
            <w:pPr>
              <w:pStyle w:val="TableParagraph"/>
              <w:spacing w:line="127" w:lineRule="exact" w:before="2"/>
              <w:ind w:right="44"/>
              <w:jc w:val="right"/>
              <w:rPr>
                <w:sz w:val="12"/>
              </w:rPr>
            </w:pPr>
            <w:r>
              <w:rPr>
                <w:w w:val="105"/>
                <w:sz w:val="12"/>
              </w:rPr>
              <w:t>4.490,72</w:t>
            </w:r>
          </w:p>
        </w:tc>
        <w:tc>
          <w:tcPr>
            <w:tcW w:w="574" w:type="dxa"/>
          </w:tcPr>
          <w:p>
            <w:pPr>
              <w:pStyle w:val="TableParagraph"/>
              <w:spacing w:line="127" w:lineRule="exact" w:before="2"/>
              <w:ind w:right="41"/>
              <w:jc w:val="right"/>
              <w:rPr>
                <w:sz w:val="12"/>
              </w:rPr>
            </w:pPr>
            <w:r>
              <w:rPr>
                <w:sz w:val="12"/>
              </w:rPr>
              <w:t>0,00</w:t>
            </w:r>
          </w:p>
        </w:tc>
        <w:tc>
          <w:tcPr>
            <w:tcW w:w="611" w:type="dxa"/>
          </w:tcPr>
          <w:p>
            <w:pPr>
              <w:pStyle w:val="TableParagraph"/>
              <w:spacing w:line="127" w:lineRule="exact" w:before="2"/>
              <w:ind w:right="41"/>
              <w:jc w:val="right"/>
              <w:rPr>
                <w:sz w:val="12"/>
              </w:rPr>
            </w:pPr>
            <w:r>
              <w:rPr>
                <w:sz w:val="12"/>
              </w:rPr>
              <w:t>0,00</w:t>
            </w:r>
          </w:p>
        </w:tc>
        <w:tc>
          <w:tcPr>
            <w:tcW w:w="615" w:type="dxa"/>
          </w:tcPr>
          <w:p>
            <w:pPr>
              <w:pStyle w:val="TableParagraph"/>
              <w:spacing w:line="127" w:lineRule="exact" w:before="2"/>
              <w:ind w:right="40"/>
              <w:jc w:val="right"/>
              <w:rPr>
                <w:sz w:val="12"/>
              </w:rPr>
            </w:pPr>
            <w:r>
              <w:rPr>
                <w:sz w:val="12"/>
              </w:rPr>
              <w:t>0,00</w:t>
            </w:r>
          </w:p>
        </w:tc>
        <w:tc>
          <w:tcPr>
            <w:tcW w:w="525" w:type="dxa"/>
          </w:tcPr>
          <w:p>
            <w:pPr>
              <w:pStyle w:val="TableParagraph"/>
              <w:rPr>
                <w:rFonts w:ascii="Times New Roman"/>
                <w:sz w:val="8"/>
              </w:rPr>
            </w:pPr>
          </w:p>
        </w:tc>
        <w:tc>
          <w:tcPr>
            <w:tcW w:w="698" w:type="dxa"/>
          </w:tcPr>
          <w:p>
            <w:pPr>
              <w:pStyle w:val="TableParagraph"/>
              <w:spacing w:line="127" w:lineRule="exact" w:before="2"/>
              <w:ind w:right="38"/>
              <w:jc w:val="right"/>
              <w:rPr>
                <w:sz w:val="12"/>
              </w:rPr>
            </w:pPr>
            <w:r>
              <w:rPr>
                <w:w w:val="105"/>
                <w:sz w:val="12"/>
              </w:rPr>
              <w:t>74.494,95</w:t>
            </w:r>
          </w:p>
        </w:tc>
      </w:tr>
      <w:tr>
        <w:trPr>
          <w:trHeight w:val="301" w:hRule="atLeast"/>
        </w:trPr>
        <w:tc>
          <w:tcPr>
            <w:tcW w:w="1873" w:type="dxa"/>
            <w:shd w:val="clear" w:color="auto" w:fill="D9D9D9"/>
          </w:tcPr>
          <w:p>
            <w:pPr>
              <w:pStyle w:val="TableParagraph"/>
              <w:spacing w:before="4"/>
              <w:ind w:left="52"/>
              <w:rPr>
                <w:b/>
                <w:sz w:val="12"/>
              </w:rPr>
            </w:pPr>
            <w:r>
              <w:rPr>
                <w:b/>
                <w:w w:val="105"/>
                <w:sz w:val="12"/>
              </w:rPr>
              <w:t>IV.REMANENTE DE TESORERÍA</w:t>
            </w:r>
          </w:p>
          <w:p>
            <w:pPr>
              <w:pStyle w:val="TableParagraph"/>
              <w:spacing w:line="127" w:lineRule="exact" w:before="4"/>
              <w:ind w:left="52"/>
              <w:rPr>
                <w:b/>
                <w:sz w:val="12"/>
              </w:rPr>
            </w:pPr>
            <w:r>
              <w:rPr>
                <w:b/>
                <w:w w:val="105"/>
                <w:sz w:val="12"/>
              </w:rPr>
              <w:t>NO AFECTADO =(I-II-III)</w:t>
            </w:r>
          </w:p>
        </w:tc>
        <w:tc>
          <w:tcPr>
            <w:tcW w:w="590" w:type="dxa"/>
            <w:shd w:val="clear" w:color="auto" w:fill="D9D9D9"/>
          </w:tcPr>
          <w:p>
            <w:pPr>
              <w:pStyle w:val="TableParagraph"/>
              <w:spacing w:before="78"/>
              <w:ind w:right="42"/>
              <w:jc w:val="right"/>
              <w:rPr>
                <w:b/>
                <w:sz w:val="12"/>
              </w:rPr>
            </w:pPr>
            <w:r>
              <w:rPr>
                <w:b/>
                <w:w w:val="105"/>
                <w:sz w:val="12"/>
              </w:rPr>
              <w:t>6.066,61</w:t>
            </w:r>
          </w:p>
        </w:tc>
        <w:tc>
          <w:tcPr>
            <w:tcW w:w="592" w:type="dxa"/>
            <w:shd w:val="clear" w:color="auto" w:fill="D9D9D9"/>
          </w:tcPr>
          <w:p>
            <w:pPr>
              <w:pStyle w:val="TableParagraph"/>
              <w:spacing w:before="78"/>
              <w:ind w:right="45"/>
              <w:jc w:val="right"/>
              <w:rPr>
                <w:b/>
                <w:sz w:val="12"/>
              </w:rPr>
            </w:pPr>
            <w:r>
              <w:rPr>
                <w:b/>
                <w:w w:val="105"/>
                <w:sz w:val="12"/>
              </w:rPr>
              <w:t>3.125,28</w:t>
            </w:r>
          </w:p>
        </w:tc>
        <w:tc>
          <w:tcPr>
            <w:tcW w:w="732" w:type="dxa"/>
            <w:shd w:val="clear" w:color="auto" w:fill="D9D9D9"/>
          </w:tcPr>
          <w:p>
            <w:pPr>
              <w:pStyle w:val="TableParagraph"/>
              <w:spacing w:before="78"/>
              <w:ind w:right="46"/>
              <w:jc w:val="right"/>
              <w:rPr>
                <w:b/>
                <w:sz w:val="12"/>
              </w:rPr>
            </w:pPr>
            <w:r>
              <w:rPr>
                <w:b/>
                <w:w w:val="105"/>
                <w:sz w:val="12"/>
              </w:rPr>
              <w:t>184.817,77</w:t>
            </w:r>
          </w:p>
        </w:tc>
        <w:tc>
          <w:tcPr>
            <w:tcW w:w="263" w:type="dxa"/>
            <w:shd w:val="clear" w:color="auto" w:fill="D9D9D9"/>
          </w:tcPr>
          <w:p>
            <w:pPr>
              <w:pStyle w:val="TableParagraph"/>
              <w:rPr>
                <w:rFonts w:ascii="Times New Roman"/>
                <w:sz w:val="12"/>
              </w:rPr>
            </w:pPr>
          </w:p>
        </w:tc>
        <w:tc>
          <w:tcPr>
            <w:tcW w:w="638" w:type="dxa"/>
            <w:shd w:val="clear" w:color="auto" w:fill="D9D9D9"/>
          </w:tcPr>
          <w:p>
            <w:pPr>
              <w:pStyle w:val="TableParagraph"/>
              <w:spacing w:before="78"/>
              <w:ind w:right="45"/>
              <w:jc w:val="right"/>
              <w:rPr>
                <w:b/>
                <w:sz w:val="12"/>
              </w:rPr>
            </w:pPr>
            <w:r>
              <w:rPr>
                <w:b/>
                <w:w w:val="105"/>
                <w:sz w:val="12"/>
              </w:rPr>
              <w:t>10.910,30</w:t>
            </w:r>
          </w:p>
        </w:tc>
        <w:tc>
          <w:tcPr>
            <w:tcW w:w="638" w:type="dxa"/>
            <w:shd w:val="clear" w:color="auto" w:fill="D9D9D9"/>
          </w:tcPr>
          <w:p>
            <w:pPr>
              <w:pStyle w:val="TableParagraph"/>
              <w:spacing w:before="78"/>
              <w:ind w:right="45"/>
              <w:jc w:val="right"/>
              <w:rPr>
                <w:b/>
                <w:sz w:val="12"/>
              </w:rPr>
            </w:pPr>
            <w:r>
              <w:rPr>
                <w:b/>
                <w:sz w:val="12"/>
              </w:rPr>
              <w:t>-181,70</w:t>
            </w:r>
          </w:p>
        </w:tc>
        <w:tc>
          <w:tcPr>
            <w:tcW w:w="746" w:type="dxa"/>
            <w:shd w:val="clear" w:color="auto" w:fill="D9D9D9"/>
          </w:tcPr>
          <w:p>
            <w:pPr>
              <w:pStyle w:val="TableParagraph"/>
              <w:spacing w:before="78"/>
              <w:ind w:right="43"/>
              <w:jc w:val="right"/>
              <w:rPr>
                <w:b/>
                <w:sz w:val="12"/>
              </w:rPr>
            </w:pPr>
            <w:r>
              <w:rPr>
                <w:b/>
                <w:w w:val="105"/>
                <w:sz w:val="12"/>
              </w:rPr>
              <w:t>-41.162,88</w:t>
            </w:r>
          </w:p>
        </w:tc>
        <w:tc>
          <w:tcPr>
            <w:tcW w:w="552" w:type="dxa"/>
            <w:shd w:val="clear" w:color="auto" w:fill="D9D9D9"/>
          </w:tcPr>
          <w:p>
            <w:pPr>
              <w:pStyle w:val="TableParagraph"/>
              <w:spacing w:before="78"/>
              <w:ind w:right="44"/>
              <w:jc w:val="right"/>
              <w:rPr>
                <w:b/>
                <w:sz w:val="12"/>
              </w:rPr>
            </w:pPr>
            <w:r>
              <w:rPr>
                <w:b/>
                <w:w w:val="105"/>
                <w:sz w:val="12"/>
              </w:rPr>
              <w:t>1.719,84</w:t>
            </w:r>
          </w:p>
        </w:tc>
        <w:tc>
          <w:tcPr>
            <w:tcW w:w="731" w:type="dxa"/>
            <w:shd w:val="clear" w:color="auto" w:fill="D9D9D9"/>
          </w:tcPr>
          <w:p>
            <w:pPr>
              <w:pStyle w:val="TableParagraph"/>
              <w:spacing w:before="78"/>
              <w:ind w:right="45"/>
              <w:jc w:val="right"/>
              <w:rPr>
                <w:b/>
                <w:sz w:val="12"/>
              </w:rPr>
            </w:pPr>
            <w:r>
              <w:rPr>
                <w:b/>
                <w:w w:val="105"/>
                <w:sz w:val="12"/>
              </w:rPr>
              <w:t>146.761,83</w:t>
            </w:r>
          </w:p>
        </w:tc>
        <w:tc>
          <w:tcPr>
            <w:tcW w:w="589" w:type="dxa"/>
            <w:shd w:val="clear" w:color="auto" w:fill="D9D9D9"/>
          </w:tcPr>
          <w:p>
            <w:pPr>
              <w:pStyle w:val="TableParagraph"/>
              <w:spacing w:before="78"/>
              <w:ind w:right="43"/>
              <w:jc w:val="right"/>
              <w:rPr>
                <w:b/>
                <w:sz w:val="12"/>
              </w:rPr>
            </w:pPr>
            <w:r>
              <w:rPr>
                <w:b/>
                <w:w w:val="105"/>
                <w:sz w:val="12"/>
              </w:rPr>
              <w:t>9.033,94</w:t>
            </w:r>
          </w:p>
        </w:tc>
        <w:tc>
          <w:tcPr>
            <w:tcW w:w="669" w:type="dxa"/>
            <w:shd w:val="clear" w:color="auto" w:fill="D9D9D9"/>
          </w:tcPr>
          <w:p>
            <w:pPr>
              <w:pStyle w:val="TableParagraph"/>
              <w:spacing w:before="78"/>
              <w:ind w:right="44"/>
              <w:jc w:val="right"/>
              <w:rPr>
                <w:b/>
                <w:sz w:val="12"/>
              </w:rPr>
            </w:pPr>
            <w:r>
              <w:rPr>
                <w:b/>
                <w:w w:val="105"/>
                <w:sz w:val="12"/>
              </w:rPr>
              <w:t>43.593,57</w:t>
            </w:r>
          </w:p>
        </w:tc>
        <w:tc>
          <w:tcPr>
            <w:tcW w:w="574" w:type="dxa"/>
            <w:shd w:val="clear" w:color="auto" w:fill="D9D9D9"/>
          </w:tcPr>
          <w:p>
            <w:pPr>
              <w:pStyle w:val="TableParagraph"/>
              <w:spacing w:before="78"/>
              <w:ind w:right="42"/>
              <w:jc w:val="right"/>
              <w:rPr>
                <w:b/>
                <w:sz w:val="12"/>
              </w:rPr>
            </w:pPr>
            <w:r>
              <w:rPr>
                <w:b/>
                <w:w w:val="105"/>
                <w:sz w:val="12"/>
              </w:rPr>
              <w:t>1.897,06</w:t>
            </w:r>
          </w:p>
        </w:tc>
        <w:tc>
          <w:tcPr>
            <w:tcW w:w="611" w:type="dxa"/>
            <w:shd w:val="clear" w:color="auto" w:fill="D9D9D9"/>
          </w:tcPr>
          <w:p>
            <w:pPr>
              <w:pStyle w:val="TableParagraph"/>
              <w:spacing w:before="78"/>
              <w:ind w:right="41"/>
              <w:jc w:val="right"/>
              <w:rPr>
                <w:b/>
                <w:sz w:val="12"/>
              </w:rPr>
            </w:pPr>
            <w:r>
              <w:rPr>
                <w:b/>
                <w:w w:val="105"/>
                <w:sz w:val="12"/>
              </w:rPr>
              <w:t>2.733,86</w:t>
            </w:r>
          </w:p>
        </w:tc>
        <w:tc>
          <w:tcPr>
            <w:tcW w:w="615" w:type="dxa"/>
            <w:shd w:val="clear" w:color="auto" w:fill="D9D9D9"/>
          </w:tcPr>
          <w:p>
            <w:pPr>
              <w:pStyle w:val="TableParagraph"/>
              <w:spacing w:before="78"/>
              <w:ind w:right="40"/>
              <w:jc w:val="right"/>
              <w:rPr>
                <w:b/>
                <w:sz w:val="12"/>
              </w:rPr>
            </w:pPr>
            <w:r>
              <w:rPr>
                <w:b/>
                <w:w w:val="105"/>
                <w:sz w:val="12"/>
              </w:rPr>
              <w:t>9.465,98</w:t>
            </w:r>
          </w:p>
        </w:tc>
        <w:tc>
          <w:tcPr>
            <w:tcW w:w="525" w:type="dxa"/>
            <w:shd w:val="clear" w:color="auto" w:fill="D9D9D9"/>
          </w:tcPr>
          <w:p>
            <w:pPr>
              <w:pStyle w:val="TableParagraph"/>
              <w:rPr>
                <w:rFonts w:ascii="Times New Roman"/>
                <w:sz w:val="12"/>
              </w:rPr>
            </w:pPr>
          </w:p>
        </w:tc>
        <w:tc>
          <w:tcPr>
            <w:tcW w:w="698" w:type="dxa"/>
            <w:shd w:val="clear" w:color="auto" w:fill="D9D9D9"/>
          </w:tcPr>
          <w:p>
            <w:pPr>
              <w:pStyle w:val="TableParagraph"/>
              <w:spacing w:before="78"/>
              <w:ind w:right="38"/>
              <w:jc w:val="right"/>
              <w:rPr>
                <w:b/>
                <w:sz w:val="12"/>
              </w:rPr>
            </w:pPr>
            <w:r>
              <w:rPr>
                <w:b/>
                <w:w w:val="105"/>
                <w:sz w:val="12"/>
              </w:rPr>
              <w:t>378.781,48</w:t>
            </w:r>
          </w:p>
        </w:tc>
      </w:tr>
      <w:tr>
        <w:trPr>
          <w:trHeight w:val="150" w:hRule="atLeast"/>
        </w:trPr>
        <w:tc>
          <w:tcPr>
            <w:tcW w:w="1873" w:type="dxa"/>
          </w:tcPr>
          <w:p>
            <w:pPr>
              <w:pStyle w:val="TableParagraph"/>
              <w:spacing w:line="128" w:lineRule="exact" w:before="2"/>
              <w:ind w:left="52"/>
              <w:rPr>
                <w:b/>
                <w:sz w:val="12"/>
              </w:rPr>
            </w:pPr>
            <w:r>
              <w:rPr>
                <w:b/>
                <w:w w:val="105"/>
                <w:sz w:val="12"/>
              </w:rPr>
              <w:t>V.SALDO DE LA CUENTA 413</w:t>
            </w:r>
          </w:p>
        </w:tc>
        <w:tc>
          <w:tcPr>
            <w:tcW w:w="590" w:type="dxa"/>
          </w:tcPr>
          <w:p>
            <w:pPr>
              <w:pStyle w:val="TableParagraph"/>
              <w:spacing w:line="128" w:lineRule="exact" w:before="2"/>
              <w:ind w:right="42"/>
              <w:jc w:val="right"/>
              <w:rPr>
                <w:sz w:val="12"/>
              </w:rPr>
            </w:pPr>
            <w:r>
              <w:rPr>
                <w:sz w:val="12"/>
              </w:rPr>
              <w:t>8,30</w:t>
            </w:r>
          </w:p>
        </w:tc>
        <w:tc>
          <w:tcPr>
            <w:tcW w:w="592" w:type="dxa"/>
          </w:tcPr>
          <w:p>
            <w:pPr>
              <w:pStyle w:val="TableParagraph"/>
              <w:spacing w:line="128" w:lineRule="exact" w:before="2"/>
              <w:ind w:right="45"/>
              <w:jc w:val="right"/>
              <w:rPr>
                <w:sz w:val="12"/>
              </w:rPr>
            </w:pPr>
            <w:r>
              <w:rPr>
                <w:sz w:val="12"/>
              </w:rPr>
              <w:t>1,16</w:t>
            </w:r>
          </w:p>
        </w:tc>
        <w:tc>
          <w:tcPr>
            <w:tcW w:w="732" w:type="dxa"/>
          </w:tcPr>
          <w:p>
            <w:pPr>
              <w:pStyle w:val="TableParagraph"/>
              <w:spacing w:line="128" w:lineRule="exact" w:before="2"/>
              <w:ind w:right="46"/>
              <w:jc w:val="right"/>
              <w:rPr>
                <w:sz w:val="12"/>
              </w:rPr>
            </w:pPr>
            <w:r>
              <w:rPr>
                <w:w w:val="105"/>
                <w:sz w:val="12"/>
              </w:rPr>
              <w:t>4.129,52</w:t>
            </w:r>
          </w:p>
        </w:tc>
        <w:tc>
          <w:tcPr>
            <w:tcW w:w="263" w:type="dxa"/>
          </w:tcPr>
          <w:p>
            <w:pPr>
              <w:pStyle w:val="TableParagraph"/>
              <w:rPr>
                <w:rFonts w:ascii="Times New Roman"/>
                <w:sz w:val="8"/>
              </w:rPr>
            </w:pPr>
          </w:p>
        </w:tc>
        <w:tc>
          <w:tcPr>
            <w:tcW w:w="638" w:type="dxa"/>
          </w:tcPr>
          <w:p>
            <w:pPr>
              <w:pStyle w:val="TableParagraph"/>
              <w:spacing w:line="128" w:lineRule="exact" w:before="2"/>
              <w:ind w:right="45"/>
              <w:jc w:val="right"/>
              <w:rPr>
                <w:sz w:val="12"/>
              </w:rPr>
            </w:pPr>
            <w:r>
              <w:rPr>
                <w:sz w:val="12"/>
              </w:rPr>
              <w:t>126,86</w:t>
            </w:r>
          </w:p>
        </w:tc>
        <w:tc>
          <w:tcPr>
            <w:tcW w:w="638" w:type="dxa"/>
          </w:tcPr>
          <w:p>
            <w:pPr>
              <w:pStyle w:val="TableParagraph"/>
              <w:spacing w:line="128" w:lineRule="exact" w:before="2"/>
              <w:ind w:right="46"/>
              <w:jc w:val="right"/>
              <w:rPr>
                <w:sz w:val="12"/>
              </w:rPr>
            </w:pPr>
            <w:r>
              <w:rPr>
                <w:sz w:val="12"/>
              </w:rPr>
              <w:t>0,00</w:t>
            </w:r>
          </w:p>
        </w:tc>
        <w:tc>
          <w:tcPr>
            <w:tcW w:w="746" w:type="dxa"/>
          </w:tcPr>
          <w:p>
            <w:pPr>
              <w:pStyle w:val="TableParagraph"/>
              <w:spacing w:line="128" w:lineRule="exact" w:before="2"/>
              <w:ind w:right="44"/>
              <w:jc w:val="right"/>
              <w:rPr>
                <w:sz w:val="12"/>
              </w:rPr>
            </w:pPr>
            <w:r>
              <w:rPr>
                <w:w w:val="105"/>
                <w:sz w:val="12"/>
              </w:rPr>
              <w:t>119.171,24</w:t>
            </w:r>
          </w:p>
        </w:tc>
        <w:tc>
          <w:tcPr>
            <w:tcW w:w="552" w:type="dxa"/>
          </w:tcPr>
          <w:p>
            <w:pPr>
              <w:pStyle w:val="TableParagraph"/>
              <w:spacing w:line="128" w:lineRule="exact" w:before="2"/>
              <w:ind w:right="43"/>
              <w:jc w:val="right"/>
              <w:rPr>
                <w:sz w:val="12"/>
              </w:rPr>
            </w:pPr>
            <w:r>
              <w:rPr>
                <w:sz w:val="12"/>
              </w:rPr>
              <w:t>3,56</w:t>
            </w:r>
          </w:p>
        </w:tc>
        <w:tc>
          <w:tcPr>
            <w:tcW w:w="731" w:type="dxa"/>
          </w:tcPr>
          <w:p>
            <w:pPr>
              <w:pStyle w:val="TableParagraph"/>
              <w:spacing w:line="128" w:lineRule="exact" w:before="2"/>
              <w:ind w:right="45"/>
              <w:jc w:val="right"/>
              <w:rPr>
                <w:sz w:val="12"/>
              </w:rPr>
            </w:pPr>
            <w:r>
              <w:rPr>
                <w:w w:val="105"/>
                <w:sz w:val="12"/>
              </w:rPr>
              <w:t>7.401,31</w:t>
            </w:r>
          </w:p>
        </w:tc>
        <w:tc>
          <w:tcPr>
            <w:tcW w:w="589" w:type="dxa"/>
          </w:tcPr>
          <w:p>
            <w:pPr>
              <w:pStyle w:val="TableParagraph"/>
              <w:spacing w:line="128" w:lineRule="exact" w:before="2"/>
              <w:ind w:right="43"/>
              <w:jc w:val="right"/>
              <w:rPr>
                <w:sz w:val="12"/>
              </w:rPr>
            </w:pPr>
            <w:r>
              <w:rPr>
                <w:sz w:val="12"/>
              </w:rPr>
              <w:t>28,44</w:t>
            </w:r>
          </w:p>
        </w:tc>
        <w:tc>
          <w:tcPr>
            <w:tcW w:w="669" w:type="dxa"/>
          </w:tcPr>
          <w:p>
            <w:pPr>
              <w:pStyle w:val="TableParagraph"/>
              <w:spacing w:line="128" w:lineRule="exact" w:before="2"/>
              <w:ind w:right="44"/>
              <w:jc w:val="right"/>
              <w:rPr>
                <w:sz w:val="12"/>
              </w:rPr>
            </w:pPr>
            <w:r>
              <w:rPr>
                <w:w w:val="105"/>
                <w:sz w:val="12"/>
              </w:rPr>
              <w:t>49,90</w:t>
            </w:r>
          </w:p>
        </w:tc>
        <w:tc>
          <w:tcPr>
            <w:tcW w:w="574" w:type="dxa"/>
          </w:tcPr>
          <w:p>
            <w:pPr>
              <w:pStyle w:val="TableParagraph"/>
              <w:spacing w:line="128" w:lineRule="exact" w:before="2"/>
              <w:ind w:right="41"/>
              <w:jc w:val="right"/>
              <w:rPr>
                <w:sz w:val="12"/>
              </w:rPr>
            </w:pPr>
            <w:r>
              <w:rPr>
                <w:sz w:val="12"/>
              </w:rPr>
              <w:t>0,45</w:t>
            </w:r>
          </w:p>
        </w:tc>
        <w:tc>
          <w:tcPr>
            <w:tcW w:w="611" w:type="dxa"/>
          </w:tcPr>
          <w:p>
            <w:pPr>
              <w:pStyle w:val="TableParagraph"/>
              <w:spacing w:line="128" w:lineRule="exact" w:before="2"/>
              <w:ind w:right="41"/>
              <w:jc w:val="right"/>
              <w:rPr>
                <w:sz w:val="12"/>
              </w:rPr>
            </w:pPr>
            <w:r>
              <w:rPr>
                <w:sz w:val="12"/>
              </w:rPr>
              <w:t>3,66</w:t>
            </w:r>
          </w:p>
        </w:tc>
        <w:tc>
          <w:tcPr>
            <w:tcW w:w="615" w:type="dxa"/>
          </w:tcPr>
          <w:p>
            <w:pPr>
              <w:pStyle w:val="TableParagraph"/>
              <w:spacing w:line="128" w:lineRule="exact" w:before="2"/>
              <w:ind w:right="40"/>
              <w:jc w:val="right"/>
              <w:rPr>
                <w:sz w:val="12"/>
              </w:rPr>
            </w:pPr>
            <w:r>
              <w:rPr>
                <w:w w:val="105"/>
                <w:sz w:val="12"/>
              </w:rPr>
              <w:t>-1.807,92</w:t>
            </w:r>
          </w:p>
        </w:tc>
        <w:tc>
          <w:tcPr>
            <w:tcW w:w="525" w:type="dxa"/>
          </w:tcPr>
          <w:p>
            <w:pPr>
              <w:pStyle w:val="TableParagraph"/>
              <w:rPr>
                <w:rFonts w:ascii="Times New Roman"/>
                <w:sz w:val="8"/>
              </w:rPr>
            </w:pPr>
          </w:p>
        </w:tc>
        <w:tc>
          <w:tcPr>
            <w:tcW w:w="698" w:type="dxa"/>
          </w:tcPr>
          <w:p>
            <w:pPr>
              <w:pStyle w:val="TableParagraph"/>
              <w:spacing w:line="128" w:lineRule="exact" w:before="2"/>
              <w:ind w:right="38"/>
              <w:jc w:val="right"/>
              <w:rPr>
                <w:sz w:val="12"/>
              </w:rPr>
            </w:pPr>
            <w:r>
              <w:rPr>
                <w:w w:val="105"/>
                <w:sz w:val="12"/>
              </w:rPr>
              <w:t>129.116,47</w:t>
            </w:r>
          </w:p>
        </w:tc>
      </w:tr>
      <w:tr>
        <w:trPr>
          <w:trHeight w:val="148" w:hRule="atLeast"/>
        </w:trPr>
        <w:tc>
          <w:tcPr>
            <w:tcW w:w="1873" w:type="dxa"/>
          </w:tcPr>
          <w:p>
            <w:pPr>
              <w:pStyle w:val="TableParagraph"/>
              <w:spacing w:line="127" w:lineRule="exact" w:before="2"/>
              <w:ind w:left="52"/>
              <w:rPr>
                <w:b/>
                <w:sz w:val="12"/>
              </w:rPr>
            </w:pPr>
            <w:r>
              <w:rPr>
                <w:b/>
                <w:w w:val="105"/>
                <w:sz w:val="12"/>
              </w:rPr>
              <w:t>VI.POR DEV. DE INGRESOS</w:t>
            </w:r>
          </w:p>
        </w:tc>
        <w:tc>
          <w:tcPr>
            <w:tcW w:w="590" w:type="dxa"/>
          </w:tcPr>
          <w:p>
            <w:pPr>
              <w:pStyle w:val="TableParagraph"/>
              <w:spacing w:line="127" w:lineRule="exact" w:before="2"/>
              <w:ind w:right="42"/>
              <w:jc w:val="right"/>
              <w:rPr>
                <w:sz w:val="12"/>
              </w:rPr>
            </w:pPr>
            <w:r>
              <w:rPr>
                <w:sz w:val="12"/>
              </w:rPr>
              <w:t>0,00</w:t>
            </w:r>
          </w:p>
        </w:tc>
        <w:tc>
          <w:tcPr>
            <w:tcW w:w="592" w:type="dxa"/>
          </w:tcPr>
          <w:p>
            <w:pPr>
              <w:pStyle w:val="TableParagraph"/>
              <w:spacing w:line="127" w:lineRule="exact" w:before="2"/>
              <w:ind w:right="45"/>
              <w:jc w:val="right"/>
              <w:rPr>
                <w:sz w:val="12"/>
              </w:rPr>
            </w:pPr>
            <w:r>
              <w:rPr>
                <w:sz w:val="12"/>
              </w:rPr>
              <w:t>0,00</w:t>
            </w:r>
          </w:p>
        </w:tc>
        <w:tc>
          <w:tcPr>
            <w:tcW w:w="732" w:type="dxa"/>
          </w:tcPr>
          <w:p>
            <w:pPr>
              <w:pStyle w:val="TableParagraph"/>
              <w:spacing w:line="127" w:lineRule="exact" w:before="2"/>
              <w:ind w:right="45"/>
              <w:jc w:val="right"/>
              <w:rPr>
                <w:sz w:val="12"/>
              </w:rPr>
            </w:pPr>
            <w:r>
              <w:rPr>
                <w:sz w:val="12"/>
              </w:rPr>
              <w:t>0,00</w:t>
            </w:r>
          </w:p>
        </w:tc>
        <w:tc>
          <w:tcPr>
            <w:tcW w:w="263" w:type="dxa"/>
          </w:tcPr>
          <w:p>
            <w:pPr>
              <w:pStyle w:val="TableParagraph"/>
              <w:rPr>
                <w:rFonts w:ascii="Times New Roman"/>
                <w:sz w:val="8"/>
              </w:rPr>
            </w:pPr>
          </w:p>
        </w:tc>
        <w:tc>
          <w:tcPr>
            <w:tcW w:w="638" w:type="dxa"/>
          </w:tcPr>
          <w:p>
            <w:pPr>
              <w:pStyle w:val="TableParagraph"/>
              <w:spacing w:line="127" w:lineRule="exact" w:before="2"/>
              <w:ind w:right="45"/>
              <w:jc w:val="right"/>
              <w:rPr>
                <w:sz w:val="12"/>
              </w:rPr>
            </w:pPr>
            <w:r>
              <w:rPr>
                <w:sz w:val="12"/>
              </w:rPr>
              <w:t>0,00</w:t>
            </w:r>
          </w:p>
        </w:tc>
        <w:tc>
          <w:tcPr>
            <w:tcW w:w="638" w:type="dxa"/>
          </w:tcPr>
          <w:p>
            <w:pPr>
              <w:pStyle w:val="TableParagraph"/>
              <w:spacing w:line="127" w:lineRule="exact" w:before="2"/>
              <w:ind w:right="46"/>
              <w:jc w:val="right"/>
              <w:rPr>
                <w:sz w:val="12"/>
              </w:rPr>
            </w:pPr>
            <w:r>
              <w:rPr>
                <w:w w:val="105"/>
                <w:sz w:val="12"/>
              </w:rPr>
              <w:t>2.061,29</w:t>
            </w:r>
          </w:p>
        </w:tc>
        <w:tc>
          <w:tcPr>
            <w:tcW w:w="746" w:type="dxa"/>
          </w:tcPr>
          <w:p>
            <w:pPr>
              <w:pStyle w:val="TableParagraph"/>
              <w:spacing w:line="127" w:lineRule="exact" w:before="2"/>
              <w:ind w:right="44"/>
              <w:jc w:val="right"/>
              <w:rPr>
                <w:sz w:val="12"/>
              </w:rPr>
            </w:pPr>
            <w:r>
              <w:rPr>
                <w:sz w:val="12"/>
              </w:rPr>
              <w:t>205,74</w:t>
            </w:r>
          </w:p>
        </w:tc>
        <w:tc>
          <w:tcPr>
            <w:tcW w:w="552" w:type="dxa"/>
          </w:tcPr>
          <w:p>
            <w:pPr>
              <w:pStyle w:val="TableParagraph"/>
              <w:spacing w:line="127" w:lineRule="exact" w:before="2"/>
              <w:ind w:right="43"/>
              <w:jc w:val="right"/>
              <w:rPr>
                <w:sz w:val="12"/>
              </w:rPr>
            </w:pPr>
            <w:r>
              <w:rPr>
                <w:sz w:val="12"/>
              </w:rPr>
              <w:t>0,00</w:t>
            </w:r>
          </w:p>
        </w:tc>
        <w:tc>
          <w:tcPr>
            <w:tcW w:w="731" w:type="dxa"/>
          </w:tcPr>
          <w:p>
            <w:pPr>
              <w:pStyle w:val="TableParagraph"/>
              <w:spacing w:line="127" w:lineRule="exact" w:before="2"/>
              <w:ind w:right="45"/>
              <w:jc w:val="right"/>
              <w:rPr>
                <w:sz w:val="12"/>
              </w:rPr>
            </w:pPr>
            <w:r>
              <w:rPr>
                <w:sz w:val="12"/>
              </w:rPr>
              <w:t>0,00</w:t>
            </w:r>
          </w:p>
        </w:tc>
        <w:tc>
          <w:tcPr>
            <w:tcW w:w="589" w:type="dxa"/>
          </w:tcPr>
          <w:p>
            <w:pPr>
              <w:pStyle w:val="TableParagraph"/>
              <w:spacing w:line="127" w:lineRule="exact" w:before="2"/>
              <w:ind w:right="43"/>
              <w:jc w:val="right"/>
              <w:rPr>
                <w:sz w:val="12"/>
              </w:rPr>
            </w:pPr>
            <w:r>
              <w:rPr>
                <w:sz w:val="12"/>
              </w:rPr>
              <w:t>0,00</w:t>
            </w:r>
          </w:p>
        </w:tc>
        <w:tc>
          <w:tcPr>
            <w:tcW w:w="669" w:type="dxa"/>
          </w:tcPr>
          <w:p>
            <w:pPr>
              <w:pStyle w:val="TableParagraph"/>
              <w:spacing w:line="127" w:lineRule="exact" w:before="2"/>
              <w:ind w:right="44"/>
              <w:jc w:val="right"/>
              <w:rPr>
                <w:sz w:val="12"/>
              </w:rPr>
            </w:pPr>
            <w:r>
              <w:rPr>
                <w:w w:val="105"/>
                <w:sz w:val="12"/>
              </w:rPr>
              <w:t>33,64</w:t>
            </w:r>
          </w:p>
        </w:tc>
        <w:tc>
          <w:tcPr>
            <w:tcW w:w="574" w:type="dxa"/>
          </w:tcPr>
          <w:p>
            <w:pPr>
              <w:pStyle w:val="TableParagraph"/>
              <w:spacing w:line="127" w:lineRule="exact" w:before="2"/>
              <w:ind w:right="41"/>
              <w:jc w:val="right"/>
              <w:rPr>
                <w:sz w:val="12"/>
              </w:rPr>
            </w:pPr>
            <w:r>
              <w:rPr>
                <w:sz w:val="12"/>
              </w:rPr>
              <w:t>0,17</w:t>
            </w:r>
          </w:p>
        </w:tc>
        <w:tc>
          <w:tcPr>
            <w:tcW w:w="611" w:type="dxa"/>
          </w:tcPr>
          <w:p>
            <w:pPr>
              <w:pStyle w:val="TableParagraph"/>
              <w:spacing w:line="127" w:lineRule="exact" w:before="2"/>
              <w:ind w:right="41"/>
              <w:jc w:val="right"/>
              <w:rPr>
                <w:sz w:val="12"/>
              </w:rPr>
            </w:pPr>
            <w:r>
              <w:rPr>
                <w:sz w:val="12"/>
              </w:rPr>
              <w:t>0,00</w:t>
            </w:r>
          </w:p>
        </w:tc>
        <w:tc>
          <w:tcPr>
            <w:tcW w:w="615" w:type="dxa"/>
          </w:tcPr>
          <w:p>
            <w:pPr>
              <w:pStyle w:val="TableParagraph"/>
              <w:spacing w:line="127" w:lineRule="exact" w:before="2"/>
              <w:ind w:right="40"/>
              <w:jc w:val="right"/>
              <w:rPr>
                <w:sz w:val="12"/>
              </w:rPr>
            </w:pPr>
            <w:r>
              <w:rPr>
                <w:sz w:val="12"/>
              </w:rPr>
              <w:t>0,00</w:t>
            </w:r>
          </w:p>
        </w:tc>
        <w:tc>
          <w:tcPr>
            <w:tcW w:w="525" w:type="dxa"/>
          </w:tcPr>
          <w:p>
            <w:pPr>
              <w:pStyle w:val="TableParagraph"/>
              <w:rPr>
                <w:rFonts w:ascii="Times New Roman"/>
                <w:sz w:val="8"/>
              </w:rPr>
            </w:pPr>
          </w:p>
        </w:tc>
        <w:tc>
          <w:tcPr>
            <w:tcW w:w="698" w:type="dxa"/>
          </w:tcPr>
          <w:p>
            <w:pPr>
              <w:pStyle w:val="TableParagraph"/>
              <w:spacing w:line="127" w:lineRule="exact" w:before="2"/>
              <w:ind w:right="38"/>
              <w:jc w:val="right"/>
              <w:rPr>
                <w:sz w:val="12"/>
              </w:rPr>
            </w:pPr>
            <w:r>
              <w:rPr>
                <w:w w:val="105"/>
                <w:sz w:val="12"/>
              </w:rPr>
              <w:t>2.300,85</w:t>
            </w:r>
          </w:p>
        </w:tc>
      </w:tr>
      <w:tr>
        <w:trPr>
          <w:trHeight w:val="301" w:hRule="atLeast"/>
        </w:trPr>
        <w:tc>
          <w:tcPr>
            <w:tcW w:w="1873" w:type="dxa"/>
            <w:shd w:val="clear" w:color="auto" w:fill="D9D9D9"/>
          </w:tcPr>
          <w:p>
            <w:pPr>
              <w:pStyle w:val="TableParagraph"/>
              <w:spacing w:before="4"/>
              <w:ind w:left="52"/>
              <w:rPr>
                <w:b/>
                <w:sz w:val="12"/>
              </w:rPr>
            </w:pPr>
            <w:r>
              <w:rPr>
                <w:b/>
                <w:w w:val="105"/>
                <w:sz w:val="12"/>
              </w:rPr>
              <w:t>VII.REMAN D TESOR. TEORÍCO O</w:t>
            </w:r>
          </w:p>
          <w:p>
            <w:pPr>
              <w:pStyle w:val="TableParagraph"/>
              <w:spacing w:line="127" w:lineRule="exact" w:before="4"/>
              <w:ind w:left="52"/>
              <w:rPr>
                <w:b/>
                <w:sz w:val="12"/>
              </w:rPr>
            </w:pPr>
            <w:r>
              <w:rPr>
                <w:b/>
                <w:w w:val="105"/>
                <w:sz w:val="12"/>
              </w:rPr>
              <w:t>LIBRE DE DISPOSICIÓN (IV-V-VI)</w:t>
            </w:r>
          </w:p>
        </w:tc>
        <w:tc>
          <w:tcPr>
            <w:tcW w:w="590" w:type="dxa"/>
            <w:shd w:val="clear" w:color="auto" w:fill="D9D9D9"/>
          </w:tcPr>
          <w:p>
            <w:pPr>
              <w:pStyle w:val="TableParagraph"/>
              <w:spacing w:before="78"/>
              <w:ind w:right="42"/>
              <w:jc w:val="right"/>
              <w:rPr>
                <w:b/>
                <w:sz w:val="12"/>
              </w:rPr>
            </w:pPr>
            <w:r>
              <w:rPr>
                <w:b/>
                <w:w w:val="105"/>
                <w:sz w:val="12"/>
              </w:rPr>
              <w:t>6.058,32</w:t>
            </w:r>
          </w:p>
        </w:tc>
        <w:tc>
          <w:tcPr>
            <w:tcW w:w="592" w:type="dxa"/>
            <w:shd w:val="clear" w:color="auto" w:fill="D9D9D9"/>
          </w:tcPr>
          <w:p>
            <w:pPr>
              <w:pStyle w:val="TableParagraph"/>
              <w:spacing w:before="78"/>
              <w:ind w:right="45"/>
              <w:jc w:val="right"/>
              <w:rPr>
                <w:b/>
                <w:sz w:val="12"/>
              </w:rPr>
            </w:pPr>
            <w:r>
              <w:rPr>
                <w:b/>
                <w:w w:val="105"/>
                <w:sz w:val="12"/>
              </w:rPr>
              <w:t>3.124,12</w:t>
            </w:r>
          </w:p>
        </w:tc>
        <w:tc>
          <w:tcPr>
            <w:tcW w:w="732" w:type="dxa"/>
            <w:shd w:val="clear" w:color="auto" w:fill="D9D9D9"/>
          </w:tcPr>
          <w:p>
            <w:pPr>
              <w:pStyle w:val="TableParagraph"/>
              <w:spacing w:before="78"/>
              <w:ind w:right="46"/>
              <w:jc w:val="right"/>
              <w:rPr>
                <w:b/>
                <w:sz w:val="12"/>
              </w:rPr>
            </w:pPr>
            <w:r>
              <w:rPr>
                <w:b/>
                <w:w w:val="105"/>
                <w:sz w:val="12"/>
              </w:rPr>
              <w:t>180.688,25</w:t>
            </w:r>
          </w:p>
        </w:tc>
        <w:tc>
          <w:tcPr>
            <w:tcW w:w="263" w:type="dxa"/>
            <w:shd w:val="clear" w:color="auto" w:fill="D9D9D9"/>
          </w:tcPr>
          <w:p>
            <w:pPr>
              <w:pStyle w:val="TableParagraph"/>
              <w:rPr>
                <w:rFonts w:ascii="Times New Roman"/>
                <w:sz w:val="12"/>
              </w:rPr>
            </w:pPr>
          </w:p>
        </w:tc>
        <w:tc>
          <w:tcPr>
            <w:tcW w:w="638" w:type="dxa"/>
            <w:shd w:val="clear" w:color="auto" w:fill="D9D9D9"/>
          </w:tcPr>
          <w:p>
            <w:pPr>
              <w:pStyle w:val="TableParagraph"/>
              <w:spacing w:before="78"/>
              <w:ind w:right="45"/>
              <w:jc w:val="right"/>
              <w:rPr>
                <w:b/>
                <w:sz w:val="12"/>
              </w:rPr>
            </w:pPr>
            <w:r>
              <w:rPr>
                <w:b/>
                <w:w w:val="105"/>
                <w:sz w:val="12"/>
              </w:rPr>
              <w:t>10.783,45</w:t>
            </w:r>
          </w:p>
        </w:tc>
        <w:tc>
          <w:tcPr>
            <w:tcW w:w="638" w:type="dxa"/>
            <w:shd w:val="clear" w:color="auto" w:fill="D9D9D9"/>
          </w:tcPr>
          <w:p>
            <w:pPr>
              <w:pStyle w:val="TableParagraph"/>
              <w:spacing w:before="78"/>
              <w:ind w:right="45"/>
              <w:jc w:val="right"/>
              <w:rPr>
                <w:b/>
                <w:sz w:val="12"/>
              </w:rPr>
            </w:pPr>
            <w:r>
              <w:rPr>
                <w:b/>
                <w:w w:val="105"/>
                <w:sz w:val="12"/>
              </w:rPr>
              <w:t>-2.242,99</w:t>
            </w:r>
          </w:p>
        </w:tc>
        <w:tc>
          <w:tcPr>
            <w:tcW w:w="746" w:type="dxa"/>
            <w:shd w:val="clear" w:color="auto" w:fill="D9D9D9"/>
          </w:tcPr>
          <w:p>
            <w:pPr>
              <w:pStyle w:val="TableParagraph"/>
              <w:spacing w:before="78"/>
              <w:ind w:right="43"/>
              <w:jc w:val="right"/>
              <w:rPr>
                <w:b/>
                <w:sz w:val="12"/>
              </w:rPr>
            </w:pPr>
            <w:r>
              <w:rPr>
                <w:b/>
                <w:w w:val="105"/>
                <w:sz w:val="12"/>
              </w:rPr>
              <w:t>-160.539,86</w:t>
            </w:r>
          </w:p>
        </w:tc>
        <w:tc>
          <w:tcPr>
            <w:tcW w:w="552" w:type="dxa"/>
            <w:shd w:val="clear" w:color="auto" w:fill="D9D9D9"/>
          </w:tcPr>
          <w:p>
            <w:pPr>
              <w:pStyle w:val="TableParagraph"/>
              <w:spacing w:before="78"/>
              <w:ind w:right="44"/>
              <w:jc w:val="right"/>
              <w:rPr>
                <w:b/>
                <w:sz w:val="12"/>
              </w:rPr>
            </w:pPr>
            <w:r>
              <w:rPr>
                <w:b/>
                <w:w w:val="105"/>
                <w:sz w:val="12"/>
              </w:rPr>
              <w:t>1.716,28</w:t>
            </w:r>
          </w:p>
        </w:tc>
        <w:tc>
          <w:tcPr>
            <w:tcW w:w="731" w:type="dxa"/>
            <w:shd w:val="clear" w:color="auto" w:fill="D9D9D9"/>
          </w:tcPr>
          <w:p>
            <w:pPr>
              <w:pStyle w:val="TableParagraph"/>
              <w:spacing w:before="78"/>
              <w:ind w:right="45"/>
              <w:jc w:val="right"/>
              <w:rPr>
                <w:b/>
                <w:sz w:val="12"/>
              </w:rPr>
            </w:pPr>
            <w:r>
              <w:rPr>
                <w:b/>
                <w:w w:val="105"/>
                <w:sz w:val="12"/>
              </w:rPr>
              <w:t>139.360,51</w:t>
            </w:r>
          </w:p>
        </w:tc>
        <w:tc>
          <w:tcPr>
            <w:tcW w:w="589" w:type="dxa"/>
            <w:shd w:val="clear" w:color="auto" w:fill="D9D9D9"/>
          </w:tcPr>
          <w:p>
            <w:pPr>
              <w:pStyle w:val="TableParagraph"/>
              <w:spacing w:before="78"/>
              <w:ind w:right="43"/>
              <w:jc w:val="right"/>
              <w:rPr>
                <w:b/>
                <w:sz w:val="12"/>
              </w:rPr>
            </w:pPr>
            <w:r>
              <w:rPr>
                <w:b/>
                <w:w w:val="105"/>
                <w:sz w:val="12"/>
              </w:rPr>
              <w:t>9.005,50</w:t>
            </w:r>
          </w:p>
        </w:tc>
        <w:tc>
          <w:tcPr>
            <w:tcW w:w="669" w:type="dxa"/>
            <w:shd w:val="clear" w:color="auto" w:fill="D9D9D9"/>
          </w:tcPr>
          <w:p>
            <w:pPr>
              <w:pStyle w:val="TableParagraph"/>
              <w:spacing w:before="78"/>
              <w:ind w:right="44"/>
              <w:jc w:val="right"/>
              <w:rPr>
                <w:b/>
                <w:sz w:val="12"/>
              </w:rPr>
            </w:pPr>
            <w:r>
              <w:rPr>
                <w:b/>
                <w:w w:val="105"/>
                <w:sz w:val="12"/>
              </w:rPr>
              <w:t>43.510,03</w:t>
            </w:r>
          </w:p>
        </w:tc>
        <w:tc>
          <w:tcPr>
            <w:tcW w:w="574" w:type="dxa"/>
            <w:shd w:val="clear" w:color="auto" w:fill="D9D9D9"/>
          </w:tcPr>
          <w:p>
            <w:pPr>
              <w:pStyle w:val="TableParagraph"/>
              <w:spacing w:before="78"/>
              <w:ind w:right="42"/>
              <w:jc w:val="right"/>
              <w:rPr>
                <w:b/>
                <w:sz w:val="12"/>
              </w:rPr>
            </w:pPr>
            <w:r>
              <w:rPr>
                <w:b/>
                <w:w w:val="105"/>
                <w:sz w:val="12"/>
              </w:rPr>
              <w:t>1.896,44</w:t>
            </w:r>
          </w:p>
        </w:tc>
        <w:tc>
          <w:tcPr>
            <w:tcW w:w="611" w:type="dxa"/>
            <w:shd w:val="clear" w:color="auto" w:fill="D9D9D9"/>
          </w:tcPr>
          <w:p>
            <w:pPr>
              <w:pStyle w:val="TableParagraph"/>
              <w:spacing w:before="78"/>
              <w:ind w:right="41"/>
              <w:jc w:val="right"/>
              <w:rPr>
                <w:b/>
                <w:sz w:val="12"/>
              </w:rPr>
            </w:pPr>
            <w:r>
              <w:rPr>
                <w:b/>
                <w:w w:val="105"/>
                <w:sz w:val="12"/>
              </w:rPr>
              <w:t>2.730,20</w:t>
            </w:r>
          </w:p>
        </w:tc>
        <w:tc>
          <w:tcPr>
            <w:tcW w:w="615" w:type="dxa"/>
            <w:shd w:val="clear" w:color="auto" w:fill="D9D9D9"/>
          </w:tcPr>
          <w:p>
            <w:pPr>
              <w:pStyle w:val="TableParagraph"/>
              <w:spacing w:before="78"/>
              <w:ind w:right="40"/>
              <w:jc w:val="right"/>
              <w:rPr>
                <w:b/>
                <w:sz w:val="12"/>
              </w:rPr>
            </w:pPr>
            <w:r>
              <w:rPr>
                <w:b/>
                <w:w w:val="105"/>
                <w:sz w:val="12"/>
              </w:rPr>
              <w:t>11.273,90</w:t>
            </w:r>
          </w:p>
        </w:tc>
        <w:tc>
          <w:tcPr>
            <w:tcW w:w="525" w:type="dxa"/>
            <w:shd w:val="clear" w:color="auto" w:fill="D9D9D9"/>
          </w:tcPr>
          <w:p>
            <w:pPr>
              <w:pStyle w:val="TableParagraph"/>
              <w:rPr>
                <w:rFonts w:ascii="Times New Roman"/>
                <w:sz w:val="12"/>
              </w:rPr>
            </w:pPr>
          </w:p>
        </w:tc>
        <w:tc>
          <w:tcPr>
            <w:tcW w:w="698" w:type="dxa"/>
            <w:shd w:val="clear" w:color="auto" w:fill="D9D9D9"/>
          </w:tcPr>
          <w:p>
            <w:pPr>
              <w:pStyle w:val="TableParagraph"/>
              <w:spacing w:before="78"/>
              <w:ind w:right="38"/>
              <w:jc w:val="right"/>
              <w:rPr>
                <w:b/>
                <w:sz w:val="12"/>
              </w:rPr>
            </w:pPr>
            <w:r>
              <w:rPr>
                <w:b/>
                <w:w w:val="105"/>
                <w:sz w:val="12"/>
              </w:rPr>
              <w:t>247.364,16</w:t>
            </w:r>
          </w:p>
        </w:tc>
      </w:tr>
    </w:tbl>
    <w:p>
      <w:pPr>
        <w:spacing w:before="79"/>
        <w:ind w:left="10420" w:right="1577" w:firstLine="0"/>
        <w:jc w:val="center"/>
        <w:rPr>
          <w:sz w:val="18"/>
        </w:rPr>
      </w:pPr>
      <w:r>
        <w:rPr>
          <w:w w:val="105"/>
          <w:sz w:val="18"/>
        </w:rPr>
        <w:t>183</w:t>
      </w:r>
    </w:p>
    <w:p>
      <w:pPr>
        <w:spacing w:before="7"/>
        <w:ind w:left="92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9"/>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391" name="image5.png"/>
                  <wp:cNvGraphicFramePr>
                    <a:graphicFrameLocks noChangeAspect="1"/>
                  </wp:cNvGraphicFramePr>
                  <a:graphic>
                    <a:graphicData uri="http://schemas.openxmlformats.org/drawingml/2006/picture">
                      <pic:pic>
                        <pic:nvPicPr>
                          <pic:cNvPr id="39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185/247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797" w:footer="1006" w:top="1640" w:bottom="1200" w:left="1160" w:right="1160"/>
        </w:sectPr>
      </w:pPr>
    </w:p>
    <w:p>
      <w:pPr>
        <w:spacing w:before="156"/>
        <w:ind w:left="2038" w:right="0" w:firstLine="0"/>
        <w:jc w:val="left"/>
        <w:rPr>
          <w:b/>
          <w:sz w:val="18"/>
        </w:rPr>
      </w:pPr>
      <w:r>
        <w:rPr>
          <w:b/>
          <w:color w:val="53A1B9"/>
          <w:w w:val="105"/>
          <w:sz w:val="18"/>
        </w:rPr>
        <w:t>10.9 Anexo IX. Balance agregado OOAA y EEPP 2022.</w:t>
      </w:r>
    </w:p>
    <w:p>
      <w:pPr>
        <w:spacing w:before="5"/>
        <w:ind w:left="2038" w:right="0" w:firstLine="0"/>
        <w:jc w:val="left"/>
        <w:rPr>
          <w:sz w:val="12"/>
        </w:rPr>
      </w:pPr>
      <w:r>
        <w:rPr>
          <w:w w:val="105"/>
          <w:sz w:val="12"/>
        </w:rPr>
        <w:t>(Miles de €)</w:t>
      </w:r>
    </w:p>
    <w:tbl>
      <w:tblPr>
        <w:tblW w:w="0" w:type="auto"/>
        <w:jc w:val="left"/>
        <w:tblInd w:w="1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9"/>
        <w:gridCol w:w="636"/>
        <w:gridCol w:w="638"/>
        <w:gridCol w:w="731"/>
        <w:gridCol w:w="357"/>
        <w:gridCol w:w="685"/>
        <w:gridCol w:w="638"/>
        <w:gridCol w:w="823"/>
        <w:gridCol w:w="592"/>
        <w:gridCol w:w="732"/>
        <w:gridCol w:w="637"/>
        <w:gridCol w:w="639"/>
        <w:gridCol w:w="608"/>
        <w:gridCol w:w="639"/>
        <w:gridCol w:w="684"/>
        <w:gridCol w:w="561"/>
        <w:gridCol w:w="841"/>
      </w:tblGrid>
      <w:tr>
        <w:trPr>
          <w:trHeight w:val="456" w:hRule="atLeast"/>
        </w:trPr>
        <w:tc>
          <w:tcPr>
            <w:tcW w:w="1369" w:type="dxa"/>
            <w:shd w:val="clear" w:color="auto" w:fill="DEEAF6"/>
          </w:tcPr>
          <w:p>
            <w:pPr>
              <w:pStyle w:val="TableParagraph"/>
              <w:spacing w:before="10"/>
              <w:rPr>
                <w:sz w:val="12"/>
              </w:rPr>
            </w:pPr>
          </w:p>
          <w:p>
            <w:pPr>
              <w:pStyle w:val="TableParagraph"/>
              <w:ind w:left="352" w:right="347"/>
              <w:jc w:val="center"/>
              <w:rPr>
                <w:b/>
                <w:sz w:val="12"/>
              </w:rPr>
            </w:pPr>
            <w:r>
              <w:rPr>
                <w:b/>
                <w:w w:val="105"/>
                <w:sz w:val="12"/>
              </w:rPr>
              <w:t>31/12/2022</w:t>
            </w:r>
          </w:p>
        </w:tc>
        <w:tc>
          <w:tcPr>
            <w:tcW w:w="636" w:type="dxa"/>
            <w:shd w:val="clear" w:color="auto" w:fill="DEEAF6"/>
          </w:tcPr>
          <w:p>
            <w:pPr>
              <w:pStyle w:val="TableParagraph"/>
              <w:spacing w:before="10"/>
              <w:rPr>
                <w:sz w:val="12"/>
              </w:rPr>
            </w:pPr>
          </w:p>
          <w:p>
            <w:pPr>
              <w:pStyle w:val="TableParagraph"/>
              <w:ind w:left="30" w:right="21"/>
              <w:jc w:val="center"/>
              <w:rPr>
                <w:b/>
                <w:sz w:val="12"/>
              </w:rPr>
            </w:pPr>
            <w:r>
              <w:rPr>
                <w:b/>
                <w:w w:val="105"/>
                <w:sz w:val="12"/>
              </w:rPr>
              <w:t>ICAP</w:t>
            </w:r>
          </w:p>
        </w:tc>
        <w:tc>
          <w:tcPr>
            <w:tcW w:w="638" w:type="dxa"/>
            <w:shd w:val="clear" w:color="auto" w:fill="DEEAF6"/>
          </w:tcPr>
          <w:p>
            <w:pPr>
              <w:pStyle w:val="TableParagraph"/>
              <w:spacing w:before="10"/>
              <w:rPr>
                <w:sz w:val="12"/>
              </w:rPr>
            </w:pPr>
          </w:p>
          <w:p>
            <w:pPr>
              <w:pStyle w:val="TableParagraph"/>
              <w:ind w:left="27" w:right="23"/>
              <w:jc w:val="center"/>
              <w:rPr>
                <w:b/>
                <w:sz w:val="12"/>
              </w:rPr>
            </w:pPr>
            <w:r>
              <w:rPr>
                <w:b/>
                <w:w w:val="105"/>
                <w:sz w:val="12"/>
              </w:rPr>
              <w:t>ISTAC</w:t>
            </w:r>
          </w:p>
        </w:tc>
        <w:tc>
          <w:tcPr>
            <w:tcW w:w="731" w:type="dxa"/>
            <w:shd w:val="clear" w:color="auto" w:fill="DEEAF6"/>
          </w:tcPr>
          <w:p>
            <w:pPr>
              <w:pStyle w:val="TableParagraph"/>
              <w:spacing w:before="10"/>
              <w:rPr>
                <w:sz w:val="12"/>
              </w:rPr>
            </w:pPr>
          </w:p>
          <w:p>
            <w:pPr>
              <w:pStyle w:val="TableParagraph"/>
              <w:ind w:left="145" w:right="139"/>
              <w:jc w:val="center"/>
              <w:rPr>
                <w:b/>
                <w:sz w:val="12"/>
              </w:rPr>
            </w:pPr>
            <w:r>
              <w:rPr>
                <w:b/>
                <w:w w:val="105"/>
                <w:sz w:val="12"/>
              </w:rPr>
              <w:t>SCE</w:t>
            </w:r>
          </w:p>
        </w:tc>
        <w:tc>
          <w:tcPr>
            <w:tcW w:w="357" w:type="dxa"/>
            <w:shd w:val="clear" w:color="auto" w:fill="DEEAF6"/>
          </w:tcPr>
          <w:p>
            <w:pPr>
              <w:pStyle w:val="TableParagraph"/>
              <w:spacing w:before="10"/>
              <w:rPr>
                <w:sz w:val="12"/>
              </w:rPr>
            </w:pPr>
          </w:p>
          <w:p>
            <w:pPr>
              <w:pStyle w:val="TableParagraph"/>
              <w:ind w:left="111"/>
              <w:rPr>
                <w:b/>
                <w:sz w:val="12"/>
              </w:rPr>
            </w:pPr>
            <w:r>
              <w:rPr>
                <w:b/>
                <w:w w:val="105"/>
                <w:sz w:val="12"/>
              </w:rPr>
              <w:t>ICI</w:t>
            </w:r>
          </w:p>
        </w:tc>
        <w:tc>
          <w:tcPr>
            <w:tcW w:w="685" w:type="dxa"/>
            <w:shd w:val="clear" w:color="auto" w:fill="DEEAF6"/>
          </w:tcPr>
          <w:p>
            <w:pPr>
              <w:pStyle w:val="TableParagraph"/>
              <w:spacing w:before="10"/>
              <w:rPr>
                <w:sz w:val="12"/>
              </w:rPr>
            </w:pPr>
          </w:p>
          <w:p>
            <w:pPr>
              <w:pStyle w:val="TableParagraph"/>
              <w:ind w:left="27" w:right="24"/>
              <w:jc w:val="center"/>
              <w:rPr>
                <w:b/>
                <w:sz w:val="12"/>
              </w:rPr>
            </w:pPr>
            <w:r>
              <w:rPr>
                <w:b/>
                <w:w w:val="105"/>
                <w:sz w:val="12"/>
              </w:rPr>
              <w:t>ICIA</w:t>
            </w:r>
          </w:p>
        </w:tc>
        <w:tc>
          <w:tcPr>
            <w:tcW w:w="638" w:type="dxa"/>
            <w:shd w:val="clear" w:color="auto" w:fill="DEEAF6"/>
          </w:tcPr>
          <w:p>
            <w:pPr>
              <w:pStyle w:val="TableParagraph"/>
              <w:spacing w:before="10"/>
              <w:rPr>
                <w:sz w:val="12"/>
              </w:rPr>
            </w:pPr>
          </w:p>
          <w:p>
            <w:pPr>
              <w:pStyle w:val="TableParagraph"/>
              <w:ind w:left="29" w:right="23"/>
              <w:jc w:val="center"/>
              <w:rPr>
                <w:b/>
                <w:sz w:val="12"/>
              </w:rPr>
            </w:pPr>
            <w:r>
              <w:rPr>
                <w:b/>
                <w:w w:val="105"/>
                <w:sz w:val="12"/>
              </w:rPr>
              <w:t>ICHH</w:t>
            </w:r>
          </w:p>
        </w:tc>
        <w:tc>
          <w:tcPr>
            <w:tcW w:w="823" w:type="dxa"/>
            <w:shd w:val="clear" w:color="auto" w:fill="DEEAF6"/>
          </w:tcPr>
          <w:p>
            <w:pPr>
              <w:pStyle w:val="TableParagraph"/>
              <w:spacing w:before="10"/>
              <w:rPr>
                <w:sz w:val="12"/>
              </w:rPr>
            </w:pPr>
          </w:p>
          <w:p>
            <w:pPr>
              <w:pStyle w:val="TableParagraph"/>
              <w:ind w:left="25" w:right="21"/>
              <w:jc w:val="center"/>
              <w:rPr>
                <w:b/>
                <w:sz w:val="12"/>
              </w:rPr>
            </w:pPr>
            <w:r>
              <w:rPr>
                <w:b/>
                <w:w w:val="105"/>
                <w:sz w:val="12"/>
              </w:rPr>
              <w:t>SCS</w:t>
            </w:r>
          </w:p>
        </w:tc>
        <w:tc>
          <w:tcPr>
            <w:tcW w:w="592" w:type="dxa"/>
            <w:shd w:val="clear" w:color="auto" w:fill="DEEAF6"/>
          </w:tcPr>
          <w:p>
            <w:pPr>
              <w:pStyle w:val="TableParagraph"/>
              <w:spacing w:before="10"/>
              <w:rPr>
                <w:sz w:val="12"/>
              </w:rPr>
            </w:pPr>
          </w:p>
          <w:p>
            <w:pPr>
              <w:pStyle w:val="TableParagraph"/>
              <w:ind w:right="81"/>
              <w:jc w:val="right"/>
              <w:rPr>
                <w:b/>
                <w:sz w:val="12"/>
              </w:rPr>
            </w:pPr>
            <w:r>
              <w:rPr>
                <w:b/>
                <w:sz w:val="12"/>
              </w:rPr>
              <w:t>ACCUEE</w:t>
            </w:r>
          </w:p>
        </w:tc>
        <w:tc>
          <w:tcPr>
            <w:tcW w:w="732" w:type="dxa"/>
            <w:shd w:val="clear" w:color="auto" w:fill="DEEAF6"/>
          </w:tcPr>
          <w:p>
            <w:pPr>
              <w:pStyle w:val="TableParagraph"/>
              <w:spacing w:before="10"/>
              <w:rPr>
                <w:sz w:val="12"/>
              </w:rPr>
            </w:pPr>
          </w:p>
          <w:p>
            <w:pPr>
              <w:pStyle w:val="TableParagraph"/>
              <w:ind w:left="27" w:right="25"/>
              <w:jc w:val="center"/>
              <w:rPr>
                <w:b/>
                <w:sz w:val="12"/>
              </w:rPr>
            </w:pPr>
            <w:r>
              <w:rPr>
                <w:b/>
                <w:w w:val="105"/>
                <w:sz w:val="12"/>
              </w:rPr>
              <w:t>ICAVI</w:t>
            </w:r>
          </w:p>
        </w:tc>
        <w:tc>
          <w:tcPr>
            <w:tcW w:w="637" w:type="dxa"/>
            <w:shd w:val="clear" w:color="auto" w:fill="DEEAF6"/>
          </w:tcPr>
          <w:p>
            <w:pPr>
              <w:pStyle w:val="TableParagraph"/>
              <w:spacing w:before="10"/>
              <w:rPr>
                <w:sz w:val="12"/>
              </w:rPr>
            </w:pPr>
          </w:p>
          <w:p>
            <w:pPr>
              <w:pStyle w:val="TableParagraph"/>
              <w:ind w:left="48" w:right="47"/>
              <w:jc w:val="center"/>
              <w:rPr>
                <w:b/>
                <w:sz w:val="12"/>
              </w:rPr>
            </w:pPr>
            <w:r>
              <w:rPr>
                <w:b/>
                <w:w w:val="105"/>
                <w:sz w:val="12"/>
              </w:rPr>
              <w:t>ICCA</w:t>
            </w:r>
          </w:p>
        </w:tc>
        <w:tc>
          <w:tcPr>
            <w:tcW w:w="639" w:type="dxa"/>
            <w:shd w:val="clear" w:color="auto" w:fill="DEEAF6"/>
          </w:tcPr>
          <w:p>
            <w:pPr>
              <w:pStyle w:val="TableParagraph"/>
              <w:spacing w:before="10"/>
              <w:rPr>
                <w:sz w:val="12"/>
              </w:rPr>
            </w:pPr>
          </w:p>
          <w:p>
            <w:pPr>
              <w:pStyle w:val="TableParagraph"/>
              <w:ind w:left="27" w:right="28"/>
              <w:jc w:val="center"/>
              <w:rPr>
                <w:b/>
                <w:sz w:val="12"/>
              </w:rPr>
            </w:pPr>
            <w:r>
              <w:rPr>
                <w:b/>
                <w:w w:val="105"/>
                <w:sz w:val="12"/>
              </w:rPr>
              <w:t>APMN</w:t>
            </w:r>
          </w:p>
        </w:tc>
        <w:tc>
          <w:tcPr>
            <w:tcW w:w="608" w:type="dxa"/>
            <w:shd w:val="clear" w:color="auto" w:fill="DEEAF6"/>
          </w:tcPr>
          <w:p>
            <w:pPr>
              <w:pStyle w:val="TableParagraph"/>
              <w:spacing w:before="10"/>
              <w:rPr>
                <w:sz w:val="12"/>
              </w:rPr>
            </w:pPr>
          </w:p>
          <w:p>
            <w:pPr>
              <w:pStyle w:val="TableParagraph"/>
              <w:ind w:left="182" w:right="183"/>
              <w:jc w:val="center"/>
              <w:rPr>
                <w:b/>
                <w:sz w:val="12"/>
              </w:rPr>
            </w:pPr>
            <w:r>
              <w:rPr>
                <w:b/>
                <w:w w:val="105"/>
                <w:sz w:val="12"/>
              </w:rPr>
              <w:t>CES</w:t>
            </w:r>
          </w:p>
        </w:tc>
        <w:tc>
          <w:tcPr>
            <w:tcW w:w="639" w:type="dxa"/>
            <w:shd w:val="clear" w:color="auto" w:fill="DEEAF6"/>
          </w:tcPr>
          <w:p>
            <w:pPr>
              <w:pStyle w:val="TableParagraph"/>
              <w:spacing w:before="10"/>
              <w:rPr>
                <w:sz w:val="12"/>
              </w:rPr>
            </w:pPr>
          </w:p>
          <w:p>
            <w:pPr>
              <w:pStyle w:val="TableParagraph"/>
              <w:ind w:left="23" w:right="28"/>
              <w:jc w:val="center"/>
              <w:rPr>
                <w:b/>
                <w:sz w:val="12"/>
              </w:rPr>
            </w:pPr>
            <w:r>
              <w:rPr>
                <w:b/>
                <w:w w:val="105"/>
                <w:sz w:val="12"/>
              </w:rPr>
              <w:t>RTVC</w:t>
            </w:r>
          </w:p>
        </w:tc>
        <w:tc>
          <w:tcPr>
            <w:tcW w:w="684" w:type="dxa"/>
            <w:shd w:val="clear" w:color="auto" w:fill="DEEAF6"/>
          </w:tcPr>
          <w:p>
            <w:pPr>
              <w:pStyle w:val="TableParagraph"/>
              <w:spacing w:before="10"/>
              <w:rPr>
                <w:sz w:val="12"/>
              </w:rPr>
            </w:pPr>
          </w:p>
          <w:p>
            <w:pPr>
              <w:pStyle w:val="TableParagraph"/>
              <w:ind w:left="23" w:right="30"/>
              <w:jc w:val="center"/>
              <w:rPr>
                <w:b/>
                <w:sz w:val="12"/>
              </w:rPr>
            </w:pPr>
            <w:r>
              <w:rPr>
                <w:b/>
                <w:w w:val="105"/>
                <w:sz w:val="12"/>
              </w:rPr>
              <w:t>ATC</w:t>
            </w:r>
          </w:p>
        </w:tc>
        <w:tc>
          <w:tcPr>
            <w:tcW w:w="561" w:type="dxa"/>
            <w:shd w:val="clear" w:color="auto" w:fill="DEEAF6"/>
          </w:tcPr>
          <w:p>
            <w:pPr>
              <w:pStyle w:val="TableParagraph"/>
              <w:spacing w:before="10"/>
              <w:rPr>
                <w:sz w:val="12"/>
              </w:rPr>
            </w:pPr>
          </w:p>
          <w:p>
            <w:pPr>
              <w:pStyle w:val="TableParagraph"/>
              <w:ind w:right="68"/>
              <w:jc w:val="right"/>
              <w:rPr>
                <w:b/>
                <w:sz w:val="12"/>
              </w:rPr>
            </w:pPr>
            <w:r>
              <w:rPr>
                <w:b/>
                <w:w w:val="105"/>
                <w:sz w:val="12"/>
              </w:rPr>
              <w:t>RINCON</w:t>
            </w:r>
          </w:p>
        </w:tc>
        <w:tc>
          <w:tcPr>
            <w:tcW w:w="841" w:type="dxa"/>
            <w:shd w:val="clear" w:color="auto" w:fill="DEEAF6"/>
          </w:tcPr>
          <w:p>
            <w:pPr>
              <w:pStyle w:val="TableParagraph"/>
              <w:spacing w:before="10"/>
              <w:rPr>
                <w:sz w:val="12"/>
              </w:rPr>
            </w:pPr>
          </w:p>
          <w:p>
            <w:pPr>
              <w:pStyle w:val="TableParagraph"/>
              <w:ind w:left="20" w:right="32"/>
              <w:jc w:val="center"/>
              <w:rPr>
                <w:b/>
                <w:sz w:val="12"/>
              </w:rPr>
            </w:pPr>
            <w:r>
              <w:rPr>
                <w:b/>
                <w:w w:val="105"/>
                <w:sz w:val="12"/>
              </w:rPr>
              <w:t>TOTAL</w:t>
            </w:r>
          </w:p>
        </w:tc>
      </w:tr>
      <w:tr>
        <w:trPr>
          <w:trHeight w:val="151" w:hRule="atLeast"/>
        </w:trPr>
        <w:tc>
          <w:tcPr>
            <w:tcW w:w="1369" w:type="dxa"/>
            <w:tcBorders>
              <w:bottom w:val="single" w:sz="6" w:space="0" w:color="000000"/>
            </w:tcBorders>
            <w:shd w:val="clear" w:color="auto" w:fill="D9D9D9"/>
          </w:tcPr>
          <w:p>
            <w:pPr>
              <w:pStyle w:val="TableParagraph"/>
              <w:spacing w:line="128" w:lineRule="exact" w:before="4"/>
              <w:ind w:left="352" w:right="345"/>
              <w:jc w:val="center"/>
              <w:rPr>
                <w:b/>
                <w:sz w:val="12"/>
              </w:rPr>
            </w:pPr>
            <w:r>
              <w:rPr>
                <w:b/>
                <w:w w:val="105"/>
                <w:sz w:val="12"/>
              </w:rPr>
              <w:t>ACTIVO</w:t>
            </w:r>
          </w:p>
        </w:tc>
        <w:tc>
          <w:tcPr>
            <w:tcW w:w="636" w:type="dxa"/>
            <w:tcBorders>
              <w:bottom w:val="single" w:sz="6" w:space="0" w:color="000000"/>
            </w:tcBorders>
            <w:shd w:val="clear" w:color="auto" w:fill="D9D9D9"/>
          </w:tcPr>
          <w:p>
            <w:pPr>
              <w:pStyle w:val="TableParagraph"/>
              <w:spacing w:line="128" w:lineRule="exact" w:before="4"/>
              <w:ind w:left="51" w:right="21"/>
              <w:jc w:val="center"/>
              <w:rPr>
                <w:b/>
                <w:sz w:val="12"/>
              </w:rPr>
            </w:pPr>
            <w:r>
              <w:rPr>
                <w:b/>
                <w:w w:val="105"/>
                <w:sz w:val="12"/>
              </w:rPr>
              <w:t>11.093,28</w:t>
            </w:r>
          </w:p>
        </w:tc>
        <w:tc>
          <w:tcPr>
            <w:tcW w:w="638" w:type="dxa"/>
            <w:tcBorders>
              <w:bottom w:val="single" w:sz="6" w:space="0" w:color="000000"/>
            </w:tcBorders>
            <w:shd w:val="clear" w:color="auto" w:fill="D9D9D9"/>
          </w:tcPr>
          <w:p>
            <w:pPr>
              <w:pStyle w:val="TableParagraph"/>
              <w:spacing w:line="128" w:lineRule="exact" w:before="4"/>
              <w:ind w:left="50" w:right="22"/>
              <w:jc w:val="center"/>
              <w:rPr>
                <w:b/>
                <w:sz w:val="12"/>
              </w:rPr>
            </w:pPr>
            <w:r>
              <w:rPr>
                <w:b/>
                <w:w w:val="105"/>
                <w:sz w:val="12"/>
              </w:rPr>
              <w:t>13.627,68</w:t>
            </w:r>
          </w:p>
        </w:tc>
        <w:tc>
          <w:tcPr>
            <w:tcW w:w="731" w:type="dxa"/>
            <w:tcBorders>
              <w:bottom w:val="single" w:sz="6" w:space="0" w:color="000000"/>
            </w:tcBorders>
            <w:shd w:val="clear" w:color="auto" w:fill="D9D9D9"/>
          </w:tcPr>
          <w:p>
            <w:pPr>
              <w:pStyle w:val="TableParagraph"/>
              <w:spacing w:line="128" w:lineRule="exact" w:before="4"/>
              <w:ind w:left="105"/>
              <w:rPr>
                <w:b/>
                <w:sz w:val="12"/>
              </w:rPr>
            </w:pPr>
            <w:r>
              <w:rPr>
                <w:b/>
                <w:w w:val="105"/>
                <w:sz w:val="12"/>
              </w:rPr>
              <w:t>466.899,01</w:t>
            </w:r>
          </w:p>
        </w:tc>
        <w:tc>
          <w:tcPr>
            <w:tcW w:w="357" w:type="dxa"/>
            <w:tcBorders>
              <w:bottom w:val="single" w:sz="6" w:space="0" w:color="000000"/>
            </w:tcBorders>
            <w:shd w:val="clear" w:color="auto" w:fill="D9D9D9"/>
          </w:tcPr>
          <w:p>
            <w:pPr>
              <w:pStyle w:val="TableParagraph"/>
              <w:spacing w:line="128" w:lineRule="exact" w:before="4"/>
              <w:ind w:left="79"/>
              <w:rPr>
                <w:b/>
                <w:sz w:val="12"/>
              </w:rPr>
            </w:pPr>
            <w:r>
              <w:rPr>
                <w:b/>
                <w:w w:val="105"/>
                <w:sz w:val="12"/>
              </w:rPr>
              <w:t>0,00</w:t>
            </w:r>
          </w:p>
        </w:tc>
        <w:tc>
          <w:tcPr>
            <w:tcW w:w="685" w:type="dxa"/>
            <w:tcBorders>
              <w:bottom w:val="single" w:sz="6" w:space="0" w:color="000000"/>
            </w:tcBorders>
            <w:shd w:val="clear" w:color="auto" w:fill="D9D9D9"/>
          </w:tcPr>
          <w:p>
            <w:pPr>
              <w:pStyle w:val="TableParagraph"/>
              <w:spacing w:line="128" w:lineRule="exact" w:before="4"/>
              <w:ind w:left="97" w:right="24"/>
              <w:jc w:val="center"/>
              <w:rPr>
                <w:b/>
                <w:sz w:val="12"/>
              </w:rPr>
            </w:pPr>
            <w:r>
              <w:rPr>
                <w:b/>
                <w:w w:val="105"/>
                <w:sz w:val="12"/>
              </w:rPr>
              <w:t>46.280,42</w:t>
            </w:r>
          </w:p>
        </w:tc>
        <w:tc>
          <w:tcPr>
            <w:tcW w:w="638" w:type="dxa"/>
            <w:tcBorders>
              <w:bottom w:val="single" w:sz="6" w:space="0" w:color="000000"/>
            </w:tcBorders>
            <w:shd w:val="clear" w:color="auto" w:fill="D9D9D9"/>
          </w:tcPr>
          <w:p>
            <w:pPr>
              <w:pStyle w:val="TableParagraph"/>
              <w:spacing w:line="128" w:lineRule="exact" w:before="4"/>
              <w:ind w:left="49" w:right="23"/>
              <w:jc w:val="center"/>
              <w:rPr>
                <w:b/>
                <w:sz w:val="12"/>
              </w:rPr>
            </w:pPr>
            <w:r>
              <w:rPr>
                <w:b/>
                <w:w w:val="105"/>
                <w:sz w:val="12"/>
              </w:rPr>
              <w:t>11.911,20</w:t>
            </w:r>
          </w:p>
        </w:tc>
        <w:tc>
          <w:tcPr>
            <w:tcW w:w="823" w:type="dxa"/>
            <w:tcBorders>
              <w:bottom w:val="single" w:sz="6" w:space="0" w:color="000000"/>
            </w:tcBorders>
            <w:shd w:val="clear" w:color="auto" w:fill="D9D9D9"/>
          </w:tcPr>
          <w:p>
            <w:pPr>
              <w:pStyle w:val="TableParagraph"/>
              <w:spacing w:line="128" w:lineRule="exact" w:before="4"/>
              <w:ind w:left="76" w:right="21"/>
              <w:jc w:val="center"/>
              <w:rPr>
                <w:b/>
                <w:sz w:val="12"/>
              </w:rPr>
            </w:pPr>
            <w:r>
              <w:rPr>
                <w:b/>
                <w:w w:val="105"/>
                <w:sz w:val="12"/>
              </w:rPr>
              <w:t>1.361.148,30</w:t>
            </w:r>
          </w:p>
        </w:tc>
        <w:tc>
          <w:tcPr>
            <w:tcW w:w="592" w:type="dxa"/>
            <w:tcBorders>
              <w:bottom w:val="single" w:sz="6" w:space="0" w:color="000000"/>
            </w:tcBorders>
            <w:shd w:val="clear" w:color="auto" w:fill="D9D9D9"/>
          </w:tcPr>
          <w:p>
            <w:pPr>
              <w:pStyle w:val="TableParagraph"/>
              <w:spacing w:line="128" w:lineRule="exact" w:before="4"/>
              <w:ind w:right="45"/>
              <w:jc w:val="right"/>
              <w:rPr>
                <w:b/>
                <w:sz w:val="12"/>
              </w:rPr>
            </w:pPr>
            <w:r>
              <w:rPr>
                <w:b/>
                <w:w w:val="105"/>
                <w:sz w:val="12"/>
              </w:rPr>
              <w:t>1.834,78</w:t>
            </w:r>
          </w:p>
        </w:tc>
        <w:tc>
          <w:tcPr>
            <w:tcW w:w="732" w:type="dxa"/>
            <w:tcBorders>
              <w:bottom w:val="single" w:sz="6" w:space="0" w:color="000000"/>
            </w:tcBorders>
            <w:shd w:val="clear" w:color="auto" w:fill="D9D9D9"/>
          </w:tcPr>
          <w:p>
            <w:pPr>
              <w:pStyle w:val="TableParagraph"/>
              <w:spacing w:line="128" w:lineRule="exact" w:before="4"/>
              <w:ind w:left="79" w:right="25"/>
              <w:jc w:val="center"/>
              <w:rPr>
                <w:b/>
                <w:sz w:val="12"/>
              </w:rPr>
            </w:pPr>
            <w:r>
              <w:rPr>
                <w:b/>
                <w:w w:val="105"/>
                <w:sz w:val="12"/>
              </w:rPr>
              <w:t>658.900,88</w:t>
            </w:r>
          </w:p>
        </w:tc>
        <w:tc>
          <w:tcPr>
            <w:tcW w:w="637" w:type="dxa"/>
            <w:tcBorders>
              <w:bottom w:val="single" w:sz="6" w:space="0" w:color="000000"/>
            </w:tcBorders>
            <w:shd w:val="clear" w:color="auto" w:fill="D9D9D9"/>
          </w:tcPr>
          <w:p>
            <w:pPr>
              <w:pStyle w:val="TableParagraph"/>
              <w:spacing w:line="128" w:lineRule="exact" w:before="4"/>
              <w:ind w:left="48" w:right="25"/>
              <w:jc w:val="center"/>
              <w:rPr>
                <w:b/>
                <w:sz w:val="12"/>
              </w:rPr>
            </w:pPr>
            <w:r>
              <w:rPr>
                <w:b/>
                <w:w w:val="105"/>
                <w:sz w:val="12"/>
              </w:rPr>
              <w:t>10.333,50</w:t>
            </w:r>
          </w:p>
        </w:tc>
        <w:tc>
          <w:tcPr>
            <w:tcW w:w="639" w:type="dxa"/>
            <w:tcBorders>
              <w:bottom w:val="single" w:sz="6" w:space="0" w:color="000000"/>
            </w:tcBorders>
            <w:shd w:val="clear" w:color="auto" w:fill="D9D9D9"/>
          </w:tcPr>
          <w:p>
            <w:pPr>
              <w:pStyle w:val="TableParagraph"/>
              <w:spacing w:line="128" w:lineRule="exact" w:before="4"/>
              <w:ind w:left="44" w:right="25"/>
              <w:jc w:val="center"/>
              <w:rPr>
                <w:b/>
                <w:sz w:val="12"/>
              </w:rPr>
            </w:pPr>
            <w:r>
              <w:rPr>
                <w:b/>
                <w:w w:val="105"/>
                <w:sz w:val="12"/>
              </w:rPr>
              <w:t>56.144,81</w:t>
            </w:r>
          </w:p>
        </w:tc>
        <w:tc>
          <w:tcPr>
            <w:tcW w:w="608" w:type="dxa"/>
            <w:tcBorders>
              <w:bottom w:val="single" w:sz="6" w:space="0" w:color="000000"/>
            </w:tcBorders>
            <w:shd w:val="clear" w:color="auto" w:fill="D9D9D9"/>
          </w:tcPr>
          <w:p>
            <w:pPr>
              <w:pStyle w:val="TableParagraph"/>
              <w:spacing w:line="128" w:lineRule="exact" w:before="4"/>
              <w:ind w:right="48"/>
              <w:jc w:val="right"/>
              <w:rPr>
                <w:b/>
                <w:sz w:val="12"/>
              </w:rPr>
            </w:pPr>
            <w:r>
              <w:rPr>
                <w:b/>
                <w:w w:val="105"/>
                <w:sz w:val="12"/>
              </w:rPr>
              <w:t>2.062,37</w:t>
            </w:r>
          </w:p>
        </w:tc>
        <w:tc>
          <w:tcPr>
            <w:tcW w:w="639" w:type="dxa"/>
            <w:tcBorders>
              <w:bottom w:val="single" w:sz="6" w:space="0" w:color="000000"/>
            </w:tcBorders>
            <w:shd w:val="clear" w:color="auto" w:fill="D9D9D9"/>
          </w:tcPr>
          <w:p>
            <w:pPr>
              <w:pStyle w:val="TableParagraph"/>
              <w:spacing w:line="128" w:lineRule="exact" w:before="4"/>
              <w:ind w:left="41" w:right="28"/>
              <w:jc w:val="center"/>
              <w:rPr>
                <w:b/>
                <w:sz w:val="12"/>
              </w:rPr>
            </w:pPr>
            <w:r>
              <w:rPr>
                <w:b/>
                <w:w w:val="105"/>
                <w:sz w:val="12"/>
              </w:rPr>
              <w:t>16.801,79</w:t>
            </w:r>
          </w:p>
        </w:tc>
        <w:tc>
          <w:tcPr>
            <w:tcW w:w="684" w:type="dxa"/>
            <w:tcBorders>
              <w:bottom w:val="single" w:sz="6" w:space="0" w:color="000000"/>
            </w:tcBorders>
            <w:shd w:val="clear" w:color="auto" w:fill="D9D9D9"/>
          </w:tcPr>
          <w:p>
            <w:pPr>
              <w:pStyle w:val="TableParagraph"/>
              <w:spacing w:line="128" w:lineRule="exact" w:before="4"/>
              <w:ind w:left="89" w:right="30"/>
              <w:jc w:val="center"/>
              <w:rPr>
                <w:b/>
                <w:sz w:val="12"/>
              </w:rPr>
            </w:pPr>
            <w:r>
              <w:rPr>
                <w:b/>
                <w:w w:val="105"/>
                <w:sz w:val="12"/>
              </w:rPr>
              <w:t>66.452,87</w:t>
            </w:r>
          </w:p>
        </w:tc>
        <w:tc>
          <w:tcPr>
            <w:tcW w:w="561" w:type="dxa"/>
            <w:tcBorders>
              <w:bottom w:val="single" w:sz="6" w:space="0" w:color="000000"/>
            </w:tcBorders>
            <w:shd w:val="clear" w:color="auto" w:fill="D9D9D9"/>
          </w:tcPr>
          <w:p>
            <w:pPr>
              <w:pStyle w:val="TableParagraph"/>
              <w:spacing w:line="128" w:lineRule="exact" w:before="4"/>
              <w:ind w:right="53"/>
              <w:jc w:val="right"/>
              <w:rPr>
                <w:b/>
                <w:sz w:val="12"/>
              </w:rPr>
            </w:pPr>
            <w:r>
              <w:rPr>
                <w:b/>
                <w:w w:val="105"/>
                <w:sz w:val="12"/>
              </w:rPr>
              <w:t>0,00</w:t>
            </w:r>
          </w:p>
        </w:tc>
        <w:tc>
          <w:tcPr>
            <w:tcW w:w="841" w:type="dxa"/>
            <w:tcBorders>
              <w:bottom w:val="single" w:sz="6" w:space="0" w:color="000000"/>
            </w:tcBorders>
            <w:shd w:val="clear" w:color="auto" w:fill="D9D9D9"/>
          </w:tcPr>
          <w:p>
            <w:pPr>
              <w:pStyle w:val="TableParagraph"/>
              <w:spacing w:line="128" w:lineRule="exact" w:before="4"/>
              <w:ind w:left="83" w:right="32"/>
              <w:jc w:val="center"/>
              <w:rPr>
                <w:b/>
                <w:sz w:val="12"/>
              </w:rPr>
            </w:pPr>
            <w:r>
              <w:rPr>
                <w:b/>
                <w:w w:val="105"/>
                <w:sz w:val="12"/>
              </w:rPr>
              <w:t>2.723.490,88</w:t>
            </w:r>
          </w:p>
        </w:tc>
      </w:tr>
      <w:tr>
        <w:trPr>
          <w:trHeight w:val="302" w:hRule="atLeast"/>
        </w:trPr>
        <w:tc>
          <w:tcPr>
            <w:tcW w:w="1369" w:type="dxa"/>
            <w:tcBorders>
              <w:top w:val="single" w:sz="6" w:space="0" w:color="000000"/>
            </w:tcBorders>
          </w:tcPr>
          <w:p>
            <w:pPr>
              <w:pStyle w:val="TableParagraph"/>
              <w:spacing w:before="3"/>
              <w:ind w:left="52"/>
              <w:rPr>
                <w:b/>
                <w:sz w:val="12"/>
              </w:rPr>
            </w:pPr>
            <w:r>
              <w:rPr>
                <w:b/>
                <w:w w:val="105"/>
                <w:sz w:val="12"/>
              </w:rPr>
              <w:t>A) ACTIVO NO</w:t>
            </w:r>
          </w:p>
          <w:p>
            <w:pPr>
              <w:pStyle w:val="TableParagraph"/>
              <w:spacing w:line="127" w:lineRule="exact" w:before="6"/>
              <w:ind w:left="52"/>
              <w:rPr>
                <w:b/>
                <w:sz w:val="12"/>
              </w:rPr>
            </w:pPr>
            <w:r>
              <w:rPr>
                <w:b/>
                <w:w w:val="105"/>
                <w:sz w:val="12"/>
              </w:rPr>
              <w:t>CORRIENTE</w:t>
            </w:r>
          </w:p>
        </w:tc>
        <w:tc>
          <w:tcPr>
            <w:tcW w:w="636" w:type="dxa"/>
            <w:tcBorders>
              <w:top w:val="single" w:sz="6" w:space="0" w:color="000000"/>
            </w:tcBorders>
          </w:tcPr>
          <w:p>
            <w:pPr>
              <w:pStyle w:val="TableParagraph"/>
              <w:spacing w:before="79"/>
              <w:ind w:left="114" w:right="21"/>
              <w:jc w:val="center"/>
              <w:rPr>
                <w:b/>
                <w:sz w:val="12"/>
              </w:rPr>
            </w:pPr>
            <w:r>
              <w:rPr>
                <w:b/>
                <w:w w:val="105"/>
                <w:sz w:val="12"/>
              </w:rPr>
              <w:t>1.415,13</w:t>
            </w:r>
          </w:p>
        </w:tc>
        <w:tc>
          <w:tcPr>
            <w:tcW w:w="638" w:type="dxa"/>
            <w:tcBorders>
              <w:top w:val="single" w:sz="6" w:space="0" w:color="000000"/>
            </w:tcBorders>
          </w:tcPr>
          <w:p>
            <w:pPr>
              <w:pStyle w:val="TableParagraph"/>
              <w:spacing w:before="79"/>
              <w:ind w:left="113" w:right="22"/>
              <w:jc w:val="center"/>
              <w:rPr>
                <w:b/>
                <w:sz w:val="12"/>
              </w:rPr>
            </w:pPr>
            <w:r>
              <w:rPr>
                <w:b/>
                <w:w w:val="105"/>
                <w:sz w:val="12"/>
              </w:rPr>
              <w:t>8.957,18</w:t>
            </w:r>
          </w:p>
        </w:tc>
        <w:tc>
          <w:tcPr>
            <w:tcW w:w="731" w:type="dxa"/>
            <w:tcBorders>
              <w:top w:val="single" w:sz="6" w:space="0" w:color="000000"/>
            </w:tcBorders>
          </w:tcPr>
          <w:p>
            <w:pPr>
              <w:pStyle w:val="TableParagraph"/>
              <w:spacing w:before="79"/>
              <w:ind w:left="166"/>
              <w:rPr>
                <w:b/>
                <w:sz w:val="12"/>
              </w:rPr>
            </w:pPr>
            <w:r>
              <w:rPr>
                <w:b/>
                <w:w w:val="105"/>
                <w:sz w:val="12"/>
              </w:rPr>
              <w:t>54.843,71</w:t>
            </w:r>
          </w:p>
        </w:tc>
        <w:tc>
          <w:tcPr>
            <w:tcW w:w="357" w:type="dxa"/>
            <w:tcBorders>
              <w:top w:val="single" w:sz="6" w:space="0" w:color="000000"/>
            </w:tcBorders>
          </w:tcPr>
          <w:p>
            <w:pPr>
              <w:pStyle w:val="TableParagraph"/>
              <w:rPr>
                <w:rFonts w:ascii="Times New Roman"/>
                <w:sz w:val="12"/>
              </w:rPr>
            </w:pPr>
          </w:p>
        </w:tc>
        <w:tc>
          <w:tcPr>
            <w:tcW w:w="685" w:type="dxa"/>
            <w:tcBorders>
              <w:top w:val="single" w:sz="6" w:space="0" w:color="000000"/>
            </w:tcBorders>
          </w:tcPr>
          <w:p>
            <w:pPr>
              <w:pStyle w:val="TableParagraph"/>
              <w:spacing w:before="79"/>
              <w:ind w:left="97" w:right="24"/>
              <w:jc w:val="center"/>
              <w:rPr>
                <w:b/>
                <w:sz w:val="12"/>
              </w:rPr>
            </w:pPr>
            <w:r>
              <w:rPr>
                <w:b/>
                <w:w w:val="105"/>
                <w:sz w:val="12"/>
              </w:rPr>
              <w:t>34.199,29</w:t>
            </w:r>
          </w:p>
        </w:tc>
        <w:tc>
          <w:tcPr>
            <w:tcW w:w="638" w:type="dxa"/>
            <w:tcBorders>
              <w:top w:val="single" w:sz="6" w:space="0" w:color="000000"/>
            </w:tcBorders>
          </w:tcPr>
          <w:p>
            <w:pPr>
              <w:pStyle w:val="TableParagraph"/>
              <w:spacing w:before="79"/>
              <w:ind w:left="112" w:right="23"/>
              <w:jc w:val="center"/>
              <w:rPr>
                <w:b/>
                <w:sz w:val="12"/>
              </w:rPr>
            </w:pPr>
            <w:r>
              <w:rPr>
                <w:b/>
                <w:w w:val="105"/>
                <w:sz w:val="12"/>
              </w:rPr>
              <w:t>4.649,01</w:t>
            </w:r>
          </w:p>
        </w:tc>
        <w:tc>
          <w:tcPr>
            <w:tcW w:w="823" w:type="dxa"/>
            <w:tcBorders>
              <w:top w:val="single" w:sz="6" w:space="0" w:color="000000"/>
            </w:tcBorders>
          </w:tcPr>
          <w:p>
            <w:pPr>
              <w:pStyle w:val="TableParagraph"/>
              <w:spacing w:before="79"/>
              <w:ind w:left="76" w:right="21"/>
              <w:jc w:val="center"/>
              <w:rPr>
                <w:b/>
                <w:sz w:val="12"/>
              </w:rPr>
            </w:pPr>
            <w:r>
              <w:rPr>
                <w:b/>
                <w:w w:val="105"/>
                <w:sz w:val="12"/>
              </w:rPr>
              <w:t>1.036.556,03</w:t>
            </w:r>
          </w:p>
        </w:tc>
        <w:tc>
          <w:tcPr>
            <w:tcW w:w="592" w:type="dxa"/>
            <w:tcBorders>
              <w:top w:val="single" w:sz="6" w:space="0" w:color="000000"/>
            </w:tcBorders>
          </w:tcPr>
          <w:p>
            <w:pPr>
              <w:pStyle w:val="TableParagraph"/>
              <w:spacing w:before="79"/>
              <w:ind w:right="45"/>
              <w:jc w:val="right"/>
              <w:rPr>
                <w:b/>
                <w:sz w:val="12"/>
              </w:rPr>
            </w:pPr>
            <w:r>
              <w:rPr>
                <w:b/>
                <w:w w:val="105"/>
                <w:sz w:val="12"/>
              </w:rPr>
              <w:t>17,84</w:t>
            </w:r>
          </w:p>
        </w:tc>
        <w:tc>
          <w:tcPr>
            <w:tcW w:w="732" w:type="dxa"/>
            <w:tcBorders>
              <w:top w:val="single" w:sz="6" w:space="0" w:color="000000"/>
            </w:tcBorders>
          </w:tcPr>
          <w:p>
            <w:pPr>
              <w:pStyle w:val="TableParagraph"/>
              <w:spacing w:before="79"/>
              <w:ind w:left="79" w:right="25"/>
              <w:jc w:val="center"/>
              <w:rPr>
                <w:b/>
                <w:sz w:val="12"/>
              </w:rPr>
            </w:pPr>
            <w:r>
              <w:rPr>
                <w:b/>
                <w:w w:val="105"/>
                <w:sz w:val="12"/>
              </w:rPr>
              <w:t>245.895,36</w:t>
            </w:r>
          </w:p>
        </w:tc>
        <w:tc>
          <w:tcPr>
            <w:tcW w:w="637" w:type="dxa"/>
            <w:tcBorders>
              <w:top w:val="single" w:sz="6" w:space="0" w:color="000000"/>
            </w:tcBorders>
          </w:tcPr>
          <w:p>
            <w:pPr>
              <w:pStyle w:val="TableParagraph"/>
              <w:spacing w:before="79"/>
              <w:ind w:left="208" w:right="25"/>
              <w:jc w:val="center"/>
              <w:rPr>
                <w:b/>
                <w:sz w:val="12"/>
              </w:rPr>
            </w:pPr>
            <w:r>
              <w:rPr>
                <w:b/>
                <w:w w:val="105"/>
                <w:sz w:val="12"/>
              </w:rPr>
              <w:t>531,42</w:t>
            </w:r>
          </w:p>
        </w:tc>
        <w:tc>
          <w:tcPr>
            <w:tcW w:w="639" w:type="dxa"/>
            <w:tcBorders>
              <w:top w:val="single" w:sz="6" w:space="0" w:color="000000"/>
            </w:tcBorders>
          </w:tcPr>
          <w:p>
            <w:pPr>
              <w:pStyle w:val="TableParagraph"/>
              <w:spacing w:before="79"/>
              <w:ind w:left="108" w:right="26"/>
              <w:jc w:val="center"/>
              <w:rPr>
                <w:b/>
                <w:sz w:val="12"/>
              </w:rPr>
            </w:pPr>
            <w:r>
              <w:rPr>
                <w:b/>
                <w:w w:val="105"/>
                <w:sz w:val="12"/>
              </w:rPr>
              <w:t>1.828,88</w:t>
            </w:r>
          </w:p>
        </w:tc>
        <w:tc>
          <w:tcPr>
            <w:tcW w:w="608" w:type="dxa"/>
            <w:tcBorders>
              <w:top w:val="single" w:sz="6" w:space="0" w:color="000000"/>
            </w:tcBorders>
          </w:tcPr>
          <w:p>
            <w:pPr>
              <w:pStyle w:val="TableParagraph"/>
              <w:spacing w:before="79"/>
              <w:ind w:right="48"/>
              <w:jc w:val="right"/>
              <w:rPr>
                <w:b/>
                <w:sz w:val="12"/>
              </w:rPr>
            </w:pPr>
            <w:r>
              <w:rPr>
                <w:b/>
                <w:w w:val="105"/>
                <w:sz w:val="12"/>
              </w:rPr>
              <w:t>92,17</w:t>
            </w:r>
          </w:p>
        </w:tc>
        <w:tc>
          <w:tcPr>
            <w:tcW w:w="639" w:type="dxa"/>
            <w:tcBorders>
              <w:top w:val="single" w:sz="6" w:space="0" w:color="000000"/>
            </w:tcBorders>
          </w:tcPr>
          <w:p>
            <w:pPr>
              <w:pStyle w:val="TableParagraph"/>
              <w:spacing w:before="79"/>
              <w:ind w:left="105" w:right="28"/>
              <w:jc w:val="center"/>
              <w:rPr>
                <w:b/>
                <w:sz w:val="12"/>
              </w:rPr>
            </w:pPr>
            <w:r>
              <w:rPr>
                <w:b/>
                <w:w w:val="105"/>
                <w:sz w:val="12"/>
              </w:rPr>
              <w:t>1.653,28</w:t>
            </w:r>
          </w:p>
        </w:tc>
        <w:tc>
          <w:tcPr>
            <w:tcW w:w="684" w:type="dxa"/>
            <w:tcBorders>
              <w:top w:val="single" w:sz="6" w:space="0" w:color="000000"/>
            </w:tcBorders>
          </w:tcPr>
          <w:p>
            <w:pPr>
              <w:pStyle w:val="TableParagraph"/>
              <w:spacing w:before="79"/>
              <w:ind w:left="89" w:right="30"/>
              <w:jc w:val="center"/>
              <w:rPr>
                <w:b/>
                <w:sz w:val="12"/>
              </w:rPr>
            </w:pPr>
            <w:r>
              <w:rPr>
                <w:b/>
                <w:w w:val="105"/>
                <w:sz w:val="12"/>
              </w:rPr>
              <w:t>27.273,77</w:t>
            </w:r>
          </w:p>
        </w:tc>
        <w:tc>
          <w:tcPr>
            <w:tcW w:w="561" w:type="dxa"/>
            <w:tcBorders>
              <w:top w:val="single" w:sz="6" w:space="0" w:color="000000"/>
            </w:tcBorders>
          </w:tcPr>
          <w:p>
            <w:pPr>
              <w:pStyle w:val="TableParagraph"/>
              <w:spacing w:before="79"/>
              <w:ind w:right="53"/>
              <w:jc w:val="right"/>
              <w:rPr>
                <w:b/>
                <w:sz w:val="12"/>
              </w:rPr>
            </w:pPr>
            <w:r>
              <w:rPr>
                <w:b/>
                <w:w w:val="105"/>
                <w:sz w:val="12"/>
              </w:rPr>
              <w:t>0,00</w:t>
            </w:r>
          </w:p>
        </w:tc>
        <w:tc>
          <w:tcPr>
            <w:tcW w:w="841" w:type="dxa"/>
            <w:tcBorders>
              <w:top w:val="single" w:sz="6" w:space="0" w:color="000000"/>
            </w:tcBorders>
          </w:tcPr>
          <w:p>
            <w:pPr>
              <w:pStyle w:val="TableParagraph"/>
              <w:spacing w:before="79"/>
              <w:ind w:left="83" w:right="32"/>
              <w:jc w:val="center"/>
              <w:rPr>
                <w:b/>
                <w:sz w:val="12"/>
              </w:rPr>
            </w:pPr>
            <w:r>
              <w:rPr>
                <w:b/>
                <w:w w:val="105"/>
                <w:sz w:val="12"/>
              </w:rPr>
              <w:t>1.417.913,07</w:t>
            </w:r>
          </w:p>
        </w:tc>
      </w:tr>
      <w:tr>
        <w:trPr>
          <w:trHeight w:val="1060" w:hRule="atLeast"/>
        </w:trPr>
        <w:tc>
          <w:tcPr>
            <w:tcW w:w="1369" w:type="dxa"/>
          </w:tcPr>
          <w:p>
            <w:pPr>
              <w:pStyle w:val="TableParagraph"/>
              <w:numPr>
                <w:ilvl w:val="0"/>
                <w:numId w:val="116"/>
              </w:numPr>
              <w:tabs>
                <w:tab w:pos="145" w:val="left" w:leader="none"/>
              </w:tabs>
              <w:spacing w:line="249" w:lineRule="auto" w:before="2" w:after="0"/>
              <w:ind w:left="52" w:right="568" w:firstLine="0"/>
              <w:jc w:val="left"/>
              <w:rPr>
                <w:sz w:val="12"/>
              </w:rPr>
            </w:pPr>
            <w:r>
              <w:rPr>
                <w:spacing w:val="-3"/>
                <w:w w:val="105"/>
                <w:sz w:val="12"/>
              </w:rPr>
              <w:t>Inmovilizado </w:t>
            </w:r>
            <w:r>
              <w:rPr>
                <w:w w:val="105"/>
                <w:sz w:val="12"/>
              </w:rPr>
              <w:t>intangible</w:t>
            </w:r>
          </w:p>
          <w:p>
            <w:pPr>
              <w:pStyle w:val="TableParagraph"/>
              <w:numPr>
                <w:ilvl w:val="0"/>
                <w:numId w:val="116"/>
              </w:numPr>
              <w:tabs>
                <w:tab w:pos="176" w:val="left" w:leader="none"/>
              </w:tabs>
              <w:spacing w:line="146" w:lineRule="exact" w:before="0" w:after="0"/>
              <w:ind w:left="175" w:right="0" w:hanging="124"/>
              <w:jc w:val="left"/>
              <w:rPr>
                <w:sz w:val="12"/>
              </w:rPr>
            </w:pPr>
            <w:r>
              <w:rPr>
                <w:w w:val="105"/>
                <w:sz w:val="12"/>
              </w:rPr>
              <w:t>Inmovilizado</w:t>
            </w:r>
            <w:r>
              <w:rPr>
                <w:spacing w:val="-6"/>
                <w:w w:val="105"/>
                <w:sz w:val="12"/>
              </w:rPr>
              <w:t> </w:t>
            </w:r>
            <w:r>
              <w:rPr>
                <w:w w:val="105"/>
                <w:sz w:val="12"/>
              </w:rPr>
              <w:t>material</w:t>
            </w:r>
          </w:p>
          <w:p>
            <w:pPr>
              <w:pStyle w:val="TableParagraph"/>
              <w:numPr>
                <w:ilvl w:val="0"/>
                <w:numId w:val="116"/>
              </w:numPr>
              <w:tabs>
                <w:tab w:pos="208" w:val="left" w:leader="none"/>
              </w:tabs>
              <w:spacing w:line="249" w:lineRule="auto" w:before="5" w:after="0"/>
              <w:ind w:left="52" w:right="574" w:firstLine="0"/>
              <w:jc w:val="left"/>
              <w:rPr>
                <w:sz w:val="12"/>
              </w:rPr>
            </w:pPr>
            <w:r>
              <w:rPr>
                <w:spacing w:val="-1"/>
                <w:sz w:val="12"/>
              </w:rPr>
              <w:t>Inversiones </w:t>
            </w:r>
            <w:r>
              <w:rPr>
                <w:w w:val="105"/>
                <w:sz w:val="12"/>
              </w:rPr>
              <w:t>inmobiliarias</w:t>
            </w:r>
          </w:p>
          <w:p>
            <w:pPr>
              <w:pStyle w:val="TableParagraph"/>
              <w:spacing w:line="146" w:lineRule="exact"/>
              <w:ind w:left="52"/>
              <w:rPr>
                <w:sz w:val="12"/>
              </w:rPr>
            </w:pPr>
            <w:r>
              <w:rPr>
                <w:w w:val="105"/>
                <w:sz w:val="12"/>
              </w:rPr>
              <w:t>V. Inversiones</w:t>
            </w:r>
          </w:p>
          <w:p>
            <w:pPr>
              <w:pStyle w:val="TableParagraph"/>
              <w:spacing w:line="127" w:lineRule="exact" w:before="6"/>
              <w:ind w:left="52"/>
              <w:rPr>
                <w:sz w:val="12"/>
              </w:rPr>
            </w:pPr>
            <w:r>
              <w:rPr>
                <w:w w:val="105"/>
                <w:sz w:val="12"/>
              </w:rPr>
              <w:t>financieras a largo plazo</w:t>
            </w:r>
          </w:p>
        </w:tc>
        <w:tc>
          <w:tcPr>
            <w:tcW w:w="636" w:type="dxa"/>
          </w:tcPr>
          <w:p>
            <w:pPr>
              <w:pStyle w:val="TableParagraph"/>
              <w:spacing w:before="79"/>
              <w:ind w:right="41"/>
              <w:jc w:val="right"/>
              <w:rPr>
                <w:sz w:val="12"/>
              </w:rPr>
            </w:pPr>
            <w:r>
              <w:rPr>
                <w:spacing w:val="-1"/>
                <w:w w:val="105"/>
                <w:sz w:val="12"/>
              </w:rPr>
              <w:t>0,00</w:t>
            </w:r>
          </w:p>
          <w:p>
            <w:pPr>
              <w:pStyle w:val="TableParagraph"/>
              <w:spacing w:before="81"/>
              <w:ind w:right="41"/>
              <w:jc w:val="right"/>
              <w:rPr>
                <w:sz w:val="12"/>
              </w:rPr>
            </w:pPr>
            <w:r>
              <w:rPr>
                <w:spacing w:val="-1"/>
                <w:w w:val="105"/>
                <w:sz w:val="12"/>
              </w:rPr>
              <w:t>1.415,13</w:t>
            </w:r>
          </w:p>
          <w:p>
            <w:pPr>
              <w:pStyle w:val="TableParagraph"/>
              <w:spacing w:before="81"/>
              <w:ind w:right="41"/>
              <w:jc w:val="right"/>
              <w:rPr>
                <w:sz w:val="12"/>
              </w:rPr>
            </w:pPr>
            <w:r>
              <w:rPr>
                <w:spacing w:val="-1"/>
                <w:w w:val="105"/>
                <w:sz w:val="12"/>
              </w:rPr>
              <w:t>0,00</w:t>
            </w:r>
          </w:p>
          <w:p>
            <w:pPr>
              <w:pStyle w:val="TableParagraph"/>
              <w:spacing w:before="11"/>
              <w:rPr>
                <w:sz w:val="12"/>
              </w:rPr>
            </w:pPr>
          </w:p>
          <w:p>
            <w:pPr>
              <w:pStyle w:val="TableParagraph"/>
              <w:ind w:right="41"/>
              <w:jc w:val="right"/>
              <w:rPr>
                <w:sz w:val="12"/>
              </w:rPr>
            </w:pPr>
            <w:r>
              <w:rPr>
                <w:spacing w:val="-1"/>
                <w:w w:val="105"/>
                <w:sz w:val="12"/>
              </w:rPr>
              <w:t>0,00</w:t>
            </w:r>
          </w:p>
        </w:tc>
        <w:tc>
          <w:tcPr>
            <w:tcW w:w="638" w:type="dxa"/>
          </w:tcPr>
          <w:p>
            <w:pPr>
              <w:pStyle w:val="TableParagraph"/>
              <w:spacing w:before="79"/>
              <w:ind w:right="43"/>
              <w:jc w:val="right"/>
              <w:rPr>
                <w:sz w:val="12"/>
              </w:rPr>
            </w:pPr>
            <w:r>
              <w:rPr>
                <w:spacing w:val="-1"/>
                <w:w w:val="105"/>
                <w:sz w:val="12"/>
              </w:rPr>
              <w:t>6.417,07</w:t>
            </w:r>
          </w:p>
          <w:p>
            <w:pPr>
              <w:pStyle w:val="TableParagraph"/>
              <w:spacing w:before="81"/>
              <w:ind w:right="43"/>
              <w:jc w:val="right"/>
              <w:rPr>
                <w:sz w:val="12"/>
              </w:rPr>
            </w:pPr>
            <w:r>
              <w:rPr>
                <w:spacing w:val="-1"/>
                <w:w w:val="105"/>
                <w:sz w:val="12"/>
              </w:rPr>
              <w:t>2.540,11</w:t>
            </w:r>
          </w:p>
          <w:p>
            <w:pPr>
              <w:pStyle w:val="TableParagraph"/>
              <w:spacing w:before="81"/>
              <w:ind w:right="43"/>
              <w:jc w:val="right"/>
              <w:rPr>
                <w:sz w:val="12"/>
              </w:rPr>
            </w:pPr>
            <w:r>
              <w:rPr>
                <w:spacing w:val="-1"/>
                <w:w w:val="105"/>
                <w:sz w:val="12"/>
              </w:rPr>
              <w:t>0,00</w:t>
            </w:r>
          </w:p>
          <w:p>
            <w:pPr>
              <w:pStyle w:val="TableParagraph"/>
              <w:spacing w:before="11"/>
              <w:rPr>
                <w:sz w:val="12"/>
              </w:rPr>
            </w:pPr>
          </w:p>
          <w:p>
            <w:pPr>
              <w:pStyle w:val="TableParagraph"/>
              <w:ind w:right="43"/>
              <w:jc w:val="right"/>
              <w:rPr>
                <w:sz w:val="12"/>
              </w:rPr>
            </w:pPr>
            <w:r>
              <w:rPr>
                <w:spacing w:val="-1"/>
                <w:w w:val="105"/>
                <w:sz w:val="12"/>
              </w:rPr>
              <w:t>0,00</w:t>
            </w:r>
          </w:p>
        </w:tc>
        <w:tc>
          <w:tcPr>
            <w:tcW w:w="731" w:type="dxa"/>
          </w:tcPr>
          <w:p>
            <w:pPr>
              <w:pStyle w:val="TableParagraph"/>
              <w:spacing w:before="79"/>
              <w:ind w:right="43"/>
              <w:jc w:val="right"/>
              <w:rPr>
                <w:sz w:val="12"/>
              </w:rPr>
            </w:pPr>
            <w:r>
              <w:rPr>
                <w:sz w:val="12"/>
              </w:rPr>
              <w:t>472,76</w:t>
            </w:r>
          </w:p>
          <w:p>
            <w:pPr>
              <w:pStyle w:val="TableParagraph"/>
              <w:spacing w:before="81"/>
              <w:ind w:right="43"/>
              <w:jc w:val="right"/>
              <w:rPr>
                <w:sz w:val="12"/>
              </w:rPr>
            </w:pPr>
            <w:r>
              <w:rPr>
                <w:spacing w:val="-1"/>
                <w:w w:val="105"/>
                <w:sz w:val="12"/>
              </w:rPr>
              <w:t>54.122,01</w:t>
            </w:r>
          </w:p>
          <w:p>
            <w:pPr>
              <w:pStyle w:val="TableParagraph"/>
              <w:spacing w:before="81"/>
              <w:ind w:right="43"/>
              <w:jc w:val="right"/>
              <w:rPr>
                <w:sz w:val="12"/>
              </w:rPr>
            </w:pPr>
            <w:r>
              <w:rPr>
                <w:spacing w:val="-1"/>
                <w:w w:val="105"/>
                <w:sz w:val="12"/>
              </w:rPr>
              <w:t>0,00</w:t>
            </w:r>
          </w:p>
          <w:p>
            <w:pPr>
              <w:pStyle w:val="TableParagraph"/>
              <w:spacing w:before="11"/>
              <w:rPr>
                <w:sz w:val="12"/>
              </w:rPr>
            </w:pPr>
          </w:p>
          <w:p>
            <w:pPr>
              <w:pStyle w:val="TableParagraph"/>
              <w:ind w:right="43"/>
              <w:jc w:val="right"/>
              <w:rPr>
                <w:sz w:val="12"/>
              </w:rPr>
            </w:pPr>
            <w:r>
              <w:rPr>
                <w:sz w:val="12"/>
              </w:rPr>
              <w:t>248,93</w:t>
            </w:r>
          </w:p>
        </w:tc>
        <w:tc>
          <w:tcPr>
            <w:tcW w:w="357" w:type="dxa"/>
          </w:tcPr>
          <w:p>
            <w:pPr>
              <w:pStyle w:val="TableParagraph"/>
              <w:spacing w:before="79"/>
              <w:ind w:left="80"/>
              <w:rPr>
                <w:sz w:val="12"/>
              </w:rPr>
            </w:pPr>
            <w:r>
              <w:rPr>
                <w:w w:val="105"/>
                <w:sz w:val="12"/>
              </w:rPr>
              <w:t>0,00</w:t>
            </w:r>
          </w:p>
          <w:p>
            <w:pPr>
              <w:pStyle w:val="TableParagraph"/>
              <w:spacing w:before="81"/>
              <w:ind w:left="80"/>
              <w:rPr>
                <w:sz w:val="12"/>
              </w:rPr>
            </w:pPr>
            <w:r>
              <w:rPr>
                <w:w w:val="105"/>
                <w:sz w:val="12"/>
              </w:rPr>
              <w:t>0,00</w:t>
            </w:r>
          </w:p>
          <w:p>
            <w:pPr>
              <w:pStyle w:val="TableParagraph"/>
              <w:spacing w:before="81"/>
              <w:ind w:left="80"/>
              <w:rPr>
                <w:sz w:val="12"/>
              </w:rPr>
            </w:pPr>
            <w:r>
              <w:rPr>
                <w:w w:val="105"/>
                <w:sz w:val="12"/>
              </w:rPr>
              <w:t>0,00</w:t>
            </w:r>
          </w:p>
          <w:p>
            <w:pPr>
              <w:pStyle w:val="TableParagraph"/>
              <w:spacing w:before="11"/>
              <w:rPr>
                <w:sz w:val="12"/>
              </w:rPr>
            </w:pPr>
          </w:p>
          <w:p>
            <w:pPr>
              <w:pStyle w:val="TableParagraph"/>
              <w:ind w:left="80"/>
              <w:rPr>
                <w:sz w:val="12"/>
              </w:rPr>
            </w:pPr>
            <w:r>
              <w:rPr>
                <w:w w:val="105"/>
                <w:sz w:val="12"/>
              </w:rPr>
              <w:t>0,00</w:t>
            </w:r>
          </w:p>
        </w:tc>
        <w:tc>
          <w:tcPr>
            <w:tcW w:w="685" w:type="dxa"/>
          </w:tcPr>
          <w:p>
            <w:pPr>
              <w:pStyle w:val="TableParagraph"/>
              <w:spacing w:before="79"/>
              <w:ind w:right="44"/>
              <w:jc w:val="right"/>
              <w:rPr>
                <w:sz w:val="12"/>
              </w:rPr>
            </w:pPr>
            <w:r>
              <w:rPr>
                <w:sz w:val="12"/>
              </w:rPr>
              <w:t>235,16</w:t>
            </w:r>
          </w:p>
          <w:p>
            <w:pPr>
              <w:pStyle w:val="TableParagraph"/>
              <w:spacing w:before="81"/>
              <w:ind w:right="44"/>
              <w:jc w:val="right"/>
              <w:rPr>
                <w:sz w:val="12"/>
              </w:rPr>
            </w:pPr>
            <w:r>
              <w:rPr>
                <w:spacing w:val="-1"/>
                <w:w w:val="105"/>
                <w:sz w:val="12"/>
              </w:rPr>
              <w:t>33.964,13</w:t>
            </w:r>
          </w:p>
          <w:p>
            <w:pPr>
              <w:pStyle w:val="TableParagraph"/>
              <w:spacing w:before="81"/>
              <w:ind w:right="44"/>
              <w:jc w:val="right"/>
              <w:rPr>
                <w:sz w:val="12"/>
              </w:rPr>
            </w:pPr>
            <w:r>
              <w:rPr>
                <w:spacing w:val="-1"/>
                <w:w w:val="105"/>
                <w:sz w:val="12"/>
              </w:rPr>
              <w:t>0,00</w:t>
            </w:r>
          </w:p>
          <w:p>
            <w:pPr>
              <w:pStyle w:val="TableParagraph"/>
              <w:spacing w:before="11"/>
              <w:rPr>
                <w:sz w:val="12"/>
              </w:rPr>
            </w:pPr>
          </w:p>
          <w:p>
            <w:pPr>
              <w:pStyle w:val="TableParagraph"/>
              <w:ind w:right="44"/>
              <w:jc w:val="right"/>
              <w:rPr>
                <w:sz w:val="12"/>
              </w:rPr>
            </w:pPr>
            <w:r>
              <w:rPr>
                <w:spacing w:val="-1"/>
                <w:w w:val="105"/>
                <w:sz w:val="12"/>
              </w:rPr>
              <w:t>0,00</w:t>
            </w:r>
          </w:p>
        </w:tc>
        <w:tc>
          <w:tcPr>
            <w:tcW w:w="638" w:type="dxa"/>
          </w:tcPr>
          <w:p>
            <w:pPr>
              <w:pStyle w:val="TableParagraph"/>
              <w:spacing w:before="79"/>
              <w:ind w:right="44"/>
              <w:jc w:val="right"/>
              <w:rPr>
                <w:sz w:val="12"/>
              </w:rPr>
            </w:pPr>
            <w:r>
              <w:rPr>
                <w:spacing w:val="-1"/>
                <w:w w:val="105"/>
                <w:sz w:val="12"/>
              </w:rPr>
              <w:t>61,72</w:t>
            </w:r>
          </w:p>
          <w:p>
            <w:pPr>
              <w:pStyle w:val="TableParagraph"/>
              <w:spacing w:before="81"/>
              <w:ind w:right="44"/>
              <w:jc w:val="right"/>
              <w:rPr>
                <w:sz w:val="12"/>
              </w:rPr>
            </w:pPr>
            <w:r>
              <w:rPr>
                <w:spacing w:val="-1"/>
                <w:w w:val="105"/>
                <w:sz w:val="12"/>
              </w:rPr>
              <w:t>4.585,40</w:t>
            </w:r>
          </w:p>
          <w:p>
            <w:pPr>
              <w:pStyle w:val="TableParagraph"/>
              <w:spacing w:before="81"/>
              <w:ind w:right="44"/>
              <w:jc w:val="right"/>
              <w:rPr>
                <w:sz w:val="12"/>
              </w:rPr>
            </w:pPr>
            <w:r>
              <w:rPr>
                <w:spacing w:val="-1"/>
                <w:w w:val="105"/>
                <w:sz w:val="12"/>
              </w:rPr>
              <w:t>0,00</w:t>
            </w:r>
          </w:p>
          <w:p>
            <w:pPr>
              <w:pStyle w:val="TableParagraph"/>
              <w:spacing w:before="11"/>
              <w:rPr>
                <w:sz w:val="12"/>
              </w:rPr>
            </w:pPr>
          </w:p>
          <w:p>
            <w:pPr>
              <w:pStyle w:val="TableParagraph"/>
              <w:ind w:right="44"/>
              <w:jc w:val="right"/>
              <w:rPr>
                <w:sz w:val="12"/>
              </w:rPr>
            </w:pPr>
            <w:r>
              <w:rPr>
                <w:spacing w:val="-1"/>
                <w:w w:val="105"/>
                <w:sz w:val="12"/>
              </w:rPr>
              <w:t>1,89</w:t>
            </w:r>
          </w:p>
        </w:tc>
        <w:tc>
          <w:tcPr>
            <w:tcW w:w="823" w:type="dxa"/>
          </w:tcPr>
          <w:p>
            <w:pPr>
              <w:pStyle w:val="TableParagraph"/>
              <w:spacing w:before="79"/>
              <w:ind w:right="43"/>
              <w:jc w:val="right"/>
              <w:rPr>
                <w:sz w:val="12"/>
              </w:rPr>
            </w:pPr>
            <w:r>
              <w:rPr>
                <w:spacing w:val="-1"/>
                <w:w w:val="105"/>
                <w:sz w:val="12"/>
              </w:rPr>
              <w:t>10.409,57</w:t>
            </w:r>
          </w:p>
          <w:p>
            <w:pPr>
              <w:pStyle w:val="TableParagraph"/>
              <w:spacing w:before="81"/>
              <w:ind w:right="42"/>
              <w:jc w:val="right"/>
              <w:rPr>
                <w:sz w:val="12"/>
              </w:rPr>
            </w:pPr>
            <w:r>
              <w:rPr>
                <w:spacing w:val="-1"/>
                <w:w w:val="105"/>
                <w:sz w:val="12"/>
              </w:rPr>
              <w:t>1.022.500,61</w:t>
            </w:r>
          </w:p>
          <w:p>
            <w:pPr>
              <w:pStyle w:val="TableParagraph"/>
              <w:spacing w:before="81"/>
              <w:ind w:right="43"/>
              <w:jc w:val="right"/>
              <w:rPr>
                <w:sz w:val="12"/>
              </w:rPr>
            </w:pPr>
            <w:r>
              <w:rPr>
                <w:spacing w:val="-1"/>
                <w:w w:val="105"/>
                <w:sz w:val="12"/>
              </w:rPr>
              <w:t>0,00</w:t>
            </w:r>
          </w:p>
          <w:p>
            <w:pPr>
              <w:pStyle w:val="TableParagraph"/>
              <w:spacing w:before="11"/>
              <w:rPr>
                <w:sz w:val="12"/>
              </w:rPr>
            </w:pPr>
          </w:p>
          <w:p>
            <w:pPr>
              <w:pStyle w:val="TableParagraph"/>
              <w:ind w:right="43"/>
              <w:jc w:val="right"/>
              <w:rPr>
                <w:sz w:val="12"/>
              </w:rPr>
            </w:pPr>
            <w:r>
              <w:rPr>
                <w:spacing w:val="-1"/>
                <w:w w:val="105"/>
                <w:sz w:val="12"/>
              </w:rPr>
              <w:t>3.645,85</w:t>
            </w:r>
          </w:p>
        </w:tc>
        <w:tc>
          <w:tcPr>
            <w:tcW w:w="592" w:type="dxa"/>
          </w:tcPr>
          <w:p>
            <w:pPr>
              <w:pStyle w:val="TableParagraph"/>
              <w:spacing w:before="79"/>
              <w:ind w:left="312"/>
              <w:rPr>
                <w:sz w:val="12"/>
              </w:rPr>
            </w:pPr>
            <w:r>
              <w:rPr>
                <w:w w:val="105"/>
                <w:sz w:val="12"/>
              </w:rPr>
              <w:t>0,00</w:t>
            </w:r>
          </w:p>
          <w:p>
            <w:pPr>
              <w:pStyle w:val="TableParagraph"/>
              <w:spacing w:before="81"/>
              <w:ind w:left="249"/>
              <w:rPr>
                <w:sz w:val="12"/>
              </w:rPr>
            </w:pPr>
            <w:r>
              <w:rPr>
                <w:w w:val="105"/>
                <w:sz w:val="12"/>
              </w:rPr>
              <w:t>17,84</w:t>
            </w:r>
          </w:p>
          <w:p>
            <w:pPr>
              <w:pStyle w:val="TableParagraph"/>
              <w:spacing w:before="81"/>
              <w:ind w:left="312"/>
              <w:rPr>
                <w:sz w:val="12"/>
              </w:rPr>
            </w:pPr>
            <w:r>
              <w:rPr>
                <w:w w:val="105"/>
                <w:sz w:val="12"/>
              </w:rPr>
              <w:t>0,00</w:t>
            </w:r>
          </w:p>
          <w:p>
            <w:pPr>
              <w:pStyle w:val="TableParagraph"/>
              <w:spacing w:before="11"/>
              <w:rPr>
                <w:sz w:val="12"/>
              </w:rPr>
            </w:pPr>
          </w:p>
          <w:p>
            <w:pPr>
              <w:pStyle w:val="TableParagraph"/>
              <w:ind w:left="312"/>
              <w:rPr>
                <w:sz w:val="12"/>
              </w:rPr>
            </w:pPr>
            <w:r>
              <w:rPr>
                <w:w w:val="105"/>
                <w:sz w:val="12"/>
              </w:rPr>
              <w:t>0,00</w:t>
            </w:r>
          </w:p>
        </w:tc>
        <w:tc>
          <w:tcPr>
            <w:tcW w:w="732" w:type="dxa"/>
          </w:tcPr>
          <w:p>
            <w:pPr>
              <w:pStyle w:val="TableParagraph"/>
              <w:spacing w:before="79"/>
              <w:ind w:right="46"/>
              <w:jc w:val="right"/>
              <w:rPr>
                <w:sz w:val="12"/>
              </w:rPr>
            </w:pPr>
            <w:r>
              <w:rPr>
                <w:sz w:val="12"/>
              </w:rPr>
              <w:t>165,70</w:t>
            </w:r>
          </w:p>
          <w:p>
            <w:pPr>
              <w:pStyle w:val="TableParagraph"/>
              <w:spacing w:before="81"/>
              <w:ind w:right="46"/>
              <w:jc w:val="right"/>
              <w:rPr>
                <w:sz w:val="12"/>
              </w:rPr>
            </w:pPr>
            <w:r>
              <w:rPr>
                <w:spacing w:val="-1"/>
                <w:w w:val="105"/>
                <w:sz w:val="12"/>
              </w:rPr>
              <w:t>245.731,02</w:t>
            </w:r>
          </w:p>
          <w:p>
            <w:pPr>
              <w:pStyle w:val="TableParagraph"/>
              <w:spacing w:before="81"/>
              <w:ind w:right="46"/>
              <w:jc w:val="right"/>
              <w:rPr>
                <w:sz w:val="12"/>
              </w:rPr>
            </w:pPr>
            <w:r>
              <w:rPr>
                <w:spacing w:val="-1"/>
                <w:w w:val="105"/>
                <w:sz w:val="12"/>
              </w:rPr>
              <w:t>0,00</w:t>
            </w:r>
          </w:p>
          <w:p>
            <w:pPr>
              <w:pStyle w:val="TableParagraph"/>
              <w:spacing w:before="11"/>
              <w:rPr>
                <w:sz w:val="12"/>
              </w:rPr>
            </w:pPr>
          </w:p>
          <w:p>
            <w:pPr>
              <w:pStyle w:val="TableParagraph"/>
              <w:ind w:right="46"/>
              <w:jc w:val="right"/>
              <w:rPr>
                <w:sz w:val="12"/>
              </w:rPr>
            </w:pPr>
            <w:r>
              <w:rPr>
                <w:spacing w:val="-1"/>
                <w:w w:val="105"/>
                <w:sz w:val="12"/>
              </w:rPr>
              <w:t>-1,35</w:t>
            </w:r>
          </w:p>
        </w:tc>
        <w:tc>
          <w:tcPr>
            <w:tcW w:w="637" w:type="dxa"/>
          </w:tcPr>
          <w:p>
            <w:pPr>
              <w:pStyle w:val="TableParagraph"/>
              <w:spacing w:before="79"/>
              <w:ind w:right="45"/>
              <w:jc w:val="right"/>
              <w:rPr>
                <w:sz w:val="12"/>
              </w:rPr>
            </w:pPr>
            <w:r>
              <w:rPr>
                <w:spacing w:val="-1"/>
                <w:w w:val="105"/>
                <w:sz w:val="12"/>
              </w:rPr>
              <w:t>37,75</w:t>
            </w:r>
          </w:p>
          <w:p>
            <w:pPr>
              <w:pStyle w:val="TableParagraph"/>
              <w:spacing w:before="81"/>
              <w:ind w:right="45"/>
              <w:jc w:val="right"/>
              <w:rPr>
                <w:sz w:val="12"/>
              </w:rPr>
            </w:pPr>
            <w:r>
              <w:rPr>
                <w:sz w:val="12"/>
              </w:rPr>
              <w:t>493,67</w:t>
            </w:r>
          </w:p>
          <w:p>
            <w:pPr>
              <w:pStyle w:val="TableParagraph"/>
              <w:spacing w:before="81"/>
              <w:ind w:right="45"/>
              <w:jc w:val="right"/>
              <w:rPr>
                <w:sz w:val="12"/>
              </w:rPr>
            </w:pPr>
            <w:r>
              <w:rPr>
                <w:spacing w:val="-1"/>
                <w:w w:val="105"/>
                <w:sz w:val="12"/>
              </w:rPr>
              <w:t>0,00</w:t>
            </w:r>
          </w:p>
          <w:p>
            <w:pPr>
              <w:pStyle w:val="TableParagraph"/>
              <w:spacing w:before="11"/>
              <w:rPr>
                <w:sz w:val="12"/>
              </w:rPr>
            </w:pPr>
          </w:p>
          <w:p>
            <w:pPr>
              <w:pStyle w:val="TableParagraph"/>
              <w:ind w:right="45"/>
              <w:jc w:val="right"/>
              <w:rPr>
                <w:sz w:val="12"/>
              </w:rPr>
            </w:pPr>
            <w:r>
              <w:rPr>
                <w:spacing w:val="-1"/>
                <w:w w:val="105"/>
                <w:sz w:val="12"/>
              </w:rPr>
              <w:t>0,00</w:t>
            </w:r>
          </w:p>
        </w:tc>
        <w:tc>
          <w:tcPr>
            <w:tcW w:w="639" w:type="dxa"/>
          </w:tcPr>
          <w:p>
            <w:pPr>
              <w:pStyle w:val="TableParagraph"/>
              <w:spacing w:before="79"/>
              <w:ind w:right="48"/>
              <w:jc w:val="right"/>
              <w:rPr>
                <w:sz w:val="12"/>
              </w:rPr>
            </w:pPr>
            <w:r>
              <w:rPr>
                <w:spacing w:val="-1"/>
                <w:w w:val="105"/>
                <w:sz w:val="12"/>
              </w:rPr>
              <w:t>2,75</w:t>
            </w:r>
          </w:p>
          <w:p>
            <w:pPr>
              <w:pStyle w:val="TableParagraph"/>
              <w:spacing w:before="81"/>
              <w:ind w:right="48"/>
              <w:jc w:val="right"/>
              <w:rPr>
                <w:sz w:val="12"/>
              </w:rPr>
            </w:pPr>
            <w:r>
              <w:rPr>
                <w:spacing w:val="-1"/>
                <w:w w:val="105"/>
                <w:sz w:val="12"/>
              </w:rPr>
              <w:t>1.830,06</w:t>
            </w:r>
          </w:p>
          <w:p>
            <w:pPr>
              <w:pStyle w:val="TableParagraph"/>
              <w:spacing w:before="81"/>
              <w:ind w:right="48"/>
              <w:jc w:val="right"/>
              <w:rPr>
                <w:sz w:val="12"/>
              </w:rPr>
            </w:pPr>
            <w:r>
              <w:rPr>
                <w:spacing w:val="-1"/>
                <w:w w:val="105"/>
                <w:sz w:val="12"/>
              </w:rPr>
              <w:t>0,00</w:t>
            </w:r>
          </w:p>
          <w:p>
            <w:pPr>
              <w:pStyle w:val="TableParagraph"/>
              <w:spacing w:before="11"/>
              <w:rPr>
                <w:sz w:val="12"/>
              </w:rPr>
            </w:pPr>
          </w:p>
          <w:p>
            <w:pPr>
              <w:pStyle w:val="TableParagraph"/>
              <w:ind w:right="48"/>
              <w:jc w:val="right"/>
              <w:rPr>
                <w:sz w:val="12"/>
              </w:rPr>
            </w:pPr>
            <w:r>
              <w:rPr>
                <w:spacing w:val="-1"/>
                <w:w w:val="105"/>
                <w:sz w:val="12"/>
              </w:rPr>
              <w:t>-3,92</w:t>
            </w:r>
          </w:p>
        </w:tc>
        <w:tc>
          <w:tcPr>
            <w:tcW w:w="608" w:type="dxa"/>
          </w:tcPr>
          <w:p>
            <w:pPr>
              <w:pStyle w:val="TableParagraph"/>
              <w:spacing w:before="79"/>
              <w:ind w:left="262"/>
              <w:rPr>
                <w:sz w:val="12"/>
              </w:rPr>
            </w:pPr>
            <w:r>
              <w:rPr>
                <w:w w:val="105"/>
                <w:sz w:val="12"/>
              </w:rPr>
              <w:t>10,26</w:t>
            </w:r>
          </w:p>
          <w:p>
            <w:pPr>
              <w:pStyle w:val="TableParagraph"/>
              <w:spacing w:before="81"/>
              <w:ind w:left="262"/>
              <w:rPr>
                <w:sz w:val="12"/>
              </w:rPr>
            </w:pPr>
            <w:r>
              <w:rPr>
                <w:w w:val="105"/>
                <w:sz w:val="12"/>
              </w:rPr>
              <w:t>81,91</w:t>
            </w:r>
          </w:p>
          <w:p>
            <w:pPr>
              <w:pStyle w:val="TableParagraph"/>
              <w:spacing w:before="81"/>
              <w:ind w:left="325"/>
              <w:rPr>
                <w:sz w:val="12"/>
              </w:rPr>
            </w:pPr>
            <w:r>
              <w:rPr>
                <w:w w:val="105"/>
                <w:sz w:val="12"/>
              </w:rPr>
              <w:t>0,00</w:t>
            </w:r>
          </w:p>
          <w:p>
            <w:pPr>
              <w:pStyle w:val="TableParagraph"/>
              <w:spacing w:before="11"/>
              <w:rPr>
                <w:sz w:val="12"/>
              </w:rPr>
            </w:pPr>
          </w:p>
          <w:p>
            <w:pPr>
              <w:pStyle w:val="TableParagraph"/>
              <w:ind w:left="325"/>
              <w:rPr>
                <w:sz w:val="12"/>
              </w:rPr>
            </w:pPr>
            <w:r>
              <w:rPr>
                <w:w w:val="105"/>
                <w:sz w:val="12"/>
              </w:rPr>
              <w:t>0,00</w:t>
            </w:r>
          </w:p>
        </w:tc>
        <w:tc>
          <w:tcPr>
            <w:tcW w:w="639" w:type="dxa"/>
          </w:tcPr>
          <w:p>
            <w:pPr>
              <w:pStyle w:val="TableParagraph"/>
              <w:spacing w:before="79"/>
              <w:ind w:right="51"/>
              <w:jc w:val="right"/>
              <w:rPr>
                <w:sz w:val="12"/>
              </w:rPr>
            </w:pPr>
            <w:r>
              <w:rPr>
                <w:spacing w:val="-1"/>
                <w:w w:val="105"/>
                <w:sz w:val="12"/>
              </w:rPr>
              <w:t>0,00</w:t>
            </w:r>
          </w:p>
          <w:p>
            <w:pPr>
              <w:pStyle w:val="TableParagraph"/>
              <w:spacing w:before="81"/>
              <w:ind w:right="51"/>
              <w:jc w:val="right"/>
              <w:rPr>
                <w:sz w:val="12"/>
              </w:rPr>
            </w:pPr>
            <w:r>
              <w:rPr>
                <w:spacing w:val="-1"/>
                <w:w w:val="105"/>
                <w:sz w:val="12"/>
              </w:rPr>
              <w:t>27,56</w:t>
            </w:r>
          </w:p>
          <w:p>
            <w:pPr>
              <w:pStyle w:val="TableParagraph"/>
              <w:spacing w:before="81"/>
              <w:ind w:right="51"/>
              <w:jc w:val="right"/>
              <w:rPr>
                <w:sz w:val="12"/>
              </w:rPr>
            </w:pPr>
            <w:r>
              <w:rPr>
                <w:spacing w:val="-1"/>
                <w:w w:val="105"/>
                <w:sz w:val="12"/>
              </w:rPr>
              <w:t>0,00</w:t>
            </w:r>
          </w:p>
          <w:p>
            <w:pPr>
              <w:pStyle w:val="TableParagraph"/>
              <w:spacing w:before="11"/>
              <w:rPr>
                <w:sz w:val="12"/>
              </w:rPr>
            </w:pPr>
          </w:p>
          <w:p>
            <w:pPr>
              <w:pStyle w:val="TableParagraph"/>
              <w:ind w:right="51"/>
              <w:jc w:val="right"/>
              <w:rPr>
                <w:sz w:val="12"/>
              </w:rPr>
            </w:pPr>
            <w:r>
              <w:rPr>
                <w:spacing w:val="-1"/>
                <w:w w:val="105"/>
                <w:sz w:val="12"/>
              </w:rPr>
              <w:t>1.625,72</w:t>
            </w:r>
          </w:p>
        </w:tc>
        <w:tc>
          <w:tcPr>
            <w:tcW w:w="684" w:type="dxa"/>
          </w:tcPr>
          <w:p>
            <w:pPr>
              <w:pStyle w:val="TableParagraph"/>
              <w:spacing w:before="79"/>
              <w:ind w:right="50"/>
              <w:jc w:val="right"/>
              <w:rPr>
                <w:sz w:val="12"/>
              </w:rPr>
            </w:pPr>
            <w:r>
              <w:rPr>
                <w:spacing w:val="-1"/>
                <w:w w:val="105"/>
                <w:sz w:val="12"/>
              </w:rPr>
              <w:t>9.089,75</w:t>
            </w:r>
          </w:p>
          <w:p>
            <w:pPr>
              <w:pStyle w:val="TableParagraph"/>
              <w:spacing w:before="81"/>
              <w:ind w:right="50"/>
              <w:jc w:val="right"/>
              <w:rPr>
                <w:sz w:val="12"/>
              </w:rPr>
            </w:pPr>
            <w:r>
              <w:rPr>
                <w:spacing w:val="-1"/>
                <w:w w:val="105"/>
                <w:sz w:val="12"/>
              </w:rPr>
              <w:t>18.184,01</w:t>
            </w:r>
          </w:p>
          <w:p>
            <w:pPr>
              <w:pStyle w:val="TableParagraph"/>
              <w:spacing w:before="81"/>
              <w:ind w:right="50"/>
              <w:jc w:val="right"/>
              <w:rPr>
                <w:sz w:val="12"/>
              </w:rPr>
            </w:pPr>
            <w:r>
              <w:rPr>
                <w:spacing w:val="-1"/>
                <w:w w:val="105"/>
                <w:sz w:val="12"/>
              </w:rPr>
              <w:t>0,00</w:t>
            </w:r>
          </w:p>
          <w:p>
            <w:pPr>
              <w:pStyle w:val="TableParagraph"/>
              <w:spacing w:before="11"/>
              <w:rPr>
                <w:sz w:val="12"/>
              </w:rPr>
            </w:pPr>
          </w:p>
          <w:p>
            <w:pPr>
              <w:pStyle w:val="TableParagraph"/>
              <w:ind w:right="50"/>
              <w:jc w:val="right"/>
              <w:rPr>
                <w:sz w:val="12"/>
              </w:rPr>
            </w:pPr>
            <w:r>
              <w:rPr>
                <w:spacing w:val="-1"/>
                <w:w w:val="105"/>
                <w:sz w:val="12"/>
              </w:rPr>
              <w:t>0,00</w:t>
            </w:r>
          </w:p>
        </w:tc>
        <w:tc>
          <w:tcPr>
            <w:tcW w:w="561" w:type="dxa"/>
          </w:tcPr>
          <w:p>
            <w:pPr>
              <w:pStyle w:val="TableParagraph"/>
              <w:spacing w:before="79"/>
              <w:ind w:left="275"/>
              <w:rPr>
                <w:sz w:val="12"/>
              </w:rPr>
            </w:pPr>
            <w:r>
              <w:rPr>
                <w:w w:val="105"/>
                <w:sz w:val="12"/>
              </w:rPr>
              <w:t>0,00</w:t>
            </w:r>
          </w:p>
          <w:p>
            <w:pPr>
              <w:pStyle w:val="TableParagraph"/>
              <w:spacing w:before="81"/>
              <w:ind w:left="275"/>
              <w:rPr>
                <w:sz w:val="12"/>
              </w:rPr>
            </w:pPr>
            <w:r>
              <w:rPr>
                <w:w w:val="105"/>
                <w:sz w:val="12"/>
              </w:rPr>
              <w:t>0,00</w:t>
            </w:r>
          </w:p>
          <w:p>
            <w:pPr>
              <w:pStyle w:val="TableParagraph"/>
              <w:spacing w:before="81"/>
              <w:ind w:left="275"/>
              <w:rPr>
                <w:sz w:val="12"/>
              </w:rPr>
            </w:pPr>
            <w:r>
              <w:rPr>
                <w:w w:val="105"/>
                <w:sz w:val="12"/>
              </w:rPr>
              <w:t>0,00</w:t>
            </w:r>
          </w:p>
          <w:p>
            <w:pPr>
              <w:pStyle w:val="TableParagraph"/>
              <w:spacing w:before="11"/>
              <w:rPr>
                <w:sz w:val="12"/>
              </w:rPr>
            </w:pPr>
          </w:p>
          <w:p>
            <w:pPr>
              <w:pStyle w:val="TableParagraph"/>
              <w:ind w:left="275"/>
              <w:rPr>
                <w:sz w:val="12"/>
              </w:rPr>
            </w:pPr>
            <w:r>
              <w:rPr>
                <w:w w:val="105"/>
                <w:sz w:val="12"/>
              </w:rPr>
              <w:t>0,00</w:t>
            </w:r>
          </w:p>
        </w:tc>
        <w:tc>
          <w:tcPr>
            <w:tcW w:w="841" w:type="dxa"/>
          </w:tcPr>
          <w:p>
            <w:pPr>
              <w:pStyle w:val="TableParagraph"/>
              <w:spacing w:before="79"/>
              <w:ind w:right="53"/>
              <w:jc w:val="right"/>
              <w:rPr>
                <w:sz w:val="12"/>
              </w:rPr>
            </w:pPr>
            <w:r>
              <w:rPr>
                <w:spacing w:val="-1"/>
                <w:w w:val="105"/>
                <w:sz w:val="12"/>
              </w:rPr>
              <w:t>26.902,50</w:t>
            </w:r>
          </w:p>
          <w:p>
            <w:pPr>
              <w:pStyle w:val="TableParagraph"/>
              <w:spacing w:before="81"/>
              <w:ind w:right="53"/>
              <w:jc w:val="right"/>
              <w:rPr>
                <w:sz w:val="12"/>
              </w:rPr>
            </w:pPr>
            <w:r>
              <w:rPr>
                <w:spacing w:val="-1"/>
                <w:w w:val="105"/>
                <w:sz w:val="12"/>
              </w:rPr>
              <w:t>1.385.493,46</w:t>
            </w:r>
          </w:p>
          <w:p>
            <w:pPr>
              <w:pStyle w:val="TableParagraph"/>
              <w:spacing w:before="81"/>
              <w:ind w:right="53"/>
              <w:jc w:val="right"/>
              <w:rPr>
                <w:sz w:val="12"/>
              </w:rPr>
            </w:pPr>
            <w:r>
              <w:rPr>
                <w:spacing w:val="-1"/>
                <w:w w:val="105"/>
                <w:sz w:val="12"/>
              </w:rPr>
              <w:t>0,00</w:t>
            </w:r>
          </w:p>
          <w:p>
            <w:pPr>
              <w:pStyle w:val="TableParagraph"/>
              <w:spacing w:before="11"/>
              <w:rPr>
                <w:sz w:val="12"/>
              </w:rPr>
            </w:pPr>
          </w:p>
          <w:p>
            <w:pPr>
              <w:pStyle w:val="TableParagraph"/>
              <w:ind w:right="53"/>
              <w:jc w:val="right"/>
              <w:rPr>
                <w:sz w:val="12"/>
              </w:rPr>
            </w:pPr>
            <w:r>
              <w:rPr>
                <w:spacing w:val="-1"/>
                <w:w w:val="105"/>
                <w:sz w:val="12"/>
              </w:rPr>
              <w:t>5.517,11</w:t>
            </w:r>
          </w:p>
        </w:tc>
      </w:tr>
      <w:tr>
        <w:trPr>
          <w:trHeight w:val="149" w:hRule="atLeast"/>
        </w:trPr>
        <w:tc>
          <w:tcPr>
            <w:tcW w:w="1369" w:type="dxa"/>
            <w:tcBorders>
              <w:bottom w:val="single" w:sz="6" w:space="0" w:color="000000"/>
            </w:tcBorders>
          </w:tcPr>
          <w:p>
            <w:pPr>
              <w:pStyle w:val="TableParagraph"/>
              <w:spacing w:line="128" w:lineRule="exact" w:before="2"/>
              <w:ind w:left="52"/>
              <w:rPr>
                <w:b/>
                <w:sz w:val="12"/>
              </w:rPr>
            </w:pPr>
            <w:r>
              <w:rPr>
                <w:b/>
                <w:w w:val="105"/>
                <w:sz w:val="12"/>
              </w:rPr>
              <w:t>B) ACTIVO CORRIENTE</w:t>
            </w:r>
          </w:p>
        </w:tc>
        <w:tc>
          <w:tcPr>
            <w:tcW w:w="636" w:type="dxa"/>
            <w:tcBorders>
              <w:bottom w:val="single" w:sz="6" w:space="0" w:color="000000"/>
            </w:tcBorders>
          </w:tcPr>
          <w:p>
            <w:pPr>
              <w:pStyle w:val="TableParagraph"/>
              <w:spacing w:line="128" w:lineRule="exact" w:before="2"/>
              <w:ind w:left="114" w:right="21"/>
              <w:jc w:val="center"/>
              <w:rPr>
                <w:b/>
                <w:sz w:val="12"/>
              </w:rPr>
            </w:pPr>
            <w:r>
              <w:rPr>
                <w:b/>
                <w:w w:val="105"/>
                <w:sz w:val="12"/>
              </w:rPr>
              <w:t>9.678,15</w:t>
            </w:r>
          </w:p>
        </w:tc>
        <w:tc>
          <w:tcPr>
            <w:tcW w:w="638" w:type="dxa"/>
            <w:tcBorders>
              <w:bottom w:val="single" w:sz="6" w:space="0" w:color="000000"/>
            </w:tcBorders>
          </w:tcPr>
          <w:p>
            <w:pPr>
              <w:pStyle w:val="TableParagraph"/>
              <w:spacing w:line="128" w:lineRule="exact" w:before="2"/>
              <w:ind w:left="113" w:right="22"/>
              <w:jc w:val="center"/>
              <w:rPr>
                <w:b/>
                <w:sz w:val="12"/>
              </w:rPr>
            </w:pPr>
            <w:r>
              <w:rPr>
                <w:b/>
                <w:w w:val="105"/>
                <w:sz w:val="12"/>
              </w:rPr>
              <w:t>4.670,50</w:t>
            </w:r>
          </w:p>
        </w:tc>
        <w:tc>
          <w:tcPr>
            <w:tcW w:w="731" w:type="dxa"/>
            <w:tcBorders>
              <w:bottom w:val="single" w:sz="6" w:space="0" w:color="000000"/>
            </w:tcBorders>
          </w:tcPr>
          <w:p>
            <w:pPr>
              <w:pStyle w:val="TableParagraph"/>
              <w:spacing w:line="128" w:lineRule="exact" w:before="2"/>
              <w:ind w:left="105"/>
              <w:rPr>
                <w:b/>
                <w:sz w:val="12"/>
              </w:rPr>
            </w:pPr>
            <w:r>
              <w:rPr>
                <w:b/>
                <w:w w:val="105"/>
                <w:sz w:val="12"/>
              </w:rPr>
              <w:t>412.055,31</w:t>
            </w:r>
          </w:p>
        </w:tc>
        <w:tc>
          <w:tcPr>
            <w:tcW w:w="357" w:type="dxa"/>
            <w:tcBorders>
              <w:bottom w:val="single" w:sz="6" w:space="0" w:color="000000"/>
            </w:tcBorders>
          </w:tcPr>
          <w:p>
            <w:pPr>
              <w:pStyle w:val="TableParagraph"/>
              <w:spacing w:line="128" w:lineRule="exact" w:before="2"/>
              <w:ind w:left="79"/>
              <w:rPr>
                <w:b/>
                <w:sz w:val="12"/>
              </w:rPr>
            </w:pPr>
            <w:r>
              <w:rPr>
                <w:b/>
                <w:w w:val="105"/>
                <w:sz w:val="12"/>
              </w:rPr>
              <w:t>0,00</w:t>
            </w:r>
          </w:p>
        </w:tc>
        <w:tc>
          <w:tcPr>
            <w:tcW w:w="685" w:type="dxa"/>
            <w:tcBorders>
              <w:bottom w:val="single" w:sz="6" w:space="0" w:color="000000"/>
            </w:tcBorders>
          </w:tcPr>
          <w:p>
            <w:pPr>
              <w:pStyle w:val="TableParagraph"/>
              <w:spacing w:line="128" w:lineRule="exact" w:before="2"/>
              <w:ind w:left="97" w:right="24"/>
              <w:jc w:val="center"/>
              <w:rPr>
                <w:b/>
                <w:sz w:val="12"/>
              </w:rPr>
            </w:pPr>
            <w:r>
              <w:rPr>
                <w:b/>
                <w:w w:val="105"/>
                <w:sz w:val="12"/>
              </w:rPr>
              <w:t>12.081,13</w:t>
            </w:r>
          </w:p>
        </w:tc>
        <w:tc>
          <w:tcPr>
            <w:tcW w:w="638" w:type="dxa"/>
            <w:tcBorders>
              <w:bottom w:val="single" w:sz="6" w:space="0" w:color="000000"/>
            </w:tcBorders>
          </w:tcPr>
          <w:p>
            <w:pPr>
              <w:pStyle w:val="TableParagraph"/>
              <w:spacing w:line="128" w:lineRule="exact" w:before="2"/>
              <w:ind w:left="112" w:right="23"/>
              <w:jc w:val="center"/>
              <w:rPr>
                <w:b/>
                <w:sz w:val="12"/>
              </w:rPr>
            </w:pPr>
            <w:r>
              <w:rPr>
                <w:b/>
                <w:w w:val="105"/>
                <w:sz w:val="12"/>
              </w:rPr>
              <w:t>7.262,20</w:t>
            </w:r>
          </w:p>
        </w:tc>
        <w:tc>
          <w:tcPr>
            <w:tcW w:w="823" w:type="dxa"/>
            <w:tcBorders>
              <w:bottom w:val="single" w:sz="6" w:space="0" w:color="000000"/>
            </w:tcBorders>
          </w:tcPr>
          <w:p>
            <w:pPr>
              <w:pStyle w:val="TableParagraph"/>
              <w:spacing w:line="128" w:lineRule="exact" w:before="2"/>
              <w:ind w:left="173" w:right="21"/>
              <w:jc w:val="center"/>
              <w:rPr>
                <w:b/>
                <w:sz w:val="12"/>
              </w:rPr>
            </w:pPr>
            <w:r>
              <w:rPr>
                <w:b/>
                <w:w w:val="105"/>
                <w:sz w:val="12"/>
              </w:rPr>
              <w:t>324.592,27</w:t>
            </w:r>
          </w:p>
        </w:tc>
        <w:tc>
          <w:tcPr>
            <w:tcW w:w="592" w:type="dxa"/>
            <w:tcBorders>
              <w:bottom w:val="single" w:sz="6" w:space="0" w:color="000000"/>
            </w:tcBorders>
          </w:tcPr>
          <w:p>
            <w:pPr>
              <w:pStyle w:val="TableParagraph"/>
              <w:spacing w:line="128" w:lineRule="exact" w:before="2"/>
              <w:ind w:right="45"/>
              <w:jc w:val="right"/>
              <w:rPr>
                <w:b/>
                <w:sz w:val="12"/>
              </w:rPr>
            </w:pPr>
            <w:r>
              <w:rPr>
                <w:b/>
                <w:w w:val="105"/>
                <w:sz w:val="12"/>
              </w:rPr>
              <w:t>1.816,94</w:t>
            </w:r>
          </w:p>
        </w:tc>
        <w:tc>
          <w:tcPr>
            <w:tcW w:w="732" w:type="dxa"/>
            <w:tcBorders>
              <w:bottom w:val="single" w:sz="6" w:space="0" w:color="000000"/>
            </w:tcBorders>
          </w:tcPr>
          <w:p>
            <w:pPr>
              <w:pStyle w:val="TableParagraph"/>
              <w:spacing w:line="128" w:lineRule="exact" w:before="2"/>
              <w:ind w:left="79" w:right="25"/>
              <w:jc w:val="center"/>
              <w:rPr>
                <w:b/>
                <w:sz w:val="12"/>
              </w:rPr>
            </w:pPr>
            <w:r>
              <w:rPr>
                <w:b/>
                <w:w w:val="105"/>
                <w:sz w:val="12"/>
              </w:rPr>
              <w:t>413.005,52</w:t>
            </w:r>
          </w:p>
        </w:tc>
        <w:tc>
          <w:tcPr>
            <w:tcW w:w="637" w:type="dxa"/>
            <w:tcBorders>
              <w:bottom w:val="single" w:sz="6" w:space="0" w:color="000000"/>
            </w:tcBorders>
          </w:tcPr>
          <w:p>
            <w:pPr>
              <w:pStyle w:val="TableParagraph"/>
              <w:spacing w:line="128" w:lineRule="exact" w:before="2"/>
              <w:ind w:left="111" w:right="25"/>
              <w:jc w:val="center"/>
              <w:rPr>
                <w:b/>
                <w:sz w:val="12"/>
              </w:rPr>
            </w:pPr>
            <w:r>
              <w:rPr>
                <w:b/>
                <w:w w:val="105"/>
                <w:sz w:val="12"/>
              </w:rPr>
              <w:t>9.802,07</w:t>
            </w:r>
          </w:p>
        </w:tc>
        <w:tc>
          <w:tcPr>
            <w:tcW w:w="639" w:type="dxa"/>
            <w:tcBorders>
              <w:bottom w:val="single" w:sz="6" w:space="0" w:color="000000"/>
            </w:tcBorders>
          </w:tcPr>
          <w:p>
            <w:pPr>
              <w:pStyle w:val="TableParagraph"/>
              <w:spacing w:line="128" w:lineRule="exact" w:before="2"/>
              <w:ind w:left="44" w:right="25"/>
              <w:jc w:val="center"/>
              <w:rPr>
                <w:b/>
                <w:sz w:val="12"/>
              </w:rPr>
            </w:pPr>
            <w:r>
              <w:rPr>
                <w:b/>
                <w:w w:val="105"/>
                <w:sz w:val="12"/>
              </w:rPr>
              <w:t>54.315,93</w:t>
            </w:r>
          </w:p>
        </w:tc>
        <w:tc>
          <w:tcPr>
            <w:tcW w:w="608" w:type="dxa"/>
            <w:tcBorders>
              <w:bottom w:val="single" w:sz="6" w:space="0" w:color="000000"/>
            </w:tcBorders>
          </w:tcPr>
          <w:p>
            <w:pPr>
              <w:pStyle w:val="TableParagraph"/>
              <w:spacing w:line="128" w:lineRule="exact" w:before="2"/>
              <w:ind w:right="48"/>
              <w:jc w:val="right"/>
              <w:rPr>
                <w:b/>
                <w:sz w:val="12"/>
              </w:rPr>
            </w:pPr>
            <w:r>
              <w:rPr>
                <w:b/>
                <w:w w:val="105"/>
                <w:sz w:val="12"/>
              </w:rPr>
              <w:t>1.970,20</w:t>
            </w:r>
          </w:p>
        </w:tc>
        <w:tc>
          <w:tcPr>
            <w:tcW w:w="639" w:type="dxa"/>
            <w:tcBorders>
              <w:bottom w:val="single" w:sz="6" w:space="0" w:color="000000"/>
            </w:tcBorders>
          </w:tcPr>
          <w:p>
            <w:pPr>
              <w:pStyle w:val="TableParagraph"/>
              <w:spacing w:line="128" w:lineRule="exact" w:before="2"/>
              <w:ind w:left="41" w:right="28"/>
              <w:jc w:val="center"/>
              <w:rPr>
                <w:b/>
                <w:sz w:val="12"/>
              </w:rPr>
            </w:pPr>
            <w:r>
              <w:rPr>
                <w:b/>
                <w:w w:val="105"/>
                <w:sz w:val="12"/>
              </w:rPr>
              <w:t>15.148,51</w:t>
            </w:r>
          </w:p>
        </w:tc>
        <w:tc>
          <w:tcPr>
            <w:tcW w:w="684" w:type="dxa"/>
            <w:tcBorders>
              <w:bottom w:val="single" w:sz="6" w:space="0" w:color="000000"/>
            </w:tcBorders>
          </w:tcPr>
          <w:p>
            <w:pPr>
              <w:pStyle w:val="TableParagraph"/>
              <w:spacing w:line="128" w:lineRule="exact" w:before="2"/>
              <w:ind w:left="89" w:right="30"/>
              <w:jc w:val="center"/>
              <w:rPr>
                <w:b/>
                <w:sz w:val="12"/>
              </w:rPr>
            </w:pPr>
            <w:r>
              <w:rPr>
                <w:b/>
                <w:w w:val="105"/>
                <w:sz w:val="12"/>
              </w:rPr>
              <w:t>39.179,10</w:t>
            </w:r>
          </w:p>
        </w:tc>
        <w:tc>
          <w:tcPr>
            <w:tcW w:w="561" w:type="dxa"/>
            <w:tcBorders>
              <w:bottom w:val="single" w:sz="6" w:space="0" w:color="000000"/>
            </w:tcBorders>
          </w:tcPr>
          <w:p>
            <w:pPr>
              <w:pStyle w:val="TableParagraph"/>
              <w:spacing w:line="128" w:lineRule="exact" w:before="2"/>
              <w:ind w:right="53"/>
              <w:jc w:val="right"/>
              <w:rPr>
                <w:b/>
                <w:sz w:val="12"/>
              </w:rPr>
            </w:pPr>
            <w:r>
              <w:rPr>
                <w:b/>
                <w:w w:val="105"/>
                <w:sz w:val="12"/>
              </w:rPr>
              <w:t>0,00</w:t>
            </w:r>
          </w:p>
        </w:tc>
        <w:tc>
          <w:tcPr>
            <w:tcW w:w="841" w:type="dxa"/>
            <w:tcBorders>
              <w:bottom w:val="single" w:sz="6" w:space="0" w:color="000000"/>
            </w:tcBorders>
          </w:tcPr>
          <w:p>
            <w:pPr>
              <w:pStyle w:val="TableParagraph"/>
              <w:spacing w:line="128" w:lineRule="exact" w:before="2"/>
              <w:ind w:left="83" w:right="32"/>
              <w:jc w:val="center"/>
              <w:rPr>
                <w:b/>
                <w:sz w:val="12"/>
              </w:rPr>
            </w:pPr>
            <w:r>
              <w:rPr>
                <w:b/>
                <w:w w:val="105"/>
                <w:sz w:val="12"/>
              </w:rPr>
              <w:t>1.305.577,81</w:t>
            </w:r>
          </w:p>
        </w:tc>
      </w:tr>
      <w:tr>
        <w:trPr>
          <w:trHeight w:val="1516" w:hRule="atLeast"/>
        </w:trPr>
        <w:tc>
          <w:tcPr>
            <w:tcW w:w="1369" w:type="dxa"/>
            <w:tcBorders>
              <w:top w:val="single" w:sz="6" w:space="0" w:color="000000"/>
            </w:tcBorders>
          </w:tcPr>
          <w:p>
            <w:pPr>
              <w:pStyle w:val="TableParagraph"/>
              <w:numPr>
                <w:ilvl w:val="0"/>
                <w:numId w:val="117"/>
              </w:numPr>
              <w:tabs>
                <w:tab w:pos="176" w:val="left" w:leader="none"/>
              </w:tabs>
              <w:spacing w:line="240" w:lineRule="auto" w:before="5" w:after="0"/>
              <w:ind w:left="175" w:right="0" w:hanging="124"/>
              <w:jc w:val="left"/>
              <w:rPr>
                <w:sz w:val="12"/>
              </w:rPr>
            </w:pPr>
            <w:r>
              <w:rPr>
                <w:w w:val="105"/>
                <w:sz w:val="12"/>
              </w:rPr>
              <w:t>Existencias</w:t>
            </w:r>
          </w:p>
          <w:p>
            <w:pPr>
              <w:pStyle w:val="TableParagraph"/>
              <w:numPr>
                <w:ilvl w:val="0"/>
                <w:numId w:val="117"/>
              </w:numPr>
              <w:tabs>
                <w:tab w:pos="208" w:val="left" w:leader="none"/>
              </w:tabs>
              <w:spacing w:line="249" w:lineRule="auto" w:before="4" w:after="0"/>
              <w:ind w:left="52" w:right="292" w:firstLine="0"/>
              <w:jc w:val="left"/>
              <w:rPr>
                <w:sz w:val="12"/>
              </w:rPr>
            </w:pPr>
            <w:r>
              <w:rPr>
                <w:w w:val="105"/>
                <w:sz w:val="12"/>
              </w:rPr>
              <w:t>Deudores y </w:t>
            </w:r>
            <w:r>
              <w:rPr>
                <w:spacing w:val="-4"/>
                <w:w w:val="105"/>
                <w:sz w:val="12"/>
              </w:rPr>
              <w:t>otras </w:t>
            </w:r>
            <w:r>
              <w:rPr>
                <w:w w:val="105"/>
                <w:sz w:val="12"/>
              </w:rPr>
              <w:t>cuentas a</w:t>
            </w:r>
            <w:r>
              <w:rPr>
                <w:spacing w:val="-7"/>
                <w:w w:val="105"/>
                <w:sz w:val="12"/>
              </w:rPr>
              <w:t> </w:t>
            </w:r>
            <w:r>
              <w:rPr>
                <w:w w:val="105"/>
                <w:sz w:val="12"/>
              </w:rPr>
              <w:t>cobrar</w:t>
            </w:r>
          </w:p>
          <w:p>
            <w:pPr>
              <w:pStyle w:val="TableParagraph"/>
              <w:numPr>
                <w:ilvl w:val="0"/>
                <w:numId w:val="118"/>
              </w:numPr>
              <w:tabs>
                <w:tab w:pos="184" w:val="left" w:leader="none"/>
              </w:tabs>
              <w:spacing w:line="247" w:lineRule="auto" w:before="0" w:after="0"/>
              <w:ind w:left="52" w:right="73" w:firstLine="0"/>
              <w:jc w:val="left"/>
              <w:rPr>
                <w:sz w:val="12"/>
              </w:rPr>
            </w:pPr>
            <w:r>
              <w:rPr>
                <w:w w:val="105"/>
                <w:sz w:val="12"/>
              </w:rPr>
              <w:t>Inversiones financieras</w:t>
            </w:r>
            <w:r>
              <w:rPr>
                <w:spacing w:val="-8"/>
                <w:w w:val="105"/>
                <w:sz w:val="12"/>
              </w:rPr>
              <w:t> </w:t>
            </w:r>
            <w:r>
              <w:rPr>
                <w:w w:val="105"/>
                <w:sz w:val="12"/>
              </w:rPr>
              <w:t>a</w:t>
            </w:r>
            <w:r>
              <w:rPr>
                <w:spacing w:val="-8"/>
                <w:w w:val="105"/>
                <w:sz w:val="12"/>
              </w:rPr>
              <w:t> </w:t>
            </w:r>
            <w:r>
              <w:rPr>
                <w:w w:val="105"/>
                <w:sz w:val="12"/>
              </w:rPr>
              <w:t>corto</w:t>
            </w:r>
            <w:r>
              <w:rPr>
                <w:spacing w:val="-8"/>
                <w:w w:val="105"/>
                <w:sz w:val="12"/>
              </w:rPr>
              <w:t> </w:t>
            </w:r>
            <w:r>
              <w:rPr>
                <w:w w:val="105"/>
                <w:sz w:val="12"/>
              </w:rPr>
              <w:t>plazo</w:t>
            </w:r>
          </w:p>
          <w:p>
            <w:pPr>
              <w:pStyle w:val="TableParagraph"/>
              <w:numPr>
                <w:ilvl w:val="0"/>
                <w:numId w:val="118"/>
              </w:numPr>
              <w:tabs>
                <w:tab w:pos="216" w:val="left" w:leader="none"/>
              </w:tabs>
              <w:spacing w:line="247" w:lineRule="auto" w:before="2" w:after="0"/>
              <w:ind w:left="52" w:right="556" w:firstLine="0"/>
              <w:jc w:val="left"/>
              <w:rPr>
                <w:sz w:val="12"/>
              </w:rPr>
            </w:pPr>
            <w:r>
              <w:rPr>
                <w:w w:val="105"/>
                <w:sz w:val="12"/>
              </w:rPr>
              <w:t>Ajustes de </w:t>
            </w:r>
            <w:r>
              <w:rPr>
                <w:spacing w:val="-1"/>
                <w:w w:val="105"/>
                <w:sz w:val="12"/>
              </w:rPr>
              <w:t>periodificación</w:t>
            </w:r>
          </w:p>
          <w:p>
            <w:pPr>
              <w:pStyle w:val="TableParagraph"/>
              <w:spacing w:before="1"/>
              <w:ind w:left="52"/>
              <w:rPr>
                <w:sz w:val="12"/>
              </w:rPr>
            </w:pPr>
            <w:r>
              <w:rPr>
                <w:w w:val="105"/>
                <w:sz w:val="12"/>
              </w:rPr>
              <w:t>VII .Efectivo y otros</w:t>
            </w:r>
          </w:p>
          <w:p>
            <w:pPr>
              <w:pStyle w:val="TableParagraph"/>
              <w:spacing w:line="150" w:lineRule="atLeast" w:before="3"/>
              <w:ind w:left="52"/>
              <w:rPr>
                <w:sz w:val="12"/>
              </w:rPr>
            </w:pPr>
            <w:r>
              <w:rPr>
                <w:w w:val="105"/>
                <w:sz w:val="12"/>
              </w:rPr>
              <w:t>activos líquidos equivalentes</w:t>
            </w:r>
          </w:p>
        </w:tc>
        <w:tc>
          <w:tcPr>
            <w:tcW w:w="636" w:type="dxa"/>
            <w:tcBorders>
              <w:top w:val="single" w:sz="6" w:space="0" w:color="000000"/>
            </w:tcBorders>
          </w:tcPr>
          <w:p>
            <w:pPr>
              <w:pStyle w:val="TableParagraph"/>
              <w:spacing w:before="5"/>
              <w:ind w:right="41"/>
              <w:jc w:val="right"/>
              <w:rPr>
                <w:sz w:val="12"/>
              </w:rPr>
            </w:pPr>
            <w:r>
              <w:rPr>
                <w:spacing w:val="-1"/>
                <w:w w:val="105"/>
                <w:sz w:val="12"/>
              </w:rPr>
              <w:t>0,00</w:t>
            </w:r>
          </w:p>
          <w:p>
            <w:pPr>
              <w:pStyle w:val="TableParagraph"/>
              <w:spacing w:before="81"/>
              <w:ind w:right="41"/>
              <w:jc w:val="right"/>
              <w:rPr>
                <w:sz w:val="12"/>
              </w:rPr>
            </w:pPr>
            <w:r>
              <w:rPr>
                <w:spacing w:val="-1"/>
                <w:w w:val="105"/>
                <w:sz w:val="12"/>
              </w:rPr>
              <w:t>5,29</w:t>
            </w:r>
          </w:p>
          <w:p>
            <w:pPr>
              <w:pStyle w:val="TableParagraph"/>
              <w:spacing w:before="11"/>
              <w:rPr>
                <w:sz w:val="12"/>
              </w:rPr>
            </w:pPr>
          </w:p>
          <w:p>
            <w:pPr>
              <w:pStyle w:val="TableParagraph"/>
              <w:ind w:right="41"/>
              <w:jc w:val="right"/>
              <w:rPr>
                <w:sz w:val="12"/>
              </w:rPr>
            </w:pPr>
            <w:r>
              <w:rPr>
                <w:spacing w:val="-1"/>
                <w:w w:val="105"/>
                <w:sz w:val="12"/>
              </w:rPr>
              <w:t>28,57</w:t>
            </w:r>
          </w:p>
          <w:p>
            <w:pPr>
              <w:pStyle w:val="TableParagraph"/>
              <w:spacing w:before="9"/>
              <w:rPr>
                <w:sz w:val="12"/>
              </w:rPr>
            </w:pPr>
          </w:p>
          <w:p>
            <w:pPr>
              <w:pStyle w:val="TableParagraph"/>
              <w:ind w:right="41"/>
              <w:jc w:val="right"/>
              <w:rPr>
                <w:sz w:val="12"/>
              </w:rPr>
            </w:pPr>
            <w:r>
              <w:rPr>
                <w:spacing w:val="-1"/>
                <w:w w:val="105"/>
                <w:sz w:val="12"/>
              </w:rPr>
              <w:t>0,00</w:t>
            </w:r>
          </w:p>
          <w:p>
            <w:pPr>
              <w:pStyle w:val="TableParagraph"/>
              <w:rPr>
                <w:sz w:val="12"/>
              </w:rPr>
            </w:pPr>
          </w:p>
          <w:p>
            <w:pPr>
              <w:pStyle w:val="TableParagraph"/>
              <w:spacing w:before="88"/>
              <w:ind w:right="41"/>
              <w:jc w:val="right"/>
              <w:rPr>
                <w:sz w:val="12"/>
              </w:rPr>
            </w:pPr>
            <w:r>
              <w:rPr>
                <w:spacing w:val="-1"/>
                <w:w w:val="105"/>
                <w:sz w:val="12"/>
              </w:rPr>
              <w:t>9.644,29</w:t>
            </w:r>
          </w:p>
        </w:tc>
        <w:tc>
          <w:tcPr>
            <w:tcW w:w="638" w:type="dxa"/>
            <w:tcBorders>
              <w:top w:val="single" w:sz="6" w:space="0" w:color="000000"/>
            </w:tcBorders>
          </w:tcPr>
          <w:p>
            <w:pPr>
              <w:pStyle w:val="TableParagraph"/>
              <w:spacing w:before="5"/>
              <w:ind w:right="43"/>
              <w:jc w:val="right"/>
              <w:rPr>
                <w:sz w:val="12"/>
              </w:rPr>
            </w:pPr>
            <w:r>
              <w:rPr>
                <w:spacing w:val="-1"/>
                <w:w w:val="105"/>
                <w:sz w:val="12"/>
              </w:rPr>
              <w:t>0,00</w:t>
            </w:r>
          </w:p>
          <w:p>
            <w:pPr>
              <w:pStyle w:val="TableParagraph"/>
              <w:spacing w:before="81"/>
              <w:ind w:right="43"/>
              <w:jc w:val="right"/>
              <w:rPr>
                <w:sz w:val="12"/>
              </w:rPr>
            </w:pPr>
            <w:r>
              <w:rPr>
                <w:sz w:val="12"/>
              </w:rPr>
              <w:t>302,34</w:t>
            </w:r>
          </w:p>
          <w:p>
            <w:pPr>
              <w:pStyle w:val="TableParagraph"/>
              <w:spacing w:before="11"/>
              <w:rPr>
                <w:sz w:val="12"/>
              </w:rPr>
            </w:pPr>
          </w:p>
          <w:p>
            <w:pPr>
              <w:pStyle w:val="TableParagraph"/>
              <w:ind w:right="43"/>
              <w:jc w:val="right"/>
              <w:rPr>
                <w:sz w:val="12"/>
              </w:rPr>
            </w:pPr>
            <w:r>
              <w:rPr>
                <w:spacing w:val="-1"/>
                <w:w w:val="105"/>
                <w:sz w:val="12"/>
              </w:rPr>
              <w:t>7,70</w:t>
            </w:r>
          </w:p>
          <w:p>
            <w:pPr>
              <w:pStyle w:val="TableParagraph"/>
              <w:spacing w:before="9"/>
              <w:rPr>
                <w:sz w:val="12"/>
              </w:rPr>
            </w:pPr>
          </w:p>
          <w:p>
            <w:pPr>
              <w:pStyle w:val="TableParagraph"/>
              <w:ind w:right="43"/>
              <w:jc w:val="right"/>
              <w:rPr>
                <w:sz w:val="12"/>
              </w:rPr>
            </w:pPr>
            <w:r>
              <w:rPr>
                <w:spacing w:val="-1"/>
                <w:w w:val="105"/>
                <w:sz w:val="12"/>
              </w:rPr>
              <w:t>0,00</w:t>
            </w:r>
          </w:p>
          <w:p>
            <w:pPr>
              <w:pStyle w:val="TableParagraph"/>
              <w:rPr>
                <w:sz w:val="12"/>
              </w:rPr>
            </w:pPr>
          </w:p>
          <w:p>
            <w:pPr>
              <w:pStyle w:val="TableParagraph"/>
              <w:spacing w:before="88"/>
              <w:ind w:right="43"/>
              <w:jc w:val="right"/>
              <w:rPr>
                <w:sz w:val="12"/>
              </w:rPr>
            </w:pPr>
            <w:r>
              <w:rPr>
                <w:spacing w:val="-1"/>
                <w:w w:val="105"/>
                <w:sz w:val="12"/>
              </w:rPr>
              <w:t>4.360,46</w:t>
            </w:r>
          </w:p>
        </w:tc>
        <w:tc>
          <w:tcPr>
            <w:tcW w:w="731" w:type="dxa"/>
            <w:tcBorders>
              <w:top w:val="single" w:sz="6" w:space="0" w:color="000000"/>
            </w:tcBorders>
          </w:tcPr>
          <w:p>
            <w:pPr>
              <w:pStyle w:val="TableParagraph"/>
              <w:spacing w:before="5"/>
              <w:ind w:right="43"/>
              <w:jc w:val="right"/>
              <w:rPr>
                <w:sz w:val="12"/>
              </w:rPr>
            </w:pPr>
            <w:r>
              <w:rPr>
                <w:spacing w:val="-1"/>
                <w:w w:val="105"/>
                <w:sz w:val="12"/>
              </w:rPr>
              <w:t>0,00</w:t>
            </w:r>
          </w:p>
          <w:p>
            <w:pPr>
              <w:pStyle w:val="TableParagraph"/>
              <w:spacing w:before="81"/>
              <w:ind w:right="43"/>
              <w:jc w:val="right"/>
              <w:rPr>
                <w:sz w:val="12"/>
              </w:rPr>
            </w:pPr>
            <w:r>
              <w:rPr>
                <w:spacing w:val="-1"/>
                <w:w w:val="105"/>
                <w:sz w:val="12"/>
              </w:rPr>
              <w:t>14.152,65</w:t>
            </w:r>
          </w:p>
          <w:p>
            <w:pPr>
              <w:pStyle w:val="TableParagraph"/>
              <w:spacing w:before="11"/>
              <w:rPr>
                <w:sz w:val="12"/>
              </w:rPr>
            </w:pPr>
          </w:p>
          <w:p>
            <w:pPr>
              <w:pStyle w:val="TableParagraph"/>
              <w:ind w:right="43"/>
              <w:jc w:val="right"/>
              <w:rPr>
                <w:sz w:val="12"/>
              </w:rPr>
            </w:pPr>
            <w:r>
              <w:rPr>
                <w:sz w:val="12"/>
              </w:rPr>
              <w:t>433,36</w:t>
            </w:r>
          </w:p>
          <w:p>
            <w:pPr>
              <w:pStyle w:val="TableParagraph"/>
              <w:spacing w:before="9"/>
              <w:rPr>
                <w:sz w:val="12"/>
              </w:rPr>
            </w:pPr>
          </w:p>
          <w:p>
            <w:pPr>
              <w:pStyle w:val="TableParagraph"/>
              <w:ind w:right="43"/>
              <w:jc w:val="right"/>
              <w:rPr>
                <w:sz w:val="12"/>
              </w:rPr>
            </w:pPr>
            <w:r>
              <w:rPr>
                <w:spacing w:val="-1"/>
                <w:w w:val="105"/>
                <w:sz w:val="12"/>
              </w:rPr>
              <w:t>0,00</w:t>
            </w:r>
          </w:p>
          <w:p>
            <w:pPr>
              <w:pStyle w:val="TableParagraph"/>
              <w:rPr>
                <w:sz w:val="12"/>
              </w:rPr>
            </w:pPr>
          </w:p>
          <w:p>
            <w:pPr>
              <w:pStyle w:val="TableParagraph"/>
              <w:spacing w:before="88"/>
              <w:ind w:right="43"/>
              <w:jc w:val="right"/>
              <w:rPr>
                <w:sz w:val="12"/>
              </w:rPr>
            </w:pPr>
            <w:r>
              <w:rPr>
                <w:spacing w:val="-1"/>
                <w:w w:val="105"/>
                <w:sz w:val="12"/>
              </w:rPr>
              <w:t>397.469,30</w:t>
            </w:r>
          </w:p>
        </w:tc>
        <w:tc>
          <w:tcPr>
            <w:tcW w:w="357" w:type="dxa"/>
            <w:tcBorders>
              <w:top w:val="single" w:sz="6" w:space="0" w:color="000000"/>
            </w:tcBorders>
          </w:tcPr>
          <w:p>
            <w:pPr>
              <w:pStyle w:val="TableParagraph"/>
              <w:spacing w:before="5"/>
              <w:ind w:left="80"/>
              <w:rPr>
                <w:sz w:val="12"/>
              </w:rPr>
            </w:pPr>
            <w:r>
              <w:rPr>
                <w:w w:val="105"/>
                <w:sz w:val="12"/>
              </w:rPr>
              <w:t>0,00</w:t>
            </w:r>
          </w:p>
          <w:p>
            <w:pPr>
              <w:pStyle w:val="TableParagraph"/>
              <w:spacing w:before="81"/>
              <w:ind w:left="80"/>
              <w:rPr>
                <w:sz w:val="12"/>
              </w:rPr>
            </w:pPr>
            <w:r>
              <w:rPr>
                <w:w w:val="105"/>
                <w:sz w:val="12"/>
              </w:rPr>
              <w:t>0,00</w:t>
            </w:r>
          </w:p>
          <w:p>
            <w:pPr>
              <w:pStyle w:val="TableParagraph"/>
              <w:spacing w:before="11"/>
              <w:rPr>
                <w:sz w:val="12"/>
              </w:rPr>
            </w:pPr>
          </w:p>
          <w:p>
            <w:pPr>
              <w:pStyle w:val="TableParagraph"/>
              <w:ind w:left="80"/>
              <w:rPr>
                <w:sz w:val="12"/>
              </w:rPr>
            </w:pPr>
            <w:r>
              <w:rPr>
                <w:w w:val="105"/>
                <w:sz w:val="12"/>
              </w:rPr>
              <w:t>0,00</w:t>
            </w:r>
          </w:p>
          <w:p>
            <w:pPr>
              <w:pStyle w:val="TableParagraph"/>
              <w:spacing w:before="9"/>
              <w:rPr>
                <w:sz w:val="12"/>
              </w:rPr>
            </w:pPr>
          </w:p>
          <w:p>
            <w:pPr>
              <w:pStyle w:val="TableParagraph"/>
              <w:ind w:left="80"/>
              <w:rPr>
                <w:sz w:val="12"/>
              </w:rPr>
            </w:pPr>
            <w:r>
              <w:rPr>
                <w:w w:val="105"/>
                <w:sz w:val="12"/>
              </w:rPr>
              <w:t>0,00</w:t>
            </w:r>
          </w:p>
          <w:p>
            <w:pPr>
              <w:pStyle w:val="TableParagraph"/>
              <w:rPr>
                <w:sz w:val="12"/>
              </w:rPr>
            </w:pPr>
          </w:p>
          <w:p>
            <w:pPr>
              <w:pStyle w:val="TableParagraph"/>
              <w:spacing w:before="88"/>
              <w:ind w:left="80"/>
              <w:rPr>
                <w:sz w:val="12"/>
              </w:rPr>
            </w:pPr>
            <w:r>
              <w:rPr>
                <w:w w:val="105"/>
                <w:sz w:val="12"/>
              </w:rPr>
              <w:t>0,00</w:t>
            </w:r>
          </w:p>
        </w:tc>
        <w:tc>
          <w:tcPr>
            <w:tcW w:w="685" w:type="dxa"/>
            <w:tcBorders>
              <w:top w:val="single" w:sz="6" w:space="0" w:color="000000"/>
            </w:tcBorders>
          </w:tcPr>
          <w:p>
            <w:pPr>
              <w:pStyle w:val="TableParagraph"/>
              <w:spacing w:before="5"/>
              <w:ind w:right="44"/>
              <w:jc w:val="right"/>
              <w:rPr>
                <w:sz w:val="12"/>
              </w:rPr>
            </w:pPr>
            <w:r>
              <w:rPr>
                <w:spacing w:val="-1"/>
                <w:w w:val="105"/>
                <w:sz w:val="12"/>
              </w:rPr>
              <w:t>0,00</w:t>
            </w:r>
          </w:p>
          <w:p>
            <w:pPr>
              <w:pStyle w:val="TableParagraph"/>
              <w:spacing w:before="81"/>
              <w:ind w:right="44"/>
              <w:jc w:val="right"/>
              <w:rPr>
                <w:sz w:val="12"/>
              </w:rPr>
            </w:pPr>
            <w:r>
              <w:rPr>
                <w:sz w:val="12"/>
              </w:rPr>
              <w:t>920,38</w:t>
            </w:r>
          </w:p>
          <w:p>
            <w:pPr>
              <w:pStyle w:val="TableParagraph"/>
              <w:spacing w:before="11"/>
              <w:rPr>
                <w:sz w:val="12"/>
              </w:rPr>
            </w:pPr>
          </w:p>
          <w:p>
            <w:pPr>
              <w:pStyle w:val="TableParagraph"/>
              <w:ind w:right="44"/>
              <w:jc w:val="right"/>
              <w:rPr>
                <w:sz w:val="12"/>
              </w:rPr>
            </w:pPr>
            <w:r>
              <w:rPr>
                <w:spacing w:val="-1"/>
                <w:w w:val="105"/>
                <w:sz w:val="12"/>
              </w:rPr>
              <w:t>93,71</w:t>
            </w:r>
          </w:p>
          <w:p>
            <w:pPr>
              <w:pStyle w:val="TableParagraph"/>
              <w:spacing w:before="9"/>
              <w:rPr>
                <w:sz w:val="12"/>
              </w:rPr>
            </w:pPr>
          </w:p>
          <w:p>
            <w:pPr>
              <w:pStyle w:val="TableParagraph"/>
              <w:ind w:right="44"/>
              <w:jc w:val="right"/>
              <w:rPr>
                <w:sz w:val="12"/>
              </w:rPr>
            </w:pPr>
            <w:r>
              <w:rPr>
                <w:spacing w:val="-1"/>
                <w:w w:val="105"/>
                <w:sz w:val="12"/>
              </w:rPr>
              <w:t>0,00</w:t>
            </w:r>
          </w:p>
          <w:p>
            <w:pPr>
              <w:pStyle w:val="TableParagraph"/>
              <w:rPr>
                <w:sz w:val="12"/>
              </w:rPr>
            </w:pPr>
          </w:p>
          <w:p>
            <w:pPr>
              <w:pStyle w:val="TableParagraph"/>
              <w:spacing w:before="88"/>
              <w:ind w:right="44"/>
              <w:jc w:val="right"/>
              <w:rPr>
                <w:sz w:val="12"/>
              </w:rPr>
            </w:pPr>
            <w:r>
              <w:rPr>
                <w:spacing w:val="-1"/>
                <w:w w:val="105"/>
                <w:sz w:val="12"/>
              </w:rPr>
              <w:t>11.067,04</w:t>
            </w:r>
          </w:p>
        </w:tc>
        <w:tc>
          <w:tcPr>
            <w:tcW w:w="638" w:type="dxa"/>
            <w:tcBorders>
              <w:top w:val="single" w:sz="6" w:space="0" w:color="000000"/>
            </w:tcBorders>
          </w:tcPr>
          <w:p>
            <w:pPr>
              <w:pStyle w:val="TableParagraph"/>
              <w:spacing w:before="5"/>
              <w:ind w:right="44"/>
              <w:jc w:val="right"/>
              <w:rPr>
                <w:sz w:val="12"/>
              </w:rPr>
            </w:pPr>
            <w:r>
              <w:rPr>
                <w:spacing w:val="-1"/>
                <w:w w:val="105"/>
                <w:sz w:val="12"/>
              </w:rPr>
              <w:t>2.304,23</w:t>
            </w:r>
          </w:p>
          <w:p>
            <w:pPr>
              <w:pStyle w:val="TableParagraph"/>
              <w:spacing w:before="81"/>
              <w:ind w:right="44"/>
              <w:jc w:val="right"/>
              <w:rPr>
                <w:sz w:val="12"/>
              </w:rPr>
            </w:pPr>
            <w:r>
              <w:rPr>
                <w:spacing w:val="-1"/>
                <w:w w:val="105"/>
                <w:sz w:val="12"/>
              </w:rPr>
              <w:t>3.264,36</w:t>
            </w:r>
          </w:p>
          <w:p>
            <w:pPr>
              <w:pStyle w:val="TableParagraph"/>
              <w:spacing w:before="11"/>
              <w:rPr>
                <w:sz w:val="12"/>
              </w:rPr>
            </w:pPr>
          </w:p>
          <w:p>
            <w:pPr>
              <w:pStyle w:val="TableParagraph"/>
              <w:ind w:right="44"/>
              <w:jc w:val="right"/>
              <w:rPr>
                <w:sz w:val="12"/>
              </w:rPr>
            </w:pPr>
            <w:r>
              <w:rPr>
                <w:spacing w:val="-1"/>
                <w:w w:val="105"/>
                <w:sz w:val="12"/>
              </w:rPr>
              <w:t>13,27</w:t>
            </w:r>
          </w:p>
          <w:p>
            <w:pPr>
              <w:pStyle w:val="TableParagraph"/>
              <w:spacing w:before="9"/>
              <w:rPr>
                <w:sz w:val="12"/>
              </w:rPr>
            </w:pPr>
          </w:p>
          <w:p>
            <w:pPr>
              <w:pStyle w:val="TableParagraph"/>
              <w:ind w:right="44"/>
              <w:jc w:val="right"/>
              <w:rPr>
                <w:sz w:val="12"/>
              </w:rPr>
            </w:pPr>
            <w:r>
              <w:rPr>
                <w:spacing w:val="-1"/>
                <w:w w:val="105"/>
                <w:sz w:val="12"/>
              </w:rPr>
              <w:t>34,42</w:t>
            </w:r>
          </w:p>
          <w:p>
            <w:pPr>
              <w:pStyle w:val="TableParagraph"/>
              <w:rPr>
                <w:sz w:val="12"/>
              </w:rPr>
            </w:pPr>
          </w:p>
          <w:p>
            <w:pPr>
              <w:pStyle w:val="TableParagraph"/>
              <w:spacing w:before="88"/>
              <w:ind w:right="44"/>
              <w:jc w:val="right"/>
              <w:rPr>
                <w:sz w:val="12"/>
              </w:rPr>
            </w:pPr>
            <w:r>
              <w:rPr>
                <w:spacing w:val="-1"/>
                <w:w w:val="105"/>
                <w:sz w:val="12"/>
              </w:rPr>
              <w:t>1.645,92</w:t>
            </w:r>
          </w:p>
        </w:tc>
        <w:tc>
          <w:tcPr>
            <w:tcW w:w="823" w:type="dxa"/>
            <w:tcBorders>
              <w:top w:val="single" w:sz="6" w:space="0" w:color="000000"/>
            </w:tcBorders>
          </w:tcPr>
          <w:p>
            <w:pPr>
              <w:pStyle w:val="TableParagraph"/>
              <w:spacing w:before="5"/>
              <w:ind w:right="43"/>
              <w:jc w:val="right"/>
              <w:rPr>
                <w:sz w:val="12"/>
              </w:rPr>
            </w:pPr>
            <w:r>
              <w:rPr>
                <w:spacing w:val="-1"/>
                <w:w w:val="105"/>
                <w:sz w:val="12"/>
              </w:rPr>
              <w:t>73.811,98</w:t>
            </w:r>
          </w:p>
          <w:p>
            <w:pPr>
              <w:pStyle w:val="TableParagraph"/>
              <w:spacing w:before="81"/>
              <w:ind w:right="43"/>
              <w:jc w:val="right"/>
              <w:rPr>
                <w:sz w:val="12"/>
              </w:rPr>
            </w:pPr>
            <w:r>
              <w:rPr>
                <w:spacing w:val="-1"/>
                <w:w w:val="105"/>
                <w:sz w:val="12"/>
              </w:rPr>
              <w:t>66.428,91</w:t>
            </w:r>
          </w:p>
          <w:p>
            <w:pPr>
              <w:pStyle w:val="TableParagraph"/>
              <w:spacing w:before="11"/>
              <w:rPr>
                <w:sz w:val="12"/>
              </w:rPr>
            </w:pPr>
          </w:p>
          <w:p>
            <w:pPr>
              <w:pStyle w:val="TableParagraph"/>
              <w:ind w:right="43"/>
              <w:jc w:val="right"/>
              <w:rPr>
                <w:sz w:val="12"/>
              </w:rPr>
            </w:pPr>
            <w:r>
              <w:rPr>
                <w:spacing w:val="-1"/>
                <w:w w:val="105"/>
                <w:sz w:val="12"/>
              </w:rPr>
              <w:t>14.330,43</w:t>
            </w:r>
          </w:p>
          <w:p>
            <w:pPr>
              <w:pStyle w:val="TableParagraph"/>
              <w:spacing w:before="9"/>
              <w:rPr>
                <w:sz w:val="12"/>
              </w:rPr>
            </w:pPr>
          </w:p>
          <w:p>
            <w:pPr>
              <w:pStyle w:val="TableParagraph"/>
              <w:ind w:right="43"/>
              <w:jc w:val="right"/>
              <w:rPr>
                <w:sz w:val="12"/>
              </w:rPr>
            </w:pPr>
            <w:r>
              <w:rPr>
                <w:spacing w:val="-1"/>
                <w:w w:val="105"/>
                <w:sz w:val="12"/>
              </w:rPr>
              <w:t>0,00</w:t>
            </w:r>
          </w:p>
          <w:p>
            <w:pPr>
              <w:pStyle w:val="TableParagraph"/>
              <w:rPr>
                <w:sz w:val="12"/>
              </w:rPr>
            </w:pPr>
          </w:p>
          <w:p>
            <w:pPr>
              <w:pStyle w:val="TableParagraph"/>
              <w:spacing w:before="88"/>
              <w:ind w:right="43"/>
              <w:jc w:val="right"/>
              <w:rPr>
                <w:sz w:val="12"/>
              </w:rPr>
            </w:pPr>
            <w:r>
              <w:rPr>
                <w:spacing w:val="-1"/>
                <w:w w:val="105"/>
                <w:sz w:val="12"/>
              </w:rPr>
              <w:t>170.020,94</w:t>
            </w:r>
          </w:p>
        </w:tc>
        <w:tc>
          <w:tcPr>
            <w:tcW w:w="592" w:type="dxa"/>
            <w:tcBorders>
              <w:top w:val="single" w:sz="6" w:space="0" w:color="000000"/>
            </w:tcBorders>
          </w:tcPr>
          <w:p>
            <w:pPr>
              <w:pStyle w:val="TableParagraph"/>
              <w:spacing w:before="5"/>
              <w:ind w:right="45"/>
              <w:jc w:val="right"/>
              <w:rPr>
                <w:sz w:val="12"/>
              </w:rPr>
            </w:pPr>
            <w:r>
              <w:rPr>
                <w:spacing w:val="-1"/>
                <w:w w:val="105"/>
                <w:sz w:val="12"/>
              </w:rPr>
              <w:t>0,00</w:t>
            </w:r>
          </w:p>
          <w:p>
            <w:pPr>
              <w:pStyle w:val="TableParagraph"/>
              <w:spacing w:before="81"/>
              <w:ind w:right="45"/>
              <w:jc w:val="right"/>
              <w:rPr>
                <w:sz w:val="12"/>
              </w:rPr>
            </w:pPr>
            <w:r>
              <w:rPr>
                <w:spacing w:val="-1"/>
                <w:w w:val="105"/>
                <w:sz w:val="12"/>
              </w:rPr>
              <w:t>0,01</w:t>
            </w:r>
          </w:p>
          <w:p>
            <w:pPr>
              <w:pStyle w:val="TableParagraph"/>
              <w:spacing w:before="11"/>
              <w:rPr>
                <w:sz w:val="12"/>
              </w:rPr>
            </w:pPr>
          </w:p>
          <w:p>
            <w:pPr>
              <w:pStyle w:val="TableParagraph"/>
              <w:ind w:right="45"/>
              <w:jc w:val="right"/>
              <w:rPr>
                <w:sz w:val="12"/>
              </w:rPr>
            </w:pPr>
            <w:r>
              <w:rPr>
                <w:spacing w:val="-1"/>
                <w:w w:val="105"/>
                <w:sz w:val="12"/>
              </w:rPr>
              <w:t>0,00</w:t>
            </w:r>
          </w:p>
          <w:p>
            <w:pPr>
              <w:pStyle w:val="TableParagraph"/>
              <w:spacing w:before="9"/>
              <w:rPr>
                <w:sz w:val="12"/>
              </w:rPr>
            </w:pPr>
          </w:p>
          <w:p>
            <w:pPr>
              <w:pStyle w:val="TableParagraph"/>
              <w:ind w:right="45"/>
              <w:jc w:val="right"/>
              <w:rPr>
                <w:sz w:val="12"/>
              </w:rPr>
            </w:pPr>
            <w:r>
              <w:rPr>
                <w:spacing w:val="-1"/>
                <w:w w:val="105"/>
                <w:sz w:val="12"/>
              </w:rPr>
              <w:t>0,00</w:t>
            </w:r>
          </w:p>
          <w:p>
            <w:pPr>
              <w:pStyle w:val="TableParagraph"/>
              <w:rPr>
                <w:sz w:val="12"/>
              </w:rPr>
            </w:pPr>
          </w:p>
          <w:p>
            <w:pPr>
              <w:pStyle w:val="TableParagraph"/>
              <w:spacing w:before="88"/>
              <w:ind w:right="45"/>
              <w:jc w:val="right"/>
              <w:rPr>
                <w:sz w:val="12"/>
              </w:rPr>
            </w:pPr>
            <w:r>
              <w:rPr>
                <w:spacing w:val="-1"/>
                <w:w w:val="105"/>
                <w:sz w:val="12"/>
              </w:rPr>
              <w:t>1.816,93</w:t>
            </w:r>
          </w:p>
        </w:tc>
        <w:tc>
          <w:tcPr>
            <w:tcW w:w="732" w:type="dxa"/>
            <w:tcBorders>
              <w:top w:val="single" w:sz="6" w:space="0" w:color="000000"/>
            </w:tcBorders>
          </w:tcPr>
          <w:p>
            <w:pPr>
              <w:pStyle w:val="TableParagraph"/>
              <w:spacing w:before="5"/>
              <w:ind w:right="46"/>
              <w:jc w:val="right"/>
              <w:rPr>
                <w:sz w:val="12"/>
              </w:rPr>
            </w:pPr>
            <w:r>
              <w:rPr>
                <w:spacing w:val="-1"/>
                <w:w w:val="105"/>
                <w:sz w:val="12"/>
              </w:rPr>
              <w:t>0,00</w:t>
            </w:r>
          </w:p>
          <w:p>
            <w:pPr>
              <w:pStyle w:val="TableParagraph"/>
              <w:spacing w:before="81"/>
              <w:ind w:right="46"/>
              <w:jc w:val="right"/>
              <w:rPr>
                <w:sz w:val="12"/>
              </w:rPr>
            </w:pPr>
            <w:r>
              <w:rPr>
                <w:spacing w:val="-1"/>
                <w:w w:val="105"/>
                <w:sz w:val="12"/>
              </w:rPr>
              <w:t>99.818,17</w:t>
            </w:r>
          </w:p>
          <w:p>
            <w:pPr>
              <w:pStyle w:val="TableParagraph"/>
              <w:spacing w:before="11"/>
              <w:rPr>
                <w:sz w:val="12"/>
              </w:rPr>
            </w:pPr>
          </w:p>
          <w:p>
            <w:pPr>
              <w:pStyle w:val="TableParagraph"/>
              <w:ind w:right="46"/>
              <w:jc w:val="right"/>
              <w:rPr>
                <w:sz w:val="12"/>
              </w:rPr>
            </w:pPr>
            <w:r>
              <w:rPr>
                <w:sz w:val="12"/>
              </w:rPr>
              <w:t>69,51</w:t>
            </w:r>
          </w:p>
          <w:p>
            <w:pPr>
              <w:pStyle w:val="TableParagraph"/>
              <w:spacing w:before="9"/>
              <w:rPr>
                <w:sz w:val="12"/>
              </w:rPr>
            </w:pPr>
          </w:p>
          <w:p>
            <w:pPr>
              <w:pStyle w:val="TableParagraph"/>
              <w:ind w:right="46"/>
              <w:jc w:val="right"/>
              <w:rPr>
                <w:sz w:val="12"/>
              </w:rPr>
            </w:pPr>
            <w:r>
              <w:rPr>
                <w:spacing w:val="-1"/>
                <w:w w:val="105"/>
                <w:sz w:val="12"/>
              </w:rPr>
              <w:t>0,00</w:t>
            </w:r>
          </w:p>
          <w:p>
            <w:pPr>
              <w:pStyle w:val="TableParagraph"/>
              <w:rPr>
                <w:sz w:val="12"/>
              </w:rPr>
            </w:pPr>
          </w:p>
          <w:p>
            <w:pPr>
              <w:pStyle w:val="TableParagraph"/>
              <w:spacing w:before="88"/>
              <w:ind w:right="46"/>
              <w:jc w:val="right"/>
              <w:rPr>
                <w:sz w:val="12"/>
              </w:rPr>
            </w:pPr>
            <w:r>
              <w:rPr>
                <w:spacing w:val="-1"/>
                <w:w w:val="105"/>
                <w:sz w:val="12"/>
              </w:rPr>
              <w:t>313.117,84</w:t>
            </w:r>
          </w:p>
        </w:tc>
        <w:tc>
          <w:tcPr>
            <w:tcW w:w="637" w:type="dxa"/>
            <w:tcBorders>
              <w:top w:val="single" w:sz="6" w:space="0" w:color="000000"/>
            </w:tcBorders>
          </w:tcPr>
          <w:p>
            <w:pPr>
              <w:pStyle w:val="TableParagraph"/>
              <w:spacing w:before="5"/>
              <w:ind w:right="45"/>
              <w:jc w:val="right"/>
              <w:rPr>
                <w:sz w:val="12"/>
              </w:rPr>
            </w:pPr>
            <w:r>
              <w:rPr>
                <w:spacing w:val="-1"/>
                <w:w w:val="105"/>
                <w:sz w:val="12"/>
              </w:rPr>
              <w:t>0,00</w:t>
            </w:r>
          </w:p>
          <w:p>
            <w:pPr>
              <w:pStyle w:val="TableParagraph"/>
              <w:spacing w:before="81"/>
              <w:ind w:right="45"/>
              <w:jc w:val="right"/>
              <w:rPr>
                <w:sz w:val="12"/>
              </w:rPr>
            </w:pPr>
            <w:r>
              <w:rPr>
                <w:sz w:val="12"/>
              </w:rPr>
              <w:t>648,09</w:t>
            </w:r>
          </w:p>
          <w:p>
            <w:pPr>
              <w:pStyle w:val="TableParagraph"/>
              <w:spacing w:before="11"/>
              <w:rPr>
                <w:sz w:val="12"/>
              </w:rPr>
            </w:pPr>
          </w:p>
          <w:p>
            <w:pPr>
              <w:pStyle w:val="TableParagraph"/>
              <w:ind w:right="45"/>
              <w:jc w:val="right"/>
              <w:rPr>
                <w:sz w:val="12"/>
              </w:rPr>
            </w:pPr>
            <w:r>
              <w:rPr>
                <w:spacing w:val="-1"/>
                <w:w w:val="105"/>
                <w:sz w:val="12"/>
              </w:rPr>
              <w:t>22,12</w:t>
            </w:r>
          </w:p>
          <w:p>
            <w:pPr>
              <w:pStyle w:val="TableParagraph"/>
              <w:spacing w:before="9"/>
              <w:rPr>
                <w:sz w:val="12"/>
              </w:rPr>
            </w:pPr>
          </w:p>
          <w:p>
            <w:pPr>
              <w:pStyle w:val="TableParagraph"/>
              <w:ind w:right="45"/>
              <w:jc w:val="right"/>
              <w:rPr>
                <w:sz w:val="12"/>
              </w:rPr>
            </w:pPr>
            <w:r>
              <w:rPr>
                <w:spacing w:val="-1"/>
                <w:w w:val="105"/>
                <w:sz w:val="12"/>
              </w:rPr>
              <w:t>0,00</w:t>
            </w:r>
          </w:p>
          <w:p>
            <w:pPr>
              <w:pStyle w:val="TableParagraph"/>
              <w:rPr>
                <w:sz w:val="12"/>
              </w:rPr>
            </w:pPr>
          </w:p>
          <w:p>
            <w:pPr>
              <w:pStyle w:val="TableParagraph"/>
              <w:spacing w:before="88"/>
              <w:ind w:right="45"/>
              <w:jc w:val="right"/>
              <w:rPr>
                <w:sz w:val="12"/>
              </w:rPr>
            </w:pPr>
            <w:r>
              <w:rPr>
                <w:spacing w:val="-1"/>
                <w:w w:val="105"/>
                <w:sz w:val="12"/>
              </w:rPr>
              <w:t>9.131,86</w:t>
            </w:r>
          </w:p>
        </w:tc>
        <w:tc>
          <w:tcPr>
            <w:tcW w:w="639" w:type="dxa"/>
            <w:tcBorders>
              <w:top w:val="single" w:sz="6" w:space="0" w:color="000000"/>
            </w:tcBorders>
          </w:tcPr>
          <w:p>
            <w:pPr>
              <w:pStyle w:val="TableParagraph"/>
              <w:spacing w:before="5"/>
              <w:ind w:right="48"/>
              <w:jc w:val="right"/>
              <w:rPr>
                <w:sz w:val="12"/>
              </w:rPr>
            </w:pPr>
            <w:r>
              <w:rPr>
                <w:spacing w:val="-1"/>
                <w:w w:val="105"/>
                <w:sz w:val="12"/>
              </w:rPr>
              <w:t>0,00</w:t>
            </w:r>
          </w:p>
          <w:p>
            <w:pPr>
              <w:pStyle w:val="TableParagraph"/>
              <w:spacing w:before="81"/>
              <w:ind w:right="48"/>
              <w:jc w:val="right"/>
              <w:rPr>
                <w:sz w:val="12"/>
              </w:rPr>
            </w:pPr>
            <w:r>
              <w:rPr>
                <w:spacing w:val="-1"/>
                <w:w w:val="105"/>
                <w:sz w:val="12"/>
              </w:rPr>
              <w:t>32.765,07</w:t>
            </w:r>
          </w:p>
          <w:p>
            <w:pPr>
              <w:pStyle w:val="TableParagraph"/>
              <w:spacing w:before="11"/>
              <w:rPr>
                <w:sz w:val="12"/>
              </w:rPr>
            </w:pPr>
          </w:p>
          <w:p>
            <w:pPr>
              <w:pStyle w:val="TableParagraph"/>
              <w:ind w:right="48"/>
              <w:jc w:val="right"/>
              <w:rPr>
                <w:sz w:val="12"/>
              </w:rPr>
            </w:pPr>
            <w:r>
              <w:rPr>
                <w:spacing w:val="-1"/>
                <w:w w:val="105"/>
                <w:sz w:val="12"/>
              </w:rPr>
              <w:t>59,14</w:t>
            </w:r>
          </w:p>
          <w:p>
            <w:pPr>
              <w:pStyle w:val="TableParagraph"/>
              <w:spacing w:before="9"/>
              <w:rPr>
                <w:sz w:val="12"/>
              </w:rPr>
            </w:pPr>
          </w:p>
          <w:p>
            <w:pPr>
              <w:pStyle w:val="TableParagraph"/>
              <w:ind w:right="48"/>
              <w:jc w:val="right"/>
              <w:rPr>
                <w:sz w:val="12"/>
              </w:rPr>
            </w:pPr>
            <w:r>
              <w:rPr>
                <w:spacing w:val="-1"/>
                <w:w w:val="105"/>
                <w:sz w:val="12"/>
              </w:rPr>
              <w:t>0,00</w:t>
            </w:r>
          </w:p>
          <w:p>
            <w:pPr>
              <w:pStyle w:val="TableParagraph"/>
              <w:rPr>
                <w:sz w:val="12"/>
              </w:rPr>
            </w:pPr>
          </w:p>
          <w:p>
            <w:pPr>
              <w:pStyle w:val="TableParagraph"/>
              <w:spacing w:before="88"/>
              <w:ind w:right="48"/>
              <w:jc w:val="right"/>
              <w:rPr>
                <w:sz w:val="12"/>
              </w:rPr>
            </w:pPr>
            <w:r>
              <w:rPr>
                <w:spacing w:val="-1"/>
                <w:w w:val="105"/>
                <w:sz w:val="12"/>
              </w:rPr>
              <w:t>21.491,72</w:t>
            </w:r>
          </w:p>
        </w:tc>
        <w:tc>
          <w:tcPr>
            <w:tcW w:w="608" w:type="dxa"/>
            <w:tcBorders>
              <w:top w:val="single" w:sz="6" w:space="0" w:color="000000"/>
            </w:tcBorders>
          </w:tcPr>
          <w:p>
            <w:pPr>
              <w:pStyle w:val="TableParagraph"/>
              <w:spacing w:before="5"/>
              <w:ind w:right="48"/>
              <w:jc w:val="right"/>
              <w:rPr>
                <w:sz w:val="12"/>
              </w:rPr>
            </w:pPr>
            <w:r>
              <w:rPr>
                <w:spacing w:val="-1"/>
                <w:w w:val="105"/>
                <w:sz w:val="12"/>
              </w:rPr>
              <w:t>0,00</w:t>
            </w:r>
          </w:p>
          <w:p>
            <w:pPr>
              <w:pStyle w:val="TableParagraph"/>
              <w:spacing w:before="81"/>
              <w:ind w:right="48"/>
              <w:jc w:val="right"/>
              <w:rPr>
                <w:sz w:val="12"/>
              </w:rPr>
            </w:pPr>
            <w:r>
              <w:rPr>
                <w:spacing w:val="-1"/>
                <w:w w:val="105"/>
                <w:sz w:val="12"/>
              </w:rPr>
              <w:t>0,67</w:t>
            </w:r>
          </w:p>
          <w:p>
            <w:pPr>
              <w:pStyle w:val="TableParagraph"/>
              <w:spacing w:before="11"/>
              <w:rPr>
                <w:sz w:val="12"/>
              </w:rPr>
            </w:pPr>
          </w:p>
          <w:p>
            <w:pPr>
              <w:pStyle w:val="TableParagraph"/>
              <w:ind w:right="48"/>
              <w:jc w:val="right"/>
              <w:rPr>
                <w:sz w:val="12"/>
              </w:rPr>
            </w:pPr>
            <w:r>
              <w:rPr>
                <w:spacing w:val="-1"/>
                <w:w w:val="105"/>
                <w:sz w:val="12"/>
              </w:rPr>
              <w:t>13,79</w:t>
            </w:r>
          </w:p>
          <w:p>
            <w:pPr>
              <w:pStyle w:val="TableParagraph"/>
              <w:spacing w:before="9"/>
              <w:rPr>
                <w:sz w:val="12"/>
              </w:rPr>
            </w:pPr>
          </w:p>
          <w:p>
            <w:pPr>
              <w:pStyle w:val="TableParagraph"/>
              <w:ind w:right="48"/>
              <w:jc w:val="right"/>
              <w:rPr>
                <w:sz w:val="12"/>
              </w:rPr>
            </w:pPr>
            <w:r>
              <w:rPr>
                <w:spacing w:val="-1"/>
                <w:w w:val="105"/>
                <w:sz w:val="12"/>
              </w:rPr>
              <w:t>0,00</w:t>
            </w:r>
          </w:p>
          <w:p>
            <w:pPr>
              <w:pStyle w:val="TableParagraph"/>
              <w:rPr>
                <w:sz w:val="12"/>
              </w:rPr>
            </w:pPr>
          </w:p>
          <w:p>
            <w:pPr>
              <w:pStyle w:val="TableParagraph"/>
              <w:spacing w:before="88"/>
              <w:ind w:right="48"/>
              <w:jc w:val="right"/>
              <w:rPr>
                <w:sz w:val="12"/>
              </w:rPr>
            </w:pPr>
            <w:r>
              <w:rPr>
                <w:spacing w:val="-1"/>
                <w:w w:val="105"/>
                <w:sz w:val="12"/>
              </w:rPr>
              <w:t>1.955,75</w:t>
            </w:r>
          </w:p>
        </w:tc>
        <w:tc>
          <w:tcPr>
            <w:tcW w:w="639" w:type="dxa"/>
            <w:tcBorders>
              <w:top w:val="single" w:sz="6" w:space="0" w:color="000000"/>
            </w:tcBorders>
          </w:tcPr>
          <w:p>
            <w:pPr>
              <w:pStyle w:val="TableParagraph"/>
              <w:spacing w:before="5"/>
              <w:ind w:right="51"/>
              <w:jc w:val="right"/>
              <w:rPr>
                <w:sz w:val="12"/>
              </w:rPr>
            </w:pPr>
            <w:r>
              <w:rPr>
                <w:spacing w:val="-1"/>
                <w:w w:val="105"/>
                <w:sz w:val="12"/>
              </w:rPr>
              <w:t>0,00</w:t>
            </w:r>
          </w:p>
          <w:p>
            <w:pPr>
              <w:pStyle w:val="TableParagraph"/>
              <w:spacing w:before="81"/>
              <w:ind w:right="51"/>
              <w:jc w:val="right"/>
              <w:rPr>
                <w:sz w:val="12"/>
              </w:rPr>
            </w:pPr>
            <w:r>
              <w:rPr>
                <w:spacing w:val="-1"/>
                <w:w w:val="105"/>
                <w:sz w:val="12"/>
              </w:rPr>
              <w:t>6.000,52</w:t>
            </w:r>
          </w:p>
          <w:p>
            <w:pPr>
              <w:pStyle w:val="TableParagraph"/>
              <w:spacing w:before="11"/>
              <w:rPr>
                <w:sz w:val="12"/>
              </w:rPr>
            </w:pPr>
          </w:p>
          <w:p>
            <w:pPr>
              <w:pStyle w:val="TableParagraph"/>
              <w:ind w:right="51"/>
              <w:jc w:val="right"/>
              <w:rPr>
                <w:sz w:val="12"/>
              </w:rPr>
            </w:pPr>
            <w:r>
              <w:rPr>
                <w:spacing w:val="-1"/>
                <w:w w:val="105"/>
                <w:sz w:val="12"/>
              </w:rPr>
              <w:t>7,52</w:t>
            </w:r>
          </w:p>
          <w:p>
            <w:pPr>
              <w:pStyle w:val="TableParagraph"/>
              <w:spacing w:before="9"/>
              <w:rPr>
                <w:sz w:val="12"/>
              </w:rPr>
            </w:pPr>
          </w:p>
          <w:p>
            <w:pPr>
              <w:pStyle w:val="TableParagraph"/>
              <w:ind w:right="51"/>
              <w:jc w:val="right"/>
              <w:rPr>
                <w:sz w:val="12"/>
              </w:rPr>
            </w:pPr>
            <w:r>
              <w:rPr>
                <w:spacing w:val="-1"/>
                <w:w w:val="105"/>
                <w:sz w:val="12"/>
              </w:rPr>
              <w:t>0,00</w:t>
            </w:r>
          </w:p>
          <w:p>
            <w:pPr>
              <w:pStyle w:val="TableParagraph"/>
              <w:rPr>
                <w:sz w:val="12"/>
              </w:rPr>
            </w:pPr>
          </w:p>
          <w:p>
            <w:pPr>
              <w:pStyle w:val="TableParagraph"/>
              <w:spacing w:before="88"/>
              <w:ind w:right="51"/>
              <w:jc w:val="right"/>
              <w:rPr>
                <w:sz w:val="12"/>
              </w:rPr>
            </w:pPr>
            <w:r>
              <w:rPr>
                <w:spacing w:val="-1"/>
                <w:w w:val="105"/>
                <w:sz w:val="12"/>
              </w:rPr>
              <w:t>9.140,47</w:t>
            </w:r>
          </w:p>
        </w:tc>
        <w:tc>
          <w:tcPr>
            <w:tcW w:w="684" w:type="dxa"/>
            <w:tcBorders>
              <w:top w:val="single" w:sz="6" w:space="0" w:color="000000"/>
            </w:tcBorders>
          </w:tcPr>
          <w:p>
            <w:pPr>
              <w:pStyle w:val="TableParagraph"/>
              <w:spacing w:before="5"/>
              <w:ind w:right="50"/>
              <w:jc w:val="right"/>
              <w:rPr>
                <w:sz w:val="12"/>
              </w:rPr>
            </w:pPr>
            <w:r>
              <w:rPr>
                <w:spacing w:val="-1"/>
                <w:w w:val="105"/>
                <w:sz w:val="12"/>
              </w:rPr>
              <w:t>0,00</w:t>
            </w:r>
          </w:p>
          <w:p>
            <w:pPr>
              <w:pStyle w:val="TableParagraph"/>
              <w:spacing w:before="81"/>
              <w:ind w:right="50"/>
              <w:jc w:val="right"/>
              <w:rPr>
                <w:sz w:val="12"/>
              </w:rPr>
            </w:pPr>
            <w:r>
              <w:rPr>
                <w:sz w:val="12"/>
              </w:rPr>
              <w:t>309,75</w:t>
            </w:r>
          </w:p>
          <w:p>
            <w:pPr>
              <w:pStyle w:val="TableParagraph"/>
              <w:spacing w:before="11"/>
              <w:rPr>
                <w:sz w:val="12"/>
              </w:rPr>
            </w:pPr>
          </w:p>
          <w:p>
            <w:pPr>
              <w:pStyle w:val="TableParagraph"/>
              <w:ind w:right="50"/>
              <w:jc w:val="right"/>
              <w:rPr>
                <w:sz w:val="12"/>
              </w:rPr>
            </w:pPr>
            <w:r>
              <w:rPr>
                <w:sz w:val="12"/>
              </w:rPr>
              <w:t>304,73</w:t>
            </w:r>
          </w:p>
          <w:p>
            <w:pPr>
              <w:pStyle w:val="TableParagraph"/>
              <w:spacing w:before="9"/>
              <w:rPr>
                <w:sz w:val="12"/>
              </w:rPr>
            </w:pPr>
          </w:p>
          <w:p>
            <w:pPr>
              <w:pStyle w:val="TableParagraph"/>
              <w:ind w:right="50"/>
              <w:jc w:val="right"/>
              <w:rPr>
                <w:sz w:val="12"/>
              </w:rPr>
            </w:pPr>
            <w:r>
              <w:rPr>
                <w:spacing w:val="-1"/>
                <w:w w:val="105"/>
                <w:sz w:val="12"/>
              </w:rPr>
              <w:t>0,00</w:t>
            </w:r>
          </w:p>
          <w:p>
            <w:pPr>
              <w:pStyle w:val="TableParagraph"/>
              <w:rPr>
                <w:sz w:val="12"/>
              </w:rPr>
            </w:pPr>
          </w:p>
          <w:p>
            <w:pPr>
              <w:pStyle w:val="TableParagraph"/>
              <w:spacing w:before="88"/>
              <w:ind w:right="50"/>
              <w:jc w:val="right"/>
              <w:rPr>
                <w:sz w:val="12"/>
              </w:rPr>
            </w:pPr>
            <w:r>
              <w:rPr>
                <w:spacing w:val="-1"/>
                <w:w w:val="105"/>
                <w:sz w:val="12"/>
              </w:rPr>
              <w:t>38.564,62</w:t>
            </w:r>
          </w:p>
        </w:tc>
        <w:tc>
          <w:tcPr>
            <w:tcW w:w="561" w:type="dxa"/>
            <w:tcBorders>
              <w:top w:val="single" w:sz="6" w:space="0" w:color="000000"/>
              <w:right w:val="single" w:sz="6" w:space="0" w:color="000000"/>
            </w:tcBorders>
          </w:tcPr>
          <w:p>
            <w:pPr>
              <w:pStyle w:val="TableParagraph"/>
              <w:spacing w:before="5"/>
              <w:ind w:left="275"/>
              <w:rPr>
                <w:sz w:val="12"/>
              </w:rPr>
            </w:pPr>
            <w:r>
              <w:rPr>
                <w:w w:val="105"/>
                <w:sz w:val="12"/>
              </w:rPr>
              <w:t>0,00</w:t>
            </w:r>
          </w:p>
          <w:p>
            <w:pPr>
              <w:pStyle w:val="TableParagraph"/>
              <w:spacing w:before="81"/>
              <w:ind w:left="275"/>
              <w:rPr>
                <w:sz w:val="12"/>
              </w:rPr>
            </w:pPr>
            <w:r>
              <w:rPr>
                <w:w w:val="105"/>
                <w:sz w:val="12"/>
              </w:rPr>
              <w:t>0,00</w:t>
            </w:r>
          </w:p>
          <w:p>
            <w:pPr>
              <w:pStyle w:val="TableParagraph"/>
              <w:spacing w:before="11"/>
              <w:rPr>
                <w:sz w:val="12"/>
              </w:rPr>
            </w:pPr>
          </w:p>
          <w:p>
            <w:pPr>
              <w:pStyle w:val="TableParagraph"/>
              <w:ind w:left="275"/>
              <w:rPr>
                <w:sz w:val="12"/>
              </w:rPr>
            </w:pPr>
            <w:r>
              <w:rPr>
                <w:w w:val="105"/>
                <w:sz w:val="12"/>
              </w:rPr>
              <w:t>0,00</w:t>
            </w:r>
          </w:p>
          <w:p>
            <w:pPr>
              <w:pStyle w:val="TableParagraph"/>
              <w:spacing w:before="9"/>
              <w:rPr>
                <w:sz w:val="12"/>
              </w:rPr>
            </w:pPr>
          </w:p>
          <w:p>
            <w:pPr>
              <w:pStyle w:val="TableParagraph"/>
              <w:ind w:left="275"/>
              <w:rPr>
                <w:sz w:val="12"/>
              </w:rPr>
            </w:pPr>
            <w:r>
              <w:rPr>
                <w:w w:val="105"/>
                <w:sz w:val="12"/>
              </w:rPr>
              <w:t>0,00</w:t>
            </w:r>
          </w:p>
          <w:p>
            <w:pPr>
              <w:pStyle w:val="TableParagraph"/>
              <w:rPr>
                <w:sz w:val="12"/>
              </w:rPr>
            </w:pPr>
          </w:p>
          <w:p>
            <w:pPr>
              <w:pStyle w:val="TableParagraph"/>
              <w:spacing w:before="88"/>
              <w:ind w:left="275"/>
              <w:rPr>
                <w:sz w:val="12"/>
              </w:rPr>
            </w:pPr>
            <w:r>
              <w:rPr>
                <w:w w:val="105"/>
                <w:sz w:val="12"/>
              </w:rPr>
              <w:t>0,00</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5"/>
              <w:ind w:right="51"/>
              <w:jc w:val="right"/>
              <w:rPr>
                <w:sz w:val="12"/>
              </w:rPr>
            </w:pPr>
            <w:r>
              <w:rPr>
                <w:spacing w:val="-1"/>
                <w:w w:val="105"/>
                <w:sz w:val="12"/>
              </w:rPr>
              <w:t>76.116,21</w:t>
            </w:r>
          </w:p>
          <w:p>
            <w:pPr>
              <w:pStyle w:val="TableParagraph"/>
              <w:spacing w:before="81"/>
              <w:ind w:right="51"/>
              <w:jc w:val="right"/>
              <w:rPr>
                <w:sz w:val="12"/>
              </w:rPr>
            </w:pPr>
            <w:r>
              <w:rPr>
                <w:spacing w:val="-1"/>
                <w:w w:val="105"/>
                <w:sz w:val="12"/>
              </w:rPr>
              <w:t>224.616,19</w:t>
            </w:r>
          </w:p>
          <w:p>
            <w:pPr>
              <w:pStyle w:val="TableParagraph"/>
              <w:spacing w:before="11"/>
              <w:rPr>
                <w:sz w:val="12"/>
              </w:rPr>
            </w:pPr>
          </w:p>
          <w:p>
            <w:pPr>
              <w:pStyle w:val="TableParagraph"/>
              <w:ind w:right="51"/>
              <w:jc w:val="right"/>
              <w:rPr>
                <w:sz w:val="12"/>
              </w:rPr>
            </w:pPr>
            <w:r>
              <w:rPr>
                <w:spacing w:val="-1"/>
                <w:w w:val="105"/>
                <w:sz w:val="12"/>
              </w:rPr>
              <w:t>15.383,86</w:t>
            </w:r>
          </w:p>
          <w:p>
            <w:pPr>
              <w:pStyle w:val="TableParagraph"/>
              <w:spacing w:before="9"/>
              <w:rPr>
                <w:sz w:val="12"/>
              </w:rPr>
            </w:pPr>
          </w:p>
          <w:p>
            <w:pPr>
              <w:pStyle w:val="TableParagraph"/>
              <w:ind w:right="51"/>
              <w:jc w:val="right"/>
              <w:rPr>
                <w:sz w:val="12"/>
              </w:rPr>
            </w:pPr>
            <w:r>
              <w:rPr>
                <w:sz w:val="12"/>
              </w:rPr>
              <w:t>34,42</w:t>
            </w:r>
          </w:p>
          <w:p>
            <w:pPr>
              <w:pStyle w:val="TableParagraph"/>
              <w:rPr>
                <w:sz w:val="12"/>
              </w:rPr>
            </w:pPr>
          </w:p>
          <w:p>
            <w:pPr>
              <w:pStyle w:val="TableParagraph"/>
              <w:spacing w:before="88"/>
              <w:ind w:right="51"/>
              <w:jc w:val="right"/>
              <w:rPr>
                <w:sz w:val="12"/>
              </w:rPr>
            </w:pPr>
            <w:r>
              <w:rPr>
                <w:spacing w:val="-1"/>
                <w:w w:val="105"/>
                <w:sz w:val="12"/>
              </w:rPr>
              <w:t>989.427,14</w:t>
            </w:r>
          </w:p>
        </w:tc>
      </w:tr>
    </w:tbl>
    <w:p>
      <w:pPr>
        <w:pStyle w:val="BodyText"/>
      </w:pPr>
    </w:p>
    <w:p>
      <w:pPr>
        <w:pStyle w:val="BodyText"/>
      </w:pPr>
    </w:p>
    <w:p>
      <w:pPr>
        <w:pStyle w:val="BodyText"/>
      </w:pPr>
    </w:p>
    <w:p>
      <w:pPr>
        <w:pStyle w:val="BodyText"/>
      </w:pPr>
    </w:p>
    <w:p>
      <w:pPr>
        <w:pStyle w:val="BodyText"/>
        <w:spacing w:before="6"/>
        <w:rPr>
          <w:sz w:val="28"/>
        </w:rPr>
      </w:pPr>
    </w:p>
    <w:p>
      <w:pPr>
        <w:spacing w:before="69"/>
        <w:ind w:left="10420" w:right="1577" w:firstLine="0"/>
        <w:jc w:val="center"/>
        <w:rPr>
          <w:sz w:val="18"/>
        </w:rPr>
      </w:pPr>
      <w:r>
        <w:rPr>
          <w:w w:val="105"/>
          <w:sz w:val="18"/>
        </w:rPr>
        <w:t>184</w:t>
      </w:r>
    </w:p>
    <w:p>
      <w:pPr>
        <w:spacing w:before="8"/>
        <w:ind w:left="92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28"/>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393" name="image5.png"/>
                  <wp:cNvGraphicFramePr>
                    <a:graphicFrameLocks noChangeAspect="1"/>
                  </wp:cNvGraphicFramePr>
                  <a:graphic>
                    <a:graphicData uri="http://schemas.openxmlformats.org/drawingml/2006/picture">
                      <pic:pic>
                        <pic:nvPicPr>
                          <pic:cNvPr id="39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186/247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797" w:footer="1006" w:top="1640" w:bottom="1200" w:left="1160" w:right="1160"/>
        </w:sectPr>
      </w:pPr>
    </w:p>
    <w:p>
      <w:pPr>
        <w:pStyle w:val="BodyText"/>
        <w:rPr>
          <w:b/>
        </w:rPr>
      </w:pPr>
    </w:p>
    <w:p>
      <w:pPr>
        <w:pStyle w:val="BodyText"/>
        <w:spacing w:before="2" w:after="1"/>
        <w:rPr>
          <w:b/>
          <w:sz w:val="26"/>
        </w:rPr>
      </w:pPr>
    </w:p>
    <w:tbl>
      <w:tblPr>
        <w:tblW w:w="0" w:type="auto"/>
        <w:jc w:val="left"/>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9"/>
        <w:gridCol w:w="636"/>
        <w:gridCol w:w="638"/>
        <w:gridCol w:w="731"/>
        <w:gridCol w:w="357"/>
        <w:gridCol w:w="685"/>
        <w:gridCol w:w="638"/>
        <w:gridCol w:w="823"/>
        <w:gridCol w:w="592"/>
        <w:gridCol w:w="732"/>
        <w:gridCol w:w="637"/>
        <w:gridCol w:w="639"/>
        <w:gridCol w:w="608"/>
        <w:gridCol w:w="639"/>
        <w:gridCol w:w="684"/>
        <w:gridCol w:w="561"/>
        <w:gridCol w:w="841"/>
      </w:tblGrid>
      <w:tr>
        <w:trPr>
          <w:trHeight w:val="456" w:hRule="atLeast"/>
        </w:trPr>
        <w:tc>
          <w:tcPr>
            <w:tcW w:w="1369" w:type="dxa"/>
            <w:shd w:val="clear" w:color="auto" w:fill="DEEAF6"/>
          </w:tcPr>
          <w:p>
            <w:pPr>
              <w:pStyle w:val="TableParagraph"/>
              <w:spacing w:before="1"/>
              <w:rPr>
                <w:b/>
                <w:sz w:val="13"/>
              </w:rPr>
            </w:pPr>
          </w:p>
          <w:p>
            <w:pPr>
              <w:pStyle w:val="TableParagraph"/>
              <w:ind w:left="379"/>
              <w:rPr>
                <w:b/>
                <w:sz w:val="12"/>
              </w:rPr>
            </w:pPr>
            <w:r>
              <w:rPr>
                <w:b/>
                <w:w w:val="105"/>
                <w:sz w:val="12"/>
              </w:rPr>
              <w:t>31/12/2022</w:t>
            </w:r>
          </w:p>
        </w:tc>
        <w:tc>
          <w:tcPr>
            <w:tcW w:w="636"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200"/>
              <w:rPr>
                <w:b/>
                <w:sz w:val="12"/>
              </w:rPr>
            </w:pPr>
            <w:r>
              <w:rPr>
                <w:b/>
                <w:w w:val="105"/>
                <w:sz w:val="12"/>
              </w:rPr>
              <w:t>ICAP</w:t>
            </w:r>
          </w:p>
        </w:tc>
        <w:tc>
          <w:tcPr>
            <w:tcW w:w="638"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172"/>
              <w:rPr>
                <w:b/>
                <w:sz w:val="12"/>
              </w:rPr>
            </w:pPr>
            <w:r>
              <w:rPr>
                <w:b/>
                <w:w w:val="105"/>
                <w:sz w:val="12"/>
              </w:rPr>
              <w:t>ISTAC</w:t>
            </w:r>
          </w:p>
        </w:tc>
        <w:tc>
          <w:tcPr>
            <w:tcW w:w="731"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145" w:right="131"/>
              <w:jc w:val="center"/>
              <w:rPr>
                <w:b/>
                <w:sz w:val="12"/>
              </w:rPr>
            </w:pPr>
            <w:r>
              <w:rPr>
                <w:b/>
                <w:w w:val="105"/>
                <w:sz w:val="12"/>
              </w:rPr>
              <w:t>SCE</w:t>
            </w:r>
          </w:p>
        </w:tc>
        <w:tc>
          <w:tcPr>
            <w:tcW w:w="357"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114"/>
              <w:rPr>
                <w:b/>
                <w:sz w:val="12"/>
              </w:rPr>
            </w:pPr>
            <w:r>
              <w:rPr>
                <w:b/>
                <w:w w:val="105"/>
                <w:sz w:val="12"/>
              </w:rPr>
              <w:t>ICI</w:t>
            </w:r>
          </w:p>
        </w:tc>
        <w:tc>
          <w:tcPr>
            <w:tcW w:w="685"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35" w:right="24"/>
              <w:jc w:val="center"/>
              <w:rPr>
                <w:b/>
                <w:sz w:val="12"/>
              </w:rPr>
            </w:pPr>
            <w:r>
              <w:rPr>
                <w:b/>
                <w:w w:val="105"/>
                <w:sz w:val="12"/>
              </w:rPr>
              <w:t>ICIA</w:t>
            </w:r>
          </w:p>
        </w:tc>
        <w:tc>
          <w:tcPr>
            <w:tcW w:w="638"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191"/>
              <w:rPr>
                <w:b/>
                <w:sz w:val="12"/>
              </w:rPr>
            </w:pPr>
            <w:r>
              <w:rPr>
                <w:b/>
                <w:w w:val="105"/>
                <w:sz w:val="12"/>
              </w:rPr>
              <w:t>ICHH</w:t>
            </w:r>
          </w:p>
        </w:tc>
        <w:tc>
          <w:tcPr>
            <w:tcW w:w="823"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32" w:right="21"/>
              <w:jc w:val="center"/>
              <w:rPr>
                <w:b/>
                <w:sz w:val="12"/>
              </w:rPr>
            </w:pPr>
            <w:r>
              <w:rPr>
                <w:b/>
                <w:w w:val="105"/>
                <w:sz w:val="12"/>
              </w:rPr>
              <w:t>SCS</w:t>
            </w:r>
          </w:p>
        </w:tc>
        <w:tc>
          <w:tcPr>
            <w:tcW w:w="592"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right="78"/>
              <w:jc w:val="right"/>
              <w:rPr>
                <w:b/>
                <w:sz w:val="12"/>
              </w:rPr>
            </w:pPr>
            <w:r>
              <w:rPr>
                <w:b/>
                <w:sz w:val="12"/>
              </w:rPr>
              <w:t>ACCUEE</w:t>
            </w:r>
          </w:p>
        </w:tc>
        <w:tc>
          <w:tcPr>
            <w:tcW w:w="732"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224"/>
              <w:rPr>
                <w:b/>
                <w:sz w:val="12"/>
              </w:rPr>
            </w:pPr>
            <w:r>
              <w:rPr>
                <w:b/>
                <w:w w:val="105"/>
                <w:sz w:val="12"/>
              </w:rPr>
              <w:t>ICAVI</w:t>
            </w:r>
          </w:p>
        </w:tc>
        <w:tc>
          <w:tcPr>
            <w:tcW w:w="637"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197"/>
              <w:rPr>
                <w:b/>
                <w:sz w:val="12"/>
              </w:rPr>
            </w:pPr>
            <w:r>
              <w:rPr>
                <w:b/>
                <w:w w:val="105"/>
                <w:sz w:val="12"/>
              </w:rPr>
              <w:t>ICCA</w:t>
            </w:r>
          </w:p>
        </w:tc>
        <w:tc>
          <w:tcPr>
            <w:tcW w:w="639"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149"/>
              <w:rPr>
                <w:b/>
                <w:sz w:val="12"/>
              </w:rPr>
            </w:pPr>
            <w:r>
              <w:rPr>
                <w:b/>
                <w:w w:val="105"/>
                <w:sz w:val="12"/>
              </w:rPr>
              <w:t>APMN</w:t>
            </w:r>
          </w:p>
        </w:tc>
        <w:tc>
          <w:tcPr>
            <w:tcW w:w="608"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184" w:right="180"/>
              <w:jc w:val="center"/>
              <w:rPr>
                <w:b/>
                <w:sz w:val="12"/>
              </w:rPr>
            </w:pPr>
            <w:r>
              <w:rPr>
                <w:b/>
                <w:w w:val="105"/>
                <w:sz w:val="12"/>
              </w:rPr>
              <w:t>CES</w:t>
            </w:r>
          </w:p>
        </w:tc>
        <w:tc>
          <w:tcPr>
            <w:tcW w:w="639"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178"/>
              <w:rPr>
                <w:b/>
                <w:sz w:val="12"/>
              </w:rPr>
            </w:pPr>
            <w:r>
              <w:rPr>
                <w:b/>
                <w:w w:val="105"/>
                <w:sz w:val="12"/>
              </w:rPr>
              <w:t>RTVC</w:t>
            </w:r>
          </w:p>
        </w:tc>
        <w:tc>
          <w:tcPr>
            <w:tcW w:w="684"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left="30" w:right="30"/>
              <w:jc w:val="center"/>
              <w:rPr>
                <w:b/>
                <w:sz w:val="12"/>
              </w:rPr>
            </w:pPr>
            <w:r>
              <w:rPr>
                <w:b/>
                <w:w w:val="105"/>
                <w:sz w:val="12"/>
              </w:rPr>
              <w:t>ATC</w:t>
            </w:r>
          </w:p>
        </w:tc>
        <w:tc>
          <w:tcPr>
            <w:tcW w:w="561" w:type="dxa"/>
            <w:tcBorders>
              <w:top w:val="single" w:sz="6" w:space="0" w:color="000000"/>
              <w:bottom w:val="single" w:sz="6" w:space="0" w:color="000000"/>
            </w:tcBorders>
            <w:shd w:val="clear" w:color="auto" w:fill="DEEAF6"/>
          </w:tcPr>
          <w:p>
            <w:pPr>
              <w:pStyle w:val="TableParagraph"/>
              <w:spacing w:before="1"/>
              <w:rPr>
                <w:b/>
                <w:sz w:val="13"/>
              </w:rPr>
            </w:pPr>
          </w:p>
          <w:p>
            <w:pPr>
              <w:pStyle w:val="TableParagraph"/>
              <w:ind w:right="64"/>
              <w:jc w:val="right"/>
              <w:rPr>
                <w:b/>
                <w:sz w:val="12"/>
              </w:rPr>
            </w:pPr>
            <w:r>
              <w:rPr>
                <w:b/>
                <w:w w:val="105"/>
                <w:sz w:val="12"/>
              </w:rPr>
              <w:t>RINCON</w:t>
            </w:r>
          </w:p>
        </w:tc>
        <w:tc>
          <w:tcPr>
            <w:tcW w:w="841" w:type="dxa"/>
            <w:tcBorders>
              <w:bottom w:val="single" w:sz="6" w:space="0" w:color="000000"/>
            </w:tcBorders>
            <w:shd w:val="clear" w:color="auto" w:fill="DEEAF6"/>
          </w:tcPr>
          <w:p>
            <w:pPr>
              <w:pStyle w:val="TableParagraph"/>
              <w:spacing w:before="1"/>
              <w:rPr>
                <w:b/>
                <w:sz w:val="13"/>
              </w:rPr>
            </w:pPr>
          </w:p>
          <w:p>
            <w:pPr>
              <w:pStyle w:val="TableParagraph"/>
              <w:ind w:left="243"/>
              <w:rPr>
                <w:b/>
                <w:sz w:val="12"/>
              </w:rPr>
            </w:pPr>
            <w:r>
              <w:rPr>
                <w:b/>
                <w:w w:val="105"/>
                <w:sz w:val="12"/>
              </w:rPr>
              <w:t>TOTAL</w:t>
            </w:r>
          </w:p>
        </w:tc>
      </w:tr>
      <w:tr>
        <w:trPr>
          <w:trHeight w:val="307" w:hRule="atLeast"/>
        </w:trPr>
        <w:tc>
          <w:tcPr>
            <w:tcW w:w="1369" w:type="dxa"/>
            <w:tcBorders>
              <w:bottom w:val="single" w:sz="6" w:space="0" w:color="000000"/>
            </w:tcBorders>
            <w:shd w:val="clear" w:color="auto" w:fill="D9D9D9"/>
          </w:tcPr>
          <w:p>
            <w:pPr>
              <w:pStyle w:val="TableParagraph"/>
              <w:spacing w:line="150" w:lineRule="atLeast" w:before="3"/>
              <w:ind w:left="489" w:hanging="359"/>
              <w:rPr>
                <w:b/>
                <w:sz w:val="12"/>
              </w:rPr>
            </w:pPr>
            <w:r>
              <w:rPr>
                <w:b/>
                <w:w w:val="105"/>
                <w:sz w:val="12"/>
              </w:rPr>
              <w:t>PATRIMONIO NETO Y PASIVO</w:t>
            </w:r>
          </w:p>
        </w:tc>
        <w:tc>
          <w:tcPr>
            <w:tcW w:w="636" w:type="dxa"/>
            <w:tcBorders>
              <w:top w:val="single" w:sz="6" w:space="0" w:color="000000"/>
              <w:bottom w:val="single" w:sz="6" w:space="0" w:color="000000"/>
            </w:tcBorders>
            <w:shd w:val="clear" w:color="auto" w:fill="D9D9D9"/>
          </w:tcPr>
          <w:p>
            <w:pPr>
              <w:pStyle w:val="TableParagraph"/>
              <w:spacing w:before="83"/>
              <w:ind w:right="37"/>
              <w:jc w:val="right"/>
              <w:rPr>
                <w:b/>
                <w:sz w:val="12"/>
              </w:rPr>
            </w:pPr>
            <w:r>
              <w:rPr>
                <w:b/>
                <w:w w:val="105"/>
                <w:sz w:val="12"/>
              </w:rPr>
              <w:t>11.093,28</w:t>
            </w:r>
          </w:p>
        </w:tc>
        <w:tc>
          <w:tcPr>
            <w:tcW w:w="638" w:type="dxa"/>
            <w:tcBorders>
              <w:top w:val="single" w:sz="6" w:space="0" w:color="000000"/>
              <w:bottom w:val="single" w:sz="6" w:space="0" w:color="000000"/>
            </w:tcBorders>
            <w:shd w:val="clear" w:color="auto" w:fill="D9D9D9"/>
          </w:tcPr>
          <w:p>
            <w:pPr>
              <w:pStyle w:val="TableParagraph"/>
              <w:spacing w:before="83"/>
              <w:ind w:left="77"/>
              <w:rPr>
                <w:b/>
                <w:sz w:val="12"/>
              </w:rPr>
            </w:pPr>
            <w:r>
              <w:rPr>
                <w:b/>
                <w:w w:val="105"/>
                <w:sz w:val="12"/>
              </w:rPr>
              <w:t>13.627,68</w:t>
            </w:r>
          </w:p>
        </w:tc>
        <w:tc>
          <w:tcPr>
            <w:tcW w:w="731" w:type="dxa"/>
            <w:tcBorders>
              <w:top w:val="single" w:sz="6" w:space="0" w:color="000000"/>
              <w:bottom w:val="single" w:sz="6" w:space="0" w:color="000000"/>
            </w:tcBorders>
            <w:shd w:val="clear" w:color="auto" w:fill="D9D9D9"/>
          </w:tcPr>
          <w:p>
            <w:pPr>
              <w:pStyle w:val="TableParagraph"/>
              <w:spacing w:before="83"/>
              <w:ind w:right="39"/>
              <w:jc w:val="right"/>
              <w:rPr>
                <w:b/>
                <w:sz w:val="12"/>
              </w:rPr>
            </w:pPr>
            <w:r>
              <w:rPr>
                <w:b/>
                <w:w w:val="105"/>
                <w:sz w:val="12"/>
              </w:rPr>
              <w:t>466.899,01</w:t>
            </w:r>
          </w:p>
        </w:tc>
        <w:tc>
          <w:tcPr>
            <w:tcW w:w="357" w:type="dxa"/>
            <w:tcBorders>
              <w:top w:val="single" w:sz="6" w:space="0" w:color="000000"/>
              <w:bottom w:val="single" w:sz="6" w:space="0" w:color="000000"/>
            </w:tcBorders>
            <w:shd w:val="clear" w:color="auto" w:fill="D9D9D9"/>
          </w:tcPr>
          <w:p>
            <w:pPr>
              <w:pStyle w:val="TableParagraph"/>
              <w:spacing w:before="83"/>
              <w:ind w:left="82"/>
              <w:rPr>
                <w:b/>
                <w:sz w:val="12"/>
              </w:rPr>
            </w:pPr>
            <w:r>
              <w:rPr>
                <w:b/>
                <w:w w:val="105"/>
                <w:sz w:val="12"/>
              </w:rPr>
              <w:t>0,00</w:t>
            </w:r>
          </w:p>
        </w:tc>
        <w:tc>
          <w:tcPr>
            <w:tcW w:w="685" w:type="dxa"/>
            <w:tcBorders>
              <w:top w:val="single" w:sz="6" w:space="0" w:color="000000"/>
              <w:bottom w:val="single" w:sz="6" w:space="0" w:color="000000"/>
            </w:tcBorders>
            <w:shd w:val="clear" w:color="auto" w:fill="D9D9D9"/>
          </w:tcPr>
          <w:p>
            <w:pPr>
              <w:pStyle w:val="TableParagraph"/>
              <w:spacing w:before="83"/>
              <w:ind w:right="40"/>
              <w:jc w:val="right"/>
              <w:rPr>
                <w:b/>
                <w:sz w:val="12"/>
              </w:rPr>
            </w:pPr>
            <w:r>
              <w:rPr>
                <w:b/>
                <w:w w:val="105"/>
                <w:sz w:val="12"/>
              </w:rPr>
              <w:t>46.280,42</w:t>
            </w:r>
          </w:p>
        </w:tc>
        <w:tc>
          <w:tcPr>
            <w:tcW w:w="638" w:type="dxa"/>
            <w:tcBorders>
              <w:top w:val="single" w:sz="6" w:space="0" w:color="000000"/>
              <w:bottom w:val="single" w:sz="6" w:space="0" w:color="000000"/>
            </w:tcBorders>
            <w:shd w:val="clear" w:color="auto" w:fill="D9D9D9"/>
          </w:tcPr>
          <w:p>
            <w:pPr>
              <w:pStyle w:val="TableParagraph"/>
              <w:spacing w:before="83"/>
              <w:ind w:right="40"/>
              <w:jc w:val="right"/>
              <w:rPr>
                <w:b/>
                <w:sz w:val="12"/>
              </w:rPr>
            </w:pPr>
            <w:r>
              <w:rPr>
                <w:b/>
                <w:w w:val="105"/>
                <w:sz w:val="12"/>
              </w:rPr>
              <w:t>11.911,20</w:t>
            </w:r>
          </w:p>
        </w:tc>
        <w:tc>
          <w:tcPr>
            <w:tcW w:w="823" w:type="dxa"/>
            <w:tcBorders>
              <w:top w:val="single" w:sz="6" w:space="0" w:color="000000"/>
              <w:bottom w:val="single" w:sz="6" w:space="0" w:color="000000"/>
            </w:tcBorders>
            <w:shd w:val="clear" w:color="auto" w:fill="D9D9D9"/>
          </w:tcPr>
          <w:p>
            <w:pPr>
              <w:pStyle w:val="TableParagraph"/>
              <w:spacing w:before="83"/>
              <w:ind w:right="39"/>
              <w:jc w:val="right"/>
              <w:rPr>
                <w:b/>
                <w:sz w:val="12"/>
              </w:rPr>
            </w:pPr>
            <w:r>
              <w:rPr>
                <w:b/>
                <w:w w:val="105"/>
                <w:sz w:val="12"/>
              </w:rPr>
              <w:t>1.361.148,30</w:t>
            </w:r>
          </w:p>
        </w:tc>
        <w:tc>
          <w:tcPr>
            <w:tcW w:w="592" w:type="dxa"/>
            <w:tcBorders>
              <w:top w:val="single" w:sz="6" w:space="0" w:color="000000"/>
              <w:bottom w:val="single" w:sz="6" w:space="0" w:color="000000"/>
            </w:tcBorders>
            <w:shd w:val="clear" w:color="auto" w:fill="D9D9D9"/>
          </w:tcPr>
          <w:p>
            <w:pPr>
              <w:pStyle w:val="TableParagraph"/>
              <w:spacing w:before="83"/>
              <w:ind w:right="42"/>
              <w:jc w:val="right"/>
              <w:rPr>
                <w:b/>
                <w:sz w:val="12"/>
              </w:rPr>
            </w:pPr>
            <w:r>
              <w:rPr>
                <w:b/>
                <w:w w:val="105"/>
                <w:sz w:val="12"/>
              </w:rPr>
              <w:t>1.834,78</w:t>
            </w:r>
          </w:p>
        </w:tc>
        <w:tc>
          <w:tcPr>
            <w:tcW w:w="732" w:type="dxa"/>
            <w:tcBorders>
              <w:top w:val="single" w:sz="6" w:space="0" w:color="000000"/>
              <w:bottom w:val="single" w:sz="6" w:space="0" w:color="000000"/>
            </w:tcBorders>
            <w:shd w:val="clear" w:color="auto" w:fill="D9D9D9"/>
          </w:tcPr>
          <w:p>
            <w:pPr>
              <w:pStyle w:val="TableParagraph"/>
              <w:spacing w:before="83"/>
              <w:ind w:right="42"/>
              <w:jc w:val="right"/>
              <w:rPr>
                <w:b/>
                <w:sz w:val="12"/>
              </w:rPr>
            </w:pPr>
            <w:r>
              <w:rPr>
                <w:b/>
                <w:w w:val="105"/>
                <w:sz w:val="12"/>
              </w:rPr>
              <w:t>658.900,88</w:t>
            </w:r>
          </w:p>
        </w:tc>
        <w:tc>
          <w:tcPr>
            <w:tcW w:w="637" w:type="dxa"/>
            <w:tcBorders>
              <w:top w:val="single" w:sz="6" w:space="0" w:color="000000"/>
              <w:bottom w:val="single" w:sz="6" w:space="0" w:color="000000"/>
            </w:tcBorders>
            <w:shd w:val="clear" w:color="auto" w:fill="D9D9D9"/>
          </w:tcPr>
          <w:p>
            <w:pPr>
              <w:pStyle w:val="TableParagraph"/>
              <w:spacing w:before="83"/>
              <w:ind w:right="41"/>
              <w:jc w:val="right"/>
              <w:rPr>
                <w:b/>
                <w:sz w:val="12"/>
              </w:rPr>
            </w:pPr>
            <w:r>
              <w:rPr>
                <w:b/>
                <w:w w:val="105"/>
                <w:sz w:val="12"/>
              </w:rPr>
              <w:t>10.333,50</w:t>
            </w:r>
          </w:p>
        </w:tc>
        <w:tc>
          <w:tcPr>
            <w:tcW w:w="639" w:type="dxa"/>
            <w:tcBorders>
              <w:top w:val="single" w:sz="6" w:space="0" w:color="000000"/>
              <w:bottom w:val="single" w:sz="6" w:space="0" w:color="000000"/>
            </w:tcBorders>
            <w:shd w:val="clear" w:color="auto" w:fill="D9D9D9"/>
          </w:tcPr>
          <w:p>
            <w:pPr>
              <w:pStyle w:val="TableParagraph"/>
              <w:spacing w:before="83"/>
              <w:ind w:left="73"/>
              <w:rPr>
                <w:b/>
                <w:sz w:val="12"/>
              </w:rPr>
            </w:pPr>
            <w:r>
              <w:rPr>
                <w:b/>
                <w:w w:val="105"/>
                <w:sz w:val="12"/>
              </w:rPr>
              <w:t>56.144,81</w:t>
            </w:r>
          </w:p>
        </w:tc>
        <w:tc>
          <w:tcPr>
            <w:tcW w:w="608" w:type="dxa"/>
            <w:tcBorders>
              <w:top w:val="single" w:sz="6" w:space="0" w:color="000000"/>
              <w:bottom w:val="single" w:sz="6" w:space="0" w:color="000000"/>
            </w:tcBorders>
            <w:shd w:val="clear" w:color="auto" w:fill="D9D9D9"/>
          </w:tcPr>
          <w:p>
            <w:pPr>
              <w:pStyle w:val="TableParagraph"/>
              <w:spacing w:before="83"/>
              <w:ind w:right="44"/>
              <w:jc w:val="right"/>
              <w:rPr>
                <w:b/>
                <w:sz w:val="12"/>
              </w:rPr>
            </w:pPr>
            <w:r>
              <w:rPr>
                <w:b/>
                <w:w w:val="105"/>
                <w:sz w:val="12"/>
              </w:rPr>
              <w:t>2.062,37</w:t>
            </w:r>
          </w:p>
        </w:tc>
        <w:tc>
          <w:tcPr>
            <w:tcW w:w="639" w:type="dxa"/>
            <w:tcBorders>
              <w:top w:val="single" w:sz="6" w:space="0" w:color="000000"/>
              <w:bottom w:val="single" w:sz="6" w:space="0" w:color="000000"/>
            </w:tcBorders>
            <w:shd w:val="clear" w:color="auto" w:fill="D9D9D9"/>
          </w:tcPr>
          <w:p>
            <w:pPr>
              <w:pStyle w:val="TableParagraph"/>
              <w:spacing w:before="83"/>
              <w:ind w:right="47"/>
              <w:jc w:val="right"/>
              <w:rPr>
                <w:b/>
                <w:sz w:val="12"/>
              </w:rPr>
            </w:pPr>
            <w:r>
              <w:rPr>
                <w:b/>
                <w:w w:val="105"/>
                <w:sz w:val="12"/>
              </w:rPr>
              <w:t>16.801,79</w:t>
            </w:r>
          </w:p>
        </w:tc>
        <w:tc>
          <w:tcPr>
            <w:tcW w:w="684" w:type="dxa"/>
            <w:tcBorders>
              <w:top w:val="single" w:sz="6" w:space="0" w:color="000000"/>
              <w:bottom w:val="single" w:sz="6" w:space="0" w:color="000000"/>
            </w:tcBorders>
            <w:shd w:val="clear" w:color="auto" w:fill="D9D9D9"/>
          </w:tcPr>
          <w:p>
            <w:pPr>
              <w:pStyle w:val="TableParagraph"/>
              <w:spacing w:before="83"/>
              <w:ind w:right="46"/>
              <w:jc w:val="right"/>
              <w:rPr>
                <w:b/>
                <w:sz w:val="12"/>
              </w:rPr>
            </w:pPr>
            <w:r>
              <w:rPr>
                <w:b/>
                <w:w w:val="105"/>
                <w:sz w:val="12"/>
              </w:rPr>
              <w:t>66.452,87</w:t>
            </w:r>
          </w:p>
        </w:tc>
        <w:tc>
          <w:tcPr>
            <w:tcW w:w="561" w:type="dxa"/>
            <w:tcBorders>
              <w:top w:val="single" w:sz="6" w:space="0" w:color="000000"/>
              <w:bottom w:val="single" w:sz="6" w:space="0" w:color="000000"/>
            </w:tcBorders>
            <w:shd w:val="clear" w:color="auto" w:fill="D9D9D9"/>
          </w:tcPr>
          <w:p>
            <w:pPr>
              <w:pStyle w:val="TableParagraph"/>
              <w:spacing w:before="83"/>
              <w:ind w:right="50"/>
              <w:jc w:val="right"/>
              <w:rPr>
                <w:b/>
                <w:sz w:val="12"/>
              </w:rPr>
            </w:pPr>
            <w:r>
              <w:rPr>
                <w:b/>
                <w:w w:val="105"/>
                <w:sz w:val="12"/>
              </w:rPr>
              <w:t>0,00</w:t>
            </w:r>
          </w:p>
        </w:tc>
        <w:tc>
          <w:tcPr>
            <w:tcW w:w="841" w:type="dxa"/>
            <w:tcBorders>
              <w:top w:val="single" w:sz="6" w:space="0" w:color="000000"/>
              <w:bottom w:val="single" w:sz="6" w:space="0" w:color="000000"/>
            </w:tcBorders>
            <w:shd w:val="clear" w:color="auto" w:fill="D9D9D9"/>
          </w:tcPr>
          <w:p>
            <w:pPr>
              <w:pStyle w:val="TableParagraph"/>
              <w:spacing w:before="83"/>
              <w:ind w:right="50"/>
              <w:jc w:val="right"/>
              <w:rPr>
                <w:b/>
                <w:sz w:val="12"/>
              </w:rPr>
            </w:pPr>
            <w:r>
              <w:rPr>
                <w:b/>
                <w:w w:val="105"/>
                <w:sz w:val="12"/>
              </w:rPr>
              <w:t>2.723.490,89</w:t>
            </w:r>
          </w:p>
        </w:tc>
      </w:tr>
      <w:tr>
        <w:trPr>
          <w:trHeight w:val="153" w:hRule="atLeast"/>
        </w:trPr>
        <w:tc>
          <w:tcPr>
            <w:tcW w:w="1369" w:type="dxa"/>
            <w:tcBorders>
              <w:top w:val="single" w:sz="6" w:space="0" w:color="000000"/>
              <w:bottom w:val="single" w:sz="6" w:space="0" w:color="000000"/>
            </w:tcBorders>
          </w:tcPr>
          <w:p>
            <w:pPr>
              <w:pStyle w:val="TableParagraph"/>
              <w:spacing w:line="128" w:lineRule="exact" w:before="5"/>
              <w:ind w:left="56"/>
              <w:rPr>
                <w:b/>
                <w:sz w:val="12"/>
              </w:rPr>
            </w:pPr>
            <w:r>
              <w:rPr>
                <w:b/>
                <w:w w:val="105"/>
                <w:sz w:val="12"/>
              </w:rPr>
              <w:t>A) PATRIMONIO NETO</w:t>
            </w:r>
          </w:p>
        </w:tc>
        <w:tc>
          <w:tcPr>
            <w:tcW w:w="636" w:type="dxa"/>
            <w:tcBorders>
              <w:top w:val="single" w:sz="6" w:space="0" w:color="000000"/>
              <w:bottom w:val="single" w:sz="6" w:space="0" w:color="000000"/>
            </w:tcBorders>
          </w:tcPr>
          <w:p>
            <w:pPr>
              <w:pStyle w:val="TableParagraph"/>
              <w:spacing w:line="128" w:lineRule="exact" w:before="5"/>
              <w:ind w:right="37"/>
              <w:jc w:val="right"/>
              <w:rPr>
                <w:b/>
                <w:sz w:val="12"/>
              </w:rPr>
            </w:pPr>
            <w:r>
              <w:rPr>
                <w:b/>
                <w:w w:val="105"/>
                <w:sz w:val="12"/>
              </w:rPr>
              <w:t>10.878,94</w:t>
            </w:r>
          </w:p>
        </w:tc>
        <w:tc>
          <w:tcPr>
            <w:tcW w:w="638" w:type="dxa"/>
            <w:tcBorders>
              <w:top w:val="single" w:sz="6" w:space="0" w:color="000000"/>
              <w:bottom w:val="single" w:sz="6" w:space="0" w:color="000000"/>
            </w:tcBorders>
          </w:tcPr>
          <w:p>
            <w:pPr>
              <w:pStyle w:val="TableParagraph"/>
              <w:spacing w:line="128" w:lineRule="exact" w:before="5"/>
              <w:ind w:left="77"/>
              <w:rPr>
                <w:b/>
                <w:sz w:val="12"/>
              </w:rPr>
            </w:pPr>
            <w:r>
              <w:rPr>
                <w:b/>
                <w:w w:val="105"/>
                <w:sz w:val="12"/>
              </w:rPr>
              <w:t>12.421,74</w:t>
            </w:r>
          </w:p>
        </w:tc>
        <w:tc>
          <w:tcPr>
            <w:tcW w:w="731" w:type="dxa"/>
            <w:tcBorders>
              <w:top w:val="single" w:sz="6" w:space="0" w:color="000000"/>
              <w:bottom w:val="single" w:sz="6" w:space="0" w:color="000000"/>
            </w:tcBorders>
          </w:tcPr>
          <w:p>
            <w:pPr>
              <w:pStyle w:val="TableParagraph"/>
              <w:spacing w:line="128" w:lineRule="exact" w:before="5"/>
              <w:ind w:right="39"/>
              <w:jc w:val="right"/>
              <w:rPr>
                <w:b/>
                <w:sz w:val="12"/>
              </w:rPr>
            </w:pPr>
            <w:r>
              <w:rPr>
                <w:b/>
                <w:w w:val="105"/>
                <w:sz w:val="12"/>
              </w:rPr>
              <w:t>300.074,09</w:t>
            </w:r>
          </w:p>
        </w:tc>
        <w:tc>
          <w:tcPr>
            <w:tcW w:w="357" w:type="dxa"/>
            <w:tcBorders>
              <w:top w:val="single" w:sz="6" w:space="0" w:color="000000"/>
              <w:bottom w:val="single" w:sz="6" w:space="0" w:color="000000"/>
            </w:tcBorders>
          </w:tcPr>
          <w:p>
            <w:pPr>
              <w:pStyle w:val="TableParagraph"/>
              <w:spacing w:line="128" w:lineRule="exact" w:before="5"/>
              <w:ind w:left="82"/>
              <w:rPr>
                <w:b/>
                <w:sz w:val="12"/>
              </w:rPr>
            </w:pPr>
            <w:r>
              <w:rPr>
                <w:b/>
                <w:w w:val="105"/>
                <w:sz w:val="12"/>
              </w:rPr>
              <w:t>0,00</w:t>
            </w:r>
          </w:p>
        </w:tc>
        <w:tc>
          <w:tcPr>
            <w:tcW w:w="685" w:type="dxa"/>
            <w:tcBorders>
              <w:top w:val="single" w:sz="6" w:space="0" w:color="000000"/>
              <w:bottom w:val="single" w:sz="6" w:space="0" w:color="000000"/>
            </w:tcBorders>
          </w:tcPr>
          <w:p>
            <w:pPr>
              <w:pStyle w:val="TableParagraph"/>
              <w:spacing w:line="128" w:lineRule="exact" w:before="5"/>
              <w:ind w:right="40"/>
              <w:jc w:val="right"/>
              <w:rPr>
                <w:b/>
                <w:sz w:val="12"/>
              </w:rPr>
            </w:pPr>
            <w:r>
              <w:rPr>
                <w:b/>
                <w:w w:val="105"/>
                <w:sz w:val="12"/>
              </w:rPr>
              <w:t>44.746,36</w:t>
            </w:r>
          </w:p>
        </w:tc>
        <w:tc>
          <w:tcPr>
            <w:tcW w:w="638" w:type="dxa"/>
            <w:tcBorders>
              <w:top w:val="single" w:sz="6" w:space="0" w:color="000000"/>
              <w:bottom w:val="single" w:sz="6" w:space="0" w:color="000000"/>
            </w:tcBorders>
          </w:tcPr>
          <w:p>
            <w:pPr>
              <w:pStyle w:val="TableParagraph"/>
              <w:spacing w:line="128" w:lineRule="exact" w:before="5"/>
              <w:ind w:right="40"/>
              <w:jc w:val="right"/>
              <w:rPr>
                <w:b/>
                <w:sz w:val="12"/>
              </w:rPr>
            </w:pPr>
            <w:r>
              <w:rPr>
                <w:b/>
                <w:w w:val="105"/>
                <w:sz w:val="12"/>
              </w:rPr>
              <w:t>4.528,67</w:t>
            </w:r>
          </w:p>
        </w:tc>
        <w:tc>
          <w:tcPr>
            <w:tcW w:w="823" w:type="dxa"/>
            <w:tcBorders>
              <w:top w:val="single" w:sz="6" w:space="0" w:color="000000"/>
              <w:bottom w:val="single" w:sz="6" w:space="0" w:color="000000"/>
            </w:tcBorders>
          </w:tcPr>
          <w:p>
            <w:pPr>
              <w:pStyle w:val="TableParagraph"/>
              <w:spacing w:line="128" w:lineRule="exact" w:before="5"/>
              <w:ind w:right="39"/>
              <w:jc w:val="right"/>
              <w:rPr>
                <w:b/>
                <w:sz w:val="12"/>
              </w:rPr>
            </w:pPr>
            <w:r>
              <w:rPr>
                <w:b/>
                <w:w w:val="105"/>
                <w:sz w:val="12"/>
              </w:rPr>
              <w:t>1.027.623,68</w:t>
            </w:r>
          </w:p>
        </w:tc>
        <w:tc>
          <w:tcPr>
            <w:tcW w:w="592" w:type="dxa"/>
            <w:tcBorders>
              <w:top w:val="single" w:sz="6" w:space="0" w:color="000000"/>
              <w:bottom w:val="single" w:sz="6" w:space="0" w:color="000000"/>
            </w:tcBorders>
          </w:tcPr>
          <w:p>
            <w:pPr>
              <w:pStyle w:val="TableParagraph"/>
              <w:spacing w:line="128" w:lineRule="exact" w:before="5"/>
              <w:ind w:right="42"/>
              <w:jc w:val="right"/>
              <w:rPr>
                <w:b/>
                <w:sz w:val="12"/>
              </w:rPr>
            </w:pPr>
            <w:r>
              <w:rPr>
                <w:b/>
                <w:w w:val="105"/>
                <w:sz w:val="12"/>
              </w:rPr>
              <w:t>1.734,12</w:t>
            </w:r>
          </w:p>
        </w:tc>
        <w:tc>
          <w:tcPr>
            <w:tcW w:w="732" w:type="dxa"/>
            <w:tcBorders>
              <w:top w:val="single" w:sz="6" w:space="0" w:color="000000"/>
              <w:bottom w:val="single" w:sz="6" w:space="0" w:color="000000"/>
            </w:tcBorders>
          </w:tcPr>
          <w:p>
            <w:pPr>
              <w:pStyle w:val="TableParagraph"/>
              <w:spacing w:line="128" w:lineRule="exact" w:before="5"/>
              <w:ind w:right="42"/>
              <w:jc w:val="right"/>
              <w:rPr>
                <w:b/>
                <w:sz w:val="12"/>
              </w:rPr>
            </w:pPr>
            <w:r>
              <w:rPr>
                <w:b/>
                <w:w w:val="105"/>
                <w:sz w:val="12"/>
              </w:rPr>
              <w:t>469.558,43</w:t>
            </w:r>
          </w:p>
        </w:tc>
        <w:tc>
          <w:tcPr>
            <w:tcW w:w="637" w:type="dxa"/>
            <w:tcBorders>
              <w:top w:val="single" w:sz="6" w:space="0" w:color="000000"/>
              <w:bottom w:val="single" w:sz="6" w:space="0" w:color="000000"/>
            </w:tcBorders>
          </w:tcPr>
          <w:p>
            <w:pPr>
              <w:pStyle w:val="TableParagraph"/>
              <w:spacing w:line="128" w:lineRule="exact" w:before="5"/>
              <w:ind w:right="41"/>
              <w:jc w:val="right"/>
              <w:rPr>
                <w:b/>
                <w:sz w:val="12"/>
              </w:rPr>
            </w:pPr>
            <w:r>
              <w:rPr>
                <w:b/>
                <w:w w:val="105"/>
                <w:sz w:val="12"/>
              </w:rPr>
              <w:t>9.560,19</w:t>
            </w:r>
          </w:p>
        </w:tc>
        <w:tc>
          <w:tcPr>
            <w:tcW w:w="639" w:type="dxa"/>
            <w:tcBorders>
              <w:top w:val="single" w:sz="6" w:space="0" w:color="000000"/>
              <w:bottom w:val="single" w:sz="6" w:space="0" w:color="000000"/>
            </w:tcBorders>
          </w:tcPr>
          <w:p>
            <w:pPr>
              <w:pStyle w:val="TableParagraph"/>
              <w:spacing w:line="128" w:lineRule="exact" w:before="5"/>
              <w:ind w:left="73"/>
              <w:rPr>
                <w:b/>
                <w:sz w:val="12"/>
              </w:rPr>
            </w:pPr>
            <w:r>
              <w:rPr>
                <w:b/>
                <w:w w:val="105"/>
                <w:sz w:val="12"/>
              </w:rPr>
              <w:t>47.677,46</w:t>
            </w:r>
          </w:p>
        </w:tc>
        <w:tc>
          <w:tcPr>
            <w:tcW w:w="608" w:type="dxa"/>
            <w:tcBorders>
              <w:top w:val="single" w:sz="6" w:space="0" w:color="000000"/>
              <w:bottom w:val="single" w:sz="6" w:space="0" w:color="000000"/>
            </w:tcBorders>
          </w:tcPr>
          <w:p>
            <w:pPr>
              <w:pStyle w:val="TableParagraph"/>
              <w:spacing w:line="128" w:lineRule="exact" w:before="5"/>
              <w:ind w:right="44"/>
              <w:jc w:val="right"/>
              <w:rPr>
                <w:b/>
                <w:sz w:val="12"/>
              </w:rPr>
            </w:pPr>
            <w:r>
              <w:rPr>
                <w:b/>
                <w:w w:val="105"/>
                <w:sz w:val="12"/>
              </w:rPr>
              <w:t>2.002,40</w:t>
            </w:r>
          </w:p>
        </w:tc>
        <w:tc>
          <w:tcPr>
            <w:tcW w:w="639" w:type="dxa"/>
            <w:tcBorders>
              <w:top w:val="single" w:sz="6" w:space="0" w:color="000000"/>
              <w:bottom w:val="single" w:sz="6" w:space="0" w:color="000000"/>
            </w:tcBorders>
          </w:tcPr>
          <w:p>
            <w:pPr>
              <w:pStyle w:val="TableParagraph"/>
              <w:spacing w:line="128" w:lineRule="exact" w:before="5"/>
              <w:ind w:right="47"/>
              <w:jc w:val="right"/>
              <w:rPr>
                <w:b/>
                <w:sz w:val="12"/>
              </w:rPr>
            </w:pPr>
            <w:r>
              <w:rPr>
                <w:b/>
                <w:w w:val="105"/>
                <w:sz w:val="12"/>
              </w:rPr>
              <w:t>38,31</w:t>
            </w:r>
          </w:p>
        </w:tc>
        <w:tc>
          <w:tcPr>
            <w:tcW w:w="684" w:type="dxa"/>
            <w:tcBorders>
              <w:top w:val="single" w:sz="6" w:space="0" w:color="000000"/>
              <w:bottom w:val="single" w:sz="6" w:space="0" w:color="000000"/>
            </w:tcBorders>
          </w:tcPr>
          <w:p>
            <w:pPr>
              <w:pStyle w:val="TableParagraph"/>
              <w:spacing w:line="128" w:lineRule="exact" w:before="5"/>
              <w:ind w:right="46"/>
              <w:jc w:val="right"/>
              <w:rPr>
                <w:b/>
                <w:sz w:val="12"/>
              </w:rPr>
            </w:pPr>
            <w:r>
              <w:rPr>
                <w:b/>
                <w:w w:val="105"/>
                <w:sz w:val="12"/>
              </w:rPr>
              <w:t>38.852,40</w:t>
            </w:r>
          </w:p>
        </w:tc>
        <w:tc>
          <w:tcPr>
            <w:tcW w:w="561" w:type="dxa"/>
            <w:tcBorders>
              <w:top w:val="single" w:sz="6" w:space="0" w:color="000000"/>
              <w:bottom w:val="single" w:sz="6" w:space="0" w:color="000000"/>
            </w:tcBorders>
          </w:tcPr>
          <w:p>
            <w:pPr>
              <w:pStyle w:val="TableParagraph"/>
              <w:spacing w:line="128" w:lineRule="exact" w:before="5"/>
              <w:ind w:right="50"/>
              <w:jc w:val="right"/>
              <w:rPr>
                <w:b/>
                <w:sz w:val="12"/>
              </w:rPr>
            </w:pPr>
            <w:r>
              <w:rPr>
                <w:b/>
                <w:w w:val="105"/>
                <w:sz w:val="12"/>
              </w:rPr>
              <w:t>0,00</w:t>
            </w:r>
          </w:p>
        </w:tc>
        <w:tc>
          <w:tcPr>
            <w:tcW w:w="841" w:type="dxa"/>
            <w:tcBorders>
              <w:top w:val="single" w:sz="6" w:space="0" w:color="000000"/>
              <w:bottom w:val="single" w:sz="6" w:space="0" w:color="000000"/>
            </w:tcBorders>
          </w:tcPr>
          <w:p>
            <w:pPr>
              <w:pStyle w:val="TableParagraph"/>
              <w:spacing w:line="128" w:lineRule="exact" w:before="5"/>
              <w:ind w:right="50"/>
              <w:jc w:val="right"/>
              <w:rPr>
                <w:b/>
                <w:sz w:val="12"/>
              </w:rPr>
            </w:pPr>
            <w:r>
              <w:rPr>
                <w:b/>
                <w:w w:val="105"/>
                <w:sz w:val="12"/>
              </w:rPr>
              <w:t>1.969.696,78</w:t>
            </w:r>
          </w:p>
        </w:tc>
      </w:tr>
      <w:tr>
        <w:trPr>
          <w:trHeight w:val="1669" w:hRule="atLeast"/>
        </w:trPr>
        <w:tc>
          <w:tcPr>
            <w:tcW w:w="1369" w:type="dxa"/>
            <w:tcBorders>
              <w:top w:val="single" w:sz="6" w:space="0" w:color="000000"/>
              <w:bottom w:val="single" w:sz="6" w:space="0" w:color="000000"/>
            </w:tcBorders>
          </w:tcPr>
          <w:p>
            <w:pPr>
              <w:pStyle w:val="TableParagraph"/>
              <w:numPr>
                <w:ilvl w:val="0"/>
                <w:numId w:val="119"/>
              </w:numPr>
              <w:tabs>
                <w:tab w:pos="148" w:val="left" w:leader="none"/>
              </w:tabs>
              <w:spacing w:line="240" w:lineRule="auto" w:before="3" w:after="0"/>
              <w:ind w:left="147" w:right="0" w:hanging="92"/>
              <w:jc w:val="left"/>
              <w:rPr>
                <w:sz w:val="12"/>
              </w:rPr>
            </w:pPr>
            <w:r>
              <w:rPr>
                <w:w w:val="105"/>
                <w:sz w:val="12"/>
              </w:rPr>
              <w:t>Patrimonio</w:t>
            </w:r>
            <w:r>
              <w:rPr>
                <w:spacing w:val="-5"/>
                <w:w w:val="105"/>
                <w:sz w:val="12"/>
              </w:rPr>
              <w:t> </w:t>
            </w:r>
            <w:r>
              <w:rPr>
                <w:w w:val="105"/>
                <w:sz w:val="12"/>
              </w:rPr>
              <w:t>aportado</w:t>
            </w:r>
          </w:p>
          <w:p>
            <w:pPr>
              <w:pStyle w:val="TableParagraph"/>
              <w:numPr>
                <w:ilvl w:val="0"/>
                <w:numId w:val="119"/>
              </w:numPr>
              <w:tabs>
                <w:tab w:pos="180" w:val="left" w:leader="none"/>
              </w:tabs>
              <w:spacing w:line="240" w:lineRule="auto" w:before="6" w:after="0"/>
              <w:ind w:left="179" w:right="0" w:hanging="124"/>
              <w:jc w:val="left"/>
              <w:rPr>
                <w:sz w:val="12"/>
              </w:rPr>
            </w:pPr>
            <w:r>
              <w:rPr>
                <w:w w:val="105"/>
                <w:sz w:val="12"/>
              </w:rPr>
              <w:t>Patrimonio</w:t>
            </w:r>
            <w:r>
              <w:rPr>
                <w:spacing w:val="-6"/>
                <w:w w:val="105"/>
                <w:sz w:val="12"/>
              </w:rPr>
              <w:t> </w:t>
            </w:r>
            <w:r>
              <w:rPr>
                <w:w w:val="105"/>
                <w:sz w:val="12"/>
              </w:rPr>
              <w:t>generado</w:t>
            </w:r>
          </w:p>
          <w:p>
            <w:pPr>
              <w:pStyle w:val="TableParagraph"/>
              <w:spacing w:line="247" w:lineRule="auto" w:before="5"/>
              <w:ind w:left="56" w:right="51"/>
              <w:rPr>
                <w:sz w:val="12"/>
              </w:rPr>
            </w:pPr>
            <w:r>
              <w:rPr>
                <w:w w:val="105"/>
                <w:sz w:val="12"/>
              </w:rPr>
              <w:t>1. Resultado de ejercicios</w:t>
            </w:r>
            <w:r>
              <w:rPr>
                <w:spacing w:val="-2"/>
                <w:w w:val="105"/>
                <w:sz w:val="12"/>
              </w:rPr>
              <w:t> </w:t>
            </w:r>
            <w:r>
              <w:rPr>
                <w:spacing w:val="-3"/>
                <w:w w:val="105"/>
                <w:sz w:val="12"/>
              </w:rPr>
              <w:t>anteriores</w:t>
            </w:r>
          </w:p>
          <w:p>
            <w:pPr>
              <w:pStyle w:val="TableParagraph"/>
              <w:numPr>
                <w:ilvl w:val="0"/>
                <w:numId w:val="120"/>
              </w:numPr>
              <w:tabs>
                <w:tab w:pos="220" w:val="left" w:leader="none"/>
              </w:tabs>
              <w:spacing w:line="249" w:lineRule="auto" w:before="2" w:after="0"/>
              <w:ind w:left="56" w:right="172" w:firstLine="0"/>
              <w:jc w:val="both"/>
              <w:rPr>
                <w:sz w:val="12"/>
              </w:rPr>
            </w:pPr>
            <w:r>
              <w:rPr>
                <w:w w:val="105"/>
                <w:sz w:val="12"/>
              </w:rPr>
              <w:t>Otros incrementos del</w:t>
            </w:r>
            <w:r>
              <w:rPr>
                <w:spacing w:val="-8"/>
                <w:w w:val="105"/>
                <w:sz w:val="12"/>
              </w:rPr>
              <w:t> </w:t>
            </w:r>
            <w:r>
              <w:rPr>
                <w:w w:val="105"/>
                <w:sz w:val="12"/>
              </w:rPr>
              <w:t>patrimonio</w:t>
            </w:r>
            <w:r>
              <w:rPr>
                <w:spacing w:val="-8"/>
                <w:w w:val="105"/>
                <w:sz w:val="12"/>
              </w:rPr>
              <w:t> </w:t>
            </w:r>
            <w:r>
              <w:rPr>
                <w:w w:val="105"/>
                <w:sz w:val="12"/>
              </w:rPr>
              <w:t>pte.</w:t>
            </w:r>
            <w:r>
              <w:rPr>
                <w:spacing w:val="-7"/>
                <w:w w:val="105"/>
                <w:sz w:val="12"/>
              </w:rPr>
              <w:t> </w:t>
            </w:r>
            <w:r>
              <w:rPr>
                <w:w w:val="105"/>
                <w:sz w:val="12"/>
              </w:rPr>
              <w:t>de imputar al</w:t>
            </w:r>
            <w:r>
              <w:rPr>
                <w:spacing w:val="-9"/>
                <w:w w:val="105"/>
                <w:sz w:val="12"/>
              </w:rPr>
              <w:t> </w:t>
            </w:r>
            <w:r>
              <w:rPr>
                <w:w w:val="105"/>
                <w:sz w:val="12"/>
              </w:rPr>
              <w:t>resultado</w:t>
            </w:r>
          </w:p>
          <w:p>
            <w:pPr>
              <w:pStyle w:val="TableParagraph"/>
              <w:numPr>
                <w:ilvl w:val="0"/>
                <w:numId w:val="120"/>
              </w:numPr>
              <w:tabs>
                <w:tab w:pos="188" w:val="left" w:leader="none"/>
              </w:tabs>
              <w:spacing w:line="247" w:lineRule="auto" w:before="0" w:after="0"/>
              <w:ind w:left="56" w:right="341" w:firstLine="0"/>
              <w:jc w:val="left"/>
              <w:rPr>
                <w:sz w:val="12"/>
              </w:rPr>
            </w:pPr>
            <w:r>
              <w:rPr>
                <w:w w:val="105"/>
                <w:sz w:val="12"/>
              </w:rPr>
              <w:t>RESULTADO </w:t>
            </w:r>
            <w:r>
              <w:rPr>
                <w:spacing w:val="-5"/>
                <w:w w:val="105"/>
                <w:sz w:val="12"/>
              </w:rPr>
              <w:t>DEL </w:t>
            </w:r>
            <w:r>
              <w:rPr>
                <w:w w:val="105"/>
                <w:sz w:val="12"/>
              </w:rPr>
              <w:t>EJERCICIO</w:t>
            </w:r>
          </w:p>
          <w:p>
            <w:pPr>
              <w:pStyle w:val="TableParagraph"/>
              <w:ind w:left="56"/>
              <w:rPr>
                <w:b/>
                <w:sz w:val="12"/>
              </w:rPr>
            </w:pPr>
            <w:r>
              <w:rPr>
                <w:b/>
                <w:w w:val="105"/>
                <w:sz w:val="12"/>
              </w:rPr>
              <w:t>B) PASIVO NO</w:t>
            </w:r>
          </w:p>
          <w:p>
            <w:pPr>
              <w:pStyle w:val="TableParagraph"/>
              <w:spacing w:line="128" w:lineRule="exact" w:before="5"/>
              <w:ind w:left="56"/>
              <w:rPr>
                <w:b/>
                <w:sz w:val="12"/>
              </w:rPr>
            </w:pPr>
            <w:r>
              <w:rPr>
                <w:b/>
                <w:w w:val="105"/>
                <w:sz w:val="12"/>
              </w:rPr>
              <w:t>CORRIENTE</w:t>
            </w:r>
          </w:p>
        </w:tc>
        <w:tc>
          <w:tcPr>
            <w:tcW w:w="636" w:type="dxa"/>
            <w:tcBorders>
              <w:top w:val="single" w:sz="6" w:space="0" w:color="000000"/>
              <w:bottom w:val="single" w:sz="6" w:space="0" w:color="000000"/>
            </w:tcBorders>
          </w:tcPr>
          <w:p>
            <w:pPr>
              <w:pStyle w:val="TableParagraph"/>
              <w:spacing w:before="3"/>
              <w:ind w:left="144"/>
              <w:rPr>
                <w:sz w:val="12"/>
              </w:rPr>
            </w:pPr>
            <w:r>
              <w:rPr>
                <w:w w:val="105"/>
                <w:sz w:val="12"/>
              </w:rPr>
              <w:t>3.959,85</w:t>
            </w:r>
          </w:p>
          <w:p>
            <w:pPr>
              <w:pStyle w:val="TableParagraph"/>
              <w:spacing w:before="6"/>
              <w:ind w:left="144"/>
              <w:rPr>
                <w:sz w:val="12"/>
              </w:rPr>
            </w:pPr>
            <w:r>
              <w:rPr>
                <w:w w:val="105"/>
                <w:sz w:val="12"/>
              </w:rPr>
              <w:t>3.276,83</w:t>
            </w:r>
          </w:p>
          <w:p>
            <w:pPr>
              <w:pStyle w:val="TableParagraph"/>
              <w:spacing w:before="81"/>
              <w:ind w:right="37"/>
              <w:jc w:val="right"/>
              <w:rPr>
                <w:sz w:val="12"/>
              </w:rPr>
            </w:pPr>
            <w:r>
              <w:rPr>
                <w:spacing w:val="-1"/>
                <w:w w:val="105"/>
                <w:sz w:val="12"/>
              </w:rPr>
              <w:t>0,00</w:t>
            </w:r>
          </w:p>
          <w:p>
            <w:pPr>
              <w:pStyle w:val="TableParagraph"/>
              <w:rPr>
                <w:b/>
                <w:sz w:val="12"/>
              </w:rPr>
            </w:pPr>
          </w:p>
          <w:p>
            <w:pPr>
              <w:pStyle w:val="TableParagraph"/>
              <w:spacing w:before="86"/>
              <w:ind w:right="37"/>
              <w:jc w:val="right"/>
              <w:rPr>
                <w:sz w:val="12"/>
              </w:rPr>
            </w:pPr>
            <w:r>
              <w:rPr>
                <w:spacing w:val="-1"/>
                <w:w w:val="105"/>
                <w:sz w:val="12"/>
              </w:rPr>
              <w:t>3.376,92</w:t>
            </w:r>
          </w:p>
          <w:p>
            <w:pPr>
              <w:pStyle w:val="TableParagraph"/>
              <w:rPr>
                <w:b/>
                <w:sz w:val="12"/>
              </w:rPr>
            </w:pPr>
          </w:p>
          <w:p>
            <w:pPr>
              <w:pStyle w:val="TableParagraph"/>
              <w:spacing w:before="88"/>
              <w:ind w:right="37"/>
              <w:jc w:val="right"/>
              <w:rPr>
                <w:sz w:val="12"/>
              </w:rPr>
            </w:pPr>
            <w:r>
              <w:rPr>
                <w:sz w:val="12"/>
              </w:rPr>
              <w:t>265,34</w:t>
            </w:r>
          </w:p>
          <w:p>
            <w:pPr>
              <w:pStyle w:val="TableParagraph"/>
              <w:spacing w:before="8"/>
              <w:rPr>
                <w:b/>
                <w:sz w:val="12"/>
              </w:rPr>
            </w:pPr>
          </w:p>
          <w:p>
            <w:pPr>
              <w:pStyle w:val="TableParagraph"/>
              <w:spacing w:before="1"/>
              <w:ind w:right="39"/>
              <w:jc w:val="right"/>
              <w:rPr>
                <w:b/>
                <w:sz w:val="12"/>
              </w:rPr>
            </w:pPr>
            <w:r>
              <w:rPr>
                <w:b/>
                <w:spacing w:val="-1"/>
                <w:w w:val="105"/>
                <w:sz w:val="12"/>
              </w:rPr>
              <w:t>0,00</w:t>
            </w:r>
          </w:p>
        </w:tc>
        <w:tc>
          <w:tcPr>
            <w:tcW w:w="638" w:type="dxa"/>
            <w:tcBorders>
              <w:top w:val="single" w:sz="6" w:space="0" w:color="000000"/>
              <w:bottom w:val="single" w:sz="6" w:space="0" w:color="000000"/>
            </w:tcBorders>
          </w:tcPr>
          <w:p>
            <w:pPr>
              <w:pStyle w:val="TableParagraph"/>
              <w:spacing w:before="3"/>
              <w:ind w:left="144"/>
              <w:rPr>
                <w:sz w:val="12"/>
              </w:rPr>
            </w:pPr>
            <w:r>
              <w:rPr>
                <w:w w:val="105"/>
                <w:sz w:val="12"/>
              </w:rPr>
              <w:t>4.666,25</w:t>
            </w:r>
          </w:p>
          <w:p>
            <w:pPr>
              <w:pStyle w:val="TableParagraph"/>
              <w:spacing w:before="6"/>
              <w:ind w:left="144"/>
              <w:rPr>
                <w:sz w:val="12"/>
              </w:rPr>
            </w:pPr>
            <w:r>
              <w:rPr>
                <w:w w:val="105"/>
                <w:sz w:val="12"/>
              </w:rPr>
              <w:t>4.770,77</w:t>
            </w:r>
          </w:p>
          <w:p>
            <w:pPr>
              <w:pStyle w:val="TableParagraph"/>
              <w:spacing w:before="81"/>
              <w:ind w:right="39"/>
              <w:jc w:val="right"/>
              <w:rPr>
                <w:sz w:val="12"/>
              </w:rPr>
            </w:pPr>
            <w:r>
              <w:rPr>
                <w:spacing w:val="-1"/>
                <w:w w:val="105"/>
                <w:sz w:val="12"/>
              </w:rPr>
              <w:t>0,00</w:t>
            </w:r>
          </w:p>
          <w:p>
            <w:pPr>
              <w:pStyle w:val="TableParagraph"/>
              <w:rPr>
                <w:b/>
                <w:sz w:val="12"/>
              </w:rPr>
            </w:pPr>
          </w:p>
          <w:p>
            <w:pPr>
              <w:pStyle w:val="TableParagraph"/>
              <w:spacing w:before="86"/>
              <w:ind w:right="39"/>
              <w:jc w:val="right"/>
              <w:rPr>
                <w:sz w:val="12"/>
              </w:rPr>
            </w:pPr>
            <w:r>
              <w:rPr>
                <w:sz w:val="12"/>
              </w:rPr>
              <w:t>332,74</w:t>
            </w:r>
          </w:p>
          <w:p>
            <w:pPr>
              <w:pStyle w:val="TableParagraph"/>
              <w:rPr>
                <w:b/>
                <w:sz w:val="12"/>
              </w:rPr>
            </w:pPr>
          </w:p>
          <w:p>
            <w:pPr>
              <w:pStyle w:val="TableParagraph"/>
              <w:spacing w:before="88"/>
              <w:ind w:right="39"/>
              <w:jc w:val="right"/>
              <w:rPr>
                <w:sz w:val="12"/>
              </w:rPr>
            </w:pPr>
            <w:r>
              <w:rPr>
                <w:spacing w:val="-1"/>
                <w:w w:val="105"/>
                <w:sz w:val="12"/>
              </w:rPr>
              <w:t>2.651,98</w:t>
            </w:r>
          </w:p>
          <w:p>
            <w:pPr>
              <w:pStyle w:val="TableParagraph"/>
              <w:spacing w:before="8"/>
              <w:rPr>
                <w:b/>
                <w:sz w:val="12"/>
              </w:rPr>
            </w:pPr>
          </w:p>
          <w:p>
            <w:pPr>
              <w:pStyle w:val="TableParagraph"/>
              <w:spacing w:before="1"/>
              <w:ind w:right="41"/>
              <w:jc w:val="right"/>
              <w:rPr>
                <w:b/>
                <w:sz w:val="12"/>
              </w:rPr>
            </w:pPr>
            <w:r>
              <w:rPr>
                <w:b/>
                <w:spacing w:val="-1"/>
                <w:w w:val="105"/>
                <w:sz w:val="12"/>
              </w:rPr>
              <w:t>0,00</w:t>
            </w:r>
          </w:p>
        </w:tc>
        <w:tc>
          <w:tcPr>
            <w:tcW w:w="731" w:type="dxa"/>
            <w:tcBorders>
              <w:top w:val="single" w:sz="6" w:space="0" w:color="000000"/>
              <w:bottom w:val="single" w:sz="6" w:space="0" w:color="000000"/>
            </w:tcBorders>
          </w:tcPr>
          <w:p>
            <w:pPr>
              <w:pStyle w:val="TableParagraph"/>
              <w:spacing w:before="3"/>
              <w:ind w:left="110"/>
              <w:rPr>
                <w:sz w:val="12"/>
              </w:rPr>
            </w:pPr>
            <w:r>
              <w:rPr>
                <w:w w:val="105"/>
                <w:sz w:val="12"/>
              </w:rPr>
              <w:t>155.581,37</w:t>
            </w:r>
          </w:p>
          <w:p>
            <w:pPr>
              <w:pStyle w:val="TableParagraph"/>
              <w:spacing w:before="6"/>
              <w:ind w:left="174"/>
              <w:rPr>
                <w:sz w:val="12"/>
              </w:rPr>
            </w:pPr>
            <w:r>
              <w:rPr>
                <w:w w:val="105"/>
                <w:sz w:val="12"/>
              </w:rPr>
              <w:t>94.700,22</w:t>
            </w:r>
          </w:p>
          <w:p>
            <w:pPr>
              <w:pStyle w:val="TableParagraph"/>
              <w:spacing w:before="81"/>
              <w:ind w:right="39"/>
              <w:jc w:val="right"/>
              <w:rPr>
                <w:sz w:val="12"/>
              </w:rPr>
            </w:pPr>
            <w:r>
              <w:rPr>
                <w:spacing w:val="-1"/>
                <w:w w:val="105"/>
                <w:sz w:val="12"/>
              </w:rPr>
              <w:t>0,00</w:t>
            </w:r>
          </w:p>
          <w:p>
            <w:pPr>
              <w:pStyle w:val="TableParagraph"/>
              <w:rPr>
                <w:b/>
                <w:sz w:val="12"/>
              </w:rPr>
            </w:pPr>
          </w:p>
          <w:p>
            <w:pPr>
              <w:pStyle w:val="TableParagraph"/>
              <w:spacing w:before="86"/>
              <w:ind w:right="39"/>
              <w:jc w:val="right"/>
              <w:rPr>
                <w:sz w:val="12"/>
              </w:rPr>
            </w:pPr>
            <w:r>
              <w:rPr>
                <w:spacing w:val="-1"/>
                <w:w w:val="105"/>
                <w:sz w:val="12"/>
              </w:rPr>
              <w:t>75.893,34</w:t>
            </w:r>
          </w:p>
          <w:p>
            <w:pPr>
              <w:pStyle w:val="TableParagraph"/>
              <w:rPr>
                <w:b/>
                <w:sz w:val="12"/>
              </w:rPr>
            </w:pPr>
          </w:p>
          <w:p>
            <w:pPr>
              <w:pStyle w:val="TableParagraph"/>
              <w:spacing w:before="88"/>
              <w:ind w:right="39"/>
              <w:jc w:val="right"/>
              <w:rPr>
                <w:sz w:val="12"/>
              </w:rPr>
            </w:pPr>
            <w:r>
              <w:rPr>
                <w:spacing w:val="-1"/>
                <w:w w:val="105"/>
                <w:sz w:val="12"/>
              </w:rPr>
              <w:t>-26.100,85</w:t>
            </w:r>
          </w:p>
          <w:p>
            <w:pPr>
              <w:pStyle w:val="TableParagraph"/>
              <w:spacing w:before="8"/>
              <w:rPr>
                <w:b/>
                <w:sz w:val="12"/>
              </w:rPr>
            </w:pPr>
          </w:p>
          <w:p>
            <w:pPr>
              <w:pStyle w:val="TableParagraph"/>
              <w:spacing w:before="1"/>
              <w:ind w:right="39"/>
              <w:jc w:val="right"/>
              <w:rPr>
                <w:b/>
                <w:sz w:val="12"/>
              </w:rPr>
            </w:pPr>
            <w:r>
              <w:rPr>
                <w:b/>
                <w:spacing w:val="-1"/>
                <w:w w:val="105"/>
                <w:sz w:val="12"/>
              </w:rPr>
              <w:t>12.362,28</w:t>
            </w:r>
          </w:p>
        </w:tc>
        <w:tc>
          <w:tcPr>
            <w:tcW w:w="357" w:type="dxa"/>
            <w:tcBorders>
              <w:top w:val="single" w:sz="6" w:space="0" w:color="000000"/>
              <w:bottom w:val="single" w:sz="6" w:space="0" w:color="000000"/>
            </w:tcBorders>
          </w:tcPr>
          <w:p>
            <w:pPr>
              <w:pStyle w:val="TableParagraph"/>
              <w:spacing w:before="3"/>
              <w:ind w:left="84"/>
              <w:rPr>
                <w:sz w:val="12"/>
              </w:rPr>
            </w:pPr>
            <w:r>
              <w:rPr>
                <w:w w:val="105"/>
                <w:sz w:val="12"/>
              </w:rPr>
              <w:t>0,00</w:t>
            </w:r>
          </w:p>
          <w:p>
            <w:pPr>
              <w:pStyle w:val="TableParagraph"/>
              <w:spacing w:before="6"/>
              <w:ind w:left="84"/>
              <w:rPr>
                <w:sz w:val="12"/>
              </w:rPr>
            </w:pPr>
            <w:r>
              <w:rPr>
                <w:w w:val="105"/>
                <w:sz w:val="12"/>
              </w:rPr>
              <w:t>0,00</w:t>
            </w:r>
          </w:p>
          <w:p>
            <w:pPr>
              <w:pStyle w:val="TableParagraph"/>
              <w:spacing w:before="81"/>
              <w:ind w:left="84"/>
              <w:rPr>
                <w:sz w:val="12"/>
              </w:rPr>
            </w:pPr>
            <w:r>
              <w:rPr>
                <w:w w:val="105"/>
                <w:sz w:val="12"/>
              </w:rPr>
              <w:t>0,00</w:t>
            </w:r>
          </w:p>
          <w:p>
            <w:pPr>
              <w:pStyle w:val="TableParagraph"/>
              <w:rPr>
                <w:b/>
                <w:sz w:val="12"/>
              </w:rPr>
            </w:pPr>
          </w:p>
          <w:p>
            <w:pPr>
              <w:pStyle w:val="TableParagraph"/>
              <w:spacing w:before="86"/>
              <w:ind w:left="84"/>
              <w:rPr>
                <w:sz w:val="12"/>
              </w:rPr>
            </w:pPr>
            <w:r>
              <w:rPr>
                <w:w w:val="105"/>
                <w:sz w:val="12"/>
              </w:rPr>
              <w:t>0,00</w:t>
            </w:r>
          </w:p>
          <w:p>
            <w:pPr>
              <w:pStyle w:val="TableParagraph"/>
              <w:rPr>
                <w:b/>
                <w:sz w:val="12"/>
              </w:rPr>
            </w:pPr>
          </w:p>
          <w:p>
            <w:pPr>
              <w:pStyle w:val="TableParagraph"/>
              <w:spacing w:before="88"/>
              <w:ind w:left="84"/>
              <w:rPr>
                <w:sz w:val="12"/>
              </w:rPr>
            </w:pPr>
            <w:r>
              <w:rPr>
                <w:w w:val="105"/>
                <w:sz w:val="12"/>
              </w:rPr>
              <w:t>0,00</w:t>
            </w:r>
          </w:p>
          <w:p>
            <w:pPr>
              <w:pStyle w:val="TableParagraph"/>
              <w:spacing w:before="8"/>
              <w:rPr>
                <w:b/>
                <w:sz w:val="12"/>
              </w:rPr>
            </w:pPr>
          </w:p>
          <w:p>
            <w:pPr>
              <w:pStyle w:val="TableParagraph"/>
              <w:spacing w:before="1"/>
              <w:ind w:left="82"/>
              <w:rPr>
                <w:b/>
                <w:sz w:val="12"/>
              </w:rPr>
            </w:pPr>
            <w:r>
              <w:rPr>
                <w:b/>
                <w:w w:val="105"/>
                <w:sz w:val="12"/>
              </w:rPr>
              <w:t>0,00</w:t>
            </w:r>
          </w:p>
        </w:tc>
        <w:tc>
          <w:tcPr>
            <w:tcW w:w="685" w:type="dxa"/>
            <w:tcBorders>
              <w:top w:val="single" w:sz="6" w:space="0" w:color="000000"/>
              <w:bottom w:val="single" w:sz="6" w:space="0" w:color="000000"/>
            </w:tcBorders>
          </w:tcPr>
          <w:p>
            <w:pPr>
              <w:pStyle w:val="TableParagraph"/>
              <w:spacing w:before="3"/>
              <w:ind w:left="127"/>
              <w:rPr>
                <w:sz w:val="12"/>
              </w:rPr>
            </w:pPr>
            <w:r>
              <w:rPr>
                <w:w w:val="105"/>
                <w:sz w:val="12"/>
              </w:rPr>
              <w:t>33.027,81</w:t>
            </w:r>
          </w:p>
          <w:p>
            <w:pPr>
              <w:pStyle w:val="TableParagraph"/>
              <w:spacing w:before="6"/>
              <w:ind w:left="190"/>
              <w:rPr>
                <w:sz w:val="12"/>
              </w:rPr>
            </w:pPr>
            <w:r>
              <w:rPr>
                <w:w w:val="105"/>
                <w:sz w:val="12"/>
              </w:rPr>
              <w:t>8.859,51</w:t>
            </w:r>
          </w:p>
          <w:p>
            <w:pPr>
              <w:pStyle w:val="TableParagraph"/>
              <w:spacing w:before="81"/>
              <w:ind w:right="40"/>
              <w:jc w:val="right"/>
              <w:rPr>
                <w:sz w:val="12"/>
              </w:rPr>
            </w:pPr>
            <w:r>
              <w:rPr>
                <w:spacing w:val="-1"/>
                <w:w w:val="105"/>
                <w:sz w:val="12"/>
              </w:rPr>
              <w:t>0,00</w:t>
            </w:r>
          </w:p>
          <w:p>
            <w:pPr>
              <w:pStyle w:val="TableParagraph"/>
              <w:rPr>
                <w:b/>
                <w:sz w:val="12"/>
              </w:rPr>
            </w:pPr>
          </w:p>
          <w:p>
            <w:pPr>
              <w:pStyle w:val="TableParagraph"/>
              <w:spacing w:before="86"/>
              <w:ind w:right="40"/>
              <w:jc w:val="right"/>
              <w:rPr>
                <w:sz w:val="12"/>
              </w:rPr>
            </w:pPr>
            <w:r>
              <w:rPr>
                <w:sz w:val="12"/>
              </w:rPr>
              <w:t>47,70</w:t>
            </w:r>
          </w:p>
          <w:p>
            <w:pPr>
              <w:pStyle w:val="TableParagraph"/>
              <w:rPr>
                <w:b/>
                <w:sz w:val="12"/>
              </w:rPr>
            </w:pPr>
          </w:p>
          <w:p>
            <w:pPr>
              <w:pStyle w:val="TableParagraph"/>
              <w:spacing w:before="88"/>
              <w:ind w:right="40"/>
              <w:jc w:val="right"/>
              <w:rPr>
                <w:sz w:val="12"/>
              </w:rPr>
            </w:pPr>
            <w:r>
              <w:rPr>
                <w:spacing w:val="-1"/>
                <w:w w:val="105"/>
                <w:sz w:val="12"/>
              </w:rPr>
              <w:t>2.811,34</w:t>
            </w:r>
          </w:p>
          <w:p>
            <w:pPr>
              <w:pStyle w:val="TableParagraph"/>
              <w:spacing w:before="8"/>
              <w:rPr>
                <w:b/>
                <w:sz w:val="12"/>
              </w:rPr>
            </w:pPr>
          </w:p>
          <w:p>
            <w:pPr>
              <w:pStyle w:val="TableParagraph"/>
              <w:spacing w:before="1"/>
              <w:ind w:right="40"/>
              <w:jc w:val="right"/>
              <w:rPr>
                <w:b/>
                <w:sz w:val="12"/>
              </w:rPr>
            </w:pPr>
            <w:r>
              <w:rPr>
                <w:b/>
                <w:sz w:val="12"/>
              </w:rPr>
              <w:t>377,60</w:t>
            </w:r>
          </w:p>
        </w:tc>
        <w:tc>
          <w:tcPr>
            <w:tcW w:w="638" w:type="dxa"/>
            <w:tcBorders>
              <w:top w:val="single" w:sz="6" w:space="0" w:color="000000"/>
              <w:bottom w:val="single" w:sz="6" w:space="0" w:color="000000"/>
            </w:tcBorders>
          </w:tcPr>
          <w:p>
            <w:pPr>
              <w:pStyle w:val="TableParagraph"/>
              <w:spacing w:before="3"/>
              <w:ind w:left="143"/>
              <w:rPr>
                <w:sz w:val="12"/>
              </w:rPr>
            </w:pPr>
            <w:r>
              <w:rPr>
                <w:w w:val="105"/>
                <w:sz w:val="12"/>
              </w:rPr>
              <w:t>4.230,51</w:t>
            </w:r>
          </w:p>
          <w:p>
            <w:pPr>
              <w:pStyle w:val="TableParagraph"/>
              <w:spacing w:before="6"/>
              <w:ind w:left="199"/>
              <w:rPr>
                <w:sz w:val="12"/>
              </w:rPr>
            </w:pPr>
            <w:r>
              <w:rPr>
                <w:w w:val="105"/>
                <w:sz w:val="12"/>
              </w:rPr>
              <w:t>-475,73</w:t>
            </w:r>
          </w:p>
          <w:p>
            <w:pPr>
              <w:pStyle w:val="TableParagraph"/>
              <w:spacing w:before="81"/>
              <w:ind w:right="40"/>
              <w:jc w:val="right"/>
              <w:rPr>
                <w:sz w:val="12"/>
              </w:rPr>
            </w:pPr>
            <w:r>
              <w:rPr>
                <w:spacing w:val="-1"/>
                <w:w w:val="105"/>
                <w:sz w:val="12"/>
              </w:rPr>
              <w:t>0,00</w:t>
            </w:r>
          </w:p>
          <w:p>
            <w:pPr>
              <w:pStyle w:val="TableParagraph"/>
              <w:rPr>
                <w:b/>
                <w:sz w:val="12"/>
              </w:rPr>
            </w:pPr>
          </w:p>
          <w:p>
            <w:pPr>
              <w:pStyle w:val="TableParagraph"/>
              <w:spacing w:before="86"/>
              <w:ind w:right="40"/>
              <w:jc w:val="right"/>
              <w:rPr>
                <w:sz w:val="12"/>
              </w:rPr>
            </w:pPr>
            <w:r>
              <w:rPr>
                <w:sz w:val="12"/>
              </w:rPr>
              <w:t>773,89</w:t>
            </w:r>
          </w:p>
          <w:p>
            <w:pPr>
              <w:pStyle w:val="TableParagraph"/>
              <w:rPr>
                <w:b/>
                <w:sz w:val="12"/>
              </w:rPr>
            </w:pPr>
          </w:p>
          <w:p>
            <w:pPr>
              <w:pStyle w:val="TableParagraph"/>
              <w:spacing w:before="88"/>
              <w:ind w:right="40"/>
              <w:jc w:val="right"/>
              <w:rPr>
                <w:sz w:val="12"/>
              </w:rPr>
            </w:pPr>
            <w:r>
              <w:rPr>
                <w:spacing w:val="-1"/>
                <w:w w:val="105"/>
                <w:sz w:val="12"/>
              </w:rPr>
              <w:t>0,00</w:t>
            </w:r>
          </w:p>
          <w:p>
            <w:pPr>
              <w:pStyle w:val="TableParagraph"/>
              <w:spacing w:before="8"/>
              <w:rPr>
                <w:b/>
                <w:sz w:val="12"/>
              </w:rPr>
            </w:pPr>
          </w:p>
          <w:p>
            <w:pPr>
              <w:pStyle w:val="TableParagraph"/>
              <w:spacing w:before="1"/>
              <w:ind w:right="42"/>
              <w:jc w:val="right"/>
              <w:rPr>
                <w:b/>
                <w:sz w:val="12"/>
              </w:rPr>
            </w:pPr>
            <w:r>
              <w:rPr>
                <w:b/>
                <w:spacing w:val="-1"/>
                <w:w w:val="105"/>
                <w:sz w:val="12"/>
              </w:rPr>
              <w:t>0,00</w:t>
            </w:r>
          </w:p>
        </w:tc>
        <w:tc>
          <w:tcPr>
            <w:tcW w:w="823" w:type="dxa"/>
            <w:tcBorders>
              <w:top w:val="single" w:sz="6" w:space="0" w:color="000000"/>
              <w:bottom w:val="single" w:sz="6" w:space="0" w:color="000000"/>
            </w:tcBorders>
          </w:tcPr>
          <w:p>
            <w:pPr>
              <w:pStyle w:val="TableParagraph"/>
              <w:spacing w:before="3"/>
              <w:ind w:right="39"/>
              <w:jc w:val="right"/>
              <w:rPr>
                <w:sz w:val="12"/>
              </w:rPr>
            </w:pPr>
            <w:r>
              <w:rPr>
                <w:spacing w:val="-1"/>
                <w:w w:val="105"/>
                <w:sz w:val="12"/>
              </w:rPr>
              <w:t>1.081.461,59</w:t>
            </w:r>
          </w:p>
          <w:p>
            <w:pPr>
              <w:pStyle w:val="TableParagraph"/>
              <w:spacing w:before="6"/>
              <w:ind w:right="39"/>
              <w:jc w:val="right"/>
              <w:rPr>
                <w:sz w:val="12"/>
              </w:rPr>
            </w:pPr>
            <w:r>
              <w:rPr>
                <w:spacing w:val="-1"/>
                <w:w w:val="105"/>
                <w:sz w:val="12"/>
              </w:rPr>
              <w:t>-66.376,21</w:t>
            </w:r>
          </w:p>
          <w:p>
            <w:pPr>
              <w:pStyle w:val="TableParagraph"/>
              <w:spacing w:before="81"/>
              <w:ind w:right="39"/>
              <w:jc w:val="right"/>
              <w:rPr>
                <w:sz w:val="12"/>
              </w:rPr>
            </w:pPr>
            <w:r>
              <w:rPr>
                <w:spacing w:val="-1"/>
                <w:w w:val="105"/>
                <w:sz w:val="12"/>
              </w:rPr>
              <w:t>0,00</w:t>
            </w:r>
          </w:p>
          <w:p>
            <w:pPr>
              <w:pStyle w:val="TableParagraph"/>
              <w:rPr>
                <w:b/>
                <w:sz w:val="12"/>
              </w:rPr>
            </w:pPr>
          </w:p>
          <w:p>
            <w:pPr>
              <w:pStyle w:val="TableParagraph"/>
              <w:spacing w:before="86"/>
              <w:ind w:right="39"/>
              <w:jc w:val="right"/>
              <w:rPr>
                <w:sz w:val="12"/>
              </w:rPr>
            </w:pPr>
            <w:r>
              <w:rPr>
                <w:spacing w:val="-1"/>
                <w:w w:val="105"/>
                <w:sz w:val="12"/>
              </w:rPr>
              <w:t>77.854,83</w:t>
            </w:r>
          </w:p>
          <w:p>
            <w:pPr>
              <w:pStyle w:val="TableParagraph"/>
              <w:rPr>
                <w:b/>
                <w:sz w:val="12"/>
              </w:rPr>
            </w:pPr>
          </w:p>
          <w:p>
            <w:pPr>
              <w:pStyle w:val="TableParagraph"/>
              <w:spacing w:before="88"/>
              <w:ind w:right="39"/>
              <w:jc w:val="right"/>
              <w:rPr>
                <w:sz w:val="12"/>
              </w:rPr>
            </w:pPr>
            <w:r>
              <w:rPr>
                <w:spacing w:val="-1"/>
                <w:w w:val="105"/>
                <w:sz w:val="12"/>
              </w:rPr>
              <w:t>-65.316,53</w:t>
            </w:r>
          </w:p>
          <w:p>
            <w:pPr>
              <w:pStyle w:val="TableParagraph"/>
              <w:spacing w:before="8"/>
              <w:rPr>
                <w:b/>
                <w:sz w:val="12"/>
              </w:rPr>
            </w:pPr>
          </w:p>
          <w:p>
            <w:pPr>
              <w:pStyle w:val="TableParagraph"/>
              <w:spacing w:before="1"/>
              <w:ind w:right="39"/>
              <w:jc w:val="right"/>
              <w:rPr>
                <w:b/>
                <w:sz w:val="12"/>
              </w:rPr>
            </w:pPr>
            <w:r>
              <w:rPr>
                <w:b/>
                <w:spacing w:val="-1"/>
                <w:w w:val="105"/>
                <w:sz w:val="12"/>
              </w:rPr>
              <w:t>17.256,63</w:t>
            </w:r>
          </w:p>
        </w:tc>
        <w:tc>
          <w:tcPr>
            <w:tcW w:w="592" w:type="dxa"/>
            <w:tcBorders>
              <w:top w:val="single" w:sz="6" w:space="0" w:color="000000"/>
              <w:bottom w:val="single" w:sz="6" w:space="0" w:color="000000"/>
            </w:tcBorders>
          </w:tcPr>
          <w:p>
            <w:pPr>
              <w:pStyle w:val="TableParagraph"/>
              <w:spacing w:before="3"/>
              <w:ind w:left="189"/>
              <w:rPr>
                <w:sz w:val="12"/>
              </w:rPr>
            </w:pPr>
            <w:r>
              <w:rPr>
                <w:w w:val="105"/>
                <w:sz w:val="12"/>
              </w:rPr>
              <w:t>232,77</w:t>
            </w:r>
          </w:p>
          <w:p>
            <w:pPr>
              <w:pStyle w:val="TableParagraph"/>
              <w:spacing w:before="6"/>
              <w:ind w:left="96"/>
              <w:rPr>
                <w:sz w:val="12"/>
              </w:rPr>
            </w:pPr>
            <w:r>
              <w:rPr>
                <w:w w:val="105"/>
                <w:sz w:val="12"/>
              </w:rPr>
              <w:t>1.222,90</w:t>
            </w:r>
          </w:p>
          <w:p>
            <w:pPr>
              <w:pStyle w:val="TableParagraph"/>
              <w:spacing w:before="81"/>
              <w:ind w:left="189"/>
              <w:rPr>
                <w:sz w:val="12"/>
              </w:rPr>
            </w:pPr>
            <w:r>
              <w:rPr>
                <w:w w:val="105"/>
                <w:sz w:val="12"/>
              </w:rPr>
              <w:t>278,45</w:t>
            </w:r>
          </w:p>
          <w:p>
            <w:pPr>
              <w:pStyle w:val="TableParagraph"/>
              <w:rPr>
                <w:b/>
                <w:sz w:val="12"/>
              </w:rPr>
            </w:pPr>
          </w:p>
          <w:p>
            <w:pPr>
              <w:pStyle w:val="TableParagraph"/>
              <w:spacing w:before="86"/>
              <w:ind w:left="316"/>
              <w:rPr>
                <w:sz w:val="12"/>
              </w:rPr>
            </w:pPr>
            <w:r>
              <w:rPr>
                <w:w w:val="105"/>
                <w:sz w:val="12"/>
              </w:rPr>
              <w:t>0,00</w:t>
            </w:r>
          </w:p>
          <w:p>
            <w:pPr>
              <w:pStyle w:val="TableParagraph"/>
              <w:rPr>
                <w:b/>
                <w:sz w:val="12"/>
              </w:rPr>
            </w:pPr>
          </w:p>
          <w:p>
            <w:pPr>
              <w:pStyle w:val="TableParagraph"/>
              <w:spacing w:before="88"/>
              <w:ind w:left="316"/>
              <w:rPr>
                <w:sz w:val="12"/>
              </w:rPr>
            </w:pPr>
            <w:r>
              <w:rPr>
                <w:w w:val="105"/>
                <w:sz w:val="12"/>
              </w:rPr>
              <w:t>0,00</w:t>
            </w:r>
          </w:p>
          <w:p>
            <w:pPr>
              <w:pStyle w:val="TableParagraph"/>
              <w:spacing w:before="8"/>
              <w:rPr>
                <w:b/>
                <w:sz w:val="12"/>
              </w:rPr>
            </w:pPr>
          </w:p>
          <w:p>
            <w:pPr>
              <w:pStyle w:val="TableParagraph"/>
              <w:spacing w:before="1"/>
              <w:ind w:left="314"/>
              <w:rPr>
                <w:b/>
                <w:sz w:val="12"/>
              </w:rPr>
            </w:pPr>
            <w:r>
              <w:rPr>
                <w:b/>
                <w:w w:val="105"/>
                <w:sz w:val="12"/>
              </w:rPr>
              <w:t>0,00</w:t>
            </w:r>
          </w:p>
        </w:tc>
        <w:tc>
          <w:tcPr>
            <w:tcW w:w="732" w:type="dxa"/>
            <w:tcBorders>
              <w:top w:val="single" w:sz="6" w:space="0" w:color="000000"/>
              <w:bottom w:val="single" w:sz="6" w:space="0" w:color="000000"/>
            </w:tcBorders>
          </w:tcPr>
          <w:p>
            <w:pPr>
              <w:pStyle w:val="TableParagraph"/>
              <w:spacing w:before="3"/>
              <w:ind w:left="108"/>
              <w:rPr>
                <w:sz w:val="12"/>
              </w:rPr>
            </w:pPr>
            <w:r>
              <w:rPr>
                <w:w w:val="105"/>
                <w:sz w:val="12"/>
              </w:rPr>
              <w:t>205.942,54</w:t>
            </w:r>
          </w:p>
          <w:p>
            <w:pPr>
              <w:pStyle w:val="TableParagraph"/>
              <w:spacing w:before="6"/>
              <w:ind w:left="108"/>
              <w:rPr>
                <w:sz w:val="12"/>
              </w:rPr>
            </w:pPr>
            <w:r>
              <w:rPr>
                <w:w w:val="105"/>
                <w:sz w:val="12"/>
              </w:rPr>
              <w:t>131.458,72</w:t>
            </w:r>
          </w:p>
          <w:p>
            <w:pPr>
              <w:pStyle w:val="TableParagraph"/>
              <w:spacing w:before="81"/>
              <w:ind w:right="42"/>
              <w:jc w:val="right"/>
              <w:rPr>
                <w:sz w:val="12"/>
              </w:rPr>
            </w:pPr>
            <w:r>
              <w:rPr>
                <w:spacing w:val="-1"/>
                <w:w w:val="105"/>
                <w:sz w:val="12"/>
              </w:rPr>
              <w:t>0,00</w:t>
            </w:r>
          </w:p>
          <w:p>
            <w:pPr>
              <w:pStyle w:val="TableParagraph"/>
              <w:rPr>
                <w:b/>
                <w:sz w:val="12"/>
              </w:rPr>
            </w:pPr>
          </w:p>
          <w:p>
            <w:pPr>
              <w:pStyle w:val="TableParagraph"/>
              <w:spacing w:before="86"/>
              <w:ind w:right="42"/>
              <w:jc w:val="right"/>
              <w:rPr>
                <w:sz w:val="12"/>
              </w:rPr>
            </w:pPr>
            <w:r>
              <w:rPr>
                <w:spacing w:val="-1"/>
                <w:w w:val="105"/>
                <w:sz w:val="12"/>
              </w:rPr>
              <w:t>104.213,79</w:t>
            </w:r>
          </w:p>
          <w:p>
            <w:pPr>
              <w:pStyle w:val="TableParagraph"/>
              <w:rPr>
                <w:b/>
                <w:sz w:val="12"/>
              </w:rPr>
            </w:pPr>
          </w:p>
          <w:p>
            <w:pPr>
              <w:pStyle w:val="TableParagraph"/>
              <w:spacing w:before="88"/>
              <w:ind w:right="42"/>
              <w:jc w:val="right"/>
              <w:rPr>
                <w:sz w:val="12"/>
              </w:rPr>
            </w:pPr>
            <w:r>
              <w:rPr>
                <w:spacing w:val="-1"/>
                <w:w w:val="105"/>
                <w:sz w:val="12"/>
              </w:rPr>
              <w:t>27.943,39</w:t>
            </w:r>
          </w:p>
          <w:p>
            <w:pPr>
              <w:pStyle w:val="TableParagraph"/>
              <w:spacing w:before="8"/>
              <w:rPr>
                <w:b/>
                <w:sz w:val="12"/>
              </w:rPr>
            </w:pPr>
          </w:p>
          <w:p>
            <w:pPr>
              <w:pStyle w:val="TableParagraph"/>
              <w:spacing w:before="1"/>
              <w:ind w:right="42"/>
              <w:jc w:val="right"/>
              <w:rPr>
                <w:b/>
                <w:sz w:val="12"/>
              </w:rPr>
            </w:pPr>
            <w:r>
              <w:rPr>
                <w:b/>
                <w:spacing w:val="-1"/>
                <w:w w:val="105"/>
                <w:sz w:val="12"/>
              </w:rPr>
              <w:t>-14,98</w:t>
            </w:r>
          </w:p>
        </w:tc>
        <w:tc>
          <w:tcPr>
            <w:tcW w:w="637" w:type="dxa"/>
            <w:tcBorders>
              <w:top w:val="single" w:sz="6" w:space="0" w:color="000000"/>
              <w:bottom w:val="single" w:sz="6" w:space="0" w:color="000000"/>
            </w:tcBorders>
          </w:tcPr>
          <w:p>
            <w:pPr>
              <w:pStyle w:val="TableParagraph"/>
              <w:spacing w:before="3"/>
              <w:ind w:left="141"/>
              <w:rPr>
                <w:sz w:val="12"/>
              </w:rPr>
            </w:pPr>
            <w:r>
              <w:rPr>
                <w:w w:val="105"/>
                <w:sz w:val="12"/>
              </w:rPr>
              <w:t>2.423,91</w:t>
            </w:r>
          </w:p>
          <w:p>
            <w:pPr>
              <w:pStyle w:val="TableParagraph"/>
              <w:spacing w:before="6"/>
              <w:ind w:left="141"/>
              <w:rPr>
                <w:sz w:val="12"/>
              </w:rPr>
            </w:pPr>
            <w:r>
              <w:rPr>
                <w:w w:val="105"/>
                <w:sz w:val="12"/>
              </w:rPr>
              <w:t>4.934,94</w:t>
            </w:r>
          </w:p>
          <w:p>
            <w:pPr>
              <w:pStyle w:val="TableParagraph"/>
              <w:spacing w:before="81"/>
              <w:ind w:right="41"/>
              <w:jc w:val="right"/>
              <w:rPr>
                <w:sz w:val="12"/>
              </w:rPr>
            </w:pPr>
            <w:r>
              <w:rPr>
                <w:spacing w:val="-1"/>
                <w:w w:val="105"/>
                <w:sz w:val="12"/>
              </w:rPr>
              <w:t>0,00</w:t>
            </w:r>
          </w:p>
          <w:p>
            <w:pPr>
              <w:pStyle w:val="TableParagraph"/>
              <w:rPr>
                <w:b/>
                <w:sz w:val="12"/>
              </w:rPr>
            </w:pPr>
          </w:p>
          <w:p>
            <w:pPr>
              <w:pStyle w:val="TableParagraph"/>
              <w:spacing w:before="86"/>
              <w:ind w:right="41"/>
              <w:jc w:val="right"/>
              <w:rPr>
                <w:sz w:val="12"/>
              </w:rPr>
            </w:pPr>
            <w:r>
              <w:rPr>
                <w:spacing w:val="-1"/>
                <w:w w:val="105"/>
                <w:sz w:val="12"/>
              </w:rPr>
              <w:t>0,00</w:t>
            </w:r>
          </w:p>
          <w:p>
            <w:pPr>
              <w:pStyle w:val="TableParagraph"/>
              <w:rPr>
                <w:b/>
                <w:sz w:val="12"/>
              </w:rPr>
            </w:pPr>
          </w:p>
          <w:p>
            <w:pPr>
              <w:pStyle w:val="TableParagraph"/>
              <w:spacing w:before="88"/>
              <w:ind w:right="41"/>
              <w:jc w:val="right"/>
              <w:rPr>
                <w:sz w:val="12"/>
              </w:rPr>
            </w:pPr>
            <w:r>
              <w:rPr>
                <w:spacing w:val="-1"/>
                <w:w w:val="105"/>
                <w:sz w:val="12"/>
              </w:rPr>
              <w:t>2.201,34</w:t>
            </w:r>
          </w:p>
          <w:p>
            <w:pPr>
              <w:pStyle w:val="TableParagraph"/>
              <w:spacing w:before="8"/>
              <w:rPr>
                <w:b/>
                <w:sz w:val="12"/>
              </w:rPr>
            </w:pPr>
          </w:p>
          <w:p>
            <w:pPr>
              <w:pStyle w:val="TableParagraph"/>
              <w:spacing w:before="1"/>
              <w:ind w:right="43"/>
              <w:jc w:val="right"/>
              <w:rPr>
                <w:b/>
                <w:sz w:val="12"/>
              </w:rPr>
            </w:pPr>
            <w:r>
              <w:rPr>
                <w:b/>
                <w:spacing w:val="-1"/>
                <w:w w:val="105"/>
                <w:sz w:val="12"/>
              </w:rPr>
              <w:t>0,00</w:t>
            </w:r>
          </w:p>
        </w:tc>
        <w:tc>
          <w:tcPr>
            <w:tcW w:w="639" w:type="dxa"/>
            <w:tcBorders>
              <w:top w:val="single" w:sz="6" w:space="0" w:color="000000"/>
              <w:bottom w:val="single" w:sz="6" w:space="0" w:color="000000"/>
            </w:tcBorders>
          </w:tcPr>
          <w:p>
            <w:pPr>
              <w:pStyle w:val="TableParagraph"/>
              <w:spacing w:before="3"/>
              <w:ind w:left="76"/>
              <w:rPr>
                <w:sz w:val="12"/>
              </w:rPr>
            </w:pPr>
            <w:r>
              <w:rPr>
                <w:w w:val="105"/>
                <w:sz w:val="12"/>
              </w:rPr>
              <w:t>39.603,62</w:t>
            </w:r>
          </w:p>
          <w:p>
            <w:pPr>
              <w:pStyle w:val="TableParagraph"/>
              <w:spacing w:before="6"/>
              <w:ind w:left="140"/>
              <w:rPr>
                <w:sz w:val="12"/>
              </w:rPr>
            </w:pPr>
            <w:r>
              <w:rPr>
                <w:w w:val="105"/>
                <w:sz w:val="12"/>
              </w:rPr>
              <w:t>4.819,26</w:t>
            </w:r>
          </w:p>
          <w:p>
            <w:pPr>
              <w:pStyle w:val="TableParagraph"/>
              <w:spacing w:before="81"/>
              <w:ind w:right="44"/>
              <w:jc w:val="right"/>
              <w:rPr>
                <w:sz w:val="12"/>
              </w:rPr>
            </w:pPr>
            <w:r>
              <w:rPr>
                <w:spacing w:val="-1"/>
                <w:w w:val="105"/>
                <w:sz w:val="12"/>
              </w:rPr>
              <w:t>0,00</w:t>
            </w:r>
          </w:p>
          <w:p>
            <w:pPr>
              <w:pStyle w:val="TableParagraph"/>
              <w:rPr>
                <w:b/>
                <w:sz w:val="12"/>
              </w:rPr>
            </w:pPr>
          </w:p>
          <w:p>
            <w:pPr>
              <w:pStyle w:val="TableParagraph"/>
              <w:spacing w:before="86"/>
              <w:ind w:right="44"/>
              <w:jc w:val="right"/>
              <w:rPr>
                <w:sz w:val="12"/>
              </w:rPr>
            </w:pPr>
            <w:r>
              <w:rPr>
                <w:spacing w:val="-1"/>
                <w:w w:val="105"/>
                <w:sz w:val="12"/>
              </w:rPr>
              <w:t>0,00</w:t>
            </w:r>
          </w:p>
          <w:p>
            <w:pPr>
              <w:pStyle w:val="TableParagraph"/>
              <w:rPr>
                <w:b/>
                <w:sz w:val="12"/>
              </w:rPr>
            </w:pPr>
          </w:p>
          <w:p>
            <w:pPr>
              <w:pStyle w:val="TableParagraph"/>
              <w:spacing w:before="88"/>
              <w:ind w:right="44"/>
              <w:jc w:val="right"/>
              <w:rPr>
                <w:sz w:val="12"/>
              </w:rPr>
            </w:pPr>
            <w:r>
              <w:rPr>
                <w:spacing w:val="-1"/>
                <w:w w:val="105"/>
                <w:sz w:val="12"/>
              </w:rPr>
              <w:t>3.254,58</w:t>
            </w:r>
          </w:p>
          <w:p>
            <w:pPr>
              <w:pStyle w:val="TableParagraph"/>
              <w:spacing w:before="8"/>
              <w:rPr>
                <w:b/>
                <w:sz w:val="12"/>
              </w:rPr>
            </w:pPr>
          </w:p>
          <w:p>
            <w:pPr>
              <w:pStyle w:val="TableParagraph"/>
              <w:spacing w:before="1"/>
              <w:ind w:right="46"/>
              <w:jc w:val="right"/>
              <w:rPr>
                <w:b/>
                <w:sz w:val="12"/>
              </w:rPr>
            </w:pPr>
            <w:r>
              <w:rPr>
                <w:b/>
                <w:spacing w:val="-1"/>
                <w:w w:val="105"/>
                <w:sz w:val="12"/>
              </w:rPr>
              <w:t>0,00</w:t>
            </w:r>
          </w:p>
        </w:tc>
        <w:tc>
          <w:tcPr>
            <w:tcW w:w="608" w:type="dxa"/>
            <w:tcBorders>
              <w:top w:val="single" w:sz="6" w:space="0" w:color="000000"/>
              <w:bottom w:val="single" w:sz="6" w:space="0" w:color="000000"/>
            </w:tcBorders>
          </w:tcPr>
          <w:p>
            <w:pPr>
              <w:pStyle w:val="TableParagraph"/>
              <w:spacing w:before="3"/>
              <w:ind w:left="202"/>
              <w:rPr>
                <w:sz w:val="12"/>
              </w:rPr>
            </w:pPr>
            <w:r>
              <w:rPr>
                <w:w w:val="105"/>
                <w:sz w:val="12"/>
              </w:rPr>
              <w:t>631,13</w:t>
            </w:r>
          </w:p>
          <w:p>
            <w:pPr>
              <w:pStyle w:val="TableParagraph"/>
              <w:spacing w:before="6"/>
              <w:ind w:left="109"/>
              <w:rPr>
                <w:sz w:val="12"/>
              </w:rPr>
            </w:pPr>
            <w:r>
              <w:rPr>
                <w:w w:val="105"/>
                <w:sz w:val="12"/>
              </w:rPr>
              <w:t>1.211,01</w:t>
            </w:r>
          </w:p>
          <w:p>
            <w:pPr>
              <w:pStyle w:val="TableParagraph"/>
              <w:spacing w:before="81"/>
              <w:ind w:right="44"/>
              <w:jc w:val="right"/>
              <w:rPr>
                <w:sz w:val="12"/>
              </w:rPr>
            </w:pPr>
            <w:r>
              <w:rPr>
                <w:spacing w:val="-1"/>
                <w:w w:val="105"/>
                <w:sz w:val="12"/>
              </w:rPr>
              <w:t>0,00</w:t>
            </w:r>
          </w:p>
          <w:p>
            <w:pPr>
              <w:pStyle w:val="TableParagraph"/>
              <w:rPr>
                <w:b/>
                <w:sz w:val="12"/>
              </w:rPr>
            </w:pPr>
          </w:p>
          <w:p>
            <w:pPr>
              <w:pStyle w:val="TableParagraph"/>
              <w:spacing w:before="86"/>
              <w:ind w:right="44"/>
              <w:jc w:val="right"/>
              <w:rPr>
                <w:sz w:val="12"/>
              </w:rPr>
            </w:pPr>
            <w:r>
              <w:rPr>
                <w:spacing w:val="-1"/>
                <w:w w:val="105"/>
                <w:sz w:val="12"/>
              </w:rPr>
              <w:t>0,00</w:t>
            </w:r>
          </w:p>
          <w:p>
            <w:pPr>
              <w:pStyle w:val="TableParagraph"/>
              <w:rPr>
                <w:b/>
                <w:sz w:val="12"/>
              </w:rPr>
            </w:pPr>
          </w:p>
          <w:p>
            <w:pPr>
              <w:pStyle w:val="TableParagraph"/>
              <w:spacing w:before="88"/>
              <w:ind w:right="44"/>
              <w:jc w:val="right"/>
              <w:rPr>
                <w:sz w:val="12"/>
              </w:rPr>
            </w:pPr>
            <w:r>
              <w:rPr>
                <w:sz w:val="12"/>
              </w:rPr>
              <w:t>160,27</w:t>
            </w:r>
          </w:p>
          <w:p>
            <w:pPr>
              <w:pStyle w:val="TableParagraph"/>
              <w:spacing w:before="8"/>
              <w:rPr>
                <w:b/>
                <w:sz w:val="12"/>
              </w:rPr>
            </w:pPr>
          </w:p>
          <w:p>
            <w:pPr>
              <w:pStyle w:val="TableParagraph"/>
              <w:spacing w:before="1"/>
              <w:ind w:right="46"/>
              <w:jc w:val="right"/>
              <w:rPr>
                <w:b/>
                <w:sz w:val="12"/>
              </w:rPr>
            </w:pPr>
            <w:r>
              <w:rPr>
                <w:b/>
                <w:spacing w:val="-1"/>
                <w:w w:val="105"/>
                <w:sz w:val="12"/>
              </w:rPr>
              <w:t>0,00</w:t>
            </w:r>
          </w:p>
        </w:tc>
        <w:tc>
          <w:tcPr>
            <w:tcW w:w="639" w:type="dxa"/>
            <w:tcBorders>
              <w:top w:val="single" w:sz="6" w:space="0" w:color="000000"/>
              <w:bottom w:val="single" w:sz="6" w:space="0" w:color="000000"/>
            </w:tcBorders>
          </w:tcPr>
          <w:p>
            <w:pPr>
              <w:pStyle w:val="TableParagraph"/>
              <w:spacing w:before="3"/>
              <w:ind w:right="47"/>
              <w:jc w:val="right"/>
              <w:rPr>
                <w:sz w:val="12"/>
              </w:rPr>
            </w:pPr>
            <w:r>
              <w:rPr>
                <w:spacing w:val="-1"/>
                <w:w w:val="105"/>
                <w:sz w:val="12"/>
              </w:rPr>
              <w:t>0,00</w:t>
            </w:r>
          </w:p>
          <w:p>
            <w:pPr>
              <w:pStyle w:val="TableParagraph"/>
              <w:spacing w:before="6"/>
              <w:ind w:right="47"/>
              <w:jc w:val="right"/>
              <w:rPr>
                <w:sz w:val="12"/>
              </w:rPr>
            </w:pPr>
            <w:r>
              <w:rPr>
                <w:spacing w:val="-1"/>
                <w:w w:val="105"/>
                <w:sz w:val="12"/>
              </w:rPr>
              <w:t>-111,39</w:t>
            </w:r>
          </w:p>
          <w:p>
            <w:pPr>
              <w:pStyle w:val="TableParagraph"/>
              <w:spacing w:before="81"/>
              <w:ind w:right="47"/>
              <w:jc w:val="right"/>
              <w:rPr>
                <w:sz w:val="12"/>
              </w:rPr>
            </w:pPr>
            <w:r>
              <w:rPr>
                <w:spacing w:val="-1"/>
                <w:w w:val="105"/>
                <w:sz w:val="12"/>
              </w:rPr>
              <w:t>0,00</w:t>
            </w:r>
          </w:p>
          <w:p>
            <w:pPr>
              <w:pStyle w:val="TableParagraph"/>
              <w:rPr>
                <w:b/>
                <w:sz w:val="12"/>
              </w:rPr>
            </w:pPr>
          </w:p>
          <w:p>
            <w:pPr>
              <w:pStyle w:val="TableParagraph"/>
              <w:spacing w:before="86"/>
              <w:ind w:right="47"/>
              <w:jc w:val="right"/>
              <w:rPr>
                <w:sz w:val="12"/>
              </w:rPr>
            </w:pPr>
            <w:r>
              <w:rPr>
                <w:spacing w:val="-1"/>
                <w:w w:val="105"/>
                <w:sz w:val="12"/>
              </w:rPr>
              <w:t>0,00</w:t>
            </w:r>
          </w:p>
          <w:p>
            <w:pPr>
              <w:pStyle w:val="TableParagraph"/>
              <w:rPr>
                <w:b/>
                <w:sz w:val="12"/>
              </w:rPr>
            </w:pPr>
          </w:p>
          <w:p>
            <w:pPr>
              <w:pStyle w:val="TableParagraph"/>
              <w:spacing w:before="88"/>
              <w:ind w:right="47"/>
              <w:jc w:val="right"/>
              <w:rPr>
                <w:sz w:val="12"/>
              </w:rPr>
            </w:pPr>
            <w:r>
              <w:rPr>
                <w:sz w:val="12"/>
              </w:rPr>
              <w:t>149,70</w:t>
            </w:r>
          </w:p>
          <w:p>
            <w:pPr>
              <w:pStyle w:val="TableParagraph"/>
              <w:spacing w:before="8"/>
              <w:rPr>
                <w:b/>
                <w:sz w:val="12"/>
              </w:rPr>
            </w:pPr>
          </w:p>
          <w:p>
            <w:pPr>
              <w:pStyle w:val="TableParagraph"/>
              <w:spacing w:before="1"/>
              <w:ind w:right="47"/>
              <w:jc w:val="right"/>
              <w:rPr>
                <w:b/>
                <w:sz w:val="12"/>
              </w:rPr>
            </w:pPr>
            <w:r>
              <w:rPr>
                <w:b/>
                <w:spacing w:val="-1"/>
                <w:w w:val="105"/>
                <w:sz w:val="12"/>
              </w:rPr>
              <w:t>4.352,70</w:t>
            </w:r>
          </w:p>
        </w:tc>
        <w:tc>
          <w:tcPr>
            <w:tcW w:w="684" w:type="dxa"/>
            <w:tcBorders>
              <w:top w:val="single" w:sz="6" w:space="0" w:color="000000"/>
              <w:bottom w:val="single" w:sz="6" w:space="0" w:color="000000"/>
            </w:tcBorders>
          </w:tcPr>
          <w:p>
            <w:pPr>
              <w:pStyle w:val="TableParagraph"/>
              <w:spacing w:before="3"/>
              <w:ind w:right="48"/>
              <w:jc w:val="right"/>
              <w:rPr>
                <w:sz w:val="12"/>
              </w:rPr>
            </w:pPr>
            <w:r>
              <w:rPr>
                <w:spacing w:val="-1"/>
                <w:w w:val="105"/>
                <w:sz w:val="12"/>
              </w:rPr>
              <w:t>0,00</w:t>
            </w:r>
          </w:p>
          <w:p>
            <w:pPr>
              <w:pStyle w:val="TableParagraph"/>
              <w:spacing w:before="6"/>
              <w:ind w:right="46"/>
              <w:jc w:val="right"/>
              <w:rPr>
                <w:sz w:val="12"/>
              </w:rPr>
            </w:pPr>
            <w:r>
              <w:rPr>
                <w:spacing w:val="-1"/>
                <w:w w:val="105"/>
                <w:sz w:val="12"/>
              </w:rPr>
              <w:t>67.156,56</w:t>
            </w:r>
          </w:p>
          <w:p>
            <w:pPr>
              <w:pStyle w:val="TableParagraph"/>
              <w:spacing w:before="81"/>
              <w:ind w:right="48"/>
              <w:jc w:val="right"/>
              <w:rPr>
                <w:sz w:val="12"/>
              </w:rPr>
            </w:pPr>
            <w:r>
              <w:rPr>
                <w:spacing w:val="-1"/>
                <w:w w:val="105"/>
                <w:sz w:val="12"/>
              </w:rPr>
              <w:t>0,00</w:t>
            </w:r>
          </w:p>
          <w:p>
            <w:pPr>
              <w:pStyle w:val="TableParagraph"/>
              <w:rPr>
                <w:b/>
                <w:sz w:val="12"/>
              </w:rPr>
            </w:pPr>
          </w:p>
          <w:p>
            <w:pPr>
              <w:pStyle w:val="TableParagraph"/>
              <w:spacing w:before="86"/>
              <w:ind w:right="48"/>
              <w:jc w:val="right"/>
              <w:rPr>
                <w:sz w:val="12"/>
              </w:rPr>
            </w:pPr>
            <w:r>
              <w:rPr>
                <w:spacing w:val="-1"/>
                <w:w w:val="105"/>
                <w:sz w:val="12"/>
              </w:rPr>
              <w:t>0,00</w:t>
            </w:r>
          </w:p>
          <w:p>
            <w:pPr>
              <w:pStyle w:val="TableParagraph"/>
              <w:rPr>
                <w:b/>
                <w:sz w:val="12"/>
              </w:rPr>
            </w:pPr>
          </w:p>
          <w:p>
            <w:pPr>
              <w:pStyle w:val="TableParagraph"/>
              <w:spacing w:before="88"/>
              <w:ind w:right="46"/>
              <w:jc w:val="right"/>
              <w:rPr>
                <w:sz w:val="12"/>
              </w:rPr>
            </w:pPr>
            <w:r>
              <w:rPr>
                <w:spacing w:val="-1"/>
                <w:w w:val="105"/>
                <w:sz w:val="12"/>
              </w:rPr>
              <w:t>-28.304,16</w:t>
            </w:r>
          </w:p>
          <w:p>
            <w:pPr>
              <w:pStyle w:val="TableParagraph"/>
              <w:spacing w:before="8"/>
              <w:rPr>
                <w:b/>
                <w:sz w:val="12"/>
              </w:rPr>
            </w:pPr>
          </w:p>
          <w:p>
            <w:pPr>
              <w:pStyle w:val="TableParagraph"/>
              <w:spacing w:before="1"/>
              <w:ind w:right="48"/>
              <w:jc w:val="right"/>
              <w:rPr>
                <w:b/>
                <w:sz w:val="12"/>
              </w:rPr>
            </w:pPr>
            <w:r>
              <w:rPr>
                <w:b/>
                <w:spacing w:val="-1"/>
                <w:w w:val="105"/>
                <w:sz w:val="12"/>
              </w:rPr>
              <w:t>0,00</w:t>
            </w:r>
          </w:p>
        </w:tc>
        <w:tc>
          <w:tcPr>
            <w:tcW w:w="561" w:type="dxa"/>
            <w:tcBorders>
              <w:top w:val="single" w:sz="6" w:space="0" w:color="000000"/>
              <w:bottom w:val="single" w:sz="6" w:space="0" w:color="000000"/>
              <w:right w:val="single" w:sz="6" w:space="0" w:color="000000"/>
            </w:tcBorders>
          </w:tcPr>
          <w:p>
            <w:pPr>
              <w:pStyle w:val="TableParagraph"/>
              <w:spacing w:before="3"/>
              <w:ind w:left="278"/>
              <w:rPr>
                <w:sz w:val="12"/>
              </w:rPr>
            </w:pPr>
            <w:r>
              <w:rPr>
                <w:w w:val="105"/>
                <w:sz w:val="12"/>
              </w:rPr>
              <w:t>0,00</w:t>
            </w:r>
          </w:p>
          <w:p>
            <w:pPr>
              <w:pStyle w:val="TableParagraph"/>
              <w:spacing w:before="6"/>
              <w:ind w:left="278"/>
              <w:rPr>
                <w:sz w:val="12"/>
              </w:rPr>
            </w:pPr>
            <w:r>
              <w:rPr>
                <w:w w:val="105"/>
                <w:sz w:val="12"/>
              </w:rPr>
              <w:t>0,00</w:t>
            </w:r>
          </w:p>
          <w:p>
            <w:pPr>
              <w:pStyle w:val="TableParagraph"/>
              <w:spacing w:before="81"/>
              <w:ind w:left="278"/>
              <w:rPr>
                <w:sz w:val="12"/>
              </w:rPr>
            </w:pPr>
            <w:r>
              <w:rPr>
                <w:w w:val="105"/>
                <w:sz w:val="12"/>
              </w:rPr>
              <w:t>0,00</w:t>
            </w:r>
          </w:p>
          <w:p>
            <w:pPr>
              <w:pStyle w:val="TableParagraph"/>
              <w:rPr>
                <w:b/>
                <w:sz w:val="12"/>
              </w:rPr>
            </w:pPr>
          </w:p>
          <w:p>
            <w:pPr>
              <w:pStyle w:val="TableParagraph"/>
              <w:spacing w:before="86"/>
              <w:ind w:left="278"/>
              <w:rPr>
                <w:sz w:val="12"/>
              </w:rPr>
            </w:pPr>
            <w:r>
              <w:rPr>
                <w:w w:val="105"/>
                <w:sz w:val="12"/>
              </w:rPr>
              <w:t>0,00</w:t>
            </w:r>
          </w:p>
          <w:p>
            <w:pPr>
              <w:pStyle w:val="TableParagraph"/>
              <w:rPr>
                <w:b/>
                <w:sz w:val="12"/>
              </w:rPr>
            </w:pPr>
          </w:p>
          <w:p>
            <w:pPr>
              <w:pStyle w:val="TableParagraph"/>
              <w:spacing w:before="88"/>
              <w:ind w:left="278"/>
              <w:rPr>
                <w:sz w:val="12"/>
              </w:rPr>
            </w:pPr>
            <w:r>
              <w:rPr>
                <w:w w:val="105"/>
                <w:sz w:val="12"/>
              </w:rPr>
              <w:t>0,00</w:t>
            </w:r>
          </w:p>
          <w:p>
            <w:pPr>
              <w:pStyle w:val="TableParagraph"/>
              <w:spacing w:before="8"/>
              <w:rPr>
                <w:b/>
                <w:sz w:val="12"/>
              </w:rPr>
            </w:pPr>
          </w:p>
          <w:p>
            <w:pPr>
              <w:pStyle w:val="TableParagraph"/>
              <w:spacing w:before="1"/>
              <w:ind w:left="277"/>
              <w:rPr>
                <w:b/>
                <w:sz w:val="12"/>
              </w:rPr>
            </w:pPr>
            <w:r>
              <w:rPr>
                <w:b/>
                <w:w w:val="105"/>
                <w:sz w:val="12"/>
              </w:rPr>
              <w:t>0,00</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3"/>
              <w:ind w:left="114"/>
              <w:rPr>
                <w:sz w:val="12"/>
              </w:rPr>
            </w:pPr>
            <w:r>
              <w:rPr>
                <w:w w:val="105"/>
                <w:sz w:val="12"/>
              </w:rPr>
              <w:t>1.531.761,35</w:t>
            </w:r>
          </w:p>
          <w:p>
            <w:pPr>
              <w:pStyle w:val="TableParagraph"/>
              <w:spacing w:before="6"/>
              <w:ind w:left="207"/>
              <w:rPr>
                <w:sz w:val="12"/>
              </w:rPr>
            </w:pPr>
            <w:r>
              <w:rPr>
                <w:w w:val="105"/>
                <w:sz w:val="12"/>
              </w:rPr>
              <w:t>255.447,39</w:t>
            </w:r>
          </w:p>
          <w:p>
            <w:pPr>
              <w:pStyle w:val="TableParagraph"/>
              <w:spacing w:before="81"/>
              <w:ind w:right="47"/>
              <w:jc w:val="right"/>
              <w:rPr>
                <w:sz w:val="12"/>
              </w:rPr>
            </w:pPr>
            <w:r>
              <w:rPr>
                <w:sz w:val="12"/>
              </w:rPr>
              <w:t>278,45</w:t>
            </w:r>
          </w:p>
          <w:p>
            <w:pPr>
              <w:pStyle w:val="TableParagraph"/>
              <w:rPr>
                <w:b/>
                <w:sz w:val="12"/>
              </w:rPr>
            </w:pPr>
          </w:p>
          <w:p>
            <w:pPr>
              <w:pStyle w:val="TableParagraph"/>
              <w:spacing w:before="86"/>
              <w:ind w:right="47"/>
              <w:jc w:val="right"/>
              <w:rPr>
                <w:sz w:val="12"/>
              </w:rPr>
            </w:pPr>
            <w:r>
              <w:rPr>
                <w:spacing w:val="-1"/>
                <w:w w:val="105"/>
                <w:sz w:val="12"/>
              </w:rPr>
              <w:t>262.493,21</w:t>
            </w:r>
          </w:p>
          <w:p>
            <w:pPr>
              <w:pStyle w:val="TableParagraph"/>
              <w:rPr>
                <w:b/>
                <w:sz w:val="12"/>
              </w:rPr>
            </w:pPr>
          </w:p>
          <w:p>
            <w:pPr>
              <w:pStyle w:val="TableParagraph"/>
              <w:spacing w:before="88"/>
              <w:ind w:right="47"/>
              <w:jc w:val="right"/>
              <w:rPr>
                <w:sz w:val="12"/>
              </w:rPr>
            </w:pPr>
            <w:r>
              <w:rPr>
                <w:spacing w:val="-1"/>
                <w:w w:val="105"/>
                <w:sz w:val="12"/>
              </w:rPr>
              <w:t>-80.283,62</w:t>
            </w:r>
          </w:p>
          <w:p>
            <w:pPr>
              <w:pStyle w:val="TableParagraph"/>
              <w:spacing w:before="8"/>
              <w:rPr>
                <w:b/>
                <w:sz w:val="12"/>
              </w:rPr>
            </w:pPr>
          </w:p>
          <w:p>
            <w:pPr>
              <w:pStyle w:val="TableParagraph"/>
              <w:spacing w:before="1"/>
              <w:ind w:right="47"/>
              <w:jc w:val="right"/>
              <w:rPr>
                <w:b/>
                <w:sz w:val="12"/>
              </w:rPr>
            </w:pPr>
            <w:r>
              <w:rPr>
                <w:b/>
                <w:spacing w:val="-1"/>
                <w:w w:val="105"/>
                <w:sz w:val="12"/>
              </w:rPr>
              <w:t>34.334,21</w:t>
            </w:r>
          </w:p>
        </w:tc>
      </w:tr>
      <w:tr>
        <w:trPr>
          <w:trHeight w:val="163" w:hRule="atLeast"/>
        </w:trPr>
        <w:tc>
          <w:tcPr>
            <w:tcW w:w="1369" w:type="dxa"/>
            <w:tcBorders>
              <w:top w:val="single" w:sz="6" w:space="0" w:color="000000"/>
              <w:bottom w:val="nil"/>
            </w:tcBorders>
          </w:tcPr>
          <w:p>
            <w:pPr>
              <w:pStyle w:val="TableParagraph"/>
              <w:spacing w:line="139" w:lineRule="exact" w:before="5"/>
              <w:ind w:left="56"/>
              <w:rPr>
                <w:sz w:val="12"/>
              </w:rPr>
            </w:pPr>
            <w:r>
              <w:rPr>
                <w:w w:val="105"/>
                <w:sz w:val="12"/>
              </w:rPr>
              <w:t>I. Provisiones a L/P</w:t>
            </w:r>
          </w:p>
        </w:tc>
        <w:tc>
          <w:tcPr>
            <w:tcW w:w="636" w:type="dxa"/>
            <w:tcBorders>
              <w:top w:val="single" w:sz="6" w:space="0" w:color="000000"/>
              <w:bottom w:val="nil"/>
            </w:tcBorders>
          </w:tcPr>
          <w:p>
            <w:pPr>
              <w:pStyle w:val="TableParagraph"/>
              <w:spacing w:line="139" w:lineRule="exact" w:before="5"/>
              <w:ind w:right="37"/>
              <w:jc w:val="right"/>
              <w:rPr>
                <w:sz w:val="12"/>
              </w:rPr>
            </w:pPr>
            <w:r>
              <w:rPr>
                <w:sz w:val="12"/>
              </w:rPr>
              <w:t>0,00</w:t>
            </w:r>
          </w:p>
        </w:tc>
        <w:tc>
          <w:tcPr>
            <w:tcW w:w="638" w:type="dxa"/>
            <w:tcBorders>
              <w:top w:val="single" w:sz="6" w:space="0" w:color="000000"/>
              <w:bottom w:val="nil"/>
            </w:tcBorders>
          </w:tcPr>
          <w:p>
            <w:pPr>
              <w:pStyle w:val="TableParagraph"/>
              <w:spacing w:line="139" w:lineRule="exact" w:before="5"/>
              <w:ind w:right="39"/>
              <w:jc w:val="right"/>
              <w:rPr>
                <w:sz w:val="12"/>
              </w:rPr>
            </w:pPr>
            <w:r>
              <w:rPr>
                <w:sz w:val="12"/>
              </w:rPr>
              <w:t>0,00</w:t>
            </w:r>
          </w:p>
        </w:tc>
        <w:tc>
          <w:tcPr>
            <w:tcW w:w="731" w:type="dxa"/>
            <w:tcBorders>
              <w:top w:val="single" w:sz="6" w:space="0" w:color="000000"/>
              <w:bottom w:val="nil"/>
            </w:tcBorders>
          </w:tcPr>
          <w:p>
            <w:pPr>
              <w:pStyle w:val="TableParagraph"/>
              <w:spacing w:line="139" w:lineRule="exact" w:before="5"/>
              <w:ind w:right="39"/>
              <w:jc w:val="right"/>
              <w:rPr>
                <w:sz w:val="12"/>
              </w:rPr>
            </w:pPr>
            <w:r>
              <w:rPr>
                <w:w w:val="105"/>
                <w:sz w:val="12"/>
              </w:rPr>
              <w:t>12.362,28</w:t>
            </w:r>
          </w:p>
        </w:tc>
        <w:tc>
          <w:tcPr>
            <w:tcW w:w="357" w:type="dxa"/>
            <w:tcBorders>
              <w:top w:val="single" w:sz="6" w:space="0" w:color="000000"/>
              <w:bottom w:val="nil"/>
            </w:tcBorders>
          </w:tcPr>
          <w:p>
            <w:pPr>
              <w:pStyle w:val="TableParagraph"/>
              <w:spacing w:line="139" w:lineRule="exact" w:before="5"/>
              <w:ind w:left="84"/>
              <w:rPr>
                <w:sz w:val="12"/>
              </w:rPr>
            </w:pPr>
            <w:r>
              <w:rPr>
                <w:w w:val="105"/>
                <w:sz w:val="12"/>
              </w:rPr>
              <w:t>0,00</w:t>
            </w:r>
          </w:p>
        </w:tc>
        <w:tc>
          <w:tcPr>
            <w:tcW w:w="685" w:type="dxa"/>
            <w:tcBorders>
              <w:top w:val="single" w:sz="6" w:space="0" w:color="000000"/>
              <w:bottom w:val="nil"/>
            </w:tcBorders>
          </w:tcPr>
          <w:p>
            <w:pPr>
              <w:pStyle w:val="TableParagraph"/>
              <w:spacing w:line="139" w:lineRule="exact" w:before="5"/>
              <w:ind w:right="40"/>
              <w:jc w:val="right"/>
              <w:rPr>
                <w:sz w:val="12"/>
              </w:rPr>
            </w:pPr>
            <w:r>
              <w:rPr>
                <w:sz w:val="12"/>
              </w:rPr>
              <w:t>377,60</w:t>
            </w:r>
          </w:p>
        </w:tc>
        <w:tc>
          <w:tcPr>
            <w:tcW w:w="638" w:type="dxa"/>
            <w:tcBorders>
              <w:top w:val="single" w:sz="6" w:space="0" w:color="000000"/>
              <w:bottom w:val="nil"/>
            </w:tcBorders>
          </w:tcPr>
          <w:p>
            <w:pPr>
              <w:pStyle w:val="TableParagraph"/>
              <w:spacing w:line="139" w:lineRule="exact" w:before="5"/>
              <w:ind w:right="40"/>
              <w:jc w:val="right"/>
              <w:rPr>
                <w:sz w:val="12"/>
              </w:rPr>
            </w:pPr>
            <w:r>
              <w:rPr>
                <w:sz w:val="12"/>
              </w:rPr>
              <w:t>0,00</w:t>
            </w:r>
          </w:p>
        </w:tc>
        <w:tc>
          <w:tcPr>
            <w:tcW w:w="823" w:type="dxa"/>
            <w:tcBorders>
              <w:top w:val="single" w:sz="6" w:space="0" w:color="000000"/>
              <w:bottom w:val="nil"/>
            </w:tcBorders>
          </w:tcPr>
          <w:p>
            <w:pPr>
              <w:pStyle w:val="TableParagraph"/>
              <w:spacing w:line="139" w:lineRule="exact" w:before="5"/>
              <w:ind w:right="39"/>
              <w:jc w:val="right"/>
              <w:rPr>
                <w:sz w:val="12"/>
              </w:rPr>
            </w:pPr>
            <w:r>
              <w:rPr>
                <w:w w:val="105"/>
                <w:sz w:val="12"/>
              </w:rPr>
              <w:t>2.736,85</w:t>
            </w:r>
          </w:p>
        </w:tc>
        <w:tc>
          <w:tcPr>
            <w:tcW w:w="592" w:type="dxa"/>
            <w:tcBorders>
              <w:top w:val="single" w:sz="6" w:space="0" w:color="000000"/>
              <w:bottom w:val="nil"/>
            </w:tcBorders>
          </w:tcPr>
          <w:p>
            <w:pPr>
              <w:pStyle w:val="TableParagraph"/>
              <w:spacing w:line="139" w:lineRule="exact" w:before="5"/>
              <w:ind w:right="42"/>
              <w:jc w:val="right"/>
              <w:rPr>
                <w:sz w:val="12"/>
              </w:rPr>
            </w:pPr>
            <w:r>
              <w:rPr>
                <w:sz w:val="12"/>
              </w:rPr>
              <w:t>0,00</w:t>
            </w:r>
          </w:p>
        </w:tc>
        <w:tc>
          <w:tcPr>
            <w:tcW w:w="732" w:type="dxa"/>
            <w:tcBorders>
              <w:top w:val="single" w:sz="6" w:space="0" w:color="000000"/>
              <w:bottom w:val="nil"/>
            </w:tcBorders>
          </w:tcPr>
          <w:p>
            <w:pPr>
              <w:pStyle w:val="TableParagraph"/>
              <w:spacing w:line="139" w:lineRule="exact" w:before="5"/>
              <w:ind w:right="42"/>
              <w:jc w:val="right"/>
              <w:rPr>
                <w:sz w:val="12"/>
              </w:rPr>
            </w:pPr>
            <w:r>
              <w:rPr>
                <w:sz w:val="12"/>
              </w:rPr>
              <w:t>0,00</w:t>
            </w:r>
          </w:p>
        </w:tc>
        <w:tc>
          <w:tcPr>
            <w:tcW w:w="637" w:type="dxa"/>
            <w:tcBorders>
              <w:top w:val="single" w:sz="6" w:space="0" w:color="000000"/>
              <w:bottom w:val="nil"/>
            </w:tcBorders>
          </w:tcPr>
          <w:p>
            <w:pPr>
              <w:pStyle w:val="TableParagraph"/>
              <w:spacing w:line="139" w:lineRule="exact" w:before="5"/>
              <w:ind w:right="41"/>
              <w:jc w:val="right"/>
              <w:rPr>
                <w:sz w:val="12"/>
              </w:rPr>
            </w:pPr>
            <w:r>
              <w:rPr>
                <w:sz w:val="12"/>
              </w:rPr>
              <w:t>0,00</w:t>
            </w:r>
          </w:p>
        </w:tc>
        <w:tc>
          <w:tcPr>
            <w:tcW w:w="639" w:type="dxa"/>
            <w:tcBorders>
              <w:top w:val="single" w:sz="6" w:space="0" w:color="000000"/>
              <w:bottom w:val="nil"/>
            </w:tcBorders>
          </w:tcPr>
          <w:p>
            <w:pPr>
              <w:pStyle w:val="TableParagraph"/>
              <w:spacing w:line="139" w:lineRule="exact" w:before="5"/>
              <w:ind w:right="44"/>
              <w:jc w:val="right"/>
              <w:rPr>
                <w:sz w:val="12"/>
              </w:rPr>
            </w:pPr>
            <w:r>
              <w:rPr>
                <w:sz w:val="12"/>
              </w:rPr>
              <w:t>0,00</w:t>
            </w:r>
          </w:p>
        </w:tc>
        <w:tc>
          <w:tcPr>
            <w:tcW w:w="608" w:type="dxa"/>
            <w:tcBorders>
              <w:top w:val="single" w:sz="6" w:space="0" w:color="000000"/>
              <w:bottom w:val="nil"/>
            </w:tcBorders>
          </w:tcPr>
          <w:p>
            <w:pPr>
              <w:pStyle w:val="TableParagraph"/>
              <w:spacing w:line="139" w:lineRule="exact" w:before="5"/>
              <w:ind w:right="44"/>
              <w:jc w:val="right"/>
              <w:rPr>
                <w:sz w:val="12"/>
              </w:rPr>
            </w:pPr>
            <w:r>
              <w:rPr>
                <w:sz w:val="12"/>
              </w:rPr>
              <w:t>0,00</w:t>
            </w:r>
          </w:p>
        </w:tc>
        <w:tc>
          <w:tcPr>
            <w:tcW w:w="639" w:type="dxa"/>
            <w:tcBorders>
              <w:top w:val="single" w:sz="6" w:space="0" w:color="000000"/>
              <w:bottom w:val="nil"/>
            </w:tcBorders>
          </w:tcPr>
          <w:p>
            <w:pPr>
              <w:pStyle w:val="TableParagraph"/>
              <w:spacing w:line="139" w:lineRule="exact" w:before="5"/>
              <w:ind w:right="47"/>
              <w:jc w:val="right"/>
              <w:rPr>
                <w:sz w:val="12"/>
              </w:rPr>
            </w:pPr>
            <w:r>
              <w:rPr>
                <w:w w:val="105"/>
                <w:sz w:val="12"/>
              </w:rPr>
              <w:t>4.352,70</w:t>
            </w:r>
          </w:p>
        </w:tc>
        <w:tc>
          <w:tcPr>
            <w:tcW w:w="684" w:type="dxa"/>
            <w:tcBorders>
              <w:top w:val="single" w:sz="6" w:space="0" w:color="000000"/>
              <w:bottom w:val="nil"/>
            </w:tcBorders>
          </w:tcPr>
          <w:p>
            <w:pPr>
              <w:pStyle w:val="TableParagraph"/>
              <w:spacing w:line="139" w:lineRule="exact" w:before="5"/>
              <w:ind w:right="48"/>
              <w:jc w:val="right"/>
              <w:rPr>
                <w:sz w:val="12"/>
              </w:rPr>
            </w:pPr>
            <w:r>
              <w:rPr>
                <w:sz w:val="12"/>
              </w:rPr>
              <w:t>0,00</w:t>
            </w:r>
          </w:p>
        </w:tc>
        <w:tc>
          <w:tcPr>
            <w:tcW w:w="561" w:type="dxa"/>
            <w:tcBorders>
              <w:top w:val="single" w:sz="6" w:space="0" w:color="000000"/>
              <w:bottom w:val="nil"/>
              <w:right w:val="single" w:sz="6" w:space="0" w:color="000000"/>
            </w:tcBorders>
          </w:tcPr>
          <w:p>
            <w:pPr>
              <w:pStyle w:val="TableParagraph"/>
              <w:spacing w:line="139" w:lineRule="exact" w:before="5"/>
              <w:ind w:right="45"/>
              <w:jc w:val="right"/>
              <w:rPr>
                <w:sz w:val="12"/>
              </w:rPr>
            </w:pPr>
            <w:r>
              <w:rPr>
                <w:sz w:val="12"/>
              </w:rPr>
              <w:t>0,00</w:t>
            </w:r>
          </w:p>
        </w:tc>
        <w:tc>
          <w:tcPr>
            <w:tcW w:w="841" w:type="dxa"/>
            <w:tcBorders>
              <w:top w:val="single" w:sz="6" w:space="0" w:color="000000"/>
              <w:left w:val="single" w:sz="6" w:space="0" w:color="000000"/>
              <w:bottom w:val="nil"/>
              <w:right w:val="single" w:sz="6" w:space="0" w:color="000000"/>
            </w:tcBorders>
          </w:tcPr>
          <w:p>
            <w:pPr>
              <w:pStyle w:val="TableParagraph"/>
              <w:spacing w:line="139" w:lineRule="exact" w:before="5"/>
              <w:ind w:right="47"/>
              <w:jc w:val="right"/>
              <w:rPr>
                <w:sz w:val="12"/>
              </w:rPr>
            </w:pPr>
            <w:r>
              <w:rPr>
                <w:w w:val="105"/>
                <w:sz w:val="12"/>
              </w:rPr>
              <w:t>19.829,42</w:t>
            </w:r>
          </w:p>
        </w:tc>
      </w:tr>
      <w:tr>
        <w:trPr>
          <w:trHeight w:val="142" w:hRule="atLeast"/>
        </w:trPr>
        <w:tc>
          <w:tcPr>
            <w:tcW w:w="1369" w:type="dxa"/>
            <w:tcBorders>
              <w:top w:val="nil"/>
              <w:bottom w:val="single" w:sz="6" w:space="0" w:color="000000"/>
            </w:tcBorders>
          </w:tcPr>
          <w:p>
            <w:pPr>
              <w:pStyle w:val="TableParagraph"/>
              <w:spacing w:line="122" w:lineRule="exact"/>
              <w:ind w:left="56"/>
              <w:rPr>
                <w:sz w:val="12"/>
              </w:rPr>
            </w:pPr>
            <w:r>
              <w:rPr>
                <w:w w:val="105"/>
                <w:sz w:val="12"/>
              </w:rPr>
              <w:t>II. Deudas a L/P</w:t>
            </w:r>
          </w:p>
        </w:tc>
        <w:tc>
          <w:tcPr>
            <w:tcW w:w="636" w:type="dxa"/>
            <w:tcBorders>
              <w:top w:val="nil"/>
              <w:bottom w:val="single" w:sz="6" w:space="0" w:color="000000"/>
            </w:tcBorders>
          </w:tcPr>
          <w:p>
            <w:pPr>
              <w:pStyle w:val="TableParagraph"/>
              <w:spacing w:line="122" w:lineRule="exact"/>
              <w:ind w:right="37"/>
              <w:jc w:val="right"/>
              <w:rPr>
                <w:sz w:val="12"/>
              </w:rPr>
            </w:pPr>
            <w:r>
              <w:rPr>
                <w:sz w:val="12"/>
              </w:rPr>
              <w:t>0,00</w:t>
            </w:r>
          </w:p>
        </w:tc>
        <w:tc>
          <w:tcPr>
            <w:tcW w:w="638" w:type="dxa"/>
            <w:tcBorders>
              <w:top w:val="nil"/>
              <w:bottom w:val="single" w:sz="6" w:space="0" w:color="000000"/>
            </w:tcBorders>
          </w:tcPr>
          <w:p>
            <w:pPr>
              <w:pStyle w:val="TableParagraph"/>
              <w:spacing w:line="122" w:lineRule="exact"/>
              <w:ind w:right="39"/>
              <w:jc w:val="right"/>
              <w:rPr>
                <w:sz w:val="12"/>
              </w:rPr>
            </w:pPr>
            <w:r>
              <w:rPr>
                <w:sz w:val="12"/>
              </w:rPr>
              <w:t>0,00</w:t>
            </w:r>
          </w:p>
        </w:tc>
        <w:tc>
          <w:tcPr>
            <w:tcW w:w="731" w:type="dxa"/>
            <w:tcBorders>
              <w:top w:val="nil"/>
              <w:bottom w:val="single" w:sz="6" w:space="0" w:color="000000"/>
            </w:tcBorders>
          </w:tcPr>
          <w:p>
            <w:pPr>
              <w:pStyle w:val="TableParagraph"/>
              <w:spacing w:line="122" w:lineRule="exact"/>
              <w:ind w:right="39"/>
              <w:jc w:val="right"/>
              <w:rPr>
                <w:sz w:val="12"/>
              </w:rPr>
            </w:pPr>
            <w:r>
              <w:rPr>
                <w:sz w:val="12"/>
              </w:rPr>
              <w:t>0,00</w:t>
            </w:r>
          </w:p>
        </w:tc>
        <w:tc>
          <w:tcPr>
            <w:tcW w:w="357" w:type="dxa"/>
            <w:tcBorders>
              <w:top w:val="nil"/>
              <w:bottom w:val="single" w:sz="6" w:space="0" w:color="000000"/>
            </w:tcBorders>
          </w:tcPr>
          <w:p>
            <w:pPr>
              <w:pStyle w:val="TableParagraph"/>
              <w:spacing w:line="122" w:lineRule="exact"/>
              <w:ind w:left="84"/>
              <w:rPr>
                <w:sz w:val="12"/>
              </w:rPr>
            </w:pPr>
            <w:r>
              <w:rPr>
                <w:w w:val="105"/>
                <w:sz w:val="12"/>
              </w:rPr>
              <w:t>0,00</w:t>
            </w:r>
          </w:p>
        </w:tc>
        <w:tc>
          <w:tcPr>
            <w:tcW w:w="685" w:type="dxa"/>
            <w:tcBorders>
              <w:top w:val="nil"/>
              <w:bottom w:val="single" w:sz="6" w:space="0" w:color="000000"/>
            </w:tcBorders>
          </w:tcPr>
          <w:p>
            <w:pPr>
              <w:pStyle w:val="TableParagraph"/>
              <w:spacing w:line="122" w:lineRule="exact"/>
              <w:ind w:right="40"/>
              <w:jc w:val="right"/>
              <w:rPr>
                <w:sz w:val="12"/>
              </w:rPr>
            </w:pPr>
            <w:r>
              <w:rPr>
                <w:sz w:val="12"/>
              </w:rPr>
              <w:t>0,00</w:t>
            </w:r>
          </w:p>
        </w:tc>
        <w:tc>
          <w:tcPr>
            <w:tcW w:w="638" w:type="dxa"/>
            <w:tcBorders>
              <w:top w:val="nil"/>
              <w:bottom w:val="single" w:sz="6" w:space="0" w:color="000000"/>
            </w:tcBorders>
          </w:tcPr>
          <w:p>
            <w:pPr>
              <w:pStyle w:val="TableParagraph"/>
              <w:spacing w:line="122" w:lineRule="exact"/>
              <w:ind w:right="40"/>
              <w:jc w:val="right"/>
              <w:rPr>
                <w:sz w:val="12"/>
              </w:rPr>
            </w:pPr>
            <w:r>
              <w:rPr>
                <w:sz w:val="12"/>
              </w:rPr>
              <w:t>0,00</w:t>
            </w:r>
          </w:p>
        </w:tc>
        <w:tc>
          <w:tcPr>
            <w:tcW w:w="823" w:type="dxa"/>
            <w:tcBorders>
              <w:top w:val="nil"/>
              <w:bottom w:val="single" w:sz="6" w:space="0" w:color="000000"/>
            </w:tcBorders>
          </w:tcPr>
          <w:p>
            <w:pPr>
              <w:pStyle w:val="TableParagraph"/>
              <w:spacing w:line="122" w:lineRule="exact"/>
              <w:ind w:right="39"/>
              <w:jc w:val="right"/>
              <w:rPr>
                <w:sz w:val="12"/>
              </w:rPr>
            </w:pPr>
            <w:r>
              <w:rPr>
                <w:w w:val="105"/>
                <w:sz w:val="12"/>
              </w:rPr>
              <w:t>14.519,78</w:t>
            </w:r>
          </w:p>
        </w:tc>
        <w:tc>
          <w:tcPr>
            <w:tcW w:w="592" w:type="dxa"/>
            <w:tcBorders>
              <w:top w:val="nil"/>
              <w:bottom w:val="single" w:sz="6" w:space="0" w:color="000000"/>
            </w:tcBorders>
          </w:tcPr>
          <w:p>
            <w:pPr>
              <w:pStyle w:val="TableParagraph"/>
              <w:spacing w:line="122" w:lineRule="exact"/>
              <w:ind w:right="42"/>
              <w:jc w:val="right"/>
              <w:rPr>
                <w:sz w:val="12"/>
              </w:rPr>
            </w:pPr>
            <w:r>
              <w:rPr>
                <w:sz w:val="12"/>
              </w:rPr>
              <w:t>0,00</w:t>
            </w:r>
          </w:p>
        </w:tc>
        <w:tc>
          <w:tcPr>
            <w:tcW w:w="732" w:type="dxa"/>
            <w:tcBorders>
              <w:top w:val="nil"/>
              <w:bottom w:val="single" w:sz="6" w:space="0" w:color="000000"/>
            </w:tcBorders>
          </w:tcPr>
          <w:p>
            <w:pPr>
              <w:pStyle w:val="TableParagraph"/>
              <w:spacing w:line="122" w:lineRule="exact"/>
              <w:ind w:right="42"/>
              <w:jc w:val="right"/>
              <w:rPr>
                <w:sz w:val="12"/>
              </w:rPr>
            </w:pPr>
            <w:r>
              <w:rPr>
                <w:w w:val="105"/>
                <w:sz w:val="12"/>
              </w:rPr>
              <w:t>-14,98</w:t>
            </w:r>
          </w:p>
        </w:tc>
        <w:tc>
          <w:tcPr>
            <w:tcW w:w="637" w:type="dxa"/>
            <w:tcBorders>
              <w:top w:val="nil"/>
              <w:bottom w:val="single" w:sz="6" w:space="0" w:color="000000"/>
            </w:tcBorders>
          </w:tcPr>
          <w:p>
            <w:pPr>
              <w:pStyle w:val="TableParagraph"/>
              <w:spacing w:line="122" w:lineRule="exact"/>
              <w:ind w:right="41"/>
              <w:jc w:val="right"/>
              <w:rPr>
                <w:sz w:val="12"/>
              </w:rPr>
            </w:pPr>
            <w:r>
              <w:rPr>
                <w:sz w:val="12"/>
              </w:rPr>
              <w:t>0,00</w:t>
            </w:r>
          </w:p>
        </w:tc>
        <w:tc>
          <w:tcPr>
            <w:tcW w:w="639" w:type="dxa"/>
            <w:tcBorders>
              <w:top w:val="nil"/>
              <w:bottom w:val="single" w:sz="6" w:space="0" w:color="000000"/>
            </w:tcBorders>
          </w:tcPr>
          <w:p>
            <w:pPr>
              <w:pStyle w:val="TableParagraph"/>
              <w:spacing w:line="122" w:lineRule="exact"/>
              <w:ind w:right="44"/>
              <w:jc w:val="right"/>
              <w:rPr>
                <w:sz w:val="12"/>
              </w:rPr>
            </w:pPr>
            <w:r>
              <w:rPr>
                <w:sz w:val="12"/>
              </w:rPr>
              <w:t>0,00</w:t>
            </w:r>
          </w:p>
        </w:tc>
        <w:tc>
          <w:tcPr>
            <w:tcW w:w="608" w:type="dxa"/>
            <w:tcBorders>
              <w:top w:val="nil"/>
              <w:bottom w:val="single" w:sz="6" w:space="0" w:color="000000"/>
            </w:tcBorders>
          </w:tcPr>
          <w:p>
            <w:pPr>
              <w:pStyle w:val="TableParagraph"/>
              <w:spacing w:line="122" w:lineRule="exact"/>
              <w:ind w:right="44"/>
              <w:jc w:val="right"/>
              <w:rPr>
                <w:sz w:val="12"/>
              </w:rPr>
            </w:pPr>
            <w:r>
              <w:rPr>
                <w:sz w:val="12"/>
              </w:rPr>
              <w:t>0,00</w:t>
            </w:r>
          </w:p>
        </w:tc>
        <w:tc>
          <w:tcPr>
            <w:tcW w:w="639" w:type="dxa"/>
            <w:tcBorders>
              <w:top w:val="nil"/>
              <w:bottom w:val="single" w:sz="6" w:space="0" w:color="000000"/>
            </w:tcBorders>
          </w:tcPr>
          <w:p>
            <w:pPr>
              <w:pStyle w:val="TableParagraph"/>
              <w:spacing w:line="122" w:lineRule="exact"/>
              <w:ind w:right="47"/>
              <w:jc w:val="right"/>
              <w:rPr>
                <w:sz w:val="12"/>
              </w:rPr>
            </w:pPr>
            <w:r>
              <w:rPr>
                <w:sz w:val="12"/>
              </w:rPr>
              <w:t>0,00</w:t>
            </w:r>
          </w:p>
        </w:tc>
        <w:tc>
          <w:tcPr>
            <w:tcW w:w="684" w:type="dxa"/>
            <w:tcBorders>
              <w:top w:val="nil"/>
              <w:bottom w:val="single" w:sz="6" w:space="0" w:color="000000"/>
            </w:tcBorders>
          </w:tcPr>
          <w:p>
            <w:pPr>
              <w:pStyle w:val="TableParagraph"/>
              <w:spacing w:line="122" w:lineRule="exact"/>
              <w:ind w:right="48"/>
              <w:jc w:val="right"/>
              <w:rPr>
                <w:sz w:val="12"/>
              </w:rPr>
            </w:pPr>
            <w:r>
              <w:rPr>
                <w:sz w:val="12"/>
              </w:rPr>
              <w:t>0,00</w:t>
            </w:r>
          </w:p>
        </w:tc>
        <w:tc>
          <w:tcPr>
            <w:tcW w:w="561" w:type="dxa"/>
            <w:tcBorders>
              <w:top w:val="nil"/>
              <w:bottom w:val="single" w:sz="6" w:space="0" w:color="000000"/>
              <w:right w:val="single" w:sz="6" w:space="0" w:color="000000"/>
            </w:tcBorders>
          </w:tcPr>
          <w:p>
            <w:pPr>
              <w:pStyle w:val="TableParagraph"/>
              <w:spacing w:line="122" w:lineRule="exact"/>
              <w:ind w:right="45"/>
              <w:jc w:val="right"/>
              <w:rPr>
                <w:sz w:val="12"/>
              </w:rPr>
            </w:pPr>
            <w:r>
              <w:rPr>
                <w:sz w:val="12"/>
              </w:rPr>
              <w:t>0,00</w:t>
            </w:r>
          </w:p>
        </w:tc>
        <w:tc>
          <w:tcPr>
            <w:tcW w:w="841" w:type="dxa"/>
            <w:tcBorders>
              <w:top w:val="nil"/>
              <w:left w:val="single" w:sz="6" w:space="0" w:color="000000"/>
              <w:bottom w:val="single" w:sz="6" w:space="0" w:color="000000"/>
              <w:right w:val="single" w:sz="6" w:space="0" w:color="000000"/>
            </w:tcBorders>
          </w:tcPr>
          <w:p>
            <w:pPr>
              <w:pStyle w:val="TableParagraph"/>
              <w:spacing w:line="122" w:lineRule="exact"/>
              <w:ind w:right="47"/>
              <w:jc w:val="right"/>
              <w:rPr>
                <w:sz w:val="12"/>
              </w:rPr>
            </w:pPr>
            <w:r>
              <w:rPr>
                <w:w w:val="105"/>
                <w:sz w:val="12"/>
              </w:rPr>
              <w:t>14.504,80</w:t>
            </w:r>
          </w:p>
        </w:tc>
      </w:tr>
      <w:tr>
        <w:trPr>
          <w:trHeight w:val="151" w:hRule="atLeast"/>
        </w:trPr>
        <w:tc>
          <w:tcPr>
            <w:tcW w:w="1369" w:type="dxa"/>
            <w:tcBorders>
              <w:top w:val="single" w:sz="6" w:space="0" w:color="000000"/>
              <w:bottom w:val="single" w:sz="6" w:space="0" w:color="000000"/>
            </w:tcBorders>
          </w:tcPr>
          <w:p>
            <w:pPr>
              <w:pStyle w:val="TableParagraph"/>
              <w:spacing w:line="128" w:lineRule="exact" w:before="3"/>
              <w:ind w:left="56"/>
              <w:rPr>
                <w:b/>
                <w:sz w:val="12"/>
              </w:rPr>
            </w:pPr>
            <w:r>
              <w:rPr>
                <w:b/>
                <w:w w:val="105"/>
                <w:sz w:val="12"/>
              </w:rPr>
              <w:t>C) PASIVO CORRIENTE</w:t>
            </w:r>
          </w:p>
        </w:tc>
        <w:tc>
          <w:tcPr>
            <w:tcW w:w="636" w:type="dxa"/>
            <w:tcBorders>
              <w:top w:val="single" w:sz="6" w:space="0" w:color="000000"/>
              <w:bottom w:val="single" w:sz="6" w:space="0" w:color="000000"/>
            </w:tcBorders>
          </w:tcPr>
          <w:p>
            <w:pPr>
              <w:pStyle w:val="TableParagraph"/>
              <w:spacing w:line="128" w:lineRule="exact" w:before="3"/>
              <w:ind w:right="37"/>
              <w:jc w:val="right"/>
              <w:rPr>
                <w:b/>
                <w:sz w:val="12"/>
              </w:rPr>
            </w:pPr>
            <w:r>
              <w:rPr>
                <w:b/>
                <w:sz w:val="12"/>
              </w:rPr>
              <w:t>214,34</w:t>
            </w:r>
          </w:p>
        </w:tc>
        <w:tc>
          <w:tcPr>
            <w:tcW w:w="638" w:type="dxa"/>
            <w:tcBorders>
              <w:top w:val="single" w:sz="6" w:space="0" w:color="000000"/>
              <w:bottom w:val="single" w:sz="6" w:space="0" w:color="000000"/>
            </w:tcBorders>
          </w:tcPr>
          <w:p>
            <w:pPr>
              <w:pStyle w:val="TableParagraph"/>
              <w:spacing w:line="128" w:lineRule="exact" w:before="3"/>
              <w:ind w:left="140"/>
              <w:rPr>
                <w:b/>
                <w:sz w:val="12"/>
              </w:rPr>
            </w:pPr>
            <w:r>
              <w:rPr>
                <w:b/>
                <w:w w:val="105"/>
                <w:sz w:val="12"/>
              </w:rPr>
              <w:t>1.205,94</w:t>
            </w:r>
          </w:p>
        </w:tc>
        <w:tc>
          <w:tcPr>
            <w:tcW w:w="731" w:type="dxa"/>
            <w:tcBorders>
              <w:top w:val="single" w:sz="6" w:space="0" w:color="000000"/>
              <w:bottom w:val="single" w:sz="6" w:space="0" w:color="000000"/>
            </w:tcBorders>
          </w:tcPr>
          <w:p>
            <w:pPr>
              <w:pStyle w:val="TableParagraph"/>
              <w:spacing w:line="128" w:lineRule="exact" w:before="3"/>
              <w:ind w:right="39"/>
              <w:jc w:val="right"/>
              <w:rPr>
                <w:b/>
                <w:sz w:val="12"/>
              </w:rPr>
            </w:pPr>
            <w:r>
              <w:rPr>
                <w:b/>
                <w:w w:val="105"/>
                <w:sz w:val="12"/>
              </w:rPr>
              <w:t>154.462,65</w:t>
            </w:r>
          </w:p>
        </w:tc>
        <w:tc>
          <w:tcPr>
            <w:tcW w:w="357" w:type="dxa"/>
            <w:tcBorders>
              <w:top w:val="single" w:sz="6" w:space="0" w:color="000000"/>
              <w:bottom w:val="single" w:sz="6" w:space="0" w:color="000000"/>
            </w:tcBorders>
          </w:tcPr>
          <w:p>
            <w:pPr>
              <w:pStyle w:val="TableParagraph"/>
              <w:spacing w:line="128" w:lineRule="exact" w:before="3"/>
              <w:ind w:left="82"/>
              <w:rPr>
                <w:b/>
                <w:sz w:val="12"/>
              </w:rPr>
            </w:pPr>
            <w:r>
              <w:rPr>
                <w:b/>
                <w:w w:val="105"/>
                <w:sz w:val="12"/>
              </w:rPr>
              <w:t>0,00</w:t>
            </w:r>
          </w:p>
        </w:tc>
        <w:tc>
          <w:tcPr>
            <w:tcW w:w="685" w:type="dxa"/>
            <w:tcBorders>
              <w:top w:val="single" w:sz="6" w:space="0" w:color="000000"/>
              <w:bottom w:val="single" w:sz="6" w:space="0" w:color="000000"/>
            </w:tcBorders>
          </w:tcPr>
          <w:p>
            <w:pPr>
              <w:pStyle w:val="TableParagraph"/>
              <w:spacing w:line="128" w:lineRule="exact" w:before="3"/>
              <w:ind w:right="40"/>
              <w:jc w:val="right"/>
              <w:rPr>
                <w:b/>
                <w:sz w:val="12"/>
              </w:rPr>
            </w:pPr>
            <w:r>
              <w:rPr>
                <w:b/>
                <w:w w:val="105"/>
                <w:sz w:val="12"/>
              </w:rPr>
              <w:t>1.156,46</w:t>
            </w:r>
          </w:p>
        </w:tc>
        <w:tc>
          <w:tcPr>
            <w:tcW w:w="638" w:type="dxa"/>
            <w:tcBorders>
              <w:top w:val="single" w:sz="6" w:space="0" w:color="000000"/>
              <w:bottom w:val="single" w:sz="6" w:space="0" w:color="000000"/>
            </w:tcBorders>
          </w:tcPr>
          <w:p>
            <w:pPr>
              <w:pStyle w:val="TableParagraph"/>
              <w:spacing w:line="128" w:lineRule="exact" w:before="3"/>
              <w:ind w:right="40"/>
              <w:jc w:val="right"/>
              <w:rPr>
                <w:b/>
                <w:sz w:val="12"/>
              </w:rPr>
            </w:pPr>
            <w:r>
              <w:rPr>
                <w:b/>
                <w:w w:val="105"/>
                <w:sz w:val="12"/>
              </w:rPr>
              <w:t>7.382,53</w:t>
            </w:r>
          </w:p>
        </w:tc>
        <w:tc>
          <w:tcPr>
            <w:tcW w:w="823" w:type="dxa"/>
            <w:tcBorders>
              <w:top w:val="single" w:sz="6" w:space="0" w:color="000000"/>
              <w:bottom w:val="single" w:sz="6" w:space="0" w:color="000000"/>
            </w:tcBorders>
          </w:tcPr>
          <w:p>
            <w:pPr>
              <w:pStyle w:val="TableParagraph"/>
              <w:spacing w:line="128" w:lineRule="exact" w:before="3"/>
              <w:ind w:right="39"/>
              <w:jc w:val="right"/>
              <w:rPr>
                <w:b/>
                <w:sz w:val="12"/>
              </w:rPr>
            </w:pPr>
            <w:r>
              <w:rPr>
                <w:b/>
                <w:w w:val="105"/>
                <w:sz w:val="12"/>
              </w:rPr>
              <w:t>316.267,98</w:t>
            </w:r>
          </w:p>
        </w:tc>
        <w:tc>
          <w:tcPr>
            <w:tcW w:w="592" w:type="dxa"/>
            <w:tcBorders>
              <w:top w:val="single" w:sz="6" w:space="0" w:color="000000"/>
              <w:bottom w:val="single" w:sz="6" w:space="0" w:color="000000"/>
            </w:tcBorders>
          </w:tcPr>
          <w:p>
            <w:pPr>
              <w:pStyle w:val="TableParagraph"/>
              <w:spacing w:line="128" w:lineRule="exact" w:before="3"/>
              <w:ind w:right="41"/>
              <w:jc w:val="right"/>
              <w:rPr>
                <w:b/>
                <w:sz w:val="12"/>
              </w:rPr>
            </w:pPr>
            <w:r>
              <w:rPr>
                <w:b/>
                <w:sz w:val="12"/>
              </w:rPr>
              <w:t>100,66</w:t>
            </w:r>
          </w:p>
        </w:tc>
        <w:tc>
          <w:tcPr>
            <w:tcW w:w="732" w:type="dxa"/>
            <w:tcBorders>
              <w:top w:val="single" w:sz="6" w:space="0" w:color="000000"/>
              <w:bottom w:val="single" w:sz="6" w:space="0" w:color="000000"/>
            </w:tcBorders>
          </w:tcPr>
          <w:p>
            <w:pPr>
              <w:pStyle w:val="TableParagraph"/>
              <w:spacing w:line="128" w:lineRule="exact" w:before="3"/>
              <w:ind w:right="42"/>
              <w:jc w:val="right"/>
              <w:rPr>
                <w:b/>
                <w:sz w:val="12"/>
              </w:rPr>
            </w:pPr>
            <w:r>
              <w:rPr>
                <w:b/>
                <w:w w:val="105"/>
                <w:sz w:val="12"/>
              </w:rPr>
              <w:t>189.357,43</w:t>
            </w:r>
          </w:p>
        </w:tc>
        <w:tc>
          <w:tcPr>
            <w:tcW w:w="637" w:type="dxa"/>
            <w:tcBorders>
              <w:top w:val="single" w:sz="6" w:space="0" w:color="000000"/>
              <w:bottom w:val="single" w:sz="6" w:space="0" w:color="000000"/>
            </w:tcBorders>
          </w:tcPr>
          <w:p>
            <w:pPr>
              <w:pStyle w:val="TableParagraph"/>
              <w:spacing w:line="128" w:lineRule="exact" w:before="3"/>
              <w:ind w:right="41"/>
              <w:jc w:val="right"/>
              <w:rPr>
                <w:b/>
                <w:sz w:val="12"/>
              </w:rPr>
            </w:pPr>
            <w:r>
              <w:rPr>
                <w:b/>
                <w:sz w:val="12"/>
              </w:rPr>
              <w:t>773,31</w:t>
            </w:r>
          </w:p>
        </w:tc>
        <w:tc>
          <w:tcPr>
            <w:tcW w:w="639" w:type="dxa"/>
            <w:tcBorders>
              <w:top w:val="single" w:sz="6" w:space="0" w:color="000000"/>
              <w:bottom w:val="single" w:sz="6" w:space="0" w:color="000000"/>
            </w:tcBorders>
          </w:tcPr>
          <w:p>
            <w:pPr>
              <w:pStyle w:val="TableParagraph"/>
              <w:spacing w:line="128" w:lineRule="exact" w:before="3"/>
              <w:ind w:left="136"/>
              <w:rPr>
                <w:b/>
                <w:sz w:val="12"/>
              </w:rPr>
            </w:pPr>
            <w:r>
              <w:rPr>
                <w:b/>
                <w:w w:val="105"/>
                <w:sz w:val="12"/>
              </w:rPr>
              <w:t>8.467,35</w:t>
            </w:r>
          </w:p>
        </w:tc>
        <w:tc>
          <w:tcPr>
            <w:tcW w:w="608" w:type="dxa"/>
            <w:tcBorders>
              <w:top w:val="single" w:sz="6" w:space="0" w:color="000000"/>
              <w:bottom w:val="single" w:sz="6" w:space="0" w:color="000000"/>
            </w:tcBorders>
          </w:tcPr>
          <w:p>
            <w:pPr>
              <w:pStyle w:val="TableParagraph"/>
              <w:spacing w:line="128" w:lineRule="exact" w:before="3"/>
              <w:ind w:right="44"/>
              <w:jc w:val="right"/>
              <w:rPr>
                <w:b/>
                <w:sz w:val="12"/>
              </w:rPr>
            </w:pPr>
            <w:r>
              <w:rPr>
                <w:b/>
                <w:w w:val="105"/>
                <w:sz w:val="12"/>
              </w:rPr>
              <w:t>59,97</w:t>
            </w:r>
          </w:p>
        </w:tc>
        <w:tc>
          <w:tcPr>
            <w:tcW w:w="639" w:type="dxa"/>
            <w:tcBorders>
              <w:top w:val="single" w:sz="6" w:space="0" w:color="000000"/>
              <w:bottom w:val="single" w:sz="6" w:space="0" w:color="000000"/>
            </w:tcBorders>
          </w:tcPr>
          <w:p>
            <w:pPr>
              <w:pStyle w:val="TableParagraph"/>
              <w:spacing w:line="128" w:lineRule="exact" w:before="3"/>
              <w:ind w:right="47"/>
              <w:jc w:val="right"/>
              <w:rPr>
                <w:b/>
                <w:sz w:val="12"/>
              </w:rPr>
            </w:pPr>
            <w:r>
              <w:rPr>
                <w:b/>
                <w:w w:val="105"/>
                <w:sz w:val="12"/>
              </w:rPr>
              <w:t>12.410,78</w:t>
            </w:r>
          </w:p>
        </w:tc>
        <w:tc>
          <w:tcPr>
            <w:tcW w:w="684" w:type="dxa"/>
            <w:tcBorders>
              <w:top w:val="single" w:sz="6" w:space="0" w:color="000000"/>
              <w:bottom w:val="single" w:sz="6" w:space="0" w:color="000000"/>
            </w:tcBorders>
          </w:tcPr>
          <w:p>
            <w:pPr>
              <w:pStyle w:val="TableParagraph"/>
              <w:spacing w:line="128" w:lineRule="exact" w:before="3"/>
              <w:ind w:right="46"/>
              <w:jc w:val="right"/>
              <w:rPr>
                <w:b/>
                <w:sz w:val="12"/>
              </w:rPr>
            </w:pPr>
            <w:r>
              <w:rPr>
                <w:b/>
                <w:w w:val="105"/>
                <w:sz w:val="12"/>
              </w:rPr>
              <w:t>27.600,47</w:t>
            </w:r>
          </w:p>
        </w:tc>
        <w:tc>
          <w:tcPr>
            <w:tcW w:w="561" w:type="dxa"/>
            <w:tcBorders>
              <w:top w:val="single" w:sz="6" w:space="0" w:color="000000"/>
              <w:bottom w:val="single" w:sz="6" w:space="0" w:color="000000"/>
            </w:tcBorders>
          </w:tcPr>
          <w:p>
            <w:pPr>
              <w:pStyle w:val="TableParagraph"/>
              <w:spacing w:line="128" w:lineRule="exact" w:before="3"/>
              <w:ind w:right="50"/>
              <w:jc w:val="right"/>
              <w:rPr>
                <w:b/>
                <w:sz w:val="12"/>
              </w:rPr>
            </w:pPr>
            <w:r>
              <w:rPr>
                <w:b/>
                <w:w w:val="105"/>
                <w:sz w:val="12"/>
              </w:rPr>
              <w:t>0,00</w:t>
            </w:r>
          </w:p>
        </w:tc>
        <w:tc>
          <w:tcPr>
            <w:tcW w:w="841" w:type="dxa"/>
            <w:tcBorders>
              <w:top w:val="single" w:sz="6" w:space="0" w:color="000000"/>
              <w:bottom w:val="single" w:sz="6" w:space="0" w:color="000000"/>
            </w:tcBorders>
          </w:tcPr>
          <w:p>
            <w:pPr>
              <w:pStyle w:val="TableParagraph"/>
              <w:spacing w:line="128" w:lineRule="exact" w:before="3"/>
              <w:ind w:right="50"/>
              <w:jc w:val="right"/>
              <w:rPr>
                <w:b/>
                <w:sz w:val="12"/>
              </w:rPr>
            </w:pPr>
            <w:r>
              <w:rPr>
                <w:b/>
                <w:w w:val="105"/>
                <w:sz w:val="12"/>
              </w:rPr>
              <w:t>719.459,89</w:t>
            </w:r>
          </w:p>
        </w:tc>
      </w:tr>
      <w:tr>
        <w:trPr>
          <w:trHeight w:val="163" w:hRule="atLeast"/>
        </w:trPr>
        <w:tc>
          <w:tcPr>
            <w:tcW w:w="1369" w:type="dxa"/>
            <w:tcBorders>
              <w:top w:val="single" w:sz="6" w:space="0" w:color="000000"/>
              <w:left w:val="single" w:sz="6" w:space="0" w:color="000000"/>
              <w:bottom w:val="nil"/>
              <w:right w:val="single" w:sz="6" w:space="0" w:color="000000"/>
            </w:tcBorders>
          </w:tcPr>
          <w:p>
            <w:pPr>
              <w:pStyle w:val="TableParagraph"/>
              <w:spacing w:line="139" w:lineRule="exact" w:before="5"/>
              <w:ind w:left="54"/>
              <w:rPr>
                <w:sz w:val="12"/>
              </w:rPr>
            </w:pPr>
            <w:r>
              <w:rPr>
                <w:w w:val="105"/>
                <w:sz w:val="12"/>
              </w:rPr>
              <w:t>I. Provisiones a C/P</w:t>
            </w:r>
          </w:p>
        </w:tc>
        <w:tc>
          <w:tcPr>
            <w:tcW w:w="636" w:type="dxa"/>
            <w:tcBorders>
              <w:top w:val="single" w:sz="6" w:space="0" w:color="000000"/>
              <w:left w:val="single" w:sz="6" w:space="0" w:color="000000"/>
              <w:bottom w:val="nil"/>
            </w:tcBorders>
          </w:tcPr>
          <w:p>
            <w:pPr>
              <w:pStyle w:val="TableParagraph"/>
              <w:spacing w:line="139" w:lineRule="exact" w:before="5"/>
              <w:ind w:right="37"/>
              <w:jc w:val="right"/>
              <w:rPr>
                <w:sz w:val="12"/>
              </w:rPr>
            </w:pPr>
            <w:r>
              <w:rPr>
                <w:sz w:val="12"/>
              </w:rPr>
              <w:t>0,00</w:t>
            </w:r>
          </w:p>
        </w:tc>
        <w:tc>
          <w:tcPr>
            <w:tcW w:w="638" w:type="dxa"/>
            <w:tcBorders>
              <w:top w:val="single" w:sz="6" w:space="0" w:color="000000"/>
              <w:bottom w:val="nil"/>
            </w:tcBorders>
          </w:tcPr>
          <w:p>
            <w:pPr>
              <w:pStyle w:val="TableParagraph"/>
              <w:spacing w:line="139" w:lineRule="exact" w:before="5"/>
              <w:ind w:right="39"/>
              <w:jc w:val="right"/>
              <w:rPr>
                <w:sz w:val="12"/>
              </w:rPr>
            </w:pPr>
            <w:r>
              <w:rPr>
                <w:sz w:val="12"/>
              </w:rPr>
              <w:t>0,00</w:t>
            </w:r>
          </w:p>
        </w:tc>
        <w:tc>
          <w:tcPr>
            <w:tcW w:w="731" w:type="dxa"/>
            <w:tcBorders>
              <w:top w:val="single" w:sz="6" w:space="0" w:color="000000"/>
              <w:bottom w:val="nil"/>
            </w:tcBorders>
          </w:tcPr>
          <w:p>
            <w:pPr>
              <w:pStyle w:val="TableParagraph"/>
              <w:spacing w:line="139" w:lineRule="exact" w:before="5"/>
              <w:ind w:right="39"/>
              <w:jc w:val="right"/>
              <w:rPr>
                <w:sz w:val="12"/>
              </w:rPr>
            </w:pPr>
            <w:r>
              <w:rPr>
                <w:sz w:val="12"/>
              </w:rPr>
              <w:t>0,00</w:t>
            </w:r>
          </w:p>
        </w:tc>
        <w:tc>
          <w:tcPr>
            <w:tcW w:w="357" w:type="dxa"/>
            <w:tcBorders>
              <w:top w:val="single" w:sz="6" w:space="0" w:color="000000"/>
              <w:bottom w:val="nil"/>
            </w:tcBorders>
          </w:tcPr>
          <w:p>
            <w:pPr>
              <w:pStyle w:val="TableParagraph"/>
              <w:spacing w:line="139" w:lineRule="exact" w:before="5"/>
              <w:ind w:left="84"/>
              <w:rPr>
                <w:sz w:val="12"/>
              </w:rPr>
            </w:pPr>
            <w:r>
              <w:rPr>
                <w:w w:val="105"/>
                <w:sz w:val="12"/>
              </w:rPr>
              <w:t>0,00</w:t>
            </w:r>
          </w:p>
        </w:tc>
        <w:tc>
          <w:tcPr>
            <w:tcW w:w="685" w:type="dxa"/>
            <w:tcBorders>
              <w:top w:val="single" w:sz="6" w:space="0" w:color="000000"/>
              <w:bottom w:val="nil"/>
            </w:tcBorders>
          </w:tcPr>
          <w:p>
            <w:pPr>
              <w:pStyle w:val="TableParagraph"/>
              <w:spacing w:line="139" w:lineRule="exact" w:before="5"/>
              <w:ind w:right="40"/>
              <w:jc w:val="right"/>
              <w:rPr>
                <w:sz w:val="12"/>
              </w:rPr>
            </w:pPr>
            <w:r>
              <w:rPr>
                <w:sz w:val="12"/>
              </w:rPr>
              <w:t>0,00</w:t>
            </w:r>
          </w:p>
        </w:tc>
        <w:tc>
          <w:tcPr>
            <w:tcW w:w="638" w:type="dxa"/>
            <w:tcBorders>
              <w:top w:val="single" w:sz="6" w:space="0" w:color="000000"/>
              <w:bottom w:val="nil"/>
            </w:tcBorders>
          </w:tcPr>
          <w:p>
            <w:pPr>
              <w:pStyle w:val="TableParagraph"/>
              <w:spacing w:line="139" w:lineRule="exact" w:before="5"/>
              <w:ind w:right="40"/>
              <w:jc w:val="right"/>
              <w:rPr>
                <w:sz w:val="12"/>
              </w:rPr>
            </w:pPr>
            <w:r>
              <w:rPr>
                <w:sz w:val="12"/>
              </w:rPr>
              <w:t>214,11</w:t>
            </w:r>
          </w:p>
        </w:tc>
        <w:tc>
          <w:tcPr>
            <w:tcW w:w="823" w:type="dxa"/>
            <w:tcBorders>
              <w:top w:val="single" w:sz="6" w:space="0" w:color="000000"/>
              <w:bottom w:val="nil"/>
            </w:tcBorders>
          </w:tcPr>
          <w:p>
            <w:pPr>
              <w:pStyle w:val="TableParagraph"/>
              <w:spacing w:line="139" w:lineRule="exact" w:before="5"/>
              <w:ind w:right="39"/>
              <w:jc w:val="right"/>
              <w:rPr>
                <w:sz w:val="12"/>
              </w:rPr>
            </w:pPr>
            <w:r>
              <w:rPr>
                <w:w w:val="105"/>
                <w:sz w:val="12"/>
              </w:rPr>
              <w:t>2.536,01</w:t>
            </w:r>
          </w:p>
        </w:tc>
        <w:tc>
          <w:tcPr>
            <w:tcW w:w="592" w:type="dxa"/>
            <w:tcBorders>
              <w:top w:val="single" w:sz="6" w:space="0" w:color="000000"/>
              <w:bottom w:val="nil"/>
            </w:tcBorders>
          </w:tcPr>
          <w:p>
            <w:pPr>
              <w:pStyle w:val="TableParagraph"/>
              <w:spacing w:line="139" w:lineRule="exact" w:before="5"/>
              <w:ind w:right="42"/>
              <w:jc w:val="right"/>
              <w:rPr>
                <w:sz w:val="12"/>
              </w:rPr>
            </w:pPr>
            <w:r>
              <w:rPr>
                <w:sz w:val="12"/>
              </w:rPr>
              <w:t>0,00</w:t>
            </w:r>
          </w:p>
        </w:tc>
        <w:tc>
          <w:tcPr>
            <w:tcW w:w="732" w:type="dxa"/>
            <w:tcBorders>
              <w:top w:val="single" w:sz="6" w:space="0" w:color="000000"/>
              <w:bottom w:val="nil"/>
            </w:tcBorders>
          </w:tcPr>
          <w:p>
            <w:pPr>
              <w:pStyle w:val="TableParagraph"/>
              <w:spacing w:line="139" w:lineRule="exact" w:before="5"/>
              <w:ind w:right="42"/>
              <w:jc w:val="right"/>
              <w:rPr>
                <w:sz w:val="12"/>
              </w:rPr>
            </w:pPr>
            <w:r>
              <w:rPr>
                <w:w w:val="105"/>
                <w:sz w:val="12"/>
              </w:rPr>
              <w:t>1.968,27</w:t>
            </w:r>
          </w:p>
        </w:tc>
        <w:tc>
          <w:tcPr>
            <w:tcW w:w="637" w:type="dxa"/>
            <w:tcBorders>
              <w:top w:val="single" w:sz="6" w:space="0" w:color="000000"/>
              <w:bottom w:val="nil"/>
            </w:tcBorders>
          </w:tcPr>
          <w:p>
            <w:pPr>
              <w:pStyle w:val="TableParagraph"/>
              <w:spacing w:line="139" w:lineRule="exact" w:before="5"/>
              <w:ind w:right="41"/>
              <w:jc w:val="right"/>
              <w:rPr>
                <w:sz w:val="12"/>
              </w:rPr>
            </w:pPr>
            <w:r>
              <w:rPr>
                <w:sz w:val="12"/>
              </w:rPr>
              <w:t>0,00</w:t>
            </w:r>
          </w:p>
        </w:tc>
        <w:tc>
          <w:tcPr>
            <w:tcW w:w="639" w:type="dxa"/>
            <w:tcBorders>
              <w:top w:val="single" w:sz="6" w:space="0" w:color="000000"/>
              <w:bottom w:val="nil"/>
            </w:tcBorders>
          </w:tcPr>
          <w:p>
            <w:pPr>
              <w:pStyle w:val="TableParagraph"/>
              <w:spacing w:line="139" w:lineRule="exact" w:before="5"/>
              <w:ind w:right="44"/>
              <w:jc w:val="right"/>
              <w:rPr>
                <w:sz w:val="12"/>
              </w:rPr>
            </w:pPr>
            <w:r>
              <w:rPr>
                <w:sz w:val="12"/>
              </w:rPr>
              <w:t>0,00</w:t>
            </w:r>
          </w:p>
        </w:tc>
        <w:tc>
          <w:tcPr>
            <w:tcW w:w="608" w:type="dxa"/>
            <w:tcBorders>
              <w:top w:val="single" w:sz="6" w:space="0" w:color="000000"/>
              <w:bottom w:val="nil"/>
            </w:tcBorders>
          </w:tcPr>
          <w:p>
            <w:pPr>
              <w:pStyle w:val="TableParagraph"/>
              <w:spacing w:line="139" w:lineRule="exact" w:before="5"/>
              <w:ind w:right="44"/>
              <w:jc w:val="right"/>
              <w:rPr>
                <w:sz w:val="12"/>
              </w:rPr>
            </w:pPr>
            <w:r>
              <w:rPr>
                <w:sz w:val="12"/>
              </w:rPr>
              <w:t>0,00</w:t>
            </w:r>
          </w:p>
        </w:tc>
        <w:tc>
          <w:tcPr>
            <w:tcW w:w="639" w:type="dxa"/>
            <w:tcBorders>
              <w:top w:val="single" w:sz="6" w:space="0" w:color="000000"/>
              <w:bottom w:val="nil"/>
            </w:tcBorders>
          </w:tcPr>
          <w:p>
            <w:pPr>
              <w:pStyle w:val="TableParagraph"/>
              <w:spacing w:line="139" w:lineRule="exact" w:before="5"/>
              <w:ind w:right="47"/>
              <w:jc w:val="right"/>
              <w:rPr>
                <w:sz w:val="12"/>
              </w:rPr>
            </w:pPr>
            <w:r>
              <w:rPr>
                <w:sz w:val="12"/>
              </w:rPr>
              <w:t>0,00</w:t>
            </w:r>
          </w:p>
        </w:tc>
        <w:tc>
          <w:tcPr>
            <w:tcW w:w="684" w:type="dxa"/>
            <w:tcBorders>
              <w:top w:val="single" w:sz="6" w:space="0" w:color="000000"/>
              <w:bottom w:val="nil"/>
            </w:tcBorders>
          </w:tcPr>
          <w:p>
            <w:pPr>
              <w:pStyle w:val="TableParagraph"/>
              <w:spacing w:line="139" w:lineRule="exact" w:before="5"/>
              <w:ind w:right="48"/>
              <w:jc w:val="right"/>
              <w:rPr>
                <w:sz w:val="12"/>
              </w:rPr>
            </w:pPr>
            <w:r>
              <w:rPr>
                <w:sz w:val="12"/>
              </w:rPr>
              <w:t>0,00</w:t>
            </w:r>
          </w:p>
        </w:tc>
        <w:tc>
          <w:tcPr>
            <w:tcW w:w="561" w:type="dxa"/>
            <w:tcBorders>
              <w:top w:val="single" w:sz="6" w:space="0" w:color="000000"/>
              <w:bottom w:val="nil"/>
              <w:right w:val="single" w:sz="6" w:space="0" w:color="000000"/>
            </w:tcBorders>
          </w:tcPr>
          <w:p>
            <w:pPr>
              <w:pStyle w:val="TableParagraph"/>
              <w:spacing w:line="139" w:lineRule="exact" w:before="5"/>
              <w:ind w:right="45"/>
              <w:jc w:val="right"/>
              <w:rPr>
                <w:sz w:val="12"/>
              </w:rPr>
            </w:pPr>
            <w:r>
              <w:rPr>
                <w:sz w:val="12"/>
              </w:rPr>
              <w:t>0,00</w:t>
            </w:r>
          </w:p>
        </w:tc>
        <w:tc>
          <w:tcPr>
            <w:tcW w:w="841" w:type="dxa"/>
            <w:tcBorders>
              <w:top w:val="single" w:sz="6" w:space="0" w:color="000000"/>
              <w:left w:val="single" w:sz="6" w:space="0" w:color="000000"/>
              <w:bottom w:val="nil"/>
              <w:right w:val="single" w:sz="6" w:space="0" w:color="000000"/>
            </w:tcBorders>
          </w:tcPr>
          <w:p>
            <w:pPr>
              <w:pStyle w:val="TableParagraph"/>
              <w:spacing w:line="139" w:lineRule="exact" w:before="5"/>
              <w:ind w:right="47"/>
              <w:jc w:val="right"/>
              <w:rPr>
                <w:sz w:val="12"/>
              </w:rPr>
            </w:pPr>
            <w:r>
              <w:rPr>
                <w:w w:val="105"/>
                <w:sz w:val="12"/>
              </w:rPr>
              <w:t>4.718,39</w:t>
            </w:r>
          </w:p>
        </w:tc>
      </w:tr>
      <w:tr>
        <w:trPr>
          <w:trHeight w:val="151" w:hRule="atLeast"/>
        </w:trPr>
        <w:tc>
          <w:tcPr>
            <w:tcW w:w="1369" w:type="dxa"/>
            <w:tcBorders>
              <w:top w:val="nil"/>
              <w:left w:val="single" w:sz="6" w:space="0" w:color="000000"/>
              <w:bottom w:val="nil"/>
              <w:right w:val="single" w:sz="6" w:space="0" w:color="000000"/>
            </w:tcBorders>
          </w:tcPr>
          <w:p>
            <w:pPr>
              <w:pStyle w:val="TableParagraph"/>
              <w:spacing w:line="131" w:lineRule="exact"/>
              <w:ind w:left="54"/>
              <w:rPr>
                <w:sz w:val="12"/>
              </w:rPr>
            </w:pPr>
            <w:r>
              <w:rPr>
                <w:w w:val="105"/>
                <w:sz w:val="12"/>
              </w:rPr>
              <w:t>II. Deudas a corto plazo</w:t>
            </w:r>
          </w:p>
        </w:tc>
        <w:tc>
          <w:tcPr>
            <w:tcW w:w="636" w:type="dxa"/>
            <w:tcBorders>
              <w:top w:val="nil"/>
              <w:left w:val="single" w:sz="6" w:space="0" w:color="000000"/>
              <w:bottom w:val="nil"/>
            </w:tcBorders>
          </w:tcPr>
          <w:p>
            <w:pPr>
              <w:pStyle w:val="TableParagraph"/>
              <w:spacing w:line="131" w:lineRule="exact"/>
              <w:ind w:right="37"/>
              <w:jc w:val="right"/>
              <w:rPr>
                <w:sz w:val="12"/>
              </w:rPr>
            </w:pPr>
            <w:r>
              <w:rPr>
                <w:sz w:val="12"/>
              </w:rPr>
              <w:t>0,00</w:t>
            </w:r>
          </w:p>
        </w:tc>
        <w:tc>
          <w:tcPr>
            <w:tcW w:w="638" w:type="dxa"/>
            <w:tcBorders>
              <w:top w:val="nil"/>
              <w:bottom w:val="nil"/>
            </w:tcBorders>
          </w:tcPr>
          <w:p>
            <w:pPr>
              <w:pStyle w:val="TableParagraph"/>
              <w:spacing w:line="131" w:lineRule="exact"/>
              <w:ind w:right="39"/>
              <w:jc w:val="right"/>
              <w:rPr>
                <w:sz w:val="12"/>
              </w:rPr>
            </w:pPr>
            <w:r>
              <w:rPr>
                <w:sz w:val="12"/>
              </w:rPr>
              <w:t>0,00</w:t>
            </w:r>
          </w:p>
        </w:tc>
        <w:tc>
          <w:tcPr>
            <w:tcW w:w="731" w:type="dxa"/>
            <w:tcBorders>
              <w:top w:val="nil"/>
              <w:bottom w:val="nil"/>
            </w:tcBorders>
          </w:tcPr>
          <w:p>
            <w:pPr>
              <w:pStyle w:val="TableParagraph"/>
              <w:spacing w:line="131" w:lineRule="exact"/>
              <w:ind w:right="39"/>
              <w:jc w:val="right"/>
              <w:rPr>
                <w:sz w:val="12"/>
              </w:rPr>
            </w:pPr>
            <w:r>
              <w:rPr>
                <w:sz w:val="12"/>
              </w:rPr>
              <w:t>0,00</w:t>
            </w:r>
          </w:p>
        </w:tc>
        <w:tc>
          <w:tcPr>
            <w:tcW w:w="357" w:type="dxa"/>
            <w:tcBorders>
              <w:top w:val="nil"/>
              <w:bottom w:val="nil"/>
            </w:tcBorders>
          </w:tcPr>
          <w:p>
            <w:pPr>
              <w:pStyle w:val="TableParagraph"/>
              <w:spacing w:line="131" w:lineRule="exact"/>
              <w:ind w:left="84"/>
              <w:rPr>
                <w:sz w:val="12"/>
              </w:rPr>
            </w:pPr>
            <w:r>
              <w:rPr>
                <w:w w:val="105"/>
                <w:sz w:val="12"/>
              </w:rPr>
              <w:t>0,00</w:t>
            </w:r>
          </w:p>
        </w:tc>
        <w:tc>
          <w:tcPr>
            <w:tcW w:w="685" w:type="dxa"/>
            <w:tcBorders>
              <w:top w:val="nil"/>
              <w:bottom w:val="nil"/>
            </w:tcBorders>
          </w:tcPr>
          <w:p>
            <w:pPr>
              <w:pStyle w:val="TableParagraph"/>
              <w:spacing w:line="131" w:lineRule="exact"/>
              <w:ind w:right="40"/>
              <w:jc w:val="right"/>
              <w:rPr>
                <w:sz w:val="12"/>
              </w:rPr>
            </w:pPr>
            <w:r>
              <w:rPr>
                <w:sz w:val="12"/>
              </w:rPr>
              <w:t>0,00</w:t>
            </w:r>
          </w:p>
        </w:tc>
        <w:tc>
          <w:tcPr>
            <w:tcW w:w="638" w:type="dxa"/>
            <w:tcBorders>
              <w:top w:val="nil"/>
              <w:bottom w:val="nil"/>
            </w:tcBorders>
          </w:tcPr>
          <w:p>
            <w:pPr>
              <w:pStyle w:val="TableParagraph"/>
              <w:spacing w:line="131" w:lineRule="exact"/>
              <w:ind w:right="40"/>
              <w:jc w:val="right"/>
              <w:rPr>
                <w:sz w:val="12"/>
              </w:rPr>
            </w:pPr>
            <w:r>
              <w:rPr>
                <w:sz w:val="12"/>
              </w:rPr>
              <w:t>0,00</w:t>
            </w:r>
          </w:p>
        </w:tc>
        <w:tc>
          <w:tcPr>
            <w:tcW w:w="823" w:type="dxa"/>
            <w:tcBorders>
              <w:top w:val="nil"/>
              <w:bottom w:val="nil"/>
            </w:tcBorders>
          </w:tcPr>
          <w:p>
            <w:pPr>
              <w:pStyle w:val="TableParagraph"/>
              <w:spacing w:line="131" w:lineRule="exact"/>
              <w:ind w:right="39"/>
              <w:jc w:val="right"/>
              <w:rPr>
                <w:sz w:val="12"/>
              </w:rPr>
            </w:pPr>
            <w:r>
              <w:rPr>
                <w:sz w:val="12"/>
              </w:rPr>
              <w:t>0,00</w:t>
            </w:r>
          </w:p>
        </w:tc>
        <w:tc>
          <w:tcPr>
            <w:tcW w:w="592" w:type="dxa"/>
            <w:tcBorders>
              <w:top w:val="nil"/>
              <w:bottom w:val="nil"/>
            </w:tcBorders>
          </w:tcPr>
          <w:p>
            <w:pPr>
              <w:pStyle w:val="TableParagraph"/>
              <w:spacing w:line="131" w:lineRule="exact"/>
              <w:ind w:right="42"/>
              <w:jc w:val="right"/>
              <w:rPr>
                <w:sz w:val="12"/>
              </w:rPr>
            </w:pPr>
            <w:r>
              <w:rPr>
                <w:sz w:val="12"/>
              </w:rPr>
              <w:t>0,00</w:t>
            </w:r>
          </w:p>
        </w:tc>
        <w:tc>
          <w:tcPr>
            <w:tcW w:w="732" w:type="dxa"/>
            <w:tcBorders>
              <w:top w:val="nil"/>
              <w:bottom w:val="nil"/>
            </w:tcBorders>
          </w:tcPr>
          <w:p>
            <w:pPr>
              <w:pStyle w:val="TableParagraph"/>
              <w:spacing w:line="131" w:lineRule="exact"/>
              <w:ind w:right="42"/>
              <w:jc w:val="right"/>
              <w:rPr>
                <w:sz w:val="12"/>
              </w:rPr>
            </w:pPr>
            <w:r>
              <w:rPr>
                <w:sz w:val="12"/>
              </w:rPr>
              <w:t>0,00</w:t>
            </w:r>
          </w:p>
        </w:tc>
        <w:tc>
          <w:tcPr>
            <w:tcW w:w="637" w:type="dxa"/>
            <w:tcBorders>
              <w:top w:val="nil"/>
              <w:bottom w:val="nil"/>
            </w:tcBorders>
          </w:tcPr>
          <w:p>
            <w:pPr>
              <w:pStyle w:val="TableParagraph"/>
              <w:spacing w:line="131" w:lineRule="exact"/>
              <w:ind w:right="41"/>
              <w:jc w:val="right"/>
              <w:rPr>
                <w:sz w:val="12"/>
              </w:rPr>
            </w:pPr>
            <w:r>
              <w:rPr>
                <w:sz w:val="12"/>
              </w:rPr>
              <w:t>0,00</w:t>
            </w:r>
          </w:p>
        </w:tc>
        <w:tc>
          <w:tcPr>
            <w:tcW w:w="639" w:type="dxa"/>
            <w:tcBorders>
              <w:top w:val="nil"/>
              <w:bottom w:val="nil"/>
            </w:tcBorders>
          </w:tcPr>
          <w:p>
            <w:pPr>
              <w:pStyle w:val="TableParagraph"/>
              <w:spacing w:line="131" w:lineRule="exact"/>
              <w:ind w:right="44"/>
              <w:jc w:val="right"/>
              <w:rPr>
                <w:sz w:val="12"/>
              </w:rPr>
            </w:pPr>
            <w:r>
              <w:rPr>
                <w:sz w:val="12"/>
              </w:rPr>
              <w:t>0,00</w:t>
            </w:r>
          </w:p>
        </w:tc>
        <w:tc>
          <w:tcPr>
            <w:tcW w:w="608" w:type="dxa"/>
            <w:tcBorders>
              <w:top w:val="nil"/>
              <w:bottom w:val="nil"/>
            </w:tcBorders>
          </w:tcPr>
          <w:p>
            <w:pPr>
              <w:pStyle w:val="TableParagraph"/>
              <w:spacing w:line="131" w:lineRule="exact"/>
              <w:ind w:right="44"/>
              <w:jc w:val="right"/>
              <w:rPr>
                <w:sz w:val="12"/>
              </w:rPr>
            </w:pPr>
            <w:r>
              <w:rPr>
                <w:sz w:val="12"/>
              </w:rPr>
              <w:t>0,00</w:t>
            </w:r>
          </w:p>
        </w:tc>
        <w:tc>
          <w:tcPr>
            <w:tcW w:w="639" w:type="dxa"/>
            <w:tcBorders>
              <w:top w:val="nil"/>
              <w:bottom w:val="nil"/>
            </w:tcBorders>
          </w:tcPr>
          <w:p>
            <w:pPr>
              <w:pStyle w:val="TableParagraph"/>
              <w:spacing w:line="131" w:lineRule="exact"/>
              <w:ind w:right="47"/>
              <w:jc w:val="right"/>
              <w:rPr>
                <w:sz w:val="12"/>
              </w:rPr>
            </w:pPr>
            <w:r>
              <w:rPr>
                <w:sz w:val="12"/>
              </w:rPr>
              <w:t>0,00</w:t>
            </w:r>
          </w:p>
        </w:tc>
        <w:tc>
          <w:tcPr>
            <w:tcW w:w="684" w:type="dxa"/>
            <w:tcBorders>
              <w:top w:val="nil"/>
              <w:bottom w:val="nil"/>
            </w:tcBorders>
          </w:tcPr>
          <w:p>
            <w:pPr>
              <w:pStyle w:val="TableParagraph"/>
              <w:spacing w:line="131" w:lineRule="exact"/>
              <w:ind w:right="48"/>
              <w:jc w:val="right"/>
              <w:rPr>
                <w:sz w:val="12"/>
              </w:rPr>
            </w:pPr>
            <w:r>
              <w:rPr>
                <w:sz w:val="12"/>
              </w:rPr>
              <w:t>0,00</w:t>
            </w:r>
          </w:p>
        </w:tc>
        <w:tc>
          <w:tcPr>
            <w:tcW w:w="561" w:type="dxa"/>
            <w:tcBorders>
              <w:top w:val="nil"/>
              <w:bottom w:val="nil"/>
              <w:right w:val="single" w:sz="6" w:space="0" w:color="000000"/>
            </w:tcBorders>
          </w:tcPr>
          <w:p>
            <w:pPr>
              <w:pStyle w:val="TableParagraph"/>
              <w:spacing w:line="131" w:lineRule="exact"/>
              <w:ind w:right="45"/>
              <w:jc w:val="right"/>
              <w:rPr>
                <w:sz w:val="12"/>
              </w:rPr>
            </w:pPr>
            <w:r>
              <w:rPr>
                <w:sz w:val="12"/>
              </w:rPr>
              <w:t>0,00</w:t>
            </w:r>
          </w:p>
        </w:tc>
        <w:tc>
          <w:tcPr>
            <w:tcW w:w="841" w:type="dxa"/>
            <w:tcBorders>
              <w:top w:val="nil"/>
              <w:left w:val="single" w:sz="6" w:space="0" w:color="000000"/>
              <w:bottom w:val="nil"/>
              <w:right w:val="single" w:sz="6" w:space="0" w:color="000000"/>
            </w:tcBorders>
          </w:tcPr>
          <w:p>
            <w:pPr>
              <w:pStyle w:val="TableParagraph"/>
              <w:spacing w:line="131" w:lineRule="exact"/>
              <w:ind w:right="47"/>
              <w:jc w:val="right"/>
              <w:rPr>
                <w:sz w:val="12"/>
              </w:rPr>
            </w:pPr>
            <w:r>
              <w:rPr>
                <w:sz w:val="12"/>
              </w:rPr>
              <w:t>0,00</w:t>
            </w:r>
          </w:p>
        </w:tc>
      </w:tr>
      <w:tr>
        <w:trPr>
          <w:trHeight w:val="303" w:hRule="atLeast"/>
        </w:trPr>
        <w:tc>
          <w:tcPr>
            <w:tcW w:w="1369" w:type="dxa"/>
            <w:tcBorders>
              <w:top w:val="nil"/>
              <w:left w:val="single" w:sz="6" w:space="0" w:color="000000"/>
              <w:bottom w:val="nil"/>
              <w:right w:val="single" w:sz="6" w:space="0" w:color="000000"/>
            </w:tcBorders>
          </w:tcPr>
          <w:p>
            <w:pPr>
              <w:pStyle w:val="TableParagraph"/>
              <w:spacing w:line="139" w:lineRule="exact"/>
              <w:ind w:left="54"/>
              <w:rPr>
                <w:sz w:val="12"/>
              </w:rPr>
            </w:pPr>
            <w:r>
              <w:rPr>
                <w:w w:val="105"/>
                <w:sz w:val="12"/>
              </w:rPr>
              <w:t>IV. Acreedores y otras</w:t>
            </w:r>
          </w:p>
          <w:p>
            <w:pPr>
              <w:pStyle w:val="TableParagraph"/>
              <w:spacing w:line="139" w:lineRule="exact" w:before="6"/>
              <w:ind w:left="54"/>
              <w:rPr>
                <w:sz w:val="12"/>
              </w:rPr>
            </w:pPr>
            <w:r>
              <w:rPr>
                <w:w w:val="105"/>
                <w:sz w:val="12"/>
              </w:rPr>
              <w:t>cuentas a pagar</w:t>
            </w:r>
          </w:p>
        </w:tc>
        <w:tc>
          <w:tcPr>
            <w:tcW w:w="636" w:type="dxa"/>
            <w:tcBorders>
              <w:top w:val="nil"/>
              <w:left w:val="single" w:sz="6" w:space="0" w:color="000000"/>
              <w:bottom w:val="nil"/>
            </w:tcBorders>
          </w:tcPr>
          <w:p>
            <w:pPr>
              <w:pStyle w:val="TableParagraph"/>
              <w:spacing w:before="69"/>
              <w:ind w:right="37"/>
              <w:jc w:val="right"/>
              <w:rPr>
                <w:sz w:val="12"/>
              </w:rPr>
            </w:pPr>
            <w:r>
              <w:rPr>
                <w:sz w:val="12"/>
              </w:rPr>
              <w:t>214,34</w:t>
            </w:r>
          </w:p>
        </w:tc>
        <w:tc>
          <w:tcPr>
            <w:tcW w:w="638" w:type="dxa"/>
            <w:tcBorders>
              <w:top w:val="nil"/>
              <w:bottom w:val="nil"/>
            </w:tcBorders>
          </w:tcPr>
          <w:p>
            <w:pPr>
              <w:pStyle w:val="TableParagraph"/>
              <w:spacing w:before="69"/>
              <w:ind w:left="144"/>
              <w:rPr>
                <w:sz w:val="12"/>
              </w:rPr>
            </w:pPr>
            <w:r>
              <w:rPr>
                <w:w w:val="105"/>
                <w:sz w:val="12"/>
              </w:rPr>
              <w:t>1.205,94</w:t>
            </w:r>
          </w:p>
        </w:tc>
        <w:tc>
          <w:tcPr>
            <w:tcW w:w="731" w:type="dxa"/>
            <w:tcBorders>
              <w:top w:val="nil"/>
              <w:bottom w:val="nil"/>
            </w:tcBorders>
          </w:tcPr>
          <w:p>
            <w:pPr>
              <w:pStyle w:val="TableParagraph"/>
              <w:spacing w:before="69"/>
              <w:ind w:right="39"/>
              <w:jc w:val="right"/>
              <w:rPr>
                <w:sz w:val="12"/>
              </w:rPr>
            </w:pPr>
            <w:r>
              <w:rPr>
                <w:w w:val="105"/>
                <w:sz w:val="12"/>
              </w:rPr>
              <w:t>154.462,65</w:t>
            </w:r>
          </w:p>
        </w:tc>
        <w:tc>
          <w:tcPr>
            <w:tcW w:w="357" w:type="dxa"/>
            <w:tcBorders>
              <w:top w:val="nil"/>
              <w:bottom w:val="nil"/>
            </w:tcBorders>
          </w:tcPr>
          <w:p>
            <w:pPr>
              <w:pStyle w:val="TableParagraph"/>
              <w:spacing w:before="69"/>
              <w:ind w:left="84"/>
              <w:rPr>
                <w:sz w:val="12"/>
              </w:rPr>
            </w:pPr>
            <w:r>
              <w:rPr>
                <w:w w:val="105"/>
                <w:sz w:val="12"/>
              </w:rPr>
              <w:t>0,00</w:t>
            </w:r>
          </w:p>
        </w:tc>
        <w:tc>
          <w:tcPr>
            <w:tcW w:w="685" w:type="dxa"/>
            <w:tcBorders>
              <w:top w:val="nil"/>
              <w:bottom w:val="nil"/>
            </w:tcBorders>
          </w:tcPr>
          <w:p>
            <w:pPr>
              <w:pStyle w:val="TableParagraph"/>
              <w:spacing w:before="69"/>
              <w:ind w:right="40"/>
              <w:jc w:val="right"/>
              <w:rPr>
                <w:sz w:val="12"/>
              </w:rPr>
            </w:pPr>
            <w:r>
              <w:rPr>
                <w:w w:val="105"/>
                <w:sz w:val="12"/>
              </w:rPr>
              <w:t>1.156,46</w:t>
            </w:r>
          </w:p>
        </w:tc>
        <w:tc>
          <w:tcPr>
            <w:tcW w:w="638" w:type="dxa"/>
            <w:tcBorders>
              <w:top w:val="nil"/>
              <w:bottom w:val="nil"/>
            </w:tcBorders>
          </w:tcPr>
          <w:p>
            <w:pPr>
              <w:pStyle w:val="TableParagraph"/>
              <w:spacing w:before="69"/>
              <w:ind w:right="40"/>
              <w:jc w:val="right"/>
              <w:rPr>
                <w:sz w:val="12"/>
              </w:rPr>
            </w:pPr>
            <w:r>
              <w:rPr>
                <w:w w:val="105"/>
                <w:sz w:val="12"/>
              </w:rPr>
              <w:t>7.168,42</w:t>
            </w:r>
          </w:p>
        </w:tc>
        <w:tc>
          <w:tcPr>
            <w:tcW w:w="823" w:type="dxa"/>
            <w:tcBorders>
              <w:top w:val="nil"/>
              <w:bottom w:val="nil"/>
            </w:tcBorders>
          </w:tcPr>
          <w:p>
            <w:pPr>
              <w:pStyle w:val="TableParagraph"/>
              <w:spacing w:before="69"/>
              <w:ind w:right="39"/>
              <w:jc w:val="right"/>
              <w:rPr>
                <w:sz w:val="12"/>
              </w:rPr>
            </w:pPr>
            <w:r>
              <w:rPr>
                <w:w w:val="105"/>
                <w:sz w:val="12"/>
              </w:rPr>
              <w:t>313.731,97</w:t>
            </w:r>
          </w:p>
        </w:tc>
        <w:tc>
          <w:tcPr>
            <w:tcW w:w="592" w:type="dxa"/>
            <w:tcBorders>
              <w:top w:val="nil"/>
              <w:bottom w:val="nil"/>
            </w:tcBorders>
          </w:tcPr>
          <w:p>
            <w:pPr>
              <w:pStyle w:val="TableParagraph"/>
              <w:spacing w:before="69"/>
              <w:ind w:right="42"/>
              <w:jc w:val="right"/>
              <w:rPr>
                <w:sz w:val="12"/>
              </w:rPr>
            </w:pPr>
            <w:r>
              <w:rPr>
                <w:sz w:val="12"/>
              </w:rPr>
              <w:t>100,66</w:t>
            </w:r>
          </w:p>
        </w:tc>
        <w:tc>
          <w:tcPr>
            <w:tcW w:w="732" w:type="dxa"/>
            <w:tcBorders>
              <w:top w:val="nil"/>
              <w:bottom w:val="nil"/>
            </w:tcBorders>
          </w:tcPr>
          <w:p>
            <w:pPr>
              <w:pStyle w:val="TableParagraph"/>
              <w:spacing w:before="69"/>
              <w:ind w:right="42"/>
              <w:jc w:val="right"/>
              <w:rPr>
                <w:sz w:val="12"/>
              </w:rPr>
            </w:pPr>
            <w:r>
              <w:rPr>
                <w:w w:val="105"/>
                <w:sz w:val="12"/>
              </w:rPr>
              <w:t>187.389,17</w:t>
            </w:r>
          </w:p>
        </w:tc>
        <w:tc>
          <w:tcPr>
            <w:tcW w:w="637" w:type="dxa"/>
            <w:tcBorders>
              <w:top w:val="nil"/>
              <w:bottom w:val="nil"/>
            </w:tcBorders>
          </w:tcPr>
          <w:p>
            <w:pPr>
              <w:pStyle w:val="TableParagraph"/>
              <w:spacing w:before="69"/>
              <w:ind w:right="41"/>
              <w:jc w:val="right"/>
              <w:rPr>
                <w:sz w:val="12"/>
              </w:rPr>
            </w:pPr>
            <w:r>
              <w:rPr>
                <w:sz w:val="12"/>
              </w:rPr>
              <w:t>773,31</w:t>
            </w:r>
          </w:p>
        </w:tc>
        <w:tc>
          <w:tcPr>
            <w:tcW w:w="639" w:type="dxa"/>
            <w:tcBorders>
              <w:top w:val="nil"/>
              <w:bottom w:val="nil"/>
            </w:tcBorders>
          </w:tcPr>
          <w:p>
            <w:pPr>
              <w:pStyle w:val="TableParagraph"/>
              <w:spacing w:before="69"/>
              <w:ind w:left="140"/>
              <w:rPr>
                <w:sz w:val="12"/>
              </w:rPr>
            </w:pPr>
            <w:r>
              <w:rPr>
                <w:w w:val="105"/>
                <w:sz w:val="12"/>
              </w:rPr>
              <w:t>8.467,35</w:t>
            </w:r>
          </w:p>
        </w:tc>
        <w:tc>
          <w:tcPr>
            <w:tcW w:w="608" w:type="dxa"/>
            <w:tcBorders>
              <w:top w:val="nil"/>
              <w:bottom w:val="nil"/>
            </w:tcBorders>
          </w:tcPr>
          <w:p>
            <w:pPr>
              <w:pStyle w:val="TableParagraph"/>
              <w:spacing w:before="69"/>
              <w:ind w:right="44"/>
              <w:jc w:val="right"/>
              <w:rPr>
                <w:sz w:val="12"/>
              </w:rPr>
            </w:pPr>
            <w:r>
              <w:rPr>
                <w:sz w:val="12"/>
              </w:rPr>
              <w:t>59,97</w:t>
            </w:r>
          </w:p>
        </w:tc>
        <w:tc>
          <w:tcPr>
            <w:tcW w:w="639" w:type="dxa"/>
            <w:tcBorders>
              <w:top w:val="nil"/>
              <w:bottom w:val="nil"/>
            </w:tcBorders>
          </w:tcPr>
          <w:p>
            <w:pPr>
              <w:pStyle w:val="TableParagraph"/>
              <w:spacing w:before="69"/>
              <w:ind w:right="47"/>
              <w:jc w:val="right"/>
              <w:rPr>
                <w:sz w:val="12"/>
              </w:rPr>
            </w:pPr>
            <w:r>
              <w:rPr>
                <w:w w:val="105"/>
                <w:sz w:val="12"/>
              </w:rPr>
              <w:t>12.410,78</w:t>
            </w:r>
          </w:p>
        </w:tc>
        <w:tc>
          <w:tcPr>
            <w:tcW w:w="684" w:type="dxa"/>
            <w:tcBorders>
              <w:top w:val="nil"/>
              <w:bottom w:val="nil"/>
            </w:tcBorders>
          </w:tcPr>
          <w:p>
            <w:pPr>
              <w:pStyle w:val="TableParagraph"/>
              <w:spacing w:before="69"/>
              <w:ind w:right="46"/>
              <w:jc w:val="right"/>
              <w:rPr>
                <w:sz w:val="12"/>
              </w:rPr>
            </w:pPr>
            <w:r>
              <w:rPr>
                <w:w w:val="105"/>
                <w:sz w:val="12"/>
              </w:rPr>
              <w:t>27.600,47</w:t>
            </w:r>
          </w:p>
        </w:tc>
        <w:tc>
          <w:tcPr>
            <w:tcW w:w="561" w:type="dxa"/>
            <w:tcBorders>
              <w:top w:val="nil"/>
              <w:bottom w:val="nil"/>
              <w:right w:val="single" w:sz="6" w:space="0" w:color="000000"/>
            </w:tcBorders>
          </w:tcPr>
          <w:p>
            <w:pPr>
              <w:pStyle w:val="TableParagraph"/>
              <w:spacing w:before="69"/>
              <w:ind w:right="45"/>
              <w:jc w:val="right"/>
              <w:rPr>
                <w:sz w:val="12"/>
              </w:rPr>
            </w:pPr>
            <w:r>
              <w:rPr>
                <w:sz w:val="12"/>
              </w:rPr>
              <w:t>0,00</w:t>
            </w:r>
          </w:p>
        </w:tc>
        <w:tc>
          <w:tcPr>
            <w:tcW w:w="841" w:type="dxa"/>
            <w:tcBorders>
              <w:top w:val="nil"/>
              <w:left w:val="single" w:sz="6" w:space="0" w:color="000000"/>
              <w:bottom w:val="nil"/>
              <w:right w:val="single" w:sz="6" w:space="0" w:color="000000"/>
            </w:tcBorders>
          </w:tcPr>
          <w:p>
            <w:pPr>
              <w:pStyle w:val="TableParagraph"/>
              <w:spacing w:before="69"/>
              <w:ind w:right="47"/>
              <w:jc w:val="right"/>
              <w:rPr>
                <w:sz w:val="12"/>
              </w:rPr>
            </w:pPr>
            <w:r>
              <w:rPr>
                <w:w w:val="105"/>
                <w:sz w:val="12"/>
              </w:rPr>
              <w:t>714.741,50</w:t>
            </w:r>
          </w:p>
        </w:tc>
      </w:tr>
      <w:tr>
        <w:trPr>
          <w:trHeight w:val="142" w:hRule="atLeast"/>
        </w:trPr>
        <w:tc>
          <w:tcPr>
            <w:tcW w:w="1369" w:type="dxa"/>
            <w:tcBorders>
              <w:top w:val="nil"/>
              <w:left w:val="single" w:sz="6" w:space="0" w:color="000000"/>
              <w:bottom w:val="single" w:sz="6" w:space="0" w:color="000000"/>
              <w:right w:val="single" w:sz="6" w:space="0" w:color="000000"/>
            </w:tcBorders>
          </w:tcPr>
          <w:p>
            <w:pPr>
              <w:pStyle w:val="TableParagraph"/>
              <w:spacing w:line="122" w:lineRule="exact"/>
              <w:ind w:left="54"/>
              <w:rPr>
                <w:sz w:val="12"/>
              </w:rPr>
            </w:pPr>
            <w:r>
              <w:rPr>
                <w:w w:val="105"/>
                <w:sz w:val="12"/>
              </w:rPr>
              <w:t>Otras Cuentas</w:t>
            </w:r>
          </w:p>
        </w:tc>
        <w:tc>
          <w:tcPr>
            <w:tcW w:w="636" w:type="dxa"/>
            <w:tcBorders>
              <w:top w:val="nil"/>
              <w:left w:val="single" w:sz="6" w:space="0" w:color="000000"/>
              <w:bottom w:val="single" w:sz="6" w:space="0" w:color="000000"/>
            </w:tcBorders>
          </w:tcPr>
          <w:p>
            <w:pPr>
              <w:pStyle w:val="TableParagraph"/>
              <w:spacing w:line="122" w:lineRule="exact"/>
              <w:ind w:right="37"/>
              <w:jc w:val="right"/>
              <w:rPr>
                <w:sz w:val="12"/>
              </w:rPr>
            </w:pPr>
            <w:r>
              <w:rPr>
                <w:sz w:val="12"/>
              </w:rPr>
              <w:t>0,00</w:t>
            </w:r>
          </w:p>
        </w:tc>
        <w:tc>
          <w:tcPr>
            <w:tcW w:w="638" w:type="dxa"/>
            <w:tcBorders>
              <w:top w:val="nil"/>
              <w:bottom w:val="single" w:sz="6" w:space="0" w:color="000000"/>
            </w:tcBorders>
          </w:tcPr>
          <w:p>
            <w:pPr>
              <w:pStyle w:val="TableParagraph"/>
              <w:spacing w:line="122" w:lineRule="exact"/>
              <w:ind w:right="39"/>
              <w:jc w:val="right"/>
              <w:rPr>
                <w:sz w:val="12"/>
              </w:rPr>
            </w:pPr>
            <w:r>
              <w:rPr>
                <w:sz w:val="12"/>
              </w:rPr>
              <w:t>0,00</w:t>
            </w:r>
          </w:p>
        </w:tc>
        <w:tc>
          <w:tcPr>
            <w:tcW w:w="731" w:type="dxa"/>
            <w:tcBorders>
              <w:top w:val="nil"/>
              <w:bottom w:val="single" w:sz="6" w:space="0" w:color="000000"/>
            </w:tcBorders>
          </w:tcPr>
          <w:p>
            <w:pPr>
              <w:pStyle w:val="TableParagraph"/>
              <w:spacing w:line="122" w:lineRule="exact"/>
              <w:ind w:right="39"/>
              <w:jc w:val="right"/>
              <w:rPr>
                <w:sz w:val="12"/>
              </w:rPr>
            </w:pPr>
            <w:r>
              <w:rPr>
                <w:sz w:val="12"/>
              </w:rPr>
              <w:t>0,00</w:t>
            </w:r>
          </w:p>
        </w:tc>
        <w:tc>
          <w:tcPr>
            <w:tcW w:w="357" w:type="dxa"/>
            <w:tcBorders>
              <w:top w:val="nil"/>
              <w:bottom w:val="single" w:sz="6" w:space="0" w:color="000000"/>
            </w:tcBorders>
          </w:tcPr>
          <w:p>
            <w:pPr>
              <w:pStyle w:val="TableParagraph"/>
              <w:spacing w:line="122" w:lineRule="exact"/>
              <w:ind w:left="84"/>
              <w:rPr>
                <w:sz w:val="12"/>
              </w:rPr>
            </w:pPr>
            <w:r>
              <w:rPr>
                <w:w w:val="105"/>
                <w:sz w:val="12"/>
              </w:rPr>
              <w:t>0,00</w:t>
            </w:r>
          </w:p>
        </w:tc>
        <w:tc>
          <w:tcPr>
            <w:tcW w:w="685" w:type="dxa"/>
            <w:tcBorders>
              <w:top w:val="nil"/>
              <w:bottom w:val="single" w:sz="6" w:space="0" w:color="000000"/>
            </w:tcBorders>
          </w:tcPr>
          <w:p>
            <w:pPr>
              <w:pStyle w:val="TableParagraph"/>
              <w:spacing w:line="122" w:lineRule="exact"/>
              <w:ind w:right="40"/>
              <w:jc w:val="right"/>
              <w:rPr>
                <w:sz w:val="12"/>
              </w:rPr>
            </w:pPr>
            <w:r>
              <w:rPr>
                <w:sz w:val="12"/>
              </w:rPr>
              <w:t>0,00</w:t>
            </w:r>
          </w:p>
        </w:tc>
        <w:tc>
          <w:tcPr>
            <w:tcW w:w="638" w:type="dxa"/>
            <w:tcBorders>
              <w:top w:val="nil"/>
              <w:bottom w:val="single" w:sz="6" w:space="0" w:color="000000"/>
            </w:tcBorders>
          </w:tcPr>
          <w:p>
            <w:pPr>
              <w:pStyle w:val="TableParagraph"/>
              <w:spacing w:line="122" w:lineRule="exact"/>
              <w:ind w:right="40"/>
              <w:jc w:val="right"/>
              <w:rPr>
                <w:sz w:val="12"/>
              </w:rPr>
            </w:pPr>
            <w:r>
              <w:rPr>
                <w:sz w:val="12"/>
              </w:rPr>
              <w:t>0,00</w:t>
            </w:r>
          </w:p>
        </w:tc>
        <w:tc>
          <w:tcPr>
            <w:tcW w:w="823" w:type="dxa"/>
            <w:tcBorders>
              <w:top w:val="nil"/>
              <w:bottom w:val="single" w:sz="6" w:space="0" w:color="000000"/>
            </w:tcBorders>
          </w:tcPr>
          <w:p>
            <w:pPr>
              <w:pStyle w:val="TableParagraph"/>
              <w:spacing w:line="122" w:lineRule="exact"/>
              <w:ind w:right="39"/>
              <w:jc w:val="right"/>
              <w:rPr>
                <w:sz w:val="12"/>
              </w:rPr>
            </w:pPr>
            <w:r>
              <w:rPr>
                <w:sz w:val="12"/>
              </w:rPr>
              <w:t>0,00</w:t>
            </w:r>
          </w:p>
        </w:tc>
        <w:tc>
          <w:tcPr>
            <w:tcW w:w="592" w:type="dxa"/>
            <w:tcBorders>
              <w:top w:val="nil"/>
              <w:bottom w:val="single" w:sz="6" w:space="0" w:color="000000"/>
            </w:tcBorders>
          </w:tcPr>
          <w:p>
            <w:pPr>
              <w:pStyle w:val="TableParagraph"/>
              <w:spacing w:line="122" w:lineRule="exact"/>
              <w:ind w:right="42"/>
              <w:jc w:val="right"/>
              <w:rPr>
                <w:sz w:val="12"/>
              </w:rPr>
            </w:pPr>
            <w:r>
              <w:rPr>
                <w:sz w:val="12"/>
              </w:rPr>
              <w:t>0,00</w:t>
            </w:r>
          </w:p>
        </w:tc>
        <w:tc>
          <w:tcPr>
            <w:tcW w:w="732" w:type="dxa"/>
            <w:tcBorders>
              <w:top w:val="nil"/>
              <w:bottom w:val="single" w:sz="6" w:space="0" w:color="000000"/>
            </w:tcBorders>
          </w:tcPr>
          <w:p>
            <w:pPr>
              <w:pStyle w:val="TableParagraph"/>
              <w:spacing w:line="122" w:lineRule="exact"/>
              <w:ind w:right="42"/>
              <w:jc w:val="right"/>
              <w:rPr>
                <w:sz w:val="12"/>
              </w:rPr>
            </w:pPr>
            <w:r>
              <w:rPr>
                <w:sz w:val="12"/>
              </w:rPr>
              <w:t>0,00</w:t>
            </w:r>
          </w:p>
        </w:tc>
        <w:tc>
          <w:tcPr>
            <w:tcW w:w="637" w:type="dxa"/>
            <w:tcBorders>
              <w:top w:val="nil"/>
              <w:bottom w:val="single" w:sz="6" w:space="0" w:color="000000"/>
            </w:tcBorders>
          </w:tcPr>
          <w:p>
            <w:pPr>
              <w:pStyle w:val="TableParagraph"/>
              <w:spacing w:line="122" w:lineRule="exact"/>
              <w:ind w:right="41"/>
              <w:jc w:val="right"/>
              <w:rPr>
                <w:sz w:val="12"/>
              </w:rPr>
            </w:pPr>
            <w:r>
              <w:rPr>
                <w:sz w:val="12"/>
              </w:rPr>
              <w:t>0,00</w:t>
            </w:r>
          </w:p>
        </w:tc>
        <w:tc>
          <w:tcPr>
            <w:tcW w:w="639" w:type="dxa"/>
            <w:tcBorders>
              <w:top w:val="nil"/>
              <w:bottom w:val="single" w:sz="6" w:space="0" w:color="000000"/>
            </w:tcBorders>
          </w:tcPr>
          <w:p>
            <w:pPr>
              <w:pStyle w:val="TableParagraph"/>
              <w:spacing w:line="122" w:lineRule="exact"/>
              <w:ind w:right="44"/>
              <w:jc w:val="right"/>
              <w:rPr>
                <w:sz w:val="12"/>
              </w:rPr>
            </w:pPr>
            <w:r>
              <w:rPr>
                <w:sz w:val="12"/>
              </w:rPr>
              <w:t>0,00</w:t>
            </w:r>
          </w:p>
        </w:tc>
        <w:tc>
          <w:tcPr>
            <w:tcW w:w="608" w:type="dxa"/>
            <w:tcBorders>
              <w:top w:val="nil"/>
              <w:bottom w:val="single" w:sz="6" w:space="0" w:color="000000"/>
            </w:tcBorders>
          </w:tcPr>
          <w:p>
            <w:pPr>
              <w:pStyle w:val="TableParagraph"/>
              <w:spacing w:line="122" w:lineRule="exact"/>
              <w:ind w:right="44"/>
              <w:jc w:val="right"/>
              <w:rPr>
                <w:sz w:val="12"/>
              </w:rPr>
            </w:pPr>
            <w:r>
              <w:rPr>
                <w:sz w:val="12"/>
              </w:rPr>
              <w:t>0,00</w:t>
            </w:r>
          </w:p>
        </w:tc>
        <w:tc>
          <w:tcPr>
            <w:tcW w:w="639" w:type="dxa"/>
            <w:tcBorders>
              <w:top w:val="nil"/>
              <w:bottom w:val="single" w:sz="6" w:space="0" w:color="000000"/>
            </w:tcBorders>
          </w:tcPr>
          <w:p>
            <w:pPr>
              <w:pStyle w:val="TableParagraph"/>
              <w:spacing w:line="122" w:lineRule="exact"/>
              <w:ind w:right="47"/>
              <w:jc w:val="right"/>
              <w:rPr>
                <w:sz w:val="12"/>
              </w:rPr>
            </w:pPr>
            <w:r>
              <w:rPr>
                <w:sz w:val="12"/>
              </w:rPr>
              <w:t>0,00</w:t>
            </w:r>
          </w:p>
        </w:tc>
        <w:tc>
          <w:tcPr>
            <w:tcW w:w="684" w:type="dxa"/>
            <w:tcBorders>
              <w:top w:val="nil"/>
              <w:bottom w:val="single" w:sz="6" w:space="0" w:color="000000"/>
            </w:tcBorders>
          </w:tcPr>
          <w:p>
            <w:pPr>
              <w:pStyle w:val="TableParagraph"/>
              <w:spacing w:line="122" w:lineRule="exact"/>
              <w:ind w:right="48"/>
              <w:jc w:val="right"/>
              <w:rPr>
                <w:sz w:val="12"/>
              </w:rPr>
            </w:pPr>
            <w:r>
              <w:rPr>
                <w:sz w:val="12"/>
              </w:rPr>
              <w:t>0,00</w:t>
            </w:r>
          </w:p>
        </w:tc>
        <w:tc>
          <w:tcPr>
            <w:tcW w:w="561" w:type="dxa"/>
            <w:tcBorders>
              <w:top w:val="nil"/>
              <w:bottom w:val="single" w:sz="6" w:space="0" w:color="000000"/>
              <w:right w:val="single" w:sz="6" w:space="0" w:color="000000"/>
            </w:tcBorders>
          </w:tcPr>
          <w:p>
            <w:pPr>
              <w:pStyle w:val="TableParagraph"/>
              <w:spacing w:line="122" w:lineRule="exact"/>
              <w:ind w:right="45"/>
              <w:jc w:val="right"/>
              <w:rPr>
                <w:sz w:val="12"/>
              </w:rPr>
            </w:pPr>
            <w:r>
              <w:rPr>
                <w:sz w:val="12"/>
              </w:rPr>
              <w:t>0,00</w:t>
            </w:r>
          </w:p>
        </w:tc>
        <w:tc>
          <w:tcPr>
            <w:tcW w:w="841" w:type="dxa"/>
            <w:tcBorders>
              <w:top w:val="nil"/>
              <w:left w:val="single" w:sz="6" w:space="0" w:color="000000"/>
              <w:bottom w:val="single" w:sz="6" w:space="0" w:color="000000"/>
              <w:right w:val="single" w:sz="6" w:space="0" w:color="000000"/>
            </w:tcBorders>
          </w:tcPr>
          <w:p>
            <w:pPr>
              <w:pStyle w:val="TableParagraph"/>
              <w:spacing w:line="122" w:lineRule="exact"/>
              <w:ind w:right="47"/>
              <w:jc w:val="right"/>
              <w:rPr>
                <w:sz w:val="12"/>
              </w:rPr>
            </w:pPr>
            <w:r>
              <w:rPr>
                <w:sz w:val="12"/>
              </w:rPr>
              <w:t>0,00</w:t>
            </w:r>
          </w:p>
        </w:tc>
      </w:tr>
    </w:tbl>
    <w:p>
      <w:pPr>
        <w:pStyle w:val="BodyText"/>
        <w:rPr>
          <w:b/>
        </w:rPr>
      </w:pPr>
    </w:p>
    <w:p>
      <w:pPr>
        <w:pStyle w:val="BodyText"/>
        <w:rPr>
          <w:b/>
        </w:rPr>
      </w:pPr>
    </w:p>
    <w:p>
      <w:pPr>
        <w:pStyle w:val="BodyText"/>
        <w:rPr>
          <w:b/>
        </w:rPr>
      </w:pPr>
    </w:p>
    <w:p>
      <w:pPr>
        <w:pStyle w:val="BodyText"/>
        <w:rPr>
          <w:b/>
          <w:sz w:val="29"/>
        </w:rPr>
      </w:pPr>
    </w:p>
    <w:p>
      <w:pPr>
        <w:spacing w:before="68"/>
        <w:ind w:left="10420" w:right="1577" w:firstLine="0"/>
        <w:jc w:val="center"/>
        <w:rPr>
          <w:sz w:val="18"/>
        </w:rPr>
      </w:pPr>
      <w:r>
        <w:rPr>
          <w:w w:val="105"/>
          <w:sz w:val="18"/>
        </w:rPr>
        <w:t>185</w:t>
      </w:r>
    </w:p>
    <w:p>
      <w:pPr>
        <w:spacing w:before="8"/>
        <w:ind w:left="920"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9"/>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395" name="image5.png"/>
                  <wp:cNvGraphicFramePr>
                    <a:graphicFrameLocks noChangeAspect="1"/>
                  </wp:cNvGraphicFramePr>
                  <a:graphic>
                    <a:graphicData uri="http://schemas.openxmlformats.org/drawingml/2006/picture">
                      <pic:pic>
                        <pic:nvPicPr>
                          <pic:cNvPr id="39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187/247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797" w:footer="1006" w:top="1640" w:bottom="1200" w:left="1160" w:right="1160"/>
        </w:sectPr>
      </w:pPr>
    </w:p>
    <w:p>
      <w:pPr>
        <w:pStyle w:val="BodyText"/>
        <w:spacing w:before="10"/>
        <w:rPr>
          <w:b/>
          <w:sz w:val="27"/>
        </w:rPr>
      </w:pPr>
    </w:p>
    <w:p>
      <w:pPr>
        <w:pStyle w:val="Heading1"/>
        <w:spacing w:before="61"/>
        <w:ind w:left="2099"/>
        <w:jc w:val="left"/>
      </w:pPr>
      <w:r>
        <w:rPr>
          <w:color w:val="53A1B9"/>
        </w:rPr>
        <w:t>10.10 Anexo X. Obligaciones reconocidas por los OOAA y EEPP por programa 2022.</w:t>
      </w:r>
    </w:p>
    <w:p>
      <w:pPr>
        <w:pStyle w:val="BodyText"/>
        <w:spacing w:before="7"/>
        <w:rPr>
          <w:b/>
          <w:sz w:val="16"/>
        </w:rPr>
      </w:pPr>
    </w:p>
    <w:tbl>
      <w:tblPr>
        <w:tblW w:w="0" w:type="auto"/>
        <w:jc w:val="left"/>
        <w:tblInd w:w="2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7"/>
        <w:gridCol w:w="671"/>
        <w:gridCol w:w="3605"/>
        <w:gridCol w:w="1191"/>
      </w:tblGrid>
      <w:tr>
        <w:trPr>
          <w:trHeight w:val="251" w:hRule="atLeast"/>
        </w:trPr>
        <w:tc>
          <w:tcPr>
            <w:tcW w:w="957" w:type="dxa"/>
            <w:shd w:val="clear" w:color="auto" w:fill="DEEAF6"/>
          </w:tcPr>
          <w:p>
            <w:pPr>
              <w:pStyle w:val="TableParagraph"/>
              <w:spacing w:before="46"/>
              <w:ind w:left="80" w:right="71"/>
              <w:jc w:val="center"/>
              <w:rPr>
                <w:b/>
                <w:sz w:val="13"/>
              </w:rPr>
            </w:pPr>
            <w:r>
              <w:rPr>
                <w:b/>
                <w:w w:val="105"/>
                <w:sz w:val="13"/>
              </w:rPr>
              <w:t>OOAA y EEPP</w:t>
            </w:r>
          </w:p>
        </w:tc>
        <w:tc>
          <w:tcPr>
            <w:tcW w:w="4276" w:type="dxa"/>
            <w:gridSpan w:val="2"/>
            <w:shd w:val="clear" w:color="auto" w:fill="DEEAF6"/>
          </w:tcPr>
          <w:p>
            <w:pPr>
              <w:pStyle w:val="TableParagraph"/>
              <w:spacing w:before="46"/>
              <w:ind w:left="1739" w:right="1731"/>
              <w:jc w:val="center"/>
              <w:rPr>
                <w:b/>
                <w:sz w:val="13"/>
              </w:rPr>
            </w:pPr>
            <w:r>
              <w:rPr>
                <w:b/>
                <w:w w:val="105"/>
                <w:sz w:val="13"/>
              </w:rPr>
              <w:t>PROGRAMAS</w:t>
            </w:r>
          </w:p>
        </w:tc>
        <w:tc>
          <w:tcPr>
            <w:tcW w:w="1191" w:type="dxa"/>
            <w:shd w:val="clear" w:color="auto" w:fill="DEEAF6"/>
          </w:tcPr>
          <w:p>
            <w:pPr>
              <w:pStyle w:val="TableParagraph"/>
              <w:spacing w:before="46"/>
              <w:ind w:left="489" w:right="481"/>
              <w:jc w:val="center"/>
              <w:rPr>
                <w:b/>
                <w:sz w:val="13"/>
              </w:rPr>
            </w:pPr>
            <w:r>
              <w:rPr>
                <w:b/>
                <w:w w:val="105"/>
                <w:sz w:val="13"/>
              </w:rPr>
              <w:t>OR</w:t>
            </w:r>
          </w:p>
        </w:tc>
      </w:tr>
      <w:tr>
        <w:trPr>
          <w:trHeight w:val="249" w:hRule="atLeast"/>
        </w:trPr>
        <w:tc>
          <w:tcPr>
            <w:tcW w:w="957" w:type="dxa"/>
          </w:tcPr>
          <w:p>
            <w:pPr>
              <w:pStyle w:val="TableParagraph"/>
              <w:spacing w:before="46"/>
              <w:ind w:left="80" w:right="71"/>
              <w:jc w:val="center"/>
              <w:rPr>
                <w:sz w:val="13"/>
              </w:rPr>
            </w:pPr>
            <w:r>
              <w:rPr>
                <w:w w:val="105"/>
                <w:sz w:val="13"/>
              </w:rPr>
              <w:t>ICI</w:t>
            </w:r>
          </w:p>
        </w:tc>
        <w:tc>
          <w:tcPr>
            <w:tcW w:w="671" w:type="dxa"/>
          </w:tcPr>
          <w:p>
            <w:pPr>
              <w:pStyle w:val="TableParagraph"/>
              <w:spacing w:before="46"/>
              <w:ind w:left="128" w:right="125"/>
              <w:jc w:val="center"/>
              <w:rPr>
                <w:sz w:val="13"/>
              </w:rPr>
            </w:pPr>
            <w:r>
              <w:rPr>
                <w:w w:val="105"/>
                <w:sz w:val="13"/>
              </w:rPr>
              <w:t>232B</w:t>
            </w:r>
          </w:p>
        </w:tc>
        <w:tc>
          <w:tcPr>
            <w:tcW w:w="3605" w:type="dxa"/>
          </w:tcPr>
          <w:p>
            <w:pPr>
              <w:pStyle w:val="TableParagraph"/>
              <w:spacing w:before="46"/>
              <w:ind w:left="193"/>
              <w:rPr>
                <w:sz w:val="13"/>
              </w:rPr>
            </w:pPr>
            <w:r>
              <w:rPr>
                <w:w w:val="105"/>
                <w:sz w:val="13"/>
              </w:rPr>
              <w:t>Promoción Igualdad de Oportunidades para</w:t>
            </w:r>
          </w:p>
        </w:tc>
        <w:tc>
          <w:tcPr>
            <w:tcW w:w="1191" w:type="dxa"/>
          </w:tcPr>
          <w:p>
            <w:pPr>
              <w:pStyle w:val="TableParagraph"/>
              <w:spacing w:before="46"/>
              <w:ind w:right="44"/>
              <w:jc w:val="right"/>
              <w:rPr>
                <w:sz w:val="13"/>
              </w:rPr>
            </w:pPr>
            <w:r>
              <w:rPr>
                <w:w w:val="105"/>
                <w:sz w:val="13"/>
              </w:rPr>
              <w:t>14.946.899,83</w:t>
            </w:r>
          </w:p>
        </w:tc>
      </w:tr>
      <w:tr>
        <w:trPr>
          <w:trHeight w:val="249" w:hRule="atLeast"/>
        </w:trPr>
        <w:tc>
          <w:tcPr>
            <w:tcW w:w="957"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1"/>
              <w:rPr>
                <w:b/>
                <w:sz w:val="15"/>
              </w:rPr>
            </w:pPr>
          </w:p>
          <w:p>
            <w:pPr>
              <w:pStyle w:val="TableParagraph"/>
              <w:ind w:left="80" w:right="71"/>
              <w:jc w:val="center"/>
              <w:rPr>
                <w:sz w:val="13"/>
              </w:rPr>
            </w:pPr>
            <w:r>
              <w:rPr>
                <w:w w:val="105"/>
                <w:sz w:val="13"/>
              </w:rPr>
              <w:t>SCE</w:t>
            </w:r>
          </w:p>
        </w:tc>
        <w:tc>
          <w:tcPr>
            <w:tcW w:w="671" w:type="dxa"/>
          </w:tcPr>
          <w:p>
            <w:pPr>
              <w:pStyle w:val="TableParagraph"/>
              <w:spacing w:before="46"/>
              <w:ind w:left="123" w:right="125"/>
              <w:jc w:val="center"/>
              <w:rPr>
                <w:sz w:val="13"/>
              </w:rPr>
            </w:pPr>
            <w:r>
              <w:rPr>
                <w:w w:val="105"/>
                <w:sz w:val="13"/>
              </w:rPr>
              <w:t>241E</w:t>
            </w:r>
          </w:p>
        </w:tc>
        <w:tc>
          <w:tcPr>
            <w:tcW w:w="3605" w:type="dxa"/>
          </w:tcPr>
          <w:p>
            <w:pPr>
              <w:pStyle w:val="TableParagraph"/>
              <w:spacing w:before="46"/>
              <w:ind w:left="193"/>
              <w:rPr>
                <w:sz w:val="13"/>
              </w:rPr>
            </w:pPr>
            <w:r>
              <w:rPr>
                <w:w w:val="105"/>
                <w:sz w:val="13"/>
              </w:rPr>
              <w:t>Dirección y Gestión Administrativa del S</w:t>
            </w:r>
          </w:p>
        </w:tc>
        <w:tc>
          <w:tcPr>
            <w:tcW w:w="1191" w:type="dxa"/>
          </w:tcPr>
          <w:p>
            <w:pPr>
              <w:pStyle w:val="TableParagraph"/>
              <w:spacing w:before="46"/>
              <w:ind w:right="44"/>
              <w:jc w:val="right"/>
              <w:rPr>
                <w:sz w:val="13"/>
              </w:rPr>
            </w:pPr>
            <w:r>
              <w:rPr>
                <w:w w:val="105"/>
                <w:sz w:val="13"/>
              </w:rPr>
              <w:t>70.357.974,86</w:t>
            </w:r>
          </w:p>
        </w:tc>
      </w:tr>
      <w:tr>
        <w:trPr>
          <w:trHeight w:val="249" w:hRule="atLeast"/>
        </w:trPr>
        <w:tc>
          <w:tcPr>
            <w:tcW w:w="957" w:type="dxa"/>
            <w:vMerge/>
            <w:tcBorders>
              <w:top w:val="nil"/>
            </w:tcBorders>
          </w:tcPr>
          <w:p>
            <w:pPr>
              <w:rPr>
                <w:sz w:val="2"/>
                <w:szCs w:val="2"/>
              </w:rPr>
            </w:pPr>
          </w:p>
        </w:tc>
        <w:tc>
          <w:tcPr>
            <w:tcW w:w="671" w:type="dxa"/>
          </w:tcPr>
          <w:p>
            <w:pPr>
              <w:pStyle w:val="TableParagraph"/>
              <w:spacing w:before="46"/>
              <w:ind w:left="138" w:right="125"/>
              <w:jc w:val="center"/>
              <w:rPr>
                <w:sz w:val="13"/>
              </w:rPr>
            </w:pPr>
            <w:r>
              <w:rPr>
                <w:w w:val="105"/>
                <w:sz w:val="13"/>
              </w:rPr>
              <w:t>241H</w:t>
            </w:r>
          </w:p>
        </w:tc>
        <w:tc>
          <w:tcPr>
            <w:tcW w:w="3605" w:type="dxa"/>
          </w:tcPr>
          <w:p>
            <w:pPr>
              <w:pStyle w:val="TableParagraph"/>
              <w:spacing w:before="46"/>
              <w:ind w:left="193"/>
              <w:rPr>
                <w:sz w:val="13"/>
              </w:rPr>
            </w:pPr>
            <w:r>
              <w:rPr>
                <w:w w:val="105"/>
                <w:sz w:val="13"/>
              </w:rPr>
              <w:t>Inserción y Reinserción Ocupac. de Desem</w:t>
            </w:r>
          </w:p>
        </w:tc>
        <w:tc>
          <w:tcPr>
            <w:tcW w:w="1191" w:type="dxa"/>
          </w:tcPr>
          <w:p>
            <w:pPr>
              <w:pStyle w:val="TableParagraph"/>
              <w:spacing w:before="46"/>
              <w:ind w:right="45"/>
              <w:jc w:val="right"/>
              <w:rPr>
                <w:sz w:val="13"/>
              </w:rPr>
            </w:pPr>
            <w:r>
              <w:rPr>
                <w:sz w:val="13"/>
              </w:rPr>
              <w:t>270.175.538,84</w:t>
            </w:r>
          </w:p>
        </w:tc>
      </w:tr>
      <w:tr>
        <w:trPr>
          <w:trHeight w:val="249" w:hRule="atLeast"/>
        </w:trPr>
        <w:tc>
          <w:tcPr>
            <w:tcW w:w="957" w:type="dxa"/>
            <w:vMerge/>
            <w:tcBorders>
              <w:top w:val="nil"/>
            </w:tcBorders>
          </w:tcPr>
          <w:p>
            <w:pPr>
              <w:rPr>
                <w:sz w:val="2"/>
                <w:szCs w:val="2"/>
              </w:rPr>
            </w:pPr>
          </w:p>
        </w:tc>
        <w:tc>
          <w:tcPr>
            <w:tcW w:w="671" w:type="dxa"/>
          </w:tcPr>
          <w:p>
            <w:pPr>
              <w:pStyle w:val="TableParagraph"/>
              <w:spacing w:before="46"/>
              <w:ind w:left="100" w:right="125"/>
              <w:jc w:val="center"/>
              <w:rPr>
                <w:sz w:val="13"/>
              </w:rPr>
            </w:pPr>
            <w:r>
              <w:rPr>
                <w:w w:val="105"/>
                <w:sz w:val="13"/>
              </w:rPr>
              <w:t>241J</w:t>
            </w:r>
          </w:p>
        </w:tc>
        <w:tc>
          <w:tcPr>
            <w:tcW w:w="3605" w:type="dxa"/>
          </w:tcPr>
          <w:p>
            <w:pPr>
              <w:pStyle w:val="TableParagraph"/>
              <w:spacing w:before="46"/>
              <w:ind w:left="193"/>
              <w:rPr>
                <w:sz w:val="13"/>
              </w:rPr>
            </w:pPr>
            <w:r>
              <w:rPr>
                <w:w w:val="105"/>
                <w:sz w:val="13"/>
              </w:rPr>
              <w:t>Refuerzo de Estabilidad en Empleo y Adap</w:t>
            </w:r>
          </w:p>
        </w:tc>
        <w:tc>
          <w:tcPr>
            <w:tcW w:w="1191" w:type="dxa"/>
          </w:tcPr>
          <w:p>
            <w:pPr>
              <w:pStyle w:val="TableParagraph"/>
              <w:spacing w:before="46"/>
              <w:ind w:right="44"/>
              <w:jc w:val="right"/>
              <w:rPr>
                <w:sz w:val="13"/>
              </w:rPr>
            </w:pPr>
            <w:r>
              <w:rPr>
                <w:w w:val="105"/>
                <w:sz w:val="13"/>
              </w:rPr>
              <w:t>15.985.650,10</w:t>
            </w:r>
          </w:p>
        </w:tc>
      </w:tr>
      <w:tr>
        <w:trPr>
          <w:trHeight w:val="249" w:hRule="atLeast"/>
        </w:trPr>
        <w:tc>
          <w:tcPr>
            <w:tcW w:w="957" w:type="dxa"/>
            <w:vMerge/>
            <w:tcBorders>
              <w:top w:val="nil"/>
            </w:tcBorders>
          </w:tcPr>
          <w:p>
            <w:pPr>
              <w:rPr>
                <w:sz w:val="2"/>
                <w:szCs w:val="2"/>
              </w:rPr>
            </w:pPr>
          </w:p>
        </w:tc>
        <w:tc>
          <w:tcPr>
            <w:tcW w:w="671" w:type="dxa"/>
          </w:tcPr>
          <w:p>
            <w:pPr>
              <w:pStyle w:val="TableParagraph"/>
              <w:spacing w:before="46"/>
              <w:ind w:left="125" w:right="125"/>
              <w:jc w:val="center"/>
              <w:rPr>
                <w:sz w:val="13"/>
              </w:rPr>
            </w:pPr>
            <w:r>
              <w:rPr>
                <w:w w:val="105"/>
                <w:sz w:val="13"/>
              </w:rPr>
              <w:t>241K</w:t>
            </w:r>
          </w:p>
        </w:tc>
        <w:tc>
          <w:tcPr>
            <w:tcW w:w="3605" w:type="dxa"/>
          </w:tcPr>
          <w:p>
            <w:pPr>
              <w:pStyle w:val="TableParagraph"/>
              <w:spacing w:before="46"/>
              <w:ind w:left="193"/>
              <w:rPr>
                <w:sz w:val="13"/>
              </w:rPr>
            </w:pPr>
            <w:r>
              <w:rPr>
                <w:w w:val="105"/>
                <w:sz w:val="13"/>
              </w:rPr>
              <w:t>Refuerzo de la Capacidad Empresarial</w:t>
            </w:r>
          </w:p>
        </w:tc>
        <w:tc>
          <w:tcPr>
            <w:tcW w:w="1191" w:type="dxa"/>
          </w:tcPr>
          <w:p>
            <w:pPr>
              <w:pStyle w:val="TableParagraph"/>
              <w:spacing w:before="46"/>
              <w:ind w:right="44"/>
              <w:jc w:val="right"/>
              <w:rPr>
                <w:sz w:val="13"/>
              </w:rPr>
            </w:pPr>
            <w:r>
              <w:rPr>
                <w:w w:val="105"/>
                <w:sz w:val="13"/>
              </w:rPr>
              <w:t>31.181.311,56</w:t>
            </w:r>
          </w:p>
        </w:tc>
      </w:tr>
      <w:tr>
        <w:trPr>
          <w:trHeight w:val="251" w:hRule="atLeast"/>
        </w:trPr>
        <w:tc>
          <w:tcPr>
            <w:tcW w:w="957" w:type="dxa"/>
            <w:vMerge/>
            <w:tcBorders>
              <w:top w:val="nil"/>
            </w:tcBorders>
          </w:tcPr>
          <w:p>
            <w:pPr>
              <w:rPr>
                <w:sz w:val="2"/>
                <w:szCs w:val="2"/>
              </w:rPr>
            </w:pPr>
          </w:p>
        </w:tc>
        <w:tc>
          <w:tcPr>
            <w:tcW w:w="671" w:type="dxa"/>
          </w:tcPr>
          <w:p>
            <w:pPr>
              <w:pStyle w:val="TableParagraph"/>
              <w:spacing w:before="46"/>
              <w:ind w:left="114" w:right="125"/>
              <w:jc w:val="center"/>
              <w:rPr>
                <w:sz w:val="13"/>
              </w:rPr>
            </w:pPr>
            <w:r>
              <w:rPr>
                <w:w w:val="105"/>
                <w:sz w:val="13"/>
              </w:rPr>
              <w:t>241L</w:t>
            </w:r>
          </w:p>
        </w:tc>
        <w:tc>
          <w:tcPr>
            <w:tcW w:w="3605" w:type="dxa"/>
          </w:tcPr>
          <w:p>
            <w:pPr>
              <w:pStyle w:val="TableParagraph"/>
              <w:spacing w:before="46"/>
              <w:ind w:left="193"/>
              <w:rPr>
                <w:sz w:val="13"/>
              </w:rPr>
            </w:pPr>
            <w:r>
              <w:rPr>
                <w:w w:val="105"/>
                <w:sz w:val="13"/>
              </w:rPr>
              <w:t>Integración Lab. Pers. con Especiales Di</w:t>
            </w:r>
          </w:p>
        </w:tc>
        <w:tc>
          <w:tcPr>
            <w:tcW w:w="1191" w:type="dxa"/>
          </w:tcPr>
          <w:p>
            <w:pPr>
              <w:pStyle w:val="TableParagraph"/>
              <w:spacing w:before="46"/>
              <w:ind w:right="44"/>
              <w:jc w:val="right"/>
              <w:rPr>
                <w:sz w:val="13"/>
              </w:rPr>
            </w:pPr>
            <w:r>
              <w:rPr>
                <w:w w:val="105"/>
                <w:sz w:val="13"/>
              </w:rPr>
              <w:t>13.975.331,21</w:t>
            </w:r>
          </w:p>
        </w:tc>
      </w:tr>
      <w:tr>
        <w:trPr>
          <w:trHeight w:val="250" w:hRule="atLeast"/>
        </w:trPr>
        <w:tc>
          <w:tcPr>
            <w:tcW w:w="957" w:type="dxa"/>
            <w:vMerge/>
            <w:tcBorders>
              <w:top w:val="nil"/>
            </w:tcBorders>
          </w:tcPr>
          <w:p>
            <w:pPr>
              <w:rPr>
                <w:sz w:val="2"/>
                <w:szCs w:val="2"/>
              </w:rPr>
            </w:pPr>
          </w:p>
        </w:tc>
        <w:tc>
          <w:tcPr>
            <w:tcW w:w="671" w:type="dxa"/>
          </w:tcPr>
          <w:p>
            <w:pPr>
              <w:pStyle w:val="TableParagraph"/>
              <w:spacing w:before="47"/>
              <w:ind w:left="170" w:right="125"/>
              <w:jc w:val="center"/>
              <w:rPr>
                <w:sz w:val="13"/>
              </w:rPr>
            </w:pPr>
            <w:r>
              <w:rPr>
                <w:w w:val="105"/>
                <w:sz w:val="13"/>
              </w:rPr>
              <w:t>241M</w:t>
            </w:r>
          </w:p>
        </w:tc>
        <w:tc>
          <w:tcPr>
            <w:tcW w:w="3605" w:type="dxa"/>
          </w:tcPr>
          <w:p>
            <w:pPr>
              <w:pStyle w:val="TableParagraph"/>
              <w:spacing w:before="47"/>
              <w:ind w:left="193"/>
              <w:rPr>
                <w:sz w:val="13"/>
              </w:rPr>
            </w:pPr>
            <w:r>
              <w:rPr>
                <w:w w:val="105"/>
                <w:sz w:val="13"/>
              </w:rPr>
              <w:t>Modernización del Servicio Canario de Em</w:t>
            </w:r>
          </w:p>
        </w:tc>
        <w:tc>
          <w:tcPr>
            <w:tcW w:w="1191" w:type="dxa"/>
          </w:tcPr>
          <w:p>
            <w:pPr>
              <w:pStyle w:val="TableParagraph"/>
              <w:spacing w:before="47"/>
              <w:ind w:right="44"/>
              <w:jc w:val="right"/>
              <w:rPr>
                <w:sz w:val="13"/>
              </w:rPr>
            </w:pPr>
            <w:r>
              <w:rPr>
                <w:w w:val="105"/>
                <w:sz w:val="13"/>
              </w:rPr>
              <w:t>15.969.288,67</w:t>
            </w:r>
          </w:p>
        </w:tc>
      </w:tr>
      <w:tr>
        <w:trPr>
          <w:trHeight w:val="249" w:hRule="atLeast"/>
        </w:trPr>
        <w:tc>
          <w:tcPr>
            <w:tcW w:w="957" w:type="dxa"/>
            <w:vMerge w:val="restart"/>
          </w:tcPr>
          <w:p>
            <w:pPr>
              <w:pStyle w:val="TableParagraph"/>
              <w:rPr>
                <w:b/>
                <w:sz w:val="14"/>
              </w:rPr>
            </w:pPr>
          </w:p>
          <w:p>
            <w:pPr>
              <w:pStyle w:val="TableParagraph"/>
              <w:rPr>
                <w:b/>
                <w:sz w:val="14"/>
              </w:rPr>
            </w:pPr>
          </w:p>
          <w:p>
            <w:pPr>
              <w:pStyle w:val="TableParagraph"/>
              <w:spacing w:before="4"/>
              <w:rPr>
                <w:b/>
                <w:sz w:val="18"/>
              </w:rPr>
            </w:pPr>
          </w:p>
          <w:p>
            <w:pPr>
              <w:pStyle w:val="TableParagraph"/>
              <w:spacing w:before="1"/>
              <w:ind w:left="79" w:right="71"/>
              <w:jc w:val="center"/>
              <w:rPr>
                <w:sz w:val="13"/>
              </w:rPr>
            </w:pPr>
            <w:r>
              <w:rPr>
                <w:w w:val="105"/>
                <w:sz w:val="13"/>
              </w:rPr>
              <w:t>ICV</w:t>
            </w:r>
          </w:p>
        </w:tc>
        <w:tc>
          <w:tcPr>
            <w:tcW w:w="671" w:type="dxa"/>
            <w:tcBorders>
              <w:bottom w:val="single" w:sz="4" w:space="0" w:color="000080"/>
              <w:right w:val="single" w:sz="4" w:space="0" w:color="000080"/>
            </w:tcBorders>
          </w:tcPr>
          <w:p>
            <w:pPr>
              <w:pStyle w:val="TableParagraph"/>
              <w:spacing w:before="46"/>
              <w:ind w:left="132" w:right="125"/>
              <w:jc w:val="center"/>
              <w:rPr>
                <w:sz w:val="13"/>
              </w:rPr>
            </w:pPr>
            <w:r>
              <w:rPr>
                <w:w w:val="105"/>
                <w:sz w:val="13"/>
              </w:rPr>
              <w:t>261A</w:t>
            </w:r>
          </w:p>
        </w:tc>
        <w:tc>
          <w:tcPr>
            <w:tcW w:w="3605" w:type="dxa"/>
            <w:tcBorders>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Dirección, Promoción y Gestión en mat. d</w:t>
            </w:r>
          </w:p>
        </w:tc>
        <w:tc>
          <w:tcPr>
            <w:tcW w:w="1191" w:type="dxa"/>
            <w:tcBorders>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16.136.695,19</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28" w:right="125"/>
              <w:jc w:val="center"/>
              <w:rPr>
                <w:sz w:val="13"/>
              </w:rPr>
            </w:pPr>
            <w:r>
              <w:rPr>
                <w:w w:val="105"/>
                <w:sz w:val="13"/>
              </w:rPr>
              <w:t>261B</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Promoción y Rehabilit. Parque Públ. de V</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17.738.300,45</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26" w:right="125"/>
              <w:jc w:val="center"/>
              <w:rPr>
                <w:sz w:val="13"/>
              </w:rPr>
            </w:pPr>
            <w:r>
              <w:rPr>
                <w:w w:val="105"/>
                <w:sz w:val="13"/>
              </w:rPr>
              <w:t>261C</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Gestión de Viviendas de Promoción Públic</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11.356.319,48</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37" w:right="125"/>
              <w:jc w:val="center"/>
              <w:rPr>
                <w:sz w:val="13"/>
              </w:rPr>
            </w:pPr>
            <w:r>
              <w:rPr>
                <w:w w:val="105"/>
                <w:sz w:val="13"/>
              </w:rPr>
              <w:t>261D</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Fomento de Viviendas Protegidas</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5"/>
              <w:jc w:val="right"/>
              <w:rPr>
                <w:sz w:val="13"/>
              </w:rPr>
            </w:pPr>
            <w:r>
              <w:rPr>
                <w:sz w:val="13"/>
              </w:rPr>
              <w:t>110.138.791,10</w:t>
            </w:r>
          </w:p>
        </w:tc>
      </w:tr>
      <w:tr>
        <w:trPr>
          <w:trHeight w:val="251"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32" w:right="125"/>
              <w:jc w:val="center"/>
              <w:rPr>
                <w:sz w:val="13"/>
              </w:rPr>
            </w:pPr>
            <w:r>
              <w:rPr>
                <w:w w:val="105"/>
                <w:sz w:val="13"/>
              </w:rPr>
              <w:t>912A</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Dirección Política y Gobierno</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79.640,30</w:t>
            </w:r>
          </w:p>
        </w:tc>
      </w:tr>
      <w:tr>
        <w:trPr>
          <w:trHeight w:val="249" w:hRule="atLeast"/>
        </w:trPr>
        <w:tc>
          <w:tcPr>
            <w:tcW w:w="957" w:type="dxa"/>
            <w:vMerge w:val="restart"/>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4"/>
              <w:rPr>
                <w:b/>
                <w:sz w:val="16"/>
              </w:rPr>
            </w:pPr>
          </w:p>
          <w:p>
            <w:pPr>
              <w:pStyle w:val="TableParagraph"/>
              <w:ind w:left="80" w:right="70"/>
              <w:jc w:val="center"/>
              <w:rPr>
                <w:sz w:val="13"/>
              </w:rPr>
            </w:pPr>
            <w:r>
              <w:rPr>
                <w:w w:val="105"/>
                <w:sz w:val="13"/>
              </w:rPr>
              <w:t>SCS</w:t>
            </w:r>
          </w:p>
        </w:tc>
        <w:tc>
          <w:tcPr>
            <w:tcW w:w="671" w:type="dxa"/>
            <w:tcBorders>
              <w:top w:val="single" w:sz="4" w:space="0" w:color="000080"/>
              <w:bottom w:val="single" w:sz="4" w:space="0" w:color="000080"/>
              <w:right w:val="single" w:sz="4" w:space="0" w:color="000080"/>
            </w:tcBorders>
          </w:tcPr>
          <w:p>
            <w:pPr>
              <w:pStyle w:val="TableParagraph"/>
              <w:spacing w:before="46"/>
              <w:ind w:left="132" w:right="125"/>
              <w:jc w:val="center"/>
              <w:rPr>
                <w:sz w:val="13"/>
              </w:rPr>
            </w:pPr>
            <w:r>
              <w:rPr>
                <w:w w:val="105"/>
                <w:sz w:val="13"/>
              </w:rPr>
              <w:t>231A</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Atención a las Drogodependencias</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13.177.783,20</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32" w:right="125"/>
              <w:jc w:val="center"/>
              <w:rPr>
                <w:sz w:val="13"/>
              </w:rPr>
            </w:pPr>
            <w:r>
              <w:rPr>
                <w:w w:val="105"/>
                <w:sz w:val="13"/>
              </w:rPr>
              <w:t>311A</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Dirección Administrativa y Servicios Gen</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53.795.494,30</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26" w:right="125"/>
              <w:jc w:val="center"/>
              <w:rPr>
                <w:sz w:val="13"/>
              </w:rPr>
            </w:pPr>
            <w:r>
              <w:rPr>
                <w:w w:val="105"/>
                <w:sz w:val="13"/>
              </w:rPr>
              <w:t>311C</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Formación del Personal Sanitario</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70.105.912,18</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23" w:right="125"/>
              <w:jc w:val="center"/>
              <w:rPr>
                <w:sz w:val="13"/>
              </w:rPr>
            </w:pPr>
            <w:r>
              <w:rPr>
                <w:w w:val="105"/>
                <w:sz w:val="13"/>
              </w:rPr>
              <w:t>311E</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Dirección Administrativa y Servicios Gen</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200.012,90</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19" w:right="125"/>
              <w:jc w:val="center"/>
              <w:rPr>
                <w:sz w:val="13"/>
              </w:rPr>
            </w:pPr>
            <w:r>
              <w:rPr>
                <w:w w:val="105"/>
                <w:sz w:val="13"/>
              </w:rPr>
              <w:t>311F</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Dirección Adm. y Servicios Generales REA</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355.044,95</w:t>
            </w:r>
          </w:p>
        </w:tc>
      </w:tr>
      <w:tr>
        <w:trPr>
          <w:trHeight w:val="252"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26" w:right="125"/>
              <w:jc w:val="center"/>
              <w:rPr>
                <w:sz w:val="13"/>
              </w:rPr>
            </w:pPr>
            <w:r>
              <w:rPr>
                <w:w w:val="105"/>
                <w:sz w:val="13"/>
              </w:rPr>
              <w:t>312C</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Atención Especializada</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2.565.091.226,53</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37" w:right="125"/>
              <w:jc w:val="center"/>
              <w:rPr>
                <w:sz w:val="13"/>
              </w:rPr>
            </w:pPr>
            <w:r>
              <w:rPr>
                <w:w w:val="105"/>
                <w:sz w:val="13"/>
              </w:rPr>
              <w:t>312D</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Atención Especializada MRR</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3.191.540,33</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23" w:right="125"/>
              <w:jc w:val="center"/>
              <w:rPr>
                <w:sz w:val="13"/>
              </w:rPr>
            </w:pPr>
            <w:r>
              <w:rPr>
                <w:w w:val="105"/>
                <w:sz w:val="13"/>
              </w:rPr>
              <w:t>312E</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Atención Especializada REACT EU</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53.240.474,55</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19" w:right="125"/>
              <w:jc w:val="center"/>
              <w:rPr>
                <w:sz w:val="13"/>
              </w:rPr>
            </w:pPr>
            <w:r>
              <w:rPr>
                <w:w w:val="105"/>
                <w:sz w:val="13"/>
              </w:rPr>
              <w:t>312F</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Atención Primaria</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1.256.772.715,33</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40" w:right="125"/>
              <w:jc w:val="center"/>
              <w:rPr>
                <w:sz w:val="13"/>
              </w:rPr>
            </w:pPr>
            <w:r>
              <w:rPr>
                <w:w w:val="105"/>
                <w:sz w:val="13"/>
              </w:rPr>
              <w:t>312G</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Atención Primaria MRR</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292.861,86</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38" w:right="125"/>
              <w:jc w:val="center"/>
              <w:rPr>
                <w:sz w:val="13"/>
              </w:rPr>
            </w:pPr>
            <w:r>
              <w:rPr>
                <w:w w:val="105"/>
                <w:sz w:val="13"/>
              </w:rPr>
              <w:t>312H</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Atención Primaria REACT EU</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18.297.875,85</w:t>
            </w:r>
          </w:p>
        </w:tc>
      </w:tr>
      <w:tr>
        <w:trPr>
          <w:trHeight w:val="251"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32" w:right="125"/>
              <w:jc w:val="center"/>
              <w:rPr>
                <w:sz w:val="13"/>
              </w:rPr>
            </w:pPr>
            <w:r>
              <w:rPr>
                <w:w w:val="105"/>
                <w:sz w:val="13"/>
              </w:rPr>
              <w:t>313A</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Salud Pública</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36.739.729,02</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32" w:right="125"/>
              <w:jc w:val="center"/>
              <w:rPr>
                <w:sz w:val="13"/>
              </w:rPr>
            </w:pPr>
            <w:r>
              <w:rPr>
                <w:w w:val="105"/>
                <w:sz w:val="13"/>
              </w:rPr>
              <w:t>465A</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Investigación Sanitaria</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2.487.095,14</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right w:val="single" w:sz="4" w:space="0" w:color="000080"/>
            </w:tcBorders>
          </w:tcPr>
          <w:p>
            <w:pPr>
              <w:pStyle w:val="TableParagraph"/>
              <w:spacing w:before="46"/>
              <w:ind w:left="132" w:right="125"/>
              <w:jc w:val="center"/>
              <w:rPr>
                <w:sz w:val="13"/>
              </w:rPr>
            </w:pPr>
            <w:r>
              <w:rPr>
                <w:w w:val="105"/>
                <w:sz w:val="13"/>
              </w:rPr>
              <w:t>912A</w:t>
            </w:r>
          </w:p>
        </w:tc>
        <w:tc>
          <w:tcPr>
            <w:tcW w:w="3605" w:type="dxa"/>
            <w:tcBorders>
              <w:top w:val="single" w:sz="4" w:space="0" w:color="000080"/>
              <w:left w:val="single" w:sz="4" w:space="0" w:color="000080"/>
              <w:right w:val="single" w:sz="4" w:space="0" w:color="000080"/>
            </w:tcBorders>
          </w:tcPr>
          <w:p>
            <w:pPr>
              <w:pStyle w:val="TableParagraph"/>
              <w:spacing w:before="46"/>
              <w:ind w:left="193"/>
              <w:rPr>
                <w:sz w:val="13"/>
              </w:rPr>
            </w:pPr>
            <w:r>
              <w:rPr>
                <w:w w:val="105"/>
                <w:sz w:val="13"/>
              </w:rPr>
              <w:t>Dirección Política y Gobierno</w:t>
            </w:r>
          </w:p>
        </w:tc>
        <w:tc>
          <w:tcPr>
            <w:tcW w:w="1191" w:type="dxa"/>
            <w:tcBorders>
              <w:top w:val="single" w:sz="4" w:space="0" w:color="000080"/>
              <w:left w:val="single" w:sz="4" w:space="0" w:color="000080"/>
              <w:right w:val="single" w:sz="4" w:space="0" w:color="000080"/>
            </w:tcBorders>
          </w:tcPr>
          <w:p>
            <w:pPr>
              <w:pStyle w:val="TableParagraph"/>
              <w:spacing w:before="46"/>
              <w:ind w:right="44"/>
              <w:jc w:val="right"/>
              <w:rPr>
                <w:sz w:val="13"/>
              </w:rPr>
            </w:pPr>
            <w:r>
              <w:rPr>
                <w:w w:val="105"/>
                <w:sz w:val="13"/>
              </w:rPr>
              <w:t>994.279,42</w:t>
            </w:r>
          </w:p>
        </w:tc>
      </w:tr>
      <w:tr>
        <w:trPr>
          <w:trHeight w:val="249" w:hRule="atLeast"/>
        </w:trPr>
        <w:tc>
          <w:tcPr>
            <w:tcW w:w="957" w:type="dxa"/>
            <w:vMerge w:val="restart"/>
          </w:tcPr>
          <w:p>
            <w:pPr>
              <w:pStyle w:val="TableParagraph"/>
              <w:spacing w:before="4"/>
              <w:rPr>
                <w:b/>
                <w:sz w:val="14"/>
              </w:rPr>
            </w:pPr>
          </w:p>
          <w:p>
            <w:pPr>
              <w:pStyle w:val="TableParagraph"/>
              <w:ind w:left="256"/>
              <w:rPr>
                <w:sz w:val="13"/>
              </w:rPr>
            </w:pPr>
            <w:r>
              <w:rPr>
                <w:w w:val="105"/>
                <w:sz w:val="13"/>
              </w:rPr>
              <w:t>ACCUEE</w:t>
            </w:r>
          </w:p>
        </w:tc>
        <w:tc>
          <w:tcPr>
            <w:tcW w:w="671" w:type="dxa"/>
          </w:tcPr>
          <w:p>
            <w:pPr>
              <w:pStyle w:val="TableParagraph"/>
              <w:spacing w:before="46"/>
              <w:ind w:left="126" w:right="125"/>
              <w:jc w:val="center"/>
              <w:rPr>
                <w:sz w:val="13"/>
              </w:rPr>
            </w:pPr>
            <w:r>
              <w:rPr>
                <w:w w:val="105"/>
                <w:sz w:val="13"/>
              </w:rPr>
              <w:t>321C</w:t>
            </w:r>
          </w:p>
        </w:tc>
        <w:tc>
          <w:tcPr>
            <w:tcW w:w="3605" w:type="dxa"/>
          </w:tcPr>
          <w:p>
            <w:pPr>
              <w:pStyle w:val="TableParagraph"/>
              <w:spacing w:before="46"/>
              <w:ind w:left="193"/>
              <w:rPr>
                <w:sz w:val="13"/>
              </w:rPr>
            </w:pPr>
            <w:r>
              <w:rPr>
                <w:w w:val="105"/>
                <w:sz w:val="13"/>
              </w:rPr>
              <w:t>Calidad y Evaluación del Sistema Educativo</w:t>
            </w:r>
          </w:p>
        </w:tc>
        <w:tc>
          <w:tcPr>
            <w:tcW w:w="1191" w:type="dxa"/>
          </w:tcPr>
          <w:p>
            <w:pPr>
              <w:pStyle w:val="TableParagraph"/>
              <w:spacing w:before="46"/>
              <w:ind w:right="44"/>
              <w:jc w:val="right"/>
              <w:rPr>
                <w:sz w:val="13"/>
              </w:rPr>
            </w:pPr>
            <w:r>
              <w:rPr>
                <w:w w:val="105"/>
                <w:sz w:val="13"/>
              </w:rPr>
              <w:t>1.043.502,31</w:t>
            </w:r>
          </w:p>
        </w:tc>
      </w:tr>
      <w:tr>
        <w:trPr>
          <w:trHeight w:val="249" w:hRule="atLeast"/>
        </w:trPr>
        <w:tc>
          <w:tcPr>
            <w:tcW w:w="957" w:type="dxa"/>
            <w:vMerge/>
            <w:tcBorders>
              <w:top w:val="nil"/>
            </w:tcBorders>
          </w:tcPr>
          <w:p>
            <w:pPr>
              <w:rPr>
                <w:sz w:val="2"/>
                <w:szCs w:val="2"/>
              </w:rPr>
            </w:pPr>
          </w:p>
        </w:tc>
        <w:tc>
          <w:tcPr>
            <w:tcW w:w="671" w:type="dxa"/>
          </w:tcPr>
          <w:p>
            <w:pPr>
              <w:pStyle w:val="TableParagraph"/>
              <w:spacing w:before="46"/>
              <w:ind w:left="132" w:right="125"/>
              <w:jc w:val="center"/>
              <w:rPr>
                <w:sz w:val="13"/>
              </w:rPr>
            </w:pPr>
            <w:r>
              <w:rPr>
                <w:w w:val="105"/>
                <w:sz w:val="13"/>
              </w:rPr>
              <w:t>912A</w:t>
            </w:r>
          </w:p>
        </w:tc>
        <w:tc>
          <w:tcPr>
            <w:tcW w:w="3605" w:type="dxa"/>
          </w:tcPr>
          <w:p>
            <w:pPr>
              <w:pStyle w:val="TableParagraph"/>
              <w:spacing w:before="46"/>
              <w:ind w:left="193"/>
              <w:rPr>
                <w:sz w:val="13"/>
              </w:rPr>
            </w:pPr>
            <w:r>
              <w:rPr>
                <w:w w:val="105"/>
                <w:sz w:val="13"/>
              </w:rPr>
              <w:t>Dirección Política y Gobierno</w:t>
            </w:r>
          </w:p>
        </w:tc>
        <w:tc>
          <w:tcPr>
            <w:tcW w:w="1191" w:type="dxa"/>
          </w:tcPr>
          <w:p>
            <w:pPr>
              <w:pStyle w:val="TableParagraph"/>
              <w:spacing w:before="46"/>
              <w:ind w:right="44"/>
              <w:jc w:val="right"/>
              <w:rPr>
                <w:sz w:val="13"/>
              </w:rPr>
            </w:pPr>
            <w:r>
              <w:rPr>
                <w:w w:val="105"/>
                <w:sz w:val="13"/>
              </w:rPr>
              <w:t>77.996,56</w:t>
            </w:r>
          </w:p>
        </w:tc>
      </w:tr>
      <w:tr>
        <w:trPr>
          <w:trHeight w:val="249" w:hRule="atLeast"/>
        </w:trPr>
        <w:tc>
          <w:tcPr>
            <w:tcW w:w="957" w:type="dxa"/>
          </w:tcPr>
          <w:p>
            <w:pPr>
              <w:pStyle w:val="TableParagraph"/>
              <w:spacing w:before="46"/>
              <w:ind w:left="78" w:right="71"/>
              <w:jc w:val="center"/>
              <w:rPr>
                <w:sz w:val="13"/>
              </w:rPr>
            </w:pPr>
            <w:r>
              <w:rPr>
                <w:w w:val="105"/>
                <w:sz w:val="13"/>
              </w:rPr>
              <w:t>ICCA</w:t>
            </w:r>
          </w:p>
        </w:tc>
        <w:tc>
          <w:tcPr>
            <w:tcW w:w="671" w:type="dxa"/>
            <w:tcBorders>
              <w:bottom w:val="single" w:sz="4" w:space="0" w:color="000080"/>
              <w:right w:val="single" w:sz="4" w:space="0" w:color="000080"/>
            </w:tcBorders>
          </w:tcPr>
          <w:p>
            <w:pPr>
              <w:pStyle w:val="TableParagraph"/>
              <w:spacing w:before="46"/>
              <w:ind w:left="132" w:right="125"/>
              <w:jc w:val="center"/>
              <w:rPr>
                <w:sz w:val="13"/>
              </w:rPr>
            </w:pPr>
            <w:r>
              <w:rPr>
                <w:w w:val="105"/>
                <w:sz w:val="13"/>
              </w:rPr>
              <w:t>413A</w:t>
            </w:r>
          </w:p>
        </w:tc>
        <w:tc>
          <w:tcPr>
            <w:tcW w:w="3605" w:type="dxa"/>
            <w:tcBorders>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Calidad Agroalimentaria</w:t>
            </w:r>
          </w:p>
        </w:tc>
        <w:tc>
          <w:tcPr>
            <w:tcW w:w="1191" w:type="dxa"/>
            <w:tcBorders>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5.192.236,72</w:t>
            </w:r>
          </w:p>
        </w:tc>
      </w:tr>
      <w:tr>
        <w:trPr>
          <w:trHeight w:val="252" w:hRule="atLeast"/>
        </w:trPr>
        <w:tc>
          <w:tcPr>
            <w:tcW w:w="957" w:type="dxa"/>
            <w:vMerge w:val="restart"/>
          </w:tcPr>
          <w:p>
            <w:pPr>
              <w:pStyle w:val="TableParagraph"/>
              <w:rPr>
                <w:b/>
                <w:sz w:val="14"/>
              </w:rPr>
            </w:pPr>
          </w:p>
          <w:p>
            <w:pPr>
              <w:pStyle w:val="TableParagraph"/>
              <w:spacing w:before="3"/>
              <w:rPr>
                <w:b/>
                <w:sz w:val="11"/>
              </w:rPr>
            </w:pPr>
          </w:p>
          <w:p>
            <w:pPr>
              <w:pStyle w:val="TableParagraph"/>
              <w:spacing w:before="1"/>
              <w:ind w:left="78" w:right="71"/>
              <w:jc w:val="center"/>
              <w:rPr>
                <w:sz w:val="13"/>
              </w:rPr>
            </w:pPr>
            <w:r>
              <w:rPr>
                <w:w w:val="105"/>
                <w:sz w:val="13"/>
              </w:rPr>
              <w:t>ISTA</w:t>
            </w:r>
          </w:p>
        </w:tc>
        <w:tc>
          <w:tcPr>
            <w:tcW w:w="671" w:type="dxa"/>
            <w:tcBorders>
              <w:top w:val="single" w:sz="4" w:space="0" w:color="000080"/>
              <w:bottom w:val="single" w:sz="4" w:space="0" w:color="000080"/>
              <w:right w:val="single" w:sz="4" w:space="0" w:color="000080"/>
            </w:tcBorders>
          </w:tcPr>
          <w:p>
            <w:pPr>
              <w:pStyle w:val="TableParagraph"/>
              <w:spacing w:before="47"/>
              <w:ind w:left="132" w:right="125"/>
              <w:jc w:val="center"/>
              <w:rPr>
                <w:sz w:val="13"/>
              </w:rPr>
            </w:pPr>
            <w:r>
              <w:rPr>
                <w:w w:val="105"/>
                <w:sz w:val="13"/>
              </w:rPr>
              <w:t>462A</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7"/>
              <w:ind w:left="193"/>
              <w:rPr>
                <w:sz w:val="13"/>
              </w:rPr>
            </w:pPr>
            <w:r>
              <w:rPr>
                <w:w w:val="105"/>
                <w:sz w:val="13"/>
              </w:rPr>
              <w:t>Estadística, analítica de datos e inteli</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7"/>
              <w:ind w:right="44"/>
              <w:jc w:val="right"/>
              <w:rPr>
                <w:sz w:val="13"/>
              </w:rPr>
            </w:pPr>
            <w:r>
              <w:rPr>
                <w:w w:val="105"/>
                <w:sz w:val="13"/>
              </w:rPr>
              <w:t>4.173.175,62</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28" w:right="125"/>
              <w:jc w:val="center"/>
              <w:rPr>
                <w:sz w:val="13"/>
              </w:rPr>
            </w:pPr>
            <w:r>
              <w:rPr>
                <w:w w:val="105"/>
                <w:sz w:val="13"/>
              </w:rPr>
              <w:t>462B</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Estudios Socioeconómicos</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rPr>
                <w:rFonts w:ascii="Times New Roman"/>
                <w:sz w:val="12"/>
              </w:rPr>
            </w:pPr>
          </w:p>
        </w:tc>
      </w:tr>
      <w:tr>
        <w:trPr>
          <w:trHeight w:val="249" w:hRule="atLeast"/>
        </w:trPr>
        <w:tc>
          <w:tcPr>
            <w:tcW w:w="957" w:type="dxa"/>
            <w:vMerge/>
            <w:tcBorders>
              <w:top w:val="nil"/>
            </w:tcBorders>
          </w:tcPr>
          <w:p>
            <w:pPr>
              <w:rPr>
                <w:sz w:val="2"/>
                <w:szCs w:val="2"/>
              </w:rPr>
            </w:pPr>
          </w:p>
        </w:tc>
        <w:tc>
          <w:tcPr>
            <w:tcW w:w="671" w:type="dxa"/>
            <w:tcBorders>
              <w:top w:val="single" w:sz="4" w:space="0" w:color="000080"/>
              <w:bottom w:val="single" w:sz="4" w:space="0" w:color="000080"/>
              <w:right w:val="single" w:sz="4" w:space="0" w:color="000080"/>
            </w:tcBorders>
          </w:tcPr>
          <w:p>
            <w:pPr>
              <w:pStyle w:val="TableParagraph"/>
              <w:spacing w:before="46"/>
              <w:ind w:left="132" w:right="125"/>
              <w:jc w:val="center"/>
              <w:rPr>
                <w:sz w:val="13"/>
              </w:rPr>
            </w:pPr>
            <w:r>
              <w:rPr>
                <w:w w:val="105"/>
                <w:sz w:val="13"/>
              </w:rPr>
              <w:t>912A</w:t>
            </w:r>
          </w:p>
        </w:tc>
        <w:tc>
          <w:tcPr>
            <w:tcW w:w="3605" w:type="dxa"/>
            <w:tcBorders>
              <w:top w:val="single" w:sz="4" w:space="0" w:color="000080"/>
              <w:left w:val="single" w:sz="4" w:space="0" w:color="000080"/>
              <w:bottom w:val="single" w:sz="4" w:space="0" w:color="000080"/>
              <w:right w:val="single" w:sz="4" w:space="0" w:color="000080"/>
            </w:tcBorders>
          </w:tcPr>
          <w:p>
            <w:pPr>
              <w:pStyle w:val="TableParagraph"/>
              <w:spacing w:before="46"/>
              <w:ind w:left="193"/>
              <w:rPr>
                <w:sz w:val="13"/>
              </w:rPr>
            </w:pPr>
            <w:r>
              <w:rPr>
                <w:w w:val="105"/>
                <w:sz w:val="13"/>
              </w:rPr>
              <w:t>Dirección Política y Gobierno</w:t>
            </w:r>
          </w:p>
        </w:tc>
        <w:tc>
          <w:tcPr>
            <w:tcW w:w="1191" w:type="dxa"/>
            <w:tcBorders>
              <w:top w:val="single" w:sz="4" w:space="0" w:color="000080"/>
              <w:left w:val="single" w:sz="4" w:space="0" w:color="000080"/>
              <w:bottom w:val="single" w:sz="4" w:space="0" w:color="000080"/>
              <w:right w:val="single" w:sz="4" w:space="0" w:color="000080"/>
            </w:tcBorders>
          </w:tcPr>
          <w:p>
            <w:pPr>
              <w:pStyle w:val="TableParagraph"/>
              <w:spacing w:before="46"/>
              <w:ind w:right="44"/>
              <w:jc w:val="right"/>
              <w:rPr>
                <w:sz w:val="13"/>
              </w:rPr>
            </w:pPr>
            <w:r>
              <w:rPr>
                <w:w w:val="105"/>
                <w:sz w:val="13"/>
              </w:rPr>
              <w:t>63.466,92</w:t>
            </w:r>
          </w:p>
        </w:tc>
      </w:tr>
      <w:tr>
        <w:trPr>
          <w:trHeight w:val="249" w:hRule="atLeast"/>
        </w:trPr>
        <w:tc>
          <w:tcPr>
            <w:tcW w:w="957" w:type="dxa"/>
          </w:tcPr>
          <w:p>
            <w:pPr>
              <w:pStyle w:val="TableParagraph"/>
              <w:spacing w:before="46"/>
              <w:ind w:left="78" w:right="71"/>
              <w:jc w:val="center"/>
              <w:rPr>
                <w:sz w:val="13"/>
              </w:rPr>
            </w:pPr>
            <w:r>
              <w:rPr>
                <w:w w:val="105"/>
                <w:sz w:val="13"/>
              </w:rPr>
              <w:t>ICIA</w:t>
            </w:r>
          </w:p>
        </w:tc>
        <w:tc>
          <w:tcPr>
            <w:tcW w:w="671" w:type="dxa"/>
            <w:tcBorders>
              <w:top w:val="single" w:sz="4" w:space="0" w:color="000080"/>
              <w:right w:val="single" w:sz="4" w:space="0" w:color="000080"/>
            </w:tcBorders>
          </w:tcPr>
          <w:p>
            <w:pPr>
              <w:pStyle w:val="TableParagraph"/>
              <w:spacing w:before="46"/>
              <w:ind w:left="132" w:right="125"/>
              <w:jc w:val="center"/>
              <w:rPr>
                <w:sz w:val="13"/>
              </w:rPr>
            </w:pPr>
            <w:r>
              <w:rPr>
                <w:w w:val="105"/>
                <w:sz w:val="13"/>
              </w:rPr>
              <w:t>467A</w:t>
            </w:r>
          </w:p>
        </w:tc>
        <w:tc>
          <w:tcPr>
            <w:tcW w:w="3605" w:type="dxa"/>
            <w:tcBorders>
              <w:top w:val="single" w:sz="4" w:space="0" w:color="000080"/>
              <w:left w:val="single" w:sz="4" w:space="0" w:color="000080"/>
              <w:right w:val="single" w:sz="4" w:space="0" w:color="000080"/>
            </w:tcBorders>
          </w:tcPr>
          <w:p>
            <w:pPr>
              <w:pStyle w:val="TableParagraph"/>
              <w:spacing w:before="46"/>
              <w:ind w:left="193"/>
              <w:rPr>
                <w:sz w:val="13"/>
              </w:rPr>
            </w:pPr>
            <w:r>
              <w:rPr>
                <w:w w:val="105"/>
                <w:sz w:val="13"/>
              </w:rPr>
              <w:t>Investigación y Desarrollo Tecnológico A</w:t>
            </w:r>
          </w:p>
        </w:tc>
        <w:tc>
          <w:tcPr>
            <w:tcW w:w="1191" w:type="dxa"/>
            <w:tcBorders>
              <w:top w:val="single" w:sz="4" w:space="0" w:color="000080"/>
              <w:left w:val="single" w:sz="4" w:space="0" w:color="000080"/>
              <w:right w:val="single" w:sz="4" w:space="0" w:color="000080"/>
            </w:tcBorders>
          </w:tcPr>
          <w:p>
            <w:pPr>
              <w:pStyle w:val="TableParagraph"/>
              <w:spacing w:before="46"/>
              <w:ind w:right="44"/>
              <w:jc w:val="right"/>
              <w:rPr>
                <w:sz w:val="13"/>
              </w:rPr>
            </w:pPr>
            <w:r>
              <w:rPr>
                <w:w w:val="105"/>
                <w:sz w:val="13"/>
              </w:rPr>
              <w:t>8.640.532,60</w:t>
            </w:r>
          </w:p>
        </w:tc>
      </w:tr>
      <w:tr>
        <w:trPr>
          <w:trHeight w:val="249" w:hRule="atLeast"/>
        </w:trPr>
        <w:tc>
          <w:tcPr>
            <w:tcW w:w="957" w:type="dxa"/>
          </w:tcPr>
          <w:p>
            <w:pPr>
              <w:pStyle w:val="TableParagraph"/>
              <w:spacing w:before="46"/>
              <w:ind w:left="80" w:right="71"/>
              <w:jc w:val="center"/>
              <w:rPr>
                <w:sz w:val="13"/>
              </w:rPr>
            </w:pPr>
            <w:r>
              <w:rPr>
                <w:w w:val="105"/>
                <w:sz w:val="13"/>
              </w:rPr>
              <w:t>ICAP</w:t>
            </w:r>
          </w:p>
        </w:tc>
        <w:tc>
          <w:tcPr>
            <w:tcW w:w="671" w:type="dxa"/>
          </w:tcPr>
          <w:p>
            <w:pPr>
              <w:pStyle w:val="TableParagraph"/>
              <w:spacing w:before="46"/>
              <w:ind w:left="140" w:right="125"/>
              <w:jc w:val="center"/>
              <w:rPr>
                <w:sz w:val="13"/>
              </w:rPr>
            </w:pPr>
            <w:r>
              <w:rPr>
                <w:w w:val="105"/>
                <w:sz w:val="13"/>
              </w:rPr>
              <w:t>921G</w:t>
            </w:r>
          </w:p>
        </w:tc>
        <w:tc>
          <w:tcPr>
            <w:tcW w:w="3605" w:type="dxa"/>
          </w:tcPr>
          <w:p>
            <w:pPr>
              <w:pStyle w:val="TableParagraph"/>
              <w:spacing w:before="46"/>
              <w:ind w:left="193"/>
              <w:rPr>
                <w:sz w:val="13"/>
              </w:rPr>
            </w:pPr>
            <w:r>
              <w:rPr>
                <w:w w:val="105"/>
                <w:sz w:val="13"/>
              </w:rPr>
              <w:t>Formación y Perfeccionamiento Personal d</w:t>
            </w:r>
          </w:p>
        </w:tc>
        <w:tc>
          <w:tcPr>
            <w:tcW w:w="1191" w:type="dxa"/>
          </w:tcPr>
          <w:p>
            <w:pPr>
              <w:pStyle w:val="TableParagraph"/>
              <w:spacing w:before="46"/>
              <w:ind w:right="44"/>
              <w:jc w:val="right"/>
              <w:rPr>
                <w:sz w:val="13"/>
              </w:rPr>
            </w:pPr>
            <w:r>
              <w:rPr>
                <w:w w:val="105"/>
                <w:sz w:val="13"/>
              </w:rPr>
              <w:t>2.364.725,07</w:t>
            </w:r>
          </w:p>
        </w:tc>
      </w:tr>
      <w:tr>
        <w:trPr>
          <w:trHeight w:val="251" w:hRule="atLeast"/>
        </w:trPr>
        <w:tc>
          <w:tcPr>
            <w:tcW w:w="957" w:type="dxa"/>
          </w:tcPr>
          <w:p>
            <w:pPr>
              <w:pStyle w:val="TableParagraph"/>
              <w:spacing w:before="46"/>
              <w:ind w:left="80" w:right="71"/>
              <w:jc w:val="center"/>
              <w:rPr>
                <w:sz w:val="13"/>
              </w:rPr>
            </w:pPr>
            <w:r>
              <w:rPr>
                <w:w w:val="105"/>
                <w:sz w:val="13"/>
              </w:rPr>
              <w:t>ICHH</w:t>
            </w:r>
          </w:p>
        </w:tc>
        <w:tc>
          <w:tcPr>
            <w:tcW w:w="671" w:type="dxa"/>
          </w:tcPr>
          <w:p>
            <w:pPr>
              <w:pStyle w:val="TableParagraph"/>
              <w:spacing w:before="46"/>
              <w:ind w:left="128" w:right="125"/>
              <w:jc w:val="center"/>
              <w:rPr>
                <w:sz w:val="13"/>
              </w:rPr>
            </w:pPr>
            <w:r>
              <w:rPr>
                <w:w w:val="105"/>
                <w:sz w:val="13"/>
              </w:rPr>
              <w:t>312B</w:t>
            </w:r>
          </w:p>
        </w:tc>
        <w:tc>
          <w:tcPr>
            <w:tcW w:w="3605" w:type="dxa"/>
          </w:tcPr>
          <w:p>
            <w:pPr>
              <w:pStyle w:val="TableParagraph"/>
              <w:spacing w:before="46"/>
              <w:ind w:left="193"/>
              <w:rPr>
                <w:sz w:val="13"/>
              </w:rPr>
            </w:pPr>
            <w:r>
              <w:rPr>
                <w:w w:val="105"/>
                <w:sz w:val="13"/>
              </w:rPr>
              <w:t>Hemodonación y Hemoterapia</w:t>
            </w:r>
          </w:p>
        </w:tc>
        <w:tc>
          <w:tcPr>
            <w:tcW w:w="1191" w:type="dxa"/>
          </w:tcPr>
          <w:p>
            <w:pPr>
              <w:pStyle w:val="TableParagraph"/>
              <w:spacing w:before="46"/>
              <w:ind w:right="44"/>
              <w:jc w:val="right"/>
              <w:rPr>
                <w:sz w:val="13"/>
              </w:rPr>
            </w:pPr>
            <w:r>
              <w:rPr>
                <w:w w:val="105"/>
                <w:sz w:val="13"/>
              </w:rPr>
              <w:t>2.504.150,07</w:t>
            </w:r>
          </w:p>
        </w:tc>
      </w:tr>
    </w:tbl>
    <w:p>
      <w:pPr>
        <w:pStyle w:val="BodyText"/>
        <w:spacing w:before="11"/>
        <w:ind w:left="7787"/>
        <w:jc w:val="center"/>
      </w:pPr>
      <w:r>
        <w:rPr/>
        <w:t>186</w:t>
      </w:r>
    </w:p>
    <w:p>
      <w:pPr>
        <w:pStyle w:val="Heading1"/>
        <w:spacing w:before="3"/>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399" name="image5.png"/>
                  <wp:cNvGraphicFramePr>
                    <a:graphicFrameLocks noChangeAspect="1"/>
                  </wp:cNvGraphicFramePr>
                  <a:graphic>
                    <a:graphicData uri="http://schemas.openxmlformats.org/drawingml/2006/picture">
                      <pic:pic>
                        <pic:nvPicPr>
                          <pic:cNvPr id="40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188/247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11:14:27</w:t>
            </w:r>
          </w:p>
        </w:tc>
        <w:tc>
          <w:tcPr>
            <w:tcW w:w="1489" w:type="dxa"/>
            <w:vMerge/>
            <w:tcBorders>
              <w:top w:val="nil"/>
            </w:tcBorders>
          </w:tcPr>
          <w:p>
            <w:pPr>
              <w:rPr>
                <w:sz w:val="2"/>
                <w:szCs w:val="2"/>
              </w:rPr>
            </w:pPr>
          </w:p>
        </w:tc>
      </w:tr>
    </w:tbl>
    <w:p>
      <w:pPr>
        <w:spacing w:after="0"/>
        <w:rPr>
          <w:sz w:val="2"/>
          <w:szCs w:val="2"/>
        </w:rPr>
        <w:sectPr>
          <w:headerReference w:type="default" r:id="rId37"/>
          <w:footerReference w:type="default" r:id="rId38"/>
          <w:pgSz w:w="11900" w:h="16840"/>
          <w:pgMar w:header="869" w:footer="926" w:top="1760" w:bottom="1120" w:left="760" w:right="760"/>
        </w:sectPr>
      </w:pPr>
    </w:p>
    <w:p>
      <w:pPr>
        <w:pStyle w:val="BodyText"/>
        <w:rPr>
          <w:b/>
        </w:rPr>
      </w:pPr>
    </w:p>
    <w:p>
      <w:pPr>
        <w:pStyle w:val="BodyText"/>
        <w:spacing w:before="9"/>
        <w:rPr>
          <w:b/>
          <w:sz w:val="12"/>
        </w:rPr>
      </w:pPr>
    </w:p>
    <w:tbl>
      <w:tblPr>
        <w:tblW w:w="0" w:type="auto"/>
        <w:jc w:val="left"/>
        <w:tblInd w:w="2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7"/>
        <w:gridCol w:w="671"/>
        <w:gridCol w:w="3605"/>
        <w:gridCol w:w="1191"/>
      </w:tblGrid>
      <w:tr>
        <w:trPr>
          <w:trHeight w:val="251" w:hRule="atLeast"/>
        </w:trPr>
        <w:tc>
          <w:tcPr>
            <w:tcW w:w="957" w:type="dxa"/>
            <w:shd w:val="clear" w:color="auto" w:fill="DEEAF6"/>
          </w:tcPr>
          <w:p>
            <w:pPr>
              <w:pStyle w:val="TableParagraph"/>
              <w:spacing w:before="46"/>
              <w:ind w:left="105"/>
              <w:rPr>
                <w:b/>
                <w:sz w:val="13"/>
              </w:rPr>
            </w:pPr>
            <w:r>
              <w:rPr>
                <w:b/>
                <w:w w:val="105"/>
                <w:sz w:val="13"/>
              </w:rPr>
              <w:t>OOAA y EEPP</w:t>
            </w:r>
          </w:p>
        </w:tc>
        <w:tc>
          <w:tcPr>
            <w:tcW w:w="4276" w:type="dxa"/>
            <w:gridSpan w:val="2"/>
            <w:shd w:val="clear" w:color="auto" w:fill="DEEAF6"/>
          </w:tcPr>
          <w:p>
            <w:pPr>
              <w:pStyle w:val="TableParagraph"/>
              <w:spacing w:before="46"/>
              <w:ind w:left="1739" w:right="1731"/>
              <w:jc w:val="center"/>
              <w:rPr>
                <w:b/>
                <w:sz w:val="13"/>
              </w:rPr>
            </w:pPr>
            <w:r>
              <w:rPr>
                <w:b/>
                <w:w w:val="105"/>
                <w:sz w:val="13"/>
              </w:rPr>
              <w:t>PROGRAMAS</w:t>
            </w:r>
          </w:p>
        </w:tc>
        <w:tc>
          <w:tcPr>
            <w:tcW w:w="1191" w:type="dxa"/>
            <w:shd w:val="clear" w:color="auto" w:fill="DEEAF6"/>
          </w:tcPr>
          <w:p>
            <w:pPr>
              <w:pStyle w:val="TableParagraph"/>
              <w:spacing w:before="46"/>
              <w:ind w:left="489" w:right="481"/>
              <w:jc w:val="center"/>
              <w:rPr>
                <w:b/>
                <w:sz w:val="13"/>
              </w:rPr>
            </w:pPr>
            <w:r>
              <w:rPr>
                <w:b/>
                <w:w w:val="105"/>
                <w:sz w:val="13"/>
              </w:rPr>
              <w:t>OR</w:t>
            </w:r>
          </w:p>
        </w:tc>
      </w:tr>
      <w:tr>
        <w:trPr>
          <w:trHeight w:val="249" w:hRule="atLeast"/>
        </w:trPr>
        <w:tc>
          <w:tcPr>
            <w:tcW w:w="957" w:type="dxa"/>
            <w:vMerge w:val="restart"/>
          </w:tcPr>
          <w:p>
            <w:pPr>
              <w:pStyle w:val="TableParagraph"/>
              <w:spacing w:before="4"/>
              <w:rPr>
                <w:b/>
                <w:sz w:val="14"/>
              </w:rPr>
            </w:pPr>
          </w:p>
          <w:p>
            <w:pPr>
              <w:pStyle w:val="TableParagraph"/>
              <w:ind w:left="303"/>
              <w:rPr>
                <w:sz w:val="13"/>
              </w:rPr>
            </w:pPr>
            <w:r>
              <w:rPr>
                <w:w w:val="105"/>
                <w:sz w:val="13"/>
              </w:rPr>
              <w:t>APMN</w:t>
            </w:r>
          </w:p>
        </w:tc>
        <w:tc>
          <w:tcPr>
            <w:tcW w:w="671" w:type="dxa"/>
            <w:tcBorders>
              <w:bottom w:val="single" w:sz="4" w:space="0" w:color="000080"/>
              <w:right w:val="single" w:sz="4" w:space="0" w:color="000080"/>
            </w:tcBorders>
          </w:tcPr>
          <w:p>
            <w:pPr>
              <w:pStyle w:val="TableParagraph"/>
              <w:spacing w:before="44"/>
              <w:ind w:left="192"/>
              <w:rPr>
                <w:sz w:val="13"/>
              </w:rPr>
            </w:pPr>
            <w:r>
              <w:rPr>
                <w:w w:val="105"/>
                <w:sz w:val="13"/>
              </w:rPr>
              <w:t>456A</w:t>
            </w:r>
          </w:p>
        </w:tc>
        <w:tc>
          <w:tcPr>
            <w:tcW w:w="3605" w:type="dxa"/>
            <w:tcBorders>
              <w:left w:val="single" w:sz="4" w:space="0" w:color="000080"/>
              <w:bottom w:val="single" w:sz="4" w:space="0" w:color="000080"/>
              <w:right w:val="single" w:sz="4" w:space="0" w:color="000080"/>
            </w:tcBorders>
          </w:tcPr>
          <w:p>
            <w:pPr>
              <w:pStyle w:val="TableParagraph"/>
              <w:spacing w:before="44"/>
              <w:ind w:left="193"/>
              <w:rPr>
                <w:sz w:val="13"/>
              </w:rPr>
            </w:pPr>
            <w:r>
              <w:rPr>
                <w:w w:val="105"/>
                <w:sz w:val="13"/>
              </w:rPr>
              <w:t>Disciplina Urbanística y Medioambiental</w:t>
            </w:r>
          </w:p>
        </w:tc>
        <w:tc>
          <w:tcPr>
            <w:tcW w:w="1191" w:type="dxa"/>
            <w:tcBorders>
              <w:left w:val="single" w:sz="4" w:space="0" w:color="000080"/>
              <w:bottom w:val="single" w:sz="4" w:space="0" w:color="000080"/>
              <w:right w:val="single" w:sz="4" w:space="0" w:color="000080"/>
            </w:tcBorders>
          </w:tcPr>
          <w:p>
            <w:pPr>
              <w:pStyle w:val="TableParagraph"/>
              <w:spacing w:before="44"/>
              <w:ind w:right="44"/>
              <w:jc w:val="right"/>
              <w:rPr>
                <w:sz w:val="13"/>
              </w:rPr>
            </w:pPr>
            <w:r>
              <w:rPr>
                <w:w w:val="105"/>
                <w:sz w:val="13"/>
              </w:rPr>
              <w:t>5.629.654,41</w:t>
            </w:r>
          </w:p>
        </w:tc>
      </w:tr>
      <w:tr>
        <w:trPr>
          <w:trHeight w:val="249" w:hRule="atLeast"/>
        </w:trPr>
        <w:tc>
          <w:tcPr>
            <w:tcW w:w="957" w:type="dxa"/>
            <w:vMerge/>
            <w:tcBorders>
              <w:top w:val="nil"/>
            </w:tcBorders>
          </w:tcPr>
          <w:p>
            <w:pPr>
              <w:rPr>
                <w:sz w:val="2"/>
                <w:szCs w:val="2"/>
              </w:rPr>
            </w:pPr>
          </w:p>
        </w:tc>
        <w:tc>
          <w:tcPr>
            <w:tcW w:w="671" w:type="dxa"/>
            <w:tcBorders>
              <w:top w:val="single" w:sz="4" w:space="0" w:color="000080"/>
              <w:right w:val="single" w:sz="4" w:space="0" w:color="000080"/>
            </w:tcBorders>
          </w:tcPr>
          <w:p>
            <w:pPr>
              <w:pStyle w:val="TableParagraph"/>
              <w:spacing w:before="46"/>
              <w:ind w:left="192"/>
              <w:rPr>
                <w:sz w:val="13"/>
              </w:rPr>
            </w:pPr>
            <w:r>
              <w:rPr>
                <w:w w:val="105"/>
                <w:sz w:val="13"/>
              </w:rPr>
              <w:t>456K</w:t>
            </w:r>
          </w:p>
        </w:tc>
        <w:tc>
          <w:tcPr>
            <w:tcW w:w="3605" w:type="dxa"/>
            <w:tcBorders>
              <w:top w:val="single" w:sz="4" w:space="0" w:color="000080"/>
              <w:left w:val="single" w:sz="4" w:space="0" w:color="000080"/>
              <w:right w:val="single" w:sz="4" w:space="0" w:color="000080"/>
            </w:tcBorders>
          </w:tcPr>
          <w:p>
            <w:pPr>
              <w:pStyle w:val="TableParagraph"/>
              <w:spacing w:before="46"/>
              <w:ind w:left="193"/>
              <w:rPr>
                <w:sz w:val="13"/>
              </w:rPr>
            </w:pPr>
            <w:r>
              <w:rPr>
                <w:w w:val="105"/>
                <w:sz w:val="13"/>
              </w:rPr>
              <w:t>Dirección Administrativa y Servicios Gen</w:t>
            </w:r>
          </w:p>
        </w:tc>
        <w:tc>
          <w:tcPr>
            <w:tcW w:w="1191" w:type="dxa"/>
            <w:tcBorders>
              <w:top w:val="single" w:sz="4" w:space="0" w:color="000080"/>
              <w:left w:val="single" w:sz="4" w:space="0" w:color="000080"/>
              <w:right w:val="single" w:sz="4" w:space="0" w:color="000080"/>
            </w:tcBorders>
          </w:tcPr>
          <w:p>
            <w:pPr>
              <w:pStyle w:val="TableParagraph"/>
              <w:spacing w:before="46"/>
              <w:ind w:right="44"/>
              <w:jc w:val="right"/>
              <w:rPr>
                <w:sz w:val="13"/>
              </w:rPr>
            </w:pPr>
            <w:r>
              <w:rPr>
                <w:w w:val="105"/>
                <w:sz w:val="13"/>
              </w:rPr>
              <w:t>637.083,58</w:t>
            </w:r>
          </w:p>
        </w:tc>
      </w:tr>
      <w:tr>
        <w:trPr>
          <w:trHeight w:val="249" w:hRule="atLeast"/>
        </w:trPr>
        <w:tc>
          <w:tcPr>
            <w:tcW w:w="957" w:type="dxa"/>
          </w:tcPr>
          <w:p>
            <w:pPr>
              <w:pStyle w:val="TableParagraph"/>
              <w:spacing w:before="46"/>
              <w:ind w:left="80" w:right="70"/>
              <w:jc w:val="center"/>
              <w:rPr>
                <w:sz w:val="13"/>
              </w:rPr>
            </w:pPr>
            <w:r>
              <w:rPr>
                <w:w w:val="105"/>
                <w:sz w:val="13"/>
              </w:rPr>
              <w:t>CES</w:t>
            </w:r>
          </w:p>
        </w:tc>
        <w:tc>
          <w:tcPr>
            <w:tcW w:w="671" w:type="dxa"/>
          </w:tcPr>
          <w:p>
            <w:pPr>
              <w:pStyle w:val="TableParagraph"/>
              <w:spacing w:before="46"/>
              <w:ind w:left="192"/>
              <w:rPr>
                <w:sz w:val="13"/>
              </w:rPr>
            </w:pPr>
            <w:r>
              <w:rPr>
                <w:w w:val="105"/>
                <w:sz w:val="13"/>
              </w:rPr>
              <w:t>911J</w:t>
            </w:r>
          </w:p>
        </w:tc>
        <w:tc>
          <w:tcPr>
            <w:tcW w:w="3605" w:type="dxa"/>
          </w:tcPr>
          <w:p>
            <w:pPr>
              <w:pStyle w:val="TableParagraph"/>
              <w:spacing w:before="46"/>
              <w:ind w:left="193"/>
              <w:rPr>
                <w:sz w:val="13"/>
              </w:rPr>
            </w:pPr>
            <w:r>
              <w:rPr>
                <w:w w:val="105"/>
                <w:sz w:val="13"/>
              </w:rPr>
              <w:t>Consejo Económico y Social</w:t>
            </w:r>
          </w:p>
        </w:tc>
        <w:tc>
          <w:tcPr>
            <w:tcW w:w="1191" w:type="dxa"/>
          </w:tcPr>
          <w:p>
            <w:pPr>
              <w:pStyle w:val="TableParagraph"/>
              <w:spacing w:before="46"/>
              <w:ind w:right="44"/>
              <w:jc w:val="right"/>
              <w:rPr>
                <w:sz w:val="13"/>
              </w:rPr>
            </w:pPr>
            <w:r>
              <w:rPr>
                <w:w w:val="105"/>
                <w:sz w:val="13"/>
              </w:rPr>
              <w:t>734.790,05</w:t>
            </w:r>
          </w:p>
        </w:tc>
      </w:tr>
      <w:tr>
        <w:trPr>
          <w:trHeight w:val="249" w:hRule="atLeast"/>
        </w:trPr>
        <w:tc>
          <w:tcPr>
            <w:tcW w:w="957" w:type="dxa"/>
          </w:tcPr>
          <w:p>
            <w:pPr>
              <w:pStyle w:val="TableParagraph"/>
              <w:spacing w:before="46"/>
              <w:ind w:left="78" w:right="71"/>
              <w:jc w:val="center"/>
              <w:rPr>
                <w:sz w:val="13"/>
              </w:rPr>
            </w:pPr>
            <w:r>
              <w:rPr>
                <w:w w:val="105"/>
                <w:sz w:val="13"/>
              </w:rPr>
              <w:t>RTVC</w:t>
            </w:r>
          </w:p>
        </w:tc>
        <w:tc>
          <w:tcPr>
            <w:tcW w:w="671" w:type="dxa"/>
          </w:tcPr>
          <w:p>
            <w:pPr>
              <w:pStyle w:val="TableParagraph"/>
              <w:spacing w:before="46"/>
              <w:ind w:left="192"/>
              <w:rPr>
                <w:sz w:val="13"/>
              </w:rPr>
            </w:pPr>
            <w:r>
              <w:rPr>
                <w:w w:val="105"/>
                <w:sz w:val="13"/>
              </w:rPr>
              <w:t>921J</w:t>
            </w:r>
          </w:p>
        </w:tc>
        <w:tc>
          <w:tcPr>
            <w:tcW w:w="3605" w:type="dxa"/>
          </w:tcPr>
          <w:p>
            <w:pPr>
              <w:pStyle w:val="TableParagraph"/>
              <w:spacing w:before="46"/>
              <w:ind w:left="193"/>
              <w:rPr>
                <w:sz w:val="13"/>
              </w:rPr>
            </w:pPr>
            <w:r>
              <w:rPr>
                <w:w w:val="105"/>
                <w:sz w:val="13"/>
              </w:rPr>
              <w:t>Medios de Comunicación Social y Relaciones I</w:t>
            </w:r>
          </w:p>
        </w:tc>
        <w:tc>
          <w:tcPr>
            <w:tcW w:w="1191" w:type="dxa"/>
          </w:tcPr>
          <w:p>
            <w:pPr>
              <w:pStyle w:val="TableParagraph"/>
              <w:spacing w:before="46"/>
              <w:ind w:right="44"/>
              <w:jc w:val="right"/>
              <w:rPr>
                <w:sz w:val="13"/>
              </w:rPr>
            </w:pPr>
            <w:r>
              <w:rPr>
                <w:w w:val="105"/>
                <w:sz w:val="13"/>
              </w:rPr>
              <w:t>70.460.279,37</w:t>
            </w:r>
          </w:p>
        </w:tc>
      </w:tr>
      <w:tr>
        <w:trPr>
          <w:trHeight w:val="249" w:hRule="atLeast"/>
        </w:trPr>
        <w:tc>
          <w:tcPr>
            <w:tcW w:w="957" w:type="dxa"/>
            <w:vMerge w:val="restart"/>
          </w:tcPr>
          <w:p>
            <w:pPr>
              <w:pStyle w:val="TableParagraph"/>
              <w:spacing w:before="6"/>
              <w:rPr>
                <w:b/>
                <w:sz w:val="14"/>
              </w:rPr>
            </w:pPr>
          </w:p>
          <w:p>
            <w:pPr>
              <w:pStyle w:val="TableParagraph"/>
              <w:ind w:left="80" w:right="71"/>
              <w:jc w:val="center"/>
              <w:rPr>
                <w:sz w:val="13"/>
              </w:rPr>
            </w:pPr>
            <w:r>
              <w:rPr>
                <w:w w:val="105"/>
                <w:sz w:val="13"/>
              </w:rPr>
              <w:t>ATC</w:t>
            </w:r>
          </w:p>
        </w:tc>
        <w:tc>
          <w:tcPr>
            <w:tcW w:w="671" w:type="dxa"/>
          </w:tcPr>
          <w:p>
            <w:pPr>
              <w:pStyle w:val="TableParagraph"/>
              <w:spacing w:before="46"/>
              <w:ind w:left="192"/>
              <w:rPr>
                <w:sz w:val="13"/>
              </w:rPr>
            </w:pPr>
            <w:r>
              <w:rPr>
                <w:w w:val="105"/>
                <w:sz w:val="13"/>
              </w:rPr>
              <w:t>912A</w:t>
            </w:r>
          </w:p>
        </w:tc>
        <w:tc>
          <w:tcPr>
            <w:tcW w:w="3605" w:type="dxa"/>
          </w:tcPr>
          <w:p>
            <w:pPr>
              <w:pStyle w:val="TableParagraph"/>
              <w:spacing w:before="46"/>
              <w:ind w:left="193"/>
              <w:rPr>
                <w:sz w:val="13"/>
              </w:rPr>
            </w:pPr>
            <w:r>
              <w:rPr>
                <w:w w:val="105"/>
                <w:sz w:val="13"/>
              </w:rPr>
              <w:t>Dirección Política y Gobierno</w:t>
            </w:r>
          </w:p>
        </w:tc>
        <w:tc>
          <w:tcPr>
            <w:tcW w:w="1191" w:type="dxa"/>
          </w:tcPr>
          <w:p>
            <w:pPr>
              <w:pStyle w:val="TableParagraph"/>
              <w:spacing w:before="46"/>
              <w:ind w:right="44"/>
              <w:jc w:val="right"/>
              <w:rPr>
                <w:sz w:val="13"/>
              </w:rPr>
            </w:pPr>
            <w:r>
              <w:rPr>
                <w:w w:val="105"/>
                <w:sz w:val="13"/>
              </w:rPr>
              <w:t>330.579,25</w:t>
            </w:r>
          </w:p>
        </w:tc>
      </w:tr>
      <w:tr>
        <w:trPr>
          <w:trHeight w:val="251" w:hRule="atLeast"/>
        </w:trPr>
        <w:tc>
          <w:tcPr>
            <w:tcW w:w="957" w:type="dxa"/>
            <w:vMerge/>
            <w:tcBorders>
              <w:top w:val="nil"/>
            </w:tcBorders>
          </w:tcPr>
          <w:p>
            <w:pPr>
              <w:rPr>
                <w:sz w:val="2"/>
                <w:szCs w:val="2"/>
              </w:rPr>
            </w:pPr>
          </w:p>
        </w:tc>
        <w:tc>
          <w:tcPr>
            <w:tcW w:w="671" w:type="dxa"/>
          </w:tcPr>
          <w:p>
            <w:pPr>
              <w:pStyle w:val="TableParagraph"/>
              <w:spacing w:before="46"/>
              <w:ind w:left="192"/>
              <w:rPr>
                <w:sz w:val="13"/>
              </w:rPr>
            </w:pPr>
            <w:r>
              <w:rPr>
                <w:w w:val="105"/>
                <w:sz w:val="13"/>
              </w:rPr>
              <w:t>932A</w:t>
            </w:r>
          </w:p>
        </w:tc>
        <w:tc>
          <w:tcPr>
            <w:tcW w:w="3605" w:type="dxa"/>
          </w:tcPr>
          <w:p>
            <w:pPr>
              <w:pStyle w:val="TableParagraph"/>
              <w:spacing w:before="46"/>
              <w:ind w:left="193"/>
              <w:rPr>
                <w:sz w:val="13"/>
              </w:rPr>
            </w:pPr>
            <w:r>
              <w:rPr>
                <w:w w:val="105"/>
                <w:sz w:val="13"/>
              </w:rPr>
              <w:t>Gestión Tributaria</w:t>
            </w:r>
          </w:p>
        </w:tc>
        <w:tc>
          <w:tcPr>
            <w:tcW w:w="1191" w:type="dxa"/>
          </w:tcPr>
          <w:p>
            <w:pPr>
              <w:pStyle w:val="TableParagraph"/>
              <w:spacing w:before="46"/>
              <w:ind w:right="44"/>
              <w:jc w:val="right"/>
              <w:rPr>
                <w:sz w:val="13"/>
              </w:rPr>
            </w:pPr>
            <w:r>
              <w:rPr>
                <w:w w:val="105"/>
                <w:sz w:val="13"/>
              </w:rPr>
              <w:t>84.004.482,10</w:t>
            </w:r>
          </w:p>
        </w:tc>
      </w:tr>
      <w:tr>
        <w:trPr>
          <w:trHeight w:val="249" w:hRule="atLeast"/>
        </w:trPr>
        <w:tc>
          <w:tcPr>
            <w:tcW w:w="957" w:type="dxa"/>
          </w:tcPr>
          <w:p>
            <w:pPr>
              <w:pStyle w:val="TableParagraph"/>
              <w:spacing w:before="44"/>
              <w:ind w:left="78" w:right="71"/>
              <w:jc w:val="center"/>
              <w:rPr>
                <w:sz w:val="13"/>
              </w:rPr>
            </w:pPr>
            <w:r>
              <w:rPr>
                <w:w w:val="105"/>
                <w:sz w:val="13"/>
              </w:rPr>
              <w:t>CR</w:t>
            </w:r>
          </w:p>
        </w:tc>
        <w:tc>
          <w:tcPr>
            <w:tcW w:w="671" w:type="dxa"/>
          </w:tcPr>
          <w:p>
            <w:pPr>
              <w:pStyle w:val="TableParagraph"/>
              <w:spacing w:before="44"/>
              <w:ind w:left="192"/>
              <w:rPr>
                <w:sz w:val="13"/>
              </w:rPr>
            </w:pPr>
            <w:r>
              <w:rPr>
                <w:w w:val="105"/>
                <w:sz w:val="13"/>
              </w:rPr>
              <w:t>261E</w:t>
            </w:r>
          </w:p>
        </w:tc>
        <w:tc>
          <w:tcPr>
            <w:tcW w:w="3605" w:type="dxa"/>
          </w:tcPr>
          <w:p>
            <w:pPr>
              <w:pStyle w:val="TableParagraph"/>
              <w:spacing w:before="44"/>
              <w:ind w:left="193"/>
              <w:rPr>
                <w:sz w:val="13"/>
              </w:rPr>
            </w:pPr>
            <w:r>
              <w:rPr>
                <w:w w:val="105"/>
                <w:sz w:val="13"/>
              </w:rPr>
              <w:t>Ordenación del territorio</w:t>
            </w:r>
          </w:p>
        </w:tc>
        <w:tc>
          <w:tcPr>
            <w:tcW w:w="1191" w:type="dxa"/>
          </w:tcPr>
          <w:p>
            <w:pPr>
              <w:pStyle w:val="TableParagraph"/>
              <w:rPr>
                <w:rFonts w:ascii="Times New Roman"/>
                <w:sz w:val="12"/>
              </w:rPr>
            </w:pPr>
          </w:p>
        </w:tc>
      </w:tr>
      <w:tr>
        <w:trPr>
          <w:trHeight w:val="250" w:hRule="atLeast"/>
        </w:trPr>
        <w:tc>
          <w:tcPr>
            <w:tcW w:w="957" w:type="dxa"/>
            <w:shd w:val="clear" w:color="auto" w:fill="D9D9D9"/>
          </w:tcPr>
          <w:p>
            <w:pPr>
              <w:pStyle w:val="TableParagraph"/>
              <w:spacing w:before="46"/>
              <w:ind w:left="363"/>
              <w:rPr>
                <w:b/>
                <w:sz w:val="13"/>
              </w:rPr>
            </w:pPr>
            <w:r>
              <w:rPr>
                <w:b/>
                <w:w w:val="105"/>
                <w:sz w:val="13"/>
              </w:rPr>
              <w:t>TOTAL</w:t>
            </w:r>
          </w:p>
        </w:tc>
        <w:tc>
          <w:tcPr>
            <w:tcW w:w="671" w:type="dxa"/>
            <w:shd w:val="clear" w:color="auto" w:fill="D9D9D9"/>
          </w:tcPr>
          <w:p>
            <w:pPr>
              <w:pStyle w:val="TableParagraph"/>
              <w:rPr>
                <w:rFonts w:ascii="Times New Roman"/>
                <w:sz w:val="12"/>
              </w:rPr>
            </w:pPr>
          </w:p>
        </w:tc>
        <w:tc>
          <w:tcPr>
            <w:tcW w:w="3605" w:type="dxa"/>
            <w:shd w:val="clear" w:color="auto" w:fill="D9D9D9"/>
          </w:tcPr>
          <w:p>
            <w:pPr>
              <w:pStyle w:val="TableParagraph"/>
              <w:rPr>
                <w:rFonts w:ascii="Times New Roman"/>
                <w:sz w:val="12"/>
              </w:rPr>
            </w:pPr>
          </w:p>
        </w:tc>
        <w:tc>
          <w:tcPr>
            <w:tcW w:w="1191" w:type="dxa"/>
            <w:shd w:val="clear" w:color="auto" w:fill="D9D9D9"/>
          </w:tcPr>
          <w:p>
            <w:pPr>
              <w:pStyle w:val="TableParagraph"/>
              <w:spacing w:before="46"/>
              <w:ind w:right="44"/>
              <w:jc w:val="right"/>
              <w:rPr>
                <w:b/>
                <w:sz w:val="13"/>
              </w:rPr>
            </w:pPr>
            <w:r>
              <w:rPr>
                <w:b/>
                <w:w w:val="105"/>
                <w:sz w:val="13"/>
              </w:rPr>
              <w:t>4.848.640.441,78</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8"/>
        </w:rPr>
      </w:pPr>
    </w:p>
    <w:p>
      <w:pPr>
        <w:pStyle w:val="BodyText"/>
        <w:spacing w:before="61"/>
        <w:ind w:left="7787"/>
        <w:jc w:val="center"/>
      </w:pPr>
      <w:r>
        <w:rPr/>
        <w:t>187</w:t>
      </w:r>
    </w:p>
    <w:p>
      <w:pPr>
        <w:pStyle w:val="Heading1"/>
        <w:spacing w:before="3"/>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01" name="image5.png"/>
                  <wp:cNvGraphicFramePr>
                    <a:graphicFrameLocks noChangeAspect="1"/>
                  </wp:cNvGraphicFramePr>
                  <a:graphic>
                    <a:graphicData uri="http://schemas.openxmlformats.org/drawingml/2006/picture">
                      <pic:pic>
                        <pic:nvPicPr>
                          <pic:cNvPr id="40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189/247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11:14:27</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spacing w:before="111"/>
        <w:ind w:left="2699" w:right="0" w:firstLine="0"/>
        <w:jc w:val="left"/>
        <w:rPr>
          <w:b/>
          <w:sz w:val="18"/>
        </w:rPr>
      </w:pPr>
      <w:r>
        <w:rPr>
          <w:b/>
          <w:color w:val="53A1B9"/>
          <w:w w:val="105"/>
          <w:sz w:val="18"/>
        </w:rPr>
        <w:t>10.11 Anexo XI. Comparación de la información de relaciones anuales Contratos con la obtenida de RECO (SEFLogic).</w:t>
      </w:r>
    </w:p>
    <w:p>
      <w:pPr>
        <w:pStyle w:val="BodyText"/>
        <w:spacing w:before="5"/>
        <w:rPr>
          <w:b/>
          <w:sz w:val="15"/>
        </w:rPr>
      </w:pPr>
    </w:p>
    <w:tbl>
      <w:tblPr>
        <w:tblW w:w="0" w:type="auto"/>
        <w:jc w:val="left"/>
        <w:tblInd w:w="1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5"/>
        <w:gridCol w:w="244"/>
        <w:gridCol w:w="929"/>
        <w:gridCol w:w="391"/>
        <w:gridCol w:w="865"/>
        <w:gridCol w:w="244"/>
        <w:gridCol w:w="979"/>
        <w:gridCol w:w="298"/>
        <w:gridCol w:w="917"/>
        <w:gridCol w:w="1274"/>
        <w:gridCol w:w="1104"/>
        <w:gridCol w:w="1235"/>
      </w:tblGrid>
      <w:tr>
        <w:trPr>
          <w:trHeight w:val="417" w:hRule="atLeast"/>
        </w:trPr>
        <w:tc>
          <w:tcPr>
            <w:tcW w:w="3195" w:type="dxa"/>
            <w:vMerge w:val="restart"/>
            <w:shd w:val="clear" w:color="auto" w:fill="DEEAF6"/>
          </w:tcPr>
          <w:p>
            <w:pPr>
              <w:pStyle w:val="TableParagraph"/>
              <w:rPr>
                <w:b/>
                <w:sz w:val="12"/>
              </w:rPr>
            </w:pPr>
          </w:p>
          <w:p>
            <w:pPr>
              <w:pStyle w:val="TableParagraph"/>
              <w:rPr>
                <w:b/>
                <w:sz w:val="12"/>
              </w:rPr>
            </w:pPr>
          </w:p>
          <w:p>
            <w:pPr>
              <w:pStyle w:val="TableParagraph"/>
              <w:spacing w:before="5"/>
              <w:rPr>
                <w:b/>
                <w:sz w:val="9"/>
              </w:rPr>
            </w:pPr>
          </w:p>
          <w:p>
            <w:pPr>
              <w:pStyle w:val="TableParagraph"/>
              <w:ind w:left="1377" w:right="1366"/>
              <w:jc w:val="center"/>
              <w:rPr>
                <w:b/>
                <w:sz w:val="12"/>
              </w:rPr>
            </w:pPr>
            <w:r>
              <w:rPr>
                <w:b/>
                <w:w w:val="105"/>
                <w:sz w:val="12"/>
              </w:rPr>
              <w:t>Entidad</w:t>
            </w:r>
          </w:p>
        </w:tc>
        <w:tc>
          <w:tcPr>
            <w:tcW w:w="2429" w:type="dxa"/>
            <w:gridSpan w:val="4"/>
            <w:shd w:val="clear" w:color="auto" w:fill="DEEAF6"/>
          </w:tcPr>
          <w:p>
            <w:pPr>
              <w:pStyle w:val="TableParagraph"/>
              <w:spacing w:before="1"/>
              <w:rPr>
                <w:b/>
                <w:sz w:val="11"/>
              </w:rPr>
            </w:pPr>
          </w:p>
          <w:p>
            <w:pPr>
              <w:pStyle w:val="TableParagraph"/>
              <w:spacing w:before="1"/>
              <w:ind w:left="642"/>
              <w:rPr>
                <w:b/>
                <w:sz w:val="12"/>
              </w:rPr>
            </w:pPr>
            <w:r>
              <w:rPr>
                <w:b/>
                <w:w w:val="105"/>
                <w:sz w:val="12"/>
              </w:rPr>
              <w:t>Información de la RAC</w:t>
            </w:r>
          </w:p>
        </w:tc>
        <w:tc>
          <w:tcPr>
            <w:tcW w:w="2438" w:type="dxa"/>
            <w:gridSpan w:val="4"/>
            <w:shd w:val="clear" w:color="auto" w:fill="DEEAF6"/>
          </w:tcPr>
          <w:p>
            <w:pPr>
              <w:pStyle w:val="TableParagraph"/>
              <w:spacing w:before="1"/>
              <w:rPr>
                <w:b/>
                <w:sz w:val="11"/>
              </w:rPr>
            </w:pPr>
          </w:p>
          <w:p>
            <w:pPr>
              <w:pStyle w:val="TableParagraph"/>
              <w:spacing w:before="1"/>
              <w:ind w:left="795"/>
              <w:rPr>
                <w:b/>
                <w:sz w:val="12"/>
              </w:rPr>
            </w:pPr>
            <w:r>
              <w:rPr>
                <w:b/>
                <w:w w:val="105"/>
                <w:sz w:val="12"/>
              </w:rPr>
              <w:t>Información de RECO</w:t>
            </w:r>
          </w:p>
        </w:tc>
        <w:tc>
          <w:tcPr>
            <w:tcW w:w="2378" w:type="dxa"/>
            <w:gridSpan w:val="2"/>
            <w:shd w:val="clear" w:color="auto" w:fill="DEEAF6"/>
          </w:tcPr>
          <w:p>
            <w:pPr>
              <w:pStyle w:val="TableParagraph"/>
              <w:spacing w:before="1"/>
              <w:rPr>
                <w:b/>
                <w:sz w:val="11"/>
              </w:rPr>
            </w:pPr>
          </w:p>
          <w:p>
            <w:pPr>
              <w:pStyle w:val="TableParagraph"/>
              <w:spacing w:before="1"/>
              <w:ind w:left="879" w:right="862"/>
              <w:jc w:val="center"/>
              <w:rPr>
                <w:b/>
                <w:sz w:val="12"/>
              </w:rPr>
            </w:pPr>
            <w:r>
              <w:rPr>
                <w:b/>
                <w:w w:val="105"/>
                <w:sz w:val="12"/>
              </w:rPr>
              <w:t>Diferencias</w:t>
            </w:r>
          </w:p>
        </w:tc>
        <w:tc>
          <w:tcPr>
            <w:tcW w:w="1235" w:type="dxa"/>
            <w:vMerge w:val="restart"/>
            <w:shd w:val="clear" w:color="auto" w:fill="DEEAF6"/>
          </w:tcPr>
          <w:p>
            <w:pPr>
              <w:pStyle w:val="TableParagraph"/>
              <w:rPr>
                <w:b/>
                <w:sz w:val="12"/>
              </w:rPr>
            </w:pPr>
          </w:p>
          <w:p>
            <w:pPr>
              <w:pStyle w:val="TableParagraph"/>
              <w:rPr>
                <w:b/>
                <w:sz w:val="12"/>
              </w:rPr>
            </w:pPr>
          </w:p>
          <w:p>
            <w:pPr>
              <w:pStyle w:val="TableParagraph"/>
              <w:spacing w:before="5"/>
              <w:rPr>
                <w:b/>
                <w:sz w:val="9"/>
              </w:rPr>
            </w:pPr>
          </w:p>
          <w:p>
            <w:pPr>
              <w:pStyle w:val="TableParagraph"/>
              <w:ind w:left="243"/>
              <w:rPr>
                <w:b/>
                <w:sz w:val="12"/>
              </w:rPr>
            </w:pPr>
            <w:r>
              <w:rPr>
                <w:b/>
                <w:w w:val="105"/>
                <w:sz w:val="12"/>
              </w:rPr>
              <w:t>Observaciones</w:t>
            </w:r>
          </w:p>
        </w:tc>
      </w:tr>
      <w:tr>
        <w:trPr>
          <w:trHeight w:val="308" w:hRule="atLeast"/>
        </w:trPr>
        <w:tc>
          <w:tcPr>
            <w:tcW w:w="3195" w:type="dxa"/>
            <w:vMerge/>
            <w:tcBorders>
              <w:top w:val="nil"/>
            </w:tcBorders>
            <w:shd w:val="clear" w:color="auto" w:fill="DEEAF6"/>
          </w:tcPr>
          <w:p>
            <w:pPr>
              <w:rPr>
                <w:sz w:val="2"/>
                <w:szCs w:val="2"/>
              </w:rPr>
            </w:pPr>
          </w:p>
        </w:tc>
        <w:tc>
          <w:tcPr>
            <w:tcW w:w="1173" w:type="dxa"/>
            <w:gridSpan w:val="2"/>
            <w:shd w:val="clear" w:color="auto" w:fill="DEEAF6"/>
          </w:tcPr>
          <w:p>
            <w:pPr>
              <w:pStyle w:val="TableParagraph"/>
              <w:spacing w:before="5"/>
              <w:ind w:left="226" w:right="217"/>
              <w:jc w:val="center"/>
              <w:rPr>
                <w:b/>
                <w:sz w:val="12"/>
              </w:rPr>
            </w:pPr>
            <w:r>
              <w:rPr>
                <w:b/>
                <w:w w:val="105"/>
                <w:sz w:val="12"/>
              </w:rPr>
              <w:t>Contratos no</w:t>
            </w:r>
          </w:p>
          <w:p>
            <w:pPr>
              <w:pStyle w:val="TableParagraph"/>
              <w:spacing w:line="130" w:lineRule="exact" w:before="7"/>
              <w:ind w:left="226" w:right="217"/>
              <w:jc w:val="center"/>
              <w:rPr>
                <w:b/>
                <w:sz w:val="12"/>
              </w:rPr>
            </w:pPr>
            <w:r>
              <w:rPr>
                <w:b/>
                <w:w w:val="105"/>
                <w:sz w:val="12"/>
              </w:rPr>
              <w:t>menores</w:t>
            </w:r>
          </w:p>
        </w:tc>
        <w:tc>
          <w:tcPr>
            <w:tcW w:w="1256" w:type="dxa"/>
            <w:gridSpan w:val="2"/>
            <w:shd w:val="clear" w:color="auto" w:fill="DEEAF6"/>
          </w:tcPr>
          <w:p>
            <w:pPr>
              <w:pStyle w:val="TableParagraph"/>
              <w:spacing w:before="82"/>
              <w:ind w:left="131"/>
              <w:rPr>
                <w:b/>
                <w:sz w:val="12"/>
              </w:rPr>
            </w:pPr>
            <w:r>
              <w:rPr>
                <w:b/>
                <w:w w:val="105"/>
                <w:sz w:val="12"/>
              </w:rPr>
              <w:t>Contratos menores</w:t>
            </w:r>
          </w:p>
        </w:tc>
        <w:tc>
          <w:tcPr>
            <w:tcW w:w="1223" w:type="dxa"/>
            <w:gridSpan w:val="2"/>
            <w:shd w:val="clear" w:color="auto" w:fill="DEEAF6"/>
          </w:tcPr>
          <w:p>
            <w:pPr>
              <w:pStyle w:val="TableParagraph"/>
              <w:spacing w:before="5"/>
              <w:ind w:left="254" w:right="239"/>
              <w:jc w:val="center"/>
              <w:rPr>
                <w:b/>
                <w:sz w:val="12"/>
              </w:rPr>
            </w:pPr>
            <w:r>
              <w:rPr>
                <w:b/>
                <w:w w:val="105"/>
                <w:sz w:val="12"/>
              </w:rPr>
              <w:t>Contratos no</w:t>
            </w:r>
          </w:p>
          <w:p>
            <w:pPr>
              <w:pStyle w:val="TableParagraph"/>
              <w:spacing w:line="130" w:lineRule="exact" w:before="7"/>
              <w:ind w:left="253" w:right="239"/>
              <w:jc w:val="center"/>
              <w:rPr>
                <w:b/>
                <w:sz w:val="12"/>
              </w:rPr>
            </w:pPr>
            <w:r>
              <w:rPr>
                <w:b/>
                <w:w w:val="105"/>
                <w:sz w:val="12"/>
              </w:rPr>
              <w:t>menores</w:t>
            </w:r>
          </w:p>
        </w:tc>
        <w:tc>
          <w:tcPr>
            <w:tcW w:w="1215" w:type="dxa"/>
            <w:gridSpan w:val="2"/>
            <w:shd w:val="clear" w:color="auto" w:fill="DEEAF6"/>
          </w:tcPr>
          <w:p>
            <w:pPr>
              <w:pStyle w:val="TableParagraph"/>
              <w:spacing w:before="82"/>
              <w:ind w:left="114"/>
              <w:rPr>
                <w:b/>
                <w:sz w:val="12"/>
              </w:rPr>
            </w:pPr>
            <w:r>
              <w:rPr>
                <w:b/>
                <w:w w:val="105"/>
                <w:sz w:val="12"/>
              </w:rPr>
              <w:t>Contratos menores</w:t>
            </w:r>
          </w:p>
        </w:tc>
        <w:tc>
          <w:tcPr>
            <w:tcW w:w="1274" w:type="dxa"/>
            <w:shd w:val="clear" w:color="auto" w:fill="DEEAF6"/>
          </w:tcPr>
          <w:p>
            <w:pPr>
              <w:pStyle w:val="TableParagraph"/>
              <w:spacing w:before="82"/>
              <w:ind w:right="44"/>
              <w:jc w:val="right"/>
              <w:rPr>
                <w:b/>
                <w:sz w:val="12"/>
              </w:rPr>
            </w:pPr>
            <w:r>
              <w:rPr>
                <w:b/>
                <w:w w:val="105"/>
                <w:sz w:val="12"/>
              </w:rPr>
              <w:t>Contratos no menores</w:t>
            </w:r>
          </w:p>
        </w:tc>
        <w:tc>
          <w:tcPr>
            <w:tcW w:w="1104" w:type="dxa"/>
            <w:shd w:val="clear" w:color="auto" w:fill="DEEAF6"/>
          </w:tcPr>
          <w:p>
            <w:pPr>
              <w:pStyle w:val="TableParagraph"/>
              <w:spacing w:before="82"/>
              <w:ind w:right="41"/>
              <w:jc w:val="right"/>
              <w:rPr>
                <w:b/>
                <w:sz w:val="12"/>
              </w:rPr>
            </w:pPr>
            <w:r>
              <w:rPr>
                <w:b/>
                <w:w w:val="105"/>
                <w:sz w:val="12"/>
              </w:rPr>
              <w:t>Contratos menores</w:t>
            </w:r>
          </w:p>
        </w:tc>
        <w:tc>
          <w:tcPr>
            <w:tcW w:w="1235" w:type="dxa"/>
            <w:vMerge/>
            <w:tcBorders>
              <w:top w:val="nil"/>
            </w:tcBorders>
            <w:shd w:val="clear" w:color="auto" w:fill="DEEAF6"/>
          </w:tcPr>
          <w:p>
            <w:pPr>
              <w:rPr>
                <w:sz w:val="2"/>
                <w:szCs w:val="2"/>
              </w:rPr>
            </w:pPr>
          </w:p>
        </w:tc>
      </w:tr>
      <w:tr>
        <w:trPr>
          <w:trHeight w:val="215" w:hRule="atLeast"/>
        </w:trPr>
        <w:tc>
          <w:tcPr>
            <w:tcW w:w="3195" w:type="dxa"/>
            <w:vMerge/>
            <w:tcBorders>
              <w:top w:val="nil"/>
            </w:tcBorders>
            <w:shd w:val="clear" w:color="auto" w:fill="DEEAF6"/>
          </w:tcPr>
          <w:p>
            <w:pPr>
              <w:rPr>
                <w:sz w:val="2"/>
                <w:szCs w:val="2"/>
              </w:rPr>
            </w:pPr>
          </w:p>
        </w:tc>
        <w:tc>
          <w:tcPr>
            <w:tcW w:w="244" w:type="dxa"/>
            <w:shd w:val="clear" w:color="auto" w:fill="DEEAF6"/>
          </w:tcPr>
          <w:p>
            <w:pPr>
              <w:pStyle w:val="TableParagraph"/>
              <w:spacing w:before="35"/>
              <w:ind w:right="41"/>
              <w:jc w:val="right"/>
              <w:rPr>
                <w:b/>
                <w:sz w:val="12"/>
              </w:rPr>
            </w:pPr>
            <w:r>
              <w:rPr>
                <w:b/>
                <w:sz w:val="12"/>
              </w:rPr>
              <w:t>Nº</w:t>
            </w:r>
          </w:p>
        </w:tc>
        <w:tc>
          <w:tcPr>
            <w:tcW w:w="929" w:type="dxa"/>
            <w:shd w:val="clear" w:color="auto" w:fill="DEEAF6"/>
          </w:tcPr>
          <w:p>
            <w:pPr>
              <w:pStyle w:val="TableParagraph"/>
              <w:spacing w:before="35"/>
              <w:ind w:left="255"/>
              <w:rPr>
                <w:b/>
                <w:sz w:val="12"/>
              </w:rPr>
            </w:pPr>
            <w:r>
              <w:rPr>
                <w:b/>
                <w:w w:val="105"/>
                <w:sz w:val="12"/>
              </w:rPr>
              <w:t>Importe</w:t>
            </w:r>
          </w:p>
        </w:tc>
        <w:tc>
          <w:tcPr>
            <w:tcW w:w="391" w:type="dxa"/>
            <w:shd w:val="clear" w:color="auto" w:fill="DEEAF6"/>
          </w:tcPr>
          <w:p>
            <w:pPr>
              <w:pStyle w:val="TableParagraph"/>
              <w:spacing w:before="35"/>
              <w:ind w:left="126"/>
              <w:rPr>
                <w:b/>
                <w:sz w:val="12"/>
              </w:rPr>
            </w:pPr>
            <w:r>
              <w:rPr>
                <w:b/>
                <w:w w:val="105"/>
                <w:sz w:val="12"/>
              </w:rPr>
              <w:t>Nº</w:t>
            </w:r>
          </w:p>
        </w:tc>
        <w:tc>
          <w:tcPr>
            <w:tcW w:w="865" w:type="dxa"/>
            <w:shd w:val="clear" w:color="auto" w:fill="DEEAF6"/>
          </w:tcPr>
          <w:p>
            <w:pPr>
              <w:pStyle w:val="TableParagraph"/>
              <w:spacing w:before="35"/>
              <w:ind w:left="223"/>
              <w:rPr>
                <w:b/>
                <w:sz w:val="12"/>
              </w:rPr>
            </w:pPr>
            <w:r>
              <w:rPr>
                <w:b/>
                <w:w w:val="105"/>
                <w:sz w:val="12"/>
              </w:rPr>
              <w:t>Importe</w:t>
            </w:r>
          </w:p>
        </w:tc>
        <w:tc>
          <w:tcPr>
            <w:tcW w:w="244" w:type="dxa"/>
            <w:shd w:val="clear" w:color="auto" w:fill="DEEAF6"/>
          </w:tcPr>
          <w:p>
            <w:pPr>
              <w:pStyle w:val="TableParagraph"/>
              <w:spacing w:before="35"/>
              <w:ind w:left="35" w:right="21"/>
              <w:jc w:val="center"/>
              <w:rPr>
                <w:b/>
                <w:sz w:val="12"/>
              </w:rPr>
            </w:pPr>
            <w:r>
              <w:rPr>
                <w:b/>
                <w:w w:val="105"/>
                <w:sz w:val="12"/>
              </w:rPr>
              <w:t>Nº</w:t>
            </w:r>
          </w:p>
        </w:tc>
        <w:tc>
          <w:tcPr>
            <w:tcW w:w="979" w:type="dxa"/>
            <w:shd w:val="clear" w:color="auto" w:fill="DEEAF6"/>
          </w:tcPr>
          <w:p>
            <w:pPr>
              <w:pStyle w:val="TableParagraph"/>
              <w:spacing w:before="35"/>
              <w:ind w:left="282"/>
              <w:rPr>
                <w:b/>
                <w:sz w:val="12"/>
              </w:rPr>
            </w:pPr>
            <w:r>
              <w:rPr>
                <w:b/>
                <w:w w:val="105"/>
                <w:sz w:val="12"/>
              </w:rPr>
              <w:t>Importe</w:t>
            </w:r>
          </w:p>
        </w:tc>
        <w:tc>
          <w:tcPr>
            <w:tcW w:w="298" w:type="dxa"/>
            <w:shd w:val="clear" w:color="auto" w:fill="DEEAF6"/>
          </w:tcPr>
          <w:p>
            <w:pPr>
              <w:pStyle w:val="TableParagraph"/>
              <w:spacing w:before="35"/>
              <w:ind w:left="32" w:right="18"/>
              <w:jc w:val="center"/>
              <w:rPr>
                <w:b/>
                <w:sz w:val="12"/>
              </w:rPr>
            </w:pPr>
            <w:r>
              <w:rPr>
                <w:b/>
                <w:w w:val="105"/>
                <w:sz w:val="12"/>
              </w:rPr>
              <w:t>Nº</w:t>
            </w:r>
          </w:p>
        </w:tc>
        <w:tc>
          <w:tcPr>
            <w:tcW w:w="917" w:type="dxa"/>
            <w:shd w:val="clear" w:color="auto" w:fill="DEEAF6"/>
          </w:tcPr>
          <w:p>
            <w:pPr>
              <w:pStyle w:val="TableParagraph"/>
              <w:spacing w:before="35"/>
              <w:ind w:left="251"/>
              <w:rPr>
                <w:b/>
                <w:sz w:val="12"/>
              </w:rPr>
            </w:pPr>
            <w:r>
              <w:rPr>
                <w:b/>
                <w:w w:val="105"/>
                <w:sz w:val="12"/>
              </w:rPr>
              <w:t>Importe</w:t>
            </w:r>
          </w:p>
        </w:tc>
        <w:tc>
          <w:tcPr>
            <w:tcW w:w="1274" w:type="dxa"/>
            <w:shd w:val="clear" w:color="auto" w:fill="DEEAF6"/>
          </w:tcPr>
          <w:p>
            <w:pPr>
              <w:pStyle w:val="TableParagraph"/>
              <w:rPr>
                <w:rFonts w:ascii="Times New Roman"/>
                <w:sz w:val="12"/>
              </w:rPr>
            </w:pPr>
          </w:p>
        </w:tc>
        <w:tc>
          <w:tcPr>
            <w:tcW w:w="1104" w:type="dxa"/>
            <w:shd w:val="clear" w:color="auto" w:fill="DEEAF6"/>
          </w:tcPr>
          <w:p>
            <w:pPr>
              <w:pStyle w:val="TableParagraph"/>
              <w:rPr>
                <w:rFonts w:ascii="Times New Roman"/>
                <w:sz w:val="12"/>
              </w:rPr>
            </w:pPr>
          </w:p>
        </w:tc>
        <w:tc>
          <w:tcPr>
            <w:tcW w:w="1235" w:type="dxa"/>
            <w:vMerge/>
            <w:tcBorders>
              <w:top w:val="nil"/>
            </w:tcBorders>
            <w:shd w:val="clear" w:color="auto" w:fill="DEEAF6"/>
          </w:tcPr>
          <w:p>
            <w:pPr>
              <w:rPr>
                <w:sz w:val="2"/>
                <w:szCs w:val="2"/>
              </w:rPr>
            </w:pPr>
          </w:p>
        </w:tc>
      </w:tr>
      <w:tr>
        <w:trPr>
          <w:trHeight w:val="417" w:hRule="atLeast"/>
        </w:trPr>
        <w:tc>
          <w:tcPr>
            <w:tcW w:w="3195" w:type="dxa"/>
          </w:tcPr>
          <w:p>
            <w:pPr>
              <w:pStyle w:val="TableParagraph"/>
              <w:spacing w:line="249" w:lineRule="auto" w:before="60"/>
              <w:ind w:left="54"/>
              <w:rPr>
                <w:b/>
                <w:sz w:val="12"/>
              </w:rPr>
            </w:pPr>
            <w:r>
              <w:rPr>
                <w:b/>
                <w:w w:val="105"/>
                <w:sz w:val="12"/>
              </w:rPr>
              <w:t>Agencia Canaria de Calidad Universitaria y Evaluación Educativa (ACCUEE)</w:t>
            </w:r>
          </w:p>
        </w:tc>
        <w:tc>
          <w:tcPr>
            <w:tcW w:w="244" w:type="dxa"/>
          </w:tcPr>
          <w:p>
            <w:pPr>
              <w:pStyle w:val="TableParagraph"/>
              <w:spacing w:before="2"/>
              <w:rPr>
                <w:b/>
                <w:sz w:val="11"/>
              </w:rPr>
            </w:pPr>
          </w:p>
          <w:p>
            <w:pPr>
              <w:pStyle w:val="TableParagraph"/>
              <w:ind w:right="41"/>
              <w:jc w:val="right"/>
              <w:rPr>
                <w:sz w:val="12"/>
              </w:rPr>
            </w:pPr>
            <w:r>
              <w:rPr>
                <w:w w:val="104"/>
                <w:sz w:val="12"/>
              </w:rPr>
              <w:t>0</w:t>
            </w:r>
          </w:p>
        </w:tc>
        <w:tc>
          <w:tcPr>
            <w:tcW w:w="929" w:type="dxa"/>
          </w:tcPr>
          <w:p>
            <w:pPr>
              <w:pStyle w:val="TableParagraph"/>
              <w:spacing w:before="2"/>
              <w:rPr>
                <w:b/>
                <w:sz w:val="11"/>
              </w:rPr>
            </w:pPr>
          </w:p>
          <w:p>
            <w:pPr>
              <w:pStyle w:val="TableParagraph"/>
              <w:ind w:right="40"/>
              <w:jc w:val="right"/>
              <w:rPr>
                <w:sz w:val="12"/>
              </w:rPr>
            </w:pPr>
            <w:r>
              <w:rPr>
                <w:w w:val="105"/>
                <w:sz w:val="12"/>
              </w:rPr>
              <w:t>0,00 €</w:t>
            </w:r>
          </w:p>
        </w:tc>
        <w:tc>
          <w:tcPr>
            <w:tcW w:w="391" w:type="dxa"/>
          </w:tcPr>
          <w:p>
            <w:pPr>
              <w:pStyle w:val="TableParagraph"/>
              <w:spacing w:before="2"/>
              <w:rPr>
                <w:b/>
                <w:sz w:val="11"/>
              </w:rPr>
            </w:pPr>
          </w:p>
          <w:p>
            <w:pPr>
              <w:pStyle w:val="TableParagraph"/>
              <w:ind w:right="42"/>
              <w:jc w:val="right"/>
              <w:rPr>
                <w:sz w:val="12"/>
              </w:rPr>
            </w:pPr>
            <w:r>
              <w:rPr>
                <w:sz w:val="12"/>
              </w:rPr>
              <w:t>62</w:t>
            </w:r>
          </w:p>
        </w:tc>
        <w:tc>
          <w:tcPr>
            <w:tcW w:w="865" w:type="dxa"/>
          </w:tcPr>
          <w:p>
            <w:pPr>
              <w:pStyle w:val="TableParagraph"/>
              <w:spacing w:before="2"/>
              <w:rPr>
                <w:b/>
                <w:sz w:val="11"/>
              </w:rPr>
            </w:pPr>
          </w:p>
          <w:p>
            <w:pPr>
              <w:pStyle w:val="TableParagraph"/>
              <w:ind w:right="39"/>
              <w:jc w:val="right"/>
              <w:rPr>
                <w:sz w:val="12"/>
              </w:rPr>
            </w:pPr>
            <w:r>
              <w:rPr>
                <w:w w:val="105"/>
                <w:sz w:val="12"/>
              </w:rPr>
              <w:t>174.016,57 €</w:t>
            </w:r>
          </w:p>
        </w:tc>
        <w:tc>
          <w:tcPr>
            <w:tcW w:w="244" w:type="dxa"/>
          </w:tcPr>
          <w:p>
            <w:pPr>
              <w:pStyle w:val="TableParagraph"/>
              <w:spacing w:before="2"/>
              <w:rPr>
                <w:b/>
                <w:sz w:val="11"/>
              </w:rPr>
            </w:pPr>
          </w:p>
          <w:p>
            <w:pPr>
              <w:pStyle w:val="TableParagraph"/>
              <w:ind w:left="87"/>
              <w:jc w:val="center"/>
              <w:rPr>
                <w:sz w:val="12"/>
              </w:rPr>
            </w:pPr>
            <w:r>
              <w:rPr>
                <w:w w:val="104"/>
                <w:sz w:val="12"/>
              </w:rPr>
              <w:t>2</w:t>
            </w:r>
          </w:p>
        </w:tc>
        <w:tc>
          <w:tcPr>
            <w:tcW w:w="979" w:type="dxa"/>
          </w:tcPr>
          <w:p>
            <w:pPr>
              <w:pStyle w:val="TableParagraph"/>
              <w:spacing w:before="2"/>
              <w:rPr>
                <w:b/>
                <w:sz w:val="11"/>
              </w:rPr>
            </w:pPr>
          </w:p>
          <w:p>
            <w:pPr>
              <w:pStyle w:val="TableParagraph"/>
              <w:ind w:right="37"/>
              <w:jc w:val="right"/>
              <w:rPr>
                <w:sz w:val="12"/>
              </w:rPr>
            </w:pPr>
            <w:r>
              <w:rPr>
                <w:w w:val="105"/>
                <w:sz w:val="12"/>
              </w:rPr>
              <w:t>95.412,47 €</w:t>
            </w:r>
          </w:p>
        </w:tc>
        <w:tc>
          <w:tcPr>
            <w:tcW w:w="298" w:type="dxa"/>
          </w:tcPr>
          <w:p>
            <w:pPr>
              <w:pStyle w:val="TableParagraph"/>
              <w:spacing w:before="2"/>
              <w:rPr>
                <w:b/>
                <w:sz w:val="11"/>
              </w:rPr>
            </w:pPr>
          </w:p>
          <w:p>
            <w:pPr>
              <w:pStyle w:val="TableParagraph"/>
              <w:ind w:left="97" w:right="18"/>
              <w:jc w:val="center"/>
              <w:rPr>
                <w:sz w:val="12"/>
              </w:rPr>
            </w:pPr>
            <w:r>
              <w:rPr>
                <w:w w:val="105"/>
                <w:sz w:val="12"/>
              </w:rPr>
              <w:t>64</w:t>
            </w:r>
          </w:p>
        </w:tc>
        <w:tc>
          <w:tcPr>
            <w:tcW w:w="917" w:type="dxa"/>
          </w:tcPr>
          <w:p>
            <w:pPr>
              <w:pStyle w:val="TableParagraph"/>
              <w:spacing w:before="2"/>
              <w:rPr>
                <w:b/>
                <w:sz w:val="11"/>
              </w:rPr>
            </w:pPr>
          </w:p>
          <w:p>
            <w:pPr>
              <w:pStyle w:val="TableParagraph"/>
              <w:ind w:right="38"/>
              <w:jc w:val="right"/>
              <w:rPr>
                <w:sz w:val="12"/>
              </w:rPr>
            </w:pPr>
            <w:r>
              <w:rPr>
                <w:w w:val="105"/>
                <w:sz w:val="12"/>
              </w:rPr>
              <w:t>177.474,57 €</w:t>
            </w:r>
          </w:p>
        </w:tc>
        <w:tc>
          <w:tcPr>
            <w:tcW w:w="1274" w:type="dxa"/>
          </w:tcPr>
          <w:p>
            <w:pPr>
              <w:pStyle w:val="TableParagraph"/>
              <w:spacing w:before="2"/>
              <w:rPr>
                <w:b/>
                <w:sz w:val="11"/>
              </w:rPr>
            </w:pPr>
          </w:p>
          <w:p>
            <w:pPr>
              <w:pStyle w:val="TableParagraph"/>
              <w:ind w:right="36"/>
              <w:jc w:val="right"/>
              <w:rPr>
                <w:sz w:val="12"/>
              </w:rPr>
            </w:pPr>
            <w:r>
              <w:rPr>
                <w:w w:val="105"/>
                <w:sz w:val="12"/>
              </w:rPr>
              <w:t>-95.412,47 €</w:t>
            </w:r>
          </w:p>
        </w:tc>
        <w:tc>
          <w:tcPr>
            <w:tcW w:w="1104" w:type="dxa"/>
          </w:tcPr>
          <w:p>
            <w:pPr>
              <w:pStyle w:val="TableParagraph"/>
              <w:spacing w:before="2"/>
              <w:rPr>
                <w:b/>
                <w:sz w:val="11"/>
              </w:rPr>
            </w:pPr>
          </w:p>
          <w:p>
            <w:pPr>
              <w:pStyle w:val="TableParagraph"/>
              <w:ind w:right="37"/>
              <w:jc w:val="right"/>
              <w:rPr>
                <w:sz w:val="12"/>
              </w:rPr>
            </w:pPr>
            <w:r>
              <w:rPr>
                <w:w w:val="105"/>
                <w:sz w:val="12"/>
              </w:rPr>
              <w:t>-3.458,00 €</w:t>
            </w:r>
          </w:p>
        </w:tc>
        <w:tc>
          <w:tcPr>
            <w:tcW w:w="1235" w:type="dxa"/>
          </w:tcPr>
          <w:p>
            <w:pPr>
              <w:pStyle w:val="TableParagraph"/>
              <w:spacing w:line="249" w:lineRule="auto" w:before="60"/>
              <w:ind w:left="58"/>
              <w:rPr>
                <w:sz w:val="12"/>
              </w:rPr>
            </w:pPr>
            <w:r>
              <w:rPr>
                <w:w w:val="105"/>
                <w:sz w:val="12"/>
              </w:rPr>
              <w:t>En la RAC solo incluyó contratos menores</w:t>
            </w:r>
          </w:p>
        </w:tc>
      </w:tr>
      <w:tr>
        <w:trPr>
          <w:trHeight w:val="230" w:hRule="atLeast"/>
        </w:trPr>
        <w:tc>
          <w:tcPr>
            <w:tcW w:w="3195" w:type="dxa"/>
          </w:tcPr>
          <w:p>
            <w:pPr>
              <w:pStyle w:val="TableParagraph"/>
              <w:spacing w:before="43"/>
              <w:ind w:left="54"/>
              <w:rPr>
                <w:b/>
                <w:sz w:val="12"/>
              </w:rPr>
            </w:pPr>
            <w:r>
              <w:rPr>
                <w:b/>
                <w:w w:val="105"/>
                <w:sz w:val="12"/>
              </w:rPr>
              <w:t>Instituto Canario de Administración Pública (ICAP)</w:t>
            </w:r>
          </w:p>
        </w:tc>
        <w:tc>
          <w:tcPr>
            <w:tcW w:w="244" w:type="dxa"/>
          </w:tcPr>
          <w:p>
            <w:pPr>
              <w:pStyle w:val="TableParagraph"/>
              <w:spacing w:before="43"/>
              <w:ind w:right="41"/>
              <w:jc w:val="right"/>
              <w:rPr>
                <w:sz w:val="12"/>
              </w:rPr>
            </w:pPr>
            <w:r>
              <w:rPr>
                <w:w w:val="104"/>
                <w:sz w:val="12"/>
              </w:rPr>
              <w:t>4</w:t>
            </w:r>
          </w:p>
        </w:tc>
        <w:tc>
          <w:tcPr>
            <w:tcW w:w="929" w:type="dxa"/>
          </w:tcPr>
          <w:p>
            <w:pPr>
              <w:pStyle w:val="TableParagraph"/>
              <w:spacing w:before="43"/>
              <w:ind w:right="40"/>
              <w:jc w:val="right"/>
              <w:rPr>
                <w:sz w:val="12"/>
              </w:rPr>
            </w:pPr>
            <w:r>
              <w:rPr>
                <w:w w:val="105"/>
                <w:sz w:val="12"/>
              </w:rPr>
              <w:t>185.287,01 €</w:t>
            </w:r>
          </w:p>
        </w:tc>
        <w:tc>
          <w:tcPr>
            <w:tcW w:w="391" w:type="dxa"/>
          </w:tcPr>
          <w:p>
            <w:pPr>
              <w:pStyle w:val="TableParagraph"/>
              <w:spacing w:before="43"/>
              <w:ind w:right="40"/>
              <w:jc w:val="right"/>
              <w:rPr>
                <w:sz w:val="12"/>
              </w:rPr>
            </w:pPr>
            <w:r>
              <w:rPr>
                <w:sz w:val="12"/>
              </w:rPr>
              <w:t>118</w:t>
            </w:r>
          </w:p>
        </w:tc>
        <w:tc>
          <w:tcPr>
            <w:tcW w:w="865" w:type="dxa"/>
          </w:tcPr>
          <w:p>
            <w:pPr>
              <w:pStyle w:val="TableParagraph"/>
              <w:spacing w:before="43"/>
              <w:ind w:right="39"/>
              <w:jc w:val="right"/>
              <w:rPr>
                <w:sz w:val="12"/>
              </w:rPr>
            </w:pPr>
            <w:r>
              <w:rPr>
                <w:w w:val="105"/>
                <w:sz w:val="12"/>
              </w:rPr>
              <w:t>512.756,94 €</w:t>
            </w:r>
          </w:p>
        </w:tc>
        <w:tc>
          <w:tcPr>
            <w:tcW w:w="244" w:type="dxa"/>
          </w:tcPr>
          <w:p>
            <w:pPr>
              <w:pStyle w:val="TableParagraph"/>
              <w:spacing w:before="43"/>
              <w:ind w:left="87"/>
              <w:jc w:val="center"/>
              <w:rPr>
                <w:sz w:val="12"/>
              </w:rPr>
            </w:pPr>
            <w:r>
              <w:rPr>
                <w:w w:val="104"/>
                <w:sz w:val="12"/>
              </w:rPr>
              <w:t>3</w:t>
            </w:r>
          </w:p>
        </w:tc>
        <w:tc>
          <w:tcPr>
            <w:tcW w:w="979" w:type="dxa"/>
          </w:tcPr>
          <w:p>
            <w:pPr>
              <w:pStyle w:val="TableParagraph"/>
              <w:spacing w:before="43"/>
              <w:ind w:right="37"/>
              <w:jc w:val="right"/>
              <w:rPr>
                <w:sz w:val="12"/>
              </w:rPr>
            </w:pPr>
            <w:r>
              <w:rPr>
                <w:w w:val="105"/>
                <w:sz w:val="12"/>
              </w:rPr>
              <w:t>151.405,00 €</w:t>
            </w:r>
          </w:p>
        </w:tc>
        <w:tc>
          <w:tcPr>
            <w:tcW w:w="298" w:type="dxa"/>
          </w:tcPr>
          <w:p>
            <w:pPr>
              <w:pStyle w:val="TableParagraph"/>
              <w:spacing w:before="43"/>
              <w:ind w:left="38" w:right="18"/>
              <w:jc w:val="center"/>
              <w:rPr>
                <w:sz w:val="12"/>
              </w:rPr>
            </w:pPr>
            <w:r>
              <w:rPr>
                <w:w w:val="105"/>
                <w:sz w:val="12"/>
              </w:rPr>
              <w:t>118</w:t>
            </w:r>
          </w:p>
        </w:tc>
        <w:tc>
          <w:tcPr>
            <w:tcW w:w="917" w:type="dxa"/>
          </w:tcPr>
          <w:p>
            <w:pPr>
              <w:pStyle w:val="TableParagraph"/>
              <w:spacing w:before="43"/>
              <w:ind w:right="38"/>
              <w:jc w:val="right"/>
              <w:rPr>
                <w:sz w:val="12"/>
              </w:rPr>
            </w:pPr>
            <w:r>
              <w:rPr>
                <w:w w:val="105"/>
                <w:sz w:val="12"/>
              </w:rPr>
              <w:t>516.050,04 €</w:t>
            </w:r>
          </w:p>
        </w:tc>
        <w:tc>
          <w:tcPr>
            <w:tcW w:w="1274" w:type="dxa"/>
          </w:tcPr>
          <w:p>
            <w:pPr>
              <w:pStyle w:val="TableParagraph"/>
              <w:spacing w:before="43"/>
              <w:ind w:right="36"/>
              <w:jc w:val="right"/>
              <w:rPr>
                <w:sz w:val="12"/>
              </w:rPr>
            </w:pPr>
            <w:r>
              <w:rPr>
                <w:w w:val="105"/>
                <w:sz w:val="12"/>
              </w:rPr>
              <w:t>33.882,01 €</w:t>
            </w:r>
          </w:p>
        </w:tc>
        <w:tc>
          <w:tcPr>
            <w:tcW w:w="1104" w:type="dxa"/>
          </w:tcPr>
          <w:p>
            <w:pPr>
              <w:pStyle w:val="TableParagraph"/>
              <w:spacing w:before="43"/>
              <w:ind w:right="37"/>
              <w:jc w:val="right"/>
              <w:rPr>
                <w:sz w:val="12"/>
              </w:rPr>
            </w:pPr>
            <w:r>
              <w:rPr>
                <w:w w:val="105"/>
                <w:sz w:val="12"/>
              </w:rPr>
              <w:t>-3.293,10 €</w:t>
            </w:r>
          </w:p>
        </w:tc>
        <w:tc>
          <w:tcPr>
            <w:tcW w:w="1235" w:type="dxa"/>
          </w:tcPr>
          <w:p>
            <w:pPr>
              <w:pStyle w:val="TableParagraph"/>
              <w:rPr>
                <w:rFonts w:ascii="Times New Roman"/>
                <w:sz w:val="12"/>
              </w:rPr>
            </w:pPr>
          </w:p>
        </w:tc>
      </w:tr>
      <w:tr>
        <w:trPr>
          <w:trHeight w:val="230" w:hRule="atLeast"/>
        </w:trPr>
        <w:tc>
          <w:tcPr>
            <w:tcW w:w="3195" w:type="dxa"/>
          </w:tcPr>
          <w:p>
            <w:pPr>
              <w:pStyle w:val="TableParagraph"/>
              <w:spacing w:before="43"/>
              <w:ind w:left="54"/>
              <w:rPr>
                <w:b/>
                <w:sz w:val="12"/>
              </w:rPr>
            </w:pPr>
            <w:r>
              <w:rPr>
                <w:b/>
                <w:w w:val="105"/>
                <w:sz w:val="12"/>
              </w:rPr>
              <w:t>Instituto Canario de la Vivienda (ICAVI)</w:t>
            </w:r>
          </w:p>
        </w:tc>
        <w:tc>
          <w:tcPr>
            <w:tcW w:w="244" w:type="dxa"/>
          </w:tcPr>
          <w:p>
            <w:pPr>
              <w:pStyle w:val="TableParagraph"/>
              <w:spacing w:before="43"/>
              <w:ind w:right="41"/>
              <w:jc w:val="right"/>
              <w:rPr>
                <w:sz w:val="12"/>
              </w:rPr>
            </w:pPr>
            <w:r>
              <w:rPr>
                <w:sz w:val="12"/>
              </w:rPr>
              <w:t>43</w:t>
            </w:r>
          </w:p>
        </w:tc>
        <w:tc>
          <w:tcPr>
            <w:tcW w:w="929" w:type="dxa"/>
          </w:tcPr>
          <w:p>
            <w:pPr>
              <w:pStyle w:val="TableParagraph"/>
              <w:spacing w:before="43"/>
              <w:ind w:right="40"/>
              <w:jc w:val="right"/>
              <w:rPr>
                <w:sz w:val="12"/>
              </w:rPr>
            </w:pPr>
            <w:r>
              <w:rPr>
                <w:w w:val="105"/>
                <w:sz w:val="12"/>
              </w:rPr>
              <w:t>13.969.472,40 €</w:t>
            </w:r>
          </w:p>
        </w:tc>
        <w:tc>
          <w:tcPr>
            <w:tcW w:w="391" w:type="dxa"/>
          </w:tcPr>
          <w:p>
            <w:pPr>
              <w:pStyle w:val="TableParagraph"/>
              <w:spacing w:before="43"/>
              <w:ind w:right="40"/>
              <w:jc w:val="right"/>
              <w:rPr>
                <w:sz w:val="12"/>
              </w:rPr>
            </w:pPr>
            <w:r>
              <w:rPr>
                <w:sz w:val="12"/>
              </w:rPr>
              <w:t>383</w:t>
            </w:r>
          </w:p>
        </w:tc>
        <w:tc>
          <w:tcPr>
            <w:tcW w:w="865" w:type="dxa"/>
          </w:tcPr>
          <w:p>
            <w:pPr>
              <w:pStyle w:val="TableParagraph"/>
              <w:spacing w:before="43"/>
              <w:ind w:right="39"/>
              <w:jc w:val="right"/>
              <w:rPr>
                <w:sz w:val="12"/>
              </w:rPr>
            </w:pPr>
            <w:r>
              <w:rPr>
                <w:w w:val="105"/>
                <w:sz w:val="12"/>
              </w:rPr>
              <w:t>6.409.154,83 €</w:t>
            </w:r>
          </w:p>
        </w:tc>
        <w:tc>
          <w:tcPr>
            <w:tcW w:w="244" w:type="dxa"/>
          </w:tcPr>
          <w:p>
            <w:pPr>
              <w:pStyle w:val="TableParagraph"/>
              <w:spacing w:before="43"/>
              <w:ind w:left="35" w:right="11"/>
              <w:jc w:val="center"/>
              <w:rPr>
                <w:sz w:val="12"/>
              </w:rPr>
            </w:pPr>
            <w:r>
              <w:rPr>
                <w:w w:val="105"/>
                <w:sz w:val="12"/>
              </w:rPr>
              <w:t>45</w:t>
            </w:r>
          </w:p>
        </w:tc>
        <w:tc>
          <w:tcPr>
            <w:tcW w:w="979" w:type="dxa"/>
          </w:tcPr>
          <w:p>
            <w:pPr>
              <w:pStyle w:val="TableParagraph"/>
              <w:spacing w:before="43"/>
              <w:ind w:right="37"/>
              <w:jc w:val="right"/>
              <w:rPr>
                <w:sz w:val="12"/>
              </w:rPr>
            </w:pPr>
            <w:r>
              <w:rPr>
                <w:w w:val="105"/>
                <w:sz w:val="12"/>
              </w:rPr>
              <w:t>8.721.555,02 €</w:t>
            </w:r>
          </w:p>
        </w:tc>
        <w:tc>
          <w:tcPr>
            <w:tcW w:w="298" w:type="dxa"/>
          </w:tcPr>
          <w:p>
            <w:pPr>
              <w:pStyle w:val="TableParagraph"/>
              <w:spacing w:before="43"/>
              <w:ind w:left="38" w:right="18"/>
              <w:jc w:val="center"/>
              <w:rPr>
                <w:sz w:val="12"/>
              </w:rPr>
            </w:pPr>
            <w:r>
              <w:rPr>
                <w:w w:val="105"/>
                <w:sz w:val="12"/>
              </w:rPr>
              <w:t>336</w:t>
            </w:r>
          </w:p>
        </w:tc>
        <w:tc>
          <w:tcPr>
            <w:tcW w:w="917" w:type="dxa"/>
          </w:tcPr>
          <w:p>
            <w:pPr>
              <w:pStyle w:val="TableParagraph"/>
              <w:spacing w:before="43"/>
              <w:ind w:right="37"/>
              <w:jc w:val="right"/>
              <w:rPr>
                <w:sz w:val="12"/>
              </w:rPr>
            </w:pPr>
            <w:r>
              <w:rPr>
                <w:w w:val="105"/>
                <w:sz w:val="12"/>
              </w:rPr>
              <w:t>6.135.437,28 €</w:t>
            </w:r>
          </w:p>
        </w:tc>
        <w:tc>
          <w:tcPr>
            <w:tcW w:w="1274" w:type="dxa"/>
          </w:tcPr>
          <w:p>
            <w:pPr>
              <w:pStyle w:val="TableParagraph"/>
              <w:spacing w:before="43"/>
              <w:ind w:right="36"/>
              <w:jc w:val="right"/>
              <w:rPr>
                <w:sz w:val="12"/>
              </w:rPr>
            </w:pPr>
            <w:r>
              <w:rPr>
                <w:w w:val="105"/>
                <w:sz w:val="12"/>
              </w:rPr>
              <w:t>5.247.917,38 €</w:t>
            </w:r>
          </w:p>
        </w:tc>
        <w:tc>
          <w:tcPr>
            <w:tcW w:w="1104" w:type="dxa"/>
          </w:tcPr>
          <w:p>
            <w:pPr>
              <w:pStyle w:val="TableParagraph"/>
              <w:spacing w:before="43"/>
              <w:ind w:right="37"/>
              <w:jc w:val="right"/>
              <w:rPr>
                <w:sz w:val="12"/>
              </w:rPr>
            </w:pPr>
            <w:r>
              <w:rPr>
                <w:w w:val="105"/>
                <w:sz w:val="12"/>
              </w:rPr>
              <w:t>273.717,55 €</w:t>
            </w:r>
          </w:p>
        </w:tc>
        <w:tc>
          <w:tcPr>
            <w:tcW w:w="1235" w:type="dxa"/>
          </w:tcPr>
          <w:p>
            <w:pPr>
              <w:pStyle w:val="TableParagraph"/>
              <w:rPr>
                <w:rFonts w:ascii="Times New Roman"/>
                <w:sz w:val="12"/>
              </w:rPr>
            </w:pPr>
          </w:p>
        </w:tc>
      </w:tr>
      <w:tr>
        <w:trPr>
          <w:trHeight w:val="232" w:hRule="atLeast"/>
        </w:trPr>
        <w:tc>
          <w:tcPr>
            <w:tcW w:w="3195" w:type="dxa"/>
          </w:tcPr>
          <w:p>
            <w:pPr>
              <w:pStyle w:val="TableParagraph"/>
              <w:spacing w:before="43"/>
              <w:ind w:left="54"/>
              <w:rPr>
                <w:b/>
                <w:sz w:val="12"/>
              </w:rPr>
            </w:pPr>
            <w:r>
              <w:rPr>
                <w:b/>
                <w:w w:val="105"/>
                <w:sz w:val="12"/>
              </w:rPr>
              <w:t>Instituto Canario de Calidad Agroalimentaria (ICCA)</w:t>
            </w:r>
          </w:p>
        </w:tc>
        <w:tc>
          <w:tcPr>
            <w:tcW w:w="244" w:type="dxa"/>
          </w:tcPr>
          <w:p>
            <w:pPr>
              <w:pStyle w:val="TableParagraph"/>
              <w:spacing w:before="43"/>
              <w:ind w:right="41"/>
              <w:jc w:val="right"/>
              <w:rPr>
                <w:sz w:val="12"/>
              </w:rPr>
            </w:pPr>
            <w:r>
              <w:rPr>
                <w:w w:val="104"/>
                <w:sz w:val="12"/>
              </w:rPr>
              <w:t>8</w:t>
            </w:r>
          </w:p>
        </w:tc>
        <w:tc>
          <w:tcPr>
            <w:tcW w:w="929" w:type="dxa"/>
          </w:tcPr>
          <w:p>
            <w:pPr>
              <w:pStyle w:val="TableParagraph"/>
              <w:spacing w:before="43"/>
              <w:ind w:right="40"/>
              <w:jc w:val="right"/>
              <w:rPr>
                <w:sz w:val="12"/>
              </w:rPr>
            </w:pPr>
            <w:r>
              <w:rPr>
                <w:w w:val="105"/>
                <w:sz w:val="12"/>
              </w:rPr>
              <w:t>967.041,29 €</w:t>
            </w:r>
          </w:p>
        </w:tc>
        <w:tc>
          <w:tcPr>
            <w:tcW w:w="391" w:type="dxa"/>
          </w:tcPr>
          <w:p>
            <w:pPr>
              <w:pStyle w:val="TableParagraph"/>
              <w:spacing w:before="43"/>
              <w:ind w:right="42"/>
              <w:jc w:val="right"/>
              <w:rPr>
                <w:sz w:val="12"/>
              </w:rPr>
            </w:pPr>
            <w:r>
              <w:rPr>
                <w:sz w:val="12"/>
              </w:rPr>
              <w:t>99</w:t>
            </w:r>
          </w:p>
        </w:tc>
        <w:tc>
          <w:tcPr>
            <w:tcW w:w="865" w:type="dxa"/>
          </w:tcPr>
          <w:p>
            <w:pPr>
              <w:pStyle w:val="TableParagraph"/>
              <w:spacing w:before="43"/>
              <w:ind w:right="39"/>
              <w:jc w:val="right"/>
              <w:rPr>
                <w:sz w:val="12"/>
              </w:rPr>
            </w:pPr>
            <w:r>
              <w:rPr>
                <w:w w:val="105"/>
                <w:sz w:val="12"/>
              </w:rPr>
              <w:t>568.008,66 €</w:t>
            </w:r>
          </w:p>
        </w:tc>
        <w:tc>
          <w:tcPr>
            <w:tcW w:w="244" w:type="dxa"/>
          </w:tcPr>
          <w:p>
            <w:pPr>
              <w:pStyle w:val="TableParagraph"/>
              <w:spacing w:before="43"/>
              <w:ind w:left="87"/>
              <w:jc w:val="center"/>
              <w:rPr>
                <w:sz w:val="12"/>
              </w:rPr>
            </w:pPr>
            <w:r>
              <w:rPr>
                <w:w w:val="104"/>
                <w:sz w:val="12"/>
              </w:rPr>
              <w:t>9</w:t>
            </w:r>
          </w:p>
        </w:tc>
        <w:tc>
          <w:tcPr>
            <w:tcW w:w="979" w:type="dxa"/>
          </w:tcPr>
          <w:p>
            <w:pPr>
              <w:pStyle w:val="TableParagraph"/>
              <w:spacing w:before="43"/>
              <w:ind w:right="37"/>
              <w:jc w:val="right"/>
              <w:rPr>
                <w:sz w:val="12"/>
              </w:rPr>
            </w:pPr>
            <w:r>
              <w:rPr>
                <w:w w:val="105"/>
                <w:sz w:val="12"/>
              </w:rPr>
              <w:t>338.170,49 €</w:t>
            </w:r>
          </w:p>
        </w:tc>
        <w:tc>
          <w:tcPr>
            <w:tcW w:w="298" w:type="dxa"/>
          </w:tcPr>
          <w:p>
            <w:pPr>
              <w:pStyle w:val="TableParagraph"/>
              <w:spacing w:before="43"/>
              <w:ind w:left="38" w:right="18"/>
              <w:jc w:val="center"/>
              <w:rPr>
                <w:sz w:val="12"/>
              </w:rPr>
            </w:pPr>
            <w:r>
              <w:rPr>
                <w:w w:val="105"/>
                <w:sz w:val="12"/>
              </w:rPr>
              <w:t>111</w:t>
            </w:r>
          </w:p>
        </w:tc>
        <w:tc>
          <w:tcPr>
            <w:tcW w:w="917" w:type="dxa"/>
          </w:tcPr>
          <w:p>
            <w:pPr>
              <w:pStyle w:val="TableParagraph"/>
              <w:spacing w:before="43"/>
              <w:ind w:right="38"/>
              <w:jc w:val="right"/>
              <w:rPr>
                <w:sz w:val="12"/>
              </w:rPr>
            </w:pPr>
            <w:r>
              <w:rPr>
                <w:w w:val="105"/>
                <w:sz w:val="12"/>
              </w:rPr>
              <w:t>694.288,23 €</w:t>
            </w:r>
          </w:p>
        </w:tc>
        <w:tc>
          <w:tcPr>
            <w:tcW w:w="1274" w:type="dxa"/>
          </w:tcPr>
          <w:p>
            <w:pPr>
              <w:pStyle w:val="TableParagraph"/>
              <w:spacing w:before="43"/>
              <w:ind w:right="36"/>
              <w:jc w:val="right"/>
              <w:rPr>
                <w:sz w:val="12"/>
              </w:rPr>
            </w:pPr>
            <w:r>
              <w:rPr>
                <w:w w:val="105"/>
                <w:sz w:val="12"/>
              </w:rPr>
              <w:t>628.870,80 €</w:t>
            </w:r>
          </w:p>
        </w:tc>
        <w:tc>
          <w:tcPr>
            <w:tcW w:w="1104" w:type="dxa"/>
          </w:tcPr>
          <w:p>
            <w:pPr>
              <w:pStyle w:val="TableParagraph"/>
              <w:spacing w:before="43"/>
              <w:ind w:right="37"/>
              <w:jc w:val="right"/>
              <w:rPr>
                <w:sz w:val="12"/>
              </w:rPr>
            </w:pPr>
            <w:r>
              <w:rPr>
                <w:w w:val="105"/>
                <w:sz w:val="12"/>
              </w:rPr>
              <w:t>-126.279,57 €</w:t>
            </w:r>
          </w:p>
        </w:tc>
        <w:tc>
          <w:tcPr>
            <w:tcW w:w="1235" w:type="dxa"/>
          </w:tcPr>
          <w:p>
            <w:pPr>
              <w:pStyle w:val="TableParagraph"/>
              <w:rPr>
                <w:rFonts w:ascii="Times New Roman"/>
                <w:sz w:val="12"/>
              </w:rPr>
            </w:pPr>
          </w:p>
        </w:tc>
      </w:tr>
      <w:tr>
        <w:trPr>
          <w:trHeight w:val="230" w:hRule="atLeast"/>
        </w:trPr>
        <w:tc>
          <w:tcPr>
            <w:tcW w:w="3195" w:type="dxa"/>
            <w:shd w:val="clear" w:color="auto" w:fill="D9D9D9"/>
          </w:tcPr>
          <w:p>
            <w:pPr>
              <w:pStyle w:val="TableParagraph"/>
              <w:spacing w:before="43"/>
              <w:ind w:left="54"/>
              <w:rPr>
                <w:b/>
                <w:sz w:val="12"/>
              </w:rPr>
            </w:pPr>
            <w:r>
              <w:rPr>
                <w:b/>
                <w:w w:val="105"/>
                <w:sz w:val="12"/>
              </w:rPr>
              <w:t>Instituto Canario de Hemodonación y Hemoterapia (ICHH)</w:t>
            </w:r>
          </w:p>
        </w:tc>
        <w:tc>
          <w:tcPr>
            <w:tcW w:w="244" w:type="dxa"/>
            <w:shd w:val="clear" w:color="auto" w:fill="D9D9D9"/>
          </w:tcPr>
          <w:p>
            <w:pPr>
              <w:pStyle w:val="TableParagraph"/>
              <w:spacing w:before="43"/>
              <w:ind w:right="41"/>
              <w:jc w:val="right"/>
              <w:rPr>
                <w:sz w:val="12"/>
              </w:rPr>
            </w:pPr>
            <w:r>
              <w:rPr>
                <w:w w:val="104"/>
                <w:sz w:val="12"/>
              </w:rPr>
              <w:t>2</w:t>
            </w:r>
          </w:p>
        </w:tc>
        <w:tc>
          <w:tcPr>
            <w:tcW w:w="929" w:type="dxa"/>
            <w:shd w:val="clear" w:color="auto" w:fill="D9D9D9"/>
          </w:tcPr>
          <w:p>
            <w:pPr>
              <w:pStyle w:val="TableParagraph"/>
              <w:spacing w:before="43"/>
              <w:ind w:right="40"/>
              <w:jc w:val="right"/>
              <w:rPr>
                <w:sz w:val="12"/>
              </w:rPr>
            </w:pPr>
            <w:r>
              <w:rPr>
                <w:w w:val="105"/>
                <w:sz w:val="12"/>
              </w:rPr>
              <w:t>4.387.671,92 €</w:t>
            </w:r>
          </w:p>
        </w:tc>
        <w:tc>
          <w:tcPr>
            <w:tcW w:w="391" w:type="dxa"/>
            <w:shd w:val="clear" w:color="auto" w:fill="D9D9D9"/>
          </w:tcPr>
          <w:p>
            <w:pPr>
              <w:pStyle w:val="TableParagraph"/>
              <w:spacing w:before="43"/>
              <w:ind w:right="40"/>
              <w:jc w:val="right"/>
              <w:rPr>
                <w:sz w:val="12"/>
              </w:rPr>
            </w:pPr>
            <w:r>
              <w:rPr>
                <w:sz w:val="12"/>
              </w:rPr>
              <w:t>1.742</w:t>
            </w:r>
          </w:p>
        </w:tc>
        <w:tc>
          <w:tcPr>
            <w:tcW w:w="865" w:type="dxa"/>
            <w:shd w:val="clear" w:color="auto" w:fill="D9D9D9"/>
          </w:tcPr>
          <w:p>
            <w:pPr>
              <w:pStyle w:val="TableParagraph"/>
              <w:spacing w:before="43"/>
              <w:ind w:right="39"/>
              <w:jc w:val="right"/>
              <w:rPr>
                <w:sz w:val="12"/>
              </w:rPr>
            </w:pPr>
            <w:r>
              <w:rPr>
                <w:w w:val="105"/>
                <w:sz w:val="12"/>
              </w:rPr>
              <w:t>1.438.837,67 €</w:t>
            </w:r>
          </w:p>
        </w:tc>
        <w:tc>
          <w:tcPr>
            <w:tcW w:w="244" w:type="dxa"/>
            <w:shd w:val="clear" w:color="auto" w:fill="D9D9D9"/>
          </w:tcPr>
          <w:p>
            <w:pPr>
              <w:pStyle w:val="TableParagraph"/>
              <w:rPr>
                <w:rFonts w:ascii="Times New Roman"/>
                <w:sz w:val="12"/>
              </w:rPr>
            </w:pPr>
          </w:p>
        </w:tc>
        <w:tc>
          <w:tcPr>
            <w:tcW w:w="979" w:type="dxa"/>
            <w:shd w:val="clear" w:color="auto" w:fill="D9D9D9"/>
          </w:tcPr>
          <w:p>
            <w:pPr>
              <w:pStyle w:val="TableParagraph"/>
              <w:rPr>
                <w:rFonts w:ascii="Times New Roman"/>
                <w:sz w:val="12"/>
              </w:rPr>
            </w:pPr>
          </w:p>
        </w:tc>
        <w:tc>
          <w:tcPr>
            <w:tcW w:w="298" w:type="dxa"/>
            <w:shd w:val="clear" w:color="auto" w:fill="D9D9D9"/>
          </w:tcPr>
          <w:p>
            <w:pPr>
              <w:pStyle w:val="TableParagraph"/>
              <w:rPr>
                <w:rFonts w:ascii="Times New Roman"/>
                <w:sz w:val="12"/>
              </w:rPr>
            </w:pPr>
          </w:p>
        </w:tc>
        <w:tc>
          <w:tcPr>
            <w:tcW w:w="917" w:type="dxa"/>
            <w:shd w:val="clear" w:color="auto" w:fill="D9D9D9"/>
          </w:tcPr>
          <w:p>
            <w:pPr>
              <w:pStyle w:val="TableParagraph"/>
              <w:rPr>
                <w:rFonts w:ascii="Times New Roman"/>
                <w:sz w:val="12"/>
              </w:rPr>
            </w:pPr>
          </w:p>
        </w:tc>
        <w:tc>
          <w:tcPr>
            <w:tcW w:w="1274" w:type="dxa"/>
            <w:shd w:val="clear" w:color="auto" w:fill="D9D9D9"/>
          </w:tcPr>
          <w:p>
            <w:pPr>
              <w:pStyle w:val="TableParagraph"/>
              <w:spacing w:before="43"/>
              <w:ind w:right="36"/>
              <w:jc w:val="right"/>
              <w:rPr>
                <w:sz w:val="12"/>
              </w:rPr>
            </w:pPr>
            <w:r>
              <w:rPr>
                <w:w w:val="105"/>
                <w:sz w:val="12"/>
              </w:rPr>
              <w:t>4.387.671,92 €</w:t>
            </w:r>
          </w:p>
        </w:tc>
        <w:tc>
          <w:tcPr>
            <w:tcW w:w="1104" w:type="dxa"/>
            <w:shd w:val="clear" w:color="auto" w:fill="D9D9D9"/>
          </w:tcPr>
          <w:p>
            <w:pPr>
              <w:pStyle w:val="TableParagraph"/>
              <w:spacing w:before="43"/>
              <w:ind w:right="37"/>
              <w:jc w:val="right"/>
              <w:rPr>
                <w:sz w:val="12"/>
              </w:rPr>
            </w:pPr>
            <w:r>
              <w:rPr>
                <w:w w:val="105"/>
                <w:sz w:val="12"/>
              </w:rPr>
              <w:t>1.438.837,67 €</w:t>
            </w:r>
          </w:p>
        </w:tc>
        <w:tc>
          <w:tcPr>
            <w:tcW w:w="1235" w:type="dxa"/>
            <w:shd w:val="clear" w:color="auto" w:fill="D9D9D9"/>
          </w:tcPr>
          <w:p>
            <w:pPr>
              <w:pStyle w:val="TableParagraph"/>
              <w:spacing w:before="43"/>
              <w:ind w:left="58"/>
              <w:rPr>
                <w:sz w:val="12"/>
              </w:rPr>
            </w:pPr>
            <w:r>
              <w:rPr>
                <w:w w:val="105"/>
                <w:sz w:val="12"/>
              </w:rPr>
              <w:t>No está en SEFLogic</w:t>
            </w:r>
          </w:p>
        </w:tc>
      </w:tr>
      <w:tr>
        <w:trPr>
          <w:trHeight w:val="230" w:hRule="atLeast"/>
        </w:trPr>
        <w:tc>
          <w:tcPr>
            <w:tcW w:w="3195" w:type="dxa"/>
          </w:tcPr>
          <w:p>
            <w:pPr>
              <w:pStyle w:val="TableParagraph"/>
              <w:spacing w:before="43"/>
              <w:ind w:left="54"/>
              <w:rPr>
                <w:b/>
                <w:sz w:val="12"/>
              </w:rPr>
            </w:pPr>
            <w:r>
              <w:rPr>
                <w:b/>
                <w:w w:val="105"/>
                <w:sz w:val="12"/>
              </w:rPr>
              <w:t>Instituto Canario de Igualdad (ICI)</w:t>
            </w:r>
          </w:p>
        </w:tc>
        <w:tc>
          <w:tcPr>
            <w:tcW w:w="244" w:type="dxa"/>
          </w:tcPr>
          <w:p>
            <w:pPr>
              <w:pStyle w:val="TableParagraph"/>
              <w:spacing w:before="43"/>
              <w:ind w:right="41"/>
              <w:jc w:val="right"/>
              <w:rPr>
                <w:sz w:val="12"/>
              </w:rPr>
            </w:pPr>
            <w:r>
              <w:rPr>
                <w:w w:val="104"/>
                <w:sz w:val="12"/>
              </w:rPr>
              <w:t>3</w:t>
            </w:r>
          </w:p>
        </w:tc>
        <w:tc>
          <w:tcPr>
            <w:tcW w:w="929" w:type="dxa"/>
          </w:tcPr>
          <w:p>
            <w:pPr>
              <w:pStyle w:val="TableParagraph"/>
              <w:spacing w:before="43"/>
              <w:ind w:right="40"/>
              <w:jc w:val="right"/>
              <w:rPr>
                <w:sz w:val="12"/>
              </w:rPr>
            </w:pPr>
            <w:r>
              <w:rPr>
                <w:w w:val="105"/>
                <w:sz w:val="12"/>
              </w:rPr>
              <w:t>300.000,00 €</w:t>
            </w:r>
          </w:p>
        </w:tc>
        <w:tc>
          <w:tcPr>
            <w:tcW w:w="391" w:type="dxa"/>
          </w:tcPr>
          <w:p>
            <w:pPr>
              <w:pStyle w:val="TableParagraph"/>
              <w:spacing w:before="43"/>
              <w:ind w:right="40"/>
              <w:jc w:val="right"/>
              <w:rPr>
                <w:sz w:val="12"/>
              </w:rPr>
            </w:pPr>
            <w:r>
              <w:rPr>
                <w:sz w:val="12"/>
              </w:rPr>
              <w:t>121</w:t>
            </w:r>
          </w:p>
        </w:tc>
        <w:tc>
          <w:tcPr>
            <w:tcW w:w="865" w:type="dxa"/>
          </w:tcPr>
          <w:p>
            <w:pPr>
              <w:pStyle w:val="TableParagraph"/>
              <w:spacing w:before="43"/>
              <w:ind w:right="39"/>
              <w:jc w:val="right"/>
              <w:rPr>
                <w:sz w:val="12"/>
              </w:rPr>
            </w:pPr>
            <w:r>
              <w:rPr>
                <w:w w:val="105"/>
                <w:sz w:val="12"/>
              </w:rPr>
              <w:t>1.018.058,76 €</w:t>
            </w:r>
          </w:p>
        </w:tc>
        <w:tc>
          <w:tcPr>
            <w:tcW w:w="244" w:type="dxa"/>
          </w:tcPr>
          <w:p>
            <w:pPr>
              <w:pStyle w:val="TableParagraph"/>
              <w:spacing w:before="43"/>
              <w:ind w:left="87"/>
              <w:jc w:val="center"/>
              <w:rPr>
                <w:sz w:val="12"/>
              </w:rPr>
            </w:pPr>
            <w:r>
              <w:rPr>
                <w:w w:val="104"/>
                <w:sz w:val="12"/>
              </w:rPr>
              <w:t>6</w:t>
            </w:r>
          </w:p>
        </w:tc>
        <w:tc>
          <w:tcPr>
            <w:tcW w:w="979" w:type="dxa"/>
          </w:tcPr>
          <w:p>
            <w:pPr>
              <w:pStyle w:val="TableParagraph"/>
              <w:spacing w:before="43"/>
              <w:ind w:right="37"/>
              <w:jc w:val="right"/>
              <w:rPr>
                <w:sz w:val="12"/>
              </w:rPr>
            </w:pPr>
            <w:r>
              <w:rPr>
                <w:w w:val="105"/>
                <w:sz w:val="12"/>
              </w:rPr>
              <w:t>1.064.415,45 €</w:t>
            </w:r>
          </w:p>
        </w:tc>
        <w:tc>
          <w:tcPr>
            <w:tcW w:w="298" w:type="dxa"/>
          </w:tcPr>
          <w:p>
            <w:pPr>
              <w:pStyle w:val="TableParagraph"/>
              <w:spacing w:before="43"/>
              <w:ind w:left="38" w:right="18"/>
              <w:jc w:val="center"/>
              <w:rPr>
                <w:sz w:val="12"/>
              </w:rPr>
            </w:pPr>
            <w:r>
              <w:rPr>
                <w:w w:val="105"/>
                <w:sz w:val="12"/>
              </w:rPr>
              <w:t>125</w:t>
            </w:r>
          </w:p>
        </w:tc>
        <w:tc>
          <w:tcPr>
            <w:tcW w:w="917" w:type="dxa"/>
          </w:tcPr>
          <w:p>
            <w:pPr>
              <w:pStyle w:val="TableParagraph"/>
              <w:spacing w:before="43"/>
              <w:ind w:right="37"/>
              <w:jc w:val="right"/>
              <w:rPr>
                <w:sz w:val="12"/>
              </w:rPr>
            </w:pPr>
            <w:r>
              <w:rPr>
                <w:w w:val="105"/>
                <w:sz w:val="12"/>
              </w:rPr>
              <w:t>1.056.153,01 €</w:t>
            </w:r>
          </w:p>
        </w:tc>
        <w:tc>
          <w:tcPr>
            <w:tcW w:w="1274" w:type="dxa"/>
          </w:tcPr>
          <w:p>
            <w:pPr>
              <w:pStyle w:val="TableParagraph"/>
              <w:spacing w:before="43"/>
              <w:ind w:right="36"/>
              <w:jc w:val="right"/>
              <w:rPr>
                <w:sz w:val="12"/>
              </w:rPr>
            </w:pPr>
            <w:r>
              <w:rPr>
                <w:w w:val="105"/>
                <w:sz w:val="12"/>
              </w:rPr>
              <w:t>-764.415,45 €</w:t>
            </w:r>
          </w:p>
        </w:tc>
        <w:tc>
          <w:tcPr>
            <w:tcW w:w="1104" w:type="dxa"/>
          </w:tcPr>
          <w:p>
            <w:pPr>
              <w:pStyle w:val="TableParagraph"/>
              <w:spacing w:before="43"/>
              <w:ind w:right="37"/>
              <w:jc w:val="right"/>
              <w:rPr>
                <w:sz w:val="12"/>
              </w:rPr>
            </w:pPr>
            <w:r>
              <w:rPr>
                <w:w w:val="105"/>
                <w:sz w:val="12"/>
              </w:rPr>
              <w:t>-38.094,25 €</w:t>
            </w:r>
          </w:p>
        </w:tc>
        <w:tc>
          <w:tcPr>
            <w:tcW w:w="1235" w:type="dxa"/>
          </w:tcPr>
          <w:p>
            <w:pPr>
              <w:pStyle w:val="TableParagraph"/>
              <w:rPr>
                <w:rFonts w:ascii="Times New Roman"/>
                <w:sz w:val="12"/>
              </w:rPr>
            </w:pPr>
          </w:p>
        </w:tc>
      </w:tr>
      <w:tr>
        <w:trPr>
          <w:trHeight w:val="230" w:hRule="atLeast"/>
        </w:trPr>
        <w:tc>
          <w:tcPr>
            <w:tcW w:w="3195" w:type="dxa"/>
            <w:shd w:val="clear" w:color="auto" w:fill="D9D9D9"/>
          </w:tcPr>
          <w:p>
            <w:pPr>
              <w:pStyle w:val="TableParagraph"/>
              <w:spacing w:before="43"/>
              <w:ind w:left="54"/>
              <w:rPr>
                <w:b/>
                <w:sz w:val="12"/>
              </w:rPr>
            </w:pPr>
            <w:r>
              <w:rPr>
                <w:b/>
                <w:w w:val="105"/>
                <w:sz w:val="12"/>
              </w:rPr>
              <w:t>Instituto Canario de Investigaciones Agrarias (ICIA)</w:t>
            </w:r>
          </w:p>
        </w:tc>
        <w:tc>
          <w:tcPr>
            <w:tcW w:w="244" w:type="dxa"/>
            <w:shd w:val="clear" w:color="auto" w:fill="D9D9D9"/>
          </w:tcPr>
          <w:p>
            <w:pPr>
              <w:pStyle w:val="TableParagraph"/>
              <w:rPr>
                <w:rFonts w:ascii="Times New Roman"/>
                <w:sz w:val="12"/>
              </w:rPr>
            </w:pPr>
          </w:p>
        </w:tc>
        <w:tc>
          <w:tcPr>
            <w:tcW w:w="929" w:type="dxa"/>
            <w:shd w:val="clear" w:color="auto" w:fill="D9D9D9"/>
          </w:tcPr>
          <w:p>
            <w:pPr>
              <w:pStyle w:val="TableParagraph"/>
              <w:rPr>
                <w:rFonts w:ascii="Times New Roman"/>
                <w:sz w:val="12"/>
              </w:rPr>
            </w:pPr>
          </w:p>
        </w:tc>
        <w:tc>
          <w:tcPr>
            <w:tcW w:w="391" w:type="dxa"/>
            <w:shd w:val="clear" w:color="auto" w:fill="D9D9D9"/>
          </w:tcPr>
          <w:p>
            <w:pPr>
              <w:pStyle w:val="TableParagraph"/>
              <w:rPr>
                <w:rFonts w:ascii="Times New Roman"/>
                <w:sz w:val="12"/>
              </w:rPr>
            </w:pPr>
          </w:p>
        </w:tc>
        <w:tc>
          <w:tcPr>
            <w:tcW w:w="865" w:type="dxa"/>
            <w:shd w:val="clear" w:color="auto" w:fill="D9D9D9"/>
          </w:tcPr>
          <w:p>
            <w:pPr>
              <w:pStyle w:val="TableParagraph"/>
              <w:rPr>
                <w:rFonts w:ascii="Times New Roman"/>
                <w:sz w:val="12"/>
              </w:rPr>
            </w:pPr>
          </w:p>
        </w:tc>
        <w:tc>
          <w:tcPr>
            <w:tcW w:w="244" w:type="dxa"/>
            <w:shd w:val="clear" w:color="auto" w:fill="D9D9D9"/>
          </w:tcPr>
          <w:p>
            <w:pPr>
              <w:pStyle w:val="TableParagraph"/>
              <w:spacing w:before="43"/>
              <w:ind w:left="87"/>
              <w:jc w:val="center"/>
              <w:rPr>
                <w:sz w:val="12"/>
              </w:rPr>
            </w:pPr>
            <w:r>
              <w:rPr>
                <w:w w:val="104"/>
                <w:sz w:val="12"/>
              </w:rPr>
              <w:t>4</w:t>
            </w:r>
          </w:p>
        </w:tc>
        <w:tc>
          <w:tcPr>
            <w:tcW w:w="979" w:type="dxa"/>
            <w:shd w:val="clear" w:color="auto" w:fill="D9D9D9"/>
          </w:tcPr>
          <w:p>
            <w:pPr>
              <w:pStyle w:val="TableParagraph"/>
              <w:spacing w:before="43"/>
              <w:ind w:right="37"/>
              <w:jc w:val="right"/>
              <w:rPr>
                <w:sz w:val="12"/>
              </w:rPr>
            </w:pPr>
            <w:r>
              <w:rPr>
                <w:w w:val="105"/>
                <w:sz w:val="12"/>
              </w:rPr>
              <w:t>477.044,43 €</w:t>
            </w:r>
          </w:p>
        </w:tc>
        <w:tc>
          <w:tcPr>
            <w:tcW w:w="298" w:type="dxa"/>
            <w:shd w:val="clear" w:color="auto" w:fill="D9D9D9"/>
          </w:tcPr>
          <w:p>
            <w:pPr>
              <w:pStyle w:val="TableParagraph"/>
              <w:spacing w:before="43"/>
              <w:ind w:left="38" w:right="18"/>
              <w:jc w:val="center"/>
              <w:rPr>
                <w:sz w:val="12"/>
              </w:rPr>
            </w:pPr>
            <w:r>
              <w:rPr>
                <w:w w:val="105"/>
                <w:sz w:val="12"/>
              </w:rPr>
              <w:t>840</w:t>
            </w:r>
          </w:p>
        </w:tc>
        <w:tc>
          <w:tcPr>
            <w:tcW w:w="917" w:type="dxa"/>
            <w:shd w:val="clear" w:color="auto" w:fill="D9D9D9"/>
          </w:tcPr>
          <w:p>
            <w:pPr>
              <w:pStyle w:val="TableParagraph"/>
              <w:spacing w:before="43"/>
              <w:ind w:right="37"/>
              <w:jc w:val="right"/>
              <w:rPr>
                <w:sz w:val="12"/>
              </w:rPr>
            </w:pPr>
            <w:r>
              <w:rPr>
                <w:w w:val="105"/>
                <w:sz w:val="12"/>
              </w:rPr>
              <w:t>2.282.068,24 €</w:t>
            </w:r>
          </w:p>
        </w:tc>
        <w:tc>
          <w:tcPr>
            <w:tcW w:w="1274" w:type="dxa"/>
            <w:shd w:val="clear" w:color="auto" w:fill="D9D9D9"/>
          </w:tcPr>
          <w:p>
            <w:pPr>
              <w:pStyle w:val="TableParagraph"/>
              <w:rPr>
                <w:rFonts w:ascii="Times New Roman"/>
                <w:sz w:val="12"/>
              </w:rPr>
            </w:pPr>
          </w:p>
        </w:tc>
        <w:tc>
          <w:tcPr>
            <w:tcW w:w="1104" w:type="dxa"/>
            <w:shd w:val="clear" w:color="auto" w:fill="D9D9D9"/>
          </w:tcPr>
          <w:p>
            <w:pPr>
              <w:pStyle w:val="TableParagraph"/>
              <w:rPr>
                <w:rFonts w:ascii="Times New Roman"/>
                <w:sz w:val="12"/>
              </w:rPr>
            </w:pPr>
          </w:p>
        </w:tc>
        <w:tc>
          <w:tcPr>
            <w:tcW w:w="1235" w:type="dxa"/>
            <w:shd w:val="clear" w:color="auto" w:fill="D9D9D9"/>
          </w:tcPr>
          <w:p>
            <w:pPr>
              <w:pStyle w:val="TableParagraph"/>
              <w:spacing w:before="43"/>
              <w:ind w:left="58"/>
              <w:rPr>
                <w:sz w:val="12"/>
              </w:rPr>
            </w:pPr>
            <w:r>
              <w:rPr>
                <w:w w:val="105"/>
                <w:sz w:val="12"/>
              </w:rPr>
              <w:t>No rindió la RAC</w:t>
            </w:r>
          </w:p>
        </w:tc>
      </w:tr>
      <w:tr>
        <w:trPr>
          <w:trHeight w:val="230" w:hRule="atLeast"/>
        </w:trPr>
        <w:tc>
          <w:tcPr>
            <w:tcW w:w="3195" w:type="dxa"/>
          </w:tcPr>
          <w:p>
            <w:pPr>
              <w:pStyle w:val="TableParagraph"/>
              <w:spacing w:before="43"/>
              <w:ind w:left="54"/>
              <w:rPr>
                <w:b/>
                <w:sz w:val="12"/>
              </w:rPr>
            </w:pPr>
            <w:r>
              <w:rPr>
                <w:b/>
                <w:w w:val="105"/>
                <w:sz w:val="12"/>
              </w:rPr>
              <w:t>Instituto Canario de Estadística (ISTAC)</w:t>
            </w:r>
          </w:p>
        </w:tc>
        <w:tc>
          <w:tcPr>
            <w:tcW w:w="244" w:type="dxa"/>
          </w:tcPr>
          <w:p>
            <w:pPr>
              <w:pStyle w:val="TableParagraph"/>
              <w:spacing w:before="43"/>
              <w:ind w:right="41"/>
              <w:jc w:val="right"/>
              <w:rPr>
                <w:sz w:val="12"/>
              </w:rPr>
            </w:pPr>
            <w:r>
              <w:rPr>
                <w:w w:val="104"/>
                <w:sz w:val="12"/>
              </w:rPr>
              <w:t>5</w:t>
            </w:r>
          </w:p>
        </w:tc>
        <w:tc>
          <w:tcPr>
            <w:tcW w:w="929" w:type="dxa"/>
          </w:tcPr>
          <w:p>
            <w:pPr>
              <w:pStyle w:val="TableParagraph"/>
              <w:spacing w:before="43"/>
              <w:ind w:right="40"/>
              <w:jc w:val="right"/>
              <w:rPr>
                <w:sz w:val="12"/>
              </w:rPr>
            </w:pPr>
            <w:r>
              <w:rPr>
                <w:w w:val="105"/>
                <w:sz w:val="12"/>
              </w:rPr>
              <w:t>2.568.731,88 €</w:t>
            </w:r>
          </w:p>
        </w:tc>
        <w:tc>
          <w:tcPr>
            <w:tcW w:w="391" w:type="dxa"/>
          </w:tcPr>
          <w:p>
            <w:pPr>
              <w:pStyle w:val="TableParagraph"/>
              <w:spacing w:before="43"/>
              <w:ind w:right="42"/>
              <w:jc w:val="right"/>
              <w:rPr>
                <w:sz w:val="12"/>
              </w:rPr>
            </w:pPr>
            <w:r>
              <w:rPr>
                <w:sz w:val="12"/>
              </w:rPr>
              <w:t>37</w:t>
            </w:r>
          </w:p>
        </w:tc>
        <w:tc>
          <w:tcPr>
            <w:tcW w:w="865" w:type="dxa"/>
          </w:tcPr>
          <w:p>
            <w:pPr>
              <w:pStyle w:val="TableParagraph"/>
              <w:spacing w:before="43"/>
              <w:ind w:right="39"/>
              <w:jc w:val="right"/>
              <w:rPr>
                <w:sz w:val="12"/>
              </w:rPr>
            </w:pPr>
            <w:r>
              <w:rPr>
                <w:w w:val="105"/>
                <w:sz w:val="12"/>
              </w:rPr>
              <w:t>335.257,62 €</w:t>
            </w:r>
          </w:p>
        </w:tc>
        <w:tc>
          <w:tcPr>
            <w:tcW w:w="244" w:type="dxa"/>
          </w:tcPr>
          <w:p>
            <w:pPr>
              <w:pStyle w:val="TableParagraph"/>
              <w:spacing w:before="43"/>
              <w:ind w:left="87"/>
              <w:jc w:val="center"/>
              <w:rPr>
                <w:sz w:val="12"/>
              </w:rPr>
            </w:pPr>
            <w:r>
              <w:rPr>
                <w:w w:val="104"/>
                <w:sz w:val="12"/>
              </w:rPr>
              <w:t>6</w:t>
            </w:r>
          </w:p>
        </w:tc>
        <w:tc>
          <w:tcPr>
            <w:tcW w:w="979" w:type="dxa"/>
          </w:tcPr>
          <w:p>
            <w:pPr>
              <w:pStyle w:val="TableParagraph"/>
              <w:spacing w:before="43"/>
              <w:ind w:right="37"/>
              <w:jc w:val="right"/>
              <w:rPr>
                <w:sz w:val="12"/>
              </w:rPr>
            </w:pPr>
            <w:r>
              <w:rPr>
                <w:w w:val="105"/>
                <w:sz w:val="12"/>
              </w:rPr>
              <w:t>2.570.731,88 €</w:t>
            </w:r>
          </w:p>
        </w:tc>
        <w:tc>
          <w:tcPr>
            <w:tcW w:w="298" w:type="dxa"/>
          </w:tcPr>
          <w:p>
            <w:pPr>
              <w:pStyle w:val="TableParagraph"/>
              <w:spacing w:before="43"/>
              <w:ind w:left="97" w:right="18"/>
              <w:jc w:val="center"/>
              <w:rPr>
                <w:sz w:val="12"/>
              </w:rPr>
            </w:pPr>
            <w:r>
              <w:rPr>
                <w:w w:val="105"/>
                <w:sz w:val="12"/>
              </w:rPr>
              <w:t>43</w:t>
            </w:r>
          </w:p>
        </w:tc>
        <w:tc>
          <w:tcPr>
            <w:tcW w:w="917" w:type="dxa"/>
          </w:tcPr>
          <w:p>
            <w:pPr>
              <w:pStyle w:val="TableParagraph"/>
              <w:spacing w:before="43"/>
              <w:ind w:right="38"/>
              <w:jc w:val="right"/>
              <w:rPr>
                <w:sz w:val="12"/>
              </w:rPr>
            </w:pPr>
            <w:r>
              <w:rPr>
                <w:w w:val="105"/>
                <w:sz w:val="12"/>
              </w:rPr>
              <w:t>336.747,99 €</w:t>
            </w:r>
          </w:p>
        </w:tc>
        <w:tc>
          <w:tcPr>
            <w:tcW w:w="1274" w:type="dxa"/>
          </w:tcPr>
          <w:p>
            <w:pPr>
              <w:pStyle w:val="TableParagraph"/>
              <w:spacing w:before="43"/>
              <w:ind w:right="36"/>
              <w:jc w:val="right"/>
              <w:rPr>
                <w:sz w:val="12"/>
              </w:rPr>
            </w:pPr>
            <w:r>
              <w:rPr>
                <w:w w:val="105"/>
                <w:sz w:val="12"/>
              </w:rPr>
              <w:t>-2.000,00 €</w:t>
            </w:r>
          </w:p>
        </w:tc>
        <w:tc>
          <w:tcPr>
            <w:tcW w:w="1104" w:type="dxa"/>
          </w:tcPr>
          <w:p>
            <w:pPr>
              <w:pStyle w:val="TableParagraph"/>
              <w:spacing w:before="43"/>
              <w:ind w:right="37"/>
              <w:jc w:val="right"/>
              <w:rPr>
                <w:sz w:val="12"/>
              </w:rPr>
            </w:pPr>
            <w:r>
              <w:rPr>
                <w:w w:val="105"/>
                <w:sz w:val="12"/>
              </w:rPr>
              <w:t>-1.490,37 €</w:t>
            </w:r>
          </w:p>
        </w:tc>
        <w:tc>
          <w:tcPr>
            <w:tcW w:w="1235" w:type="dxa"/>
          </w:tcPr>
          <w:p>
            <w:pPr>
              <w:pStyle w:val="TableParagraph"/>
              <w:rPr>
                <w:rFonts w:ascii="Times New Roman"/>
                <w:sz w:val="12"/>
              </w:rPr>
            </w:pPr>
          </w:p>
        </w:tc>
      </w:tr>
      <w:tr>
        <w:trPr>
          <w:trHeight w:val="230" w:hRule="atLeast"/>
        </w:trPr>
        <w:tc>
          <w:tcPr>
            <w:tcW w:w="3195" w:type="dxa"/>
          </w:tcPr>
          <w:p>
            <w:pPr>
              <w:pStyle w:val="TableParagraph"/>
              <w:spacing w:before="43"/>
              <w:ind w:left="54"/>
              <w:rPr>
                <w:b/>
                <w:sz w:val="12"/>
              </w:rPr>
            </w:pPr>
            <w:r>
              <w:rPr>
                <w:b/>
                <w:w w:val="105"/>
                <w:sz w:val="12"/>
              </w:rPr>
              <w:t>Servicio Canario de Empleo (SCE)</w:t>
            </w:r>
          </w:p>
        </w:tc>
        <w:tc>
          <w:tcPr>
            <w:tcW w:w="244" w:type="dxa"/>
          </w:tcPr>
          <w:p>
            <w:pPr>
              <w:pStyle w:val="TableParagraph"/>
              <w:spacing w:before="43"/>
              <w:ind w:right="41"/>
              <w:jc w:val="right"/>
              <w:rPr>
                <w:sz w:val="12"/>
              </w:rPr>
            </w:pPr>
            <w:r>
              <w:rPr>
                <w:sz w:val="12"/>
              </w:rPr>
              <w:t>12</w:t>
            </w:r>
          </w:p>
        </w:tc>
        <w:tc>
          <w:tcPr>
            <w:tcW w:w="929" w:type="dxa"/>
          </w:tcPr>
          <w:p>
            <w:pPr>
              <w:pStyle w:val="TableParagraph"/>
              <w:spacing w:before="43"/>
              <w:ind w:right="40"/>
              <w:jc w:val="right"/>
              <w:rPr>
                <w:sz w:val="12"/>
              </w:rPr>
            </w:pPr>
            <w:r>
              <w:rPr>
                <w:w w:val="105"/>
                <w:sz w:val="12"/>
              </w:rPr>
              <w:t>6.502.368,57 €</w:t>
            </w:r>
          </w:p>
        </w:tc>
        <w:tc>
          <w:tcPr>
            <w:tcW w:w="391" w:type="dxa"/>
          </w:tcPr>
          <w:p>
            <w:pPr>
              <w:pStyle w:val="TableParagraph"/>
              <w:spacing w:before="43"/>
              <w:ind w:right="40"/>
              <w:jc w:val="right"/>
              <w:rPr>
                <w:sz w:val="12"/>
              </w:rPr>
            </w:pPr>
            <w:r>
              <w:rPr>
                <w:sz w:val="12"/>
              </w:rPr>
              <w:t>354</w:t>
            </w:r>
          </w:p>
        </w:tc>
        <w:tc>
          <w:tcPr>
            <w:tcW w:w="865" w:type="dxa"/>
          </w:tcPr>
          <w:p>
            <w:pPr>
              <w:pStyle w:val="TableParagraph"/>
              <w:spacing w:before="43"/>
              <w:ind w:right="39"/>
              <w:jc w:val="right"/>
              <w:rPr>
                <w:sz w:val="12"/>
              </w:rPr>
            </w:pPr>
            <w:r>
              <w:rPr>
                <w:w w:val="105"/>
                <w:sz w:val="12"/>
              </w:rPr>
              <w:t>1.135.179,86 €</w:t>
            </w:r>
          </w:p>
        </w:tc>
        <w:tc>
          <w:tcPr>
            <w:tcW w:w="244" w:type="dxa"/>
          </w:tcPr>
          <w:p>
            <w:pPr>
              <w:pStyle w:val="TableParagraph"/>
              <w:spacing w:before="43"/>
              <w:ind w:left="35" w:right="11"/>
              <w:jc w:val="center"/>
              <w:rPr>
                <w:sz w:val="12"/>
              </w:rPr>
            </w:pPr>
            <w:r>
              <w:rPr>
                <w:w w:val="105"/>
                <w:sz w:val="12"/>
              </w:rPr>
              <w:t>14</w:t>
            </w:r>
          </w:p>
        </w:tc>
        <w:tc>
          <w:tcPr>
            <w:tcW w:w="979" w:type="dxa"/>
          </w:tcPr>
          <w:p>
            <w:pPr>
              <w:pStyle w:val="TableParagraph"/>
              <w:spacing w:before="43"/>
              <w:ind w:right="37"/>
              <w:jc w:val="right"/>
              <w:rPr>
                <w:sz w:val="12"/>
              </w:rPr>
            </w:pPr>
            <w:r>
              <w:rPr>
                <w:w w:val="105"/>
                <w:sz w:val="12"/>
              </w:rPr>
              <w:t>6.512.428,49 €</w:t>
            </w:r>
          </w:p>
        </w:tc>
        <w:tc>
          <w:tcPr>
            <w:tcW w:w="298" w:type="dxa"/>
          </w:tcPr>
          <w:p>
            <w:pPr>
              <w:pStyle w:val="TableParagraph"/>
              <w:spacing w:before="43"/>
              <w:ind w:left="38" w:right="18"/>
              <w:jc w:val="center"/>
              <w:rPr>
                <w:sz w:val="12"/>
              </w:rPr>
            </w:pPr>
            <w:r>
              <w:rPr>
                <w:w w:val="105"/>
                <w:sz w:val="12"/>
              </w:rPr>
              <w:t>122</w:t>
            </w:r>
          </w:p>
        </w:tc>
        <w:tc>
          <w:tcPr>
            <w:tcW w:w="917" w:type="dxa"/>
          </w:tcPr>
          <w:p>
            <w:pPr>
              <w:pStyle w:val="TableParagraph"/>
              <w:spacing w:before="43"/>
              <w:ind w:right="38"/>
              <w:jc w:val="right"/>
              <w:rPr>
                <w:sz w:val="12"/>
              </w:rPr>
            </w:pPr>
            <w:r>
              <w:rPr>
                <w:w w:val="105"/>
                <w:sz w:val="12"/>
              </w:rPr>
              <w:t>950.981,88 €</w:t>
            </w:r>
          </w:p>
        </w:tc>
        <w:tc>
          <w:tcPr>
            <w:tcW w:w="1274" w:type="dxa"/>
          </w:tcPr>
          <w:p>
            <w:pPr>
              <w:pStyle w:val="TableParagraph"/>
              <w:spacing w:before="43"/>
              <w:ind w:right="36"/>
              <w:jc w:val="right"/>
              <w:rPr>
                <w:sz w:val="12"/>
              </w:rPr>
            </w:pPr>
            <w:r>
              <w:rPr>
                <w:w w:val="105"/>
                <w:sz w:val="12"/>
              </w:rPr>
              <w:t>-10.059,92 €</w:t>
            </w:r>
          </w:p>
        </w:tc>
        <w:tc>
          <w:tcPr>
            <w:tcW w:w="1104" w:type="dxa"/>
          </w:tcPr>
          <w:p>
            <w:pPr>
              <w:pStyle w:val="TableParagraph"/>
              <w:spacing w:before="43"/>
              <w:ind w:right="37"/>
              <w:jc w:val="right"/>
              <w:rPr>
                <w:sz w:val="12"/>
              </w:rPr>
            </w:pPr>
            <w:r>
              <w:rPr>
                <w:w w:val="105"/>
                <w:sz w:val="12"/>
              </w:rPr>
              <w:t>184.197,98 €</w:t>
            </w:r>
          </w:p>
        </w:tc>
        <w:tc>
          <w:tcPr>
            <w:tcW w:w="1235" w:type="dxa"/>
          </w:tcPr>
          <w:p>
            <w:pPr>
              <w:pStyle w:val="TableParagraph"/>
              <w:rPr>
                <w:rFonts w:ascii="Times New Roman"/>
                <w:sz w:val="12"/>
              </w:rPr>
            </w:pPr>
          </w:p>
        </w:tc>
      </w:tr>
      <w:tr>
        <w:trPr>
          <w:trHeight w:val="232" w:hRule="atLeast"/>
        </w:trPr>
        <w:tc>
          <w:tcPr>
            <w:tcW w:w="3195" w:type="dxa"/>
          </w:tcPr>
          <w:p>
            <w:pPr>
              <w:pStyle w:val="TableParagraph"/>
              <w:spacing w:before="43"/>
              <w:ind w:left="54"/>
              <w:rPr>
                <w:b/>
                <w:sz w:val="12"/>
              </w:rPr>
            </w:pPr>
            <w:r>
              <w:rPr>
                <w:b/>
                <w:w w:val="105"/>
                <w:sz w:val="12"/>
              </w:rPr>
              <w:t>Agencia Tributaria Canaria (ATC)</w:t>
            </w:r>
          </w:p>
        </w:tc>
        <w:tc>
          <w:tcPr>
            <w:tcW w:w="244" w:type="dxa"/>
          </w:tcPr>
          <w:p>
            <w:pPr>
              <w:pStyle w:val="TableParagraph"/>
              <w:spacing w:before="43"/>
              <w:ind w:right="41"/>
              <w:jc w:val="right"/>
              <w:rPr>
                <w:sz w:val="12"/>
              </w:rPr>
            </w:pPr>
            <w:r>
              <w:rPr>
                <w:sz w:val="12"/>
              </w:rPr>
              <w:t>25</w:t>
            </w:r>
          </w:p>
        </w:tc>
        <w:tc>
          <w:tcPr>
            <w:tcW w:w="929" w:type="dxa"/>
          </w:tcPr>
          <w:p>
            <w:pPr>
              <w:pStyle w:val="TableParagraph"/>
              <w:spacing w:before="43"/>
              <w:ind w:right="40"/>
              <w:jc w:val="right"/>
              <w:rPr>
                <w:sz w:val="12"/>
              </w:rPr>
            </w:pPr>
            <w:r>
              <w:rPr>
                <w:w w:val="105"/>
                <w:sz w:val="12"/>
              </w:rPr>
              <w:t>13.770.595,33 €</w:t>
            </w:r>
          </w:p>
        </w:tc>
        <w:tc>
          <w:tcPr>
            <w:tcW w:w="391" w:type="dxa"/>
          </w:tcPr>
          <w:p>
            <w:pPr>
              <w:pStyle w:val="TableParagraph"/>
              <w:spacing w:before="43"/>
              <w:ind w:right="42"/>
              <w:jc w:val="right"/>
              <w:rPr>
                <w:sz w:val="12"/>
              </w:rPr>
            </w:pPr>
            <w:r>
              <w:rPr>
                <w:sz w:val="12"/>
              </w:rPr>
              <w:t>77</w:t>
            </w:r>
          </w:p>
        </w:tc>
        <w:tc>
          <w:tcPr>
            <w:tcW w:w="865" w:type="dxa"/>
          </w:tcPr>
          <w:p>
            <w:pPr>
              <w:pStyle w:val="TableParagraph"/>
              <w:spacing w:before="43"/>
              <w:ind w:right="39"/>
              <w:jc w:val="right"/>
              <w:rPr>
                <w:sz w:val="12"/>
              </w:rPr>
            </w:pPr>
            <w:r>
              <w:rPr>
                <w:w w:val="105"/>
                <w:sz w:val="12"/>
              </w:rPr>
              <w:t>300.556,82 €</w:t>
            </w:r>
          </w:p>
        </w:tc>
        <w:tc>
          <w:tcPr>
            <w:tcW w:w="244" w:type="dxa"/>
          </w:tcPr>
          <w:p>
            <w:pPr>
              <w:pStyle w:val="TableParagraph"/>
              <w:spacing w:before="43"/>
              <w:ind w:left="35" w:right="11"/>
              <w:jc w:val="center"/>
              <w:rPr>
                <w:sz w:val="12"/>
              </w:rPr>
            </w:pPr>
            <w:r>
              <w:rPr>
                <w:w w:val="105"/>
                <w:sz w:val="12"/>
              </w:rPr>
              <w:t>14</w:t>
            </w:r>
          </w:p>
        </w:tc>
        <w:tc>
          <w:tcPr>
            <w:tcW w:w="979" w:type="dxa"/>
          </w:tcPr>
          <w:p>
            <w:pPr>
              <w:pStyle w:val="TableParagraph"/>
              <w:spacing w:before="43"/>
              <w:ind w:right="37"/>
              <w:jc w:val="right"/>
              <w:rPr>
                <w:sz w:val="12"/>
              </w:rPr>
            </w:pPr>
            <w:r>
              <w:rPr>
                <w:w w:val="105"/>
                <w:sz w:val="12"/>
              </w:rPr>
              <w:t>10.536.134,68 €</w:t>
            </w:r>
          </w:p>
        </w:tc>
        <w:tc>
          <w:tcPr>
            <w:tcW w:w="298" w:type="dxa"/>
          </w:tcPr>
          <w:p>
            <w:pPr>
              <w:pStyle w:val="TableParagraph"/>
              <w:spacing w:before="43"/>
              <w:ind w:left="97" w:right="18"/>
              <w:jc w:val="center"/>
              <w:rPr>
                <w:sz w:val="12"/>
              </w:rPr>
            </w:pPr>
            <w:r>
              <w:rPr>
                <w:w w:val="105"/>
                <w:sz w:val="12"/>
              </w:rPr>
              <w:t>80</w:t>
            </w:r>
          </w:p>
        </w:tc>
        <w:tc>
          <w:tcPr>
            <w:tcW w:w="917" w:type="dxa"/>
          </w:tcPr>
          <w:p>
            <w:pPr>
              <w:pStyle w:val="TableParagraph"/>
              <w:spacing w:before="43"/>
              <w:ind w:right="38"/>
              <w:jc w:val="right"/>
              <w:rPr>
                <w:sz w:val="12"/>
              </w:rPr>
            </w:pPr>
            <w:r>
              <w:rPr>
                <w:w w:val="105"/>
                <w:sz w:val="12"/>
              </w:rPr>
              <w:t>380.560,00 €</w:t>
            </w:r>
          </w:p>
        </w:tc>
        <w:tc>
          <w:tcPr>
            <w:tcW w:w="1274" w:type="dxa"/>
          </w:tcPr>
          <w:p>
            <w:pPr>
              <w:pStyle w:val="TableParagraph"/>
              <w:spacing w:before="43"/>
              <w:ind w:right="36"/>
              <w:jc w:val="right"/>
              <w:rPr>
                <w:sz w:val="12"/>
              </w:rPr>
            </w:pPr>
            <w:r>
              <w:rPr>
                <w:w w:val="105"/>
                <w:sz w:val="12"/>
              </w:rPr>
              <w:t>3.234.460,65 €</w:t>
            </w:r>
          </w:p>
        </w:tc>
        <w:tc>
          <w:tcPr>
            <w:tcW w:w="1104" w:type="dxa"/>
          </w:tcPr>
          <w:p>
            <w:pPr>
              <w:pStyle w:val="TableParagraph"/>
              <w:spacing w:before="43"/>
              <w:ind w:right="37"/>
              <w:jc w:val="right"/>
              <w:rPr>
                <w:sz w:val="12"/>
              </w:rPr>
            </w:pPr>
            <w:r>
              <w:rPr>
                <w:w w:val="105"/>
                <w:sz w:val="12"/>
              </w:rPr>
              <w:t>-80.003,18 €</w:t>
            </w:r>
          </w:p>
        </w:tc>
        <w:tc>
          <w:tcPr>
            <w:tcW w:w="1235" w:type="dxa"/>
          </w:tcPr>
          <w:p>
            <w:pPr>
              <w:pStyle w:val="TableParagraph"/>
              <w:rPr>
                <w:rFonts w:ascii="Times New Roman"/>
                <w:sz w:val="12"/>
              </w:rPr>
            </w:pPr>
          </w:p>
        </w:tc>
      </w:tr>
      <w:tr>
        <w:trPr>
          <w:trHeight w:val="219" w:hRule="atLeast"/>
        </w:trPr>
        <w:tc>
          <w:tcPr>
            <w:tcW w:w="3195" w:type="dxa"/>
          </w:tcPr>
          <w:p>
            <w:pPr>
              <w:pStyle w:val="TableParagraph"/>
              <w:spacing w:before="35"/>
              <w:ind w:left="54"/>
              <w:rPr>
                <w:b/>
                <w:sz w:val="12"/>
              </w:rPr>
            </w:pPr>
            <w:r>
              <w:rPr>
                <w:b/>
                <w:w w:val="105"/>
                <w:sz w:val="12"/>
              </w:rPr>
              <w:t>Consejo Económico y Social (CES)</w:t>
            </w:r>
          </w:p>
        </w:tc>
        <w:tc>
          <w:tcPr>
            <w:tcW w:w="244" w:type="dxa"/>
          </w:tcPr>
          <w:p>
            <w:pPr>
              <w:pStyle w:val="TableParagraph"/>
              <w:spacing w:before="35"/>
              <w:ind w:right="41"/>
              <w:jc w:val="right"/>
              <w:rPr>
                <w:sz w:val="12"/>
              </w:rPr>
            </w:pPr>
            <w:r>
              <w:rPr>
                <w:w w:val="104"/>
                <w:sz w:val="12"/>
              </w:rPr>
              <w:t>1</w:t>
            </w:r>
          </w:p>
        </w:tc>
        <w:tc>
          <w:tcPr>
            <w:tcW w:w="929" w:type="dxa"/>
          </w:tcPr>
          <w:p>
            <w:pPr>
              <w:pStyle w:val="TableParagraph"/>
              <w:spacing w:before="35"/>
              <w:ind w:right="40"/>
              <w:jc w:val="right"/>
              <w:rPr>
                <w:sz w:val="12"/>
              </w:rPr>
            </w:pPr>
            <w:r>
              <w:rPr>
                <w:w w:val="105"/>
                <w:sz w:val="12"/>
              </w:rPr>
              <w:t>24.396,00 €</w:t>
            </w:r>
          </w:p>
        </w:tc>
        <w:tc>
          <w:tcPr>
            <w:tcW w:w="391" w:type="dxa"/>
          </w:tcPr>
          <w:p>
            <w:pPr>
              <w:pStyle w:val="TableParagraph"/>
              <w:spacing w:before="35"/>
              <w:ind w:right="42"/>
              <w:jc w:val="right"/>
              <w:rPr>
                <w:sz w:val="12"/>
              </w:rPr>
            </w:pPr>
            <w:r>
              <w:rPr>
                <w:sz w:val="12"/>
              </w:rPr>
              <w:t>11</w:t>
            </w:r>
          </w:p>
        </w:tc>
        <w:tc>
          <w:tcPr>
            <w:tcW w:w="865" w:type="dxa"/>
          </w:tcPr>
          <w:p>
            <w:pPr>
              <w:pStyle w:val="TableParagraph"/>
              <w:spacing w:before="35"/>
              <w:ind w:right="39"/>
              <w:jc w:val="right"/>
              <w:rPr>
                <w:sz w:val="12"/>
              </w:rPr>
            </w:pPr>
            <w:r>
              <w:rPr>
                <w:w w:val="105"/>
                <w:sz w:val="12"/>
              </w:rPr>
              <w:t>70.429,98 €</w:t>
            </w:r>
          </w:p>
        </w:tc>
        <w:tc>
          <w:tcPr>
            <w:tcW w:w="244" w:type="dxa"/>
          </w:tcPr>
          <w:p>
            <w:pPr>
              <w:pStyle w:val="TableParagraph"/>
              <w:spacing w:before="35"/>
              <w:ind w:left="87"/>
              <w:jc w:val="center"/>
              <w:rPr>
                <w:sz w:val="12"/>
              </w:rPr>
            </w:pPr>
            <w:r>
              <w:rPr>
                <w:w w:val="104"/>
                <w:sz w:val="12"/>
              </w:rPr>
              <w:t>1</w:t>
            </w:r>
          </w:p>
        </w:tc>
        <w:tc>
          <w:tcPr>
            <w:tcW w:w="979" w:type="dxa"/>
          </w:tcPr>
          <w:p>
            <w:pPr>
              <w:pStyle w:val="TableParagraph"/>
              <w:spacing w:before="35"/>
              <w:ind w:right="37"/>
              <w:jc w:val="right"/>
              <w:rPr>
                <w:sz w:val="12"/>
              </w:rPr>
            </w:pPr>
            <w:r>
              <w:rPr>
                <w:w w:val="105"/>
                <w:sz w:val="12"/>
              </w:rPr>
              <w:t>24.396,00 €</w:t>
            </w:r>
          </w:p>
        </w:tc>
        <w:tc>
          <w:tcPr>
            <w:tcW w:w="298" w:type="dxa"/>
          </w:tcPr>
          <w:p>
            <w:pPr>
              <w:pStyle w:val="TableParagraph"/>
              <w:spacing w:before="35"/>
              <w:ind w:left="97" w:right="18"/>
              <w:jc w:val="center"/>
              <w:rPr>
                <w:sz w:val="12"/>
              </w:rPr>
            </w:pPr>
            <w:r>
              <w:rPr>
                <w:w w:val="105"/>
                <w:sz w:val="12"/>
              </w:rPr>
              <w:t>11</w:t>
            </w:r>
          </w:p>
        </w:tc>
        <w:tc>
          <w:tcPr>
            <w:tcW w:w="917" w:type="dxa"/>
          </w:tcPr>
          <w:p>
            <w:pPr>
              <w:pStyle w:val="TableParagraph"/>
              <w:spacing w:before="35"/>
              <w:ind w:right="38"/>
              <w:jc w:val="right"/>
              <w:rPr>
                <w:sz w:val="12"/>
              </w:rPr>
            </w:pPr>
            <w:r>
              <w:rPr>
                <w:w w:val="105"/>
                <w:sz w:val="12"/>
              </w:rPr>
              <w:t>84.929,98 €</w:t>
            </w:r>
          </w:p>
        </w:tc>
        <w:tc>
          <w:tcPr>
            <w:tcW w:w="1274" w:type="dxa"/>
          </w:tcPr>
          <w:p>
            <w:pPr>
              <w:pStyle w:val="TableParagraph"/>
              <w:spacing w:before="35"/>
              <w:ind w:right="36"/>
              <w:jc w:val="right"/>
              <w:rPr>
                <w:sz w:val="12"/>
              </w:rPr>
            </w:pPr>
            <w:r>
              <w:rPr>
                <w:w w:val="105"/>
                <w:sz w:val="12"/>
              </w:rPr>
              <w:t>0,00 €</w:t>
            </w:r>
          </w:p>
        </w:tc>
        <w:tc>
          <w:tcPr>
            <w:tcW w:w="1104" w:type="dxa"/>
          </w:tcPr>
          <w:p>
            <w:pPr>
              <w:pStyle w:val="TableParagraph"/>
              <w:spacing w:before="35"/>
              <w:ind w:right="37"/>
              <w:jc w:val="right"/>
              <w:rPr>
                <w:sz w:val="12"/>
              </w:rPr>
            </w:pPr>
            <w:r>
              <w:rPr>
                <w:w w:val="105"/>
                <w:sz w:val="12"/>
              </w:rPr>
              <w:t>-14.500,00 €</w:t>
            </w:r>
          </w:p>
        </w:tc>
        <w:tc>
          <w:tcPr>
            <w:tcW w:w="1235" w:type="dxa"/>
          </w:tcPr>
          <w:p>
            <w:pPr>
              <w:pStyle w:val="TableParagraph"/>
              <w:rPr>
                <w:rFonts w:ascii="Times New Roman"/>
                <w:sz w:val="12"/>
              </w:rPr>
            </w:pPr>
          </w:p>
        </w:tc>
      </w:tr>
      <w:tr>
        <w:trPr>
          <w:trHeight w:val="230" w:hRule="atLeast"/>
        </w:trPr>
        <w:tc>
          <w:tcPr>
            <w:tcW w:w="3195" w:type="dxa"/>
          </w:tcPr>
          <w:p>
            <w:pPr>
              <w:pStyle w:val="TableParagraph"/>
              <w:spacing w:before="43"/>
              <w:ind w:left="54"/>
              <w:rPr>
                <w:b/>
                <w:sz w:val="12"/>
              </w:rPr>
            </w:pPr>
            <w:r>
              <w:rPr>
                <w:b/>
                <w:w w:val="105"/>
                <w:sz w:val="12"/>
              </w:rPr>
              <w:t>Radiotelevisión Canaria (RTVC)</w:t>
            </w:r>
          </w:p>
        </w:tc>
        <w:tc>
          <w:tcPr>
            <w:tcW w:w="244" w:type="dxa"/>
          </w:tcPr>
          <w:p>
            <w:pPr>
              <w:pStyle w:val="TableParagraph"/>
              <w:spacing w:before="43"/>
              <w:ind w:right="41"/>
              <w:jc w:val="right"/>
              <w:rPr>
                <w:sz w:val="12"/>
              </w:rPr>
            </w:pPr>
            <w:r>
              <w:rPr>
                <w:w w:val="104"/>
                <w:sz w:val="12"/>
              </w:rPr>
              <w:t>1</w:t>
            </w:r>
          </w:p>
        </w:tc>
        <w:tc>
          <w:tcPr>
            <w:tcW w:w="929" w:type="dxa"/>
          </w:tcPr>
          <w:p>
            <w:pPr>
              <w:pStyle w:val="TableParagraph"/>
              <w:spacing w:before="43"/>
              <w:ind w:right="40"/>
              <w:jc w:val="right"/>
              <w:rPr>
                <w:sz w:val="12"/>
              </w:rPr>
            </w:pPr>
            <w:r>
              <w:rPr>
                <w:w w:val="105"/>
                <w:sz w:val="12"/>
              </w:rPr>
              <w:t>37.798,82 €</w:t>
            </w:r>
          </w:p>
        </w:tc>
        <w:tc>
          <w:tcPr>
            <w:tcW w:w="391" w:type="dxa"/>
          </w:tcPr>
          <w:p>
            <w:pPr>
              <w:pStyle w:val="TableParagraph"/>
              <w:spacing w:before="43"/>
              <w:ind w:right="42"/>
              <w:jc w:val="right"/>
              <w:rPr>
                <w:sz w:val="12"/>
              </w:rPr>
            </w:pPr>
            <w:r>
              <w:rPr>
                <w:sz w:val="12"/>
              </w:rPr>
              <w:t>53</w:t>
            </w:r>
          </w:p>
        </w:tc>
        <w:tc>
          <w:tcPr>
            <w:tcW w:w="865" w:type="dxa"/>
          </w:tcPr>
          <w:p>
            <w:pPr>
              <w:pStyle w:val="TableParagraph"/>
              <w:spacing w:before="43"/>
              <w:ind w:right="39"/>
              <w:jc w:val="right"/>
              <w:rPr>
                <w:sz w:val="12"/>
              </w:rPr>
            </w:pPr>
            <w:r>
              <w:rPr>
                <w:w w:val="105"/>
                <w:sz w:val="12"/>
              </w:rPr>
              <w:t>107.105,26 €</w:t>
            </w:r>
          </w:p>
        </w:tc>
        <w:tc>
          <w:tcPr>
            <w:tcW w:w="244" w:type="dxa"/>
          </w:tcPr>
          <w:p>
            <w:pPr>
              <w:pStyle w:val="TableParagraph"/>
              <w:spacing w:before="43"/>
              <w:ind w:left="87"/>
              <w:jc w:val="center"/>
              <w:rPr>
                <w:sz w:val="12"/>
              </w:rPr>
            </w:pPr>
            <w:r>
              <w:rPr>
                <w:w w:val="104"/>
                <w:sz w:val="12"/>
              </w:rPr>
              <w:t>1</w:t>
            </w:r>
          </w:p>
        </w:tc>
        <w:tc>
          <w:tcPr>
            <w:tcW w:w="979" w:type="dxa"/>
          </w:tcPr>
          <w:p>
            <w:pPr>
              <w:pStyle w:val="TableParagraph"/>
              <w:spacing w:before="43"/>
              <w:ind w:right="37"/>
              <w:jc w:val="right"/>
              <w:rPr>
                <w:sz w:val="12"/>
              </w:rPr>
            </w:pPr>
            <w:r>
              <w:rPr>
                <w:w w:val="105"/>
                <w:sz w:val="12"/>
              </w:rPr>
              <w:t>37.798,82 €</w:t>
            </w:r>
          </w:p>
        </w:tc>
        <w:tc>
          <w:tcPr>
            <w:tcW w:w="298" w:type="dxa"/>
          </w:tcPr>
          <w:p>
            <w:pPr>
              <w:pStyle w:val="TableParagraph"/>
              <w:spacing w:before="43"/>
              <w:ind w:left="97" w:right="18"/>
              <w:jc w:val="center"/>
              <w:rPr>
                <w:sz w:val="12"/>
              </w:rPr>
            </w:pPr>
            <w:r>
              <w:rPr>
                <w:w w:val="105"/>
                <w:sz w:val="12"/>
              </w:rPr>
              <w:t>64</w:t>
            </w:r>
          </w:p>
        </w:tc>
        <w:tc>
          <w:tcPr>
            <w:tcW w:w="917" w:type="dxa"/>
          </w:tcPr>
          <w:p>
            <w:pPr>
              <w:pStyle w:val="TableParagraph"/>
              <w:spacing w:before="43"/>
              <w:ind w:right="38"/>
              <w:jc w:val="right"/>
              <w:rPr>
                <w:sz w:val="12"/>
              </w:rPr>
            </w:pPr>
            <w:r>
              <w:rPr>
                <w:w w:val="105"/>
                <w:sz w:val="12"/>
              </w:rPr>
              <w:t>114.172,94 €</w:t>
            </w:r>
          </w:p>
        </w:tc>
        <w:tc>
          <w:tcPr>
            <w:tcW w:w="1274" w:type="dxa"/>
          </w:tcPr>
          <w:p>
            <w:pPr>
              <w:pStyle w:val="TableParagraph"/>
              <w:spacing w:before="43"/>
              <w:ind w:right="36"/>
              <w:jc w:val="right"/>
              <w:rPr>
                <w:sz w:val="12"/>
              </w:rPr>
            </w:pPr>
            <w:r>
              <w:rPr>
                <w:w w:val="105"/>
                <w:sz w:val="12"/>
              </w:rPr>
              <w:t>0,00 €</w:t>
            </w:r>
          </w:p>
        </w:tc>
        <w:tc>
          <w:tcPr>
            <w:tcW w:w="1104" w:type="dxa"/>
          </w:tcPr>
          <w:p>
            <w:pPr>
              <w:pStyle w:val="TableParagraph"/>
              <w:spacing w:before="43"/>
              <w:ind w:right="37"/>
              <w:jc w:val="right"/>
              <w:rPr>
                <w:sz w:val="12"/>
              </w:rPr>
            </w:pPr>
            <w:r>
              <w:rPr>
                <w:w w:val="105"/>
                <w:sz w:val="12"/>
              </w:rPr>
              <w:t>-7.067,68 €</w:t>
            </w:r>
          </w:p>
        </w:tc>
        <w:tc>
          <w:tcPr>
            <w:tcW w:w="1235" w:type="dxa"/>
          </w:tcPr>
          <w:p>
            <w:pPr>
              <w:pStyle w:val="TableParagraph"/>
              <w:rPr>
                <w:rFonts w:ascii="Times New Roman"/>
                <w:sz w:val="12"/>
              </w:rPr>
            </w:pPr>
          </w:p>
        </w:tc>
      </w:tr>
      <w:tr>
        <w:trPr>
          <w:trHeight w:val="230" w:hRule="atLeast"/>
        </w:trPr>
        <w:tc>
          <w:tcPr>
            <w:tcW w:w="3195" w:type="dxa"/>
          </w:tcPr>
          <w:p>
            <w:pPr>
              <w:pStyle w:val="TableParagraph"/>
              <w:spacing w:before="43"/>
              <w:ind w:left="54"/>
              <w:rPr>
                <w:b/>
                <w:sz w:val="12"/>
              </w:rPr>
            </w:pPr>
            <w:r>
              <w:rPr>
                <w:b/>
                <w:w w:val="105"/>
                <w:sz w:val="12"/>
              </w:rPr>
              <w:t>Agencia Canaria de Protección del Medio Natural (APMN)</w:t>
            </w:r>
          </w:p>
        </w:tc>
        <w:tc>
          <w:tcPr>
            <w:tcW w:w="244" w:type="dxa"/>
          </w:tcPr>
          <w:p>
            <w:pPr>
              <w:pStyle w:val="TableParagraph"/>
              <w:spacing w:before="43"/>
              <w:ind w:right="41"/>
              <w:jc w:val="right"/>
              <w:rPr>
                <w:sz w:val="12"/>
              </w:rPr>
            </w:pPr>
            <w:r>
              <w:rPr>
                <w:w w:val="104"/>
                <w:sz w:val="12"/>
              </w:rPr>
              <w:t>1</w:t>
            </w:r>
          </w:p>
        </w:tc>
        <w:tc>
          <w:tcPr>
            <w:tcW w:w="929" w:type="dxa"/>
          </w:tcPr>
          <w:p>
            <w:pPr>
              <w:pStyle w:val="TableParagraph"/>
              <w:spacing w:before="43"/>
              <w:ind w:right="40"/>
              <w:jc w:val="right"/>
              <w:rPr>
                <w:sz w:val="12"/>
              </w:rPr>
            </w:pPr>
            <w:r>
              <w:rPr>
                <w:w w:val="105"/>
                <w:sz w:val="12"/>
              </w:rPr>
              <w:t>125.023,84 €</w:t>
            </w:r>
          </w:p>
        </w:tc>
        <w:tc>
          <w:tcPr>
            <w:tcW w:w="391" w:type="dxa"/>
          </w:tcPr>
          <w:p>
            <w:pPr>
              <w:pStyle w:val="TableParagraph"/>
              <w:spacing w:before="43"/>
              <w:ind w:right="40"/>
              <w:jc w:val="right"/>
              <w:rPr>
                <w:sz w:val="12"/>
              </w:rPr>
            </w:pPr>
            <w:r>
              <w:rPr>
                <w:sz w:val="12"/>
              </w:rPr>
              <w:t>153</w:t>
            </w:r>
          </w:p>
        </w:tc>
        <w:tc>
          <w:tcPr>
            <w:tcW w:w="865" w:type="dxa"/>
          </w:tcPr>
          <w:p>
            <w:pPr>
              <w:pStyle w:val="TableParagraph"/>
              <w:spacing w:before="43"/>
              <w:ind w:right="39"/>
              <w:jc w:val="right"/>
              <w:rPr>
                <w:sz w:val="12"/>
              </w:rPr>
            </w:pPr>
            <w:r>
              <w:rPr>
                <w:w w:val="105"/>
                <w:sz w:val="12"/>
              </w:rPr>
              <w:t>290.635,48 €</w:t>
            </w:r>
          </w:p>
        </w:tc>
        <w:tc>
          <w:tcPr>
            <w:tcW w:w="244" w:type="dxa"/>
          </w:tcPr>
          <w:p>
            <w:pPr>
              <w:pStyle w:val="TableParagraph"/>
              <w:spacing w:before="43"/>
              <w:ind w:left="87"/>
              <w:jc w:val="center"/>
              <w:rPr>
                <w:sz w:val="12"/>
              </w:rPr>
            </w:pPr>
            <w:r>
              <w:rPr>
                <w:w w:val="104"/>
                <w:sz w:val="12"/>
              </w:rPr>
              <w:t>1</w:t>
            </w:r>
          </w:p>
        </w:tc>
        <w:tc>
          <w:tcPr>
            <w:tcW w:w="979" w:type="dxa"/>
          </w:tcPr>
          <w:p>
            <w:pPr>
              <w:pStyle w:val="TableParagraph"/>
              <w:spacing w:before="43"/>
              <w:ind w:right="37"/>
              <w:jc w:val="right"/>
              <w:rPr>
                <w:sz w:val="12"/>
              </w:rPr>
            </w:pPr>
            <w:r>
              <w:rPr>
                <w:w w:val="105"/>
                <w:sz w:val="12"/>
              </w:rPr>
              <w:t>125.023,84 €</w:t>
            </w:r>
          </w:p>
        </w:tc>
        <w:tc>
          <w:tcPr>
            <w:tcW w:w="298" w:type="dxa"/>
          </w:tcPr>
          <w:p>
            <w:pPr>
              <w:pStyle w:val="TableParagraph"/>
              <w:spacing w:before="43"/>
              <w:ind w:left="38" w:right="18"/>
              <w:jc w:val="center"/>
              <w:rPr>
                <w:sz w:val="12"/>
              </w:rPr>
            </w:pPr>
            <w:r>
              <w:rPr>
                <w:w w:val="105"/>
                <w:sz w:val="12"/>
              </w:rPr>
              <w:t>154</w:t>
            </w:r>
          </w:p>
        </w:tc>
        <w:tc>
          <w:tcPr>
            <w:tcW w:w="917" w:type="dxa"/>
          </w:tcPr>
          <w:p>
            <w:pPr>
              <w:pStyle w:val="TableParagraph"/>
              <w:spacing w:before="43"/>
              <w:ind w:right="38"/>
              <w:jc w:val="right"/>
              <w:rPr>
                <w:sz w:val="12"/>
              </w:rPr>
            </w:pPr>
            <w:r>
              <w:rPr>
                <w:w w:val="105"/>
                <w:sz w:val="12"/>
              </w:rPr>
              <w:t>292.670,83 €</w:t>
            </w:r>
          </w:p>
        </w:tc>
        <w:tc>
          <w:tcPr>
            <w:tcW w:w="1274" w:type="dxa"/>
          </w:tcPr>
          <w:p>
            <w:pPr>
              <w:pStyle w:val="TableParagraph"/>
              <w:spacing w:before="43"/>
              <w:ind w:right="36"/>
              <w:jc w:val="right"/>
              <w:rPr>
                <w:sz w:val="12"/>
              </w:rPr>
            </w:pPr>
            <w:r>
              <w:rPr>
                <w:w w:val="105"/>
                <w:sz w:val="12"/>
              </w:rPr>
              <w:t>0,00 €</w:t>
            </w:r>
          </w:p>
        </w:tc>
        <w:tc>
          <w:tcPr>
            <w:tcW w:w="1104" w:type="dxa"/>
          </w:tcPr>
          <w:p>
            <w:pPr>
              <w:pStyle w:val="TableParagraph"/>
              <w:spacing w:before="43"/>
              <w:ind w:right="37"/>
              <w:jc w:val="right"/>
              <w:rPr>
                <w:sz w:val="12"/>
              </w:rPr>
            </w:pPr>
            <w:r>
              <w:rPr>
                <w:w w:val="105"/>
                <w:sz w:val="12"/>
              </w:rPr>
              <w:t>-2.035,35 €</w:t>
            </w:r>
          </w:p>
        </w:tc>
        <w:tc>
          <w:tcPr>
            <w:tcW w:w="1235" w:type="dxa"/>
          </w:tcPr>
          <w:p>
            <w:pPr>
              <w:pStyle w:val="TableParagraph"/>
              <w:rPr>
                <w:rFonts w:ascii="Times New Roman"/>
                <w:sz w:val="12"/>
              </w:rPr>
            </w:pPr>
          </w:p>
        </w:tc>
      </w:tr>
      <w:tr>
        <w:trPr>
          <w:trHeight w:val="452" w:hRule="atLeast"/>
        </w:trPr>
        <w:tc>
          <w:tcPr>
            <w:tcW w:w="3195" w:type="dxa"/>
            <w:shd w:val="clear" w:color="auto" w:fill="D9D9D9"/>
          </w:tcPr>
          <w:p>
            <w:pPr>
              <w:pStyle w:val="TableParagraph"/>
              <w:spacing w:before="6"/>
              <w:rPr>
                <w:b/>
                <w:sz w:val="12"/>
              </w:rPr>
            </w:pPr>
          </w:p>
          <w:p>
            <w:pPr>
              <w:pStyle w:val="TableParagraph"/>
              <w:ind w:left="54"/>
              <w:rPr>
                <w:b/>
                <w:sz w:val="12"/>
              </w:rPr>
            </w:pPr>
            <w:r>
              <w:rPr>
                <w:b/>
                <w:w w:val="105"/>
                <w:sz w:val="12"/>
              </w:rPr>
              <w:t>Consorcio El Rincón (CR)</w:t>
            </w:r>
          </w:p>
        </w:tc>
        <w:tc>
          <w:tcPr>
            <w:tcW w:w="244" w:type="dxa"/>
            <w:shd w:val="clear" w:color="auto" w:fill="D9D9D9"/>
          </w:tcPr>
          <w:p>
            <w:pPr>
              <w:pStyle w:val="TableParagraph"/>
              <w:spacing w:before="6"/>
              <w:rPr>
                <w:b/>
                <w:sz w:val="12"/>
              </w:rPr>
            </w:pPr>
          </w:p>
          <w:p>
            <w:pPr>
              <w:pStyle w:val="TableParagraph"/>
              <w:ind w:right="41"/>
              <w:jc w:val="right"/>
              <w:rPr>
                <w:sz w:val="12"/>
              </w:rPr>
            </w:pPr>
            <w:r>
              <w:rPr>
                <w:w w:val="104"/>
                <w:sz w:val="12"/>
              </w:rPr>
              <w:t>0</w:t>
            </w:r>
          </w:p>
        </w:tc>
        <w:tc>
          <w:tcPr>
            <w:tcW w:w="929" w:type="dxa"/>
            <w:shd w:val="clear" w:color="auto" w:fill="D9D9D9"/>
          </w:tcPr>
          <w:p>
            <w:pPr>
              <w:pStyle w:val="TableParagraph"/>
              <w:rPr>
                <w:rFonts w:ascii="Times New Roman"/>
                <w:sz w:val="12"/>
              </w:rPr>
            </w:pPr>
          </w:p>
        </w:tc>
        <w:tc>
          <w:tcPr>
            <w:tcW w:w="391" w:type="dxa"/>
            <w:shd w:val="clear" w:color="auto" w:fill="D9D9D9"/>
          </w:tcPr>
          <w:p>
            <w:pPr>
              <w:pStyle w:val="TableParagraph"/>
              <w:spacing w:before="6"/>
              <w:rPr>
                <w:b/>
                <w:sz w:val="12"/>
              </w:rPr>
            </w:pPr>
          </w:p>
          <w:p>
            <w:pPr>
              <w:pStyle w:val="TableParagraph"/>
              <w:ind w:right="42"/>
              <w:jc w:val="right"/>
              <w:rPr>
                <w:sz w:val="12"/>
              </w:rPr>
            </w:pPr>
            <w:r>
              <w:rPr>
                <w:w w:val="104"/>
                <w:sz w:val="12"/>
              </w:rPr>
              <w:t>5</w:t>
            </w:r>
          </w:p>
        </w:tc>
        <w:tc>
          <w:tcPr>
            <w:tcW w:w="865" w:type="dxa"/>
            <w:shd w:val="clear" w:color="auto" w:fill="D9D9D9"/>
          </w:tcPr>
          <w:p>
            <w:pPr>
              <w:pStyle w:val="TableParagraph"/>
              <w:spacing w:before="6"/>
              <w:rPr>
                <w:b/>
                <w:sz w:val="12"/>
              </w:rPr>
            </w:pPr>
          </w:p>
          <w:p>
            <w:pPr>
              <w:pStyle w:val="TableParagraph"/>
              <w:ind w:right="39"/>
              <w:jc w:val="right"/>
              <w:rPr>
                <w:sz w:val="12"/>
              </w:rPr>
            </w:pPr>
            <w:r>
              <w:rPr>
                <w:w w:val="105"/>
                <w:sz w:val="12"/>
              </w:rPr>
              <w:t>52.063 €</w:t>
            </w:r>
          </w:p>
        </w:tc>
        <w:tc>
          <w:tcPr>
            <w:tcW w:w="244" w:type="dxa"/>
            <w:shd w:val="clear" w:color="auto" w:fill="D9D9D9"/>
          </w:tcPr>
          <w:p>
            <w:pPr>
              <w:pStyle w:val="TableParagraph"/>
              <w:rPr>
                <w:rFonts w:ascii="Times New Roman"/>
                <w:sz w:val="12"/>
              </w:rPr>
            </w:pPr>
          </w:p>
        </w:tc>
        <w:tc>
          <w:tcPr>
            <w:tcW w:w="979" w:type="dxa"/>
            <w:shd w:val="clear" w:color="auto" w:fill="D9D9D9"/>
          </w:tcPr>
          <w:p>
            <w:pPr>
              <w:pStyle w:val="TableParagraph"/>
              <w:rPr>
                <w:rFonts w:ascii="Times New Roman"/>
                <w:sz w:val="12"/>
              </w:rPr>
            </w:pPr>
          </w:p>
        </w:tc>
        <w:tc>
          <w:tcPr>
            <w:tcW w:w="298" w:type="dxa"/>
            <w:shd w:val="clear" w:color="auto" w:fill="D9D9D9"/>
          </w:tcPr>
          <w:p>
            <w:pPr>
              <w:pStyle w:val="TableParagraph"/>
              <w:rPr>
                <w:rFonts w:ascii="Times New Roman"/>
                <w:sz w:val="12"/>
              </w:rPr>
            </w:pPr>
          </w:p>
        </w:tc>
        <w:tc>
          <w:tcPr>
            <w:tcW w:w="917" w:type="dxa"/>
            <w:shd w:val="clear" w:color="auto" w:fill="D9D9D9"/>
          </w:tcPr>
          <w:p>
            <w:pPr>
              <w:pStyle w:val="TableParagraph"/>
              <w:rPr>
                <w:rFonts w:ascii="Times New Roman"/>
                <w:sz w:val="12"/>
              </w:rPr>
            </w:pPr>
          </w:p>
        </w:tc>
        <w:tc>
          <w:tcPr>
            <w:tcW w:w="1274" w:type="dxa"/>
            <w:shd w:val="clear" w:color="auto" w:fill="D9D9D9"/>
          </w:tcPr>
          <w:p>
            <w:pPr>
              <w:pStyle w:val="TableParagraph"/>
              <w:spacing w:before="6"/>
              <w:rPr>
                <w:b/>
                <w:sz w:val="12"/>
              </w:rPr>
            </w:pPr>
          </w:p>
          <w:p>
            <w:pPr>
              <w:pStyle w:val="TableParagraph"/>
              <w:ind w:right="36"/>
              <w:jc w:val="right"/>
              <w:rPr>
                <w:sz w:val="12"/>
              </w:rPr>
            </w:pPr>
            <w:r>
              <w:rPr>
                <w:w w:val="105"/>
                <w:sz w:val="12"/>
              </w:rPr>
              <w:t>0,00 €</w:t>
            </w:r>
          </w:p>
        </w:tc>
        <w:tc>
          <w:tcPr>
            <w:tcW w:w="1104" w:type="dxa"/>
            <w:shd w:val="clear" w:color="auto" w:fill="D9D9D9"/>
          </w:tcPr>
          <w:p>
            <w:pPr>
              <w:pStyle w:val="TableParagraph"/>
              <w:spacing w:before="6"/>
              <w:rPr>
                <w:b/>
                <w:sz w:val="12"/>
              </w:rPr>
            </w:pPr>
          </w:p>
          <w:p>
            <w:pPr>
              <w:pStyle w:val="TableParagraph"/>
              <w:ind w:right="37"/>
              <w:jc w:val="right"/>
              <w:rPr>
                <w:sz w:val="12"/>
              </w:rPr>
            </w:pPr>
            <w:r>
              <w:rPr>
                <w:w w:val="105"/>
                <w:sz w:val="12"/>
              </w:rPr>
              <w:t>52.063,00 €</w:t>
            </w:r>
          </w:p>
        </w:tc>
        <w:tc>
          <w:tcPr>
            <w:tcW w:w="1235" w:type="dxa"/>
            <w:shd w:val="clear" w:color="auto" w:fill="D9D9D9"/>
          </w:tcPr>
          <w:p>
            <w:pPr>
              <w:pStyle w:val="TableParagraph"/>
              <w:spacing w:line="247" w:lineRule="auto" w:before="2"/>
              <w:ind w:left="58" w:right="10"/>
              <w:rPr>
                <w:sz w:val="12"/>
              </w:rPr>
            </w:pPr>
            <w:r>
              <w:rPr>
                <w:w w:val="105"/>
                <w:sz w:val="12"/>
              </w:rPr>
              <w:t>No hemos dispuesto de la información de</w:t>
            </w:r>
          </w:p>
          <w:p>
            <w:pPr>
              <w:pStyle w:val="TableParagraph"/>
              <w:spacing w:line="127" w:lineRule="exact" w:before="2"/>
              <w:ind w:left="58"/>
              <w:rPr>
                <w:sz w:val="12"/>
              </w:rPr>
            </w:pPr>
            <w:r>
              <w:rPr>
                <w:w w:val="105"/>
                <w:sz w:val="12"/>
              </w:rPr>
              <w:t>RECO</w:t>
            </w:r>
          </w:p>
        </w:tc>
      </w:tr>
    </w:tbl>
    <w:p>
      <w:pPr>
        <w:pStyle w:val="BodyText"/>
        <w:spacing w:before="1"/>
        <w:rPr>
          <w:b/>
          <w:sz w:val="25"/>
        </w:rPr>
      </w:pPr>
    </w:p>
    <w:p>
      <w:pPr>
        <w:spacing w:before="69"/>
        <w:ind w:left="11517" w:right="1354" w:firstLine="0"/>
        <w:jc w:val="center"/>
        <w:rPr>
          <w:sz w:val="18"/>
        </w:rPr>
      </w:pPr>
      <w:r>
        <w:rPr>
          <w:w w:val="105"/>
          <w:sz w:val="18"/>
        </w:rPr>
        <w:t>188</w:t>
      </w:r>
    </w:p>
    <w:p>
      <w:pPr>
        <w:spacing w:before="8"/>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28"/>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05" name="image5.png"/>
                  <wp:cNvGraphicFramePr>
                    <a:graphicFrameLocks noChangeAspect="1"/>
                  </wp:cNvGraphicFramePr>
                  <a:graphic>
                    <a:graphicData uri="http://schemas.openxmlformats.org/drawingml/2006/picture">
                      <pic:pic>
                        <pic:nvPicPr>
                          <pic:cNvPr id="40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190/247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headerReference w:type="default" r:id="rId39"/>
          <w:footerReference w:type="default" r:id="rId40"/>
          <w:pgSz w:w="16840" w:h="11900" w:orient="landscape"/>
          <w:pgMar w:header="806" w:footer="1006" w:top="1640" w:bottom="1200" w:left="1160" w:right="1160"/>
        </w:sectPr>
      </w:pPr>
    </w:p>
    <w:p>
      <w:pPr>
        <w:spacing w:before="111"/>
        <w:ind w:left="2699" w:right="0" w:firstLine="0"/>
        <w:jc w:val="left"/>
        <w:rPr>
          <w:b/>
          <w:sz w:val="18"/>
        </w:rPr>
      </w:pPr>
      <w:r>
        <w:rPr>
          <w:b/>
          <w:color w:val="53A1B9"/>
          <w:w w:val="105"/>
          <w:sz w:val="18"/>
        </w:rPr>
        <w:t>10.12 Anexo XII. Incidencias de las relaciones anuales de contratos.</w:t>
      </w:r>
    </w:p>
    <w:p>
      <w:pPr>
        <w:pStyle w:val="BodyText"/>
        <w:spacing w:before="10"/>
        <w:rPr>
          <w:b/>
          <w:sz w:val="7"/>
        </w:rPr>
      </w:pPr>
    </w:p>
    <w:tbl>
      <w:tblPr>
        <w:tblW w:w="0" w:type="auto"/>
        <w:jc w:val="left"/>
        <w:tblInd w:w="2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3"/>
        <w:gridCol w:w="9090"/>
      </w:tblGrid>
      <w:tr>
        <w:trPr>
          <w:trHeight w:val="374" w:hRule="atLeast"/>
        </w:trPr>
        <w:tc>
          <w:tcPr>
            <w:tcW w:w="933" w:type="dxa"/>
            <w:shd w:val="clear" w:color="auto" w:fill="DEEAF6"/>
          </w:tcPr>
          <w:p>
            <w:pPr>
              <w:pStyle w:val="TableParagraph"/>
              <w:spacing w:before="102"/>
              <w:ind w:left="216" w:right="209"/>
              <w:jc w:val="center"/>
              <w:rPr>
                <w:b/>
                <w:sz w:val="14"/>
              </w:rPr>
            </w:pPr>
            <w:r>
              <w:rPr>
                <w:b/>
                <w:sz w:val="14"/>
              </w:rPr>
              <w:t>Entidad</w:t>
            </w:r>
          </w:p>
        </w:tc>
        <w:tc>
          <w:tcPr>
            <w:tcW w:w="9090" w:type="dxa"/>
            <w:shd w:val="clear" w:color="auto" w:fill="DEEAF6"/>
          </w:tcPr>
          <w:p>
            <w:pPr>
              <w:pStyle w:val="TableParagraph"/>
              <w:spacing w:before="102"/>
              <w:ind w:left="4229" w:right="4222"/>
              <w:jc w:val="center"/>
              <w:rPr>
                <w:b/>
                <w:sz w:val="14"/>
              </w:rPr>
            </w:pPr>
            <w:r>
              <w:rPr>
                <w:b/>
                <w:sz w:val="14"/>
              </w:rPr>
              <w:t>Incidencia</w:t>
            </w:r>
          </w:p>
        </w:tc>
      </w:tr>
      <w:tr>
        <w:trPr>
          <w:trHeight w:val="169" w:hRule="atLeast"/>
        </w:trPr>
        <w:tc>
          <w:tcPr>
            <w:tcW w:w="933" w:type="dxa"/>
          </w:tcPr>
          <w:p>
            <w:pPr>
              <w:pStyle w:val="TableParagraph"/>
              <w:spacing w:line="149" w:lineRule="exact"/>
              <w:ind w:left="216" w:right="209"/>
              <w:jc w:val="center"/>
              <w:rPr>
                <w:sz w:val="14"/>
              </w:rPr>
            </w:pPr>
            <w:r>
              <w:rPr>
                <w:sz w:val="14"/>
              </w:rPr>
              <w:t>ACCUEE</w:t>
            </w:r>
          </w:p>
        </w:tc>
        <w:tc>
          <w:tcPr>
            <w:tcW w:w="9090" w:type="dxa"/>
          </w:tcPr>
          <w:p>
            <w:pPr>
              <w:pStyle w:val="TableParagraph"/>
              <w:spacing w:line="149" w:lineRule="exact"/>
              <w:ind w:left="54"/>
              <w:rPr>
                <w:sz w:val="14"/>
              </w:rPr>
            </w:pPr>
            <w:r>
              <w:rPr>
                <w:sz w:val="14"/>
              </w:rPr>
              <w:t>No figura la fecha de adjudicación de los contratos. Un contrato de servicios por importe de 15515€ supera el límite de la LCSP.</w:t>
            </w:r>
          </w:p>
        </w:tc>
      </w:tr>
      <w:tr>
        <w:trPr>
          <w:trHeight w:val="387" w:hRule="atLeast"/>
        </w:trPr>
        <w:tc>
          <w:tcPr>
            <w:tcW w:w="933" w:type="dxa"/>
          </w:tcPr>
          <w:p>
            <w:pPr>
              <w:pStyle w:val="TableParagraph"/>
              <w:spacing w:before="108"/>
              <w:ind w:left="216" w:right="208"/>
              <w:jc w:val="center"/>
              <w:rPr>
                <w:sz w:val="14"/>
              </w:rPr>
            </w:pPr>
            <w:r>
              <w:rPr>
                <w:sz w:val="14"/>
              </w:rPr>
              <w:t>ICAP</w:t>
            </w:r>
          </w:p>
        </w:tc>
        <w:tc>
          <w:tcPr>
            <w:tcW w:w="9090" w:type="dxa"/>
          </w:tcPr>
          <w:p>
            <w:pPr>
              <w:pStyle w:val="TableParagraph"/>
              <w:spacing w:before="22"/>
              <w:ind w:left="54"/>
              <w:rPr>
                <w:sz w:val="14"/>
              </w:rPr>
            </w:pPr>
            <w:r>
              <w:rPr>
                <w:sz w:val="14"/>
              </w:rPr>
              <w:t>En la relación de contratos remitida figura la fecha de adjudicación o aprobación del gasto y no la de formalización del contrato. No se distingue entre contratos menores y no menores.</w:t>
            </w:r>
          </w:p>
        </w:tc>
      </w:tr>
      <w:tr>
        <w:trPr>
          <w:trHeight w:val="167" w:hRule="atLeast"/>
        </w:trPr>
        <w:tc>
          <w:tcPr>
            <w:tcW w:w="933" w:type="dxa"/>
          </w:tcPr>
          <w:p>
            <w:pPr>
              <w:pStyle w:val="TableParagraph"/>
              <w:spacing w:line="148" w:lineRule="exact"/>
              <w:ind w:left="216" w:right="205"/>
              <w:jc w:val="center"/>
              <w:rPr>
                <w:sz w:val="14"/>
              </w:rPr>
            </w:pPr>
            <w:r>
              <w:rPr>
                <w:sz w:val="14"/>
              </w:rPr>
              <w:t>ICCA</w:t>
            </w:r>
          </w:p>
        </w:tc>
        <w:tc>
          <w:tcPr>
            <w:tcW w:w="9090" w:type="dxa"/>
          </w:tcPr>
          <w:p>
            <w:pPr>
              <w:pStyle w:val="TableParagraph"/>
              <w:spacing w:line="148" w:lineRule="exact"/>
              <w:ind w:left="54"/>
              <w:rPr>
                <w:sz w:val="14"/>
              </w:rPr>
            </w:pPr>
            <w:r>
              <w:rPr>
                <w:sz w:val="14"/>
              </w:rPr>
              <w:t>La relación remitida no contiene el campo de fecha de formalización.</w:t>
            </w:r>
          </w:p>
        </w:tc>
      </w:tr>
      <w:tr>
        <w:trPr>
          <w:trHeight w:val="605" w:hRule="atLeast"/>
        </w:trPr>
        <w:tc>
          <w:tcPr>
            <w:tcW w:w="933" w:type="dxa"/>
          </w:tcPr>
          <w:p>
            <w:pPr>
              <w:pStyle w:val="TableParagraph"/>
              <w:spacing w:before="10"/>
              <w:rPr>
                <w:b/>
                <w:sz w:val="17"/>
              </w:rPr>
            </w:pPr>
          </w:p>
          <w:p>
            <w:pPr>
              <w:pStyle w:val="TableParagraph"/>
              <w:ind w:left="216" w:right="205"/>
              <w:jc w:val="center"/>
              <w:rPr>
                <w:sz w:val="14"/>
              </w:rPr>
            </w:pPr>
            <w:r>
              <w:rPr>
                <w:sz w:val="14"/>
              </w:rPr>
              <w:t>ICHH</w:t>
            </w:r>
          </w:p>
        </w:tc>
        <w:tc>
          <w:tcPr>
            <w:tcW w:w="9090" w:type="dxa"/>
          </w:tcPr>
          <w:p>
            <w:pPr>
              <w:pStyle w:val="TableParagraph"/>
              <w:spacing w:before="46"/>
              <w:ind w:left="54"/>
              <w:rPr>
                <w:sz w:val="14"/>
              </w:rPr>
            </w:pPr>
            <w:r>
              <w:rPr>
                <w:sz w:val="14"/>
              </w:rPr>
              <w:t>La relación remitida no contiene el campo de fecha de formalización.</w:t>
            </w:r>
          </w:p>
          <w:p>
            <w:pPr>
              <w:pStyle w:val="TableParagraph"/>
              <w:spacing w:before="1"/>
              <w:ind w:left="54"/>
              <w:rPr>
                <w:sz w:val="14"/>
              </w:rPr>
            </w:pPr>
            <w:r>
              <w:rPr>
                <w:sz w:val="14"/>
              </w:rPr>
              <w:t>Aunque la entidad certifica que se trata de contratos del Apartado II.A de la Instrucción (contratos formalizados, excluidos los menores), tratándose de un</w:t>
            </w:r>
          </w:p>
          <w:p>
            <w:pPr>
              <w:pStyle w:val="TableParagraph"/>
              <w:ind w:left="54"/>
              <w:rPr>
                <w:sz w:val="14"/>
              </w:rPr>
            </w:pPr>
            <w:r>
              <w:rPr>
                <w:sz w:val="14"/>
              </w:rPr>
              <w:t>contrato de suministro y otro basado en acuerdo marco, en la relación remitida, en la columna “Contrato”, se indica en ambos casos “Privado”.</w:t>
            </w:r>
          </w:p>
        </w:tc>
      </w:tr>
      <w:tr>
        <w:trPr>
          <w:trHeight w:val="540" w:hRule="atLeast"/>
        </w:trPr>
        <w:tc>
          <w:tcPr>
            <w:tcW w:w="933" w:type="dxa"/>
          </w:tcPr>
          <w:p>
            <w:pPr>
              <w:pStyle w:val="TableParagraph"/>
              <w:spacing w:before="1"/>
              <w:rPr>
                <w:b/>
                <w:sz w:val="15"/>
              </w:rPr>
            </w:pPr>
          </w:p>
          <w:p>
            <w:pPr>
              <w:pStyle w:val="TableParagraph"/>
              <w:ind w:left="216" w:right="206"/>
              <w:jc w:val="center"/>
              <w:rPr>
                <w:sz w:val="14"/>
              </w:rPr>
            </w:pPr>
            <w:r>
              <w:rPr>
                <w:sz w:val="14"/>
              </w:rPr>
              <w:t>ICI</w:t>
            </w:r>
          </w:p>
        </w:tc>
        <w:tc>
          <w:tcPr>
            <w:tcW w:w="9090" w:type="dxa"/>
          </w:tcPr>
          <w:p>
            <w:pPr>
              <w:pStyle w:val="TableParagraph"/>
              <w:spacing w:line="170" w:lineRule="exact" w:before="14"/>
              <w:ind w:left="54"/>
              <w:rPr>
                <w:sz w:val="14"/>
              </w:rPr>
            </w:pPr>
            <w:r>
              <w:rPr>
                <w:sz w:val="14"/>
              </w:rPr>
              <w:t>No figura la fecha de adjudicación de los contratos.</w:t>
            </w:r>
          </w:p>
          <w:p>
            <w:pPr>
              <w:pStyle w:val="TableParagraph"/>
              <w:spacing w:line="170" w:lineRule="exact"/>
              <w:ind w:left="54"/>
              <w:rPr>
                <w:sz w:val="14"/>
              </w:rPr>
            </w:pPr>
            <w:r>
              <w:rPr>
                <w:sz w:val="14"/>
              </w:rPr>
              <w:t>En la relación remitida 27 contratos superan los importes fijados en la LCSP para los contratos menores. Destaca un contrato de servicios por importe de</w:t>
            </w:r>
          </w:p>
          <w:p>
            <w:pPr>
              <w:pStyle w:val="TableParagraph"/>
              <w:spacing w:line="164" w:lineRule="exact" w:before="1"/>
              <w:ind w:left="54"/>
              <w:rPr>
                <w:sz w:val="14"/>
              </w:rPr>
            </w:pPr>
            <w:r>
              <w:rPr>
                <w:sz w:val="14"/>
              </w:rPr>
              <w:t>52.085,97 €.</w:t>
            </w:r>
          </w:p>
        </w:tc>
      </w:tr>
      <w:tr>
        <w:trPr>
          <w:trHeight w:val="379" w:hRule="atLeast"/>
        </w:trPr>
        <w:tc>
          <w:tcPr>
            <w:tcW w:w="933" w:type="dxa"/>
          </w:tcPr>
          <w:p>
            <w:pPr>
              <w:pStyle w:val="TableParagraph"/>
              <w:spacing w:before="104"/>
              <w:ind w:left="216" w:right="206"/>
              <w:jc w:val="center"/>
              <w:rPr>
                <w:sz w:val="14"/>
              </w:rPr>
            </w:pPr>
            <w:r>
              <w:rPr>
                <w:sz w:val="14"/>
              </w:rPr>
              <w:t>ICAVI</w:t>
            </w:r>
          </w:p>
        </w:tc>
        <w:tc>
          <w:tcPr>
            <w:tcW w:w="9090" w:type="dxa"/>
          </w:tcPr>
          <w:p>
            <w:pPr>
              <w:pStyle w:val="TableParagraph"/>
              <w:spacing w:line="170" w:lineRule="exact" w:before="20"/>
              <w:ind w:left="54"/>
              <w:rPr>
                <w:sz w:val="14"/>
              </w:rPr>
            </w:pPr>
            <w:r>
              <w:rPr>
                <w:sz w:val="14"/>
              </w:rPr>
              <w:t>No figura la fecha de formalización y/o adjudicación de los contratos.</w:t>
            </w:r>
          </w:p>
          <w:p>
            <w:pPr>
              <w:pStyle w:val="TableParagraph"/>
              <w:spacing w:line="169" w:lineRule="exact"/>
              <w:ind w:left="54"/>
              <w:rPr>
                <w:sz w:val="14"/>
              </w:rPr>
            </w:pPr>
            <w:r>
              <w:rPr>
                <w:sz w:val="14"/>
              </w:rPr>
              <w:t>En la relación remitida 46 contratos superan los importes fijados en la LCSP para los contratos menores.</w:t>
            </w:r>
          </w:p>
        </w:tc>
      </w:tr>
      <w:tr>
        <w:trPr>
          <w:trHeight w:val="508" w:hRule="atLeast"/>
        </w:trPr>
        <w:tc>
          <w:tcPr>
            <w:tcW w:w="933" w:type="dxa"/>
          </w:tcPr>
          <w:p>
            <w:pPr>
              <w:pStyle w:val="TableParagraph"/>
              <w:spacing w:before="10"/>
              <w:rPr>
                <w:b/>
                <w:sz w:val="13"/>
              </w:rPr>
            </w:pPr>
          </w:p>
          <w:p>
            <w:pPr>
              <w:pStyle w:val="TableParagraph"/>
              <w:ind w:left="216" w:right="208"/>
              <w:jc w:val="center"/>
              <w:rPr>
                <w:sz w:val="14"/>
              </w:rPr>
            </w:pPr>
            <w:r>
              <w:rPr>
                <w:sz w:val="14"/>
              </w:rPr>
              <w:t>ISTAC</w:t>
            </w:r>
          </w:p>
        </w:tc>
        <w:tc>
          <w:tcPr>
            <w:tcW w:w="9090" w:type="dxa"/>
          </w:tcPr>
          <w:p>
            <w:pPr>
              <w:pStyle w:val="TableParagraph"/>
              <w:ind w:left="54" w:right="5977"/>
              <w:rPr>
                <w:sz w:val="14"/>
              </w:rPr>
            </w:pPr>
            <w:r>
              <w:rPr>
                <w:sz w:val="14"/>
              </w:rPr>
              <w:t>No figura la fecha de adjudicación de los contratos. No se indica el tipo de contrato.</w:t>
            </w:r>
          </w:p>
          <w:p>
            <w:pPr>
              <w:pStyle w:val="TableParagraph"/>
              <w:spacing w:line="149" w:lineRule="exact"/>
              <w:ind w:left="54"/>
              <w:rPr>
                <w:sz w:val="14"/>
              </w:rPr>
            </w:pPr>
            <w:r>
              <w:rPr>
                <w:sz w:val="14"/>
              </w:rPr>
              <w:t>Hay 10 contratos con importe superior a 15.000 €.</w:t>
            </w:r>
          </w:p>
        </w:tc>
      </w:tr>
      <w:tr>
        <w:trPr>
          <w:trHeight w:val="232" w:hRule="atLeast"/>
        </w:trPr>
        <w:tc>
          <w:tcPr>
            <w:tcW w:w="933" w:type="dxa"/>
          </w:tcPr>
          <w:p>
            <w:pPr>
              <w:pStyle w:val="TableParagraph"/>
              <w:spacing w:before="31"/>
              <w:ind w:left="216" w:right="206"/>
              <w:jc w:val="center"/>
              <w:rPr>
                <w:sz w:val="14"/>
              </w:rPr>
            </w:pPr>
            <w:r>
              <w:rPr>
                <w:sz w:val="14"/>
              </w:rPr>
              <w:t>ATC</w:t>
            </w:r>
          </w:p>
        </w:tc>
        <w:tc>
          <w:tcPr>
            <w:tcW w:w="9090" w:type="dxa"/>
          </w:tcPr>
          <w:p>
            <w:pPr>
              <w:pStyle w:val="TableParagraph"/>
              <w:spacing w:before="31"/>
              <w:ind w:left="54"/>
              <w:rPr>
                <w:sz w:val="14"/>
              </w:rPr>
            </w:pPr>
            <w:r>
              <w:rPr>
                <w:sz w:val="14"/>
              </w:rPr>
              <w:t>La relación remitida no contiene el campo de fecha de formalización.</w:t>
            </w:r>
          </w:p>
        </w:tc>
      </w:tr>
      <w:tr>
        <w:trPr>
          <w:trHeight w:val="230" w:hRule="atLeast"/>
        </w:trPr>
        <w:tc>
          <w:tcPr>
            <w:tcW w:w="933" w:type="dxa"/>
          </w:tcPr>
          <w:p>
            <w:pPr>
              <w:pStyle w:val="TableParagraph"/>
              <w:spacing w:before="29"/>
              <w:ind w:left="216" w:right="207"/>
              <w:jc w:val="center"/>
              <w:rPr>
                <w:sz w:val="14"/>
              </w:rPr>
            </w:pPr>
            <w:r>
              <w:rPr>
                <w:sz w:val="14"/>
              </w:rPr>
              <w:t>CES</w:t>
            </w:r>
          </w:p>
        </w:tc>
        <w:tc>
          <w:tcPr>
            <w:tcW w:w="9090" w:type="dxa"/>
          </w:tcPr>
          <w:p>
            <w:pPr>
              <w:pStyle w:val="TableParagraph"/>
              <w:spacing w:before="29"/>
              <w:ind w:left="54"/>
              <w:rPr>
                <w:sz w:val="14"/>
              </w:rPr>
            </w:pPr>
            <w:r>
              <w:rPr>
                <w:sz w:val="14"/>
              </w:rPr>
              <w:t>Uno de los registros tiene fecha de adjudicación anterior a 2022 (30/12/2021).</w:t>
            </w:r>
          </w:p>
        </w:tc>
      </w:tr>
      <w:tr>
        <w:trPr>
          <w:trHeight w:val="338" w:hRule="atLeast"/>
        </w:trPr>
        <w:tc>
          <w:tcPr>
            <w:tcW w:w="933" w:type="dxa"/>
          </w:tcPr>
          <w:p>
            <w:pPr>
              <w:pStyle w:val="TableParagraph"/>
              <w:spacing w:before="83"/>
              <w:ind w:left="216" w:right="209"/>
              <w:jc w:val="center"/>
              <w:rPr>
                <w:sz w:val="14"/>
              </w:rPr>
            </w:pPr>
            <w:r>
              <w:rPr>
                <w:sz w:val="14"/>
              </w:rPr>
              <w:t>APMN</w:t>
            </w:r>
          </w:p>
        </w:tc>
        <w:tc>
          <w:tcPr>
            <w:tcW w:w="9090" w:type="dxa"/>
          </w:tcPr>
          <w:p>
            <w:pPr>
              <w:pStyle w:val="TableParagraph"/>
              <w:spacing w:line="170" w:lineRule="exact"/>
              <w:ind w:left="54"/>
              <w:rPr>
                <w:sz w:val="14"/>
              </w:rPr>
            </w:pPr>
            <w:r>
              <w:rPr>
                <w:sz w:val="14"/>
              </w:rPr>
              <w:t>La relación remitida no contiene el campo de fecha de formalización, sino el de adjudicación. Uno de los contratos tiene fecha de adjudicación 09/09/2020.</w:t>
            </w:r>
          </w:p>
          <w:p>
            <w:pPr>
              <w:pStyle w:val="TableParagraph"/>
              <w:spacing w:line="149" w:lineRule="exact"/>
              <w:ind w:left="54"/>
              <w:rPr>
                <w:sz w:val="14"/>
              </w:rPr>
            </w:pPr>
            <w:r>
              <w:rPr>
                <w:sz w:val="14"/>
              </w:rPr>
              <w:t>12 registros de contratos menores no corresponden con el ejercicio 2022.</w:t>
            </w:r>
          </w:p>
        </w:tc>
      </w:tr>
      <w:tr>
        <w:trPr>
          <w:trHeight w:val="230" w:hRule="atLeast"/>
        </w:trPr>
        <w:tc>
          <w:tcPr>
            <w:tcW w:w="933" w:type="dxa"/>
          </w:tcPr>
          <w:p>
            <w:pPr>
              <w:pStyle w:val="TableParagraph"/>
              <w:spacing w:before="31"/>
              <w:ind w:left="166"/>
              <w:rPr>
                <w:sz w:val="14"/>
              </w:rPr>
            </w:pPr>
            <w:r>
              <w:rPr>
                <w:sz w:val="14"/>
              </w:rPr>
              <w:t>C. RINCON</w:t>
            </w:r>
          </w:p>
        </w:tc>
        <w:tc>
          <w:tcPr>
            <w:tcW w:w="9090" w:type="dxa"/>
          </w:tcPr>
          <w:p>
            <w:pPr>
              <w:pStyle w:val="TableParagraph"/>
              <w:spacing w:before="31"/>
              <w:ind w:left="54"/>
              <w:rPr>
                <w:sz w:val="14"/>
              </w:rPr>
            </w:pPr>
            <w:r>
              <w:rPr>
                <w:sz w:val="14"/>
              </w:rPr>
              <w:t>No figura la fecha de adjudicación de los contratos.</w:t>
            </w:r>
          </w:p>
        </w:tc>
      </w:tr>
    </w:tbl>
    <w:p>
      <w:pPr>
        <w:pStyle w:val="BodyText"/>
        <w:rPr>
          <w:b/>
        </w:rPr>
      </w:pPr>
    </w:p>
    <w:p>
      <w:pPr>
        <w:pStyle w:val="BodyText"/>
        <w:rPr>
          <w:b/>
        </w:rPr>
      </w:pPr>
    </w:p>
    <w:p>
      <w:pPr>
        <w:pStyle w:val="BodyText"/>
        <w:rPr>
          <w:b/>
        </w:rPr>
      </w:pPr>
    </w:p>
    <w:p>
      <w:pPr>
        <w:pStyle w:val="BodyText"/>
        <w:spacing w:before="10"/>
        <w:rPr>
          <w:b/>
          <w:sz w:val="15"/>
        </w:rPr>
      </w:pPr>
    </w:p>
    <w:p>
      <w:pPr>
        <w:spacing w:before="0"/>
        <w:ind w:left="11517" w:right="1354" w:firstLine="0"/>
        <w:jc w:val="center"/>
        <w:rPr>
          <w:sz w:val="18"/>
        </w:rPr>
      </w:pPr>
      <w:r>
        <w:rPr>
          <w:w w:val="105"/>
          <w:sz w:val="18"/>
        </w:rPr>
        <w:t>189</w:t>
      </w:r>
    </w:p>
    <w:p>
      <w:pPr>
        <w:spacing w:before="8"/>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
        <w:rPr>
          <w:b/>
          <w:sz w:val="28"/>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07" name="image5.png"/>
                  <wp:cNvGraphicFramePr>
                    <a:graphicFrameLocks noChangeAspect="1"/>
                  </wp:cNvGraphicFramePr>
                  <a:graphic>
                    <a:graphicData uri="http://schemas.openxmlformats.org/drawingml/2006/picture">
                      <pic:pic>
                        <pic:nvPicPr>
                          <pic:cNvPr id="40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191/247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pStyle w:val="BodyText"/>
        <w:spacing w:before="10"/>
        <w:rPr>
          <w:b/>
          <w:sz w:val="27"/>
        </w:rPr>
      </w:pPr>
    </w:p>
    <w:p>
      <w:pPr>
        <w:pStyle w:val="Heading1"/>
        <w:spacing w:before="61"/>
        <w:ind w:left="2099"/>
        <w:jc w:val="left"/>
      </w:pPr>
      <w:r>
        <w:rPr>
          <w:color w:val="53A1B9"/>
        </w:rPr>
        <w:t>10.13 Anexo XIII. Obras.</w:t>
      </w:r>
    </w:p>
    <w:p>
      <w:pPr>
        <w:pStyle w:val="BodyText"/>
        <w:spacing w:before="103"/>
        <w:ind w:left="2099"/>
      </w:pPr>
      <w:r>
        <w:rPr/>
        <w:t>“XIII a) Relación de actuaciones de comprobación material revisadas.</w:t>
      </w:r>
    </w:p>
    <w:p>
      <w:pPr>
        <w:pStyle w:val="BodyText"/>
        <w:spacing w:before="6" w:after="1"/>
        <w:rPr>
          <w:sz w:val="16"/>
        </w:rPr>
      </w:pPr>
    </w:p>
    <w:tbl>
      <w:tblPr>
        <w:tblW w:w="0" w:type="auto"/>
        <w:jc w:val="left"/>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5"/>
        <w:gridCol w:w="5604"/>
        <w:gridCol w:w="746"/>
      </w:tblGrid>
      <w:tr>
        <w:trPr>
          <w:trHeight w:val="407" w:hRule="atLeast"/>
        </w:trPr>
        <w:tc>
          <w:tcPr>
            <w:tcW w:w="1905" w:type="dxa"/>
            <w:shd w:val="clear" w:color="auto" w:fill="DEEAF6"/>
          </w:tcPr>
          <w:p>
            <w:pPr>
              <w:pStyle w:val="TableParagraph"/>
              <w:spacing w:before="125"/>
              <w:ind w:left="705" w:right="696"/>
              <w:jc w:val="center"/>
              <w:rPr>
                <w:b/>
                <w:sz w:val="13"/>
              </w:rPr>
            </w:pPr>
            <w:r>
              <w:rPr>
                <w:b/>
                <w:w w:val="105"/>
                <w:sz w:val="13"/>
              </w:rPr>
              <w:t>Materia</w:t>
            </w:r>
          </w:p>
        </w:tc>
        <w:tc>
          <w:tcPr>
            <w:tcW w:w="5604" w:type="dxa"/>
            <w:shd w:val="clear" w:color="auto" w:fill="DEEAF6"/>
          </w:tcPr>
          <w:p>
            <w:pPr>
              <w:pStyle w:val="TableParagraph"/>
              <w:spacing w:before="125"/>
              <w:ind w:left="2366" w:right="2363"/>
              <w:jc w:val="center"/>
              <w:rPr>
                <w:b/>
                <w:sz w:val="13"/>
              </w:rPr>
            </w:pPr>
            <w:r>
              <w:rPr>
                <w:b/>
                <w:w w:val="105"/>
                <w:sz w:val="13"/>
              </w:rPr>
              <w:t>Denominación</w:t>
            </w:r>
          </w:p>
        </w:tc>
        <w:tc>
          <w:tcPr>
            <w:tcW w:w="746" w:type="dxa"/>
            <w:shd w:val="clear" w:color="auto" w:fill="DEEAF6"/>
          </w:tcPr>
          <w:p>
            <w:pPr>
              <w:pStyle w:val="TableParagraph"/>
              <w:spacing w:line="249" w:lineRule="auto" w:before="42"/>
              <w:ind w:left="56" w:firstLine="239"/>
              <w:rPr>
                <w:b/>
                <w:sz w:val="13"/>
              </w:rPr>
            </w:pPr>
            <w:r>
              <w:rPr>
                <w:b/>
                <w:w w:val="105"/>
                <w:sz w:val="13"/>
              </w:rPr>
              <w:t>Nº expediente</w:t>
            </w:r>
          </w:p>
        </w:tc>
      </w:tr>
      <w:tr>
        <w:trPr>
          <w:trHeight w:val="187" w:hRule="atLeast"/>
        </w:trPr>
        <w:tc>
          <w:tcPr>
            <w:tcW w:w="1905" w:type="dxa"/>
          </w:tcPr>
          <w:p>
            <w:pPr>
              <w:pStyle w:val="TableParagraph"/>
              <w:spacing w:line="153" w:lineRule="exact" w:before="14"/>
              <w:ind w:left="59"/>
              <w:rPr>
                <w:sz w:val="13"/>
              </w:rPr>
            </w:pPr>
            <w:r>
              <w:rPr>
                <w:w w:val="105"/>
                <w:sz w:val="13"/>
              </w:rPr>
              <w:t>TURISMO</w:t>
            </w:r>
          </w:p>
        </w:tc>
        <w:tc>
          <w:tcPr>
            <w:tcW w:w="5604" w:type="dxa"/>
          </w:tcPr>
          <w:p>
            <w:pPr>
              <w:pStyle w:val="TableParagraph"/>
              <w:spacing w:line="153" w:lineRule="exact" w:before="14"/>
              <w:ind w:left="57"/>
              <w:rPr>
                <w:sz w:val="13"/>
              </w:rPr>
            </w:pPr>
            <w:r>
              <w:rPr>
                <w:w w:val="105"/>
                <w:sz w:val="13"/>
              </w:rPr>
              <w:t>PROYECTO COMPLEMENTARIO DE PARQUE CENTRAL DE ARONA, FASE I</w:t>
            </w:r>
          </w:p>
        </w:tc>
        <w:tc>
          <w:tcPr>
            <w:tcW w:w="746" w:type="dxa"/>
          </w:tcPr>
          <w:p>
            <w:pPr>
              <w:pStyle w:val="TableParagraph"/>
              <w:spacing w:line="153" w:lineRule="exact" w:before="14"/>
              <w:ind w:left="173"/>
              <w:rPr>
                <w:sz w:val="13"/>
              </w:rPr>
            </w:pPr>
            <w:r>
              <w:rPr>
                <w:w w:val="105"/>
                <w:sz w:val="13"/>
              </w:rPr>
              <w:t>14/456</w:t>
            </w:r>
          </w:p>
        </w:tc>
      </w:tr>
      <w:tr>
        <w:trPr>
          <w:trHeight w:val="189" w:hRule="atLeast"/>
        </w:trPr>
        <w:tc>
          <w:tcPr>
            <w:tcW w:w="1905" w:type="dxa"/>
          </w:tcPr>
          <w:p>
            <w:pPr>
              <w:pStyle w:val="TableParagraph"/>
              <w:spacing w:line="153" w:lineRule="exact" w:before="16"/>
              <w:ind w:left="59"/>
              <w:rPr>
                <w:sz w:val="13"/>
              </w:rPr>
            </w:pPr>
            <w:r>
              <w:rPr>
                <w:w w:val="105"/>
                <w:sz w:val="13"/>
              </w:rPr>
              <w:t>TURISMO</w:t>
            </w:r>
          </w:p>
        </w:tc>
        <w:tc>
          <w:tcPr>
            <w:tcW w:w="5604" w:type="dxa"/>
          </w:tcPr>
          <w:p>
            <w:pPr>
              <w:pStyle w:val="TableParagraph"/>
              <w:spacing w:line="153" w:lineRule="exact" w:before="16"/>
              <w:ind w:left="57"/>
              <w:rPr>
                <w:sz w:val="13"/>
              </w:rPr>
            </w:pPr>
            <w:r>
              <w:rPr>
                <w:w w:val="105"/>
                <w:sz w:val="13"/>
              </w:rPr>
              <w:t>CENTRO DE INTERPRETACIÓN JUEGO DE BOLAS, FASE I</w:t>
            </w:r>
          </w:p>
        </w:tc>
        <w:tc>
          <w:tcPr>
            <w:tcW w:w="746" w:type="dxa"/>
          </w:tcPr>
          <w:p>
            <w:pPr>
              <w:pStyle w:val="TableParagraph"/>
              <w:spacing w:line="153" w:lineRule="exact" w:before="16"/>
              <w:ind w:left="173"/>
              <w:rPr>
                <w:sz w:val="13"/>
              </w:rPr>
            </w:pPr>
            <w:r>
              <w:rPr>
                <w:w w:val="105"/>
                <w:sz w:val="13"/>
              </w:rPr>
              <w:t>15/966</w:t>
            </w:r>
          </w:p>
        </w:tc>
      </w:tr>
      <w:tr>
        <w:trPr>
          <w:trHeight w:val="189" w:hRule="atLeast"/>
        </w:trPr>
        <w:tc>
          <w:tcPr>
            <w:tcW w:w="1905" w:type="dxa"/>
          </w:tcPr>
          <w:p>
            <w:pPr>
              <w:pStyle w:val="TableParagraph"/>
              <w:spacing w:line="153" w:lineRule="exact" w:before="16"/>
              <w:ind w:left="59"/>
              <w:rPr>
                <w:sz w:val="13"/>
              </w:rPr>
            </w:pPr>
            <w:r>
              <w:rPr>
                <w:w w:val="105"/>
                <w:sz w:val="13"/>
              </w:rPr>
              <w:t>EDUCACIÓN</w:t>
            </w:r>
          </w:p>
        </w:tc>
        <w:tc>
          <w:tcPr>
            <w:tcW w:w="5604" w:type="dxa"/>
          </w:tcPr>
          <w:p>
            <w:pPr>
              <w:pStyle w:val="TableParagraph"/>
              <w:spacing w:line="153" w:lineRule="exact" w:before="16"/>
              <w:ind w:left="57"/>
              <w:rPr>
                <w:sz w:val="13"/>
              </w:rPr>
            </w:pPr>
            <w:r>
              <w:rPr>
                <w:w w:val="105"/>
                <w:sz w:val="13"/>
              </w:rPr>
              <w:t>AMPLIACIÓN DEL IES SANTA MARIA DE GUÍA</w:t>
            </w:r>
          </w:p>
        </w:tc>
        <w:tc>
          <w:tcPr>
            <w:tcW w:w="746" w:type="dxa"/>
          </w:tcPr>
          <w:p>
            <w:pPr>
              <w:pStyle w:val="TableParagraph"/>
              <w:spacing w:line="153" w:lineRule="exact" w:before="16"/>
              <w:ind w:left="173"/>
              <w:rPr>
                <w:sz w:val="13"/>
              </w:rPr>
            </w:pPr>
            <w:r>
              <w:rPr>
                <w:w w:val="105"/>
                <w:sz w:val="13"/>
              </w:rPr>
              <w:t>18/047</w:t>
            </w:r>
          </w:p>
        </w:tc>
      </w:tr>
      <w:tr>
        <w:trPr>
          <w:trHeight w:val="326" w:hRule="atLeast"/>
        </w:trPr>
        <w:tc>
          <w:tcPr>
            <w:tcW w:w="1905" w:type="dxa"/>
          </w:tcPr>
          <w:p>
            <w:pPr>
              <w:pStyle w:val="TableParagraph"/>
              <w:spacing w:before="85"/>
              <w:ind w:left="59"/>
              <w:rPr>
                <w:sz w:val="13"/>
              </w:rPr>
            </w:pPr>
            <w:r>
              <w:rPr>
                <w:w w:val="105"/>
                <w:sz w:val="13"/>
              </w:rPr>
              <w:t>TRANSICIÓN ECOLÓGICA</w:t>
            </w:r>
          </w:p>
        </w:tc>
        <w:tc>
          <w:tcPr>
            <w:tcW w:w="5604" w:type="dxa"/>
          </w:tcPr>
          <w:p>
            <w:pPr>
              <w:pStyle w:val="TableParagraph"/>
              <w:spacing w:before="2"/>
              <w:ind w:left="57"/>
              <w:rPr>
                <w:sz w:val="13"/>
              </w:rPr>
            </w:pPr>
            <w:r>
              <w:rPr>
                <w:w w:val="105"/>
                <w:sz w:val="13"/>
              </w:rPr>
              <w:t>MODIFICADO DE LA AMPLIACIÓN DEL EDIFICIO PARA LA BRIGADA DE REFUERZO DE INTERVENCIÓN</w:t>
            </w:r>
          </w:p>
          <w:p>
            <w:pPr>
              <w:pStyle w:val="TableParagraph"/>
              <w:spacing w:line="139" w:lineRule="exact" w:before="6"/>
              <w:ind w:left="57"/>
              <w:rPr>
                <w:sz w:val="13"/>
              </w:rPr>
            </w:pPr>
            <w:r>
              <w:rPr>
                <w:w w:val="105"/>
                <w:sz w:val="13"/>
              </w:rPr>
              <w:t>DE LUCHA CONTRA INCENDIOS FORESTALES (B.R.I.F.) T.M. PUNTAGORDA. ISLA DE LA PALMA</w:t>
            </w:r>
          </w:p>
        </w:tc>
        <w:tc>
          <w:tcPr>
            <w:tcW w:w="746" w:type="dxa"/>
          </w:tcPr>
          <w:p>
            <w:pPr>
              <w:pStyle w:val="TableParagraph"/>
              <w:spacing w:before="85"/>
              <w:ind w:left="173"/>
              <w:rPr>
                <w:sz w:val="13"/>
              </w:rPr>
            </w:pPr>
            <w:r>
              <w:rPr>
                <w:w w:val="105"/>
                <w:sz w:val="13"/>
              </w:rPr>
              <w:t>18/326</w:t>
            </w:r>
          </w:p>
        </w:tc>
      </w:tr>
      <w:tr>
        <w:trPr>
          <w:trHeight w:val="189" w:hRule="atLeast"/>
        </w:trPr>
        <w:tc>
          <w:tcPr>
            <w:tcW w:w="1905" w:type="dxa"/>
          </w:tcPr>
          <w:p>
            <w:pPr>
              <w:pStyle w:val="TableParagraph"/>
              <w:spacing w:line="154" w:lineRule="exact" w:before="16"/>
              <w:ind w:left="59"/>
              <w:rPr>
                <w:sz w:val="13"/>
              </w:rPr>
            </w:pPr>
            <w:r>
              <w:rPr>
                <w:w w:val="105"/>
                <w:sz w:val="13"/>
              </w:rPr>
              <w:t>SERVICIO CANARIO DE LA SALUD</w:t>
            </w:r>
          </w:p>
        </w:tc>
        <w:tc>
          <w:tcPr>
            <w:tcW w:w="5604" w:type="dxa"/>
          </w:tcPr>
          <w:p>
            <w:pPr>
              <w:pStyle w:val="TableParagraph"/>
              <w:spacing w:line="154" w:lineRule="exact" w:before="16"/>
              <w:ind w:left="57"/>
              <w:rPr>
                <w:sz w:val="13"/>
              </w:rPr>
            </w:pPr>
            <w:r>
              <w:rPr>
                <w:w w:val="105"/>
                <w:sz w:val="13"/>
              </w:rPr>
              <w:t>CENTRO DE SALUD DE LA CUESTA</w:t>
            </w:r>
          </w:p>
        </w:tc>
        <w:tc>
          <w:tcPr>
            <w:tcW w:w="746" w:type="dxa"/>
          </w:tcPr>
          <w:p>
            <w:pPr>
              <w:pStyle w:val="TableParagraph"/>
              <w:spacing w:line="154" w:lineRule="exact" w:before="16"/>
              <w:ind w:left="138"/>
              <w:rPr>
                <w:sz w:val="13"/>
              </w:rPr>
            </w:pPr>
            <w:r>
              <w:rPr>
                <w:w w:val="105"/>
                <w:sz w:val="13"/>
              </w:rPr>
              <w:t>12/1030</w:t>
            </w:r>
          </w:p>
        </w:tc>
      </w:tr>
      <w:tr>
        <w:trPr>
          <w:trHeight w:val="187" w:hRule="atLeast"/>
        </w:trPr>
        <w:tc>
          <w:tcPr>
            <w:tcW w:w="1905" w:type="dxa"/>
          </w:tcPr>
          <w:p>
            <w:pPr>
              <w:pStyle w:val="TableParagraph"/>
              <w:spacing w:line="153" w:lineRule="exact" w:before="14"/>
              <w:ind w:left="59"/>
              <w:rPr>
                <w:sz w:val="13"/>
              </w:rPr>
            </w:pPr>
            <w:r>
              <w:rPr>
                <w:w w:val="105"/>
                <w:sz w:val="13"/>
              </w:rPr>
              <w:t>SERVICIO CANARIO DE LA SALUD</w:t>
            </w:r>
          </w:p>
        </w:tc>
        <w:tc>
          <w:tcPr>
            <w:tcW w:w="5604" w:type="dxa"/>
          </w:tcPr>
          <w:p>
            <w:pPr>
              <w:pStyle w:val="TableParagraph"/>
              <w:spacing w:line="153" w:lineRule="exact" w:before="14"/>
              <w:ind w:left="57"/>
              <w:rPr>
                <w:sz w:val="13"/>
              </w:rPr>
            </w:pPr>
            <w:r>
              <w:rPr>
                <w:w w:val="105"/>
                <w:sz w:val="13"/>
              </w:rPr>
              <w:t>CAE DE TELDE. ÁREA DE SALUD MENTAL</w:t>
            </w:r>
          </w:p>
        </w:tc>
        <w:tc>
          <w:tcPr>
            <w:tcW w:w="746" w:type="dxa"/>
          </w:tcPr>
          <w:p>
            <w:pPr>
              <w:pStyle w:val="TableParagraph"/>
              <w:spacing w:line="153" w:lineRule="exact" w:before="14"/>
              <w:ind w:left="173"/>
              <w:rPr>
                <w:sz w:val="13"/>
              </w:rPr>
            </w:pPr>
            <w:r>
              <w:rPr>
                <w:w w:val="105"/>
                <w:sz w:val="13"/>
              </w:rPr>
              <w:t>12/387</w:t>
            </w:r>
          </w:p>
        </w:tc>
      </w:tr>
      <w:tr>
        <w:trPr>
          <w:trHeight w:val="189" w:hRule="atLeast"/>
        </w:trPr>
        <w:tc>
          <w:tcPr>
            <w:tcW w:w="1905" w:type="dxa"/>
          </w:tcPr>
          <w:p>
            <w:pPr>
              <w:pStyle w:val="TableParagraph"/>
              <w:spacing w:line="153" w:lineRule="exact" w:before="16"/>
              <w:ind w:left="59"/>
              <w:rPr>
                <w:sz w:val="13"/>
              </w:rPr>
            </w:pPr>
            <w:r>
              <w:rPr>
                <w:w w:val="105"/>
                <w:sz w:val="13"/>
              </w:rPr>
              <w:t>AGUAS</w:t>
            </w:r>
          </w:p>
        </w:tc>
        <w:tc>
          <w:tcPr>
            <w:tcW w:w="5604" w:type="dxa"/>
          </w:tcPr>
          <w:p>
            <w:pPr>
              <w:pStyle w:val="TableParagraph"/>
              <w:spacing w:line="153" w:lineRule="exact" w:before="16"/>
              <w:ind w:left="57"/>
              <w:rPr>
                <w:sz w:val="13"/>
              </w:rPr>
            </w:pPr>
            <w:r>
              <w:rPr>
                <w:w w:val="105"/>
                <w:sz w:val="13"/>
              </w:rPr>
              <w:t>MEJORA Y AMPLIACIÓN DE LA DEPURADORA DE TAZACORTE</w:t>
            </w:r>
          </w:p>
        </w:tc>
        <w:tc>
          <w:tcPr>
            <w:tcW w:w="746" w:type="dxa"/>
          </w:tcPr>
          <w:p>
            <w:pPr>
              <w:pStyle w:val="TableParagraph"/>
              <w:spacing w:line="153" w:lineRule="exact" w:before="16"/>
              <w:ind w:left="173"/>
              <w:rPr>
                <w:sz w:val="13"/>
              </w:rPr>
            </w:pPr>
            <w:r>
              <w:rPr>
                <w:w w:val="105"/>
                <w:sz w:val="13"/>
              </w:rPr>
              <w:t>12/821</w:t>
            </w:r>
          </w:p>
        </w:tc>
      </w:tr>
      <w:tr>
        <w:trPr>
          <w:trHeight w:val="189" w:hRule="atLeast"/>
        </w:trPr>
        <w:tc>
          <w:tcPr>
            <w:tcW w:w="1905" w:type="dxa"/>
          </w:tcPr>
          <w:p>
            <w:pPr>
              <w:pStyle w:val="TableParagraph"/>
              <w:spacing w:line="153" w:lineRule="exact" w:before="16"/>
              <w:ind w:left="59"/>
              <w:rPr>
                <w:sz w:val="13"/>
              </w:rPr>
            </w:pPr>
            <w:r>
              <w:rPr>
                <w:w w:val="105"/>
                <w:sz w:val="13"/>
              </w:rPr>
              <w:t>SERVICIO CANARIO DE LA SALUD</w:t>
            </w:r>
          </w:p>
        </w:tc>
        <w:tc>
          <w:tcPr>
            <w:tcW w:w="5604" w:type="dxa"/>
          </w:tcPr>
          <w:p>
            <w:pPr>
              <w:pStyle w:val="TableParagraph"/>
              <w:spacing w:line="153" w:lineRule="exact" w:before="16"/>
              <w:ind w:left="57"/>
              <w:rPr>
                <w:sz w:val="13"/>
              </w:rPr>
            </w:pPr>
            <w:r>
              <w:rPr>
                <w:w w:val="105"/>
                <w:sz w:val="13"/>
              </w:rPr>
              <w:t>CENTRO DE SALUD LAS CHAFIRAS (EXP. 23/T/18/OB/CO/A/117 C6 F51)</w:t>
            </w:r>
          </w:p>
        </w:tc>
        <w:tc>
          <w:tcPr>
            <w:tcW w:w="746" w:type="dxa"/>
          </w:tcPr>
          <w:p>
            <w:pPr>
              <w:pStyle w:val="TableParagraph"/>
              <w:spacing w:line="153" w:lineRule="exact" w:before="16"/>
              <w:ind w:left="173"/>
              <w:rPr>
                <w:sz w:val="13"/>
              </w:rPr>
            </w:pPr>
            <w:r>
              <w:rPr>
                <w:w w:val="105"/>
                <w:sz w:val="13"/>
              </w:rPr>
              <w:t>21/550</w:t>
            </w:r>
          </w:p>
        </w:tc>
      </w:tr>
      <w:tr>
        <w:trPr>
          <w:trHeight w:val="189" w:hRule="atLeast"/>
        </w:trPr>
        <w:tc>
          <w:tcPr>
            <w:tcW w:w="1905" w:type="dxa"/>
          </w:tcPr>
          <w:p>
            <w:pPr>
              <w:pStyle w:val="TableParagraph"/>
              <w:spacing w:line="153" w:lineRule="exact" w:before="16"/>
              <w:ind w:left="59"/>
              <w:rPr>
                <w:sz w:val="13"/>
              </w:rPr>
            </w:pPr>
            <w:r>
              <w:rPr>
                <w:w w:val="105"/>
                <w:sz w:val="13"/>
              </w:rPr>
              <w:t>EDUCACIÓN</w:t>
            </w:r>
          </w:p>
        </w:tc>
        <w:tc>
          <w:tcPr>
            <w:tcW w:w="5604" w:type="dxa"/>
          </w:tcPr>
          <w:p>
            <w:pPr>
              <w:pStyle w:val="TableParagraph"/>
              <w:spacing w:line="153" w:lineRule="exact" w:before="16"/>
              <w:ind w:left="57"/>
              <w:rPr>
                <w:sz w:val="13"/>
              </w:rPr>
            </w:pPr>
            <w:r>
              <w:rPr>
                <w:w w:val="105"/>
                <w:sz w:val="13"/>
              </w:rPr>
              <w:t>AMPLIACIÓN Y REFORMA A 18 UNIDADES DEL CEIP EL CARDÓN” EN VECINDARIO</w:t>
            </w:r>
          </w:p>
        </w:tc>
        <w:tc>
          <w:tcPr>
            <w:tcW w:w="746" w:type="dxa"/>
          </w:tcPr>
          <w:p>
            <w:pPr>
              <w:pStyle w:val="TableParagraph"/>
              <w:spacing w:line="153" w:lineRule="exact" w:before="16"/>
              <w:ind w:left="173"/>
              <w:rPr>
                <w:sz w:val="13"/>
              </w:rPr>
            </w:pPr>
            <w:r>
              <w:rPr>
                <w:w w:val="105"/>
                <w:sz w:val="13"/>
              </w:rPr>
              <w:t>21/580</w:t>
            </w:r>
          </w:p>
        </w:tc>
      </w:tr>
      <w:tr>
        <w:trPr>
          <w:trHeight w:val="187" w:hRule="atLeast"/>
        </w:trPr>
        <w:tc>
          <w:tcPr>
            <w:tcW w:w="1905" w:type="dxa"/>
          </w:tcPr>
          <w:p>
            <w:pPr>
              <w:pStyle w:val="TableParagraph"/>
              <w:spacing w:line="153" w:lineRule="exact" w:before="14"/>
              <w:ind w:left="59"/>
              <w:rPr>
                <w:sz w:val="13"/>
              </w:rPr>
            </w:pPr>
            <w:r>
              <w:rPr>
                <w:w w:val="105"/>
                <w:sz w:val="13"/>
              </w:rPr>
              <w:t>TRANSICIÓN ECOLÓGICA</w:t>
            </w:r>
          </w:p>
        </w:tc>
        <w:tc>
          <w:tcPr>
            <w:tcW w:w="5604" w:type="dxa"/>
          </w:tcPr>
          <w:p>
            <w:pPr>
              <w:pStyle w:val="TableParagraph"/>
              <w:spacing w:line="153" w:lineRule="exact" w:before="14"/>
              <w:ind w:left="57"/>
              <w:rPr>
                <w:sz w:val="13"/>
              </w:rPr>
            </w:pPr>
            <w:r>
              <w:rPr>
                <w:w w:val="105"/>
                <w:sz w:val="13"/>
              </w:rPr>
              <w:t>ACTUACIONES DE PREVENCIÓN FRENTE A CATÁSTROFES EN GRAN CANARIA</w:t>
            </w:r>
          </w:p>
        </w:tc>
        <w:tc>
          <w:tcPr>
            <w:tcW w:w="746" w:type="dxa"/>
          </w:tcPr>
          <w:p>
            <w:pPr>
              <w:pStyle w:val="TableParagraph"/>
              <w:spacing w:line="153" w:lineRule="exact" w:before="14"/>
              <w:ind w:left="173"/>
              <w:rPr>
                <w:sz w:val="13"/>
              </w:rPr>
            </w:pPr>
            <w:r>
              <w:rPr>
                <w:w w:val="105"/>
                <w:sz w:val="13"/>
              </w:rPr>
              <w:t>10/734</w:t>
            </w:r>
          </w:p>
        </w:tc>
      </w:tr>
      <w:tr>
        <w:trPr>
          <w:trHeight w:val="326" w:hRule="atLeast"/>
        </w:trPr>
        <w:tc>
          <w:tcPr>
            <w:tcW w:w="1905" w:type="dxa"/>
          </w:tcPr>
          <w:p>
            <w:pPr>
              <w:pStyle w:val="TableParagraph"/>
              <w:spacing w:before="85"/>
              <w:ind w:left="59"/>
              <w:rPr>
                <w:sz w:val="13"/>
              </w:rPr>
            </w:pPr>
            <w:r>
              <w:rPr>
                <w:w w:val="105"/>
                <w:sz w:val="13"/>
              </w:rPr>
              <w:t>SERVICIO CANARIO DE LA SALUD</w:t>
            </w:r>
          </w:p>
        </w:tc>
        <w:tc>
          <w:tcPr>
            <w:tcW w:w="5604" w:type="dxa"/>
          </w:tcPr>
          <w:p>
            <w:pPr>
              <w:pStyle w:val="TableParagraph"/>
              <w:spacing w:before="4"/>
              <w:ind w:left="57"/>
              <w:rPr>
                <w:sz w:val="13"/>
              </w:rPr>
            </w:pPr>
            <w:r>
              <w:rPr>
                <w:w w:val="105"/>
                <w:sz w:val="13"/>
              </w:rPr>
              <w:t>CENTRO DE SALUD PUERTO DEL ROSARIO DE DIRECCIÓN DE ÁREA Y LABORATORIO DE SALUD</w:t>
            </w:r>
          </w:p>
          <w:p>
            <w:pPr>
              <w:pStyle w:val="TableParagraph"/>
              <w:spacing w:line="139" w:lineRule="exact" w:before="4"/>
              <w:ind w:left="57"/>
              <w:rPr>
                <w:sz w:val="13"/>
              </w:rPr>
            </w:pPr>
            <w:r>
              <w:rPr>
                <w:w w:val="105"/>
                <w:sz w:val="13"/>
              </w:rPr>
              <w:t>PÚBLICA.</w:t>
            </w:r>
          </w:p>
        </w:tc>
        <w:tc>
          <w:tcPr>
            <w:tcW w:w="746" w:type="dxa"/>
          </w:tcPr>
          <w:p>
            <w:pPr>
              <w:pStyle w:val="TableParagraph"/>
              <w:spacing w:before="85"/>
              <w:ind w:left="173"/>
              <w:rPr>
                <w:sz w:val="13"/>
              </w:rPr>
            </w:pPr>
            <w:r>
              <w:rPr>
                <w:w w:val="105"/>
                <w:sz w:val="13"/>
              </w:rPr>
              <w:t>09/238</w:t>
            </w:r>
          </w:p>
        </w:tc>
      </w:tr>
      <w:tr>
        <w:trPr>
          <w:trHeight w:val="189" w:hRule="atLeast"/>
        </w:trPr>
        <w:tc>
          <w:tcPr>
            <w:tcW w:w="1905" w:type="dxa"/>
          </w:tcPr>
          <w:p>
            <w:pPr>
              <w:pStyle w:val="TableParagraph"/>
              <w:spacing w:line="153" w:lineRule="exact" w:before="16"/>
              <w:ind w:left="59"/>
              <w:rPr>
                <w:sz w:val="13"/>
              </w:rPr>
            </w:pPr>
            <w:r>
              <w:rPr>
                <w:w w:val="105"/>
                <w:sz w:val="13"/>
              </w:rPr>
              <w:t>SERVICIO CANARIO DE LA SALUD</w:t>
            </w:r>
          </w:p>
        </w:tc>
        <w:tc>
          <w:tcPr>
            <w:tcW w:w="5604" w:type="dxa"/>
          </w:tcPr>
          <w:p>
            <w:pPr>
              <w:pStyle w:val="TableParagraph"/>
              <w:spacing w:line="153" w:lineRule="exact" w:before="16"/>
              <w:ind w:left="57"/>
              <w:rPr>
                <w:sz w:val="13"/>
              </w:rPr>
            </w:pPr>
            <w:r>
              <w:rPr>
                <w:w w:val="105"/>
                <w:sz w:val="13"/>
              </w:rPr>
              <w:t>CONSULTORIO LOCAL PLAYA DE ARINAGA</w:t>
            </w:r>
          </w:p>
        </w:tc>
        <w:tc>
          <w:tcPr>
            <w:tcW w:w="746" w:type="dxa"/>
          </w:tcPr>
          <w:p>
            <w:pPr>
              <w:pStyle w:val="TableParagraph"/>
              <w:spacing w:line="153" w:lineRule="exact" w:before="16"/>
              <w:ind w:left="173"/>
              <w:rPr>
                <w:sz w:val="13"/>
              </w:rPr>
            </w:pPr>
            <w:r>
              <w:rPr>
                <w:w w:val="105"/>
                <w:sz w:val="13"/>
              </w:rPr>
              <w:t>09/673</w:t>
            </w:r>
          </w:p>
        </w:tc>
      </w:tr>
      <w:tr>
        <w:trPr>
          <w:trHeight w:val="189" w:hRule="atLeast"/>
        </w:trPr>
        <w:tc>
          <w:tcPr>
            <w:tcW w:w="1905" w:type="dxa"/>
          </w:tcPr>
          <w:p>
            <w:pPr>
              <w:pStyle w:val="TableParagraph"/>
              <w:spacing w:line="153" w:lineRule="exact" w:before="16"/>
              <w:ind w:left="59"/>
              <w:rPr>
                <w:sz w:val="13"/>
              </w:rPr>
            </w:pPr>
            <w:r>
              <w:rPr>
                <w:w w:val="105"/>
                <w:sz w:val="13"/>
              </w:rPr>
              <w:t>SERVICIO CANARIO DE LA SALUD</w:t>
            </w:r>
          </w:p>
        </w:tc>
        <w:tc>
          <w:tcPr>
            <w:tcW w:w="5604" w:type="dxa"/>
          </w:tcPr>
          <w:p>
            <w:pPr>
              <w:pStyle w:val="TableParagraph"/>
              <w:spacing w:line="153" w:lineRule="exact" w:before="16"/>
              <w:ind w:left="57"/>
              <w:rPr>
                <w:sz w:val="13"/>
              </w:rPr>
            </w:pPr>
            <w:r>
              <w:rPr>
                <w:w w:val="105"/>
                <w:sz w:val="13"/>
              </w:rPr>
              <w:t>CENTRO DE SALUD DE GRAN TARAJAL Y MODIFICADO 1º</w:t>
            </w:r>
          </w:p>
        </w:tc>
        <w:tc>
          <w:tcPr>
            <w:tcW w:w="746" w:type="dxa"/>
          </w:tcPr>
          <w:p>
            <w:pPr>
              <w:pStyle w:val="TableParagraph"/>
              <w:spacing w:line="153" w:lineRule="exact" w:before="16"/>
              <w:ind w:left="173"/>
              <w:rPr>
                <w:sz w:val="13"/>
              </w:rPr>
            </w:pPr>
            <w:r>
              <w:rPr>
                <w:w w:val="105"/>
                <w:sz w:val="13"/>
              </w:rPr>
              <w:t>09/797</w:t>
            </w:r>
          </w:p>
        </w:tc>
      </w:tr>
      <w:tr>
        <w:trPr>
          <w:trHeight w:val="326" w:hRule="atLeast"/>
        </w:trPr>
        <w:tc>
          <w:tcPr>
            <w:tcW w:w="1905" w:type="dxa"/>
          </w:tcPr>
          <w:p>
            <w:pPr>
              <w:pStyle w:val="TableParagraph"/>
              <w:spacing w:before="85"/>
              <w:ind w:left="59"/>
              <w:rPr>
                <w:sz w:val="13"/>
              </w:rPr>
            </w:pPr>
            <w:r>
              <w:rPr>
                <w:w w:val="105"/>
                <w:sz w:val="13"/>
              </w:rPr>
              <w:t>TRANSICIÓN ECOLÓGICA</w:t>
            </w:r>
          </w:p>
        </w:tc>
        <w:tc>
          <w:tcPr>
            <w:tcW w:w="5604" w:type="dxa"/>
          </w:tcPr>
          <w:p>
            <w:pPr>
              <w:pStyle w:val="TableParagraph"/>
              <w:spacing w:before="2"/>
              <w:ind w:left="57"/>
              <w:rPr>
                <w:sz w:val="13"/>
              </w:rPr>
            </w:pPr>
            <w:r>
              <w:rPr>
                <w:w w:val="105"/>
                <w:sz w:val="13"/>
              </w:rPr>
              <w:t>ACTUACIONES AMBIENTALES Y CONSORCIO EN LA ISLA DE LA GRACIOSA. 1º FASE DE LA VÍA DE</w:t>
            </w:r>
          </w:p>
          <w:p>
            <w:pPr>
              <w:pStyle w:val="TableParagraph"/>
              <w:spacing w:line="141" w:lineRule="exact" w:before="4"/>
              <w:ind w:left="57"/>
              <w:rPr>
                <w:sz w:val="13"/>
              </w:rPr>
            </w:pPr>
            <w:r>
              <w:rPr>
                <w:w w:val="105"/>
                <w:sz w:val="13"/>
              </w:rPr>
              <w:t>BORDE AL NÚCLEO URBANO DE CALETA DEL SEBO</w:t>
            </w:r>
          </w:p>
        </w:tc>
        <w:tc>
          <w:tcPr>
            <w:tcW w:w="746" w:type="dxa"/>
          </w:tcPr>
          <w:p>
            <w:pPr>
              <w:pStyle w:val="TableParagraph"/>
              <w:spacing w:before="85"/>
              <w:ind w:left="173"/>
              <w:rPr>
                <w:sz w:val="13"/>
              </w:rPr>
            </w:pPr>
            <w:r>
              <w:rPr>
                <w:w w:val="105"/>
                <w:sz w:val="13"/>
              </w:rPr>
              <w:t>09/983</w:t>
            </w:r>
          </w:p>
        </w:tc>
      </w:tr>
      <w:tr>
        <w:trPr>
          <w:trHeight w:val="189" w:hRule="atLeast"/>
        </w:trPr>
        <w:tc>
          <w:tcPr>
            <w:tcW w:w="1905" w:type="dxa"/>
          </w:tcPr>
          <w:p>
            <w:pPr>
              <w:pStyle w:val="TableParagraph"/>
              <w:spacing w:line="153" w:lineRule="exact" w:before="16"/>
              <w:ind w:left="59"/>
              <w:rPr>
                <w:sz w:val="13"/>
              </w:rPr>
            </w:pPr>
            <w:r>
              <w:rPr>
                <w:w w:val="105"/>
                <w:sz w:val="13"/>
              </w:rPr>
              <w:t>EDUCACIÓN</w:t>
            </w:r>
          </w:p>
        </w:tc>
        <w:tc>
          <w:tcPr>
            <w:tcW w:w="5604" w:type="dxa"/>
          </w:tcPr>
          <w:p>
            <w:pPr>
              <w:pStyle w:val="TableParagraph"/>
              <w:spacing w:line="153" w:lineRule="exact" w:before="16"/>
              <w:ind w:left="57"/>
              <w:rPr>
                <w:sz w:val="13"/>
              </w:rPr>
            </w:pPr>
            <w:r>
              <w:rPr>
                <w:w w:val="105"/>
                <w:sz w:val="13"/>
              </w:rPr>
              <w:t>I.E.S. DE 20 UDS. EN FABELO (FUERTEVENTURA).</w:t>
            </w:r>
          </w:p>
        </w:tc>
        <w:tc>
          <w:tcPr>
            <w:tcW w:w="746" w:type="dxa"/>
          </w:tcPr>
          <w:p>
            <w:pPr>
              <w:pStyle w:val="TableParagraph"/>
              <w:spacing w:line="153" w:lineRule="exact" w:before="16"/>
              <w:ind w:left="173"/>
              <w:rPr>
                <w:sz w:val="13"/>
              </w:rPr>
            </w:pPr>
            <w:r>
              <w:rPr>
                <w:w w:val="105"/>
                <w:sz w:val="13"/>
              </w:rPr>
              <w:t>10/097</w:t>
            </w:r>
          </w:p>
        </w:tc>
      </w:tr>
      <w:tr>
        <w:trPr>
          <w:trHeight w:val="324" w:hRule="atLeast"/>
        </w:trPr>
        <w:tc>
          <w:tcPr>
            <w:tcW w:w="1905" w:type="dxa"/>
          </w:tcPr>
          <w:p>
            <w:pPr>
              <w:pStyle w:val="TableParagraph"/>
              <w:spacing w:before="82"/>
              <w:ind w:left="59"/>
              <w:rPr>
                <w:sz w:val="13"/>
              </w:rPr>
            </w:pPr>
            <w:r>
              <w:rPr>
                <w:w w:val="105"/>
                <w:sz w:val="13"/>
              </w:rPr>
              <w:t>SERVICIO CANARIO DE LA SALUD</w:t>
            </w:r>
          </w:p>
        </w:tc>
        <w:tc>
          <w:tcPr>
            <w:tcW w:w="5604" w:type="dxa"/>
          </w:tcPr>
          <w:p>
            <w:pPr>
              <w:pStyle w:val="TableParagraph"/>
              <w:spacing w:before="2"/>
              <w:ind w:left="57"/>
              <w:rPr>
                <w:sz w:val="13"/>
              </w:rPr>
            </w:pPr>
            <w:r>
              <w:rPr>
                <w:w w:val="105"/>
                <w:sz w:val="13"/>
              </w:rPr>
              <w:t>AMPLIACIÓN Y REMODELACIÓN DEL HOSPITAL UNIVERSITARIO INSULAR DE GRAN CANARIA, FASE II</w:t>
            </w:r>
          </w:p>
          <w:p>
            <w:pPr>
              <w:pStyle w:val="TableParagraph"/>
              <w:spacing w:line="139" w:lineRule="exact" w:before="4"/>
              <w:ind w:left="57"/>
              <w:rPr>
                <w:sz w:val="13"/>
              </w:rPr>
            </w:pPr>
            <w:r>
              <w:rPr>
                <w:w w:val="105"/>
                <w:sz w:val="13"/>
              </w:rPr>
              <w:t>B (17-05-CON) LAS PALMAS DE GRAN CANARIA</w:t>
            </w:r>
          </w:p>
        </w:tc>
        <w:tc>
          <w:tcPr>
            <w:tcW w:w="746" w:type="dxa"/>
          </w:tcPr>
          <w:p>
            <w:pPr>
              <w:pStyle w:val="TableParagraph"/>
              <w:spacing w:before="82"/>
              <w:ind w:left="173"/>
              <w:rPr>
                <w:sz w:val="13"/>
              </w:rPr>
            </w:pPr>
            <w:r>
              <w:rPr>
                <w:w w:val="105"/>
                <w:sz w:val="13"/>
              </w:rPr>
              <w:t>10/791</w:t>
            </w:r>
          </w:p>
        </w:tc>
      </w:tr>
      <w:tr>
        <w:trPr>
          <w:trHeight w:val="326" w:hRule="atLeast"/>
        </w:trPr>
        <w:tc>
          <w:tcPr>
            <w:tcW w:w="1905" w:type="dxa"/>
          </w:tcPr>
          <w:p>
            <w:pPr>
              <w:pStyle w:val="TableParagraph"/>
              <w:spacing w:before="85"/>
              <w:ind w:left="59"/>
              <w:rPr>
                <w:sz w:val="13"/>
              </w:rPr>
            </w:pPr>
            <w:r>
              <w:rPr>
                <w:w w:val="105"/>
                <w:sz w:val="13"/>
              </w:rPr>
              <w:t>SERVICIO CANARIO DE LA SALUD</w:t>
            </w:r>
          </w:p>
        </w:tc>
        <w:tc>
          <w:tcPr>
            <w:tcW w:w="5604" w:type="dxa"/>
          </w:tcPr>
          <w:p>
            <w:pPr>
              <w:pStyle w:val="TableParagraph"/>
              <w:spacing w:before="4"/>
              <w:ind w:left="57"/>
              <w:rPr>
                <w:sz w:val="13"/>
              </w:rPr>
            </w:pPr>
            <w:r>
              <w:rPr>
                <w:w w:val="105"/>
                <w:sz w:val="13"/>
              </w:rPr>
              <w:t>AMPLIACIÓN Y REMODELACIÓN DEL HOSPITAL UNIVERSITARIO INSULAR DE GRAN CANARIA, FASE II</w:t>
            </w:r>
          </w:p>
          <w:p>
            <w:pPr>
              <w:pStyle w:val="TableParagraph"/>
              <w:spacing w:line="139" w:lineRule="exact" w:before="4"/>
              <w:ind w:left="57"/>
              <w:rPr>
                <w:sz w:val="13"/>
              </w:rPr>
            </w:pPr>
            <w:r>
              <w:rPr>
                <w:w w:val="105"/>
                <w:sz w:val="13"/>
              </w:rPr>
              <w:t>B (17-05-CON) LAS PALMAS DE GRAN CANARIA. COMPLEMENTARIO Nº 1</w:t>
            </w:r>
          </w:p>
        </w:tc>
        <w:tc>
          <w:tcPr>
            <w:tcW w:w="746" w:type="dxa"/>
          </w:tcPr>
          <w:p>
            <w:pPr>
              <w:pStyle w:val="TableParagraph"/>
              <w:spacing w:before="85"/>
              <w:ind w:left="173"/>
              <w:rPr>
                <w:sz w:val="13"/>
              </w:rPr>
            </w:pPr>
            <w:r>
              <w:rPr>
                <w:w w:val="105"/>
                <w:sz w:val="13"/>
              </w:rPr>
              <w:t>10/792</w:t>
            </w:r>
          </w:p>
        </w:tc>
      </w:tr>
      <w:tr>
        <w:trPr>
          <w:trHeight w:val="189" w:hRule="atLeast"/>
        </w:trPr>
        <w:tc>
          <w:tcPr>
            <w:tcW w:w="1905" w:type="dxa"/>
          </w:tcPr>
          <w:p>
            <w:pPr>
              <w:pStyle w:val="TableParagraph"/>
              <w:spacing w:line="153" w:lineRule="exact" w:before="16"/>
              <w:ind w:left="59"/>
              <w:rPr>
                <w:sz w:val="13"/>
              </w:rPr>
            </w:pPr>
            <w:r>
              <w:rPr>
                <w:w w:val="105"/>
                <w:sz w:val="13"/>
              </w:rPr>
              <w:t>TURISMO</w:t>
            </w:r>
          </w:p>
        </w:tc>
        <w:tc>
          <w:tcPr>
            <w:tcW w:w="5604" w:type="dxa"/>
          </w:tcPr>
          <w:p>
            <w:pPr>
              <w:pStyle w:val="TableParagraph"/>
              <w:spacing w:line="153" w:lineRule="exact" w:before="16"/>
              <w:ind w:left="57"/>
              <w:rPr>
                <w:sz w:val="13"/>
              </w:rPr>
            </w:pPr>
            <w:r>
              <w:rPr>
                <w:w w:val="105"/>
                <w:sz w:val="13"/>
              </w:rPr>
              <w:t>PAVIMENTACIÓN DEL ENTORNO DE LA CATEDRAL T.M. LAS PALMAS DE G.C.</w:t>
            </w:r>
          </w:p>
        </w:tc>
        <w:tc>
          <w:tcPr>
            <w:tcW w:w="746" w:type="dxa"/>
          </w:tcPr>
          <w:p>
            <w:pPr>
              <w:pStyle w:val="TableParagraph"/>
              <w:spacing w:line="153" w:lineRule="exact" w:before="16"/>
              <w:ind w:left="173"/>
              <w:rPr>
                <w:sz w:val="13"/>
              </w:rPr>
            </w:pPr>
            <w:r>
              <w:rPr>
                <w:w w:val="105"/>
                <w:sz w:val="13"/>
              </w:rPr>
              <w:t>11/330</w:t>
            </w:r>
          </w:p>
        </w:tc>
      </w:tr>
      <w:tr>
        <w:trPr>
          <w:trHeight w:val="189" w:hRule="atLeast"/>
        </w:trPr>
        <w:tc>
          <w:tcPr>
            <w:tcW w:w="1905" w:type="dxa"/>
          </w:tcPr>
          <w:p>
            <w:pPr>
              <w:pStyle w:val="TableParagraph"/>
              <w:spacing w:line="153" w:lineRule="exact" w:before="16"/>
              <w:ind w:left="59"/>
              <w:rPr>
                <w:sz w:val="13"/>
              </w:rPr>
            </w:pPr>
            <w:r>
              <w:rPr>
                <w:w w:val="105"/>
                <w:sz w:val="13"/>
              </w:rPr>
              <w:t>TURISMO</w:t>
            </w:r>
          </w:p>
        </w:tc>
        <w:tc>
          <w:tcPr>
            <w:tcW w:w="5604" w:type="dxa"/>
          </w:tcPr>
          <w:p>
            <w:pPr>
              <w:pStyle w:val="TableParagraph"/>
              <w:spacing w:line="153" w:lineRule="exact" w:before="16"/>
              <w:ind w:left="57"/>
              <w:rPr>
                <w:sz w:val="13"/>
              </w:rPr>
            </w:pPr>
            <w:r>
              <w:rPr>
                <w:w w:val="105"/>
                <w:sz w:val="13"/>
              </w:rPr>
              <w:t>URBANIZACIÓN AVDA. FAMILIA BETANCOURT Y MOLINA EN EL PUERTO DE LA CRUZ</w:t>
            </w:r>
          </w:p>
        </w:tc>
        <w:tc>
          <w:tcPr>
            <w:tcW w:w="746" w:type="dxa"/>
          </w:tcPr>
          <w:p>
            <w:pPr>
              <w:pStyle w:val="TableParagraph"/>
              <w:spacing w:line="153" w:lineRule="exact" w:before="16"/>
              <w:ind w:left="138"/>
              <w:rPr>
                <w:sz w:val="13"/>
              </w:rPr>
            </w:pPr>
            <w:r>
              <w:rPr>
                <w:w w:val="105"/>
                <w:sz w:val="13"/>
              </w:rPr>
              <w:t>12/1384</w:t>
            </w:r>
          </w:p>
        </w:tc>
      </w:tr>
      <w:tr>
        <w:trPr>
          <w:trHeight w:val="189" w:hRule="atLeast"/>
        </w:trPr>
        <w:tc>
          <w:tcPr>
            <w:tcW w:w="1905" w:type="dxa"/>
          </w:tcPr>
          <w:p>
            <w:pPr>
              <w:pStyle w:val="TableParagraph"/>
              <w:spacing w:line="153" w:lineRule="exact" w:before="16"/>
              <w:ind w:left="59"/>
              <w:rPr>
                <w:sz w:val="13"/>
              </w:rPr>
            </w:pPr>
            <w:r>
              <w:rPr>
                <w:w w:val="105"/>
                <w:sz w:val="13"/>
              </w:rPr>
              <w:t>TURISMO</w:t>
            </w:r>
          </w:p>
        </w:tc>
        <w:tc>
          <w:tcPr>
            <w:tcW w:w="5604" w:type="dxa"/>
          </w:tcPr>
          <w:p>
            <w:pPr>
              <w:pStyle w:val="TableParagraph"/>
              <w:spacing w:line="153" w:lineRule="exact" w:before="16"/>
              <w:ind w:left="57"/>
              <w:rPr>
                <w:sz w:val="13"/>
              </w:rPr>
            </w:pPr>
            <w:r>
              <w:rPr>
                <w:w w:val="105"/>
                <w:sz w:val="13"/>
              </w:rPr>
              <w:t>REHABILITACIÓN DEL CENTRO DE INTERPRETACIÓN Y VISITANTES CASA LOS SALL</w:t>
            </w:r>
          </w:p>
        </w:tc>
        <w:tc>
          <w:tcPr>
            <w:tcW w:w="746" w:type="dxa"/>
          </w:tcPr>
          <w:p>
            <w:pPr>
              <w:pStyle w:val="TableParagraph"/>
              <w:spacing w:line="153" w:lineRule="exact" w:before="16"/>
              <w:ind w:left="173"/>
              <w:rPr>
                <w:sz w:val="13"/>
              </w:rPr>
            </w:pPr>
            <w:r>
              <w:rPr>
                <w:w w:val="105"/>
                <w:sz w:val="13"/>
              </w:rPr>
              <w:t>12/739</w:t>
            </w:r>
          </w:p>
        </w:tc>
      </w:tr>
      <w:tr>
        <w:trPr>
          <w:trHeight w:val="187" w:hRule="atLeast"/>
        </w:trPr>
        <w:tc>
          <w:tcPr>
            <w:tcW w:w="1905" w:type="dxa"/>
          </w:tcPr>
          <w:p>
            <w:pPr>
              <w:pStyle w:val="TableParagraph"/>
              <w:spacing w:line="153" w:lineRule="exact" w:before="14"/>
              <w:ind w:left="59"/>
              <w:rPr>
                <w:sz w:val="13"/>
              </w:rPr>
            </w:pPr>
            <w:r>
              <w:rPr>
                <w:w w:val="105"/>
                <w:sz w:val="13"/>
              </w:rPr>
              <w:t>TURISMO</w:t>
            </w:r>
          </w:p>
        </w:tc>
        <w:tc>
          <w:tcPr>
            <w:tcW w:w="5604" w:type="dxa"/>
          </w:tcPr>
          <w:p>
            <w:pPr>
              <w:pStyle w:val="TableParagraph"/>
              <w:spacing w:line="153" w:lineRule="exact" w:before="14"/>
              <w:ind w:left="57"/>
              <w:rPr>
                <w:sz w:val="13"/>
              </w:rPr>
            </w:pPr>
            <w:r>
              <w:rPr>
                <w:w w:val="105"/>
                <w:sz w:val="13"/>
              </w:rPr>
              <w:t>AVDA. NTRA. SRA. DEL CARMEN EN CORRALEJO, FASE I</w:t>
            </w:r>
          </w:p>
        </w:tc>
        <w:tc>
          <w:tcPr>
            <w:tcW w:w="746" w:type="dxa"/>
          </w:tcPr>
          <w:p>
            <w:pPr>
              <w:pStyle w:val="TableParagraph"/>
              <w:spacing w:line="153" w:lineRule="exact" w:before="14"/>
              <w:ind w:left="173"/>
              <w:rPr>
                <w:sz w:val="13"/>
              </w:rPr>
            </w:pPr>
            <w:r>
              <w:rPr>
                <w:w w:val="105"/>
                <w:sz w:val="13"/>
              </w:rPr>
              <w:t>13/219</w:t>
            </w:r>
          </w:p>
        </w:tc>
      </w:tr>
      <w:tr>
        <w:trPr>
          <w:trHeight w:val="189" w:hRule="atLeast"/>
        </w:trPr>
        <w:tc>
          <w:tcPr>
            <w:tcW w:w="1905" w:type="dxa"/>
          </w:tcPr>
          <w:p>
            <w:pPr>
              <w:pStyle w:val="TableParagraph"/>
              <w:spacing w:line="153" w:lineRule="exact" w:before="16"/>
              <w:ind w:left="59"/>
              <w:rPr>
                <w:sz w:val="13"/>
              </w:rPr>
            </w:pPr>
            <w:r>
              <w:rPr>
                <w:w w:val="105"/>
                <w:sz w:val="13"/>
              </w:rPr>
              <w:t>EDUCACIÓN</w:t>
            </w:r>
          </w:p>
        </w:tc>
        <w:tc>
          <w:tcPr>
            <w:tcW w:w="5604" w:type="dxa"/>
          </w:tcPr>
          <w:p>
            <w:pPr>
              <w:pStyle w:val="TableParagraph"/>
              <w:spacing w:line="153" w:lineRule="exact" w:before="16"/>
              <w:ind w:left="57"/>
              <w:rPr>
                <w:sz w:val="13"/>
              </w:rPr>
            </w:pPr>
            <w:r>
              <w:rPr>
                <w:w w:val="105"/>
                <w:sz w:val="13"/>
              </w:rPr>
              <w:t>CONSTRUCCIÓN CEO DE 26 UDDS. MOTOR GRANDE</w:t>
            </w:r>
          </w:p>
        </w:tc>
        <w:tc>
          <w:tcPr>
            <w:tcW w:w="746" w:type="dxa"/>
          </w:tcPr>
          <w:p>
            <w:pPr>
              <w:pStyle w:val="TableParagraph"/>
              <w:spacing w:line="153" w:lineRule="exact" w:before="16"/>
              <w:ind w:left="173"/>
              <w:rPr>
                <w:sz w:val="13"/>
              </w:rPr>
            </w:pPr>
            <w:r>
              <w:rPr>
                <w:w w:val="105"/>
                <w:sz w:val="13"/>
              </w:rPr>
              <w:t>13/985</w:t>
            </w:r>
          </w:p>
        </w:tc>
      </w:tr>
      <w:tr>
        <w:trPr>
          <w:trHeight w:val="189" w:hRule="atLeast"/>
        </w:trPr>
        <w:tc>
          <w:tcPr>
            <w:tcW w:w="1905" w:type="dxa"/>
          </w:tcPr>
          <w:p>
            <w:pPr>
              <w:pStyle w:val="TableParagraph"/>
              <w:spacing w:line="153" w:lineRule="exact" w:before="16"/>
              <w:ind w:left="59"/>
              <w:rPr>
                <w:sz w:val="13"/>
              </w:rPr>
            </w:pPr>
            <w:r>
              <w:rPr>
                <w:w w:val="105"/>
                <w:sz w:val="13"/>
              </w:rPr>
              <w:t>TURISMO</w:t>
            </w:r>
          </w:p>
        </w:tc>
        <w:tc>
          <w:tcPr>
            <w:tcW w:w="5604" w:type="dxa"/>
          </w:tcPr>
          <w:p>
            <w:pPr>
              <w:pStyle w:val="TableParagraph"/>
              <w:spacing w:line="153" w:lineRule="exact" w:before="16"/>
              <w:ind w:left="57"/>
              <w:rPr>
                <w:sz w:val="13"/>
              </w:rPr>
            </w:pPr>
            <w:r>
              <w:rPr>
                <w:w w:val="105"/>
                <w:sz w:val="13"/>
              </w:rPr>
              <w:t>2ª FASE URBANIZACIÓN AVENIDA DE NUESTRA SEÑORA DEL CARMEN</w:t>
            </w:r>
          </w:p>
        </w:tc>
        <w:tc>
          <w:tcPr>
            <w:tcW w:w="746" w:type="dxa"/>
          </w:tcPr>
          <w:p>
            <w:pPr>
              <w:pStyle w:val="TableParagraph"/>
              <w:spacing w:line="153" w:lineRule="exact" w:before="16"/>
              <w:ind w:left="173"/>
              <w:rPr>
                <w:sz w:val="13"/>
              </w:rPr>
            </w:pPr>
            <w:r>
              <w:rPr>
                <w:w w:val="105"/>
                <w:sz w:val="13"/>
              </w:rPr>
              <w:t>15/844</w:t>
            </w:r>
          </w:p>
        </w:tc>
      </w:tr>
      <w:tr>
        <w:trPr>
          <w:trHeight w:val="326" w:hRule="atLeast"/>
        </w:trPr>
        <w:tc>
          <w:tcPr>
            <w:tcW w:w="1905" w:type="dxa"/>
          </w:tcPr>
          <w:p>
            <w:pPr>
              <w:pStyle w:val="TableParagraph"/>
              <w:spacing w:before="85"/>
              <w:ind w:left="59"/>
              <w:rPr>
                <w:sz w:val="13"/>
              </w:rPr>
            </w:pPr>
            <w:r>
              <w:rPr>
                <w:w w:val="105"/>
                <w:sz w:val="13"/>
              </w:rPr>
              <w:t>AGUAS</w:t>
            </w:r>
          </w:p>
        </w:tc>
        <w:tc>
          <w:tcPr>
            <w:tcW w:w="5604" w:type="dxa"/>
          </w:tcPr>
          <w:p>
            <w:pPr>
              <w:pStyle w:val="TableParagraph"/>
              <w:spacing w:before="2"/>
              <w:ind w:left="57"/>
              <w:rPr>
                <w:sz w:val="13"/>
              </w:rPr>
            </w:pPr>
            <w:r>
              <w:rPr>
                <w:w w:val="105"/>
                <w:sz w:val="13"/>
              </w:rPr>
              <w:t>ANÁLISIS DEL SANEAMIENTO DE TINAJO. PROYECTO DE COLECTORES Y ALTERNATIVAS DE</w:t>
            </w:r>
          </w:p>
          <w:p>
            <w:pPr>
              <w:pStyle w:val="TableParagraph"/>
              <w:spacing w:line="141" w:lineRule="exact" w:before="4"/>
              <w:ind w:left="57"/>
              <w:rPr>
                <w:sz w:val="13"/>
              </w:rPr>
            </w:pPr>
            <w:r>
              <w:rPr>
                <w:w w:val="105"/>
                <w:sz w:val="13"/>
              </w:rPr>
              <w:t>DEPURACIÓN 1º FASE. T.M. DE TINAJO. LANZAROTE</w:t>
            </w:r>
          </w:p>
        </w:tc>
        <w:tc>
          <w:tcPr>
            <w:tcW w:w="746" w:type="dxa"/>
          </w:tcPr>
          <w:p>
            <w:pPr>
              <w:pStyle w:val="TableParagraph"/>
              <w:spacing w:before="85"/>
              <w:ind w:left="173"/>
              <w:rPr>
                <w:sz w:val="13"/>
              </w:rPr>
            </w:pPr>
            <w:r>
              <w:rPr>
                <w:w w:val="105"/>
                <w:sz w:val="13"/>
              </w:rPr>
              <w:t>16/453</w:t>
            </w:r>
          </w:p>
        </w:tc>
      </w:tr>
      <w:tr>
        <w:trPr>
          <w:trHeight w:val="189" w:hRule="atLeast"/>
        </w:trPr>
        <w:tc>
          <w:tcPr>
            <w:tcW w:w="1905" w:type="dxa"/>
          </w:tcPr>
          <w:p>
            <w:pPr>
              <w:pStyle w:val="TableParagraph"/>
              <w:spacing w:line="153" w:lineRule="exact" w:before="16"/>
              <w:ind w:left="59"/>
              <w:rPr>
                <w:sz w:val="13"/>
              </w:rPr>
            </w:pPr>
            <w:r>
              <w:rPr>
                <w:w w:val="105"/>
                <w:sz w:val="13"/>
              </w:rPr>
              <w:t>AGUAS</w:t>
            </w:r>
          </w:p>
        </w:tc>
        <w:tc>
          <w:tcPr>
            <w:tcW w:w="5604" w:type="dxa"/>
          </w:tcPr>
          <w:p>
            <w:pPr>
              <w:pStyle w:val="TableParagraph"/>
              <w:spacing w:line="153" w:lineRule="exact" w:before="16"/>
              <w:ind w:left="57"/>
              <w:rPr>
                <w:sz w:val="13"/>
              </w:rPr>
            </w:pPr>
            <w:r>
              <w:rPr>
                <w:w w:val="105"/>
                <w:sz w:val="13"/>
              </w:rPr>
              <w:t>COMPLEMENTARIO Nº 1 DEL SISTEMA HIDRÁULICO DE LA VIÑA. FASE 2ª, BALSA DE VICARIO</w:t>
            </w:r>
          </w:p>
        </w:tc>
        <w:tc>
          <w:tcPr>
            <w:tcW w:w="746" w:type="dxa"/>
          </w:tcPr>
          <w:p>
            <w:pPr>
              <w:pStyle w:val="TableParagraph"/>
              <w:spacing w:line="153" w:lineRule="exact" w:before="16"/>
              <w:ind w:left="173"/>
              <w:rPr>
                <w:sz w:val="13"/>
              </w:rPr>
            </w:pPr>
            <w:r>
              <w:rPr>
                <w:w w:val="105"/>
                <w:sz w:val="13"/>
              </w:rPr>
              <w:t>16/409</w:t>
            </w:r>
          </w:p>
        </w:tc>
      </w:tr>
      <w:tr>
        <w:trPr>
          <w:trHeight w:val="324" w:hRule="atLeast"/>
        </w:trPr>
        <w:tc>
          <w:tcPr>
            <w:tcW w:w="1905" w:type="dxa"/>
          </w:tcPr>
          <w:p>
            <w:pPr>
              <w:pStyle w:val="TableParagraph"/>
              <w:spacing w:before="2"/>
              <w:ind w:left="59"/>
              <w:rPr>
                <w:sz w:val="13"/>
              </w:rPr>
            </w:pPr>
            <w:r>
              <w:rPr>
                <w:w w:val="105"/>
                <w:sz w:val="13"/>
              </w:rPr>
              <w:t>OBRAS PÚBLICAS Y</w:t>
            </w:r>
          </w:p>
          <w:p>
            <w:pPr>
              <w:pStyle w:val="TableParagraph"/>
              <w:spacing w:line="139" w:lineRule="exact" w:before="4"/>
              <w:ind w:left="59"/>
              <w:rPr>
                <w:sz w:val="13"/>
              </w:rPr>
            </w:pPr>
            <w:r>
              <w:rPr>
                <w:w w:val="105"/>
                <w:sz w:val="13"/>
              </w:rPr>
              <w:t>TRANSPORTES</w:t>
            </w:r>
          </w:p>
        </w:tc>
        <w:tc>
          <w:tcPr>
            <w:tcW w:w="5604" w:type="dxa"/>
          </w:tcPr>
          <w:p>
            <w:pPr>
              <w:pStyle w:val="TableParagraph"/>
              <w:spacing w:before="2"/>
              <w:ind w:left="57"/>
              <w:rPr>
                <w:sz w:val="13"/>
              </w:rPr>
            </w:pPr>
            <w:r>
              <w:rPr>
                <w:w w:val="105"/>
                <w:sz w:val="13"/>
              </w:rPr>
              <w:t>EJE INSULAR DE FUERTEVENTURA TRAMO: CALDERETA – CORRALEJO. (CALZADA IZQUIERDA PPKK</w:t>
            </w:r>
          </w:p>
          <w:p>
            <w:pPr>
              <w:pStyle w:val="TableParagraph"/>
              <w:spacing w:line="139" w:lineRule="exact" w:before="4"/>
              <w:ind w:left="57"/>
              <w:rPr>
                <w:sz w:val="13"/>
              </w:rPr>
            </w:pPr>
            <w:r>
              <w:rPr>
                <w:w w:val="105"/>
                <w:sz w:val="13"/>
              </w:rPr>
              <w:t>8+000 Y EL 20+400)</w:t>
            </w:r>
          </w:p>
        </w:tc>
        <w:tc>
          <w:tcPr>
            <w:tcW w:w="746" w:type="dxa"/>
          </w:tcPr>
          <w:p>
            <w:pPr>
              <w:pStyle w:val="TableParagraph"/>
              <w:spacing w:before="82"/>
              <w:ind w:left="173"/>
              <w:rPr>
                <w:sz w:val="13"/>
              </w:rPr>
            </w:pPr>
            <w:r>
              <w:rPr>
                <w:w w:val="105"/>
                <w:sz w:val="13"/>
              </w:rPr>
              <w:t>16/644</w:t>
            </w:r>
          </w:p>
        </w:tc>
      </w:tr>
      <w:tr>
        <w:trPr>
          <w:trHeight w:val="189" w:hRule="atLeast"/>
        </w:trPr>
        <w:tc>
          <w:tcPr>
            <w:tcW w:w="1905" w:type="dxa"/>
          </w:tcPr>
          <w:p>
            <w:pPr>
              <w:pStyle w:val="TableParagraph"/>
              <w:spacing w:line="153" w:lineRule="exact" w:before="16"/>
              <w:ind w:left="59"/>
              <w:rPr>
                <w:sz w:val="13"/>
              </w:rPr>
            </w:pPr>
            <w:r>
              <w:rPr>
                <w:w w:val="105"/>
                <w:sz w:val="13"/>
              </w:rPr>
              <w:t>EDUCACIÓN</w:t>
            </w:r>
          </w:p>
        </w:tc>
        <w:tc>
          <w:tcPr>
            <w:tcW w:w="5604" w:type="dxa"/>
          </w:tcPr>
          <w:p>
            <w:pPr>
              <w:pStyle w:val="TableParagraph"/>
              <w:spacing w:line="153" w:lineRule="exact" w:before="16"/>
              <w:ind w:left="57"/>
              <w:rPr>
                <w:sz w:val="13"/>
              </w:rPr>
            </w:pPr>
            <w:r>
              <w:rPr>
                <w:w w:val="105"/>
                <w:sz w:val="13"/>
              </w:rPr>
              <w:t>CEIP LA PAREDILLA (18 UDES), AVDA. LAS TIRAJANAS</w:t>
            </w:r>
          </w:p>
        </w:tc>
        <w:tc>
          <w:tcPr>
            <w:tcW w:w="746" w:type="dxa"/>
          </w:tcPr>
          <w:p>
            <w:pPr>
              <w:pStyle w:val="TableParagraph"/>
              <w:spacing w:line="153" w:lineRule="exact" w:before="16"/>
              <w:ind w:left="173"/>
              <w:rPr>
                <w:sz w:val="13"/>
              </w:rPr>
            </w:pPr>
            <w:r>
              <w:rPr>
                <w:w w:val="105"/>
                <w:sz w:val="13"/>
              </w:rPr>
              <w:t>12/926</w:t>
            </w:r>
          </w:p>
        </w:tc>
      </w:tr>
      <w:tr>
        <w:trPr>
          <w:trHeight w:val="189" w:hRule="atLeast"/>
        </w:trPr>
        <w:tc>
          <w:tcPr>
            <w:tcW w:w="1905" w:type="dxa"/>
          </w:tcPr>
          <w:p>
            <w:pPr>
              <w:pStyle w:val="TableParagraph"/>
              <w:spacing w:line="153" w:lineRule="exact" w:before="16"/>
              <w:ind w:left="59"/>
              <w:rPr>
                <w:sz w:val="13"/>
              </w:rPr>
            </w:pPr>
            <w:r>
              <w:rPr>
                <w:w w:val="105"/>
                <w:sz w:val="13"/>
              </w:rPr>
              <w:t>AGUAS</w:t>
            </w:r>
          </w:p>
        </w:tc>
        <w:tc>
          <w:tcPr>
            <w:tcW w:w="5604" w:type="dxa"/>
          </w:tcPr>
          <w:p>
            <w:pPr>
              <w:pStyle w:val="TableParagraph"/>
              <w:spacing w:line="153" w:lineRule="exact" w:before="16"/>
              <w:ind w:left="57"/>
              <w:rPr>
                <w:sz w:val="13"/>
              </w:rPr>
            </w:pPr>
            <w:r>
              <w:rPr>
                <w:w w:val="105"/>
                <w:sz w:val="13"/>
              </w:rPr>
              <w:t>MEJORA Y AMPLIACIÓN DE LA DEPURADORA DE TAZACORTE</w:t>
            </w:r>
          </w:p>
        </w:tc>
        <w:tc>
          <w:tcPr>
            <w:tcW w:w="746" w:type="dxa"/>
          </w:tcPr>
          <w:p>
            <w:pPr>
              <w:pStyle w:val="TableParagraph"/>
              <w:spacing w:line="153" w:lineRule="exact" w:before="16"/>
              <w:ind w:left="138"/>
              <w:rPr>
                <w:sz w:val="13"/>
              </w:rPr>
            </w:pPr>
            <w:r>
              <w:rPr>
                <w:w w:val="105"/>
                <w:sz w:val="13"/>
              </w:rPr>
              <w:t>13/1322</w:t>
            </w:r>
          </w:p>
        </w:tc>
      </w:tr>
      <w:tr>
        <w:trPr>
          <w:trHeight w:val="189" w:hRule="atLeast"/>
        </w:trPr>
        <w:tc>
          <w:tcPr>
            <w:tcW w:w="1905" w:type="dxa"/>
          </w:tcPr>
          <w:p>
            <w:pPr>
              <w:pStyle w:val="TableParagraph"/>
              <w:spacing w:line="153" w:lineRule="exact" w:before="16"/>
              <w:ind w:left="59"/>
              <w:rPr>
                <w:sz w:val="13"/>
              </w:rPr>
            </w:pPr>
            <w:r>
              <w:rPr>
                <w:w w:val="105"/>
                <w:sz w:val="13"/>
              </w:rPr>
              <w:t>SERVICIO CANARIO DE LA SALUD</w:t>
            </w:r>
          </w:p>
        </w:tc>
        <w:tc>
          <w:tcPr>
            <w:tcW w:w="5604" w:type="dxa"/>
          </w:tcPr>
          <w:p>
            <w:pPr>
              <w:pStyle w:val="TableParagraph"/>
              <w:spacing w:line="153" w:lineRule="exact" w:before="16"/>
              <w:ind w:left="57"/>
              <w:rPr>
                <w:sz w:val="13"/>
              </w:rPr>
            </w:pPr>
            <w:r>
              <w:rPr>
                <w:w w:val="105"/>
                <w:sz w:val="13"/>
              </w:rPr>
              <w:t>CAE DE TELDE</w:t>
            </w:r>
          </w:p>
        </w:tc>
        <w:tc>
          <w:tcPr>
            <w:tcW w:w="746" w:type="dxa"/>
          </w:tcPr>
          <w:p>
            <w:pPr>
              <w:pStyle w:val="TableParagraph"/>
              <w:spacing w:line="153" w:lineRule="exact" w:before="16"/>
              <w:ind w:left="173"/>
              <w:rPr>
                <w:sz w:val="13"/>
              </w:rPr>
            </w:pPr>
            <w:r>
              <w:rPr>
                <w:w w:val="105"/>
                <w:sz w:val="13"/>
              </w:rPr>
              <w:t>14/252</w:t>
            </w:r>
          </w:p>
        </w:tc>
      </w:tr>
      <w:tr>
        <w:trPr>
          <w:trHeight w:val="326" w:hRule="atLeast"/>
        </w:trPr>
        <w:tc>
          <w:tcPr>
            <w:tcW w:w="1905" w:type="dxa"/>
          </w:tcPr>
          <w:p>
            <w:pPr>
              <w:pStyle w:val="TableParagraph"/>
              <w:spacing w:before="85"/>
              <w:ind w:left="59"/>
              <w:rPr>
                <w:sz w:val="13"/>
              </w:rPr>
            </w:pPr>
            <w:r>
              <w:rPr>
                <w:w w:val="105"/>
                <w:sz w:val="13"/>
              </w:rPr>
              <w:t>SERVICIO CANARIO DE LA SALUD</w:t>
            </w:r>
          </w:p>
        </w:tc>
        <w:tc>
          <w:tcPr>
            <w:tcW w:w="5604" w:type="dxa"/>
          </w:tcPr>
          <w:p>
            <w:pPr>
              <w:pStyle w:val="TableParagraph"/>
              <w:spacing w:before="2"/>
              <w:ind w:left="57"/>
              <w:rPr>
                <w:sz w:val="13"/>
              </w:rPr>
            </w:pPr>
            <w:r>
              <w:rPr>
                <w:w w:val="105"/>
                <w:sz w:val="13"/>
              </w:rPr>
              <w:t>REMODELACIÓN</w:t>
            </w:r>
            <w:r>
              <w:rPr>
                <w:spacing w:val="-10"/>
                <w:w w:val="105"/>
                <w:sz w:val="13"/>
              </w:rPr>
              <w:t> </w:t>
            </w:r>
            <w:r>
              <w:rPr>
                <w:w w:val="105"/>
                <w:sz w:val="13"/>
              </w:rPr>
              <w:t>Y</w:t>
            </w:r>
            <w:r>
              <w:rPr>
                <w:spacing w:val="-8"/>
                <w:w w:val="105"/>
                <w:sz w:val="13"/>
              </w:rPr>
              <w:t> </w:t>
            </w:r>
            <w:r>
              <w:rPr>
                <w:w w:val="105"/>
                <w:sz w:val="13"/>
              </w:rPr>
              <w:t>AMPLIACIÓN</w:t>
            </w:r>
            <w:r>
              <w:rPr>
                <w:spacing w:val="-9"/>
                <w:w w:val="105"/>
                <w:sz w:val="13"/>
              </w:rPr>
              <w:t> </w:t>
            </w:r>
            <w:r>
              <w:rPr>
                <w:w w:val="105"/>
                <w:sz w:val="13"/>
              </w:rPr>
              <w:t>DEL</w:t>
            </w:r>
            <w:r>
              <w:rPr>
                <w:spacing w:val="-10"/>
                <w:w w:val="105"/>
                <w:sz w:val="13"/>
              </w:rPr>
              <w:t> </w:t>
            </w:r>
            <w:r>
              <w:rPr>
                <w:w w:val="105"/>
                <w:sz w:val="13"/>
              </w:rPr>
              <w:t>HOSPITAL</w:t>
            </w:r>
            <w:r>
              <w:rPr>
                <w:spacing w:val="-10"/>
                <w:w w:val="105"/>
                <w:sz w:val="13"/>
              </w:rPr>
              <w:t> </w:t>
            </w:r>
            <w:r>
              <w:rPr>
                <w:w w:val="105"/>
                <w:sz w:val="13"/>
              </w:rPr>
              <w:t>GENERAL</w:t>
            </w:r>
            <w:r>
              <w:rPr>
                <w:spacing w:val="-9"/>
                <w:w w:val="105"/>
                <w:sz w:val="13"/>
              </w:rPr>
              <w:t> </w:t>
            </w:r>
            <w:r>
              <w:rPr>
                <w:w w:val="105"/>
                <w:sz w:val="13"/>
              </w:rPr>
              <w:t>DE</w:t>
            </w:r>
            <w:r>
              <w:rPr>
                <w:spacing w:val="-8"/>
                <w:w w:val="105"/>
                <w:sz w:val="13"/>
              </w:rPr>
              <w:t> </w:t>
            </w:r>
            <w:r>
              <w:rPr>
                <w:w w:val="105"/>
                <w:sz w:val="13"/>
              </w:rPr>
              <w:t>FUERTEVENTURA,</w:t>
            </w:r>
            <w:r>
              <w:rPr>
                <w:spacing w:val="-8"/>
                <w:w w:val="105"/>
                <w:sz w:val="13"/>
              </w:rPr>
              <w:t> </w:t>
            </w:r>
            <w:r>
              <w:rPr>
                <w:w w:val="105"/>
                <w:sz w:val="13"/>
              </w:rPr>
              <w:t>FASE</w:t>
            </w:r>
            <w:r>
              <w:rPr>
                <w:spacing w:val="-9"/>
                <w:w w:val="105"/>
                <w:sz w:val="13"/>
              </w:rPr>
              <w:t> </w:t>
            </w:r>
            <w:r>
              <w:rPr>
                <w:w w:val="105"/>
                <w:sz w:val="13"/>
              </w:rPr>
              <w:t>II.</w:t>
            </w:r>
            <w:r>
              <w:rPr>
                <w:spacing w:val="-8"/>
                <w:w w:val="105"/>
                <w:sz w:val="13"/>
              </w:rPr>
              <w:t> </w:t>
            </w:r>
            <w:r>
              <w:rPr>
                <w:w w:val="105"/>
                <w:sz w:val="13"/>
              </w:rPr>
              <w:t>(1ª</w:t>
            </w:r>
            <w:r>
              <w:rPr>
                <w:spacing w:val="-6"/>
                <w:w w:val="105"/>
                <w:sz w:val="13"/>
              </w:rPr>
              <w:t> </w:t>
            </w:r>
            <w:r>
              <w:rPr>
                <w:w w:val="105"/>
                <w:sz w:val="13"/>
              </w:rPr>
              <w:t>recepción</w:t>
            </w:r>
          </w:p>
          <w:p>
            <w:pPr>
              <w:pStyle w:val="TableParagraph"/>
              <w:spacing w:line="141" w:lineRule="exact" w:before="4"/>
              <w:ind w:left="57"/>
              <w:rPr>
                <w:sz w:val="13"/>
              </w:rPr>
            </w:pPr>
            <w:r>
              <w:rPr>
                <w:w w:val="105"/>
                <w:sz w:val="13"/>
              </w:rPr>
              <w:t>parcial)</w:t>
            </w:r>
          </w:p>
        </w:tc>
        <w:tc>
          <w:tcPr>
            <w:tcW w:w="746" w:type="dxa"/>
          </w:tcPr>
          <w:p>
            <w:pPr>
              <w:pStyle w:val="TableParagraph"/>
              <w:spacing w:before="85"/>
              <w:ind w:left="173"/>
              <w:rPr>
                <w:sz w:val="13"/>
              </w:rPr>
            </w:pPr>
            <w:r>
              <w:rPr>
                <w:w w:val="105"/>
                <w:sz w:val="13"/>
              </w:rPr>
              <w:t>11/562</w:t>
            </w:r>
          </w:p>
        </w:tc>
      </w:tr>
      <w:tr>
        <w:trPr>
          <w:trHeight w:val="327" w:hRule="atLeast"/>
        </w:trPr>
        <w:tc>
          <w:tcPr>
            <w:tcW w:w="1905" w:type="dxa"/>
          </w:tcPr>
          <w:p>
            <w:pPr>
              <w:pStyle w:val="TableParagraph"/>
              <w:spacing w:before="2"/>
              <w:ind w:left="59"/>
              <w:rPr>
                <w:sz w:val="13"/>
              </w:rPr>
            </w:pPr>
            <w:r>
              <w:rPr>
                <w:w w:val="105"/>
                <w:sz w:val="13"/>
              </w:rPr>
              <w:t>OBRAS PÚBLICAS Y</w:t>
            </w:r>
          </w:p>
          <w:p>
            <w:pPr>
              <w:pStyle w:val="TableParagraph"/>
              <w:spacing w:line="141" w:lineRule="exact" w:before="5"/>
              <w:ind w:left="59"/>
              <w:rPr>
                <w:sz w:val="13"/>
              </w:rPr>
            </w:pPr>
            <w:r>
              <w:rPr>
                <w:w w:val="105"/>
                <w:sz w:val="13"/>
              </w:rPr>
              <w:t>TRANSPORTES</w:t>
            </w:r>
          </w:p>
        </w:tc>
        <w:tc>
          <w:tcPr>
            <w:tcW w:w="5604" w:type="dxa"/>
          </w:tcPr>
          <w:p>
            <w:pPr>
              <w:pStyle w:val="TableParagraph"/>
              <w:spacing w:before="2"/>
              <w:ind w:left="57"/>
              <w:rPr>
                <w:sz w:val="13"/>
              </w:rPr>
            </w:pPr>
            <w:r>
              <w:rPr>
                <w:w w:val="105"/>
                <w:sz w:val="13"/>
              </w:rPr>
              <w:t>PK´S 0+00 Y 4+500 PUESTA EN SERVICIO CIRCUNVALACIÓN A LAS PALMAS DE GRAN CANARIA. FASE</w:t>
            </w:r>
          </w:p>
          <w:p>
            <w:pPr>
              <w:pStyle w:val="TableParagraph"/>
              <w:spacing w:line="141" w:lineRule="exact" w:before="5"/>
              <w:ind w:left="57"/>
              <w:rPr>
                <w:sz w:val="13"/>
              </w:rPr>
            </w:pPr>
            <w:r>
              <w:rPr>
                <w:w w:val="105"/>
                <w:sz w:val="13"/>
              </w:rPr>
              <w:t>IV. TAMARACEITE-TENOYA- ARUCAS COSTA (calzada izquierda)</w:t>
            </w:r>
          </w:p>
        </w:tc>
        <w:tc>
          <w:tcPr>
            <w:tcW w:w="746" w:type="dxa"/>
          </w:tcPr>
          <w:p>
            <w:pPr>
              <w:pStyle w:val="TableParagraph"/>
              <w:spacing w:before="85"/>
              <w:ind w:left="173"/>
              <w:rPr>
                <w:sz w:val="13"/>
              </w:rPr>
            </w:pPr>
            <w:r>
              <w:rPr>
                <w:w w:val="105"/>
                <w:sz w:val="13"/>
              </w:rPr>
              <w:t>16/393</w:t>
            </w:r>
          </w:p>
        </w:tc>
      </w:tr>
      <w:tr>
        <w:trPr>
          <w:trHeight w:val="187" w:hRule="atLeast"/>
        </w:trPr>
        <w:tc>
          <w:tcPr>
            <w:tcW w:w="1905" w:type="dxa"/>
          </w:tcPr>
          <w:p>
            <w:pPr>
              <w:pStyle w:val="TableParagraph"/>
              <w:spacing w:line="153" w:lineRule="exact" w:before="14"/>
              <w:ind w:left="59"/>
              <w:rPr>
                <w:sz w:val="13"/>
              </w:rPr>
            </w:pPr>
            <w:r>
              <w:rPr>
                <w:w w:val="105"/>
                <w:sz w:val="13"/>
              </w:rPr>
              <w:t>SERVICIO CANARIO DE LA SALUD</w:t>
            </w:r>
          </w:p>
        </w:tc>
        <w:tc>
          <w:tcPr>
            <w:tcW w:w="5604" w:type="dxa"/>
          </w:tcPr>
          <w:p>
            <w:pPr>
              <w:pStyle w:val="TableParagraph"/>
              <w:spacing w:line="153" w:lineRule="exact" w:before="14"/>
              <w:ind w:left="57"/>
              <w:rPr>
                <w:sz w:val="13"/>
              </w:rPr>
            </w:pPr>
            <w:r>
              <w:rPr>
                <w:w w:val="105"/>
                <w:sz w:val="13"/>
              </w:rPr>
              <w:t>AMPLIACIÓN HOSPITAL GENERAL DE FUERTEVENTURA, FASE III.</w:t>
            </w:r>
          </w:p>
        </w:tc>
        <w:tc>
          <w:tcPr>
            <w:tcW w:w="746" w:type="dxa"/>
          </w:tcPr>
          <w:p>
            <w:pPr>
              <w:pStyle w:val="TableParagraph"/>
              <w:spacing w:line="153" w:lineRule="exact" w:before="14"/>
              <w:ind w:left="173"/>
              <w:rPr>
                <w:sz w:val="13"/>
              </w:rPr>
            </w:pPr>
            <w:r>
              <w:rPr>
                <w:w w:val="105"/>
                <w:sz w:val="13"/>
              </w:rPr>
              <w:t>21/060</w:t>
            </w:r>
          </w:p>
        </w:tc>
      </w:tr>
      <w:tr>
        <w:trPr>
          <w:trHeight w:val="189" w:hRule="atLeast"/>
        </w:trPr>
        <w:tc>
          <w:tcPr>
            <w:tcW w:w="1905" w:type="dxa"/>
          </w:tcPr>
          <w:p>
            <w:pPr>
              <w:pStyle w:val="TableParagraph"/>
              <w:spacing w:line="153" w:lineRule="exact" w:before="16"/>
              <w:ind w:left="59"/>
              <w:rPr>
                <w:sz w:val="13"/>
              </w:rPr>
            </w:pPr>
            <w:r>
              <w:rPr>
                <w:w w:val="105"/>
                <w:sz w:val="13"/>
              </w:rPr>
              <w:t>EDUCACIÓN</w:t>
            </w:r>
          </w:p>
        </w:tc>
        <w:tc>
          <w:tcPr>
            <w:tcW w:w="5604" w:type="dxa"/>
          </w:tcPr>
          <w:p>
            <w:pPr>
              <w:pStyle w:val="TableParagraph"/>
              <w:spacing w:line="153" w:lineRule="exact" w:before="16"/>
              <w:ind w:left="57"/>
              <w:rPr>
                <w:sz w:val="13"/>
              </w:rPr>
            </w:pPr>
            <w:r>
              <w:rPr>
                <w:w w:val="105"/>
                <w:sz w:val="13"/>
              </w:rPr>
              <w:t>INF + PRIMARIA 9 UNDS MAJADA MARCIAL-PUERTO DEL ROSARIO</w:t>
            </w:r>
          </w:p>
        </w:tc>
        <w:tc>
          <w:tcPr>
            <w:tcW w:w="746" w:type="dxa"/>
          </w:tcPr>
          <w:p>
            <w:pPr>
              <w:pStyle w:val="TableParagraph"/>
              <w:spacing w:line="153" w:lineRule="exact" w:before="16"/>
              <w:ind w:left="173"/>
              <w:rPr>
                <w:sz w:val="13"/>
              </w:rPr>
            </w:pPr>
            <w:r>
              <w:rPr>
                <w:w w:val="105"/>
                <w:sz w:val="13"/>
              </w:rPr>
              <w:t>09/333</w:t>
            </w:r>
          </w:p>
        </w:tc>
      </w:tr>
    </w:tbl>
    <w:p>
      <w:pPr>
        <w:pStyle w:val="BodyText"/>
      </w:pPr>
    </w:p>
    <w:p>
      <w:pPr>
        <w:pStyle w:val="BodyText"/>
      </w:pPr>
    </w:p>
    <w:p>
      <w:pPr>
        <w:pStyle w:val="BodyText"/>
        <w:spacing w:before="11"/>
        <w:rPr>
          <w:sz w:val="21"/>
        </w:rPr>
      </w:pPr>
    </w:p>
    <w:p>
      <w:pPr>
        <w:pStyle w:val="BodyText"/>
        <w:spacing w:before="61"/>
        <w:ind w:left="7787"/>
        <w:jc w:val="center"/>
      </w:pPr>
      <w:r>
        <w:rPr/>
        <w:t>190</w:t>
      </w:r>
    </w:p>
    <w:p>
      <w:pPr>
        <w:pStyle w:val="Heading1"/>
        <w:spacing w:before="4"/>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11" name="image5.png"/>
                  <wp:cNvGraphicFramePr>
                    <a:graphicFrameLocks noChangeAspect="1"/>
                  </wp:cNvGraphicFramePr>
                  <a:graphic>
                    <a:graphicData uri="http://schemas.openxmlformats.org/drawingml/2006/picture">
                      <pic:pic>
                        <pic:nvPicPr>
                          <pic:cNvPr id="41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192/247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11:14:27</w:t>
            </w:r>
          </w:p>
        </w:tc>
        <w:tc>
          <w:tcPr>
            <w:tcW w:w="1489" w:type="dxa"/>
            <w:vMerge/>
            <w:tcBorders>
              <w:top w:val="nil"/>
            </w:tcBorders>
          </w:tcPr>
          <w:p>
            <w:pPr>
              <w:rPr>
                <w:sz w:val="2"/>
                <w:szCs w:val="2"/>
              </w:rPr>
            </w:pPr>
          </w:p>
        </w:tc>
      </w:tr>
    </w:tbl>
    <w:p>
      <w:pPr>
        <w:spacing w:after="0"/>
        <w:rPr>
          <w:sz w:val="2"/>
          <w:szCs w:val="2"/>
        </w:rPr>
        <w:sectPr>
          <w:headerReference w:type="default" r:id="rId41"/>
          <w:footerReference w:type="default" r:id="rId42"/>
          <w:pgSz w:w="11900" w:h="16840"/>
          <w:pgMar w:header="869" w:footer="926" w:top="1760" w:bottom="1120" w:left="760" w:right="760"/>
        </w:sectPr>
      </w:pPr>
    </w:p>
    <w:p>
      <w:pPr>
        <w:pStyle w:val="BodyText"/>
        <w:spacing w:before="10"/>
        <w:rPr>
          <w:b/>
          <w:sz w:val="27"/>
        </w:rPr>
      </w:pPr>
    </w:p>
    <w:p>
      <w:pPr>
        <w:pStyle w:val="BodyText"/>
        <w:spacing w:before="61"/>
        <w:ind w:left="2099"/>
      </w:pPr>
      <w:r>
        <w:rPr/>
        <w:t>XIII b). Justificación incorrecta de cierre</w:t>
      </w:r>
    </w:p>
    <w:p>
      <w:pPr>
        <w:pStyle w:val="BodyText"/>
        <w:spacing w:before="7"/>
        <w:rPr>
          <w:sz w:val="16"/>
        </w:rPr>
      </w:pPr>
    </w:p>
    <w:tbl>
      <w:tblPr>
        <w:tblW w:w="0" w:type="auto"/>
        <w:jc w:val="left"/>
        <w:tblInd w:w="1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9"/>
        <w:gridCol w:w="5119"/>
      </w:tblGrid>
      <w:tr>
        <w:trPr>
          <w:trHeight w:val="183" w:hRule="atLeast"/>
        </w:trPr>
        <w:tc>
          <w:tcPr>
            <w:tcW w:w="2739" w:type="dxa"/>
            <w:shd w:val="clear" w:color="auto" w:fill="DEEAF6"/>
          </w:tcPr>
          <w:p>
            <w:pPr>
              <w:pStyle w:val="TableParagraph"/>
              <w:spacing w:line="162" w:lineRule="exact" w:before="1"/>
              <w:ind w:left="847"/>
              <w:rPr>
                <w:b/>
                <w:sz w:val="15"/>
              </w:rPr>
            </w:pPr>
            <w:r>
              <w:rPr>
                <w:b/>
                <w:color w:val="1A1A1A"/>
                <w:sz w:val="15"/>
              </w:rPr>
              <w:t>Motivo de cierre</w:t>
            </w:r>
          </w:p>
        </w:tc>
        <w:tc>
          <w:tcPr>
            <w:tcW w:w="5119" w:type="dxa"/>
            <w:shd w:val="clear" w:color="auto" w:fill="DEEAF6"/>
          </w:tcPr>
          <w:p>
            <w:pPr>
              <w:pStyle w:val="TableParagraph"/>
              <w:spacing w:line="162" w:lineRule="exact" w:before="1"/>
              <w:ind w:left="1115"/>
              <w:rPr>
                <w:b/>
                <w:sz w:val="15"/>
              </w:rPr>
            </w:pPr>
            <w:r>
              <w:rPr>
                <w:b/>
                <w:color w:val="1A1A1A"/>
                <w:sz w:val="15"/>
              </w:rPr>
              <w:t>Nº de actuación y deficiencia más significativa</w:t>
            </w:r>
          </w:p>
        </w:tc>
      </w:tr>
      <w:tr>
        <w:trPr>
          <w:trHeight w:val="737" w:hRule="atLeast"/>
        </w:trPr>
        <w:tc>
          <w:tcPr>
            <w:tcW w:w="2739" w:type="dxa"/>
          </w:tcPr>
          <w:p>
            <w:pPr>
              <w:pStyle w:val="TableParagraph"/>
              <w:spacing w:before="1"/>
              <w:rPr>
                <w:sz w:val="15"/>
              </w:rPr>
            </w:pPr>
          </w:p>
          <w:p>
            <w:pPr>
              <w:pStyle w:val="TableParagraph"/>
              <w:spacing w:line="242" w:lineRule="auto"/>
              <w:ind w:left="90" w:right="483"/>
              <w:rPr>
                <w:sz w:val="15"/>
              </w:rPr>
            </w:pPr>
            <w:r>
              <w:rPr>
                <w:sz w:val="15"/>
              </w:rPr>
              <w:t>Comunicación de las deficiencias al órgano competente.</w:t>
            </w:r>
          </w:p>
        </w:tc>
        <w:tc>
          <w:tcPr>
            <w:tcW w:w="5119" w:type="dxa"/>
          </w:tcPr>
          <w:p>
            <w:pPr>
              <w:pStyle w:val="TableParagraph"/>
              <w:spacing w:before="1"/>
              <w:ind w:left="89" w:right="54"/>
              <w:rPr>
                <w:sz w:val="15"/>
              </w:rPr>
            </w:pPr>
            <w:r>
              <w:rPr>
                <w:color w:val="1A1A1A"/>
                <w:sz w:val="15"/>
              </w:rPr>
              <w:t>14/456.- Defectos en la definición de las obras, al incluirse partidas ejecutadas con anterioridad a la redacción del proyecto.</w:t>
            </w:r>
          </w:p>
          <w:p>
            <w:pPr>
              <w:pStyle w:val="TableParagraph"/>
              <w:spacing w:line="180" w:lineRule="atLeast" w:before="3"/>
              <w:ind w:left="89"/>
              <w:rPr>
                <w:sz w:val="15"/>
              </w:rPr>
            </w:pPr>
            <w:r>
              <w:rPr>
                <w:color w:val="1A1A1A"/>
                <w:sz w:val="15"/>
              </w:rPr>
              <w:t>15/966.- Ausencia de justificación de la gestión de residuos y del desglose de cantidad abonada en unidades de obra.</w:t>
            </w:r>
          </w:p>
        </w:tc>
      </w:tr>
      <w:tr>
        <w:trPr>
          <w:trHeight w:val="735" w:hRule="atLeast"/>
        </w:trPr>
        <w:tc>
          <w:tcPr>
            <w:tcW w:w="2739" w:type="dxa"/>
          </w:tcPr>
          <w:p>
            <w:pPr>
              <w:pStyle w:val="TableParagraph"/>
              <w:spacing w:line="242" w:lineRule="auto" w:before="92"/>
              <w:ind w:left="90" w:right="238"/>
              <w:rPr>
                <w:sz w:val="15"/>
              </w:rPr>
            </w:pPr>
            <w:r>
              <w:rPr>
                <w:sz w:val="15"/>
              </w:rPr>
              <w:t>El CG no aporta la documentación para poder hacer la comprobación material.</w:t>
            </w:r>
          </w:p>
        </w:tc>
        <w:tc>
          <w:tcPr>
            <w:tcW w:w="5119" w:type="dxa"/>
          </w:tcPr>
          <w:p>
            <w:pPr>
              <w:pStyle w:val="TableParagraph"/>
              <w:spacing w:line="242" w:lineRule="auto"/>
              <w:ind w:left="89"/>
              <w:rPr>
                <w:sz w:val="15"/>
              </w:rPr>
            </w:pPr>
            <w:r>
              <w:rPr>
                <w:color w:val="1A1A1A"/>
                <w:sz w:val="15"/>
              </w:rPr>
              <w:t>18/047. La Intervención no verificó la correcta ejecución de la obra en el acto de recepción al no remitirse la documentación.</w:t>
            </w:r>
          </w:p>
          <w:p>
            <w:pPr>
              <w:pStyle w:val="TableParagraph"/>
              <w:spacing w:line="182" w:lineRule="exact"/>
              <w:ind w:left="89"/>
              <w:rPr>
                <w:sz w:val="15"/>
              </w:rPr>
            </w:pPr>
            <w:r>
              <w:rPr>
                <w:color w:val="1A1A1A"/>
                <w:sz w:val="15"/>
              </w:rPr>
              <w:t>18/326. La Intervención no lleva a cabo la verificación al no remitir la</w:t>
            </w:r>
          </w:p>
          <w:p>
            <w:pPr>
              <w:pStyle w:val="TableParagraph"/>
              <w:spacing w:line="162" w:lineRule="exact" w:before="1"/>
              <w:ind w:left="89"/>
              <w:rPr>
                <w:sz w:val="15"/>
              </w:rPr>
            </w:pPr>
            <w:r>
              <w:rPr>
                <w:color w:val="1A1A1A"/>
                <w:sz w:val="15"/>
              </w:rPr>
              <w:t>documentación de la medición y liquidación de obra.</w:t>
            </w:r>
          </w:p>
        </w:tc>
      </w:tr>
      <w:tr>
        <w:trPr>
          <w:trHeight w:val="2950" w:hRule="atLeast"/>
        </w:trPr>
        <w:tc>
          <w:tcPr>
            <w:tcW w:w="2739"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4"/>
              <w:rPr>
                <w:sz w:val="14"/>
              </w:rPr>
            </w:pPr>
          </w:p>
          <w:p>
            <w:pPr>
              <w:pStyle w:val="TableParagraph"/>
              <w:ind w:left="90" w:right="288"/>
              <w:rPr>
                <w:sz w:val="15"/>
              </w:rPr>
            </w:pPr>
            <w:r>
              <w:rPr>
                <w:sz w:val="15"/>
              </w:rPr>
              <w:t>Existe otra actuación posterior abierta para esta inversión.</w:t>
            </w:r>
          </w:p>
        </w:tc>
        <w:tc>
          <w:tcPr>
            <w:tcW w:w="5119" w:type="dxa"/>
          </w:tcPr>
          <w:p>
            <w:pPr>
              <w:pStyle w:val="TableParagraph"/>
              <w:spacing w:line="242" w:lineRule="auto" w:before="1"/>
              <w:ind w:left="89" w:right="85"/>
              <w:jc w:val="both"/>
              <w:rPr>
                <w:sz w:val="15"/>
              </w:rPr>
            </w:pPr>
            <w:r>
              <w:rPr>
                <w:color w:val="1A1A1A"/>
                <w:sz w:val="15"/>
              </w:rPr>
              <w:t>12/1030. Recepción total, en la que el facultativo pone manifiesto diferentes anomalías. Esta actuación se cierra por la comprobación de la certificación final (16/083) cuya documentación no ha sido remitida, por lo que no se ha podido verificar si en dicha certificación se subsana las deficiencias de la recepción.</w:t>
            </w:r>
          </w:p>
          <w:p>
            <w:pPr>
              <w:pStyle w:val="TableParagraph"/>
              <w:spacing w:line="242" w:lineRule="auto"/>
              <w:ind w:left="89" w:right="84"/>
              <w:jc w:val="both"/>
              <w:rPr>
                <w:sz w:val="15"/>
              </w:rPr>
            </w:pPr>
            <w:r>
              <w:rPr>
                <w:color w:val="1A1A1A"/>
                <w:sz w:val="15"/>
              </w:rPr>
              <w:t>12/387. La actuación se corresponde con la recepción del “CAE de Telde, área de salud</w:t>
            </w:r>
            <w:r>
              <w:rPr>
                <w:color w:val="1A1A1A"/>
                <w:spacing w:val="-7"/>
                <w:sz w:val="15"/>
              </w:rPr>
              <w:t> </w:t>
            </w:r>
            <w:r>
              <w:rPr>
                <w:color w:val="1A1A1A"/>
                <w:sz w:val="15"/>
              </w:rPr>
              <w:t>mental”,</w:t>
            </w:r>
            <w:r>
              <w:rPr>
                <w:color w:val="1A1A1A"/>
                <w:spacing w:val="-7"/>
                <w:sz w:val="15"/>
              </w:rPr>
              <w:t> </w:t>
            </w:r>
            <w:r>
              <w:rPr>
                <w:color w:val="1A1A1A"/>
                <w:sz w:val="15"/>
              </w:rPr>
              <w:t>produciéndose</w:t>
            </w:r>
            <w:r>
              <w:rPr>
                <w:color w:val="1A1A1A"/>
                <w:spacing w:val="-6"/>
                <w:sz w:val="15"/>
              </w:rPr>
              <w:t> </w:t>
            </w:r>
            <w:r>
              <w:rPr>
                <w:color w:val="1A1A1A"/>
                <w:sz w:val="15"/>
              </w:rPr>
              <w:t>su</w:t>
            </w:r>
            <w:r>
              <w:rPr>
                <w:color w:val="1A1A1A"/>
                <w:spacing w:val="-6"/>
                <w:sz w:val="15"/>
              </w:rPr>
              <w:t> </w:t>
            </w:r>
            <w:r>
              <w:rPr>
                <w:color w:val="1A1A1A"/>
                <w:sz w:val="15"/>
              </w:rPr>
              <w:t>cierre</w:t>
            </w:r>
            <w:r>
              <w:rPr>
                <w:color w:val="1A1A1A"/>
                <w:spacing w:val="-6"/>
                <w:sz w:val="15"/>
              </w:rPr>
              <w:t> </w:t>
            </w:r>
            <w:r>
              <w:rPr>
                <w:color w:val="1A1A1A"/>
                <w:sz w:val="15"/>
              </w:rPr>
              <w:t>por</w:t>
            </w:r>
            <w:r>
              <w:rPr>
                <w:color w:val="1A1A1A"/>
                <w:spacing w:val="-7"/>
                <w:sz w:val="15"/>
              </w:rPr>
              <w:t> </w:t>
            </w:r>
            <w:r>
              <w:rPr>
                <w:color w:val="1A1A1A"/>
                <w:sz w:val="15"/>
              </w:rPr>
              <w:t>la</w:t>
            </w:r>
            <w:r>
              <w:rPr>
                <w:color w:val="1A1A1A"/>
                <w:spacing w:val="-7"/>
                <w:sz w:val="15"/>
              </w:rPr>
              <w:t> </w:t>
            </w:r>
            <w:r>
              <w:rPr>
                <w:color w:val="1A1A1A"/>
                <w:sz w:val="15"/>
              </w:rPr>
              <w:t>actuación</w:t>
            </w:r>
            <w:r>
              <w:rPr>
                <w:color w:val="1A1A1A"/>
                <w:spacing w:val="-8"/>
                <w:sz w:val="15"/>
              </w:rPr>
              <w:t> </w:t>
            </w:r>
            <w:r>
              <w:rPr>
                <w:color w:val="1A1A1A"/>
                <w:sz w:val="15"/>
              </w:rPr>
              <w:t>14/252.</w:t>
            </w:r>
            <w:r>
              <w:rPr>
                <w:color w:val="1A1A1A"/>
                <w:spacing w:val="-6"/>
                <w:sz w:val="15"/>
              </w:rPr>
              <w:t> </w:t>
            </w:r>
            <w:r>
              <w:rPr>
                <w:color w:val="1A1A1A"/>
                <w:sz w:val="15"/>
              </w:rPr>
              <w:t>“CAE</w:t>
            </w:r>
            <w:r>
              <w:rPr>
                <w:color w:val="1A1A1A"/>
                <w:spacing w:val="-7"/>
                <w:sz w:val="15"/>
              </w:rPr>
              <w:t> </w:t>
            </w:r>
            <w:r>
              <w:rPr>
                <w:color w:val="1A1A1A"/>
                <w:sz w:val="15"/>
              </w:rPr>
              <w:t>Telde”,</w:t>
            </w:r>
            <w:r>
              <w:rPr>
                <w:color w:val="1A1A1A"/>
                <w:spacing w:val="-5"/>
                <w:sz w:val="15"/>
              </w:rPr>
              <w:t> </w:t>
            </w:r>
            <w:r>
              <w:rPr>
                <w:color w:val="1A1A1A"/>
                <w:sz w:val="15"/>
              </w:rPr>
              <w:t>que corresponde a obras diferentes, la cual a su vez se cierra por “prescripción de los derechos a favor de la hacienda pública”.</w:t>
            </w:r>
          </w:p>
          <w:p>
            <w:pPr>
              <w:pStyle w:val="TableParagraph"/>
              <w:spacing w:line="242" w:lineRule="auto"/>
              <w:ind w:left="89" w:right="82"/>
              <w:jc w:val="both"/>
              <w:rPr>
                <w:sz w:val="15"/>
              </w:rPr>
            </w:pPr>
            <w:r>
              <w:rPr>
                <w:color w:val="1A1A1A"/>
                <w:sz w:val="15"/>
              </w:rPr>
              <w:t>12/821. Recepción total en la que se ponen de manifiesto deficiencias, se cierra por la actuación 13/1322, certificación final que no ha sido comprobada por no remitirse la documentación y que a su vea ha sido cerrada por “deficiencia procedimental”</w:t>
            </w:r>
          </w:p>
          <w:p>
            <w:pPr>
              <w:pStyle w:val="TableParagraph"/>
              <w:spacing w:line="242" w:lineRule="auto"/>
              <w:ind w:left="89" w:right="83"/>
              <w:jc w:val="both"/>
              <w:rPr>
                <w:sz w:val="15"/>
              </w:rPr>
            </w:pPr>
            <w:r>
              <w:rPr>
                <w:color w:val="1A1A1A"/>
                <w:sz w:val="15"/>
              </w:rPr>
              <w:t>21/550.</w:t>
            </w:r>
            <w:r>
              <w:rPr>
                <w:color w:val="1A1A1A"/>
                <w:spacing w:val="-6"/>
                <w:sz w:val="15"/>
              </w:rPr>
              <w:t> </w:t>
            </w:r>
            <w:r>
              <w:rPr>
                <w:color w:val="1A1A1A"/>
                <w:sz w:val="15"/>
              </w:rPr>
              <w:t>Actuación</w:t>
            </w:r>
            <w:r>
              <w:rPr>
                <w:color w:val="1A1A1A"/>
                <w:spacing w:val="-6"/>
                <w:sz w:val="15"/>
              </w:rPr>
              <w:t> </w:t>
            </w:r>
            <w:r>
              <w:rPr>
                <w:color w:val="1A1A1A"/>
                <w:sz w:val="15"/>
              </w:rPr>
              <w:t>modificada</w:t>
            </w:r>
            <w:r>
              <w:rPr>
                <w:color w:val="1A1A1A"/>
                <w:spacing w:val="-5"/>
                <w:sz w:val="15"/>
              </w:rPr>
              <w:t> </w:t>
            </w:r>
            <w:r>
              <w:rPr>
                <w:color w:val="1A1A1A"/>
                <w:sz w:val="15"/>
              </w:rPr>
              <w:t>nº</w:t>
            </w:r>
            <w:r>
              <w:rPr>
                <w:color w:val="1A1A1A"/>
                <w:spacing w:val="-4"/>
                <w:sz w:val="15"/>
              </w:rPr>
              <w:t> </w:t>
            </w:r>
            <w:r>
              <w:rPr>
                <w:color w:val="1A1A1A"/>
                <w:sz w:val="15"/>
              </w:rPr>
              <w:t>1.</w:t>
            </w:r>
            <w:r>
              <w:rPr>
                <w:color w:val="1A1A1A"/>
                <w:spacing w:val="-5"/>
                <w:sz w:val="15"/>
              </w:rPr>
              <w:t> </w:t>
            </w:r>
            <w:r>
              <w:rPr>
                <w:color w:val="1A1A1A"/>
                <w:sz w:val="15"/>
              </w:rPr>
              <w:t>Se</w:t>
            </w:r>
            <w:r>
              <w:rPr>
                <w:color w:val="1A1A1A"/>
                <w:spacing w:val="-6"/>
                <w:sz w:val="15"/>
              </w:rPr>
              <w:t> </w:t>
            </w:r>
            <w:r>
              <w:rPr>
                <w:color w:val="1A1A1A"/>
                <w:sz w:val="15"/>
              </w:rPr>
              <w:t>cierra</w:t>
            </w:r>
            <w:r>
              <w:rPr>
                <w:color w:val="1A1A1A"/>
                <w:spacing w:val="-6"/>
                <w:sz w:val="15"/>
              </w:rPr>
              <w:t> </w:t>
            </w:r>
            <w:r>
              <w:rPr>
                <w:color w:val="1A1A1A"/>
                <w:sz w:val="15"/>
              </w:rPr>
              <w:t>por</w:t>
            </w:r>
            <w:r>
              <w:rPr>
                <w:color w:val="1A1A1A"/>
                <w:spacing w:val="-5"/>
                <w:sz w:val="15"/>
              </w:rPr>
              <w:t> </w:t>
            </w:r>
            <w:r>
              <w:rPr>
                <w:color w:val="1A1A1A"/>
                <w:sz w:val="15"/>
              </w:rPr>
              <w:t>la</w:t>
            </w:r>
            <w:r>
              <w:rPr>
                <w:color w:val="1A1A1A"/>
                <w:spacing w:val="-5"/>
                <w:sz w:val="15"/>
              </w:rPr>
              <w:t> </w:t>
            </w:r>
            <w:r>
              <w:rPr>
                <w:color w:val="1A1A1A"/>
                <w:sz w:val="15"/>
              </w:rPr>
              <w:t>actuación</w:t>
            </w:r>
            <w:r>
              <w:rPr>
                <w:color w:val="1A1A1A"/>
                <w:spacing w:val="-7"/>
                <w:sz w:val="15"/>
              </w:rPr>
              <w:t> </w:t>
            </w:r>
            <w:r>
              <w:rPr>
                <w:color w:val="1A1A1A"/>
                <w:sz w:val="15"/>
              </w:rPr>
              <w:t>23/046.</w:t>
            </w:r>
            <w:r>
              <w:rPr>
                <w:color w:val="1A1A1A"/>
                <w:spacing w:val="-5"/>
                <w:sz w:val="15"/>
              </w:rPr>
              <w:t> </w:t>
            </w:r>
            <w:r>
              <w:rPr>
                <w:color w:val="1A1A1A"/>
                <w:sz w:val="15"/>
              </w:rPr>
              <w:t>Modificado nº 2, en el que se observan diferentes</w:t>
            </w:r>
            <w:r>
              <w:rPr>
                <w:color w:val="1A1A1A"/>
                <w:spacing w:val="-4"/>
                <w:sz w:val="15"/>
              </w:rPr>
              <w:t> </w:t>
            </w:r>
            <w:r>
              <w:rPr>
                <w:color w:val="1A1A1A"/>
                <w:sz w:val="15"/>
              </w:rPr>
              <w:t>deficiencias.</w:t>
            </w:r>
          </w:p>
          <w:p>
            <w:pPr>
              <w:pStyle w:val="TableParagraph"/>
              <w:spacing w:line="182" w:lineRule="exact"/>
              <w:ind w:left="89"/>
              <w:jc w:val="both"/>
              <w:rPr>
                <w:sz w:val="15"/>
              </w:rPr>
            </w:pPr>
            <w:r>
              <w:rPr>
                <w:color w:val="1A1A1A"/>
                <w:sz w:val="15"/>
              </w:rPr>
              <w:t>21/580. Ocupación efectiva parcial. Se cierra por la actuación 23/055. Recepción,</w:t>
            </w:r>
          </w:p>
          <w:p>
            <w:pPr>
              <w:pStyle w:val="TableParagraph"/>
              <w:spacing w:line="162" w:lineRule="exact"/>
              <w:ind w:left="89"/>
              <w:jc w:val="both"/>
              <w:rPr>
                <w:sz w:val="15"/>
              </w:rPr>
            </w:pPr>
            <w:r>
              <w:rPr>
                <w:color w:val="1A1A1A"/>
                <w:sz w:val="15"/>
              </w:rPr>
              <w:t>en la que se formulan diferentes observaciones.</w:t>
            </w:r>
          </w:p>
        </w:tc>
      </w:tr>
      <w:tr>
        <w:trPr>
          <w:trHeight w:val="1844" w:hRule="atLeast"/>
        </w:trPr>
        <w:tc>
          <w:tcPr>
            <w:tcW w:w="2739" w:type="dxa"/>
          </w:tcPr>
          <w:p>
            <w:pPr>
              <w:pStyle w:val="TableParagraph"/>
              <w:rPr>
                <w:sz w:val="14"/>
              </w:rPr>
            </w:pPr>
          </w:p>
          <w:p>
            <w:pPr>
              <w:pStyle w:val="TableParagraph"/>
              <w:spacing w:line="242" w:lineRule="auto" w:before="106"/>
              <w:ind w:left="90" w:right="150"/>
              <w:rPr>
                <w:sz w:val="15"/>
              </w:rPr>
            </w:pPr>
            <w:r>
              <w:rPr>
                <w:sz w:val="15"/>
              </w:rPr>
              <w:t>No procede hacer ningún requerimiento al centro gestor ya que, por el tiempo transcurrido, si aportara documentación que permitiera cuantificar un daño al Tesoro Público, el derecho de la Hacienda Pública para solicitar el reintegro estaría prescrito.</w:t>
            </w:r>
          </w:p>
        </w:tc>
        <w:tc>
          <w:tcPr>
            <w:tcW w:w="5119" w:type="dxa"/>
          </w:tcPr>
          <w:p>
            <w:pPr>
              <w:pStyle w:val="TableParagraph"/>
              <w:spacing w:before="1"/>
              <w:ind w:left="89" w:right="54"/>
              <w:rPr>
                <w:sz w:val="15"/>
              </w:rPr>
            </w:pPr>
            <w:r>
              <w:rPr>
                <w:color w:val="1A1A1A"/>
                <w:sz w:val="15"/>
              </w:rPr>
              <w:t>09/238. Con fecha 12 de abril del 2018, se requiere la justificación del ingreso en el tesoro de las cantidades abonadas indebidamente. No se ha acreditado.</w:t>
            </w:r>
          </w:p>
          <w:p>
            <w:pPr>
              <w:pStyle w:val="TableParagraph"/>
              <w:spacing w:before="3"/>
              <w:ind w:left="89"/>
              <w:rPr>
                <w:sz w:val="15"/>
              </w:rPr>
            </w:pPr>
            <w:r>
              <w:rPr>
                <w:color w:val="1A1A1A"/>
                <w:sz w:val="15"/>
              </w:rPr>
              <w:t>09/673. Abono de cantidades sin justificar.</w:t>
            </w:r>
          </w:p>
          <w:p>
            <w:pPr>
              <w:pStyle w:val="TableParagraph"/>
              <w:spacing w:line="242" w:lineRule="auto"/>
              <w:ind w:left="89"/>
              <w:rPr>
                <w:sz w:val="15"/>
              </w:rPr>
            </w:pPr>
            <w:r>
              <w:rPr>
                <w:color w:val="1A1A1A"/>
                <w:sz w:val="15"/>
              </w:rPr>
              <w:t>09/797. Diferentes anomalías y errores con perjuicio económico para la administración.</w:t>
            </w:r>
          </w:p>
          <w:p>
            <w:pPr>
              <w:pStyle w:val="TableParagraph"/>
              <w:spacing w:line="242" w:lineRule="auto"/>
              <w:ind w:left="89"/>
              <w:rPr>
                <w:sz w:val="15"/>
              </w:rPr>
            </w:pPr>
            <w:r>
              <w:rPr>
                <w:color w:val="1A1A1A"/>
                <w:sz w:val="15"/>
              </w:rPr>
              <w:t>09/983. Obra incompleta que impide la utilización de varias infraestructuras aprobadas.</w:t>
            </w:r>
          </w:p>
          <w:p>
            <w:pPr>
              <w:pStyle w:val="TableParagraph"/>
              <w:spacing w:line="242" w:lineRule="auto"/>
              <w:ind w:left="89"/>
              <w:rPr>
                <w:sz w:val="15"/>
              </w:rPr>
            </w:pPr>
            <w:r>
              <w:rPr>
                <w:color w:val="1A1A1A"/>
                <w:sz w:val="15"/>
              </w:rPr>
              <w:t>10/097. Abono de mejoras ofertadas por contratista. unidades en concepto de movimiento de tierras y cimentación certificadas en momento no ajustado al</w:t>
            </w:r>
          </w:p>
          <w:p>
            <w:pPr>
              <w:pStyle w:val="TableParagraph"/>
              <w:spacing w:line="162" w:lineRule="exact"/>
              <w:ind w:left="89"/>
              <w:rPr>
                <w:sz w:val="15"/>
              </w:rPr>
            </w:pPr>
            <w:r>
              <w:rPr>
                <w:color w:val="1A1A1A"/>
                <w:sz w:val="15"/>
              </w:rPr>
              <w:t>proceso constructivo.</w:t>
            </w:r>
          </w:p>
        </w:tc>
      </w:tr>
      <w:tr>
        <w:trPr>
          <w:trHeight w:val="735" w:hRule="atLeast"/>
        </w:trPr>
        <w:tc>
          <w:tcPr>
            <w:tcW w:w="2739" w:type="dxa"/>
          </w:tcPr>
          <w:p>
            <w:pPr>
              <w:pStyle w:val="TableParagraph"/>
              <w:spacing w:line="242" w:lineRule="auto"/>
              <w:ind w:left="90" w:right="161"/>
              <w:rPr>
                <w:sz w:val="15"/>
              </w:rPr>
            </w:pPr>
            <w:r>
              <w:rPr>
                <w:sz w:val="15"/>
              </w:rPr>
              <w:t>No procede hacer ningún requerimiento al centro gestor.</w:t>
            </w:r>
          </w:p>
          <w:p>
            <w:pPr>
              <w:pStyle w:val="TableParagraph"/>
              <w:spacing w:line="182" w:lineRule="exact"/>
              <w:ind w:left="90"/>
              <w:rPr>
                <w:sz w:val="15"/>
              </w:rPr>
            </w:pPr>
            <w:r>
              <w:rPr>
                <w:sz w:val="15"/>
              </w:rPr>
              <w:t>No existen indicios de quebranto al</w:t>
            </w:r>
          </w:p>
          <w:p>
            <w:pPr>
              <w:pStyle w:val="TableParagraph"/>
              <w:spacing w:line="162" w:lineRule="exact" w:before="1"/>
              <w:ind w:left="90"/>
              <w:rPr>
                <w:sz w:val="15"/>
              </w:rPr>
            </w:pPr>
            <w:r>
              <w:rPr>
                <w:sz w:val="15"/>
              </w:rPr>
              <w:t>tesoro público</w:t>
            </w:r>
          </w:p>
        </w:tc>
        <w:tc>
          <w:tcPr>
            <w:tcW w:w="5119" w:type="dxa"/>
          </w:tcPr>
          <w:p>
            <w:pPr>
              <w:pStyle w:val="TableParagraph"/>
              <w:spacing w:line="242" w:lineRule="auto"/>
              <w:ind w:left="89" w:right="54"/>
              <w:rPr>
                <w:sz w:val="15"/>
              </w:rPr>
            </w:pPr>
            <w:r>
              <w:rPr>
                <w:color w:val="1A1A1A"/>
                <w:sz w:val="15"/>
              </w:rPr>
              <w:t>16/409. Imposibilidad de verificar los datos incluidos en las certificaciones. 16/644. Abono de obras ejecutadas y abonadas no incluidas en proyecto aprobado.</w:t>
            </w:r>
          </w:p>
        </w:tc>
      </w:tr>
      <w:tr>
        <w:trPr>
          <w:trHeight w:val="921" w:hRule="atLeast"/>
        </w:trPr>
        <w:tc>
          <w:tcPr>
            <w:tcW w:w="2739" w:type="dxa"/>
          </w:tcPr>
          <w:p>
            <w:pPr>
              <w:pStyle w:val="TableParagraph"/>
              <w:spacing w:before="1"/>
              <w:ind w:left="90" w:right="161"/>
              <w:rPr>
                <w:sz w:val="15"/>
              </w:rPr>
            </w:pPr>
            <w:r>
              <w:rPr>
                <w:sz w:val="15"/>
              </w:rPr>
              <w:t>No procede hacer ningún requerimiento al centro gestor.</w:t>
            </w:r>
          </w:p>
          <w:p>
            <w:pPr>
              <w:pStyle w:val="TableParagraph"/>
              <w:spacing w:before="3"/>
              <w:ind w:left="90" w:right="239"/>
              <w:rPr>
                <w:sz w:val="15"/>
              </w:rPr>
            </w:pPr>
            <w:r>
              <w:rPr>
                <w:sz w:val="15"/>
              </w:rPr>
              <w:t>Las deficiencias del expediente eran de carácter procedimental y no existen</w:t>
            </w:r>
          </w:p>
          <w:p>
            <w:pPr>
              <w:pStyle w:val="TableParagraph"/>
              <w:spacing w:line="162" w:lineRule="exact" w:before="3"/>
              <w:ind w:left="90"/>
              <w:rPr>
                <w:sz w:val="15"/>
              </w:rPr>
            </w:pPr>
            <w:r>
              <w:rPr>
                <w:sz w:val="15"/>
              </w:rPr>
              <w:t>indicios de quebranto al tesoro público</w:t>
            </w:r>
          </w:p>
        </w:tc>
        <w:tc>
          <w:tcPr>
            <w:tcW w:w="5119" w:type="dxa"/>
          </w:tcPr>
          <w:p>
            <w:pPr>
              <w:pStyle w:val="TableParagraph"/>
              <w:spacing w:before="1"/>
              <w:ind w:left="89"/>
              <w:rPr>
                <w:sz w:val="15"/>
              </w:rPr>
            </w:pPr>
            <w:r>
              <w:rPr>
                <w:color w:val="1A1A1A"/>
                <w:sz w:val="15"/>
              </w:rPr>
              <w:t>12/926. Cantidades abonadas de forma indebida.</w:t>
            </w:r>
          </w:p>
          <w:p>
            <w:pPr>
              <w:pStyle w:val="TableParagraph"/>
              <w:spacing w:line="242" w:lineRule="auto"/>
              <w:ind w:left="89"/>
              <w:rPr>
                <w:sz w:val="15"/>
              </w:rPr>
            </w:pPr>
            <w:r>
              <w:rPr>
                <w:color w:val="1A1A1A"/>
                <w:sz w:val="15"/>
              </w:rPr>
              <w:t>13/1322. El CG no ha remitido la documentación que permita llevar a cabo la comprobación material.</w:t>
            </w:r>
          </w:p>
        </w:tc>
      </w:tr>
      <w:tr>
        <w:trPr>
          <w:trHeight w:val="735" w:hRule="atLeast"/>
        </w:trPr>
        <w:tc>
          <w:tcPr>
            <w:tcW w:w="2739" w:type="dxa"/>
          </w:tcPr>
          <w:p>
            <w:pPr>
              <w:pStyle w:val="TableParagraph"/>
              <w:spacing w:line="242" w:lineRule="auto" w:before="1"/>
              <w:ind w:left="90" w:right="551"/>
              <w:rPr>
                <w:sz w:val="15"/>
              </w:rPr>
            </w:pPr>
            <w:r>
              <w:rPr>
                <w:sz w:val="15"/>
              </w:rPr>
              <w:t>Propuesta: hacer constar en el expediente la prescripción de los derechos de la Hacienda Pública a</w:t>
            </w:r>
          </w:p>
          <w:p>
            <w:pPr>
              <w:pStyle w:val="TableParagraph"/>
              <w:spacing w:line="159" w:lineRule="exact"/>
              <w:ind w:left="90"/>
              <w:rPr>
                <w:sz w:val="15"/>
              </w:rPr>
            </w:pPr>
            <w:r>
              <w:rPr>
                <w:sz w:val="15"/>
              </w:rPr>
              <w:t>liquidar créditos a su favor.</w:t>
            </w:r>
          </w:p>
        </w:tc>
        <w:tc>
          <w:tcPr>
            <w:tcW w:w="5119" w:type="dxa"/>
          </w:tcPr>
          <w:p>
            <w:pPr>
              <w:pStyle w:val="TableParagraph"/>
              <w:spacing w:line="242" w:lineRule="auto" w:before="1"/>
              <w:ind w:left="89" w:right="85"/>
              <w:jc w:val="both"/>
              <w:rPr>
                <w:sz w:val="15"/>
              </w:rPr>
            </w:pPr>
            <w:r>
              <w:rPr>
                <w:color w:val="1A1A1A"/>
                <w:sz w:val="15"/>
              </w:rPr>
              <w:t>14/252. La DG de recursos económicos, con fundamento en la propuesta de la IGCAC en escrito de 22 de septiembre de 2022, declara la prescripción por Resolución de 12 de julio de 2023.</w:t>
            </w:r>
          </w:p>
        </w:tc>
      </w:tr>
    </w:tbl>
    <w:p>
      <w:pPr>
        <w:pStyle w:val="BodyText"/>
      </w:pPr>
    </w:p>
    <w:p>
      <w:pPr>
        <w:pStyle w:val="BodyText"/>
        <w:spacing w:before="8"/>
        <w:rPr>
          <w:sz w:val="17"/>
        </w:rPr>
      </w:pPr>
    </w:p>
    <w:p>
      <w:pPr>
        <w:pStyle w:val="BodyText"/>
        <w:ind w:left="7787"/>
        <w:jc w:val="center"/>
      </w:pPr>
      <w:r>
        <w:rPr/>
        <w:t>191</w:t>
      </w:r>
    </w:p>
    <w:p>
      <w:pPr>
        <w:pStyle w:val="Heading1"/>
        <w:spacing w:before="4"/>
        <w:ind w:left="953"/>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9"/>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13" name="image5.png"/>
                  <wp:cNvGraphicFramePr>
                    <a:graphicFrameLocks noChangeAspect="1"/>
                  </wp:cNvGraphicFramePr>
                  <a:graphic>
                    <a:graphicData uri="http://schemas.openxmlformats.org/drawingml/2006/picture">
                      <pic:pic>
                        <pic:nvPicPr>
                          <pic:cNvPr id="41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193/247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11:14:27</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760" w:right="760"/>
        </w:sectPr>
      </w:pPr>
    </w:p>
    <w:p>
      <w:pPr>
        <w:pStyle w:val="BodyText"/>
        <w:spacing w:before="7"/>
        <w:rPr>
          <w:b/>
        </w:rPr>
      </w:pPr>
    </w:p>
    <w:p>
      <w:pPr>
        <w:spacing w:before="69"/>
        <w:ind w:left="2481" w:right="0" w:firstLine="0"/>
        <w:jc w:val="left"/>
        <w:rPr>
          <w:b/>
          <w:sz w:val="18"/>
        </w:rPr>
      </w:pPr>
      <w:r>
        <w:rPr>
          <w:b/>
          <w:color w:val="53A1B9"/>
          <w:w w:val="105"/>
          <w:sz w:val="18"/>
        </w:rPr>
        <w:t>10.14 Anexo XIV. Balance de situación y cuenta de pérdidas y ganancias de sociedades mercantiles y entidades públicas empresariales.</w:t>
      </w:r>
    </w:p>
    <w:p>
      <w:pPr>
        <w:spacing w:before="100"/>
        <w:ind w:left="2699" w:right="0" w:firstLine="0"/>
        <w:jc w:val="left"/>
        <w:rPr>
          <w:b/>
          <w:sz w:val="15"/>
        </w:rPr>
      </w:pPr>
      <w:r>
        <w:rPr>
          <w:b/>
          <w:w w:val="105"/>
          <w:sz w:val="15"/>
        </w:rPr>
        <w:t>BALANCE POR SOCIEDADES Y ENTIDADES 2021 (euros)</w:t>
      </w:r>
    </w:p>
    <w:tbl>
      <w:tblPr>
        <w:tblW w:w="0" w:type="auto"/>
        <w:jc w:val="left"/>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0"/>
        <w:gridCol w:w="838"/>
        <w:gridCol w:w="838"/>
        <w:gridCol w:w="638"/>
        <w:gridCol w:w="838"/>
        <w:gridCol w:w="838"/>
        <w:gridCol w:w="838"/>
        <w:gridCol w:w="838"/>
        <w:gridCol w:w="777"/>
        <w:gridCol w:w="775"/>
        <w:gridCol w:w="838"/>
        <w:gridCol w:w="838"/>
      </w:tblGrid>
      <w:tr>
        <w:trPr>
          <w:trHeight w:val="454" w:hRule="atLeast"/>
        </w:trPr>
        <w:tc>
          <w:tcPr>
            <w:tcW w:w="2490" w:type="dxa"/>
            <w:shd w:val="clear" w:color="auto" w:fill="D9E1F3"/>
          </w:tcPr>
          <w:p>
            <w:pPr>
              <w:pStyle w:val="TableParagraph"/>
              <w:spacing w:before="8"/>
              <w:rPr>
                <w:b/>
                <w:sz w:val="12"/>
              </w:rPr>
            </w:pPr>
          </w:p>
          <w:p>
            <w:pPr>
              <w:pStyle w:val="TableParagraph"/>
              <w:ind w:left="840" w:right="830"/>
              <w:jc w:val="center"/>
              <w:rPr>
                <w:b/>
                <w:sz w:val="12"/>
              </w:rPr>
            </w:pPr>
            <w:r>
              <w:rPr>
                <w:b/>
                <w:w w:val="105"/>
                <w:sz w:val="12"/>
              </w:rPr>
              <w:t>ACTIVO</w:t>
            </w:r>
          </w:p>
        </w:tc>
        <w:tc>
          <w:tcPr>
            <w:tcW w:w="838" w:type="dxa"/>
            <w:shd w:val="clear" w:color="auto" w:fill="D9E1F3"/>
          </w:tcPr>
          <w:p>
            <w:pPr>
              <w:pStyle w:val="TableParagraph"/>
              <w:spacing w:before="8"/>
              <w:rPr>
                <w:b/>
                <w:sz w:val="12"/>
              </w:rPr>
            </w:pPr>
          </w:p>
          <w:p>
            <w:pPr>
              <w:pStyle w:val="TableParagraph"/>
              <w:ind w:right="73"/>
              <w:jc w:val="right"/>
              <w:rPr>
                <w:b/>
                <w:sz w:val="12"/>
              </w:rPr>
            </w:pPr>
            <w:r>
              <w:rPr>
                <w:b/>
                <w:w w:val="105"/>
                <w:sz w:val="12"/>
              </w:rPr>
              <w:t>CCB MASPAL</w:t>
            </w:r>
          </w:p>
        </w:tc>
        <w:tc>
          <w:tcPr>
            <w:tcW w:w="838" w:type="dxa"/>
            <w:shd w:val="clear" w:color="auto" w:fill="D9E1F3"/>
          </w:tcPr>
          <w:p>
            <w:pPr>
              <w:pStyle w:val="TableParagraph"/>
              <w:spacing w:before="8"/>
              <w:rPr>
                <w:b/>
                <w:sz w:val="12"/>
              </w:rPr>
            </w:pPr>
          </w:p>
          <w:p>
            <w:pPr>
              <w:pStyle w:val="TableParagraph"/>
              <w:ind w:left="213"/>
              <w:rPr>
                <w:b/>
                <w:sz w:val="12"/>
              </w:rPr>
            </w:pPr>
            <w:r>
              <w:rPr>
                <w:b/>
                <w:w w:val="105"/>
                <w:sz w:val="12"/>
              </w:rPr>
              <w:t>CCB TFE</w:t>
            </w:r>
          </w:p>
        </w:tc>
        <w:tc>
          <w:tcPr>
            <w:tcW w:w="638" w:type="dxa"/>
            <w:shd w:val="clear" w:color="auto" w:fill="D9E1F3"/>
          </w:tcPr>
          <w:p>
            <w:pPr>
              <w:pStyle w:val="TableParagraph"/>
              <w:spacing w:before="78"/>
              <w:ind w:left="83"/>
              <w:rPr>
                <w:b/>
                <w:sz w:val="12"/>
              </w:rPr>
            </w:pPr>
            <w:r>
              <w:rPr>
                <w:b/>
                <w:w w:val="105"/>
                <w:sz w:val="12"/>
              </w:rPr>
              <w:t>ESSSCAN</w:t>
            </w:r>
          </w:p>
          <w:p>
            <w:pPr>
              <w:pStyle w:val="TableParagraph"/>
              <w:spacing w:before="7"/>
              <w:ind w:left="52"/>
              <w:rPr>
                <w:b/>
                <w:sz w:val="12"/>
              </w:rPr>
            </w:pPr>
            <w:r>
              <w:rPr>
                <w:b/>
                <w:w w:val="105"/>
                <w:sz w:val="12"/>
              </w:rPr>
              <w:t>Pendiente</w:t>
            </w:r>
          </w:p>
        </w:tc>
        <w:tc>
          <w:tcPr>
            <w:tcW w:w="838" w:type="dxa"/>
            <w:shd w:val="clear" w:color="auto" w:fill="D9E1F3"/>
          </w:tcPr>
          <w:p>
            <w:pPr>
              <w:pStyle w:val="TableParagraph"/>
              <w:spacing w:before="8"/>
              <w:rPr>
                <w:b/>
                <w:sz w:val="12"/>
              </w:rPr>
            </w:pPr>
          </w:p>
          <w:p>
            <w:pPr>
              <w:pStyle w:val="TableParagraph"/>
              <w:ind w:left="178"/>
              <w:rPr>
                <w:b/>
                <w:sz w:val="12"/>
              </w:rPr>
            </w:pPr>
            <w:r>
              <w:rPr>
                <w:b/>
                <w:w w:val="105"/>
                <w:sz w:val="12"/>
              </w:rPr>
              <w:t>GESPLAN</w:t>
            </w:r>
          </w:p>
        </w:tc>
        <w:tc>
          <w:tcPr>
            <w:tcW w:w="838" w:type="dxa"/>
            <w:shd w:val="clear" w:color="auto" w:fill="D9E1F3"/>
          </w:tcPr>
          <w:p>
            <w:pPr>
              <w:pStyle w:val="TableParagraph"/>
              <w:spacing w:before="8"/>
              <w:rPr>
                <w:b/>
                <w:sz w:val="12"/>
              </w:rPr>
            </w:pPr>
          </w:p>
          <w:p>
            <w:pPr>
              <w:pStyle w:val="TableParagraph"/>
              <w:ind w:left="264"/>
              <w:rPr>
                <w:b/>
                <w:sz w:val="12"/>
              </w:rPr>
            </w:pPr>
            <w:r>
              <w:rPr>
                <w:b/>
                <w:w w:val="105"/>
                <w:sz w:val="12"/>
              </w:rPr>
              <w:t>G.S.C.</w:t>
            </w:r>
          </w:p>
        </w:tc>
        <w:tc>
          <w:tcPr>
            <w:tcW w:w="838" w:type="dxa"/>
            <w:shd w:val="clear" w:color="auto" w:fill="D9E1F3"/>
          </w:tcPr>
          <w:p>
            <w:pPr>
              <w:pStyle w:val="TableParagraph"/>
              <w:spacing w:before="4"/>
              <w:ind w:left="118" w:right="114"/>
              <w:jc w:val="center"/>
              <w:rPr>
                <w:b/>
                <w:sz w:val="12"/>
              </w:rPr>
            </w:pPr>
            <w:r>
              <w:rPr>
                <w:b/>
                <w:w w:val="105"/>
                <w:sz w:val="12"/>
              </w:rPr>
              <w:t>GESTUR</w:t>
            </w:r>
            <w:r>
              <w:rPr>
                <w:b/>
                <w:spacing w:val="-11"/>
                <w:w w:val="105"/>
                <w:sz w:val="12"/>
              </w:rPr>
              <w:t> </w:t>
            </w:r>
            <w:r>
              <w:rPr>
                <w:b/>
                <w:w w:val="105"/>
                <w:sz w:val="12"/>
              </w:rPr>
              <w:t>LP</w:t>
            </w:r>
          </w:p>
          <w:p>
            <w:pPr>
              <w:pStyle w:val="TableParagraph"/>
              <w:spacing w:line="150" w:lineRule="atLeast" w:before="1"/>
              <w:ind w:left="110" w:right="107" w:firstLine="1"/>
              <w:jc w:val="center"/>
              <w:rPr>
                <w:b/>
                <w:sz w:val="12"/>
              </w:rPr>
            </w:pPr>
            <w:r>
              <w:rPr>
                <w:b/>
                <w:w w:val="105"/>
                <w:sz w:val="12"/>
              </w:rPr>
              <w:t>(en  </w:t>
            </w:r>
            <w:r>
              <w:rPr>
                <w:b/>
                <w:spacing w:val="-1"/>
                <w:w w:val="105"/>
                <w:sz w:val="12"/>
              </w:rPr>
              <w:t>liquidación)</w:t>
            </w:r>
          </w:p>
        </w:tc>
        <w:tc>
          <w:tcPr>
            <w:tcW w:w="838" w:type="dxa"/>
            <w:shd w:val="clear" w:color="auto" w:fill="D9E1F3"/>
          </w:tcPr>
          <w:p>
            <w:pPr>
              <w:pStyle w:val="TableParagraph"/>
              <w:spacing w:line="249" w:lineRule="auto" w:before="78"/>
              <w:ind w:left="149" w:firstLine="59"/>
              <w:rPr>
                <w:b/>
                <w:sz w:val="12"/>
              </w:rPr>
            </w:pPr>
            <w:r>
              <w:rPr>
                <w:b/>
                <w:w w:val="105"/>
                <w:sz w:val="12"/>
              </w:rPr>
              <w:t>GESTUR CANARIAS</w:t>
            </w:r>
          </w:p>
        </w:tc>
        <w:tc>
          <w:tcPr>
            <w:tcW w:w="777" w:type="dxa"/>
            <w:shd w:val="clear" w:color="auto" w:fill="D9E1F3"/>
          </w:tcPr>
          <w:p>
            <w:pPr>
              <w:pStyle w:val="TableParagraph"/>
              <w:spacing w:before="8"/>
              <w:rPr>
                <w:b/>
                <w:sz w:val="12"/>
              </w:rPr>
            </w:pPr>
          </w:p>
          <w:p>
            <w:pPr>
              <w:pStyle w:val="TableParagraph"/>
              <w:ind w:right="95"/>
              <w:jc w:val="right"/>
              <w:rPr>
                <w:b/>
                <w:sz w:val="12"/>
              </w:rPr>
            </w:pPr>
            <w:r>
              <w:rPr>
                <w:b/>
                <w:w w:val="105"/>
                <w:sz w:val="12"/>
              </w:rPr>
              <w:t>GM RURAL</w:t>
            </w:r>
          </w:p>
        </w:tc>
        <w:tc>
          <w:tcPr>
            <w:tcW w:w="775" w:type="dxa"/>
            <w:shd w:val="clear" w:color="auto" w:fill="D9E1F3"/>
          </w:tcPr>
          <w:p>
            <w:pPr>
              <w:pStyle w:val="TableParagraph"/>
              <w:spacing w:before="8"/>
              <w:rPr>
                <w:b/>
                <w:sz w:val="12"/>
              </w:rPr>
            </w:pPr>
          </w:p>
          <w:p>
            <w:pPr>
              <w:pStyle w:val="TableParagraph"/>
              <w:ind w:left="129"/>
              <w:rPr>
                <w:b/>
                <w:sz w:val="12"/>
              </w:rPr>
            </w:pPr>
            <w:r>
              <w:rPr>
                <w:b/>
                <w:w w:val="105"/>
                <w:sz w:val="12"/>
              </w:rPr>
              <w:t>GRAFCAN</w:t>
            </w:r>
          </w:p>
        </w:tc>
        <w:tc>
          <w:tcPr>
            <w:tcW w:w="838" w:type="dxa"/>
            <w:shd w:val="clear" w:color="auto" w:fill="D9E1F3"/>
          </w:tcPr>
          <w:p>
            <w:pPr>
              <w:pStyle w:val="TableParagraph"/>
              <w:spacing w:before="4"/>
              <w:ind w:left="232"/>
              <w:rPr>
                <w:b/>
                <w:sz w:val="12"/>
              </w:rPr>
            </w:pPr>
            <w:r>
              <w:rPr>
                <w:b/>
                <w:w w:val="105"/>
                <w:sz w:val="12"/>
              </w:rPr>
              <w:t>ASISTA</w:t>
            </w:r>
          </w:p>
          <w:p>
            <w:pPr>
              <w:pStyle w:val="TableParagraph"/>
              <w:spacing w:line="150" w:lineRule="atLeast" w:before="1"/>
              <w:ind w:left="152" w:firstLine="100"/>
              <w:rPr>
                <w:b/>
                <w:sz w:val="12"/>
              </w:rPr>
            </w:pPr>
            <w:r>
              <w:rPr>
                <w:b/>
                <w:w w:val="105"/>
                <w:sz w:val="12"/>
              </w:rPr>
              <w:t>(antes GRECASA)</w:t>
            </w:r>
          </w:p>
        </w:tc>
        <w:tc>
          <w:tcPr>
            <w:tcW w:w="838" w:type="dxa"/>
            <w:shd w:val="clear" w:color="auto" w:fill="D9E1F3"/>
          </w:tcPr>
          <w:p>
            <w:pPr>
              <w:pStyle w:val="TableParagraph"/>
              <w:spacing w:before="8"/>
              <w:rPr>
                <w:b/>
                <w:sz w:val="12"/>
              </w:rPr>
            </w:pPr>
          </w:p>
          <w:p>
            <w:pPr>
              <w:pStyle w:val="TableParagraph"/>
              <w:ind w:left="165"/>
              <w:rPr>
                <w:b/>
                <w:sz w:val="12"/>
              </w:rPr>
            </w:pPr>
            <w:r>
              <w:rPr>
                <w:b/>
                <w:w w:val="105"/>
                <w:sz w:val="12"/>
              </w:rPr>
              <w:t>HECANSA</w:t>
            </w:r>
          </w:p>
        </w:tc>
      </w:tr>
      <w:tr>
        <w:trPr>
          <w:trHeight w:val="183" w:hRule="atLeast"/>
        </w:trPr>
        <w:tc>
          <w:tcPr>
            <w:tcW w:w="2490" w:type="dxa"/>
          </w:tcPr>
          <w:p>
            <w:pPr>
              <w:pStyle w:val="TableParagraph"/>
              <w:spacing w:line="145" w:lineRule="exact" w:before="18"/>
              <w:ind w:left="54"/>
              <w:rPr>
                <w:b/>
                <w:sz w:val="12"/>
              </w:rPr>
            </w:pPr>
            <w:r>
              <w:rPr>
                <w:b/>
                <w:w w:val="105"/>
                <w:sz w:val="12"/>
              </w:rPr>
              <w:t>ACTIVO NO CORRIENTE</w:t>
            </w:r>
          </w:p>
        </w:tc>
        <w:tc>
          <w:tcPr>
            <w:tcW w:w="838" w:type="dxa"/>
          </w:tcPr>
          <w:p>
            <w:pPr>
              <w:pStyle w:val="TableParagraph"/>
              <w:spacing w:line="128" w:lineRule="exact" w:before="35"/>
              <w:ind w:right="41"/>
              <w:jc w:val="right"/>
              <w:rPr>
                <w:b/>
                <w:sz w:val="12"/>
              </w:rPr>
            </w:pPr>
            <w:r>
              <w:rPr>
                <w:b/>
                <w:w w:val="105"/>
                <w:sz w:val="12"/>
              </w:rPr>
              <w:t>22.761.052,84</w:t>
            </w:r>
          </w:p>
        </w:tc>
        <w:tc>
          <w:tcPr>
            <w:tcW w:w="838" w:type="dxa"/>
          </w:tcPr>
          <w:p>
            <w:pPr>
              <w:pStyle w:val="TableParagraph"/>
              <w:spacing w:line="128" w:lineRule="exact" w:before="35"/>
              <w:ind w:right="41"/>
              <w:jc w:val="right"/>
              <w:rPr>
                <w:b/>
                <w:sz w:val="12"/>
              </w:rPr>
            </w:pPr>
            <w:r>
              <w:rPr>
                <w:b/>
                <w:w w:val="105"/>
                <w:sz w:val="12"/>
              </w:rPr>
              <w:t>21.586.985,49</w:t>
            </w:r>
          </w:p>
        </w:tc>
        <w:tc>
          <w:tcPr>
            <w:tcW w:w="638" w:type="dxa"/>
          </w:tcPr>
          <w:p>
            <w:pPr>
              <w:pStyle w:val="TableParagraph"/>
              <w:spacing w:line="128" w:lineRule="exact" w:before="35"/>
              <w:ind w:right="46"/>
              <w:jc w:val="right"/>
              <w:rPr>
                <w:b/>
                <w:sz w:val="12"/>
              </w:rPr>
            </w:pPr>
            <w:r>
              <w:rPr>
                <w:b/>
                <w:w w:val="105"/>
                <w:sz w:val="12"/>
              </w:rPr>
              <w:t>0,00</w:t>
            </w:r>
          </w:p>
        </w:tc>
        <w:tc>
          <w:tcPr>
            <w:tcW w:w="838" w:type="dxa"/>
          </w:tcPr>
          <w:p>
            <w:pPr>
              <w:pStyle w:val="TableParagraph"/>
              <w:spacing w:line="128" w:lineRule="exact" w:before="35"/>
              <w:ind w:right="42"/>
              <w:jc w:val="right"/>
              <w:rPr>
                <w:b/>
                <w:sz w:val="12"/>
              </w:rPr>
            </w:pPr>
            <w:r>
              <w:rPr>
                <w:b/>
                <w:w w:val="105"/>
                <w:sz w:val="12"/>
              </w:rPr>
              <w:t>3.622.324,70</w:t>
            </w:r>
          </w:p>
        </w:tc>
        <w:tc>
          <w:tcPr>
            <w:tcW w:w="838" w:type="dxa"/>
          </w:tcPr>
          <w:p>
            <w:pPr>
              <w:pStyle w:val="TableParagraph"/>
              <w:spacing w:line="128" w:lineRule="exact" w:before="35"/>
              <w:ind w:right="43"/>
              <w:jc w:val="right"/>
              <w:rPr>
                <w:b/>
                <w:sz w:val="12"/>
              </w:rPr>
            </w:pPr>
            <w:r>
              <w:rPr>
                <w:b/>
                <w:w w:val="105"/>
                <w:sz w:val="12"/>
              </w:rPr>
              <w:t>4.349.555,48</w:t>
            </w:r>
          </w:p>
        </w:tc>
        <w:tc>
          <w:tcPr>
            <w:tcW w:w="838" w:type="dxa"/>
          </w:tcPr>
          <w:p>
            <w:pPr>
              <w:pStyle w:val="TableParagraph"/>
              <w:spacing w:line="128" w:lineRule="exact" w:before="35"/>
              <w:ind w:right="45"/>
              <w:jc w:val="right"/>
              <w:rPr>
                <w:b/>
                <w:sz w:val="12"/>
              </w:rPr>
            </w:pPr>
            <w:r>
              <w:rPr>
                <w:b/>
                <w:w w:val="105"/>
                <w:sz w:val="12"/>
              </w:rPr>
              <w:t>0,00</w:t>
            </w:r>
          </w:p>
        </w:tc>
        <w:tc>
          <w:tcPr>
            <w:tcW w:w="838" w:type="dxa"/>
          </w:tcPr>
          <w:p>
            <w:pPr>
              <w:pStyle w:val="TableParagraph"/>
              <w:spacing w:line="128" w:lineRule="exact" w:before="35"/>
              <w:ind w:right="42"/>
              <w:jc w:val="right"/>
              <w:rPr>
                <w:b/>
                <w:sz w:val="12"/>
              </w:rPr>
            </w:pPr>
            <w:r>
              <w:rPr>
                <w:b/>
                <w:w w:val="105"/>
                <w:sz w:val="12"/>
              </w:rPr>
              <w:t>16.164.742,80</w:t>
            </w:r>
          </w:p>
        </w:tc>
        <w:tc>
          <w:tcPr>
            <w:tcW w:w="777" w:type="dxa"/>
          </w:tcPr>
          <w:p>
            <w:pPr>
              <w:pStyle w:val="TableParagraph"/>
              <w:spacing w:line="128" w:lineRule="exact" w:before="35"/>
              <w:ind w:right="45"/>
              <w:jc w:val="right"/>
              <w:rPr>
                <w:b/>
                <w:sz w:val="12"/>
              </w:rPr>
            </w:pPr>
            <w:r>
              <w:rPr>
                <w:b/>
                <w:w w:val="105"/>
                <w:sz w:val="12"/>
              </w:rPr>
              <w:t>1.058.196,54</w:t>
            </w:r>
          </w:p>
        </w:tc>
        <w:tc>
          <w:tcPr>
            <w:tcW w:w="775" w:type="dxa"/>
          </w:tcPr>
          <w:p>
            <w:pPr>
              <w:pStyle w:val="TableParagraph"/>
              <w:spacing w:line="128" w:lineRule="exact" w:before="35"/>
              <w:ind w:right="46"/>
              <w:jc w:val="right"/>
              <w:rPr>
                <w:b/>
                <w:sz w:val="12"/>
              </w:rPr>
            </w:pPr>
            <w:r>
              <w:rPr>
                <w:b/>
                <w:w w:val="105"/>
                <w:sz w:val="12"/>
              </w:rPr>
              <w:t>5.528.829,96</w:t>
            </w:r>
          </w:p>
        </w:tc>
        <w:tc>
          <w:tcPr>
            <w:tcW w:w="838" w:type="dxa"/>
          </w:tcPr>
          <w:p>
            <w:pPr>
              <w:pStyle w:val="TableParagraph"/>
              <w:spacing w:line="128" w:lineRule="exact" w:before="35"/>
              <w:ind w:right="44"/>
              <w:jc w:val="right"/>
              <w:rPr>
                <w:b/>
                <w:sz w:val="12"/>
              </w:rPr>
            </w:pPr>
            <w:r>
              <w:rPr>
                <w:b/>
                <w:w w:val="105"/>
                <w:sz w:val="12"/>
              </w:rPr>
              <w:t>5.318.756,33</w:t>
            </w:r>
          </w:p>
        </w:tc>
        <w:tc>
          <w:tcPr>
            <w:tcW w:w="838" w:type="dxa"/>
          </w:tcPr>
          <w:p>
            <w:pPr>
              <w:pStyle w:val="TableParagraph"/>
              <w:spacing w:line="128" w:lineRule="exact" w:before="35"/>
              <w:ind w:right="45"/>
              <w:jc w:val="right"/>
              <w:rPr>
                <w:b/>
                <w:sz w:val="12"/>
              </w:rPr>
            </w:pPr>
            <w:r>
              <w:rPr>
                <w:b/>
                <w:w w:val="105"/>
                <w:sz w:val="12"/>
              </w:rPr>
              <w:t>31.756.667,00</w:t>
            </w:r>
          </w:p>
        </w:tc>
      </w:tr>
      <w:tr>
        <w:trPr>
          <w:trHeight w:val="184" w:hRule="atLeast"/>
        </w:trPr>
        <w:tc>
          <w:tcPr>
            <w:tcW w:w="2490" w:type="dxa"/>
          </w:tcPr>
          <w:p>
            <w:pPr>
              <w:pStyle w:val="TableParagraph"/>
              <w:spacing w:line="145" w:lineRule="exact" w:before="19"/>
              <w:ind w:left="54"/>
              <w:rPr>
                <w:sz w:val="12"/>
              </w:rPr>
            </w:pPr>
            <w:r>
              <w:rPr>
                <w:w w:val="105"/>
                <w:sz w:val="12"/>
              </w:rPr>
              <w:t>Inmovilizado intangible</w:t>
            </w:r>
          </w:p>
        </w:tc>
        <w:tc>
          <w:tcPr>
            <w:tcW w:w="838" w:type="dxa"/>
          </w:tcPr>
          <w:p>
            <w:pPr>
              <w:pStyle w:val="TableParagraph"/>
              <w:rPr>
                <w:rFonts w:ascii="Times New Roman"/>
                <w:sz w:val="12"/>
              </w:rPr>
            </w:pPr>
          </w:p>
        </w:tc>
        <w:tc>
          <w:tcPr>
            <w:tcW w:w="838" w:type="dxa"/>
          </w:tcPr>
          <w:p>
            <w:pPr>
              <w:pStyle w:val="TableParagraph"/>
              <w:spacing w:line="127" w:lineRule="exact" w:before="38"/>
              <w:ind w:right="42"/>
              <w:jc w:val="right"/>
              <w:rPr>
                <w:sz w:val="12"/>
              </w:rPr>
            </w:pPr>
            <w:r>
              <w:rPr>
                <w:sz w:val="12"/>
              </w:rPr>
              <w:t>416,41</w:t>
            </w:r>
          </w:p>
        </w:tc>
        <w:tc>
          <w:tcPr>
            <w:tcW w:w="638" w:type="dxa"/>
          </w:tcPr>
          <w:p>
            <w:pPr>
              <w:pStyle w:val="TableParagraph"/>
              <w:rPr>
                <w:rFonts w:ascii="Times New Roman"/>
                <w:sz w:val="12"/>
              </w:rPr>
            </w:pPr>
          </w:p>
        </w:tc>
        <w:tc>
          <w:tcPr>
            <w:tcW w:w="838" w:type="dxa"/>
          </w:tcPr>
          <w:p>
            <w:pPr>
              <w:pStyle w:val="TableParagraph"/>
              <w:spacing w:line="127" w:lineRule="exact" w:before="38"/>
              <w:ind w:right="43"/>
              <w:jc w:val="right"/>
              <w:rPr>
                <w:sz w:val="12"/>
              </w:rPr>
            </w:pPr>
            <w:r>
              <w:rPr>
                <w:w w:val="105"/>
                <w:sz w:val="12"/>
              </w:rPr>
              <w:t>38.448,35</w:t>
            </w:r>
          </w:p>
        </w:tc>
        <w:tc>
          <w:tcPr>
            <w:tcW w:w="838" w:type="dxa"/>
          </w:tcPr>
          <w:p>
            <w:pPr>
              <w:pStyle w:val="TableParagraph"/>
              <w:spacing w:line="127" w:lineRule="exact" w:before="38"/>
              <w:ind w:right="43"/>
              <w:jc w:val="right"/>
              <w:rPr>
                <w:sz w:val="12"/>
              </w:rPr>
            </w:pPr>
            <w:r>
              <w:rPr>
                <w:w w:val="105"/>
                <w:sz w:val="12"/>
              </w:rPr>
              <w:t>1.452.655,21</w:t>
            </w:r>
          </w:p>
        </w:tc>
        <w:tc>
          <w:tcPr>
            <w:tcW w:w="838" w:type="dxa"/>
          </w:tcPr>
          <w:p>
            <w:pPr>
              <w:pStyle w:val="TableParagraph"/>
              <w:rPr>
                <w:rFonts w:ascii="Times New Roman"/>
                <w:sz w:val="12"/>
              </w:rPr>
            </w:pPr>
          </w:p>
        </w:tc>
        <w:tc>
          <w:tcPr>
            <w:tcW w:w="838" w:type="dxa"/>
          </w:tcPr>
          <w:p>
            <w:pPr>
              <w:pStyle w:val="TableParagraph"/>
              <w:spacing w:line="127" w:lineRule="exact" w:before="38"/>
              <w:ind w:right="42"/>
              <w:jc w:val="right"/>
              <w:rPr>
                <w:sz w:val="12"/>
              </w:rPr>
            </w:pPr>
            <w:r>
              <w:rPr>
                <w:w w:val="105"/>
                <w:sz w:val="12"/>
              </w:rPr>
              <w:t>4.042,89</w:t>
            </w:r>
          </w:p>
        </w:tc>
        <w:tc>
          <w:tcPr>
            <w:tcW w:w="777" w:type="dxa"/>
          </w:tcPr>
          <w:p>
            <w:pPr>
              <w:pStyle w:val="TableParagraph"/>
              <w:spacing w:line="127" w:lineRule="exact" w:before="38"/>
              <w:ind w:right="45"/>
              <w:jc w:val="right"/>
              <w:rPr>
                <w:sz w:val="12"/>
              </w:rPr>
            </w:pPr>
            <w:r>
              <w:rPr>
                <w:w w:val="105"/>
                <w:sz w:val="12"/>
              </w:rPr>
              <w:t>17.323,89</w:t>
            </w:r>
          </w:p>
        </w:tc>
        <w:tc>
          <w:tcPr>
            <w:tcW w:w="775" w:type="dxa"/>
          </w:tcPr>
          <w:p>
            <w:pPr>
              <w:pStyle w:val="TableParagraph"/>
              <w:spacing w:line="127" w:lineRule="exact" w:before="38"/>
              <w:ind w:right="46"/>
              <w:jc w:val="right"/>
              <w:rPr>
                <w:sz w:val="12"/>
              </w:rPr>
            </w:pPr>
            <w:r>
              <w:rPr>
                <w:w w:val="105"/>
                <w:sz w:val="12"/>
              </w:rPr>
              <w:t>2.758.208,09</w:t>
            </w:r>
          </w:p>
        </w:tc>
        <w:tc>
          <w:tcPr>
            <w:tcW w:w="838" w:type="dxa"/>
          </w:tcPr>
          <w:p>
            <w:pPr>
              <w:pStyle w:val="TableParagraph"/>
              <w:spacing w:line="127" w:lineRule="exact" w:before="38"/>
              <w:ind w:right="45"/>
              <w:jc w:val="right"/>
              <w:rPr>
                <w:sz w:val="12"/>
              </w:rPr>
            </w:pPr>
            <w:r>
              <w:rPr>
                <w:w w:val="105"/>
                <w:sz w:val="12"/>
              </w:rPr>
              <w:t>51.753,78</w:t>
            </w:r>
          </w:p>
        </w:tc>
        <w:tc>
          <w:tcPr>
            <w:tcW w:w="838" w:type="dxa"/>
          </w:tcPr>
          <w:p>
            <w:pPr>
              <w:pStyle w:val="TableParagraph"/>
              <w:spacing w:line="127" w:lineRule="exact" w:before="38"/>
              <w:ind w:right="45"/>
              <w:jc w:val="right"/>
              <w:rPr>
                <w:sz w:val="12"/>
              </w:rPr>
            </w:pPr>
            <w:r>
              <w:rPr>
                <w:w w:val="105"/>
                <w:sz w:val="12"/>
              </w:rPr>
              <w:t>1.181.765,00</w:t>
            </w:r>
          </w:p>
        </w:tc>
      </w:tr>
      <w:tr>
        <w:trPr>
          <w:trHeight w:val="183" w:hRule="atLeast"/>
        </w:trPr>
        <w:tc>
          <w:tcPr>
            <w:tcW w:w="2490" w:type="dxa"/>
          </w:tcPr>
          <w:p>
            <w:pPr>
              <w:pStyle w:val="TableParagraph"/>
              <w:spacing w:line="145" w:lineRule="exact" w:before="18"/>
              <w:ind w:left="54"/>
              <w:rPr>
                <w:sz w:val="12"/>
              </w:rPr>
            </w:pPr>
            <w:r>
              <w:rPr>
                <w:w w:val="105"/>
                <w:sz w:val="12"/>
              </w:rPr>
              <w:t>Inmovilizado material</w:t>
            </w:r>
          </w:p>
        </w:tc>
        <w:tc>
          <w:tcPr>
            <w:tcW w:w="838" w:type="dxa"/>
          </w:tcPr>
          <w:p>
            <w:pPr>
              <w:pStyle w:val="TableParagraph"/>
              <w:spacing w:line="127" w:lineRule="exact" w:before="37"/>
              <w:ind w:right="42"/>
              <w:jc w:val="right"/>
              <w:rPr>
                <w:sz w:val="12"/>
              </w:rPr>
            </w:pPr>
            <w:r>
              <w:rPr>
                <w:w w:val="105"/>
                <w:sz w:val="12"/>
              </w:rPr>
              <w:t>221.667,07</w:t>
            </w:r>
          </w:p>
        </w:tc>
        <w:tc>
          <w:tcPr>
            <w:tcW w:w="838" w:type="dxa"/>
          </w:tcPr>
          <w:p>
            <w:pPr>
              <w:pStyle w:val="TableParagraph"/>
              <w:spacing w:line="127" w:lineRule="exact" w:before="37"/>
              <w:ind w:right="42"/>
              <w:jc w:val="right"/>
              <w:rPr>
                <w:sz w:val="12"/>
              </w:rPr>
            </w:pPr>
            <w:r>
              <w:rPr>
                <w:w w:val="105"/>
                <w:sz w:val="12"/>
              </w:rPr>
              <w:t>616.237,24</w:t>
            </w:r>
          </w:p>
        </w:tc>
        <w:tc>
          <w:tcPr>
            <w:tcW w:w="638" w:type="dxa"/>
          </w:tcPr>
          <w:p>
            <w:pPr>
              <w:pStyle w:val="TableParagraph"/>
              <w:rPr>
                <w:rFonts w:ascii="Times New Roman"/>
                <w:sz w:val="12"/>
              </w:rPr>
            </w:pPr>
          </w:p>
        </w:tc>
        <w:tc>
          <w:tcPr>
            <w:tcW w:w="838" w:type="dxa"/>
          </w:tcPr>
          <w:p>
            <w:pPr>
              <w:pStyle w:val="TableParagraph"/>
              <w:spacing w:line="127" w:lineRule="exact" w:before="37"/>
              <w:ind w:right="42"/>
              <w:jc w:val="right"/>
              <w:rPr>
                <w:sz w:val="12"/>
              </w:rPr>
            </w:pPr>
            <w:r>
              <w:rPr>
                <w:w w:val="105"/>
                <w:sz w:val="12"/>
              </w:rPr>
              <w:t>2.745.522,08</w:t>
            </w:r>
          </w:p>
        </w:tc>
        <w:tc>
          <w:tcPr>
            <w:tcW w:w="838" w:type="dxa"/>
          </w:tcPr>
          <w:p>
            <w:pPr>
              <w:pStyle w:val="TableParagraph"/>
              <w:spacing w:line="127" w:lineRule="exact" w:before="37"/>
              <w:ind w:right="43"/>
              <w:jc w:val="right"/>
              <w:rPr>
                <w:sz w:val="12"/>
              </w:rPr>
            </w:pPr>
            <w:r>
              <w:rPr>
                <w:w w:val="105"/>
                <w:sz w:val="12"/>
              </w:rPr>
              <w:t>2.878.229,78</w:t>
            </w:r>
          </w:p>
        </w:tc>
        <w:tc>
          <w:tcPr>
            <w:tcW w:w="838" w:type="dxa"/>
          </w:tcPr>
          <w:p>
            <w:pPr>
              <w:pStyle w:val="TableParagraph"/>
              <w:rPr>
                <w:rFonts w:ascii="Times New Roman"/>
                <w:sz w:val="12"/>
              </w:rPr>
            </w:pPr>
          </w:p>
        </w:tc>
        <w:tc>
          <w:tcPr>
            <w:tcW w:w="838" w:type="dxa"/>
          </w:tcPr>
          <w:p>
            <w:pPr>
              <w:pStyle w:val="TableParagraph"/>
              <w:spacing w:line="127" w:lineRule="exact" w:before="37"/>
              <w:ind w:right="42"/>
              <w:jc w:val="right"/>
              <w:rPr>
                <w:sz w:val="12"/>
              </w:rPr>
            </w:pPr>
            <w:r>
              <w:rPr>
                <w:w w:val="105"/>
                <w:sz w:val="12"/>
              </w:rPr>
              <w:t>1.454.808,91</w:t>
            </w:r>
          </w:p>
        </w:tc>
        <w:tc>
          <w:tcPr>
            <w:tcW w:w="777" w:type="dxa"/>
          </w:tcPr>
          <w:p>
            <w:pPr>
              <w:pStyle w:val="TableParagraph"/>
              <w:spacing w:line="127" w:lineRule="exact" w:before="37"/>
              <w:ind w:right="45"/>
              <w:jc w:val="right"/>
              <w:rPr>
                <w:sz w:val="12"/>
              </w:rPr>
            </w:pPr>
            <w:r>
              <w:rPr>
                <w:w w:val="105"/>
                <w:sz w:val="12"/>
              </w:rPr>
              <w:t>321.351,92</w:t>
            </w:r>
          </w:p>
        </w:tc>
        <w:tc>
          <w:tcPr>
            <w:tcW w:w="775" w:type="dxa"/>
          </w:tcPr>
          <w:p>
            <w:pPr>
              <w:pStyle w:val="TableParagraph"/>
              <w:spacing w:line="127" w:lineRule="exact" w:before="37"/>
              <w:ind w:right="46"/>
              <w:jc w:val="right"/>
              <w:rPr>
                <w:sz w:val="12"/>
              </w:rPr>
            </w:pPr>
            <w:r>
              <w:rPr>
                <w:w w:val="105"/>
                <w:sz w:val="12"/>
              </w:rPr>
              <w:t>2.396.048,20</w:t>
            </w:r>
          </w:p>
        </w:tc>
        <w:tc>
          <w:tcPr>
            <w:tcW w:w="838" w:type="dxa"/>
          </w:tcPr>
          <w:p>
            <w:pPr>
              <w:pStyle w:val="TableParagraph"/>
              <w:spacing w:line="127" w:lineRule="exact" w:before="37"/>
              <w:ind w:right="44"/>
              <w:jc w:val="right"/>
              <w:rPr>
                <w:sz w:val="12"/>
              </w:rPr>
            </w:pPr>
            <w:r>
              <w:rPr>
                <w:w w:val="105"/>
                <w:sz w:val="12"/>
              </w:rPr>
              <w:t>3.210.869,26</w:t>
            </w:r>
          </w:p>
        </w:tc>
        <w:tc>
          <w:tcPr>
            <w:tcW w:w="838" w:type="dxa"/>
          </w:tcPr>
          <w:p>
            <w:pPr>
              <w:pStyle w:val="TableParagraph"/>
              <w:spacing w:line="127" w:lineRule="exact" w:before="37"/>
              <w:ind w:right="45"/>
              <w:jc w:val="right"/>
              <w:rPr>
                <w:sz w:val="12"/>
              </w:rPr>
            </w:pPr>
            <w:r>
              <w:rPr>
                <w:w w:val="105"/>
                <w:sz w:val="12"/>
              </w:rPr>
              <w:t>26.509.762,00</w:t>
            </w:r>
          </w:p>
        </w:tc>
      </w:tr>
      <w:tr>
        <w:trPr>
          <w:trHeight w:val="183" w:hRule="atLeast"/>
        </w:trPr>
        <w:tc>
          <w:tcPr>
            <w:tcW w:w="2490" w:type="dxa"/>
          </w:tcPr>
          <w:p>
            <w:pPr>
              <w:pStyle w:val="TableParagraph"/>
              <w:spacing w:line="143" w:lineRule="exact" w:before="20"/>
              <w:ind w:left="54"/>
              <w:rPr>
                <w:sz w:val="12"/>
              </w:rPr>
            </w:pPr>
            <w:r>
              <w:rPr>
                <w:w w:val="105"/>
                <w:sz w:val="12"/>
              </w:rPr>
              <w:t>Inversiones inmobiliarias</w:t>
            </w:r>
          </w:p>
        </w:tc>
        <w:tc>
          <w:tcPr>
            <w:tcW w:w="838" w:type="dxa"/>
          </w:tcPr>
          <w:p>
            <w:pPr>
              <w:pStyle w:val="TableParagraph"/>
              <w:spacing w:line="127" w:lineRule="exact" w:before="37"/>
              <w:ind w:right="42"/>
              <w:jc w:val="right"/>
              <w:rPr>
                <w:sz w:val="12"/>
              </w:rPr>
            </w:pPr>
            <w:r>
              <w:rPr>
                <w:w w:val="105"/>
                <w:sz w:val="12"/>
              </w:rPr>
              <w:t>22.539.385,77</w:t>
            </w:r>
          </w:p>
        </w:tc>
        <w:tc>
          <w:tcPr>
            <w:tcW w:w="838" w:type="dxa"/>
          </w:tcPr>
          <w:p>
            <w:pPr>
              <w:pStyle w:val="TableParagraph"/>
              <w:spacing w:line="127" w:lineRule="exact" w:before="37"/>
              <w:ind w:right="42"/>
              <w:jc w:val="right"/>
              <w:rPr>
                <w:sz w:val="12"/>
              </w:rPr>
            </w:pPr>
            <w:r>
              <w:rPr>
                <w:w w:val="105"/>
                <w:sz w:val="12"/>
              </w:rPr>
              <w:t>20.970.331,84</w:t>
            </w:r>
          </w:p>
        </w:tc>
        <w:tc>
          <w:tcPr>
            <w:tcW w:w="638" w:type="dxa"/>
          </w:tcPr>
          <w:p>
            <w:pPr>
              <w:pStyle w:val="TableParagraph"/>
              <w:rPr>
                <w:rFonts w:ascii="Times New Roman"/>
                <w:sz w:val="12"/>
              </w:rPr>
            </w:pPr>
          </w:p>
        </w:tc>
        <w:tc>
          <w:tcPr>
            <w:tcW w:w="838" w:type="dxa"/>
          </w:tcPr>
          <w:p>
            <w:pPr>
              <w:pStyle w:val="TableParagraph"/>
              <w:spacing w:line="127" w:lineRule="exact" w:before="37"/>
              <w:ind w:right="43"/>
              <w:jc w:val="right"/>
              <w:rPr>
                <w:sz w:val="12"/>
              </w:rPr>
            </w:pPr>
            <w:r>
              <w:rPr>
                <w:w w:val="105"/>
                <w:sz w:val="12"/>
              </w:rPr>
              <w:t>182.972,08</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spacing w:line="127" w:lineRule="exact" w:before="37"/>
              <w:ind w:right="42"/>
              <w:jc w:val="right"/>
              <w:rPr>
                <w:sz w:val="12"/>
              </w:rPr>
            </w:pPr>
            <w:r>
              <w:rPr>
                <w:w w:val="105"/>
                <w:sz w:val="12"/>
              </w:rPr>
              <w:t>14.207.801,86</w:t>
            </w:r>
          </w:p>
        </w:tc>
        <w:tc>
          <w:tcPr>
            <w:tcW w:w="777" w:type="dxa"/>
          </w:tcPr>
          <w:p>
            <w:pPr>
              <w:pStyle w:val="TableParagraph"/>
              <w:spacing w:line="127" w:lineRule="exact" w:before="37"/>
              <w:ind w:right="45"/>
              <w:jc w:val="right"/>
              <w:rPr>
                <w:sz w:val="12"/>
              </w:rPr>
            </w:pPr>
            <w:r>
              <w:rPr>
                <w:w w:val="105"/>
                <w:sz w:val="12"/>
              </w:rPr>
              <w:t>431.363,05</w:t>
            </w:r>
          </w:p>
        </w:tc>
        <w:tc>
          <w:tcPr>
            <w:tcW w:w="775" w:type="dxa"/>
          </w:tcPr>
          <w:p>
            <w:pPr>
              <w:pStyle w:val="TableParagraph"/>
              <w:rPr>
                <w:rFonts w:ascii="Times New Roman"/>
                <w:sz w:val="12"/>
              </w:rPr>
            </w:pPr>
          </w:p>
        </w:tc>
        <w:tc>
          <w:tcPr>
            <w:tcW w:w="838" w:type="dxa"/>
          </w:tcPr>
          <w:p>
            <w:pPr>
              <w:pStyle w:val="TableParagraph"/>
              <w:spacing w:line="127" w:lineRule="exact" w:before="37"/>
              <w:ind w:right="44"/>
              <w:jc w:val="right"/>
              <w:rPr>
                <w:sz w:val="12"/>
              </w:rPr>
            </w:pPr>
            <w:r>
              <w:rPr>
                <w:w w:val="105"/>
                <w:sz w:val="12"/>
              </w:rPr>
              <w:t>1.977.169,72</w:t>
            </w:r>
          </w:p>
        </w:tc>
        <w:tc>
          <w:tcPr>
            <w:tcW w:w="838" w:type="dxa"/>
          </w:tcPr>
          <w:p>
            <w:pPr>
              <w:pStyle w:val="TableParagraph"/>
              <w:spacing w:line="127" w:lineRule="exact" w:before="37"/>
              <w:ind w:right="45"/>
              <w:jc w:val="right"/>
              <w:rPr>
                <w:sz w:val="12"/>
              </w:rPr>
            </w:pPr>
            <w:r>
              <w:rPr>
                <w:w w:val="105"/>
                <w:sz w:val="12"/>
              </w:rPr>
              <w:t>4.058.839,00</w:t>
            </w:r>
          </w:p>
        </w:tc>
      </w:tr>
      <w:tr>
        <w:trPr>
          <w:trHeight w:val="301" w:hRule="atLeast"/>
        </w:trPr>
        <w:tc>
          <w:tcPr>
            <w:tcW w:w="2490" w:type="dxa"/>
          </w:tcPr>
          <w:p>
            <w:pPr>
              <w:pStyle w:val="TableParagraph"/>
              <w:spacing w:before="2"/>
              <w:ind w:left="54"/>
              <w:rPr>
                <w:sz w:val="12"/>
              </w:rPr>
            </w:pPr>
            <w:r>
              <w:rPr>
                <w:w w:val="105"/>
                <w:sz w:val="12"/>
              </w:rPr>
              <w:t>Inversiones en entidades del grupo y asociadas</w:t>
            </w:r>
          </w:p>
          <w:p>
            <w:pPr>
              <w:pStyle w:val="TableParagraph"/>
              <w:spacing w:line="127" w:lineRule="exact" w:before="6"/>
              <w:ind w:left="54"/>
              <w:rPr>
                <w:sz w:val="12"/>
              </w:rPr>
            </w:pPr>
            <w:r>
              <w:rPr>
                <w:w w:val="105"/>
                <w:sz w:val="12"/>
              </w:rPr>
              <w:t>a largo plazo</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6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777" w:type="dxa"/>
          </w:tcPr>
          <w:p>
            <w:pPr>
              <w:pStyle w:val="TableParagraph"/>
              <w:rPr>
                <w:rFonts w:ascii="Times New Roman"/>
                <w:sz w:val="12"/>
              </w:rPr>
            </w:pPr>
          </w:p>
        </w:tc>
        <w:tc>
          <w:tcPr>
            <w:tcW w:w="775" w:type="dxa"/>
          </w:tcPr>
          <w:p>
            <w:pPr>
              <w:pStyle w:val="TableParagraph"/>
              <w:spacing w:before="8"/>
              <w:rPr>
                <w:b/>
                <w:sz w:val="12"/>
              </w:rPr>
            </w:pPr>
          </w:p>
          <w:p>
            <w:pPr>
              <w:pStyle w:val="TableParagraph"/>
              <w:spacing w:line="127" w:lineRule="exact"/>
              <w:ind w:right="46"/>
              <w:jc w:val="right"/>
              <w:rPr>
                <w:sz w:val="12"/>
              </w:rPr>
            </w:pPr>
            <w:r>
              <w:rPr>
                <w:w w:val="105"/>
                <w:sz w:val="12"/>
              </w:rPr>
              <w:t>374.573,67</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r>
      <w:tr>
        <w:trPr>
          <w:trHeight w:val="183" w:hRule="atLeast"/>
        </w:trPr>
        <w:tc>
          <w:tcPr>
            <w:tcW w:w="2490" w:type="dxa"/>
          </w:tcPr>
          <w:p>
            <w:pPr>
              <w:pStyle w:val="TableParagraph"/>
              <w:spacing w:line="143" w:lineRule="exact" w:before="20"/>
              <w:ind w:left="54"/>
              <w:rPr>
                <w:sz w:val="12"/>
              </w:rPr>
            </w:pPr>
            <w:r>
              <w:rPr>
                <w:w w:val="105"/>
                <w:sz w:val="12"/>
              </w:rPr>
              <w:t>Inversiones financieras a largo plazo</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638" w:type="dxa"/>
          </w:tcPr>
          <w:p>
            <w:pPr>
              <w:pStyle w:val="TableParagraph"/>
              <w:rPr>
                <w:rFonts w:ascii="Times New Roman"/>
                <w:sz w:val="12"/>
              </w:rPr>
            </w:pPr>
          </w:p>
        </w:tc>
        <w:tc>
          <w:tcPr>
            <w:tcW w:w="838" w:type="dxa"/>
          </w:tcPr>
          <w:p>
            <w:pPr>
              <w:pStyle w:val="TableParagraph"/>
              <w:spacing w:line="127" w:lineRule="exact" w:before="37"/>
              <w:ind w:right="43"/>
              <w:jc w:val="right"/>
              <w:rPr>
                <w:sz w:val="12"/>
              </w:rPr>
            </w:pPr>
            <w:r>
              <w:rPr>
                <w:w w:val="105"/>
                <w:sz w:val="12"/>
              </w:rPr>
              <w:t>44.218,03</w:t>
            </w:r>
          </w:p>
        </w:tc>
        <w:tc>
          <w:tcPr>
            <w:tcW w:w="838" w:type="dxa"/>
          </w:tcPr>
          <w:p>
            <w:pPr>
              <w:pStyle w:val="TableParagraph"/>
              <w:spacing w:line="127" w:lineRule="exact" w:before="37"/>
              <w:ind w:right="43"/>
              <w:jc w:val="right"/>
              <w:rPr>
                <w:sz w:val="12"/>
              </w:rPr>
            </w:pPr>
            <w:r>
              <w:rPr>
                <w:w w:val="105"/>
                <w:sz w:val="12"/>
              </w:rPr>
              <w:t>18.670,49</w:t>
            </w:r>
          </w:p>
        </w:tc>
        <w:tc>
          <w:tcPr>
            <w:tcW w:w="838" w:type="dxa"/>
          </w:tcPr>
          <w:p>
            <w:pPr>
              <w:pStyle w:val="TableParagraph"/>
              <w:rPr>
                <w:rFonts w:ascii="Times New Roman"/>
                <w:sz w:val="12"/>
              </w:rPr>
            </w:pPr>
          </w:p>
        </w:tc>
        <w:tc>
          <w:tcPr>
            <w:tcW w:w="838" w:type="dxa"/>
          </w:tcPr>
          <w:p>
            <w:pPr>
              <w:pStyle w:val="TableParagraph"/>
              <w:spacing w:line="127" w:lineRule="exact" w:before="37"/>
              <w:ind w:right="42"/>
              <w:jc w:val="right"/>
              <w:rPr>
                <w:sz w:val="12"/>
              </w:rPr>
            </w:pPr>
            <w:r>
              <w:rPr>
                <w:w w:val="105"/>
                <w:sz w:val="12"/>
              </w:rPr>
              <w:t>498.089,14</w:t>
            </w:r>
          </w:p>
        </w:tc>
        <w:tc>
          <w:tcPr>
            <w:tcW w:w="777" w:type="dxa"/>
          </w:tcPr>
          <w:p>
            <w:pPr>
              <w:pStyle w:val="TableParagraph"/>
              <w:spacing w:line="127" w:lineRule="exact" w:before="37"/>
              <w:ind w:right="45"/>
              <w:jc w:val="right"/>
              <w:rPr>
                <w:sz w:val="12"/>
              </w:rPr>
            </w:pPr>
            <w:r>
              <w:rPr>
                <w:w w:val="105"/>
                <w:sz w:val="12"/>
              </w:rPr>
              <w:t>288.157,68</w:t>
            </w:r>
          </w:p>
        </w:tc>
        <w:tc>
          <w:tcPr>
            <w:tcW w:w="775" w:type="dxa"/>
          </w:tcPr>
          <w:p>
            <w:pPr>
              <w:pStyle w:val="TableParagraph"/>
              <w:rPr>
                <w:rFonts w:ascii="Times New Roman"/>
                <w:sz w:val="12"/>
              </w:rPr>
            </w:pPr>
          </w:p>
        </w:tc>
        <w:tc>
          <w:tcPr>
            <w:tcW w:w="838" w:type="dxa"/>
          </w:tcPr>
          <w:p>
            <w:pPr>
              <w:pStyle w:val="TableParagraph"/>
              <w:spacing w:line="127" w:lineRule="exact" w:before="37"/>
              <w:ind w:right="45"/>
              <w:jc w:val="right"/>
              <w:rPr>
                <w:sz w:val="12"/>
              </w:rPr>
            </w:pPr>
            <w:r>
              <w:rPr>
                <w:w w:val="105"/>
                <w:sz w:val="12"/>
              </w:rPr>
              <w:t>36.458,00</w:t>
            </w:r>
          </w:p>
        </w:tc>
        <w:tc>
          <w:tcPr>
            <w:tcW w:w="838" w:type="dxa"/>
          </w:tcPr>
          <w:p>
            <w:pPr>
              <w:pStyle w:val="TableParagraph"/>
              <w:spacing w:line="127" w:lineRule="exact" w:before="37"/>
              <w:ind w:right="45"/>
              <w:jc w:val="right"/>
              <w:rPr>
                <w:sz w:val="12"/>
              </w:rPr>
            </w:pPr>
            <w:r>
              <w:rPr>
                <w:w w:val="105"/>
                <w:sz w:val="12"/>
              </w:rPr>
              <w:t>6.301,00</w:t>
            </w:r>
          </w:p>
        </w:tc>
      </w:tr>
      <w:tr>
        <w:trPr>
          <w:trHeight w:val="185" w:hRule="atLeast"/>
        </w:trPr>
        <w:tc>
          <w:tcPr>
            <w:tcW w:w="2490" w:type="dxa"/>
          </w:tcPr>
          <w:p>
            <w:pPr>
              <w:pStyle w:val="TableParagraph"/>
              <w:spacing w:line="145" w:lineRule="exact" w:before="20"/>
              <w:ind w:left="54"/>
              <w:rPr>
                <w:sz w:val="12"/>
              </w:rPr>
            </w:pPr>
            <w:r>
              <w:rPr>
                <w:w w:val="105"/>
                <w:sz w:val="12"/>
              </w:rPr>
              <w:t>Activos por impuesto diferido</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638" w:type="dxa"/>
          </w:tcPr>
          <w:p>
            <w:pPr>
              <w:pStyle w:val="TableParagraph"/>
              <w:rPr>
                <w:rFonts w:ascii="Times New Roman"/>
                <w:sz w:val="12"/>
              </w:rPr>
            </w:pPr>
          </w:p>
        </w:tc>
        <w:tc>
          <w:tcPr>
            <w:tcW w:w="838" w:type="dxa"/>
          </w:tcPr>
          <w:p>
            <w:pPr>
              <w:pStyle w:val="TableParagraph"/>
              <w:spacing w:line="128" w:lineRule="exact" w:before="37"/>
              <w:ind w:right="43"/>
              <w:jc w:val="right"/>
              <w:rPr>
                <w:sz w:val="12"/>
              </w:rPr>
            </w:pPr>
            <w:r>
              <w:rPr>
                <w:w w:val="105"/>
                <w:sz w:val="12"/>
              </w:rPr>
              <w:t>611.164,16</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777" w:type="dxa"/>
          </w:tcPr>
          <w:p>
            <w:pPr>
              <w:pStyle w:val="TableParagraph"/>
              <w:rPr>
                <w:rFonts w:ascii="Times New Roman"/>
                <w:sz w:val="12"/>
              </w:rPr>
            </w:pPr>
          </w:p>
        </w:tc>
        <w:tc>
          <w:tcPr>
            <w:tcW w:w="775" w:type="dxa"/>
          </w:tcPr>
          <w:p>
            <w:pPr>
              <w:pStyle w:val="TableParagraph"/>
              <w:rPr>
                <w:rFonts w:ascii="Times New Roman"/>
                <w:sz w:val="12"/>
              </w:rPr>
            </w:pPr>
          </w:p>
        </w:tc>
        <w:tc>
          <w:tcPr>
            <w:tcW w:w="838" w:type="dxa"/>
          </w:tcPr>
          <w:p>
            <w:pPr>
              <w:pStyle w:val="TableParagraph"/>
              <w:spacing w:line="128" w:lineRule="exact" w:before="37"/>
              <w:ind w:right="45"/>
              <w:jc w:val="right"/>
              <w:rPr>
                <w:sz w:val="12"/>
              </w:rPr>
            </w:pPr>
            <w:r>
              <w:rPr>
                <w:w w:val="105"/>
                <w:sz w:val="12"/>
              </w:rPr>
              <w:t>42.505,57</w:t>
            </w:r>
          </w:p>
        </w:tc>
        <w:tc>
          <w:tcPr>
            <w:tcW w:w="838" w:type="dxa"/>
          </w:tcPr>
          <w:p>
            <w:pPr>
              <w:pStyle w:val="TableParagraph"/>
              <w:rPr>
                <w:rFonts w:ascii="Times New Roman"/>
                <w:sz w:val="12"/>
              </w:rPr>
            </w:pPr>
          </w:p>
        </w:tc>
      </w:tr>
      <w:tr>
        <w:trPr>
          <w:trHeight w:val="183" w:hRule="atLeast"/>
        </w:trPr>
        <w:tc>
          <w:tcPr>
            <w:tcW w:w="2490" w:type="dxa"/>
          </w:tcPr>
          <w:p>
            <w:pPr>
              <w:pStyle w:val="TableParagraph"/>
              <w:spacing w:line="145" w:lineRule="exact" w:before="18"/>
              <w:ind w:left="54"/>
              <w:rPr>
                <w:sz w:val="12"/>
              </w:rPr>
            </w:pPr>
            <w:r>
              <w:rPr>
                <w:w w:val="105"/>
                <w:sz w:val="12"/>
              </w:rPr>
              <w:t>Deudores comerciales no corrientes</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6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777" w:type="dxa"/>
          </w:tcPr>
          <w:p>
            <w:pPr>
              <w:pStyle w:val="TableParagraph"/>
              <w:rPr>
                <w:rFonts w:ascii="Times New Roman"/>
                <w:sz w:val="12"/>
              </w:rPr>
            </w:pPr>
          </w:p>
        </w:tc>
        <w:tc>
          <w:tcPr>
            <w:tcW w:w="775"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r>
      <w:tr>
        <w:trPr>
          <w:trHeight w:val="183" w:hRule="atLeast"/>
        </w:trPr>
        <w:tc>
          <w:tcPr>
            <w:tcW w:w="2490" w:type="dxa"/>
          </w:tcPr>
          <w:p>
            <w:pPr>
              <w:pStyle w:val="TableParagraph"/>
              <w:spacing w:line="145" w:lineRule="exact" w:before="18"/>
              <w:ind w:left="54"/>
              <w:rPr>
                <w:sz w:val="12"/>
              </w:rPr>
            </w:pPr>
            <w:r>
              <w:rPr>
                <w:w w:val="105"/>
                <w:sz w:val="12"/>
              </w:rPr>
              <w:t>Fondo de comercio de entidades consolidadas</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6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777" w:type="dxa"/>
          </w:tcPr>
          <w:p>
            <w:pPr>
              <w:pStyle w:val="TableParagraph"/>
              <w:rPr>
                <w:rFonts w:ascii="Times New Roman"/>
                <w:sz w:val="12"/>
              </w:rPr>
            </w:pPr>
          </w:p>
        </w:tc>
        <w:tc>
          <w:tcPr>
            <w:tcW w:w="775"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r>
      <w:tr>
        <w:trPr>
          <w:trHeight w:val="183" w:hRule="atLeast"/>
        </w:trPr>
        <w:tc>
          <w:tcPr>
            <w:tcW w:w="2490" w:type="dxa"/>
          </w:tcPr>
          <w:p>
            <w:pPr>
              <w:pStyle w:val="TableParagraph"/>
              <w:spacing w:line="145" w:lineRule="exact" w:before="18"/>
              <w:ind w:left="54"/>
              <w:rPr>
                <w:b/>
                <w:sz w:val="12"/>
              </w:rPr>
            </w:pPr>
            <w:r>
              <w:rPr>
                <w:b/>
                <w:w w:val="105"/>
                <w:sz w:val="12"/>
              </w:rPr>
              <w:t>ACTIVO CORRIENTE</w:t>
            </w:r>
          </w:p>
        </w:tc>
        <w:tc>
          <w:tcPr>
            <w:tcW w:w="838" w:type="dxa"/>
          </w:tcPr>
          <w:p>
            <w:pPr>
              <w:pStyle w:val="TableParagraph"/>
              <w:spacing w:line="145" w:lineRule="exact" w:before="18"/>
              <w:ind w:right="42"/>
              <w:jc w:val="right"/>
              <w:rPr>
                <w:b/>
                <w:sz w:val="12"/>
              </w:rPr>
            </w:pPr>
            <w:r>
              <w:rPr>
                <w:b/>
                <w:w w:val="105"/>
                <w:sz w:val="12"/>
              </w:rPr>
              <w:t>293.819,72</w:t>
            </w:r>
          </w:p>
        </w:tc>
        <w:tc>
          <w:tcPr>
            <w:tcW w:w="838" w:type="dxa"/>
          </w:tcPr>
          <w:p>
            <w:pPr>
              <w:pStyle w:val="TableParagraph"/>
              <w:spacing w:line="145" w:lineRule="exact" w:before="18"/>
              <w:ind w:right="42"/>
              <w:jc w:val="right"/>
              <w:rPr>
                <w:b/>
                <w:sz w:val="12"/>
              </w:rPr>
            </w:pPr>
            <w:r>
              <w:rPr>
                <w:b/>
                <w:w w:val="105"/>
                <w:sz w:val="12"/>
              </w:rPr>
              <w:t>916.421,77</w:t>
            </w:r>
          </w:p>
        </w:tc>
        <w:tc>
          <w:tcPr>
            <w:tcW w:w="638" w:type="dxa"/>
          </w:tcPr>
          <w:p>
            <w:pPr>
              <w:pStyle w:val="TableParagraph"/>
              <w:spacing w:line="145" w:lineRule="exact" w:before="18"/>
              <w:ind w:right="46"/>
              <w:jc w:val="right"/>
              <w:rPr>
                <w:b/>
                <w:sz w:val="12"/>
              </w:rPr>
            </w:pPr>
            <w:r>
              <w:rPr>
                <w:b/>
                <w:w w:val="105"/>
                <w:sz w:val="12"/>
              </w:rPr>
              <w:t>0,00</w:t>
            </w:r>
          </w:p>
        </w:tc>
        <w:tc>
          <w:tcPr>
            <w:tcW w:w="838" w:type="dxa"/>
          </w:tcPr>
          <w:p>
            <w:pPr>
              <w:pStyle w:val="TableParagraph"/>
              <w:spacing w:line="145" w:lineRule="exact" w:before="18"/>
              <w:ind w:right="42"/>
              <w:jc w:val="right"/>
              <w:rPr>
                <w:b/>
                <w:sz w:val="12"/>
              </w:rPr>
            </w:pPr>
            <w:r>
              <w:rPr>
                <w:b/>
                <w:w w:val="105"/>
                <w:sz w:val="12"/>
              </w:rPr>
              <w:t>25.496.780,69</w:t>
            </w:r>
          </w:p>
        </w:tc>
        <w:tc>
          <w:tcPr>
            <w:tcW w:w="838" w:type="dxa"/>
          </w:tcPr>
          <w:p>
            <w:pPr>
              <w:pStyle w:val="TableParagraph"/>
              <w:spacing w:line="145" w:lineRule="exact" w:before="18"/>
              <w:ind w:right="43"/>
              <w:jc w:val="right"/>
              <w:rPr>
                <w:b/>
                <w:sz w:val="12"/>
              </w:rPr>
            </w:pPr>
            <w:r>
              <w:rPr>
                <w:b/>
                <w:w w:val="105"/>
                <w:sz w:val="12"/>
              </w:rPr>
              <w:t>22.156.287,04</w:t>
            </w:r>
          </w:p>
        </w:tc>
        <w:tc>
          <w:tcPr>
            <w:tcW w:w="838" w:type="dxa"/>
          </w:tcPr>
          <w:p>
            <w:pPr>
              <w:pStyle w:val="TableParagraph"/>
              <w:spacing w:line="145" w:lineRule="exact" w:before="18"/>
              <w:ind w:right="43"/>
              <w:jc w:val="right"/>
              <w:rPr>
                <w:b/>
                <w:sz w:val="12"/>
              </w:rPr>
            </w:pPr>
            <w:r>
              <w:rPr>
                <w:b/>
                <w:w w:val="105"/>
                <w:sz w:val="12"/>
              </w:rPr>
              <w:t>12.371.192,29</w:t>
            </w:r>
          </w:p>
        </w:tc>
        <w:tc>
          <w:tcPr>
            <w:tcW w:w="838" w:type="dxa"/>
          </w:tcPr>
          <w:p>
            <w:pPr>
              <w:pStyle w:val="TableParagraph"/>
              <w:spacing w:line="145" w:lineRule="exact" w:before="18"/>
              <w:ind w:right="42"/>
              <w:jc w:val="right"/>
              <w:rPr>
                <w:b/>
                <w:sz w:val="12"/>
              </w:rPr>
            </w:pPr>
            <w:r>
              <w:rPr>
                <w:b/>
                <w:w w:val="105"/>
                <w:sz w:val="12"/>
              </w:rPr>
              <w:t>39.027.993,44</w:t>
            </w:r>
          </w:p>
        </w:tc>
        <w:tc>
          <w:tcPr>
            <w:tcW w:w="777" w:type="dxa"/>
          </w:tcPr>
          <w:p>
            <w:pPr>
              <w:pStyle w:val="TableParagraph"/>
              <w:spacing w:line="145" w:lineRule="exact" w:before="18"/>
              <w:ind w:right="45"/>
              <w:jc w:val="right"/>
              <w:rPr>
                <w:b/>
                <w:sz w:val="12"/>
              </w:rPr>
            </w:pPr>
            <w:r>
              <w:rPr>
                <w:b/>
                <w:w w:val="105"/>
                <w:sz w:val="12"/>
              </w:rPr>
              <w:t>6.881.728,84</w:t>
            </w:r>
          </w:p>
        </w:tc>
        <w:tc>
          <w:tcPr>
            <w:tcW w:w="775" w:type="dxa"/>
          </w:tcPr>
          <w:p>
            <w:pPr>
              <w:pStyle w:val="TableParagraph"/>
              <w:spacing w:line="145" w:lineRule="exact" w:before="18"/>
              <w:ind w:right="46"/>
              <w:jc w:val="right"/>
              <w:rPr>
                <w:b/>
                <w:sz w:val="12"/>
              </w:rPr>
            </w:pPr>
            <w:r>
              <w:rPr>
                <w:b/>
                <w:w w:val="105"/>
                <w:sz w:val="12"/>
              </w:rPr>
              <w:t>4.408.156,31</w:t>
            </w:r>
          </w:p>
        </w:tc>
        <w:tc>
          <w:tcPr>
            <w:tcW w:w="838" w:type="dxa"/>
          </w:tcPr>
          <w:p>
            <w:pPr>
              <w:pStyle w:val="TableParagraph"/>
              <w:spacing w:line="145" w:lineRule="exact" w:before="18"/>
              <w:ind w:right="44"/>
              <w:jc w:val="right"/>
              <w:rPr>
                <w:b/>
                <w:sz w:val="12"/>
              </w:rPr>
            </w:pPr>
            <w:r>
              <w:rPr>
                <w:b/>
                <w:w w:val="105"/>
                <w:sz w:val="12"/>
              </w:rPr>
              <w:t>20.133.184,09</w:t>
            </w:r>
          </w:p>
        </w:tc>
        <w:tc>
          <w:tcPr>
            <w:tcW w:w="838" w:type="dxa"/>
          </w:tcPr>
          <w:p>
            <w:pPr>
              <w:pStyle w:val="TableParagraph"/>
              <w:spacing w:line="145" w:lineRule="exact" w:before="18"/>
              <w:ind w:right="45"/>
              <w:jc w:val="right"/>
              <w:rPr>
                <w:b/>
                <w:sz w:val="12"/>
              </w:rPr>
            </w:pPr>
            <w:r>
              <w:rPr>
                <w:b/>
                <w:w w:val="105"/>
                <w:sz w:val="12"/>
              </w:rPr>
              <w:t>5.042.922,00</w:t>
            </w:r>
          </w:p>
        </w:tc>
      </w:tr>
      <w:tr>
        <w:trPr>
          <w:trHeight w:val="183" w:hRule="atLeast"/>
        </w:trPr>
        <w:tc>
          <w:tcPr>
            <w:tcW w:w="2490" w:type="dxa"/>
          </w:tcPr>
          <w:p>
            <w:pPr>
              <w:pStyle w:val="TableParagraph"/>
              <w:spacing w:line="143" w:lineRule="exact" w:before="20"/>
              <w:ind w:left="54"/>
              <w:rPr>
                <w:sz w:val="12"/>
              </w:rPr>
            </w:pPr>
            <w:r>
              <w:rPr>
                <w:w w:val="105"/>
                <w:sz w:val="12"/>
              </w:rPr>
              <w:t>Activos no corrientes mantenidos para la venta</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6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777" w:type="dxa"/>
          </w:tcPr>
          <w:p>
            <w:pPr>
              <w:pStyle w:val="TableParagraph"/>
              <w:rPr>
                <w:rFonts w:ascii="Times New Roman"/>
                <w:sz w:val="12"/>
              </w:rPr>
            </w:pPr>
          </w:p>
        </w:tc>
        <w:tc>
          <w:tcPr>
            <w:tcW w:w="775"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r>
      <w:tr>
        <w:trPr>
          <w:trHeight w:val="184" w:hRule="atLeast"/>
        </w:trPr>
        <w:tc>
          <w:tcPr>
            <w:tcW w:w="2490" w:type="dxa"/>
          </w:tcPr>
          <w:p>
            <w:pPr>
              <w:pStyle w:val="TableParagraph"/>
              <w:spacing w:line="143" w:lineRule="exact" w:before="21"/>
              <w:ind w:left="54"/>
              <w:rPr>
                <w:sz w:val="12"/>
              </w:rPr>
            </w:pPr>
            <w:r>
              <w:rPr>
                <w:w w:val="105"/>
                <w:sz w:val="12"/>
              </w:rPr>
              <w:t>Existencias</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638" w:type="dxa"/>
          </w:tcPr>
          <w:p>
            <w:pPr>
              <w:pStyle w:val="TableParagraph"/>
              <w:rPr>
                <w:rFonts w:ascii="Times New Roman"/>
                <w:sz w:val="12"/>
              </w:rPr>
            </w:pPr>
          </w:p>
        </w:tc>
        <w:tc>
          <w:tcPr>
            <w:tcW w:w="838" w:type="dxa"/>
          </w:tcPr>
          <w:p>
            <w:pPr>
              <w:pStyle w:val="TableParagraph"/>
              <w:spacing w:line="127" w:lineRule="exact" w:before="37"/>
              <w:ind w:right="43"/>
              <w:jc w:val="right"/>
              <w:rPr>
                <w:sz w:val="12"/>
              </w:rPr>
            </w:pPr>
            <w:r>
              <w:rPr>
                <w:w w:val="105"/>
                <w:sz w:val="12"/>
              </w:rPr>
              <w:t>328.839,10</w:t>
            </w:r>
          </w:p>
        </w:tc>
        <w:tc>
          <w:tcPr>
            <w:tcW w:w="838" w:type="dxa"/>
          </w:tcPr>
          <w:p>
            <w:pPr>
              <w:pStyle w:val="TableParagraph"/>
              <w:rPr>
                <w:rFonts w:ascii="Times New Roman"/>
                <w:sz w:val="12"/>
              </w:rPr>
            </w:pPr>
          </w:p>
        </w:tc>
        <w:tc>
          <w:tcPr>
            <w:tcW w:w="838" w:type="dxa"/>
          </w:tcPr>
          <w:p>
            <w:pPr>
              <w:pStyle w:val="TableParagraph"/>
              <w:spacing w:line="127" w:lineRule="exact" w:before="37"/>
              <w:ind w:right="43"/>
              <w:jc w:val="right"/>
              <w:rPr>
                <w:sz w:val="12"/>
              </w:rPr>
            </w:pPr>
            <w:r>
              <w:rPr>
                <w:w w:val="105"/>
                <w:sz w:val="12"/>
              </w:rPr>
              <w:t>10.934.748,29</w:t>
            </w:r>
          </w:p>
        </w:tc>
        <w:tc>
          <w:tcPr>
            <w:tcW w:w="838" w:type="dxa"/>
          </w:tcPr>
          <w:p>
            <w:pPr>
              <w:pStyle w:val="TableParagraph"/>
              <w:spacing w:line="127" w:lineRule="exact" w:before="37"/>
              <w:ind w:right="42"/>
              <w:jc w:val="right"/>
              <w:rPr>
                <w:sz w:val="12"/>
              </w:rPr>
            </w:pPr>
            <w:r>
              <w:rPr>
                <w:w w:val="105"/>
                <w:sz w:val="12"/>
              </w:rPr>
              <w:t>26.923.187,47</w:t>
            </w:r>
          </w:p>
        </w:tc>
        <w:tc>
          <w:tcPr>
            <w:tcW w:w="777" w:type="dxa"/>
          </w:tcPr>
          <w:p>
            <w:pPr>
              <w:pStyle w:val="TableParagraph"/>
              <w:spacing w:line="127" w:lineRule="exact" w:before="37"/>
              <w:ind w:right="45"/>
              <w:jc w:val="right"/>
              <w:rPr>
                <w:sz w:val="12"/>
              </w:rPr>
            </w:pPr>
            <w:r>
              <w:rPr>
                <w:w w:val="105"/>
                <w:sz w:val="12"/>
              </w:rPr>
              <w:t>256.878,16</w:t>
            </w:r>
          </w:p>
        </w:tc>
        <w:tc>
          <w:tcPr>
            <w:tcW w:w="775" w:type="dxa"/>
          </w:tcPr>
          <w:p>
            <w:pPr>
              <w:pStyle w:val="TableParagraph"/>
              <w:rPr>
                <w:rFonts w:ascii="Times New Roman"/>
                <w:sz w:val="12"/>
              </w:rPr>
            </w:pPr>
          </w:p>
        </w:tc>
        <w:tc>
          <w:tcPr>
            <w:tcW w:w="838" w:type="dxa"/>
          </w:tcPr>
          <w:p>
            <w:pPr>
              <w:pStyle w:val="TableParagraph"/>
              <w:spacing w:line="127" w:lineRule="exact" w:before="37"/>
              <w:ind w:right="45"/>
              <w:jc w:val="right"/>
              <w:rPr>
                <w:sz w:val="12"/>
              </w:rPr>
            </w:pPr>
            <w:r>
              <w:rPr>
                <w:w w:val="105"/>
                <w:sz w:val="12"/>
              </w:rPr>
              <w:t>2.410,00</w:t>
            </w:r>
          </w:p>
        </w:tc>
        <w:tc>
          <w:tcPr>
            <w:tcW w:w="838" w:type="dxa"/>
          </w:tcPr>
          <w:p>
            <w:pPr>
              <w:pStyle w:val="TableParagraph"/>
              <w:spacing w:line="127" w:lineRule="exact" w:before="37"/>
              <w:ind w:right="45"/>
              <w:jc w:val="right"/>
              <w:rPr>
                <w:sz w:val="12"/>
              </w:rPr>
            </w:pPr>
            <w:r>
              <w:rPr>
                <w:w w:val="105"/>
                <w:sz w:val="12"/>
              </w:rPr>
              <w:t>145.221,00</w:t>
            </w:r>
          </w:p>
        </w:tc>
      </w:tr>
      <w:tr>
        <w:trPr>
          <w:trHeight w:val="185" w:hRule="atLeast"/>
        </w:trPr>
        <w:tc>
          <w:tcPr>
            <w:tcW w:w="2490" w:type="dxa"/>
          </w:tcPr>
          <w:p>
            <w:pPr>
              <w:pStyle w:val="TableParagraph"/>
              <w:spacing w:line="145" w:lineRule="exact" w:before="20"/>
              <w:ind w:left="54"/>
              <w:rPr>
                <w:sz w:val="12"/>
              </w:rPr>
            </w:pPr>
            <w:r>
              <w:rPr>
                <w:w w:val="105"/>
                <w:sz w:val="12"/>
              </w:rPr>
              <w:t>Deudores comerciales y otras cuentas a cobrar</w:t>
            </w:r>
          </w:p>
        </w:tc>
        <w:tc>
          <w:tcPr>
            <w:tcW w:w="838" w:type="dxa"/>
          </w:tcPr>
          <w:p>
            <w:pPr>
              <w:pStyle w:val="TableParagraph"/>
              <w:spacing w:line="128" w:lineRule="exact" w:before="37"/>
              <w:ind w:right="42"/>
              <w:jc w:val="right"/>
              <w:rPr>
                <w:sz w:val="12"/>
              </w:rPr>
            </w:pPr>
            <w:r>
              <w:rPr>
                <w:w w:val="105"/>
                <w:sz w:val="12"/>
              </w:rPr>
              <w:t>225.000,00</w:t>
            </w:r>
          </w:p>
        </w:tc>
        <w:tc>
          <w:tcPr>
            <w:tcW w:w="838" w:type="dxa"/>
          </w:tcPr>
          <w:p>
            <w:pPr>
              <w:pStyle w:val="TableParagraph"/>
              <w:spacing w:line="128" w:lineRule="exact" w:before="37"/>
              <w:ind w:right="42"/>
              <w:jc w:val="right"/>
              <w:rPr>
                <w:sz w:val="12"/>
              </w:rPr>
            </w:pPr>
            <w:r>
              <w:rPr>
                <w:w w:val="105"/>
                <w:sz w:val="12"/>
              </w:rPr>
              <w:t>377.348,47</w:t>
            </w:r>
          </w:p>
        </w:tc>
        <w:tc>
          <w:tcPr>
            <w:tcW w:w="638" w:type="dxa"/>
          </w:tcPr>
          <w:p>
            <w:pPr>
              <w:pStyle w:val="TableParagraph"/>
              <w:rPr>
                <w:rFonts w:ascii="Times New Roman"/>
                <w:sz w:val="12"/>
              </w:rPr>
            </w:pPr>
          </w:p>
        </w:tc>
        <w:tc>
          <w:tcPr>
            <w:tcW w:w="838" w:type="dxa"/>
          </w:tcPr>
          <w:p>
            <w:pPr>
              <w:pStyle w:val="TableParagraph"/>
              <w:spacing w:line="128" w:lineRule="exact" w:before="37"/>
              <w:ind w:right="43"/>
              <w:jc w:val="right"/>
              <w:rPr>
                <w:sz w:val="12"/>
              </w:rPr>
            </w:pPr>
            <w:r>
              <w:rPr>
                <w:w w:val="105"/>
                <w:sz w:val="12"/>
              </w:rPr>
              <w:t>18.584.454,67</w:t>
            </w:r>
          </w:p>
        </w:tc>
        <w:tc>
          <w:tcPr>
            <w:tcW w:w="838" w:type="dxa"/>
          </w:tcPr>
          <w:p>
            <w:pPr>
              <w:pStyle w:val="TableParagraph"/>
              <w:spacing w:line="128" w:lineRule="exact" w:before="37"/>
              <w:ind w:right="43"/>
              <w:jc w:val="right"/>
              <w:rPr>
                <w:sz w:val="12"/>
              </w:rPr>
            </w:pPr>
            <w:r>
              <w:rPr>
                <w:w w:val="105"/>
                <w:sz w:val="12"/>
              </w:rPr>
              <w:t>9.088.008,51</w:t>
            </w:r>
          </w:p>
        </w:tc>
        <w:tc>
          <w:tcPr>
            <w:tcW w:w="838" w:type="dxa"/>
          </w:tcPr>
          <w:p>
            <w:pPr>
              <w:pStyle w:val="TableParagraph"/>
              <w:spacing w:line="128" w:lineRule="exact" w:before="37"/>
              <w:ind w:right="44"/>
              <w:jc w:val="right"/>
              <w:rPr>
                <w:sz w:val="12"/>
              </w:rPr>
            </w:pPr>
            <w:r>
              <w:rPr>
                <w:w w:val="105"/>
                <w:sz w:val="12"/>
              </w:rPr>
              <w:t>252.170,38</w:t>
            </w:r>
          </w:p>
        </w:tc>
        <w:tc>
          <w:tcPr>
            <w:tcW w:w="838" w:type="dxa"/>
          </w:tcPr>
          <w:p>
            <w:pPr>
              <w:pStyle w:val="TableParagraph"/>
              <w:spacing w:line="128" w:lineRule="exact" w:before="37"/>
              <w:ind w:right="42"/>
              <w:jc w:val="right"/>
              <w:rPr>
                <w:sz w:val="12"/>
              </w:rPr>
            </w:pPr>
            <w:r>
              <w:rPr>
                <w:w w:val="105"/>
                <w:sz w:val="12"/>
              </w:rPr>
              <w:t>1.605.775,08</w:t>
            </w:r>
          </w:p>
        </w:tc>
        <w:tc>
          <w:tcPr>
            <w:tcW w:w="777" w:type="dxa"/>
          </w:tcPr>
          <w:p>
            <w:pPr>
              <w:pStyle w:val="TableParagraph"/>
              <w:spacing w:line="128" w:lineRule="exact" w:before="37"/>
              <w:ind w:right="45"/>
              <w:jc w:val="right"/>
              <w:rPr>
                <w:sz w:val="12"/>
              </w:rPr>
            </w:pPr>
            <w:r>
              <w:rPr>
                <w:w w:val="105"/>
                <w:sz w:val="12"/>
              </w:rPr>
              <w:t>5.164.439,58</w:t>
            </w:r>
          </w:p>
        </w:tc>
        <w:tc>
          <w:tcPr>
            <w:tcW w:w="775" w:type="dxa"/>
          </w:tcPr>
          <w:p>
            <w:pPr>
              <w:pStyle w:val="TableParagraph"/>
              <w:spacing w:line="128" w:lineRule="exact" w:before="37"/>
              <w:ind w:right="46"/>
              <w:jc w:val="right"/>
              <w:rPr>
                <w:sz w:val="12"/>
              </w:rPr>
            </w:pPr>
            <w:r>
              <w:rPr>
                <w:w w:val="105"/>
                <w:sz w:val="12"/>
              </w:rPr>
              <w:t>4.337.348,78</w:t>
            </w:r>
          </w:p>
        </w:tc>
        <w:tc>
          <w:tcPr>
            <w:tcW w:w="838" w:type="dxa"/>
          </w:tcPr>
          <w:p>
            <w:pPr>
              <w:pStyle w:val="TableParagraph"/>
              <w:spacing w:line="128" w:lineRule="exact" w:before="37"/>
              <w:ind w:right="44"/>
              <w:jc w:val="right"/>
              <w:rPr>
                <w:sz w:val="12"/>
              </w:rPr>
            </w:pPr>
            <w:r>
              <w:rPr>
                <w:w w:val="105"/>
                <w:sz w:val="12"/>
              </w:rPr>
              <w:t>3.193.871,47</w:t>
            </w:r>
          </w:p>
        </w:tc>
        <w:tc>
          <w:tcPr>
            <w:tcW w:w="838" w:type="dxa"/>
          </w:tcPr>
          <w:p>
            <w:pPr>
              <w:pStyle w:val="TableParagraph"/>
              <w:spacing w:line="128" w:lineRule="exact" w:before="37"/>
              <w:ind w:right="45"/>
              <w:jc w:val="right"/>
              <w:rPr>
                <w:sz w:val="12"/>
              </w:rPr>
            </w:pPr>
            <w:r>
              <w:rPr>
                <w:w w:val="105"/>
                <w:sz w:val="12"/>
              </w:rPr>
              <w:t>3.914.249,00</w:t>
            </w:r>
          </w:p>
        </w:tc>
      </w:tr>
      <w:tr>
        <w:trPr>
          <w:trHeight w:val="301" w:hRule="atLeast"/>
        </w:trPr>
        <w:tc>
          <w:tcPr>
            <w:tcW w:w="2490" w:type="dxa"/>
          </w:tcPr>
          <w:p>
            <w:pPr>
              <w:pStyle w:val="TableParagraph"/>
              <w:spacing w:before="2"/>
              <w:ind w:left="54"/>
              <w:rPr>
                <w:sz w:val="12"/>
              </w:rPr>
            </w:pPr>
            <w:r>
              <w:rPr>
                <w:w w:val="105"/>
                <w:sz w:val="12"/>
              </w:rPr>
              <w:t>Inversiones en entidades del grupo y asociadas</w:t>
            </w:r>
          </w:p>
          <w:p>
            <w:pPr>
              <w:pStyle w:val="TableParagraph"/>
              <w:spacing w:line="128" w:lineRule="exact" w:before="4"/>
              <w:ind w:left="54"/>
              <w:rPr>
                <w:sz w:val="12"/>
              </w:rPr>
            </w:pPr>
            <w:r>
              <w:rPr>
                <w:w w:val="105"/>
                <w:sz w:val="12"/>
              </w:rPr>
              <w:t>a corto plazo</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6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777" w:type="dxa"/>
          </w:tcPr>
          <w:p>
            <w:pPr>
              <w:pStyle w:val="TableParagraph"/>
              <w:rPr>
                <w:rFonts w:ascii="Times New Roman"/>
                <w:sz w:val="12"/>
              </w:rPr>
            </w:pPr>
          </w:p>
        </w:tc>
        <w:tc>
          <w:tcPr>
            <w:tcW w:w="775" w:type="dxa"/>
          </w:tcPr>
          <w:p>
            <w:pPr>
              <w:pStyle w:val="TableParagraph"/>
              <w:rPr>
                <w:rFonts w:ascii="Times New Roman"/>
                <w:sz w:val="12"/>
              </w:rPr>
            </w:pPr>
          </w:p>
        </w:tc>
        <w:tc>
          <w:tcPr>
            <w:tcW w:w="838" w:type="dxa"/>
          </w:tcPr>
          <w:p>
            <w:pPr>
              <w:pStyle w:val="TableParagraph"/>
              <w:spacing w:before="6"/>
              <w:rPr>
                <w:b/>
                <w:sz w:val="12"/>
              </w:rPr>
            </w:pPr>
          </w:p>
          <w:p>
            <w:pPr>
              <w:pStyle w:val="TableParagraph"/>
              <w:spacing w:line="128" w:lineRule="exact"/>
              <w:ind w:right="45"/>
              <w:jc w:val="right"/>
              <w:rPr>
                <w:sz w:val="12"/>
              </w:rPr>
            </w:pPr>
            <w:r>
              <w:rPr>
                <w:w w:val="105"/>
                <w:sz w:val="12"/>
              </w:rPr>
              <w:t>1.000,81</w:t>
            </w:r>
          </w:p>
        </w:tc>
        <w:tc>
          <w:tcPr>
            <w:tcW w:w="838" w:type="dxa"/>
          </w:tcPr>
          <w:p>
            <w:pPr>
              <w:pStyle w:val="TableParagraph"/>
              <w:rPr>
                <w:rFonts w:ascii="Times New Roman"/>
                <w:sz w:val="12"/>
              </w:rPr>
            </w:pPr>
          </w:p>
        </w:tc>
      </w:tr>
      <w:tr>
        <w:trPr>
          <w:trHeight w:val="183" w:hRule="atLeast"/>
        </w:trPr>
        <w:tc>
          <w:tcPr>
            <w:tcW w:w="2490" w:type="dxa"/>
          </w:tcPr>
          <w:p>
            <w:pPr>
              <w:pStyle w:val="TableParagraph"/>
              <w:spacing w:line="145" w:lineRule="exact" w:before="18"/>
              <w:ind w:left="54"/>
              <w:rPr>
                <w:sz w:val="12"/>
              </w:rPr>
            </w:pPr>
            <w:r>
              <w:rPr>
                <w:w w:val="105"/>
                <w:sz w:val="12"/>
              </w:rPr>
              <w:t>Inversiones financieras a corto plazo</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638" w:type="dxa"/>
          </w:tcPr>
          <w:p>
            <w:pPr>
              <w:pStyle w:val="TableParagraph"/>
              <w:rPr>
                <w:rFonts w:ascii="Times New Roman"/>
                <w:sz w:val="12"/>
              </w:rPr>
            </w:pPr>
          </w:p>
        </w:tc>
        <w:tc>
          <w:tcPr>
            <w:tcW w:w="838" w:type="dxa"/>
          </w:tcPr>
          <w:p>
            <w:pPr>
              <w:pStyle w:val="TableParagraph"/>
              <w:spacing w:line="128" w:lineRule="exact" w:before="35"/>
              <w:ind w:right="43"/>
              <w:jc w:val="right"/>
              <w:rPr>
                <w:sz w:val="12"/>
              </w:rPr>
            </w:pPr>
            <w:r>
              <w:rPr>
                <w:w w:val="105"/>
                <w:sz w:val="12"/>
              </w:rPr>
              <w:t>5.080,09</w:t>
            </w:r>
          </w:p>
        </w:tc>
        <w:tc>
          <w:tcPr>
            <w:tcW w:w="838" w:type="dxa"/>
          </w:tcPr>
          <w:p>
            <w:pPr>
              <w:pStyle w:val="TableParagraph"/>
              <w:spacing w:line="128" w:lineRule="exact" w:before="35"/>
              <w:ind w:right="43"/>
              <w:jc w:val="right"/>
              <w:rPr>
                <w:sz w:val="12"/>
              </w:rPr>
            </w:pPr>
            <w:r>
              <w:rPr>
                <w:w w:val="105"/>
                <w:sz w:val="12"/>
              </w:rPr>
              <w:t>54.368,90</w:t>
            </w:r>
          </w:p>
        </w:tc>
        <w:tc>
          <w:tcPr>
            <w:tcW w:w="838" w:type="dxa"/>
          </w:tcPr>
          <w:p>
            <w:pPr>
              <w:pStyle w:val="TableParagraph"/>
              <w:spacing w:line="128" w:lineRule="exact" w:before="35"/>
              <w:ind w:right="44"/>
              <w:jc w:val="right"/>
              <w:rPr>
                <w:sz w:val="12"/>
              </w:rPr>
            </w:pPr>
            <w:r>
              <w:rPr>
                <w:w w:val="105"/>
                <w:sz w:val="12"/>
              </w:rPr>
              <w:t>7.340,20</w:t>
            </w:r>
          </w:p>
        </w:tc>
        <w:tc>
          <w:tcPr>
            <w:tcW w:w="838" w:type="dxa"/>
          </w:tcPr>
          <w:p>
            <w:pPr>
              <w:pStyle w:val="TableParagraph"/>
              <w:spacing w:line="128" w:lineRule="exact" w:before="35"/>
              <w:ind w:right="42"/>
              <w:jc w:val="right"/>
              <w:rPr>
                <w:sz w:val="12"/>
              </w:rPr>
            </w:pPr>
            <w:r>
              <w:rPr>
                <w:w w:val="105"/>
                <w:sz w:val="12"/>
              </w:rPr>
              <w:t>11.117,82</w:t>
            </w:r>
          </w:p>
        </w:tc>
        <w:tc>
          <w:tcPr>
            <w:tcW w:w="777" w:type="dxa"/>
          </w:tcPr>
          <w:p>
            <w:pPr>
              <w:pStyle w:val="TableParagraph"/>
              <w:spacing w:line="128" w:lineRule="exact" w:before="35"/>
              <w:ind w:right="45"/>
              <w:jc w:val="right"/>
              <w:rPr>
                <w:sz w:val="12"/>
              </w:rPr>
            </w:pPr>
            <w:r>
              <w:rPr>
                <w:w w:val="105"/>
                <w:sz w:val="12"/>
              </w:rPr>
              <w:t>30.854,30</w:t>
            </w:r>
          </w:p>
        </w:tc>
        <w:tc>
          <w:tcPr>
            <w:tcW w:w="775" w:type="dxa"/>
          </w:tcPr>
          <w:p>
            <w:pPr>
              <w:pStyle w:val="TableParagraph"/>
              <w:spacing w:line="128" w:lineRule="exact" w:before="35"/>
              <w:ind w:right="46"/>
              <w:jc w:val="right"/>
              <w:rPr>
                <w:sz w:val="12"/>
              </w:rPr>
            </w:pPr>
            <w:r>
              <w:rPr>
                <w:w w:val="105"/>
                <w:sz w:val="12"/>
              </w:rPr>
              <w:t>7.394,72</w:t>
            </w:r>
          </w:p>
        </w:tc>
        <w:tc>
          <w:tcPr>
            <w:tcW w:w="838" w:type="dxa"/>
          </w:tcPr>
          <w:p>
            <w:pPr>
              <w:pStyle w:val="TableParagraph"/>
              <w:spacing w:line="128" w:lineRule="exact" w:before="35"/>
              <w:ind w:right="45"/>
              <w:jc w:val="right"/>
              <w:rPr>
                <w:sz w:val="12"/>
              </w:rPr>
            </w:pPr>
            <w:r>
              <w:rPr>
                <w:w w:val="105"/>
                <w:sz w:val="12"/>
              </w:rPr>
              <w:t>94.776,04</w:t>
            </w:r>
          </w:p>
        </w:tc>
        <w:tc>
          <w:tcPr>
            <w:tcW w:w="838" w:type="dxa"/>
          </w:tcPr>
          <w:p>
            <w:pPr>
              <w:pStyle w:val="TableParagraph"/>
              <w:spacing w:line="128" w:lineRule="exact" w:before="35"/>
              <w:ind w:right="45"/>
              <w:jc w:val="right"/>
              <w:rPr>
                <w:sz w:val="12"/>
              </w:rPr>
            </w:pPr>
            <w:r>
              <w:rPr>
                <w:w w:val="105"/>
                <w:sz w:val="12"/>
              </w:rPr>
              <w:t>3.393,00</w:t>
            </w:r>
          </w:p>
        </w:tc>
      </w:tr>
      <w:tr>
        <w:trPr>
          <w:trHeight w:val="183" w:hRule="atLeast"/>
        </w:trPr>
        <w:tc>
          <w:tcPr>
            <w:tcW w:w="2490" w:type="dxa"/>
          </w:tcPr>
          <w:p>
            <w:pPr>
              <w:pStyle w:val="TableParagraph"/>
              <w:spacing w:line="145" w:lineRule="exact" w:before="18"/>
              <w:ind w:left="54"/>
              <w:rPr>
                <w:sz w:val="12"/>
              </w:rPr>
            </w:pPr>
            <w:r>
              <w:rPr>
                <w:w w:val="105"/>
                <w:sz w:val="12"/>
              </w:rPr>
              <w:t>Periodificaciones a corto plazo</w:t>
            </w:r>
          </w:p>
        </w:tc>
        <w:tc>
          <w:tcPr>
            <w:tcW w:w="838" w:type="dxa"/>
          </w:tcPr>
          <w:p>
            <w:pPr>
              <w:pStyle w:val="TableParagraph"/>
              <w:spacing w:line="128" w:lineRule="exact" w:before="35"/>
              <w:ind w:right="42"/>
              <w:jc w:val="right"/>
              <w:rPr>
                <w:sz w:val="12"/>
              </w:rPr>
            </w:pPr>
            <w:r>
              <w:rPr>
                <w:w w:val="105"/>
                <w:sz w:val="12"/>
              </w:rPr>
              <w:t>5.226,76</w:t>
            </w:r>
          </w:p>
        </w:tc>
        <w:tc>
          <w:tcPr>
            <w:tcW w:w="838" w:type="dxa"/>
          </w:tcPr>
          <w:p>
            <w:pPr>
              <w:pStyle w:val="TableParagraph"/>
              <w:spacing w:line="128" w:lineRule="exact" w:before="35"/>
              <w:ind w:right="42"/>
              <w:jc w:val="right"/>
              <w:rPr>
                <w:sz w:val="12"/>
              </w:rPr>
            </w:pPr>
            <w:r>
              <w:rPr>
                <w:w w:val="105"/>
                <w:sz w:val="12"/>
              </w:rPr>
              <w:t>3.643,32</w:t>
            </w:r>
          </w:p>
        </w:tc>
        <w:tc>
          <w:tcPr>
            <w:tcW w:w="638" w:type="dxa"/>
          </w:tcPr>
          <w:p>
            <w:pPr>
              <w:pStyle w:val="TableParagraph"/>
              <w:rPr>
                <w:rFonts w:ascii="Times New Roman"/>
                <w:sz w:val="12"/>
              </w:rPr>
            </w:pPr>
          </w:p>
        </w:tc>
        <w:tc>
          <w:tcPr>
            <w:tcW w:w="838" w:type="dxa"/>
          </w:tcPr>
          <w:p>
            <w:pPr>
              <w:pStyle w:val="TableParagraph"/>
              <w:spacing w:line="128" w:lineRule="exact" w:before="35"/>
              <w:ind w:right="43"/>
              <w:jc w:val="right"/>
              <w:rPr>
                <w:sz w:val="12"/>
              </w:rPr>
            </w:pPr>
            <w:r>
              <w:rPr>
                <w:w w:val="105"/>
                <w:sz w:val="12"/>
              </w:rPr>
              <w:t>70.752,34</w:t>
            </w:r>
          </w:p>
        </w:tc>
        <w:tc>
          <w:tcPr>
            <w:tcW w:w="838" w:type="dxa"/>
          </w:tcPr>
          <w:p>
            <w:pPr>
              <w:pStyle w:val="TableParagraph"/>
              <w:spacing w:line="128" w:lineRule="exact" w:before="35"/>
              <w:ind w:right="43"/>
              <w:jc w:val="right"/>
              <w:rPr>
                <w:sz w:val="12"/>
              </w:rPr>
            </w:pPr>
            <w:r>
              <w:rPr>
                <w:w w:val="105"/>
                <w:sz w:val="12"/>
              </w:rPr>
              <w:t>51.226,11</w:t>
            </w:r>
          </w:p>
        </w:tc>
        <w:tc>
          <w:tcPr>
            <w:tcW w:w="838" w:type="dxa"/>
          </w:tcPr>
          <w:p>
            <w:pPr>
              <w:pStyle w:val="TableParagraph"/>
              <w:rPr>
                <w:rFonts w:ascii="Times New Roman"/>
                <w:sz w:val="12"/>
              </w:rPr>
            </w:pPr>
          </w:p>
        </w:tc>
        <w:tc>
          <w:tcPr>
            <w:tcW w:w="838" w:type="dxa"/>
          </w:tcPr>
          <w:p>
            <w:pPr>
              <w:pStyle w:val="TableParagraph"/>
              <w:rPr>
                <w:rFonts w:ascii="Times New Roman"/>
                <w:sz w:val="12"/>
              </w:rPr>
            </w:pPr>
          </w:p>
        </w:tc>
        <w:tc>
          <w:tcPr>
            <w:tcW w:w="777" w:type="dxa"/>
          </w:tcPr>
          <w:p>
            <w:pPr>
              <w:pStyle w:val="TableParagraph"/>
              <w:spacing w:line="128" w:lineRule="exact" w:before="35"/>
              <w:ind w:right="45"/>
              <w:jc w:val="right"/>
              <w:rPr>
                <w:sz w:val="12"/>
              </w:rPr>
            </w:pPr>
            <w:r>
              <w:rPr>
                <w:w w:val="105"/>
                <w:sz w:val="12"/>
              </w:rPr>
              <w:t>18.152,96</w:t>
            </w:r>
          </w:p>
        </w:tc>
        <w:tc>
          <w:tcPr>
            <w:tcW w:w="775" w:type="dxa"/>
          </w:tcPr>
          <w:p>
            <w:pPr>
              <w:pStyle w:val="TableParagraph"/>
              <w:spacing w:line="128" w:lineRule="exact" w:before="35"/>
              <w:ind w:right="46"/>
              <w:jc w:val="right"/>
              <w:rPr>
                <w:sz w:val="12"/>
              </w:rPr>
            </w:pPr>
            <w:r>
              <w:rPr>
                <w:w w:val="105"/>
                <w:sz w:val="12"/>
              </w:rPr>
              <w:t>6.705,85</w:t>
            </w:r>
          </w:p>
        </w:tc>
        <w:tc>
          <w:tcPr>
            <w:tcW w:w="838" w:type="dxa"/>
          </w:tcPr>
          <w:p>
            <w:pPr>
              <w:pStyle w:val="TableParagraph"/>
              <w:rPr>
                <w:rFonts w:ascii="Times New Roman"/>
                <w:sz w:val="12"/>
              </w:rPr>
            </w:pPr>
          </w:p>
        </w:tc>
        <w:tc>
          <w:tcPr>
            <w:tcW w:w="838" w:type="dxa"/>
          </w:tcPr>
          <w:p>
            <w:pPr>
              <w:pStyle w:val="TableParagraph"/>
              <w:spacing w:line="128" w:lineRule="exact" w:before="35"/>
              <w:ind w:right="45"/>
              <w:jc w:val="right"/>
              <w:rPr>
                <w:sz w:val="12"/>
              </w:rPr>
            </w:pPr>
            <w:r>
              <w:rPr>
                <w:w w:val="105"/>
                <w:sz w:val="12"/>
              </w:rPr>
              <w:t>269.718,00</w:t>
            </w:r>
          </w:p>
        </w:tc>
      </w:tr>
      <w:tr>
        <w:trPr>
          <w:trHeight w:val="183" w:hRule="atLeast"/>
        </w:trPr>
        <w:tc>
          <w:tcPr>
            <w:tcW w:w="2490" w:type="dxa"/>
          </w:tcPr>
          <w:p>
            <w:pPr>
              <w:pStyle w:val="TableParagraph"/>
              <w:spacing w:line="145" w:lineRule="exact" w:before="18"/>
              <w:ind w:left="54"/>
              <w:rPr>
                <w:sz w:val="12"/>
              </w:rPr>
            </w:pPr>
            <w:r>
              <w:rPr>
                <w:w w:val="105"/>
                <w:sz w:val="12"/>
              </w:rPr>
              <w:t>Efectivo y otros activos líquidos equivalentes</w:t>
            </w:r>
          </w:p>
        </w:tc>
        <w:tc>
          <w:tcPr>
            <w:tcW w:w="838" w:type="dxa"/>
          </w:tcPr>
          <w:p>
            <w:pPr>
              <w:pStyle w:val="TableParagraph"/>
              <w:spacing w:line="127" w:lineRule="exact" w:before="37"/>
              <w:ind w:right="42"/>
              <w:jc w:val="right"/>
              <w:rPr>
                <w:sz w:val="12"/>
              </w:rPr>
            </w:pPr>
            <w:r>
              <w:rPr>
                <w:w w:val="105"/>
                <w:sz w:val="12"/>
              </w:rPr>
              <w:t>63.592,96</w:t>
            </w:r>
          </w:p>
        </w:tc>
        <w:tc>
          <w:tcPr>
            <w:tcW w:w="838" w:type="dxa"/>
          </w:tcPr>
          <w:p>
            <w:pPr>
              <w:pStyle w:val="TableParagraph"/>
              <w:spacing w:line="127" w:lineRule="exact" w:before="37"/>
              <w:ind w:right="42"/>
              <w:jc w:val="right"/>
              <w:rPr>
                <w:sz w:val="12"/>
              </w:rPr>
            </w:pPr>
            <w:r>
              <w:rPr>
                <w:w w:val="105"/>
                <w:sz w:val="12"/>
              </w:rPr>
              <w:t>535.429,98</w:t>
            </w:r>
          </w:p>
        </w:tc>
        <w:tc>
          <w:tcPr>
            <w:tcW w:w="638" w:type="dxa"/>
          </w:tcPr>
          <w:p>
            <w:pPr>
              <w:pStyle w:val="TableParagraph"/>
              <w:rPr>
                <w:rFonts w:ascii="Times New Roman"/>
                <w:sz w:val="12"/>
              </w:rPr>
            </w:pPr>
          </w:p>
        </w:tc>
        <w:tc>
          <w:tcPr>
            <w:tcW w:w="838" w:type="dxa"/>
          </w:tcPr>
          <w:p>
            <w:pPr>
              <w:pStyle w:val="TableParagraph"/>
              <w:spacing w:line="127" w:lineRule="exact" w:before="37"/>
              <w:ind w:right="42"/>
              <w:jc w:val="right"/>
              <w:rPr>
                <w:sz w:val="12"/>
              </w:rPr>
            </w:pPr>
            <w:r>
              <w:rPr>
                <w:w w:val="105"/>
                <w:sz w:val="12"/>
              </w:rPr>
              <w:t>6.507.654,49</w:t>
            </w:r>
          </w:p>
        </w:tc>
        <w:tc>
          <w:tcPr>
            <w:tcW w:w="838" w:type="dxa"/>
          </w:tcPr>
          <w:p>
            <w:pPr>
              <w:pStyle w:val="TableParagraph"/>
              <w:spacing w:line="127" w:lineRule="exact" w:before="37"/>
              <w:ind w:right="43"/>
              <w:jc w:val="right"/>
              <w:rPr>
                <w:sz w:val="12"/>
              </w:rPr>
            </w:pPr>
            <w:r>
              <w:rPr>
                <w:w w:val="105"/>
                <w:sz w:val="12"/>
              </w:rPr>
              <w:t>12.962.683,52</w:t>
            </w:r>
          </w:p>
        </w:tc>
        <w:tc>
          <w:tcPr>
            <w:tcW w:w="838" w:type="dxa"/>
          </w:tcPr>
          <w:p>
            <w:pPr>
              <w:pStyle w:val="TableParagraph"/>
              <w:spacing w:line="127" w:lineRule="exact" w:before="37"/>
              <w:ind w:right="43"/>
              <w:jc w:val="right"/>
              <w:rPr>
                <w:sz w:val="12"/>
              </w:rPr>
            </w:pPr>
            <w:r>
              <w:rPr>
                <w:w w:val="105"/>
                <w:sz w:val="12"/>
              </w:rPr>
              <w:t>1.176.933,42</w:t>
            </w:r>
          </w:p>
        </w:tc>
        <w:tc>
          <w:tcPr>
            <w:tcW w:w="838" w:type="dxa"/>
          </w:tcPr>
          <w:p>
            <w:pPr>
              <w:pStyle w:val="TableParagraph"/>
              <w:spacing w:line="127" w:lineRule="exact" w:before="37"/>
              <w:ind w:right="42"/>
              <w:jc w:val="right"/>
              <w:rPr>
                <w:sz w:val="12"/>
              </w:rPr>
            </w:pPr>
            <w:r>
              <w:rPr>
                <w:w w:val="105"/>
                <w:sz w:val="12"/>
              </w:rPr>
              <w:t>10.487.913,07</w:t>
            </w:r>
          </w:p>
        </w:tc>
        <w:tc>
          <w:tcPr>
            <w:tcW w:w="777" w:type="dxa"/>
          </w:tcPr>
          <w:p>
            <w:pPr>
              <w:pStyle w:val="TableParagraph"/>
              <w:spacing w:line="127" w:lineRule="exact" w:before="37"/>
              <w:ind w:right="45"/>
              <w:jc w:val="right"/>
              <w:rPr>
                <w:sz w:val="12"/>
              </w:rPr>
            </w:pPr>
            <w:r>
              <w:rPr>
                <w:w w:val="105"/>
                <w:sz w:val="12"/>
              </w:rPr>
              <w:t>1.411.403,84</w:t>
            </w:r>
          </w:p>
        </w:tc>
        <w:tc>
          <w:tcPr>
            <w:tcW w:w="775" w:type="dxa"/>
          </w:tcPr>
          <w:p>
            <w:pPr>
              <w:pStyle w:val="TableParagraph"/>
              <w:spacing w:line="127" w:lineRule="exact" w:before="37"/>
              <w:ind w:right="46"/>
              <w:jc w:val="right"/>
              <w:rPr>
                <w:sz w:val="12"/>
              </w:rPr>
            </w:pPr>
            <w:r>
              <w:rPr>
                <w:w w:val="105"/>
                <w:sz w:val="12"/>
              </w:rPr>
              <w:t>56.706,96</w:t>
            </w:r>
          </w:p>
        </w:tc>
        <w:tc>
          <w:tcPr>
            <w:tcW w:w="838" w:type="dxa"/>
          </w:tcPr>
          <w:p>
            <w:pPr>
              <w:pStyle w:val="TableParagraph"/>
              <w:spacing w:line="127" w:lineRule="exact" w:before="37"/>
              <w:ind w:right="44"/>
              <w:jc w:val="right"/>
              <w:rPr>
                <w:sz w:val="12"/>
              </w:rPr>
            </w:pPr>
            <w:r>
              <w:rPr>
                <w:w w:val="105"/>
                <w:sz w:val="12"/>
              </w:rPr>
              <w:t>16.841.125,77</w:t>
            </w:r>
          </w:p>
        </w:tc>
        <w:tc>
          <w:tcPr>
            <w:tcW w:w="838" w:type="dxa"/>
          </w:tcPr>
          <w:p>
            <w:pPr>
              <w:pStyle w:val="TableParagraph"/>
              <w:spacing w:line="127" w:lineRule="exact" w:before="37"/>
              <w:ind w:right="45"/>
              <w:jc w:val="right"/>
              <w:rPr>
                <w:sz w:val="12"/>
              </w:rPr>
            </w:pPr>
            <w:r>
              <w:rPr>
                <w:w w:val="105"/>
                <w:sz w:val="12"/>
              </w:rPr>
              <w:t>710.341,00</w:t>
            </w:r>
          </w:p>
        </w:tc>
      </w:tr>
      <w:tr>
        <w:trPr>
          <w:trHeight w:val="183" w:hRule="atLeast"/>
        </w:trPr>
        <w:tc>
          <w:tcPr>
            <w:tcW w:w="2490" w:type="dxa"/>
          </w:tcPr>
          <w:p>
            <w:pPr>
              <w:pStyle w:val="TableParagraph"/>
              <w:spacing w:line="145" w:lineRule="exact" w:before="18"/>
              <w:ind w:left="840" w:right="833"/>
              <w:jc w:val="center"/>
              <w:rPr>
                <w:b/>
                <w:sz w:val="12"/>
              </w:rPr>
            </w:pPr>
            <w:r>
              <w:rPr>
                <w:b/>
                <w:w w:val="105"/>
                <w:sz w:val="12"/>
              </w:rPr>
              <w:t>TOTAL ACTIVO</w:t>
            </w:r>
          </w:p>
        </w:tc>
        <w:tc>
          <w:tcPr>
            <w:tcW w:w="838" w:type="dxa"/>
          </w:tcPr>
          <w:p>
            <w:pPr>
              <w:pStyle w:val="TableParagraph"/>
              <w:spacing w:line="145" w:lineRule="exact" w:before="18"/>
              <w:ind w:right="41"/>
              <w:jc w:val="right"/>
              <w:rPr>
                <w:b/>
                <w:sz w:val="12"/>
              </w:rPr>
            </w:pPr>
            <w:r>
              <w:rPr>
                <w:b/>
                <w:w w:val="105"/>
                <w:sz w:val="12"/>
              </w:rPr>
              <w:t>23.054.872,56</w:t>
            </w:r>
          </w:p>
        </w:tc>
        <w:tc>
          <w:tcPr>
            <w:tcW w:w="838" w:type="dxa"/>
          </w:tcPr>
          <w:p>
            <w:pPr>
              <w:pStyle w:val="TableParagraph"/>
              <w:spacing w:line="145" w:lineRule="exact" w:before="18"/>
              <w:ind w:right="41"/>
              <w:jc w:val="right"/>
              <w:rPr>
                <w:b/>
                <w:sz w:val="12"/>
              </w:rPr>
            </w:pPr>
            <w:r>
              <w:rPr>
                <w:b/>
                <w:w w:val="105"/>
                <w:sz w:val="12"/>
              </w:rPr>
              <w:t>22.503.407,26</w:t>
            </w:r>
          </w:p>
        </w:tc>
        <w:tc>
          <w:tcPr>
            <w:tcW w:w="638" w:type="dxa"/>
          </w:tcPr>
          <w:p>
            <w:pPr>
              <w:pStyle w:val="TableParagraph"/>
              <w:spacing w:line="145" w:lineRule="exact" w:before="18"/>
              <w:ind w:right="46"/>
              <w:jc w:val="right"/>
              <w:rPr>
                <w:b/>
                <w:sz w:val="12"/>
              </w:rPr>
            </w:pPr>
            <w:r>
              <w:rPr>
                <w:b/>
                <w:w w:val="105"/>
                <w:sz w:val="12"/>
              </w:rPr>
              <w:t>0,00</w:t>
            </w:r>
          </w:p>
        </w:tc>
        <w:tc>
          <w:tcPr>
            <w:tcW w:w="838" w:type="dxa"/>
          </w:tcPr>
          <w:p>
            <w:pPr>
              <w:pStyle w:val="TableParagraph"/>
              <w:spacing w:line="145" w:lineRule="exact" w:before="18"/>
              <w:ind w:right="42"/>
              <w:jc w:val="right"/>
              <w:rPr>
                <w:b/>
                <w:sz w:val="12"/>
              </w:rPr>
            </w:pPr>
            <w:r>
              <w:rPr>
                <w:b/>
                <w:w w:val="105"/>
                <w:sz w:val="12"/>
              </w:rPr>
              <w:t>29.119.105,39</w:t>
            </w:r>
          </w:p>
        </w:tc>
        <w:tc>
          <w:tcPr>
            <w:tcW w:w="838" w:type="dxa"/>
          </w:tcPr>
          <w:p>
            <w:pPr>
              <w:pStyle w:val="TableParagraph"/>
              <w:spacing w:line="145" w:lineRule="exact" w:before="18"/>
              <w:ind w:right="43"/>
              <w:jc w:val="right"/>
              <w:rPr>
                <w:b/>
                <w:sz w:val="12"/>
              </w:rPr>
            </w:pPr>
            <w:r>
              <w:rPr>
                <w:b/>
                <w:w w:val="105"/>
                <w:sz w:val="12"/>
              </w:rPr>
              <w:t>26.505.842,52</w:t>
            </w:r>
          </w:p>
        </w:tc>
        <w:tc>
          <w:tcPr>
            <w:tcW w:w="838" w:type="dxa"/>
          </w:tcPr>
          <w:p>
            <w:pPr>
              <w:pStyle w:val="TableParagraph"/>
              <w:spacing w:line="145" w:lineRule="exact" w:before="18"/>
              <w:ind w:right="43"/>
              <w:jc w:val="right"/>
              <w:rPr>
                <w:b/>
                <w:sz w:val="12"/>
              </w:rPr>
            </w:pPr>
            <w:r>
              <w:rPr>
                <w:b/>
                <w:w w:val="105"/>
                <w:sz w:val="12"/>
              </w:rPr>
              <w:t>12.371.192,29</w:t>
            </w:r>
          </w:p>
        </w:tc>
        <w:tc>
          <w:tcPr>
            <w:tcW w:w="838" w:type="dxa"/>
          </w:tcPr>
          <w:p>
            <w:pPr>
              <w:pStyle w:val="TableParagraph"/>
              <w:spacing w:line="145" w:lineRule="exact" w:before="18"/>
              <w:ind w:right="42"/>
              <w:jc w:val="right"/>
              <w:rPr>
                <w:b/>
                <w:sz w:val="12"/>
              </w:rPr>
            </w:pPr>
            <w:r>
              <w:rPr>
                <w:b/>
                <w:w w:val="105"/>
                <w:sz w:val="12"/>
              </w:rPr>
              <w:t>55.192.736,24</w:t>
            </w:r>
          </w:p>
        </w:tc>
        <w:tc>
          <w:tcPr>
            <w:tcW w:w="777" w:type="dxa"/>
          </w:tcPr>
          <w:p>
            <w:pPr>
              <w:pStyle w:val="TableParagraph"/>
              <w:spacing w:line="145" w:lineRule="exact" w:before="18"/>
              <w:ind w:right="45"/>
              <w:jc w:val="right"/>
              <w:rPr>
                <w:b/>
                <w:sz w:val="12"/>
              </w:rPr>
            </w:pPr>
            <w:r>
              <w:rPr>
                <w:b/>
                <w:w w:val="105"/>
                <w:sz w:val="12"/>
              </w:rPr>
              <w:t>7.939.925,38</w:t>
            </w:r>
          </w:p>
        </w:tc>
        <w:tc>
          <w:tcPr>
            <w:tcW w:w="775" w:type="dxa"/>
          </w:tcPr>
          <w:p>
            <w:pPr>
              <w:pStyle w:val="TableParagraph"/>
              <w:spacing w:line="145" w:lineRule="exact" w:before="18"/>
              <w:ind w:right="46"/>
              <w:jc w:val="right"/>
              <w:rPr>
                <w:b/>
                <w:sz w:val="12"/>
              </w:rPr>
            </w:pPr>
            <w:r>
              <w:rPr>
                <w:b/>
                <w:w w:val="105"/>
                <w:sz w:val="12"/>
              </w:rPr>
              <w:t>9.936.986,27</w:t>
            </w:r>
          </w:p>
        </w:tc>
        <w:tc>
          <w:tcPr>
            <w:tcW w:w="838" w:type="dxa"/>
          </w:tcPr>
          <w:p>
            <w:pPr>
              <w:pStyle w:val="TableParagraph"/>
              <w:spacing w:line="145" w:lineRule="exact" w:before="18"/>
              <w:ind w:right="44"/>
              <w:jc w:val="right"/>
              <w:rPr>
                <w:b/>
                <w:sz w:val="12"/>
              </w:rPr>
            </w:pPr>
            <w:r>
              <w:rPr>
                <w:b/>
                <w:w w:val="105"/>
                <w:sz w:val="12"/>
              </w:rPr>
              <w:t>25.451.940,42</w:t>
            </w:r>
          </w:p>
        </w:tc>
        <w:tc>
          <w:tcPr>
            <w:tcW w:w="838" w:type="dxa"/>
          </w:tcPr>
          <w:p>
            <w:pPr>
              <w:pStyle w:val="TableParagraph"/>
              <w:spacing w:line="145" w:lineRule="exact" w:before="18"/>
              <w:ind w:right="45"/>
              <w:jc w:val="right"/>
              <w:rPr>
                <w:b/>
                <w:sz w:val="12"/>
              </w:rPr>
            </w:pPr>
            <w:r>
              <w:rPr>
                <w:b/>
                <w:w w:val="105"/>
                <w:sz w:val="12"/>
              </w:rPr>
              <w:t>36.799.589,00</w:t>
            </w:r>
          </w:p>
        </w:tc>
      </w:tr>
    </w:tbl>
    <w:p>
      <w:pPr>
        <w:pStyle w:val="BodyText"/>
        <w:rPr>
          <w:b/>
        </w:rPr>
      </w:pPr>
    </w:p>
    <w:p>
      <w:pPr>
        <w:pStyle w:val="BodyText"/>
        <w:rPr>
          <w:b/>
        </w:rPr>
      </w:pPr>
    </w:p>
    <w:p>
      <w:pPr>
        <w:pStyle w:val="BodyText"/>
        <w:rPr>
          <w:b/>
          <w:sz w:val="23"/>
        </w:rPr>
      </w:pPr>
    </w:p>
    <w:p>
      <w:pPr>
        <w:spacing w:before="69"/>
        <w:ind w:left="11517" w:right="1354" w:firstLine="0"/>
        <w:jc w:val="center"/>
        <w:rPr>
          <w:sz w:val="18"/>
        </w:rPr>
      </w:pPr>
      <w:r>
        <w:rPr>
          <w:w w:val="105"/>
          <w:sz w:val="18"/>
        </w:rPr>
        <w:t>192</w:t>
      </w:r>
    </w:p>
    <w:p>
      <w:pPr>
        <w:spacing w:before="9"/>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17" name="image5.png"/>
                  <wp:cNvGraphicFramePr>
                    <a:graphicFrameLocks noChangeAspect="1"/>
                  </wp:cNvGraphicFramePr>
                  <a:graphic>
                    <a:graphicData uri="http://schemas.openxmlformats.org/drawingml/2006/picture">
                      <pic:pic>
                        <pic:nvPicPr>
                          <pic:cNvPr id="41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194/247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headerReference w:type="default" r:id="rId43"/>
          <w:footerReference w:type="default" r:id="rId44"/>
          <w:pgSz w:w="16840" w:h="11900" w:orient="landscape"/>
          <w:pgMar w:header="806" w:footer="1006" w:top="1640" w:bottom="1200" w:left="1160" w:right="1160"/>
        </w:sectPr>
      </w:pPr>
    </w:p>
    <w:p>
      <w:pPr>
        <w:pStyle w:val="BodyText"/>
        <w:rPr>
          <w:b/>
        </w:rPr>
      </w:pPr>
    </w:p>
    <w:p>
      <w:pPr>
        <w:pStyle w:val="BodyText"/>
        <w:rPr>
          <w:b/>
          <w:sz w:val="21"/>
        </w:rPr>
      </w:pPr>
    </w:p>
    <w:tbl>
      <w:tblPr>
        <w:tblW w:w="0" w:type="auto"/>
        <w:jc w:val="left"/>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9"/>
        <w:gridCol w:w="800"/>
        <w:gridCol w:w="823"/>
        <w:gridCol w:w="821"/>
        <w:gridCol w:w="821"/>
        <w:gridCol w:w="881"/>
        <w:gridCol w:w="760"/>
        <w:gridCol w:w="760"/>
        <w:gridCol w:w="760"/>
        <w:gridCol w:w="740"/>
        <w:gridCol w:w="820"/>
        <w:gridCol w:w="913"/>
        <w:gridCol w:w="952"/>
      </w:tblGrid>
      <w:tr>
        <w:trPr>
          <w:trHeight w:val="452" w:hRule="atLeast"/>
        </w:trPr>
        <w:tc>
          <w:tcPr>
            <w:tcW w:w="1729" w:type="dxa"/>
            <w:shd w:val="clear" w:color="auto" w:fill="D9E1F3"/>
          </w:tcPr>
          <w:p>
            <w:pPr>
              <w:pStyle w:val="TableParagraph"/>
              <w:spacing w:before="6"/>
              <w:rPr>
                <w:b/>
                <w:sz w:val="12"/>
              </w:rPr>
            </w:pPr>
          </w:p>
          <w:p>
            <w:pPr>
              <w:pStyle w:val="TableParagraph"/>
              <w:ind w:left="645" w:right="635"/>
              <w:jc w:val="center"/>
              <w:rPr>
                <w:b/>
                <w:sz w:val="12"/>
              </w:rPr>
            </w:pPr>
            <w:r>
              <w:rPr>
                <w:b/>
                <w:w w:val="105"/>
                <w:sz w:val="12"/>
              </w:rPr>
              <w:t>ACTIVO</w:t>
            </w:r>
          </w:p>
        </w:tc>
        <w:tc>
          <w:tcPr>
            <w:tcW w:w="800" w:type="dxa"/>
            <w:shd w:val="clear" w:color="auto" w:fill="D9E1F3"/>
          </w:tcPr>
          <w:p>
            <w:pPr>
              <w:pStyle w:val="TableParagraph"/>
              <w:spacing w:before="6"/>
              <w:rPr>
                <w:b/>
                <w:sz w:val="12"/>
              </w:rPr>
            </w:pPr>
          </w:p>
          <w:p>
            <w:pPr>
              <w:pStyle w:val="TableParagraph"/>
              <w:ind w:left="168" w:right="158"/>
              <w:jc w:val="center"/>
              <w:rPr>
                <w:b/>
                <w:sz w:val="12"/>
              </w:rPr>
            </w:pPr>
            <w:r>
              <w:rPr>
                <w:b/>
                <w:w w:val="105"/>
                <w:sz w:val="12"/>
              </w:rPr>
              <w:t>ICDC</w:t>
            </w:r>
          </w:p>
        </w:tc>
        <w:tc>
          <w:tcPr>
            <w:tcW w:w="823" w:type="dxa"/>
            <w:shd w:val="clear" w:color="auto" w:fill="D9E1F3"/>
          </w:tcPr>
          <w:p>
            <w:pPr>
              <w:pStyle w:val="TableParagraph"/>
              <w:spacing w:before="6"/>
              <w:rPr>
                <w:b/>
                <w:sz w:val="12"/>
              </w:rPr>
            </w:pPr>
          </w:p>
          <w:p>
            <w:pPr>
              <w:pStyle w:val="TableParagraph"/>
              <w:ind w:left="30" w:right="21"/>
              <w:jc w:val="center"/>
              <w:rPr>
                <w:b/>
                <w:sz w:val="12"/>
              </w:rPr>
            </w:pPr>
            <w:r>
              <w:rPr>
                <w:b/>
                <w:w w:val="105"/>
                <w:sz w:val="12"/>
              </w:rPr>
              <w:t>I.T.C.</w:t>
            </w:r>
          </w:p>
        </w:tc>
        <w:tc>
          <w:tcPr>
            <w:tcW w:w="821" w:type="dxa"/>
            <w:shd w:val="clear" w:color="auto" w:fill="D9E1F3"/>
          </w:tcPr>
          <w:p>
            <w:pPr>
              <w:pStyle w:val="TableParagraph"/>
              <w:spacing w:before="6"/>
              <w:rPr>
                <w:b/>
                <w:sz w:val="12"/>
              </w:rPr>
            </w:pPr>
          </w:p>
          <w:p>
            <w:pPr>
              <w:pStyle w:val="TableParagraph"/>
              <w:ind w:left="163"/>
              <w:rPr>
                <w:b/>
                <w:sz w:val="12"/>
              </w:rPr>
            </w:pPr>
            <w:r>
              <w:rPr>
                <w:b/>
                <w:w w:val="105"/>
                <w:sz w:val="12"/>
              </w:rPr>
              <w:t>PROEXCA</w:t>
            </w:r>
          </w:p>
        </w:tc>
        <w:tc>
          <w:tcPr>
            <w:tcW w:w="821" w:type="dxa"/>
            <w:shd w:val="clear" w:color="auto" w:fill="D9E1F3"/>
          </w:tcPr>
          <w:p>
            <w:pPr>
              <w:pStyle w:val="TableParagraph"/>
              <w:spacing w:before="6"/>
              <w:rPr>
                <w:b/>
                <w:sz w:val="12"/>
              </w:rPr>
            </w:pPr>
          </w:p>
          <w:p>
            <w:pPr>
              <w:pStyle w:val="TableParagraph"/>
              <w:ind w:right="84"/>
              <w:jc w:val="right"/>
              <w:rPr>
                <w:b/>
                <w:sz w:val="12"/>
              </w:rPr>
            </w:pPr>
            <w:r>
              <w:rPr>
                <w:b/>
                <w:sz w:val="12"/>
              </w:rPr>
              <w:t>PROMOTUR</w:t>
            </w:r>
          </w:p>
        </w:tc>
        <w:tc>
          <w:tcPr>
            <w:tcW w:w="881" w:type="dxa"/>
            <w:shd w:val="clear" w:color="auto" w:fill="D9E1F3"/>
          </w:tcPr>
          <w:p>
            <w:pPr>
              <w:pStyle w:val="TableParagraph"/>
              <w:spacing w:line="249" w:lineRule="auto" w:before="76"/>
              <w:ind w:left="166" w:firstLine="29"/>
              <w:rPr>
                <w:b/>
                <w:sz w:val="12"/>
              </w:rPr>
            </w:pPr>
            <w:r>
              <w:rPr>
                <w:b/>
                <w:w w:val="105"/>
                <w:sz w:val="12"/>
              </w:rPr>
              <w:t>PUERTOS CANARIOS</w:t>
            </w:r>
          </w:p>
        </w:tc>
        <w:tc>
          <w:tcPr>
            <w:tcW w:w="760" w:type="dxa"/>
            <w:shd w:val="clear" w:color="auto" w:fill="D9E1F3"/>
          </w:tcPr>
          <w:p>
            <w:pPr>
              <w:pStyle w:val="TableParagraph"/>
              <w:spacing w:before="6"/>
              <w:rPr>
                <w:b/>
                <w:sz w:val="12"/>
              </w:rPr>
            </w:pPr>
          </w:p>
          <w:p>
            <w:pPr>
              <w:pStyle w:val="TableParagraph"/>
              <w:ind w:left="38" w:right="31"/>
              <w:jc w:val="center"/>
              <w:rPr>
                <w:b/>
                <w:sz w:val="12"/>
              </w:rPr>
            </w:pPr>
            <w:r>
              <w:rPr>
                <w:b/>
                <w:w w:val="105"/>
                <w:sz w:val="12"/>
              </w:rPr>
              <w:t>RPC</w:t>
            </w:r>
          </w:p>
        </w:tc>
        <w:tc>
          <w:tcPr>
            <w:tcW w:w="760" w:type="dxa"/>
            <w:shd w:val="clear" w:color="auto" w:fill="D9E1F3"/>
          </w:tcPr>
          <w:p>
            <w:pPr>
              <w:pStyle w:val="TableParagraph"/>
              <w:spacing w:before="2"/>
              <w:ind w:left="38" w:right="31"/>
              <w:jc w:val="center"/>
              <w:rPr>
                <w:b/>
                <w:sz w:val="12"/>
              </w:rPr>
            </w:pPr>
            <w:r>
              <w:rPr>
                <w:b/>
                <w:w w:val="105"/>
                <w:sz w:val="12"/>
              </w:rPr>
              <w:t>GESPROTUR</w:t>
            </w:r>
          </w:p>
          <w:p>
            <w:pPr>
              <w:pStyle w:val="TableParagraph"/>
              <w:spacing w:line="150" w:lineRule="atLeast" w:before="1"/>
              <w:ind w:left="101" w:right="93" w:hanging="2"/>
              <w:jc w:val="center"/>
              <w:rPr>
                <w:b/>
                <w:sz w:val="12"/>
              </w:rPr>
            </w:pPr>
            <w:r>
              <w:rPr>
                <w:b/>
                <w:w w:val="105"/>
                <w:sz w:val="12"/>
              </w:rPr>
              <w:t>(antes </w:t>
            </w:r>
            <w:r>
              <w:rPr>
                <w:b/>
                <w:spacing w:val="-1"/>
                <w:w w:val="105"/>
                <w:sz w:val="12"/>
              </w:rPr>
              <w:t>SATURNO)</w:t>
            </w:r>
          </w:p>
        </w:tc>
        <w:tc>
          <w:tcPr>
            <w:tcW w:w="760" w:type="dxa"/>
            <w:shd w:val="clear" w:color="auto" w:fill="D9E1F3"/>
          </w:tcPr>
          <w:p>
            <w:pPr>
              <w:pStyle w:val="TableParagraph"/>
              <w:spacing w:before="6"/>
              <w:rPr>
                <w:b/>
                <w:sz w:val="12"/>
              </w:rPr>
            </w:pPr>
          </w:p>
          <w:p>
            <w:pPr>
              <w:pStyle w:val="TableParagraph"/>
              <w:ind w:left="124"/>
              <w:rPr>
                <w:b/>
                <w:sz w:val="12"/>
              </w:rPr>
            </w:pPr>
            <w:r>
              <w:rPr>
                <w:b/>
                <w:w w:val="105"/>
                <w:sz w:val="12"/>
              </w:rPr>
              <w:t>SODECAN</w:t>
            </w:r>
          </w:p>
        </w:tc>
        <w:tc>
          <w:tcPr>
            <w:tcW w:w="740" w:type="dxa"/>
            <w:shd w:val="clear" w:color="auto" w:fill="D9E1F3"/>
          </w:tcPr>
          <w:p>
            <w:pPr>
              <w:pStyle w:val="TableParagraph"/>
              <w:spacing w:before="6"/>
              <w:rPr>
                <w:b/>
                <w:sz w:val="12"/>
              </w:rPr>
            </w:pPr>
          </w:p>
          <w:p>
            <w:pPr>
              <w:pStyle w:val="TableParagraph"/>
              <w:ind w:left="231"/>
              <w:rPr>
                <w:b/>
                <w:sz w:val="12"/>
              </w:rPr>
            </w:pPr>
            <w:r>
              <w:rPr>
                <w:b/>
                <w:w w:val="105"/>
                <w:sz w:val="12"/>
              </w:rPr>
              <w:t>TVPC</w:t>
            </w:r>
          </w:p>
        </w:tc>
        <w:tc>
          <w:tcPr>
            <w:tcW w:w="820" w:type="dxa"/>
            <w:shd w:val="clear" w:color="auto" w:fill="D9E1F3"/>
          </w:tcPr>
          <w:p>
            <w:pPr>
              <w:pStyle w:val="TableParagraph"/>
              <w:spacing w:before="6"/>
              <w:rPr>
                <w:b/>
                <w:sz w:val="12"/>
              </w:rPr>
            </w:pPr>
          </w:p>
          <w:p>
            <w:pPr>
              <w:pStyle w:val="TableParagraph"/>
              <w:ind w:left="169"/>
              <w:rPr>
                <w:b/>
                <w:sz w:val="12"/>
              </w:rPr>
            </w:pPr>
            <w:r>
              <w:rPr>
                <w:b/>
                <w:w w:val="105"/>
                <w:sz w:val="12"/>
              </w:rPr>
              <w:t>VISOCAN</w:t>
            </w:r>
          </w:p>
        </w:tc>
        <w:tc>
          <w:tcPr>
            <w:tcW w:w="913" w:type="dxa"/>
            <w:shd w:val="clear" w:color="auto" w:fill="D9E1F3"/>
          </w:tcPr>
          <w:p>
            <w:pPr>
              <w:pStyle w:val="TableParagraph"/>
              <w:spacing w:line="249" w:lineRule="auto" w:before="76"/>
              <w:ind w:left="322" w:hanging="176"/>
              <w:rPr>
                <w:b/>
                <w:sz w:val="12"/>
              </w:rPr>
            </w:pPr>
            <w:r>
              <w:rPr>
                <w:b/>
                <w:sz w:val="12"/>
              </w:rPr>
              <w:t>AGREGADO </w:t>
            </w:r>
            <w:r>
              <w:rPr>
                <w:b/>
                <w:w w:val="105"/>
                <w:sz w:val="12"/>
              </w:rPr>
              <w:t>2022</w:t>
            </w:r>
          </w:p>
        </w:tc>
        <w:tc>
          <w:tcPr>
            <w:tcW w:w="952" w:type="dxa"/>
            <w:shd w:val="clear" w:color="auto" w:fill="D9E1F3"/>
          </w:tcPr>
          <w:p>
            <w:pPr>
              <w:pStyle w:val="TableParagraph"/>
              <w:spacing w:line="249" w:lineRule="auto" w:before="76"/>
              <w:ind w:left="342" w:hanging="176"/>
              <w:rPr>
                <w:b/>
                <w:sz w:val="12"/>
              </w:rPr>
            </w:pPr>
            <w:r>
              <w:rPr>
                <w:b/>
                <w:sz w:val="12"/>
              </w:rPr>
              <w:t>AGREGADO </w:t>
            </w:r>
            <w:r>
              <w:rPr>
                <w:b/>
                <w:w w:val="105"/>
                <w:sz w:val="12"/>
              </w:rPr>
              <w:t>2021</w:t>
            </w:r>
          </w:p>
        </w:tc>
      </w:tr>
      <w:tr>
        <w:trPr>
          <w:trHeight w:val="148" w:hRule="atLeast"/>
        </w:trPr>
        <w:tc>
          <w:tcPr>
            <w:tcW w:w="1729" w:type="dxa"/>
          </w:tcPr>
          <w:p>
            <w:pPr>
              <w:pStyle w:val="TableParagraph"/>
              <w:spacing w:line="127" w:lineRule="exact" w:before="2"/>
              <w:ind w:left="54"/>
              <w:rPr>
                <w:b/>
                <w:sz w:val="12"/>
              </w:rPr>
            </w:pPr>
            <w:r>
              <w:rPr>
                <w:b/>
                <w:w w:val="105"/>
                <w:sz w:val="12"/>
              </w:rPr>
              <w:t>ACTIVO NO CORRIENTE</w:t>
            </w:r>
          </w:p>
        </w:tc>
        <w:tc>
          <w:tcPr>
            <w:tcW w:w="800" w:type="dxa"/>
          </w:tcPr>
          <w:p>
            <w:pPr>
              <w:pStyle w:val="TableParagraph"/>
              <w:spacing w:line="123" w:lineRule="exact" w:before="6"/>
              <w:ind w:right="42"/>
              <w:jc w:val="right"/>
              <w:rPr>
                <w:b/>
                <w:sz w:val="11"/>
              </w:rPr>
            </w:pPr>
            <w:r>
              <w:rPr>
                <w:b/>
                <w:w w:val="95"/>
                <w:sz w:val="11"/>
              </w:rPr>
              <w:t>1.902.031,47</w:t>
            </w:r>
          </w:p>
        </w:tc>
        <w:tc>
          <w:tcPr>
            <w:tcW w:w="823" w:type="dxa"/>
          </w:tcPr>
          <w:p>
            <w:pPr>
              <w:pStyle w:val="TableParagraph"/>
              <w:spacing w:line="123" w:lineRule="exact" w:before="6"/>
              <w:ind w:right="45"/>
              <w:jc w:val="right"/>
              <w:rPr>
                <w:b/>
                <w:sz w:val="11"/>
              </w:rPr>
            </w:pPr>
            <w:r>
              <w:rPr>
                <w:b/>
                <w:sz w:val="11"/>
              </w:rPr>
              <w:t>39.613.985,01</w:t>
            </w:r>
          </w:p>
        </w:tc>
        <w:tc>
          <w:tcPr>
            <w:tcW w:w="821" w:type="dxa"/>
          </w:tcPr>
          <w:p>
            <w:pPr>
              <w:pStyle w:val="TableParagraph"/>
              <w:spacing w:line="123" w:lineRule="exact" w:before="6"/>
              <w:ind w:right="45"/>
              <w:jc w:val="right"/>
              <w:rPr>
                <w:b/>
                <w:sz w:val="11"/>
              </w:rPr>
            </w:pPr>
            <w:r>
              <w:rPr>
                <w:b/>
                <w:w w:val="95"/>
                <w:sz w:val="11"/>
              </w:rPr>
              <w:t>3.417.110,35</w:t>
            </w:r>
          </w:p>
        </w:tc>
        <w:tc>
          <w:tcPr>
            <w:tcW w:w="821" w:type="dxa"/>
          </w:tcPr>
          <w:p>
            <w:pPr>
              <w:pStyle w:val="TableParagraph"/>
              <w:spacing w:line="123" w:lineRule="exact" w:before="6"/>
              <w:ind w:right="43"/>
              <w:jc w:val="right"/>
              <w:rPr>
                <w:b/>
                <w:sz w:val="11"/>
              </w:rPr>
            </w:pPr>
            <w:r>
              <w:rPr>
                <w:b/>
                <w:w w:val="95"/>
                <w:sz w:val="11"/>
              </w:rPr>
              <w:t>349.701,56</w:t>
            </w:r>
          </w:p>
        </w:tc>
        <w:tc>
          <w:tcPr>
            <w:tcW w:w="881" w:type="dxa"/>
          </w:tcPr>
          <w:p>
            <w:pPr>
              <w:pStyle w:val="TableParagraph"/>
              <w:spacing w:line="123" w:lineRule="exact" w:before="6"/>
              <w:ind w:right="46"/>
              <w:jc w:val="right"/>
              <w:rPr>
                <w:b/>
                <w:sz w:val="11"/>
              </w:rPr>
            </w:pPr>
            <w:r>
              <w:rPr>
                <w:b/>
                <w:w w:val="95"/>
                <w:sz w:val="11"/>
              </w:rPr>
              <w:t>595.478.795,69</w:t>
            </w:r>
          </w:p>
        </w:tc>
        <w:tc>
          <w:tcPr>
            <w:tcW w:w="760" w:type="dxa"/>
          </w:tcPr>
          <w:p>
            <w:pPr>
              <w:pStyle w:val="TableParagraph"/>
              <w:spacing w:line="123" w:lineRule="exact" w:before="6"/>
              <w:ind w:right="44"/>
              <w:jc w:val="right"/>
              <w:rPr>
                <w:b/>
                <w:sz w:val="11"/>
              </w:rPr>
            </w:pPr>
            <w:r>
              <w:rPr>
                <w:b/>
                <w:w w:val="95"/>
                <w:sz w:val="11"/>
              </w:rPr>
              <w:t>631.795,27</w:t>
            </w:r>
          </w:p>
        </w:tc>
        <w:tc>
          <w:tcPr>
            <w:tcW w:w="760" w:type="dxa"/>
          </w:tcPr>
          <w:p>
            <w:pPr>
              <w:pStyle w:val="TableParagraph"/>
              <w:spacing w:line="123" w:lineRule="exact" w:before="6"/>
              <w:ind w:right="45"/>
              <w:jc w:val="right"/>
              <w:rPr>
                <w:b/>
                <w:sz w:val="11"/>
              </w:rPr>
            </w:pPr>
            <w:r>
              <w:rPr>
                <w:b/>
                <w:w w:val="95"/>
                <w:sz w:val="11"/>
              </w:rPr>
              <w:t>4.759.566,50</w:t>
            </w:r>
          </w:p>
        </w:tc>
        <w:tc>
          <w:tcPr>
            <w:tcW w:w="760" w:type="dxa"/>
          </w:tcPr>
          <w:p>
            <w:pPr>
              <w:pStyle w:val="TableParagraph"/>
              <w:spacing w:line="123" w:lineRule="exact" w:before="6"/>
              <w:ind w:right="46"/>
              <w:jc w:val="right"/>
              <w:rPr>
                <w:b/>
                <w:sz w:val="11"/>
              </w:rPr>
            </w:pPr>
            <w:r>
              <w:rPr>
                <w:b/>
                <w:w w:val="95"/>
                <w:sz w:val="11"/>
              </w:rPr>
              <w:t>1.462.623,12</w:t>
            </w:r>
          </w:p>
        </w:tc>
        <w:tc>
          <w:tcPr>
            <w:tcW w:w="740" w:type="dxa"/>
          </w:tcPr>
          <w:p>
            <w:pPr>
              <w:pStyle w:val="TableParagraph"/>
              <w:spacing w:line="123" w:lineRule="exact" w:before="6"/>
              <w:ind w:right="48"/>
              <w:jc w:val="right"/>
              <w:rPr>
                <w:b/>
                <w:sz w:val="11"/>
              </w:rPr>
            </w:pPr>
            <w:r>
              <w:rPr>
                <w:b/>
                <w:w w:val="95"/>
                <w:sz w:val="11"/>
              </w:rPr>
              <w:t>1.399.893,04</w:t>
            </w:r>
          </w:p>
        </w:tc>
        <w:tc>
          <w:tcPr>
            <w:tcW w:w="820" w:type="dxa"/>
          </w:tcPr>
          <w:p>
            <w:pPr>
              <w:pStyle w:val="TableParagraph"/>
              <w:spacing w:line="123" w:lineRule="exact" w:before="6"/>
              <w:ind w:right="49"/>
              <w:jc w:val="right"/>
              <w:rPr>
                <w:b/>
                <w:sz w:val="11"/>
              </w:rPr>
            </w:pPr>
            <w:r>
              <w:rPr>
                <w:b/>
                <w:w w:val="95"/>
                <w:sz w:val="11"/>
              </w:rPr>
              <w:t>270.409.526,04</w:t>
            </w:r>
          </w:p>
        </w:tc>
        <w:tc>
          <w:tcPr>
            <w:tcW w:w="913" w:type="dxa"/>
          </w:tcPr>
          <w:p>
            <w:pPr>
              <w:pStyle w:val="TableParagraph"/>
              <w:spacing w:line="123" w:lineRule="exact" w:before="6"/>
              <w:ind w:right="52"/>
              <w:jc w:val="right"/>
              <w:rPr>
                <w:b/>
                <w:sz w:val="11"/>
              </w:rPr>
            </w:pPr>
            <w:r>
              <w:rPr>
                <w:b/>
                <w:sz w:val="11"/>
              </w:rPr>
              <w:t>1.031.572.139,19</w:t>
            </w:r>
          </w:p>
        </w:tc>
        <w:tc>
          <w:tcPr>
            <w:tcW w:w="952" w:type="dxa"/>
          </w:tcPr>
          <w:p>
            <w:pPr>
              <w:pStyle w:val="TableParagraph"/>
              <w:spacing w:line="123" w:lineRule="exact" w:before="6"/>
              <w:ind w:right="51"/>
              <w:jc w:val="right"/>
              <w:rPr>
                <w:b/>
                <w:sz w:val="11"/>
              </w:rPr>
            </w:pPr>
            <w:r>
              <w:rPr>
                <w:b/>
                <w:sz w:val="11"/>
              </w:rPr>
              <w:t>1.022.151.239,42</w:t>
            </w:r>
          </w:p>
        </w:tc>
      </w:tr>
      <w:tr>
        <w:trPr>
          <w:trHeight w:val="150" w:hRule="atLeast"/>
        </w:trPr>
        <w:tc>
          <w:tcPr>
            <w:tcW w:w="1729" w:type="dxa"/>
          </w:tcPr>
          <w:p>
            <w:pPr>
              <w:pStyle w:val="TableParagraph"/>
              <w:spacing w:line="127" w:lineRule="exact" w:before="4"/>
              <w:ind w:left="54"/>
              <w:rPr>
                <w:sz w:val="12"/>
              </w:rPr>
            </w:pPr>
            <w:r>
              <w:rPr>
                <w:w w:val="105"/>
                <w:sz w:val="12"/>
              </w:rPr>
              <w:t>Inmovilizado intangible</w:t>
            </w:r>
          </w:p>
        </w:tc>
        <w:tc>
          <w:tcPr>
            <w:tcW w:w="800" w:type="dxa"/>
          </w:tcPr>
          <w:p>
            <w:pPr>
              <w:pStyle w:val="TableParagraph"/>
              <w:spacing w:line="123" w:lineRule="exact" w:before="7"/>
              <w:ind w:right="42"/>
              <w:jc w:val="right"/>
              <w:rPr>
                <w:sz w:val="11"/>
              </w:rPr>
            </w:pPr>
            <w:r>
              <w:rPr>
                <w:sz w:val="11"/>
              </w:rPr>
              <w:t>1.394.026,57</w:t>
            </w:r>
          </w:p>
        </w:tc>
        <w:tc>
          <w:tcPr>
            <w:tcW w:w="823" w:type="dxa"/>
          </w:tcPr>
          <w:p>
            <w:pPr>
              <w:pStyle w:val="TableParagraph"/>
              <w:spacing w:line="123" w:lineRule="exact" w:before="7"/>
              <w:ind w:right="45"/>
              <w:jc w:val="right"/>
              <w:rPr>
                <w:sz w:val="11"/>
              </w:rPr>
            </w:pPr>
            <w:r>
              <w:rPr>
                <w:sz w:val="11"/>
              </w:rPr>
              <w:t>1.543.912,47</w:t>
            </w:r>
          </w:p>
        </w:tc>
        <w:tc>
          <w:tcPr>
            <w:tcW w:w="821" w:type="dxa"/>
          </w:tcPr>
          <w:p>
            <w:pPr>
              <w:pStyle w:val="TableParagraph"/>
              <w:spacing w:line="123" w:lineRule="exact" w:before="7"/>
              <w:ind w:right="45"/>
              <w:jc w:val="right"/>
              <w:rPr>
                <w:sz w:val="11"/>
              </w:rPr>
            </w:pPr>
            <w:r>
              <w:rPr>
                <w:sz w:val="11"/>
              </w:rPr>
              <w:t>7.619,73</w:t>
            </w:r>
          </w:p>
        </w:tc>
        <w:tc>
          <w:tcPr>
            <w:tcW w:w="821" w:type="dxa"/>
          </w:tcPr>
          <w:p>
            <w:pPr>
              <w:pStyle w:val="TableParagraph"/>
              <w:spacing w:line="123" w:lineRule="exact" w:before="7"/>
              <w:ind w:right="43"/>
              <w:jc w:val="right"/>
              <w:rPr>
                <w:sz w:val="11"/>
              </w:rPr>
            </w:pPr>
            <w:r>
              <w:rPr>
                <w:w w:val="95"/>
                <w:sz w:val="11"/>
              </w:rPr>
              <w:t>0,01</w:t>
            </w:r>
          </w:p>
        </w:tc>
        <w:tc>
          <w:tcPr>
            <w:tcW w:w="881" w:type="dxa"/>
          </w:tcPr>
          <w:p>
            <w:pPr>
              <w:pStyle w:val="TableParagraph"/>
              <w:spacing w:line="123" w:lineRule="exact" w:before="7"/>
              <w:ind w:right="46"/>
              <w:jc w:val="right"/>
              <w:rPr>
                <w:sz w:val="11"/>
              </w:rPr>
            </w:pPr>
            <w:r>
              <w:rPr>
                <w:sz w:val="11"/>
              </w:rPr>
              <w:t>3.054,42</w:t>
            </w:r>
          </w:p>
        </w:tc>
        <w:tc>
          <w:tcPr>
            <w:tcW w:w="760" w:type="dxa"/>
          </w:tcPr>
          <w:p>
            <w:pPr>
              <w:pStyle w:val="TableParagraph"/>
              <w:spacing w:line="123" w:lineRule="exact" w:before="7"/>
              <w:ind w:right="44"/>
              <w:jc w:val="right"/>
              <w:rPr>
                <w:sz w:val="11"/>
              </w:rPr>
            </w:pPr>
            <w:r>
              <w:rPr>
                <w:w w:val="95"/>
                <w:sz w:val="11"/>
              </w:rPr>
              <w:t>37.474,49</w:t>
            </w:r>
          </w:p>
        </w:tc>
        <w:tc>
          <w:tcPr>
            <w:tcW w:w="760" w:type="dxa"/>
          </w:tcPr>
          <w:p>
            <w:pPr>
              <w:pStyle w:val="TableParagraph"/>
              <w:rPr>
                <w:rFonts w:ascii="Times New Roman"/>
                <w:sz w:val="8"/>
              </w:rPr>
            </w:pPr>
          </w:p>
        </w:tc>
        <w:tc>
          <w:tcPr>
            <w:tcW w:w="760" w:type="dxa"/>
          </w:tcPr>
          <w:p>
            <w:pPr>
              <w:pStyle w:val="TableParagraph"/>
              <w:spacing w:line="123" w:lineRule="exact" w:before="7"/>
              <w:ind w:right="46"/>
              <w:jc w:val="right"/>
              <w:rPr>
                <w:sz w:val="11"/>
              </w:rPr>
            </w:pPr>
            <w:r>
              <w:rPr>
                <w:sz w:val="11"/>
              </w:rPr>
              <w:t>4.999,00</w:t>
            </w:r>
          </w:p>
        </w:tc>
        <w:tc>
          <w:tcPr>
            <w:tcW w:w="740" w:type="dxa"/>
          </w:tcPr>
          <w:p>
            <w:pPr>
              <w:pStyle w:val="TableParagraph"/>
              <w:spacing w:line="123" w:lineRule="exact" w:before="7"/>
              <w:ind w:right="48"/>
              <w:jc w:val="right"/>
              <w:rPr>
                <w:sz w:val="11"/>
              </w:rPr>
            </w:pPr>
            <w:r>
              <w:rPr>
                <w:w w:val="95"/>
                <w:sz w:val="11"/>
              </w:rPr>
              <w:t>28.874,89</w:t>
            </w:r>
          </w:p>
        </w:tc>
        <w:tc>
          <w:tcPr>
            <w:tcW w:w="820" w:type="dxa"/>
          </w:tcPr>
          <w:p>
            <w:pPr>
              <w:pStyle w:val="TableParagraph"/>
              <w:spacing w:line="123" w:lineRule="exact" w:before="7"/>
              <w:ind w:right="49"/>
              <w:jc w:val="right"/>
              <w:rPr>
                <w:sz w:val="11"/>
              </w:rPr>
            </w:pPr>
            <w:r>
              <w:rPr>
                <w:w w:val="95"/>
                <w:sz w:val="11"/>
              </w:rPr>
              <w:t>15.999,96</w:t>
            </w:r>
          </w:p>
        </w:tc>
        <w:tc>
          <w:tcPr>
            <w:tcW w:w="913" w:type="dxa"/>
          </w:tcPr>
          <w:p>
            <w:pPr>
              <w:pStyle w:val="TableParagraph"/>
              <w:spacing w:line="123" w:lineRule="exact" w:before="7"/>
              <w:ind w:right="51"/>
              <w:jc w:val="right"/>
              <w:rPr>
                <w:sz w:val="11"/>
              </w:rPr>
            </w:pPr>
            <w:r>
              <w:rPr>
                <w:sz w:val="11"/>
              </w:rPr>
              <w:t>8.540.575,16</w:t>
            </w:r>
          </w:p>
        </w:tc>
        <w:tc>
          <w:tcPr>
            <w:tcW w:w="952" w:type="dxa"/>
          </w:tcPr>
          <w:p>
            <w:pPr>
              <w:pStyle w:val="TableParagraph"/>
              <w:spacing w:line="123" w:lineRule="exact" w:before="7"/>
              <w:ind w:right="50"/>
              <w:jc w:val="right"/>
              <w:rPr>
                <w:sz w:val="11"/>
              </w:rPr>
            </w:pPr>
            <w:r>
              <w:rPr>
                <w:sz w:val="11"/>
              </w:rPr>
              <w:t>7.712.462,12</w:t>
            </w:r>
          </w:p>
        </w:tc>
      </w:tr>
      <w:tr>
        <w:trPr>
          <w:trHeight w:val="148" w:hRule="atLeast"/>
        </w:trPr>
        <w:tc>
          <w:tcPr>
            <w:tcW w:w="1729" w:type="dxa"/>
          </w:tcPr>
          <w:p>
            <w:pPr>
              <w:pStyle w:val="TableParagraph"/>
              <w:spacing w:line="127" w:lineRule="exact" w:before="2"/>
              <w:ind w:left="54"/>
              <w:rPr>
                <w:sz w:val="12"/>
              </w:rPr>
            </w:pPr>
            <w:r>
              <w:rPr>
                <w:w w:val="105"/>
                <w:sz w:val="12"/>
              </w:rPr>
              <w:t>Inmovilizado material</w:t>
            </w:r>
          </w:p>
        </w:tc>
        <w:tc>
          <w:tcPr>
            <w:tcW w:w="800" w:type="dxa"/>
          </w:tcPr>
          <w:p>
            <w:pPr>
              <w:pStyle w:val="TableParagraph"/>
              <w:spacing w:line="123" w:lineRule="exact" w:before="6"/>
              <w:ind w:right="42"/>
              <w:jc w:val="right"/>
              <w:rPr>
                <w:sz w:val="11"/>
              </w:rPr>
            </w:pPr>
            <w:r>
              <w:rPr>
                <w:sz w:val="11"/>
              </w:rPr>
              <w:t>507.182,98</w:t>
            </w:r>
          </w:p>
        </w:tc>
        <w:tc>
          <w:tcPr>
            <w:tcW w:w="823" w:type="dxa"/>
          </w:tcPr>
          <w:p>
            <w:pPr>
              <w:pStyle w:val="TableParagraph"/>
              <w:spacing w:line="123" w:lineRule="exact" w:before="6"/>
              <w:ind w:right="45"/>
              <w:jc w:val="right"/>
              <w:rPr>
                <w:sz w:val="11"/>
              </w:rPr>
            </w:pPr>
            <w:r>
              <w:rPr>
                <w:sz w:val="11"/>
              </w:rPr>
              <w:t>21.732.452,45</w:t>
            </w:r>
          </w:p>
        </w:tc>
        <w:tc>
          <w:tcPr>
            <w:tcW w:w="821" w:type="dxa"/>
          </w:tcPr>
          <w:p>
            <w:pPr>
              <w:pStyle w:val="TableParagraph"/>
              <w:spacing w:line="123" w:lineRule="exact" w:before="6"/>
              <w:ind w:right="45"/>
              <w:jc w:val="right"/>
              <w:rPr>
                <w:sz w:val="11"/>
              </w:rPr>
            </w:pPr>
            <w:r>
              <w:rPr>
                <w:sz w:val="11"/>
              </w:rPr>
              <w:t>3.408.606,53</w:t>
            </w:r>
          </w:p>
        </w:tc>
        <w:tc>
          <w:tcPr>
            <w:tcW w:w="821" w:type="dxa"/>
          </w:tcPr>
          <w:p>
            <w:pPr>
              <w:pStyle w:val="TableParagraph"/>
              <w:spacing w:line="123" w:lineRule="exact" w:before="6"/>
              <w:ind w:right="43"/>
              <w:jc w:val="right"/>
              <w:rPr>
                <w:sz w:val="11"/>
              </w:rPr>
            </w:pPr>
            <w:r>
              <w:rPr>
                <w:sz w:val="11"/>
              </w:rPr>
              <w:t>340.593,85</w:t>
            </w:r>
          </w:p>
        </w:tc>
        <w:tc>
          <w:tcPr>
            <w:tcW w:w="881" w:type="dxa"/>
          </w:tcPr>
          <w:p>
            <w:pPr>
              <w:pStyle w:val="TableParagraph"/>
              <w:spacing w:line="123" w:lineRule="exact" w:before="6"/>
              <w:ind w:right="46"/>
              <w:jc w:val="right"/>
              <w:rPr>
                <w:sz w:val="11"/>
              </w:rPr>
            </w:pPr>
            <w:r>
              <w:rPr>
                <w:sz w:val="11"/>
              </w:rPr>
              <w:t>525.084.296,79</w:t>
            </w:r>
          </w:p>
        </w:tc>
        <w:tc>
          <w:tcPr>
            <w:tcW w:w="760" w:type="dxa"/>
          </w:tcPr>
          <w:p>
            <w:pPr>
              <w:pStyle w:val="TableParagraph"/>
              <w:spacing w:line="123" w:lineRule="exact" w:before="6"/>
              <w:ind w:right="45"/>
              <w:jc w:val="right"/>
              <w:rPr>
                <w:sz w:val="11"/>
              </w:rPr>
            </w:pPr>
            <w:r>
              <w:rPr>
                <w:sz w:val="11"/>
              </w:rPr>
              <w:t>594.320,78</w:t>
            </w:r>
          </w:p>
        </w:tc>
        <w:tc>
          <w:tcPr>
            <w:tcW w:w="760" w:type="dxa"/>
          </w:tcPr>
          <w:p>
            <w:pPr>
              <w:pStyle w:val="TableParagraph"/>
              <w:rPr>
                <w:rFonts w:ascii="Times New Roman"/>
                <w:sz w:val="8"/>
              </w:rPr>
            </w:pPr>
          </w:p>
        </w:tc>
        <w:tc>
          <w:tcPr>
            <w:tcW w:w="760" w:type="dxa"/>
          </w:tcPr>
          <w:p>
            <w:pPr>
              <w:pStyle w:val="TableParagraph"/>
              <w:spacing w:line="123" w:lineRule="exact" w:before="6"/>
              <w:ind w:right="46"/>
              <w:jc w:val="right"/>
              <w:rPr>
                <w:sz w:val="11"/>
              </w:rPr>
            </w:pPr>
            <w:r>
              <w:rPr>
                <w:sz w:val="11"/>
              </w:rPr>
              <w:t>661.248,12</w:t>
            </w:r>
          </w:p>
        </w:tc>
        <w:tc>
          <w:tcPr>
            <w:tcW w:w="740" w:type="dxa"/>
          </w:tcPr>
          <w:p>
            <w:pPr>
              <w:pStyle w:val="TableParagraph"/>
              <w:spacing w:line="123" w:lineRule="exact" w:before="6"/>
              <w:ind w:right="48"/>
              <w:jc w:val="right"/>
              <w:rPr>
                <w:sz w:val="11"/>
              </w:rPr>
            </w:pPr>
            <w:r>
              <w:rPr>
                <w:sz w:val="11"/>
              </w:rPr>
              <w:t>1.352.972,26</w:t>
            </w:r>
          </w:p>
        </w:tc>
        <w:tc>
          <w:tcPr>
            <w:tcW w:w="820" w:type="dxa"/>
          </w:tcPr>
          <w:p>
            <w:pPr>
              <w:pStyle w:val="TableParagraph"/>
              <w:spacing w:line="123" w:lineRule="exact" w:before="6"/>
              <w:ind w:right="49"/>
              <w:jc w:val="right"/>
              <w:rPr>
                <w:sz w:val="11"/>
              </w:rPr>
            </w:pPr>
            <w:r>
              <w:rPr>
                <w:sz w:val="11"/>
              </w:rPr>
              <w:t>3.323.295,38</w:t>
            </w:r>
          </w:p>
        </w:tc>
        <w:tc>
          <w:tcPr>
            <w:tcW w:w="913" w:type="dxa"/>
          </w:tcPr>
          <w:p>
            <w:pPr>
              <w:pStyle w:val="TableParagraph"/>
              <w:spacing w:line="123" w:lineRule="exact" w:before="6"/>
              <w:ind w:right="52"/>
              <w:jc w:val="right"/>
              <w:rPr>
                <w:sz w:val="11"/>
              </w:rPr>
            </w:pPr>
            <w:r>
              <w:rPr>
                <w:sz w:val="11"/>
              </w:rPr>
              <w:t>597.359.465,60</w:t>
            </w:r>
          </w:p>
        </w:tc>
        <w:tc>
          <w:tcPr>
            <w:tcW w:w="952" w:type="dxa"/>
          </w:tcPr>
          <w:p>
            <w:pPr>
              <w:pStyle w:val="TableParagraph"/>
              <w:spacing w:line="123" w:lineRule="exact" w:before="6"/>
              <w:ind w:right="51"/>
              <w:jc w:val="right"/>
              <w:rPr>
                <w:sz w:val="11"/>
              </w:rPr>
            </w:pPr>
            <w:r>
              <w:rPr>
                <w:sz w:val="11"/>
              </w:rPr>
              <w:t>593.257.311,39</w:t>
            </w:r>
          </w:p>
        </w:tc>
      </w:tr>
      <w:tr>
        <w:trPr>
          <w:trHeight w:val="150" w:hRule="atLeast"/>
        </w:trPr>
        <w:tc>
          <w:tcPr>
            <w:tcW w:w="1729" w:type="dxa"/>
          </w:tcPr>
          <w:p>
            <w:pPr>
              <w:pStyle w:val="TableParagraph"/>
              <w:spacing w:line="127" w:lineRule="exact" w:before="4"/>
              <w:ind w:left="54"/>
              <w:rPr>
                <w:sz w:val="12"/>
              </w:rPr>
            </w:pPr>
            <w:r>
              <w:rPr>
                <w:w w:val="105"/>
                <w:sz w:val="12"/>
              </w:rPr>
              <w:t>Inversiones inmobiliarias</w:t>
            </w:r>
          </w:p>
        </w:tc>
        <w:tc>
          <w:tcPr>
            <w:tcW w:w="800" w:type="dxa"/>
          </w:tcPr>
          <w:p>
            <w:pPr>
              <w:pStyle w:val="TableParagraph"/>
              <w:rPr>
                <w:rFonts w:ascii="Times New Roman"/>
                <w:sz w:val="8"/>
              </w:rPr>
            </w:pPr>
          </w:p>
        </w:tc>
        <w:tc>
          <w:tcPr>
            <w:tcW w:w="823" w:type="dxa"/>
          </w:tcPr>
          <w:p>
            <w:pPr>
              <w:pStyle w:val="TableParagraph"/>
              <w:spacing w:line="123" w:lineRule="exact" w:before="8"/>
              <w:ind w:right="45"/>
              <w:jc w:val="right"/>
              <w:rPr>
                <w:sz w:val="11"/>
              </w:rPr>
            </w:pPr>
            <w:r>
              <w:rPr>
                <w:sz w:val="11"/>
              </w:rPr>
              <w:t>12.155.706,68</w:t>
            </w:r>
          </w:p>
        </w:tc>
        <w:tc>
          <w:tcPr>
            <w:tcW w:w="821" w:type="dxa"/>
          </w:tcPr>
          <w:p>
            <w:pPr>
              <w:pStyle w:val="TableParagraph"/>
              <w:rPr>
                <w:rFonts w:ascii="Times New Roman"/>
                <w:sz w:val="8"/>
              </w:rPr>
            </w:pPr>
          </w:p>
        </w:tc>
        <w:tc>
          <w:tcPr>
            <w:tcW w:w="821" w:type="dxa"/>
          </w:tcPr>
          <w:p>
            <w:pPr>
              <w:pStyle w:val="TableParagraph"/>
              <w:rPr>
                <w:rFonts w:ascii="Times New Roman"/>
                <w:sz w:val="8"/>
              </w:rPr>
            </w:pPr>
          </w:p>
        </w:tc>
        <w:tc>
          <w:tcPr>
            <w:tcW w:w="881" w:type="dxa"/>
          </w:tcPr>
          <w:p>
            <w:pPr>
              <w:pStyle w:val="TableParagraph"/>
              <w:spacing w:line="123" w:lineRule="exact" w:before="8"/>
              <w:ind w:right="46"/>
              <w:jc w:val="right"/>
              <w:rPr>
                <w:sz w:val="11"/>
              </w:rPr>
            </w:pPr>
            <w:r>
              <w:rPr>
                <w:sz w:val="11"/>
              </w:rPr>
              <w:t>70.391.444,48</w:t>
            </w:r>
          </w:p>
        </w:tc>
        <w:tc>
          <w:tcPr>
            <w:tcW w:w="760" w:type="dxa"/>
          </w:tcPr>
          <w:p>
            <w:pPr>
              <w:pStyle w:val="TableParagraph"/>
              <w:rPr>
                <w:rFonts w:ascii="Times New Roman"/>
                <w:sz w:val="8"/>
              </w:rPr>
            </w:pPr>
          </w:p>
        </w:tc>
        <w:tc>
          <w:tcPr>
            <w:tcW w:w="760" w:type="dxa"/>
          </w:tcPr>
          <w:p>
            <w:pPr>
              <w:pStyle w:val="TableParagraph"/>
              <w:spacing w:line="123" w:lineRule="exact" w:before="8"/>
              <w:ind w:right="45"/>
              <w:jc w:val="right"/>
              <w:rPr>
                <w:sz w:val="11"/>
              </w:rPr>
            </w:pPr>
            <w:r>
              <w:rPr>
                <w:sz w:val="11"/>
              </w:rPr>
              <w:t>167.606,84</w:t>
            </w:r>
          </w:p>
        </w:tc>
        <w:tc>
          <w:tcPr>
            <w:tcW w:w="760" w:type="dxa"/>
          </w:tcPr>
          <w:p>
            <w:pPr>
              <w:pStyle w:val="TableParagraph"/>
              <w:spacing w:line="123" w:lineRule="exact" w:before="8"/>
              <w:ind w:right="46"/>
              <w:jc w:val="right"/>
              <w:rPr>
                <w:sz w:val="11"/>
              </w:rPr>
            </w:pPr>
            <w:r>
              <w:rPr>
                <w:sz w:val="11"/>
              </w:rPr>
              <w:t>200.000,00</w:t>
            </w:r>
          </w:p>
        </w:tc>
        <w:tc>
          <w:tcPr>
            <w:tcW w:w="740" w:type="dxa"/>
          </w:tcPr>
          <w:p>
            <w:pPr>
              <w:pStyle w:val="TableParagraph"/>
              <w:rPr>
                <w:rFonts w:ascii="Times New Roman"/>
                <w:sz w:val="8"/>
              </w:rPr>
            </w:pPr>
          </w:p>
        </w:tc>
        <w:tc>
          <w:tcPr>
            <w:tcW w:w="820" w:type="dxa"/>
          </w:tcPr>
          <w:p>
            <w:pPr>
              <w:pStyle w:val="TableParagraph"/>
              <w:spacing w:line="123" w:lineRule="exact" w:before="8"/>
              <w:ind w:right="49"/>
              <w:jc w:val="right"/>
              <w:rPr>
                <w:sz w:val="11"/>
              </w:rPr>
            </w:pPr>
            <w:r>
              <w:rPr>
                <w:sz w:val="11"/>
              </w:rPr>
              <w:t>264.665.656,85</w:t>
            </w:r>
          </w:p>
        </w:tc>
        <w:tc>
          <w:tcPr>
            <w:tcW w:w="913" w:type="dxa"/>
          </w:tcPr>
          <w:p>
            <w:pPr>
              <w:pStyle w:val="TableParagraph"/>
              <w:spacing w:line="123" w:lineRule="exact" w:before="8"/>
              <w:ind w:right="52"/>
              <w:jc w:val="right"/>
              <w:rPr>
                <w:sz w:val="11"/>
              </w:rPr>
            </w:pPr>
            <w:r>
              <w:rPr>
                <w:sz w:val="11"/>
              </w:rPr>
              <w:t>411.948.278,17</w:t>
            </w:r>
          </w:p>
        </w:tc>
        <w:tc>
          <w:tcPr>
            <w:tcW w:w="952" w:type="dxa"/>
          </w:tcPr>
          <w:p>
            <w:pPr>
              <w:pStyle w:val="TableParagraph"/>
              <w:spacing w:line="123" w:lineRule="exact" w:before="8"/>
              <w:ind w:right="51"/>
              <w:jc w:val="right"/>
              <w:rPr>
                <w:sz w:val="11"/>
              </w:rPr>
            </w:pPr>
            <w:r>
              <w:rPr>
                <w:sz w:val="11"/>
              </w:rPr>
              <w:t>406.309.249,34</w:t>
            </w:r>
          </w:p>
        </w:tc>
      </w:tr>
      <w:tr>
        <w:trPr>
          <w:trHeight w:val="452" w:hRule="atLeast"/>
        </w:trPr>
        <w:tc>
          <w:tcPr>
            <w:tcW w:w="1729" w:type="dxa"/>
          </w:tcPr>
          <w:p>
            <w:pPr>
              <w:pStyle w:val="TableParagraph"/>
              <w:spacing w:line="249" w:lineRule="auto" w:before="2"/>
              <w:ind w:left="54"/>
              <w:rPr>
                <w:sz w:val="12"/>
              </w:rPr>
            </w:pPr>
            <w:r>
              <w:rPr>
                <w:w w:val="105"/>
                <w:sz w:val="12"/>
              </w:rPr>
              <w:t>Inversiones en entidades del grupo y asociadas</w:t>
            </w:r>
          </w:p>
          <w:p>
            <w:pPr>
              <w:pStyle w:val="TableParagraph"/>
              <w:spacing w:line="126" w:lineRule="exact"/>
              <w:ind w:left="54"/>
              <w:rPr>
                <w:sz w:val="12"/>
              </w:rPr>
            </w:pPr>
            <w:r>
              <w:rPr>
                <w:w w:val="105"/>
                <w:sz w:val="12"/>
              </w:rPr>
              <w:t>a largo plazo</w:t>
            </w:r>
          </w:p>
        </w:tc>
        <w:tc>
          <w:tcPr>
            <w:tcW w:w="800" w:type="dxa"/>
          </w:tcPr>
          <w:p>
            <w:pPr>
              <w:pStyle w:val="TableParagraph"/>
              <w:rPr>
                <w:rFonts w:ascii="Times New Roman"/>
                <w:sz w:val="10"/>
              </w:rPr>
            </w:pPr>
          </w:p>
        </w:tc>
        <w:tc>
          <w:tcPr>
            <w:tcW w:w="823" w:type="dxa"/>
          </w:tcPr>
          <w:p>
            <w:pPr>
              <w:pStyle w:val="TableParagraph"/>
              <w:rPr>
                <w:b/>
                <w:sz w:val="13"/>
              </w:rPr>
            </w:pPr>
          </w:p>
          <w:p>
            <w:pPr>
              <w:pStyle w:val="TableParagraph"/>
              <w:ind w:right="45"/>
              <w:jc w:val="right"/>
              <w:rPr>
                <w:sz w:val="11"/>
              </w:rPr>
            </w:pPr>
            <w:r>
              <w:rPr>
                <w:sz w:val="11"/>
              </w:rPr>
              <w:t>298.270,00</w:t>
            </w:r>
          </w:p>
        </w:tc>
        <w:tc>
          <w:tcPr>
            <w:tcW w:w="821" w:type="dxa"/>
          </w:tcPr>
          <w:p>
            <w:pPr>
              <w:pStyle w:val="TableParagraph"/>
              <w:rPr>
                <w:rFonts w:ascii="Times New Roman"/>
                <w:sz w:val="10"/>
              </w:rPr>
            </w:pPr>
          </w:p>
        </w:tc>
        <w:tc>
          <w:tcPr>
            <w:tcW w:w="821" w:type="dxa"/>
          </w:tcPr>
          <w:p>
            <w:pPr>
              <w:pStyle w:val="TableParagraph"/>
              <w:rPr>
                <w:rFonts w:ascii="Times New Roman"/>
                <w:sz w:val="10"/>
              </w:rPr>
            </w:pPr>
          </w:p>
        </w:tc>
        <w:tc>
          <w:tcPr>
            <w:tcW w:w="881" w:type="dxa"/>
          </w:tcPr>
          <w:p>
            <w:pPr>
              <w:pStyle w:val="TableParagraph"/>
              <w:rPr>
                <w:rFonts w:ascii="Times New Roman"/>
                <w:sz w:val="10"/>
              </w:rPr>
            </w:pPr>
          </w:p>
        </w:tc>
        <w:tc>
          <w:tcPr>
            <w:tcW w:w="760" w:type="dxa"/>
          </w:tcPr>
          <w:p>
            <w:pPr>
              <w:pStyle w:val="TableParagraph"/>
              <w:rPr>
                <w:rFonts w:ascii="Times New Roman"/>
                <w:sz w:val="10"/>
              </w:rPr>
            </w:pPr>
          </w:p>
        </w:tc>
        <w:tc>
          <w:tcPr>
            <w:tcW w:w="760" w:type="dxa"/>
          </w:tcPr>
          <w:p>
            <w:pPr>
              <w:pStyle w:val="TableParagraph"/>
              <w:rPr>
                <w:b/>
                <w:sz w:val="13"/>
              </w:rPr>
            </w:pPr>
          </w:p>
          <w:p>
            <w:pPr>
              <w:pStyle w:val="TableParagraph"/>
              <w:ind w:right="45"/>
              <w:jc w:val="right"/>
              <w:rPr>
                <w:sz w:val="11"/>
              </w:rPr>
            </w:pPr>
            <w:r>
              <w:rPr>
                <w:sz w:val="11"/>
              </w:rPr>
              <w:t>4.591.732,48</w:t>
            </w:r>
          </w:p>
        </w:tc>
        <w:tc>
          <w:tcPr>
            <w:tcW w:w="760" w:type="dxa"/>
          </w:tcPr>
          <w:p>
            <w:pPr>
              <w:pStyle w:val="TableParagraph"/>
              <w:rPr>
                <w:b/>
                <w:sz w:val="13"/>
              </w:rPr>
            </w:pPr>
          </w:p>
          <w:p>
            <w:pPr>
              <w:pStyle w:val="TableParagraph"/>
              <w:ind w:right="46"/>
              <w:jc w:val="right"/>
              <w:rPr>
                <w:sz w:val="11"/>
              </w:rPr>
            </w:pPr>
            <w:r>
              <w:rPr>
                <w:sz w:val="11"/>
              </w:rPr>
              <w:t>538.071,81</w:t>
            </w:r>
          </w:p>
        </w:tc>
        <w:tc>
          <w:tcPr>
            <w:tcW w:w="740" w:type="dxa"/>
          </w:tcPr>
          <w:p>
            <w:pPr>
              <w:pStyle w:val="TableParagraph"/>
              <w:rPr>
                <w:rFonts w:ascii="Times New Roman"/>
                <w:sz w:val="10"/>
              </w:rPr>
            </w:pPr>
          </w:p>
        </w:tc>
        <w:tc>
          <w:tcPr>
            <w:tcW w:w="820" w:type="dxa"/>
          </w:tcPr>
          <w:p>
            <w:pPr>
              <w:pStyle w:val="TableParagraph"/>
              <w:rPr>
                <w:b/>
                <w:sz w:val="13"/>
              </w:rPr>
            </w:pPr>
          </w:p>
          <w:p>
            <w:pPr>
              <w:pStyle w:val="TableParagraph"/>
              <w:ind w:right="49"/>
              <w:jc w:val="right"/>
              <w:rPr>
                <w:sz w:val="11"/>
              </w:rPr>
            </w:pPr>
            <w:r>
              <w:rPr>
                <w:sz w:val="11"/>
              </w:rPr>
              <w:t>387.380,20</w:t>
            </w:r>
          </w:p>
        </w:tc>
        <w:tc>
          <w:tcPr>
            <w:tcW w:w="913" w:type="dxa"/>
          </w:tcPr>
          <w:p>
            <w:pPr>
              <w:pStyle w:val="TableParagraph"/>
              <w:rPr>
                <w:b/>
                <w:sz w:val="13"/>
              </w:rPr>
            </w:pPr>
          </w:p>
          <w:p>
            <w:pPr>
              <w:pStyle w:val="TableParagraph"/>
              <w:ind w:right="51"/>
              <w:jc w:val="right"/>
              <w:rPr>
                <w:sz w:val="11"/>
              </w:rPr>
            </w:pPr>
            <w:r>
              <w:rPr>
                <w:sz w:val="11"/>
              </w:rPr>
              <w:t>6.190.028,16</w:t>
            </w:r>
          </w:p>
        </w:tc>
        <w:tc>
          <w:tcPr>
            <w:tcW w:w="952" w:type="dxa"/>
          </w:tcPr>
          <w:p>
            <w:pPr>
              <w:pStyle w:val="TableParagraph"/>
              <w:rPr>
                <w:b/>
                <w:sz w:val="13"/>
              </w:rPr>
            </w:pPr>
          </w:p>
          <w:p>
            <w:pPr>
              <w:pStyle w:val="TableParagraph"/>
              <w:ind w:right="50"/>
              <w:jc w:val="right"/>
              <w:rPr>
                <w:sz w:val="11"/>
              </w:rPr>
            </w:pPr>
            <w:r>
              <w:rPr>
                <w:sz w:val="11"/>
              </w:rPr>
              <w:t>6.305.832,29</w:t>
            </w:r>
          </w:p>
        </w:tc>
      </w:tr>
      <w:tr>
        <w:trPr>
          <w:trHeight w:val="301" w:hRule="atLeast"/>
        </w:trPr>
        <w:tc>
          <w:tcPr>
            <w:tcW w:w="1729" w:type="dxa"/>
          </w:tcPr>
          <w:p>
            <w:pPr>
              <w:pStyle w:val="TableParagraph"/>
              <w:spacing w:before="4"/>
              <w:ind w:left="54"/>
              <w:rPr>
                <w:sz w:val="12"/>
              </w:rPr>
            </w:pPr>
            <w:r>
              <w:rPr>
                <w:w w:val="105"/>
                <w:sz w:val="12"/>
              </w:rPr>
              <w:t>Inversiones financieras a largo</w:t>
            </w:r>
          </w:p>
          <w:p>
            <w:pPr>
              <w:pStyle w:val="TableParagraph"/>
              <w:spacing w:line="127" w:lineRule="exact" w:before="4"/>
              <w:ind w:left="54"/>
              <w:rPr>
                <w:sz w:val="12"/>
              </w:rPr>
            </w:pPr>
            <w:r>
              <w:rPr>
                <w:w w:val="105"/>
                <w:sz w:val="12"/>
              </w:rPr>
              <w:t>plazo</w:t>
            </w:r>
          </w:p>
        </w:tc>
        <w:tc>
          <w:tcPr>
            <w:tcW w:w="800" w:type="dxa"/>
          </w:tcPr>
          <w:p>
            <w:pPr>
              <w:pStyle w:val="TableParagraph"/>
              <w:spacing w:before="82"/>
              <w:ind w:right="42"/>
              <w:jc w:val="right"/>
              <w:rPr>
                <w:sz w:val="11"/>
              </w:rPr>
            </w:pPr>
            <w:r>
              <w:rPr>
                <w:w w:val="95"/>
                <w:sz w:val="11"/>
              </w:rPr>
              <w:t>821,92</w:t>
            </w:r>
          </w:p>
        </w:tc>
        <w:tc>
          <w:tcPr>
            <w:tcW w:w="823" w:type="dxa"/>
          </w:tcPr>
          <w:p>
            <w:pPr>
              <w:pStyle w:val="TableParagraph"/>
              <w:spacing w:before="82"/>
              <w:ind w:right="45"/>
              <w:jc w:val="right"/>
              <w:rPr>
                <w:sz w:val="11"/>
              </w:rPr>
            </w:pPr>
            <w:r>
              <w:rPr>
                <w:sz w:val="11"/>
              </w:rPr>
              <w:t>3.883.643,41</w:t>
            </w:r>
          </w:p>
        </w:tc>
        <w:tc>
          <w:tcPr>
            <w:tcW w:w="821" w:type="dxa"/>
          </w:tcPr>
          <w:p>
            <w:pPr>
              <w:pStyle w:val="TableParagraph"/>
              <w:spacing w:before="82"/>
              <w:ind w:right="44"/>
              <w:jc w:val="right"/>
              <w:rPr>
                <w:sz w:val="11"/>
              </w:rPr>
            </w:pPr>
            <w:r>
              <w:rPr>
                <w:w w:val="95"/>
                <w:sz w:val="11"/>
              </w:rPr>
              <w:t>884,09</w:t>
            </w:r>
          </w:p>
        </w:tc>
        <w:tc>
          <w:tcPr>
            <w:tcW w:w="821" w:type="dxa"/>
          </w:tcPr>
          <w:p>
            <w:pPr>
              <w:pStyle w:val="TableParagraph"/>
              <w:spacing w:before="82"/>
              <w:ind w:right="43"/>
              <w:jc w:val="right"/>
              <w:rPr>
                <w:sz w:val="11"/>
              </w:rPr>
            </w:pPr>
            <w:r>
              <w:rPr>
                <w:sz w:val="11"/>
              </w:rPr>
              <w:t>9.107,70</w:t>
            </w:r>
          </w:p>
        </w:tc>
        <w:tc>
          <w:tcPr>
            <w:tcW w:w="881" w:type="dxa"/>
          </w:tcPr>
          <w:p>
            <w:pPr>
              <w:pStyle w:val="TableParagraph"/>
              <w:rPr>
                <w:rFonts w:ascii="Times New Roman"/>
                <w:sz w:val="10"/>
              </w:rPr>
            </w:pPr>
          </w:p>
        </w:tc>
        <w:tc>
          <w:tcPr>
            <w:tcW w:w="760" w:type="dxa"/>
          </w:tcPr>
          <w:p>
            <w:pPr>
              <w:pStyle w:val="TableParagraph"/>
              <w:rPr>
                <w:rFonts w:ascii="Times New Roman"/>
                <w:sz w:val="10"/>
              </w:rPr>
            </w:pPr>
          </w:p>
        </w:tc>
        <w:tc>
          <w:tcPr>
            <w:tcW w:w="760" w:type="dxa"/>
          </w:tcPr>
          <w:p>
            <w:pPr>
              <w:pStyle w:val="TableParagraph"/>
              <w:spacing w:before="82"/>
              <w:ind w:right="45"/>
              <w:jc w:val="right"/>
              <w:rPr>
                <w:sz w:val="11"/>
              </w:rPr>
            </w:pPr>
            <w:r>
              <w:rPr>
                <w:w w:val="95"/>
                <w:sz w:val="11"/>
              </w:rPr>
              <w:t>227,18</w:t>
            </w:r>
          </w:p>
        </w:tc>
        <w:tc>
          <w:tcPr>
            <w:tcW w:w="760" w:type="dxa"/>
          </w:tcPr>
          <w:p>
            <w:pPr>
              <w:pStyle w:val="TableParagraph"/>
              <w:spacing w:before="82"/>
              <w:ind w:right="46"/>
              <w:jc w:val="right"/>
              <w:rPr>
                <w:sz w:val="11"/>
              </w:rPr>
            </w:pPr>
            <w:r>
              <w:rPr>
                <w:w w:val="95"/>
                <w:sz w:val="11"/>
              </w:rPr>
              <w:t>58.304,19</w:t>
            </w:r>
          </w:p>
        </w:tc>
        <w:tc>
          <w:tcPr>
            <w:tcW w:w="740" w:type="dxa"/>
          </w:tcPr>
          <w:p>
            <w:pPr>
              <w:pStyle w:val="TableParagraph"/>
              <w:spacing w:before="82"/>
              <w:ind w:right="48"/>
              <w:jc w:val="right"/>
              <w:rPr>
                <w:sz w:val="11"/>
              </w:rPr>
            </w:pPr>
            <w:r>
              <w:rPr>
                <w:w w:val="95"/>
                <w:sz w:val="11"/>
              </w:rPr>
              <w:t>18.045,89</w:t>
            </w:r>
          </w:p>
        </w:tc>
        <w:tc>
          <w:tcPr>
            <w:tcW w:w="820" w:type="dxa"/>
          </w:tcPr>
          <w:p>
            <w:pPr>
              <w:pStyle w:val="TableParagraph"/>
              <w:spacing w:before="82"/>
              <w:ind w:right="49"/>
              <w:jc w:val="right"/>
              <w:rPr>
                <w:sz w:val="11"/>
              </w:rPr>
            </w:pPr>
            <w:r>
              <w:rPr>
                <w:sz w:val="11"/>
              </w:rPr>
              <w:t>7.252,28</w:t>
            </w:r>
          </w:p>
        </w:tc>
        <w:tc>
          <w:tcPr>
            <w:tcW w:w="913" w:type="dxa"/>
          </w:tcPr>
          <w:p>
            <w:pPr>
              <w:pStyle w:val="TableParagraph"/>
              <w:spacing w:before="82"/>
              <w:ind w:right="51"/>
              <w:jc w:val="right"/>
              <w:rPr>
                <w:sz w:val="11"/>
              </w:rPr>
            </w:pPr>
            <w:r>
              <w:rPr>
                <w:sz w:val="11"/>
              </w:rPr>
              <w:t>4.870.181,00</w:t>
            </w:r>
          </w:p>
        </w:tc>
        <w:tc>
          <w:tcPr>
            <w:tcW w:w="952" w:type="dxa"/>
          </w:tcPr>
          <w:p>
            <w:pPr>
              <w:pStyle w:val="TableParagraph"/>
              <w:spacing w:before="82"/>
              <w:ind w:right="50"/>
              <w:jc w:val="right"/>
              <w:rPr>
                <w:sz w:val="11"/>
              </w:rPr>
            </w:pPr>
            <w:r>
              <w:rPr>
                <w:sz w:val="11"/>
              </w:rPr>
              <w:t>4.916.147,99</w:t>
            </w:r>
          </w:p>
        </w:tc>
      </w:tr>
      <w:tr>
        <w:trPr>
          <w:trHeight w:val="150" w:hRule="atLeast"/>
        </w:trPr>
        <w:tc>
          <w:tcPr>
            <w:tcW w:w="1729" w:type="dxa"/>
          </w:tcPr>
          <w:p>
            <w:pPr>
              <w:pStyle w:val="TableParagraph"/>
              <w:spacing w:line="128" w:lineRule="exact" w:before="2"/>
              <w:ind w:left="54"/>
              <w:rPr>
                <w:sz w:val="12"/>
              </w:rPr>
            </w:pPr>
            <w:r>
              <w:rPr>
                <w:w w:val="105"/>
                <w:sz w:val="12"/>
              </w:rPr>
              <w:t>Activos por impuesto diferido</w:t>
            </w:r>
          </w:p>
        </w:tc>
        <w:tc>
          <w:tcPr>
            <w:tcW w:w="800" w:type="dxa"/>
          </w:tcPr>
          <w:p>
            <w:pPr>
              <w:pStyle w:val="TableParagraph"/>
              <w:rPr>
                <w:rFonts w:ascii="Times New Roman"/>
                <w:sz w:val="8"/>
              </w:rPr>
            </w:pPr>
          </w:p>
        </w:tc>
        <w:tc>
          <w:tcPr>
            <w:tcW w:w="823" w:type="dxa"/>
          </w:tcPr>
          <w:p>
            <w:pPr>
              <w:pStyle w:val="TableParagraph"/>
              <w:rPr>
                <w:rFonts w:ascii="Times New Roman"/>
                <w:sz w:val="8"/>
              </w:rPr>
            </w:pPr>
          </w:p>
        </w:tc>
        <w:tc>
          <w:tcPr>
            <w:tcW w:w="821" w:type="dxa"/>
          </w:tcPr>
          <w:p>
            <w:pPr>
              <w:pStyle w:val="TableParagraph"/>
              <w:rPr>
                <w:rFonts w:ascii="Times New Roman"/>
                <w:sz w:val="8"/>
              </w:rPr>
            </w:pPr>
          </w:p>
        </w:tc>
        <w:tc>
          <w:tcPr>
            <w:tcW w:w="821" w:type="dxa"/>
          </w:tcPr>
          <w:p>
            <w:pPr>
              <w:pStyle w:val="TableParagraph"/>
              <w:rPr>
                <w:rFonts w:ascii="Times New Roman"/>
                <w:sz w:val="8"/>
              </w:rPr>
            </w:pPr>
          </w:p>
        </w:tc>
        <w:tc>
          <w:tcPr>
            <w:tcW w:w="881" w:type="dxa"/>
          </w:tcPr>
          <w:p>
            <w:pPr>
              <w:pStyle w:val="TableParagraph"/>
              <w:rPr>
                <w:rFonts w:ascii="Times New Roman"/>
                <w:sz w:val="8"/>
              </w:rPr>
            </w:pPr>
          </w:p>
        </w:tc>
        <w:tc>
          <w:tcPr>
            <w:tcW w:w="760" w:type="dxa"/>
          </w:tcPr>
          <w:p>
            <w:pPr>
              <w:pStyle w:val="TableParagraph"/>
              <w:rPr>
                <w:rFonts w:ascii="Times New Roman"/>
                <w:sz w:val="8"/>
              </w:rPr>
            </w:pPr>
          </w:p>
        </w:tc>
        <w:tc>
          <w:tcPr>
            <w:tcW w:w="760" w:type="dxa"/>
          </w:tcPr>
          <w:p>
            <w:pPr>
              <w:pStyle w:val="TableParagraph"/>
              <w:rPr>
                <w:rFonts w:ascii="Times New Roman"/>
                <w:sz w:val="8"/>
              </w:rPr>
            </w:pPr>
          </w:p>
        </w:tc>
        <w:tc>
          <w:tcPr>
            <w:tcW w:w="760" w:type="dxa"/>
          </w:tcPr>
          <w:p>
            <w:pPr>
              <w:pStyle w:val="TableParagraph"/>
              <w:rPr>
                <w:rFonts w:ascii="Times New Roman"/>
                <w:sz w:val="8"/>
              </w:rPr>
            </w:pPr>
          </w:p>
        </w:tc>
        <w:tc>
          <w:tcPr>
            <w:tcW w:w="740" w:type="dxa"/>
          </w:tcPr>
          <w:p>
            <w:pPr>
              <w:pStyle w:val="TableParagraph"/>
              <w:rPr>
                <w:rFonts w:ascii="Times New Roman"/>
                <w:sz w:val="8"/>
              </w:rPr>
            </w:pPr>
          </w:p>
        </w:tc>
        <w:tc>
          <w:tcPr>
            <w:tcW w:w="820" w:type="dxa"/>
          </w:tcPr>
          <w:p>
            <w:pPr>
              <w:pStyle w:val="TableParagraph"/>
              <w:spacing w:line="123" w:lineRule="exact" w:before="7"/>
              <w:ind w:right="49"/>
              <w:jc w:val="right"/>
              <w:rPr>
                <w:sz w:val="11"/>
              </w:rPr>
            </w:pPr>
            <w:r>
              <w:rPr>
                <w:sz w:val="11"/>
              </w:rPr>
              <w:t>2.009.941,37</w:t>
            </w:r>
          </w:p>
        </w:tc>
        <w:tc>
          <w:tcPr>
            <w:tcW w:w="913" w:type="dxa"/>
          </w:tcPr>
          <w:p>
            <w:pPr>
              <w:pStyle w:val="TableParagraph"/>
              <w:spacing w:line="123" w:lineRule="exact" w:before="7"/>
              <w:ind w:right="51"/>
              <w:jc w:val="right"/>
              <w:rPr>
                <w:sz w:val="11"/>
              </w:rPr>
            </w:pPr>
            <w:r>
              <w:rPr>
                <w:sz w:val="11"/>
              </w:rPr>
              <w:t>2.663.611,10</w:t>
            </w:r>
          </w:p>
        </w:tc>
        <w:tc>
          <w:tcPr>
            <w:tcW w:w="952" w:type="dxa"/>
          </w:tcPr>
          <w:p>
            <w:pPr>
              <w:pStyle w:val="TableParagraph"/>
              <w:spacing w:line="123" w:lineRule="exact" w:before="7"/>
              <w:ind w:right="50"/>
              <w:jc w:val="right"/>
              <w:rPr>
                <w:sz w:val="11"/>
              </w:rPr>
            </w:pPr>
            <w:r>
              <w:rPr>
                <w:sz w:val="11"/>
              </w:rPr>
              <w:t>3.650.236,29</w:t>
            </w:r>
          </w:p>
        </w:tc>
      </w:tr>
      <w:tr>
        <w:trPr>
          <w:trHeight w:val="301" w:hRule="atLeast"/>
        </w:trPr>
        <w:tc>
          <w:tcPr>
            <w:tcW w:w="1729" w:type="dxa"/>
          </w:tcPr>
          <w:p>
            <w:pPr>
              <w:pStyle w:val="TableParagraph"/>
              <w:spacing w:before="2"/>
              <w:ind w:left="54"/>
              <w:rPr>
                <w:sz w:val="12"/>
              </w:rPr>
            </w:pPr>
            <w:r>
              <w:rPr>
                <w:w w:val="105"/>
                <w:sz w:val="12"/>
              </w:rPr>
              <w:t>Deudores comerciales no</w:t>
            </w:r>
          </w:p>
          <w:p>
            <w:pPr>
              <w:pStyle w:val="TableParagraph"/>
              <w:spacing w:line="128" w:lineRule="exact" w:before="4"/>
              <w:ind w:left="54"/>
              <w:rPr>
                <w:sz w:val="12"/>
              </w:rPr>
            </w:pPr>
            <w:r>
              <w:rPr>
                <w:w w:val="105"/>
                <w:sz w:val="12"/>
              </w:rPr>
              <w:t>corrientes</w:t>
            </w:r>
          </w:p>
        </w:tc>
        <w:tc>
          <w:tcPr>
            <w:tcW w:w="800" w:type="dxa"/>
          </w:tcPr>
          <w:p>
            <w:pPr>
              <w:pStyle w:val="TableParagraph"/>
              <w:rPr>
                <w:rFonts w:ascii="Times New Roman"/>
                <w:sz w:val="10"/>
              </w:rPr>
            </w:pPr>
          </w:p>
        </w:tc>
        <w:tc>
          <w:tcPr>
            <w:tcW w:w="823" w:type="dxa"/>
          </w:tcPr>
          <w:p>
            <w:pPr>
              <w:pStyle w:val="TableParagraph"/>
              <w:rPr>
                <w:rFonts w:ascii="Times New Roman"/>
                <w:sz w:val="10"/>
              </w:rPr>
            </w:pPr>
          </w:p>
        </w:tc>
        <w:tc>
          <w:tcPr>
            <w:tcW w:w="821" w:type="dxa"/>
          </w:tcPr>
          <w:p>
            <w:pPr>
              <w:pStyle w:val="TableParagraph"/>
              <w:rPr>
                <w:rFonts w:ascii="Times New Roman"/>
                <w:sz w:val="10"/>
              </w:rPr>
            </w:pPr>
          </w:p>
        </w:tc>
        <w:tc>
          <w:tcPr>
            <w:tcW w:w="821" w:type="dxa"/>
          </w:tcPr>
          <w:p>
            <w:pPr>
              <w:pStyle w:val="TableParagraph"/>
              <w:rPr>
                <w:rFonts w:ascii="Times New Roman"/>
                <w:sz w:val="10"/>
              </w:rPr>
            </w:pPr>
          </w:p>
        </w:tc>
        <w:tc>
          <w:tcPr>
            <w:tcW w:w="881" w:type="dxa"/>
          </w:tcPr>
          <w:p>
            <w:pPr>
              <w:pStyle w:val="TableParagraph"/>
              <w:rPr>
                <w:rFonts w:ascii="Times New Roman"/>
                <w:sz w:val="10"/>
              </w:rPr>
            </w:pPr>
          </w:p>
        </w:tc>
        <w:tc>
          <w:tcPr>
            <w:tcW w:w="760" w:type="dxa"/>
          </w:tcPr>
          <w:p>
            <w:pPr>
              <w:pStyle w:val="TableParagraph"/>
              <w:rPr>
                <w:rFonts w:ascii="Times New Roman"/>
                <w:sz w:val="10"/>
              </w:rPr>
            </w:pPr>
          </w:p>
        </w:tc>
        <w:tc>
          <w:tcPr>
            <w:tcW w:w="760" w:type="dxa"/>
          </w:tcPr>
          <w:p>
            <w:pPr>
              <w:pStyle w:val="TableParagraph"/>
              <w:rPr>
                <w:rFonts w:ascii="Times New Roman"/>
                <w:sz w:val="10"/>
              </w:rPr>
            </w:pPr>
          </w:p>
        </w:tc>
        <w:tc>
          <w:tcPr>
            <w:tcW w:w="760" w:type="dxa"/>
          </w:tcPr>
          <w:p>
            <w:pPr>
              <w:pStyle w:val="TableParagraph"/>
              <w:rPr>
                <w:rFonts w:ascii="Times New Roman"/>
                <w:sz w:val="10"/>
              </w:rPr>
            </w:pPr>
          </w:p>
        </w:tc>
        <w:tc>
          <w:tcPr>
            <w:tcW w:w="740" w:type="dxa"/>
          </w:tcPr>
          <w:p>
            <w:pPr>
              <w:pStyle w:val="TableParagraph"/>
              <w:rPr>
                <w:rFonts w:ascii="Times New Roman"/>
                <w:sz w:val="10"/>
              </w:rPr>
            </w:pPr>
          </w:p>
        </w:tc>
        <w:tc>
          <w:tcPr>
            <w:tcW w:w="820" w:type="dxa"/>
          </w:tcPr>
          <w:p>
            <w:pPr>
              <w:pStyle w:val="TableParagraph"/>
              <w:rPr>
                <w:rFonts w:ascii="Times New Roman"/>
                <w:sz w:val="10"/>
              </w:rPr>
            </w:pPr>
          </w:p>
        </w:tc>
        <w:tc>
          <w:tcPr>
            <w:tcW w:w="913" w:type="dxa"/>
          </w:tcPr>
          <w:p>
            <w:pPr>
              <w:pStyle w:val="TableParagraph"/>
              <w:spacing w:before="82"/>
              <w:ind w:right="51"/>
              <w:jc w:val="right"/>
              <w:rPr>
                <w:sz w:val="11"/>
              </w:rPr>
            </w:pPr>
            <w:r>
              <w:rPr>
                <w:w w:val="95"/>
                <w:sz w:val="11"/>
              </w:rPr>
              <w:t>0,00</w:t>
            </w:r>
          </w:p>
        </w:tc>
        <w:tc>
          <w:tcPr>
            <w:tcW w:w="952" w:type="dxa"/>
          </w:tcPr>
          <w:p>
            <w:pPr>
              <w:pStyle w:val="TableParagraph"/>
              <w:spacing w:before="82"/>
              <w:ind w:right="50"/>
              <w:jc w:val="right"/>
              <w:rPr>
                <w:sz w:val="11"/>
              </w:rPr>
            </w:pPr>
            <w:r>
              <w:rPr>
                <w:w w:val="95"/>
                <w:sz w:val="11"/>
              </w:rPr>
              <w:t>0,00</w:t>
            </w:r>
          </w:p>
        </w:tc>
      </w:tr>
      <w:tr>
        <w:trPr>
          <w:trHeight w:val="301" w:hRule="atLeast"/>
        </w:trPr>
        <w:tc>
          <w:tcPr>
            <w:tcW w:w="1729" w:type="dxa"/>
          </w:tcPr>
          <w:p>
            <w:pPr>
              <w:pStyle w:val="TableParagraph"/>
              <w:spacing w:before="2"/>
              <w:ind w:left="54"/>
              <w:rPr>
                <w:sz w:val="12"/>
              </w:rPr>
            </w:pPr>
            <w:r>
              <w:rPr>
                <w:w w:val="105"/>
                <w:sz w:val="12"/>
              </w:rPr>
              <w:t>Fondo de comercio de</w:t>
            </w:r>
          </w:p>
          <w:p>
            <w:pPr>
              <w:pStyle w:val="TableParagraph"/>
              <w:spacing w:line="128" w:lineRule="exact" w:before="4"/>
              <w:ind w:left="54"/>
              <w:rPr>
                <w:sz w:val="12"/>
              </w:rPr>
            </w:pPr>
            <w:r>
              <w:rPr>
                <w:w w:val="105"/>
                <w:sz w:val="12"/>
              </w:rPr>
              <w:t>entidades consolidadas</w:t>
            </w:r>
          </w:p>
        </w:tc>
        <w:tc>
          <w:tcPr>
            <w:tcW w:w="800" w:type="dxa"/>
          </w:tcPr>
          <w:p>
            <w:pPr>
              <w:pStyle w:val="TableParagraph"/>
              <w:rPr>
                <w:rFonts w:ascii="Times New Roman"/>
                <w:sz w:val="10"/>
              </w:rPr>
            </w:pPr>
          </w:p>
        </w:tc>
        <w:tc>
          <w:tcPr>
            <w:tcW w:w="823" w:type="dxa"/>
          </w:tcPr>
          <w:p>
            <w:pPr>
              <w:pStyle w:val="TableParagraph"/>
              <w:rPr>
                <w:rFonts w:ascii="Times New Roman"/>
                <w:sz w:val="10"/>
              </w:rPr>
            </w:pPr>
          </w:p>
        </w:tc>
        <w:tc>
          <w:tcPr>
            <w:tcW w:w="821" w:type="dxa"/>
          </w:tcPr>
          <w:p>
            <w:pPr>
              <w:pStyle w:val="TableParagraph"/>
              <w:rPr>
                <w:rFonts w:ascii="Times New Roman"/>
                <w:sz w:val="10"/>
              </w:rPr>
            </w:pPr>
          </w:p>
        </w:tc>
        <w:tc>
          <w:tcPr>
            <w:tcW w:w="821" w:type="dxa"/>
          </w:tcPr>
          <w:p>
            <w:pPr>
              <w:pStyle w:val="TableParagraph"/>
              <w:rPr>
                <w:rFonts w:ascii="Times New Roman"/>
                <w:sz w:val="10"/>
              </w:rPr>
            </w:pPr>
          </w:p>
        </w:tc>
        <w:tc>
          <w:tcPr>
            <w:tcW w:w="881" w:type="dxa"/>
          </w:tcPr>
          <w:p>
            <w:pPr>
              <w:pStyle w:val="TableParagraph"/>
              <w:rPr>
                <w:rFonts w:ascii="Times New Roman"/>
                <w:sz w:val="10"/>
              </w:rPr>
            </w:pPr>
          </w:p>
        </w:tc>
        <w:tc>
          <w:tcPr>
            <w:tcW w:w="760" w:type="dxa"/>
          </w:tcPr>
          <w:p>
            <w:pPr>
              <w:pStyle w:val="TableParagraph"/>
              <w:rPr>
                <w:rFonts w:ascii="Times New Roman"/>
                <w:sz w:val="10"/>
              </w:rPr>
            </w:pPr>
          </w:p>
        </w:tc>
        <w:tc>
          <w:tcPr>
            <w:tcW w:w="760" w:type="dxa"/>
          </w:tcPr>
          <w:p>
            <w:pPr>
              <w:pStyle w:val="TableParagraph"/>
              <w:rPr>
                <w:rFonts w:ascii="Times New Roman"/>
                <w:sz w:val="10"/>
              </w:rPr>
            </w:pPr>
          </w:p>
        </w:tc>
        <w:tc>
          <w:tcPr>
            <w:tcW w:w="760" w:type="dxa"/>
          </w:tcPr>
          <w:p>
            <w:pPr>
              <w:pStyle w:val="TableParagraph"/>
              <w:rPr>
                <w:rFonts w:ascii="Times New Roman"/>
                <w:sz w:val="10"/>
              </w:rPr>
            </w:pPr>
          </w:p>
        </w:tc>
        <w:tc>
          <w:tcPr>
            <w:tcW w:w="740" w:type="dxa"/>
          </w:tcPr>
          <w:p>
            <w:pPr>
              <w:pStyle w:val="TableParagraph"/>
              <w:rPr>
                <w:rFonts w:ascii="Times New Roman"/>
                <w:sz w:val="10"/>
              </w:rPr>
            </w:pPr>
          </w:p>
        </w:tc>
        <w:tc>
          <w:tcPr>
            <w:tcW w:w="820" w:type="dxa"/>
          </w:tcPr>
          <w:p>
            <w:pPr>
              <w:pStyle w:val="TableParagraph"/>
              <w:rPr>
                <w:rFonts w:ascii="Times New Roman"/>
                <w:sz w:val="10"/>
              </w:rPr>
            </w:pPr>
          </w:p>
        </w:tc>
        <w:tc>
          <w:tcPr>
            <w:tcW w:w="913" w:type="dxa"/>
          </w:tcPr>
          <w:p>
            <w:pPr>
              <w:pStyle w:val="TableParagraph"/>
              <w:spacing w:before="82"/>
              <w:ind w:right="51"/>
              <w:jc w:val="right"/>
              <w:rPr>
                <w:sz w:val="11"/>
              </w:rPr>
            </w:pPr>
            <w:r>
              <w:rPr>
                <w:w w:val="95"/>
                <w:sz w:val="11"/>
              </w:rPr>
              <w:t>0,00</w:t>
            </w:r>
          </w:p>
        </w:tc>
        <w:tc>
          <w:tcPr>
            <w:tcW w:w="952" w:type="dxa"/>
          </w:tcPr>
          <w:p>
            <w:pPr>
              <w:pStyle w:val="TableParagraph"/>
              <w:spacing w:before="82"/>
              <w:ind w:right="50"/>
              <w:jc w:val="right"/>
              <w:rPr>
                <w:sz w:val="11"/>
              </w:rPr>
            </w:pPr>
            <w:r>
              <w:rPr>
                <w:w w:val="95"/>
                <w:sz w:val="11"/>
              </w:rPr>
              <w:t>0,00</w:t>
            </w:r>
          </w:p>
        </w:tc>
      </w:tr>
      <w:tr>
        <w:trPr>
          <w:trHeight w:val="262" w:hRule="atLeast"/>
        </w:trPr>
        <w:tc>
          <w:tcPr>
            <w:tcW w:w="1729" w:type="dxa"/>
          </w:tcPr>
          <w:p>
            <w:pPr>
              <w:pStyle w:val="TableParagraph"/>
              <w:spacing w:before="58"/>
              <w:ind w:left="54"/>
              <w:rPr>
                <w:b/>
                <w:sz w:val="12"/>
              </w:rPr>
            </w:pPr>
            <w:r>
              <w:rPr>
                <w:b/>
                <w:w w:val="105"/>
                <w:sz w:val="12"/>
              </w:rPr>
              <w:t>ACTIVO CORRIENTE</w:t>
            </w:r>
          </w:p>
        </w:tc>
        <w:tc>
          <w:tcPr>
            <w:tcW w:w="800" w:type="dxa"/>
          </w:tcPr>
          <w:p>
            <w:pPr>
              <w:pStyle w:val="TableParagraph"/>
              <w:spacing w:before="62"/>
              <w:ind w:right="42"/>
              <w:jc w:val="right"/>
              <w:rPr>
                <w:b/>
                <w:sz w:val="11"/>
              </w:rPr>
            </w:pPr>
            <w:r>
              <w:rPr>
                <w:b/>
                <w:w w:val="95"/>
                <w:sz w:val="11"/>
              </w:rPr>
              <w:t>8.445.439,26</w:t>
            </w:r>
          </w:p>
        </w:tc>
        <w:tc>
          <w:tcPr>
            <w:tcW w:w="823" w:type="dxa"/>
          </w:tcPr>
          <w:p>
            <w:pPr>
              <w:pStyle w:val="TableParagraph"/>
              <w:spacing w:before="62"/>
              <w:ind w:right="45"/>
              <w:jc w:val="right"/>
              <w:rPr>
                <w:b/>
                <w:sz w:val="11"/>
              </w:rPr>
            </w:pPr>
            <w:r>
              <w:rPr>
                <w:b/>
                <w:sz w:val="11"/>
              </w:rPr>
              <w:t>29.795.764,31</w:t>
            </w:r>
          </w:p>
        </w:tc>
        <w:tc>
          <w:tcPr>
            <w:tcW w:w="821" w:type="dxa"/>
          </w:tcPr>
          <w:p>
            <w:pPr>
              <w:pStyle w:val="TableParagraph"/>
              <w:spacing w:before="62"/>
              <w:ind w:right="45"/>
              <w:jc w:val="right"/>
              <w:rPr>
                <w:b/>
                <w:sz w:val="11"/>
              </w:rPr>
            </w:pPr>
            <w:r>
              <w:rPr>
                <w:b/>
                <w:w w:val="95"/>
                <w:sz w:val="11"/>
              </w:rPr>
              <w:t>4.018.569,41</w:t>
            </w:r>
          </w:p>
        </w:tc>
        <w:tc>
          <w:tcPr>
            <w:tcW w:w="821" w:type="dxa"/>
          </w:tcPr>
          <w:p>
            <w:pPr>
              <w:pStyle w:val="TableParagraph"/>
              <w:spacing w:before="62"/>
              <w:ind w:right="43"/>
              <w:jc w:val="right"/>
              <w:rPr>
                <w:b/>
                <w:sz w:val="11"/>
              </w:rPr>
            </w:pPr>
            <w:r>
              <w:rPr>
                <w:b/>
                <w:sz w:val="11"/>
              </w:rPr>
              <w:t>35.756.912,11</w:t>
            </w:r>
          </w:p>
        </w:tc>
        <w:tc>
          <w:tcPr>
            <w:tcW w:w="881" w:type="dxa"/>
          </w:tcPr>
          <w:p>
            <w:pPr>
              <w:pStyle w:val="TableParagraph"/>
              <w:spacing w:before="62"/>
              <w:ind w:right="46"/>
              <w:jc w:val="right"/>
              <w:rPr>
                <w:b/>
                <w:sz w:val="11"/>
              </w:rPr>
            </w:pPr>
            <w:r>
              <w:rPr>
                <w:b/>
                <w:sz w:val="11"/>
              </w:rPr>
              <w:t>30.516.842,65</w:t>
            </w:r>
          </w:p>
        </w:tc>
        <w:tc>
          <w:tcPr>
            <w:tcW w:w="760" w:type="dxa"/>
          </w:tcPr>
          <w:p>
            <w:pPr>
              <w:pStyle w:val="TableParagraph"/>
              <w:spacing w:before="62"/>
              <w:ind w:right="44"/>
              <w:jc w:val="right"/>
              <w:rPr>
                <w:b/>
                <w:sz w:val="11"/>
              </w:rPr>
            </w:pPr>
            <w:r>
              <w:rPr>
                <w:b/>
                <w:w w:val="95"/>
                <w:sz w:val="11"/>
              </w:rPr>
              <w:t>509.667,95</w:t>
            </w:r>
          </w:p>
        </w:tc>
        <w:tc>
          <w:tcPr>
            <w:tcW w:w="760" w:type="dxa"/>
          </w:tcPr>
          <w:p>
            <w:pPr>
              <w:pStyle w:val="TableParagraph"/>
              <w:spacing w:before="62"/>
              <w:ind w:right="45"/>
              <w:jc w:val="right"/>
              <w:rPr>
                <w:b/>
                <w:sz w:val="11"/>
              </w:rPr>
            </w:pPr>
            <w:r>
              <w:rPr>
                <w:b/>
                <w:w w:val="95"/>
                <w:sz w:val="11"/>
              </w:rPr>
              <w:t>173.167,89</w:t>
            </w:r>
          </w:p>
        </w:tc>
        <w:tc>
          <w:tcPr>
            <w:tcW w:w="760" w:type="dxa"/>
          </w:tcPr>
          <w:p>
            <w:pPr>
              <w:pStyle w:val="TableParagraph"/>
              <w:spacing w:before="62"/>
              <w:ind w:right="46"/>
              <w:jc w:val="right"/>
              <w:rPr>
                <w:b/>
                <w:sz w:val="11"/>
              </w:rPr>
            </w:pPr>
            <w:r>
              <w:rPr>
                <w:b/>
                <w:w w:val="95"/>
                <w:sz w:val="11"/>
              </w:rPr>
              <w:t>3.758.919,70</w:t>
            </w:r>
          </w:p>
        </w:tc>
        <w:tc>
          <w:tcPr>
            <w:tcW w:w="740" w:type="dxa"/>
          </w:tcPr>
          <w:p>
            <w:pPr>
              <w:pStyle w:val="TableParagraph"/>
              <w:spacing w:line="130" w:lineRule="exact"/>
              <w:ind w:right="48"/>
              <w:jc w:val="right"/>
              <w:rPr>
                <w:b/>
                <w:sz w:val="11"/>
              </w:rPr>
            </w:pPr>
            <w:r>
              <w:rPr>
                <w:b/>
                <w:sz w:val="11"/>
              </w:rPr>
              <w:t>16.182.902,9</w:t>
            </w:r>
          </w:p>
          <w:p>
            <w:pPr>
              <w:pStyle w:val="TableParagraph"/>
              <w:spacing w:line="112" w:lineRule="exact"/>
              <w:ind w:right="47"/>
              <w:jc w:val="right"/>
              <w:rPr>
                <w:b/>
                <w:sz w:val="11"/>
              </w:rPr>
            </w:pPr>
            <w:r>
              <w:rPr>
                <w:b/>
                <w:w w:val="98"/>
                <w:sz w:val="11"/>
              </w:rPr>
              <w:t>3</w:t>
            </w:r>
          </w:p>
        </w:tc>
        <w:tc>
          <w:tcPr>
            <w:tcW w:w="820" w:type="dxa"/>
          </w:tcPr>
          <w:p>
            <w:pPr>
              <w:pStyle w:val="TableParagraph"/>
              <w:spacing w:before="62"/>
              <w:ind w:right="49"/>
              <w:jc w:val="right"/>
              <w:rPr>
                <w:b/>
                <w:sz w:val="11"/>
              </w:rPr>
            </w:pPr>
            <w:r>
              <w:rPr>
                <w:b/>
                <w:sz w:val="11"/>
              </w:rPr>
              <w:t>91.748.264,76</w:t>
            </w:r>
          </w:p>
        </w:tc>
        <w:tc>
          <w:tcPr>
            <w:tcW w:w="913" w:type="dxa"/>
          </w:tcPr>
          <w:p>
            <w:pPr>
              <w:pStyle w:val="TableParagraph"/>
              <w:spacing w:before="62"/>
              <w:ind w:right="52"/>
              <w:jc w:val="right"/>
              <w:rPr>
                <w:b/>
                <w:sz w:val="11"/>
              </w:rPr>
            </w:pPr>
            <w:r>
              <w:rPr>
                <w:b/>
                <w:w w:val="95"/>
                <w:sz w:val="11"/>
              </w:rPr>
              <w:t>357.634.937,16</w:t>
            </w:r>
          </w:p>
        </w:tc>
        <w:tc>
          <w:tcPr>
            <w:tcW w:w="952" w:type="dxa"/>
          </w:tcPr>
          <w:p>
            <w:pPr>
              <w:pStyle w:val="TableParagraph"/>
              <w:spacing w:before="62"/>
              <w:ind w:right="51"/>
              <w:jc w:val="right"/>
              <w:rPr>
                <w:b/>
                <w:sz w:val="11"/>
              </w:rPr>
            </w:pPr>
            <w:r>
              <w:rPr>
                <w:b/>
                <w:w w:val="95"/>
                <w:sz w:val="11"/>
              </w:rPr>
              <w:t>381.591.412,20</w:t>
            </w:r>
          </w:p>
        </w:tc>
      </w:tr>
      <w:tr>
        <w:trPr>
          <w:trHeight w:val="301" w:hRule="atLeast"/>
        </w:trPr>
        <w:tc>
          <w:tcPr>
            <w:tcW w:w="1729" w:type="dxa"/>
          </w:tcPr>
          <w:p>
            <w:pPr>
              <w:pStyle w:val="TableParagraph"/>
              <w:spacing w:before="2"/>
              <w:ind w:left="54"/>
              <w:rPr>
                <w:sz w:val="12"/>
              </w:rPr>
            </w:pPr>
            <w:r>
              <w:rPr>
                <w:w w:val="105"/>
                <w:sz w:val="12"/>
              </w:rPr>
              <w:t>Activos no corrientes</w:t>
            </w:r>
          </w:p>
          <w:p>
            <w:pPr>
              <w:pStyle w:val="TableParagraph"/>
              <w:spacing w:line="127" w:lineRule="exact" w:before="6"/>
              <w:ind w:left="54"/>
              <w:rPr>
                <w:sz w:val="12"/>
              </w:rPr>
            </w:pPr>
            <w:r>
              <w:rPr>
                <w:w w:val="105"/>
                <w:sz w:val="12"/>
              </w:rPr>
              <w:t>mantenidos para la venta</w:t>
            </w:r>
          </w:p>
        </w:tc>
        <w:tc>
          <w:tcPr>
            <w:tcW w:w="800" w:type="dxa"/>
          </w:tcPr>
          <w:p>
            <w:pPr>
              <w:pStyle w:val="TableParagraph"/>
              <w:rPr>
                <w:rFonts w:ascii="Times New Roman"/>
                <w:sz w:val="10"/>
              </w:rPr>
            </w:pPr>
          </w:p>
        </w:tc>
        <w:tc>
          <w:tcPr>
            <w:tcW w:w="823" w:type="dxa"/>
          </w:tcPr>
          <w:p>
            <w:pPr>
              <w:pStyle w:val="TableParagraph"/>
              <w:rPr>
                <w:rFonts w:ascii="Times New Roman"/>
                <w:sz w:val="10"/>
              </w:rPr>
            </w:pPr>
          </w:p>
        </w:tc>
        <w:tc>
          <w:tcPr>
            <w:tcW w:w="821" w:type="dxa"/>
          </w:tcPr>
          <w:p>
            <w:pPr>
              <w:pStyle w:val="TableParagraph"/>
              <w:rPr>
                <w:rFonts w:ascii="Times New Roman"/>
                <w:sz w:val="10"/>
              </w:rPr>
            </w:pPr>
          </w:p>
        </w:tc>
        <w:tc>
          <w:tcPr>
            <w:tcW w:w="821" w:type="dxa"/>
          </w:tcPr>
          <w:p>
            <w:pPr>
              <w:pStyle w:val="TableParagraph"/>
              <w:rPr>
                <w:rFonts w:ascii="Times New Roman"/>
                <w:sz w:val="10"/>
              </w:rPr>
            </w:pPr>
          </w:p>
        </w:tc>
        <w:tc>
          <w:tcPr>
            <w:tcW w:w="881" w:type="dxa"/>
          </w:tcPr>
          <w:p>
            <w:pPr>
              <w:pStyle w:val="TableParagraph"/>
              <w:rPr>
                <w:rFonts w:ascii="Times New Roman"/>
                <w:sz w:val="10"/>
              </w:rPr>
            </w:pPr>
          </w:p>
        </w:tc>
        <w:tc>
          <w:tcPr>
            <w:tcW w:w="760" w:type="dxa"/>
          </w:tcPr>
          <w:p>
            <w:pPr>
              <w:pStyle w:val="TableParagraph"/>
              <w:rPr>
                <w:rFonts w:ascii="Times New Roman"/>
                <w:sz w:val="10"/>
              </w:rPr>
            </w:pPr>
          </w:p>
        </w:tc>
        <w:tc>
          <w:tcPr>
            <w:tcW w:w="760" w:type="dxa"/>
          </w:tcPr>
          <w:p>
            <w:pPr>
              <w:pStyle w:val="TableParagraph"/>
              <w:rPr>
                <w:rFonts w:ascii="Times New Roman"/>
                <w:sz w:val="10"/>
              </w:rPr>
            </w:pPr>
          </w:p>
        </w:tc>
        <w:tc>
          <w:tcPr>
            <w:tcW w:w="760" w:type="dxa"/>
          </w:tcPr>
          <w:p>
            <w:pPr>
              <w:pStyle w:val="TableParagraph"/>
              <w:rPr>
                <w:rFonts w:ascii="Times New Roman"/>
                <w:sz w:val="10"/>
              </w:rPr>
            </w:pPr>
          </w:p>
        </w:tc>
        <w:tc>
          <w:tcPr>
            <w:tcW w:w="740" w:type="dxa"/>
          </w:tcPr>
          <w:p>
            <w:pPr>
              <w:pStyle w:val="TableParagraph"/>
              <w:rPr>
                <w:rFonts w:ascii="Times New Roman"/>
                <w:sz w:val="10"/>
              </w:rPr>
            </w:pPr>
          </w:p>
        </w:tc>
        <w:tc>
          <w:tcPr>
            <w:tcW w:w="820" w:type="dxa"/>
          </w:tcPr>
          <w:p>
            <w:pPr>
              <w:pStyle w:val="TableParagraph"/>
              <w:rPr>
                <w:rFonts w:ascii="Times New Roman"/>
                <w:sz w:val="10"/>
              </w:rPr>
            </w:pPr>
          </w:p>
        </w:tc>
        <w:tc>
          <w:tcPr>
            <w:tcW w:w="913" w:type="dxa"/>
          </w:tcPr>
          <w:p>
            <w:pPr>
              <w:pStyle w:val="TableParagraph"/>
              <w:spacing w:before="82"/>
              <w:ind w:right="51"/>
              <w:jc w:val="right"/>
              <w:rPr>
                <w:sz w:val="11"/>
              </w:rPr>
            </w:pPr>
            <w:r>
              <w:rPr>
                <w:w w:val="95"/>
                <w:sz w:val="11"/>
              </w:rPr>
              <w:t>0,00</w:t>
            </w:r>
          </w:p>
        </w:tc>
        <w:tc>
          <w:tcPr>
            <w:tcW w:w="952" w:type="dxa"/>
          </w:tcPr>
          <w:p>
            <w:pPr>
              <w:pStyle w:val="TableParagraph"/>
              <w:spacing w:before="82"/>
              <w:ind w:right="50"/>
              <w:jc w:val="right"/>
              <w:rPr>
                <w:sz w:val="11"/>
              </w:rPr>
            </w:pPr>
            <w:r>
              <w:rPr>
                <w:w w:val="95"/>
                <w:sz w:val="11"/>
              </w:rPr>
              <w:t>0,00</w:t>
            </w:r>
          </w:p>
        </w:tc>
      </w:tr>
      <w:tr>
        <w:trPr>
          <w:trHeight w:val="150" w:hRule="atLeast"/>
        </w:trPr>
        <w:tc>
          <w:tcPr>
            <w:tcW w:w="1729" w:type="dxa"/>
          </w:tcPr>
          <w:p>
            <w:pPr>
              <w:pStyle w:val="TableParagraph"/>
              <w:spacing w:line="128" w:lineRule="exact" w:before="2"/>
              <w:ind w:left="54"/>
              <w:rPr>
                <w:sz w:val="12"/>
              </w:rPr>
            </w:pPr>
            <w:r>
              <w:rPr>
                <w:w w:val="105"/>
                <w:sz w:val="12"/>
              </w:rPr>
              <w:t>Existencias</w:t>
            </w:r>
          </w:p>
        </w:tc>
        <w:tc>
          <w:tcPr>
            <w:tcW w:w="800" w:type="dxa"/>
          </w:tcPr>
          <w:p>
            <w:pPr>
              <w:pStyle w:val="TableParagraph"/>
              <w:spacing w:line="124" w:lineRule="exact" w:before="6"/>
              <w:ind w:right="42"/>
              <w:jc w:val="right"/>
              <w:rPr>
                <w:sz w:val="11"/>
              </w:rPr>
            </w:pPr>
            <w:r>
              <w:rPr>
                <w:sz w:val="11"/>
              </w:rPr>
              <w:t>322.606,47</w:t>
            </w:r>
          </w:p>
        </w:tc>
        <w:tc>
          <w:tcPr>
            <w:tcW w:w="823" w:type="dxa"/>
          </w:tcPr>
          <w:p>
            <w:pPr>
              <w:pStyle w:val="TableParagraph"/>
              <w:rPr>
                <w:rFonts w:ascii="Times New Roman"/>
                <w:sz w:val="8"/>
              </w:rPr>
            </w:pPr>
          </w:p>
        </w:tc>
        <w:tc>
          <w:tcPr>
            <w:tcW w:w="821" w:type="dxa"/>
          </w:tcPr>
          <w:p>
            <w:pPr>
              <w:pStyle w:val="TableParagraph"/>
              <w:rPr>
                <w:rFonts w:ascii="Times New Roman"/>
                <w:sz w:val="8"/>
              </w:rPr>
            </w:pPr>
          </w:p>
        </w:tc>
        <w:tc>
          <w:tcPr>
            <w:tcW w:w="821" w:type="dxa"/>
          </w:tcPr>
          <w:p>
            <w:pPr>
              <w:pStyle w:val="TableParagraph"/>
              <w:rPr>
                <w:rFonts w:ascii="Times New Roman"/>
                <w:sz w:val="8"/>
              </w:rPr>
            </w:pPr>
          </w:p>
        </w:tc>
        <w:tc>
          <w:tcPr>
            <w:tcW w:w="881" w:type="dxa"/>
          </w:tcPr>
          <w:p>
            <w:pPr>
              <w:pStyle w:val="TableParagraph"/>
              <w:rPr>
                <w:rFonts w:ascii="Times New Roman"/>
                <w:sz w:val="8"/>
              </w:rPr>
            </w:pPr>
          </w:p>
        </w:tc>
        <w:tc>
          <w:tcPr>
            <w:tcW w:w="760" w:type="dxa"/>
          </w:tcPr>
          <w:p>
            <w:pPr>
              <w:pStyle w:val="TableParagraph"/>
              <w:spacing w:line="124" w:lineRule="exact" w:before="6"/>
              <w:ind w:right="44"/>
              <w:jc w:val="right"/>
              <w:rPr>
                <w:sz w:val="11"/>
              </w:rPr>
            </w:pPr>
            <w:r>
              <w:rPr>
                <w:w w:val="95"/>
                <w:sz w:val="11"/>
              </w:rPr>
              <w:t>400,00</w:t>
            </w:r>
          </w:p>
        </w:tc>
        <w:tc>
          <w:tcPr>
            <w:tcW w:w="760" w:type="dxa"/>
          </w:tcPr>
          <w:p>
            <w:pPr>
              <w:pStyle w:val="TableParagraph"/>
              <w:rPr>
                <w:rFonts w:ascii="Times New Roman"/>
                <w:sz w:val="8"/>
              </w:rPr>
            </w:pPr>
          </w:p>
        </w:tc>
        <w:tc>
          <w:tcPr>
            <w:tcW w:w="760" w:type="dxa"/>
          </w:tcPr>
          <w:p>
            <w:pPr>
              <w:pStyle w:val="TableParagraph"/>
              <w:rPr>
                <w:rFonts w:ascii="Times New Roman"/>
                <w:sz w:val="8"/>
              </w:rPr>
            </w:pPr>
          </w:p>
        </w:tc>
        <w:tc>
          <w:tcPr>
            <w:tcW w:w="740" w:type="dxa"/>
          </w:tcPr>
          <w:p>
            <w:pPr>
              <w:pStyle w:val="TableParagraph"/>
              <w:spacing w:line="124" w:lineRule="exact" w:before="6"/>
              <w:ind w:right="48"/>
              <w:jc w:val="right"/>
              <w:rPr>
                <w:sz w:val="11"/>
              </w:rPr>
            </w:pPr>
            <w:r>
              <w:rPr>
                <w:sz w:val="11"/>
              </w:rPr>
              <w:t>1.469.431,15</w:t>
            </w:r>
          </w:p>
        </w:tc>
        <w:tc>
          <w:tcPr>
            <w:tcW w:w="820" w:type="dxa"/>
          </w:tcPr>
          <w:p>
            <w:pPr>
              <w:pStyle w:val="TableParagraph"/>
              <w:spacing w:line="124" w:lineRule="exact" w:before="6"/>
              <w:ind w:right="49"/>
              <w:jc w:val="right"/>
              <w:rPr>
                <w:sz w:val="11"/>
              </w:rPr>
            </w:pPr>
            <w:r>
              <w:rPr>
                <w:sz w:val="11"/>
              </w:rPr>
              <w:t>23.658.327,52</w:t>
            </w:r>
          </w:p>
        </w:tc>
        <w:tc>
          <w:tcPr>
            <w:tcW w:w="913" w:type="dxa"/>
          </w:tcPr>
          <w:p>
            <w:pPr>
              <w:pStyle w:val="TableParagraph"/>
              <w:spacing w:line="124" w:lineRule="exact" w:before="6"/>
              <w:ind w:right="52"/>
              <w:jc w:val="right"/>
              <w:rPr>
                <w:sz w:val="11"/>
              </w:rPr>
            </w:pPr>
            <w:r>
              <w:rPr>
                <w:sz w:val="11"/>
              </w:rPr>
              <w:t>64.042.049,16</w:t>
            </w:r>
          </w:p>
        </w:tc>
        <w:tc>
          <w:tcPr>
            <w:tcW w:w="952" w:type="dxa"/>
          </w:tcPr>
          <w:p>
            <w:pPr>
              <w:pStyle w:val="TableParagraph"/>
              <w:spacing w:line="124" w:lineRule="exact" w:before="6"/>
              <w:ind w:right="51"/>
              <w:jc w:val="right"/>
              <w:rPr>
                <w:sz w:val="11"/>
              </w:rPr>
            </w:pPr>
            <w:r>
              <w:rPr>
                <w:sz w:val="11"/>
              </w:rPr>
              <w:t>68.933.315,47</w:t>
            </w:r>
          </w:p>
        </w:tc>
      </w:tr>
      <w:tr>
        <w:trPr>
          <w:trHeight w:val="301" w:hRule="atLeast"/>
        </w:trPr>
        <w:tc>
          <w:tcPr>
            <w:tcW w:w="1729" w:type="dxa"/>
          </w:tcPr>
          <w:p>
            <w:pPr>
              <w:pStyle w:val="TableParagraph"/>
              <w:spacing w:before="2"/>
              <w:ind w:left="54"/>
              <w:rPr>
                <w:sz w:val="12"/>
              </w:rPr>
            </w:pPr>
            <w:r>
              <w:rPr>
                <w:w w:val="105"/>
                <w:sz w:val="12"/>
              </w:rPr>
              <w:t>Deudores comerciales y otras</w:t>
            </w:r>
          </w:p>
          <w:p>
            <w:pPr>
              <w:pStyle w:val="TableParagraph"/>
              <w:spacing w:line="128" w:lineRule="exact" w:before="4"/>
              <w:ind w:left="54"/>
              <w:rPr>
                <w:sz w:val="12"/>
              </w:rPr>
            </w:pPr>
            <w:r>
              <w:rPr>
                <w:w w:val="105"/>
                <w:sz w:val="12"/>
              </w:rPr>
              <w:t>cuentas a cobrar</w:t>
            </w:r>
          </w:p>
        </w:tc>
        <w:tc>
          <w:tcPr>
            <w:tcW w:w="800" w:type="dxa"/>
          </w:tcPr>
          <w:p>
            <w:pPr>
              <w:pStyle w:val="TableParagraph"/>
              <w:spacing w:before="82"/>
              <w:ind w:right="42"/>
              <w:jc w:val="right"/>
              <w:rPr>
                <w:sz w:val="11"/>
              </w:rPr>
            </w:pPr>
            <w:r>
              <w:rPr>
                <w:sz w:val="11"/>
              </w:rPr>
              <w:t>6.879.425,84</w:t>
            </w:r>
          </w:p>
        </w:tc>
        <w:tc>
          <w:tcPr>
            <w:tcW w:w="823" w:type="dxa"/>
          </w:tcPr>
          <w:p>
            <w:pPr>
              <w:pStyle w:val="TableParagraph"/>
              <w:spacing w:before="82"/>
              <w:ind w:right="45"/>
              <w:jc w:val="right"/>
              <w:rPr>
                <w:sz w:val="11"/>
              </w:rPr>
            </w:pPr>
            <w:r>
              <w:rPr>
                <w:sz w:val="11"/>
              </w:rPr>
              <w:t>16.438.764,65</w:t>
            </w:r>
          </w:p>
        </w:tc>
        <w:tc>
          <w:tcPr>
            <w:tcW w:w="821" w:type="dxa"/>
          </w:tcPr>
          <w:p>
            <w:pPr>
              <w:pStyle w:val="TableParagraph"/>
              <w:spacing w:before="82"/>
              <w:ind w:right="45"/>
              <w:jc w:val="right"/>
              <w:rPr>
                <w:sz w:val="11"/>
              </w:rPr>
            </w:pPr>
            <w:r>
              <w:rPr>
                <w:sz w:val="11"/>
              </w:rPr>
              <w:t>1.021.636,56</w:t>
            </w:r>
          </w:p>
        </w:tc>
        <w:tc>
          <w:tcPr>
            <w:tcW w:w="821" w:type="dxa"/>
          </w:tcPr>
          <w:p>
            <w:pPr>
              <w:pStyle w:val="TableParagraph"/>
              <w:spacing w:before="82"/>
              <w:ind w:right="43"/>
              <w:jc w:val="right"/>
              <w:rPr>
                <w:sz w:val="11"/>
              </w:rPr>
            </w:pPr>
            <w:r>
              <w:rPr>
                <w:sz w:val="11"/>
              </w:rPr>
              <w:t>13.010.569,44</w:t>
            </w:r>
          </w:p>
        </w:tc>
        <w:tc>
          <w:tcPr>
            <w:tcW w:w="881" w:type="dxa"/>
          </w:tcPr>
          <w:p>
            <w:pPr>
              <w:pStyle w:val="TableParagraph"/>
              <w:spacing w:before="82"/>
              <w:ind w:right="46"/>
              <w:jc w:val="right"/>
              <w:rPr>
                <w:sz w:val="11"/>
              </w:rPr>
            </w:pPr>
            <w:r>
              <w:rPr>
                <w:sz w:val="11"/>
              </w:rPr>
              <w:t>3.001.467,56</w:t>
            </w:r>
          </w:p>
        </w:tc>
        <w:tc>
          <w:tcPr>
            <w:tcW w:w="760" w:type="dxa"/>
          </w:tcPr>
          <w:p>
            <w:pPr>
              <w:pStyle w:val="TableParagraph"/>
              <w:spacing w:before="82"/>
              <w:ind w:right="45"/>
              <w:jc w:val="right"/>
              <w:rPr>
                <w:sz w:val="11"/>
              </w:rPr>
            </w:pPr>
            <w:r>
              <w:rPr>
                <w:sz w:val="11"/>
              </w:rPr>
              <w:t>442.045,29</w:t>
            </w:r>
          </w:p>
        </w:tc>
        <w:tc>
          <w:tcPr>
            <w:tcW w:w="760" w:type="dxa"/>
          </w:tcPr>
          <w:p>
            <w:pPr>
              <w:pStyle w:val="TableParagraph"/>
              <w:spacing w:before="82"/>
              <w:ind w:right="45"/>
              <w:jc w:val="right"/>
              <w:rPr>
                <w:sz w:val="11"/>
              </w:rPr>
            </w:pPr>
            <w:r>
              <w:rPr>
                <w:w w:val="95"/>
                <w:sz w:val="11"/>
              </w:rPr>
              <w:t>184,81</w:t>
            </w:r>
          </w:p>
        </w:tc>
        <w:tc>
          <w:tcPr>
            <w:tcW w:w="760" w:type="dxa"/>
          </w:tcPr>
          <w:p>
            <w:pPr>
              <w:pStyle w:val="TableParagraph"/>
              <w:spacing w:before="82"/>
              <w:ind w:right="46"/>
              <w:jc w:val="right"/>
              <w:rPr>
                <w:sz w:val="11"/>
              </w:rPr>
            </w:pPr>
            <w:r>
              <w:rPr>
                <w:sz w:val="11"/>
              </w:rPr>
              <w:t>759.169,69</w:t>
            </w:r>
          </w:p>
        </w:tc>
        <w:tc>
          <w:tcPr>
            <w:tcW w:w="740" w:type="dxa"/>
          </w:tcPr>
          <w:p>
            <w:pPr>
              <w:pStyle w:val="TableParagraph"/>
              <w:spacing w:line="133" w:lineRule="exact" w:before="15"/>
              <w:ind w:right="48"/>
              <w:jc w:val="right"/>
              <w:rPr>
                <w:sz w:val="11"/>
              </w:rPr>
            </w:pPr>
            <w:r>
              <w:rPr>
                <w:sz w:val="11"/>
              </w:rPr>
              <w:t>14.136.000,3</w:t>
            </w:r>
          </w:p>
          <w:p>
            <w:pPr>
              <w:pStyle w:val="TableParagraph"/>
              <w:spacing w:line="133" w:lineRule="exact"/>
              <w:ind w:right="47"/>
              <w:jc w:val="right"/>
              <w:rPr>
                <w:sz w:val="11"/>
              </w:rPr>
            </w:pPr>
            <w:r>
              <w:rPr>
                <w:w w:val="98"/>
                <w:sz w:val="11"/>
              </w:rPr>
              <w:t>2</w:t>
            </w:r>
          </w:p>
        </w:tc>
        <w:tc>
          <w:tcPr>
            <w:tcW w:w="820" w:type="dxa"/>
          </w:tcPr>
          <w:p>
            <w:pPr>
              <w:pStyle w:val="TableParagraph"/>
              <w:spacing w:before="82"/>
              <w:ind w:right="49"/>
              <w:jc w:val="right"/>
              <w:rPr>
                <w:sz w:val="11"/>
              </w:rPr>
            </w:pPr>
            <w:r>
              <w:rPr>
                <w:sz w:val="11"/>
              </w:rPr>
              <w:t>9.160.498,96</w:t>
            </w:r>
          </w:p>
        </w:tc>
        <w:tc>
          <w:tcPr>
            <w:tcW w:w="913" w:type="dxa"/>
          </w:tcPr>
          <w:p>
            <w:pPr>
              <w:pStyle w:val="TableParagraph"/>
              <w:spacing w:before="82"/>
              <w:ind w:right="52"/>
              <w:jc w:val="right"/>
              <w:rPr>
                <w:sz w:val="11"/>
              </w:rPr>
            </w:pPr>
            <w:r>
              <w:rPr>
                <w:sz w:val="11"/>
              </w:rPr>
              <w:t>111.592.429,06</w:t>
            </w:r>
          </w:p>
        </w:tc>
        <w:tc>
          <w:tcPr>
            <w:tcW w:w="952" w:type="dxa"/>
          </w:tcPr>
          <w:p>
            <w:pPr>
              <w:pStyle w:val="TableParagraph"/>
              <w:spacing w:before="82"/>
              <w:ind w:right="51"/>
              <w:jc w:val="right"/>
              <w:rPr>
                <w:sz w:val="11"/>
              </w:rPr>
            </w:pPr>
            <w:r>
              <w:rPr>
                <w:sz w:val="11"/>
              </w:rPr>
              <w:t>116.498.588,26</w:t>
            </w:r>
          </w:p>
        </w:tc>
      </w:tr>
      <w:tr>
        <w:trPr>
          <w:trHeight w:val="452" w:hRule="atLeast"/>
        </w:trPr>
        <w:tc>
          <w:tcPr>
            <w:tcW w:w="1729" w:type="dxa"/>
          </w:tcPr>
          <w:p>
            <w:pPr>
              <w:pStyle w:val="TableParagraph"/>
              <w:spacing w:line="247" w:lineRule="auto" w:before="2"/>
              <w:ind w:left="54"/>
              <w:rPr>
                <w:sz w:val="12"/>
              </w:rPr>
            </w:pPr>
            <w:r>
              <w:rPr>
                <w:w w:val="105"/>
                <w:sz w:val="12"/>
              </w:rPr>
              <w:t>Inversiones en entidades del grupo y asociadas</w:t>
            </w:r>
          </w:p>
          <w:p>
            <w:pPr>
              <w:pStyle w:val="TableParagraph"/>
              <w:spacing w:line="127" w:lineRule="exact" w:before="2"/>
              <w:ind w:left="54"/>
              <w:rPr>
                <w:sz w:val="12"/>
              </w:rPr>
            </w:pPr>
            <w:r>
              <w:rPr>
                <w:w w:val="105"/>
                <w:sz w:val="12"/>
              </w:rPr>
              <w:t>a corto plazo</w:t>
            </w:r>
          </w:p>
        </w:tc>
        <w:tc>
          <w:tcPr>
            <w:tcW w:w="800" w:type="dxa"/>
          </w:tcPr>
          <w:p>
            <w:pPr>
              <w:pStyle w:val="TableParagraph"/>
              <w:rPr>
                <w:rFonts w:ascii="Times New Roman"/>
                <w:sz w:val="10"/>
              </w:rPr>
            </w:pPr>
          </w:p>
        </w:tc>
        <w:tc>
          <w:tcPr>
            <w:tcW w:w="823" w:type="dxa"/>
          </w:tcPr>
          <w:p>
            <w:pPr>
              <w:pStyle w:val="TableParagraph"/>
              <w:rPr>
                <w:rFonts w:ascii="Times New Roman"/>
                <w:sz w:val="10"/>
              </w:rPr>
            </w:pPr>
          </w:p>
        </w:tc>
        <w:tc>
          <w:tcPr>
            <w:tcW w:w="821" w:type="dxa"/>
          </w:tcPr>
          <w:p>
            <w:pPr>
              <w:pStyle w:val="TableParagraph"/>
              <w:rPr>
                <w:rFonts w:ascii="Times New Roman"/>
                <w:sz w:val="10"/>
              </w:rPr>
            </w:pPr>
          </w:p>
        </w:tc>
        <w:tc>
          <w:tcPr>
            <w:tcW w:w="821" w:type="dxa"/>
          </w:tcPr>
          <w:p>
            <w:pPr>
              <w:pStyle w:val="TableParagraph"/>
              <w:rPr>
                <w:rFonts w:ascii="Times New Roman"/>
                <w:sz w:val="10"/>
              </w:rPr>
            </w:pPr>
          </w:p>
        </w:tc>
        <w:tc>
          <w:tcPr>
            <w:tcW w:w="881" w:type="dxa"/>
          </w:tcPr>
          <w:p>
            <w:pPr>
              <w:pStyle w:val="TableParagraph"/>
              <w:rPr>
                <w:rFonts w:ascii="Times New Roman"/>
                <w:sz w:val="10"/>
              </w:rPr>
            </w:pPr>
          </w:p>
        </w:tc>
        <w:tc>
          <w:tcPr>
            <w:tcW w:w="760" w:type="dxa"/>
          </w:tcPr>
          <w:p>
            <w:pPr>
              <w:pStyle w:val="TableParagraph"/>
              <w:rPr>
                <w:rFonts w:ascii="Times New Roman"/>
                <w:sz w:val="10"/>
              </w:rPr>
            </w:pPr>
          </w:p>
        </w:tc>
        <w:tc>
          <w:tcPr>
            <w:tcW w:w="760" w:type="dxa"/>
          </w:tcPr>
          <w:p>
            <w:pPr>
              <w:pStyle w:val="TableParagraph"/>
              <w:rPr>
                <w:rFonts w:ascii="Times New Roman"/>
                <w:sz w:val="10"/>
              </w:rPr>
            </w:pPr>
          </w:p>
        </w:tc>
        <w:tc>
          <w:tcPr>
            <w:tcW w:w="760" w:type="dxa"/>
          </w:tcPr>
          <w:p>
            <w:pPr>
              <w:pStyle w:val="TableParagraph"/>
              <w:rPr>
                <w:rFonts w:ascii="Times New Roman"/>
                <w:sz w:val="10"/>
              </w:rPr>
            </w:pPr>
          </w:p>
        </w:tc>
        <w:tc>
          <w:tcPr>
            <w:tcW w:w="740" w:type="dxa"/>
          </w:tcPr>
          <w:p>
            <w:pPr>
              <w:pStyle w:val="TableParagraph"/>
              <w:rPr>
                <w:rFonts w:ascii="Times New Roman"/>
                <w:sz w:val="10"/>
              </w:rPr>
            </w:pPr>
          </w:p>
        </w:tc>
        <w:tc>
          <w:tcPr>
            <w:tcW w:w="820" w:type="dxa"/>
          </w:tcPr>
          <w:p>
            <w:pPr>
              <w:pStyle w:val="TableParagraph"/>
              <w:rPr>
                <w:rFonts w:ascii="Times New Roman"/>
                <w:sz w:val="10"/>
              </w:rPr>
            </w:pPr>
          </w:p>
        </w:tc>
        <w:tc>
          <w:tcPr>
            <w:tcW w:w="913" w:type="dxa"/>
          </w:tcPr>
          <w:p>
            <w:pPr>
              <w:pStyle w:val="TableParagraph"/>
              <w:spacing w:before="10"/>
              <w:rPr>
                <w:b/>
                <w:sz w:val="12"/>
              </w:rPr>
            </w:pPr>
          </w:p>
          <w:p>
            <w:pPr>
              <w:pStyle w:val="TableParagraph"/>
              <w:ind w:right="51"/>
              <w:jc w:val="right"/>
              <w:rPr>
                <w:sz w:val="11"/>
              </w:rPr>
            </w:pPr>
            <w:r>
              <w:rPr>
                <w:sz w:val="11"/>
              </w:rPr>
              <w:t>1.000,81</w:t>
            </w:r>
          </w:p>
        </w:tc>
        <w:tc>
          <w:tcPr>
            <w:tcW w:w="952" w:type="dxa"/>
          </w:tcPr>
          <w:p>
            <w:pPr>
              <w:pStyle w:val="TableParagraph"/>
              <w:spacing w:before="10"/>
              <w:rPr>
                <w:b/>
                <w:sz w:val="12"/>
              </w:rPr>
            </w:pPr>
          </w:p>
          <w:p>
            <w:pPr>
              <w:pStyle w:val="TableParagraph"/>
              <w:ind w:right="50"/>
              <w:jc w:val="right"/>
              <w:rPr>
                <w:sz w:val="11"/>
              </w:rPr>
            </w:pPr>
            <w:r>
              <w:rPr>
                <w:sz w:val="11"/>
              </w:rPr>
              <w:t>1.000,81</w:t>
            </w:r>
          </w:p>
        </w:tc>
      </w:tr>
      <w:tr>
        <w:trPr>
          <w:trHeight w:val="301" w:hRule="atLeast"/>
        </w:trPr>
        <w:tc>
          <w:tcPr>
            <w:tcW w:w="1729" w:type="dxa"/>
          </w:tcPr>
          <w:p>
            <w:pPr>
              <w:pStyle w:val="TableParagraph"/>
              <w:spacing w:before="2"/>
              <w:ind w:left="54"/>
              <w:rPr>
                <w:sz w:val="12"/>
              </w:rPr>
            </w:pPr>
            <w:r>
              <w:rPr>
                <w:w w:val="105"/>
                <w:sz w:val="12"/>
              </w:rPr>
              <w:t>Inversiones financieras a corto</w:t>
            </w:r>
          </w:p>
          <w:p>
            <w:pPr>
              <w:pStyle w:val="TableParagraph"/>
              <w:spacing w:line="127" w:lineRule="exact" w:before="6"/>
              <w:ind w:left="54"/>
              <w:rPr>
                <w:sz w:val="12"/>
              </w:rPr>
            </w:pPr>
            <w:r>
              <w:rPr>
                <w:w w:val="105"/>
                <w:sz w:val="12"/>
              </w:rPr>
              <w:t>plazo</w:t>
            </w:r>
          </w:p>
        </w:tc>
        <w:tc>
          <w:tcPr>
            <w:tcW w:w="800" w:type="dxa"/>
          </w:tcPr>
          <w:p>
            <w:pPr>
              <w:pStyle w:val="TableParagraph"/>
              <w:spacing w:before="82"/>
              <w:ind w:right="42"/>
              <w:jc w:val="right"/>
              <w:rPr>
                <w:sz w:val="11"/>
              </w:rPr>
            </w:pPr>
            <w:r>
              <w:rPr>
                <w:sz w:val="11"/>
              </w:rPr>
              <w:t>9.570,00</w:t>
            </w:r>
          </w:p>
        </w:tc>
        <w:tc>
          <w:tcPr>
            <w:tcW w:w="823" w:type="dxa"/>
          </w:tcPr>
          <w:p>
            <w:pPr>
              <w:pStyle w:val="TableParagraph"/>
              <w:rPr>
                <w:rFonts w:ascii="Times New Roman"/>
                <w:sz w:val="10"/>
              </w:rPr>
            </w:pPr>
          </w:p>
        </w:tc>
        <w:tc>
          <w:tcPr>
            <w:tcW w:w="821" w:type="dxa"/>
          </w:tcPr>
          <w:p>
            <w:pPr>
              <w:pStyle w:val="TableParagraph"/>
              <w:spacing w:before="82"/>
              <w:ind w:right="45"/>
              <w:jc w:val="right"/>
              <w:rPr>
                <w:sz w:val="11"/>
              </w:rPr>
            </w:pPr>
            <w:r>
              <w:rPr>
                <w:sz w:val="11"/>
              </w:rPr>
              <w:t>471.101,26</w:t>
            </w:r>
          </w:p>
        </w:tc>
        <w:tc>
          <w:tcPr>
            <w:tcW w:w="821" w:type="dxa"/>
          </w:tcPr>
          <w:p>
            <w:pPr>
              <w:pStyle w:val="TableParagraph"/>
              <w:rPr>
                <w:rFonts w:ascii="Times New Roman"/>
                <w:sz w:val="10"/>
              </w:rPr>
            </w:pPr>
          </w:p>
        </w:tc>
        <w:tc>
          <w:tcPr>
            <w:tcW w:w="881" w:type="dxa"/>
          </w:tcPr>
          <w:p>
            <w:pPr>
              <w:pStyle w:val="TableParagraph"/>
              <w:spacing w:before="82"/>
              <w:ind w:right="46"/>
              <w:jc w:val="right"/>
              <w:rPr>
                <w:sz w:val="11"/>
              </w:rPr>
            </w:pPr>
            <w:r>
              <w:rPr>
                <w:sz w:val="11"/>
              </w:rPr>
              <w:t>20.002.582,73</w:t>
            </w:r>
          </w:p>
        </w:tc>
        <w:tc>
          <w:tcPr>
            <w:tcW w:w="760" w:type="dxa"/>
          </w:tcPr>
          <w:p>
            <w:pPr>
              <w:pStyle w:val="TableParagraph"/>
              <w:rPr>
                <w:rFonts w:ascii="Times New Roman"/>
                <w:sz w:val="10"/>
              </w:rPr>
            </w:pPr>
          </w:p>
        </w:tc>
        <w:tc>
          <w:tcPr>
            <w:tcW w:w="760" w:type="dxa"/>
          </w:tcPr>
          <w:p>
            <w:pPr>
              <w:pStyle w:val="TableParagraph"/>
              <w:rPr>
                <w:rFonts w:ascii="Times New Roman"/>
                <w:sz w:val="10"/>
              </w:rPr>
            </w:pPr>
          </w:p>
        </w:tc>
        <w:tc>
          <w:tcPr>
            <w:tcW w:w="760" w:type="dxa"/>
          </w:tcPr>
          <w:p>
            <w:pPr>
              <w:pStyle w:val="TableParagraph"/>
              <w:spacing w:before="82"/>
              <w:ind w:right="46"/>
              <w:jc w:val="right"/>
              <w:rPr>
                <w:sz w:val="11"/>
              </w:rPr>
            </w:pPr>
            <w:r>
              <w:rPr>
                <w:sz w:val="11"/>
              </w:rPr>
              <w:t>2.000.159,72</w:t>
            </w:r>
          </w:p>
        </w:tc>
        <w:tc>
          <w:tcPr>
            <w:tcW w:w="740" w:type="dxa"/>
          </w:tcPr>
          <w:p>
            <w:pPr>
              <w:pStyle w:val="TableParagraph"/>
              <w:spacing w:before="82"/>
              <w:ind w:right="48"/>
              <w:jc w:val="right"/>
              <w:rPr>
                <w:sz w:val="11"/>
              </w:rPr>
            </w:pPr>
            <w:r>
              <w:rPr>
                <w:w w:val="95"/>
                <w:sz w:val="11"/>
              </w:rPr>
              <w:t>88.333,86</w:t>
            </w:r>
          </w:p>
        </w:tc>
        <w:tc>
          <w:tcPr>
            <w:tcW w:w="820" w:type="dxa"/>
          </w:tcPr>
          <w:p>
            <w:pPr>
              <w:pStyle w:val="TableParagraph"/>
              <w:spacing w:before="82"/>
              <w:ind w:right="49"/>
              <w:jc w:val="right"/>
              <w:rPr>
                <w:sz w:val="11"/>
              </w:rPr>
            </w:pPr>
            <w:r>
              <w:rPr>
                <w:w w:val="95"/>
                <w:sz w:val="11"/>
              </w:rPr>
              <w:t>54.725,80</w:t>
            </w:r>
          </w:p>
        </w:tc>
        <w:tc>
          <w:tcPr>
            <w:tcW w:w="913" w:type="dxa"/>
          </w:tcPr>
          <w:p>
            <w:pPr>
              <w:pStyle w:val="TableParagraph"/>
              <w:spacing w:before="82"/>
              <w:ind w:right="52"/>
              <w:jc w:val="right"/>
              <w:rPr>
                <w:sz w:val="11"/>
              </w:rPr>
            </w:pPr>
            <w:r>
              <w:rPr>
                <w:sz w:val="11"/>
              </w:rPr>
              <w:t>22.840.798,44</w:t>
            </w:r>
          </w:p>
        </w:tc>
        <w:tc>
          <w:tcPr>
            <w:tcW w:w="952" w:type="dxa"/>
          </w:tcPr>
          <w:p>
            <w:pPr>
              <w:pStyle w:val="TableParagraph"/>
              <w:spacing w:before="82"/>
              <w:ind w:right="51"/>
              <w:jc w:val="right"/>
              <w:rPr>
                <w:sz w:val="11"/>
              </w:rPr>
            </w:pPr>
            <w:r>
              <w:rPr>
                <w:sz w:val="11"/>
              </w:rPr>
              <w:t>22.436.779,19</w:t>
            </w:r>
          </w:p>
        </w:tc>
      </w:tr>
      <w:tr>
        <w:trPr>
          <w:trHeight w:val="148" w:hRule="atLeast"/>
        </w:trPr>
        <w:tc>
          <w:tcPr>
            <w:tcW w:w="1729" w:type="dxa"/>
          </w:tcPr>
          <w:p>
            <w:pPr>
              <w:pStyle w:val="TableParagraph"/>
              <w:spacing w:line="127" w:lineRule="exact" w:before="2"/>
              <w:ind w:left="54"/>
              <w:rPr>
                <w:sz w:val="12"/>
              </w:rPr>
            </w:pPr>
            <w:r>
              <w:rPr>
                <w:w w:val="105"/>
                <w:sz w:val="12"/>
              </w:rPr>
              <w:t>Periodificaciones a corto plazo</w:t>
            </w:r>
          </w:p>
        </w:tc>
        <w:tc>
          <w:tcPr>
            <w:tcW w:w="800" w:type="dxa"/>
          </w:tcPr>
          <w:p>
            <w:pPr>
              <w:pStyle w:val="TableParagraph"/>
              <w:spacing w:line="123" w:lineRule="exact" w:before="6"/>
              <w:ind w:right="42"/>
              <w:jc w:val="right"/>
              <w:rPr>
                <w:sz w:val="11"/>
              </w:rPr>
            </w:pPr>
            <w:r>
              <w:rPr>
                <w:w w:val="95"/>
                <w:sz w:val="11"/>
              </w:rPr>
              <w:t>57.870,70</w:t>
            </w:r>
          </w:p>
        </w:tc>
        <w:tc>
          <w:tcPr>
            <w:tcW w:w="823" w:type="dxa"/>
          </w:tcPr>
          <w:p>
            <w:pPr>
              <w:pStyle w:val="TableParagraph"/>
              <w:spacing w:line="123" w:lineRule="exact" w:before="6"/>
              <w:ind w:right="45"/>
              <w:jc w:val="right"/>
              <w:rPr>
                <w:sz w:val="11"/>
              </w:rPr>
            </w:pPr>
            <w:r>
              <w:rPr>
                <w:w w:val="95"/>
                <w:sz w:val="11"/>
              </w:rPr>
              <w:t>12.749,53</w:t>
            </w:r>
          </w:p>
        </w:tc>
        <w:tc>
          <w:tcPr>
            <w:tcW w:w="821" w:type="dxa"/>
          </w:tcPr>
          <w:p>
            <w:pPr>
              <w:pStyle w:val="TableParagraph"/>
              <w:spacing w:line="123" w:lineRule="exact" w:before="6"/>
              <w:ind w:right="45"/>
              <w:jc w:val="right"/>
              <w:rPr>
                <w:sz w:val="11"/>
              </w:rPr>
            </w:pPr>
            <w:r>
              <w:rPr>
                <w:sz w:val="11"/>
              </w:rPr>
              <w:t>8.845,44</w:t>
            </w:r>
          </w:p>
        </w:tc>
        <w:tc>
          <w:tcPr>
            <w:tcW w:w="821" w:type="dxa"/>
          </w:tcPr>
          <w:p>
            <w:pPr>
              <w:pStyle w:val="TableParagraph"/>
              <w:spacing w:line="123" w:lineRule="exact" w:before="6"/>
              <w:ind w:right="43"/>
              <w:jc w:val="right"/>
              <w:rPr>
                <w:sz w:val="11"/>
              </w:rPr>
            </w:pPr>
            <w:r>
              <w:rPr>
                <w:sz w:val="11"/>
              </w:rPr>
              <w:t>1.881.921,22</w:t>
            </w:r>
          </w:p>
        </w:tc>
        <w:tc>
          <w:tcPr>
            <w:tcW w:w="881" w:type="dxa"/>
          </w:tcPr>
          <w:p>
            <w:pPr>
              <w:pStyle w:val="TableParagraph"/>
              <w:spacing w:line="123" w:lineRule="exact" w:before="6"/>
              <w:ind w:right="46"/>
              <w:jc w:val="right"/>
              <w:rPr>
                <w:sz w:val="11"/>
              </w:rPr>
            </w:pPr>
            <w:r>
              <w:rPr>
                <w:w w:val="95"/>
                <w:sz w:val="11"/>
              </w:rPr>
              <w:t>71.585,80</w:t>
            </w:r>
          </w:p>
        </w:tc>
        <w:tc>
          <w:tcPr>
            <w:tcW w:w="760" w:type="dxa"/>
          </w:tcPr>
          <w:p>
            <w:pPr>
              <w:pStyle w:val="TableParagraph"/>
              <w:rPr>
                <w:rFonts w:ascii="Times New Roman"/>
                <w:sz w:val="8"/>
              </w:rPr>
            </w:pPr>
          </w:p>
        </w:tc>
        <w:tc>
          <w:tcPr>
            <w:tcW w:w="760" w:type="dxa"/>
          </w:tcPr>
          <w:p>
            <w:pPr>
              <w:pStyle w:val="TableParagraph"/>
              <w:spacing w:line="123" w:lineRule="exact" w:before="6"/>
              <w:ind w:right="45"/>
              <w:jc w:val="right"/>
              <w:rPr>
                <w:sz w:val="11"/>
              </w:rPr>
            </w:pPr>
            <w:r>
              <w:rPr>
                <w:sz w:val="11"/>
              </w:rPr>
              <w:t>6.979,28</w:t>
            </w:r>
          </w:p>
        </w:tc>
        <w:tc>
          <w:tcPr>
            <w:tcW w:w="760" w:type="dxa"/>
          </w:tcPr>
          <w:p>
            <w:pPr>
              <w:pStyle w:val="TableParagraph"/>
              <w:spacing w:line="123" w:lineRule="exact" w:before="6"/>
              <w:ind w:right="46"/>
              <w:jc w:val="right"/>
              <w:rPr>
                <w:sz w:val="11"/>
              </w:rPr>
            </w:pPr>
            <w:r>
              <w:rPr>
                <w:sz w:val="11"/>
              </w:rPr>
              <w:t>1.246,33</w:t>
            </w:r>
          </w:p>
        </w:tc>
        <w:tc>
          <w:tcPr>
            <w:tcW w:w="740" w:type="dxa"/>
          </w:tcPr>
          <w:p>
            <w:pPr>
              <w:pStyle w:val="TableParagraph"/>
              <w:spacing w:line="123" w:lineRule="exact" w:before="6"/>
              <w:ind w:right="48"/>
              <w:jc w:val="right"/>
              <w:rPr>
                <w:sz w:val="11"/>
              </w:rPr>
            </w:pPr>
            <w:r>
              <w:rPr>
                <w:sz w:val="11"/>
              </w:rPr>
              <w:t>112.615,40</w:t>
            </w:r>
          </w:p>
        </w:tc>
        <w:tc>
          <w:tcPr>
            <w:tcW w:w="820" w:type="dxa"/>
          </w:tcPr>
          <w:p>
            <w:pPr>
              <w:pStyle w:val="TableParagraph"/>
              <w:rPr>
                <w:rFonts w:ascii="Times New Roman"/>
                <w:sz w:val="8"/>
              </w:rPr>
            </w:pPr>
          </w:p>
        </w:tc>
        <w:tc>
          <w:tcPr>
            <w:tcW w:w="913" w:type="dxa"/>
          </w:tcPr>
          <w:p>
            <w:pPr>
              <w:pStyle w:val="TableParagraph"/>
              <w:spacing w:line="123" w:lineRule="exact" w:before="6"/>
              <w:ind w:right="51"/>
              <w:jc w:val="right"/>
              <w:rPr>
                <w:sz w:val="11"/>
              </w:rPr>
            </w:pPr>
            <w:r>
              <w:rPr>
                <w:sz w:val="11"/>
              </w:rPr>
              <w:t>2.579.239,04</w:t>
            </w:r>
          </w:p>
        </w:tc>
        <w:tc>
          <w:tcPr>
            <w:tcW w:w="952" w:type="dxa"/>
          </w:tcPr>
          <w:p>
            <w:pPr>
              <w:pStyle w:val="TableParagraph"/>
              <w:spacing w:line="123" w:lineRule="exact" w:before="6"/>
              <w:ind w:right="50"/>
              <w:jc w:val="right"/>
              <w:rPr>
                <w:sz w:val="11"/>
              </w:rPr>
            </w:pPr>
            <w:r>
              <w:rPr>
                <w:sz w:val="11"/>
              </w:rPr>
              <w:t>1.265.587,97</w:t>
            </w:r>
          </w:p>
        </w:tc>
      </w:tr>
      <w:tr>
        <w:trPr>
          <w:trHeight w:val="301" w:hRule="atLeast"/>
        </w:trPr>
        <w:tc>
          <w:tcPr>
            <w:tcW w:w="1729" w:type="dxa"/>
          </w:tcPr>
          <w:p>
            <w:pPr>
              <w:pStyle w:val="TableParagraph"/>
              <w:spacing w:before="4"/>
              <w:ind w:left="54"/>
              <w:rPr>
                <w:sz w:val="12"/>
              </w:rPr>
            </w:pPr>
            <w:r>
              <w:rPr>
                <w:w w:val="105"/>
                <w:sz w:val="12"/>
              </w:rPr>
              <w:t>Efectivo y otros activos líquidos</w:t>
            </w:r>
          </w:p>
          <w:p>
            <w:pPr>
              <w:pStyle w:val="TableParagraph"/>
              <w:spacing w:line="127" w:lineRule="exact" w:before="4"/>
              <w:ind w:left="54"/>
              <w:rPr>
                <w:sz w:val="12"/>
              </w:rPr>
            </w:pPr>
            <w:r>
              <w:rPr>
                <w:w w:val="105"/>
                <w:sz w:val="12"/>
              </w:rPr>
              <w:t>equivalentes</w:t>
            </w:r>
          </w:p>
        </w:tc>
        <w:tc>
          <w:tcPr>
            <w:tcW w:w="800" w:type="dxa"/>
          </w:tcPr>
          <w:p>
            <w:pPr>
              <w:pStyle w:val="TableParagraph"/>
              <w:spacing w:before="82"/>
              <w:ind w:right="42"/>
              <w:jc w:val="right"/>
              <w:rPr>
                <w:sz w:val="11"/>
              </w:rPr>
            </w:pPr>
            <w:r>
              <w:rPr>
                <w:sz w:val="11"/>
              </w:rPr>
              <w:t>1.175.966,25</w:t>
            </w:r>
          </w:p>
        </w:tc>
        <w:tc>
          <w:tcPr>
            <w:tcW w:w="823" w:type="dxa"/>
          </w:tcPr>
          <w:p>
            <w:pPr>
              <w:pStyle w:val="TableParagraph"/>
              <w:spacing w:before="82"/>
              <w:ind w:right="45"/>
              <w:jc w:val="right"/>
              <w:rPr>
                <w:sz w:val="11"/>
              </w:rPr>
            </w:pPr>
            <w:r>
              <w:rPr>
                <w:sz w:val="11"/>
              </w:rPr>
              <w:t>13.344.250,13</w:t>
            </w:r>
          </w:p>
        </w:tc>
        <w:tc>
          <w:tcPr>
            <w:tcW w:w="821" w:type="dxa"/>
          </w:tcPr>
          <w:p>
            <w:pPr>
              <w:pStyle w:val="TableParagraph"/>
              <w:spacing w:before="82"/>
              <w:ind w:right="45"/>
              <w:jc w:val="right"/>
              <w:rPr>
                <w:sz w:val="11"/>
              </w:rPr>
            </w:pPr>
            <w:r>
              <w:rPr>
                <w:sz w:val="11"/>
              </w:rPr>
              <w:t>2.516.986,15</w:t>
            </w:r>
          </w:p>
        </w:tc>
        <w:tc>
          <w:tcPr>
            <w:tcW w:w="821" w:type="dxa"/>
          </w:tcPr>
          <w:p>
            <w:pPr>
              <w:pStyle w:val="TableParagraph"/>
              <w:spacing w:before="82"/>
              <w:ind w:right="43"/>
              <w:jc w:val="right"/>
              <w:rPr>
                <w:sz w:val="11"/>
              </w:rPr>
            </w:pPr>
            <w:r>
              <w:rPr>
                <w:sz w:val="11"/>
              </w:rPr>
              <w:t>20.864.421,45</w:t>
            </w:r>
          </w:p>
        </w:tc>
        <w:tc>
          <w:tcPr>
            <w:tcW w:w="881" w:type="dxa"/>
          </w:tcPr>
          <w:p>
            <w:pPr>
              <w:pStyle w:val="TableParagraph"/>
              <w:spacing w:before="82"/>
              <w:ind w:right="46"/>
              <w:jc w:val="right"/>
              <w:rPr>
                <w:sz w:val="11"/>
              </w:rPr>
            </w:pPr>
            <w:r>
              <w:rPr>
                <w:sz w:val="11"/>
              </w:rPr>
              <w:t>7.441.206,56</w:t>
            </w:r>
          </w:p>
        </w:tc>
        <w:tc>
          <w:tcPr>
            <w:tcW w:w="760" w:type="dxa"/>
          </w:tcPr>
          <w:p>
            <w:pPr>
              <w:pStyle w:val="TableParagraph"/>
              <w:spacing w:before="82"/>
              <w:ind w:right="44"/>
              <w:jc w:val="right"/>
              <w:rPr>
                <w:sz w:val="11"/>
              </w:rPr>
            </w:pPr>
            <w:r>
              <w:rPr>
                <w:w w:val="95"/>
                <w:sz w:val="11"/>
              </w:rPr>
              <w:t>67.222,66</w:t>
            </w:r>
          </w:p>
        </w:tc>
        <w:tc>
          <w:tcPr>
            <w:tcW w:w="760" w:type="dxa"/>
          </w:tcPr>
          <w:p>
            <w:pPr>
              <w:pStyle w:val="TableParagraph"/>
              <w:spacing w:before="82"/>
              <w:ind w:right="45"/>
              <w:jc w:val="right"/>
              <w:rPr>
                <w:sz w:val="11"/>
              </w:rPr>
            </w:pPr>
            <w:r>
              <w:rPr>
                <w:sz w:val="11"/>
              </w:rPr>
              <w:t>166.003,80</w:t>
            </w:r>
          </w:p>
        </w:tc>
        <w:tc>
          <w:tcPr>
            <w:tcW w:w="760" w:type="dxa"/>
          </w:tcPr>
          <w:p>
            <w:pPr>
              <w:pStyle w:val="TableParagraph"/>
              <w:spacing w:before="82"/>
              <w:ind w:right="46"/>
              <w:jc w:val="right"/>
              <w:rPr>
                <w:sz w:val="11"/>
              </w:rPr>
            </w:pPr>
            <w:r>
              <w:rPr>
                <w:sz w:val="11"/>
              </w:rPr>
              <w:t>998.343,96</w:t>
            </w:r>
          </w:p>
        </w:tc>
        <w:tc>
          <w:tcPr>
            <w:tcW w:w="740" w:type="dxa"/>
          </w:tcPr>
          <w:p>
            <w:pPr>
              <w:pStyle w:val="TableParagraph"/>
              <w:spacing w:before="82"/>
              <w:ind w:right="48"/>
              <w:jc w:val="right"/>
              <w:rPr>
                <w:sz w:val="11"/>
              </w:rPr>
            </w:pPr>
            <w:r>
              <w:rPr>
                <w:sz w:val="11"/>
              </w:rPr>
              <w:t>376.522,20</w:t>
            </w:r>
          </w:p>
        </w:tc>
        <w:tc>
          <w:tcPr>
            <w:tcW w:w="820" w:type="dxa"/>
          </w:tcPr>
          <w:p>
            <w:pPr>
              <w:pStyle w:val="TableParagraph"/>
              <w:spacing w:before="82"/>
              <w:ind w:right="49"/>
              <w:jc w:val="right"/>
              <w:rPr>
                <w:sz w:val="11"/>
              </w:rPr>
            </w:pPr>
            <w:r>
              <w:rPr>
                <w:sz w:val="11"/>
              </w:rPr>
              <w:t>58.874.712,48</w:t>
            </w:r>
          </w:p>
        </w:tc>
        <w:tc>
          <w:tcPr>
            <w:tcW w:w="913" w:type="dxa"/>
          </w:tcPr>
          <w:p>
            <w:pPr>
              <w:pStyle w:val="TableParagraph"/>
              <w:spacing w:before="82"/>
              <w:ind w:right="52"/>
              <w:jc w:val="right"/>
              <w:rPr>
                <w:sz w:val="11"/>
              </w:rPr>
            </w:pPr>
            <w:r>
              <w:rPr>
                <w:sz w:val="11"/>
              </w:rPr>
              <w:t>156.579.420,65</w:t>
            </w:r>
          </w:p>
        </w:tc>
        <w:tc>
          <w:tcPr>
            <w:tcW w:w="952" w:type="dxa"/>
          </w:tcPr>
          <w:p>
            <w:pPr>
              <w:pStyle w:val="TableParagraph"/>
              <w:spacing w:before="82"/>
              <w:ind w:right="51"/>
              <w:jc w:val="right"/>
              <w:rPr>
                <w:sz w:val="11"/>
              </w:rPr>
            </w:pPr>
            <w:r>
              <w:rPr>
                <w:sz w:val="11"/>
              </w:rPr>
              <w:t>172.456.140,50</w:t>
            </w:r>
          </w:p>
        </w:tc>
      </w:tr>
      <w:tr>
        <w:trPr>
          <w:trHeight w:val="264" w:hRule="atLeast"/>
        </w:trPr>
        <w:tc>
          <w:tcPr>
            <w:tcW w:w="1729" w:type="dxa"/>
          </w:tcPr>
          <w:p>
            <w:pPr>
              <w:pStyle w:val="TableParagraph"/>
              <w:spacing w:before="59"/>
              <w:ind w:left="484"/>
              <w:rPr>
                <w:b/>
                <w:sz w:val="12"/>
              </w:rPr>
            </w:pPr>
            <w:r>
              <w:rPr>
                <w:b/>
                <w:w w:val="105"/>
                <w:sz w:val="12"/>
              </w:rPr>
              <w:t>TOTAL ACTIVO</w:t>
            </w:r>
          </w:p>
        </w:tc>
        <w:tc>
          <w:tcPr>
            <w:tcW w:w="800" w:type="dxa"/>
          </w:tcPr>
          <w:p>
            <w:pPr>
              <w:pStyle w:val="TableParagraph"/>
              <w:spacing w:before="63"/>
              <w:ind w:right="42"/>
              <w:jc w:val="right"/>
              <w:rPr>
                <w:b/>
                <w:sz w:val="11"/>
              </w:rPr>
            </w:pPr>
            <w:r>
              <w:rPr>
                <w:b/>
                <w:sz w:val="11"/>
              </w:rPr>
              <w:t>10.347.470,73</w:t>
            </w:r>
          </w:p>
        </w:tc>
        <w:tc>
          <w:tcPr>
            <w:tcW w:w="823" w:type="dxa"/>
          </w:tcPr>
          <w:p>
            <w:pPr>
              <w:pStyle w:val="TableParagraph"/>
              <w:spacing w:before="63"/>
              <w:ind w:right="45"/>
              <w:jc w:val="right"/>
              <w:rPr>
                <w:b/>
                <w:sz w:val="11"/>
              </w:rPr>
            </w:pPr>
            <w:r>
              <w:rPr>
                <w:b/>
                <w:sz w:val="11"/>
              </w:rPr>
              <w:t>69.409.749,32</w:t>
            </w:r>
          </w:p>
        </w:tc>
        <w:tc>
          <w:tcPr>
            <w:tcW w:w="821" w:type="dxa"/>
          </w:tcPr>
          <w:p>
            <w:pPr>
              <w:pStyle w:val="TableParagraph"/>
              <w:spacing w:before="63"/>
              <w:ind w:right="45"/>
              <w:jc w:val="right"/>
              <w:rPr>
                <w:b/>
                <w:sz w:val="11"/>
              </w:rPr>
            </w:pPr>
            <w:r>
              <w:rPr>
                <w:b/>
                <w:w w:val="95"/>
                <w:sz w:val="11"/>
              </w:rPr>
              <w:t>7.435.679,76</w:t>
            </w:r>
          </w:p>
        </w:tc>
        <w:tc>
          <w:tcPr>
            <w:tcW w:w="821" w:type="dxa"/>
          </w:tcPr>
          <w:p>
            <w:pPr>
              <w:pStyle w:val="TableParagraph"/>
              <w:spacing w:before="63"/>
              <w:ind w:right="43"/>
              <w:jc w:val="right"/>
              <w:rPr>
                <w:b/>
                <w:sz w:val="11"/>
              </w:rPr>
            </w:pPr>
            <w:r>
              <w:rPr>
                <w:b/>
                <w:sz w:val="11"/>
              </w:rPr>
              <w:t>36.106.613,67</w:t>
            </w:r>
          </w:p>
        </w:tc>
        <w:tc>
          <w:tcPr>
            <w:tcW w:w="881" w:type="dxa"/>
          </w:tcPr>
          <w:p>
            <w:pPr>
              <w:pStyle w:val="TableParagraph"/>
              <w:spacing w:before="63"/>
              <w:ind w:right="46"/>
              <w:jc w:val="right"/>
              <w:rPr>
                <w:b/>
                <w:sz w:val="11"/>
              </w:rPr>
            </w:pPr>
            <w:r>
              <w:rPr>
                <w:b/>
                <w:w w:val="95"/>
                <w:sz w:val="11"/>
              </w:rPr>
              <w:t>625.995.638,34</w:t>
            </w:r>
          </w:p>
        </w:tc>
        <w:tc>
          <w:tcPr>
            <w:tcW w:w="760" w:type="dxa"/>
          </w:tcPr>
          <w:p>
            <w:pPr>
              <w:pStyle w:val="TableParagraph"/>
              <w:spacing w:before="63"/>
              <w:ind w:right="45"/>
              <w:jc w:val="right"/>
              <w:rPr>
                <w:b/>
                <w:sz w:val="11"/>
              </w:rPr>
            </w:pPr>
            <w:r>
              <w:rPr>
                <w:b/>
                <w:w w:val="95"/>
                <w:sz w:val="11"/>
              </w:rPr>
              <w:t>1.141.463,22</w:t>
            </w:r>
          </w:p>
        </w:tc>
        <w:tc>
          <w:tcPr>
            <w:tcW w:w="760" w:type="dxa"/>
          </w:tcPr>
          <w:p>
            <w:pPr>
              <w:pStyle w:val="TableParagraph"/>
              <w:spacing w:before="63"/>
              <w:ind w:right="45"/>
              <w:jc w:val="right"/>
              <w:rPr>
                <w:b/>
                <w:sz w:val="11"/>
              </w:rPr>
            </w:pPr>
            <w:r>
              <w:rPr>
                <w:b/>
                <w:w w:val="95"/>
                <w:sz w:val="11"/>
              </w:rPr>
              <w:t>4.932.734,39</w:t>
            </w:r>
          </w:p>
        </w:tc>
        <w:tc>
          <w:tcPr>
            <w:tcW w:w="760" w:type="dxa"/>
          </w:tcPr>
          <w:p>
            <w:pPr>
              <w:pStyle w:val="TableParagraph"/>
              <w:spacing w:before="63"/>
              <w:ind w:right="46"/>
              <w:jc w:val="right"/>
              <w:rPr>
                <w:b/>
                <w:sz w:val="11"/>
              </w:rPr>
            </w:pPr>
            <w:r>
              <w:rPr>
                <w:b/>
                <w:w w:val="95"/>
                <w:sz w:val="11"/>
              </w:rPr>
              <w:t>5.221.542,82</w:t>
            </w:r>
          </w:p>
        </w:tc>
        <w:tc>
          <w:tcPr>
            <w:tcW w:w="740" w:type="dxa"/>
          </w:tcPr>
          <w:p>
            <w:pPr>
              <w:pStyle w:val="TableParagraph"/>
              <w:spacing w:line="132" w:lineRule="exact"/>
              <w:ind w:right="48"/>
              <w:jc w:val="right"/>
              <w:rPr>
                <w:b/>
                <w:sz w:val="11"/>
              </w:rPr>
            </w:pPr>
            <w:r>
              <w:rPr>
                <w:b/>
                <w:sz w:val="11"/>
              </w:rPr>
              <w:t>17.582.795,9</w:t>
            </w:r>
          </w:p>
          <w:p>
            <w:pPr>
              <w:pStyle w:val="TableParagraph"/>
              <w:spacing w:line="113" w:lineRule="exact"/>
              <w:ind w:right="47"/>
              <w:jc w:val="right"/>
              <w:rPr>
                <w:b/>
                <w:sz w:val="11"/>
              </w:rPr>
            </w:pPr>
            <w:r>
              <w:rPr>
                <w:b/>
                <w:w w:val="98"/>
                <w:sz w:val="11"/>
              </w:rPr>
              <w:t>7</w:t>
            </w:r>
          </w:p>
        </w:tc>
        <w:tc>
          <w:tcPr>
            <w:tcW w:w="820" w:type="dxa"/>
          </w:tcPr>
          <w:p>
            <w:pPr>
              <w:pStyle w:val="TableParagraph"/>
              <w:spacing w:before="63"/>
              <w:ind w:right="49"/>
              <w:jc w:val="right"/>
              <w:rPr>
                <w:b/>
                <w:sz w:val="11"/>
              </w:rPr>
            </w:pPr>
            <w:r>
              <w:rPr>
                <w:b/>
                <w:w w:val="95"/>
                <w:sz w:val="11"/>
              </w:rPr>
              <w:t>362.157.790,80</w:t>
            </w:r>
          </w:p>
        </w:tc>
        <w:tc>
          <w:tcPr>
            <w:tcW w:w="913" w:type="dxa"/>
          </w:tcPr>
          <w:p>
            <w:pPr>
              <w:pStyle w:val="TableParagraph"/>
              <w:spacing w:before="63"/>
              <w:ind w:right="52"/>
              <w:jc w:val="right"/>
              <w:rPr>
                <w:b/>
                <w:sz w:val="11"/>
              </w:rPr>
            </w:pPr>
            <w:r>
              <w:rPr>
                <w:b/>
                <w:sz w:val="11"/>
              </w:rPr>
              <w:t>1.389.207.076,35</w:t>
            </w:r>
          </w:p>
        </w:tc>
        <w:tc>
          <w:tcPr>
            <w:tcW w:w="952" w:type="dxa"/>
          </w:tcPr>
          <w:p>
            <w:pPr>
              <w:pStyle w:val="TableParagraph"/>
              <w:spacing w:before="63"/>
              <w:ind w:right="51"/>
              <w:jc w:val="right"/>
              <w:rPr>
                <w:b/>
                <w:sz w:val="11"/>
              </w:rPr>
            </w:pPr>
            <w:r>
              <w:rPr>
                <w:b/>
                <w:sz w:val="11"/>
              </w:rPr>
              <w:t>1.403.742.651,62</w:t>
            </w:r>
          </w:p>
        </w:tc>
      </w:tr>
    </w:tbl>
    <w:p>
      <w:pPr>
        <w:spacing w:before="123"/>
        <w:ind w:left="11517" w:right="1354" w:firstLine="0"/>
        <w:jc w:val="center"/>
        <w:rPr>
          <w:sz w:val="18"/>
        </w:rPr>
      </w:pPr>
      <w:r>
        <w:rPr>
          <w:w w:val="105"/>
          <w:sz w:val="18"/>
        </w:rPr>
        <w:t>193</w:t>
      </w:r>
    </w:p>
    <w:p>
      <w:pPr>
        <w:spacing w:before="10"/>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19" name="image5.png"/>
                  <wp:cNvGraphicFramePr>
                    <a:graphicFrameLocks noChangeAspect="1"/>
                  </wp:cNvGraphicFramePr>
                  <a:graphic>
                    <a:graphicData uri="http://schemas.openxmlformats.org/drawingml/2006/picture">
                      <pic:pic>
                        <pic:nvPicPr>
                          <pic:cNvPr id="42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195/247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pStyle w:val="BodyText"/>
        <w:spacing w:before="9"/>
        <w:rPr>
          <w:b/>
          <w:sz w:val="25"/>
        </w:rPr>
      </w:pPr>
    </w:p>
    <w:tbl>
      <w:tblPr>
        <w:tblW w:w="0" w:type="auto"/>
        <w:jc w:val="left"/>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5"/>
        <w:gridCol w:w="843"/>
        <w:gridCol w:w="864"/>
        <w:gridCol w:w="660"/>
        <w:gridCol w:w="850"/>
        <w:gridCol w:w="858"/>
        <w:gridCol w:w="889"/>
        <w:gridCol w:w="883"/>
        <w:gridCol w:w="841"/>
        <w:gridCol w:w="908"/>
        <w:gridCol w:w="852"/>
        <w:gridCol w:w="886"/>
      </w:tblGrid>
      <w:tr>
        <w:trPr>
          <w:trHeight w:val="452" w:hRule="atLeast"/>
        </w:trPr>
        <w:tc>
          <w:tcPr>
            <w:tcW w:w="2205" w:type="dxa"/>
            <w:shd w:val="clear" w:color="auto" w:fill="D9E1F3"/>
          </w:tcPr>
          <w:p>
            <w:pPr>
              <w:pStyle w:val="TableParagraph"/>
              <w:spacing w:before="6"/>
              <w:rPr>
                <w:b/>
                <w:sz w:val="12"/>
              </w:rPr>
            </w:pPr>
          </w:p>
          <w:p>
            <w:pPr>
              <w:pStyle w:val="TableParagraph"/>
              <w:ind w:left="340"/>
              <w:rPr>
                <w:b/>
                <w:sz w:val="12"/>
              </w:rPr>
            </w:pPr>
            <w:r>
              <w:rPr>
                <w:b/>
                <w:w w:val="105"/>
                <w:sz w:val="12"/>
              </w:rPr>
              <w:t>PATRIMONIO NETO Y PASIVO</w:t>
            </w:r>
          </w:p>
        </w:tc>
        <w:tc>
          <w:tcPr>
            <w:tcW w:w="843" w:type="dxa"/>
            <w:shd w:val="clear" w:color="auto" w:fill="D9E1F3"/>
          </w:tcPr>
          <w:p>
            <w:pPr>
              <w:pStyle w:val="TableParagraph"/>
              <w:spacing w:before="6"/>
              <w:rPr>
                <w:b/>
                <w:sz w:val="12"/>
              </w:rPr>
            </w:pPr>
          </w:p>
          <w:p>
            <w:pPr>
              <w:pStyle w:val="TableParagraph"/>
              <w:ind w:left="88"/>
              <w:rPr>
                <w:b/>
                <w:sz w:val="12"/>
              </w:rPr>
            </w:pPr>
            <w:r>
              <w:rPr>
                <w:b/>
                <w:w w:val="105"/>
                <w:sz w:val="12"/>
              </w:rPr>
              <w:t>CCB MASPAL</w:t>
            </w:r>
          </w:p>
        </w:tc>
        <w:tc>
          <w:tcPr>
            <w:tcW w:w="864" w:type="dxa"/>
            <w:shd w:val="clear" w:color="auto" w:fill="D9E1F3"/>
          </w:tcPr>
          <w:p>
            <w:pPr>
              <w:pStyle w:val="TableParagraph"/>
              <w:spacing w:before="6"/>
              <w:rPr>
                <w:b/>
                <w:sz w:val="12"/>
              </w:rPr>
            </w:pPr>
          </w:p>
          <w:p>
            <w:pPr>
              <w:pStyle w:val="TableParagraph"/>
              <w:ind w:left="228"/>
              <w:rPr>
                <w:b/>
                <w:sz w:val="12"/>
              </w:rPr>
            </w:pPr>
            <w:r>
              <w:rPr>
                <w:b/>
                <w:w w:val="105"/>
                <w:sz w:val="12"/>
              </w:rPr>
              <w:t>CCB TFE</w:t>
            </w:r>
          </w:p>
        </w:tc>
        <w:tc>
          <w:tcPr>
            <w:tcW w:w="660" w:type="dxa"/>
            <w:shd w:val="clear" w:color="auto" w:fill="D9E1F3"/>
          </w:tcPr>
          <w:p>
            <w:pPr>
              <w:pStyle w:val="TableParagraph"/>
              <w:spacing w:before="76"/>
              <w:ind w:left="140"/>
              <w:rPr>
                <w:b/>
                <w:sz w:val="12"/>
              </w:rPr>
            </w:pPr>
            <w:r>
              <w:rPr>
                <w:b/>
                <w:w w:val="105"/>
                <w:sz w:val="12"/>
              </w:rPr>
              <w:t>ESSSCA</w:t>
            </w:r>
          </w:p>
          <w:p>
            <w:pPr>
              <w:pStyle w:val="TableParagraph"/>
              <w:spacing w:before="7"/>
              <w:ind w:left="65"/>
              <w:rPr>
                <w:b/>
                <w:sz w:val="12"/>
              </w:rPr>
            </w:pPr>
            <w:r>
              <w:rPr>
                <w:b/>
                <w:w w:val="105"/>
                <w:sz w:val="12"/>
              </w:rPr>
              <w:t>Pendiente</w:t>
            </w:r>
          </w:p>
        </w:tc>
        <w:tc>
          <w:tcPr>
            <w:tcW w:w="850" w:type="dxa"/>
            <w:shd w:val="clear" w:color="auto" w:fill="D9E1F3"/>
          </w:tcPr>
          <w:p>
            <w:pPr>
              <w:pStyle w:val="TableParagraph"/>
              <w:spacing w:before="6"/>
              <w:rPr>
                <w:b/>
                <w:sz w:val="12"/>
              </w:rPr>
            </w:pPr>
          </w:p>
          <w:p>
            <w:pPr>
              <w:pStyle w:val="TableParagraph"/>
              <w:ind w:left="185"/>
              <w:rPr>
                <w:b/>
                <w:sz w:val="12"/>
              </w:rPr>
            </w:pPr>
            <w:r>
              <w:rPr>
                <w:b/>
                <w:w w:val="105"/>
                <w:sz w:val="12"/>
              </w:rPr>
              <w:t>GESPLAN</w:t>
            </w:r>
          </w:p>
        </w:tc>
        <w:tc>
          <w:tcPr>
            <w:tcW w:w="858" w:type="dxa"/>
            <w:shd w:val="clear" w:color="auto" w:fill="D9E1F3"/>
          </w:tcPr>
          <w:p>
            <w:pPr>
              <w:pStyle w:val="TableParagraph"/>
              <w:spacing w:before="6"/>
              <w:rPr>
                <w:b/>
                <w:sz w:val="12"/>
              </w:rPr>
            </w:pPr>
          </w:p>
          <w:p>
            <w:pPr>
              <w:pStyle w:val="TableParagraph"/>
              <w:ind w:left="277"/>
              <w:rPr>
                <w:b/>
                <w:sz w:val="12"/>
              </w:rPr>
            </w:pPr>
            <w:r>
              <w:rPr>
                <w:b/>
                <w:w w:val="105"/>
                <w:sz w:val="12"/>
              </w:rPr>
              <w:t>G.S.C.</w:t>
            </w:r>
          </w:p>
        </w:tc>
        <w:tc>
          <w:tcPr>
            <w:tcW w:w="889" w:type="dxa"/>
            <w:shd w:val="clear" w:color="auto" w:fill="D9E1F3"/>
          </w:tcPr>
          <w:p>
            <w:pPr>
              <w:pStyle w:val="TableParagraph"/>
              <w:spacing w:before="2"/>
              <w:ind w:left="147" w:right="137"/>
              <w:jc w:val="center"/>
              <w:rPr>
                <w:b/>
                <w:sz w:val="12"/>
              </w:rPr>
            </w:pPr>
            <w:r>
              <w:rPr>
                <w:b/>
                <w:w w:val="105"/>
                <w:sz w:val="12"/>
              </w:rPr>
              <w:t>GESTUR</w:t>
            </w:r>
            <w:r>
              <w:rPr>
                <w:b/>
                <w:spacing w:val="-11"/>
                <w:w w:val="105"/>
                <w:sz w:val="12"/>
              </w:rPr>
              <w:t> </w:t>
            </w:r>
            <w:r>
              <w:rPr>
                <w:b/>
                <w:w w:val="105"/>
                <w:sz w:val="12"/>
              </w:rPr>
              <w:t>LP</w:t>
            </w:r>
          </w:p>
          <w:p>
            <w:pPr>
              <w:pStyle w:val="TableParagraph"/>
              <w:spacing w:line="150" w:lineRule="atLeast" w:before="1"/>
              <w:ind w:left="139" w:right="129" w:firstLine="1"/>
              <w:jc w:val="center"/>
              <w:rPr>
                <w:b/>
                <w:sz w:val="12"/>
              </w:rPr>
            </w:pPr>
            <w:r>
              <w:rPr>
                <w:b/>
                <w:w w:val="105"/>
                <w:sz w:val="12"/>
              </w:rPr>
              <w:t>(en  </w:t>
            </w:r>
            <w:r>
              <w:rPr>
                <w:b/>
                <w:spacing w:val="-1"/>
                <w:w w:val="105"/>
                <w:sz w:val="12"/>
              </w:rPr>
              <w:t>liquidación)</w:t>
            </w:r>
          </w:p>
        </w:tc>
        <w:tc>
          <w:tcPr>
            <w:tcW w:w="883" w:type="dxa"/>
            <w:shd w:val="clear" w:color="auto" w:fill="D9E1F3"/>
          </w:tcPr>
          <w:p>
            <w:pPr>
              <w:pStyle w:val="TableParagraph"/>
              <w:spacing w:line="249" w:lineRule="auto" w:before="76"/>
              <w:ind w:left="175" w:firstLine="61"/>
              <w:rPr>
                <w:b/>
                <w:sz w:val="12"/>
              </w:rPr>
            </w:pPr>
            <w:r>
              <w:rPr>
                <w:b/>
                <w:w w:val="105"/>
                <w:sz w:val="12"/>
              </w:rPr>
              <w:t>GESTUR CANARIAS</w:t>
            </w:r>
          </w:p>
        </w:tc>
        <w:tc>
          <w:tcPr>
            <w:tcW w:w="841" w:type="dxa"/>
            <w:shd w:val="clear" w:color="auto" w:fill="D9E1F3"/>
          </w:tcPr>
          <w:p>
            <w:pPr>
              <w:pStyle w:val="TableParagraph"/>
              <w:spacing w:before="6"/>
              <w:rPr>
                <w:b/>
                <w:sz w:val="12"/>
              </w:rPr>
            </w:pPr>
          </w:p>
          <w:p>
            <w:pPr>
              <w:pStyle w:val="TableParagraph"/>
              <w:ind w:left="139"/>
              <w:rPr>
                <w:b/>
                <w:sz w:val="12"/>
              </w:rPr>
            </w:pPr>
            <w:r>
              <w:rPr>
                <w:b/>
                <w:w w:val="105"/>
                <w:sz w:val="12"/>
              </w:rPr>
              <w:t>GM RURAL</w:t>
            </w:r>
          </w:p>
        </w:tc>
        <w:tc>
          <w:tcPr>
            <w:tcW w:w="908" w:type="dxa"/>
            <w:shd w:val="clear" w:color="auto" w:fill="D9E1F3"/>
          </w:tcPr>
          <w:p>
            <w:pPr>
              <w:pStyle w:val="TableParagraph"/>
              <w:spacing w:before="6"/>
              <w:rPr>
                <w:b/>
                <w:sz w:val="12"/>
              </w:rPr>
            </w:pPr>
          </w:p>
          <w:p>
            <w:pPr>
              <w:pStyle w:val="TableParagraph"/>
              <w:ind w:left="203"/>
              <w:rPr>
                <w:b/>
                <w:sz w:val="12"/>
              </w:rPr>
            </w:pPr>
            <w:r>
              <w:rPr>
                <w:b/>
                <w:w w:val="105"/>
                <w:sz w:val="12"/>
              </w:rPr>
              <w:t>GRAFCAN</w:t>
            </w:r>
          </w:p>
        </w:tc>
        <w:tc>
          <w:tcPr>
            <w:tcW w:w="852" w:type="dxa"/>
            <w:shd w:val="clear" w:color="auto" w:fill="D9E1F3"/>
          </w:tcPr>
          <w:p>
            <w:pPr>
              <w:pStyle w:val="TableParagraph"/>
              <w:spacing w:before="2"/>
              <w:ind w:left="246"/>
              <w:rPr>
                <w:b/>
                <w:sz w:val="12"/>
              </w:rPr>
            </w:pPr>
            <w:r>
              <w:rPr>
                <w:b/>
                <w:w w:val="105"/>
                <w:sz w:val="12"/>
              </w:rPr>
              <w:t>ASISTA</w:t>
            </w:r>
          </w:p>
          <w:p>
            <w:pPr>
              <w:pStyle w:val="TableParagraph"/>
              <w:spacing w:line="150" w:lineRule="atLeast" w:before="1"/>
              <w:ind w:left="186" w:firstLine="80"/>
              <w:rPr>
                <w:b/>
                <w:sz w:val="12"/>
              </w:rPr>
            </w:pPr>
            <w:r>
              <w:rPr>
                <w:b/>
                <w:w w:val="105"/>
                <w:sz w:val="12"/>
              </w:rPr>
              <w:t>(antes GRECASA</w:t>
            </w:r>
          </w:p>
        </w:tc>
        <w:tc>
          <w:tcPr>
            <w:tcW w:w="886" w:type="dxa"/>
            <w:shd w:val="clear" w:color="auto" w:fill="D9E1F3"/>
          </w:tcPr>
          <w:p>
            <w:pPr>
              <w:pStyle w:val="TableParagraph"/>
              <w:spacing w:before="6"/>
              <w:rPr>
                <w:b/>
                <w:sz w:val="12"/>
              </w:rPr>
            </w:pPr>
          </w:p>
          <w:p>
            <w:pPr>
              <w:pStyle w:val="TableParagraph"/>
              <w:ind w:left="196"/>
              <w:rPr>
                <w:b/>
                <w:sz w:val="12"/>
              </w:rPr>
            </w:pPr>
            <w:r>
              <w:rPr>
                <w:b/>
                <w:w w:val="105"/>
                <w:sz w:val="12"/>
              </w:rPr>
              <w:t>HECANSA</w:t>
            </w:r>
          </w:p>
        </w:tc>
      </w:tr>
      <w:tr>
        <w:trPr>
          <w:trHeight w:val="148" w:hRule="atLeast"/>
        </w:trPr>
        <w:tc>
          <w:tcPr>
            <w:tcW w:w="2205" w:type="dxa"/>
          </w:tcPr>
          <w:p>
            <w:pPr>
              <w:pStyle w:val="TableParagraph"/>
              <w:spacing w:line="127" w:lineRule="exact" w:before="2"/>
              <w:ind w:left="54"/>
              <w:rPr>
                <w:b/>
                <w:sz w:val="12"/>
              </w:rPr>
            </w:pPr>
            <w:r>
              <w:rPr>
                <w:b/>
                <w:w w:val="105"/>
                <w:sz w:val="12"/>
              </w:rPr>
              <w:t>PATRIMONIO NETO</w:t>
            </w:r>
          </w:p>
        </w:tc>
        <w:tc>
          <w:tcPr>
            <w:tcW w:w="843" w:type="dxa"/>
          </w:tcPr>
          <w:p>
            <w:pPr>
              <w:pStyle w:val="TableParagraph"/>
              <w:spacing w:line="127" w:lineRule="exact" w:before="2"/>
              <w:ind w:left="58"/>
              <w:rPr>
                <w:b/>
                <w:sz w:val="12"/>
              </w:rPr>
            </w:pPr>
            <w:r>
              <w:rPr>
                <w:b/>
                <w:w w:val="105"/>
                <w:sz w:val="12"/>
              </w:rPr>
              <w:t>17.067.702,11</w:t>
            </w:r>
          </w:p>
        </w:tc>
        <w:tc>
          <w:tcPr>
            <w:tcW w:w="864" w:type="dxa"/>
          </w:tcPr>
          <w:p>
            <w:pPr>
              <w:pStyle w:val="TableParagraph"/>
              <w:spacing w:line="127" w:lineRule="exact" w:before="2"/>
              <w:ind w:left="80"/>
              <w:rPr>
                <w:b/>
                <w:sz w:val="12"/>
              </w:rPr>
            </w:pPr>
            <w:r>
              <w:rPr>
                <w:b/>
                <w:w w:val="105"/>
                <w:sz w:val="12"/>
              </w:rPr>
              <w:t>16.477.604,84</w:t>
            </w:r>
          </w:p>
        </w:tc>
        <w:tc>
          <w:tcPr>
            <w:tcW w:w="660" w:type="dxa"/>
          </w:tcPr>
          <w:p>
            <w:pPr>
              <w:pStyle w:val="TableParagraph"/>
              <w:spacing w:line="127" w:lineRule="exact" w:before="2"/>
              <w:ind w:right="43"/>
              <w:jc w:val="right"/>
              <w:rPr>
                <w:b/>
                <w:sz w:val="12"/>
              </w:rPr>
            </w:pPr>
            <w:r>
              <w:rPr>
                <w:b/>
                <w:w w:val="105"/>
                <w:sz w:val="12"/>
              </w:rPr>
              <w:t>0,00</w:t>
            </w:r>
          </w:p>
        </w:tc>
        <w:tc>
          <w:tcPr>
            <w:tcW w:w="850" w:type="dxa"/>
          </w:tcPr>
          <w:p>
            <w:pPr>
              <w:pStyle w:val="TableParagraph"/>
              <w:spacing w:line="127" w:lineRule="exact" w:before="2"/>
              <w:ind w:right="41"/>
              <w:jc w:val="right"/>
              <w:rPr>
                <w:b/>
                <w:sz w:val="12"/>
              </w:rPr>
            </w:pPr>
            <w:r>
              <w:rPr>
                <w:b/>
                <w:w w:val="105"/>
                <w:sz w:val="12"/>
              </w:rPr>
              <w:t>5.898.693,89</w:t>
            </w:r>
          </w:p>
        </w:tc>
        <w:tc>
          <w:tcPr>
            <w:tcW w:w="858" w:type="dxa"/>
          </w:tcPr>
          <w:p>
            <w:pPr>
              <w:pStyle w:val="TableParagraph"/>
              <w:spacing w:line="127" w:lineRule="exact" w:before="2"/>
              <w:ind w:right="41"/>
              <w:jc w:val="right"/>
              <w:rPr>
                <w:b/>
                <w:sz w:val="12"/>
              </w:rPr>
            </w:pPr>
            <w:r>
              <w:rPr>
                <w:b/>
                <w:w w:val="105"/>
                <w:sz w:val="12"/>
              </w:rPr>
              <w:t>2.908.113,44</w:t>
            </w:r>
          </w:p>
        </w:tc>
        <w:tc>
          <w:tcPr>
            <w:tcW w:w="889" w:type="dxa"/>
          </w:tcPr>
          <w:p>
            <w:pPr>
              <w:pStyle w:val="TableParagraph"/>
              <w:spacing w:line="127" w:lineRule="exact" w:before="2"/>
              <w:ind w:right="40"/>
              <w:jc w:val="right"/>
              <w:rPr>
                <w:b/>
                <w:sz w:val="12"/>
              </w:rPr>
            </w:pPr>
            <w:r>
              <w:rPr>
                <w:b/>
                <w:w w:val="105"/>
                <w:sz w:val="12"/>
              </w:rPr>
              <w:t>-3.214.941,43</w:t>
            </w:r>
          </w:p>
        </w:tc>
        <w:tc>
          <w:tcPr>
            <w:tcW w:w="883" w:type="dxa"/>
          </w:tcPr>
          <w:p>
            <w:pPr>
              <w:pStyle w:val="TableParagraph"/>
              <w:spacing w:line="127" w:lineRule="exact" w:before="2"/>
              <w:ind w:left="102"/>
              <w:rPr>
                <w:b/>
                <w:sz w:val="12"/>
              </w:rPr>
            </w:pPr>
            <w:r>
              <w:rPr>
                <w:b/>
                <w:w w:val="105"/>
                <w:sz w:val="12"/>
              </w:rPr>
              <w:t>38.095.615,49</w:t>
            </w:r>
          </w:p>
        </w:tc>
        <w:tc>
          <w:tcPr>
            <w:tcW w:w="841" w:type="dxa"/>
          </w:tcPr>
          <w:p>
            <w:pPr>
              <w:pStyle w:val="TableParagraph"/>
              <w:spacing w:line="127" w:lineRule="exact" w:before="2"/>
              <w:ind w:right="39"/>
              <w:jc w:val="right"/>
              <w:rPr>
                <w:b/>
                <w:sz w:val="12"/>
              </w:rPr>
            </w:pPr>
            <w:r>
              <w:rPr>
                <w:b/>
                <w:w w:val="105"/>
                <w:sz w:val="12"/>
              </w:rPr>
              <w:t>2.862.534,08</w:t>
            </w:r>
          </w:p>
        </w:tc>
        <w:tc>
          <w:tcPr>
            <w:tcW w:w="908" w:type="dxa"/>
          </w:tcPr>
          <w:p>
            <w:pPr>
              <w:pStyle w:val="TableParagraph"/>
              <w:spacing w:line="127" w:lineRule="exact" w:before="2"/>
              <w:ind w:right="38"/>
              <w:jc w:val="right"/>
              <w:rPr>
                <w:b/>
                <w:sz w:val="12"/>
              </w:rPr>
            </w:pPr>
            <w:r>
              <w:rPr>
                <w:b/>
                <w:w w:val="105"/>
                <w:sz w:val="12"/>
              </w:rPr>
              <w:t>6.442.135,97</w:t>
            </w:r>
          </w:p>
        </w:tc>
        <w:tc>
          <w:tcPr>
            <w:tcW w:w="852" w:type="dxa"/>
          </w:tcPr>
          <w:p>
            <w:pPr>
              <w:pStyle w:val="TableParagraph"/>
              <w:spacing w:line="127" w:lineRule="exact" w:before="2"/>
              <w:ind w:left="70"/>
              <w:rPr>
                <w:b/>
                <w:sz w:val="12"/>
              </w:rPr>
            </w:pPr>
            <w:r>
              <w:rPr>
                <w:b/>
                <w:w w:val="105"/>
                <w:sz w:val="12"/>
              </w:rPr>
              <w:t>22.658.939,63</w:t>
            </w:r>
          </w:p>
        </w:tc>
        <w:tc>
          <w:tcPr>
            <w:tcW w:w="886" w:type="dxa"/>
          </w:tcPr>
          <w:p>
            <w:pPr>
              <w:pStyle w:val="TableParagraph"/>
              <w:spacing w:line="127" w:lineRule="exact" w:before="2"/>
              <w:ind w:right="37"/>
              <w:jc w:val="right"/>
              <w:rPr>
                <w:b/>
                <w:sz w:val="12"/>
              </w:rPr>
            </w:pPr>
            <w:r>
              <w:rPr>
                <w:b/>
                <w:w w:val="105"/>
                <w:sz w:val="12"/>
              </w:rPr>
              <w:t>26.283.454,00</w:t>
            </w:r>
          </w:p>
        </w:tc>
      </w:tr>
      <w:tr>
        <w:trPr>
          <w:trHeight w:val="150" w:hRule="atLeast"/>
        </w:trPr>
        <w:tc>
          <w:tcPr>
            <w:tcW w:w="2205" w:type="dxa"/>
          </w:tcPr>
          <w:p>
            <w:pPr>
              <w:pStyle w:val="TableParagraph"/>
              <w:spacing w:line="127" w:lineRule="exact" w:before="4"/>
              <w:ind w:left="54"/>
              <w:rPr>
                <w:b/>
                <w:sz w:val="12"/>
              </w:rPr>
            </w:pPr>
            <w:r>
              <w:rPr>
                <w:b/>
                <w:w w:val="105"/>
                <w:sz w:val="12"/>
              </w:rPr>
              <w:t>FONDOS PROPIOS</w:t>
            </w:r>
          </w:p>
        </w:tc>
        <w:tc>
          <w:tcPr>
            <w:tcW w:w="843" w:type="dxa"/>
          </w:tcPr>
          <w:p>
            <w:pPr>
              <w:pStyle w:val="TableParagraph"/>
              <w:spacing w:line="127" w:lineRule="exact" w:before="4"/>
              <w:ind w:right="41"/>
              <w:jc w:val="right"/>
              <w:rPr>
                <w:b/>
                <w:sz w:val="12"/>
              </w:rPr>
            </w:pPr>
            <w:r>
              <w:rPr>
                <w:b/>
                <w:w w:val="105"/>
                <w:sz w:val="12"/>
              </w:rPr>
              <w:t>-690.381,77</w:t>
            </w:r>
          </w:p>
        </w:tc>
        <w:tc>
          <w:tcPr>
            <w:tcW w:w="864" w:type="dxa"/>
          </w:tcPr>
          <w:p>
            <w:pPr>
              <w:pStyle w:val="TableParagraph"/>
              <w:spacing w:line="127" w:lineRule="exact" w:before="4"/>
              <w:ind w:left="107"/>
              <w:rPr>
                <w:b/>
                <w:sz w:val="12"/>
              </w:rPr>
            </w:pPr>
            <w:r>
              <w:rPr>
                <w:b/>
                <w:w w:val="105"/>
                <w:sz w:val="12"/>
              </w:rPr>
              <w:t>-1.084.830,23</w:t>
            </w:r>
          </w:p>
        </w:tc>
        <w:tc>
          <w:tcPr>
            <w:tcW w:w="660" w:type="dxa"/>
          </w:tcPr>
          <w:p>
            <w:pPr>
              <w:pStyle w:val="TableParagraph"/>
              <w:spacing w:line="127" w:lineRule="exact" w:before="4"/>
              <w:ind w:right="43"/>
              <w:jc w:val="right"/>
              <w:rPr>
                <w:b/>
                <w:sz w:val="12"/>
              </w:rPr>
            </w:pPr>
            <w:r>
              <w:rPr>
                <w:b/>
                <w:w w:val="105"/>
                <w:sz w:val="12"/>
              </w:rPr>
              <w:t>0,00</w:t>
            </w:r>
          </w:p>
        </w:tc>
        <w:tc>
          <w:tcPr>
            <w:tcW w:w="850" w:type="dxa"/>
          </w:tcPr>
          <w:p>
            <w:pPr>
              <w:pStyle w:val="TableParagraph"/>
              <w:spacing w:line="127" w:lineRule="exact" w:before="4"/>
              <w:ind w:right="41"/>
              <w:jc w:val="right"/>
              <w:rPr>
                <w:b/>
                <w:sz w:val="12"/>
              </w:rPr>
            </w:pPr>
            <w:r>
              <w:rPr>
                <w:b/>
                <w:w w:val="105"/>
                <w:sz w:val="12"/>
              </w:rPr>
              <w:t>5.898.693,89</w:t>
            </w:r>
          </w:p>
        </w:tc>
        <w:tc>
          <w:tcPr>
            <w:tcW w:w="858" w:type="dxa"/>
          </w:tcPr>
          <w:p>
            <w:pPr>
              <w:pStyle w:val="TableParagraph"/>
              <w:spacing w:line="127" w:lineRule="exact" w:before="4"/>
              <w:ind w:right="40"/>
              <w:jc w:val="right"/>
              <w:rPr>
                <w:b/>
                <w:sz w:val="12"/>
              </w:rPr>
            </w:pPr>
            <w:r>
              <w:rPr>
                <w:b/>
                <w:w w:val="105"/>
                <w:sz w:val="12"/>
              </w:rPr>
              <w:t>-239.986,61</w:t>
            </w:r>
          </w:p>
        </w:tc>
        <w:tc>
          <w:tcPr>
            <w:tcW w:w="889" w:type="dxa"/>
          </w:tcPr>
          <w:p>
            <w:pPr>
              <w:pStyle w:val="TableParagraph"/>
              <w:spacing w:line="127" w:lineRule="exact" w:before="4"/>
              <w:ind w:right="40"/>
              <w:jc w:val="right"/>
              <w:rPr>
                <w:b/>
                <w:sz w:val="12"/>
              </w:rPr>
            </w:pPr>
            <w:r>
              <w:rPr>
                <w:b/>
                <w:w w:val="105"/>
                <w:sz w:val="12"/>
              </w:rPr>
              <w:t>-3.214.941,43</w:t>
            </w:r>
          </w:p>
        </w:tc>
        <w:tc>
          <w:tcPr>
            <w:tcW w:w="883" w:type="dxa"/>
          </w:tcPr>
          <w:p>
            <w:pPr>
              <w:pStyle w:val="TableParagraph"/>
              <w:spacing w:line="127" w:lineRule="exact" w:before="4"/>
              <w:ind w:left="102"/>
              <w:rPr>
                <w:b/>
                <w:sz w:val="12"/>
              </w:rPr>
            </w:pPr>
            <w:r>
              <w:rPr>
                <w:b/>
                <w:w w:val="105"/>
                <w:sz w:val="12"/>
              </w:rPr>
              <w:t>38.093.320,24</w:t>
            </w:r>
          </w:p>
        </w:tc>
        <w:tc>
          <w:tcPr>
            <w:tcW w:w="841" w:type="dxa"/>
          </w:tcPr>
          <w:p>
            <w:pPr>
              <w:pStyle w:val="TableParagraph"/>
              <w:spacing w:line="127" w:lineRule="exact" w:before="4"/>
              <w:ind w:right="39"/>
              <w:jc w:val="right"/>
              <w:rPr>
                <w:b/>
                <w:sz w:val="12"/>
              </w:rPr>
            </w:pPr>
            <w:r>
              <w:rPr>
                <w:b/>
                <w:w w:val="105"/>
                <w:sz w:val="12"/>
              </w:rPr>
              <w:t>2.845.380,96</w:t>
            </w:r>
          </w:p>
        </w:tc>
        <w:tc>
          <w:tcPr>
            <w:tcW w:w="908" w:type="dxa"/>
          </w:tcPr>
          <w:p>
            <w:pPr>
              <w:pStyle w:val="TableParagraph"/>
              <w:spacing w:line="127" w:lineRule="exact" w:before="4"/>
              <w:ind w:right="38"/>
              <w:jc w:val="right"/>
              <w:rPr>
                <w:b/>
                <w:sz w:val="12"/>
              </w:rPr>
            </w:pPr>
            <w:r>
              <w:rPr>
                <w:b/>
                <w:w w:val="105"/>
                <w:sz w:val="12"/>
              </w:rPr>
              <w:t>4.014.336,82</w:t>
            </w:r>
          </w:p>
        </w:tc>
        <w:tc>
          <w:tcPr>
            <w:tcW w:w="852" w:type="dxa"/>
          </w:tcPr>
          <w:p>
            <w:pPr>
              <w:pStyle w:val="TableParagraph"/>
              <w:spacing w:line="127" w:lineRule="exact" w:before="4"/>
              <w:ind w:left="70"/>
              <w:rPr>
                <w:b/>
                <w:sz w:val="12"/>
              </w:rPr>
            </w:pPr>
            <w:r>
              <w:rPr>
                <w:b/>
                <w:w w:val="105"/>
                <w:sz w:val="12"/>
              </w:rPr>
              <w:t>22.658.939,63</w:t>
            </w:r>
          </w:p>
        </w:tc>
        <w:tc>
          <w:tcPr>
            <w:tcW w:w="886" w:type="dxa"/>
          </w:tcPr>
          <w:p>
            <w:pPr>
              <w:pStyle w:val="TableParagraph"/>
              <w:spacing w:line="127" w:lineRule="exact" w:before="4"/>
              <w:ind w:right="38"/>
              <w:jc w:val="right"/>
              <w:rPr>
                <w:b/>
                <w:sz w:val="12"/>
              </w:rPr>
            </w:pPr>
            <w:r>
              <w:rPr>
                <w:b/>
                <w:w w:val="105"/>
                <w:sz w:val="12"/>
              </w:rPr>
              <w:t>6.270.600,00</w:t>
            </w:r>
          </w:p>
        </w:tc>
      </w:tr>
      <w:tr>
        <w:trPr>
          <w:trHeight w:val="148" w:hRule="atLeast"/>
        </w:trPr>
        <w:tc>
          <w:tcPr>
            <w:tcW w:w="2205" w:type="dxa"/>
          </w:tcPr>
          <w:p>
            <w:pPr>
              <w:pStyle w:val="TableParagraph"/>
              <w:spacing w:line="127" w:lineRule="exact" w:before="2"/>
              <w:ind w:left="54"/>
              <w:rPr>
                <w:sz w:val="12"/>
              </w:rPr>
            </w:pPr>
            <w:r>
              <w:rPr>
                <w:w w:val="105"/>
                <w:sz w:val="12"/>
              </w:rPr>
              <w:t>Capital o Patrimonio</w:t>
            </w:r>
          </w:p>
        </w:tc>
        <w:tc>
          <w:tcPr>
            <w:tcW w:w="843" w:type="dxa"/>
          </w:tcPr>
          <w:p>
            <w:pPr>
              <w:pStyle w:val="TableParagraph"/>
              <w:spacing w:line="127" w:lineRule="exact" w:before="2"/>
              <w:ind w:right="41"/>
              <w:jc w:val="right"/>
              <w:rPr>
                <w:sz w:val="12"/>
              </w:rPr>
            </w:pPr>
            <w:r>
              <w:rPr>
                <w:w w:val="105"/>
                <w:sz w:val="12"/>
              </w:rPr>
              <w:t>4.228.120,15</w:t>
            </w:r>
          </w:p>
        </w:tc>
        <w:tc>
          <w:tcPr>
            <w:tcW w:w="864" w:type="dxa"/>
          </w:tcPr>
          <w:p>
            <w:pPr>
              <w:pStyle w:val="TableParagraph"/>
              <w:spacing w:line="127" w:lineRule="exact" w:before="2"/>
              <w:ind w:left="150"/>
              <w:rPr>
                <w:sz w:val="12"/>
              </w:rPr>
            </w:pPr>
            <w:r>
              <w:rPr>
                <w:w w:val="105"/>
                <w:sz w:val="12"/>
              </w:rPr>
              <w:t>3.606.072,63</w:t>
            </w:r>
          </w:p>
        </w:tc>
        <w:tc>
          <w:tcPr>
            <w:tcW w:w="660" w:type="dxa"/>
          </w:tcPr>
          <w:p>
            <w:pPr>
              <w:pStyle w:val="TableParagraph"/>
              <w:rPr>
                <w:rFonts w:ascii="Times New Roman"/>
                <w:sz w:val="8"/>
              </w:rPr>
            </w:pPr>
          </w:p>
        </w:tc>
        <w:tc>
          <w:tcPr>
            <w:tcW w:w="850" w:type="dxa"/>
          </w:tcPr>
          <w:p>
            <w:pPr>
              <w:pStyle w:val="TableParagraph"/>
              <w:spacing w:line="127" w:lineRule="exact" w:before="2"/>
              <w:ind w:right="41"/>
              <w:jc w:val="right"/>
              <w:rPr>
                <w:sz w:val="12"/>
              </w:rPr>
            </w:pPr>
            <w:r>
              <w:rPr>
                <w:w w:val="105"/>
                <w:sz w:val="12"/>
              </w:rPr>
              <w:t>1.102.252,34</w:t>
            </w:r>
          </w:p>
        </w:tc>
        <w:tc>
          <w:tcPr>
            <w:tcW w:w="858" w:type="dxa"/>
          </w:tcPr>
          <w:p>
            <w:pPr>
              <w:pStyle w:val="TableParagraph"/>
              <w:spacing w:line="127" w:lineRule="exact" w:before="2"/>
              <w:ind w:right="41"/>
              <w:jc w:val="right"/>
              <w:rPr>
                <w:sz w:val="12"/>
              </w:rPr>
            </w:pPr>
            <w:r>
              <w:rPr>
                <w:w w:val="105"/>
                <w:sz w:val="12"/>
              </w:rPr>
              <w:t>474.360,81</w:t>
            </w:r>
          </w:p>
        </w:tc>
        <w:tc>
          <w:tcPr>
            <w:tcW w:w="889" w:type="dxa"/>
          </w:tcPr>
          <w:p>
            <w:pPr>
              <w:pStyle w:val="TableParagraph"/>
              <w:spacing w:line="127" w:lineRule="exact" w:before="2"/>
              <w:ind w:right="40"/>
              <w:jc w:val="right"/>
              <w:rPr>
                <w:sz w:val="12"/>
              </w:rPr>
            </w:pPr>
            <w:r>
              <w:rPr>
                <w:w w:val="105"/>
                <w:sz w:val="12"/>
              </w:rPr>
              <w:t>3.182.359,09</w:t>
            </w:r>
          </w:p>
        </w:tc>
        <w:tc>
          <w:tcPr>
            <w:tcW w:w="883" w:type="dxa"/>
          </w:tcPr>
          <w:p>
            <w:pPr>
              <w:pStyle w:val="TableParagraph"/>
              <w:spacing w:line="127" w:lineRule="exact" w:before="2"/>
              <w:ind w:right="37"/>
              <w:jc w:val="right"/>
              <w:rPr>
                <w:sz w:val="12"/>
              </w:rPr>
            </w:pPr>
            <w:r>
              <w:rPr>
                <w:w w:val="105"/>
                <w:sz w:val="12"/>
              </w:rPr>
              <w:t>5.412.114,00</w:t>
            </w:r>
          </w:p>
        </w:tc>
        <w:tc>
          <w:tcPr>
            <w:tcW w:w="841" w:type="dxa"/>
          </w:tcPr>
          <w:p>
            <w:pPr>
              <w:pStyle w:val="TableParagraph"/>
              <w:spacing w:line="127" w:lineRule="exact" w:before="2"/>
              <w:ind w:right="39"/>
              <w:jc w:val="right"/>
              <w:rPr>
                <w:sz w:val="12"/>
              </w:rPr>
            </w:pPr>
            <w:r>
              <w:rPr>
                <w:w w:val="105"/>
                <w:sz w:val="12"/>
              </w:rPr>
              <w:t>3.143.883,31</w:t>
            </w:r>
          </w:p>
        </w:tc>
        <w:tc>
          <w:tcPr>
            <w:tcW w:w="908" w:type="dxa"/>
          </w:tcPr>
          <w:p>
            <w:pPr>
              <w:pStyle w:val="TableParagraph"/>
              <w:spacing w:line="127" w:lineRule="exact" w:before="2"/>
              <w:ind w:right="38"/>
              <w:jc w:val="right"/>
              <w:rPr>
                <w:sz w:val="12"/>
              </w:rPr>
            </w:pPr>
            <w:r>
              <w:rPr>
                <w:w w:val="105"/>
                <w:sz w:val="12"/>
              </w:rPr>
              <w:t>1.299.537,36</w:t>
            </w:r>
          </w:p>
        </w:tc>
        <w:tc>
          <w:tcPr>
            <w:tcW w:w="852" w:type="dxa"/>
          </w:tcPr>
          <w:p>
            <w:pPr>
              <w:pStyle w:val="TableParagraph"/>
              <w:spacing w:line="127" w:lineRule="exact" w:before="2"/>
              <w:ind w:right="38"/>
              <w:jc w:val="right"/>
              <w:rPr>
                <w:sz w:val="12"/>
              </w:rPr>
            </w:pPr>
            <w:r>
              <w:rPr>
                <w:w w:val="105"/>
                <w:sz w:val="12"/>
              </w:rPr>
              <w:t>782.515,02</w:t>
            </w:r>
          </w:p>
        </w:tc>
        <w:tc>
          <w:tcPr>
            <w:tcW w:w="886" w:type="dxa"/>
          </w:tcPr>
          <w:p>
            <w:pPr>
              <w:pStyle w:val="TableParagraph"/>
              <w:spacing w:line="127" w:lineRule="exact" w:before="2"/>
              <w:ind w:right="38"/>
              <w:jc w:val="right"/>
              <w:rPr>
                <w:sz w:val="12"/>
              </w:rPr>
            </w:pPr>
            <w:r>
              <w:rPr>
                <w:w w:val="105"/>
                <w:sz w:val="12"/>
              </w:rPr>
              <w:t>6.935.678,00</w:t>
            </w:r>
          </w:p>
        </w:tc>
      </w:tr>
      <w:tr>
        <w:trPr>
          <w:trHeight w:val="150" w:hRule="atLeast"/>
        </w:trPr>
        <w:tc>
          <w:tcPr>
            <w:tcW w:w="2205" w:type="dxa"/>
          </w:tcPr>
          <w:p>
            <w:pPr>
              <w:pStyle w:val="TableParagraph"/>
              <w:spacing w:line="127" w:lineRule="exact" w:before="4"/>
              <w:ind w:left="54"/>
              <w:rPr>
                <w:sz w:val="12"/>
              </w:rPr>
            </w:pPr>
            <w:r>
              <w:rPr>
                <w:w w:val="105"/>
                <w:sz w:val="12"/>
              </w:rPr>
              <w:t>Prima de emisión</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spacing w:line="127" w:lineRule="exact" w:before="4"/>
              <w:ind w:right="37"/>
              <w:jc w:val="right"/>
              <w:rPr>
                <w:sz w:val="12"/>
              </w:rPr>
            </w:pPr>
            <w:r>
              <w:rPr>
                <w:w w:val="105"/>
                <w:sz w:val="12"/>
              </w:rPr>
              <w:t>2.043.096,08</w:t>
            </w: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50" w:hRule="atLeast"/>
        </w:trPr>
        <w:tc>
          <w:tcPr>
            <w:tcW w:w="2205" w:type="dxa"/>
          </w:tcPr>
          <w:p>
            <w:pPr>
              <w:pStyle w:val="TableParagraph"/>
              <w:spacing w:line="128" w:lineRule="exact" w:before="2"/>
              <w:ind w:left="54"/>
              <w:rPr>
                <w:sz w:val="12"/>
              </w:rPr>
            </w:pPr>
            <w:r>
              <w:rPr>
                <w:w w:val="105"/>
                <w:sz w:val="12"/>
              </w:rPr>
              <w:t>Reservas</w:t>
            </w:r>
          </w:p>
        </w:tc>
        <w:tc>
          <w:tcPr>
            <w:tcW w:w="843" w:type="dxa"/>
          </w:tcPr>
          <w:p>
            <w:pPr>
              <w:pStyle w:val="TableParagraph"/>
              <w:spacing w:line="128" w:lineRule="exact" w:before="2"/>
              <w:ind w:right="43"/>
              <w:jc w:val="right"/>
              <w:rPr>
                <w:sz w:val="12"/>
              </w:rPr>
            </w:pPr>
            <w:r>
              <w:rPr>
                <w:w w:val="105"/>
                <w:sz w:val="12"/>
              </w:rPr>
              <w:t>98.459,35</w:t>
            </w:r>
          </w:p>
        </w:tc>
        <w:tc>
          <w:tcPr>
            <w:tcW w:w="864" w:type="dxa"/>
          </w:tcPr>
          <w:p>
            <w:pPr>
              <w:pStyle w:val="TableParagraph"/>
              <w:spacing w:line="128" w:lineRule="exact" w:before="2"/>
              <w:ind w:right="40"/>
              <w:jc w:val="right"/>
              <w:rPr>
                <w:sz w:val="12"/>
              </w:rPr>
            </w:pPr>
            <w:r>
              <w:rPr>
                <w:w w:val="105"/>
                <w:sz w:val="12"/>
              </w:rPr>
              <w:t>976.697,19</w:t>
            </w:r>
          </w:p>
        </w:tc>
        <w:tc>
          <w:tcPr>
            <w:tcW w:w="660" w:type="dxa"/>
          </w:tcPr>
          <w:p>
            <w:pPr>
              <w:pStyle w:val="TableParagraph"/>
              <w:rPr>
                <w:rFonts w:ascii="Times New Roman"/>
                <w:sz w:val="8"/>
              </w:rPr>
            </w:pPr>
          </w:p>
        </w:tc>
        <w:tc>
          <w:tcPr>
            <w:tcW w:w="850" w:type="dxa"/>
          </w:tcPr>
          <w:p>
            <w:pPr>
              <w:pStyle w:val="TableParagraph"/>
              <w:spacing w:line="128" w:lineRule="exact" w:before="2"/>
              <w:ind w:right="41"/>
              <w:jc w:val="right"/>
              <w:rPr>
                <w:sz w:val="12"/>
              </w:rPr>
            </w:pPr>
            <w:r>
              <w:rPr>
                <w:w w:val="105"/>
                <w:sz w:val="12"/>
              </w:rPr>
              <w:t>2.790.024,14</w:t>
            </w:r>
          </w:p>
        </w:tc>
        <w:tc>
          <w:tcPr>
            <w:tcW w:w="858" w:type="dxa"/>
          </w:tcPr>
          <w:p>
            <w:pPr>
              <w:pStyle w:val="TableParagraph"/>
              <w:spacing w:line="128" w:lineRule="exact" w:before="2"/>
              <w:ind w:right="41"/>
              <w:jc w:val="right"/>
              <w:rPr>
                <w:sz w:val="12"/>
              </w:rPr>
            </w:pPr>
            <w:r>
              <w:rPr>
                <w:w w:val="105"/>
                <w:sz w:val="12"/>
              </w:rPr>
              <w:t>52.742,21</w:t>
            </w:r>
          </w:p>
        </w:tc>
        <w:tc>
          <w:tcPr>
            <w:tcW w:w="889" w:type="dxa"/>
          </w:tcPr>
          <w:p>
            <w:pPr>
              <w:pStyle w:val="TableParagraph"/>
              <w:spacing w:line="128" w:lineRule="exact" w:before="2"/>
              <w:ind w:right="40"/>
              <w:jc w:val="right"/>
              <w:rPr>
                <w:sz w:val="12"/>
              </w:rPr>
            </w:pPr>
            <w:r>
              <w:rPr>
                <w:w w:val="105"/>
                <w:sz w:val="12"/>
              </w:rPr>
              <w:t>15.357.373,10</w:t>
            </w:r>
          </w:p>
        </w:tc>
        <w:tc>
          <w:tcPr>
            <w:tcW w:w="883" w:type="dxa"/>
          </w:tcPr>
          <w:p>
            <w:pPr>
              <w:pStyle w:val="TableParagraph"/>
              <w:spacing w:line="128" w:lineRule="exact" w:before="2"/>
              <w:ind w:left="108"/>
              <w:rPr>
                <w:sz w:val="12"/>
              </w:rPr>
            </w:pPr>
            <w:r>
              <w:rPr>
                <w:w w:val="105"/>
                <w:sz w:val="12"/>
              </w:rPr>
              <w:t>49.121.853,96</w:t>
            </w:r>
          </w:p>
        </w:tc>
        <w:tc>
          <w:tcPr>
            <w:tcW w:w="841" w:type="dxa"/>
          </w:tcPr>
          <w:p>
            <w:pPr>
              <w:pStyle w:val="TableParagraph"/>
              <w:spacing w:line="128" w:lineRule="exact" w:before="2"/>
              <w:ind w:right="39"/>
              <w:jc w:val="right"/>
              <w:rPr>
                <w:sz w:val="12"/>
              </w:rPr>
            </w:pPr>
            <w:r>
              <w:rPr>
                <w:w w:val="105"/>
                <w:sz w:val="12"/>
              </w:rPr>
              <w:t>73.000,00</w:t>
            </w:r>
          </w:p>
        </w:tc>
        <w:tc>
          <w:tcPr>
            <w:tcW w:w="908" w:type="dxa"/>
          </w:tcPr>
          <w:p>
            <w:pPr>
              <w:pStyle w:val="TableParagraph"/>
              <w:spacing w:line="128" w:lineRule="exact" w:before="2"/>
              <w:ind w:right="38"/>
              <w:jc w:val="right"/>
              <w:rPr>
                <w:sz w:val="12"/>
              </w:rPr>
            </w:pPr>
            <w:r>
              <w:rPr>
                <w:w w:val="105"/>
                <w:sz w:val="12"/>
              </w:rPr>
              <w:t>2.562.505,76</w:t>
            </w:r>
          </w:p>
        </w:tc>
        <w:tc>
          <w:tcPr>
            <w:tcW w:w="852" w:type="dxa"/>
          </w:tcPr>
          <w:p>
            <w:pPr>
              <w:pStyle w:val="TableParagraph"/>
              <w:spacing w:line="128" w:lineRule="exact" w:before="2"/>
              <w:ind w:left="76"/>
              <w:rPr>
                <w:sz w:val="12"/>
              </w:rPr>
            </w:pPr>
            <w:r>
              <w:rPr>
                <w:w w:val="105"/>
                <w:sz w:val="12"/>
              </w:rPr>
              <w:t>25.126.938,79</w:t>
            </w:r>
          </w:p>
        </w:tc>
        <w:tc>
          <w:tcPr>
            <w:tcW w:w="886" w:type="dxa"/>
          </w:tcPr>
          <w:p>
            <w:pPr>
              <w:pStyle w:val="TableParagraph"/>
              <w:spacing w:line="128" w:lineRule="exact" w:before="2"/>
              <w:ind w:right="38"/>
              <w:jc w:val="right"/>
              <w:rPr>
                <w:sz w:val="12"/>
              </w:rPr>
            </w:pPr>
            <w:r>
              <w:rPr>
                <w:w w:val="105"/>
                <w:sz w:val="12"/>
              </w:rPr>
              <w:t>1.671,00</w:t>
            </w:r>
          </w:p>
        </w:tc>
      </w:tr>
      <w:tr>
        <w:trPr>
          <w:trHeight w:val="148" w:hRule="atLeast"/>
        </w:trPr>
        <w:tc>
          <w:tcPr>
            <w:tcW w:w="2205" w:type="dxa"/>
          </w:tcPr>
          <w:p>
            <w:pPr>
              <w:pStyle w:val="TableParagraph"/>
              <w:spacing w:line="127" w:lineRule="exact" w:before="2"/>
              <w:ind w:left="54"/>
              <w:rPr>
                <w:sz w:val="12"/>
              </w:rPr>
            </w:pPr>
            <w:r>
              <w:rPr>
                <w:w w:val="105"/>
                <w:sz w:val="12"/>
              </w:rPr>
              <w:t>(Acc. y particip. en patr. propias)</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spacing w:line="127" w:lineRule="exact" w:before="2"/>
              <w:ind w:right="37"/>
              <w:jc w:val="right"/>
              <w:rPr>
                <w:sz w:val="12"/>
              </w:rPr>
            </w:pPr>
            <w:r>
              <w:rPr>
                <w:w w:val="105"/>
                <w:sz w:val="12"/>
              </w:rPr>
              <w:t>-1.854.991,61</w:t>
            </w: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50" w:hRule="atLeast"/>
        </w:trPr>
        <w:tc>
          <w:tcPr>
            <w:tcW w:w="2205" w:type="dxa"/>
          </w:tcPr>
          <w:p>
            <w:pPr>
              <w:pStyle w:val="TableParagraph"/>
              <w:spacing w:line="128" w:lineRule="exact" w:before="2"/>
              <w:ind w:left="54"/>
              <w:rPr>
                <w:sz w:val="12"/>
              </w:rPr>
            </w:pPr>
            <w:r>
              <w:rPr>
                <w:w w:val="105"/>
                <w:sz w:val="12"/>
              </w:rPr>
              <w:t>Resultados de ejercicios anteriores</w:t>
            </w:r>
          </w:p>
        </w:tc>
        <w:tc>
          <w:tcPr>
            <w:tcW w:w="843" w:type="dxa"/>
          </w:tcPr>
          <w:p>
            <w:pPr>
              <w:pStyle w:val="TableParagraph"/>
              <w:spacing w:line="128" w:lineRule="exact" w:before="2"/>
              <w:ind w:left="88"/>
              <w:rPr>
                <w:sz w:val="12"/>
              </w:rPr>
            </w:pPr>
            <w:r>
              <w:rPr>
                <w:w w:val="105"/>
                <w:sz w:val="12"/>
              </w:rPr>
              <w:t>-5.012.087,99</w:t>
            </w:r>
          </w:p>
        </w:tc>
        <w:tc>
          <w:tcPr>
            <w:tcW w:w="864" w:type="dxa"/>
          </w:tcPr>
          <w:p>
            <w:pPr>
              <w:pStyle w:val="TableParagraph"/>
              <w:spacing w:line="128" w:lineRule="exact" w:before="2"/>
              <w:ind w:left="110"/>
              <w:rPr>
                <w:sz w:val="12"/>
              </w:rPr>
            </w:pPr>
            <w:r>
              <w:rPr>
                <w:w w:val="105"/>
                <w:sz w:val="12"/>
              </w:rPr>
              <w:t>-5.663.711,22</w:t>
            </w:r>
          </w:p>
        </w:tc>
        <w:tc>
          <w:tcPr>
            <w:tcW w:w="660" w:type="dxa"/>
          </w:tcPr>
          <w:p>
            <w:pPr>
              <w:pStyle w:val="TableParagraph"/>
              <w:rPr>
                <w:rFonts w:ascii="Times New Roman"/>
                <w:sz w:val="8"/>
              </w:rPr>
            </w:pPr>
          </w:p>
        </w:tc>
        <w:tc>
          <w:tcPr>
            <w:tcW w:w="850" w:type="dxa"/>
          </w:tcPr>
          <w:p>
            <w:pPr>
              <w:pStyle w:val="TableParagraph"/>
              <w:spacing w:line="128" w:lineRule="exact" w:before="2"/>
              <w:ind w:right="41"/>
              <w:jc w:val="right"/>
              <w:rPr>
                <w:sz w:val="12"/>
              </w:rPr>
            </w:pPr>
            <w:r>
              <w:rPr>
                <w:w w:val="105"/>
                <w:sz w:val="12"/>
              </w:rPr>
              <w:t>-149.214,26</w:t>
            </w:r>
          </w:p>
        </w:tc>
        <w:tc>
          <w:tcPr>
            <w:tcW w:w="858" w:type="dxa"/>
          </w:tcPr>
          <w:p>
            <w:pPr>
              <w:pStyle w:val="TableParagraph"/>
              <w:spacing w:line="128" w:lineRule="exact" w:before="2"/>
              <w:ind w:left="55"/>
              <w:rPr>
                <w:sz w:val="12"/>
              </w:rPr>
            </w:pPr>
            <w:r>
              <w:rPr>
                <w:w w:val="105"/>
                <w:sz w:val="12"/>
              </w:rPr>
              <w:t>-0,02</w:t>
            </w:r>
          </w:p>
        </w:tc>
        <w:tc>
          <w:tcPr>
            <w:tcW w:w="889" w:type="dxa"/>
          </w:tcPr>
          <w:p>
            <w:pPr>
              <w:pStyle w:val="TableParagraph"/>
              <w:spacing w:line="128" w:lineRule="exact" w:before="2"/>
              <w:ind w:right="40"/>
              <w:jc w:val="right"/>
              <w:rPr>
                <w:sz w:val="12"/>
              </w:rPr>
            </w:pPr>
            <w:r>
              <w:rPr>
                <w:w w:val="105"/>
                <w:sz w:val="12"/>
              </w:rPr>
              <w:t>-21.129.954,64</w:t>
            </w:r>
          </w:p>
        </w:tc>
        <w:tc>
          <w:tcPr>
            <w:tcW w:w="883" w:type="dxa"/>
          </w:tcPr>
          <w:p>
            <w:pPr>
              <w:pStyle w:val="TableParagraph"/>
              <w:spacing w:line="128" w:lineRule="exact" w:before="2"/>
              <w:ind w:left="68"/>
              <w:rPr>
                <w:sz w:val="12"/>
              </w:rPr>
            </w:pPr>
            <w:r>
              <w:rPr>
                <w:w w:val="105"/>
                <w:sz w:val="12"/>
              </w:rPr>
              <w:t>-17.461.090,79</w:t>
            </w: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spacing w:line="128" w:lineRule="exact" w:before="2"/>
              <w:ind w:left="100"/>
              <w:rPr>
                <w:sz w:val="12"/>
              </w:rPr>
            </w:pPr>
            <w:r>
              <w:rPr>
                <w:w w:val="105"/>
                <w:sz w:val="12"/>
              </w:rPr>
              <w:t>-2.944.446,71</w:t>
            </w:r>
          </w:p>
        </w:tc>
        <w:tc>
          <w:tcPr>
            <w:tcW w:w="886" w:type="dxa"/>
          </w:tcPr>
          <w:p>
            <w:pPr>
              <w:pStyle w:val="TableParagraph"/>
              <w:spacing w:line="128" w:lineRule="exact" w:before="2"/>
              <w:ind w:right="38"/>
              <w:jc w:val="right"/>
              <w:rPr>
                <w:sz w:val="12"/>
              </w:rPr>
            </w:pPr>
            <w:r>
              <w:rPr>
                <w:w w:val="105"/>
                <w:sz w:val="12"/>
              </w:rPr>
              <w:t>-681.799,00</w:t>
            </w:r>
          </w:p>
        </w:tc>
      </w:tr>
      <w:tr>
        <w:trPr>
          <w:trHeight w:val="148" w:hRule="atLeast"/>
        </w:trPr>
        <w:tc>
          <w:tcPr>
            <w:tcW w:w="2205" w:type="dxa"/>
          </w:tcPr>
          <w:p>
            <w:pPr>
              <w:pStyle w:val="TableParagraph"/>
              <w:spacing w:line="127" w:lineRule="exact" w:before="2"/>
              <w:ind w:left="54"/>
              <w:rPr>
                <w:sz w:val="12"/>
              </w:rPr>
            </w:pPr>
            <w:r>
              <w:rPr>
                <w:w w:val="105"/>
                <w:sz w:val="12"/>
              </w:rPr>
              <w:t>Otras aportaciones de socios</w:t>
            </w:r>
          </w:p>
        </w:tc>
        <w:tc>
          <w:tcPr>
            <w:tcW w:w="843" w:type="dxa"/>
          </w:tcPr>
          <w:p>
            <w:pPr>
              <w:pStyle w:val="TableParagraph"/>
              <w:spacing w:line="127" w:lineRule="exact" w:before="2"/>
              <w:ind w:right="42"/>
              <w:jc w:val="right"/>
              <w:rPr>
                <w:sz w:val="12"/>
              </w:rPr>
            </w:pPr>
            <w:r>
              <w:rPr>
                <w:w w:val="105"/>
                <w:sz w:val="12"/>
              </w:rPr>
              <w:t>419.176,10</w:t>
            </w:r>
          </w:p>
        </w:tc>
        <w:tc>
          <w:tcPr>
            <w:tcW w:w="864" w:type="dxa"/>
          </w:tcPr>
          <w:p>
            <w:pPr>
              <w:pStyle w:val="TableParagraph"/>
              <w:spacing w:line="127" w:lineRule="exact" w:before="2"/>
              <w:ind w:right="40"/>
              <w:jc w:val="right"/>
              <w:rPr>
                <w:sz w:val="12"/>
              </w:rPr>
            </w:pPr>
            <w:r>
              <w:rPr>
                <w:w w:val="105"/>
                <w:sz w:val="12"/>
              </w:rPr>
              <w:t>154.596,84</w:t>
            </w: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spacing w:line="127" w:lineRule="exact" w:before="2"/>
              <w:ind w:right="39"/>
              <w:jc w:val="right"/>
              <w:rPr>
                <w:sz w:val="12"/>
              </w:rPr>
            </w:pPr>
            <w:r>
              <w:rPr>
                <w:w w:val="105"/>
                <w:sz w:val="12"/>
              </w:rPr>
              <w:t>4.851.375,00</w:t>
            </w: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spacing w:line="127" w:lineRule="exact" w:before="2"/>
              <w:ind w:right="38"/>
              <w:jc w:val="right"/>
              <w:rPr>
                <w:sz w:val="12"/>
              </w:rPr>
            </w:pPr>
            <w:r>
              <w:rPr>
                <w:w w:val="105"/>
                <w:sz w:val="12"/>
              </w:rPr>
              <w:t>3.455.327,00</w:t>
            </w:r>
          </w:p>
        </w:tc>
      </w:tr>
      <w:tr>
        <w:trPr>
          <w:trHeight w:val="150" w:hRule="atLeast"/>
        </w:trPr>
        <w:tc>
          <w:tcPr>
            <w:tcW w:w="2205" w:type="dxa"/>
          </w:tcPr>
          <w:p>
            <w:pPr>
              <w:pStyle w:val="TableParagraph"/>
              <w:spacing w:line="128" w:lineRule="exact" w:before="2"/>
              <w:ind w:left="54"/>
              <w:rPr>
                <w:sz w:val="12"/>
              </w:rPr>
            </w:pPr>
            <w:r>
              <w:rPr>
                <w:w w:val="105"/>
                <w:sz w:val="12"/>
              </w:rPr>
              <w:t>Resultado del ejercicio</w:t>
            </w:r>
          </w:p>
        </w:tc>
        <w:tc>
          <w:tcPr>
            <w:tcW w:w="843" w:type="dxa"/>
          </w:tcPr>
          <w:p>
            <w:pPr>
              <w:pStyle w:val="TableParagraph"/>
              <w:spacing w:line="128" w:lineRule="exact" w:before="2"/>
              <w:ind w:right="41"/>
              <w:jc w:val="right"/>
              <w:rPr>
                <w:sz w:val="12"/>
              </w:rPr>
            </w:pPr>
            <w:r>
              <w:rPr>
                <w:w w:val="105"/>
                <w:sz w:val="12"/>
              </w:rPr>
              <w:t>-424.049,38</w:t>
            </w:r>
          </w:p>
        </w:tc>
        <w:tc>
          <w:tcPr>
            <w:tcW w:w="864" w:type="dxa"/>
          </w:tcPr>
          <w:p>
            <w:pPr>
              <w:pStyle w:val="TableParagraph"/>
              <w:spacing w:line="128" w:lineRule="exact" w:before="2"/>
              <w:ind w:right="40"/>
              <w:jc w:val="right"/>
              <w:rPr>
                <w:sz w:val="12"/>
              </w:rPr>
            </w:pPr>
            <w:r>
              <w:rPr>
                <w:w w:val="105"/>
                <w:sz w:val="12"/>
              </w:rPr>
              <w:t>-158.485,67</w:t>
            </w:r>
          </w:p>
        </w:tc>
        <w:tc>
          <w:tcPr>
            <w:tcW w:w="660" w:type="dxa"/>
          </w:tcPr>
          <w:p>
            <w:pPr>
              <w:pStyle w:val="TableParagraph"/>
              <w:rPr>
                <w:rFonts w:ascii="Times New Roman"/>
                <w:sz w:val="8"/>
              </w:rPr>
            </w:pPr>
          </w:p>
        </w:tc>
        <w:tc>
          <w:tcPr>
            <w:tcW w:w="850" w:type="dxa"/>
          </w:tcPr>
          <w:p>
            <w:pPr>
              <w:pStyle w:val="TableParagraph"/>
              <w:spacing w:line="128" w:lineRule="exact" w:before="2"/>
              <w:ind w:right="41"/>
              <w:jc w:val="right"/>
              <w:rPr>
                <w:sz w:val="12"/>
              </w:rPr>
            </w:pPr>
            <w:r>
              <w:rPr>
                <w:w w:val="105"/>
                <w:sz w:val="12"/>
              </w:rPr>
              <w:t>2.155.631,67</w:t>
            </w:r>
          </w:p>
        </w:tc>
        <w:tc>
          <w:tcPr>
            <w:tcW w:w="858" w:type="dxa"/>
          </w:tcPr>
          <w:p>
            <w:pPr>
              <w:pStyle w:val="TableParagraph"/>
              <w:spacing w:line="128" w:lineRule="exact" w:before="2"/>
              <w:ind w:right="41"/>
              <w:jc w:val="right"/>
              <w:rPr>
                <w:sz w:val="12"/>
              </w:rPr>
            </w:pPr>
            <w:r>
              <w:rPr>
                <w:w w:val="105"/>
                <w:sz w:val="12"/>
              </w:rPr>
              <w:t>-767.089,61</w:t>
            </w:r>
          </w:p>
        </w:tc>
        <w:tc>
          <w:tcPr>
            <w:tcW w:w="889" w:type="dxa"/>
          </w:tcPr>
          <w:p>
            <w:pPr>
              <w:pStyle w:val="TableParagraph"/>
              <w:spacing w:line="128" w:lineRule="exact" w:before="2"/>
              <w:ind w:right="40"/>
              <w:jc w:val="right"/>
              <w:rPr>
                <w:sz w:val="12"/>
              </w:rPr>
            </w:pPr>
            <w:r>
              <w:rPr>
                <w:w w:val="105"/>
                <w:sz w:val="12"/>
              </w:rPr>
              <w:t>-624.718,98</w:t>
            </w:r>
          </w:p>
        </w:tc>
        <w:tc>
          <w:tcPr>
            <w:tcW w:w="883" w:type="dxa"/>
          </w:tcPr>
          <w:p>
            <w:pPr>
              <w:pStyle w:val="TableParagraph"/>
              <w:spacing w:line="128" w:lineRule="exact" w:before="2"/>
              <w:ind w:right="37"/>
              <w:jc w:val="right"/>
              <w:rPr>
                <w:sz w:val="12"/>
              </w:rPr>
            </w:pPr>
            <w:r>
              <w:rPr>
                <w:w w:val="105"/>
                <w:sz w:val="12"/>
              </w:rPr>
              <w:t>832.338,60</w:t>
            </w:r>
          </w:p>
        </w:tc>
        <w:tc>
          <w:tcPr>
            <w:tcW w:w="841" w:type="dxa"/>
          </w:tcPr>
          <w:p>
            <w:pPr>
              <w:pStyle w:val="TableParagraph"/>
              <w:spacing w:line="128" w:lineRule="exact" w:before="2"/>
              <w:ind w:right="39"/>
              <w:jc w:val="right"/>
              <w:rPr>
                <w:sz w:val="12"/>
              </w:rPr>
            </w:pPr>
            <w:r>
              <w:rPr>
                <w:w w:val="105"/>
                <w:sz w:val="12"/>
              </w:rPr>
              <w:t>-5.222.877,35</w:t>
            </w:r>
          </w:p>
        </w:tc>
        <w:tc>
          <w:tcPr>
            <w:tcW w:w="908" w:type="dxa"/>
          </w:tcPr>
          <w:p>
            <w:pPr>
              <w:pStyle w:val="TableParagraph"/>
              <w:spacing w:line="128" w:lineRule="exact" w:before="2"/>
              <w:ind w:right="38"/>
              <w:jc w:val="right"/>
              <w:rPr>
                <w:sz w:val="12"/>
              </w:rPr>
            </w:pPr>
            <w:r>
              <w:rPr>
                <w:w w:val="105"/>
                <w:sz w:val="12"/>
              </w:rPr>
              <w:t>152.293,70</w:t>
            </w:r>
          </w:p>
        </w:tc>
        <w:tc>
          <w:tcPr>
            <w:tcW w:w="852" w:type="dxa"/>
          </w:tcPr>
          <w:p>
            <w:pPr>
              <w:pStyle w:val="TableParagraph"/>
              <w:spacing w:line="128" w:lineRule="exact" w:before="2"/>
              <w:ind w:right="38"/>
              <w:jc w:val="right"/>
              <w:rPr>
                <w:sz w:val="12"/>
              </w:rPr>
            </w:pPr>
            <w:r>
              <w:rPr>
                <w:w w:val="105"/>
                <w:sz w:val="12"/>
              </w:rPr>
              <w:t>-306.067,47</w:t>
            </w:r>
          </w:p>
        </w:tc>
        <w:tc>
          <w:tcPr>
            <w:tcW w:w="886" w:type="dxa"/>
          </w:tcPr>
          <w:p>
            <w:pPr>
              <w:pStyle w:val="TableParagraph"/>
              <w:spacing w:line="128" w:lineRule="exact" w:before="2"/>
              <w:ind w:right="38"/>
              <w:jc w:val="right"/>
              <w:rPr>
                <w:sz w:val="12"/>
              </w:rPr>
            </w:pPr>
            <w:r>
              <w:rPr>
                <w:w w:val="105"/>
                <w:sz w:val="12"/>
              </w:rPr>
              <w:t>-3.440.277,00</w:t>
            </w:r>
          </w:p>
        </w:tc>
      </w:tr>
      <w:tr>
        <w:trPr>
          <w:trHeight w:val="148" w:hRule="atLeast"/>
        </w:trPr>
        <w:tc>
          <w:tcPr>
            <w:tcW w:w="2205" w:type="dxa"/>
          </w:tcPr>
          <w:p>
            <w:pPr>
              <w:pStyle w:val="TableParagraph"/>
              <w:spacing w:line="127" w:lineRule="exact" w:before="2"/>
              <w:ind w:left="54"/>
              <w:rPr>
                <w:sz w:val="12"/>
              </w:rPr>
            </w:pPr>
            <w:r>
              <w:rPr>
                <w:w w:val="105"/>
                <w:sz w:val="12"/>
              </w:rPr>
              <w:t>(Dividendo a cuenta)</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50" w:hRule="atLeast"/>
        </w:trPr>
        <w:tc>
          <w:tcPr>
            <w:tcW w:w="2205" w:type="dxa"/>
          </w:tcPr>
          <w:p>
            <w:pPr>
              <w:pStyle w:val="TableParagraph"/>
              <w:spacing w:line="128" w:lineRule="exact" w:before="2"/>
              <w:ind w:left="54"/>
              <w:rPr>
                <w:sz w:val="12"/>
              </w:rPr>
            </w:pPr>
            <w:r>
              <w:rPr>
                <w:w w:val="105"/>
                <w:sz w:val="12"/>
              </w:rPr>
              <w:t>Otros instrumentos de patr. neto</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48" w:hRule="atLeast"/>
        </w:trPr>
        <w:tc>
          <w:tcPr>
            <w:tcW w:w="2205" w:type="dxa"/>
          </w:tcPr>
          <w:p>
            <w:pPr>
              <w:pStyle w:val="TableParagraph"/>
              <w:spacing w:line="127" w:lineRule="exact" w:before="2"/>
              <w:ind w:left="54"/>
              <w:rPr>
                <w:b/>
                <w:sz w:val="12"/>
              </w:rPr>
            </w:pPr>
            <w:r>
              <w:rPr>
                <w:b/>
                <w:w w:val="105"/>
                <w:sz w:val="12"/>
              </w:rPr>
              <w:t>AJUSTES POR CAMBIOS DE V.</w:t>
            </w:r>
          </w:p>
        </w:tc>
        <w:tc>
          <w:tcPr>
            <w:tcW w:w="843" w:type="dxa"/>
          </w:tcPr>
          <w:p>
            <w:pPr>
              <w:pStyle w:val="TableParagraph"/>
              <w:spacing w:line="127" w:lineRule="exact" w:before="2"/>
              <w:ind w:right="43"/>
              <w:jc w:val="right"/>
              <w:rPr>
                <w:b/>
                <w:sz w:val="12"/>
              </w:rPr>
            </w:pPr>
            <w:r>
              <w:rPr>
                <w:b/>
                <w:w w:val="105"/>
                <w:sz w:val="12"/>
              </w:rPr>
              <w:t>0,00</w:t>
            </w:r>
          </w:p>
        </w:tc>
        <w:tc>
          <w:tcPr>
            <w:tcW w:w="864" w:type="dxa"/>
          </w:tcPr>
          <w:p>
            <w:pPr>
              <w:pStyle w:val="TableParagraph"/>
              <w:spacing w:line="127" w:lineRule="exact" w:before="2"/>
              <w:ind w:right="41"/>
              <w:jc w:val="right"/>
              <w:rPr>
                <w:b/>
                <w:sz w:val="12"/>
              </w:rPr>
            </w:pPr>
            <w:r>
              <w:rPr>
                <w:b/>
                <w:w w:val="105"/>
                <w:sz w:val="12"/>
              </w:rPr>
              <w:t>0,00</w:t>
            </w:r>
          </w:p>
        </w:tc>
        <w:tc>
          <w:tcPr>
            <w:tcW w:w="660" w:type="dxa"/>
          </w:tcPr>
          <w:p>
            <w:pPr>
              <w:pStyle w:val="TableParagraph"/>
              <w:spacing w:line="127" w:lineRule="exact" w:before="2"/>
              <w:ind w:right="43"/>
              <w:jc w:val="right"/>
              <w:rPr>
                <w:b/>
                <w:sz w:val="12"/>
              </w:rPr>
            </w:pPr>
            <w:r>
              <w:rPr>
                <w:b/>
                <w:w w:val="105"/>
                <w:sz w:val="12"/>
              </w:rPr>
              <w:t>0,00</w:t>
            </w:r>
          </w:p>
        </w:tc>
        <w:tc>
          <w:tcPr>
            <w:tcW w:w="850" w:type="dxa"/>
          </w:tcPr>
          <w:p>
            <w:pPr>
              <w:pStyle w:val="TableParagraph"/>
              <w:spacing w:line="127" w:lineRule="exact" w:before="2"/>
              <w:ind w:right="43"/>
              <w:jc w:val="right"/>
              <w:rPr>
                <w:b/>
                <w:sz w:val="12"/>
              </w:rPr>
            </w:pPr>
            <w:r>
              <w:rPr>
                <w:b/>
                <w:w w:val="105"/>
                <w:sz w:val="12"/>
              </w:rPr>
              <w:t>0,00</w:t>
            </w:r>
          </w:p>
        </w:tc>
        <w:tc>
          <w:tcPr>
            <w:tcW w:w="858" w:type="dxa"/>
          </w:tcPr>
          <w:p>
            <w:pPr>
              <w:pStyle w:val="TableParagraph"/>
              <w:spacing w:line="127" w:lineRule="exact" w:before="2"/>
              <w:ind w:right="42"/>
              <w:jc w:val="right"/>
              <w:rPr>
                <w:b/>
                <w:sz w:val="12"/>
              </w:rPr>
            </w:pPr>
            <w:r>
              <w:rPr>
                <w:b/>
                <w:w w:val="105"/>
                <w:sz w:val="12"/>
              </w:rPr>
              <w:t>0,00</w:t>
            </w:r>
          </w:p>
        </w:tc>
        <w:tc>
          <w:tcPr>
            <w:tcW w:w="889" w:type="dxa"/>
          </w:tcPr>
          <w:p>
            <w:pPr>
              <w:pStyle w:val="TableParagraph"/>
              <w:spacing w:line="127" w:lineRule="exact" w:before="2"/>
              <w:ind w:right="42"/>
              <w:jc w:val="right"/>
              <w:rPr>
                <w:b/>
                <w:sz w:val="12"/>
              </w:rPr>
            </w:pPr>
            <w:r>
              <w:rPr>
                <w:b/>
                <w:w w:val="105"/>
                <w:sz w:val="12"/>
              </w:rPr>
              <w:t>0,00</w:t>
            </w:r>
          </w:p>
        </w:tc>
        <w:tc>
          <w:tcPr>
            <w:tcW w:w="883" w:type="dxa"/>
          </w:tcPr>
          <w:p>
            <w:pPr>
              <w:pStyle w:val="TableParagraph"/>
              <w:spacing w:line="127" w:lineRule="exact" w:before="2"/>
              <w:ind w:right="39"/>
              <w:jc w:val="right"/>
              <w:rPr>
                <w:b/>
                <w:sz w:val="12"/>
              </w:rPr>
            </w:pPr>
            <w:r>
              <w:rPr>
                <w:b/>
                <w:w w:val="105"/>
                <w:sz w:val="12"/>
              </w:rPr>
              <w:t>0,00</w:t>
            </w:r>
          </w:p>
        </w:tc>
        <w:tc>
          <w:tcPr>
            <w:tcW w:w="841" w:type="dxa"/>
          </w:tcPr>
          <w:p>
            <w:pPr>
              <w:pStyle w:val="TableParagraph"/>
              <w:spacing w:line="127" w:lineRule="exact" w:before="2"/>
              <w:ind w:right="41"/>
              <w:jc w:val="right"/>
              <w:rPr>
                <w:b/>
                <w:sz w:val="12"/>
              </w:rPr>
            </w:pPr>
            <w:r>
              <w:rPr>
                <w:b/>
                <w:w w:val="105"/>
                <w:sz w:val="12"/>
              </w:rPr>
              <w:t>0,00</w:t>
            </w:r>
          </w:p>
        </w:tc>
        <w:tc>
          <w:tcPr>
            <w:tcW w:w="908" w:type="dxa"/>
          </w:tcPr>
          <w:p>
            <w:pPr>
              <w:pStyle w:val="TableParagraph"/>
              <w:spacing w:line="127" w:lineRule="exact" w:before="2"/>
              <w:ind w:right="40"/>
              <w:jc w:val="right"/>
              <w:rPr>
                <w:b/>
                <w:sz w:val="12"/>
              </w:rPr>
            </w:pPr>
            <w:r>
              <w:rPr>
                <w:b/>
                <w:w w:val="105"/>
                <w:sz w:val="12"/>
              </w:rPr>
              <w:t>0,00</w:t>
            </w:r>
          </w:p>
        </w:tc>
        <w:tc>
          <w:tcPr>
            <w:tcW w:w="852" w:type="dxa"/>
          </w:tcPr>
          <w:p>
            <w:pPr>
              <w:pStyle w:val="TableParagraph"/>
              <w:spacing w:line="127" w:lineRule="exact" w:before="2"/>
              <w:ind w:right="40"/>
              <w:jc w:val="right"/>
              <w:rPr>
                <w:b/>
                <w:sz w:val="12"/>
              </w:rPr>
            </w:pPr>
            <w:r>
              <w:rPr>
                <w:b/>
                <w:w w:val="105"/>
                <w:sz w:val="12"/>
              </w:rPr>
              <w:t>0,00</w:t>
            </w:r>
          </w:p>
        </w:tc>
        <w:tc>
          <w:tcPr>
            <w:tcW w:w="886" w:type="dxa"/>
          </w:tcPr>
          <w:p>
            <w:pPr>
              <w:pStyle w:val="TableParagraph"/>
              <w:spacing w:line="127" w:lineRule="exact" w:before="2"/>
              <w:ind w:right="40"/>
              <w:jc w:val="right"/>
              <w:rPr>
                <w:b/>
                <w:sz w:val="12"/>
              </w:rPr>
            </w:pPr>
            <w:r>
              <w:rPr>
                <w:b/>
                <w:w w:val="105"/>
                <w:sz w:val="12"/>
              </w:rPr>
              <w:t>0,00</w:t>
            </w:r>
          </w:p>
        </w:tc>
      </w:tr>
      <w:tr>
        <w:trPr>
          <w:trHeight w:val="150" w:hRule="atLeast"/>
        </w:trPr>
        <w:tc>
          <w:tcPr>
            <w:tcW w:w="2205" w:type="dxa"/>
          </w:tcPr>
          <w:p>
            <w:pPr>
              <w:pStyle w:val="TableParagraph"/>
              <w:spacing w:line="107" w:lineRule="exact" w:before="23"/>
              <w:ind w:left="54"/>
              <w:rPr>
                <w:sz w:val="9"/>
              </w:rPr>
            </w:pPr>
            <w:r>
              <w:rPr>
                <w:w w:val="105"/>
                <w:sz w:val="9"/>
              </w:rPr>
              <w:t>Activos financ. disponibles para la venta</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50" w:hRule="atLeast"/>
        </w:trPr>
        <w:tc>
          <w:tcPr>
            <w:tcW w:w="2205" w:type="dxa"/>
          </w:tcPr>
          <w:p>
            <w:pPr>
              <w:pStyle w:val="TableParagraph"/>
              <w:spacing w:line="109" w:lineRule="exact" w:before="21"/>
              <w:ind w:left="54"/>
              <w:rPr>
                <w:sz w:val="9"/>
              </w:rPr>
            </w:pPr>
            <w:r>
              <w:rPr>
                <w:w w:val="105"/>
                <w:sz w:val="9"/>
              </w:rPr>
              <w:t>Operaciones de cobertura</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48" w:hRule="atLeast"/>
        </w:trPr>
        <w:tc>
          <w:tcPr>
            <w:tcW w:w="2205" w:type="dxa"/>
          </w:tcPr>
          <w:p>
            <w:pPr>
              <w:pStyle w:val="TableParagraph"/>
              <w:spacing w:line="107" w:lineRule="exact" w:before="21"/>
              <w:ind w:left="54"/>
              <w:rPr>
                <w:sz w:val="9"/>
              </w:rPr>
            </w:pPr>
            <w:r>
              <w:rPr>
                <w:w w:val="105"/>
                <w:sz w:val="9"/>
              </w:rPr>
              <w:t>Otros</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50" w:hRule="atLeast"/>
        </w:trPr>
        <w:tc>
          <w:tcPr>
            <w:tcW w:w="2205" w:type="dxa"/>
          </w:tcPr>
          <w:p>
            <w:pPr>
              <w:pStyle w:val="TableParagraph"/>
              <w:spacing w:line="128" w:lineRule="exact" w:before="2"/>
              <w:ind w:left="54"/>
              <w:rPr>
                <w:b/>
                <w:sz w:val="12"/>
              </w:rPr>
            </w:pPr>
            <w:r>
              <w:rPr>
                <w:b/>
                <w:w w:val="105"/>
                <w:sz w:val="12"/>
              </w:rPr>
              <w:t>SUBV., DONAC. Y LEGADOS RECIB</w:t>
            </w:r>
          </w:p>
        </w:tc>
        <w:tc>
          <w:tcPr>
            <w:tcW w:w="843" w:type="dxa"/>
          </w:tcPr>
          <w:p>
            <w:pPr>
              <w:pStyle w:val="TableParagraph"/>
              <w:spacing w:line="128" w:lineRule="exact" w:before="2"/>
              <w:ind w:left="58"/>
              <w:rPr>
                <w:b/>
                <w:sz w:val="12"/>
              </w:rPr>
            </w:pPr>
            <w:r>
              <w:rPr>
                <w:b/>
                <w:w w:val="105"/>
                <w:sz w:val="12"/>
              </w:rPr>
              <w:t>17.758.083,88</w:t>
            </w:r>
          </w:p>
        </w:tc>
        <w:tc>
          <w:tcPr>
            <w:tcW w:w="864" w:type="dxa"/>
          </w:tcPr>
          <w:p>
            <w:pPr>
              <w:pStyle w:val="TableParagraph"/>
              <w:spacing w:line="128" w:lineRule="exact" w:before="2"/>
              <w:ind w:left="80"/>
              <w:rPr>
                <w:b/>
                <w:sz w:val="12"/>
              </w:rPr>
            </w:pPr>
            <w:r>
              <w:rPr>
                <w:b/>
                <w:w w:val="105"/>
                <w:sz w:val="12"/>
              </w:rPr>
              <w:t>17.562.435,07</w:t>
            </w: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spacing w:line="128" w:lineRule="exact" w:before="2"/>
              <w:ind w:right="41"/>
              <w:jc w:val="right"/>
              <w:rPr>
                <w:b/>
                <w:sz w:val="12"/>
              </w:rPr>
            </w:pPr>
            <w:r>
              <w:rPr>
                <w:b/>
                <w:w w:val="105"/>
                <w:sz w:val="12"/>
              </w:rPr>
              <w:t>3.148.100,05</w:t>
            </w:r>
          </w:p>
        </w:tc>
        <w:tc>
          <w:tcPr>
            <w:tcW w:w="889" w:type="dxa"/>
          </w:tcPr>
          <w:p>
            <w:pPr>
              <w:pStyle w:val="TableParagraph"/>
              <w:rPr>
                <w:rFonts w:ascii="Times New Roman"/>
                <w:sz w:val="8"/>
              </w:rPr>
            </w:pPr>
          </w:p>
        </w:tc>
        <w:tc>
          <w:tcPr>
            <w:tcW w:w="883" w:type="dxa"/>
          </w:tcPr>
          <w:p>
            <w:pPr>
              <w:pStyle w:val="TableParagraph"/>
              <w:spacing w:line="128" w:lineRule="exact" w:before="2"/>
              <w:ind w:right="37"/>
              <w:jc w:val="right"/>
              <w:rPr>
                <w:b/>
                <w:sz w:val="12"/>
              </w:rPr>
            </w:pPr>
            <w:r>
              <w:rPr>
                <w:b/>
                <w:w w:val="105"/>
                <w:sz w:val="12"/>
              </w:rPr>
              <w:t>2.295,25</w:t>
            </w:r>
          </w:p>
        </w:tc>
        <w:tc>
          <w:tcPr>
            <w:tcW w:w="841" w:type="dxa"/>
          </w:tcPr>
          <w:p>
            <w:pPr>
              <w:pStyle w:val="TableParagraph"/>
              <w:spacing w:line="128" w:lineRule="exact" w:before="2"/>
              <w:ind w:right="39"/>
              <w:jc w:val="right"/>
              <w:rPr>
                <w:b/>
                <w:sz w:val="12"/>
              </w:rPr>
            </w:pPr>
            <w:r>
              <w:rPr>
                <w:b/>
                <w:w w:val="105"/>
                <w:sz w:val="12"/>
              </w:rPr>
              <w:t>17.153,12</w:t>
            </w:r>
          </w:p>
        </w:tc>
        <w:tc>
          <w:tcPr>
            <w:tcW w:w="908" w:type="dxa"/>
          </w:tcPr>
          <w:p>
            <w:pPr>
              <w:pStyle w:val="TableParagraph"/>
              <w:spacing w:line="128" w:lineRule="exact" w:before="2"/>
              <w:ind w:right="38"/>
              <w:jc w:val="right"/>
              <w:rPr>
                <w:b/>
                <w:sz w:val="12"/>
              </w:rPr>
            </w:pPr>
            <w:r>
              <w:rPr>
                <w:b/>
                <w:w w:val="105"/>
                <w:sz w:val="12"/>
              </w:rPr>
              <w:t>2.427.799,15</w:t>
            </w:r>
          </w:p>
        </w:tc>
        <w:tc>
          <w:tcPr>
            <w:tcW w:w="852" w:type="dxa"/>
          </w:tcPr>
          <w:p>
            <w:pPr>
              <w:pStyle w:val="TableParagraph"/>
              <w:rPr>
                <w:rFonts w:ascii="Times New Roman"/>
                <w:sz w:val="8"/>
              </w:rPr>
            </w:pPr>
          </w:p>
        </w:tc>
        <w:tc>
          <w:tcPr>
            <w:tcW w:w="886" w:type="dxa"/>
          </w:tcPr>
          <w:p>
            <w:pPr>
              <w:pStyle w:val="TableParagraph"/>
              <w:spacing w:line="128" w:lineRule="exact" w:before="2"/>
              <w:ind w:right="37"/>
              <w:jc w:val="right"/>
              <w:rPr>
                <w:b/>
                <w:sz w:val="12"/>
              </w:rPr>
            </w:pPr>
            <w:r>
              <w:rPr>
                <w:b/>
                <w:w w:val="105"/>
                <w:sz w:val="12"/>
              </w:rPr>
              <w:t>20.012.854,00</w:t>
            </w:r>
          </w:p>
        </w:tc>
      </w:tr>
      <w:tr>
        <w:trPr>
          <w:trHeight w:val="148" w:hRule="atLeast"/>
        </w:trPr>
        <w:tc>
          <w:tcPr>
            <w:tcW w:w="2205" w:type="dxa"/>
          </w:tcPr>
          <w:p>
            <w:pPr>
              <w:pStyle w:val="TableParagraph"/>
              <w:spacing w:line="127" w:lineRule="exact" w:before="2"/>
              <w:ind w:left="54"/>
              <w:rPr>
                <w:b/>
                <w:sz w:val="12"/>
              </w:rPr>
            </w:pPr>
            <w:r>
              <w:rPr>
                <w:b/>
                <w:w w:val="105"/>
                <w:sz w:val="12"/>
              </w:rPr>
              <w:t>SOCIOS EXTERNOS</w:t>
            </w:r>
          </w:p>
        </w:tc>
        <w:tc>
          <w:tcPr>
            <w:tcW w:w="843" w:type="dxa"/>
          </w:tcPr>
          <w:p>
            <w:pPr>
              <w:pStyle w:val="TableParagraph"/>
              <w:spacing w:line="127" w:lineRule="exact" w:before="2"/>
              <w:ind w:right="43"/>
              <w:jc w:val="right"/>
              <w:rPr>
                <w:b/>
                <w:sz w:val="12"/>
              </w:rPr>
            </w:pPr>
            <w:r>
              <w:rPr>
                <w:b/>
                <w:w w:val="105"/>
                <w:sz w:val="12"/>
              </w:rPr>
              <w:t>0,00</w:t>
            </w:r>
          </w:p>
        </w:tc>
        <w:tc>
          <w:tcPr>
            <w:tcW w:w="864" w:type="dxa"/>
          </w:tcPr>
          <w:p>
            <w:pPr>
              <w:pStyle w:val="TableParagraph"/>
              <w:spacing w:line="127" w:lineRule="exact" w:before="2"/>
              <w:ind w:right="41"/>
              <w:jc w:val="right"/>
              <w:rPr>
                <w:b/>
                <w:sz w:val="12"/>
              </w:rPr>
            </w:pPr>
            <w:r>
              <w:rPr>
                <w:b/>
                <w:w w:val="105"/>
                <w:sz w:val="12"/>
              </w:rPr>
              <w:t>0,00</w:t>
            </w:r>
          </w:p>
        </w:tc>
        <w:tc>
          <w:tcPr>
            <w:tcW w:w="660" w:type="dxa"/>
          </w:tcPr>
          <w:p>
            <w:pPr>
              <w:pStyle w:val="TableParagraph"/>
              <w:spacing w:line="127" w:lineRule="exact" w:before="2"/>
              <w:ind w:right="43"/>
              <w:jc w:val="right"/>
              <w:rPr>
                <w:b/>
                <w:sz w:val="12"/>
              </w:rPr>
            </w:pPr>
            <w:r>
              <w:rPr>
                <w:b/>
                <w:w w:val="105"/>
                <w:sz w:val="12"/>
              </w:rPr>
              <w:t>0,00</w:t>
            </w:r>
          </w:p>
        </w:tc>
        <w:tc>
          <w:tcPr>
            <w:tcW w:w="850" w:type="dxa"/>
          </w:tcPr>
          <w:p>
            <w:pPr>
              <w:pStyle w:val="TableParagraph"/>
              <w:spacing w:line="127" w:lineRule="exact" w:before="2"/>
              <w:ind w:right="43"/>
              <w:jc w:val="right"/>
              <w:rPr>
                <w:b/>
                <w:sz w:val="12"/>
              </w:rPr>
            </w:pPr>
            <w:r>
              <w:rPr>
                <w:b/>
                <w:w w:val="105"/>
                <w:sz w:val="12"/>
              </w:rPr>
              <w:t>0,00</w:t>
            </w:r>
          </w:p>
        </w:tc>
        <w:tc>
          <w:tcPr>
            <w:tcW w:w="858" w:type="dxa"/>
          </w:tcPr>
          <w:p>
            <w:pPr>
              <w:pStyle w:val="TableParagraph"/>
              <w:spacing w:line="127" w:lineRule="exact" w:before="2"/>
              <w:ind w:right="42"/>
              <w:jc w:val="right"/>
              <w:rPr>
                <w:b/>
                <w:sz w:val="12"/>
              </w:rPr>
            </w:pPr>
            <w:r>
              <w:rPr>
                <w:b/>
                <w:w w:val="105"/>
                <w:sz w:val="12"/>
              </w:rPr>
              <w:t>0,00</w:t>
            </w:r>
          </w:p>
        </w:tc>
        <w:tc>
          <w:tcPr>
            <w:tcW w:w="889" w:type="dxa"/>
          </w:tcPr>
          <w:p>
            <w:pPr>
              <w:pStyle w:val="TableParagraph"/>
              <w:spacing w:line="127" w:lineRule="exact" w:before="2"/>
              <w:ind w:right="42"/>
              <w:jc w:val="right"/>
              <w:rPr>
                <w:b/>
                <w:sz w:val="12"/>
              </w:rPr>
            </w:pPr>
            <w:r>
              <w:rPr>
                <w:b/>
                <w:w w:val="105"/>
                <w:sz w:val="12"/>
              </w:rPr>
              <w:t>0,00</w:t>
            </w:r>
          </w:p>
        </w:tc>
        <w:tc>
          <w:tcPr>
            <w:tcW w:w="883" w:type="dxa"/>
          </w:tcPr>
          <w:p>
            <w:pPr>
              <w:pStyle w:val="TableParagraph"/>
              <w:spacing w:line="127" w:lineRule="exact" w:before="2"/>
              <w:ind w:right="39"/>
              <w:jc w:val="right"/>
              <w:rPr>
                <w:b/>
                <w:sz w:val="12"/>
              </w:rPr>
            </w:pPr>
            <w:r>
              <w:rPr>
                <w:b/>
                <w:w w:val="105"/>
                <w:sz w:val="12"/>
              </w:rPr>
              <w:t>0,00</w:t>
            </w:r>
          </w:p>
        </w:tc>
        <w:tc>
          <w:tcPr>
            <w:tcW w:w="841" w:type="dxa"/>
          </w:tcPr>
          <w:p>
            <w:pPr>
              <w:pStyle w:val="TableParagraph"/>
              <w:spacing w:line="127" w:lineRule="exact" w:before="2"/>
              <w:ind w:right="41"/>
              <w:jc w:val="right"/>
              <w:rPr>
                <w:b/>
                <w:sz w:val="12"/>
              </w:rPr>
            </w:pPr>
            <w:r>
              <w:rPr>
                <w:b/>
                <w:w w:val="105"/>
                <w:sz w:val="12"/>
              </w:rPr>
              <w:t>0,00</w:t>
            </w:r>
          </w:p>
        </w:tc>
        <w:tc>
          <w:tcPr>
            <w:tcW w:w="908" w:type="dxa"/>
          </w:tcPr>
          <w:p>
            <w:pPr>
              <w:pStyle w:val="TableParagraph"/>
              <w:spacing w:line="127" w:lineRule="exact" w:before="2"/>
              <w:ind w:right="40"/>
              <w:jc w:val="right"/>
              <w:rPr>
                <w:b/>
                <w:sz w:val="12"/>
              </w:rPr>
            </w:pPr>
            <w:r>
              <w:rPr>
                <w:b/>
                <w:w w:val="105"/>
                <w:sz w:val="12"/>
              </w:rPr>
              <w:t>0,00</w:t>
            </w:r>
          </w:p>
        </w:tc>
        <w:tc>
          <w:tcPr>
            <w:tcW w:w="852" w:type="dxa"/>
          </w:tcPr>
          <w:p>
            <w:pPr>
              <w:pStyle w:val="TableParagraph"/>
              <w:spacing w:line="127" w:lineRule="exact" w:before="2"/>
              <w:ind w:right="40"/>
              <w:jc w:val="right"/>
              <w:rPr>
                <w:b/>
                <w:sz w:val="12"/>
              </w:rPr>
            </w:pPr>
            <w:r>
              <w:rPr>
                <w:b/>
                <w:w w:val="105"/>
                <w:sz w:val="12"/>
              </w:rPr>
              <w:t>0,00</w:t>
            </w:r>
          </w:p>
        </w:tc>
        <w:tc>
          <w:tcPr>
            <w:tcW w:w="886" w:type="dxa"/>
          </w:tcPr>
          <w:p>
            <w:pPr>
              <w:pStyle w:val="TableParagraph"/>
              <w:spacing w:line="127" w:lineRule="exact" w:before="2"/>
              <w:ind w:right="40"/>
              <w:jc w:val="right"/>
              <w:rPr>
                <w:b/>
                <w:sz w:val="12"/>
              </w:rPr>
            </w:pPr>
            <w:r>
              <w:rPr>
                <w:b/>
                <w:w w:val="105"/>
                <w:sz w:val="12"/>
              </w:rPr>
              <w:t>0,00</w:t>
            </w:r>
          </w:p>
        </w:tc>
      </w:tr>
      <w:tr>
        <w:trPr>
          <w:trHeight w:val="150" w:hRule="atLeast"/>
        </w:trPr>
        <w:tc>
          <w:tcPr>
            <w:tcW w:w="2205" w:type="dxa"/>
          </w:tcPr>
          <w:p>
            <w:pPr>
              <w:pStyle w:val="TableParagraph"/>
              <w:spacing w:line="128" w:lineRule="exact" w:before="2"/>
              <w:ind w:left="54"/>
              <w:rPr>
                <w:b/>
                <w:sz w:val="12"/>
              </w:rPr>
            </w:pPr>
            <w:r>
              <w:rPr>
                <w:b/>
                <w:w w:val="105"/>
                <w:sz w:val="12"/>
              </w:rPr>
              <w:t>PASIVO NO CORRIENTE</w:t>
            </w:r>
          </w:p>
        </w:tc>
        <w:tc>
          <w:tcPr>
            <w:tcW w:w="843" w:type="dxa"/>
          </w:tcPr>
          <w:p>
            <w:pPr>
              <w:pStyle w:val="TableParagraph"/>
              <w:spacing w:line="128" w:lineRule="exact" w:before="2"/>
              <w:ind w:left="121"/>
              <w:rPr>
                <w:b/>
                <w:sz w:val="12"/>
              </w:rPr>
            </w:pPr>
            <w:r>
              <w:rPr>
                <w:b/>
                <w:w w:val="105"/>
                <w:sz w:val="12"/>
              </w:rPr>
              <w:t>5.920.283,29</w:t>
            </w:r>
          </w:p>
        </w:tc>
        <w:tc>
          <w:tcPr>
            <w:tcW w:w="864" w:type="dxa"/>
          </w:tcPr>
          <w:p>
            <w:pPr>
              <w:pStyle w:val="TableParagraph"/>
              <w:spacing w:line="128" w:lineRule="exact" w:before="2"/>
              <w:ind w:left="144"/>
              <w:rPr>
                <w:b/>
                <w:sz w:val="12"/>
              </w:rPr>
            </w:pPr>
            <w:r>
              <w:rPr>
                <w:b/>
                <w:w w:val="105"/>
                <w:sz w:val="12"/>
              </w:rPr>
              <w:t>5.876.245,04</w:t>
            </w:r>
          </w:p>
        </w:tc>
        <w:tc>
          <w:tcPr>
            <w:tcW w:w="660" w:type="dxa"/>
          </w:tcPr>
          <w:p>
            <w:pPr>
              <w:pStyle w:val="TableParagraph"/>
              <w:spacing w:line="128" w:lineRule="exact" w:before="2"/>
              <w:ind w:right="43"/>
              <w:jc w:val="right"/>
              <w:rPr>
                <w:b/>
                <w:sz w:val="12"/>
              </w:rPr>
            </w:pPr>
            <w:r>
              <w:rPr>
                <w:b/>
                <w:w w:val="105"/>
                <w:sz w:val="12"/>
              </w:rPr>
              <w:t>0,00</w:t>
            </w:r>
          </w:p>
        </w:tc>
        <w:tc>
          <w:tcPr>
            <w:tcW w:w="850" w:type="dxa"/>
          </w:tcPr>
          <w:p>
            <w:pPr>
              <w:pStyle w:val="TableParagraph"/>
              <w:spacing w:line="128" w:lineRule="exact" w:before="2"/>
              <w:ind w:right="41"/>
              <w:jc w:val="right"/>
              <w:rPr>
                <w:b/>
                <w:sz w:val="12"/>
              </w:rPr>
            </w:pPr>
            <w:r>
              <w:rPr>
                <w:b/>
                <w:w w:val="105"/>
                <w:sz w:val="12"/>
              </w:rPr>
              <w:t>238.265,83</w:t>
            </w:r>
          </w:p>
        </w:tc>
        <w:tc>
          <w:tcPr>
            <w:tcW w:w="858" w:type="dxa"/>
          </w:tcPr>
          <w:p>
            <w:pPr>
              <w:pStyle w:val="TableParagraph"/>
              <w:spacing w:line="128" w:lineRule="exact" w:before="2"/>
              <w:ind w:right="41"/>
              <w:jc w:val="right"/>
              <w:rPr>
                <w:b/>
                <w:sz w:val="12"/>
              </w:rPr>
            </w:pPr>
            <w:r>
              <w:rPr>
                <w:b/>
                <w:w w:val="105"/>
                <w:sz w:val="12"/>
              </w:rPr>
              <w:t>2.141.530,50</w:t>
            </w:r>
          </w:p>
        </w:tc>
        <w:tc>
          <w:tcPr>
            <w:tcW w:w="889" w:type="dxa"/>
          </w:tcPr>
          <w:p>
            <w:pPr>
              <w:pStyle w:val="TableParagraph"/>
              <w:spacing w:line="128" w:lineRule="exact" w:before="2"/>
              <w:ind w:right="42"/>
              <w:jc w:val="right"/>
              <w:rPr>
                <w:b/>
                <w:sz w:val="12"/>
              </w:rPr>
            </w:pPr>
            <w:r>
              <w:rPr>
                <w:b/>
                <w:w w:val="105"/>
                <w:sz w:val="12"/>
              </w:rPr>
              <w:t>0,00</w:t>
            </w:r>
          </w:p>
        </w:tc>
        <w:tc>
          <w:tcPr>
            <w:tcW w:w="883" w:type="dxa"/>
          </w:tcPr>
          <w:p>
            <w:pPr>
              <w:pStyle w:val="TableParagraph"/>
              <w:spacing w:line="128" w:lineRule="exact" w:before="2"/>
              <w:ind w:right="37"/>
              <w:jc w:val="right"/>
              <w:rPr>
                <w:b/>
                <w:sz w:val="12"/>
              </w:rPr>
            </w:pPr>
            <w:r>
              <w:rPr>
                <w:b/>
                <w:w w:val="105"/>
                <w:sz w:val="12"/>
              </w:rPr>
              <w:t>5.557.462,95</w:t>
            </w:r>
          </w:p>
        </w:tc>
        <w:tc>
          <w:tcPr>
            <w:tcW w:w="841" w:type="dxa"/>
          </w:tcPr>
          <w:p>
            <w:pPr>
              <w:pStyle w:val="TableParagraph"/>
              <w:spacing w:line="128" w:lineRule="exact" w:before="2"/>
              <w:ind w:right="39"/>
              <w:jc w:val="right"/>
              <w:rPr>
                <w:b/>
                <w:sz w:val="12"/>
              </w:rPr>
            </w:pPr>
            <w:r>
              <w:rPr>
                <w:b/>
                <w:w w:val="105"/>
                <w:sz w:val="12"/>
              </w:rPr>
              <w:t>455.701,62</w:t>
            </w:r>
          </w:p>
        </w:tc>
        <w:tc>
          <w:tcPr>
            <w:tcW w:w="908" w:type="dxa"/>
          </w:tcPr>
          <w:p>
            <w:pPr>
              <w:pStyle w:val="TableParagraph"/>
              <w:spacing w:line="128" w:lineRule="exact" w:before="2"/>
              <w:ind w:right="38"/>
              <w:jc w:val="right"/>
              <w:rPr>
                <w:b/>
                <w:sz w:val="12"/>
              </w:rPr>
            </w:pPr>
            <w:r>
              <w:rPr>
                <w:b/>
                <w:w w:val="105"/>
                <w:sz w:val="12"/>
              </w:rPr>
              <w:t>734.360,16</w:t>
            </w:r>
          </w:p>
        </w:tc>
        <w:tc>
          <w:tcPr>
            <w:tcW w:w="852" w:type="dxa"/>
          </w:tcPr>
          <w:p>
            <w:pPr>
              <w:pStyle w:val="TableParagraph"/>
              <w:spacing w:line="128" w:lineRule="exact" w:before="2"/>
              <w:ind w:right="38"/>
              <w:jc w:val="right"/>
              <w:rPr>
                <w:b/>
                <w:sz w:val="12"/>
              </w:rPr>
            </w:pPr>
            <w:r>
              <w:rPr>
                <w:b/>
                <w:w w:val="105"/>
                <w:sz w:val="12"/>
              </w:rPr>
              <w:t>82.668,35</w:t>
            </w:r>
          </w:p>
        </w:tc>
        <w:tc>
          <w:tcPr>
            <w:tcW w:w="886" w:type="dxa"/>
          </w:tcPr>
          <w:p>
            <w:pPr>
              <w:pStyle w:val="TableParagraph"/>
              <w:spacing w:line="128" w:lineRule="exact" w:before="2"/>
              <w:ind w:right="38"/>
              <w:jc w:val="right"/>
              <w:rPr>
                <w:b/>
                <w:sz w:val="12"/>
              </w:rPr>
            </w:pPr>
            <w:r>
              <w:rPr>
                <w:b/>
                <w:w w:val="105"/>
                <w:sz w:val="12"/>
              </w:rPr>
              <w:t>6.744.177,00</w:t>
            </w:r>
          </w:p>
        </w:tc>
      </w:tr>
      <w:tr>
        <w:trPr>
          <w:trHeight w:val="148" w:hRule="atLeast"/>
        </w:trPr>
        <w:tc>
          <w:tcPr>
            <w:tcW w:w="2205" w:type="dxa"/>
          </w:tcPr>
          <w:p>
            <w:pPr>
              <w:pStyle w:val="TableParagraph"/>
              <w:spacing w:line="127" w:lineRule="exact" w:before="2"/>
              <w:ind w:left="54"/>
              <w:rPr>
                <w:sz w:val="12"/>
              </w:rPr>
            </w:pPr>
            <w:r>
              <w:rPr>
                <w:w w:val="105"/>
                <w:sz w:val="12"/>
              </w:rPr>
              <w:t>Provisiones a largo plazo</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spacing w:line="127" w:lineRule="exact" w:before="2"/>
              <w:ind w:right="41"/>
              <w:jc w:val="right"/>
              <w:rPr>
                <w:sz w:val="12"/>
              </w:rPr>
            </w:pPr>
            <w:r>
              <w:rPr>
                <w:w w:val="105"/>
                <w:sz w:val="12"/>
              </w:rPr>
              <w:t>238.265,83</w:t>
            </w:r>
          </w:p>
        </w:tc>
        <w:tc>
          <w:tcPr>
            <w:tcW w:w="858" w:type="dxa"/>
          </w:tcPr>
          <w:p>
            <w:pPr>
              <w:pStyle w:val="TableParagraph"/>
              <w:spacing w:line="127" w:lineRule="exact" w:before="2"/>
              <w:ind w:right="41"/>
              <w:jc w:val="right"/>
              <w:rPr>
                <w:sz w:val="12"/>
              </w:rPr>
            </w:pPr>
            <w:r>
              <w:rPr>
                <w:w w:val="105"/>
                <w:sz w:val="12"/>
              </w:rPr>
              <w:t>1.071.866,21</w:t>
            </w:r>
          </w:p>
        </w:tc>
        <w:tc>
          <w:tcPr>
            <w:tcW w:w="889" w:type="dxa"/>
          </w:tcPr>
          <w:p>
            <w:pPr>
              <w:pStyle w:val="TableParagraph"/>
              <w:rPr>
                <w:rFonts w:ascii="Times New Roman"/>
                <w:sz w:val="8"/>
              </w:rPr>
            </w:pPr>
          </w:p>
        </w:tc>
        <w:tc>
          <w:tcPr>
            <w:tcW w:w="883" w:type="dxa"/>
          </w:tcPr>
          <w:p>
            <w:pPr>
              <w:pStyle w:val="TableParagraph"/>
              <w:spacing w:line="127" w:lineRule="exact" w:before="2"/>
              <w:ind w:right="37"/>
              <w:jc w:val="right"/>
              <w:rPr>
                <w:sz w:val="12"/>
              </w:rPr>
            </w:pPr>
            <w:r>
              <w:rPr>
                <w:w w:val="105"/>
                <w:sz w:val="12"/>
              </w:rPr>
              <w:t>362.906,53</w:t>
            </w: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spacing w:line="127" w:lineRule="exact" w:before="2"/>
              <w:ind w:right="38"/>
              <w:jc w:val="right"/>
              <w:rPr>
                <w:sz w:val="12"/>
              </w:rPr>
            </w:pPr>
            <w:r>
              <w:rPr>
                <w:w w:val="105"/>
                <w:sz w:val="12"/>
              </w:rPr>
              <w:t>59.971,63</w:t>
            </w:r>
          </w:p>
        </w:tc>
        <w:tc>
          <w:tcPr>
            <w:tcW w:w="886" w:type="dxa"/>
          </w:tcPr>
          <w:p>
            <w:pPr>
              <w:pStyle w:val="TableParagraph"/>
              <w:rPr>
                <w:rFonts w:ascii="Times New Roman"/>
                <w:sz w:val="8"/>
              </w:rPr>
            </w:pPr>
          </w:p>
        </w:tc>
      </w:tr>
      <w:tr>
        <w:trPr>
          <w:trHeight w:val="150" w:hRule="atLeast"/>
        </w:trPr>
        <w:tc>
          <w:tcPr>
            <w:tcW w:w="2205" w:type="dxa"/>
          </w:tcPr>
          <w:p>
            <w:pPr>
              <w:pStyle w:val="TableParagraph"/>
              <w:spacing w:line="128" w:lineRule="exact" w:before="2"/>
              <w:ind w:left="54"/>
              <w:rPr>
                <w:sz w:val="12"/>
              </w:rPr>
            </w:pPr>
            <w:r>
              <w:rPr>
                <w:w w:val="105"/>
                <w:sz w:val="12"/>
              </w:rPr>
              <w:t>Deudas a largo plazo</w:t>
            </w:r>
          </w:p>
        </w:tc>
        <w:tc>
          <w:tcPr>
            <w:tcW w:w="843" w:type="dxa"/>
          </w:tcPr>
          <w:p>
            <w:pPr>
              <w:pStyle w:val="TableParagraph"/>
              <w:spacing w:line="128" w:lineRule="exact" w:before="2"/>
              <w:ind w:right="42"/>
              <w:jc w:val="right"/>
              <w:rPr>
                <w:sz w:val="12"/>
              </w:rPr>
            </w:pPr>
            <w:r>
              <w:rPr>
                <w:sz w:val="12"/>
              </w:rPr>
              <w:t>920,00</w:t>
            </w:r>
          </w:p>
        </w:tc>
        <w:tc>
          <w:tcPr>
            <w:tcW w:w="864" w:type="dxa"/>
          </w:tcPr>
          <w:p>
            <w:pPr>
              <w:pStyle w:val="TableParagraph"/>
              <w:spacing w:line="128" w:lineRule="exact" w:before="2"/>
              <w:ind w:right="40"/>
              <w:jc w:val="right"/>
              <w:rPr>
                <w:sz w:val="12"/>
              </w:rPr>
            </w:pPr>
            <w:r>
              <w:rPr>
                <w:w w:val="105"/>
                <w:sz w:val="12"/>
              </w:rPr>
              <w:t>22.100,00</w:t>
            </w: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spacing w:line="128" w:lineRule="exact" w:before="2"/>
              <w:ind w:right="41"/>
              <w:jc w:val="right"/>
              <w:rPr>
                <w:sz w:val="12"/>
              </w:rPr>
            </w:pPr>
            <w:r>
              <w:rPr>
                <w:w w:val="105"/>
                <w:sz w:val="12"/>
              </w:rPr>
              <w:t>20.297,60</w:t>
            </w:r>
          </w:p>
        </w:tc>
        <w:tc>
          <w:tcPr>
            <w:tcW w:w="889" w:type="dxa"/>
          </w:tcPr>
          <w:p>
            <w:pPr>
              <w:pStyle w:val="TableParagraph"/>
              <w:rPr>
                <w:rFonts w:ascii="Times New Roman"/>
                <w:sz w:val="8"/>
              </w:rPr>
            </w:pPr>
          </w:p>
        </w:tc>
        <w:tc>
          <w:tcPr>
            <w:tcW w:w="883" w:type="dxa"/>
          </w:tcPr>
          <w:p>
            <w:pPr>
              <w:pStyle w:val="TableParagraph"/>
              <w:spacing w:line="128" w:lineRule="exact" w:before="2"/>
              <w:ind w:right="37"/>
              <w:jc w:val="right"/>
              <w:rPr>
                <w:sz w:val="12"/>
              </w:rPr>
            </w:pPr>
            <w:r>
              <w:rPr>
                <w:w w:val="105"/>
                <w:sz w:val="12"/>
              </w:rPr>
              <w:t>5.193.572,74</w:t>
            </w:r>
          </w:p>
        </w:tc>
        <w:tc>
          <w:tcPr>
            <w:tcW w:w="841" w:type="dxa"/>
          </w:tcPr>
          <w:p>
            <w:pPr>
              <w:pStyle w:val="TableParagraph"/>
              <w:spacing w:line="128" w:lineRule="exact" w:before="2"/>
              <w:ind w:right="39"/>
              <w:jc w:val="right"/>
              <w:rPr>
                <w:sz w:val="12"/>
              </w:rPr>
            </w:pPr>
            <w:r>
              <w:rPr>
                <w:w w:val="105"/>
                <w:sz w:val="12"/>
              </w:rPr>
              <w:t>449.983,91</w:t>
            </w:r>
          </w:p>
        </w:tc>
        <w:tc>
          <w:tcPr>
            <w:tcW w:w="908" w:type="dxa"/>
          </w:tcPr>
          <w:p>
            <w:pPr>
              <w:pStyle w:val="TableParagraph"/>
              <w:rPr>
                <w:rFonts w:ascii="Times New Roman"/>
                <w:sz w:val="8"/>
              </w:rPr>
            </w:pPr>
          </w:p>
        </w:tc>
        <w:tc>
          <w:tcPr>
            <w:tcW w:w="852" w:type="dxa"/>
          </w:tcPr>
          <w:p>
            <w:pPr>
              <w:pStyle w:val="TableParagraph"/>
              <w:spacing w:line="128" w:lineRule="exact" w:before="2"/>
              <w:ind w:right="38"/>
              <w:jc w:val="right"/>
              <w:rPr>
                <w:sz w:val="12"/>
              </w:rPr>
            </w:pPr>
            <w:r>
              <w:rPr>
                <w:w w:val="105"/>
                <w:sz w:val="12"/>
              </w:rPr>
              <w:t>22.696,72</w:t>
            </w:r>
          </w:p>
        </w:tc>
        <w:tc>
          <w:tcPr>
            <w:tcW w:w="886" w:type="dxa"/>
          </w:tcPr>
          <w:p>
            <w:pPr>
              <w:pStyle w:val="TableParagraph"/>
              <w:spacing w:line="128" w:lineRule="exact" w:before="2"/>
              <w:ind w:right="38"/>
              <w:jc w:val="right"/>
              <w:rPr>
                <w:sz w:val="12"/>
              </w:rPr>
            </w:pPr>
            <w:r>
              <w:rPr>
                <w:w w:val="105"/>
                <w:sz w:val="12"/>
              </w:rPr>
              <w:t>73.226,00</w:t>
            </w:r>
          </w:p>
        </w:tc>
      </w:tr>
      <w:tr>
        <w:trPr>
          <w:trHeight w:val="148" w:hRule="atLeast"/>
        </w:trPr>
        <w:tc>
          <w:tcPr>
            <w:tcW w:w="2205" w:type="dxa"/>
          </w:tcPr>
          <w:p>
            <w:pPr>
              <w:pStyle w:val="TableParagraph"/>
              <w:spacing w:line="127" w:lineRule="exact" w:before="2"/>
              <w:ind w:left="54"/>
              <w:rPr>
                <w:sz w:val="12"/>
              </w:rPr>
            </w:pPr>
            <w:r>
              <w:rPr>
                <w:w w:val="105"/>
                <w:sz w:val="12"/>
              </w:rPr>
              <w:t>Deu con entid del grupo y asoc a L/P</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50" w:hRule="atLeast"/>
        </w:trPr>
        <w:tc>
          <w:tcPr>
            <w:tcW w:w="2205" w:type="dxa"/>
          </w:tcPr>
          <w:p>
            <w:pPr>
              <w:pStyle w:val="TableParagraph"/>
              <w:spacing w:line="127" w:lineRule="exact" w:before="4"/>
              <w:ind w:left="54"/>
              <w:rPr>
                <w:sz w:val="12"/>
              </w:rPr>
            </w:pPr>
            <w:r>
              <w:rPr>
                <w:w w:val="105"/>
                <w:sz w:val="12"/>
              </w:rPr>
              <w:t>Pasivos por impuesto diferido</w:t>
            </w:r>
          </w:p>
        </w:tc>
        <w:tc>
          <w:tcPr>
            <w:tcW w:w="843" w:type="dxa"/>
          </w:tcPr>
          <w:p>
            <w:pPr>
              <w:pStyle w:val="TableParagraph"/>
              <w:spacing w:line="127" w:lineRule="exact" w:before="4"/>
              <w:ind w:right="41"/>
              <w:jc w:val="right"/>
              <w:rPr>
                <w:sz w:val="12"/>
              </w:rPr>
            </w:pPr>
            <w:r>
              <w:rPr>
                <w:w w:val="105"/>
                <w:sz w:val="12"/>
              </w:rPr>
              <w:t>5.919.363,29</w:t>
            </w:r>
          </w:p>
        </w:tc>
        <w:tc>
          <w:tcPr>
            <w:tcW w:w="864" w:type="dxa"/>
          </w:tcPr>
          <w:p>
            <w:pPr>
              <w:pStyle w:val="TableParagraph"/>
              <w:spacing w:line="127" w:lineRule="exact" w:before="4"/>
              <w:ind w:left="150"/>
              <w:rPr>
                <w:sz w:val="12"/>
              </w:rPr>
            </w:pPr>
            <w:r>
              <w:rPr>
                <w:w w:val="105"/>
                <w:sz w:val="12"/>
              </w:rPr>
              <w:t>5.854.145,04</w:t>
            </w: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spacing w:line="127" w:lineRule="exact" w:before="4"/>
              <w:ind w:right="41"/>
              <w:jc w:val="right"/>
              <w:rPr>
                <w:sz w:val="12"/>
              </w:rPr>
            </w:pPr>
            <w:r>
              <w:rPr>
                <w:w w:val="105"/>
                <w:sz w:val="12"/>
              </w:rPr>
              <w:t>1.049.366,69</w:t>
            </w:r>
          </w:p>
        </w:tc>
        <w:tc>
          <w:tcPr>
            <w:tcW w:w="889" w:type="dxa"/>
          </w:tcPr>
          <w:p>
            <w:pPr>
              <w:pStyle w:val="TableParagraph"/>
              <w:rPr>
                <w:rFonts w:ascii="Times New Roman"/>
                <w:sz w:val="8"/>
              </w:rPr>
            </w:pPr>
          </w:p>
        </w:tc>
        <w:tc>
          <w:tcPr>
            <w:tcW w:w="883" w:type="dxa"/>
          </w:tcPr>
          <w:p>
            <w:pPr>
              <w:pStyle w:val="TableParagraph"/>
              <w:spacing w:line="127" w:lineRule="exact" w:before="4"/>
              <w:ind w:right="37"/>
              <w:jc w:val="right"/>
              <w:rPr>
                <w:sz w:val="12"/>
              </w:rPr>
            </w:pPr>
            <w:r>
              <w:rPr>
                <w:sz w:val="12"/>
              </w:rPr>
              <w:t>983,68</w:t>
            </w:r>
          </w:p>
        </w:tc>
        <w:tc>
          <w:tcPr>
            <w:tcW w:w="841" w:type="dxa"/>
          </w:tcPr>
          <w:p>
            <w:pPr>
              <w:pStyle w:val="TableParagraph"/>
              <w:spacing w:line="127" w:lineRule="exact" w:before="4"/>
              <w:ind w:right="39"/>
              <w:jc w:val="right"/>
              <w:rPr>
                <w:sz w:val="12"/>
              </w:rPr>
            </w:pPr>
            <w:r>
              <w:rPr>
                <w:w w:val="105"/>
                <w:sz w:val="12"/>
              </w:rPr>
              <w:t>5.717,71</w:t>
            </w:r>
          </w:p>
        </w:tc>
        <w:tc>
          <w:tcPr>
            <w:tcW w:w="908" w:type="dxa"/>
          </w:tcPr>
          <w:p>
            <w:pPr>
              <w:pStyle w:val="TableParagraph"/>
              <w:spacing w:line="127" w:lineRule="exact" w:before="4"/>
              <w:ind w:right="38"/>
              <w:jc w:val="right"/>
              <w:rPr>
                <w:sz w:val="12"/>
              </w:rPr>
            </w:pPr>
            <w:r>
              <w:rPr>
                <w:w w:val="105"/>
                <w:sz w:val="12"/>
              </w:rPr>
              <w:t>734.360,16</w:t>
            </w:r>
          </w:p>
        </w:tc>
        <w:tc>
          <w:tcPr>
            <w:tcW w:w="852" w:type="dxa"/>
          </w:tcPr>
          <w:p>
            <w:pPr>
              <w:pStyle w:val="TableParagraph"/>
              <w:rPr>
                <w:rFonts w:ascii="Times New Roman"/>
                <w:sz w:val="8"/>
              </w:rPr>
            </w:pPr>
          </w:p>
        </w:tc>
        <w:tc>
          <w:tcPr>
            <w:tcW w:w="886" w:type="dxa"/>
          </w:tcPr>
          <w:p>
            <w:pPr>
              <w:pStyle w:val="TableParagraph"/>
              <w:spacing w:line="127" w:lineRule="exact" w:before="4"/>
              <w:ind w:right="38"/>
              <w:jc w:val="right"/>
              <w:rPr>
                <w:sz w:val="12"/>
              </w:rPr>
            </w:pPr>
            <w:r>
              <w:rPr>
                <w:w w:val="105"/>
                <w:sz w:val="12"/>
              </w:rPr>
              <w:t>6.670.951,00</w:t>
            </w:r>
          </w:p>
        </w:tc>
      </w:tr>
      <w:tr>
        <w:trPr>
          <w:trHeight w:val="148" w:hRule="atLeast"/>
        </w:trPr>
        <w:tc>
          <w:tcPr>
            <w:tcW w:w="2205" w:type="dxa"/>
          </w:tcPr>
          <w:p>
            <w:pPr>
              <w:pStyle w:val="TableParagraph"/>
              <w:spacing w:line="127" w:lineRule="exact" w:before="2"/>
              <w:ind w:left="54"/>
              <w:rPr>
                <w:sz w:val="12"/>
              </w:rPr>
            </w:pPr>
            <w:r>
              <w:rPr>
                <w:w w:val="105"/>
                <w:sz w:val="12"/>
              </w:rPr>
              <w:t>Periodificaciones a largo plazo</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50" w:hRule="atLeast"/>
        </w:trPr>
        <w:tc>
          <w:tcPr>
            <w:tcW w:w="2205" w:type="dxa"/>
          </w:tcPr>
          <w:p>
            <w:pPr>
              <w:pStyle w:val="TableParagraph"/>
              <w:spacing w:line="127" w:lineRule="exact" w:before="4"/>
              <w:ind w:left="54"/>
              <w:rPr>
                <w:b/>
                <w:sz w:val="12"/>
              </w:rPr>
            </w:pPr>
            <w:r>
              <w:rPr>
                <w:b/>
                <w:w w:val="105"/>
                <w:sz w:val="12"/>
              </w:rPr>
              <w:t>PASIVO CORRIENTE</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50" w:hRule="atLeast"/>
        </w:trPr>
        <w:tc>
          <w:tcPr>
            <w:tcW w:w="2205" w:type="dxa"/>
          </w:tcPr>
          <w:p>
            <w:pPr>
              <w:pStyle w:val="TableParagraph"/>
              <w:spacing w:line="128" w:lineRule="exact" w:before="2"/>
              <w:ind w:left="54"/>
              <w:rPr>
                <w:sz w:val="12"/>
              </w:rPr>
            </w:pPr>
            <w:r>
              <w:rPr>
                <w:w w:val="105"/>
                <w:sz w:val="12"/>
              </w:rPr>
              <w:t>Provisiones a corto plazo</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48" w:hRule="atLeast"/>
        </w:trPr>
        <w:tc>
          <w:tcPr>
            <w:tcW w:w="2205" w:type="dxa"/>
          </w:tcPr>
          <w:p>
            <w:pPr>
              <w:pStyle w:val="TableParagraph"/>
              <w:spacing w:line="127" w:lineRule="exact" w:before="2"/>
              <w:ind w:left="54"/>
              <w:rPr>
                <w:sz w:val="12"/>
              </w:rPr>
            </w:pPr>
            <w:r>
              <w:rPr>
                <w:w w:val="105"/>
                <w:sz w:val="12"/>
              </w:rPr>
              <w:t>Deudas a corto plazo</w:t>
            </w:r>
          </w:p>
        </w:tc>
        <w:tc>
          <w:tcPr>
            <w:tcW w:w="843" w:type="dxa"/>
          </w:tcPr>
          <w:p>
            <w:pPr>
              <w:pStyle w:val="TableParagraph"/>
              <w:spacing w:line="127" w:lineRule="exact" w:before="2"/>
              <w:ind w:right="41"/>
              <w:jc w:val="right"/>
              <w:rPr>
                <w:b/>
                <w:sz w:val="12"/>
              </w:rPr>
            </w:pPr>
            <w:r>
              <w:rPr>
                <w:b/>
                <w:w w:val="105"/>
                <w:sz w:val="12"/>
              </w:rPr>
              <w:t>66.887,16</w:t>
            </w:r>
          </w:p>
        </w:tc>
        <w:tc>
          <w:tcPr>
            <w:tcW w:w="864" w:type="dxa"/>
          </w:tcPr>
          <w:p>
            <w:pPr>
              <w:pStyle w:val="TableParagraph"/>
              <w:spacing w:line="127" w:lineRule="exact" w:before="2"/>
              <w:ind w:left="54"/>
              <w:rPr>
                <w:b/>
                <w:sz w:val="12"/>
              </w:rPr>
            </w:pPr>
            <w:r>
              <w:rPr>
                <w:b/>
                <w:w w:val="105"/>
                <w:sz w:val="12"/>
              </w:rPr>
              <w:t>149.557,38</w:t>
            </w:r>
          </w:p>
        </w:tc>
        <w:tc>
          <w:tcPr>
            <w:tcW w:w="660" w:type="dxa"/>
          </w:tcPr>
          <w:p>
            <w:pPr>
              <w:pStyle w:val="TableParagraph"/>
              <w:spacing w:line="127" w:lineRule="exact" w:before="2"/>
              <w:ind w:right="43"/>
              <w:jc w:val="right"/>
              <w:rPr>
                <w:b/>
                <w:sz w:val="12"/>
              </w:rPr>
            </w:pPr>
            <w:r>
              <w:rPr>
                <w:b/>
                <w:w w:val="105"/>
                <w:sz w:val="12"/>
              </w:rPr>
              <w:t>0,00</w:t>
            </w:r>
          </w:p>
        </w:tc>
        <w:tc>
          <w:tcPr>
            <w:tcW w:w="850" w:type="dxa"/>
          </w:tcPr>
          <w:p>
            <w:pPr>
              <w:pStyle w:val="TableParagraph"/>
              <w:spacing w:line="127" w:lineRule="exact" w:before="2"/>
              <w:ind w:right="53"/>
              <w:jc w:val="right"/>
              <w:rPr>
                <w:b/>
                <w:sz w:val="12"/>
              </w:rPr>
            </w:pPr>
            <w:r>
              <w:rPr>
                <w:b/>
                <w:w w:val="105"/>
                <w:sz w:val="12"/>
              </w:rPr>
              <w:t>22.982.145,67</w:t>
            </w:r>
          </w:p>
        </w:tc>
        <w:tc>
          <w:tcPr>
            <w:tcW w:w="858" w:type="dxa"/>
          </w:tcPr>
          <w:p>
            <w:pPr>
              <w:pStyle w:val="TableParagraph"/>
              <w:spacing w:line="127" w:lineRule="exact" w:before="2"/>
              <w:ind w:right="40"/>
              <w:jc w:val="right"/>
              <w:rPr>
                <w:b/>
                <w:sz w:val="12"/>
              </w:rPr>
            </w:pPr>
            <w:r>
              <w:rPr>
                <w:b/>
                <w:w w:val="105"/>
                <w:sz w:val="12"/>
              </w:rPr>
              <w:t>21.456.198,58</w:t>
            </w:r>
          </w:p>
        </w:tc>
        <w:tc>
          <w:tcPr>
            <w:tcW w:w="889" w:type="dxa"/>
          </w:tcPr>
          <w:p>
            <w:pPr>
              <w:pStyle w:val="TableParagraph"/>
              <w:spacing w:line="127" w:lineRule="exact" w:before="2"/>
              <w:ind w:right="40"/>
              <w:jc w:val="right"/>
              <w:rPr>
                <w:b/>
                <w:sz w:val="12"/>
              </w:rPr>
            </w:pPr>
            <w:r>
              <w:rPr>
                <w:b/>
                <w:w w:val="105"/>
                <w:sz w:val="12"/>
              </w:rPr>
              <w:t>15.586.133,72</w:t>
            </w:r>
          </w:p>
        </w:tc>
        <w:tc>
          <w:tcPr>
            <w:tcW w:w="883" w:type="dxa"/>
          </w:tcPr>
          <w:p>
            <w:pPr>
              <w:pStyle w:val="TableParagraph"/>
              <w:spacing w:line="127" w:lineRule="exact" w:before="2"/>
              <w:ind w:left="102"/>
              <w:rPr>
                <w:b/>
                <w:sz w:val="12"/>
              </w:rPr>
            </w:pPr>
            <w:r>
              <w:rPr>
                <w:b/>
                <w:w w:val="105"/>
                <w:sz w:val="12"/>
              </w:rPr>
              <w:t>11.539.657,80</w:t>
            </w:r>
          </w:p>
        </w:tc>
        <w:tc>
          <w:tcPr>
            <w:tcW w:w="841" w:type="dxa"/>
          </w:tcPr>
          <w:p>
            <w:pPr>
              <w:pStyle w:val="TableParagraph"/>
              <w:spacing w:line="127" w:lineRule="exact" w:before="2"/>
              <w:ind w:right="39"/>
              <w:jc w:val="right"/>
              <w:rPr>
                <w:b/>
                <w:sz w:val="12"/>
              </w:rPr>
            </w:pPr>
            <w:r>
              <w:rPr>
                <w:b/>
                <w:w w:val="105"/>
                <w:sz w:val="12"/>
              </w:rPr>
              <w:t>4.621.689,68</w:t>
            </w:r>
          </w:p>
        </w:tc>
        <w:tc>
          <w:tcPr>
            <w:tcW w:w="908" w:type="dxa"/>
          </w:tcPr>
          <w:p>
            <w:pPr>
              <w:pStyle w:val="TableParagraph"/>
              <w:spacing w:line="127" w:lineRule="exact" w:before="2"/>
              <w:ind w:right="38"/>
              <w:jc w:val="right"/>
              <w:rPr>
                <w:b/>
                <w:sz w:val="12"/>
              </w:rPr>
            </w:pPr>
            <w:r>
              <w:rPr>
                <w:b/>
                <w:w w:val="105"/>
                <w:sz w:val="12"/>
              </w:rPr>
              <w:t>2.760.490,14</w:t>
            </w:r>
          </w:p>
        </w:tc>
        <w:tc>
          <w:tcPr>
            <w:tcW w:w="852" w:type="dxa"/>
          </w:tcPr>
          <w:p>
            <w:pPr>
              <w:pStyle w:val="TableParagraph"/>
              <w:spacing w:line="127" w:lineRule="exact" w:before="2"/>
              <w:ind w:right="38"/>
              <w:jc w:val="right"/>
              <w:rPr>
                <w:b/>
                <w:sz w:val="12"/>
              </w:rPr>
            </w:pPr>
            <w:r>
              <w:rPr>
                <w:b/>
                <w:w w:val="105"/>
                <w:sz w:val="12"/>
              </w:rPr>
              <w:t>2.710.332,44</w:t>
            </w:r>
          </w:p>
        </w:tc>
        <w:tc>
          <w:tcPr>
            <w:tcW w:w="886" w:type="dxa"/>
          </w:tcPr>
          <w:p>
            <w:pPr>
              <w:pStyle w:val="TableParagraph"/>
              <w:spacing w:line="127" w:lineRule="exact" w:before="2"/>
              <w:ind w:right="38"/>
              <w:jc w:val="right"/>
              <w:rPr>
                <w:b/>
                <w:sz w:val="12"/>
              </w:rPr>
            </w:pPr>
            <w:r>
              <w:rPr>
                <w:b/>
                <w:w w:val="105"/>
                <w:sz w:val="12"/>
              </w:rPr>
              <w:t>3.771.958,00</w:t>
            </w:r>
          </w:p>
        </w:tc>
      </w:tr>
      <w:tr>
        <w:trPr>
          <w:trHeight w:val="150" w:hRule="atLeast"/>
        </w:trPr>
        <w:tc>
          <w:tcPr>
            <w:tcW w:w="2205" w:type="dxa"/>
          </w:tcPr>
          <w:p>
            <w:pPr>
              <w:pStyle w:val="TableParagraph"/>
              <w:spacing w:line="128" w:lineRule="exact" w:before="2"/>
              <w:ind w:left="54"/>
              <w:rPr>
                <w:sz w:val="12"/>
              </w:rPr>
            </w:pPr>
            <w:r>
              <w:rPr>
                <w:w w:val="105"/>
                <w:sz w:val="12"/>
              </w:rPr>
              <w:t>Deudas con entid. del grupo y asoc. a c/p</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rPr>
                <w:rFonts w:ascii="Times New Roman"/>
                <w:sz w:val="8"/>
              </w:rPr>
            </w:pPr>
          </w:p>
        </w:tc>
        <w:tc>
          <w:tcPr>
            <w:tcW w:w="886" w:type="dxa"/>
          </w:tcPr>
          <w:p>
            <w:pPr>
              <w:pStyle w:val="TableParagraph"/>
              <w:rPr>
                <w:rFonts w:ascii="Times New Roman"/>
                <w:sz w:val="8"/>
              </w:rPr>
            </w:pPr>
          </w:p>
        </w:tc>
      </w:tr>
      <w:tr>
        <w:trPr>
          <w:trHeight w:val="148" w:hRule="atLeast"/>
        </w:trPr>
        <w:tc>
          <w:tcPr>
            <w:tcW w:w="2205" w:type="dxa"/>
          </w:tcPr>
          <w:p>
            <w:pPr>
              <w:pStyle w:val="TableParagraph"/>
              <w:spacing w:line="127" w:lineRule="exact" w:before="2"/>
              <w:ind w:left="54"/>
              <w:rPr>
                <w:sz w:val="12"/>
              </w:rPr>
            </w:pPr>
            <w:r>
              <w:rPr>
                <w:w w:val="105"/>
                <w:sz w:val="12"/>
              </w:rPr>
              <w:t>Acreed. comer. y otras cuentas a pagar</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spacing w:line="127" w:lineRule="exact" w:before="2"/>
              <w:ind w:right="41"/>
              <w:jc w:val="right"/>
              <w:rPr>
                <w:sz w:val="12"/>
              </w:rPr>
            </w:pPr>
            <w:r>
              <w:rPr>
                <w:w w:val="105"/>
                <w:sz w:val="12"/>
              </w:rPr>
              <w:t>1.821.859,49</w:t>
            </w:r>
          </w:p>
        </w:tc>
        <w:tc>
          <w:tcPr>
            <w:tcW w:w="889" w:type="dxa"/>
          </w:tcPr>
          <w:p>
            <w:pPr>
              <w:pStyle w:val="TableParagraph"/>
              <w:rPr>
                <w:rFonts w:ascii="Times New Roman"/>
                <w:sz w:val="8"/>
              </w:rPr>
            </w:pPr>
          </w:p>
        </w:tc>
        <w:tc>
          <w:tcPr>
            <w:tcW w:w="883" w:type="dxa"/>
          </w:tcPr>
          <w:p>
            <w:pPr>
              <w:pStyle w:val="TableParagraph"/>
              <w:spacing w:line="127" w:lineRule="exact" w:before="2"/>
              <w:ind w:right="37"/>
              <w:jc w:val="right"/>
              <w:rPr>
                <w:sz w:val="12"/>
              </w:rPr>
            </w:pPr>
            <w:r>
              <w:rPr>
                <w:w w:val="105"/>
                <w:sz w:val="12"/>
              </w:rPr>
              <w:t>89.544,39</w:t>
            </w:r>
          </w:p>
        </w:tc>
        <w:tc>
          <w:tcPr>
            <w:tcW w:w="841" w:type="dxa"/>
          </w:tcPr>
          <w:p>
            <w:pPr>
              <w:pStyle w:val="TableParagraph"/>
              <w:rPr>
                <w:rFonts w:ascii="Times New Roman"/>
                <w:sz w:val="8"/>
              </w:rPr>
            </w:pPr>
          </w:p>
        </w:tc>
        <w:tc>
          <w:tcPr>
            <w:tcW w:w="908" w:type="dxa"/>
          </w:tcPr>
          <w:p>
            <w:pPr>
              <w:pStyle w:val="TableParagraph"/>
              <w:spacing w:line="127" w:lineRule="exact" w:before="2"/>
              <w:ind w:right="38"/>
              <w:jc w:val="right"/>
              <w:rPr>
                <w:sz w:val="12"/>
              </w:rPr>
            </w:pPr>
            <w:r>
              <w:rPr>
                <w:w w:val="105"/>
                <w:sz w:val="12"/>
              </w:rPr>
              <w:t>98.159,97</w:t>
            </w:r>
          </w:p>
        </w:tc>
        <w:tc>
          <w:tcPr>
            <w:tcW w:w="852" w:type="dxa"/>
          </w:tcPr>
          <w:p>
            <w:pPr>
              <w:pStyle w:val="TableParagraph"/>
              <w:rPr>
                <w:rFonts w:ascii="Times New Roman"/>
                <w:sz w:val="8"/>
              </w:rPr>
            </w:pPr>
          </w:p>
        </w:tc>
        <w:tc>
          <w:tcPr>
            <w:tcW w:w="886" w:type="dxa"/>
          </w:tcPr>
          <w:p>
            <w:pPr>
              <w:pStyle w:val="TableParagraph"/>
              <w:spacing w:line="127" w:lineRule="exact" w:before="2"/>
              <w:ind w:right="38"/>
              <w:jc w:val="right"/>
              <w:rPr>
                <w:sz w:val="12"/>
              </w:rPr>
            </w:pPr>
            <w:r>
              <w:rPr>
                <w:w w:val="105"/>
                <w:sz w:val="12"/>
              </w:rPr>
              <w:t>2.256,00</w:t>
            </w:r>
          </w:p>
        </w:tc>
      </w:tr>
      <w:tr>
        <w:trPr>
          <w:trHeight w:val="150" w:hRule="atLeast"/>
        </w:trPr>
        <w:tc>
          <w:tcPr>
            <w:tcW w:w="2205" w:type="dxa"/>
          </w:tcPr>
          <w:p>
            <w:pPr>
              <w:pStyle w:val="TableParagraph"/>
              <w:spacing w:line="128" w:lineRule="exact" w:before="2"/>
              <w:ind w:left="54"/>
              <w:rPr>
                <w:sz w:val="12"/>
              </w:rPr>
            </w:pPr>
            <w:r>
              <w:rPr>
                <w:w w:val="105"/>
                <w:sz w:val="12"/>
              </w:rPr>
              <w:t>Periodificaciones a corto plazo</w:t>
            </w:r>
          </w:p>
        </w:tc>
        <w:tc>
          <w:tcPr>
            <w:tcW w:w="843" w:type="dxa"/>
          </w:tcPr>
          <w:p>
            <w:pPr>
              <w:pStyle w:val="TableParagraph"/>
              <w:spacing w:line="128" w:lineRule="exact" w:before="2"/>
              <w:ind w:left="54"/>
              <w:rPr>
                <w:sz w:val="12"/>
              </w:rPr>
            </w:pPr>
            <w:r>
              <w:rPr>
                <w:w w:val="105"/>
                <w:sz w:val="12"/>
              </w:rPr>
              <w:t>2.977,35</w:t>
            </w: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spacing w:line="128" w:lineRule="exact" w:before="2"/>
              <w:ind w:right="41"/>
              <w:jc w:val="right"/>
              <w:rPr>
                <w:sz w:val="12"/>
              </w:rPr>
            </w:pPr>
            <w:r>
              <w:rPr>
                <w:w w:val="105"/>
                <w:sz w:val="12"/>
              </w:rPr>
              <w:t>3.881.751,89</w:t>
            </w:r>
          </w:p>
        </w:tc>
        <w:tc>
          <w:tcPr>
            <w:tcW w:w="858" w:type="dxa"/>
          </w:tcPr>
          <w:p>
            <w:pPr>
              <w:pStyle w:val="TableParagraph"/>
              <w:spacing w:line="128" w:lineRule="exact" w:before="2"/>
              <w:ind w:left="55"/>
              <w:rPr>
                <w:sz w:val="12"/>
              </w:rPr>
            </w:pPr>
            <w:r>
              <w:rPr>
                <w:w w:val="105"/>
                <w:sz w:val="12"/>
              </w:rPr>
              <w:t>1.224.986,76</w:t>
            </w:r>
          </w:p>
        </w:tc>
        <w:tc>
          <w:tcPr>
            <w:tcW w:w="889" w:type="dxa"/>
          </w:tcPr>
          <w:p>
            <w:pPr>
              <w:pStyle w:val="TableParagraph"/>
              <w:spacing w:line="128" w:lineRule="exact" w:before="2"/>
              <w:ind w:right="98"/>
              <w:jc w:val="right"/>
              <w:rPr>
                <w:sz w:val="12"/>
              </w:rPr>
            </w:pPr>
            <w:r>
              <w:rPr>
                <w:w w:val="105"/>
                <w:sz w:val="12"/>
              </w:rPr>
              <w:t>15.531.590,00</w:t>
            </w:r>
          </w:p>
        </w:tc>
        <w:tc>
          <w:tcPr>
            <w:tcW w:w="883" w:type="dxa"/>
          </w:tcPr>
          <w:p>
            <w:pPr>
              <w:pStyle w:val="TableParagraph"/>
              <w:spacing w:line="128" w:lineRule="exact" w:before="2"/>
              <w:ind w:left="55"/>
              <w:rPr>
                <w:sz w:val="12"/>
              </w:rPr>
            </w:pPr>
            <w:r>
              <w:rPr>
                <w:w w:val="105"/>
                <w:sz w:val="12"/>
              </w:rPr>
              <w:t>5.996.282,96</w:t>
            </w:r>
          </w:p>
        </w:tc>
        <w:tc>
          <w:tcPr>
            <w:tcW w:w="841" w:type="dxa"/>
          </w:tcPr>
          <w:p>
            <w:pPr>
              <w:pStyle w:val="TableParagraph"/>
              <w:spacing w:line="128" w:lineRule="exact" w:before="2"/>
              <w:ind w:left="56"/>
              <w:rPr>
                <w:sz w:val="12"/>
              </w:rPr>
            </w:pPr>
            <w:r>
              <w:rPr>
                <w:w w:val="105"/>
                <w:sz w:val="12"/>
              </w:rPr>
              <w:t>451.619,22</w:t>
            </w:r>
          </w:p>
        </w:tc>
        <w:tc>
          <w:tcPr>
            <w:tcW w:w="908" w:type="dxa"/>
          </w:tcPr>
          <w:p>
            <w:pPr>
              <w:pStyle w:val="TableParagraph"/>
              <w:spacing w:line="128" w:lineRule="exact" w:before="2"/>
              <w:ind w:left="55"/>
              <w:rPr>
                <w:sz w:val="12"/>
              </w:rPr>
            </w:pPr>
            <w:r>
              <w:rPr>
                <w:w w:val="105"/>
                <w:sz w:val="12"/>
              </w:rPr>
              <w:t>781.323,25</w:t>
            </w:r>
          </w:p>
        </w:tc>
        <w:tc>
          <w:tcPr>
            <w:tcW w:w="852" w:type="dxa"/>
          </w:tcPr>
          <w:p>
            <w:pPr>
              <w:pStyle w:val="TableParagraph"/>
              <w:spacing w:line="128" w:lineRule="exact" w:before="2"/>
              <w:ind w:left="57"/>
              <w:rPr>
                <w:sz w:val="12"/>
              </w:rPr>
            </w:pPr>
            <w:r>
              <w:rPr>
                <w:w w:val="105"/>
                <w:sz w:val="12"/>
              </w:rPr>
              <w:t>37.029,24</w:t>
            </w:r>
          </w:p>
        </w:tc>
        <w:tc>
          <w:tcPr>
            <w:tcW w:w="886" w:type="dxa"/>
          </w:tcPr>
          <w:p>
            <w:pPr>
              <w:pStyle w:val="TableParagraph"/>
              <w:spacing w:line="128" w:lineRule="exact" w:before="2"/>
              <w:ind w:right="38"/>
              <w:jc w:val="right"/>
              <w:rPr>
                <w:sz w:val="12"/>
              </w:rPr>
            </w:pPr>
            <w:r>
              <w:rPr>
                <w:w w:val="105"/>
                <w:sz w:val="12"/>
              </w:rPr>
              <w:t>2.502.060,00</w:t>
            </w:r>
          </w:p>
        </w:tc>
      </w:tr>
      <w:tr>
        <w:trPr>
          <w:trHeight w:val="148" w:hRule="atLeast"/>
        </w:trPr>
        <w:tc>
          <w:tcPr>
            <w:tcW w:w="2205" w:type="dxa"/>
          </w:tcPr>
          <w:p>
            <w:pPr>
              <w:pStyle w:val="TableParagraph"/>
              <w:spacing w:line="127" w:lineRule="exact" w:before="2"/>
              <w:ind w:left="651"/>
              <w:rPr>
                <w:b/>
                <w:sz w:val="12"/>
              </w:rPr>
            </w:pPr>
            <w:r>
              <w:rPr>
                <w:b/>
                <w:w w:val="105"/>
                <w:sz w:val="12"/>
              </w:rPr>
              <w:t>TOTAL PATR. NETO Y PASIVO</w:t>
            </w:r>
          </w:p>
        </w:tc>
        <w:tc>
          <w:tcPr>
            <w:tcW w:w="843" w:type="dxa"/>
          </w:tcPr>
          <w:p>
            <w:pPr>
              <w:pStyle w:val="TableParagraph"/>
              <w:rPr>
                <w:rFonts w:ascii="Times New Roman"/>
                <w:sz w:val="8"/>
              </w:rPr>
            </w:pPr>
          </w:p>
        </w:tc>
        <w:tc>
          <w:tcPr>
            <w:tcW w:w="864" w:type="dxa"/>
          </w:tcPr>
          <w:p>
            <w:pPr>
              <w:pStyle w:val="TableParagraph"/>
              <w:rPr>
                <w:rFonts w:ascii="Times New Roman"/>
                <w:sz w:val="8"/>
              </w:rPr>
            </w:pPr>
          </w:p>
        </w:tc>
        <w:tc>
          <w:tcPr>
            <w:tcW w:w="660" w:type="dxa"/>
          </w:tcPr>
          <w:p>
            <w:pPr>
              <w:pStyle w:val="TableParagraph"/>
              <w:rPr>
                <w:rFonts w:ascii="Times New Roman"/>
                <w:sz w:val="8"/>
              </w:rPr>
            </w:pPr>
          </w:p>
        </w:tc>
        <w:tc>
          <w:tcPr>
            <w:tcW w:w="850" w:type="dxa"/>
          </w:tcPr>
          <w:p>
            <w:pPr>
              <w:pStyle w:val="TableParagraph"/>
              <w:rPr>
                <w:rFonts w:ascii="Times New Roman"/>
                <w:sz w:val="8"/>
              </w:rPr>
            </w:pPr>
          </w:p>
        </w:tc>
        <w:tc>
          <w:tcPr>
            <w:tcW w:w="858" w:type="dxa"/>
          </w:tcPr>
          <w:p>
            <w:pPr>
              <w:pStyle w:val="TableParagraph"/>
              <w:rPr>
                <w:rFonts w:ascii="Times New Roman"/>
                <w:sz w:val="8"/>
              </w:rPr>
            </w:pPr>
          </w:p>
        </w:tc>
        <w:tc>
          <w:tcPr>
            <w:tcW w:w="889" w:type="dxa"/>
          </w:tcPr>
          <w:p>
            <w:pPr>
              <w:pStyle w:val="TableParagraph"/>
              <w:rPr>
                <w:rFonts w:ascii="Times New Roman"/>
                <w:sz w:val="8"/>
              </w:rPr>
            </w:pPr>
          </w:p>
        </w:tc>
        <w:tc>
          <w:tcPr>
            <w:tcW w:w="883" w:type="dxa"/>
          </w:tcPr>
          <w:p>
            <w:pPr>
              <w:pStyle w:val="TableParagraph"/>
              <w:rPr>
                <w:rFonts w:ascii="Times New Roman"/>
                <w:sz w:val="8"/>
              </w:rPr>
            </w:pPr>
          </w:p>
        </w:tc>
        <w:tc>
          <w:tcPr>
            <w:tcW w:w="841" w:type="dxa"/>
          </w:tcPr>
          <w:p>
            <w:pPr>
              <w:pStyle w:val="TableParagraph"/>
              <w:rPr>
                <w:rFonts w:ascii="Times New Roman"/>
                <w:sz w:val="8"/>
              </w:rPr>
            </w:pPr>
          </w:p>
        </w:tc>
        <w:tc>
          <w:tcPr>
            <w:tcW w:w="908" w:type="dxa"/>
          </w:tcPr>
          <w:p>
            <w:pPr>
              <w:pStyle w:val="TableParagraph"/>
              <w:rPr>
                <w:rFonts w:ascii="Times New Roman"/>
                <w:sz w:val="8"/>
              </w:rPr>
            </w:pPr>
          </w:p>
        </w:tc>
        <w:tc>
          <w:tcPr>
            <w:tcW w:w="852" w:type="dxa"/>
          </w:tcPr>
          <w:p>
            <w:pPr>
              <w:pStyle w:val="TableParagraph"/>
              <w:spacing w:line="127" w:lineRule="exact" w:before="2"/>
              <w:ind w:right="38"/>
              <w:jc w:val="right"/>
              <w:rPr>
                <w:sz w:val="12"/>
              </w:rPr>
            </w:pPr>
            <w:r>
              <w:rPr>
                <w:w w:val="105"/>
                <w:sz w:val="12"/>
              </w:rPr>
              <w:t>1.550.098,31</w:t>
            </w:r>
          </w:p>
        </w:tc>
        <w:tc>
          <w:tcPr>
            <w:tcW w:w="886" w:type="dxa"/>
          </w:tcPr>
          <w:p>
            <w:pPr>
              <w:pStyle w:val="TableParagraph"/>
              <w:rPr>
                <w:rFonts w:ascii="Times New Roman"/>
                <w:sz w:val="8"/>
              </w:rPr>
            </w:pPr>
          </w:p>
        </w:tc>
      </w:tr>
    </w:tbl>
    <w:p>
      <w:pPr>
        <w:pStyle w:val="BodyText"/>
        <w:spacing w:before="5"/>
        <w:rPr>
          <w:b/>
          <w:sz w:val="18"/>
        </w:rPr>
      </w:pPr>
    </w:p>
    <w:p>
      <w:pPr>
        <w:spacing w:before="68"/>
        <w:ind w:left="11517" w:right="1354" w:firstLine="0"/>
        <w:jc w:val="center"/>
        <w:rPr>
          <w:sz w:val="18"/>
        </w:rPr>
      </w:pPr>
      <w:r>
        <w:rPr>
          <w:w w:val="105"/>
          <w:sz w:val="18"/>
        </w:rPr>
        <w:t>194</w:t>
      </w:r>
    </w:p>
    <w:p>
      <w:pPr>
        <w:spacing w:before="10"/>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21" name="image5.png"/>
                  <wp:cNvGraphicFramePr>
                    <a:graphicFrameLocks noChangeAspect="1"/>
                  </wp:cNvGraphicFramePr>
                  <a:graphic>
                    <a:graphicData uri="http://schemas.openxmlformats.org/drawingml/2006/picture">
                      <pic:pic>
                        <pic:nvPicPr>
                          <pic:cNvPr id="42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196/247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pStyle w:val="BodyText"/>
        <w:spacing w:before="5"/>
        <w:rPr>
          <w:b/>
          <w:sz w:val="16"/>
        </w:rPr>
      </w:pPr>
    </w:p>
    <w:tbl>
      <w:tblPr>
        <w:tblW w:w="0" w:type="auto"/>
        <w:jc w:val="left"/>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5"/>
        <w:gridCol w:w="756"/>
        <w:gridCol w:w="874"/>
        <w:gridCol w:w="875"/>
        <w:gridCol w:w="849"/>
        <w:gridCol w:w="879"/>
        <w:gridCol w:w="728"/>
        <w:gridCol w:w="784"/>
        <w:gridCol w:w="728"/>
        <w:gridCol w:w="756"/>
        <w:gridCol w:w="964"/>
        <w:gridCol w:w="962"/>
        <w:gridCol w:w="843"/>
      </w:tblGrid>
      <w:tr>
        <w:trPr>
          <w:trHeight w:val="452" w:hRule="atLeast"/>
        </w:trPr>
        <w:tc>
          <w:tcPr>
            <w:tcW w:w="1875" w:type="dxa"/>
            <w:shd w:val="clear" w:color="auto" w:fill="D9E1F3"/>
          </w:tcPr>
          <w:p>
            <w:pPr>
              <w:pStyle w:val="TableParagraph"/>
              <w:spacing w:before="6"/>
              <w:rPr>
                <w:b/>
                <w:sz w:val="12"/>
              </w:rPr>
            </w:pPr>
          </w:p>
          <w:p>
            <w:pPr>
              <w:pStyle w:val="TableParagraph"/>
              <w:ind w:left="174"/>
              <w:rPr>
                <w:b/>
                <w:sz w:val="12"/>
              </w:rPr>
            </w:pPr>
            <w:r>
              <w:rPr>
                <w:b/>
                <w:w w:val="105"/>
                <w:sz w:val="12"/>
              </w:rPr>
              <w:t>PATRIMONIO NETO Y PASIVO</w:t>
            </w:r>
          </w:p>
        </w:tc>
        <w:tc>
          <w:tcPr>
            <w:tcW w:w="756" w:type="dxa"/>
            <w:shd w:val="clear" w:color="auto" w:fill="D9E1F3"/>
          </w:tcPr>
          <w:p>
            <w:pPr>
              <w:pStyle w:val="TableParagraph"/>
              <w:spacing w:before="6"/>
              <w:rPr>
                <w:b/>
                <w:sz w:val="12"/>
              </w:rPr>
            </w:pPr>
          </w:p>
          <w:p>
            <w:pPr>
              <w:pStyle w:val="TableParagraph"/>
              <w:ind w:left="27" w:right="22"/>
              <w:jc w:val="center"/>
              <w:rPr>
                <w:b/>
                <w:sz w:val="12"/>
              </w:rPr>
            </w:pPr>
            <w:r>
              <w:rPr>
                <w:b/>
                <w:w w:val="105"/>
                <w:sz w:val="12"/>
              </w:rPr>
              <w:t>ICDC</w:t>
            </w:r>
          </w:p>
        </w:tc>
        <w:tc>
          <w:tcPr>
            <w:tcW w:w="874" w:type="dxa"/>
            <w:shd w:val="clear" w:color="auto" w:fill="D9E1F3"/>
          </w:tcPr>
          <w:p>
            <w:pPr>
              <w:pStyle w:val="TableParagraph"/>
              <w:spacing w:before="6"/>
              <w:rPr>
                <w:b/>
                <w:sz w:val="12"/>
              </w:rPr>
            </w:pPr>
          </w:p>
          <w:p>
            <w:pPr>
              <w:pStyle w:val="TableParagraph"/>
              <w:ind w:left="282" w:right="278"/>
              <w:jc w:val="center"/>
              <w:rPr>
                <w:b/>
                <w:sz w:val="12"/>
              </w:rPr>
            </w:pPr>
            <w:r>
              <w:rPr>
                <w:b/>
                <w:w w:val="105"/>
                <w:sz w:val="12"/>
              </w:rPr>
              <w:t>I.T.C.</w:t>
            </w:r>
          </w:p>
        </w:tc>
        <w:tc>
          <w:tcPr>
            <w:tcW w:w="875" w:type="dxa"/>
            <w:shd w:val="clear" w:color="auto" w:fill="D9E1F3"/>
          </w:tcPr>
          <w:p>
            <w:pPr>
              <w:pStyle w:val="TableParagraph"/>
              <w:spacing w:before="6"/>
              <w:rPr>
                <w:b/>
                <w:sz w:val="12"/>
              </w:rPr>
            </w:pPr>
          </w:p>
          <w:p>
            <w:pPr>
              <w:pStyle w:val="TableParagraph"/>
              <w:ind w:left="189"/>
              <w:rPr>
                <w:b/>
                <w:sz w:val="12"/>
              </w:rPr>
            </w:pPr>
            <w:r>
              <w:rPr>
                <w:b/>
                <w:w w:val="105"/>
                <w:sz w:val="12"/>
              </w:rPr>
              <w:t>PROEXCA</w:t>
            </w:r>
          </w:p>
        </w:tc>
        <w:tc>
          <w:tcPr>
            <w:tcW w:w="849" w:type="dxa"/>
            <w:shd w:val="clear" w:color="auto" w:fill="D9E1F3"/>
          </w:tcPr>
          <w:p>
            <w:pPr>
              <w:pStyle w:val="TableParagraph"/>
              <w:spacing w:before="6"/>
              <w:rPr>
                <w:b/>
                <w:sz w:val="12"/>
              </w:rPr>
            </w:pPr>
          </w:p>
          <w:p>
            <w:pPr>
              <w:pStyle w:val="TableParagraph"/>
              <w:ind w:right="102"/>
              <w:jc w:val="right"/>
              <w:rPr>
                <w:b/>
                <w:sz w:val="12"/>
              </w:rPr>
            </w:pPr>
            <w:r>
              <w:rPr>
                <w:b/>
                <w:sz w:val="12"/>
              </w:rPr>
              <w:t>PROMOTUR</w:t>
            </w:r>
          </w:p>
        </w:tc>
        <w:tc>
          <w:tcPr>
            <w:tcW w:w="879" w:type="dxa"/>
            <w:shd w:val="clear" w:color="auto" w:fill="D9E1F3"/>
          </w:tcPr>
          <w:p>
            <w:pPr>
              <w:pStyle w:val="TableParagraph"/>
              <w:spacing w:line="249" w:lineRule="auto" w:before="76"/>
              <w:ind w:left="164" w:firstLine="29"/>
              <w:rPr>
                <w:b/>
                <w:sz w:val="12"/>
              </w:rPr>
            </w:pPr>
            <w:r>
              <w:rPr>
                <w:b/>
                <w:w w:val="105"/>
                <w:sz w:val="12"/>
              </w:rPr>
              <w:t>PUERTOS CANARIOS</w:t>
            </w:r>
          </w:p>
        </w:tc>
        <w:tc>
          <w:tcPr>
            <w:tcW w:w="728" w:type="dxa"/>
            <w:shd w:val="clear" w:color="auto" w:fill="D9E1F3"/>
          </w:tcPr>
          <w:p>
            <w:pPr>
              <w:pStyle w:val="TableParagraph"/>
              <w:spacing w:before="6"/>
              <w:rPr>
                <w:b/>
                <w:sz w:val="12"/>
              </w:rPr>
            </w:pPr>
          </w:p>
          <w:p>
            <w:pPr>
              <w:pStyle w:val="TableParagraph"/>
              <w:ind w:left="236" w:right="237"/>
              <w:jc w:val="center"/>
              <w:rPr>
                <w:b/>
                <w:sz w:val="12"/>
              </w:rPr>
            </w:pPr>
            <w:r>
              <w:rPr>
                <w:b/>
                <w:w w:val="105"/>
                <w:sz w:val="12"/>
              </w:rPr>
              <w:t>RPC</w:t>
            </w:r>
          </w:p>
        </w:tc>
        <w:tc>
          <w:tcPr>
            <w:tcW w:w="784" w:type="dxa"/>
            <w:shd w:val="clear" w:color="auto" w:fill="D9E1F3"/>
          </w:tcPr>
          <w:p>
            <w:pPr>
              <w:pStyle w:val="TableParagraph"/>
              <w:spacing w:before="2"/>
              <w:ind w:left="46" w:right="46"/>
              <w:jc w:val="center"/>
              <w:rPr>
                <w:b/>
                <w:sz w:val="12"/>
              </w:rPr>
            </w:pPr>
            <w:r>
              <w:rPr>
                <w:b/>
                <w:w w:val="105"/>
                <w:sz w:val="12"/>
              </w:rPr>
              <w:t>GESPROTUR</w:t>
            </w:r>
          </w:p>
          <w:p>
            <w:pPr>
              <w:pStyle w:val="TableParagraph"/>
              <w:spacing w:line="150" w:lineRule="atLeast" w:before="1"/>
              <w:ind w:left="111" w:right="107" w:hanging="2"/>
              <w:jc w:val="center"/>
              <w:rPr>
                <w:b/>
                <w:sz w:val="12"/>
              </w:rPr>
            </w:pPr>
            <w:r>
              <w:rPr>
                <w:b/>
                <w:w w:val="105"/>
                <w:sz w:val="12"/>
              </w:rPr>
              <w:t>(antes </w:t>
            </w:r>
            <w:r>
              <w:rPr>
                <w:b/>
                <w:spacing w:val="-1"/>
                <w:w w:val="105"/>
                <w:sz w:val="12"/>
              </w:rPr>
              <w:t>SATURNO)</w:t>
            </w:r>
          </w:p>
        </w:tc>
        <w:tc>
          <w:tcPr>
            <w:tcW w:w="728" w:type="dxa"/>
            <w:shd w:val="clear" w:color="auto" w:fill="D9E1F3"/>
          </w:tcPr>
          <w:p>
            <w:pPr>
              <w:pStyle w:val="TableParagraph"/>
              <w:spacing w:before="6"/>
              <w:rPr>
                <w:b/>
                <w:sz w:val="12"/>
              </w:rPr>
            </w:pPr>
          </w:p>
          <w:p>
            <w:pPr>
              <w:pStyle w:val="TableParagraph"/>
              <w:ind w:right="103"/>
              <w:jc w:val="right"/>
              <w:rPr>
                <w:b/>
                <w:sz w:val="12"/>
              </w:rPr>
            </w:pPr>
            <w:r>
              <w:rPr>
                <w:b/>
                <w:sz w:val="12"/>
              </w:rPr>
              <w:t>SODECAN</w:t>
            </w:r>
          </w:p>
        </w:tc>
        <w:tc>
          <w:tcPr>
            <w:tcW w:w="756" w:type="dxa"/>
            <w:shd w:val="clear" w:color="auto" w:fill="D9E1F3"/>
          </w:tcPr>
          <w:p>
            <w:pPr>
              <w:pStyle w:val="TableParagraph"/>
              <w:spacing w:before="6"/>
              <w:rPr>
                <w:b/>
                <w:sz w:val="12"/>
              </w:rPr>
            </w:pPr>
          </w:p>
          <w:p>
            <w:pPr>
              <w:pStyle w:val="TableParagraph"/>
              <w:ind w:left="238"/>
              <w:rPr>
                <w:b/>
                <w:sz w:val="12"/>
              </w:rPr>
            </w:pPr>
            <w:r>
              <w:rPr>
                <w:b/>
                <w:w w:val="105"/>
                <w:sz w:val="12"/>
              </w:rPr>
              <w:t>TVPC</w:t>
            </w:r>
          </w:p>
        </w:tc>
        <w:tc>
          <w:tcPr>
            <w:tcW w:w="964" w:type="dxa"/>
            <w:shd w:val="clear" w:color="auto" w:fill="D9E1F3"/>
          </w:tcPr>
          <w:p>
            <w:pPr>
              <w:pStyle w:val="TableParagraph"/>
              <w:spacing w:before="6"/>
              <w:rPr>
                <w:b/>
                <w:sz w:val="12"/>
              </w:rPr>
            </w:pPr>
          </w:p>
          <w:p>
            <w:pPr>
              <w:pStyle w:val="TableParagraph"/>
              <w:ind w:left="238"/>
              <w:rPr>
                <w:b/>
                <w:sz w:val="12"/>
              </w:rPr>
            </w:pPr>
            <w:r>
              <w:rPr>
                <w:b/>
                <w:w w:val="105"/>
                <w:sz w:val="12"/>
              </w:rPr>
              <w:t>VISOCAN</w:t>
            </w:r>
          </w:p>
        </w:tc>
        <w:tc>
          <w:tcPr>
            <w:tcW w:w="962" w:type="dxa"/>
            <w:shd w:val="clear" w:color="auto" w:fill="D9E1F3"/>
          </w:tcPr>
          <w:p>
            <w:pPr>
              <w:pStyle w:val="TableParagraph"/>
              <w:spacing w:line="249" w:lineRule="auto" w:before="76"/>
              <w:ind w:left="348" w:hanging="176"/>
              <w:rPr>
                <w:b/>
                <w:sz w:val="12"/>
              </w:rPr>
            </w:pPr>
            <w:r>
              <w:rPr>
                <w:b/>
                <w:sz w:val="12"/>
              </w:rPr>
              <w:t>AGREGADO </w:t>
            </w:r>
            <w:r>
              <w:rPr>
                <w:b/>
                <w:w w:val="105"/>
                <w:sz w:val="12"/>
              </w:rPr>
              <w:t>2022</w:t>
            </w:r>
          </w:p>
        </w:tc>
        <w:tc>
          <w:tcPr>
            <w:tcW w:w="843" w:type="dxa"/>
            <w:shd w:val="clear" w:color="auto" w:fill="D9E1F3"/>
          </w:tcPr>
          <w:p>
            <w:pPr>
              <w:pStyle w:val="TableParagraph"/>
              <w:spacing w:line="249" w:lineRule="auto" w:before="76"/>
              <w:ind w:left="290" w:hanging="176"/>
              <w:rPr>
                <w:b/>
                <w:sz w:val="12"/>
              </w:rPr>
            </w:pPr>
            <w:r>
              <w:rPr>
                <w:b/>
                <w:sz w:val="12"/>
              </w:rPr>
              <w:t>AGREGADO </w:t>
            </w:r>
            <w:r>
              <w:rPr>
                <w:b/>
                <w:w w:val="105"/>
                <w:sz w:val="12"/>
              </w:rPr>
              <w:t>2021</w:t>
            </w:r>
          </w:p>
        </w:tc>
      </w:tr>
      <w:tr>
        <w:trPr>
          <w:trHeight w:val="148" w:hRule="atLeast"/>
        </w:trPr>
        <w:tc>
          <w:tcPr>
            <w:tcW w:w="1875" w:type="dxa"/>
          </w:tcPr>
          <w:p>
            <w:pPr>
              <w:pStyle w:val="TableParagraph"/>
              <w:spacing w:line="127" w:lineRule="exact" w:before="2"/>
              <w:ind w:left="54"/>
              <w:rPr>
                <w:b/>
                <w:sz w:val="12"/>
              </w:rPr>
            </w:pPr>
            <w:r>
              <w:rPr>
                <w:b/>
                <w:w w:val="105"/>
                <w:sz w:val="12"/>
              </w:rPr>
              <w:t>PATRIMONIO NETO</w:t>
            </w:r>
          </w:p>
        </w:tc>
        <w:tc>
          <w:tcPr>
            <w:tcW w:w="756" w:type="dxa"/>
          </w:tcPr>
          <w:p>
            <w:pPr>
              <w:pStyle w:val="TableParagraph"/>
              <w:spacing w:line="123" w:lineRule="exact" w:before="6"/>
              <w:ind w:right="46"/>
              <w:jc w:val="right"/>
              <w:rPr>
                <w:b/>
                <w:sz w:val="11"/>
              </w:rPr>
            </w:pPr>
            <w:r>
              <w:rPr>
                <w:b/>
                <w:w w:val="95"/>
                <w:sz w:val="11"/>
              </w:rPr>
              <w:t>1.975.377,28</w:t>
            </w:r>
          </w:p>
        </w:tc>
        <w:tc>
          <w:tcPr>
            <w:tcW w:w="874" w:type="dxa"/>
          </w:tcPr>
          <w:p>
            <w:pPr>
              <w:pStyle w:val="TableParagraph"/>
              <w:spacing w:line="123" w:lineRule="exact" w:before="6"/>
              <w:ind w:right="47"/>
              <w:jc w:val="right"/>
              <w:rPr>
                <w:b/>
                <w:sz w:val="11"/>
              </w:rPr>
            </w:pPr>
            <w:r>
              <w:rPr>
                <w:b/>
                <w:sz w:val="11"/>
              </w:rPr>
              <w:t>31.916.329,51</w:t>
            </w:r>
          </w:p>
        </w:tc>
        <w:tc>
          <w:tcPr>
            <w:tcW w:w="875" w:type="dxa"/>
          </w:tcPr>
          <w:p>
            <w:pPr>
              <w:pStyle w:val="TableParagraph"/>
              <w:spacing w:line="123" w:lineRule="exact" w:before="6"/>
              <w:ind w:right="47"/>
              <w:jc w:val="right"/>
              <w:rPr>
                <w:b/>
                <w:sz w:val="11"/>
              </w:rPr>
            </w:pPr>
            <w:r>
              <w:rPr>
                <w:b/>
                <w:w w:val="95"/>
                <w:sz w:val="11"/>
              </w:rPr>
              <w:t>4.447.505,53</w:t>
            </w:r>
          </w:p>
        </w:tc>
        <w:tc>
          <w:tcPr>
            <w:tcW w:w="849" w:type="dxa"/>
          </w:tcPr>
          <w:p>
            <w:pPr>
              <w:pStyle w:val="TableParagraph"/>
              <w:spacing w:line="123" w:lineRule="exact" w:before="6"/>
              <w:ind w:right="47"/>
              <w:jc w:val="right"/>
              <w:rPr>
                <w:b/>
                <w:sz w:val="11"/>
              </w:rPr>
            </w:pPr>
            <w:r>
              <w:rPr>
                <w:b/>
                <w:w w:val="95"/>
                <w:sz w:val="11"/>
              </w:rPr>
              <w:t>718.536,68</w:t>
            </w:r>
          </w:p>
        </w:tc>
        <w:tc>
          <w:tcPr>
            <w:tcW w:w="879" w:type="dxa"/>
          </w:tcPr>
          <w:p>
            <w:pPr>
              <w:pStyle w:val="TableParagraph"/>
              <w:spacing w:line="123" w:lineRule="exact" w:before="6"/>
              <w:ind w:right="46"/>
              <w:jc w:val="right"/>
              <w:rPr>
                <w:b/>
                <w:sz w:val="11"/>
              </w:rPr>
            </w:pPr>
            <w:r>
              <w:rPr>
                <w:b/>
                <w:w w:val="95"/>
                <w:sz w:val="11"/>
              </w:rPr>
              <w:t>621.315.071,61</w:t>
            </w:r>
          </w:p>
        </w:tc>
        <w:tc>
          <w:tcPr>
            <w:tcW w:w="728" w:type="dxa"/>
          </w:tcPr>
          <w:p>
            <w:pPr>
              <w:pStyle w:val="TableParagraph"/>
              <w:spacing w:line="123" w:lineRule="exact" w:before="6"/>
              <w:ind w:right="50"/>
              <w:jc w:val="right"/>
              <w:rPr>
                <w:b/>
                <w:sz w:val="11"/>
              </w:rPr>
            </w:pPr>
            <w:r>
              <w:rPr>
                <w:b/>
                <w:w w:val="95"/>
                <w:sz w:val="11"/>
              </w:rPr>
              <w:t>635.291,26</w:t>
            </w:r>
          </w:p>
        </w:tc>
        <w:tc>
          <w:tcPr>
            <w:tcW w:w="784" w:type="dxa"/>
          </w:tcPr>
          <w:p>
            <w:pPr>
              <w:pStyle w:val="TableParagraph"/>
              <w:spacing w:line="123" w:lineRule="exact" w:before="6"/>
              <w:ind w:right="49"/>
              <w:jc w:val="right"/>
              <w:rPr>
                <w:b/>
                <w:sz w:val="11"/>
              </w:rPr>
            </w:pPr>
            <w:r>
              <w:rPr>
                <w:b/>
                <w:w w:val="95"/>
                <w:sz w:val="11"/>
              </w:rPr>
              <w:t>3.866.159,10</w:t>
            </w:r>
          </w:p>
        </w:tc>
        <w:tc>
          <w:tcPr>
            <w:tcW w:w="728" w:type="dxa"/>
          </w:tcPr>
          <w:p>
            <w:pPr>
              <w:pStyle w:val="TableParagraph"/>
              <w:spacing w:line="123" w:lineRule="exact" w:before="6"/>
              <w:ind w:right="49"/>
              <w:jc w:val="right"/>
              <w:rPr>
                <w:b/>
                <w:sz w:val="11"/>
              </w:rPr>
            </w:pPr>
            <w:r>
              <w:rPr>
                <w:b/>
                <w:w w:val="95"/>
                <w:sz w:val="11"/>
              </w:rPr>
              <w:t>5.168.188,45</w:t>
            </w:r>
          </w:p>
        </w:tc>
        <w:tc>
          <w:tcPr>
            <w:tcW w:w="756" w:type="dxa"/>
          </w:tcPr>
          <w:p>
            <w:pPr>
              <w:pStyle w:val="TableParagraph"/>
              <w:spacing w:line="123" w:lineRule="exact" w:before="6"/>
              <w:ind w:right="50"/>
              <w:jc w:val="right"/>
              <w:rPr>
                <w:b/>
                <w:sz w:val="11"/>
              </w:rPr>
            </w:pPr>
            <w:r>
              <w:rPr>
                <w:b/>
                <w:w w:val="95"/>
                <w:sz w:val="11"/>
              </w:rPr>
              <w:t>1.985.911,36</w:t>
            </w:r>
          </w:p>
        </w:tc>
        <w:tc>
          <w:tcPr>
            <w:tcW w:w="964" w:type="dxa"/>
          </w:tcPr>
          <w:p>
            <w:pPr>
              <w:pStyle w:val="TableParagraph"/>
              <w:spacing w:line="123" w:lineRule="exact" w:before="6"/>
              <w:ind w:right="51"/>
              <w:jc w:val="right"/>
              <w:rPr>
                <w:b/>
                <w:sz w:val="11"/>
              </w:rPr>
            </w:pPr>
            <w:r>
              <w:rPr>
                <w:b/>
                <w:w w:val="95"/>
                <w:sz w:val="11"/>
              </w:rPr>
              <w:t>191.670.863,50</w:t>
            </w:r>
          </w:p>
        </w:tc>
        <w:tc>
          <w:tcPr>
            <w:tcW w:w="962" w:type="dxa"/>
          </w:tcPr>
          <w:p>
            <w:pPr>
              <w:pStyle w:val="TableParagraph"/>
              <w:spacing w:line="123" w:lineRule="exact" w:before="6"/>
              <w:ind w:right="49"/>
              <w:jc w:val="right"/>
              <w:rPr>
                <w:b/>
                <w:sz w:val="11"/>
              </w:rPr>
            </w:pPr>
            <w:r>
              <w:rPr>
                <w:b/>
                <w:w w:val="95"/>
                <w:sz w:val="11"/>
              </w:rPr>
              <w:t>999.179.086,30</w:t>
            </w:r>
          </w:p>
        </w:tc>
        <w:tc>
          <w:tcPr>
            <w:tcW w:w="843" w:type="dxa"/>
          </w:tcPr>
          <w:p>
            <w:pPr>
              <w:pStyle w:val="TableParagraph"/>
              <w:spacing w:line="123" w:lineRule="exact" w:before="6"/>
              <w:ind w:right="49"/>
              <w:jc w:val="right"/>
              <w:rPr>
                <w:b/>
                <w:sz w:val="11"/>
              </w:rPr>
            </w:pPr>
            <w:r>
              <w:rPr>
                <w:b/>
                <w:w w:val="95"/>
                <w:sz w:val="11"/>
              </w:rPr>
              <w:t>992.292.393,01</w:t>
            </w:r>
          </w:p>
        </w:tc>
      </w:tr>
      <w:tr>
        <w:trPr>
          <w:trHeight w:val="150" w:hRule="atLeast"/>
        </w:trPr>
        <w:tc>
          <w:tcPr>
            <w:tcW w:w="1875" w:type="dxa"/>
          </w:tcPr>
          <w:p>
            <w:pPr>
              <w:pStyle w:val="TableParagraph"/>
              <w:spacing w:line="127" w:lineRule="exact" w:before="4"/>
              <w:ind w:left="54"/>
              <w:rPr>
                <w:b/>
                <w:sz w:val="12"/>
              </w:rPr>
            </w:pPr>
            <w:r>
              <w:rPr>
                <w:b/>
                <w:w w:val="105"/>
                <w:sz w:val="12"/>
              </w:rPr>
              <w:t>FONDOS PROPIOS</w:t>
            </w:r>
          </w:p>
        </w:tc>
        <w:tc>
          <w:tcPr>
            <w:tcW w:w="756" w:type="dxa"/>
          </w:tcPr>
          <w:p>
            <w:pPr>
              <w:pStyle w:val="TableParagraph"/>
              <w:spacing w:line="123" w:lineRule="exact" w:before="7"/>
              <w:ind w:right="45"/>
              <w:jc w:val="right"/>
              <w:rPr>
                <w:b/>
                <w:sz w:val="11"/>
              </w:rPr>
            </w:pPr>
            <w:r>
              <w:rPr>
                <w:b/>
                <w:w w:val="95"/>
                <w:sz w:val="11"/>
              </w:rPr>
              <w:t>814.347,11</w:t>
            </w:r>
          </w:p>
        </w:tc>
        <w:tc>
          <w:tcPr>
            <w:tcW w:w="874" w:type="dxa"/>
          </w:tcPr>
          <w:p>
            <w:pPr>
              <w:pStyle w:val="TableParagraph"/>
              <w:spacing w:line="123" w:lineRule="exact" w:before="7"/>
              <w:ind w:right="47"/>
              <w:jc w:val="right"/>
              <w:rPr>
                <w:b/>
                <w:sz w:val="11"/>
              </w:rPr>
            </w:pPr>
            <w:r>
              <w:rPr>
                <w:b/>
                <w:w w:val="95"/>
                <w:sz w:val="11"/>
              </w:rPr>
              <w:t>3.927.790,97</w:t>
            </w:r>
          </w:p>
        </w:tc>
        <w:tc>
          <w:tcPr>
            <w:tcW w:w="875" w:type="dxa"/>
          </w:tcPr>
          <w:p>
            <w:pPr>
              <w:pStyle w:val="TableParagraph"/>
              <w:spacing w:line="123" w:lineRule="exact" w:before="7"/>
              <w:ind w:right="47"/>
              <w:jc w:val="right"/>
              <w:rPr>
                <w:b/>
                <w:sz w:val="11"/>
              </w:rPr>
            </w:pPr>
            <w:r>
              <w:rPr>
                <w:b/>
                <w:w w:val="95"/>
                <w:sz w:val="11"/>
              </w:rPr>
              <w:t>2.012.652,59</w:t>
            </w:r>
          </w:p>
        </w:tc>
        <w:tc>
          <w:tcPr>
            <w:tcW w:w="849" w:type="dxa"/>
          </w:tcPr>
          <w:p>
            <w:pPr>
              <w:pStyle w:val="TableParagraph"/>
              <w:spacing w:line="123" w:lineRule="exact" w:before="7"/>
              <w:ind w:right="47"/>
              <w:jc w:val="right"/>
              <w:rPr>
                <w:b/>
                <w:sz w:val="11"/>
              </w:rPr>
            </w:pPr>
            <w:r>
              <w:rPr>
                <w:b/>
                <w:w w:val="95"/>
                <w:sz w:val="11"/>
              </w:rPr>
              <w:t>600.000,00</w:t>
            </w:r>
          </w:p>
        </w:tc>
        <w:tc>
          <w:tcPr>
            <w:tcW w:w="879" w:type="dxa"/>
          </w:tcPr>
          <w:p>
            <w:pPr>
              <w:pStyle w:val="TableParagraph"/>
              <w:spacing w:line="123" w:lineRule="exact" w:before="7"/>
              <w:ind w:right="46"/>
              <w:jc w:val="right"/>
              <w:rPr>
                <w:b/>
                <w:sz w:val="11"/>
              </w:rPr>
            </w:pPr>
            <w:r>
              <w:rPr>
                <w:b/>
                <w:sz w:val="11"/>
              </w:rPr>
              <w:t>38.610.070,90</w:t>
            </w:r>
          </w:p>
        </w:tc>
        <w:tc>
          <w:tcPr>
            <w:tcW w:w="728" w:type="dxa"/>
          </w:tcPr>
          <w:p>
            <w:pPr>
              <w:pStyle w:val="TableParagraph"/>
              <w:spacing w:line="123" w:lineRule="exact" w:before="7"/>
              <w:ind w:right="50"/>
              <w:jc w:val="right"/>
              <w:rPr>
                <w:b/>
                <w:sz w:val="11"/>
              </w:rPr>
            </w:pPr>
            <w:r>
              <w:rPr>
                <w:b/>
                <w:w w:val="95"/>
                <w:sz w:val="11"/>
              </w:rPr>
              <w:t>168.926,38</w:t>
            </w:r>
          </w:p>
        </w:tc>
        <w:tc>
          <w:tcPr>
            <w:tcW w:w="784" w:type="dxa"/>
          </w:tcPr>
          <w:p>
            <w:pPr>
              <w:pStyle w:val="TableParagraph"/>
              <w:spacing w:line="123" w:lineRule="exact" w:before="7"/>
              <w:ind w:right="48"/>
              <w:jc w:val="right"/>
              <w:rPr>
                <w:b/>
                <w:sz w:val="11"/>
              </w:rPr>
            </w:pPr>
            <w:r>
              <w:rPr>
                <w:b/>
                <w:w w:val="95"/>
                <w:sz w:val="11"/>
              </w:rPr>
              <w:t>690.823,69</w:t>
            </w:r>
          </w:p>
        </w:tc>
        <w:tc>
          <w:tcPr>
            <w:tcW w:w="728" w:type="dxa"/>
          </w:tcPr>
          <w:p>
            <w:pPr>
              <w:pStyle w:val="TableParagraph"/>
              <w:spacing w:line="123" w:lineRule="exact" w:before="7"/>
              <w:ind w:right="49"/>
              <w:jc w:val="right"/>
              <w:rPr>
                <w:b/>
                <w:sz w:val="11"/>
              </w:rPr>
            </w:pPr>
            <w:r>
              <w:rPr>
                <w:b/>
                <w:w w:val="95"/>
                <w:sz w:val="11"/>
              </w:rPr>
              <w:t>5.155.407,71</w:t>
            </w:r>
          </w:p>
        </w:tc>
        <w:tc>
          <w:tcPr>
            <w:tcW w:w="756" w:type="dxa"/>
          </w:tcPr>
          <w:p>
            <w:pPr>
              <w:pStyle w:val="TableParagraph"/>
              <w:spacing w:line="123" w:lineRule="exact" w:before="7"/>
              <w:ind w:right="50"/>
              <w:jc w:val="right"/>
              <w:rPr>
                <w:b/>
                <w:sz w:val="11"/>
              </w:rPr>
            </w:pPr>
            <w:r>
              <w:rPr>
                <w:b/>
                <w:w w:val="95"/>
                <w:sz w:val="11"/>
              </w:rPr>
              <w:t>833.838,53</w:t>
            </w:r>
          </w:p>
        </w:tc>
        <w:tc>
          <w:tcPr>
            <w:tcW w:w="964" w:type="dxa"/>
          </w:tcPr>
          <w:p>
            <w:pPr>
              <w:pStyle w:val="TableParagraph"/>
              <w:spacing w:line="123" w:lineRule="exact" w:before="7"/>
              <w:ind w:right="51"/>
              <w:jc w:val="right"/>
              <w:rPr>
                <w:b/>
                <w:sz w:val="11"/>
              </w:rPr>
            </w:pPr>
            <w:r>
              <w:rPr>
                <w:b/>
                <w:w w:val="95"/>
                <w:sz w:val="11"/>
              </w:rPr>
              <w:t>140.893.455,30</w:t>
            </w:r>
          </w:p>
        </w:tc>
        <w:tc>
          <w:tcPr>
            <w:tcW w:w="962" w:type="dxa"/>
          </w:tcPr>
          <w:p>
            <w:pPr>
              <w:pStyle w:val="TableParagraph"/>
              <w:spacing w:line="123" w:lineRule="exact" w:before="7"/>
              <w:ind w:right="49"/>
              <w:jc w:val="right"/>
              <w:rPr>
                <w:b/>
                <w:sz w:val="11"/>
              </w:rPr>
            </w:pPr>
            <w:r>
              <w:rPr>
                <w:b/>
                <w:w w:val="95"/>
                <w:sz w:val="11"/>
              </w:rPr>
              <w:t>268.258.444,68</w:t>
            </w:r>
          </w:p>
        </w:tc>
        <w:tc>
          <w:tcPr>
            <w:tcW w:w="843" w:type="dxa"/>
          </w:tcPr>
          <w:p>
            <w:pPr>
              <w:pStyle w:val="TableParagraph"/>
              <w:spacing w:line="123" w:lineRule="exact" w:before="7"/>
              <w:ind w:right="49"/>
              <w:jc w:val="right"/>
              <w:rPr>
                <w:b/>
                <w:sz w:val="11"/>
              </w:rPr>
            </w:pPr>
            <w:r>
              <w:rPr>
                <w:b/>
                <w:w w:val="95"/>
                <w:sz w:val="11"/>
              </w:rPr>
              <w:t>256.204.145,38</w:t>
            </w:r>
          </w:p>
        </w:tc>
      </w:tr>
      <w:tr>
        <w:trPr>
          <w:trHeight w:val="148" w:hRule="atLeast"/>
        </w:trPr>
        <w:tc>
          <w:tcPr>
            <w:tcW w:w="1875" w:type="dxa"/>
          </w:tcPr>
          <w:p>
            <w:pPr>
              <w:pStyle w:val="TableParagraph"/>
              <w:spacing w:line="127" w:lineRule="exact" w:before="2"/>
              <w:ind w:left="54"/>
              <w:rPr>
                <w:sz w:val="12"/>
              </w:rPr>
            </w:pPr>
            <w:r>
              <w:rPr>
                <w:w w:val="105"/>
                <w:sz w:val="12"/>
              </w:rPr>
              <w:t>Capital o Patrimonio</w:t>
            </w:r>
          </w:p>
        </w:tc>
        <w:tc>
          <w:tcPr>
            <w:tcW w:w="756" w:type="dxa"/>
          </w:tcPr>
          <w:p>
            <w:pPr>
              <w:pStyle w:val="TableParagraph"/>
              <w:spacing w:line="123" w:lineRule="exact" w:before="6"/>
              <w:ind w:right="46"/>
              <w:jc w:val="right"/>
              <w:rPr>
                <w:sz w:val="11"/>
              </w:rPr>
            </w:pPr>
            <w:r>
              <w:rPr>
                <w:sz w:val="11"/>
              </w:rPr>
              <w:t>421.346,64</w:t>
            </w:r>
          </w:p>
        </w:tc>
        <w:tc>
          <w:tcPr>
            <w:tcW w:w="874" w:type="dxa"/>
          </w:tcPr>
          <w:p>
            <w:pPr>
              <w:pStyle w:val="TableParagraph"/>
              <w:spacing w:line="123" w:lineRule="exact" w:before="6"/>
              <w:ind w:right="47"/>
              <w:jc w:val="right"/>
              <w:rPr>
                <w:sz w:val="11"/>
              </w:rPr>
            </w:pPr>
            <w:r>
              <w:rPr>
                <w:sz w:val="11"/>
              </w:rPr>
              <w:t>2.512.221,80</w:t>
            </w:r>
          </w:p>
        </w:tc>
        <w:tc>
          <w:tcPr>
            <w:tcW w:w="875" w:type="dxa"/>
          </w:tcPr>
          <w:p>
            <w:pPr>
              <w:pStyle w:val="TableParagraph"/>
              <w:spacing w:line="123" w:lineRule="exact" w:before="6"/>
              <w:ind w:right="46"/>
              <w:jc w:val="right"/>
              <w:rPr>
                <w:sz w:val="11"/>
              </w:rPr>
            </w:pPr>
            <w:r>
              <w:rPr>
                <w:sz w:val="11"/>
              </w:rPr>
              <w:t>1.602.900,00</w:t>
            </w:r>
          </w:p>
        </w:tc>
        <w:tc>
          <w:tcPr>
            <w:tcW w:w="849" w:type="dxa"/>
          </w:tcPr>
          <w:p>
            <w:pPr>
              <w:pStyle w:val="TableParagraph"/>
              <w:spacing w:line="123" w:lineRule="exact" w:before="6"/>
              <w:ind w:right="47"/>
              <w:jc w:val="right"/>
              <w:rPr>
                <w:sz w:val="11"/>
              </w:rPr>
            </w:pPr>
            <w:r>
              <w:rPr>
                <w:sz w:val="11"/>
              </w:rPr>
              <w:t>600.000,00</w:t>
            </w:r>
          </w:p>
        </w:tc>
        <w:tc>
          <w:tcPr>
            <w:tcW w:w="879" w:type="dxa"/>
          </w:tcPr>
          <w:p>
            <w:pPr>
              <w:pStyle w:val="TableParagraph"/>
              <w:spacing w:line="123" w:lineRule="exact" w:before="6"/>
              <w:ind w:right="46"/>
              <w:jc w:val="right"/>
              <w:rPr>
                <w:sz w:val="11"/>
              </w:rPr>
            </w:pPr>
            <w:r>
              <w:rPr>
                <w:sz w:val="11"/>
              </w:rPr>
              <w:t>1.236.124,43</w:t>
            </w:r>
          </w:p>
        </w:tc>
        <w:tc>
          <w:tcPr>
            <w:tcW w:w="728" w:type="dxa"/>
          </w:tcPr>
          <w:p>
            <w:pPr>
              <w:pStyle w:val="TableParagraph"/>
              <w:spacing w:line="123" w:lineRule="exact" w:before="6"/>
              <w:ind w:right="50"/>
              <w:jc w:val="right"/>
              <w:rPr>
                <w:sz w:val="11"/>
              </w:rPr>
            </w:pPr>
            <w:r>
              <w:rPr>
                <w:sz w:val="11"/>
              </w:rPr>
              <w:t>124.000,00</w:t>
            </w:r>
          </w:p>
        </w:tc>
        <w:tc>
          <w:tcPr>
            <w:tcW w:w="784" w:type="dxa"/>
          </w:tcPr>
          <w:p>
            <w:pPr>
              <w:pStyle w:val="TableParagraph"/>
              <w:spacing w:line="123" w:lineRule="exact" w:before="6"/>
              <w:ind w:right="48"/>
              <w:jc w:val="right"/>
              <w:rPr>
                <w:sz w:val="11"/>
              </w:rPr>
            </w:pPr>
            <w:r>
              <w:rPr>
                <w:sz w:val="11"/>
              </w:rPr>
              <w:t>4.796.076,59</w:t>
            </w:r>
          </w:p>
        </w:tc>
        <w:tc>
          <w:tcPr>
            <w:tcW w:w="728" w:type="dxa"/>
          </w:tcPr>
          <w:p>
            <w:pPr>
              <w:pStyle w:val="TableParagraph"/>
              <w:spacing w:line="123" w:lineRule="exact" w:before="6"/>
              <w:ind w:right="49"/>
              <w:jc w:val="right"/>
              <w:rPr>
                <w:sz w:val="11"/>
              </w:rPr>
            </w:pPr>
            <w:r>
              <w:rPr>
                <w:sz w:val="11"/>
              </w:rPr>
              <w:t>5.752.819,13</w:t>
            </w:r>
          </w:p>
        </w:tc>
        <w:tc>
          <w:tcPr>
            <w:tcW w:w="756" w:type="dxa"/>
          </w:tcPr>
          <w:p>
            <w:pPr>
              <w:pStyle w:val="TableParagraph"/>
              <w:spacing w:line="123" w:lineRule="exact" w:before="6"/>
              <w:ind w:right="50"/>
              <w:jc w:val="right"/>
              <w:rPr>
                <w:sz w:val="11"/>
              </w:rPr>
            </w:pPr>
            <w:r>
              <w:rPr>
                <w:sz w:val="11"/>
              </w:rPr>
              <w:t>811.366,34</w:t>
            </w:r>
          </w:p>
        </w:tc>
        <w:tc>
          <w:tcPr>
            <w:tcW w:w="964" w:type="dxa"/>
          </w:tcPr>
          <w:p>
            <w:pPr>
              <w:pStyle w:val="TableParagraph"/>
              <w:spacing w:line="123" w:lineRule="exact" w:before="6"/>
              <w:ind w:right="51"/>
              <w:jc w:val="right"/>
              <w:rPr>
                <w:sz w:val="11"/>
              </w:rPr>
            </w:pPr>
            <w:r>
              <w:rPr>
                <w:sz w:val="11"/>
              </w:rPr>
              <w:t>13.044.000,00</w:t>
            </w:r>
          </w:p>
        </w:tc>
        <w:tc>
          <w:tcPr>
            <w:tcW w:w="962" w:type="dxa"/>
          </w:tcPr>
          <w:p>
            <w:pPr>
              <w:pStyle w:val="TableParagraph"/>
              <w:spacing w:line="123" w:lineRule="exact" w:before="6"/>
              <w:ind w:right="49"/>
              <w:jc w:val="right"/>
              <w:rPr>
                <w:sz w:val="11"/>
              </w:rPr>
            </w:pPr>
            <w:r>
              <w:rPr>
                <w:sz w:val="11"/>
              </w:rPr>
              <w:t>61.067.747,64</w:t>
            </w:r>
          </w:p>
        </w:tc>
        <w:tc>
          <w:tcPr>
            <w:tcW w:w="843" w:type="dxa"/>
          </w:tcPr>
          <w:p>
            <w:pPr>
              <w:pStyle w:val="TableParagraph"/>
              <w:spacing w:line="123" w:lineRule="exact" w:before="6"/>
              <w:ind w:right="49"/>
              <w:jc w:val="right"/>
              <w:rPr>
                <w:sz w:val="11"/>
              </w:rPr>
            </w:pPr>
            <w:r>
              <w:rPr>
                <w:sz w:val="11"/>
              </w:rPr>
              <w:t>61.067.747,64</w:t>
            </w:r>
          </w:p>
        </w:tc>
      </w:tr>
      <w:tr>
        <w:trPr>
          <w:trHeight w:val="150" w:hRule="atLeast"/>
        </w:trPr>
        <w:tc>
          <w:tcPr>
            <w:tcW w:w="1875" w:type="dxa"/>
          </w:tcPr>
          <w:p>
            <w:pPr>
              <w:pStyle w:val="TableParagraph"/>
              <w:spacing w:line="127" w:lineRule="exact" w:before="4"/>
              <w:ind w:left="54"/>
              <w:rPr>
                <w:sz w:val="12"/>
              </w:rPr>
            </w:pPr>
            <w:r>
              <w:rPr>
                <w:w w:val="105"/>
                <w:sz w:val="12"/>
              </w:rPr>
              <w:t>Prima de emisión</w:t>
            </w:r>
          </w:p>
        </w:tc>
        <w:tc>
          <w:tcPr>
            <w:tcW w:w="756" w:type="dxa"/>
          </w:tcPr>
          <w:p>
            <w:pPr>
              <w:pStyle w:val="TableParagraph"/>
              <w:rPr>
                <w:rFonts w:ascii="Times New Roman"/>
                <w:sz w:val="8"/>
              </w:rPr>
            </w:pPr>
          </w:p>
        </w:tc>
        <w:tc>
          <w:tcPr>
            <w:tcW w:w="874" w:type="dxa"/>
          </w:tcPr>
          <w:p>
            <w:pPr>
              <w:pStyle w:val="TableParagraph"/>
              <w:rPr>
                <w:rFonts w:ascii="Times New Roman"/>
                <w:sz w:val="8"/>
              </w:rPr>
            </w:pP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rPr>
                <w:rFonts w:ascii="Times New Roman"/>
                <w:sz w:val="8"/>
              </w:rPr>
            </w:pPr>
          </w:p>
        </w:tc>
        <w:tc>
          <w:tcPr>
            <w:tcW w:w="728" w:type="dxa"/>
          </w:tcPr>
          <w:p>
            <w:pPr>
              <w:pStyle w:val="TableParagraph"/>
              <w:rPr>
                <w:rFonts w:ascii="Times New Roman"/>
                <w:sz w:val="8"/>
              </w:rPr>
            </w:pPr>
          </w:p>
        </w:tc>
        <w:tc>
          <w:tcPr>
            <w:tcW w:w="756" w:type="dxa"/>
          </w:tcPr>
          <w:p>
            <w:pPr>
              <w:pStyle w:val="TableParagraph"/>
              <w:rPr>
                <w:rFonts w:ascii="Times New Roman"/>
                <w:sz w:val="8"/>
              </w:rPr>
            </w:pPr>
          </w:p>
        </w:tc>
        <w:tc>
          <w:tcPr>
            <w:tcW w:w="964" w:type="dxa"/>
          </w:tcPr>
          <w:p>
            <w:pPr>
              <w:pStyle w:val="TableParagraph"/>
              <w:spacing w:line="123" w:lineRule="exact" w:before="7"/>
              <w:ind w:right="51"/>
              <w:jc w:val="right"/>
              <w:rPr>
                <w:sz w:val="11"/>
              </w:rPr>
            </w:pPr>
            <w:r>
              <w:rPr>
                <w:sz w:val="11"/>
              </w:rPr>
              <w:t>23.956.994,34</w:t>
            </w:r>
          </w:p>
        </w:tc>
        <w:tc>
          <w:tcPr>
            <w:tcW w:w="962" w:type="dxa"/>
          </w:tcPr>
          <w:p>
            <w:pPr>
              <w:pStyle w:val="TableParagraph"/>
              <w:spacing w:line="123" w:lineRule="exact" w:before="7"/>
              <w:ind w:right="49"/>
              <w:jc w:val="right"/>
              <w:rPr>
                <w:sz w:val="11"/>
              </w:rPr>
            </w:pPr>
            <w:r>
              <w:rPr>
                <w:sz w:val="11"/>
              </w:rPr>
              <w:t>26.000.090,42</w:t>
            </w:r>
          </w:p>
        </w:tc>
        <w:tc>
          <w:tcPr>
            <w:tcW w:w="843" w:type="dxa"/>
          </w:tcPr>
          <w:p>
            <w:pPr>
              <w:pStyle w:val="TableParagraph"/>
              <w:spacing w:line="123" w:lineRule="exact" w:before="7"/>
              <w:ind w:right="49"/>
              <w:jc w:val="right"/>
              <w:rPr>
                <w:sz w:val="11"/>
              </w:rPr>
            </w:pPr>
            <w:r>
              <w:rPr>
                <w:sz w:val="11"/>
              </w:rPr>
              <w:t>26.000.090,42</w:t>
            </w:r>
          </w:p>
        </w:tc>
      </w:tr>
      <w:tr>
        <w:trPr>
          <w:trHeight w:val="150" w:hRule="atLeast"/>
        </w:trPr>
        <w:tc>
          <w:tcPr>
            <w:tcW w:w="1875" w:type="dxa"/>
          </w:tcPr>
          <w:p>
            <w:pPr>
              <w:pStyle w:val="TableParagraph"/>
              <w:spacing w:line="128" w:lineRule="exact" w:before="2"/>
              <w:ind w:left="54"/>
              <w:rPr>
                <w:sz w:val="12"/>
              </w:rPr>
            </w:pPr>
            <w:r>
              <w:rPr>
                <w:w w:val="105"/>
                <w:sz w:val="12"/>
              </w:rPr>
              <w:t>Reservas</w:t>
            </w:r>
          </w:p>
        </w:tc>
        <w:tc>
          <w:tcPr>
            <w:tcW w:w="756" w:type="dxa"/>
          </w:tcPr>
          <w:p>
            <w:pPr>
              <w:pStyle w:val="TableParagraph"/>
              <w:spacing w:line="124" w:lineRule="exact" w:before="6"/>
              <w:ind w:right="46"/>
              <w:jc w:val="right"/>
              <w:rPr>
                <w:sz w:val="11"/>
              </w:rPr>
            </w:pPr>
            <w:r>
              <w:rPr>
                <w:sz w:val="11"/>
              </w:rPr>
              <w:t>393.000,47</w:t>
            </w:r>
          </w:p>
        </w:tc>
        <w:tc>
          <w:tcPr>
            <w:tcW w:w="874" w:type="dxa"/>
          </w:tcPr>
          <w:p>
            <w:pPr>
              <w:pStyle w:val="TableParagraph"/>
              <w:spacing w:line="124" w:lineRule="exact" w:before="6"/>
              <w:ind w:right="47"/>
              <w:jc w:val="right"/>
              <w:rPr>
                <w:sz w:val="11"/>
              </w:rPr>
            </w:pPr>
            <w:r>
              <w:rPr>
                <w:sz w:val="11"/>
              </w:rPr>
              <w:t>916.987,03</w:t>
            </w:r>
          </w:p>
        </w:tc>
        <w:tc>
          <w:tcPr>
            <w:tcW w:w="875" w:type="dxa"/>
          </w:tcPr>
          <w:p>
            <w:pPr>
              <w:pStyle w:val="TableParagraph"/>
              <w:spacing w:line="124" w:lineRule="exact" w:before="6"/>
              <w:ind w:right="47"/>
              <w:jc w:val="right"/>
              <w:rPr>
                <w:sz w:val="11"/>
              </w:rPr>
            </w:pPr>
            <w:r>
              <w:rPr>
                <w:sz w:val="11"/>
              </w:rPr>
              <w:t>409.752,59</w:t>
            </w:r>
          </w:p>
        </w:tc>
        <w:tc>
          <w:tcPr>
            <w:tcW w:w="849" w:type="dxa"/>
          </w:tcPr>
          <w:p>
            <w:pPr>
              <w:pStyle w:val="TableParagraph"/>
              <w:rPr>
                <w:rFonts w:ascii="Times New Roman"/>
                <w:sz w:val="8"/>
              </w:rPr>
            </w:pPr>
          </w:p>
        </w:tc>
        <w:tc>
          <w:tcPr>
            <w:tcW w:w="879" w:type="dxa"/>
          </w:tcPr>
          <w:p>
            <w:pPr>
              <w:pStyle w:val="TableParagraph"/>
              <w:spacing w:line="124" w:lineRule="exact" w:before="6"/>
              <w:ind w:right="46"/>
              <w:jc w:val="right"/>
              <w:rPr>
                <w:sz w:val="11"/>
              </w:rPr>
            </w:pPr>
            <w:r>
              <w:rPr>
                <w:sz w:val="11"/>
              </w:rPr>
              <w:t>32.274.468,22</w:t>
            </w:r>
          </w:p>
        </w:tc>
        <w:tc>
          <w:tcPr>
            <w:tcW w:w="728" w:type="dxa"/>
          </w:tcPr>
          <w:p>
            <w:pPr>
              <w:pStyle w:val="TableParagraph"/>
              <w:rPr>
                <w:rFonts w:ascii="Times New Roman"/>
                <w:sz w:val="8"/>
              </w:rPr>
            </w:pPr>
          </w:p>
        </w:tc>
        <w:tc>
          <w:tcPr>
            <w:tcW w:w="784" w:type="dxa"/>
          </w:tcPr>
          <w:p>
            <w:pPr>
              <w:pStyle w:val="TableParagraph"/>
              <w:spacing w:line="124" w:lineRule="exact" w:before="6"/>
              <w:ind w:right="49"/>
              <w:jc w:val="right"/>
              <w:rPr>
                <w:sz w:val="11"/>
              </w:rPr>
            </w:pPr>
            <w:r>
              <w:rPr>
                <w:sz w:val="11"/>
              </w:rPr>
              <w:t>-2.466.553,68</w:t>
            </w:r>
          </w:p>
        </w:tc>
        <w:tc>
          <w:tcPr>
            <w:tcW w:w="728" w:type="dxa"/>
          </w:tcPr>
          <w:p>
            <w:pPr>
              <w:pStyle w:val="TableParagraph"/>
              <w:spacing w:line="124" w:lineRule="exact" w:before="6"/>
              <w:ind w:right="49"/>
              <w:jc w:val="right"/>
              <w:rPr>
                <w:sz w:val="11"/>
              </w:rPr>
            </w:pPr>
            <w:r>
              <w:rPr>
                <w:sz w:val="11"/>
              </w:rPr>
              <w:t>1.343.381,31</w:t>
            </w:r>
          </w:p>
        </w:tc>
        <w:tc>
          <w:tcPr>
            <w:tcW w:w="756" w:type="dxa"/>
          </w:tcPr>
          <w:p>
            <w:pPr>
              <w:pStyle w:val="TableParagraph"/>
              <w:spacing w:line="124" w:lineRule="exact" w:before="6"/>
              <w:ind w:right="50"/>
              <w:jc w:val="right"/>
              <w:rPr>
                <w:sz w:val="11"/>
              </w:rPr>
            </w:pPr>
            <w:r>
              <w:rPr>
                <w:w w:val="95"/>
                <w:sz w:val="11"/>
              </w:rPr>
              <w:t>22.090,76</w:t>
            </w:r>
          </w:p>
        </w:tc>
        <w:tc>
          <w:tcPr>
            <w:tcW w:w="964" w:type="dxa"/>
          </w:tcPr>
          <w:p>
            <w:pPr>
              <w:pStyle w:val="TableParagraph"/>
              <w:spacing w:line="124" w:lineRule="exact" w:before="6"/>
              <w:ind w:right="51"/>
              <w:jc w:val="right"/>
              <w:rPr>
                <w:sz w:val="11"/>
              </w:rPr>
            </w:pPr>
            <w:r>
              <w:rPr>
                <w:sz w:val="11"/>
              </w:rPr>
              <w:t>99.464.061,53</w:t>
            </w:r>
          </w:p>
        </w:tc>
        <w:tc>
          <w:tcPr>
            <w:tcW w:w="962" w:type="dxa"/>
          </w:tcPr>
          <w:p>
            <w:pPr>
              <w:pStyle w:val="TableParagraph"/>
              <w:spacing w:line="124" w:lineRule="exact" w:before="6"/>
              <w:ind w:right="49"/>
              <w:jc w:val="right"/>
              <w:rPr>
                <w:sz w:val="11"/>
              </w:rPr>
            </w:pPr>
            <w:r>
              <w:rPr>
                <w:sz w:val="11"/>
              </w:rPr>
              <w:t>228.518.453,73</w:t>
            </w:r>
          </w:p>
        </w:tc>
        <w:tc>
          <w:tcPr>
            <w:tcW w:w="843" w:type="dxa"/>
          </w:tcPr>
          <w:p>
            <w:pPr>
              <w:pStyle w:val="TableParagraph"/>
              <w:spacing w:line="124" w:lineRule="exact" w:before="6"/>
              <w:ind w:right="49"/>
              <w:jc w:val="right"/>
              <w:rPr>
                <w:sz w:val="11"/>
              </w:rPr>
            </w:pPr>
            <w:r>
              <w:rPr>
                <w:sz w:val="11"/>
              </w:rPr>
              <w:t>220.541.251,63</w:t>
            </w:r>
          </w:p>
        </w:tc>
      </w:tr>
      <w:tr>
        <w:trPr>
          <w:trHeight w:val="148" w:hRule="atLeast"/>
        </w:trPr>
        <w:tc>
          <w:tcPr>
            <w:tcW w:w="1875" w:type="dxa"/>
          </w:tcPr>
          <w:p>
            <w:pPr>
              <w:pStyle w:val="TableParagraph"/>
              <w:spacing w:line="127" w:lineRule="exact" w:before="2"/>
              <w:ind w:left="54"/>
              <w:rPr>
                <w:sz w:val="12"/>
              </w:rPr>
            </w:pPr>
            <w:r>
              <w:rPr>
                <w:w w:val="105"/>
                <w:sz w:val="12"/>
              </w:rPr>
              <w:t>(Acc. y particip. en patr. propias)</w:t>
            </w:r>
          </w:p>
        </w:tc>
        <w:tc>
          <w:tcPr>
            <w:tcW w:w="756" w:type="dxa"/>
          </w:tcPr>
          <w:p>
            <w:pPr>
              <w:pStyle w:val="TableParagraph"/>
              <w:rPr>
                <w:rFonts w:ascii="Times New Roman"/>
                <w:sz w:val="8"/>
              </w:rPr>
            </w:pPr>
          </w:p>
        </w:tc>
        <w:tc>
          <w:tcPr>
            <w:tcW w:w="874" w:type="dxa"/>
          </w:tcPr>
          <w:p>
            <w:pPr>
              <w:pStyle w:val="TableParagraph"/>
              <w:rPr>
                <w:rFonts w:ascii="Times New Roman"/>
                <w:sz w:val="8"/>
              </w:rPr>
            </w:pP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rPr>
                <w:rFonts w:ascii="Times New Roman"/>
                <w:sz w:val="8"/>
              </w:rPr>
            </w:pPr>
          </w:p>
        </w:tc>
        <w:tc>
          <w:tcPr>
            <w:tcW w:w="728" w:type="dxa"/>
          </w:tcPr>
          <w:p>
            <w:pPr>
              <w:pStyle w:val="TableParagraph"/>
              <w:rPr>
                <w:rFonts w:ascii="Times New Roman"/>
                <w:sz w:val="8"/>
              </w:rPr>
            </w:pPr>
          </w:p>
        </w:tc>
        <w:tc>
          <w:tcPr>
            <w:tcW w:w="756" w:type="dxa"/>
          </w:tcPr>
          <w:p>
            <w:pPr>
              <w:pStyle w:val="TableParagraph"/>
              <w:rPr>
                <w:rFonts w:ascii="Times New Roman"/>
                <w:sz w:val="8"/>
              </w:rPr>
            </w:pPr>
          </w:p>
        </w:tc>
        <w:tc>
          <w:tcPr>
            <w:tcW w:w="964" w:type="dxa"/>
          </w:tcPr>
          <w:p>
            <w:pPr>
              <w:pStyle w:val="TableParagraph"/>
              <w:rPr>
                <w:rFonts w:ascii="Times New Roman"/>
                <w:sz w:val="8"/>
              </w:rPr>
            </w:pPr>
          </w:p>
        </w:tc>
        <w:tc>
          <w:tcPr>
            <w:tcW w:w="962" w:type="dxa"/>
          </w:tcPr>
          <w:p>
            <w:pPr>
              <w:pStyle w:val="TableParagraph"/>
              <w:spacing w:line="123" w:lineRule="exact" w:before="6"/>
              <w:ind w:right="49"/>
              <w:jc w:val="right"/>
              <w:rPr>
                <w:sz w:val="11"/>
              </w:rPr>
            </w:pPr>
            <w:r>
              <w:rPr>
                <w:sz w:val="11"/>
              </w:rPr>
              <w:t>-1.854.991,61</w:t>
            </w:r>
          </w:p>
        </w:tc>
        <w:tc>
          <w:tcPr>
            <w:tcW w:w="843" w:type="dxa"/>
          </w:tcPr>
          <w:p>
            <w:pPr>
              <w:pStyle w:val="TableParagraph"/>
              <w:spacing w:line="123" w:lineRule="exact" w:before="6"/>
              <w:ind w:right="49"/>
              <w:jc w:val="right"/>
              <w:rPr>
                <w:sz w:val="11"/>
              </w:rPr>
            </w:pPr>
            <w:r>
              <w:rPr>
                <w:sz w:val="11"/>
              </w:rPr>
              <w:t>-1.854.991,61</w:t>
            </w:r>
          </w:p>
        </w:tc>
      </w:tr>
      <w:tr>
        <w:trPr>
          <w:trHeight w:val="150" w:hRule="atLeast"/>
        </w:trPr>
        <w:tc>
          <w:tcPr>
            <w:tcW w:w="1875" w:type="dxa"/>
          </w:tcPr>
          <w:p>
            <w:pPr>
              <w:pStyle w:val="TableParagraph"/>
              <w:spacing w:line="128" w:lineRule="exact" w:before="2"/>
              <w:ind w:left="54"/>
              <w:rPr>
                <w:sz w:val="12"/>
              </w:rPr>
            </w:pPr>
            <w:r>
              <w:rPr>
                <w:w w:val="105"/>
                <w:sz w:val="12"/>
              </w:rPr>
              <w:t>Resultados de ejercicios anteriores</w:t>
            </w:r>
          </w:p>
        </w:tc>
        <w:tc>
          <w:tcPr>
            <w:tcW w:w="756" w:type="dxa"/>
          </w:tcPr>
          <w:p>
            <w:pPr>
              <w:pStyle w:val="TableParagraph"/>
              <w:rPr>
                <w:rFonts w:ascii="Times New Roman"/>
                <w:sz w:val="8"/>
              </w:rPr>
            </w:pPr>
          </w:p>
        </w:tc>
        <w:tc>
          <w:tcPr>
            <w:tcW w:w="874" w:type="dxa"/>
          </w:tcPr>
          <w:p>
            <w:pPr>
              <w:pStyle w:val="TableParagraph"/>
              <w:rPr>
                <w:rFonts w:ascii="Times New Roman"/>
                <w:sz w:val="8"/>
              </w:rPr>
            </w:pP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spacing w:line="124" w:lineRule="exact" w:before="6"/>
              <w:ind w:right="49"/>
              <w:jc w:val="right"/>
              <w:rPr>
                <w:sz w:val="11"/>
              </w:rPr>
            </w:pPr>
            <w:r>
              <w:rPr>
                <w:w w:val="95"/>
                <w:sz w:val="11"/>
              </w:rPr>
              <w:t>-1631672,15</w:t>
            </w:r>
          </w:p>
        </w:tc>
        <w:tc>
          <w:tcPr>
            <w:tcW w:w="728" w:type="dxa"/>
          </w:tcPr>
          <w:p>
            <w:pPr>
              <w:pStyle w:val="TableParagraph"/>
              <w:spacing w:line="124" w:lineRule="exact" w:before="6"/>
              <w:ind w:right="49"/>
              <w:jc w:val="right"/>
              <w:rPr>
                <w:sz w:val="11"/>
              </w:rPr>
            </w:pPr>
            <w:r>
              <w:rPr>
                <w:sz w:val="11"/>
              </w:rPr>
              <w:t>-1.923.023,59</w:t>
            </w:r>
          </w:p>
        </w:tc>
        <w:tc>
          <w:tcPr>
            <w:tcW w:w="756" w:type="dxa"/>
          </w:tcPr>
          <w:p>
            <w:pPr>
              <w:pStyle w:val="TableParagraph"/>
              <w:rPr>
                <w:rFonts w:ascii="Times New Roman"/>
                <w:sz w:val="8"/>
              </w:rPr>
            </w:pPr>
          </w:p>
        </w:tc>
        <w:tc>
          <w:tcPr>
            <w:tcW w:w="964" w:type="dxa"/>
          </w:tcPr>
          <w:p>
            <w:pPr>
              <w:pStyle w:val="TableParagraph"/>
              <w:rPr>
                <w:rFonts w:ascii="Times New Roman"/>
                <w:sz w:val="8"/>
              </w:rPr>
            </w:pPr>
          </w:p>
        </w:tc>
        <w:tc>
          <w:tcPr>
            <w:tcW w:w="962" w:type="dxa"/>
          </w:tcPr>
          <w:p>
            <w:pPr>
              <w:pStyle w:val="TableParagraph"/>
              <w:spacing w:line="124" w:lineRule="exact" w:before="6"/>
              <w:ind w:right="49"/>
              <w:jc w:val="right"/>
              <w:rPr>
                <w:sz w:val="11"/>
              </w:rPr>
            </w:pPr>
            <w:r>
              <w:rPr>
                <w:sz w:val="11"/>
              </w:rPr>
              <w:t>-56.597.000,37</w:t>
            </w:r>
          </w:p>
        </w:tc>
        <w:tc>
          <w:tcPr>
            <w:tcW w:w="843" w:type="dxa"/>
          </w:tcPr>
          <w:p>
            <w:pPr>
              <w:pStyle w:val="TableParagraph"/>
              <w:spacing w:line="124" w:lineRule="exact" w:before="6"/>
              <w:ind w:right="49"/>
              <w:jc w:val="right"/>
              <w:rPr>
                <w:sz w:val="11"/>
              </w:rPr>
            </w:pPr>
            <w:r>
              <w:rPr>
                <w:sz w:val="11"/>
              </w:rPr>
              <w:t>-57.333.374,29</w:t>
            </w:r>
          </w:p>
        </w:tc>
      </w:tr>
      <w:tr>
        <w:trPr>
          <w:trHeight w:val="148" w:hRule="atLeast"/>
        </w:trPr>
        <w:tc>
          <w:tcPr>
            <w:tcW w:w="1875" w:type="dxa"/>
          </w:tcPr>
          <w:p>
            <w:pPr>
              <w:pStyle w:val="TableParagraph"/>
              <w:spacing w:line="127" w:lineRule="exact" w:before="2"/>
              <w:ind w:left="54"/>
              <w:rPr>
                <w:sz w:val="12"/>
              </w:rPr>
            </w:pPr>
            <w:r>
              <w:rPr>
                <w:w w:val="105"/>
                <w:sz w:val="12"/>
              </w:rPr>
              <w:t>Otras aportaciones de socios</w:t>
            </w:r>
          </w:p>
        </w:tc>
        <w:tc>
          <w:tcPr>
            <w:tcW w:w="756" w:type="dxa"/>
          </w:tcPr>
          <w:p>
            <w:pPr>
              <w:pStyle w:val="TableParagraph"/>
              <w:spacing w:line="123" w:lineRule="exact" w:before="6"/>
              <w:ind w:right="45"/>
              <w:jc w:val="right"/>
              <w:rPr>
                <w:sz w:val="11"/>
              </w:rPr>
            </w:pPr>
            <w:r>
              <w:rPr>
                <w:sz w:val="11"/>
              </w:rPr>
              <w:t>2.770.842,10</w:t>
            </w:r>
          </w:p>
        </w:tc>
        <w:tc>
          <w:tcPr>
            <w:tcW w:w="874" w:type="dxa"/>
          </w:tcPr>
          <w:p>
            <w:pPr>
              <w:pStyle w:val="TableParagraph"/>
              <w:spacing w:line="123" w:lineRule="exact" w:before="6"/>
              <w:ind w:right="47"/>
              <w:jc w:val="right"/>
              <w:rPr>
                <w:sz w:val="11"/>
              </w:rPr>
            </w:pPr>
            <w:r>
              <w:rPr>
                <w:sz w:val="11"/>
              </w:rPr>
              <w:t>1.459.324,40</w:t>
            </w:r>
          </w:p>
        </w:tc>
        <w:tc>
          <w:tcPr>
            <w:tcW w:w="875" w:type="dxa"/>
          </w:tcPr>
          <w:p>
            <w:pPr>
              <w:pStyle w:val="TableParagraph"/>
              <w:spacing w:line="123" w:lineRule="exact" w:before="6"/>
              <w:ind w:right="46"/>
              <w:jc w:val="right"/>
              <w:rPr>
                <w:sz w:val="11"/>
              </w:rPr>
            </w:pPr>
            <w:r>
              <w:rPr>
                <w:sz w:val="11"/>
              </w:rPr>
              <w:t>1.983.629,40</w:t>
            </w:r>
          </w:p>
        </w:tc>
        <w:tc>
          <w:tcPr>
            <w:tcW w:w="849" w:type="dxa"/>
          </w:tcPr>
          <w:p>
            <w:pPr>
              <w:pStyle w:val="TableParagraph"/>
              <w:spacing w:line="123" w:lineRule="exact" w:before="6"/>
              <w:ind w:right="47"/>
              <w:jc w:val="right"/>
              <w:rPr>
                <w:sz w:val="11"/>
              </w:rPr>
            </w:pPr>
            <w:r>
              <w:rPr>
                <w:sz w:val="11"/>
              </w:rPr>
              <w:t>2.327.888,00</w:t>
            </w:r>
          </w:p>
        </w:tc>
        <w:tc>
          <w:tcPr>
            <w:tcW w:w="879" w:type="dxa"/>
          </w:tcPr>
          <w:p>
            <w:pPr>
              <w:pStyle w:val="TableParagraph"/>
              <w:rPr>
                <w:rFonts w:ascii="Times New Roman"/>
                <w:sz w:val="8"/>
              </w:rPr>
            </w:pPr>
          </w:p>
        </w:tc>
        <w:tc>
          <w:tcPr>
            <w:tcW w:w="728" w:type="dxa"/>
          </w:tcPr>
          <w:p>
            <w:pPr>
              <w:pStyle w:val="TableParagraph"/>
              <w:spacing w:line="123" w:lineRule="exact" w:before="6"/>
              <w:ind w:right="50"/>
              <w:jc w:val="right"/>
              <w:rPr>
                <w:sz w:val="11"/>
              </w:rPr>
            </w:pPr>
            <w:r>
              <w:rPr>
                <w:sz w:val="11"/>
              </w:rPr>
              <w:t>2.391.547,27</w:t>
            </w:r>
          </w:p>
        </w:tc>
        <w:tc>
          <w:tcPr>
            <w:tcW w:w="784" w:type="dxa"/>
          </w:tcPr>
          <w:p>
            <w:pPr>
              <w:pStyle w:val="TableParagraph"/>
              <w:spacing w:line="123" w:lineRule="exact" w:before="6"/>
              <w:ind w:right="48"/>
              <w:jc w:val="right"/>
              <w:rPr>
                <w:sz w:val="11"/>
              </w:rPr>
            </w:pPr>
            <w:r>
              <w:rPr>
                <w:w w:val="95"/>
                <w:sz w:val="11"/>
              </w:rPr>
              <w:t>46.249,30</w:t>
            </w:r>
          </w:p>
        </w:tc>
        <w:tc>
          <w:tcPr>
            <w:tcW w:w="728" w:type="dxa"/>
          </w:tcPr>
          <w:p>
            <w:pPr>
              <w:pStyle w:val="TableParagraph"/>
              <w:spacing w:line="123" w:lineRule="exact" w:before="6"/>
              <w:ind w:right="49"/>
              <w:jc w:val="right"/>
              <w:rPr>
                <w:sz w:val="11"/>
              </w:rPr>
            </w:pPr>
            <w:r>
              <w:rPr>
                <w:sz w:val="11"/>
              </w:rPr>
              <w:t>682.000,00</w:t>
            </w:r>
          </w:p>
        </w:tc>
        <w:tc>
          <w:tcPr>
            <w:tcW w:w="756" w:type="dxa"/>
          </w:tcPr>
          <w:p>
            <w:pPr>
              <w:pStyle w:val="TableParagraph"/>
              <w:spacing w:line="123" w:lineRule="exact" w:before="6"/>
              <w:ind w:right="50"/>
              <w:jc w:val="right"/>
              <w:rPr>
                <w:sz w:val="11"/>
              </w:rPr>
            </w:pPr>
            <w:r>
              <w:rPr>
                <w:sz w:val="11"/>
              </w:rPr>
              <w:t>61.083.612,56</w:t>
            </w:r>
          </w:p>
        </w:tc>
        <w:tc>
          <w:tcPr>
            <w:tcW w:w="964" w:type="dxa"/>
          </w:tcPr>
          <w:p>
            <w:pPr>
              <w:pStyle w:val="TableParagraph"/>
              <w:rPr>
                <w:rFonts w:ascii="Times New Roman"/>
                <w:sz w:val="8"/>
              </w:rPr>
            </w:pPr>
          </w:p>
        </w:tc>
        <w:tc>
          <w:tcPr>
            <w:tcW w:w="962" w:type="dxa"/>
          </w:tcPr>
          <w:p>
            <w:pPr>
              <w:pStyle w:val="TableParagraph"/>
              <w:spacing w:line="123" w:lineRule="exact" w:before="6"/>
              <w:ind w:right="49"/>
              <w:jc w:val="right"/>
              <w:rPr>
                <w:sz w:val="11"/>
              </w:rPr>
            </w:pPr>
            <w:r>
              <w:rPr>
                <w:sz w:val="11"/>
              </w:rPr>
              <w:t>81.625.567,97</w:t>
            </w:r>
          </w:p>
        </w:tc>
        <w:tc>
          <w:tcPr>
            <w:tcW w:w="843" w:type="dxa"/>
          </w:tcPr>
          <w:p>
            <w:pPr>
              <w:pStyle w:val="TableParagraph"/>
              <w:spacing w:line="123" w:lineRule="exact" w:before="6"/>
              <w:ind w:right="49"/>
              <w:jc w:val="right"/>
              <w:rPr>
                <w:sz w:val="11"/>
              </w:rPr>
            </w:pPr>
            <w:r>
              <w:rPr>
                <w:sz w:val="11"/>
              </w:rPr>
              <w:t>74.952.537,17</w:t>
            </w:r>
          </w:p>
        </w:tc>
      </w:tr>
      <w:tr>
        <w:trPr>
          <w:trHeight w:val="150" w:hRule="atLeast"/>
        </w:trPr>
        <w:tc>
          <w:tcPr>
            <w:tcW w:w="1875" w:type="dxa"/>
          </w:tcPr>
          <w:p>
            <w:pPr>
              <w:pStyle w:val="TableParagraph"/>
              <w:spacing w:line="128" w:lineRule="exact" w:before="2"/>
              <w:ind w:left="54"/>
              <w:rPr>
                <w:sz w:val="12"/>
              </w:rPr>
            </w:pPr>
            <w:r>
              <w:rPr>
                <w:w w:val="105"/>
                <w:sz w:val="12"/>
              </w:rPr>
              <w:t>Resultado del ejercicio</w:t>
            </w:r>
          </w:p>
        </w:tc>
        <w:tc>
          <w:tcPr>
            <w:tcW w:w="756" w:type="dxa"/>
          </w:tcPr>
          <w:p>
            <w:pPr>
              <w:pStyle w:val="TableParagraph"/>
              <w:spacing w:line="124" w:lineRule="exact" w:before="6"/>
              <w:ind w:right="46"/>
              <w:jc w:val="right"/>
              <w:rPr>
                <w:sz w:val="11"/>
              </w:rPr>
            </w:pPr>
            <w:r>
              <w:rPr>
                <w:sz w:val="11"/>
              </w:rPr>
              <w:t>-2.770.842,10</w:t>
            </w:r>
          </w:p>
        </w:tc>
        <w:tc>
          <w:tcPr>
            <w:tcW w:w="874" w:type="dxa"/>
          </w:tcPr>
          <w:p>
            <w:pPr>
              <w:pStyle w:val="TableParagraph"/>
              <w:spacing w:line="124" w:lineRule="exact" w:before="6"/>
              <w:ind w:right="47"/>
              <w:jc w:val="right"/>
              <w:rPr>
                <w:sz w:val="11"/>
              </w:rPr>
            </w:pPr>
            <w:r>
              <w:rPr>
                <w:sz w:val="11"/>
              </w:rPr>
              <w:t>-960.742,26</w:t>
            </w:r>
          </w:p>
        </w:tc>
        <w:tc>
          <w:tcPr>
            <w:tcW w:w="875" w:type="dxa"/>
          </w:tcPr>
          <w:p>
            <w:pPr>
              <w:pStyle w:val="TableParagraph"/>
              <w:spacing w:line="124" w:lineRule="exact" w:before="6"/>
              <w:ind w:right="47"/>
              <w:jc w:val="right"/>
              <w:rPr>
                <w:sz w:val="11"/>
              </w:rPr>
            </w:pPr>
            <w:r>
              <w:rPr>
                <w:sz w:val="11"/>
              </w:rPr>
              <w:t>-1.983.629,40</w:t>
            </w:r>
          </w:p>
        </w:tc>
        <w:tc>
          <w:tcPr>
            <w:tcW w:w="849" w:type="dxa"/>
          </w:tcPr>
          <w:p>
            <w:pPr>
              <w:pStyle w:val="TableParagraph"/>
              <w:spacing w:line="124" w:lineRule="exact" w:before="6"/>
              <w:ind w:right="47"/>
              <w:jc w:val="right"/>
              <w:rPr>
                <w:sz w:val="11"/>
              </w:rPr>
            </w:pPr>
            <w:r>
              <w:rPr>
                <w:sz w:val="11"/>
              </w:rPr>
              <w:t>-2.327.888,00</w:t>
            </w:r>
          </w:p>
        </w:tc>
        <w:tc>
          <w:tcPr>
            <w:tcW w:w="879" w:type="dxa"/>
          </w:tcPr>
          <w:p>
            <w:pPr>
              <w:pStyle w:val="TableParagraph"/>
              <w:spacing w:line="124" w:lineRule="exact" w:before="6"/>
              <w:ind w:right="46"/>
              <w:jc w:val="right"/>
              <w:rPr>
                <w:sz w:val="11"/>
              </w:rPr>
            </w:pPr>
            <w:r>
              <w:rPr>
                <w:sz w:val="11"/>
              </w:rPr>
              <w:t>5.099.478,25</w:t>
            </w:r>
          </w:p>
        </w:tc>
        <w:tc>
          <w:tcPr>
            <w:tcW w:w="728" w:type="dxa"/>
          </w:tcPr>
          <w:p>
            <w:pPr>
              <w:pStyle w:val="TableParagraph"/>
              <w:spacing w:line="124" w:lineRule="exact" w:before="6"/>
              <w:ind w:right="50"/>
              <w:jc w:val="right"/>
              <w:rPr>
                <w:sz w:val="11"/>
              </w:rPr>
            </w:pPr>
            <w:r>
              <w:rPr>
                <w:sz w:val="11"/>
              </w:rPr>
              <w:t>-2.346.620,89</w:t>
            </w:r>
          </w:p>
        </w:tc>
        <w:tc>
          <w:tcPr>
            <w:tcW w:w="784" w:type="dxa"/>
          </w:tcPr>
          <w:p>
            <w:pPr>
              <w:pStyle w:val="TableParagraph"/>
              <w:spacing w:line="124" w:lineRule="exact" w:before="6"/>
              <w:ind w:right="48"/>
              <w:jc w:val="right"/>
              <w:rPr>
                <w:sz w:val="11"/>
              </w:rPr>
            </w:pPr>
            <w:r>
              <w:rPr>
                <w:sz w:val="11"/>
              </w:rPr>
              <w:t>-53.276,37</w:t>
            </w:r>
          </w:p>
        </w:tc>
        <w:tc>
          <w:tcPr>
            <w:tcW w:w="728" w:type="dxa"/>
          </w:tcPr>
          <w:p>
            <w:pPr>
              <w:pStyle w:val="TableParagraph"/>
              <w:spacing w:line="124" w:lineRule="exact" w:before="6"/>
              <w:ind w:right="49"/>
              <w:jc w:val="right"/>
              <w:rPr>
                <w:sz w:val="11"/>
              </w:rPr>
            </w:pPr>
            <w:r>
              <w:rPr>
                <w:sz w:val="11"/>
              </w:rPr>
              <w:t>-699.769,14</w:t>
            </w:r>
          </w:p>
        </w:tc>
        <w:tc>
          <w:tcPr>
            <w:tcW w:w="756" w:type="dxa"/>
          </w:tcPr>
          <w:p>
            <w:pPr>
              <w:pStyle w:val="TableParagraph"/>
              <w:spacing w:line="124" w:lineRule="exact" w:before="6"/>
              <w:ind w:right="50"/>
              <w:jc w:val="right"/>
              <w:rPr>
                <w:sz w:val="11"/>
              </w:rPr>
            </w:pPr>
            <w:r>
              <w:rPr>
                <w:sz w:val="11"/>
              </w:rPr>
              <w:t>-61.083.231,13</w:t>
            </w:r>
          </w:p>
        </w:tc>
        <w:tc>
          <w:tcPr>
            <w:tcW w:w="964" w:type="dxa"/>
          </w:tcPr>
          <w:p>
            <w:pPr>
              <w:pStyle w:val="TableParagraph"/>
              <w:spacing w:line="124" w:lineRule="exact" w:before="6"/>
              <w:ind w:right="51"/>
              <w:jc w:val="right"/>
              <w:rPr>
                <w:sz w:val="11"/>
              </w:rPr>
            </w:pPr>
            <w:r>
              <w:rPr>
                <w:sz w:val="11"/>
              </w:rPr>
              <w:t>4.428.399,43</w:t>
            </w:r>
          </w:p>
        </w:tc>
        <w:tc>
          <w:tcPr>
            <w:tcW w:w="962" w:type="dxa"/>
          </w:tcPr>
          <w:p>
            <w:pPr>
              <w:pStyle w:val="TableParagraph"/>
              <w:spacing w:line="124" w:lineRule="exact" w:before="6"/>
              <w:ind w:right="49"/>
              <w:jc w:val="right"/>
              <w:rPr>
                <w:sz w:val="11"/>
              </w:rPr>
            </w:pPr>
            <w:r>
              <w:rPr>
                <w:sz w:val="11"/>
              </w:rPr>
              <w:t>-70.501.423,10</w:t>
            </w:r>
          </w:p>
        </w:tc>
        <w:tc>
          <w:tcPr>
            <w:tcW w:w="843" w:type="dxa"/>
          </w:tcPr>
          <w:p>
            <w:pPr>
              <w:pStyle w:val="TableParagraph"/>
              <w:spacing w:line="124" w:lineRule="exact" w:before="6"/>
              <w:ind w:right="49"/>
              <w:jc w:val="right"/>
              <w:rPr>
                <w:sz w:val="11"/>
              </w:rPr>
            </w:pPr>
            <w:r>
              <w:rPr>
                <w:sz w:val="11"/>
              </w:rPr>
              <w:t>-67.169.115,58</w:t>
            </w:r>
          </w:p>
        </w:tc>
      </w:tr>
      <w:tr>
        <w:trPr>
          <w:trHeight w:val="148" w:hRule="atLeast"/>
        </w:trPr>
        <w:tc>
          <w:tcPr>
            <w:tcW w:w="1875" w:type="dxa"/>
          </w:tcPr>
          <w:p>
            <w:pPr>
              <w:pStyle w:val="TableParagraph"/>
              <w:spacing w:line="127" w:lineRule="exact" w:before="2"/>
              <w:ind w:left="54"/>
              <w:rPr>
                <w:sz w:val="12"/>
              </w:rPr>
            </w:pPr>
            <w:r>
              <w:rPr>
                <w:w w:val="105"/>
                <w:sz w:val="12"/>
              </w:rPr>
              <w:t>(Dividendo a cuenta)</w:t>
            </w:r>
          </w:p>
        </w:tc>
        <w:tc>
          <w:tcPr>
            <w:tcW w:w="756" w:type="dxa"/>
          </w:tcPr>
          <w:p>
            <w:pPr>
              <w:pStyle w:val="TableParagraph"/>
              <w:rPr>
                <w:rFonts w:ascii="Times New Roman"/>
                <w:sz w:val="8"/>
              </w:rPr>
            </w:pPr>
          </w:p>
        </w:tc>
        <w:tc>
          <w:tcPr>
            <w:tcW w:w="874" w:type="dxa"/>
          </w:tcPr>
          <w:p>
            <w:pPr>
              <w:pStyle w:val="TableParagraph"/>
              <w:rPr>
                <w:rFonts w:ascii="Times New Roman"/>
                <w:sz w:val="8"/>
              </w:rPr>
            </w:pP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rPr>
                <w:rFonts w:ascii="Times New Roman"/>
                <w:sz w:val="8"/>
              </w:rPr>
            </w:pPr>
          </w:p>
        </w:tc>
        <w:tc>
          <w:tcPr>
            <w:tcW w:w="728" w:type="dxa"/>
          </w:tcPr>
          <w:p>
            <w:pPr>
              <w:pStyle w:val="TableParagraph"/>
              <w:rPr>
                <w:rFonts w:ascii="Times New Roman"/>
                <w:sz w:val="8"/>
              </w:rPr>
            </w:pPr>
          </w:p>
        </w:tc>
        <w:tc>
          <w:tcPr>
            <w:tcW w:w="756" w:type="dxa"/>
          </w:tcPr>
          <w:p>
            <w:pPr>
              <w:pStyle w:val="TableParagraph"/>
              <w:rPr>
                <w:rFonts w:ascii="Times New Roman"/>
                <w:sz w:val="8"/>
              </w:rPr>
            </w:pPr>
          </w:p>
        </w:tc>
        <w:tc>
          <w:tcPr>
            <w:tcW w:w="964" w:type="dxa"/>
          </w:tcPr>
          <w:p>
            <w:pPr>
              <w:pStyle w:val="TableParagraph"/>
              <w:rPr>
                <w:rFonts w:ascii="Times New Roman"/>
                <w:sz w:val="8"/>
              </w:rPr>
            </w:pPr>
          </w:p>
        </w:tc>
        <w:tc>
          <w:tcPr>
            <w:tcW w:w="962" w:type="dxa"/>
          </w:tcPr>
          <w:p>
            <w:pPr>
              <w:pStyle w:val="TableParagraph"/>
              <w:spacing w:line="123" w:lineRule="exact" w:before="6"/>
              <w:ind w:right="48"/>
              <w:jc w:val="right"/>
              <w:rPr>
                <w:sz w:val="11"/>
              </w:rPr>
            </w:pPr>
            <w:r>
              <w:rPr>
                <w:w w:val="95"/>
                <w:sz w:val="11"/>
              </w:rPr>
              <w:t>0,00</w:t>
            </w:r>
          </w:p>
        </w:tc>
        <w:tc>
          <w:tcPr>
            <w:tcW w:w="843" w:type="dxa"/>
          </w:tcPr>
          <w:p>
            <w:pPr>
              <w:pStyle w:val="TableParagraph"/>
              <w:spacing w:line="123" w:lineRule="exact" w:before="6"/>
              <w:ind w:right="48"/>
              <w:jc w:val="right"/>
              <w:rPr>
                <w:sz w:val="11"/>
              </w:rPr>
            </w:pPr>
            <w:r>
              <w:rPr>
                <w:w w:val="95"/>
                <w:sz w:val="11"/>
              </w:rPr>
              <w:t>0,00</w:t>
            </w:r>
          </w:p>
        </w:tc>
      </w:tr>
      <w:tr>
        <w:trPr>
          <w:trHeight w:val="150" w:hRule="atLeast"/>
        </w:trPr>
        <w:tc>
          <w:tcPr>
            <w:tcW w:w="1875" w:type="dxa"/>
          </w:tcPr>
          <w:p>
            <w:pPr>
              <w:pStyle w:val="TableParagraph"/>
              <w:spacing w:line="128" w:lineRule="exact" w:before="2"/>
              <w:ind w:left="54"/>
              <w:rPr>
                <w:sz w:val="12"/>
              </w:rPr>
            </w:pPr>
            <w:r>
              <w:rPr>
                <w:w w:val="105"/>
                <w:sz w:val="12"/>
              </w:rPr>
              <w:t>Otros instrumentos de patr. neto</w:t>
            </w:r>
          </w:p>
        </w:tc>
        <w:tc>
          <w:tcPr>
            <w:tcW w:w="756" w:type="dxa"/>
          </w:tcPr>
          <w:p>
            <w:pPr>
              <w:pStyle w:val="TableParagraph"/>
              <w:rPr>
                <w:rFonts w:ascii="Times New Roman"/>
                <w:sz w:val="8"/>
              </w:rPr>
            </w:pPr>
          </w:p>
        </w:tc>
        <w:tc>
          <w:tcPr>
            <w:tcW w:w="874" w:type="dxa"/>
          </w:tcPr>
          <w:p>
            <w:pPr>
              <w:pStyle w:val="TableParagraph"/>
              <w:rPr>
                <w:rFonts w:ascii="Times New Roman"/>
                <w:sz w:val="8"/>
              </w:rPr>
            </w:pP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rPr>
                <w:rFonts w:ascii="Times New Roman"/>
                <w:sz w:val="8"/>
              </w:rPr>
            </w:pPr>
          </w:p>
        </w:tc>
        <w:tc>
          <w:tcPr>
            <w:tcW w:w="728" w:type="dxa"/>
          </w:tcPr>
          <w:p>
            <w:pPr>
              <w:pStyle w:val="TableParagraph"/>
              <w:rPr>
                <w:rFonts w:ascii="Times New Roman"/>
                <w:sz w:val="8"/>
              </w:rPr>
            </w:pPr>
          </w:p>
        </w:tc>
        <w:tc>
          <w:tcPr>
            <w:tcW w:w="756" w:type="dxa"/>
          </w:tcPr>
          <w:p>
            <w:pPr>
              <w:pStyle w:val="TableParagraph"/>
              <w:rPr>
                <w:rFonts w:ascii="Times New Roman"/>
                <w:sz w:val="8"/>
              </w:rPr>
            </w:pPr>
          </w:p>
        </w:tc>
        <w:tc>
          <w:tcPr>
            <w:tcW w:w="964" w:type="dxa"/>
          </w:tcPr>
          <w:p>
            <w:pPr>
              <w:pStyle w:val="TableParagraph"/>
              <w:rPr>
                <w:rFonts w:ascii="Times New Roman"/>
                <w:sz w:val="8"/>
              </w:rPr>
            </w:pPr>
          </w:p>
        </w:tc>
        <w:tc>
          <w:tcPr>
            <w:tcW w:w="962" w:type="dxa"/>
          </w:tcPr>
          <w:p>
            <w:pPr>
              <w:pStyle w:val="TableParagraph"/>
              <w:spacing w:line="123" w:lineRule="exact" w:before="7"/>
              <w:ind w:right="48"/>
              <w:jc w:val="right"/>
              <w:rPr>
                <w:sz w:val="11"/>
              </w:rPr>
            </w:pPr>
            <w:r>
              <w:rPr>
                <w:w w:val="95"/>
                <w:sz w:val="11"/>
              </w:rPr>
              <w:t>0,00</w:t>
            </w:r>
          </w:p>
        </w:tc>
        <w:tc>
          <w:tcPr>
            <w:tcW w:w="843" w:type="dxa"/>
          </w:tcPr>
          <w:p>
            <w:pPr>
              <w:pStyle w:val="TableParagraph"/>
              <w:spacing w:line="123" w:lineRule="exact" w:before="7"/>
              <w:ind w:right="48"/>
              <w:jc w:val="right"/>
              <w:rPr>
                <w:sz w:val="11"/>
              </w:rPr>
            </w:pPr>
            <w:r>
              <w:rPr>
                <w:w w:val="95"/>
                <w:sz w:val="11"/>
              </w:rPr>
              <w:t>0,00</w:t>
            </w:r>
          </w:p>
        </w:tc>
      </w:tr>
      <w:tr>
        <w:trPr>
          <w:trHeight w:val="148" w:hRule="atLeast"/>
        </w:trPr>
        <w:tc>
          <w:tcPr>
            <w:tcW w:w="1875" w:type="dxa"/>
          </w:tcPr>
          <w:p>
            <w:pPr>
              <w:pStyle w:val="TableParagraph"/>
              <w:spacing w:line="127" w:lineRule="exact" w:before="2"/>
              <w:ind w:left="54"/>
              <w:rPr>
                <w:b/>
                <w:sz w:val="12"/>
              </w:rPr>
            </w:pPr>
            <w:r>
              <w:rPr>
                <w:b/>
                <w:w w:val="105"/>
                <w:sz w:val="12"/>
              </w:rPr>
              <w:t>AJUSTES POR CAMBIOS DE V.</w:t>
            </w:r>
          </w:p>
        </w:tc>
        <w:tc>
          <w:tcPr>
            <w:tcW w:w="756" w:type="dxa"/>
          </w:tcPr>
          <w:p>
            <w:pPr>
              <w:pStyle w:val="TableParagraph"/>
              <w:spacing w:line="123" w:lineRule="exact" w:before="6"/>
              <w:ind w:right="45"/>
              <w:jc w:val="right"/>
              <w:rPr>
                <w:b/>
                <w:sz w:val="11"/>
              </w:rPr>
            </w:pPr>
            <w:r>
              <w:rPr>
                <w:b/>
                <w:w w:val="95"/>
                <w:sz w:val="11"/>
              </w:rPr>
              <w:t>0,00</w:t>
            </w:r>
          </w:p>
        </w:tc>
        <w:tc>
          <w:tcPr>
            <w:tcW w:w="874" w:type="dxa"/>
          </w:tcPr>
          <w:p>
            <w:pPr>
              <w:pStyle w:val="TableParagraph"/>
              <w:spacing w:line="123" w:lineRule="exact" w:before="6"/>
              <w:ind w:right="46"/>
              <w:jc w:val="right"/>
              <w:rPr>
                <w:b/>
                <w:sz w:val="11"/>
              </w:rPr>
            </w:pPr>
            <w:r>
              <w:rPr>
                <w:b/>
                <w:w w:val="95"/>
                <w:sz w:val="11"/>
              </w:rPr>
              <w:t>0,00</w:t>
            </w:r>
          </w:p>
        </w:tc>
        <w:tc>
          <w:tcPr>
            <w:tcW w:w="875" w:type="dxa"/>
          </w:tcPr>
          <w:p>
            <w:pPr>
              <w:pStyle w:val="TableParagraph"/>
              <w:spacing w:line="123" w:lineRule="exact" w:before="6"/>
              <w:ind w:right="46"/>
              <w:jc w:val="right"/>
              <w:rPr>
                <w:b/>
                <w:sz w:val="11"/>
              </w:rPr>
            </w:pPr>
            <w:r>
              <w:rPr>
                <w:b/>
                <w:w w:val="95"/>
                <w:sz w:val="11"/>
              </w:rPr>
              <w:t>0,00</w:t>
            </w:r>
          </w:p>
        </w:tc>
        <w:tc>
          <w:tcPr>
            <w:tcW w:w="849" w:type="dxa"/>
          </w:tcPr>
          <w:p>
            <w:pPr>
              <w:pStyle w:val="TableParagraph"/>
              <w:spacing w:line="123" w:lineRule="exact" w:before="6"/>
              <w:ind w:right="48"/>
              <w:jc w:val="right"/>
              <w:rPr>
                <w:b/>
                <w:sz w:val="11"/>
              </w:rPr>
            </w:pPr>
            <w:r>
              <w:rPr>
                <w:b/>
                <w:w w:val="95"/>
                <w:sz w:val="11"/>
              </w:rPr>
              <w:t>0,00</w:t>
            </w:r>
          </w:p>
        </w:tc>
        <w:tc>
          <w:tcPr>
            <w:tcW w:w="879" w:type="dxa"/>
          </w:tcPr>
          <w:p>
            <w:pPr>
              <w:pStyle w:val="TableParagraph"/>
              <w:spacing w:line="123" w:lineRule="exact" w:before="6"/>
              <w:ind w:right="45"/>
              <w:jc w:val="right"/>
              <w:rPr>
                <w:b/>
                <w:sz w:val="11"/>
              </w:rPr>
            </w:pPr>
            <w:r>
              <w:rPr>
                <w:b/>
                <w:w w:val="95"/>
                <w:sz w:val="11"/>
              </w:rPr>
              <w:t>0,00</w:t>
            </w:r>
          </w:p>
        </w:tc>
        <w:tc>
          <w:tcPr>
            <w:tcW w:w="728" w:type="dxa"/>
          </w:tcPr>
          <w:p>
            <w:pPr>
              <w:pStyle w:val="TableParagraph"/>
              <w:spacing w:line="123" w:lineRule="exact" w:before="6"/>
              <w:ind w:right="49"/>
              <w:jc w:val="right"/>
              <w:rPr>
                <w:b/>
                <w:sz w:val="11"/>
              </w:rPr>
            </w:pPr>
            <w:r>
              <w:rPr>
                <w:b/>
                <w:w w:val="95"/>
                <w:sz w:val="11"/>
              </w:rPr>
              <w:t>0,00</w:t>
            </w:r>
          </w:p>
        </w:tc>
        <w:tc>
          <w:tcPr>
            <w:tcW w:w="784" w:type="dxa"/>
          </w:tcPr>
          <w:p>
            <w:pPr>
              <w:pStyle w:val="TableParagraph"/>
              <w:spacing w:line="123" w:lineRule="exact" w:before="6"/>
              <w:ind w:right="48"/>
              <w:jc w:val="right"/>
              <w:rPr>
                <w:b/>
                <w:sz w:val="11"/>
              </w:rPr>
            </w:pPr>
            <w:r>
              <w:rPr>
                <w:b/>
                <w:w w:val="95"/>
                <w:sz w:val="11"/>
              </w:rPr>
              <w:t>0,00</w:t>
            </w:r>
          </w:p>
        </w:tc>
        <w:tc>
          <w:tcPr>
            <w:tcW w:w="728" w:type="dxa"/>
          </w:tcPr>
          <w:p>
            <w:pPr>
              <w:pStyle w:val="TableParagraph"/>
              <w:spacing w:line="123" w:lineRule="exact" w:before="6"/>
              <w:ind w:right="49"/>
              <w:jc w:val="right"/>
              <w:rPr>
                <w:b/>
                <w:sz w:val="11"/>
              </w:rPr>
            </w:pPr>
            <w:r>
              <w:rPr>
                <w:b/>
                <w:w w:val="95"/>
                <w:sz w:val="11"/>
              </w:rPr>
              <w:t>0,00</w:t>
            </w:r>
          </w:p>
        </w:tc>
        <w:tc>
          <w:tcPr>
            <w:tcW w:w="756" w:type="dxa"/>
          </w:tcPr>
          <w:p>
            <w:pPr>
              <w:pStyle w:val="TableParagraph"/>
              <w:spacing w:line="123" w:lineRule="exact" w:before="6"/>
              <w:ind w:right="49"/>
              <w:jc w:val="right"/>
              <w:rPr>
                <w:b/>
                <w:sz w:val="11"/>
              </w:rPr>
            </w:pPr>
            <w:r>
              <w:rPr>
                <w:b/>
                <w:w w:val="95"/>
                <w:sz w:val="11"/>
              </w:rPr>
              <w:t>0,00</w:t>
            </w:r>
          </w:p>
        </w:tc>
        <w:tc>
          <w:tcPr>
            <w:tcW w:w="964" w:type="dxa"/>
          </w:tcPr>
          <w:p>
            <w:pPr>
              <w:pStyle w:val="TableParagraph"/>
              <w:rPr>
                <w:rFonts w:ascii="Times New Roman"/>
                <w:sz w:val="8"/>
              </w:rPr>
            </w:pPr>
          </w:p>
        </w:tc>
        <w:tc>
          <w:tcPr>
            <w:tcW w:w="962" w:type="dxa"/>
          </w:tcPr>
          <w:p>
            <w:pPr>
              <w:pStyle w:val="TableParagraph"/>
              <w:spacing w:line="123" w:lineRule="exact" w:before="6"/>
              <w:ind w:right="48"/>
              <w:jc w:val="right"/>
              <w:rPr>
                <w:b/>
                <w:sz w:val="11"/>
              </w:rPr>
            </w:pPr>
            <w:r>
              <w:rPr>
                <w:b/>
                <w:w w:val="95"/>
                <w:sz w:val="11"/>
              </w:rPr>
              <w:t>0,00</w:t>
            </w:r>
          </w:p>
        </w:tc>
        <w:tc>
          <w:tcPr>
            <w:tcW w:w="843" w:type="dxa"/>
          </w:tcPr>
          <w:p>
            <w:pPr>
              <w:pStyle w:val="TableParagraph"/>
              <w:spacing w:line="123" w:lineRule="exact" w:before="6"/>
              <w:ind w:right="48"/>
              <w:jc w:val="right"/>
              <w:rPr>
                <w:b/>
                <w:sz w:val="11"/>
              </w:rPr>
            </w:pPr>
            <w:r>
              <w:rPr>
                <w:b/>
                <w:w w:val="95"/>
                <w:sz w:val="11"/>
              </w:rPr>
              <w:t>0,00</w:t>
            </w:r>
          </w:p>
        </w:tc>
      </w:tr>
      <w:tr>
        <w:trPr>
          <w:trHeight w:val="131" w:hRule="atLeast"/>
        </w:trPr>
        <w:tc>
          <w:tcPr>
            <w:tcW w:w="1875" w:type="dxa"/>
          </w:tcPr>
          <w:p>
            <w:pPr>
              <w:pStyle w:val="TableParagraph"/>
              <w:spacing w:line="98" w:lineRule="exact" w:before="13"/>
              <w:ind w:left="54"/>
              <w:rPr>
                <w:sz w:val="9"/>
              </w:rPr>
            </w:pPr>
            <w:r>
              <w:rPr>
                <w:w w:val="105"/>
                <w:sz w:val="9"/>
              </w:rPr>
              <w:t>Activos financ. disponibles para la venta</w:t>
            </w:r>
          </w:p>
        </w:tc>
        <w:tc>
          <w:tcPr>
            <w:tcW w:w="756" w:type="dxa"/>
          </w:tcPr>
          <w:p>
            <w:pPr>
              <w:pStyle w:val="TableParagraph"/>
              <w:rPr>
                <w:rFonts w:ascii="Times New Roman"/>
                <w:sz w:val="6"/>
              </w:rPr>
            </w:pPr>
          </w:p>
        </w:tc>
        <w:tc>
          <w:tcPr>
            <w:tcW w:w="874" w:type="dxa"/>
          </w:tcPr>
          <w:p>
            <w:pPr>
              <w:pStyle w:val="TableParagraph"/>
              <w:rPr>
                <w:rFonts w:ascii="Times New Roman"/>
                <w:sz w:val="6"/>
              </w:rPr>
            </w:pPr>
          </w:p>
        </w:tc>
        <w:tc>
          <w:tcPr>
            <w:tcW w:w="875" w:type="dxa"/>
          </w:tcPr>
          <w:p>
            <w:pPr>
              <w:pStyle w:val="TableParagraph"/>
              <w:rPr>
                <w:rFonts w:ascii="Times New Roman"/>
                <w:sz w:val="6"/>
              </w:rPr>
            </w:pPr>
          </w:p>
        </w:tc>
        <w:tc>
          <w:tcPr>
            <w:tcW w:w="849" w:type="dxa"/>
          </w:tcPr>
          <w:p>
            <w:pPr>
              <w:pStyle w:val="TableParagraph"/>
              <w:rPr>
                <w:rFonts w:ascii="Times New Roman"/>
                <w:sz w:val="6"/>
              </w:rPr>
            </w:pPr>
          </w:p>
        </w:tc>
        <w:tc>
          <w:tcPr>
            <w:tcW w:w="879" w:type="dxa"/>
          </w:tcPr>
          <w:p>
            <w:pPr>
              <w:pStyle w:val="TableParagraph"/>
              <w:rPr>
                <w:rFonts w:ascii="Times New Roman"/>
                <w:sz w:val="6"/>
              </w:rPr>
            </w:pPr>
          </w:p>
        </w:tc>
        <w:tc>
          <w:tcPr>
            <w:tcW w:w="728" w:type="dxa"/>
          </w:tcPr>
          <w:p>
            <w:pPr>
              <w:pStyle w:val="TableParagraph"/>
              <w:rPr>
                <w:rFonts w:ascii="Times New Roman"/>
                <w:sz w:val="6"/>
              </w:rPr>
            </w:pPr>
          </w:p>
        </w:tc>
        <w:tc>
          <w:tcPr>
            <w:tcW w:w="784" w:type="dxa"/>
          </w:tcPr>
          <w:p>
            <w:pPr>
              <w:pStyle w:val="TableParagraph"/>
              <w:rPr>
                <w:rFonts w:ascii="Times New Roman"/>
                <w:sz w:val="6"/>
              </w:rPr>
            </w:pPr>
          </w:p>
        </w:tc>
        <w:tc>
          <w:tcPr>
            <w:tcW w:w="728" w:type="dxa"/>
          </w:tcPr>
          <w:p>
            <w:pPr>
              <w:pStyle w:val="TableParagraph"/>
              <w:rPr>
                <w:rFonts w:ascii="Times New Roman"/>
                <w:sz w:val="6"/>
              </w:rPr>
            </w:pPr>
          </w:p>
        </w:tc>
        <w:tc>
          <w:tcPr>
            <w:tcW w:w="756" w:type="dxa"/>
          </w:tcPr>
          <w:p>
            <w:pPr>
              <w:pStyle w:val="TableParagraph"/>
              <w:rPr>
                <w:rFonts w:ascii="Times New Roman"/>
                <w:sz w:val="6"/>
              </w:rPr>
            </w:pPr>
          </w:p>
        </w:tc>
        <w:tc>
          <w:tcPr>
            <w:tcW w:w="964" w:type="dxa"/>
          </w:tcPr>
          <w:p>
            <w:pPr>
              <w:pStyle w:val="TableParagraph"/>
              <w:rPr>
                <w:rFonts w:ascii="Times New Roman"/>
                <w:sz w:val="6"/>
              </w:rPr>
            </w:pPr>
          </w:p>
        </w:tc>
        <w:tc>
          <w:tcPr>
            <w:tcW w:w="962" w:type="dxa"/>
          </w:tcPr>
          <w:p>
            <w:pPr>
              <w:pStyle w:val="TableParagraph"/>
              <w:spacing w:line="112" w:lineRule="exact"/>
              <w:ind w:right="48"/>
              <w:jc w:val="right"/>
              <w:rPr>
                <w:sz w:val="11"/>
              </w:rPr>
            </w:pPr>
            <w:r>
              <w:rPr>
                <w:w w:val="95"/>
                <w:sz w:val="11"/>
              </w:rPr>
              <w:t>0,00</w:t>
            </w:r>
          </w:p>
        </w:tc>
        <w:tc>
          <w:tcPr>
            <w:tcW w:w="843" w:type="dxa"/>
          </w:tcPr>
          <w:p>
            <w:pPr>
              <w:pStyle w:val="TableParagraph"/>
              <w:spacing w:line="112" w:lineRule="exact"/>
              <w:ind w:right="48"/>
              <w:jc w:val="right"/>
              <w:rPr>
                <w:sz w:val="11"/>
              </w:rPr>
            </w:pPr>
            <w:r>
              <w:rPr>
                <w:w w:val="95"/>
                <w:sz w:val="11"/>
              </w:rPr>
              <w:t>0,00</w:t>
            </w:r>
          </w:p>
        </w:tc>
      </w:tr>
      <w:tr>
        <w:trPr>
          <w:trHeight w:val="129" w:hRule="atLeast"/>
        </w:trPr>
        <w:tc>
          <w:tcPr>
            <w:tcW w:w="1875" w:type="dxa"/>
          </w:tcPr>
          <w:p>
            <w:pPr>
              <w:pStyle w:val="TableParagraph"/>
              <w:spacing w:line="98" w:lineRule="exact" w:before="12"/>
              <w:ind w:left="54"/>
              <w:rPr>
                <w:sz w:val="9"/>
              </w:rPr>
            </w:pPr>
            <w:r>
              <w:rPr>
                <w:w w:val="105"/>
                <w:sz w:val="9"/>
              </w:rPr>
              <w:t>Operaciones de cobertura</w:t>
            </w:r>
          </w:p>
        </w:tc>
        <w:tc>
          <w:tcPr>
            <w:tcW w:w="756" w:type="dxa"/>
          </w:tcPr>
          <w:p>
            <w:pPr>
              <w:pStyle w:val="TableParagraph"/>
              <w:rPr>
                <w:rFonts w:ascii="Times New Roman"/>
                <w:sz w:val="6"/>
              </w:rPr>
            </w:pPr>
          </w:p>
        </w:tc>
        <w:tc>
          <w:tcPr>
            <w:tcW w:w="874" w:type="dxa"/>
          </w:tcPr>
          <w:p>
            <w:pPr>
              <w:pStyle w:val="TableParagraph"/>
              <w:rPr>
                <w:rFonts w:ascii="Times New Roman"/>
                <w:sz w:val="6"/>
              </w:rPr>
            </w:pPr>
          </w:p>
        </w:tc>
        <w:tc>
          <w:tcPr>
            <w:tcW w:w="875" w:type="dxa"/>
          </w:tcPr>
          <w:p>
            <w:pPr>
              <w:pStyle w:val="TableParagraph"/>
              <w:rPr>
                <w:rFonts w:ascii="Times New Roman"/>
                <w:sz w:val="6"/>
              </w:rPr>
            </w:pPr>
          </w:p>
        </w:tc>
        <w:tc>
          <w:tcPr>
            <w:tcW w:w="849" w:type="dxa"/>
          </w:tcPr>
          <w:p>
            <w:pPr>
              <w:pStyle w:val="TableParagraph"/>
              <w:rPr>
                <w:rFonts w:ascii="Times New Roman"/>
                <w:sz w:val="6"/>
              </w:rPr>
            </w:pPr>
          </w:p>
        </w:tc>
        <w:tc>
          <w:tcPr>
            <w:tcW w:w="879" w:type="dxa"/>
          </w:tcPr>
          <w:p>
            <w:pPr>
              <w:pStyle w:val="TableParagraph"/>
              <w:rPr>
                <w:rFonts w:ascii="Times New Roman"/>
                <w:sz w:val="6"/>
              </w:rPr>
            </w:pPr>
          </w:p>
        </w:tc>
        <w:tc>
          <w:tcPr>
            <w:tcW w:w="728" w:type="dxa"/>
          </w:tcPr>
          <w:p>
            <w:pPr>
              <w:pStyle w:val="TableParagraph"/>
              <w:rPr>
                <w:rFonts w:ascii="Times New Roman"/>
                <w:sz w:val="6"/>
              </w:rPr>
            </w:pPr>
          </w:p>
        </w:tc>
        <w:tc>
          <w:tcPr>
            <w:tcW w:w="784" w:type="dxa"/>
          </w:tcPr>
          <w:p>
            <w:pPr>
              <w:pStyle w:val="TableParagraph"/>
              <w:rPr>
                <w:rFonts w:ascii="Times New Roman"/>
                <w:sz w:val="6"/>
              </w:rPr>
            </w:pPr>
          </w:p>
        </w:tc>
        <w:tc>
          <w:tcPr>
            <w:tcW w:w="728" w:type="dxa"/>
          </w:tcPr>
          <w:p>
            <w:pPr>
              <w:pStyle w:val="TableParagraph"/>
              <w:rPr>
                <w:rFonts w:ascii="Times New Roman"/>
                <w:sz w:val="6"/>
              </w:rPr>
            </w:pPr>
          </w:p>
        </w:tc>
        <w:tc>
          <w:tcPr>
            <w:tcW w:w="756" w:type="dxa"/>
          </w:tcPr>
          <w:p>
            <w:pPr>
              <w:pStyle w:val="TableParagraph"/>
              <w:rPr>
                <w:rFonts w:ascii="Times New Roman"/>
                <w:sz w:val="6"/>
              </w:rPr>
            </w:pPr>
          </w:p>
        </w:tc>
        <w:tc>
          <w:tcPr>
            <w:tcW w:w="964" w:type="dxa"/>
          </w:tcPr>
          <w:p>
            <w:pPr>
              <w:pStyle w:val="TableParagraph"/>
              <w:rPr>
                <w:rFonts w:ascii="Times New Roman"/>
                <w:sz w:val="6"/>
              </w:rPr>
            </w:pPr>
          </w:p>
        </w:tc>
        <w:tc>
          <w:tcPr>
            <w:tcW w:w="962" w:type="dxa"/>
          </w:tcPr>
          <w:p>
            <w:pPr>
              <w:pStyle w:val="TableParagraph"/>
              <w:spacing w:line="110" w:lineRule="exact"/>
              <w:ind w:right="48"/>
              <w:jc w:val="right"/>
              <w:rPr>
                <w:sz w:val="11"/>
              </w:rPr>
            </w:pPr>
            <w:r>
              <w:rPr>
                <w:w w:val="95"/>
                <w:sz w:val="11"/>
              </w:rPr>
              <w:t>0,00</w:t>
            </w:r>
          </w:p>
        </w:tc>
        <w:tc>
          <w:tcPr>
            <w:tcW w:w="843" w:type="dxa"/>
          </w:tcPr>
          <w:p>
            <w:pPr>
              <w:pStyle w:val="TableParagraph"/>
              <w:spacing w:line="110" w:lineRule="exact"/>
              <w:ind w:right="48"/>
              <w:jc w:val="right"/>
              <w:rPr>
                <w:sz w:val="11"/>
              </w:rPr>
            </w:pPr>
            <w:r>
              <w:rPr>
                <w:w w:val="95"/>
                <w:sz w:val="11"/>
              </w:rPr>
              <w:t>0,00</w:t>
            </w:r>
          </w:p>
        </w:tc>
      </w:tr>
      <w:tr>
        <w:trPr>
          <w:trHeight w:val="131" w:hRule="atLeast"/>
        </w:trPr>
        <w:tc>
          <w:tcPr>
            <w:tcW w:w="1875" w:type="dxa"/>
          </w:tcPr>
          <w:p>
            <w:pPr>
              <w:pStyle w:val="TableParagraph"/>
              <w:spacing w:line="100" w:lineRule="exact" w:before="12"/>
              <w:ind w:left="54"/>
              <w:rPr>
                <w:sz w:val="9"/>
              </w:rPr>
            </w:pPr>
            <w:r>
              <w:rPr>
                <w:w w:val="105"/>
                <w:sz w:val="9"/>
              </w:rPr>
              <w:t>Otros</w:t>
            </w:r>
          </w:p>
        </w:tc>
        <w:tc>
          <w:tcPr>
            <w:tcW w:w="756" w:type="dxa"/>
          </w:tcPr>
          <w:p>
            <w:pPr>
              <w:pStyle w:val="TableParagraph"/>
              <w:rPr>
                <w:rFonts w:ascii="Times New Roman"/>
                <w:sz w:val="6"/>
              </w:rPr>
            </w:pPr>
          </w:p>
        </w:tc>
        <w:tc>
          <w:tcPr>
            <w:tcW w:w="874" w:type="dxa"/>
          </w:tcPr>
          <w:p>
            <w:pPr>
              <w:pStyle w:val="TableParagraph"/>
              <w:rPr>
                <w:rFonts w:ascii="Times New Roman"/>
                <w:sz w:val="6"/>
              </w:rPr>
            </w:pPr>
          </w:p>
        </w:tc>
        <w:tc>
          <w:tcPr>
            <w:tcW w:w="875" w:type="dxa"/>
          </w:tcPr>
          <w:p>
            <w:pPr>
              <w:pStyle w:val="TableParagraph"/>
              <w:rPr>
                <w:rFonts w:ascii="Times New Roman"/>
                <w:sz w:val="6"/>
              </w:rPr>
            </w:pPr>
          </w:p>
        </w:tc>
        <w:tc>
          <w:tcPr>
            <w:tcW w:w="849" w:type="dxa"/>
          </w:tcPr>
          <w:p>
            <w:pPr>
              <w:pStyle w:val="TableParagraph"/>
              <w:rPr>
                <w:rFonts w:ascii="Times New Roman"/>
                <w:sz w:val="6"/>
              </w:rPr>
            </w:pPr>
          </w:p>
        </w:tc>
        <w:tc>
          <w:tcPr>
            <w:tcW w:w="879" w:type="dxa"/>
          </w:tcPr>
          <w:p>
            <w:pPr>
              <w:pStyle w:val="TableParagraph"/>
              <w:rPr>
                <w:rFonts w:ascii="Times New Roman"/>
                <w:sz w:val="6"/>
              </w:rPr>
            </w:pPr>
          </w:p>
        </w:tc>
        <w:tc>
          <w:tcPr>
            <w:tcW w:w="728" w:type="dxa"/>
          </w:tcPr>
          <w:p>
            <w:pPr>
              <w:pStyle w:val="TableParagraph"/>
              <w:rPr>
                <w:rFonts w:ascii="Times New Roman"/>
                <w:sz w:val="6"/>
              </w:rPr>
            </w:pPr>
          </w:p>
        </w:tc>
        <w:tc>
          <w:tcPr>
            <w:tcW w:w="784" w:type="dxa"/>
          </w:tcPr>
          <w:p>
            <w:pPr>
              <w:pStyle w:val="TableParagraph"/>
              <w:rPr>
                <w:rFonts w:ascii="Times New Roman"/>
                <w:sz w:val="6"/>
              </w:rPr>
            </w:pPr>
          </w:p>
        </w:tc>
        <w:tc>
          <w:tcPr>
            <w:tcW w:w="728" w:type="dxa"/>
          </w:tcPr>
          <w:p>
            <w:pPr>
              <w:pStyle w:val="TableParagraph"/>
              <w:rPr>
                <w:rFonts w:ascii="Times New Roman"/>
                <w:sz w:val="6"/>
              </w:rPr>
            </w:pPr>
          </w:p>
        </w:tc>
        <w:tc>
          <w:tcPr>
            <w:tcW w:w="756" w:type="dxa"/>
          </w:tcPr>
          <w:p>
            <w:pPr>
              <w:pStyle w:val="TableParagraph"/>
              <w:rPr>
                <w:rFonts w:ascii="Times New Roman"/>
                <w:sz w:val="6"/>
              </w:rPr>
            </w:pPr>
          </w:p>
        </w:tc>
        <w:tc>
          <w:tcPr>
            <w:tcW w:w="964" w:type="dxa"/>
          </w:tcPr>
          <w:p>
            <w:pPr>
              <w:pStyle w:val="TableParagraph"/>
              <w:rPr>
                <w:rFonts w:ascii="Times New Roman"/>
                <w:sz w:val="6"/>
              </w:rPr>
            </w:pPr>
          </w:p>
        </w:tc>
        <w:tc>
          <w:tcPr>
            <w:tcW w:w="962" w:type="dxa"/>
          </w:tcPr>
          <w:p>
            <w:pPr>
              <w:pStyle w:val="TableParagraph"/>
              <w:spacing w:line="112" w:lineRule="exact"/>
              <w:ind w:right="48"/>
              <w:jc w:val="right"/>
              <w:rPr>
                <w:sz w:val="11"/>
              </w:rPr>
            </w:pPr>
            <w:r>
              <w:rPr>
                <w:w w:val="95"/>
                <w:sz w:val="11"/>
              </w:rPr>
              <w:t>0,00</w:t>
            </w:r>
          </w:p>
        </w:tc>
        <w:tc>
          <w:tcPr>
            <w:tcW w:w="843" w:type="dxa"/>
          </w:tcPr>
          <w:p>
            <w:pPr>
              <w:pStyle w:val="TableParagraph"/>
              <w:spacing w:line="112" w:lineRule="exact"/>
              <w:ind w:right="48"/>
              <w:jc w:val="right"/>
              <w:rPr>
                <w:sz w:val="11"/>
              </w:rPr>
            </w:pPr>
            <w:r>
              <w:rPr>
                <w:w w:val="95"/>
                <w:sz w:val="11"/>
              </w:rPr>
              <w:t>0,00</w:t>
            </w:r>
          </w:p>
        </w:tc>
      </w:tr>
      <w:tr>
        <w:trPr>
          <w:trHeight w:val="148" w:hRule="atLeast"/>
        </w:trPr>
        <w:tc>
          <w:tcPr>
            <w:tcW w:w="1875" w:type="dxa"/>
          </w:tcPr>
          <w:p>
            <w:pPr>
              <w:pStyle w:val="TableParagraph"/>
              <w:spacing w:line="127" w:lineRule="exact" w:before="2"/>
              <w:ind w:left="54"/>
              <w:rPr>
                <w:b/>
                <w:sz w:val="12"/>
              </w:rPr>
            </w:pPr>
            <w:r>
              <w:rPr>
                <w:b/>
                <w:w w:val="105"/>
                <w:sz w:val="12"/>
              </w:rPr>
              <w:t>SUBV., DONAC. Y LEGADOS RECIB</w:t>
            </w:r>
          </w:p>
        </w:tc>
        <w:tc>
          <w:tcPr>
            <w:tcW w:w="756" w:type="dxa"/>
          </w:tcPr>
          <w:p>
            <w:pPr>
              <w:pStyle w:val="TableParagraph"/>
              <w:spacing w:line="123" w:lineRule="exact" w:before="6"/>
              <w:ind w:right="46"/>
              <w:jc w:val="right"/>
              <w:rPr>
                <w:b/>
                <w:sz w:val="11"/>
              </w:rPr>
            </w:pPr>
            <w:r>
              <w:rPr>
                <w:b/>
                <w:w w:val="95"/>
                <w:sz w:val="11"/>
              </w:rPr>
              <w:t>1.161.030,17</w:t>
            </w:r>
          </w:p>
        </w:tc>
        <w:tc>
          <w:tcPr>
            <w:tcW w:w="874" w:type="dxa"/>
          </w:tcPr>
          <w:p>
            <w:pPr>
              <w:pStyle w:val="TableParagraph"/>
              <w:spacing w:line="123" w:lineRule="exact" w:before="6"/>
              <w:ind w:right="47"/>
              <w:jc w:val="right"/>
              <w:rPr>
                <w:b/>
                <w:sz w:val="11"/>
              </w:rPr>
            </w:pPr>
            <w:r>
              <w:rPr>
                <w:b/>
                <w:sz w:val="11"/>
              </w:rPr>
              <w:t>27.988.538,54</w:t>
            </w:r>
          </w:p>
        </w:tc>
        <w:tc>
          <w:tcPr>
            <w:tcW w:w="875" w:type="dxa"/>
          </w:tcPr>
          <w:p>
            <w:pPr>
              <w:pStyle w:val="TableParagraph"/>
              <w:spacing w:line="123" w:lineRule="exact" w:before="6"/>
              <w:ind w:right="47"/>
              <w:jc w:val="right"/>
              <w:rPr>
                <w:b/>
                <w:sz w:val="11"/>
              </w:rPr>
            </w:pPr>
            <w:r>
              <w:rPr>
                <w:b/>
                <w:w w:val="95"/>
                <w:sz w:val="11"/>
              </w:rPr>
              <w:t>2.434.852,94</w:t>
            </w:r>
          </w:p>
        </w:tc>
        <w:tc>
          <w:tcPr>
            <w:tcW w:w="849" w:type="dxa"/>
          </w:tcPr>
          <w:p>
            <w:pPr>
              <w:pStyle w:val="TableParagraph"/>
              <w:spacing w:line="123" w:lineRule="exact" w:before="6"/>
              <w:ind w:right="47"/>
              <w:jc w:val="right"/>
              <w:rPr>
                <w:b/>
                <w:sz w:val="11"/>
              </w:rPr>
            </w:pPr>
            <w:r>
              <w:rPr>
                <w:b/>
                <w:w w:val="95"/>
                <w:sz w:val="11"/>
              </w:rPr>
              <w:t>118.536,68</w:t>
            </w:r>
          </w:p>
        </w:tc>
        <w:tc>
          <w:tcPr>
            <w:tcW w:w="879" w:type="dxa"/>
          </w:tcPr>
          <w:p>
            <w:pPr>
              <w:pStyle w:val="TableParagraph"/>
              <w:spacing w:line="123" w:lineRule="exact" w:before="6"/>
              <w:ind w:right="46"/>
              <w:jc w:val="right"/>
              <w:rPr>
                <w:b/>
                <w:sz w:val="11"/>
              </w:rPr>
            </w:pPr>
            <w:r>
              <w:rPr>
                <w:b/>
                <w:w w:val="95"/>
                <w:sz w:val="11"/>
              </w:rPr>
              <w:t>582.705.000,71</w:t>
            </w:r>
          </w:p>
        </w:tc>
        <w:tc>
          <w:tcPr>
            <w:tcW w:w="728" w:type="dxa"/>
          </w:tcPr>
          <w:p>
            <w:pPr>
              <w:pStyle w:val="TableParagraph"/>
              <w:spacing w:line="123" w:lineRule="exact" w:before="6"/>
              <w:ind w:right="50"/>
              <w:jc w:val="right"/>
              <w:rPr>
                <w:b/>
                <w:sz w:val="11"/>
              </w:rPr>
            </w:pPr>
            <w:r>
              <w:rPr>
                <w:b/>
                <w:w w:val="95"/>
                <w:sz w:val="11"/>
              </w:rPr>
              <w:t>466.364,88</w:t>
            </w:r>
          </w:p>
        </w:tc>
        <w:tc>
          <w:tcPr>
            <w:tcW w:w="784" w:type="dxa"/>
          </w:tcPr>
          <w:p>
            <w:pPr>
              <w:pStyle w:val="TableParagraph"/>
              <w:spacing w:line="123" w:lineRule="exact" w:before="6"/>
              <w:ind w:right="49"/>
              <w:jc w:val="right"/>
              <w:rPr>
                <w:b/>
                <w:sz w:val="11"/>
              </w:rPr>
            </w:pPr>
            <w:r>
              <w:rPr>
                <w:b/>
                <w:w w:val="95"/>
                <w:sz w:val="11"/>
              </w:rPr>
              <w:t>3.175.335,41</w:t>
            </w:r>
          </w:p>
        </w:tc>
        <w:tc>
          <w:tcPr>
            <w:tcW w:w="728" w:type="dxa"/>
          </w:tcPr>
          <w:p>
            <w:pPr>
              <w:pStyle w:val="TableParagraph"/>
              <w:spacing w:line="123" w:lineRule="exact" w:before="6"/>
              <w:ind w:right="49"/>
              <w:jc w:val="right"/>
              <w:rPr>
                <w:b/>
                <w:sz w:val="11"/>
              </w:rPr>
            </w:pPr>
            <w:r>
              <w:rPr>
                <w:b/>
                <w:sz w:val="11"/>
              </w:rPr>
              <w:t>12.780,74</w:t>
            </w:r>
          </w:p>
        </w:tc>
        <w:tc>
          <w:tcPr>
            <w:tcW w:w="756" w:type="dxa"/>
          </w:tcPr>
          <w:p>
            <w:pPr>
              <w:pStyle w:val="TableParagraph"/>
              <w:spacing w:line="123" w:lineRule="exact" w:before="6"/>
              <w:ind w:right="50"/>
              <w:jc w:val="right"/>
              <w:rPr>
                <w:b/>
                <w:sz w:val="11"/>
              </w:rPr>
            </w:pPr>
            <w:r>
              <w:rPr>
                <w:b/>
                <w:w w:val="95"/>
                <w:sz w:val="11"/>
              </w:rPr>
              <w:t>1.152.072,83</w:t>
            </w:r>
          </w:p>
        </w:tc>
        <w:tc>
          <w:tcPr>
            <w:tcW w:w="964" w:type="dxa"/>
          </w:tcPr>
          <w:p>
            <w:pPr>
              <w:pStyle w:val="TableParagraph"/>
              <w:spacing w:line="123" w:lineRule="exact" w:before="6"/>
              <w:ind w:right="51"/>
              <w:jc w:val="right"/>
              <w:rPr>
                <w:b/>
                <w:sz w:val="11"/>
              </w:rPr>
            </w:pPr>
            <w:r>
              <w:rPr>
                <w:b/>
                <w:sz w:val="11"/>
              </w:rPr>
              <w:t>50.777.408,20</w:t>
            </w:r>
          </w:p>
        </w:tc>
        <w:tc>
          <w:tcPr>
            <w:tcW w:w="962" w:type="dxa"/>
          </w:tcPr>
          <w:p>
            <w:pPr>
              <w:pStyle w:val="TableParagraph"/>
              <w:spacing w:line="123" w:lineRule="exact" w:before="6"/>
              <w:ind w:right="49"/>
              <w:jc w:val="right"/>
              <w:rPr>
                <w:b/>
                <w:sz w:val="11"/>
              </w:rPr>
            </w:pPr>
            <w:r>
              <w:rPr>
                <w:b/>
                <w:w w:val="95"/>
                <w:sz w:val="11"/>
              </w:rPr>
              <w:t>730.920.641,62</w:t>
            </w:r>
          </w:p>
        </w:tc>
        <w:tc>
          <w:tcPr>
            <w:tcW w:w="843" w:type="dxa"/>
          </w:tcPr>
          <w:p>
            <w:pPr>
              <w:pStyle w:val="TableParagraph"/>
              <w:spacing w:line="123" w:lineRule="exact" w:before="6"/>
              <w:ind w:right="49"/>
              <w:jc w:val="right"/>
              <w:rPr>
                <w:b/>
                <w:sz w:val="11"/>
              </w:rPr>
            </w:pPr>
            <w:r>
              <w:rPr>
                <w:b/>
                <w:w w:val="95"/>
                <w:sz w:val="11"/>
              </w:rPr>
              <w:t>736.088.247,63</w:t>
            </w:r>
          </w:p>
        </w:tc>
      </w:tr>
      <w:tr>
        <w:trPr>
          <w:trHeight w:val="150" w:hRule="atLeast"/>
        </w:trPr>
        <w:tc>
          <w:tcPr>
            <w:tcW w:w="1875" w:type="dxa"/>
          </w:tcPr>
          <w:p>
            <w:pPr>
              <w:pStyle w:val="TableParagraph"/>
              <w:spacing w:line="128" w:lineRule="exact" w:before="2"/>
              <w:ind w:left="54"/>
              <w:rPr>
                <w:b/>
                <w:sz w:val="12"/>
              </w:rPr>
            </w:pPr>
            <w:r>
              <w:rPr>
                <w:b/>
                <w:w w:val="105"/>
                <w:sz w:val="12"/>
              </w:rPr>
              <w:t>SOCIOS EXTERNOS</w:t>
            </w:r>
          </w:p>
        </w:tc>
        <w:tc>
          <w:tcPr>
            <w:tcW w:w="756" w:type="dxa"/>
          </w:tcPr>
          <w:p>
            <w:pPr>
              <w:pStyle w:val="TableParagraph"/>
              <w:spacing w:line="124" w:lineRule="exact" w:before="6"/>
              <w:ind w:right="45"/>
              <w:jc w:val="right"/>
              <w:rPr>
                <w:b/>
                <w:sz w:val="11"/>
              </w:rPr>
            </w:pPr>
            <w:r>
              <w:rPr>
                <w:b/>
                <w:w w:val="95"/>
                <w:sz w:val="11"/>
              </w:rPr>
              <w:t>0,00</w:t>
            </w:r>
          </w:p>
        </w:tc>
        <w:tc>
          <w:tcPr>
            <w:tcW w:w="874" w:type="dxa"/>
          </w:tcPr>
          <w:p>
            <w:pPr>
              <w:pStyle w:val="TableParagraph"/>
              <w:spacing w:line="124" w:lineRule="exact" w:before="6"/>
              <w:ind w:right="46"/>
              <w:jc w:val="right"/>
              <w:rPr>
                <w:b/>
                <w:sz w:val="11"/>
              </w:rPr>
            </w:pPr>
            <w:r>
              <w:rPr>
                <w:b/>
                <w:w w:val="95"/>
                <w:sz w:val="11"/>
              </w:rPr>
              <w:t>0,00</w:t>
            </w:r>
          </w:p>
        </w:tc>
        <w:tc>
          <w:tcPr>
            <w:tcW w:w="875" w:type="dxa"/>
          </w:tcPr>
          <w:p>
            <w:pPr>
              <w:pStyle w:val="TableParagraph"/>
              <w:spacing w:line="124" w:lineRule="exact" w:before="6"/>
              <w:ind w:right="46"/>
              <w:jc w:val="right"/>
              <w:rPr>
                <w:b/>
                <w:sz w:val="11"/>
              </w:rPr>
            </w:pPr>
            <w:r>
              <w:rPr>
                <w:b/>
                <w:w w:val="95"/>
                <w:sz w:val="11"/>
              </w:rPr>
              <w:t>0,00</w:t>
            </w:r>
          </w:p>
        </w:tc>
        <w:tc>
          <w:tcPr>
            <w:tcW w:w="849" w:type="dxa"/>
          </w:tcPr>
          <w:p>
            <w:pPr>
              <w:pStyle w:val="TableParagraph"/>
              <w:spacing w:line="124" w:lineRule="exact" w:before="6"/>
              <w:ind w:right="48"/>
              <w:jc w:val="right"/>
              <w:rPr>
                <w:b/>
                <w:sz w:val="11"/>
              </w:rPr>
            </w:pPr>
            <w:r>
              <w:rPr>
                <w:b/>
                <w:w w:val="95"/>
                <w:sz w:val="11"/>
              </w:rPr>
              <w:t>0,00</w:t>
            </w:r>
          </w:p>
        </w:tc>
        <w:tc>
          <w:tcPr>
            <w:tcW w:w="879" w:type="dxa"/>
          </w:tcPr>
          <w:p>
            <w:pPr>
              <w:pStyle w:val="TableParagraph"/>
              <w:spacing w:line="124" w:lineRule="exact" w:before="6"/>
              <w:ind w:right="45"/>
              <w:jc w:val="right"/>
              <w:rPr>
                <w:b/>
                <w:sz w:val="11"/>
              </w:rPr>
            </w:pPr>
            <w:r>
              <w:rPr>
                <w:b/>
                <w:w w:val="95"/>
                <w:sz w:val="11"/>
              </w:rPr>
              <w:t>0,00</w:t>
            </w:r>
          </w:p>
        </w:tc>
        <w:tc>
          <w:tcPr>
            <w:tcW w:w="728" w:type="dxa"/>
          </w:tcPr>
          <w:p>
            <w:pPr>
              <w:pStyle w:val="TableParagraph"/>
              <w:spacing w:line="124" w:lineRule="exact" w:before="6"/>
              <w:ind w:right="49"/>
              <w:jc w:val="right"/>
              <w:rPr>
                <w:b/>
                <w:sz w:val="11"/>
              </w:rPr>
            </w:pPr>
            <w:r>
              <w:rPr>
                <w:b/>
                <w:w w:val="95"/>
                <w:sz w:val="11"/>
              </w:rPr>
              <w:t>0,00</w:t>
            </w:r>
          </w:p>
        </w:tc>
        <w:tc>
          <w:tcPr>
            <w:tcW w:w="784" w:type="dxa"/>
          </w:tcPr>
          <w:p>
            <w:pPr>
              <w:pStyle w:val="TableParagraph"/>
              <w:spacing w:line="124" w:lineRule="exact" w:before="6"/>
              <w:ind w:right="48"/>
              <w:jc w:val="right"/>
              <w:rPr>
                <w:b/>
                <w:sz w:val="11"/>
              </w:rPr>
            </w:pPr>
            <w:r>
              <w:rPr>
                <w:b/>
                <w:w w:val="95"/>
                <w:sz w:val="11"/>
              </w:rPr>
              <w:t>0,00</w:t>
            </w:r>
          </w:p>
        </w:tc>
        <w:tc>
          <w:tcPr>
            <w:tcW w:w="728" w:type="dxa"/>
          </w:tcPr>
          <w:p>
            <w:pPr>
              <w:pStyle w:val="TableParagraph"/>
              <w:spacing w:line="124" w:lineRule="exact" w:before="6"/>
              <w:ind w:right="49"/>
              <w:jc w:val="right"/>
              <w:rPr>
                <w:b/>
                <w:sz w:val="11"/>
              </w:rPr>
            </w:pPr>
            <w:r>
              <w:rPr>
                <w:b/>
                <w:w w:val="95"/>
                <w:sz w:val="11"/>
              </w:rPr>
              <w:t>0,00</w:t>
            </w:r>
          </w:p>
        </w:tc>
        <w:tc>
          <w:tcPr>
            <w:tcW w:w="756" w:type="dxa"/>
          </w:tcPr>
          <w:p>
            <w:pPr>
              <w:pStyle w:val="TableParagraph"/>
              <w:spacing w:line="124" w:lineRule="exact" w:before="6"/>
              <w:ind w:right="49"/>
              <w:jc w:val="right"/>
              <w:rPr>
                <w:b/>
                <w:sz w:val="11"/>
              </w:rPr>
            </w:pPr>
            <w:r>
              <w:rPr>
                <w:b/>
                <w:w w:val="95"/>
                <w:sz w:val="11"/>
              </w:rPr>
              <w:t>0,00</w:t>
            </w:r>
          </w:p>
        </w:tc>
        <w:tc>
          <w:tcPr>
            <w:tcW w:w="964" w:type="dxa"/>
          </w:tcPr>
          <w:p>
            <w:pPr>
              <w:pStyle w:val="TableParagraph"/>
              <w:spacing w:line="124" w:lineRule="exact" w:before="6"/>
              <w:ind w:right="51"/>
              <w:jc w:val="right"/>
              <w:rPr>
                <w:b/>
                <w:sz w:val="11"/>
              </w:rPr>
            </w:pPr>
            <w:r>
              <w:rPr>
                <w:b/>
                <w:w w:val="95"/>
                <w:sz w:val="11"/>
              </w:rPr>
              <w:t>0,00</w:t>
            </w:r>
          </w:p>
        </w:tc>
        <w:tc>
          <w:tcPr>
            <w:tcW w:w="962" w:type="dxa"/>
          </w:tcPr>
          <w:p>
            <w:pPr>
              <w:pStyle w:val="TableParagraph"/>
              <w:spacing w:line="124" w:lineRule="exact" w:before="6"/>
              <w:ind w:right="48"/>
              <w:jc w:val="right"/>
              <w:rPr>
                <w:b/>
                <w:sz w:val="11"/>
              </w:rPr>
            </w:pPr>
            <w:r>
              <w:rPr>
                <w:b/>
                <w:w w:val="95"/>
                <w:sz w:val="11"/>
              </w:rPr>
              <w:t>0,00</w:t>
            </w:r>
          </w:p>
        </w:tc>
        <w:tc>
          <w:tcPr>
            <w:tcW w:w="843" w:type="dxa"/>
          </w:tcPr>
          <w:p>
            <w:pPr>
              <w:pStyle w:val="TableParagraph"/>
              <w:spacing w:line="124" w:lineRule="exact" w:before="6"/>
              <w:ind w:right="48"/>
              <w:jc w:val="right"/>
              <w:rPr>
                <w:b/>
                <w:sz w:val="11"/>
              </w:rPr>
            </w:pPr>
            <w:r>
              <w:rPr>
                <w:b/>
                <w:w w:val="95"/>
                <w:sz w:val="11"/>
              </w:rPr>
              <w:t>0,00</w:t>
            </w:r>
          </w:p>
        </w:tc>
      </w:tr>
      <w:tr>
        <w:trPr>
          <w:trHeight w:val="148" w:hRule="atLeast"/>
        </w:trPr>
        <w:tc>
          <w:tcPr>
            <w:tcW w:w="1875" w:type="dxa"/>
          </w:tcPr>
          <w:p>
            <w:pPr>
              <w:pStyle w:val="TableParagraph"/>
              <w:spacing w:line="127" w:lineRule="exact" w:before="2"/>
              <w:ind w:left="54"/>
              <w:rPr>
                <w:b/>
                <w:sz w:val="12"/>
              </w:rPr>
            </w:pPr>
            <w:r>
              <w:rPr>
                <w:b/>
                <w:w w:val="105"/>
                <w:sz w:val="12"/>
              </w:rPr>
              <w:t>PASIVO NO CORRIENTE</w:t>
            </w:r>
          </w:p>
        </w:tc>
        <w:tc>
          <w:tcPr>
            <w:tcW w:w="756" w:type="dxa"/>
          </w:tcPr>
          <w:p>
            <w:pPr>
              <w:pStyle w:val="TableParagraph"/>
              <w:spacing w:line="123" w:lineRule="exact" w:before="6"/>
              <w:ind w:right="45"/>
              <w:jc w:val="right"/>
              <w:rPr>
                <w:b/>
                <w:sz w:val="11"/>
              </w:rPr>
            </w:pPr>
            <w:r>
              <w:rPr>
                <w:b/>
                <w:w w:val="95"/>
                <w:sz w:val="11"/>
              </w:rPr>
              <w:t>387.010,04</w:t>
            </w:r>
          </w:p>
        </w:tc>
        <w:tc>
          <w:tcPr>
            <w:tcW w:w="874" w:type="dxa"/>
          </w:tcPr>
          <w:p>
            <w:pPr>
              <w:pStyle w:val="TableParagraph"/>
              <w:spacing w:line="123" w:lineRule="exact" w:before="6"/>
              <w:ind w:right="47"/>
              <w:jc w:val="right"/>
              <w:rPr>
                <w:b/>
                <w:sz w:val="11"/>
              </w:rPr>
            </w:pPr>
            <w:r>
              <w:rPr>
                <w:b/>
                <w:sz w:val="11"/>
              </w:rPr>
              <w:t>11.110.976,86</w:t>
            </w:r>
          </w:p>
        </w:tc>
        <w:tc>
          <w:tcPr>
            <w:tcW w:w="875" w:type="dxa"/>
          </w:tcPr>
          <w:p>
            <w:pPr>
              <w:pStyle w:val="TableParagraph"/>
              <w:spacing w:line="123" w:lineRule="exact" w:before="6"/>
              <w:ind w:right="46"/>
              <w:jc w:val="right"/>
              <w:rPr>
                <w:b/>
                <w:sz w:val="11"/>
              </w:rPr>
            </w:pPr>
            <w:r>
              <w:rPr>
                <w:b/>
                <w:w w:val="95"/>
                <w:sz w:val="11"/>
              </w:rPr>
              <w:t>667.080,63</w:t>
            </w:r>
          </w:p>
        </w:tc>
        <w:tc>
          <w:tcPr>
            <w:tcW w:w="849" w:type="dxa"/>
          </w:tcPr>
          <w:p>
            <w:pPr>
              <w:pStyle w:val="TableParagraph"/>
              <w:spacing w:line="123" w:lineRule="exact" w:before="6"/>
              <w:ind w:right="47"/>
              <w:jc w:val="right"/>
              <w:rPr>
                <w:b/>
                <w:sz w:val="11"/>
              </w:rPr>
            </w:pPr>
            <w:r>
              <w:rPr>
                <w:b/>
                <w:sz w:val="11"/>
              </w:rPr>
              <w:t>48.074,19</w:t>
            </w:r>
          </w:p>
        </w:tc>
        <w:tc>
          <w:tcPr>
            <w:tcW w:w="879" w:type="dxa"/>
          </w:tcPr>
          <w:p>
            <w:pPr>
              <w:pStyle w:val="TableParagraph"/>
              <w:spacing w:line="123" w:lineRule="exact" w:before="6"/>
              <w:ind w:right="46"/>
              <w:jc w:val="right"/>
              <w:rPr>
                <w:b/>
                <w:sz w:val="11"/>
              </w:rPr>
            </w:pPr>
            <w:r>
              <w:rPr>
                <w:b/>
                <w:w w:val="95"/>
                <w:sz w:val="11"/>
              </w:rPr>
              <w:t>529.884,99</w:t>
            </w:r>
          </w:p>
        </w:tc>
        <w:tc>
          <w:tcPr>
            <w:tcW w:w="728" w:type="dxa"/>
          </w:tcPr>
          <w:p>
            <w:pPr>
              <w:pStyle w:val="TableParagraph"/>
              <w:spacing w:line="123" w:lineRule="exact" w:before="6"/>
              <w:ind w:right="50"/>
              <w:jc w:val="right"/>
              <w:rPr>
                <w:b/>
                <w:sz w:val="11"/>
              </w:rPr>
            </w:pPr>
            <w:r>
              <w:rPr>
                <w:b/>
                <w:w w:val="95"/>
                <w:sz w:val="11"/>
              </w:rPr>
              <w:t>155.454,89</w:t>
            </w:r>
          </w:p>
        </w:tc>
        <w:tc>
          <w:tcPr>
            <w:tcW w:w="784" w:type="dxa"/>
          </w:tcPr>
          <w:p>
            <w:pPr>
              <w:pStyle w:val="TableParagraph"/>
              <w:spacing w:line="123" w:lineRule="exact" w:before="6"/>
              <w:ind w:right="49"/>
              <w:jc w:val="right"/>
              <w:rPr>
                <w:b/>
                <w:sz w:val="11"/>
              </w:rPr>
            </w:pPr>
            <w:r>
              <w:rPr>
                <w:b/>
                <w:w w:val="95"/>
                <w:sz w:val="11"/>
              </w:rPr>
              <w:t>1.061.168,16</w:t>
            </w:r>
          </w:p>
        </w:tc>
        <w:tc>
          <w:tcPr>
            <w:tcW w:w="728" w:type="dxa"/>
          </w:tcPr>
          <w:p>
            <w:pPr>
              <w:pStyle w:val="TableParagraph"/>
              <w:spacing w:line="123" w:lineRule="exact" w:before="6"/>
              <w:ind w:right="49"/>
              <w:jc w:val="right"/>
              <w:rPr>
                <w:b/>
                <w:sz w:val="11"/>
              </w:rPr>
            </w:pPr>
            <w:r>
              <w:rPr>
                <w:b/>
                <w:sz w:val="11"/>
              </w:rPr>
              <w:t>4.860,25</w:t>
            </w:r>
          </w:p>
        </w:tc>
        <w:tc>
          <w:tcPr>
            <w:tcW w:w="756" w:type="dxa"/>
          </w:tcPr>
          <w:p>
            <w:pPr>
              <w:pStyle w:val="TableParagraph"/>
              <w:spacing w:line="123" w:lineRule="exact" w:before="6"/>
              <w:ind w:right="50"/>
              <w:jc w:val="right"/>
              <w:rPr>
                <w:b/>
                <w:sz w:val="11"/>
              </w:rPr>
            </w:pPr>
            <w:r>
              <w:rPr>
                <w:b/>
                <w:w w:val="95"/>
                <w:sz w:val="11"/>
              </w:rPr>
              <w:t>384.024,20</w:t>
            </w:r>
          </w:p>
        </w:tc>
        <w:tc>
          <w:tcPr>
            <w:tcW w:w="964" w:type="dxa"/>
          </w:tcPr>
          <w:p>
            <w:pPr>
              <w:pStyle w:val="TableParagraph"/>
              <w:spacing w:line="123" w:lineRule="exact" w:before="6"/>
              <w:ind w:right="51"/>
              <w:jc w:val="right"/>
              <w:rPr>
                <w:b/>
                <w:sz w:val="11"/>
              </w:rPr>
            </w:pPr>
            <w:r>
              <w:rPr>
                <w:b/>
                <w:w w:val="95"/>
                <w:sz w:val="11"/>
              </w:rPr>
              <w:t>102.053.516,33</w:t>
            </w:r>
          </w:p>
        </w:tc>
        <w:tc>
          <w:tcPr>
            <w:tcW w:w="962" w:type="dxa"/>
          </w:tcPr>
          <w:p>
            <w:pPr>
              <w:pStyle w:val="TableParagraph"/>
              <w:spacing w:line="123" w:lineRule="exact" w:before="6"/>
              <w:ind w:right="49"/>
              <w:jc w:val="right"/>
              <w:rPr>
                <w:b/>
                <w:sz w:val="11"/>
              </w:rPr>
            </w:pPr>
            <w:r>
              <w:rPr>
                <w:b/>
                <w:w w:val="95"/>
                <w:sz w:val="11"/>
              </w:rPr>
              <w:t>144.152.745,28</w:t>
            </w:r>
          </w:p>
        </w:tc>
        <w:tc>
          <w:tcPr>
            <w:tcW w:w="843" w:type="dxa"/>
          </w:tcPr>
          <w:p>
            <w:pPr>
              <w:pStyle w:val="TableParagraph"/>
              <w:spacing w:line="123" w:lineRule="exact" w:before="6"/>
              <w:ind w:right="49"/>
              <w:jc w:val="right"/>
              <w:rPr>
                <w:b/>
                <w:sz w:val="11"/>
              </w:rPr>
            </w:pPr>
            <w:r>
              <w:rPr>
                <w:b/>
                <w:w w:val="95"/>
                <w:sz w:val="11"/>
              </w:rPr>
              <w:t>176.663.586,92</w:t>
            </w:r>
          </w:p>
        </w:tc>
      </w:tr>
      <w:tr>
        <w:trPr>
          <w:trHeight w:val="150" w:hRule="atLeast"/>
        </w:trPr>
        <w:tc>
          <w:tcPr>
            <w:tcW w:w="1875" w:type="dxa"/>
          </w:tcPr>
          <w:p>
            <w:pPr>
              <w:pStyle w:val="TableParagraph"/>
              <w:spacing w:line="128" w:lineRule="exact" w:before="2"/>
              <w:ind w:left="54"/>
              <w:rPr>
                <w:sz w:val="12"/>
              </w:rPr>
            </w:pPr>
            <w:r>
              <w:rPr>
                <w:w w:val="105"/>
                <w:sz w:val="12"/>
              </w:rPr>
              <w:t>Provisiones a largo plazo</w:t>
            </w:r>
          </w:p>
        </w:tc>
        <w:tc>
          <w:tcPr>
            <w:tcW w:w="756" w:type="dxa"/>
          </w:tcPr>
          <w:p>
            <w:pPr>
              <w:pStyle w:val="TableParagraph"/>
              <w:rPr>
                <w:rFonts w:ascii="Times New Roman"/>
                <w:sz w:val="8"/>
              </w:rPr>
            </w:pPr>
          </w:p>
        </w:tc>
        <w:tc>
          <w:tcPr>
            <w:tcW w:w="874" w:type="dxa"/>
          </w:tcPr>
          <w:p>
            <w:pPr>
              <w:pStyle w:val="TableParagraph"/>
              <w:spacing w:line="124" w:lineRule="exact" w:before="6"/>
              <w:ind w:right="47"/>
              <w:jc w:val="right"/>
              <w:rPr>
                <w:sz w:val="11"/>
              </w:rPr>
            </w:pPr>
            <w:r>
              <w:rPr>
                <w:w w:val="95"/>
                <w:sz w:val="11"/>
              </w:rPr>
              <w:t>57.833,38</w:t>
            </w: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rPr>
                <w:rFonts w:ascii="Times New Roman"/>
                <w:sz w:val="8"/>
              </w:rPr>
            </w:pPr>
          </w:p>
        </w:tc>
        <w:tc>
          <w:tcPr>
            <w:tcW w:w="728" w:type="dxa"/>
          </w:tcPr>
          <w:p>
            <w:pPr>
              <w:pStyle w:val="TableParagraph"/>
              <w:rPr>
                <w:rFonts w:ascii="Times New Roman"/>
                <w:sz w:val="8"/>
              </w:rPr>
            </w:pPr>
          </w:p>
        </w:tc>
        <w:tc>
          <w:tcPr>
            <w:tcW w:w="756" w:type="dxa"/>
          </w:tcPr>
          <w:p>
            <w:pPr>
              <w:pStyle w:val="TableParagraph"/>
              <w:rPr>
                <w:rFonts w:ascii="Times New Roman"/>
                <w:sz w:val="8"/>
              </w:rPr>
            </w:pPr>
          </w:p>
        </w:tc>
        <w:tc>
          <w:tcPr>
            <w:tcW w:w="964" w:type="dxa"/>
          </w:tcPr>
          <w:p>
            <w:pPr>
              <w:pStyle w:val="TableParagraph"/>
              <w:spacing w:line="124" w:lineRule="exact" w:before="6"/>
              <w:ind w:right="51"/>
              <w:jc w:val="right"/>
              <w:rPr>
                <w:sz w:val="11"/>
              </w:rPr>
            </w:pPr>
            <w:r>
              <w:rPr>
                <w:sz w:val="11"/>
              </w:rPr>
              <w:t>702.557,95</w:t>
            </w:r>
          </w:p>
        </w:tc>
        <w:tc>
          <w:tcPr>
            <w:tcW w:w="962" w:type="dxa"/>
          </w:tcPr>
          <w:p>
            <w:pPr>
              <w:pStyle w:val="TableParagraph"/>
              <w:spacing w:line="124" w:lineRule="exact" w:before="6"/>
              <w:ind w:right="49"/>
              <w:jc w:val="right"/>
              <w:rPr>
                <w:sz w:val="11"/>
              </w:rPr>
            </w:pPr>
            <w:r>
              <w:rPr>
                <w:sz w:val="11"/>
              </w:rPr>
              <w:t>2.493.401,53</w:t>
            </w:r>
          </w:p>
        </w:tc>
        <w:tc>
          <w:tcPr>
            <w:tcW w:w="843" w:type="dxa"/>
          </w:tcPr>
          <w:p>
            <w:pPr>
              <w:pStyle w:val="TableParagraph"/>
              <w:spacing w:line="124" w:lineRule="exact" w:before="6"/>
              <w:ind w:right="49"/>
              <w:jc w:val="right"/>
              <w:rPr>
                <w:sz w:val="11"/>
              </w:rPr>
            </w:pPr>
            <w:r>
              <w:rPr>
                <w:sz w:val="11"/>
              </w:rPr>
              <w:t>2.205.392,70</w:t>
            </w:r>
          </w:p>
        </w:tc>
      </w:tr>
      <w:tr>
        <w:trPr>
          <w:trHeight w:val="148" w:hRule="atLeast"/>
        </w:trPr>
        <w:tc>
          <w:tcPr>
            <w:tcW w:w="1875" w:type="dxa"/>
          </w:tcPr>
          <w:p>
            <w:pPr>
              <w:pStyle w:val="TableParagraph"/>
              <w:spacing w:line="127" w:lineRule="exact" w:before="2"/>
              <w:ind w:left="54"/>
              <w:rPr>
                <w:sz w:val="12"/>
              </w:rPr>
            </w:pPr>
            <w:r>
              <w:rPr>
                <w:w w:val="105"/>
                <w:sz w:val="12"/>
              </w:rPr>
              <w:t>Deudas a largo plazo</w:t>
            </w:r>
          </w:p>
        </w:tc>
        <w:tc>
          <w:tcPr>
            <w:tcW w:w="756" w:type="dxa"/>
          </w:tcPr>
          <w:p>
            <w:pPr>
              <w:pStyle w:val="TableParagraph"/>
              <w:rPr>
                <w:rFonts w:ascii="Times New Roman"/>
                <w:sz w:val="8"/>
              </w:rPr>
            </w:pPr>
          </w:p>
        </w:tc>
        <w:tc>
          <w:tcPr>
            <w:tcW w:w="874" w:type="dxa"/>
          </w:tcPr>
          <w:p>
            <w:pPr>
              <w:pStyle w:val="TableParagraph"/>
              <w:spacing w:line="123" w:lineRule="exact" w:before="6"/>
              <w:ind w:right="47"/>
              <w:jc w:val="right"/>
              <w:rPr>
                <w:sz w:val="11"/>
              </w:rPr>
            </w:pPr>
            <w:r>
              <w:rPr>
                <w:sz w:val="11"/>
              </w:rPr>
              <w:t>1.725.382,83</w:t>
            </w:r>
          </w:p>
        </w:tc>
        <w:tc>
          <w:tcPr>
            <w:tcW w:w="875" w:type="dxa"/>
          </w:tcPr>
          <w:p>
            <w:pPr>
              <w:pStyle w:val="TableParagraph"/>
              <w:spacing w:line="123" w:lineRule="exact" w:before="6"/>
              <w:ind w:right="46"/>
              <w:jc w:val="right"/>
              <w:rPr>
                <w:sz w:val="11"/>
              </w:rPr>
            </w:pPr>
            <w:r>
              <w:rPr>
                <w:sz w:val="11"/>
              </w:rPr>
              <w:t>1.088,34</w:t>
            </w:r>
          </w:p>
        </w:tc>
        <w:tc>
          <w:tcPr>
            <w:tcW w:w="849" w:type="dxa"/>
          </w:tcPr>
          <w:p>
            <w:pPr>
              <w:pStyle w:val="TableParagraph"/>
              <w:spacing w:line="123" w:lineRule="exact" w:before="6"/>
              <w:ind w:right="47"/>
              <w:jc w:val="right"/>
              <w:rPr>
                <w:sz w:val="11"/>
              </w:rPr>
            </w:pPr>
            <w:r>
              <w:rPr>
                <w:sz w:val="11"/>
              </w:rPr>
              <w:t>8.418,00</w:t>
            </w:r>
          </w:p>
        </w:tc>
        <w:tc>
          <w:tcPr>
            <w:tcW w:w="879" w:type="dxa"/>
          </w:tcPr>
          <w:p>
            <w:pPr>
              <w:pStyle w:val="TableParagraph"/>
              <w:spacing w:line="123" w:lineRule="exact" w:before="6"/>
              <w:ind w:right="46"/>
              <w:jc w:val="right"/>
              <w:rPr>
                <w:sz w:val="11"/>
              </w:rPr>
            </w:pPr>
            <w:r>
              <w:rPr>
                <w:sz w:val="11"/>
              </w:rPr>
              <w:t>529.884,99</w:t>
            </w:r>
          </w:p>
        </w:tc>
        <w:tc>
          <w:tcPr>
            <w:tcW w:w="728" w:type="dxa"/>
          </w:tcPr>
          <w:p>
            <w:pPr>
              <w:pStyle w:val="TableParagraph"/>
              <w:rPr>
                <w:rFonts w:ascii="Times New Roman"/>
                <w:sz w:val="8"/>
              </w:rPr>
            </w:pPr>
          </w:p>
        </w:tc>
        <w:tc>
          <w:tcPr>
            <w:tcW w:w="784" w:type="dxa"/>
          </w:tcPr>
          <w:p>
            <w:pPr>
              <w:pStyle w:val="TableParagraph"/>
              <w:spacing w:line="123" w:lineRule="exact" w:before="6"/>
              <w:ind w:right="48"/>
              <w:jc w:val="right"/>
              <w:rPr>
                <w:sz w:val="11"/>
              </w:rPr>
            </w:pPr>
            <w:r>
              <w:rPr>
                <w:sz w:val="11"/>
              </w:rPr>
              <w:t>2.723,04</w:t>
            </w:r>
          </w:p>
        </w:tc>
        <w:tc>
          <w:tcPr>
            <w:tcW w:w="728" w:type="dxa"/>
          </w:tcPr>
          <w:p>
            <w:pPr>
              <w:pStyle w:val="TableParagraph"/>
              <w:spacing w:line="123" w:lineRule="exact" w:before="6"/>
              <w:ind w:right="49"/>
              <w:jc w:val="right"/>
              <w:rPr>
                <w:sz w:val="11"/>
              </w:rPr>
            </w:pPr>
            <w:r>
              <w:rPr>
                <w:w w:val="95"/>
                <w:sz w:val="11"/>
              </w:rPr>
              <w:t>600,00</w:t>
            </w:r>
          </w:p>
        </w:tc>
        <w:tc>
          <w:tcPr>
            <w:tcW w:w="756" w:type="dxa"/>
          </w:tcPr>
          <w:p>
            <w:pPr>
              <w:pStyle w:val="TableParagraph"/>
              <w:rPr>
                <w:rFonts w:ascii="Times New Roman"/>
                <w:sz w:val="8"/>
              </w:rPr>
            </w:pPr>
          </w:p>
        </w:tc>
        <w:tc>
          <w:tcPr>
            <w:tcW w:w="964" w:type="dxa"/>
          </w:tcPr>
          <w:p>
            <w:pPr>
              <w:pStyle w:val="TableParagraph"/>
              <w:spacing w:line="123" w:lineRule="exact" w:before="6"/>
              <w:ind w:right="51"/>
              <w:jc w:val="right"/>
              <w:rPr>
                <w:sz w:val="11"/>
              </w:rPr>
            </w:pPr>
            <w:r>
              <w:rPr>
                <w:sz w:val="11"/>
              </w:rPr>
              <w:t>51.892.263,73</w:t>
            </w:r>
          </w:p>
        </w:tc>
        <w:tc>
          <w:tcPr>
            <w:tcW w:w="962" w:type="dxa"/>
          </w:tcPr>
          <w:p>
            <w:pPr>
              <w:pStyle w:val="TableParagraph"/>
              <w:spacing w:line="123" w:lineRule="exact" w:before="6"/>
              <w:ind w:right="49"/>
              <w:jc w:val="right"/>
              <w:rPr>
                <w:sz w:val="11"/>
              </w:rPr>
            </w:pPr>
            <w:r>
              <w:rPr>
                <w:sz w:val="11"/>
              </w:rPr>
              <w:t>59.943.157,90</w:t>
            </w:r>
          </w:p>
        </w:tc>
        <w:tc>
          <w:tcPr>
            <w:tcW w:w="843" w:type="dxa"/>
          </w:tcPr>
          <w:p>
            <w:pPr>
              <w:pStyle w:val="TableParagraph"/>
              <w:spacing w:line="123" w:lineRule="exact" w:before="6"/>
              <w:ind w:right="49"/>
              <w:jc w:val="right"/>
              <w:rPr>
                <w:sz w:val="11"/>
              </w:rPr>
            </w:pPr>
            <w:r>
              <w:rPr>
                <w:sz w:val="11"/>
              </w:rPr>
              <w:t>66.067.784,55</w:t>
            </w:r>
          </w:p>
        </w:tc>
      </w:tr>
      <w:tr>
        <w:trPr>
          <w:trHeight w:val="150" w:hRule="atLeast"/>
        </w:trPr>
        <w:tc>
          <w:tcPr>
            <w:tcW w:w="1875" w:type="dxa"/>
          </w:tcPr>
          <w:p>
            <w:pPr>
              <w:pStyle w:val="TableParagraph"/>
              <w:spacing w:line="128" w:lineRule="exact" w:before="2"/>
              <w:ind w:left="54"/>
              <w:rPr>
                <w:sz w:val="12"/>
              </w:rPr>
            </w:pPr>
            <w:r>
              <w:rPr>
                <w:w w:val="105"/>
                <w:sz w:val="12"/>
              </w:rPr>
              <w:t>Deu con entid del grup y asoc L/P</w:t>
            </w:r>
          </w:p>
        </w:tc>
        <w:tc>
          <w:tcPr>
            <w:tcW w:w="756" w:type="dxa"/>
          </w:tcPr>
          <w:p>
            <w:pPr>
              <w:pStyle w:val="TableParagraph"/>
              <w:rPr>
                <w:rFonts w:ascii="Times New Roman"/>
                <w:sz w:val="8"/>
              </w:rPr>
            </w:pPr>
          </w:p>
        </w:tc>
        <w:tc>
          <w:tcPr>
            <w:tcW w:w="874" w:type="dxa"/>
          </w:tcPr>
          <w:p>
            <w:pPr>
              <w:pStyle w:val="TableParagraph"/>
              <w:rPr>
                <w:rFonts w:ascii="Times New Roman"/>
                <w:sz w:val="8"/>
              </w:rPr>
            </w:pP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rPr>
                <w:rFonts w:ascii="Times New Roman"/>
                <w:sz w:val="8"/>
              </w:rPr>
            </w:pPr>
          </w:p>
        </w:tc>
        <w:tc>
          <w:tcPr>
            <w:tcW w:w="728" w:type="dxa"/>
          </w:tcPr>
          <w:p>
            <w:pPr>
              <w:pStyle w:val="TableParagraph"/>
              <w:rPr>
                <w:rFonts w:ascii="Times New Roman"/>
                <w:sz w:val="8"/>
              </w:rPr>
            </w:pPr>
          </w:p>
        </w:tc>
        <w:tc>
          <w:tcPr>
            <w:tcW w:w="756" w:type="dxa"/>
          </w:tcPr>
          <w:p>
            <w:pPr>
              <w:pStyle w:val="TableParagraph"/>
              <w:rPr>
                <w:rFonts w:ascii="Times New Roman"/>
                <w:sz w:val="8"/>
              </w:rPr>
            </w:pPr>
          </w:p>
        </w:tc>
        <w:tc>
          <w:tcPr>
            <w:tcW w:w="964" w:type="dxa"/>
          </w:tcPr>
          <w:p>
            <w:pPr>
              <w:pStyle w:val="TableParagraph"/>
              <w:spacing w:line="124" w:lineRule="exact" w:before="6"/>
              <w:ind w:right="51"/>
              <w:jc w:val="right"/>
              <w:rPr>
                <w:sz w:val="11"/>
              </w:rPr>
            </w:pPr>
            <w:r>
              <w:rPr>
                <w:sz w:val="11"/>
              </w:rPr>
              <w:t>32.471.232,41</w:t>
            </w:r>
          </w:p>
        </w:tc>
        <w:tc>
          <w:tcPr>
            <w:tcW w:w="962" w:type="dxa"/>
          </w:tcPr>
          <w:p>
            <w:pPr>
              <w:pStyle w:val="TableParagraph"/>
              <w:spacing w:line="124" w:lineRule="exact" w:before="6"/>
              <w:ind w:right="49"/>
              <w:jc w:val="right"/>
              <w:rPr>
                <w:sz w:val="11"/>
              </w:rPr>
            </w:pPr>
            <w:r>
              <w:rPr>
                <w:sz w:val="11"/>
              </w:rPr>
              <w:t>32.471.232,41</w:t>
            </w:r>
          </w:p>
        </w:tc>
        <w:tc>
          <w:tcPr>
            <w:tcW w:w="843" w:type="dxa"/>
          </w:tcPr>
          <w:p>
            <w:pPr>
              <w:pStyle w:val="TableParagraph"/>
              <w:spacing w:line="124" w:lineRule="exact" w:before="6"/>
              <w:ind w:right="49"/>
              <w:jc w:val="right"/>
              <w:rPr>
                <w:sz w:val="11"/>
              </w:rPr>
            </w:pPr>
            <w:r>
              <w:rPr>
                <w:sz w:val="11"/>
              </w:rPr>
              <w:t>41.471.232,41</w:t>
            </w:r>
          </w:p>
        </w:tc>
      </w:tr>
      <w:tr>
        <w:trPr>
          <w:trHeight w:val="148" w:hRule="atLeast"/>
        </w:trPr>
        <w:tc>
          <w:tcPr>
            <w:tcW w:w="1875" w:type="dxa"/>
          </w:tcPr>
          <w:p>
            <w:pPr>
              <w:pStyle w:val="TableParagraph"/>
              <w:spacing w:line="127" w:lineRule="exact" w:before="2"/>
              <w:ind w:left="54"/>
              <w:rPr>
                <w:sz w:val="12"/>
              </w:rPr>
            </w:pPr>
            <w:r>
              <w:rPr>
                <w:w w:val="105"/>
                <w:sz w:val="12"/>
              </w:rPr>
              <w:t>Pasivos por impuesto diferido</w:t>
            </w:r>
          </w:p>
        </w:tc>
        <w:tc>
          <w:tcPr>
            <w:tcW w:w="756" w:type="dxa"/>
          </w:tcPr>
          <w:p>
            <w:pPr>
              <w:pStyle w:val="TableParagraph"/>
              <w:spacing w:line="123" w:lineRule="exact" w:before="6"/>
              <w:ind w:right="46"/>
              <w:jc w:val="right"/>
              <w:rPr>
                <w:sz w:val="11"/>
              </w:rPr>
            </w:pPr>
            <w:r>
              <w:rPr>
                <w:sz w:val="11"/>
              </w:rPr>
              <w:t>387.010,04</w:t>
            </w:r>
          </w:p>
        </w:tc>
        <w:tc>
          <w:tcPr>
            <w:tcW w:w="874" w:type="dxa"/>
          </w:tcPr>
          <w:p>
            <w:pPr>
              <w:pStyle w:val="TableParagraph"/>
              <w:spacing w:line="123" w:lineRule="exact" w:before="6"/>
              <w:ind w:right="47"/>
              <w:jc w:val="right"/>
              <w:rPr>
                <w:sz w:val="11"/>
              </w:rPr>
            </w:pPr>
            <w:r>
              <w:rPr>
                <w:sz w:val="11"/>
              </w:rPr>
              <w:t>9.327.760,65</w:t>
            </w:r>
          </w:p>
        </w:tc>
        <w:tc>
          <w:tcPr>
            <w:tcW w:w="875" w:type="dxa"/>
          </w:tcPr>
          <w:p>
            <w:pPr>
              <w:pStyle w:val="TableParagraph"/>
              <w:spacing w:line="123" w:lineRule="exact" w:before="6"/>
              <w:ind w:right="47"/>
              <w:jc w:val="right"/>
              <w:rPr>
                <w:sz w:val="11"/>
              </w:rPr>
            </w:pPr>
            <w:r>
              <w:rPr>
                <w:sz w:val="11"/>
              </w:rPr>
              <w:t>665.992,29</w:t>
            </w:r>
          </w:p>
        </w:tc>
        <w:tc>
          <w:tcPr>
            <w:tcW w:w="849" w:type="dxa"/>
          </w:tcPr>
          <w:p>
            <w:pPr>
              <w:pStyle w:val="TableParagraph"/>
              <w:spacing w:line="123" w:lineRule="exact" w:before="6"/>
              <w:ind w:right="47"/>
              <w:jc w:val="right"/>
              <w:rPr>
                <w:sz w:val="11"/>
              </w:rPr>
            </w:pPr>
            <w:r>
              <w:rPr>
                <w:w w:val="95"/>
                <w:sz w:val="11"/>
              </w:rPr>
              <w:t>39.656,19</w:t>
            </w:r>
          </w:p>
        </w:tc>
        <w:tc>
          <w:tcPr>
            <w:tcW w:w="879" w:type="dxa"/>
          </w:tcPr>
          <w:p>
            <w:pPr>
              <w:pStyle w:val="TableParagraph"/>
              <w:rPr>
                <w:rFonts w:ascii="Times New Roman"/>
                <w:sz w:val="8"/>
              </w:rPr>
            </w:pPr>
          </w:p>
        </w:tc>
        <w:tc>
          <w:tcPr>
            <w:tcW w:w="728" w:type="dxa"/>
          </w:tcPr>
          <w:p>
            <w:pPr>
              <w:pStyle w:val="TableParagraph"/>
              <w:spacing w:line="123" w:lineRule="exact" w:before="6"/>
              <w:ind w:right="50"/>
              <w:jc w:val="right"/>
              <w:rPr>
                <w:sz w:val="11"/>
              </w:rPr>
            </w:pPr>
            <w:r>
              <w:rPr>
                <w:sz w:val="11"/>
              </w:rPr>
              <w:t>155.454,89</w:t>
            </w:r>
          </w:p>
        </w:tc>
        <w:tc>
          <w:tcPr>
            <w:tcW w:w="784" w:type="dxa"/>
          </w:tcPr>
          <w:p>
            <w:pPr>
              <w:pStyle w:val="TableParagraph"/>
              <w:spacing w:line="123" w:lineRule="exact" w:before="6"/>
              <w:ind w:right="48"/>
              <w:jc w:val="right"/>
              <w:rPr>
                <w:sz w:val="11"/>
              </w:rPr>
            </w:pPr>
            <w:r>
              <w:rPr>
                <w:sz w:val="11"/>
              </w:rPr>
              <w:t>1.058.445,12</w:t>
            </w:r>
          </w:p>
        </w:tc>
        <w:tc>
          <w:tcPr>
            <w:tcW w:w="728" w:type="dxa"/>
          </w:tcPr>
          <w:p>
            <w:pPr>
              <w:pStyle w:val="TableParagraph"/>
              <w:spacing w:line="123" w:lineRule="exact" w:before="6"/>
              <w:ind w:right="49"/>
              <w:jc w:val="right"/>
              <w:rPr>
                <w:sz w:val="11"/>
              </w:rPr>
            </w:pPr>
            <w:r>
              <w:rPr>
                <w:sz w:val="11"/>
              </w:rPr>
              <w:t>4.260,25</w:t>
            </w:r>
          </w:p>
        </w:tc>
        <w:tc>
          <w:tcPr>
            <w:tcW w:w="756" w:type="dxa"/>
          </w:tcPr>
          <w:p>
            <w:pPr>
              <w:pStyle w:val="TableParagraph"/>
              <w:spacing w:line="123" w:lineRule="exact" w:before="6"/>
              <w:ind w:right="50"/>
              <w:jc w:val="right"/>
              <w:rPr>
                <w:sz w:val="11"/>
              </w:rPr>
            </w:pPr>
            <w:r>
              <w:rPr>
                <w:sz w:val="11"/>
              </w:rPr>
              <w:t>384.024,20</w:t>
            </w:r>
          </w:p>
        </w:tc>
        <w:tc>
          <w:tcPr>
            <w:tcW w:w="964" w:type="dxa"/>
          </w:tcPr>
          <w:p>
            <w:pPr>
              <w:pStyle w:val="TableParagraph"/>
              <w:spacing w:line="123" w:lineRule="exact" w:before="6"/>
              <w:ind w:right="51"/>
              <w:jc w:val="right"/>
              <w:rPr>
                <w:sz w:val="11"/>
              </w:rPr>
            </w:pPr>
            <w:r>
              <w:rPr>
                <w:sz w:val="11"/>
              </w:rPr>
              <w:t>16.987.462,24</w:t>
            </w:r>
          </w:p>
        </w:tc>
        <w:tc>
          <w:tcPr>
            <w:tcW w:w="962" w:type="dxa"/>
          </w:tcPr>
          <w:p>
            <w:pPr>
              <w:pStyle w:val="TableParagraph"/>
              <w:spacing w:line="123" w:lineRule="exact" w:before="6"/>
              <w:ind w:right="49"/>
              <w:jc w:val="right"/>
              <w:rPr>
                <w:sz w:val="11"/>
              </w:rPr>
            </w:pPr>
            <w:r>
              <w:rPr>
                <w:sz w:val="11"/>
              </w:rPr>
              <w:t>49.244.953,44</w:t>
            </w:r>
          </w:p>
        </w:tc>
        <w:tc>
          <w:tcPr>
            <w:tcW w:w="843" w:type="dxa"/>
          </w:tcPr>
          <w:p>
            <w:pPr>
              <w:pStyle w:val="TableParagraph"/>
              <w:spacing w:line="123" w:lineRule="exact" w:before="6"/>
              <w:ind w:right="49"/>
              <w:jc w:val="right"/>
              <w:rPr>
                <w:sz w:val="11"/>
              </w:rPr>
            </w:pPr>
            <w:r>
              <w:rPr>
                <w:sz w:val="11"/>
              </w:rPr>
              <w:t>48.105.062,00</w:t>
            </w:r>
          </w:p>
        </w:tc>
      </w:tr>
      <w:tr>
        <w:trPr>
          <w:trHeight w:val="150" w:hRule="atLeast"/>
        </w:trPr>
        <w:tc>
          <w:tcPr>
            <w:tcW w:w="1875" w:type="dxa"/>
          </w:tcPr>
          <w:p>
            <w:pPr>
              <w:pStyle w:val="TableParagraph"/>
              <w:spacing w:line="128" w:lineRule="exact" w:before="2"/>
              <w:ind w:left="54"/>
              <w:rPr>
                <w:sz w:val="12"/>
              </w:rPr>
            </w:pPr>
            <w:r>
              <w:rPr>
                <w:w w:val="105"/>
                <w:sz w:val="12"/>
              </w:rPr>
              <w:t>Periodificaciones a largo plazo</w:t>
            </w:r>
          </w:p>
        </w:tc>
        <w:tc>
          <w:tcPr>
            <w:tcW w:w="756" w:type="dxa"/>
          </w:tcPr>
          <w:p>
            <w:pPr>
              <w:pStyle w:val="TableParagraph"/>
              <w:rPr>
                <w:rFonts w:ascii="Times New Roman"/>
                <w:sz w:val="8"/>
              </w:rPr>
            </w:pPr>
          </w:p>
        </w:tc>
        <w:tc>
          <w:tcPr>
            <w:tcW w:w="874" w:type="dxa"/>
          </w:tcPr>
          <w:p>
            <w:pPr>
              <w:pStyle w:val="TableParagraph"/>
              <w:rPr>
                <w:rFonts w:ascii="Times New Roman"/>
                <w:sz w:val="8"/>
              </w:rPr>
            </w:pP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rPr>
                <w:rFonts w:ascii="Times New Roman"/>
                <w:sz w:val="8"/>
              </w:rPr>
            </w:pPr>
          </w:p>
        </w:tc>
        <w:tc>
          <w:tcPr>
            <w:tcW w:w="728" w:type="dxa"/>
          </w:tcPr>
          <w:p>
            <w:pPr>
              <w:pStyle w:val="TableParagraph"/>
              <w:rPr>
                <w:rFonts w:ascii="Times New Roman"/>
                <w:sz w:val="8"/>
              </w:rPr>
            </w:pPr>
          </w:p>
        </w:tc>
        <w:tc>
          <w:tcPr>
            <w:tcW w:w="756" w:type="dxa"/>
          </w:tcPr>
          <w:p>
            <w:pPr>
              <w:pStyle w:val="TableParagraph"/>
              <w:rPr>
                <w:rFonts w:ascii="Times New Roman"/>
                <w:sz w:val="8"/>
              </w:rPr>
            </w:pPr>
          </w:p>
        </w:tc>
        <w:tc>
          <w:tcPr>
            <w:tcW w:w="964" w:type="dxa"/>
          </w:tcPr>
          <w:p>
            <w:pPr>
              <w:pStyle w:val="TableParagraph"/>
              <w:rPr>
                <w:rFonts w:ascii="Times New Roman"/>
                <w:sz w:val="8"/>
              </w:rPr>
            </w:pPr>
          </w:p>
        </w:tc>
        <w:tc>
          <w:tcPr>
            <w:tcW w:w="962" w:type="dxa"/>
          </w:tcPr>
          <w:p>
            <w:pPr>
              <w:pStyle w:val="TableParagraph"/>
              <w:spacing w:line="123" w:lineRule="exact" w:before="7"/>
              <w:ind w:right="48"/>
              <w:jc w:val="right"/>
              <w:rPr>
                <w:sz w:val="11"/>
              </w:rPr>
            </w:pPr>
            <w:r>
              <w:rPr>
                <w:w w:val="95"/>
                <w:sz w:val="11"/>
              </w:rPr>
              <w:t>0,00</w:t>
            </w:r>
          </w:p>
        </w:tc>
        <w:tc>
          <w:tcPr>
            <w:tcW w:w="843" w:type="dxa"/>
          </w:tcPr>
          <w:p>
            <w:pPr>
              <w:pStyle w:val="TableParagraph"/>
              <w:spacing w:line="123" w:lineRule="exact" w:before="7"/>
              <w:ind w:right="49"/>
              <w:jc w:val="right"/>
              <w:rPr>
                <w:sz w:val="11"/>
              </w:rPr>
            </w:pPr>
            <w:r>
              <w:rPr>
                <w:sz w:val="11"/>
              </w:rPr>
              <w:t>18.814.115,26</w:t>
            </w:r>
          </w:p>
        </w:tc>
      </w:tr>
      <w:tr>
        <w:trPr>
          <w:trHeight w:val="148" w:hRule="atLeast"/>
        </w:trPr>
        <w:tc>
          <w:tcPr>
            <w:tcW w:w="1875" w:type="dxa"/>
          </w:tcPr>
          <w:p>
            <w:pPr>
              <w:pStyle w:val="TableParagraph"/>
              <w:spacing w:line="127" w:lineRule="exact" w:before="2"/>
              <w:ind w:left="54"/>
              <w:rPr>
                <w:b/>
                <w:sz w:val="12"/>
              </w:rPr>
            </w:pPr>
            <w:r>
              <w:rPr>
                <w:b/>
                <w:w w:val="105"/>
                <w:sz w:val="12"/>
              </w:rPr>
              <w:t>PASIVO CORRIENTE</w:t>
            </w:r>
          </w:p>
        </w:tc>
        <w:tc>
          <w:tcPr>
            <w:tcW w:w="756" w:type="dxa"/>
          </w:tcPr>
          <w:p>
            <w:pPr>
              <w:pStyle w:val="TableParagraph"/>
              <w:rPr>
                <w:rFonts w:ascii="Times New Roman"/>
                <w:sz w:val="8"/>
              </w:rPr>
            </w:pPr>
          </w:p>
        </w:tc>
        <w:tc>
          <w:tcPr>
            <w:tcW w:w="874" w:type="dxa"/>
          </w:tcPr>
          <w:p>
            <w:pPr>
              <w:pStyle w:val="TableParagraph"/>
              <w:rPr>
                <w:rFonts w:ascii="Times New Roman"/>
                <w:sz w:val="8"/>
              </w:rPr>
            </w:pP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rPr>
                <w:rFonts w:ascii="Times New Roman"/>
                <w:sz w:val="8"/>
              </w:rPr>
            </w:pPr>
          </w:p>
        </w:tc>
        <w:tc>
          <w:tcPr>
            <w:tcW w:w="728" w:type="dxa"/>
          </w:tcPr>
          <w:p>
            <w:pPr>
              <w:pStyle w:val="TableParagraph"/>
              <w:rPr>
                <w:rFonts w:ascii="Times New Roman"/>
                <w:sz w:val="8"/>
              </w:rPr>
            </w:pPr>
          </w:p>
        </w:tc>
        <w:tc>
          <w:tcPr>
            <w:tcW w:w="756" w:type="dxa"/>
          </w:tcPr>
          <w:p>
            <w:pPr>
              <w:pStyle w:val="TableParagraph"/>
              <w:rPr>
                <w:rFonts w:ascii="Times New Roman"/>
                <w:sz w:val="8"/>
              </w:rPr>
            </w:pPr>
          </w:p>
        </w:tc>
        <w:tc>
          <w:tcPr>
            <w:tcW w:w="964" w:type="dxa"/>
          </w:tcPr>
          <w:p>
            <w:pPr>
              <w:pStyle w:val="TableParagraph"/>
              <w:rPr>
                <w:rFonts w:ascii="Times New Roman"/>
                <w:sz w:val="8"/>
              </w:rPr>
            </w:pPr>
          </w:p>
        </w:tc>
        <w:tc>
          <w:tcPr>
            <w:tcW w:w="962" w:type="dxa"/>
          </w:tcPr>
          <w:p>
            <w:pPr>
              <w:pStyle w:val="TableParagraph"/>
              <w:spacing w:line="123" w:lineRule="exact" w:before="6"/>
              <w:ind w:right="48"/>
              <w:jc w:val="right"/>
              <w:rPr>
                <w:sz w:val="11"/>
              </w:rPr>
            </w:pPr>
            <w:r>
              <w:rPr>
                <w:w w:val="95"/>
                <w:sz w:val="11"/>
              </w:rPr>
              <w:t>0,00</w:t>
            </w:r>
          </w:p>
        </w:tc>
        <w:tc>
          <w:tcPr>
            <w:tcW w:w="843" w:type="dxa"/>
          </w:tcPr>
          <w:p>
            <w:pPr>
              <w:pStyle w:val="TableParagraph"/>
              <w:spacing w:line="123" w:lineRule="exact" w:before="6"/>
              <w:ind w:right="48"/>
              <w:jc w:val="right"/>
              <w:rPr>
                <w:sz w:val="11"/>
              </w:rPr>
            </w:pPr>
            <w:r>
              <w:rPr>
                <w:w w:val="95"/>
                <w:sz w:val="11"/>
              </w:rPr>
              <w:t>0,00</w:t>
            </w:r>
          </w:p>
        </w:tc>
      </w:tr>
      <w:tr>
        <w:trPr>
          <w:trHeight w:val="150" w:hRule="atLeast"/>
        </w:trPr>
        <w:tc>
          <w:tcPr>
            <w:tcW w:w="1875" w:type="dxa"/>
          </w:tcPr>
          <w:p>
            <w:pPr>
              <w:pStyle w:val="TableParagraph"/>
              <w:spacing w:line="127" w:lineRule="exact" w:before="4"/>
              <w:ind w:left="54"/>
              <w:rPr>
                <w:sz w:val="12"/>
              </w:rPr>
            </w:pPr>
            <w:r>
              <w:rPr>
                <w:w w:val="105"/>
                <w:sz w:val="12"/>
              </w:rPr>
              <w:t>Provisiones a corto plazo</w:t>
            </w:r>
          </w:p>
        </w:tc>
        <w:tc>
          <w:tcPr>
            <w:tcW w:w="756" w:type="dxa"/>
          </w:tcPr>
          <w:p>
            <w:pPr>
              <w:pStyle w:val="TableParagraph"/>
              <w:rPr>
                <w:rFonts w:ascii="Times New Roman"/>
                <w:sz w:val="8"/>
              </w:rPr>
            </w:pPr>
          </w:p>
        </w:tc>
        <w:tc>
          <w:tcPr>
            <w:tcW w:w="874" w:type="dxa"/>
          </w:tcPr>
          <w:p>
            <w:pPr>
              <w:pStyle w:val="TableParagraph"/>
              <w:rPr>
                <w:rFonts w:ascii="Times New Roman"/>
                <w:sz w:val="8"/>
              </w:rPr>
            </w:pP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rPr>
                <w:rFonts w:ascii="Times New Roman"/>
                <w:sz w:val="8"/>
              </w:rPr>
            </w:pPr>
          </w:p>
        </w:tc>
        <w:tc>
          <w:tcPr>
            <w:tcW w:w="728" w:type="dxa"/>
          </w:tcPr>
          <w:p>
            <w:pPr>
              <w:pStyle w:val="TableParagraph"/>
              <w:rPr>
                <w:rFonts w:ascii="Times New Roman"/>
                <w:sz w:val="8"/>
              </w:rPr>
            </w:pPr>
          </w:p>
        </w:tc>
        <w:tc>
          <w:tcPr>
            <w:tcW w:w="756" w:type="dxa"/>
          </w:tcPr>
          <w:p>
            <w:pPr>
              <w:pStyle w:val="TableParagraph"/>
              <w:rPr>
                <w:rFonts w:ascii="Times New Roman"/>
                <w:sz w:val="8"/>
              </w:rPr>
            </w:pPr>
          </w:p>
        </w:tc>
        <w:tc>
          <w:tcPr>
            <w:tcW w:w="964" w:type="dxa"/>
          </w:tcPr>
          <w:p>
            <w:pPr>
              <w:pStyle w:val="TableParagraph"/>
              <w:rPr>
                <w:rFonts w:ascii="Times New Roman"/>
                <w:sz w:val="8"/>
              </w:rPr>
            </w:pPr>
          </w:p>
        </w:tc>
        <w:tc>
          <w:tcPr>
            <w:tcW w:w="962" w:type="dxa"/>
          </w:tcPr>
          <w:p>
            <w:pPr>
              <w:pStyle w:val="TableParagraph"/>
              <w:spacing w:line="123" w:lineRule="exact" w:before="7"/>
              <w:ind w:right="48"/>
              <w:jc w:val="right"/>
              <w:rPr>
                <w:sz w:val="11"/>
              </w:rPr>
            </w:pPr>
            <w:r>
              <w:rPr>
                <w:w w:val="95"/>
                <w:sz w:val="11"/>
              </w:rPr>
              <w:t>0,00</w:t>
            </w:r>
          </w:p>
        </w:tc>
        <w:tc>
          <w:tcPr>
            <w:tcW w:w="843" w:type="dxa"/>
          </w:tcPr>
          <w:p>
            <w:pPr>
              <w:pStyle w:val="TableParagraph"/>
              <w:spacing w:line="123" w:lineRule="exact" w:before="7"/>
              <w:ind w:right="48"/>
              <w:jc w:val="right"/>
              <w:rPr>
                <w:sz w:val="11"/>
              </w:rPr>
            </w:pPr>
            <w:r>
              <w:rPr>
                <w:w w:val="95"/>
                <w:sz w:val="11"/>
              </w:rPr>
              <w:t>0,00</w:t>
            </w:r>
          </w:p>
        </w:tc>
      </w:tr>
      <w:tr>
        <w:trPr>
          <w:trHeight w:val="150" w:hRule="atLeast"/>
        </w:trPr>
        <w:tc>
          <w:tcPr>
            <w:tcW w:w="1875" w:type="dxa"/>
          </w:tcPr>
          <w:p>
            <w:pPr>
              <w:pStyle w:val="TableParagraph"/>
              <w:spacing w:line="128" w:lineRule="exact" w:before="2"/>
              <w:ind w:left="54"/>
              <w:rPr>
                <w:sz w:val="12"/>
              </w:rPr>
            </w:pPr>
            <w:r>
              <w:rPr>
                <w:w w:val="105"/>
                <w:sz w:val="12"/>
              </w:rPr>
              <w:t>Deudas a corto plazo</w:t>
            </w:r>
          </w:p>
        </w:tc>
        <w:tc>
          <w:tcPr>
            <w:tcW w:w="756" w:type="dxa"/>
          </w:tcPr>
          <w:p>
            <w:pPr>
              <w:pStyle w:val="TableParagraph"/>
              <w:spacing w:line="124" w:lineRule="exact" w:before="6"/>
              <w:ind w:right="46"/>
              <w:jc w:val="right"/>
              <w:rPr>
                <w:b/>
                <w:sz w:val="11"/>
              </w:rPr>
            </w:pPr>
            <w:r>
              <w:rPr>
                <w:b/>
                <w:w w:val="95"/>
                <w:sz w:val="11"/>
              </w:rPr>
              <w:t>7.985.083,41</w:t>
            </w:r>
          </w:p>
        </w:tc>
        <w:tc>
          <w:tcPr>
            <w:tcW w:w="874" w:type="dxa"/>
          </w:tcPr>
          <w:p>
            <w:pPr>
              <w:pStyle w:val="TableParagraph"/>
              <w:spacing w:line="124" w:lineRule="exact" w:before="6"/>
              <w:ind w:right="47"/>
              <w:jc w:val="right"/>
              <w:rPr>
                <w:b/>
                <w:sz w:val="11"/>
              </w:rPr>
            </w:pPr>
            <w:r>
              <w:rPr>
                <w:b/>
                <w:sz w:val="11"/>
              </w:rPr>
              <w:t>26.382.442,95</w:t>
            </w:r>
          </w:p>
        </w:tc>
        <w:tc>
          <w:tcPr>
            <w:tcW w:w="875" w:type="dxa"/>
          </w:tcPr>
          <w:p>
            <w:pPr>
              <w:pStyle w:val="TableParagraph"/>
              <w:spacing w:line="124" w:lineRule="exact" w:before="6"/>
              <w:ind w:right="47"/>
              <w:jc w:val="right"/>
              <w:rPr>
                <w:b/>
                <w:sz w:val="11"/>
              </w:rPr>
            </w:pPr>
            <w:r>
              <w:rPr>
                <w:b/>
                <w:w w:val="95"/>
                <w:sz w:val="11"/>
              </w:rPr>
              <w:t>2.321.093,60</w:t>
            </w:r>
          </w:p>
        </w:tc>
        <w:tc>
          <w:tcPr>
            <w:tcW w:w="849" w:type="dxa"/>
          </w:tcPr>
          <w:p>
            <w:pPr>
              <w:pStyle w:val="TableParagraph"/>
              <w:spacing w:line="124" w:lineRule="exact" w:before="6"/>
              <w:ind w:right="47"/>
              <w:jc w:val="right"/>
              <w:rPr>
                <w:b/>
                <w:sz w:val="11"/>
              </w:rPr>
            </w:pPr>
            <w:r>
              <w:rPr>
                <w:b/>
                <w:sz w:val="11"/>
              </w:rPr>
              <w:t>35.340.002,80</w:t>
            </w:r>
          </w:p>
        </w:tc>
        <w:tc>
          <w:tcPr>
            <w:tcW w:w="879" w:type="dxa"/>
          </w:tcPr>
          <w:p>
            <w:pPr>
              <w:pStyle w:val="TableParagraph"/>
              <w:spacing w:line="124" w:lineRule="exact" w:before="6"/>
              <w:ind w:right="46"/>
              <w:jc w:val="right"/>
              <w:rPr>
                <w:b/>
                <w:sz w:val="11"/>
              </w:rPr>
            </w:pPr>
            <w:r>
              <w:rPr>
                <w:b/>
                <w:w w:val="95"/>
                <w:sz w:val="11"/>
              </w:rPr>
              <w:t>4.150.681,74</w:t>
            </w:r>
          </w:p>
        </w:tc>
        <w:tc>
          <w:tcPr>
            <w:tcW w:w="728" w:type="dxa"/>
          </w:tcPr>
          <w:p>
            <w:pPr>
              <w:pStyle w:val="TableParagraph"/>
              <w:spacing w:line="124" w:lineRule="exact" w:before="6"/>
              <w:ind w:right="50"/>
              <w:jc w:val="right"/>
              <w:rPr>
                <w:b/>
                <w:sz w:val="11"/>
              </w:rPr>
            </w:pPr>
            <w:r>
              <w:rPr>
                <w:b/>
                <w:w w:val="95"/>
                <w:sz w:val="11"/>
              </w:rPr>
              <w:t>350.717,07</w:t>
            </w:r>
          </w:p>
        </w:tc>
        <w:tc>
          <w:tcPr>
            <w:tcW w:w="784" w:type="dxa"/>
          </w:tcPr>
          <w:p>
            <w:pPr>
              <w:pStyle w:val="TableParagraph"/>
              <w:spacing w:line="124" w:lineRule="exact" w:before="6"/>
              <w:ind w:right="48"/>
              <w:jc w:val="right"/>
              <w:rPr>
                <w:b/>
                <w:sz w:val="11"/>
              </w:rPr>
            </w:pPr>
            <w:r>
              <w:rPr>
                <w:b/>
                <w:sz w:val="11"/>
              </w:rPr>
              <w:t>5.407,13</w:t>
            </w:r>
          </w:p>
        </w:tc>
        <w:tc>
          <w:tcPr>
            <w:tcW w:w="728" w:type="dxa"/>
          </w:tcPr>
          <w:p>
            <w:pPr>
              <w:pStyle w:val="TableParagraph"/>
              <w:spacing w:line="124" w:lineRule="exact" w:before="6"/>
              <w:ind w:right="49"/>
              <w:jc w:val="right"/>
              <w:rPr>
                <w:b/>
                <w:sz w:val="11"/>
              </w:rPr>
            </w:pPr>
            <w:r>
              <w:rPr>
                <w:b/>
                <w:sz w:val="11"/>
              </w:rPr>
              <w:t>48.494,12</w:t>
            </w:r>
          </w:p>
        </w:tc>
        <w:tc>
          <w:tcPr>
            <w:tcW w:w="756" w:type="dxa"/>
          </w:tcPr>
          <w:p>
            <w:pPr>
              <w:pStyle w:val="TableParagraph"/>
              <w:spacing w:line="124" w:lineRule="exact" w:before="6"/>
              <w:ind w:right="50"/>
              <w:jc w:val="right"/>
              <w:rPr>
                <w:b/>
                <w:sz w:val="11"/>
              </w:rPr>
            </w:pPr>
            <w:r>
              <w:rPr>
                <w:b/>
                <w:sz w:val="11"/>
              </w:rPr>
              <w:t>15.212.860,41</w:t>
            </w:r>
          </w:p>
        </w:tc>
        <w:tc>
          <w:tcPr>
            <w:tcW w:w="964" w:type="dxa"/>
          </w:tcPr>
          <w:p>
            <w:pPr>
              <w:pStyle w:val="TableParagraph"/>
              <w:spacing w:line="124" w:lineRule="exact" w:before="6"/>
              <w:ind w:right="51"/>
              <w:jc w:val="right"/>
              <w:rPr>
                <w:b/>
                <w:sz w:val="11"/>
              </w:rPr>
            </w:pPr>
            <w:r>
              <w:rPr>
                <w:b/>
                <w:sz w:val="11"/>
              </w:rPr>
              <w:t>68.433.410,97</w:t>
            </w:r>
          </w:p>
        </w:tc>
        <w:tc>
          <w:tcPr>
            <w:tcW w:w="962" w:type="dxa"/>
          </w:tcPr>
          <w:p>
            <w:pPr>
              <w:pStyle w:val="TableParagraph"/>
              <w:spacing w:line="124" w:lineRule="exact" w:before="6"/>
              <w:ind w:right="49"/>
              <w:jc w:val="right"/>
              <w:rPr>
                <w:b/>
                <w:sz w:val="11"/>
              </w:rPr>
            </w:pPr>
            <w:r>
              <w:rPr>
                <w:b/>
                <w:w w:val="95"/>
                <w:sz w:val="11"/>
              </w:rPr>
              <w:t>245.875.244,77</w:t>
            </w:r>
          </w:p>
        </w:tc>
        <w:tc>
          <w:tcPr>
            <w:tcW w:w="843" w:type="dxa"/>
          </w:tcPr>
          <w:p>
            <w:pPr>
              <w:pStyle w:val="TableParagraph"/>
              <w:spacing w:line="124" w:lineRule="exact" w:before="6"/>
              <w:ind w:right="49"/>
              <w:jc w:val="right"/>
              <w:rPr>
                <w:b/>
                <w:sz w:val="11"/>
              </w:rPr>
            </w:pPr>
            <w:r>
              <w:rPr>
                <w:b/>
                <w:w w:val="95"/>
                <w:sz w:val="11"/>
              </w:rPr>
              <w:t>234.786.671,69</w:t>
            </w:r>
          </w:p>
        </w:tc>
      </w:tr>
      <w:tr>
        <w:trPr>
          <w:trHeight w:val="148" w:hRule="atLeast"/>
        </w:trPr>
        <w:tc>
          <w:tcPr>
            <w:tcW w:w="1875" w:type="dxa"/>
          </w:tcPr>
          <w:p>
            <w:pPr>
              <w:pStyle w:val="TableParagraph"/>
              <w:spacing w:line="127" w:lineRule="exact" w:before="2"/>
              <w:ind w:left="54"/>
              <w:rPr>
                <w:sz w:val="12"/>
              </w:rPr>
            </w:pPr>
            <w:r>
              <w:rPr>
                <w:w w:val="105"/>
                <w:sz w:val="12"/>
              </w:rPr>
              <w:t>Deu con entid. del grup y asoc. c/p</w:t>
            </w:r>
          </w:p>
        </w:tc>
        <w:tc>
          <w:tcPr>
            <w:tcW w:w="756" w:type="dxa"/>
          </w:tcPr>
          <w:p>
            <w:pPr>
              <w:pStyle w:val="TableParagraph"/>
              <w:rPr>
                <w:rFonts w:ascii="Times New Roman"/>
                <w:sz w:val="8"/>
              </w:rPr>
            </w:pPr>
          </w:p>
        </w:tc>
        <w:tc>
          <w:tcPr>
            <w:tcW w:w="874" w:type="dxa"/>
          </w:tcPr>
          <w:p>
            <w:pPr>
              <w:pStyle w:val="TableParagraph"/>
              <w:rPr>
                <w:rFonts w:ascii="Times New Roman"/>
                <w:sz w:val="8"/>
              </w:rPr>
            </w:pP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rPr>
                <w:rFonts w:ascii="Times New Roman"/>
                <w:sz w:val="8"/>
              </w:rPr>
            </w:pPr>
          </w:p>
        </w:tc>
        <w:tc>
          <w:tcPr>
            <w:tcW w:w="728" w:type="dxa"/>
          </w:tcPr>
          <w:p>
            <w:pPr>
              <w:pStyle w:val="TableParagraph"/>
              <w:rPr>
                <w:rFonts w:ascii="Times New Roman"/>
                <w:sz w:val="8"/>
              </w:rPr>
            </w:pPr>
          </w:p>
        </w:tc>
        <w:tc>
          <w:tcPr>
            <w:tcW w:w="756" w:type="dxa"/>
          </w:tcPr>
          <w:p>
            <w:pPr>
              <w:pStyle w:val="TableParagraph"/>
              <w:rPr>
                <w:rFonts w:ascii="Times New Roman"/>
                <w:sz w:val="8"/>
              </w:rPr>
            </w:pPr>
          </w:p>
        </w:tc>
        <w:tc>
          <w:tcPr>
            <w:tcW w:w="964" w:type="dxa"/>
          </w:tcPr>
          <w:p>
            <w:pPr>
              <w:pStyle w:val="TableParagraph"/>
              <w:rPr>
                <w:rFonts w:ascii="Times New Roman"/>
                <w:sz w:val="8"/>
              </w:rPr>
            </w:pPr>
          </w:p>
        </w:tc>
        <w:tc>
          <w:tcPr>
            <w:tcW w:w="962" w:type="dxa"/>
          </w:tcPr>
          <w:p>
            <w:pPr>
              <w:pStyle w:val="TableParagraph"/>
              <w:spacing w:line="123" w:lineRule="exact" w:before="6"/>
              <w:ind w:right="48"/>
              <w:jc w:val="right"/>
              <w:rPr>
                <w:sz w:val="11"/>
              </w:rPr>
            </w:pPr>
            <w:r>
              <w:rPr>
                <w:w w:val="95"/>
                <w:sz w:val="11"/>
              </w:rPr>
              <w:t>0,00</w:t>
            </w:r>
          </w:p>
        </w:tc>
        <w:tc>
          <w:tcPr>
            <w:tcW w:w="843" w:type="dxa"/>
          </w:tcPr>
          <w:p>
            <w:pPr>
              <w:pStyle w:val="TableParagraph"/>
              <w:spacing w:line="123" w:lineRule="exact" w:before="6"/>
              <w:ind w:right="48"/>
              <w:jc w:val="right"/>
              <w:rPr>
                <w:sz w:val="11"/>
              </w:rPr>
            </w:pPr>
            <w:r>
              <w:rPr>
                <w:w w:val="95"/>
                <w:sz w:val="11"/>
              </w:rPr>
              <w:t>0,00</w:t>
            </w:r>
          </w:p>
        </w:tc>
      </w:tr>
      <w:tr>
        <w:trPr>
          <w:trHeight w:val="301" w:hRule="atLeast"/>
        </w:trPr>
        <w:tc>
          <w:tcPr>
            <w:tcW w:w="1875" w:type="dxa"/>
          </w:tcPr>
          <w:p>
            <w:pPr>
              <w:pStyle w:val="TableParagraph"/>
              <w:spacing w:before="2"/>
              <w:ind w:left="54"/>
              <w:rPr>
                <w:sz w:val="12"/>
              </w:rPr>
            </w:pPr>
            <w:r>
              <w:rPr>
                <w:w w:val="105"/>
                <w:sz w:val="12"/>
              </w:rPr>
              <w:t>Acreed. comer. y otras ctas a</w:t>
            </w:r>
          </w:p>
          <w:p>
            <w:pPr>
              <w:pStyle w:val="TableParagraph"/>
              <w:spacing w:line="127" w:lineRule="exact" w:before="6"/>
              <w:ind w:left="54"/>
              <w:rPr>
                <w:sz w:val="12"/>
              </w:rPr>
            </w:pPr>
            <w:r>
              <w:rPr>
                <w:w w:val="105"/>
                <w:sz w:val="12"/>
              </w:rPr>
              <w:t>pagar</w:t>
            </w:r>
          </w:p>
        </w:tc>
        <w:tc>
          <w:tcPr>
            <w:tcW w:w="756" w:type="dxa"/>
          </w:tcPr>
          <w:p>
            <w:pPr>
              <w:pStyle w:val="TableParagraph"/>
              <w:rPr>
                <w:rFonts w:ascii="Times New Roman"/>
                <w:sz w:val="10"/>
              </w:rPr>
            </w:pPr>
          </w:p>
        </w:tc>
        <w:tc>
          <w:tcPr>
            <w:tcW w:w="874" w:type="dxa"/>
          </w:tcPr>
          <w:p>
            <w:pPr>
              <w:pStyle w:val="TableParagraph"/>
              <w:rPr>
                <w:rFonts w:ascii="Times New Roman"/>
                <w:sz w:val="10"/>
              </w:rPr>
            </w:pPr>
          </w:p>
        </w:tc>
        <w:tc>
          <w:tcPr>
            <w:tcW w:w="875" w:type="dxa"/>
          </w:tcPr>
          <w:p>
            <w:pPr>
              <w:pStyle w:val="TableParagraph"/>
              <w:spacing w:before="82"/>
              <w:ind w:right="46"/>
              <w:jc w:val="right"/>
              <w:rPr>
                <w:sz w:val="11"/>
              </w:rPr>
            </w:pPr>
            <w:r>
              <w:rPr>
                <w:sz w:val="11"/>
              </w:rPr>
              <w:t>7.000,00</w:t>
            </w:r>
          </w:p>
        </w:tc>
        <w:tc>
          <w:tcPr>
            <w:tcW w:w="849" w:type="dxa"/>
          </w:tcPr>
          <w:p>
            <w:pPr>
              <w:pStyle w:val="TableParagraph"/>
              <w:rPr>
                <w:rFonts w:ascii="Times New Roman"/>
                <w:sz w:val="10"/>
              </w:rPr>
            </w:pPr>
          </w:p>
        </w:tc>
        <w:tc>
          <w:tcPr>
            <w:tcW w:w="879" w:type="dxa"/>
          </w:tcPr>
          <w:p>
            <w:pPr>
              <w:pStyle w:val="TableParagraph"/>
              <w:spacing w:before="82"/>
              <w:ind w:right="46"/>
              <w:jc w:val="right"/>
              <w:rPr>
                <w:sz w:val="11"/>
              </w:rPr>
            </w:pPr>
            <w:r>
              <w:rPr>
                <w:sz w:val="11"/>
              </w:rPr>
              <w:t>456.033,53</w:t>
            </w:r>
          </w:p>
        </w:tc>
        <w:tc>
          <w:tcPr>
            <w:tcW w:w="728" w:type="dxa"/>
          </w:tcPr>
          <w:p>
            <w:pPr>
              <w:pStyle w:val="TableParagraph"/>
              <w:rPr>
                <w:rFonts w:ascii="Times New Roman"/>
                <w:sz w:val="10"/>
              </w:rPr>
            </w:pPr>
          </w:p>
        </w:tc>
        <w:tc>
          <w:tcPr>
            <w:tcW w:w="784" w:type="dxa"/>
          </w:tcPr>
          <w:p>
            <w:pPr>
              <w:pStyle w:val="TableParagraph"/>
              <w:rPr>
                <w:rFonts w:ascii="Times New Roman"/>
                <w:sz w:val="10"/>
              </w:rPr>
            </w:pPr>
          </w:p>
        </w:tc>
        <w:tc>
          <w:tcPr>
            <w:tcW w:w="728" w:type="dxa"/>
          </w:tcPr>
          <w:p>
            <w:pPr>
              <w:pStyle w:val="TableParagraph"/>
              <w:spacing w:before="82"/>
              <w:ind w:right="49"/>
              <w:jc w:val="right"/>
              <w:rPr>
                <w:sz w:val="11"/>
              </w:rPr>
            </w:pPr>
            <w:r>
              <w:rPr>
                <w:w w:val="95"/>
                <w:sz w:val="11"/>
              </w:rPr>
              <w:t>998,93</w:t>
            </w:r>
          </w:p>
        </w:tc>
        <w:tc>
          <w:tcPr>
            <w:tcW w:w="756" w:type="dxa"/>
          </w:tcPr>
          <w:p>
            <w:pPr>
              <w:pStyle w:val="TableParagraph"/>
              <w:spacing w:before="82"/>
              <w:ind w:right="50"/>
              <w:jc w:val="right"/>
              <w:rPr>
                <w:sz w:val="11"/>
              </w:rPr>
            </w:pPr>
            <w:r>
              <w:rPr>
                <w:sz w:val="11"/>
              </w:rPr>
              <w:t>6.856.304,04</w:t>
            </w:r>
          </w:p>
        </w:tc>
        <w:tc>
          <w:tcPr>
            <w:tcW w:w="964" w:type="dxa"/>
          </w:tcPr>
          <w:p>
            <w:pPr>
              <w:pStyle w:val="TableParagraph"/>
              <w:spacing w:before="82"/>
              <w:ind w:right="51"/>
              <w:jc w:val="right"/>
              <w:rPr>
                <w:sz w:val="11"/>
              </w:rPr>
            </w:pPr>
            <w:r>
              <w:rPr>
                <w:w w:val="95"/>
                <w:sz w:val="11"/>
              </w:rPr>
              <w:t>95.124,66</w:t>
            </w:r>
          </w:p>
        </w:tc>
        <w:tc>
          <w:tcPr>
            <w:tcW w:w="962" w:type="dxa"/>
          </w:tcPr>
          <w:p>
            <w:pPr>
              <w:pStyle w:val="TableParagraph"/>
              <w:spacing w:before="82"/>
              <w:ind w:right="49"/>
              <w:jc w:val="right"/>
              <w:rPr>
                <w:sz w:val="11"/>
              </w:rPr>
            </w:pPr>
            <w:r>
              <w:rPr>
                <w:sz w:val="11"/>
              </w:rPr>
              <w:t>9.427.281,01</w:t>
            </w:r>
          </w:p>
        </w:tc>
        <w:tc>
          <w:tcPr>
            <w:tcW w:w="843" w:type="dxa"/>
          </w:tcPr>
          <w:p>
            <w:pPr>
              <w:pStyle w:val="TableParagraph"/>
              <w:spacing w:before="82"/>
              <w:ind w:right="49"/>
              <w:jc w:val="right"/>
              <w:rPr>
                <w:sz w:val="11"/>
              </w:rPr>
            </w:pPr>
            <w:r>
              <w:rPr>
                <w:sz w:val="11"/>
              </w:rPr>
              <w:t>12.343.877,49</w:t>
            </w:r>
          </w:p>
        </w:tc>
      </w:tr>
      <w:tr>
        <w:trPr>
          <w:trHeight w:val="150" w:hRule="atLeast"/>
        </w:trPr>
        <w:tc>
          <w:tcPr>
            <w:tcW w:w="1875" w:type="dxa"/>
          </w:tcPr>
          <w:p>
            <w:pPr>
              <w:pStyle w:val="TableParagraph"/>
              <w:spacing w:line="128" w:lineRule="exact" w:before="2"/>
              <w:ind w:left="54"/>
              <w:rPr>
                <w:sz w:val="12"/>
              </w:rPr>
            </w:pPr>
            <w:r>
              <w:rPr>
                <w:w w:val="105"/>
                <w:sz w:val="12"/>
              </w:rPr>
              <w:t>Periodificaciones a corto plazo</w:t>
            </w:r>
          </w:p>
        </w:tc>
        <w:tc>
          <w:tcPr>
            <w:tcW w:w="756" w:type="dxa"/>
          </w:tcPr>
          <w:p>
            <w:pPr>
              <w:pStyle w:val="TableParagraph"/>
              <w:spacing w:line="124" w:lineRule="exact" w:before="6"/>
              <w:ind w:right="45"/>
              <w:jc w:val="right"/>
              <w:rPr>
                <w:sz w:val="11"/>
              </w:rPr>
            </w:pPr>
            <w:r>
              <w:rPr>
                <w:sz w:val="11"/>
              </w:rPr>
              <w:t>6.805,52</w:t>
            </w:r>
          </w:p>
        </w:tc>
        <w:tc>
          <w:tcPr>
            <w:tcW w:w="874" w:type="dxa"/>
          </w:tcPr>
          <w:p>
            <w:pPr>
              <w:pStyle w:val="TableParagraph"/>
              <w:spacing w:line="124" w:lineRule="exact" w:before="6"/>
              <w:ind w:right="47"/>
              <w:jc w:val="right"/>
              <w:rPr>
                <w:sz w:val="11"/>
              </w:rPr>
            </w:pPr>
            <w:r>
              <w:rPr>
                <w:sz w:val="11"/>
              </w:rPr>
              <w:t>23.785.727,82</w:t>
            </w:r>
          </w:p>
        </w:tc>
        <w:tc>
          <w:tcPr>
            <w:tcW w:w="875" w:type="dxa"/>
          </w:tcPr>
          <w:p>
            <w:pPr>
              <w:pStyle w:val="TableParagraph"/>
              <w:spacing w:line="124" w:lineRule="exact" w:before="6"/>
              <w:ind w:right="46"/>
              <w:jc w:val="right"/>
              <w:rPr>
                <w:sz w:val="11"/>
              </w:rPr>
            </w:pPr>
            <w:r>
              <w:rPr>
                <w:w w:val="95"/>
                <w:sz w:val="11"/>
              </w:rPr>
              <w:t>236,66</w:t>
            </w:r>
          </w:p>
        </w:tc>
        <w:tc>
          <w:tcPr>
            <w:tcW w:w="849" w:type="dxa"/>
          </w:tcPr>
          <w:p>
            <w:pPr>
              <w:pStyle w:val="TableParagraph"/>
              <w:spacing w:line="124" w:lineRule="exact" w:before="6"/>
              <w:ind w:right="47"/>
              <w:jc w:val="right"/>
              <w:rPr>
                <w:sz w:val="11"/>
              </w:rPr>
            </w:pPr>
            <w:r>
              <w:rPr>
                <w:w w:val="95"/>
                <w:sz w:val="11"/>
              </w:rPr>
              <w:t>13.525,54</w:t>
            </w:r>
          </w:p>
        </w:tc>
        <w:tc>
          <w:tcPr>
            <w:tcW w:w="879" w:type="dxa"/>
          </w:tcPr>
          <w:p>
            <w:pPr>
              <w:pStyle w:val="TableParagraph"/>
              <w:spacing w:line="124" w:lineRule="exact" w:before="6"/>
              <w:ind w:right="46"/>
              <w:jc w:val="right"/>
              <w:rPr>
                <w:sz w:val="11"/>
              </w:rPr>
            </w:pPr>
            <w:r>
              <w:rPr>
                <w:sz w:val="11"/>
              </w:rPr>
              <w:t>1.445.547,50</w:t>
            </w:r>
          </w:p>
        </w:tc>
        <w:tc>
          <w:tcPr>
            <w:tcW w:w="728" w:type="dxa"/>
          </w:tcPr>
          <w:p>
            <w:pPr>
              <w:pStyle w:val="TableParagraph"/>
              <w:spacing w:line="124" w:lineRule="exact" w:before="6"/>
              <w:ind w:right="50"/>
              <w:jc w:val="right"/>
              <w:rPr>
                <w:sz w:val="11"/>
              </w:rPr>
            </w:pPr>
            <w:r>
              <w:rPr>
                <w:sz w:val="11"/>
              </w:rPr>
              <w:t>4.953,09</w:t>
            </w:r>
          </w:p>
        </w:tc>
        <w:tc>
          <w:tcPr>
            <w:tcW w:w="784" w:type="dxa"/>
          </w:tcPr>
          <w:p>
            <w:pPr>
              <w:pStyle w:val="TableParagraph"/>
              <w:rPr>
                <w:rFonts w:ascii="Times New Roman"/>
                <w:sz w:val="8"/>
              </w:rPr>
            </w:pPr>
          </w:p>
        </w:tc>
        <w:tc>
          <w:tcPr>
            <w:tcW w:w="728" w:type="dxa"/>
          </w:tcPr>
          <w:p>
            <w:pPr>
              <w:pStyle w:val="TableParagraph"/>
              <w:spacing w:line="124" w:lineRule="exact" w:before="6"/>
              <w:ind w:right="49"/>
              <w:jc w:val="right"/>
              <w:rPr>
                <w:sz w:val="11"/>
              </w:rPr>
            </w:pPr>
            <w:r>
              <w:rPr>
                <w:sz w:val="11"/>
              </w:rPr>
              <w:t>3.675,00</w:t>
            </w:r>
          </w:p>
        </w:tc>
        <w:tc>
          <w:tcPr>
            <w:tcW w:w="756" w:type="dxa"/>
          </w:tcPr>
          <w:p>
            <w:pPr>
              <w:pStyle w:val="TableParagraph"/>
              <w:spacing w:line="124" w:lineRule="exact" w:before="6"/>
              <w:ind w:right="50"/>
              <w:jc w:val="right"/>
              <w:rPr>
                <w:sz w:val="11"/>
              </w:rPr>
            </w:pPr>
            <w:r>
              <w:rPr>
                <w:sz w:val="11"/>
              </w:rPr>
              <w:t>136.784,73</w:t>
            </w:r>
          </w:p>
        </w:tc>
        <w:tc>
          <w:tcPr>
            <w:tcW w:w="964" w:type="dxa"/>
          </w:tcPr>
          <w:p>
            <w:pPr>
              <w:pStyle w:val="TableParagraph"/>
              <w:spacing w:line="124" w:lineRule="exact" w:before="6"/>
              <w:ind w:right="51"/>
              <w:jc w:val="right"/>
              <w:rPr>
                <w:sz w:val="11"/>
              </w:rPr>
            </w:pPr>
            <w:r>
              <w:rPr>
                <w:sz w:val="11"/>
              </w:rPr>
              <w:t>56.720.599,92</w:t>
            </w:r>
          </w:p>
        </w:tc>
        <w:tc>
          <w:tcPr>
            <w:tcW w:w="962" w:type="dxa"/>
          </w:tcPr>
          <w:p>
            <w:pPr>
              <w:pStyle w:val="TableParagraph"/>
              <w:spacing w:line="124" w:lineRule="exact" w:before="6"/>
              <w:ind w:right="49"/>
              <w:jc w:val="right"/>
              <w:rPr>
                <w:sz w:val="11"/>
              </w:rPr>
            </w:pPr>
            <w:r>
              <w:rPr>
                <w:sz w:val="11"/>
              </w:rPr>
              <w:t>112.527.476,45</w:t>
            </w:r>
          </w:p>
        </w:tc>
        <w:tc>
          <w:tcPr>
            <w:tcW w:w="843" w:type="dxa"/>
          </w:tcPr>
          <w:p>
            <w:pPr>
              <w:pStyle w:val="TableParagraph"/>
              <w:spacing w:line="124" w:lineRule="exact" w:before="6"/>
              <w:ind w:right="49"/>
              <w:jc w:val="right"/>
              <w:rPr>
                <w:sz w:val="11"/>
              </w:rPr>
            </w:pPr>
            <w:r>
              <w:rPr>
                <w:sz w:val="11"/>
              </w:rPr>
              <w:t>104.655.648,48</w:t>
            </w:r>
          </w:p>
        </w:tc>
      </w:tr>
      <w:tr>
        <w:trPr>
          <w:trHeight w:val="148" w:hRule="atLeast"/>
        </w:trPr>
        <w:tc>
          <w:tcPr>
            <w:tcW w:w="1875" w:type="dxa"/>
          </w:tcPr>
          <w:p>
            <w:pPr>
              <w:pStyle w:val="TableParagraph"/>
              <w:spacing w:line="127" w:lineRule="exact" w:before="2"/>
              <w:ind w:left="319"/>
              <w:rPr>
                <w:b/>
                <w:sz w:val="12"/>
              </w:rPr>
            </w:pPr>
            <w:r>
              <w:rPr>
                <w:b/>
                <w:w w:val="105"/>
                <w:sz w:val="12"/>
              </w:rPr>
              <w:t>TOTAL PATR. NETO Y PASIVO</w:t>
            </w:r>
          </w:p>
        </w:tc>
        <w:tc>
          <w:tcPr>
            <w:tcW w:w="756" w:type="dxa"/>
          </w:tcPr>
          <w:p>
            <w:pPr>
              <w:pStyle w:val="TableParagraph"/>
              <w:spacing w:line="123" w:lineRule="exact" w:before="6"/>
              <w:ind w:right="45"/>
              <w:jc w:val="right"/>
              <w:rPr>
                <w:sz w:val="11"/>
              </w:rPr>
            </w:pPr>
            <w:r>
              <w:rPr>
                <w:sz w:val="11"/>
              </w:rPr>
              <w:t>2.496.850,05</w:t>
            </w:r>
          </w:p>
        </w:tc>
        <w:tc>
          <w:tcPr>
            <w:tcW w:w="874" w:type="dxa"/>
          </w:tcPr>
          <w:p>
            <w:pPr>
              <w:pStyle w:val="TableParagraph"/>
              <w:rPr>
                <w:rFonts w:ascii="Times New Roman"/>
                <w:sz w:val="8"/>
              </w:rPr>
            </w:pPr>
          </w:p>
        </w:tc>
        <w:tc>
          <w:tcPr>
            <w:tcW w:w="875" w:type="dxa"/>
          </w:tcPr>
          <w:p>
            <w:pPr>
              <w:pStyle w:val="TableParagraph"/>
              <w:rPr>
                <w:rFonts w:ascii="Times New Roman"/>
                <w:sz w:val="8"/>
              </w:rPr>
            </w:pPr>
          </w:p>
        </w:tc>
        <w:tc>
          <w:tcPr>
            <w:tcW w:w="849" w:type="dxa"/>
          </w:tcPr>
          <w:p>
            <w:pPr>
              <w:pStyle w:val="TableParagraph"/>
              <w:rPr>
                <w:rFonts w:ascii="Times New Roman"/>
                <w:sz w:val="8"/>
              </w:rPr>
            </w:pPr>
          </w:p>
        </w:tc>
        <w:tc>
          <w:tcPr>
            <w:tcW w:w="879" w:type="dxa"/>
          </w:tcPr>
          <w:p>
            <w:pPr>
              <w:pStyle w:val="TableParagraph"/>
              <w:rPr>
                <w:rFonts w:ascii="Times New Roman"/>
                <w:sz w:val="8"/>
              </w:rPr>
            </w:pPr>
          </w:p>
        </w:tc>
        <w:tc>
          <w:tcPr>
            <w:tcW w:w="728" w:type="dxa"/>
          </w:tcPr>
          <w:p>
            <w:pPr>
              <w:pStyle w:val="TableParagraph"/>
              <w:rPr>
                <w:rFonts w:ascii="Times New Roman"/>
                <w:sz w:val="8"/>
              </w:rPr>
            </w:pPr>
          </w:p>
        </w:tc>
        <w:tc>
          <w:tcPr>
            <w:tcW w:w="784" w:type="dxa"/>
          </w:tcPr>
          <w:p>
            <w:pPr>
              <w:pStyle w:val="TableParagraph"/>
              <w:rPr>
                <w:rFonts w:ascii="Times New Roman"/>
                <w:sz w:val="8"/>
              </w:rPr>
            </w:pPr>
          </w:p>
        </w:tc>
        <w:tc>
          <w:tcPr>
            <w:tcW w:w="728" w:type="dxa"/>
          </w:tcPr>
          <w:p>
            <w:pPr>
              <w:pStyle w:val="TableParagraph"/>
              <w:rPr>
                <w:rFonts w:ascii="Times New Roman"/>
                <w:sz w:val="8"/>
              </w:rPr>
            </w:pPr>
          </w:p>
        </w:tc>
        <w:tc>
          <w:tcPr>
            <w:tcW w:w="756" w:type="dxa"/>
          </w:tcPr>
          <w:p>
            <w:pPr>
              <w:pStyle w:val="TableParagraph"/>
              <w:rPr>
                <w:rFonts w:ascii="Times New Roman"/>
                <w:sz w:val="8"/>
              </w:rPr>
            </w:pPr>
          </w:p>
        </w:tc>
        <w:tc>
          <w:tcPr>
            <w:tcW w:w="964" w:type="dxa"/>
          </w:tcPr>
          <w:p>
            <w:pPr>
              <w:pStyle w:val="TableParagraph"/>
              <w:spacing w:line="123" w:lineRule="exact" w:before="6"/>
              <w:ind w:right="51"/>
              <w:jc w:val="right"/>
              <w:rPr>
                <w:sz w:val="11"/>
              </w:rPr>
            </w:pPr>
            <w:r>
              <w:rPr>
                <w:sz w:val="11"/>
              </w:rPr>
              <w:t>9.119.751,58</w:t>
            </w:r>
          </w:p>
        </w:tc>
        <w:tc>
          <w:tcPr>
            <w:tcW w:w="962" w:type="dxa"/>
          </w:tcPr>
          <w:p>
            <w:pPr>
              <w:pStyle w:val="TableParagraph"/>
              <w:spacing w:line="123" w:lineRule="exact" w:before="6"/>
              <w:ind w:right="49"/>
              <w:jc w:val="right"/>
              <w:rPr>
                <w:sz w:val="11"/>
              </w:rPr>
            </w:pPr>
            <w:r>
              <w:rPr>
                <w:sz w:val="11"/>
              </w:rPr>
              <w:t>13.166.699,94</w:t>
            </w:r>
          </w:p>
        </w:tc>
        <w:tc>
          <w:tcPr>
            <w:tcW w:w="843" w:type="dxa"/>
          </w:tcPr>
          <w:p>
            <w:pPr>
              <w:pStyle w:val="TableParagraph"/>
              <w:spacing w:line="123" w:lineRule="exact" w:before="6"/>
              <w:ind w:right="49"/>
              <w:jc w:val="right"/>
              <w:rPr>
                <w:sz w:val="11"/>
              </w:rPr>
            </w:pPr>
            <w:r>
              <w:rPr>
                <w:sz w:val="11"/>
              </w:rPr>
              <w:t>4.913.586,81</w:t>
            </w:r>
          </w:p>
        </w:tc>
      </w:tr>
    </w:tbl>
    <w:p>
      <w:pPr>
        <w:pStyle w:val="BodyText"/>
        <w:spacing w:before="11"/>
        <w:rPr>
          <w:b/>
          <w:sz w:val="19"/>
        </w:rPr>
      </w:pPr>
    </w:p>
    <w:p>
      <w:pPr>
        <w:spacing w:before="69"/>
        <w:ind w:left="11517" w:right="1354" w:firstLine="0"/>
        <w:jc w:val="center"/>
        <w:rPr>
          <w:sz w:val="18"/>
        </w:rPr>
      </w:pPr>
      <w:r>
        <w:rPr>
          <w:w w:val="105"/>
          <w:sz w:val="18"/>
        </w:rPr>
        <w:t>195</w:t>
      </w:r>
    </w:p>
    <w:p>
      <w:pPr>
        <w:spacing w:before="9"/>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23" name="image5.png"/>
                  <wp:cNvGraphicFramePr>
                    <a:graphicFrameLocks noChangeAspect="1"/>
                  </wp:cNvGraphicFramePr>
                  <a:graphic>
                    <a:graphicData uri="http://schemas.openxmlformats.org/drawingml/2006/picture">
                      <pic:pic>
                        <pic:nvPicPr>
                          <pic:cNvPr id="42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197/247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pStyle w:val="BodyText"/>
        <w:spacing w:before="4"/>
        <w:rPr>
          <w:b/>
          <w:sz w:val="17"/>
        </w:rPr>
      </w:pPr>
    </w:p>
    <w:p>
      <w:pPr>
        <w:spacing w:before="74"/>
        <w:ind w:left="2699" w:right="0" w:firstLine="0"/>
        <w:jc w:val="left"/>
        <w:rPr>
          <w:b/>
          <w:sz w:val="15"/>
        </w:rPr>
      </w:pPr>
      <w:r>
        <w:rPr>
          <w:b/>
          <w:w w:val="105"/>
          <w:sz w:val="15"/>
        </w:rPr>
        <w:t>Cuenta de pérdidas y ganancias por sociedades y entidades 2022 (euros)</w:t>
      </w:r>
    </w:p>
    <w:tbl>
      <w:tblPr>
        <w:tblW w:w="0" w:type="auto"/>
        <w:jc w:val="left"/>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6"/>
        <w:gridCol w:w="823"/>
        <w:gridCol w:w="809"/>
        <w:gridCol w:w="686"/>
        <w:gridCol w:w="953"/>
        <w:gridCol w:w="873"/>
        <w:gridCol w:w="819"/>
        <w:gridCol w:w="810"/>
        <w:gridCol w:w="874"/>
        <w:gridCol w:w="808"/>
        <w:gridCol w:w="877"/>
        <w:gridCol w:w="833"/>
      </w:tblGrid>
      <w:tr>
        <w:trPr>
          <w:trHeight w:val="452" w:hRule="atLeast"/>
        </w:trPr>
        <w:tc>
          <w:tcPr>
            <w:tcW w:w="2886" w:type="dxa"/>
            <w:shd w:val="clear" w:color="auto" w:fill="D9E1F3"/>
          </w:tcPr>
          <w:p>
            <w:pPr>
              <w:pStyle w:val="TableParagraph"/>
              <w:spacing w:before="6"/>
              <w:rPr>
                <w:b/>
                <w:sz w:val="12"/>
              </w:rPr>
            </w:pPr>
          </w:p>
          <w:p>
            <w:pPr>
              <w:pStyle w:val="TableParagraph"/>
              <w:ind w:left="1178" w:right="1165"/>
              <w:jc w:val="center"/>
              <w:rPr>
                <w:b/>
                <w:sz w:val="12"/>
              </w:rPr>
            </w:pPr>
            <w:r>
              <w:rPr>
                <w:b/>
                <w:w w:val="105"/>
                <w:sz w:val="12"/>
              </w:rPr>
              <w:t>CUENTAS</w:t>
            </w:r>
          </w:p>
        </w:tc>
        <w:tc>
          <w:tcPr>
            <w:tcW w:w="823" w:type="dxa"/>
            <w:shd w:val="clear" w:color="auto" w:fill="D9E1F3"/>
          </w:tcPr>
          <w:p>
            <w:pPr>
              <w:pStyle w:val="TableParagraph"/>
              <w:spacing w:before="6"/>
              <w:rPr>
                <w:b/>
                <w:sz w:val="12"/>
              </w:rPr>
            </w:pPr>
          </w:p>
          <w:p>
            <w:pPr>
              <w:pStyle w:val="TableParagraph"/>
              <w:ind w:right="61"/>
              <w:jc w:val="right"/>
              <w:rPr>
                <w:b/>
                <w:sz w:val="12"/>
              </w:rPr>
            </w:pPr>
            <w:r>
              <w:rPr>
                <w:b/>
                <w:w w:val="105"/>
                <w:sz w:val="12"/>
              </w:rPr>
              <w:t>CCB MASPAL</w:t>
            </w:r>
          </w:p>
        </w:tc>
        <w:tc>
          <w:tcPr>
            <w:tcW w:w="809" w:type="dxa"/>
            <w:shd w:val="clear" w:color="auto" w:fill="D9E1F3"/>
          </w:tcPr>
          <w:p>
            <w:pPr>
              <w:pStyle w:val="TableParagraph"/>
              <w:spacing w:before="6"/>
              <w:rPr>
                <w:b/>
                <w:sz w:val="12"/>
              </w:rPr>
            </w:pPr>
          </w:p>
          <w:p>
            <w:pPr>
              <w:pStyle w:val="TableParagraph"/>
              <w:ind w:left="203"/>
              <w:rPr>
                <w:b/>
                <w:sz w:val="12"/>
              </w:rPr>
            </w:pPr>
            <w:r>
              <w:rPr>
                <w:b/>
                <w:w w:val="105"/>
                <w:sz w:val="12"/>
              </w:rPr>
              <w:t>CCB TFE</w:t>
            </w:r>
          </w:p>
        </w:tc>
        <w:tc>
          <w:tcPr>
            <w:tcW w:w="686" w:type="dxa"/>
            <w:shd w:val="clear" w:color="auto" w:fill="D9E1F3"/>
          </w:tcPr>
          <w:p>
            <w:pPr>
              <w:pStyle w:val="TableParagraph"/>
              <w:spacing w:before="78"/>
              <w:ind w:left="114"/>
              <w:rPr>
                <w:b/>
                <w:sz w:val="12"/>
              </w:rPr>
            </w:pPr>
            <w:r>
              <w:rPr>
                <w:b/>
                <w:w w:val="105"/>
                <w:sz w:val="12"/>
                <w:u w:val="single"/>
              </w:rPr>
              <w:t>ESSSCAN</w:t>
            </w:r>
          </w:p>
          <w:p>
            <w:pPr>
              <w:pStyle w:val="TableParagraph"/>
              <w:spacing w:before="5"/>
              <w:ind w:left="80"/>
              <w:rPr>
                <w:b/>
                <w:sz w:val="12"/>
              </w:rPr>
            </w:pPr>
            <w:r>
              <w:rPr>
                <w:b/>
                <w:w w:val="105"/>
                <w:sz w:val="12"/>
                <w:u w:val="single"/>
              </w:rPr>
              <w:t>Pendiente</w:t>
            </w:r>
          </w:p>
        </w:tc>
        <w:tc>
          <w:tcPr>
            <w:tcW w:w="953" w:type="dxa"/>
            <w:shd w:val="clear" w:color="auto" w:fill="D9E1F3"/>
          </w:tcPr>
          <w:p>
            <w:pPr>
              <w:pStyle w:val="TableParagraph"/>
              <w:spacing w:before="6"/>
              <w:rPr>
                <w:b/>
                <w:sz w:val="12"/>
              </w:rPr>
            </w:pPr>
          </w:p>
          <w:p>
            <w:pPr>
              <w:pStyle w:val="TableParagraph"/>
              <w:ind w:left="241"/>
              <w:rPr>
                <w:b/>
                <w:sz w:val="12"/>
              </w:rPr>
            </w:pPr>
            <w:r>
              <w:rPr>
                <w:b/>
                <w:w w:val="105"/>
                <w:sz w:val="12"/>
              </w:rPr>
              <w:t>GESPLAN</w:t>
            </w:r>
          </w:p>
        </w:tc>
        <w:tc>
          <w:tcPr>
            <w:tcW w:w="873" w:type="dxa"/>
            <w:shd w:val="clear" w:color="auto" w:fill="D9E1F3"/>
          </w:tcPr>
          <w:p>
            <w:pPr>
              <w:pStyle w:val="TableParagraph"/>
              <w:spacing w:before="6"/>
              <w:rPr>
                <w:b/>
                <w:sz w:val="12"/>
              </w:rPr>
            </w:pPr>
          </w:p>
          <w:p>
            <w:pPr>
              <w:pStyle w:val="TableParagraph"/>
              <w:ind w:left="288"/>
              <w:rPr>
                <w:b/>
                <w:sz w:val="12"/>
              </w:rPr>
            </w:pPr>
            <w:r>
              <w:rPr>
                <w:b/>
                <w:w w:val="105"/>
                <w:sz w:val="12"/>
              </w:rPr>
              <w:t>G.S.C.</w:t>
            </w:r>
          </w:p>
        </w:tc>
        <w:tc>
          <w:tcPr>
            <w:tcW w:w="819" w:type="dxa"/>
            <w:shd w:val="clear" w:color="auto" w:fill="D9E1F3"/>
          </w:tcPr>
          <w:p>
            <w:pPr>
              <w:pStyle w:val="TableParagraph"/>
              <w:spacing w:before="2"/>
              <w:ind w:left="74" w:right="58"/>
              <w:jc w:val="center"/>
              <w:rPr>
                <w:b/>
                <w:sz w:val="12"/>
              </w:rPr>
            </w:pPr>
            <w:r>
              <w:rPr>
                <w:b/>
                <w:w w:val="105"/>
                <w:sz w:val="12"/>
              </w:rPr>
              <w:t>GESTUR LP</w:t>
            </w:r>
          </w:p>
          <w:p>
            <w:pPr>
              <w:pStyle w:val="TableParagraph"/>
              <w:spacing w:before="4"/>
              <w:ind w:left="74" w:right="59"/>
              <w:jc w:val="center"/>
              <w:rPr>
                <w:b/>
                <w:sz w:val="12"/>
              </w:rPr>
            </w:pPr>
            <w:r>
              <w:rPr>
                <w:b/>
                <w:w w:val="105"/>
                <w:sz w:val="12"/>
              </w:rPr>
              <w:t>(en</w:t>
            </w:r>
          </w:p>
          <w:p>
            <w:pPr>
              <w:pStyle w:val="TableParagraph"/>
              <w:spacing w:line="127" w:lineRule="exact" w:before="7"/>
              <w:ind w:left="74" w:right="61"/>
              <w:jc w:val="center"/>
              <w:rPr>
                <w:b/>
                <w:sz w:val="12"/>
              </w:rPr>
            </w:pPr>
            <w:r>
              <w:rPr>
                <w:b/>
                <w:w w:val="105"/>
                <w:sz w:val="12"/>
              </w:rPr>
              <w:t>liquidación)</w:t>
            </w:r>
          </w:p>
        </w:tc>
        <w:tc>
          <w:tcPr>
            <w:tcW w:w="810" w:type="dxa"/>
            <w:shd w:val="clear" w:color="auto" w:fill="D9E1F3"/>
          </w:tcPr>
          <w:p>
            <w:pPr>
              <w:pStyle w:val="TableParagraph"/>
              <w:spacing w:line="247" w:lineRule="auto" w:before="78"/>
              <w:ind w:left="138" w:firstLine="61"/>
              <w:rPr>
                <w:b/>
                <w:sz w:val="12"/>
              </w:rPr>
            </w:pPr>
            <w:r>
              <w:rPr>
                <w:b/>
                <w:w w:val="105"/>
                <w:sz w:val="12"/>
              </w:rPr>
              <w:t>GESTUR CANARIAS</w:t>
            </w:r>
          </w:p>
        </w:tc>
        <w:tc>
          <w:tcPr>
            <w:tcW w:w="874" w:type="dxa"/>
            <w:shd w:val="clear" w:color="auto" w:fill="D9E1F3"/>
          </w:tcPr>
          <w:p>
            <w:pPr>
              <w:pStyle w:val="TableParagraph"/>
              <w:spacing w:before="6"/>
              <w:rPr>
                <w:b/>
                <w:sz w:val="12"/>
              </w:rPr>
            </w:pPr>
          </w:p>
          <w:p>
            <w:pPr>
              <w:pStyle w:val="TableParagraph"/>
              <w:ind w:left="156"/>
              <w:rPr>
                <w:b/>
                <w:sz w:val="12"/>
              </w:rPr>
            </w:pPr>
            <w:r>
              <w:rPr>
                <w:b/>
                <w:w w:val="105"/>
                <w:sz w:val="12"/>
              </w:rPr>
              <w:t>GM RURAL</w:t>
            </w:r>
          </w:p>
        </w:tc>
        <w:tc>
          <w:tcPr>
            <w:tcW w:w="808" w:type="dxa"/>
            <w:shd w:val="clear" w:color="auto" w:fill="D9E1F3"/>
          </w:tcPr>
          <w:p>
            <w:pPr>
              <w:pStyle w:val="TableParagraph"/>
              <w:spacing w:before="6"/>
              <w:rPr>
                <w:b/>
                <w:sz w:val="12"/>
              </w:rPr>
            </w:pPr>
          </w:p>
          <w:p>
            <w:pPr>
              <w:pStyle w:val="TableParagraph"/>
              <w:ind w:left="152"/>
              <w:rPr>
                <w:b/>
                <w:sz w:val="12"/>
              </w:rPr>
            </w:pPr>
            <w:r>
              <w:rPr>
                <w:b/>
                <w:w w:val="105"/>
                <w:sz w:val="12"/>
              </w:rPr>
              <w:t>GRAFCAN</w:t>
            </w:r>
          </w:p>
        </w:tc>
        <w:tc>
          <w:tcPr>
            <w:tcW w:w="877" w:type="dxa"/>
            <w:shd w:val="clear" w:color="auto" w:fill="D9E1F3"/>
          </w:tcPr>
          <w:p>
            <w:pPr>
              <w:pStyle w:val="TableParagraph"/>
              <w:spacing w:before="2"/>
              <w:ind w:left="256"/>
              <w:rPr>
                <w:b/>
                <w:sz w:val="12"/>
              </w:rPr>
            </w:pPr>
            <w:r>
              <w:rPr>
                <w:b/>
                <w:w w:val="105"/>
                <w:sz w:val="12"/>
              </w:rPr>
              <w:t>ASISTA</w:t>
            </w:r>
          </w:p>
          <w:p>
            <w:pPr>
              <w:pStyle w:val="TableParagraph"/>
              <w:spacing w:before="4"/>
              <w:ind w:left="276"/>
              <w:rPr>
                <w:b/>
                <w:sz w:val="12"/>
              </w:rPr>
            </w:pPr>
            <w:r>
              <w:rPr>
                <w:b/>
                <w:w w:val="105"/>
                <w:sz w:val="12"/>
              </w:rPr>
              <w:t>(antes</w:t>
            </w:r>
          </w:p>
          <w:p>
            <w:pPr>
              <w:pStyle w:val="TableParagraph"/>
              <w:spacing w:line="127" w:lineRule="exact" w:before="7"/>
              <w:ind w:left="196"/>
              <w:rPr>
                <w:b/>
                <w:sz w:val="12"/>
              </w:rPr>
            </w:pPr>
            <w:r>
              <w:rPr>
                <w:b/>
                <w:w w:val="105"/>
                <w:sz w:val="12"/>
              </w:rPr>
              <w:t>GRECASA</w:t>
            </w:r>
          </w:p>
        </w:tc>
        <w:tc>
          <w:tcPr>
            <w:tcW w:w="833" w:type="dxa"/>
            <w:shd w:val="clear" w:color="auto" w:fill="D9E1F3"/>
          </w:tcPr>
          <w:p>
            <w:pPr>
              <w:pStyle w:val="TableParagraph"/>
              <w:spacing w:before="6"/>
              <w:rPr>
                <w:b/>
                <w:sz w:val="12"/>
              </w:rPr>
            </w:pPr>
          </w:p>
          <w:p>
            <w:pPr>
              <w:pStyle w:val="TableParagraph"/>
              <w:ind w:left="170"/>
              <w:rPr>
                <w:b/>
                <w:sz w:val="12"/>
              </w:rPr>
            </w:pPr>
            <w:r>
              <w:rPr>
                <w:b/>
                <w:w w:val="105"/>
                <w:sz w:val="12"/>
              </w:rPr>
              <w:t>HECANSA</w:t>
            </w:r>
          </w:p>
        </w:tc>
      </w:tr>
      <w:tr>
        <w:trPr>
          <w:trHeight w:val="150" w:hRule="atLeast"/>
        </w:trPr>
        <w:tc>
          <w:tcPr>
            <w:tcW w:w="2886" w:type="dxa"/>
          </w:tcPr>
          <w:p>
            <w:pPr>
              <w:pStyle w:val="TableParagraph"/>
              <w:spacing w:line="128" w:lineRule="exact" w:before="2"/>
              <w:ind w:left="84"/>
              <w:rPr>
                <w:b/>
                <w:sz w:val="12"/>
              </w:rPr>
            </w:pPr>
            <w:r>
              <w:rPr>
                <w:b/>
                <w:w w:val="105"/>
                <w:sz w:val="12"/>
              </w:rPr>
              <w:t>A) OPERACIONES CONTINUADAS</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rPr>
                <w:rFonts w:ascii="Times New Roman"/>
                <w:sz w:val="8"/>
              </w:rPr>
            </w:pPr>
          </w:p>
        </w:tc>
        <w:tc>
          <w:tcPr>
            <w:tcW w:w="873" w:type="dxa"/>
          </w:tcPr>
          <w:p>
            <w:pPr>
              <w:pStyle w:val="TableParagraph"/>
              <w:rPr>
                <w:rFonts w:ascii="Times New Roman"/>
                <w:sz w:val="8"/>
              </w:rPr>
            </w:pPr>
          </w:p>
        </w:tc>
        <w:tc>
          <w:tcPr>
            <w:tcW w:w="819" w:type="dxa"/>
          </w:tcPr>
          <w:p>
            <w:pPr>
              <w:pStyle w:val="TableParagraph"/>
              <w:rPr>
                <w:rFonts w:ascii="Times New Roman"/>
                <w:sz w:val="8"/>
              </w:rPr>
            </w:pPr>
          </w:p>
        </w:tc>
        <w:tc>
          <w:tcPr>
            <w:tcW w:w="810" w:type="dxa"/>
          </w:tcPr>
          <w:p>
            <w:pPr>
              <w:pStyle w:val="TableParagraph"/>
              <w:rPr>
                <w:rFonts w:ascii="Times New Roman"/>
                <w:sz w:val="8"/>
              </w:rPr>
            </w:pPr>
          </w:p>
        </w:tc>
        <w:tc>
          <w:tcPr>
            <w:tcW w:w="874" w:type="dxa"/>
          </w:tcPr>
          <w:p>
            <w:pPr>
              <w:pStyle w:val="TableParagraph"/>
              <w:rPr>
                <w:rFonts w:ascii="Times New Roman"/>
                <w:sz w:val="8"/>
              </w:rPr>
            </w:pPr>
          </w:p>
        </w:tc>
        <w:tc>
          <w:tcPr>
            <w:tcW w:w="808" w:type="dxa"/>
          </w:tcPr>
          <w:p>
            <w:pPr>
              <w:pStyle w:val="TableParagraph"/>
              <w:rPr>
                <w:rFonts w:ascii="Times New Roman"/>
                <w:sz w:val="8"/>
              </w:rPr>
            </w:pPr>
          </w:p>
        </w:tc>
        <w:tc>
          <w:tcPr>
            <w:tcW w:w="877" w:type="dxa"/>
          </w:tcPr>
          <w:p>
            <w:pPr>
              <w:pStyle w:val="TableParagraph"/>
              <w:rPr>
                <w:rFonts w:ascii="Times New Roman"/>
                <w:sz w:val="8"/>
              </w:rPr>
            </w:pPr>
          </w:p>
        </w:tc>
        <w:tc>
          <w:tcPr>
            <w:tcW w:w="833" w:type="dxa"/>
          </w:tcPr>
          <w:p>
            <w:pPr>
              <w:pStyle w:val="TableParagraph"/>
              <w:rPr>
                <w:rFonts w:ascii="Times New Roman"/>
                <w:sz w:val="8"/>
              </w:rPr>
            </w:pPr>
          </w:p>
        </w:tc>
      </w:tr>
      <w:tr>
        <w:trPr>
          <w:trHeight w:val="148" w:hRule="atLeast"/>
        </w:trPr>
        <w:tc>
          <w:tcPr>
            <w:tcW w:w="2886" w:type="dxa"/>
          </w:tcPr>
          <w:p>
            <w:pPr>
              <w:pStyle w:val="TableParagraph"/>
              <w:spacing w:line="127" w:lineRule="exact" w:before="2"/>
              <w:ind w:left="56"/>
              <w:rPr>
                <w:sz w:val="12"/>
              </w:rPr>
            </w:pPr>
            <w:r>
              <w:rPr>
                <w:w w:val="105"/>
                <w:sz w:val="12"/>
              </w:rPr>
              <w:t>Imp. neto de la cifra de negocios</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spacing w:line="127" w:lineRule="exact" w:before="2"/>
              <w:ind w:right="37"/>
              <w:jc w:val="right"/>
              <w:rPr>
                <w:sz w:val="12"/>
              </w:rPr>
            </w:pPr>
            <w:r>
              <w:rPr>
                <w:w w:val="105"/>
                <w:sz w:val="12"/>
              </w:rPr>
              <w:t>59.924.706,69</w:t>
            </w:r>
          </w:p>
        </w:tc>
        <w:tc>
          <w:tcPr>
            <w:tcW w:w="873" w:type="dxa"/>
          </w:tcPr>
          <w:p>
            <w:pPr>
              <w:pStyle w:val="TableParagraph"/>
              <w:spacing w:line="127" w:lineRule="exact" w:before="2"/>
              <w:ind w:right="38"/>
              <w:jc w:val="right"/>
              <w:rPr>
                <w:sz w:val="12"/>
              </w:rPr>
            </w:pPr>
            <w:r>
              <w:rPr>
                <w:w w:val="105"/>
                <w:sz w:val="12"/>
              </w:rPr>
              <w:t>712.782,13</w:t>
            </w:r>
          </w:p>
        </w:tc>
        <w:tc>
          <w:tcPr>
            <w:tcW w:w="819" w:type="dxa"/>
          </w:tcPr>
          <w:p>
            <w:pPr>
              <w:pStyle w:val="TableParagraph"/>
              <w:spacing w:line="127" w:lineRule="exact" w:before="2"/>
              <w:ind w:right="37"/>
              <w:jc w:val="right"/>
              <w:rPr>
                <w:sz w:val="12"/>
              </w:rPr>
            </w:pPr>
            <w:r>
              <w:rPr>
                <w:w w:val="105"/>
                <w:sz w:val="12"/>
              </w:rPr>
              <w:t>96.453,90</w:t>
            </w:r>
          </w:p>
        </w:tc>
        <w:tc>
          <w:tcPr>
            <w:tcW w:w="810" w:type="dxa"/>
          </w:tcPr>
          <w:p>
            <w:pPr>
              <w:pStyle w:val="TableParagraph"/>
              <w:spacing w:line="127" w:lineRule="exact" w:before="2"/>
              <w:ind w:right="38"/>
              <w:jc w:val="right"/>
              <w:rPr>
                <w:sz w:val="12"/>
              </w:rPr>
            </w:pPr>
            <w:r>
              <w:rPr>
                <w:w w:val="105"/>
                <w:sz w:val="12"/>
              </w:rPr>
              <w:t>4.992.702,12</w:t>
            </w:r>
          </w:p>
        </w:tc>
        <w:tc>
          <w:tcPr>
            <w:tcW w:w="874" w:type="dxa"/>
          </w:tcPr>
          <w:p>
            <w:pPr>
              <w:pStyle w:val="TableParagraph"/>
              <w:spacing w:line="127" w:lineRule="exact" w:before="2"/>
              <w:ind w:right="39"/>
              <w:jc w:val="right"/>
              <w:rPr>
                <w:sz w:val="12"/>
              </w:rPr>
            </w:pPr>
            <w:r>
              <w:rPr>
                <w:w w:val="105"/>
                <w:sz w:val="12"/>
              </w:rPr>
              <w:t>17.847.883,31</w:t>
            </w:r>
          </w:p>
        </w:tc>
        <w:tc>
          <w:tcPr>
            <w:tcW w:w="808" w:type="dxa"/>
          </w:tcPr>
          <w:p>
            <w:pPr>
              <w:pStyle w:val="TableParagraph"/>
              <w:spacing w:line="127" w:lineRule="exact" w:before="2"/>
              <w:ind w:right="39"/>
              <w:jc w:val="right"/>
              <w:rPr>
                <w:sz w:val="12"/>
              </w:rPr>
            </w:pPr>
            <w:r>
              <w:rPr>
                <w:w w:val="105"/>
                <w:sz w:val="12"/>
              </w:rPr>
              <w:t>2.462.712,57</w:t>
            </w:r>
          </w:p>
        </w:tc>
        <w:tc>
          <w:tcPr>
            <w:tcW w:w="877" w:type="dxa"/>
          </w:tcPr>
          <w:p>
            <w:pPr>
              <w:pStyle w:val="TableParagraph"/>
              <w:spacing w:line="127" w:lineRule="exact" w:before="2"/>
              <w:ind w:right="39"/>
              <w:jc w:val="right"/>
              <w:rPr>
                <w:sz w:val="12"/>
              </w:rPr>
            </w:pPr>
            <w:r>
              <w:rPr>
                <w:w w:val="105"/>
                <w:sz w:val="12"/>
              </w:rPr>
              <w:t>11.569.832,32</w:t>
            </w:r>
          </w:p>
        </w:tc>
        <w:tc>
          <w:tcPr>
            <w:tcW w:w="833" w:type="dxa"/>
          </w:tcPr>
          <w:p>
            <w:pPr>
              <w:pStyle w:val="TableParagraph"/>
              <w:spacing w:line="127" w:lineRule="exact" w:before="2"/>
              <w:ind w:right="39"/>
              <w:jc w:val="right"/>
              <w:rPr>
                <w:sz w:val="12"/>
              </w:rPr>
            </w:pPr>
            <w:r>
              <w:rPr>
                <w:w w:val="105"/>
                <w:sz w:val="12"/>
              </w:rPr>
              <w:t>3.095.062,00</w:t>
            </w:r>
          </w:p>
        </w:tc>
      </w:tr>
      <w:tr>
        <w:trPr>
          <w:trHeight w:val="150" w:hRule="atLeast"/>
        </w:trPr>
        <w:tc>
          <w:tcPr>
            <w:tcW w:w="2886" w:type="dxa"/>
          </w:tcPr>
          <w:p>
            <w:pPr>
              <w:pStyle w:val="TableParagraph"/>
              <w:spacing w:line="128" w:lineRule="exact" w:before="2"/>
              <w:ind w:left="84"/>
              <w:rPr>
                <w:sz w:val="12"/>
              </w:rPr>
            </w:pPr>
            <w:r>
              <w:rPr>
                <w:w w:val="105"/>
                <w:sz w:val="12"/>
              </w:rPr>
              <w:t>Variac. de exist.de prod. term. y en curso de fabric.</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rPr>
                <w:rFonts w:ascii="Times New Roman"/>
                <w:sz w:val="8"/>
              </w:rPr>
            </w:pPr>
          </w:p>
        </w:tc>
        <w:tc>
          <w:tcPr>
            <w:tcW w:w="873" w:type="dxa"/>
          </w:tcPr>
          <w:p>
            <w:pPr>
              <w:pStyle w:val="TableParagraph"/>
              <w:rPr>
                <w:rFonts w:ascii="Times New Roman"/>
                <w:sz w:val="8"/>
              </w:rPr>
            </w:pPr>
          </w:p>
        </w:tc>
        <w:tc>
          <w:tcPr>
            <w:tcW w:w="819" w:type="dxa"/>
          </w:tcPr>
          <w:p>
            <w:pPr>
              <w:pStyle w:val="TableParagraph"/>
              <w:spacing w:line="128" w:lineRule="exact" w:before="2"/>
              <w:ind w:right="37"/>
              <w:jc w:val="right"/>
              <w:rPr>
                <w:sz w:val="12"/>
              </w:rPr>
            </w:pPr>
            <w:r>
              <w:rPr>
                <w:w w:val="105"/>
                <w:sz w:val="12"/>
              </w:rPr>
              <w:t>-96.453,90</w:t>
            </w:r>
          </w:p>
        </w:tc>
        <w:tc>
          <w:tcPr>
            <w:tcW w:w="810" w:type="dxa"/>
          </w:tcPr>
          <w:p>
            <w:pPr>
              <w:pStyle w:val="TableParagraph"/>
              <w:spacing w:line="128" w:lineRule="exact" w:before="2"/>
              <w:ind w:right="38"/>
              <w:jc w:val="right"/>
              <w:rPr>
                <w:sz w:val="12"/>
              </w:rPr>
            </w:pPr>
            <w:r>
              <w:rPr>
                <w:w w:val="105"/>
                <w:sz w:val="12"/>
              </w:rPr>
              <w:t>-235.185,64</w:t>
            </w:r>
          </w:p>
        </w:tc>
        <w:tc>
          <w:tcPr>
            <w:tcW w:w="874" w:type="dxa"/>
          </w:tcPr>
          <w:p>
            <w:pPr>
              <w:pStyle w:val="TableParagraph"/>
              <w:rPr>
                <w:rFonts w:ascii="Times New Roman"/>
                <w:sz w:val="8"/>
              </w:rPr>
            </w:pPr>
          </w:p>
        </w:tc>
        <w:tc>
          <w:tcPr>
            <w:tcW w:w="808" w:type="dxa"/>
          </w:tcPr>
          <w:p>
            <w:pPr>
              <w:pStyle w:val="TableParagraph"/>
              <w:rPr>
                <w:rFonts w:ascii="Times New Roman"/>
                <w:sz w:val="8"/>
              </w:rPr>
            </w:pPr>
          </w:p>
        </w:tc>
        <w:tc>
          <w:tcPr>
            <w:tcW w:w="877" w:type="dxa"/>
          </w:tcPr>
          <w:p>
            <w:pPr>
              <w:pStyle w:val="TableParagraph"/>
              <w:rPr>
                <w:rFonts w:ascii="Times New Roman"/>
                <w:sz w:val="8"/>
              </w:rPr>
            </w:pPr>
          </w:p>
        </w:tc>
        <w:tc>
          <w:tcPr>
            <w:tcW w:w="833" w:type="dxa"/>
          </w:tcPr>
          <w:p>
            <w:pPr>
              <w:pStyle w:val="TableParagraph"/>
              <w:rPr>
                <w:rFonts w:ascii="Times New Roman"/>
                <w:sz w:val="8"/>
              </w:rPr>
            </w:pPr>
          </w:p>
        </w:tc>
      </w:tr>
      <w:tr>
        <w:trPr>
          <w:trHeight w:val="148" w:hRule="atLeast"/>
        </w:trPr>
        <w:tc>
          <w:tcPr>
            <w:tcW w:w="2886" w:type="dxa"/>
          </w:tcPr>
          <w:p>
            <w:pPr>
              <w:pStyle w:val="TableParagraph"/>
              <w:spacing w:line="127" w:lineRule="exact" w:before="2"/>
              <w:ind w:left="84"/>
              <w:rPr>
                <w:sz w:val="12"/>
              </w:rPr>
            </w:pPr>
            <w:r>
              <w:rPr>
                <w:w w:val="105"/>
                <w:sz w:val="12"/>
              </w:rPr>
              <w:t>Trab. realiz. por la empr. para su act</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rPr>
                <w:rFonts w:ascii="Times New Roman"/>
                <w:sz w:val="8"/>
              </w:rPr>
            </w:pPr>
          </w:p>
        </w:tc>
        <w:tc>
          <w:tcPr>
            <w:tcW w:w="873" w:type="dxa"/>
          </w:tcPr>
          <w:p>
            <w:pPr>
              <w:pStyle w:val="TableParagraph"/>
              <w:rPr>
                <w:rFonts w:ascii="Times New Roman"/>
                <w:sz w:val="8"/>
              </w:rPr>
            </w:pPr>
          </w:p>
        </w:tc>
        <w:tc>
          <w:tcPr>
            <w:tcW w:w="819" w:type="dxa"/>
          </w:tcPr>
          <w:p>
            <w:pPr>
              <w:pStyle w:val="TableParagraph"/>
              <w:rPr>
                <w:rFonts w:ascii="Times New Roman"/>
                <w:sz w:val="8"/>
              </w:rPr>
            </w:pPr>
          </w:p>
        </w:tc>
        <w:tc>
          <w:tcPr>
            <w:tcW w:w="810" w:type="dxa"/>
          </w:tcPr>
          <w:p>
            <w:pPr>
              <w:pStyle w:val="TableParagraph"/>
              <w:rPr>
                <w:rFonts w:ascii="Times New Roman"/>
                <w:sz w:val="8"/>
              </w:rPr>
            </w:pPr>
          </w:p>
        </w:tc>
        <w:tc>
          <w:tcPr>
            <w:tcW w:w="874" w:type="dxa"/>
          </w:tcPr>
          <w:p>
            <w:pPr>
              <w:pStyle w:val="TableParagraph"/>
              <w:rPr>
                <w:rFonts w:ascii="Times New Roman"/>
                <w:sz w:val="8"/>
              </w:rPr>
            </w:pPr>
          </w:p>
        </w:tc>
        <w:tc>
          <w:tcPr>
            <w:tcW w:w="808" w:type="dxa"/>
          </w:tcPr>
          <w:p>
            <w:pPr>
              <w:pStyle w:val="TableParagraph"/>
              <w:spacing w:line="127" w:lineRule="exact" w:before="2"/>
              <w:ind w:right="39"/>
              <w:jc w:val="right"/>
              <w:rPr>
                <w:sz w:val="12"/>
              </w:rPr>
            </w:pPr>
            <w:r>
              <w:rPr>
                <w:w w:val="105"/>
                <w:sz w:val="12"/>
              </w:rPr>
              <w:t>823.634,18</w:t>
            </w:r>
          </w:p>
        </w:tc>
        <w:tc>
          <w:tcPr>
            <w:tcW w:w="877" w:type="dxa"/>
          </w:tcPr>
          <w:p>
            <w:pPr>
              <w:pStyle w:val="TableParagraph"/>
              <w:rPr>
                <w:rFonts w:ascii="Times New Roman"/>
                <w:sz w:val="8"/>
              </w:rPr>
            </w:pPr>
          </w:p>
        </w:tc>
        <w:tc>
          <w:tcPr>
            <w:tcW w:w="833" w:type="dxa"/>
          </w:tcPr>
          <w:p>
            <w:pPr>
              <w:pStyle w:val="TableParagraph"/>
              <w:rPr>
                <w:rFonts w:ascii="Times New Roman"/>
                <w:sz w:val="8"/>
              </w:rPr>
            </w:pPr>
          </w:p>
        </w:tc>
      </w:tr>
      <w:tr>
        <w:trPr>
          <w:trHeight w:val="150" w:hRule="atLeast"/>
        </w:trPr>
        <w:tc>
          <w:tcPr>
            <w:tcW w:w="2886" w:type="dxa"/>
          </w:tcPr>
          <w:p>
            <w:pPr>
              <w:pStyle w:val="TableParagraph"/>
              <w:spacing w:line="128" w:lineRule="exact" w:before="2"/>
              <w:ind w:left="84"/>
              <w:rPr>
                <w:sz w:val="12"/>
              </w:rPr>
            </w:pPr>
            <w:r>
              <w:rPr>
                <w:w w:val="105"/>
                <w:sz w:val="12"/>
              </w:rPr>
              <w:t>Aprovisionamientos</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spacing w:line="128" w:lineRule="exact" w:before="2"/>
              <w:ind w:right="37"/>
              <w:jc w:val="right"/>
              <w:rPr>
                <w:sz w:val="12"/>
              </w:rPr>
            </w:pPr>
            <w:r>
              <w:rPr>
                <w:w w:val="105"/>
                <w:sz w:val="12"/>
              </w:rPr>
              <w:t>-20.707.143,47</w:t>
            </w:r>
          </w:p>
        </w:tc>
        <w:tc>
          <w:tcPr>
            <w:tcW w:w="873" w:type="dxa"/>
          </w:tcPr>
          <w:p>
            <w:pPr>
              <w:pStyle w:val="TableParagraph"/>
              <w:spacing w:line="128" w:lineRule="exact" w:before="2"/>
              <w:ind w:right="37"/>
              <w:jc w:val="right"/>
              <w:rPr>
                <w:sz w:val="12"/>
              </w:rPr>
            </w:pPr>
            <w:r>
              <w:rPr>
                <w:w w:val="105"/>
                <w:sz w:val="12"/>
              </w:rPr>
              <w:t>-74.030.646,92</w:t>
            </w:r>
          </w:p>
        </w:tc>
        <w:tc>
          <w:tcPr>
            <w:tcW w:w="819" w:type="dxa"/>
          </w:tcPr>
          <w:p>
            <w:pPr>
              <w:pStyle w:val="TableParagraph"/>
              <w:rPr>
                <w:rFonts w:ascii="Times New Roman"/>
                <w:sz w:val="8"/>
              </w:rPr>
            </w:pPr>
          </w:p>
        </w:tc>
        <w:tc>
          <w:tcPr>
            <w:tcW w:w="810" w:type="dxa"/>
          </w:tcPr>
          <w:p>
            <w:pPr>
              <w:pStyle w:val="TableParagraph"/>
              <w:spacing w:line="128" w:lineRule="exact" w:before="2"/>
              <w:ind w:right="38"/>
              <w:jc w:val="right"/>
              <w:rPr>
                <w:sz w:val="12"/>
              </w:rPr>
            </w:pPr>
            <w:r>
              <w:rPr>
                <w:w w:val="105"/>
                <w:sz w:val="12"/>
              </w:rPr>
              <w:t>-1.124.681,18</w:t>
            </w:r>
          </w:p>
        </w:tc>
        <w:tc>
          <w:tcPr>
            <w:tcW w:w="874" w:type="dxa"/>
          </w:tcPr>
          <w:p>
            <w:pPr>
              <w:pStyle w:val="TableParagraph"/>
              <w:spacing w:line="128" w:lineRule="exact" w:before="2"/>
              <w:ind w:right="39"/>
              <w:jc w:val="right"/>
              <w:rPr>
                <w:sz w:val="12"/>
              </w:rPr>
            </w:pPr>
            <w:r>
              <w:rPr>
                <w:w w:val="105"/>
                <w:sz w:val="12"/>
              </w:rPr>
              <w:t>-11.769.407,97</w:t>
            </w:r>
          </w:p>
        </w:tc>
        <w:tc>
          <w:tcPr>
            <w:tcW w:w="808" w:type="dxa"/>
          </w:tcPr>
          <w:p>
            <w:pPr>
              <w:pStyle w:val="TableParagraph"/>
              <w:spacing w:line="128" w:lineRule="exact" w:before="2"/>
              <w:ind w:right="39"/>
              <w:jc w:val="right"/>
              <w:rPr>
                <w:sz w:val="12"/>
              </w:rPr>
            </w:pPr>
            <w:r>
              <w:rPr>
                <w:w w:val="105"/>
                <w:sz w:val="12"/>
              </w:rPr>
              <w:t>-411.888,98</w:t>
            </w:r>
          </w:p>
        </w:tc>
        <w:tc>
          <w:tcPr>
            <w:tcW w:w="877" w:type="dxa"/>
          </w:tcPr>
          <w:p>
            <w:pPr>
              <w:pStyle w:val="TableParagraph"/>
              <w:spacing w:line="128" w:lineRule="exact" w:before="2"/>
              <w:ind w:right="40"/>
              <w:jc w:val="right"/>
              <w:rPr>
                <w:sz w:val="12"/>
              </w:rPr>
            </w:pPr>
            <w:r>
              <w:rPr>
                <w:w w:val="105"/>
                <w:sz w:val="12"/>
              </w:rPr>
              <w:t>-6.122,66</w:t>
            </w:r>
          </w:p>
        </w:tc>
        <w:tc>
          <w:tcPr>
            <w:tcW w:w="833" w:type="dxa"/>
          </w:tcPr>
          <w:p>
            <w:pPr>
              <w:pStyle w:val="TableParagraph"/>
              <w:spacing w:line="128" w:lineRule="exact" w:before="2"/>
              <w:ind w:right="39"/>
              <w:jc w:val="right"/>
              <w:rPr>
                <w:sz w:val="12"/>
              </w:rPr>
            </w:pPr>
            <w:r>
              <w:rPr>
                <w:w w:val="105"/>
                <w:sz w:val="12"/>
              </w:rPr>
              <w:t>-778.864,00</w:t>
            </w:r>
          </w:p>
        </w:tc>
      </w:tr>
      <w:tr>
        <w:trPr>
          <w:trHeight w:val="148" w:hRule="atLeast"/>
        </w:trPr>
        <w:tc>
          <w:tcPr>
            <w:tcW w:w="2886" w:type="dxa"/>
          </w:tcPr>
          <w:p>
            <w:pPr>
              <w:pStyle w:val="TableParagraph"/>
              <w:spacing w:line="127" w:lineRule="exact" w:before="2"/>
              <w:ind w:left="84"/>
              <w:rPr>
                <w:sz w:val="12"/>
              </w:rPr>
            </w:pPr>
            <w:r>
              <w:rPr>
                <w:w w:val="105"/>
                <w:sz w:val="12"/>
              </w:rPr>
              <w:t>Otros ingresos de explotación</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spacing w:line="127" w:lineRule="exact" w:before="2"/>
              <w:ind w:right="37"/>
              <w:jc w:val="right"/>
              <w:rPr>
                <w:sz w:val="12"/>
              </w:rPr>
            </w:pPr>
            <w:r>
              <w:rPr>
                <w:w w:val="105"/>
                <w:sz w:val="12"/>
              </w:rPr>
              <w:t>23.323.255,16</w:t>
            </w:r>
          </w:p>
        </w:tc>
        <w:tc>
          <w:tcPr>
            <w:tcW w:w="873" w:type="dxa"/>
          </w:tcPr>
          <w:p>
            <w:pPr>
              <w:pStyle w:val="TableParagraph"/>
              <w:spacing w:line="127" w:lineRule="exact" w:before="2"/>
              <w:ind w:right="37"/>
              <w:jc w:val="right"/>
              <w:rPr>
                <w:sz w:val="12"/>
              </w:rPr>
            </w:pPr>
            <w:r>
              <w:rPr>
                <w:w w:val="105"/>
                <w:sz w:val="12"/>
              </w:rPr>
              <w:t>92.852.759,71</w:t>
            </w:r>
          </w:p>
        </w:tc>
        <w:tc>
          <w:tcPr>
            <w:tcW w:w="819" w:type="dxa"/>
          </w:tcPr>
          <w:p>
            <w:pPr>
              <w:pStyle w:val="TableParagraph"/>
              <w:spacing w:line="127" w:lineRule="exact" w:before="2"/>
              <w:ind w:right="37"/>
              <w:jc w:val="right"/>
              <w:rPr>
                <w:sz w:val="12"/>
              </w:rPr>
            </w:pPr>
            <w:r>
              <w:rPr>
                <w:w w:val="105"/>
                <w:sz w:val="12"/>
              </w:rPr>
              <w:t>-202.558,27</w:t>
            </w:r>
          </w:p>
        </w:tc>
        <w:tc>
          <w:tcPr>
            <w:tcW w:w="810" w:type="dxa"/>
          </w:tcPr>
          <w:p>
            <w:pPr>
              <w:pStyle w:val="TableParagraph"/>
              <w:spacing w:line="127" w:lineRule="exact" w:before="2"/>
              <w:ind w:right="38"/>
              <w:jc w:val="right"/>
              <w:rPr>
                <w:sz w:val="12"/>
              </w:rPr>
            </w:pPr>
            <w:r>
              <w:rPr>
                <w:w w:val="105"/>
                <w:sz w:val="12"/>
              </w:rPr>
              <w:t>2.668,73</w:t>
            </w:r>
          </w:p>
        </w:tc>
        <w:tc>
          <w:tcPr>
            <w:tcW w:w="874" w:type="dxa"/>
          </w:tcPr>
          <w:p>
            <w:pPr>
              <w:pStyle w:val="TableParagraph"/>
              <w:spacing w:line="127" w:lineRule="exact" w:before="2"/>
              <w:ind w:right="39"/>
              <w:jc w:val="right"/>
              <w:rPr>
                <w:sz w:val="12"/>
              </w:rPr>
            </w:pPr>
            <w:r>
              <w:rPr>
                <w:w w:val="105"/>
                <w:sz w:val="12"/>
              </w:rPr>
              <w:t>2.134.024,00</w:t>
            </w:r>
          </w:p>
        </w:tc>
        <w:tc>
          <w:tcPr>
            <w:tcW w:w="808" w:type="dxa"/>
          </w:tcPr>
          <w:p>
            <w:pPr>
              <w:pStyle w:val="TableParagraph"/>
              <w:spacing w:line="127" w:lineRule="exact" w:before="2"/>
              <w:ind w:right="39"/>
              <w:jc w:val="right"/>
              <w:rPr>
                <w:sz w:val="12"/>
              </w:rPr>
            </w:pPr>
            <w:r>
              <w:rPr>
                <w:w w:val="105"/>
                <w:sz w:val="12"/>
              </w:rPr>
              <w:t>931.887,93</w:t>
            </w:r>
          </w:p>
        </w:tc>
        <w:tc>
          <w:tcPr>
            <w:tcW w:w="877" w:type="dxa"/>
          </w:tcPr>
          <w:p>
            <w:pPr>
              <w:pStyle w:val="TableParagraph"/>
              <w:spacing w:line="127" w:lineRule="exact" w:before="2"/>
              <w:ind w:right="40"/>
              <w:jc w:val="right"/>
              <w:rPr>
                <w:sz w:val="12"/>
              </w:rPr>
            </w:pPr>
            <w:r>
              <w:rPr>
                <w:w w:val="105"/>
                <w:sz w:val="12"/>
              </w:rPr>
              <w:t>10.881,94</w:t>
            </w:r>
          </w:p>
        </w:tc>
        <w:tc>
          <w:tcPr>
            <w:tcW w:w="833" w:type="dxa"/>
          </w:tcPr>
          <w:p>
            <w:pPr>
              <w:pStyle w:val="TableParagraph"/>
              <w:spacing w:line="127" w:lineRule="exact" w:before="2"/>
              <w:ind w:right="39"/>
              <w:jc w:val="right"/>
              <w:rPr>
                <w:sz w:val="12"/>
              </w:rPr>
            </w:pPr>
            <w:r>
              <w:rPr>
                <w:w w:val="105"/>
                <w:sz w:val="12"/>
              </w:rPr>
              <w:t>3.100.068,00</w:t>
            </w:r>
          </w:p>
        </w:tc>
      </w:tr>
      <w:tr>
        <w:trPr>
          <w:trHeight w:val="150" w:hRule="atLeast"/>
        </w:trPr>
        <w:tc>
          <w:tcPr>
            <w:tcW w:w="2886" w:type="dxa"/>
          </w:tcPr>
          <w:p>
            <w:pPr>
              <w:pStyle w:val="TableParagraph"/>
              <w:spacing w:line="128" w:lineRule="exact" w:before="2"/>
              <w:ind w:left="84"/>
              <w:rPr>
                <w:sz w:val="12"/>
              </w:rPr>
            </w:pPr>
            <w:r>
              <w:rPr>
                <w:w w:val="105"/>
                <w:sz w:val="12"/>
              </w:rPr>
              <w:t>Gastos de personal</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spacing w:line="128" w:lineRule="exact" w:before="2"/>
              <w:ind w:right="37"/>
              <w:jc w:val="right"/>
              <w:rPr>
                <w:sz w:val="12"/>
              </w:rPr>
            </w:pPr>
            <w:r>
              <w:rPr>
                <w:w w:val="105"/>
                <w:sz w:val="12"/>
              </w:rPr>
              <w:t>-58.824.955,09</w:t>
            </w:r>
          </w:p>
        </w:tc>
        <w:tc>
          <w:tcPr>
            <w:tcW w:w="873" w:type="dxa"/>
          </w:tcPr>
          <w:p>
            <w:pPr>
              <w:pStyle w:val="TableParagraph"/>
              <w:spacing w:line="128" w:lineRule="exact" w:before="2"/>
              <w:ind w:right="37"/>
              <w:jc w:val="right"/>
              <w:rPr>
                <w:sz w:val="12"/>
              </w:rPr>
            </w:pPr>
            <w:r>
              <w:rPr>
                <w:w w:val="105"/>
                <w:sz w:val="12"/>
              </w:rPr>
              <w:t>-17.727.777,87</w:t>
            </w:r>
          </w:p>
        </w:tc>
        <w:tc>
          <w:tcPr>
            <w:tcW w:w="819" w:type="dxa"/>
          </w:tcPr>
          <w:p>
            <w:pPr>
              <w:pStyle w:val="TableParagraph"/>
              <w:rPr>
                <w:rFonts w:ascii="Times New Roman"/>
                <w:sz w:val="8"/>
              </w:rPr>
            </w:pPr>
          </w:p>
        </w:tc>
        <w:tc>
          <w:tcPr>
            <w:tcW w:w="810" w:type="dxa"/>
          </w:tcPr>
          <w:p>
            <w:pPr>
              <w:pStyle w:val="TableParagraph"/>
              <w:spacing w:line="128" w:lineRule="exact" w:before="2"/>
              <w:ind w:right="38"/>
              <w:jc w:val="right"/>
              <w:rPr>
                <w:sz w:val="12"/>
              </w:rPr>
            </w:pPr>
            <w:r>
              <w:rPr>
                <w:w w:val="105"/>
                <w:sz w:val="12"/>
              </w:rPr>
              <w:t>-2.085.489,47</w:t>
            </w:r>
          </w:p>
        </w:tc>
        <w:tc>
          <w:tcPr>
            <w:tcW w:w="874" w:type="dxa"/>
          </w:tcPr>
          <w:p>
            <w:pPr>
              <w:pStyle w:val="TableParagraph"/>
              <w:spacing w:line="128" w:lineRule="exact" w:before="2"/>
              <w:ind w:right="39"/>
              <w:jc w:val="right"/>
              <w:rPr>
                <w:sz w:val="12"/>
              </w:rPr>
            </w:pPr>
            <w:r>
              <w:rPr>
                <w:w w:val="105"/>
                <w:sz w:val="12"/>
              </w:rPr>
              <w:t>-7.546.385,25</w:t>
            </w:r>
          </w:p>
        </w:tc>
        <w:tc>
          <w:tcPr>
            <w:tcW w:w="808" w:type="dxa"/>
          </w:tcPr>
          <w:p>
            <w:pPr>
              <w:pStyle w:val="TableParagraph"/>
              <w:spacing w:line="128" w:lineRule="exact" w:before="2"/>
              <w:ind w:right="39"/>
              <w:jc w:val="right"/>
              <w:rPr>
                <w:sz w:val="12"/>
              </w:rPr>
            </w:pPr>
            <w:r>
              <w:rPr>
                <w:w w:val="105"/>
                <w:sz w:val="12"/>
              </w:rPr>
              <w:t>-2.741.730,66</w:t>
            </w:r>
          </w:p>
        </w:tc>
        <w:tc>
          <w:tcPr>
            <w:tcW w:w="877" w:type="dxa"/>
          </w:tcPr>
          <w:p>
            <w:pPr>
              <w:pStyle w:val="TableParagraph"/>
              <w:spacing w:line="128" w:lineRule="exact" w:before="2"/>
              <w:ind w:right="39"/>
              <w:jc w:val="right"/>
              <w:rPr>
                <w:sz w:val="12"/>
              </w:rPr>
            </w:pPr>
            <w:r>
              <w:rPr>
                <w:w w:val="105"/>
                <w:sz w:val="12"/>
              </w:rPr>
              <w:t>-5.654.934,36</w:t>
            </w:r>
          </w:p>
        </w:tc>
        <w:tc>
          <w:tcPr>
            <w:tcW w:w="833" w:type="dxa"/>
          </w:tcPr>
          <w:p>
            <w:pPr>
              <w:pStyle w:val="TableParagraph"/>
              <w:spacing w:line="128" w:lineRule="exact" w:before="2"/>
              <w:ind w:right="39"/>
              <w:jc w:val="right"/>
              <w:rPr>
                <w:sz w:val="12"/>
              </w:rPr>
            </w:pPr>
            <w:r>
              <w:rPr>
                <w:w w:val="105"/>
                <w:sz w:val="12"/>
              </w:rPr>
              <w:t>-5.168.225,00</w:t>
            </w:r>
          </w:p>
        </w:tc>
      </w:tr>
      <w:tr>
        <w:trPr>
          <w:trHeight w:val="148" w:hRule="atLeast"/>
        </w:trPr>
        <w:tc>
          <w:tcPr>
            <w:tcW w:w="2886" w:type="dxa"/>
          </w:tcPr>
          <w:p>
            <w:pPr>
              <w:pStyle w:val="TableParagraph"/>
              <w:spacing w:line="127" w:lineRule="exact" w:before="2"/>
              <w:ind w:left="84"/>
              <w:rPr>
                <w:sz w:val="12"/>
              </w:rPr>
            </w:pPr>
            <w:r>
              <w:rPr>
                <w:w w:val="105"/>
                <w:sz w:val="12"/>
              </w:rPr>
              <w:t>Otros gastos de explotación</w:t>
            </w:r>
          </w:p>
        </w:tc>
        <w:tc>
          <w:tcPr>
            <w:tcW w:w="823" w:type="dxa"/>
          </w:tcPr>
          <w:p>
            <w:pPr>
              <w:pStyle w:val="TableParagraph"/>
              <w:spacing w:line="127" w:lineRule="exact" w:before="2"/>
              <w:ind w:right="37"/>
              <w:jc w:val="right"/>
              <w:rPr>
                <w:sz w:val="12"/>
              </w:rPr>
            </w:pPr>
            <w:r>
              <w:rPr>
                <w:w w:val="105"/>
                <w:sz w:val="12"/>
              </w:rPr>
              <w:t>-419.948,17</w:t>
            </w:r>
          </w:p>
        </w:tc>
        <w:tc>
          <w:tcPr>
            <w:tcW w:w="809" w:type="dxa"/>
          </w:tcPr>
          <w:p>
            <w:pPr>
              <w:pStyle w:val="TableParagraph"/>
              <w:spacing w:line="127" w:lineRule="exact" w:before="2"/>
              <w:ind w:right="38"/>
              <w:jc w:val="right"/>
              <w:rPr>
                <w:sz w:val="12"/>
              </w:rPr>
            </w:pPr>
            <w:r>
              <w:rPr>
                <w:w w:val="105"/>
                <w:sz w:val="12"/>
              </w:rPr>
              <w:t>-154.612,59</w:t>
            </w:r>
          </w:p>
        </w:tc>
        <w:tc>
          <w:tcPr>
            <w:tcW w:w="686" w:type="dxa"/>
          </w:tcPr>
          <w:p>
            <w:pPr>
              <w:pStyle w:val="TableParagraph"/>
              <w:rPr>
                <w:rFonts w:ascii="Times New Roman"/>
                <w:sz w:val="8"/>
              </w:rPr>
            </w:pPr>
          </w:p>
        </w:tc>
        <w:tc>
          <w:tcPr>
            <w:tcW w:w="953" w:type="dxa"/>
          </w:tcPr>
          <w:p>
            <w:pPr>
              <w:pStyle w:val="TableParagraph"/>
              <w:spacing w:line="127" w:lineRule="exact" w:before="2"/>
              <w:ind w:right="37"/>
              <w:jc w:val="right"/>
              <w:rPr>
                <w:sz w:val="12"/>
              </w:rPr>
            </w:pPr>
            <w:r>
              <w:rPr>
                <w:w w:val="105"/>
                <w:sz w:val="12"/>
              </w:rPr>
              <w:t>-1.471.113,93</w:t>
            </w:r>
          </w:p>
        </w:tc>
        <w:tc>
          <w:tcPr>
            <w:tcW w:w="873" w:type="dxa"/>
          </w:tcPr>
          <w:p>
            <w:pPr>
              <w:pStyle w:val="TableParagraph"/>
              <w:spacing w:line="127" w:lineRule="exact" w:before="2"/>
              <w:ind w:right="37"/>
              <w:jc w:val="right"/>
              <w:rPr>
                <w:sz w:val="12"/>
              </w:rPr>
            </w:pPr>
            <w:r>
              <w:rPr>
                <w:w w:val="105"/>
                <w:sz w:val="12"/>
              </w:rPr>
              <w:t>-2.882.427,83</w:t>
            </w:r>
          </w:p>
        </w:tc>
        <w:tc>
          <w:tcPr>
            <w:tcW w:w="819" w:type="dxa"/>
          </w:tcPr>
          <w:p>
            <w:pPr>
              <w:pStyle w:val="TableParagraph"/>
              <w:rPr>
                <w:rFonts w:ascii="Times New Roman"/>
                <w:sz w:val="8"/>
              </w:rPr>
            </w:pPr>
          </w:p>
        </w:tc>
        <w:tc>
          <w:tcPr>
            <w:tcW w:w="810" w:type="dxa"/>
          </w:tcPr>
          <w:p>
            <w:pPr>
              <w:pStyle w:val="TableParagraph"/>
              <w:spacing w:line="127" w:lineRule="exact" w:before="2"/>
              <w:ind w:right="38"/>
              <w:jc w:val="right"/>
              <w:rPr>
                <w:sz w:val="12"/>
              </w:rPr>
            </w:pPr>
            <w:r>
              <w:rPr>
                <w:w w:val="105"/>
                <w:sz w:val="12"/>
              </w:rPr>
              <w:t>-564.180,07</w:t>
            </w:r>
          </w:p>
        </w:tc>
        <w:tc>
          <w:tcPr>
            <w:tcW w:w="874" w:type="dxa"/>
          </w:tcPr>
          <w:p>
            <w:pPr>
              <w:pStyle w:val="TableParagraph"/>
              <w:spacing w:line="127" w:lineRule="exact" w:before="2"/>
              <w:ind w:right="39"/>
              <w:jc w:val="right"/>
              <w:rPr>
                <w:sz w:val="12"/>
              </w:rPr>
            </w:pPr>
            <w:r>
              <w:rPr>
                <w:w w:val="105"/>
                <w:sz w:val="12"/>
              </w:rPr>
              <w:t>-5.805.801,19</w:t>
            </w:r>
          </w:p>
        </w:tc>
        <w:tc>
          <w:tcPr>
            <w:tcW w:w="808" w:type="dxa"/>
          </w:tcPr>
          <w:p>
            <w:pPr>
              <w:pStyle w:val="TableParagraph"/>
              <w:spacing w:line="127" w:lineRule="exact" w:before="2"/>
              <w:ind w:right="39"/>
              <w:jc w:val="right"/>
              <w:rPr>
                <w:sz w:val="12"/>
              </w:rPr>
            </w:pPr>
            <w:r>
              <w:rPr>
                <w:w w:val="105"/>
                <w:sz w:val="12"/>
              </w:rPr>
              <w:t>-471.352,12</w:t>
            </w:r>
          </w:p>
        </w:tc>
        <w:tc>
          <w:tcPr>
            <w:tcW w:w="877" w:type="dxa"/>
          </w:tcPr>
          <w:p>
            <w:pPr>
              <w:pStyle w:val="TableParagraph"/>
              <w:spacing w:line="127" w:lineRule="exact" w:before="2"/>
              <w:ind w:right="39"/>
              <w:jc w:val="right"/>
              <w:rPr>
                <w:sz w:val="12"/>
              </w:rPr>
            </w:pPr>
            <w:r>
              <w:rPr>
                <w:w w:val="105"/>
                <w:sz w:val="12"/>
              </w:rPr>
              <w:t>-5.688.538,81</w:t>
            </w:r>
          </w:p>
        </w:tc>
        <w:tc>
          <w:tcPr>
            <w:tcW w:w="833" w:type="dxa"/>
          </w:tcPr>
          <w:p>
            <w:pPr>
              <w:pStyle w:val="TableParagraph"/>
              <w:spacing w:line="127" w:lineRule="exact" w:before="2"/>
              <w:ind w:right="39"/>
              <w:jc w:val="right"/>
              <w:rPr>
                <w:sz w:val="12"/>
              </w:rPr>
            </w:pPr>
            <w:r>
              <w:rPr>
                <w:w w:val="105"/>
                <w:sz w:val="12"/>
              </w:rPr>
              <w:t>-3.469.649,00</w:t>
            </w:r>
          </w:p>
        </w:tc>
      </w:tr>
      <w:tr>
        <w:trPr>
          <w:trHeight w:val="150" w:hRule="atLeast"/>
        </w:trPr>
        <w:tc>
          <w:tcPr>
            <w:tcW w:w="2886" w:type="dxa"/>
          </w:tcPr>
          <w:p>
            <w:pPr>
              <w:pStyle w:val="TableParagraph"/>
              <w:spacing w:line="127" w:lineRule="exact" w:before="4"/>
              <w:ind w:left="56"/>
              <w:rPr>
                <w:sz w:val="12"/>
              </w:rPr>
            </w:pPr>
            <w:r>
              <w:rPr>
                <w:w w:val="105"/>
                <w:sz w:val="12"/>
              </w:rPr>
              <w:t>Amortización del Inmovilizado</w:t>
            </w:r>
          </w:p>
        </w:tc>
        <w:tc>
          <w:tcPr>
            <w:tcW w:w="823" w:type="dxa"/>
          </w:tcPr>
          <w:p>
            <w:pPr>
              <w:pStyle w:val="TableParagraph"/>
              <w:spacing w:line="127" w:lineRule="exact" w:before="4"/>
              <w:ind w:right="37"/>
              <w:jc w:val="right"/>
              <w:rPr>
                <w:sz w:val="12"/>
              </w:rPr>
            </w:pPr>
            <w:r>
              <w:rPr>
                <w:w w:val="105"/>
                <w:sz w:val="12"/>
              </w:rPr>
              <w:t>-701.838,61</w:t>
            </w:r>
          </w:p>
        </w:tc>
        <w:tc>
          <w:tcPr>
            <w:tcW w:w="809" w:type="dxa"/>
          </w:tcPr>
          <w:p>
            <w:pPr>
              <w:pStyle w:val="TableParagraph"/>
              <w:spacing w:line="127" w:lineRule="exact" w:before="4"/>
              <w:ind w:right="38"/>
              <w:jc w:val="right"/>
              <w:rPr>
                <w:sz w:val="12"/>
              </w:rPr>
            </w:pPr>
            <w:r>
              <w:rPr>
                <w:w w:val="105"/>
                <w:sz w:val="12"/>
              </w:rPr>
              <w:t>-1.117.957,45</w:t>
            </w:r>
          </w:p>
        </w:tc>
        <w:tc>
          <w:tcPr>
            <w:tcW w:w="686" w:type="dxa"/>
          </w:tcPr>
          <w:p>
            <w:pPr>
              <w:pStyle w:val="TableParagraph"/>
              <w:rPr>
                <w:rFonts w:ascii="Times New Roman"/>
                <w:sz w:val="8"/>
              </w:rPr>
            </w:pPr>
          </w:p>
        </w:tc>
        <w:tc>
          <w:tcPr>
            <w:tcW w:w="953" w:type="dxa"/>
          </w:tcPr>
          <w:p>
            <w:pPr>
              <w:pStyle w:val="TableParagraph"/>
              <w:spacing w:line="127" w:lineRule="exact" w:before="4"/>
              <w:ind w:right="37"/>
              <w:jc w:val="right"/>
              <w:rPr>
                <w:sz w:val="12"/>
              </w:rPr>
            </w:pPr>
            <w:r>
              <w:rPr>
                <w:w w:val="105"/>
                <w:sz w:val="12"/>
              </w:rPr>
              <w:t>-289.303,72</w:t>
            </w:r>
          </w:p>
        </w:tc>
        <w:tc>
          <w:tcPr>
            <w:tcW w:w="873" w:type="dxa"/>
          </w:tcPr>
          <w:p>
            <w:pPr>
              <w:pStyle w:val="TableParagraph"/>
              <w:spacing w:line="127" w:lineRule="exact" w:before="4"/>
              <w:ind w:right="37"/>
              <w:jc w:val="right"/>
              <w:rPr>
                <w:sz w:val="12"/>
              </w:rPr>
            </w:pPr>
            <w:r>
              <w:rPr>
                <w:w w:val="105"/>
                <w:sz w:val="12"/>
              </w:rPr>
              <w:t>-1.332.979,08</w:t>
            </w:r>
          </w:p>
        </w:tc>
        <w:tc>
          <w:tcPr>
            <w:tcW w:w="819" w:type="dxa"/>
          </w:tcPr>
          <w:p>
            <w:pPr>
              <w:pStyle w:val="TableParagraph"/>
              <w:rPr>
                <w:rFonts w:ascii="Times New Roman"/>
                <w:sz w:val="8"/>
              </w:rPr>
            </w:pPr>
          </w:p>
        </w:tc>
        <w:tc>
          <w:tcPr>
            <w:tcW w:w="810" w:type="dxa"/>
          </w:tcPr>
          <w:p>
            <w:pPr>
              <w:pStyle w:val="TableParagraph"/>
              <w:spacing w:line="127" w:lineRule="exact" w:before="4"/>
              <w:ind w:right="38"/>
              <w:jc w:val="right"/>
              <w:rPr>
                <w:sz w:val="12"/>
              </w:rPr>
            </w:pPr>
            <w:r>
              <w:rPr>
                <w:w w:val="105"/>
                <w:sz w:val="12"/>
              </w:rPr>
              <w:t>-285.729,62</w:t>
            </w:r>
          </w:p>
        </w:tc>
        <w:tc>
          <w:tcPr>
            <w:tcW w:w="874" w:type="dxa"/>
          </w:tcPr>
          <w:p>
            <w:pPr>
              <w:pStyle w:val="TableParagraph"/>
              <w:spacing w:line="127" w:lineRule="exact" w:before="4"/>
              <w:ind w:right="39"/>
              <w:jc w:val="right"/>
              <w:rPr>
                <w:sz w:val="12"/>
              </w:rPr>
            </w:pPr>
            <w:r>
              <w:rPr>
                <w:w w:val="105"/>
                <w:sz w:val="12"/>
              </w:rPr>
              <w:t>-82.628,82</w:t>
            </w:r>
          </w:p>
        </w:tc>
        <w:tc>
          <w:tcPr>
            <w:tcW w:w="808" w:type="dxa"/>
          </w:tcPr>
          <w:p>
            <w:pPr>
              <w:pStyle w:val="TableParagraph"/>
              <w:spacing w:line="127" w:lineRule="exact" w:before="4"/>
              <w:ind w:right="39"/>
              <w:jc w:val="right"/>
              <w:rPr>
                <w:sz w:val="12"/>
              </w:rPr>
            </w:pPr>
            <w:r>
              <w:rPr>
                <w:w w:val="105"/>
                <w:sz w:val="12"/>
              </w:rPr>
              <w:t>-1.319.216,79</w:t>
            </w:r>
          </w:p>
        </w:tc>
        <w:tc>
          <w:tcPr>
            <w:tcW w:w="877" w:type="dxa"/>
          </w:tcPr>
          <w:p>
            <w:pPr>
              <w:pStyle w:val="TableParagraph"/>
              <w:spacing w:line="127" w:lineRule="exact" w:before="4"/>
              <w:ind w:right="39"/>
              <w:jc w:val="right"/>
              <w:rPr>
                <w:sz w:val="12"/>
              </w:rPr>
            </w:pPr>
            <w:r>
              <w:rPr>
                <w:w w:val="105"/>
                <w:sz w:val="12"/>
              </w:rPr>
              <w:t>-466.844,06</w:t>
            </w:r>
          </w:p>
        </w:tc>
        <w:tc>
          <w:tcPr>
            <w:tcW w:w="833" w:type="dxa"/>
          </w:tcPr>
          <w:p>
            <w:pPr>
              <w:pStyle w:val="TableParagraph"/>
              <w:spacing w:line="127" w:lineRule="exact" w:before="4"/>
              <w:ind w:right="39"/>
              <w:jc w:val="right"/>
              <w:rPr>
                <w:sz w:val="12"/>
              </w:rPr>
            </w:pPr>
            <w:r>
              <w:rPr>
                <w:w w:val="105"/>
                <w:sz w:val="12"/>
              </w:rPr>
              <w:t>-1.552.346,00</w:t>
            </w:r>
          </w:p>
        </w:tc>
      </w:tr>
      <w:tr>
        <w:trPr>
          <w:trHeight w:val="148" w:hRule="atLeast"/>
        </w:trPr>
        <w:tc>
          <w:tcPr>
            <w:tcW w:w="2886" w:type="dxa"/>
          </w:tcPr>
          <w:p>
            <w:pPr>
              <w:pStyle w:val="TableParagraph"/>
              <w:spacing w:line="127" w:lineRule="exact" w:before="2"/>
              <w:ind w:left="56"/>
              <w:rPr>
                <w:sz w:val="12"/>
              </w:rPr>
            </w:pPr>
            <w:r>
              <w:rPr>
                <w:w w:val="105"/>
                <w:sz w:val="12"/>
              </w:rPr>
              <w:t>Imput. de Subvenc. de inmov. no financ. y otras</w:t>
            </w:r>
          </w:p>
        </w:tc>
        <w:tc>
          <w:tcPr>
            <w:tcW w:w="823" w:type="dxa"/>
          </w:tcPr>
          <w:p>
            <w:pPr>
              <w:pStyle w:val="TableParagraph"/>
              <w:spacing w:line="127" w:lineRule="exact" w:before="2"/>
              <w:ind w:right="37"/>
              <w:jc w:val="right"/>
              <w:rPr>
                <w:sz w:val="12"/>
              </w:rPr>
            </w:pPr>
            <w:r>
              <w:rPr>
                <w:w w:val="105"/>
                <w:sz w:val="12"/>
              </w:rPr>
              <w:t>697.737,40</w:t>
            </w:r>
          </w:p>
        </w:tc>
        <w:tc>
          <w:tcPr>
            <w:tcW w:w="809" w:type="dxa"/>
          </w:tcPr>
          <w:p>
            <w:pPr>
              <w:pStyle w:val="TableParagraph"/>
              <w:spacing w:line="127" w:lineRule="exact" w:before="2"/>
              <w:ind w:right="37"/>
              <w:jc w:val="right"/>
              <w:rPr>
                <w:sz w:val="12"/>
              </w:rPr>
            </w:pPr>
            <w:r>
              <w:rPr>
                <w:w w:val="105"/>
                <w:sz w:val="12"/>
              </w:rPr>
              <w:t>1.114.084,37</w:t>
            </w:r>
          </w:p>
        </w:tc>
        <w:tc>
          <w:tcPr>
            <w:tcW w:w="686" w:type="dxa"/>
          </w:tcPr>
          <w:p>
            <w:pPr>
              <w:pStyle w:val="TableParagraph"/>
              <w:rPr>
                <w:rFonts w:ascii="Times New Roman"/>
                <w:sz w:val="8"/>
              </w:rPr>
            </w:pPr>
          </w:p>
        </w:tc>
        <w:tc>
          <w:tcPr>
            <w:tcW w:w="953" w:type="dxa"/>
          </w:tcPr>
          <w:p>
            <w:pPr>
              <w:pStyle w:val="TableParagraph"/>
              <w:rPr>
                <w:rFonts w:ascii="Times New Roman"/>
                <w:sz w:val="8"/>
              </w:rPr>
            </w:pPr>
          </w:p>
        </w:tc>
        <w:tc>
          <w:tcPr>
            <w:tcW w:w="873" w:type="dxa"/>
          </w:tcPr>
          <w:p>
            <w:pPr>
              <w:pStyle w:val="TableParagraph"/>
              <w:spacing w:line="127" w:lineRule="exact" w:before="2"/>
              <w:ind w:right="37"/>
              <w:jc w:val="right"/>
              <w:rPr>
                <w:sz w:val="12"/>
              </w:rPr>
            </w:pPr>
            <w:r>
              <w:rPr>
                <w:w w:val="105"/>
                <w:sz w:val="12"/>
              </w:rPr>
              <w:t>1.218.844,95</w:t>
            </w:r>
          </w:p>
        </w:tc>
        <w:tc>
          <w:tcPr>
            <w:tcW w:w="819" w:type="dxa"/>
          </w:tcPr>
          <w:p>
            <w:pPr>
              <w:pStyle w:val="TableParagraph"/>
              <w:rPr>
                <w:rFonts w:ascii="Times New Roman"/>
                <w:sz w:val="8"/>
              </w:rPr>
            </w:pPr>
          </w:p>
        </w:tc>
        <w:tc>
          <w:tcPr>
            <w:tcW w:w="810" w:type="dxa"/>
          </w:tcPr>
          <w:p>
            <w:pPr>
              <w:pStyle w:val="TableParagraph"/>
              <w:rPr>
                <w:rFonts w:ascii="Times New Roman"/>
                <w:sz w:val="8"/>
              </w:rPr>
            </w:pPr>
          </w:p>
        </w:tc>
        <w:tc>
          <w:tcPr>
            <w:tcW w:w="874" w:type="dxa"/>
          </w:tcPr>
          <w:p>
            <w:pPr>
              <w:pStyle w:val="TableParagraph"/>
              <w:spacing w:line="127" w:lineRule="exact" w:before="2"/>
              <w:ind w:right="39"/>
              <w:jc w:val="right"/>
              <w:rPr>
                <w:sz w:val="12"/>
              </w:rPr>
            </w:pPr>
            <w:r>
              <w:rPr>
                <w:w w:val="105"/>
                <w:sz w:val="12"/>
              </w:rPr>
              <w:t>4.990,00</w:t>
            </w:r>
          </w:p>
        </w:tc>
        <w:tc>
          <w:tcPr>
            <w:tcW w:w="808" w:type="dxa"/>
          </w:tcPr>
          <w:p>
            <w:pPr>
              <w:pStyle w:val="TableParagraph"/>
              <w:spacing w:line="127" w:lineRule="exact" w:before="2"/>
              <w:ind w:right="39"/>
              <w:jc w:val="right"/>
              <w:rPr>
                <w:sz w:val="12"/>
              </w:rPr>
            </w:pPr>
            <w:r>
              <w:rPr>
                <w:w w:val="105"/>
                <w:sz w:val="12"/>
              </w:rPr>
              <w:t>990.836,56</w:t>
            </w:r>
          </w:p>
        </w:tc>
        <w:tc>
          <w:tcPr>
            <w:tcW w:w="877" w:type="dxa"/>
          </w:tcPr>
          <w:p>
            <w:pPr>
              <w:pStyle w:val="TableParagraph"/>
              <w:rPr>
                <w:rFonts w:ascii="Times New Roman"/>
                <w:sz w:val="8"/>
              </w:rPr>
            </w:pPr>
          </w:p>
        </w:tc>
        <w:tc>
          <w:tcPr>
            <w:tcW w:w="833" w:type="dxa"/>
          </w:tcPr>
          <w:p>
            <w:pPr>
              <w:pStyle w:val="TableParagraph"/>
              <w:spacing w:line="127" w:lineRule="exact" w:before="2"/>
              <w:ind w:right="39"/>
              <w:jc w:val="right"/>
              <w:rPr>
                <w:sz w:val="12"/>
              </w:rPr>
            </w:pPr>
            <w:r>
              <w:rPr>
                <w:w w:val="105"/>
                <w:sz w:val="12"/>
              </w:rPr>
              <w:t>1.337.941,00</w:t>
            </w:r>
          </w:p>
        </w:tc>
      </w:tr>
      <w:tr>
        <w:trPr>
          <w:trHeight w:val="150" w:hRule="atLeast"/>
        </w:trPr>
        <w:tc>
          <w:tcPr>
            <w:tcW w:w="2886" w:type="dxa"/>
          </w:tcPr>
          <w:p>
            <w:pPr>
              <w:pStyle w:val="TableParagraph"/>
              <w:spacing w:line="127" w:lineRule="exact" w:before="4"/>
              <w:ind w:left="56"/>
              <w:rPr>
                <w:sz w:val="12"/>
              </w:rPr>
            </w:pPr>
            <w:r>
              <w:rPr>
                <w:w w:val="105"/>
                <w:sz w:val="12"/>
              </w:rPr>
              <w:t>Exceso de provisiones</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rPr>
                <w:rFonts w:ascii="Times New Roman"/>
                <w:sz w:val="8"/>
              </w:rPr>
            </w:pPr>
          </w:p>
        </w:tc>
        <w:tc>
          <w:tcPr>
            <w:tcW w:w="873" w:type="dxa"/>
          </w:tcPr>
          <w:p>
            <w:pPr>
              <w:pStyle w:val="TableParagraph"/>
              <w:rPr>
                <w:rFonts w:ascii="Times New Roman"/>
                <w:sz w:val="8"/>
              </w:rPr>
            </w:pPr>
          </w:p>
        </w:tc>
        <w:tc>
          <w:tcPr>
            <w:tcW w:w="819" w:type="dxa"/>
          </w:tcPr>
          <w:p>
            <w:pPr>
              <w:pStyle w:val="TableParagraph"/>
              <w:rPr>
                <w:rFonts w:ascii="Times New Roman"/>
                <w:sz w:val="8"/>
              </w:rPr>
            </w:pPr>
          </w:p>
        </w:tc>
        <w:tc>
          <w:tcPr>
            <w:tcW w:w="810" w:type="dxa"/>
          </w:tcPr>
          <w:p>
            <w:pPr>
              <w:pStyle w:val="TableParagraph"/>
              <w:rPr>
                <w:rFonts w:ascii="Times New Roman"/>
                <w:sz w:val="8"/>
              </w:rPr>
            </w:pPr>
          </w:p>
        </w:tc>
        <w:tc>
          <w:tcPr>
            <w:tcW w:w="874" w:type="dxa"/>
          </w:tcPr>
          <w:p>
            <w:pPr>
              <w:pStyle w:val="TableParagraph"/>
              <w:rPr>
                <w:rFonts w:ascii="Times New Roman"/>
                <w:sz w:val="8"/>
              </w:rPr>
            </w:pPr>
          </w:p>
        </w:tc>
        <w:tc>
          <w:tcPr>
            <w:tcW w:w="808" w:type="dxa"/>
          </w:tcPr>
          <w:p>
            <w:pPr>
              <w:pStyle w:val="TableParagraph"/>
              <w:rPr>
                <w:rFonts w:ascii="Times New Roman"/>
                <w:sz w:val="8"/>
              </w:rPr>
            </w:pPr>
          </w:p>
        </w:tc>
        <w:tc>
          <w:tcPr>
            <w:tcW w:w="877" w:type="dxa"/>
          </w:tcPr>
          <w:p>
            <w:pPr>
              <w:pStyle w:val="TableParagraph"/>
              <w:rPr>
                <w:rFonts w:ascii="Times New Roman"/>
                <w:sz w:val="8"/>
              </w:rPr>
            </w:pPr>
          </w:p>
        </w:tc>
        <w:tc>
          <w:tcPr>
            <w:tcW w:w="833" w:type="dxa"/>
          </w:tcPr>
          <w:p>
            <w:pPr>
              <w:pStyle w:val="TableParagraph"/>
              <w:rPr>
                <w:rFonts w:ascii="Times New Roman"/>
                <w:sz w:val="8"/>
              </w:rPr>
            </w:pPr>
          </w:p>
        </w:tc>
      </w:tr>
      <w:tr>
        <w:trPr>
          <w:trHeight w:val="301" w:hRule="atLeast"/>
        </w:trPr>
        <w:tc>
          <w:tcPr>
            <w:tcW w:w="2886" w:type="dxa"/>
          </w:tcPr>
          <w:p>
            <w:pPr>
              <w:pStyle w:val="TableParagraph"/>
              <w:spacing w:before="2"/>
              <w:ind w:left="56"/>
              <w:rPr>
                <w:sz w:val="12"/>
              </w:rPr>
            </w:pPr>
            <w:r>
              <w:rPr>
                <w:w w:val="105"/>
                <w:sz w:val="12"/>
              </w:rPr>
              <w:t>Deterioro y resultado por enajenaciones de</w:t>
            </w:r>
          </w:p>
          <w:p>
            <w:pPr>
              <w:pStyle w:val="TableParagraph"/>
              <w:spacing w:line="127" w:lineRule="exact" w:before="6"/>
              <w:ind w:left="56"/>
              <w:rPr>
                <w:sz w:val="12"/>
              </w:rPr>
            </w:pPr>
            <w:r>
              <w:rPr>
                <w:w w:val="105"/>
                <w:sz w:val="12"/>
              </w:rPr>
              <w:t>inmovilizado</w:t>
            </w:r>
          </w:p>
        </w:tc>
        <w:tc>
          <w:tcPr>
            <w:tcW w:w="823" w:type="dxa"/>
          </w:tcPr>
          <w:p>
            <w:pPr>
              <w:pStyle w:val="TableParagraph"/>
              <w:rPr>
                <w:rFonts w:ascii="Times New Roman"/>
                <w:sz w:val="12"/>
              </w:rPr>
            </w:pPr>
          </w:p>
        </w:tc>
        <w:tc>
          <w:tcPr>
            <w:tcW w:w="809" w:type="dxa"/>
          </w:tcPr>
          <w:p>
            <w:pPr>
              <w:pStyle w:val="TableParagraph"/>
              <w:rPr>
                <w:rFonts w:ascii="Times New Roman"/>
                <w:sz w:val="12"/>
              </w:rPr>
            </w:pPr>
          </w:p>
        </w:tc>
        <w:tc>
          <w:tcPr>
            <w:tcW w:w="686" w:type="dxa"/>
          </w:tcPr>
          <w:p>
            <w:pPr>
              <w:pStyle w:val="TableParagraph"/>
              <w:rPr>
                <w:rFonts w:ascii="Times New Roman"/>
                <w:sz w:val="12"/>
              </w:rPr>
            </w:pPr>
          </w:p>
        </w:tc>
        <w:tc>
          <w:tcPr>
            <w:tcW w:w="953" w:type="dxa"/>
          </w:tcPr>
          <w:p>
            <w:pPr>
              <w:pStyle w:val="TableParagraph"/>
              <w:spacing w:before="78"/>
              <w:ind w:right="37"/>
              <w:jc w:val="right"/>
              <w:rPr>
                <w:sz w:val="12"/>
              </w:rPr>
            </w:pPr>
            <w:r>
              <w:rPr>
                <w:sz w:val="12"/>
              </w:rPr>
              <w:t>52,43</w:t>
            </w:r>
          </w:p>
        </w:tc>
        <w:tc>
          <w:tcPr>
            <w:tcW w:w="873" w:type="dxa"/>
          </w:tcPr>
          <w:p>
            <w:pPr>
              <w:pStyle w:val="TableParagraph"/>
              <w:rPr>
                <w:rFonts w:ascii="Times New Roman"/>
                <w:sz w:val="12"/>
              </w:rPr>
            </w:pPr>
          </w:p>
        </w:tc>
        <w:tc>
          <w:tcPr>
            <w:tcW w:w="819" w:type="dxa"/>
          </w:tcPr>
          <w:p>
            <w:pPr>
              <w:pStyle w:val="TableParagraph"/>
              <w:rPr>
                <w:rFonts w:ascii="Times New Roman"/>
                <w:sz w:val="12"/>
              </w:rPr>
            </w:pPr>
          </w:p>
        </w:tc>
        <w:tc>
          <w:tcPr>
            <w:tcW w:w="810" w:type="dxa"/>
          </w:tcPr>
          <w:p>
            <w:pPr>
              <w:pStyle w:val="TableParagraph"/>
              <w:spacing w:before="78"/>
              <w:ind w:right="38"/>
              <w:jc w:val="right"/>
              <w:rPr>
                <w:sz w:val="12"/>
              </w:rPr>
            </w:pPr>
            <w:r>
              <w:rPr>
                <w:w w:val="105"/>
                <w:sz w:val="12"/>
              </w:rPr>
              <w:t>145.038,41</w:t>
            </w:r>
          </w:p>
        </w:tc>
        <w:tc>
          <w:tcPr>
            <w:tcW w:w="874" w:type="dxa"/>
          </w:tcPr>
          <w:p>
            <w:pPr>
              <w:pStyle w:val="TableParagraph"/>
              <w:rPr>
                <w:rFonts w:ascii="Times New Roman"/>
                <w:sz w:val="12"/>
              </w:rPr>
            </w:pPr>
          </w:p>
        </w:tc>
        <w:tc>
          <w:tcPr>
            <w:tcW w:w="808" w:type="dxa"/>
          </w:tcPr>
          <w:p>
            <w:pPr>
              <w:pStyle w:val="TableParagraph"/>
              <w:rPr>
                <w:rFonts w:ascii="Times New Roman"/>
                <w:sz w:val="12"/>
              </w:rPr>
            </w:pPr>
          </w:p>
        </w:tc>
        <w:tc>
          <w:tcPr>
            <w:tcW w:w="877" w:type="dxa"/>
          </w:tcPr>
          <w:p>
            <w:pPr>
              <w:pStyle w:val="TableParagraph"/>
              <w:spacing w:before="78"/>
              <w:ind w:right="40"/>
              <w:jc w:val="right"/>
              <w:rPr>
                <w:sz w:val="12"/>
              </w:rPr>
            </w:pPr>
            <w:r>
              <w:rPr>
                <w:w w:val="105"/>
                <w:sz w:val="12"/>
              </w:rPr>
              <w:t>-495,11</w:t>
            </w:r>
          </w:p>
        </w:tc>
        <w:tc>
          <w:tcPr>
            <w:tcW w:w="833" w:type="dxa"/>
          </w:tcPr>
          <w:p>
            <w:pPr>
              <w:pStyle w:val="TableParagraph"/>
              <w:rPr>
                <w:rFonts w:ascii="Times New Roman"/>
                <w:sz w:val="12"/>
              </w:rPr>
            </w:pPr>
          </w:p>
        </w:tc>
      </w:tr>
      <w:tr>
        <w:trPr>
          <w:trHeight w:val="148" w:hRule="atLeast"/>
        </w:trPr>
        <w:tc>
          <w:tcPr>
            <w:tcW w:w="2886" w:type="dxa"/>
          </w:tcPr>
          <w:p>
            <w:pPr>
              <w:pStyle w:val="TableParagraph"/>
              <w:spacing w:line="127" w:lineRule="exact" w:before="2"/>
              <w:ind w:left="56"/>
              <w:rPr>
                <w:sz w:val="12"/>
              </w:rPr>
            </w:pPr>
            <w:r>
              <w:rPr>
                <w:w w:val="105"/>
                <w:sz w:val="12"/>
              </w:rPr>
              <w:t>Otros resultados</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spacing w:line="127" w:lineRule="exact" w:before="2"/>
              <w:ind w:right="37"/>
              <w:jc w:val="right"/>
              <w:rPr>
                <w:sz w:val="12"/>
              </w:rPr>
            </w:pPr>
            <w:r>
              <w:rPr>
                <w:w w:val="105"/>
                <w:sz w:val="12"/>
              </w:rPr>
              <w:t>37.409,12</w:t>
            </w:r>
          </w:p>
        </w:tc>
        <w:tc>
          <w:tcPr>
            <w:tcW w:w="873" w:type="dxa"/>
          </w:tcPr>
          <w:p>
            <w:pPr>
              <w:pStyle w:val="TableParagraph"/>
              <w:spacing w:line="127" w:lineRule="exact" w:before="2"/>
              <w:ind w:right="38"/>
              <w:jc w:val="right"/>
              <w:rPr>
                <w:sz w:val="12"/>
              </w:rPr>
            </w:pPr>
            <w:r>
              <w:rPr>
                <w:w w:val="105"/>
                <w:sz w:val="12"/>
              </w:rPr>
              <w:t>413.104,09</w:t>
            </w:r>
          </w:p>
        </w:tc>
        <w:tc>
          <w:tcPr>
            <w:tcW w:w="819" w:type="dxa"/>
          </w:tcPr>
          <w:p>
            <w:pPr>
              <w:pStyle w:val="TableParagraph"/>
              <w:spacing w:line="127" w:lineRule="exact" w:before="2"/>
              <w:ind w:right="37"/>
              <w:jc w:val="right"/>
              <w:rPr>
                <w:sz w:val="12"/>
              </w:rPr>
            </w:pPr>
            <w:r>
              <w:rPr>
                <w:w w:val="105"/>
                <w:sz w:val="12"/>
              </w:rPr>
              <w:t>-24.076,30</w:t>
            </w:r>
          </w:p>
        </w:tc>
        <w:tc>
          <w:tcPr>
            <w:tcW w:w="810" w:type="dxa"/>
          </w:tcPr>
          <w:p>
            <w:pPr>
              <w:pStyle w:val="TableParagraph"/>
              <w:spacing w:line="127" w:lineRule="exact" w:before="2"/>
              <w:ind w:right="38"/>
              <w:jc w:val="right"/>
              <w:rPr>
                <w:sz w:val="12"/>
              </w:rPr>
            </w:pPr>
            <w:r>
              <w:rPr>
                <w:w w:val="105"/>
                <w:sz w:val="12"/>
              </w:rPr>
              <w:t>96.003,34</w:t>
            </w:r>
          </w:p>
        </w:tc>
        <w:tc>
          <w:tcPr>
            <w:tcW w:w="874" w:type="dxa"/>
          </w:tcPr>
          <w:p>
            <w:pPr>
              <w:pStyle w:val="TableParagraph"/>
              <w:rPr>
                <w:rFonts w:ascii="Times New Roman"/>
                <w:sz w:val="8"/>
              </w:rPr>
            </w:pPr>
          </w:p>
        </w:tc>
        <w:tc>
          <w:tcPr>
            <w:tcW w:w="808" w:type="dxa"/>
          </w:tcPr>
          <w:p>
            <w:pPr>
              <w:pStyle w:val="TableParagraph"/>
              <w:spacing w:line="127" w:lineRule="exact" w:before="2"/>
              <w:ind w:right="39"/>
              <w:jc w:val="right"/>
              <w:rPr>
                <w:sz w:val="12"/>
              </w:rPr>
            </w:pPr>
            <w:r>
              <w:rPr>
                <w:w w:val="105"/>
                <w:sz w:val="12"/>
              </w:rPr>
              <w:t>3.147,59</w:t>
            </w:r>
          </w:p>
        </w:tc>
        <w:tc>
          <w:tcPr>
            <w:tcW w:w="877" w:type="dxa"/>
          </w:tcPr>
          <w:p>
            <w:pPr>
              <w:pStyle w:val="TableParagraph"/>
              <w:spacing w:line="127" w:lineRule="exact" w:before="2"/>
              <w:ind w:right="39"/>
              <w:jc w:val="right"/>
              <w:rPr>
                <w:sz w:val="12"/>
              </w:rPr>
            </w:pPr>
            <w:r>
              <w:rPr>
                <w:w w:val="105"/>
                <w:sz w:val="12"/>
              </w:rPr>
              <w:t>-12.151,56</w:t>
            </w:r>
          </w:p>
        </w:tc>
        <w:tc>
          <w:tcPr>
            <w:tcW w:w="833" w:type="dxa"/>
          </w:tcPr>
          <w:p>
            <w:pPr>
              <w:pStyle w:val="TableParagraph"/>
              <w:spacing w:line="127" w:lineRule="exact" w:before="2"/>
              <w:ind w:right="39"/>
              <w:jc w:val="right"/>
              <w:rPr>
                <w:sz w:val="12"/>
              </w:rPr>
            </w:pPr>
            <w:r>
              <w:rPr>
                <w:w w:val="105"/>
                <w:sz w:val="12"/>
              </w:rPr>
              <w:t>16.716,00</w:t>
            </w:r>
          </w:p>
        </w:tc>
      </w:tr>
      <w:tr>
        <w:trPr>
          <w:trHeight w:val="150" w:hRule="atLeast"/>
        </w:trPr>
        <w:tc>
          <w:tcPr>
            <w:tcW w:w="2886" w:type="dxa"/>
          </w:tcPr>
          <w:p>
            <w:pPr>
              <w:pStyle w:val="TableParagraph"/>
              <w:spacing w:line="127" w:lineRule="exact" w:before="4"/>
              <w:ind w:left="84"/>
              <w:rPr>
                <w:b/>
                <w:sz w:val="12"/>
              </w:rPr>
            </w:pPr>
            <w:r>
              <w:rPr>
                <w:b/>
                <w:w w:val="105"/>
                <w:sz w:val="12"/>
              </w:rPr>
              <w:t>RESULTADO DE EXPLOTACIÓN</w:t>
            </w:r>
          </w:p>
        </w:tc>
        <w:tc>
          <w:tcPr>
            <w:tcW w:w="823" w:type="dxa"/>
          </w:tcPr>
          <w:p>
            <w:pPr>
              <w:pStyle w:val="TableParagraph"/>
              <w:spacing w:line="127" w:lineRule="exact" w:before="4"/>
              <w:ind w:right="36"/>
              <w:jc w:val="right"/>
              <w:rPr>
                <w:b/>
                <w:sz w:val="12"/>
              </w:rPr>
            </w:pPr>
            <w:r>
              <w:rPr>
                <w:b/>
                <w:w w:val="105"/>
                <w:sz w:val="12"/>
              </w:rPr>
              <w:t>-424.049,38</w:t>
            </w:r>
          </w:p>
        </w:tc>
        <w:tc>
          <w:tcPr>
            <w:tcW w:w="809" w:type="dxa"/>
          </w:tcPr>
          <w:p>
            <w:pPr>
              <w:pStyle w:val="TableParagraph"/>
              <w:spacing w:line="127" w:lineRule="exact" w:before="4"/>
              <w:ind w:right="37"/>
              <w:jc w:val="right"/>
              <w:rPr>
                <w:b/>
                <w:sz w:val="12"/>
              </w:rPr>
            </w:pPr>
            <w:r>
              <w:rPr>
                <w:b/>
                <w:w w:val="105"/>
                <w:sz w:val="12"/>
              </w:rPr>
              <w:t>-158.485,67</w:t>
            </w:r>
          </w:p>
        </w:tc>
        <w:tc>
          <w:tcPr>
            <w:tcW w:w="686" w:type="dxa"/>
          </w:tcPr>
          <w:p>
            <w:pPr>
              <w:pStyle w:val="TableParagraph"/>
              <w:spacing w:line="127" w:lineRule="exact" w:before="4"/>
              <w:ind w:right="39"/>
              <w:jc w:val="right"/>
              <w:rPr>
                <w:b/>
                <w:sz w:val="12"/>
              </w:rPr>
            </w:pPr>
            <w:r>
              <w:rPr>
                <w:b/>
                <w:w w:val="105"/>
                <w:sz w:val="12"/>
              </w:rPr>
              <w:t>0,00</w:t>
            </w:r>
          </w:p>
        </w:tc>
        <w:tc>
          <w:tcPr>
            <w:tcW w:w="953" w:type="dxa"/>
          </w:tcPr>
          <w:p>
            <w:pPr>
              <w:pStyle w:val="TableParagraph"/>
              <w:spacing w:line="127" w:lineRule="exact" w:before="4"/>
              <w:ind w:right="37"/>
              <w:jc w:val="right"/>
              <w:rPr>
                <w:b/>
                <w:sz w:val="12"/>
              </w:rPr>
            </w:pPr>
            <w:r>
              <w:rPr>
                <w:b/>
                <w:w w:val="105"/>
                <w:sz w:val="12"/>
              </w:rPr>
              <w:t>1.992.907,19</w:t>
            </w:r>
          </w:p>
        </w:tc>
        <w:tc>
          <w:tcPr>
            <w:tcW w:w="873" w:type="dxa"/>
          </w:tcPr>
          <w:p>
            <w:pPr>
              <w:pStyle w:val="TableParagraph"/>
              <w:spacing w:line="127" w:lineRule="exact" w:before="4"/>
              <w:ind w:right="37"/>
              <w:jc w:val="right"/>
              <w:rPr>
                <w:b/>
                <w:sz w:val="12"/>
              </w:rPr>
            </w:pPr>
            <w:r>
              <w:rPr>
                <w:b/>
                <w:w w:val="105"/>
                <w:sz w:val="12"/>
              </w:rPr>
              <w:t>-776.340,82</w:t>
            </w:r>
          </w:p>
        </w:tc>
        <w:tc>
          <w:tcPr>
            <w:tcW w:w="819" w:type="dxa"/>
          </w:tcPr>
          <w:p>
            <w:pPr>
              <w:pStyle w:val="TableParagraph"/>
              <w:spacing w:line="127" w:lineRule="exact" w:before="4"/>
              <w:ind w:right="37"/>
              <w:jc w:val="right"/>
              <w:rPr>
                <w:b/>
                <w:sz w:val="12"/>
              </w:rPr>
            </w:pPr>
            <w:r>
              <w:rPr>
                <w:b/>
                <w:w w:val="105"/>
                <w:sz w:val="12"/>
              </w:rPr>
              <w:t>-226.634,57</w:t>
            </w:r>
          </w:p>
        </w:tc>
        <w:tc>
          <w:tcPr>
            <w:tcW w:w="810" w:type="dxa"/>
          </w:tcPr>
          <w:p>
            <w:pPr>
              <w:pStyle w:val="TableParagraph"/>
              <w:spacing w:line="127" w:lineRule="exact" w:before="4"/>
              <w:ind w:right="38"/>
              <w:jc w:val="right"/>
              <w:rPr>
                <w:b/>
                <w:sz w:val="12"/>
              </w:rPr>
            </w:pPr>
            <w:r>
              <w:rPr>
                <w:b/>
                <w:w w:val="105"/>
                <w:sz w:val="12"/>
              </w:rPr>
              <w:t>941.146,62</w:t>
            </w:r>
          </w:p>
        </w:tc>
        <w:tc>
          <w:tcPr>
            <w:tcW w:w="874" w:type="dxa"/>
          </w:tcPr>
          <w:p>
            <w:pPr>
              <w:pStyle w:val="TableParagraph"/>
              <w:spacing w:line="127" w:lineRule="exact" w:before="4"/>
              <w:ind w:right="39"/>
              <w:jc w:val="right"/>
              <w:rPr>
                <w:b/>
                <w:sz w:val="12"/>
              </w:rPr>
            </w:pPr>
            <w:r>
              <w:rPr>
                <w:b/>
                <w:w w:val="105"/>
                <w:sz w:val="12"/>
              </w:rPr>
              <w:t>-5.217.325,92</w:t>
            </w:r>
          </w:p>
        </w:tc>
        <w:tc>
          <w:tcPr>
            <w:tcW w:w="808" w:type="dxa"/>
          </w:tcPr>
          <w:p>
            <w:pPr>
              <w:pStyle w:val="TableParagraph"/>
              <w:spacing w:line="127" w:lineRule="exact" w:before="4"/>
              <w:ind w:right="39"/>
              <w:jc w:val="right"/>
              <w:rPr>
                <w:b/>
                <w:sz w:val="12"/>
              </w:rPr>
            </w:pPr>
            <w:r>
              <w:rPr>
                <w:b/>
                <w:w w:val="105"/>
                <w:sz w:val="12"/>
              </w:rPr>
              <w:t>268.030,28</w:t>
            </w:r>
          </w:p>
        </w:tc>
        <w:tc>
          <w:tcPr>
            <w:tcW w:w="877" w:type="dxa"/>
          </w:tcPr>
          <w:p>
            <w:pPr>
              <w:pStyle w:val="TableParagraph"/>
              <w:spacing w:line="127" w:lineRule="exact" w:before="4"/>
              <w:ind w:right="39"/>
              <w:jc w:val="right"/>
              <w:rPr>
                <w:b/>
                <w:sz w:val="12"/>
              </w:rPr>
            </w:pPr>
            <w:r>
              <w:rPr>
                <w:b/>
                <w:w w:val="105"/>
                <w:sz w:val="12"/>
              </w:rPr>
              <w:t>-248.372,30</w:t>
            </w:r>
          </w:p>
        </w:tc>
        <w:tc>
          <w:tcPr>
            <w:tcW w:w="833" w:type="dxa"/>
          </w:tcPr>
          <w:p>
            <w:pPr>
              <w:pStyle w:val="TableParagraph"/>
              <w:spacing w:line="127" w:lineRule="exact" w:before="4"/>
              <w:ind w:right="39"/>
              <w:jc w:val="right"/>
              <w:rPr>
                <w:b/>
                <w:sz w:val="12"/>
              </w:rPr>
            </w:pPr>
            <w:r>
              <w:rPr>
                <w:b/>
                <w:w w:val="105"/>
                <w:sz w:val="12"/>
              </w:rPr>
              <w:t>-3.419.297,00</w:t>
            </w:r>
          </w:p>
        </w:tc>
      </w:tr>
      <w:tr>
        <w:trPr>
          <w:trHeight w:val="150" w:hRule="atLeast"/>
        </w:trPr>
        <w:tc>
          <w:tcPr>
            <w:tcW w:w="2886" w:type="dxa"/>
          </w:tcPr>
          <w:p>
            <w:pPr>
              <w:pStyle w:val="TableParagraph"/>
              <w:spacing w:line="128" w:lineRule="exact" w:before="2"/>
              <w:ind w:left="56"/>
              <w:rPr>
                <w:sz w:val="12"/>
              </w:rPr>
            </w:pPr>
            <w:r>
              <w:rPr>
                <w:w w:val="105"/>
                <w:sz w:val="12"/>
              </w:rPr>
              <w:t>Ingresos Financieros</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spacing w:line="128" w:lineRule="exact" w:before="2"/>
              <w:ind w:right="37"/>
              <w:jc w:val="right"/>
              <w:rPr>
                <w:sz w:val="12"/>
              </w:rPr>
            </w:pPr>
            <w:r>
              <w:rPr>
                <w:w w:val="105"/>
                <w:sz w:val="12"/>
              </w:rPr>
              <w:t>5.722,66</w:t>
            </w:r>
          </w:p>
        </w:tc>
        <w:tc>
          <w:tcPr>
            <w:tcW w:w="873" w:type="dxa"/>
          </w:tcPr>
          <w:p>
            <w:pPr>
              <w:pStyle w:val="TableParagraph"/>
              <w:spacing w:line="128" w:lineRule="exact" w:before="2"/>
              <w:ind w:right="37"/>
              <w:jc w:val="right"/>
              <w:rPr>
                <w:sz w:val="12"/>
              </w:rPr>
            </w:pPr>
            <w:r>
              <w:rPr>
                <w:w w:val="105"/>
                <w:sz w:val="12"/>
              </w:rPr>
              <w:t>11.231,11</w:t>
            </w:r>
          </w:p>
        </w:tc>
        <w:tc>
          <w:tcPr>
            <w:tcW w:w="819" w:type="dxa"/>
          </w:tcPr>
          <w:p>
            <w:pPr>
              <w:pStyle w:val="TableParagraph"/>
              <w:rPr>
                <w:rFonts w:ascii="Times New Roman"/>
                <w:sz w:val="8"/>
              </w:rPr>
            </w:pPr>
          </w:p>
        </w:tc>
        <w:tc>
          <w:tcPr>
            <w:tcW w:w="810" w:type="dxa"/>
          </w:tcPr>
          <w:p>
            <w:pPr>
              <w:pStyle w:val="TableParagraph"/>
              <w:spacing w:line="128" w:lineRule="exact" w:before="2"/>
              <w:ind w:right="38"/>
              <w:jc w:val="right"/>
              <w:rPr>
                <w:sz w:val="12"/>
              </w:rPr>
            </w:pPr>
            <w:r>
              <w:rPr>
                <w:sz w:val="12"/>
              </w:rPr>
              <w:t>381,16</w:t>
            </w:r>
          </w:p>
        </w:tc>
        <w:tc>
          <w:tcPr>
            <w:tcW w:w="874" w:type="dxa"/>
          </w:tcPr>
          <w:p>
            <w:pPr>
              <w:pStyle w:val="TableParagraph"/>
              <w:spacing w:line="128" w:lineRule="exact" w:before="2"/>
              <w:ind w:right="39"/>
              <w:jc w:val="right"/>
              <w:rPr>
                <w:sz w:val="12"/>
              </w:rPr>
            </w:pPr>
            <w:r>
              <w:rPr>
                <w:w w:val="105"/>
                <w:sz w:val="12"/>
              </w:rPr>
              <w:t>2.744,90</w:t>
            </w:r>
          </w:p>
        </w:tc>
        <w:tc>
          <w:tcPr>
            <w:tcW w:w="808" w:type="dxa"/>
          </w:tcPr>
          <w:p>
            <w:pPr>
              <w:pStyle w:val="TableParagraph"/>
              <w:rPr>
                <w:rFonts w:ascii="Times New Roman"/>
                <w:sz w:val="8"/>
              </w:rPr>
            </w:pPr>
          </w:p>
        </w:tc>
        <w:tc>
          <w:tcPr>
            <w:tcW w:w="877" w:type="dxa"/>
          </w:tcPr>
          <w:p>
            <w:pPr>
              <w:pStyle w:val="TableParagraph"/>
              <w:spacing w:line="128" w:lineRule="exact" w:before="2"/>
              <w:ind w:right="40"/>
              <w:jc w:val="right"/>
              <w:rPr>
                <w:sz w:val="12"/>
              </w:rPr>
            </w:pPr>
            <w:r>
              <w:rPr>
                <w:w w:val="105"/>
                <w:sz w:val="12"/>
              </w:rPr>
              <w:t>1.006,26</w:t>
            </w:r>
          </w:p>
        </w:tc>
        <w:tc>
          <w:tcPr>
            <w:tcW w:w="833" w:type="dxa"/>
          </w:tcPr>
          <w:p>
            <w:pPr>
              <w:pStyle w:val="TableParagraph"/>
              <w:spacing w:line="128" w:lineRule="exact" w:before="2"/>
              <w:ind w:right="39"/>
              <w:jc w:val="right"/>
              <w:rPr>
                <w:sz w:val="12"/>
              </w:rPr>
            </w:pPr>
            <w:r>
              <w:rPr>
                <w:sz w:val="12"/>
              </w:rPr>
              <w:t>685,00</w:t>
            </w:r>
          </w:p>
        </w:tc>
      </w:tr>
      <w:tr>
        <w:trPr>
          <w:trHeight w:val="148" w:hRule="atLeast"/>
        </w:trPr>
        <w:tc>
          <w:tcPr>
            <w:tcW w:w="2886" w:type="dxa"/>
          </w:tcPr>
          <w:p>
            <w:pPr>
              <w:pStyle w:val="TableParagraph"/>
              <w:spacing w:line="127" w:lineRule="exact" w:before="2"/>
              <w:ind w:left="56"/>
              <w:rPr>
                <w:sz w:val="12"/>
              </w:rPr>
            </w:pPr>
            <w:r>
              <w:rPr>
                <w:w w:val="105"/>
                <w:sz w:val="12"/>
              </w:rPr>
              <w:t>Incorp. al activo de gtos financ</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rPr>
                <w:rFonts w:ascii="Times New Roman"/>
                <w:sz w:val="8"/>
              </w:rPr>
            </w:pPr>
          </w:p>
        </w:tc>
        <w:tc>
          <w:tcPr>
            <w:tcW w:w="873" w:type="dxa"/>
          </w:tcPr>
          <w:p>
            <w:pPr>
              <w:pStyle w:val="TableParagraph"/>
              <w:rPr>
                <w:rFonts w:ascii="Times New Roman"/>
                <w:sz w:val="8"/>
              </w:rPr>
            </w:pPr>
          </w:p>
        </w:tc>
        <w:tc>
          <w:tcPr>
            <w:tcW w:w="819" w:type="dxa"/>
          </w:tcPr>
          <w:p>
            <w:pPr>
              <w:pStyle w:val="TableParagraph"/>
              <w:rPr>
                <w:rFonts w:ascii="Times New Roman"/>
                <w:sz w:val="8"/>
              </w:rPr>
            </w:pPr>
          </w:p>
        </w:tc>
        <w:tc>
          <w:tcPr>
            <w:tcW w:w="810" w:type="dxa"/>
          </w:tcPr>
          <w:p>
            <w:pPr>
              <w:pStyle w:val="TableParagraph"/>
              <w:rPr>
                <w:rFonts w:ascii="Times New Roman"/>
                <w:sz w:val="8"/>
              </w:rPr>
            </w:pPr>
          </w:p>
        </w:tc>
        <w:tc>
          <w:tcPr>
            <w:tcW w:w="874" w:type="dxa"/>
          </w:tcPr>
          <w:p>
            <w:pPr>
              <w:pStyle w:val="TableParagraph"/>
              <w:rPr>
                <w:rFonts w:ascii="Times New Roman"/>
                <w:sz w:val="8"/>
              </w:rPr>
            </w:pPr>
          </w:p>
        </w:tc>
        <w:tc>
          <w:tcPr>
            <w:tcW w:w="808" w:type="dxa"/>
          </w:tcPr>
          <w:p>
            <w:pPr>
              <w:pStyle w:val="TableParagraph"/>
              <w:rPr>
                <w:rFonts w:ascii="Times New Roman"/>
                <w:sz w:val="8"/>
              </w:rPr>
            </w:pPr>
          </w:p>
        </w:tc>
        <w:tc>
          <w:tcPr>
            <w:tcW w:w="877" w:type="dxa"/>
          </w:tcPr>
          <w:p>
            <w:pPr>
              <w:pStyle w:val="TableParagraph"/>
              <w:rPr>
                <w:rFonts w:ascii="Times New Roman"/>
                <w:sz w:val="8"/>
              </w:rPr>
            </w:pPr>
          </w:p>
        </w:tc>
        <w:tc>
          <w:tcPr>
            <w:tcW w:w="833" w:type="dxa"/>
          </w:tcPr>
          <w:p>
            <w:pPr>
              <w:pStyle w:val="TableParagraph"/>
              <w:rPr>
                <w:rFonts w:ascii="Times New Roman"/>
                <w:sz w:val="8"/>
              </w:rPr>
            </w:pPr>
          </w:p>
        </w:tc>
      </w:tr>
      <w:tr>
        <w:trPr>
          <w:trHeight w:val="150" w:hRule="atLeast"/>
        </w:trPr>
        <w:tc>
          <w:tcPr>
            <w:tcW w:w="2886" w:type="dxa"/>
          </w:tcPr>
          <w:p>
            <w:pPr>
              <w:pStyle w:val="TableParagraph"/>
              <w:spacing w:line="128" w:lineRule="exact" w:before="2"/>
              <w:ind w:left="56"/>
              <w:rPr>
                <w:sz w:val="12"/>
              </w:rPr>
            </w:pPr>
            <w:r>
              <w:rPr>
                <w:w w:val="105"/>
                <w:sz w:val="12"/>
              </w:rPr>
              <w:t>Gastos financieros</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spacing w:line="128" w:lineRule="exact" w:before="2"/>
              <w:ind w:right="37"/>
              <w:jc w:val="right"/>
              <w:rPr>
                <w:sz w:val="12"/>
              </w:rPr>
            </w:pPr>
            <w:r>
              <w:rPr>
                <w:w w:val="105"/>
                <w:sz w:val="12"/>
              </w:rPr>
              <w:t>-774,51</w:t>
            </w:r>
          </w:p>
        </w:tc>
        <w:tc>
          <w:tcPr>
            <w:tcW w:w="873" w:type="dxa"/>
          </w:tcPr>
          <w:p>
            <w:pPr>
              <w:pStyle w:val="TableParagraph"/>
              <w:spacing w:line="128" w:lineRule="exact" w:before="2"/>
              <w:ind w:right="37"/>
              <w:jc w:val="right"/>
              <w:rPr>
                <w:sz w:val="12"/>
              </w:rPr>
            </w:pPr>
            <w:r>
              <w:rPr>
                <w:w w:val="105"/>
                <w:sz w:val="12"/>
              </w:rPr>
              <w:t>-1.979,90</w:t>
            </w:r>
          </w:p>
        </w:tc>
        <w:tc>
          <w:tcPr>
            <w:tcW w:w="819" w:type="dxa"/>
          </w:tcPr>
          <w:p>
            <w:pPr>
              <w:pStyle w:val="TableParagraph"/>
              <w:spacing w:line="128" w:lineRule="exact" w:before="2"/>
              <w:ind w:right="37"/>
              <w:jc w:val="right"/>
              <w:rPr>
                <w:sz w:val="12"/>
              </w:rPr>
            </w:pPr>
            <w:r>
              <w:rPr>
                <w:w w:val="105"/>
                <w:sz w:val="12"/>
              </w:rPr>
              <w:t>-398.084,41</w:t>
            </w:r>
          </w:p>
        </w:tc>
        <w:tc>
          <w:tcPr>
            <w:tcW w:w="810" w:type="dxa"/>
          </w:tcPr>
          <w:p>
            <w:pPr>
              <w:pStyle w:val="TableParagraph"/>
              <w:spacing w:line="128" w:lineRule="exact" w:before="2"/>
              <w:ind w:right="38"/>
              <w:jc w:val="right"/>
              <w:rPr>
                <w:sz w:val="12"/>
              </w:rPr>
            </w:pPr>
            <w:r>
              <w:rPr>
                <w:w w:val="105"/>
                <w:sz w:val="12"/>
              </w:rPr>
              <w:t>-139.034,01</w:t>
            </w:r>
          </w:p>
        </w:tc>
        <w:tc>
          <w:tcPr>
            <w:tcW w:w="874" w:type="dxa"/>
          </w:tcPr>
          <w:p>
            <w:pPr>
              <w:pStyle w:val="TableParagraph"/>
              <w:spacing w:line="128" w:lineRule="exact" w:before="2"/>
              <w:ind w:right="39"/>
              <w:jc w:val="right"/>
              <w:rPr>
                <w:sz w:val="12"/>
              </w:rPr>
            </w:pPr>
            <w:r>
              <w:rPr>
                <w:w w:val="105"/>
                <w:sz w:val="12"/>
              </w:rPr>
              <w:t>-8.296,33</w:t>
            </w:r>
          </w:p>
        </w:tc>
        <w:tc>
          <w:tcPr>
            <w:tcW w:w="808" w:type="dxa"/>
          </w:tcPr>
          <w:p>
            <w:pPr>
              <w:pStyle w:val="TableParagraph"/>
              <w:rPr>
                <w:rFonts w:ascii="Times New Roman"/>
                <w:sz w:val="8"/>
              </w:rPr>
            </w:pPr>
          </w:p>
        </w:tc>
        <w:tc>
          <w:tcPr>
            <w:tcW w:w="877" w:type="dxa"/>
          </w:tcPr>
          <w:p>
            <w:pPr>
              <w:pStyle w:val="TableParagraph"/>
              <w:rPr>
                <w:rFonts w:ascii="Times New Roman"/>
                <w:sz w:val="8"/>
              </w:rPr>
            </w:pPr>
          </w:p>
        </w:tc>
        <w:tc>
          <w:tcPr>
            <w:tcW w:w="833" w:type="dxa"/>
          </w:tcPr>
          <w:p>
            <w:pPr>
              <w:pStyle w:val="TableParagraph"/>
              <w:spacing w:line="128" w:lineRule="exact" w:before="2"/>
              <w:ind w:right="39"/>
              <w:jc w:val="right"/>
              <w:rPr>
                <w:sz w:val="12"/>
              </w:rPr>
            </w:pPr>
            <w:r>
              <w:rPr>
                <w:w w:val="105"/>
                <w:sz w:val="12"/>
              </w:rPr>
              <w:t>-21.598,00</w:t>
            </w:r>
          </w:p>
        </w:tc>
      </w:tr>
      <w:tr>
        <w:trPr>
          <w:trHeight w:val="148" w:hRule="atLeast"/>
        </w:trPr>
        <w:tc>
          <w:tcPr>
            <w:tcW w:w="2886" w:type="dxa"/>
          </w:tcPr>
          <w:p>
            <w:pPr>
              <w:pStyle w:val="TableParagraph"/>
              <w:spacing w:line="127" w:lineRule="exact" w:before="2"/>
              <w:ind w:left="56"/>
              <w:rPr>
                <w:sz w:val="12"/>
              </w:rPr>
            </w:pPr>
            <w:r>
              <w:rPr>
                <w:w w:val="105"/>
                <w:sz w:val="12"/>
              </w:rPr>
              <w:t>Variación de valor razonable en instrum. financieros</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rPr>
                <w:rFonts w:ascii="Times New Roman"/>
                <w:sz w:val="8"/>
              </w:rPr>
            </w:pPr>
          </w:p>
        </w:tc>
        <w:tc>
          <w:tcPr>
            <w:tcW w:w="873" w:type="dxa"/>
          </w:tcPr>
          <w:p>
            <w:pPr>
              <w:pStyle w:val="TableParagraph"/>
              <w:rPr>
                <w:rFonts w:ascii="Times New Roman"/>
                <w:sz w:val="8"/>
              </w:rPr>
            </w:pPr>
          </w:p>
        </w:tc>
        <w:tc>
          <w:tcPr>
            <w:tcW w:w="819" w:type="dxa"/>
          </w:tcPr>
          <w:p>
            <w:pPr>
              <w:pStyle w:val="TableParagraph"/>
              <w:rPr>
                <w:rFonts w:ascii="Times New Roman"/>
                <w:sz w:val="8"/>
              </w:rPr>
            </w:pPr>
          </w:p>
        </w:tc>
        <w:tc>
          <w:tcPr>
            <w:tcW w:w="810" w:type="dxa"/>
          </w:tcPr>
          <w:p>
            <w:pPr>
              <w:pStyle w:val="TableParagraph"/>
              <w:rPr>
                <w:rFonts w:ascii="Times New Roman"/>
                <w:sz w:val="8"/>
              </w:rPr>
            </w:pPr>
          </w:p>
        </w:tc>
        <w:tc>
          <w:tcPr>
            <w:tcW w:w="874" w:type="dxa"/>
          </w:tcPr>
          <w:p>
            <w:pPr>
              <w:pStyle w:val="TableParagraph"/>
              <w:rPr>
                <w:rFonts w:ascii="Times New Roman"/>
                <w:sz w:val="8"/>
              </w:rPr>
            </w:pPr>
          </w:p>
        </w:tc>
        <w:tc>
          <w:tcPr>
            <w:tcW w:w="808" w:type="dxa"/>
          </w:tcPr>
          <w:p>
            <w:pPr>
              <w:pStyle w:val="TableParagraph"/>
              <w:rPr>
                <w:rFonts w:ascii="Times New Roman"/>
                <w:sz w:val="8"/>
              </w:rPr>
            </w:pPr>
          </w:p>
        </w:tc>
        <w:tc>
          <w:tcPr>
            <w:tcW w:w="877" w:type="dxa"/>
          </w:tcPr>
          <w:p>
            <w:pPr>
              <w:pStyle w:val="TableParagraph"/>
              <w:rPr>
                <w:rFonts w:ascii="Times New Roman"/>
                <w:sz w:val="8"/>
              </w:rPr>
            </w:pPr>
          </w:p>
        </w:tc>
        <w:tc>
          <w:tcPr>
            <w:tcW w:w="833" w:type="dxa"/>
          </w:tcPr>
          <w:p>
            <w:pPr>
              <w:pStyle w:val="TableParagraph"/>
              <w:rPr>
                <w:rFonts w:ascii="Times New Roman"/>
                <w:sz w:val="8"/>
              </w:rPr>
            </w:pPr>
          </w:p>
        </w:tc>
      </w:tr>
      <w:tr>
        <w:trPr>
          <w:trHeight w:val="150" w:hRule="atLeast"/>
        </w:trPr>
        <w:tc>
          <w:tcPr>
            <w:tcW w:w="2886" w:type="dxa"/>
          </w:tcPr>
          <w:p>
            <w:pPr>
              <w:pStyle w:val="TableParagraph"/>
              <w:spacing w:line="128" w:lineRule="exact" w:before="2"/>
              <w:ind w:left="56"/>
              <w:rPr>
                <w:sz w:val="12"/>
              </w:rPr>
            </w:pPr>
            <w:r>
              <w:rPr>
                <w:w w:val="105"/>
                <w:sz w:val="12"/>
              </w:rPr>
              <w:t>Diferencias de cambio</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rPr>
                <w:rFonts w:ascii="Times New Roman"/>
                <w:sz w:val="8"/>
              </w:rPr>
            </w:pPr>
          </w:p>
        </w:tc>
        <w:tc>
          <w:tcPr>
            <w:tcW w:w="873" w:type="dxa"/>
          </w:tcPr>
          <w:p>
            <w:pPr>
              <w:pStyle w:val="TableParagraph"/>
              <w:rPr>
                <w:rFonts w:ascii="Times New Roman"/>
                <w:sz w:val="8"/>
              </w:rPr>
            </w:pPr>
          </w:p>
        </w:tc>
        <w:tc>
          <w:tcPr>
            <w:tcW w:w="819" w:type="dxa"/>
          </w:tcPr>
          <w:p>
            <w:pPr>
              <w:pStyle w:val="TableParagraph"/>
              <w:rPr>
                <w:rFonts w:ascii="Times New Roman"/>
                <w:sz w:val="8"/>
              </w:rPr>
            </w:pPr>
          </w:p>
        </w:tc>
        <w:tc>
          <w:tcPr>
            <w:tcW w:w="810" w:type="dxa"/>
          </w:tcPr>
          <w:p>
            <w:pPr>
              <w:pStyle w:val="TableParagraph"/>
              <w:rPr>
                <w:rFonts w:ascii="Times New Roman"/>
                <w:sz w:val="8"/>
              </w:rPr>
            </w:pPr>
          </w:p>
        </w:tc>
        <w:tc>
          <w:tcPr>
            <w:tcW w:w="874" w:type="dxa"/>
          </w:tcPr>
          <w:p>
            <w:pPr>
              <w:pStyle w:val="TableParagraph"/>
              <w:rPr>
                <w:rFonts w:ascii="Times New Roman"/>
                <w:sz w:val="8"/>
              </w:rPr>
            </w:pPr>
          </w:p>
        </w:tc>
        <w:tc>
          <w:tcPr>
            <w:tcW w:w="808" w:type="dxa"/>
          </w:tcPr>
          <w:p>
            <w:pPr>
              <w:pStyle w:val="TableParagraph"/>
              <w:spacing w:line="128" w:lineRule="exact" w:before="2"/>
              <w:ind w:right="39"/>
              <w:jc w:val="right"/>
              <w:rPr>
                <w:sz w:val="12"/>
              </w:rPr>
            </w:pPr>
            <w:r>
              <w:rPr>
                <w:w w:val="105"/>
                <w:sz w:val="12"/>
              </w:rPr>
              <w:t>-40.207,70</w:t>
            </w:r>
          </w:p>
        </w:tc>
        <w:tc>
          <w:tcPr>
            <w:tcW w:w="877" w:type="dxa"/>
          </w:tcPr>
          <w:p>
            <w:pPr>
              <w:pStyle w:val="TableParagraph"/>
              <w:rPr>
                <w:rFonts w:ascii="Times New Roman"/>
                <w:sz w:val="8"/>
              </w:rPr>
            </w:pPr>
          </w:p>
        </w:tc>
        <w:tc>
          <w:tcPr>
            <w:tcW w:w="833" w:type="dxa"/>
          </w:tcPr>
          <w:p>
            <w:pPr>
              <w:pStyle w:val="TableParagraph"/>
              <w:spacing w:line="128" w:lineRule="exact" w:before="2"/>
              <w:ind w:right="39"/>
              <w:jc w:val="right"/>
              <w:rPr>
                <w:sz w:val="12"/>
              </w:rPr>
            </w:pPr>
            <w:r>
              <w:rPr>
                <w:w w:val="105"/>
                <w:sz w:val="12"/>
              </w:rPr>
              <w:t>-67,00</w:t>
            </w:r>
          </w:p>
        </w:tc>
      </w:tr>
      <w:tr>
        <w:trPr>
          <w:trHeight w:val="148" w:hRule="atLeast"/>
        </w:trPr>
        <w:tc>
          <w:tcPr>
            <w:tcW w:w="2886" w:type="dxa"/>
          </w:tcPr>
          <w:p>
            <w:pPr>
              <w:pStyle w:val="TableParagraph"/>
              <w:spacing w:line="127" w:lineRule="exact" w:before="2"/>
              <w:ind w:left="56"/>
              <w:rPr>
                <w:sz w:val="12"/>
              </w:rPr>
            </w:pPr>
            <w:r>
              <w:rPr>
                <w:w w:val="105"/>
                <w:sz w:val="12"/>
              </w:rPr>
              <w:t>Deterioro y resultado por enajens. de instr. financieros</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rPr>
                <w:rFonts w:ascii="Times New Roman"/>
                <w:sz w:val="8"/>
              </w:rPr>
            </w:pPr>
          </w:p>
        </w:tc>
        <w:tc>
          <w:tcPr>
            <w:tcW w:w="873" w:type="dxa"/>
          </w:tcPr>
          <w:p>
            <w:pPr>
              <w:pStyle w:val="TableParagraph"/>
              <w:rPr>
                <w:rFonts w:ascii="Times New Roman"/>
                <w:sz w:val="8"/>
              </w:rPr>
            </w:pPr>
          </w:p>
        </w:tc>
        <w:tc>
          <w:tcPr>
            <w:tcW w:w="819" w:type="dxa"/>
          </w:tcPr>
          <w:p>
            <w:pPr>
              <w:pStyle w:val="TableParagraph"/>
              <w:rPr>
                <w:rFonts w:ascii="Times New Roman"/>
                <w:sz w:val="8"/>
              </w:rPr>
            </w:pPr>
          </w:p>
        </w:tc>
        <w:tc>
          <w:tcPr>
            <w:tcW w:w="810" w:type="dxa"/>
          </w:tcPr>
          <w:p>
            <w:pPr>
              <w:pStyle w:val="TableParagraph"/>
              <w:spacing w:line="127" w:lineRule="exact" w:before="2"/>
              <w:ind w:right="38"/>
              <w:jc w:val="right"/>
              <w:rPr>
                <w:sz w:val="12"/>
              </w:rPr>
            </w:pPr>
            <w:r>
              <w:rPr>
                <w:w w:val="105"/>
                <w:sz w:val="12"/>
              </w:rPr>
              <w:t>29.844,83</w:t>
            </w:r>
          </w:p>
        </w:tc>
        <w:tc>
          <w:tcPr>
            <w:tcW w:w="874" w:type="dxa"/>
          </w:tcPr>
          <w:p>
            <w:pPr>
              <w:pStyle w:val="TableParagraph"/>
              <w:rPr>
                <w:rFonts w:ascii="Times New Roman"/>
                <w:sz w:val="8"/>
              </w:rPr>
            </w:pPr>
          </w:p>
        </w:tc>
        <w:tc>
          <w:tcPr>
            <w:tcW w:w="808" w:type="dxa"/>
          </w:tcPr>
          <w:p>
            <w:pPr>
              <w:pStyle w:val="TableParagraph"/>
              <w:spacing w:line="127" w:lineRule="exact" w:before="2"/>
              <w:ind w:right="39"/>
              <w:jc w:val="right"/>
              <w:rPr>
                <w:sz w:val="12"/>
              </w:rPr>
            </w:pPr>
            <w:r>
              <w:rPr>
                <w:w w:val="105"/>
                <w:sz w:val="12"/>
              </w:rPr>
              <w:t>-31.097,64</w:t>
            </w:r>
          </w:p>
        </w:tc>
        <w:tc>
          <w:tcPr>
            <w:tcW w:w="877" w:type="dxa"/>
          </w:tcPr>
          <w:p>
            <w:pPr>
              <w:pStyle w:val="TableParagraph"/>
              <w:rPr>
                <w:rFonts w:ascii="Times New Roman"/>
                <w:sz w:val="8"/>
              </w:rPr>
            </w:pPr>
          </w:p>
        </w:tc>
        <w:tc>
          <w:tcPr>
            <w:tcW w:w="833" w:type="dxa"/>
          </w:tcPr>
          <w:p>
            <w:pPr>
              <w:pStyle w:val="TableParagraph"/>
              <w:rPr>
                <w:rFonts w:ascii="Times New Roman"/>
                <w:sz w:val="8"/>
              </w:rPr>
            </w:pPr>
          </w:p>
        </w:tc>
      </w:tr>
      <w:tr>
        <w:trPr>
          <w:trHeight w:val="150" w:hRule="atLeast"/>
        </w:trPr>
        <w:tc>
          <w:tcPr>
            <w:tcW w:w="2886" w:type="dxa"/>
          </w:tcPr>
          <w:p>
            <w:pPr>
              <w:pStyle w:val="TableParagraph"/>
              <w:spacing w:line="128" w:lineRule="exact" w:before="2"/>
              <w:ind w:left="56"/>
              <w:rPr>
                <w:sz w:val="12"/>
              </w:rPr>
            </w:pPr>
            <w:r>
              <w:rPr>
                <w:w w:val="105"/>
                <w:sz w:val="12"/>
              </w:rPr>
              <w:t>Imput. de Subv., Dons y Legados de carácter financiero</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rPr>
                <w:rFonts w:ascii="Times New Roman"/>
                <w:sz w:val="8"/>
              </w:rPr>
            </w:pPr>
          </w:p>
        </w:tc>
        <w:tc>
          <w:tcPr>
            <w:tcW w:w="873" w:type="dxa"/>
          </w:tcPr>
          <w:p>
            <w:pPr>
              <w:pStyle w:val="TableParagraph"/>
              <w:rPr>
                <w:rFonts w:ascii="Times New Roman"/>
                <w:sz w:val="8"/>
              </w:rPr>
            </w:pPr>
          </w:p>
        </w:tc>
        <w:tc>
          <w:tcPr>
            <w:tcW w:w="819" w:type="dxa"/>
          </w:tcPr>
          <w:p>
            <w:pPr>
              <w:pStyle w:val="TableParagraph"/>
              <w:rPr>
                <w:rFonts w:ascii="Times New Roman"/>
                <w:sz w:val="8"/>
              </w:rPr>
            </w:pPr>
          </w:p>
        </w:tc>
        <w:tc>
          <w:tcPr>
            <w:tcW w:w="810" w:type="dxa"/>
          </w:tcPr>
          <w:p>
            <w:pPr>
              <w:pStyle w:val="TableParagraph"/>
              <w:rPr>
                <w:rFonts w:ascii="Times New Roman"/>
                <w:sz w:val="8"/>
              </w:rPr>
            </w:pPr>
          </w:p>
        </w:tc>
        <w:tc>
          <w:tcPr>
            <w:tcW w:w="874" w:type="dxa"/>
          </w:tcPr>
          <w:p>
            <w:pPr>
              <w:pStyle w:val="TableParagraph"/>
              <w:rPr>
                <w:rFonts w:ascii="Times New Roman"/>
                <w:sz w:val="8"/>
              </w:rPr>
            </w:pPr>
          </w:p>
        </w:tc>
        <w:tc>
          <w:tcPr>
            <w:tcW w:w="808" w:type="dxa"/>
          </w:tcPr>
          <w:p>
            <w:pPr>
              <w:pStyle w:val="TableParagraph"/>
              <w:rPr>
                <w:rFonts w:ascii="Times New Roman"/>
                <w:sz w:val="8"/>
              </w:rPr>
            </w:pPr>
          </w:p>
        </w:tc>
        <w:tc>
          <w:tcPr>
            <w:tcW w:w="877" w:type="dxa"/>
          </w:tcPr>
          <w:p>
            <w:pPr>
              <w:pStyle w:val="TableParagraph"/>
              <w:rPr>
                <w:rFonts w:ascii="Times New Roman"/>
                <w:sz w:val="8"/>
              </w:rPr>
            </w:pPr>
          </w:p>
        </w:tc>
        <w:tc>
          <w:tcPr>
            <w:tcW w:w="833" w:type="dxa"/>
          </w:tcPr>
          <w:p>
            <w:pPr>
              <w:pStyle w:val="TableParagraph"/>
              <w:rPr>
                <w:rFonts w:ascii="Times New Roman"/>
                <w:sz w:val="8"/>
              </w:rPr>
            </w:pPr>
          </w:p>
        </w:tc>
      </w:tr>
      <w:tr>
        <w:trPr>
          <w:trHeight w:val="148" w:hRule="atLeast"/>
        </w:trPr>
        <w:tc>
          <w:tcPr>
            <w:tcW w:w="2886" w:type="dxa"/>
          </w:tcPr>
          <w:p>
            <w:pPr>
              <w:pStyle w:val="TableParagraph"/>
              <w:spacing w:line="127" w:lineRule="exact" w:before="2"/>
              <w:ind w:left="84"/>
              <w:rPr>
                <w:b/>
                <w:sz w:val="12"/>
              </w:rPr>
            </w:pPr>
            <w:r>
              <w:rPr>
                <w:b/>
                <w:w w:val="105"/>
                <w:sz w:val="12"/>
              </w:rPr>
              <w:t>RESULTADOS FINANCIEROS</w:t>
            </w:r>
          </w:p>
        </w:tc>
        <w:tc>
          <w:tcPr>
            <w:tcW w:w="823" w:type="dxa"/>
          </w:tcPr>
          <w:p>
            <w:pPr>
              <w:pStyle w:val="TableParagraph"/>
              <w:spacing w:line="127" w:lineRule="exact" w:before="2"/>
              <w:ind w:right="38"/>
              <w:jc w:val="right"/>
              <w:rPr>
                <w:b/>
                <w:sz w:val="12"/>
              </w:rPr>
            </w:pPr>
            <w:r>
              <w:rPr>
                <w:b/>
                <w:w w:val="105"/>
                <w:sz w:val="12"/>
              </w:rPr>
              <w:t>0,00</w:t>
            </w:r>
          </w:p>
        </w:tc>
        <w:tc>
          <w:tcPr>
            <w:tcW w:w="809" w:type="dxa"/>
          </w:tcPr>
          <w:p>
            <w:pPr>
              <w:pStyle w:val="TableParagraph"/>
              <w:spacing w:line="127" w:lineRule="exact" w:before="2"/>
              <w:ind w:right="39"/>
              <w:jc w:val="right"/>
              <w:rPr>
                <w:b/>
                <w:sz w:val="12"/>
              </w:rPr>
            </w:pPr>
            <w:r>
              <w:rPr>
                <w:b/>
                <w:w w:val="105"/>
                <w:sz w:val="12"/>
              </w:rPr>
              <w:t>0,00</w:t>
            </w:r>
          </w:p>
        </w:tc>
        <w:tc>
          <w:tcPr>
            <w:tcW w:w="686" w:type="dxa"/>
          </w:tcPr>
          <w:p>
            <w:pPr>
              <w:pStyle w:val="TableParagraph"/>
              <w:spacing w:line="127" w:lineRule="exact" w:before="2"/>
              <w:ind w:right="39"/>
              <w:jc w:val="right"/>
              <w:rPr>
                <w:b/>
                <w:sz w:val="12"/>
              </w:rPr>
            </w:pPr>
            <w:r>
              <w:rPr>
                <w:b/>
                <w:w w:val="105"/>
                <w:sz w:val="12"/>
              </w:rPr>
              <w:t>0,00</w:t>
            </w:r>
          </w:p>
        </w:tc>
        <w:tc>
          <w:tcPr>
            <w:tcW w:w="953" w:type="dxa"/>
          </w:tcPr>
          <w:p>
            <w:pPr>
              <w:pStyle w:val="TableParagraph"/>
              <w:spacing w:line="127" w:lineRule="exact" w:before="2"/>
              <w:ind w:right="37"/>
              <w:jc w:val="right"/>
              <w:rPr>
                <w:b/>
                <w:sz w:val="12"/>
              </w:rPr>
            </w:pPr>
            <w:r>
              <w:rPr>
                <w:b/>
                <w:w w:val="105"/>
                <w:sz w:val="12"/>
              </w:rPr>
              <w:t>4.948,15</w:t>
            </w:r>
          </w:p>
        </w:tc>
        <w:tc>
          <w:tcPr>
            <w:tcW w:w="873" w:type="dxa"/>
          </w:tcPr>
          <w:p>
            <w:pPr>
              <w:pStyle w:val="TableParagraph"/>
              <w:spacing w:line="127" w:lineRule="exact" w:before="2"/>
              <w:ind w:right="37"/>
              <w:jc w:val="right"/>
              <w:rPr>
                <w:b/>
                <w:sz w:val="12"/>
              </w:rPr>
            </w:pPr>
            <w:r>
              <w:rPr>
                <w:b/>
                <w:w w:val="105"/>
                <w:sz w:val="12"/>
              </w:rPr>
              <w:t>9.251,21</w:t>
            </w:r>
          </w:p>
        </w:tc>
        <w:tc>
          <w:tcPr>
            <w:tcW w:w="819" w:type="dxa"/>
          </w:tcPr>
          <w:p>
            <w:pPr>
              <w:pStyle w:val="TableParagraph"/>
              <w:spacing w:line="127" w:lineRule="exact" w:before="2"/>
              <w:ind w:right="37"/>
              <w:jc w:val="right"/>
              <w:rPr>
                <w:b/>
                <w:sz w:val="12"/>
              </w:rPr>
            </w:pPr>
            <w:r>
              <w:rPr>
                <w:b/>
                <w:w w:val="105"/>
                <w:sz w:val="12"/>
              </w:rPr>
              <w:t>-398.084,41</w:t>
            </w:r>
          </w:p>
        </w:tc>
        <w:tc>
          <w:tcPr>
            <w:tcW w:w="810" w:type="dxa"/>
          </w:tcPr>
          <w:p>
            <w:pPr>
              <w:pStyle w:val="TableParagraph"/>
              <w:spacing w:line="127" w:lineRule="exact" w:before="2"/>
              <w:ind w:right="37"/>
              <w:jc w:val="right"/>
              <w:rPr>
                <w:b/>
                <w:sz w:val="12"/>
              </w:rPr>
            </w:pPr>
            <w:r>
              <w:rPr>
                <w:b/>
                <w:w w:val="105"/>
                <w:sz w:val="12"/>
              </w:rPr>
              <w:t>-108.808,02</w:t>
            </w:r>
          </w:p>
        </w:tc>
        <w:tc>
          <w:tcPr>
            <w:tcW w:w="874" w:type="dxa"/>
          </w:tcPr>
          <w:p>
            <w:pPr>
              <w:pStyle w:val="TableParagraph"/>
              <w:spacing w:line="127" w:lineRule="exact" w:before="2"/>
              <w:ind w:right="39"/>
              <w:jc w:val="right"/>
              <w:rPr>
                <w:b/>
                <w:sz w:val="12"/>
              </w:rPr>
            </w:pPr>
            <w:r>
              <w:rPr>
                <w:b/>
                <w:w w:val="105"/>
                <w:sz w:val="12"/>
              </w:rPr>
              <w:t>-5.551,43</w:t>
            </w:r>
          </w:p>
        </w:tc>
        <w:tc>
          <w:tcPr>
            <w:tcW w:w="808" w:type="dxa"/>
          </w:tcPr>
          <w:p>
            <w:pPr>
              <w:pStyle w:val="TableParagraph"/>
              <w:spacing w:line="127" w:lineRule="exact" w:before="2"/>
              <w:ind w:right="39"/>
              <w:jc w:val="right"/>
              <w:rPr>
                <w:b/>
                <w:sz w:val="12"/>
              </w:rPr>
            </w:pPr>
            <w:r>
              <w:rPr>
                <w:b/>
                <w:w w:val="105"/>
                <w:sz w:val="12"/>
              </w:rPr>
              <w:t>-71.305,34</w:t>
            </w:r>
          </w:p>
        </w:tc>
        <w:tc>
          <w:tcPr>
            <w:tcW w:w="877" w:type="dxa"/>
          </w:tcPr>
          <w:p>
            <w:pPr>
              <w:pStyle w:val="TableParagraph"/>
              <w:spacing w:line="127" w:lineRule="exact" w:before="2"/>
              <w:ind w:right="40"/>
              <w:jc w:val="right"/>
              <w:rPr>
                <w:b/>
                <w:sz w:val="12"/>
              </w:rPr>
            </w:pPr>
            <w:r>
              <w:rPr>
                <w:b/>
                <w:w w:val="105"/>
                <w:sz w:val="12"/>
              </w:rPr>
              <w:t>1.006,26</w:t>
            </w:r>
          </w:p>
        </w:tc>
        <w:tc>
          <w:tcPr>
            <w:tcW w:w="833" w:type="dxa"/>
          </w:tcPr>
          <w:p>
            <w:pPr>
              <w:pStyle w:val="TableParagraph"/>
              <w:spacing w:line="127" w:lineRule="exact" w:before="2"/>
              <w:ind w:right="39"/>
              <w:jc w:val="right"/>
              <w:rPr>
                <w:b/>
                <w:sz w:val="12"/>
              </w:rPr>
            </w:pPr>
            <w:r>
              <w:rPr>
                <w:b/>
                <w:w w:val="105"/>
                <w:sz w:val="12"/>
              </w:rPr>
              <w:t>-20.980,00</w:t>
            </w:r>
          </w:p>
        </w:tc>
      </w:tr>
      <w:tr>
        <w:trPr>
          <w:trHeight w:val="150" w:hRule="atLeast"/>
        </w:trPr>
        <w:tc>
          <w:tcPr>
            <w:tcW w:w="2886" w:type="dxa"/>
          </w:tcPr>
          <w:p>
            <w:pPr>
              <w:pStyle w:val="TableParagraph"/>
              <w:spacing w:line="127" w:lineRule="exact" w:before="4"/>
              <w:ind w:left="84"/>
              <w:rPr>
                <w:b/>
                <w:sz w:val="12"/>
              </w:rPr>
            </w:pPr>
            <w:r>
              <w:rPr>
                <w:b/>
                <w:w w:val="105"/>
                <w:sz w:val="12"/>
              </w:rPr>
              <w:t>RESULTADOS ANTES DE IMPUESTOS</w:t>
            </w:r>
          </w:p>
        </w:tc>
        <w:tc>
          <w:tcPr>
            <w:tcW w:w="823" w:type="dxa"/>
          </w:tcPr>
          <w:p>
            <w:pPr>
              <w:pStyle w:val="TableParagraph"/>
              <w:spacing w:line="127" w:lineRule="exact" w:before="4"/>
              <w:ind w:right="36"/>
              <w:jc w:val="right"/>
              <w:rPr>
                <w:b/>
                <w:sz w:val="12"/>
              </w:rPr>
            </w:pPr>
            <w:r>
              <w:rPr>
                <w:b/>
                <w:w w:val="105"/>
                <w:sz w:val="12"/>
              </w:rPr>
              <w:t>-424.049,38</w:t>
            </w:r>
          </w:p>
        </w:tc>
        <w:tc>
          <w:tcPr>
            <w:tcW w:w="809" w:type="dxa"/>
          </w:tcPr>
          <w:p>
            <w:pPr>
              <w:pStyle w:val="TableParagraph"/>
              <w:spacing w:line="127" w:lineRule="exact" w:before="4"/>
              <w:ind w:right="37"/>
              <w:jc w:val="right"/>
              <w:rPr>
                <w:b/>
                <w:sz w:val="12"/>
              </w:rPr>
            </w:pPr>
            <w:r>
              <w:rPr>
                <w:b/>
                <w:w w:val="105"/>
                <w:sz w:val="12"/>
              </w:rPr>
              <w:t>-158.485,67</w:t>
            </w:r>
          </w:p>
        </w:tc>
        <w:tc>
          <w:tcPr>
            <w:tcW w:w="686" w:type="dxa"/>
          </w:tcPr>
          <w:p>
            <w:pPr>
              <w:pStyle w:val="TableParagraph"/>
              <w:spacing w:line="127" w:lineRule="exact" w:before="4"/>
              <w:ind w:right="39"/>
              <w:jc w:val="right"/>
              <w:rPr>
                <w:b/>
                <w:sz w:val="12"/>
              </w:rPr>
            </w:pPr>
            <w:r>
              <w:rPr>
                <w:b/>
                <w:w w:val="105"/>
                <w:sz w:val="12"/>
              </w:rPr>
              <w:t>0,00</w:t>
            </w:r>
          </w:p>
        </w:tc>
        <w:tc>
          <w:tcPr>
            <w:tcW w:w="953" w:type="dxa"/>
          </w:tcPr>
          <w:p>
            <w:pPr>
              <w:pStyle w:val="TableParagraph"/>
              <w:spacing w:line="127" w:lineRule="exact" w:before="4"/>
              <w:ind w:right="37"/>
              <w:jc w:val="right"/>
              <w:rPr>
                <w:b/>
                <w:sz w:val="12"/>
              </w:rPr>
            </w:pPr>
            <w:r>
              <w:rPr>
                <w:b/>
                <w:w w:val="105"/>
                <w:sz w:val="12"/>
              </w:rPr>
              <w:t>1.997.855,34</w:t>
            </w:r>
          </w:p>
        </w:tc>
        <w:tc>
          <w:tcPr>
            <w:tcW w:w="873" w:type="dxa"/>
          </w:tcPr>
          <w:p>
            <w:pPr>
              <w:pStyle w:val="TableParagraph"/>
              <w:spacing w:line="127" w:lineRule="exact" w:before="4"/>
              <w:ind w:right="37"/>
              <w:jc w:val="right"/>
              <w:rPr>
                <w:b/>
                <w:sz w:val="12"/>
              </w:rPr>
            </w:pPr>
            <w:r>
              <w:rPr>
                <w:b/>
                <w:w w:val="105"/>
                <w:sz w:val="12"/>
              </w:rPr>
              <w:t>-767.089,61</w:t>
            </w:r>
          </w:p>
        </w:tc>
        <w:tc>
          <w:tcPr>
            <w:tcW w:w="819" w:type="dxa"/>
          </w:tcPr>
          <w:p>
            <w:pPr>
              <w:pStyle w:val="TableParagraph"/>
              <w:spacing w:line="127" w:lineRule="exact" w:before="4"/>
              <w:ind w:right="37"/>
              <w:jc w:val="right"/>
              <w:rPr>
                <w:b/>
                <w:sz w:val="12"/>
              </w:rPr>
            </w:pPr>
            <w:r>
              <w:rPr>
                <w:b/>
                <w:w w:val="105"/>
                <w:sz w:val="12"/>
              </w:rPr>
              <w:t>-624.718,98</w:t>
            </w:r>
          </w:p>
        </w:tc>
        <w:tc>
          <w:tcPr>
            <w:tcW w:w="810" w:type="dxa"/>
          </w:tcPr>
          <w:p>
            <w:pPr>
              <w:pStyle w:val="TableParagraph"/>
              <w:spacing w:line="127" w:lineRule="exact" w:before="4"/>
              <w:ind w:right="38"/>
              <w:jc w:val="right"/>
              <w:rPr>
                <w:b/>
                <w:sz w:val="12"/>
              </w:rPr>
            </w:pPr>
            <w:r>
              <w:rPr>
                <w:b/>
                <w:w w:val="105"/>
                <w:sz w:val="12"/>
              </w:rPr>
              <w:t>832.338,60</w:t>
            </w:r>
          </w:p>
        </w:tc>
        <w:tc>
          <w:tcPr>
            <w:tcW w:w="874" w:type="dxa"/>
          </w:tcPr>
          <w:p>
            <w:pPr>
              <w:pStyle w:val="TableParagraph"/>
              <w:spacing w:line="127" w:lineRule="exact" w:before="4"/>
              <w:ind w:right="39"/>
              <w:jc w:val="right"/>
              <w:rPr>
                <w:b/>
                <w:sz w:val="12"/>
              </w:rPr>
            </w:pPr>
            <w:r>
              <w:rPr>
                <w:b/>
                <w:w w:val="105"/>
                <w:sz w:val="12"/>
              </w:rPr>
              <w:t>-5.222.877,35</w:t>
            </w:r>
          </w:p>
        </w:tc>
        <w:tc>
          <w:tcPr>
            <w:tcW w:w="808" w:type="dxa"/>
          </w:tcPr>
          <w:p>
            <w:pPr>
              <w:pStyle w:val="TableParagraph"/>
              <w:spacing w:line="127" w:lineRule="exact" w:before="4"/>
              <w:ind w:right="39"/>
              <w:jc w:val="right"/>
              <w:rPr>
                <w:b/>
                <w:sz w:val="12"/>
              </w:rPr>
            </w:pPr>
            <w:r>
              <w:rPr>
                <w:b/>
                <w:w w:val="105"/>
                <w:sz w:val="12"/>
              </w:rPr>
              <w:t>196.724,94</w:t>
            </w:r>
          </w:p>
        </w:tc>
        <w:tc>
          <w:tcPr>
            <w:tcW w:w="877" w:type="dxa"/>
          </w:tcPr>
          <w:p>
            <w:pPr>
              <w:pStyle w:val="TableParagraph"/>
              <w:spacing w:line="127" w:lineRule="exact" w:before="4"/>
              <w:ind w:right="39"/>
              <w:jc w:val="right"/>
              <w:rPr>
                <w:b/>
                <w:sz w:val="12"/>
              </w:rPr>
            </w:pPr>
            <w:r>
              <w:rPr>
                <w:b/>
                <w:w w:val="105"/>
                <w:sz w:val="12"/>
              </w:rPr>
              <w:t>-247.366,04</w:t>
            </w:r>
          </w:p>
        </w:tc>
        <w:tc>
          <w:tcPr>
            <w:tcW w:w="833" w:type="dxa"/>
          </w:tcPr>
          <w:p>
            <w:pPr>
              <w:pStyle w:val="TableParagraph"/>
              <w:spacing w:line="127" w:lineRule="exact" w:before="4"/>
              <w:ind w:right="39"/>
              <w:jc w:val="right"/>
              <w:rPr>
                <w:b/>
                <w:sz w:val="12"/>
              </w:rPr>
            </w:pPr>
            <w:r>
              <w:rPr>
                <w:b/>
                <w:w w:val="105"/>
                <w:sz w:val="12"/>
              </w:rPr>
              <w:t>-3.440.277,00</w:t>
            </w:r>
          </w:p>
        </w:tc>
      </w:tr>
      <w:tr>
        <w:trPr>
          <w:trHeight w:val="148" w:hRule="atLeast"/>
        </w:trPr>
        <w:tc>
          <w:tcPr>
            <w:tcW w:w="2886" w:type="dxa"/>
          </w:tcPr>
          <w:p>
            <w:pPr>
              <w:pStyle w:val="TableParagraph"/>
              <w:spacing w:line="127" w:lineRule="exact" w:before="2"/>
              <w:ind w:left="84"/>
              <w:rPr>
                <w:sz w:val="12"/>
              </w:rPr>
            </w:pPr>
            <w:r>
              <w:rPr>
                <w:w w:val="105"/>
                <w:sz w:val="12"/>
              </w:rPr>
              <w:t>Impuesto sobre beneficios</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spacing w:line="127" w:lineRule="exact" w:before="2"/>
              <w:ind w:right="37"/>
              <w:jc w:val="right"/>
              <w:rPr>
                <w:sz w:val="12"/>
              </w:rPr>
            </w:pPr>
            <w:r>
              <w:rPr>
                <w:w w:val="105"/>
                <w:sz w:val="12"/>
              </w:rPr>
              <w:t>157.776,33</w:t>
            </w:r>
          </w:p>
        </w:tc>
        <w:tc>
          <w:tcPr>
            <w:tcW w:w="873" w:type="dxa"/>
          </w:tcPr>
          <w:p>
            <w:pPr>
              <w:pStyle w:val="TableParagraph"/>
              <w:rPr>
                <w:rFonts w:ascii="Times New Roman"/>
                <w:sz w:val="8"/>
              </w:rPr>
            </w:pPr>
          </w:p>
        </w:tc>
        <w:tc>
          <w:tcPr>
            <w:tcW w:w="819" w:type="dxa"/>
          </w:tcPr>
          <w:p>
            <w:pPr>
              <w:pStyle w:val="TableParagraph"/>
              <w:rPr>
                <w:rFonts w:ascii="Times New Roman"/>
                <w:sz w:val="8"/>
              </w:rPr>
            </w:pPr>
          </w:p>
        </w:tc>
        <w:tc>
          <w:tcPr>
            <w:tcW w:w="810" w:type="dxa"/>
          </w:tcPr>
          <w:p>
            <w:pPr>
              <w:pStyle w:val="TableParagraph"/>
              <w:rPr>
                <w:rFonts w:ascii="Times New Roman"/>
                <w:sz w:val="8"/>
              </w:rPr>
            </w:pPr>
          </w:p>
        </w:tc>
        <w:tc>
          <w:tcPr>
            <w:tcW w:w="874" w:type="dxa"/>
          </w:tcPr>
          <w:p>
            <w:pPr>
              <w:pStyle w:val="TableParagraph"/>
              <w:rPr>
                <w:rFonts w:ascii="Times New Roman"/>
                <w:sz w:val="8"/>
              </w:rPr>
            </w:pPr>
          </w:p>
        </w:tc>
        <w:tc>
          <w:tcPr>
            <w:tcW w:w="808" w:type="dxa"/>
          </w:tcPr>
          <w:p>
            <w:pPr>
              <w:pStyle w:val="TableParagraph"/>
              <w:spacing w:line="127" w:lineRule="exact" w:before="2"/>
              <w:ind w:right="39"/>
              <w:jc w:val="right"/>
              <w:rPr>
                <w:sz w:val="12"/>
              </w:rPr>
            </w:pPr>
            <w:r>
              <w:rPr>
                <w:w w:val="105"/>
                <w:sz w:val="12"/>
              </w:rPr>
              <w:t>-44.431,24</w:t>
            </w:r>
          </w:p>
        </w:tc>
        <w:tc>
          <w:tcPr>
            <w:tcW w:w="877" w:type="dxa"/>
          </w:tcPr>
          <w:p>
            <w:pPr>
              <w:pStyle w:val="TableParagraph"/>
              <w:spacing w:line="127" w:lineRule="exact" w:before="2"/>
              <w:ind w:right="39"/>
              <w:jc w:val="right"/>
              <w:rPr>
                <w:sz w:val="12"/>
              </w:rPr>
            </w:pPr>
            <w:r>
              <w:rPr>
                <w:w w:val="105"/>
                <w:sz w:val="12"/>
              </w:rPr>
              <w:t>-58.701,43</w:t>
            </w:r>
          </w:p>
        </w:tc>
        <w:tc>
          <w:tcPr>
            <w:tcW w:w="833" w:type="dxa"/>
          </w:tcPr>
          <w:p>
            <w:pPr>
              <w:pStyle w:val="TableParagraph"/>
              <w:rPr>
                <w:rFonts w:ascii="Times New Roman"/>
                <w:sz w:val="8"/>
              </w:rPr>
            </w:pPr>
          </w:p>
        </w:tc>
      </w:tr>
      <w:tr>
        <w:trPr>
          <w:trHeight w:val="301" w:hRule="atLeast"/>
        </w:trPr>
        <w:tc>
          <w:tcPr>
            <w:tcW w:w="2886" w:type="dxa"/>
          </w:tcPr>
          <w:p>
            <w:pPr>
              <w:pStyle w:val="TableParagraph"/>
              <w:spacing w:before="4"/>
              <w:ind w:left="84"/>
              <w:rPr>
                <w:b/>
                <w:sz w:val="12"/>
              </w:rPr>
            </w:pPr>
            <w:r>
              <w:rPr>
                <w:b/>
                <w:w w:val="105"/>
                <w:sz w:val="12"/>
              </w:rPr>
              <w:t>RESULTADO DEL EJERCICIO PROCEDENTE DE OP.</w:t>
            </w:r>
          </w:p>
          <w:p>
            <w:pPr>
              <w:pStyle w:val="TableParagraph"/>
              <w:spacing w:line="127" w:lineRule="exact" w:before="4"/>
              <w:ind w:left="56"/>
              <w:rPr>
                <w:b/>
                <w:sz w:val="12"/>
              </w:rPr>
            </w:pPr>
            <w:r>
              <w:rPr>
                <w:b/>
                <w:w w:val="105"/>
                <w:sz w:val="12"/>
              </w:rPr>
              <w:t>CONT. (BFO. / - PDA.)</w:t>
            </w:r>
          </w:p>
        </w:tc>
        <w:tc>
          <w:tcPr>
            <w:tcW w:w="823" w:type="dxa"/>
          </w:tcPr>
          <w:p>
            <w:pPr>
              <w:pStyle w:val="TableParagraph"/>
              <w:spacing w:before="78"/>
              <w:ind w:right="36"/>
              <w:jc w:val="right"/>
              <w:rPr>
                <w:b/>
                <w:sz w:val="12"/>
              </w:rPr>
            </w:pPr>
            <w:r>
              <w:rPr>
                <w:b/>
                <w:w w:val="105"/>
                <w:sz w:val="12"/>
              </w:rPr>
              <w:t>-424.049,38</w:t>
            </w:r>
          </w:p>
        </w:tc>
        <w:tc>
          <w:tcPr>
            <w:tcW w:w="809" w:type="dxa"/>
          </w:tcPr>
          <w:p>
            <w:pPr>
              <w:pStyle w:val="TableParagraph"/>
              <w:spacing w:before="78"/>
              <w:ind w:right="37"/>
              <w:jc w:val="right"/>
              <w:rPr>
                <w:b/>
                <w:sz w:val="12"/>
              </w:rPr>
            </w:pPr>
            <w:r>
              <w:rPr>
                <w:b/>
                <w:w w:val="105"/>
                <w:sz w:val="12"/>
              </w:rPr>
              <w:t>-158.485,67</w:t>
            </w:r>
          </w:p>
        </w:tc>
        <w:tc>
          <w:tcPr>
            <w:tcW w:w="686" w:type="dxa"/>
          </w:tcPr>
          <w:p>
            <w:pPr>
              <w:pStyle w:val="TableParagraph"/>
              <w:spacing w:before="78"/>
              <w:ind w:right="39"/>
              <w:jc w:val="right"/>
              <w:rPr>
                <w:b/>
                <w:sz w:val="12"/>
              </w:rPr>
            </w:pPr>
            <w:r>
              <w:rPr>
                <w:b/>
                <w:w w:val="105"/>
                <w:sz w:val="12"/>
              </w:rPr>
              <w:t>0,00</w:t>
            </w:r>
          </w:p>
        </w:tc>
        <w:tc>
          <w:tcPr>
            <w:tcW w:w="953" w:type="dxa"/>
          </w:tcPr>
          <w:p>
            <w:pPr>
              <w:pStyle w:val="TableParagraph"/>
              <w:spacing w:before="78"/>
              <w:ind w:right="37"/>
              <w:jc w:val="right"/>
              <w:rPr>
                <w:b/>
                <w:sz w:val="12"/>
              </w:rPr>
            </w:pPr>
            <w:r>
              <w:rPr>
                <w:b/>
                <w:w w:val="105"/>
                <w:sz w:val="12"/>
              </w:rPr>
              <w:t>2.155.631,67</w:t>
            </w:r>
          </w:p>
        </w:tc>
        <w:tc>
          <w:tcPr>
            <w:tcW w:w="873" w:type="dxa"/>
          </w:tcPr>
          <w:p>
            <w:pPr>
              <w:pStyle w:val="TableParagraph"/>
              <w:spacing w:before="78"/>
              <w:ind w:right="37"/>
              <w:jc w:val="right"/>
              <w:rPr>
                <w:b/>
                <w:sz w:val="12"/>
              </w:rPr>
            </w:pPr>
            <w:r>
              <w:rPr>
                <w:b/>
                <w:w w:val="105"/>
                <w:sz w:val="12"/>
              </w:rPr>
              <w:t>-767.089,61</w:t>
            </w:r>
          </w:p>
        </w:tc>
        <w:tc>
          <w:tcPr>
            <w:tcW w:w="819" w:type="dxa"/>
          </w:tcPr>
          <w:p>
            <w:pPr>
              <w:pStyle w:val="TableParagraph"/>
              <w:spacing w:before="78"/>
              <w:ind w:right="37"/>
              <w:jc w:val="right"/>
              <w:rPr>
                <w:b/>
                <w:sz w:val="12"/>
              </w:rPr>
            </w:pPr>
            <w:r>
              <w:rPr>
                <w:b/>
                <w:w w:val="105"/>
                <w:sz w:val="12"/>
              </w:rPr>
              <w:t>-624.718,98</w:t>
            </w:r>
          </w:p>
        </w:tc>
        <w:tc>
          <w:tcPr>
            <w:tcW w:w="810" w:type="dxa"/>
          </w:tcPr>
          <w:p>
            <w:pPr>
              <w:pStyle w:val="TableParagraph"/>
              <w:spacing w:before="78"/>
              <w:ind w:right="38"/>
              <w:jc w:val="right"/>
              <w:rPr>
                <w:b/>
                <w:sz w:val="12"/>
              </w:rPr>
            </w:pPr>
            <w:r>
              <w:rPr>
                <w:b/>
                <w:w w:val="105"/>
                <w:sz w:val="12"/>
              </w:rPr>
              <w:t>832.338,60</w:t>
            </w:r>
          </w:p>
        </w:tc>
        <w:tc>
          <w:tcPr>
            <w:tcW w:w="874" w:type="dxa"/>
          </w:tcPr>
          <w:p>
            <w:pPr>
              <w:pStyle w:val="TableParagraph"/>
              <w:spacing w:before="78"/>
              <w:ind w:right="39"/>
              <w:jc w:val="right"/>
              <w:rPr>
                <w:b/>
                <w:sz w:val="12"/>
              </w:rPr>
            </w:pPr>
            <w:r>
              <w:rPr>
                <w:b/>
                <w:w w:val="105"/>
                <w:sz w:val="12"/>
              </w:rPr>
              <w:t>-5.222.877,35</w:t>
            </w:r>
          </w:p>
        </w:tc>
        <w:tc>
          <w:tcPr>
            <w:tcW w:w="808" w:type="dxa"/>
          </w:tcPr>
          <w:p>
            <w:pPr>
              <w:pStyle w:val="TableParagraph"/>
              <w:spacing w:before="78"/>
              <w:ind w:right="39"/>
              <w:jc w:val="right"/>
              <w:rPr>
                <w:b/>
                <w:sz w:val="12"/>
              </w:rPr>
            </w:pPr>
            <w:r>
              <w:rPr>
                <w:b/>
                <w:w w:val="105"/>
                <w:sz w:val="12"/>
              </w:rPr>
              <w:t>152.293,70</w:t>
            </w:r>
          </w:p>
        </w:tc>
        <w:tc>
          <w:tcPr>
            <w:tcW w:w="877" w:type="dxa"/>
          </w:tcPr>
          <w:p>
            <w:pPr>
              <w:pStyle w:val="TableParagraph"/>
              <w:spacing w:before="78"/>
              <w:ind w:right="39"/>
              <w:jc w:val="right"/>
              <w:rPr>
                <w:b/>
                <w:sz w:val="12"/>
              </w:rPr>
            </w:pPr>
            <w:r>
              <w:rPr>
                <w:b/>
                <w:w w:val="105"/>
                <w:sz w:val="12"/>
              </w:rPr>
              <w:t>-306.067,47</w:t>
            </w:r>
          </w:p>
        </w:tc>
        <w:tc>
          <w:tcPr>
            <w:tcW w:w="833" w:type="dxa"/>
          </w:tcPr>
          <w:p>
            <w:pPr>
              <w:pStyle w:val="TableParagraph"/>
              <w:spacing w:before="78"/>
              <w:ind w:right="39"/>
              <w:jc w:val="right"/>
              <w:rPr>
                <w:b/>
                <w:sz w:val="12"/>
              </w:rPr>
            </w:pPr>
            <w:r>
              <w:rPr>
                <w:b/>
                <w:w w:val="105"/>
                <w:sz w:val="12"/>
              </w:rPr>
              <w:t>-3.440.277,00</w:t>
            </w:r>
          </w:p>
        </w:tc>
      </w:tr>
      <w:tr>
        <w:trPr>
          <w:trHeight w:val="150" w:hRule="atLeast"/>
        </w:trPr>
        <w:tc>
          <w:tcPr>
            <w:tcW w:w="2886" w:type="dxa"/>
          </w:tcPr>
          <w:p>
            <w:pPr>
              <w:pStyle w:val="TableParagraph"/>
              <w:spacing w:line="127" w:lineRule="exact" w:before="4"/>
              <w:ind w:left="84"/>
              <w:rPr>
                <w:b/>
                <w:sz w:val="12"/>
              </w:rPr>
            </w:pPr>
            <w:r>
              <w:rPr>
                <w:b/>
                <w:w w:val="105"/>
                <w:sz w:val="12"/>
              </w:rPr>
              <w:t>B) OPERAC. INTERRUMPIDAS</w:t>
            </w:r>
          </w:p>
        </w:tc>
        <w:tc>
          <w:tcPr>
            <w:tcW w:w="823" w:type="dxa"/>
          </w:tcPr>
          <w:p>
            <w:pPr>
              <w:pStyle w:val="TableParagraph"/>
              <w:rPr>
                <w:rFonts w:ascii="Times New Roman"/>
                <w:sz w:val="8"/>
              </w:rPr>
            </w:pPr>
          </w:p>
        </w:tc>
        <w:tc>
          <w:tcPr>
            <w:tcW w:w="809" w:type="dxa"/>
          </w:tcPr>
          <w:p>
            <w:pPr>
              <w:pStyle w:val="TableParagraph"/>
              <w:rPr>
                <w:rFonts w:ascii="Times New Roman"/>
                <w:sz w:val="8"/>
              </w:rPr>
            </w:pPr>
          </w:p>
        </w:tc>
        <w:tc>
          <w:tcPr>
            <w:tcW w:w="686" w:type="dxa"/>
          </w:tcPr>
          <w:p>
            <w:pPr>
              <w:pStyle w:val="TableParagraph"/>
              <w:rPr>
                <w:rFonts w:ascii="Times New Roman"/>
                <w:sz w:val="8"/>
              </w:rPr>
            </w:pPr>
          </w:p>
        </w:tc>
        <w:tc>
          <w:tcPr>
            <w:tcW w:w="953" w:type="dxa"/>
          </w:tcPr>
          <w:p>
            <w:pPr>
              <w:pStyle w:val="TableParagraph"/>
              <w:rPr>
                <w:rFonts w:ascii="Times New Roman"/>
                <w:sz w:val="8"/>
              </w:rPr>
            </w:pPr>
          </w:p>
        </w:tc>
        <w:tc>
          <w:tcPr>
            <w:tcW w:w="873" w:type="dxa"/>
          </w:tcPr>
          <w:p>
            <w:pPr>
              <w:pStyle w:val="TableParagraph"/>
              <w:rPr>
                <w:rFonts w:ascii="Times New Roman"/>
                <w:sz w:val="8"/>
              </w:rPr>
            </w:pPr>
          </w:p>
        </w:tc>
        <w:tc>
          <w:tcPr>
            <w:tcW w:w="819" w:type="dxa"/>
          </w:tcPr>
          <w:p>
            <w:pPr>
              <w:pStyle w:val="TableParagraph"/>
              <w:rPr>
                <w:rFonts w:ascii="Times New Roman"/>
                <w:sz w:val="8"/>
              </w:rPr>
            </w:pPr>
          </w:p>
        </w:tc>
        <w:tc>
          <w:tcPr>
            <w:tcW w:w="810" w:type="dxa"/>
          </w:tcPr>
          <w:p>
            <w:pPr>
              <w:pStyle w:val="TableParagraph"/>
              <w:rPr>
                <w:rFonts w:ascii="Times New Roman"/>
                <w:sz w:val="8"/>
              </w:rPr>
            </w:pPr>
          </w:p>
        </w:tc>
        <w:tc>
          <w:tcPr>
            <w:tcW w:w="874" w:type="dxa"/>
          </w:tcPr>
          <w:p>
            <w:pPr>
              <w:pStyle w:val="TableParagraph"/>
              <w:rPr>
                <w:rFonts w:ascii="Times New Roman"/>
                <w:sz w:val="8"/>
              </w:rPr>
            </w:pPr>
          </w:p>
        </w:tc>
        <w:tc>
          <w:tcPr>
            <w:tcW w:w="808" w:type="dxa"/>
          </w:tcPr>
          <w:p>
            <w:pPr>
              <w:pStyle w:val="TableParagraph"/>
              <w:rPr>
                <w:rFonts w:ascii="Times New Roman"/>
                <w:sz w:val="8"/>
              </w:rPr>
            </w:pPr>
          </w:p>
        </w:tc>
        <w:tc>
          <w:tcPr>
            <w:tcW w:w="877" w:type="dxa"/>
          </w:tcPr>
          <w:p>
            <w:pPr>
              <w:pStyle w:val="TableParagraph"/>
              <w:rPr>
                <w:rFonts w:ascii="Times New Roman"/>
                <w:sz w:val="8"/>
              </w:rPr>
            </w:pPr>
          </w:p>
        </w:tc>
        <w:tc>
          <w:tcPr>
            <w:tcW w:w="833" w:type="dxa"/>
          </w:tcPr>
          <w:p>
            <w:pPr>
              <w:pStyle w:val="TableParagraph"/>
              <w:rPr>
                <w:rFonts w:ascii="Times New Roman"/>
                <w:sz w:val="8"/>
              </w:rPr>
            </w:pPr>
          </w:p>
        </w:tc>
      </w:tr>
      <w:tr>
        <w:trPr>
          <w:trHeight w:val="148" w:hRule="atLeast"/>
        </w:trPr>
        <w:tc>
          <w:tcPr>
            <w:tcW w:w="2886" w:type="dxa"/>
            <w:tcBorders>
              <w:left w:val="single" w:sz="6" w:space="0" w:color="000000"/>
            </w:tcBorders>
          </w:tcPr>
          <w:p>
            <w:pPr>
              <w:pStyle w:val="TableParagraph"/>
              <w:spacing w:line="127" w:lineRule="exact" w:before="2"/>
              <w:ind w:left="54"/>
              <w:rPr>
                <w:sz w:val="12"/>
              </w:rPr>
            </w:pPr>
            <w:r>
              <w:rPr>
                <w:w w:val="105"/>
                <w:sz w:val="12"/>
              </w:rPr>
              <w:t>Rdo del ejer. Proced. de op. Interrump. netas de Imp.</w:t>
            </w:r>
          </w:p>
        </w:tc>
        <w:tc>
          <w:tcPr>
            <w:tcW w:w="823" w:type="dxa"/>
          </w:tcPr>
          <w:p>
            <w:pPr>
              <w:pStyle w:val="TableParagraph"/>
              <w:spacing w:line="127" w:lineRule="exact" w:before="2"/>
              <w:ind w:right="37"/>
              <w:jc w:val="right"/>
              <w:rPr>
                <w:sz w:val="12"/>
              </w:rPr>
            </w:pPr>
            <w:r>
              <w:rPr>
                <w:sz w:val="12"/>
              </w:rPr>
              <w:t>0,00</w:t>
            </w:r>
          </w:p>
        </w:tc>
        <w:tc>
          <w:tcPr>
            <w:tcW w:w="809" w:type="dxa"/>
          </w:tcPr>
          <w:p>
            <w:pPr>
              <w:pStyle w:val="TableParagraph"/>
              <w:spacing w:line="127" w:lineRule="exact" w:before="2"/>
              <w:ind w:right="38"/>
              <w:jc w:val="right"/>
              <w:rPr>
                <w:sz w:val="12"/>
              </w:rPr>
            </w:pPr>
            <w:r>
              <w:rPr>
                <w:sz w:val="12"/>
              </w:rPr>
              <w:t>0,00</w:t>
            </w:r>
          </w:p>
        </w:tc>
        <w:tc>
          <w:tcPr>
            <w:tcW w:w="686" w:type="dxa"/>
          </w:tcPr>
          <w:p>
            <w:pPr>
              <w:pStyle w:val="TableParagraph"/>
              <w:spacing w:line="127" w:lineRule="exact" w:before="2"/>
              <w:ind w:right="37"/>
              <w:jc w:val="right"/>
              <w:rPr>
                <w:sz w:val="12"/>
              </w:rPr>
            </w:pPr>
            <w:r>
              <w:rPr>
                <w:sz w:val="12"/>
              </w:rPr>
              <w:t>0,00</w:t>
            </w:r>
          </w:p>
        </w:tc>
        <w:tc>
          <w:tcPr>
            <w:tcW w:w="953" w:type="dxa"/>
          </w:tcPr>
          <w:p>
            <w:pPr>
              <w:pStyle w:val="TableParagraph"/>
              <w:spacing w:line="127" w:lineRule="exact" w:before="2"/>
              <w:ind w:right="37"/>
              <w:jc w:val="right"/>
              <w:rPr>
                <w:sz w:val="12"/>
              </w:rPr>
            </w:pPr>
            <w:r>
              <w:rPr>
                <w:sz w:val="12"/>
              </w:rPr>
              <w:t>0,00</w:t>
            </w:r>
          </w:p>
        </w:tc>
        <w:tc>
          <w:tcPr>
            <w:tcW w:w="873" w:type="dxa"/>
          </w:tcPr>
          <w:p>
            <w:pPr>
              <w:pStyle w:val="TableParagraph"/>
              <w:spacing w:line="127" w:lineRule="exact" w:before="2"/>
              <w:ind w:right="37"/>
              <w:jc w:val="right"/>
              <w:rPr>
                <w:sz w:val="12"/>
              </w:rPr>
            </w:pPr>
            <w:r>
              <w:rPr>
                <w:sz w:val="12"/>
              </w:rPr>
              <w:t>0,00</w:t>
            </w:r>
          </w:p>
        </w:tc>
        <w:tc>
          <w:tcPr>
            <w:tcW w:w="819" w:type="dxa"/>
          </w:tcPr>
          <w:p>
            <w:pPr>
              <w:pStyle w:val="TableParagraph"/>
              <w:spacing w:line="127" w:lineRule="exact" w:before="2"/>
              <w:ind w:right="37"/>
              <w:jc w:val="right"/>
              <w:rPr>
                <w:sz w:val="12"/>
              </w:rPr>
            </w:pPr>
            <w:r>
              <w:rPr>
                <w:sz w:val="12"/>
              </w:rPr>
              <w:t>0,00</w:t>
            </w:r>
          </w:p>
        </w:tc>
        <w:tc>
          <w:tcPr>
            <w:tcW w:w="810" w:type="dxa"/>
          </w:tcPr>
          <w:p>
            <w:pPr>
              <w:pStyle w:val="TableParagraph"/>
              <w:rPr>
                <w:rFonts w:ascii="Times New Roman"/>
                <w:sz w:val="8"/>
              </w:rPr>
            </w:pPr>
          </w:p>
        </w:tc>
        <w:tc>
          <w:tcPr>
            <w:tcW w:w="874" w:type="dxa"/>
          </w:tcPr>
          <w:p>
            <w:pPr>
              <w:pStyle w:val="TableParagraph"/>
              <w:spacing w:line="127" w:lineRule="exact" w:before="2"/>
              <w:ind w:right="39"/>
              <w:jc w:val="right"/>
              <w:rPr>
                <w:sz w:val="12"/>
              </w:rPr>
            </w:pPr>
            <w:r>
              <w:rPr>
                <w:sz w:val="12"/>
              </w:rPr>
              <w:t>0,00</w:t>
            </w:r>
          </w:p>
        </w:tc>
        <w:tc>
          <w:tcPr>
            <w:tcW w:w="808" w:type="dxa"/>
          </w:tcPr>
          <w:p>
            <w:pPr>
              <w:pStyle w:val="TableParagraph"/>
              <w:spacing w:line="127" w:lineRule="exact" w:before="2"/>
              <w:ind w:right="39"/>
              <w:jc w:val="right"/>
              <w:rPr>
                <w:sz w:val="12"/>
              </w:rPr>
            </w:pPr>
            <w:r>
              <w:rPr>
                <w:sz w:val="12"/>
              </w:rPr>
              <w:t>0,00</w:t>
            </w:r>
          </w:p>
        </w:tc>
        <w:tc>
          <w:tcPr>
            <w:tcW w:w="877" w:type="dxa"/>
          </w:tcPr>
          <w:p>
            <w:pPr>
              <w:pStyle w:val="TableParagraph"/>
              <w:rPr>
                <w:rFonts w:ascii="Times New Roman"/>
                <w:sz w:val="8"/>
              </w:rPr>
            </w:pPr>
          </w:p>
        </w:tc>
        <w:tc>
          <w:tcPr>
            <w:tcW w:w="833" w:type="dxa"/>
          </w:tcPr>
          <w:p>
            <w:pPr>
              <w:pStyle w:val="TableParagraph"/>
              <w:spacing w:line="127" w:lineRule="exact" w:before="2"/>
              <w:ind w:right="39"/>
              <w:jc w:val="right"/>
              <w:rPr>
                <w:sz w:val="12"/>
              </w:rPr>
            </w:pPr>
            <w:r>
              <w:rPr>
                <w:sz w:val="12"/>
              </w:rPr>
              <w:t>0,00</w:t>
            </w:r>
          </w:p>
        </w:tc>
      </w:tr>
      <w:tr>
        <w:trPr>
          <w:trHeight w:val="150" w:hRule="atLeast"/>
        </w:trPr>
        <w:tc>
          <w:tcPr>
            <w:tcW w:w="2886" w:type="dxa"/>
          </w:tcPr>
          <w:p>
            <w:pPr>
              <w:pStyle w:val="TableParagraph"/>
              <w:spacing w:line="127" w:lineRule="exact" w:before="4"/>
              <w:ind w:left="84"/>
              <w:rPr>
                <w:b/>
                <w:sz w:val="12"/>
              </w:rPr>
            </w:pPr>
            <w:r>
              <w:rPr>
                <w:b/>
                <w:w w:val="105"/>
                <w:sz w:val="12"/>
              </w:rPr>
              <w:t>RESULTADO DEL EJERCICIO</w:t>
            </w:r>
          </w:p>
        </w:tc>
        <w:tc>
          <w:tcPr>
            <w:tcW w:w="823" w:type="dxa"/>
          </w:tcPr>
          <w:p>
            <w:pPr>
              <w:pStyle w:val="TableParagraph"/>
              <w:spacing w:line="127" w:lineRule="exact" w:before="4"/>
              <w:ind w:right="36"/>
              <w:jc w:val="right"/>
              <w:rPr>
                <w:b/>
                <w:sz w:val="12"/>
              </w:rPr>
            </w:pPr>
            <w:r>
              <w:rPr>
                <w:b/>
                <w:w w:val="105"/>
                <w:sz w:val="12"/>
              </w:rPr>
              <w:t>-424.049,38</w:t>
            </w:r>
          </w:p>
        </w:tc>
        <w:tc>
          <w:tcPr>
            <w:tcW w:w="809" w:type="dxa"/>
          </w:tcPr>
          <w:p>
            <w:pPr>
              <w:pStyle w:val="TableParagraph"/>
              <w:spacing w:line="127" w:lineRule="exact" w:before="4"/>
              <w:ind w:right="37"/>
              <w:jc w:val="right"/>
              <w:rPr>
                <w:b/>
                <w:sz w:val="12"/>
              </w:rPr>
            </w:pPr>
            <w:r>
              <w:rPr>
                <w:b/>
                <w:w w:val="105"/>
                <w:sz w:val="12"/>
              </w:rPr>
              <w:t>-158.485,67</w:t>
            </w:r>
          </w:p>
        </w:tc>
        <w:tc>
          <w:tcPr>
            <w:tcW w:w="686" w:type="dxa"/>
          </w:tcPr>
          <w:p>
            <w:pPr>
              <w:pStyle w:val="TableParagraph"/>
              <w:spacing w:line="127" w:lineRule="exact" w:before="4"/>
              <w:ind w:right="39"/>
              <w:jc w:val="right"/>
              <w:rPr>
                <w:b/>
                <w:sz w:val="12"/>
              </w:rPr>
            </w:pPr>
            <w:r>
              <w:rPr>
                <w:b/>
                <w:w w:val="105"/>
                <w:sz w:val="12"/>
              </w:rPr>
              <w:t>0,00</w:t>
            </w:r>
          </w:p>
        </w:tc>
        <w:tc>
          <w:tcPr>
            <w:tcW w:w="953" w:type="dxa"/>
          </w:tcPr>
          <w:p>
            <w:pPr>
              <w:pStyle w:val="TableParagraph"/>
              <w:spacing w:line="127" w:lineRule="exact" w:before="4"/>
              <w:ind w:right="37"/>
              <w:jc w:val="right"/>
              <w:rPr>
                <w:b/>
                <w:sz w:val="12"/>
              </w:rPr>
            </w:pPr>
            <w:r>
              <w:rPr>
                <w:b/>
                <w:w w:val="105"/>
                <w:sz w:val="12"/>
              </w:rPr>
              <w:t>2.155.631,67</w:t>
            </w:r>
          </w:p>
        </w:tc>
        <w:tc>
          <w:tcPr>
            <w:tcW w:w="873" w:type="dxa"/>
          </w:tcPr>
          <w:p>
            <w:pPr>
              <w:pStyle w:val="TableParagraph"/>
              <w:spacing w:line="127" w:lineRule="exact" w:before="4"/>
              <w:ind w:right="37"/>
              <w:jc w:val="right"/>
              <w:rPr>
                <w:b/>
                <w:sz w:val="12"/>
              </w:rPr>
            </w:pPr>
            <w:r>
              <w:rPr>
                <w:b/>
                <w:w w:val="105"/>
                <w:sz w:val="12"/>
              </w:rPr>
              <w:t>-767.089,61</w:t>
            </w:r>
          </w:p>
        </w:tc>
        <w:tc>
          <w:tcPr>
            <w:tcW w:w="819" w:type="dxa"/>
          </w:tcPr>
          <w:p>
            <w:pPr>
              <w:pStyle w:val="TableParagraph"/>
              <w:spacing w:line="127" w:lineRule="exact" w:before="4"/>
              <w:ind w:right="37"/>
              <w:jc w:val="right"/>
              <w:rPr>
                <w:b/>
                <w:sz w:val="12"/>
              </w:rPr>
            </w:pPr>
            <w:r>
              <w:rPr>
                <w:b/>
                <w:w w:val="105"/>
                <w:sz w:val="12"/>
              </w:rPr>
              <w:t>-624.718,98</w:t>
            </w:r>
          </w:p>
        </w:tc>
        <w:tc>
          <w:tcPr>
            <w:tcW w:w="810" w:type="dxa"/>
          </w:tcPr>
          <w:p>
            <w:pPr>
              <w:pStyle w:val="TableParagraph"/>
              <w:spacing w:line="127" w:lineRule="exact" w:before="4"/>
              <w:ind w:right="38"/>
              <w:jc w:val="right"/>
              <w:rPr>
                <w:b/>
                <w:sz w:val="12"/>
              </w:rPr>
            </w:pPr>
            <w:r>
              <w:rPr>
                <w:b/>
                <w:w w:val="105"/>
                <w:sz w:val="12"/>
              </w:rPr>
              <w:t>832.338,60</w:t>
            </w:r>
          </w:p>
        </w:tc>
        <w:tc>
          <w:tcPr>
            <w:tcW w:w="874" w:type="dxa"/>
          </w:tcPr>
          <w:p>
            <w:pPr>
              <w:pStyle w:val="TableParagraph"/>
              <w:spacing w:line="127" w:lineRule="exact" w:before="4"/>
              <w:ind w:right="39"/>
              <w:jc w:val="right"/>
              <w:rPr>
                <w:b/>
                <w:sz w:val="12"/>
              </w:rPr>
            </w:pPr>
            <w:r>
              <w:rPr>
                <w:b/>
                <w:w w:val="105"/>
                <w:sz w:val="12"/>
              </w:rPr>
              <w:t>-5.222.877,35</w:t>
            </w:r>
          </w:p>
        </w:tc>
        <w:tc>
          <w:tcPr>
            <w:tcW w:w="808" w:type="dxa"/>
          </w:tcPr>
          <w:p>
            <w:pPr>
              <w:pStyle w:val="TableParagraph"/>
              <w:spacing w:line="127" w:lineRule="exact" w:before="4"/>
              <w:ind w:right="39"/>
              <w:jc w:val="right"/>
              <w:rPr>
                <w:b/>
                <w:sz w:val="12"/>
              </w:rPr>
            </w:pPr>
            <w:r>
              <w:rPr>
                <w:b/>
                <w:w w:val="105"/>
                <w:sz w:val="12"/>
              </w:rPr>
              <w:t>152.293,70</w:t>
            </w:r>
          </w:p>
        </w:tc>
        <w:tc>
          <w:tcPr>
            <w:tcW w:w="877" w:type="dxa"/>
          </w:tcPr>
          <w:p>
            <w:pPr>
              <w:pStyle w:val="TableParagraph"/>
              <w:spacing w:line="127" w:lineRule="exact" w:before="4"/>
              <w:ind w:right="39"/>
              <w:jc w:val="right"/>
              <w:rPr>
                <w:b/>
                <w:sz w:val="12"/>
              </w:rPr>
            </w:pPr>
            <w:r>
              <w:rPr>
                <w:b/>
                <w:w w:val="105"/>
                <w:sz w:val="12"/>
              </w:rPr>
              <w:t>-306.067,47</w:t>
            </w:r>
          </w:p>
        </w:tc>
        <w:tc>
          <w:tcPr>
            <w:tcW w:w="833" w:type="dxa"/>
          </w:tcPr>
          <w:p>
            <w:pPr>
              <w:pStyle w:val="TableParagraph"/>
              <w:spacing w:line="127" w:lineRule="exact" w:before="4"/>
              <w:ind w:right="39"/>
              <w:jc w:val="right"/>
              <w:rPr>
                <w:b/>
                <w:sz w:val="12"/>
              </w:rPr>
            </w:pPr>
            <w:r>
              <w:rPr>
                <w:b/>
                <w:w w:val="105"/>
                <w:sz w:val="12"/>
              </w:rPr>
              <w:t>-3.440.277,00</w:t>
            </w:r>
          </w:p>
        </w:tc>
      </w:tr>
    </w:tbl>
    <w:p>
      <w:pPr>
        <w:pStyle w:val="BodyText"/>
        <w:spacing w:before="11"/>
        <w:rPr>
          <w:b/>
          <w:sz w:val="6"/>
        </w:rPr>
      </w:pPr>
    </w:p>
    <w:p>
      <w:pPr>
        <w:spacing w:before="69"/>
        <w:ind w:left="11517" w:right="1354" w:firstLine="0"/>
        <w:jc w:val="center"/>
        <w:rPr>
          <w:sz w:val="18"/>
        </w:rPr>
      </w:pPr>
      <w:r>
        <w:rPr>
          <w:w w:val="105"/>
          <w:sz w:val="18"/>
        </w:rPr>
        <w:t>196</w:t>
      </w:r>
    </w:p>
    <w:p>
      <w:pPr>
        <w:spacing w:before="9"/>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25" name="image5.png"/>
                  <wp:cNvGraphicFramePr>
                    <a:graphicFrameLocks noChangeAspect="1"/>
                  </wp:cNvGraphicFramePr>
                  <a:graphic>
                    <a:graphicData uri="http://schemas.openxmlformats.org/drawingml/2006/picture">
                      <pic:pic>
                        <pic:nvPicPr>
                          <pic:cNvPr id="42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198/247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pStyle w:val="BodyText"/>
        <w:rPr>
          <w:b/>
        </w:rPr>
      </w:pPr>
    </w:p>
    <w:p>
      <w:pPr>
        <w:pStyle w:val="BodyText"/>
        <w:spacing w:before="6"/>
        <w:rPr>
          <w:b/>
          <w:sz w:val="24"/>
        </w:rPr>
      </w:pPr>
    </w:p>
    <w:tbl>
      <w:tblPr>
        <w:tblW w:w="0" w:type="auto"/>
        <w:jc w:val="left"/>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5"/>
        <w:gridCol w:w="793"/>
        <w:gridCol w:w="823"/>
        <w:gridCol w:w="808"/>
        <w:gridCol w:w="864"/>
        <w:gridCol w:w="946"/>
        <w:gridCol w:w="776"/>
        <w:gridCol w:w="748"/>
        <w:gridCol w:w="720"/>
        <w:gridCol w:w="881"/>
        <w:gridCol w:w="888"/>
        <w:gridCol w:w="879"/>
        <w:gridCol w:w="831"/>
      </w:tblGrid>
      <w:tr>
        <w:trPr>
          <w:trHeight w:val="454" w:hRule="atLeast"/>
        </w:trPr>
        <w:tc>
          <w:tcPr>
            <w:tcW w:w="2095" w:type="dxa"/>
            <w:shd w:val="clear" w:color="auto" w:fill="D9E1F3"/>
          </w:tcPr>
          <w:p>
            <w:pPr>
              <w:pStyle w:val="TableParagraph"/>
              <w:rPr>
                <w:b/>
                <w:sz w:val="13"/>
              </w:rPr>
            </w:pPr>
          </w:p>
          <w:p>
            <w:pPr>
              <w:pStyle w:val="TableParagraph"/>
              <w:ind w:left="815" w:right="800"/>
              <w:jc w:val="center"/>
              <w:rPr>
                <w:b/>
                <w:sz w:val="11"/>
              </w:rPr>
            </w:pPr>
            <w:r>
              <w:rPr>
                <w:b/>
                <w:sz w:val="11"/>
              </w:rPr>
              <w:t>CUENTAS</w:t>
            </w:r>
          </w:p>
        </w:tc>
        <w:tc>
          <w:tcPr>
            <w:tcW w:w="793" w:type="dxa"/>
            <w:shd w:val="clear" w:color="auto" w:fill="D9E1F3"/>
          </w:tcPr>
          <w:p>
            <w:pPr>
              <w:pStyle w:val="TableParagraph"/>
              <w:spacing w:before="8"/>
              <w:rPr>
                <w:b/>
                <w:sz w:val="12"/>
              </w:rPr>
            </w:pPr>
          </w:p>
          <w:p>
            <w:pPr>
              <w:pStyle w:val="TableParagraph"/>
              <w:ind w:left="254" w:right="242"/>
              <w:jc w:val="center"/>
              <w:rPr>
                <w:b/>
                <w:sz w:val="12"/>
              </w:rPr>
            </w:pPr>
            <w:r>
              <w:rPr>
                <w:b/>
                <w:w w:val="105"/>
                <w:sz w:val="12"/>
              </w:rPr>
              <w:t>ICDC</w:t>
            </w:r>
          </w:p>
        </w:tc>
        <w:tc>
          <w:tcPr>
            <w:tcW w:w="823" w:type="dxa"/>
            <w:shd w:val="clear" w:color="auto" w:fill="D9E1F3"/>
          </w:tcPr>
          <w:p>
            <w:pPr>
              <w:pStyle w:val="TableParagraph"/>
              <w:spacing w:before="8"/>
              <w:rPr>
                <w:b/>
                <w:sz w:val="12"/>
              </w:rPr>
            </w:pPr>
          </w:p>
          <w:p>
            <w:pPr>
              <w:pStyle w:val="TableParagraph"/>
              <w:ind w:left="283"/>
              <w:rPr>
                <w:b/>
                <w:sz w:val="12"/>
              </w:rPr>
            </w:pPr>
            <w:r>
              <w:rPr>
                <w:b/>
                <w:w w:val="105"/>
                <w:sz w:val="12"/>
              </w:rPr>
              <w:t>I.T.C.</w:t>
            </w:r>
          </w:p>
        </w:tc>
        <w:tc>
          <w:tcPr>
            <w:tcW w:w="808" w:type="dxa"/>
            <w:shd w:val="clear" w:color="auto" w:fill="D9E1F3"/>
          </w:tcPr>
          <w:p>
            <w:pPr>
              <w:pStyle w:val="TableParagraph"/>
              <w:spacing w:before="8"/>
              <w:rPr>
                <w:b/>
                <w:sz w:val="12"/>
              </w:rPr>
            </w:pPr>
          </w:p>
          <w:p>
            <w:pPr>
              <w:pStyle w:val="TableParagraph"/>
              <w:ind w:left="162"/>
              <w:rPr>
                <w:b/>
                <w:sz w:val="12"/>
              </w:rPr>
            </w:pPr>
            <w:r>
              <w:rPr>
                <w:b/>
                <w:w w:val="105"/>
                <w:sz w:val="12"/>
              </w:rPr>
              <w:t>PROEXCA</w:t>
            </w:r>
          </w:p>
        </w:tc>
        <w:tc>
          <w:tcPr>
            <w:tcW w:w="864" w:type="dxa"/>
            <w:shd w:val="clear" w:color="auto" w:fill="D9E1F3"/>
          </w:tcPr>
          <w:p>
            <w:pPr>
              <w:pStyle w:val="TableParagraph"/>
              <w:spacing w:before="8"/>
              <w:rPr>
                <w:b/>
                <w:sz w:val="12"/>
              </w:rPr>
            </w:pPr>
          </w:p>
          <w:p>
            <w:pPr>
              <w:pStyle w:val="TableParagraph"/>
              <w:ind w:right="103"/>
              <w:jc w:val="right"/>
              <w:rPr>
                <w:b/>
                <w:sz w:val="12"/>
              </w:rPr>
            </w:pPr>
            <w:r>
              <w:rPr>
                <w:b/>
                <w:sz w:val="12"/>
              </w:rPr>
              <w:t>PROMOTUR</w:t>
            </w:r>
          </w:p>
        </w:tc>
        <w:tc>
          <w:tcPr>
            <w:tcW w:w="946" w:type="dxa"/>
            <w:shd w:val="clear" w:color="auto" w:fill="D9E1F3"/>
          </w:tcPr>
          <w:p>
            <w:pPr>
              <w:pStyle w:val="TableParagraph"/>
              <w:spacing w:line="249" w:lineRule="auto" w:before="78"/>
              <w:ind w:left="200" w:firstLine="29"/>
              <w:rPr>
                <w:b/>
                <w:sz w:val="12"/>
              </w:rPr>
            </w:pPr>
            <w:r>
              <w:rPr>
                <w:b/>
                <w:w w:val="105"/>
                <w:sz w:val="12"/>
              </w:rPr>
              <w:t>PUERTOS CANARIOS</w:t>
            </w:r>
          </w:p>
        </w:tc>
        <w:tc>
          <w:tcPr>
            <w:tcW w:w="776" w:type="dxa"/>
            <w:shd w:val="clear" w:color="auto" w:fill="D9E1F3"/>
          </w:tcPr>
          <w:p>
            <w:pPr>
              <w:pStyle w:val="TableParagraph"/>
              <w:spacing w:before="8"/>
              <w:rPr>
                <w:b/>
                <w:sz w:val="12"/>
              </w:rPr>
            </w:pPr>
          </w:p>
          <w:p>
            <w:pPr>
              <w:pStyle w:val="TableParagraph"/>
              <w:ind w:left="206" w:right="195"/>
              <w:jc w:val="center"/>
              <w:rPr>
                <w:b/>
                <w:sz w:val="12"/>
              </w:rPr>
            </w:pPr>
            <w:r>
              <w:rPr>
                <w:b/>
                <w:w w:val="105"/>
                <w:sz w:val="12"/>
              </w:rPr>
              <w:t>RPC</w:t>
            </w:r>
          </w:p>
        </w:tc>
        <w:tc>
          <w:tcPr>
            <w:tcW w:w="748" w:type="dxa"/>
            <w:shd w:val="clear" w:color="auto" w:fill="D9E1F3"/>
          </w:tcPr>
          <w:p>
            <w:pPr>
              <w:pStyle w:val="TableParagraph"/>
              <w:spacing w:before="4"/>
              <w:ind w:left="34" w:right="23"/>
              <w:jc w:val="center"/>
              <w:rPr>
                <w:b/>
                <w:sz w:val="12"/>
              </w:rPr>
            </w:pPr>
            <w:r>
              <w:rPr>
                <w:b/>
                <w:w w:val="105"/>
                <w:sz w:val="12"/>
              </w:rPr>
              <w:t>GESPROTUR</w:t>
            </w:r>
          </w:p>
          <w:p>
            <w:pPr>
              <w:pStyle w:val="TableParagraph"/>
              <w:spacing w:line="150" w:lineRule="atLeast" w:before="1"/>
              <w:ind w:left="99" w:right="83" w:hanging="2"/>
              <w:jc w:val="center"/>
              <w:rPr>
                <w:b/>
                <w:sz w:val="12"/>
              </w:rPr>
            </w:pPr>
            <w:r>
              <w:rPr>
                <w:b/>
                <w:w w:val="105"/>
                <w:sz w:val="12"/>
              </w:rPr>
              <w:t>(antes </w:t>
            </w:r>
            <w:r>
              <w:rPr>
                <w:b/>
                <w:spacing w:val="-1"/>
                <w:w w:val="105"/>
                <w:sz w:val="12"/>
              </w:rPr>
              <w:t>SATURNO)</w:t>
            </w:r>
          </w:p>
        </w:tc>
        <w:tc>
          <w:tcPr>
            <w:tcW w:w="720" w:type="dxa"/>
            <w:shd w:val="clear" w:color="auto" w:fill="D9E1F3"/>
          </w:tcPr>
          <w:p>
            <w:pPr>
              <w:pStyle w:val="TableParagraph"/>
              <w:spacing w:before="8"/>
              <w:rPr>
                <w:b/>
                <w:sz w:val="12"/>
              </w:rPr>
            </w:pPr>
          </w:p>
          <w:p>
            <w:pPr>
              <w:pStyle w:val="TableParagraph"/>
              <w:ind w:right="93"/>
              <w:jc w:val="right"/>
              <w:rPr>
                <w:b/>
                <w:sz w:val="12"/>
              </w:rPr>
            </w:pPr>
            <w:r>
              <w:rPr>
                <w:b/>
                <w:sz w:val="12"/>
              </w:rPr>
              <w:t>SODECAN</w:t>
            </w:r>
          </w:p>
        </w:tc>
        <w:tc>
          <w:tcPr>
            <w:tcW w:w="881" w:type="dxa"/>
            <w:shd w:val="clear" w:color="auto" w:fill="D9E1F3"/>
          </w:tcPr>
          <w:p>
            <w:pPr>
              <w:pStyle w:val="TableParagraph"/>
              <w:spacing w:before="8"/>
              <w:rPr>
                <w:b/>
                <w:sz w:val="12"/>
              </w:rPr>
            </w:pPr>
          </w:p>
          <w:p>
            <w:pPr>
              <w:pStyle w:val="TableParagraph"/>
              <w:ind w:left="284" w:right="276"/>
              <w:jc w:val="center"/>
              <w:rPr>
                <w:b/>
                <w:sz w:val="12"/>
              </w:rPr>
            </w:pPr>
            <w:r>
              <w:rPr>
                <w:b/>
                <w:w w:val="105"/>
                <w:sz w:val="12"/>
              </w:rPr>
              <w:t>TVPC</w:t>
            </w:r>
          </w:p>
        </w:tc>
        <w:tc>
          <w:tcPr>
            <w:tcW w:w="888" w:type="dxa"/>
            <w:shd w:val="clear" w:color="auto" w:fill="D9E1F3"/>
          </w:tcPr>
          <w:p>
            <w:pPr>
              <w:pStyle w:val="TableParagraph"/>
              <w:spacing w:before="8"/>
              <w:rPr>
                <w:b/>
                <w:sz w:val="12"/>
              </w:rPr>
            </w:pPr>
          </w:p>
          <w:p>
            <w:pPr>
              <w:pStyle w:val="TableParagraph"/>
              <w:ind w:left="207"/>
              <w:rPr>
                <w:b/>
                <w:sz w:val="12"/>
              </w:rPr>
            </w:pPr>
            <w:r>
              <w:rPr>
                <w:b/>
                <w:w w:val="105"/>
                <w:sz w:val="12"/>
              </w:rPr>
              <w:t>VISOCAN</w:t>
            </w:r>
          </w:p>
        </w:tc>
        <w:tc>
          <w:tcPr>
            <w:tcW w:w="879" w:type="dxa"/>
            <w:shd w:val="clear" w:color="auto" w:fill="D9E1F3"/>
          </w:tcPr>
          <w:p>
            <w:pPr>
              <w:pStyle w:val="TableParagraph"/>
              <w:spacing w:line="249" w:lineRule="auto" w:before="78"/>
              <w:ind w:left="313" w:hanging="176"/>
              <w:rPr>
                <w:b/>
                <w:sz w:val="12"/>
              </w:rPr>
            </w:pPr>
            <w:r>
              <w:rPr>
                <w:b/>
                <w:sz w:val="12"/>
              </w:rPr>
              <w:t>AGREGADO </w:t>
            </w:r>
            <w:r>
              <w:rPr>
                <w:b/>
                <w:w w:val="105"/>
                <w:sz w:val="12"/>
              </w:rPr>
              <w:t>2022</w:t>
            </w:r>
          </w:p>
        </w:tc>
        <w:tc>
          <w:tcPr>
            <w:tcW w:w="831" w:type="dxa"/>
            <w:shd w:val="clear" w:color="auto" w:fill="D9E1F3"/>
          </w:tcPr>
          <w:p>
            <w:pPr>
              <w:pStyle w:val="TableParagraph"/>
              <w:spacing w:line="249" w:lineRule="auto" w:before="78"/>
              <w:ind w:left="288" w:hanging="176"/>
              <w:rPr>
                <w:b/>
                <w:sz w:val="12"/>
              </w:rPr>
            </w:pPr>
            <w:r>
              <w:rPr>
                <w:b/>
                <w:sz w:val="12"/>
              </w:rPr>
              <w:t>AGREGADO </w:t>
            </w:r>
            <w:r>
              <w:rPr>
                <w:b/>
                <w:w w:val="105"/>
                <w:sz w:val="12"/>
              </w:rPr>
              <w:t>2021</w:t>
            </w:r>
          </w:p>
        </w:tc>
      </w:tr>
      <w:tr>
        <w:trPr>
          <w:trHeight w:val="129" w:hRule="atLeast"/>
        </w:trPr>
        <w:tc>
          <w:tcPr>
            <w:tcW w:w="2095" w:type="dxa"/>
          </w:tcPr>
          <w:p>
            <w:pPr>
              <w:pStyle w:val="TableParagraph"/>
              <w:spacing w:line="110" w:lineRule="exact"/>
              <w:ind w:left="58"/>
              <w:rPr>
                <w:b/>
                <w:sz w:val="11"/>
              </w:rPr>
            </w:pPr>
            <w:r>
              <w:rPr>
                <w:b/>
                <w:sz w:val="11"/>
              </w:rPr>
              <w:t>A) OPERACIONES CONTINUADAS</w:t>
            </w:r>
          </w:p>
        </w:tc>
        <w:tc>
          <w:tcPr>
            <w:tcW w:w="793" w:type="dxa"/>
          </w:tcPr>
          <w:p>
            <w:pPr>
              <w:pStyle w:val="TableParagraph"/>
              <w:rPr>
                <w:rFonts w:ascii="Times New Roman"/>
                <w:sz w:val="6"/>
              </w:rPr>
            </w:pPr>
          </w:p>
        </w:tc>
        <w:tc>
          <w:tcPr>
            <w:tcW w:w="823" w:type="dxa"/>
          </w:tcPr>
          <w:p>
            <w:pPr>
              <w:pStyle w:val="TableParagraph"/>
              <w:rPr>
                <w:rFonts w:ascii="Times New Roman"/>
                <w:sz w:val="6"/>
              </w:rPr>
            </w:pPr>
          </w:p>
        </w:tc>
        <w:tc>
          <w:tcPr>
            <w:tcW w:w="808" w:type="dxa"/>
          </w:tcPr>
          <w:p>
            <w:pPr>
              <w:pStyle w:val="TableParagraph"/>
              <w:rPr>
                <w:rFonts w:ascii="Times New Roman"/>
                <w:sz w:val="6"/>
              </w:rPr>
            </w:pPr>
          </w:p>
        </w:tc>
        <w:tc>
          <w:tcPr>
            <w:tcW w:w="864" w:type="dxa"/>
          </w:tcPr>
          <w:p>
            <w:pPr>
              <w:pStyle w:val="TableParagraph"/>
              <w:rPr>
                <w:rFonts w:ascii="Times New Roman"/>
                <w:sz w:val="6"/>
              </w:rPr>
            </w:pPr>
          </w:p>
        </w:tc>
        <w:tc>
          <w:tcPr>
            <w:tcW w:w="946" w:type="dxa"/>
          </w:tcPr>
          <w:p>
            <w:pPr>
              <w:pStyle w:val="TableParagraph"/>
              <w:rPr>
                <w:rFonts w:ascii="Times New Roman"/>
                <w:sz w:val="6"/>
              </w:rPr>
            </w:pPr>
          </w:p>
        </w:tc>
        <w:tc>
          <w:tcPr>
            <w:tcW w:w="776" w:type="dxa"/>
          </w:tcPr>
          <w:p>
            <w:pPr>
              <w:pStyle w:val="TableParagraph"/>
              <w:rPr>
                <w:rFonts w:ascii="Times New Roman"/>
                <w:sz w:val="6"/>
              </w:rPr>
            </w:pPr>
          </w:p>
        </w:tc>
        <w:tc>
          <w:tcPr>
            <w:tcW w:w="748" w:type="dxa"/>
          </w:tcPr>
          <w:p>
            <w:pPr>
              <w:pStyle w:val="TableParagraph"/>
              <w:rPr>
                <w:rFonts w:ascii="Times New Roman"/>
                <w:sz w:val="6"/>
              </w:rPr>
            </w:pPr>
          </w:p>
        </w:tc>
        <w:tc>
          <w:tcPr>
            <w:tcW w:w="720" w:type="dxa"/>
          </w:tcPr>
          <w:p>
            <w:pPr>
              <w:pStyle w:val="TableParagraph"/>
              <w:rPr>
                <w:rFonts w:ascii="Times New Roman"/>
                <w:sz w:val="6"/>
              </w:rPr>
            </w:pPr>
          </w:p>
        </w:tc>
        <w:tc>
          <w:tcPr>
            <w:tcW w:w="881" w:type="dxa"/>
          </w:tcPr>
          <w:p>
            <w:pPr>
              <w:pStyle w:val="TableParagraph"/>
              <w:rPr>
                <w:rFonts w:ascii="Times New Roman"/>
                <w:sz w:val="6"/>
              </w:rPr>
            </w:pPr>
          </w:p>
        </w:tc>
        <w:tc>
          <w:tcPr>
            <w:tcW w:w="888" w:type="dxa"/>
          </w:tcPr>
          <w:p>
            <w:pPr>
              <w:pStyle w:val="TableParagraph"/>
              <w:rPr>
                <w:rFonts w:ascii="Times New Roman"/>
                <w:sz w:val="6"/>
              </w:rPr>
            </w:pPr>
          </w:p>
        </w:tc>
        <w:tc>
          <w:tcPr>
            <w:tcW w:w="879" w:type="dxa"/>
          </w:tcPr>
          <w:p>
            <w:pPr>
              <w:pStyle w:val="TableParagraph"/>
              <w:rPr>
                <w:rFonts w:ascii="Times New Roman"/>
                <w:sz w:val="6"/>
              </w:rPr>
            </w:pPr>
          </w:p>
        </w:tc>
        <w:tc>
          <w:tcPr>
            <w:tcW w:w="831" w:type="dxa"/>
          </w:tcPr>
          <w:p>
            <w:pPr>
              <w:pStyle w:val="TableParagraph"/>
              <w:rPr>
                <w:rFonts w:ascii="Times New Roman"/>
                <w:sz w:val="6"/>
              </w:rPr>
            </w:pPr>
          </w:p>
        </w:tc>
      </w:tr>
      <w:tr>
        <w:trPr>
          <w:trHeight w:val="129" w:hRule="atLeast"/>
        </w:trPr>
        <w:tc>
          <w:tcPr>
            <w:tcW w:w="2095" w:type="dxa"/>
          </w:tcPr>
          <w:p>
            <w:pPr>
              <w:pStyle w:val="TableParagraph"/>
              <w:spacing w:line="110" w:lineRule="exact"/>
              <w:ind w:left="58"/>
              <w:rPr>
                <w:sz w:val="11"/>
              </w:rPr>
            </w:pPr>
            <w:r>
              <w:rPr>
                <w:sz w:val="11"/>
              </w:rPr>
              <w:t>Imp. neto de la cifra de negocios</w:t>
            </w:r>
          </w:p>
        </w:tc>
        <w:tc>
          <w:tcPr>
            <w:tcW w:w="793" w:type="dxa"/>
          </w:tcPr>
          <w:p>
            <w:pPr>
              <w:pStyle w:val="TableParagraph"/>
              <w:spacing w:line="110" w:lineRule="exact"/>
              <w:ind w:right="41"/>
              <w:jc w:val="right"/>
              <w:rPr>
                <w:sz w:val="11"/>
              </w:rPr>
            </w:pPr>
            <w:r>
              <w:rPr>
                <w:sz w:val="11"/>
              </w:rPr>
              <w:t>1.214.154,08</w:t>
            </w:r>
          </w:p>
        </w:tc>
        <w:tc>
          <w:tcPr>
            <w:tcW w:w="823" w:type="dxa"/>
          </w:tcPr>
          <w:p>
            <w:pPr>
              <w:pStyle w:val="TableParagraph"/>
              <w:spacing w:line="110" w:lineRule="exact"/>
              <w:ind w:right="42"/>
              <w:jc w:val="right"/>
              <w:rPr>
                <w:sz w:val="11"/>
              </w:rPr>
            </w:pPr>
            <w:r>
              <w:rPr>
                <w:sz w:val="11"/>
              </w:rPr>
              <w:t>5.025.728,09</w:t>
            </w:r>
          </w:p>
        </w:tc>
        <w:tc>
          <w:tcPr>
            <w:tcW w:w="808" w:type="dxa"/>
          </w:tcPr>
          <w:p>
            <w:pPr>
              <w:pStyle w:val="TableParagraph"/>
              <w:spacing w:line="110" w:lineRule="exact"/>
              <w:ind w:right="40"/>
              <w:jc w:val="right"/>
              <w:rPr>
                <w:sz w:val="11"/>
              </w:rPr>
            </w:pPr>
            <w:r>
              <w:rPr>
                <w:sz w:val="11"/>
              </w:rPr>
              <w:t>522.132,58</w:t>
            </w:r>
          </w:p>
        </w:tc>
        <w:tc>
          <w:tcPr>
            <w:tcW w:w="864" w:type="dxa"/>
          </w:tcPr>
          <w:p>
            <w:pPr>
              <w:pStyle w:val="TableParagraph"/>
              <w:spacing w:line="110" w:lineRule="exact"/>
              <w:ind w:right="42"/>
              <w:jc w:val="right"/>
              <w:rPr>
                <w:sz w:val="11"/>
              </w:rPr>
            </w:pPr>
            <w:r>
              <w:rPr>
                <w:sz w:val="11"/>
              </w:rPr>
              <w:t>230.000,00</w:t>
            </w:r>
          </w:p>
        </w:tc>
        <w:tc>
          <w:tcPr>
            <w:tcW w:w="946" w:type="dxa"/>
          </w:tcPr>
          <w:p>
            <w:pPr>
              <w:pStyle w:val="TableParagraph"/>
              <w:spacing w:line="110" w:lineRule="exact"/>
              <w:ind w:right="43"/>
              <w:jc w:val="right"/>
              <w:rPr>
                <w:sz w:val="11"/>
              </w:rPr>
            </w:pPr>
            <w:r>
              <w:rPr>
                <w:sz w:val="11"/>
              </w:rPr>
              <w:t>15.230.127,27</w:t>
            </w:r>
          </w:p>
        </w:tc>
        <w:tc>
          <w:tcPr>
            <w:tcW w:w="776" w:type="dxa"/>
          </w:tcPr>
          <w:p>
            <w:pPr>
              <w:pStyle w:val="TableParagraph"/>
              <w:spacing w:line="110" w:lineRule="exact"/>
              <w:ind w:right="43"/>
              <w:jc w:val="right"/>
              <w:rPr>
                <w:sz w:val="11"/>
              </w:rPr>
            </w:pPr>
            <w:r>
              <w:rPr>
                <w:sz w:val="11"/>
              </w:rPr>
              <w:t>173.633,94</w:t>
            </w:r>
          </w:p>
        </w:tc>
        <w:tc>
          <w:tcPr>
            <w:tcW w:w="748" w:type="dxa"/>
          </w:tcPr>
          <w:p>
            <w:pPr>
              <w:pStyle w:val="TableParagraph"/>
              <w:rPr>
                <w:rFonts w:ascii="Times New Roman"/>
                <w:sz w:val="6"/>
              </w:rPr>
            </w:pPr>
          </w:p>
        </w:tc>
        <w:tc>
          <w:tcPr>
            <w:tcW w:w="720" w:type="dxa"/>
          </w:tcPr>
          <w:p>
            <w:pPr>
              <w:pStyle w:val="TableParagraph"/>
              <w:spacing w:line="110" w:lineRule="exact"/>
              <w:ind w:right="43"/>
              <w:jc w:val="right"/>
              <w:rPr>
                <w:sz w:val="11"/>
              </w:rPr>
            </w:pPr>
            <w:r>
              <w:rPr>
                <w:w w:val="95"/>
                <w:sz w:val="11"/>
              </w:rPr>
              <w:t>76.539,69</w:t>
            </w:r>
          </w:p>
        </w:tc>
        <w:tc>
          <w:tcPr>
            <w:tcW w:w="881" w:type="dxa"/>
          </w:tcPr>
          <w:p>
            <w:pPr>
              <w:pStyle w:val="TableParagraph"/>
              <w:spacing w:line="110" w:lineRule="exact"/>
              <w:ind w:right="45"/>
              <w:jc w:val="right"/>
              <w:rPr>
                <w:sz w:val="11"/>
              </w:rPr>
            </w:pPr>
            <w:r>
              <w:rPr>
                <w:sz w:val="11"/>
              </w:rPr>
              <w:t>3.897.279,85</w:t>
            </w:r>
          </w:p>
        </w:tc>
        <w:tc>
          <w:tcPr>
            <w:tcW w:w="888" w:type="dxa"/>
          </w:tcPr>
          <w:p>
            <w:pPr>
              <w:pStyle w:val="TableParagraph"/>
              <w:spacing w:line="110" w:lineRule="exact"/>
              <w:ind w:right="44"/>
              <w:jc w:val="right"/>
              <w:rPr>
                <w:sz w:val="11"/>
              </w:rPr>
            </w:pPr>
            <w:r>
              <w:rPr>
                <w:sz w:val="11"/>
              </w:rPr>
              <w:t>26.862.978,20</w:t>
            </w:r>
          </w:p>
        </w:tc>
        <w:tc>
          <w:tcPr>
            <w:tcW w:w="879" w:type="dxa"/>
          </w:tcPr>
          <w:p>
            <w:pPr>
              <w:pStyle w:val="TableParagraph"/>
              <w:spacing w:line="110" w:lineRule="exact"/>
              <w:ind w:right="44"/>
              <w:jc w:val="right"/>
              <w:rPr>
                <w:sz w:val="11"/>
              </w:rPr>
            </w:pPr>
            <w:r>
              <w:rPr>
                <w:sz w:val="11"/>
              </w:rPr>
              <w:t>153.934.708,74</w:t>
            </w:r>
          </w:p>
        </w:tc>
        <w:tc>
          <w:tcPr>
            <w:tcW w:w="831" w:type="dxa"/>
          </w:tcPr>
          <w:p>
            <w:pPr>
              <w:pStyle w:val="TableParagraph"/>
              <w:spacing w:line="110" w:lineRule="exact"/>
              <w:ind w:right="43"/>
              <w:jc w:val="right"/>
              <w:rPr>
                <w:sz w:val="11"/>
              </w:rPr>
            </w:pPr>
            <w:r>
              <w:rPr>
                <w:sz w:val="11"/>
              </w:rPr>
              <w:t>153.934.708,74</w:t>
            </w:r>
          </w:p>
        </w:tc>
      </w:tr>
      <w:tr>
        <w:trPr>
          <w:trHeight w:val="264" w:hRule="atLeast"/>
        </w:trPr>
        <w:tc>
          <w:tcPr>
            <w:tcW w:w="2095" w:type="dxa"/>
          </w:tcPr>
          <w:p>
            <w:pPr>
              <w:pStyle w:val="TableParagraph"/>
              <w:spacing w:line="132" w:lineRule="exact"/>
              <w:ind w:left="82"/>
              <w:rPr>
                <w:sz w:val="11"/>
              </w:rPr>
            </w:pPr>
            <w:r>
              <w:rPr>
                <w:sz w:val="11"/>
              </w:rPr>
              <w:t>Variac. de exist.de productos term. y en</w:t>
            </w:r>
          </w:p>
          <w:p>
            <w:pPr>
              <w:pStyle w:val="TableParagraph"/>
              <w:spacing w:line="113" w:lineRule="exact"/>
              <w:ind w:left="58"/>
              <w:rPr>
                <w:sz w:val="11"/>
              </w:rPr>
            </w:pPr>
            <w:r>
              <w:rPr>
                <w:sz w:val="11"/>
              </w:rPr>
              <w:t>curso de fabric.</w:t>
            </w:r>
          </w:p>
        </w:tc>
        <w:tc>
          <w:tcPr>
            <w:tcW w:w="793" w:type="dxa"/>
          </w:tcPr>
          <w:p>
            <w:pPr>
              <w:pStyle w:val="TableParagraph"/>
              <w:rPr>
                <w:rFonts w:ascii="Times New Roman"/>
                <w:sz w:val="10"/>
              </w:rPr>
            </w:pPr>
          </w:p>
        </w:tc>
        <w:tc>
          <w:tcPr>
            <w:tcW w:w="823" w:type="dxa"/>
          </w:tcPr>
          <w:p>
            <w:pPr>
              <w:pStyle w:val="TableParagraph"/>
              <w:rPr>
                <w:rFonts w:ascii="Times New Roman"/>
                <w:sz w:val="10"/>
              </w:rPr>
            </w:pPr>
          </w:p>
        </w:tc>
        <w:tc>
          <w:tcPr>
            <w:tcW w:w="808" w:type="dxa"/>
          </w:tcPr>
          <w:p>
            <w:pPr>
              <w:pStyle w:val="TableParagraph"/>
              <w:rPr>
                <w:rFonts w:ascii="Times New Roman"/>
                <w:sz w:val="10"/>
              </w:rPr>
            </w:pPr>
          </w:p>
        </w:tc>
        <w:tc>
          <w:tcPr>
            <w:tcW w:w="864" w:type="dxa"/>
          </w:tcPr>
          <w:p>
            <w:pPr>
              <w:pStyle w:val="TableParagraph"/>
              <w:rPr>
                <w:rFonts w:ascii="Times New Roman"/>
                <w:sz w:val="10"/>
              </w:rPr>
            </w:pPr>
          </w:p>
        </w:tc>
        <w:tc>
          <w:tcPr>
            <w:tcW w:w="946" w:type="dxa"/>
          </w:tcPr>
          <w:p>
            <w:pPr>
              <w:pStyle w:val="TableParagraph"/>
              <w:rPr>
                <w:rFonts w:ascii="Times New Roman"/>
                <w:sz w:val="10"/>
              </w:rPr>
            </w:pPr>
          </w:p>
        </w:tc>
        <w:tc>
          <w:tcPr>
            <w:tcW w:w="776" w:type="dxa"/>
          </w:tcPr>
          <w:p>
            <w:pPr>
              <w:pStyle w:val="TableParagraph"/>
              <w:rPr>
                <w:rFonts w:ascii="Times New Roman"/>
                <w:sz w:val="10"/>
              </w:rPr>
            </w:pPr>
          </w:p>
        </w:tc>
        <w:tc>
          <w:tcPr>
            <w:tcW w:w="748" w:type="dxa"/>
          </w:tcPr>
          <w:p>
            <w:pPr>
              <w:pStyle w:val="TableParagraph"/>
              <w:rPr>
                <w:rFonts w:ascii="Times New Roman"/>
                <w:sz w:val="10"/>
              </w:rPr>
            </w:pPr>
          </w:p>
        </w:tc>
        <w:tc>
          <w:tcPr>
            <w:tcW w:w="720" w:type="dxa"/>
          </w:tcPr>
          <w:p>
            <w:pPr>
              <w:pStyle w:val="TableParagraph"/>
              <w:rPr>
                <w:rFonts w:ascii="Times New Roman"/>
                <w:sz w:val="10"/>
              </w:rPr>
            </w:pPr>
          </w:p>
        </w:tc>
        <w:tc>
          <w:tcPr>
            <w:tcW w:w="881" w:type="dxa"/>
          </w:tcPr>
          <w:p>
            <w:pPr>
              <w:pStyle w:val="TableParagraph"/>
              <w:rPr>
                <w:rFonts w:ascii="Times New Roman"/>
                <w:sz w:val="10"/>
              </w:rPr>
            </w:pPr>
          </w:p>
        </w:tc>
        <w:tc>
          <w:tcPr>
            <w:tcW w:w="888" w:type="dxa"/>
          </w:tcPr>
          <w:p>
            <w:pPr>
              <w:pStyle w:val="TableParagraph"/>
              <w:spacing w:before="9"/>
              <w:rPr>
                <w:b/>
                <w:sz w:val="10"/>
              </w:rPr>
            </w:pPr>
          </w:p>
          <w:p>
            <w:pPr>
              <w:pStyle w:val="TableParagraph"/>
              <w:spacing w:line="113" w:lineRule="exact"/>
              <w:ind w:right="43"/>
              <w:jc w:val="right"/>
              <w:rPr>
                <w:sz w:val="11"/>
              </w:rPr>
            </w:pPr>
            <w:r>
              <w:rPr>
                <w:sz w:val="11"/>
              </w:rPr>
              <w:t>-296.253,63</w:t>
            </w:r>
          </w:p>
        </w:tc>
        <w:tc>
          <w:tcPr>
            <w:tcW w:w="879" w:type="dxa"/>
          </w:tcPr>
          <w:p>
            <w:pPr>
              <w:pStyle w:val="TableParagraph"/>
              <w:spacing w:before="9"/>
              <w:rPr>
                <w:b/>
                <w:sz w:val="10"/>
              </w:rPr>
            </w:pPr>
          </w:p>
          <w:p>
            <w:pPr>
              <w:pStyle w:val="TableParagraph"/>
              <w:spacing w:line="113" w:lineRule="exact"/>
              <w:ind w:right="44"/>
              <w:jc w:val="right"/>
              <w:rPr>
                <w:sz w:val="11"/>
              </w:rPr>
            </w:pPr>
            <w:r>
              <w:rPr>
                <w:sz w:val="11"/>
              </w:rPr>
              <w:t>-627.893,17</w:t>
            </w:r>
          </w:p>
        </w:tc>
        <w:tc>
          <w:tcPr>
            <w:tcW w:w="831" w:type="dxa"/>
          </w:tcPr>
          <w:p>
            <w:pPr>
              <w:pStyle w:val="TableParagraph"/>
              <w:spacing w:before="9"/>
              <w:rPr>
                <w:b/>
                <w:sz w:val="10"/>
              </w:rPr>
            </w:pPr>
          </w:p>
          <w:p>
            <w:pPr>
              <w:pStyle w:val="TableParagraph"/>
              <w:spacing w:line="113" w:lineRule="exact"/>
              <w:ind w:right="43"/>
              <w:jc w:val="right"/>
              <w:rPr>
                <w:sz w:val="11"/>
              </w:rPr>
            </w:pPr>
            <w:r>
              <w:rPr>
                <w:sz w:val="11"/>
              </w:rPr>
              <w:t>-627.893,17</w:t>
            </w:r>
          </w:p>
        </w:tc>
      </w:tr>
      <w:tr>
        <w:trPr>
          <w:trHeight w:val="129" w:hRule="atLeast"/>
        </w:trPr>
        <w:tc>
          <w:tcPr>
            <w:tcW w:w="2095" w:type="dxa"/>
          </w:tcPr>
          <w:p>
            <w:pPr>
              <w:pStyle w:val="TableParagraph"/>
              <w:spacing w:line="110" w:lineRule="exact"/>
              <w:ind w:left="58"/>
              <w:rPr>
                <w:sz w:val="11"/>
              </w:rPr>
            </w:pPr>
            <w:r>
              <w:rPr>
                <w:sz w:val="11"/>
              </w:rPr>
              <w:t>Trab. realiz. por la empr. para su act</w:t>
            </w:r>
          </w:p>
        </w:tc>
        <w:tc>
          <w:tcPr>
            <w:tcW w:w="793" w:type="dxa"/>
          </w:tcPr>
          <w:p>
            <w:pPr>
              <w:pStyle w:val="TableParagraph"/>
              <w:rPr>
                <w:rFonts w:ascii="Times New Roman"/>
                <w:sz w:val="6"/>
              </w:rPr>
            </w:pPr>
          </w:p>
        </w:tc>
        <w:tc>
          <w:tcPr>
            <w:tcW w:w="823" w:type="dxa"/>
          </w:tcPr>
          <w:p>
            <w:pPr>
              <w:pStyle w:val="TableParagraph"/>
              <w:rPr>
                <w:rFonts w:ascii="Times New Roman"/>
                <w:sz w:val="6"/>
              </w:rPr>
            </w:pPr>
          </w:p>
        </w:tc>
        <w:tc>
          <w:tcPr>
            <w:tcW w:w="808" w:type="dxa"/>
          </w:tcPr>
          <w:p>
            <w:pPr>
              <w:pStyle w:val="TableParagraph"/>
              <w:rPr>
                <w:rFonts w:ascii="Times New Roman"/>
                <w:sz w:val="6"/>
              </w:rPr>
            </w:pPr>
          </w:p>
        </w:tc>
        <w:tc>
          <w:tcPr>
            <w:tcW w:w="864" w:type="dxa"/>
          </w:tcPr>
          <w:p>
            <w:pPr>
              <w:pStyle w:val="TableParagraph"/>
              <w:rPr>
                <w:rFonts w:ascii="Times New Roman"/>
                <w:sz w:val="6"/>
              </w:rPr>
            </w:pPr>
          </w:p>
        </w:tc>
        <w:tc>
          <w:tcPr>
            <w:tcW w:w="946" w:type="dxa"/>
          </w:tcPr>
          <w:p>
            <w:pPr>
              <w:pStyle w:val="TableParagraph"/>
              <w:rPr>
                <w:rFonts w:ascii="Times New Roman"/>
                <w:sz w:val="6"/>
              </w:rPr>
            </w:pPr>
          </w:p>
        </w:tc>
        <w:tc>
          <w:tcPr>
            <w:tcW w:w="776" w:type="dxa"/>
          </w:tcPr>
          <w:p>
            <w:pPr>
              <w:pStyle w:val="TableParagraph"/>
              <w:rPr>
                <w:rFonts w:ascii="Times New Roman"/>
                <w:sz w:val="6"/>
              </w:rPr>
            </w:pPr>
          </w:p>
        </w:tc>
        <w:tc>
          <w:tcPr>
            <w:tcW w:w="748" w:type="dxa"/>
          </w:tcPr>
          <w:p>
            <w:pPr>
              <w:pStyle w:val="TableParagraph"/>
              <w:rPr>
                <w:rFonts w:ascii="Times New Roman"/>
                <w:sz w:val="6"/>
              </w:rPr>
            </w:pPr>
          </w:p>
        </w:tc>
        <w:tc>
          <w:tcPr>
            <w:tcW w:w="720" w:type="dxa"/>
          </w:tcPr>
          <w:p>
            <w:pPr>
              <w:pStyle w:val="TableParagraph"/>
              <w:rPr>
                <w:rFonts w:ascii="Times New Roman"/>
                <w:sz w:val="6"/>
              </w:rPr>
            </w:pPr>
          </w:p>
        </w:tc>
        <w:tc>
          <w:tcPr>
            <w:tcW w:w="881" w:type="dxa"/>
          </w:tcPr>
          <w:p>
            <w:pPr>
              <w:pStyle w:val="TableParagraph"/>
              <w:rPr>
                <w:rFonts w:ascii="Times New Roman"/>
                <w:sz w:val="6"/>
              </w:rPr>
            </w:pPr>
          </w:p>
        </w:tc>
        <w:tc>
          <w:tcPr>
            <w:tcW w:w="888" w:type="dxa"/>
          </w:tcPr>
          <w:p>
            <w:pPr>
              <w:pStyle w:val="TableParagraph"/>
              <w:spacing w:line="110" w:lineRule="exact"/>
              <w:ind w:right="43"/>
              <w:jc w:val="right"/>
              <w:rPr>
                <w:sz w:val="11"/>
              </w:rPr>
            </w:pPr>
            <w:r>
              <w:rPr>
                <w:sz w:val="11"/>
              </w:rPr>
              <w:t>324.212,07</w:t>
            </w:r>
          </w:p>
        </w:tc>
        <w:tc>
          <w:tcPr>
            <w:tcW w:w="879" w:type="dxa"/>
          </w:tcPr>
          <w:p>
            <w:pPr>
              <w:pStyle w:val="TableParagraph"/>
              <w:spacing w:line="110" w:lineRule="exact"/>
              <w:ind w:right="44"/>
              <w:jc w:val="right"/>
              <w:rPr>
                <w:sz w:val="11"/>
              </w:rPr>
            </w:pPr>
            <w:r>
              <w:rPr>
                <w:sz w:val="11"/>
              </w:rPr>
              <w:t>1.147.846,25</w:t>
            </w:r>
          </w:p>
        </w:tc>
        <w:tc>
          <w:tcPr>
            <w:tcW w:w="831" w:type="dxa"/>
          </w:tcPr>
          <w:p>
            <w:pPr>
              <w:pStyle w:val="TableParagraph"/>
              <w:spacing w:line="110" w:lineRule="exact"/>
              <w:ind w:right="43"/>
              <w:jc w:val="right"/>
              <w:rPr>
                <w:sz w:val="11"/>
              </w:rPr>
            </w:pPr>
            <w:r>
              <w:rPr>
                <w:sz w:val="11"/>
              </w:rPr>
              <w:t>1.147.846,25</w:t>
            </w:r>
          </w:p>
        </w:tc>
      </w:tr>
      <w:tr>
        <w:trPr>
          <w:trHeight w:val="131" w:hRule="atLeast"/>
        </w:trPr>
        <w:tc>
          <w:tcPr>
            <w:tcW w:w="2095" w:type="dxa"/>
          </w:tcPr>
          <w:p>
            <w:pPr>
              <w:pStyle w:val="TableParagraph"/>
              <w:spacing w:line="112" w:lineRule="exact"/>
              <w:ind w:left="82"/>
              <w:rPr>
                <w:sz w:val="11"/>
              </w:rPr>
            </w:pPr>
            <w:r>
              <w:rPr>
                <w:sz w:val="11"/>
              </w:rPr>
              <w:t>Aprovisionamientos</w:t>
            </w:r>
          </w:p>
        </w:tc>
        <w:tc>
          <w:tcPr>
            <w:tcW w:w="793" w:type="dxa"/>
          </w:tcPr>
          <w:p>
            <w:pPr>
              <w:pStyle w:val="TableParagraph"/>
              <w:spacing w:line="112" w:lineRule="exact"/>
              <w:ind w:right="41"/>
              <w:jc w:val="right"/>
              <w:rPr>
                <w:sz w:val="11"/>
              </w:rPr>
            </w:pPr>
            <w:r>
              <w:rPr>
                <w:sz w:val="11"/>
              </w:rPr>
              <w:t>-10.278,62</w:t>
            </w:r>
          </w:p>
        </w:tc>
        <w:tc>
          <w:tcPr>
            <w:tcW w:w="823" w:type="dxa"/>
          </w:tcPr>
          <w:p>
            <w:pPr>
              <w:pStyle w:val="TableParagraph"/>
              <w:rPr>
                <w:rFonts w:ascii="Times New Roman"/>
                <w:sz w:val="6"/>
              </w:rPr>
            </w:pPr>
          </w:p>
        </w:tc>
        <w:tc>
          <w:tcPr>
            <w:tcW w:w="808" w:type="dxa"/>
          </w:tcPr>
          <w:p>
            <w:pPr>
              <w:pStyle w:val="TableParagraph"/>
              <w:rPr>
                <w:rFonts w:ascii="Times New Roman"/>
                <w:sz w:val="6"/>
              </w:rPr>
            </w:pPr>
          </w:p>
        </w:tc>
        <w:tc>
          <w:tcPr>
            <w:tcW w:w="864" w:type="dxa"/>
          </w:tcPr>
          <w:p>
            <w:pPr>
              <w:pStyle w:val="TableParagraph"/>
              <w:spacing w:line="112" w:lineRule="exact"/>
              <w:ind w:right="43"/>
              <w:jc w:val="right"/>
              <w:rPr>
                <w:sz w:val="11"/>
              </w:rPr>
            </w:pPr>
            <w:r>
              <w:rPr>
                <w:sz w:val="11"/>
              </w:rPr>
              <w:t>-42.448.526,82</w:t>
            </w:r>
          </w:p>
        </w:tc>
        <w:tc>
          <w:tcPr>
            <w:tcW w:w="946" w:type="dxa"/>
          </w:tcPr>
          <w:p>
            <w:pPr>
              <w:pStyle w:val="TableParagraph"/>
              <w:rPr>
                <w:rFonts w:ascii="Times New Roman"/>
                <w:sz w:val="6"/>
              </w:rPr>
            </w:pPr>
          </w:p>
        </w:tc>
        <w:tc>
          <w:tcPr>
            <w:tcW w:w="776" w:type="dxa"/>
          </w:tcPr>
          <w:p>
            <w:pPr>
              <w:pStyle w:val="TableParagraph"/>
              <w:spacing w:line="112" w:lineRule="exact"/>
              <w:ind w:right="42"/>
              <w:jc w:val="right"/>
              <w:rPr>
                <w:sz w:val="11"/>
              </w:rPr>
            </w:pPr>
            <w:r>
              <w:rPr>
                <w:sz w:val="11"/>
              </w:rPr>
              <w:t>-15.038,40</w:t>
            </w:r>
          </w:p>
        </w:tc>
        <w:tc>
          <w:tcPr>
            <w:tcW w:w="748" w:type="dxa"/>
          </w:tcPr>
          <w:p>
            <w:pPr>
              <w:pStyle w:val="TableParagraph"/>
              <w:rPr>
                <w:rFonts w:ascii="Times New Roman"/>
                <w:sz w:val="6"/>
              </w:rPr>
            </w:pPr>
          </w:p>
        </w:tc>
        <w:tc>
          <w:tcPr>
            <w:tcW w:w="720" w:type="dxa"/>
          </w:tcPr>
          <w:p>
            <w:pPr>
              <w:pStyle w:val="TableParagraph"/>
              <w:rPr>
                <w:rFonts w:ascii="Times New Roman"/>
                <w:sz w:val="6"/>
              </w:rPr>
            </w:pPr>
          </w:p>
        </w:tc>
        <w:tc>
          <w:tcPr>
            <w:tcW w:w="881" w:type="dxa"/>
          </w:tcPr>
          <w:p>
            <w:pPr>
              <w:pStyle w:val="TableParagraph"/>
              <w:spacing w:line="112" w:lineRule="exact"/>
              <w:ind w:right="46"/>
              <w:jc w:val="right"/>
              <w:rPr>
                <w:sz w:val="11"/>
              </w:rPr>
            </w:pPr>
            <w:r>
              <w:rPr>
                <w:sz w:val="11"/>
              </w:rPr>
              <w:t>-32.947.575,58</w:t>
            </w:r>
          </w:p>
        </w:tc>
        <w:tc>
          <w:tcPr>
            <w:tcW w:w="888" w:type="dxa"/>
          </w:tcPr>
          <w:p>
            <w:pPr>
              <w:pStyle w:val="TableParagraph"/>
              <w:spacing w:line="112" w:lineRule="exact"/>
              <w:ind w:right="43"/>
              <w:jc w:val="right"/>
              <w:rPr>
                <w:sz w:val="11"/>
              </w:rPr>
            </w:pPr>
            <w:r>
              <w:rPr>
                <w:sz w:val="11"/>
              </w:rPr>
              <w:t>-306.155,15</w:t>
            </w:r>
          </w:p>
        </w:tc>
        <w:tc>
          <w:tcPr>
            <w:tcW w:w="879" w:type="dxa"/>
          </w:tcPr>
          <w:p>
            <w:pPr>
              <w:pStyle w:val="TableParagraph"/>
              <w:spacing w:line="112" w:lineRule="exact"/>
              <w:ind w:right="44"/>
              <w:jc w:val="right"/>
              <w:rPr>
                <w:sz w:val="11"/>
              </w:rPr>
            </w:pPr>
            <w:r>
              <w:rPr>
                <w:sz w:val="11"/>
              </w:rPr>
              <w:t>-184.556.329,75</w:t>
            </w:r>
          </w:p>
        </w:tc>
        <w:tc>
          <w:tcPr>
            <w:tcW w:w="831" w:type="dxa"/>
          </w:tcPr>
          <w:p>
            <w:pPr>
              <w:pStyle w:val="TableParagraph"/>
              <w:spacing w:line="112" w:lineRule="exact"/>
              <w:ind w:right="43"/>
              <w:jc w:val="right"/>
              <w:rPr>
                <w:sz w:val="11"/>
              </w:rPr>
            </w:pPr>
            <w:r>
              <w:rPr>
                <w:sz w:val="11"/>
              </w:rPr>
              <w:t>-184.556.329,75</w:t>
            </w:r>
          </w:p>
        </w:tc>
      </w:tr>
      <w:tr>
        <w:trPr>
          <w:trHeight w:val="129" w:hRule="atLeast"/>
        </w:trPr>
        <w:tc>
          <w:tcPr>
            <w:tcW w:w="2095" w:type="dxa"/>
          </w:tcPr>
          <w:p>
            <w:pPr>
              <w:pStyle w:val="TableParagraph"/>
              <w:spacing w:line="110" w:lineRule="exact"/>
              <w:ind w:left="82"/>
              <w:rPr>
                <w:sz w:val="11"/>
              </w:rPr>
            </w:pPr>
            <w:r>
              <w:rPr>
                <w:sz w:val="11"/>
              </w:rPr>
              <w:t>Otros ingresos de explotación</w:t>
            </w:r>
          </w:p>
        </w:tc>
        <w:tc>
          <w:tcPr>
            <w:tcW w:w="793" w:type="dxa"/>
          </w:tcPr>
          <w:p>
            <w:pPr>
              <w:pStyle w:val="TableParagraph"/>
              <w:spacing w:line="110" w:lineRule="exact"/>
              <w:ind w:right="42"/>
              <w:jc w:val="right"/>
              <w:rPr>
                <w:sz w:val="11"/>
              </w:rPr>
            </w:pPr>
            <w:r>
              <w:rPr>
                <w:sz w:val="11"/>
              </w:rPr>
              <w:t>14.992.480,15</w:t>
            </w:r>
          </w:p>
        </w:tc>
        <w:tc>
          <w:tcPr>
            <w:tcW w:w="823" w:type="dxa"/>
          </w:tcPr>
          <w:p>
            <w:pPr>
              <w:pStyle w:val="TableParagraph"/>
              <w:spacing w:line="110" w:lineRule="exact"/>
              <w:ind w:right="42"/>
              <w:jc w:val="right"/>
              <w:rPr>
                <w:sz w:val="11"/>
              </w:rPr>
            </w:pPr>
            <w:r>
              <w:rPr>
                <w:sz w:val="11"/>
              </w:rPr>
              <w:t>7.220.035,51</w:t>
            </w:r>
          </w:p>
        </w:tc>
        <w:tc>
          <w:tcPr>
            <w:tcW w:w="808" w:type="dxa"/>
          </w:tcPr>
          <w:p>
            <w:pPr>
              <w:pStyle w:val="TableParagraph"/>
              <w:spacing w:line="110" w:lineRule="exact"/>
              <w:ind w:right="40"/>
              <w:jc w:val="right"/>
              <w:rPr>
                <w:sz w:val="11"/>
              </w:rPr>
            </w:pPr>
            <w:r>
              <w:rPr>
                <w:sz w:val="11"/>
              </w:rPr>
              <w:t>3.968.030,44</w:t>
            </w:r>
          </w:p>
        </w:tc>
        <w:tc>
          <w:tcPr>
            <w:tcW w:w="864" w:type="dxa"/>
          </w:tcPr>
          <w:p>
            <w:pPr>
              <w:pStyle w:val="TableParagraph"/>
              <w:spacing w:line="110" w:lineRule="exact"/>
              <w:ind w:right="43"/>
              <w:jc w:val="right"/>
              <w:rPr>
                <w:sz w:val="11"/>
              </w:rPr>
            </w:pPr>
            <w:r>
              <w:rPr>
                <w:sz w:val="11"/>
              </w:rPr>
              <w:t>43.265.038,20</w:t>
            </w:r>
          </w:p>
        </w:tc>
        <w:tc>
          <w:tcPr>
            <w:tcW w:w="946" w:type="dxa"/>
          </w:tcPr>
          <w:p>
            <w:pPr>
              <w:pStyle w:val="TableParagraph"/>
              <w:spacing w:line="110" w:lineRule="exact"/>
              <w:ind w:right="43"/>
              <w:jc w:val="right"/>
              <w:rPr>
                <w:sz w:val="11"/>
              </w:rPr>
            </w:pPr>
            <w:r>
              <w:rPr>
                <w:sz w:val="11"/>
              </w:rPr>
              <w:t>216.320,65</w:t>
            </w:r>
          </w:p>
        </w:tc>
        <w:tc>
          <w:tcPr>
            <w:tcW w:w="776" w:type="dxa"/>
          </w:tcPr>
          <w:p>
            <w:pPr>
              <w:pStyle w:val="TableParagraph"/>
              <w:spacing w:line="110" w:lineRule="exact"/>
              <w:ind w:right="43"/>
              <w:jc w:val="right"/>
              <w:rPr>
                <w:sz w:val="11"/>
              </w:rPr>
            </w:pPr>
            <w:r>
              <w:rPr>
                <w:sz w:val="11"/>
              </w:rPr>
              <w:t>451.406,45</w:t>
            </w:r>
          </w:p>
        </w:tc>
        <w:tc>
          <w:tcPr>
            <w:tcW w:w="748" w:type="dxa"/>
          </w:tcPr>
          <w:p>
            <w:pPr>
              <w:pStyle w:val="TableParagraph"/>
              <w:rPr>
                <w:rFonts w:ascii="Times New Roman"/>
                <w:sz w:val="6"/>
              </w:rPr>
            </w:pPr>
          </w:p>
        </w:tc>
        <w:tc>
          <w:tcPr>
            <w:tcW w:w="720" w:type="dxa"/>
          </w:tcPr>
          <w:p>
            <w:pPr>
              <w:pStyle w:val="TableParagraph"/>
              <w:spacing w:line="110" w:lineRule="exact"/>
              <w:ind w:right="43"/>
              <w:jc w:val="right"/>
              <w:rPr>
                <w:sz w:val="11"/>
              </w:rPr>
            </w:pPr>
            <w:r>
              <w:rPr>
                <w:w w:val="95"/>
                <w:sz w:val="11"/>
              </w:rPr>
              <w:t>12.601,84</w:t>
            </w:r>
          </w:p>
        </w:tc>
        <w:tc>
          <w:tcPr>
            <w:tcW w:w="881" w:type="dxa"/>
          </w:tcPr>
          <w:p>
            <w:pPr>
              <w:pStyle w:val="TableParagraph"/>
              <w:spacing w:line="110" w:lineRule="exact"/>
              <w:ind w:right="45"/>
              <w:jc w:val="right"/>
              <w:rPr>
                <w:sz w:val="11"/>
              </w:rPr>
            </w:pPr>
            <w:r>
              <w:rPr>
                <w:sz w:val="11"/>
              </w:rPr>
              <w:t>3.082.314,17</w:t>
            </w:r>
          </w:p>
        </w:tc>
        <w:tc>
          <w:tcPr>
            <w:tcW w:w="888" w:type="dxa"/>
          </w:tcPr>
          <w:p>
            <w:pPr>
              <w:pStyle w:val="TableParagraph"/>
              <w:spacing w:line="110" w:lineRule="exact"/>
              <w:ind w:right="43"/>
              <w:jc w:val="right"/>
              <w:rPr>
                <w:sz w:val="11"/>
              </w:rPr>
            </w:pPr>
            <w:r>
              <w:rPr>
                <w:sz w:val="11"/>
              </w:rPr>
              <w:t>1.729.271,30</w:t>
            </w:r>
          </w:p>
        </w:tc>
        <w:tc>
          <w:tcPr>
            <w:tcW w:w="879" w:type="dxa"/>
          </w:tcPr>
          <w:p>
            <w:pPr>
              <w:pStyle w:val="TableParagraph"/>
              <w:spacing w:line="110" w:lineRule="exact"/>
              <w:ind w:right="44"/>
              <w:jc w:val="right"/>
              <w:rPr>
                <w:sz w:val="11"/>
              </w:rPr>
            </w:pPr>
            <w:r>
              <w:rPr>
                <w:sz w:val="11"/>
              </w:rPr>
              <w:t>197.090.485,91</w:t>
            </w:r>
          </w:p>
        </w:tc>
        <w:tc>
          <w:tcPr>
            <w:tcW w:w="831" w:type="dxa"/>
          </w:tcPr>
          <w:p>
            <w:pPr>
              <w:pStyle w:val="TableParagraph"/>
              <w:spacing w:line="110" w:lineRule="exact"/>
              <w:ind w:right="43"/>
              <w:jc w:val="right"/>
              <w:rPr>
                <w:sz w:val="11"/>
              </w:rPr>
            </w:pPr>
            <w:r>
              <w:rPr>
                <w:sz w:val="11"/>
              </w:rPr>
              <w:t>197.090.485,91</w:t>
            </w:r>
          </w:p>
        </w:tc>
      </w:tr>
      <w:tr>
        <w:trPr>
          <w:trHeight w:val="129" w:hRule="atLeast"/>
        </w:trPr>
        <w:tc>
          <w:tcPr>
            <w:tcW w:w="2095" w:type="dxa"/>
          </w:tcPr>
          <w:p>
            <w:pPr>
              <w:pStyle w:val="TableParagraph"/>
              <w:spacing w:line="110" w:lineRule="exact"/>
              <w:ind w:left="82"/>
              <w:rPr>
                <w:sz w:val="11"/>
              </w:rPr>
            </w:pPr>
            <w:r>
              <w:rPr>
                <w:sz w:val="11"/>
              </w:rPr>
              <w:t>Gastos de personal</w:t>
            </w:r>
          </w:p>
        </w:tc>
        <w:tc>
          <w:tcPr>
            <w:tcW w:w="793" w:type="dxa"/>
          </w:tcPr>
          <w:p>
            <w:pPr>
              <w:pStyle w:val="TableParagraph"/>
              <w:spacing w:line="110" w:lineRule="exact"/>
              <w:ind w:right="41"/>
              <w:jc w:val="right"/>
              <w:rPr>
                <w:sz w:val="11"/>
              </w:rPr>
            </w:pPr>
            <w:r>
              <w:rPr>
                <w:sz w:val="11"/>
              </w:rPr>
              <w:t>-3.179.845,73</w:t>
            </w:r>
          </w:p>
        </w:tc>
        <w:tc>
          <w:tcPr>
            <w:tcW w:w="823" w:type="dxa"/>
          </w:tcPr>
          <w:p>
            <w:pPr>
              <w:pStyle w:val="TableParagraph"/>
              <w:spacing w:line="110" w:lineRule="exact"/>
              <w:ind w:right="42"/>
              <w:jc w:val="right"/>
              <w:rPr>
                <w:sz w:val="11"/>
              </w:rPr>
            </w:pPr>
            <w:r>
              <w:rPr>
                <w:sz w:val="11"/>
              </w:rPr>
              <w:t>-9.764.648,39</w:t>
            </w:r>
          </w:p>
        </w:tc>
        <w:tc>
          <w:tcPr>
            <w:tcW w:w="808" w:type="dxa"/>
          </w:tcPr>
          <w:p>
            <w:pPr>
              <w:pStyle w:val="TableParagraph"/>
              <w:spacing w:line="110" w:lineRule="exact"/>
              <w:ind w:right="40"/>
              <w:jc w:val="right"/>
              <w:rPr>
                <w:sz w:val="11"/>
              </w:rPr>
            </w:pPr>
            <w:r>
              <w:rPr>
                <w:sz w:val="11"/>
              </w:rPr>
              <w:t>-2.572.291,54</w:t>
            </w:r>
          </w:p>
        </w:tc>
        <w:tc>
          <w:tcPr>
            <w:tcW w:w="864" w:type="dxa"/>
          </w:tcPr>
          <w:p>
            <w:pPr>
              <w:pStyle w:val="TableParagraph"/>
              <w:spacing w:line="110" w:lineRule="exact"/>
              <w:ind w:right="42"/>
              <w:jc w:val="right"/>
              <w:rPr>
                <w:sz w:val="11"/>
              </w:rPr>
            </w:pPr>
            <w:r>
              <w:rPr>
                <w:sz w:val="11"/>
              </w:rPr>
              <w:t>-2.851.202,93</w:t>
            </w:r>
          </w:p>
        </w:tc>
        <w:tc>
          <w:tcPr>
            <w:tcW w:w="946" w:type="dxa"/>
          </w:tcPr>
          <w:p>
            <w:pPr>
              <w:pStyle w:val="TableParagraph"/>
              <w:spacing w:line="110" w:lineRule="exact"/>
              <w:ind w:right="43"/>
              <w:jc w:val="right"/>
              <w:rPr>
                <w:sz w:val="11"/>
              </w:rPr>
            </w:pPr>
            <w:r>
              <w:rPr>
                <w:sz w:val="11"/>
              </w:rPr>
              <w:t>-2.614.126,65</w:t>
            </w:r>
          </w:p>
        </w:tc>
        <w:tc>
          <w:tcPr>
            <w:tcW w:w="776" w:type="dxa"/>
          </w:tcPr>
          <w:p>
            <w:pPr>
              <w:pStyle w:val="TableParagraph"/>
              <w:spacing w:line="110" w:lineRule="exact"/>
              <w:ind w:right="43"/>
              <w:jc w:val="right"/>
              <w:rPr>
                <w:sz w:val="11"/>
              </w:rPr>
            </w:pPr>
            <w:r>
              <w:rPr>
                <w:sz w:val="11"/>
              </w:rPr>
              <w:t>-1.917.955,82</w:t>
            </w:r>
          </w:p>
        </w:tc>
        <w:tc>
          <w:tcPr>
            <w:tcW w:w="748" w:type="dxa"/>
          </w:tcPr>
          <w:p>
            <w:pPr>
              <w:pStyle w:val="TableParagraph"/>
              <w:rPr>
                <w:rFonts w:ascii="Times New Roman"/>
                <w:sz w:val="6"/>
              </w:rPr>
            </w:pPr>
          </w:p>
        </w:tc>
        <w:tc>
          <w:tcPr>
            <w:tcW w:w="720" w:type="dxa"/>
          </w:tcPr>
          <w:p>
            <w:pPr>
              <w:pStyle w:val="TableParagraph"/>
              <w:spacing w:line="110" w:lineRule="exact"/>
              <w:ind w:right="43"/>
              <w:jc w:val="right"/>
              <w:rPr>
                <w:sz w:val="11"/>
              </w:rPr>
            </w:pPr>
            <w:r>
              <w:rPr>
                <w:sz w:val="11"/>
              </w:rPr>
              <w:t>-406.877,57</w:t>
            </w:r>
          </w:p>
        </w:tc>
        <w:tc>
          <w:tcPr>
            <w:tcW w:w="881" w:type="dxa"/>
          </w:tcPr>
          <w:p>
            <w:pPr>
              <w:pStyle w:val="TableParagraph"/>
              <w:spacing w:line="110" w:lineRule="exact"/>
              <w:ind w:right="46"/>
              <w:jc w:val="right"/>
              <w:rPr>
                <w:sz w:val="11"/>
              </w:rPr>
            </w:pPr>
            <w:r>
              <w:rPr>
                <w:sz w:val="11"/>
              </w:rPr>
              <w:t>-16.951.586,06</w:t>
            </w:r>
          </w:p>
        </w:tc>
        <w:tc>
          <w:tcPr>
            <w:tcW w:w="888" w:type="dxa"/>
          </w:tcPr>
          <w:p>
            <w:pPr>
              <w:pStyle w:val="TableParagraph"/>
              <w:spacing w:line="110" w:lineRule="exact"/>
              <w:ind w:right="43"/>
              <w:jc w:val="right"/>
              <w:rPr>
                <w:sz w:val="11"/>
              </w:rPr>
            </w:pPr>
            <w:r>
              <w:rPr>
                <w:sz w:val="11"/>
              </w:rPr>
              <w:t>-2.957.758,49</w:t>
            </w:r>
          </w:p>
        </w:tc>
        <w:tc>
          <w:tcPr>
            <w:tcW w:w="879" w:type="dxa"/>
          </w:tcPr>
          <w:p>
            <w:pPr>
              <w:pStyle w:val="TableParagraph"/>
              <w:spacing w:line="110" w:lineRule="exact"/>
              <w:ind w:right="44"/>
              <w:jc w:val="right"/>
              <w:rPr>
                <w:sz w:val="11"/>
              </w:rPr>
            </w:pPr>
            <w:r>
              <w:rPr>
                <w:sz w:val="11"/>
              </w:rPr>
              <w:t>-142.965.790,88</w:t>
            </w:r>
          </w:p>
        </w:tc>
        <w:tc>
          <w:tcPr>
            <w:tcW w:w="831" w:type="dxa"/>
          </w:tcPr>
          <w:p>
            <w:pPr>
              <w:pStyle w:val="TableParagraph"/>
              <w:spacing w:line="110" w:lineRule="exact"/>
              <w:ind w:right="43"/>
              <w:jc w:val="right"/>
              <w:rPr>
                <w:sz w:val="11"/>
              </w:rPr>
            </w:pPr>
            <w:r>
              <w:rPr>
                <w:sz w:val="11"/>
              </w:rPr>
              <w:t>-142.965.790,88</w:t>
            </w:r>
          </w:p>
        </w:tc>
      </w:tr>
      <w:tr>
        <w:trPr>
          <w:trHeight w:val="131" w:hRule="atLeast"/>
        </w:trPr>
        <w:tc>
          <w:tcPr>
            <w:tcW w:w="2095" w:type="dxa"/>
          </w:tcPr>
          <w:p>
            <w:pPr>
              <w:pStyle w:val="TableParagraph"/>
              <w:spacing w:line="112" w:lineRule="exact"/>
              <w:ind w:left="82"/>
              <w:rPr>
                <w:sz w:val="11"/>
              </w:rPr>
            </w:pPr>
            <w:r>
              <w:rPr>
                <w:sz w:val="11"/>
              </w:rPr>
              <w:t>Otros gastos de explotación</w:t>
            </w:r>
          </w:p>
        </w:tc>
        <w:tc>
          <w:tcPr>
            <w:tcW w:w="793" w:type="dxa"/>
          </w:tcPr>
          <w:p>
            <w:pPr>
              <w:pStyle w:val="TableParagraph"/>
              <w:spacing w:line="112" w:lineRule="exact"/>
              <w:ind w:right="42"/>
              <w:jc w:val="right"/>
              <w:rPr>
                <w:sz w:val="11"/>
              </w:rPr>
            </w:pPr>
            <w:r>
              <w:rPr>
                <w:sz w:val="11"/>
              </w:rPr>
              <w:t>-15.711.986,97</w:t>
            </w:r>
          </w:p>
        </w:tc>
        <w:tc>
          <w:tcPr>
            <w:tcW w:w="823" w:type="dxa"/>
          </w:tcPr>
          <w:p>
            <w:pPr>
              <w:pStyle w:val="TableParagraph"/>
              <w:spacing w:line="112" w:lineRule="exact"/>
              <w:ind w:right="42"/>
              <w:jc w:val="right"/>
              <w:rPr>
                <w:sz w:val="11"/>
              </w:rPr>
            </w:pPr>
            <w:r>
              <w:rPr>
                <w:sz w:val="11"/>
              </w:rPr>
              <w:t>-4.674.178,36</w:t>
            </w:r>
          </w:p>
        </w:tc>
        <w:tc>
          <w:tcPr>
            <w:tcW w:w="808" w:type="dxa"/>
          </w:tcPr>
          <w:p>
            <w:pPr>
              <w:pStyle w:val="TableParagraph"/>
              <w:spacing w:line="112" w:lineRule="exact"/>
              <w:ind w:right="40"/>
              <w:jc w:val="right"/>
              <w:rPr>
                <w:sz w:val="11"/>
              </w:rPr>
            </w:pPr>
            <w:r>
              <w:rPr>
                <w:sz w:val="11"/>
              </w:rPr>
              <w:t>-3.906.096,92</w:t>
            </w:r>
          </w:p>
        </w:tc>
        <w:tc>
          <w:tcPr>
            <w:tcW w:w="864" w:type="dxa"/>
          </w:tcPr>
          <w:p>
            <w:pPr>
              <w:pStyle w:val="TableParagraph"/>
              <w:spacing w:line="112" w:lineRule="exact"/>
              <w:ind w:right="42"/>
              <w:jc w:val="right"/>
              <w:rPr>
                <w:sz w:val="11"/>
              </w:rPr>
            </w:pPr>
            <w:r>
              <w:rPr>
                <w:sz w:val="11"/>
              </w:rPr>
              <w:t>-461.135,80</w:t>
            </w:r>
          </w:p>
        </w:tc>
        <w:tc>
          <w:tcPr>
            <w:tcW w:w="946" w:type="dxa"/>
          </w:tcPr>
          <w:p>
            <w:pPr>
              <w:pStyle w:val="TableParagraph"/>
              <w:spacing w:line="112" w:lineRule="exact"/>
              <w:ind w:right="43"/>
              <w:jc w:val="right"/>
              <w:rPr>
                <w:sz w:val="11"/>
              </w:rPr>
            </w:pPr>
            <w:r>
              <w:rPr>
                <w:sz w:val="11"/>
              </w:rPr>
              <w:t>-6.653.726,53</w:t>
            </w:r>
          </w:p>
        </w:tc>
        <w:tc>
          <w:tcPr>
            <w:tcW w:w="776" w:type="dxa"/>
          </w:tcPr>
          <w:p>
            <w:pPr>
              <w:pStyle w:val="TableParagraph"/>
              <w:spacing w:line="112" w:lineRule="exact"/>
              <w:ind w:right="43"/>
              <w:jc w:val="right"/>
              <w:rPr>
                <w:sz w:val="11"/>
              </w:rPr>
            </w:pPr>
            <w:r>
              <w:rPr>
                <w:sz w:val="11"/>
              </w:rPr>
              <w:t>-1.031.633,57</w:t>
            </w:r>
          </w:p>
        </w:tc>
        <w:tc>
          <w:tcPr>
            <w:tcW w:w="748" w:type="dxa"/>
          </w:tcPr>
          <w:p>
            <w:pPr>
              <w:pStyle w:val="TableParagraph"/>
              <w:spacing w:line="112" w:lineRule="exact"/>
              <w:ind w:right="43"/>
              <w:jc w:val="right"/>
              <w:rPr>
                <w:sz w:val="11"/>
              </w:rPr>
            </w:pPr>
            <w:r>
              <w:rPr>
                <w:sz w:val="11"/>
              </w:rPr>
              <w:t>-46.718,63</w:t>
            </w:r>
          </w:p>
        </w:tc>
        <w:tc>
          <w:tcPr>
            <w:tcW w:w="720" w:type="dxa"/>
          </w:tcPr>
          <w:p>
            <w:pPr>
              <w:pStyle w:val="TableParagraph"/>
              <w:spacing w:line="112" w:lineRule="exact"/>
              <w:ind w:right="43"/>
              <w:jc w:val="right"/>
              <w:rPr>
                <w:sz w:val="11"/>
              </w:rPr>
            </w:pPr>
            <w:r>
              <w:rPr>
                <w:sz w:val="11"/>
              </w:rPr>
              <w:t>-259.283,05</w:t>
            </w:r>
          </w:p>
        </w:tc>
        <w:tc>
          <w:tcPr>
            <w:tcW w:w="881" w:type="dxa"/>
          </w:tcPr>
          <w:p>
            <w:pPr>
              <w:pStyle w:val="TableParagraph"/>
              <w:spacing w:line="112" w:lineRule="exact"/>
              <w:ind w:right="46"/>
              <w:jc w:val="right"/>
              <w:rPr>
                <w:sz w:val="11"/>
              </w:rPr>
            </w:pPr>
            <w:r>
              <w:rPr>
                <w:sz w:val="11"/>
              </w:rPr>
              <w:t>-17.987.745,22</w:t>
            </w:r>
          </w:p>
        </w:tc>
        <w:tc>
          <w:tcPr>
            <w:tcW w:w="888" w:type="dxa"/>
          </w:tcPr>
          <w:p>
            <w:pPr>
              <w:pStyle w:val="TableParagraph"/>
              <w:spacing w:line="112" w:lineRule="exact"/>
              <w:ind w:right="43"/>
              <w:jc w:val="right"/>
              <w:rPr>
                <w:sz w:val="11"/>
              </w:rPr>
            </w:pPr>
            <w:r>
              <w:rPr>
                <w:sz w:val="11"/>
              </w:rPr>
              <w:t>-18.067.016,82</w:t>
            </w:r>
          </w:p>
        </w:tc>
        <w:tc>
          <w:tcPr>
            <w:tcW w:w="879" w:type="dxa"/>
          </w:tcPr>
          <w:p>
            <w:pPr>
              <w:pStyle w:val="TableParagraph"/>
              <w:spacing w:line="112" w:lineRule="exact"/>
              <w:ind w:right="44"/>
              <w:jc w:val="right"/>
              <w:rPr>
                <w:sz w:val="11"/>
              </w:rPr>
            </w:pPr>
            <w:r>
              <w:rPr>
                <w:sz w:val="11"/>
              </w:rPr>
              <w:t>-89.727.145,58</w:t>
            </w:r>
          </w:p>
        </w:tc>
        <w:tc>
          <w:tcPr>
            <w:tcW w:w="831" w:type="dxa"/>
          </w:tcPr>
          <w:p>
            <w:pPr>
              <w:pStyle w:val="TableParagraph"/>
              <w:spacing w:line="112" w:lineRule="exact"/>
              <w:ind w:right="43"/>
              <w:jc w:val="right"/>
              <w:rPr>
                <w:sz w:val="11"/>
              </w:rPr>
            </w:pPr>
            <w:r>
              <w:rPr>
                <w:sz w:val="11"/>
              </w:rPr>
              <w:t>-89.727.145,58</w:t>
            </w:r>
          </w:p>
        </w:tc>
      </w:tr>
      <w:tr>
        <w:trPr>
          <w:trHeight w:val="129" w:hRule="atLeast"/>
        </w:trPr>
        <w:tc>
          <w:tcPr>
            <w:tcW w:w="2095" w:type="dxa"/>
          </w:tcPr>
          <w:p>
            <w:pPr>
              <w:pStyle w:val="TableParagraph"/>
              <w:spacing w:line="110" w:lineRule="exact"/>
              <w:ind w:left="58"/>
              <w:rPr>
                <w:sz w:val="11"/>
              </w:rPr>
            </w:pPr>
            <w:r>
              <w:rPr>
                <w:sz w:val="11"/>
              </w:rPr>
              <w:t>Amortización del Inmovilizado</w:t>
            </w:r>
          </w:p>
        </w:tc>
        <w:tc>
          <w:tcPr>
            <w:tcW w:w="793" w:type="dxa"/>
          </w:tcPr>
          <w:p>
            <w:pPr>
              <w:pStyle w:val="TableParagraph"/>
              <w:spacing w:line="110" w:lineRule="exact"/>
              <w:ind w:right="41"/>
              <w:jc w:val="right"/>
              <w:rPr>
                <w:sz w:val="11"/>
              </w:rPr>
            </w:pPr>
            <w:r>
              <w:rPr>
                <w:sz w:val="11"/>
              </w:rPr>
              <w:t>-231.805,47</w:t>
            </w:r>
          </w:p>
        </w:tc>
        <w:tc>
          <w:tcPr>
            <w:tcW w:w="823" w:type="dxa"/>
          </w:tcPr>
          <w:p>
            <w:pPr>
              <w:pStyle w:val="TableParagraph"/>
              <w:spacing w:line="110" w:lineRule="exact"/>
              <w:ind w:right="42"/>
              <w:jc w:val="right"/>
              <w:rPr>
                <w:sz w:val="11"/>
              </w:rPr>
            </w:pPr>
            <w:r>
              <w:rPr>
                <w:sz w:val="11"/>
              </w:rPr>
              <w:t>-2.154.003,39</w:t>
            </w:r>
          </w:p>
        </w:tc>
        <w:tc>
          <w:tcPr>
            <w:tcW w:w="808" w:type="dxa"/>
          </w:tcPr>
          <w:p>
            <w:pPr>
              <w:pStyle w:val="TableParagraph"/>
              <w:spacing w:line="110" w:lineRule="exact"/>
              <w:ind w:right="40"/>
              <w:jc w:val="right"/>
              <w:rPr>
                <w:sz w:val="11"/>
              </w:rPr>
            </w:pPr>
            <w:r>
              <w:rPr>
                <w:sz w:val="11"/>
              </w:rPr>
              <w:t>-138.742,59</w:t>
            </w:r>
          </w:p>
        </w:tc>
        <w:tc>
          <w:tcPr>
            <w:tcW w:w="864" w:type="dxa"/>
          </w:tcPr>
          <w:p>
            <w:pPr>
              <w:pStyle w:val="TableParagraph"/>
              <w:spacing w:line="110" w:lineRule="exact"/>
              <w:ind w:right="42"/>
              <w:jc w:val="right"/>
              <w:rPr>
                <w:sz w:val="11"/>
              </w:rPr>
            </w:pPr>
            <w:r>
              <w:rPr>
                <w:sz w:val="11"/>
              </w:rPr>
              <w:t>-133.832,51</w:t>
            </w:r>
          </w:p>
        </w:tc>
        <w:tc>
          <w:tcPr>
            <w:tcW w:w="946" w:type="dxa"/>
          </w:tcPr>
          <w:p>
            <w:pPr>
              <w:pStyle w:val="TableParagraph"/>
              <w:spacing w:line="110" w:lineRule="exact"/>
              <w:ind w:right="43"/>
              <w:jc w:val="right"/>
              <w:rPr>
                <w:sz w:val="11"/>
              </w:rPr>
            </w:pPr>
            <w:r>
              <w:rPr>
                <w:sz w:val="11"/>
              </w:rPr>
              <w:t>-9.918.358,69</w:t>
            </w:r>
          </w:p>
        </w:tc>
        <w:tc>
          <w:tcPr>
            <w:tcW w:w="776" w:type="dxa"/>
          </w:tcPr>
          <w:p>
            <w:pPr>
              <w:pStyle w:val="TableParagraph"/>
              <w:spacing w:line="110" w:lineRule="exact"/>
              <w:ind w:right="43"/>
              <w:jc w:val="right"/>
              <w:rPr>
                <w:sz w:val="11"/>
              </w:rPr>
            </w:pPr>
            <w:r>
              <w:rPr>
                <w:sz w:val="11"/>
              </w:rPr>
              <w:t>-143.628,66</w:t>
            </w:r>
          </w:p>
        </w:tc>
        <w:tc>
          <w:tcPr>
            <w:tcW w:w="748" w:type="dxa"/>
          </w:tcPr>
          <w:p>
            <w:pPr>
              <w:pStyle w:val="TableParagraph"/>
              <w:spacing w:line="110" w:lineRule="exact"/>
              <w:ind w:right="43"/>
              <w:jc w:val="right"/>
              <w:rPr>
                <w:sz w:val="11"/>
              </w:rPr>
            </w:pPr>
            <w:r>
              <w:rPr>
                <w:sz w:val="11"/>
              </w:rPr>
              <w:t>-6.790,09</w:t>
            </w:r>
          </w:p>
        </w:tc>
        <w:tc>
          <w:tcPr>
            <w:tcW w:w="720" w:type="dxa"/>
          </w:tcPr>
          <w:p>
            <w:pPr>
              <w:pStyle w:val="TableParagraph"/>
              <w:spacing w:line="110" w:lineRule="exact"/>
              <w:ind w:right="43"/>
              <w:jc w:val="right"/>
              <w:rPr>
                <w:sz w:val="11"/>
              </w:rPr>
            </w:pPr>
            <w:r>
              <w:rPr>
                <w:sz w:val="11"/>
              </w:rPr>
              <w:t>-39.164,99</w:t>
            </w:r>
          </w:p>
        </w:tc>
        <w:tc>
          <w:tcPr>
            <w:tcW w:w="881" w:type="dxa"/>
          </w:tcPr>
          <w:p>
            <w:pPr>
              <w:pStyle w:val="TableParagraph"/>
              <w:spacing w:line="110" w:lineRule="exact"/>
              <w:ind w:right="45"/>
              <w:jc w:val="right"/>
              <w:rPr>
                <w:sz w:val="11"/>
              </w:rPr>
            </w:pPr>
            <w:r>
              <w:rPr>
                <w:sz w:val="11"/>
              </w:rPr>
              <w:t>-311.385,43</w:t>
            </w:r>
          </w:p>
        </w:tc>
        <w:tc>
          <w:tcPr>
            <w:tcW w:w="888" w:type="dxa"/>
          </w:tcPr>
          <w:p>
            <w:pPr>
              <w:pStyle w:val="TableParagraph"/>
              <w:spacing w:line="110" w:lineRule="exact"/>
              <w:ind w:right="43"/>
              <w:jc w:val="right"/>
              <w:rPr>
                <w:sz w:val="11"/>
              </w:rPr>
            </w:pPr>
            <w:r>
              <w:rPr>
                <w:sz w:val="11"/>
              </w:rPr>
              <w:t>-6.330.513,63</w:t>
            </w:r>
          </w:p>
        </w:tc>
        <w:tc>
          <w:tcPr>
            <w:tcW w:w="879" w:type="dxa"/>
          </w:tcPr>
          <w:p>
            <w:pPr>
              <w:pStyle w:val="TableParagraph"/>
              <w:spacing w:line="110" w:lineRule="exact"/>
              <w:ind w:right="44"/>
              <w:jc w:val="right"/>
              <w:rPr>
                <w:sz w:val="11"/>
              </w:rPr>
            </w:pPr>
            <w:r>
              <w:rPr>
                <w:sz w:val="11"/>
              </w:rPr>
              <w:t>-26.557.069,60</w:t>
            </w:r>
          </w:p>
        </w:tc>
        <w:tc>
          <w:tcPr>
            <w:tcW w:w="831" w:type="dxa"/>
          </w:tcPr>
          <w:p>
            <w:pPr>
              <w:pStyle w:val="TableParagraph"/>
              <w:spacing w:line="110" w:lineRule="exact"/>
              <w:ind w:right="43"/>
              <w:jc w:val="right"/>
              <w:rPr>
                <w:sz w:val="11"/>
              </w:rPr>
            </w:pPr>
            <w:r>
              <w:rPr>
                <w:sz w:val="11"/>
              </w:rPr>
              <w:t>-26.557.069,60</w:t>
            </w:r>
          </w:p>
        </w:tc>
      </w:tr>
      <w:tr>
        <w:trPr>
          <w:trHeight w:val="131" w:hRule="atLeast"/>
        </w:trPr>
        <w:tc>
          <w:tcPr>
            <w:tcW w:w="2095" w:type="dxa"/>
          </w:tcPr>
          <w:p>
            <w:pPr>
              <w:pStyle w:val="TableParagraph"/>
              <w:spacing w:line="112" w:lineRule="exact"/>
              <w:ind w:left="58"/>
              <w:rPr>
                <w:sz w:val="11"/>
              </w:rPr>
            </w:pPr>
            <w:r>
              <w:rPr>
                <w:sz w:val="11"/>
              </w:rPr>
              <w:t>Imput. de Subvenc. de inmov. no financ. y o</w:t>
            </w:r>
          </w:p>
        </w:tc>
        <w:tc>
          <w:tcPr>
            <w:tcW w:w="793" w:type="dxa"/>
          </w:tcPr>
          <w:p>
            <w:pPr>
              <w:pStyle w:val="TableParagraph"/>
              <w:spacing w:line="112" w:lineRule="exact"/>
              <w:ind w:right="41"/>
              <w:jc w:val="right"/>
              <w:rPr>
                <w:sz w:val="11"/>
              </w:rPr>
            </w:pPr>
            <w:r>
              <w:rPr>
                <w:sz w:val="11"/>
              </w:rPr>
              <w:t>160.222,73</w:t>
            </w:r>
          </w:p>
        </w:tc>
        <w:tc>
          <w:tcPr>
            <w:tcW w:w="823" w:type="dxa"/>
          </w:tcPr>
          <w:p>
            <w:pPr>
              <w:pStyle w:val="TableParagraph"/>
              <w:spacing w:line="112" w:lineRule="exact"/>
              <w:ind w:right="42"/>
              <w:jc w:val="right"/>
              <w:rPr>
                <w:sz w:val="11"/>
              </w:rPr>
            </w:pPr>
            <w:r>
              <w:rPr>
                <w:sz w:val="11"/>
              </w:rPr>
              <w:t>2.498.424,66</w:t>
            </w:r>
          </w:p>
        </w:tc>
        <w:tc>
          <w:tcPr>
            <w:tcW w:w="808" w:type="dxa"/>
          </w:tcPr>
          <w:p>
            <w:pPr>
              <w:pStyle w:val="TableParagraph"/>
              <w:spacing w:line="112" w:lineRule="exact"/>
              <w:ind w:right="40"/>
              <w:jc w:val="right"/>
              <w:rPr>
                <w:sz w:val="11"/>
              </w:rPr>
            </w:pPr>
            <w:r>
              <w:rPr>
                <w:sz w:val="11"/>
              </w:rPr>
              <w:t>120.788,02</w:t>
            </w:r>
          </w:p>
        </w:tc>
        <w:tc>
          <w:tcPr>
            <w:tcW w:w="864" w:type="dxa"/>
          </w:tcPr>
          <w:p>
            <w:pPr>
              <w:pStyle w:val="TableParagraph"/>
              <w:spacing w:line="112" w:lineRule="exact"/>
              <w:ind w:right="42"/>
              <w:jc w:val="right"/>
              <w:rPr>
                <w:sz w:val="11"/>
              </w:rPr>
            </w:pPr>
            <w:r>
              <w:rPr>
                <w:w w:val="95"/>
                <w:sz w:val="11"/>
              </w:rPr>
              <w:t>71.771,25</w:t>
            </w:r>
          </w:p>
        </w:tc>
        <w:tc>
          <w:tcPr>
            <w:tcW w:w="946" w:type="dxa"/>
          </w:tcPr>
          <w:p>
            <w:pPr>
              <w:pStyle w:val="TableParagraph"/>
              <w:spacing w:line="112" w:lineRule="exact"/>
              <w:ind w:right="43"/>
              <w:jc w:val="right"/>
              <w:rPr>
                <w:sz w:val="11"/>
              </w:rPr>
            </w:pPr>
            <w:r>
              <w:rPr>
                <w:sz w:val="11"/>
              </w:rPr>
              <w:t>8.861.364,66</w:t>
            </w:r>
          </w:p>
        </w:tc>
        <w:tc>
          <w:tcPr>
            <w:tcW w:w="776" w:type="dxa"/>
          </w:tcPr>
          <w:p>
            <w:pPr>
              <w:pStyle w:val="TableParagraph"/>
              <w:spacing w:line="112" w:lineRule="exact"/>
              <w:ind w:right="43"/>
              <w:jc w:val="right"/>
              <w:rPr>
                <w:sz w:val="11"/>
              </w:rPr>
            </w:pPr>
            <w:r>
              <w:rPr>
                <w:sz w:val="11"/>
              </w:rPr>
              <w:t>140.318,87</w:t>
            </w:r>
          </w:p>
        </w:tc>
        <w:tc>
          <w:tcPr>
            <w:tcW w:w="748" w:type="dxa"/>
          </w:tcPr>
          <w:p>
            <w:pPr>
              <w:pStyle w:val="TableParagraph"/>
              <w:spacing w:line="112" w:lineRule="exact"/>
              <w:ind w:right="42"/>
              <w:jc w:val="right"/>
              <w:rPr>
                <w:sz w:val="11"/>
              </w:rPr>
            </w:pPr>
            <w:r>
              <w:rPr>
                <w:w w:val="95"/>
                <w:sz w:val="11"/>
              </w:rPr>
              <w:t>232,35</w:t>
            </w:r>
          </w:p>
        </w:tc>
        <w:tc>
          <w:tcPr>
            <w:tcW w:w="720" w:type="dxa"/>
          </w:tcPr>
          <w:p>
            <w:pPr>
              <w:pStyle w:val="TableParagraph"/>
              <w:rPr>
                <w:rFonts w:ascii="Times New Roman"/>
                <w:sz w:val="6"/>
              </w:rPr>
            </w:pPr>
          </w:p>
        </w:tc>
        <w:tc>
          <w:tcPr>
            <w:tcW w:w="881" w:type="dxa"/>
          </w:tcPr>
          <w:p>
            <w:pPr>
              <w:pStyle w:val="TableParagraph"/>
              <w:spacing w:line="112" w:lineRule="exact"/>
              <w:ind w:right="45"/>
              <w:jc w:val="right"/>
              <w:rPr>
                <w:sz w:val="11"/>
              </w:rPr>
            </w:pPr>
            <w:r>
              <w:rPr>
                <w:sz w:val="11"/>
              </w:rPr>
              <w:t>239.187,96</w:t>
            </w:r>
          </w:p>
        </w:tc>
        <w:tc>
          <w:tcPr>
            <w:tcW w:w="888" w:type="dxa"/>
          </w:tcPr>
          <w:p>
            <w:pPr>
              <w:pStyle w:val="TableParagraph"/>
              <w:spacing w:line="112" w:lineRule="exact"/>
              <w:ind w:right="43"/>
              <w:jc w:val="right"/>
              <w:rPr>
                <w:sz w:val="11"/>
              </w:rPr>
            </w:pPr>
            <w:r>
              <w:rPr>
                <w:sz w:val="11"/>
              </w:rPr>
              <w:t>1.657.483,96</w:t>
            </w:r>
          </w:p>
        </w:tc>
        <w:tc>
          <w:tcPr>
            <w:tcW w:w="879" w:type="dxa"/>
          </w:tcPr>
          <w:p>
            <w:pPr>
              <w:pStyle w:val="TableParagraph"/>
              <w:spacing w:line="112" w:lineRule="exact"/>
              <w:ind w:right="44"/>
              <w:jc w:val="right"/>
              <w:rPr>
                <w:sz w:val="11"/>
              </w:rPr>
            </w:pPr>
            <w:r>
              <w:rPr>
                <w:sz w:val="11"/>
              </w:rPr>
              <w:t>19.114.228,74</w:t>
            </w:r>
          </w:p>
        </w:tc>
        <w:tc>
          <w:tcPr>
            <w:tcW w:w="831" w:type="dxa"/>
          </w:tcPr>
          <w:p>
            <w:pPr>
              <w:pStyle w:val="TableParagraph"/>
              <w:spacing w:line="112" w:lineRule="exact"/>
              <w:ind w:right="43"/>
              <w:jc w:val="right"/>
              <w:rPr>
                <w:sz w:val="11"/>
              </w:rPr>
            </w:pPr>
            <w:r>
              <w:rPr>
                <w:sz w:val="11"/>
              </w:rPr>
              <w:t>19.114.228,74</w:t>
            </w:r>
          </w:p>
        </w:tc>
      </w:tr>
      <w:tr>
        <w:trPr>
          <w:trHeight w:val="129" w:hRule="atLeast"/>
        </w:trPr>
        <w:tc>
          <w:tcPr>
            <w:tcW w:w="2095" w:type="dxa"/>
          </w:tcPr>
          <w:p>
            <w:pPr>
              <w:pStyle w:val="TableParagraph"/>
              <w:spacing w:line="110" w:lineRule="exact"/>
              <w:ind w:left="58"/>
              <w:rPr>
                <w:sz w:val="11"/>
              </w:rPr>
            </w:pPr>
            <w:r>
              <w:rPr>
                <w:sz w:val="11"/>
              </w:rPr>
              <w:t>Exceso de provisiones</w:t>
            </w:r>
          </w:p>
        </w:tc>
        <w:tc>
          <w:tcPr>
            <w:tcW w:w="793" w:type="dxa"/>
          </w:tcPr>
          <w:p>
            <w:pPr>
              <w:pStyle w:val="TableParagraph"/>
              <w:rPr>
                <w:rFonts w:ascii="Times New Roman"/>
                <w:sz w:val="6"/>
              </w:rPr>
            </w:pPr>
          </w:p>
        </w:tc>
        <w:tc>
          <w:tcPr>
            <w:tcW w:w="823" w:type="dxa"/>
          </w:tcPr>
          <w:p>
            <w:pPr>
              <w:pStyle w:val="TableParagraph"/>
              <w:rPr>
                <w:rFonts w:ascii="Times New Roman"/>
                <w:sz w:val="6"/>
              </w:rPr>
            </w:pPr>
          </w:p>
        </w:tc>
        <w:tc>
          <w:tcPr>
            <w:tcW w:w="808" w:type="dxa"/>
          </w:tcPr>
          <w:p>
            <w:pPr>
              <w:pStyle w:val="TableParagraph"/>
              <w:rPr>
                <w:rFonts w:ascii="Times New Roman"/>
                <w:sz w:val="6"/>
              </w:rPr>
            </w:pPr>
          </w:p>
        </w:tc>
        <w:tc>
          <w:tcPr>
            <w:tcW w:w="864" w:type="dxa"/>
          </w:tcPr>
          <w:p>
            <w:pPr>
              <w:pStyle w:val="TableParagraph"/>
              <w:rPr>
                <w:rFonts w:ascii="Times New Roman"/>
                <w:sz w:val="6"/>
              </w:rPr>
            </w:pPr>
          </w:p>
        </w:tc>
        <w:tc>
          <w:tcPr>
            <w:tcW w:w="946" w:type="dxa"/>
          </w:tcPr>
          <w:p>
            <w:pPr>
              <w:pStyle w:val="TableParagraph"/>
              <w:rPr>
                <w:rFonts w:ascii="Times New Roman"/>
                <w:sz w:val="6"/>
              </w:rPr>
            </w:pPr>
          </w:p>
        </w:tc>
        <w:tc>
          <w:tcPr>
            <w:tcW w:w="776" w:type="dxa"/>
          </w:tcPr>
          <w:p>
            <w:pPr>
              <w:pStyle w:val="TableParagraph"/>
              <w:rPr>
                <w:rFonts w:ascii="Times New Roman"/>
                <w:sz w:val="6"/>
              </w:rPr>
            </w:pPr>
          </w:p>
        </w:tc>
        <w:tc>
          <w:tcPr>
            <w:tcW w:w="748" w:type="dxa"/>
          </w:tcPr>
          <w:p>
            <w:pPr>
              <w:pStyle w:val="TableParagraph"/>
              <w:rPr>
                <w:rFonts w:ascii="Times New Roman"/>
                <w:sz w:val="6"/>
              </w:rPr>
            </w:pPr>
          </w:p>
        </w:tc>
        <w:tc>
          <w:tcPr>
            <w:tcW w:w="720" w:type="dxa"/>
          </w:tcPr>
          <w:p>
            <w:pPr>
              <w:pStyle w:val="TableParagraph"/>
              <w:spacing w:line="110" w:lineRule="exact"/>
              <w:ind w:right="43"/>
              <w:jc w:val="right"/>
              <w:rPr>
                <w:sz w:val="11"/>
              </w:rPr>
            </w:pPr>
            <w:r>
              <w:rPr>
                <w:w w:val="95"/>
                <w:sz w:val="11"/>
              </w:rPr>
              <w:t>365,36</w:t>
            </w:r>
          </w:p>
        </w:tc>
        <w:tc>
          <w:tcPr>
            <w:tcW w:w="881" w:type="dxa"/>
          </w:tcPr>
          <w:p>
            <w:pPr>
              <w:pStyle w:val="TableParagraph"/>
              <w:rPr>
                <w:rFonts w:ascii="Times New Roman"/>
                <w:sz w:val="6"/>
              </w:rPr>
            </w:pPr>
          </w:p>
        </w:tc>
        <w:tc>
          <w:tcPr>
            <w:tcW w:w="888" w:type="dxa"/>
          </w:tcPr>
          <w:p>
            <w:pPr>
              <w:pStyle w:val="TableParagraph"/>
              <w:spacing w:line="110" w:lineRule="exact"/>
              <w:ind w:right="43"/>
              <w:jc w:val="right"/>
              <w:rPr>
                <w:sz w:val="11"/>
              </w:rPr>
            </w:pPr>
            <w:r>
              <w:rPr>
                <w:sz w:val="11"/>
              </w:rPr>
              <w:t>103.794,37</w:t>
            </w:r>
          </w:p>
        </w:tc>
        <w:tc>
          <w:tcPr>
            <w:tcW w:w="879" w:type="dxa"/>
          </w:tcPr>
          <w:p>
            <w:pPr>
              <w:pStyle w:val="TableParagraph"/>
              <w:spacing w:line="110" w:lineRule="exact"/>
              <w:ind w:right="44"/>
              <w:jc w:val="right"/>
              <w:rPr>
                <w:sz w:val="11"/>
              </w:rPr>
            </w:pPr>
            <w:r>
              <w:rPr>
                <w:sz w:val="11"/>
              </w:rPr>
              <w:t>104.159,73</w:t>
            </w:r>
          </w:p>
        </w:tc>
        <w:tc>
          <w:tcPr>
            <w:tcW w:w="831" w:type="dxa"/>
          </w:tcPr>
          <w:p>
            <w:pPr>
              <w:pStyle w:val="TableParagraph"/>
              <w:spacing w:line="110" w:lineRule="exact"/>
              <w:ind w:right="43"/>
              <w:jc w:val="right"/>
              <w:rPr>
                <w:sz w:val="11"/>
              </w:rPr>
            </w:pPr>
            <w:r>
              <w:rPr>
                <w:sz w:val="11"/>
              </w:rPr>
              <w:t>104.159,73</w:t>
            </w:r>
          </w:p>
        </w:tc>
      </w:tr>
      <w:tr>
        <w:trPr>
          <w:trHeight w:val="264" w:hRule="atLeast"/>
        </w:trPr>
        <w:tc>
          <w:tcPr>
            <w:tcW w:w="2095" w:type="dxa"/>
          </w:tcPr>
          <w:p>
            <w:pPr>
              <w:pStyle w:val="TableParagraph"/>
              <w:spacing w:line="130" w:lineRule="exact"/>
              <w:ind w:left="58"/>
              <w:rPr>
                <w:sz w:val="11"/>
              </w:rPr>
            </w:pPr>
            <w:r>
              <w:rPr>
                <w:sz w:val="11"/>
              </w:rPr>
              <w:t>Deterioro y resultado por enajenaciones de</w:t>
            </w:r>
          </w:p>
          <w:p>
            <w:pPr>
              <w:pStyle w:val="TableParagraph"/>
              <w:spacing w:line="114" w:lineRule="exact"/>
              <w:ind w:left="58"/>
              <w:rPr>
                <w:sz w:val="11"/>
              </w:rPr>
            </w:pPr>
            <w:r>
              <w:rPr>
                <w:sz w:val="11"/>
              </w:rPr>
              <w:t>inmovilizado</w:t>
            </w:r>
          </w:p>
        </w:tc>
        <w:tc>
          <w:tcPr>
            <w:tcW w:w="793" w:type="dxa"/>
          </w:tcPr>
          <w:p>
            <w:pPr>
              <w:pStyle w:val="TableParagraph"/>
              <w:rPr>
                <w:rFonts w:ascii="Times New Roman"/>
                <w:sz w:val="10"/>
              </w:rPr>
            </w:pPr>
          </w:p>
        </w:tc>
        <w:tc>
          <w:tcPr>
            <w:tcW w:w="823" w:type="dxa"/>
          </w:tcPr>
          <w:p>
            <w:pPr>
              <w:pStyle w:val="TableParagraph"/>
              <w:spacing w:before="6"/>
              <w:rPr>
                <w:b/>
                <w:sz w:val="10"/>
              </w:rPr>
            </w:pPr>
          </w:p>
          <w:p>
            <w:pPr>
              <w:pStyle w:val="TableParagraph"/>
              <w:spacing w:line="115" w:lineRule="exact" w:before="1"/>
              <w:ind w:right="42"/>
              <w:jc w:val="right"/>
              <w:rPr>
                <w:sz w:val="11"/>
              </w:rPr>
            </w:pPr>
            <w:r>
              <w:rPr>
                <w:w w:val="95"/>
                <w:sz w:val="11"/>
              </w:rPr>
              <w:t>-676,35</w:t>
            </w:r>
          </w:p>
        </w:tc>
        <w:tc>
          <w:tcPr>
            <w:tcW w:w="808" w:type="dxa"/>
          </w:tcPr>
          <w:p>
            <w:pPr>
              <w:pStyle w:val="TableParagraph"/>
              <w:rPr>
                <w:rFonts w:ascii="Times New Roman"/>
                <w:sz w:val="10"/>
              </w:rPr>
            </w:pPr>
          </w:p>
        </w:tc>
        <w:tc>
          <w:tcPr>
            <w:tcW w:w="864" w:type="dxa"/>
          </w:tcPr>
          <w:p>
            <w:pPr>
              <w:pStyle w:val="TableParagraph"/>
              <w:rPr>
                <w:rFonts w:ascii="Times New Roman"/>
                <w:sz w:val="10"/>
              </w:rPr>
            </w:pPr>
          </w:p>
        </w:tc>
        <w:tc>
          <w:tcPr>
            <w:tcW w:w="946" w:type="dxa"/>
          </w:tcPr>
          <w:p>
            <w:pPr>
              <w:pStyle w:val="TableParagraph"/>
              <w:rPr>
                <w:rFonts w:ascii="Times New Roman"/>
                <w:sz w:val="10"/>
              </w:rPr>
            </w:pPr>
          </w:p>
        </w:tc>
        <w:tc>
          <w:tcPr>
            <w:tcW w:w="776" w:type="dxa"/>
          </w:tcPr>
          <w:p>
            <w:pPr>
              <w:pStyle w:val="TableParagraph"/>
              <w:rPr>
                <w:rFonts w:ascii="Times New Roman"/>
                <w:sz w:val="10"/>
              </w:rPr>
            </w:pPr>
          </w:p>
        </w:tc>
        <w:tc>
          <w:tcPr>
            <w:tcW w:w="748" w:type="dxa"/>
          </w:tcPr>
          <w:p>
            <w:pPr>
              <w:pStyle w:val="TableParagraph"/>
              <w:rPr>
                <w:rFonts w:ascii="Times New Roman"/>
                <w:sz w:val="10"/>
              </w:rPr>
            </w:pPr>
          </w:p>
        </w:tc>
        <w:tc>
          <w:tcPr>
            <w:tcW w:w="720" w:type="dxa"/>
          </w:tcPr>
          <w:p>
            <w:pPr>
              <w:pStyle w:val="TableParagraph"/>
              <w:rPr>
                <w:rFonts w:ascii="Times New Roman"/>
                <w:sz w:val="10"/>
              </w:rPr>
            </w:pPr>
          </w:p>
        </w:tc>
        <w:tc>
          <w:tcPr>
            <w:tcW w:w="881" w:type="dxa"/>
          </w:tcPr>
          <w:p>
            <w:pPr>
              <w:pStyle w:val="TableParagraph"/>
              <w:spacing w:before="6"/>
              <w:rPr>
                <w:b/>
                <w:sz w:val="10"/>
              </w:rPr>
            </w:pPr>
          </w:p>
          <w:p>
            <w:pPr>
              <w:pStyle w:val="TableParagraph"/>
              <w:spacing w:line="115" w:lineRule="exact" w:before="1"/>
              <w:ind w:right="45"/>
              <w:jc w:val="right"/>
              <w:rPr>
                <w:sz w:val="11"/>
              </w:rPr>
            </w:pPr>
            <w:r>
              <w:rPr>
                <w:w w:val="95"/>
                <w:sz w:val="11"/>
              </w:rPr>
              <w:t>-533,52</w:t>
            </w:r>
          </w:p>
        </w:tc>
        <w:tc>
          <w:tcPr>
            <w:tcW w:w="888" w:type="dxa"/>
          </w:tcPr>
          <w:p>
            <w:pPr>
              <w:pStyle w:val="TableParagraph"/>
              <w:spacing w:before="6"/>
              <w:rPr>
                <w:b/>
                <w:sz w:val="10"/>
              </w:rPr>
            </w:pPr>
          </w:p>
          <w:p>
            <w:pPr>
              <w:pStyle w:val="TableParagraph"/>
              <w:spacing w:line="115" w:lineRule="exact" w:before="1"/>
              <w:ind w:right="43"/>
              <w:jc w:val="right"/>
              <w:rPr>
                <w:sz w:val="11"/>
              </w:rPr>
            </w:pPr>
            <w:r>
              <w:rPr>
                <w:sz w:val="11"/>
              </w:rPr>
              <w:t>4.907.558,16</w:t>
            </w:r>
          </w:p>
        </w:tc>
        <w:tc>
          <w:tcPr>
            <w:tcW w:w="879" w:type="dxa"/>
          </w:tcPr>
          <w:p>
            <w:pPr>
              <w:pStyle w:val="TableParagraph"/>
              <w:spacing w:before="6"/>
              <w:rPr>
                <w:b/>
                <w:sz w:val="10"/>
              </w:rPr>
            </w:pPr>
          </w:p>
          <w:p>
            <w:pPr>
              <w:pStyle w:val="TableParagraph"/>
              <w:spacing w:line="115" w:lineRule="exact" w:before="1"/>
              <w:ind w:right="44"/>
              <w:jc w:val="right"/>
              <w:rPr>
                <w:sz w:val="11"/>
              </w:rPr>
            </w:pPr>
            <w:r>
              <w:rPr>
                <w:sz w:val="11"/>
              </w:rPr>
              <w:t>5.050.944,02</w:t>
            </w:r>
          </w:p>
        </w:tc>
        <w:tc>
          <w:tcPr>
            <w:tcW w:w="831" w:type="dxa"/>
          </w:tcPr>
          <w:p>
            <w:pPr>
              <w:pStyle w:val="TableParagraph"/>
              <w:spacing w:before="6"/>
              <w:rPr>
                <w:b/>
                <w:sz w:val="10"/>
              </w:rPr>
            </w:pPr>
          </w:p>
          <w:p>
            <w:pPr>
              <w:pStyle w:val="TableParagraph"/>
              <w:spacing w:line="115" w:lineRule="exact" w:before="1"/>
              <w:ind w:right="43"/>
              <w:jc w:val="right"/>
              <w:rPr>
                <w:sz w:val="11"/>
              </w:rPr>
            </w:pPr>
            <w:r>
              <w:rPr>
                <w:sz w:val="11"/>
              </w:rPr>
              <w:t>5.050.944,02</w:t>
            </w:r>
          </w:p>
        </w:tc>
      </w:tr>
      <w:tr>
        <w:trPr>
          <w:trHeight w:val="129" w:hRule="atLeast"/>
        </w:trPr>
        <w:tc>
          <w:tcPr>
            <w:tcW w:w="2095" w:type="dxa"/>
          </w:tcPr>
          <w:p>
            <w:pPr>
              <w:pStyle w:val="TableParagraph"/>
              <w:spacing w:line="110" w:lineRule="exact"/>
              <w:ind w:left="58"/>
              <w:rPr>
                <w:sz w:val="11"/>
              </w:rPr>
            </w:pPr>
            <w:r>
              <w:rPr>
                <w:sz w:val="11"/>
              </w:rPr>
              <w:t>Otros resultados</w:t>
            </w:r>
          </w:p>
        </w:tc>
        <w:tc>
          <w:tcPr>
            <w:tcW w:w="793" w:type="dxa"/>
          </w:tcPr>
          <w:p>
            <w:pPr>
              <w:pStyle w:val="TableParagraph"/>
              <w:spacing w:line="110" w:lineRule="exact"/>
              <w:ind w:right="41"/>
              <w:jc w:val="right"/>
              <w:rPr>
                <w:sz w:val="11"/>
              </w:rPr>
            </w:pPr>
            <w:r>
              <w:rPr>
                <w:w w:val="95"/>
                <w:sz w:val="11"/>
              </w:rPr>
              <w:t>-622,97</w:t>
            </w:r>
          </w:p>
        </w:tc>
        <w:tc>
          <w:tcPr>
            <w:tcW w:w="823" w:type="dxa"/>
          </w:tcPr>
          <w:p>
            <w:pPr>
              <w:pStyle w:val="TableParagraph"/>
              <w:spacing w:line="110" w:lineRule="exact"/>
              <w:ind w:right="42"/>
              <w:jc w:val="right"/>
              <w:rPr>
                <w:sz w:val="11"/>
              </w:rPr>
            </w:pPr>
            <w:r>
              <w:rPr>
                <w:w w:val="95"/>
                <w:sz w:val="11"/>
              </w:rPr>
              <w:t>20.150,28</w:t>
            </w:r>
          </w:p>
        </w:tc>
        <w:tc>
          <w:tcPr>
            <w:tcW w:w="808" w:type="dxa"/>
          </w:tcPr>
          <w:p>
            <w:pPr>
              <w:pStyle w:val="TableParagraph"/>
              <w:spacing w:line="110" w:lineRule="exact"/>
              <w:ind w:right="40"/>
              <w:jc w:val="right"/>
              <w:rPr>
                <w:sz w:val="11"/>
              </w:rPr>
            </w:pPr>
            <w:r>
              <w:rPr>
                <w:w w:val="95"/>
                <w:sz w:val="11"/>
              </w:rPr>
              <w:t>23.115,55</w:t>
            </w:r>
          </w:p>
        </w:tc>
        <w:tc>
          <w:tcPr>
            <w:tcW w:w="864" w:type="dxa"/>
          </w:tcPr>
          <w:p>
            <w:pPr>
              <w:pStyle w:val="TableParagraph"/>
              <w:spacing w:line="110" w:lineRule="exact"/>
              <w:ind w:right="42"/>
              <w:jc w:val="right"/>
              <w:rPr>
                <w:sz w:val="11"/>
              </w:rPr>
            </w:pPr>
            <w:r>
              <w:rPr>
                <w:w w:val="95"/>
                <w:sz w:val="11"/>
              </w:rPr>
              <w:t>0,70</w:t>
            </w:r>
          </w:p>
        </w:tc>
        <w:tc>
          <w:tcPr>
            <w:tcW w:w="946" w:type="dxa"/>
          </w:tcPr>
          <w:p>
            <w:pPr>
              <w:pStyle w:val="TableParagraph"/>
              <w:spacing w:line="110" w:lineRule="exact"/>
              <w:ind w:right="43"/>
              <w:jc w:val="right"/>
              <w:rPr>
                <w:sz w:val="11"/>
              </w:rPr>
            </w:pPr>
            <w:r>
              <w:rPr>
                <w:sz w:val="11"/>
              </w:rPr>
              <w:t>-19.276,65</w:t>
            </w:r>
          </w:p>
        </w:tc>
        <w:tc>
          <w:tcPr>
            <w:tcW w:w="776" w:type="dxa"/>
          </w:tcPr>
          <w:p>
            <w:pPr>
              <w:pStyle w:val="TableParagraph"/>
              <w:spacing w:line="110" w:lineRule="exact"/>
              <w:ind w:right="43"/>
              <w:jc w:val="right"/>
              <w:rPr>
                <w:sz w:val="11"/>
              </w:rPr>
            </w:pPr>
            <w:r>
              <w:rPr>
                <w:sz w:val="11"/>
              </w:rPr>
              <w:t>-3.680,87</w:t>
            </w:r>
          </w:p>
        </w:tc>
        <w:tc>
          <w:tcPr>
            <w:tcW w:w="748" w:type="dxa"/>
          </w:tcPr>
          <w:p>
            <w:pPr>
              <w:pStyle w:val="TableParagraph"/>
              <w:rPr>
                <w:rFonts w:ascii="Times New Roman"/>
                <w:sz w:val="6"/>
              </w:rPr>
            </w:pPr>
          </w:p>
        </w:tc>
        <w:tc>
          <w:tcPr>
            <w:tcW w:w="720" w:type="dxa"/>
          </w:tcPr>
          <w:p>
            <w:pPr>
              <w:pStyle w:val="TableParagraph"/>
              <w:spacing w:line="110" w:lineRule="exact"/>
              <w:ind w:right="43"/>
              <w:jc w:val="right"/>
              <w:rPr>
                <w:sz w:val="11"/>
              </w:rPr>
            </w:pPr>
            <w:r>
              <w:rPr>
                <w:sz w:val="11"/>
              </w:rPr>
              <w:t>-2.720,95</w:t>
            </w:r>
          </w:p>
        </w:tc>
        <w:tc>
          <w:tcPr>
            <w:tcW w:w="881" w:type="dxa"/>
          </w:tcPr>
          <w:p>
            <w:pPr>
              <w:pStyle w:val="TableParagraph"/>
              <w:spacing w:line="110" w:lineRule="exact"/>
              <w:ind w:right="45"/>
              <w:jc w:val="right"/>
              <w:rPr>
                <w:sz w:val="11"/>
              </w:rPr>
            </w:pPr>
            <w:r>
              <w:rPr>
                <w:sz w:val="11"/>
              </w:rPr>
              <w:t>-59.277,67</w:t>
            </w:r>
          </w:p>
        </w:tc>
        <w:tc>
          <w:tcPr>
            <w:tcW w:w="888" w:type="dxa"/>
          </w:tcPr>
          <w:p>
            <w:pPr>
              <w:pStyle w:val="TableParagraph"/>
              <w:spacing w:line="110" w:lineRule="exact"/>
              <w:ind w:right="43"/>
              <w:jc w:val="right"/>
              <w:rPr>
                <w:sz w:val="11"/>
              </w:rPr>
            </w:pPr>
            <w:r>
              <w:rPr>
                <w:sz w:val="11"/>
              </w:rPr>
              <w:t>-580.971,71</w:t>
            </w:r>
          </w:p>
        </w:tc>
        <w:tc>
          <w:tcPr>
            <w:tcW w:w="879" w:type="dxa"/>
          </w:tcPr>
          <w:p>
            <w:pPr>
              <w:pStyle w:val="TableParagraph"/>
              <w:spacing w:line="110" w:lineRule="exact"/>
              <w:ind w:right="44"/>
              <w:jc w:val="right"/>
              <w:rPr>
                <w:sz w:val="11"/>
              </w:rPr>
            </w:pPr>
            <w:r>
              <w:rPr>
                <w:sz w:val="11"/>
              </w:rPr>
              <w:t>-93.132,01</w:t>
            </w:r>
          </w:p>
        </w:tc>
        <w:tc>
          <w:tcPr>
            <w:tcW w:w="831" w:type="dxa"/>
          </w:tcPr>
          <w:p>
            <w:pPr>
              <w:pStyle w:val="TableParagraph"/>
              <w:spacing w:line="110" w:lineRule="exact"/>
              <w:ind w:right="43"/>
              <w:jc w:val="right"/>
              <w:rPr>
                <w:sz w:val="11"/>
              </w:rPr>
            </w:pPr>
            <w:r>
              <w:rPr>
                <w:sz w:val="11"/>
              </w:rPr>
              <w:t>-93.132,01</w:t>
            </w:r>
          </w:p>
        </w:tc>
      </w:tr>
      <w:tr>
        <w:trPr>
          <w:trHeight w:val="129" w:hRule="atLeast"/>
        </w:trPr>
        <w:tc>
          <w:tcPr>
            <w:tcW w:w="2095" w:type="dxa"/>
          </w:tcPr>
          <w:p>
            <w:pPr>
              <w:pStyle w:val="TableParagraph"/>
              <w:spacing w:line="110" w:lineRule="exact"/>
              <w:ind w:left="82"/>
              <w:rPr>
                <w:b/>
                <w:sz w:val="11"/>
              </w:rPr>
            </w:pPr>
            <w:r>
              <w:rPr>
                <w:b/>
                <w:sz w:val="11"/>
              </w:rPr>
              <w:t>RESULTADO DE EXPLOTACIÓN</w:t>
            </w:r>
          </w:p>
        </w:tc>
        <w:tc>
          <w:tcPr>
            <w:tcW w:w="793" w:type="dxa"/>
          </w:tcPr>
          <w:p>
            <w:pPr>
              <w:pStyle w:val="TableParagraph"/>
              <w:spacing w:line="110" w:lineRule="exact"/>
              <w:ind w:right="41"/>
              <w:jc w:val="right"/>
              <w:rPr>
                <w:b/>
                <w:sz w:val="11"/>
              </w:rPr>
            </w:pPr>
            <w:r>
              <w:rPr>
                <w:b/>
                <w:w w:val="95"/>
                <w:sz w:val="11"/>
              </w:rPr>
              <w:t>-2.767.682,80</w:t>
            </w:r>
          </w:p>
        </w:tc>
        <w:tc>
          <w:tcPr>
            <w:tcW w:w="823" w:type="dxa"/>
          </w:tcPr>
          <w:p>
            <w:pPr>
              <w:pStyle w:val="TableParagraph"/>
              <w:spacing w:line="110" w:lineRule="exact"/>
              <w:ind w:right="42"/>
              <w:jc w:val="right"/>
              <w:rPr>
                <w:b/>
                <w:sz w:val="11"/>
              </w:rPr>
            </w:pPr>
            <w:r>
              <w:rPr>
                <w:b/>
                <w:w w:val="95"/>
                <w:sz w:val="11"/>
              </w:rPr>
              <w:t>-1.829.167,95</w:t>
            </w:r>
          </w:p>
        </w:tc>
        <w:tc>
          <w:tcPr>
            <w:tcW w:w="808" w:type="dxa"/>
          </w:tcPr>
          <w:p>
            <w:pPr>
              <w:pStyle w:val="TableParagraph"/>
              <w:spacing w:line="110" w:lineRule="exact"/>
              <w:ind w:right="40"/>
              <w:jc w:val="right"/>
              <w:rPr>
                <w:b/>
                <w:sz w:val="11"/>
              </w:rPr>
            </w:pPr>
            <w:r>
              <w:rPr>
                <w:b/>
                <w:w w:val="95"/>
                <w:sz w:val="11"/>
              </w:rPr>
              <w:t>-1.983.064,46</w:t>
            </w:r>
          </w:p>
        </w:tc>
        <w:tc>
          <w:tcPr>
            <w:tcW w:w="864" w:type="dxa"/>
          </w:tcPr>
          <w:p>
            <w:pPr>
              <w:pStyle w:val="TableParagraph"/>
              <w:spacing w:line="110" w:lineRule="exact"/>
              <w:ind w:right="42"/>
              <w:jc w:val="right"/>
              <w:rPr>
                <w:b/>
                <w:sz w:val="11"/>
              </w:rPr>
            </w:pPr>
            <w:r>
              <w:rPr>
                <w:b/>
                <w:w w:val="95"/>
                <w:sz w:val="11"/>
              </w:rPr>
              <w:t>-2.327.887,91</w:t>
            </w:r>
          </w:p>
        </w:tc>
        <w:tc>
          <w:tcPr>
            <w:tcW w:w="946" w:type="dxa"/>
          </w:tcPr>
          <w:p>
            <w:pPr>
              <w:pStyle w:val="TableParagraph"/>
              <w:spacing w:line="110" w:lineRule="exact"/>
              <w:ind w:right="43"/>
              <w:jc w:val="right"/>
              <w:rPr>
                <w:b/>
                <w:sz w:val="11"/>
              </w:rPr>
            </w:pPr>
            <w:r>
              <w:rPr>
                <w:b/>
                <w:w w:val="95"/>
                <w:sz w:val="11"/>
              </w:rPr>
              <w:t>5.102.324,06</w:t>
            </w:r>
          </w:p>
        </w:tc>
        <w:tc>
          <w:tcPr>
            <w:tcW w:w="776" w:type="dxa"/>
          </w:tcPr>
          <w:p>
            <w:pPr>
              <w:pStyle w:val="TableParagraph"/>
              <w:spacing w:line="110" w:lineRule="exact"/>
              <w:ind w:right="43"/>
              <w:jc w:val="right"/>
              <w:rPr>
                <w:b/>
                <w:sz w:val="11"/>
              </w:rPr>
            </w:pPr>
            <w:r>
              <w:rPr>
                <w:b/>
                <w:w w:val="95"/>
                <w:sz w:val="11"/>
              </w:rPr>
              <w:t>-2.346.578,06</w:t>
            </w:r>
          </w:p>
        </w:tc>
        <w:tc>
          <w:tcPr>
            <w:tcW w:w="748" w:type="dxa"/>
          </w:tcPr>
          <w:p>
            <w:pPr>
              <w:pStyle w:val="TableParagraph"/>
              <w:spacing w:line="110" w:lineRule="exact"/>
              <w:ind w:right="43"/>
              <w:jc w:val="right"/>
              <w:rPr>
                <w:b/>
                <w:sz w:val="11"/>
              </w:rPr>
            </w:pPr>
            <w:r>
              <w:rPr>
                <w:b/>
                <w:w w:val="95"/>
                <w:sz w:val="11"/>
              </w:rPr>
              <w:t>-53.276,37</w:t>
            </w:r>
          </w:p>
        </w:tc>
        <w:tc>
          <w:tcPr>
            <w:tcW w:w="720" w:type="dxa"/>
          </w:tcPr>
          <w:p>
            <w:pPr>
              <w:pStyle w:val="TableParagraph"/>
              <w:spacing w:line="110" w:lineRule="exact"/>
              <w:ind w:right="43"/>
              <w:jc w:val="right"/>
              <w:rPr>
                <w:b/>
                <w:sz w:val="11"/>
              </w:rPr>
            </w:pPr>
            <w:r>
              <w:rPr>
                <w:b/>
                <w:sz w:val="11"/>
              </w:rPr>
              <w:t>-618.539,67</w:t>
            </w:r>
          </w:p>
        </w:tc>
        <w:tc>
          <w:tcPr>
            <w:tcW w:w="881" w:type="dxa"/>
          </w:tcPr>
          <w:p>
            <w:pPr>
              <w:pStyle w:val="TableParagraph"/>
              <w:spacing w:line="110" w:lineRule="exact"/>
              <w:ind w:right="46"/>
              <w:jc w:val="right"/>
              <w:rPr>
                <w:b/>
                <w:sz w:val="11"/>
              </w:rPr>
            </w:pPr>
            <w:r>
              <w:rPr>
                <w:b/>
                <w:sz w:val="11"/>
              </w:rPr>
              <w:t>-61.039.321,50</w:t>
            </w:r>
          </w:p>
        </w:tc>
        <w:tc>
          <w:tcPr>
            <w:tcW w:w="888" w:type="dxa"/>
          </w:tcPr>
          <w:p>
            <w:pPr>
              <w:pStyle w:val="TableParagraph"/>
              <w:spacing w:line="110" w:lineRule="exact"/>
              <w:ind w:right="43"/>
              <w:jc w:val="right"/>
              <w:rPr>
                <w:b/>
                <w:sz w:val="11"/>
              </w:rPr>
            </w:pPr>
            <w:r>
              <w:rPr>
                <w:b/>
                <w:w w:val="95"/>
                <w:sz w:val="11"/>
              </w:rPr>
              <w:t>7.046.628,63</w:t>
            </w:r>
          </w:p>
        </w:tc>
        <w:tc>
          <w:tcPr>
            <w:tcW w:w="879" w:type="dxa"/>
          </w:tcPr>
          <w:p>
            <w:pPr>
              <w:pStyle w:val="TableParagraph"/>
              <w:spacing w:line="110" w:lineRule="exact"/>
              <w:ind w:right="44"/>
              <w:jc w:val="right"/>
              <w:rPr>
                <w:b/>
                <w:sz w:val="11"/>
              </w:rPr>
            </w:pPr>
            <w:r>
              <w:rPr>
                <w:b/>
                <w:sz w:val="11"/>
              </w:rPr>
              <w:t>-68.084.987,60</w:t>
            </w:r>
          </w:p>
        </w:tc>
        <w:tc>
          <w:tcPr>
            <w:tcW w:w="831" w:type="dxa"/>
          </w:tcPr>
          <w:p>
            <w:pPr>
              <w:pStyle w:val="TableParagraph"/>
              <w:spacing w:line="110" w:lineRule="exact"/>
              <w:ind w:right="43"/>
              <w:jc w:val="right"/>
              <w:rPr>
                <w:b/>
                <w:sz w:val="11"/>
              </w:rPr>
            </w:pPr>
            <w:r>
              <w:rPr>
                <w:b/>
                <w:sz w:val="11"/>
              </w:rPr>
              <w:t>-68.084.987,60</w:t>
            </w:r>
          </w:p>
        </w:tc>
      </w:tr>
      <w:tr>
        <w:trPr>
          <w:trHeight w:val="131" w:hRule="atLeast"/>
        </w:trPr>
        <w:tc>
          <w:tcPr>
            <w:tcW w:w="2095" w:type="dxa"/>
          </w:tcPr>
          <w:p>
            <w:pPr>
              <w:pStyle w:val="TableParagraph"/>
              <w:spacing w:line="112" w:lineRule="exact"/>
              <w:ind w:left="58"/>
              <w:rPr>
                <w:sz w:val="11"/>
              </w:rPr>
            </w:pPr>
            <w:r>
              <w:rPr>
                <w:sz w:val="11"/>
              </w:rPr>
              <w:t>Ingresos Financieros</w:t>
            </w:r>
          </w:p>
        </w:tc>
        <w:tc>
          <w:tcPr>
            <w:tcW w:w="793" w:type="dxa"/>
          </w:tcPr>
          <w:p>
            <w:pPr>
              <w:pStyle w:val="TableParagraph"/>
              <w:spacing w:line="112" w:lineRule="exact"/>
              <w:ind w:right="41"/>
              <w:jc w:val="right"/>
              <w:rPr>
                <w:sz w:val="11"/>
              </w:rPr>
            </w:pPr>
            <w:r>
              <w:rPr>
                <w:w w:val="95"/>
                <w:sz w:val="11"/>
              </w:rPr>
              <w:t>0,84</w:t>
            </w:r>
          </w:p>
        </w:tc>
        <w:tc>
          <w:tcPr>
            <w:tcW w:w="823" w:type="dxa"/>
          </w:tcPr>
          <w:p>
            <w:pPr>
              <w:pStyle w:val="TableParagraph"/>
              <w:spacing w:line="112" w:lineRule="exact"/>
              <w:ind w:right="42"/>
              <w:jc w:val="right"/>
              <w:rPr>
                <w:sz w:val="11"/>
              </w:rPr>
            </w:pPr>
            <w:r>
              <w:rPr>
                <w:sz w:val="11"/>
              </w:rPr>
              <w:t>900.898,16</w:t>
            </w:r>
          </w:p>
        </w:tc>
        <w:tc>
          <w:tcPr>
            <w:tcW w:w="808" w:type="dxa"/>
          </w:tcPr>
          <w:p>
            <w:pPr>
              <w:pStyle w:val="TableParagraph"/>
              <w:rPr>
                <w:rFonts w:ascii="Times New Roman"/>
                <w:sz w:val="6"/>
              </w:rPr>
            </w:pPr>
          </w:p>
        </w:tc>
        <w:tc>
          <w:tcPr>
            <w:tcW w:w="864" w:type="dxa"/>
          </w:tcPr>
          <w:p>
            <w:pPr>
              <w:pStyle w:val="TableParagraph"/>
              <w:rPr>
                <w:rFonts w:ascii="Times New Roman"/>
                <w:sz w:val="6"/>
              </w:rPr>
            </w:pPr>
          </w:p>
        </w:tc>
        <w:tc>
          <w:tcPr>
            <w:tcW w:w="946" w:type="dxa"/>
          </w:tcPr>
          <w:p>
            <w:pPr>
              <w:pStyle w:val="TableParagraph"/>
              <w:spacing w:line="112" w:lineRule="exact"/>
              <w:ind w:right="42"/>
              <w:jc w:val="right"/>
              <w:rPr>
                <w:sz w:val="11"/>
              </w:rPr>
            </w:pPr>
            <w:r>
              <w:rPr>
                <w:w w:val="95"/>
                <w:sz w:val="11"/>
              </w:rPr>
              <w:t>1,21</w:t>
            </w:r>
          </w:p>
        </w:tc>
        <w:tc>
          <w:tcPr>
            <w:tcW w:w="776" w:type="dxa"/>
          </w:tcPr>
          <w:p>
            <w:pPr>
              <w:pStyle w:val="TableParagraph"/>
              <w:rPr>
                <w:rFonts w:ascii="Times New Roman"/>
                <w:sz w:val="6"/>
              </w:rPr>
            </w:pPr>
          </w:p>
        </w:tc>
        <w:tc>
          <w:tcPr>
            <w:tcW w:w="748" w:type="dxa"/>
          </w:tcPr>
          <w:p>
            <w:pPr>
              <w:pStyle w:val="TableParagraph"/>
              <w:rPr>
                <w:rFonts w:ascii="Times New Roman"/>
                <w:sz w:val="6"/>
              </w:rPr>
            </w:pPr>
          </w:p>
        </w:tc>
        <w:tc>
          <w:tcPr>
            <w:tcW w:w="720" w:type="dxa"/>
          </w:tcPr>
          <w:p>
            <w:pPr>
              <w:pStyle w:val="TableParagraph"/>
              <w:spacing w:line="112" w:lineRule="exact"/>
              <w:ind w:right="43"/>
              <w:jc w:val="right"/>
              <w:rPr>
                <w:sz w:val="11"/>
              </w:rPr>
            </w:pPr>
            <w:r>
              <w:rPr>
                <w:sz w:val="11"/>
              </w:rPr>
              <w:t>3.711,49</w:t>
            </w:r>
          </w:p>
        </w:tc>
        <w:tc>
          <w:tcPr>
            <w:tcW w:w="881" w:type="dxa"/>
          </w:tcPr>
          <w:p>
            <w:pPr>
              <w:pStyle w:val="TableParagraph"/>
              <w:rPr>
                <w:rFonts w:ascii="Times New Roman"/>
                <w:sz w:val="6"/>
              </w:rPr>
            </w:pPr>
          </w:p>
        </w:tc>
        <w:tc>
          <w:tcPr>
            <w:tcW w:w="888" w:type="dxa"/>
          </w:tcPr>
          <w:p>
            <w:pPr>
              <w:pStyle w:val="TableParagraph"/>
              <w:spacing w:line="112" w:lineRule="exact"/>
              <w:ind w:right="43"/>
              <w:jc w:val="right"/>
              <w:rPr>
                <w:sz w:val="11"/>
              </w:rPr>
            </w:pPr>
            <w:r>
              <w:rPr>
                <w:w w:val="95"/>
                <w:sz w:val="11"/>
              </w:rPr>
              <w:t>60.388,15</w:t>
            </w:r>
          </w:p>
        </w:tc>
        <w:tc>
          <w:tcPr>
            <w:tcW w:w="879" w:type="dxa"/>
          </w:tcPr>
          <w:p>
            <w:pPr>
              <w:pStyle w:val="TableParagraph"/>
              <w:spacing w:line="112" w:lineRule="exact"/>
              <w:ind w:right="44"/>
              <w:jc w:val="right"/>
              <w:rPr>
                <w:sz w:val="11"/>
              </w:rPr>
            </w:pPr>
            <w:r>
              <w:rPr>
                <w:sz w:val="11"/>
              </w:rPr>
              <w:t>986.770,94</w:t>
            </w:r>
          </w:p>
        </w:tc>
        <w:tc>
          <w:tcPr>
            <w:tcW w:w="831" w:type="dxa"/>
          </w:tcPr>
          <w:p>
            <w:pPr>
              <w:pStyle w:val="TableParagraph"/>
              <w:spacing w:line="112" w:lineRule="exact"/>
              <w:ind w:right="43"/>
              <w:jc w:val="right"/>
              <w:rPr>
                <w:sz w:val="11"/>
              </w:rPr>
            </w:pPr>
            <w:r>
              <w:rPr>
                <w:sz w:val="11"/>
              </w:rPr>
              <w:t>986.770,94</w:t>
            </w:r>
          </w:p>
        </w:tc>
      </w:tr>
      <w:tr>
        <w:trPr>
          <w:trHeight w:val="129" w:hRule="atLeast"/>
        </w:trPr>
        <w:tc>
          <w:tcPr>
            <w:tcW w:w="2095" w:type="dxa"/>
          </w:tcPr>
          <w:p>
            <w:pPr>
              <w:pStyle w:val="TableParagraph"/>
              <w:spacing w:line="110" w:lineRule="exact"/>
              <w:ind w:left="58"/>
              <w:rPr>
                <w:sz w:val="11"/>
              </w:rPr>
            </w:pPr>
            <w:r>
              <w:rPr>
                <w:sz w:val="11"/>
              </w:rPr>
              <w:t>Incorp. al activo de gtos financ</w:t>
            </w:r>
          </w:p>
        </w:tc>
        <w:tc>
          <w:tcPr>
            <w:tcW w:w="793" w:type="dxa"/>
          </w:tcPr>
          <w:p>
            <w:pPr>
              <w:pStyle w:val="TableParagraph"/>
              <w:rPr>
                <w:rFonts w:ascii="Times New Roman"/>
                <w:sz w:val="6"/>
              </w:rPr>
            </w:pPr>
          </w:p>
        </w:tc>
        <w:tc>
          <w:tcPr>
            <w:tcW w:w="823" w:type="dxa"/>
          </w:tcPr>
          <w:p>
            <w:pPr>
              <w:pStyle w:val="TableParagraph"/>
              <w:rPr>
                <w:rFonts w:ascii="Times New Roman"/>
                <w:sz w:val="6"/>
              </w:rPr>
            </w:pPr>
          </w:p>
        </w:tc>
        <w:tc>
          <w:tcPr>
            <w:tcW w:w="808" w:type="dxa"/>
          </w:tcPr>
          <w:p>
            <w:pPr>
              <w:pStyle w:val="TableParagraph"/>
              <w:rPr>
                <w:rFonts w:ascii="Times New Roman"/>
                <w:sz w:val="6"/>
              </w:rPr>
            </w:pPr>
          </w:p>
        </w:tc>
        <w:tc>
          <w:tcPr>
            <w:tcW w:w="864" w:type="dxa"/>
          </w:tcPr>
          <w:p>
            <w:pPr>
              <w:pStyle w:val="TableParagraph"/>
              <w:rPr>
                <w:rFonts w:ascii="Times New Roman"/>
                <w:sz w:val="6"/>
              </w:rPr>
            </w:pPr>
          </w:p>
        </w:tc>
        <w:tc>
          <w:tcPr>
            <w:tcW w:w="946" w:type="dxa"/>
          </w:tcPr>
          <w:p>
            <w:pPr>
              <w:pStyle w:val="TableParagraph"/>
              <w:rPr>
                <w:rFonts w:ascii="Times New Roman"/>
                <w:sz w:val="6"/>
              </w:rPr>
            </w:pPr>
          </w:p>
        </w:tc>
        <w:tc>
          <w:tcPr>
            <w:tcW w:w="776" w:type="dxa"/>
          </w:tcPr>
          <w:p>
            <w:pPr>
              <w:pStyle w:val="TableParagraph"/>
              <w:rPr>
                <w:rFonts w:ascii="Times New Roman"/>
                <w:sz w:val="6"/>
              </w:rPr>
            </w:pPr>
          </w:p>
        </w:tc>
        <w:tc>
          <w:tcPr>
            <w:tcW w:w="748" w:type="dxa"/>
          </w:tcPr>
          <w:p>
            <w:pPr>
              <w:pStyle w:val="TableParagraph"/>
              <w:rPr>
                <w:rFonts w:ascii="Times New Roman"/>
                <w:sz w:val="6"/>
              </w:rPr>
            </w:pPr>
          </w:p>
        </w:tc>
        <w:tc>
          <w:tcPr>
            <w:tcW w:w="720" w:type="dxa"/>
          </w:tcPr>
          <w:p>
            <w:pPr>
              <w:pStyle w:val="TableParagraph"/>
              <w:rPr>
                <w:rFonts w:ascii="Times New Roman"/>
                <w:sz w:val="6"/>
              </w:rPr>
            </w:pPr>
          </w:p>
        </w:tc>
        <w:tc>
          <w:tcPr>
            <w:tcW w:w="881" w:type="dxa"/>
          </w:tcPr>
          <w:p>
            <w:pPr>
              <w:pStyle w:val="TableParagraph"/>
              <w:rPr>
                <w:rFonts w:ascii="Times New Roman"/>
                <w:sz w:val="6"/>
              </w:rPr>
            </w:pPr>
          </w:p>
        </w:tc>
        <w:tc>
          <w:tcPr>
            <w:tcW w:w="888" w:type="dxa"/>
          </w:tcPr>
          <w:p>
            <w:pPr>
              <w:pStyle w:val="TableParagraph"/>
              <w:rPr>
                <w:rFonts w:ascii="Times New Roman"/>
                <w:sz w:val="6"/>
              </w:rPr>
            </w:pPr>
          </w:p>
        </w:tc>
        <w:tc>
          <w:tcPr>
            <w:tcW w:w="879" w:type="dxa"/>
          </w:tcPr>
          <w:p>
            <w:pPr>
              <w:pStyle w:val="TableParagraph"/>
              <w:spacing w:line="110" w:lineRule="exact"/>
              <w:ind w:right="45"/>
              <w:jc w:val="right"/>
              <w:rPr>
                <w:sz w:val="11"/>
              </w:rPr>
            </w:pPr>
            <w:r>
              <w:rPr>
                <w:w w:val="95"/>
                <w:sz w:val="11"/>
              </w:rPr>
              <w:t>0,00</w:t>
            </w:r>
          </w:p>
        </w:tc>
        <w:tc>
          <w:tcPr>
            <w:tcW w:w="831" w:type="dxa"/>
          </w:tcPr>
          <w:p>
            <w:pPr>
              <w:pStyle w:val="TableParagraph"/>
              <w:spacing w:line="110" w:lineRule="exact"/>
              <w:ind w:right="42"/>
              <w:jc w:val="right"/>
              <w:rPr>
                <w:sz w:val="11"/>
              </w:rPr>
            </w:pPr>
            <w:r>
              <w:rPr>
                <w:w w:val="95"/>
                <w:sz w:val="11"/>
              </w:rPr>
              <w:t>0,00</w:t>
            </w:r>
          </w:p>
        </w:tc>
      </w:tr>
      <w:tr>
        <w:trPr>
          <w:trHeight w:val="130" w:hRule="atLeast"/>
        </w:trPr>
        <w:tc>
          <w:tcPr>
            <w:tcW w:w="2095" w:type="dxa"/>
          </w:tcPr>
          <w:p>
            <w:pPr>
              <w:pStyle w:val="TableParagraph"/>
              <w:spacing w:line="110" w:lineRule="exact"/>
              <w:ind w:left="58"/>
              <w:rPr>
                <w:sz w:val="11"/>
              </w:rPr>
            </w:pPr>
            <w:r>
              <w:rPr>
                <w:sz w:val="11"/>
              </w:rPr>
              <w:t>Gastos financieros</w:t>
            </w:r>
          </w:p>
        </w:tc>
        <w:tc>
          <w:tcPr>
            <w:tcW w:w="793" w:type="dxa"/>
          </w:tcPr>
          <w:p>
            <w:pPr>
              <w:pStyle w:val="TableParagraph"/>
              <w:spacing w:line="110" w:lineRule="exact"/>
              <w:ind w:right="41"/>
              <w:jc w:val="right"/>
              <w:rPr>
                <w:sz w:val="11"/>
              </w:rPr>
            </w:pPr>
            <w:r>
              <w:rPr>
                <w:sz w:val="11"/>
              </w:rPr>
              <w:t>-3.160,14</w:t>
            </w:r>
          </w:p>
        </w:tc>
        <w:tc>
          <w:tcPr>
            <w:tcW w:w="823" w:type="dxa"/>
          </w:tcPr>
          <w:p>
            <w:pPr>
              <w:pStyle w:val="TableParagraph"/>
              <w:spacing w:line="110" w:lineRule="exact"/>
              <w:ind w:right="42"/>
              <w:jc w:val="right"/>
              <w:rPr>
                <w:sz w:val="11"/>
              </w:rPr>
            </w:pPr>
            <w:r>
              <w:rPr>
                <w:sz w:val="11"/>
              </w:rPr>
              <w:t>-30.784,01</w:t>
            </w:r>
          </w:p>
        </w:tc>
        <w:tc>
          <w:tcPr>
            <w:tcW w:w="808" w:type="dxa"/>
          </w:tcPr>
          <w:p>
            <w:pPr>
              <w:pStyle w:val="TableParagraph"/>
              <w:spacing w:line="110" w:lineRule="exact"/>
              <w:ind w:right="40"/>
              <w:jc w:val="right"/>
              <w:rPr>
                <w:sz w:val="11"/>
              </w:rPr>
            </w:pPr>
            <w:r>
              <w:rPr>
                <w:sz w:val="11"/>
              </w:rPr>
              <w:t>-66,47</w:t>
            </w:r>
          </w:p>
        </w:tc>
        <w:tc>
          <w:tcPr>
            <w:tcW w:w="864" w:type="dxa"/>
          </w:tcPr>
          <w:p>
            <w:pPr>
              <w:pStyle w:val="TableParagraph"/>
              <w:rPr>
                <w:rFonts w:ascii="Times New Roman"/>
                <w:sz w:val="6"/>
              </w:rPr>
            </w:pPr>
          </w:p>
        </w:tc>
        <w:tc>
          <w:tcPr>
            <w:tcW w:w="946" w:type="dxa"/>
          </w:tcPr>
          <w:p>
            <w:pPr>
              <w:pStyle w:val="TableParagraph"/>
              <w:spacing w:line="110" w:lineRule="exact"/>
              <w:ind w:right="43"/>
              <w:jc w:val="right"/>
              <w:rPr>
                <w:sz w:val="11"/>
              </w:rPr>
            </w:pPr>
            <w:r>
              <w:rPr>
                <w:sz w:val="11"/>
              </w:rPr>
              <w:t>-2.846,72</w:t>
            </w:r>
          </w:p>
        </w:tc>
        <w:tc>
          <w:tcPr>
            <w:tcW w:w="776" w:type="dxa"/>
          </w:tcPr>
          <w:p>
            <w:pPr>
              <w:pStyle w:val="TableParagraph"/>
              <w:spacing w:line="110" w:lineRule="exact"/>
              <w:ind w:right="42"/>
              <w:jc w:val="right"/>
              <w:rPr>
                <w:sz w:val="11"/>
              </w:rPr>
            </w:pPr>
            <w:r>
              <w:rPr>
                <w:sz w:val="11"/>
              </w:rPr>
              <w:t>-42,83</w:t>
            </w:r>
          </w:p>
        </w:tc>
        <w:tc>
          <w:tcPr>
            <w:tcW w:w="748" w:type="dxa"/>
          </w:tcPr>
          <w:p>
            <w:pPr>
              <w:pStyle w:val="TableParagraph"/>
              <w:rPr>
                <w:rFonts w:ascii="Times New Roman"/>
                <w:sz w:val="6"/>
              </w:rPr>
            </w:pPr>
          </w:p>
        </w:tc>
        <w:tc>
          <w:tcPr>
            <w:tcW w:w="720" w:type="dxa"/>
          </w:tcPr>
          <w:p>
            <w:pPr>
              <w:pStyle w:val="TableParagraph"/>
              <w:spacing w:line="110" w:lineRule="exact"/>
              <w:ind w:right="43"/>
              <w:jc w:val="right"/>
              <w:rPr>
                <w:sz w:val="11"/>
              </w:rPr>
            </w:pPr>
            <w:r>
              <w:rPr>
                <w:w w:val="95"/>
                <w:sz w:val="11"/>
              </w:rPr>
              <w:t>-234,47</w:t>
            </w:r>
          </w:p>
        </w:tc>
        <w:tc>
          <w:tcPr>
            <w:tcW w:w="881" w:type="dxa"/>
          </w:tcPr>
          <w:p>
            <w:pPr>
              <w:pStyle w:val="TableParagraph"/>
              <w:spacing w:line="110" w:lineRule="exact"/>
              <w:ind w:right="45"/>
              <w:jc w:val="right"/>
              <w:rPr>
                <w:sz w:val="11"/>
              </w:rPr>
            </w:pPr>
            <w:r>
              <w:rPr>
                <w:sz w:val="11"/>
              </w:rPr>
              <w:t>-23.780,96</w:t>
            </w:r>
          </w:p>
        </w:tc>
        <w:tc>
          <w:tcPr>
            <w:tcW w:w="888" w:type="dxa"/>
          </w:tcPr>
          <w:p>
            <w:pPr>
              <w:pStyle w:val="TableParagraph"/>
              <w:spacing w:line="110" w:lineRule="exact"/>
              <w:ind w:right="43"/>
              <w:jc w:val="right"/>
              <w:rPr>
                <w:sz w:val="11"/>
              </w:rPr>
            </w:pPr>
            <w:r>
              <w:rPr>
                <w:sz w:val="11"/>
              </w:rPr>
              <w:t>-1.592.917,26</w:t>
            </w:r>
          </w:p>
        </w:tc>
        <w:tc>
          <w:tcPr>
            <w:tcW w:w="879" w:type="dxa"/>
          </w:tcPr>
          <w:p>
            <w:pPr>
              <w:pStyle w:val="TableParagraph"/>
              <w:spacing w:line="110" w:lineRule="exact"/>
              <w:ind w:right="44"/>
              <w:jc w:val="right"/>
              <w:rPr>
                <w:sz w:val="11"/>
              </w:rPr>
            </w:pPr>
            <w:r>
              <w:rPr>
                <w:sz w:val="11"/>
              </w:rPr>
              <w:t>-2.223.600,02</w:t>
            </w:r>
          </w:p>
        </w:tc>
        <w:tc>
          <w:tcPr>
            <w:tcW w:w="831" w:type="dxa"/>
          </w:tcPr>
          <w:p>
            <w:pPr>
              <w:pStyle w:val="TableParagraph"/>
              <w:spacing w:line="110" w:lineRule="exact"/>
              <w:ind w:right="43"/>
              <w:jc w:val="right"/>
              <w:rPr>
                <w:sz w:val="11"/>
              </w:rPr>
            </w:pPr>
            <w:r>
              <w:rPr>
                <w:sz w:val="11"/>
              </w:rPr>
              <w:t>-2.223.600,02</w:t>
            </w:r>
          </w:p>
        </w:tc>
      </w:tr>
      <w:tr>
        <w:trPr>
          <w:trHeight w:val="131" w:hRule="atLeast"/>
        </w:trPr>
        <w:tc>
          <w:tcPr>
            <w:tcW w:w="2095" w:type="dxa"/>
          </w:tcPr>
          <w:p>
            <w:pPr>
              <w:pStyle w:val="TableParagraph"/>
              <w:spacing w:line="112" w:lineRule="exact"/>
              <w:ind w:left="58"/>
              <w:rPr>
                <w:sz w:val="11"/>
              </w:rPr>
            </w:pPr>
            <w:r>
              <w:rPr>
                <w:sz w:val="11"/>
              </w:rPr>
              <w:t>Variación de valor razonable en instr. financ</w:t>
            </w:r>
          </w:p>
        </w:tc>
        <w:tc>
          <w:tcPr>
            <w:tcW w:w="793" w:type="dxa"/>
          </w:tcPr>
          <w:p>
            <w:pPr>
              <w:pStyle w:val="TableParagraph"/>
              <w:rPr>
                <w:rFonts w:ascii="Times New Roman"/>
                <w:sz w:val="6"/>
              </w:rPr>
            </w:pPr>
          </w:p>
        </w:tc>
        <w:tc>
          <w:tcPr>
            <w:tcW w:w="823" w:type="dxa"/>
          </w:tcPr>
          <w:p>
            <w:pPr>
              <w:pStyle w:val="TableParagraph"/>
              <w:rPr>
                <w:rFonts w:ascii="Times New Roman"/>
                <w:sz w:val="6"/>
              </w:rPr>
            </w:pPr>
          </w:p>
        </w:tc>
        <w:tc>
          <w:tcPr>
            <w:tcW w:w="808" w:type="dxa"/>
          </w:tcPr>
          <w:p>
            <w:pPr>
              <w:pStyle w:val="TableParagraph"/>
              <w:rPr>
                <w:rFonts w:ascii="Times New Roman"/>
                <w:sz w:val="6"/>
              </w:rPr>
            </w:pPr>
          </w:p>
        </w:tc>
        <w:tc>
          <w:tcPr>
            <w:tcW w:w="864" w:type="dxa"/>
          </w:tcPr>
          <w:p>
            <w:pPr>
              <w:pStyle w:val="TableParagraph"/>
              <w:rPr>
                <w:rFonts w:ascii="Times New Roman"/>
                <w:sz w:val="6"/>
              </w:rPr>
            </w:pPr>
          </w:p>
        </w:tc>
        <w:tc>
          <w:tcPr>
            <w:tcW w:w="946" w:type="dxa"/>
          </w:tcPr>
          <w:p>
            <w:pPr>
              <w:pStyle w:val="TableParagraph"/>
              <w:rPr>
                <w:rFonts w:ascii="Times New Roman"/>
                <w:sz w:val="6"/>
              </w:rPr>
            </w:pPr>
          </w:p>
        </w:tc>
        <w:tc>
          <w:tcPr>
            <w:tcW w:w="776" w:type="dxa"/>
          </w:tcPr>
          <w:p>
            <w:pPr>
              <w:pStyle w:val="TableParagraph"/>
              <w:rPr>
                <w:rFonts w:ascii="Times New Roman"/>
                <w:sz w:val="6"/>
              </w:rPr>
            </w:pPr>
          </w:p>
        </w:tc>
        <w:tc>
          <w:tcPr>
            <w:tcW w:w="748" w:type="dxa"/>
          </w:tcPr>
          <w:p>
            <w:pPr>
              <w:pStyle w:val="TableParagraph"/>
              <w:rPr>
                <w:rFonts w:ascii="Times New Roman"/>
                <w:sz w:val="6"/>
              </w:rPr>
            </w:pPr>
          </w:p>
        </w:tc>
        <w:tc>
          <w:tcPr>
            <w:tcW w:w="720" w:type="dxa"/>
          </w:tcPr>
          <w:p>
            <w:pPr>
              <w:pStyle w:val="TableParagraph"/>
              <w:rPr>
                <w:rFonts w:ascii="Times New Roman"/>
                <w:sz w:val="6"/>
              </w:rPr>
            </w:pPr>
          </w:p>
        </w:tc>
        <w:tc>
          <w:tcPr>
            <w:tcW w:w="881" w:type="dxa"/>
          </w:tcPr>
          <w:p>
            <w:pPr>
              <w:pStyle w:val="TableParagraph"/>
              <w:rPr>
                <w:rFonts w:ascii="Times New Roman"/>
                <w:sz w:val="6"/>
              </w:rPr>
            </w:pPr>
          </w:p>
        </w:tc>
        <w:tc>
          <w:tcPr>
            <w:tcW w:w="888" w:type="dxa"/>
          </w:tcPr>
          <w:p>
            <w:pPr>
              <w:pStyle w:val="TableParagraph"/>
              <w:rPr>
                <w:rFonts w:ascii="Times New Roman"/>
                <w:sz w:val="6"/>
              </w:rPr>
            </w:pPr>
          </w:p>
        </w:tc>
        <w:tc>
          <w:tcPr>
            <w:tcW w:w="879" w:type="dxa"/>
          </w:tcPr>
          <w:p>
            <w:pPr>
              <w:pStyle w:val="TableParagraph"/>
              <w:spacing w:line="112" w:lineRule="exact"/>
              <w:ind w:right="45"/>
              <w:jc w:val="right"/>
              <w:rPr>
                <w:sz w:val="11"/>
              </w:rPr>
            </w:pPr>
            <w:r>
              <w:rPr>
                <w:w w:val="95"/>
                <w:sz w:val="11"/>
              </w:rPr>
              <w:t>0,00</w:t>
            </w:r>
          </w:p>
        </w:tc>
        <w:tc>
          <w:tcPr>
            <w:tcW w:w="831" w:type="dxa"/>
          </w:tcPr>
          <w:p>
            <w:pPr>
              <w:pStyle w:val="TableParagraph"/>
              <w:spacing w:line="112" w:lineRule="exact"/>
              <w:ind w:right="42"/>
              <w:jc w:val="right"/>
              <w:rPr>
                <w:sz w:val="11"/>
              </w:rPr>
            </w:pPr>
            <w:r>
              <w:rPr>
                <w:w w:val="95"/>
                <w:sz w:val="11"/>
              </w:rPr>
              <w:t>0,00</w:t>
            </w:r>
          </w:p>
        </w:tc>
      </w:tr>
      <w:tr>
        <w:trPr>
          <w:trHeight w:val="129" w:hRule="atLeast"/>
        </w:trPr>
        <w:tc>
          <w:tcPr>
            <w:tcW w:w="2095" w:type="dxa"/>
          </w:tcPr>
          <w:p>
            <w:pPr>
              <w:pStyle w:val="TableParagraph"/>
              <w:spacing w:line="110" w:lineRule="exact"/>
              <w:ind w:left="58"/>
              <w:rPr>
                <w:sz w:val="11"/>
              </w:rPr>
            </w:pPr>
            <w:r>
              <w:rPr>
                <w:sz w:val="11"/>
              </w:rPr>
              <w:t>Diferencias de cambio</w:t>
            </w:r>
          </w:p>
        </w:tc>
        <w:tc>
          <w:tcPr>
            <w:tcW w:w="793" w:type="dxa"/>
          </w:tcPr>
          <w:p>
            <w:pPr>
              <w:pStyle w:val="TableParagraph"/>
              <w:rPr>
                <w:rFonts w:ascii="Times New Roman"/>
                <w:sz w:val="6"/>
              </w:rPr>
            </w:pPr>
          </w:p>
        </w:tc>
        <w:tc>
          <w:tcPr>
            <w:tcW w:w="823" w:type="dxa"/>
          </w:tcPr>
          <w:p>
            <w:pPr>
              <w:pStyle w:val="TableParagraph"/>
              <w:spacing w:line="110" w:lineRule="exact"/>
              <w:ind w:right="42"/>
              <w:jc w:val="right"/>
              <w:rPr>
                <w:sz w:val="11"/>
              </w:rPr>
            </w:pPr>
            <w:r>
              <w:rPr>
                <w:sz w:val="11"/>
              </w:rPr>
              <w:t>-1.688,46</w:t>
            </w:r>
          </w:p>
        </w:tc>
        <w:tc>
          <w:tcPr>
            <w:tcW w:w="808" w:type="dxa"/>
          </w:tcPr>
          <w:p>
            <w:pPr>
              <w:pStyle w:val="TableParagraph"/>
              <w:spacing w:line="110" w:lineRule="exact"/>
              <w:ind w:right="40"/>
              <w:jc w:val="right"/>
              <w:rPr>
                <w:sz w:val="11"/>
              </w:rPr>
            </w:pPr>
            <w:r>
              <w:rPr>
                <w:w w:val="95"/>
                <w:sz w:val="11"/>
              </w:rPr>
              <w:t>-498,47</w:t>
            </w:r>
          </w:p>
        </w:tc>
        <w:tc>
          <w:tcPr>
            <w:tcW w:w="864" w:type="dxa"/>
          </w:tcPr>
          <w:p>
            <w:pPr>
              <w:pStyle w:val="TableParagraph"/>
              <w:spacing w:line="110" w:lineRule="exact"/>
              <w:ind w:right="42"/>
              <w:jc w:val="right"/>
              <w:rPr>
                <w:sz w:val="11"/>
              </w:rPr>
            </w:pPr>
            <w:r>
              <w:rPr>
                <w:w w:val="95"/>
                <w:sz w:val="11"/>
              </w:rPr>
              <w:t>-0,09</w:t>
            </w:r>
          </w:p>
        </w:tc>
        <w:tc>
          <w:tcPr>
            <w:tcW w:w="946" w:type="dxa"/>
          </w:tcPr>
          <w:p>
            <w:pPr>
              <w:pStyle w:val="TableParagraph"/>
              <w:rPr>
                <w:rFonts w:ascii="Times New Roman"/>
                <w:sz w:val="6"/>
              </w:rPr>
            </w:pPr>
          </w:p>
        </w:tc>
        <w:tc>
          <w:tcPr>
            <w:tcW w:w="776" w:type="dxa"/>
          </w:tcPr>
          <w:p>
            <w:pPr>
              <w:pStyle w:val="TableParagraph"/>
              <w:rPr>
                <w:rFonts w:ascii="Times New Roman"/>
                <w:sz w:val="6"/>
              </w:rPr>
            </w:pPr>
          </w:p>
        </w:tc>
        <w:tc>
          <w:tcPr>
            <w:tcW w:w="748" w:type="dxa"/>
          </w:tcPr>
          <w:p>
            <w:pPr>
              <w:pStyle w:val="TableParagraph"/>
              <w:rPr>
                <w:rFonts w:ascii="Times New Roman"/>
                <w:sz w:val="6"/>
              </w:rPr>
            </w:pPr>
          </w:p>
        </w:tc>
        <w:tc>
          <w:tcPr>
            <w:tcW w:w="720" w:type="dxa"/>
          </w:tcPr>
          <w:p>
            <w:pPr>
              <w:pStyle w:val="TableParagraph"/>
              <w:rPr>
                <w:rFonts w:ascii="Times New Roman"/>
                <w:sz w:val="6"/>
              </w:rPr>
            </w:pPr>
          </w:p>
        </w:tc>
        <w:tc>
          <w:tcPr>
            <w:tcW w:w="881" w:type="dxa"/>
          </w:tcPr>
          <w:p>
            <w:pPr>
              <w:pStyle w:val="TableParagraph"/>
              <w:spacing w:line="110" w:lineRule="exact"/>
              <w:ind w:right="45"/>
              <w:jc w:val="right"/>
              <w:rPr>
                <w:sz w:val="11"/>
              </w:rPr>
            </w:pPr>
            <w:r>
              <w:rPr>
                <w:sz w:val="11"/>
              </w:rPr>
              <w:t>-20.128,67</w:t>
            </w:r>
          </w:p>
        </w:tc>
        <w:tc>
          <w:tcPr>
            <w:tcW w:w="888" w:type="dxa"/>
          </w:tcPr>
          <w:p>
            <w:pPr>
              <w:pStyle w:val="TableParagraph"/>
              <w:rPr>
                <w:rFonts w:ascii="Times New Roman"/>
                <w:sz w:val="6"/>
              </w:rPr>
            </w:pPr>
          </w:p>
        </w:tc>
        <w:tc>
          <w:tcPr>
            <w:tcW w:w="879" w:type="dxa"/>
          </w:tcPr>
          <w:p>
            <w:pPr>
              <w:pStyle w:val="TableParagraph"/>
              <w:spacing w:line="110" w:lineRule="exact"/>
              <w:ind w:right="44"/>
              <w:jc w:val="right"/>
              <w:rPr>
                <w:sz w:val="11"/>
              </w:rPr>
            </w:pPr>
            <w:r>
              <w:rPr>
                <w:sz w:val="11"/>
              </w:rPr>
              <w:t>-62.590,39</w:t>
            </w:r>
          </w:p>
        </w:tc>
        <w:tc>
          <w:tcPr>
            <w:tcW w:w="831" w:type="dxa"/>
          </w:tcPr>
          <w:p>
            <w:pPr>
              <w:pStyle w:val="TableParagraph"/>
              <w:spacing w:line="110" w:lineRule="exact"/>
              <w:ind w:right="43"/>
              <w:jc w:val="right"/>
              <w:rPr>
                <w:sz w:val="11"/>
              </w:rPr>
            </w:pPr>
            <w:r>
              <w:rPr>
                <w:sz w:val="11"/>
              </w:rPr>
              <w:t>-62.590,39</w:t>
            </w:r>
          </w:p>
        </w:tc>
      </w:tr>
      <w:tr>
        <w:trPr>
          <w:trHeight w:val="264" w:hRule="atLeast"/>
        </w:trPr>
        <w:tc>
          <w:tcPr>
            <w:tcW w:w="2095" w:type="dxa"/>
          </w:tcPr>
          <w:p>
            <w:pPr>
              <w:pStyle w:val="TableParagraph"/>
              <w:spacing w:line="131" w:lineRule="exact"/>
              <w:ind w:left="58"/>
              <w:rPr>
                <w:sz w:val="11"/>
              </w:rPr>
            </w:pPr>
            <w:r>
              <w:rPr>
                <w:sz w:val="11"/>
              </w:rPr>
              <w:t>Deterioro y resultado por enajens. de</w:t>
            </w:r>
          </w:p>
          <w:p>
            <w:pPr>
              <w:pStyle w:val="TableParagraph"/>
              <w:spacing w:line="113" w:lineRule="exact"/>
              <w:ind w:left="58"/>
              <w:rPr>
                <w:sz w:val="11"/>
              </w:rPr>
            </w:pPr>
            <w:r>
              <w:rPr>
                <w:sz w:val="11"/>
              </w:rPr>
              <w:t>instrumentos financieros</w:t>
            </w:r>
          </w:p>
        </w:tc>
        <w:tc>
          <w:tcPr>
            <w:tcW w:w="793" w:type="dxa"/>
          </w:tcPr>
          <w:p>
            <w:pPr>
              <w:pStyle w:val="TableParagraph"/>
              <w:rPr>
                <w:rFonts w:ascii="Times New Roman"/>
                <w:sz w:val="10"/>
              </w:rPr>
            </w:pPr>
          </w:p>
        </w:tc>
        <w:tc>
          <w:tcPr>
            <w:tcW w:w="823" w:type="dxa"/>
          </w:tcPr>
          <w:p>
            <w:pPr>
              <w:pStyle w:val="TableParagraph"/>
              <w:rPr>
                <w:rFonts w:ascii="Times New Roman"/>
                <w:sz w:val="10"/>
              </w:rPr>
            </w:pPr>
          </w:p>
        </w:tc>
        <w:tc>
          <w:tcPr>
            <w:tcW w:w="808" w:type="dxa"/>
          </w:tcPr>
          <w:p>
            <w:pPr>
              <w:pStyle w:val="TableParagraph"/>
              <w:rPr>
                <w:rFonts w:ascii="Times New Roman"/>
                <w:sz w:val="10"/>
              </w:rPr>
            </w:pPr>
          </w:p>
        </w:tc>
        <w:tc>
          <w:tcPr>
            <w:tcW w:w="864" w:type="dxa"/>
          </w:tcPr>
          <w:p>
            <w:pPr>
              <w:pStyle w:val="TableParagraph"/>
              <w:rPr>
                <w:rFonts w:ascii="Times New Roman"/>
                <w:sz w:val="10"/>
              </w:rPr>
            </w:pPr>
          </w:p>
        </w:tc>
        <w:tc>
          <w:tcPr>
            <w:tcW w:w="946" w:type="dxa"/>
          </w:tcPr>
          <w:p>
            <w:pPr>
              <w:pStyle w:val="TableParagraph"/>
              <w:rPr>
                <w:rFonts w:ascii="Times New Roman"/>
                <w:sz w:val="10"/>
              </w:rPr>
            </w:pPr>
          </w:p>
        </w:tc>
        <w:tc>
          <w:tcPr>
            <w:tcW w:w="776" w:type="dxa"/>
          </w:tcPr>
          <w:p>
            <w:pPr>
              <w:pStyle w:val="TableParagraph"/>
              <w:rPr>
                <w:rFonts w:ascii="Times New Roman"/>
                <w:sz w:val="10"/>
              </w:rPr>
            </w:pPr>
          </w:p>
        </w:tc>
        <w:tc>
          <w:tcPr>
            <w:tcW w:w="748" w:type="dxa"/>
          </w:tcPr>
          <w:p>
            <w:pPr>
              <w:pStyle w:val="TableParagraph"/>
              <w:rPr>
                <w:rFonts w:ascii="Times New Roman"/>
                <w:sz w:val="10"/>
              </w:rPr>
            </w:pPr>
          </w:p>
        </w:tc>
        <w:tc>
          <w:tcPr>
            <w:tcW w:w="720" w:type="dxa"/>
          </w:tcPr>
          <w:p>
            <w:pPr>
              <w:pStyle w:val="TableParagraph"/>
              <w:spacing w:before="8"/>
              <w:rPr>
                <w:b/>
                <w:sz w:val="10"/>
              </w:rPr>
            </w:pPr>
          </w:p>
          <w:p>
            <w:pPr>
              <w:pStyle w:val="TableParagraph"/>
              <w:spacing w:line="113" w:lineRule="exact"/>
              <w:ind w:right="43"/>
              <w:jc w:val="right"/>
              <w:rPr>
                <w:sz w:val="11"/>
              </w:rPr>
            </w:pPr>
            <w:r>
              <w:rPr>
                <w:sz w:val="11"/>
              </w:rPr>
              <w:t>-84.706,49</w:t>
            </w:r>
          </w:p>
        </w:tc>
        <w:tc>
          <w:tcPr>
            <w:tcW w:w="881" w:type="dxa"/>
          </w:tcPr>
          <w:p>
            <w:pPr>
              <w:pStyle w:val="TableParagraph"/>
              <w:rPr>
                <w:rFonts w:ascii="Times New Roman"/>
                <w:sz w:val="10"/>
              </w:rPr>
            </w:pPr>
          </w:p>
        </w:tc>
        <w:tc>
          <w:tcPr>
            <w:tcW w:w="888" w:type="dxa"/>
          </w:tcPr>
          <w:p>
            <w:pPr>
              <w:pStyle w:val="TableParagraph"/>
              <w:rPr>
                <w:rFonts w:ascii="Times New Roman"/>
                <w:sz w:val="10"/>
              </w:rPr>
            </w:pPr>
          </w:p>
        </w:tc>
        <w:tc>
          <w:tcPr>
            <w:tcW w:w="879" w:type="dxa"/>
          </w:tcPr>
          <w:p>
            <w:pPr>
              <w:pStyle w:val="TableParagraph"/>
              <w:spacing w:before="8"/>
              <w:rPr>
                <w:b/>
                <w:sz w:val="10"/>
              </w:rPr>
            </w:pPr>
          </w:p>
          <w:p>
            <w:pPr>
              <w:pStyle w:val="TableParagraph"/>
              <w:spacing w:line="113" w:lineRule="exact"/>
              <w:ind w:right="44"/>
              <w:jc w:val="right"/>
              <w:rPr>
                <w:sz w:val="11"/>
              </w:rPr>
            </w:pPr>
            <w:r>
              <w:rPr>
                <w:sz w:val="11"/>
              </w:rPr>
              <w:t>-85.959,30</w:t>
            </w:r>
          </w:p>
        </w:tc>
        <w:tc>
          <w:tcPr>
            <w:tcW w:w="831" w:type="dxa"/>
          </w:tcPr>
          <w:p>
            <w:pPr>
              <w:pStyle w:val="TableParagraph"/>
              <w:spacing w:before="8"/>
              <w:rPr>
                <w:b/>
                <w:sz w:val="10"/>
              </w:rPr>
            </w:pPr>
          </w:p>
          <w:p>
            <w:pPr>
              <w:pStyle w:val="TableParagraph"/>
              <w:spacing w:line="113" w:lineRule="exact"/>
              <w:ind w:right="43"/>
              <w:jc w:val="right"/>
              <w:rPr>
                <w:sz w:val="11"/>
              </w:rPr>
            </w:pPr>
            <w:r>
              <w:rPr>
                <w:sz w:val="11"/>
              </w:rPr>
              <w:t>-85.959,30</w:t>
            </w:r>
          </w:p>
        </w:tc>
      </w:tr>
      <w:tr>
        <w:trPr>
          <w:trHeight w:val="262" w:hRule="atLeast"/>
        </w:trPr>
        <w:tc>
          <w:tcPr>
            <w:tcW w:w="2095" w:type="dxa"/>
          </w:tcPr>
          <w:p>
            <w:pPr>
              <w:pStyle w:val="TableParagraph"/>
              <w:spacing w:line="130" w:lineRule="exact"/>
              <w:ind w:left="58"/>
              <w:rPr>
                <w:sz w:val="11"/>
              </w:rPr>
            </w:pPr>
            <w:r>
              <w:rPr>
                <w:sz w:val="11"/>
              </w:rPr>
              <w:t>Imput. de Subv., Donaciones y Legados de</w:t>
            </w:r>
          </w:p>
          <w:p>
            <w:pPr>
              <w:pStyle w:val="TableParagraph"/>
              <w:spacing w:line="112" w:lineRule="exact"/>
              <w:ind w:left="58"/>
              <w:rPr>
                <w:sz w:val="11"/>
              </w:rPr>
            </w:pPr>
            <w:r>
              <w:rPr>
                <w:sz w:val="11"/>
              </w:rPr>
              <w:t>carácter financiero</w:t>
            </w:r>
          </w:p>
        </w:tc>
        <w:tc>
          <w:tcPr>
            <w:tcW w:w="793" w:type="dxa"/>
          </w:tcPr>
          <w:p>
            <w:pPr>
              <w:pStyle w:val="TableParagraph"/>
              <w:rPr>
                <w:rFonts w:ascii="Times New Roman"/>
                <w:sz w:val="10"/>
              </w:rPr>
            </w:pPr>
          </w:p>
        </w:tc>
        <w:tc>
          <w:tcPr>
            <w:tcW w:w="823" w:type="dxa"/>
          </w:tcPr>
          <w:p>
            <w:pPr>
              <w:pStyle w:val="TableParagraph"/>
              <w:rPr>
                <w:rFonts w:ascii="Times New Roman"/>
                <w:sz w:val="10"/>
              </w:rPr>
            </w:pPr>
          </w:p>
        </w:tc>
        <w:tc>
          <w:tcPr>
            <w:tcW w:w="808" w:type="dxa"/>
          </w:tcPr>
          <w:p>
            <w:pPr>
              <w:pStyle w:val="TableParagraph"/>
              <w:rPr>
                <w:rFonts w:ascii="Times New Roman"/>
                <w:sz w:val="10"/>
              </w:rPr>
            </w:pPr>
          </w:p>
        </w:tc>
        <w:tc>
          <w:tcPr>
            <w:tcW w:w="864" w:type="dxa"/>
          </w:tcPr>
          <w:p>
            <w:pPr>
              <w:pStyle w:val="TableParagraph"/>
              <w:rPr>
                <w:rFonts w:ascii="Times New Roman"/>
                <w:sz w:val="10"/>
              </w:rPr>
            </w:pPr>
          </w:p>
        </w:tc>
        <w:tc>
          <w:tcPr>
            <w:tcW w:w="946" w:type="dxa"/>
          </w:tcPr>
          <w:p>
            <w:pPr>
              <w:pStyle w:val="TableParagraph"/>
              <w:rPr>
                <w:rFonts w:ascii="Times New Roman"/>
                <w:sz w:val="10"/>
              </w:rPr>
            </w:pPr>
          </w:p>
        </w:tc>
        <w:tc>
          <w:tcPr>
            <w:tcW w:w="776" w:type="dxa"/>
          </w:tcPr>
          <w:p>
            <w:pPr>
              <w:pStyle w:val="TableParagraph"/>
              <w:rPr>
                <w:rFonts w:ascii="Times New Roman"/>
                <w:sz w:val="10"/>
              </w:rPr>
            </w:pPr>
          </w:p>
        </w:tc>
        <w:tc>
          <w:tcPr>
            <w:tcW w:w="748" w:type="dxa"/>
          </w:tcPr>
          <w:p>
            <w:pPr>
              <w:pStyle w:val="TableParagraph"/>
              <w:rPr>
                <w:rFonts w:ascii="Times New Roman"/>
                <w:sz w:val="10"/>
              </w:rPr>
            </w:pPr>
          </w:p>
        </w:tc>
        <w:tc>
          <w:tcPr>
            <w:tcW w:w="720" w:type="dxa"/>
          </w:tcPr>
          <w:p>
            <w:pPr>
              <w:pStyle w:val="TableParagraph"/>
              <w:rPr>
                <w:rFonts w:ascii="Times New Roman"/>
                <w:sz w:val="10"/>
              </w:rPr>
            </w:pPr>
          </w:p>
        </w:tc>
        <w:tc>
          <w:tcPr>
            <w:tcW w:w="881" w:type="dxa"/>
          </w:tcPr>
          <w:p>
            <w:pPr>
              <w:pStyle w:val="TableParagraph"/>
              <w:rPr>
                <w:rFonts w:ascii="Times New Roman"/>
                <w:sz w:val="10"/>
              </w:rPr>
            </w:pPr>
          </w:p>
        </w:tc>
        <w:tc>
          <w:tcPr>
            <w:tcW w:w="888" w:type="dxa"/>
          </w:tcPr>
          <w:p>
            <w:pPr>
              <w:pStyle w:val="TableParagraph"/>
              <w:rPr>
                <w:rFonts w:ascii="Times New Roman"/>
                <w:sz w:val="10"/>
              </w:rPr>
            </w:pPr>
          </w:p>
        </w:tc>
        <w:tc>
          <w:tcPr>
            <w:tcW w:w="879" w:type="dxa"/>
          </w:tcPr>
          <w:p>
            <w:pPr>
              <w:pStyle w:val="TableParagraph"/>
              <w:spacing w:before="6"/>
              <w:rPr>
                <w:b/>
                <w:sz w:val="10"/>
              </w:rPr>
            </w:pPr>
          </w:p>
          <w:p>
            <w:pPr>
              <w:pStyle w:val="TableParagraph"/>
              <w:spacing w:line="113" w:lineRule="exact" w:before="1"/>
              <w:ind w:right="45"/>
              <w:jc w:val="right"/>
              <w:rPr>
                <w:sz w:val="11"/>
              </w:rPr>
            </w:pPr>
            <w:r>
              <w:rPr>
                <w:w w:val="95"/>
                <w:sz w:val="11"/>
              </w:rPr>
              <w:t>0,00</w:t>
            </w:r>
          </w:p>
        </w:tc>
        <w:tc>
          <w:tcPr>
            <w:tcW w:w="831" w:type="dxa"/>
          </w:tcPr>
          <w:p>
            <w:pPr>
              <w:pStyle w:val="TableParagraph"/>
              <w:spacing w:before="6"/>
              <w:rPr>
                <w:b/>
                <w:sz w:val="10"/>
              </w:rPr>
            </w:pPr>
          </w:p>
          <w:p>
            <w:pPr>
              <w:pStyle w:val="TableParagraph"/>
              <w:spacing w:line="113" w:lineRule="exact" w:before="1"/>
              <w:ind w:right="42"/>
              <w:jc w:val="right"/>
              <w:rPr>
                <w:sz w:val="11"/>
              </w:rPr>
            </w:pPr>
            <w:r>
              <w:rPr>
                <w:w w:val="95"/>
                <w:sz w:val="11"/>
              </w:rPr>
              <w:t>0,00</w:t>
            </w:r>
          </w:p>
        </w:tc>
      </w:tr>
      <w:tr>
        <w:trPr>
          <w:trHeight w:val="131" w:hRule="atLeast"/>
        </w:trPr>
        <w:tc>
          <w:tcPr>
            <w:tcW w:w="2095" w:type="dxa"/>
          </w:tcPr>
          <w:p>
            <w:pPr>
              <w:pStyle w:val="TableParagraph"/>
              <w:spacing w:line="112" w:lineRule="exact"/>
              <w:ind w:left="82"/>
              <w:rPr>
                <w:b/>
                <w:sz w:val="11"/>
              </w:rPr>
            </w:pPr>
            <w:r>
              <w:rPr>
                <w:b/>
                <w:sz w:val="11"/>
              </w:rPr>
              <w:t>RESULTADOS FINANCIEROS</w:t>
            </w:r>
          </w:p>
        </w:tc>
        <w:tc>
          <w:tcPr>
            <w:tcW w:w="793" w:type="dxa"/>
          </w:tcPr>
          <w:p>
            <w:pPr>
              <w:pStyle w:val="TableParagraph"/>
              <w:spacing w:line="112" w:lineRule="exact"/>
              <w:ind w:right="41"/>
              <w:jc w:val="right"/>
              <w:rPr>
                <w:b/>
                <w:sz w:val="11"/>
              </w:rPr>
            </w:pPr>
            <w:r>
              <w:rPr>
                <w:b/>
                <w:sz w:val="11"/>
              </w:rPr>
              <w:t>-3.159,30</w:t>
            </w:r>
          </w:p>
        </w:tc>
        <w:tc>
          <w:tcPr>
            <w:tcW w:w="823" w:type="dxa"/>
          </w:tcPr>
          <w:p>
            <w:pPr>
              <w:pStyle w:val="TableParagraph"/>
              <w:spacing w:line="112" w:lineRule="exact"/>
              <w:ind w:right="42"/>
              <w:jc w:val="right"/>
              <w:rPr>
                <w:b/>
                <w:sz w:val="11"/>
              </w:rPr>
            </w:pPr>
            <w:r>
              <w:rPr>
                <w:b/>
                <w:w w:val="95"/>
                <w:sz w:val="11"/>
              </w:rPr>
              <w:t>868.425,69</w:t>
            </w:r>
          </w:p>
        </w:tc>
        <w:tc>
          <w:tcPr>
            <w:tcW w:w="808" w:type="dxa"/>
          </w:tcPr>
          <w:p>
            <w:pPr>
              <w:pStyle w:val="TableParagraph"/>
              <w:spacing w:line="112" w:lineRule="exact"/>
              <w:ind w:right="40"/>
              <w:jc w:val="right"/>
              <w:rPr>
                <w:b/>
                <w:sz w:val="11"/>
              </w:rPr>
            </w:pPr>
            <w:r>
              <w:rPr>
                <w:b/>
                <w:w w:val="95"/>
                <w:sz w:val="11"/>
              </w:rPr>
              <w:t>-564,94</w:t>
            </w:r>
          </w:p>
        </w:tc>
        <w:tc>
          <w:tcPr>
            <w:tcW w:w="864" w:type="dxa"/>
          </w:tcPr>
          <w:p>
            <w:pPr>
              <w:pStyle w:val="TableParagraph"/>
              <w:spacing w:line="112" w:lineRule="exact"/>
              <w:ind w:right="42"/>
              <w:jc w:val="right"/>
              <w:rPr>
                <w:b/>
                <w:sz w:val="11"/>
              </w:rPr>
            </w:pPr>
            <w:r>
              <w:rPr>
                <w:b/>
                <w:w w:val="95"/>
                <w:sz w:val="11"/>
              </w:rPr>
              <w:t>-0,09</w:t>
            </w:r>
          </w:p>
        </w:tc>
        <w:tc>
          <w:tcPr>
            <w:tcW w:w="946" w:type="dxa"/>
          </w:tcPr>
          <w:p>
            <w:pPr>
              <w:pStyle w:val="TableParagraph"/>
              <w:spacing w:line="112" w:lineRule="exact"/>
              <w:ind w:right="43"/>
              <w:jc w:val="right"/>
              <w:rPr>
                <w:b/>
                <w:sz w:val="11"/>
              </w:rPr>
            </w:pPr>
            <w:r>
              <w:rPr>
                <w:b/>
                <w:sz w:val="11"/>
              </w:rPr>
              <w:t>-2.845,51</w:t>
            </w:r>
          </w:p>
        </w:tc>
        <w:tc>
          <w:tcPr>
            <w:tcW w:w="776" w:type="dxa"/>
          </w:tcPr>
          <w:p>
            <w:pPr>
              <w:pStyle w:val="TableParagraph"/>
              <w:spacing w:line="112" w:lineRule="exact"/>
              <w:ind w:right="42"/>
              <w:jc w:val="right"/>
              <w:rPr>
                <w:b/>
                <w:sz w:val="11"/>
              </w:rPr>
            </w:pPr>
            <w:r>
              <w:rPr>
                <w:b/>
                <w:w w:val="95"/>
                <w:sz w:val="11"/>
              </w:rPr>
              <w:t>-42,83</w:t>
            </w:r>
          </w:p>
        </w:tc>
        <w:tc>
          <w:tcPr>
            <w:tcW w:w="748" w:type="dxa"/>
          </w:tcPr>
          <w:p>
            <w:pPr>
              <w:pStyle w:val="TableParagraph"/>
              <w:spacing w:line="112" w:lineRule="exact"/>
              <w:ind w:right="42"/>
              <w:jc w:val="right"/>
              <w:rPr>
                <w:b/>
                <w:sz w:val="11"/>
              </w:rPr>
            </w:pPr>
            <w:r>
              <w:rPr>
                <w:b/>
                <w:w w:val="95"/>
                <w:sz w:val="11"/>
              </w:rPr>
              <w:t>0,00</w:t>
            </w:r>
          </w:p>
        </w:tc>
        <w:tc>
          <w:tcPr>
            <w:tcW w:w="720" w:type="dxa"/>
          </w:tcPr>
          <w:p>
            <w:pPr>
              <w:pStyle w:val="TableParagraph"/>
              <w:spacing w:line="112" w:lineRule="exact"/>
              <w:ind w:right="43"/>
              <w:jc w:val="right"/>
              <w:rPr>
                <w:b/>
                <w:sz w:val="11"/>
              </w:rPr>
            </w:pPr>
            <w:r>
              <w:rPr>
                <w:b/>
                <w:w w:val="95"/>
                <w:sz w:val="11"/>
              </w:rPr>
              <w:t>-81.229,47</w:t>
            </w:r>
          </w:p>
        </w:tc>
        <w:tc>
          <w:tcPr>
            <w:tcW w:w="881" w:type="dxa"/>
          </w:tcPr>
          <w:p>
            <w:pPr>
              <w:pStyle w:val="TableParagraph"/>
              <w:spacing w:line="112" w:lineRule="exact"/>
              <w:ind w:right="45"/>
              <w:jc w:val="right"/>
              <w:rPr>
                <w:b/>
                <w:sz w:val="11"/>
              </w:rPr>
            </w:pPr>
            <w:r>
              <w:rPr>
                <w:b/>
                <w:w w:val="95"/>
                <w:sz w:val="11"/>
              </w:rPr>
              <w:t>-43.909,63</w:t>
            </w:r>
          </w:p>
        </w:tc>
        <w:tc>
          <w:tcPr>
            <w:tcW w:w="888" w:type="dxa"/>
          </w:tcPr>
          <w:p>
            <w:pPr>
              <w:pStyle w:val="TableParagraph"/>
              <w:spacing w:line="112" w:lineRule="exact"/>
              <w:ind w:right="43"/>
              <w:jc w:val="right"/>
              <w:rPr>
                <w:b/>
                <w:sz w:val="11"/>
              </w:rPr>
            </w:pPr>
            <w:r>
              <w:rPr>
                <w:b/>
                <w:w w:val="95"/>
                <w:sz w:val="11"/>
              </w:rPr>
              <w:t>-1.532.529,11</w:t>
            </w:r>
          </w:p>
        </w:tc>
        <w:tc>
          <w:tcPr>
            <w:tcW w:w="879" w:type="dxa"/>
          </w:tcPr>
          <w:p>
            <w:pPr>
              <w:pStyle w:val="TableParagraph"/>
              <w:spacing w:line="112" w:lineRule="exact"/>
              <w:ind w:right="44"/>
              <w:jc w:val="right"/>
              <w:rPr>
                <w:b/>
                <w:sz w:val="11"/>
              </w:rPr>
            </w:pPr>
            <w:r>
              <w:rPr>
                <w:b/>
                <w:w w:val="95"/>
                <w:sz w:val="11"/>
              </w:rPr>
              <w:t>-1.385.378,77</w:t>
            </w:r>
          </w:p>
        </w:tc>
        <w:tc>
          <w:tcPr>
            <w:tcW w:w="831" w:type="dxa"/>
          </w:tcPr>
          <w:p>
            <w:pPr>
              <w:pStyle w:val="TableParagraph"/>
              <w:spacing w:line="112" w:lineRule="exact"/>
              <w:ind w:right="43"/>
              <w:jc w:val="right"/>
              <w:rPr>
                <w:b/>
                <w:sz w:val="11"/>
              </w:rPr>
            </w:pPr>
            <w:r>
              <w:rPr>
                <w:b/>
                <w:w w:val="95"/>
                <w:sz w:val="11"/>
              </w:rPr>
              <w:t>-1.385.378,77</w:t>
            </w:r>
          </w:p>
        </w:tc>
      </w:tr>
      <w:tr>
        <w:trPr>
          <w:trHeight w:val="129" w:hRule="atLeast"/>
        </w:trPr>
        <w:tc>
          <w:tcPr>
            <w:tcW w:w="2095" w:type="dxa"/>
          </w:tcPr>
          <w:p>
            <w:pPr>
              <w:pStyle w:val="TableParagraph"/>
              <w:spacing w:line="110" w:lineRule="exact"/>
              <w:ind w:left="82"/>
              <w:rPr>
                <w:b/>
                <w:sz w:val="11"/>
              </w:rPr>
            </w:pPr>
            <w:r>
              <w:rPr>
                <w:b/>
                <w:sz w:val="11"/>
              </w:rPr>
              <w:t>RESULTADOS ANTES DE IMPUESTOS</w:t>
            </w:r>
          </w:p>
        </w:tc>
        <w:tc>
          <w:tcPr>
            <w:tcW w:w="793" w:type="dxa"/>
          </w:tcPr>
          <w:p>
            <w:pPr>
              <w:pStyle w:val="TableParagraph"/>
              <w:spacing w:line="110" w:lineRule="exact"/>
              <w:ind w:right="41"/>
              <w:jc w:val="right"/>
              <w:rPr>
                <w:b/>
                <w:sz w:val="11"/>
              </w:rPr>
            </w:pPr>
            <w:r>
              <w:rPr>
                <w:b/>
                <w:w w:val="95"/>
                <w:sz w:val="11"/>
              </w:rPr>
              <w:t>-2.770.842,10</w:t>
            </w:r>
          </w:p>
        </w:tc>
        <w:tc>
          <w:tcPr>
            <w:tcW w:w="823" w:type="dxa"/>
          </w:tcPr>
          <w:p>
            <w:pPr>
              <w:pStyle w:val="TableParagraph"/>
              <w:spacing w:line="110" w:lineRule="exact"/>
              <w:ind w:right="42"/>
              <w:jc w:val="right"/>
              <w:rPr>
                <w:b/>
                <w:sz w:val="11"/>
              </w:rPr>
            </w:pPr>
            <w:r>
              <w:rPr>
                <w:b/>
                <w:sz w:val="11"/>
              </w:rPr>
              <w:t>-960.742,26</w:t>
            </w:r>
          </w:p>
        </w:tc>
        <w:tc>
          <w:tcPr>
            <w:tcW w:w="808" w:type="dxa"/>
          </w:tcPr>
          <w:p>
            <w:pPr>
              <w:pStyle w:val="TableParagraph"/>
              <w:spacing w:line="110" w:lineRule="exact"/>
              <w:ind w:right="40"/>
              <w:jc w:val="right"/>
              <w:rPr>
                <w:b/>
                <w:sz w:val="11"/>
              </w:rPr>
            </w:pPr>
            <w:r>
              <w:rPr>
                <w:b/>
                <w:w w:val="95"/>
                <w:sz w:val="11"/>
              </w:rPr>
              <w:t>-1.983.629,40</w:t>
            </w:r>
          </w:p>
        </w:tc>
        <w:tc>
          <w:tcPr>
            <w:tcW w:w="864" w:type="dxa"/>
          </w:tcPr>
          <w:p>
            <w:pPr>
              <w:pStyle w:val="TableParagraph"/>
              <w:spacing w:line="110" w:lineRule="exact"/>
              <w:ind w:right="42"/>
              <w:jc w:val="right"/>
              <w:rPr>
                <w:b/>
                <w:sz w:val="11"/>
              </w:rPr>
            </w:pPr>
            <w:r>
              <w:rPr>
                <w:b/>
                <w:w w:val="95"/>
                <w:sz w:val="11"/>
              </w:rPr>
              <w:t>-2.327.888,00</w:t>
            </w:r>
          </w:p>
        </w:tc>
        <w:tc>
          <w:tcPr>
            <w:tcW w:w="946" w:type="dxa"/>
          </w:tcPr>
          <w:p>
            <w:pPr>
              <w:pStyle w:val="TableParagraph"/>
              <w:spacing w:line="110" w:lineRule="exact"/>
              <w:ind w:right="43"/>
              <w:jc w:val="right"/>
              <w:rPr>
                <w:b/>
                <w:sz w:val="11"/>
              </w:rPr>
            </w:pPr>
            <w:r>
              <w:rPr>
                <w:b/>
                <w:w w:val="95"/>
                <w:sz w:val="11"/>
              </w:rPr>
              <w:t>5.099.478,55</w:t>
            </w:r>
          </w:p>
        </w:tc>
        <w:tc>
          <w:tcPr>
            <w:tcW w:w="776" w:type="dxa"/>
          </w:tcPr>
          <w:p>
            <w:pPr>
              <w:pStyle w:val="TableParagraph"/>
              <w:spacing w:line="110" w:lineRule="exact"/>
              <w:ind w:right="43"/>
              <w:jc w:val="right"/>
              <w:rPr>
                <w:b/>
                <w:sz w:val="11"/>
              </w:rPr>
            </w:pPr>
            <w:r>
              <w:rPr>
                <w:b/>
                <w:w w:val="95"/>
                <w:sz w:val="11"/>
              </w:rPr>
              <w:t>-2.346.620,89</w:t>
            </w:r>
          </w:p>
        </w:tc>
        <w:tc>
          <w:tcPr>
            <w:tcW w:w="748" w:type="dxa"/>
          </w:tcPr>
          <w:p>
            <w:pPr>
              <w:pStyle w:val="TableParagraph"/>
              <w:spacing w:line="110" w:lineRule="exact"/>
              <w:ind w:right="43"/>
              <w:jc w:val="right"/>
              <w:rPr>
                <w:b/>
                <w:sz w:val="11"/>
              </w:rPr>
            </w:pPr>
            <w:r>
              <w:rPr>
                <w:b/>
                <w:w w:val="95"/>
                <w:sz w:val="11"/>
              </w:rPr>
              <w:t>-53.276,37</w:t>
            </w:r>
          </w:p>
        </w:tc>
        <w:tc>
          <w:tcPr>
            <w:tcW w:w="720" w:type="dxa"/>
          </w:tcPr>
          <w:p>
            <w:pPr>
              <w:pStyle w:val="TableParagraph"/>
              <w:spacing w:line="110" w:lineRule="exact"/>
              <w:ind w:right="43"/>
              <w:jc w:val="right"/>
              <w:rPr>
                <w:b/>
                <w:sz w:val="11"/>
              </w:rPr>
            </w:pPr>
            <w:r>
              <w:rPr>
                <w:b/>
                <w:sz w:val="11"/>
              </w:rPr>
              <w:t>-699.769,14</w:t>
            </w:r>
          </w:p>
        </w:tc>
        <w:tc>
          <w:tcPr>
            <w:tcW w:w="881" w:type="dxa"/>
          </w:tcPr>
          <w:p>
            <w:pPr>
              <w:pStyle w:val="TableParagraph"/>
              <w:spacing w:line="110" w:lineRule="exact"/>
              <w:ind w:right="46"/>
              <w:jc w:val="right"/>
              <w:rPr>
                <w:b/>
                <w:sz w:val="11"/>
              </w:rPr>
            </w:pPr>
            <w:r>
              <w:rPr>
                <w:b/>
                <w:sz w:val="11"/>
              </w:rPr>
              <w:t>-61.083.231,13</w:t>
            </w:r>
          </w:p>
        </w:tc>
        <w:tc>
          <w:tcPr>
            <w:tcW w:w="888" w:type="dxa"/>
          </w:tcPr>
          <w:p>
            <w:pPr>
              <w:pStyle w:val="TableParagraph"/>
              <w:spacing w:line="110" w:lineRule="exact"/>
              <w:ind w:right="43"/>
              <w:jc w:val="right"/>
              <w:rPr>
                <w:b/>
                <w:sz w:val="11"/>
              </w:rPr>
            </w:pPr>
            <w:r>
              <w:rPr>
                <w:b/>
                <w:w w:val="95"/>
                <w:sz w:val="11"/>
              </w:rPr>
              <w:t>5.514.099,52</w:t>
            </w:r>
          </w:p>
        </w:tc>
        <w:tc>
          <w:tcPr>
            <w:tcW w:w="879" w:type="dxa"/>
          </w:tcPr>
          <w:p>
            <w:pPr>
              <w:pStyle w:val="TableParagraph"/>
              <w:spacing w:line="110" w:lineRule="exact"/>
              <w:ind w:right="44"/>
              <w:jc w:val="right"/>
              <w:rPr>
                <w:b/>
                <w:sz w:val="11"/>
              </w:rPr>
            </w:pPr>
            <w:r>
              <w:rPr>
                <w:b/>
                <w:sz w:val="11"/>
              </w:rPr>
              <w:t>-69.470.366,37</w:t>
            </w:r>
          </w:p>
        </w:tc>
        <w:tc>
          <w:tcPr>
            <w:tcW w:w="831" w:type="dxa"/>
          </w:tcPr>
          <w:p>
            <w:pPr>
              <w:pStyle w:val="TableParagraph"/>
              <w:spacing w:line="110" w:lineRule="exact"/>
              <w:ind w:right="43"/>
              <w:jc w:val="right"/>
              <w:rPr>
                <w:b/>
                <w:sz w:val="11"/>
              </w:rPr>
            </w:pPr>
            <w:r>
              <w:rPr>
                <w:b/>
                <w:sz w:val="11"/>
              </w:rPr>
              <w:t>-69.470.366,37</w:t>
            </w:r>
          </w:p>
        </w:tc>
      </w:tr>
      <w:tr>
        <w:trPr>
          <w:trHeight w:val="129" w:hRule="atLeast"/>
        </w:trPr>
        <w:tc>
          <w:tcPr>
            <w:tcW w:w="2095" w:type="dxa"/>
          </w:tcPr>
          <w:p>
            <w:pPr>
              <w:pStyle w:val="TableParagraph"/>
              <w:spacing w:line="110" w:lineRule="exact"/>
              <w:ind w:left="82"/>
              <w:rPr>
                <w:sz w:val="11"/>
              </w:rPr>
            </w:pPr>
            <w:r>
              <w:rPr>
                <w:sz w:val="11"/>
              </w:rPr>
              <w:t>Impuesto sobre beneficios</w:t>
            </w:r>
          </w:p>
        </w:tc>
        <w:tc>
          <w:tcPr>
            <w:tcW w:w="793" w:type="dxa"/>
          </w:tcPr>
          <w:p>
            <w:pPr>
              <w:pStyle w:val="TableParagraph"/>
              <w:rPr>
                <w:rFonts w:ascii="Times New Roman"/>
                <w:sz w:val="6"/>
              </w:rPr>
            </w:pPr>
          </w:p>
        </w:tc>
        <w:tc>
          <w:tcPr>
            <w:tcW w:w="823" w:type="dxa"/>
          </w:tcPr>
          <w:p>
            <w:pPr>
              <w:pStyle w:val="TableParagraph"/>
              <w:rPr>
                <w:rFonts w:ascii="Times New Roman"/>
                <w:sz w:val="6"/>
              </w:rPr>
            </w:pPr>
          </w:p>
        </w:tc>
        <w:tc>
          <w:tcPr>
            <w:tcW w:w="808" w:type="dxa"/>
          </w:tcPr>
          <w:p>
            <w:pPr>
              <w:pStyle w:val="TableParagraph"/>
              <w:rPr>
                <w:rFonts w:ascii="Times New Roman"/>
                <w:sz w:val="6"/>
              </w:rPr>
            </w:pPr>
          </w:p>
        </w:tc>
        <w:tc>
          <w:tcPr>
            <w:tcW w:w="864" w:type="dxa"/>
          </w:tcPr>
          <w:p>
            <w:pPr>
              <w:pStyle w:val="TableParagraph"/>
              <w:rPr>
                <w:rFonts w:ascii="Times New Roman"/>
                <w:sz w:val="6"/>
              </w:rPr>
            </w:pPr>
          </w:p>
        </w:tc>
        <w:tc>
          <w:tcPr>
            <w:tcW w:w="946" w:type="dxa"/>
          </w:tcPr>
          <w:p>
            <w:pPr>
              <w:pStyle w:val="TableParagraph"/>
              <w:spacing w:line="110" w:lineRule="exact"/>
              <w:ind w:right="42"/>
              <w:jc w:val="right"/>
              <w:rPr>
                <w:sz w:val="11"/>
              </w:rPr>
            </w:pPr>
            <w:r>
              <w:rPr>
                <w:w w:val="95"/>
                <w:sz w:val="11"/>
              </w:rPr>
              <w:t>-0,30</w:t>
            </w:r>
          </w:p>
        </w:tc>
        <w:tc>
          <w:tcPr>
            <w:tcW w:w="776" w:type="dxa"/>
          </w:tcPr>
          <w:p>
            <w:pPr>
              <w:pStyle w:val="TableParagraph"/>
              <w:rPr>
                <w:rFonts w:ascii="Times New Roman"/>
                <w:sz w:val="6"/>
              </w:rPr>
            </w:pPr>
          </w:p>
        </w:tc>
        <w:tc>
          <w:tcPr>
            <w:tcW w:w="748" w:type="dxa"/>
          </w:tcPr>
          <w:p>
            <w:pPr>
              <w:pStyle w:val="TableParagraph"/>
              <w:rPr>
                <w:rFonts w:ascii="Times New Roman"/>
                <w:sz w:val="6"/>
              </w:rPr>
            </w:pPr>
          </w:p>
        </w:tc>
        <w:tc>
          <w:tcPr>
            <w:tcW w:w="720" w:type="dxa"/>
          </w:tcPr>
          <w:p>
            <w:pPr>
              <w:pStyle w:val="TableParagraph"/>
              <w:rPr>
                <w:rFonts w:ascii="Times New Roman"/>
                <w:sz w:val="6"/>
              </w:rPr>
            </w:pPr>
          </w:p>
        </w:tc>
        <w:tc>
          <w:tcPr>
            <w:tcW w:w="881" w:type="dxa"/>
          </w:tcPr>
          <w:p>
            <w:pPr>
              <w:pStyle w:val="TableParagraph"/>
              <w:rPr>
                <w:rFonts w:ascii="Times New Roman"/>
                <w:sz w:val="6"/>
              </w:rPr>
            </w:pPr>
          </w:p>
        </w:tc>
        <w:tc>
          <w:tcPr>
            <w:tcW w:w="888" w:type="dxa"/>
          </w:tcPr>
          <w:p>
            <w:pPr>
              <w:pStyle w:val="TableParagraph"/>
              <w:spacing w:line="110" w:lineRule="exact"/>
              <w:ind w:right="43"/>
              <w:jc w:val="right"/>
              <w:rPr>
                <w:sz w:val="11"/>
              </w:rPr>
            </w:pPr>
            <w:r>
              <w:rPr>
                <w:sz w:val="11"/>
              </w:rPr>
              <w:t>-1.085.700,09</w:t>
            </w:r>
          </w:p>
        </w:tc>
        <w:tc>
          <w:tcPr>
            <w:tcW w:w="879" w:type="dxa"/>
          </w:tcPr>
          <w:p>
            <w:pPr>
              <w:pStyle w:val="TableParagraph"/>
              <w:spacing w:line="110" w:lineRule="exact"/>
              <w:ind w:right="44"/>
              <w:jc w:val="right"/>
              <w:rPr>
                <w:sz w:val="11"/>
              </w:rPr>
            </w:pPr>
            <w:r>
              <w:rPr>
                <w:sz w:val="11"/>
              </w:rPr>
              <w:t>-1.031.056,73</w:t>
            </w:r>
          </w:p>
        </w:tc>
        <w:tc>
          <w:tcPr>
            <w:tcW w:w="831" w:type="dxa"/>
          </w:tcPr>
          <w:p>
            <w:pPr>
              <w:pStyle w:val="TableParagraph"/>
              <w:spacing w:line="110" w:lineRule="exact"/>
              <w:ind w:right="43"/>
              <w:jc w:val="right"/>
              <w:rPr>
                <w:sz w:val="11"/>
              </w:rPr>
            </w:pPr>
            <w:r>
              <w:rPr>
                <w:sz w:val="11"/>
              </w:rPr>
              <w:t>-1.031.056,73</w:t>
            </w:r>
          </w:p>
        </w:tc>
      </w:tr>
      <w:tr>
        <w:trPr>
          <w:trHeight w:val="264" w:hRule="atLeast"/>
        </w:trPr>
        <w:tc>
          <w:tcPr>
            <w:tcW w:w="2095" w:type="dxa"/>
          </w:tcPr>
          <w:p>
            <w:pPr>
              <w:pStyle w:val="TableParagraph"/>
              <w:spacing w:line="132" w:lineRule="exact"/>
              <w:ind w:left="82"/>
              <w:rPr>
                <w:b/>
                <w:sz w:val="11"/>
              </w:rPr>
            </w:pPr>
            <w:r>
              <w:rPr>
                <w:b/>
                <w:sz w:val="11"/>
              </w:rPr>
              <w:t>RESULTADO DEL EJERCICIO PROCEDENTE</w:t>
            </w:r>
          </w:p>
          <w:p>
            <w:pPr>
              <w:pStyle w:val="TableParagraph"/>
              <w:spacing w:line="112" w:lineRule="exact"/>
              <w:ind w:left="58"/>
              <w:rPr>
                <w:b/>
                <w:sz w:val="11"/>
              </w:rPr>
            </w:pPr>
            <w:r>
              <w:rPr>
                <w:b/>
                <w:sz w:val="11"/>
              </w:rPr>
              <w:t>DE OP. CONT. (BFO. / - PDA.)</w:t>
            </w:r>
          </w:p>
        </w:tc>
        <w:tc>
          <w:tcPr>
            <w:tcW w:w="793" w:type="dxa"/>
          </w:tcPr>
          <w:p>
            <w:pPr>
              <w:pStyle w:val="TableParagraph"/>
              <w:spacing w:before="63"/>
              <w:ind w:right="41"/>
              <w:jc w:val="right"/>
              <w:rPr>
                <w:b/>
                <w:sz w:val="11"/>
              </w:rPr>
            </w:pPr>
            <w:r>
              <w:rPr>
                <w:b/>
                <w:w w:val="95"/>
                <w:sz w:val="11"/>
              </w:rPr>
              <w:t>-2.770.842,10</w:t>
            </w:r>
          </w:p>
        </w:tc>
        <w:tc>
          <w:tcPr>
            <w:tcW w:w="823" w:type="dxa"/>
          </w:tcPr>
          <w:p>
            <w:pPr>
              <w:pStyle w:val="TableParagraph"/>
              <w:spacing w:before="63"/>
              <w:ind w:right="42"/>
              <w:jc w:val="right"/>
              <w:rPr>
                <w:b/>
                <w:sz w:val="11"/>
              </w:rPr>
            </w:pPr>
            <w:r>
              <w:rPr>
                <w:b/>
                <w:sz w:val="11"/>
              </w:rPr>
              <w:t>-960.742,26</w:t>
            </w:r>
          </w:p>
        </w:tc>
        <w:tc>
          <w:tcPr>
            <w:tcW w:w="808" w:type="dxa"/>
          </w:tcPr>
          <w:p>
            <w:pPr>
              <w:pStyle w:val="TableParagraph"/>
              <w:spacing w:before="63"/>
              <w:ind w:right="40"/>
              <w:jc w:val="right"/>
              <w:rPr>
                <w:b/>
                <w:sz w:val="11"/>
              </w:rPr>
            </w:pPr>
            <w:r>
              <w:rPr>
                <w:b/>
                <w:w w:val="95"/>
                <w:sz w:val="11"/>
              </w:rPr>
              <w:t>-1.983.629,40</w:t>
            </w:r>
          </w:p>
        </w:tc>
        <w:tc>
          <w:tcPr>
            <w:tcW w:w="864" w:type="dxa"/>
          </w:tcPr>
          <w:p>
            <w:pPr>
              <w:pStyle w:val="TableParagraph"/>
              <w:spacing w:before="63"/>
              <w:ind w:right="42"/>
              <w:jc w:val="right"/>
              <w:rPr>
                <w:b/>
                <w:sz w:val="11"/>
              </w:rPr>
            </w:pPr>
            <w:r>
              <w:rPr>
                <w:b/>
                <w:w w:val="95"/>
                <w:sz w:val="11"/>
              </w:rPr>
              <w:t>-2.327.888,00</w:t>
            </w:r>
          </w:p>
        </w:tc>
        <w:tc>
          <w:tcPr>
            <w:tcW w:w="946" w:type="dxa"/>
          </w:tcPr>
          <w:p>
            <w:pPr>
              <w:pStyle w:val="TableParagraph"/>
              <w:spacing w:before="63"/>
              <w:ind w:right="43"/>
              <w:jc w:val="right"/>
              <w:rPr>
                <w:b/>
                <w:sz w:val="11"/>
              </w:rPr>
            </w:pPr>
            <w:r>
              <w:rPr>
                <w:b/>
                <w:w w:val="95"/>
                <w:sz w:val="11"/>
              </w:rPr>
              <w:t>5.099.478,25</w:t>
            </w:r>
          </w:p>
        </w:tc>
        <w:tc>
          <w:tcPr>
            <w:tcW w:w="776" w:type="dxa"/>
          </w:tcPr>
          <w:p>
            <w:pPr>
              <w:pStyle w:val="TableParagraph"/>
              <w:spacing w:before="63"/>
              <w:ind w:right="43"/>
              <w:jc w:val="right"/>
              <w:rPr>
                <w:b/>
                <w:sz w:val="11"/>
              </w:rPr>
            </w:pPr>
            <w:r>
              <w:rPr>
                <w:b/>
                <w:w w:val="95"/>
                <w:sz w:val="11"/>
              </w:rPr>
              <w:t>-2.346.620,89</w:t>
            </w:r>
          </w:p>
        </w:tc>
        <w:tc>
          <w:tcPr>
            <w:tcW w:w="748" w:type="dxa"/>
          </w:tcPr>
          <w:p>
            <w:pPr>
              <w:pStyle w:val="TableParagraph"/>
              <w:spacing w:before="63"/>
              <w:ind w:right="43"/>
              <w:jc w:val="right"/>
              <w:rPr>
                <w:b/>
                <w:sz w:val="11"/>
              </w:rPr>
            </w:pPr>
            <w:r>
              <w:rPr>
                <w:b/>
                <w:w w:val="95"/>
                <w:sz w:val="11"/>
              </w:rPr>
              <w:t>-53.276,37</w:t>
            </w:r>
          </w:p>
        </w:tc>
        <w:tc>
          <w:tcPr>
            <w:tcW w:w="720" w:type="dxa"/>
          </w:tcPr>
          <w:p>
            <w:pPr>
              <w:pStyle w:val="TableParagraph"/>
              <w:spacing w:before="63"/>
              <w:ind w:right="43"/>
              <w:jc w:val="right"/>
              <w:rPr>
                <w:b/>
                <w:sz w:val="11"/>
              </w:rPr>
            </w:pPr>
            <w:r>
              <w:rPr>
                <w:b/>
                <w:sz w:val="11"/>
              </w:rPr>
              <w:t>-699.769,14</w:t>
            </w:r>
          </w:p>
        </w:tc>
        <w:tc>
          <w:tcPr>
            <w:tcW w:w="881" w:type="dxa"/>
          </w:tcPr>
          <w:p>
            <w:pPr>
              <w:pStyle w:val="TableParagraph"/>
              <w:spacing w:before="63"/>
              <w:ind w:right="46"/>
              <w:jc w:val="right"/>
              <w:rPr>
                <w:b/>
                <w:sz w:val="11"/>
              </w:rPr>
            </w:pPr>
            <w:r>
              <w:rPr>
                <w:b/>
                <w:sz w:val="11"/>
              </w:rPr>
              <w:t>-61.083.231,13</w:t>
            </w:r>
          </w:p>
        </w:tc>
        <w:tc>
          <w:tcPr>
            <w:tcW w:w="888" w:type="dxa"/>
          </w:tcPr>
          <w:p>
            <w:pPr>
              <w:pStyle w:val="TableParagraph"/>
              <w:spacing w:before="63"/>
              <w:ind w:right="43"/>
              <w:jc w:val="right"/>
              <w:rPr>
                <w:b/>
                <w:sz w:val="11"/>
              </w:rPr>
            </w:pPr>
            <w:r>
              <w:rPr>
                <w:b/>
                <w:w w:val="95"/>
                <w:sz w:val="11"/>
              </w:rPr>
              <w:t>4.428.399,43</w:t>
            </w:r>
          </w:p>
        </w:tc>
        <w:tc>
          <w:tcPr>
            <w:tcW w:w="879" w:type="dxa"/>
          </w:tcPr>
          <w:p>
            <w:pPr>
              <w:pStyle w:val="TableParagraph"/>
              <w:spacing w:before="63"/>
              <w:ind w:right="44"/>
              <w:jc w:val="right"/>
              <w:rPr>
                <w:b/>
                <w:sz w:val="11"/>
              </w:rPr>
            </w:pPr>
            <w:r>
              <w:rPr>
                <w:b/>
                <w:sz w:val="11"/>
              </w:rPr>
              <w:t>-70.501.423,10</w:t>
            </w:r>
          </w:p>
        </w:tc>
        <w:tc>
          <w:tcPr>
            <w:tcW w:w="831" w:type="dxa"/>
          </w:tcPr>
          <w:p>
            <w:pPr>
              <w:pStyle w:val="TableParagraph"/>
              <w:spacing w:before="63"/>
              <w:ind w:right="43"/>
              <w:jc w:val="right"/>
              <w:rPr>
                <w:b/>
                <w:sz w:val="11"/>
              </w:rPr>
            </w:pPr>
            <w:r>
              <w:rPr>
                <w:b/>
                <w:sz w:val="11"/>
              </w:rPr>
              <w:t>-70.501.423,10</w:t>
            </w:r>
          </w:p>
        </w:tc>
      </w:tr>
      <w:tr>
        <w:trPr>
          <w:trHeight w:val="129" w:hRule="atLeast"/>
        </w:trPr>
        <w:tc>
          <w:tcPr>
            <w:tcW w:w="2095" w:type="dxa"/>
          </w:tcPr>
          <w:p>
            <w:pPr>
              <w:pStyle w:val="TableParagraph"/>
              <w:spacing w:line="110" w:lineRule="exact"/>
              <w:ind w:left="82"/>
              <w:rPr>
                <w:b/>
                <w:sz w:val="11"/>
              </w:rPr>
            </w:pPr>
            <w:r>
              <w:rPr>
                <w:b/>
                <w:sz w:val="11"/>
              </w:rPr>
              <w:t>B) OPERAC. INTERRUMPIDAS</w:t>
            </w:r>
          </w:p>
        </w:tc>
        <w:tc>
          <w:tcPr>
            <w:tcW w:w="793" w:type="dxa"/>
          </w:tcPr>
          <w:p>
            <w:pPr>
              <w:pStyle w:val="TableParagraph"/>
              <w:rPr>
                <w:rFonts w:ascii="Times New Roman"/>
                <w:sz w:val="6"/>
              </w:rPr>
            </w:pPr>
          </w:p>
        </w:tc>
        <w:tc>
          <w:tcPr>
            <w:tcW w:w="823" w:type="dxa"/>
          </w:tcPr>
          <w:p>
            <w:pPr>
              <w:pStyle w:val="TableParagraph"/>
              <w:rPr>
                <w:rFonts w:ascii="Times New Roman"/>
                <w:sz w:val="6"/>
              </w:rPr>
            </w:pPr>
          </w:p>
        </w:tc>
        <w:tc>
          <w:tcPr>
            <w:tcW w:w="808" w:type="dxa"/>
          </w:tcPr>
          <w:p>
            <w:pPr>
              <w:pStyle w:val="TableParagraph"/>
              <w:rPr>
                <w:rFonts w:ascii="Times New Roman"/>
                <w:sz w:val="6"/>
              </w:rPr>
            </w:pPr>
          </w:p>
        </w:tc>
        <w:tc>
          <w:tcPr>
            <w:tcW w:w="864" w:type="dxa"/>
          </w:tcPr>
          <w:p>
            <w:pPr>
              <w:pStyle w:val="TableParagraph"/>
              <w:rPr>
                <w:rFonts w:ascii="Times New Roman"/>
                <w:sz w:val="6"/>
              </w:rPr>
            </w:pPr>
          </w:p>
        </w:tc>
        <w:tc>
          <w:tcPr>
            <w:tcW w:w="946" w:type="dxa"/>
          </w:tcPr>
          <w:p>
            <w:pPr>
              <w:pStyle w:val="TableParagraph"/>
              <w:rPr>
                <w:rFonts w:ascii="Times New Roman"/>
                <w:sz w:val="6"/>
              </w:rPr>
            </w:pPr>
          </w:p>
        </w:tc>
        <w:tc>
          <w:tcPr>
            <w:tcW w:w="776" w:type="dxa"/>
          </w:tcPr>
          <w:p>
            <w:pPr>
              <w:pStyle w:val="TableParagraph"/>
              <w:rPr>
                <w:rFonts w:ascii="Times New Roman"/>
                <w:sz w:val="6"/>
              </w:rPr>
            </w:pPr>
          </w:p>
        </w:tc>
        <w:tc>
          <w:tcPr>
            <w:tcW w:w="748" w:type="dxa"/>
          </w:tcPr>
          <w:p>
            <w:pPr>
              <w:pStyle w:val="TableParagraph"/>
              <w:rPr>
                <w:rFonts w:ascii="Times New Roman"/>
                <w:sz w:val="6"/>
              </w:rPr>
            </w:pPr>
          </w:p>
        </w:tc>
        <w:tc>
          <w:tcPr>
            <w:tcW w:w="720" w:type="dxa"/>
          </w:tcPr>
          <w:p>
            <w:pPr>
              <w:pStyle w:val="TableParagraph"/>
              <w:rPr>
                <w:rFonts w:ascii="Times New Roman"/>
                <w:sz w:val="6"/>
              </w:rPr>
            </w:pPr>
          </w:p>
        </w:tc>
        <w:tc>
          <w:tcPr>
            <w:tcW w:w="881" w:type="dxa"/>
          </w:tcPr>
          <w:p>
            <w:pPr>
              <w:pStyle w:val="TableParagraph"/>
              <w:rPr>
                <w:rFonts w:ascii="Times New Roman"/>
                <w:sz w:val="6"/>
              </w:rPr>
            </w:pPr>
          </w:p>
        </w:tc>
        <w:tc>
          <w:tcPr>
            <w:tcW w:w="888" w:type="dxa"/>
          </w:tcPr>
          <w:p>
            <w:pPr>
              <w:pStyle w:val="TableParagraph"/>
              <w:rPr>
                <w:rFonts w:ascii="Times New Roman"/>
                <w:sz w:val="6"/>
              </w:rPr>
            </w:pPr>
          </w:p>
        </w:tc>
        <w:tc>
          <w:tcPr>
            <w:tcW w:w="879" w:type="dxa"/>
          </w:tcPr>
          <w:p>
            <w:pPr>
              <w:pStyle w:val="TableParagraph"/>
              <w:rPr>
                <w:rFonts w:ascii="Times New Roman"/>
                <w:sz w:val="6"/>
              </w:rPr>
            </w:pPr>
          </w:p>
        </w:tc>
        <w:tc>
          <w:tcPr>
            <w:tcW w:w="831" w:type="dxa"/>
          </w:tcPr>
          <w:p>
            <w:pPr>
              <w:pStyle w:val="TableParagraph"/>
              <w:rPr>
                <w:rFonts w:ascii="Times New Roman"/>
                <w:sz w:val="6"/>
              </w:rPr>
            </w:pPr>
          </w:p>
        </w:tc>
      </w:tr>
      <w:tr>
        <w:trPr>
          <w:trHeight w:val="264" w:hRule="atLeast"/>
        </w:trPr>
        <w:tc>
          <w:tcPr>
            <w:tcW w:w="2095" w:type="dxa"/>
            <w:tcBorders>
              <w:left w:val="single" w:sz="6" w:space="0" w:color="000000"/>
            </w:tcBorders>
          </w:tcPr>
          <w:p>
            <w:pPr>
              <w:pStyle w:val="TableParagraph"/>
              <w:spacing w:line="132" w:lineRule="exact"/>
              <w:ind w:left="55"/>
              <w:rPr>
                <w:sz w:val="11"/>
              </w:rPr>
            </w:pPr>
            <w:r>
              <w:rPr>
                <w:sz w:val="11"/>
              </w:rPr>
              <w:t>Rdo del ejer. Proced. de op. Interrump.</w:t>
            </w:r>
          </w:p>
          <w:p>
            <w:pPr>
              <w:pStyle w:val="TableParagraph"/>
              <w:spacing w:line="112" w:lineRule="exact"/>
              <w:ind w:left="55"/>
              <w:rPr>
                <w:sz w:val="11"/>
              </w:rPr>
            </w:pPr>
            <w:r>
              <w:rPr>
                <w:sz w:val="11"/>
              </w:rPr>
              <w:t>netas de Imp.</w:t>
            </w:r>
          </w:p>
        </w:tc>
        <w:tc>
          <w:tcPr>
            <w:tcW w:w="793" w:type="dxa"/>
          </w:tcPr>
          <w:p>
            <w:pPr>
              <w:pStyle w:val="TableParagraph"/>
              <w:spacing w:before="63"/>
              <w:ind w:right="41"/>
              <w:jc w:val="right"/>
              <w:rPr>
                <w:sz w:val="11"/>
              </w:rPr>
            </w:pPr>
            <w:r>
              <w:rPr>
                <w:w w:val="95"/>
                <w:sz w:val="11"/>
              </w:rPr>
              <w:t>0,00</w:t>
            </w:r>
          </w:p>
        </w:tc>
        <w:tc>
          <w:tcPr>
            <w:tcW w:w="823" w:type="dxa"/>
          </w:tcPr>
          <w:p>
            <w:pPr>
              <w:pStyle w:val="TableParagraph"/>
              <w:spacing w:before="63"/>
              <w:ind w:right="41"/>
              <w:jc w:val="right"/>
              <w:rPr>
                <w:sz w:val="11"/>
              </w:rPr>
            </w:pPr>
            <w:r>
              <w:rPr>
                <w:w w:val="95"/>
                <w:sz w:val="11"/>
              </w:rPr>
              <w:t>0,00</w:t>
            </w:r>
          </w:p>
        </w:tc>
        <w:tc>
          <w:tcPr>
            <w:tcW w:w="808" w:type="dxa"/>
          </w:tcPr>
          <w:p>
            <w:pPr>
              <w:pStyle w:val="TableParagraph"/>
              <w:spacing w:before="63"/>
              <w:ind w:right="40"/>
              <w:jc w:val="right"/>
              <w:rPr>
                <w:sz w:val="11"/>
              </w:rPr>
            </w:pPr>
            <w:r>
              <w:rPr>
                <w:w w:val="95"/>
                <w:sz w:val="11"/>
              </w:rPr>
              <w:t>0,00</w:t>
            </w:r>
          </w:p>
        </w:tc>
        <w:tc>
          <w:tcPr>
            <w:tcW w:w="864" w:type="dxa"/>
          </w:tcPr>
          <w:p>
            <w:pPr>
              <w:pStyle w:val="TableParagraph"/>
              <w:spacing w:before="63"/>
              <w:ind w:right="42"/>
              <w:jc w:val="right"/>
              <w:rPr>
                <w:sz w:val="11"/>
              </w:rPr>
            </w:pPr>
            <w:r>
              <w:rPr>
                <w:w w:val="95"/>
                <w:sz w:val="11"/>
              </w:rPr>
              <w:t>0,00</w:t>
            </w:r>
          </w:p>
        </w:tc>
        <w:tc>
          <w:tcPr>
            <w:tcW w:w="946" w:type="dxa"/>
          </w:tcPr>
          <w:p>
            <w:pPr>
              <w:pStyle w:val="TableParagraph"/>
              <w:spacing w:before="63"/>
              <w:ind w:right="42"/>
              <w:jc w:val="right"/>
              <w:rPr>
                <w:sz w:val="11"/>
              </w:rPr>
            </w:pPr>
            <w:r>
              <w:rPr>
                <w:w w:val="95"/>
                <w:sz w:val="11"/>
              </w:rPr>
              <w:t>0,00</w:t>
            </w:r>
          </w:p>
        </w:tc>
        <w:tc>
          <w:tcPr>
            <w:tcW w:w="776" w:type="dxa"/>
          </w:tcPr>
          <w:p>
            <w:pPr>
              <w:pStyle w:val="TableParagraph"/>
              <w:spacing w:before="63"/>
              <w:ind w:right="42"/>
              <w:jc w:val="right"/>
              <w:rPr>
                <w:sz w:val="11"/>
              </w:rPr>
            </w:pPr>
            <w:r>
              <w:rPr>
                <w:w w:val="95"/>
                <w:sz w:val="11"/>
              </w:rPr>
              <w:t>0,00</w:t>
            </w:r>
          </w:p>
        </w:tc>
        <w:tc>
          <w:tcPr>
            <w:tcW w:w="748" w:type="dxa"/>
          </w:tcPr>
          <w:p>
            <w:pPr>
              <w:pStyle w:val="TableParagraph"/>
              <w:spacing w:before="63"/>
              <w:ind w:right="42"/>
              <w:jc w:val="right"/>
              <w:rPr>
                <w:sz w:val="11"/>
              </w:rPr>
            </w:pPr>
            <w:r>
              <w:rPr>
                <w:w w:val="95"/>
                <w:sz w:val="11"/>
              </w:rPr>
              <w:t>0,00</w:t>
            </w:r>
          </w:p>
        </w:tc>
        <w:tc>
          <w:tcPr>
            <w:tcW w:w="720" w:type="dxa"/>
          </w:tcPr>
          <w:p>
            <w:pPr>
              <w:pStyle w:val="TableParagraph"/>
              <w:spacing w:before="63"/>
              <w:ind w:right="42"/>
              <w:jc w:val="right"/>
              <w:rPr>
                <w:sz w:val="11"/>
              </w:rPr>
            </w:pPr>
            <w:r>
              <w:rPr>
                <w:w w:val="95"/>
                <w:sz w:val="11"/>
              </w:rPr>
              <w:t>0,00</w:t>
            </w:r>
          </w:p>
        </w:tc>
        <w:tc>
          <w:tcPr>
            <w:tcW w:w="881" w:type="dxa"/>
          </w:tcPr>
          <w:p>
            <w:pPr>
              <w:pStyle w:val="TableParagraph"/>
              <w:spacing w:before="63"/>
              <w:ind w:right="45"/>
              <w:jc w:val="right"/>
              <w:rPr>
                <w:sz w:val="11"/>
              </w:rPr>
            </w:pPr>
            <w:r>
              <w:rPr>
                <w:w w:val="95"/>
                <w:sz w:val="11"/>
              </w:rPr>
              <w:t>0,00</w:t>
            </w:r>
          </w:p>
        </w:tc>
        <w:tc>
          <w:tcPr>
            <w:tcW w:w="888" w:type="dxa"/>
          </w:tcPr>
          <w:p>
            <w:pPr>
              <w:pStyle w:val="TableParagraph"/>
              <w:spacing w:before="63"/>
              <w:ind w:right="43"/>
              <w:jc w:val="right"/>
              <w:rPr>
                <w:sz w:val="11"/>
              </w:rPr>
            </w:pPr>
            <w:r>
              <w:rPr>
                <w:w w:val="95"/>
                <w:sz w:val="11"/>
              </w:rPr>
              <w:t>0,00</w:t>
            </w:r>
          </w:p>
        </w:tc>
        <w:tc>
          <w:tcPr>
            <w:tcW w:w="879" w:type="dxa"/>
          </w:tcPr>
          <w:p>
            <w:pPr>
              <w:pStyle w:val="TableParagraph"/>
              <w:spacing w:before="63"/>
              <w:ind w:right="45"/>
              <w:jc w:val="right"/>
              <w:rPr>
                <w:sz w:val="11"/>
              </w:rPr>
            </w:pPr>
            <w:r>
              <w:rPr>
                <w:w w:val="95"/>
                <w:sz w:val="11"/>
              </w:rPr>
              <w:t>0,00</w:t>
            </w:r>
          </w:p>
        </w:tc>
        <w:tc>
          <w:tcPr>
            <w:tcW w:w="831" w:type="dxa"/>
          </w:tcPr>
          <w:p>
            <w:pPr>
              <w:pStyle w:val="TableParagraph"/>
              <w:spacing w:before="63"/>
              <w:ind w:right="42"/>
              <w:jc w:val="right"/>
              <w:rPr>
                <w:sz w:val="11"/>
              </w:rPr>
            </w:pPr>
            <w:r>
              <w:rPr>
                <w:w w:val="95"/>
                <w:sz w:val="11"/>
              </w:rPr>
              <w:t>0,00</w:t>
            </w:r>
          </w:p>
        </w:tc>
      </w:tr>
      <w:tr>
        <w:trPr>
          <w:trHeight w:val="132" w:hRule="atLeast"/>
        </w:trPr>
        <w:tc>
          <w:tcPr>
            <w:tcW w:w="2095" w:type="dxa"/>
            <w:tcBorders>
              <w:left w:val="single" w:sz="2" w:space="0" w:color="000000"/>
            </w:tcBorders>
          </w:tcPr>
          <w:p>
            <w:pPr>
              <w:pStyle w:val="TableParagraph"/>
              <w:spacing w:line="112" w:lineRule="exact"/>
              <w:ind w:left="85"/>
              <w:rPr>
                <w:b/>
                <w:sz w:val="11"/>
              </w:rPr>
            </w:pPr>
            <w:r>
              <w:rPr>
                <w:b/>
                <w:sz w:val="11"/>
              </w:rPr>
              <w:t>RESULTADO DEL EJERCICIO</w:t>
            </w:r>
          </w:p>
        </w:tc>
        <w:tc>
          <w:tcPr>
            <w:tcW w:w="793" w:type="dxa"/>
          </w:tcPr>
          <w:p>
            <w:pPr>
              <w:pStyle w:val="TableParagraph"/>
              <w:spacing w:line="112" w:lineRule="exact"/>
              <w:ind w:right="41"/>
              <w:jc w:val="right"/>
              <w:rPr>
                <w:b/>
                <w:sz w:val="11"/>
              </w:rPr>
            </w:pPr>
            <w:r>
              <w:rPr>
                <w:b/>
                <w:w w:val="95"/>
                <w:sz w:val="11"/>
              </w:rPr>
              <w:t>-2.770.842,10</w:t>
            </w:r>
          </w:p>
        </w:tc>
        <w:tc>
          <w:tcPr>
            <w:tcW w:w="823" w:type="dxa"/>
          </w:tcPr>
          <w:p>
            <w:pPr>
              <w:pStyle w:val="TableParagraph"/>
              <w:spacing w:line="112" w:lineRule="exact"/>
              <w:ind w:right="42"/>
              <w:jc w:val="right"/>
              <w:rPr>
                <w:b/>
                <w:sz w:val="11"/>
              </w:rPr>
            </w:pPr>
            <w:r>
              <w:rPr>
                <w:b/>
                <w:sz w:val="11"/>
              </w:rPr>
              <w:t>-960.742,26</w:t>
            </w:r>
          </w:p>
        </w:tc>
        <w:tc>
          <w:tcPr>
            <w:tcW w:w="808" w:type="dxa"/>
          </w:tcPr>
          <w:p>
            <w:pPr>
              <w:pStyle w:val="TableParagraph"/>
              <w:spacing w:line="112" w:lineRule="exact"/>
              <w:ind w:right="40"/>
              <w:jc w:val="right"/>
              <w:rPr>
                <w:b/>
                <w:sz w:val="11"/>
              </w:rPr>
            </w:pPr>
            <w:r>
              <w:rPr>
                <w:b/>
                <w:w w:val="95"/>
                <w:sz w:val="11"/>
              </w:rPr>
              <w:t>-1.983.629,40</w:t>
            </w:r>
          </w:p>
        </w:tc>
        <w:tc>
          <w:tcPr>
            <w:tcW w:w="864" w:type="dxa"/>
          </w:tcPr>
          <w:p>
            <w:pPr>
              <w:pStyle w:val="TableParagraph"/>
              <w:spacing w:line="112" w:lineRule="exact"/>
              <w:ind w:right="42"/>
              <w:jc w:val="right"/>
              <w:rPr>
                <w:b/>
                <w:sz w:val="11"/>
              </w:rPr>
            </w:pPr>
            <w:r>
              <w:rPr>
                <w:b/>
                <w:w w:val="95"/>
                <w:sz w:val="11"/>
              </w:rPr>
              <w:t>-2.327.888,00</w:t>
            </w:r>
          </w:p>
        </w:tc>
        <w:tc>
          <w:tcPr>
            <w:tcW w:w="946" w:type="dxa"/>
          </w:tcPr>
          <w:p>
            <w:pPr>
              <w:pStyle w:val="TableParagraph"/>
              <w:spacing w:line="112" w:lineRule="exact"/>
              <w:ind w:right="43"/>
              <w:jc w:val="right"/>
              <w:rPr>
                <w:b/>
                <w:sz w:val="11"/>
              </w:rPr>
            </w:pPr>
            <w:r>
              <w:rPr>
                <w:b/>
                <w:w w:val="95"/>
                <w:sz w:val="11"/>
              </w:rPr>
              <w:t>5.099.478,25</w:t>
            </w:r>
          </w:p>
        </w:tc>
        <w:tc>
          <w:tcPr>
            <w:tcW w:w="776" w:type="dxa"/>
          </w:tcPr>
          <w:p>
            <w:pPr>
              <w:pStyle w:val="TableParagraph"/>
              <w:spacing w:line="112" w:lineRule="exact"/>
              <w:ind w:right="43"/>
              <w:jc w:val="right"/>
              <w:rPr>
                <w:b/>
                <w:sz w:val="11"/>
              </w:rPr>
            </w:pPr>
            <w:r>
              <w:rPr>
                <w:b/>
                <w:w w:val="95"/>
                <w:sz w:val="11"/>
              </w:rPr>
              <w:t>-2.346.620,89</w:t>
            </w:r>
          </w:p>
        </w:tc>
        <w:tc>
          <w:tcPr>
            <w:tcW w:w="748" w:type="dxa"/>
          </w:tcPr>
          <w:p>
            <w:pPr>
              <w:pStyle w:val="TableParagraph"/>
              <w:spacing w:line="112" w:lineRule="exact"/>
              <w:ind w:right="43"/>
              <w:jc w:val="right"/>
              <w:rPr>
                <w:b/>
                <w:sz w:val="11"/>
              </w:rPr>
            </w:pPr>
            <w:r>
              <w:rPr>
                <w:b/>
                <w:w w:val="95"/>
                <w:sz w:val="11"/>
              </w:rPr>
              <w:t>-53.276,37</w:t>
            </w:r>
          </w:p>
        </w:tc>
        <w:tc>
          <w:tcPr>
            <w:tcW w:w="720" w:type="dxa"/>
          </w:tcPr>
          <w:p>
            <w:pPr>
              <w:pStyle w:val="TableParagraph"/>
              <w:spacing w:line="112" w:lineRule="exact"/>
              <w:ind w:right="43"/>
              <w:jc w:val="right"/>
              <w:rPr>
                <w:b/>
                <w:sz w:val="11"/>
              </w:rPr>
            </w:pPr>
            <w:r>
              <w:rPr>
                <w:b/>
                <w:sz w:val="11"/>
              </w:rPr>
              <w:t>-699.769,14</w:t>
            </w:r>
          </w:p>
        </w:tc>
        <w:tc>
          <w:tcPr>
            <w:tcW w:w="881" w:type="dxa"/>
          </w:tcPr>
          <w:p>
            <w:pPr>
              <w:pStyle w:val="TableParagraph"/>
              <w:spacing w:line="112" w:lineRule="exact"/>
              <w:ind w:right="46"/>
              <w:jc w:val="right"/>
              <w:rPr>
                <w:b/>
                <w:sz w:val="11"/>
              </w:rPr>
            </w:pPr>
            <w:r>
              <w:rPr>
                <w:b/>
                <w:sz w:val="11"/>
              </w:rPr>
              <w:t>-61.083.231,13</w:t>
            </w:r>
          </w:p>
        </w:tc>
        <w:tc>
          <w:tcPr>
            <w:tcW w:w="888" w:type="dxa"/>
          </w:tcPr>
          <w:p>
            <w:pPr>
              <w:pStyle w:val="TableParagraph"/>
              <w:spacing w:line="112" w:lineRule="exact"/>
              <w:ind w:right="43"/>
              <w:jc w:val="right"/>
              <w:rPr>
                <w:b/>
                <w:sz w:val="11"/>
              </w:rPr>
            </w:pPr>
            <w:r>
              <w:rPr>
                <w:b/>
                <w:w w:val="95"/>
                <w:sz w:val="11"/>
              </w:rPr>
              <w:t>4.428.399,43</w:t>
            </w:r>
          </w:p>
        </w:tc>
        <w:tc>
          <w:tcPr>
            <w:tcW w:w="879" w:type="dxa"/>
          </w:tcPr>
          <w:p>
            <w:pPr>
              <w:pStyle w:val="TableParagraph"/>
              <w:spacing w:line="112" w:lineRule="exact"/>
              <w:ind w:right="44"/>
              <w:jc w:val="right"/>
              <w:rPr>
                <w:b/>
                <w:sz w:val="11"/>
              </w:rPr>
            </w:pPr>
            <w:r>
              <w:rPr>
                <w:b/>
                <w:sz w:val="11"/>
              </w:rPr>
              <w:t>-70.501.423,10</w:t>
            </w:r>
          </w:p>
        </w:tc>
        <w:tc>
          <w:tcPr>
            <w:tcW w:w="831" w:type="dxa"/>
          </w:tcPr>
          <w:p>
            <w:pPr>
              <w:pStyle w:val="TableParagraph"/>
              <w:spacing w:line="112" w:lineRule="exact"/>
              <w:ind w:right="43"/>
              <w:jc w:val="right"/>
              <w:rPr>
                <w:b/>
                <w:sz w:val="11"/>
              </w:rPr>
            </w:pPr>
            <w:r>
              <w:rPr>
                <w:b/>
                <w:sz w:val="11"/>
              </w:rPr>
              <w:t>-70.501.423,10</w:t>
            </w:r>
          </w:p>
        </w:tc>
      </w:tr>
    </w:tbl>
    <w:p>
      <w:pPr>
        <w:spacing w:before="114"/>
        <w:ind w:left="11517" w:right="1354" w:firstLine="0"/>
        <w:jc w:val="center"/>
        <w:rPr>
          <w:sz w:val="18"/>
        </w:rPr>
      </w:pPr>
      <w:r>
        <w:rPr>
          <w:w w:val="105"/>
          <w:sz w:val="18"/>
        </w:rPr>
        <w:t>197</w:t>
      </w:r>
    </w:p>
    <w:p>
      <w:pPr>
        <w:spacing w:before="9"/>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27" name="image5.png"/>
                  <wp:cNvGraphicFramePr>
                    <a:graphicFrameLocks noChangeAspect="1"/>
                  </wp:cNvGraphicFramePr>
                  <a:graphic>
                    <a:graphicData uri="http://schemas.openxmlformats.org/drawingml/2006/picture">
                      <pic:pic>
                        <pic:nvPicPr>
                          <pic:cNvPr id="42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199/247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spacing w:before="111"/>
        <w:ind w:left="2699" w:right="0" w:firstLine="0"/>
        <w:jc w:val="left"/>
        <w:rPr>
          <w:b/>
          <w:sz w:val="18"/>
        </w:rPr>
      </w:pPr>
      <w:r>
        <w:rPr>
          <w:b/>
          <w:color w:val="53A1B9"/>
          <w:w w:val="105"/>
          <w:sz w:val="18"/>
        </w:rPr>
        <w:t>10.15 Anexo XV. Balance de situación por fundaciones.</w:t>
      </w:r>
    </w:p>
    <w:p>
      <w:pPr>
        <w:pStyle w:val="BodyText"/>
        <w:spacing w:before="10"/>
        <w:rPr>
          <w:b/>
          <w:sz w:val="7"/>
        </w:rPr>
      </w:pPr>
    </w:p>
    <w:tbl>
      <w:tblPr>
        <w:tblW w:w="0" w:type="auto"/>
        <w:jc w:val="left"/>
        <w:tblInd w:w="2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12"/>
        <w:gridCol w:w="993"/>
        <w:gridCol w:w="771"/>
        <w:gridCol w:w="883"/>
        <w:gridCol w:w="881"/>
        <w:gridCol w:w="839"/>
        <w:gridCol w:w="816"/>
        <w:gridCol w:w="883"/>
        <w:gridCol w:w="991"/>
      </w:tblGrid>
      <w:tr>
        <w:trPr>
          <w:trHeight w:val="303" w:hRule="atLeast"/>
        </w:trPr>
        <w:tc>
          <w:tcPr>
            <w:tcW w:w="3412" w:type="dxa"/>
            <w:tcBorders>
              <w:left w:val="single" w:sz="4" w:space="0" w:color="000000"/>
              <w:right w:val="single" w:sz="4" w:space="0" w:color="000000"/>
            </w:tcBorders>
            <w:shd w:val="clear" w:color="auto" w:fill="DEEAF6"/>
          </w:tcPr>
          <w:p>
            <w:pPr>
              <w:pStyle w:val="TableParagraph"/>
              <w:spacing w:before="79"/>
              <w:ind w:left="1491" w:right="1472"/>
              <w:jc w:val="center"/>
              <w:rPr>
                <w:b/>
                <w:sz w:val="12"/>
              </w:rPr>
            </w:pPr>
            <w:r>
              <w:rPr>
                <w:b/>
                <w:w w:val="105"/>
                <w:sz w:val="12"/>
              </w:rPr>
              <w:t>ACTIVO</w:t>
            </w:r>
          </w:p>
        </w:tc>
        <w:tc>
          <w:tcPr>
            <w:tcW w:w="993" w:type="dxa"/>
            <w:tcBorders>
              <w:left w:val="single" w:sz="4" w:space="0" w:color="000000"/>
              <w:right w:val="single" w:sz="4" w:space="0" w:color="000000"/>
            </w:tcBorders>
            <w:shd w:val="clear" w:color="auto" w:fill="DEEAF6"/>
          </w:tcPr>
          <w:p>
            <w:pPr>
              <w:pStyle w:val="TableParagraph"/>
              <w:spacing w:before="79"/>
              <w:ind w:left="283"/>
              <w:rPr>
                <w:b/>
                <w:sz w:val="12"/>
              </w:rPr>
            </w:pPr>
            <w:r>
              <w:rPr>
                <w:b/>
                <w:w w:val="105"/>
                <w:sz w:val="12"/>
              </w:rPr>
              <w:t>LENGUA</w:t>
            </w:r>
          </w:p>
        </w:tc>
        <w:tc>
          <w:tcPr>
            <w:tcW w:w="771" w:type="dxa"/>
            <w:tcBorders>
              <w:left w:val="single" w:sz="4" w:space="0" w:color="000000"/>
              <w:right w:val="single" w:sz="4" w:space="0" w:color="000000"/>
            </w:tcBorders>
            <w:shd w:val="clear" w:color="auto" w:fill="DEEAF6"/>
          </w:tcPr>
          <w:p>
            <w:pPr>
              <w:pStyle w:val="TableParagraph"/>
              <w:spacing w:before="79"/>
              <w:ind w:left="182"/>
              <w:rPr>
                <w:b/>
                <w:sz w:val="12"/>
              </w:rPr>
            </w:pPr>
            <w:r>
              <w:rPr>
                <w:b/>
                <w:w w:val="105"/>
                <w:sz w:val="12"/>
              </w:rPr>
              <w:t>FUCAEX</w:t>
            </w:r>
          </w:p>
        </w:tc>
        <w:tc>
          <w:tcPr>
            <w:tcW w:w="883" w:type="dxa"/>
            <w:tcBorders>
              <w:left w:val="single" w:sz="4" w:space="0" w:color="000000"/>
              <w:right w:val="single" w:sz="4" w:space="0" w:color="000000"/>
            </w:tcBorders>
            <w:shd w:val="clear" w:color="auto" w:fill="DEEAF6"/>
          </w:tcPr>
          <w:p>
            <w:pPr>
              <w:pStyle w:val="TableParagraph"/>
              <w:spacing w:before="79"/>
              <w:ind w:left="293" w:right="280"/>
              <w:jc w:val="center"/>
              <w:rPr>
                <w:b/>
                <w:sz w:val="12"/>
              </w:rPr>
            </w:pPr>
            <w:r>
              <w:rPr>
                <w:b/>
                <w:w w:val="105"/>
                <w:sz w:val="12"/>
              </w:rPr>
              <w:t>IDEO</w:t>
            </w:r>
          </w:p>
        </w:tc>
        <w:tc>
          <w:tcPr>
            <w:tcW w:w="881" w:type="dxa"/>
            <w:tcBorders>
              <w:left w:val="single" w:sz="4" w:space="0" w:color="000000"/>
              <w:right w:val="single" w:sz="4" w:space="0" w:color="000000"/>
            </w:tcBorders>
            <w:shd w:val="clear" w:color="auto" w:fill="DEEAF6"/>
          </w:tcPr>
          <w:p>
            <w:pPr>
              <w:pStyle w:val="TableParagraph"/>
              <w:spacing w:before="79"/>
              <w:ind w:left="154"/>
              <w:rPr>
                <w:b/>
                <w:sz w:val="12"/>
              </w:rPr>
            </w:pPr>
            <w:r>
              <w:rPr>
                <w:b/>
                <w:w w:val="105"/>
                <w:sz w:val="12"/>
              </w:rPr>
              <w:t>FUNCATRA</w:t>
            </w:r>
          </w:p>
        </w:tc>
        <w:tc>
          <w:tcPr>
            <w:tcW w:w="839" w:type="dxa"/>
            <w:tcBorders>
              <w:left w:val="single" w:sz="4" w:space="0" w:color="000000"/>
              <w:right w:val="single" w:sz="4" w:space="0" w:color="000000"/>
            </w:tcBorders>
            <w:shd w:val="clear" w:color="auto" w:fill="DEEAF6"/>
          </w:tcPr>
          <w:p>
            <w:pPr>
              <w:pStyle w:val="TableParagraph"/>
              <w:spacing w:before="79"/>
              <w:ind w:left="270" w:right="259"/>
              <w:jc w:val="center"/>
              <w:rPr>
                <w:b/>
                <w:sz w:val="12"/>
              </w:rPr>
            </w:pPr>
            <w:r>
              <w:rPr>
                <w:b/>
                <w:w w:val="105"/>
                <w:sz w:val="12"/>
              </w:rPr>
              <w:t>FIISC</w:t>
            </w:r>
          </w:p>
        </w:tc>
        <w:tc>
          <w:tcPr>
            <w:tcW w:w="816" w:type="dxa"/>
            <w:tcBorders>
              <w:left w:val="single" w:sz="4" w:space="0" w:color="000000"/>
              <w:right w:val="single" w:sz="4" w:space="0" w:color="000000"/>
            </w:tcBorders>
            <w:shd w:val="clear" w:color="auto" w:fill="DEEAF6"/>
          </w:tcPr>
          <w:p>
            <w:pPr>
              <w:pStyle w:val="TableParagraph"/>
              <w:spacing w:before="3"/>
              <w:ind w:left="208"/>
              <w:rPr>
                <w:b/>
                <w:sz w:val="12"/>
              </w:rPr>
            </w:pPr>
            <w:r>
              <w:rPr>
                <w:b/>
                <w:w w:val="105"/>
                <w:sz w:val="12"/>
              </w:rPr>
              <w:t>MUSEO</w:t>
            </w:r>
          </w:p>
          <w:p>
            <w:pPr>
              <w:pStyle w:val="TableParagraph"/>
              <w:spacing w:line="130" w:lineRule="exact" w:before="4"/>
              <w:ind w:left="244"/>
              <w:rPr>
                <w:b/>
                <w:sz w:val="12"/>
              </w:rPr>
            </w:pPr>
            <w:r>
              <w:rPr>
                <w:b/>
                <w:w w:val="105"/>
                <w:sz w:val="12"/>
              </w:rPr>
              <w:t>ELDER</w:t>
            </w:r>
          </w:p>
        </w:tc>
        <w:tc>
          <w:tcPr>
            <w:tcW w:w="883" w:type="dxa"/>
            <w:tcBorders>
              <w:left w:val="single" w:sz="4" w:space="0" w:color="000000"/>
            </w:tcBorders>
            <w:shd w:val="clear" w:color="auto" w:fill="DEEAF6"/>
          </w:tcPr>
          <w:p>
            <w:pPr>
              <w:pStyle w:val="TableParagraph"/>
              <w:spacing w:before="3"/>
              <w:ind w:left="234"/>
              <w:rPr>
                <w:b/>
                <w:sz w:val="12"/>
              </w:rPr>
            </w:pPr>
            <w:r>
              <w:rPr>
                <w:b/>
                <w:w w:val="105"/>
                <w:sz w:val="12"/>
              </w:rPr>
              <w:t>ACCION</w:t>
            </w:r>
          </w:p>
          <w:p>
            <w:pPr>
              <w:pStyle w:val="TableParagraph"/>
              <w:spacing w:line="130" w:lineRule="exact" w:before="4"/>
              <w:ind w:left="254"/>
              <w:rPr>
                <w:b/>
                <w:sz w:val="12"/>
              </w:rPr>
            </w:pPr>
            <w:r>
              <w:rPr>
                <w:b/>
                <w:w w:val="105"/>
                <w:sz w:val="12"/>
              </w:rPr>
              <w:t>SOCIAL</w:t>
            </w:r>
          </w:p>
        </w:tc>
        <w:tc>
          <w:tcPr>
            <w:tcW w:w="991" w:type="dxa"/>
            <w:shd w:val="clear" w:color="auto" w:fill="DEEAF6"/>
          </w:tcPr>
          <w:p>
            <w:pPr>
              <w:pStyle w:val="TableParagraph"/>
              <w:spacing w:before="79"/>
              <w:ind w:left="187"/>
              <w:rPr>
                <w:b/>
                <w:sz w:val="12"/>
              </w:rPr>
            </w:pPr>
            <w:r>
              <w:rPr>
                <w:b/>
                <w:w w:val="105"/>
                <w:sz w:val="12"/>
              </w:rPr>
              <w:t>AGREGADO</w:t>
            </w:r>
          </w:p>
        </w:tc>
      </w:tr>
      <w:tr>
        <w:trPr>
          <w:trHeight w:val="210" w:hRule="atLeast"/>
        </w:trPr>
        <w:tc>
          <w:tcPr>
            <w:tcW w:w="3412" w:type="dxa"/>
            <w:tcBorders>
              <w:right w:val="single" w:sz="4" w:space="0" w:color="000000"/>
            </w:tcBorders>
          </w:tcPr>
          <w:p>
            <w:pPr>
              <w:pStyle w:val="TableParagraph"/>
              <w:spacing w:line="130" w:lineRule="exact" w:before="61"/>
              <w:ind w:left="55"/>
              <w:rPr>
                <w:b/>
                <w:sz w:val="12"/>
              </w:rPr>
            </w:pPr>
            <w:r>
              <w:rPr>
                <w:b/>
                <w:w w:val="105"/>
                <w:sz w:val="12"/>
              </w:rPr>
              <w:t>ACTIVO NO CORRIENTE</w:t>
            </w:r>
          </w:p>
        </w:tc>
        <w:tc>
          <w:tcPr>
            <w:tcW w:w="993" w:type="dxa"/>
            <w:tcBorders>
              <w:left w:val="single" w:sz="4" w:space="0" w:color="000000"/>
              <w:right w:val="single" w:sz="4" w:space="0" w:color="000000"/>
            </w:tcBorders>
          </w:tcPr>
          <w:p>
            <w:pPr>
              <w:pStyle w:val="TableParagraph"/>
              <w:spacing w:before="33"/>
              <w:ind w:right="39"/>
              <w:jc w:val="right"/>
              <w:rPr>
                <w:b/>
                <w:sz w:val="12"/>
              </w:rPr>
            </w:pPr>
            <w:r>
              <w:rPr>
                <w:b/>
                <w:w w:val="105"/>
                <w:sz w:val="12"/>
              </w:rPr>
              <w:t>17.822,54</w:t>
            </w:r>
          </w:p>
        </w:tc>
        <w:tc>
          <w:tcPr>
            <w:tcW w:w="771" w:type="dxa"/>
            <w:tcBorders>
              <w:left w:val="single" w:sz="4" w:space="0" w:color="000000"/>
              <w:right w:val="single" w:sz="4" w:space="0" w:color="000000"/>
            </w:tcBorders>
          </w:tcPr>
          <w:p>
            <w:pPr>
              <w:pStyle w:val="TableParagraph"/>
              <w:spacing w:before="33"/>
              <w:ind w:left="210"/>
              <w:rPr>
                <w:b/>
                <w:sz w:val="12"/>
              </w:rPr>
            </w:pPr>
            <w:r>
              <w:rPr>
                <w:b/>
                <w:w w:val="105"/>
                <w:sz w:val="12"/>
              </w:rPr>
              <w:t>75.803,73</w:t>
            </w:r>
          </w:p>
        </w:tc>
        <w:tc>
          <w:tcPr>
            <w:tcW w:w="883" w:type="dxa"/>
            <w:tcBorders>
              <w:left w:val="single" w:sz="4" w:space="0" w:color="000000"/>
              <w:right w:val="single" w:sz="4" w:space="0" w:color="000000"/>
            </w:tcBorders>
          </w:tcPr>
          <w:p>
            <w:pPr>
              <w:pStyle w:val="TableParagraph"/>
              <w:spacing w:before="33"/>
              <w:ind w:right="40"/>
              <w:jc w:val="right"/>
              <w:rPr>
                <w:b/>
                <w:sz w:val="12"/>
              </w:rPr>
            </w:pPr>
            <w:r>
              <w:rPr>
                <w:b/>
                <w:w w:val="105"/>
                <w:sz w:val="12"/>
              </w:rPr>
              <w:t>197.018,78</w:t>
            </w:r>
          </w:p>
        </w:tc>
        <w:tc>
          <w:tcPr>
            <w:tcW w:w="881" w:type="dxa"/>
            <w:tcBorders>
              <w:left w:val="single" w:sz="4" w:space="0" w:color="000000"/>
              <w:right w:val="single" w:sz="4" w:space="0" w:color="000000"/>
            </w:tcBorders>
          </w:tcPr>
          <w:p>
            <w:pPr>
              <w:pStyle w:val="TableParagraph"/>
              <w:spacing w:before="33"/>
              <w:ind w:right="41"/>
              <w:jc w:val="right"/>
              <w:rPr>
                <w:b/>
                <w:sz w:val="12"/>
              </w:rPr>
            </w:pPr>
            <w:r>
              <w:rPr>
                <w:b/>
                <w:w w:val="105"/>
                <w:sz w:val="12"/>
              </w:rPr>
              <w:t>96.062,25</w:t>
            </w:r>
          </w:p>
        </w:tc>
        <w:tc>
          <w:tcPr>
            <w:tcW w:w="839" w:type="dxa"/>
            <w:tcBorders>
              <w:left w:val="single" w:sz="4" w:space="0" w:color="000000"/>
              <w:right w:val="single" w:sz="4" w:space="0" w:color="000000"/>
            </w:tcBorders>
          </w:tcPr>
          <w:p>
            <w:pPr>
              <w:pStyle w:val="TableParagraph"/>
              <w:spacing w:before="33"/>
              <w:ind w:right="40"/>
              <w:jc w:val="right"/>
              <w:rPr>
                <w:b/>
                <w:sz w:val="12"/>
              </w:rPr>
            </w:pPr>
            <w:r>
              <w:rPr>
                <w:b/>
                <w:w w:val="105"/>
                <w:sz w:val="12"/>
              </w:rPr>
              <w:t>34.276,00</w:t>
            </w:r>
          </w:p>
        </w:tc>
        <w:tc>
          <w:tcPr>
            <w:tcW w:w="816" w:type="dxa"/>
            <w:tcBorders>
              <w:left w:val="single" w:sz="4" w:space="0" w:color="000000"/>
              <w:right w:val="single" w:sz="4" w:space="0" w:color="000000"/>
            </w:tcBorders>
          </w:tcPr>
          <w:p>
            <w:pPr>
              <w:pStyle w:val="TableParagraph"/>
              <w:spacing w:before="33"/>
              <w:ind w:right="43"/>
              <w:jc w:val="right"/>
              <w:rPr>
                <w:b/>
                <w:sz w:val="12"/>
              </w:rPr>
            </w:pPr>
            <w:r>
              <w:rPr>
                <w:b/>
                <w:w w:val="105"/>
                <w:sz w:val="12"/>
              </w:rPr>
              <w:t>2.132.563,61</w:t>
            </w:r>
          </w:p>
        </w:tc>
        <w:tc>
          <w:tcPr>
            <w:tcW w:w="883" w:type="dxa"/>
            <w:tcBorders>
              <w:left w:val="single" w:sz="4" w:space="0" w:color="000000"/>
              <w:right w:val="single" w:sz="4" w:space="0" w:color="000000"/>
            </w:tcBorders>
          </w:tcPr>
          <w:p>
            <w:pPr>
              <w:pStyle w:val="TableParagraph"/>
              <w:spacing w:before="33"/>
              <w:ind w:right="44"/>
              <w:jc w:val="right"/>
              <w:rPr>
                <w:b/>
                <w:sz w:val="12"/>
              </w:rPr>
            </w:pPr>
            <w:r>
              <w:rPr>
                <w:b/>
                <w:w w:val="105"/>
                <w:sz w:val="12"/>
              </w:rPr>
              <w:t>924.873,36</w:t>
            </w:r>
          </w:p>
        </w:tc>
        <w:tc>
          <w:tcPr>
            <w:tcW w:w="991" w:type="dxa"/>
            <w:tcBorders>
              <w:left w:val="single" w:sz="4" w:space="0" w:color="000000"/>
            </w:tcBorders>
          </w:tcPr>
          <w:p>
            <w:pPr>
              <w:pStyle w:val="TableParagraph"/>
              <w:spacing w:before="33"/>
              <w:ind w:right="42"/>
              <w:jc w:val="right"/>
              <w:rPr>
                <w:b/>
                <w:sz w:val="12"/>
              </w:rPr>
            </w:pPr>
            <w:r>
              <w:rPr>
                <w:b/>
                <w:w w:val="105"/>
                <w:sz w:val="12"/>
              </w:rPr>
              <w:t>3.478.420,27</w:t>
            </w:r>
          </w:p>
        </w:tc>
      </w:tr>
      <w:tr>
        <w:trPr>
          <w:trHeight w:val="804" w:hRule="atLeast"/>
        </w:trPr>
        <w:tc>
          <w:tcPr>
            <w:tcW w:w="3412" w:type="dxa"/>
            <w:tcBorders>
              <w:right w:val="single" w:sz="4" w:space="0" w:color="000000"/>
            </w:tcBorders>
          </w:tcPr>
          <w:p>
            <w:pPr>
              <w:pStyle w:val="TableParagraph"/>
              <w:spacing w:line="326" w:lineRule="auto" w:before="25"/>
              <w:ind w:left="55" w:right="1708"/>
              <w:rPr>
                <w:sz w:val="12"/>
              </w:rPr>
            </w:pPr>
            <w:r>
              <w:rPr>
                <w:w w:val="105"/>
                <w:sz w:val="12"/>
              </w:rPr>
              <w:t>Inmovilizado intangible Inmovilizado material</w:t>
            </w:r>
          </w:p>
          <w:p>
            <w:pPr>
              <w:pStyle w:val="TableParagraph"/>
              <w:spacing w:line="146" w:lineRule="exact"/>
              <w:ind w:left="55"/>
              <w:rPr>
                <w:sz w:val="12"/>
              </w:rPr>
            </w:pPr>
            <w:r>
              <w:rPr>
                <w:w w:val="105"/>
                <w:sz w:val="12"/>
              </w:rPr>
              <w:t>Inversiones financieras a largo plazo</w:t>
            </w:r>
          </w:p>
          <w:p>
            <w:pPr>
              <w:pStyle w:val="TableParagraph"/>
              <w:spacing w:before="57"/>
              <w:ind w:left="55"/>
              <w:rPr>
                <w:b/>
                <w:sz w:val="12"/>
              </w:rPr>
            </w:pPr>
            <w:r>
              <w:rPr>
                <w:b/>
                <w:w w:val="105"/>
                <w:sz w:val="12"/>
              </w:rPr>
              <w:t>ACTIVO CORRIENTE</w:t>
            </w:r>
          </w:p>
        </w:tc>
        <w:tc>
          <w:tcPr>
            <w:tcW w:w="993" w:type="dxa"/>
            <w:tcBorders>
              <w:left w:val="single" w:sz="4" w:space="0" w:color="000000"/>
              <w:right w:val="single" w:sz="4" w:space="0" w:color="000000"/>
            </w:tcBorders>
          </w:tcPr>
          <w:p>
            <w:pPr>
              <w:pStyle w:val="TableParagraph"/>
              <w:spacing w:before="25"/>
              <w:ind w:left="436"/>
              <w:rPr>
                <w:sz w:val="12"/>
              </w:rPr>
            </w:pPr>
            <w:r>
              <w:rPr>
                <w:w w:val="105"/>
                <w:sz w:val="12"/>
              </w:rPr>
              <w:t>12.024,99</w:t>
            </w:r>
          </w:p>
          <w:p>
            <w:pPr>
              <w:pStyle w:val="TableParagraph"/>
              <w:spacing w:before="53"/>
              <w:ind w:left="500"/>
              <w:rPr>
                <w:sz w:val="12"/>
              </w:rPr>
            </w:pPr>
            <w:r>
              <w:rPr>
                <w:w w:val="105"/>
                <w:sz w:val="12"/>
              </w:rPr>
              <w:t>5.797,55</w:t>
            </w:r>
          </w:p>
          <w:p>
            <w:pPr>
              <w:pStyle w:val="TableParagraph"/>
              <w:rPr>
                <w:b/>
                <w:sz w:val="12"/>
              </w:rPr>
            </w:pPr>
          </w:p>
          <w:p>
            <w:pPr>
              <w:pStyle w:val="TableParagraph"/>
              <w:spacing w:before="11"/>
              <w:rPr>
                <w:b/>
                <w:sz w:val="8"/>
              </w:rPr>
            </w:pPr>
          </w:p>
          <w:p>
            <w:pPr>
              <w:pStyle w:val="TableParagraph"/>
              <w:ind w:left="371"/>
              <w:rPr>
                <w:b/>
                <w:sz w:val="12"/>
              </w:rPr>
            </w:pPr>
            <w:r>
              <w:rPr>
                <w:b/>
                <w:w w:val="105"/>
                <w:sz w:val="12"/>
              </w:rPr>
              <w:t>262.594,97</w:t>
            </w:r>
          </w:p>
        </w:tc>
        <w:tc>
          <w:tcPr>
            <w:tcW w:w="771" w:type="dxa"/>
            <w:tcBorders>
              <w:left w:val="single" w:sz="4" w:space="0" w:color="000000"/>
              <w:right w:val="single" w:sz="4" w:space="0" w:color="000000"/>
            </w:tcBorders>
          </w:tcPr>
          <w:p>
            <w:pPr>
              <w:pStyle w:val="TableParagraph"/>
              <w:rPr>
                <w:b/>
                <w:sz w:val="12"/>
              </w:rPr>
            </w:pPr>
          </w:p>
          <w:p>
            <w:pPr>
              <w:pStyle w:val="TableParagraph"/>
              <w:spacing w:before="78"/>
              <w:ind w:left="213"/>
              <w:rPr>
                <w:sz w:val="12"/>
              </w:rPr>
            </w:pPr>
            <w:r>
              <w:rPr>
                <w:w w:val="105"/>
                <w:sz w:val="12"/>
              </w:rPr>
              <w:t>75.803,73</w:t>
            </w:r>
          </w:p>
          <w:p>
            <w:pPr>
              <w:pStyle w:val="TableParagraph"/>
              <w:rPr>
                <w:b/>
                <w:sz w:val="12"/>
              </w:rPr>
            </w:pPr>
          </w:p>
          <w:p>
            <w:pPr>
              <w:pStyle w:val="TableParagraph"/>
              <w:spacing w:before="11"/>
              <w:rPr>
                <w:b/>
                <w:sz w:val="8"/>
              </w:rPr>
            </w:pPr>
          </w:p>
          <w:p>
            <w:pPr>
              <w:pStyle w:val="TableParagraph"/>
              <w:ind w:left="148"/>
              <w:rPr>
                <w:b/>
                <w:sz w:val="12"/>
              </w:rPr>
            </w:pPr>
            <w:r>
              <w:rPr>
                <w:b/>
                <w:w w:val="105"/>
                <w:sz w:val="12"/>
              </w:rPr>
              <w:t>463.506,44</w:t>
            </w:r>
          </w:p>
        </w:tc>
        <w:tc>
          <w:tcPr>
            <w:tcW w:w="883" w:type="dxa"/>
            <w:tcBorders>
              <w:left w:val="single" w:sz="4" w:space="0" w:color="000000"/>
              <w:right w:val="single" w:sz="4" w:space="0" w:color="000000"/>
            </w:tcBorders>
          </w:tcPr>
          <w:p>
            <w:pPr>
              <w:pStyle w:val="TableParagraph"/>
              <w:spacing w:before="25"/>
              <w:ind w:left="261"/>
              <w:rPr>
                <w:sz w:val="12"/>
              </w:rPr>
            </w:pPr>
            <w:r>
              <w:rPr>
                <w:w w:val="105"/>
                <w:sz w:val="12"/>
              </w:rPr>
              <w:t>102.654,59</w:t>
            </w:r>
          </w:p>
          <w:p>
            <w:pPr>
              <w:pStyle w:val="TableParagraph"/>
              <w:spacing w:before="53"/>
              <w:ind w:left="325"/>
              <w:rPr>
                <w:sz w:val="12"/>
              </w:rPr>
            </w:pPr>
            <w:r>
              <w:rPr>
                <w:w w:val="105"/>
                <w:sz w:val="12"/>
              </w:rPr>
              <w:t>57.134,30</w:t>
            </w:r>
          </w:p>
          <w:p>
            <w:pPr>
              <w:pStyle w:val="TableParagraph"/>
              <w:spacing w:before="52"/>
              <w:ind w:left="325"/>
              <w:rPr>
                <w:sz w:val="12"/>
              </w:rPr>
            </w:pPr>
            <w:r>
              <w:rPr>
                <w:w w:val="105"/>
                <w:sz w:val="12"/>
              </w:rPr>
              <w:t>37.229,89</w:t>
            </w:r>
          </w:p>
          <w:p>
            <w:pPr>
              <w:pStyle w:val="TableParagraph"/>
              <w:spacing w:before="57"/>
              <w:ind w:left="163"/>
              <w:rPr>
                <w:b/>
                <w:sz w:val="12"/>
              </w:rPr>
            </w:pPr>
            <w:r>
              <w:rPr>
                <w:b/>
                <w:w w:val="105"/>
                <w:sz w:val="12"/>
              </w:rPr>
              <w:t>2.167.498,52</w:t>
            </w:r>
          </w:p>
        </w:tc>
        <w:tc>
          <w:tcPr>
            <w:tcW w:w="881" w:type="dxa"/>
            <w:tcBorders>
              <w:left w:val="single" w:sz="4" w:space="0" w:color="000000"/>
              <w:right w:val="single" w:sz="4" w:space="0" w:color="000000"/>
            </w:tcBorders>
          </w:tcPr>
          <w:p>
            <w:pPr>
              <w:pStyle w:val="TableParagraph"/>
              <w:spacing w:before="25"/>
              <w:ind w:right="41"/>
              <w:jc w:val="right"/>
              <w:rPr>
                <w:sz w:val="12"/>
              </w:rPr>
            </w:pPr>
            <w:r>
              <w:rPr>
                <w:spacing w:val="-1"/>
                <w:w w:val="105"/>
                <w:sz w:val="12"/>
              </w:rPr>
              <w:t>38.942,60</w:t>
            </w:r>
          </w:p>
          <w:p>
            <w:pPr>
              <w:pStyle w:val="TableParagraph"/>
              <w:spacing w:before="53"/>
              <w:ind w:right="41"/>
              <w:jc w:val="right"/>
              <w:rPr>
                <w:sz w:val="12"/>
              </w:rPr>
            </w:pPr>
            <w:r>
              <w:rPr>
                <w:spacing w:val="-1"/>
                <w:w w:val="105"/>
                <w:sz w:val="12"/>
              </w:rPr>
              <w:t>44.294,71</w:t>
            </w:r>
          </w:p>
          <w:p>
            <w:pPr>
              <w:pStyle w:val="TableParagraph"/>
              <w:spacing w:before="52"/>
              <w:ind w:right="41"/>
              <w:jc w:val="right"/>
              <w:rPr>
                <w:sz w:val="12"/>
              </w:rPr>
            </w:pPr>
            <w:r>
              <w:rPr>
                <w:spacing w:val="-1"/>
                <w:w w:val="105"/>
                <w:sz w:val="12"/>
              </w:rPr>
              <w:t>12.824,94</w:t>
            </w:r>
          </w:p>
          <w:p>
            <w:pPr>
              <w:pStyle w:val="TableParagraph"/>
              <w:spacing w:before="57"/>
              <w:ind w:right="41"/>
              <w:jc w:val="right"/>
              <w:rPr>
                <w:b/>
                <w:sz w:val="12"/>
              </w:rPr>
            </w:pPr>
            <w:r>
              <w:rPr>
                <w:b/>
                <w:spacing w:val="-1"/>
                <w:w w:val="105"/>
                <w:sz w:val="12"/>
              </w:rPr>
              <w:t>6.764.160,78</w:t>
            </w:r>
          </w:p>
        </w:tc>
        <w:tc>
          <w:tcPr>
            <w:tcW w:w="839" w:type="dxa"/>
            <w:tcBorders>
              <w:left w:val="single" w:sz="4" w:space="0" w:color="000000"/>
              <w:right w:val="single" w:sz="4" w:space="0" w:color="000000"/>
            </w:tcBorders>
          </w:tcPr>
          <w:p>
            <w:pPr>
              <w:pStyle w:val="TableParagraph"/>
              <w:spacing w:before="25"/>
              <w:ind w:left="280"/>
              <w:rPr>
                <w:sz w:val="12"/>
              </w:rPr>
            </w:pPr>
            <w:r>
              <w:rPr>
                <w:w w:val="105"/>
                <w:sz w:val="12"/>
              </w:rPr>
              <w:t>18.446,00</w:t>
            </w:r>
          </w:p>
          <w:p>
            <w:pPr>
              <w:pStyle w:val="TableParagraph"/>
              <w:spacing w:before="53"/>
              <w:ind w:left="280"/>
              <w:rPr>
                <w:sz w:val="12"/>
              </w:rPr>
            </w:pPr>
            <w:r>
              <w:rPr>
                <w:w w:val="105"/>
                <w:sz w:val="12"/>
              </w:rPr>
              <w:t>15.830,00</w:t>
            </w:r>
          </w:p>
          <w:p>
            <w:pPr>
              <w:pStyle w:val="TableParagraph"/>
              <w:rPr>
                <w:b/>
                <w:sz w:val="12"/>
              </w:rPr>
            </w:pPr>
          </w:p>
          <w:p>
            <w:pPr>
              <w:pStyle w:val="TableParagraph"/>
              <w:spacing w:before="11"/>
              <w:rPr>
                <w:b/>
                <w:sz w:val="8"/>
              </w:rPr>
            </w:pPr>
          </w:p>
          <w:p>
            <w:pPr>
              <w:pStyle w:val="TableParagraph"/>
              <w:ind w:left="55"/>
              <w:rPr>
                <w:b/>
                <w:sz w:val="12"/>
              </w:rPr>
            </w:pPr>
            <w:r>
              <w:rPr>
                <w:b/>
                <w:w w:val="105"/>
                <w:sz w:val="12"/>
              </w:rPr>
              <w:t>19.268.999,00</w:t>
            </w:r>
          </w:p>
        </w:tc>
        <w:tc>
          <w:tcPr>
            <w:tcW w:w="816" w:type="dxa"/>
            <w:tcBorders>
              <w:left w:val="single" w:sz="4" w:space="0" w:color="000000"/>
              <w:right w:val="single" w:sz="4" w:space="0" w:color="000000"/>
            </w:tcBorders>
          </w:tcPr>
          <w:p>
            <w:pPr>
              <w:pStyle w:val="TableParagraph"/>
              <w:spacing w:before="25"/>
              <w:ind w:right="43"/>
              <w:jc w:val="right"/>
              <w:rPr>
                <w:sz w:val="12"/>
              </w:rPr>
            </w:pPr>
            <w:r>
              <w:rPr>
                <w:spacing w:val="-1"/>
                <w:w w:val="105"/>
                <w:sz w:val="12"/>
              </w:rPr>
              <w:t>13.545,83</w:t>
            </w:r>
          </w:p>
          <w:p>
            <w:pPr>
              <w:pStyle w:val="TableParagraph"/>
              <w:spacing w:before="53"/>
              <w:ind w:right="43"/>
              <w:jc w:val="right"/>
              <w:rPr>
                <w:sz w:val="12"/>
              </w:rPr>
            </w:pPr>
            <w:r>
              <w:rPr>
                <w:spacing w:val="-1"/>
                <w:w w:val="105"/>
                <w:sz w:val="12"/>
              </w:rPr>
              <w:t>2.115.867,53</w:t>
            </w:r>
          </w:p>
          <w:p>
            <w:pPr>
              <w:pStyle w:val="TableParagraph"/>
              <w:spacing w:before="52"/>
              <w:ind w:right="43"/>
              <w:jc w:val="right"/>
              <w:rPr>
                <w:sz w:val="12"/>
              </w:rPr>
            </w:pPr>
            <w:r>
              <w:rPr>
                <w:spacing w:val="-1"/>
                <w:w w:val="105"/>
                <w:sz w:val="12"/>
              </w:rPr>
              <w:t>3.150,25</w:t>
            </w:r>
          </w:p>
          <w:p>
            <w:pPr>
              <w:pStyle w:val="TableParagraph"/>
              <w:spacing w:before="57"/>
              <w:ind w:right="43"/>
              <w:jc w:val="right"/>
              <w:rPr>
                <w:b/>
                <w:sz w:val="12"/>
              </w:rPr>
            </w:pPr>
            <w:r>
              <w:rPr>
                <w:b/>
                <w:spacing w:val="-1"/>
                <w:w w:val="105"/>
                <w:sz w:val="12"/>
              </w:rPr>
              <w:t>321.343,86</w:t>
            </w:r>
          </w:p>
        </w:tc>
        <w:tc>
          <w:tcPr>
            <w:tcW w:w="883" w:type="dxa"/>
            <w:tcBorders>
              <w:left w:val="single" w:sz="4" w:space="0" w:color="000000"/>
            </w:tcBorders>
          </w:tcPr>
          <w:p>
            <w:pPr>
              <w:pStyle w:val="TableParagraph"/>
              <w:spacing w:before="25"/>
              <w:ind w:left="258"/>
              <w:rPr>
                <w:sz w:val="12"/>
              </w:rPr>
            </w:pPr>
            <w:r>
              <w:rPr>
                <w:w w:val="105"/>
                <w:sz w:val="12"/>
              </w:rPr>
              <w:t>617.729,89</w:t>
            </w:r>
          </w:p>
          <w:p>
            <w:pPr>
              <w:pStyle w:val="TableParagraph"/>
              <w:spacing w:before="53"/>
              <w:ind w:left="258"/>
              <w:rPr>
                <w:sz w:val="12"/>
              </w:rPr>
            </w:pPr>
            <w:r>
              <w:rPr>
                <w:w w:val="105"/>
                <w:sz w:val="12"/>
              </w:rPr>
              <w:t>307.143,47</w:t>
            </w:r>
          </w:p>
          <w:p>
            <w:pPr>
              <w:pStyle w:val="TableParagraph"/>
              <w:rPr>
                <w:b/>
                <w:sz w:val="12"/>
              </w:rPr>
            </w:pPr>
          </w:p>
          <w:p>
            <w:pPr>
              <w:pStyle w:val="TableParagraph"/>
              <w:spacing w:before="11"/>
              <w:rPr>
                <w:b/>
                <w:sz w:val="8"/>
              </w:rPr>
            </w:pPr>
          </w:p>
          <w:p>
            <w:pPr>
              <w:pStyle w:val="TableParagraph"/>
              <w:ind w:left="159"/>
              <w:rPr>
                <w:b/>
                <w:sz w:val="12"/>
              </w:rPr>
            </w:pPr>
            <w:r>
              <w:rPr>
                <w:b/>
                <w:w w:val="105"/>
                <w:sz w:val="12"/>
              </w:rPr>
              <w:t>1.267.525,94</w:t>
            </w:r>
          </w:p>
        </w:tc>
        <w:tc>
          <w:tcPr>
            <w:tcW w:w="991" w:type="dxa"/>
          </w:tcPr>
          <w:p>
            <w:pPr>
              <w:pStyle w:val="TableParagraph"/>
              <w:spacing w:before="25"/>
              <w:ind w:right="42"/>
              <w:jc w:val="right"/>
              <w:rPr>
                <w:b/>
                <w:sz w:val="12"/>
              </w:rPr>
            </w:pPr>
            <w:r>
              <w:rPr>
                <w:b/>
                <w:spacing w:val="-1"/>
                <w:w w:val="105"/>
                <w:sz w:val="12"/>
              </w:rPr>
              <w:t>803.343,90</w:t>
            </w:r>
          </w:p>
          <w:p>
            <w:pPr>
              <w:pStyle w:val="TableParagraph"/>
              <w:spacing w:before="53"/>
              <w:ind w:right="42"/>
              <w:jc w:val="right"/>
              <w:rPr>
                <w:b/>
                <w:sz w:val="12"/>
              </w:rPr>
            </w:pPr>
            <w:r>
              <w:rPr>
                <w:b/>
                <w:spacing w:val="-1"/>
                <w:w w:val="105"/>
                <w:sz w:val="12"/>
              </w:rPr>
              <w:t>2.621.871,29</w:t>
            </w:r>
          </w:p>
          <w:p>
            <w:pPr>
              <w:pStyle w:val="TableParagraph"/>
              <w:spacing w:before="52"/>
              <w:ind w:right="42"/>
              <w:jc w:val="right"/>
              <w:rPr>
                <w:b/>
                <w:sz w:val="12"/>
              </w:rPr>
            </w:pPr>
            <w:r>
              <w:rPr>
                <w:b/>
                <w:spacing w:val="-1"/>
                <w:w w:val="105"/>
                <w:sz w:val="12"/>
              </w:rPr>
              <w:t>53.205,08</w:t>
            </w:r>
          </w:p>
          <w:p>
            <w:pPr>
              <w:pStyle w:val="TableParagraph"/>
              <w:spacing w:before="57"/>
              <w:ind w:right="41"/>
              <w:jc w:val="right"/>
              <w:rPr>
                <w:b/>
                <w:sz w:val="12"/>
              </w:rPr>
            </w:pPr>
            <w:r>
              <w:rPr>
                <w:b/>
                <w:spacing w:val="-1"/>
                <w:w w:val="105"/>
                <w:sz w:val="12"/>
              </w:rPr>
              <w:t>30.515.629,51</w:t>
            </w:r>
          </w:p>
        </w:tc>
      </w:tr>
      <w:tr>
        <w:trPr>
          <w:trHeight w:val="1200" w:hRule="atLeast"/>
        </w:trPr>
        <w:tc>
          <w:tcPr>
            <w:tcW w:w="3412" w:type="dxa"/>
            <w:tcBorders>
              <w:right w:val="single" w:sz="4" w:space="0" w:color="000000"/>
            </w:tcBorders>
          </w:tcPr>
          <w:p>
            <w:pPr>
              <w:pStyle w:val="TableParagraph"/>
              <w:spacing w:before="27"/>
              <w:ind w:left="55"/>
              <w:rPr>
                <w:sz w:val="12"/>
              </w:rPr>
            </w:pPr>
            <w:r>
              <w:rPr>
                <w:w w:val="105"/>
                <w:sz w:val="12"/>
              </w:rPr>
              <w:t>Existencias</w:t>
            </w:r>
          </w:p>
          <w:p>
            <w:pPr>
              <w:pStyle w:val="TableParagraph"/>
              <w:spacing w:line="324" w:lineRule="auto" w:before="51"/>
              <w:ind w:left="55" w:right="633"/>
              <w:rPr>
                <w:sz w:val="12"/>
              </w:rPr>
            </w:pPr>
            <w:r>
              <w:rPr>
                <w:w w:val="105"/>
                <w:sz w:val="12"/>
              </w:rPr>
              <w:t>Usuarios y otros deudores de la actividad propia Deudores comerciales y otras cuentas a cobrar Inversiones financieras a corto plazo Periodificaciones a corto plazo</w:t>
            </w:r>
          </w:p>
          <w:p>
            <w:pPr>
              <w:pStyle w:val="TableParagraph"/>
              <w:spacing w:before="8"/>
              <w:ind w:left="55"/>
              <w:rPr>
                <w:sz w:val="12"/>
              </w:rPr>
            </w:pPr>
            <w:r>
              <w:rPr>
                <w:w w:val="105"/>
                <w:sz w:val="12"/>
              </w:rPr>
              <w:t>Efectivo y otros activos líquidos equivalentes</w:t>
            </w:r>
          </w:p>
        </w:tc>
        <w:tc>
          <w:tcPr>
            <w:tcW w:w="993" w:type="dxa"/>
            <w:tcBorders>
              <w:left w:val="single" w:sz="4" w:space="0" w:color="000000"/>
              <w:bottom w:val="single" w:sz="4" w:space="0" w:color="000000"/>
              <w:right w:val="single" w:sz="4" w:space="0" w:color="000000"/>
            </w:tcBorders>
          </w:tcPr>
          <w:p>
            <w:pPr>
              <w:pStyle w:val="TableParagraph"/>
              <w:spacing w:before="27"/>
              <w:ind w:left="436"/>
              <w:rPr>
                <w:sz w:val="12"/>
              </w:rPr>
            </w:pPr>
            <w:r>
              <w:rPr>
                <w:w w:val="105"/>
                <w:sz w:val="12"/>
              </w:rPr>
              <w:t>62.295,40</w:t>
            </w:r>
          </w:p>
          <w:p>
            <w:pPr>
              <w:pStyle w:val="TableParagraph"/>
              <w:spacing w:before="51"/>
              <w:ind w:left="500"/>
              <w:rPr>
                <w:sz w:val="12"/>
              </w:rPr>
            </w:pPr>
            <w:r>
              <w:rPr>
                <w:w w:val="105"/>
                <w:sz w:val="12"/>
              </w:rPr>
              <w:t>1.115,28</w:t>
            </w:r>
          </w:p>
          <w:p>
            <w:pPr>
              <w:pStyle w:val="TableParagraph"/>
              <w:rPr>
                <w:b/>
                <w:sz w:val="12"/>
              </w:rPr>
            </w:pPr>
          </w:p>
          <w:p>
            <w:pPr>
              <w:pStyle w:val="TableParagraph"/>
              <w:rPr>
                <w:b/>
                <w:sz w:val="12"/>
              </w:rPr>
            </w:pPr>
          </w:p>
          <w:p>
            <w:pPr>
              <w:pStyle w:val="TableParagraph"/>
              <w:spacing w:before="9"/>
              <w:rPr>
                <w:b/>
                <w:sz w:val="12"/>
              </w:rPr>
            </w:pPr>
          </w:p>
          <w:p>
            <w:pPr>
              <w:pStyle w:val="TableParagraph"/>
              <w:ind w:right="39"/>
              <w:jc w:val="right"/>
              <w:rPr>
                <w:sz w:val="12"/>
              </w:rPr>
            </w:pPr>
            <w:r>
              <w:rPr>
                <w:sz w:val="12"/>
              </w:rPr>
              <w:t>754,35</w:t>
            </w:r>
          </w:p>
          <w:p>
            <w:pPr>
              <w:pStyle w:val="TableParagraph"/>
              <w:spacing w:before="57"/>
              <w:ind w:right="39"/>
              <w:jc w:val="right"/>
              <w:rPr>
                <w:sz w:val="12"/>
              </w:rPr>
            </w:pPr>
            <w:r>
              <w:rPr>
                <w:spacing w:val="-1"/>
                <w:w w:val="105"/>
                <w:sz w:val="12"/>
              </w:rPr>
              <w:t>198.429,94</w:t>
            </w:r>
          </w:p>
        </w:tc>
        <w:tc>
          <w:tcPr>
            <w:tcW w:w="771" w:type="dxa"/>
            <w:tcBorders>
              <w:left w:val="single" w:sz="4" w:space="0" w:color="000000"/>
              <w:bottom w:val="single" w:sz="4" w:space="0" w:color="000000"/>
              <w:right w:val="single" w:sz="4" w:space="0" w:color="000000"/>
            </w:tcBorders>
          </w:tcPr>
          <w:p>
            <w:pPr>
              <w:pStyle w:val="TableParagraph"/>
              <w:rPr>
                <w:b/>
                <w:sz w:val="12"/>
              </w:rPr>
            </w:pPr>
          </w:p>
          <w:p>
            <w:pPr>
              <w:pStyle w:val="TableParagraph"/>
              <w:rPr>
                <w:b/>
                <w:sz w:val="12"/>
              </w:rPr>
            </w:pPr>
          </w:p>
          <w:p>
            <w:pPr>
              <w:pStyle w:val="TableParagraph"/>
              <w:rPr>
                <w:b/>
                <w:sz w:val="12"/>
              </w:rPr>
            </w:pPr>
          </w:p>
          <w:p>
            <w:pPr>
              <w:pStyle w:val="TableParagraph"/>
              <w:spacing w:before="12"/>
              <w:rPr>
                <w:b/>
                <w:sz w:val="14"/>
              </w:rPr>
            </w:pPr>
          </w:p>
          <w:p>
            <w:pPr>
              <w:pStyle w:val="TableParagraph"/>
              <w:ind w:right="39"/>
              <w:jc w:val="right"/>
              <w:rPr>
                <w:sz w:val="12"/>
              </w:rPr>
            </w:pPr>
            <w:r>
              <w:rPr>
                <w:spacing w:val="-1"/>
                <w:w w:val="105"/>
                <w:sz w:val="12"/>
              </w:rPr>
              <w:t>8.920,00</w:t>
            </w:r>
          </w:p>
          <w:p>
            <w:pPr>
              <w:pStyle w:val="TableParagraph"/>
              <w:rPr>
                <w:b/>
                <w:sz w:val="12"/>
              </w:rPr>
            </w:pPr>
          </w:p>
          <w:p>
            <w:pPr>
              <w:pStyle w:val="TableParagraph"/>
              <w:spacing w:before="10"/>
              <w:rPr>
                <w:b/>
                <w:sz w:val="8"/>
              </w:rPr>
            </w:pPr>
          </w:p>
          <w:p>
            <w:pPr>
              <w:pStyle w:val="TableParagraph"/>
              <w:ind w:right="40"/>
              <w:jc w:val="right"/>
              <w:rPr>
                <w:sz w:val="12"/>
              </w:rPr>
            </w:pPr>
            <w:r>
              <w:rPr>
                <w:spacing w:val="-1"/>
                <w:w w:val="105"/>
                <w:sz w:val="12"/>
              </w:rPr>
              <w:t>454.586,44</w:t>
            </w:r>
          </w:p>
        </w:tc>
        <w:tc>
          <w:tcPr>
            <w:tcW w:w="883" w:type="dxa"/>
            <w:tcBorders>
              <w:left w:val="single" w:sz="4" w:space="0" w:color="000000"/>
              <w:bottom w:val="single" w:sz="4" w:space="0" w:color="000000"/>
              <w:right w:val="single" w:sz="4" w:space="0" w:color="000000"/>
            </w:tcBorders>
          </w:tcPr>
          <w:p>
            <w:pPr>
              <w:pStyle w:val="TableParagraph"/>
              <w:rPr>
                <w:b/>
                <w:sz w:val="12"/>
              </w:rPr>
            </w:pPr>
          </w:p>
          <w:p>
            <w:pPr>
              <w:pStyle w:val="TableParagraph"/>
              <w:spacing w:before="78"/>
              <w:ind w:right="40"/>
              <w:jc w:val="right"/>
              <w:rPr>
                <w:sz w:val="12"/>
              </w:rPr>
            </w:pPr>
            <w:r>
              <w:rPr>
                <w:spacing w:val="-1"/>
                <w:w w:val="105"/>
                <w:sz w:val="12"/>
              </w:rPr>
              <w:t>1.259.037,20</w:t>
            </w:r>
          </w:p>
          <w:p>
            <w:pPr>
              <w:pStyle w:val="TableParagraph"/>
              <w:spacing w:before="52"/>
              <w:ind w:right="40"/>
              <w:jc w:val="right"/>
              <w:rPr>
                <w:sz w:val="12"/>
              </w:rPr>
            </w:pPr>
            <w:r>
              <w:rPr>
                <w:spacing w:val="-1"/>
                <w:w w:val="105"/>
                <w:sz w:val="12"/>
              </w:rPr>
              <w:t>140.817,15</w:t>
            </w:r>
          </w:p>
          <w:p>
            <w:pPr>
              <w:pStyle w:val="TableParagraph"/>
              <w:spacing w:before="53"/>
              <w:ind w:right="40"/>
              <w:jc w:val="right"/>
              <w:rPr>
                <w:sz w:val="12"/>
              </w:rPr>
            </w:pPr>
            <w:r>
              <w:rPr>
                <w:spacing w:val="-1"/>
                <w:w w:val="105"/>
                <w:sz w:val="12"/>
              </w:rPr>
              <w:t>24.352,21</w:t>
            </w:r>
          </w:p>
          <w:p>
            <w:pPr>
              <w:pStyle w:val="TableParagraph"/>
              <w:spacing w:before="51"/>
              <w:ind w:right="40"/>
              <w:jc w:val="right"/>
              <w:rPr>
                <w:sz w:val="12"/>
              </w:rPr>
            </w:pPr>
            <w:r>
              <w:rPr>
                <w:spacing w:val="-1"/>
                <w:w w:val="105"/>
                <w:sz w:val="12"/>
              </w:rPr>
              <w:t>14.025,27</w:t>
            </w:r>
          </w:p>
          <w:p>
            <w:pPr>
              <w:pStyle w:val="TableParagraph"/>
              <w:spacing w:before="57"/>
              <w:ind w:right="40"/>
              <w:jc w:val="right"/>
              <w:rPr>
                <w:sz w:val="12"/>
              </w:rPr>
            </w:pPr>
            <w:r>
              <w:rPr>
                <w:spacing w:val="-1"/>
                <w:w w:val="105"/>
                <w:sz w:val="12"/>
              </w:rPr>
              <w:t>729.266,69</w:t>
            </w:r>
          </w:p>
        </w:tc>
        <w:tc>
          <w:tcPr>
            <w:tcW w:w="881" w:type="dxa"/>
            <w:tcBorders>
              <w:left w:val="single" w:sz="4" w:space="0" w:color="000000"/>
              <w:bottom w:val="single" w:sz="4" w:space="0" w:color="000000"/>
              <w:right w:val="single" w:sz="4" w:space="0" w:color="000000"/>
            </w:tcBorders>
          </w:tcPr>
          <w:p>
            <w:pPr>
              <w:pStyle w:val="TableParagraph"/>
              <w:rPr>
                <w:b/>
                <w:sz w:val="12"/>
              </w:rPr>
            </w:pPr>
          </w:p>
          <w:p>
            <w:pPr>
              <w:pStyle w:val="TableParagraph"/>
              <w:rPr>
                <w:b/>
                <w:sz w:val="12"/>
              </w:rPr>
            </w:pPr>
          </w:p>
          <w:p>
            <w:pPr>
              <w:pStyle w:val="TableParagraph"/>
              <w:spacing w:before="7"/>
              <w:rPr>
                <w:b/>
                <w:sz w:val="10"/>
              </w:rPr>
            </w:pPr>
          </w:p>
          <w:p>
            <w:pPr>
              <w:pStyle w:val="TableParagraph"/>
              <w:ind w:right="41"/>
              <w:jc w:val="right"/>
              <w:rPr>
                <w:sz w:val="12"/>
              </w:rPr>
            </w:pPr>
            <w:r>
              <w:rPr>
                <w:spacing w:val="-1"/>
                <w:w w:val="105"/>
                <w:sz w:val="12"/>
              </w:rPr>
              <w:t>1.800.893,03</w:t>
            </w:r>
          </w:p>
          <w:p>
            <w:pPr>
              <w:pStyle w:val="TableParagraph"/>
              <w:spacing w:before="54"/>
              <w:ind w:right="41"/>
              <w:jc w:val="right"/>
              <w:rPr>
                <w:sz w:val="12"/>
              </w:rPr>
            </w:pPr>
            <w:r>
              <w:rPr>
                <w:spacing w:val="-1"/>
                <w:w w:val="105"/>
                <w:sz w:val="12"/>
              </w:rPr>
              <w:t>0,00</w:t>
            </w:r>
          </w:p>
          <w:p>
            <w:pPr>
              <w:pStyle w:val="TableParagraph"/>
              <w:spacing w:before="51"/>
              <w:ind w:right="41"/>
              <w:jc w:val="right"/>
              <w:rPr>
                <w:sz w:val="12"/>
              </w:rPr>
            </w:pPr>
            <w:r>
              <w:rPr>
                <w:spacing w:val="-1"/>
                <w:w w:val="105"/>
                <w:sz w:val="12"/>
              </w:rPr>
              <w:t>21.394,84</w:t>
            </w:r>
          </w:p>
          <w:p>
            <w:pPr>
              <w:pStyle w:val="TableParagraph"/>
              <w:spacing w:before="57"/>
              <w:ind w:right="41"/>
              <w:jc w:val="right"/>
              <w:rPr>
                <w:sz w:val="12"/>
              </w:rPr>
            </w:pPr>
            <w:r>
              <w:rPr>
                <w:spacing w:val="-1"/>
                <w:w w:val="105"/>
                <w:sz w:val="12"/>
              </w:rPr>
              <w:t>4.941.872,91</w:t>
            </w:r>
          </w:p>
        </w:tc>
        <w:tc>
          <w:tcPr>
            <w:tcW w:w="839" w:type="dxa"/>
            <w:tcBorders>
              <w:left w:val="single" w:sz="4" w:space="0" w:color="000000"/>
              <w:bottom w:val="single" w:sz="4" w:space="0" w:color="000000"/>
              <w:right w:val="single" w:sz="4" w:space="0" w:color="000000"/>
            </w:tcBorders>
          </w:tcPr>
          <w:p>
            <w:pPr>
              <w:pStyle w:val="TableParagraph"/>
              <w:rPr>
                <w:b/>
                <w:sz w:val="12"/>
              </w:rPr>
            </w:pPr>
          </w:p>
          <w:p>
            <w:pPr>
              <w:pStyle w:val="TableParagraph"/>
              <w:spacing w:before="78"/>
              <w:ind w:left="217"/>
              <w:rPr>
                <w:sz w:val="12"/>
              </w:rPr>
            </w:pPr>
            <w:r>
              <w:rPr>
                <w:w w:val="105"/>
                <w:sz w:val="12"/>
              </w:rPr>
              <w:t>385.500,00</w:t>
            </w:r>
          </w:p>
          <w:p>
            <w:pPr>
              <w:pStyle w:val="TableParagraph"/>
              <w:spacing w:before="52"/>
              <w:ind w:left="124"/>
              <w:rPr>
                <w:sz w:val="12"/>
              </w:rPr>
            </w:pPr>
            <w:r>
              <w:rPr>
                <w:w w:val="105"/>
                <w:sz w:val="12"/>
              </w:rPr>
              <w:t>3.483.607,00</w:t>
            </w:r>
          </w:p>
          <w:p>
            <w:pPr>
              <w:pStyle w:val="TableParagraph"/>
              <w:spacing w:before="53"/>
              <w:ind w:left="124"/>
              <w:rPr>
                <w:sz w:val="12"/>
              </w:rPr>
            </w:pPr>
            <w:r>
              <w:rPr>
                <w:w w:val="105"/>
                <w:sz w:val="12"/>
              </w:rPr>
              <w:t>1.299.998,00</w:t>
            </w:r>
          </w:p>
          <w:p>
            <w:pPr>
              <w:pStyle w:val="TableParagraph"/>
              <w:rPr>
                <w:b/>
                <w:sz w:val="12"/>
              </w:rPr>
            </w:pPr>
          </w:p>
          <w:p>
            <w:pPr>
              <w:pStyle w:val="TableParagraph"/>
              <w:spacing w:before="108"/>
              <w:ind w:left="60"/>
              <w:rPr>
                <w:sz w:val="12"/>
              </w:rPr>
            </w:pPr>
            <w:r>
              <w:rPr>
                <w:w w:val="105"/>
                <w:sz w:val="12"/>
              </w:rPr>
              <w:t>14.099.894,00</w:t>
            </w:r>
          </w:p>
        </w:tc>
        <w:tc>
          <w:tcPr>
            <w:tcW w:w="816" w:type="dxa"/>
            <w:tcBorders>
              <w:left w:val="single" w:sz="4" w:space="0" w:color="000000"/>
              <w:bottom w:val="single" w:sz="4" w:space="0" w:color="000000"/>
              <w:right w:val="single" w:sz="4" w:space="0" w:color="000000"/>
            </w:tcBorders>
          </w:tcPr>
          <w:p>
            <w:pPr>
              <w:pStyle w:val="TableParagraph"/>
              <w:rPr>
                <w:b/>
                <w:sz w:val="12"/>
              </w:rPr>
            </w:pPr>
          </w:p>
          <w:p>
            <w:pPr>
              <w:pStyle w:val="TableParagraph"/>
              <w:spacing w:before="78"/>
              <w:ind w:right="43"/>
              <w:jc w:val="right"/>
              <w:rPr>
                <w:sz w:val="12"/>
              </w:rPr>
            </w:pPr>
            <w:r>
              <w:rPr>
                <w:spacing w:val="-1"/>
                <w:w w:val="105"/>
                <w:sz w:val="12"/>
              </w:rPr>
              <w:t>79.889,66</w:t>
            </w:r>
          </w:p>
          <w:p>
            <w:pPr>
              <w:pStyle w:val="TableParagraph"/>
              <w:rPr>
                <w:b/>
                <w:sz w:val="12"/>
              </w:rPr>
            </w:pPr>
          </w:p>
          <w:p>
            <w:pPr>
              <w:pStyle w:val="TableParagraph"/>
              <w:rPr>
                <w:b/>
                <w:sz w:val="12"/>
              </w:rPr>
            </w:pPr>
          </w:p>
          <w:p>
            <w:pPr>
              <w:pStyle w:val="TableParagraph"/>
              <w:spacing w:before="9"/>
              <w:rPr>
                <w:b/>
                <w:sz w:val="12"/>
              </w:rPr>
            </w:pPr>
          </w:p>
          <w:p>
            <w:pPr>
              <w:pStyle w:val="TableParagraph"/>
              <w:ind w:right="43"/>
              <w:jc w:val="right"/>
              <w:rPr>
                <w:sz w:val="12"/>
              </w:rPr>
            </w:pPr>
            <w:r>
              <w:rPr>
                <w:spacing w:val="-1"/>
                <w:w w:val="105"/>
                <w:sz w:val="12"/>
              </w:rPr>
              <w:t>8.060,75</w:t>
            </w:r>
          </w:p>
          <w:p>
            <w:pPr>
              <w:pStyle w:val="TableParagraph"/>
              <w:spacing w:before="57"/>
              <w:ind w:right="43"/>
              <w:jc w:val="right"/>
              <w:rPr>
                <w:sz w:val="12"/>
              </w:rPr>
            </w:pPr>
            <w:r>
              <w:rPr>
                <w:spacing w:val="-1"/>
                <w:w w:val="105"/>
                <w:sz w:val="12"/>
              </w:rPr>
              <w:t>233.393,45</w:t>
            </w:r>
          </w:p>
        </w:tc>
        <w:tc>
          <w:tcPr>
            <w:tcW w:w="883" w:type="dxa"/>
            <w:tcBorders>
              <w:left w:val="single" w:sz="4" w:space="0" w:color="000000"/>
              <w:bottom w:val="single" w:sz="4" w:space="0" w:color="000000"/>
            </w:tcBorders>
          </w:tcPr>
          <w:p>
            <w:pPr>
              <w:pStyle w:val="TableParagraph"/>
              <w:rPr>
                <w:b/>
                <w:sz w:val="12"/>
              </w:rPr>
            </w:pPr>
          </w:p>
          <w:p>
            <w:pPr>
              <w:pStyle w:val="TableParagraph"/>
              <w:spacing w:before="78"/>
              <w:ind w:left="321"/>
              <w:rPr>
                <w:sz w:val="12"/>
              </w:rPr>
            </w:pPr>
            <w:r>
              <w:rPr>
                <w:w w:val="105"/>
                <w:sz w:val="12"/>
              </w:rPr>
              <w:t>39.476,81</w:t>
            </w:r>
          </w:p>
          <w:p>
            <w:pPr>
              <w:pStyle w:val="TableParagraph"/>
              <w:spacing w:before="52"/>
              <w:ind w:left="258"/>
              <w:rPr>
                <w:sz w:val="12"/>
              </w:rPr>
            </w:pPr>
            <w:r>
              <w:rPr>
                <w:w w:val="105"/>
                <w:sz w:val="12"/>
              </w:rPr>
              <w:t>708.745,63</w:t>
            </w:r>
          </w:p>
          <w:p>
            <w:pPr>
              <w:pStyle w:val="TableParagraph"/>
              <w:spacing w:before="53"/>
              <w:ind w:left="385"/>
              <w:rPr>
                <w:sz w:val="12"/>
              </w:rPr>
            </w:pPr>
            <w:r>
              <w:rPr>
                <w:w w:val="105"/>
                <w:sz w:val="12"/>
              </w:rPr>
              <w:t>9.058,26</w:t>
            </w:r>
          </w:p>
          <w:p>
            <w:pPr>
              <w:pStyle w:val="TableParagraph"/>
              <w:spacing w:before="51"/>
              <w:ind w:left="385"/>
              <w:rPr>
                <w:sz w:val="12"/>
              </w:rPr>
            </w:pPr>
            <w:r>
              <w:rPr>
                <w:w w:val="105"/>
                <w:sz w:val="12"/>
              </w:rPr>
              <w:t>2.688,47</w:t>
            </w:r>
          </w:p>
          <w:p>
            <w:pPr>
              <w:pStyle w:val="TableParagraph"/>
              <w:spacing w:before="57"/>
              <w:ind w:left="258"/>
              <w:rPr>
                <w:sz w:val="12"/>
              </w:rPr>
            </w:pPr>
            <w:r>
              <w:rPr>
                <w:w w:val="105"/>
                <w:sz w:val="12"/>
              </w:rPr>
              <w:t>507.556,77</w:t>
            </w:r>
          </w:p>
        </w:tc>
        <w:tc>
          <w:tcPr>
            <w:tcW w:w="991" w:type="dxa"/>
          </w:tcPr>
          <w:p>
            <w:pPr>
              <w:pStyle w:val="TableParagraph"/>
              <w:spacing w:before="27"/>
              <w:ind w:right="42"/>
              <w:jc w:val="right"/>
              <w:rPr>
                <w:b/>
                <w:sz w:val="12"/>
              </w:rPr>
            </w:pPr>
            <w:r>
              <w:rPr>
                <w:b/>
                <w:spacing w:val="-1"/>
                <w:w w:val="105"/>
                <w:sz w:val="12"/>
              </w:rPr>
              <w:t>62.295,40</w:t>
            </w:r>
          </w:p>
          <w:p>
            <w:pPr>
              <w:pStyle w:val="TableParagraph"/>
              <w:spacing w:before="51"/>
              <w:ind w:right="42"/>
              <w:jc w:val="right"/>
              <w:rPr>
                <w:b/>
                <w:sz w:val="12"/>
              </w:rPr>
            </w:pPr>
            <w:r>
              <w:rPr>
                <w:b/>
                <w:spacing w:val="-1"/>
                <w:w w:val="105"/>
                <w:sz w:val="12"/>
              </w:rPr>
              <w:t>1.765.018,95</w:t>
            </w:r>
          </w:p>
          <w:p>
            <w:pPr>
              <w:pStyle w:val="TableParagraph"/>
              <w:spacing w:before="52"/>
              <w:ind w:right="42"/>
              <w:jc w:val="right"/>
              <w:rPr>
                <w:b/>
                <w:sz w:val="12"/>
              </w:rPr>
            </w:pPr>
            <w:r>
              <w:rPr>
                <w:b/>
                <w:spacing w:val="-1"/>
                <w:w w:val="105"/>
                <w:sz w:val="12"/>
              </w:rPr>
              <w:t>6.134.062,81</w:t>
            </w:r>
          </w:p>
          <w:p>
            <w:pPr>
              <w:pStyle w:val="TableParagraph"/>
              <w:spacing w:before="53"/>
              <w:ind w:right="42"/>
              <w:jc w:val="right"/>
              <w:rPr>
                <w:b/>
                <w:sz w:val="12"/>
              </w:rPr>
            </w:pPr>
            <w:r>
              <w:rPr>
                <w:b/>
                <w:spacing w:val="-1"/>
                <w:w w:val="105"/>
                <w:sz w:val="12"/>
              </w:rPr>
              <w:t>1.342.328,47</w:t>
            </w:r>
          </w:p>
          <w:p>
            <w:pPr>
              <w:pStyle w:val="TableParagraph"/>
              <w:spacing w:before="51"/>
              <w:ind w:right="42"/>
              <w:jc w:val="right"/>
              <w:rPr>
                <w:b/>
                <w:sz w:val="12"/>
              </w:rPr>
            </w:pPr>
            <w:r>
              <w:rPr>
                <w:b/>
                <w:spacing w:val="-1"/>
                <w:w w:val="105"/>
                <w:sz w:val="12"/>
              </w:rPr>
              <w:t>46.923,68</w:t>
            </w:r>
          </w:p>
          <w:p>
            <w:pPr>
              <w:pStyle w:val="TableParagraph"/>
              <w:spacing w:before="57"/>
              <w:ind w:right="41"/>
              <w:jc w:val="right"/>
              <w:rPr>
                <w:b/>
                <w:sz w:val="12"/>
              </w:rPr>
            </w:pPr>
            <w:r>
              <w:rPr>
                <w:b/>
                <w:spacing w:val="-1"/>
                <w:w w:val="105"/>
                <w:sz w:val="12"/>
              </w:rPr>
              <w:t>21.165.000,20</w:t>
            </w:r>
          </w:p>
        </w:tc>
      </w:tr>
      <w:tr>
        <w:trPr>
          <w:trHeight w:val="210" w:hRule="atLeast"/>
        </w:trPr>
        <w:tc>
          <w:tcPr>
            <w:tcW w:w="3412" w:type="dxa"/>
            <w:tcBorders>
              <w:right w:val="single" w:sz="4" w:space="0" w:color="000000"/>
            </w:tcBorders>
          </w:tcPr>
          <w:p>
            <w:pPr>
              <w:pStyle w:val="TableParagraph"/>
              <w:spacing w:before="33"/>
              <w:ind w:left="1303" w:right="1288"/>
              <w:jc w:val="center"/>
              <w:rPr>
                <w:b/>
                <w:sz w:val="12"/>
              </w:rPr>
            </w:pPr>
            <w:r>
              <w:rPr>
                <w:b/>
                <w:w w:val="105"/>
                <w:sz w:val="12"/>
              </w:rPr>
              <w:t>TOTAL ACTIVO</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33"/>
              <w:ind w:right="39"/>
              <w:jc w:val="right"/>
              <w:rPr>
                <w:b/>
                <w:sz w:val="12"/>
              </w:rPr>
            </w:pPr>
            <w:r>
              <w:rPr>
                <w:b/>
                <w:w w:val="105"/>
                <w:sz w:val="12"/>
              </w:rPr>
              <w:t>280.417,51</w:t>
            </w:r>
          </w:p>
        </w:tc>
        <w:tc>
          <w:tcPr>
            <w:tcW w:w="771" w:type="dxa"/>
            <w:tcBorders>
              <w:top w:val="single" w:sz="4" w:space="0" w:color="000000"/>
              <w:left w:val="single" w:sz="4" w:space="0" w:color="000000"/>
              <w:bottom w:val="single" w:sz="4" w:space="0" w:color="000000"/>
              <w:right w:val="single" w:sz="4" w:space="0" w:color="000000"/>
            </w:tcBorders>
          </w:tcPr>
          <w:p>
            <w:pPr>
              <w:pStyle w:val="TableParagraph"/>
              <w:spacing w:before="33"/>
              <w:ind w:left="148"/>
              <w:rPr>
                <w:b/>
                <w:sz w:val="12"/>
              </w:rPr>
            </w:pPr>
            <w:r>
              <w:rPr>
                <w:b/>
                <w:w w:val="105"/>
                <w:sz w:val="12"/>
              </w:rPr>
              <w:t>539.310,17</w:t>
            </w:r>
          </w:p>
        </w:tc>
        <w:tc>
          <w:tcPr>
            <w:tcW w:w="883" w:type="dxa"/>
            <w:tcBorders>
              <w:top w:val="single" w:sz="4" w:space="0" w:color="000000"/>
              <w:left w:val="single" w:sz="4" w:space="0" w:color="000000"/>
              <w:bottom w:val="single" w:sz="4" w:space="0" w:color="000000"/>
              <w:right w:val="single" w:sz="4" w:space="0" w:color="000000"/>
            </w:tcBorders>
          </w:tcPr>
          <w:p>
            <w:pPr>
              <w:pStyle w:val="TableParagraph"/>
              <w:spacing w:before="33"/>
              <w:ind w:right="40"/>
              <w:jc w:val="right"/>
              <w:rPr>
                <w:b/>
                <w:sz w:val="12"/>
              </w:rPr>
            </w:pPr>
            <w:r>
              <w:rPr>
                <w:b/>
                <w:w w:val="105"/>
                <w:sz w:val="12"/>
              </w:rPr>
              <w:t>2.364.517,30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33"/>
              <w:ind w:right="41"/>
              <w:jc w:val="right"/>
              <w:rPr>
                <w:b/>
                <w:sz w:val="12"/>
              </w:rPr>
            </w:pPr>
            <w:r>
              <w:rPr>
                <w:b/>
                <w:w w:val="105"/>
                <w:sz w:val="12"/>
              </w:rPr>
              <w:t>6.860.223,03</w:t>
            </w:r>
          </w:p>
        </w:tc>
        <w:tc>
          <w:tcPr>
            <w:tcW w:w="839" w:type="dxa"/>
            <w:tcBorders>
              <w:top w:val="single" w:sz="4" w:space="0" w:color="000000"/>
              <w:left w:val="single" w:sz="4" w:space="0" w:color="000000"/>
              <w:bottom w:val="single" w:sz="4" w:space="0" w:color="000000"/>
              <w:right w:val="single" w:sz="4" w:space="0" w:color="000000"/>
            </w:tcBorders>
          </w:tcPr>
          <w:p>
            <w:pPr>
              <w:pStyle w:val="TableParagraph"/>
              <w:spacing w:before="33"/>
              <w:ind w:right="40"/>
              <w:jc w:val="right"/>
              <w:rPr>
                <w:b/>
                <w:sz w:val="12"/>
              </w:rPr>
            </w:pPr>
            <w:r>
              <w:rPr>
                <w:b/>
                <w:w w:val="105"/>
                <w:sz w:val="12"/>
              </w:rPr>
              <w:t>19.303.275,00</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before="33"/>
              <w:ind w:right="43"/>
              <w:jc w:val="right"/>
              <w:rPr>
                <w:b/>
                <w:sz w:val="12"/>
              </w:rPr>
            </w:pPr>
            <w:r>
              <w:rPr>
                <w:b/>
                <w:w w:val="105"/>
                <w:sz w:val="12"/>
              </w:rPr>
              <w:t>2.453.907,47</w:t>
            </w:r>
          </w:p>
        </w:tc>
        <w:tc>
          <w:tcPr>
            <w:tcW w:w="883" w:type="dxa"/>
            <w:tcBorders>
              <w:top w:val="single" w:sz="4" w:space="0" w:color="000000"/>
              <w:left w:val="single" w:sz="4" w:space="0" w:color="000000"/>
              <w:bottom w:val="single" w:sz="4" w:space="0" w:color="000000"/>
              <w:right w:val="single" w:sz="4" w:space="0" w:color="000000"/>
            </w:tcBorders>
          </w:tcPr>
          <w:p>
            <w:pPr>
              <w:pStyle w:val="TableParagraph"/>
              <w:spacing w:before="33"/>
              <w:ind w:right="44"/>
              <w:jc w:val="right"/>
              <w:rPr>
                <w:b/>
                <w:sz w:val="12"/>
              </w:rPr>
            </w:pPr>
            <w:r>
              <w:rPr>
                <w:b/>
                <w:w w:val="105"/>
                <w:sz w:val="12"/>
              </w:rPr>
              <w:t>2.192.399,30</w:t>
            </w:r>
          </w:p>
        </w:tc>
        <w:tc>
          <w:tcPr>
            <w:tcW w:w="991" w:type="dxa"/>
            <w:tcBorders>
              <w:left w:val="single" w:sz="4" w:space="0" w:color="000000"/>
            </w:tcBorders>
          </w:tcPr>
          <w:p>
            <w:pPr>
              <w:pStyle w:val="TableParagraph"/>
              <w:spacing w:before="33"/>
              <w:ind w:right="41"/>
              <w:jc w:val="right"/>
              <w:rPr>
                <w:b/>
                <w:sz w:val="12"/>
              </w:rPr>
            </w:pPr>
            <w:r>
              <w:rPr>
                <w:b/>
                <w:w w:val="105"/>
                <w:sz w:val="12"/>
              </w:rPr>
              <w:t>33.994.049,78</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28"/>
        </w:rPr>
      </w:pPr>
    </w:p>
    <w:p>
      <w:pPr>
        <w:spacing w:before="68"/>
        <w:ind w:left="11517" w:right="1354" w:firstLine="0"/>
        <w:jc w:val="center"/>
        <w:rPr>
          <w:sz w:val="18"/>
        </w:rPr>
      </w:pPr>
      <w:r>
        <w:rPr>
          <w:w w:val="105"/>
          <w:sz w:val="18"/>
        </w:rPr>
        <w:t>198</w:t>
      </w:r>
    </w:p>
    <w:p>
      <w:pPr>
        <w:spacing w:before="10"/>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29" name="image5.png"/>
                  <wp:cNvGraphicFramePr>
                    <a:graphicFrameLocks noChangeAspect="1"/>
                  </wp:cNvGraphicFramePr>
                  <a:graphic>
                    <a:graphicData uri="http://schemas.openxmlformats.org/drawingml/2006/picture">
                      <pic:pic>
                        <pic:nvPicPr>
                          <pic:cNvPr id="43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200/247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pStyle w:val="BodyText"/>
        <w:rPr>
          <w:b/>
        </w:rPr>
      </w:pPr>
    </w:p>
    <w:p>
      <w:pPr>
        <w:pStyle w:val="BodyText"/>
        <w:spacing w:before="6"/>
        <w:rPr>
          <w:b/>
          <w:sz w:val="24"/>
        </w:rPr>
      </w:pPr>
    </w:p>
    <w:tbl>
      <w:tblPr>
        <w:tblW w:w="0" w:type="auto"/>
        <w:jc w:val="left"/>
        <w:tblInd w:w="19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12"/>
        <w:gridCol w:w="992"/>
        <w:gridCol w:w="770"/>
        <w:gridCol w:w="882"/>
        <w:gridCol w:w="880"/>
        <w:gridCol w:w="839"/>
        <w:gridCol w:w="813"/>
        <w:gridCol w:w="882"/>
        <w:gridCol w:w="990"/>
      </w:tblGrid>
      <w:tr>
        <w:trPr>
          <w:trHeight w:val="303" w:hRule="atLeast"/>
        </w:trPr>
        <w:tc>
          <w:tcPr>
            <w:tcW w:w="3412" w:type="dxa"/>
            <w:tcBorders>
              <w:left w:val="single" w:sz="4" w:space="0" w:color="000000"/>
              <w:right w:val="single" w:sz="4" w:space="0" w:color="000000"/>
            </w:tcBorders>
            <w:shd w:val="clear" w:color="auto" w:fill="DEEAF6"/>
          </w:tcPr>
          <w:p>
            <w:pPr>
              <w:pStyle w:val="TableParagraph"/>
              <w:spacing w:before="79"/>
              <w:ind w:left="946"/>
              <w:rPr>
                <w:b/>
                <w:sz w:val="12"/>
              </w:rPr>
            </w:pPr>
            <w:r>
              <w:rPr>
                <w:b/>
                <w:w w:val="105"/>
                <w:sz w:val="12"/>
              </w:rPr>
              <w:t>PATRIMONIO NETO Y PASIVO</w:t>
            </w:r>
          </w:p>
        </w:tc>
        <w:tc>
          <w:tcPr>
            <w:tcW w:w="992" w:type="dxa"/>
            <w:tcBorders>
              <w:left w:val="single" w:sz="4" w:space="0" w:color="000000"/>
              <w:right w:val="single" w:sz="4" w:space="0" w:color="000000"/>
            </w:tcBorders>
            <w:shd w:val="clear" w:color="auto" w:fill="DEEAF6"/>
          </w:tcPr>
          <w:p>
            <w:pPr>
              <w:pStyle w:val="TableParagraph"/>
              <w:spacing w:before="79"/>
              <w:ind w:left="283"/>
              <w:rPr>
                <w:b/>
                <w:sz w:val="12"/>
              </w:rPr>
            </w:pPr>
            <w:r>
              <w:rPr>
                <w:b/>
                <w:w w:val="105"/>
                <w:sz w:val="12"/>
              </w:rPr>
              <w:t>LENGUA</w:t>
            </w:r>
          </w:p>
        </w:tc>
        <w:tc>
          <w:tcPr>
            <w:tcW w:w="770" w:type="dxa"/>
            <w:tcBorders>
              <w:left w:val="single" w:sz="4" w:space="0" w:color="000000"/>
              <w:right w:val="single" w:sz="4" w:space="0" w:color="000000"/>
            </w:tcBorders>
            <w:shd w:val="clear" w:color="auto" w:fill="DEEAF6"/>
          </w:tcPr>
          <w:p>
            <w:pPr>
              <w:pStyle w:val="TableParagraph"/>
              <w:spacing w:before="79"/>
              <w:ind w:left="185"/>
              <w:rPr>
                <w:b/>
                <w:sz w:val="12"/>
              </w:rPr>
            </w:pPr>
            <w:r>
              <w:rPr>
                <w:b/>
                <w:w w:val="105"/>
                <w:sz w:val="12"/>
              </w:rPr>
              <w:t>FUCAEX</w:t>
            </w:r>
          </w:p>
        </w:tc>
        <w:tc>
          <w:tcPr>
            <w:tcW w:w="882" w:type="dxa"/>
            <w:tcBorders>
              <w:left w:val="single" w:sz="4" w:space="0" w:color="000000"/>
              <w:right w:val="single" w:sz="4" w:space="0" w:color="000000"/>
            </w:tcBorders>
            <w:shd w:val="clear" w:color="auto" w:fill="DEEAF6"/>
          </w:tcPr>
          <w:p>
            <w:pPr>
              <w:pStyle w:val="TableParagraph"/>
              <w:spacing w:before="79"/>
              <w:ind w:left="60" w:right="42"/>
              <w:jc w:val="center"/>
              <w:rPr>
                <w:b/>
                <w:sz w:val="12"/>
              </w:rPr>
            </w:pPr>
            <w:r>
              <w:rPr>
                <w:b/>
                <w:w w:val="105"/>
                <w:sz w:val="12"/>
              </w:rPr>
              <w:t>IDEO</w:t>
            </w:r>
          </w:p>
        </w:tc>
        <w:tc>
          <w:tcPr>
            <w:tcW w:w="880" w:type="dxa"/>
            <w:tcBorders>
              <w:left w:val="single" w:sz="4" w:space="0" w:color="000000"/>
              <w:right w:val="single" w:sz="4" w:space="0" w:color="000000"/>
            </w:tcBorders>
            <w:shd w:val="clear" w:color="auto" w:fill="DEEAF6"/>
          </w:tcPr>
          <w:p>
            <w:pPr>
              <w:pStyle w:val="TableParagraph"/>
              <w:spacing w:before="79"/>
              <w:ind w:left="158"/>
              <w:rPr>
                <w:b/>
                <w:sz w:val="12"/>
              </w:rPr>
            </w:pPr>
            <w:r>
              <w:rPr>
                <w:b/>
                <w:w w:val="105"/>
                <w:sz w:val="12"/>
              </w:rPr>
              <w:t>FUNCATRA</w:t>
            </w:r>
          </w:p>
        </w:tc>
        <w:tc>
          <w:tcPr>
            <w:tcW w:w="839" w:type="dxa"/>
            <w:tcBorders>
              <w:left w:val="single" w:sz="4" w:space="0" w:color="000000"/>
              <w:right w:val="single" w:sz="4" w:space="0" w:color="000000"/>
            </w:tcBorders>
            <w:shd w:val="clear" w:color="auto" w:fill="DEEAF6"/>
          </w:tcPr>
          <w:p>
            <w:pPr>
              <w:pStyle w:val="TableParagraph"/>
              <w:spacing w:before="79"/>
              <w:ind w:left="274" w:right="255"/>
              <w:jc w:val="center"/>
              <w:rPr>
                <w:b/>
                <w:sz w:val="12"/>
              </w:rPr>
            </w:pPr>
            <w:r>
              <w:rPr>
                <w:b/>
                <w:w w:val="105"/>
                <w:sz w:val="12"/>
              </w:rPr>
              <w:t>FIISC</w:t>
            </w:r>
          </w:p>
        </w:tc>
        <w:tc>
          <w:tcPr>
            <w:tcW w:w="813" w:type="dxa"/>
            <w:tcBorders>
              <w:left w:val="single" w:sz="4" w:space="0" w:color="000000"/>
              <w:right w:val="single" w:sz="4" w:space="0" w:color="000000"/>
            </w:tcBorders>
            <w:shd w:val="clear" w:color="auto" w:fill="DEEAF6"/>
          </w:tcPr>
          <w:p>
            <w:pPr>
              <w:pStyle w:val="TableParagraph"/>
              <w:spacing w:line="150" w:lineRule="atLeast" w:before="1"/>
              <w:ind w:left="248" w:right="191" w:hanging="36"/>
              <w:rPr>
                <w:b/>
                <w:sz w:val="12"/>
              </w:rPr>
            </w:pPr>
            <w:r>
              <w:rPr>
                <w:b/>
                <w:sz w:val="12"/>
              </w:rPr>
              <w:t>MUSEO </w:t>
            </w:r>
            <w:r>
              <w:rPr>
                <w:b/>
                <w:w w:val="105"/>
                <w:sz w:val="12"/>
              </w:rPr>
              <w:t>ELDER</w:t>
            </w:r>
          </w:p>
        </w:tc>
        <w:tc>
          <w:tcPr>
            <w:tcW w:w="882" w:type="dxa"/>
            <w:tcBorders>
              <w:left w:val="single" w:sz="4" w:space="0" w:color="000000"/>
            </w:tcBorders>
            <w:shd w:val="clear" w:color="auto" w:fill="DEEAF6"/>
          </w:tcPr>
          <w:p>
            <w:pPr>
              <w:pStyle w:val="TableParagraph"/>
              <w:spacing w:line="150" w:lineRule="atLeast" w:before="1"/>
              <w:ind w:left="261" w:right="213" w:hanging="21"/>
              <w:rPr>
                <w:b/>
                <w:sz w:val="12"/>
              </w:rPr>
            </w:pPr>
            <w:r>
              <w:rPr>
                <w:b/>
                <w:sz w:val="12"/>
              </w:rPr>
              <w:t>ACCION </w:t>
            </w:r>
            <w:r>
              <w:rPr>
                <w:b/>
                <w:w w:val="105"/>
                <w:sz w:val="12"/>
              </w:rPr>
              <w:t>SOCIAL</w:t>
            </w:r>
          </w:p>
        </w:tc>
        <w:tc>
          <w:tcPr>
            <w:tcW w:w="990" w:type="dxa"/>
            <w:shd w:val="clear" w:color="auto" w:fill="DEEAF6"/>
          </w:tcPr>
          <w:p>
            <w:pPr>
              <w:pStyle w:val="TableParagraph"/>
              <w:spacing w:before="79"/>
              <w:ind w:left="196"/>
              <w:rPr>
                <w:b/>
                <w:sz w:val="12"/>
              </w:rPr>
            </w:pPr>
            <w:r>
              <w:rPr>
                <w:b/>
                <w:w w:val="105"/>
                <w:sz w:val="12"/>
              </w:rPr>
              <w:t>AGREGADO</w:t>
            </w:r>
          </w:p>
        </w:tc>
      </w:tr>
      <w:tr>
        <w:trPr>
          <w:trHeight w:val="209" w:hRule="atLeast"/>
        </w:trPr>
        <w:tc>
          <w:tcPr>
            <w:tcW w:w="3412" w:type="dxa"/>
            <w:tcBorders>
              <w:bottom w:val="single" w:sz="4" w:space="0" w:color="000000"/>
              <w:right w:val="single" w:sz="4" w:space="0" w:color="000000"/>
            </w:tcBorders>
          </w:tcPr>
          <w:p>
            <w:pPr>
              <w:pStyle w:val="TableParagraph"/>
              <w:spacing w:before="33"/>
              <w:ind w:left="55"/>
              <w:rPr>
                <w:b/>
                <w:sz w:val="12"/>
              </w:rPr>
            </w:pPr>
            <w:r>
              <w:rPr>
                <w:b/>
                <w:w w:val="105"/>
                <w:sz w:val="12"/>
              </w:rPr>
              <w:t>PATRIMONIO NETO</w:t>
            </w:r>
          </w:p>
        </w:tc>
        <w:tc>
          <w:tcPr>
            <w:tcW w:w="992" w:type="dxa"/>
            <w:tcBorders>
              <w:left w:val="single" w:sz="4" w:space="0" w:color="000000"/>
              <w:bottom w:val="single" w:sz="4" w:space="0" w:color="000000"/>
              <w:right w:val="single" w:sz="4" w:space="0" w:color="000000"/>
            </w:tcBorders>
          </w:tcPr>
          <w:p>
            <w:pPr>
              <w:pStyle w:val="TableParagraph"/>
              <w:spacing w:line="127" w:lineRule="exact" w:before="63"/>
              <w:ind w:right="37"/>
              <w:jc w:val="right"/>
              <w:rPr>
                <w:b/>
                <w:sz w:val="12"/>
              </w:rPr>
            </w:pPr>
            <w:r>
              <w:rPr>
                <w:b/>
                <w:w w:val="105"/>
                <w:sz w:val="12"/>
              </w:rPr>
              <w:t>184.413,86</w:t>
            </w:r>
          </w:p>
        </w:tc>
        <w:tc>
          <w:tcPr>
            <w:tcW w:w="770" w:type="dxa"/>
            <w:tcBorders>
              <w:left w:val="single" w:sz="4" w:space="0" w:color="000000"/>
              <w:bottom w:val="single" w:sz="4" w:space="0" w:color="000000"/>
              <w:right w:val="single" w:sz="4" w:space="0" w:color="000000"/>
            </w:tcBorders>
          </w:tcPr>
          <w:p>
            <w:pPr>
              <w:pStyle w:val="TableParagraph"/>
              <w:spacing w:line="127" w:lineRule="exact" w:before="63"/>
              <w:ind w:right="35"/>
              <w:jc w:val="right"/>
              <w:rPr>
                <w:b/>
                <w:sz w:val="12"/>
              </w:rPr>
            </w:pPr>
            <w:r>
              <w:rPr>
                <w:b/>
                <w:w w:val="105"/>
                <w:sz w:val="12"/>
              </w:rPr>
              <w:t>105.807,71</w:t>
            </w:r>
          </w:p>
        </w:tc>
        <w:tc>
          <w:tcPr>
            <w:tcW w:w="882" w:type="dxa"/>
            <w:tcBorders>
              <w:left w:val="single" w:sz="4" w:space="0" w:color="000000"/>
              <w:bottom w:val="single" w:sz="4" w:space="0" w:color="000000"/>
              <w:right w:val="single" w:sz="4" w:space="0" w:color="000000"/>
            </w:tcBorders>
          </w:tcPr>
          <w:p>
            <w:pPr>
              <w:pStyle w:val="TableParagraph"/>
              <w:spacing w:line="127" w:lineRule="exact" w:before="63"/>
              <w:ind w:right="37"/>
              <w:jc w:val="right"/>
              <w:rPr>
                <w:b/>
                <w:sz w:val="12"/>
              </w:rPr>
            </w:pPr>
            <w:r>
              <w:rPr>
                <w:b/>
                <w:w w:val="105"/>
                <w:sz w:val="12"/>
              </w:rPr>
              <w:t>832.032,96</w:t>
            </w:r>
          </w:p>
        </w:tc>
        <w:tc>
          <w:tcPr>
            <w:tcW w:w="880" w:type="dxa"/>
            <w:tcBorders>
              <w:left w:val="single" w:sz="4" w:space="0" w:color="000000"/>
              <w:bottom w:val="single" w:sz="4" w:space="0" w:color="000000"/>
              <w:right w:val="single" w:sz="4" w:space="0" w:color="000000"/>
            </w:tcBorders>
          </w:tcPr>
          <w:p>
            <w:pPr>
              <w:pStyle w:val="TableParagraph"/>
              <w:spacing w:line="127" w:lineRule="exact" w:before="63"/>
              <w:ind w:right="36"/>
              <w:jc w:val="right"/>
              <w:rPr>
                <w:b/>
                <w:sz w:val="12"/>
              </w:rPr>
            </w:pPr>
            <w:r>
              <w:rPr>
                <w:b/>
                <w:w w:val="105"/>
                <w:sz w:val="12"/>
              </w:rPr>
              <w:t>104.667,35</w:t>
            </w:r>
          </w:p>
        </w:tc>
        <w:tc>
          <w:tcPr>
            <w:tcW w:w="839" w:type="dxa"/>
            <w:tcBorders>
              <w:left w:val="single" w:sz="4" w:space="0" w:color="000000"/>
              <w:bottom w:val="single" w:sz="4" w:space="0" w:color="000000"/>
              <w:right w:val="single" w:sz="4" w:space="0" w:color="000000"/>
            </w:tcBorders>
          </w:tcPr>
          <w:p>
            <w:pPr>
              <w:pStyle w:val="TableParagraph"/>
              <w:spacing w:line="127" w:lineRule="exact" w:before="63"/>
              <w:ind w:right="36"/>
              <w:jc w:val="right"/>
              <w:rPr>
                <w:b/>
                <w:sz w:val="12"/>
              </w:rPr>
            </w:pPr>
            <w:r>
              <w:rPr>
                <w:b/>
                <w:w w:val="105"/>
                <w:sz w:val="12"/>
              </w:rPr>
              <w:t>6.084.333,00</w:t>
            </w:r>
          </w:p>
        </w:tc>
        <w:tc>
          <w:tcPr>
            <w:tcW w:w="813" w:type="dxa"/>
            <w:tcBorders>
              <w:left w:val="single" w:sz="4" w:space="0" w:color="000000"/>
              <w:bottom w:val="single" w:sz="4" w:space="0" w:color="000000"/>
              <w:right w:val="single" w:sz="4" w:space="0" w:color="000000"/>
            </w:tcBorders>
          </w:tcPr>
          <w:p>
            <w:pPr>
              <w:pStyle w:val="TableParagraph"/>
              <w:spacing w:line="127" w:lineRule="exact" w:before="63"/>
              <w:ind w:right="36"/>
              <w:jc w:val="right"/>
              <w:rPr>
                <w:b/>
                <w:sz w:val="12"/>
              </w:rPr>
            </w:pPr>
            <w:r>
              <w:rPr>
                <w:b/>
                <w:w w:val="105"/>
                <w:sz w:val="12"/>
              </w:rPr>
              <w:t>2.259.809,91</w:t>
            </w:r>
          </w:p>
        </w:tc>
        <w:tc>
          <w:tcPr>
            <w:tcW w:w="882" w:type="dxa"/>
            <w:tcBorders>
              <w:left w:val="single" w:sz="4" w:space="0" w:color="000000"/>
              <w:bottom w:val="single" w:sz="4" w:space="0" w:color="000000"/>
            </w:tcBorders>
          </w:tcPr>
          <w:p>
            <w:pPr>
              <w:pStyle w:val="TableParagraph"/>
              <w:spacing w:line="127" w:lineRule="exact" w:before="63"/>
              <w:ind w:right="33"/>
              <w:jc w:val="right"/>
              <w:rPr>
                <w:b/>
                <w:sz w:val="12"/>
              </w:rPr>
            </w:pPr>
            <w:r>
              <w:rPr>
                <w:b/>
                <w:w w:val="105"/>
                <w:sz w:val="12"/>
              </w:rPr>
              <w:t>876.152,36</w:t>
            </w:r>
          </w:p>
        </w:tc>
        <w:tc>
          <w:tcPr>
            <w:tcW w:w="990" w:type="dxa"/>
            <w:tcBorders>
              <w:bottom w:val="single" w:sz="4" w:space="0" w:color="000000"/>
            </w:tcBorders>
          </w:tcPr>
          <w:p>
            <w:pPr>
              <w:pStyle w:val="TableParagraph"/>
              <w:spacing w:line="127" w:lineRule="exact" w:before="63"/>
              <w:ind w:right="32"/>
              <w:jc w:val="right"/>
              <w:rPr>
                <w:b/>
                <w:sz w:val="12"/>
              </w:rPr>
            </w:pPr>
            <w:r>
              <w:rPr>
                <w:b/>
                <w:w w:val="105"/>
                <w:sz w:val="12"/>
              </w:rPr>
              <w:t>10.447.217,15</w:t>
            </w:r>
          </w:p>
        </w:tc>
      </w:tr>
      <w:tr>
        <w:trPr>
          <w:trHeight w:val="197" w:hRule="atLeast"/>
        </w:trPr>
        <w:tc>
          <w:tcPr>
            <w:tcW w:w="3412" w:type="dxa"/>
            <w:tcBorders>
              <w:top w:val="single" w:sz="4" w:space="0" w:color="000000"/>
              <w:bottom w:val="single" w:sz="4" w:space="0" w:color="000000"/>
              <w:right w:val="single" w:sz="4" w:space="0" w:color="000000"/>
            </w:tcBorders>
          </w:tcPr>
          <w:p>
            <w:pPr>
              <w:pStyle w:val="TableParagraph"/>
              <w:spacing w:before="26"/>
              <w:ind w:left="55"/>
              <w:rPr>
                <w:b/>
                <w:sz w:val="12"/>
              </w:rPr>
            </w:pPr>
            <w:r>
              <w:rPr>
                <w:b/>
                <w:w w:val="105"/>
                <w:sz w:val="12"/>
              </w:rPr>
              <w:t>FONDOS PROPIOS</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6"/>
              <w:ind w:right="37"/>
              <w:jc w:val="right"/>
              <w:rPr>
                <w:b/>
                <w:sz w:val="12"/>
              </w:rPr>
            </w:pPr>
            <w:r>
              <w:rPr>
                <w:b/>
                <w:w w:val="105"/>
                <w:sz w:val="12"/>
              </w:rPr>
              <w:t>155.831,93</w:t>
            </w:r>
          </w:p>
        </w:tc>
        <w:tc>
          <w:tcPr>
            <w:tcW w:w="770" w:type="dxa"/>
            <w:tcBorders>
              <w:top w:val="single" w:sz="4" w:space="0" w:color="000000"/>
              <w:left w:val="single" w:sz="4" w:space="0" w:color="000000"/>
              <w:bottom w:val="single" w:sz="4" w:space="0" w:color="000000"/>
              <w:right w:val="single" w:sz="4" w:space="0" w:color="000000"/>
            </w:tcBorders>
          </w:tcPr>
          <w:p>
            <w:pPr>
              <w:pStyle w:val="TableParagraph"/>
              <w:spacing w:before="26"/>
              <w:ind w:right="35"/>
              <w:jc w:val="right"/>
              <w:rPr>
                <w:b/>
                <w:sz w:val="12"/>
              </w:rPr>
            </w:pPr>
            <w:r>
              <w:rPr>
                <w:b/>
                <w:w w:val="105"/>
                <w:sz w:val="12"/>
              </w:rPr>
              <w:t>30.000,00</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6"/>
              <w:ind w:right="36"/>
              <w:jc w:val="right"/>
              <w:rPr>
                <w:b/>
                <w:sz w:val="12"/>
              </w:rPr>
            </w:pPr>
            <w:r>
              <w:rPr>
                <w:b/>
                <w:w w:val="105"/>
                <w:sz w:val="12"/>
              </w:rPr>
              <w:t>-103.716,10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6"/>
              <w:ind w:right="36"/>
              <w:jc w:val="right"/>
              <w:rPr>
                <w:b/>
                <w:sz w:val="12"/>
              </w:rPr>
            </w:pPr>
            <w:r>
              <w:rPr>
                <w:b/>
                <w:w w:val="105"/>
                <w:sz w:val="12"/>
              </w:rPr>
              <w:t>73.776,97</w:t>
            </w:r>
          </w:p>
        </w:tc>
        <w:tc>
          <w:tcPr>
            <w:tcW w:w="839" w:type="dxa"/>
            <w:tcBorders>
              <w:top w:val="single" w:sz="4" w:space="0" w:color="000000"/>
              <w:left w:val="single" w:sz="4" w:space="0" w:color="000000"/>
              <w:bottom w:val="single" w:sz="4" w:space="0" w:color="000000"/>
              <w:right w:val="single" w:sz="4" w:space="0" w:color="000000"/>
            </w:tcBorders>
          </w:tcPr>
          <w:p>
            <w:pPr>
              <w:pStyle w:val="TableParagraph"/>
              <w:spacing w:before="26"/>
              <w:ind w:right="36"/>
              <w:jc w:val="right"/>
              <w:rPr>
                <w:b/>
                <w:sz w:val="12"/>
              </w:rPr>
            </w:pPr>
            <w:r>
              <w:rPr>
                <w:b/>
                <w:w w:val="105"/>
                <w:sz w:val="12"/>
              </w:rPr>
              <w:t>1.352.598,00</w:t>
            </w:r>
          </w:p>
        </w:tc>
        <w:tc>
          <w:tcPr>
            <w:tcW w:w="813" w:type="dxa"/>
            <w:tcBorders>
              <w:top w:val="single" w:sz="4" w:space="0" w:color="000000"/>
              <w:left w:val="single" w:sz="4" w:space="0" w:color="000000"/>
              <w:bottom w:val="single" w:sz="4" w:space="0" w:color="000000"/>
              <w:right w:val="single" w:sz="4" w:space="0" w:color="000000"/>
            </w:tcBorders>
          </w:tcPr>
          <w:p>
            <w:pPr>
              <w:pStyle w:val="TableParagraph"/>
              <w:spacing w:before="26"/>
              <w:ind w:right="36"/>
              <w:jc w:val="right"/>
              <w:rPr>
                <w:b/>
                <w:sz w:val="12"/>
              </w:rPr>
            </w:pPr>
            <w:r>
              <w:rPr>
                <w:b/>
                <w:w w:val="105"/>
                <w:sz w:val="12"/>
              </w:rPr>
              <w:t>102.882,10</w:t>
            </w:r>
          </w:p>
        </w:tc>
        <w:tc>
          <w:tcPr>
            <w:tcW w:w="882" w:type="dxa"/>
            <w:tcBorders>
              <w:top w:val="single" w:sz="4" w:space="0" w:color="000000"/>
              <w:left w:val="single" w:sz="4" w:space="0" w:color="000000"/>
              <w:bottom w:val="single" w:sz="4" w:space="0" w:color="000000"/>
            </w:tcBorders>
          </w:tcPr>
          <w:p>
            <w:pPr>
              <w:pStyle w:val="TableParagraph"/>
              <w:spacing w:before="26"/>
              <w:ind w:right="33"/>
              <w:jc w:val="right"/>
              <w:rPr>
                <w:b/>
                <w:sz w:val="12"/>
              </w:rPr>
            </w:pPr>
            <w:r>
              <w:rPr>
                <w:b/>
                <w:w w:val="105"/>
                <w:sz w:val="12"/>
              </w:rPr>
              <w:t>33.063,31</w:t>
            </w:r>
          </w:p>
        </w:tc>
        <w:tc>
          <w:tcPr>
            <w:tcW w:w="990" w:type="dxa"/>
            <w:tcBorders>
              <w:top w:val="single" w:sz="4" w:space="0" w:color="000000"/>
              <w:bottom w:val="single" w:sz="4" w:space="0" w:color="000000"/>
            </w:tcBorders>
          </w:tcPr>
          <w:p>
            <w:pPr>
              <w:pStyle w:val="TableParagraph"/>
              <w:spacing w:before="26"/>
              <w:ind w:right="32"/>
              <w:jc w:val="right"/>
              <w:rPr>
                <w:b/>
                <w:sz w:val="12"/>
              </w:rPr>
            </w:pPr>
            <w:r>
              <w:rPr>
                <w:b/>
                <w:w w:val="105"/>
                <w:sz w:val="12"/>
              </w:rPr>
              <w:t>1.644.436,21</w:t>
            </w:r>
          </w:p>
        </w:tc>
      </w:tr>
      <w:tr>
        <w:trPr>
          <w:trHeight w:val="988" w:hRule="atLeast"/>
        </w:trPr>
        <w:tc>
          <w:tcPr>
            <w:tcW w:w="3412" w:type="dxa"/>
            <w:tcBorders>
              <w:top w:val="single" w:sz="4" w:space="0" w:color="000000"/>
              <w:bottom w:val="single" w:sz="4" w:space="0" w:color="000000"/>
              <w:right w:val="single" w:sz="4" w:space="0" w:color="000000"/>
            </w:tcBorders>
          </w:tcPr>
          <w:p>
            <w:pPr>
              <w:pStyle w:val="TableParagraph"/>
              <w:spacing w:line="328" w:lineRule="auto" w:before="24"/>
              <w:ind w:left="55" w:right="1075"/>
              <w:rPr>
                <w:sz w:val="12"/>
              </w:rPr>
            </w:pPr>
            <w:r>
              <w:rPr>
                <w:w w:val="105"/>
                <w:sz w:val="12"/>
              </w:rPr>
              <w:t>Dotación fundacional / Fondo social Reservas</w:t>
            </w:r>
          </w:p>
          <w:p>
            <w:pPr>
              <w:pStyle w:val="TableParagraph"/>
              <w:spacing w:line="143" w:lineRule="exact"/>
              <w:ind w:left="55"/>
              <w:rPr>
                <w:sz w:val="12"/>
              </w:rPr>
            </w:pPr>
            <w:r>
              <w:rPr>
                <w:w w:val="105"/>
                <w:sz w:val="12"/>
              </w:rPr>
              <w:t>Excedentes de ejercicios anteriores</w:t>
            </w:r>
          </w:p>
          <w:p>
            <w:pPr>
              <w:pStyle w:val="TableParagraph"/>
              <w:spacing w:line="190" w:lineRule="atLeast" w:before="8"/>
              <w:ind w:left="55" w:right="633"/>
              <w:rPr>
                <w:sz w:val="12"/>
              </w:rPr>
            </w:pPr>
            <w:r>
              <w:rPr>
                <w:w w:val="105"/>
                <w:sz w:val="12"/>
              </w:rPr>
              <w:t>Otras aportaciones de fundadores/asociados Excedentes del ejercicio</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4"/>
              <w:ind w:left="436"/>
              <w:rPr>
                <w:sz w:val="12"/>
              </w:rPr>
            </w:pPr>
            <w:r>
              <w:rPr>
                <w:w w:val="105"/>
                <w:sz w:val="12"/>
              </w:rPr>
              <w:t>60.101,21</w:t>
            </w:r>
          </w:p>
          <w:p>
            <w:pPr>
              <w:pStyle w:val="TableParagraph"/>
              <w:rPr>
                <w:b/>
                <w:sz w:val="12"/>
              </w:rPr>
            </w:pPr>
          </w:p>
          <w:p>
            <w:pPr>
              <w:pStyle w:val="TableParagraph"/>
              <w:spacing w:before="105"/>
              <w:ind w:left="436"/>
              <w:rPr>
                <w:sz w:val="12"/>
              </w:rPr>
            </w:pPr>
            <w:r>
              <w:rPr>
                <w:w w:val="105"/>
                <w:sz w:val="12"/>
              </w:rPr>
              <w:t>60.697,62</w:t>
            </w:r>
          </w:p>
          <w:p>
            <w:pPr>
              <w:pStyle w:val="TableParagraph"/>
              <w:rPr>
                <w:b/>
                <w:sz w:val="12"/>
              </w:rPr>
            </w:pPr>
          </w:p>
          <w:p>
            <w:pPr>
              <w:pStyle w:val="TableParagraph"/>
              <w:spacing w:before="102"/>
              <w:ind w:left="436"/>
              <w:rPr>
                <w:sz w:val="12"/>
              </w:rPr>
            </w:pPr>
            <w:r>
              <w:rPr>
                <w:w w:val="105"/>
                <w:sz w:val="12"/>
              </w:rPr>
              <w:t>35.033,10</w:t>
            </w:r>
          </w:p>
        </w:tc>
        <w:tc>
          <w:tcPr>
            <w:tcW w:w="770" w:type="dxa"/>
            <w:tcBorders>
              <w:top w:val="single" w:sz="4" w:space="0" w:color="000000"/>
              <w:left w:val="single" w:sz="4" w:space="0" w:color="000000"/>
              <w:bottom w:val="single" w:sz="4" w:space="0" w:color="000000"/>
              <w:right w:val="single" w:sz="4" w:space="0" w:color="000000"/>
            </w:tcBorders>
          </w:tcPr>
          <w:p>
            <w:pPr>
              <w:pStyle w:val="TableParagraph"/>
              <w:spacing w:before="24"/>
              <w:ind w:right="35"/>
              <w:jc w:val="right"/>
              <w:rPr>
                <w:sz w:val="12"/>
              </w:rPr>
            </w:pPr>
            <w:r>
              <w:rPr>
                <w:w w:val="105"/>
                <w:sz w:val="12"/>
              </w:rPr>
              <w:t>30.000,00</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4"/>
              <w:ind w:right="37"/>
              <w:jc w:val="right"/>
              <w:rPr>
                <w:sz w:val="12"/>
              </w:rPr>
            </w:pPr>
            <w:r>
              <w:rPr>
                <w:spacing w:val="-1"/>
                <w:w w:val="105"/>
                <w:sz w:val="12"/>
              </w:rPr>
              <w:t>220.000,00</w:t>
            </w:r>
          </w:p>
          <w:p>
            <w:pPr>
              <w:pStyle w:val="TableParagraph"/>
              <w:spacing w:before="54"/>
              <w:ind w:right="37"/>
              <w:jc w:val="right"/>
              <w:rPr>
                <w:sz w:val="12"/>
              </w:rPr>
            </w:pPr>
            <w:r>
              <w:rPr>
                <w:spacing w:val="-1"/>
                <w:w w:val="105"/>
                <w:sz w:val="12"/>
              </w:rPr>
              <w:t>-696,89</w:t>
            </w:r>
          </w:p>
          <w:p>
            <w:pPr>
              <w:pStyle w:val="TableParagraph"/>
              <w:spacing w:before="51"/>
              <w:ind w:right="37"/>
              <w:jc w:val="right"/>
              <w:rPr>
                <w:sz w:val="12"/>
              </w:rPr>
            </w:pPr>
            <w:r>
              <w:rPr>
                <w:spacing w:val="-1"/>
                <w:w w:val="105"/>
                <w:sz w:val="12"/>
              </w:rPr>
              <w:t>-906.784,68</w:t>
            </w:r>
          </w:p>
          <w:p>
            <w:pPr>
              <w:pStyle w:val="TableParagraph"/>
              <w:spacing w:before="51"/>
              <w:ind w:right="37"/>
              <w:jc w:val="right"/>
              <w:rPr>
                <w:sz w:val="12"/>
              </w:rPr>
            </w:pPr>
            <w:r>
              <w:rPr>
                <w:spacing w:val="-1"/>
                <w:w w:val="105"/>
                <w:sz w:val="12"/>
              </w:rPr>
              <w:t>689.541,26</w:t>
            </w:r>
          </w:p>
          <w:p>
            <w:pPr>
              <w:pStyle w:val="TableParagraph"/>
              <w:spacing w:before="51"/>
              <w:ind w:right="37"/>
              <w:jc w:val="right"/>
              <w:rPr>
                <w:sz w:val="12"/>
              </w:rPr>
            </w:pPr>
            <w:r>
              <w:rPr>
                <w:spacing w:val="-1"/>
                <w:w w:val="105"/>
                <w:sz w:val="12"/>
              </w:rPr>
              <w:t>-105.775,79</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4"/>
              <w:ind w:right="36"/>
              <w:jc w:val="right"/>
              <w:rPr>
                <w:sz w:val="12"/>
              </w:rPr>
            </w:pPr>
            <w:r>
              <w:rPr>
                <w:spacing w:val="-1"/>
                <w:w w:val="105"/>
                <w:sz w:val="12"/>
              </w:rPr>
              <w:t>60.101,21</w:t>
            </w:r>
          </w:p>
          <w:p>
            <w:pPr>
              <w:pStyle w:val="TableParagraph"/>
              <w:spacing w:before="54"/>
              <w:ind w:right="36"/>
              <w:jc w:val="right"/>
              <w:rPr>
                <w:sz w:val="12"/>
              </w:rPr>
            </w:pPr>
            <w:r>
              <w:rPr>
                <w:spacing w:val="-1"/>
                <w:w w:val="105"/>
                <w:sz w:val="12"/>
              </w:rPr>
              <w:t>11.738,56</w:t>
            </w:r>
          </w:p>
          <w:p>
            <w:pPr>
              <w:pStyle w:val="TableParagraph"/>
              <w:spacing w:before="51"/>
              <w:ind w:right="36"/>
              <w:jc w:val="right"/>
              <w:rPr>
                <w:sz w:val="12"/>
              </w:rPr>
            </w:pPr>
            <w:r>
              <w:rPr>
                <w:spacing w:val="-1"/>
                <w:w w:val="105"/>
                <w:sz w:val="12"/>
              </w:rPr>
              <w:t>1.937,20</w:t>
            </w:r>
          </w:p>
          <w:p>
            <w:pPr>
              <w:pStyle w:val="TableParagraph"/>
              <w:spacing w:before="51"/>
              <w:ind w:right="36"/>
              <w:jc w:val="right"/>
              <w:rPr>
                <w:sz w:val="12"/>
              </w:rPr>
            </w:pPr>
            <w:r>
              <w:rPr>
                <w:spacing w:val="-1"/>
                <w:w w:val="105"/>
                <w:sz w:val="12"/>
              </w:rPr>
              <w:t>0,00</w:t>
            </w:r>
          </w:p>
          <w:p>
            <w:pPr>
              <w:pStyle w:val="TableParagraph"/>
              <w:spacing w:before="51"/>
              <w:ind w:right="36"/>
              <w:jc w:val="right"/>
              <w:rPr>
                <w:sz w:val="12"/>
              </w:rPr>
            </w:pPr>
            <w:r>
              <w:rPr>
                <w:spacing w:val="-1"/>
                <w:w w:val="105"/>
                <w:sz w:val="12"/>
              </w:rPr>
              <w:t>0,00</w:t>
            </w:r>
          </w:p>
        </w:tc>
        <w:tc>
          <w:tcPr>
            <w:tcW w:w="839" w:type="dxa"/>
            <w:tcBorders>
              <w:top w:val="single" w:sz="4" w:space="0" w:color="000000"/>
              <w:left w:val="single" w:sz="4" w:space="0" w:color="000000"/>
              <w:bottom w:val="single" w:sz="4" w:space="0" w:color="000000"/>
              <w:right w:val="single" w:sz="4" w:space="0" w:color="000000"/>
            </w:tcBorders>
          </w:tcPr>
          <w:p>
            <w:pPr>
              <w:pStyle w:val="TableParagraph"/>
              <w:spacing w:before="24"/>
              <w:ind w:right="36"/>
              <w:jc w:val="right"/>
              <w:rPr>
                <w:sz w:val="12"/>
              </w:rPr>
            </w:pPr>
            <w:r>
              <w:rPr>
                <w:spacing w:val="-1"/>
                <w:w w:val="105"/>
                <w:sz w:val="12"/>
              </w:rPr>
              <w:t>82.339,00</w:t>
            </w:r>
          </w:p>
          <w:p>
            <w:pPr>
              <w:pStyle w:val="TableParagraph"/>
              <w:rPr>
                <w:b/>
                <w:sz w:val="12"/>
              </w:rPr>
            </w:pPr>
          </w:p>
          <w:p>
            <w:pPr>
              <w:pStyle w:val="TableParagraph"/>
              <w:spacing w:before="105"/>
              <w:ind w:right="36"/>
              <w:jc w:val="right"/>
              <w:rPr>
                <w:sz w:val="12"/>
              </w:rPr>
            </w:pPr>
            <w:r>
              <w:rPr>
                <w:spacing w:val="-1"/>
                <w:w w:val="105"/>
                <w:sz w:val="12"/>
              </w:rPr>
              <w:t>1.237.483,00</w:t>
            </w:r>
          </w:p>
          <w:p>
            <w:pPr>
              <w:pStyle w:val="TableParagraph"/>
              <w:rPr>
                <w:b/>
                <w:sz w:val="12"/>
              </w:rPr>
            </w:pPr>
          </w:p>
          <w:p>
            <w:pPr>
              <w:pStyle w:val="TableParagraph"/>
              <w:spacing w:before="102"/>
              <w:ind w:right="36"/>
              <w:jc w:val="right"/>
              <w:rPr>
                <w:sz w:val="12"/>
              </w:rPr>
            </w:pPr>
            <w:r>
              <w:rPr>
                <w:spacing w:val="-1"/>
                <w:w w:val="105"/>
                <w:sz w:val="12"/>
              </w:rPr>
              <w:t>32.776,00</w:t>
            </w:r>
          </w:p>
        </w:tc>
        <w:tc>
          <w:tcPr>
            <w:tcW w:w="813" w:type="dxa"/>
            <w:tcBorders>
              <w:top w:val="single" w:sz="4" w:space="0" w:color="000000"/>
              <w:left w:val="single" w:sz="4" w:space="0" w:color="000000"/>
              <w:bottom w:val="single" w:sz="4" w:space="0" w:color="000000"/>
              <w:right w:val="single" w:sz="4" w:space="0" w:color="000000"/>
            </w:tcBorders>
          </w:tcPr>
          <w:p>
            <w:pPr>
              <w:pStyle w:val="TableParagraph"/>
              <w:spacing w:before="24"/>
              <w:ind w:right="36"/>
              <w:jc w:val="right"/>
              <w:rPr>
                <w:sz w:val="12"/>
              </w:rPr>
            </w:pPr>
            <w:r>
              <w:rPr>
                <w:spacing w:val="-1"/>
                <w:w w:val="105"/>
                <w:sz w:val="12"/>
              </w:rPr>
              <w:t>601.012,10</w:t>
            </w:r>
          </w:p>
          <w:p>
            <w:pPr>
              <w:pStyle w:val="TableParagraph"/>
              <w:rPr>
                <w:b/>
                <w:sz w:val="12"/>
              </w:rPr>
            </w:pPr>
          </w:p>
          <w:p>
            <w:pPr>
              <w:pStyle w:val="TableParagraph"/>
              <w:spacing w:before="105"/>
              <w:ind w:right="36"/>
              <w:jc w:val="right"/>
              <w:rPr>
                <w:sz w:val="12"/>
              </w:rPr>
            </w:pPr>
            <w:r>
              <w:rPr>
                <w:spacing w:val="-1"/>
                <w:w w:val="105"/>
                <w:sz w:val="12"/>
              </w:rPr>
              <w:t>-499.879,17</w:t>
            </w:r>
          </w:p>
          <w:p>
            <w:pPr>
              <w:pStyle w:val="TableParagraph"/>
              <w:rPr>
                <w:b/>
                <w:sz w:val="12"/>
              </w:rPr>
            </w:pPr>
          </w:p>
          <w:p>
            <w:pPr>
              <w:pStyle w:val="TableParagraph"/>
              <w:spacing w:before="102"/>
              <w:ind w:right="36"/>
              <w:jc w:val="right"/>
              <w:rPr>
                <w:sz w:val="12"/>
              </w:rPr>
            </w:pPr>
            <w:r>
              <w:rPr>
                <w:spacing w:val="-1"/>
                <w:w w:val="105"/>
                <w:sz w:val="12"/>
              </w:rPr>
              <w:t>1.749,17</w:t>
            </w:r>
          </w:p>
        </w:tc>
        <w:tc>
          <w:tcPr>
            <w:tcW w:w="882" w:type="dxa"/>
            <w:tcBorders>
              <w:top w:val="single" w:sz="4" w:space="0" w:color="000000"/>
              <w:left w:val="single" w:sz="4" w:space="0" w:color="000000"/>
              <w:bottom w:val="single" w:sz="4" w:space="0" w:color="000000"/>
            </w:tcBorders>
          </w:tcPr>
          <w:p>
            <w:pPr>
              <w:pStyle w:val="TableParagraph"/>
              <w:spacing w:before="24"/>
              <w:ind w:left="265"/>
              <w:rPr>
                <w:sz w:val="12"/>
              </w:rPr>
            </w:pPr>
            <w:r>
              <w:rPr>
                <w:w w:val="105"/>
                <w:sz w:val="12"/>
              </w:rPr>
              <w:t>152.884,00</w:t>
            </w:r>
          </w:p>
          <w:p>
            <w:pPr>
              <w:pStyle w:val="TableParagraph"/>
              <w:spacing w:before="54"/>
              <w:ind w:left="328"/>
              <w:rPr>
                <w:sz w:val="12"/>
              </w:rPr>
            </w:pPr>
            <w:r>
              <w:rPr>
                <w:w w:val="105"/>
                <w:sz w:val="12"/>
              </w:rPr>
              <w:t>26.987,64</w:t>
            </w:r>
          </w:p>
          <w:p>
            <w:pPr>
              <w:pStyle w:val="TableParagraph"/>
              <w:spacing w:before="51"/>
              <w:ind w:left="228"/>
              <w:rPr>
                <w:sz w:val="12"/>
              </w:rPr>
            </w:pPr>
            <w:r>
              <w:rPr>
                <w:w w:val="105"/>
                <w:sz w:val="12"/>
              </w:rPr>
              <w:t>-210.364,69</w:t>
            </w:r>
          </w:p>
          <w:p>
            <w:pPr>
              <w:pStyle w:val="TableParagraph"/>
              <w:rPr>
                <w:b/>
                <w:sz w:val="12"/>
              </w:rPr>
            </w:pPr>
          </w:p>
          <w:p>
            <w:pPr>
              <w:pStyle w:val="TableParagraph"/>
              <w:spacing w:before="102"/>
              <w:ind w:left="328"/>
              <w:rPr>
                <w:sz w:val="12"/>
              </w:rPr>
            </w:pPr>
            <w:r>
              <w:rPr>
                <w:w w:val="105"/>
                <w:sz w:val="12"/>
              </w:rPr>
              <w:t>63.556,36</w:t>
            </w:r>
          </w:p>
        </w:tc>
        <w:tc>
          <w:tcPr>
            <w:tcW w:w="990" w:type="dxa"/>
            <w:tcBorders>
              <w:top w:val="single" w:sz="4" w:space="0" w:color="000000"/>
              <w:bottom w:val="single" w:sz="4" w:space="0" w:color="000000"/>
            </w:tcBorders>
          </w:tcPr>
          <w:p>
            <w:pPr>
              <w:pStyle w:val="TableParagraph"/>
              <w:spacing w:before="48"/>
              <w:ind w:right="32"/>
              <w:jc w:val="right"/>
              <w:rPr>
                <w:b/>
                <w:sz w:val="12"/>
              </w:rPr>
            </w:pPr>
            <w:r>
              <w:rPr>
                <w:b/>
                <w:spacing w:val="-1"/>
                <w:w w:val="105"/>
                <w:sz w:val="12"/>
              </w:rPr>
              <w:t>1.206.437,52</w:t>
            </w:r>
          </w:p>
          <w:p>
            <w:pPr>
              <w:pStyle w:val="TableParagraph"/>
              <w:spacing w:before="52"/>
              <w:ind w:right="32"/>
              <w:jc w:val="right"/>
              <w:rPr>
                <w:b/>
                <w:sz w:val="12"/>
              </w:rPr>
            </w:pPr>
            <w:r>
              <w:rPr>
                <w:b/>
                <w:spacing w:val="-1"/>
                <w:w w:val="105"/>
                <w:sz w:val="12"/>
              </w:rPr>
              <w:t>38.029,31</w:t>
            </w:r>
          </w:p>
          <w:p>
            <w:pPr>
              <w:pStyle w:val="TableParagraph"/>
              <w:spacing w:before="51"/>
              <w:ind w:right="32"/>
              <w:jc w:val="right"/>
              <w:rPr>
                <w:b/>
                <w:sz w:val="12"/>
              </w:rPr>
            </w:pPr>
            <w:r>
              <w:rPr>
                <w:b/>
                <w:spacing w:val="-1"/>
                <w:w w:val="105"/>
                <w:sz w:val="12"/>
              </w:rPr>
              <w:t>-316.910,72</w:t>
            </w:r>
          </w:p>
          <w:p>
            <w:pPr>
              <w:pStyle w:val="TableParagraph"/>
              <w:spacing w:before="51"/>
              <w:ind w:right="32"/>
              <w:jc w:val="right"/>
              <w:rPr>
                <w:b/>
                <w:sz w:val="12"/>
              </w:rPr>
            </w:pPr>
            <w:r>
              <w:rPr>
                <w:b/>
                <w:spacing w:val="-1"/>
                <w:w w:val="105"/>
                <w:sz w:val="12"/>
              </w:rPr>
              <w:t>689.541,26</w:t>
            </w:r>
          </w:p>
          <w:p>
            <w:pPr>
              <w:pStyle w:val="TableParagraph"/>
              <w:spacing w:line="127" w:lineRule="exact" w:before="53"/>
              <w:ind w:right="32"/>
              <w:jc w:val="right"/>
              <w:rPr>
                <w:b/>
                <w:sz w:val="12"/>
              </w:rPr>
            </w:pPr>
            <w:r>
              <w:rPr>
                <w:b/>
                <w:spacing w:val="-1"/>
                <w:w w:val="105"/>
                <w:sz w:val="12"/>
              </w:rPr>
              <w:t>27.338,84</w:t>
            </w:r>
          </w:p>
        </w:tc>
      </w:tr>
      <w:tr>
        <w:trPr>
          <w:trHeight w:val="197" w:hRule="atLeast"/>
        </w:trPr>
        <w:tc>
          <w:tcPr>
            <w:tcW w:w="3412" w:type="dxa"/>
            <w:tcBorders>
              <w:top w:val="single" w:sz="4" w:space="0" w:color="000000"/>
              <w:bottom w:val="single" w:sz="4" w:space="0" w:color="000000"/>
              <w:right w:val="single" w:sz="4" w:space="0" w:color="000000"/>
            </w:tcBorders>
          </w:tcPr>
          <w:p>
            <w:pPr>
              <w:pStyle w:val="TableParagraph"/>
              <w:spacing w:before="26"/>
              <w:ind w:left="55"/>
              <w:rPr>
                <w:b/>
                <w:sz w:val="12"/>
              </w:rPr>
            </w:pPr>
            <w:r>
              <w:rPr>
                <w:b/>
                <w:w w:val="105"/>
                <w:sz w:val="12"/>
              </w:rPr>
              <w:t>AJUSTES POR CAMBIOS DE VALOR</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7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3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1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2" w:type="dxa"/>
            <w:tcBorders>
              <w:top w:val="single" w:sz="4" w:space="0" w:color="000000"/>
              <w:left w:val="single" w:sz="4" w:space="0" w:color="000000"/>
              <w:bottom w:val="single" w:sz="4" w:space="0" w:color="000000"/>
            </w:tcBorders>
          </w:tcPr>
          <w:p>
            <w:pPr>
              <w:pStyle w:val="TableParagraph"/>
              <w:rPr>
                <w:rFonts w:ascii="Times New Roman"/>
                <w:sz w:val="12"/>
              </w:rPr>
            </w:pPr>
          </w:p>
        </w:tc>
        <w:tc>
          <w:tcPr>
            <w:tcW w:w="990" w:type="dxa"/>
            <w:tcBorders>
              <w:top w:val="single" w:sz="4" w:space="0" w:color="000000"/>
              <w:bottom w:val="single" w:sz="4" w:space="0" w:color="000000"/>
            </w:tcBorders>
          </w:tcPr>
          <w:p>
            <w:pPr>
              <w:pStyle w:val="TableParagraph"/>
              <w:spacing w:line="128" w:lineRule="exact" w:before="48"/>
              <w:ind w:right="34"/>
              <w:jc w:val="right"/>
              <w:rPr>
                <w:b/>
                <w:sz w:val="12"/>
              </w:rPr>
            </w:pPr>
            <w:r>
              <w:rPr>
                <w:b/>
                <w:w w:val="105"/>
                <w:sz w:val="12"/>
              </w:rPr>
              <w:t>0,00</w:t>
            </w:r>
          </w:p>
        </w:tc>
      </w:tr>
      <w:tr>
        <w:trPr>
          <w:trHeight w:val="206" w:hRule="atLeast"/>
        </w:trPr>
        <w:tc>
          <w:tcPr>
            <w:tcW w:w="3412" w:type="dxa"/>
            <w:tcBorders>
              <w:top w:val="single" w:sz="4" w:space="0" w:color="000000"/>
              <w:bottom w:val="single" w:sz="4" w:space="0" w:color="000000"/>
              <w:right w:val="single" w:sz="4" w:space="0" w:color="000000"/>
            </w:tcBorders>
          </w:tcPr>
          <w:p>
            <w:pPr>
              <w:pStyle w:val="TableParagraph"/>
              <w:spacing w:before="30"/>
              <w:ind w:left="55"/>
              <w:rPr>
                <w:b/>
                <w:sz w:val="12"/>
              </w:rPr>
            </w:pPr>
            <w:r>
              <w:rPr>
                <w:b/>
                <w:w w:val="105"/>
                <w:sz w:val="12"/>
              </w:rPr>
              <w:t>SUBVENCIONES, DONACIONES Y LEGADOS RECIBIDOS</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0"/>
              <w:ind w:right="37"/>
              <w:jc w:val="right"/>
              <w:rPr>
                <w:b/>
                <w:sz w:val="12"/>
              </w:rPr>
            </w:pPr>
            <w:r>
              <w:rPr>
                <w:b/>
                <w:w w:val="105"/>
                <w:sz w:val="12"/>
              </w:rPr>
              <w:t>28.581,93</w:t>
            </w:r>
          </w:p>
        </w:tc>
        <w:tc>
          <w:tcPr>
            <w:tcW w:w="770" w:type="dxa"/>
            <w:tcBorders>
              <w:top w:val="single" w:sz="4" w:space="0" w:color="000000"/>
              <w:left w:val="single" w:sz="4" w:space="0" w:color="000000"/>
              <w:bottom w:val="single" w:sz="4" w:space="0" w:color="000000"/>
              <w:right w:val="single" w:sz="4" w:space="0" w:color="000000"/>
            </w:tcBorders>
          </w:tcPr>
          <w:p>
            <w:pPr>
              <w:pStyle w:val="TableParagraph"/>
              <w:spacing w:before="30"/>
              <w:ind w:right="35"/>
              <w:jc w:val="right"/>
              <w:rPr>
                <w:b/>
                <w:sz w:val="12"/>
              </w:rPr>
            </w:pPr>
            <w:r>
              <w:rPr>
                <w:b/>
                <w:w w:val="105"/>
                <w:sz w:val="12"/>
              </w:rPr>
              <w:t>75.807,71</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30"/>
              <w:ind w:right="37"/>
              <w:jc w:val="right"/>
              <w:rPr>
                <w:b/>
                <w:sz w:val="12"/>
              </w:rPr>
            </w:pPr>
            <w:r>
              <w:rPr>
                <w:b/>
                <w:w w:val="105"/>
                <w:sz w:val="12"/>
              </w:rPr>
              <w:t>935.749,06</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30"/>
              <w:ind w:right="36"/>
              <w:jc w:val="right"/>
              <w:rPr>
                <w:b/>
                <w:sz w:val="12"/>
              </w:rPr>
            </w:pPr>
            <w:r>
              <w:rPr>
                <w:b/>
                <w:w w:val="105"/>
                <w:sz w:val="12"/>
              </w:rPr>
              <w:t>30.890,38</w:t>
            </w:r>
          </w:p>
        </w:tc>
        <w:tc>
          <w:tcPr>
            <w:tcW w:w="839" w:type="dxa"/>
            <w:tcBorders>
              <w:top w:val="single" w:sz="4" w:space="0" w:color="000000"/>
              <w:left w:val="single" w:sz="4" w:space="0" w:color="000000"/>
              <w:bottom w:val="single" w:sz="4" w:space="0" w:color="000000"/>
              <w:right w:val="single" w:sz="4" w:space="0" w:color="000000"/>
            </w:tcBorders>
          </w:tcPr>
          <w:p>
            <w:pPr>
              <w:pStyle w:val="TableParagraph"/>
              <w:spacing w:before="30"/>
              <w:ind w:right="36"/>
              <w:jc w:val="right"/>
              <w:rPr>
                <w:b/>
                <w:sz w:val="12"/>
              </w:rPr>
            </w:pPr>
            <w:r>
              <w:rPr>
                <w:b/>
                <w:w w:val="105"/>
                <w:sz w:val="12"/>
              </w:rPr>
              <w:t>4.731.735,00</w:t>
            </w:r>
          </w:p>
        </w:tc>
        <w:tc>
          <w:tcPr>
            <w:tcW w:w="813" w:type="dxa"/>
            <w:tcBorders>
              <w:top w:val="single" w:sz="4" w:space="0" w:color="000000"/>
              <w:left w:val="single" w:sz="4" w:space="0" w:color="000000"/>
              <w:bottom w:val="single" w:sz="4" w:space="0" w:color="000000"/>
              <w:right w:val="single" w:sz="4" w:space="0" w:color="000000"/>
            </w:tcBorders>
          </w:tcPr>
          <w:p>
            <w:pPr>
              <w:pStyle w:val="TableParagraph"/>
              <w:spacing w:before="30"/>
              <w:ind w:right="36"/>
              <w:jc w:val="right"/>
              <w:rPr>
                <w:b/>
                <w:sz w:val="12"/>
              </w:rPr>
            </w:pPr>
            <w:r>
              <w:rPr>
                <w:b/>
                <w:w w:val="105"/>
                <w:sz w:val="12"/>
              </w:rPr>
              <w:t>2.156.927,81</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30"/>
              <w:ind w:right="35"/>
              <w:jc w:val="right"/>
              <w:rPr>
                <w:b/>
                <w:sz w:val="12"/>
              </w:rPr>
            </w:pPr>
            <w:r>
              <w:rPr>
                <w:b/>
                <w:w w:val="105"/>
                <w:sz w:val="12"/>
              </w:rPr>
              <w:t>843.089,05</w:t>
            </w:r>
          </w:p>
        </w:tc>
        <w:tc>
          <w:tcPr>
            <w:tcW w:w="990" w:type="dxa"/>
            <w:tcBorders>
              <w:top w:val="single" w:sz="4" w:space="0" w:color="000000"/>
              <w:left w:val="single" w:sz="4" w:space="0" w:color="000000"/>
              <w:bottom w:val="single" w:sz="4" w:space="0" w:color="000000"/>
            </w:tcBorders>
          </w:tcPr>
          <w:p>
            <w:pPr>
              <w:pStyle w:val="TableParagraph"/>
              <w:spacing w:before="30"/>
              <w:ind w:right="32"/>
              <w:jc w:val="right"/>
              <w:rPr>
                <w:b/>
                <w:sz w:val="12"/>
              </w:rPr>
            </w:pPr>
            <w:r>
              <w:rPr>
                <w:b/>
                <w:w w:val="105"/>
                <w:sz w:val="12"/>
              </w:rPr>
              <w:t>8.802.780,94</w:t>
            </w:r>
          </w:p>
        </w:tc>
      </w:tr>
      <w:tr>
        <w:trPr>
          <w:trHeight w:val="209" w:hRule="atLeast"/>
        </w:trPr>
        <w:tc>
          <w:tcPr>
            <w:tcW w:w="3412" w:type="dxa"/>
            <w:tcBorders>
              <w:top w:val="single" w:sz="4" w:space="0" w:color="000000"/>
              <w:right w:val="single" w:sz="4" w:space="0" w:color="000000"/>
            </w:tcBorders>
          </w:tcPr>
          <w:p>
            <w:pPr>
              <w:pStyle w:val="TableParagraph"/>
              <w:spacing w:before="32"/>
              <w:ind w:left="55"/>
              <w:rPr>
                <w:b/>
                <w:sz w:val="12"/>
              </w:rPr>
            </w:pPr>
            <w:r>
              <w:rPr>
                <w:b/>
                <w:w w:val="105"/>
                <w:sz w:val="12"/>
              </w:rPr>
              <w:t>PASIVO NO CORRIENTE</w:t>
            </w:r>
          </w:p>
        </w:tc>
        <w:tc>
          <w:tcPr>
            <w:tcW w:w="992" w:type="dxa"/>
            <w:tcBorders>
              <w:top w:val="single" w:sz="4" w:space="0" w:color="000000"/>
              <w:left w:val="single" w:sz="4" w:space="0" w:color="000000"/>
              <w:right w:val="single" w:sz="4" w:space="0" w:color="000000"/>
            </w:tcBorders>
          </w:tcPr>
          <w:p>
            <w:pPr>
              <w:pStyle w:val="TableParagraph"/>
              <w:spacing w:before="32"/>
              <w:ind w:right="37"/>
              <w:jc w:val="right"/>
              <w:rPr>
                <w:b/>
                <w:sz w:val="12"/>
              </w:rPr>
            </w:pPr>
            <w:r>
              <w:rPr>
                <w:b/>
                <w:sz w:val="12"/>
              </w:rPr>
              <w:t>590,00</w:t>
            </w:r>
          </w:p>
        </w:tc>
        <w:tc>
          <w:tcPr>
            <w:tcW w:w="770" w:type="dxa"/>
            <w:tcBorders>
              <w:top w:val="single" w:sz="4" w:space="0" w:color="000000"/>
              <w:left w:val="single" w:sz="4" w:space="0" w:color="000000"/>
              <w:right w:val="single" w:sz="4" w:space="0" w:color="000000"/>
            </w:tcBorders>
          </w:tcPr>
          <w:p>
            <w:pPr>
              <w:pStyle w:val="TableParagraph"/>
              <w:spacing w:before="32"/>
              <w:ind w:right="37"/>
              <w:jc w:val="right"/>
              <w:rPr>
                <w:b/>
                <w:sz w:val="12"/>
              </w:rPr>
            </w:pPr>
            <w:r>
              <w:rPr>
                <w:b/>
                <w:w w:val="105"/>
                <w:sz w:val="12"/>
              </w:rPr>
              <w:t>0,00</w:t>
            </w:r>
          </w:p>
        </w:tc>
        <w:tc>
          <w:tcPr>
            <w:tcW w:w="882" w:type="dxa"/>
            <w:tcBorders>
              <w:top w:val="single" w:sz="4" w:space="0" w:color="000000"/>
              <w:left w:val="single" w:sz="4" w:space="0" w:color="000000"/>
              <w:right w:val="single" w:sz="4" w:space="0" w:color="000000"/>
            </w:tcBorders>
          </w:tcPr>
          <w:p>
            <w:pPr>
              <w:pStyle w:val="TableParagraph"/>
              <w:spacing w:before="32"/>
              <w:ind w:right="37"/>
              <w:jc w:val="right"/>
              <w:rPr>
                <w:b/>
                <w:sz w:val="12"/>
              </w:rPr>
            </w:pPr>
            <w:r>
              <w:rPr>
                <w:b/>
                <w:w w:val="105"/>
                <w:sz w:val="12"/>
              </w:rPr>
              <w:t>273.127,66</w:t>
            </w:r>
          </w:p>
        </w:tc>
        <w:tc>
          <w:tcPr>
            <w:tcW w:w="880" w:type="dxa"/>
            <w:tcBorders>
              <w:top w:val="single" w:sz="4" w:space="0" w:color="000000"/>
              <w:left w:val="single" w:sz="4" w:space="0" w:color="000000"/>
              <w:right w:val="single" w:sz="4" w:space="0" w:color="000000"/>
            </w:tcBorders>
          </w:tcPr>
          <w:p>
            <w:pPr>
              <w:pStyle w:val="TableParagraph"/>
              <w:spacing w:before="32"/>
              <w:ind w:right="38"/>
              <w:jc w:val="right"/>
              <w:rPr>
                <w:b/>
                <w:sz w:val="12"/>
              </w:rPr>
            </w:pPr>
            <w:r>
              <w:rPr>
                <w:b/>
                <w:w w:val="105"/>
                <w:sz w:val="12"/>
              </w:rPr>
              <w:t>0,00</w:t>
            </w:r>
          </w:p>
        </w:tc>
        <w:tc>
          <w:tcPr>
            <w:tcW w:w="839" w:type="dxa"/>
            <w:tcBorders>
              <w:top w:val="single" w:sz="4" w:space="0" w:color="000000"/>
              <w:left w:val="single" w:sz="4" w:space="0" w:color="000000"/>
              <w:right w:val="single" w:sz="4" w:space="0" w:color="000000"/>
            </w:tcBorders>
          </w:tcPr>
          <w:p>
            <w:pPr>
              <w:pStyle w:val="TableParagraph"/>
              <w:spacing w:before="32"/>
              <w:ind w:right="36"/>
              <w:jc w:val="right"/>
              <w:rPr>
                <w:b/>
                <w:sz w:val="12"/>
              </w:rPr>
            </w:pPr>
            <w:r>
              <w:rPr>
                <w:b/>
                <w:w w:val="105"/>
                <w:sz w:val="12"/>
              </w:rPr>
              <w:t>4.715.481,00</w:t>
            </w:r>
          </w:p>
        </w:tc>
        <w:tc>
          <w:tcPr>
            <w:tcW w:w="813" w:type="dxa"/>
            <w:tcBorders>
              <w:top w:val="single" w:sz="4" w:space="0" w:color="000000"/>
              <w:left w:val="single" w:sz="4" w:space="0" w:color="000000"/>
              <w:right w:val="single" w:sz="4" w:space="0" w:color="000000"/>
            </w:tcBorders>
          </w:tcPr>
          <w:p>
            <w:pPr>
              <w:pStyle w:val="TableParagraph"/>
              <w:spacing w:before="32"/>
              <w:ind w:right="38"/>
              <w:jc w:val="right"/>
              <w:rPr>
                <w:b/>
                <w:sz w:val="12"/>
              </w:rPr>
            </w:pPr>
            <w:r>
              <w:rPr>
                <w:b/>
                <w:w w:val="105"/>
                <w:sz w:val="12"/>
              </w:rPr>
              <w:t>0,00</w:t>
            </w:r>
          </w:p>
        </w:tc>
        <w:tc>
          <w:tcPr>
            <w:tcW w:w="882" w:type="dxa"/>
            <w:tcBorders>
              <w:top w:val="single" w:sz="4" w:space="0" w:color="000000"/>
              <w:left w:val="single" w:sz="4" w:space="0" w:color="000000"/>
              <w:right w:val="single" w:sz="4" w:space="0" w:color="000000"/>
            </w:tcBorders>
          </w:tcPr>
          <w:p>
            <w:pPr>
              <w:pStyle w:val="TableParagraph"/>
              <w:spacing w:before="32"/>
              <w:ind w:right="35"/>
              <w:jc w:val="right"/>
              <w:rPr>
                <w:b/>
                <w:sz w:val="12"/>
              </w:rPr>
            </w:pPr>
            <w:r>
              <w:rPr>
                <w:b/>
                <w:w w:val="105"/>
                <w:sz w:val="12"/>
              </w:rPr>
              <w:t>12.925,47</w:t>
            </w:r>
          </w:p>
        </w:tc>
        <w:tc>
          <w:tcPr>
            <w:tcW w:w="990" w:type="dxa"/>
            <w:tcBorders>
              <w:top w:val="single" w:sz="4" w:space="0" w:color="000000"/>
              <w:left w:val="single" w:sz="4" w:space="0" w:color="000000"/>
            </w:tcBorders>
          </w:tcPr>
          <w:p>
            <w:pPr>
              <w:pStyle w:val="TableParagraph"/>
              <w:spacing w:before="32"/>
              <w:ind w:right="32"/>
              <w:jc w:val="right"/>
              <w:rPr>
                <w:b/>
                <w:sz w:val="12"/>
              </w:rPr>
            </w:pPr>
            <w:r>
              <w:rPr>
                <w:b/>
                <w:w w:val="105"/>
                <w:sz w:val="12"/>
              </w:rPr>
              <w:t>5.002.124,13</w:t>
            </w:r>
          </w:p>
        </w:tc>
      </w:tr>
      <w:tr>
        <w:trPr>
          <w:trHeight w:val="212" w:hRule="atLeast"/>
        </w:trPr>
        <w:tc>
          <w:tcPr>
            <w:tcW w:w="3412" w:type="dxa"/>
            <w:tcBorders>
              <w:bottom w:val="nil"/>
              <w:right w:val="single" w:sz="4" w:space="0" w:color="000000"/>
            </w:tcBorders>
          </w:tcPr>
          <w:p>
            <w:pPr>
              <w:pStyle w:val="TableParagraph"/>
              <w:spacing w:before="27"/>
              <w:ind w:left="55"/>
              <w:rPr>
                <w:sz w:val="12"/>
              </w:rPr>
            </w:pPr>
            <w:r>
              <w:rPr>
                <w:w w:val="105"/>
                <w:sz w:val="12"/>
              </w:rPr>
              <w:t>Provisiones a largo plazo</w:t>
            </w:r>
          </w:p>
        </w:tc>
        <w:tc>
          <w:tcPr>
            <w:tcW w:w="992" w:type="dxa"/>
            <w:tcBorders>
              <w:left w:val="single" w:sz="4" w:space="0" w:color="000000"/>
              <w:bottom w:val="nil"/>
              <w:right w:val="single" w:sz="4" w:space="0" w:color="000000"/>
            </w:tcBorders>
          </w:tcPr>
          <w:p>
            <w:pPr>
              <w:pStyle w:val="TableParagraph"/>
              <w:rPr>
                <w:rFonts w:ascii="Times New Roman"/>
                <w:sz w:val="12"/>
              </w:rPr>
            </w:pPr>
          </w:p>
        </w:tc>
        <w:tc>
          <w:tcPr>
            <w:tcW w:w="770" w:type="dxa"/>
            <w:vMerge w:val="restart"/>
            <w:tcBorders>
              <w:left w:val="single" w:sz="4" w:space="0" w:color="000000"/>
              <w:right w:val="single" w:sz="4" w:space="0" w:color="000000"/>
            </w:tcBorders>
          </w:tcPr>
          <w:p>
            <w:pPr>
              <w:pStyle w:val="TableParagraph"/>
              <w:rPr>
                <w:b/>
                <w:sz w:val="12"/>
              </w:rPr>
            </w:pPr>
          </w:p>
          <w:p>
            <w:pPr>
              <w:pStyle w:val="TableParagraph"/>
              <w:rPr>
                <w:b/>
                <w:sz w:val="12"/>
              </w:rPr>
            </w:pPr>
          </w:p>
          <w:p>
            <w:pPr>
              <w:pStyle w:val="TableParagraph"/>
              <w:spacing w:before="1"/>
              <w:rPr>
                <w:b/>
                <w:sz w:val="11"/>
              </w:rPr>
            </w:pPr>
          </w:p>
          <w:p>
            <w:pPr>
              <w:pStyle w:val="TableParagraph"/>
              <w:ind w:left="151"/>
              <w:rPr>
                <w:b/>
                <w:sz w:val="12"/>
              </w:rPr>
            </w:pPr>
            <w:r>
              <w:rPr>
                <w:b/>
                <w:w w:val="105"/>
                <w:sz w:val="12"/>
              </w:rPr>
              <w:t>433.502,46</w:t>
            </w:r>
          </w:p>
        </w:tc>
        <w:tc>
          <w:tcPr>
            <w:tcW w:w="882" w:type="dxa"/>
            <w:tcBorders>
              <w:left w:val="single" w:sz="4" w:space="0" w:color="000000"/>
              <w:bottom w:val="nil"/>
              <w:right w:val="single" w:sz="4" w:space="0" w:color="000000"/>
            </w:tcBorders>
          </w:tcPr>
          <w:p>
            <w:pPr>
              <w:pStyle w:val="TableParagraph"/>
              <w:spacing w:before="27"/>
              <w:ind w:right="37"/>
              <w:jc w:val="right"/>
              <w:rPr>
                <w:sz w:val="12"/>
              </w:rPr>
            </w:pPr>
            <w:r>
              <w:rPr>
                <w:w w:val="105"/>
                <w:sz w:val="12"/>
              </w:rPr>
              <w:t>269.606,28</w:t>
            </w:r>
          </w:p>
        </w:tc>
        <w:tc>
          <w:tcPr>
            <w:tcW w:w="880" w:type="dxa"/>
            <w:vMerge w:val="restart"/>
            <w:tcBorders>
              <w:left w:val="single" w:sz="4" w:space="0" w:color="000000"/>
              <w:right w:val="single" w:sz="4" w:space="0" w:color="000000"/>
            </w:tcBorders>
          </w:tcPr>
          <w:p>
            <w:pPr>
              <w:pStyle w:val="TableParagraph"/>
              <w:rPr>
                <w:b/>
                <w:sz w:val="12"/>
              </w:rPr>
            </w:pPr>
          </w:p>
          <w:p>
            <w:pPr>
              <w:pStyle w:val="TableParagraph"/>
              <w:rPr>
                <w:b/>
                <w:sz w:val="12"/>
              </w:rPr>
            </w:pPr>
          </w:p>
          <w:p>
            <w:pPr>
              <w:pStyle w:val="TableParagraph"/>
              <w:spacing w:before="1"/>
              <w:rPr>
                <w:b/>
                <w:sz w:val="11"/>
              </w:rPr>
            </w:pPr>
          </w:p>
          <w:p>
            <w:pPr>
              <w:pStyle w:val="TableParagraph"/>
              <w:ind w:left="163"/>
              <w:rPr>
                <w:b/>
                <w:sz w:val="12"/>
              </w:rPr>
            </w:pPr>
            <w:r>
              <w:rPr>
                <w:b/>
                <w:w w:val="105"/>
                <w:sz w:val="12"/>
              </w:rPr>
              <w:t>6.755.555,68</w:t>
            </w:r>
          </w:p>
        </w:tc>
        <w:tc>
          <w:tcPr>
            <w:tcW w:w="839" w:type="dxa"/>
            <w:tcBorders>
              <w:left w:val="single" w:sz="4" w:space="0" w:color="000000"/>
              <w:bottom w:val="nil"/>
              <w:right w:val="single" w:sz="4" w:space="0" w:color="000000"/>
            </w:tcBorders>
          </w:tcPr>
          <w:p>
            <w:pPr>
              <w:pStyle w:val="TableParagraph"/>
              <w:rPr>
                <w:rFonts w:ascii="Times New Roman"/>
                <w:sz w:val="12"/>
              </w:rPr>
            </w:pPr>
          </w:p>
        </w:tc>
        <w:tc>
          <w:tcPr>
            <w:tcW w:w="813" w:type="dxa"/>
            <w:vMerge w:val="restart"/>
            <w:tcBorders>
              <w:left w:val="single" w:sz="4" w:space="0" w:color="000000"/>
              <w:right w:val="single" w:sz="4" w:space="0" w:color="000000"/>
            </w:tcBorders>
          </w:tcPr>
          <w:p>
            <w:pPr>
              <w:pStyle w:val="TableParagraph"/>
              <w:rPr>
                <w:b/>
                <w:sz w:val="12"/>
              </w:rPr>
            </w:pPr>
          </w:p>
          <w:p>
            <w:pPr>
              <w:pStyle w:val="TableParagraph"/>
              <w:rPr>
                <w:b/>
                <w:sz w:val="12"/>
              </w:rPr>
            </w:pPr>
          </w:p>
          <w:p>
            <w:pPr>
              <w:pStyle w:val="TableParagraph"/>
              <w:spacing w:before="1"/>
              <w:rPr>
                <w:b/>
                <w:sz w:val="11"/>
              </w:rPr>
            </w:pPr>
          </w:p>
          <w:p>
            <w:pPr>
              <w:pStyle w:val="TableParagraph"/>
              <w:ind w:left="194"/>
              <w:rPr>
                <w:b/>
                <w:sz w:val="12"/>
              </w:rPr>
            </w:pPr>
            <w:r>
              <w:rPr>
                <w:b/>
                <w:w w:val="105"/>
                <w:sz w:val="12"/>
              </w:rPr>
              <w:t>194.097,56</w:t>
            </w:r>
          </w:p>
        </w:tc>
        <w:tc>
          <w:tcPr>
            <w:tcW w:w="882" w:type="dxa"/>
            <w:tcBorders>
              <w:left w:val="single" w:sz="4" w:space="0" w:color="000000"/>
              <w:bottom w:val="nil"/>
            </w:tcBorders>
          </w:tcPr>
          <w:p>
            <w:pPr>
              <w:pStyle w:val="TableParagraph"/>
              <w:spacing w:before="27"/>
              <w:ind w:right="33"/>
              <w:jc w:val="right"/>
              <w:rPr>
                <w:sz w:val="12"/>
              </w:rPr>
            </w:pPr>
            <w:r>
              <w:rPr>
                <w:w w:val="105"/>
                <w:sz w:val="12"/>
              </w:rPr>
              <w:t>6.564,13</w:t>
            </w:r>
          </w:p>
        </w:tc>
        <w:tc>
          <w:tcPr>
            <w:tcW w:w="990" w:type="dxa"/>
            <w:tcBorders>
              <w:bottom w:val="nil"/>
            </w:tcBorders>
          </w:tcPr>
          <w:p>
            <w:pPr>
              <w:pStyle w:val="TableParagraph"/>
              <w:spacing w:line="143" w:lineRule="exact" w:before="50"/>
              <w:ind w:right="32"/>
              <w:jc w:val="right"/>
              <w:rPr>
                <w:b/>
                <w:sz w:val="12"/>
              </w:rPr>
            </w:pPr>
            <w:r>
              <w:rPr>
                <w:b/>
                <w:w w:val="105"/>
                <w:sz w:val="12"/>
              </w:rPr>
              <w:t>276.170,41</w:t>
            </w:r>
          </w:p>
        </w:tc>
      </w:tr>
      <w:tr>
        <w:trPr>
          <w:trHeight w:val="378" w:hRule="atLeast"/>
        </w:trPr>
        <w:tc>
          <w:tcPr>
            <w:tcW w:w="3412" w:type="dxa"/>
            <w:tcBorders>
              <w:top w:val="nil"/>
              <w:right w:val="single" w:sz="4" w:space="0" w:color="000000"/>
            </w:tcBorders>
          </w:tcPr>
          <w:p>
            <w:pPr>
              <w:pStyle w:val="TableParagraph"/>
              <w:spacing w:line="144" w:lineRule="exact"/>
              <w:ind w:left="55"/>
              <w:rPr>
                <w:sz w:val="12"/>
              </w:rPr>
            </w:pPr>
            <w:r>
              <w:rPr>
                <w:w w:val="105"/>
                <w:sz w:val="12"/>
              </w:rPr>
              <w:t>Deudas a largo</w:t>
            </w:r>
            <w:r>
              <w:rPr>
                <w:spacing w:val="-21"/>
                <w:w w:val="105"/>
                <w:sz w:val="12"/>
              </w:rPr>
              <w:t> </w:t>
            </w:r>
            <w:r>
              <w:rPr>
                <w:w w:val="105"/>
                <w:sz w:val="12"/>
              </w:rPr>
              <w:t>plazo</w:t>
            </w:r>
          </w:p>
          <w:p>
            <w:pPr>
              <w:pStyle w:val="TableParagraph"/>
              <w:spacing w:before="57"/>
              <w:ind w:left="55"/>
              <w:rPr>
                <w:b/>
                <w:sz w:val="12"/>
              </w:rPr>
            </w:pPr>
            <w:r>
              <w:rPr>
                <w:b/>
                <w:w w:val="105"/>
                <w:sz w:val="12"/>
              </w:rPr>
              <w:t>PASIVO</w:t>
            </w:r>
            <w:r>
              <w:rPr>
                <w:b/>
                <w:spacing w:val="-20"/>
                <w:w w:val="105"/>
                <w:sz w:val="12"/>
              </w:rPr>
              <w:t> </w:t>
            </w:r>
            <w:r>
              <w:rPr>
                <w:b/>
                <w:w w:val="105"/>
                <w:sz w:val="12"/>
              </w:rPr>
              <w:t>CORRIENTE</w:t>
            </w:r>
          </w:p>
        </w:tc>
        <w:tc>
          <w:tcPr>
            <w:tcW w:w="992" w:type="dxa"/>
            <w:tcBorders>
              <w:top w:val="nil"/>
              <w:left w:val="single" w:sz="4" w:space="0" w:color="000000"/>
              <w:right w:val="single" w:sz="4" w:space="0" w:color="000000"/>
            </w:tcBorders>
          </w:tcPr>
          <w:p>
            <w:pPr>
              <w:pStyle w:val="TableParagraph"/>
              <w:spacing w:line="144" w:lineRule="exact"/>
              <w:ind w:right="37"/>
              <w:jc w:val="right"/>
              <w:rPr>
                <w:sz w:val="12"/>
              </w:rPr>
            </w:pPr>
            <w:r>
              <w:rPr>
                <w:sz w:val="12"/>
              </w:rPr>
              <w:t>590,00</w:t>
            </w:r>
          </w:p>
          <w:p>
            <w:pPr>
              <w:pStyle w:val="TableParagraph"/>
              <w:spacing w:before="57"/>
              <w:ind w:right="37"/>
              <w:jc w:val="right"/>
              <w:rPr>
                <w:b/>
                <w:sz w:val="12"/>
              </w:rPr>
            </w:pPr>
            <w:r>
              <w:rPr>
                <w:b/>
                <w:spacing w:val="-1"/>
                <w:w w:val="105"/>
                <w:sz w:val="12"/>
              </w:rPr>
              <w:t>95.413,65</w:t>
            </w:r>
          </w:p>
        </w:tc>
        <w:tc>
          <w:tcPr>
            <w:tcW w:w="770" w:type="dxa"/>
            <w:vMerge/>
            <w:tcBorders>
              <w:top w:val="nil"/>
              <w:left w:val="single" w:sz="4" w:space="0" w:color="000000"/>
              <w:right w:val="single" w:sz="4" w:space="0" w:color="000000"/>
            </w:tcBorders>
          </w:tcPr>
          <w:p>
            <w:pPr>
              <w:rPr>
                <w:sz w:val="2"/>
                <w:szCs w:val="2"/>
              </w:rPr>
            </w:pPr>
          </w:p>
        </w:tc>
        <w:tc>
          <w:tcPr>
            <w:tcW w:w="882" w:type="dxa"/>
            <w:tcBorders>
              <w:top w:val="nil"/>
              <w:left w:val="single" w:sz="4" w:space="0" w:color="000000"/>
              <w:right w:val="single" w:sz="4" w:space="0" w:color="000000"/>
            </w:tcBorders>
          </w:tcPr>
          <w:p>
            <w:pPr>
              <w:pStyle w:val="TableParagraph"/>
              <w:spacing w:line="144" w:lineRule="exact"/>
              <w:ind w:right="37"/>
              <w:jc w:val="right"/>
              <w:rPr>
                <w:sz w:val="12"/>
              </w:rPr>
            </w:pPr>
            <w:r>
              <w:rPr>
                <w:spacing w:val="-1"/>
                <w:w w:val="105"/>
                <w:sz w:val="12"/>
              </w:rPr>
              <w:t>3.521,38</w:t>
            </w:r>
          </w:p>
          <w:p>
            <w:pPr>
              <w:pStyle w:val="TableParagraph"/>
              <w:spacing w:before="57"/>
              <w:ind w:right="37"/>
              <w:jc w:val="right"/>
              <w:rPr>
                <w:b/>
                <w:sz w:val="12"/>
              </w:rPr>
            </w:pPr>
            <w:r>
              <w:rPr>
                <w:b/>
                <w:spacing w:val="-1"/>
                <w:w w:val="105"/>
                <w:sz w:val="12"/>
              </w:rPr>
              <w:t>1.259.356,68</w:t>
            </w:r>
          </w:p>
        </w:tc>
        <w:tc>
          <w:tcPr>
            <w:tcW w:w="880" w:type="dxa"/>
            <w:vMerge/>
            <w:tcBorders>
              <w:top w:val="nil"/>
              <w:left w:val="single" w:sz="4" w:space="0" w:color="000000"/>
              <w:right w:val="single" w:sz="4" w:space="0" w:color="000000"/>
            </w:tcBorders>
          </w:tcPr>
          <w:p>
            <w:pPr>
              <w:rPr>
                <w:sz w:val="2"/>
                <w:szCs w:val="2"/>
              </w:rPr>
            </w:pPr>
          </w:p>
        </w:tc>
        <w:tc>
          <w:tcPr>
            <w:tcW w:w="839" w:type="dxa"/>
            <w:tcBorders>
              <w:top w:val="nil"/>
              <w:left w:val="single" w:sz="4" w:space="0" w:color="000000"/>
              <w:right w:val="single" w:sz="4" w:space="0" w:color="000000"/>
            </w:tcBorders>
          </w:tcPr>
          <w:p>
            <w:pPr>
              <w:pStyle w:val="TableParagraph"/>
              <w:spacing w:line="144" w:lineRule="exact"/>
              <w:ind w:left="128"/>
              <w:rPr>
                <w:sz w:val="12"/>
              </w:rPr>
            </w:pPr>
            <w:r>
              <w:rPr>
                <w:w w:val="105"/>
                <w:sz w:val="12"/>
              </w:rPr>
              <w:t>4.715.481,00</w:t>
            </w:r>
          </w:p>
          <w:p>
            <w:pPr>
              <w:pStyle w:val="TableParagraph"/>
              <w:spacing w:before="57"/>
              <w:ind w:left="122"/>
              <w:rPr>
                <w:b/>
                <w:sz w:val="12"/>
              </w:rPr>
            </w:pPr>
            <w:r>
              <w:rPr>
                <w:b/>
                <w:w w:val="105"/>
                <w:sz w:val="12"/>
              </w:rPr>
              <w:t>8.503.461,00</w:t>
            </w:r>
          </w:p>
        </w:tc>
        <w:tc>
          <w:tcPr>
            <w:tcW w:w="813" w:type="dxa"/>
            <w:vMerge/>
            <w:tcBorders>
              <w:top w:val="nil"/>
              <w:left w:val="single" w:sz="4" w:space="0" w:color="000000"/>
              <w:right w:val="single" w:sz="4" w:space="0" w:color="000000"/>
            </w:tcBorders>
          </w:tcPr>
          <w:p>
            <w:pPr>
              <w:rPr>
                <w:sz w:val="2"/>
                <w:szCs w:val="2"/>
              </w:rPr>
            </w:pPr>
          </w:p>
        </w:tc>
        <w:tc>
          <w:tcPr>
            <w:tcW w:w="882" w:type="dxa"/>
            <w:tcBorders>
              <w:top w:val="nil"/>
              <w:left w:val="single" w:sz="4" w:space="0" w:color="000000"/>
            </w:tcBorders>
          </w:tcPr>
          <w:p>
            <w:pPr>
              <w:pStyle w:val="TableParagraph"/>
              <w:spacing w:line="144" w:lineRule="exact"/>
              <w:ind w:right="33"/>
              <w:jc w:val="right"/>
              <w:rPr>
                <w:sz w:val="12"/>
              </w:rPr>
            </w:pPr>
            <w:r>
              <w:rPr>
                <w:spacing w:val="-1"/>
                <w:w w:val="105"/>
                <w:sz w:val="12"/>
              </w:rPr>
              <w:t>6.361,34</w:t>
            </w:r>
          </w:p>
          <w:p>
            <w:pPr>
              <w:pStyle w:val="TableParagraph"/>
              <w:spacing w:before="57"/>
              <w:ind w:right="33"/>
              <w:jc w:val="right"/>
              <w:rPr>
                <w:b/>
                <w:sz w:val="12"/>
              </w:rPr>
            </w:pPr>
            <w:r>
              <w:rPr>
                <w:b/>
                <w:spacing w:val="-1"/>
                <w:w w:val="105"/>
                <w:sz w:val="12"/>
              </w:rPr>
              <w:t>1.303.321,47</w:t>
            </w:r>
          </w:p>
        </w:tc>
        <w:tc>
          <w:tcPr>
            <w:tcW w:w="990" w:type="dxa"/>
            <w:tcBorders>
              <w:top w:val="nil"/>
            </w:tcBorders>
          </w:tcPr>
          <w:p>
            <w:pPr>
              <w:pStyle w:val="TableParagraph"/>
              <w:spacing w:before="19"/>
              <w:ind w:left="272"/>
              <w:rPr>
                <w:b/>
                <w:sz w:val="12"/>
              </w:rPr>
            </w:pPr>
            <w:r>
              <w:rPr>
                <w:b/>
                <w:w w:val="105"/>
                <w:sz w:val="12"/>
              </w:rPr>
              <w:t>4.725.953,72</w:t>
            </w:r>
          </w:p>
          <w:p>
            <w:pPr>
              <w:pStyle w:val="TableParagraph"/>
              <w:spacing w:before="35"/>
              <w:ind w:left="209"/>
              <w:rPr>
                <w:b/>
                <w:sz w:val="12"/>
              </w:rPr>
            </w:pPr>
            <w:r>
              <w:rPr>
                <w:b/>
                <w:w w:val="105"/>
                <w:sz w:val="12"/>
              </w:rPr>
              <w:t>18.544.708,50</w:t>
            </w:r>
          </w:p>
        </w:tc>
      </w:tr>
      <w:tr>
        <w:trPr>
          <w:trHeight w:val="431" w:hRule="atLeast"/>
        </w:trPr>
        <w:tc>
          <w:tcPr>
            <w:tcW w:w="3412" w:type="dxa"/>
            <w:tcBorders>
              <w:bottom w:val="nil"/>
              <w:right w:val="single" w:sz="4" w:space="0" w:color="000000"/>
            </w:tcBorders>
          </w:tcPr>
          <w:p>
            <w:pPr>
              <w:pStyle w:val="TableParagraph"/>
              <w:spacing w:line="288" w:lineRule="auto" w:before="50"/>
              <w:ind w:left="55" w:right="1708"/>
              <w:rPr>
                <w:sz w:val="12"/>
              </w:rPr>
            </w:pPr>
            <w:r>
              <w:rPr>
                <w:w w:val="105"/>
                <w:sz w:val="12"/>
              </w:rPr>
              <w:t>Provisiones a corto plazo Deudas a corto plazo</w:t>
            </w:r>
          </w:p>
        </w:tc>
        <w:tc>
          <w:tcPr>
            <w:tcW w:w="992" w:type="dxa"/>
            <w:tcBorders>
              <w:left w:val="single" w:sz="4" w:space="0" w:color="000000"/>
              <w:bottom w:val="nil"/>
              <w:right w:val="single" w:sz="4" w:space="0" w:color="000000"/>
            </w:tcBorders>
          </w:tcPr>
          <w:p>
            <w:pPr>
              <w:pStyle w:val="TableParagraph"/>
              <w:rPr>
                <w:b/>
                <w:sz w:val="12"/>
              </w:rPr>
            </w:pPr>
          </w:p>
          <w:p>
            <w:pPr>
              <w:pStyle w:val="TableParagraph"/>
              <w:spacing w:before="103"/>
              <w:ind w:right="37"/>
              <w:jc w:val="right"/>
              <w:rPr>
                <w:sz w:val="12"/>
              </w:rPr>
            </w:pPr>
            <w:r>
              <w:rPr>
                <w:w w:val="105"/>
                <w:sz w:val="12"/>
              </w:rPr>
              <w:t>3.741,01</w:t>
            </w:r>
          </w:p>
        </w:tc>
        <w:tc>
          <w:tcPr>
            <w:tcW w:w="770" w:type="dxa"/>
            <w:tcBorders>
              <w:left w:val="single" w:sz="4" w:space="0" w:color="000000"/>
              <w:bottom w:val="nil"/>
              <w:right w:val="single" w:sz="4" w:space="0" w:color="000000"/>
            </w:tcBorders>
          </w:tcPr>
          <w:p>
            <w:pPr>
              <w:pStyle w:val="TableParagraph"/>
              <w:rPr>
                <w:b/>
                <w:sz w:val="12"/>
              </w:rPr>
            </w:pPr>
          </w:p>
          <w:p>
            <w:pPr>
              <w:pStyle w:val="TableParagraph"/>
              <w:spacing w:before="103"/>
              <w:ind w:right="35"/>
              <w:jc w:val="right"/>
              <w:rPr>
                <w:sz w:val="12"/>
              </w:rPr>
            </w:pPr>
            <w:r>
              <w:rPr>
                <w:w w:val="105"/>
                <w:sz w:val="12"/>
              </w:rPr>
              <w:t>22.944,36</w:t>
            </w:r>
          </w:p>
        </w:tc>
        <w:tc>
          <w:tcPr>
            <w:tcW w:w="882" w:type="dxa"/>
            <w:tcBorders>
              <w:left w:val="single" w:sz="4" w:space="0" w:color="000000"/>
              <w:bottom w:val="nil"/>
              <w:right w:val="single" w:sz="4" w:space="0" w:color="000000"/>
            </w:tcBorders>
          </w:tcPr>
          <w:p>
            <w:pPr>
              <w:pStyle w:val="TableParagraph"/>
              <w:rPr>
                <w:b/>
                <w:sz w:val="12"/>
              </w:rPr>
            </w:pPr>
          </w:p>
          <w:p>
            <w:pPr>
              <w:pStyle w:val="TableParagraph"/>
              <w:spacing w:before="103"/>
              <w:ind w:right="37"/>
              <w:jc w:val="right"/>
              <w:rPr>
                <w:sz w:val="12"/>
              </w:rPr>
            </w:pPr>
            <w:r>
              <w:rPr>
                <w:w w:val="105"/>
                <w:sz w:val="12"/>
              </w:rPr>
              <w:t>168.498,87</w:t>
            </w:r>
          </w:p>
        </w:tc>
        <w:tc>
          <w:tcPr>
            <w:tcW w:w="880" w:type="dxa"/>
            <w:tcBorders>
              <w:left w:val="single" w:sz="4" w:space="0" w:color="000000"/>
              <w:bottom w:val="nil"/>
              <w:right w:val="single" w:sz="4" w:space="0" w:color="000000"/>
            </w:tcBorders>
          </w:tcPr>
          <w:p>
            <w:pPr>
              <w:pStyle w:val="TableParagraph"/>
              <w:spacing w:before="50"/>
              <w:ind w:right="36"/>
              <w:jc w:val="right"/>
              <w:rPr>
                <w:sz w:val="12"/>
              </w:rPr>
            </w:pPr>
            <w:r>
              <w:rPr>
                <w:spacing w:val="-1"/>
                <w:w w:val="105"/>
                <w:sz w:val="12"/>
              </w:rPr>
              <w:t>71.960,45</w:t>
            </w:r>
          </w:p>
          <w:p>
            <w:pPr>
              <w:pStyle w:val="TableParagraph"/>
              <w:spacing w:before="53"/>
              <w:ind w:right="36"/>
              <w:jc w:val="right"/>
              <w:rPr>
                <w:sz w:val="12"/>
              </w:rPr>
            </w:pPr>
            <w:r>
              <w:rPr>
                <w:spacing w:val="-1"/>
                <w:w w:val="105"/>
                <w:sz w:val="12"/>
              </w:rPr>
              <w:t>1.500.000,00</w:t>
            </w:r>
          </w:p>
        </w:tc>
        <w:tc>
          <w:tcPr>
            <w:tcW w:w="839" w:type="dxa"/>
            <w:tcBorders>
              <w:left w:val="single" w:sz="4" w:space="0" w:color="000000"/>
              <w:bottom w:val="nil"/>
              <w:right w:val="single" w:sz="4" w:space="0" w:color="000000"/>
            </w:tcBorders>
          </w:tcPr>
          <w:p>
            <w:pPr>
              <w:pStyle w:val="TableParagraph"/>
              <w:spacing w:before="50"/>
              <w:ind w:left="221"/>
              <w:rPr>
                <w:sz w:val="12"/>
              </w:rPr>
            </w:pPr>
            <w:r>
              <w:rPr>
                <w:w w:val="105"/>
                <w:sz w:val="12"/>
              </w:rPr>
              <w:t>311.274,00</w:t>
            </w:r>
          </w:p>
          <w:p>
            <w:pPr>
              <w:pStyle w:val="TableParagraph"/>
              <w:spacing w:before="53"/>
              <w:ind w:left="128"/>
              <w:rPr>
                <w:sz w:val="12"/>
              </w:rPr>
            </w:pPr>
            <w:r>
              <w:rPr>
                <w:w w:val="105"/>
                <w:sz w:val="12"/>
              </w:rPr>
              <w:t>6.810.767,00</w:t>
            </w:r>
          </w:p>
        </w:tc>
        <w:tc>
          <w:tcPr>
            <w:tcW w:w="813" w:type="dxa"/>
            <w:tcBorders>
              <w:left w:val="single" w:sz="4" w:space="0" w:color="000000"/>
              <w:bottom w:val="nil"/>
              <w:right w:val="single" w:sz="4" w:space="0" w:color="000000"/>
            </w:tcBorders>
          </w:tcPr>
          <w:p>
            <w:pPr>
              <w:pStyle w:val="TableParagraph"/>
              <w:rPr>
                <w:b/>
                <w:sz w:val="12"/>
              </w:rPr>
            </w:pPr>
          </w:p>
          <w:p>
            <w:pPr>
              <w:pStyle w:val="TableParagraph"/>
              <w:spacing w:before="103"/>
              <w:ind w:right="36"/>
              <w:jc w:val="right"/>
              <w:rPr>
                <w:sz w:val="12"/>
              </w:rPr>
            </w:pPr>
            <w:r>
              <w:rPr>
                <w:w w:val="105"/>
                <w:sz w:val="12"/>
              </w:rPr>
              <w:t>42.969,30</w:t>
            </w:r>
          </w:p>
        </w:tc>
        <w:tc>
          <w:tcPr>
            <w:tcW w:w="882" w:type="dxa"/>
            <w:tcBorders>
              <w:left w:val="single" w:sz="4" w:space="0" w:color="000000"/>
              <w:bottom w:val="nil"/>
            </w:tcBorders>
          </w:tcPr>
          <w:p>
            <w:pPr>
              <w:pStyle w:val="TableParagraph"/>
              <w:rPr>
                <w:rFonts w:ascii="Times New Roman"/>
                <w:sz w:val="12"/>
              </w:rPr>
            </w:pPr>
          </w:p>
        </w:tc>
        <w:tc>
          <w:tcPr>
            <w:tcW w:w="990" w:type="dxa"/>
            <w:tcBorders>
              <w:bottom w:val="nil"/>
            </w:tcBorders>
          </w:tcPr>
          <w:p>
            <w:pPr>
              <w:pStyle w:val="TableParagraph"/>
              <w:spacing w:before="50"/>
              <w:ind w:left="369"/>
              <w:rPr>
                <w:b/>
                <w:sz w:val="12"/>
              </w:rPr>
            </w:pPr>
            <w:r>
              <w:rPr>
                <w:b/>
                <w:w w:val="105"/>
                <w:sz w:val="12"/>
              </w:rPr>
              <w:t>383.234,45</w:t>
            </w:r>
          </w:p>
          <w:p>
            <w:pPr>
              <w:pStyle w:val="TableParagraph"/>
              <w:spacing w:before="53"/>
              <w:ind w:left="272"/>
              <w:rPr>
                <w:b/>
                <w:sz w:val="12"/>
              </w:rPr>
            </w:pPr>
            <w:r>
              <w:rPr>
                <w:b/>
                <w:w w:val="105"/>
                <w:sz w:val="12"/>
              </w:rPr>
              <w:t>8.548.920,54</w:t>
            </w:r>
          </w:p>
        </w:tc>
      </w:tr>
      <w:tr>
        <w:trPr>
          <w:trHeight w:val="197" w:hRule="atLeast"/>
        </w:trPr>
        <w:tc>
          <w:tcPr>
            <w:tcW w:w="3412" w:type="dxa"/>
            <w:tcBorders>
              <w:top w:val="nil"/>
              <w:bottom w:val="nil"/>
              <w:right w:val="single" w:sz="4" w:space="0" w:color="000000"/>
            </w:tcBorders>
          </w:tcPr>
          <w:p>
            <w:pPr>
              <w:pStyle w:val="TableParagraph"/>
              <w:spacing w:before="16"/>
              <w:ind w:left="55"/>
              <w:rPr>
                <w:sz w:val="12"/>
              </w:rPr>
            </w:pPr>
            <w:r>
              <w:rPr>
                <w:w w:val="105"/>
                <w:sz w:val="12"/>
              </w:rPr>
              <w:t>Beneficiarios-acreedores</w:t>
            </w:r>
          </w:p>
        </w:tc>
        <w:tc>
          <w:tcPr>
            <w:tcW w:w="992" w:type="dxa"/>
            <w:tcBorders>
              <w:top w:val="nil"/>
              <w:left w:val="single" w:sz="4" w:space="0" w:color="000000"/>
              <w:bottom w:val="nil"/>
              <w:right w:val="single" w:sz="4" w:space="0" w:color="000000"/>
            </w:tcBorders>
          </w:tcPr>
          <w:p>
            <w:pPr>
              <w:pStyle w:val="TableParagraph"/>
              <w:rPr>
                <w:rFonts w:ascii="Times New Roman"/>
                <w:sz w:val="12"/>
              </w:rPr>
            </w:pPr>
          </w:p>
        </w:tc>
        <w:tc>
          <w:tcPr>
            <w:tcW w:w="770" w:type="dxa"/>
            <w:tcBorders>
              <w:top w:val="nil"/>
              <w:left w:val="single" w:sz="4" w:space="0" w:color="000000"/>
              <w:bottom w:val="nil"/>
              <w:right w:val="single" w:sz="4" w:space="0" w:color="000000"/>
            </w:tcBorders>
          </w:tcPr>
          <w:p>
            <w:pPr>
              <w:pStyle w:val="TableParagraph"/>
              <w:rPr>
                <w:rFonts w:ascii="Times New Roman"/>
                <w:sz w:val="12"/>
              </w:rPr>
            </w:pPr>
          </w:p>
        </w:tc>
        <w:tc>
          <w:tcPr>
            <w:tcW w:w="882" w:type="dxa"/>
            <w:tcBorders>
              <w:top w:val="nil"/>
              <w:left w:val="single" w:sz="4" w:space="0" w:color="000000"/>
              <w:bottom w:val="nil"/>
              <w:right w:val="single" w:sz="4" w:space="0" w:color="000000"/>
            </w:tcBorders>
          </w:tcPr>
          <w:p>
            <w:pPr>
              <w:pStyle w:val="TableParagraph"/>
              <w:rPr>
                <w:rFonts w:ascii="Times New Roman"/>
                <w:sz w:val="12"/>
              </w:rPr>
            </w:pPr>
          </w:p>
        </w:tc>
        <w:tc>
          <w:tcPr>
            <w:tcW w:w="880" w:type="dxa"/>
            <w:tcBorders>
              <w:top w:val="nil"/>
              <w:left w:val="single" w:sz="4" w:space="0" w:color="000000"/>
              <w:bottom w:val="nil"/>
              <w:right w:val="single" w:sz="4" w:space="0" w:color="000000"/>
            </w:tcBorders>
          </w:tcPr>
          <w:p>
            <w:pPr>
              <w:pStyle w:val="TableParagraph"/>
              <w:rPr>
                <w:rFonts w:ascii="Times New Roman"/>
                <w:sz w:val="12"/>
              </w:rPr>
            </w:pPr>
          </w:p>
        </w:tc>
        <w:tc>
          <w:tcPr>
            <w:tcW w:w="839" w:type="dxa"/>
            <w:tcBorders>
              <w:top w:val="nil"/>
              <w:left w:val="single" w:sz="4" w:space="0" w:color="000000"/>
              <w:bottom w:val="nil"/>
              <w:right w:val="single" w:sz="4" w:space="0" w:color="000000"/>
            </w:tcBorders>
          </w:tcPr>
          <w:p>
            <w:pPr>
              <w:pStyle w:val="TableParagraph"/>
              <w:spacing w:before="16"/>
              <w:ind w:right="36"/>
              <w:jc w:val="right"/>
              <w:rPr>
                <w:sz w:val="12"/>
              </w:rPr>
            </w:pPr>
            <w:r>
              <w:rPr>
                <w:w w:val="105"/>
                <w:sz w:val="12"/>
              </w:rPr>
              <w:t>930.721,00</w:t>
            </w:r>
          </w:p>
        </w:tc>
        <w:tc>
          <w:tcPr>
            <w:tcW w:w="813" w:type="dxa"/>
            <w:tcBorders>
              <w:top w:val="nil"/>
              <w:left w:val="single" w:sz="4" w:space="0" w:color="000000"/>
              <w:bottom w:val="nil"/>
              <w:right w:val="single" w:sz="4" w:space="0" w:color="000000"/>
            </w:tcBorders>
          </w:tcPr>
          <w:p>
            <w:pPr>
              <w:pStyle w:val="TableParagraph"/>
              <w:rPr>
                <w:rFonts w:ascii="Times New Roman"/>
                <w:sz w:val="12"/>
              </w:rPr>
            </w:pPr>
          </w:p>
        </w:tc>
        <w:tc>
          <w:tcPr>
            <w:tcW w:w="882" w:type="dxa"/>
            <w:tcBorders>
              <w:top w:val="nil"/>
              <w:left w:val="single" w:sz="4" w:space="0" w:color="000000"/>
              <w:bottom w:val="nil"/>
            </w:tcBorders>
          </w:tcPr>
          <w:p>
            <w:pPr>
              <w:pStyle w:val="TableParagraph"/>
              <w:spacing w:before="16"/>
              <w:ind w:right="33"/>
              <w:jc w:val="right"/>
              <w:rPr>
                <w:sz w:val="12"/>
              </w:rPr>
            </w:pPr>
            <w:r>
              <w:rPr>
                <w:w w:val="105"/>
                <w:sz w:val="12"/>
              </w:rPr>
              <w:t>2.878,26</w:t>
            </w:r>
          </w:p>
        </w:tc>
        <w:tc>
          <w:tcPr>
            <w:tcW w:w="990" w:type="dxa"/>
            <w:tcBorders>
              <w:top w:val="nil"/>
              <w:bottom w:val="nil"/>
            </w:tcBorders>
          </w:tcPr>
          <w:p>
            <w:pPr>
              <w:pStyle w:val="TableParagraph"/>
              <w:spacing w:before="16"/>
              <w:ind w:right="32"/>
              <w:jc w:val="right"/>
              <w:rPr>
                <w:b/>
                <w:sz w:val="12"/>
              </w:rPr>
            </w:pPr>
            <w:r>
              <w:rPr>
                <w:b/>
                <w:w w:val="105"/>
                <w:sz w:val="12"/>
              </w:rPr>
              <w:t>933.599,26</w:t>
            </w:r>
          </w:p>
        </w:tc>
      </w:tr>
      <w:tr>
        <w:trPr>
          <w:trHeight w:val="204" w:hRule="atLeast"/>
        </w:trPr>
        <w:tc>
          <w:tcPr>
            <w:tcW w:w="3412" w:type="dxa"/>
            <w:tcBorders>
              <w:top w:val="nil"/>
              <w:bottom w:val="nil"/>
              <w:right w:val="single" w:sz="4" w:space="0" w:color="000000"/>
            </w:tcBorders>
          </w:tcPr>
          <w:p>
            <w:pPr>
              <w:pStyle w:val="TableParagraph"/>
              <w:spacing w:before="16"/>
              <w:ind w:left="55"/>
              <w:rPr>
                <w:sz w:val="12"/>
              </w:rPr>
            </w:pPr>
            <w:r>
              <w:rPr>
                <w:w w:val="105"/>
                <w:sz w:val="12"/>
              </w:rPr>
              <w:t>Acreedores comerciales y otras cuentas a pagar</w:t>
            </w:r>
          </w:p>
        </w:tc>
        <w:tc>
          <w:tcPr>
            <w:tcW w:w="992" w:type="dxa"/>
            <w:tcBorders>
              <w:top w:val="nil"/>
              <w:left w:val="single" w:sz="4" w:space="0" w:color="000000"/>
              <w:bottom w:val="nil"/>
              <w:right w:val="single" w:sz="4" w:space="0" w:color="000000"/>
            </w:tcBorders>
          </w:tcPr>
          <w:p>
            <w:pPr>
              <w:pStyle w:val="TableParagraph"/>
              <w:spacing w:before="16"/>
              <w:ind w:right="37"/>
              <w:jc w:val="right"/>
              <w:rPr>
                <w:sz w:val="12"/>
              </w:rPr>
            </w:pPr>
            <w:r>
              <w:rPr>
                <w:w w:val="105"/>
                <w:sz w:val="12"/>
              </w:rPr>
              <w:t>89.923,03</w:t>
            </w:r>
          </w:p>
        </w:tc>
        <w:tc>
          <w:tcPr>
            <w:tcW w:w="770" w:type="dxa"/>
            <w:tcBorders>
              <w:top w:val="nil"/>
              <w:left w:val="single" w:sz="4" w:space="0" w:color="000000"/>
              <w:bottom w:val="nil"/>
              <w:right w:val="single" w:sz="4" w:space="0" w:color="000000"/>
            </w:tcBorders>
          </w:tcPr>
          <w:p>
            <w:pPr>
              <w:pStyle w:val="TableParagraph"/>
              <w:spacing w:before="16"/>
              <w:ind w:right="35"/>
              <w:jc w:val="right"/>
              <w:rPr>
                <w:sz w:val="12"/>
              </w:rPr>
            </w:pPr>
            <w:r>
              <w:rPr>
                <w:w w:val="105"/>
                <w:sz w:val="12"/>
              </w:rPr>
              <w:t>410.558,10</w:t>
            </w:r>
          </w:p>
        </w:tc>
        <w:tc>
          <w:tcPr>
            <w:tcW w:w="882" w:type="dxa"/>
            <w:tcBorders>
              <w:top w:val="nil"/>
              <w:left w:val="single" w:sz="4" w:space="0" w:color="000000"/>
              <w:bottom w:val="nil"/>
              <w:right w:val="single" w:sz="4" w:space="0" w:color="000000"/>
            </w:tcBorders>
          </w:tcPr>
          <w:p>
            <w:pPr>
              <w:pStyle w:val="TableParagraph"/>
              <w:spacing w:before="16"/>
              <w:ind w:right="37"/>
              <w:jc w:val="right"/>
              <w:rPr>
                <w:sz w:val="12"/>
              </w:rPr>
            </w:pPr>
            <w:r>
              <w:rPr>
                <w:w w:val="105"/>
                <w:sz w:val="12"/>
              </w:rPr>
              <w:t>1.067.303,20</w:t>
            </w:r>
          </w:p>
        </w:tc>
        <w:tc>
          <w:tcPr>
            <w:tcW w:w="880" w:type="dxa"/>
            <w:tcBorders>
              <w:top w:val="nil"/>
              <w:left w:val="single" w:sz="4" w:space="0" w:color="000000"/>
              <w:bottom w:val="nil"/>
              <w:right w:val="single" w:sz="4" w:space="0" w:color="000000"/>
            </w:tcBorders>
          </w:tcPr>
          <w:p>
            <w:pPr>
              <w:pStyle w:val="TableParagraph"/>
              <w:spacing w:before="16"/>
              <w:ind w:right="36"/>
              <w:jc w:val="right"/>
              <w:rPr>
                <w:sz w:val="12"/>
              </w:rPr>
            </w:pPr>
            <w:r>
              <w:rPr>
                <w:w w:val="105"/>
                <w:sz w:val="12"/>
              </w:rPr>
              <w:t>4.702.484,15</w:t>
            </w:r>
          </w:p>
        </w:tc>
        <w:tc>
          <w:tcPr>
            <w:tcW w:w="839" w:type="dxa"/>
            <w:tcBorders>
              <w:top w:val="nil"/>
              <w:left w:val="single" w:sz="4" w:space="0" w:color="000000"/>
              <w:bottom w:val="nil"/>
              <w:right w:val="single" w:sz="4" w:space="0" w:color="000000"/>
            </w:tcBorders>
          </w:tcPr>
          <w:p>
            <w:pPr>
              <w:pStyle w:val="TableParagraph"/>
              <w:spacing w:before="16"/>
              <w:ind w:right="36"/>
              <w:jc w:val="right"/>
              <w:rPr>
                <w:sz w:val="12"/>
              </w:rPr>
            </w:pPr>
            <w:r>
              <w:rPr>
                <w:w w:val="105"/>
                <w:sz w:val="12"/>
              </w:rPr>
              <w:t>450.699,00</w:t>
            </w:r>
          </w:p>
        </w:tc>
        <w:tc>
          <w:tcPr>
            <w:tcW w:w="813" w:type="dxa"/>
            <w:tcBorders>
              <w:top w:val="nil"/>
              <w:left w:val="single" w:sz="4" w:space="0" w:color="000000"/>
              <w:bottom w:val="nil"/>
              <w:right w:val="single" w:sz="4" w:space="0" w:color="000000"/>
            </w:tcBorders>
          </w:tcPr>
          <w:p>
            <w:pPr>
              <w:pStyle w:val="TableParagraph"/>
              <w:spacing w:before="16"/>
              <w:ind w:right="36"/>
              <w:jc w:val="right"/>
              <w:rPr>
                <w:sz w:val="12"/>
              </w:rPr>
            </w:pPr>
            <w:r>
              <w:rPr>
                <w:w w:val="105"/>
                <w:sz w:val="12"/>
              </w:rPr>
              <w:t>151.128,26</w:t>
            </w:r>
          </w:p>
        </w:tc>
        <w:tc>
          <w:tcPr>
            <w:tcW w:w="882" w:type="dxa"/>
            <w:tcBorders>
              <w:top w:val="nil"/>
              <w:left w:val="single" w:sz="4" w:space="0" w:color="000000"/>
              <w:bottom w:val="nil"/>
            </w:tcBorders>
          </w:tcPr>
          <w:p>
            <w:pPr>
              <w:pStyle w:val="TableParagraph"/>
              <w:spacing w:before="16"/>
              <w:ind w:right="33"/>
              <w:jc w:val="right"/>
              <w:rPr>
                <w:sz w:val="12"/>
              </w:rPr>
            </w:pPr>
            <w:r>
              <w:rPr>
                <w:w w:val="105"/>
                <w:sz w:val="12"/>
              </w:rPr>
              <w:t>1.153.005,76</w:t>
            </w:r>
          </w:p>
        </w:tc>
        <w:tc>
          <w:tcPr>
            <w:tcW w:w="990" w:type="dxa"/>
            <w:tcBorders>
              <w:top w:val="nil"/>
              <w:bottom w:val="nil"/>
            </w:tcBorders>
          </w:tcPr>
          <w:p>
            <w:pPr>
              <w:pStyle w:val="TableParagraph"/>
              <w:spacing w:before="16"/>
              <w:ind w:right="32"/>
              <w:jc w:val="right"/>
              <w:rPr>
                <w:b/>
                <w:sz w:val="12"/>
              </w:rPr>
            </w:pPr>
            <w:r>
              <w:rPr>
                <w:b/>
                <w:w w:val="105"/>
                <w:sz w:val="12"/>
              </w:rPr>
              <w:t>8.025.101,50</w:t>
            </w:r>
          </w:p>
        </w:tc>
      </w:tr>
      <w:tr>
        <w:trPr>
          <w:trHeight w:val="170" w:hRule="atLeast"/>
        </w:trPr>
        <w:tc>
          <w:tcPr>
            <w:tcW w:w="3412" w:type="dxa"/>
            <w:tcBorders>
              <w:top w:val="nil"/>
              <w:right w:val="single" w:sz="4" w:space="0" w:color="000000"/>
            </w:tcBorders>
          </w:tcPr>
          <w:p>
            <w:pPr>
              <w:pStyle w:val="TableParagraph"/>
              <w:spacing w:line="128" w:lineRule="exact" w:before="22"/>
              <w:ind w:left="55"/>
              <w:rPr>
                <w:sz w:val="12"/>
              </w:rPr>
            </w:pPr>
            <w:r>
              <w:rPr>
                <w:w w:val="105"/>
                <w:sz w:val="12"/>
              </w:rPr>
              <w:t>Periodificaciones a corto plazo</w:t>
            </w:r>
          </w:p>
        </w:tc>
        <w:tc>
          <w:tcPr>
            <w:tcW w:w="992" w:type="dxa"/>
            <w:tcBorders>
              <w:top w:val="nil"/>
              <w:left w:val="single" w:sz="4" w:space="0" w:color="000000"/>
              <w:right w:val="single" w:sz="4" w:space="0" w:color="000000"/>
            </w:tcBorders>
          </w:tcPr>
          <w:p>
            <w:pPr>
              <w:pStyle w:val="TableParagraph"/>
              <w:spacing w:line="128" w:lineRule="exact" w:before="22"/>
              <w:ind w:right="37"/>
              <w:jc w:val="right"/>
              <w:rPr>
                <w:sz w:val="12"/>
              </w:rPr>
            </w:pPr>
            <w:r>
              <w:rPr>
                <w:w w:val="105"/>
                <w:sz w:val="12"/>
              </w:rPr>
              <w:t>1.749,61</w:t>
            </w:r>
          </w:p>
        </w:tc>
        <w:tc>
          <w:tcPr>
            <w:tcW w:w="770" w:type="dxa"/>
            <w:tcBorders>
              <w:top w:val="nil"/>
              <w:left w:val="single" w:sz="4" w:space="0" w:color="000000"/>
              <w:right w:val="single" w:sz="4" w:space="0" w:color="000000"/>
            </w:tcBorders>
          </w:tcPr>
          <w:p>
            <w:pPr>
              <w:pStyle w:val="TableParagraph"/>
              <w:rPr>
                <w:rFonts w:ascii="Times New Roman"/>
                <w:sz w:val="10"/>
              </w:rPr>
            </w:pPr>
          </w:p>
        </w:tc>
        <w:tc>
          <w:tcPr>
            <w:tcW w:w="882" w:type="dxa"/>
            <w:tcBorders>
              <w:top w:val="nil"/>
              <w:left w:val="single" w:sz="4" w:space="0" w:color="000000"/>
              <w:right w:val="single" w:sz="4" w:space="0" w:color="000000"/>
            </w:tcBorders>
          </w:tcPr>
          <w:p>
            <w:pPr>
              <w:pStyle w:val="TableParagraph"/>
              <w:spacing w:line="128" w:lineRule="exact" w:before="22"/>
              <w:ind w:right="37"/>
              <w:jc w:val="right"/>
              <w:rPr>
                <w:sz w:val="12"/>
              </w:rPr>
            </w:pPr>
            <w:r>
              <w:rPr>
                <w:w w:val="105"/>
                <w:sz w:val="12"/>
              </w:rPr>
              <w:t>23.554,61</w:t>
            </w:r>
          </w:p>
        </w:tc>
        <w:tc>
          <w:tcPr>
            <w:tcW w:w="880" w:type="dxa"/>
            <w:tcBorders>
              <w:top w:val="nil"/>
              <w:left w:val="single" w:sz="4" w:space="0" w:color="000000"/>
              <w:right w:val="single" w:sz="4" w:space="0" w:color="000000"/>
            </w:tcBorders>
          </w:tcPr>
          <w:p>
            <w:pPr>
              <w:pStyle w:val="TableParagraph"/>
              <w:spacing w:line="128" w:lineRule="exact" w:before="22"/>
              <w:ind w:right="36"/>
              <w:jc w:val="right"/>
              <w:rPr>
                <w:sz w:val="12"/>
              </w:rPr>
            </w:pPr>
            <w:r>
              <w:rPr>
                <w:w w:val="105"/>
                <w:sz w:val="12"/>
              </w:rPr>
              <w:t>481.111,08</w:t>
            </w:r>
          </w:p>
        </w:tc>
        <w:tc>
          <w:tcPr>
            <w:tcW w:w="839" w:type="dxa"/>
            <w:tcBorders>
              <w:top w:val="nil"/>
              <w:left w:val="single" w:sz="4" w:space="0" w:color="000000"/>
              <w:right w:val="single" w:sz="4" w:space="0" w:color="000000"/>
            </w:tcBorders>
          </w:tcPr>
          <w:p>
            <w:pPr>
              <w:pStyle w:val="TableParagraph"/>
              <w:rPr>
                <w:rFonts w:ascii="Times New Roman"/>
                <w:sz w:val="10"/>
              </w:rPr>
            </w:pPr>
          </w:p>
        </w:tc>
        <w:tc>
          <w:tcPr>
            <w:tcW w:w="813" w:type="dxa"/>
            <w:tcBorders>
              <w:top w:val="nil"/>
              <w:left w:val="single" w:sz="4" w:space="0" w:color="000000"/>
              <w:right w:val="single" w:sz="4" w:space="0" w:color="000000"/>
            </w:tcBorders>
          </w:tcPr>
          <w:p>
            <w:pPr>
              <w:pStyle w:val="TableParagraph"/>
              <w:rPr>
                <w:rFonts w:ascii="Times New Roman"/>
                <w:sz w:val="10"/>
              </w:rPr>
            </w:pPr>
          </w:p>
        </w:tc>
        <w:tc>
          <w:tcPr>
            <w:tcW w:w="882" w:type="dxa"/>
            <w:tcBorders>
              <w:top w:val="nil"/>
              <w:left w:val="single" w:sz="4" w:space="0" w:color="000000"/>
              <w:bottom w:val="single" w:sz="4" w:space="0" w:color="000000"/>
            </w:tcBorders>
          </w:tcPr>
          <w:p>
            <w:pPr>
              <w:pStyle w:val="TableParagraph"/>
              <w:spacing w:line="128" w:lineRule="exact" w:before="22"/>
              <w:ind w:right="33"/>
              <w:jc w:val="right"/>
              <w:rPr>
                <w:sz w:val="12"/>
              </w:rPr>
            </w:pPr>
            <w:r>
              <w:rPr>
                <w:w w:val="105"/>
                <w:sz w:val="12"/>
              </w:rPr>
              <w:t>147.437,45</w:t>
            </w:r>
          </w:p>
        </w:tc>
        <w:tc>
          <w:tcPr>
            <w:tcW w:w="990" w:type="dxa"/>
            <w:tcBorders>
              <w:top w:val="nil"/>
            </w:tcBorders>
          </w:tcPr>
          <w:p>
            <w:pPr>
              <w:pStyle w:val="TableParagraph"/>
              <w:spacing w:line="128" w:lineRule="exact" w:before="22"/>
              <w:ind w:right="32"/>
              <w:jc w:val="right"/>
              <w:rPr>
                <w:b/>
                <w:sz w:val="12"/>
              </w:rPr>
            </w:pPr>
            <w:r>
              <w:rPr>
                <w:b/>
                <w:w w:val="105"/>
                <w:sz w:val="12"/>
              </w:rPr>
              <w:t>653.852,75</w:t>
            </w:r>
          </w:p>
        </w:tc>
      </w:tr>
      <w:tr>
        <w:trPr>
          <w:trHeight w:val="210" w:hRule="atLeast"/>
        </w:trPr>
        <w:tc>
          <w:tcPr>
            <w:tcW w:w="3412" w:type="dxa"/>
            <w:tcBorders>
              <w:right w:val="single" w:sz="4" w:space="0" w:color="000000"/>
            </w:tcBorders>
          </w:tcPr>
          <w:p>
            <w:pPr>
              <w:pStyle w:val="TableParagraph"/>
              <w:spacing w:before="33"/>
              <w:ind w:left="763"/>
              <w:rPr>
                <w:b/>
                <w:sz w:val="12"/>
              </w:rPr>
            </w:pPr>
            <w:r>
              <w:rPr>
                <w:b/>
                <w:w w:val="105"/>
                <w:sz w:val="12"/>
              </w:rPr>
              <w:t>TOTAL PATRIMONIO NETO Y PASIVO</w:t>
            </w:r>
          </w:p>
        </w:tc>
        <w:tc>
          <w:tcPr>
            <w:tcW w:w="992" w:type="dxa"/>
            <w:tcBorders>
              <w:left w:val="single" w:sz="4" w:space="0" w:color="000000"/>
              <w:right w:val="single" w:sz="4" w:space="0" w:color="000000"/>
            </w:tcBorders>
          </w:tcPr>
          <w:p>
            <w:pPr>
              <w:pStyle w:val="TableParagraph"/>
              <w:spacing w:before="33"/>
              <w:ind w:right="37"/>
              <w:jc w:val="right"/>
              <w:rPr>
                <w:b/>
                <w:sz w:val="12"/>
              </w:rPr>
            </w:pPr>
            <w:r>
              <w:rPr>
                <w:b/>
                <w:w w:val="105"/>
                <w:sz w:val="12"/>
              </w:rPr>
              <w:t>280.417,51</w:t>
            </w:r>
          </w:p>
        </w:tc>
        <w:tc>
          <w:tcPr>
            <w:tcW w:w="770" w:type="dxa"/>
            <w:tcBorders>
              <w:left w:val="single" w:sz="4" w:space="0" w:color="000000"/>
              <w:right w:val="single" w:sz="4" w:space="0" w:color="000000"/>
            </w:tcBorders>
          </w:tcPr>
          <w:p>
            <w:pPr>
              <w:pStyle w:val="TableParagraph"/>
              <w:spacing w:before="33"/>
              <w:ind w:right="35"/>
              <w:jc w:val="right"/>
              <w:rPr>
                <w:b/>
                <w:sz w:val="12"/>
              </w:rPr>
            </w:pPr>
            <w:r>
              <w:rPr>
                <w:b/>
                <w:w w:val="105"/>
                <w:sz w:val="12"/>
              </w:rPr>
              <w:t>539.310,17</w:t>
            </w:r>
          </w:p>
        </w:tc>
        <w:tc>
          <w:tcPr>
            <w:tcW w:w="882" w:type="dxa"/>
            <w:tcBorders>
              <w:left w:val="single" w:sz="4" w:space="0" w:color="000000"/>
              <w:right w:val="single" w:sz="4" w:space="0" w:color="000000"/>
            </w:tcBorders>
          </w:tcPr>
          <w:p>
            <w:pPr>
              <w:pStyle w:val="TableParagraph"/>
              <w:spacing w:before="33"/>
              <w:ind w:right="37"/>
              <w:jc w:val="right"/>
              <w:rPr>
                <w:b/>
                <w:sz w:val="12"/>
              </w:rPr>
            </w:pPr>
            <w:r>
              <w:rPr>
                <w:b/>
                <w:w w:val="105"/>
                <w:sz w:val="12"/>
              </w:rPr>
              <w:t>2.364.517,30</w:t>
            </w:r>
          </w:p>
        </w:tc>
        <w:tc>
          <w:tcPr>
            <w:tcW w:w="880" w:type="dxa"/>
            <w:tcBorders>
              <w:left w:val="single" w:sz="4" w:space="0" w:color="000000"/>
              <w:right w:val="single" w:sz="4" w:space="0" w:color="000000"/>
            </w:tcBorders>
          </w:tcPr>
          <w:p>
            <w:pPr>
              <w:pStyle w:val="TableParagraph"/>
              <w:spacing w:before="33"/>
              <w:ind w:right="36"/>
              <w:jc w:val="right"/>
              <w:rPr>
                <w:b/>
                <w:sz w:val="12"/>
              </w:rPr>
            </w:pPr>
            <w:r>
              <w:rPr>
                <w:b/>
                <w:w w:val="105"/>
                <w:sz w:val="12"/>
              </w:rPr>
              <w:t>6.860.223,03</w:t>
            </w:r>
          </w:p>
        </w:tc>
        <w:tc>
          <w:tcPr>
            <w:tcW w:w="839" w:type="dxa"/>
            <w:tcBorders>
              <w:left w:val="single" w:sz="4" w:space="0" w:color="000000"/>
              <w:right w:val="single" w:sz="4" w:space="0" w:color="000000"/>
            </w:tcBorders>
          </w:tcPr>
          <w:p>
            <w:pPr>
              <w:pStyle w:val="TableParagraph"/>
              <w:spacing w:before="33"/>
              <w:ind w:right="36"/>
              <w:jc w:val="right"/>
              <w:rPr>
                <w:b/>
                <w:sz w:val="12"/>
              </w:rPr>
            </w:pPr>
            <w:r>
              <w:rPr>
                <w:b/>
                <w:w w:val="105"/>
                <w:sz w:val="12"/>
              </w:rPr>
              <w:t>19.303.275,00</w:t>
            </w:r>
          </w:p>
        </w:tc>
        <w:tc>
          <w:tcPr>
            <w:tcW w:w="813" w:type="dxa"/>
            <w:tcBorders>
              <w:left w:val="single" w:sz="4" w:space="0" w:color="000000"/>
              <w:right w:val="single" w:sz="4" w:space="0" w:color="000000"/>
            </w:tcBorders>
          </w:tcPr>
          <w:p>
            <w:pPr>
              <w:pStyle w:val="TableParagraph"/>
              <w:spacing w:before="33"/>
              <w:ind w:right="36"/>
              <w:jc w:val="right"/>
              <w:rPr>
                <w:b/>
                <w:sz w:val="12"/>
              </w:rPr>
            </w:pPr>
            <w:r>
              <w:rPr>
                <w:b/>
                <w:w w:val="105"/>
                <w:sz w:val="12"/>
              </w:rPr>
              <w:t>2.453.907,47</w:t>
            </w:r>
          </w:p>
        </w:tc>
        <w:tc>
          <w:tcPr>
            <w:tcW w:w="882" w:type="dxa"/>
            <w:tcBorders>
              <w:top w:val="single" w:sz="4" w:space="0" w:color="000000"/>
              <w:left w:val="single" w:sz="4" w:space="0" w:color="000000"/>
            </w:tcBorders>
          </w:tcPr>
          <w:p>
            <w:pPr>
              <w:pStyle w:val="TableParagraph"/>
              <w:spacing w:before="33"/>
              <w:ind w:right="33"/>
              <w:jc w:val="right"/>
              <w:rPr>
                <w:b/>
                <w:sz w:val="12"/>
              </w:rPr>
            </w:pPr>
            <w:r>
              <w:rPr>
                <w:b/>
                <w:w w:val="105"/>
                <w:sz w:val="12"/>
              </w:rPr>
              <w:t>2.192.399,30</w:t>
            </w:r>
          </w:p>
        </w:tc>
        <w:tc>
          <w:tcPr>
            <w:tcW w:w="990" w:type="dxa"/>
          </w:tcPr>
          <w:p>
            <w:pPr>
              <w:pStyle w:val="TableParagraph"/>
              <w:spacing w:before="33"/>
              <w:ind w:right="32"/>
              <w:jc w:val="right"/>
              <w:rPr>
                <w:b/>
                <w:sz w:val="12"/>
              </w:rPr>
            </w:pPr>
            <w:r>
              <w:rPr>
                <w:b/>
                <w:w w:val="105"/>
                <w:sz w:val="12"/>
              </w:rPr>
              <w:t>33.994.049,78</w:t>
            </w:r>
          </w:p>
        </w:tc>
      </w:tr>
    </w:tbl>
    <w:p>
      <w:pPr>
        <w:pStyle w:val="BodyText"/>
        <w:rPr>
          <w:b/>
        </w:rPr>
      </w:pPr>
    </w:p>
    <w:p>
      <w:pPr>
        <w:pStyle w:val="BodyText"/>
        <w:rPr>
          <w:b/>
        </w:rPr>
      </w:pPr>
    </w:p>
    <w:p>
      <w:pPr>
        <w:pStyle w:val="BodyText"/>
        <w:rPr>
          <w:b/>
        </w:rPr>
      </w:pPr>
    </w:p>
    <w:p>
      <w:pPr>
        <w:pStyle w:val="BodyText"/>
        <w:spacing w:before="3"/>
        <w:rPr>
          <w:b/>
        </w:rPr>
      </w:pPr>
    </w:p>
    <w:p>
      <w:pPr>
        <w:spacing w:before="69"/>
        <w:ind w:left="11517" w:right="1354" w:firstLine="0"/>
        <w:jc w:val="center"/>
        <w:rPr>
          <w:sz w:val="18"/>
        </w:rPr>
      </w:pPr>
      <w:r>
        <w:rPr>
          <w:w w:val="105"/>
          <w:sz w:val="18"/>
        </w:rPr>
        <w:t>199</w:t>
      </w:r>
    </w:p>
    <w:p>
      <w:pPr>
        <w:spacing w:before="10"/>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31" name="image5.png"/>
                  <wp:cNvGraphicFramePr>
                    <a:graphicFrameLocks noChangeAspect="1"/>
                  </wp:cNvGraphicFramePr>
                  <a:graphic>
                    <a:graphicData uri="http://schemas.openxmlformats.org/drawingml/2006/picture">
                      <pic:pic>
                        <pic:nvPicPr>
                          <pic:cNvPr id="43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201/247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spacing w:before="111"/>
        <w:ind w:left="2699" w:right="0" w:firstLine="0"/>
        <w:jc w:val="left"/>
        <w:rPr>
          <w:b/>
          <w:sz w:val="18"/>
        </w:rPr>
      </w:pPr>
      <w:r>
        <w:rPr>
          <w:b/>
          <w:color w:val="53A1B9"/>
          <w:w w:val="105"/>
          <w:sz w:val="18"/>
        </w:rPr>
        <w:t>10.16 Anexo XVI. Cuenta de resultados por fundaciones 2022.</w:t>
      </w:r>
    </w:p>
    <w:p>
      <w:pPr>
        <w:pStyle w:val="BodyText"/>
        <w:spacing w:before="10"/>
        <w:rPr>
          <w:b/>
          <w:sz w:val="7"/>
        </w:rPr>
      </w:pPr>
    </w:p>
    <w:tbl>
      <w:tblPr>
        <w:tblW w:w="0" w:type="auto"/>
        <w:jc w:val="left"/>
        <w:tblInd w:w="19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28"/>
        <w:gridCol w:w="882"/>
        <w:gridCol w:w="880"/>
        <w:gridCol w:w="882"/>
        <w:gridCol w:w="880"/>
        <w:gridCol w:w="992"/>
        <w:gridCol w:w="881"/>
        <w:gridCol w:w="882"/>
        <w:gridCol w:w="1119"/>
      </w:tblGrid>
      <w:tr>
        <w:trPr>
          <w:trHeight w:val="303" w:hRule="atLeast"/>
        </w:trPr>
        <w:tc>
          <w:tcPr>
            <w:tcW w:w="3628" w:type="dxa"/>
            <w:shd w:val="clear" w:color="auto" w:fill="DEEAF6"/>
          </w:tcPr>
          <w:p>
            <w:pPr>
              <w:pStyle w:val="TableParagraph"/>
              <w:spacing w:before="79"/>
              <w:ind w:left="1549" w:right="1532"/>
              <w:jc w:val="center"/>
              <w:rPr>
                <w:b/>
                <w:sz w:val="12"/>
              </w:rPr>
            </w:pPr>
            <w:r>
              <w:rPr>
                <w:b/>
                <w:w w:val="105"/>
                <w:sz w:val="12"/>
              </w:rPr>
              <w:t>CUENTAS</w:t>
            </w:r>
          </w:p>
        </w:tc>
        <w:tc>
          <w:tcPr>
            <w:tcW w:w="882" w:type="dxa"/>
            <w:tcBorders>
              <w:right w:val="single" w:sz="4" w:space="0" w:color="000000"/>
            </w:tcBorders>
            <w:shd w:val="clear" w:color="auto" w:fill="DEEAF6"/>
          </w:tcPr>
          <w:p>
            <w:pPr>
              <w:pStyle w:val="TableParagraph"/>
              <w:spacing w:before="79"/>
              <w:ind w:left="225"/>
              <w:rPr>
                <w:b/>
                <w:sz w:val="12"/>
              </w:rPr>
            </w:pPr>
            <w:r>
              <w:rPr>
                <w:b/>
                <w:w w:val="105"/>
                <w:sz w:val="12"/>
              </w:rPr>
              <w:t>LENGUA</w:t>
            </w:r>
          </w:p>
        </w:tc>
        <w:tc>
          <w:tcPr>
            <w:tcW w:w="880" w:type="dxa"/>
            <w:tcBorders>
              <w:left w:val="single" w:sz="4" w:space="0" w:color="000000"/>
              <w:right w:val="single" w:sz="4" w:space="0" w:color="000000"/>
            </w:tcBorders>
            <w:shd w:val="clear" w:color="auto" w:fill="DEEAF6"/>
          </w:tcPr>
          <w:p>
            <w:pPr>
              <w:pStyle w:val="TableParagraph"/>
              <w:spacing w:before="79"/>
              <w:ind w:left="237"/>
              <w:rPr>
                <w:b/>
                <w:sz w:val="12"/>
              </w:rPr>
            </w:pPr>
            <w:r>
              <w:rPr>
                <w:b/>
                <w:w w:val="105"/>
                <w:sz w:val="12"/>
              </w:rPr>
              <w:t>FUCAEX</w:t>
            </w:r>
          </w:p>
        </w:tc>
        <w:tc>
          <w:tcPr>
            <w:tcW w:w="882" w:type="dxa"/>
            <w:tcBorders>
              <w:left w:val="single" w:sz="4" w:space="0" w:color="000000"/>
              <w:right w:val="single" w:sz="4" w:space="0" w:color="000000"/>
            </w:tcBorders>
            <w:shd w:val="clear" w:color="auto" w:fill="DEEAF6"/>
          </w:tcPr>
          <w:p>
            <w:pPr>
              <w:pStyle w:val="TableParagraph"/>
              <w:spacing w:before="79"/>
              <w:ind w:left="60" w:right="41"/>
              <w:jc w:val="center"/>
              <w:rPr>
                <w:b/>
                <w:sz w:val="12"/>
              </w:rPr>
            </w:pPr>
            <w:r>
              <w:rPr>
                <w:b/>
                <w:w w:val="105"/>
                <w:sz w:val="12"/>
              </w:rPr>
              <w:t>IDEO</w:t>
            </w:r>
          </w:p>
        </w:tc>
        <w:tc>
          <w:tcPr>
            <w:tcW w:w="880" w:type="dxa"/>
            <w:tcBorders>
              <w:left w:val="single" w:sz="4" w:space="0" w:color="000000"/>
              <w:right w:val="single" w:sz="4" w:space="0" w:color="000000"/>
            </w:tcBorders>
            <w:shd w:val="clear" w:color="auto" w:fill="DEEAF6"/>
          </w:tcPr>
          <w:p>
            <w:pPr>
              <w:pStyle w:val="TableParagraph"/>
              <w:spacing w:before="79"/>
              <w:ind w:left="158"/>
              <w:rPr>
                <w:b/>
                <w:sz w:val="12"/>
              </w:rPr>
            </w:pPr>
            <w:r>
              <w:rPr>
                <w:b/>
                <w:w w:val="105"/>
                <w:sz w:val="12"/>
              </w:rPr>
              <w:t>FUNCATRA</w:t>
            </w:r>
          </w:p>
        </w:tc>
        <w:tc>
          <w:tcPr>
            <w:tcW w:w="992" w:type="dxa"/>
            <w:tcBorders>
              <w:left w:val="single" w:sz="4" w:space="0" w:color="000000"/>
              <w:right w:val="single" w:sz="4" w:space="0" w:color="000000"/>
            </w:tcBorders>
            <w:shd w:val="clear" w:color="auto" w:fill="DEEAF6"/>
          </w:tcPr>
          <w:p>
            <w:pPr>
              <w:pStyle w:val="TableParagraph"/>
              <w:spacing w:before="79"/>
              <w:ind w:left="355" w:right="335"/>
              <w:jc w:val="center"/>
              <w:rPr>
                <w:b/>
                <w:sz w:val="12"/>
              </w:rPr>
            </w:pPr>
            <w:r>
              <w:rPr>
                <w:b/>
                <w:w w:val="105"/>
                <w:sz w:val="12"/>
              </w:rPr>
              <w:t>FIISC</w:t>
            </w:r>
          </w:p>
        </w:tc>
        <w:tc>
          <w:tcPr>
            <w:tcW w:w="881" w:type="dxa"/>
            <w:tcBorders>
              <w:left w:val="single" w:sz="4" w:space="0" w:color="000000"/>
              <w:right w:val="single" w:sz="4" w:space="0" w:color="000000"/>
            </w:tcBorders>
            <w:shd w:val="clear" w:color="auto" w:fill="DEEAF6"/>
          </w:tcPr>
          <w:p>
            <w:pPr>
              <w:pStyle w:val="TableParagraph"/>
              <w:spacing w:before="79"/>
              <w:ind w:right="52"/>
              <w:jc w:val="right"/>
              <w:rPr>
                <w:b/>
                <w:sz w:val="12"/>
              </w:rPr>
            </w:pPr>
            <w:r>
              <w:rPr>
                <w:b/>
                <w:w w:val="105"/>
                <w:sz w:val="12"/>
              </w:rPr>
              <w:t>MUSEO ELDER</w:t>
            </w:r>
          </w:p>
        </w:tc>
        <w:tc>
          <w:tcPr>
            <w:tcW w:w="882" w:type="dxa"/>
            <w:tcBorders>
              <w:left w:val="single" w:sz="4" w:space="0" w:color="000000"/>
            </w:tcBorders>
            <w:shd w:val="clear" w:color="auto" w:fill="DEEAF6"/>
          </w:tcPr>
          <w:p>
            <w:pPr>
              <w:pStyle w:val="TableParagraph"/>
              <w:spacing w:before="3"/>
              <w:ind w:left="240"/>
              <w:rPr>
                <w:b/>
                <w:sz w:val="12"/>
              </w:rPr>
            </w:pPr>
            <w:r>
              <w:rPr>
                <w:b/>
                <w:w w:val="105"/>
                <w:sz w:val="12"/>
              </w:rPr>
              <w:t>ACCION</w:t>
            </w:r>
          </w:p>
          <w:p>
            <w:pPr>
              <w:pStyle w:val="TableParagraph"/>
              <w:spacing w:line="130" w:lineRule="exact" w:before="4"/>
              <w:ind w:left="261"/>
              <w:rPr>
                <w:b/>
                <w:sz w:val="12"/>
              </w:rPr>
            </w:pPr>
            <w:r>
              <w:rPr>
                <w:b/>
                <w:w w:val="105"/>
                <w:sz w:val="12"/>
              </w:rPr>
              <w:t>SOCIAL</w:t>
            </w:r>
          </w:p>
        </w:tc>
        <w:tc>
          <w:tcPr>
            <w:tcW w:w="1119" w:type="dxa"/>
            <w:shd w:val="clear" w:color="auto" w:fill="DEEAF6"/>
          </w:tcPr>
          <w:p>
            <w:pPr>
              <w:pStyle w:val="TableParagraph"/>
              <w:spacing w:before="79"/>
              <w:ind w:left="258"/>
              <w:rPr>
                <w:b/>
                <w:sz w:val="12"/>
              </w:rPr>
            </w:pPr>
            <w:r>
              <w:rPr>
                <w:b/>
                <w:w w:val="105"/>
                <w:sz w:val="12"/>
              </w:rPr>
              <w:t>AGREGADO</w:t>
            </w:r>
          </w:p>
        </w:tc>
      </w:tr>
      <w:tr>
        <w:trPr>
          <w:trHeight w:val="274" w:hRule="atLeast"/>
        </w:trPr>
        <w:tc>
          <w:tcPr>
            <w:tcW w:w="3628" w:type="dxa"/>
            <w:tcBorders>
              <w:bottom w:val="single" w:sz="4" w:space="0" w:color="000000"/>
              <w:right w:val="single" w:sz="4" w:space="0" w:color="000000"/>
            </w:tcBorders>
          </w:tcPr>
          <w:p>
            <w:pPr>
              <w:pStyle w:val="TableParagraph"/>
              <w:spacing w:before="66"/>
              <w:ind w:left="83"/>
              <w:rPr>
                <w:b/>
                <w:sz w:val="12"/>
              </w:rPr>
            </w:pPr>
            <w:r>
              <w:rPr>
                <w:b/>
                <w:w w:val="105"/>
                <w:sz w:val="12"/>
              </w:rPr>
              <w:t>A) EXCEDENTE DEL EJERCICIO</w:t>
            </w:r>
          </w:p>
        </w:tc>
        <w:tc>
          <w:tcPr>
            <w:tcW w:w="882"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880"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882"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880"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992"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881"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882" w:type="dxa"/>
            <w:tcBorders>
              <w:left w:val="single" w:sz="4" w:space="0" w:color="000000"/>
              <w:bottom w:val="single" w:sz="4" w:space="0" w:color="000000"/>
            </w:tcBorders>
          </w:tcPr>
          <w:p>
            <w:pPr>
              <w:pStyle w:val="TableParagraph"/>
              <w:rPr>
                <w:rFonts w:ascii="Times New Roman"/>
                <w:sz w:val="12"/>
              </w:rPr>
            </w:pPr>
          </w:p>
        </w:tc>
        <w:tc>
          <w:tcPr>
            <w:tcW w:w="1119" w:type="dxa"/>
          </w:tcPr>
          <w:p>
            <w:pPr>
              <w:pStyle w:val="TableParagraph"/>
              <w:rPr>
                <w:rFonts w:ascii="Times New Roman"/>
                <w:sz w:val="12"/>
              </w:rPr>
            </w:pPr>
          </w:p>
        </w:tc>
      </w:tr>
      <w:tr>
        <w:trPr>
          <w:trHeight w:val="199" w:hRule="atLeast"/>
        </w:trPr>
        <w:tc>
          <w:tcPr>
            <w:tcW w:w="3628" w:type="dxa"/>
            <w:vMerge w:val="restart"/>
            <w:tcBorders>
              <w:top w:val="single" w:sz="4" w:space="0" w:color="000000"/>
              <w:right w:val="single" w:sz="4" w:space="0" w:color="000000"/>
            </w:tcBorders>
          </w:tcPr>
          <w:p>
            <w:pPr>
              <w:pStyle w:val="TableParagraph"/>
              <w:spacing w:line="338" w:lineRule="auto" w:before="31"/>
              <w:ind w:left="55" w:right="2015"/>
              <w:rPr>
                <w:sz w:val="12"/>
              </w:rPr>
            </w:pPr>
            <w:r>
              <w:rPr>
                <w:w w:val="105"/>
                <w:sz w:val="12"/>
              </w:rPr>
              <w:t>Ingresos</w:t>
            </w:r>
            <w:r>
              <w:rPr>
                <w:spacing w:val="-8"/>
                <w:w w:val="105"/>
                <w:sz w:val="12"/>
              </w:rPr>
              <w:t> </w:t>
            </w:r>
            <w:r>
              <w:rPr>
                <w:w w:val="105"/>
                <w:sz w:val="12"/>
              </w:rPr>
              <w:t>de</w:t>
            </w:r>
            <w:r>
              <w:rPr>
                <w:spacing w:val="-8"/>
                <w:w w:val="105"/>
                <w:sz w:val="12"/>
              </w:rPr>
              <w:t> </w:t>
            </w:r>
            <w:r>
              <w:rPr>
                <w:w w:val="105"/>
                <w:sz w:val="12"/>
              </w:rPr>
              <w:t>la</w:t>
            </w:r>
            <w:r>
              <w:rPr>
                <w:spacing w:val="-7"/>
                <w:w w:val="105"/>
                <w:sz w:val="12"/>
              </w:rPr>
              <w:t> </w:t>
            </w:r>
            <w:r>
              <w:rPr>
                <w:w w:val="105"/>
                <w:sz w:val="12"/>
              </w:rPr>
              <w:t>actividad</w:t>
            </w:r>
            <w:r>
              <w:rPr>
                <w:spacing w:val="-8"/>
                <w:w w:val="105"/>
                <w:sz w:val="12"/>
              </w:rPr>
              <w:t> </w:t>
            </w:r>
            <w:r>
              <w:rPr>
                <w:w w:val="105"/>
                <w:sz w:val="12"/>
              </w:rPr>
              <w:t>propia Gastos por ayudas y otros Aprovisionamientos</w:t>
            </w:r>
          </w:p>
          <w:p>
            <w:pPr>
              <w:pStyle w:val="TableParagraph"/>
              <w:spacing w:line="338" w:lineRule="auto"/>
              <w:ind w:left="83" w:right="2036"/>
              <w:rPr>
                <w:sz w:val="12"/>
              </w:rPr>
            </w:pPr>
            <w:r>
              <w:rPr>
                <w:w w:val="105"/>
                <w:sz w:val="12"/>
              </w:rPr>
              <w:t>Otros</w:t>
            </w:r>
            <w:r>
              <w:rPr>
                <w:spacing w:val="-8"/>
                <w:w w:val="105"/>
                <w:sz w:val="12"/>
              </w:rPr>
              <w:t> </w:t>
            </w:r>
            <w:r>
              <w:rPr>
                <w:w w:val="105"/>
                <w:sz w:val="12"/>
              </w:rPr>
              <w:t>ingresos</w:t>
            </w:r>
            <w:r>
              <w:rPr>
                <w:spacing w:val="-8"/>
                <w:w w:val="105"/>
                <w:sz w:val="12"/>
              </w:rPr>
              <w:t> </w:t>
            </w:r>
            <w:r>
              <w:rPr>
                <w:w w:val="105"/>
                <w:sz w:val="12"/>
              </w:rPr>
              <w:t>de</w:t>
            </w:r>
            <w:r>
              <w:rPr>
                <w:spacing w:val="-7"/>
                <w:w w:val="105"/>
                <w:sz w:val="12"/>
              </w:rPr>
              <w:t> </w:t>
            </w:r>
            <w:r>
              <w:rPr>
                <w:w w:val="105"/>
                <w:sz w:val="12"/>
              </w:rPr>
              <w:t>la</w:t>
            </w:r>
            <w:r>
              <w:rPr>
                <w:spacing w:val="-8"/>
                <w:w w:val="105"/>
                <w:sz w:val="12"/>
              </w:rPr>
              <w:t> </w:t>
            </w:r>
            <w:r>
              <w:rPr>
                <w:w w:val="105"/>
                <w:sz w:val="12"/>
              </w:rPr>
              <w:t>actividad Gastos de</w:t>
            </w:r>
            <w:r>
              <w:rPr>
                <w:spacing w:val="-5"/>
                <w:w w:val="105"/>
                <w:sz w:val="12"/>
              </w:rPr>
              <w:t> </w:t>
            </w:r>
            <w:r>
              <w:rPr>
                <w:w w:val="105"/>
                <w:sz w:val="12"/>
              </w:rPr>
              <w:t>personal</w:t>
            </w:r>
          </w:p>
          <w:p>
            <w:pPr>
              <w:pStyle w:val="TableParagraph"/>
              <w:spacing w:line="338" w:lineRule="auto"/>
              <w:ind w:left="55" w:right="1792" w:firstLine="27"/>
              <w:rPr>
                <w:sz w:val="12"/>
              </w:rPr>
            </w:pPr>
            <w:r>
              <w:rPr>
                <w:w w:val="105"/>
                <w:sz w:val="12"/>
              </w:rPr>
              <w:t>Otros gastos de la actividad Amortización del Inmovilizado</w:t>
            </w:r>
          </w:p>
          <w:p>
            <w:pPr>
              <w:pStyle w:val="TableParagraph"/>
              <w:spacing w:line="247" w:lineRule="auto"/>
              <w:ind w:left="55"/>
              <w:rPr>
                <w:sz w:val="12"/>
              </w:rPr>
            </w:pPr>
            <w:r>
              <w:rPr>
                <w:w w:val="105"/>
                <w:sz w:val="12"/>
              </w:rPr>
              <w:t>Subvenciones, donaciones y legados de capital traspasados al excedente del ejerc.</w:t>
            </w:r>
          </w:p>
          <w:p>
            <w:pPr>
              <w:pStyle w:val="TableParagraph"/>
              <w:spacing w:line="210" w:lineRule="exact"/>
              <w:ind w:left="55" w:right="396"/>
              <w:rPr>
                <w:sz w:val="12"/>
              </w:rPr>
            </w:pPr>
            <w:r>
              <w:rPr>
                <w:w w:val="105"/>
                <w:sz w:val="12"/>
              </w:rPr>
              <w:t>Deterioro y resultado por enajenaciones de inmovilizado Otros resultados</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31"/>
              <w:ind w:right="37"/>
              <w:jc w:val="right"/>
              <w:rPr>
                <w:sz w:val="12"/>
              </w:rPr>
            </w:pPr>
            <w:r>
              <w:rPr>
                <w:w w:val="105"/>
                <w:sz w:val="12"/>
              </w:rPr>
              <w:t>188.298,17</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31"/>
              <w:ind w:right="37"/>
              <w:jc w:val="right"/>
              <w:rPr>
                <w:sz w:val="12"/>
              </w:rPr>
            </w:pPr>
            <w:r>
              <w:rPr>
                <w:w w:val="105"/>
                <w:sz w:val="12"/>
              </w:rPr>
              <w:t>1.935.774,87</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31"/>
              <w:ind w:right="37"/>
              <w:jc w:val="right"/>
              <w:rPr>
                <w:sz w:val="12"/>
              </w:rPr>
            </w:pPr>
            <w:r>
              <w:rPr>
                <w:w w:val="105"/>
                <w:sz w:val="12"/>
              </w:rPr>
              <w:t>24.295.837,86</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31"/>
              <w:ind w:right="36"/>
              <w:jc w:val="right"/>
              <w:rPr>
                <w:sz w:val="12"/>
              </w:rPr>
            </w:pPr>
            <w:r>
              <w:rPr>
                <w:w w:val="105"/>
                <w:sz w:val="12"/>
              </w:rPr>
              <w:t>3.868.756,00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1"/>
              <w:ind w:right="36"/>
              <w:jc w:val="right"/>
              <w:rPr>
                <w:sz w:val="12"/>
              </w:rPr>
            </w:pPr>
            <w:r>
              <w:rPr>
                <w:w w:val="105"/>
                <w:sz w:val="12"/>
              </w:rPr>
              <w:t>6.784.137,00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31"/>
              <w:ind w:right="36"/>
              <w:jc w:val="right"/>
              <w:rPr>
                <w:sz w:val="12"/>
              </w:rPr>
            </w:pPr>
            <w:r>
              <w:rPr>
                <w:w w:val="105"/>
                <w:sz w:val="12"/>
              </w:rPr>
              <w:t>1.686.924,14</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31"/>
              <w:ind w:right="36"/>
              <w:jc w:val="right"/>
              <w:rPr>
                <w:sz w:val="12"/>
              </w:rPr>
            </w:pPr>
            <w:r>
              <w:rPr>
                <w:w w:val="105"/>
                <w:sz w:val="12"/>
              </w:rPr>
              <w:t>6.285.726,14</w:t>
            </w:r>
          </w:p>
        </w:tc>
        <w:tc>
          <w:tcPr>
            <w:tcW w:w="1119" w:type="dxa"/>
            <w:tcBorders>
              <w:left w:val="single" w:sz="4" w:space="0" w:color="000000"/>
              <w:bottom w:val="single" w:sz="4" w:space="0" w:color="000000"/>
            </w:tcBorders>
          </w:tcPr>
          <w:p>
            <w:pPr>
              <w:pStyle w:val="TableParagraph"/>
              <w:spacing w:before="31"/>
              <w:ind w:right="33"/>
              <w:jc w:val="right"/>
              <w:rPr>
                <w:b/>
                <w:sz w:val="12"/>
              </w:rPr>
            </w:pPr>
            <w:r>
              <w:rPr>
                <w:b/>
                <w:w w:val="105"/>
                <w:sz w:val="12"/>
              </w:rPr>
              <w:t>45.045.454,18</w:t>
            </w:r>
          </w:p>
        </w:tc>
      </w:tr>
      <w:tr>
        <w:trPr>
          <w:trHeight w:val="190" w:hRule="atLeast"/>
        </w:trPr>
        <w:tc>
          <w:tcPr>
            <w:tcW w:w="3628" w:type="dxa"/>
            <w:vMerge/>
            <w:tcBorders>
              <w:top w:val="nil"/>
              <w:right w:val="single" w:sz="4" w:space="0" w:color="000000"/>
            </w:tcBorders>
          </w:tcPr>
          <w:p>
            <w:pPr>
              <w:rPr>
                <w:sz w:val="2"/>
                <w:szCs w:val="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2"/>
              <w:ind w:right="37"/>
              <w:jc w:val="right"/>
              <w:rPr>
                <w:sz w:val="12"/>
              </w:rPr>
            </w:pPr>
            <w:r>
              <w:rPr>
                <w:w w:val="105"/>
                <w:sz w:val="12"/>
              </w:rPr>
              <w:t>-3.644,79</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2"/>
              <w:ind w:right="37"/>
              <w:jc w:val="right"/>
              <w:rPr>
                <w:sz w:val="12"/>
              </w:rPr>
            </w:pPr>
            <w:r>
              <w:rPr>
                <w:w w:val="105"/>
                <w:sz w:val="12"/>
              </w:rPr>
              <w:t>-1.458.994,24</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2"/>
              <w:ind w:right="37"/>
              <w:jc w:val="right"/>
              <w:rPr>
                <w:sz w:val="12"/>
              </w:rPr>
            </w:pPr>
            <w:r>
              <w:rPr>
                <w:w w:val="105"/>
                <w:sz w:val="12"/>
              </w:rPr>
              <w:t>-143.651,67</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2"/>
              <w:ind w:right="36"/>
              <w:jc w:val="right"/>
              <w:rPr>
                <w:sz w:val="12"/>
              </w:rPr>
            </w:pPr>
            <w:r>
              <w:rPr>
                <w:sz w:val="12"/>
              </w:rPr>
              <w:t>0,00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2"/>
              <w:ind w:right="36"/>
              <w:jc w:val="right"/>
              <w:rPr>
                <w:sz w:val="12"/>
              </w:rPr>
            </w:pPr>
            <w:r>
              <w:rPr>
                <w:w w:val="105"/>
                <w:sz w:val="12"/>
              </w:rPr>
              <w:t>-449.980,00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2"/>
              <w:ind w:right="36"/>
              <w:jc w:val="right"/>
              <w:rPr>
                <w:sz w:val="12"/>
              </w:rPr>
            </w:pPr>
            <w:r>
              <w:rPr>
                <w:w w:val="105"/>
                <w:sz w:val="12"/>
              </w:rPr>
              <w:t>-99.775,63</w:t>
            </w:r>
          </w:p>
        </w:tc>
        <w:tc>
          <w:tcPr>
            <w:tcW w:w="1119" w:type="dxa"/>
            <w:tcBorders>
              <w:top w:val="single" w:sz="4" w:space="0" w:color="000000"/>
              <w:left w:val="single" w:sz="4" w:space="0" w:color="000000"/>
              <w:bottom w:val="single" w:sz="4" w:space="0" w:color="000000"/>
            </w:tcBorders>
          </w:tcPr>
          <w:p>
            <w:pPr>
              <w:pStyle w:val="TableParagraph"/>
              <w:spacing w:before="22"/>
              <w:ind w:right="33"/>
              <w:jc w:val="right"/>
              <w:rPr>
                <w:b/>
                <w:sz w:val="12"/>
              </w:rPr>
            </w:pPr>
            <w:r>
              <w:rPr>
                <w:b/>
                <w:w w:val="105"/>
                <w:sz w:val="12"/>
              </w:rPr>
              <w:t>-2.156.046,33</w:t>
            </w:r>
          </w:p>
        </w:tc>
      </w:tr>
      <w:tr>
        <w:trPr>
          <w:trHeight w:val="192" w:hRule="atLeast"/>
        </w:trPr>
        <w:tc>
          <w:tcPr>
            <w:tcW w:w="3628" w:type="dxa"/>
            <w:vMerge/>
            <w:tcBorders>
              <w:top w:val="nil"/>
              <w:right w:val="single" w:sz="4" w:space="0" w:color="000000"/>
            </w:tcBorders>
          </w:tcPr>
          <w:p>
            <w:pPr>
              <w:rPr>
                <w:sz w:val="2"/>
                <w:szCs w:val="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4"/>
              <w:ind w:right="37"/>
              <w:jc w:val="right"/>
              <w:rPr>
                <w:sz w:val="12"/>
              </w:rPr>
            </w:pPr>
            <w:r>
              <w:rPr>
                <w:w w:val="105"/>
                <w:sz w:val="12"/>
              </w:rPr>
              <w:t>-3.364,70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4"/>
              <w:ind w:right="37"/>
              <w:jc w:val="right"/>
              <w:rPr>
                <w:sz w:val="12"/>
              </w:rPr>
            </w:pPr>
            <w:r>
              <w:rPr>
                <w:w w:val="105"/>
                <w:sz w:val="12"/>
              </w:rPr>
              <w:t>-110.508,05</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4"/>
              <w:ind w:right="36"/>
              <w:jc w:val="right"/>
              <w:rPr>
                <w:sz w:val="12"/>
              </w:rPr>
            </w:pPr>
            <w:r>
              <w:rPr>
                <w:w w:val="105"/>
                <w:sz w:val="12"/>
              </w:rPr>
              <w:t>-710.901,00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19" w:type="dxa"/>
            <w:tcBorders>
              <w:top w:val="single" w:sz="4" w:space="0" w:color="000000"/>
              <w:left w:val="single" w:sz="4" w:space="0" w:color="000000"/>
              <w:bottom w:val="single" w:sz="4" w:space="0" w:color="000000"/>
            </w:tcBorders>
          </w:tcPr>
          <w:p>
            <w:pPr>
              <w:pStyle w:val="TableParagraph"/>
              <w:spacing w:before="24"/>
              <w:ind w:right="33"/>
              <w:jc w:val="right"/>
              <w:rPr>
                <w:b/>
                <w:sz w:val="12"/>
              </w:rPr>
            </w:pPr>
            <w:r>
              <w:rPr>
                <w:b/>
                <w:w w:val="105"/>
                <w:sz w:val="12"/>
              </w:rPr>
              <w:t>-824.773,75</w:t>
            </w:r>
          </w:p>
        </w:tc>
      </w:tr>
      <w:tr>
        <w:trPr>
          <w:trHeight w:val="190" w:hRule="atLeast"/>
        </w:trPr>
        <w:tc>
          <w:tcPr>
            <w:tcW w:w="3628" w:type="dxa"/>
            <w:vMerge/>
            <w:tcBorders>
              <w:top w:val="nil"/>
              <w:right w:val="single" w:sz="4" w:space="0" w:color="000000"/>
            </w:tcBorders>
          </w:tcPr>
          <w:p>
            <w:pPr>
              <w:rPr>
                <w:sz w:val="2"/>
                <w:szCs w:val="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2"/>
              <w:ind w:right="37"/>
              <w:jc w:val="right"/>
              <w:rPr>
                <w:sz w:val="12"/>
              </w:rPr>
            </w:pPr>
            <w:r>
              <w:rPr>
                <w:w w:val="105"/>
                <w:sz w:val="12"/>
              </w:rPr>
              <w:t>6.750,15</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2"/>
              <w:ind w:right="37"/>
              <w:jc w:val="right"/>
              <w:rPr>
                <w:sz w:val="12"/>
              </w:rPr>
            </w:pPr>
            <w:r>
              <w:rPr>
                <w:sz w:val="12"/>
              </w:rPr>
              <w:t>519,10</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2"/>
              <w:ind w:right="36"/>
              <w:jc w:val="right"/>
              <w:rPr>
                <w:sz w:val="12"/>
              </w:rPr>
            </w:pPr>
            <w:r>
              <w:rPr>
                <w:w w:val="105"/>
                <w:sz w:val="12"/>
              </w:rPr>
              <w:t>15.035,66</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2"/>
              <w:ind w:right="36"/>
              <w:jc w:val="right"/>
              <w:rPr>
                <w:sz w:val="12"/>
              </w:rPr>
            </w:pPr>
            <w:r>
              <w:rPr>
                <w:w w:val="105"/>
                <w:sz w:val="12"/>
              </w:rPr>
              <w:t>2.386,32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2"/>
              <w:ind w:right="36"/>
              <w:jc w:val="right"/>
              <w:rPr>
                <w:sz w:val="12"/>
              </w:rPr>
            </w:pPr>
            <w:r>
              <w:rPr>
                <w:w w:val="105"/>
                <w:sz w:val="12"/>
              </w:rPr>
              <w:t>16.678,00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2"/>
              <w:ind w:right="36"/>
              <w:jc w:val="right"/>
              <w:rPr>
                <w:sz w:val="12"/>
              </w:rPr>
            </w:pPr>
            <w:r>
              <w:rPr>
                <w:w w:val="105"/>
                <w:sz w:val="12"/>
              </w:rPr>
              <w:t>47.413,66</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19" w:type="dxa"/>
            <w:tcBorders>
              <w:top w:val="single" w:sz="4" w:space="0" w:color="000000"/>
              <w:left w:val="single" w:sz="4" w:space="0" w:color="000000"/>
              <w:bottom w:val="single" w:sz="4" w:space="0" w:color="000000"/>
            </w:tcBorders>
          </w:tcPr>
          <w:p>
            <w:pPr>
              <w:pStyle w:val="TableParagraph"/>
              <w:spacing w:before="22"/>
              <w:ind w:right="33"/>
              <w:jc w:val="right"/>
              <w:rPr>
                <w:b/>
                <w:sz w:val="12"/>
              </w:rPr>
            </w:pPr>
            <w:r>
              <w:rPr>
                <w:b/>
                <w:w w:val="105"/>
                <w:sz w:val="12"/>
              </w:rPr>
              <w:t>88.782,89</w:t>
            </w:r>
          </w:p>
        </w:tc>
      </w:tr>
      <w:tr>
        <w:trPr>
          <w:trHeight w:val="192" w:hRule="atLeast"/>
        </w:trPr>
        <w:tc>
          <w:tcPr>
            <w:tcW w:w="3628" w:type="dxa"/>
            <w:vMerge/>
            <w:tcBorders>
              <w:top w:val="nil"/>
              <w:right w:val="single" w:sz="4" w:space="0" w:color="000000"/>
            </w:tcBorders>
          </w:tcPr>
          <w:p>
            <w:pPr>
              <w:rPr>
                <w:sz w:val="2"/>
                <w:szCs w:val="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3"/>
              <w:ind w:right="37"/>
              <w:jc w:val="right"/>
              <w:rPr>
                <w:sz w:val="12"/>
              </w:rPr>
            </w:pPr>
            <w:r>
              <w:rPr>
                <w:w w:val="105"/>
                <w:sz w:val="12"/>
              </w:rPr>
              <w:t>-47.468,52</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3"/>
              <w:ind w:right="37"/>
              <w:jc w:val="right"/>
              <w:rPr>
                <w:sz w:val="12"/>
              </w:rPr>
            </w:pPr>
            <w:r>
              <w:rPr>
                <w:w w:val="105"/>
                <w:sz w:val="12"/>
              </w:rPr>
              <w:t>-212.442,54</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3"/>
              <w:ind w:right="37"/>
              <w:jc w:val="right"/>
              <w:rPr>
                <w:sz w:val="12"/>
              </w:rPr>
            </w:pPr>
            <w:r>
              <w:rPr>
                <w:w w:val="105"/>
                <w:sz w:val="12"/>
              </w:rPr>
              <w:t>-20.439.973,04</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3"/>
              <w:ind w:right="36"/>
              <w:jc w:val="right"/>
              <w:rPr>
                <w:sz w:val="12"/>
              </w:rPr>
            </w:pPr>
            <w:r>
              <w:rPr>
                <w:w w:val="105"/>
                <w:sz w:val="12"/>
              </w:rPr>
              <w:t>-3.059.665,11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right="36"/>
              <w:jc w:val="right"/>
              <w:rPr>
                <w:sz w:val="12"/>
              </w:rPr>
            </w:pPr>
            <w:r>
              <w:rPr>
                <w:w w:val="105"/>
                <w:sz w:val="12"/>
              </w:rPr>
              <w:t>-3.525.220,00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3"/>
              <w:ind w:right="36"/>
              <w:jc w:val="right"/>
              <w:rPr>
                <w:sz w:val="12"/>
              </w:rPr>
            </w:pPr>
            <w:r>
              <w:rPr>
                <w:w w:val="105"/>
                <w:sz w:val="12"/>
              </w:rPr>
              <w:t>-150.591,24</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3"/>
              <w:ind w:right="36"/>
              <w:jc w:val="right"/>
              <w:rPr>
                <w:sz w:val="12"/>
              </w:rPr>
            </w:pPr>
            <w:r>
              <w:rPr>
                <w:w w:val="105"/>
                <w:sz w:val="12"/>
              </w:rPr>
              <w:t>-2.929.973,19</w:t>
            </w:r>
          </w:p>
        </w:tc>
        <w:tc>
          <w:tcPr>
            <w:tcW w:w="1119" w:type="dxa"/>
            <w:tcBorders>
              <w:top w:val="single" w:sz="4" w:space="0" w:color="000000"/>
              <w:left w:val="single" w:sz="4" w:space="0" w:color="000000"/>
              <w:bottom w:val="single" w:sz="4" w:space="0" w:color="000000"/>
            </w:tcBorders>
          </w:tcPr>
          <w:p>
            <w:pPr>
              <w:pStyle w:val="TableParagraph"/>
              <w:spacing w:before="23"/>
              <w:ind w:right="33"/>
              <w:jc w:val="right"/>
              <w:rPr>
                <w:b/>
                <w:sz w:val="12"/>
              </w:rPr>
            </w:pPr>
            <w:r>
              <w:rPr>
                <w:b/>
                <w:w w:val="105"/>
                <w:sz w:val="12"/>
              </w:rPr>
              <w:t>-30.365.333,64</w:t>
            </w:r>
          </w:p>
        </w:tc>
      </w:tr>
      <w:tr>
        <w:trPr>
          <w:trHeight w:val="190" w:hRule="atLeast"/>
        </w:trPr>
        <w:tc>
          <w:tcPr>
            <w:tcW w:w="3628" w:type="dxa"/>
            <w:vMerge/>
            <w:tcBorders>
              <w:top w:val="nil"/>
              <w:right w:val="single" w:sz="4" w:space="0" w:color="000000"/>
            </w:tcBorders>
          </w:tcPr>
          <w:p>
            <w:pPr>
              <w:rPr>
                <w:sz w:val="2"/>
                <w:szCs w:val="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2"/>
              <w:ind w:right="37"/>
              <w:jc w:val="right"/>
              <w:rPr>
                <w:sz w:val="12"/>
              </w:rPr>
            </w:pPr>
            <w:r>
              <w:rPr>
                <w:w w:val="105"/>
                <w:sz w:val="12"/>
              </w:rPr>
              <w:t>-104.758,85</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2"/>
              <w:ind w:right="37"/>
              <w:jc w:val="right"/>
              <w:rPr>
                <w:sz w:val="12"/>
              </w:rPr>
            </w:pPr>
            <w:r>
              <w:rPr>
                <w:w w:val="105"/>
                <w:sz w:val="12"/>
              </w:rPr>
              <w:t>-247.635,46</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2"/>
              <w:ind w:right="37"/>
              <w:jc w:val="right"/>
              <w:rPr>
                <w:sz w:val="12"/>
              </w:rPr>
            </w:pPr>
            <w:r>
              <w:rPr>
                <w:w w:val="105"/>
                <w:sz w:val="12"/>
              </w:rPr>
              <w:t>-3.662.259,57</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2"/>
              <w:ind w:right="36"/>
              <w:jc w:val="right"/>
              <w:rPr>
                <w:sz w:val="12"/>
              </w:rPr>
            </w:pPr>
            <w:r>
              <w:rPr>
                <w:w w:val="105"/>
                <w:sz w:val="12"/>
              </w:rPr>
              <w:t>-715.659,64</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2"/>
              <w:ind w:right="36"/>
              <w:jc w:val="right"/>
              <w:rPr>
                <w:sz w:val="12"/>
              </w:rPr>
            </w:pPr>
            <w:r>
              <w:rPr>
                <w:w w:val="105"/>
                <w:sz w:val="12"/>
              </w:rPr>
              <w:t>-2.087.882,00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2"/>
              <w:ind w:right="36"/>
              <w:jc w:val="right"/>
              <w:rPr>
                <w:sz w:val="12"/>
              </w:rPr>
            </w:pPr>
            <w:r>
              <w:rPr>
                <w:w w:val="105"/>
                <w:sz w:val="12"/>
              </w:rPr>
              <w:t>-1.569.924,03</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2"/>
              <w:ind w:right="36"/>
              <w:jc w:val="right"/>
              <w:rPr>
                <w:sz w:val="12"/>
              </w:rPr>
            </w:pPr>
            <w:r>
              <w:rPr>
                <w:w w:val="105"/>
                <w:sz w:val="12"/>
              </w:rPr>
              <w:t>-3.183.105,75</w:t>
            </w:r>
          </w:p>
        </w:tc>
        <w:tc>
          <w:tcPr>
            <w:tcW w:w="1119" w:type="dxa"/>
            <w:tcBorders>
              <w:top w:val="single" w:sz="4" w:space="0" w:color="000000"/>
              <w:left w:val="single" w:sz="4" w:space="0" w:color="000000"/>
              <w:bottom w:val="single" w:sz="4" w:space="0" w:color="000000"/>
            </w:tcBorders>
          </w:tcPr>
          <w:p>
            <w:pPr>
              <w:pStyle w:val="TableParagraph"/>
              <w:spacing w:before="22"/>
              <w:ind w:right="33"/>
              <w:jc w:val="right"/>
              <w:rPr>
                <w:b/>
                <w:sz w:val="12"/>
              </w:rPr>
            </w:pPr>
            <w:r>
              <w:rPr>
                <w:b/>
                <w:w w:val="105"/>
                <w:sz w:val="12"/>
              </w:rPr>
              <w:t>-11.571.225,30</w:t>
            </w:r>
          </w:p>
        </w:tc>
      </w:tr>
      <w:tr>
        <w:trPr>
          <w:trHeight w:val="190" w:hRule="atLeast"/>
        </w:trPr>
        <w:tc>
          <w:tcPr>
            <w:tcW w:w="3628" w:type="dxa"/>
            <w:vMerge/>
            <w:tcBorders>
              <w:top w:val="nil"/>
              <w:right w:val="single" w:sz="4" w:space="0" w:color="000000"/>
            </w:tcBorders>
          </w:tcPr>
          <w:p>
            <w:pPr>
              <w:rPr>
                <w:sz w:val="2"/>
                <w:szCs w:val="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3"/>
              <w:ind w:right="37"/>
              <w:jc w:val="right"/>
              <w:rPr>
                <w:sz w:val="12"/>
              </w:rPr>
            </w:pPr>
            <w:r>
              <w:rPr>
                <w:w w:val="105"/>
                <w:sz w:val="12"/>
              </w:rPr>
              <w:t>-3.133,02</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3"/>
              <w:ind w:right="37"/>
              <w:jc w:val="right"/>
              <w:rPr>
                <w:sz w:val="12"/>
              </w:rPr>
            </w:pPr>
            <w:r>
              <w:rPr>
                <w:w w:val="105"/>
                <w:sz w:val="12"/>
              </w:rPr>
              <w:t>-18.506,27</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3"/>
              <w:ind w:right="36"/>
              <w:jc w:val="right"/>
              <w:rPr>
                <w:sz w:val="12"/>
              </w:rPr>
            </w:pPr>
            <w:r>
              <w:rPr>
                <w:w w:val="105"/>
                <w:sz w:val="12"/>
              </w:rPr>
              <w:t>-37.499,25</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23"/>
              <w:ind w:right="36"/>
              <w:jc w:val="right"/>
              <w:rPr>
                <w:sz w:val="12"/>
              </w:rPr>
            </w:pPr>
            <w:r>
              <w:rPr>
                <w:w w:val="105"/>
                <w:sz w:val="12"/>
              </w:rPr>
              <w:t>-58.790,91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right="36"/>
              <w:jc w:val="right"/>
              <w:rPr>
                <w:sz w:val="12"/>
              </w:rPr>
            </w:pPr>
            <w:r>
              <w:rPr>
                <w:w w:val="105"/>
                <w:sz w:val="12"/>
              </w:rPr>
              <w:t>-19.572,00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3"/>
              <w:ind w:right="36"/>
              <w:jc w:val="right"/>
              <w:rPr>
                <w:sz w:val="12"/>
              </w:rPr>
            </w:pPr>
            <w:r>
              <w:rPr>
                <w:w w:val="105"/>
                <w:sz w:val="12"/>
              </w:rPr>
              <w:t>-334.923,65</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3"/>
              <w:ind w:right="36"/>
              <w:jc w:val="right"/>
              <w:rPr>
                <w:sz w:val="12"/>
              </w:rPr>
            </w:pPr>
            <w:r>
              <w:rPr>
                <w:w w:val="105"/>
                <w:sz w:val="12"/>
              </w:rPr>
              <w:t>-279.725,44</w:t>
            </w:r>
          </w:p>
        </w:tc>
        <w:tc>
          <w:tcPr>
            <w:tcW w:w="1119" w:type="dxa"/>
            <w:tcBorders>
              <w:top w:val="single" w:sz="4" w:space="0" w:color="000000"/>
              <w:left w:val="single" w:sz="4" w:space="0" w:color="000000"/>
              <w:bottom w:val="single" w:sz="4" w:space="0" w:color="000000"/>
            </w:tcBorders>
          </w:tcPr>
          <w:p>
            <w:pPr>
              <w:pStyle w:val="TableParagraph"/>
              <w:spacing w:before="23"/>
              <w:ind w:right="33"/>
              <w:jc w:val="right"/>
              <w:rPr>
                <w:b/>
                <w:sz w:val="12"/>
              </w:rPr>
            </w:pPr>
            <w:r>
              <w:rPr>
                <w:b/>
                <w:w w:val="105"/>
                <w:sz w:val="12"/>
              </w:rPr>
              <w:t>-752.150,54</w:t>
            </w:r>
          </w:p>
        </w:tc>
      </w:tr>
      <w:tr>
        <w:trPr>
          <w:trHeight w:val="343" w:hRule="atLeast"/>
        </w:trPr>
        <w:tc>
          <w:tcPr>
            <w:tcW w:w="3628" w:type="dxa"/>
            <w:vMerge/>
            <w:tcBorders>
              <w:top w:val="nil"/>
              <w:right w:val="single" w:sz="4" w:space="0" w:color="000000"/>
            </w:tcBorders>
          </w:tcPr>
          <w:p>
            <w:pPr>
              <w:rPr>
                <w:sz w:val="2"/>
                <w:szCs w:val="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100"/>
              <w:ind w:right="37"/>
              <w:jc w:val="right"/>
              <w:rPr>
                <w:sz w:val="12"/>
              </w:rPr>
            </w:pPr>
            <w:r>
              <w:rPr>
                <w:w w:val="105"/>
                <w:sz w:val="12"/>
              </w:rPr>
              <w:t>2.376,20</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100"/>
              <w:ind w:right="37"/>
              <w:jc w:val="right"/>
              <w:rPr>
                <w:sz w:val="12"/>
              </w:rPr>
            </w:pPr>
            <w:r>
              <w:rPr>
                <w:w w:val="105"/>
                <w:sz w:val="12"/>
              </w:rPr>
              <w:t>18.506,27</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100"/>
              <w:ind w:right="36"/>
              <w:jc w:val="right"/>
              <w:rPr>
                <w:sz w:val="12"/>
              </w:rPr>
            </w:pPr>
            <w:r>
              <w:rPr>
                <w:w w:val="105"/>
                <w:sz w:val="12"/>
              </w:rPr>
              <w:t>16.771,04</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100"/>
              <w:ind w:right="36"/>
              <w:jc w:val="right"/>
              <w:rPr>
                <w:sz w:val="12"/>
              </w:rPr>
            </w:pPr>
            <w:r>
              <w:rPr>
                <w:w w:val="105"/>
                <w:sz w:val="12"/>
              </w:rPr>
              <w:t>31.867,94</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100"/>
              <w:ind w:right="37"/>
              <w:jc w:val="right"/>
              <w:rPr>
                <w:sz w:val="12"/>
              </w:rPr>
            </w:pPr>
            <w:r>
              <w:rPr>
                <w:w w:val="105"/>
                <w:sz w:val="12"/>
              </w:rPr>
              <w:t>323.332,24</w:t>
            </w: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100"/>
              <w:ind w:right="36"/>
              <w:jc w:val="right"/>
              <w:rPr>
                <w:sz w:val="12"/>
              </w:rPr>
            </w:pPr>
            <w:r>
              <w:rPr>
                <w:w w:val="105"/>
                <w:sz w:val="12"/>
              </w:rPr>
              <w:t>268.220,51</w:t>
            </w:r>
          </w:p>
        </w:tc>
        <w:tc>
          <w:tcPr>
            <w:tcW w:w="1119" w:type="dxa"/>
            <w:tcBorders>
              <w:top w:val="single" w:sz="4" w:space="0" w:color="000000"/>
              <w:left w:val="single" w:sz="4" w:space="0" w:color="000000"/>
              <w:bottom w:val="single" w:sz="4" w:space="0" w:color="000000"/>
            </w:tcBorders>
          </w:tcPr>
          <w:p>
            <w:pPr>
              <w:pStyle w:val="TableParagraph"/>
              <w:spacing w:before="100"/>
              <w:ind w:right="33"/>
              <w:jc w:val="right"/>
              <w:rPr>
                <w:b/>
                <w:sz w:val="12"/>
              </w:rPr>
            </w:pPr>
            <w:r>
              <w:rPr>
                <w:b/>
                <w:w w:val="105"/>
                <w:sz w:val="12"/>
              </w:rPr>
              <w:t>661.074,20</w:t>
            </w:r>
          </w:p>
        </w:tc>
      </w:tr>
      <w:tr>
        <w:trPr>
          <w:trHeight w:val="190" w:hRule="atLeast"/>
        </w:trPr>
        <w:tc>
          <w:tcPr>
            <w:tcW w:w="3628" w:type="dxa"/>
            <w:vMerge/>
            <w:tcBorders>
              <w:top w:val="nil"/>
              <w:right w:val="single" w:sz="4" w:space="0" w:color="000000"/>
            </w:tcBorders>
          </w:tcPr>
          <w:p>
            <w:pPr>
              <w:rPr>
                <w:sz w:val="2"/>
                <w:szCs w:val="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spacing w:before="23"/>
              <w:ind w:right="36"/>
              <w:jc w:val="right"/>
              <w:rPr>
                <w:sz w:val="12"/>
              </w:rPr>
            </w:pPr>
            <w:r>
              <w:rPr>
                <w:w w:val="105"/>
                <w:sz w:val="12"/>
              </w:rPr>
              <w:t>-736,14</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19" w:type="dxa"/>
            <w:tcBorders>
              <w:top w:val="single" w:sz="4" w:space="0" w:color="000000"/>
              <w:left w:val="single" w:sz="4" w:space="0" w:color="000000"/>
              <w:bottom w:val="single" w:sz="4" w:space="0" w:color="000000"/>
            </w:tcBorders>
          </w:tcPr>
          <w:p>
            <w:pPr>
              <w:pStyle w:val="TableParagraph"/>
              <w:spacing w:before="23"/>
              <w:ind w:right="33"/>
              <w:jc w:val="right"/>
              <w:rPr>
                <w:b/>
                <w:sz w:val="12"/>
              </w:rPr>
            </w:pPr>
            <w:r>
              <w:rPr>
                <w:b/>
                <w:sz w:val="12"/>
              </w:rPr>
              <w:t>-736,14</w:t>
            </w:r>
          </w:p>
        </w:tc>
      </w:tr>
      <w:tr>
        <w:trPr>
          <w:trHeight w:val="206" w:hRule="atLeast"/>
        </w:trPr>
        <w:tc>
          <w:tcPr>
            <w:tcW w:w="3628" w:type="dxa"/>
            <w:vMerge/>
            <w:tcBorders>
              <w:top w:val="nil"/>
              <w:right w:val="single" w:sz="4" w:space="0" w:color="000000"/>
            </w:tcBorders>
          </w:tcPr>
          <w:p>
            <w:pPr>
              <w:rPr>
                <w:sz w:val="2"/>
                <w:szCs w:val="2"/>
              </w:rPr>
            </w:pPr>
          </w:p>
        </w:tc>
        <w:tc>
          <w:tcPr>
            <w:tcW w:w="882" w:type="dxa"/>
            <w:tcBorders>
              <w:top w:val="single" w:sz="4" w:space="0" w:color="000000"/>
              <w:left w:val="single" w:sz="4" w:space="0" w:color="000000"/>
              <w:right w:val="single" w:sz="4" w:space="0" w:color="000000"/>
            </w:tcBorders>
          </w:tcPr>
          <w:p>
            <w:pPr>
              <w:pStyle w:val="TableParagraph"/>
              <w:spacing w:before="29"/>
              <w:ind w:right="37"/>
              <w:jc w:val="right"/>
              <w:rPr>
                <w:sz w:val="12"/>
              </w:rPr>
            </w:pPr>
            <w:r>
              <w:rPr>
                <w:w w:val="105"/>
                <w:sz w:val="12"/>
              </w:rPr>
              <w:t>-21,54</w:t>
            </w:r>
          </w:p>
        </w:tc>
        <w:tc>
          <w:tcPr>
            <w:tcW w:w="880"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882" w:type="dxa"/>
            <w:tcBorders>
              <w:top w:val="single" w:sz="4" w:space="0" w:color="000000"/>
              <w:left w:val="single" w:sz="4" w:space="0" w:color="000000"/>
              <w:right w:val="single" w:sz="4" w:space="0" w:color="000000"/>
            </w:tcBorders>
          </w:tcPr>
          <w:p>
            <w:pPr>
              <w:pStyle w:val="TableParagraph"/>
              <w:spacing w:before="29"/>
              <w:ind w:right="36"/>
              <w:jc w:val="right"/>
              <w:rPr>
                <w:sz w:val="12"/>
              </w:rPr>
            </w:pPr>
            <w:r>
              <w:rPr>
                <w:w w:val="105"/>
                <w:sz w:val="12"/>
              </w:rPr>
              <w:t>-28.389,33</w:t>
            </w:r>
          </w:p>
        </w:tc>
        <w:tc>
          <w:tcPr>
            <w:tcW w:w="880" w:type="dxa"/>
            <w:tcBorders>
              <w:top w:val="single" w:sz="4" w:space="0" w:color="000000"/>
              <w:left w:val="single" w:sz="4" w:space="0" w:color="000000"/>
              <w:right w:val="single" w:sz="4" w:space="0" w:color="000000"/>
            </w:tcBorders>
          </w:tcPr>
          <w:p>
            <w:pPr>
              <w:pStyle w:val="TableParagraph"/>
              <w:spacing w:before="29"/>
              <w:ind w:right="36"/>
              <w:jc w:val="right"/>
              <w:rPr>
                <w:sz w:val="12"/>
              </w:rPr>
            </w:pPr>
            <w:r>
              <w:rPr>
                <w:w w:val="105"/>
                <w:sz w:val="12"/>
              </w:rPr>
              <w:t>-4.799,51</w:t>
            </w:r>
          </w:p>
        </w:tc>
        <w:tc>
          <w:tcPr>
            <w:tcW w:w="992" w:type="dxa"/>
            <w:tcBorders>
              <w:top w:val="single" w:sz="4" w:space="0" w:color="000000"/>
              <w:left w:val="single" w:sz="4" w:space="0" w:color="000000"/>
              <w:right w:val="single" w:sz="4" w:space="0" w:color="000000"/>
            </w:tcBorders>
          </w:tcPr>
          <w:p>
            <w:pPr>
              <w:pStyle w:val="TableParagraph"/>
              <w:spacing w:before="29"/>
              <w:ind w:right="36"/>
              <w:jc w:val="right"/>
              <w:rPr>
                <w:sz w:val="12"/>
              </w:rPr>
            </w:pPr>
            <w:r>
              <w:rPr>
                <w:w w:val="105"/>
                <w:sz w:val="12"/>
              </w:rPr>
              <w:t>27.771,00</w:t>
            </w:r>
          </w:p>
        </w:tc>
        <w:tc>
          <w:tcPr>
            <w:tcW w:w="881" w:type="dxa"/>
            <w:tcBorders>
              <w:top w:val="single" w:sz="4" w:space="0" w:color="000000"/>
              <w:left w:val="single" w:sz="4" w:space="0" w:color="000000"/>
              <w:right w:val="single" w:sz="4" w:space="0" w:color="000000"/>
            </w:tcBorders>
          </w:tcPr>
          <w:p>
            <w:pPr>
              <w:pStyle w:val="TableParagraph"/>
              <w:spacing w:before="29"/>
              <w:ind w:right="36"/>
              <w:jc w:val="right"/>
              <w:rPr>
                <w:sz w:val="12"/>
              </w:rPr>
            </w:pPr>
            <w:r>
              <w:rPr>
                <w:w w:val="105"/>
                <w:sz w:val="12"/>
              </w:rPr>
              <w:t>-482,45</w:t>
            </w:r>
          </w:p>
        </w:tc>
        <w:tc>
          <w:tcPr>
            <w:tcW w:w="882" w:type="dxa"/>
            <w:tcBorders>
              <w:top w:val="single" w:sz="4" w:space="0" w:color="000000"/>
              <w:left w:val="single" w:sz="4" w:space="0" w:color="000000"/>
              <w:right w:val="single" w:sz="4" w:space="0" w:color="000000"/>
            </w:tcBorders>
          </w:tcPr>
          <w:p>
            <w:pPr>
              <w:pStyle w:val="TableParagraph"/>
              <w:spacing w:before="29"/>
              <w:ind w:right="36"/>
              <w:jc w:val="right"/>
              <w:rPr>
                <w:sz w:val="12"/>
              </w:rPr>
            </w:pPr>
            <w:r>
              <w:rPr>
                <w:w w:val="105"/>
                <w:sz w:val="12"/>
              </w:rPr>
              <w:t>2.189,72</w:t>
            </w:r>
          </w:p>
        </w:tc>
        <w:tc>
          <w:tcPr>
            <w:tcW w:w="1119" w:type="dxa"/>
            <w:tcBorders>
              <w:top w:val="single" w:sz="4" w:space="0" w:color="000000"/>
              <w:left w:val="single" w:sz="4" w:space="0" w:color="000000"/>
            </w:tcBorders>
          </w:tcPr>
          <w:p>
            <w:pPr>
              <w:pStyle w:val="TableParagraph"/>
              <w:spacing w:before="29"/>
              <w:ind w:right="33"/>
              <w:jc w:val="right"/>
              <w:rPr>
                <w:b/>
                <w:sz w:val="12"/>
              </w:rPr>
            </w:pPr>
            <w:r>
              <w:rPr>
                <w:b/>
                <w:w w:val="105"/>
                <w:sz w:val="12"/>
              </w:rPr>
              <w:t>-3.732,11</w:t>
            </w:r>
          </w:p>
        </w:tc>
      </w:tr>
      <w:tr>
        <w:trPr>
          <w:trHeight w:val="347" w:hRule="atLeast"/>
        </w:trPr>
        <w:tc>
          <w:tcPr>
            <w:tcW w:w="3628" w:type="dxa"/>
          </w:tcPr>
          <w:p>
            <w:pPr>
              <w:pStyle w:val="TableParagraph"/>
              <w:spacing w:before="100"/>
              <w:ind w:left="55"/>
              <w:rPr>
                <w:b/>
                <w:sz w:val="12"/>
              </w:rPr>
            </w:pPr>
            <w:r>
              <w:rPr>
                <w:b/>
                <w:w w:val="105"/>
                <w:sz w:val="12"/>
              </w:rPr>
              <w:t>A.1) EXCEDENTE DE LA ACTIVIDAD</w:t>
            </w:r>
          </w:p>
        </w:tc>
        <w:tc>
          <w:tcPr>
            <w:tcW w:w="882" w:type="dxa"/>
          </w:tcPr>
          <w:p>
            <w:pPr>
              <w:pStyle w:val="TableParagraph"/>
              <w:spacing w:before="100"/>
              <w:ind w:right="35"/>
              <w:jc w:val="right"/>
              <w:rPr>
                <w:b/>
                <w:sz w:val="12"/>
              </w:rPr>
            </w:pPr>
            <w:r>
              <w:rPr>
                <w:b/>
                <w:w w:val="105"/>
                <w:sz w:val="12"/>
              </w:rPr>
              <w:t>35.033,10</w:t>
            </w:r>
          </w:p>
        </w:tc>
        <w:tc>
          <w:tcPr>
            <w:tcW w:w="880" w:type="dxa"/>
          </w:tcPr>
          <w:p>
            <w:pPr>
              <w:pStyle w:val="TableParagraph"/>
              <w:spacing w:before="100"/>
              <w:ind w:right="34"/>
              <w:jc w:val="right"/>
              <w:rPr>
                <w:b/>
                <w:sz w:val="12"/>
              </w:rPr>
            </w:pPr>
            <w:r>
              <w:rPr>
                <w:b/>
                <w:w w:val="105"/>
                <w:sz w:val="12"/>
              </w:rPr>
              <w:t>17.221,73</w:t>
            </w:r>
          </w:p>
        </w:tc>
        <w:tc>
          <w:tcPr>
            <w:tcW w:w="882" w:type="dxa"/>
          </w:tcPr>
          <w:p>
            <w:pPr>
              <w:pStyle w:val="TableParagraph"/>
              <w:spacing w:before="100"/>
              <w:ind w:right="34"/>
              <w:jc w:val="right"/>
              <w:rPr>
                <w:b/>
                <w:sz w:val="12"/>
              </w:rPr>
            </w:pPr>
            <w:r>
              <w:rPr>
                <w:b/>
                <w:w w:val="105"/>
                <w:sz w:val="12"/>
              </w:rPr>
              <w:t>-95.372,49</w:t>
            </w:r>
          </w:p>
        </w:tc>
        <w:tc>
          <w:tcPr>
            <w:tcW w:w="880" w:type="dxa"/>
          </w:tcPr>
          <w:p>
            <w:pPr>
              <w:pStyle w:val="TableParagraph"/>
              <w:spacing w:before="100"/>
              <w:ind w:right="33"/>
              <w:jc w:val="right"/>
              <w:rPr>
                <w:b/>
                <w:sz w:val="12"/>
              </w:rPr>
            </w:pPr>
            <w:r>
              <w:rPr>
                <w:b/>
                <w:w w:val="105"/>
                <w:sz w:val="12"/>
              </w:rPr>
              <w:t>64.095,09</w:t>
            </w:r>
          </w:p>
        </w:tc>
        <w:tc>
          <w:tcPr>
            <w:tcW w:w="992" w:type="dxa"/>
          </w:tcPr>
          <w:p>
            <w:pPr>
              <w:pStyle w:val="TableParagraph"/>
              <w:spacing w:before="100"/>
              <w:ind w:right="33"/>
              <w:jc w:val="right"/>
              <w:rPr>
                <w:b/>
                <w:sz w:val="12"/>
              </w:rPr>
            </w:pPr>
            <w:r>
              <w:rPr>
                <w:b/>
                <w:w w:val="105"/>
                <w:sz w:val="12"/>
              </w:rPr>
              <w:t>35.031,00</w:t>
            </w:r>
          </w:p>
        </w:tc>
        <w:tc>
          <w:tcPr>
            <w:tcW w:w="881" w:type="dxa"/>
          </w:tcPr>
          <w:p>
            <w:pPr>
              <w:pStyle w:val="TableParagraph"/>
              <w:spacing w:before="100"/>
              <w:ind w:right="34"/>
              <w:jc w:val="right"/>
              <w:rPr>
                <w:b/>
                <w:sz w:val="12"/>
              </w:rPr>
            </w:pPr>
            <w:r>
              <w:rPr>
                <w:b/>
                <w:w w:val="105"/>
                <w:sz w:val="12"/>
              </w:rPr>
              <w:t>1.748,67</w:t>
            </w:r>
          </w:p>
        </w:tc>
        <w:tc>
          <w:tcPr>
            <w:tcW w:w="882" w:type="dxa"/>
          </w:tcPr>
          <w:p>
            <w:pPr>
              <w:pStyle w:val="TableParagraph"/>
              <w:spacing w:before="100"/>
              <w:ind w:right="33"/>
              <w:jc w:val="right"/>
              <w:rPr>
                <w:b/>
                <w:sz w:val="12"/>
              </w:rPr>
            </w:pPr>
            <w:r>
              <w:rPr>
                <w:b/>
                <w:w w:val="105"/>
                <w:sz w:val="12"/>
              </w:rPr>
              <w:t>63.556,36</w:t>
            </w:r>
          </w:p>
        </w:tc>
        <w:tc>
          <w:tcPr>
            <w:tcW w:w="1119" w:type="dxa"/>
          </w:tcPr>
          <w:p>
            <w:pPr>
              <w:pStyle w:val="TableParagraph"/>
              <w:spacing w:before="100"/>
              <w:ind w:right="33"/>
              <w:jc w:val="right"/>
              <w:rPr>
                <w:b/>
                <w:sz w:val="12"/>
              </w:rPr>
            </w:pPr>
            <w:r>
              <w:rPr>
                <w:b/>
                <w:w w:val="105"/>
                <w:sz w:val="12"/>
              </w:rPr>
              <w:t>121.313,46</w:t>
            </w:r>
          </w:p>
        </w:tc>
      </w:tr>
      <w:tr>
        <w:trPr>
          <w:trHeight w:val="193" w:hRule="atLeast"/>
        </w:trPr>
        <w:tc>
          <w:tcPr>
            <w:tcW w:w="3628" w:type="dxa"/>
            <w:vMerge w:val="restart"/>
            <w:tcBorders>
              <w:right w:val="single" w:sz="4" w:space="0" w:color="000000"/>
            </w:tcBorders>
          </w:tcPr>
          <w:p>
            <w:pPr>
              <w:pStyle w:val="TableParagraph"/>
              <w:spacing w:line="336" w:lineRule="auto" w:before="27"/>
              <w:ind w:left="55" w:right="2191"/>
              <w:rPr>
                <w:sz w:val="12"/>
              </w:rPr>
            </w:pPr>
            <w:r>
              <w:rPr>
                <w:w w:val="105"/>
                <w:sz w:val="12"/>
              </w:rPr>
              <w:t>Ingresos Financieros Gastos financieros</w:t>
            </w:r>
          </w:p>
          <w:p>
            <w:pPr>
              <w:pStyle w:val="TableParagraph"/>
              <w:spacing w:before="8"/>
              <w:ind w:left="55"/>
              <w:rPr>
                <w:sz w:val="12"/>
              </w:rPr>
            </w:pPr>
            <w:r>
              <w:rPr>
                <w:w w:val="105"/>
                <w:sz w:val="12"/>
              </w:rPr>
              <w:t>Diferencias de cambio</w:t>
            </w:r>
          </w:p>
        </w:tc>
        <w:tc>
          <w:tcPr>
            <w:tcW w:w="882" w:type="dxa"/>
            <w:tcBorders>
              <w:left w:val="single" w:sz="4" w:space="0" w:color="000000"/>
              <w:bottom w:val="single" w:sz="4" w:space="0" w:color="000000"/>
            </w:tcBorders>
          </w:tcPr>
          <w:p>
            <w:pPr>
              <w:pStyle w:val="TableParagraph"/>
              <w:rPr>
                <w:rFonts w:ascii="Times New Roman"/>
                <w:sz w:val="12"/>
              </w:rPr>
            </w:pPr>
          </w:p>
        </w:tc>
        <w:tc>
          <w:tcPr>
            <w:tcW w:w="880" w:type="dxa"/>
            <w:tcBorders>
              <w:bottom w:val="single" w:sz="4" w:space="0" w:color="000000"/>
            </w:tcBorders>
          </w:tcPr>
          <w:p>
            <w:pPr>
              <w:pStyle w:val="TableParagraph"/>
              <w:spacing w:before="27"/>
              <w:ind w:right="34"/>
              <w:jc w:val="right"/>
              <w:rPr>
                <w:sz w:val="12"/>
              </w:rPr>
            </w:pPr>
            <w:r>
              <w:rPr>
                <w:sz w:val="12"/>
              </w:rPr>
              <w:t>155,14</w:t>
            </w:r>
          </w:p>
        </w:tc>
        <w:tc>
          <w:tcPr>
            <w:tcW w:w="882" w:type="dxa"/>
            <w:tcBorders>
              <w:bottom w:val="single" w:sz="4" w:space="0" w:color="000000"/>
            </w:tcBorders>
          </w:tcPr>
          <w:p>
            <w:pPr>
              <w:pStyle w:val="TableParagraph"/>
              <w:rPr>
                <w:rFonts w:ascii="Times New Roman"/>
                <w:sz w:val="12"/>
              </w:rPr>
            </w:pPr>
          </w:p>
        </w:tc>
        <w:tc>
          <w:tcPr>
            <w:tcW w:w="880" w:type="dxa"/>
            <w:tcBorders>
              <w:bottom w:val="single" w:sz="4" w:space="0" w:color="000000"/>
            </w:tcBorders>
          </w:tcPr>
          <w:p>
            <w:pPr>
              <w:pStyle w:val="TableParagraph"/>
              <w:rPr>
                <w:rFonts w:ascii="Times New Roman"/>
                <w:sz w:val="12"/>
              </w:rPr>
            </w:pPr>
          </w:p>
        </w:tc>
        <w:tc>
          <w:tcPr>
            <w:tcW w:w="992" w:type="dxa"/>
            <w:tcBorders>
              <w:bottom w:val="single" w:sz="4" w:space="0" w:color="000000"/>
            </w:tcBorders>
          </w:tcPr>
          <w:p>
            <w:pPr>
              <w:pStyle w:val="TableParagraph"/>
              <w:spacing w:before="27"/>
              <w:ind w:right="33"/>
              <w:jc w:val="right"/>
              <w:rPr>
                <w:sz w:val="12"/>
              </w:rPr>
            </w:pPr>
            <w:r>
              <w:rPr>
                <w:sz w:val="12"/>
              </w:rPr>
              <w:t>40,00</w:t>
            </w:r>
          </w:p>
        </w:tc>
        <w:tc>
          <w:tcPr>
            <w:tcW w:w="881" w:type="dxa"/>
            <w:tcBorders>
              <w:bottom w:val="single" w:sz="4" w:space="0" w:color="000000"/>
            </w:tcBorders>
          </w:tcPr>
          <w:p>
            <w:pPr>
              <w:pStyle w:val="TableParagraph"/>
              <w:spacing w:before="27"/>
              <w:ind w:right="34"/>
              <w:jc w:val="right"/>
              <w:rPr>
                <w:sz w:val="12"/>
              </w:rPr>
            </w:pPr>
            <w:r>
              <w:rPr>
                <w:sz w:val="12"/>
              </w:rPr>
              <w:t>0,50</w:t>
            </w:r>
          </w:p>
        </w:tc>
        <w:tc>
          <w:tcPr>
            <w:tcW w:w="882" w:type="dxa"/>
            <w:tcBorders>
              <w:bottom w:val="single" w:sz="4" w:space="0" w:color="000000"/>
              <w:right w:val="single" w:sz="4" w:space="0" w:color="000000"/>
            </w:tcBorders>
          </w:tcPr>
          <w:p>
            <w:pPr>
              <w:pStyle w:val="TableParagraph"/>
              <w:rPr>
                <w:rFonts w:ascii="Times New Roman"/>
                <w:sz w:val="12"/>
              </w:rPr>
            </w:pPr>
          </w:p>
        </w:tc>
        <w:tc>
          <w:tcPr>
            <w:tcW w:w="1119" w:type="dxa"/>
            <w:tcBorders>
              <w:left w:val="single" w:sz="4" w:space="0" w:color="000000"/>
              <w:bottom w:val="single" w:sz="4" w:space="0" w:color="000000"/>
            </w:tcBorders>
          </w:tcPr>
          <w:p>
            <w:pPr>
              <w:pStyle w:val="TableParagraph"/>
              <w:spacing w:before="27"/>
              <w:ind w:right="33"/>
              <w:jc w:val="right"/>
              <w:rPr>
                <w:b/>
                <w:sz w:val="12"/>
              </w:rPr>
            </w:pPr>
            <w:r>
              <w:rPr>
                <w:b/>
                <w:sz w:val="12"/>
              </w:rPr>
              <w:t>195,64</w:t>
            </w:r>
          </w:p>
        </w:tc>
      </w:tr>
      <w:tr>
        <w:trPr>
          <w:trHeight w:val="192" w:hRule="atLeast"/>
        </w:trPr>
        <w:tc>
          <w:tcPr>
            <w:tcW w:w="3628" w:type="dxa"/>
            <w:vMerge/>
            <w:tcBorders>
              <w:top w:val="nil"/>
              <w:right w:val="single" w:sz="4" w:space="0" w:color="000000"/>
            </w:tcBorders>
          </w:tcPr>
          <w:p>
            <w:pPr>
              <w:rPr>
                <w:sz w:val="2"/>
                <w:szCs w:val="2"/>
              </w:rPr>
            </w:pPr>
          </w:p>
        </w:tc>
        <w:tc>
          <w:tcPr>
            <w:tcW w:w="882" w:type="dxa"/>
            <w:tcBorders>
              <w:top w:val="single" w:sz="4" w:space="0" w:color="000000"/>
              <w:left w:val="single" w:sz="4" w:space="0" w:color="000000"/>
              <w:bottom w:val="single" w:sz="4" w:space="0" w:color="000000"/>
            </w:tcBorders>
          </w:tcPr>
          <w:p>
            <w:pPr>
              <w:pStyle w:val="TableParagraph"/>
              <w:rPr>
                <w:rFonts w:ascii="Times New Roman"/>
                <w:sz w:val="12"/>
              </w:rPr>
            </w:pPr>
          </w:p>
        </w:tc>
        <w:tc>
          <w:tcPr>
            <w:tcW w:w="880" w:type="dxa"/>
            <w:tcBorders>
              <w:top w:val="single" w:sz="4" w:space="0" w:color="000000"/>
              <w:bottom w:val="single" w:sz="4" w:space="0" w:color="000000"/>
            </w:tcBorders>
          </w:tcPr>
          <w:p>
            <w:pPr>
              <w:pStyle w:val="TableParagraph"/>
              <w:rPr>
                <w:rFonts w:ascii="Times New Roman"/>
                <w:sz w:val="12"/>
              </w:rPr>
            </w:pPr>
          </w:p>
        </w:tc>
        <w:tc>
          <w:tcPr>
            <w:tcW w:w="882" w:type="dxa"/>
            <w:tcBorders>
              <w:top w:val="single" w:sz="4" w:space="0" w:color="000000"/>
              <w:bottom w:val="single" w:sz="4" w:space="0" w:color="000000"/>
            </w:tcBorders>
          </w:tcPr>
          <w:p>
            <w:pPr>
              <w:pStyle w:val="TableParagraph"/>
              <w:spacing w:before="23"/>
              <w:ind w:right="34"/>
              <w:jc w:val="right"/>
              <w:rPr>
                <w:sz w:val="12"/>
              </w:rPr>
            </w:pPr>
            <w:r>
              <w:rPr>
                <w:w w:val="105"/>
                <w:sz w:val="12"/>
              </w:rPr>
              <w:t>-7.588,20</w:t>
            </w:r>
          </w:p>
        </w:tc>
        <w:tc>
          <w:tcPr>
            <w:tcW w:w="880" w:type="dxa"/>
            <w:tcBorders>
              <w:top w:val="single" w:sz="4" w:space="0" w:color="000000"/>
              <w:bottom w:val="single" w:sz="4" w:space="0" w:color="000000"/>
            </w:tcBorders>
          </w:tcPr>
          <w:p>
            <w:pPr>
              <w:pStyle w:val="TableParagraph"/>
              <w:spacing w:before="23"/>
              <w:ind w:right="33"/>
              <w:jc w:val="right"/>
              <w:rPr>
                <w:sz w:val="12"/>
              </w:rPr>
            </w:pPr>
            <w:r>
              <w:rPr>
                <w:w w:val="105"/>
                <w:sz w:val="12"/>
              </w:rPr>
              <w:t>-64.095,09</w:t>
            </w:r>
          </w:p>
        </w:tc>
        <w:tc>
          <w:tcPr>
            <w:tcW w:w="992" w:type="dxa"/>
            <w:tcBorders>
              <w:top w:val="single" w:sz="4" w:space="0" w:color="000000"/>
              <w:bottom w:val="single" w:sz="4" w:space="0" w:color="000000"/>
            </w:tcBorders>
          </w:tcPr>
          <w:p>
            <w:pPr>
              <w:pStyle w:val="TableParagraph"/>
              <w:spacing w:before="23"/>
              <w:ind w:right="33"/>
              <w:jc w:val="right"/>
              <w:rPr>
                <w:sz w:val="12"/>
              </w:rPr>
            </w:pPr>
            <w:r>
              <w:rPr>
                <w:w w:val="105"/>
                <w:sz w:val="12"/>
              </w:rPr>
              <w:t>-2.295,00</w:t>
            </w:r>
          </w:p>
        </w:tc>
        <w:tc>
          <w:tcPr>
            <w:tcW w:w="881" w:type="dxa"/>
            <w:tcBorders>
              <w:top w:val="single" w:sz="4" w:space="0" w:color="000000"/>
              <w:bottom w:val="single" w:sz="4" w:space="0" w:color="000000"/>
            </w:tcBorders>
          </w:tcPr>
          <w:p>
            <w:pPr>
              <w:pStyle w:val="TableParagraph"/>
              <w:rPr>
                <w:rFonts w:ascii="Times New Roman"/>
                <w:sz w:val="12"/>
              </w:rPr>
            </w:pPr>
          </w:p>
        </w:tc>
        <w:tc>
          <w:tcPr>
            <w:tcW w:w="882"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1119" w:type="dxa"/>
            <w:tcBorders>
              <w:top w:val="single" w:sz="4" w:space="0" w:color="000000"/>
              <w:left w:val="single" w:sz="4" w:space="0" w:color="000000"/>
              <w:bottom w:val="single" w:sz="4" w:space="0" w:color="000000"/>
            </w:tcBorders>
          </w:tcPr>
          <w:p>
            <w:pPr>
              <w:pStyle w:val="TableParagraph"/>
              <w:spacing w:before="23"/>
              <w:ind w:right="33"/>
              <w:jc w:val="right"/>
              <w:rPr>
                <w:b/>
                <w:sz w:val="12"/>
              </w:rPr>
            </w:pPr>
            <w:r>
              <w:rPr>
                <w:b/>
                <w:w w:val="105"/>
                <w:sz w:val="12"/>
              </w:rPr>
              <w:t>-73.978,29</w:t>
            </w:r>
          </w:p>
        </w:tc>
      </w:tr>
      <w:tr>
        <w:trPr>
          <w:trHeight w:val="206" w:hRule="atLeast"/>
        </w:trPr>
        <w:tc>
          <w:tcPr>
            <w:tcW w:w="3628" w:type="dxa"/>
            <w:vMerge/>
            <w:tcBorders>
              <w:top w:val="nil"/>
              <w:right w:val="single" w:sz="4" w:space="0" w:color="000000"/>
            </w:tcBorders>
          </w:tcPr>
          <w:p>
            <w:pPr>
              <w:rPr>
                <w:sz w:val="2"/>
                <w:szCs w:val="2"/>
              </w:rPr>
            </w:pPr>
          </w:p>
        </w:tc>
        <w:tc>
          <w:tcPr>
            <w:tcW w:w="882" w:type="dxa"/>
            <w:tcBorders>
              <w:top w:val="single" w:sz="4" w:space="0" w:color="000000"/>
              <w:left w:val="single" w:sz="4" w:space="0" w:color="000000"/>
              <w:bottom w:val="single" w:sz="4" w:space="0" w:color="000000"/>
            </w:tcBorders>
          </w:tcPr>
          <w:p>
            <w:pPr>
              <w:pStyle w:val="TableParagraph"/>
              <w:rPr>
                <w:rFonts w:ascii="Times New Roman"/>
                <w:sz w:val="12"/>
              </w:rPr>
            </w:pPr>
          </w:p>
        </w:tc>
        <w:tc>
          <w:tcPr>
            <w:tcW w:w="880" w:type="dxa"/>
            <w:tcBorders>
              <w:top w:val="single" w:sz="4" w:space="0" w:color="000000"/>
              <w:bottom w:val="single" w:sz="4" w:space="0" w:color="000000"/>
            </w:tcBorders>
          </w:tcPr>
          <w:p>
            <w:pPr>
              <w:pStyle w:val="TableParagraph"/>
              <w:spacing w:before="29"/>
              <w:ind w:right="34"/>
              <w:jc w:val="right"/>
              <w:rPr>
                <w:sz w:val="12"/>
              </w:rPr>
            </w:pPr>
            <w:r>
              <w:rPr>
                <w:w w:val="105"/>
                <w:sz w:val="12"/>
              </w:rPr>
              <w:t>-17.376,87</w:t>
            </w:r>
          </w:p>
        </w:tc>
        <w:tc>
          <w:tcPr>
            <w:tcW w:w="882" w:type="dxa"/>
            <w:tcBorders>
              <w:top w:val="single" w:sz="4" w:space="0" w:color="000000"/>
              <w:bottom w:val="single" w:sz="4" w:space="0" w:color="000000"/>
            </w:tcBorders>
          </w:tcPr>
          <w:p>
            <w:pPr>
              <w:pStyle w:val="TableParagraph"/>
              <w:rPr>
                <w:rFonts w:ascii="Times New Roman"/>
                <w:sz w:val="12"/>
              </w:rPr>
            </w:pPr>
          </w:p>
        </w:tc>
        <w:tc>
          <w:tcPr>
            <w:tcW w:w="880" w:type="dxa"/>
            <w:tcBorders>
              <w:top w:val="single" w:sz="4" w:space="0" w:color="000000"/>
              <w:bottom w:val="single" w:sz="4" w:space="0" w:color="000000"/>
            </w:tcBorders>
          </w:tcPr>
          <w:p>
            <w:pPr>
              <w:pStyle w:val="TableParagraph"/>
              <w:rPr>
                <w:rFonts w:ascii="Times New Roman"/>
                <w:sz w:val="12"/>
              </w:rPr>
            </w:pPr>
          </w:p>
        </w:tc>
        <w:tc>
          <w:tcPr>
            <w:tcW w:w="992" w:type="dxa"/>
            <w:tcBorders>
              <w:top w:val="single" w:sz="4" w:space="0" w:color="000000"/>
              <w:bottom w:val="single" w:sz="4" w:space="0" w:color="000000"/>
            </w:tcBorders>
          </w:tcPr>
          <w:p>
            <w:pPr>
              <w:pStyle w:val="TableParagraph"/>
              <w:rPr>
                <w:rFonts w:ascii="Times New Roman"/>
                <w:sz w:val="12"/>
              </w:rPr>
            </w:pPr>
          </w:p>
        </w:tc>
        <w:tc>
          <w:tcPr>
            <w:tcW w:w="881" w:type="dxa"/>
            <w:tcBorders>
              <w:top w:val="single" w:sz="4" w:space="0" w:color="000000"/>
              <w:bottom w:val="single" w:sz="4" w:space="0" w:color="000000"/>
            </w:tcBorders>
          </w:tcPr>
          <w:p>
            <w:pPr>
              <w:pStyle w:val="TableParagraph"/>
              <w:rPr>
                <w:rFonts w:ascii="Times New Roman"/>
                <w:sz w:val="12"/>
              </w:rPr>
            </w:pPr>
          </w:p>
        </w:tc>
        <w:tc>
          <w:tcPr>
            <w:tcW w:w="882"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1119" w:type="dxa"/>
            <w:tcBorders>
              <w:top w:val="single" w:sz="4" w:space="0" w:color="000000"/>
              <w:left w:val="single" w:sz="4" w:space="0" w:color="000000"/>
            </w:tcBorders>
          </w:tcPr>
          <w:p>
            <w:pPr>
              <w:pStyle w:val="TableParagraph"/>
              <w:spacing w:before="29"/>
              <w:ind w:right="33"/>
              <w:jc w:val="right"/>
              <w:rPr>
                <w:b/>
                <w:sz w:val="12"/>
              </w:rPr>
            </w:pPr>
            <w:r>
              <w:rPr>
                <w:b/>
                <w:w w:val="105"/>
                <w:sz w:val="12"/>
              </w:rPr>
              <w:t>-17.376,87</w:t>
            </w:r>
          </w:p>
        </w:tc>
      </w:tr>
      <w:tr>
        <w:trPr>
          <w:trHeight w:val="259" w:hRule="atLeast"/>
        </w:trPr>
        <w:tc>
          <w:tcPr>
            <w:tcW w:w="3628" w:type="dxa"/>
          </w:tcPr>
          <w:p>
            <w:pPr>
              <w:pStyle w:val="TableParagraph"/>
              <w:spacing w:before="57"/>
              <w:ind w:left="55"/>
              <w:rPr>
                <w:b/>
                <w:sz w:val="12"/>
              </w:rPr>
            </w:pPr>
            <w:r>
              <w:rPr>
                <w:b/>
                <w:w w:val="105"/>
                <w:sz w:val="12"/>
              </w:rPr>
              <w:t>A.2) EXCEDENTE DE LAS OPERACIONES FINANCIERAS</w:t>
            </w:r>
          </w:p>
        </w:tc>
        <w:tc>
          <w:tcPr>
            <w:tcW w:w="882" w:type="dxa"/>
            <w:tcBorders>
              <w:top w:val="single" w:sz="4" w:space="0" w:color="000000"/>
            </w:tcBorders>
          </w:tcPr>
          <w:p>
            <w:pPr>
              <w:pStyle w:val="TableParagraph"/>
              <w:spacing w:before="57"/>
              <w:ind w:right="36"/>
              <w:jc w:val="right"/>
              <w:rPr>
                <w:b/>
                <w:sz w:val="12"/>
              </w:rPr>
            </w:pPr>
            <w:r>
              <w:rPr>
                <w:b/>
                <w:w w:val="105"/>
                <w:sz w:val="12"/>
              </w:rPr>
              <w:t>0,00</w:t>
            </w:r>
          </w:p>
        </w:tc>
        <w:tc>
          <w:tcPr>
            <w:tcW w:w="880" w:type="dxa"/>
            <w:tcBorders>
              <w:top w:val="single" w:sz="4" w:space="0" w:color="000000"/>
            </w:tcBorders>
          </w:tcPr>
          <w:p>
            <w:pPr>
              <w:pStyle w:val="TableParagraph"/>
              <w:spacing w:before="57"/>
              <w:ind w:right="34"/>
              <w:jc w:val="right"/>
              <w:rPr>
                <w:b/>
                <w:sz w:val="12"/>
              </w:rPr>
            </w:pPr>
            <w:r>
              <w:rPr>
                <w:b/>
                <w:w w:val="105"/>
                <w:sz w:val="12"/>
              </w:rPr>
              <w:t>-17.221,73</w:t>
            </w:r>
          </w:p>
        </w:tc>
        <w:tc>
          <w:tcPr>
            <w:tcW w:w="882" w:type="dxa"/>
            <w:tcBorders>
              <w:top w:val="single" w:sz="4" w:space="0" w:color="000000"/>
            </w:tcBorders>
          </w:tcPr>
          <w:p>
            <w:pPr>
              <w:pStyle w:val="TableParagraph"/>
              <w:spacing w:before="57"/>
              <w:ind w:right="34"/>
              <w:jc w:val="right"/>
              <w:rPr>
                <w:b/>
                <w:sz w:val="12"/>
              </w:rPr>
            </w:pPr>
            <w:r>
              <w:rPr>
                <w:b/>
                <w:w w:val="105"/>
                <w:sz w:val="12"/>
              </w:rPr>
              <w:t>-7.588,20</w:t>
            </w:r>
          </w:p>
        </w:tc>
        <w:tc>
          <w:tcPr>
            <w:tcW w:w="880" w:type="dxa"/>
            <w:tcBorders>
              <w:top w:val="single" w:sz="4" w:space="0" w:color="000000"/>
            </w:tcBorders>
          </w:tcPr>
          <w:p>
            <w:pPr>
              <w:pStyle w:val="TableParagraph"/>
              <w:spacing w:before="57"/>
              <w:ind w:right="33"/>
              <w:jc w:val="right"/>
              <w:rPr>
                <w:b/>
                <w:sz w:val="12"/>
              </w:rPr>
            </w:pPr>
            <w:r>
              <w:rPr>
                <w:b/>
                <w:w w:val="105"/>
                <w:sz w:val="12"/>
              </w:rPr>
              <w:t>-64.095,09</w:t>
            </w:r>
          </w:p>
        </w:tc>
        <w:tc>
          <w:tcPr>
            <w:tcW w:w="992" w:type="dxa"/>
            <w:tcBorders>
              <w:top w:val="single" w:sz="4" w:space="0" w:color="000000"/>
            </w:tcBorders>
          </w:tcPr>
          <w:p>
            <w:pPr>
              <w:pStyle w:val="TableParagraph"/>
              <w:spacing w:before="57"/>
              <w:ind w:right="33"/>
              <w:jc w:val="right"/>
              <w:rPr>
                <w:b/>
                <w:sz w:val="12"/>
              </w:rPr>
            </w:pPr>
            <w:r>
              <w:rPr>
                <w:b/>
                <w:w w:val="105"/>
                <w:sz w:val="12"/>
              </w:rPr>
              <w:t>-2.255,00</w:t>
            </w:r>
          </w:p>
        </w:tc>
        <w:tc>
          <w:tcPr>
            <w:tcW w:w="881" w:type="dxa"/>
            <w:tcBorders>
              <w:top w:val="single" w:sz="4" w:space="0" w:color="000000"/>
            </w:tcBorders>
          </w:tcPr>
          <w:p>
            <w:pPr>
              <w:pStyle w:val="TableParagraph"/>
              <w:spacing w:before="57"/>
              <w:ind w:right="35"/>
              <w:jc w:val="right"/>
              <w:rPr>
                <w:b/>
                <w:sz w:val="12"/>
              </w:rPr>
            </w:pPr>
            <w:r>
              <w:rPr>
                <w:b/>
                <w:w w:val="105"/>
                <w:sz w:val="12"/>
              </w:rPr>
              <w:t>0,50</w:t>
            </w:r>
          </w:p>
        </w:tc>
        <w:tc>
          <w:tcPr>
            <w:tcW w:w="882" w:type="dxa"/>
            <w:tcBorders>
              <w:top w:val="single" w:sz="4" w:space="0" w:color="000000"/>
            </w:tcBorders>
          </w:tcPr>
          <w:p>
            <w:pPr>
              <w:pStyle w:val="TableParagraph"/>
              <w:spacing w:before="57"/>
              <w:ind w:right="35"/>
              <w:jc w:val="right"/>
              <w:rPr>
                <w:b/>
                <w:sz w:val="12"/>
              </w:rPr>
            </w:pPr>
            <w:r>
              <w:rPr>
                <w:b/>
                <w:w w:val="105"/>
                <w:sz w:val="12"/>
              </w:rPr>
              <w:t>0,00</w:t>
            </w:r>
          </w:p>
        </w:tc>
        <w:tc>
          <w:tcPr>
            <w:tcW w:w="1119" w:type="dxa"/>
          </w:tcPr>
          <w:p>
            <w:pPr>
              <w:pStyle w:val="TableParagraph"/>
              <w:spacing w:before="57"/>
              <w:ind w:right="33"/>
              <w:jc w:val="right"/>
              <w:rPr>
                <w:b/>
                <w:sz w:val="12"/>
              </w:rPr>
            </w:pPr>
            <w:r>
              <w:rPr>
                <w:b/>
                <w:w w:val="105"/>
                <w:sz w:val="12"/>
              </w:rPr>
              <w:t>-91.159,52</w:t>
            </w:r>
          </w:p>
        </w:tc>
      </w:tr>
      <w:tr>
        <w:trPr>
          <w:trHeight w:val="251" w:hRule="atLeast"/>
        </w:trPr>
        <w:tc>
          <w:tcPr>
            <w:tcW w:w="3628" w:type="dxa"/>
            <w:tcBorders>
              <w:left w:val="single" w:sz="4" w:space="0" w:color="000000"/>
            </w:tcBorders>
          </w:tcPr>
          <w:p>
            <w:pPr>
              <w:pStyle w:val="TableParagraph"/>
              <w:spacing w:before="53"/>
              <w:ind w:left="58"/>
              <w:rPr>
                <w:b/>
                <w:sz w:val="12"/>
              </w:rPr>
            </w:pPr>
            <w:r>
              <w:rPr>
                <w:b/>
                <w:w w:val="105"/>
                <w:sz w:val="12"/>
              </w:rPr>
              <w:t>A.3) EXCEDENTE ANTES DE IMPUESTOS</w:t>
            </w:r>
          </w:p>
        </w:tc>
        <w:tc>
          <w:tcPr>
            <w:tcW w:w="882" w:type="dxa"/>
          </w:tcPr>
          <w:p>
            <w:pPr>
              <w:pStyle w:val="TableParagraph"/>
              <w:spacing w:before="53"/>
              <w:ind w:right="35"/>
              <w:jc w:val="right"/>
              <w:rPr>
                <w:b/>
                <w:sz w:val="12"/>
              </w:rPr>
            </w:pPr>
            <w:r>
              <w:rPr>
                <w:b/>
                <w:w w:val="105"/>
                <w:sz w:val="12"/>
              </w:rPr>
              <w:t>35.033,10</w:t>
            </w:r>
          </w:p>
        </w:tc>
        <w:tc>
          <w:tcPr>
            <w:tcW w:w="880" w:type="dxa"/>
          </w:tcPr>
          <w:p>
            <w:pPr>
              <w:pStyle w:val="TableParagraph"/>
              <w:spacing w:before="53"/>
              <w:ind w:right="36"/>
              <w:jc w:val="right"/>
              <w:rPr>
                <w:b/>
                <w:sz w:val="12"/>
              </w:rPr>
            </w:pPr>
            <w:r>
              <w:rPr>
                <w:b/>
                <w:w w:val="105"/>
                <w:sz w:val="12"/>
              </w:rPr>
              <w:t>0,00</w:t>
            </w:r>
          </w:p>
        </w:tc>
        <w:tc>
          <w:tcPr>
            <w:tcW w:w="882" w:type="dxa"/>
          </w:tcPr>
          <w:p>
            <w:pPr>
              <w:pStyle w:val="TableParagraph"/>
              <w:spacing w:before="53"/>
              <w:ind w:right="34"/>
              <w:jc w:val="right"/>
              <w:rPr>
                <w:b/>
                <w:sz w:val="12"/>
              </w:rPr>
            </w:pPr>
            <w:r>
              <w:rPr>
                <w:b/>
                <w:w w:val="105"/>
                <w:sz w:val="12"/>
              </w:rPr>
              <w:t>-102.960,69</w:t>
            </w:r>
          </w:p>
        </w:tc>
        <w:tc>
          <w:tcPr>
            <w:tcW w:w="880" w:type="dxa"/>
          </w:tcPr>
          <w:p>
            <w:pPr>
              <w:pStyle w:val="TableParagraph"/>
              <w:spacing w:before="53"/>
              <w:ind w:right="35"/>
              <w:jc w:val="right"/>
              <w:rPr>
                <w:b/>
                <w:sz w:val="12"/>
              </w:rPr>
            </w:pPr>
            <w:r>
              <w:rPr>
                <w:b/>
                <w:w w:val="105"/>
                <w:sz w:val="12"/>
              </w:rPr>
              <w:t>0,00</w:t>
            </w:r>
          </w:p>
        </w:tc>
        <w:tc>
          <w:tcPr>
            <w:tcW w:w="992" w:type="dxa"/>
          </w:tcPr>
          <w:p>
            <w:pPr>
              <w:pStyle w:val="TableParagraph"/>
              <w:spacing w:before="53"/>
              <w:ind w:right="33"/>
              <w:jc w:val="right"/>
              <w:rPr>
                <w:b/>
                <w:sz w:val="12"/>
              </w:rPr>
            </w:pPr>
            <w:r>
              <w:rPr>
                <w:b/>
                <w:w w:val="105"/>
                <w:sz w:val="12"/>
              </w:rPr>
              <w:t>32.776,00</w:t>
            </w:r>
          </w:p>
        </w:tc>
        <w:tc>
          <w:tcPr>
            <w:tcW w:w="881" w:type="dxa"/>
          </w:tcPr>
          <w:p>
            <w:pPr>
              <w:pStyle w:val="TableParagraph"/>
              <w:spacing w:before="53"/>
              <w:ind w:right="34"/>
              <w:jc w:val="right"/>
              <w:rPr>
                <w:b/>
                <w:sz w:val="12"/>
              </w:rPr>
            </w:pPr>
            <w:r>
              <w:rPr>
                <w:b/>
                <w:w w:val="105"/>
                <w:sz w:val="12"/>
              </w:rPr>
              <w:t>1.749,17</w:t>
            </w:r>
          </w:p>
        </w:tc>
        <w:tc>
          <w:tcPr>
            <w:tcW w:w="882" w:type="dxa"/>
          </w:tcPr>
          <w:p>
            <w:pPr>
              <w:pStyle w:val="TableParagraph"/>
              <w:spacing w:before="53"/>
              <w:ind w:right="33"/>
              <w:jc w:val="right"/>
              <w:rPr>
                <w:b/>
                <w:sz w:val="12"/>
              </w:rPr>
            </w:pPr>
            <w:r>
              <w:rPr>
                <w:b/>
                <w:w w:val="105"/>
                <w:sz w:val="12"/>
              </w:rPr>
              <w:t>63.556,36</w:t>
            </w:r>
          </w:p>
        </w:tc>
        <w:tc>
          <w:tcPr>
            <w:tcW w:w="1119" w:type="dxa"/>
          </w:tcPr>
          <w:p>
            <w:pPr>
              <w:pStyle w:val="TableParagraph"/>
              <w:spacing w:before="53"/>
              <w:ind w:right="33"/>
              <w:jc w:val="right"/>
              <w:rPr>
                <w:b/>
                <w:sz w:val="12"/>
              </w:rPr>
            </w:pPr>
            <w:r>
              <w:rPr>
                <w:b/>
                <w:w w:val="105"/>
                <w:sz w:val="12"/>
              </w:rPr>
              <w:t>30.153,94</w:t>
            </w:r>
          </w:p>
        </w:tc>
      </w:tr>
      <w:tr>
        <w:trPr>
          <w:trHeight w:val="279" w:hRule="atLeast"/>
        </w:trPr>
        <w:tc>
          <w:tcPr>
            <w:tcW w:w="3628" w:type="dxa"/>
            <w:tcBorders>
              <w:right w:val="single" w:sz="4" w:space="0" w:color="000000"/>
            </w:tcBorders>
          </w:tcPr>
          <w:p>
            <w:pPr>
              <w:pStyle w:val="TableParagraph"/>
              <w:spacing w:before="66"/>
              <w:ind w:left="83"/>
              <w:rPr>
                <w:sz w:val="12"/>
              </w:rPr>
            </w:pPr>
            <w:r>
              <w:rPr>
                <w:w w:val="105"/>
                <w:sz w:val="12"/>
              </w:rPr>
              <w:t>Impuesto sobre beneficios</w:t>
            </w:r>
          </w:p>
        </w:tc>
        <w:tc>
          <w:tcPr>
            <w:tcW w:w="882" w:type="dxa"/>
            <w:tcBorders>
              <w:left w:val="single" w:sz="4" w:space="0" w:color="000000"/>
              <w:right w:val="single" w:sz="4" w:space="0" w:color="000000"/>
            </w:tcBorders>
          </w:tcPr>
          <w:p>
            <w:pPr>
              <w:pStyle w:val="TableParagraph"/>
              <w:rPr>
                <w:rFonts w:ascii="Times New Roman"/>
                <w:sz w:val="12"/>
              </w:rPr>
            </w:pPr>
          </w:p>
        </w:tc>
        <w:tc>
          <w:tcPr>
            <w:tcW w:w="880" w:type="dxa"/>
            <w:tcBorders>
              <w:left w:val="single" w:sz="4" w:space="0" w:color="000000"/>
              <w:right w:val="single" w:sz="4" w:space="0" w:color="000000"/>
            </w:tcBorders>
          </w:tcPr>
          <w:p>
            <w:pPr>
              <w:pStyle w:val="TableParagraph"/>
              <w:rPr>
                <w:rFonts w:ascii="Times New Roman"/>
                <w:sz w:val="12"/>
              </w:rPr>
            </w:pPr>
          </w:p>
        </w:tc>
        <w:tc>
          <w:tcPr>
            <w:tcW w:w="882" w:type="dxa"/>
            <w:tcBorders>
              <w:left w:val="single" w:sz="4" w:space="0" w:color="000000"/>
              <w:right w:val="single" w:sz="4" w:space="0" w:color="000000"/>
            </w:tcBorders>
          </w:tcPr>
          <w:p>
            <w:pPr>
              <w:pStyle w:val="TableParagraph"/>
              <w:spacing w:before="66"/>
              <w:ind w:right="36"/>
              <w:jc w:val="right"/>
              <w:rPr>
                <w:sz w:val="12"/>
              </w:rPr>
            </w:pPr>
            <w:r>
              <w:rPr>
                <w:w w:val="105"/>
                <w:sz w:val="12"/>
              </w:rPr>
              <w:t>-2.815,10</w:t>
            </w:r>
          </w:p>
        </w:tc>
        <w:tc>
          <w:tcPr>
            <w:tcW w:w="880" w:type="dxa"/>
            <w:tcBorders>
              <w:left w:val="single" w:sz="4" w:space="0" w:color="000000"/>
              <w:right w:val="single" w:sz="4" w:space="0" w:color="000000"/>
            </w:tcBorders>
          </w:tcPr>
          <w:p>
            <w:pPr>
              <w:pStyle w:val="TableParagraph"/>
              <w:rPr>
                <w:rFonts w:ascii="Times New Roman"/>
                <w:sz w:val="12"/>
              </w:rPr>
            </w:pPr>
          </w:p>
        </w:tc>
        <w:tc>
          <w:tcPr>
            <w:tcW w:w="992" w:type="dxa"/>
            <w:tcBorders>
              <w:left w:val="single" w:sz="4" w:space="0" w:color="000000"/>
              <w:right w:val="single" w:sz="4" w:space="0" w:color="000000"/>
            </w:tcBorders>
          </w:tcPr>
          <w:p>
            <w:pPr>
              <w:pStyle w:val="TableParagraph"/>
              <w:rPr>
                <w:rFonts w:ascii="Times New Roman"/>
                <w:sz w:val="12"/>
              </w:rPr>
            </w:pPr>
          </w:p>
        </w:tc>
        <w:tc>
          <w:tcPr>
            <w:tcW w:w="881" w:type="dxa"/>
            <w:tcBorders>
              <w:left w:val="single" w:sz="4" w:space="0" w:color="000000"/>
              <w:right w:val="single" w:sz="4" w:space="0" w:color="000000"/>
            </w:tcBorders>
          </w:tcPr>
          <w:p>
            <w:pPr>
              <w:pStyle w:val="TableParagraph"/>
              <w:rPr>
                <w:rFonts w:ascii="Times New Roman"/>
                <w:sz w:val="12"/>
              </w:rPr>
            </w:pPr>
          </w:p>
        </w:tc>
        <w:tc>
          <w:tcPr>
            <w:tcW w:w="882" w:type="dxa"/>
            <w:tcBorders>
              <w:left w:val="single" w:sz="4" w:space="0" w:color="000000"/>
              <w:right w:val="single" w:sz="4" w:space="0" w:color="000000"/>
            </w:tcBorders>
          </w:tcPr>
          <w:p>
            <w:pPr>
              <w:pStyle w:val="TableParagraph"/>
              <w:rPr>
                <w:rFonts w:ascii="Times New Roman"/>
                <w:sz w:val="12"/>
              </w:rPr>
            </w:pPr>
          </w:p>
        </w:tc>
        <w:tc>
          <w:tcPr>
            <w:tcW w:w="1119" w:type="dxa"/>
            <w:tcBorders>
              <w:left w:val="single" w:sz="4" w:space="0" w:color="000000"/>
            </w:tcBorders>
          </w:tcPr>
          <w:p>
            <w:pPr>
              <w:pStyle w:val="TableParagraph"/>
              <w:spacing w:before="66"/>
              <w:ind w:right="33"/>
              <w:jc w:val="right"/>
              <w:rPr>
                <w:b/>
                <w:sz w:val="12"/>
              </w:rPr>
            </w:pPr>
            <w:r>
              <w:rPr>
                <w:b/>
                <w:w w:val="105"/>
                <w:sz w:val="12"/>
              </w:rPr>
              <w:t>-2.815,10</w:t>
            </w:r>
          </w:p>
        </w:tc>
      </w:tr>
      <w:tr>
        <w:trPr>
          <w:trHeight w:val="236" w:hRule="atLeast"/>
        </w:trPr>
        <w:tc>
          <w:tcPr>
            <w:tcW w:w="3628" w:type="dxa"/>
            <w:tcBorders>
              <w:left w:val="single" w:sz="4" w:space="0" w:color="000000"/>
            </w:tcBorders>
          </w:tcPr>
          <w:p>
            <w:pPr>
              <w:pStyle w:val="TableParagraph"/>
              <w:spacing w:before="46"/>
              <w:ind w:left="58"/>
              <w:rPr>
                <w:b/>
                <w:sz w:val="12"/>
              </w:rPr>
            </w:pPr>
            <w:r>
              <w:rPr>
                <w:b/>
                <w:w w:val="105"/>
                <w:sz w:val="12"/>
              </w:rPr>
              <w:t>A.4) EXCEDENTE DEL EJERCICIO</w:t>
            </w:r>
          </w:p>
        </w:tc>
        <w:tc>
          <w:tcPr>
            <w:tcW w:w="882" w:type="dxa"/>
          </w:tcPr>
          <w:p>
            <w:pPr>
              <w:pStyle w:val="TableParagraph"/>
              <w:spacing w:before="46"/>
              <w:ind w:right="35"/>
              <w:jc w:val="right"/>
              <w:rPr>
                <w:b/>
                <w:sz w:val="12"/>
              </w:rPr>
            </w:pPr>
            <w:r>
              <w:rPr>
                <w:b/>
                <w:w w:val="105"/>
                <w:sz w:val="12"/>
              </w:rPr>
              <w:t>35.033,10</w:t>
            </w:r>
          </w:p>
        </w:tc>
        <w:tc>
          <w:tcPr>
            <w:tcW w:w="880" w:type="dxa"/>
          </w:tcPr>
          <w:p>
            <w:pPr>
              <w:pStyle w:val="TableParagraph"/>
              <w:spacing w:before="46"/>
              <w:ind w:right="36"/>
              <w:jc w:val="right"/>
              <w:rPr>
                <w:b/>
                <w:sz w:val="12"/>
              </w:rPr>
            </w:pPr>
            <w:r>
              <w:rPr>
                <w:b/>
                <w:w w:val="105"/>
                <w:sz w:val="12"/>
              </w:rPr>
              <w:t>0,00</w:t>
            </w:r>
          </w:p>
        </w:tc>
        <w:tc>
          <w:tcPr>
            <w:tcW w:w="882" w:type="dxa"/>
          </w:tcPr>
          <w:p>
            <w:pPr>
              <w:pStyle w:val="TableParagraph"/>
              <w:spacing w:before="46"/>
              <w:ind w:right="34"/>
              <w:jc w:val="right"/>
              <w:rPr>
                <w:b/>
                <w:sz w:val="12"/>
              </w:rPr>
            </w:pPr>
            <w:r>
              <w:rPr>
                <w:b/>
                <w:w w:val="105"/>
                <w:sz w:val="12"/>
              </w:rPr>
              <w:t>-105.775,79</w:t>
            </w:r>
          </w:p>
        </w:tc>
        <w:tc>
          <w:tcPr>
            <w:tcW w:w="880" w:type="dxa"/>
          </w:tcPr>
          <w:p>
            <w:pPr>
              <w:pStyle w:val="TableParagraph"/>
              <w:spacing w:before="46"/>
              <w:ind w:right="35"/>
              <w:jc w:val="right"/>
              <w:rPr>
                <w:b/>
                <w:sz w:val="12"/>
              </w:rPr>
            </w:pPr>
            <w:r>
              <w:rPr>
                <w:b/>
                <w:w w:val="105"/>
                <w:sz w:val="12"/>
              </w:rPr>
              <w:t>0,00</w:t>
            </w:r>
          </w:p>
        </w:tc>
        <w:tc>
          <w:tcPr>
            <w:tcW w:w="992" w:type="dxa"/>
          </w:tcPr>
          <w:p>
            <w:pPr>
              <w:pStyle w:val="TableParagraph"/>
              <w:spacing w:before="46"/>
              <w:ind w:right="33"/>
              <w:jc w:val="right"/>
              <w:rPr>
                <w:b/>
                <w:sz w:val="12"/>
              </w:rPr>
            </w:pPr>
            <w:r>
              <w:rPr>
                <w:b/>
                <w:w w:val="105"/>
                <w:sz w:val="12"/>
              </w:rPr>
              <w:t>32.776,00</w:t>
            </w:r>
          </w:p>
        </w:tc>
        <w:tc>
          <w:tcPr>
            <w:tcW w:w="881" w:type="dxa"/>
          </w:tcPr>
          <w:p>
            <w:pPr>
              <w:pStyle w:val="TableParagraph"/>
              <w:spacing w:before="46"/>
              <w:ind w:right="34"/>
              <w:jc w:val="right"/>
              <w:rPr>
                <w:b/>
                <w:sz w:val="12"/>
              </w:rPr>
            </w:pPr>
            <w:r>
              <w:rPr>
                <w:b/>
                <w:w w:val="105"/>
                <w:sz w:val="12"/>
              </w:rPr>
              <w:t>1.749,17</w:t>
            </w:r>
          </w:p>
        </w:tc>
        <w:tc>
          <w:tcPr>
            <w:tcW w:w="882" w:type="dxa"/>
          </w:tcPr>
          <w:p>
            <w:pPr>
              <w:pStyle w:val="TableParagraph"/>
              <w:spacing w:before="46"/>
              <w:ind w:right="33"/>
              <w:jc w:val="right"/>
              <w:rPr>
                <w:b/>
                <w:sz w:val="12"/>
              </w:rPr>
            </w:pPr>
            <w:r>
              <w:rPr>
                <w:b/>
                <w:w w:val="105"/>
                <w:sz w:val="12"/>
              </w:rPr>
              <w:t>63.556,36</w:t>
            </w:r>
          </w:p>
        </w:tc>
        <w:tc>
          <w:tcPr>
            <w:tcW w:w="1119" w:type="dxa"/>
          </w:tcPr>
          <w:p>
            <w:pPr>
              <w:pStyle w:val="TableParagraph"/>
              <w:spacing w:before="46"/>
              <w:ind w:right="33"/>
              <w:jc w:val="right"/>
              <w:rPr>
                <w:b/>
                <w:sz w:val="12"/>
              </w:rPr>
            </w:pPr>
            <w:r>
              <w:rPr>
                <w:b/>
                <w:w w:val="105"/>
                <w:sz w:val="12"/>
              </w:rPr>
              <w:t>27.338,84</w:t>
            </w:r>
          </w:p>
        </w:tc>
      </w:tr>
    </w:tbl>
    <w:p>
      <w:pPr>
        <w:pStyle w:val="BodyText"/>
        <w:rPr>
          <w:b/>
        </w:rPr>
      </w:pPr>
    </w:p>
    <w:p>
      <w:pPr>
        <w:pStyle w:val="BodyText"/>
        <w:spacing w:before="9"/>
        <w:rPr>
          <w:b/>
          <w:sz w:val="14"/>
        </w:rPr>
      </w:pPr>
    </w:p>
    <w:p>
      <w:pPr>
        <w:spacing w:before="69"/>
        <w:ind w:left="11517" w:right="1354" w:firstLine="0"/>
        <w:jc w:val="center"/>
        <w:rPr>
          <w:sz w:val="18"/>
        </w:rPr>
      </w:pPr>
      <w:r>
        <w:rPr>
          <w:w w:val="105"/>
          <w:sz w:val="18"/>
        </w:rPr>
        <w:t>200</w:t>
      </w:r>
    </w:p>
    <w:p>
      <w:pPr>
        <w:spacing w:before="9"/>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33" name="image5.png"/>
                  <wp:cNvGraphicFramePr>
                    <a:graphicFrameLocks noChangeAspect="1"/>
                  </wp:cNvGraphicFramePr>
                  <a:graphic>
                    <a:graphicData uri="http://schemas.openxmlformats.org/drawingml/2006/picture">
                      <pic:pic>
                        <pic:nvPicPr>
                          <pic:cNvPr id="43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202/247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pStyle w:val="BodyText"/>
        <w:rPr>
          <w:b/>
        </w:rPr>
      </w:pPr>
    </w:p>
    <w:p>
      <w:pPr>
        <w:pStyle w:val="BodyText"/>
        <w:spacing w:before="6"/>
        <w:rPr>
          <w:b/>
          <w:sz w:val="24"/>
        </w:rPr>
      </w:pPr>
    </w:p>
    <w:tbl>
      <w:tblPr>
        <w:tblW w:w="0" w:type="auto"/>
        <w:jc w:val="left"/>
        <w:tblInd w:w="1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8"/>
        <w:gridCol w:w="882"/>
        <w:gridCol w:w="880"/>
        <w:gridCol w:w="882"/>
        <w:gridCol w:w="880"/>
        <w:gridCol w:w="992"/>
        <w:gridCol w:w="881"/>
        <w:gridCol w:w="882"/>
        <w:gridCol w:w="1119"/>
      </w:tblGrid>
      <w:tr>
        <w:trPr>
          <w:trHeight w:val="298" w:hRule="atLeast"/>
        </w:trPr>
        <w:tc>
          <w:tcPr>
            <w:tcW w:w="3628" w:type="dxa"/>
            <w:tcBorders>
              <w:left w:val="single" w:sz="6" w:space="0" w:color="000000"/>
            </w:tcBorders>
            <w:shd w:val="clear" w:color="auto" w:fill="DEEAF6"/>
          </w:tcPr>
          <w:p>
            <w:pPr>
              <w:pStyle w:val="TableParagraph"/>
              <w:spacing w:before="78"/>
              <w:ind w:left="1549" w:right="1534"/>
              <w:jc w:val="center"/>
              <w:rPr>
                <w:b/>
                <w:sz w:val="12"/>
              </w:rPr>
            </w:pPr>
            <w:r>
              <w:rPr>
                <w:b/>
                <w:w w:val="105"/>
                <w:sz w:val="12"/>
              </w:rPr>
              <w:t>CUENTAS</w:t>
            </w:r>
          </w:p>
        </w:tc>
        <w:tc>
          <w:tcPr>
            <w:tcW w:w="882" w:type="dxa"/>
            <w:shd w:val="clear" w:color="auto" w:fill="DEEAF6"/>
          </w:tcPr>
          <w:p>
            <w:pPr>
              <w:pStyle w:val="TableParagraph"/>
              <w:spacing w:before="78"/>
              <w:ind w:left="228"/>
              <w:rPr>
                <w:b/>
                <w:sz w:val="12"/>
              </w:rPr>
            </w:pPr>
            <w:r>
              <w:rPr>
                <w:b/>
                <w:w w:val="105"/>
                <w:sz w:val="12"/>
              </w:rPr>
              <w:t>LENGUA</w:t>
            </w:r>
          </w:p>
        </w:tc>
        <w:tc>
          <w:tcPr>
            <w:tcW w:w="880" w:type="dxa"/>
            <w:shd w:val="clear" w:color="auto" w:fill="DEEAF6"/>
          </w:tcPr>
          <w:p>
            <w:pPr>
              <w:pStyle w:val="TableParagraph"/>
              <w:spacing w:before="78"/>
              <w:ind w:left="237"/>
              <w:rPr>
                <w:b/>
                <w:sz w:val="12"/>
              </w:rPr>
            </w:pPr>
            <w:r>
              <w:rPr>
                <w:b/>
                <w:w w:val="105"/>
                <w:sz w:val="12"/>
              </w:rPr>
              <w:t>FUCAEX</w:t>
            </w:r>
          </w:p>
        </w:tc>
        <w:tc>
          <w:tcPr>
            <w:tcW w:w="882" w:type="dxa"/>
            <w:shd w:val="clear" w:color="auto" w:fill="DEEAF6"/>
          </w:tcPr>
          <w:p>
            <w:pPr>
              <w:pStyle w:val="TableParagraph"/>
              <w:spacing w:before="78"/>
              <w:ind w:left="60" w:right="41"/>
              <w:jc w:val="center"/>
              <w:rPr>
                <w:b/>
                <w:sz w:val="12"/>
              </w:rPr>
            </w:pPr>
            <w:r>
              <w:rPr>
                <w:b/>
                <w:w w:val="105"/>
                <w:sz w:val="12"/>
              </w:rPr>
              <w:t>IDEO</w:t>
            </w:r>
          </w:p>
        </w:tc>
        <w:tc>
          <w:tcPr>
            <w:tcW w:w="880" w:type="dxa"/>
            <w:shd w:val="clear" w:color="auto" w:fill="DEEAF6"/>
          </w:tcPr>
          <w:p>
            <w:pPr>
              <w:pStyle w:val="TableParagraph"/>
              <w:spacing w:before="78"/>
              <w:ind w:left="158"/>
              <w:rPr>
                <w:b/>
                <w:sz w:val="12"/>
              </w:rPr>
            </w:pPr>
            <w:r>
              <w:rPr>
                <w:b/>
                <w:w w:val="105"/>
                <w:sz w:val="12"/>
              </w:rPr>
              <w:t>FUNCATRA</w:t>
            </w:r>
          </w:p>
        </w:tc>
        <w:tc>
          <w:tcPr>
            <w:tcW w:w="992" w:type="dxa"/>
            <w:shd w:val="clear" w:color="auto" w:fill="DEEAF6"/>
          </w:tcPr>
          <w:p>
            <w:pPr>
              <w:pStyle w:val="TableParagraph"/>
              <w:spacing w:before="78"/>
              <w:ind w:left="355" w:right="335"/>
              <w:jc w:val="center"/>
              <w:rPr>
                <w:b/>
                <w:sz w:val="12"/>
              </w:rPr>
            </w:pPr>
            <w:r>
              <w:rPr>
                <w:b/>
                <w:w w:val="105"/>
                <w:sz w:val="12"/>
              </w:rPr>
              <w:t>FIISC</w:t>
            </w:r>
          </w:p>
        </w:tc>
        <w:tc>
          <w:tcPr>
            <w:tcW w:w="881" w:type="dxa"/>
            <w:shd w:val="clear" w:color="auto" w:fill="DEEAF6"/>
          </w:tcPr>
          <w:p>
            <w:pPr>
              <w:pStyle w:val="TableParagraph"/>
              <w:spacing w:before="78"/>
              <w:ind w:right="52"/>
              <w:jc w:val="right"/>
              <w:rPr>
                <w:b/>
                <w:sz w:val="12"/>
              </w:rPr>
            </w:pPr>
            <w:r>
              <w:rPr>
                <w:b/>
                <w:w w:val="105"/>
                <w:sz w:val="12"/>
              </w:rPr>
              <w:t>MUSEO ELDER</w:t>
            </w:r>
          </w:p>
        </w:tc>
        <w:tc>
          <w:tcPr>
            <w:tcW w:w="882" w:type="dxa"/>
            <w:tcBorders>
              <w:right w:val="single" w:sz="6" w:space="0" w:color="000000"/>
            </w:tcBorders>
            <w:shd w:val="clear" w:color="auto" w:fill="DEEAF6"/>
          </w:tcPr>
          <w:p>
            <w:pPr>
              <w:pStyle w:val="TableParagraph"/>
              <w:spacing w:before="4"/>
              <w:ind w:left="240"/>
              <w:rPr>
                <w:b/>
                <w:sz w:val="12"/>
              </w:rPr>
            </w:pPr>
            <w:r>
              <w:rPr>
                <w:b/>
                <w:w w:val="105"/>
                <w:sz w:val="12"/>
              </w:rPr>
              <w:t>ACCION</w:t>
            </w:r>
          </w:p>
          <w:p>
            <w:pPr>
              <w:pStyle w:val="TableParagraph"/>
              <w:spacing w:line="124" w:lineRule="exact" w:before="4"/>
              <w:ind w:left="261"/>
              <w:rPr>
                <w:b/>
                <w:sz w:val="12"/>
              </w:rPr>
            </w:pPr>
            <w:r>
              <w:rPr>
                <w:b/>
                <w:w w:val="105"/>
                <w:sz w:val="12"/>
              </w:rPr>
              <w:t>SOCIAL</w:t>
            </w:r>
          </w:p>
        </w:tc>
        <w:tc>
          <w:tcPr>
            <w:tcW w:w="1119" w:type="dxa"/>
            <w:tcBorders>
              <w:left w:val="single" w:sz="6" w:space="0" w:color="000000"/>
              <w:bottom w:val="single" w:sz="6" w:space="0" w:color="000000"/>
              <w:right w:val="single" w:sz="6" w:space="0" w:color="000000"/>
            </w:tcBorders>
            <w:shd w:val="clear" w:color="auto" w:fill="DEEAF6"/>
          </w:tcPr>
          <w:p>
            <w:pPr>
              <w:pStyle w:val="TableParagraph"/>
              <w:spacing w:before="78"/>
              <w:ind w:left="258"/>
              <w:rPr>
                <w:b/>
                <w:sz w:val="12"/>
              </w:rPr>
            </w:pPr>
            <w:r>
              <w:rPr>
                <w:b/>
                <w:w w:val="105"/>
                <w:sz w:val="12"/>
              </w:rPr>
              <w:t>AGREGADO</w:t>
            </w:r>
          </w:p>
        </w:tc>
      </w:tr>
      <w:tr>
        <w:trPr>
          <w:trHeight w:val="303" w:hRule="atLeast"/>
        </w:trPr>
        <w:tc>
          <w:tcPr>
            <w:tcW w:w="3628" w:type="dxa"/>
            <w:tcBorders>
              <w:left w:val="single" w:sz="6" w:space="0" w:color="000000"/>
            </w:tcBorders>
          </w:tcPr>
          <w:p>
            <w:pPr>
              <w:pStyle w:val="TableParagraph"/>
              <w:spacing w:line="150" w:lineRule="atLeast" w:before="5"/>
              <w:ind w:left="55" w:firstLine="27"/>
              <w:rPr>
                <w:b/>
                <w:sz w:val="12"/>
              </w:rPr>
            </w:pPr>
            <w:r>
              <w:rPr>
                <w:b/>
                <w:w w:val="105"/>
                <w:sz w:val="12"/>
              </w:rPr>
              <w:t>B) INGRESOS Y GASTOS IMPUTADOS DIRECTAMENTE AL PATRIMONIO NETO</w:t>
            </w:r>
          </w:p>
        </w:tc>
        <w:tc>
          <w:tcPr>
            <w:tcW w:w="882" w:type="dxa"/>
          </w:tcPr>
          <w:p>
            <w:pPr>
              <w:pStyle w:val="TableParagraph"/>
              <w:rPr>
                <w:rFonts w:ascii="Times New Roman"/>
                <w:sz w:val="12"/>
              </w:rPr>
            </w:pPr>
          </w:p>
        </w:tc>
        <w:tc>
          <w:tcPr>
            <w:tcW w:w="880" w:type="dxa"/>
          </w:tcPr>
          <w:p>
            <w:pPr>
              <w:pStyle w:val="TableParagraph"/>
              <w:rPr>
                <w:rFonts w:ascii="Times New Roman"/>
                <w:sz w:val="12"/>
              </w:rPr>
            </w:pPr>
          </w:p>
        </w:tc>
        <w:tc>
          <w:tcPr>
            <w:tcW w:w="882" w:type="dxa"/>
          </w:tcPr>
          <w:p>
            <w:pPr>
              <w:pStyle w:val="TableParagraph"/>
              <w:rPr>
                <w:rFonts w:ascii="Times New Roman"/>
                <w:sz w:val="12"/>
              </w:rPr>
            </w:pPr>
          </w:p>
        </w:tc>
        <w:tc>
          <w:tcPr>
            <w:tcW w:w="880" w:type="dxa"/>
          </w:tcPr>
          <w:p>
            <w:pPr>
              <w:pStyle w:val="TableParagraph"/>
              <w:rPr>
                <w:rFonts w:ascii="Times New Roman"/>
                <w:sz w:val="12"/>
              </w:rPr>
            </w:pPr>
          </w:p>
        </w:tc>
        <w:tc>
          <w:tcPr>
            <w:tcW w:w="992" w:type="dxa"/>
          </w:tcPr>
          <w:p>
            <w:pPr>
              <w:pStyle w:val="TableParagraph"/>
              <w:rPr>
                <w:rFonts w:ascii="Times New Roman"/>
                <w:sz w:val="12"/>
              </w:rPr>
            </w:pPr>
          </w:p>
        </w:tc>
        <w:tc>
          <w:tcPr>
            <w:tcW w:w="881" w:type="dxa"/>
          </w:tcPr>
          <w:p>
            <w:pPr>
              <w:pStyle w:val="TableParagraph"/>
              <w:rPr>
                <w:rFonts w:ascii="Times New Roman"/>
                <w:sz w:val="12"/>
              </w:rPr>
            </w:pPr>
          </w:p>
        </w:tc>
        <w:tc>
          <w:tcPr>
            <w:tcW w:w="882" w:type="dxa"/>
            <w:tcBorders>
              <w:right w:val="single" w:sz="6" w:space="0" w:color="000000"/>
            </w:tcBorders>
          </w:tcPr>
          <w:p>
            <w:pPr>
              <w:pStyle w:val="TableParagraph"/>
              <w:rPr>
                <w:rFonts w:ascii="Times New Roman"/>
                <w:sz w:val="12"/>
              </w:rPr>
            </w:pPr>
          </w:p>
        </w:tc>
        <w:tc>
          <w:tcPr>
            <w:tcW w:w="111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r>
      <w:tr>
        <w:trPr>
          <w:trHeight w:val="198" w:hRule="atLeast"/>
        </w:trPr>
        <w:tc>
          <w:tcPr>
            <w:tcW w:w="3628" w:type="dxa"/>
            <w:vMerge w:val="restart"/>
            <w:tcBorders>
              <w:left w:val="single" w:sz="6" w:space="0" w:color="000000"/>
              <w:bottom w:val="single" w:sz="6" w:space="0" w:color="000000"/>
            </w:tcBorders>
          </w:tcPr>
          <w:p>
            <w:pPr>
              <w:pStyle w:val="TableParagraph"/>
              <w:spacing w:line="340" w:lineRule="auto" w:before="30"/>
              <w:ind w:left="55" w:right="1792"/>
              <w:rPr>
                <w:sz w:val="12"/>
              </w:rPr>
            </w:pPr>
            <w:r>
              <w:rPr>
                <w:w w:val="105"/>
                <w:sz w:val="12"/>
              </w:rPr>
              <w:t>Subvenciones recibidas Donaciones y legados recibidos</w:t>
            </w:r>
          </w:p>
          <w:p>
            <w:pPr>
              <w:pStyle w:val="TableParagraph"/>
              <w:spacing w:before="2"/>
              <w:ind w:left="55"/>
              <w:rPr>
                <w:sz w:val="12"/>
              </w:rPr>
            </w:pPr>
            <w:r>
              <w:rPr>
                <w:w w:val="105"/>
                <w:sz w:val="12"/>
              </w:rPr>
              <w:t>Otros ingresos y gastos</w:t>
            </w:r>
          </w:p>
        </w:tc>
        <w:tc>
          <w:tcPr>
            <w:tcW w:w="882" w:type="dxa"/>
          </w:tcPr>
          <w:p>
            <w:pPr>
              <w:pStyle w:val="TableParagraph"/>
              <w:spacing w:before="30"/>
              <w:ind w:right="37"/>
              <w:jc w:val="right"/>
              <w:rPr>
                <w:sz w:val="12"/>
              </w:rPr>
            </w:pPr>
            <w:r>
              <w:rPr>
                <w:w w:val="105"/>
                <w:sz w:val="12"/>
              </w:rPr>
              <w:t>203.432,79</w:t>
            </w:r>
          </w:p>
        </w:tc>
        <w:tc>
          <w:tcPr>
            <w:tcW w:w="880" w:type="dxa"/>
          </w:tcPr>
          <w:p>
            <w:pPr>
              <w:pStyle w:val="TableParagraph"/>
              <w:spacing w:before="30"/>
              <w:ind w:right="37"/>
              <w:jc w:val="right"/>
              <w:rPr>
                <w:sz w:val="12"/>
              </w:rPr>
            </w:pPr>
            <w:r>
              <w:rPr>
                <w:w w:val="105"/>
                <w:sz w:val="12"/>
              </w:rPr>
              <w:t>12.322,45</w:t>
            </w:r>
          </w:p>
        </w:tc>
        <w:tc>
          <w:tcPr>
            <w:tcW w:w="882" w:type="dxa"/>
          </w:tcPr>
          <w:p>
            <w:pPr>
              <w:pStyle w:val="TableParagraph"/>
              <w:spacing w:before="30"/>
              <w:ind w:right="37"/>
              <w:jc w:val="right"/>
              <w:rPr>
                <w:sz w:val="12"/>
              </w:rPr>
            </w:pPr>
            <w:r>
              <w:rPr>
                <w:w w:val="105"/>
                <w:sz w:val="12"/>
              </w:rPr>
              <w:t>935.749,06</w:t>
            </w:r>
          </w:p>
        </w:tc>
        <w:tc>
          <w:tcPr>
            <w:tcW w:w="880" w:type="dxa"/>
          </w:tcPr>
          <w:p>
            <w:pPr>
              <w:pStyle w:val="TableParagraph"/>
              <w:rPr>
                <w:rFonts w:ascii="Times New Roman"/>
                <w:sz w:val="12"/>
              </w:rPr>
            </w:pPr>
          </w:p>
        </w:tc>
        <w:tc>
          <w:tcPr>
            <w:tcW w:w="992" w:type="dxa"/>
          </w:tcPr>
          <w:p>
            <w:pPr>
              <w:pStyle w:val="TableParagraph"/>
              <w:rPr>
                <w:rFonts w:ascii="Times New Roman"/>
                <w:sz w:val="12"/>
              </w:rPr>
            </w:pPr>
          </w:p>
        </w:tc>
        <w:tc>
          <w:tcPr>
            <w:tcW w:w="881" w:type="dxa"/>
          </w:tcPr>
          <w:p>
            <w:pPr>
              <w:pStyle w:val="TableParagraph"/>
              <w:spacing w:before="30"/>
              <w:ind w:right="36"/>
              <w:jc w:val="right"/>
              <w:rPr>
                <w:sz w:val="12"/>
              </w:rPr>
            </w:pPr>
            <w:r>
              <w:rPr>
                <w:w w:val="105"/>
                <w:sz w:val="12"/>
              </w:rPr>
              <w:t>1.857.120,00</w:t>
            </w:r>
          </w:p>
        </w:tc>
        <w:tc>
          <w:tcPr>
            <w:tcW w:w="882" w:type="dxa"/>
          </w:tcPr>
          <w:p>
            <w:pPr>
              <w:pStyle w:val="TableParagraph"/>
              <w:spacing w:before="30"/>
              <w:ind w:right="36"/>
              <w:jc w:val="right"/>
              <w:rPr>
                <w:sz w:val="12"/>
              </w:rPr>
            </w:pPr>
            <w:r>
              <w:rPr>
                <w:w w:val="105"/>
                <w:sz w:val="12"/>
              </w:rPr>
              <w:t>116.873,15</w:t>
            </w:r>
          </w:p>
        </w:tc>
        <w:tc>
          <w:tcPr>
            <w:tcW w:w="1119" w:type="dxa"/>
            <w:tcBorders>
              <w:top w:val="single" w:sz="6" w:space="0" w:color="000000"/>
              <w:right w:val="single" w:sz="6" w:space="0" w:color="000000"/>
            </w:tcBorders>
          </w:tcPr>
          <w:p>
            <w:pPr>
              <w:pStyle w:val="TableParagraph"/>
              <w:spacing w:before="30"/>
              <w:ind w:right="33"/>
              <w:jc w:val="right"/>
              <w:rPr>
                <w:b/>
                <w:sz w:val="12"/>
              </w:rPr>
            </w:pPr>
            <w:r>
              <w:rPr>
                <w:b/>
                <w:w w:val="105"/>
                <w:sz w:val="12"/>
              </w:rPr>
              <w:t>3.125.497,45</w:t>
            </w:r>
          </w:p>
        </w:tc>
      </w:tr>
      <w:tr>
        <w:trPr>
          <w:trHeight w:val="190" w:hRule="atLeast"/>
        </w:trPr>
        <w:tc>
          <w:tcPr>
            <w:tcW w:w="3628" w:type="dxa"/>
            <w:vMerge/>
            <w:tcBorders>
              <w:top w:val="nil"/>
              <w:left w:val="single" w:sz="6" w:space="0" w:color="000000"/>
              <w:bottom w:val="single" w:sz="6" w:space="0" w:color="000000"/>
            </w:tcBorders>
          </w:tcPr>
          <w:p>
            <w:pPr>
              <w:rPr>
                <w:sz w:val="2"/>
                <w:szCs w:val="2"/>
              </w:rPr>
            </w:pPr>
          </w:p>
        </w:tc>
        <w:tc>
          <w:tcPr>
            <w:tcW w:w="882" w:type="dxa"/>
          </w:tcPr>
          <w:p>
            <w:pPr>
              <w:pStyle w:val="TableParagraph"/>
              <w:rPr>
                <w:rFonts w:ascii="Times New Roman"/>
                <w:sz w:val="12"/>
              </w:rPr>
            </w:pPr>
          </w:p>
        </w:tc>
        <w:tc>
          <w:tcPr>
            <w:tcW w:w="880" w:type="dxa"/>
          </w:tcPr>
          <w:p>
            <w:pPr>
              <w:pStyle w:val="TableParagraph"/>
              <w:rPr>
                <w:rFonts w:ascii="Times New Roman"/>
                <w:sz w:val="12"/>
              </w:rPr>
            </w:pPr>
          </w:p>
        </w:tc>
        <w:tc>
          <w:tcPr>
            <w:tcW w:w="882" w:type="dxa"/>
          </w:tcPr>
          <w:p>
            <w:pPr>
              <w:pStyle w:val="TableParagraph"/>
              <w:rPr>
                <w:rFonts w:ascii="Times New Roman"/>
                <w:sz w:val="12"/>
              </w:rPr>
            </w:pPr>
          </w:p>
        </w:tc>
        <w:tc>
          <w:tcPr>
            <w:tcW w:w="880" w:type="dxa"/>
          </w:tcPr>
          <w:p>
            <w:pPr>
              <w:pStyle w:val="TableParagraph"/>
              <w:rPr>
                <w:rFonts w:ascii="Times New Roman"/>
                <w:sz w:val="12"/>
              </w:rPr>
            </w:pPr>
          </w:p>
        </w:tc>
        <w:tc>
          <w:tcPr>
            <w:tcW w:w="992" w:type="dxa"/>
          </w:tcPr>
          <w:p>
            <w:pPr>
              <w:pStyle w:val="TableParagraph"/>
              <w:spacing w:before="24"/>
              <w:ind w:right="36"/>
              <w:jc w:val="right"/>
              <w:rPr>
                <w:sz w:val="12"/>
              </w:rPr>
            </w:pPr>
            <w:r>
              <w:rPr>
                <w:w w:val="105"/>
                <w:sz w:val="12"/>
              </w:rPr>
              <w:t>2.050.055,00</w:t>
            </w:r>
          </w:p>
        </w:tc>
        <w:tc>
          <w:tcPr>
            <w:tcW w:w="881" w:type="dxa"/>
          </w:tcPr>
          <w:p>
            <w:pPr>
              <w:pStyle w:val="TableParagraph"/>
              <w:rPr>
                <w:rFonts w:ascii="Times New Roman"/>
                <w:sz w:val="12"/>
              </w:rPr>
            </w:pPr>
          </w:p>
        </w:tc>
        <w:tc>
          <w:tcPr>
            <w:tcW w:w="882" w:type="dxa"/>
          </w:tcPr>
          <w:p>
            <w:pPr>
              <w:pStyle w:val="TableParagraph"/>
              <w:rPr>
                <w:rFonts w:ascii="Times New Roman"/>
                <w:sz w:val="12"/>
              </w:rPr>
            </w:pPr>
          </w:p>
        </w:tc>
        <w:tc>
          <w:tcPr>
            <w:tcW w:w="1119" w:type="dxa"/>
            <w:tcBorders>
              <w:right w:val="single" w:sz="6" w:space="0" w:color="000000"/>
            </w:tcBorders>
          </w:tcPr>
          <w:p>
            <w:pPr>
              <w:pStyle w:val="TableParagraph"/>
              <w:spacing w:before="24"/>
              <w:ind w:right="33"/>
              <w:jc w:val="right"/>
              <w:rPr>
                <w:b/>
                <w:sz w:val="12"/>
              </w:rPr>
            </w:pPr>
            <w:r>
              <w:rPr>
                <w:b/>
                <w:w w:val="105"/>
                <w:sz w:val="12"/>
              </w:rPr>
              <w:t>2.050.055,00</w:t>
            </w:r>
          </w:p>
        </w:tc>
      </w:tr>
      <w:tr>
        <w:trPr>
          <w:trHeight w:val="206" w:hRule="atLeast"/>
        </w:trPr>
        <w:tc>
          <w:tcPr>
            <w:tcW w:w="3628" w:type="dxa"/>
            <w:vMerge/>
            <w:tcBorders>
              <w:top w:val="nil"/>
              <w:left w:val="single" w:sz="6" w:space="0" w:color="000000"/>
              <w:bottom w:val="single" w:sz="6" w:space="0" w:color="000000"/>
            </w:tcBorders>
          </w:tcPr>
          <w:p>
            <w:pPr>
              <w:rPr>
                <w:sz w:val="2"/>
                <w:szCs w:val="2"/>
              </w:rPr>
            </w:pPr>
          </w:p>
        </w:tc>
        <w:tc>
          <w:tcPr>
            <w:tcW w:w="882" w:type="dxa"/>
            <w:tcBorders>
              <w:bottom w:val="single" w:sz="6" w:space="0" w:color="000000"/>
            </w:tcBorders>
          </w:tcPr>
          <w:p>
            <w:pPr>
              <w:pStyle w:val="TableParagraph"/>
              <w:spacing w:before="29"/>
              <w:ind w:right="37"/>
              <w:jc w:val="right"/>
              <w:rPr>
                <w:sz w:val="12"/>
              </w:rPr>
            </w:pPr>
            <w:r>
              <w:rPr>
                <w:w w:val="105"/>
                <w:sz w:val="12"/>
              </w:rPr>
              <w:t>5.338,69</w:t>
            </w:r>
          </w:p>
        </w:tc>
        <w:tc>
          <w:tcPr>
            <w:tcW w:w="880" w:type="dxa"/>
            <w:tcBorders>
              <w:bottom w:val="single" w:sz="6" w:space="0" w:color="000000"/>
            </w:tcBorders>
          </w:tcPr>
          <w:p>
            <w:pPr>
              <w:pStyle w:val="TableParagraph"/>
              <w:rPr>
                <w:rFonts w:ascii="Times New Roman"/>
                <w:sz w:val="12"/>
              </w:rPr>
            </w:pPr>
          </w:p>
        </w:tc>
        <w:tc>
          <w:tcPr>
            <w:tcW w:w="882" w:type="dxa"/>
            <w:tcBorders>
              <w:bottom w:val="single" w:sz="6" w:space="0" w:color="000000"/>
            </w:tcBorders>
          </w:tcPr>
          <w:p>
            <w:pPr>
              <w:pStyle w:val="TableParagraph"/>
              <w:rPr>
                <w:rFonts w:ascii="Times New Roman"/>
                <w:sz w:val="12"/>
              </w:rPr>
            </w:pPr>
          </w:p>
        </w:tc>
        <w:tc>
          <w:tcPr>
            <w:tcW w:w="880" w:type="dxa"/>
            <w:tcBorders>
              <w:bottom w:val="single" w:sz="6" w:space="0" w:color="000000"/>
            </w:tcBorders>
          </w:tcPr>
          <w:p>
            <w:pPr>
              <w:pStyle w:val="TableParagraph"/>
              <w:rPr>
                <w:rFonts w:ascii="Times New Roman"/>
                <w:sz w:val="12"/>
              </w:rPr>
            </w:pPr>
          </w:p>
        </w:tc>
        <w:tc>
          <w:tcPr>
            <w:tcW w:w="992" w:type="dxa"/>
            <w:tcBorders>
              <w:bottom w:val="single" w:sz="6" w:space="0" w:color="000000"/>
            </w:tcBorders>
          </w:tcPr>
          <w:p>
            <w:pPr>
              <w:pStyle w:val="TableParagraph"/>
              <w:rPr>
                <w:rFonts w:ascii="Times New Roman"/>
                <w:sz w:val="12"/>
              </w:rPr>
            </w:pPr>
          </w:p>
        </w:tc>
        <w:tc>
          <w:tcPr>
            <w:tcW w:w="881" w:type="dxa"/>
          </w:tcPr>
          <w:p>
            <w:pPr>
              <w:pStyle w:val="TableParagraph"/>
              <w:rPr>
                <w:rFonts w:ascii="Times New Roman"/>
                <w:sz w:val="12"/>
              </w:rPr>
            </w:pPr>
          </w:p>
        </w:tc>
        <w:tc>
          <w:tcPr>
            <w:tcW w:w="882" w:type="dxa"/>
            <w:tcBorders>
              <w:bottom w:val="single" w:sz="6" w:space="0" w:color="000000"/>
            </w:tcBorders>
          </w:tcPr>
          <w:p>
            <w:pPr>
              <w:pStyle w:val="TableParagraph"/>
              <w:rPr>
                <w:rFonts w:ascii="Times New Roman"/>
                <w:sz w:val="12"/>
              </w:rPr>
            </w:pPr>
          </w:p>
        </w:tc>
        <w:tc>
          <w:tcPr>
            <w:tcW w:w="1119" w:type="dxa"/>
            <w:tcBorders>
              <w:bottom w:val="single" w:sz="6" w:space="0" w:color="000000"/>
              <w:right w:val="single" w:sz="6" w:space="0" w:color="000000"/>
            </w:tcBorders>
          </w:tcPr>
          <w:p>
            <w:pPr>
              <w:pStyle w:val="TableParagraph"/>
              <w:spacing w:before="29"/>
              <w:ind w:right="33"/>
              <w:jc w:val="right"/>
              <w:rPr>
                <w:b/>
                <w:sz w:val="12"/>
              </w:rPr>
            </w:pPr>
            <w:r>
              <w:rPr>
                <w:b/>
                <w:w w:val="105"/>
                <w:sz w:val="12"/>
              </w:rPr>
              <w:t>5.338,69</w:t>
            </w:r>
          </w:p>
        </w:tc>
      </w:tr>
      <w:tr>
        <w:trPr>
          <w:trHeight w:val="361" w:hRule="atLeast"/>
        </w:trPr>
        <w:tc>
          <w:tcPr>
            <w:tcW w:w="3628"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33"/>
              <w:ind w:left="55" w:right="116"/>
              <w:rPr>
                <w:b/>
                <w:sz w:val="12"/>
              </w:rPr>
            </w:pPr>
            <w:r>
              <w:rPr>
                <w:b/>
                <w:w w:val="105"/>
                <w:sz w:val="12"/>
              </w:rPr>
              <w:t>B.1) VARIACIÓN DE PATRIMONIO NETO POR INGRESOS Y GASTOS RECONOCIDOS DIRECTAMENTE EN EL PN</w:t>
            </w:r>
          </w:p>
        </w:tc>
        <w:tc>
          <w:tcPr>
            <w:tcW w:w="882"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4"/>
              <w:jc w:val="right"/>
              <w:rPr>
                <w:b/>
                <w:sz w:val="12"/>
              </w:rPr>
            </w:pPr>
            <w:r>
              <w:rPr>
                <w:b/>
                <w:w w:val="105"/>
                <w:sz w:val="12"/>
              </w:rPr>
              <w:t>208.771,48</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4"/>
              <w:jc w:val="right"/>
              <w:rPr>
                <w:b/>
                <w:sz w:val="12"/>
              </w:rPr>
            </w:pPr>
            <w:r>
              <w:rPr>
                <w:b/>
                <w:w w:val="105"/>
                <w:sz w:val="12"/>
              </w:rPr>
              <w:t>12.322,45</w:t>
            </w:r>
          </w:p>
        </w:tc>
        <w:tc>
          <w:tcPr>
            <w:tcW w:w="882"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4"/>
              <w:jc w:val="right"/>
              <w:rPr>
                <w:b/>
                <w:sz w:val="12"/>
              </w:rPr>
            </w:pPr>
            <w:r>
              <w:rPr>
                <w:b/>
                <w:w w:val="105"/>
                <w:sz w:val="12"/>
              </w:rPr>
              <w:t>935.749,06</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5"/>
              <w:jc w:val="right"/>
              <w:rPr>
                <w:b/>
                <w:sz w:val="12"/>
              </w:rPr>
            </w:pPr>
            <w:r>
              <w:rPr>
                <w:b/>
                <w:w w:val="105"/>
                <w:sz w:val="12"/>
              </w:rPr>
              <w:t>0,00</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3"/>
              <w:jc w:val="right"/>
              <w:rPr>
                <w:b/>
                <w:sz w:val="12"/>
              </w:rPr>
            </w:pPr>
            <w:r>
              <w:rPr>
                <w:b/>
                <w:w w:val="105"/>
                <w:sz w:val="12"/>
              </w:rPr>
              <w:t>2.050.055,00</w:t>
            </w:r>
          </w:p>
        </w:tc>
        <w:tc>
          <w:tcPr>
            <w:tcW w:w="881" w:type="dxa"/>
            <w:tcBorders>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4"/>
              <w:jc w:val="right"/>
              <w:rPr>
                <w:b/>
                <w:sz w:val="12"/>
              </w:rPr>
            </w:pPr>
            <w:r>
              <w:rPr>
                <w:b/>
                <w:w w:val="105"/>
                <w:sz w:val="12"/>
              </w:rPr>
              <w:t>1.857.120,00</w:t>
            </w:r>
          </w:p>
        </w:tc>
        <w:tc>
          <w:tcPr>
            <w:tcW w:w="882"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3"/>
              <w:jc w:val="right"/>
              <w:rPr>
                <w:b/>
                <w:sz w:val="12"/>
              </w:rPr>
            </w:pPr>
            <w:r>
              <w:rPr>
                <w:b/>
                <w:w w:val="105"/>
                <w:sz w:val="12"/>
              </w:rPr>
              <w:t>116.873,15</w:t>
            </w:r>
          </w:p>
        </w:tc>
        <w:tc>
          <w:tcPr>
            <w:tcW w:w="1119"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3"/>
              <w:jc w:val="right"/>
              <w:rPr>
                <w:b/>
                <w:sz w:val="12"/>
              </w:rPr>
            </w:pPr>
            <w:r>
              <w:rPr>
                <w:b/>
                <w:w w:val="105"/>
                <w:sz w:val="12"/>
              </w:rPr>
              <w:t>5.180.891,14</w:t>
            </w:r>
          </w:p>
        </w:tc>
      </w:tr>
      <w:tr>
        <w:trPr>
          <w:trHeight w:val="210" w:hRule="atLeast"/>
        </w:trPr>
        <w:tc>
          <w:tcPr>
            <w:tcW w:w="3628" w:type="dxa"/>
            <w:tcBorders>
              <w:top w:val="single" w:sz="6" w:space="0" w:color="000000"/>
              <w:left w:val="single" w:sz="6" w:space="0" w:color="000000"/>
              <w:bottom w:val="single" w:sz="6" w:space="0" w:color="000000"/>
            </w:tcBorders>
          </w:tcPr>
          <w:p>
            <w:pPr>
              <w:pStyle w:val="TableParagraph"/>
              <w:spacing w:before="33"/>
              <w:ind w:left="55"/>
              <w:rPr>
                <w:b/>
                <w:sz w:val="12"/>
              </w:rPr>
            </w:pPr>
            <w:r>
              <w:rPr>
                <w:b/>
                <w:w w:val="105"/>
                <w:sz w:val="12"/>
              </w:rPr>
              <w:t>C) RECLASIFICACIÓN AL EXCEDENTE DEL EJERCICIO</w:t>
            </w:r>
          </w:p>
        </w:tc>
        <w:tc>
          <w:tcPr>
            <w:tcW w:w="882" w:type="dxa"/>
            <w:tcBorders>
              <w:top w:val="single" w:sz="6" w:space="0" w:color="000000"/>
              <w:bottom w:val="single" w:sz="6" w:space="0" w:color="000000"/>
            </w:tcBorders>
          </w:tcPr>
          <w:p>
            <w:pPr>
              <w:pStyle w:val="TableParagraph"/>
              <w:rPr>
                <w:rFonts w:ascii="Times New Roman"/>
                <w:sz w:val="12"/>
              </w:rPr>
            </w:pPr>
          </w:p>
        </w:tc>
        <w:tc>
          <w:tcPr>
            <w:tcW w:w="880" w:type="dxa"/>
            <w:tcBorders>
              <w:top w:val="single" w:sz="6" w:space="0" w:color="000000"/>
              <w:bottom w:val="single" w:sz="6" w:space="0" w:color="000000"/>
            </w:tcBorders>
          </w:tcPr>
          <w:p>
            <w:pPr>
              <w:pStyle w:val="TableParagraph"/>
              <w:rPr>
                <w:rFonts w:ascii="Times New Roman"/>
                <w:sz w:val="12"/>
              </w:rPr>
            </w:pPr>
          </w:p>
        </w:tc>
        <w:tc>
          <w:tcPr>
            <w:tcW w:w="882" w:type="dxa"/>
            <w:tcBorders>
              <w:top w:val="single" w:sz="6" w:space="0" w:color="000000"/>
              <w:bottom w:val="single" w:sz="6" w:space="0" w:color="000000"/>
            </w:tcBorders>
          </w:tcPr>
          <w:p>
            <w:pPr>
              <w:pStyle w:val="TableParagraph"/>
              <w:rPr>
                <w:rFonts w:ascii="Times New Roman"/>
                <w:sz w:val="12"/>
              </w:rPr>
            </w:pPr>
          </w:p>
        </w:tc>
        <w:tc>
          <w:tcPr>
            <w:tcW w:w="880" w:type="dxa"/>
            <w:tcBorders>
              <w:top w:val="single" w:sz="6" w:space="0" w:color="000000"/>
              <w:bottom w:val="single" w:sz="6" w:space="0" w:color="000000"/>
            </w:tcBorders>
          </w:tcPr>
          <w:p>
            <w:pPr>
              <w:pStyle w:val="TableParagraph"/>
              <w:rPr>
                <w:rFonts w:ascii="Times New Roman"/>
                <w:sz w:val="12"/>
              </w:rPr>
            </w:pPr>
          </w:p>
        </w:tc>
        <w:tc>
          <w:tcPr>
            <w:tcW w:w="992" w:type="dxa"/>
            <w:tcBorders>
              <w:top w:val="single" w:sz="6" w:space="0" w:color="000000"/>
              <w:bottom w:val="single" w:sz="6" w:space="0" w:color="000000"/>
            </w:tcBorders>
          </w:tcPr>
          <w:p>
            <w:pPr>
              <w:pStyle w:val="TableParagraph"/>
              <w:rPr>
                <w:rFonts w:ascii="Times New Roman"/>
                <w:sz w:val="12"/>
              </w:rPr>
            </w:pPr>
          </w:p>
        </w:tc>
        <w:tc>
          <w:tcPr>
            <w:tcW w:w="881" w:type="dxa"/>
            <w:tcBorders>
              <w:top w:val="single" w:sz="6" w:space="0" w:color="000000"/>
              <w:bottom w:val="single" w:sz="6" w:space="0" w:color="000000"/>
            </w:tcBorders>
          </w:tcPr>
          <w:p>
            <w:pPr>
              <w:pStyle w:val="TableParagraph"/>
              <w:rPr>
                <w:rFonts w:ascii="Times New Roman"/>
                <w:sz w:val="12"/>
              </w:rPr>
            </w:pPr>
          </w:p>
        </w:tc>
        <w:tc>
          <w:tcPr>
            <w:tcW w:w="882" w:type="dxa"/>
            <w:tcBorders>
              <w:top w:val="single" w:sz="6" w:space="0" w:color="000000"/>
              <w:bottom w:val="single" w:sz="6" w:space="0" w:color="000000"/>
              <w:right w:val="single" w:sz="6" w:space="0" w:color="000000"/>
            </w:tcBorders>
          </w:tcPr>
          <w:p>
            <w:pPr>
              <w:pStyle w:val="TableParagraph"/>
              <w:rPr>
                <w:rFonts w:ascii="Times New Roman"/>
                <w:sz w:val="12"/>
              </w:rPr>
            </w:pPr>
          </w:p>
        </w:tc>
        <w:tc>
          <w:tcPr>
            <w:tcW w:w="111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r>
      <w:tr>
        <w:trPr>
          <w:trHeight w:val="195" w:hRule="atLeast"/>
        </w:trPr>
        <w:tc>
          <w:tcPr>
            <w:tcW w:w="3628" w:type="dxa"/>
            <w:vMerge w:val="restart"/>
            <w:tcBorders>
              <w:top w:val="single" w:sz="6" w:space="0" w:color="000000"/>
              <w:left w:val="single" w:sz="6" w:space="0" w:color="000000"/>
              <w:bottom w:val="single" w:sz="6" w:space="0" w:color="000000"/>
            </w:tcBorders>
          </w:tcPr>
          <w:p>
            <w:pPr>
              <w:pStyle w:val="TableParagraph"/>
              <w:spacing w:line="338" w:lineRule="auto" w:before="27"/>
              <w:ind w:left="55" w:right="1077"/>
              <w:rPr>
                <w:sz w:val="12"/>
              </w:rPr>
            </w:pPr>
            <w:r>
              <w:rPr>
                <w:w w:val="105"/>
                <w:sz w:val="12"/>
              </w:rPr>
              <w:t>Operaciones de cobertura de flujos de efectivo Subvenciones/aportaciones recibidas Donaciones y legados recibidos</w:t>
            </w:r>
          </w:p>
          <w:p>
            <w:pPr>
              <w:pStyle w:val="TableParagraph"/>
              <w:spacing w:before="3"/>
              <w:ind w:left="55"/>
              <w:rPr>
                <w:sz w:val="12"/>
              </w:rPr>
            </w:pPr>
            <w:r>
              <w:rPr>
                <w:w w:val="105"/>
                <w:sz w:val="12"/>
              </w:rPr>
              <w:t>Otros ingresos y gastos</w:t>
            </w:r>
          </w:p>
        </w:tc>
        <w:tc>
          <w:tcPr>
            <w:tcW w:w="882" w:type="dxa"/>
            <w:tcBorders>
              <w:top w:val="single" w:sz="6" w:space="0" w:color="000000"/>
            </w:tcBorders>
          </w:tcPr>
          <w:p>
            <w:pPr>
              <w:pStyle w:val="TableParagraph"/>
              <w:rPr>
                <w:rFonts w:ascii="Times New Roman"/>
                <w:sz w:val="12"/>
              </w:rPr>
            </w:pPr>
          </w:p>
        </w:tc>
        <w:tc>
          <w:tcPr>
            <w:tcW w:w="880" w:type="dxa"/>
            <w:tcBorders>
              <w:top w:val="single" w:sz="6" w:space="0" w:color="000000"/>
            </w:tcBorders>
          </w:tcPr>
          <w:p>
            <w:pPr>
              <w:pStyle w:val="TableParagraph"/>
              <w:rPr>
                <w:rFonts w:ascii="Times New Roman"/>
                <w:sz w:val="12"/>
              </w:rPr>
            </w:pPr>
          </w:p>
        </w:tc>
        <w:tc>
          <w:tcPr>
            <w:tcW w:w="882" w:type="dxa"/>
            <w:tcBorders>
              <w:top w:val="single" w:sz="6" w:space="0" w:color="000000"/>
            </w:tcBorders>
          </w:tcPr>
          <w:p>
            <w:pPr>
              <w:pStyle w:val="TableParagraph"/>
              <w:rPr>
                <w:rFonts w:ascii="Times New Roman"/>
                <w:sz w:val="12"/>
              </w:rPr>
            </w:pPr>
          </w:p>
        </w:tc>
        <w:tc>
          <w:tcPr>
            <w:tcW w:w="880" w:type="dxa"/>
            <w:tcBorders>
              <w:top w:val="single" w:sz="6" w:space="0" w:color="000000"/>
            </w:tcBorders>
          </w:tcPr>
          <w:p>
            <w:pPr>
              <w:pStyle w:val="TableParagraph"/>
              <w:rPr>
                <w:rFonts w:ascii="Times New Roman"/>
                <w:sz w:val="12"/>
              </w:rPr>
            </w:pPr>
          </w:p>
        </w:tc>
        <w:tc>
          <w:tcPr>
            <w:tcW w:w="992" w:type="dxa"/>
            <w:tcBorders>
              <w:top w:val="single" w:sz="6" w:space="0" w:color="000000"/>
            </w:tcBorders>
          </w:tcPr>
          <w:p>
            <w:pPr>
              <w:pStyle w:val="TableParagraph"/>
              <w:rPr>
                <w:rFonts w:ascii="Times New Roman"/>
                <w:sz w:val="12"/>
              </w:rPr>
            </w:pPr>
          </w:p>
        </w:tc>
        <w:tc>
          <w:tcPr>
            <w:tcW w:w="881" w:type="dxa"/>
            <w:tcBorders>
              <w:top w:val="single" w:sz="6" w:space="0" w:color="000000"/>
            </w:tcBorders>
          </w:tcPr>
          <w:p>
            <w:pPr>
              <w:pStyle w:val="TableParagraph"/>
              <w:rPr>
                <w:rFonts w:ascii="Times New Roman"/>
                <w:sz w:val="12"/>
              </w:rPr>
            </w:pPr>
          </w:p>
        </w:tc>
        <w:tc>
          <w:tcPr>
            <w:tcW w:w="882" w:type="dxa"/>
            <w:tcBorders>
              <w:top w:val="single" w:sz="6" w:space="0" w:color="000000"/>
            </w:tcBorders>
          </w:tcPr>
          <w:p>
            <w:pPr>
              <w:pStyle w:val="TableParagraph"/>
              <w:rPr>
                <w:rFonts w:ascii="Times New Roman"/>
                <w:sz w:val="12"/>
              </w:rPr>
            </w:pPr>
          </w:p>
        </w:tc>
        <w:tc>
          <w:tcPr>
            <w:tcW w:w="1119" w:type="dxa"/>
            <w:tcBorders>
              <w:top w:val="single" w:sz="6" w:space="0" w:color="000000"/>
              <w:right w:val="single" w:sz="6" w:space="0" w:color="000000"/>
            </w:tcBorders>
          </w:tcPr>
          <w:p>
            <w:pPr>
              <w:pStyle w:val="TableParagraph"/>
              <w:spacing w:before="27"/>
              <w:ind w:right="35"/>
              <w:jc w:val="right"/>
              <w:rPr>
                <w:b/>
                <w:sz w:val="12"/>
              </w:rPr>
            </w:pPr>
            <w:r>
              <w:rPr>
                <w:b/>
                <w:w w:val="105"/>
                <w:sz w:val="12"/>
              </w:rPr>
              <w:t>0,00</w:t>
            </w:r>
          </w:p>
        </w:tc>
      </w:tr>
      <w:tr>
        <w:trPr>
          <w:trHeight w:val="190" w:hRule="atLeast"/>
        </w:trPr>
        <w:tc>
          <w:tcPr>
            <w:tcW w:w="3628" w:type="dxa"/>
            <w:vMerge/>
            <w:tcBorders>
              <w:top w:val="nil"/>
              <w:left w:val="single" w:sz="6" w:space="0" w:color="000000"/>
              <w:bottom w:val="single" w:sz="6" w:space="0" w:color="000000"/>
            </w:tcBorders>
          </w:tcPr>
          <w:p>
            <w:pPr>
              <w:rPr>
                <w:sz w:val="2"/>
                <w:szCs w:val="2"/>
              </w:rPr>
            </w:pPr>
          </w:p>
        </w:tc>
        <w:tc>
          <w:tcPr>
            <w:tcW w:w="882" w:type="dxa"/>
          </w:tcPr>
          <w:p>
            <w:pPr>
              <w:pStyle w:val="TableParagraph"/>
              <w:spacing w:before="22"/>
              <w:ind w:right="37"/>
              <w:jc w:val="right"/>
              <w:rPr>
                <w:sz w:val="12"/>
              </w:rPr>
            </w:pPr>
            <w:r>
              <w:rPr>
                <w:w w:val="105"/>
                <w:sz w:val="12"/>
              </w:rPr>
              <w:t>-184.819,27</w:t>
            </w:r>
          </w:p>
        </w:tc>
        <w:tc>
          <w:tcPr>
            <w:tcW w:w="880" w:type="dxa"/>
          </w:tcPr>
          <w:p>
            <w:pPr>
              <w:pStyle w:val="TableParagraph"/>
              <w:spacing w:before="22"/>
              <w:ind w:right="37"/>
              <w:jc w:val="right"/>
              <w:rPr>
                <w:sz w:val="12"/>
              </w:rPr>
            </w:pPr>
            <w:r>
              <w:rPr>
                <w:w w:val="105"/>
                <w:sz w:val="12"/>
              </w:rPr>
              <w:t>-18.506,27</w:t>
            </w:r>
          </w:p>
        </w:tc>
        <w:tc>
          <w:tcPr>
            <w:tcW w:w="882" w:type="dxa"/>
          </w:tcPr>
          <w:p>
            <w:pPr>
              <w:pStyle w:val="TableParagraph"/>
              <w:rPr>
                <w:rFonts w:ascii="Times New Roman"/>
                <w:sz w:val="12"/>
              </w:rPr>
            </w:pPr>
          </w:p>
        </w:tc>
        <w:tc>
          <w:tcPr>
            <w:tcW w:w="880" w:type="dxa"/>
          </w:tcPr>
          <w:p>
            <w:pPr>
              <w:pStyle w:val="TableParagraph"/>
              <w:rPr>
                <w:rFonts w:ascii="Times New Roman"/>
                <w:sz w:val="12"/>
              </w:rPr>
            </w:pPr>
          </w:p>
        </w:tc>
        <w:tc>
          <w:tcPr>
            <w:tcW w:w="992" w:type="dxa"/>
          </w:tcPr>
          <w:p>
            <w:pPr>
              <w:pStyle w:val="TableParagraph"/>
              <w:rPr>
                <w:rFonts w:ascii="Times New Roman"/>
                <w:sz w:val="12"/>
              </w:rPr>
            </w:pPr>
          </w:p>
        </w:tc>
        <w:tc>
          <w:tcPr>
            <w:tcW w:w="881" w:type="dxa"/>
          </w:tcPr>
          <w:p>
            <w:pPr>
              <w:pStyle w:val="TableParagraph"/>
              <w:spacing w:before="22"/>
              <w:ind w:right="36"/>
              <w:jc w:val="right"/>
              <w:rPr>
                <w:sz w:val="12"/>
              </w:rPr>
            </w:pPr>
            <w:r>
              <w:rPr>
                <w:w w:val="105"/>
                <w:sz w:val="12"/>
              </w:rPr>
              <w:t>-1.775.552,24</w:t>
            </w:r>
          </w:p>
        </w:tc>
        <w:tc>
          <w:tcPr>
            <w:tcW w:w="882" w:type="dxa"/>
          </w:tcPr>
          <w:p>
            <w:pPr>
              <w:pStyle w:val="TableParagraph"/>
              <w:spacing w:before="22"/>
              <w:ind w:right="36"/>
              <w:jc w:val="right"/>
              <w:rPr>
                <w:sz w:val="12"/>
              </w:rPr>
            </w:pPr>
            <w:r>
              <w:rPr>
                <w:w w:val="105"/>
                <w:sz w:val="12"/>
              </w:rPr>
              <w:t>-268.220,51</w:t>
            </w:r>
          </w:p>
        </w:tc>
        <w:tc>
          <w:tcPr>
            <w:tcW w:w="1119" w:type="dxa"/>
            <w:tcBorders>
              <w:right w:val="single" w:sz="6" w:space="0" w:color="000000"/>
            </w:tcBorders>
          </w:tcPr>
          <w:p>
            <w:pPr>
              <w:pStyle w:val="TableParagraph"/>
              <w:spacing w:before="22"/>
              <w:ind w:right="33"/>
              <w:jc w:val="right"/>
              <w:rPr>
                <w:b/>
                <w:sz w:val="12"/>
              </w:rPr>
            </w:pPr>
            <w:r>
              <w:rPr>
                <w:b/>
                <w:w w:val="105"/>
                <w:sz w:val="12"/>
              </w:rPr>
              <w:t>-2.247.098,29</w:t>
            </w:r>
          </w:p>
        </w:tc>
      </w:tr>
      <w:tr>
        <w:trPr>
          <w:trHeight w:val="190" w:hRule="atLeast"/>
        </w:trPr>
        <w:tc>
          <w:tcPr>
            <w:tcW w:w="3628" w:type="dxa"/>
            <w:vMerge/>
            <w:tcBorders>
              <w:top w:val="nil"/>
              <w:left w:val="single" w:sz="6" w:space="0" w:color="000000"/>
              <w:bottom w:val="single" w:sz="6" w:space="0" w:color="000000"/>
            </w:tcBorders>
          </w:tcPr>
          <w:p>
            <w:pPr>
              <w:rPr>
                <w:sz w:val="2"/>
                <w:szCs w:val="2"/>
              </w:rPr>
            </w:pPr>
          </w:p>
        </w:tc>
        <w:tc>
          <w:tcPr>
            <w:tcW w:w="882" w:type="dxa"/>
          </w:tcPr>
          <w:p>
            <w:pPr>
              <w:pStyle w:val="TableParagraph"/>
              <w:rPr>
                <w:rFonts w:ascii="Times New Roman"/>
                <w:sz w:val="12"/>
              </w:rPr>
            </w:pPr>
          </w:p>
        </w:tc>
        <w:tc>
          <w:tcPr>
            <w:tcW w:w="880" w:type="dxa"/>
          </w:tcPr>
          <w:p>
            <w:pPr>
              <w:pStyle w:val="TableParagraph"/>
              <w:rPr>
                <w:rFonts w:ascii="Times New Roman"/>
                <w:sz w:val="12"/>
              </w:rPr>
            </w:pPr>
          </w:p>
        </w:tc>
        <w:tc>
          <w:tcPr>
            <w:tcW w:w="882" w:type="dxa"/>
          </w:tcPr>
          <w:p>
            <w:pPr>
              <w:pStyle w:val="TableParagraph"/>
              <w:rPr>
                <w:rFonts w:ascii="Times New Roman"/>
                <w:sz w:val="12"/>
              </w:rPr>
            </w:pPr>
          </w:p>
        </w:tc>
        <w:tc>
          <w:tcPr>
            <w:tcW w:w="880" w:type="dxa"/>
          </w:tcPr>
          <w:p>
            <w:pPr>
              <w:pStyle w:val="TableParagraph"/>
              <w:rPr>
                <w:rFonts w:ascii="Times New Roman"/>
                <w:sz w:val="12"/>
              </w:rPr>
            </w:pPr>
          </w:p>
        </w:tc>
        <w:tc>
          <w:tcPr>
            <w:tcW w:w="992" w:type="dxa"/>
          </w:tcPr>
          <w:p>
            <w:pPr>
              <w:pStyle w:val="TableParagraph"/>
              <w:spacing w:before="23"/>
              <w:ind w:right="36"/>
              <w:jc w:val="right"/>
              <w:rPr>
                <w:sz w:val="12"/>
              </w:rPr>
            </w:pPr>
            <w:r>
              <w:rPr>
                <w:w w:val="105"/>
                <w:sz w:val="12"/>
              </w:rPr>
              <w:t>-1.401.657,00</w:t>
            </w:r>
          </w:p>
        </w:tc>
        <w:tc>
          <w:tcPr>
            <w:tcW w:w="881" w:type="dxa"/>
          </w:tcPr>
          <w:p>
            <w:pPr>
              <w:pStyle w:val="TableParagraph"/>
              <w:rPr>
                <w:rFonts w:ascii="Times New Roman"/>
                <w:sz w:val="12"/>
              </w:rPr>
            </w:pPr>
          </w:p>
        </w:tc>
        <w:tc>
          <w:tcPr>
            <w:tcW w:w="882" w:type="dxa"/>
          </w:tcPr>
          <w:p>
            <w:pPr>
              <w:pStyle w:val="TableParagraph"/>
              <w:rPr>
                <w:rFonts w:ascii="Times New Roman"/>
                <w:sz w:val="12"/>
              </w:rPr>
            </w:pPr>
          </w:p>
        </w:tc>
        <w:tc>
          <w:tcPr>
            <w:tcW w:w="1119" w:type="dxa"/>
            <w:tcBorders>
              <w:right w:val="single" w:sz="6" w:space="0" w:color="000000"/>
            </w:tcBorders>
          </w:tcPr>
          <w:p>
            <w:pPr>
              <w:pStyle w:val="TableParagraph"/>
              <w:spacing w:before="23"/>
              <w:ind w:right="33"/>
              <w:jc w:val="right"/>
              <w:rPr>
                <w:b/>
                <w:sz w:val="12"/>
              </w:rPr>
            </w:pPr>
            <w:r>
              <w:rPr>
                <w:b/>
                <w:w w:val="105"/>
                <w:sz w:val="12"/>
              </w:rPr>
              <w:t>-1.401.657,00</w:t>
            </w:r>
          </w:p>
        </w:tc>
      </w:tr>
      <w:tr>
        <w:trPr>
          <w:trHeight w:val="206" w:hRule="atLeast"/>
        </w:trPr>
        <w:tc>
          <w:tcPr>
            <w:tcW w:w="3628" w:type="dxa"/>
            <w:vMerge/>
            <w:tcBorders>
              <w:top w:val="nil"/>
              <w:left w:val="single" w:sz="6" w:space="0" w:color="000000"/>
              <w:bottom w:val="single" w:sz="6" w:space="0" w:color="000000"/>
            </w:tcBorders>
          </w:tcPr>
          <w:p>
            <w:pPr>
              <w:rPr>
                <w:sz w:val="2"/>
                <w:szCs w:val="2"/>
              </w:rPr>
            </w:pPr>
          </w:p>
        </w:tc>
        <w:tc>
          <w:tcPr>
            <w:tcW w:w="882" w:type="dxa"/>
            <w:tcBorders>
              <w:bottom w:val="single" w:sz="6" w:space="0" w:color="000000"/>
            </w:tcBorders>
          </w:tcPr>
          <w:p>
            <w:pPr>
              <w:pStyle w:val="TableParagraph"/>
              <w:spacing w:before="29"/>
              <w:ind w:right="37"/>
              <w:jc w:val="right"/>
              <w:rPr>
                <w:sz w:val="12"/>
              </w:rPr>
            </w:pPr>
            <w:r>
              <w:rPr>
                <w:w w:val="105"/>
                <w:sz w:val="12"/>
              </w:rPr>
              <w:t>-2.376,20</w:t>
            </w:r>
          </w:p>
        </w:tc>
        <w:tc>
          <w:tcPr>
            <w:tcW w:w="880" w:type="dxa"/>
            <w:tcBorders>
              <w:bottom w:val="single" w:sz="6" w:space="0" w:color="000000"/>
            </w:tcBorders>
          </w:tcPr>
          <w:p>
            <w:pPr>
              <w:pStyle w:val="TableParagraph"/>
              <w:rPr>
                <w:rFonts w:ascii="Times New Roman"/>
                <w:sz w:val="12"/>
              </w:rPr>
            </w:pPr>
          </w:p>
        </w:tc>
        <w:tc>
          <w:tcPr>
            <w:tcW w:w="882" w:type="dxa"/>
            <w:tcBorders>
              <w:bottom w:val="single" w:sz="6" w:space="0" w:color="000000"/>
            </w:tcBorders>
          </w:tcPr>
          <w:p>
            <w:pPr>
              <w:pStyle w:val="TableParagraph"/>
              <w:rPr>
                <w:rFonts w:ascii="Times New Roman"/>
                <w:sz w:val="12"/>
              </w:rPr>
            </w:pPr>
          </w:p>
        </w:tc>
        <w:tc>
          <w:tcPr>
            <w:tcW w:w="880" w:type="dxa"/>
            <w:tcBorders>
              <w:bottom w:val="single" w:sz="6" w:space="0" w:color="000000"/>
            </w:tcBorders>
          </w:tcPr>
          <w:p>
            <w:pPr>
              <w:pStyle w:val="TableParagraph"/>
              <w:rPr>
                <w:rFonts w:ascii="Times New Roman"/>
                <w:sz w:val="12"/>
              </w:rPr>
            </w:pPr>
          </w:p>
        </w:tc>
        <w:tc>
          <w:tcPr>
            <w:tcW w:w="992" w:type="dxa"/>
            <w:tcBorders>
              <w:bottom w:val="single" w:sz="6" w:space="0" w:color="000000"/>
            </w:tcBorders>
          </w:tcPr>
          <w:p>
            <w:pPr>
              <w:pStyle w:val="TableParagraph"/>
              <w:rPr>
                <w:rFonts w:ascii="Times New Roman"/>
                <w:sz w:val="12"/>
              </w:rPr>
            </w:pPr>
          </w:p>
        </w:tc>
        <w:tc>
          <w:tcPr>
            <w:tcW w:w="881" w:type="dxa"/>
            <w:tcBorders>
              <w:bottom w:val="single" w:sz="6" w:space="0" w:color="000000"/>
            </w:tcBorders>
          </w:tcPr>
          <w:p>
            <w:pPr>
              <w:pStyle w:val="TableParagraph"/>
              <w:rPr>
                <w:rFonts w:ascii="Times New Roman"/>
                <w:sz w:val="12"/>
              </w:rPr>
            </w:pPr>
          </w:p>
        </w:tc>
        <w:tc>
          <w:tcPr>
            <w:tcW w:w="882" w:type="dxa"/>
            <w:tcBorders>
              <w:bottom w:val="single" w:sz="6" w:space="0" w:color="000000"/>
            </w:tcBorders>
          </w:tcPr>
          <w:p>
            <w:pPr>
              <w:pStyle w:val="TableParagraph"/>
              <w:rPr>
                <w:rFonts w:ascii="Times New Roman"/>
                <w:sz w:val="12"/>
              </w:rPr>
            </w:pPr>
          </w:p>
        </w:tc>
        <w:tc>
          <w:tcPr>
            <w:tcW w:w="1119" w:type="dxa"/>
            <w:tcBorders>
              <w:bottom w:val="single" w:sz="6" w:space="0" w:color="000000"/>
              <w:right w:val="single" w:sz="6" w:space="0" w:color="000000"/>
            </w:tcBorders>
          </w:tcPr>
          <w:p>
            <w:pPr>
              <w:pStyle w:val="TableParagraph"/>
              <w:spacing w:before="29"/>
              <w:ind w:right="33"/>
              <w:jc w:val="right"/>
              <w:rPr>
                <w:b/>
                <w:sz w:val="12"/>
              </w:rPr>
            </w:pPr>
            <w:r>
              <w:rPr>
                <w:b/>
                <w:w w:val="105"/>
                <w:sz w:val="12"/>
              </w:rPr>
              <w:t>-2.376,20</w:t>
            </w:r>
          </w:p>
        </w:tc>
      </w:tr>
      <w:tr>
        <w:trPr>
          <w:trHeight w:val="362" w:hRule="atLeast"/>
        </w:trPr>
        <w:tc>
          <w:tcPr>
            <w:tcW w:w="3628" w:type="dxa"/>
            <w:tcBorders>
              <w:top w:val="single" w:sz="6" w:space="0" w:color="000000"/>
              <w:left w:val="single" w:sz="6" w:space="0" w:color="000000"/>
              <w:bottom w:val="single" w:sz="6" w:space="0" w:color="000000"/>
              <w:right w:val="single" w:sz="6" w:space="0" w:color="000000"/>
            </w:tcBorders>
          </w:tcPr>
          <w:p>
            <w:pPr>
              <w:pStyle w:val="TableParagraph"/>
              <w:spacing w:line="247" w:lineRule="auto" w:before="33"/>
              <w:ind w:left="55" w:right="-5"/>
              <w:rPr>
                <w:b/>
                <w:sz w:val="12"/>
              </w:rPr>
            </w:pPr>
            <w:r>
              <w:rPr>
                <w:b/>
                <w:w w:val="105"/>
                <w:sz w:val="12"/>
              </w:rPr>
              <w:t>C.1) VARIACIÓN DE PATRIMONIO NETO POR RECLASIFICACIONES AL EXCEDENTE DEL EJERCICIO</w:t>
            </w:r>
          </w:p>
        </w:tc>
        <w:tc>
          <w:tcPr>
            <w:tcW w:w="882"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4"/>
              <w:jc w:val="right"/>
              <w:rPr>
                <w:b/>
                <w:sz w:val="12"/>
              </w:rPr>
            </w:pPr>
            <w:r>
              <w:rPr>
                <w:b/>
                <w:w w:val="105"/>
                <w:sz w:val="12"/>
              </w:rPr>
              <w:t>-187.195,47</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4"/>
              <w:jc w:val="right"/>
              <w:rPr>
                <w:b/>
                <w:sz w:val="12"/>
              </w:rPr>
            </w:pPr>
            <w:r>
              <w:rPr>
                <w:b/>
                <w:w w:val="105"/>
                <w:sz w:val="12"/>
              </w:rPr>
              <w:t>-18.506,27</w:t>
            </w:r>
          </w:p>
        </w:tc>
        <w:tc>
          <w:tcPr>
            <w:tcW w:w="882"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6"/>
              <w:jc w:val="right"/>
              <w:rPr>
                <w:b/>
                <w:sz w:val="12"/>
              </w:rPr>
            </w:pPr>
            <w:r>
              <w:rPr>
                <w:b/>
                <w:w w:val="105"/>
                <w:sz w:val="12"/>
              </w:rPr>
              <w:t>0,00</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3"/>
              <w:jc w:val="right"/>
              <w:rPr>
                <w:b/>
                <w:sz w:val="12"/>
              </w:rPr>
            </w:pPr>
            <w:r>
              <w:rPr>
                <w:b/>
                <w:w w:val="105"/>
                <w:sz w:val="12"/>
              </w:rPr>
              <w:t>-31.867,94</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3"/>
              <w:jc w:val="right"/>
              <w:rPr>
                <w:b/>
                <w:sz w:val="12"/>
              </w:rPr>
            </w:pPr>
            <w:r>
              <w:rPr>
                <w:b/>
                <w:w w:val="105"/>
                <w:sz w:val="12"/>
              </w:rPr>
              <w:t>-1.401.657,00</w:t>
            </w:r>
          </w:p>
        </w:tc>
        <w:tc>
          <w:tcPr>
            <w:tcW w:w="881"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4"/>
              <w:jc w:val="right"/>
              <w:rPr>
                <w:b/>
                <w:sz w:val="12"/>
              </w:rPr>
            </w:pPr>
            <w:r>
              <w:rPr>
                <w:b/>
                <w:w w:val="105"/>
                <w:sz w:val="12"/>
              </w:rPr>
              <w:t>-1.775.552,24</w:t>
            </w:r>
          </w:p>
        </w:tc>
        <w:tc>
          <w:tcPr>
            <w:tcW w:w="882"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3"/>
              <w:jc w:val="right"/>
              <w:rPr>
                <w:b/>
                <w:sz w:val="12"/>
              </w:rPr>
            </w:pPr>
            <w:r>
              <w:rPr>
                <w:b/>
                <w:w w:val="105"/>
                <w:sz w:val="12"/>
              </w:rPr>
              <w:t>-268.220,51</w:t>
            </w:r>
          </w:p>
        </w:tc>
        <w:tc>
          <w:tcPr>
            <w:tcW w:w="1119"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3"/>
              <w:jc w:val="right"/>
              <w:rPr>
                <w:b/>
                <w:sz w:val="12"/>
              </w:rPr>
            </w:pPr>
            <w:r>
              <w:rPr>
                <w:b/>
                <w:w w:val="105"/>
                <w:sz w:val="12"/>
              </w:rPr>
              <w:t>-3.682.999,43</w:t>
            </w:r>
          </w:p>
        </w:tc>
      </w:tr>
      <w:tr>
        <w:trPr>
          <w:trHeight w:val="361" w:hRule="atLeast"/>
        </w:trPr>
        <w:tc>
          <w:tcPr>
            <w:tcW w:w="3628" w:type="dxa"/>
            <w:tcBorders>
              <w:top w:val="single" w:sz="6" w:space="0" w:color="000000"/>
              <w:left w:val="single" w:sz="6" w:space="0" w:color="000000"/>
              <w:bottom w:val="single" w:sz="6" w:space="0" w:color="000000"/>
            </w:tcBorders>
          </w:tcPr>
          <w:p>
            <w:pPr>
              <w:pStyle w:val="TableParagraph"/>
              <w:spacing w:line="247" w:lineRule="auto" w:before="33"/>
              <w:ind w:left="55" w:right="86"/>
              <w:rPr>
                <w:b/>
                <w:sz w:val="12"/>
              </w:rPr>
            </w:pPr>
            <w:r>
              <w:rPr>
                <w:b/>
                <w:w w:val="105"/>
                <w:sz w:val="12"/>
              </w:rPr>
              <w:t>D) VARIACIONES DE PATRIMONIO NETO POR INGRESOS Y GASTOS IMPUTADOS DIRECTAMENTE AL PATRIMONIO NETO</w:t>
            </w:r>
          </w:p>
        </w:tc>
        <w:tc>
          <w:tcPr>
            <w:tcW w:w="882" w:type="dxa"/>
            <w:tcBorders>
              <w:top w:val="single" w:sz="6" w:space="0" w:color="000000"/>
              <w:bottom w:val="single" w:sz="6" w:space="0" w:color="000000"/>
            </w:tcBorders>
          </w:tcPr>
          <w:p>
            <w:pPr>
              <w:pStyle w:val="TableParagraph"/>
              <w:spacing w:before="11"/>
              <w:rPr>
                <w:b/>
                <w:sz w:val="8"/>
              </w:rPr>
            </w:pPr>
          </w:p>
          <w:p>
            <w:pPr>
              <w:pStyle w:val="TableParagraph"/>
              <w:spacing w:before="1"/>
              <w:ind w:right="37"/>
              <w:jc w:val="right"/>
              <w:rPr>
                <w:sz w:val="12"/>
              </w:rPr>
            </w:pPr>
            <w:r>
              <w:rPr>
                <w:w w:val="105"/>
                <w:sz w:val="12"/>
              </w:rPr>
              <w:t>21.576,01</w:t>
            </w:r>
          </w:p>
        </w:tc>
        <w:tc>
          <w:tcPr>
            <w:tcW w:w="880" w:type="dxa"/>
            <w:tcBorders>
              <w:top w:val="single" w:sz="6" w:space="0" w:color="000000"/>
              <w:bottom w:val="single" w:sz="6" w:space="0" w:color="000000"/>
            </w:tcBorders>
          </w:tcPr>
          <w:p>
            <w:pPr>
              <w:pStyle w:val="TableParagraph"/>
              <w:spacing w:before="11"/>
              <w:rPr>
                <w:b/>
                <w:sz w:val="8"/>
              </w:rPr>
            </w:pPr>
          </w:p>
          <w:p>
            <w:pPr>
              <w:pStyle w:val="TableParagraph"/>
              <w:spacing w:before="1"/>
              <w:ind w:right="37"/>
              <w:jc w:val="right"/>
              <w:rPr>
                <w:sz w:val="12"/>
              </w:rPr>
            </w:pPr>
            <w:r>
              <w:rPr>
                <w:w w:val="105"/>
                <w:sz w:val="12"/>
              </w:rPr>
              <w:t>-6.183,82</w:t>
            </w:r>
          </w:p>
        </w:tc>
        <w:tc>
          <w:tcPr>
            <w:tcW w:w="882" w:type="dxa"/>
            <w:tcBorders>
              <w:top w:val="single" w:sz="6" w:space="0" w:color="000000"/>
              <w:bottom w:val="single" w:sz="6" w:space="0" w:color="000000"/>
            </w:tcBorders>
          </w:tcPr>
          <w:p>
            <w:pPr>
              <w:pStyle w:val="TableParagraph"/>
              <w:spacing w:before="11"/>
              <w:rPr>
                <w:b/>
                <w:sz w:val="8"/>
              </w:rPr>
            </w:pPr>
          </w:p>
          <w:p>
            <w:pPr>
              <w:pStyle w:val="TableParagraph"/>
              <w:spacing w:before="1"/>
              <w:ind w:right="37"/>
              <w:jc w:val="right"/>
              <w:rPr>
                <w:sz w:val="12"/>
              </w:rPr>
            </w:pPr>
            <w:r>
              <w:rPr>
                <w:w w:val="105"/>
                <w:sz w:val="12"/>
              </w:rPr>
              <w:t>935.749,06</w:t>
            </w:r>
          </w:p>
        </w:tc>
        <w:tc>
          <w:tcPr>
            <w:tcW w:w="880" w:type="dxa"/>
            <w:tcBorders>
              <w:top w:val="single" w:sz="6" w:space="0" w:color="000000"/>
              <w:bottom w:val="single" w:sz="6" w:space="0" w:color="000000"/>
            </w:tcBorders>
          </w:tcPr>
          <w:p>
            <w:pPr>
              <w:pStyle w:val="TableParagraph"/>
              <w:spacing w:before="11"/>
              <w:rPr>
                <w:b/>
                <w:sz w:val="8"/>
              </w:rPr>
            </w:pPr>
          </w:p>
          <w:p>
            <w:pPr>
              <w:pStyle w:val="TableParagraph"/>
              <w:spacing w:before="1"/>
              <w:ind w:right="36"/>
              <w:jc w:val="right"/>
              <w:rPr>
                <w:sz w:val="12"/>
              </w:rPr>
            </w:pPr>
            <w:r>
              <w:rPr>
                <w:w w:val="105"/>
                <w:sz w:val="12"/>
              </w:rPr>
              <w:t>-31.867,94</w:t>
            </w:r>
          </w:p>
        </w:tc>
        <w:tc>
          <w:tcPr>
            <w:tcW w:w="992" w:type="dxa"/>
            <w:tcBorders>
              <w:top w:val="single" w:sz="6" w:space="0" w:color="000000"/>
              <w:bottom w:val="single" w:sz="6" w:space="0" w:color="000000"/>
            </w:tcBorders>
          </w:tcPr>
          <w:p>
            <w:pPr>
              <w:pStyle w:val="TableParagraph"/>
              <w:spacing w:before="11"/>
              <w:rPr>
                <w:b/>
                <w:sz w:val="8"/>
              </w:rPr>
            </w:pPr>
          </w:p>
          <w:p>
            <w:pPr>
              <w:pStyle w:val="TableParagraph"/>
              <w:spacing w:before="1"/>
              <w:ind w:right="36"/>
              <w:jc w:val="right"/>
              <w:rPr>
                <w:sz w:val="12"/>
              </w:rPr>
            </w:pPr>
            <w:r>
              <w:rPr>
                <w:w w:val="105"/>
                <w:sz w:val="12"/>
              </w:rPr>
              <w:t>648.398,00</w:t>
            </w:r>
          </w:p>
        </w:tc>
        <w:tc>
          <w:tcPr>
            <w:tcW w:w="881" w:type="dxa"/>
            <w:tcBorders>
              <w:top w:val="single" w:sz="6" w:space="0" w:color="000000"/>
              <w:bottom w:val="single" w:sz="6" w:space="0" w:color="000000"/>
            </w:tcBorders>
          </w:tcPr>
          <w:p>
            <w:pPr>
              <w:pStyle w:val="TableParagraph"/>
              <w:spacing w:before="11"/>
              <w:rPr>
                <w:b/>
                <w:sz w:val="8"/>
              </w:rPr>
            </w:pPr>
          </w:p>
          <w:p>
            <w:pPr>
              <w:pStyle w:val="TableParagraph"/>
              <w:spacing w:before="1"/>
              <w:ind w:right="36"/>
              <w:jc w:val="right"/>
              <w:rPr>
                <w:sz w:val="12"/>
              </w:rPr>
            </w:pPr>
            <w:r>
              <w:rPr>
                <w:w w:val="105"/>
                <w:sz w:val="12"/>
              </w:rPr>
              <w:t>81.567,76</w:t>
            </w:r>
          </w:p>
        </w:tc>
        <w:tc>
          <w:tcPr>
            <w:tcW w:w="882" w:type="dxa"/>
            <w:tcBorders>
              <w:top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3"/>
              <w:jc w:val="right"/>
              <w:rPr>
                <w:sz w:val="12"/>
              </w:rPr>
            </w:pPr>
            <w:r>
              <w:rPr>
                <w:w w:val="105"/>
                <w:sz w:val="12"/>
              </w:rPr>
              <w:t>-151.347,36</w:t>
            </w:r>
          </w:p>
        </w:tc>
        <w:tc>
          <w:tcPr>
            <w:tcW w:w="1119" w:type="dxa"/>
            <w:tcBorders>
              <w:top w:val="single" w:sz="6" w:space="0" w:color="000000"/>
              <w:left w:val="single" w:sz="6" w:space="0" w:color="000000"/>
              <w:bottom w:val="single" w:sz="6" w:space="0" w:color="000000"/>
              <w:right w:val="single" w:sz="6" w:space="0" w:color="000000"/>
            </w:tcBorders>
          </w:tcPr>
          <w:p>
            <w:pPr>
              <w:pStyle w:val="TableParagraph"/>
              <w:spacing w:before="11"/>
              <w:rPr>
                <w:b/>
                <w:sz w:val="8"/>
              </w:rPr>
            </w:pPr>
          </w:p>
          <w:p>
            <w:pPr>
              <w:pStyle w:val="TableParagraph"/>
              <w:spacing w:before="1"/>
              <w:ind w:right="33"/>
              <w:jc w:val="right"/>
              <w:rPr>
                <w:b/>
                <w:sz w:val="12"/>
              </w:rPr>
            </w:pPr>
            <w:r>
              <w:rPr>
                <w:b/>
                <w:w w:val="105"/>
                <w:sz w:val="12"/>
              </w:rPr>
              <w:t>1.497.891,71</w:t>
            </w:r>
          </w:p>
        </w:tc>
      </w:tr>
      <w:tr>
        <w:trPr>
          <w:trHeight w:val="210" w:hRule="atLeast"/>
        </w:trPr>
        <w:tc>
          <w:tcPr>
            <w:tcW w:w="3628" w:type="dxa"/>
            <w:tcBorders>
              <w:top w:val="single" w:sz="6" w:space="0" w:color="000000"/>
              <w:left w:val="single" w:sz="6" w:space="0" w:color="000000"/>
              <w:bottom w:val="single" w:sz="6" w:space="0" w:color="000000"/>
            </w:tcBorders>
          </w:tcPr>
          <w:p>
            <w:pPr>
              <w:pStyle w:val="TableParagraph"/>
              <w:spacing w:before="33"/>
              <w:ind w:left="55"/>
              <w:rPr>
                <w:b/>
                <w:sz w:val="12"/>
              </w:rPr>
            </w:pPr>
            <w:r>
              <w:rPr>
                <w:b/>
                <w:w w:val="105"/>
                <w:sz w:val="12"/>
              </w:rPr>
              <w:t>F) AJUSTES POR ERRORES</w:t>
            </w:r>
          </w:p>
        </w:tc>
        <w:tc>
          <w:tcPr>
            <w:tcW w:w="882" w:type="dxa"/>
            <w:tcBorders>
              <w:top w:val="single" w:sz="6" w:space="0" w:color="000000"/>
              <w:bottom w:val="single" w:sz="6" w:space="0" w:color="000000"/>
            </w:tcBorders>
          </w:tcPr>
          <w:p>
            <w:pPr>
              <w:pStyle w:val="TableParagraph"/>
              <w:rPr>
                <w:rFonts w:ascii="Times New Roman"/>
                <w:sz w:val="12"/>
              </w:rPr>
            </w:pPr>
          </w:p>
        </w:tc>
        <w:tc>
          <w:tcPr>
            <w:tcW w:w="880" w:type="dxa"/>
            <w:tcBorders>
              <w:top w:val="single" w:sz="6" w:space="0" w:color="000000"/>
              <w:bottom w:val="single" w:sz="6" w:space="0" w:color="000000"/>
            </w:tcBorders>
          </w:tcPr>
          <w:p>
            <w:pPr>
              <w:pStyle w:val="TableParagraph"/>
              <w:rPr>
                <w:rFonts w:ascii="Times New Roman"/>
                <w:sz w:val="12"/>
              </w:rPr>
            </w:pPr>
          </w:p>
        </w:tc>
        <w:tc>
          <w:tcPr>
            <w:tcW w:w="882" w:type="dxa"/>
            <w:tcBorders>
              <w:top w:val="single" w:sz="6" w:space="0" w:color="000000"/>
              <w:bottom w:val="single" w:sz="6" w:space="0" w:color="000000"/>
            </w:tcBorders>
          </w:tcPr>
          <w:p>
            <w:pPr>
              <w:pStyle w:val="TableParagraph"/>
              <w:rPr>
                <w:rFonts w:ascii="Times New Roman"/>
                <w:sz w:val="12"/>
              </w:rPr>
            </w:pPr>
          </w:p>
        </w:tc>
        <w:tc>
          <w:tcPr>
            <w:tcW w:w="880" w:type="dxa"/>
            <w:tcBorders>
              <w:top w:val="single" w:sz="6" w:space="0" w:color="000000"/>
              <w:bottom w:val="single" w:sz="6" w:space="0" w:color="000000"/>
            </w:tcBorders>
          </w:tcPr>
          <w:p>
            <w:pPr>
              <w:pStyle w:val="TableParagraph"/>
              <w:spacing w:before="33"/>
              <w:ind w:right="36"/>
              <w:jc w:val="right"/>
              <w:rPr>
                <w:sz w:val="12"/>
              </w:rPr>
            </w:pPr>
            <w:r>
              <w:rPr>
                <w:w w:val="105"/>
                <w:sz w:val="12"/>
              </w:rPr>
              <w:t>37.324,56</w:t>
            </w:r>
          </w:p>
        </w:tc>
        <w:tc>
          <w:tcPr>
            <w:tcW w:w="992" w:type="dxa"/>
            <w:tcBorders>
              <w:top w:val="single" w:sz="6" w:space="0" w:color="000000"/>
              <w:bottom w:val="single" w:sz="6" w:space="0" w:color="000000"/>
            </w:tcBorders>
          </w:tcPr>
          <w:p>
            <w:pPr>
              <w:pStyle w:val="TableParagraph"/>
              <w:rPr>
                <w:rFonts w:ascii="Times New Roman"/>
                <w:sz w:val="12"/>
              </w:rPr>
            </w:pPr>
          </w:p>
        </w:tc>
        <w:tc>
          <w:tcPr>
            <w:tcW w:w="881" w:type="dxa"/>
            <w:tcBorders>
              <w:top w:val="single" w:sz="6" w:space="0" w:color="000000"/>
              <w:bottom w:val="single" w:sz="6" w:space="0" w:color="000000"/>
            </w:tcBorders>
          </w:tcPr>
          <w:p>
            <w:pPr>
              <w:pStyle w:val="TableParagraph"/>
              <w:rPr>
                <w:rFonts w:ascii="Times New Roman"/>
                <w:sz w:val="12"/>
              </w:rPr>
            </w:pPr>
          </w:p>
        </w:tc>
        <w:tc>
          <w:tcPr>
            <w:tcW w:w="882" w:type="dxa"/>
            <w:tcBorders>
              <w:top w:val="single" w:sz="6" w:space="0" w:color="000000"/>
              <w:bottom w:val="single" w:sz="6" w:space="0" w:color="000000"/>
              <w:right w:val="single" w:sz="6" w:space="0" w:color="000000"/>
            </w:tcBorders>
          </w:tcPr>
          <w:p>
            <w:pPr>
              <w:pStyle w:val="TableParagraph"/>
              <w:spacing w:before="33"/>
              <w:ind w:right="33"/>
              <w:jc w:val="right"/>
              <w:rPr>
                <w:sz w:val="12"/>
              </w:rPr>
            </w:pPr>
            <w:r>
              <w:rPr>
                <w:w w:val="105"/>
                <w:sz w:val="12"/>
              </w:rPr>
              <w:t>-35.821,51</w:t>
            </w:r>
          </w:p>
        </w:tc>
        <w:tc>
          <w:tcPr>
            <w:tcW w:w="1119" w:type="dxa"/>
            <w:tcBorders>
              <w:top w:val="single" w:sz="6" w:space="0" w:color="000000"/>
              <w:left w:val="single" w:sz="6" w:space="0" w:color="000000"/>
              <w:bottom w:val="single" w:sz="6" w:space="0" w:color="000000"/>
              <w:right w:val="single" w:sz="6" w:space="0" w:color="000000"/>
            </w:tcBorders>
          </w:tcPr>
          <w:p>
            <w:pPr>
              <w:pStyle w:val="TableParagraph"/>
              <w:spacing w:before="33"/>
              <w:ind w:right="33"/>
              <w:jc w:val="right"/>
              <w:rPr>
                <w:b/>
                <w:sz w:val="12"/>
              </w:rPr>
            </w:pPr>
            <w:r>
              <w:rPr>
                <w:b/>
                <w:w w:val="105"/>
                <w:sz w:val="12"/>
              </w:rPr>
              <w:t>1.503,05</w:t>
            </w:r>
          </w:p>
        </w:tc>
      </w:tr>
      <w:tr>
        <w:trPr>
          <w:trHeight w:val="210" w:hRule="atLeast"/>
        </w:trPr>
        <w:tc>
          <w:tcPr>
            <w:tcW w:w="3628" w:type="dxa"/>
            <w:tcBorders>
              <w:top w:val="single" w:sz="6" w:space="0" w:color="000000"/>
              <w:left w:val="single" w:sz="6" w:space="0" w:color="000000"/>
              <w:bottom w:val="single" w:sz="6" w:space="0" w:color="000000"/>
            </w:tcBorders>
          </w:tcPr>
          <w:p>
            <w:pPr>
              <w:pStyle w:val="TableParagraph"/>
              <w:spacing w:before="33"/>
              <w:ind w:left="55"/>
              <w:rPr>
                <w:b/>
                <w:sz w:val="12"/>
              </w:rPr>
            </w:pPr>
            <w:r>
              <w:rPr>
                <w:b/>
                <w:w w:val="105"/>
                <w:sz w:val="12"/>
              </w:rPr>
              <w:t>G) VARIACIONES EN LA DOTACIÓN FUNDACIONAL O FONDO SOCIAL</w:t>
            </w:r>
          </w:p>
        </w:tc>
        <w:tc>
          <w:tcPr>
            <w:tcW w:w="882" w:type="dxa"/>
            <w:tcBorders>
              <w:top w:val="single" w:sz="6" w:space="0" w:color="000000"/>
              <w:bottom w:val="single" w:sz="6" w:space="0" w:color="000000"/>
            </w:tcBorders>
          </w:tcPr>
          <w:p>
            <w:pPr>
              <w:pStyle w:val="TableParagraph"/>
              <w:rPr>
                <w:rFonts w:ascii="Times New Roman"/>
                <w:sz w:val="12"/>
              </w:rPr>
            </w:pPr>
          </w:p>
        </w:tc>
        <w:tc>
          <w:tcPr>
            <w:tcW w:w="880" w:type="dxa"/>
            <w:tcBorders>
              <w:top w:val="single" w:sz="6" w:space="0" w:color="000000"/>
              <w:bottom w:val="single" w:sz="6" w:space="0" w:color="000000"/>
            </w:tcBorders>
          </w:tcPr>
          <w:p>
            <w:pPr>
              <w:pStyle w:val="TableParagraph"/>
              <w:rPr>
                <w:rFonts w:ascii="Times New Roman"/>
                <w:sz w:val="12"/>
              </w:rPr>
            </w:pPr>
          </w:p>
        </w:tc>
        <w:tc>
          <w:tcPr>
            <w:tcW w:w="882" w:type="dxa"/>
            <w:tcBorders>
              <w:top w:val="single" w:sz="6" w:space="0" w:color="000000"/>
              <w:bottom w:val="single" w:sz="6" w:space="0" w:color="000000"/>
            </w:tcBorders>
          </w:tcPr>
          <w:p>
            <w:pPr>
              <w:pStyle w:val="TableParagraph"/>
              <w:rPr>
                <w:rFonts w:ascii="Times New Roman"/>
                <w:sz w:val="12"/>
              </w:rPr>
            </w:pPr>
          </w:p>
        </w:tc>
        <w:tc>
          <w:tcPr>
            <w:tcW w:w="880" w:type="dxa"/>
            <w:tcBorders>
              <w:top w:val="single" w:sz="6" w:space="0" w:color="000000"/>
              <w:bottom w:val="single" w:sz="6" w:space="0" w:color="000000"/>
            </w:tcBorders>
          </w:tcPr>
          <w:p>
            <w:pPr>
              <w:pStyle w:val="TableParagraph"/>
              <w:rPr>
                <w:rFonts w:ascii="Times New Roman"/>
                <w:sz w:val="12"/>
              </w:rPr>
            </w:pPr>
          </w:p>
        </w:tc>
        <w:tc>
          <w:tcPr>
            <w:tcW w:w="992" w:type="dxa"/>
            <w:tcBorders>
              <w:top w:val="single" w:sz="6" w:space="0" w:color="000000"/>
              <w:bottom w:val="single" w:sz="6" w:space="0" w:color="000000"/>
            </w:tcBorders>
          </w:tcPr>
          <w:p>
            <w:pPr>
              <w:pStyle w:val="TableParagraph"/>
              <w:rPr>
                <w:rFonts w:ascii="Times New Roman"/>
                <w:sz w:val="12"/>
              </w:rPr>
            </w:pPr>
          </w:p>
        </w:tc>
        <w:tc>
          <w:tcPr>
            <w:tcW w:w="881" w:type="dxa"/>
            <w:tcBorders>
              <w:top w:val="single" w:sz="6" w:space="0" w:color="000000"/>
              <w:bottom w:val="single" w:sz="6" w:space="0" w:color="000000"/>
            </w:tcBorders>
          </w:tcPr>
          <w:p>
            <w:pPr>
              <w:pStyle w:val="TableParagraph"/>
              <w:rPr>
                <w:rFonts w:ascii="Times New Roman"/>
                <w:sz w:val="12"/>
              </w:rPr>
            </w:pPr>
          </w:p>
        </w:tc>
        <w:tc>
          <w:tcPr>
            <w:tcW w:w="882" w:type="dxa"/>
            <w:tcBorders>
              <w:top w:val="single" w:sz="6" w:space="0" w:color="000000"/>
              <w:bottom w:val="single" w:sz="6" w:space="0" w:color="000000"/>
              <w:right w:val="single" w:sz="6" w:space="0" w:color="000000"/>
            </w:tcBorders>
          </w:tcPr>
          <w:p>
            <w:pPr>
              <w:pStyle w:val="TableParagraph"/>
              <w:spacing w:before="33"/>
              <w:ind w:right="33"/>
              <w:jc w:val="right"/>
              <w:rPr>
                <w:sz w:val="12"/>
              </w:rPr>
            </w:pPr>
            <w:r>
              <w:rPr>
                <w:w w:val="105"/>
                <w:sz w:val="12"/>
              </w:rPr>
              <w:t>60.000,00</w:t>
            </w:r>
          </w:p>
        </w:tc>
        <w:tc>
          <w:tcPr>
            <w:tcW w:w="1119" w:type="dxa"/>
            <w:tcBorders>
              <w:top w:val="single" w:sz="6" w:space="0" w:color="000000"/>
              <w:left w:val="single" w:sz="6" w:space="0" w:color="000000"/>
              <w:bottom w:val="single" w:sz="6" w:space="0" w:color="000000"/>
              <w:right w:val="single" w:sz="6" w:space="0" w:color="000000"/>
            </w:tcBorders>
          </w:tcPr>
          <w:p>
            <w:pPr>
              <w:pStyle w:val="TableParagraph"/>
              <w:spacing w:before="33"/>
              <w:ind w:right="33"/>
              <w:jc w:val="right"/>
              <w:rPr>
                <w:b/>
                <w:sz w:val="12"/>
              </w:rPr>
            </w:pPr>
            <w:r>
              <w:rPr>
                <w:b/>
                <w:w w:val="105"/>
                <w:sz w:val="12"/>
              </w:rPr>
              <w:t>60.000,00</w:t>
            </w:r>
          </w:p>
        </w:tc>
      </w:tr>
      <w:tr>
        <w:trPr>
          <w:trHeight w:val="303" w:hRule="atLeast"/>
        </w:trPr>
        <w:tc>
          <w:tcPr>
            <w:tcW w:w="3628" w:type="dxa"/>
            <w:tcBorders>
              <w:top w:val="single" w:sz="6" w:space="0" w:color="000000"/>
              <w:left w:val="single" w:sz="6" w:space="0" w:color="000000"/>
              <w:bottom w:val="single" w:sz="6" w:space="0" w:color="000000"/>
            </w:tcBorders>
          </w:tcPr>
          <w:p>
            <w:pPr>
              <w:pStyle w:val="TableParagraph"/>
              <w:spacing w:before="3"/>
              <w:ind w:left="55"/>
              <w:rPr>
                <w:b/>
                <w:sz w:val="12"/>
              </w:rPr>
            </w:pPr>
            <w:r>
              <w:rPr>
                <w:b/>
                <w:w w:val="105"/>
                <w:sz w:val="12"/>
              </w:rPr>
              <w:t>I) RESULTADO TOTAL, VARIACIÓN DEL PATRIMONIO NETO EN EL</w:t>
            </w:r>
          </w:p>
          <w:p>
            <w:pPr>
              <w:pStyle w:val="TableParagraph"/>
              <w:spacing w:line="128" w:lineRule="exact" w:before="6"/>
              <w:ind w:left="55"/>
              <w:rPr>
                <w:b/>
                <w:sz w:val="12"/>
              </w:rPr>
            </w:pPr>
            <w:r>
              <w:rPr>
                <w:b/>
                <w:w w:val="105"/>
                <w:sz w:val="12"/>
              </w:rPr>
              <w:t>EJERCICIO</w:t>
            </w:r>
          </w:p>
        </w:tc>
        <w:tc>
          <w:tcPr>
            <w:tcW w:w="882" w:type="dxa"/>
            <w:tcBorders>
              <w:top w:val="single" w:sz="6" w:space="0" w:color="000000"/>
              <w:bottom w:val="single" w:sz="6" w:space="0" w:color="000000"/>
            </w:tcBorders>
          </w:tcPr>
          <w:p>
            <w:pPr>
              <w:pStyle w:val="TableParagraph"/>
              <w:spacing w:before="79"/>
              <w:ind w:right="37"/>
              <w:jc w:val="right"/>
              <w:rPr>
                <w:b/>
                <w:sz w:val="12"/>
              </w:rPr>
            </w:pPr>
            <w:r>
              <w:rPr>
                <w:b/>
                <w:w w:val="105"/>
                <w:sz w:val="12"/>
              </w:rPr>
              <w:t>56.609,11</w:t>
            </w:r>
          </w:p>
        </w:tc>
        <w:tc>
          <w:tcPr>
            <w:tcW w:w="880" w:type="dxa"/>
            <w:tcBorders>
              <w:top w:val="single" w:sz="6" w:space="0" w:color="000000"/>
              <w:bottom w:val="single" w:sz="6" w:space="0" w:color="000000"/>
            </w:tcBorders>
          </w:tcPr>
          <w:p>
            <w:pPr>
              <w:pStyle w:val="TableParagraph"/>
              <w:spacing w:before="79"/>
              <w:ind w:right="37"/>
              <w:jc w:val="right"/>
              <w:rPr>
                <w:b/>
                <w:sz w:val="12"/>
              </w:rPr>
            </w:pPr>
            <w:r>
              <w:rPr>
                <w:b/>
                <w:w w:val="105"/>
                <w:sz w:val="12"/>
              </w:rPr>
              <w:t>-6.183,82</w:t>
            </w:r>
          </w:p>
        </w:tc>
        <w:tc>
          <w:tcPr>
            <w:tcW w:w="882" w:type="dxa"/>
            <w:tcBorders>
              <w:top w:val="single" w:sz="6" w:space="0" w:color="000000"/>
              <w:bottom w:val="single" w:sz="6" w:space="0" w:color="000000"/>
            </w:tcBorders>
          </w:tcPr>
          <w:p>
            <w:pPr>
              <w:pStyle w:val="TableParagraph"/>
              <w:spacing w:before="79"/>
              <w:ind w:right="37"/>
              <w:jc w:val="right"/>
              <w:rPr>
                <w:b/>
                <w:sz w:val="12"/>
              </w:rPr>
            </w:pPr>
            <w:r>
              <w:rPr>
                <w:b/>
                <w:w w:val="105"/>
                <w:sz w:val="12"/>
              </w:rPr>
              <w:t>829.973,27</w:t>
            </w:r>
          </w:p>
        </w:tc>
        <w:tc>
          <w:tcPr>
            <w:tcW w:w="880" w:type="dxa"/>
            <w:tcBorders>
              <w:top w:val="single" w:sz="6" w:space="0" w:color="000000"/>
              <w:bottom w:val="single" w:sz="6" w:space="0" w:color="000000"/>
            </w:tcBorders>
          </w:tcPr>
          <w:p>
            <w:pPr>
              <w:pStyle w:val="TableParagraph"/>
              <w:spacing w:before="79"/>
              <w:ind w:right="36"/>
              <w:jc w:val="right"/>
              <w:rPr>
                <w:b/>
                <w:sz w:val="12"/>
              </w:rPr>
            </w:pPr>
            <w:r>
              <w:rPr>
                <w:b/>
                <w:w w:val="105"/>
                <w:sz w:val="12"/>
              </w:rPr>
              <w:t>5.456,62</w:t>
            </w:r>
          </w:p>
        </w:tc>
        <w:tc>
          <w:tcPr>
            <w:tcW w:w="992" w:type="dxa"/>
            <w:tcBorders>
              <w:top w:val="single" w:sz="6" w:space="0" w:color="000000"/>
              <w:bottom w:val="single" w:sz="6" w:space="0" w:color="000000"/>
            </w:tcBorders>
          </w:tcPr>
          <w:p>
            <w:pPr>
              <w:pStyle w:val="TableParagraph"/>
              <w:spacing w:before="79"/>
              <w:ind w:right="36"/>
              <w:jc w:val="right"/>
              <w:rPr>
                <w:b/>
                <w:sz w:val="12"/>
              </w:rPr>
            </w:pPr>
            <w:r>
              <w:rPr>
                <w:b/>
                <w:w w:val="105"/>
                <w:sz w:val="12"/>
              </w:rPr>
              <w:t>681.174,00</w:t>
            </w:r>
          </w:p>
        </w:tc>
        <w:tc>
          <w:tcPr>
            <w:tcW w:w="881" w:type="dxa"/>
            <w:tcBorders>
              <w:top w:val="single" w:sz="6" w:space="0" w:color="000000"/>
              <w:bottom w:val="single" w:sz="6" w:space="0" w:color="000000"/>
            </w:tcBorders>
          </w:tcPr>
          <w:p>
            <w:pPr>
              <w:pStyle w:val="TableParagraph"/>
              <w:spacing w:before="79"/>
              <w:ind w:right="36"/>
              <w:jc w:val="right"/>
              <w:rPr>
                <w:b/>
                <w:sz w:val="12"/>
              </w:rPr>
            </w:pPr>
            <w:r>
              <w:rPr>
                <w:b/>
                <w:w w:val="105"/>
                <w:sz w:val="12"/>
              </w:rPr>
              <w:t>83.316,93</w:t>
            </w:r>
          </w:p>
        </w:tc>
        <w:tc>
          <w:tcPr>
            <w:tcW w:w="882" w:type="dxa"/>
            <w:tcBorders>
              <w:top w:val="single" w:sz="6" w:space="0" w:color="000000"/>
              <w:bottom w:val="single" w:sz="6" w:space="0" w:color="000000"/>
            </w:tcBorders>
          </w:tcPr>
          <w:p>
            <w:pPr>
              <w:pStyle w:val="TableParagraph"/>
              <w:spacing w:before="79"/>
              <w:ind w:right="36"/>
              <w:jc w:val="right"/>
              <w:rPr>
                <w:b/>
                <w:sz w:val="12"/>
              </w:rPr>
            </w:pPr>
            <w:r>
              <w:rPr>
                <w:b/>
                <w:w w:val="105"/>
                <w:sz w:val="12"/>
              </w:rPr>
              <w:t>-63.612,51</w:t>
            </w:r>
          </w:p>
        </w:tc>
        <w:tc>
          <w:tcPr>
            <w:tcW w:w="1119" w:type="dxa"/>
            <w:tcBorders>
              <w:top w:val="single" w:sz="6" w:space="0" w:color="000000"/>
              <w:bottom w:val="single" w:sz="6" w:space="0" w:color="000000"/>
            </w:tcBorders>
          </w:tcPr>
          <w:p>
            <w:pPr>
              <w:pStyle w:val="TableParagraph"/>
              <w:spacing w:before="79"/>
              <w:ind w:right="36"/>
              <w:jc w:val="right"/>
              <w:rPr>
                <w:b/>
                <w:sz w:val="12"/>
              </w:rPr>
            </w:pPr>
            <w:r>
              <w:rPr>
                <w:b/>
                <w:w w:val="105"/>
                <w:sz w:val="12"/>
              </w:rPr>
              <w:t>1.586.733,60</w:t>
            </w:r>
          </w:p>
        </w:tc>
      </w:tr>
    </w:tbl>
    <w:p>
      <w:pPr>
        <w:pStyle w:val="BodyText"/>
        <w:rPr>
          <w:b/>
        </w:rPr>
      </w:pPr>
    </w:p>
    <w:p>
      <w:pPr>
        <w:pStyle w:val="BodyText"/>
        <w:rPr>
          <w:b/>
        </w:rPr>
      </w:pPr>
    </w:p>
    <w:p>
      <w:pPr>
        <w:pStyle w:val="BodyText"/>
        <w:rPr>
          <w:b/>
        </w:rPr>
      </w:pPr>
    </w:p>
    <w:p>
      <w:pPr>
        <w:pStyle w:val="BodyText"/>
        <w:spacing w:before="10"/>
        <w:rPr>
          <w:b/>
          <w:sz w:val="21"/>
        </w:rPr>
      </w:pPr>
    </w:p>
    <w:p>
      <w:pPr>
        <w:spacing w:before="68"/>
        <w:ind w:left="11517" w:right="1354" w:firstLine="0"/>
        <w:jc w:val="center"/>
        <w:rPr>
          <w:sz w:val="18"/>
        </w:rPr>
      </w:pPr>
      <w:r>
        <w:rPr>
          <w:w w:val="105"/>
          <w:sz w:val="18"/>
        </w:rPr>
        <w:t>201</w:t>
      </w:r>
    </w:p>
    <w:p>
      <w:pPr>
        <w:spacing w:before="10"/>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35" name="image5.png"/>
                  <wp:cNvGraphicFramePr>
                    <a:graphicFrameLocks noChangeAspect="1"/>
                  </wp:cNvGraphicFramePr>
                  <a:graphic>
                    <a:graphicData uri="http://schemas.openxmlformats.org/drawingml/2006/picture">
                      <pic:pic>
                        <pic:nvPicPr>
                          <pic:cNvPr id="43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203/247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spacing w:before="111"/>
        <w:ind w:left="2699" w:right="0" w:firstLine="0"/>
        <w:jc w:val="left"/>
        <w:rPr>
          <w:b/>
          <w:sz w:val="18"/>
        </w:rPr>
      </w:pPr>
      <w:r>
        <w:rPr>
          <w:b/>
          <w:color w:val="53A1B9"/>
          <w:w w:val="105"/>
          <w:sz w:val="18"/>
        </w:rPr>
        <w:t>10.17 Anexo XVII. Fundaciones adscritas a una Consejería, Organismo Autónomo o Ente Público.</w:t>
      </w:r>
    </w:p>
    <w:p>
      <w:pPr>
        <w:pStyle w:val="BodyText"/>
        <w:spacing w:before="10"/>
        <w:rPr>
          <w:b/>
          <w:sz w:val="7"/>
        </w:rPr>
      </w:pPr>
    </w:p>
    <w:tbl>
      <w:tblPr>
        <w:tblW w:w="0" w:type="auto"/>
        <w:jc w:val="left"/>
        <w:tblInd w:w="1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7"/>
        <w:gridCol w:w="1087"/>
        <w:gridCol w:w="1212"/>
        <w:gridCol w:w="5545"/>
        <w:gridCol w:w="1104"/>
        <w:gridCol w:w="1421"/>
      </w:tblGrid>
      <w:tr>
        <w:trPr>
          <w:trHeight w:val="301" w:hRule="atLeast"/>
        </w:trPr>
        <w:tc>
          <w:tcPr>
            <w:tcW w:w="1007" w:type="dxa"/>
            <w:shd w:val="clear" w:color="auto" w:fill="D9D9D9"/>
          </w:tcPr>
          <w:p>
            <w:pPr>
              <w:pStyle w:val="TableParagraph"/>
              <w:spacing w:before="78"/>
              <w:ind w:left="146"/>
              <w:rPr>
                <w:b/>
                <w:sz w:val="12"/>
              </w:rPr>
            </w:pPr>
            <w:r>
              <w:rPr>
                <w:b/>
                <w:w w:val="105"/>
                <w:sz w:val="12"/>
              </w:rPr>
              <w:t>ADSCRIPCIÓN</w:t>
            </w:r>
          </w:p>
        </w:tc>
        <w:tc>
          <w:tcPr>
            <w:tcW w:w="1087" w:type="dxa"/>
            <w:shd w:val="clear" w:color="auto" w:fill="D9D9D9"/>
          </w:tcPr>
          <w:p>
            <w:pPr>
              <w:pStyle w:val="TableParagraph"/>
              <w:spacing w:before="78"/>
              <w:ind w:left="224"/>
              <w:rPr>
                <w:b/>
                <w:sz w:val="12"/>
              </w:rPr>
            </w:pPr>
            <w:r>
              <w:rPr>
                <w:b/>
                <w:w w:val="105"/>
                <w:sz w:val="12"/>
              </w:rPr>
              <w:t>FUNDACIÓN</w:t>
            </w:r>
          </w:p>
        </w:tc>
        <w:tc>
          <w:tcPr>
            <w:tcW w:w="1212" w:type="dxa"/>
            <w:shd w:val="clear" w:color="auto" w:fill="D9D9D9"/>
          </w:tcPr>
          <w:p>
            <w:pPr>
              <w:pStyle w:val="TableParagraph"/>
              <w:spacing w:before="78"/>
              <w:ind w:left="48" w:right="33"/>
              <w:jc w:val="center"/>
              <w:rPr>
                <w:b/>
                <w:sz w:val="12"/>
              </w:rPr>
            </w:pPr>
            <w:r>
              <w:rPr>
                <w:b/>
                <w:w w:val="105"/>
                <w:sz w:val="12"/>
              </w:rPr>
              <w:t>CREACIÓN</w:t>
            </w:r>
          </w:p>
        </w:tc>
        <w:tc>
          <w:tcPr>
            <w:tcW w:w="5545" w:type="dxa"/>
            <w:shd w:val="clear" w:color="auto" w:fill="D9D9D9"/>
          </w:tcPr>
          <w:p>
            <w:pPr>
              <w:pStyle w:val="TableParagraph"/>
              <w:spacing w:before="78"/>
              <w:ind w:left="2468" w:right="2453"/>
              <w:jc w:val="center"/>
              <w:rPr>
                <w:b/>
                <w:sz w:val="12"/>
              </w:rPr>
            </w:pPr>
            <w:r>
              <w:rPr>
                <w:b/>
                <w:w w:val="105"/>
                <w:sz w:val="12"/>
              </w:rPr>
              <w:t>FINALIDAD</w:t>
            </w:r>
          </w:p>
        </w:tc>
        <w:tc>
          <w:tcPr>
            <w:tcW w:w="1104" w:type="dxa"/>
            <w:shd w:val="clear" w:color="auto" w:fill="D9D9D9"/>
          </w:tcPr>
          <w:p>
            <w:pPr>
              <w:pStyle w:val="TableParagraph"/>
              <w:spacing w:before="2"/>
              <w:ind w:left="267"/>
              <w:rPr>
                <w:b/>
                <w:sz w:val="12"/>
              </w:rPr>
            </w:pPr>
            <w:r>
              <w:rPr>
                <w:b/>
                <w:w w:val="105"/>
                <w:sz w:val="12"/>
              </w:rPr>
              <w:t>DOTACIÓN</w:t>
            </w:r>
          </w:p>
          <w:p>
            <w:pPr>
              <w:pStyle w:val="TableParagraph"/>
              <w:spacing w:line="128" w:lineRule="exact" w:before="4"/>
              <w:ind w:left="314"/>
              <w:rPr>
                <w:b/>
                <w:sz w:val="12"/>
              </w:rPr>
            </w:pPr>
            <w:r>
              <w:rPr>
                <w:b/>
                <w:w w:val="105"/>
                <w:sz w:val="12"/>
              </w:rPr>
              <w:t>FUNDAC.</w:t>
            </w:r>
          </w:p>
        </w:tc>
        <w:tc>
          <w:tcPr>
            <w:tcW w:w="1421" w:type="dxa"/>
            <w:shd w:val="clear" w:color="auto" w:fill="D9D9D9"/>
          </w:tcPr>
          <w:p>
            <w:pPr>
              <w:pStyle w:val="TableParagraph"/>
              <w:spacing w:before="78"/>
              <w:ind w:left="304"/>
              <w:rPr>
                <w:b/>
                <w:sz w:val="12"/>
              </w:rPr>
            </w:pPr>
            <w:r>
              <w:rPr>
                <w:b/>
                <w:w w:val="105"/>
                <w:sz w:val="12"/>
              </w:rPr>
              <w:t>PARTICIPACIÓN</w:t>
            </w:r>
          </w:p>
        </w:tc>
      </w:tr>
      <w:tr>
        <w:trPr>
          <w:trHeight w:val="603" w:hRule="atLeast"/>
        </w:trPr>
        <w:tc>
          <w:tcPr>
            <w:tcW w:w="1007" w:type="dxa"/>
          </w:tcPr>
          <w:p>
            <w:pPr>
              <w:pStyle w:val="TableParagraph"/>
              <w:spacing w:line="249" w:lineRule="auto" w:before="2"/>
              <w:ind w:left="160" w:right="149"/>
              <w:jc w:val="center"/>
              <w:rPr>
                <w:sz w:val="12"/>
              </w:rPr>
            </w:pPr>
            <w:r>
              <w:rPr>
                <w:w w:val="105"/>
                <w:sz w:val="12"/>
              </w:rPr>
              <w:t>Consejería</w:t>
            </w:r>
            <w:r>
              <w:rPr>
                <w:spacing w:val="-11"/>
                <w:w w:val="105"/>
                <w:sz w:val="12"/>
              </w:rPr>
              <w:t> </w:t>
            </w:r>
            <w:r>
              <w:rPr>
                <w:spacing w:val="-7"/>
                <w:w w:val="105"/>
                <w:sz w:val="12"/>
              </w:rPr>
              <w:t>de </w:t>
            </w:r>
            <w:r>
              <w:rPr>
                <w:w w:val="105"/>
                <w:sz w:val="12"/>
              </w:rPr>
              <w:t>Educación, Cultura</w:t>
            </w:r>
            <w:r>
              <w:rPr>
                <w:spacing w:val="-4"/>
                <w:w w:val="105"/>
                <w:sz w:val="12"/>
              </w:rPr>
              <w:t> </w:t>
            </w:r>
            <w:r>
              <w:rPr>
                <w:w w:val="105"/>
                <w:sz w:val="12"/>
              </w:rPr>
              <w:t>y</w:t>
            </w:r>
          </w:p>
          <w:p>
            <w:pPr>
              <w:pStyle w:val="TableParagraph"/>
              <w:spacing w:line="125" w:lineRule="exact"/>
              <w:ind w:left="157" w:right="149"/>
              <w:jc w:val="center"/>
              <w:rPr>
                <w:sz w:val="12"/>
              </w:rPr>
            </w:pPr>
            <w:r>
              <w:rPr>
                <w:w w:val="105"/>
                <w:sz w:val="12"/>
              </w:rPr>
              <w:t>Deportes</w:t>
            </w:r>
          </w:p>
        </w:tc>
        <w:tc>
          <w:tcPr>
            <w:tcW w:w="1087" w:type="dxa"/>
          </w:tcPr>
          <w:p>
            <w:pPr>
              <w:pStyle w:val="TableParagraph"/>
              <w:spacing w:line="247" w:lineRule="auto" w:before="78"/>
              <w:ind w:left="42" w:right="30"/>
              <w:jc w:val="center"/>
              <w:rPr>
                <w:b/>
                <w:sz w:val="12"/>
              </w:rPr>
            </w:pPr>
            <w:r>
              <w:rPr>
                <w:b/>
                <w:w w:val="105"/>
                <w:sz w:val="12"/>
              </w:rPr>
              <w:t>Fundación Academia Canaria de La Lengua</w:t>
            </w:r>
          </w:p>
        </w:tc>
        <w:tc>
          <w:tcPr>
            <w:tcW w:w="1212" w:type="dxa"/>
          </w:tcPr>
          <w:p>
            <w:pPr>
              <w:pStyle w:val="TableParagraph"/>
              <w:spacing w:before="6"/>
              <w:rPr>
                <w:b/>
                <w:sz w:val="12"/>
              </w:rPr>
            </w:pPr>
          </w:p>
          <w:p>
            <w:pPr>
              <w:pStyle w:val="TableParagraph"/>
              <w:ind w:left="48" w:right="37"/>
              <w:jc w:val="center"/>
              <w:rPr>
                <w:sz w:val="12"/>
              </w:rPr>
            </w:pPr>
            <w:r>
              <w:rPr>
                <w:w w:val="105"/>
                <w:sz w:val="12"/>
              </w:rPr>
              <w:t>21 de diciembre</w:t>
            </w:r>
          </w:p>
          <w:p>
            <w:pPr>
              <w:pStyle w:val="TableParagraph"/>
              <w:spacing w:before="7"/>
              <w:ind w:left="48" w:right="34"/>
              <w:jc w:val="center"/>
              <w:rPr>
                <w:sz w:val="12"/>
              </w:rPr>
            </w:pPr>
            <w:r>
              <w:rPr>
                <w:w w:val="105"/>
                <w:sz w:val="12"/>
              </w:rPr>
              <w:t>de 1999</w:t>
            </w:r>
          </w:p>
        </w:tc>
        <w:tc>
          <w:tcPr>
            <w:tcW w:w="5545" w:type="dxa"/>
          </w:tcPr>
          <w:p>
            <w:pPr>
              <w:pStyle w:val="TableParagraph"/>
              <w:numPr>
                <w:ilvl w:val="0"/>
                <w:numId w:val="121"/>
              </w:numPr>
              <w:tabs>
                <w:tab w:pos="182" w:val="left" w:leader="none"/>
              </w:tabs>
              <w:spacing w:line="247" w:lineRule="auto" w:before="2" w:after="0"/>
              <w:ind w:left="56" w:right="338" w:firstLine="0"/>
              <w:jc w:val="left"/>
              <w:rPr>
                <w:sz w:val="12"/>
              </w:rPr>
            </w:pPr>
            <w:r>
              <w:rPr>
                <w:w w:val="105"/>
                <w:sz w:val="12"/>
              </w:rPr>
              <w:t>Reconocer</w:t>
            </w:r>
            <w:r>
              <w:rPr>
                <w:spacing w:val="-8"/>
                <w:w w:val="105"/>
                <w:sz w:val="12"/>
              </w:rPr>
              <w:t> </w:t>
            </w:r>
            <w:r>
              <w:rPr>
                <w:w w:val="105"/>
                <w:sz w:val="12"/>
              </w:rPr>
              <w:t>y</w:t>
            </w:r>
            <w:r>
              <w:rPr>
                <w:spacing w:val="-8"/>
                <w:w w:val="105"/>
                <w:sz w:val="12"/>
              </w:rPr>
              <w:t> </w:t>
            </w:r>
            <w:r>
              <w:rPr>
                <w:w w:val="105"/>
                <w:sz w:val="12"/>
              </w:rPr>
              <w:t>respetar</w:t>
            </w:r>
            <w:r>
              <w:rPr>
                <w:spacing w:val="-6"/>
                <w:w w:val="105"/>
                <w:sz w:val="12"/>
              </w:rPr>
              <w:t> </w:t>
            </w:r>
            <w:r>
              <w:rPr>
                <w:w w:val="105"/>
                <w:sz w:val="12"/>
              </w:rPr>
              <w:t>la</w:t>
            </w:r>
            <w:r>
              <w:rPr>
                <w:spacing w:val="-8"/>
                <w:w w:val="105"/>
                <w:sz w:val="12"/>
              </w:rPr>
              <w:t> </w:t>
            </w:r>
            <w:r>
              <w:rPr>
                <w:w w:val="105"/>
                <w:sz w:val="12"/>
              </w:rPr>
              <w:t>libertad</w:t>
            </w:r>
            <w:r>
              <w:rPr>
                <w:spacing w:val="-8"/>
                <w:w w:val="105"/>
                <w:sz w:val="12"/>
              </w:rPr>
              <w:t> </w:t>
            </w:r>
            <w:r>
              <w:rPr>
                <w:w w:val="105"/>
                <w:sz w:val="12"/>
              </w:rPr>
              <w:t>idiomática</w:t>
            </w:r>
            <w:r>
              <w:rPr>
                <w:spacing w:val="-7"/>
                <w:w w:val="105"/>
                <w:sz w:val="12"/>
              </w:rPr>
              <w:t> </w:t>
            </w:r>
            <w:r>
              <w:rPr>
                <w:w w:val="105"/>
                <w:sz w:val="12"/>
              </w:rPr>
              <w:t>e</w:t>
            </w:r>
            <w:r>
              <w:rPr>
                <w:spacing w:val="-8"/>
                <w:w w:val="105"/>
                <w:sz w:val="12"/>
              </w:rPr>
              <w:t> </w:t>
            </w:r>
            <w:r>
              <w:rPr>
                <w:w w:val="105"/>
                <w:sz w:val="12"/>
              </w:rPr>
              <w:t>intelectual</w:t>
            </w:r>
            <w:r>
              <w:rPr>
                <w:spacing w:val="-7"/>
                <w:w w:val="105"/>
                <w:sz w:val="12"/>
              </w:rPr>
              <w:t> </w:t>
            </w:r>
            <w:r>
              <w:rPr>
                <w:w w:val="105"/>
                <w:sz w:val="12"/>
              </w:rPr>
              <w:t>de</w:t>
            </w:r>
            <w:r>
              <w:rPr>
                <w:spacing w:val="-8"/>
                <w:w w:val="105"/>
                <w:sz w:val="12"/>
              </w:rPr>
              <w:t> </w:t>
            </w:r>
            <w:r>
              <w:rPr>
                <w:w w:val="105"/>
                <w:sz w:val="12"/>
              </w:rPr>
              <w:t>las</w:t>
            </w:r>
            <w:r>
              <w:rPr>
                <w:spacing w:val="-8"/>
                <w:w w:val="105"/>
                <w:sz w:val="12"/>
              </w:rPr>
              <w:t> </w:t>
            </w:r>
            <w:r>
              <w:rPr>
                <w:w w:val="105"/>
                <w:sz w:val="12"/>
              </w:rPr>
              <w:t>personas,</w:t>
            </w:r>
            <w:r>
              <w:rPr>
                <w:spacing w:val="-6"/>
                <w:w w:val="105"/>
                <w:sz w:val="12"/>
              </w:rPr>
              <w:t> </w:t>
            </w:r>
            <w:r>
              <w:rPr>
                <w:w w:val="105"/>
                <w:sz w:val="12"/>
              </w:rPr>
              <w:t>evitando</w:t>
            </w:r>
            <w:r>
              <w:rPr>
                <w:spacing w:val="-7"/>
                <w:w w:val="105"/>
                <w:sz w:val="12"/>
              </w:rPr>
              <w:t> </w:t>
            </w:r>
            <w:r>
              <w:rPr>
                <w:w w:val="105"/>
                <w:sz w:val="12"/>
              </w:rPr>
              <w:t>cualquier</w:t>
            </w:r>
            <w:r>
              <w:rPr>
                <w:spacing w:val="-6"/>
                <w:w w:val="105"/>
                <w:sz w:val="12"/>
              </w:rPr>
              <w:t> </w:t>
            </w:r>
            <w:r>
              <w:rPr>
                <w:w w:val="105"/>
                <w:sz w:val="12"/>
              </w:rPr>
              <w:t>actitud excluyente.</w:t>
            </w:r>
          </w:p>
          <w:p>
            <w:pPr>
              <w:pStyle w:val="TableParagraph"/>
              <w:numPr>
                <w:ilvl w:val="0"/>
                <w:numId w:val="121"/>
              </w:numPr>
              <w:tabs>
                <w:tab w:pos="187" w:val="left" w:leader="none"/>
              </w:tabs>
              <w:spacing w:line="240" w:lineRule="auto" w:before="2" w:after="0"/>
              <w:ind w:left="186" w:right="0" w:hanging="131"/>
              <w:jc w:val="left"/>
              <w:rPr>
                <w:sz w:val="12"/>
              </w:rPr>
            </w:pPr>
            <w:r>
              <w:rPr>
                <w:w w:val="105"/>
                <w:sz w:val="12"/>
              </w:rPr>
              <w:t>Rechazar y condenar todo dogmatismo lingüístico o</w:t>
            </w:r>
            <w:r>
              <w:rPr>
                <w:spacing w:val="-12"/>
                <w:w w:val="105"/>
                <w:sz w:val="12"/>
              </w:rPr>
              <w:t> </w:t>
            </w:r>
            <w:r>
              <w:rPr>
                <w:w w:val="105"/>
                <w:sz w:val="12"/>
              </w:rPr>
              <w:t>intelectual,</w:t>
            </w:r>
          </w:p>
          <w:p>
            <w:pPr>
              <w:pStyle w:val="TableParagraph"/>
              <w:numPr>
                <w:ilvl w:val="0"/>
                <w:numId w:val="121"/>
              </w:numPr>
              <w:tabs>
                <w:tab w:pos="174" w:val="left" w:leader="none"/>
              </w:tabs>
              <w:spacing w:line="127" w:lineRule="exact" w:before="4" w:after="0"/>
              <w:ind w:left="173" w:right="0" w:hanging="118"/>
              <w:jc w:val="left"/>
              <w:rPr>
                <w:sz w:val="12"/>
              </w:rPr>
            </w:pPr>
            <w:r>
              <w:rPr>
                <w:w w:val="105"/>
                <w:sz w:val="12"/>
              </w:rPr>
              <w:t>Reconocer que la CANARIEDAD es un hecho</w:t>
            </w:r>
            <w:r>
              <w:rPr>
                <w:spacing w:val="-13"/>
                <w:w w:val="105"/>
                <w:sz w:val="12"/>
              </w:rPr>
              <w:t> </w:t>
            </w:r>
            <w:r>
              <w:rPr>
                <w:w w:val="105"/>
                <w:sz w:val="12"/>
              </w:rPr>
              <w:t>lingüístico</w:t>
            </w:r>
          </w:p>
        </w:tc>
        <w:tc>
          <w:tcPr>
            <w:tcW w:w="1104" w:type="dxa"/>
          </w:tcPr>
          <w:p>
            <w:pPr>
              <w:pStyle w:val="TableParagraph"/>
              <w:rPr>
                <w:b/>
                <w:sz w:val="12"/>
              </w:rPr>
            </w:pPr>
          </w:p>
          <w:p>
            <w:pPr>
              <w:pStyle w:val="TableParagraph"/>
              <w:spacing w:before="83"/>
              <w:ind w:left="299"/>
              <w:rPr>
                <w:sz w:val="12"/>
              </w:rPr>
            </w:pPr>
            <w:r>
              <w:rPr>
                <w:w w:val="105"/>
                <w:sz w:val="12"/>
              </w:rPr>
              <w:t>60.101,21</w:t>
            </w:r>
          </w:p>
        </w:tc>
        <w:tc>
          <w:tcPr>
            <w:tcW w:w="1421" w:type="dxa"/>
          </w:tcPr>
          <w:p>
            <w:pPr>
              <w:pStyle w:val="TableParagraph"/>
              <w:spacing w:before="6"/>
              <w:rPr>
                <w:b/>
                <w:sz w:val="12"/>
              </w:rPr>
            </w:pPr>
          </w:p>
          <w:p>
            <w:pPr>
              <w:pStyle w:val="TableParagraph"/>
              <w:spacing w:line="249" w:lineRule="auto"/>
              <w:ind w:left="480" w:hanging="237"/>
              <w:rPr>
                <w:sz w:val="12"/>
              </w:rPr>
            </w:pPr>
            <w:r>
              <w:rPr>
                <w:w w:val="105"/>
                <w:sz w:val="12"/>
              </w:rPr>
              <w:t>100% Gobierno de Canarias.</w:t>
            </w:r>
          </w:p>
        </w:tc>
      </w:tr>
      <w:tr>
        <w:trPr>
          <w:trHeight w:val="805" w:hRule="atLeast"/>
        </w:trPr>
        <w:tc>
          <w:tcPr>
            <w:tcW w:w="1007" w:type="dxa"/>
          </w:tcPr>
          <w:p>
            <w:pPr>
              <w:pStyle w:val="TableParagraph"/>
              <w:rPr>
                <w:b/>
                <w:sz w:val="12"/>
              </w:rPr>
            </w:pPr>
          </w:p>
          <w:p>
            <w:pPr>
              <w:pStyle w:val="TableParagraph"/>
              <w:spacing w:line="249" w:lineRule="auto" w:before="107"/>
              <w:ind w:left="303" w:hanging="143"/>
              <w:rPr>
                <w:sz w:val="12"/>
              </w:rPr>
            </w:pPr>
            <w:r>
              <w:rPr>
                <w:w w:val="105"/>
                <w:sz w:val="12"/>
              </w:rPr>
              <w:t>Consejería de Sanidad</w:t>
            </w:r>
          </w:p>
        </w:tc>
        <w:tc>
          <w:tcPr>
            <w:tcW w:w="1087" w:type="dxa"/>
          </w:tcPr>
          <w:p>
            <w:pPr>
              <w:pStyle w:val="TableParagraph"/>
              <w:spacing w:line="249" w:lineRule="auto" w:before="26"/>
              <w:ind w:left="33" w:right="20"/>
              <w:jc w:val="center"/>
              <w:rPr>
                <w:b/>
                <w:sz w:val="12"/>
              </w:rPr>
            </w:pPr>
            <w:r>
              <w:rPr>
                <w:b/>
                <w:w w:val="105"/>
                <w:sz w:val="12"/>
              </w:rPr>
              <w:t>Fundación Canaria Instituto de Investigación Sanitaria de</w:t>
            </w:r>
          </w:p>
          <w:p>
            <w:pPr>
              <w:pStyle w:val="TableParagraph"/>
              <w:spacing w:line="146" w:lineRule="exact"/>
              <w:ind w:left="41" w:right="30"/>
              <w:jc w:val="center"/>
              <w:rPr>
                <w:b/>
                <w:sz w:val="12"/>
              </w:rPr>
            </w:pPr>
            <w:r>
              <w:rPr>
                <w:b/>
                <w:w w:val="105"/>
                <w:sz w:val="12"/>
              </w:rPr>
              <w:t>Canarias</w:t>
            </w:r>
          </w:p>
        </w:tc>
        <w:tc>
          <w:tcPr>
            <w:tcW w:w="1212" w:type="dxa"/>
          </w:tcPr>
          <w:p>
            <w:pPr>
              <w:pStyle w:val="TableParagraph"/>
              <w:rPr>
                <w:b/>
                <w:sz w:val="12"/>
              </w:rPr>
            </w:pPr>
          </w:p>
          <w:p>
            <w:pPr>
              <w:pStyle w:val="TableParagraph"/>
              <w:spacing w:before="1"/>
              <w:rPr>
                <w:b/>
                <w:sz w:val="15"/>
              </w:rPr>
            </w:pPr>
          </w:p>
          <w:p>
            <w:pPr>
              <w:pStyle w:val="TableParagraph"/>
              <w:ind w:left="48" w:right="37"/>
              <w:jc w:val="center"/>
              <w:rPr>
                <w:sz w:val="12"/>
              </w:rPr>
            </w:pPr>
            <w:r>
              <w:rPr>
                <w:w w:val="105"/>
                <w:sz w:val="12"/>
              </w:rPr>
              <w:t>4 de febrero de 2019</w:t>
            </w:r>
          </w:p>
        </w:tc>
        <w:tc>
          <w:tcPr>
            <w:tcW w:w="5545" w:type="dxa"/>
          </w:tcPr>
          <w:p>
            <w:pPr>
              <w:pStyle w:val="TableParagraph"/>
              <w:spacing w:line="249" w:lineRule="auto" w:before="26"/>
              <w:ind w:left="56" w:right="2"/>
              <w:rPr>
                <w:sz w:val="12"/>
              </w:rPr>
            </w:pPr>
            <w:r>
              <w:rPr>
                <w:w w:val="105"/>
                <w:sz w:val="12"/>
              </w:rPr>
              <w:t>Su objeto es promover y apoyar la investigación en el ámbito de las ciencias de la salud para contribuir a la prevención de la enfermedad, a la promoción y protección de la salud, al tratamiento y rehabilitación de la enfermedad y a elevar el grado de conocimiento sobre la salud de la población, así como gestionar la investigación del Servicio Canario de la Salud que se le</w:t>
            </w:r>
          </w:p>
          <w:p>
            <w:pPr>
              <w:pStyle w:val="TableParagraph"/>
              <w:spacing w:line="146" w:lineRule="exact"/>
              <w:ind w:left="56"/>
              <w:rPr>
                <w:sz w:val="12"/>
              </w:rPr>
            </w:pPr>
            <w:r>
              <w:rPr>
                <w:w w:val="105"/>
                <w:sz w:val="12"/>
              </w:rPr>
              <w:t>encomiende por este organismo.</w:t>
            </w:r>
          </w:p>
        </w:tc>
        <w:tc>
          <w:tcPr>
            <w:tcW w:w="1104" w:type="dxa"/>
          </w:tcPr>
          <w:p>
            <w:pPr>
              <w:pStyle w:val="TableParagraph"/>
              <w:rPr>
                <w:b/>
                <w:sz w:val="12"/>
              </w:rPr>
            </w:pPr>
          </w:p>
          <w:p>
            <w:pPr>
              <w:pStyle w:val="TableParagraph"/>
              <w:spacing w:before="1"/>
              <w:rPr>
                <w:b/>
                <w:sz w:val="15"/>
              </w:rPr>
            </w:pPr>
          </w:p>
          <w:p>
            <w:pPr>
              <w:pStyle w:val="TableParagraph"/>
              <w:ind w:left="299"/>
              <w:rPr>
                <w:sz w:val="12"/>
              </w:rPr>
            </w:pPr>
            <w:r>
              <w:rPr>
                <w:w w:val="105"/>
                <w:sz w:val="12"/>
              </w:rPr>
              <w:t>82.339,00</w:t>
            </w:r>
          </w:p>
        </w:tc>
        <w:tc>
          <w:tcPr>
            <w:tcW w:w="1421" w:type="dxa"/>
          </w:tcPr>
          <w:p>
            <w:pPr>
              <w:pStyle w:val="TableParagraph"/>
              <w:rPr>
                <w:b/>
                <w:sz w:val="12"/>
              </w:rPr>
            </w:pPr>
          </w:p>
          <w:p>
            <w:pPr>
              <w:pStyle w:val="TableParagraph"/>
              <w:spacing w:line="249" w:lineRule="auto" w:before="107"/>
              <w:ind w:left="480" w:hanging="237"/>
              <w:rPr>
                <w:sz w:val="12"/>
              </w:rPr>
            </w:pPr>
            <w:r>
              <w:rPr>
                <w:w w:val="105"/>
                <w:sz w:val="12"/>
              </w:rPr>
              <w:t>100% Gobierno de Canarias.</w:t>
            </w:r>
          </w:p>
        </w:tc>
      </w:tr>
      <w:tr>
        <w:trPr>
          <w:trHeight w:val="452" w:hRule="atLeast"/>
        </w:trPr>
        <w:tc>
          <w:tcPr>
            <w:tcW w:w="1007" w:type="dxa"/>
          </w:tcPr>
          <w:p>
            <w:pPr>
              <w:pStyle w:val="TableParagraph"/>
              <w:spacing w:line="247" w:lineRule="auto" w:before="78"/>
              <w:ind w:left="233" w:hanging="135"/>
              <w:rPr>
                <w:sz w:val="12"/>
              </w:rPr>
            </w:pPr>
            <w:r>
              <w:rPr>
                <w:w w:val="105"/>
                <w:sz w:val="12"/>
              </w:rPr>
              <w:t>Servicio Canario de Empleo</w:t>
            </w:r>
          </w:p>
        </w:tc>
        <w:tc>
          <w:tcPr>
            <w:tcW w:w="1087" w:type="dxa"/>
          </w:tcPr>
          <w:p>
            <w:pPr>
              <w:pStyle w:val="TableParagraph"/>
              <w:spacing w:before="2"/>
              <w:ind w:left="120" w:hanging="55"/>
              <w:rPr>
                <w:b/>
                <w:sz w:val="12"/>
              </w:rPr>
            </w:pPr>
            <w:r>
              <w:rPr>
                <w:b/>
                <w:w w:val="105"/>
                <w:sz w:val="12"/>
              </w:rPr>
              <w:t>Fundación Canaria</w:t>
            </w:r>
          </w:p>
          <w:p>
            <w:pPr>
              <w:pStyle w:val="TableParagraph"/>
              <w:spacing w:line="150" w:lineRule="atLeast" w:before="3"/>
              <w:ind w:left="252" w:hanging="133"/>
              <w:rPr>
                <w:b/>
                <w:sz w:val="12"/>
              </w:rPr>
            </w:pPr>
            <w:r>
              <w:rPr>
                <w:b/>
                <w:w w:val="105"/>
                <w:sz w:val="12"/>
              </w:rPr>
              <w:t>Para el Fomento del Trabajo</w:t>
            </w:r>
          </w:p>
        </w:tc>
        <w:tc>
          <w:tcPr>
            <w:tcW w:w="1212" w:type="dxa"/>
          </w:tcPr>
          <w:p>
            <w:pPr>
              <w:pStyle w:val="TableParagraph"/>
              <w:spacing w:before="78"/>
              <w:ind w:left="48" w:right="37"/>
              <w:jc w:val="center"/>
              <w:rPr>
                <w:sz w:val="12"/>
              </w:rPr>
            </w:pPr>
            <w:r>
              <w:rPr>
                <w:w w:val="105"/>
                <w:sz w:val="12"/>
              </w:rPr>
              <w:t>31 de diciembre</w:t>
            </w:r>
          </w:p>
          <w:p>
            <w:pPr>
              <w:pStyle w:val="TableParagraph"/>
              <w:spacing w:before="5"/>
              <w:ind w:left="48" w:right="34"/>
              <w:jc w:val="center"/>
              <w:rPr>
                <w:sz w:val="12"/>
              </w:rPr>
            </w:pPr>
            <w:r>
              <w:rPr>
                <w:w w:val="105"/>
                <w:sz w:val="12"/>
              </w:rPr>
              <w:t>de 1998</w:t>
            </w:r>
          </w:p>
        </w:tc>
        <w:tc>
          <w:tcPr>
            <w:tcW w:w="5545" w:type="dxa"/>
          </w:tcPr>
          <w:p>
            <w:pPr>
              <w:pStyle w:val="TableParagraph"/>
              <w:spacing w:line="247" w:lineRule="auto" w:before="78"/>
              <w:ind w:left="56" w:right="227"/>
              <w:rPr>
                <w:sz w:val="12"/>
              </w:rPr>
            </w:pPr>
            <w:r>
              <w:rPr>
                <w:w w:val="105"/>
                <w:sz w:val="12"/>
              </w:rPr>
              <w:t>Contribuir al fomento y al Progreso del trabajo, en todos los aspectos sociales, económicos, Jurídicos y políticos.</w:t>
            </w:r>
          </w:p>
        </w:tc>
        <w:tc>
          <w:tcPr>
            <w:tcW w:w="1104" w:type="dxa"/>
          </w:tcPr>
          <w:p>
            <w:pPr>
              <w:pStyle w:val="TableParagraph"/>
              <w:spacing w:before="8"/>
              <w:rPr>
                <w:b/>
                <w:sz w:val="12"/>
              </w:rPr>
            </w:pPr>
          </w:p>
          <w:p>
            <w:pPr>
              <w:pStyle w:val="TableParagraph"/>
              <w:ind w:left="299"/>
              <w:rPr>
                <w:sz w:val="12"/>
              </w:rPr>
            </w:pPr>
            <w:r>
              <w:rPr>
                <w:w w:val="105"/>
                <w:sz w:val="12"/>
              </w:rPr>
              <w:t>60.101,21</w:t>
            </w:r>
          </w:p>
        </w:tc>
        <w:tc>
          <w:tcPr>
            <w:tcW w:w="1421" w:type="dxa"/>
          </w:tcPr>
          <w:p>
            <w:pPr>
              <w:pStyle w:val="TableParagraph"/>
              <w:spacing w:line="247" w:lineRule="auto" w:before="78"/>
              <w:ind w:left="480" w:hanging="237"/>
              <w:rPr>
                <w:sz w:val="12"/>
              </w:rPr>
            </w:pPr>
            <w:r>
              <w:rPr>
                <w:w w:val="105"/>
                <w:sz w:val="12"/>
              </w:rPr>
              <w:t>100% Gobierno de Canarias.</w:t>
            </w:r>
          </w:p>
        </w:tc>
      </w:tr>
      <w:tr>
        <w:trPr>
          <w:trHeight w:val="605" w:hRule="atLeast"/>
        </w:trPr>
        <w:tc>
          <w:tcPr>
            <w:tcW w:w="1007" w:type="dxa"/>
          </w:tcPr>
          <w:p>
            <w:pPr>
              <w:pStyle w:val="TableParagraph"/>
              <w:spacing w:line="249" w:lineRule="auto" w:before="78"/>
              <w:ind w:left="43" w:right="31"/>
              <w:jc w:val="center"/>
              <w:rPr>
                <w:sz w:val="12"/>
              </w:rPr>
            </w:pPr>
            <w:r>
              <w:rPr>
                <w:w w:val="105"/>
                <w:sz w:val="12"/>
              </w:rPr>
              <w:t>DG de Protección al Menor y la Familia</w:t>
            </w:r>
          </w:p>
        </w:tc>
        <w:tc>
          <w:tcPr>
            <w:tcW w:w="1087" w:type="dxa"/>
          </w:tcPr>
          <w:p>
            <w:pPr>
              <w:pStyle w:val="TableParagraph"/>
              <w:spacing w:before="8"/>
              <w:rPr>
                <w:b/>
                <w:sz w:val="12"/>
              </w:rPr>
            </w:pPr>
          </w:p>
          <w:p>
            <w:pPr>
              <w:pStyle w:val="TableParagraph"/>
              <w:spacing w:line="247" w:lineRule="auto"/>
              <w:ind w:left="99" w:hanging="34"/>
              <w:rPr>
                <w:b/>
                <w:sz w:val="12"/>
              </w:rPr>
            </w:pPr>
            <w:r>
              <w:rPr>
                <w:b/>
                <w:w w:val="105"/>
                <w:sz w:val="12"/>
              </w:rPr>
              <w:t>Fundación Canaria de Juventud Ideo</w:t>
            </w:r>
          </w:p>
        </w:tc>
        <w:tc>
          <w:tcPr>
            <w:tcW w:w="1212" w:type="dxa"/>
          </w:tcPr>
          <w:p>
            <w:pPr>
              <w:pStyle w:val="TableParagraph"/>
              <w:rPr>
                <w:b/>
                <w:sz w:val="12"/>
              </w:rPr>
            </w:pPr>
          </w:p>
          <w:p>
            <w:pPr>
              <w:pStyle w:val="TableParagraph"/>
              <w:spacing w:before="85"/>
              <w:ind w:left="48" w:right="34"/>
              <w:jc w:val="center"/>
              <w:rPr>
                <w:sz w:val="12"/>
              </w:rPr>
            </w:pPr>
            <w:r>
              <w:rPr>
                <w:w w:val="105"/>
                <w:sz w:val="12"/>
              </w:rPr>
              <w:t>5 de marzo de 2001</w:t>
            </w:r>
          </w:p>
        </w:tc>
        <w:tc>
          <w:tcPr>
            <w:tcW w:w="5545" w:type="dxa"/>
          </w:tcPr>
          <w:p>
            <w:pPr>
              <w:pStyle w:val="TableParagraph"/>
              <w:spacing w:line="249" w:lineRule="auto" w:before="2"/>
              <w:ind w:left="56" w:right="138"/>
              <w:rPr>
                <w:sz w:val="12"/>
              </w:rPr>
            </w:pPr>
            <w:r>
              <w:rPr>
                <w:w w:val="105"/>
                <w:sz w:val="12"/>
              </w:rPr>
              <w:t>Fomento y apoyo de actividades, acciones y programas de asistencia, formación, inserción, promoción y cooperación que favorezcan el desarrollo integral tanto del individuo menor-joven en cuanto objeto directo de atención como de la sociedad canaria en general como beneficiarios indirectos de estas</w:t>
            </w:r>
          </w:p>
          <w:p>
            <w:pPr>
              <w:pStyle w:val="TableParagraph"/>
              <w:spacing w:line="126" w:lineRule="exact"/>
              <w:ind w:left="56"/>
              <w:rPr>
                <w:sz w:val="12"/>
              </w:rPr>
            </w:pPr>
            <w:r>
              <w:rPr>
                <w:w w:val="105"/>
                <w:sz w:val="12"/>
              </w:rPr>
              <w:t>prestaciones.</w:t>
            </w:r>
          </w:p>
        </w:tc>
        <w:tc>
          <w:tcPr>
            <w:tcW w:w="1104" w:type="dxa"/>
          </w:tcPr>
          <w:p>
            <w:pPr>
              <w:pStyle w:val="TableParagraph"/>
              <w:rPr>
                <w:b/>
                <w:sz w:val="12"/>
              </w:rPr>
            </w:pPr>
          </w:p>
          <w:p>
            <w:pPr>
              <w:pStyle w:val="TableParagraph"/>
              <w:spacing w:before="85"/>
              <w:ind w:left="267"/>
              <w:rPr>
                <w:sz w:val="12"/>
              </w:rPr>
            </w:pPr>
            <w:r>
              <w:rPr>
                <w:w w:val="105"/>
                <w:sz w:val="12"/>
              </w:rPr>
              <w:t>220.000,00</w:t>
            </w:r>
          </w:p>
        </w:tc>
        <w:tc>
          <w:tcPr>
            <w:tcW w:w="1421" w:type="dxa"/>
          </w:tcPr>
          <w:p>
            <w:pPr>
              <w:pStyle w:val="TableParagraph"/>
              <w:spacing w:before="8"/>
              <w:rPr>
                <w:b/>
                <w:sz w:val="12"/>
              </w:rPr>
            </w:pPr>
          </w:p>
          <w:p>
            <w:pPr>
              <w:pStyle w:val="TableParagraph"/>
              <w:spacing w:line="247" w:lineRule="auto"/>
              <w:ind w:left="495" w:hanging="252"/>
              <w:rPr>
                <w:sz w:val="12"/>
              </w:rPr>
            </w:pPr>
            <w:r>
              <w:rPr>
                <w:w w:val="105"/>
                <w:sz w:val="12"/>
              </w:rPr>
              <w:t>100% Gobierno de Canarias</w:t>
            </w:r>
          </w:p>
        </w:tc>
      </w:tr>
      <w:tr>
        <w:trPr>
          <w:trHeight w:val="605" w:hRule="atLeast"/>
        </w:trPr>
        <w:tc>
          <w:tcPr>
            <w:tcW w:w="1007" w:type="dxa"/>
          </w:tcPr>
          <w:p>
            <w:pPr>
              <w:pStyle w:val="TableParagraph"/>
              <w:spacing w:line="249" w:lineRule="auto" w:before="2"/>
              <w:ind w:left="73" w:right="63" w:firstLine="2"/>
              <w:jc w:val="center"/>
              <w:rPr>
                <w:sz w:val="12"/>
              </w:rPr>
            </w:pPr>
            <w:r>
              <w:rPr>
                <w:w w:val="105"/>
                <w:sz w:val="12"/>
              </w:rPr>
              <w:t>Consejería de Empleo, </w:t>
            </w:r>
            <w:r>
              <w:rPr>
                <w:spacing w:val="-3"/>
                <w:w w:val="105"/>
                <w:sz w:val="12"/>
              </w:rPr>
              <w:t>Políticas </w:t>
            </w:r>
            <w:r>
              <w:rPr>
                <w:w w:val="105"/>
                <w:sz w:val="12"/>
              </w:rPr>
              <w:t>Sociales</w:t>
            </w:r>
            <w:r>
              <w:rPr>
                <w:spacing w:val="-3"/>
                <w:w w:val="105"/>
                <w:sz w:val="12"/>
              </w:rPr>
              <w:t> </w:t>
            </w:r>
            <w:r>
              <w:rPr>
                <w:w w:val="105"/>
                <w:sz w:val="12"/>
              </w:rPr>
              <w:t>y</w:t>
            </w:r>
          </w:p>
          <w:p>
            <w:pPr>
              <w:pStyle w:val="TableParagraph"/>
              <w:spacing w:line="127" w:lineRule="exact"/>
              <w:ind w:left="155" w:right="149"/>
              <w:jc w:val="center"/>
              <w:rPr>
                <w:sz w:val="12"/>
              </w:rPr>
            </w:pPr>
            <w:r>
              <w:rPr>
                <w:w w:val="105"/>
                <w:sz w:val="12"/>
              </w:rPr>
              <w:t>Vivienda</w:t>
            </w:r>
          </w:p>
        </w:tc>
        <w:tc>
          <w:tcPr>
            <w:tcW w:w="1087" w:type="dxa"/>
          </w:tcPr>
          <w:p>
            <w:pPr>
              <w:pStyle w:val="TableParagraph"/>
              <w:spacing w:line="249" w:lineRule="auto" w:before="78"/>
              <w:ind w:left="33" w:right="20"/>
              <w:jc w:val="center"/>
              <w:rPr>
                <w:b/>
                <w:sz w:val="12"/>
              </w:rPr>
            </w:pPr>
            <w:r>
              <w:rPr>
                <w:b/>
                <w:w w:val="105"/>
                <w:sz w:val="12"/>
              </w:rPr>
              <w:t>Fundación Tutelar Canaria Para la Acción Social, M.P.</w:t>
            </w:r>
          </w:p>
        </w:tc>
        <w:tc>
          <w:tcPr>
            <w:tcW w:w="1212" w:type="dxa"/>
          </w:tcPr>
          <w:p>
            <w:pPr>
              <w:pStyle w:val="TableParagraph"/>
              <w:spacing w:line="249" w:lineRule="auto" w:before="2"/>
              <w:ind w:left="109" w:right="96" w:firstLine="1"/>
              <w:jc w:val="center"/>
              <w:rPr>
                <w:sz w:val="12"/>
              </w:rPr>
            </w:pPr>
            <w:r>
              <w:rPr>
                <w:w w:val="105"/>
                <w:sz w:val="12"/>
              </w:rPr>
              <w:t>11 de abril de</w:t>
            </w:r>
            <w:r>
              <w:rPr>
                <w:spacing w:val="-17"/>
                <w:w w:val="105"/>
                <w:sz w:val="12"/>
              </w:rPr>
              <w:t> </w:t>
            </w:r>
            <w:r>
              <w:rPr>
                <w:w w:val="105"/>
                <w:sz w:val="12"/>
              </w:rPr>
              <w:t>1995 Cambio de denominación el</w:t>
            </w:r>
            <w:r>
              <w:rPr>
                <w:spacing w:val="-21"/>
                <w:w w:val="105"/>
                <w:sz w:val="12"/>
              </w:rPr>
              <w:t> </w:t>
            </w:r>
            <w:r>
              <w:rPr>
                <w:w w:val="105"/>
                <w:sz w:val="12"/>
              </w:rPr>
              <w:t>20</w:t>
            </w:r>
          </w:p>
          <w:p>
            <w:pPr>
              <w:pStyle w:val="TableParagraph"/>
              <w:spacing w:line="127" w:lineRule="exact"/>
              <w:ind w:left="47" w:right="37"/>
              <w:jc w:val="center"/>
              <w:rPr>
                <w:sz w:val="12"/>
              </w:rPr>
            </w:pPr>
            <w:r>
              <w:rPr>
                <w:w w:val="105"/>
                <w:sz w:val="12"/>
              </w:rPr>
              <w:t>de abril de 2020</w:t>
            </w:r>
          </w:p>
        </w:tc>
        <w:tc>
          <w:tcPr>
            <w:tcW w:w="5545" w:type="dxa"/>
          </w:tcPr>
          <w:p>
            <w:pPr>
              <w:pStyle w:val="TableParagraph"/>
              <w:spacing w:line="249" w:lineRule="auto" w:before="78"/>
              <w:ind w:left="56" w:right="136"/>
              <w:rPr>
                <w:sz w:val="12"/>
              </w:rPr>
            </w:pPr>
            <w:r>
              <w:rPr>
                <w:w w:val="105"/>
                <w:sz w:val="12"/>
              </w:rPr>
              <w:t>Desarrollo de actuaciones tendentes a la promoción del bienestar jurídico y social de toda persona o colectivo que presente necesidades sociales, haciendo especial hincapié en los menores y jóvenes con discapacidad psíquica intelectual y/o física o cualquier otra circunstancia que perjudique su aprendizaje.</w:t>
            </w:r>
          </w:p>
        </w:tc>
        <w:tc>
          <w:tcPr>
            <w:tcW w:w="1104" w:type="dxa"/>
          </w:tcPr>
          <w:p>
            <w:pPr>
              <w:pStyle w:val="TableParagraph"/>
              <w:rPr>
                <w:b/>
                <w:sz w:val="12"/>
              </w:rPr>
            </w:pPr>
          </w:p>
          <w:p>
            <w:pPr>
              <w:pStyle w:val="TableParagraph"/>
              <w:spacing w:before="83"/>
              <w:ind w:left="267"/>
              <w:rPr>
                <w:sz w:val="12"/>
              </w:rPr>
            </w:pPr>
            <w:r>
              <w:rPr>
                <w:w w:val="105"/>
                <w:sz w:val="12"/>
              </w:rPr>
              <w:t>152.884,00</w:t>
            </w:r>
          </w:p>
        </w:tc>
        <w:tc>
          <w:tcPr>
            <w:tcW w:w="1421" w:type="dxa"/>
          </w:tcPr>
          <w:p>
            <w:pPr>
              <w:pStyle w:val="TableParagraph"/>
              <w:spacing w:before="8"/>
              <w:rPr>
                <w:b/>
                <w:sz w:val="12"/>
              </w:rPr>
            </w:pPr>
          </w:p>
          <w:p>
            <w:pPr>
              <w:pStyle w:val="TableParagraph"/>
              <w:spacing w:line="247" w:lineRule="auto"/>
              <w:ind w:left="495" w:hanging="252"/>
              <w:rPr>
                <w:sz w:val="12"/>
              </w:rPr>
            </w:pPr>
            <w:r>
              <w:rPr>
                <w:w w:val="105"/>
                <w:sz w:val="12"/>
              </w:rPr>
              <w:t>100% Gobierno de Canarias</w:t>
            </w:r>
          </w:p>
        </w:tc>
      </w:tr>
      <w:tr>
        <w:trPr>
          <w:trHeight w:val="756" w:hRule="atLeast"/>
        </w:trPr>
        <w:tc>
          <w:tcPr>
            <w:tcW w:w="1007" w:type="dxa"/>
          </w:tcPr>
          <w:p>
            <w:pPr>
              <w:pStyle w:val="TableParagraph"/>
              <w:rPr>
                <w:b/>
                <w:sz w:val="12"/>
              </w:rPr>
            </w:pPr>
          </w:p>
          <w:p>
            <w:pPr>
              <w:pStyle w:val="TableParagraph"/>
              <w:spacing w:line="247" w:lineRule="auto" w:before="83"/>
              <w:ind w:left="297" w:hanging="137"/>
              <w:rPr>
                <w:sz w:val="12"/>
              </w:rPr>
            </w:pPr>
            <w:r>
              <w:rPr>
                <w:w w:val="105"/>
                <w:sz w:val="12"/>
              </w:rPr>
              <w:t>Consejería de Turismo</w:t>
            </w:r>
          </w:p>
        </w:tc>
        <w:tc>
          <w:tcPr>
            <w:tcW w:w="1087" w:type="dxa"/>
          </w:tcPr>
          <w:p>
            <w:pPr>
              <w:pStyle w:val="TableParagraph"/>
              <w:spacing w:line="249" w:lineRule="auto" w:before="2"/>
              <w:ind w:left="49" w:right="36"/>
              <w:jc w:val="center"/>
              <w:rPr>
                <w:b/>
                <w:sz w:val="12"/>
              </w:rPr>
            </w:pPr>
            <w:r>
              <w:rPr>
                <w:b/>
                <w:w w:val="105"/>
                <w:sz w:val="12"/>
              </w:rPr>
              <w:t>Fundación Canaria Museo de la Ciencia y la Tecnología de Las</w:t>
            </w:r>
          </w:p>
          <w:p>
            <w:pPr>
              <w:pStyle w:val="TableParagraph"/>
              <w:spacing w:line="125" w:lineRule="exact"/>
              <w:ind w:left="43" w:right="30"/>
              <w:jc w:val="center"/>
              <w:rPr>
                <w:b/>
                <w:sz w:val="12"/>
              </w:rPr>
            </w:pPr>
            <w:r>
              <w:rPr>
                <w:b/>
                <w:w w:val="105"/>
                <w:sz w:val="12"/>
              </w:rPr>
              <w:t>Palmas de G.C.</w:t>
            </w:r>
          </w:p>
        </w:tc>
        <w:tc>
          <w:tcPr>
            <w:tcW w:w="1212" w:type="dxa"/>
          </w:tcPr>
          <w:p>
            <w:pPr>
              <w:pStyle w:val="TableParagraph"/>
              <w:rPr>
                <w:b/>
                <w:sz w:val="12"/>
              </w:rPr>
            </w:pPr>
          </w:p>
          <w:p>
            <w:pPr>
              <w:pStyle w:val="TableParagraph"/>
              <w:spacing w:before="83"/>
              <w:ind w:left="48" w:right="37"/>
              <w:jc w:val="center"/>
              <w:rPr>
                <w:sz w:val="12"/>
              </w:rPr>
            </w:pPr>
            <w:r>
              <w:rPr>
                <w:w w:val="105"/>
                <w:sz w:val="12"/>
              </w:rPr>
              <w:t>1 de diciembre</w:t>
            </w:r>
          </w:p>
          <w:p>
            <w:pPr>
              <w:pStyle w:val="TableParagraph"/>
              <w:spacing w:before="4"/>
              <w:ind w:left="48" w:right="36"/>
              <w:jc w:val="center"/>
              <w:rPr>
                <w:sz w:val="12"/>
              </w:rPr>
            </w:pPr>
            <w:r>
              <w:rPr>
                <w:w w:val="105"/>
                <w:sz w:val="12"/>
              </w:rPr>
              <w:t>1997</w:t>
            </w:r>
          </w:p>
        </w:tc>
        <w:tc>
          <w:tcPr>
            <w:tcW w:w="5545" w:type="dxa"/>
          </w:tcPr>
          <w:p>
            <w:pPr>
              <w:pStyle w:val="TableParagraph"/>
              <w:spacing w:line="249" w:lineRule="auto" w:before="78"/>
              <w:ind w:left="56" w:right="25"/>
              <w:rPr>
                <w:sz w:val="12"/>
              </w:rPr>
            </w:pPr>
            <w:r>
              <w:rPr>
                <w:w w:val="105"/>
                <w:sz w:val="12"/>
              </w:rPr>
              <w:t>Exposiciones temporales, cine 3D, Planetario, área de cetáceos de Canarias y área infantil, cuenta también con espacio para la realización de talleres, mesas redondas, conferencias y actividades empresariales. Su objetivo es ser puente de comunicación con la ciudadanía, al transformar la ciencia en algo cercano, participativo y ameno para todos los públicos.</w:t>
            </w:r>
          </w:p>
        </w:tc>
        <w:tc>
          <w:tcPr>
            <w:tcW w:w="1104" w:type="dxa"/>
          </w:tcPr>
          <w:p>
            <w:pPr>
              <w:pStyle w:val="TableParagraph"/>
              <w:rPr>
                <w:b/>
                <w:sz w:val="12"/>
              </w:rPr>
            </w:pPr>
          </w:p>
          <w:p>
            <w:pPr>
              <w:pStyle w:val="TableParagraph"/>
              <w:rPr>
                <w:b/>
                <w:sz w:val="13"/>
              </w:rPr>
            </w:pPr>
          </w:p>
          <w:p>
            <w:pPr>
              <w:pStyle w:val="TableParagraph"/>
              <w:ind w:left="267"/>
              <w:rPr>
                <w:sz w:val="12"/>
              </w:rPr>
            </w:pPr>
            <w:r>
              <w:rPr>
                <w:w w:val="105"/>
                <w:sz w:val="12"/>
              </w:rPr>
              <w:t>601.012,10</w:t>
            </w:r>
          </w:p>
        </w:tc>
        <w:tc>
          <w:tcPr>
            <w:tcW w:w="1421" w:type="dxa"/>
          </w:tcPr>
          <w:p>
            <w:pPr>
              <w:pStyle w:val="TableParagraph"/>
              <w:rPr>
                <w:b/>
                <w:sz w:val="12"/>
              </w:rPr>
            </w:pPr>
          </w:p>
          <w:p>
            <w:pPr>
              <w:pStyle w:val="TableParagraph"/>
              <w:spacing w:line="247" w:lineRule="auto" w:before="83"/>
              <w:ind w:left="480" w:hanging="237"/>
              <w:rPr>
                <w:sz w:val="12"/>
              </w:rPr>
            </w:pPr>
            <w:r>
              <w:rPr>
                <w:w w:val="105"/>
                <w:sz w:val="12"/>
              </w:rPr>
              <w:t>100% Gobierno de Canarias.</w:t>
            </w:r>
          </w:p>
        </w:tc>
      </w:tr>
      <w:tr>
        <w:trPr>
          <w:trHeight w:val="452" w:hRule="atLeast"/>
        </w:trPr>
        <w:tc>
          <w:tcPr>
            <w:tcW w:w="1007" w:type="dxa"/>
          </w:tcPr>
          <w:p>
            <w:pPr>
              <w:pStyle w:val="TableParagraph"/>
              <w:spacing w:line="247" w:lineRule="auto" w:before="78"/>
              <w:ind w:left="121" w:hanging="62"/>
              <w:rPr>
                <w:sz w:val="12"/>
              </w:rPr>
            </w:pPr>
            <w:r>
              <w:rPr>
                <w:w w:val="105"/>
                <w:sz w:val="12"/>
              </w:rPr>
              <w:t>Viceconsejería de Acción Exterior</w:t>
            </w:r>
          </w:p>
        </w:tc>
        <w:tc>
          <w:tcPr>
            <w:tcW w:w="1087" w:type="dxa"/>
          </w:tcPr>
          <w:p>
            <w:pPr>
              <w:pStyle w:val="TableParagraph"/>
              <w:spacing w:line="247" w:lineRule="auto" w:before="2"/>
              <w:ind w:left="33" w:right="20"/>
              <w:jc w:val="center"/>
              <w:rPr>
                <w:b/>
                <w:sz w:val="12"/>
              </w:rPr>
            </w:pPr>
            <w:r>
              <w:rPr>
                <w:b/>
                <w:w w:val="105"/>
                <w:sz w:val="12"/>
              </w:rPr>
              <w:t>Fundación Canaria Para La Acción</w:t>
            </w:r>
          </w:p>
          <w:p>
            <w:pPr>
              <w:pStyle w:val="TableParagraph"/>
              <w:spacing w:line="127" w:lineRule="exact" w:before="2"/>
              <w:ind w:left="43" w:right="30"/>
              <w:jc w:val="center"/>
              <w:rPr>
                <w:b/>
                <w:sz w:val="12"/>
              </w:rPr>
            </w:pPr>
            <w:r>
              <w:rPr>
                <w:b/>
                <w:w w:val="105"/>
                <w:sz w:val="12"/>
              </w:rPr>
              <w:t>Exterior</w:t>
            </w:r>
          </w:p>
        </w:tc>
        <w:tc>
          <w:tcPr>
            <w:tcW w:w="1212" w:type="dxa"/>
          </w:tcPr>
          <w:p>
            <w:pPr>
              <w:pStyle w:val="TableParagraph"/>
              <w:spacing w:before="78"/>
              <w:ind w:left="48" w:right="37"/>
              <w:jc w:val="center"/>
              <w:rPr>
                <w:sz w:val="12"/>
              </w:rPr>
            </w:pPr>
            <w:r>
              <w:rPr>
                <w:w w:val="105"/>
                <w:sz w:val="12"/>
              </w:rPr>
              <w:t>15 de octubre</w:t>
            </w:r>
          </w:p>
          <w:p>
            <w:pPr>
              <w:pStyle w:val="TableParagraph"/>
              <w:spacing w:before="5"/>
              <w:ind w:left="48" w:right="34"/>
              <w:jc w:val="center"/>
              <w:rPr>
                <w:sz w:val="12"/>
              </w:rPr>
            </w:pPr>
            <w:r>
              <w:rPr>
                <w:w w:val="105"/>
                <w:sz w:val="12"/>
              </w:rPr>
              <w:t>de 2008</w:t>
            </w:r>
          </w:p>
        </w:tc>
        <w:tc>
          <w:tcPr>
            <w:tcW w:w="5545" w:type="dxa"/>
          </w:tcPr>
          <w:p>
            <w:pPr>
              <w:pStyle w:val="TableParagraph"/>
              <w:spacing w:line="247" w:lineRule="auto" w:before="2"/>
              <w:ind w:left="56" w:right="2"/>
              <w:rPr>
                <w:sz w:val="12"/>
              </w:rPr>
            </w:pPr>
            <w:r>
              <w:rPr>
                <w:w w:val="105"/>
                <w:sz w:val="12"/>
              </w:rPr>
              <w:t>El Gobierno de Canarias, consciente del potencial de su acción exterior y de la necesidad de incorporarse plenamente</w:t>
            </w:r>
            <w:r>
              <w:rPr>
                <w:spacing w:val="-8"/>
                <w:w w:val="105"/>
                <w:sz w:val="12"/>
              </w:rPr>
              <w:t> </w:t>
            </w:r>
            <w:r>
              <w:rPr>
                <w:w w:val="105"/>
                <w:sz w:val="12"/>
              </w:rPr>
              <w:t>a</w:t>
            </w:r>
            <w:r>
              <w:rPr>
                <w:spacing w:val="-7"/>
                <w:w w:val="105"/>
                <w:sz w:val="12"/>
              </w:rPr>
              <w:t> </w:t>
            </w:r>
            <w:r>
              <w:rPr>
                <w:w w:val="105"/>
                <w:sz w:val="12"/>
              </w:rPr>
              <w:t>un</w:t>
            </w:r>
            <w:r>
              <w:rPr>
                <w:spacing w:val="-8"/>
                <w:w w:val="105"/>
                <w:sz w:val="12"/>
              </w:rPr>
              <w:t> </w:t>
            </w:r>
            <w:r>
              <w:rPr>
                <w:w w:val="105"/>
                <w:sz w:val="12"/>
              </w:rPr>
              <w:t>mundo</w:t>
            </w:r>
            <w:r>
              <w:rPr>
                <w:spacing w:val="-7"/>
                <w:w w:val="105"/>
                <w:sz w:val="12"/>
              </w:rPr>
              <w:t> </w:t>
            </w:r>
            <w:r>
              <w:rPr>
                <w:w w:val="105"/>
                <w:sz w:val="12"/>
              </w:rPr>
              <w:t>cada</w:t>
            </w:r>
            <w:r>
              <w:rPr>
                <w:spacing w:val="-8"/>
                <w:w w:val="105"/>
                <w:sz w:val="12"/>
              </w:rPr>
              <w:t> </w:t>
            </w:r>
            <w:r>
              <w:rPr>
                <w:w w:val="105"/>
                <w:sz w:val="12"/>
              </w:rPr>
              <w:t>vez</w:t>
            </w:r>
            <w:r>
              <w:rPr>
                <w:spacing w:val="-7"/>
                <w:w w:val="105"/>
                <w:sz w:val="12"/>
              </w:rPr>
              <w:t> </w:t>
            </w:r>
            <w:r>
              <w:rPr>
                <w:w w:val="105"/>
                <w:sz w:val="12"/>
              </w:rPr>
              <w:t>más</w:t>
            </w:r>
            <w:r>
              <w:rPr>
                <w:spacing w:val="-7"/>
                <w:w w:val="105"/>
                <w:sz w:val="12"/>
              </w:rPr>
              <w:t> </w:t>
            </w:r>
            <w:r>
              <w:rPr>
                <w:w w:val="105"/>
                <w:sz w:val="12"/>
              </w:rPr>
              <w:t>globalizado,</w:t>
            </w:r>
            <w:r>
              <w:rPr>
                <w:spacing w:val="-7"/>
                <w:w w:val="105"/>
                <w:sz w:val="12"/>
              </w:rPr>
              <w:t> </w:t>
            </w:r>
            <w:r>
              <w:rPr>
                <w:w w:val="105"/>
                <w:sz w:val="12"/>
              </w:rPr>
              <w:t>trabaja</w:t>
            </w:r>
            <w:r>
              <w:rPr>
                <w:spacing w:val="-7"/>
                <w:w w:val="105"/>
                <w:sz w:val="12"/>
              </w:rPr>
              <w:t> </w:t>
            </w:r>
            <w:r>
              <w:rPr>
                <w:w w:val="105"/>
                <w:sz w:val="12"/>
              </w:rPr>
              <w:t>para</w:t>
            </w:r>
            <w:r>
              <w:rPr>
                <w:spacing w:val="-8"/>
                <w:w w:val="105"/>
                <w:sz w:val="12"/>
              </w:rPr>
              <w:t> </w:t>
            </w:r>
            <w:r>
              <w:rPr>
                <w:w w:val="105"/>
                <w:sz w:val="12"/>
              </w:rPr>
              <w:t>consolidar</w:t>
            </w:r>
            <w:r>
              <w:rPr>
                <w:spacing w:val="-6"/>
                <w:w w:val="105"/>
                <w:sz w:val="12"/>
              </w:rPr>
              <w:t> </w:t>
            </w:r>
            <w:r>
              <w:rPr>
                <w:w w:val="105"/>
                <w:sz w:val="12"/>
              </w:rPr>
              <w:t>una</w:t>
            </w:r>
            <w:r>
              <w:rPr>
                <w:spacing w:val="-8"/>
                <w:w w:val="105"/>
                <w:sz w:val="12"/>
              </w:rPr>
              <w:t> </w:t>
            </w:r>
            <w:r>
              <w:rPr>
                <w:w w:val="105"/>
                <w:sz w:val="12"/>
              </w:rPr>
              <w:t>red</w:t>
            </w:r>
            <w:r>
              <w:rPr>
                <w:spacing w:val="-7"/>
                <w:w w:val="105"/>
                <w:sz w:val="12"/>
              </w:rPr>
              <w:t> </w:t>
            </w:r>
            <w:r>
              <w:rPr>
                <w:w w:val="105"/>
                <w:sz w:val="12"/>
              </w:rPr>
              <w:t>de</w:t>
            </w:r>
            <w:r>
              <w:rPr>
                <w:spacing w:val="-8"/>
                <w:w w:val="105"/>
                <w:sz w:val="12"/>
              </w:rPr>
              <w:t> </w:t>
            </w:r>
            <w:r>
              <w:rPr>
                <w:w w:val="105"/>
                <w:sz w:val="12"/>
              </w:rPr>
              <w:t>relaciones</w:t>
            </w:r>
            <w:r>
              <w:rPr>
                <w:spacing w:val="-6"/>
                <w:w w:val="105"/>
                <w:sz w:val="12"/>
              </w:rPr>
              <w:t> </w:t>
            </w:r>
            <w:r>
              <w:rPr>
                <w:w w:val="105"/>
                <w:sz w:val="12"/>
              </w:rPr>
              <w:t>exteriores</w:t>
            </w:r>
          </w:p>
          <w:p>
            <w:pPr>
              <w:pStyle w:val="TableParagraph"/>
              <w:spacing w:line="127" w:lineRule="exact" w:before="2"/>
              <w:ind w:left="56"/>
              <w:rPr>
                <w:sz w:val="12"/>
              </w:rPr>
            </w:pPr>
            <w:r>
              <w:rPr>
                <w:w w:val="105"/>
                <w:sz w:val="12"/>
              </w:rPr>
              <w:t>que favorezca la proyección de las Islas.</w:t>
            </w:r>
          </w:p>
        </w:tc>
        <w:tc>
          <w:tcPr>
            <w:tcW w:w="1104" w:type="dxa"/>
          </w:tcPr>
          <w:p>
            <w:pPr>
              <w:pStyle w:val="TableParagraph"/>
              <w:spacing w:before="6"/>
              <w:rPr>
                <w:b/>
                <w:sz w:val="12"/>
              </w:rPr>
            </w:pPr>
          </w:p>
          <w:p>
            <w:pPr>
              <w:pStyle w:val="TableParagraph"/>
              <w:ind w:left="299"/>
              <w:rPr>
                <w:sz w:val="12"/>
              </w:rPr>
            </w:pPr>
            <w:r>
              <w:rPr>
                <w:w w:val="105"/>
                <w:sz w:val="12"/>
              </w:rPr>
              <w:t>30.000,00</w:t>
            </w:r>
          </w:p>
        </w:tc>
        <w:tc>
          <w:tcPr>
            <w:tcW w:w="1421" w:type="dxa"/>
          </w:tcPr>
          <w:p>
            <w:pPr>
              <w:pStyle w:val="TableParagraph"/>
              <w:spacing w:line="247" w:lineRule="auto" w:before="78"/>
              <w:ind w:left="495" w:hanging="252"/>
              <w:rPr>
                <w:sz w:val="12"/>
              </w:rPr>
            </w:pPr>
            <w:r>
              <w:rPr>
                <w:w w:val="105"/>
                <w:sz w:val="12"/>
              </w:rPr>
              <w:t>100% Gobierno de Canarias</w:t>
            </w:r>
          </w:p>
        </w:tc>
      </w:tr>
    </w:tbl>
    <w:p>
      <w:pPr>
        <w:pStyle w:val="BodyText"/>
        <w:rPr>
          <w:b/>
        </w:rPr>
      </w:pPr>
    </w:p>
    <w:p>
      <w:pPr>
        <w:pStyle w:val="BodyText"/>
        <w:rPr>
          <w:b/>
        </w:rPr>
      </w:pPr>
    </w:p>
    <w:p>
      <w:pPr>
        <w:pStyle w:val="BodyText"/>
        <w:spacing w:before="3"/>
        <w:rPr>
          <w:b/>
          <w:sz w:val="17"/>
        </w:rPr>
      </w:pPr>
    </w:p>
    <w:p>
      <w:pPr>
        <w:spacing w:before="68"/>
        <w:ind w:left="11517" w:right="1354" w:firstLine="0"/>
        <w:jc w:val="center"/>
        <w:rPr>
          <w:sz w:val="18"/>
        </w:rPr>
      </w:pPr>
      <w:r>
        <w:rPr>
          <w:w w:val="105"/>
          <w:sz w:val="18"/>
        </w:rPr>
        <w:t>202</w:t>
      </w:r>
    </w:p>
    <w:p>
      <w:pPr>
        <w:spacing w:before="10"/>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after="1"/>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37" name="image5.png"/>
                  <wp:cNvGraphicFramePr>
                    <a:graphicFrameLocks noChangeAspect="1"/>
                  </wp:cNvGraphicFramePr>
                  <a:graphic>
                    <a:graphicData uri="http://schemas.openxmlformats.org/drawingml/2006/picture">
                      <pic:pic>
                        <pic:nvPicPr>
                          <pic:cNvPr id="43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204/247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pStyle w:val="BodyText"/>
        <w:rPr>
          <w:b/>
        </w:rPr>
      </w:pPr>
    </w:p>
    <w:p>
      <w:pPr>
        <w:pStyle w:val="BodyText"/>
        <w:spacing w:before="10"/>
        <w:rPr>
          <w:b/>
          <w:sz w:val="15"/>
        </w:rPr>
      </w:pPr>
    </w:p>
    <w:p>
      <w:pPr>
        <w:spacing w:before="69"/>
        <w:ind w:left="2699" w:right="0" w:firstLine="0"/>
        <w:jc w:val="left"/>
        <w:rPr>
          <w:b/>
          <w:sz w:val="18"/>
        </w:rPr>
      </w:pPr>
      <w:r>
        <w:rPr>
          <w:b/>
          <w:color w:val="53A1B9"/>
          <w:w w:val="105"/>
          <w:sz w:val="18"/>
        </w:rPr>
        <w:t>10.18 Anexo XVIII. Incidencias de las relaciones anuales de contratos de las fundaciones.</w:t>
      </w:r>
    </w:p>
    <w:p>
      <w:pPr>
        <w:pStyle w:val="BodyText"/>
        <w:spacing w:before="10"/>
        <w:rPr>
          <w:b/>
          <w:sz w:val="7"/>
        </w:rPr>
      </w:pPr>
    </w:p>
    <w:tbl>
      <w:tblPr>
        <w:tblW w:w="0" w:type="auto"/>
        <w:jc w:val="left"/>
        <w:tblInd w:w="2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7"/>
        <w:gridCol w:w="8448"/>
      </w:tblGrid>
      <w:tr>
        <w:trPr>
          <w:trHeight w:val="487" w:hRule="atLeast"/>
        </w:trPr>
        <w:tc>
          <w:tcPr>
            <w:tcW w:w="1097" w:type="dxa"/>
            <w:shd w:val="clear" w:color="auto" w:fill="DEEAF6"/>
          </w:tcPr>
          <w:p>
            <w:pPr>
              <w:pStyle w:val="TableParagraph"/>
              <w:rPr>
                <w:b/>
                <w:sz w:val="14"/>
              </w:rPr>
            </w:pPr>
          </w:p>
          <w:p>
            <w:pPr>
              <w:pStyle w:val="TableParagraph"/>
              <w:ind w:left="351"/>
              <w:rPr>
                <w:b/>
                <w:sz w:val="12"/>
              </w:rPr>
            </w:pPr>
            <w:r>
              <w:rPr>
                <w:b/>
                <w:w w:val="105"/>
                <w:sz w:val="12"/>
              </w:rPr>
              <w:t>Entidad</w:t>
            </w:r>
          </w:p>
        </w:tc>
        <w:tc>
          <w:tcPr>
            <w:tcW w:w="8448" w:type="dxa"/>
            <w:shd w:val="clear" w:color="auto" w:fill="DEEAF6"/>
          </w:tcPr>
          <w:p>
            <w:pPr>
              <w:pStyle w:val="TableParagraph"/>
              <w:rPr>
                <w:b/>
                <w:sz w:val="14"/>
              </w:rPr>
            </w:pPr>
          </w:p>
          <w:p>
            <w:pPr>
              <w:pStyle w:val="TableParagraph"/>
              <w:ind w:left="3913" w:right="3905"/>
              <w:jc w:val="center"/>
              <w:rPr>
                <w:b/>
                <w:sz w:val="12"/>
              </w:rPr>
            </w:pPr>
            <w:r>
              <w:rPr>
                <w:b/>
                <w:w w:val="105"/>
                <w:sz w:val="12"/>
              </w:rPr>
              <w:t>Incidencias</w:t>
            </w:r>
          </w:p>
        </w:tc>
      </w:tr>
      <w:tr>
        <w:trPr>
          <w:trHeight w:val="439" w:hRule="atLeast"/>
        </w:trPr>
        <w:tc>
          <w:tcPr>
            <w:tcW w:w="1097" w:type="dxa"/>
          </w:tcPr>
          <w:p>
            <w:pPr>
              <w:pStyle w:val="TableParagraph"/>
              <w:spacing w:before="1"/>
              <w:rPr>
                <w:b/>
                <w:sz w:val="12"/>
              </w:rPr>
            </w:pPr>
          </w:p>
          <w:p>
            <w:pPr>
              <w:pStyle w:val="TableParagraph"/>
              <w:ind w:left="54"/>
              <w:rPr>
                <w:sz w:val="12"/>
              </w:rPr>
            </w:pPr>
            <w:r>
              <w:rPr>
                <w:w w:val="105"/>
                <w:sz w:val="12"/>
              </w:rPr>
              <w:t>MUSEO</w:t>
            </w:r>
          </w:p>
        </w:tc>
        <w:tc>
          <w:tcPr>
            <w:tcW w:w="8448" w:type="dxa"/>
          </w:tcPr>
          <w:p>
            <w:pPr>
              <w:pStyle w:val="TableParagraph"/>
              <w:spacing w:before="1"/>
              <w:rPr>
                <w:b/>
                <w:sz w:val="12"/>
              </w:rPr>
            </w:pPr>
          </w:p>
          <w:p>
            <w:pPr>
              <w:pStyle w:val="TableParagraph"/>
              <w:ind w:left="54"/>
              <w:rPr>
                <w:sz w:val="12"/>
              </w:rPr>
            </w:pPr>
            <w:r>
              <w:rPr>
                <w:w w:val="105"/>
                <w:sz w:val="12"/>
              </w:rPr>
              <w:t>Certifica que ha formalizado un solo contrato en el ejercicio, pero en la información del mismo no se aporta el dato de fecha de formalización.</w:t>
            </w:r>
          </w:p>
        </w:tc>
      </w:tr>
      <w:tr>
        <w:trPr>
          <w:trHeight w:val="437" w:hRule="atLeast"/>
        </w:trPr>
        <w:tc>
          <w:tcPr>
            <w:tcW w:w="1097" w:type="dxa"/>
            <w:vMerge w:val="restart"/>
          </w:tcPr>
          <w:p>
            <w:pPr>
              <w:pStyle w:val="TableParagraph"/>
              <w:rPr>
                <w:b/>
                <w:sz w:val="12"/>
              </w:rPr>
            </w:pPr>
          </w:p>
          <w:p>
            <w:pPr>
              <w:pStyle w:val="TableParagraph"/>
              <w:rPr>
                <w:b/>
                <w:sz w:val="12"/>
              </w:rPr>
            </w:pPr>
          </w:p>
          <w:p>
            <w:pPr>
              <w:pStyle w:val="TableParagraph"/>
              <w:spacing w:before="76"/>
              <w:ind w:left="54"/>
              <w:rPr>
                <w:sz w:val="12"/>
              </w:rPr>
            </w:pPr>
            <w:r>
              <w:rPr>
                <w:w w:val="105"/>
                <w:sz w:val="12"/>
              </w:rPr>
              <w:t>ACCIÓN SOCIAL</w:t>
            </w:r>
          </w:p>
        </w:tc>
        <w:tc>
          <w:tcPr>
            <w:tcW w:w="8448" w:type="dxa"/>
          </w:tcPr>
          <w:p>
            <w:pPr>
              <w:pStyle w:val="TableParagraph"/>
              <w:spacing w:before="69"/>
              <w:ind w:left="54"/>
              <w:rPr>
                <w:sz w:val="12"/>
              </w:rPr>
            </w:pPr>
            <w:r>
              <w:rPr>
                <w:w w:val="105"/>
                <w:sz w:val="12"/>
              </w:rPr>
              <w:t>Remite</w:t>
            </w:r>
            <w:r>
              <w:rPr>
                <w:spacing w:val="-5"/>
                <w:w w:val="105"/>
                <w:sz w:val="12"/>
              </w:rPr>
              <w:t> </w:t>
            </w:r>
            <w:r>
              <w:rPr>
                <w:w w:val="105"/>
                <w:sz w:val="12"/>
              </w:rPr>
              <w:t>una</w:t>
            </w:r>
            <w:r>
              <w:rPr>
                <w:spacing w:val="-4"/>
                <w:w w:val="105"/>
                <w:sz w:val="12"/>
              </w:rPr>
              <w:t> </w:t>
            </w:r>
            <w:r>
              <w:rPr>
                <w:w w:val="105"/>
                <w:sz w:val="12"/>
              </w:rPr>
              <w:t>relación</w:t>
            </w:r>
            <w:r>
              <w:rPr>
                <w:spacing w:val="-4"/>
                <w:w w:val="105"/>
                <w:sz w:val="12"/>
              </w:rPr>
              <w:t> </w:t>
            </w:r>
            <w:r>
              <w:rPr>
                <w:w w:val="105"/>
                <w:sz w:val="12"/>
              </w:rPr>
              <w:t>de</w:t>
            </w:r>
            <w:r>
              <w:rPr>
                <w:spacing w:val="-5"/>
                <w:w w:val="105"/>
                <w:sz w:val="12"/>
              </w:rPr>
              <w:t> </w:t>
            </w:r>
            <w:r>
              <w:rPr>
                <w:w w:val="105"/>
                <w:sz w:val="12"/>
              </w:rPr>
              <w:t>contratos</w:t>
            </w:r>
            <w:r>
              <w:rPr>
                <w:spacing w:val="-4"/>
                <w:w w:val="105"/>
                <w:sz w:val="12"/>
              </w:rPr>
              <w:t> </w:t>
            </w:r>
            <w:r>
              <w:rPr>
                <w:w w:val="105"/>
                <w:sz w:val="12"/>
              </w:rPr>
              <w:t>que</w:t>
            </w:r>
            <w:r>
              <w:rPr>
                <w:spacing w:val="-3"/>
                <w:w w:val="105"/>
                <w:sz w:val="12"/>
              </w:rPr>
              <w:t> </w:t>
            </w:r>
            <w:r>
              <w:rPr>
                <w:w w:val="105"/>
                <w:sz w:val="12"/>
              </w:rPr>
              <w:t>contiene</w:t>
            </w:r>
            <w:r>
              <w:rPr>
                <w:spacing w:val="-5"/>
                <w:w w:val="105"/>
                <w:sz w:val="12"/>
              </w:rPr>
              <w:t> </w:t>
            </w:r>
            <w:r>
              <w:rPr>
                <w:w w:val="105"/>
                <w:sz w:val="12"/>
              </w:rPr>
              <w:t>el</w:t>
            </w:r>
            <w:r>
              <w:rPr>
                <w:spacing w:val="-5"/>
                <w:w w:val="105"/>
                <w:sz w:val="12"/>
              </w:rPr>
              <w:t> </w:t>
            </w:r>
            <w:r>
              <w:rPr>
                <w:w w:val="105"/>
                <w:sz w:val="12"/>
              </w:rPr>
              <w:t>campo</w:t>
            </w:r>
            <w:r>
              <w:rPr>
                <w:spacing w:val="-5"/>
                <w:w w:val="105"/>
                <w:sz w:val="12"/>
              </w:rPr>
              <w:t> </w:t>
            </w:r>
            <w:r>
              <w:rPr>
                <w:w w:val="105"/>
                <w:sz w:val="12"/>
              </w:rPr>
              <w:t>fecha</w:t>
            </w:r>
            <w:r>
              <w:rPr>
                <w:spacing w:val="-4"/>
                <w:w w:val="105"/>
                <w:sz w:val="12"/>
              </w:rPr>
              <w:t> </w:t>
            </w:r>
            <w:r>
              <w:rPr>
                <w:w w:val="105"/>
                <w:sz w:val="12"/>
              </w:rPr>
              <w:t>de</w:t>
            </w:r>
            <w:r>
              <w:rPr>
                <w:spacing w:val="-5"/>
                <w:w w:val="105"/>
                <w:sz w:val="12"/>
              </w:rPr>
              <w:t> </w:t>
            </w:r>
            <w:r>
              <w:rPr>
                <w:w w:val="105"/>
                <w:sz w:val="12"/>
              </w:rPr>
              <w:t>formalización</w:t>
            </w:r>
            <w:r>
              <w:rPr>
                <w:spacing w:val="-4"/>
                <w:w w:val="105"/>
                <w:sz w:val="12"/>
              </w:rPr>
              <w:t> </w:t>
            </w:r>
            <w:r>
              <w:rPr>
                <w:w w:val="105"/>
                <w:sz w:val="12"/>
              </w:rPr>
              <w:t>y</w:t>
            </w:r>
            <w:r>
              <w:rPr>
                <w:spacing w:val="-4"/>
                <w:w w:val="105"/>
                <w:sz w:val="12"/>
              </w:rPr>
              <w:t> </w:t>
            </w:r>
            <w:r>
              <w:rPr>
                <w:w w:val="105"/>
                <w:sz w:val="12"/>
              </w:rPr>
              <w:t>una</w:t>
            </w:r>
            <w:r>
              <w:rPr>
                <w:spacing w:val="-4"/>
                <w:w w:val="105"/>
                <w:sz w:val="12"/>
              </w:rPr>
              <w:t> </w:t>
            </w:r>
            <w:r>
              <w:rPr>
                <w:w w:val="105"/>
                <w:sz w:val="12"/>
              </w:rPr>
              <w:t>copia</w:t>
            </w:r>
            <w:r>
              <w:rPr>
                <w:spacing w:val="-4"/>
                <w:w w:val="105"/>
                <w:sz w:val="12"/>
              </w:rPr>
              <w:t> </w:t>
            </w:r>
            <w:r>
              <w:rPr>
                <w:w w:val="105"/>
                <w:sz w:val="12"/>
              </w:rPr>
              <w:t>de</w:t>
            </w:r>
            <w:r>
              <w:rPr>
                <w:spacing w:val="-5"/>
                <w:w w:val="105"/>
                <w:sz w:val="12"/>
              </w:rPr>
              <w:t> </w:t>
            </w:r>
            <w:r>
              <w:rPr>
                <w:w w:val="105"/>
                <w:sz w:val="12"/>
              </w:rPr>
              <w:t>cada</w:t>
            </w:r>
            <w:r>
              <w:rPr>
                <w:spacing w:val="-5"/>
                <w:w w:val="105"/>
                <w:sz w:val="12"/>
              </w:rPr>
              <w:t> </w:t>
            </w:r>
            <w:r>
              <w:rPr>
                <w:w w:val="105"/>
                <w:sz w:val="12"/>
              </w:rPr>
              <w:t>uno</w:t>
            </w:r>
            <w:r>
              <w:rPr>
                <w:spacing w:val="-4"/>
                <w:w w:val="105"/>
                <w:sz w:val="12"/>
              </w:rPr>
              <w:t> </w:t>
            </w:r>
            <w:r>
              <w:rPr>
                <w:w w:val="105"/>
                <w:sz w:val="12"/>
              </w:rPr>
              <w:t>de</w:t>
            </w:r>
            <w:r>
              <w:rPr>
                <w:spacing w:val="-5"/>
                <w:w w:val="105"/>
                <w:sz w:val="12"/>
              </w:rPr>
              <w:t> </w:t>
            </w:r>
            <w:r>
              <w:rPr>
                <w:w w:val="105"/>
                <w:sz w:val="12"/>
              </w:rPr>
              <w:t>los</w:t>
            </w:r>
            <w:r>
              <w:rPr>
                <w:spacing w:val="-5"/>
                <w:w w:val="105"/>
                <w:sz w:val="12"/>
              </w:rPr>
              <w:t> </w:t>
            </w:r>
            <w:r>
              <w:rPr>
                <w:w w:val="105"/>
                <w:sz w:val="12"/>
              </w:rPr>
              <w:t>11</w:t>
            </w:r>
            <w:r>
              <w:rPr>
                <w:spacing w:val="-4"/>
                <w:w w:val="105"/>
                <w:sz w:val="12"/>
              </w:rPr>
              <w:t> </w:t>
            </w:r>
            <w:r>
              <w:rPr>
                <w:w w:val="105"/>
                <w:sz w:val="12"/>
              </w:rPr>
              <w:t>contratos</w:t>
            </w:r>
            <w:r>
              <w:rPr>
                <w:spacing w:val="-4"/>
                <w:w w:val="105"/>
                <w:sz w:val="12"/>
              </w:rPr>
              <w:t> </w:t>
            </w:r>
            <w:r>
              <w:rPr>
                <w:w w:val="105"/>
                <w:sz w:val="12"/>
              </w:rPr>
              <w:t>celebrados</w:t>
            </w:r>
            <w:r>
              <w:rPr>
                <w:spacing w:val="-4"/>
                <w:w w:val="105"/>
                <w:sz w:val="12"/>
              </w:rPr>
              <w:t> </w:t>
            </w:r>
            <w:r>
              <w:rPr>
                <w:w w:val="105"/>
                <w:sz w:val="12"/>
              </w:rPr>
              <w:t>en</w:t>
            </w:r>
            <w:r>
              <w:rPr>
                <w:spacing w:val="-4"/>
                <w:w w:val="105"/>
                <w:sz w:val="12"/>
              </w:rPr>
              <w:t> </w:t>
            </w:r>
            <w:r>
              <w:rPr>
                <w:w w:val="105"/>
                <w:sz w:val="12"/>
              </w:rPr>
              <w:t>el</w:t>
            </w:r>
            <w:r>
              <w:rPr>
                <w:spacing w:val="-5"/>
                <w:w w:val="105"/>
                <w:sz w:val="12"/>
              </w:rPr>
              <w:t> </w:t>
            </w:r>
            <w:r>
              <w:rPr>
                <w:w w:val="105"/>
                <w:sz w:val="12"/>
              </w:rPr>
              <w:t>ejercicio.</w:t>
            </w:r>
            <w:r>
              <w:rPr>
                <w:spacing w:val="-4"/>
                <w:w w:val="105"/>
                <w:sz w:val="12"/>
              </w:rPr>
              <w:t> </w:t>
            </w:r>
            <w:r>
              <w:rPr>
                <w:w w:val="105"/>
                <w:sz w:val="12"/>
              </w:rPr>
              <w:t>Sin</w:t>
            </w:r>
            <w:r>
              <w:rPr>
                <w:spacing w:val="-4"/>
                <w:w w:val="105"/>
                <w:sz w:val="12"/>
              </w:rPr>
              <w:t> </w:t>
            </w:r>
            <w:r>
              <w:rPr>
                <w:w w:val="105"/>
                <w:sz w:val="12"/>
              </w:rPr>
              <w:t>embargo,</w:t>
            </w:r>
          </w:p>
          <w:p>
            <w:pPr>
              <w:pStyle w:val="TableParagraph"/>
              <w:spacing w:before="6"/>
              <w:ind w:left="54"/>
              <w:rPr>
                <w:sz w:val="12"/>
              </w:rPr>
            </w:pPr>
            <w:r>
              <w:rPr>
                <w:w w:val="105"/>
                <w:sz w:val="12"/>
              </w:rPr>
              <w:t>una de las columnas de la relación clasifica los contratos como “privados”.</w:t>
            </w:r>
          </w:p>
        </w:tc>
      </w:tr>
      <w:tr>
        <w:trPr>
          <w:trHeight w:val="437" w:hRule="atLeast"/>
        </w:trPr>
        <w:tc>
          <w:tcPr>
            <w:tcW w:w="1097" w:type="dxa"/>
            <w:vMerge/>
            <w:tcBorders>
              <w:top w:val="nil"/>
            </w:tcBorders>
          </w:tcPr>
          <w:p>
            <w:pPr>
              <w:rPr>
                <w:sz w:val="2"/>
                <w:szCs w:val="2"/>
              </w:rPr>
            </w:pPr>
          </w:p>
        </w:tc>
        <w:tc>
          <w:tcPr>
            <w:tcW w:w="8448" w:type="dxa"/>
          </w:tcPr>
          <w:p>
            <w:pPr>
              <w:pStyle w:val="TableParagraph"/>
              <w:rPr>
                <w:b/>
                <w:sz w:val="12"/>
              </w:rPr>
            </w:pPr>
          </w:p>
          <w:p>
            <w:pPr>
              <w:pStyle w:val="TableParagraph"/>
              <w:spacing w:before="1"/>
              <w:ind w:left="54"/>
              <w:rPr>
                <w:sz w:val="12"/>
              </w:rPr>
            </w:pPr>
            <w:r>
              <w:rPr>
                <w:w w:val="105"/>
                <w:sz w:val="12"/>
              </w:rPr>
              <w:t>Hay un contrato que tiene como fecha de formalización el 8/08/2024. Pero, en la copia del contrato remitida aparece como fecha el 8/08/2022.</w:t>
            </w:r>
          </w:p>
        </w:tc>
      </w:tr>
      <w:tr>
        <w:trPr>
          <w:trHeight w:val="439" w:hRule="atLeast"/>
        </w:trPr>
        <w:tc>
          <w:tcPr>
            <w:tcW w:w="1097" w:type="dxa"/>
          </w:tcPr>
          <w:p>
            <w:pPr>
              <w:pStyle w:val="TableParagraph"/>
              <w:rPr>
                <w:b/>
                <w:sz w:val="12"/>
              </w:rPr>
            </w:pPr>
          </w:p>
          <w:p>
            <w:pPr>
              <w:pStyle w:val="TableParagraph"/>
              <w:spacing w:before="1"/>
              <w:ind w:left="54"/>
              <w:rPr>
                <w:sz w:val="12"/>
              </w:rPr>
            </w:pPr>
            <w:r>
              <w:rPr>
                <w:w w:val="105"/>
                <w:sz w:val="12"/>
              </w:rPr>
              <w:t>FUNCATRA</w:t>
            </w:r>
          </w:p>
        </w:tc>
        <w:tc>
          <w:tcPr>
            <w:tcW w:w="8448" w:type="dxa"/>
          </w:tcPr>
          <w:p>
            <w:pPr>
              <w:pStyle w:val="TableParagraph"/>
              <w:rPr>
                <w:b/>
                <w:sz w:val="12"/>
              </w:rPr>
            </w:pPr>
          </w:p>
          <w:p>
            <w:pPr>
              <w:pStyle w:val="TableParagraph"/>
              <w:spacing w:before="1"/>
              <w:ind w:left="54"/>
              <w:rPr>
                <w:sz w:val="12"/>
              </w:rPr>
            </w:pPr>
            <w:r>
              <w:rPr>
                <w:w w:val="105"/>
                <w:sz w:val="12"/>
              </w:rPr>
              <w:t>Se incluyen dos registros con fecha 04/01/2023.</w:t>
            </w:r>
          </w:p>
        </w:tc>
      </w:tr>
      <w:tr>
        <w:trPr>
          <w:trHeight w:val="437" w:hRule="atLeast"/>
        </w:trPr>
        <w:tc>
          <w:tcPr>
            <w:tcW w:w="1097" w:type="dxa"/>
          </w:tcPr>
          <w:p>
            <w:pPr>
              <w:pStyle w:val="TableParagraph"/>
              <w:spacing w:before="11"/>
              <w:rPr>
                <w:b/>
                <w:sz w:val="11"/>
              </w:rPr>
            </w:pPr>
          </w:p>
          <w:p>
            <w:pPr>
              <w:pStyle w:val="TableParagraph"/>
              <w:ind w:left="54"/>
              <w:rPr>
                <w:sz w:val="12"/>
              </w:rPr>
            </w:pPr>
            <w:r>
              <w:rPr>
                <w:w w:val="105"/>
                <w:sz w:val="12"/>
              </w:rPr>
              <w:t>IDEO</w:t>
            </w:r>
          </w:p>
        </w:tc>
        <w:tc>
          <w:tcPr>
            <w:tcW w:w="8448" w:type="dxa"/>
          </w:tcPr>
          <w:p>
            <w:pPr>
              <w:pStyle w:val="TableParagraph"/>
              <w:spacing w:before="11"/>
              <w:rPr>
                <w:b/>
                <w:sz w:val="11"/>
              </w:rPr>
            </w:pPr>
          </w:p>
          <w:p>
            <w:pPr>
              <w:pStyle w:val="TableParagraph"/>
              <w:ind w:left="54"/>
              <w:rPr>
                <w:sz w:val="12"/>
              </w:rPr>
            </w:pPr>
            <w:r>
              <w:rPr>
                <w:w w:val="105"/>
                <w:sz w:val="12"/>
              </w:rPr>
              <w:t>Un contrato de servicios por importe de 21.286,60€ y de fecha 02/06/2022 supera el límite de la LCSP para los contratos menores.</w:t>
            </w:r>
          </w:p>
        </w:tc>
      </w:tr>
      <w:tr>
        <w:trPr>
          <w:trHeight w:val="439" w:hRule="atLeast"/>
        </w:trPr>
        <w:tc>
          <w:tcPr>
            <w:tcW w:w="1097" w:type="dxa"/>
          </w:tcPr>
          <w:p>
            <w:pPr>
              <w:pStyle w:val="TableParagraph"/>
              <w:spacing w:before="1"/>
              <w:rPr>
                <w:b/>
                <w:sz w:val="12"/>
              </w:rPr>
            </w:pPr>
          </w:p>
          <w:p>
            <w:pPr>
              <w:pStyle w:val="TableParagraph"/>
              <w:ind w:left="54"/>
              <w:rPr>
                <w:sz w:val="12"/>
              </w:rPr>
            </w:pPr>
            <w:r>
              <w:rPr>
                <w:w w:val="105"/>
                <w:sz w:val="12"/>
              </w:rPr>
              <w:t>FUCAS</w:t>
            </w:r>
          </w:p>
        </w:tc>
        <w:tc>
          <w:tcPr>
            <w:tcW w:w="8448" w:type="dxa"/>
          </w:tcPr>
          <w:p>
            <w:pPr>
              <w:pStyle w:val="TableParagraph"/>
              <w:spacing w:before="1"/>
              <w:rPr>
                <w:b/>
                <w:sz w:val="12"/>
              </w:rPr>
            </w:pPr>
          </w:p>
          <w:p>
            <w:pPr>
              <w:pStyle w:val="TableParagraph"/>
              <w:ind w:left="54"/>
              <w:rPr>
                <w:sz w:val="12"/>
              </w:rPr>
            </w:pPr>
            <w:r>
              <w:rPr>
                <w:w w:val="105"/>
                <w:sz w:val="12"/>
              </w:rPr>
              <w:t>No figura la fecha de adjudicación de los contratos.</w:t>
            </w:r>
          </w:p>
        </w:tc>
      </w:tr>
      <w:tr>
        <w:trPr>
          <w:trHeight w:val="437" w:hRule="atLeast"/>
        </w:trPr>
        <w:tc>
          <w:tcPr>
            <w:tcW w:w="1097" w:type="dxa"/>
          </w:tcPr>
          <w:p>
            <w:pPr>
              <w:pStyle w:val="TableParagraph"/>
              <w:spacing w:before="11"/>
              <w:rPr>
                <w:b/>
                <w:sz w:val="11"/>
              </w:rPr>
            </w:pPr>
          </w:p>
          <w:p>
            <w:pPr>
              <w:pStyle w:val="TableParagraph"/>
              <w:ind w:left="54"/>
              <w:rPr>
                <w:sz w:val="12"/>
              </w:rPr>
            </w:pPr>
            <w:r>
              <w:rPr>
                <w:w w:val="105"/>
                <w:sz w:val="12"/>
              </w:rPr>
              <w:t>FUCAEX</w:t>
            </w:r>
          </w:p>
        </w:tc>
        <w:tc>
          <w:tcPr>
            <w:tcW w:w="8448" w:type="dxa"/>
          </w:tcPr>
          <w:p>
            <w:pPr>
              <w:pStyle w:val="TableParagraph"/>
              <w:spacing w:line="247" w:lineRule="auto" w:before="71"/>
              <w:ind w:left="54"/>
              <w:rPr>
                <w:sz w:val="12"/>
              </w:rPr>
            </w:pPr>
            <w:r>
              <w:rPr>
                <w:w w:val="105"/>
                <w:sz w:val="12"/>
              </w:rPr>
              <w:t>No</w:t>
            </w:r>
            <w:r>
              <w:rPr>
                <w:spacing w:val="-7"/>
                <w:w w:val="105"/>
                <w:sz w:val="12"/>
              </w:rPr>
              <w:t> </w:t>
            </w:r>
            <w:r>
              <w:rPr>
                <w:w w:val="105"/>
                <w:sz w:val="12"/>
              </w:rPr>
              <w:t>figura</w:t>
            </w:r>
            <w:r>
              <w:rPr>
                <w:spacing w:val="-6"/>
                <w:w w:val="105"/>
                <w:sz w:val="12"/>
              </w:rPr>
              <w:t> </w:t>
            </w:r>
            <w:r>
              <w:rPr>
                <w:w w:val="105"/>
                <w:sz w:val="12"/>
              </w:rPr>
              <w:t>la</w:t>
            </w:r>
            <w:r>
              <w:rPr>
                <w:spacing w:val="-6"/>
                <w:w w:val="105"/>
                <w:sz w:val="12"/>
              </w:rPr>
              <w:t> </w:t>
            </w:r>
            <w:r>
              <w:rPr>
                <w:w w:val="105"/>
                <w:sz w:val="12"/>
              </w:rPr>
              <w:t>fecha</w:t>
            </w:r>
            <w:r>
              <w:rPr>
                <w:spacing w:val="-6"/>
                <w:w w:val="105"/>
                <w:sz w:val="12"/>
              </w:rPr>
              <w:t> </w:t>
            </w:r>
            <w:r>
              <w:rPr>
                <w:w w:val="105"/>
                <w:sz w:val="12"/>
              </w:rPr>
              <w:t>de</w:t>
            </w:r>
            <w:r>
              <w:rPr>
                <w:spacing w:val="-6"/>
                <w:w w:val="105"/>
                <w:sz w:val="12"/>
              </w:rPr>
              <w:t> </w:t>
            </w:r>
            <w:r>
              <w:rPr>
                <w:w w:val="105"/>
                <w:sz w:val="12"/>
              </w:rPr>
              <w:t>adjudicación</w:t>
            </w:r>
            <w:r>
              <w:rPr>
                <w:spacing w:val="-7"/>
                <w:w w:val="105"/>
                <w:sz w:val="12"/>
              </w:rPr>
              <w:t> </w:t>
            </w:r>
            <w:r>
              <w:rPr>
                <w:w w:val="105"/>
                <w:sz w:val="12"/>
              </w:rPr>
              <w:t>del</w:t>
            </w:r>
            <w:r>
              <w:rPr>
                <w:spacing w:val="-4"/>
                <w:w w:val="105"/>
                <w:sz w:val="12"/>
              </w:rPr>
              <w:t> </w:t>
            </w:r>
            <w:r>
              <w:rPr>
                <w:w w:val="105"/>
                <w:sz w:val="12"/>
              </w:rPr>
              <w:t>contrato.</w:t>
            </w:r>
            <w:r>
              <w:rPr>
                <w:spacing w:val="-5"/>
                <w:w w:val="105"/>
                <w:sz w:val="12"/>
              </w:rPr>
              <w:t> </w:t>
            </w:r>
            <w:r>
              <w:rPr>
                <w:w w:val="105"/>
                <w:sz w:val="12"/>
              </w:rPr>
              <w:t>Se</w:t>
            </w:r>
            <w:r>
              <w:rPr>
                <w:spacing w:val="-6"/>
                <w:w w:val="105"/>
                <w:sz w:val="12"/>
              </w:rPr>
              <w:t> </w:t>
            </w:r>
            <w:r>
              <w:rPr>
                <w:w w:val="105"/>
                <w:sz w:val="12"/>
              </w:rPr>
              <w:t>hace</w:t>
            </w:r>
            <w:r>
              <w:rPr>
                <w:spacing w:val="-6"/>
                <w:w w:val="105"/>
                <w:sz w:val="12"/>
              </w:rPr>
              <w:t> </w:t>
            </w:r>
            <w:r>
              <w:rPr>
                <w:w w:val="105"/>
                <w:sz w:val="12"/>
              </w:rPr>
              <w:t>referencia</w:t>
            </w:r>
            <w:r>
              <w:rPr>
                <w:spacing w:val="-6"/>
                <w:w w:val="105"/>
                <w:sz w:val="12"/>
              </w:rPr>
              <w:t> </w:t>
            </w:r>
            <w:r>
              <w:rPr>
                <w:w w:val="105"/>
                <w:sz w:val="12"/>
              </w:rPr>
              <w:t>a</w:t>
            </w:r>
            <w:r>
              <w:rPr>
                <w:spacing w:val="-6"/>
                <w:w w:val="105"/>
                <w:sz w:val="12"/>
              </w:rPr>
              <w:t> </w:t>
            </w:r>
            <w:r>
              <w:rPr>
                <w:w w:val="105"/>
                <w:sz w:val="12"/>
              </w:rPr>
              <w:t>la</w:t>
            </w:r>
            <w:r>
              <w:rPr>
                <w:spacing w:val="-7"/>
                <w:w w:val="105"/>
                <w:sz w:val="12"/>
              </w:rPr>
              <w:t> </w:t>
            </w:r>
            <w:r>
              <w:rPr>
                <w:w w:val="105"/>
                <w:sz w:val="12"/>
              </w:rPr>
              <w:t>fecha</w:t>
            </w:r>
            <w:r>
              <w:rPr>
                <w:spacing w:val="-6"/>
                <w:w w:val="105"/>
                <w:sz w:val="12"/>
              </w:rPr>
              <w:t> </w:t>
            </w:r>
            <w:r>
              <w:rPr>
                <w:w w:val="105"/>
                <w:sz w:val="12"/>
              </w:rPr>
              <w:t>de</w:t>
            </w:r>
            <w:r>
              <w:rPr>
                <w:spacing w:val="-6"/>
                <w:w w:val="105"/>
                <w:sz w:val="12"/>
              </w:rPr>
              <w:t> </w:t>
            </w:r>
            <w:r>
              <w:rPr>
                <w:w w:val="105"/>
                <w:sz w:val="12"/>
              </w:rPr>
              <w:t>aprobación</w:t>
            </w:r>
            <w:r>
              <w:rPr>
                <w:spacing w:val="-6"/>
                <w:w w:val="105"/>
                <w:sz w:val="12"/>
              </w:rPr>
              <w:t> </w:t>
            </w:r>
            <w:r>
              <w:rPr>
                <w:w w:val="105"/>
                <w:sz w:val="12"/>
              </w:rPr>
              <w:t>del</w:t>
            </w:r>
            <w:r>
              <w:rPr>
                <w:spacing w:val="-6"/>
                <w:w w:val="105"/>
                <w:sz w:val="12"/>
              </w:rPr>
              <w:t> </w:t>
            </w:r>
            <w:r>
              <w:rPr>
                <w:w w:val="105"/>
                <w:sz w:val="12"/>
              </w:rPr>
              <w:t>gasto,</w:t>
            </w:r>
            <w:r>
              <w:rPr>
                <w:spacing w:val="-6"/>
                <w:w w:val="105"/>
                <w:sz w:val="12"/>
              </w:rPr>
              <w:t> </w:t>
            </w:r>
            <w:r>
              <w:rPr>
                <w:w w:val="105"/>
                <w:sz w:val="12"/>
              </w:rPr>
              <w:t>atendiendo</w:t>
            </w:r>
            <w:r>
              <w:rPr>
                <w:spacing w:val="-6"/>
                <w:w w:val="105"/>
                <w:sz w:val="12"/>
              </w:rPr>
              <w:t> </w:t>
            </w:r>
            <w:r>
              <w:rPr>
                <w:w w:val="105"/>
                <w:sz w:val="12"/>
              </w:rPr>
              <w:t>a</w:t>
            </w:r>
            <w:r>
              <w:rPr>
                <w:spacing w:val="-6"/>
                <w:w w:val="105"/>
                <w:sz w:val="12"/>
              </w:rPr>
              <w:t> </w:t>
            </w:r>
            <w:r>
              <w:rPr>
                <w:w w:val="105"/>
                <w:sz w:val="12"/>
              </w:rPr>
              <w:t>este</w:t>
            </w:r>
            <w:r>
              <w:rPr>
                <w:spacing w:val="-6"/>
                <w:w w:val="105"/>
                <w:sz w:val="12"/>
              </w:rPr>
              <w:t> </w:t>
            </w:r>
            <w:r>
              <w:rPr>
                <w:w w:val="105"/>
                <w:sz w:val="12"/>
              </w:rPr>
              <w:t>criterio</w:t>
            </w:r>
            <w:r>
              <w:rPr>
                <w:spacing w:val="-6"/>
                <w:w w:val="105"/>
                <w:sz w:val="12"/>
              </w:rPr>
              <w:t> </w:t>
            </w:r>
            <w:r>
              <w:rPr>
                <w:w w:val="105"/>
                <w:sz w:val="12"/>
              </w:rPr>
              <w:t>8</w:t>
            </w:r>
            <w:r>
              <w:rPr>
                <w:spacing w:val="-6"/>
                <w:w w:val="105"/>
                <w:sz w:val="12"/>
              </w:rPr>
              <w:t> </w:t>
            </w:r>
            <w:r>
              <w:rPr>
                <w:w w:val="105"/>
                <w:sz w:val="12"/>
              </w:rPr>
              <w:t>contratos</w:t>
            </w:r>
            <w:r>
              <w:rPr>
                <w:spacing w:val="-7"/>
                <w:w w:val="105"/>
                <w:sz w:val="12"/>
              </w:rPr>
              <w:t> </w:t>
            </w:r>
            <w:r>
              <w:rPr>
                <w:w w:val="105"/>
                <w:sz w:val="12"/>
              </w:rPr>
              <w:t>son</w:t>
            </w:r>
            <w:r>
              <w:rPr>
                <w:spacing w:val="-6"/>
                <w:w w:val="105"/>
                <w:sz w:val="12"/>
              </w:rPr>
              <w:t> </w:t>
            </w:r>
            <w:r>
              <w:rPr>
                <w:w w:val="105"/>
                <w:sz w:val="12"/>
              </w:rPr>
              <w:t>anteriores</w:t>
            </w:r>
            <w:r>
              <w:rPr>
                <w:spacing w:val="-6"/>
                <w:w w:val="105"/>
                <w:sz w:val="12"/>
              </w:rPr>
              <w:t> </w:t>
            </w:r>
            <w:r>
              <w:rPr>
                <w:w w:val="105"/>
                <w:sz w:val="12"/>
              </w:rPr>
              <w:t>al</w:t>
            </w:r>
            <w:r>
              <w:rPr>
                <w:spacing w:val="-6"/>
                <w:w w:val="105"/>
                <w:sz w:val="12"/>
              </w:rPr>
              <w:t> </w:t>
            </w:r>
            <w:r>
              <w:rPr>
                <w:w w:val="105"/>
                <w:sz w:val="12"/>
              </w:rPr>
              <w:t>2022</w:t>
            </w:r>
            <w:r>
              <w:rPr>
                <w:spacing w:val="-6"/>
                <w:w w:val="105"/>
                <w:sz w:val="12"/>
              </w:rPr>
              <w:t> </w:t>
            </w:r>
            <w:r>
              <w:rPr>
                <w:w w:val="105"/>
                <w:sz w:val="12"/>
              </w:rPr>
              <w:t>(1 contrato de 2004, 3 de 2009, 1 de 2010, 1 de 2014 y 2 de</w:t>
            </w:r>
            <w:r>
              <w:rPr>
                <w:spacing w:val="-21"/>
                <w:w w:val="105"/>
                <w:sz w:val="12"/>
              </w:rPr>
              <w:t> </w:t>
            </w:r>
            <w:r>
              <w:rPr>
                <w:w w:val="105"/>
                <w:sz w:val="12"/>
              </w:rPr>
              <w:t>2019).</w:t>
            </w:r>
          </w:p>
        </w:tc>
      </w:tr>
      <w:tr>
        <w:trPr>
          <w:trHeight w:val="230" w:hRule="atLeast"/>
        </w:trPr>
        <w:tc>
          <w:tcPr>
            <w:tcW w:w="1097" w:type="dxa"/>
          </w:tcPr>
          <w:p>
            <w:pPr>
              <w:pStyle w:val="TableParagraph"/>
              <w:spacing w:before="43"/>
              <w:ind w:left="54"/>
              <w:rPr>
                <w:sz w:val="12"/>
              </w:rPr>
            </w:pPr>
            <w:r>
              <w:rPr>
                <w:w w:val="105"/>
                <w:sz w:val="12"/>
              </w:rPr>
              <w:t>FIISC</w:t>
            </w:r>
          </w:p>
        </w:tc>
        <w:tc>
          <w:tcPr>
            <w:tcW w:w="8448" w:type="dxa"/>
          </w:tcPr>
          <w:p>
            <w:pPr>
              <w:pStyle w:val="TableParagraph"/>
              <w:spacing w:before="43"/>
              <w:ind w:left="54"/>
              <w:rPr>
                <w:sz w:val="12"/>
              </w:rPr>
            </w:pPr>
            <w:r>
              <w:rPr>
                <w:w w:val="105"/>
                <w:sz w:val="12"/>
              </w:rPr>
              <w:t>El documento que incluye la relación de contratos menores tiene un total de 16 contratos, solo 1 no supera el límite fijado en la LCSP.</w:t>
            </w:r>
          </w:p>
        </w:tc>
      </w:tr>
    </w:tbl>
    <w:p>
      <w:pPr>
        <w:pStyle w:val="BodyText"/>
        <w:rPr>
          <w:b/>
        </w:rPr>
      </w:pPr>
    </w:p>
    <w:p>
      <w:pPr>
        <w:pStyle w:val="BodyText"/>
        <w:rPr>
          <w:b/>
        </w:rPr>
      </w:pPr>
    </w:p>
    <w:p>
      <w:pPr>
        <w:pStyle w:val="BodyText"/>
        <w:rPr>
          <w:b/>
        </w:rPr>
      </w:pPr>
    </w:p>
    <w:p>
      <w:pPr>
        <w:pStyle w:val="BodyText"/>
        <w:spacing w:before="2"/>
        <w:rPr>
          <w:b/>
          <w:sz w:val="29"/>
        </w:rPr>
      </w:pPr>
    </w:p>
    <w:p>
      <w:pPr>
        <w:spacing w:before="69"/>
        <w:ind w:left="11517" w:right="1354" w:firstLine="0"/>
        <w:jc w:val="center"/>
        <w:rPr>
          <w:sz w:val="18"/>
        </w:rPr>
      </w:pPr>
      <w:r>
        <w:rPr>
          <w:w w:val="105"/>
          <w:sz w:val="18"/>
        </w:rPr>
        <w:t>203</w:t>
      </w:r>
    </w:p>
    <w:p>
      <w:pPr>
        <w:spacing w:before="9"/>
        <w:ind w:left="2238" w:right="1577" w:firstLine="0"/>
        <w:jc w:val="center"/>
        <w:rPr>
          <w:b/>
          <w:sz w:val="18"/>
        </w:rPr>
      </w:pPr>
      <w:r>
        <w:rPr>
          <w:b/>
          <w:w w:val="105"/>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138"/>
        <w:gridCol w:w="1623"/>
        <w:gridCol w:w="1443"/>
      </w:tblGrid>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Firmado por:</w:t>
            </w:r>
          </w:p>
        </w:tc>
        <w:tc>
          <w:tcPr>
            <w:tcW w:w="10138" w:type="dxa"/>
          </w:tcPr>
          <w:p>
            <w:pPr>
              <w:pStyle w:val="TableParagraph"/>
              <w:spacing w:before="23"/>
              <w:ind w:left="58"/>
              <w:rPr>
                <w:rFonts w:ascii="Arial" w:hAnsi="Arial"/>
                <w:sz w:val="11"/>
              </w:rPr>
            </w:pPr>
            <w:r>
              <w:rPr>
                <w:rFonts w:ascii="Arial" w:hAnsi="Arial"/>
                <w:sz w:val="11"/>
              </w:rPr>
              <w:t>PEDRO PACHECO GONZÁLEZ - Presidente</w:t>
            </w:r>
          </w:p>
        </w:tc>
        <w:tc>
          <w:tcPr>
            <w:tcW w:w="1623" w:type="dxa"/>
          </w:tcPr>
          <w:p>
            <w:pPr>
              <w:pStyle w:val="TableParagraph"/>
              <w:spacing w:before="23"/>
              <w:ind w:left="58"/>
              <w:rPr>
                <w:rFonts w:ascii="Arial"/>
                <w:sz w:val="11"/>
              </w:rPr>
            </w:pPr>
            <w:r>
              <w:rPr>
                <w:rFonts w:ascii="Arial"/>
                <w:sz w:val="11"/>
              </w:rPr>
              <w:t>Fecha: 29-12-2023 10:26:53</w:t>
            </w:r>
          </w:p>
        </w:tc>
        <w:tc>
          <w:tcPr>
            <w:tcW w:w="1443" w:type="dxa"/>
            <w:vMerge w:val="restart"/>
          </w:tcPr>
          <w:p>
            <w:pPr>
              <w:pStyle w:val="TableParagraph"/>
              <w:spacing w:before="5"/>
              <w:rPr>
                <w:b/>
                <w:sz w:val="9"/>
              </w:rPr>
            </w:pPr>
          </w:p>
          <w:p>
            <w:pPr>
              <w:pStyle w:val="TableParagraph"/>
              <w:ind w:left="316"/>
              <w:rPr>
                <w:sz w:val="20"/>
              </w:rPr>
            </w:pPr>
            <w:r>
              <w:rPr>
                <w:sz w:val="20"/>
              </w:rPr>
              <w:drawing>
                <wp:inline distT="0" distB="0" distL="0" distR="0">
                  <wp:extent cx="514350" cy="514350"/>
                  <wp:effectExtent l="0" t="0" r="0" b="0"/>
                  <wp:docPr id="439" name="image5.png"/>
                  <wp:cNvGraphicFramePr>
                    <a:graphicFrameLocks noChangeAspect="1"/>
                  </wp:cNvGraphicFramePr>
                  <a:graphic>
                    <a:graphicData uri="http://schemas.openxmlformats.org/drawingml/2006/picture">
                      <pic:pic>
                        <pic:nvPicPr>
                          <pic:cNvPr id="44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0" w:hRule="atLeast"/>
        </w:trPr>
        <w:tc>
          <w:tcPr>
            <w:tcW w:w="1082" w:type="dxa"/>
            <w:shd w:val="clear" w:color="auto" w:fill="F0F0F0"/>
          </w:tcPr>
          <w:p>
            <w:pPr>
              <w:pStyle w:val="TableParagraph"/>
              <w:spacing w:before="23"/>
              <w:ind w:left="134" w:right="125"/>
              <w:jc w:val="center"/>
              <w:rPr>
                <w:rFonts w:ascii="Arial"/>
                <w:b/>
                <w:sz w:val="11"/>
              </w:rPr>
            </w:pPr>
            <w:r>
              <w:rPr>
                <w:rFonts w:ascii="Arial"/>
                <w:b/>
                <w:sz w:val="11"/>
              </w:rPr>
              <w:t>Registrado en:</w:t>
            </w:r>
          </w:p>
        </w:tc>
        <w:tc>
          <w:tcPr>
            <w:tcW w:w="10138" w:type="dxa"/>
          </w:tcPr>
          <w:p>
            <w:pPr>
              <w:pStyle w:val="TableParagraph"/>
              <w:spacing w:before="23"/>
              <w:ind w:left="58"/>
              <w:rPr>
                <w:rFonts w:ascii="Arial" w:hAnsi="Arial"/>
                <w:sz w:val="11"/>
              </w:rPr>
            </w:pPr>
            <w:r>
              <w:rPr>
                <w:rFonts w:ascii="Arial" w:hAnsi="Arial"/>
                <w:sz w:val="11"/>
              </w:rPr>
              <w:t>SALIDA - Nº: 2023-001719</w:t>
            </w:r>
          </w:p>
        </w:tc>
        <w:tc>
          <w:tcPr>
            <w:tcW w:w="1623" w:type="dxa"/>
          </w:tcPr>
          <w:p>
            <w:pPr>
              <w:pStyle w:val="TableParagraph"/>
              <w:spacing w:before="23"/>
              <w:ind w:left="58"/>
              <w:rPr>
                <w:rFonts w:ascii="Arial"/>
                <w:sz w:val="11"/>
              </w:rPr>
            </w:pPr>
            <w:r>
              <w:rPr>
                <w:rFonts w:ascii="Arial"/>
                <w:sz w:val="11"/>
              </w:rPr>
              <w:t>Fecha: 29-12-2023 11:10</w:t>
            </w:r>
          </w:p>
        </w:tc>
        <w:tc>
          <w:tcPr>
            <w:tcW w:w="1443" w:type="dxa"/>
            <w:vMerge/>
            <w:tcBorders>
              <w:top w:val="nil"/>
            </w:tcBorders>
          </w:tcPr>
          <w:p>
            <w:pPr>
              <w:rPr>
                <w:sz w:val="2"/>
                <w:szCs w:val="2"/>
              </w:rPr>
            </w:pPr>
          </w:p>
        </w:tc>
      </w:tr>
      <w:tr>
        <w:trPr>
          <w:trHeight w:val="458" w:hRule="atLeast"/>
        </w:trPr>
        <w:tc>
          <w:tcPr>
            <w:tcW w:w="12843" w:type="dxa"/>
            <w:gridSpan w:val="3"/>
          </w:tcPr>
          <w:p>
            <w:pPr>
              <w:pStyle w:val="TableParagraph"/>
              <w:spacing w:line="343" w:lineRule="auto" w:before="72"/>
              <w:ind w:left="3534" w:right="2634" w:hanging="186"/>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43" w:type="dxa"/>
            <w:vMerge/>
            <w:tcBorders>
              <w:top w:val="nil"/>
            </w:tcBorders>
          </w:tcPr>
          <w:p>
            <w:pPr>
              <w:rPr>
                <w:sz w:val="2"/>
                <w:szCs w:val="2"/>
              </w:rPr>
            </w:pPr>
          </w:p>
        </w:tc>
      </w:tr>
      <w:tr>
        <w:trPr>
          <w:trHeight w:val="192" w:hRule="atLeast"/>
        </w:trPr>
        <w:tc>
          <w:tcPr>
            <w:tcW w:w="12843" w:type="dxa"/>
            <w:gridSpan w:val="3"/>
          </w:tcPr>
          <w:p>
            <w:pPr>
              <w:pStyle w:val="TableParagraph"/>
              <w:tabs>
                <w:tab w:pos="7428" w:val="left" w:leader="none"/>
                <w:tab w:pos="10196" w:val="left" w:leader="none"/>
              </w:tabs>
              <w:spacing w:before="26"/>
              <w:ind w:left="53"/>
              <w:rPr>
                <w:rFonts w:ascii="Arial" w:hAnsi="Arial"/>
                <w:sz w:val="11"/>
              </w:rPr>
            </w:pPr>
            <w:r>
              <w:rPr>
                <w:rFonts w:ascii="Arial" w:hAnsi="Arial"/>
                <w:sz w:val="11"/>
              </w:rPr>
              <w:t>Fecha</w:t>
            </w:r>
            <w:r>
              <w:rPr>
                <w:rFonts w:ascii="Arial" w:hAnsi="Arial"/>
                <w:spacing w:val="-7"/>
                <w:sz w:val="11"/>
              </w:rPr>
              <w:t> </w:t>
            </w:r>
            <w:r>
              <w:rPr>
                <w:rFonts w:ascii="Arial" w:hAnsi="Arial"/>
                <w:sz w:val="11"/>
              </w:rPr>
              <w:t>de</w:t>
            </w:r>
            <w:r>
              <w:rPr>
                <w:rFonts w:ascii="Arial" w:hAnsi="Arial"/>
                <w:spacing w:val="-6"/>
                <w:sz w:val="11"/>
              </w:rPr>
              <w:t> </w:t>
            </w:r>
            <w:r>
              <w:rPr>
                <w:rFonts w:ascii="Arial" w:hAnsi="Arial"/>
                <w:sz w:val="11"/>
              </w:rPr>
              <w:t>sellado</w:t>
            </w:r>
            <w:r>
              <w:rPr>
                <w:rFonts w:ascii="Arial" w:hAnsi="Arial"/>
                <w:spacing w:val="-6"/>
                <w:sz w:val="11"/>
              </w:rPr>
              <w:t> </w:t>
            </w:r>
            <w:r>
              <w:rPr>
                <w:rFonts w:ascii="Arial" w:hAnsi="Arial"/>
                <w:sz w:val="11"/>
              </w:rPr>
              <w:t>electrónico:</w:t>
            </w:r>
            <w:r>
              <w:rPr>
                <w:rFonts w:ascii="Arial" w:hAnsi="Arial"/>
                <w:spacing w:val="-6"/>
                <w:sz w:val="11"/>
              </w:rPr>
              <w:t> </w:t>
            </w:r>
            <w:r>
              <w:rPr>
                <w:rFonts w:ascii="Arial" w:hAnsi="Arial"/>
                <w:sz w:val="11"/>
              </w:rPr>
              <w:t>29-12-2023</w:t>
            </w:r>
            <w:r>
              <w:rPr>
                <w:rFonts w:ascii="Arial" w:hAnsi="Arial"/>
                <w:spacing w:val="-6"/>
                <w:sz w:val="11"/>
              </w:rPr>
              <w:t> </w:t>
            </w:r>
            <w:r>
              <w:rPr>
                <w:rFonts w:ascii="Arial" w:hAnsi="Arial"/>
                <w:sz w:val="11"/>
              </w:rPr>
              <w:t>11:07:54</w:t>
              <w:tab/>
            </w:r>
            <w:r>
              <w:rPr>
                <w:rFonts w:ascii="Arial" w:hAnsi="Arial"/>
                <w:color w:val="3F3F3F"/>
                <w:position w:val="1"/>
                <w:sz w:val="11"/>
              </w:rPr>
              <w:t>-</w:t>
            </w:r>
            <w:r>
              <w:rPr>
                <w:rFonts w:ascii="Arial" w:hAnsi="Arial"/>
                <w:color w:val="3F3F3F"/>
                <w:spacing w:val="-3"/>
                <w:position w:val="1"/>
                <w:sz w:val="11"/>
              </w:rPr>
              <w:t> </w:t>
            </w:r>
            <w:r>
              <w:rPr>
                <w:rFonts w:ascii="Arial" w:hAnsi="Arial"/>
                <w:color w:val="3F3F3F"/>
                <w:position w:val="1"/>
                <w:sz w:val="11"/>
              </w:rPr>
              <w:t>205/247</w:t>
            </w:r>
            <w:r>
              <w:rPr>
                <w:rFonts w:ascii="Arial" w:hAnsi="Arial"/>
                <w:color w:val="3F3F3F"/>
                <w:spacing w:val="-3"/>
                <w:position w:val="1"/>
                <w:sz w:val="11"/>
              </w:rPr>
              <w:t> </w:t>
            </w:r>
            <w:r>
              <w:rPr>
                <w:rFonts w:ascii="Arial" w:hAnsi="Arial"/>
                <w:color w:val="3F3F3F"/>
                <w:position w:val="1"/>
                <w:sz w:val="11"/>
              </w:rPr>
              <w:t>-</w:t>
              <w:tab/>
            </w:r>
            <w:r>
              <w:rPr>
                <w:rFonts w:ascii="Arial" w:hAnsi="Arial"/>
                <w:sz w:val="11"/>
              </w:rPr>
              <w:t>Fecha</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emisión</w:t>
            </w:r>
            <w:r>
              <w:rPr>
                <w:rFonts w:ascii="Arial" w:hAnsi="Arial"/>
                <w:spacing w:val="-5"/>
                <w:sz w:val="11"/>
              </w:rPr>
              <w:t> </w:t>
            </w:r>
            <w:r>
              <w:rPr>
                <w:rFonts w:ascii="Arial" w:hAnsi="Arial"/>
                <w:sz w:val="11"/>
              </w:rPr>
              <w:t>de</w:t>
            </w:r>
            <w:r>
              <w:rPr>
                <w:rFonts w:ascii="Arial" w:hAnsi="Arial"/>
                <w:spacing w:val="-6"/>
                <w:sz w:val="11"/>
              </w:rPr>
              <w:t> </w:t>
            </w:r>
            <w:r>
              <w:rPr>
                <w:rFonts w:ascii="Arial" w:hAnsi="Arial"/>
                <w:sz w:val="11"/>
              </w:rPr>
              <w:t>esta</w:t>
            </w:r>
            <w:r>
              <w:rPr>
                <w:rFonts w:ascii="Arial" w:hAnsi="Arial"/>
                <w:spacing w:val="-5"/>
                <w:sz w:val="11"/>
              </w:rPr>
              <w:t> </w:t>
            </w:r>
            <w:r>
              <w:rPr>
                <w:rFonts w:ascii="Arial" w:hAnsi="Arial"/>
                <w:sz w:val="11"/>
              </w:rPr>
              <w:t>copia:</w:t>
            </w:r>
            <w:r>
              <w:rPr>
                <w:rFonts w:ascii="Arial" w:hAnsi="Arial"/>
                <w:spacing w:val="-6"/>
                <w:sz w:val="11"/>
              </w:rPr>
              <w:t> </w:t>
            </w:r>
            <w:r>
              <w:rPr>
                <w:rFonts w:ascii="Arial" w:hAnsi="Arial"/>
                <w:sz w:val="11"/>
              </w:rPr>
              <w:t>29-12-2023</w:t>
            </w:r>
            <w:r>
              <w:rPr>
                <w:rFonts w:ascii="Arial" w:hAnsi="Arial"/>
                <w:spacing w:val="-5"/>
                <w:sz w:val="11"/>
              </w:rPr>
              <w:t> </w:t>
            </w:r>
            <w:r>
              <w:rPr>
                <w:rFonts w:ascii="Arial" w:hAnsi="Arial"/>
                <w:sz w:val="11"/>
              </w:rPr>
              <w:t>11:14:27</w:t>
            </w:r>
          </w:p>
        </w:tc>
        <w:tc>
          <w:tcPr>
            <w:tcW w:w="1443" w:type="dxa"/>
            <w:vMerge/>
            <w:tcBorders>
              <w:top w:val="nil"/>
            </w:tcBorders>
          </w:tcPr>
          <w:p>
            <w:pPr>
              <w:rPr>
                <w:sz w:val="2"/>
                <w:szCs w:val="2"/>
              </w:rPr>
            </w:pPr>
          </w:p>
        </w:tc>
      </w:tr>
    </w:tbl>
    <w:p>
      <w:pPr>
        <w:spacing w:after="0"/>
        <w:rPr>
          <w:sz w:val="2"/>
          <w:szCs w:val="2"/>
        </w:rPr>
        <w:sectPr>
          <w:pgSz w:w="16840" w:h="11900" w:orient="landscape"/>
          <w:pgMar w:header="806" w:footer="1006" w:top="1640" w:bottom="1200" w:left="1160" w:right="1160"/>
        </w:sectPr>
      </w:pPr>
    </w:p>
    <w:p>
      <w:pPr>
        <w:pStyle w:val="BodyText"/>
        <w:spacing w:before="5"/>
        <w:rPr>
          <w:b/>
          <w:sz w:val="8"/>
        </w:rPr>
      </w:pPr>
    </w:p>
    <w:p>
      <w:pPr>
        <w:pStyle w:val="Heading1"/>
        <w:spacing w:before="60"/>
        <w:ind w:left="2299"/>
        <w:jc w:val="left"/>
      </w:pPr>
      <w:r>
        <w:rPr>
          <w:color w:val="53A1B9"/>
        </w:rPr>
        <w:t>10.19 Contestación a las alegaciones.</w:t>
      </w:r>
    </w:p>
    <w:p>
      <w:pPr>
        <w:pStyle w:val="BodyText"/>
        <w:spacing w:before="8"/>
        <w:rPr>
          <w:b/>
          <w:sz w:val="16"/>
        </w:rPr>
      </w:pPr>
    </w:p>
    <w:p>
      <w:pPr>
        <w:spacing w:before="0"/>
        <w:ind w:left="2299" w:right="1346" w:firstLine="0"/>
        <w:jc w:val="both"/>
        <w:rPr>
          <w:b/>
          <w:sz w:val="20"/>
        </w:rPr>
      </w:pPr>
      <w:r>
        <w:rPr>
          <w:b/>
          <w:sz w:val="20"/>
        </w:rPr>
        <w:t>ALEGACIONES FORMULADAS POR LA INTERVENCIÓN GENERAL DE LA COMUNIDAD AUTÓNOMA DE CANARIAS</w:t>
      </w:r>
    </w:p>
    <w:p>
      <w:pPr>
        <w:pStyle w:val="BodyText"/>
        <w:spacing w:before="10"/>
        <w:rPr>
          <w:b/>
          <w:sz w:val="16"/>
        </w:rPr>
      </w:pPr>
    </w:p>
    <w:p>
      <w:pPr>
        <w:pStyle w:val="BodyText"/>
        <w:spacing w:line="242" w:lineRule="auto"/>
        <w:ind w:left="2299" w:right="1338"/>
        <w:jc w:val="both"/>
      </w:pPr>
      <w:r>
        <w:rPr/>
        <w:t>La IGCAC inicia sus alegaciones formulando unas consideraciones generales acerca del cumplimiento de las normas de auditoría, el Reglamento de Organización y Funcionamiento de la Audiencia de Cuentas de Canarias (ACC), las normas técnicas ISSAI-ES, la Instrucción Reguladora del Procedimiento Fiscalizador de la ACC, y la aplicación de éstas en la elaboración del presente informe, referidas a la planificación de los trabajos, definición de los objetivos, la declaración definitiva, trámite de contraste,</w:t>
      </w:r>
      <w:r>
        <w:rPr>
          <w:spacing w:val="-6"/>
        </w:rPr>
        <w:t> </w:t>
      </w:r>
      <w:r>
        <w:rPr/>
        <w:t>etc.</w:t>
      </w:r>
      <w:r>
        <w:rPr>
          <w:spacing w:val="-6"/>
        </w:rPr>
        <w:t> </w:t>
      </w:r>
      <w:r>
        <w:rPr/>
        <w:t>La</w:t>
      </w:r>
      <w:r>
        <w:rPr>
          <w:spacing w:val="-5"/>
        </w:rPr>
        <w:t> </w:t>
      </w:r>
      <w:r>
        <w:rPr/>
        <w:t>mención</w:t>
      </w:r>
      <w:r>
        <w:rPr>
          <w:spacing w:val="-6"/>
        </w:rPr>
        <w:t> </w:t>
      </w:r>
      <w:r>
        <w:rPr/>
        <w:t>de</w:t>
      </w:r>
      <w:r>
        <w:rPr>
          <w:spacing w:val="-5"/>
        </w:rPr>
        <w:t> </w:t>
      </w:r>
      <w:r>
        <w:rPr/>
        <w:t>la</w:t>
      </w:r>
      <w:r>
        <w:rPr>
          <w:spacing w:val="-5"/>
        </w:rPr>
        <w:t> </w:t>
      </w:r>
      <w:r>
        <w:rPr/>
        <w:t>normativa</w:t>
      </w:r>
      <w:r>
        <w:rPr>
          <w:spacing w:val="-8"/>
        </w:rPr>
        <w:t> </w:t>
      </w:r>
      <w:r>
        <w:rPr/>
        <w:t>de</w:t>
      </w:r>
      <w:r>
        <w:rPr>
          <w:spacing w:val="-5"/>
        </w:rPr>
        <w:t> </w:t>
      </w:r>
      <w:r>
        <w:rPr/>
        <w:t>aplicación</w:t>
      </w:r>
      <w:r>
        <w:rPr>
          <w:spacing w:val="-4"/>
        </w:rPr>
        <w:t> </w:t>
      </w:r>
      <w:r>
        <w:rPr/>
        <w:t>a</w:t>
      </w:r>
      <w:r>
        <w:rPr>
          <w:spacing w:val="-6"/>
        </w:rPr>
        <w:t> </w:t>
      </w:r>
      <w:r>
        <w:rPr/>
        <w:t>esta</w:t>
      </w:r>
      <w:r>
        <w:rPr>
          <w:spacing w:val="-7"/>
        </w:rPr>
        <w:t> </w:t>
      </w:r>
      <w:r>
        <w:rPr/>
        <w:t>fiscalización,</w:t>
      </w:r>
      <w:r>
        <w:rPr>
          <w:spacing w:val="-2"/>
        </w:rPr>
        <w:t> </w:t>
      </w:r>
      <w:r>
        <w:rPr/>
        <w:t>que</w:t>
      </w:r>
      <w:r>
        <w:rPr>
          <w:spacing w:val="-5"/>
        </w:rPr>
        <w:t> </w:t>
      </w:r>
      <w:r>
        <w:rPr/>
        <w:t>ilustran las alegaciones, se torna en enjuiciamiento sobre la metodología empleada en la elaboración del presente informe, pero no altera el contenido del mismo. Es reiterativo mencionar que la metodología utilizada por esta Institución cumple con las normas que le son de aplicación y anteriormente mencionadas, realizando comprobaciones basadas en evidencia suficiente y adecuada, a juicio del auditor y de todo el equipo fiscalizador participante, con una base razonable que permite expresar las conclusiones y recomendaciones que se</w:t>
      </w:r>
      <w:r>
        <w:rPr>
          <w:spacing w:val="-1"/>
        </w:rPr>
        <w:t> </w:t>
      </w:r>
      <w:r>
        <w:rPr/>
        <w:t>formulan.</w:t>
      </w:r>
    </w:p>
    <w:p>
      <w:pPr>
        <w:pStyle w:val="BodyText"/>
        <w:spacing w:before="10"/>
        <w:rPr>
          <w:sz w:val="15"/>
        </w:rPr>
      </w:pPr>
    </w:p>
    <w:p>
      <w:pPr>
        <w:pStyle w:val="BodyText"/>
        <w:spacing w:line="242" w:lineRule="auto"/>
        <w:ind w:left="2299" w:right="1341"/>
        <w:jc w:val="both"/>
      </w:pPr>
      <w:r>
        <w:rPr/>
        <w:t>Se precisa añadir y señalar que las alegaciones no pueden conformarse como una valoración general sobre el ejercicio de la función de control externo que realiza esta ACC. Tampoco debe proyectar un conjunto de extensas exposiciones teóricas sobre diversos conceptos del ámbito económico y financiero (remanente de tesorería, financiación afectada, coeficientes de financiación, desviaciones de financiación, principios</w:t>
      </w:r>
      <w:r>
        <w:rPr>
          <w:spacing w:val="-4"/>
        </w:rPr>
        <w:t> </w:t>
      </w:r>
      <w:r>
        <w:rPr/>
        <w:t>contables</w:t>
      </w:r>
      <w:r>
        <w:rPr>
          <w:spacing w:val="-4"/>
        </w:rPr>
        <w:t> </w:t>
      </w:r>
      <w:r>
        <w:rPr/>
        <w:t>y</w:t>
      </w:r>
      <w:r>
        <w:rPr>
          <w:spacing w:val="-6"/>
        </w:rPr>
        <w:t> </w:t>
      </w:r>
      <w:r>
        <w:rPr/>
        <w:t>de</w:t>
      </w:r>
      <w:r>
        <w:rPr>
          <w:spacing w:val="-6"/>
        </w:rPr>
        <w:t> </w:t>
      </w:r>
      <w:r>
        <w:rPr/>
        <w:t>auditoría…),</w:t>
      </w:r>
      <w:r>
        <w:rPr>
          <w:spacing w:val="-7"/>
        </w:rPr>
        <w:t> </w:t>
      </w:r>
      <w:r>
        <w:rPr/>
        <w:t>esbozando</w:t>
      </w:r>
      <w:r>
        <w:rPr>
          <w:spacing w:val="-6"/>
        </w:rPr>
        <w:t> </w:t>
      </w:r>
      <w:r>
        <w:rPr/>
        <w:t>un</w:t>
      </w:r>
      <w:r>
        <w:rPr>
          <w:spacing w:val="-3"/>
        </w:rPr>
        <w:t> </w:t>
      </w:r>
      <w:r>
        <w:rPr/>
        <w:t>mensaje</w:t>
      </w:r>
      <w:r>
        <w:rPr>
          <w:spacing w:val="-6"/>
        </w:rPr>
        <w:t> </w:t>
      </w:r>
      <w:r>
        <w:rPr/>
        <w:t>de</w:t>
      </w:r>
      <w:r>
        <w:rPr>
          <w:spacing w:val="-3"/>
        </w:rPr>
        <w:t> </w:t>
      </w:r>
      <w:r>
        <w:rPr/>
        <w:t>corrección</w:t>
      </w:r>
      <w:r>
        <w:rPr>
          <w:spacing w:val="-5"/>
        </w:rPr>
        <w:t> </w:t>
      </w:r>
      <w:r>
        <w:rPr/>
        <w:t>al</w:t>
      </w:r>
      <w:r>
        <w:rPr>
          <w:spacing w:val="-4"/>
        </w:rPr>
        <w:t> </w:t>
      </w:r>
      <w:r>
        <w:rPr/>
        <w:t>contenido del Informe, sino que, tal y como se indica en las normas técnicas de auditoría (ISSAI- ES), deben estar destinadas a confirmar o aclarar sobre aspectos analizados y las operaciones realizadas o, en su caso, una justificación de lo</w:t>
      </w:r>
      <w:r>
        <w:rPr>
          <w:spacing w:val="8"/>
        </w:rPr>
        <w:t> </w:t>
      </w:r>
      <w:r>
        <w:rPr/>
        <w:t>acontecido.</w:t>
      </w:r>
    </w:p>
    <w:p>
      <w:pPr>
        <w:pStyle w:val="BodyText"/>
        <w:spacing w:before="2"/>
        <w:rPr>
          <w:sz w:val="16"/>
        </w:rPr>
      </w:pPr>
    </w:p>
    <w:p>
      <w:pPr>
        <w:pStyle w:val="BodyText"/>
        <w:spacing w:line="242" w:lineRule="auto"/>
        <w:ind w:left="2299" w:right="1342"/>
        <w:jc w:val="both"/>
      </w:pPr>
      <w:r>
        <w:rPr/>
        <w:t>Finalmente, a la vista de las citadas alegaciones, se han efectuado las oportunas modificaciones en el texto del Informe incorporando los cambios que se han considerado</w:t>
      </w:r>
      <w:r>
        <w:rPr>
          <w:spacing w:val="-4"/>
        </w:rPr>
        <w:t> </w:t>
      </w:r>
      <w:r>
        <w:rPr/>
        <w:t>necesarios,</w:t>
      </w:r>
      <w:r>
        <w:rPr>
          <w:spacing w:val="-4"/>
        </w:rPr>
        <w:t> </w:t>
      </w:r>
      <w:r>
        <w:rPr/>
        <w:t>ya</w:t>
      </w:r>
      <w:r>
        <w:rPr>
          <w:spacing w:val="-2"/>
        </w:rPr>
        <w:t> </w:t>
      </w:r>
      <w:r>
        <w:rPr/>
        <w:t>sea</w:t>
      </w:r>
      <w:r>
        <w:rPr>
          <w:spacing w:val="-4"/>
        </w:rPr>
        <w:t> </w:t>
      </w:r>
      <w:r>
        <w:rPr/>
        <w:t>por</w:t>
      </w:r>
      <w:r>
        <w:rPr>
          <w:spacing w:val="-3"/>
        </w:rPr>
        <w:t> </w:t>
      </w:r>
      <w:r>
        <w:rPr/>
        <w:t>aceptar</w:t>
      </w:r>
      <w:r>
        <w:rPr>
          <w:spacing w:val="-4"/>
        </w:rPr>
        <w:t> </w:t>
      </w:r>
      <w:r>
        <w:rPr/>
        <w:t>su</w:t>
      </w:r>
      <w:r>
        <w:rPr>
          <w:spacing w:val="-4"/>
        </w:rPr>
        <w:t> </w:t>
      </w:r>
      <w:r>
        <w:rPr/>
        <w:t>contenido</w:t>
      </w:r>
      <w:r>
        <w:rPr>
          <w:spacing w:val="-3"/>
        </w:rPr>
        <w:t> </w:t>
      </w:r>
      <w:r>
        <w:rPr/>
        <w:t>o</w:t>
      </w:r>
      <w:r>
        <w:rPr>
          <w:spacing w:val="-4"/>
        </w:rPr>
        <w:t> </w:t>
      </w:r>
      <w:r>
        <w:rPr/>
        <w:t>para</w:t>
      </w:r>
      <w:r>
        <w:rPr>
          <w:spacing w:val="-4"/>
        </w:rPr>
        <w:t> </w:t>
      </w:r>
      <w:r>
        <w:rPr/>
        <w:t>razonar</w:t>
      </w:r>
      <w:r>
        <w:rPr>
          <w:spacing w:val="-3"/>
        </w:rPr>
        <w:t> </w:t>
      </w:r>
      <w:r>
        <w:rPr/>
        <w:t>el</w:t>
      </w:r>
      <w:r>
        <w:rPr>
          <w:spacing w:val="-4"/>
        </w:rPr>
        <w:t> </w:t>
      </w:r>
      <w:r>
        <w:rPr/>
        <w:t>motivo</w:t>
      </w:r>
      <w:r>
        <w:rPr>
          <w:spacing w:val="-3"/>
        </w:rPr>
        <w:t> </w:t>
      </w:r>
      <w:r>
        <w:rPr/>
        <w:t>por</w:t>
      </w:r>
      <w:r>
        <w:rPr>
          <w:spacing w:val="-4"/>
        </w:rPr>
        <w:t> </w:t>
      </w:r>
      <w:r>
        <w:rPr/>
        <w:t>el que no se han aceptado. Debe indicarse que no han sido objeto de tratamiento específico aquellas alegaciones que constituyen meras explicaciones y que, por tanto, no implican una disconformidad del alegante con el contenido del Informe. La falta de contestación a este tipo de alegaciones no debe entenderse, en consecuencia, como una aceptación tácita de su</w:t>
      </w:r>
      <w:r>
        <w:rPr>
          <w:spacing w:val="-2"/>
        </w:rPr>
        <w:t> </w:t>
      </w:r>
      <w:r>
        <w:rPr/>
        <w:t>contenido.</w:t>
      </w:r>
    </w:p>
    <w:p>
      <w:pPr>
        <w:pStyle w:val="BodyText"/>
        <w:spacing w:before="1"/>
        <w:rPr>
          <w:sz w:val="16"/>
        </w:rPr>
      </w:pPr>
    </w:p>
    <w:p>
      <w:pPr>
        <w:pStyle w:val="Heading1"/>
        <w:ind w:left="2299"/>
        <w:jc w:val="both"/>
      </w:pPr>
      <w:r>
        <w:rPr/>
        <w:t>Alegación 1: Introducción. 1.4 Limitación al alcance.</w:t>
      </w:r>
    </w:p>
    <w:p>
      <w:pPr>
        <w:pStyle w:val="BodyText"/>
        <w:spacing w:before="8"/>
        <w:rPr>
          <w:b/>
          <w:sz w:val="16"/>
        </w:rPr>
      </w:pPr>
    </w:p>
    <w:p>
      <w:pPr>
        <w:pStyle w:val="BodyText"/>
        <w:ind w:left="2150" w:right="1347"/>
        <w:jc w:val="right"/>
      </w:pPr>
      <w:r>
        <w:rPr>
          <w:b/>
        </w:rPr>
        <w:t>Resumen. </w:t>
      </w:r>
      <w:r>
        <w:rPr>
          <w:b/>
          <w:spacing w:val="22"/>
        </w:rPr>
        <w:t> </w:t>
      </w:r>
      <w:r>
        <w:rPr/>
        <w:t>“Las</w:t>
      </w:r>
      <w:r>
        <w:rPr>
          <w:spacing w:val="10"/>
        </w:rPr>
        <w:t> </w:t>
      </w:r>
      <w:r>
        <w:rPr/>
        <w:t>cuentas</w:t>
      </w:r>
      <w:r>
        <w:rPr>
          <w:spacing w:val="8"/>
        </w:rPr>
        <w:t> </w:t>
      </w:r>
      <w:r>
        <w:rPr/>
        <w:t>del</w:t>
      </w:r>
      <w:r>
        <w:rPr>
          <w:spacing w:val="11"/>
        </w:rPr>
        <w:t> </w:t>
      </w:r>
      <w:r>
        <w:rPr/>
        <w:t>Instituto</w:t>
      </w:r>
      <w:r>
        <w:rPr>
          <w:spacing w:val="10"/>
        </w:rPr>
        <w:t> </w:t>
      </w:r>
      <w:r>
        <w:rPr/>
        <w:t>Canario</w:t>
      </w:r>
      <w:r>
        <w:rPr>
          <w:spacing w:val="9"/>
        </w:rPr>
        <w:t> </w:t>
      </w:r>
      <w:r>
        <w:rPr/>
        <w:t>de</w:t>
      </w:r>
      <w:r>
        <w:rPr>
          <w:spacing w:val="10"/>
        </w:rPr>
        <w:t> </w:t>
      </w:r>
      <w:r>
        <w:rPr/>
        <w:t>Igualdad</w:t>
      </w:r>
      <w:r>
        <w:rPr>
          <w:spacing w:val="11"/>
        </w:rPr>
        <w:t> </w:t>
      </w:r>
      <w:r>
        <w:rPr/>
        <w:t>y</w:t>
      </w:r>
      <w:r>
        <w:rPr>
          <w:spacing w:val="10"/>
        </w:rPr>
        <w:t> </w:t>
      </w:r>
      <w:r>
        <w:rPr/>
        <w:t>del</w:t>
      </w:r>
      <w:r>
        <w:rPr>
          <w:spacing w:val="10"/>
        </w:rPr>
        <w:t> </w:t>
      </w:r>
      <w:r>
        <w:rPr/>
        <w:t>Consorcio</w:t>
      </w:r>
      <w:r>
        <w:rPr>
          <w:spacing w:val="9"/>
        </w:rPr>
        <w:t> </w:t>
      </w:r>
      <w:r>
        <w:rPr/>
        <w:t>el</w:t>
      </w:r>
      <w:r>
        <w:rPr>
          <w:spacing w:val="10"/>
        </w:rPr>
        <w:t> </w:t>
      </w:r>
      <w:r>
        <w:rPr/>
        <w:t>Rincón</w:t>
      </w:r>
      <w:r>
        <w:rPr>
          <w:spacing w:val="10"/>
        </w:rPr>
        <w:t> </w:t>
      </w:r>
      <w:r>
        <w:rPr/>
        <w:t>no</w:t>
      </w:r>
    </w:p>
    <w:p>
      <w:pPr>
        <w:pStyle w:val="BodyText"/>
        <w:spacing w:before="3"/>
        <w:ind w:left="2150" w:right="1344"/>
        <w:jc w:val="right"/>
      </w:pPr>
      <w:r>
        <w:rPr/>
        <w:t>han</w:t>
      </w:r>
      <w:r>
        <w:rPr>
          <w:spacing w:val="32"/>
        </w:rPr>
        <w:t> </w:t>
      </w:r>
      <w:r>
        <w:rPr/>
        <w:t>sido</w:t>
      </w:r>
      <w:r>
        <w:rPr>
          <w:spacing w:val="32"/>
        </w:rPr>
        <w:t> </w:t>
      </w:r>
      <w:r>
        <w:rPr/>
        <w:t>rendidas</w:t>
      </w:r>
      <w:r>
        <w:rPr>
          <w:spacing w:val="31"/>
        </w:rPr>
        <w:t> </w:t>
      </w:r>
      <w:r>
        <w:rPr/>
        <w:t>hasta</w:t>
      </w:r>
      <w:r>
        <w:rPr>
          <w:spacing w:val="34"/>
        </w:rPr>
        <w:t> </w:t>
      </w:r>
      <w:r>
        <w:rPr/>
        <w:t>la</w:t>
      </w:r>
      <w:r>
        <w:rPr>
          <w:spacing w:val="32"/>
        </w:rPr>
        <w:t> </w:t>
      </w:r>
      <w:r>
        <w:rPr/>
        <w:t>fecha,</w:t>
      </w:r>
      <w:r>
        <w:rPr>
          <w:spacing w:val="30"/>
        </w:rPr>
        <w:t> </w:t>
      </w:r>
      <w:r>
        <w:rPr/>
        <w:t>motivo</w:t>
      </w:r>
      <w:r>
        <w:rPr>
          <w:spacing w:val="33"/>
        </w:rPr>
        <w:t> </w:t>
      </w:r>
      <w:r>
        <w:rPr/>
        <w:t>por</w:t>
      </w:r>
      <w:r>
        <w:rPr>
          <w:spacing w:val="32"/>
        </w:rPr>
        <w:t> </w:t>
      </w:r>
      <w:r>
        <w:rPr/>
        <w:t>el</w:t>
      </w:r>
      <w:r>
        <w:rPr>
          <w:spacing w:val="30"/>
        </w:rPr>
        <w:t> </w:t>
      </w:r>
      <w:r>
        <w:rPr/>
        <w:t>cual</w:t>
      </w:r>
      <w:r>
        <w:rPr>
          <w:spacing w:val="32"/>
        </w:rPr>
        <w:t> </w:t>
      </w:r>
      <w:r>
        <w:rPr/>
        <w:t>no</w:t>
      </w:r>
      <w:r>
        <w:rPr>
          <w:spacing w:val="33"/>
        </w:rPr>
        <w:t> </w:t>
      </w:r>
      <w:r>
        <w:rPr/>
        <w:t>se</w:t>
      </w:r>
      <w:r>
        <w:rPr>
          <w:spacing w:val="32"/>
        </w:rPr>
        <w:t> </w:t>
      </w:r>
      <w:r>
        <w:rPr/>
        <w:t>han</w:t>
      </w:r>
      <w:r>
        <w:rPr>
          <w:spacing w:val="32"/>
        </w:rPr>
        <w:t> </w:t>
      </w:r>
      <w:r>
        <w:rPr/>
        <w:t>podido</w:t>
      </w:r>
      <w:r>
        <w:rPr>
          <w:spacing w:val="31"/>
        </w:rPr>
        <w:t> </w:t>
      </w:r>
      <w:r>
        <w:rPr/>
        <w:t>incluir</w:t>
      </w:r>
      <w:r>
        <w:rPr>
          <w:spacing w:val="32"/>
        </w:rPr>
        <w:t> </w:t>
      </w:r>
      <w:r>
        <w:rPr/>
        <w:t>en</w:t>
      </w:r>
      <w:r>
        <w:rPr>
          <w:spacing w:val="32"/>
        </w:rPr>
        <w:t> </w:t>
      </w:r>
      <w:r>
        <w:rPr/>
        <w:t>la</w:t>
      </w:r>
    </w:p>
    <w:p>
      <w:pPr>
        <w:pStyle w:val="BodyText"/>
        <w:spacing w:before="6"/>
        <w:ind w:left="2150" w:right="1340"/>
        <w:jc w:val="right"/>
      </w:pPr>
      <w:r>
        <w:rPr/>
        <w:t>204</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43" name="image5.png"/>
                  <wp:cNvGraphicFramePr>
                    <a:graphicFrameLocks noChangeAspect="1"/>
                  </wp:cNvGraphicFramePr>
                  <a:graphic>
                    <a:graphicData uri="http://schemas.openxmlformats.org/drawingml/2006/picture">
                      <pic:pic>
                        <pic:nvPicPr>
                          <pic:cNvPr id="44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206/247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headerReference w:type="default" r:id="rId45"/>
          <w:footerReference w:type="default" r:id="rId46"/>
          <w:pgSz w:w="11900" w:h="16840"/>
          <w:pgMar w:header="869" w:footer="926" w:top="1760" w:bottom="1120" w:left="560" w:right="560"/>
        </w:sectPr>
      </w:pPr>
    </w:p>
    <w:p>
      <w:pPr>
        <w:pStyle w:val="BodyText"/>
        <w:spacing w:before="5"/>
        <w:rPr>
          <w:b/>
          <w:sz w:val="8"/>
        </w:rPr>
      </w:pPr>
    </w:p>
    <w:p>
      <w:pPr>
        <w:pStyle w:val="BodyText"/>
        <w:spacing w:before="60"/>
        <w:ind w:left="2299" w:right="1342"/>
        <w:jc w:val="both"/>
      </w:pPr>
      <w:r>
        <w:rPr/>
        <w:t>presente fiscalización.” Las cuentas anuales del Consorcio el Rincón (La Orotava) del ejercicio 2022 no han sido remitidas a esta Intervención, motivo por el cual no se ha podido emitir el correspondiente Informe de Auditoría previsto en el Plan de Auditorías del ejercicio 2023.”</w:t>
      </w:r>
    </w:p>
    <w:p>
      <w:pPr>
        <w:pStyle w:val="BodyText"/>
        <w:spacing w:before="1"/>
        <w:rPr>
          <w:sz w:val="17"/>
        </w:rPr>
      </w:pPr>
    </w:p>
    <w:p>
      <w:pPr>
        <w:pStyle w:val="BodyText"/>
        <w:ind w:left="2299" w:right="1342"/>
        <w:jc w:val="both"/>
      </w:pPr>
      <w:r>
        <w:rPr/>
        <w:t>Se</w:t>
      </w:r>
      <w:r>
        <w:rPr>
          <w:spacing w:val="-6"/>
        </w:rPr>
        <w:t> </w:t>
      </w:r>
      <w:r>
        <w:rPr/>
        <w:t>adjunta</w:t>
      </w:r>
      <w:r>
        <w:rPr>
          <w:spacing w:val="-8"/>
        </w:rPr>
        <w:t> </w:t>
      </w:r>
      <w:r>
        <w:rPr/>
        <w:t>como</w:t>
      </w:r>
      <w:r>
        <w:rPr>
          <w:spacing w:val="-8"/>
        </w:rPr>
        <w:t> </w:t>
      </w:r>
      <w:r>
        <w:rPr/>
        <w:t>Anexo</w:t>
      </w:r>
      <w:r>
        <w:rPr>
          <w:spacing w:val="-6"/>
        </w:rPr>
        <w:t> </w:t>
      </w:r>
      <w:r>
        <w:rPr/>
        <w:t>1</w:t>
      </w:r>
      <w:r>
        <w:rPr>
          <w:spacing w:val="-8"/>
        </w:rPr>
        <w:t> </w:t>
      </w:r>
      <w:r>
        <w:rPr/>
        <w:t>nuevo</w:t>
      </w:r>
      <w:r>
        <w:rPr>
          <w:spacing w:val="-8"/>
        </w:rPr>
        <w:t> </w:t>
      </w:r>
      <w:r>
        <w:rPr/>
        <w:t>escrito</w:t>
      </w:r>
      <w:r>
        <w:rPr>
          <w:spacing w:val="-8"/>
        </w:rPr>
        <w:t> </w:t>
      </w:r>
      <w:r>
        <w:rPr/>
        <w:t>de</w:t>
      </w:r>
      <w:r>
        <w:rPr>
          <w:spacing w:val="-6"/>
        </w:rPr>
        <w:t> </w:t>
      </w:r>
      <w:r>
        <w:rPr/>
        <w:t>solicitud</w:t>
      </w:r>
      <w:r>
        <w:rPr>
          <w:spacing w:val="-8"/>
        </w:rPr>
        <w:t> </w:t>
      </w:r>
      <w:r>
        <w:rPr/>
        <w:t>de</w:t>
      </w:r>
      <w:r>
        <w:rPr>
          <w:spacing w:val="-8"/>
        </w:rPr>
        <w:t> </w:t>
      </w:r>
      <w:r>
        <w:rPr/>
        <w:t>las</w:t>
      </w:r>
      <w:r>
        <w:rPr>
          <w:spacing w:val="-5"/>
        </w:rPr>
        <w:t> </w:t>
      </w:r>
      <w:r>
        <w:rPr/>
        <w:t>cuentas</w:t>
      </w:r>
      <w:r>
        <w:rPr>
          <w:spacing w:val="-6"/>
        </w:rPr>
        <w:t> </w:t>
      </w:r>
      <w:r>
        <w:rPr/>
        <w:t>anuales</w:t>
      </w:r>
      <w:r>
        <w:rPr>
          <w:spacing w:val="-8"/>
        </w:rPr>
        <w:t> </w:t>
      </w:r>
      <w:r>
        <w:rPr/>
        <w:t>del</w:t>
      </w:r>
      <w:r>
        <w:rPr>
          <w:spacing w:val="-6"/>
        </w:rPr>
        <w:t> </w:t>
      </w:r>
      <w:r>
        <w:rPr/>
        <w:t>Consorcio el Rincón (La Orotava) que ha sido remitido al Sr. Consejero de Política Territorial, Cohesión Territorial y Aguas, como Presidente del Consorcio, tal y como se establece en el artículo 7 de sus estatutos, así como respuesta recibida del</w:t>
      </w:r>
      <w:r>
        <w:rPr>
          <w:spacing w:val="5"/>
        </w:rPr>
        <w:t> </w:t>
      </w:r>
      <w:r>
        <w:rPr/>
        <w:t>mismo.</w:t>
      </w:r>
    </w:p>
    <w:p>
      <w:pPr>
        <w:pStyle w:val="BodyText"/>
        <w:spacing w:before="3"/>
        <w:rPr>
          <w:sz w:val="17"/>
        </w:rPr>
      </w:pPr>
    </w:p>
    <w:p>
      <w:pPr>
        <w:pStyle w:val="BodyText"/>
        <w:spacing w:line="242" w:lineRule="auto"/>
        <w:ind w:left="2299" w:right="1345"/>
        <w:jc w:val="both"/>
      </w:pPr>
      <w:r>
        <w:rPr/>
        <w:t>En dicha respuesta del Consorcio, se alega que tras las últimas elecciones, falta por designar algunos representantes de las Administraciones Públicas integrantes del Consorcio, en concreto de la Comunidad Autónoma, motivo por el cual no se ha podido convocar los órganos de gobierno, sin poder aprobar las cuentas anuales que se encuentran a la fecha redactadas.</w:t>
      </w:r>
    </w:p>
    <w:p>
      <w:pPr>
        <w:pStyle w:val="BodyText"/>
        <w:spacing w:before="3"/>
        <w:rPr>
          <w:sz w:val="16"/>
        </w:rPr>
      </w:pPr>
    </w:p>
    <w:p>
      <w:pPr>
        <w:pStyle w:val="BodyText"/>
        <w:spacing w:line="439" w:lineRule="auto"/>
        <w:ind w:left="2299" w:right="1755"/>
        <w:jc w:val="both"/>
      </w:pPr>
      <w:r>
        <w:rPr>
          <w:b/>
        </w:rPr>
        <w:t>Contestación. </w:t>
      </w:r>
      <w:r>
        <w:rPr/>
        <w:t>Se trata de una información que no contradice el Proyecto informe. Por lo que no se modifica el contenido del Informe.</w:t>
      </w:r>
    </w:p>
    <w:p>
      <w:pPr>
        <w:pStyle w:val="Heading1"/>
        <w:spacing w:before="1"/>
        <w:ind w:left="2299"/>
        <w:jc w:val="both"/>
      </w:pPr>
      <w:r>
        <w:rPr/>
        <w:t>Alegación 2: 1.5 Otras cuestiones (1).</w:t>
      </w:r>
    </w:p>
    <w:p>
      <w:pPr>
        <w:pStyle w:val="BodyText"/>
        <w:spacing w:before="8"/>
        <w:rPr>
          <w:b/>
          <w:sz w:val="16"/>
        </w:rPr>
      </w:pPr>
    </w:p>
    <w:p>
      <w:pPr>
        <w:spacing w:line="242" w:lineRule="auto" w:before="0"/>
        <w:ind w:left="2299" w:right="1344" w:firstLine="0"/>
        <w:jc w:val="both"/>
        <w:rPr>
          <w:i/>
          <w:sz w:val="20"/>
        </w:rPr>
      </w:pPr>
      <w:r>
        <w:rPr>
          <w:b/>
          <w:sz w:val="20"/>
        </w:rPr>
        <w:t>Resumen: </w:t>
      </w:r>
      <w:r>
        <w:rPr>
          <w:i/>
          <w:sz w:val="20"/>
        </w:rPr>
        <w:t>Esta Intervención General ha procedido a tramitar, con la debida diligencia, </w:t>
      </w:r>
      <w:r>
        <w:rPr>
          <w:i/>
          <w:sz w:val="20"/>
        </w:rPr>
        <w:t>las correspondientes solicitudes de información requeridas por ese órgano de fiscalización externa a los diferentes destinatarios de las mismas. No obstante, algunos de los requerimientos de información efectuados no han sido atendidos en tiempo y forma por sus receptores.</w:t>
      </w:r>
    </w:p>
    <w:p>
      <w:pPr>
        <w:pStyle w:val="BodyText"/>
        <w:spacing w:before="3"/>
        <w:rPr>
          <w:i/>
          <w:sz w:val="16"/>
        </w:rPr>
      </w:pPr>
    </w:p>
    <w:p>
      <w:pPr>
        <w:pStyle w:val="BodyText"/>
        <w:spacing w:line="242" w:lineRule="auto"/>
        <w:ind w:left="2299" w:right="1344"/>
        <w:jc w:val="both"/>
      </w:pPr>
      <w:r>
        <w:rPr/>
        <w:t>Sobre la información detallada de los escritos atendidos fuera de plazo, o no atendidos (Anexo I del Informe), para corregir los tiempos de demora en la atención de los requerimientos de información realizados, en lugar de la fecha de salida de nuestro Registro, utilizan las fechas de entrada en la IGCAC.</w:t>
      </w:r>
    </w:p>
    <w:p>
      <w:pPr>
        <w:pStyle w:val="BodyText"/>
        <w:spacing w:before="5"/>
        <w:rPr>
          <w:sz w:val="16"/>
        </w:rPr>
      </w:pPr>
    </w:p>
    <w:p>
      <w:pPr>
        <w:pStyle w:val="BodyText"/>
        <w:ind w:left="2299" w:right="1342"/>
        <w:jc w:val="both"/>
      </w:pPr>
      <w:r>
        <w:rPr>
          <w:b/>
        </w:rPr>
        <w:t>Contestación: </w:t>
      </w:r>
      <w:r>
        <w:rPr/>
        <w:t>Los escritos de solicitud de información adicional que se realizan, se remiten electrónicamente, a través de la Oficina de Registro Virtual (ORVE) por lo que no procede la modificación de dicho incumplimiento de plazo.</w:t>
      </w:r>
    </w:p>
    <w:p>
      <w:pPr>
        <w:pStyle w:val="BodyText"/>
        <w:spacing w:before="11"/>
        <w:rPr>
          <w:sz w:val="16"/>
        </w:rPr>
      </w:pPr>
    </w:p>
    <w:p>
      <w:pPr>
        <w:pStyle w:val="BodyText"/>
        <w:spacing w:before="1"/>
        <w:ind w:left="2299"/>
        <w:jc w:val="both"/>
      </w:pPr>
      <w:r>
        <w:rPr/>
        <w:t>Así pues, no se modifica el contenido del Informe.</w:t>
      </w:r>
    </w:p>
    <w:p>
      <w:pPr>
        <w:pStyle w:val="BodyText"/>
        <w:spacing w:before="7"/>
        <w:rPr>
          <w:sz w:val="16"/>
        </w:rPr>
      </w:pPr>
    </w:p>
    <w:p>
      <w:pPr>
        <w:pStyle w:val="Heading1"/>
        <w:spacing w:before="1"/>
        <w:ind w:left="2299"/>
        <w:jc w:val="both"/>
      </w:pPr>
      <w:r>
        <w:rPr/>
        <w:t>Alegación 3: 1.5 Otras cuestiones (2).</w:t>
      </w:r>
    </w:p>
    <w:p>
      <w:pPr>
        <w:pStyle w:val="BodyText"/>
        <w:spacing w:before="7"/>
        <w:rPr>
          <w:b/>
          <w:sz w:val="16"/>
        </w:rPr>
      </w:pPr>
    </w:p>
    <w:p>
      <w:pPr>
        <w:pStyle w:val="BodyText"/>
        <w:ind w:left="2299" w:right="1345"/>
        <w:jc w:val="both"/>
      </w:pPr>
      <w:r>
        <w:rPr>
          <w:b/>
        </w:rPr>
        <w:t>Resumen: </w:t>
      </w:r>
      <w:r>
        <w:rPr/>
        <w:t>La IGCAC alega, respecto de algunas de las solicitudes de información realizadas</w:t>
      </w:r>
      <w:r>
        <w:rPr>
          <w:spacing w:val="10"/>
        </w:rPr>
        <w:t> </w:t>
      </w:r>
      <w:r>
        <w:rPr/>
        <w:t>por</w:t>
      </w:r>
      <w:r>
        <w:rPr>
          <w:spacing w:val="12"/>
        </w:rPr>
        <w:t> </w:t>
      </w:r>
      <w:r>
        <w:rPr/>
        <w:t>esta</w:t>
      </w:r>
      <w:r>
        <w:rPr>
          <w:spacing w:val="10"/>
        </w:rPr>
        <w:t> </w:t>
      </w:r>
      <w:r>
        <w:rPr/>
        <w:t>Institución,</w:t>
      </w:r>
      <w:r>
        <w:rPr>
          <w:spacing w:val="11"/>
        </w:rPr>
        <w:t> </w:t>
      </w:r>
      <w:r>
        <w:rPr/>
        <w:t>añadiendo</w:t>
      </w:r>
      <w:r>
        <w:rPr>
          <w:spacing w:val="12"/>
        </w:rPr>
        <w:t> </w:t>
      </w:r>
      <w:r>
        <w:rPr/>
        <w:t>información</w:t>
      </w:r>
      <w:r>
        <w:rPr>
          <w:spacing w:val="13"/>
        </w:rPr>
        <w:t> </w:t>
      </w:r>
      <w:r>
        <w:rPr/>
        <w:t>adicional</w:t>
      </w:r>
      <w:r>
        <w:rPr>
          <w:spacing w:val="12"/>
        </w:rPr>
        <w:t> </w:t>
      </w:r>
      <w:r>
        <w:rPr/>
        <w:t>sobre</w:t>
      </w:r>
      <w:r>
        <w:rPr>
          <w:spacing w:val="10"/>
        </w:rPr>
        <w:t> </w:t>
      </w:r>
      <w:r>
        <w:rPr/>
        <w:t>procedimientos</w:t>
      </w:r>
    </w:p>
    <w:p>
      <w:pPr>
        <w:pStyle w:val="BodyText"/>
        <w:rPr>
          <w:sz w:val="14"/>
        </w:rPr>
      </w:pPr>
    </w:p>
    <w:p>
      <w:pPr>
        <w:pStyle w:val="BodyText"/>
        <w:spacing w:before="61"/>
        <w:ind w:left="8760" w:right="973"/>
        <w:jc w:val="center"/>
      </w:pPr>
      <w:r>
        <w:rPr/>
        <w:t>205</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45" name="image5.png"/>
                  <wp:cNvGraphicFramePr>
                    <a:graphicFrameLocks noChangeAspect="1"/>
                  </wp:cNvGraphicFramePr>
                  <a:graphic>
                    <a:graphicData uri="http://schemas.openxmlformats.org/drawingml/2006/picture">
                      <pic:pic>
                        <pic:nvPicPr>
                          <pic:cNvPr id="44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207/247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263"/>
      </w:pPr>
      <w:r>
        <w:rPr/>
        <w:t>alternativos para realizar el trabajo de campo, sin necesidad de formular las peticiones de información aludidas.</w:t>
      </w:r>
    </w:p>
    <w:p>
      <w:pPr>
        <w:pStyle w:val="BodyText"/>
        <w:spacing w:before="10"/>
        <w:rPr>
          <w:sz w:val="16"/>
        </w:rPr>
      </w:pPr>
    </w:p>
    <w:p>
      <w:pPr>
        <w:pStyle w:val="BodyText"/>
        <w:ind w:left="2299" w:right="1263"/>
      </w:pPr>
      <w:r>
        <w:rPr>
          <w:b/>
        </w:rPr>
        <w:t>Contestación</w:t>
      </w:r>
      <w:r>
        <w:rPr/>
        <w:t>: La información adicional proporcionada por la IGCAC no modifica el contenido del Informe.</w:t>
      </w:r>
    </w:p>
    <w:p>
      <w:pPr>
        <w:pStyle w:val="BodyText"/>
        <w:spacing w:before="9"/>
        <w:rPr>
          <w:sz w:val="16"/>
        </w:rPr>
      </w:pPr>
    </w:p>
    <w:p>
      <w:pPr>
        <w:pStyle w:val="Heading1"/>
        <w:spacing w:before="1"/>
        <w:ind w:left="2299"/>
        <w:jc w:val="left"/>
      </w:pPr>
      <w:r>
        <w:rPr/>
        <w:t>Alegación 4: 1.5 Otras cuestiones (3).</w:t>
      </w:r>
    </w:p>
    <w:p>
      <w:pPr>
        <w:pStyle w:val="BodyText"/>
        <w:spacing w:before="7"/>
        <w:rPr>
          <w:b/>
          <w:sz w:val="16"/>
        </w:rPr>
      </w:pPr>
    </w:p>
    <w:p>
      <w:pPr>
        <w:spacing w:line="242" w:lineRule="auto" w:before="0"/>
        <w:ind w:left="2299" w:right="1345" w:firstLine="0"/>
        <w:jc w:val="both"/>
        <w:rPr>
          <w:sz w:val="20"/>
        </w:rPr>
      </w:pPr>
      <w:r>
        <w:rPr>
          <w:b/>
          <w:w w:val="105"/>
          <w:sz w:val="20"/>
        </w:rPr>
        <w:t>Resumen: </w:t>
      </w:r>
      <w:r>
        <w:rPr>
          <w:w w:val="105"/>
          <w:sz w:val="20"/>
        </w:rPr>
        <w:t>La IGCAC dentro de las alegaciones presentadas al epígrafe 1.5 “Otras cuestiones” del Proyecto de Informe en referencia a la solicitud de información señala “En relación con los Fondos carentes de personalidad jurídica, información y documentación justificativa de la devolución de los mismos aportados por el </w:t>
      </w:r>
      <w:r>
        <w:rPr>
          <w:spacing w:val="-3"/>
          <w:w w:val="105"/>
          <w:sz w:val="20"/>
        </w:rPr>
        <w:t>Estado”, </w:t>
      </w:r>
      <w:r>
        <w:rPr>
          <w:w w:val="105"/>
          <w:sz w:val="20"/>
        </w:rPr>
        <w:t>comunica</w:t>
      </w:r>
      <w:r>
        <w:rPr>
          <w:spacing w:val="-5"/>
          <w:w w:val="105"/>
          <w:sz w:val="20"/>
        </w:rPr>
        <w:t> </w:t>
      </w:r>
      <w:r>
        <w:rPr>
          <w:w w:val="105"/>
          <w:sz w:val="20"/>
        </w:rPr>
        <w:t>que</w:t>
      </w:r>
      <w:r>
        <w:rPr>
          <w:spacing w:val="-3"/>
          <w:w w:val="105"/>
          <w:sz w:val="20"/>
        </w:rPr>
        <w:t> </w:t>
      </w:r>
      <w:r>
        <w:rPr>
          <w:w w:val="105"/>
          <w:sz w:val="20"/>
        </w:rPr>
        <w:t>el</w:t>
      </w:r>
      <w:r>
        <w:rPr>
          <w:spacing w:val="-4"/>
          <w:w w:val="105"/>
          <w:sz w:val="20"/>
        </w:rPr>
        <w:t> </w:t>
      </w:r>
      <w:r>
        <w:rPr>
          <w:w w:val="105"/>
          <w:sz w:val="20"/>
        </w:rPr>
        <w:t>retraso</w:t>
      </w:r>
      <w:r>
        <w:rPr>
          <w:spacing w:val="-5"/>
          <w:w w:val="105"/>
          <w:sz w:val="20"/>
        </w:rPr>
        <w:t> </w:t>
      </w:r>
      <w:r>
        <w:rPr>
          <w:w w:val="105"/>
          <w:sz w:val="20"/>
        </w:rPr>
        <w:t>no</w:t>
      </w:r>
      <w:r>
        <w:rPr>
          <w:spacing w:val="-3"/>
          <w:w w:val="105"/>
          <w:sz w:val="20"/>
        </w:rPr>
        <w:t> </w:t>
      </w:r>
      <w:r>
        <w:rPr>
          <w:w w:val="105"/>
          <w:sz w:val="20"/>
        </w:rPr>
        <w:t>fue</w:t>
      </w:r>
      <w:r>
        <w:rPr>
          <w:spacing w:val="-4"/>
          <w:w w:val="105"/>
          <w:sz w:val="20"/>
        </w:rPr>
        <w:t> </w:t>
      </w:r>
      <w:r>
        <w:rPr>
          <w:w w:val="105"/>
          <w:sz w:val="20"/>
        </w:rPr>
        <w:t>de</w:t>
      </w:r>
      <w:r>
        <w:rPr>
          <w:spacing w:val="-5"/>
          <w:w w:val="105"/>
          <w:sz w:val="20"/>
        </w:rPr>
        <w:t> </w:t>
      </w:r>
      <w:r>
        <w:rPr>
          <w:w w:val="105"/>
          <w:sz w:val="20"/>
        </w:rPr>
        <w:t>7</w:t>
      </w:r>
      <w:r>
        <w:rPr>
          <w:spacing w:val="-5"/>
          <w:w w:val="105"/>
          <w:sz w:val="20"/>
        </w:rPr>
        <w:t> </w:t>
      </w:r>
      <w:r>
        <w:rPr>
          <w:w w:val="105"/>
          <w:sz w:val="20"/>
        </w:rPr>
        <w:t>días</w:t>
      </w:r>
      <w:r>
        <w:rPr>
          <w:spacing w:val="-3"/>
          <w:w w:val="105"/>
          <w:sz w:val="20"/>
        </w:rPr>
        <w:t> </w:t>
      </w:r>
      <w:r>
        <w:rPr>
          <w:w w:val="105"/>
          <w:sz w:val="20"/>
        </w:rPr>
        <w:t>sino</w:t>
      </w:r>
      <w:r>
        <w:rPr>
          <w:spacing w:val="-3"/>
          <w:w w:val="105"/>
          <w:sz w:val="20"/>
        </w:rPr>
        <w:t> </w:t>
      </w:r>
      <w:r>
        <w:rPr>
          <w:w w:val="105"/>
          <w:sz w:val="20"/>
        </w:rPr>
        <w:t>de</w:t>
      </w:r>
      <w:r>
        <w:rPr>
          <w:spacing w:val="-5"/>
          <w:w w:val="105"/>
          <w:sz w:val="20"/>
        </w:rPr>
        <w:t> </w:t>
      </w:r>
      <w:r>
        <w:rPr>
          <w:w w:val="105"/>
          <w:sz w:val="20"/>
        </w:rPr>
        <w:t>3.</w:t>
      </w:r>
      <w:r>
        <w:rPr>
          <w:spacing w:val="-3"/>
          <w:w w:val="105"/>
          <w:sz w:val="20"/>
        </w:rPr>
        <w:t> </w:t>
      </w:r>
      <w:r>
        <w:rPr>
          <w:w w:val="105"/>
          <w:sz w:val="20"/>
        </w:rPr>
        <w:t>Asimismo,</w:t>
      </w:r>
      <w:r>
        <w:rPr>
          <w:spacing w:val="-1"/>
          <w:w w:val="105"/>
          <w:sz w:val="20"/>
        </w:rPr>
        <w:t> </w:t>
      </w:r>
      <w:r>
        <w:rPr>
          <w:w w:val="105"/>
          <w:sz w:val="20"/>
        </w:rPr>
        <w:t>aporta</w:t>
      </w:r>
      <w:r>
        <w:rPr>
          <w:spacing w:val="-5"/>
          <w:w w:val="105"/>
          <w:sz w:val="20"/>
        </w:rPr>
        <w:t> </w:t>
      </w:r>
      <w:r>
        <w:rPr>
          <w:w w:val="105"/>
          <w:sz w:val="20"/>
        </w:rPr>
        <w:t>ahora y no en la contestación a dicha solicitud presentada el 2 de octubre, entre otras cuestiones la Resolución de la Secretaría General de Innovación del Ministerio de Ciencia e Innovación de 27 de julio de 2022, de reintegro de intereses de demora por remanentes no aplicados donde se establece: </w:t>
      </w:r>
      <w:r>
        <w:rPr>
          <w:i/>
          <w:w w:val="105"/>
          <w:sz w:val="20"/>
        </w:rPr>
        <w:t>“Decimotercero. Consta en el </w:t>
      </w:r>
      <w:r>
        <w:rPr>
          <w:i/>
          <w:w w:val="105"/>
          <w:sz w:val="20"/>
        </w:rPr>
        <w:t>sistema</w:t>
      </w:r>
      <w:r>
        <w:rPr>
          <w:i/>
          <w:spacing w:val="-7"/>
          <w:w w:val="105"/>
          <w:sz w:val="20"/>
        </w:rPr>
        <w:t> </w:t>
      </w:r>
      <w:r>
        <w:rPr>
          <w:i/>
          <w:w w:val="105"/>
          <w:sz w:val="20"/>
        </w:rPr>
        <w:t>de</w:t>
      </w:r>
      <w:r>
        <w:rPr>
          <w:i/>
          <w:spacing w:val="-8"/>
          <w:w w:val="105"/>
          <w:sz w:val="20"/>
        </w:rPr>
        <w:t> </w:t>
      </w:r>
      <w:r>
        <w:rPr>
          <w:i/>
          <w:w w:val="105"/>
          <w:sz w:val="20"/>
        </w:rPr>
        <w:t>información</w:t>
      </w:r>
      <w:r>
        <w:rPr>
          <w:i/>
          <w:spacing w:val="-6"/>
          <w:w w:val="105"/>
          <w:sz w:val="20"/>
        </w:rPr>
        <w:t> </w:t>
      </w:r>
      <w:r>
        <w:rPr>
          <w:i/>
          <w:spacing w:val="-3"/>
          <w:w w:val="105"/>
          <w:sz w:val="20"/>
        </w:rPr>
        <w:t>PRESYA</w:t>
      </w:r>
      <w:r>
        <w:rPr>
          <w:i/>
          <w:spacing w:val="-9"/>
          <w:w w:val="105"/>
          <w:sz w:val="20"/>
        </w:rPr>
        <w:t> </w:t>
      </w:r>
      <w:r>
        <w:rPr>
          <w:i/>
          <w:w w:val="105"/>
          <w:sz w:val="20"/>
        </w:rPr>
        <w:t>2</w:t>
      </w:r>
      <w:r>
        <w:rPr>
          <w:i/>
          <w:spacing w:val="-5"/>
          <w:w w:val="105"/>
          <w:sz w:val="20"/>
        </w:rPr>
        <w:t> </w:t>
      </w:r>
      <w:r>
        <w:rPr>
          <w:i/>
          <w:w w:val="105"/>
          <w:sz w:val="20"/>
        </w:rPr>
        <w:t>de</w:t>
      </w:r>
      <w:r>
        <w:rPr>
          <w:i/>
          <w:spacing w:val="-8"/>
          <w:w w:val="105"/>
          <w:sz w:val="20"/>
        </w:rPr>
        <w:t> </w:t>
      </w:r>
      <w:r>
        <w:rPr>
          <w:i/>
          <w:w w:val="105"/>
          <w:sz w:val="20"/>
        </w:rPr>
        <w:t>la</w:t>
      </w:r>
      <w:r>
        <w:rPr>
          <w:i/>
          <w:spacing w:val="-7"/>
          <w:w w:val="105"/>
          <w:sz w:val="20"/>
        </w:rPr>
        <w:t> </w:t>
      </w:r>
      <w:r>
        <w:rPr>
          <w:i/>
          <w:w w:val="105"/>
          <w:sz w:val="20"/>
        </w:rPr>
        <w:t>Intervención</w:t>
      </w:r>
      <w:r>
        <w:rPr>
          <w:i/>
          <w:spacing w:val="-8"/>
          <w:w w:val="105"/>
          <w:sz w:val="20"/>
        </w:rPr>
        <w:t> </w:t>
      </w:r>
      <w:r>
        <w:rPr>
          <w:i/>
          <w:w w:val="105"/>
          <w:sz w:val="20"/>
        </w:rPr>
        <w:t>General</w:t>
      </w:r>
      <w:r>
        <w:rPr>
          <w:i/>
          <w:spacing w:val="-6"/>
          <w:w w:val="105"/>
          <w:sz w:val="20"/>
        </w:rPr>
        <w:t> </w:t>
      </w:r>
      <w:r>
        <w:rPr>
          <w:i/>
          <w:w w:val="105"/>
          <w:sz w:val="20"/>
        </w:rPr>
        <w:t>de</w:t>
      </w:r>
      <w:r>
        <w:rPr>
          <w:i/>
          <w:spacing w:val="-7"/>
          <w:w w:val="105"/>
          <w:sz w:val="20"/>
        </w:rPr>
        <w:t> </w:t>
      </w:r>
      <w:r>
        <w:rPr>
          <w:i/>
          <w:w w:val="105"/>
          <w:sz w:val="20"/>
        </w:rPr>
        <w:t>la</w:t>
      </w:r>
      <w:r>
        <w:rPr>
          <w:i/>
          <w:spacing w:val="-7"/>
          <w:w w:val="105"/>
          <w:sz w:val="20"/>
        </w:rPr>
        <w:t> </w:t>
      </w:r>
      <w:r>
        <w:rPr>
          <w:i/>
          <w:w w:val="105"/>
          <w:sz w:val="20"/>
        </w:rPr>
        <w:t>Administración</w:t>
      </w:r>
      <w:r>
        <w:rPr>
          <w:i/>
          <w:spacing w:val="-7"/>
          <w:w w:val="105"/>
          <w:sz w:val="20"/>
        </w:rPr>
        <w:t> </w:t>
      </w:r>
      <w:r>
        <w:rPr>
          <w:i/>
          <w:w w:val="105"/>
          <w:sz w:val="20"/>
        </w:rPr>
        <w:t>del Estado (IGAE) que con fecha 22/12/2021, la CAC procedió a ingresar los remanentes no aplicados mediante dos Modelos 069, por importe de 17.050.793,08 € y 6.107.986,70 </w:t>
      </w:r>
      <w:r>
        <w:rPr>
          <w:i/>
          <w:spacing w:val="-3"/>
          <w:w w:val="105"/>
          <w:sz w:val="20"/>
        </w:rPr>
        <w:t>€.”</w:t>
      </w:r>
      <w:r>
        <w:rPr>
          <w:spacing w:val="-3"/>
          <w:w w:val="105"/>
          <w:sz w:val="20"/>
        </w:rPr>
        <w:t>, </w:t>
      </w:r>
      <w:r>
        <w:rPr>
          <w:w w:val="105"/>
          <w:sz w:val="20"/>
        </w:rPr>
        <w:t>asimismo en dicha resolución se procede al cálculo e inicio del procedimiento de reintegro de los intereses de demora por un importe de 5.173.723,84€, por los remanentes no</w:t>
      </w:r>
      <w:r>
        <w:rPr>
          <w:spacing w:val="3"/>
          <w:w w:val="105"/>
          <w:sz w:val="20"/>
        </w:rPr>
        <w:t> </w:t>
      </w:r>
      <w:r>
        <w:rPr>
          <w:w w:val="105"/>
          <w:sz w:val="20"/>
        </w:rPr>
        <w:t>aplicados.</w:t>
      </w:r>
    </w:p>
    <w:p>
      <w:pPr>
        <w:pStyle w:val="BodyText"/>
        <w:spacing w:before="10"/>
        <w:rPr>
          <w:sz w:val="15"/>
        </w:rPr>
      </w:pPr>
    </w:p>
    <w:p>
      <w:pPr>
        <w:pStyle w:val="Heading1"/>
        <w:ind w:left="2299"/>
        <w:jc w:val="left"/>
        <w:rPr>
          <w:b w:val="0"/>
        </w:rPr>
      </w:pPr>
      <w:r>
        <w:rPr>
          <w:w w:val="105"/>
        </w:rPr>
        <w:t>Contestación</w:t>
      </w:r>
      <w:r>
        <w:rPr>
          <w:b w:val="0"/>
          <w:w w:val="105"/>
        </w:rPr>
        <w:t>:</w:t>
      </w:r>
    </w:p>
    <w:p>
      <w:pPr>
        <w:pStyle w:val="BodyText"/>
        <w:spacing w:before="8"/>
        <w:rPr>
          <w:sz w:val="16"/>
        </w:rPr>
      </w:pPr>
    </w:p>
    <w:p>
      <w:pPr>
        <w:pStyle w:val="BodyText"/>
        <w:spacing w:line="242" w:lineRule="auto"/>
        <w:ind w:left="2299" w:right="1351"/>
        <w:jc w:val="both"/>
      </w:pPr>
      <w:r>
        <w:rPr>
          <w:w w:val="105"/>
        </w:rPr>
        <w:t>Respecto al plazo del retraso en 7 días se corresponde con las entradas y salidas de la</w:t>
      </w:r>
      <w:r>
        <w:rPr>
          <w:spacing w:val="-5"/>
          <w:w w:val="105"/>
        </w:rPr>
        <w:t> </w:t>
      </w:r>
      <w:r>
        <w:rPr>
          <w:w w:val="105"/>
        </w:rPr>
        <w:t>documentación</w:t>
      </w:r>
      <w:r>
        <w:rPr>
          <w:spacing w:val="-3"/>
          <w:w w:val="105"/>
        </w:rPr>
        <w:t> </w:t>
      </w:r>
      <w:r>
        <w:rPr>
          <w:w w:val="105"/>
        </w:rPr>
        <w:t>según</w:t>
      </w:r>
      <w:r>
        <w:rPr>
          <w:spacing w:val="-4"/>
          <w:w w:val="105"/>
        </w:rPr>
        <w:t> </w:t>
      </w:r>
      <w:r>
        <w:rPr>
          <w:w w:val="105"/>
        </w:rPr>
        <w:t>la</w:t>
      </w:r>
      <w:r>
        <w:rPr>
          <w:spacing w:val="-3"/>
          <w:w w:val="105"/>
        </w:rPr>
        <w:t> </w:t>
      </w:r>
      <w:r>
        <w:rPr>
          <w:w w:val="105"/>
        </w:rPr>
        <w:t>Oficina</w:t>
      </w:r>
      <w:r>
        <w:rPr>
          <w:spacing w:val="-5"/>
          <w:w w:val="105"/>
        </w:rPr>
        <w:t> </w:t>
      </w:r>
      <w:r>
        <w:rPr>
          <w:w w:val="105"/>
        </w:rPr>
        <w:t>de</w:t>
      </w:r>
      <w:r>
        <w:rPr>
          <w:spacing w:val="-4"/>
          <w:w w:val="105"/>
        </w:rPr>
        <w:t> </w:t>
      </w:r>
      <w:r>
        <w:rPr>
          <w:w w:val="105"/>
        </w:rPr>
        <w:t>Registro</w:t>
      </w:r>
      <w:r>
        <w:rPr>
          <w:spacing w:val="-1"/>
          <w:w w:val="105"/>
        </w:rPr>
        <w:t> </w:t>
      </w:r>
      <w:r>
        <w:rPr>
          <w:w w:val="105"/>
        </w:rPr>
        <w:t>Virtual</w:t>
      </w:r>
      <w:r>
        <w:rPr>
          <w:spacing w:val="-3"/>
          <w:w w:val="105"/>
        </w:rPr>
        <w:t> </w:t>
      </w:r>
      <w:r>
        <w:rPr>
          <w:w w:val="105"/>
        </w:rPr>
        <w:t>(ORVE)</w:t>
      </w:r>
      <w:r>
        <w:rPr>
          <w:spacing w:val="-5"/>
          <w:w w:val="105"/>
        </w:rPr>
        <w:t> </w:t>
      </w:r>
      <w:r>
        <w:rPr>
          <w:w w:val="105"/>
        </w:rPr>
        <w:t>por</w:t>
      </w:r>
      <w:r>
        <w:rPr>
          <w:spacing w:val="-3"/>
          <w:w w:val="105"/>
        </w:rPr>
        <w:t> </w:t>
      </w:r>
      <w:r>
        <w:rPr>
          <w:w w:val="105"/>
        </w:rPr>
        <w:t>lo</w:t>
      </w:r>
      <w:r>
        <w:rPr>
          <w:spacing w:val="-5"/>
          <w:w w:val="105"/>
        </w:rPr>
        <w:t> </w:t>
      </w:r>
      <w:r>
        <w:rPr>
          <w:w w:val="105"/>
        </w:rPr>
        <w:t>que</w:t>
      </w:r>
      <w:r>
        <w:rPr>
          <w:spacing w:val="-4"/>
          <w:w w:val="105"/>
        </w:rPr>
        <w:t> </w:t>
      </w:r>
      <w:r>
        <w:rPr>
          <w:w w:val="105"/>
        </w:rPr>
        <w:t>no</w:t>
      </w:r>
      <w:r>
        <w:rPr>
          <w:spacing w:val="-5"/>
          <w:w w:val="105"/>
        </w:rPr>
        <w:t> </w:t>
      </w:r>
      <w:r>
        <w:rPr>
          <w:w w:val="105"/>
        </w:rPr>
        <w:t>procede la modificación de dicho incumplimiento de plazo. Además, se constata que no se aportó la información solicitada, cuestión que ahora sí es aportada en plazo de alegaciones.</w:t>
      </w:r>
      <w:r>
        <w:rPr>
          <w:spacing w:val="-5"/>
          <w:w w:val="105"/>
        </w:rPr>
        <w:t> </w:t>
      </w:r>
      <w:r>
        <w:rPr>
          <w:w w:val="105"/>
        </w:rPr>
        <w:t>Si</w:t>
      </w:r>
      <w:r>
        <w:rPr>
          <w:spacing w:val="-4"/>
          <w:w w:val="105"/>
        </w:rPr>
        <w:t> </w:t>
      </w:r>
      <w:r>
        <w:rPr>
          <w:w w:val="105"/>
        </w:rPr>
        <w:t>bien</w:t>
      </w:r>
      <w:r>
        <w:rPr>
          <w:spacing w:val="-4"/>
          <w:w w:val="105"/>
        </w:rPr>
        <w:t> </w:t>
      </w:r>
      <w:r>
        <w:rPr>
          <w:w w:val="105"/>
        </w:rPr>
        <w:t>no</w:t>
      </w:r>
      <w:r>
        <w:rPr>
          <w:spacing w:val="-4"/>
          <w:w w:val="105"/>
        </w:rPr>
        <w:t> </w:t>
      </w:r>
      <w:r>
        <w:rPr>
          <w:w w:val="105"/>
        </w:rPr>
        <w:t>se</w:t>
      </w:r>
      <w:r>
        <w:rPr>
          <w:spacing w:val="-5"/>
          <w:w w:val="105"/>
        </w:rPr>
        <w:t> </w:t>
      </w:r>
      <w:r>
        <w:rPr>
          <w:w w:val="105"/>
        </w:rPr>
        <w:t>alega</w:t>
      </w:r>
      <w:r>
        <w:rPr>
          <w:spacing w:val="-2"/>
          <w:w w:val="105"/>
        </w:rPr>
        <w:t> </w:t>
      </w:r>
      <w:r>
        <w:rPr>
          <w:w w:val="105"/>
        </w:rPr>
        <w:t>expresamente,</w:t>
      </w:r>
      <w:r>
        <w:rPr>
          <w:spacing w:val="-5"/>
          <w:w w:val="105"/>
        </w:rPr>
        <w:t> </w:t>
      </w:r>
      <w:r>
        <w:rPr>
          <w:w w:val="105"/>
        </w:rPr>
        <w:t>tan</w:t>
      </w:r>
      <w:r>
        <w:rPr>
          <w:spacing w:val="-5"/>
          <w:w w:val="105"/>
        </w:rPr>
        <w:t> </w:t>
      </w:r>
      <w:r>
        <w:rPr>
          <w:w w:val="105"/>
        </w:rPr>
        <w:t>solo</w:t>
      </w:r>
      <w:r>
        <w:rPr>
          <w:spacing w:val="-5"/>
          <w:w w:val="105"/>
        </w:rPr>
        <w:t> </w:t>
      </w:r>
      <w:r>
        <w:rPr>
          <w:w w:val="105"/>
        </w:rPr>
        <w:t>se</w:t>
      </w:r>
      <w:r>
        <w:rPr>
          <w:spacing w:val="-2"/>
          <w:w w:val="105"/>
        </w:rPr>
        <w:t> </w:t>
      </w:r>
      <w:r>
        <w:rPr>
          <w:w w:val="105"/>
        </w:rPr>
        <w:t>hace</w:t>
      </w:r>
      <w:r>
        <w:rPr>
          <w:spacing w:val="-5"/>
          <w:w w:val="105"/>
        </w:rPr>
        <w:t> </w:t>
      </w:r>
      <w:r>
        <w:rPr>
          <w:w w:val="105"/>
        </w:rPr>
        <w:t>respecto</w:t>
      </w:r>
      <w:r>
        <w:rPr>
          <w:spacing w:val="-4"/>
          <w:w w:val="105"/>
        </w:rPr>
        <w:t> </w:t>
      </w:r>
      <w:r>
        <w:rPr>
          <w:w w:val="105"/>
        </w:rPr>
        <w:t>al</w:t>
      </w:r>
      <w:r>
        <w:rPr>
          <w:spacing w:val="-5"/>
          <w:w w:val="105"/>
        </w:rPr>
        <w:t> </w:t>
      </w:r>
      <w:r>
        <w:rPr>
          <w:w w:val="105"/>
        </w:rPr>
        <w:t>plazo</w:t>
      </w:r>
      <w:r>
        <w:rPr>
          <w:spacing w:val="-3"/>
          <w:w w:val="105"/>
        </w:rPr>
        <w:t> </w:t>
      </w:r>
      <w:r>
        <w:rPr>
          <w:w w:val="105"/>
        </w:rPr>
        <w:t>de respuesta a la solicitud de información y a las partes del informe a los que afecta la información ahora presentada. En base a la misma se procede a modificar el contenido del Proyecto de Informe como</w:t>
      </w:r>
      <w:r>
        <w:rPr>
          <w:spacing w:val="4"/>
          <w:w w:val="105"/>
        </w:rPr>
        <w:t> </w:t>
      </w:r>
      <w:r>
        <w:rPr>
          <w:w w:val="105"/>
        </w:rPr>
        <w:t>sigue:</w:t>
      </w:r>
    </w:p>
    <w:p>
      <w:pPr>
        <w:pStyle w:val="BodyText"/>
        <w:spacing w:before="2"/>
        <w:rPr>
          <w:sz w:val="16"/>
        </w:rPr>
      </w:pPr>
    </w:p>
    <w:p>
      <w:pPr>
        <w:pStyle w:val="ListParagraph"/>
        <w:numPr>
          <w:ilvl w:val="0"/>
          <w:numId w:val="122"/>
        </w:numPr>
        <w:tabs>
          <w:tab w:pos="2898" w:val="left" w:leader="none"/>
        </w:tabs>
        <w:spacing w:line="242" w:lineRule="auto" w:before="1" w:after="0"/>
        <w:ind w:left="2897" w:right="1347" w:hanging="299"/>
        <w:jc w:val="both"/>
        <w:rPr>
          <w:sz w:val="20"/>
        </w:rPr>
      </w:pPr>
      <w:r>
        <w:rPr>
          <w:w w:val="105"/>
          <w:sz w:val="20"/>
        </w:rPr>
        <w:t>La conclusión 46 del Proyecto de Informe quedaría redactada así: “La devolución de los fondos aportados por el Estado en el marco del Convenio para el fortalecimiento y apoyo de la red de Parques Tecnológicos de Canarias alcanza un importe de 23,2 millones de € devueltos en diciembre de 2021. En julio de 2022 se inició por el Ministerio de Ciencia e Innovación procedimiento de reintegro de los intereses de demora por un importe de 5,2 millones de €, por los remanentes no aplicados. Todo lo anterior demuestra el incumplimiento de los objetivos establecidos con</w:t>
      </w:r>
      <w:r>
        <w:rPr>
          <w:spacing w:val="3"/>
          <w:w w:val="105"/>
          <w:sz w:val="20"/>
        </w:rPr>
        <w:t> </w:t>
      </w:r>
      <w:r>
        <w:rPr>
          <w:w w:val="105"/>
          <w:sz w:val="20"/>
        </w:rPr>
        <w:t>la</w:t>
      </w:r>
    </w:p>
    <w:p>
      <w:pPr>
        <w:pStyle w:val="BodyText"/>
        <w:ind w:left="2150" w:right="1340"/>
        <w:jc w:val="right"/>
      </w:pPr>
      <w:r>
        <w:rPr/>
        <w:t>206</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47" name="image5.png"/>
                  <wp:cNvGraphicFramePr>
                    <a:graphicFrameLocks noChangeAspect="1"/>
                  </wp:cNvGraphicFramePr>
                  <a:graphic>
                    <a:graphicData uri="http://schemas.openxmlformats.org/drawingml/2006/picture">
                      <pic:pic>
                        <pic:nvPicPr>
                          <pic:cNvPr id="44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208/247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897"/>
      </w:pPr>
      <w:r>
        <w:rPr>
          <w:w w:val="105"/>
        </w:rPr>
        <w:t>instauración de los anteriores fondos. Ineficacia que ya se visualiza asimismo</w:t>
      </w:r>
    </w:p>
    <w:p>
      <w:pPr>
        <w:pStyle w:val="BodyText"/>
        <w:spacing w:before="2"/>
        <w:ind w:left="2897"/>
      </w:pPr>
      <w:r>
        <w:rPr>
          <w:w w:val="105"/>
        </w:rPr>
        <w:t>en el nuevo Fondo CANARIAS FINANCIA 1 (capítulo 6).”</w:t>
      </w:r>
    </w:p>
    <w:p>
      <w:pPr>
        <w:pStyle w:val="BodyText"/>
        <w:spacing w:line="242" w:lineRule="auto" w:before="2"/>
        <w:ind w:left="2903" w:right="1345" w:hanging="303"/>
        <w:jc w:val="both"/>
      </w:pPr>
      <w:r>
        <w:rPr>
          <w:w w:val="105"/>
        </w:rPr>
        <w:t>b) El cuarto párrafo del Capítulo 6 del Informe quedaría redactado como sigue: “En</w:t>
      </w:r>
      <w:r>
        <w:rPr>
          <w:spacing w:val="-8"/>
          <w:w w:val="105"/>
        </w:rPr>
        <w:t> </w:t>
      </w:r>
      <w:r>
        <w:rPr>
          <w:w w:val="105"/>
        </w:rPr>
        <w:t>cuanto</w:t>
      </w:r>
      <w:r>
        <w:rPr>
          <w:spacing w:val="-7"/>
          <w:w w:val="105"/>
        </w:rPr>
        <w:t> </w:t>
      </w:r>
      <w:r>
        <w:rPr>
          <w:w w:val="105"/>
        </w:rPr>
        <w:t>a</w:t>
      </w:r>
      <w:r>
        <w:rPr>
          <w:spacing w:val="-7"/>
          <w:w w:val="105"/>
        </w:rPr>
        <w:t> </w:t>
      </w:r>
      <w:r>
        <w:rPr>
          <w:w w:val="105"/>
        </w:rPr>
        <w:t>la</w:t>
      </w:r>
      <w:r>
        <w:rPr>
          <w:spacing w:val="-5"/>
          <w:w w:val="105"/>
        </w:rPr>
        <w:t> </w:t>
      </w:r>
      <w:r>
        <w:rPr>
          <w:w w:val="105"/>
        </w:rPr>
        <w:t>devolución</w:t>
      </w:r>
      <w:r>
        <w:rPr>
          <w:spacing w:val="-7"/>
          <w:w w:val="105"/>
        </w:rPr>
        <w:t> </w:t>
      </w:r>
      <w:r>
        <w:rPr>
          <w:w w:val="105"/>
        </w:rPr>
        <w:t>de</w:t>
      </w:r>
      <w:r>
        <w:rPr>
          <w:spacing w:val="-7"/>
          <w:w w:val="105"/>
        </w:rPr>
        <w:t> </w:t>
      </w:r>
      <w:r>
        <w:rPr>
          <w:w w:val="105"/>
        </w:rPr>
        <w:t>los</w:t>
      </w:r>
      <w:r>
        <w:rPr>
          <w:spacing w:val="-7"/>
          <w:w w:val="105"/>
        </w:rPr>
        <w:t> </w:t>
      </w:r>
      <w:r>
        <w:rPr>
          <w:w w:val="105"/>
        </w:rPr>
        <w:t>fondos</w:t>
      </w:r>
      <w:r>
        <w:rPr>
          <w:spacing w:val="-7"/>
          <w:w w:val="105"/>
        </w:rPr>
        <w:t> </w:t>
      </w:r>
      <w:r>
        <w:rPr>
          <w:w w:val="105"/>
        </w:rPr>
        <w:t>aportados</w:t>
      </w:r>
      <w:r>
        <w:rPr>
          <w:spacing w:val="-7"/>
          <w:w w:val="105"/>
        </w:rPr>
        <w:t> </w:t>
      </w:r>
      <w:r>
        <w:rPr>
          <w:w w:val="105"/>
        </w:rPr>
        <w:t>por</w:t>
      </w:r>
      <w:r>
        <w:rPr>
          <w:spacing w:val="-8"/>
          <w:w w:val="105"/>
        </w:rPr>
        <w:t> </w:t>
      </w:r>
      <w:r>
        <w:rPr>
          <w:w w:val="105"/>
        </w:rPr>
        <w:t>el</w:t>
      </w:r>
      <w:r>
        <w:rPr>
          <w:spacing w:val="-7"/>
          <w:w w:val="105"/>
        </w:rPr>
        <w:t> </w:t>
      </w:r>
      <w:r>
        <w:rPr>
          <w:w w:val="105"/>
        </w:rPr>
        <w:t>Estado</w:t>
      </w:r>
      <w:r>
        <w:rPr>
          <w:spacing w:val="-5"/>
          <w:w w:val="105"/>
        </w:rPr>
        <w:t> </w:t>
      </w:r>
      <w:r>
        <w:rPr>
          <w:w w:val="105"/>
        </w:rPr>
        <w:t>en</w:t>
      </w:r>
      <w:r>
        <w:rPr>
          <w:spacing w:val="-7"/>
          <w:w w:val="105"/>
        </w:rPr>
        <w:t> </w:t>
      </w:r>
      <w:r>
        <w:rPr>
          <w:w w:val="105"/>
        </w:rPr>
        <w:t>el</w:t>
      </w:r>
      <w:r>
        <w:rPr>
          <w:spacing w:val="-5"/>
          <w:w w:val="105"/>
        </w:rPr>
        <w:t> </w:t>
      </w:r>
      <w:r>
        <w:rPr>
          <w:w w:val="105"/>
        </w:rPr>
        <w:t>marco del Convenio para el fortalecimiento y apoyo de la red de Parques Tecnológicos</w:t>
      </w:r>
      <w:r>
        <w:rPr>
          <w:spacing w:val="-7"/>
          <w:w w:val="105"/>
        </w:rPr>
        <w:t> </w:t>
      </w:r>
      <w:r>
        <w:rPr>
          <w:w w:val="105"/>
        </w:rPr>
        <w:t>de</w:t>
      </w:r>
      <w:r>
        <w:rPr>
          <w:spacing w:val="-5"/>
          <w:w w:val="105"/>
        </w:rPr>
        <w:t> </w:t>
      </w:r>
      <w:r>
        <w:rPr>
          <w:w w:val="105"/>
        </w:rPr>
        <w:t>Canarias</w:t>
      </w:r>
      <w:r>
        <w:rPr>
          <w:spacing w:val="-7"/>
          <w:w w:val="105"/>
        </w:rPr>
        <w:t> </w:t>
      </w:r>
      <w:r>
        <w:rPr>
          <w:w w:val="105"/>
        </w:rPr>
        <w:t>alcanza</w:t>
      </w:r>
      <w:r>
        <w:rPr>
          <w:spacing w:val="-7"/>
          <w:w w:val="105"/>
        </w:rPr>
        <w:t> </w:t>
      </w:r>
      <w:r>
        <w:rPr>
          <w:w w:val="105"/>
        </w:rPr>
        <w:t>un</w:t>
      </w:r>
      <w:r>
        <w:rPr>
          <w:spacing w:val="-7"/>
          <w:w w:val="105"/>
        </w:rPr>
        <w:t> </w:t>
      </w:r>
      <w:r>
        <w:rPr>
          <w:w w:val="105"/>
        </w:rPr>
        <w:t>importe</w:t>
      </w:r>
      <w:r>
        <w:rPr>
          <w:spacing w:val="-7"/>
          <w:w w:val="105"/>
        </w:rPr>
        <w:t> </w:t>
      </w:r>
      <w:r>
        <w:rPr>
          <w:w w:val="105"/>
        </w:rPr>
        <w:t>de</w:t>
      </w:r>
      <w:r>
        <w:rPr>
          <w:spacing w:val="-5"/>
          <w:w w:val="105"/>
        </w:rPr>
        <w:t> </w:t>
      </w:r>
      <w:r>
        <w:rPr>
          <w:w w:val="105"/>
        </w:rPr>
        <w:t>23,2</w:t>
      </w:r>
      <w:r>
        <w:rPr>
          <w:spacing w:val="-7"/>
          <w:w w:val="105"/>
        </w:rPr>
        <w:t> </w:t>
      </w:r>
      <w:r>
        <w:rPr>
          <w:w w:val="105"/>
        </w:rPr>
        <w:t>millones</w:t>
      </w:r>
      <w:r>
        <w:rPr>
          <w:spacing w:val="-7"/>
          <w:w w:val="105"/>
        </w:rPr>
        <w:t> </w:t>
      </w:r>
      <w:r>
        <w:rPr>
          <w:w w:val="105"/>
        </w:rPr>
        <w:t>de</w:t>
      </w:r>
      <w:r>
        <w:rPr>
          <w:spacing w:val="-7"/>
          <w:w w:val="105"/>
        </w:rPr>
        <w:t> </w:t>
      </w:r>
      <w:r>
        <w:rPr>
          <w:w w:val="105"/>
        </w:rPr>
        <w:t>€</w:t>
      </w:r>
      <w:r>
        <w:rPr>
          <w:spacing w:val="-7"/>
          <w:w w:val="105"/>
        </w:rPr>
        <w:t> </w:t>
      </w:r>
      <w:r>
        <w:rPr>
          <w:w w:val="105"/>
        </w:rPr>
        <w:t>devueltos en diciembre de 2021. En julio de 2022 se inició por el Ministerio de Ciencia e Innovación procedimiento de reintegro de los intereses de demora por un importe de 5,2 millones de €, por los remanentes no aplicados. Todo lo anterior demuestra el incumplimiento de los objetivos establecidos con la instauración de los anteriores</w:t>
      </w:r>
      <w:r>
        <w:rPr>
          <w:spacing w:val="3"/>
          <w:w w:val="105"/>
        </w:rPr>
        <w:t> </w:t>
      </w:r>
      <w:r>
        <w:rPr>
          <w:w w:val="105"/>
        </w:rPr>
        <w:t>fondos.”</w:t>
      </w:r>
    </w:p>
    <w:p>
      <w:pPr>
        <w:pStyle w:val="BodyText"/>
        <w:spacing w:before="2"/>
        <w:rPr>
          <w:sz w:val="16"/>
        </w:rPr>
      </w:pPr>
    </w:p>
    <w:p>
      <w:pPr>
        <w:pStyle w:val="Heading1"/>
        <w:ind w:left="2299"/>
        <w:jc w:val="both"/>
      </w:pPr>
      <w:r>
        <w:rPr>
          <w:w w:val="105"/>
        </w:rPr>
        <w:t>Alegación 5: 1.7 Marco jurídico presupuestario y contable.</w:t>
      </w:r>
    </w:p>
    <w:p>
      <w:pPr>
        <w:pStyle w:val="BodyText"/>
        <w:spacing w:before="7"/>
        <w:rPr>
          <w:b/>
          <w:sz w:val="16"/>
        </w:rPr>
      </w:pPr>
    </w:p>
    <w:p>
      <w:pPr>
        <w:pStyle w:val="BodyText"/>
        <w:spacing w:before="1"/>
        <w:ind w:left="2299" w:right="1349"/>
        <w:jc w:val="both"/>
      </w:pPr>
      <w:r>
        <w:rPr>
          <w:b/>
          <w:w w:val="105"/>
        </w:rPr>
        <w:t>Resumen: </w:t>
      </w:r>
      <w:r>
        <w:rPr>
          <w:w w:val="105"/>
        </w:rPr>
        <w:t>Se solicita que en el ámbito autonómico se haga referencia a las instrucciones en materia de contabilidad pública que se encuentran publicadas en la web de este Centro directivo y que han sido de aplicación para la formación de las cuentas anuales en el ámbito del sector público limitativo.</w:t>
      </w:r>
    </w:p>
    <w:p>
      <w:pPr>
        <w:pStyle w:val="BodyText"/>
        <w:rPr>
          <w:sz w:val="17"/>
        </w:rPr>
      </w:pPr>
    </w:p>
    <w:p>
      <w:pPr>
        <w:pStyle w:val="BodyText"/>
        <w:ind w:left="2299" w:right="1352"/>
        <w:jc w:val="both"/>
      </w:pPr>
      <w:r>
        <w:rPr>
          <w:b/>
          <w:w w:val="105"/>
        </w:rPr>
        <w:t>Contestación: </w:t>
      </w:r>
      <w:r>
        <w:rPr>
          <w:w w:val="105"/>
        </w:rPr>
        <w:t>Para la elaboración del Informe se ha utilizado un volumen importante de normativa contable y de otra naturaleza. El criterio para la cumplimentación del apartado dedicado al marco normativo ha considerado reflejar, solamente, las normas más relevantes.</w:t>
      </w:r>
    </w:p>
    <w:p>
      <w:pPr>
        <w:pStyle w:val="BodyText"/>
        <w:spacing w:before="1"/>
        <w:rPr>
          <w:sz w:val="17"/>
        </w:rPr>
      </w:pPr>
    </w:p>
    <w:p>
      <w:pPr>
        <w:pStyle w:val="BodyText"/>
        <w:spacing w:before="1"/>
        <w:ind w:left="2299"/>
        <w:jc w:val="both"/>
      </w:pPr>
      <w:r>
        <w:rPr>
          <w:w w:val="105"/>
        </w:rPr>
        <w:t>En consecuencia, no se modifica el contenido del Informe.</w:t>
      </w:r>
    </w:p>
    <w:p>
      <w:pPr>
        <w:pStyle w:val="BodyText"/>
        <w:spacing w:before="7"/>
        <w:rPr>
          <w:sz w:val="16"/>
        </w:rPr>
      </w:pPr>
    </w:p>
    <w:p>
      <w:pPr>
        <w:pStyle w:val="Heading1"/>
        <w:ind w:left="2299"/>
        <w:jc w:val="both"/>
      </w:pPr>
      <w:r>
        <w:rPr/>
        <w:t>Alegación 6: 2. Análisis del contenido y estructura de la Cuenta General (1).</w:t>
      </w:r>
    </w:p>
    <w:p>
      <w:pPr>
        <w:pStyle w:val="BodyText"/>
        <w:spacing w:before="10"/>
        <w:rPr>
          <w:b/>
          <w:sz w:val="16"/>
        </w:rPr>
      </w:pPr>
    </w:p>
    <w:p>
      <w:pPr>
        <w:pStyle w:val="BodyText"/>
        <w:ind w:left="2299" w:right="1344"/>
        <w:jc w:val="both"/>
      </w:pPr>
      <w:r>
        <w:rPr>
          <w:b/>
        </w:rPr>
        <w:t>Resumen: </w:t>
      </w:r>
      <w:r>
        <w:rPr/>
        <w:t>Se propone que el Informe señale que la Cuenta General contiene, no solo los estados e informes que establece el Plan General de Contabilidad Pública de la CAC, sino</w:t>
      </w:r>
      <w:r>
        <w:rPr>
          <w:spacing w:val="-3"/>
        </w:rPr>
        <w:t> </w:t>
      </w:r>
      <w:r>
        <w:rPr/>
        <w:t>también</w:t>
      </w:r>
      <w:r>
        <w:rPr>
          <w:spacing w:val="-2"/>
        </w:rPr>
        <w:t> </w:t>
      </w:r>
      <w:r>
        <w:rPr/>
        <w:t>los</w:t>
      </w:r>
      <w:r>
        <w:rPr>
          <w:spacing w:val="-3"/>
        </w:rPr>
        <w:t> </w:t>
      </w:r>
      <w:r>
        <w:rPr/>
        <w:t>que</w:t>
      </w:r>
      <w:r>
        <w:rPr>
          <w:spacing w:val="-3"/>
        </w:rPr>
        <w:t> </w:t>
      </w:r>
      <w:r>
        <w:rPr/>
        <w:t>establece</w:t>
      </w:r>
      <w:r>
        <w:rPr>
          <w:spacing w:val="-3"/>
        </w:rPr>
        <w:t> </w:t>
      </w:r>
      <w:r>
        <w:rPr/>
        <w:t>el</w:t>
      </w:r>
      <w:r>
        <w:rPr>
          <w:spacing w:val="-3"/>
        </w:rPr>
        <w:t> </w:t>
      </w:r>
      <w:r>
        <w:rPr/>
        <w:t>artículo</w:t>
      </w:r>
      <w:r>
        <w:rPr>
          <w:spacing w:val="-3"/>
        </w:rPr>
        <w:t> </w:t>
      </w:r>
      <w:r>
        <w:rPr/>
        <w:t>117</w:t>
      </w:r>
      <w:r>
        <w:rPr>
          <w:spacing w:val="-5"/>
        </w:rPr>
        <w:t> </w:t>
      </w:r>
      <w:r>
        <w:rPr/>
        <w:t>de</w:t>
      </w:r>
      <w:r>
        <w:rPr>
          <w:spacing w:val="-5"/>
        </w:rPr>
        <w:t> </w:t>
      </w:r>
      <w:r>
        <w:rPr/>
        <w:t>la</w:t>
      </w:r>
      <w:r>
        <w:rPr>
          <w:spacing w:val="-1"/>
        </w:rPr>
        <w:t> </w:t>
      </w:r>
      <w:r>
        <w:rPr/>
        <w:t>Ley</w:t>
      </w:r>
      <w:r>
        <w:rPr>
          <w:spacing w:val="-4"/>
        </w:rPr>
        <w:t> </w:t>
      </w:r>
      <w:r>
        <w:rPr/>
        <w:t>11/2006,</w:t>
      </w:r>
      <w:r>
        <w:rPr>
          <w:spacing w:val="-3"/>
        </w:rPr>
        <w:t> </w:t>
      </w:r>
      <w:r>
        <w:rPr/>
        <w:t>de</w:t>
      </w:r>
      <w:r>
        <w:rPr>
          <w:spacing w:val="-3"/>
        </w:rPr>
        <w:t> </w:t>
      </w:r>
      <w:r>
        <w:rPr/>
        <w:t>11</w:t>
      </w:r>
      <w:r>
        <w:rPr>
          <w:spacing w:val="-3"/>
        </w:rPr>
        <w:t> </w:t>
      </w:r>
      <w:r>
        <w:rPr/>
        <w:t>de</w:t>
      </w:r>
      <w:r>
        <w:rPr>
          <w:spacing w:val="-5"/>
        </w:rPr>
        <w:t> </w:t>
      </w:r>
      <w:r>
        <w:rPr/>
        <w:t>diciembre,</w:t>
      </w:r>
      <w:r>
        <w:rPr>
          <w:spacing w:val="-5"/>
        </w:rPr>
        <w:t> </w:t>
      </w:r>
      <w:r>
        <w:rPr/>
        <w:t>de la Hacienda Pública Canaria de la Comunidad Autónoma de</w:t>
      </w:r>
      <w:r>
        <w:rPr>
          <w:spacing w:val="4"/>
        </w:rPr>
        <w:t> </w:t>
      </w:r>
      <w:r>
        <w:rPr/>
        <w:t>Canarias.</w:t>
      </w:r>
    </w:p>
    <w:p>
      <w:pPr>
        <w:pStyle w:val="BodyText"/>
        <w:spacing w:before="1"/>
        <w:rPr>
          <w:sz w:val="17"/>
        </w:rPr>
      </w:pPr>
    </w:p>
    <w:p>
      <w:pPr>
        <w:pStyle w:val="BodyText"/>
        <w:ind w:left="2299" w:right="1347"/>
        <w:jc w:val="both"/>
      </w:pPr>
      <w:r>
        <w:rPr>
          <w:b/>
        </w:rPr>
        <w:t>Contestación: </w:t>
      </w:r>
      <w:r>
        <w:rPr/>
        <w:t>A la vista de la alegación, se modifica al segundo párrafo del Proyecto de Informe, de la siguiente forma:</w:t>
      </w:r>
    </w:p>
    <w:p>
      <w:pPr>
        <w:pStyle w:val="BodyText"/>
        <w:spacing w:before="1"/>
        <w:rPr>
          <w:sz w:val="17"/>
        </w:rPr>
      </w:pPr>
    </w:p>
    <w:p>
      <w:pPr>
        <w:pStyle w:val="ListParagraph"/>
        <w:numPr>
          <w:ilvl w:val="0"/>
          <w:numId w:val="123"/>
        </w:numPr>
        <w:tabs>
          <w:tab w:pos="2894" w:val="left" w:leader="none"/>
        </w:tabs>
        <w:spacing w:line="240" w:lineRule="auto" w:before="0" w:after="0"/>
        <w:ind w:left="2893" w:right="0" w:hanging="299"/>
        <w:jc w:val="both"/>
        <w:rPr>
          <w:sz w:val="18"/>
        </w:rPr>
      </w:pPr>
      <w:r>
        <w:rPr>
          <w:w w:val="105"/>
          <w:sz w:val="18"/>
        </w:rPr>
        <w:t>Donde</w:t>
      </w:r>
      <w:r>
        <w:rPr>
          <w:spacing w:val="-7"/>
          <w:w w:val="105"/>
          <w:sz w:val="18"/>
        </w:rPr>
        <w:t> </w:t>
      </w:r>
      <w:r>
        <w:rPr>
          <w:w w:val="105"/>
          <w:sz w:val="18"/>
        </w:rPr>
        <w:t>dice:”</w:t>
      </w:r>
      <w:r>
        <w:rPr>
          <w:spacing w:val="-7"/>
          <w:w w:val="105"/>
          <w:sz w:val="18"/>
        </w:rPr>
        <w:t> </w:t>
      </w:r>
      <w:r>
        <w:rPr>
          <w:w w:val="105"/>
          <w:sz w:val="18"/>
        </w:rPr>
        <w:t>La</w:t>
      </w:r>
      <w:r>
        <w:rPr>
          <w:spacing w:val="-3"/>
          <w:w w:val="105"/>
          <w:sz w:val="18"/>
        </w:rPr>
        <w:t> </w:t>
      </w:r>
      <w:r>
        <w:rPr>
          <w:w w:val="105"/>
          <w:sz w:val="18"/>
        </w:rPr>
        <w:t>Cuenta</w:t>
      </w:r>
      <w:r>
        <w:rPr>
          <w:spacing w:val="-4"/>
          <w:w w:val="105"/>
          <w:sz w:val="18"/>
        </w:rPr>
        <w:t> </w:t>
      </w:r>
      <w:r>
        <w:rPr>
          <w:w w:val="105"/>
          <w:sz w:val="18"/>
        </w:rPr>
        <w:t>rendida</w:t>
      </w:r>
      <w:r>
        <w:rPr>
          <w:spacing w:val="-5"/>
          <w:w w:val="105"/>
          <w:sz w:val="18"/>
        </w:rPr>
        <w:t> </w:t>
      </w:r>
      <w:r>
        <w:rPr>
          <w:w w:val="105"/>
          <w:sz w:val="18"/>
        </w:rPr>
        <w:t>contiene</w:t>
      </w:r>
      <w:r>
        <w:rPr>
          <w:spacing w:val="-6"/>
          <w:w w:val="105"/>
          <w:sz w:val="18"/>
        </w:rPr>
        <w:t> </w:t>
      </w:r>
      <w:r>
        <w:rPr>
          <w:w w:val="105"/>
          <w:sz w:val="18"/>
        </w:rPr>
        <w:t>todos</w:t>
      </w:r>
      <w:r>
        <w:rPr>
          <w:spacing w:val="-7"/>
          <w:w w:val="105"/>
          <w:sz w:val="18"/>
        </w:rPr>
        <w:t> </w:t>
      </w:r>
      <w:r>
        <w:rPr>
          <w:w w:val="105"/>
          <w:sz w:val="18"/>
        </w:rPr>
        <w:t>los</w:t>
      </w:r>
      <w:r>
        <w:rPr>
          <w:spacing w:val="-6"/>
          <w:w w:val="105"/>
          <w:sz w:val="18"/>
        </w:rPr>
        <w:t> </w:t>
      </w:r>
      <w:r>
        <w:rPr>
          <w:w w:val="105"/>
          <w:sz w:val="18"/>
        </w:rPr>
        <w:t>estados</w:t>
      </w:r>
      <w:r>
        <w:rPr>
          <w:spacing w:val="-6"/>
          <w:w w:val="105"/>
          <w:sz w:val="18"/>
        </w:rPr>
        <w:t> </w:t>
      </w:r>
      <w:r>
        <w:rPr>
          <w:w w:val="105"/>
          <w:sz w:val="18"/>
        </w:rPr>
        <w:t>exigidos</w:t>
      </w:r>
      <w:r>
        <w:rPr>
          <w:spacing w:val="-7"/>
          <w:w w:val="105"/>
          <w:sz w:val="18"/>
        </w:rPr>
        <w:t> </w:t>
      </w:r>
      <w:r>
        <w:rPr>
          <w:w w:val="105"/>
          <w:sz w:val="18"/>
        </w:rPr>
        <w:t>por</w:t>
      </w:r>
      <w:r>
        <w:rPr>
          <w:spacing w:val="-6"/>
          <w:w w:val="105"/>
          <w:sz w:val="18"/>
        </w:rPr>
        <w:t> </w:t>
      </w:r>
      <w:r>
        <w:rPr>
          <w:w w:val="105"/>
          <w:sz w:val="18"/>
        </w:rPr>
        <w:t>el</w:t>
      </w:r>
      <w:r>
        <w:rPr>
          <w:spacing w:val="-5"/>
          <w:w w:val="105"/>
          <w:sz w:val="18"/>
        </w:rPr>
        <w:t> </w:t>
      </w:r>
      <w:r>
        <w:rPr>
          <w:w w:val="105"/>
          <w:sz w:val="18"/>
        </w:rPr>
        <w:t>citado</w:t>
      </w:r>
      <w:r>
        <w:rPr>
          <w:spacing w:val="-7"/>
          <w:w w:val="105"/>
          <w:sz w:val="18"/>
        </w:rPr>
        <w:t> </w:t>
      </w:r>
      <w:r>
        <w:rPr>
          <w:w w:val="105"/>
          <w:sz w:val="18"/>
        </w:rPr>
        <w:t>Plan.”</w:t>
      </w:r>
    </w:p>
    <w:p>
      <w:pPr>
        <w:pStyle w:val="ListParagraph"/>
        <w:numPr>
          <w:ilvl w:val="0"/>
          <w:numId w:val="123"/>
        </w:numPr>
        <w:tabs>
          <w:tab w:pos="2894" w:val="left" w:leader="none"/>
        </w:tabs>
        <w:spacing w:line="247" w:lineRule="auto" w:before="6" w:after="0"/>
        <w:ind w:left="2893" w:right="1342" w:hanging="303"/>
        <w:jc w:val="both"/>
        <w:rPr>
          <w:i/>
          <w:sz w:val="18"/>
        </w:rPr>
      </w:pPr>
      <w:r>
        <w:rPr>
          <w:w w:val="105"/>
          <w:sz w:val="18"/>
        </w:rPr>
        <w:t>Debe decir: “</w:t>
      </w:r>
      <w:r>
        <w:rPr>
          <w:i/>
          <w:w w:val="105"/>
          <w:sz w:val="18"/>
        </w:rPr>
        <w:t>La Cuenta rendida contiene todos los estados e informes exigidos por el </w:t>
      </w:r>
      <w:r>
        <w:rPr>
          <w:i/>
          <w:w w:val="105"/>
          <w:sz w:val="18"/>
        </w:rPr>
        <w:t>artículo 117 de Ley 11/2006, de 11 de diciembre, de la Hacienda Pública Canaria de la Comunidad</w:t>
      </w:r>
      <w:r>
        <w:rPr>
          <w:i/>
          <w:spacing w:val="-7"/>
          <w:w w:val="105"/>
          <w:sz w:val="18"/>
        </w:rPr>
        <w:t> </w:t>
      </w:r>
      <w:r>
        <w:rPr>
          <w:i/>
          <w:w w:val="105"/>
          <w:sz w:val="18"/>
        </w:rPr>
        <w:t>Autónoma</w:t>
      </w:r>
      <w:r>
        <w:rPr>
          <w:i/>
          <w:spacing w:val="-7"/>
          <w:w w:val="105"/>
          <w:sz w:val="18"/>
        </w:rPr>
        <w:t> </w:t>
      </w:r>
      <w:r>
        <w:rPr>
          <w:i/>
          <w:w w:val="105"/>
          <w:sz w:val="18"/>
        </w:rPr>
        <w:t>de</w:t>
      </w:r>
      <w:r>
        <w:rPr>
          <w:i/>
          <w:spacing w:val="-7"/>
          <w:w w:val="105"/>
          <w:sz w:val="18"/>
        </w:rPr>
        <w:t> </w:t>
      </w:r>
      <w:r>
        <w:rPr>
          <w:i/>
          <w:w w:val="105"/>
          <w:sz w:val="18"/>
        </w:rPr>
        <w:t>Canarias,</w:t>
      </w:r>
      <w:r>
        <w:rPr>
          <w:i/>
          <w:spacing w:val="-6"/>
          <w:w w:val="105"/>
          <w:sz w:val="18"/>
        </w:rPr>
        <w:t> </w:t>
      </w:r>
      <w:r>
        <w:rPr>
          <w:i/>
          <w:w w:val="105"/>
          <w:sz w:val="18"/>
        </w:rPr>
        <w:t>y</w:t>
      </w:r>
      <w:r>
        <w:rPr>
          <w:i/>
          <w:spacing w:val="-6"/>
          <w:w w:val="105"/>
          <w:sz w:val="18"/>
        </w:rPr>
        <w:t> </w:t>
      </w:r>
      <w:r>
        <w:rPr>
          <w:i/>
          <w:w w:val="105"/>
          <w:sz w:val="18"/>
        </w:rPr>
        <w:t>por</w:t>
      </w:r>
      <w:r>
        <w:rPr>
          <w:i/>
          <w:spacing w:val="-5"/>
          <w:w w:val="105"/>
          <w:sz w:val="18"/>
        </w:rPr>
        <w:t> </w:t>
      </w:r>
      <w:r>
        <w:rPr>
          <w:i/>
          <w:w w:val="105"/>
          <w:sz w:val="18"/>
        </w:rPr>
        <w:t>el</w:t>
      </w:r>
      <w:r>
        <w:rPr>
          <w:i/>
          <w:spacing w:val="-7"/>
          <w:w w:val="105"/>
          <w:sz w:val="18"/>
        </w:rPr>
        <w:t> </w:t>
      </w:r>
      <w:r>
        <w:rPr>
          <w:i/>
          <w:w w:val="105"/>
          <w:sz w:val="18"/>
        </w:rPr>
        <w:t>Plan</w:t>
      </w:r>
      <w:r>
        <w:rPr>
          <w:i/>
          <w:spacing w:val="-7"/>
          <w:w w:val="105"/>
          <w:sz w:val="18"/>
        </w:rPr>
        <w:t> </w:t>
      </w:r>
      <w:r>
        <w:rPr>
          <w:i/>
          <w:w w:val="105"/>
          <w:sz w:val="18"/>
        </w:rPr>
        <w:t>General</w:t>
      </w:r>
      <w:r>
        <w:rPr>
          <w:i/>
          <w:spacing w:val="-6"/>
          <w:w w:val="105"/>
          <w:sz w:val="18"/>
        </w:rPr>
        <w:t> </w:t>
      </w:r>
      <w:r>
        <w:rPr>
          <w:i/>
          <w:w w:val="105"/>
          <w:sz w:val="18"/>
        </w:rPr>
        <w:t>de</w:t>
      </w:r>
      <w:r>
        <w:rPr>
          <w:i/>
          <w:spacing w:val="-6"/>
          <w:w w:val="105"/>
          <w:sz w:val="18"/>
        </w:rPr>
        <w:t> </w:t>
      </w:r>
      <w:r>
        <w:rPr>
          <w:i/>
          <w:w w:val="105"/>
          <w:sz w:val="18"/>
        </w:rPr>
        <w:t>Contabilidad</w:t>
      </w:r>
      <w:r>
        <w:rPr>
          <w:i/>
          <w:spacing w:val="-7"/>
          <w:w w:val="105"/>
          <w:sz w:val="18"/>
        </w:rPr>
        <w:t> </w:t>
      </w:r>
      <w:r>
        <w:rPr>
          <w:i/>
          <w:w w:val="105"/>
          <w:sz w:val="18"/>
        </w:rPr>
        <w:t>Pública</w:t>
      </w:r>
      <w:r>
        <w:rPr>
          <w:i/>
          <w:spacing w:val="-7"/>
          <w:w w:val="105"/>
          <w:sz w:val="18"/>
        </w:rPr>
        <w:t> </w:t>
      </w:r>
      <w:r>
        <w:rPr>
          <w:i/>
          <w:w w:val="105"/>
          <w:sz w:val="18"/>
        </w:rPr>
        <w:t>de</w:t>
      </w:r>
      <w:r>
        <w:rPr>
          <w:i/>
          <w:spacing w:val="-6"/>
          <w:w w:val="105"/>
          <w:sz w:val="18"/>
        </w:rPr>
        <w:t> </w:t>
      </w:r>
      <w:r>
        <w:rPr>
          <w:i/>
          <w:w w:val="105"/>
          <w:sz w:val="18"/>
        </w:rPr>
        <w:t>la CAC.”</w:t>
      </w:r>
    </w:p>
    <w:p>
      <w:pPr>
        <w:pStyle w:val="BodyText"/>
        <w:rPr>
          <w:i/>
        </w:rPr>
      </w:pPr>
    </w:p>
    <w:p>
      <w:pPr>
        <w:pStyle w:val="BodyText"/>
        <w:rPr>
          <w:i/>
        </w:rPr>
      </w:pPr>
    </w:p>
    <w:p>
      <w:pPr>
        <w:pStyle w:val="BodyText"/>
        <w:spacing w:before="10"/>
        <w:rPr>
          <w:i/>
          <w:sz w:val="15"/>
        </w:rPr>
      </w:pPr>
    </w:p>
    <w:p>
      <w:pPr>
        <w:pStyle w:val="BodyText"/>
        <w:ind w:left="8760" w:right="973"/>
        <w:jc w:val="center"/>
      </w:pPr>
      <w:r>
        <w:rPr/>
        <w:t>207</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49" name="image5.png"/>
                  <wp:cNvGraphicFramePr>
                    <a:graphicFrameLocks noChangeAspect="1"/>
                  </wp:cNvGraphicFramePr>
                  <a:graphic>
                    <a:graphicData uri="http://schemas.openxmlformats.org/drawingml/2006/picture">
                      <pic:pic>
                        <pic:nvPicPr>
                          <pic:cNvPr id="45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209/247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spacing w:before="60"/>
        <w:ind w:left="2299" w:right="0" w:firstLine="0"/>
        <w:jc w:val="both"/>
        <w:rPr>
          <w:b/>
          <w:sz w:val="20"/>
        </w:rPr>
      </w:pPr>
      <w:r>
        <w:rPr>
          <w:b/>
          <w:sz w:val="20"/>
        </w:rPr>
        <w:t>Alegación 7: 2. Análisis del contenido y estructura de la Cuenta General (2).</w:t>
      </w:r>
    </w:p>
    <w:p>
      <w:pPr>
        <w:pStyle w:val="BodyText"/>
        <w:spacing w:before="8"/>
        <w:rPr>
          <w:b/>
          <w:sz w:val="16"/>
        </w:rPr>
      </w:pPr>
    </w:p>
    <w:p>
      <w:pPr>
        <w:pStyle w:val="BodyText"/>
        <w:ind w:left="2299" w:right="1343"/>
        <w:jc w:val="both"/>
      </w:pPr>
      <w:r>
        <w:rPr>
          <w:b/>
        </w:rPr>
        <w:t>Resumen: </w:t>
      </w:r>
      <w:r>
        <w:rPr/>
        <w:t>Señala que la información a incluir en la Cuenta no solo debe cumplir con la característica de claridad sino con la de relevancia. Manifiestan que el SEFLOGIC trata la información con la desagregación y estructuras exigidas tanto en la Ley anual de Presupuestos como en el Plan General de Contabilidad Pública. Por extensión, la desagregación de las clasificaciones económicas en la Cuenta general cumple con los requisitos exigidos en el PGCP. Los usuarios de esa Audiencia de Cuentas tienen acceso a las mismas,” conforme al cuadro que se muestra a continuación… “</w:t>
      </w:r>
    </w:p>
    <w:p>
      <w:pPr>
        <w:pStyle w:val="BodyText"/>
        <w:spacing w:before="8"/>
        <w:rPr>
          <w:sz w:val="17"/>
        </w:rPr>
      </w:pPr>
    </w:p>
    <w:p>
      <w:pPr>
        <w:pStyle w:val="BodyText"/>
        <w:spacing w:line="242" w:lineRule="auto"/>
        <w:ind w:left="2299" w:right="1344"/>
        <w:jc w:val="both"/>
      </w:pPr>
      <w:r>
        <w:rPr>
          <w:b/>
        </w:rPr>
        <w:t>Contestación: </w:t>
      </w:r>
      <w:r>
        <w:rPr/>
        <w:t>El Informe señala que los estados de ejecución, modificación y situación del presupuesto de gastos no figuran en cada una de sus páginas con el detalle de la clasificación orgánica y funcional a la que pertenece la información que muestra cada página. Solamente aparece la clasificación económica. El hecho de que los usuarios de la</w:t>
      </w:r>
      <w:r>
        <w:rPr>
          <w:spacing w:val="-5"/>
        </w:rPr>
        <w:t> </w:t>
      </w:r>
      <w:r>
        <w:rPr/>
        <w:t>ACC</w:t>
      </w:r>
      <w:r>
        <w:rPr>
          <w:spacing w:val="-6"/>
        </w:rPr>
        <w:t> </w:t>
      </w:r>
      <w:r>
        <w:rPr/>
        <w:t>puedan</w:t>
      </w:r>
      <w:r>
        <w:rPr>
          <w:spacing w:val="-4"/>
        </w:rPr>
        <w:t> </w:t>
      </w:r>
      <w:r>
        <w:rPr/>
        <w:t>acceder</w:t>
      </w:r>
      <w:r>
        <w:rPr>
          <w:spacing w:val="-5"/>
        </w:rPr>
        <w:t> </w:t>
      </w:r>
      <w:r>
        <w:rPr/>
        <w:t>al</w:t>
      </w:r>
      <w:r>
        <w:rPr>
          <w:spacing w:val="-7"/>
        </w:rPr>
        <w:t> </w:t>
      </w:r>
      <w:r>
        <w:rPr/>
        <w:t>SEFLOGIC</w:t>
      </w:r>
      <w:r>
        <w:rPr>
          <w:spacing w:val="-5"/>
        </w:rPr>
        <w:t> </w:t>
      </w:r>
      <w:r>
        <w:rPr/>
        <w:t>para</w:t>
      </w:r>
      <w:r>
        <w:rPr>
          <w:spacing w:val="-5"/>
        </w:rPr>
        <w:t> </w:t>
      </w:r>
      <w:r>
        <w:rPr/>
        <w:t>obtener</w:t>
      </w:r>
      <w:r>
        <w:rPr>
          <w:spacing w:val="-7"/>
        </w:rPr>
        <w:t> </w:t>
      </w:r>
      <w:r>
        <w:rPr/>
        <w:t>esta</w:t>
      </w:r>
      <w:r>
        <w:rPr>
          <w:spacing w:val="-4"/>
        </w:rPr>
        <w:t> </w:t>
      </w:r>
      <w:r>
        <w:rPr/>
        <w:t>información</w:t>
      </w:r>
      <w:r>
        <w:rPr>
          <w:spacing w:val="-5"/>
        </w:rPr>
        <w:t> </w:t>
      </w:r>
      <w:r>
        <w:rPr/>
        <w:t>desglosada,</w:t>
      </w:r>
      <w:r>
        <w:rPr>
          <w:spacing w:val="-5"/>
        </w:rPr>
        <w:t> </w:t>
      </w:r>
      <w:r>
        <w:rPr/>
        <w:t>no</w:t>
      </w:r>
      <w:r>
        <w:rPr>
          <w:spacing w:val="-6"/>
        </w:rPr>
        <w:t> </w:t>
      </w:r>
      <w:r>
        <w:rPr/>
        <w:t>altera la observación</w:t>
      </w:r>
      <w:r>
        <w:rPr>
          <w:spacing w:val="1"/>
        </w:rPr>
        <w:t> </w:t>
      </w:r>
      <w:r>
        <w:rPr/>
        <w:t>formulada.</w:t>
      </w:r>
    </w:p>
    <w:p>
      <w:pPr>
        <w:pStyle w:val="BodyText"/>
        <w:spacing w:before="2"/>
        <w:rPr>
          <w:sz w:val="16"/>
        </w:rPr>
      </w:pPr>
    </w:p>
    <w:p>
      <w:pPr>
        <w:pStyle w:val="BodyText"/>
        <w:ind w:left="2299"/>
        <w:jc w:val="both"/>
      </w:pPr>
      <w:r>
        <w:rPr/>
        <w:t>En consecuencia, no se modifica el contenido del Informe.</w:t>
      </w:r>
    </w:p>
    <w:p>
      <w:pPr>
        <w:pStyle w:val="BodyText"/>
        <w:spacing w:before="8"/>
        <w:rPr>
          <w:sz w:val="16"/>
        </w:rPr>
      </w:pPr>
    </w:p>
    <w:p>
      <w:pPr>
        <w:pStyle w:val="Heading1"/>
        <w:ind w:left="2299"/>
        <w:jc w:val="both"/>
      </w:pPr>
      <w:r>
        <w:rPr/>
        <w:t>Alegación 8: 3. Análisis del control interno.</w:t>
      </w:r>
    </w:p>
    <w:p>
      <w:pPr>
        <w:pStyle w:val="BodyText"/>
        <w:spacing w:before="8"/>
        <w:rPr>
          <w:b/>
          <w:sz w:val="16"/>
        </w:rPr>
      </w:pPr>
    </w:p>
    <w:p>
      <w:pPr>
        <w:pStyle w:val="BodyText"/>
        <w:spacing w:line="242" w:lineRule="auto"/>
        <w:ind w:left="2299" w:right="1343"/>
        <w:jc w:val="both"/>
      </w:pPr>
      <w:r>
        <w:rPr>
          <w:b/>
        </w:rPr>
        <w:t>Resumen: </w:t>
      </w:r>
      <w:r>
        <w:rPr/>
        <w:t>La IGCAC comunica el error en las fechas, correspondientes a la emisión de los</w:t>
      </w:r>
      <w:r>
        <w:rPr>
          <w:spacing w:val="-3"/>
        </w:rPr>
        <w:t> </w:t>
      </w:r>
      <w:r>
        <w:rPr/>
        <w:t>informes</w:t>
      </w:r>
      <w:r>
        <w:rPr>
          <w:spacing w:val="-5"/>
        </w:rPr>
        <w:t> </w:t>
      </w:r>
      <w:r>
        <w:rPr/>
        <w:t>de</w:t>
      </w:r>
      <w:r>
        <w:rPr>
          <w:spacing w:val="-5"/>
        </w:rPr>
        <w:t> </w:t>
      </w:r>
      <w:r>
        <w:rPr/>
        <w:t>CFP,</w:t>
      </w:r>
      <w:r>
        <w:rPr>
          <w:spacing w:val="-5"/>
        </w:rPr>
        <w:t> </w:t>
      </w:r>
      <w:r>
        <w:rPr/>
        <w:t>detalladas</w:t>
      </w:r>
      <w:r>
        <w:rPr>
          <w:spacing w:val="-3"/>
        </w:rPr>
        <w:t> </w:t>
      </w:r>
      <w:r>
        <w:rPr/>
        <w:t>en</w:t>
      </w:r>
      <w:r>
        <w:rPr>
          <w:spacing w:val="-3"/>
        </w:rPr>
        <w:t> </w:t>
      </w:r>
      <w:r>
        <w:rPr/>
        <w:t>el</w:t>
      </w:r>
      <w:r>
        <w:rPr>
          <w:spacing w:val="-5"/>
        </w:rPr>
        <w:t> </w:t>
      </w:r>
      <w:r>
        <w:rPr/>
        <w:t>informe,</w:t>
      </w:r>
      <w:r>
        <w:rPr>
          <w:spacing w:val="-3"/>
        </w:rPr>
        <w:t> </w:t>
      </w:r>
      <w:r>
        <w:rPr/>
        <w:t>al</w:t>
      </w:r>
      <w:r>
        <w:rPr>
          <w:spacing w:val="-5"/>
        </w:rPr>
        <w:t> </w:t>
      </w:r>
      <w:r>
        <w:rPr/>
        <w:t>haberse</w:t>
      </w:r>
      <w:r>
        <w:rPr>
          <w:spacing w:val="-5"/>
        </w:rPr>
        <w:t> </w:t>
      </w:r>
      <w:r>
        <w:rPr/>
        <w:t>prorrogado</w:t>
      </w:r>
      <w:r>
        <w:rPr>
          <w:spacing w:val="-3"/>
        </w:rPr>
        <w:t> </w:t>
      </w:r>
      <w:r>
        <w:rPr/>
        <w:t>el</w:t>
      </w:r>
      <w:r>
        <w:rPr>
          <w:spacing w:val="-5"/>
        </w:rPr>
        <w:t> </w:t>
      </w:r>
      <w:r>
        <w:rPr/>
        <w:t>plazo</w:t>
      </w:r>
      <w:r>
        <w:rPr>
          <w:spacing w:val="-5"/>
        </w:rPr>
        <w:t> </w:t>
      </w:r>
      <w:r>
        <w:rPr/>
        <w:t>de</w:t>
      </w:r>
      <w:r>
        <w:rPr>
          <w:spacing w:val="-3"/>
        </w:rPr>
        <w:t> </w:t>
      </w:r>
      <w:r>
        <w:rPr/>
        <w:t>emisión mediante Resolución de la Intervención General 298/2023 de 26 de</w:t>
      </w:r>
      <w:r>
        <w:rPr>
          <w:spacing w:val="6"/>
        </w:rPr>
        <w:t> </w:t>
      </w:r>
      <w:r>
        <w:rPr/>
        <w:t>abril.</w:t>
      </w:r>
    </w:p>
    <w:p>
      <w:pPr>
        <w:pStyle w:val="BodyText"/>
        <w:spacing w:before="4"/>
        <w:rPr>
          <w:sz w:val="16"/>
        </w:rPr>
      </w:pPr>
    </w:p>
    <w:p>
      <w:pPr>
        <w:pStyle w:val="BodyText"/>
        <w:ind w:left="2299" w:right="1345" w:firstLine="46"/>
        <w:jc w:val="both"/>
      </w:pPr>
      <w:r>
        <w:rPr>
          <w:b/>
        </w:rPr>
        <w:t>Contestación: </w:t>
      </w:r>
      <w:r>
        <w:rPr/>
        <w:t>Las fechas que figuran en el informe corresponden a las de los informes definitivos, en tanto que estos son los que se remiten a esta Institución.</w:t>
      </w:r>
    </w:p>
    <w:p>
      <w:pPr>
        <w:pStyle w:val="BodyText"/>
        <w:spacing w:before="10"/>
        <w:rPr>
          <w:sz w:val="16"/>
        </w:rPr>
      </w:pPr>
    </w:p>
    <w:p>
      <w:pPr>
        <w:pStyle w:val="BodyText"/>
        <w:spacing w:line="242" w:lineRule="auto"/>
        <w:ind w:left="2299" w:right="1339"/>
        <w:jc w:val="both"/>
      </w:pPr>
      <w:r>
        <w:rPr/>
        <w:t>La conclusión de su emisión fuera de plazo se hace en base a lo dispuesto en el citado Artículo 41 del ROFIG. y los puntos 6 y 7.2 de la Norma Técnica para el desarrollo de las actuaciones de control financiero permanente en el área de gastos de los sujetos del sector público con presupuesto limitativo, aprobada por Resolución de 17 de enero de 2012.</w:t>
      </w:r>
    </w:p>
    <w:p>
      <w:pPr>
        <w:pStyle w:val="BodyText"/>
        <w:spacing w:before="4"/>
        <w:rPr>
          <w:sz w:val="16"/>
        </w:rPr>
      </w:pPr>
    </w:p>
    <w:p>
      <w:pPr>
        <w:pStyle w:val="BodyText"/>
        <w:spacing w:line="242" w:lineRule="auto"/>
        <w:ind w:left="2299" w:right="1345"/>
        <w:jc w:val="both"/>
      </w:pPr>
      <w:r>
        <w:rPr/>
        <w:t>Dado que, en fase de alegaciones, se comunica la ampliación del plazo mediante la citada Resolución 298/2023, la fecha límite para la emisión de los informes definitivos de CFP era el 14 de agosto de 2023.</w:t>
      </w:r>
    </w:p>
    <w:p>
      <w:pPr>
        <w:pStyle w:val="BodyText"/>
        <w:spacing w:before="5"/>
        <w:rPr>
          <w:sz w:val="16"/>
        </w:rPr>
      </w:pPr>
    </w:p>
    <w:p>
      <w:pPr>
        <w:pStyle w:val="BodyText"/>
        <w:ind w:left="2299" w:right="1347"/>
        <w:jc w:val="both"/>
      </w:pPr>
      <w:r>
        <w:rPr/>
        <w:t>En consecuencia, y si bien en el momento de emisión del informe no se tenía conocimiento de la Resolución de 26 de abril de 2023, se modifica el informe en el sentido de:</w:t>
      </w:r>
    </w:p>
    <w:p>
      <w:pPr>
        <w:pStyle w:val="BodyText"/>
        <w:spacing w:before="2"/>
        <w:rPr>
          <w:sz w:val="17"/>
        </w:rPr>
      </w:pPr>
    </w:p>
    <w:p>
      <w:pPr>
        <w:tabs>
          <w:tab w:pos="2903" w:val="left" w:leader="none"/>
        </w:tabs>
        <w:spacing w:before="0"/>
        <w:ind w:left="2601" w:right="0" w:firstLine="0"/>
        <w:jc w:val="left"/>
        <w:rPr>
          <w:sz w:val="18"/>
        </w:rPr>
      </w:pPr>
      <w:r>
        <w:rPr>
          <w:w w:val="105"/>
          <w:sz w:val="18"/>
        </w:rPr>
        <w:t>-</w:t>
        <w:tab/>
        <w:t>Donde</w:t>
      </w:r>
      <w:r>
        <w:rPr>
          <w:spacing w:val="-4"/>
          <w:w w:val="105"/>
          <w:sz w:val="18"/>
        </w:rPr>
        <w:t> </w:t>
      </w:r>
      <w:r>
        <w:rPr>
          <w:w w:val="105"/>
          <w:sz w:val="18"/>
        </w:rPr>
        <w:t>dice:</w:t>
      </w:r>
    </w:p>
    <w:p>
      <w:pPr>
        <w:pStyle w:val="BodyText"/>
        <w:spacing w:before="11"/>
        <w:rPr>
          <w:sz w:val="11"/>
        </w:rPr>
      </w:pPr>
    </w:p>
    <w:p>
      <w:pPr>
        <w:pStyle w:val="BodyText"/>
        <w:spacing w:before="61"/>
        <w:ind w:left="8760" w:right="973"/>
        <w:jc w:val="center"/>
      </w:pPr>
      <w:r>
        <w:rPr/>
        <w:t>208</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51" name="image5.png"/>
                  <wp:cNvGraphicFramePr>
                    <a:graphicFrameLocks noChangeAspect="1"/>
                  </wp:cNvGraphicFramePr>
                  <a:graphic>
                    <a:graphicData uri="http://schemas.openxmlformats.org/drawingml/2006/picture">
                      <pic:pic>
                        <pic:nvPicPr>
                          <pic:cNvPr id="45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210/247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jc w:val="both"/>
      </w:pPr>
      <w:r>
        <w:rPr/>
        <w:t>“No obstante, los informes fueron emitidos, de acuerdo con los datos que a</w:t>
      </w:r>
    </w:p>
    <w:p>
      <w:pPr>
        <w:pStyle w:val="BodyText"/>
        <w:spacing w:before="2"/>
        <w:ind w:left="2299"/>
        <w:jc w:val="both"/>
      </w:pPr>
      <w:r>
        <w:rPr/>
        <w:t>continuación se detallan, fuera de las fechas establecidas en dicho artículo”.</w:t>
      </w:r>
    </w:p>
    <w:p>
      <w:pPr>
        <w:pStyle w:val="BodyText"/>
        <w:spacing w:before="11"/>
        <w:rPr>
          <w:sz w:val="16"/>
        </w:rPr>
      </w:pPr>
    </w:p>
    <w:p>
      <w:pPr>
        <w:tabs>
          <w:tab w:pos="2903" w:val="left" w:leader="none"/>
        </w:tabs>
        <w:spacing w:before="0"/>
        <w:ind w:left="2601" w:right="0" w:firstLine="0"/>
        <w:jc w:val="left"/>
        <w:rPr>
          <w:sz w:val="18"/>
        </w:rPr>
      </w:pPr>
      <w:r>
        <w:rPr>
          <w:w w:val="105"/>
          <w:sz w:val="18"/>
        </w:rPr>
        <w:t>-</w:t>
        <w:tab/>
        <w:t>Debe</w:t>
      </w:r>
      <w:r>
        <w:rPr>
          <w:spacing w:val="-2"/>
          <w:w w:val="105"/>
          <w:sz w:val="18"/>
        </w:rPr>
        <w:t> </w:t>
      </w:r>
      <w:r>
        <w:rPr>
          <w:w w:val="105"/>
          <w:sz w:val="18"/>
        </w:rPr>
        <w:t>decir:</w:t>
      </w:r>
    </w:p>
    <w:p>
      <w:pPr>
        <w:pStyle w:val="BodyText"/>
        <w:spacing w:before="9"/>
        <w:rPr>
          <w:sz w:val="16"/>
        </w:rPr>
      </w:pPr>
    </w:p>
    <w:p>
      <w:pPr>
        <w:spacing w:before="0"/>
        <w:ind w:left="2299" w:right="0" w:firstLine="0"/>
        <w:jc w:val="both"/>
        <w:rPr>
          <w:i/>
          <w:sz w:val="20"/>
        </w:rPr>
      </w:pPr>
      <w:r>
        <w:rPr>
          <w:b/>
          <w:sz w:val="20"/>
        </w:rPr>
        <w:t>“</w:t>
      </w:r>
      <w:r>
        <w:rPr>
          <w:i/>
          <w:sz w:val="20"/>
        </w:rPr>
        <w:t>No obstante todos los informes definitivos, salvo los relativos a “otros gastos”,</w:t>
      </w:r>
    </w:p>
    <w:p>
      <w:pPr>
        <w:spacing w:before="2"/>
        <w:ind w:left="2299" w:right="0" w:firstLine="0"/>
        <w:jc w:val="both"/>
        <w:rPr>
          <w:i/>
          <w:sz w:val="20"/>
        </w:rPr>
      </w:pPr>
      <w:r>
        <w:rPr>
          <w:i/>
          <w:sz w:val="20"/>
        </w:rPr>
        <w:t>correspondiente a contratación de obras y a las consejerías de:</w:t>
      </w:r>
    </w:p>
    <w:p>
      <w:pPr>
        <w:pStyle w:val="BodyText"/>
        <w:spacing w:before="11"/>
        <w:rPr>
          <w:i/>
          <w:sz w:val="16"/>
        </w:rPr>
      </w:pPr>
    </w:p>
    <w:p>
      <w:pPr>
        <w:pStyle w:val="ListParagraph"/>
        <w:numPr>
          <w:ilvl w:val="0"/>
          <w:numId w:val="124"/>
        </w:numPr>
        <w:tabs>
          <w:tab w:pos="2894" w:val="left" w:leader="none"/>
        </w:tabs>
        <w:spacing w:line="240" w:lineRule="auto" w:before="0" w:after="0"/>
        <w:ind w:left="2893" w:right="0" w:hanging="237"/>
        <w:jc w:val="left"/>
        <w:rPr>
          <w:i/>
          <w:sz w:val="18"/>
        </w:rPr>
      </w:pPr>
      <w:r>
        <w:rPr>
          <w:i/>
          <w:w w:val="105"/>
          <w:sz w:val="18"/>
        </w:rPr>
        <w:t>Consejería de</w:t>
      </w:r>
      <w:r>
        <w:rPr>
          <w:i/>
          <w:spacing w:val="-4"/>
          <w:w w:val="105"/>
          <w:sz w:val="18"/>
        </w:rPr>
        <w:t> </w:t>
      </w:r>
      <w:r>
        <w:rPr>
          <w:i/>
          <w:w w:val="105"/>
          <w:sz w:val="18"/>
        </w:rPr>
        <w:t>Sanidad</w:t>
      </w:r>
    </w:p>
    <w:p>
      <w:pPr>
        <w:pStyle w:val="ListParagraph"/>
        <w:numPr>
          <w:ilvl w:val="0"/>
          <w:numId w:val="124"/>
        </w:numPr>
        <w:tabs>
          <w:tab w:pos="2894" w:val="left" w:leader="none"/>
        </w:tabs>
        <w:spacing w:line="240" w:lineRule="auto" w:before="7" w:after="0"/>
        <w:ind w:left="2893" w:right="0" w:hanging="237"/>
        <w:jc w:val="left"/>
        <w:rPr>
          <w:i/>
          <w:sz w:val="18"/>
        </w:rPr>
      </w:pPr>
      <w:r>
        <w:rPr>
          <w:i/>
          <w:w w:val="105"/>
          <w:sz w:val="18"/>
        </w:rPr>
        <w:t>Consejería de Educación, Universidades, Cultura y</w:t>
      </w:r>
      <w:r>
        <w:rPr>
          <w:i/>
          <w:spacing w:val="-20"/>
          <w:w w:val="105"/>
          <w:sz w:val="18"/>
        </w:rPr>
        <w:t> </w:t>
      </w:r>
      <w:r>
        <w:rPr>
          <w:i/>
          <w:w w:val="105"/>
          <w:sz w:val="18"/>
        </w:rPr>
        <w:t>Deportes</w:t>
      </w:r>
    </w:p>
    <w:p>
      <w:pPr>
        <w:pStyle w:val="ListParagraph"/>
        <w:numPr>
          <w:ilvl w:val="0"/>
          <w:numId w:val="124"/>
        </w:numPr>
        <w:tabs>
          <w:tab w:pos="2894" w:val="left" w:leader="none"/>
        </w:tabs>
        <w:spacing w:line="240" w:lineRule="auto" w:before="6" w:after="0"/>
        <w:ind w:left="2893" w:right="0" w:hanging="237"/>
        <w:jc w:val="left"/>
        <w:rPr>
          <w:i/>
          <w:sz w:val="18"/>
        </w:rPr>
      </w:pPr>
      <w:r>
        <w:rPr>
          <w:i/>
          <w:w w:val="105"/>
          <w:sz w:val="18"/>
        </w:rPr>
        <w:t>Turismo industria y</w:t>
      </w:r>
      <w:r>
        <w:rPr>
          <w:i/>
          <w:spacing w:val="-6"/>
          <w:w w:val="105"/>
          <w:sz w:val="18"/>
        </w:rPr>
        <w:t> </w:t>
      </w:r>
      <w:r>
        <w:rPr>
          <w:i/>
          <w:w w:val="105"/>
          <w:sz w:val="18"/>
        </w:rPr>
        <w:t>comercio</w:t>
      </w:r>
    </w:p>
    <w:p>
      <w:pPr>
        <w:pStyle w:val="ListParagraph"/>
        <w:numPr>
          <w:ilvl w:val="0"/>
          <w:numId w:val="124"/>
        </w:numPr>
        <w:tabs>
          <w:tab w:pos="2894" w:val="left" w:leader="none"/>
        </w:tabs>
        <w:spacing w:line="240" w:lineRule="auto" w:before="7" w:after="0"/>
        <w:ind w:left="2893" w:right="0" w:hanging="237"/>
        <w:jc w:val="left"/>
        <w:rPr>
          <w:i/>
          <w:sz w:val="18"/>
        </w:rPr>
      </w:pPr>
      <w:r>
        <w:rPr>
          <w:i/>
          <w:w w:val="105"/>
          <w:sz w:val="18"/>
        </w:rPr>
        <w:t>Transición</w:t>
      </w:r>
      <w:r>
        <w:rPr>
          <w:i/>
          <w:spacing w:val="-5"/>
          <w:w w:val="105"/>
          <w:sz w:val="18"/>
        </w:rPr>
        <w:t> </w:t>
      </w:r>
      <w:r>
        <w:rPr>
          <w:i/>
          <w:w w:val="105"/>
          <w:sz w:val="18"/>
        </w:rPr>
        <w:t>Ecológica,</w:t>
      </w:r>
      <w:r>
        <w:rPr>
          <w:i/>
          <w:spacing w:val="-4"/>
          <w:w w:val="105"/>
          <w:sz w:val="18"/>
        </w:rPr>
        <w:t> </w:t>
      </w:r>
      <w:r>
        <w:rPr>
          <w:i/>
          <w:w w:val="105"/>
          <w:sz w:val="18"/>
        </w:rPr>
        <w:t>lucha</w:t>
      </w:r>
      <w:r>
        <w:rPr>
          <w:i/>
          <w:spacing w:val="-4"/>
          <w:w w:val="105"/>
          <w:sz w:val="18"/>
        </w:rPr>
        <w:t> </w:t>
      </w:r>
      <w:r>
        <w:rPr>
          <w:i/>
          <w:w w:val="105"/>
          <w:sz w:val="18"/>
        </w:rPr>
        <w:t>contra</w:t>
      </w:r>
      <w:r>
        <w:rPr>
          <w:i/>
          <w:spacing w:val="-4"/>
          <w:w w:val="105"/>
          <w:sz w:val="18"/>
        </w:rPr>
        <w:t> </w:t>
      </w:r>
      <w:r>
        <w:rPr>
          <w:i/>
          <w:w w:val="105"/>
          <w:sz w:val="18"/>
        </w:rPr>
        <w:t>el</w:t>
      </w:r>
      <w:r>
        <w:rPr>
          <w:i/>
          <w:spacing w:val="-4"/>
          <w:w w:val="105"/>
          <w:sz w:val="18"/>
        </w:rPr>
        <w:t> </w:t>
      </w:r>
      <w:r>
        <w:rPr>
          <w:i/>
          <w:w w:val="105"/>
          <w:sz w:val="18"/>
        </w:rPr>
        <w:t>cambio</w:t>
      </w:r>
      <w:r>
        <w:rPr>
          <w:i/>
          <w:spacing w:val="-4"/>
          <w:w w:val="105"/>
          <w:sz w:val="18"/>
        </w:rPr>
        <w:t> </w:t>
      </w:r>
      <w:r>
        <w:rPr>
          <w:i/>
          <w:w w:val="105"/>
          <w:sz w:val="18"/>
        </w:rPr>
        <w:t>climático</w:t>
      </w:r>
      <w:r>
        <w:rPr>
          <w:i/>
          <w:spacing w:val="-6"/>
          <w:w w:val="105"/>
          <w:sz w:val="18"/>
        </w:rPr>
        <w:t> </w:t>
      </w:r>
      <w:r>
        <w:rPr>
          <w:i/>
          <w:w w:val="105"/>
          <w:sz w:val="18"/>
        </w:rPr>
        <w:t>y</w:t>
      </w:r>
      <w:r>
        <w:rPr>
          <w:i/>
          <w:spacing w:val="-3"/>
          <w:w w:val="105"/>
          <w:sz w:val="18"/>
        </w:rPr>
        <w:t> </w:t>
      </w:r>
      <w:r>
        <w:rPr>
          <w:i/>
          <w:w w:val="105"/>
          <w:sz w:val="18"/>
        </w:rPr>
        <w:t>planificación</w:t>
      </w:r>
      <w:r>
        <w:rPr>
          <w:i/>
          <w:spacing w:val="-5"/>
          <w:w w:val="105"/>
          <w:sz w:val="18"/>
        </w:rPr>
        <w:t> </w:t>
      </w:r>
      <w:r>
        <w:rPr>
          <w:i/>
          <w:w w:val="105"/>
          <w:sz w:val="18"/>
        </w:rPr>
        <w:t>territorial</w:t>
      </w:r>
    </w:p>
    <w:p>
      <w:pPr>
        <w:pStyle w:val="BodyText"/>
        <w:spacing w:before="7"/>
        <w:rPr>
          <w:i/>
          <w:sz w:val="16"/>
        </w:rPr>
      </w:pPr>
    </w:p>
    <w:p>
      <w:pPr>
        <w:spacing w:before="0"/>
        <w:ind w:left="2299" w:right="1340" w:firstLine="0"/>
        <w:jc w:val="both"/>
        <w:rPr>
          <w:i/>
          <w:sz w:val="20"/>
        </w:rPr>
      </w:pPr>
      <w:r>
        <w:rPr>
          <w:i/>
          <w:sz w:val="20"/>
        </w:rPr>
        <w:t>fueron emitidos fuera del plazo máximo, considerando lo dispuesto en el art 41 del </w:t>
      </w:r>
      <w:r>
        <w:rPr>
          <w:i/>
          <w:sz w:val="20"/>
        </w:rPr>
        <w:t>ROFIG, la Norma Técnica para el desarrollo de las actuaciones de control financiero permanente en el área de gastos de los sujetos del sector público con presupuesto limitativo y la Resolución de la Intervención General 298/2023 de 26 de abril”</w:t>
      </w:r>
    </w:p>
    <w:p>
      <w:pPr>
        <w:pStyle w:val="BodyText"/>
        <w:spacing w:before="3"/>
        <w:rPr>
          <w:i/>
          <w:sz w:val="17"/>
        </w:rPr>
      </w:pPr>
    </w:p>
    <w:p>
      <w:pPr>
        <w:pStyle w:val="Heading1"/>
        <w:ind w:left="2299"/>
        <w:jc w:val="both"/>
      </w:pPr>
      <w:r>
        <w:rPr/>
        <w:t>Alegación 9: 3.1.1 Área de recursos humanos.</w:t>
      </w:r>
    </w:p>
    <w:p>
      <w:pPr>
        <w:pStyle w:val="BodyText"/>
        <w:spacing w:before="8"/>
        <w:rPr>
          <w:b/>
          <w:sz w:val="16"/>
        </w:rPr>
      </w:pPr>
    </w:p>
    <w:p>
      <w:pPr>
        <w:pStyle w:val="BodyText"/>
        <w:ind w:left="2299" w:right="1344"/>
        <w:jc w:val="both"/>
      </w:pPr>
      <w:r>
        <w:rPr>
          <w:b/>
        </w:rPr>
        <w:t>Resumen: </w:t>
      </w:r>
      <w:r>
        <w:rPr/>
        <w:t>En sus alegaciones la IGCAC solicita la supresión de la afirmación sobre la ausencia de colaboración con el órgano de control interno, por la Consejería de Administraciones Públicas, Justicia y Seguridad, argumentando que se trata de un párrafo estándar que se incluyó, igualmente, en otros informes.</w:t>
      </w:r>
    </w:p>
    <w:p>
      <w:pPr>
        <w:pStyle w:val="BodyText"/>
        <w:spacing w:before="1"/>
        <w:rPr>
          <w:sz w:val="17"/>
        </w:rPr>
      </w:pPr>
    </w:p>
    <w:p>
      <w:pPr>
        <w:pStyle w:val="BodyText"/>
        <w:ind w:left="2299" w:right="1344"/>
        <w:jc w:val="both"/>
      </w:pPr>
      <w:r>
        <w:rPr>
          <w:b/>
        </w:rPr>
        <w:t>Contestación: </w:t>
      </w:r>
      <w:r>
        <w:rPr/>
        <w:t>El deber de colaboración es una obligación legal impuesta a autoridades y personal que ejerce funciones públicas o desarrollan su trabajo en cualquiera de las entidades integrantes del sector público, por lo que es improcedente su inclusión de no existir la ausencia de colaboración, por ello y detectado el error, debió suprimirse del informe de CFP, hecho que no solo no se justifica con la alegación realizada, si no que se comunica que figura incorporado en otros informes.</w:t>
      </w:r>
    </w:p>
    <w:p>
      <w:pPr>
        <w:pStyle w:val="BodyText"/>
        <w:spacing w:before="4"/>
        <w:rPr>
          <w:sz w:val="17"/>
        </w:rPr>
      </w:pPr>
    </w:p>
    <w:p>
      <w:pPr>
        <w:pStyle w:val="BodyText"/>
        <w:ind w:left="2299" w:right="1346"/>
        <w:jc w:val="both"/>
      </w:pPr>
      <w:r>
        <w:rPr/>
        <w:t>En consecuencia, se modifica el punto 2 del epígrafe 3.1.1 pasando a tener la siguiente redacción:</w:t>
      </w:r>
    </w:p>
    <w:p>
      <w:pPr>
        <w:pStyle w:val="BodyText"/>
        <w:spacing w:before="9"/>
        <w:rPr>
          <w:sz w:val="16"/>
        </w:rPr>
      </w:pPr>
    </w:p>
    <w:p>
      <w:pPr>
        <w:pStyle w:val="BodyText"/>
        <w:spacing w:line="242" w:lineRule="auto" w:before="1"/>
        <w:ind w:left="2299" w:right="1345"/>
        <w:jc w:val="both"/>
      </w:pPr>
      <w:r>
        <w:rPr/>
        <w:t>“2. En estos gastos son objeto de verificación las actuaciones establecidas en las Resoluciones dictadas por la IGCAC, destacando, según los informes emitidos, lo siguiente:</w:t>
      </w:r>
    </w:p>
    <w:p>
      <w:pPr>
        <w:pStyle w:val="BodyText"/>
        <w:spacing w:before="7"/>
        <w:rPr>
          <w:sz w:val="16"/>
        </w:rPr>
      </w:pPr>
    </w:p>
    <w:p>
      <w:pPr>
        <w:pStyle w:val="ListParagraph"/>
        <w:numPr>
          <w:ilvl w:val="0"/>
          <w:numId w:val="124"/>
        </w:numPr>
        <w:tabs>
          <w:tab w:pos="2961" w:val="left" w:leader="none"/>
        </w:tabs>
        <w:spacing w:line="240" w:lineRule="auto" w:before="1" w:after="0"/>
        <w:ind w:left="2960" w:right="0" w:hanging="304"/>
        <w:jc w:val="both"/>
        <w:rPr>
          <w:i/>
          <w:sz w:val="18"/>
        </w:rPr>
      </w:pPr>
      <w:r>
        <w:rPr>
          <w:i/>
          <w:w w:val="105"/>
          <w:sz w:val="18"/>
        </w:rPr>
        <w:t>Ausencia</w:t>
      </w:r>
      <w:r>
        <w:rPr>
          <w:i/>
          <w:spacing w:val="-4"/>
          <w:w w:val="105"/>
          <w:sz w:val="18"/>
        </w:rPr>
        <w:t> </w:t>
      </w:r>
      <w:r>
        <w:rPr>
          <w:i/>
          <w:w w:val="105"/>
          <w:sz w:val="18"/>
        </w:rPr>
        <w:t>de</w:t>
      </w:r>
      <w:r>
        <w:rPr>
          <w:i/>
          <w:spacing w:val="-3"/>
          <w:w w:val="105"/>
          <w:sz w:val="18"/>
        </w:rPr>
        <w:t> </w:t>
      </w:r>
      <w:r>
        <w:rPr>
          <w:i/>
          <w:w w:val="105"/>
          <w:sz w:val="18"/>
        </w:rPr>
        <w:t>control</w:t>
      </w:r>
      <w:r>
        <w:rPr>
          <w:i/>
          <w:spacing w:val="-6"/>
          <w:w w:val="105"/>
          <w:sz w:val="18"/>
        </w:rPr>
        <w:t> </w:t>
      </w:r>
      <w:r>
        <w:rPr>
          <w:i/>
          <w:w w:val="105"/>
          <w:sz w:val="18"/>
        </w:rPr>
        <w:t>en</w:t>
      </w:r>
      <w:r>
        <w:rPr>
          <w:i/>
          <w:spacing w:val="-3"/>
          <w:w w:val="105"/>
          <w:sz w:val="18"/>
        </w:rPr>
        <w:t> </w:t>
      </w:r>
      <w:r>
        <w:rPr>
          <w:i/>
          <w:w w:val="105"/>
          <w:sz w:val="18"/>
        </w:rPr>
        <w:t>los</w:t>
      </w:r>
      <w:r>
        <w:rPr>
          <w:i/>
          <w:spacing w:val="-3"/>
          <w:w w:val="105"/>
          <w:sz w:val="18"/>
        </w:rPr>
        <w:t> </w:t>
      </w:r>
      <w:r>
        <w:rPr>
          <w:i/>
          <w:w w:val="105"/>
          <w:sz w:val="18"/>
        </w:rPr>
        <w:t>correspondientes</w:t>
      </w:r>
      <w:r>
        <w:rPr>
          <w:i/>
          <w:spacing w:val="-3"/>
          <w:w w:val="105"/>
          <w:sz w:val="18"/>
        </w:rPr>
        <w:t> </w:t>
      </w:r>
      <w:r>
        <w:rPr>
          <w:i/>
          <w:w w:val="105"/>
          <w:sz w:val="18"/>
        </w:rPr>
        <w:t>a</w:t>
      </w:r>
      <w:r>
        <w:rPr>
          <w:i/>
          <w:spacing w:val="-6"/>
          <w:w w:val="105"/>
          <w:sz w:val="18"/>
        </w:rPr>
        <w:t> </w:t>
      </w:r>
      <w:r>
        <w:rPr>
          <w:i/>
          <w:w w:val="105"/>
          <w:sz w:val="18"/>
        </w:rPr>
        <w:t>la</w:t>
      </w:r>
      <w:r>
        <w:rPr>
          <w:i/>
          <w:spacing w:val="-3"/>
          <w:w w:val="105"/>
          <w:sz w:val="18"/>
        </w:rPr>
        <w:t> </w:t>
      </w:r>
      <w:r>
        <w:rPr>
          <w:i/>
          <w:w w:val="105"/>
          <w:sz w:val="18"/>
        </w:rPr>
        <w:t>Consejería</w:t>
      </w:r>
      <w:r>
        <w:rPr>
          <w:i/>
          <w:spacing w:val="-3"/>
          <w:w w:val="105"/>
          <w:sz w:val="18"/>
        </w:rPr>
        <w:t> </w:t>
      </w:r>
      <w:r>
        <w:rPr>
          <w:i/>
          <w:w w:val="105"/>
          <w:sz w:val="18"/>
        </w:rPr>
        <w:t>de</w:t>
      </w:r>
      <w:r>
        <w:rPr>
          <w:i/>
          <w:spacing w:val="-5"/>
          <w:w w:val="105"/>
          <w:sz w:val="18"/>
        </w:rPr>
        <w:t> </w:t>
      </w:r>
      <w:r>
        <w:rPr>
          <w:i/>
          <w:w w:val="105"/>
          <w:sz w:val="18"/>
        </w:rPr>
        <w:t>Sanidad.</w:t>
      </w:r>
    </w:p>
    <w:p>
      <w:pPr>
        <w:pStyle w:val="ListParagraph"/>
        <w:numPr>
          <w:ilvl w:val="0"/>
          <w:numId w:val="124"/>
        </w:numPr>
        <w:tabs>
          <w:tab w:pos="2961" w:val="left" w:leader="none"/>
        </w:tabs>
        <w:spacing w:line="247" w:lineRule="auto" w:before="6" w:after="0"/>
        <w:ind w:left="2960" w:right="1341" w:hanging="303"/>
        <w:jc w:val="both"/>
        <w:rPr>
          <w:i/>
          <w:sz w:val="18"/>
        </w:rPr>
      </w:pPr>
      <w:r>
        <w:rPr>
          <w:i/>
          <w:w w:val="105"/>
          <w:sz w:val="18"/>
        </w:rPr>
        <w:t>Limitaciones</w:t>
      </w:r>
      <w:r>
        <w:rPr>
          <w:i/>
          <w:spacing w:val="-18"/>
          <w:w w:val="105"/>
          <w:sz w:val="18"/>
        </w:rPr>
        <w:t> </w:t>
      </w:r>
      <w:r>
        <w:rPr>
          <w:i/>
          <w:w w:val="105"/>
          <w:sz w:val="18"/>
        </w:rPr>
        <w:t>en</w:t>
      </w:r>
      <w:r>
        <w:rPr>
          <w:i/>
          <w:spacing w:val="-18"/>
          <w:w w:val="105"/>
          <w:sz w:val="18"/>
        </w:rPr>
        <w:t> </w:t>
      </w:r>
      <w:r>
        <w:rPr>
          <w:i/>
          <w:w w:val="105"/>
          <w:sz w:val="18"/>
        </w:rPr>
        <w:t>la</w:t>
      </w:r>
      <w:r>
        <w:rPr>
          <w:i/>
          <w:spacing w:val="-19"/>
          <w:w w:val="105"/>
          <w:sz w:val="18"/>
        </w:rPr>
        <w:t> </w:t>
      </w:r>
      <w:r>
        <w:rPr>
          <w:i/>
          <w:w w:val="105"/>
          <w:sz w:val="18"/>
        </w:rPr>
        <w:t>realización</w:t>
      </w:r>
      <w:r>
        <w:rPr>
          <w:i/>
          <w:spacing w:val="-19"/>
          <w:w w:val="105"/>
          <w:sz w:val="18"/>
        </w:rPr>
        <w:t> </w:t>
      </w:r>
      <w:r>
        <w:rPr>
          <w:i/>
          <w:w w:val="105"/>
          <w:sz w:val="18"/>
        </w:rPr>
        <w:t>del</w:t>
      </w:r>
      <w:r>
        <w:rPr>
          <w:i/>
          <w:spacing w:val="-19"/>
          <w:w w:val="105"/>
          <w:sz w:val="18"/>
        </w:rPr>
        <w:t> </w:t>
      </w:r>
      <w:r>
        <w:rPr>
          <w:i/>
          <w:w w:val="105"/>
          <w:sz w:val="18"/>
        </w:rPr>
        <w:t>control</w:t>
      </w:r>
      <w:r>
        <w:rPr>
          <w:i/>
          <w:spacing w:val="-18"/>
          <w:w w:val="105"/>
          <w:sz w:val="18"/>
        </w:rPr>
        <w:t> </w:t>
      </w:r>
      <w:r>
        <w:rPr>
          <w:i/>
          <w:w w:val="105"/>
          <w:sz w:val="18"/>
        </w:rPr>
        <w:t>en</w:t>
      </w:r>
      <w:r>
        <w:rPr>
          <w:i/>
          <w:spacing w:val="-19"/>
          <w:w w:val="105"/>
          <w:sz w:val="18"/>
        </w:rPr>
        <w:t> </w:t>
      </w:r>
      <w:r>
        <w:rPr>
          <w:i/>
          <w:w w:val="105"/>
          <w:sz w:val="18"/>
        </w:rPr>
        <w:t>la</w:t>
      </w:r>
      <w:r>
        <w:rPr>
          <w:i/>
          <w:spacing w:val="-19"/>
          <w:w w:val="105"/>
          <w:sz w:val="18"/>
        </w:rPr>
        <w:t> </w:t>
      </w:r>
      <w:r>
        <w:rPr>
          <w:i/>
          <w:w w:val="105"/>
          <w:sz w:val="18"/>
        </w:rPr>
        <w:t>Consejería</w:t>
      </w:r>
      <w:r>
        <w:rPr>
          <w:i/>
          <w:spacing w:val="-19"/>
          <w:w w:val="105"/>
          <w:sz w:val="18"/>
        </w:rPr>
        <w:t> </w:t>
      </w:r>
      <w:r>
        <w:rPr>
          <w:i/>
          <w:w w:val="105"/>
          <w:sz w:val="18"/>
        </w:rPr>
        <w:t>de</w:t>
      </w:r>
      <w:r>
        <w:rPr>
          <w:i/>
          <w:spacing w:val="-18"/>
          <w:w w:val="105"/>
          <w:sz w:val="18"/>
        </w:rPr>
        <w:t> </w:t>
      </w:r>
      <w:r>
        <w:rPr>
          <w:i/>
          <w:w w:val="105"/>
          <w:sz w:val="18"/>
        </w:rPr>
        <w:t>Administraciones</w:t>
      </w:r>
      <w:r>
        <w:rPr>
          <w:i/>
          <w:spacing w:val="-19"/>
          <w:w w:val="105"/>
          <w:sz w:val="18"/>
        </w:rPr>
        <w:t> </w:t>
      </w:r>
      <w:r>
        <w:rPr>
          <w:i/>
          <w:w w:val="105"/>
          <w:sz w:val="18"/>
        </w:rPr>
        <w:t>Públicas, </w:t>
      </w:r>
      <w:r>
        <w:rPr>
          <w:i/>
          <w:w w:val="105"/>
          <w:sz w:val="18"/>
        </w:rPr>
        <w:t>Justicia</w:t>
      </w:r>
      <w:r>
        <w:rPr>
          <w:i/>
          <w:spacing w:val="-11"/>
          <w:w w:val="105"/>
          <w:sz w:val="18"/>
        </w:rPr>
        <w:t> </w:t>
      </w:r>
      <w:r>
        <w:rPr>
          <w:i/>
          <w:w w:val="105"/>
          <w:sz w:val="18"/>
        </w:rPr>
        <w:t>y</w:t>
      </w:r>
      <w:r>
        <w:rPr>
          <w:i/>
          <w:spacing w:val="-11"/>
          <w:w w:val="105"/>
          <w:sz w:val="18"/>
        </w:rPr>
        <w:t> </w:t>
      </w:r>
      <w:r>
        <w:rPr>
          <w:i/>
          <w:w w:val="105"/>
          <w:sz w:val="18"/>
        </w:rPr>
        <w:t>Seguridad;</w:t>
      </w:r>
      <w:r>
        <w:rPr>
          <w:i/>
          <w:spacing w:val="-11"/>
          <w:w w:val="105"/>
          <w:sz w:val="18"/>
        </w:rPr>
        <w:t> </w:t>
      </w:r>
      <w:r>
        <w:rPr>
          <w:i/>
          <w:w w:val="105"/>
          <w:sz w:val="18"/>
        </w:rPr>
        <w:t>Turismo,</w:t>
      </w:r>
      <w:r>
        <w:rPr>
          <w:i/>
          <w:spacing w:val="-10"/>
          <w:w w:val="105"/>
          <w:sz w:val="18"/>
        </w:rPr>
        <w:t> </w:t>
      </w:r>
      <w:r>
        <w:rPr>
          <w:i/>
          <w:w w:val="105"/>
          <w:sz w:val="18"/>
        </w:rPr>
        <w:t>Industria</w:t>
      </w:r>
      <w:r>
        <w:rPr>
          <w:i/>
          <w:spacing w:val="-11"/>
          <w:w w:val="105"/>
          <w:sz w:val="18"/>
        </w:rPr>
        <w:t> </w:t>
      </w:r>
      <w:r>
        <w:rPr>
          <w:i/>
          <w:w w:val="105"/>
          <w:sz w:val="18"/>
        </w:rPr>
        <w:t>y</w:t>
      </w:r>
      <w:r>
        <w:rPr>
          <w:i/>
          <w:spacing w:val="-11"/>
          <w:w w:val="105"/>
          <w:sz w:val="18"/>
        </w:rPr>
        <w:t> </w:t>
      </w:r>
      <w:r>
        <w:rPr>
          <w:i/>
          <w:w w:val="105"/>
          <w:sz w:val="18"/>
        </w:rPr>
        <w:t>Comercio;</w:t>
      </w:r>
      <w:r>
        <w:rPr>
          <w:i/>
          <w:spacing w:val="-13"/>
          <w:w w:val="105"/>
          <w:sz w:val="18"/>
        </w:rPr>
        <w:t> </w:t>
      </w:r>
      <w:r>
        <w:rPr>
          <w:i/>
          <w:w w:val="105"/>
          <w:sz w:val="18"/>
        </w:rPr>
        <w:t>Educación,</w:t>
      </w:r>
      <w:r>
        <w:rPr>
          <w:i/>
          <w:spacing w:val="-11"/>
          <w:w w:val="105"/>
          <w:sz w:val="18"/>
        </w:rPr>
        <w:t> </w:t>
      </w:r>
      <w:r>
        <w:rPr>
          <w:i/>
          <w:w w:val="105"/>
          <w:sz w:val="18"/>
        </w:rPr>
        <w:t>Universidades,</w:t>
      </w:r>
      <w:r>
        <w:rPr>
          <w:i/>
          <w:spacing w:val="-12"/>
          <w:w w:val="105"/>
          <w:sz w:val="18"/>
        </w:rPr>
        <w:t> </w:t>
      </w:r>
      <w:r>
        <w:rPr>
          <w:i/>
          <w:w w:val="105"/>
          <w:sz w:val="18"/>
        </w:rPr>
        <w:t>Cultura y</w:t>
      </w:r>
      <w:r>
        <w:rPr>
          <w:i/>
          <w:spacing w:val="-15"/>
          <w:w w:val="105"/>
          <w:sz w:val="18"/>
        </w:rPr>
        <w:t> </w:t>
      </w:r>
      <w:r>
        <w:rPr>
          <w:i/>
          <w:w w:val="105"/>
          <w:sz w:val="18"/>
        </w:rPr>
        <w:t>Deportes</w:t>
      </w:r>
      <w:r>
        <w:rPr>
          <w:i/>
          <w:spacing w:val="-15"/>
          <w:w w:val="105"/>
          <w:sz w:val="18"/>
        </w:rPr>
        <w:t> </w:t>
      </w:r>
      <w:r>
        <w:rPr>
          <w:i/>
          <w:w w:val="105"/>
          <w:sz w:val="18"/>
        </w:rPr>
        <w:t>(Personal</w:t>
      </w:r>
      <w:r>
        <w:rPr>
          <w:i/>
          <w:spacing w:val="-15"/>
          <w:w w:val="105"/>
          <w:sz w:val="18"/>
        </w:rPr>
        <w:t> </w:t>
      </w:r>
      <w:r>
        <w:rPr>
          <w:i/>
          <w:w w:val="105"/>
          <w:sz w:val="18"/>
        </w:rPr>
        <w:t>No</w:t>
      </w:r>
      <w:r>
        <w:rPr>
          <w:i/>
          <w:spacing w:val="-14"/>
          <w:w w:val="105"/>
          <w:sz w:val="18"/>
        </w:rPr>
        <w:t> </w:t>
      </w:r>
      <w:r>
        <w:rPr>
          <w:i/>
          <w:w w:val="105"/>
          <w:sz w:val="18"/>
        </w:rPr>
        <w:t>Docente)</w:t>
      </w:r>
      <w:r>
        <w:rPr>
          <w:i/>
          <w:spacing w:val="-15"/>
          <w:w w:val="105"/>
          <w:sz w:val="18"/>
        </w:rPr>
        <w:t> </w:t>
      </w:r>
      <w:r>
        <w:rPr>
          <w:i/>
          <w:w w:val="105"/>
          <w:sz w:val="18"/>
        </w:rPr>
        <w:t>y</w:t>
      </w:r>
      <w:r>
        <w:rPr>
          <w:i/>
          <w:spacing w:val="-16"/>
          <w:w w:val="105"/>
          <w:sz w:val="18"/>
        </w:rPr>
        <w:t> </w:t>
      </w:r>
      <w:r>
        <w:rPr>
          <w:i/>
          <w:w w:val="105"/>
          <w:sz w:val="18"/>
        </w:rPr>
        <w:t>Derechos</w:t>
      </w:r>
      <w:r>
        <w:rPr>
          <w:i/>
          <w:spacing w:val="-16"/>
          <w:w w:val="105"/>
          <w:sz w:val="18"/>
        </w:rPr>
        <w:t> </w:t>
      </w:r>
      <w:r>
        <w:rPr>
          <w:i/>
          <w:w w:val="105"/>
          <w:sz w:val="18"/>
        </w:rPr>
        <w:t>Sociales,</w:t>
      </w:r>
      <w:r>
        <w:rPr>
          <w:i/>
          <w:spacing w:val="-16"/>
          <w:w w:val="105"/>
          <w:sz w:val="18"/>
        </w:rPr>
        <w:t> </w:t>
      </w:r>
      <w:r>
        <w:rPr>
          <w:i/>
          <w:w w:val="105"/>
          <w:sz w:val="18"/>
        </w:rPr>
        <w:t>Igualdad,</w:t>
      </w:r>
      <w:r>
        <w:rPr>
          <w:i/>
          <w:spacing w:val="-14"/>
          <w:w w:val="105"/>
          <w:sz w:val="18"/>
        </w:rPr>
        <w:t> </w:t>
      </w:r>
      <w:r>
        <w:rPr>
          <w:i/>
          <w:w w:val="105"/>
          <w:sz w:val="18"/>
        </w:rPr>
        <w:t>Diversidad</w:t>
      </w:r>
      <w:r>
        <w:rPr>
          <w:i/>
          <w:spacing w:val="-16"/>
          <w:w w:val="105"/>
          <w:sz w:val="18"/>
        </w:rPr>
        <w:t> </w:t>
      </w:r>
      <w:r>
        <w:rPr>
          <w:i/>
          <w:w w:val="105"/>
          <w:sz w:val="18"/>
        </w:rPr>
        <w:t>y</w:t>
      </w:r>
      <w:r>
        <w:rPr>
          <w:i/>
          <w:spacing w:val="-14"/>
          <w:w w:val="105"/>
          <w:sz w:val="18"/>
        </w:rPr>
        <w:t> </w:t>
      </w:r>
      <w:r>
        <w:rPr>
          <w:i/>
          <w:w w:val="105"/>
          <w:sz w:val="18"/>
        </w:rPr>
        <w:t>Juventud</w:t>
      </w:r>
    </w:p>
    <w:p>
      <w:pPr>
        <w:pStyle w:val="BodyText"/>
        <w:spacing w:before="11"/>
        <w:rPr>
          <w:i/>
          <w:sz w:val="19"/>
        </w:rPr>
      </w:pPr>
    </w:p>
    <w:p>
      <w:pPr>
        <w:pStyle w:val="BodyText"/>
        <w:spacing w:before="61"/>
        <w:ind w:left="8760" w:right="973"/>
        <w:jc w:val="center"/>
      </w:pPr>
      <w:r>
        <w:rPr/>
        <w:t>209</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53" name="image5.png"/>
                  <wp:cNvGraphicFramePr>
                    <a:graphicFrameLocks noChangeAspect="1"/>
                  </wp:cNvGraphicFramePr>
                  <a:graphic>
                    <a:graphicData uri="http://schemas.openxmlformats.org/drawingml/2006/picture">
                      <pic:pic>
                        <pic:nvPicPr>
                          <pic:cNvPr id="45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211/247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8"/>
        <w:rPr>
          <w:b/>
          <w:sz w:val="13"/>
        </w:rPr>
      </w:pPr>
    </w:p>
    <w:p>
      <w:pPr>
        <w:pStyle w:val="ListParagraph"/>
        <w:numPr>
          <w:ilvl w:val="1"/>
          <w:numId w:val="114"/>
        </w:numPr>
        <w:tabs>
          <w:tab w:pos="2961" w:val="left" w:leader="none"/>
        </w:tabs>
        <w:spacing w:line="247" w:lineRule="auto" w:before="0" w:after="0"/>
        <w:ind w:left="2960" w:right="1341" w:hanging="303"/>
        <w:jc w:val="both"/>
        <w:rPr>
          <w:sz w:val="18"/>
        </w:rPr>
      </w:pPr>
      <w:r>
        <w:rPr>
          <w:i/>
          <w:w w:val="105"/>
          <w:sz w:val="18"/>
        </w:rPr>
        <w:t>Decremento</w:t>
      </w:r>
      <w:r>
        <w:rPr>
          <w:i/>
          <w:spacing w:val="-23"/>
          <w:w w:val="105"/>
          <w:sz w:val="18"/>
        </w:rPr>
        <w:t> </w:t>
      </w:r>
      <w:r>
        <w:rPr>
          <w:w w:val="105"/>
          <w:sz w:val="18"/>
        </w:rPr>
        <w:t>de</w:t>
      </w:r>
      <w:r>
        <w:rPr>
          <w:spacing w:val="-22"/>
          <w:w w:val="105"/>
          <w:sz w:val="18"/>
        </w:rPr>
        <w:t> </w:t>
      </w:r>
      <w:r>
        <w:rPr>
          <w:w w:val="105"/>
          <w:sz w:val="18"/>
        </w:rPr>
        <w:t>efectivos</w:t>
      </w:r>
      <w:r>
        <w:rPr>
          <w:spacing w:val="-23"/>
          <w:w w:val="105"/>
          <w:sz w:val="18"/>
        </w:rPr>
        <w:t> </w:t>
      </w:r>
      <w:r>
        <w:rPr>
          <w:w w:val="105"/>
          <w:sz w:val="18"/>
        </w:rPr>
        <w:t>en</w:t>
      </w:r>
      <w:r>
        <w:rPr>
          <w:spacing w:val="-21"/>
          <w:w w:val="105"/>
          <w:sz w:val="18"/>
        </w:rPr>
        <w:t> </w:t>
      </w:r>
      <w:r>
        <w:rPr>
          <w:w w:val="105"/>
          <w:sz w:val="18"/>
        </w:rPr>
        <w:t>diferentes</w:t>
      </w:r>
      <w:r>
        <w:rPr>
          <w:spacing w:val="-22"/>
          <w:w w:val="105"/>
          <w:sz w:val="18"/>
        </w:rPr>
        <w:t> </w:t>
      </w:r>
      <w:r>
        <w:rPr>
          <w:w w:val="105"/>
          <w:sz w:val="18"/>
        </w:rPr>
        <w:t>departamentos,</w:t>
      </w:r>
      <w:r>
        <w:rPr>
          <w:spacing w:val="-21"/>
          <w:w w:val="105"/>
          <w:sz w:val="18"/>
        </w:rPr>
        <w:t> </w:t>
      </w:r>
      <w:r>
        <w:rPr>
          <w:w w:val="105"/>
          <w:sz w:val="18"/>
        </w:rPr>
        <w:t>resaltándose</w:t>
      </w:r>
      <w:r>
        <w:rPr>
          <w:spacing w:val="-22"/>
          <w:w w:val="105"/>
          <w:sz w:val="18"/>
        </w:rPr>
        <w:t> </w:t>
      </w:r>
      <w:r>
        <w:rPr>
          <w:w w:val="105"/>
          <w:sz w:val="18"/>
        </w:rPr>
        <w:t>la</w:t>
      </w:r>
      <w:r>
        <w:rPr>
          <w:spacing w:val="-22"/>
          <w:w w:val="105"/>
          <w:sz w:val="18"/>
        </w:rPr>
        <w:t> </w:t>
      </w:r>
      <w:r>
        <w:rPr>
          <w:w w:val="105"/>
          <w:sz w:val="18"/>
        </w:rPr>
        <w:t>disminución</w:t>
      </w:r>
      <w:r>
        <w:rPr>
          <w:spacing w:val="-21"/>
          <w:w w:val="105"/>
          <w:sz w:val="18"/>
        </w:rPr>
        <w:t> </w:t>
      </w:r>
      <w:r>
        <w:rPr>
          <w:w w:val="105"/>
          <w:sz w:val="18"/>
        </w:rPr>
        <w:t>de 347 efectivos de personal no docente, en la Consejería de Educación, Universidades, Cultura y</w:t>
      </w:r>
      <w:r>
        <w:rPr>
          <w:spacing w:val="-4"/>
          <w:w w:val="105"/>
          <w:sz w:val="18"/>
        </w:rPr>
        <w:t> </w:t>
      </w:r>
      <w:r>
        <w:rPr>
          <w:w w:val="105"/>
          <w:sz w:val="18"/>
        </w:rPr>
        <w:t>Deportes.”</w:t>
      </w:r>
    </w:p>
    <w:p>
      <w:pPr>
        <w:pStyle w:val="BodyText"/>
        <w:spacing w:before="1"/>
        <w:rPr>
          <w:sz w:val="16"/>
        </w:rPr>
      </w:pPr>
    </w:p>
    <w:p>
      <w:pPr>
        <w:pStyle w:val="Heading1"/>
        <w:ind w:left="2299"/>
        <w:jc w:val="both"/>
      </w:pPr>
      <w:r>
        <w:rPr/>
        <w:t>Alegación 10: 3.1.2. Área de otros gastos.</w:t>
      </w:r>
    </w:p>
    <w:p>
      <w:pPr>
        <w:pStyle w:val="BodyText"/>
        <w:spacing w:before="8"/>
        <w:rPr>
          <w:b/>
          <w:sz w:val="16"/>
        </w:rPr>
      </w:pPr>
    </w:p>
    <w:p>
      <w:pPr>
        <w:pStyle w:val="BodyText"/>
        <w:ind w:left="2299" w:right="1345"/>
        <w:jc w:val="both"/>
      </w:pPr>
      <w:r>
        <w:rPr>
          <w:b/>
        </w:rPr>
        <w:t>Resumen. </w:t>
      </w:r>
      <w:r>
        <w:rPr/>
        <w:t>La IGCAC expresa desconocer la fuente de información de los datos incorporados en el cuadro del epígrafe 3.1.2, en el que se detalla el número de las operaciones anuales de contratos y subvenciones y el nº de las que fueron objeto de revisión.</w:t>
      </w:r>
    </w:p>
    <w:p>
      <w:pPr>
        <w:pStyle w:val="BodyText"/>
        <w:spacing w:before="1"/>
        <w:rPr>
          <w:sz w:val="17"/>
        </w:rPr>
      </w:pPr>
    </w:p>
    <w:p>
      <w:pPr>
        <w:pStyle w:val="BodyText"/>
        <w:ind w:left="2299" w:right="1345"/>
        <w:jc w:val="both"/>
      </w:pPr>
      <w:r>
        <w:rPr>
          <w:b/>
        </w:rPr>
        <w:t>Contestación. </w:t>
      </w:r>
      <w:r>
        <w:rPr/>
        <w:t>La información ha sido obtenida de los informes de CFP remitidos por el órgano de control interno, procediéndose a señalar a continuación, la página concreta en la que figuran:</w:t>
      </w:r>
    </w:p>
    <w:p>
      <w:pPr>
        <w:pStyle w:val="BodyText"/>
        <w:spacing w:before="10" w:after="1"/>
        <w:rPr>
          <w:sz w:val="16"/>
        </w:rPr>
      </w:pPr>
    </w:p>
    <w:tbl>
      <w:tblPr>
        <w:tblW w:w="0" w:type="auto"/>
        <w:jc w:val="left"/>
        <w:tblInd w:w="2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4"/>
        <w:gridCol w:w="1379"/>
        <w:gridCol w:w="736"/>
        <w:gridCol w:w="859"/>
        <w:gridCol w:w="795"/>
        <w:gridCol w:w="716"/>
      </w:tblGrid>
      <w:tr>
        <w:trPr>
          <w:trHeight w:val="552" w:hRule="atLeast"/>
        </w:trPr>
        <w:tc>
          <w:tcPr>
            <w:tcW w:w="2614" w:type="dxa"/>
            <w:shd w:val="clear" w:color="auto" w:fill="DEEAF6"/>
          </w:tcPr>
          <w:p>
            <w:pPr>
              <w:pStyle w:val="TableParagraph"/>
              <w:spacing w:before="1"/>
              <w:rPr>
                <w:sz w:val="15"/>
              </w:rPr>
            </w:pPr>
          </w:p>
          <w:p>
            <w:pPr>
              <w:pStyle w:val="TableParagraph"/>
              <w:ind w:left="858" w:right="853"/>
              <w:jc w:val="center"/>
              <w:rPr>
                <w:b/>
                <w:sz w:val="15"/>
              </w:rPr>
            </w:pPr>
            <w:r>
              <w:rPr>
                <w:b/>
                <w:sz w:val="15"/>
              </w:rPr>
              <w:t>Área material</w:t>
            </w:r>
          </w:p>
        </w:tc>
        <w:tc>
          <w:tcPr>
            <w:tcW w:w="1379" w:type="dxa"/>
            <w:shd w:val="clear" w:color="auto" w:fill="DEEAF6"/>
          </w:tcPr>
          <w:p>
            <w:pPr>
              <w:pStyle w:val="TableParagraph"/>
              <w:spacing w:before="1"/>
              <w:rPr>
                <w:sz w:val="15"/>
              </w:rPr>
            </w:pPr>
          </w:p>
          <w:p>
            <w:pPr>
              <w:pStyle w:val="TableParagraph"/>
              <w:ind w:left="85" w:right="78"/>
              <w:jc w:val="center"/>
              <w:rPr>
                <w:b/>
                <w:sz w:val="10"/>
              </w:rPr>
            </w:pPr>
            <w:r>
              <w:rPr>
                <w:b/>
                <w:sz w:val="15"/>
              </w:rPr>
              <w:t>materia</w:t>
            </w:r>
            <w:r>
              <w:rPr>
                <w:b/>
                <w:position w:val="4"/>
                <w:sz w:val="10"/>
              </w:rPr>
              <w:t>46</w:t>
            </w:r>
          </w:p>
        </w:tc>
        <w:tc>
          <w:tcPr>
            <w:tcW w:w="736" w:type="dxa"/>
            <w:shd w:val="clear" w:color="auto" w:fill="DEEAF6"/>
          </w:tcPr>
          <w:p>
            <w:pPr>
              <w:pStyle w:val="TableParagraph"/>
              <w:spacing w:before="1"/>
              <w:rPr>
                <w:sz w:val="15"/>
              </w:rPr>
            </w:pPr>
          </w:p>
          <w:p>
            <w:pPr>
              <w:pStyle w:val="TableParagraph"/>
              <w:ind w:left="38" w:right="35"/>
              <w:jc w:val="center"/>
              <w:rPr>
                <w:b/>
                <w:sz w:val="15"/>
              </w:rPr>
            </w:pPr>
            <w:r>
              <w:rPr>
                <w:b/>
                <w:sz w:val="15"/>
              </w:rPr>
              <w:t>Población</w:t>
            </w:r>
          </w:p>
        </w:tc>
        <w:tc>
          <w:tcPr>
            <w:tcW w:w="859" w:type="dxa"/>
            <w:shd w:val="clear" w:color="auto" w:fill="DEEAF6"/>
          </w:tcPr>
          <w:p>
            <w:pPr>
              <w:pStyle w:val="TableParagraph"/>
              <w:spacing w:before="1"/>
              <w:rPr>
                <w:sz w:val="15"/>
              </w:rPr>
            </w:pPr>
          </w:p>
          <w:p>
            <w:pPr>
              <w:pStyle w:val="TableParagraph"/>
              <w:ind w:left="96" w:right="95"/>
              <w:jc w:val="center"/>
              <w:rPr>
                <w:b/>
                <w:sz w:val="15"/>
              </w:rPr>
            </w:pPr>
            <w:r>
              <w:rPr>
                <w:b/>
                <w:sz w:val="15"/>
              </w:rPr>
              <w:t>Revisadas</w:t>
            </w:r>
          </w:p>
        </w:tc>
        <w:tc>
          <w:tcPr>
            <w:tcW w:w="795" w:type="dxa"/>
            <w:shd w:val="clear" w:color="auto" w:fill="DEEAF6"/>
          </w:tcPr>
          <w:p>
            <w:pPr>
              <w:pStyle w:val="TableParagraph"/>
              <w:spacing w:before="1"/>
              <w:rPr>
                <w:sz w:val="15"/>
              </w:rPr>
            </w:pPr>
          </w:p>
          <w:p>
            <w:pPr>
              <w:pStyle w:val="TableParagraph"/>
              <w:ind w:left="37" w:right="34"/>
              <w:jc w:val="center"/>
              <w:rPr>
                <w:b/>
                <w:sz w:val="15"/>
              </w:rPr>
            </w:pPr>
            <w:r>
              <w:rPr>
                <w:b/>
                <w:sz w:val="15"/>
              </w:rPr>
              <w:t>Porcentaje</w:t>
            </w:r>
          </w:p>
        </w:tc>
        <w:tc>
          <w:tcPr>
            <w:tcW w:w="716" w:type="dxa"/>
            <w:shd w:val="clear" w:color="auto" w:fill="DEEAF6"/>
          </w:tcPr>
          <w:p>
            <w:pPr>
              <w:pStyle w:val="TableParagraph"/>
              <w:spacing w:before="1"/>
              <w:ind w:left="103" w:right="101"/>
              <w:jc w:val="center"/>
              <w:rPr>
                <w:b/>
                <w:sz w:val="15"/>
              </w:rPr>
            </w:pPr>
            <w:r>
              <w:rPr>
                <w:b/>
                <w:sz w:val="15"/>
              </w:rPr>
              <w:t>Pagina informe</w:t>
            </w:r>
          </w:p>
          <w:p>
            <w:pPr>
              <w:pStyle w:val="TableParagraph"/>
              <w:spacing w:line="162" w:lineRule="exact" w:before="3"/>
              <w:ind w:left="101" w:right="101"/>
              <w:jc w:val="center"/>
              <w:rPr>
                <w:b/>
                <w:sz w:val="15"/>
              </w:rPr>
            </w:pPr>
            <w:r>
              <w:rPr>
                <w:b/>
                <w:sz w:val="15"/>
              </w:rPr>
              <w:t>CFP</w:t>
            </w:r>
          </w:p>
        </w:tc>
      </w:tr>
      <w:tr>
        <w:trPr>
          <w:trHeight w:val="364" w:hRule="atLeast"/>
        </w:trPr>
        <w:tc>
          <w:tcPr>
            <w:tcW w:w="2614" w:type="dxa"/>
          </w:tcPr>
          <w:p>
            <w:pPr>
              <w:pStyle w:val="TableParagraph"/>
              <w:spacing w:before="92"/>
              <w:ind w:left="57"/>
              <w:rPr>
                <w:sz w:val="15"/>
              </w:rPr>
            </w:pPr>
            <w:r>
              <w:rPr>
                <w:sz w:val="15"/>
              </w:rPr>
              <w:t>Todos los departamentos</w:t>
            </w:r>
          </w:p>
        </w:tc>
        <w:tc>
          <w:tcPr>
            <w:tcW w:w="1379" w:type="dxa"/>
          </w:tcPr>
          <w:p>
            <w:pPr>
              <w:pStyle w:val="TableParagraph"/>
              <w:spacing w:before="92"/>
              <w:ind w:left="85" w:right="78"/>
              <w:jc w:val="center"/>
              <w:rPr>
                <w:sz w:val="15"/>
              </w:rPr>
            </w:pPr>
            <w:r>
              <w:rPr>
                <w:sz w:val="15"/>
              </w:rPr>
              <w:t>Contratación obras</w:t>
            </w:r>
          </w:p>
        </w:tc>
        <w:tc>
          <w:tcPr>
            <w:tcW w:w="736" w:type="dxa"/>
          </w:tcPr>
          <w:p>
            <w:pPr>
              <w:pStyle w:val="TableParagraph"/>
              <w:spacing w:before="92"/>
              <w:ind w:left="38" w:right="34"/>
              <w:jc w:val="center"/>
              <w:rPr>
                <w:sz w:val="15"/>
              </w:rPr>
            </w:pPr>
            <w:r>
              <w:rPr>
                <w:sz w:val="15"/>
              </w:rPr>
              <w:t>2865</w:t>
            </w:r>
          </w:p>
        </w:tc>
        <w:tc>
          <w:tcPr>
            <w:tcW w:w="859" w:type="dxa"/>
          </w:tcPr>
          <w:p>
            <w:pPr>
              <w:pStyle w:val="TableParagraph"/>
              <w:spacing w:before="92"/>
              <w:ind w:left="96" w:right="95"/>
              <w:jc w:val="center"/>
              <w:rPr>
                <w:sz w:val="15"/>
              </w:rPr>
            </w:pPr>
            <w:r>
              <w:rPr>
                <w:sz w:val="15"/>
              </w:rPr>
              <w:t>625</w:t>
            </w:r>
          </w:p>
        </w:tc>
        <w:tc>
          <w:tcPr>
            <w:tcW w:w="795" w:type="dxa"/>
          </w:tcPr>
          <w:p>
            <w:pPr>
              <w:pStyle w:val="TableParagraph"/>
              <w:spacing w:before="92"/>
              <w:ind w:left="38" w:right="34"/>
              <w:jc w:val="center"/>
              <w:rPr>
                <w:sz w:val="15"/>
              </w:rPr>
            </w:pPr>
            <w:r>
              <w:rPr>
                <w:sz w:val="15"/>
              </w:rPr>
              <w:t>21,85%</w:t>
            </w:r>
          </w:p>
        </w:tc>
        <w:tc>
          <w:tcPr>
            <w:tcW w:w="716" w:type="dxa"/>
          </w:tcPr>
          <w:p>
            <w:pPr>
              <w:pStyle w:val="TableParagraph"/>
              <w:spacing w:before="92"/>
              <w:ind w:left="102" w:right="101"/>
              <w:jc w:val="center"/>
              <w:rPr>
                <w:sz w:val="15"/>
              </w:rPr>
            </w:pPr>
            <w:r>
              <w:rPr>
                <w:sz w:val="15"/>
              </w:rPr>
              <w:t>56</w:t>
            </w:r>
          </w:p>
        </w:tc>
      </w:tr>
      <w:tr>
        <w:trPr>
          <w:trHeight w:val="189" w:hRule="atLeast"/>
        </w:trPr>
        <w:tc>
          <w:tcPr>
            <w:tcW w:w="2614" w:type="dxa"/>
            <w:vMerge w:val="restart"/>
          </w:tcPr>
          <w:p>
            <w:pPr>
              <w:pStyle w:val="TableParagraph"/>
              <w:spacing w:line="180" w:lineRule="atLeast" w:before="11"/>
              <w:ind w:left="57" w:right="349"/>
              <w:rPr>
                <w:sz w:val="15"/>
              </w:rPr>
            </w:pPr>
            <w:r>
              <w:rPr>
                <w:sz w:val="15"/>
              </w:rPr>
              <w:t>Educación, Universidades, Cultura Y Deportes.</w:t>
            </w:r>
          </w:p>
        </w:tc>
        <w:tc>
          <w:tcPr>
            <w:tcW w:w="1379" w:type="dxa"/>
          </w:tcPr>
          <w:p>
            <w:pPr>
              <w:pStyle w:val="TableParagraph"/>
              <w:spacing w:line="166" w:lineRule="exact" w:before="3"/>
              <w:ind w:left="83" w:right="78"/>
              <w:jc w:val="center"/>
              <w:rPr>
                <w:sz w:val="15"/>
              </w:rPr>
            </w:pPr>
            <w:r>
              <w:rPr>
                <w:sz w:val="15"/>
              </w:rPr>
              <w:t>Contratación</w:t>
            </w:r>
          </w:p>
        </w:tc>
        <w:tc>
          <w:tcPr>
            <w:tcW w:w="736" w:type="dxa"/>
          </w:tcPr>
          <w:p>
            <w:pPr>
              <w:pStyle w:val="TableParagraph"/>
              <w:spacing w:line="166" w:lineRule="exact" w:before="3"/>
              <w:ind w:left="38" w:right="34"/>
              <w:jc w:val="center"/>
              <w:rPr>
                <w:sz w:val="15"/>
              </w:rPr>
            </w:pPr>
            <w:r>
              <w:rPr>
                <w:sz w:val="15"/>
              </w:rPr>
              <w:t>6568</w:t>
            </w:r>
          </w:p>
        </w:tc>
        <w:tc>
          <w:tcPr>
            <w:tcW w:w="859" w:type="dxa"/>
          </w:tcPr>
          <w:p>
            <w:pPr>
              <w:pStyle w:val="TableParagraph"/>
              <w:spacing w:line="166" w:lineRule="exact" w:before="3"/>
              <w:ind w:left="96" w:right="95"/>
              <w:jc w:val="center"/>
              <w:rPr>
                <w:sz w:val="15"/>
              </w:rPr>
            </w:pPr>
            <w:r>
              <w:rPr>
                <w:sz w:val="15"/>
              </w:rPr>
              <w:t>157</w:t>
            </w:r>
          </w:p>
        </w:tc>
        <w:tc>
          <w:tcPr>
            <w:tcW w:w="795" w:type="dxa"/>
          </w:tcPr>
          <w:p>
            <w:pPr>
              <w:pStyle w:val="TableParagraph"/>
              <w:spacing w:line="166" w:lineRule="exact" w:before="3"/>
              <w:ind w:left="38" w:right="34"/>
              <w:jc w:val="center"/>
              <w:rPr>
                <w:sz w:val="15"/>
              </w:rPr>
            </w:pPr>
            <w:r>
              <w:rPr>
                <w:sz w:val="15"/>
              </w:rPr>
              <w:t>2,39%</w:t>
            </w:r>
          </w:p>
        </w:tc>
        <w:tc>
          <w:tcPr>
            <w:tcW w:w="716" w:type="dxa"/>
          </w:tcPr>
          <w:p>
            <w:pPr>
              <w:pStyle w:val="TableParagraph"/>
              <w:spacing w:line="166" w:lineRule="exact" w:before="3"/>
              <w:ind w:left="102" w:right="101"/>
              <w:jc w:val="center"/>
              <w:rPr>
                <w:sz w:val="15"/>
              </w:rPr>
            </w:pPr>
            <w:r>
              <w:rPr>
                <w:sz w:val="15"/>
              </w:rPr>
              <w:t>17</w:t>
            </w:r>
          </w:p>
        </w:tc>
      </w:tr>
      <w:tr>
        <w:trPr>
          <w:trHeight w:val="189" w:hRule="atLeast"/>
        </w:trPr>
        <w:tc>
          <w:tcPr>
            <w:tcW w:w="2614" w:type="dxa"/>
            <w:vMerge/>
            <w:tcBorders>
              <w:top w:val="nil"/>
            </w:tcBorders>
          </w:tcPr>
          <w:p>
            <w:pPr>
              <w:rPr>
                <w:sz w:val="2"/>
                <w:szCs w:val="2"/>
              </w:rPr>
            </w:pPr>
          </w:p>
        </w:tc>
        <w:tc>
          <w:tcPr>
            <w:tcW w:w="1379" w:type="dxa"/>
          </w:tcPr>
          <w:p>
            <w:pPr>
              <w:pStyle w:val="TableParagraph"/>
              <w:spacing w:line="166" w:lineRule="exact" w:before="3"/>
              <w:ind w:left="83" w:right="78"/>
              <w:jc w:val="center"/>
              <w:rPr>
                <w:sz w:val="15"/>
              </w:rPr>
            </w:pPr>
            <w:r>
              <w:rPr>
                <w:sz w:val="15"/>
              </w:rPr>
              <w:t>Subvenciones</w:t>
            </w:r>
          </w:p>
        </w:tc>
        <w:tc>
          <w:tcPr>
            <w:tcW w:w="736" w:type="dxa"/>
          </w:tcPr>
          <w:p>
            <w:pPr>
              <w:pStyle w:val="TableParagraph"/>
              <w:spacing w:line="166" w:lineRule="exact" w:before="3"/>
              <w:ind w:left="38" w:right="34"/>
              <w:jc w:val="center"/>
              <w:rPr>
                <w:sz w:val="15"/>
              </w:rPr>
            </w:pPr>
            <w:r>
              <w:rPr>
                <w:sz w:val="15"/>
              </w:rPr>
              <w:t>8186</w:t>
            </w:r>
          </w:p>
        </w:tc>
        <w:tc>
          <w:tcPr>
            <w:tcW w:w="859" w:type="dxa"/>
          </w:tcPr>
          <w:p>
            <w:pPr>
              <w:pStyle w:val="TableParagraph"/>
              <w:spacing w:line="166" w:lineRule="exact" w:before="3"/>
              <w:ind w:left="1"/>
              <w:jc w:val="center"/>
              <w:rPr>
                <w:sz w:val="15"/>
              </w:rPr>
            </w:pPr>
            <w:r>
              <w:rPr>
                <w:w w:val="100"/>
                <w:sz w:val="15"/>
              </w:rPr>
              <w:t>6</w:t>
            </w:r>
          </w:p>
        </w:tc>
        <w:tc>
          <w:tcPr>
            <w:tcW w:w="795" w:type="dxa"/>
          </w:tcPr>
          <w:p>
            <w:pPr>
              <w:pStyle w:val="TableParagraph"/>
              <w:spacing w:line="166" w:lineRule="exact" w:before="3"/>
              <w:ind w:left="38" w:right="34"/>
              <w:jc w:val="center"/>
              <w:rPr>
                <w:sz w:val="15"/>
              </w:rPr>
            </w:pPr>
            <w:r>
              <w:rPr>
                <w:sz w:val="15"/>
              </w:rPr>
              <w:t>0,07%</w:t>
            </w:r>
          </w:p>
        </w:tc>
        <w:tc>
          <w:tcPr>
            <w:tcW w:w="716" w:type="dxa"/>
          </w:tcPr>
          <w:p>
            <w:pPr>
              <w:pStyle w:val="TableParagraph"/>
              <w:spacing w:line="166" w:lineRule="exact" w:before="3"/>
              <w:ind w:left="102" w:right="101"/>
              <w:jc w:val="center"/>
              <w:rPr>
                <w:sz w:val="15"/>
              </w:rPr>
            </w:pPr>
            <w:r>
              <w:rPr>
                <w:sz w:val="15"/>
              </w:rPr>
              <w:t>24</w:t>
            </w:r>
          </w:p>
        </w:tc>
      </w:tr>
      <w:tr>
        <w:trPr>
          <w:trHeight w:val="187" w:hRule="atLeast"/>
        </w:trPr>
        <w:tc>
          <w:tcPr>
            <w:tcW w:w="2614" w:type="dxa"/>
            <w:vMerge w:val="restart"/>
          </w:tcPr>
          <w:p>
            <w:pPr>
              <w:pStyle w:val="TableParagraph"/>
              <w:spacing w:line="242" w:lineRule="auto"/>
              <w:ind w:left="57" w:right="283"/>
              <w:rPr>
                <w:sz w:val="15"/>
              </w:rPr>
            </w:pPr>
            <w:r>
              <w:rPr>
                <w:sz w:val="15"/>
              </w:rPr>
              <w:t>Transición Ecológica, Lucha Contra El Cambio Climático Y Planificación</w:t>
            </w:r>
          </w:p>
          <w:p>
            <w:pPr>
              <w:pStyle w:val="TableParagraph"/>
              <w:spacing w:line="162" w:lineRule="exact"/>
              <w:ind w:left="57"/>
              <w:rPr>
                <w:sz w:val="15"/>
              </w:rPr>
            </w:pPr>
            <w:r>
              <w:rPr>
                <w:sz w:val="15"/>
              </w:rPr>
              <w:t>Territorial.</w:t>
            </w:r>
          </w:p>
        </w:tc>
        <w:tc>
          <w:tcPr>
            <w:tcW w:w="1379" w:type="dxa"/>
          </w:tcPr>
          <w:p>
            <w:pPr>
              <w:pStyle w:val="TableParagraph"/>
              <w:spacing w:line="164" w:lineRule="exact" w:before="3"/>
              <w:ind w:left="83" w:right="78"/>
              <w:jc w:val="center"/>
              <w:rPr>
                <w:sz w:val="15"/>
              </w:rPr>
            </w:pPr>
            <w:r>
              <w:rPr>
                <w:sz w:val="15"/>
              </w:rPr>
              <w:t>Contratación</w:t>
            </w:r>
          </w:p>
        </w:tc>
        <w:tc>
          <w:tcPr>
            <w:tcW w:w="736" w:type="dxa"/>
          </w:tcPr>
          <w:p>
            <w:pPr>
              <w:pStyle w:val="TableParagraph"/>
              <w:spacing w:line="164" w:lineRule="exact" w:before="3"/>
              <w:ind w:left="38" w:right="34"/>
              <w:jc w:val="center"/>
              <w:rPr>
                <w:sz w:val="15"/>
              </w:rPr>
            </w:pPr>
            <w:r>
              <w:rPr>
                <w:sz w:val="15"/>
              </w:rPr>
              <w:t>1983</w:t>
            </w:r>
          </w:p>
        </w:tc>
        <w:tc>
          <w:tcPr>
            <w:tcW w:w="859" w:type="dxa"/>
          </w:tcPr>
          <w:p>
            <w:pPr>
              <w:pStyle w:val="TableParagraph"/>
              <w:spacing w:line="164" w:lineRule="exact" w:before="3"/>
              <w:ind w:left="96" w:right="95"/>
              <w:jc w:val="center"/>
              <w:rPr>
                <w:sz w:val="15"/>
              </w:rPr>
            </w:pPr>
            <w:r>
              <w:rPr>
                <w:sz w:val="15"/>
              </w:rPr>
              <w:t>58</w:t>
            </w:r>
          </w:p>
        </w:tc>
        <w:tc>
          <w:tcPr>
            <w:tcW w:w="795" w:type="dxa"/>
          </w:tcPr>
          <w:p>
            <w:pPr>
              <w:pStyle w:val="TableParagraph"/>
              <w:spacing w:line="164" w:lineRule="exact" w:before="3"/>
              <w:ind w:left="38" w:right="34"/>
              <w:jc w:val="center"/>
              <w:rPr>
                <w:sz w:val="15"/>
              </w:rPr>
            </w:pPr>
            <w:r>
              <w:rPr>
                <w:sz w:val="15"/>
              </w:rPr>
              <w:t>2,92%</w:t>
            </w:r>
          </w:p>
        </w:tc>
        <w:tc>
          <w:tcPr>
            <w:tcW w:w="716" w:type="dxa"/>
          </w:tcPr>
          <w:p>
            <w:pPr>
              <w:pStyle w:val="TableParagraph"/>
              <w:spacing w:line="164" w:lineRule="exact" w:before="3"/>
              <w:ind w:left="102" w:right="101"/>
              <w:jc w:val="center"/>
              <w:rPr>
                <w:sz w:val="15"/>
              </w:rPr>
            </w:pPr>
            <w:r>
              <w:rPr>
                <w:sz w:val="15"/>
              </w:rPr>
              <w:t>15</w:t>
            </w:r>
          </w:p>
        </w:tc>
      </w:tr>
      <w:tr>
        <w:trPr>
          <w:trHeight w:val="354" w:hRule="atLeast"/>
        </w:trPr>
        <w:tc>
          <w:tcPr>
            <w:tcW w:w="2614" w:type="dxa"/>
            <w:vMerge/>
            <w:tcBorders>
              <w:top w:val="nil"/>
            </w:tcBorders>
          </w:tcPr>
          <w:p>
            <w:pPr>
              <w:rPr>
                <w:sz w:val="2"/>
                <w:szCs w:val="2"/>
              </w:rPr>
            </w:pPr>
          </w:p>
        </w:tc>
        <w:tc>
          <w:tcPr>
            <w:tcW w:w="1379" w:type="dxa"/>
          </w:tcPr>
          <w:p>
            <w:pPr>
              <w:pStyle w:val="TableParagraph"/>
              <w:spacing w:before="86"/>
              <w:ind w:left="83" w:right="78"/>
              <w:jc w:val="center"/>
              <w:rPr>
                <w:sz w:val="15"/>
              </w:rPr>
            </w:pPr>
            <w:r>
              <w:rPr>
                <w:sz w:val="15"/>
              </w:rPr>
              <w:t>Subvenciones</w:t>
            </w:r>
          </w:p>
        </w:tc>
        <w:tc>
          <w:tcPr>
            <w:tcW w:w="736" w:type="dxa"/>
          </w:tcPr>
          <w:p>
            <w:pPr>
              <w:pStyle w:val="TableParagraph"/>
              <w:spacing w:before="86"/>
              <w:ind w:left="38" w:right="34"/>
              <w:jc w:val="center"/>
              <w:rPr>
                <w:sz w:val="15"/>
              </w:rPr>
            </w:pPr>
            <w:r>
              <w:rPr>
                <w:sz w:val="15"/>
              </w:rPr>
              <w:t>4244</w:t>
            </w:r>
          </w:p>
        </w:tc>
        <w:tc>
          <w:tcPr>
            <w:tcW w:w="859" w:type="dxa"/>
          </w:tcPr>
          <w:p>
            <w:pPr>
              <w:pStyle w:val="TableParagraph"/>
              <w:spacing w:before="86"/>
              <w:ind w:left="96" w:right="95"/>
              <w:jc w:val="center"/>
              <w:rPr>
                <w:sz w:val="15"/>
              </w:rPr>
            </w:pPr>
            <w:r>
              <w:rPr>
                <w:sz w:val="15"/>
              </w:rPr>
              <w:t>22</w:t>
            </w:r>
          </w:p>
        </w:tc>
        <w:tc>
          <w:tcPr>
            <w:tcW w:w="795" w:type="dxa"/>
          </w:tcPr>
          <w:p>
            <w:pPr>
              <w:pStyle w:val="TableParagraph"/>
              <w:spacing w:before="86"/>
              <w:ind w:left="38" w:right="34"/>
              <w:jc w:val="center"/>
              <w:rPr>
                <w:sz w:val="15"/>
              </w:rPr>
            </w:pPr>
            <w:r>
              <w:rPr>
                <w:sz w:val="15"/>
              </w:rPr>
              <w:t>0,52%</w:t>
            </w:r>
          </w:p>
        </w:tc>
        <w:tc>
          <w:tcPr>
            <w:tcW w:w="716" w:type="dxa"/>
          </w:tcPr>
          <w:p>
            <w:pPr>
              <w:pStyle w:val="TableParagraph"/>
              <w:spacing w:before="86"/>
              <w:ind w:left="102" w:right="101"/>
              <w:jc w:val="center"/>
              <w:rPr>
                <w:sz w:val="15"/>
              </w:rPr>
            </w:pPr>
            <w:r>
              <w:rPr>
                <w:sz w:val="15"/>
              </w:rPr>
              <w:t>24</w:t>
            </w:r>
          </w:p>
        </w:tc>
      </w:tr>
      <w:tr>
        <w:trPr>
          <w:trHeight w:val="187" w:hRule="atLeast"/>
        </w:trPr>
        <w:tc>
          <w:tcPr>
            <w:tcW w:w="2614" w:type="dxa"/>
            <w:vMerge w:val="restart"/>
          </w:tcPr>
          <w:p>
            <w:pPr>
              <w:pStyle w:val="TableParagraph"/>
              <w:spacing w:before="102"/>
              <w:ind w:left="57"/>
              <w:rPr>
                <w:sz w:val="15"/>
              </w:rPr>
            </w:pPr>
            <w:r>
              <w:rPr>
                <w:sz w:val="15"/>
              </w:rPr>
              <w:t>Turismo, Industria Y Comercio.</w:t>
            </w:r>
          </w:p>
        </w:tc>
        <w:tc>
          <w:tcPr>
            <w:tcW w:w="1379" w:type="dxa"/>
          </w:tcPr>
          <w:p>
            <w:pPr>
              <w:pStyle w:val="TableParagraph"/>
              <w:spacing w:line="165" w:lineRule="exact" w:before="3"/>
              <w:ind w:left="83" w:right="78"/>
              <w:jc w:val="center"/>
              <w:rPr>
                <w:sz w:val="15"/>
              </w:rPr>
            </w:pPr>
            <w:r>
              <w:rPr>
                <w:sz w:val="15"/>
              </w:rPr>
              <w:t>Contratación</w:t>
            </w:r>
          </w:p>
        </w:tc>
        <w:tc>
          <w:tcPr>
            <w:tcW w:w="736" w:type="dxa"/>
          </w:tcPr>
          <w:p>
            <w:pPr>
              <w:pStyle w:val="TableParagraph"/>
              <w:spacing w:line="165" w:lineRule="exact" w:before="3"/>
              <w:ind w:left="38" w:right="34"/>
              <w:jc w:val="center"/>
              <w:rPr>
                <w:sz w:val="15"/>
              </w:rPr>
            </w:pPr>
            <w:r>
              <w:rPr>
                <w:sz w:val="15"/>
              </w:rPr>
              <w:t>965</w:t>
            </w:r>
          </w:p>
        </w:tc>
        <w:tc>
          <w:tcPr>
            <w:tcW w:w="859" w:type="dxa"/>
          </w:tcPr>
          <w:p>
            <w:pPr>
              <w:pStyle w:val="TableParagraph"/>
              <w:spacing w:line="165" w:lineRule="exact" w:before="3"/>
              <w:ind w:left="96" w:right="95"/>
              <w:jc w:val="center"/>
              <w:rPr>
                <w:sz w:val="15"/>
              </w:rPr>
            </w:pPr>
            <w:r>
              <w:rPr>
                <w:sz w:val="15"/>
              </w:rPr>
              <w:t>110</w:t>
            </w:r>
          </w:p>
        </w:tc>
        <w:tc>
          <w:tcPr>
            <w:tcW w:w="795" w:type="dxa"/>
          </w:tcPr>
          <w:p>
            <w:pPr>
              <w:pStyle w:val="TableParagraph"/>
              <w:spacing w:line="165" w:lineRule="exact" w:before="3"/>
              <w:ind w:left="38" w:right="34"/>
              <w:jc w:val="center"/>
              <w:rPr>
                <w:sz w:val="15"/>
              </w:rPr>
            </w:pPr>
            <w:r>
              <w:rPr>
                <w:sz w:val="15"/>
              </w:rPr>
              <w:t>11,40%</w:t>
            </w:r>
          </w:p>
        </w:tc>
        <w:tc>
          <w:tcPr>
            <w:tcW w:w="716" w:type="dxa"/>
          </w:tcPr>
          <w:p>
            <w:pPr>
              <w:pStyle w:val="TableParagraph"/>
              <w:spacing w:line="165" w:lineRule="exact" w:before="3"/>
              <w:ind w:left="102" w:right="101"/>
              <w:jc w:val="center"/>
              <w:rPr>
                <w:sz w:val="15"/>
              </w:rPr>
            </w:pPr>
            <w:r>
              <w:rPr>
                <w:sz w:val="15"/>
              </w:rPr>
              <w:t>10</w:t>
            </w:r>
          </w:p>
        </w:tc>
      </w:tr>
      <w:tr>
        <w:trPr>
          <w:trHeight w:val="189" w:hRule="atLeast"/>
        </w:trPr>
        <w:tc>
          <w:tcPr>
            <w:tcW w:w="2614" w:type="dxa"/>
            <w:vMerge/>
            <w:tcBorders>
              <w:top w:val="nil"/>
            </w:tcBorders>
          </w:tcPr>
          <w:p>
            <w:pPr>
              <w:rPr>
                <w:sz w:val="2"/>
                <w:szCs w:val="2"/>
              </w:rPr>
            </w:pPr>
          </w:p>
        </w:tc>
        <w:tc>
          <w:tcPr>
            <w:tcW w:w="1379" w:type="dxa"/>
          </w:tcPr>
          <w:p>
            <w:pPr>
              <w:pStyle w:val="TableParagraph"/>
              <w:spacing w:line="164" w:lineRule="exact" w:before="5"/>
              <w:ind w:left="83" w:right="78"/>
              <w:jc w:val="center"/>
              <w:rPr>
                <w:sz w:val="15"/>
              </w:rPr>
            </w:pPr>
            <w:r>
              <w:rPr>
                <w:sz w:val="15"/>
              </w:rPr>
              <w:t>Subvenciones</w:t>
            </w:r>
          </w:p>
        </w:tc>
        <w:tc>
          <w:tcPr>
            <w:tcW w:w="736" w:type="dxa"/>
          </w:tcPr>
          <w:p>
            <w:pPr>
              <w:pStyle w:val="TableParagraph"/>
              <w:spacing w:line="164" w:lineRule="exact" w:before="5"/>
              <w:ind w:left="38" w:right="34"/>
              <w:jc w:val="center"/>
              <w:rPr>
                <w:sz w:val="15"/>
              </w:rPr>
            </w:pPr>
            <w:r>
              <w:rPr>
                <w:sz w:val="15"/>
              </w:rPr>
              <w:t>508</w:t>
            </w:r>
          </w:p>
        </w:tc>
        <w:tc>
          <w:tcPr>
            <w:tcW w:w="859" w:type="dxa"/>
          </w:tcPr>
          <w:p>
            <w:pPr>
              <w:pStyle w:val="TableParagraph"/>
              <w:spacing w:line="164" w:lineRule="exact" w:before="5"/>
              <w:ind w:left="96" w:right="95"/>
              <w:jc w:val="center"/>
              <w:rPr>
                <w:sz w:val="15"/>
              </w:rPr>
            </w:pPr>
            <w:r>
              <w:rPr>
                <w:sz w:val="15"/>
              </w:rPr>
              <w:t>17</w:t>
            </w:r>
          </w:p>
        </w:tc>
        <w:tc>
          <w:tcPr>
            <w:tcW w:w="795" w:type="dxa"/>
          </w:tcPr>
          <w:p>
            <w:pPr>
              <w:pStyle w:val="TableParagraph"/>
              <w:spacing w:line="164" w:lineRule="exact" w:before="5"/>
              <w:ind w:left="38" w:right="34"/>
              <w:jc w:val="center"/>
              <w:rPr>
                <w:sz w:val="15"/>
              </w:rPr>
            </w:pPr>
            <w:r>
              <w:rPr>
                <w:sz w:val="15"/>
              </w:rPr>
              <w:t>3,35%</w:t>
            </w:r>
          </w:p>
        </w:tc>
        <w:tc>
          <w:tcPr>
            <w:tcW w:w="716" w:type="dxa"/>
          </w:tcPr>
          <w:p>
            <w:pPr>
              <w:pStyle w:val="TableParagraph"/>
              <w:spacing w:line="164" w:lineRule="exact" w:before="5"/>
              <w:ind w:left="102" w:right="101"/>
              <w:jc w:val="center"/>
              <w:rPr>
                <w:sz w:val="15"/>
              </w:rPr>
            </w:pPr>
            <w:r>
              <w:rPr>
                <w:sz w:val="15"/>
              </w:rPr>
              <w:t>22</w:t>
            </w:r>
          </w:p>
        </w:tc>
      </w:tr>
      <w:tr>
        <w:trPr>
          <w:trHeight w:val="189" w:hRule="atLeast"/>
        </w:trPr>
        <w:tc>
          <w:tcPr>
            <w:tcW w:w="2614" w:type="dxa"/>
            <w:vMerge w:val="restart"/>
          </w:tcPr>
          <w:p>
            <w:pPr>
              <w:pStyle w:val="TableParagraph"/>
              <w:spacing w:before="104"/>
              <w:ind w:left="57"/>
              <w:rPr>
                <w:sz w:val="15"/>
              </w:rPr>
            </w:pPr>
            <w:r>
              <w:rPr>
                <w:sz w:val="15"/>
              </w:rPr>
              <w:t>Sanidad</w:t>
            </w:r>
          </w:p>
        </w:tc>
        <w:tc>
          <w:tcPr>
            <w:tcW w:w="1379" w:type="dxa"/>
          </w:tcPr>
          <w:p>
            <w:pPr>
              <w:pStyle w:val="TableParagraph"/>
              <w:spacing w:line="166" w:lineRule="exact" w:before="3"/>
              <w:ind w:left="83" w:right="78"/>
              <w:jc w:val="center"/>
              <w:rPr>
                <w:sz w:val="15"/>
              </w:rPr>
            </w:pPr>
            <w:r>
              <w:rPr>
                <w:sz w:val="15"/>
              </w:rPr>
              <w:t>Contratación</w:t>
            </w:r>
          </w:p>
        </w:tc>
        <w:tc>
          <w:tcPr>
            <w:tcW w:w="736" w:type="dxa"/>
          </w:tcPr>
          <w:p>
            <w:pPr>
              <w:pStyle w:val="TableParagraph"/>
              <w:spacing w:line="166" w:lineRule="exact" w:before="3"/>
              <w:ind w:left="38" w:right="34"/>
              <w:jc w:val="center"/>
              <w:rPr>
                <w:sz w:val="15"/>
              </w:rPr>
            </w:pPr>
            <w:r>
              <w:rPr>
                <w:sz w:val="15"/>
              </w:rPr>
              <w:t>220</w:t>
            </w:r>
          </w:p>
        </w:tc>
        <w:tc>
          <w:tcPr>
            <w:tcW w:w="859" w:type="dxa"/>
          </w:tcPr>
          <w:p>
            <w:pPr>
              <w:pStyle w:val="TableParagraph"/>
              <w:spacing w:line="166" w:lineRule="exact" w:before="3"/>
              <w:ind w:left="96" w:right="95"/>
              <w:jc w:val="center"/>
              <w:rPr>
                <w:sz w:val="15"/>
              </w:rPr>
            </w:pPr>
            <w:r>
              <w:rPr>
                <w:sz w:val="15"/>
              </w:rPr>
              <w:t>117</w:t>
            </w:r>
          </w:p>
        </w:tc>
        <w:tc>
          <w:tcPr>
            <w:tcW w:w="795" w:type="dxa"/>
          </w:tcPr>
          <w:p>
            <w:pPr>
              <w:pStyle w:val="TableParagraph"/>
              <w:spacing w:line="166" w:lineRule="exact" w:before="3"/>
              <w:ind w:left="38" w:right="34"/>
              <w:jc w:val="center"/>
              <w:rPr>
                <w:sz w:val="15"/>
              </w:rPr>
            </w:pPr>
            <w:r>
              <w:rPr>
                <w:sz w:val="15"/>
              </w:rPr>
              <w:t>53,18%</w:t>
            </w:r>
          </w:p>
        </w:tc>
        <w:tc>
          <w:tcPr>
            <w:tcW w:w="716" w:type="dxa"/>
          </w:tcPr>
          <w:p>
            <w:pPr>
              <w:pStyle w:val="TableParagraph"/>
              <w:spacing w:line="166" w:lineRule="exact" w:before="3"/>
              <w:ind w:left="102" w:right="101"/>
              <w:jc w:val="center"/>
              <w:rPr>
                <w:sz w:val="15"/>
              </w:rPr>
            </w:pPr>
            <w:r>
              <w:rPr>
                <w:sz w:val="15"/>
              </w:rPr>
              <w:t>11</w:t>
            </w:r>
          </w:p>
        </w:tc>
      </w:tr>
      <w:tr>
        <w:trPr>
          <w:trHeight w:val="189" w:hRule="atLeast"/>
        </w:trPr>
        <w:tc>
          <w:tcPr>
            <w:tcW w:w="2614" w:type="dxa"/>
            <w:vMerge/>
            <w:tcBorders>
              <w:top w:val="nil"/>
            </w:tcBorders>
          </w:tcPr>
          <w:p>
            <w:pPr>
              <w:rPr>
                <w:sz w:val="2"/>
                <w:szCs w:val="2"/>
              </w:rPr>
            </w:pPr>
          </w:p>
        </w:tc>
        <w:tc>
          <w:tcPr>
            <w:tcW w:w="1379" w:type="dxa"/>
          </w:tcPr>
          <w:p>
            <w:pPr>
              <w:pStyle w:val="TableParagraph"/>
              <w:spacing w:line="166" w:lineRule="exact" w:before="3"/>
              <w:ind w:left="83" w:right="78"/>
              <w:jc w:val="center"/>
              <w:rPr>
                <w:sz w:val="15"/>
              </w:rPr>
            </w:pPr>
            <w:r>
              <w:rPr>
                <w:sz w:val="15"/>
              </w:rPr>
              <w:t>Subvenciones</w:t>
            </w:r>
          </w:p>
        </w:tc>
        <w:tc>
          <w:tcPr>
            <w:tcW w:w="736" w:type="dxa"/>
          </w:tcPr>
          <w:p>
            <w:pPr>
              <w:pStyle w:val="TableParagraph"/>
              <w:spacing w:line="166" w:lineRule="exact" w:before="3"/>
              <w:ind w:left="38" w:right="34"/>
              <w:jc w:val="center"/>
              <w:rPr>
                <w:sz w:val="15"/>
              </w:rPr>
            </w:pPr>
            <w:r>
              <w:rPr>
                <w:sz w:val="15"/>
              </w:rPr>
              <w:t>10</w:t>
            </w:r>
          </w:p>
        </w:tc>
        <w:tc>
          <w:tcPr>
            <w:tcW w:w="859" w:type="dxa"/>
          </w:tcPr>
          <w:p>
            <w:pPr>
              <w:pStyle w:val="TableParagraph"/>
              <w:spacing w:line="166" w:lineRule="exact" w:before="3"/>
              <w:ind w:left="1"/>
              <w:jc w:val="center"/>
              <w:rPr>
                <w:sz w:val="15"/>
              </w:rPr>
            </w:pPr>
            <w:r>
              <w:rPr>
                <w:w w:val="100"/>
                <w:sz w:val="15"/>
              </w:rPr>
              <w:t>4</w:t>
            </w:r>
          </w:p>
        </w:tc>
        <w:tc>
          <w:tcPr>
            <w:tcW w:w="795" w:type="dxa"/>
          </w:tcPr>
          <w:p>
            <w:pPr>
              <w:pStyle w:val="TableParagraph"/>
              <w:spacing w:line="166" w:lineRule="exact" w:before="3"/>
              <w:ind w:left="38" w:right="34"/>
              <w:jc w:val="center"/>
              <w:rPr>
                <w:sz w:val="15"/>
              </w:rPr>
            </w:pPr>
            <w:r>
              <w:rPr>
                <w:sz w:val="15"/>
              </w:rPr>
              <w:t>40,00%</w:t>
            </w:r>
          </w:p>
        </w:tc>
        <w:tc>
          <w:tcPr>
            <w:tcW w:w="716" w:type="dxa"/>
          </w:tcPr>
          <w:p>
            <w:pPr>
              <w:pStyle w:val="TableParagraph"/>
              <w:spacing w:line="166" w:lineRule="exact" w:before="3"/>
              <w:ind w:left="102" w:right="101"/>
              <w:jc w:val="center"/>
              <w:rPr>
                <w:sz w:val="15"/>
              </w:rPr>
            </w:pPr>
            <w:r>
              <w:rPr>
                <w:sz w:val="15"/>
              </w:rPr>
              <w:t>14</w:t>
            </w:r>
          </w:p>
        </w:tc>
      </w:tr>
      <w:tr>
        <w:trPr>
          <w:trHeight w:val="187" w:hRule="atLeast"/>
        </w:trPr>
        <w:tc>
          <w:tcPr>
            <w:tcW w:w="2614" w:type="dxa"/>
            <w:vMerge w:val="restart"/>
          </w:tcPr>
          <w:p>
            <w:pPr>
              <w:pStyle w:val="TableParagraph"/>
              <w:spacing w:before="7"/>
              <w:rPr>
                <w:sz w:val="12"/>
              </w:rPr>
            </w:pPr>
          </w:p>
          <w:p>
            <w:pPr>
              <w:pStyle w:val="TableParagraph"/>
              <w:spacing w:before="1"/>
              <w:ind w:left="57"/>
              <w:rPr>
                <w:sz w:val="15"/>
              </w:rPr>
            </w:pPr>
            <w:r>
              <w:rPr>
                <w:sz w:val="15"/>
              </w:rPr>
              <w:t>Agricultura, Ganadería Y Pesca.</w:t>
            </w:r>
          </w:p>
        </w:tc>
        <w:tc>
          <w:tcPr>
            <w:tcW w:w="1379" w:type="dxa"/>
          </w:tcPr>
          <w:p>
            <w:pPr>
              <w:pStyle w:val="TableParagraph"/>
              <w:spacing w:line="164" w:lineRule="exact" w:before="3"/>
              <w:ind w:left="83" w:right="78"/>
              <w:jc w:val="center"/>
              <w:rPr>
                <w:sz w:val="15"/>
              </w:rPr>
            </w:pPr>
            <w:r>
              <w:rPr>
                <w:sz w:val="15"/>
              </w:rPr>
              <w:t>Contratación</w:t>
            </w:r>
          </w:p>
        </w:tc>
        <w:tc>
          <w:tcPr>
            <w:tcW w:w="736" w:type="dxa"/>
          </w:tcPr>
          <w:p>
            <w:pPr>
              <w:pStyle w:val="TableParagraph"/>
              <w:spacing w:line="164" w:lineRule="exact" w:before="3"/>
              <w:ind w:left="38" w:right="34"/>
              <w:jc w:val="center"/>
              <w:rPr>
                <w:sz w:val="15"/>
              </w:rPr>
            </w:pPr>
            <w:r>
              <w:rPr>
                <w:sz w:val="15"/>
              </w:rPr>
              <w:t>1625</w:t>
            </w:r>
          </w:p>
        </w:tc>
        <w:tc>
          <w:tcPr>
            <w:tcW w:w="859" w:type="dxa"/>
          </w:tcPr>
          <w:p>
            <w:pPr>
              <w:pStyle w:val="TableParagraph"/>
              <w:spacing w:line="164" w:lineRule="exact" w:before="3"/>
              <w:ind w:left="96" w:right="95"/>
              <w:jc w:val="center"/>
              <w:rPr>
                <w:sz w:val="15"/>
              </w:rPr>
            </w:pPr>
            <w:r>
              <w:rPr>
                <w:sz w:val="15"/>
              </w:rPr>
              <w:t>101</w:t>
            </w:r>
          </w:p>
        </w:tc>
        <w:tc>
          <w:tcPr>
            <w:tcW w:w="795" w:type="dxa"/>
          </w:tcPr>
          <w:p>
            <w:pPr>
              <w:pStyle w:val="TableParagraph"/>
              <w:spacing w:line="164" w:lineRule="exact" w:before="3"/>
              <w:ind w:left="38" w:right="34"/>
              <w:jc w:val="center"/>
              <w:rPr>
                <w:sz w:val="15"/>
              </w:rPr>
            </w:pPr>
            <w:r>
              <w:rPr>
                <w:sz w:val="15"/>
              </w:rPr>
              <w:t>6,22%</w:t>
            </w:r>
          </w:p>
        </w:tc>
        <w:tc>
          <w:tcPr>
            <w:tcW w:w="716" w:type="dxa"/>
          </w:tcPr>
          <w:p>
            <w:pPr>
              <w:pStyle w:val="TableParagraph"/>
              <w:spacing w:line="164" w:lineRule="exact" w:before="3"/>
              <w:ind w:left="102" w:right="101"/>
              <w:jc w:val="center"/>
              <w:rPr>
                <w:sz w:val="15"/>
              </w:rPr>
            </w:pPr>
            <w:r>
              <w:rPr>
                <w:sz w:val="15"/>
              </w:rPr>
              <w:t>12</w:t>
            </w:r>
          </w:p>
        </w:tc>
      </w:tr>
      <w:tr>
        <w:trPr>
          <w:trHeight w:val="292" w:hRule="atLeast"/>
        </w:trPr>
        <w:tc>
          <w:tcPr>
            <w:tcW w:w="2614" w:type="dxa"/>
            <w:vMerge/>
            <w:tcBorders>
              <w:top w:val="nil"/>
            </w:tcBorders>
          </w:tcPr>
          <w:p>
            <w:pPr>
              <w:rPr>
                <w:sz w:val="2"/>
                <w:szCs w:val="2"/>
              </w:rPr>
            </w:pPr>
          </w:p>
        </w:tc>
        <w:tc>
          <w:tcPr>
            <w:tcW w:w="1379" w:type="dxa"/>
          </w:tcPr>
          <w:p>
            <w:pPr>
              <w:pStyle w:val="TableParagraph"/>
              <w:spacing w:before="55"/>
              <w:ind w:left="83" w:right="78"/>
              <w:jc w:val="center"/>
              <w:rPr>
                <w:sz w:val="15"/>
              </w:rPr>
            </w:pPr>
            <w:r>
              <w:rPr>
                <w:sz w:val="15"/>
              </w:rPr>
              <w:t>Subvenciones</w:t>
            </w:r>
          </w:p>
        </w:tc>
        <w:tc>
          <w:tcPr>
            <w:tcW w:w="736" w:type="dxa"/>
          </w:tcPr>
          <w:p>
            <w:pPr>
              <w:pStyle w:val="TableParagraph"/>
              <w:spacing w:before="55"/>
              <w:ind w:left="38" w:right="34"/>
              <w:jc w:val="center"/>
              <w:rPr>
                <w:sz w:val="15"/>
              </w:rPr>
            </w:pPr>
            <w:r>
              <w:rPr>
                <w:sz w:val="15"/>
              </w:rPr>
              <w:t>2741</w:t>
            </w:r>
          </w:p>
        </w:tc>
        <w:tc>
          <w:tcPr>
            <w:tcW w:w="859" w:type="dxa"/>
          </w:tcPr>
          <w:p>
            <w:pPr>
              <w:pStyle w:val="TableParagraph"/>
              <w:spacing w:before="55"/>
              <w:ind w:left="96" w:right="95"/>
              <w:jc w:val="center"/>
              <w:rPr>
                <w:sz w:val="15"/>
              </w:rPr>
            </w:pPr>
            <w:r>
              <w:rPr>
                <w:sz w:val="15"/>
              </w:rPr>
              <w:t>83</w:t>
            </w:r>
          </w:p>
        </w:tc>
        <w:tc>
          <w:tcPr>
            <w:tcW w:w="795" w:type="dxa"/>
          </w:tcPr>
          <w:p>
            <w:pPr>
              <w:pStyle w:val="TableParagraph"/>
              <w:spacing w:before="55"/>
              <w:ind w:left="38" w:right="34"/>
              <w:jc w:val="center"/>
              <w:rPr>
                <w:sz w:val="15"/>
              </w:rPr>
            </w:pPr>
            <w:r>
              <w:rPr>
                <w:sz w:val="15"/>
              </w:rPr>
              <w:t>3,03%</w:t>
            </w:r>
          </w:p>
        </w:tc>
        <w:tc>
          <w:tcPr>
            <w:tcW w:w="716" w:type="dxa"/>
          </w:tcPr>
          <w:p>
            <w:pPr>
              <w:pStyle w:val="TableParagraph"/>
              <w:spacing w:before="55"/>
              <w:ind w:left="102" w:right="101"/>
              <w:jc w:val="center"/>
              <w:rPr>
                <w:sz w:val="15"/>
              </w:rPr>
            </w:pPr>
            <w:r>
              <w:rPr>
                <w:sz w:val="15"/>
              </w:rPr>
              <w:t>27</w:t>
            </w:r>
          </w:p>
        </w:tc>
      </w:tr>
      <w:tr>
        <w:trPr>
          <w:trHeight w:val="189" w:hRule="atLeast"/>
        </w:trPr>
        <w:tc>
          <w:tcPr>
            <w:tcW w:w="2614" w:type="dxa"/>
            <w:vMerge w:val="restart"/>
          </w:tcPr>
          <w:p>
            <w:pPr>
              <w:pStyle w:val="TableParagraph"/>
              <w:spacing w:before="59"/>
              <w:ind w:left="57" w:right="321"/>
              <w:rPr>
                <w:sz w:val="15"/>
              </w:rPr>
            </w:pPr>
            <w:r>
              <w:rPr>
                <w:sz w:val="15"/>
              </w:rPr>
              <w:t>Administraciones Públicas, Justicia Y Seguridad.</w:t>
            </w:r>
          </w:p>
        </w:tc>
        <w:tc>
          <w:tcPr>
            <w:tcW w:w="1379" w:type="dxa"/>
          </w:tcPr>
          <w:p>
            <w:pPr>
              <w:pStyle w:val="TableParagraph"/>
              <w:spacing w:line="166" w:lineRule="exact" w:before="3"/>
              <w:ind w:left="83" w:right="78"/>
              <w:jc w:val="center"/>
              <w:rPr>
                <w:sz w:val="15"/>
              </w:rPr>
            </w:pPr>
            <w:r>
              <w:rPr>
                <w:sz w:val="15"/>
              </w:rPr>
              <w:t>Contratación</w:t>
            </w:r>
          </w:p>
        </w:tc>
        <w:tc>
          <w:tcPr>
            <w:tcW w:w="736" w:type="dxa"/>
          </w:tcPr>
          <w:p>
            <w:pPr>
              <w:pStyle w:val="TableParagraph"/>
              <w:spacing w:line="166" w:lineRule="exact" w:before="3"/>
              <w:ind w:left="38" w:right="34"/>
              <w:jc w:val="center"/>
              <w:rPr>
                <w:sz w:val="15"/>
              </w:rPr>
            </w:pPr>
            <w:r>
              <w:rPr>
                <w:sz w:val="15"/>
              </w:rPr>
              <w:t>6553</w:t>
            </w:r>
          </w:p>
        </w:tc>
        <w:tc>
          <w:tcPr>
            <w:tcW w:w="859" w:type="dxa"/>
          </w:tcPr>
          <w:p>
            <w:pPr>
              <w:pStyle w:val="TableParagraph"/>
              <w:spacing w:line="166" w:lineRule="exact" w:before="3"/>
              <w:ind w:left="96" w:right="95"/>
              <w:jc w:val="center"/>
              <w:rPr>
                <w:sz w:val="15"/>
              </w:rPr>
            </w:pPr>
            <w:r>
              <w:rPr>
                <w:sz w:val="15"/>
              </w:rPr>
              <w:t>378</w:t>
            </w:r>
          </w:p>
        </w:tc>
        <w:tc>
          <w:tcPr>
            <w:tcW w:w="795" w:type="dxa"/>
          </w:tcPr>
          <w:p>
            <w:pPr>
              <w:pStyle w:val="TableParagraph"/>
              <w:spacing w:line="166" w:lineRule="exact" w:before="3"/>
              <w:ind w:left="38" w:right="34"/>
              <w:jc w:val="center"/>
              <w:rPr>
                <w:sz w:val="15"/>
              </w:rPr>
            </w:pPr>
            <w:r>
              <w:rPr>
                <w:sz w:val="15"/>
              </w:rPr>
              <w:t>5,77%</w:t>
            </w:r>
          </w:p>
        </w:tc>
        <w:tc>
          <w:tcPr>
            <w:tcW w:w="716" w:type="dxa"/>
          </w:tcPr>
          <w:p>
            <w:pPr>
              <w:pStyle w:val="TableParagraph"/>
              <w:spacing w:line="166" w:lineRule="exact" w:before="3"/>
              <w:ind w:left="102" w:right="101"/>
              <w:jc w:val="center"/>
              <w:rPr>
                <w:sz w:val="15"/>
              </w:rPr>
            </w:pPr>
            <w:r>
              <w:rPr>
                <w:sz w:val="15"/>
              </w:rPr>
              <w:t>36</w:t>
            </w:r>
          </w:p>
        </w:tc>
      </w:tr>
      <w:tr>
        <w:trPr>
          <w:trHeight w:val="286" w:hRule="atLeast"/>
        </w:trPr>
        <w:tc>
          <w:tcPr>
            <w:tcW w:w="2614" w:type="dxa"/>
            <w:vMerge/>
            <w:tcBorders>
              <w:top w:val="nil"/>
            </w:tcBorders>
          </w:tcPr>
          <w:p>
            <w:pPr>
              <w:rPr>
                <w:sz w:val="2"/>
                <w:szCs w:val="2"/>
              </w:rPr>
            </w:pPr>
          </w:p>
        </w:tc>
        <w:tc>
          <w:tcPr>
            <w:tcW w:w="1379" w:type="dxa"/>
          </w:tcPr>
          <w:p>
            <w:pPr>
              <w:pStyle w:val="TableParagraph"/>
              <w:spacing w:before="51"/>
              <w:ind w:left="83" w:right="78"/>
              <w:jc w:val="center"/>
              <w:rPr>
                <w:sz w:val="15"/>
              </w:rPr>
            </w:pPr>
            <w:r>
              <w:rPr>
                <w:sz w:val="15"/>
              </w:rPr>
              <w:t>Subvenciones</w:t>
            </w:r>
          </w:p>
        </w:tc>
        <w:tc>
          <w:tcPr>
            <w:tcW w:w="736" w:type="dxa"/>
          </w:tcPr>
          <w:p>
            <w:pPr>
              <w:pStyle w:val="TableParagraph"/>
              <w:spacing w:before="51"/>
              <w:ind w:left="38" w:right="34"/>
              <w:jc w:val="center"/>
              <w:rPr>
                <w:sz w:val="15"/>
              </w:rPr>
            </w:pPr>
            <w:r>
              <w:rPr>
                <w:sz w:val="15"/>
              </w:rPr>
              <w:t>109</w:t>
            </w:r>
          </w:p>
        </w:tc>
        <w:tc>
          <w:tcPr>
            <w:tcW w:w="859" w:type="dxa"/>
          </w:tcPr>
          <w:p>
            <w:pPr>
              <w:pStyle w:val="TableParagraph"/>
              <w:spacing w:before="51"/>
              <w:ind w:left="96" w:right="95"/>
              <w:jc w:val="center"/>
              <w:rPr>
                <w:sz w:val="15"/>
              </w:rPr>
            </w:pPr>
            <w:r>
              <w:rPr>
                <w:sz w:val="15"/>
              </w:rPr>
              <w:t>10</w:t>
            </w:r>
          </w:p>
        </w:tc>
        <w:tc>
          <w:tcPr>
            <w:tcW w:w="795" w:type="dxa"/>
          </w:tcPr>
          <w:p>
            <w:pPr>
              <w:pStyle w:val="TableParagraph"/>
              <w:spacing w:before="51"/>
              <w:ind w:left="38" w:right="34"/>
              <w:jc w:val="center"/>
              <w:rPr>
                <w:sz w:val="15"/>
              </w:rPr>
            </w:pPr>
            <w:r>
              <w:rPr>
                <w:sz w:val="15"/>
              </w:rPr>
              <w:t>9,17%</w:t>
            </w:r>
          </w:p>
        </w:tc>
        <w:tc>
          <w:tcPr>
            <w:tcW w:w="716" w:type="dxa"/>
          </w:tcPr>
          <w:p>
            <w:pPr>
              <w:pStyle w:val="TableParagraph"/>
              <w:spacing w:before="51"/>
              <w:ind w:left="102" w:right="101"/>
              <w:jc w:val="center"/>
              <w:rPr>
                <w:sz w:val="15"/>
              </w:rPr>
            </w:pPr>
            <w:r>
              <w:rPr>
                <w:sz w:val="15"/>
              </w:rPr>
              <w:t>91</w:t>
            </w:r>
          </w:p>
        </w:tc>
      </w:tr>
      <w:tr>
        <w:trPr>
          <w:trHeight w:val="187" w:hRule="atLeast"/>
        </w:trPr>
        <w:tc>
          <w:tcPr>
            <w:tcW w:w="2614" w:type="dxa"/>
            <w:vMerge w:val="restart"/>
          </w:tcPr>
          <w:p>
            <w:pPr>
              <w:pStyle w:val="TableParagraph"/>
              <w:spacing w:line="180" w:lineRule="atLeast" w:before="11"/>
              <w:ind w:left="57" w:right="435"/>
              <w:rPr>
                <w:sz w:val="15"/>
              </w:rPr>
            </w:pPr>
            <w:r>
              <w:rPr>
                <w:sz w:val="15"/>
              </w:rPr>
              <w:t>Hacienda, Presupuestos Y Asuntos Europeos.</w:t>
            </w:r>
          </w:p>
        </w:tc>
        <w:tc>
          <w:tcPr>
            <w:tcW w:w="1379" w:type="dxa"/>
          </w:tcPr>
          <w:p>
            <w:pPr>
              <w:pStyle w:val="TableParagraph"/>
              <w:spacing w:line="164" w:lineRule="exact" w:before="3"/>
              <w:ind w:left="83" w:right="78"/>
              <w:jc w:val="center"/>
              <w:rPr>
                <w:sz w:val="15"/>
              </w:rPr>
            </w:pPr>
            <w:r>
              <w:rPr>
                <w:sz w:val="15"/>
              </w:rPr>
              <w:t>Contratación</w:t>
            </w:r>
          </w:p>
        </w:tc>
        <w:tc>
          <w:tcPr>
            <w:tcW w:w="736" w:type="dxa"/>
          </w:tcPr>
          <w:p>
            <w:pPr>
              <w:pStyle w:val="TableParagraph"/>
              <w:spacing w:line="164" w:lineRule="exact" w:before="3"/>
              <w:ind w:left="38" w:right="34"/>
              <w:jc w:val="center"/>
              <w:rPr>
                <w:sz w:val="15"/>
              </w:rPr>
            </w:pPr>
            <w:r>
              <w:rPr>
                <w:sz w:val="15"/>
              </w:rPr>
              <w:t>2598</w:t>
            </w:r>
          </w:p>
        </w:tc>
        <w:tc>
          <w:tcPr>
            <w:tcW w:w="859" w:type="dxa"/>
          </w:tcPr>
          <w:p>
            <w:pPr>
              <w:pStyle w:val="TableParagraph"/>
              <w:spacing w:line="164" w:lineRule="exact" w:before="3"/>
              <w:ind w:left="96" w:right="95"/>
              <w:jc w:val="center"/>
              <w:rPr>
                <w:sz w:val="15"/>
              </w:rPr>
            </w:pPr>
            <w:r>
              <w:rPr>
                <w:sz w:val="15"/>
              </w:rPr>
              <w:t>183</w:t>
            </w:r>
          </w:p>
        </w:tc>
        <w:tc>
          <w:tcPr>
            <w:tcW w:w="795" w:type="dxa"/>
          </w:tcPr>
          <w:p>
            <w:pPr>
              <w:pStyle w:val="TableParagraph"/>
              <w:spacing w:line="164" w:lineRule="exact" w:before="3"/>
              <w:ind w:left="38" w:right="34"/>
              <w:jc w:val="center"/>
              <w:rPr>
                <w:sz w:val="15"/>
              </w:rPr>
            </w:pPr>
            <w:r>
              <w:rPr>
                <w:sz w:val="15"/>
              </w:rPr>
              <w:t>7,04%</w:t>
            </w:r>
          </w:p>
        </w:tc>
        <w:tc>
          <w:tcPr>
            <w:tcW w:w="716" w:type="dxa"/>
          </w:tcPr>
          <w:p>
            <w:pPr>
              <w:pStyle w:val="TableParagraph"/>
              <w:spacing w:line="164" w:lineRule="exact" w:before="3"/>
              <w:ind w:left="102" w:right="101"/>
              <w:jc w:val="center"/>
              <w:rPr>
                <w:sz w:val="15"/>
              </w:rPr>
            </w:pPr>
            <w:r>
              <w:rPr>
                <w:sz w:val="15"/>
              </w:rPr>
              <w:t>23</w:t>
            </w:r>
          </w:p>
        </w:tc>
      </w:tr>
      <w:tr>
        <w:trPr>
          <w:trHeight w:val="189" w:hRule="atLeast"/>
        </w:trPr>
        <w:tc>
          <w:tcPr>
            <w:tcW w:w="2614" w:type="dxa"/>
            <w:vMerge/>
            <w:tcBorders>
              <w:top w:val="nil"/>
            </w:tcBorders>
          </w:tcPr>
          <w:p>
            <w:pPr>
              <w:rPr>
                <w:sz w:val="2"/>
                <w:szCs w:val="2"/>
              </w:rPr>
            </w:pPr>
          </w:p>
        </w:tc>
        <w:tc>
          <w:tcPr>
            <w:tcW w:w="1379" w:type="dxa"/>
          </w:tcPr>
          <w:p>
            <w:pPr>
              <w:pStyle w:val="TableParagraph"/>
              <w:spacing w:line="164" w:lineRule="exact" w:before="5"/>
              <w:ind w:left="83" w:right="78"/>
              <w:jc w:val="center"/>
              <w:rPr>
                <w:sz w:val="15"/>
              </w:rPr>
            </w:pPr>
            <w:r>
              <w:rPr>
                <w:sz w:val="15"/>
              </w:rPr>
              <w:t>Subvenciones</w:t>
            </w:r>
          </w:p>
        </w:tc>
        <w:tc>
          <w:tcPr>
            <w:tcW w:w="736" w:type="dxa"/>
          </w:tcPr>
          <w:p>
            <w:pPr>
              <w:pStyle w:val="TableParagraph"/>
              <w:spacing w:line="164" w:lineRule="exact" w:before="5"/>
              <w:ind w:left="38" w:right="34"/>
              <w:jc w:val="center"/>
              <w:rPr>
                <w:sz w:val="15"/>
              </w:rPr>
            </w:pPr>
            <w:r>
              <w:rPr>
                <w:sz w:val="15"/>
              </w:rPr>
              <w:t>32</w:t>
            </w:r>
          </w:p>
        </w:tc>
        <w:tc>
          <w:tcPr>
            <w:tcW w:w="859" w:type="dxa"/>
          </w:tcPr>
          <w:p>
            <w:pPr>
              <w:pStyle w:val="TableParagraph"/>
              <w:spacing w:line="164" w:lineRule="exact" w:before="5"/>
              <w:ind w:left="1"/>
              <w:jc w:val="center"/>
              <w:rPr>
                <w:sz w:val="15"/>
              </w:rPr>
            </w:pPr>
            <w:r>
              <w:rPr>
                <w:w w:val="100"/>
                <w:sz w:val="15"/>
              </w:rPr>
              <w:t>5</w:t>
            </w:r>
          </w:p>
        </w:tc>
        <w:tc>
          <w:tcPr>
            <w:tcW w:w="795" w:type="dxa"/>
          </w:tcPr>
          <w:p>
            <w:pPr>
              <w:pStyle w:val="TableParagraph"/>
              <w:spacing w:line="164" w:lineRule="exact" w:before="5"/>
              <w:ind w:left="38" w:right="34"/>
              <w:jc w:val="center"/>
              <w:rPr>
                <w:sz w:val="15"/>
              </w:rPr>
            </w:pPr>
            <w:r>
              <w:rPr>
                <w:sz w:val="15"/>
              </w:rPr>
              <w:t>15,63%</w:t>
            </w:r>
          </w:p>
        </w:tc>
        <w:tc>
          <w:tcPr>
            <w:tcW w:w="716" w:type="dxa"/>
          </w:tcPr>
          <w:p>
            <w:pPr>
              <w:pStyle w:val="TableParagraph"/>
              <w:spacing w:line="164" w:lineRule="exact" w:before="5"/>
              <w:ind w:left="102" w:right="101"/>
              <w:jc w:val="center"/>
              <w:rPr>
                <w:sz w:val="15"/>
              </w:rPr>
            </w:pPr>
            <w:r>
              <w:rPr>
                <w:sz w:val="15"/>
              </w:rPr>
              <w:t>33</w:t>
            </w:r>
          </w:p>
        </w:tc>
      </w:tr>
      <w:tr>
        <w:trPr>
          <w:trHeight w:val="189" w:hRule="atLeast"/>
        </w:trPr>
        <w:tc>
          <w:tcPr>
            <w:tcW w:w="2614" w:type="dxa"/>
            <w:vMerge w:val="restart"/>
          </w:tcPr>
          <w:p>
            <w:pPr>
              <w:pStyle w:val="TableParagraph"/>
              <w:spacing w:before="104"/>
              <w:ind w:left="91"/>
              <w:rPr>
                <w:sz w:val="15"/>
              </w:rPr>
            </w:pPr>
            <w:r>
              <w:rPr>
                <w:sz w:val="15"/>
              </w:rPr>
              <w:t>Economía, Conocimiento Y Empleo.</w:t>
            </w:r>
          </w:p>
        </w:tc>
        <w:tc>
          <w:tcPr>
            <w:tcW w:w="1379" w:type="dxa"/>
          </w:tcPr>
          <w:p>
            <w:pPr>
              <w:pStyle w:val="TableParagraph"/>
              <w:spacing w:line="166" w:lineRule="exact" w:before="3"/>
              <w:ind w:left="83" w:right="78"/>
              <w:jc w:val="center"/>
              <w:rPr>
                <w:sz w:val="15"/>
              </w:rPr>
            </w:pPr>
            <w:r>
              <w:rPr>
                <w:sz w:val="15"/>
              </w:rPr>
              <w:t>Contratación</w:t>
            </w:r>
          </w:p>
        </w:tc>
        <w:tc>
          <w:tcPr>
            <w:tcW w:w="736" w:type="dxa"/>
          </w:tcPr>
          <w:p>
            <w:pPr>
              <w:pStyle w:val="TableParagraph"/>
              <w:spacing w:line="166" w:lineRule="exact" w:before="3"/>
              <w:ind w:left="38" w:right="34"/>
              <w:jc w:val="center"/>
              <w:rPr>
                <w:sz w:val="15"/>
              </w:rPr>
            </w:pPr>
            <w:r>
              <w:rPr>
                <w:sz w:val="15"/>
              </w:rPr>
              <w:t>1315</w:t>
            </w:r>
          </w:p>
        </w:tc>
        <w:tc>
          <w:tcPr>
            <w:tcW w:w="859" w:type="dxa"/>
          </w:tcPr>
          <w:p>
            <w:pPr>
              <w:pStyle w:val="TableParagraph"/>
              <w:spacing w:line="166" w:lineRule="exact" w:before="3"/>
              <w:ind w:left="96" w:right="95"/>
              <w:jc w:val="center"/>
              <w:rPr>
                <w:sz w:val="15"/>
              </w:rPr>
            </w:pPr>
            <w:r>
              <w:rPr>
                <w:sz w:val="15"/>
              </w:rPr>
              <w:t>46</w:t>
            </w:r>
          </w:p>
        </w:tc>
        <w:tc>
          <w:tcPr>
            <w:tcW w:w="795" w:type="dxa"/>
          </w:tcPr>
          <w:p>
            <w:pPr>
              <w:pStyle w:val="TableParagraph"/>
              <w:spacing w:line="166" w:lineRule="exact" w:before="3"/>
              <w:ind w:left="38" w:right="34"/>
              <w:jc w:val="center"/>
              <w:rPr>
                <w:sz w:val="15"/>
              </w:rPr>
            </w:pPr>
            <w:r>
              <w:rPr>
                <w:sz w:val="15"/>
              </w:rPr>
              <w:t>3,50%</w:t>
            </w:r>
          </w:p>
        </w:tc>
        <w:tc>
          <w:tcPr>
            <w:tcW w:w="716" w:type="dxa"/>
          </w:tcPr>
          <w:p>
            <w:pPr>
              <w:pStyle w:val="TableParagraph"/>
              <w:spacing w:line="166" w:lineRule="exact" w:before="3"/>
              <w:ind w:left="102" w:right="101"/>
              <w:jc w:val="center"/>
              <w:rPr>
                <w:sz w:val="15"/>
              </w:rPr>
            </w:pPr>
            <w:r>
              <w:rPr>
                <w:sz w:val="15"/>
              </w:rPr>
              <w:t>30</w:t>
            </w:r>
          </w:p>
        </w:tc>
      </w:tr>
      <w:tr>
        <w:trPr>
          <w:trHeight w:val="189" w:hRule="atLeast"/>
        </w:trPr>
        <w:tc>
          <w:tcPr>
            <w:tcW w:w="2614" w:type="dxa"/>
            <w:vMerge/>
            <w:tcBorders>
              <w:top w:val="nil"/>
            </w:tcBorders>
          </w:tcPr>
          <w:p>
            <w:pPr>
              <w:rPr>
                <w:sz w:val="2"/>
                <w:szCs w:val="2"/>
              </w:rPr>
            </w:pPr>
          </w:p>
        </w:tc>
        <w:tc>
          <w:tcPr>
            <w:tcW w:w="1379" w:type="dxa"/>
          </w:tcPr>
          <w:p>
            <w:pPr>
              <w:pStyle w:val="TableParagraph"/>
              <w:spacing w:line="166" w:lineRule="exact" w:before="3"/>
              <w:ind w:left="83" w:right="78"/>
              <w:jc w:val="center"/>
              <w:rPr>
                <w:sz w:val="15"/>
              </w:rPr>
            </w:pPr>
            <w:r>
              <w:rPr>
                <w:sz w:val="15"/>
              </w:rPr>
              <w:t>Subvenciones</w:t>
            </w:r>
          </w:p>
        </w:tc>
        <w:tc>
          <w:tcPr>
            <w:tcW w:w="736" w:type="dxa"/>
          </w:tcPr>
          <w:p>
            <w:pPr>
              <w:pStyle w:val="TableParagraph"/>
              <w:spacing w:line="166" w:lineRule="exact" w:before="3"/>
              <w:ind w:left="38" w:right="34"/>
              <w:jc w:val="center"/>
              <w:rPr>
                <w:sz w:val="15"/>
              </w:rPr>
            </w:pPr>
            <w:r>
              <w:rPr>
                <w:sz w:val="15"/>
              </w:rPr>
              <w:t>2515</w:t>
            </w:r>
          </w:p>
        </w:tc>
        <w:tc>
          <w:tcPr>
            <w:tcW w:w="859" w:type="dxa"/>
          </w:tcPr>
          <w:p>
            <w:pPr>
              <w:pStyle w:val="TableParagraph"/>
              <w:spacing w:line="166" w:lineRule="exact" w:before="3"/>
              <w:ind w:left="96" w:right="95"/>
              <w:jc w:val="center"/>
              <w:rPr>
                <w:sz w:val="15"/>
              </w:rPr>
            </w:pPr>
            <w:r>
              <w:rPr>
                <w:sz w:val="15"/>
              </w:rPr>
              <w:t>49</w:t>
            </w:r>
          </w:p>
        </w:tc>
        <w:tc>
          <w:tcPr>
            <w:tcW w:w="795" w:type="dxa"/>
          </w:tcPr>
          <w:p>
            <w:pPr>
              <w:pStyle w:val="TableParagraph"/>
              <w:spacing w:line="166" w:lineRule="exact" w:before="3"/>
              <w:ind w:left="38" w:right="34"/>
              <w:jc w:val="center"/>
              <w:rPr>
                <w:sz w:val="15"/>
              </w:rPr>
            </w:pPr>
            <w:r>
              <w:rPr>
                <w:sz w:val="15"/>
              </w:rPr>
              <w:t>1,95%</w:t>
            </w:r>
          </w:p>
        </w:tc>
        <w:tc>
          <w:tcPr>
            <w:tcW w:w="716" w:type="dxa"/>
          </w:tcPr>
          <w:p>
            <w:pPr>
              <w:pStyle w:val="TableParagraph"/>
              <w:spacing w:line="166" w:lineRule="exact" w:before="3"/>
              <w:ind w:left="102" w:right="101"/>
              <w:jc w:val="center"/>
              <w:rPr>
                <w:sz w:val="15"/>
              </w:rPr>
            </w:pPr>
            <w:r>
              <w:rPr>
                <w:sz w:val="15"/>
              </w:rPr>
              <w:t>46</w:t>
            </w:r>
          </w:p>
        </w:tc>
      </w:tr>
      <w:tr>
        <w:trPr>
          <w:trHeight w:val="187" w:hRule="atLeast"/>
        </w:trPr>
        <w:tc>
          <w:tcPr>
            <w:tcW w:w="2614" w:type="dxa"/>
            <w:vMerge w:val="restart"/>
          </w:tcPr>
          <w:p>
            <w:pPr>
              <w:pStyle w:val="TableParagraph"/>
              <w:spacing w:before="102"/>
              <w:ind w:left="57"/>
              <w:rPr>
                <w:sz w:val="15"/>
              </w:rPr>
            </w:pPr>
            <w:r>
              <w:rPr>
                <w:sz w:val="15"/>
              </w:rPr>
              <w:t>Obras Públicas, Transportes Y Vivienda</w:t>
            </w:r>
          </w:p>
        </w:tc>
        <w:tc>
          <w:tcPr>
            <w:tcW w:w="1379" w:type="dxa"/>
          </w:tcPr>
          <w:p>
            <w:pPr>
              <w:pStyle w:val="TableParagraph"/>
              <w:spacing w:line="164" w:lineRule="exact" w:before="3"/>
              <w:ind w:left="83" w:right="78"/>
              <w:jc w:val="center"/>
              <w:rPr>
                <w:sz w:val="15"/>
              </w:rPr>
            </w:pPr>
            <w:r>
              <w:rPr>
                <w:sz w:val="15"/>
              </w:rPr>
              <w:t>Contratación</w:t>
            </w:r>
          </w:p>
        </w:tc>
        <w:tc>
          <w:tcPr>
            <w:tcW w:w="736" w:type="dxa"/>
          </w:tcPr>
          <w:p>
            <w:pPr>
              <w:pStyle w:val="TableParagraph"/>
              <w:spacing w:line="164" w:lineRule="exact" w:before="3"/>
              <w:ind w:left="38" w:right="34"/>
              <w:jc w:val="center"/>
              <w:rPr>
                <w:sz w:val="15"/>
              </w:rPr>
            </w:pPr>
            <w:r>
              <w:rPr>
                <w:sz w:val="15"/>
              </w:rPr>
              <w:t>714</w:t>
            </w:r>
          </w:p>
        </w:tc>
        <w:tc>
          <w:tcPr>
            <w:tcW w:w="859" w:type="dxa"/>
          </w:tcPr>
          <w:p>
            <w:pPr>
              <w:pStyle w:val="TableParagraph"/>
              <w:spacing w:line="164" w:lineRule="exact" w:before="3"/>
              <w:ind w:left="96" w:right="95"/>
              <w:jc w:val="center"/>
              <w:rPr>
                <w:sz w:val="15"/>
              </w:rPr>
            </w:pPr>
            <w:r>
              <w:rPr>
                <w:sz w:val="15"/>
              </w:rPr>
              <w:t>34</w:t>
            </w:r>
          </w:p>
        </w:tc>
        <w:tc>
          <w:tcPr>
            <w:tcW w:w="795" w:type="dxa"/>
          </w:tcPr>
          <w:p>
            <w:pPr>
              <w:pStyle w:val="TableParagraph"/>
              <w:spacing w:line="164" w:lineRule="exact" w:before="3"/>
              <w:ind w:left="38" w:right="34"/>
              <w:jc w:val="center"/>
              <w:rPr>
                <w:sz w:val="15"/>
              </w:rPr>
            </w:pPr>
            <w:r>
              <w:rPr>
                <w:sz w:val="15"/>
              </w:rPr>
              <w:t>4,76%</w:t>
            </w:r>
          </w:p>
        </w:tc>
        <w:tc>
          <w:tcPr>
            <w:tcW w:w="716" w:type="dxa"/>
          </w:tcPr>
          <w:p>
            <w:pPr>
              <w:pStyle w:val="TableParagraph"/>
              <w:spacing w:line="164" w:lineRule="exact" w:before="3"/>
              <w:ind w:left="102" w:right="101"/>
              <w:jc w:val="center"/>
              <w:rPr>
                <w:sz w:val="15"/>
              </w:rPr>
            </w:pPr>
            <w:r>
              <w:rPr>
                <w:sz w:val="15"/>
              </w:rPr>
              <w:t>13</w:t>
            </w:r>
          </w:p>
        </w:tc>
      </w:tr>
      <w:tr>
        <w:trPr>
          <w:trHeight w:val="189" w:hRule="atLeast"/>
        </w:trPr>
        <w:tc>
          <w:tcPr>
            <w:tcW w:w="2614" w:type="dxa"/>
            <w:vMerge/>
            <w:tcBorders>
              <w:top w:val="nil"/>
            </w:tcBorders>
          </w:tcPr>
          <w:p>
            <w:pPr>
              <w:rPr>
                <w:sz w:val="2"/>
                <w:szCs w:val="2"/>
              </w:rPr>
            </w:pPr>
          </w:p>
        </w:tc>
        <w:tc>
          <w:tcPr>
            <w:tcW w:w="1379" w:type="dxa"/>
          </w:tcPr>
          <w:p>
            <w:pPr>
              <w:pStyle w:val="TableParagraph"/>
              <w:spacing w:line="164" w:lineRule="exact" w:before="5"/>
              <w:ind w:left="83" w:right="78"/>
              <w:jc w:val="center"/>
              <w:rPr>
                <w:sz w:val="15"/>
              </w:rPr>
            </w:pPr>
            <w:r>
              <w:rPr>
                <w:sz w:val="15"/>
              </w:rPr>
              <w:t>Subvenciones</w:t>
            </w:r>
          </w:p>
        </w:tc>
        <w:tc>
          <w:tcPr>
            <w:tcW w:w="736" w:type="dxa"/>
          </w:tcPr>
          <w:p>
            <w:pPr>
              <w:pStyle w:val="TableParagraph"/>
              <w:spacing w:line="164" w:lineRule="exact" w:before="5"/>
              <w:ind w:left="38" w:right="34"/>
              <w:jc w:val="center"/>
              <w:rPr>
                <w:sz w:val="15"/>
              </w:rPr>
            </w:pPr>
            <w:r>
              <w:rPr>
                <w:sz w:val="15"/>
              </w:rPr>
              <w:t>113</w:t>
            </w:r>
          </w:p>
        </w:tc>
        <w:tc>
          <w:tcPr>
            <w:tcW w:w="859" w:type="dxa"/>
          </w:tcPr>
          <w:p>
            <w:pPr>
              <w:pStyle w:val="TableParagraph"/>
              <w:spacing w:line="164" w:lineRule="exact" w:before="5"/>
              <w:ind w:left="96" w:right="95"/>
              <w:jc w:val="center"/>
              <w:rPr>
                <w:sz w:val="15"/>
              </w:rPr>
            </w:pPr>
            <w:r>
              <w:rPr>
                <w:sz w:val="15"/>
              </w:rPr>
              <w:t>29</w:t>
            </w:r>
          </w:p>
        </w:tc>
        <w:tc>
          <w:tcPr>
            <w:tcW w:w="795" w:type="dxa"/>
          </w:tcPr>
          <w:p>
            <w:pPr>
              <w:pStyle w:val="TableParagraph"/>
              <w:spacing w:line="164" w:lineRule="exact" w:before="5"/>
              <w:ind w:left="38" w:right="34"/>
              <w:jc w:val="center"/>
              <w:rPr>
                <w:sz w:val="15"/>
              </w:rPr>
            </w:pPr>
            <w:r>
              <w:rPr>
                <w:sz w:val="15"/>
              </w:rPr>
              <w:t>25,66%</w:t>
            </w:r>
          </w:p>
        </w:tc>
        <w:tc>
          <w:tcPr>
            <w:tcW w:w="716" w:type="dxa"/>
          </w:tcPr>
          <w:p>
            <w:pPr>
              <w:pStyle w:val="TableParagraph"/>
              <w:spacing w:line="164" w:lineRule="exact" w:before="5"/>
              <w:ind w:left="102" w:right="101"/>
              <w:jc w:val="center"/>
              <w:rPr>
                <w:sz w:val="15"/>
              </w:rPr>
            </w:pPr>
            <w:r>
              <w:rPr>
                <w:sz w:val="15"/>
              </w:rPr>
              <w:t>18</w:t>
            </w:r>
          </w:p>
        </w:tc>
      </w:tr>
      <w:tr>
        <w:trPr>
          <w:trHeight w:val="189" w:hRule="atLeast"/>
        </w:trPr>
        <w:tc>
          <w:tcPr>
            <w:tcW w:w="2614" w:type="dxa"/>
            <w:vMerge w:val="restart"/>
          </w:tcPr>
          <w:p>
            <w:pPr>
              <w:pStyle w:val="TableParagraph"/>
              <w:spacing w:before="23"/>
              <w:ind w:left="57" w:right="124"/>
              <w:rPr>
                <w:sz w:val="15"/>
              </w:rPr>
            </w:pPr>
            <w:r>
              <w:rPr>
                <w:sz w:val="15"/>
              </w:rPr>
              <w:t>Derechos Sociales, Igualdad, Diversidad Y Juventud.</w:t>
            </w:r>
          </w:p>
        </w:tc>
        <w:tc>
          <w:tcPr>
            <w:tcW w:w="1379" w:type="dxa"/>
          </w:tcPr>
          <w:p>
            <w:pPr>
              <w:pStyle w:val="TableParagraph"/>
              <w:spacing w:line="167" w:lineRule="exact" w:before="3"/>
              <w:ind w:left="83" w:right="78"/>
              <w:jc w:val="center"/>
              <w:rPr>
                <w:sz w:val="15"/>
              </w:rPr>
            </w:pPr>
            <w:r>
              <w:rPr>
                <w:sz w:val="15"/>
              </w:rPr>
              <w:t>Contratación</w:t>
            </w:r>
          </w:p>
        </w:tc>
        <w:tc>
          <w:tcPr>
            <w:tcW w:w="736" w:type="dxa"/>
          </w:tcPr>
          <w:p>
            <w:pPr>
              <w:pStyle w:val="TableParagraph"/>
              <w:spacing w:line="167" w:lineRule="exact" w:before="3"/>
              <w:ind w:left="38" w:right="34"/>
              <w:jc w:val="center"/>
              <w:rPr>
                <w:sz w:val="15"/>
              </w:rPr>
            </w:pPr>
            <w:r>
              <w:rPr>
                <w:sz w:val="15"/>
              </w:rPr>
              <w:t>4937</w:t>
            </w:r>
          </w:p>
        </w:tc>
        <w:tc>
          <w:tcPr>
            <w:tcW w:w="859" w:type="dxa"/>
          </w:tcPr>
          <w:p>
            <w:pPr>
              <w:pStyle w:val="TableParagraph"/>
              <w:spacing w:line="167" w:lineRule="exact" w:before="3"/>
              <w:ind w:left="96" w:right="95"/>
              <w:jc w:val="center"/>
              <w:rPr>
                <w:sz w:val="15"/>
              </w:rPr>
            </w:pPr>
            <w:r>
              <w:rPr>
                <w:sz w:val="15"/>
              </w:rPr>
              <w:t>255</w:t>
            </w:r>
          </w:p>
        </w:tc>
        <w:tc>
          <w:tcPr>
            <w:tcW w:w="795" w:type="dxa"/>
          </w:tcPr>
          <w:p>
            <w:pPr>
              <w:pStyle w:val="TableParagraph"/>
              <w:spacing w:line="167" w:lineRule="exact" w:before="3"/>
              <w:ind w:left="38" w:right="34"/>
              <w:jc w:val="center"/>
              <w:rPr>
                <w:sz w:val="15"/>
              </w:rPr>
            </w:pPr>
            <w:r>
              <w:rPr>
                <w:sz w:val="15"/>
              </w:rPr>
              <w:t>5,17%</w:t>
            </w:r>
          </w:p>
        </w:tc>
        <w:tc>
          <w:tcPr>
            <w:tcW w:w="716" w:type="dxa"/>
          </w:tcPr>
          <w:p>
            <w:pPr>
              <w:pStyle w:val="TableParagraph"/>
              <w:spacing w:line="167" w:lineRule="exact" w:before="3"/>
              <w:ind w:left="102" w:right="101"/>
              <w:jc w:val="center"/>
              <w:rPr>
                <w:sz w:val="15"/>
              </w:rPr>
            </w:pPr>
            <w:r>
              <w:rPr>
                <w:sz w:val="15"/>
              </w:rPr>
              <w:t>16</w:t>
            </w:r>
          </w:p>
        </w:tc>
      </w:tr>
      <w:tr>
        <w:trPr>
          <w:trHeight w:val="211" w:hRule="atLeast"/>
        </w:trPr>
        <w:tc>
          <w:tcPr>
            <w:tcW w:w="2614" w:type="dxa"/>
            <w:vMerge/>
            <w:tcBorders>
              <w:top w:val="nil"/>
            </w:tcBorders>
          </w:tcPr>
          <w:p>
            <w:pPr>
              <w:rPr>
                <w:sz w:val="2"/>
                <w:szCs w:val="2"/>
              </w:rPr>
            </w:pPr>
          </w:p>
        </w:tc>
        <w:tc>
          <w:tcPr>
            <w:tcW w:w="1379" w:type="dxa"/>
          </w:tcPr>
          <w:p>
            <w:pPr>
              <w:pStyle w:val="TableParagraph"/>
              <w:spacing w:line="176" w:lineRule="exact" w:before="15"/>
              <w:ind w:left="83" w:right="78"/>
              <w:jc w:val="center"/>
              <w:rPr>
                <w:sz w:val="15"/>
              </w:rPr>
            </w:pPr>
            <w:r>
              <w:rPr>
                <w:sz w:val="15"/>
              </w:rPr>
              <w:t>Subvenciones</w:t>
            </w:r>
          </w:p>
        </w:tc>
        <w:tc>
          <w:tcPr>
            <w:tcW w:w="736" w:type="dxa"/>
          </w:tcPr>
          <w:p>
            <w:pPr>
              <w:pStyle w:val="TableParagraph"/>
              <w:spacing w:line="176" w:lineRule="exact" w:before="15"/>
              <w:ind w:left="38" w:right="34"/>
              <w:jc w:val="center"/>
              <w:rPr>
                <w:sz w:val="15"/>
              </w:rPr>
            </w:pPr>
            <w:r>
              <w:rPr>
                <w:sz w:val="15"/>
              </w:rPr>
              <w:t>1566</w:t>
            </w:r>
          </w:p>
        </w:tc>
        <w:tc>
          <w:tcPr>
            <w:tcW w:w="859" w:type="dxa"/>
          </w:tcPr>
          <w:p>
            <w:pPr>
              <w:pStyle w:val="TableParagraph"/>
              <w:spacing w:line="176" w:lineRule="exact" w:before="15"/>
              <w:ind w:left="96" w:right="95"/>
              <w:jc w:val="center"/>
              <w:rPr>
                <w:sz w:val="15"/>
              </w:rPr>
            </w:pPr>
            <w:r>
              <w:rPr>
                <w:sz w:val="15"/>
              </w:rPr>
              <w:t>55</w:t>
            </w:r>
          </w:p>
        </w:tc>
        <w:tc>
          <w:tcPr>
            <w:tcW w:w="795" w:type="dxa"/>
          </w:tcPr>
          <w:p>
            <w:pPr>
              <w:pStyle w:val="TableParagraph"/>
              <w:spacing w:line="176" w:lineRule="exact" w:before="15"/>
              <w:ind w:left="38" w:right="34"/>
              <w:jc w:val="center"/>
              <w:rPr>
                <w:sz w:val="15"/>
              </w:rPr>
            </w:pPr>
            <w:r>
              <w:rPr>
                <w:sz w:val="15"/>
              </w:rPr>
              <w:t>3,51%</w:t>
            </w:r>
          </w:p>
        </w:tc>
        <w:tc>
          <w:tcPr>
            <w:tcW w:w="716" w:type="dxa"/>
          </w:tcPr>
          <w:p>
            <w:pPr>
              <w:pStyle w:val="TableParagraph"/>
              <w:spacing w:line="176" w:lineRule="exact" w:before="15"/>
              <w:ind w:left="102" w:right="101"/>
              <w:jc w:val="center"/>
              <w:rPr>
                <w:sz w:val="15"/>
              </w:rPr>
            </w:pPr>
            <w:r>
              <w:rPr>
                <w:sz w:val="15"/>
              </w:rPr>
              <w:t>26</w:t>
            </w:r>
          </w:p>
        </w:tc>
      </w:tr>
      <w:tr>
        <w:trPr>
          <w:trHeight w:val="189" w:hRule="atLeast"/>
        </w:trPr>
        <w:tc>
          <w:tcPr>
            <w:tcW w:w="2614" w:type="dxa"/>
            <w:vMerge w:val="restart"/>
          </w:tcPr>
          <w:p>
            <w:pPr>
              <w:pStyle w:val="TableParagraph"/>
              <w:spacing w:before="104"/>
              <w:ind w:left="57"/>
              <w:rPr>
                <w:sz w:val="15"/>
              </w:rPr>
            </w:pPr>
            <w:r>
              <w:rPr>
                <w:sz w:val="15"/>
              </w:rPr>
              <w:t>Presidencia</w:t>
            </w:r>
          </w:p>
        </w:tc>
        <w:tc>
          <w:tcPr>
            <w:tcW w:w="1379" w:type="dxa"/>
          </w:tcPr>
          <w:p>
            <w:pPr>
              <w:pStyle w:val="TableParagraph"/>
              <w:spacing w:line="164" w:lineRule="exact" w:before="5"/>
              <w:ind w:left="83" w:right="78"/>
              <w:jc w:val="center"/>
              <w:rPr>
                <w:sz w:val="15"/>
              </w:rPr>
            </w:pPr>
            <w:r>
              <w:rPr>
                <w:sz w:val="15"/>
              </w:rPr>
              <w:t>Contratación</w:t>
            </w:r>
          </w:p>
        </w:tc>
        <w:tc>
          <w:tcPr>
            <w:tcW w:w="736" w:type="dxa"/>
          </w:tcPr>
          <w:p>
            <w:pPr>
              <w:pStyle w:val="TableParagraph"/>
              <w:spacing w:line="164" w:lineRule="exact" w:before="5"/>
              <w:ind w:left="38" w:right="34"/>
              <w:jc w:val="center"/>
              <w:rPr>
                <w:sz w:val="15"/>
              </w:rPr>
            </w:pPr>
            <w:r>
              <w:rPr>
                <w:sz w:val="15"/>
              </w:rPr>
              <w:t>1585</w:t>
            </w:r>
          </w:p>
        </w:tc>
        <w:tc>
          <w:tcPr>
            <w:tcW w:w="859" w:type="dxa"/>
          </w:tcPr>
          <w:p>
            <w:pPr>
              <w:pStyle w:val="TableParagraph"/>
              <w:spacing w:line="164" w:lineRule="exact" w:before="5"/>
              <w:ind w:left="96" w:right="95"/>
              <w:jc w:val="center"/>
              <w:rPr>
                <w:sz w:val="15"/>
              </w:rPr>
            </w:pPr>
            <w:r>
              <w:rPr>
                <w:sz w:val="15"/>
              </w:rPr>
              <w:t>147</w:t>
            </w:r>
          </w:p>
        </w:tc>
        <w:tc>
          <w:tcPr>
            <w:tcW w:w="795" w:type="dxa"/>
          </w:tcPr>
          <w:p>
            <w:pPr>
              <w:pStyle w:val="TableParagraph"/>
              <w:spacing w:line="164" w:lineRule="exact" w:before="5"/>
              <w:ind w:left="38" w:right="34"/>
              <w:jc w:val="center"/>
              <w:rPr>
                <w:sz w:val="15"/>
              </w:rPr>
            </w:pPr>
            <w:r>
              <w:rPr>
                <w:sz w:val="15"/>
              </w:rPr>
              <w:t>9,27%</w:t>
            </w:r>
          </w:p>
        </w:tc>
        <w:tc>
          <w:tcPr>
            <w:tcW w:w="716" w:type="dxa"/>
          </w:tcPr>
          <w:p>
            <w:pPr>
              <w:pStyle w:val="TableParagraph"/>
              <w:spacing w:line="164" w:lineRule="exact" w:before="5"/>
              <w:ind w:left="102" w:right="101"/>
              <w:jc w:val="center"/>
              <w:rPr>
                <w:sz w:val="15"/>
              </w:rPr>
            </w:pPr>
            <w:r>
              <w:rPr>
                <w:sz w:val="15"/>
              </w:rPr>
              <w:t>14</w:t>
            </w:r>
          </w:p>
        </w:tc>
      </w:tr>
      <w:tr>
        <w:trPr>
          <w:trHeight w:val="189" w:hRule="atLeast"/>
        </w:trPr>
        <w:tc>
          <w:tcPr>
            <w:tcW w:w="2614" w:type="dxa"/>
            <w:vMerge/>
            <w:tcBorders>
              <w:top w:val="nil"/>
            </w:tcBorders>
          </w:tcPr>
          <w:p>
            <w:pPr>
              <w:rPr>
                <w:sz w:val="2"/>
                <w:szCs w:val="2"/>
              </w:rPr>
            </w:pPr>
          </w:p>
        </w:tc>
        <w:tc>
          <w:tcPr>
            <w:tcW w:w="1379" w:type="dxa"/>
          </w:tcPr>
          <w:p>
            <w:pPr>
              <w:pStyle w:val="TableParagraph"/>
              <w:spacing w:line="166" w:lineRule="exact" w:before="3"/>
              <w:ind w:left="83" w:right="78"/>
              <w:jc w:val="center"/>
              <w:rPr>
                <w:sz w:val="15"/>
              </w:rPr>
            </w:pPr>
            <w:r>
              <w:rPr>
                <w:sz w:val="15"/>
              </w:rPr>
              <w:t>Subvenciones</w:t>
            </w:r>
          </w:p>
        </w:tc>
        <w:tc>
          <w:tcPr>
            <w:tcW w:w="736" w:type="dxa"/>
          </w:tcPr>
          <w:p>
            <w:pPr>
              <w:pStyle w:val="TableParagraph"/>
              <w:spacing w:line="166" w:lineRule="exact" w:before="3"/>
              <w:ind w:left="38" w:right="34"/>
              <w:jc w:val="center"/>
              <w:rPr>
                <w:sz w:val="15"/>
              </w:rPr>
            </w:pPr>
            <w:r>
              <w:rPr>
                <w:sz w:val="15"/>
              </w:rPr>
              <w:t>1011</w:t>
            </w:r>
          </w:p>
        </w:tc>
        <w:tc>
          <w:tcPr>
            <w:tcW w:w="859" w:type="dxa"/>
          </w:tcPr>
          <w:p>
            <w:pPr>
              <w:pStyle w:val="TableParagraph"/>
              <w:spacing w:line="166" w:lineRule="exact" w:before="3"/>
              <w:ind w:left="96" w:right="95"/>
              <w:jc w:val="center"/>
              <w:rPr>
                <w:sz w:val="15"/>
              </w:rPr>
            </w:pPr>
            <w:r>
              <w:rPr>
                <w:sz w:val="15"/>
              </w:rPr>
              <w:t>64</w:t>
            </w:r>
          </w:p>
        </w:tc>
        <w:tc>
          <w:tcPr>
            <w:tcW w:w="795" w:type="dxa"/>
          </w:tcPr>
          <w:p>
            <w:pPr>
              <w:pStyle w:val="TableParagraph"/>
              <w:spacing w:line="166" w:lineRule="exact" w:before="3"/>
              <w:ind w:left="38" w:right="34"/>
              <w:jc w:val="center"/>
              <w:rPr>
                <w:sz w:val="15"/>
              </w:rPr>
            </w:pPr>
            <w:r>
              <w:rPr>
                <w:sz w:val="15"/>
              </w:rPr>
              <w:t>6,33%</w:t>
            </w:r>
          </w:p>
        </w:tc>
        <w:tc>
          <w:tcPr>
            <w:tcW w:w="716" w:type="dxa"/>
          </w:tcPr>
          <w:p>
            <w:pPr>
              <w:pStyle w:val="TableParagraph"/>
              <w:spacing w:line="166" w:lineRule="exact" w:before="3"/>
              <w:ind w:left="102" w:right="101"/>
              <w:jc w:val="center"/>
              <w:rPr>
                <w:sz w:val="15"/>
              </w:rPr>
            </w:pPr>
            <w:r>
              <w:rPr>
                <w:sz w:val="15"/>
              </w:rPr>
              <w:t>37</w:t>
            </w:r>
          </w:p>
        </w:tc>
      </w:tr>
    </w:tbl>
    <w:p>
      <w:pPr>
        <w:pStyle w:val="BodyText"/>
      </w:pPr>
    </w:p>
    <w:p>
      <w:pPr>
        <w:pStyle w:val="BodyText"/>
        <w:spacing w:before="10"/>
        <w:rPr>
          <w:sz w:val="28"/>
        </w:rPr>
      </w:pPr>
      <w:r>
        <w:rPr/>
        <w:pict>
          <v:shape style="position:absolute;margin-left:142.958206pt;margin-top:19.932741pt;width:120.95pt;height:.1pt;mso-position-horizontal-relative:page;mso-position-vertical-relative:paragraph;z-index:-251416576;mso-wrap-distance-left:0;mso-wrap-distance-right:0" coordorigin="2859,399" coordsize="2419,0" path="m2859,399l5278,399e" filled="false" stroked="true" strokeweight=".604484pt" strokecolor="#000000">
            <v:path arrowok="t"/>
            <v:stroke dashstyle="solid"/>
            <w10:wrap type="topAndBottom"/>
          </v:shape>
        </w:pict>
      </w:r>
    </w:p>
    <w:p>
      <w:pPr>
        <w:spacing w:line="252" w:lineRule="auto" w:before="51"/>
        <w:ind w:left="2299" w:right="1263" w:firstLine="0"/>
        <w:jc w:val="left"/>
        <w:rPr>
          <w:sz w:val="16"/>
        </w:rPr>
      </w:pPr>
      <w:r>
        <w:rPr>
          <w:w w:val="105"/>
          <w:position w:val="6"/>
          <w:sz w:val="11"/>
        </w:rPr>
        <w:t>46 </w:t>
      </w:r>
      <w:r>
        <w:rPr>
          <w:w w:val="105"/>
          <w:sz w:val="16"/>
        </w:rPr>
        <w:t>No se han considerado incluidas en las subvenciones, las operaciones correspondientes a aportaciones dinerarias</w:t>
      </w:r>
    </w:p>
    <w:p>
      <w:pPr>
        <w:pStyle w:val="BodyText"/>
        <w:spacing w:line="237" w:lineRule="exact"/>
        <w:ind w:left="8760" w:right="973"/>
        <w:jc w:val="center"/>
      </w:pPr>
      <w:r>
        <w:rPr/>
        <w:t>210</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55" name="image5.png"/>
                  <wp:cNvGraphicFramePr>
                    <a:graphicFrameLocks noChangeAspect="1"/>
                  </wp:cNvGraphicFramePr>
                  <a:graphic>
                    <a:graphicData uri="http://schemas.openxmlformats.org/drawingml/2006/picture">
                      <pic:pic>
                        <pic:nvPicPr>
                          <pic:cNvPr id="45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212/247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pPr>
      <w:r>
        <w:rPr/>
        <w:t>En consecuencia, no se modifica el informe.</w:t>
      </w:r>
    </w:p>
    <w:p>
      <w:pPr>
        <w:pStyle w:val="BodyText"/>
        <w:spacing w:before="8"/>
        <w:rPr>
          <w:sz w:val="16"/>
        </w:rPr>
      </w:pPr>
    </w:p>
    <w:p>
      <w:pPr>
        <w:pStyle w:val="Heading1"/>
        <w:ind w:left="2299"/>
        <w:jc w:val="left"/>
      </w:pPr>
      <w:r>
        <w:rPr/>
        <w:t>Alegación 11: 3.2. Perspectiva del ciudadano (1).</w:t>
      </w:r>
    </w:p>
    <w:p>
      <w:pPr>
        <w:pStyle w:val="BodyText"/>
        <w:spacing w:before="8"/>
        <w:rPr>
          <w:b/>
          <w:sz w:val="16"/>
        </w:rPr>
      </w:pPr>
    </w:p>
    <w:p>
      <w:pPr>
        <w:pStyle w:val="BodyText"/>
        <w:ind w:left="2299"/>
      </w:pPr>
      <w:r>
        <w:rPr/>
        <w:t>Por la IGCAC se efectúan diversas alegaciones que se detallan a continuación:</w:t>
      </w:r>
    </w:p>
    <w:p>
      <w:pPr>
        <w:pStyle w:val="BodyText"/>
        <w:spacing w:before="8"/>
        <w:rPr>
          <w:sz w:val="16"/>
        </w:rPr>
      </w:pPr>
    </w:p>
    <w:p>
      <w:pPr>
        <w:pStyle w:val="BodyText"/>
        <w:ind w:left="2299" w:right="1343"/>
        <w:jc w:val="both"/>
      </w:pPr>
      <w:r>
        <w:rPr>
          <w:b/>
        </w:rPr>
        <w:t>Resumen. </w:t>
      </w:r>
      <w:r>
        <w:rPr/>
        <w:t>Se alega la falta de coincidencia en cuanto al nº de actuaciones revisadas que figuran en el cuerpo del informe referidas al Anexo XIII (33) y las efectivamente relacionadas en el mismo (19) y, por ello, desconocimiento de las actuaciones revisadas por esta Institución.</w:t>
      </w:r>
    </w:p>
    <w:p>
      <w:pPr>
        <w:pStyle w:val="BodyText"/>
        <w:spacing w:before="1"/>
        <w:rPr>
          <w:sz w:val="17"/>
        </w:rPr>
      </w:pPr>
    </w:p>
    <w:p>
      <w:pPr>
        <w:pStyle w:val="BodyText"/>
        <w:spacing w:line="242" w:lineRule="auto"/>
        <w:ind w:left="2299" w:right="1343"/>
        <w:jc w:val="both"/>
      </w:pPr>
      <w:r>
        <w:rPr>
          <w:b/>
        </w:rPr>
        <w:t>Contestación. </w:t>
      </w:r>
      <w:r>
        <w:rPr/>
        <w:t>En lo referente a la diferencia entre el nº de actuaciones señaladas en el cuerpo del informe y las detalladas en el Anexo XIII, efectivamente se observa un error por omisión, al no haberse incluido en el anexo las 33 actuaciones que fueron objeto de revisión y que se corresponden con las remidas por la IGCAC en respuesta a la solicitud efectuada por escrito de 11 de agosto de 2023.</w:t>
      </w:r>
    </w:p>
    <w:p>
      <w:pPr>
        <w:pStyle w:val="BodyText"/>
        <w:spacing w:before="5"/>
        <w:rPr>
          <w:sz w:val="16"/>
        </w:rPr>
      </w:pPr>
    </w:p>
    <w:p>
      <w:pPr>
        <w:pStyle w:val="BodyText"/>
        <w:ind w:left="2299"/>
        <w:jc w:val="both"/>
      </w:pPr>
      <w:r>
        <w:rPr/>
        <w:t>En consecuencia, se modifica el informe, en el sentido de:</w:t>
      </w:r>
    </w:p>
    <w:p>
      <w:pPr>
        <w:pStyle w:val="BodyText"/>
        <w:spacing w:before="7"/>
        <w:rPr>
          <w:sz w:val="16"/>
        </w:rPr>
      </w:pPr>
    </w:p>
    <w:p>
      <w:pPr>
        <w:pStyle w:val="BodyText"/>
        <w:spacing w:before="1"/>
        <w:ind w:left="2299"/>
        <w:jc w:val="both"/>
      </w:pPr>
      <w:r>
        <w:rPr/>
        <w:t>Donde dice: “Del citado listado se han revisado las 33 actuaciones que figuran en el</w:t>
      </w:r>
    </w:p>
    <w:p>
      <w:pPr>
        <w:pStyle w:val="BodyText"/>
        <w:spacing w:before="1"/>
        <w:ind w:left="2299"/>
        <w:jc w:val="both"/>
      </w:pPr>
      <w:r>
        <w:rPr/>
        <w:t>anexo XIII.</w:t>
      </w:r>
    </w:p>
    <w:p>
      <w:pPr>
        <w:pStyle w:val="BodyText"/>
        <w:spacing w:before="8"/>
        <w:rPr>
          <w:sz w:val="16"/>
        </w:rPr>
      </w:pPr>
    </w:p>
    <w:p>
      <w:pPr>
        <w:pStyle w:val="BodyText"/>
        <w:spacing w:line="242" w:lineRule="auto"/>
        <w:ind w:left="2299" w:right="1340"/>
        <w:jc w:val="both"/>
      </w:pPr>
      <w:r>
        <w:rPr/>
        <w:t>En dicho anexo se detallan, de las actuaciones revisadas, las que este órgano de control externo considera inadecuado su cierre, al no evidenciarse que se haya procedido a la subsanación de las deficiencias o se haya resuelto a favor del criterio del órgano gestor en el procedimiento de discrepancia”</w:t>
      </w:r>
    </w:p>
    <w:p>
      <w:pPr>
        <w:pStyle w:val="BodyText"/>
        <w:spacing w:before="4"/>
        <w:rPr>
          <w:sz w:val="16"/>
        </w:rPr>
      </w:pPr>
    </w:p>
    <w:p>
      <w:pPr>
        <w:spacing w:line="242" w:lineRule="auto" w:before="0"/>
        <w:ind w:left="2299" w:right="1342" w:firstLine="0"/>
        <w:jc w:val="both"/>
        <w:rPr>
          <w:i/>
          <w:sz w:val="20"/>
        </w:rPr>
      </w:pPr>
      <w:r>
        <w:rPr>
          <w:sz w:val="20"/>
        </w:rPr>
        <w:t>Debe</w:t>
      </w:r>
      <w:r>
        <w:rPr>
          <w:spacing w:val="-12"/>
          <w:sz w:val="20"/>
        </w:rPr>
        <w:t> </w:t>
      </w:r>
      <w:r>
        <w:rPr>
          <w:sz w:val="20"/>
        </w:rPr>
        <w:t>decir:</w:t>
      </w:r>
      <w:r>
        <w:rPr>
          <w:spacing w:val="-10"/>
          <w:sz w:val="20"/>
        </w:rPr>
        <w:t> </w:t>
      </w:r>
      <w:r>
        <w:rPr>
          <w:sz w:val="20"/>
        </w:rPr>
        <w:t>“</w:t>
      </w:r>
      <w:r>
        <w:rPr>
          <w:i/>
          <w:sz w:val="20"/>
        </w:rPr>
        <w:t>Del</w:t>
      </w:r>
      <w:r>
        <w:rPr>
          <w:i/>
          <w:spacing w:val="-10"/>
          <w:sz w:val="20"/>
        </w:rPr>
        <w:t> </w:t>
      </w:r>
      <w:r>
        <w:rPr>
          <w:i/>
          <w:sz w:val="20"/>
        </w:rPr>
        <w:t>citado</w:t>
      </w:r>
      <w:r>
        <w:rPr>
          <w:i/>
          <w:spacing w:val="-9"/>
          <w:sz w:val="20"/>
        </w:rPr>
        <w:t> </w:t>
      </w:r>
      <w:r>
        <w:rPr>
          <w:i/>
          <w:sz w:val="20"/>
        </w:rPr>
        <w:t>listado</w:t>
      </w:r>
      <w:r>
        <w:rPr>
          <w:i/>
          <w:spacing w:val="-9"/>
          <w:sz w:val="20"/>
        </w:rPr>
        <w:t> </w:t>
      </w:r>
      <w:r>
        <w:rPr>
          <w:i/>
          <w:sz w:val="20"/>
        </w:rPr>
        <w:t>se</w:t>
      </w:r>
      <w:r>
        <w:rPr>
          <w:i/>
          <w:spacing w:val="-7"/>
          <w:sz w:val="20"/>
        </w:rPr>
        <w:t> </w:t>
      </w:r>
      <w:r>
        <w:rPr>
          <w:i/>
          <w:sz w:val="20"/>
        </w:rPr>
        <w:t>han</w:t>
      </w:r>
      <w:r>
        <w:rPr>
          <w:i/>
          <w:spacing w:val="-9"/>
          <w:sz w:val="20"/>
        </w:rPr>
        <w:t> </w:t>
      </w:r>
      <w:r>
        <w:rPr>
          <w:i/>
          <w:sz w:val="20"/>
        </w:rPr>
        <w:t>revisado</w:t>
      </w:r>
      <w:r>
        <w:rPr>
          <w:i/>
          <w:spacing w:val="-9"/>
          <w:sz w:val="20"/>
        </w:rPr>
        <w:t> </w:t>
      </w:r>
      <w:r>
        <w:rPr>
          <w:i/>
          <w:sz w:val="20"/>
        </w:rPr>
        <w:t>las</w:t>
      </w:r>
      <w:r>
        <w:rPr>
          <w:i/>
          <w:spacing w:val="-8"/>
          <w:sz w:val="20"/>
        </w:rPr>
        <w:t> </w:t>
      </w:r>
      <w:r>
        <w:rPr>
          <w:i/>
          <w:sz w:val="20"/>
        </w:rPr>
        <w:t>33</w:t>
      </w:r>
      <w:r>
        <w:rPr>
          <w:i/>
          <w:spacing w:val="-7"/>
          <w:sz w:val="20"/>
        </w:rPr>
        <w:t> </w:t>
      </w:r>
      <w:r>
        <w:rPr>
          <w:i/>
          <w:sz w:val="20"/>
        </w:rPr>
        <w:t>actuaciones</w:t>
      </w:r>
      <w:r>
        <w:rPr>
          <w:i/>
          <w:spacing w:val="-8"/>
          <w:sz w:val="20"/>
        </w:rPr>
        <w:t> </w:t>
      </w:r>
      <w:r>
        <w:rPr>
          <w:i/>
          <w:sz w:val="20"/>
        </w:rPr>
        <w:t>que</w:t>
      </w:r>
      <w:r>
        <w:rPr>
          <w:i/>
          <w:spacing w:val="-8"/>
          <w:sz w:val="20"/>
        </w:rPr>
        <w:t> </w:t>
      </w:r>
      <w:r>
        <w:rPr>
          <w:i/>
          <w:sz w:val="20"/>
        </w:rPr>
        <w:t>figuran</w:t>
      </w:r>
      <w:r>
        <w:rPr>
          <w:i/>
          <w:spacing w:val="-9"/>
          <w:sz w:val="20"/>
        </w:rPr>
        <w:t> </w:t>
      </w:r>
      <w:r>
        <w:rPr>
          <w:i/>
          <w:sz w:val="20"/>
        </w:rPr>
        <w:t>en</w:t>
      </w:r>
      <w:r>
        <w:rPr>
          <w:i/>
          <w:spacing w:val="-8"/>
          <w:sz w:val="20"/>
        </w:rPr>
        <w:t> </w:t>
      </w:r>
      <w:r>
        <w:rPr>
          <w:i/>
          <w:sz w:val="20"/>
        </w:rPr>
        <w:t>el</w:t>
      </w:r>
      <w:r>
        <w:rPr>
          <w:i/>
          <w:spacing w:val="-10"/>
          <w:sz w:val="20"/>
        </w:rPr>
        <w:t> </w:t>
      </w:r>
      <w:r>
        <w:rPr>
          <w:i/>
          <w:sz w:val="20"/>
        </w:rPr>
        <w:t>anexo </w:t>
      </w:r>
      <w:r>
        <w:rPr>
          <w:i/>
          <w:sz w:val="20"/>
        </w:rPr>
        <w:t>XIII.a). En el anexo XIII b) se detallan, de las actuaciones revisadas, las que este órgano de control externo considera inadecuado su cierre, al no evidenciarse que se haya procedido a la subsanación de las deficiencias o se haya resuelto a favor del criterio del órgano gestor en el procedimiento de</w:t>
      </w:r>
      <w:r>
        <w:rPr>
          <w:i/>
          <w:spacing w:val="3"/>
          <w:sz w:val="20"/>
        </w:rPr>
        <w:t> </w:t>
      </w:r>
      <w:r>
        <w:rPr>
          <w:i/>
          <w:sz w:val="20"/>
        </w:rPr>
        <w:t>discrepancia”.</w:t>
      </w:r>
    </w:p>
    <w:p>
      <w:pPr>
        <w:pStyle w:val="BodyText"/>
        <w:spacing w:before="4"/>
        <w:rPr>
          <w:i/>
          <w:sz w:val="16"/>
        </w:rPr>
      </w:pPr>
    </w:p>
    <w:p>
      <w:pPr>
        <w:pStyle w:val="BodyText"/>
        <w:ind w:left="2299" w:right="1345"/>
        <w:jc w:val="both"/>
      </w:pPr>
      <w:r>
        <w:rPr/>
        <w:t>Se incorpora el anexo XIII a) con las 33 actuaciones revisadas y se renumera el Anexo XIII, pasando a denominarse Anexo XIII b.). Justificación incorrecta de cierre.</w:t>
      </w:r>
    </w:p>
    <w:p>
      <w:pPr>
        <w:pStyle w:val="BodyText"/>
        <w:spacing w:before="10"/>
        <w:rPr>
          <w:sz w:val="16"/>
        </w:rPr>
      </w:pPr>
    </w:p>
    <w:p>
      <w:pPr>
        <w:pStyle w:val="Heading1"/>
        <w:ind w:left="2299"/>
        <w:jc w:val="both"/>
      </w:pPr>
      <w:r>
        <w:rPr/>
        <w:t>Alegación 12: 3.2. Perspectiva del ciudadano (2).</w:t>
      </w:r>
    </w:p>
    <w:p>
      <w:pPr>
        <w:pStyle w:val="BodyText"/>
        <w:spacing w:before="8"/>
        <w:rPr>
          <w:b/>
          <w:sz w:val="16"/>
        </w:rPr>
      </w:pPr>
    </w:p>
    <w:p>
      <w:pPr>
        <w:pStyle w:val="BodyText"/>
        <w:ind w:left="2299" w:right="1343"/>
        <w:jc w:val="both"/>
      </w:pPr>
      <w:r>
        <w:rPr>
          <w:b/>
        </w:rPr>
        <w:t>Resumen. </w:t>
      </w:r>
      <w:r>
        <w:rPr/>
        <w:t>- La IGCAC expresa desconocer los motivos por los que se considera inadecuado el cierre de actuaciones. Igualmente señala que se incluyen como cerradas actuaciones que no lo están y añade que en cualquier caso, el cierre se efectúa solo desde la perspectiva de la comprobación material siendo remitidas a otra unidad de control.</w:t>
      </w:r>
    </w:p>
    <w:p>
      <w:pPr>
        <w:pStyle w:val="BodyText"/>
        <w:spacing w:before="5"/>
        <w:rPr>
          <w:sz w:val="14"/>
        </w:rPr>
      </w:pPr>
    </w:p>
    <w:p>
      <w:pPr>
        <w:pStyle w:val="BodyText"/>
        <w:spacing w:before="60"/>
        <w:ind w:left="8760" w:right="973"/>
        <w:jc w:val="center"/>
      </w:pPr>
      <w:r>
        <w:rPr/>
        <w:t>211</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57" name="image5.png"/>
                  <wp:cNvGraphicFramePr>
                    <a:graphicFrameLocks noChangeAspect="1"/>
                  </wp:cNvGraphicFramePr>
                  <a:graphic>
                    <a:graphicData uri="http://schemas.openxmlformats.org/drawingml/2006/picture">
                      <pic:pic>
                        <pic:nvPicPr>
                          <pic:cNvPr id="45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213/247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44"/>
        <w:jc w:val="both"/>
      </w:pPr>
      <w:r>
        <w:rPr/>
        <w:t>Igualmente formulan unas reflexiones acerca de los expedientes, incluidos en el anexo XIII.</w:t>
      </w:r>
    </w:p>
    <w:p>
      <w:pPr>
        <w:pStyle w:val="BodyText"/>
        <w:spacing w:before="10"/>
        <w:rPr>
          <w:sz w:val="16"/>
        </w:rPr>
      </w:pPr>
    </w:p>
    <w:p>
      <w:pPr>
        <w:pStyle w:val="BodyText"/>
        <w:ind w:left="2299" w:right="1349"/>
        <w:jc w:val="both"/>
      </w:pPr>
      <w:r>
        <w:rPr>
          <w:b/>
        </w:rPr>
        <w:t>Contestación. </w:t>
      </w:r>
      <w:r>
        <w:rPr/>
        <w:t>- La consideración de “cerradas” no se efectuó por esta Institución, sino que el propio órgano de control interno, en su escrito de 10 de agosto de 2023, remitió la relación de éstas.</w:t>
      </w:r>
    </w:p>
    <w:p>
      <w:pPr>
        <w:pStyle w:val="BodyText"/>
        <w:spacing w:before="11"/>
        <w:rPr>
          <w:sz w:val="16"/>
        </w:rPr>
      </w:pPr>
    </w:p>
    <w:p>
      <w:pPr>
        <w:spacing w:line="242" w:lineRule="auto" w:before="0"/>
        <w:ind w:left="2299" w:right="1340" w:firstLine="0"/>
        <w:jc w:val="both"/>
        <w:rPr>
          <w:sz w:val="20"/>
        </w:rPr>
      </w:pPr>
      <w:r>
        <w:rPr>
          <w:sz w:val="20"/>
        </w:rPr>
        <w:t>En cuanto a la inadecuación de su cierre: únicamente procede el mismo (salvo que se haya cometido un error en el juicio manifestado por el órgano de control y se corrija el mismo), cuando el órgano gestor subsana la deficiencia señalada, conforme dispone </w:t>
      </w:r>
      <w:r>
        <w:rPr>
          <w:spacing w:val="3"/>
          <w:sz w:val="20"/>
        </w:rPr>
        <w:t>el </w:t>
      </w:r>
      <w:r>
        <w:rPr>
          <w:sz w:val="20"/>
        </w:rPr>
        <w:t>Art.</w:t>
      </w:r>
      <w:r>
        <w:rPr>
          <w:spacing w:val="-6"/>
          <w:sz w:val="20"/>
        </w:rPr>
        <w:t> </w:t>
      </w:r>
      <w:r>
        <w:rPr>
          <w:sz w:val="20"/>
        </w:rPr>
        <w:t>43</w:t>
      </w:r>
      <w:r>
        <w:rPr>
          <w:spacing w:val="-3"/>
          <w:sz w:val="20"/>
        </w:rPr>
        <w:t> </w:t>
      </w:r>
      <w:r>
        <w:rPr>
          <w:sz w:val="20"/>
        </w:rPr>
        <w:t>del</w:t>
      </w:r>
      <w:r>
        <w:rPr>
          <w:spacing w:val="-4"/>
          <w:sz w:val="20"/>
        </w:rPr>
        <w:t> </w:t>
      </w:r>
      <w:r>
        <w:rPr>
          <w:sz w:val="20"/>
        </w:rPr>
        <w:t>ROFIG,</w:t>
      </w:r>
      <w:r>
        <w:rPr>
          <w:spacing w:val="-5"/>
          <w:sz w:val="20"/>
        </w:rPr>
        <w:t> </w:t>
      </w:r>
      <w:r>
        <w:rPr>
          <w:sz w:val="20"/>
        </w:rPr>
        <w:t>o</w:t>
      </w:r>
      <w:r>
        <w:rPr>
          <w:spacing w:val="-4"/>
          <w:sz w:val="20"/>
        </w:rPr>
        <w:t> </w:t>
      </w:r>
      <w:r>
        <w:rPr>
          <w:sz w:val="20"/>
        </w:rPr>
        <w:t>porque</w:t>
      </w:r>
      <w:r>
        <w:rPr>
          <w:spacing w:val="-4"/>
          <w:sz w:val="20"/>
        </w:rPr>
        <w:t> </w:t>
      </w:r>
      <w:r>
        <w:rPr>
          <w:sz w:val="20"/>
        </w:rPr>
        <w:t>en</w:t>
      </w:r>
      <w:r>
        <w:rPr>
          <w:spacing w:val="-3"/>
          <w:sz w:val="20"/>
        </w:rPr>
        <w:t> </w:t>
      </w:r>
      <w:r>
        <w:rPr>
          <w:sz w:val="20"/>
        </w:rPr>
        <w:t>el</w:t>
      </w:r>
      <w:r>
        <w:rPr>
          <w:spacing w:val="-4"/>
          <w:sz w:val="20"/>
        </w:rPr>
        <w:t> </w:t>
      </w:r>
      <w:r>
        <w:rPr>
          <w:sz w:val="20"/>
        </w:rPr>
        <w:t>procedimiento</w:t>
      </w:r>
      <w:r>
        <w:rPr>
          <w:spacing w:val="-6"/>
          <w:sz w:val="20"/>
        </w:rPr>
        <w:t> </w:t>
      </w:r>
      <w:r>
        <w:rPr>
          <w:sz w:val="20"/>
        </w:rPr>
        <w:t>de</w:t>
      </w:r>
      <w:r>
        <w:rPr>
          <w:spacing w:val="-4"/>
          <w:sz w:val="20"/>
        </w:rPr>
        <w:t> </w:t>
      </w:r>
      <w:r>
        <w:rPr>
          <w:sz w:val="20"/>
        </w:rPr>
        <w:t>discrepancia</w:t>
      </w:r>
      <w:r>
        <w:rPr>
          <w:spacing w:val="-4"/>
          <w:sz w:val="20"/>
        </w:rPr>
        <w:t> </w:t>
      </w:r>
      <w:r>
        <w:rPr>
          <w:sz w:val="20"/>
        </w:rPr>
        <w:t>(Art</w:t>
      </w:r>
      <w:r>
        <w:rPr>
          <w:spacing w:val="-5"/>
          <w:sz w:val="20"/>
        </w:rPr>
        <w:t> </w:t>
      </w:r>
      <w:r>
        <w:rPr>
          <w:sz w:val="20"/>
        </w:rPr>
        <w:t>86</w:t>
      </w:r>
      <w:r>
        <w:rPr>
          <w:spacing w:val="-3"/>
          <w:sz w:val="20"/>
        </w:rPr>
        <w:t> </w:t>
      </w:r>
      <w:r>
        <w:rPr>
          <w:sz w:val="20"/>
        </w:rPr>
        <w:t>ROFIG),</w:t>
      </w:r>
      <w:r>
        <w:rPr>
          <w:spacing w:val="-4"/>
          <w:sz w:val="20"/>
        </w:rPr>
        <w:t> </w:t>
      </w:r>
      <w:r>
        <w:rPr>
          <w:sz w:val="20"/>
        </w:rPr>
        <w:t>se</w:t>
      </w:r>
      <w:r>
        <w:rPr>
          <w:spacing w:val="-4"/>
          <w:sz w:val="20"/>
        </w:rPr>
        <w:t> </w:t>
      </w:r>
      <w:r>
        <w:rPr>
          <w:sz w:val="20"/>
        </w:rPr>
        <w:t>haya resuelto a favor del criterio del órgano gestor. Al respecto hay que recordar que el órgano de control interno, según consta en la relación remitida, procede al cierre de actuaciones por suposiciones carentes de evidencia, como por ejemplo:” </w:t>
      </w:r>
      <w:r>
        <w:rPr>
          <w:i/>
          <w:sz w:val="20"/>
        </w:rPr>
        <w:t>No procede </w:t>
      </w:r>
      <w:r>
        <w:rPr>
          <w:i/>
          <w:sz w:val="20"/>
        </w:rPr>
        <w:t>hacer ningún requerimiento al centro gestor ya que, por el tiempo transcurrido, si aportara documentación que permitiera cuantificar un daño al Tesoro Público, el derecho de la Hacienda Pública para solicitar el reintegro estaría</w:t>
      </w:r>
      <w:r>
        <w:rPr>
          <w:i/>
          <w:spacing w:val="8"/>
          <w:sz w:val="20"/>
        </w:rPr>
        <w:t> </w:t>
      </w:r>
      <w:r>
        <w:rPr>
          <w:i/>
          <w:sz w:val="20"/>
        </w:rPr>
        <w:t>prescrito</w:t>
      </w:r>
      <w:r>
        <w:rPr>
          <w:sz w:val="20"/>
        </w:rPr>
        <w:t>.”</w:t>
      </w:r>
    </w:p>
    <w:p>
      <w:pPr>
        <w:pStyle w:val="BodyText"/>
        <w:spacing w:before="1"/>
        <w:rPr>
          <w:sz w:val="16"/>
        </w:rPr>
      </w:pPr>
    </w:p>
    <w:p>
      <w:pPr>
        <w:pStyle w:val="BodyText"/>
        <w:ind w:left="2299" w:right="1347"/>
        <w:jc w:val="both"/>
      </w:pPr>
      <w:r>
        <w:rPr/>
        <w:t>Respecto</w:t>
      </w:r>
      <w:r>
        <w:rPr>
          <w:spacing w:val="-4"/>
        </w:rPr>
        <w:t> </w:t>
      </w:r>
      <w:r>
        <w:rPr/>
        <w:t>a</w:t>
      </w:r>
      <w:r>
        <w:rPr>
          <w:spacing w:val="-5"/>
        </w:rPr>
        <w:t> </w:t>
      </w:r>
      <w:r>
        <w:rPr/>
        <w:t>la</w:t>
      </w:r>
      <w:r>
        <w:rPr>
          <w:spacing w:val="-4"/>
        </w:rPr>
        <w:t> </w:t>
      </w:r>
      <w:r>
        <w:rPr/>
        <w:t>remisión</w:t>
      </w:r>
      <w:r>
        <w:rPr>
          <w:spacing w:val="-2"/>
        </w:rPr>
        <w:t> </w:t>
      </w:r>
      <w:r>
        <w:rPr/>
        <w:t>a</w:t>
      </w:r>
      <w:r>
        <w:rPr>
          <w:spacing w:val="-8"/>
        </w:rPr>
        <w:t> </w:t>
      </w:r>
      <w:r>
        <w:rPr/>
        <w:t>otra</w:t>
      </w:r>
      <w:r>
        <w:rPr>
          <w:spacing w:val="-5"/>
        </w:rPr>
        <w:t> </w:t>
      </w:r>
      <w:r>
        <w:rPr/>
        <w:t>unidad</w:t>
      </w:r>
      <w:r>
        <w:rPr>
          <w:spacing w:val="-5"/>
        </w:rPr>
        <w:t> </w:t>
      </w:r>
      <w:r>
        <w:rPr/>
        <w:t>de</w:t>
      </w:r>
      <w:r>
        <w:rPr>
          <w:spacing w:val="-3"/>
        </w:rPr>
        <w:t> </w:t>
      </w:r>
      <w:r>
        <w:rPr/>
        <w:t>control,</w:t>
      </w:r>
      <w:r>
        <w:rPr>
          <w:spacing w:val="-6"/>
        </w:rPr>
        <w:t> </w:t>
      </w:r>
      <w:r>
        <w:rPr/>
        <w:t>no</w:t>
      </w:r>
      <w:r>
        <w:rPr>
          <w:spacing w:val="-3"/>
        </w:rPr>
        <w:t> </w:t>
      </w:r>
      <w:r>
        <w:rPr/>
        <w:t>se</w:t>
      </w:r>
      <w:r>
        <w:rPr>
          <w:spacing w:val="-3"/>
        </w:rPr>
        <w:t> </w:t>
      </w:r>
      <w:r>
        <w:rPr/>
        <w:t>acompaña</w:t>
      </w:r>
      <w:r>
        <w:rPr>
          <w:spacing w:val="-4"/>
        </w:rPr>
        <w:t> </w:t>
      </w:r>
      <w:r>
        <w:rPr/>
        <w:t>información</w:t>
      </w:r>
      <w:r>
        <w:rPr>
          <w:spacing w:val="-2"/>
        </w:rPr>
        <w:t> </w:t>
      </w:r>
      <w:r>
        <w:rPr/>
        <w:t>acerca</w:t>
      </w:r>
      <w:r>
        <w:rPr>
          <w:spacing w:val="-7"/>
        </w:rPr>
        <w:t> </w:t>
      </w:r>
      <w:r>
        <w:rPr/>
        <w:t>del órgano o unidad de control al que se remite, las funciones de este y/o la norma en la que se regula.</w:t>
      </w:r>
    </w:p>
    <w:p>
      <w:pPr>
        <w:pStyle w:val="BodyText"/>
        <w:spacing w:before="12"/>
        <w:rPr>
          <w:sz w:val="16"/>
        </w:rPr>
      </w:pPr>
    </w:p>
    <w:p>
      <w:pPr>
        <w:pStyle w:val="BodyText"/>
        <w:spacing w:line="242" w:lineRule="auto"/>
        <w:ind w:left="2299" w:right="1342"/>
        <w:jc w:val="both"/>
      </w:pPr>
      <w:r>
        <w:rPr/>
        <w:t>En relación con las reflexiones realizadas sobre los expedientas del anexo XIII, ya se ha señalado al inicio de este documento de contestación de las alegaciones, que “no han sido objeto de tratamiento específico aquellas alegaciones que constituyen meras explicaciones y que, por tanto, no implican una disconformidad del alegante con el contenido del Informe”.</w:t>
      </w:r>
    </w:p>
    <w:p>
      <w:pPr>
        <w:pStyle w:val="BodyText"/>
        <w:spacing w:before="4"/>
        <w:rPr>
          <w:sz w:val="16"/>
        </w:rPr>
      </w:pPr>
    </w:p>
    <w:p>
      <w:pPr>
        <w:pStyle w:val="BodyText"/>
        <w:spacing w:before="1"/>
        <w:ind w:left="2299"/>
        <w:jc w:val="both"/>
      </w:pPr>
      <w:r>
        <w:rPr/>
        <w:t>En consecuencia, no se modifica el informe.</w:t>
      </w:r>
    </w:p>
    <w:p>
      <w:pPr>
        <w:pStyle w:val="BodyText"/>
        <w:spacing w:before="7"/>
        <w:rPr>
          <w:sz w:val="16"/>
        </w:rPr>
      </w:pPr>
    </w:p>
    <w:p>
      <w:pPr>
        <w:pStyle w:val="Heading1"/>
        <w:ind w:left="2299"/>
        <w:jc w:val="both"/>
      </w:pPr>
      <w:r>
        <w:rPr/>
        <w:t>Alegación 13: 3.2. Perspectiva del ciudadano (3).</w:t>
      </w:r>
    </w:p>
    <w:p>
      <w:pPr>
        <w:pStyle w:val="BodyText"/>
        <w:spacing w:before="8"/>
        <w:rPr>
          <w:b/>
          <w:sz w:val="16"/>
        </w:rPr>
      </w:pPr>
    </w:p>
    <w:p>
      <w:pPr>
        <w:pStyle w:val="BodyText"/>
        <w:ind w:left="2299" w:right="1346"/>
        <w:jc w:val="both"/>
      </w:pPr>
      <w:r>
        <w:rPr>
          <w:b/>
        </w:rPr>
        <w:t>Resumen: </w:t>
      </w:r>
      <w:r>
        <w:rPr/>
        <w:t>Por la IGCAC se hace referencia al error en el informe, sobre el número de auditorías incluidas en el Plan anual de auditoria aprobado el 20 de octubre de 2022.</w:t>
      </w:r>
    </w:p>
    <w:p>
      <w:pPr>
        <w:pStyle w:val="BodyText"/>
        <w:spacing w:before="10"/>
        <w:rPr>
          <w:sz w:val="16"/>
        </w:rPr>
      </w:pPr>
    </w:p>
    <w:p>
      <w:pPr>
        <w:pStyle w:val="BodyText"/>
        <w:spacing w:line="242" w:lineRule="auto"/>
        <w:ind w:left="2299" w:right="1345"/>
        <w:jc w:val="both"/>
      </w:pPr>
      <w:r>
        <w:rPr/>
        <w:t>Por otro lado y en relación con la documentación solicitada, manifiesta que la misma se remitió o se comunicó el estado de situación de los trabajos.</w:t>
      </w:r>
    </w:p>
    <w:p>
      <w:pPr>
        <w:pStyle w:val="BodyText"/>
        <w:spacing w:before="5"/>
        <w:rPr>
          <w:sz w:val="16"/>
        </w:rPr>
      </w:pPr>
    </w:p>
    <w:p>
      <w:pPr>
        <w:pStyle w:val="BodyText"/>
        <w:ind w:left="2299"/>
        <w:jc w:val="both"/>
      </w:pPr>
      <w:r>
        <w:rPr/>
        <w:t>Igualmente acompañan tres informes de auditoria no remitidos anteriormente.</w:t>
      </w:r>
    </w:p>
    <w:p>
      <w:pPr>
        <w:pStyle w:val="BodyText"/>
        <w:spacing w:before="8"/>
        <w:rPr>
          <w:sz w:val="16"/>
        </w:rPr>
      </w:pPr>
    </w:p>
    <w:p>
      <w:pPr>
        <w:pStyle w:val="BodyText"/>
        <w:ind w:left="2299" w:right="1346"/>
        <w:jc w:val="both"/>
      </w:pPr>
      <w:r>
        <w:rPr>
          <w:b/>
        </w:rPr>
        <w:t>Contestación: </w:t>
      </w:r>
      <w:r>
        <w:rPr/>
        <w:t>En cuanto al número de auditorías reflejado en el informe (39), se correspondía con el relacionado por tipo/órgano solicitante, sin considerar el número de controles a los que cada una estaba referida.</w:t>
      </w:r>
    </w:p>
    <w:p>
      <w:pPr>
        <w:pStyle w:val="BodyText"/>
        <w:spacing w:before="5"/>
        <w:rPr>
          <w:sz w:val="10"/>
        </w:rPr>
      </w:pPr>
    </w:p>
    <w:p>
      <w:pPr>
        <w:pStyle w:val="BodyText"/>
        <w:spacing w:before="61"/>
        <w:ind w:left="8760" w:right="973"/>
        <w:jc w:val="center"/>
      </w:pPr>
      <w:r>
        <w:rPr/>
        <w:t>212</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59" name="image5.png"/>
                  <wp:cNvGraphicFramePr>
                    <a:graphicFrameLocks noChangeAspect="1"/>
                  </wp:cNvGraphicFramePr>
                  <a:graphic>
                    <a:graphicData uri="http://schemas.openxmlformats.org/drawingml/2006/picture">
                      <pic:pic>
                        <pic:nvPicPr>
                          <pic:cNvPr id="46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214/247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45"/>
        <w:jc w:val="both"/>
      </w:pPr>
      <w:r>
        <w:rPr/>
        <w:t>La afirmación incluida en el informe de no remisión de documentación, esta referida al Informe de auditoría sobre las subvenciones concedidas al amparo del DL 6/2021, de 4 de junio y al Informe anual de la IGCAC con los resultados más significativos de la ejecución del Plan Anual de Auditoría de 2022, tal y como se concreta en el Anexo I y que por la propia IG se corrobora la inexistencia de su elaboración.</w:t>
      </w:r>
    </w:p>
    <w:p>
      <w:pPr>
        <w:pStyle w:val="BodyText"/>
        <w:spacing w:before="3"/>
        <w:rPr>
          <w:sz w:val="17"/>
        </w:rPr>
      </w:pPr>
    </w:p>
    <w:p>
      <w:pPr>
        <w:pStyle w:val="BodyText"/>
        <w:ind w:left="2299" w:right="1346"/>
        <w:jc w:val="both"/>
      </w:pPr>
      <w:r>
        <w:rPr/>
        <w:t>Por otro lado, adjunta a las alegaciones, tres informes de auditoría de cumplimiento correspondientes a ICHH, FISSSC y FUCAS</w:t>
      </w:r>
    </w:p>
    <w:p>
      <w:pPr>
        <w:pStyle w:val="BodyText"/>
        <w:spacing w:before="9"/>
        <w:rPr>
          <w:sz w:val="16"/>
        </w:rPr>
      </w:pPr>
    </w:p>
    <w:p>
      <w:pPr>
        <w:pStyle w:val="BodyText"/>
        <w:spacing w:line="244" w:lineRule="auto"/>
        <w:ind w:left="2299" w:right="1347"/>
        <w:jc w:val="both"/>
      </w:pPr>
      <w:r>
        <w:rPr/>
        <w:t>En consecuencia, se admite la alegación referente al nº de auditorías, quedando redactado el párrafo de la siguiente manera:</w:t>
      </w:r>
    </w:p>
    <w:p>
      <w:pPr>
        <w:pStyle w:val="BodyText"/>
        <w:spacing w:before="3"/>
        <w:rPr>
          <w:sz w:val="16"/>
        </w:rPr>
      </w:pPr>
    </w:p>
    <w:p>
      <w:pPr>
        <w:spacing w:before="0"/>
        <w:ind w:left="2299" w:right="1343" w:firstLine="0"/>
        <w:jc w:val="both"/>
        <w:rPr>
          <w:i/>
          <w:sz w:val="20"/>
        </w:rPr>
      </w:pPr>
      <w:r>
        <w:rPr>
          <w:sz w:val="20"/>
        </w:rPr>
        <w:t>“</w:t>
      </w:r>
      <w:r>
        <w:rPr>
          <w:i/>
          <w:sz w:val="20"/>
        </w:rPr>
        <w:t>En lo referente a la auditoria pública, el Plan anual para el año 2022, recoge la </w:t>
      </w:r>
      <w:r>
        <w:rPr>
          <w:i/>
          <w:sz w:val="20"/>
        </w:rPr>
        <w:t>realización de 143 controles, de los que 62 se llevan a cabo mediante la contratación de auditores externos y el resto con medios propios”</w:t>
      </w:r>
    </w:p>
    <w:p>
      <w:pPr>
        <w:pStyle w:val="BodyText"/>
        <w:spacing w:before="11"/>
        <w:rPr>
          <w:i/>
          <w:sz w:val="16"/>
        </w:rPr>
      </w:pPr>
    </w:p>
    <w:p>
      <w:pPr>
        <w:pStyle w:val="Heading1"/>
        <w:ind w:left="2299" w:right="1347"/>
        <w:jc w:val="both"/>
      </w:pPr>
      <w:r>
        <w:rPr/>
        <w:t>Alegación 14: 4.1 Análisis de magnitudes agregadas del Sector Público Autonómico con presupuesto limitativo. (1)</w:t>
      </w:r>
    </w:p>
    <w:p>
      <w:pPr>
        <w:pStyle w:val="BodyText"/>
        <w:spacing w:before="9"/>
        <w:rPr>
          <w:b/>
          <w:sz w:val="16"/>
        </w:rPr>
      </w:pPr>
    </w:p>
    <w:p>
      <w:pPr>
        <w:pStyle w:val="BodyText"/>
        <w:spacing w:before="1"/>
        <w:ind w:left="2299" w:right="1343"/>
        <w:jc w:val="both"/>
      </w:pPr>
      <w:r>
        <w:rPr>
          <w:b/>
        </w:rPr>
        <w:t>Resumen: </w:t>
      </w:r>
      <w:r>
        <w:rPr/>
        <w:t>Señala la IGCAC que en este capítulo de la Cuenta General existen informes y estados agregados como el del Remanente de Tesorería, pero que otros muchos son consolidados.</w:t>
      </w:r>
    </w:p>
    <w:p>
      <w:pPr>
        <w:pStyle w:val="BodyText"/>
        <w:spacing w:before="11"/>
        <w:rPr>
          <w:sz w:val="16"/>
        </w:rPr>
      </w:pPr>
    </w:p>
    <w:p>
      <w:pPr>
        <w:pStyle w:val="BodyText"/>
        <w:ind w:left="2299" w:right="1346"/>
        <w:jc w:val="both"/>
      </w:pPr>
      <w:r>
        <w:rPr>
          <w:b/>
        </w:rPr>
        <w:t>Contestación: </w:t>
      </w:r>
      <w:r>
        <w:rPr/>
        <w:t>En consecuencia, se propone modificar el título del epígrafe 4.1 con el siguiente literal:</w:t>
      </w:r>
    </w:p>
    <w:p>
      <w:pPr>
        <w:pStyle w:val="BodyText"/>
        <w:spacing w:before="10"/>
        <w:rPr>
          <w:sz w:val="16"/>
        </w:rPr>
      </w:pPr>
    </w:p>
    <w:p>
      <w:pPr>
        <w:spacing w:before="0"/>
        <w:ind w:left="2299" w:right="1348" w:firstLine="0"/>
        <w:jc w:val="both"/>
        <w:rPr>
          <w:b/>
          <w:i/>
          <w:sz w:val="20"/>
        </w:rPr>
      </w:pPr>
      <w:r>
        <w:rPr>
          <w:sz w:val="20"/>
        </w:rPr>
        <w:t>“</w:t>
      </w:r>
      <w:r>
        <w:rPr>
          <w:i/>
          <w:sz w:val="20"/>
        </w:rPr>
        <w:t>Análisis de magnitudes agregadas y consolidadas del Sector Público Autonómico con </w:t>
      </w:r>
      <w:r>
        <w:rPr>
          <w:i/>
          <w:sz w:val="20"/>
        </w:rPr>
        <w:t>presupuesto limitativo</w:t>
      </w:r>
      <w:r>
        <w:rPr>
          <w:b/>
          <w:i/>
          <w:sz w:val="20"/>
        </w:rPr>
        <w:t>.”</w:t>
      </w:r>
    </w:p>
    <w:p>
      <w:pPr>
        <w:pStyle w:val="BodyText"/>
        <w:spacing w:before="9"/>
        <w:rPr>
          <w:b/>
          <w:i/>
          <w:sz w:val="16"/>
        </w:rPr>
      </w:pPr>
    </w:p>
    <w:p>
      <w:pPr>
        <w:pStyle w:val="BodyText"/>
        <w:ind w:left="2345"/>
        <w:jc w:val="both"/>
      </w:pPr>
      <w:r>
        <w:rPr/>
        <w:t>Y el primer párrafo de este epígrafe con el siguiente texto.</w:t>
      </w:r>
    </w:p>
    <w:p>
      <w:pPr>
        <w:pStyle w:val="BodyText"/>
        <w:spacing w:before="10"/>
        <w:rPr>
          <w:sz w:val="16"/>
        </w:rPr>
      </w:pPr>
    </w:p>
    <w:p>
      <w:pPr>
        <w:spacing w:before="0"/>
        <w:ind w:left="2299" w:right="1346" w:firstLine="0"/>
        <w:jc w:val="both"/>
        <w:rPr>
          <w:i/>
          <w:sz w:val="20"/>
        </w:rPr>
      </w:pPr>
      <w:r>
        <w:rPr>
          <w:i/>
          <w:sz w:val="20"/>
        </w:rPr>
        <w:t>“En este apartado se van a comentar diversos indicadores y variables presupuestarias, </w:t>
      </w:r>
      <w:r>
        <w:rPr>
          <w:i/>
          <w:sz w:val="20"/>
        </w:rPr>
        <w:t>obtenidas agregando o consolidando los valores de todos y cada uno de los entes públicos sometidos a presupuestos limitativos, cuyas cuentas se muestran en la Cuenta General.”</w:t>
      </w:r>
    </w:p>
    <w:p>
      <w:pPr>
        <w:pStyle w:val="BodyText"/>
        <w:spacing w:before="1"/>
        <w:rPr>
          <w:i/>
          <w:sz w:val="17"/>
        </w:rPr>
      </w:pPr>
    </w:p>
    <w:p>
      <w:pPr>
        <w:pStyle w:val="Heading1"/>
        <w:spacing w:before="1"/>
        <w:ind w:left="2299" w:right="1345"/>
        <w:jc w:val="both"/>
      </w:pPr>
      <w:r>
        <w:rPr/>
        <w:t>Alegación 15: 4.1. Análisis de magnitudes agregadas del Sector Público Autonómico con presupuesto limitativo Evolución del remanente de tesorería de libre disposición agregado de los entes con presupuesto limitativo. (2)</w:t>
      </w:r>
    </w:p>
    <w:p>
      <w:pPr>
        <w:pStyle w:val="BodyText"/>
        <w:spacing w:before="11"/>
        <w:rPr>
          <w:b/>
          <w:sz w:val="16"/>
        </w:rPr>
      </w:pPr>
    </w:p>
    <w:p>
      <w:pPr>
        <w:pStyle w:val="BodyText"/>
        <w:ind w:left="2299" w:right="1345"/>
        <w:jc w:val="both"/>
        <w:rPr>
          <w:i/>
        </w:rPr>
      </w:pPr>
      <w:r>
        <w:rPr>
          <w:b/>
        </w:rPr>
        <w:t>Resumen: </w:t>
      </w:r>
      <w:r>
        <w:rPr/>
        <w:t>Formula la IGCAC unas consideraciones sobre la interpretación del Remanente de Tesorería negativo de libre disposición, y su efecto en la capacidad para hacer</w:t>
      </w:r>
      <w:r>
        <w:rPr>
          <w:spacing w:val="10"/>
        </w:rPr>
        <w:t> </w:t>
      </w:r>
      <w:r>
        <w:rPr/>
        <w:t>frente,</w:t>
      </w:r>
      <w:r>
        <w:rPr>
          <w:spacing w:val="10"/>
        </w:rPr>
        <w:t> </w:t>
      </w:r>
      <w:r>
        <w:rPr/>
        <w:t>a</w:t>
      </w:r>
      <w:r>
        <w:rPr>
          <w:spacing w:val="11"/>
        </w:rPr>
        <w:t> </w:t>
      </w:r>
      <w:r>
        <w:rPr/>
        <w:t>corto</w:t>
      </w:r>
      <w:r>
        <w:rPr>
          <w:spacing w:val="8"/>
        </w:rPr>
        <w:t> </w:t>
      </w:r>
      <w:r>
        <w:rPr/>
        <w:t>plazo,</w:t>
      </w:r>
      <w:r>
        <w:rPr>
          <w:spacing w:val="11"/>
        </w:rPr>
        <w:t> </w:t>
      </w:r>
      <w:r>
        <w:rPr/>
        <w:t>al</w:t>
      </w:r>
      <w:r>
        <w:rPr>
          <w:spacing w:val="8"/>
        </w:rPr>
        <w:t> </w:t>
      </w:r>
      <w:r>
        <w:rPr/>
        <w:t>pago</w:t>
      </w:r>
      <w:r>
        <w:rPr>
          <w:spacing w:val="9"/>
        </w:rPr>
        <w:t> </w:t>
      </w:r>
      <w:r>
        <w:rPr/>
        <w:t>de</w:t>
      </w:r>
      <w:r>
        <w:rPr>
          <w:spacing w:val="10"/>
        </w:rPr>
        <w:t> </w:t>
      </w:r>
      <w:r>
        <w:rPr/>
        <w:t>los</w:t>
      </w:r>
      <w:r>
        <w:rPr>
          <w:spacing w:val="11"/>
        </w:rPr>
        <w:t> </w:t>
      </w:r>
      <w:r>
        <w:rPr/>
        <w:t>acreedores.</w:t>
      </w:r>
      <w:r>
        <w:rPr>
          <w:spacing w:val="14"/>
        </w:rPr>
        <w:t> </w:t>
      </w:r>
      <w:r>
        <w:rPr>
          <w:i/>
        </w:rPr>
        <w:t>Señala</w:t>
      </w:r>
      <w:r>
        <w:rPr>
          <w:i/>
          <w:spacing w:val="10"/>
        </w:rPr>
        <w:t> </w:t>
      </w:r>
      <w:r>
        <w:rPr>
          <w:i/>
        </w:rPr>
        <w:t>que</w:t>
      </w:r>
      <w:r>
        <w:rPr>
          <w:i/>
          <w:spacing w:val="10"/>
        </w:rPr>
        <w:t> </w:t>
      </w:r>
      <w:r>
        <w:rPr>
          <w:i/>
        </w:rPr>
        <w:t>la</w:t>
      </w:r>
      <w:r>
        <w:rPr>
          <w:i/>
          <w:spacing w:val="10"/>
        </w:rPr>
        <w:t> </w:t>
      </w:r>
      <w:r>
        <w:rPr>
          <w:i/>
        </w:rPr>
        <w:t>capacidad</w:t>
      </w:r>
      <w:r>
        <w:rPr>
          <w:i/>
          <w:spacing w:val="9"/>
        </w:rPr>
        <w:t> </w:t>
      </w:r>
      <w:r>
        <w:rPr>
          <w:i/>
        </w:rPr>
        <w:t>de</w:t>
      </w:r>
      <w:r>
        <w:rPr>
          <w:i/>
          <w:spacing w:val="11"/>
        </w:rPr>
        <w:t> </w:t>
      </w:r>
      <w:r>
        <w:rPr>
          <w:i/>
        </w:rPr>
        <w:t>una</w:t>
      </w:r>
    </w:p>
    <w:p>
      <w:pPr>
        <w:pStyle w:val="BodyText"/>
        <w:spacing w:before="1"/>
        <w:rPr>
          <w:i/>
          <w:sz w:val="14"/>
        </w:rPr>
      </w:pPr>
    </w:p>
    <w:p>
      <w:pPr>
        <w:pStyle w:val="BodyText"/>
        <w:spacing w:before="61"/>
        <w:ind w:left="8760" w:right="973"/>
        <w:jc w:val="center"/>
      </w:pPr>
      <w:r>
        <w:rPr/>
        <w:t>213</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61" name="image5.png"/>
                  <wp:cNvGraphicFramePr>
                    <a:graphicFrameLocks noChangeAspect="1"/>
                  </wp:cNvGraphicFramePr>
                  <a:graphic>
                    <a:graphicData uri="http://schemas.openxmlformats.org/drawingml/2006/picture">
                      <pic:pic>
                        <pic:nvPicPr>
                          <pic:cNvPr id="46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215/247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spacing w:before="60"/>
        <w:ind w:left="2299" w:right="1340" w:firstLine="0"/>
        <w:jc w:val="both"/>
        <w:rPr>
          <w:i/>
          <w:sz w:val="20"/>
        </w:rPr>
      </w:pPr>
      <w:r>
        <w:rPr>
          <w:i/>
          <w:sz w:val="20"/>
        </w:rPr>
        <w:t>administración</w:t>
      </w:r>
      <w:r>
        <w:rPr>
          <w:i/>
          <w:spacing w:val="-6"/>
          <w:sz w:val="20"/>
        </w:rPr>
        <w:t> </w:t>
      </w:r>
      <w:r>
        <w:rPr>
          <w:i/>
          <w:sz w:val="20"/>
        </w:rPr>
        <w:t>para</w:t>
      </w:r>
      <w:r>
        <w:rPr>
          <w:i/>
          <w:spacing w:val="-6"/>
          <w:sz w:val="20"/>
        </w:rPr>
        <w:t> </w:t>
      </w:r>
      <w:r>
        <w:rPr>
          <w:i/>
          <w:sz w:val="20"/>
        </w:rPr>
        <w:t>hacer</w:t>
      </w:r>
      <w:r>
        <w:rPr>
          <w:i/>
          <w:spacing w:val="-5"/>
          <w:sz w:val="20"/>
        </w:rPr>
        <w:t> </w:t>
      </w:r>
      <w:r>
        <w:rPr>
          <w:i/>
          <w:sz w:val="20"/>
        </w:rPr>
        <w:t>frente</w:t>
      </w:r>
      <w:r>
        <w:rPr>
          <w:i/>
          <w:spacing w:val="-5"/>
          <w:sz w:val="20"/>
        </w:rPr>
        <w:t> </w:t>
      </w:r>
      <w:r>
        <w:rPr>
          <w:i/>
          <w:sz w:val="20"/>
        </w:rPr>
        <w:t>al</w:t>
      </w:r>
      <w:r>
        <w:rPr>
          <w:i/>
          <w:spacing w:val="-7"/>
          <w:sz w:val="20"/>
        </w:rPr>
        <w:t> </w:t>
      </w:r>
      <w:r>
        <w:rPr>
          <w:i/>
          <w:sz w:val="20"/>
        </w:rPr>
        <w:t>conjunto</w:t>
      </w:r>
      <w:r>
        <w:rPr>
          <w:i/>
          <w:spacing w:val="-6"/>
          <w:sz w:val="20"/>
        </w:rPr>
        <w:t> </w:t>
      </w:r>
      <w:r>
        <w:rPr>
          <w:i/>
          <w:sz w:val="20"/>
        </w:rPr>
        <w:t>de</w:t>
      </w:r>
      <w:r>
        <w:rPr>
          <w:i/>
          <w:spacing w:val="-4"/>
          <w:sz w:val="20"/>
        </w:rPr>
        <w:t> </w:t>
      </w:r>
      <w:r>
        <w:rPr>
          <w:i/>
          <w:sz w:val="20"/>
        </w:rPr>
        <w:t>acreedores,</w:t>
      </w:r>
      <w:r>
        <w:rPr>
          <w:i/>
          <w:spacing w:val="-5"/>
          <w:sz w:val="20"/>
        </w:rPr>
        <w:t> </w:t>
      </w:r>
      <w:r>
        <w:rPr>
          <w:i/>
          <w:sz w:val="20"/>
        </w:rPr>
        <w:t>tanto</w:t>
      </w:r>
      <w:r>
        <w:rPr>
          <w:i/>
          <w:spacing w:val="-6"/>
          <w:sz w:val="20"/>
        </w:rPr>
        <w:t> </w:t>
      </w:r>
      <w:r>
        <w:rPr>
          <w:i/>
          <w:sz w:val="20"/>
        </w:rPr>
        <w:t>presupuestarios</w:t>
      </w:r>
      <w:r>
        <w:rPr>
          <w:i/>
          <w:spacing w:val="-5"/>
          <w:sz w:val="20"/>
        </w:rPr>
        <w:t> </w:t>
      </w:r>
      <w:r>
        <w:rPr>
          <w:i/>
          <w:sz w:val="20"/>
        </w:rPr>
        <w:t>como </w:t>
      </w:r>
      <w:r>
        <w:rPr>
          <w:i/>
          <w:sz w:val="20"/>
        </w:rPr>
        <w:t>no presupuestarios, viene fundamentada por otros extremos, por la liquidez (necesidad de un plan de tesorería con estimaciones de ejecución de gastos e ingresos fiables), el equilibrio</w:t>
      </w:r>
      <w:r>
        <w:rPr>
          <w:i/>
          <w:spacing w:val="-7"/>
          <w:sz w:val="20"/>
        </w:rPr>
        <w:t> </w:t>
      </w:r>
      <w:r>
        <w:rPr>
          <w:i/>
          <w:sz w:val="20"/>
        </w:rPr>
        <w:t>entre</w:t>
      </w:r>
      <w:r>
        <w:rPr>
          <w:i/>
          <w:spacing w:val="-7"/>
          <w:sz w:val="20"/>
        </w:rPr>
        <w:t> </w:t>
      </w:r>
      <w:r>
        <w:rPr>
          <w:i/>
          <w:sz w:val="20"/>
        </w:rPr>
        <w:t>los</w:t>
      </w:r>
      <w:r>
        <w:rPr>
          <w:i/>
          <w:spacing w:val="-5"/>
          <w:sz w:val="20"/>
        </w:rPr>
        <w:t> </w:t>
      </w:r>
      <w:r>
        <w:rPr>
          <w:i/>
          <w:sz w:val="20"/>
        </w:rPr>
        <w:t>ingresos</w:t>
      </w:r>
      <w:r>
        <w:rPr>
          <w:i/>
          <w:spacing w:val="-6"/>
          <w:sz w:val="20"/>
        </w:rPr>
        <w:t> </w:t>
      </w:r>
      <w:r>
        <w:rPr>
          <w:i/>
          <w:sz w:val="20"/>
        </w:rPr>
        <w:t>y</w:t>
      </w:r>
      <w:r>
        <w:rPr>
          <w:i/>
          <w:spacing w:val="-6"/>
          <w:sz w:val="20"/>
        </w:rPr>
        <w:t> </w:t>
      </w:r>
      <w:r>
        <w:rPr>
          <w:i/>
          <w:sz w:val="20"/>
        </w:rPr>
        <w:t>los</w:t>
      </w:r>
      <w:r>
        <w:rPr>
          <w:i/>
          <w:spacing w:val="-7"/>
          <w:sz w:val="20"/>
        </w:rPr>
        <w:t> </w:t>
      </w:r>
      <w:r>
        <w:rPr>
          <w:i/>
          <w:sz w:val="20"/>
        </w:rPr>
        <w:t>gastos,</w:t>
      </w:r>
      <w:r>
        <w:rPr>
          <w:i/>
          <w:spacing w:val="-6"/>
          <w:sz w:val="20"/>
        </w:rPr>
        <w:t> </w:t>
      </w:r>
      <w:r>
        <w:rPr>
          <w:i/>
          <w:sz w:val="20"/>
        </w:rPr>
        <w:t>la</w:t>
      </w:r>
      <w:r>
        <w:rPr>
          <w:i/>
          <w:spacing w:val="-7"/>
          <w:sz w:val="20"/>
        </w:rPr>
        <w:t> </w:t>
      </w:r>
      <w:r>
        <w:rPr>
          <w:i/>
          <w:sz w:val="20"/>
        </w:rPr>
        <w:t>fortaleza</w:t>
      </w:r>
      <w:r>
        <w:rPr>
          <w:i/>
          <w:spacing w:val="-6"/>
          <w:sz w:val="20"/>
        </w:rPr>
        <w:t> </w:t>
      </w:r>
      <w:r>
        <w:rPr>
          <w:i/>
          <w:sz w:val="20"/>
        </w:rPr>
        <w:t>para</w:t>
      </w:r>
      <w:r>
        <w:rPr>
          <w:i/>
          <w:spacing w:val="-8"/>
          <w:sz w:val="20"/>
        </w:rPr>
        <w:t> </w:t>
      </w:r>
      <w:r>
        <w:rPr>
          <w:i/>
          <w:sz w:val="20"/>
        </w:rPr>
        <w:t>controlar</w:t>
      </w:r>
      <w:r>
        <w:rPr>
          <w:i/>
          <w:spacing w:val="-7"/>
          <w:sz w:val="20"/>
        </w:rPr>
        <w:t> </w:t>
      </w:r>
      <w:r>
        <w:rPr>
          <w:i/>
          <w:sz w:val="20"/>
        </w:rPr>
        <w:t>la</w:t>
      </w:r>
      <w:r>
        <w:rPr>
          <w:i/>
          <w:spacing w:val="-6"/>
          <w:sz w:val="20"/>
        </w:rPr>
        <w:t> </w:t>
      </w:r>
      <w:r>
        <w:rPr>
          <w:i/>
          <w:sz w:val="20"/>
        </w:rPr>
        <w:t>deuda</w:t>
      </w:r>
      <w:r>
        <w:rPr>
          <w:i/>
          <w:spacing w:val="-5"/>
          <w:sz w:val="20"/>
        </w:rPr>
        <w:t> </w:t>
      </w:r>
      <w:r>
        <w:rPr>
          <w:i/>
          <w:sz w:val="20"/>
        </w:rPr>
        <w:t>y</w:t>
      </w:r>
      <w:r>
        <w:rPr>
          <w:i/>
          <w:spacing w:val="-8"/>
          <w:sz w:val="20"/>
        </w:rPr>
        <w:t> </w:t>
      </w:r>
      <w:r>
        <w:rPr>
          <w:i/>
          <w:sz w:val="20"/>
        </w:rPr>
        <w:t>el</w:t>
      </w:r>
      <w:r>
        <w:rPr>
          <w:i/>
          <w:spacing w:val="-5"/>
          <w:sz w:val="20"/>
        </w:rPr>
        <w:t> </w:t>
      </w:r>
      <w:r>
        <w:rPr>
          <w:i/>
          <w:sz w:val="20"/>
        </w:rPr>
        <w:t>impacto de los posibles riesgos por pasivos</w:t>
      </w:r>
      <w:r>
        <w:rPr>
          <w:i/>
          <w:spacing w:val="5"/>
          <w:sz w:val="20"/>
        </w:rPr>
        <w:t> </w:t>
      </w:r>
      <w:r>
        <w:rPr>
          <w:i/>
          <w:sz w:val="20"/>
        </w:rPr>
        <w:t>contingentes.</w:t>
      </w:r>
    </w:p>
    <w:p>
      <w:pPr>
        <w:pStyle w:val="BodyText"/>
        <w:spacing w:before="3"/>
        <w:rPr>
          <w:i/>
          <w:sz w:val="17"/>
        </w:rPr>
      </w:pPr>
    </w:p>
    <w:p>
      <w:pPr>
        <w:pStyle w:val="BodyText"/>
        <w:spacing w:line="242" w:lineRule="auto"/>
        <w:ind w:left="2299" w:right="1344"/>
        <w:jc w:val="both"/>
      </w:pPr>
      <w:r>
        <w:rPr>
          <w:b/>
        </w:rPr>
        <w:t>Contestación: </w:t>
      </w:r>
      <w:r>
        <w:rPr/>
        <w:t>Ciertamente puede resultar sesgado señalar que la capacidad para pagar a los acreedores viene determinada, en exclusiva, por el importe del Remanente de Tesorería. Existen otras vías de financiación (P.E. la financiación ajena) a las que el Tesoro de la CAC puede acudir.</w:t>
      </w:r>
    </w:p>
    <w:p>
      <w:pPr>
        <w:pStyle w:val="BodyText"/>
        <w:spacing w:before="5"/>
        <w:rPr>
          <w:sz w:val="16"/>
        </w:rPr>
      </w:pPr>
    </w:p>
    <w:p>
      <w:pPr>
        <w:pStyle w:val="BodyText"/>
        <w:spacing w:before="1"/>
        <w:ind w:left="2299" w:right="1347"/>
        <w:jc w:val="both"/>
      </w:pPr>
      <w:r>
        <w:rPr/>
        <w:t>En consecuencia, se propone sustituir el tercer párrafo del epígrafe 4.1 del Proyecto de Informe, por el siguiente literal: (Pag. 26).</w:t>
      </w:r>
    </w:p>
    <w:p>
      <w:pPr>
        <w:pStyle w:val="BodyText"/>
        <w:spacing w:before="9"/>
        <w:rPr>
          <w:sz w:val="16"/>
        </w:rPr>
      </w:pPr>
    </w:p>
    <w:p>
      <w:pPr>
        <w:spacing w:before="0"/>
        <w:ind w:left="2299" w:right="1343" w:firstLine="0"/>
        <w:jc w:val="both"/>
        <w:rPr>
          <w:i/>
          <w:sz w:val="20"/>
        </w:rPr>
      </w:pPr>
      <w:r>
        <w:rPr>
          <w:i/>
          <w:sz w:val="20"/>
        </w:rPr>
        <w:t>“El Remanente de Tesorería (RT) de libre disposición mide, cuando es positivo, la </w:t>
      </w:r>
      <w:r>
        <w:rPr>
          <w:i/>
          <w:sz w:val="20"/>
        </w:rPr>
        <w:t>capacidad</w:t>
      </w:r>
      <w:r>
        <w:rPr>
          <w:i/>
          <w:spacing w:val="-9"/>
          <w:sz w:val="20"/>
        </w:rPr>
        <w:t> </w:t>
      </w:r>
      <w:r>
        <w:rPr>
          <w:i/>
          <w:sz w:val="20"/>
        </w:rPr>
        <w:t>de</w:t>
      </w:r>
      <w:r>
        <w:rPr>
          <w:i/>
          <w:spacing w:val="-7"/>
          <w:sz w:val="20"/>
        </w:rPr>
        <w:t> </w:t>
      </w:r>
      <w:r>
        <w:rPr>
          <w:i/>
          <w:sz w:val="20"/>
        </w:rPr>
        <w:t>una</w:t>
      </w:r>
      <w:r>
        <w:rPr>
          <w:i/>
          <w:spacing w:val="-8"/>
          <w:sz w:val="20"/>
        </w:rPr>
        <w:t> </w:t>
      </w:r>
      <w:r>
        <w:rPr>
          <w:i/>
          <w:sz w:val="20"/>
        </w:rPr>
        <w:t>entidad</w:t>
      </w:r>
      <w:r>
        <w:rPr>
          <w:i/>
          <w:spacing w:val="-9"/>
          <w:sz w:val="20"/>
        </w:rPr>
        <w:t> </w:t>
      </w:r>
      <w:r>
        <w:rPr>
          <w:i/>
          <w:sz w:val="20"/>
        </w:rPr>
        <w:t>pública</w:t>
      </w:r>
      <w:r>
        <w:rPr>
          <w:i/>
          <w:spacing w:val="-8"/>
          <w:sz w:val="20"/>
        </w:rPr>
        <w:t> </w:t>
      </w:r>
      <w:r>
        <w:rPr>
          <w:i/>
          <w:sz w:val="20"/>
        </w:rPr>
        <w:t>para</w:t>
      </w:r>
      <w:r>
        <w:rPr>
          <w:i/>
          <w:spacing w:val="-8"/>
          <w:sz w:val="20"/>
        </w:rPr>
        <w:t> </w:t>
      </w:r>
      <w:r>
        <w:rPr>
          <w:i/>
          <w:sz w:val="20"/>
        </w:rPr>
        <w:t>financiar</w:t>
      </w:r>
      <w:r>
        <w:rPr>
          <w:i/>
          <w:spacing w:val="-8"/>
          <w:sz w:val="20"/>
        </w:rPr>
        <w:t> </w:t>
      </w:r>
      <w:r>
        <w:rPr>
          <w:i/>
          <w:sz w:val="20"/>
        </w:rPr>
        <w:t>nuevos</w:t>
      </w:r>
      <w:r>
        <w:rPr>
          <w:i/>
          <w:spacing w:val="-8"/>
          <w:sz w:val="20"/>
        </w:rPr>
        <w:t> </w:t>
      </w:r>
      <w:r>
        <w:rPr>
          <w:i/>
          <w:sz w:val="20"/>
        </w:rPr>
        <w:t>gastos</w:t>
      </w:r>
      <w:r>
        <w:rPr>
          <w:i/>
          <w:spacing w:val="-7"/>
          <w:sz w:val="20"/>
        </w:rPr>
        <w:t> </w:t>
      </w:r>
      <w:r>
        <w:rPr>
          <w:i/>
          <w:sz w:val="20"/>
        </w:rPr>
        <w:t>con</w:t>
      </w:r>
      <w:r>
        <w:rPr>
          <w:i/>
          <w:spacing w:val="-10"/>
          <w:sz w:val="20"/>
        </w:rPr>
        <w:t> </w:t>
      </w:r>
      <w:r>
        <w:rPr>
          <w:i/>
          <w:sz w:val="20"/>
        </w:rPr>
        <w:t>excedentes</w:t>
      </w:r>
      <w:r>
        <w:rPr>
          <w:i/>
          <w:spacing w:val="-7"/>
          <w:sz w:val="20"/>
        </w:rPr>
        <w:t> </w:t>
      </w:r>
      <w:r>
        <w:rPr>
          <w:i/>
          <w:sz w:val="20"/>
        </w:rPr>
        <w:t>históricos acumulados. Si fuera negativo, está señalando que, si el vencimiento de estas obligaciones de pago coincidiese en el tiempo, esa entidad podría tener dificultades de tesorería,</w:t>
      </w:r>
      <w:r>
        <w:rPr>
          <w:i/>
          <w:spacing w:val="-8"/>
          <w:sz w:val="20"/>
        </w:rPr>
        <w:t> </w:t>
      </w:r>
      <w:r>
        <w:rPr>
          <w:i/>
          <w:sz w:val="20"/>
        </w:rPr>
        <w:t>para</w:t>
      </w:r>
      <w:r>
        <w:rPr>
          <w:i/>
          <w:spacing w:val="-10"/>
          <w:sz w:val="20"/>
        </w:rPr>
        <w:t> </w:t>
      </w:r>
      <w:r>
        <w:rPr>
          <w:i/>
          <w:sz w:val="20"/>
        </w:rPr>
        <w:t>hacer</w:t>
      </w:r>
      <w:r>
        <w:rPr>
          <w:i/>
          <w:spacing w:val="-7"/>
          <w:sz w:val="20"/>
        </w:rPr>
        <w:t> </w:t>
      </w:r>
      <w:r>
        <w:rPr>
          <w:i/>
          <w:sz w:val="20"/>
        </w:rPr>
        <w:t>frente</w:t>
      </w:r>
      <w:r>
        <w:rPr>
          <w:i/>
          <w:spacing w:val="-7"/>
          <w:sz w:val="20"/>
        </w:rPr>
        <w:t> </w:t>
      </w:r>
      <w:r>
        <w:rPr>
          <w:i/>
          <w:sz w:val="20"/>
        </w:rPr>
        <w:t>a</w:t>
      </w:r>
      <w:r>
        <w:rPr>
          <w:i/>
          <w:spacing w:val="-11"/>
          <w:sz w:val="20"/>
        </w:rPr>
        <w:t> </w:t>
      </w:r>
      <w:r>
        <w:rPr>
          <w:i/>
          <w:sz w:val="20"/>
        </w:rPr>
        <w:t>la</w:t>
      </w:r>
      <w:r>
        <w:rPr>
          <w:i/>
          <w:spacing w:val="-9"/>
          <w:sz w:val="20"/>
        </w:rPr>
        <w:t> </w:t>
      </w:r>
      <w:r>
        <w:rPr>
          <w:i/>
          <w:sz w:val="20"/>
        </w:rPr>
        <w:t>totalidad</w:t>
      </w:r>
      <w:r>
        <w:rPr>
          <w:i/>
          <w:spacing w:val="-8"/>
          <w:sz w:val="20"/>
        </w:rPr>
        <w:t> </w:t>
      </w:r>
      <w:r>
        <w:rPr>
          <w:i/>
          <w:sz w:val="20"/>
        </w:rPr>
        <w:t>de</w:t>
      </w:r>
      <w:r>
        <w:rPr>
          <w:i/>
          <w:spacing w:val="-8"/>
          <w:sz w:val="20"/>
        </w:rPr>
        <w:t> </w:t>
      </w:r>
      <w:r>
        <w:rPr>
          <w:i/>
          <w:sz w:val="20"/>
        </w:rPr>
        <w:t>sus</w:t>
      </w:r>
      <w:r>
        <w:rPr>
          <w:i/>
          <w:spacing w:val="-7"/>
          <w:sz w:val="20"/>
        </w:rPr>
        <w:t> </w:t>
      </w:r>
      <w:r>
        <w:rPr>
          <w:i/>
          <w:sz w:val="20"/>
        </w:rPr>
        <w:t>acreedores,</w:t>
      </w:r>
      <w:r>
        <w:rPr>
          <w:i/>
          <w:spacing w:val="-7"/>
          <w:sz w:val="20"/>
        </w:rPr>
        <w:t> </w:t>
      </w:r>
      <w:r>
        <w:rPr>
          <w:i/>
          <w:sz w:val="20"/>
        </w:rPr>
        <w:t>tanto</w:t>
      </w:r>
      <w:r>
        <w:rPr>
          <w:i/>
          <w:spacing w:val="-9"/>
          <w:sz w:val="20"/>
        </w:rPr>
        <w:t> </w:t>
      </w:r>
      <w:r>
        <w:rPr>
          <w:i/>
          <w:sz w:val="20"/>
        </w:rPr>
        <w:t>presupuestarios</w:t>
      </w:r>
      <w:r>
        <w:rPr>
          <w:i/>
          <w:spacing w:val="-7"/>
          <w:sz w:val="20"/>
        </w:rPr>
        <w:t> </w:t>
      </w:r>
      <w:r>
        <w:rPr>
          <w:i/>
          <w:sz w:val="20"/>
        </w:rPr>
        <w:t>como no presupuestarios. Por otra parte, si el Remanente de Tesorería ofrece saldos anuales negativos de forma recurrente, la solvencia financiera, a largo plazo, estará en dificultades.”</w:t>
      </w:r>
    </w:p>
    <w:p>
      <w:pPr>
        <w:pStyle w:val="BodyText"/>
        <w:spacing w:before="8"/>
        <w:rPr>
          <w:i/>
          <w:sz w:val="17"/>
        </w:rPr>
      </w:pPr>
    </w:p>
    <w:p>
      <w:pPr>
        <w:pStyle w:val="Heading1"/>
        <w:ind w:left="2299" w:right="1341"/>
        <w:jc w:val="both"/>
      </w:pPr>
      <w:r>
        <w:rPr/>
        <w:t>Alegación 16: 4.1. Análisis de magnitudes agregadas del Sector Público Autonómico con presupuesto limitativo. Evolución del remanente de libre disposición 2019-2022. (3).</w:t>
      </w:r>
    </w:p>
    <w:p>
      <w:pPr>
        <w:pStyle w:val="BodyText"/>
        <w:spacing w:before="1"/>
        <w:rPr>
          <w:b/>
          <w:sz w:val="17"/>
        </w:rPr>
      </w:pPr>
    </w:p>
    <w:p>
      <w:pPr>
        <w:pStyle w:val="BodyText"/>
        <w:ind w:left="2299" w:right="1343"/>
        <w:jc w:val="both"/>
      </w:pPr>
      <w:r>
        <w:rPr>
          <w:b/>
        </w:rPr>
        <w:t>Resumen: </w:t>
      </w:r>
      <w:r>
        <w:rPr/>
        <w:t>Explica la IGCAC que el importante crecimiento del Remanente de Tesorería de Libre Disposición, derivado del crecimiento de las desviaciones positivas de financiación afectada, se explican por la llegada de los Fondos Next Generation.</w:t>
      </w:r>
    </w:p>
    <w:p>
      <w:pPr>
        <w:pStyle w:val="BodyText"/>
        <w:spacing w:before="11"/>
        <w:rPr>
          <w:sz w:val="16"/>
        </w:rPr>
      </w:pPr>
    </w:p>
    <w:p>
      <w:pPr>
        <w:pStyle w:val="BodyText"/>
        <w:ind w:left="2299" w:right="1344"/>
        <w:jc w:val="both"/>
      </w:pPr>
      <w:r>
        <w:rPr>
          <w:b/>
        </w:rPr>
        <w:t>Contestación: </w:t>
      </w:r>
      <w:r>
        <w:rPr/>
        <w:t>La información aportada, junto con la baja ejecución presupuestaria de los citados fondos, explican sobradamente el crecimiento de las desviaciones positivas de financiación afectada.</w:t>
      </w:r>
    </w:p>
    <w:p>
      <w:pPr>
        <w:pStyle w:val="BodyText"/>
        <w:spacing w:before="11"/>
        <w:rPr>
          <w:sz w:val="16"/>
        </w:rPr>
      </w:pPr>
    </w:p>
    <w:p>
      <w:pPr>
        <w:pStyle w:val="BodyText"/>
        <w:spacing w:before="1"/>
        <w:ind w:left="2299"/>
        <w:jc w:val="both"/>
      </w:pPr>
      <w:r>
        <w:rPr/>
        <w:t>En consecuencia, no se modifica el contenido del Informe.</w:t>
      </w:r>
    </w:p>
    <w:p>
      <w:pPr>
        <w:pStyle w:val="BodyText"/>
        <w:spacing w:before="8"/>
        <w:rPr>
          <w:sz w:val="16"/>
        </w:rPr>
      </w:pPr>
    </w:p>
    <w:p>
      <w:pPr>
        <w:pStyle w:val="Heading1"/>
        <w:ind w:left="2299"/>
        <w:jc w:val="both"/>
      </w:pPr>
      <w:r>
        <w:rPr/>
        <w:t>Alegación 17: 4.1.2 Evolución del gasto territorializado por islas.</w:t>
      </w:r>
    </w:p>
    <w:p>
      <w:pPr>
        <w:pStyle w:val="BodyText"/>
        <w:spacing w:before="8"/>
        <w:rPr>
          <w:b/>
          <w:sz w:val="16"/>
        </w:rPr>
      </w:pPr>
    </w:p>
    <w:p>
      <w:pPr>
        <w:pStyle w:val="BodyText"/>
        <w:ind w:left="2299" w:right="1344"/>
        <w:jc w:val="both"/>
      </w:pPr>
      <w:r>
        <w:rPr>
          <w:b/>
        </w:rPr>
        <w:t>Resumen: </w:t>
      </w:r>
      <w:r>
        <w:rPr/>
        <w:t>Señala la IGCAC que a fecha actual el ISTAC tiene publicados los datos de población canaria correspondientes al año 2022 y que el informe los refiere al 2021.</w:t>
      </w:r>
    </w:p>
    <w:p>
      <w:pPr>
        <w:pStyle w:val="BodyText"/>
        <w:spacing w:before="9"/>
        <w:rPr>
          <w:sz w:val="16"/>
        </w:rPr>
      </w:pPr>
    </w:p>
    <w:p>
      <w:pPr>
        <w:pStyle w:val="BodyText"/>
        <w:ind w:left="2299"/>
        <w:jc w:val="both"/>
      </w:pPr>
      <w:r>
        <w:rPr>
          <w:b/>
        </w:rPr>
        <w:t>Contestación:</w:t>
      </w:r>
      <w:r>
        <w:rPr>
          <w:b/>
          <w:spacing w:val="7"/>
        </w:rPr>
        <w:t> </w:t>
      </w:r>
      <w:r>
        <w:rPr/>
        <w:t>A</w:t>
      </w:r>
      <w:r>
        <w:rPr>
          <w:spacing w:val="6"/>
        </w:rPr>
        <w:t> </w:t>
      </w:r>
      <w:r>
        <w:rPr/>
        <w:t>fecha</w:t>
      </w:r>
      <w:r>
        <w:rPr>
          <w:spacing w:val="6"/>
        </w:rPr>
        <w:t> </w:t>
      </w:r>
      <w:r>
        <w:rPr/>
        <w:t>de</w:t>
      </w:r>
      <w:r>
        <w:rPr>
          <w:spacing w:val="8"/>
        </w:rPr>
        <w:t> </w:t>
      </w:r>
      <w:r>
        <w:rPr/>
        <w:t>11</w:t>
      </w:r>
      <w:r>
        <w:rPr>
          <w:spacing w:val="7"/>
        </w:rPr>
        <w:t> </w:t>
      </w:r>
      <w:r>
        <w:rPr/>
        <w:t>de</w:t>
      </w:r>
      <w:r>
        <w:rPr>
          <w:spacing w:val="6"/>
        </w:rPr>
        <w:t> </w:t>
      </w:r>
      <w:r>
        <w:rPr/>
        <w:t>diciembre</w:t>
      </w:r>
      <w:r>
        <w:rPr>
          <w:spacing w:val="6"/>
        </w:rPr>
        <w:t> </w:t>
      </w:r>
      <w:r>
        <w:rPr/>
        <w:t>de</w:t>
      </w:r>
      <w:r>
        <w:rPr>
          <w:spacing w:val="6"/>
        </w:rPr>
        <w:t> </w:t>
      </w:r>
      <w:r>
        <w:rPr/>
        <w:t>2023,</w:t>
      </w:r>
      <w:r>
        <w:rPr>
          <w:spacing w:val="6"/>
        </w:rPr>
        <w:t> </w:t>
      </w:r>
      <w:r>
        <w:rPr/>
        <w:t>el</w:t>
      </w:r>
      <w:r>
        <w:rPr>
          <w:spacing w:val="9"/>
        </w:rPr>
        <w:t> </w:t>
      </w:r>
      <w:r>
        <w:rPr/>
        <w:t>ISTAC</w:t>
      </w:r>
      <w:r>
        <w:rPr>
          <w:spacing w:val="7"/>
        </w:rPr>
        <w:t> </w:t>
      </w:r>
      <w:r>
        <w:rPr/>
        <w:t>tiene</w:t>
      </w:r>
      <w:r>
        <w:rPr>
          <w:spacing w:val="6"/>
        </w:rPr>
        <w:t> </w:t>
      </w:r>
      <w:r>
        <w:rPr/>
        <w:t>publicados</w:t>
      </w:r>
      <w:r>
        <w:rPr>
          <w:spacing w:val="8"/>
        </w:rPr>
        <w:t> </w:t>
      </w:r>
      <w:r>
        <w:rPr/>
        <w:t>los</w:t>
      </w:r>
      <w:r>
        <w:rPr>
          <w:spacing w:val="6"/>
        </w:rPr>
        <w:t> </w:t>
      </w:r>
      <w:r>
        <w:rPr/>
        <w:t>datos</w:t>
      </w:r>
    </w:p>
    <w:p>
      <w:pPr>
        <w:pStyle w:val="BodyText"/>
        <w:spacing w:before="3"/>
        <w:rPr>
          <w:sz w:val="10"/>
        </w:rPr>
      </w:pPr>
    </w:p>
    <w:p>
      <w:pPr>
        <w:pStyle w:val="BodyText"/>
        <w:spacing w:before="60"/>
        <w:ind w:left="8760" w:right="973"/>
        <w:jc w:val="center"/>
      </w:pPr>
      <w:r>
        <w:rPr/>
        <w:t>214</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63" name="image5.png"/>
                  <wp:cNvGraphicFramePr>
                    <a:graphicFrameLocks noChangeAspect="1"/>
                  </wp:cNvGraphicFramePr>
                  <a:graphic>
                    <a:graphicData uri="http://schemas.openxmlformats.org/drawingml/2006/picture">
                      <pic:pic>
                        <pic:nvPicPr>
                          <pic:cNvPr id="46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216/247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46"/>
        <w:jc w:val="both"/>
      </w:pPr>
      <w:r>
        <w:rPr/>
        <w:t>de población del año 2022 a nivel de provincias, pero no por islas, razón por la cual es preciso utilizar los del año 2021.</w:t>
      </w:r>
    </w:p>
    <w:p>
      <w:pPr>
        <w:pStyle w:val="BodyText"/>
        <w:spacing w:before="10"/>
        <w:rPr>
          <w:sz w:val="16"/>
        </w:rPr>
      </w:pPr>
    </w:p>
    <w:p>
      <w:pPr>
        <w:pStyle w:val="BodyText"/>
        <w:ind w:left="2299"/>
        <w:jc w:val="both"/>
      </w:pPr>
      <w:r>
        <w:rPr/>
        <w:t>En consecuencia, no se modifica el contenido del Informe.</w:t>
      </w:r>
    </w:p>
    <w:p>
      <w:pPr>
        <w:pStyle w:val="BodyText"/>
        <w:spacing w:before="8"/>
        <w:rPr>
          <w:sz w:val="16"/>
        </w:rPr>
      </w:pPr>
    </w:p>
    <w:p>
      <w:pPr>
        <w:pStyle w:val="Heading1"/>
        <w:ind w:left="2299"/>
        <w:jc w:val="both"/>
      </w:pPr>
      <w:r>
        <w:rPr/>
        <w:t>Alegación 18: 4.2.1 Balance y cuenta de resultados económico patrimonial.</w:t>
      </w:r>
    </w:p>
    <w:p>
      <w:pPr>
        <w:pStyle w:val="BodyText"/>
        <w:spacing w:before="8"/>
        <w:rPr>
          <w:b/>
          <w:sz w:val="16"/>
        </w:rPr>
      </w:pPr>
    </w:p>
    <w:p>
      <w:pPr>
        <w:spacing w:line="242" w:lineRule="auto" w:before="0"/>
        <w:ind w:left="2299" w:right="1342" w:firstLine="0"/>
        <w:jc w:val="both"/>
        <w:rPr>
          <w:i/>
          <w:sz w:val="20"/>
        </w:rPr>
      </w:pPr>
      <w:r>
        <w:rPr>
          <w:sz w:val="20"/>
        </w:rPr>
        <w:t>Se</w:t>
      </w:r>
      <w:r>
        <w:rPr>
          <w:spacing w:val="-4"/>
          <w:sz w:val="20"/>
        </w:rPr>
        <w:t> </w:t>
      </w:r>
      <w:r>
        <w:rPr>
          <w:sz w:val="20"/>
        </w:rPr>
        <w:t>recoge</w:t>
      </w:r>
      <w:r>
        <w:rPr>
          <w:spacing w:val="-4"/>
          <w:sz w:val="20"/>
        </w:rPr>
        <w:t> </w:t>
      </w:r>
      <w:r>
        <w:rPr>
          <w:sz w:val="20"/>
        </w:rPr>
        <w:t>en</w:t>
      </w:r>
      <w:r>
        <w:rPr>
          <w:spacing w:val="-3"/>
          <w:sz w:val="20"/>
        </w:rPr>
        <w:t> </w:t>
      </w:r>
      <w:r>
        <w:rPr>
          <w:sz w:val="20"/>
        </w:rPr>
        <w:t>el</w:t>
      </w:r>
      <w:r>
        <w:rPr>
          <w:spacing w:val="-6"/>
          <w:sz w:val="20"/>
        </w:rPr>
        <w:t> </w:t>
      </w:r>
      <w:r>
        <w:rPr>
          <w:sz w:val="20"/>
        </w:rPr>
        <w:t>proyecto</w:t>
      </w:r>
      <w:r>
        <w:rPr>
          <w:spacing w:val="-5"/>
          <w:sz w:val="20"/>
        </w:rPr>
        <w:t> </w:t>
      </w:r>
      <w:r>
        <w:rPr>
          <w:sz w:val="20"/>
        </w:rPr>
        <w:t>de</w:t>
      </w:r>
      <w:r>
        <w:rPr>
          <w:spacing w:val="-4"/>
          <w:sz w:val="20"/>
        </w:rPr>
        <w:t> </w:t>
      </w:r>
      <w:r>
        <w:rPr>
          <w:sz w:val="20"/>
        </w:rPr>
        <w:t>informe</w:t>
      </w:r>
      <w:r>
        <w:rPr>
          <w:i/>
          <w:sz w:val="20"/>
        </w:rPr>
        <w:t>:</w:t>
      </w:r>
      <w:r>
        <w:rPr>
          <w:i/>
          <w:spacing w:val="-3"/>
          <w:sz w:val="20"/>
        </w:rPr>
        <w:t> </w:t>
      </w:r>
      <w:r>
        <w:rPr>
          <w:i/>
          <w:sz w:val="20"/>
        </w:rPr>
        <w:t>“Es</w:t>
      </w:r>
      <w:r>
        <w:rPr>
          <w:i/>
          <w:spacing w:val="-6"/>
          <w:sz w:val="20"/>
        </w:rPr>
        <w:t> </w:t>
      </w:r>
      <w:r>
        <w:rPr>
          <w:i/>
          <w:sz w:val="20"/>
        </w:rPr>
        <w:t>preciso</w:t>
      </w:r>
      <w:r>
        <w:rPr>
          <w:i/>
          <w:spacing w:val="-5"/>
          <w:sz w:val="20"/>
        </w:rPr>
        <w:t> </w:t>
      </w:r>
      <w:r>
        <w:rPr>
          <w:i/>
          <w:sz w:val="20"/>
        </w:rPr>
        <w:t>destacar</w:t>
      </w:r>
      <w:r>
        <w:rPr>
          <w:i/>
          <w:spacing w:val="-4"/>
          <w:sz w:val="20"/>
        </w:rPr>
        <w:t> </w:t>
      </w:r>
      <w:r>
        <w:rPr>
          <w:i/>
          <w:sz w:val="20"/>
        </w:rPr>
        <w:t>que</w:t>
      </w:r>
      <w:r>
        <w:rPr>
          <w:i/>
          <w:spacing w:val="-4"/>
          <w:sz w:val="20"/>
        </w:rPr>
        <w:t> </w:t>
      </w:r>
      <w:r>
        <w:rPr>
          <w:i/>
          <w:sz w:val="20"/>
        </w:rPr>
        <w:t>al</w:t>
      </w:r>
      <w:r>
        <w:rPr>
          <w:i/>
          <w:spacing w:val="-3"/>
          <w:sz w:val="20"/>
        </w:rPr>
        <w:t> </w:t>
      </w:r>
      <w:r>
        <w:rPr>
          <w:i/>
          <w:sz w:val="20"/>
        </w:rPr>
        <w:t>cierre</w:t>
      </w:r>
      <w:r>
        <w:rPr>
          <w:i/>
          <w:spacing w:val="-4"/>
          <w:sz w:val="20"/>
        </w:rPr>
        <w:t> </w:t>
      </w:r>
      <w:r>
        <w:rPr>
          <w:i/>
          <w:sz w:val="20"/>
        </w:rPr>
        <w:t>del</w:t>
      </w:r>
      <w:r>
        <w:rPr>
          <w:i/>
          <w:spacing w:val="-3"/>
          <w:sz w:val="20"/>
        </w:rPr>
        <w:t> </w:t>
      </w:r>
      <w:r>
        <w:rPr>
          <w:i/>
          <w:sz w:val="20"/>
        </w:rPr>
        <w:t>ejercicio</w:t>
      </w:r>
      <w:r>
        <w:rPr>
          <w:i/>
          <w:spacing w:val="-5"/>
          <w:sz w:val="20"/>
        </w:rPr>
        <w:t> </w:t>
      </w:r>
      <w:r>
        <w:rPr>
          <w:i/>
          <w:sz w:val="20"/>
        </w:rPr>
        <w:t>2022 </w:t>
      </w:r>
      <w:r>
        <w:rPr>
          <w:i/>
          <w:sz w:val="20"/>
        </w:rPr>
        <w:t>el saldo de la cuenta 413 “Acreedores por operaciones Devengadas” supuso un incremento respecto al ejercicio anterior del 44 %, pasando de 131,8 millones de € a 189,8 millones de €; el detalle por secciones y capítulos es el siguiente (a continuación esa Audiencia inserta Tabla).</w:t>
      </w:r>
      <w:r>
        <w:rPr>
          <w:i/>
          <w:spacing w:val="-1"/>
          <w:sz w:val="20"/>
        </w:rPr>
        <w:t> </w:t>
      </w:r>
      <w:r>
        <w:rPr>
          <w:i/>
          <w:sz w:val="20"/>
        </w:rPr>
        <w:t>“</w:t>
      </w:r>
    </w:p>
    <w:p>
      <w:pPr>
        <w:pStyle w:val="BodyText"/>
        <w:spacing w:before="5"/>
        <w:rPr>
          <w:i/>
          <w:sz w:val="16"/>
        </w:rPr>
      </w:pPr>
    </w:p>
    <w:p>
      <w:pPr>
        <w:pStyle w:val="BodyText"/>
        <w:ind w:left="2299" w:right="1344"/>
        <w:jc w:val="both"/>
      </w:pPr>
      <w:r>
        <w:rPr>
          <w:b/>
        </w:rPr>
        <w:t>Resumen: </w:t>
      </w:r>
      <w:r>
        <w:rPr/>
        <w:t>Las alegaciones formuladas por la IGCAC señalan que en la Memoria de la Cuenta General (notas 23.7 y 15), se explican los hechos que han propiciado el incremento del 44%, del ejercicio 2022 respecto del 2021, del saldo de la cuenta 413 “Acreedores por operaciones Devengadas”</w:t>
      </w:r>
    </w:p>
    <w:p>
      <w:pPr>
        <w:pStyle w:val="BodyText"/>
        <w:rPr>
          <w:sz w:val="17"/>
        </w:rPr>
      </w:pPr>
    </w:p>
    <w:p>
      <w:pPr>
        <w:pStyle w:val="BodyText"/>
        <w:ind w:left="2299" w:right="1346"/>
        <w:jc w:val="both"/>
      </w:pPr>
      <w:r>
        <w:rPr>
          <w:b/>
        </w:rPr>
        <w:t>Contestación: </w:t>
      </w:r>
      <w:r>
        <w:rPr/>
        <w:t>La información aportada por la IGCAC no aporta ningún dato que justifique la modificación del contenido del Informe.</w:t>
      </w:r>
    </w:p>
    <w:p>
      <w:pPr>
        <w:pStyle w:val="BodyText"/>
        <w:spacing w:before="10"/>
        <w:rPr>
          <w:sz w:val="16"/>
        </w:rPr>
      </w:pPr>
    </w:p>
    <w:p>
      <w:pPr>
        <w:pStyle w:val="BodyText"/>
        <w:ind w:left="2299"/>
        <w:jc w:val="both"/>
      </w:pPr>
      <w:r>
        <w:rPr/>
        <w:t>En consecuencia, no se modifica el contenido del Informe.</w:t>
      </w:r>
    </w:p>
    <w:p>
      <w:pPr>
        <w:pStyle w:val="BodyText"/>
        <w:spacing w:before="8"/>
        <w:rPr>
          <w:sz w:val="16"/>
        </w:rPr>
      </w:pPr>
    </w:p>
    <w:p>
      <w:pPr>
        <w:pStyle w:val="Heading1"/>
        <w:ind w:left="2299"/>
        <w:jc w:val="both"/>
      </w:pPr>
      <w:r>
        <w:rPr/>
        <w:t>Alegación 19: 4.2.1. Cuenta de Resultados.</w:t>
      </w:r>
    </w:p>
    <w:p>
      <w:pPr>
        <w:pStyle w:val="BodyText"/>
        <w:spacing w:before="8"/>
        <w:rPr>
          <w:b/>
          <w:sz w:val="16"/>
        </w:rPr>
      </w:pPr>
    </w:p>
    <w:p>
      <w:pPr>
        <w:pStyle w:val="BodyText"/>
        <w:ind w:left="2299" w:right="1348"/>
        <w:jc w:val="both"/>
      </w:pPr>
      <w:r>
        <w:rPr>
          <w:b/>
        </w:rPr>
        <w:t>Resumen: </w:t>
      </w:r>
      <w:r>
        <w:rPr/>
        <w:t>Se señalan diversas causas por las que se han reducido las pérdidas de 2022 respecto del 2021.</w:t>
      </w:r>
    </w:p>
    <w:p>
      <w:pPr>
        <w:pStyle w:val="BodyText"/>
        <w:spacing w:before="10"/>
        <w:rPr>
          <w:sz w:val="16"/>
        </w:rPr>
      </w:pPr>
    </w:p>
    <w:p>
      <w:pPr>
        <w:pStyle w:val="BodyText"/>
        <w:ind w:left="2299" w:right="1346"/>
        <w:jc w:val="both"/>
      </w:pPr>
      <w:r>
        <w:rPr>
          <w:b/>
        </w:rPr>
        <w:t>Contestación: </w:t>
      </w:r>
      <w:r>
        <w:rPr/>
        <w:t>La información aportada por la IGCAC no aporta ningún dato que justifique la modificación del contenido del Informe.</w:t>
      </w:r>
    </w:p>
    <w:p>
      <w:pPr>
        <w:pStyle w:val="BodyText"/>
        <w:spacing w:before="9"/>
        <w:rPr>
          <w:sz w:val="16"/>
        </w:rPr>
      </w:pPr>
    </w:p>
    <w:p>
      <w:pPr>
        <w:pStyle w:val="BodyText"/>
        <w:ind w:left="2299"/>
        <w:jc w:val="both"/>
      </w:pPr>
      <w:r>
        <w:rPr/>
        <w:t>En consecuencia, no se modifica el contenido del Informe.</w:t>
      </w:r>
    </w:p>
    <w:p>
      <w:pPr>
        <w:pStyle w:val="BodyText"/>
        <w:spacing w:before="10"/>
        <w:rPr>
          <w:sz w:val="16"/>
        </w:rPr>
      </w:pPr>
    </w:p>
    <w:p>
      <w:pPr>
        <w:pStyle w:val="Heading1"/>
        <w:ind w:left="2299"/>
        <w:jc w:val="both"/>
      </w:pPr>
      <w:r>
        <w:rPr/>
        <w:t>Alegación 20: 4.2.3. Remanente de Tesorería.</w:t>
      </w:r>
    </w:p>
    <w:p>
      <w:pPr>
        <w:pStyle w:val="BodyText"/>
        <w:spacing w:before="8"/>
        <w:rPr>
          <w:b/>
          <w:sz w:val="16"/>
        </w:rPr>
      </w:pPr>
    </w:p>
    <w:p>
      <w:pPr>
        <w:pStyle w:val="BodyText"/>
        <w:spacing w:line="242" w:lineRule="auto"/>
        <w:ind w:left="2299" w:right="1342"/>
        <w:jc w:val="both"/>
      </w:pPr>
      <w:r>
        <w:rPr>
          <w:b/>
        </w:rPr>
        <w:t>Resumen: </w:t>
      </w:r>
      <w:r>
        <w:rPr/>
        <w:t>Explica la alegación formulada que para evitar posibles duplicidades en el cálculo del Remanente de Tesorería se crea la cuenta 4130000001 “Acreedores por operaciones devengadas Documentos Probatorios Equivalentes (Excesos Financiación afectada)”. Así mismo, la Resolución nº 169, de 8 de marzo de 2022, de la Intervención General, por la que se aprueba la instrucción de contabilidad por la que se establece el criterio para el cálculo de los gastos con financiación afectada, a los efectos de determinar el Resultado Presupuestario del ejercicio y el Remanente de Tesorería, determinó la exclusión de la citada cuenta en el cómputo para el cálculo del Remanente de Tesorería de Libre Disposición.</w:t>
      </w:r>
    </w:p>
    <w:p>
      <w:pPr>
        <w:pStyle w:val="BodyText"/>
        <w:spacing w:before="20"/>
        <w:ind w:left="8760" w:right="973"/>
        <w:jc w:val="center"/>
      </w:pPr>
      <w:r>
        <w:rPr/>
        <w:t>215</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65" name="image5.png"/>
                  <wp:cNvGraphicFramePr>
                    <a:graphicFrameLocks noChangeAspect="1"/>
                  </wp:cNvGraphicFramePr>
                  <a:graphic>
                    <a:graphicData uri="http://schemas.openxmlformats.org/drawingml/2006/picture">
                      <pic:pic>
                        <pic:nvPicPr>
                          <pic:cNvPr id="46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217/247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42"/>
        <w:jc w:val="both"/>
      </w:pPr>
      <w:r>
        <w:rPr>
          <w:b/>
        </w:rPr>
        <w:t>Contestación: </w:t>
      </w:r>
      <w:r>
        <w:rPr/>
        <w:t>Es acertada la alegación de la IGCAC, pues de computarse para el cálculo del Remanente de Tesorería de Libre Disposición, el saldo de la cuenta 4130000001, se produciría una duplicidad que desvirtuaría el citado cálculo.</w:t>
      </w:r>
    </w:p>
    <w:p>
      <w:pPr>
        <w:pStyle w:val="BodyText"/>
        <w:spacing w:before="12"/>
        <w:rPr>
          <w:sz w:val="16"/>
        </w:rPr>
      </w:pPr>
    </w:p>
    <w:p>
      <w:pPr>
        <w:pStyle w:val="BodyText"/>
        <w:ind w:left="2299" w:right="1345"/>
        <w:jc w:val="both"/>
      </w:pPr>
      <w:r>
        <w:rPr/>
        <w:t>En consecuencia, se procede a modificar el párrafo que figura, al final del cuadro, de la página 36 del Proyecto de Informe, sustituyéndolo por el siguiente literal:</w:t>
      </w:r>
    </w:p>
    <w:p>
      <w:pPr>
        <w:pStyle w:val="BodyText"/>
        <w:spacing w:before="9"/>
        <w:rPr>
          <w:sz w:val="16"/>
        </w:rPr>
      </w:pPr>
    </w:p>
    <w:p>
      <w:pPr>
        <w:spacing w:line="242" w:lineRule="auto" w:before="0"/>
        <w:ind w:left="2299" w:right="1344" w:firstLine="0"/>
        <w:jc w:val="both"/>
        <w:rPr>
          <w:i/>
          <w:sz w:val="20"/>
        </w:rPr>
      </w:pPr>
      <w:r>
        <w:rPr>
          <w:i/>
          <w:sz w:val="20"/>
        </w:rPr>
        <w:t>“Se han identificado las cuentas del balance (deudoras o acreedoras) que no forman </w:t>
      </w:r>
      <w:r>
        <w:rPr>
          <w:i/>
          <w:sz w:val="20"/>
        </w:rPr>
        <w:t>parte del cálculo del Remanente de Tesorería. Entre ellas destaca la 4130000001 “Acreedores por operaciones devengadas Documentos Probatorios Equivalentes (Excesos Financiación afectada)”, con un saldo de -26,8 millones de €, que no forma parte</w:t>
      </w:r>
      <w:r>
        <w:rPr>
          <w:i/>
          <w:spacing w:val="-6"/>
          <w:sz w:val="20"/>
        </w:rPr>
        <w:t> </w:t>
      </w:r>
      <w:r>
        <w:rPr>
          <w:i/>
          <w:sz w:val="20"/>
        </w:rPr>
        <w:t>del</w:t>
      </w:r>
      <w:r>
        <w:rPr>
          <w:i/>
          <w:spacing w:val="-8"/>
          <w:sz w:val="20"/>
        </w:rPr>
        <w:t> </w:t>
      </w:r>
      <w:r>
        <w:rPr>
          <w:i/>
          <w:sz w:val="20"/>
        </w:rPr>
        <w:t>cálculo</w:t>
      </w:r>
      <w:r>
        <w:rPr>
          <w:i/>
          <w:spacing w:val="-6"/>
          <w:sz w:val="20"/>
        </w:rPr>
        <w:t> </w:t>
      </w:r>
      <w:r>
        <w:rPr>
          <w:i/>
          <w:sz w:val="20"/>
        </w:rPr>
        <w:t>del</w:t>
      </w:r>
      <w:r>
        <w:rPr>
          <w:i/>
          <w:spacing w:val="-6"/>
          <w:sz w:val="20"/>
        </w:rPr>
        <w:t> </w:t>
      </w:r>
      <w:r>
        <w:rPr>
          <w:i/>
          <w:sz w:val="20"/>
        </w:rPr>
        <w:t>RT,</w:t>
      </w:r>
      <w:r>
        <w:rPr>
          <w:i/>
          <w:spacing w:val="-8"/>
          <w:sz w:val="20"/>
        </w:rPr>
        <w:t> </w:t>
      </w:r>
      <w:r>
        <w:rPr>
          <w:i/>
          <w:sz w:val="20"/>
        </w:rPr>
        <w:t>pues</w:t>
      </w:r>
      <w:r>
        <w:rPr>
          <w:i/>
          <w:spacing w:val="-5"/>
          <w:sz w:val="20"/>
        </w:rPr>
        <w:t> </w:t>
      </w:r>
      <w:r>
        <w:rPr>
          <w:i/>
          <w:sz w:val="20"/>
        </w:rPr>
        <w:t>se</w:t>
      </w:r>
      <w:r>
        <w:rPr>
          <w:i/>
          <w:spacing w:val="-8"/>
          <w:sz w:val="20"/>
        </w:rPr>
        <w:t> </w:t>
      </w:r>
      <w:r>
        <w:rPr>
          <w:i/>
          <w:sz w:val="20"/>
        </w:rPr>
        <w:t>trata</w:t>
      </w:r>
      <w:r>
        <w:rPr>
          <w:i/>
          <w:spacing w:val="-9"/>
          <w:sz w:val="20"/>
        </w:rPr>
        <w:t> </w:t>
      </w:r>
      <w:r>
        <w:rPr>
          <w:i/>
          <w:sz w:val="20"/>
        </w:rPr>
        <w:t>de</w:t>
      </w:r>
      <w:r>
        <w:rPr>
          <w:i/>
          <w:spacing w:val="-5"/>
          <w:sz w:val="20"/>
        </w:rPr>
        <w:t> </w:t>
      </w:r>
      <w:r>
        <w:rPr>
          <w:i/>
          <w:sz w:val="20"/>
        </w:rPr>
        <w:t>una</w:t>
      </w:r>
      <w:r>
        <w:rPr>
          <w:i/>
          <w:spacing w:val="-7"/>
          <w:sz w:val="20"/>
        </w:rPr>
        <w:t> </w:t>
      </w:r>
      <w:r>
        <w:rPr>
          <w:i/>
          <w:sz w:val="20"/>
        </w:rPr>
        <w:t>cuenta</w:t>
      </w:r>
      <w:r>
        <w:rPr>
          <w:i/>
          <w:spacing w:val="-7"/>
          <w:sz w:val="20"/>
        </w:rPr>
        <w:t> </w:t>
      </w:r>
      <w:r>
        <w:rPr>
          <w:i/>
          <w:sz w:val="20"/>
        </w:rPr>
        <w:t>creada</w:t>
      </w:r>
      <w:r>
        <w:rPr>
          <w:i/>
          <w:spacing w:val="-6"/>
          <w:sz w:val="20"/>
        </w:rPr>
        <w:t> </w:t>
      </w:r>
      <w:r>
        <w:rPr>
          <w:i/>
          <w:sz w:val="20"/>
        </w:rPr>
        <w:t>para</w:t>
      </w:r>
      <w:r>
        <w:rPr>
          <w:i/>
          <w:spacing w:val="-8"/>
          <w:sz w:val="20"/>
        </w:rPr>
        <w:t> </w:t>
      </w:r>
      <w:r>
        <w:rPr>
          <w:i/>
          <w:sz w:val="20"/>
        </w:rPr>
        <w:t>reflejar</w:t>
      </w:r>
      <w:r>
        <w:rPr>
          <w:i/>
          <w:spacing w:val="-7"/>
          <w:sz w:val="20"/>
        </w:rPr>
        <w:t> </w:t>
      </w:r>
      <w:r>
        <w:rPr>
          <w:i/>
          <w:sz w:val="20"/>
        </w:rPr>
        <w:t>las</w:t>
      </w:r>
      <w:r>
        <w:rPr>
          <w:i/>
          <w:spacing w:val="-7"/>
          <w:sz w:val="20"/>
        </w:rPr>
        <w:t> </w:t>
      </w:r>
      <w:r>
        <w:rPr>
          <w:i/>
          <w:sz w:val="20"/>
        </w:rPr>
        <w:t>desviaciones positivas de financiación afectada, que no se computa en el cálculo del Remanente de Tesorería de Libre Disposición, a fin de evitar una duplicidad en el ajuste, tal como se establece por la Resolución nº 169, de 8 de marzo de 2022, de la Intervención General, por la que se aprueba la instrucción de contabilidad por la que se establece el criterio para el cálculo de los gastos con financiación afectada, a los efectos de determinar el Resultado Presupuestario del ejercicio y el Remanente de</w:t>
      </w:r>
      <w:r>
        <w:rPr>
          <w:i/>
          <w:spacing w:val="6"/>
          <w:sz w:val="20"/>
        </w:rPr>
        <w:t> </w:t>
      </w:r>
      <w:r>
        <w:rPr>
          <w:i/>
          <w:sz w:val="20"/>
        </w:rPr>
        <w:t>Tesorería.”</w:t>
      </w:r>
    </w:p>
    <w:p>
      <w:pPr>
        <w:pStyle w:val="BodyText"/>
        <w:spacing w:before="1"/>
        <w:rPr>
          <w:i/>
          <w:sz w:val="16"/>
        </w:rPr>
      </w:pPr>
    </w:p>
    <w:p>
      <w:pPr>
        <w:pStyle w:val="Heading1"/>
        <w:ind w:left="2299" w:right="1347"/>
        <w:jc w:val="both"/>
      </w:pPr>
      <w:r>
        <w:rPr/>
        <w:t>Alegación 21: 4.2.3. Evolución del Remanente de Tesorería de libre disposición de la APCAC. Previsión de ingresos de 85 millones de € como Remanente de Tesorería no afectado.</w:t>
      </w:r>
    </w:p>
    <w:p>
      <w:pPr>
        <w:pStyle w:val="BodyText"/>
        <w:spacing w:before="11"/>
        <w:rPr>
          <w:b/>
          <w:sz w:val="16"/>
        </w:rPr>
      </w:pPr>
    </w:p>
    <w:p>
      <w:pPr>
        <w:pStyle w:val="BodyText"/>
        <w:spacing w:line="242" w:lineRule="auto"/>
        <w:ind w:left="2299" w:right="1342"/>
        <w:jc w:val="both"/>
      </w:pPr>
      <w:r>
        <w:rPr>
          <w:b/>
        </w:rPr>
        <w:t>Resumen: </w:t>
      </w:r>
      <w:r>
        <w:rPr/>
        <w:t>Informan que dicha cantidad se trataba de una estimación derivada de los superávits presupuestarios generados en ejercicios precedentes, donde si bien el remanente</w:t>
      </w:r>
      <w:r>
        <w:rPr>
          <w:spacing w:val="-11"/>
        </w:rPr>
        <w:t> </w:t>
      </w:r>
      <w:r>
        <w:rPr/>
        <w:t>no</w:t>
      </w:r>
      <w:r>
        <w:rPr>
          <w:spacing w:val="-11"/>
        </w:rPr>
        <w:t> </w:t>
      </w:r>
      <w:r>
        <w:rPr/>
        <w:t>afectado</w:t>
      </w:r>
      <w:r>
        <w:rPr>
          <w:spacing w:val="-12"/>
        </w:rPr>
        <w:t> </w:t>
      </w:r>
      <w:r>
        <w:rPr>
          <w:spacing w:val="-2"/>
        </w:rPr>
        <w:t>era</w:t>
      </w:r>
      <w:r>
        <w:rPr>
          <w:spacing w:val="-11"/>
        </w:rPr>
        <w:t> </w:t>
      </w:r>
      <w:r>
        <w:rPr/>
        <w:t>negativo</w:t>
      </w:r>
      <w:r>
        <w:rPr>
          <w:spacing w:val="-12"/>
        </w:rPr>
        <w:t> </w:t>
      </w:r>
      <w:r>
        <w:rPr/>
        <w:t>para</w:t>
      </w:r>
      <w:r>
        <w:rPr>
          <w:spacing w:val="-13"/>
        </w:rPr>
        <w:t> </w:t>
      </w:r>
      <w:r>
        <w:rPr/>
        <w:t>la</w:t>
      </w:r>
      <w:r>
        <w:rPr>
          <w:spacing w:val="-11"/>
        </w:rPr>
        <w:t> </w:t>
      </w:r>
      <w:r>
        <w:rPr/>
        <w:t>CAC,</w:t>
      </w:r>
      <w:r>
        <w:rPr>
          <w:spacing w:val="-10"/>
        </w:rPr>
        <w:t> </w:t>
      </w:r>
      <w:r>
        <w:rPr/>
        <w:t>no</w:t>
      </w:r>
      <w:r>
        <w:rPr>
          <w:spacing w:val="-11"/>
        </w:rPr>
        <w:t> </w:t>
      </w:r>
      <w:r>
        <w:rPr/>
        <w:t>lo</w:t>
      </w:r>
      <w:r>
        <w:rPr>
          <w:spacing w:val="-10"/>
        </w:rPr>
        <w:t> </w:t>
      </w:r>
      <w:r>
        <w:rPr/>
        <w:t>era</w:t>
      </w:r>
      <w:r>
        <w:rPr>
          <w:spacing w:val="-11"/>
        </w:rPr>
        <w:t> </w:t>
      </w:r>
      <w:r>
        <w:rPr/>
        <w:t>para</w:t>
      </w:r>
      <w:r>
        <w:rPr>
          <w:spacing w:val="-11"/>
        </w:rPr>
        <w:t> </w:t>
      </w:r>
      <w:r>
        <w:rPr/>
        <w:t>el</w:t>
      </w:r>
      <w:r>
        <w:rPr>
          <w:spacing w:val="-12"/>
        </w:rPr>
        <w:t> </w:t>
      </w:r>
      <w:r>
        <w:rPr/>
        <w:t>resto</w:t>
      </w:r>
      <w:r>
        <w:rPr>
          <w:spacing w:val="-13"/>
        </w:rPr>
        <w:t> </w:t>
      </w:r>
      <w:r>
        <w:rPr/>
        <w:t>de</w:t>
      </w:r>
      <w:r>
        <w:rPr>
          <w:spacing w:val="-10"/>
        </w:rPr>
        <w:t> </w:t>
      </w:r>
      <w:r>
        <w:rPr/>
        <w:t>entes</w:t>
      </w:r>
      <w:r>
        <w:rPr>
          <w:spacing w:val="-11"/>
        </w:rPr>
        <w:t> </w:t>
      </w:r>
      <w:r>
        <w:rPr/>
        <w:t>públicos de la CAC (OOAA, Entidades Públicas y Consorcios). </w:t>
      </w:r>
      <w:r>
        <w:rPr>
          <w:spacing w:val="-3"/>
        </w:rPr>
        <w:t>También </w:t>
      </w:r>
      <w:r>
        <w:rPr/>
        <w:t>indican que se han materializado 83.813.660,28 € en devoluciones a la CAC por los remanentes de libre disposición</w:t>
      </w:r>
      <w:r>
        <w:rPr>
          <w:spacing w:val="-7"/>
        </w:rPr>
        <w:t> </w:t>
      </w:r>
      <w:r>
        <w:rPr/>
        <w:t>del</w:t>
      </w:r>
      <w:r>
        <w:rPr>
          <w:spacing w:val="-7"/>
        </w:rPr>
        <w:t> </w:t>
      </w:r>
      <w:r>
        <w:rPr/>
        <w:t>SCE</w:t>
      </w:r>
      <w:r>
        <w:rPr>
          <w:spacing w:val="-8"/>
        </w:rPr>
        <w:t> </w:t>
      </w:r>
      <w:r>
        <w:rPr/>
        <w:t>y</w:t>
      </w:r>
      <w:r>
        <w:rPr>
          <w:spacing w:val="-7"/>
        </w:rPr>
        <w:t> </w:t>
      </w:r>
      <w:r>
        <w:rPr/>
        <w:t>la</w:t>
      </w:r>
      <w:r>
        <w:rPr>
          <w:spacing w:val="-7"/>
        </w:rPr>
        <w:t> </w:t>
      </w:r>
      <w:r>
        <w:rPr>
          <w:spacing w:val="-6"/>
        </w:rPr>
        <w:t>ATC,</w:t>
      </w:r>
      <w:r>
        <w:rPr>
          <w:spacing w:val="-7"/>
        </w:rPr>
        <w:t> </w:t>
      </w:r>
      <w:r>
        <w:rPr/>
        <w:t>habiendo</w:t>
      </w:r>
      <w:r>
        <w:rPr>
          <w:spacing w:val="-6"/>
        </w:rPr>
        <w:t> </w:t>
      </w:r>
      <w:r>
        <w:rPr/>
        <w:t>sido</w:t>
      </w:r>
      <w:r>
        <w:rPr>
          <w:spacing w:val="-9"/>
        </w:rPr>
        <w:t> </w:t>
      </w:r>
      <w:r>
        <w:rPr/>
        <w:t>esta</w:t>
      </w:r>
      <w:r>
        <w:rPr>
          <w:spacing w:val="-7"/>
        </w:rPr>
        <w:t> </w:t>
      </w:r>
      <w:r>
        <w:rPr/>
        <w:t>cifra</w:t>
      </w:r>
      <w:r>
        <w:rPr>
          <w:spacing w:val="-6"/>
        </w:rPr>
        <w:t> </w:t>
      </w:r>
      <w:r>
        <w:rPr/>
        <w:t>reflejada</w:t>
      </w:r>
      <w:r>
        <w:rPr>
          <w:spacing w:val="-7"/>
        </w:rPr>
        <w:t> </w:t>
      </w:r>
      <w:r>
        <w:rPr/>
        <w:t>en</w:t>
      </w:r>
      <w:r>
        <w:rPr>
          <w:spacing w:val="-8"/>
        </w:rPr>
        <w:t> </w:t>
      </w:r>
      <w:r>
        <w:rPr/>
        <w:t>el</w:t>
      </w:r>
      <w:r>
        <w:rPr>
          <w:spacing w:val="-6"/>
        </w:rPr>
        <w:t> </w:t>
      </w:r>
      <w:r>
        <w:rPr/>
        <w:t>cálculo</w:t>
      </w:r>
      <w:r>
        <w:rPr>
          <w:spacing w:val="-9"/>
        </w:rPr>
        <w:t> </w:t>
      </w:r>
      <w:r>
        <w:rPr/>
        <w:t>del</w:t>
      </w:r>
      <w:r>
        <w:rPr>
          <w:spacing w:val="-7"/>
        </w:rPr>
        <w:t> </w:t>
      </w:r>
      <w:r>
        <w:rPr/>
        <w:t>Resultado Presupuestario como ajuste en positivo para el cálculo del Resultado Presupuestario Ajustado (al tratarse de Obligaciones Reconocidas que no han sido financiadas con los derechos reconocidos de los capítulos 1-9, sino con Remanente de tesorería positivo obtenido en la liquidación de los presupuestos del ejercicio</w:t>
      </w:r>
      <w:r>
        <w:rPr>
          <w:spacing w:val="1"/>
        </w:rPr>
        <w:t> </w:t>
      </w:r>
      <w:r>
        <w:rPr/>
        <w:t>anterior).</w:t>
      </w:r>
    </w:p>
    <w:p>
      <w:pPr>
        <w:pStyle w:val="BodyText"/>
        <w:spacing w:before="1"/>
        <w:rPr>
          <w:sz w:val="16"/>
        </w:rPr>
      </w:pPr>
    </w:p>
    <w:p>
      <w:pPr>
        <w:pStyle w:val="BodyText"/>
        <w:ind w:left="2299"/>
        <w:jc w:val="both"/>
      </w:pPr>
      <w:r>
        <w:rPr>
          <w:b/>
        </w:rPr>
        <w:t>Contestación: </w:t>
      </w:r>
      <w:r>
        <w:rPr/>
        <w:t>No se comparte la opinión de la IG por diversos motivos.</w:t>
      </w:r>
    </w:p>
    <w:p>
      <w:pPr>
        <w:pStyle w:val="BodyText"/>
        <w:spacing w:before="8"/>
        <w:rPr>
          <w:sz w:val="16"/>
        </w:rPr>
      </w:pPr>
    </w:p>
    <w:p>
      <w:pPr>
        <w:pStyle w:val="BodyText"/>
        <w:ind w:left="2299" w:right="1344"/>
        <w:jc w:val="both"/>
      </w:pPr>
      <w:r>
        <w:rPr/>
        <w:t>En primer lugar, la presupuestación de remanente de tesorería no afectado no puede ampararse en estimaciones sin una base sólida de análisis, pues el remanente de tesorería de libre disposición de la CAC, del ejercicio 2021, presentaba una cifra en negativo de 498,8 millones de €, y el agregado con los OOAA, Entidades Públicas y Consorcios también es negativo en 64,3 millones de €.</w:t>
      </w:r>
    </w:p>
    <w:p>
      <w:pPr>
        <w:pStyle w:val="BodyText"/>
        <w:spacing w:before="3"/>
        <w:rPr>
          <w:sz w:val="17"/>
        </w:rPr>
      </w:pPr>
    </w:p>
    <w:p>
      <w:pPr>
        <w:pStyle w:val="BodyText"/>
        <w:ind w:left="2150" w:right="1347"/>
        <w:jc w:val="right"/>
      </w:pPr>
      <w:r>
        <w:rPr/>
        <w:t>En   segundo   </w:t>
      </w:r>
      <w:r>
        <w:rPr>
          <w:spacing w:val="-4"/>
        </w:rPr>
        <w:t>lugar,   </w:t>
      </w:r>
      <w:r>
        <w:rPr/>
        <w:t>las  cantidades   ingresadas  por   el  SCE   y   la  </w:t>
      </w:r>
      <w:r>
        <w:rPr>
          <w:spacing w:val="-7"/>
        </w:rPr>
        <w:t>ATC </w:t>
      </w:r>
      <w:r>
        <w:rPr>
          <w:spacing w:val="31"/>
        </w:rPr>
        <w:t> </w:t>
      </w:r>
      <w:r>
        <w:rPr/>
        <w:t>debieron  </w:t>
      </w:r>
      <w:r>
        <w:rPr>
          <w:spacing w:val="17"/>
        </w:rPr>
        <w:t> </w:t>
      </w:r>
      <w:r>
        <w:rPr/>
        <w:t>ser</w:t>
      </w:r>
    </w:p>
    <w:p>
      <w:pPr>
        <w:pStyle w:val="BodyText"/>
        <w:spacing w:before="52"/>
        <w:ind w:left="2150" w:right="1340"/>
        <w:jc w:val="right"/>
      </w:pPr>
      <w:r>
        <w:rPr/>
        <w:t>216</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67" name="image5.png"/>
                  <wp:cNvGraphicFramePr>
                    <a:graphicFrameLocks noChangeAspect="1"/>
                  </wp:cNvGraphicFramePr>
                  <a:graphic>
                    <a:graphicData uri="http://schemas.openxmlformats.org/drawingml/2006/picture">
                      <pic:pic>
                        <pic:nvPicPr>
                          <pic:cNvPr id="46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218/247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jc w:val="both"/>
      </w:pPr>
      <w:r>
        <w:rPr/>
        <w:t>contabilizados como una modificación de crédito por analogía a lo establecido el artículo</w:t>
      </w:r>
    </w:p>
    <w:p>
      <w:pPr>
        <w:pStyle w:val="BodyText"/>
        <w:spacing w:before="2"/>
        <w:ind w:left="2299" w:right="1263"/>
      </w:pPr>
      <w:r>
        <w:rPr/>
        <w:t>55.2.e de la LHPC “podrán dar lugar a generaciones de crédito los ingresos realizados en el propio ejercicio como consecuencia de devolución de aportaciones patrimoniales”</w:t>
      </w:r>
    </w:p>
    <w:p>
      <w:pPr>
        <w:pStyle w:val="BodyText"/>
        <w:spacing w:before="10"/>
        <w:rPr>
          <w:sz w:val="16"/>
        </w:rPr>
      </w:pPr>
    </w:p>
    <w:p>
      <w:pPr>
        <w:pStyle w:val="BodyText"/>
        <w:ind w:left="2299" w:right="1345"/>
        <w:jc w:val="both"/>
      </w:pPr>
      <w:r>
        <w:rPr/>
        <w:t>Y para </w:t>
      </w:r>
      <w:r>
        <w:rPr>
          <w:spacing w:val="-3"/>
        </w:rPr>
        <w:t>finalizar, </w:t>
      </w:r>
      <w:r>
        <w:rPr/>
        <w:t>el importe de devoluciones de ambos OOAA no es de 83.813.660,28 €, sino de 93.813.660,28 €, es </w:t>
      </w:r>
      <w:r>
        <w:rPr>
          <w:spacing w:val="-4"/>
        </w:rPr>
        <w:t>decir, </w:t>
      </w:r>
      <w:r>
        <w:rPr/>
        <w:t>10 millones más (48.813.660,28 devueltos por el SCE y 45.000.000,00 devueltos por la </w:t>
      </w:r>
      <w:r>
        <w:rPr>
          <w:spacing w:val="-5"/>
        </w:rPr>
        <w:t>ATC).</w:t>
      </w:r>
    </w:p>
    <w:p>
      <w:pPr>
        <w:pStyle w:val="BodyText"/>
        <w:spacing w:before="11"/>
        <w:rPr>
          <w:sz w:val="16"/>
        </w:rPr>
      </w:pPr>
    </w:p>
    <w:p>
      <w:pPr>
        <w:pStyle w:val="BodyText"/>
        <w:ind w:left="2299" w:right="1346"/>
        <w:jc w:val="both"/>
      </w:pPr>
      <w:r>
        <w:rPr/>
        <w:t>Este error puede haber conllevado que la cifra recogida en el resultado presupuestario ajustado sea errónea.</w:t>
      </w:r>
    </w:p>
    <w:p>
      <w:pPr>
        <w:pStyle w:val="BodyText"/>
        <w:rPr>
          <w:sz w:val="17"/>
        </w:rPr>
      </w:pPr>
    </w:p>
    <w:p>
      <w:pPr>
        <w:pStyle w:val="BodyText"/>
        <w:ind w:left="2299"/>
        <w:jc w:val="both"/>
      </w:pPr>
      <w:r>
        <w:rPr/>
        <w:t>Por tanto, no modifica el proyecto de informe.</w:t>
      </w:r>
    </w:p>
    <w:p>
      <w:pPr>
        <w:pStyle w:val="BodyText"/>
        <w:spacing w:before="8"/>
        <w:rPr>
          <w:sz w:val="16"/>
        </w:rPr>
      </w:pPr>
    </w:p>
    <w:p>
      <w:pPr>
        <w:pStyle w:val="Heading1"/>
        <w:ind w:left="2299"/>
        <w:jc w:val="both"/>
      </w:pPr>
      <w:r>
        <w:rPr/>
        <w:t>Alegación 22: 4.2.8 Liquidación del presupuesto de ingresos.</w:t>
      </w:r>
    </w:p>
    <w:p>
      <w:pPr>
        <w:pStyle w:val="BodyText"/>
        <w:spacing w:before="7"/>
        <w:rPr>
          <w:b/>
          <w:sz w:val="16"/>
        </w:rPr>
      </w:pPr>
    </w:p>
    <w:p>
      <w:pPr>
        <w:pStyle w:val="BodyText"/>
        <w:spacing w:before="1"/>
        <w:ind w:left="2299" w:right="1345"/>
        <w:jc w:val="both"/>
      </w:pPr>
      <w:r>
        <w:rPr>
          <w:b/>
        </w:rPr>
        <w:t>Resumen: </w:t>
      </w:r>
      <w:r>
        <w:rPr/>
        <w:t>En el Proyecto de Informe se recoge que los derechos reconocidos netos de las transferencias de capital de la Administración del Estado incrementaron con respecto al 2019 en un 366,76%, y el pendiente de cobro lo hizo en un 940,12%.</w:t>
      </w:r>
    </w:p>
    <w:p>
      <w:pPr>
        <w:pStyle w:val="BodyText"/>
        <w:spacing w:before="11"/>
        <w:rPr>
          <w:sz w:val="16"/>
        </w:rPr>
      </w:pPr>
    </w:p>
    <w:p>
      <w:pPr>
        <w:pStyle w:val="BodyText"/>
        <w:spacing w:line="242" w:lineRule="auto"/>
        <w:ind w:left="2299" w:right="1341"/>
        <w:jc w:val="both"/>
      </w:pPr>
      <w:r>
        <w:rPr/>
        <w:t>La Intervención General alega que el análisis que se presenta de las transferencias corrientes y de capital, debería de motivarse con las fechas efectivas de pago de las citadas transferencias y que se registran como derechos en el presupuesto de ingresos del ejercicio 2022, siendo las más significativas tal y como se recoge en la nota 15 de la Memoria de la Cuenta General de la CAC, apartado 4, las siguientes:</w:t>
      </w:r>
    </w:p>
    <w:p>
      <w:pPr>
        <w:pStyle w:val="BodyText"/>
        <w:spacing w:before="5"/>
        <w:rPr>
          <w:sz w:val="16"/>
        </w:rPr>
      </w:pPr>
    </w:p>
    <w:p>
      <w:pPr>
        <w:pStyle w:val="ListParagraph"/>
        <w:numPr>
          <w:ilvl w:val="0"/>
          <w:numId w:val="125"/>
        </w:numPr>
        <w:tabs>
          <w:tab w:pos="2894" w:val="left" w:leader="none"/>
        </w:tabs>
        <w:spacing w:line="247" w:lineRule="auto" w:before="1" w:after="0"/>
        <w:ind w:left="2893" w:right="1340" w:hanging="293"/>
        <w:jc w:val="both"/>
        <w:rPr>
          <w:sz w:val="18"/>
        </w:rPr>
      </w:pPr>
      <w:r>
        <w:rPr>
          <w:w w:val="105"/>
          <w:sz w:val="18"/>
        </w:rPr>
        <w:t>Ejecución de sentencias del Tribunal Supremo 2075/2017, 255/2018, 415/2018 y 1095/2018,</w:t>
      </w:r>
      <w:r>
        <w:rPr>
          <w:spacing w:val="-21"/>
          <w:w w:val="105"/>
          <w:sz w:val="18"/>
        </w:rPr>
        <w:t> </w:t>
      </w:r>
      <w:r>
        <w:rPr>
          <w:w w:val="105"/>
          <w:sz w:val="18"/>
        </w:rPr>
        <w:t>derivadas</w:t>
      </w:r>
      <w:r>
        <w:rPr>
          <w:spacing w:val="-21"/>
          <w:w w:val="105"/>
          <w:sz w:val="18"/>
        </w:rPr>
        <w:t> </w:t>
      </w:r>
      <w:r>
        <w:rPr>
          <w:w w:val="105"/>
          <w:sz w:val="18"/>
        </w:rPr>
        <w:t>del</w:t>
      </w:r>
      <w:r>
        <w:rPr>
          <w:spacing w:val="-20"/>
          <w:w w:val="105"/>
          <w:sz w:val="18"/>
        </w:rPr>
        <w:t> </w:t>
      </w:r>
      <w:r>
        <w:rPr>
          <w:w w:val="105"/>
          <w:sz w:val="18"/>
        </w:rPr>
        <w:t>convenio</w:t>
      </w:r>
      <w:r>
        <w:rPr>
          <w:spacing w:val="-20"/>
          <w:w w:val="105"/>
          <w:sz w:val="18"/>
        </w:rPr>
        <w:t> </w:t>
      </w:r>
      <w:r>
        <w:rPr>
          <w:w w:val="105"/>
          <w:sz w:val="18"/>
        </w:rPr>
        <w:t>de</w:t>
      </w:r>
      <w:r>
        <w:rPr>
          <w:spacing w:val="-21"/>
          <w:w w:val="105"/>
          <w:sz w:val="18"/>
        </w:rPr>
        <w:t> </w:t>
      </w:r>
      <w:r>
        <w:rPr>
          <w:w w:val="105"/>
          <w:sz w:val="18"/>
        </w:rPr>
        <w:t>colaboración</w:t>
      </w:r>
      <w:r>
        <w:rPr>
          <w:spacing w:val="-21"/>
          <w:w w:val="105"/>
          <w:sz w:val="18"/>
        </w:rPr>
        <w:t> </w:t>
      </w:r>
      <w:r>
        <w:rPr>
          <w:w w:val="105"/>
          <w:sz w:val="18"/>
        </w:rPr>
        <w:t>entre</w:t>
      </w:r>
      <w:r>
        <w:rPr>
          <w:spacing w:val="-20"/>
          <w:w w:val="105"/>
          <w:sz w:val="18"/>
        </w:rPr>
        <w:t> </w:t>
      </w:r>
      <w:r>
        <w:rPr>
          <w:w w:val="105"/>
          <w:sz w:val="18"/>
        </w:rPr>
        <w:t>la</w:t>
      </w:r>
      <w:r>
        <w:rPr>
          <w:spacing w:val="-20"/>
          <w:w w:val="105"/>
          <w:sz w:val="18"/>
        </w:rPr>
        <w:t> </w:t>
      </w:r>
      <w:r>
        <w:rPr>
          <w:w w:val="105"/>
          <w:sz w:val="18"/>
        </w:rPr>
        <w:t>Administración</w:t>
      </w:r>
      <w:r>
        <w:rPr>
          <w:spacing w:val="-20"/>
          <w:w w:val="105"/>
          <w:sz w:val="18"/>
        </w:rPr>
        <w:t> </w:t>
      </w:r>
      <w:r>
        <w:rPr>
          <w:w w:val="105"/>
          <w:sz w:val="18"/>
        </w:rPr>
        <w:t>General</w:t>
      </w:r>
      <w:r>
        <w:rPr>
          <w:spacing w:val="-20"/>
          <w:w w:val="105"/>
          <w:sz w:val="18"/>
        </w:rPr>
        <w:t> </w:t>
      </w:r>
      <w:r>
        <w:rPr>
          <w:w w:val="105"/>
          <w:sz w:val="18"/>
        </w:rPr>
        <w:t>del Estado</w:t>
      </w:r>
      <w:r>
        <w:rPr>
          <w:spacing w:val="-3"/>
          <w:w w:val="105"/>
          <w:sz w:val="18"/>
        </w:rPr>
        <w:t> </w:t>
      </w:r>
      <w:r>
        <w:rPr>
          <w:w w:val="105"/>
          <w:sz w:val="18"/>
        </w:rPr>
        <w:t>y</w:t>
      </w:r>
      <w:r>
        <w:rPr>
          <w:spacing w:val="-2"/>
          <w:w w:val="105"/>
          <w:sz w:val="18"/>
        </w:rPr>
        <w:t> </w:t>
      </w:r>
      <w:r>
        <w:rPr>
          <w:w w:val="105"/>
          <w:sz w:val="18"/>
        </w:rPr>
        <w:t>la</w:t>
      </w:r>
      <w:r>
        <w:rPr>
          <w:spacing w:val="-2"/>
          <w:w w:val="105"/>
          <w:sz w:val="18"/>
        </w:rPr>
        <w:t> </w:t>
      </w:r>
      <w:r>
        <w:rPr>
          <w:w w:val="105"/>
          <w:sz w:val="18"/>
        </w:rPr>
        <w:t>Comunidad</w:t>
      </w:r>
      <w:r>
        <w:rPr>
          <w:spacing w:val="-3"/>
          <w:w w:val="105"/>
          <w:sz w:val="18"/>
        </w:rPr>
        <w:t> </w:t>
      </w:r>
      <w:r>
        <w:rPr>
          <w:w w:val="105"/>
          <w:sz w:val="18"/>
        </w:rPr>
        <w:t>Autónoma</w:t>
      </w:r>
      <w:r>
        <w:rPr>
          <w:spacing w:val="-2"/>
          <w:w w:val="105"/>
          <w:sz w:val="18"/>
        </w:rPr>
        <w:t> </w:t>
      </w:r>
      <w:r>
        <w:rPr>
          <w:w w:val="105"/>
          <w:sz w:val="18"/>
        </w:rPr>
        <w:t>de</w:t>
      </w:r>
      <w:r>
        <w:rPr>
          <w:spacing w:val="-1"/>
          <w:w w:val="105"/>
          <w:sz w:val="18"/>
        </w:rPr>
        <w:t> </w:t>
      </w:r>
      <w:r>
        <w:rPr>
          <w:w w:val="105"/>
          <w:sz w:val="18"/>
        </w:rPr>
        <w:t>Canarias</w:t>
      </w:r>
      <w:r>
        <w:rPr>
          <w:spacing w:val="-2"/>
          <w:w w:val="105"/>
          <w:sz w:val="18"/>
        </w:rPr>
        <w:t> </w:t>
      </w:r>
      <w:r>
        <w:rPr>
          <w:w w:val="105"/>
          <w:sz w:val="18"/>
        </w:rPr>
        <w:t>de</w:t>
      </w:r>
      <w:r>
        <w:rPr>
          <w:spacing w:val="-3"/>
          <w:w w:val="105"/>
          <w:sz w:val="18"/>
        </w:rPr>
        <w:t> </w:t>
      </w:r>
      <w:r>
        <w:rPr>
          <w:w w:val="105"/>
          <w:sz w:val="18"/>
        </w:rPr>
        <w:t>31</w:t>
      </w:r>
      <w:r>
        <w:rPr>
          <w:spacing w:val="-3"/>
          <w:w w:val="105"/>
          <w:sz w:val="18"/>
        </w:rPr>
        <w:t> </w:t>
      </w:r>
      <w:r>
        <w:rPr>
          <w:w w:val="105"/>
          <w:sz w:val="18"/>
        </w:rPr>
        <w:t>de</w:t>
      </w:r>
      <w:r>
        <w:rPr>
          <w:spacing w:val="-2"/>
          <w:w w:val="105"/>
          <w:sz w:val="18"/>
        </w:rPr>
        <w:t> </w:t>
      </w:r>
      <w:r>
        <w:rPr>
          <w:w w:val="105"/>
          <w:sz w:val="18"/>
        </w:rPr>
        <w:t>enero</w:t>
      </w:r>
      <w:r>
        <w:rPr>
          <w:spacing w:val="-1"/>
          <w:w w:val="105"/>
          <w:sz w:val="18"/>
        </w:rPr>
        <w:t> </w:t>
      </w:r>
      <w:r>
        <w:rPr>
          <w:w w:val="105"/>
          <w:sz w:val="18"/>
        </w:rPr>
        <w:t>de</w:t>
      </w:r>
      <w:r>
        <w:rPr>
          <w:spacing w:val="-3"/>
          <w:w w:val="105"/>
          <w:sz w:val="18"/>
        </w:rPr>
        <w:t> </w:t>
      </w:r>
      <w:r>
        <w:rPr>
          <w:w w:val="105"/>
          <w:sz w:val="18"/>
        </w:rPr>
        <w:t>2006,</w:t>
      </w:r>
      <w:r>
        <w:rPr>
          <w:spacing w:val="-2"/>
          <w:w w:val="105"/>
          <w:sz w:val="18"/>
        </w:rPr>
        <w:t> </w:t>
      </w:r>
      <w:r>
        <w:rPr>
          <w:w w:val="105"/>
          <w:sz w:val="18"/>
        </w:rPr>
        <w:t>abonados</w:t>
      </w:r>
      <w:r>
        <w:rPr>
          <w:spacing w:val="-2"/>
          <w:w w:val="105"/>
          <w:sz w:val="18"/>
        </w:rPr>
        <w:t> </w:t>
      </w:r>
      <w:r>
        <w:rPr>
          <w:w w:val="105"/>
          <w:sz w:val="18"/>
        </w:rPr>
        <w:t>a</w:t>
      </w:r>
      <w:r>
        <w:rPr>
          <w:spacing w:val="-2"/>
          <w:w w:val="105"/>
          <w:sz w:val="18"/>
        </w:rPr>
        <w:t> </w:t>
      </w:r>
      <w:r>
        <w:rPr>
          <w:w w:val="105"/>
          <w:sz w:val="18"/>
        </w:rPr>
        <w:t>la Comunidad Autónoma el 24 de enero de 2023 y por importe total de 200 millones de euros.</w:t>
      </w:r>
    </w:p>
    <w:p>
      <w:pPr>
        <w:pStyle w:val="ListParagraph"/>
        <w:numPr>
          <w:ilvl w:val="0"/>
          <w:numId w:val="125"/>
        </w:numPr>
        <w:tabs>
          <w:tab w:pos="2894" w:val="left" w:leader="none"/>
        </w:tabs>
        <w:spacing w:line="247" w:lineRule="auto" w:before="0" w:after="0"/>
        <w:ind w:left="2893" w:right="1340" w:hanging="293"/>
        <w:jc w:val="both"/>
        <w:rPr>
          <w:sz w:val="18"/>
        </w:rPr>
      </w:pPr>
      <w:r>
        <w:rPr>
          <w:w w:val="105"/>
          <w:sz w:val="18"/>
        </w:rPr>
        <w:t>Obras</w:t>
      </w:r>
      <w:r>
        <w:rPr>
          <w:spacing w:val="-15"/>
          <w:w w:val="105"/>
          <w:sz w:val="18"/>
        </w:rPr>
        <w:t> </w:t>
      </w:r>
      <w:r>
        <w:rPr>
          <w:w w:val="105"/>
          <w:sz w:val="18"/>
        </w:rPr>
        <w:t>ejecutadas</w:t>
      </w:r>
      <w:r>
        <w:rPr>
          <w:spacing w:val="-15"/>
          <w:w w:val="105"/>
          <w:sz w:val="18"/>
        </w:rPr>
        <w:t> </w:t>
      </w:r>
      <w:r>
        <w:rPr>
          <w:w w:val="105"/>
          <w:sz w:val="18"/>
        </w:rPr>
        <w:t>al</w:t>
      </w:r>
      <w:r>
        <w:rPr>
          <w:spacing w:val="-16"/>
          <w:w w:val="105"/>
          <w:sz w:val="18"/>
        </w:rPr>
        <w:t> </w:t>
      </w:r>
      <w:r>
        <w:rPr>
          <w:w w:val="105"/>
          <w:sz w:val="18"/>
        </w:rPr>
        <w:t>amparo</w:t>
      </w:r>
      <w:r>
        <w:rPr>
          <w:spacing w:val="-14"/>
          <w:w w:val="105"/>
          <w:sz w:val="18"/>
        </w:rPr>
        <w:t> </w:t>
      </w:r>
      <w:r>
        <w:rPr>
          <w:w w:val="105"/>
          <w:sz w:val="18"/>
        </w:rPr>
        <w:t>de</w:t>
      </w:r>
      <w:r>
        <w:rPr>
          <w:spacing w:val="-15"/>
          <w:w w:val="105"/>
          <w:sz w:val="18"/>
        </w:rPr>
        <w:t> </w:t>
      </w:r>
      <w:r>
        <w:rPr>
          <w:w w:val="105"/>
          <w:sz w:val="18"/>
        </w:rPr>
        <w:t>la</w:t>
      </w:r>
      <w:r>
        <w:rPr>
          <w:spacing w:val="-17"/>
          <w:w w:val="105"/>
          <w:sz w:val="18"/>
        </w:rPr>
        <w:t> </w:t>
      </w:r>
      <w:r>
        <w:rPr>
          <w:w w:val="105"/>
          <w:sz w:val="18"/>
        </w:rPr>
        <w:t>Adenda</w:t>
      </w:r>
      <w:r>
        <w:rPr>
          <w:spacing w:val="-14"/>
          <w:w w:val="105"/>
          <w:sz w:val="18"/>
        </w:rPr>
        <w:t> </w:t>
      </w:r>
      <w:r>
        <w:rPr>
          <w:w w:val="105"/>
          <w:sz w:val="18"/>
        </w:rPr>
        <w:t>Convenio</w:t>
      </w:r>
      <w:r>
        <w:rPr>
          <w:spacing w:val="-14"/>
          <w:w w:val="105"/>
          <w:sz w:val="18"/>
        </w:rPr>
        <w:t> </w:t>
      </w:r>
      <w:r>
        <w:rPr>
          <w:w w:val="105"/>
          <w:sz w:val="18"/>
        </w:rPr>
        <w:t>de</w:t>
      </w:r>
      <w:r>
        <w:rPr>
          <w:spacing w:val="-15"/>
          <w:w w:val="105"/>
          <w:sz w:val="18"/>
        </w:rPr>
        <w:t> </w:t>
      </w:r>
      <w:r>
        <w:rPr>
          <w:w w:val="105"/>
          <w:sz w:val="18"/>
        </w:rPr>
        <w:t>Carreteras</w:t>
      </w:r>
      <w:r>
        <w:rPr>
          <w:spacing w:val="-16"/>
          <w:w w:val="105"/>
          <w:sz w:val="18"/>
        </w:rPr>
        <w:t> </w:t>
      </w:r>
      <w:r>
        <w:rPr>
          <w:w w:val="105"/>
          <w:sz w:val="18"/>
        </w:rPr>
        <w:t>2006-2017</w:t>
      </w:r>
      <w:r>
        <w:rPr>
          <w:spacing w:val="-14"/>
          <w:w w:val="105"/>
          <w:sz w:val="18"/>
        </w:rPr>
        <w:t> </w:t>
      </w:r>
      <w:r>
        <w:rPr>
          <w:w w:val="105"/>
          <w:sz w:val="18"/>
        </w:rPr>
        <w:t>abonadas a la Comunidad Autónoma el 24 de enero de</w:t>
      </w:r>
      <w:r>
        <w:rPr>
          <w:spacing w:val="-26"/>
          <w:w w:val="105"/>
          <w:sz w:val="18"/>
        </w:rPr>
        <w:t> </w:t>
      </w:r>
      <w:r>
        <w:rPr>
          <w:w w:val="105"/>
          <w:sz w:val="18"/>
        </w:rPr>
        <w:t>2023.</w:t>
      </w:r>
    </w:p>
    <w:p>
      <w:pPr>
        <w:pStyle w:val="BodyText"/>
        <w:spacing w:before="10"/>
        <w:rPr>
          <w:sz w:val="15"/>
        </w:rPr>
      </w:pPr>
    </w:p>
    <w:p>
      <w:pPr>
        <w:pStyle w:val="BodyText"/>
        <w:spacing w:line="242" w:lineRule="auto" w:before="1"/>
        <w:ind w:left="2299" w:right="1342"/>
        <w:jc w:val="both"/>
      </w:pPr>
      <w:r>
        <w:rPr>
          <w:b/>
        </w:rPr>
        <w:t>Contestación: </w:t>
      </w:r>
      <w:r>
        <w:rPr/>
        <w:t>La Intervención General no pone objeción al contenido del Proyecto de Informe en cuanto a los derechos reconocidos netos de transferencias de capital, ni a lo pendiente de cobro de las mismas. Sólo alega que se tenga en cuenta que parte de esos derechos reconocidos en el 2022 se abonaron a la CAC en enero de 2023 por parte del Ministerio de Transportes, Movilidad y Agenda Urbana.</w:t>
      </w:r>
    </w:p>
    <w:p>
      <w:pPr>
        <w:pStyle w:val="BodyText"/>
        <w:spacing w:before="2"/>
        <w:rPr>
          <w:sz w:val="16"/>
        </w:rPr>
      </w:pPr>
    </w:p>
    <w:p>
      <w:pPr>
        <w:pStyle w:val="BodyText"/>
        <w:spacing w:before="1"/>
        <w:ind w:left="2299" w:right="1346"/>
        <w:jc w:val="both"/>
      </w:pPr>
      <w:r>
        <w:rPr/>
        <w:t>Tal y como se expone en la alegación, en el apartado 4 de la nota 15 de la Memoria de la Cuenta General de la CAC del ejercicio 2022 se recoge:</w:t>
      </w:r>
    </w:p>
    <w:p>
      <w:pPr>
        <w:pStyle w:val="BodyText"/>
        <w:spacing w:before="9"/>
        <w:rPr>
          <w:sz w:val="16"/>
        </w:rPr>
      </w:pPr>
    </w:p>
    <w:p>
      <w:pPr>
        <w:spacing w:before="0"/>
        <w:ind w:left="2150" w:right="1346" w:firstLine="0"/>
        <w:jc w:val="right"/>
        <w:rPr>
          <w:i/>
          <w:sz w:val="20"/>
        </w:rPr>
      </w:pPr>
      <w:r>
        <w:rPr>
          <w:i/>
          <w:sz w:val="20"/>
        </w:rPr>
        <w:t>“El </w:t>
      </w:r>
      <w:r>
        <w:rPr>
          <w:i/>
          <w:spacing w:val="7"/>
          <w:sz w:val="20"/>
        </w:rPr>
        <w:t> </w:t>
      </w:r>
      <w:r>
        <w:rPr>
          <w:i/>
          <w:sz w:val="20"/>
        </w:rPr>
        <w:t>Tribunal </w:t>
      </w:r>
      <w:r>
        <w:rPr>
          <w:i/>
          <w:spacing w:val="7"/>
          <w:sz w:val="20"/>
        </w:rPr>
        <w:t> </w:t>
      </w:r>
      <w:r>
        <w:rPr>
          <w:i/>
          <w:sz w:val="20"/>
        </w:rPr>
        <w:t>Supremo </w:t>
      </w:r>
      <w:r>
        <w:rPr>
          <w:i/>
          <w:spacing w:val="7"/>
          <w:sz w:val="20"/>
        </w:rPr>
        <w:t> </w:t>
      </w:r>
      <w:r>
        <w:rPr>
          <w:i/>
          <w:sz w:val="20"/>
        </w:rPr>
        <w:t>dicta </w:t>
      </w:r>
      <w:r>
        <w:rPr>
          <w:i/>
          <w:spacing w:val="6"/>
          <w:sz w:val="20"/>
        </w:rPr>
        <w:t> </w:t>
      </w:r>
      <w:r>
        <w:rPr>
          <w:i/>
          <w:sz w:val="20"/>
        </w:rPr>
        <w:t>sentencias </w:t>
      </w:r>
      <w:r>
        <w:rPr>
          <w:i/>
          <w:spacing w:val="7"/>
          <w:sz w:val="20"/>
        </w:rPr>
        <w:t> </w:t>
      </w:r>
      <w:r>
        <w:rPr>
          <w:i/>
          <w:sz w:val="20"/>
        </w:rPr>
        <w:t>números </w:t>
      </w:r>
      <w:r>
        <w:rPr>
          <w:i/>
          <w:spacing w:val="7"/>
          <w:sz w:val="20"/>
        </w:rPr>
        <w:t> </w:t>
      </w:r>
      <w:r>
        <w:rPr>
          <w:i/>
          <w:sz w:val="20"/>
        </w:rPr>
        <w:t>2075/2017; </w:t>
      </w:r>
      <w:r>
        <w:rPr>
          <w:i/>
          <w:spacing w:val="6"/>
          <w:sz w:val="20"/>
        </w:rPr>
        <w:t> </w:t>
      </w:r>
      <w:r>
        <w:rPr>
          <w:i/>
          <w:sz w:val="20"/>
        </w:rPr>
        <w:t>225/2018; </w:t>
      </w:r>
      <w:r>
        <w:rPr>
          <w:i/>
          <w:spacing w:val="6"/>
          <w:sz w:val="20"/>
        </w:rPr>
        <w:t> </w:t>
      </w:r>
      <w:r>
        <w:rPr>
          <w:i/>
          <w:sz w:val="20"/>
        </w:rPr>
        <w:t>415/2018 </w:t>
      </w:r>
      <w:r>
        <w:rPr>
          <w:i/>
          <w:spacing w:val="7"/>
          <w:sz w:val="20"/>
        </w:rPr>
        <w:t> </w:t>
      </w:r>
      <w:r>
        <w:rPr>
          <w:i/>
          <w:sz w:val="20"/>
        </w:rPr>
        <w:t>y</w:t>
      </w:r>
    </w:p>
    <w:p>
      <w:pPr>
        <w:spacing w:before="2"/>
        <w:ind w:left="2150" w:right="1344" w:firstLine="0"/>
        <w:jc w:val="right"/>
        <w:rPr>
          <w:i/>
          <w:sz w:val="20"/>
        </w:rPr>
      </w:pPr>
      <w:r>
        <w:rPr>
          <w:i/>
          <w:sz w:val="20"/>
        </w:rPr>
        <w:t>1095/2018</w:t>
      </w:r>
      <w:r>
        <w:rPr>
          <w:i/>
          <w:spacing w:val="28"/>
          <w:sz w:val="20"/>
        </w:rPr>
        <w:t> </w:t>
      </w:r>
      <w:r>
        <w:rPr>
          <w:i/>
          <w:sz w:val="20"/>
        </w:rPr>
        <w:t>en</w:t>
      </w:r>
      <w:r>
        <w:rPr>
          <w:i/>
          <w:spacing w:val="25"/>
          <w:sz w:val="20"/>
        </w:rPr>
        <w:t> </w:t>
      </w:r>
      <w:r>
        <w:rPr>
          <w:i/>
          <w:sz w:val="20"/>
        </w:rPr>
        <w:t>los</w:t>
      </w:r>
      <w:r>
        <w:rPr>
          <w:i/>
          <w:spacing w:val="29"/>
          <w:sz w:val="20"/>
        </w:rPr>
        <w:t> </w:t>
      </w:r>
      <w:r>
        <w:rPr>
          <w:i/>
          <w:sz w:val="20"/>
        </w:rPr>
        <w:t>recursos</w:t>
      </w:r>
      <w:r>
        <w:rPr>
          <w:i/>
          <w:spacing w:val="28"/>
          <w:sz w:val="20"/>
        </w:rPr>
        <w:t> </w:t>
      </w:r>
      <w:r>
        <w:rPr>
          <w:i/>
          <w:sz w:val="20"/>
        </w:rPr>
        <w:t>de</w:t>
      </w:r>
      <w:r>
        <w:rPr>
          <w:i/>
          <w:spacing w:val="28"/>
          <w:sz w:val="20"/>
        </w:rPr>
        <w:t> </w:t>
      </w:r>
      <w:r>
        <w:rPr>
          <w:i/>
          <w:sz w:val="20"/>
        </w:rPr>
        <w:t>casación</w:t>
      </w:r>
      <w:r>
        <w:rPr>
          <w:i/>
          <w:spacing w:val="28"/>
          <w:sz w:val="20"/>
        </w:rPr>
        <w:t> </w:t>
      </w:r>
      <w:r>
        <w:rPr>
          <w:i/>
          <w:sz w:val="20"/>
        </w:rPr>
        <w:t>números</w:t>
      </w:r>
      <w:r>
        <w:rPr>
          <w:i/>
          <w:spacing w:val="29"/>
          <w:sz w:val="20"/>
        </w:rPr>
        <w:t> </w:t>
      </w:r>
      <w:r>
        <w:rPr>
          <w:i/>
          <w:sz w:val="20"/>
        </w:rPr>
        <w:t>1045/2015;</w:t>
      </w:r>
      <w:r>
        <w:rPr>
          <w:i/>
          <w:spacing w:val="27"/>
          <w:sz w:val="20"/>
        </w:rPr>
        <w:t> </w:t>
      </w:r>
      <w:r>
        <w:rPr>
          <w:i/>
          <w:sz w:val="20"/>
        </w:rPr>
        <w:t>3833/2015;3192/2015</w:t>
      </w:r>
      <w:r>
        <w:rPr>
          <w:i/>
          <w:spacing w:val="28"/>
          <w:sz w:val="20"/>
        </w:rPr>
        <w:t> </w:t>
      </w:r>
      <w:r>
        <w:rPr>
          <w:i/>
          <w:sz w:val="20"/>
        </w:rPr>
        <w:t>y</w:t>
      </w:r>
    </w:p>
    <w:p>
      <w:pPr>
        <w:pStyle w:val="BodyText"/>
        <w:spacing w:before="82"/>
        <w:ind w:left="2150" w:right="1340"/>
        <w:jc w:val="right"/>
      </w:pPr>
      <w:r>
        <w:rPr/>
        <w:t>217</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69" name="image5.png"/>
                  <wp:cNvGraphicFramePr>
                    <a:graphicFrameLocks noChangeAspect="1"/>
                  </wp:cNvGraphicFramePr>
                  <a:graphic>
                    <a:graphicData uri="http://schemas.openxmlformats.org/drawingml/2006/picture">
                      <pic:pic>
                        <pic:nvPicPr>
                          <pic:cNvPr id="47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219/247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spacing w:line="242" w:lineRule="auto" w:before="60"/>
        <w:ind w:left="2299" w:right="1343" w:firstLine="0"/>
        <w:jc w:val="both"/>
        <w:rPr>
          <w:i/>
          <w:sz w:val="20"/>
        </w:rPr>
      </w:pPr>
      <w:r>
        <w:rPr>
          <w:i/>
          <w:sz w:val="20"/>
        </w:rPr>
        <w:t>1180/2016, respectivamente, notificadas a la Administración General del Estado y a la </w:t>
      </w:r>
      <w:r>
        <w:rPr>
          <w:i/>
          <w:sz w:val="20"/>
        </w:rPr>
        <w:t>Comunidad Autónoma de Canarias en el ejercicio 2018, estimando los recursos contenciosos-administrativos interpuestos por el Gobierno de Canarias frente al incumplimiento del Ministerio de Fomento en relación con los compromisos adquiridos en virtud de adenda de 17 de noviembre de 2009 al convenio en materia de Carreteras celebrado</w:t>
      </w:r>
      <w:r>
        <w:rPr>
          <w:i/>
          <w:spacing w:val="-4"/>
          <w:sz w:val="20"/>
        </w:rPr>
        <w:t> </w:t>
      </w:r>
      <w:r>
        <w:rPr>
          <w:i/>
          <w:sz w:val="20"/>
        </w:rPr>
        <w:t>el</w:t>
      </w:r>
      <w:r>
        <w:rPr>
          <w:i/>
          <w:spacing w:val="-3"/>
          <w:sz w:val="20"/>
        </w:rPr>
        <w:t> </w:t>
      </w:r>
      <w:r>
        <w:rPr>
          <w:i/>
          <w:sz w:val="20"/>
        </w:rPr>
        <w:t>31</w:t>
      </w:r>
      <w:r>
        <w:rPr>
          <w:i/>
          <w:spacing w:val="-2"/>
          <w:sz w:val="20"/>
        </w:rPr>
        <w:t> </w:t>
      </w:r>
      <w:r>
        <w:rPr>
          <w:i/>
          <w:sz w:val="20"/>
        </w:rPr>
        <w:t>de</w:t>
      </w:r>
      <w:r>
        <w:rPr>
          <w:i/>
          <w:spacing w:val="-2"/>
          <w:sz w:val="20"/>
        </w:rPr>
        <w:t> </w:t>
      </w:r>
      <w:r>
        <w:rPr>
          <w:i/>
          <w:sz w:val="20"/>
        </w:rPr>
        <w:t>enero</w:t>
      </w:r>
      <w:r>
        <w:rPr>
          <w:i/>
          <w:spacing w:val="-5"/>
          <w:sz w:val="20"/>
        </w:rPr>
        <w:t> </w:t>
      </w:r>
      <w:r>
        <w:rPr>
          <w:i/>
          <w:sz w:val="20"/>
        </w:rPr>
        <w:t>de</w:t>
      </w:r>
      <w:r>
        <w:rPr>
          <w:i/>
          <w:spacing w:val="-3"/>
          <w:sz w:val="20"/>
        </w:rPr>
        <w:t> </w:t>
      </w:r>
      <w:r>
        <w:rPr>
          <w:i/>
          <w:sz w:val="20"/>
        </w:rPr>
        <w:t>2006,</w:t>
      </w:r>
      <w:r>
        <w:rPr>
          <w:i/>
          <w:spacing w:val="-2"/>
          <w:sz w:val="20"/>
        </w:rPr>
        <w:t> </w:t>
      </w:r>
      <w:r>
        <w:rPr>
          <w:i/>
          <w:sz w:val="20"/>
        </w:rPr>
        <w:t>declarando</w:t>
      </w:r>
      <w:r>
        <w:rPr>
          <w:i/>
          <w:spacing w:val="-4"/>
          <w:sz w:val="20"/>
        </w:rPr>
        <w:t> </w:t>
      </w:r>
      <w:r>
        <w:rPr>
          <w:i/>
          <w:sz w:val="20"/>
        </w:rPr>
        <w:t>la</w:t>
      </w:r>
      <w:r>
        <w:rPr>
          <w:i/>
          <w:spacing w:val="-4"/>
          <w:sz w:val="20"/>
        </w:rPr>
        <w:t> </w:t>
      </w:r>
      <w:r>
        <w:rPr>
          <w:i/>
          <w:sz w:val="20"/>
        </w:rPr>
        <w:t>obligación</w:t>
      </w:r>
      <w:r>
        <w:rPr>
          <w:i/>
          <w:spacing w:val="-1"/>
          <w:sz w:val="20"/>
        </w:rPr>
        <w:t> </w:t>
      </w:r>
      <w:r>
        <w:rPr>
          <w:i/>
          <w:sz w:val="20"/>
        </w:rPr>
        <w:t>de</w:t>
      </w:r>
      <w:r>
        <w:rPr>
          <w:i/>
          <w:spacing w:val="-3"/>
          <w:sz w:val="20"/>
        </w:rPr>
        <w:t> </w:t>
      </w:r>
      <w:r>
        <w:rPr>
          <w:i/>
          <w:sz w:val="20"/>
        </w:rPr>
        <w:t>la</w:t>
      </w:r>
      <w:r>
        <w:rPr>
          <w:i/>
          <w:spacing w:val="-4"/>
          <w:sz w:val="20"/>
        </w:rPr>
        <w:t> </w:t>
      </w:r>
      <w:r>
        <w:rPr>
          <w:i/>
          <w:sz w:val="20"/>
        </w:rPr>
        <w:t>Administración</w:t>
      </w:r>
      <w:r>
        <w:rPr>
          <w:i/>
          <w:spacing w:val="-4"/>
          <w:sz w:val="20"/>
        </w:rPr>
        <w:t> </w:t>
      </w:r>
      <w:r>
        <w:rPr>
          <w:i/>
          <w:sz w:val="20"/>
        </w:rPr>
        <w:t>General del Estado a transferir a la Comunidad Autónoma de Canarias las cantidades comprometidas en el citado convenio para las anualidades 2012, 2013, 2014 y sucesivas incrementadas en los intereses legales correspondientes desde la fecha en la que la transferencia hubo de ser</w:t>
      </w:r>
      <w:r>
        <w:rPr>
          <w:i/>
          <w:spacing w:val="1"/>
          <w:sz w:val="20"/>
        </w:rPr>
        <w:t> </w:t>
      </w:r>
      <w:r>
        <w:rPr>
          <w:i/>
          <w:sz w:val="20"/>
        </w:rPr>
        <w:t>efectiva”.</w:t>
      </w:r>
    </w:p>
    <w:p>
      <w:pPr>
        <w:pStyle w:val="BodyText"/>
        <w:spacing w:before="1"/>
        <w:rPr>
          <w:i/>
          <w:sz w:val="16"/>
        </w:rPr>
      </w:pPr>
    </w:p>
    <w:p>
      <w:pPr>
        <w:pStyle w:val="BodyText"/>
        <w:spacing w:before="1"/>
        <w:ind w:left="2299" w:right="1346"/>
        <w:jc w:val="both"/>
      </w:pPr>
      <w:r>
        <w:rPr/>
        <w:t>En dicha alegación se encuadra un pago de 200 millones de € del Ministerio de Transportes, Movilidad y Agencia Urbana, en cuyo concepto se recoge que se hace de acuerdo a la DA 153 de la Ley 11/2020, de Presupuestos Generales del Estado para el año 2021, la cual señala:</w:t>
      </w:r>
    </w:p>
    <w:p>
      <w:pPr>
        <w:pStyle w:val="BodyText"/>
        <w:rPr>
          <w:sz w:val="17"/>
        </w:rPr>
      </w:pPr>
    </w:p>
    <w:p>
      <w:pPr>
        <w:spacing w:before="0"/>
        <w:ind w:left="2299" w:right="1341" w:firstLine="0"/>
        <w:jc w:val="both"/>
        <w:rPr>
          <w:i/>
          <w:sz w:val="20"/>
        </w:rPr>
      </w:pPr>
      <w:r>
        <w:rPr>
          <w:i/>
          <w:sz w:val="20"/>
        </w:rPr>
        <w:t>“En el marco de ejecución de las Sentencias del Tribunal Supremo 2075/2017,</w:t>
      </w:r>
      <w:r>
        <w:rPr>
          <w:i/>
          <w:spacing w:val="-28"/>
          <w:sz w:val="20"/>
        </w:rPr>
        <w:t> </w:t>
      </w:r>
      <w:r>
        <w:rPr>
          <w:i/>
          <w:sz w:val="20"/>
        </w:rPr>
        <w:t>255/2018, </w:t>
      </w:r>
      <w:r>
        <w:rPr>
          <w:i/>
          <w:sz w:val="20"/>
        </w:rPr>
        <w:t>415/2018</w:t>
      </w:r>
      <w:r>
        <w:rPr>
          <w:i/>
          <w:spacing w:val="-8"/>
          <w:sz w:val="20"/>
        </w:rPr>
        <w:t> </w:t>
      </w:r>
      <w:r>
        <w:rPr>
          <w:i/>
          <w:sz w:val="20"/>
        </w:rPr>
        <w:t>y</w:t>
      </w:r>
      <w:r>
        <w:rPr>
          <w:i/>
          <w:spacing w:val="-7"/>
          <w:sz w:val="20"/>
        </w:rPr>
        <w:t> </w:t>
      </w:r>
      <w:r>
        <w:rPr>
          <w:i/>
          <w:sz w:val="20"/>
        </w:rPr>
        <w:t>1095/2018</w:t>
      </w:r>
      <w:r>
        <w:rPr>
          <w:i/>
          <w:spacing w:val="-5"/>
          <w:sz w:val="20"/>
        </w:rPr>
        <w:t> </w:t>
      </w:r>
      <w:r>
        <w:rPr>
          <w:i/>
          <w:sz w:val="20"/>
        </w:rPr>
        <w:t>derivadas</w:t>
      </w:r>
      <w:r>
        <w:rPr>
          <w:i/>
          <w:spacing w:val="-5"/>
          <w:sz w:val="20"/>
        </w:rPr>
        <w:t> </w:t>
      </w:r>
      <w:r>
        <w:rPr>
          <w:i/>
          <w:sz w:val="20"/>
        </w:rPr>
        <w:t>del</w:t>
      </w:r>
      <w:r>
        <w:rPr>
          <w:i/>
          <w:spacing w:val="-5"/>
          <w:sz w:val="20"/>
        </w:rPr>
        <w:t> </w:t>
      </w:r>
      <w:r>
        <w:rPr>
          <w:i/>
          <w:sz w:val="20"/>
        </w:rPr>
        <w:t>Convenio</w:t>
      </w:r>
      <w:r>
        <w:rPr>
          <w:i/>
          <w:spacing w:val="-6"/>
          <w:sz w:val="20"/>
        </w:rPr>
        <w:t> </w:t>
      </w:r>
      <w:r>
        <w:rPr>
          <w:i/>
          <w:sz w:val="20"/>
        </w:rPr>
        <w:t>de</w:t>
      </w:r>
      <w:r>
        <w:rPr>
          <w:i/>
          <w:spacing w:val="-5"/>
          <w:sz w:val="20"/>
        </w:rPr>
        <w:t> </w:t>
      </w:r>
      <w:r>
        <w:rPr>
          <w:i/>
          <w:sz w:val="20"/>
        </w:rPr>
        <w:t>Colaboración</w:t>
      </w:r>
      <w:r>
        <w:rPr>
          <w:i/>
          <w:spacing w:val="-6"/>
          <w:sz w:val="20"/>
        </w:rPr>
        <w:t> </w:t>
      </w:r>
      <w:r>
        <w:rPr>
          <w:i/>
          <w:sz w:val="20"/>
        </w:rPr>
        <w:t>en</w:t>
      </w:r>
      <w:r>
        <w:rPr>
          <w:i/>
          <w:spacing w:val="-6"/>
          <w:sz w:val="20"/>
        </w:rPr>
        <w:t> </w:t>
      </w:r>
      <w:r>
        <w:rPr>
          <w:i/>
          <w:sz w:val="20"/>
        </w:rPr>
        <w:t>materia</w:t>
      </w:r>
      <w:r>
        <w:rPr>
          <w:i/>
          <w:spacing w:val="-8"/>
          <w:sz w:val="20"/>
        </w:rPr>
        <w:t> </w:t>
      </w:r>
      <w:r>
        <w:rPr>
          <w:i/>
          <w:sz w:val="20"/>
        </w:rPr>
        <w:t>de</w:t>
      </w:r>
      <w:r>
        <w:rPr>
          <w:i/>
          <w:spacing w:val="-5"/>
          <w:sz w:val="20"/>
        </w:rPr>
        <w:t> </w:t>
      </w:r>
      <w:r>
        <w:rPr>
          <w:i/>
          <w:sz w:val="20"/>
        </w:rPr>
        <w:t>carreteras entre la Administración General del Estado y la Comunidad Autónoma de Canarias, la Administración General del Estado abonará al Gobierno de Canarias en el ejercicio 2021 un importe de 100.000,00 miles de euros con cargo a la partida presupuestaria 17.38.453B.755”.</w:t>
      </w:r>
    </w:p>
    <w:p>
      <w:pPr>
        <w:pStyle w:val="BodyText"/>
        <w:spacing w:before="5"/>
        <w:rPr>
          <w:i/>
          <w:sz w:val="17"/>
        </w:rPr>
      </w:pPr>
    </w:p>
    <w:p>
      <w:pPr>
        <w:pStyle w:val="BodyText"/>
        <w:spacing w:line="242" w:lineRule="auto"/>
        <w:ind w:left="2299" w:right="1345"/>
        <w:jc w:val="both"/>
      </w:pPr>
      <w:r>
        <w:rPr/>
        <w:t>Con lo cual no cuadra la cantidad que se señala en la alegación que han recibido en el 2023 por importe de 200 millones de € con lo dispuesto en la citada DA referida al ejercicio 2021 por importe de 100 millones de €.</w:t>
      </w:r>
    </w:p>
    <w:p>
      <w:pPr>
        <w:pStyle w:val="BodyText"/>
        <w:spacing w:before="6"/>
        <w:rPr>
          <w:sz w:val="16"/>
        </w:rPr>
      </w:pPr>
    </w:p>
    <w:p>
      <w:pPr>
        <w:pStyle w:val="BodyText"/>
        <w:ind w:left="2299" w:right="1344"/>
        <w:jc w:val="both"/>
      </w:pPr>
      <w:r>
        <w:rPr/>
        <w:t>Por otro lado, no se aportan los documentos acreditativos que justifiquen adecuadamente que los ingresos recibidos en el 2023 por importe de 200.000.000,00 € y 125.468.708,47€ se realizan con cargo a los derechos reconocidos en el ejercicio 2022 por la ejecución de las Sentencias citadas del Tribunal Supremo y por la adenda al amparo del Convenio de Carreteras 2006-2017 celebrado el 31 de enero de 2006 entre la Administración General del Estado y la Comunidad Autónoma de Canarias.</w:t>
      </w:r>
    </w:p>
    <w:p>
      <w:pPr>
        <w:pStyle w:val="BodyText"/>
        <w:spacing w:before="4"/>
        <w:rPr>
          <w:sz w:val="17"/>
        </w:rPr>
      </w:pPr>
    </w:p>
    <w:p>
      <w:pPr>
        <w:pStyle w:val="BodyText"/>
        <w:ind w:left="2299"/>
        <w:jc w:val="both"/>
      </w:pPr>
      <w:r>
        <w:rPr/>
        <w:t>En consecuencia, no se modifica el contenido del Informe.</w:t>
      </w:r>
    </w:p>
    <w:p>
      <w:pPr>
        <w:pStyle w:val="BodyText"/>
        <w:spacing w:before="8"/>
        <w:rPr>
          <w:sz w:val="16"/>
        </w:rPr>
      </w:pPr>
    </w:p>
    <w:p>
      <w:pPr>
        <w:pStyle w:val="Heading1"/>
        <w:ind w:left="2299"/>
        <w:jc w:val="both"/>
      </w:pPr>
      <w:r>
        <w:rPr/>
        <w:t>Alegación 23: 4.2.8.1 Antigüedad de los derechos pendientes de cobro.</w:t>
      </w:r>
    </w:p>
    <w:p>
      <w:pPr>
        <w:pStyle w:val="BodyText"/>
        <w:spacing w:before="8"/>
        <w:rPr>
          <w:b/>
          <w:sz w:val="16"/>
        </w:rPr>
      </w:pPr>
    </w:p>
    <w:p>
      <w:pPr>
        <w:pStyle w:val="BodyText"/>
        <w:ind w:left="2299" w:right="1342"/>
        <w:jc w:val="both"/>
      </w:pPr>
      <w:r>
        <w:rPr>
          <w:b/>
        </w:rPr>
        <w:t>Resumen: </w:t>
      </w:r>
      <w:r>
        <w:rPr/>
        <w:t>en el Proyecto de Informe se recoge que lo pendiente de cobro de ejercicios cerrados</w:t>
      </w:r>
      <w:r>
        <w:rPr>
          <w:spacing w:val="-7"/>
        </w:rPr>
        <w:t> </w:t>
      </w:r>
      <w:r>
        <w:rPr/>
        <w:t>en</w:t>
      </w:r>
      <w:r>
        <w:rPr>
          <w:spacing w:val="-6"/>
        </w:rPr>
        <w:t> </w:t>
      </w:r>
      <w:r>
        <w:rPr/>
        <w:t>fase</w:t>
      </w:r>
      <w:r>
        <w:rPr>
          <w:spacing w:val="-4"/>
        </w:rPr>
        <w:t> </w:t>
      </w:r>
      <w:r>
        <w:rPr/>
        <w:t>voluntaria</w:t>
      </w:r>
      <w:r>
        <w:rPr>
          <w:spacing w:val="-5"/>
        </w:rPr>
        <w:t> </w:t>
      </w:r>
      <w:r>
        <w:rPr/>
        <w:t>PICCAC/MAGIN</w:t>
      </w:r>
      <w:r>
        <w:rPr>
          <w:spacing w:val="-7"/>
        </w:rPr>
        <w:t> </w:t>
      </w:r>
      <w:r>
        <w:rPr/>
        <w:t>Y</w:t>
      </w:r>
      <w:r>
        <w:rPr>
          <w:spacing w:val="-4"/>
        </w:rPr>
        <w:t> </w:t>
      </w:r>
      <w:r>
        <w:rPr/>
        <w:t>SEFLOGIC</w:t>
      </w:r>
      <w:r>
        <w:rPr>
          <w:spacing w:val="-6"/>
        </w:rPr>
        <w:t> </w:t>
      </w:r>
      <w:r>
        <w:rPr/>
        <w:t>asciende</w:t>
      </w:r>
      <w:r>
        <w:rPr>
          <w:spacing w:val="-4"/>
        </w:rPr>
        <w:t> </w:t>
      </w:r>
      <w:r>
        <w:rPr/>
        <w:t>a</w:t>
      </w:r>
      <w:r>
        <w:rPr>
          <w:spacing w:val="-7"/>
        </w:rPr>
        <w:t> </w:t>
      </w:r>
      <w:r>
        <w:rPr/>
        <w:t>29.882.812,33</w:t>
      </w:r>
      <w:r>
        <w:rPr>
          <w:spacing w:val="-6"/>
        </w:rPr>
        <w:t> </w:t>
      </w:r>
      <w:r>
        <w:rPr/>
        <w:t>€</w:t>
      </w:r>
      <w:r>
        <w:rPr>
          <w:spacing w:val="-4"/>
        </w:rPr>
        <w:t> </w:t>
      </w:r>
      <w:r>
        <w:rPr/>
        <w:t>cuyo detalle se recoge en el Anexo</w:t>
      </w:r>
      <w:r>
        <w:rPr>
          <w:spacing w:val="1"/>
        </w:rPr>
        <w:t> </w:t>
      </w:r>
      <w:r>
        <w:rPr/>
        <w:t>IV.</w:t>
      </w:r>
    </w:p>
    <w:p>
      <w:pPr>
        <w:pStyle w:val="BodyText"/>
        <w:spacing w:before="11"/>
        <w:rPr>
          <w:sz w:val="16"/>
        </w:rPr>
      </w:pPr>
    </w:p>
    <w:p>
      <w:pPr>
        <w:pStyle w:val="BodyText"/>
        <w:spacing w:before="1"/>
        <w:ind w:left="2150" w:right="1346"/>
        <w:jc w:val="right"/>
      </w:pPr>
      <w:r>
        <w:rPr/>
        <w:t>Por</w:t>
      </w:r>
      <w:r>
        <w:rPr>
          <w:spacing w:val="4"/>
        </w:rPr>
        <w:t> </w:t>
      </w:r>
      <w:r>
        <w:rPr/>
        <w:t>la</w:t>
      </w:r>
      <w:r>
        <w:rPr>
          <w:spacing w:val="7"/>
        </w:rPr>
        <w:t> </w:t>
      </w:r>
      <w:r>
        <w:rPr/>
        <w:t>Intervención</w:t>
      </w:r>
      <w:r>
        <w:rPr>
          <w:spacing w:val="6"/>
        </w:rPr>
        <w:t> </w:t>
      </w:r>
      <w:r>
        <w:rPr/>
        <w:t>General</w:t>
      </w:r>
      <w:r>
        <w:rPr>
          <w:spacing w:val="7"/>
        </w:rPr>
        <w:t> </w:t>
      </w:r>
      <w:r>
        <w:rPr/>
        <w:t>se</w:t>
      </w:r>
      <w:r>
        <w:rPr>
          <w:spacing w:val="4"/>
        </w:rPr>
        <w:t> </w:t>
      </w:r>
      <w:r>
        <w:rPr/>
        <w:t>alega</w:t>
      </w:r>
      <w:r>
        <w:rPr>
          <w:spacing w:val="2"/>
        </w:rPr>
        <w:t> </w:t>
      </w:r>
      <w:r>
        <w:rPr/>
        <w:t>que</w:t>
      </w:r>
      <w:r>
        <w:rPr>
          <w:spacing w:val="4"/>
        </w:rPr>
        <w:t> </w:t>
      </w:r>
      <w:r>
        <w:rPr/>
        <w:t>conforme</w:t>
      </w:r>
      <w:r>
        <w:rPr>
          <w:spacing w:val="7"/>
        </w:rPr>
        <w:t> </w:t>
      </w:r>
      <w:r>
        <w:rPr/>
        <w:t>a</w:t>
      </w:r>
      <w:r>
        <w:rPr>
          <w:spacing w:val="4"/>
        </w:rPr>
        <w:t> </w:t>
      </w:r>
      <w:r>
        <w:rPr/>
        <w:t>las</w:t>
      </w:r>
      <w:r>
        <w:rPr>
          <w:spacing w:val="5"/>
        </w:rPr>
        <w:t> </w:t>
      </w:r>
      <w:r>
        <w:rPr/>
        <w:t>relaciones</w:t>
      </w:r>
      <w:r>
        <w:rPr>
          <w:spacing w:val="4"/>
        </w:rPr>
        <w:t> </w:t>
      </w:r>
      <w:r>
        <w:rPr/>
        <w:t>de</w:t>
      </w:r>
      <w:r>
        <w:rPr>
          <w:spacing w:val="3"/>
        </w:rPr>
        <w:t> </w:t>
      </w:r>
      <w:r>
        <w:rPr/>
        <w:t>deudores</w:t>
      </w:r>
      <w:r>
        <w:rPr>
          <w:spacing w:val="4"/>
        </w:rPr>
        <w:t> </w:t>
      </w:r>
      <w:r>
        <w:rPr/>
        <w:t>que</w:t>
      </w:r>
      <w:r>
        <w:rPr>
          <w:spacing w:val="5"/>
        </w:rPr>
        <w:t> </w:t>
      </w:r>
      <w:r>
        <w:rPr/>
        <w:t>se</w:t>
      </w:r>
    </w:p>
    <w:p>
      <w:pPr>
        <w:pStyle w:val="BodyText"/>
        <w:spacing w:before="96"/>
        <w:ind w:left="2150" w:right="1340"/>
        <w:jc w:val="right"/>
      </w:pPr>
      <w:r>
        <w:rPr/>
        <w:t>218</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71" name="image5.png"/>
                  <wp:cNvGraphicFramePr>
                    <a:graphicFrameLocks noChangeAspect="1"/>
                  </wp:cNvGraphicFramePr>
                  <a:graphic>
                    <a:graphicData uri="http://schemas.openxmlformats.org/drawingml/2006/picture">
                      <pic:pic>
                        <pic:nvPicPr>
                          <pic:cNvPr id="47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220/247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48"/>
        <w:jc w:val="both"/>
      </w:pPr>
      <w:r>
        <w:rPr/>
        <w:t>remitieron a la Audiencia de Cuentas, dicho importe alcanzaba los 29.914.235,44 €, adjuntando como anexo 14 una simple tabla con los derechos pendientes de cobro de ejercicios cerrados en fase voluntaria extraídos del SEFLOGIC.</w:t>
      </w:r>
    </w:p>
    <w:p>
      <w:pPr>
        <w:pStyle w:val="BodyText"/>
        <w:spacing w:before="12"/>
        <w:rPr>
          <w:sz w:val="16"/>
        </w:rPr>
      </w:pPr>
    </w:p>
    <w:p>
      <w:pPr>
        <w:pStyle w:val="BodyText"/>
        <w:spacing w:line="242" w:lineRule="auto"/>
        <w:ind w:left="2299" w:right="1344"/>
        <w:jc w:val="both"/>
      </w:pPr>
      <w:r>
        <w:rPr>
          <w:b/>
        </w:rPr>
        <w:t>Contestación: </w:t>
      </w:r>
      <w:r>
        <w:rPr/>
        <w:t>Los datos que se reflejan en la tabla del epígrafe 4.2.8.1 del Proyecto de Informe, cuyo detalle se encuentra en el Anexo IV, han sido extraídos de la información facilitada por la ATC en su escrito de salida RGN1/15097/2023 de fecha 25 de abril de 2023, donde se aportan , en formato Excel, de forma individualizada, todos los conceptos que integran el pendiente de cobro de los capítulos I a III de ingresos a 31 de diciembre de 2022 por ejercicio cerrado y corriente y en fase voluntaria y ejecutiva.</w:t>
      </w:r>
    </w:p>
    <w:p>
      <w:pPr>
        <w:pStyle w:val="BodyText"/>
        <w:spacing w:before="4"/>
        <w:rPr>
          <w:sz w:val="16"/>
        </w:rPr>
      </w:pPr>
    </w:p>
    <w:p>
      <w:pPr>
        <w:pStyle w:val="BodyText"/>
        <w:ind w:left="2299" w:right="1342"/>
        <w:jc w:val="both"/>
      </w:pPr>
      <w:r>
        <w:rPr/>
        <w:t>La tabla que se adjunta en la alegación no es un documento que acredite adecuadamente las diferencias de lo pendiente de cobro localizadas entre los ejercicios 2011 y 2019, por lo que no se acepta la alegación.</w:t>
      </w:r>
    </w:p>
    <w:p>
      <w:pPr>
        <w:pStyle w:val="BodyText"/>
        <w:spacing w:before="11"/>
        <w:rPr>
          <w:sz w:val="16"/>
        </w:rPr>
      </w:pPr>
    </w:p>
    <w:p>
      <w:pPr>
        <w:pStyle w:val="BodyText"/>
        <w:ind w:left="2299"/>
        <w:jc w:val="both"/>
      </w:pPr>
      <w:r>
        <w:rPr/>
        <w:t>En consecuencia, no se modifica el contenido del Informe.</w:t>
      </w:r>
    </w:p>
    <w:p>
      <w:pPr>
        <w:pStyle w:val="BodyText"/>
        <w:spacing w:before="8"/>
        <w:rPr>
          <w:sz w:val="16"/>
        </w:rPr>
      </w:pPr>
    </w:p>
    <w:p>
      <w:pPr>
        <w:pStyle w:val="Heading1"/>
        <w:ind w:left="2299"/>
        <w:jc w:val="both"/>
      </w:pPr>
      <w:r>
        <w:rPr/>
        <w:t>Alegación 24: 4.2.10 Contratación. (1).</w:t>
      </w:r>
    </w:p>
    <w:p>
      <w:pPr>
        <w:pStyle w:val="BodyText"/>
        <w:spacing w:before="8"/>
        <w:rPr>
          <w:b/>
          <w:sz w:val="16"/>
        </w:rPr>
      </w:pPr>
    </w:p>
    <w:p>
      <w:pPr>
        <w:pStyle w:val="BodyText"/>
        <w:ind w:left="2299" w:right="1344"/>
        <w:jc w:val="both"/>
      </w:pPr>
      <w:r>
        <w:rPr>
          <w:b/>
        </w:rPr>
        <w:t>Resumen: </w:t>
      </w:r>
      <w:r>
        <w:rPr/>
        <w:t>En el proyecto de informe se señaló la ausencia de remisión de la documentación</w:t>
      </w:r>
      <w:r>
        <w:rPr>
          <w:spacing w:val="-10"/>
        </w:rPr>
        <w:t> </w:t>
      </w:r>
      <w:r>
        <w:rPr/>
        <w:t>correspondiente</w:t>
      </w:r>
      <w:r>
        <w:rPr>
          <w:spacing w:val="-9"/>
        </w:rPr>
        <w:t> </w:t>
      </w:r>
      <w:r>
        <w:rPr/>
        <w:t>al</w:t>
      </w:r>
      <w:r>
        <w:rPr>
          <w:spacing w:val="-11"/>
        </w:rPr>
        <w:t> </w:t>
      </w:r>
      <w:r>
        <w:rPr/>
        <w:t>número</w:t>
      </w:r>
      <w:r>
        <w:rPr>
          <w:spacing w:val="-9"/>
        </w:rPr>
        <w:t> </w:t>
      </w:r>
      <w:r>
        <w:rPr/>
        <w:t>de</w:t>
      </w:r>
      <w:r>
        <w:rPr>
          <w:spacing w:val="-9"/>
        </w:rPr>
        <w:t> </w:t>
      </w:r>
      <w:r>
        <w:rPr/>
        <w:t>los</w:t>
      </w:r>
      <w:r>
        <w:rPr>
          <w:spacing w:val="-11"/>
        </w:rPr>
        <w:t> </w:t>
      </w:r>
      <w:r>
        <w:rPr/>
        <w:t>procedimientos</w:t>
      </w:r>
      <w:r>
        <w:rPr>
          <w:spacing w:val="-10"/>
        </w:rPr>
        <w:t> </w:t>
      </w:r>
      <w:r>
        <w:rPr/>
        <w:t>adjudicados</w:t>
      </w:r>
      <w:r>
        <w:rPr>
          <w:spacing w:val="-9"/>
        </w:rPr>
        <w:t> </w:t>
      </w:r>
      <w:r>
        <w:rPr/>
        <w:t>en</w:t>
      </w:r>
      <w:r>
        <w:rPr>
          <w:spacing w:val="-8"/>
        </w:rPr>
        <w:t> </w:t>
      </w:r>
      <w:r>
        <w:rPr/>
        <w:t>el</w:t>
      </w:r>
      <w:r>
        <w:rPr>
          <w:spacing w:val="-9"/>
        </w:rPr>
        <w:t> </w:t>
      </w:r>
      <w:r>
        <w:rPr/>
        <w:t>año 2022 y de las obligaciones reconocidas en el ejercicio, correspondientes a contratos vigentes en dicho año.</w:t>
      </w:r>
    </w:p>
    <w:p>
      <w:pPr>
        <w:pStyle w:val="BodyText"/>
        <w:spacing w:before="1"/>
        <w:rPr>
          <w:sz w:val="17"/>
        </w:rPr>
      </w:pPr>
    </w:p>
    <w:p>
      <w:pPr>
        <w:pStyle w:val="BodyText"/>
        <w:ind w:left="2299" w:right="1348"/>
        <w:jc w:val="both"/>
      </w:pPr>
      <w:r>
        <w:rPr/>
        <w:t>Por la IGCAC se alega que la información se remitió el 15 de septiembre de 2023 solicitando, por ello, su supresión.</w:t>
      </w:r>
    </w:p>
    <w:p>
      <w:pPr>
        <w:pStyle w:val="BodyText"/>
        <w:spacing w:before="9"/>
        <w:rPr>
          <w:sz w:val="16"/>
        </w:rPr>
      </w:pPr>
    </w:p>
    <w:p>
      <w:pPr>
        <w:pStyle w:val="BodyText"/>
        <w:spacing w:line="242" w:lineRule="auto" w:before="1"/>
        <w:ind w:left="2299" w:right="1346"/>
        <w:jc w:val="both"/>
      </w:pPr>
      <w:r>
        <w:rPr>
          <w:b/>
        </w:rPr>
        <w:t>Contestación: </w:t>
      </w:r>
      <w:r>
        <w:rPr/>
        <w:t>Efectivamente en la citada fecha tuvieron entrada sendos documentos del BI referidos al estado de ejecución del gasto, si bien, por error, no fueron relacionados con la solicitud a la que daban respuesta.</w:t>
      </w:r>
    </w:p>
    <w:p>
      <w:pPr>
        <w:pStyle w:val="BodyText"/>
        <w:spacing w:before="5"/>
        <w:rPr>
          <w:sz w:val="16"/>
        </w:rPr>
      </w:pPr>
    </w:p>
    <w:p>
      <w:pPr>
        <w:pStyle w:val="BodyText"/>
        <w:spacing w:before="1"/>
        <w:ind w:left="2299" w:right="1346"/>
        <w:jc w:val="both"/>
      </w:pPr>
      <w:r>
        <w:rPr/>
        <w:t>No obstante, y tras el análisis efectuado, en fase de alegaciones, se observa que en los mismos no figuran la totalidad de los datos solicitados, por la que no se puede aceptar que dicha información dé respuesta a la petición de esta Institución.</w:t>
      </w:r>
    </w:p>
    <w:p>
      <w:pPr>
        <w:pStyle w:val="BodyText"/>
        <w:spacing w:before="11"/>
        <w:rPr>
          <w:sz w:val="16"/>
        </w:rPr>
      </w:pPr>
    </w:p>
    <w:p>
      <w:pPr>
        <w:pStyle w:val="BodyText"/>
        <w:spacing w:line="242" w:lineRule="auto"/>
        <w:ind w:left="2299" w:right="1343"/>
        <w:jc w:val="both"/>
      </w:pPr>
      <w:r>
        <w:rPr/>
        <w:t>En consecuencia, se modifica el segundo párrafo del epígrafe 4.2.10, pasando a tener la siguiente redacción:</w:t>
      </w:r>
    </w:p>
    <w:p>
      <w:pPr>
        <w:pStyle w:val="BodyText"/>
        <w:spacing w:before="5"/>
        <w:rPr>
          <w:sz w:val="16"/>
        </w:rPr>
      </w:pPr>
    </w:p>
    <w:p>
      <w:pPr>
        <w:spacing w:before="0"/>
        <w:ind w:left="2299" w:right="1341" w:firstLine="0"/>
        <w:jc w:val="both"/>
        <w:rPr>
          <w:i/>
          <w:sz w:val="20"/>
        </w:rPr>
      </w:pPr>
      <w:r>
        <w:rPr>
          <w:sz w:val="20"/>
        </w:rPr>
        <w:t>“</w:t>
      </w:r>
      <w:r>
        <w:rPr>
          <w:i/>
          <w:sz w:val="20"/>
        </w:rPr>
        <w:t>Dado que la información remitida no da respuesta a la solicitud realizada, referente a </w:t>
      </w:r>
      <w:r>
        <w:rPr>
          <w:i/>
          <w:sz w:val="20"/>
        </w:rPr>
        <w:t>los procedimientos de adjudicación utilizados en los diferentes tipos de contratos regulados en la LCSP y las obligaciones reconocidas en cada uno de ellos, se ha utilizado la</w:t>
      </w:r>
      <w:r>
        <w:rPr>
          <w:i/>
          <w:spacing w:val="-5"/>
          <w:sz w:val="20"/>
        </w:rPr>
        <w:t> </w:t>
      </w:r>
      <w:r>
        <w:rPr>
          <w:i/>
          <w:sz w:val="20"/>
        </w:rPr>
        <w:t>información</w:t>
      </w:r>
      <w:r>
        <w:rPr>
          <w:i/>
          <w:spacing w:val="-5"/>
          <w:sz w:val="20"/>
        </w:rPr>
        <w:t> </w:t>
      </w:r>
      <w:r>
        <w:rPr>
          <w:i/>
          <w:sz w:val="20"/>
        </w:rPr>
        <w:t>obtenida</w:t>
      </w:r>
      <w:r>
        <w:rPr>
          <w:i/>
          <w:spacing w:val="-2"/>
          <w:sz w:val="20"/>
        </w:rPr>
        <w:t> </w:t>
      </w:r>
      <w:r>
        <w:rPr>
          <w:i/>
          <w:sz w:val="20"/>
        </w:rPr>
        <w:t>del</w:t>
      </w:r>
      <w:r>
        <w:rPr>
          <w:i/>
          <w:spacing w:val="-4"/>
          <w:sz w:val="20"/>
        </w:rPr>
        <w:t> </w:t>
      </w:r>
      <w:r>
        <w:rPr>
          <w:i/>
          <w:sz w:val="20"/>
        </w:rPr>
        <w:t>Registro</w:t>
      </w:r>
      <w:r>
        <w:rPr>
          <w:i/>
          <w:spacing w:val="-5"/>
          <w:sz w:val="20"/>
        </w:rPr>
        <w:t> </w:t>
      </w:r>
      <w:r>
        <w:rPr>
          <w:i/>
          <w:sz w:val="20"/>
        </w:rPr>
        <w:t>de</w:t>
      </w:r>
      <w:r>
        <w:rPr>
          <w:i/>
          <w:spacing w:val="-4"/>
          <w:sz w:val="20"/>
        </w:rPr>
        <w:t> </w:t>
      </w:r>
      <w:r>
        <w:rPr>
          <w:i/>
          <w:sz w:val="20"/>
        </w:rPr>
        <w:t>Contratos</w:t>
      </w:r>
      <w:r>
        <w:rPr>
          <w:i/>
          <w:spacing w:val="-3"/>
          <w:sz w:val="20"/>
        </w:rPr>
        <w:t> </w:t>
      </w:r>
      <w:r>
        <w:rPr>
          <w:i/>
          <w:sz w:val="20"/>
        </w:rPr>
        <w:t>y</w:t>
      </w:r>
      <w:r>
        <w:rPr>
          <w:i/>
          <w:spacing w:val="-6"/>
          <w:sz w:val="20"/>
        </w:rPr>
        <w:t> </w:t>
      </w:r>
      <w:r>
        <w:rPr>
          <w:i/>
          <w:sz w:val="20"/>
        </w:rPr>
        <w:t>de</w:t>
      </w:r>
      <w:r>
        <w:rPr>
          <w:i/>
          <w:spacing w:val="-4"/>
          <w:sz w:val="20"/>
        </w:rPr>
        <w:t> </w:t>
      </w:r>
      <w:r>
        <w:rPr>
          <w:i/>
          <w:sz w:val="20"/>
        </w:rPr>
        <w:t>la</w:t>
      </w:r>
      <w:r>
        <w:rPr>
          <w:i/>
          <w:spacing w:val="-6"/>
          <w:sz w:val="20"/>
        </w:rPr>
        <w:t> </w:t>
      </w:r>
      <w:r>
        <w:rPr>
          <w:i/>
          <w:sz w:val="20"/>
        </w:rPr>
        <w:t>Plataforma</w:t>
      </w:r>
      <w:r>
        <w:rPr>
          <w:i/>
          <w:spacing w:val="-5"/>
          <w:sz w:val="20"/>
        </w:rPr>
        <w:t> </w:t>
      </w:r>
      <w:r>
        <w:rPr>
          <w:i/>
          <w:sz w:val="20"/>
        </w:rPr>
        <w:t>de</w:t>
      </w:r>
      <w:r>
        <w:rPr>
          <w:i/>
          <w:spacing w:val="-5"/>
          <w:sz w:val="20"/>
        </w:rPr>
        <w:t> </w:t>
      </w:r>
      <w:r>
        <w:rPr>
          <w:i/>
          <w:sz w:val="20"/>
        </w:rPr>
        <w:t>contratación</w:t>
      </w:r>
      <w:r>
        <w:rPr>
          <w:i/>
          <w:spacing w:val="-5"/>
          <w:sz w:val="20"/>
        </w:rPr>
        <w:t> </w:t>
      </w:r>
      <w:r>
        <w:rPr>
          <w:i/>
          <w:sz w:val="20"/>
        </w:rPr>
        <w:t>del Sector Público”.</w:t>
      </w:r>
    </w:p>
    <w:p>
      <w:pPr>
        <w:pStyle w:val="BodyText"/>
        <w:spacing w:before="9"/>
        <w:rPr>
          <w:i/>
          <w:sz w:val="10"/>
        </w:rPr>
      </w:pPr>
    </w:p>
    <w:p>
      <w:pPr>
        <w:pStyle w:val="BodyText"/>
        <w:spacing w:before="61"/>
        <w:ind w:left="8760" w:right="973"/>
        <w:jc w:val="center"/>
      </w:pPr>
      <w:r>
        <w:rPr/>
        <w:t>219</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73" name="image5.png"/>
                  <wp:cNvGraphicFramePr>
                    <a:graphicFrameLocks noChangeAspect="1"/>
                  </wp:cNvGraphicFramePr>
                  <a:graphic>
                    <a:graphicData uri="http://schemas.openxmlformats.org/drawingml/2006/picture">
                      <pic:pic>
                        <pic:nvPicPr>
                          <pic:cNvPr id="47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221/247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jc w:val="both"/>
      </w:pPr>
      <w:r>
        <w:rPr/>
        <w:t>Asimismo, se suprime del Anexo I la línea tercera referida al registro de salida 635.</w:t>
      </w:r>
    </w:p>
    <w:p>
      <w:pPr>
        <w:pStyle w:val="BodyText"/>
        <w:spacing w:before="8"/>
        <w:rPr>
          <w:sz w:val="16"/>
        </w:rPr>
      </w:pPr>
    </w:p>
    <w:p>
      <w:pPr>
        <w:pStyle w:val="Heading1"/>
        <w:ind w:left="2299"/>
        <w:jc w:val="both"/>
      </w:pPr>
      <w:r>
        <w:rPr/>
        <w:t>Alegación 25: 4.2.10. Contratación. Contratos reservados (2).</w:t>
      </w:r>
    </w:p>
    <w:p>
      <w:pPr>
        <w:pStyle w:val="BodyText"/>
        <w:spacing w:before="8"/>
        <w:rPr>
          <w:b/>
          <w:sz w:val="16"/>
        </w:rPr>
      </w:pPr>
    </w:p>
    <w:p>
      <w:pPr>
        <w:pStyle w:val="BodyText"/>
        <w:spacing w:line="242" w:lineRule="auto"/>
        <w:ind w:left="2299" w:right="1344"/>
        <w:jc w:val="both"/>
      </w:pPr>
      <w:r>
        <w:rPr>
          <w:b/>
        </w:rPr>
        <w:t>Resumen: </w:t>
      </w:r>
      <w:r>
        <w:rPr/>
        <w:t>La IGCAC, sobre la base de la información proporcionada por la D. G. de Patrimonio y Contratación, remite, en fase de alegaciones, el informe emitido por la Junta</w:t>
      </w:r>
      <w:r>
        <w:rPr>
          <w:spacing w:val="-3"/>
        </w:rPr>
        <w:t> </w:t>
      </w:r>
      <w:r>
        <w:rPr/>
        <w:t>Consultiva</w:t>
      </w:r>
      <w:r>
        <w:rPr>
          <w:spacing w:val="-6"/>
        </w:rPr>
        <w:t> </w:t>
      </w:r>
      <w:r>
        <w:rPr/>
        <w:t>de</w:t>
      </w:r>
      <w:r>
        <w:rPr>
          <w:spacing w:val="-5"/>
        </w:rPr>
        <w:t> </w:t>
      </w:r>
      <w:r>
        <w:rPr/>
        <w:t>Contratación</w:t>
      </w:r>
      <w:r>
        <w:rPr>
          <w:spacing w:val="-4"/>
        </w:rPr>
        <w:t> </w:t>
      </w:r>
      <w:r>
        <w:rPr/>
        <w:t>Administrativa</w:t>
      </w:r>
      <w:r>
        <w:rPr>
          <w:spacing w:val="-3"/>
        </w:rPr>
        <w:t> </w:t>
      </w:r>
      <w:r>
        <w:rPr/>
        <w:t>referente</w:t>
      </w:r>
      <w:r>
        <w:rPr>
          <w:spacing w:val="-3"/>
        </w:rPr>
        <w:t> </w:t>
      </w:r>
      <w:r>
        <w:rPr/>
        <w:t>al</w:t>
      </w:r>
      <w:r>
        <w:rPr>
          <w:spacing w:val="-5"/>
        </w:rPr>
        <w:t> </w:t>
      </w:r>
      <w:r>
        <w:rPr/>
        <w:t>grado</w:t>
      </w:r>
      <w:r>
        <w:rPr>
          <w:spacing w:val="-5"/>
        </w:rPr>
        <w:t> </w:t>
      </w:r>
      <w:r>
        <w:rPr/>
        <w:t>de</w:t>
      </w:r>
      <w:r>
        <w:rPr>
          <w:spacing w:val="-5"/>
        </w:rPr>
        <w:t> </w:t>
      </w:r>
      <w:r>
        <w:rPr/>
        <w:t>cumplimiento,</w:t>
      </w:r>
      <w:r>
        <w:rPr>
          <w:spacing w:val="-5"/>
        </w:rPr>
        <w:t> </w:t>
      </w:r>
      <w:r>
        <w:rPr/>
        <w:t>en el año 2022, del Acuerdo de Gobierno de 22 de mayo de 2019, por el que se establece el porcentaje mínimo de reserva del derecho a participar en los procedimientos de adjudicación de determinados contratos o lotes, a Centros Especiales de Empleo de iniciativa social, a empresas de inserción y programas de empleo</w:t>
      </w:r>
      <w:r>
        <w:rPr>
          <w:spacing w:val="3"/>
        </w:rPr>
        <w:t> </w:t>
      </w:r>
      <w:r>
        <w:rPr/>
        <w:t>protegido</w:t>
      </w:r>
    </w:p>
    <w:p>
      <w:pPr>
        <w:pStyle w:val="BodyText"/>
        <w:spacing w:before="3"/>
        <w:rPr>
          <w:sz w:val="16"/>
        </w:rPr>
      </w:pPr>
    </w:p>
    <w:p>
      <w:pPr>
        <w:pStyle w:val="BodyText"/>
        <w:spacing w:line="439" w:lineRule="auto" w:before="1"/>
        <w:ind w:left="2299" w:right="2191"/>
        <w:jc w:val="both"/>
      </w:pPr>
      <w:r>
        <w:rPr>
          <w:b/>
        </w:rPr>
        <w:t>Contestación. - </w:t>
      </w:r>
      <w:r>
        <w:rPr/>
        <w:t>La remisión en esta fase, corrobora el contenido del informe. En consecuencia, no se modifica el informe.</w:t>
      </w:r>
    </w:p>
    <w:p>
      <w:pPr>
        <w:pStyle w:val="Heading1"/>
        <w:spacing w:before="1"/>
        <w:ind w:left="2299"/>
        <w:jc w:val="both"/>
      </w:pPr>
      <w:r>
        <w:rPr/>
        <w:t>Alegación 26: 4.2.11 Subvenciones pendientes de justificar.</w:t>
      </w:r>
    </w:p>
    <w:p>
      <w:pPr>
        <w:pStyle w:val="BodyText"/>
        <w:spacing w:before="7"/>
        <w:rPr>
          <w:b/>
          <w:sz w:val="16"/>
        </w:rPr>
      </w:pPr>
    </w:p>
    <w:p>
      <w:pPr>
        <w:pStyle w:val="BodyText"/>
        <w:spacing w:before="1"/>
        <w:ind w:left="2299" w:right="1340"/>
        <w:jc w:val="both"/>
      </w:pPr>
      <w:r>
        <w:rPr>
          <w:b/>
        </w:rPr>
        <w:t>Resumen:</w:t>
      </w:r>
      <w:r>
        <w:rPr>
          <w:b/>
          <w:spacing w:val="-2"/>
        </w:rPr>
        <w:t> </w:t>
      </w:r>
      <w:r>
        <w:rPr/>
        <w:t>Por</w:t>
      </w:r>
      <w:r>
        <w:rPr>
          <w:spacing w:val="-4"/>
        </w:rPr>
        <w:t> </w:t>
      </w:r>
      <w:r>
        <w:rPr/>
        <w:t>el</w:t>
      </w:r>
      <w:r>
        <w:rPr>
          <w:spacing w:val="-4"/>
        </w:rPr>
        <w:t> </w:t>
      </w:r>
      <w:r>
        <w:rPr/>
        <w:t>órgano</w:t>
      </w:r>
      <w:r>
        <w:rPr>
          <w:spacing w:val="-4"/>
        </w:rPr>
        <w:t> </w:t>
      </w:r>
      <w:r>
        <w:rPr/>
        <w:t>de</w:t>
      </w:r>
      <w:r>
        <w:rPr>
          <w:spacing w:val="-2"/>
        </w:rPr>
        <w:t> </w:t>
      </w:r>
      <w:r>
        <w:rPr/>
        <w:t>control</w:t>
      </w:r>
      <w:r>
        <w:rPr>
          <w:spacing w:val="-2"/>
        </w:rPr>
        <w:t> </w:t>
      </w:r>
      <w:r>
        <w:rPr/>
        <w:t>interno</w:t>
      </w:r>
      <w:r>
        <w:rPr>
          <w:spacing w:val="-4"/>
        </w:rPr>
        <w:t> </w:t>
      </w:r>
      <w:r>
        <w:rPr/>
        <w:t>se</w:t>
      </w:r>
      <w:r>
        <w:rPr>
          <w:spacing w:val="-4"/>
        </w:rPr>
        <w:t> </w:t>
      </w:r>
      <w:r>
        <w:rPr/>
        <w:t>solicita</w:t>
      </w:r>
      <w:r>
        <w:rPr>
          <w:spacing w:val="-2"/>
        </w:rPr>
        <w:t> </w:t>
      </w:r>
      <w:r>
        <w:rPr/>
        <w:t>la</w:t>
      </w:r>
      <w:r>
        <w:rPr>
          <w:spacing w:val="-4"/>
        </w:rPr>
        <w:t> </w:t>
      </w:r>
      <w:r>
        <w:rPr/>
        <w:t>supresión</w:t>
      </w:r>
      <w:r>
        <w:rPr>
          <w:spacing w:val="-3"/>
        </w:rPr>
        <w:t> </w:t>
      </w:r>
      <w:r>
        <w:rPr/>
        <w:t>de</w:t>
      </w:r>
      <w:r>
        <w:rPr>
          <w:spacing w:val="-2"/>
        </w:rPr>
        <w:t> </w:t>
      </w:r>
      <w:r>
        <w:rPr/>
        <w:t>la</w:t>
      </w:r>
      <w:r>
        <w:rPr>
          <w:spacing w:val="-4"/>
        </w:rPr>
        <w:t> </w:t>
      </w:r>
      <w:r>
        <w:rPr/>
        <w:t>conveniencia</w:t>
      </w:r>
      <w:r>
        <w:rPr>
          <w:spacing w:val="-4"/>
        </w:rPr>
        <w:t> </w:t>
      </w:r>
      <w:r>
        <w:rPr/>
        <w:t>de establecer, por los gestores, planes para la verificación prioritaria de subvenciones con riesgo de prescripción, justificando su solicitud en la obsolescencia de las herramientas informáticas utilizadas, así como en la obligación de análisis permanente por los gestores.</w:t>
      </w:r>
    </w:p>
    <w:p>
      <w:pPr>
        <w:pStyle w:val="BodyText"/>
        <w:spacing w:before="2"/>
        <w:rPr>
          <w:sz w:val="17"/>
        </w:rPr>
      </w:pPr>
    </w:p>
    <w:p>
      <w:pPr>
        <w:pStyle w:val="BodyText"/>
        <w:ind w:left="2299" w:right="1340"/>
        <w:jc w:val="both"/>
      </w:pPr>
      <w:r>
        <w:rPr>
          <w:b/>
        </w:rPr>
        <w:t>Contestación</w:t>
      </w:r>
      <w:r>
        <w:rPr/>
        <w:t>:</w:t>
      </w:r>
      <w:r>
        <w:rPr>
          <w:spacing w:val="-10"/>
        </w:rPr>
        <w:t> </w:t>
      </w:r>
      <w:r>
        <w:rPr/>
        <w:t>La</w:t>
      </w:r>
      <w:r>
        <w:rPr>
          <w:spacing w:val="-9"/>
        </w:rPr>
        <w:t> </w:t>
      </w:r>
      <w:r>
        <w:rPr/>
        <w:t>obligación</w:t>
      </w:r>
      <w:r>
        <w:rPr>
          <w:spacing w:val="-8"/>
        </w:rPr>
        <w:t> </w:t>
      </w:r>
      <w:r>
        <w:rPr/>
        <w:t>que</w:t>
      </w:r>
      <w:r>
        <w:rPr>
          <w:spacing w:val="-9"/>
        </w:rPr>
        <w:t> </w:t>
      </w:r>
      <w:r>
        <w:rPr/>
        <w:t>la</w:t>
      </w:r>
      <w:r>
        <w:rPr>
          <w:spacing w:val="-12"/>
        </w:rPr>
        <w:t> </w:t>
      </w:r>
      <w:r>
        <w:rPr/>
        <w:t>normativa</w:t>
      </w:r>
      <w:r>
        <w:rPr>
          <w:spacing w:val="-9"/>
        </w:rPr>
        <w:t> </w:t>
      </w:r>
      <w:r>
        <w:rPr/>
        <w:t>impone</w:t>
      </w:r>
      <w:r>
        <w:rPr>
          <w:spacing w:val="-9"/>
        </w:rPr>
        <w:t> </w:t>
      </w:r>
      <w:r>
        <w:rPr/>
        <w:t>a</w:t>
      </w:r>
      <w:r>
        <w:rPr>
          <w:spacing w:val="-9"/>
        </w:rPr>
        <w:t> </w:t>
      </w:r>
      <w:r>
        <w:rPr/>
        <w:t>los</w:t>
      </w:r>
      <w:r>
        <w:rPr>
          <w:spacing w:val="-9"/>
        </w:rPr>
        <w:t> </w:t>
      </w:r>
      <w:r>
        <w:rPr/>
        <w:t>gestores</w:t>
      </w:r>
      <w:r>
        <w:rPr>
          <w:spacing w:val="-10"/>
        </w:rPr>
        <w:t> </w:t>
      </w:r>
      <w:r>
        <w:rPr/>
        <w:t>de</w:t>
      </w:r>
      <w:r>
        <w:rPr>
          <w:spacing w:val="-9"/>
        </w:rPr>
        <w:t> </w:t>
      </w:r>
      <w:r>
        <w:rPr/>
        <w:t>verificar</w:t>
      </w:r>
      <w:r>
        <w:rPr>
          <w:spacing w:val="-9"/>
        </w:rPr>
        <w:t> </w:t>
      </w:r>
      <w:r>
        <w:rPr/>
        <w:t>de</w:t>
      </w:r>
      <w:r>
        <w:rPr>
          <w:spacing w:val="-11"/>
        </w:rPr>
        <w:t> </w:t>
      </w:r>
      <w:r>
        <w:rPr/>
        <w:t>forma permanente el cumplimiento de las condiciones impuestas a los beneficiarios se verá reforzada con medidas de planificación de su</w:t>
      </w:r>
      <w:r>
        <w:rPr>
          <w:spacing w:val="1"/>
        </w:rPr>
        <w:t> </w:t>
      </w:r>
      <w:r>
        <w:rPr/>
        <w:t>gestión.</w:t>
      </w:r>
    </w:p>
    <w:p>
      <w:pPr>
        <w:pStyle w:val="BodyText"/>
        <w:spacing w:before="12"/>
        <w:rPr>
          <w:sz w:val="16"/>
        </w:rPr>
      </w:pPr>
    </w:p>
    <w:p>
      <w:pPr>
        <w:pStyle w:val="BodyText"/>
        <w:ind w:left="2299"/>
        <w:jc w:val="both"/>
      </w:pPr>
      <w:r>
        <w:rPr/>
        <w:t>En consecuencia, no se modifica el informe.</w:t>
      </w:r>
    </w:p>
    <w:p>
      <w:pPr>
        <w:pStyle w:val="BodyText"/>
        <w:spacing w:before="7"/>
        <w:rPr>
          <w:sz w:val="16"/>
        </w:rPr>
      </w:pPr>
    </w:p>
    <w:p>
      <w:pPr>
        <w:pStyle w:val="Heading1"/>
        <w:spacing w:before="1"/>
        <w:ind w:left="2299"/>
        <w:jc w:val="both"/>
      </w:pPr>
      <w:r>
        <w:rPr/>
        <w:t>Alegación 27: 7.1 Estabilidad presupuestaria y Sostenibilidad Financiera.</w:t>
      </w:r>
    </w:p>
    <w:p>
      <w:pPr>
        <w:pStyle w:val="BodyText"/>
        <w:spacing w:before="9"/>
        <w:rPr>
          <w:b/>
          <w:sz w:val="16"/>
        </w:rPr>
      </w:pPr>
    </w:p>
    <w:p>
      <w:pPr>
        <w:pStyle w:val="BodyText"/>
        <w:spacing w:line="242" w:lineRule="auto" w:before="1"/>
        <w:ind w:left="2299" w:right="1343"/>
        <w:jc w:val="both"/>
      </w:pPr>
      <w:r>
        <w:rPr>
          <w:b/>
        </w:rPr>
        <w:t>Resumen: </w:t>
      </w:r>
      <w:r>
        <w:rPr/>
        <w:t>Se indica por la Intervención General que procede sea actualizado los datos de avance sobre el seguimiento del objetivo de estabilidad presupuestaria y de deuda pública y de la regla del gasto del ejercicio 2022, de 3 de mayo de 2023 por el segundo informe</w:t>
      </w:r>
      <w:r>
        <w:rPr>
          <w:spacing w:val="-4"/>
        </w:rPr>
        <w:t> </w:t>
      </w:r>
      <w:r>
        <w:rPr/>
        <w:t>emitido</w:t>
      </w:r>
      <w:r>
        <w:rPr>
          <w:spacing w:val="-6"/>
        </w:rPr>
        <w:t> </w:t>
      </w:r>
      <w:r>
        <w:rPr/>
        <w:t>por</w:t>
      </w:r>
      <w:r>
        <w:rPr>
          <w:spacing w:val="-4"/>
        </w:rPr>
        <w:t> </w:t>
      </w:r>
      <w:r>
        <w:rPr/>
        <w:t>la</w:t>
      </w:r>
      <w:r>
        <w:rPr>
          <w:spacing w:val="-3"/>
        </w:rPr>
        <w:t> </w:t>
      </w:r>
      <w:r>
        <w:rPr/>
        <w:t>IGAE</w:t>
      </w:r>
      <w:r>
        <w:rPr>
          <w:spacing w:val="-4"/>
        </w:rPr>
        <w:t> </w:t>
      </w:r>
      <w:r>
        <w:rPr/>
        <w:t>a</w:t>
      </w:r>
      <w:r>
        <w:rPr>
          <w:spacing w:val="-3"/>
        </w:rPr>
        <w:t> </w:t>
      </w:r>
      <w:r>
        <w:rPr/>
        <w:t>fecha</w:t>
      </w:r>
      <w:r>
        <w:rPr>
          <w:spacing w:val="-6"/>
        </w:rPr>
        <w:t> </w:t>
      </w:r>
      <w:r>
        <w:rPr/>
        <w:t>de</w:t>
      </w:r>
      <w:r>
        <w:rPr>
          <w:spacing w:val="-6"/>
        </w:rPr>
        <w:t> </w:t>
      </w:r>
      <w:r>
        <w:rPr/>
        <w:t>31</w:t>
      </w:r>
      <w:r>
        <w:rPr>
          <w:spacing w:val="-3"/>
        </w:rPr>
        <w:t> </w:t>
      </w:r>
      <w:r>
        <w:rPr/>
        <w:t>de</w:t>
      </w:r>
      <w:r>
        <w:rPr>
          <w:spacing w:val="-3"/>
        </w:rPr>
        <w:t> </w:t>
      </w:r>
      <w:r>
        <w:rPr/>
        <w:t>octubre</w:t>
      </w:r>
      <w:r>
        <w:rPr>
          <w:spacing w:val="-4"/>
        </w:rPr>
        <w:t> </w:t>
      </w:r>
      <w:r>
        <w:rPr/>
        <w:t>de</w:t>
      </w:r>
      <w:r>
        <w:rPr>
          <w:spacing w:val="-4"/>
        </w:rPr>
        <w:t> </w:t>
      </w:r>
      <w:r>
        <w:rPr/>
        <w:t>2023,</w:t>
      </w:r>
      <w:r>
        <w:rPr>
          <w:spacing w:val="-3"/>
        </w:rPr>
        <w:t> </w:t>
      </w:r>
      <w:r>
        <w:rPr/>
        <w:t>conforme</w:t>
      </w:r>
      <w:r>
        <w:rPr>
          <w:spacing w:val="-4"/>
        </w:rPr>
        <w:t> </w:t>
      </w:r>
      <w:r>
        <w:rPr/>
        <w:t>al</w:t>
      </w:r>
      <w:r>
        <w:rPr>
          <w:spacing w:val="-6"/>
        </w:rPr>
        <w:t> </w:t>
      </w:r>
      <w:r>
        <w:rPr/>
        <w:t>artículo</w:t>
      </w:r>
      <w:r>
        <w:rPr>
          <w:spacing w:val="-5"/>
        </w:rPr>
        <w:t> </w:t>
      </w:r>
      <w:r>
        <w:rPr/>
        <w:t>17.4 de la Ley Orgánica de Estabilidad Presupuestaria y Sostenibilidad Financiera, publicado en la web del Ministerio de Hacienda y Función</w:t>
      </w:r>
      <w:r>
        <w:rPr>
          <w:spacing w:val="-1"/>
        </w:rPr>
        <w:t> </w:t>
      </w:r>
      <w:r>
        <w:rPr/>
        <w:t>Pública.</w:t>
      </w:r>
    </w:p>
    <w:p>
      <w:pPr>
        <w:pStyle w:val="BodyText"/>
        <w:spacing w:before="2"/>
        <w:rPr>
          <w:sz w:val="16"/>
        </w:rPr>
      </w:pPr>
    </w:p>
    <w:p>
      <w:pPr>
        <w:pStyle w:val="BodyText"/>
        <w:ind w:left="2299" w:right="1344"/>
        <w:jc w:val="both"/>
      </w:pPr>
      <w:r>
        <w:rPr>
          <w:b/>
        </w:rPr>
        <w:t>Contestación:</w:t>
      </w:r>
      <w:r>
        <w:rPr>
          <w:b/>
          <w:spacing w:val="-7"/>
        </w:rPr>
        <w:t> </w:t>
      </w:r>
      <w:r>
        <w:rPr/>
        <w:t>Tras</w:t>
      </w:r>
      <w:r>
        <w:rPr>
          <w:spacing w:val="-6"/>
        </w:rPr>
        <w:t> </w:t>
      </w:r>
      <w:r>
        <w:rPr/>
        <w:t>la</w:t>
      </w:r>
      <w:r>
        <w:rPr>
          <w:spacing w:val="-8"/>
        </w:rPr>
        <w:t> </w:t>
      </w:r>
      <w:r>
        <w:rPr/>
        <w:t>publicación</w:t>
      </w:r>
      <w:r>
        <w:rPr>
          <w:spacing w:val="-6"/>
        </w:rPr>
        <w:t> </w:t>
      </w:r>
      <w:r>
        <w:rPr/>
        <w:t>del</w:t>
      </w:r>
      <w:r>
        <w:rPr>
          <w:spacing w:val="-6"/>
        </w:rPr>
        <w:t> </w:t>
      </w:r>
      <w:r>
        <w:rPr/>
        <w:t>segundo</w:t>
      </w:r>
      <w:r>
        <w:rPr>
          <w:spacing w:val="-5"/>
        </w:rPr>
        <w:t> </w:t>
      </w:r>
      <w:r>
        <w:rPr/>
        <w:t>informe</w:t>
      </w:r>
      <w:r>
        <w:rPr>
          <w:spacing w:val="-6"/>
        </w:rPr>
        <w:t> </w:t>
      </w:r>
      <w:r>
        <w:rPr/>
        <w:t>sobre</w:t>
      </w:r>
      <w:r>
        <w:rPr>
          <w:spacing w:val="-6"/>
        </w:rPr>
        <w:t> </w:t>
      </w:r>
      <w:r>
        <w:rPr/>
        <w:t>el</w:t>
      </w:r>
      <w:r>
        <w:rPr>
          <w:spacing w:val="-7"/>
        </w:rPr>
        <w:t> </w:t>
      </w:r>
      <w:r>
        <w:rPr/>
        <w:t>seguimiento</w:t>
      </w:r>
      <w:r>
        <w:rPr>
          <w:spacing w:val="-6"/>
        </w:rPr>
        <w:t> </w:t>
      </w:r>
      <w:r>
        <w:rPr/>
        <w:t>del</w:t>
      </w:r>
      <w:r>
        <w:rPr>
          <w:spacing w:val="-6"/>
        </w:rPr>
        <w:t> </w:t>
      </w:r>
      <w:r>
        <w:rPr/>
        <w:t>objetivo de estabilidad presupuestaria y de deuda pública y de la regla del gasto del ejercicio 2022, publicado el 31 de octubre del 2023, se procede a actualizar los datos publicados por el Ministerio de Hacienda y Función Pública en el</w:t>
      </w:r>
      <w:r>
        <w:rPr>
          <w:spacing w:val="2"/>
        </w:rPr>
        <w:t> </w:t>
      </w:r>
      <w:r>
        <w:rPr/>
        <w:t>informe.</w:t>
      </w:r>
    </w:p>
    <w:p>
      <w:pPr>
        <w:pStyle w:val="BodyText"/>
        <w:spacing w:before="2"/>
        <w:rPr>
          <w:sz w:val="14"/>
        </w:rPr>
      </w:pPr>
    </w:p>
    <w:p>
      <w:pPr>
        <w:pStyle w:val="BodyText"/>
        <w:spacing w:before="61"/>
        <w:ind w:left="8760" w:right="973"/>
        <w:jc w:val="center"/>
      </w:pPr>
      <w:r>
        <w:rPr/>
        <w:t>220</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75" name="image5.png"/>
                  <wp:cNvGraphicFramePr>
                    <a:graphicFrameLocks noChangeAspect="1"/>
                  </wp:cNvGraphicFramePr>
                  <a:graphic>
                    <a:graphicData uri="http://schemas.openxmlformats.org/drawingml/2006/picture">
                      <pic:pic>
                        <pic:nvPicPr>
                          <pic:cNvPr id="47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222/247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44"/>
        <w:jc w:val="both"/>
      </w:pPr>
      <w:r>
        <w:rPr/>
        <w:t>Se modifica el párrafo 5 del epígrafe 7.1- Estabilidad presupuestaria y Sostenibilidad Financiera, quedando como sigue:</w:t>
      </w:r>
    </w:p>
    <w:p>
      <w:pPr>
        <w:pStyle w:val="BodyText"/>
        <w:spacing w:before="6"/>
        <w:rPr>
          <w:sz w:val="16"/>
        </w:rPr>
      </w:pPr>
    </w:p>
    <w:p>
      <w:pPr>
        <w:spacing w:before="1"/>
        <w:ind w:left="2299" w:right="1342" w:firstLine="0"/>
        <w:jc w:val="both"/>
        <w:rPr>
          <w:i/>
          <w:sz w:val="20"/>
        </w:rPr>
      </w:pPr>
      <w:r>
        <w:rPr>
          <w:i/>
          <w:sz w:val="20"/>
        </w:rPr>
        <w:t>“5. Al término del ejercicio 2022 y conforme a los datos del informe avance de la IGAE</w:t>
      </w:r>
      <w:r>
        <w:rPr>
          <w:i/>
          <w:position w:val="7"/>
          <w:sz w:val="13"/>
        </w:rPr>
        <w:t>47</w:t>
      </w:r>
      <w:r>
        <w:rPr>
          <w:i/>
          <w:sz w:val="20"/>
        </w:rPr>
        <w:t>, </w:t>
      </w:r>
      <w:r>
        <w:rPr>
          <w:i/>
          <w:sz w:val="20"/>
        </w:rPr>
        <w:t>así como del segundo y último informe emitido el 31 de octubre de 2023, ambos publicados por el Ministerio de Hacienda y Función Pública, el resultado obtenido en cuanto</w:t>
      </w:r>
      <w:r>
        <w:rPr>
          <w:i/>
          <w:spacing w:val="-7"/>
          <w:sz w:val="20"/>
        </w:rPr>
        <w:t> </w:t>
      </w:r>
      <w:r>
        <w:rPr>
          <w:i/>
          <w:sz w:val="20"/>
        </w:rPr>
        <w:t>objetivo</w:t>
      </w:r>
      <w:r>
        <w:rPr>
          <w:i/>
          <w:spacing w:val="-6"/>
          <w:sz w:val="20"/>
        </w:rPr>
        <w:t> </w:t>
      </w:r>
      <w:r>
        <w:rPr>
          <w:i/>
          <w:sz w:val="20"/>
        </w:rPr>
        <w:t>de</w:t>
      </w:r>
      <w:r>
        <w:rPr>
          <w:i/>
          <w:spacing w:val="-5"/>
          <w:sz w:val="20"/>
        </w:rPr>
        <w:t> </w:t>
      </w:r>
      <w:r>
        <w:rPr>
          <w:i/>
          <w:sz w:val="20"/>
        </w:rPr>
        <w:t>estabilidad</w:t>
      </w:r>
      <w:r>
        <w:rPr>
          <w:i/>
          <w:spacing w:val="-6"/>
          <w:sz w:val="20"/>
        </w:rPr>
        <w:t> </w:t>
      </w:r>
      <w:r>
        <w:rPr>
          <w:i/>
          <w:sz w:val="20"/>
        </w:rPr>
        <w:t>presupuestaria,</w:t>
      </w:r>
      <w:r>
        <w:rPr>
          <w:i/>
          <w:spacing w:val="-5"/>
          <w:sz w:val="20"/>
        </w:rPr>
        <w:t> </w:t>
      </w:r>
      <w:r>
        <w:rPr>
          <w:i/>
          <w:sz w:val="20"/>
        </w:rPr>
        <w:t>regla</w:t>
      </w:r>
      <w:r>
        <w:rPr>
          <w:i/>
          <w:spacing w:val="-6"/>
          <w:sz w:val="20"/>
        </w:rPr>
        <w:t> </w:t>
      </w:r>
      <w:r>
        <w:rPr>
          <w:i/>
          <w:sz w:val="20"/>
        </w:rPr>
        <w:t>de</w:t>
      </w:r>
      <w:r>
        <w:rPr>
          <w:i/>
          <w:spacing w:val="-6"/>
          <w:sz w:val="20"/>
        </w:rPr>
        <w:t> </w:t>
      </w:r>
      <w:r>
        <w:rPr>
          <w:i/>
          <w:sz w:val="20"/>
        </w:rPr>
        <w:t>gasto</w:t>
      </w:r>
      <w:r>
        <w:rPr>
          <w:i/>
          <w:spacing w:val="-6"/>
          <w:sz w:val="20"/>
        </w:rPr>
        <w:t> </w:t>
      </w:r>
      <w:r>
        <w:rPr>
          <w:i/>
          <w:sz w:val="20"/>
        </w:rPr>
        <w:t>y</w:t>
      </w:r>
      <w:r>
        <w:rPr>
          <w:i/>
          <w:spacing w:val="-5"/>
          <w:sz w:val="20"/>
        </w:rPr>
        <w:t> </w:t>
      </w:r>
      <w:r>
        <w:rPr>
          <w:i/>
          <w:sz w:val="20"/>
        </w:rPr>
        <w:t>deuda</w:t>
      </w:r>
      <w:r>
        <w:rPr>
          <w:i/>
          <w:spacing w:val="-6"/>
          <w:sz w:val="20"/>
        </w:rPr>
        <w:t> </w:t>
      </w:r>
      <w:r>
        <w:rPr>
          <w:i/>
          <w:sz w:val="20"/>
        </w:rPr>
        <w:t>pública,</w:t>
      </w:r>
      <w:r>
        <w:rPr>
          <w:i/>
          <w:spacing w:val="-5"/>
          <w:sz w:val="20"/>
        </w:rPr>
        <w:t> </w:t>
      </w:r>
      <w:r>
        <w:rPr>
          <w:i/>
          <w:sz w:val="20"/>
        </w:rPr>
        <w:t>fueron</w:t>
      </w:r>
      <w:r>
        <w:rPr>
          <w:i/>
          <w:spacing w:val="-6"/>
          <w:sz w:val="20"/>
        </w:rPr>
        <w:t> </w:t>
      </w:r>
      <w:r>
        <w:rPr>
          <w:i/>
          <w:sz w:val="20"/>
        </w:rPr>
        <w:t>los siguientes:</w:t>
      </w:r>
    </w:p>
    <w:p>
      <w:pPr>
        <w:pStyle w:val="BodyText"/>
        <w:spacing w:before="5"/>
        <w:rPr>
          <w:i/>
          <w:sz w:val="17"/>
        </w:rPr>
      </w:pPr>
    </w:p>
    <w:p>
      <w:pPr>
        <w:pStyle w:val="ListParagraph"/>
        <w:numPr>
          <w:ilvl w:val="0"/>
          <w:numId w:val="126"/>
        </w:numPr>
        <w:tabs>
          <w:tab w:pos="2904" w:val="left" w:leader="none"/>
        </w:tabs>
        <w:spacing w:line="240" w:lineRule="auto" w:before="0" w:after="0"/>
        <w:ind w:left="2903" w:right="0" w:hanging="303"/>
        <w:jc w:val="both"/>
        <w:rPr>
          <w:i/>
          <w:sz w:val="18"/>
        </w:rPr>
      </w:pPr>
      <w:r>
        <w:rPr>
          <w:i/>
          <w:w w:val="105"/>
          <w:sz w:val="18"/>
        </w:rPr>
        <w:t>El</w:t>
      </w:r>
      <w:r>
        <w:rPr>
          <w:i/>
          <w:spacing w:val="22"/>
          <w:w w:val="105"/>
          <w:sz w:val="18"/>
        </w:rPr>
        <w:t> </w:t>
      </w:r>
      <w:r>
        <w:rPr>
          <w:i/>
          <w:w w:val="105"/>
          <w:sz w:val="18"/>
        </w:rPr>
        <w:t>déficit</w:t>
      </w:r>
      <w:r>
        <w:rPr>
          <w:i/>
          <w:spacing w:val="23"/>
          <w:w w:val="105"/>
          <w:sz w:val="18"/>
        </w:rPr>
        <w:t> </w:t>
      </w:r>
      <w:r>
        <w:rPr>
          <w:i/>
          <w:w w:val="105"/>
          <w:sz w:val="18"/>
        </w:rPr>
        <w:t>registrado</w:t>
      </w:r>
      <w:r>
        <w:rPr>
          <w:i/>
          <w:spacing w:val="22"/>
          <w:w w:val="105"/>
          <w:sz w:val="18"/>
        </w:rPr>
        <w:t> </w:t>
      </w:r>
      <w:r>
        <w:rPr>
          <w:i/>
          <w:w w:val="105"/>
          <w:sz w:val="18"/>
        </w:rPr>
        <w:t>asciende</w:t>
      </w:r>
      <w:r>
        <w:rPr>
          <w:i/>
          <w:spacing w:val="23"/>
          <w:w w:val="105"/>
          <w:sz w:val="18"/>
        </w:rPr>
        <w:t> </w:t>
      </w:r>
      <w:r>
        <w:rPr>
          <w:i/>
          <w:w w:val="105"/>
          <w:sz w:val="18"/>
        </w:rPr>
        <w:t>a</w:t>
      </w:r>
      <w:r>
        <w:rPr>
          <w:i/>
          <w:spacing w:val="23"/>
          <w:w w:val="105"/>
          <w:sz w:val="18"/>
        </w:rPr>
        <w:t> </w:t>
      </w:r>
      <w:r>
        <w:rPr>
          <w:i/>
          <w:w w:val="105"/>
          <w:sz w:val="18"/>
        </w:rPr>
        <w:t>635</w:t>
      </w:r>
      <w:r>
        <w:rPr>
          <w:i/>
          <w:spacing w:val="21"/>
          <w:w w:val="105"/>
          <w:sz w:val="18"/>
        </w:rPr>
        <w:t> </w:t>
      </w:r>
      <w:r>
        <w:rPr>
          <w:i/>
          <w:w w:val="105"/>
          <w:sz w:val="18"/>
        </w:rPr>
        <w:t>millones</w:t>
      </w:r>
      <w:r>
        <w:rPr>
          <w:i/>
          <w:spacing w:val="23"/>
          <w:w w:val="105"/>
          <w:sz w:val="18"/>
        </w:rPr>
        <w:t> </w:t>
      </w:r>
      <w:r>
        <w:rPr>
          <w:i/>
          <w:w w:val="105"/>
          <w:sz w:val="18"/>
        </w:rPr>
        <w:t>de</w:t>
      </w:r>
      <w:r>
        <w:rPr>
          <w:i/>
          <w:spacing w:val="22"/>
          <w:w w:val="105"/>
          <w:sz w:val="18"/>
        </w:rPr>
        <w:t> </w:t>
      </w:r>
      <w:r>
        <w:rPr>
          <w:i/>
          <w:w w:val="105"/>
          <w:sz w:val="18"/>
        </w:rPr>
        <w:t>€,</w:t>
      </w:r>
      <w:r>
        <w:rPr>
          <w:i/>
          <w:spacing w:val="23"/>
          <w:w w:val="105"/>
          <w:sz w:val="18"/>
        </w:rPr>
        <w:t> </w:t>
      </w:r>
      <w:r>
        <w:rPr>
          <w:i/>
          <w:w w:val="105"/>
          <w:sz w:val="18"/>
        </w:rPr>
        <w:t>el</w:t>
      </w:r>
      <w:r>
        <w:rPr>
          <w:i/>
          <w:spacing w:val="23"/>
          <w:w w:val="105"/>
          <w:sz w:val="18"/>
        </w:rPr>
        <w:t> </w:t>
      </w:r>
      <w:r>
        <w:rPr>
          <w:i/>
          <w:w w:val="105"/>
          <w:sz w:val="18"/>
        </w:rPr>
        <w:t>-1,3%</w:t>
      </w:r>
      <w:r>
        <w:rPr>
          <w:i/>
          <w:spacing w:val="23"/>
          <w:w w:val="105"/>
          <w:sz w:val="18"/>
        </w:rPr>
        <w:t> </w:t>
      </w:r>
      <w:r>
        <w:rPr>
          <w:i/>
          <w:w w:val="105"/>
          <w:sz w:val="18"/>
        </w:rPr>
        <w:t>del</w:t>
      </w:r>
      <w:r>
        <w:rPr>
          <w:i/>
          <w:spacing w:val="21"/>
          <w:w w:val="105"/>
          <w:sz w:val="18"/>
        </w:rPr>
        <w:t> </w:t>
      </w:r>
      <w:r>
        <w:rPr>
          <w:i/>
          <w:w w:val="105"/>
          <w:sz w:val="18"/>
        </w:rPr>
        <w:t>PIB</w:t>
      </w:r>
      <w:r>
        <w:rPr>
          <w:i/>
          <w:spacing w:val="20"/>
          <w:w w:val="105"/>
          <w:sz w:val="18"/>
        </w:rPr>
        <w:t> </w:t>
      </w:r>
      <w:r>
        <w:rPr>
          <w:i/>
          <w:w w:val="105"/>
          <w:sz w:val="18"/>
        </w:rPr>
        <w:t>regional</w:t>
      </w:r>
      <w:r>
        <w:rPr>
          <w:i/>
          <w:spacing w:val="22"/>
          <w:w w:val="105"/>
          <w:sz w:val="18"/>
        </w:rPr>
        <w:t> </w:t>
      </w:r>
      <w:r>
        <w:rPr>
          <w:i/>
          <w:w w:val="105"/>
          <w:sz w:val="18"/>
        </w:rPr>
        <w:t>(47.588</w:t>
      </w:r>
    </w:p>
    <w:p>
      <w:pPr>
        <w:spacing w:before="6"/>
        <w:ind w:left="2903" w:right="0" w:firstLine="0"/>
        <w:jc w:val="both"/>
        <w:rPr>
          <w:i/>
          <w:sz w:val="18"/>
        </w:rPr>
      </w:pPr>
      <w:r>
        <w:rPr>
          <w:i/>
          <w:w w:val="105"/>
          <w:sz w:val="18"/>
        </w:rPr>
        <w:t>millones de €, informe IGAE</w:t>
      </w:r>
      <w:r>
        <w:rPr>
          <w:i/>
          <w:w w:val="105"/>
          <w:sz w:val="18"/>
          <w:vertAlign w:val="superscript"/>
        </w:rPr>
        <w:t>48</w:t>
      </w:r>
      <w:r>
        <w:rPr>
          <w:i/>
          <w:w w:val="105"/>
          <w:sz w:val="18"/>
          <w:vertAlign w:val="baseline"/>
        </w:rPr>
        <w:t> actualización a 29/09/2023).</w:t>
      </w:r>
    </w:p>
    <w:p>
      <w:pPr>
        <w:pStyle w:val="ListParagraph"/>
        <w:numPr>
          <w:ilvl w:val="0"/>
          <w:numId w:val="126"/>
        </w:numPr>
        <w:tabs>
          <w:tab w:pos="2904" w:val="left" w:leader="none"/>
        </w:tabs>
        <w:spacing w:line="247" w:lineRule="auto" w:before="6" w:after="0"/>
        <w:ind w:left="2903" w:right="1343" w:hanging="303"/>
        <w:jc w:val="both"/>
        <w:rPr>
          <w:i/>
          <w:sz w:val="18"/>
        </w:rPr>
      </w:pPr>
      <w:r>
        <w:rPr>
          <w:i/>
          <w:w w:val="105"/>
          <w:sz w:val="18"/>
        </w:rPr>
        <w:t>El</w:t>
      </w:r>
      <w:r>
        <w:rPr>
          <w:i/>
          <w:spacing w:val="-13"/>
          <w:w w:val="105"/>
          <w:sz w:val="18"/>
        </w:rPr>
        <w:t> </w:t>
      </w:r>
      <w:r>
        <w:rPr>
          <w:i/>
          <w:w w:val="105"/>
          <w:sz w:val="18"/>
        </w:rPr>
        <w:t>gasto</w:t>
      </w:r>
      <w:r>
        <w:rPr>
          <w:i/>
          <w:spacing w:val="-12"/>
          <w:w w:val="105"/>
          <w:sz w:val="18"/>
        </w:rPr>
        <w:t> </w:t>
      </w:r>
      <w:r>
        <w:rPr>
          <w:i/>
          <w:w w:val="105"/>
          <w:sz w:val="18"/>
        </w:rPr>
        <w:t>computable</w:t>
      </w:r>
      <w:r>
        <w:rPr>
          <w:i/>
          <w:spacing w:val="-12"/>
          <w:w w:val="105"/>
          <w:sz w:val="18"/>
        </w:rPr>
        <w:t> </w:t>
      </w:r>
      <w:r>
        <w:rPr>
          <w:i/>
          <w:w w:val="105"/>
          <w:sz w:val="18"/>
        </w:rPr>
        <w:t>del</w:t>
      </w:r>
      <w:r>
        <w:rPr>
          <w:i/>
          <w:spacing w:val="-14"/>
          <w:w w:val="105"/>
          <w:sz w:val="18"/>
        </w:rPr>
        <w:t> </w:t>
      </w:r>
      <w:r>
        <w:rPr>
          <w:i/>
          <w:w w:val="105"/>
          <w:sz w:val="18"/>
        </w:rPr>
        <w:t>ejercicio</w:t>
      </w:r>
      <w:r>
        <w:rPr>
          <w:i/>
          <w:spacing w:val="-12"/>
          <w:w w:val="105"/>
          <w:sz w:val="18"/>
        </w:rPr>
        <w:t> </w:t>
      </w:r>
      <w:r>
        <w:rPr>
          <w:i/>
          <w:w w:val="105"/>
          <w:sz w:val="18"/>
        </w:rPr>
        <w:t>ha</w:t>
      </w:r>
      <w:r>
        <w:rPr>
          <w:i/>
          <w:spacing w:val="-13"/>
          <w:w w:val="105"/>
          <w:sz w:val="18"/>
        </w:rPr>
        <w:t> </w:t>
      </w:r>
      <w:r>
        <w:rPr>
          <w:i/>
          <w:w w:val="105"/>
          <w:sz w:val="18"/>
        </w:rPr>
        <w:t>registrado</w:t>
      </w:r>
      <w:r>
        <w:rPr>
          <w:i/>
          <w:spacing w:val="-13"/>
          <w:w w:val="105"/>
          <w:sz w:val="18"/>
        </w:rPr>
        <w:t> </w:t>
      </w:r>
      <w:r>
        <w:rPr>
          <w:i/>
          <w:w w:val="105"/>
          <w:sz w:val="18"/>
        </w:rPr>
        <w:t>una</w:t>
      </w:r>
      <w:r>
        <w:rPr>
          <w:i/>
          <w:spacing w:val="-12"/>
          <w:w w:val="105"/>
          <w:sz w:val="18"/>
        </w:rPr>
        <w:t> </w:t>
      </w:r>
      <w:r>
        <w:rPr>
          <w:i/>
          <w:w w:val="105"/>
          <w:sz w:val="18"/>
        </w:rPr>
        <w:t>tasa</w:t>
      </w:r>
      <w:r>
        <w:rPr>
          <w:i/>
          <w:spacing w:val="-13"/>
          <w:w w:val="105"/>
          <w:sz w:val="18"/>
        </w:rPr>
        <w:t> </w:t>
      </w:r>
      <w:r>
        <w:rPr>
          <w:i/>
          <w:w w:val="105"/>
          <w:sz w:val="18"/>
        </w:rPr>
        <w:t>de</w:t>
      </w:r>
      <w:r>
        <w:rPr>
          <w:i/>
          <w:spacing w:val="-12"/>
          <w:w w:val="105"/>
          <w:sz w:val="18"/>
        </w:rPr>
        <w:t> </w:t>
      </w:r>
      <w:r>
        <w:rPr>
          <w:i/>
          <w:w w:val="105"/>
          <w:sz w:val="18"/>
        </w:rPr>
        <w:t>variación</w:t>
      </w:r>
      <w:r>
        <w:rPr>
          <w:i/>
          <w:spacing w:val="-13"/>
          <w:w w:val="105"/>
          <w:sz w:val="18"/>
        </w:rPr>
        <w:t> </w:t>
      </w:r>
      <w:r>
        <w:rPr>
          <w:i/>
          <w:w w:val="105"/>
          <w:sz w:val="18"/>
        </w:rPr>
        <w:t>del</w:t>
      </w:r>
      <w:r>
        <w:rPr>
          <w:i/>
          <w:spacing w:val="-14"/>
          <w:w w:val="105"/>
          <w:sz w:val="18"/>
        </w:rPr>
        <w:t> </w:t>
      </w:r>
      <w:r>
        <w:rPr>
          <w:i/>
          <w:w w:val="105"/>
          <w:sz w:val="18"/>
        </w:rPr>
        <w:t>8%</w:t>
      </w:r>
      <w:r>
        <w:rPr>
          <w:i/>
          <w:spacing w:val="-14"/>
          <w:w w:val="105"/>
          <w:sz w:val="18"/>
        </w:rPr>
        <w:t> </w:t>
      </w:r>
      <w:r>
        <w:rPr>
          <w:i/>
          <w:w w:val="105"/>
          <w:sz w:val="18"/>
        </w:rPr>
        <w:t>respecto</w:t>
      </w:r>
      <w:r>
        <w:rPr>
          <w:i/>
          <w:spacing w:val="-13"/>
          <w:w w:val="105"/>
          <w:sz w:val="18"/>
        </w:rPr>
        <w:t> </w:t>
      </w:r>
      <w:r>
        <w:rPr>
          <w:i/>
          <w:w w:val="105"/>
          <w:sz w:val="18"/>
        </w:rPr>
        <w:t>al </w:t>
      </w:r>
      <w:r>
        <w:rPr>
          <w:i/>
          <w:w w:val="105"/>
          <w:sz w:val="18"/>
        </w:rPr>
        <w:t>ejercicio</w:t>
      </w:r>
      <w:r>
        <w:rPr>
          <w:i/>
          <w:spacing w:val="-4"/>
          <w:w w:val="105"/>
          <w:sz w:val="18"/>
        </w:rPr>
        <w:t> </w:t>
      </w:r>
      <w:r>
        <w:rPr>
          <w:i/>
          <w:w w:val="105"/>
          <w:sz w:val="18"/>
        </w:rPr>
        <w:t>2021.</w:t>
      </w:r>
    </w:p>
    <w:p>
      <w:pPr>
        <w:pStyle w:val="ListParagraph"/>
        <w:numPr>
          <w:ilvl w:val="0"/>
          <w:numId w:val="126"/>
        </w:numPr>
        <w:tabs>
          <w:tab w:pos="2904" w:val="left" w:leader="none"/>
        </w:tabs>
        <w:spacing w:line="247" w:lineRule="auto" w:before="0" w:after="0"/>
        <w:ind w:left="2903" w:right="1345" w:hanging="303"/>
        <w:jc w:val="both"/>
        <w:rPr>
          <w:i/>
          <w:sz w:val="18"/>
        </w:rPr>
      </w:pPr>
      <w:r>
        <w:rPr>
          <w:i/>
          <w:w w:val="105"/>
          <w:sz w:val="18"/>
        </w:rPr>
        <w:t>La deuda registrada al cierre del ejercicio 2022 se situó en 6.516 millones de €, </w:t>
      </w:r>
      <w:r>
        <w:rPr>
          <w:i/>
          <w:w w:val="105"/>
          <w:sz w:val="18"/>
        </w:rPr>
        <w:t>posteriormente</w:t>
      </w:r>
      <w:r>
        <w:rPr>
          <w:i/>
          <w:spacing w:val="-4"/>
          <w:w w:val="105"/>
          <w:sz w:val="18"/>
        </w:rPr>
        <w:t> </w:t>
      </w:r>
      <w:r>
        <w:rPr>
          <w:i/>
          <w:w w:val="105"/>
          <w:sz w:val="18"/>
        </w:rPr>
        <w:t>modificada</w:t>
      </w:r>
      <w:r>
        <w:rPr>
          <w:i/>
          <w:spacing w:val="-2"/>
          <w:w w:val="105"/>
          <w:sz w:val="18"/>
        </w:rPr>
        <w:t> </w:t>
      </w:r>
      <w:r>
        <w:rPr>
          <w:i/>
          <w:w w:val="105"/>
          <w:sz w:val="18"/>
        </w:rPr>
        <w:t>pasando</w:t>
      </w:r>
      <w:r>
        <w:rPr>
          <w:i/>
          <w:spacing w:val="-2"/>
          <w:w w:val="105"/>
          <w:sz w:val="18"/>
        </w:rPr>
        <w:t> </w:t>
      </w:r>
      <w:r>
        <w:rPr>
          <w:i/>
          <w:w w:val="105"/>
          <w:sz w:val="18"/>
        </w:rPr>
        <w:t>a</w:t>
      </w:r>
      <w:r>
        <w:rPr>
          <w:i/>
          <w:spacing w:val="-2"/>
          <w:w w:val="105"/>
          <w:sz w:val="18"/>
        </w:rPr>
        <w:t> </w:t>
      </w:r>
      <w:r>
        <w:rPr>
          <w:i/>
          <w:w w:val="105"/>
          <w:sz w:val="18"/>
        </w:rPr>
        <w:t>la</w:t>
      </w:r>
      <w:r>
        <w:rPr>
          <w:i/>
          <w:spacing w:val="-3"/>
          <w:w w:val="105"/>
          <w:sz w:val="18"/>
        </w:rPr>
        <w:t> </w:t>
      </w:r>
      <w:r>
        <w:rPr>
          <w:i/>
          <w:w w:val="105"/>
          <w:sz w:val="18"/>
        </w:rPr>
        <w:t>cifra</w:t>
      </w:r>
      <w:r>
        <w:rPr>
          <w:i/>
          <w:spacing w:val="-4"/>
          <w:w w:val="105"/>
          <w:sz w:val="18"/>
        </w:rPr>
        <w:t> </w:t>
      </w:r>
      <w:r>
        <w:rPr>
          <w:i/>
          <w:w w:val="105"/>
          <w:sz w:val="18"/>
        </w:rPr>
        <w:t>de</w:t>
      </w:r>
      <w:r>
        <w:rPr>
          <w:i/>
          <w:spacing w:val="-4"/>
          <w:w w:val="105"/>
          <w:sz w:val="18"/>
        </w:rPr>
        <w:t> </w:t>
      </w:r>
      <w:r>
        <w:rPr>
          <w:i/>
          <w:w w:val="105"/>
          <w:sz w:val="18"/>
        </w:rPr>
        <w:t>6.474</w:t>
      </w:r>
      <w:r>
        <w:rPr>
          <w:i/>
          <w:spacing w:val="-1"/>
          <w:w w:val="105"/>
          <w:sz w:val="18"/>
        </w:rPr>
        <w:t> </w:t>
      </w:r>
      <w:r>
        <w:rPr>
          <w:i/>
          <w:w w:val="105"/>
          <w:sz w:val="18"/>
        </w:rPr>
        <w:t>millones</w:t>
      </w:r>
      <w:r>
        <w:rPr>
          <w:i/>
          <w:spacing w:val="-2"/>
          <w:w w:val="105"/>
          <w:sz w:val="18"/>
        </w:rPr>
        <w:t> </w:t>
      </w:r>
      <w:r>
        <w:rPr>
          <w:i/>
          <w:w w:val="105"/>
          <w:sz w:val="18"/>
        </w:rPr>
        <w:t>de</w:t>
      </w:r>
      <w:r>
        <w:rPr>
          <w:i/>
          <w:spacing w:val="-3"/>
          <w:w w:val="105"/>
          <w:sz w:val="18"/>
        </w:rPr>
        <w:t> </w:t>
      </w:r>
      <w:r>
        <w:rPr>
          <w:i/>
          <w:w w:val="105"/>
          <w:sz w:val="18"/>
        </w:rPr>
        <w:t>€,</w:t>
      </w:r>
      <w:r>
        <w:rPr>
          <w:i/>
          <w:spacing w:val="-3"/>
          <w:w w:val="105"/>
          <w:sz w:val="18"/>
        </w:rPr>
        <w:t> </w:t>
      </w:r>
      <w:r>
        <w:rPr>
          <w:i/>
          <w:w w:val="105"/>
          <w:sz w:val="18"/>
        </w:rPr>
        <w:t>el</w:t>
      </w:r>
      <w:r>
        <w:rPr>
          <w:i/>
          <w:spacing w:val="-4"/>
          <w:w w:val="105"/>
          <w:sz w:val="18"/>
        </w:rPr>
        <w:t> </w:t>
      </w:r>
      <w:r>
        <w:rPr>
          <w:i/>
          <w:w w:val="105"/>
          <w:sz w:val="18"/>
        </w:rPr>
        <w:t>13,6%</w:t>
      </w:r>
      <w:r>
        <w:rPr>
          <w:i/>
          <w:spacing w:val="-1"/>
          <w:w w:val="105"/>
          <w:sz w:val="18"/>
        </w:rPr>
        <w:t> </w:t>
      </w:r>
      <w:r>
        <w:rPr>
          <w:i/>
          <w:w w:val="105"/>
          <w:sz w:val="18"/>
        </w:rPr>
        <w:t>del</w:t>
      </w:r>
      <w:r>
        <w:rPr>
          <w:i/>
          <w:spacing w:val="-2"/>
          <w:w w:val="105"/>
          <w:sz w:val="18"/>
        </w:rPr>
        <w:t> </w:t>
      </w:r>
      <w:r>
        <w:rPr>
          <w:i/>
          <w:w w:val="105"/>
          <w:sz w:val="18"/>
        </w:rPr>
        <w:t>PIB regional.”</w:t>
      </w:r>
    </w:p>
    <w:p>
      <w:pPr>
        <w:pStyle w:val="BodyText"/>
        <w:rPr>
          <w:i/>
          <w:sz w:val="16"/>
        </w:rPr>
      </w:pPr>
    </w:p>
    <w:p>
      <w:pPr>
        <w:pStyle w:val="Heading1"/>
        <w:spacing w:before="1"/>
        <w:ind w:left="2299"/>
        <w:jc w:val="both"/>
      </w:pPr>
      <w:r>
        <w:rPr/>
        <w:t>Alegación 28: 8.1 Declaración definitiva sobre la Cuenta General.</w:t>
      </w:r>
    </w:p>
    <w:p>
      <w:pPr>
        <w:pStyle w:val="BodyText"/>
        <w:spacing w:before="7"/>
        <w:rPr>
          <w:b/>
          <w:sz w:val="16"/>
        </w:rPr>
      </w:pPr>
    </w:p>
    <w:p>
      <w:pPr>
        <w:pStyle w:val="BodyText"/>
        <w:ind w:left="2299" w:right="1348"/>
        <w:jc w:val="both"/>
      </w:pPr>
      <w:r>
        <w:rPr>
          <w:b/>
        </w:rPr>
        <w:t>Resumen: </w:t>
      </w:r>
      <w:r>
        <w:rPr/>
        <w:t>Señala la IGCAC que se ha producido un cambio de enfoque respecto a los informes de la Cuenta General de años anteriores. Además, se pregunta por el marco normativo que sustenta sustituir la “opinión” por la declaración definitiva”.</w:t>
      </w:r>
    </w:p>
    <w:p>
      <w:pPr>
        <w:pStyle w:val="BodyText"/>
        <w:spacing w:before="11"/>
        <w:rPr>
          <w:sz w:val="16"/>
        </w:rPr>
      </w:pPr>
    </w:p>
    <w:p>
      <w:pPr>
        <w:spacing w:line="242" w:lineRule="auto" w:before="1"/>
        <w:ind w:left="2299" w:right="1340" w:firstLine="0"/>
        <w:jc w:val="both"/>
        <w:rPr>
          <w:i/>
          <w:sz w:val="20"/>
        </w:rPr>
      </w:pPr>
      <w:r>
        <w:rPr>
          <w:b/>
          <w:sz w:val="20"/>
        </w:rPr>
        <w:t>Contestación: </w:t>
      </w:r>
      <w:r>
        <w:rPr>
          <w:sz w:val="20"/>
        </w:rPr>
        <w:t>El informe de la Cuenta General del año 2022 sustituye el párrafo de opinión por una declaración definitiva, de conformidad con lo dispuesto por las directrices técnicas de esta fiscalización, que fueron aprobadas por el Pleno de esta ACC el 28 de septiembre de 2023, que establecía como objetivos de la fiscalización lo siguiente: </w:t>
      </w:r>
      <w:r>
        <w:rPr>
          <w:i/>
          <w:sz w:val="20"/>
        </w:rPr>
        <w:t>“El objetivo es emitir una declaración definitiva sobre la Cuenta General </w:t>
      </w:r>
      <w:r>
        <w:rPr>
          <w:i/>
          <w:sz w:val="20"/>
        </w:rPr>
        <w:t>correspondiente al ejercicio 2022, con el fin de expresar una opinión sobre si ésta se ha rendido en el plazo que establece la LHPC, la adecuación de su estructura y contenido a la normativa que la regula, su coherencia interna respecto a las cuentas y estados que la integran y si su elaboración es conforme a la legalidad que le resulta aplicable. Asimismo, contiene un análisis general desde la perspectiva económico-financiera y, particularmente, de las entidades instrumentales de la Administración de la Comunidad Autónoma,</w:t>
      </w:r>
      <w:r>
        <w:rPr>
          <w:i/>
          <w:spacing w:val="-7"/>
          <w:sz w:val="20"/>
        </w:rPr>
        <w:t> </w:t>
      </w:r>
      <w:r>
        <w:rPr>
          <w:i/>
          <w:sz w:val="20"/>
        </w:rPr>
        <w:t>así</w:t>
      </w:r>
      <w:r>
        <w:rPr>
          <w:i/>
          <w:spacing w:val="-8"/>
          <w:sz w:val="20"/>
        </w:rPr>
        <w:t> </w:t>
      </w:r>
      <w:r>
        <w:rPr>
          <w:i/>
          <w:sz w:val="20"/>
        </w:rPr>
        <w:t>como</w:t>
      </w:r>
      <w:r>
        <w:rPr>
          <w:i/>
          <w:spacing w:val="-10"/>
          <w:sz w:val="20"/>
        </w:rPr>
        <w:t> </w:t>
      </w:r>
      <w:r>
        <w:rPr>
          <w:i/>
          <w:sz w:val="20"/>
        </w:rPr>
        <w:t>del</w:t>
      </w:r>
      <w:r>
        <w:rPr>
          <w:i/>
          <w:spacing w:val="-9"/>
          <w:sz w:val="20"/>
        </w:rPr>
        <w:t> </w:t>
      </w:r>
      <w:r>
        <w:rPr>
          <w:i/>
          <w:sz w:val="20"/>
        </w:rPr>
        <w:t>cumplimiento</w:t>
      </w:r>
      <w:r>
        <w:rPr>
          <w:i/>
          <w:spacing w:val="-9"/>
          <w:sz w:val="20"/>
        </w:rPr>
        <w:t> </w:t>
      </w:r>
      <w:r>
        <w:rPr>
          <w:i/>
          <w:sz w:val="20"/>
        </w:rPr>
        <w:t>de</w:t>
      </w:r>
      <w:r>
        <w:rPr>
          <w:i/>
          <w:spacing w:val="-9"/>
          <w:sz w:val="20"/>
        </w:rPr>
        <w:t> </w:t>
      </w:r>
      <w:r>
        <w:rPr>
          <w:i/>
          <w:sz w:val="20"/>
        </w:rPr>
        <w:t>los</w:t>
      </w:r>
      <w:r>
        <w:rPr>
          <w:i/>
          <w:spacing w:val="-8"/>
          <w:sz w:val="20"/>
        </w:rPr>
        <w:t> </w:t>
      </w:r>
      <w:r>
        <w:rPr>
          <w:i/>
          <w:sz w:val="20"/>
        </w:rPr>
        <w:t>compromisos</w:t>
      </w:r>
      <w:r>
        <w:rPr>
          <w:i/>
          <w:spacing w:val="-9"/>
          <w:sz w:val="20"/>
        </w:rPr>
        <w:t> </w:t>
      </w:r>
      <w:r>
        <w:rPr>
          <w:i/>
          <w:sz w:val="20"/>
        </w:rPr>
        <w:t>de</w:t>
      </w:r>
      <w:r>
        <w:rPr>
          <w:i/>
          <w:spacing w:val="-8"/>
          <w:sz w:val="20"/>
        </w:rPr>
        <w:t> </w:t>
      </w:r>
      <w:r>
        <w:rPr>
          <w:i/>
          <w:sz w:val="20"/>
        </w:rPr>
        <w:t>estabilidad</w:t>
      </w:r>
      <w:r>
        <w:rPr>
          <w:i/>
          <w:spacing w:val="-10"/>
          <w:sz w:val="20"/>
        </w:rPr>
        <w:t> </w:t>
      </w:r>
      <w:r>
        <w:rPr>
          <w:i/>
          <w:sz w:val="20"/>
        </w:rPr>
        <w:t>presupuestaria y de la claridad de la información económica, financiera y</w:t>
      </w:r>
      <w:r>
        <w:rPr>
          <w:i/>
          <w:spacing w:val="10"/>
          <w:sz w:val="20"/>
        </w:rPr>
        <w:t> </w:t>
      </w:r>
      <w:r>
        <w:rPr>
          <w:i/>
          <w:sz w:val="20"/>
        </w:rPr>
        <w:t>presupuestaria.”</w:t>
      </w:r>
    </w:p>
    <w:p>
      <w:pPr>
        <w:pStyle w:val="BodyText"/>
        <w:spacing w:before="11"/>
        <w:rPr>
          <w:i/>
          <w:sz w:val="15"/>
        </w:rPr>
      </w:pPr>
    </w:p>
    <w:p>
      <w:pPr>
        <w:pStyle w:val="BodyText"/>
        <w:ind w:left="2299"/>
        <w:jc w:val="both"/>
      </w:pPr>
      <w:r>
        <w:rPr/>
        <w:t>Sustituir la opinión por una declaración definitiva es una tendencia, generalizada, en los</w:t>
      </w:r>
    </w:p>
    <w:p>
      <w:pPr>
        <w:pStyle w:val="BodyText"/>
        <w:spacing w:before="9"/>
        <w:rPr>
          <w:sz w:val="17"/>
        </w:rPr>
      </w:pPr>
      <w:r>
        <w:rPr/>
        <w:pict>
          <v:shape style="position:absolute;margin-left:142.958206pt;margin-top:13.158128pt;width:120.95pt;height:.1pt;mso-position-horizontal-relative:page;mso-position-vertical-relative:paragraph;z-index:-251415552;mso-wrap-distance-left:0;mso-wrap-distance-right:0" coordorigin="2859,263" coordsize="2419,0" path="m2859,263l5278,263e" filled="false" stroked="true" strokeweight=".604484pt" strokecolor="#000000">
            <v:path arrowok="t"/>
            <v:stroke dashstyle="solid"/>
            <w10:wrap type="topAndBottom"/>
          </v:shape>
        </w:pict>
      </w:r>
    </w:p>
    <w:p>
      <w:pPr>
        <w:spacing w:line="252" w:lineRule="auto" w:before="51"/>
        <w:ind w:left="2299" w:right="1263" w:firstLine="0"/>
        <w:jc w:val="left"/>
        <w:rPr>
          <w:sz w:val="16"/>
        </w:rPr>
      </w:pPr>
      <w:r>
        <w:rPr>
          <w:w w:val="105"/>
          <w:position w:val="6"/>
          <w:sz w:val="11"/>
        </w:rPr>
        <w:t>47</w:t>
      </w:r>
      <w:r>
        <w:rPr>
          <w:spacing w:val="1"/>
          <w:w w:val="105"/>
          <w:position w:val="6"/>
          <w:sz w:val="11"/>
        </w:rPr>
        <w:t> </w:t>
      </w:r>
      <w:r>
        <w:rPr>
          <w:w w:val="105"/>
          <w:sz w:val="16"/>
        </w:rPr>
        <w:t>Informe</w:t>
      </w:r>
      <w:r>
        <w:rPr>
          <w:spacing w:val="-10"/>
          <w:w w:val="105"/>
          <w:sz w:val="16"/>
        </w:rPr>
        <w:t> </w:t>
      </w:r>
      <w:r>
        <w:rPr>
          <w:w w:val="105"/>
          <w:sz w:val="16"/>
        </w:rPr>
        <w:t>sobre</w:t>
      </w:r>
      <w:r>
        <w:rPr>
          <w:spacing w:val="-10"/>
          <w:w w:val="105"/>
          <w:sz w:val="16"/>
        </w:rPr>
        <w:t> </w:t>
      </w:r>
      <w:r>
        <w:rPr>
          <w:w w:val="105"/>
          <w:sz w:val="16"/>
        </w:rPr>
        <w:t>el</w:t>
      </w:r>
      <w:r>
        <w:rPr>
          <w:spacing w:val="-9"/>
          <w:w w:val="105"/>
          <w:sz w:val="16"/>
        </w:rPr>
        <w:t> </w:t>
      </w:r>
      <w:r>
        <w:rPr>
          <w:w w:val="105"/>
          <w:sz w:val="16"/>
        </w:rPr>
        <w:t>seguimiento</w:t>
      </w:r>
      <w:r>
        <w:rPr>
          <w:spacing w:val="-9"/>
          <w:w w:val="105"/>
          <w:sz w:val="16"/>
        </w:rPr>
        <w:t> </w:t>
      </w:r>
      <w:r>
        <w:rPr>
          <w:w w:val="105"/>
          <w:sz w:val="16"/>
        </w:rPr>
        <w:t>del</w:t>
      </w:r>
      <w:r>
        <w:rPr>
          <w:spacing w:val="-8"/>
          <w:w w:val="105"/>
          <w:sz w:val="16"/>
        </w:rPr>
        <w:t> </w:t>
      </w:r>
      <w:r>
        <w:rPr>
          <w:w w:val="105"/>
          <w:sz w:val="16"/>
        </w:rPr>
        <w:t>objetivo</w:t>
      </w:r>
      <w:r>
        <w:rPr>
          <w:spacing w:val="-9"/>
          <w:w w:val="105"/>
          <w:sz w:val="16"/>
        </w:rPr>
        <w:t> </w:t>
      </w:r>
      <w:r>
        <w:rPr>
          <w:w w:val="105"/>
          <w:sz w:val="16"/>
        </w:rPr>
        <w:t>de</w:t>
      </w:r>
      <w:r>
        <w:rPr>
          <w:spacing w:val="-10"/>
          <w:w w:val="105"/>
          <w:sz w:val="16"/>
        </w:rPr>
        <w:t> </w:t>
      </w:r>
      <w:r>
        <w:rPr>
          <w:w w:val="105"/>
          <w:sz w:val="16"/>
        </w:rPr>
        <w:t>estabilidad</w:t>
      </w:r>
      <w:r>
        <w:rPr>
          <w:spacing w:val="-8"/>
          <w:w w:val="105"/>
          <w:sz w:val="16"/>
        </w:rPr>
        <w:t> </w:t>
      </w:r>
      <w:r>
        <w:rPr>
          <w:w w:val="105"/>
          <w:sz w:val="16"/>
        </w:rPr>
        <w:t>presupuestaria</w:t>
      </w:r>
      <w:r>
        <w:rPr>
          <w:spacing w:val="-10"/>
          <w:w w:val="105"/>
          <w:sz w:val="16"/>
        </w:rPr>
        <w:t> </w:t>
      </w:r>
      <w:r>
        <w:rPr>
          <w:w w:val="105"/>
          <w:sz w:val="16"/>
        </w:rPr>
        <w:t>y</w:t>
      </w:r>
      <w:r>
        <w:rPr>
          <w:spacing w:val="-9"/>
          <w:w w:val="105"/>
          <w:sz w:val="16"/>
        </w:rPr>
        <w:t> </w:t>
      </w:r>
      <w:r>
        <w:rPr>
          <w:w w:val="105"/>
          <w:sz w:val="16"/>
        </w:rPr>
        <w:t>de</w:t>
      </w:r>
      <w:r>
        <w:rPr>
          <w:spacing w:val="-10"/>
          <w:w w:val="105"/>
          <w:sz w:val="16"/>
        </w:rPr>
        <w:t> </w:t>
      </w:r>
      <w:r>
        <w:rPr>
          <w:w w:val="105"/>
          <w:sz w:val="16"/>
        </w:rPr>
        <w:t>deuda</w:t>
      </w:r>
      <w:r>
        <w:rPr>
          <w:spacing w:val="-11"/>
          <w:w w:val="105"/>
          <w:sz w:val="16"/>
        </w:rPr>
        <w:t> </w:t>
      </w:r>
      <w:r>
        <w:rPr>
          <w:w w:val="105"/>
          <w:sz w:val="16"/>
        </w:rPr>
        <w:t>pública</w:t>
      </w:r>
      <w:r>
        <w:rPr>
          <w:spacing w:val="-9"/>
          <w:w w:val="105"/>
          <w:sz w:val="16"/>
        </w:rPr>
        <w:t> </w:t>
      </w:r>
      <w:r>
        <w:rPr>
          <w:w w:val="105"/>
          <w:sz w:val="16"/>
        </w:rPr>
        <w:t>y</w:t>
      </w:r>
      <w:r>
        <w:rPr>
          <w:spacing w:val="-9"/>
          <w:w w:val="105"/>
          <w:sz w:val="16"/>
        </w:rPr>
        <w:t> </w:t>
      </w:r>
      <w:r>
        <w:rPr>
          <w:w w:val="105"/>
          <w:sz w:val="16"/>
        </w:rPr>
        <w:t>de</w:t>
      </w:r>
      <w:r>
        <w:rPr>
          <w:spacing w:val="-10"/>
          <w:w w:val="105"/>
          <w:sz w:val="16"/>
        </w:rPr>
        <w:t> </w:t>
      </w:r>
      <w:r>
        <w:rPr>
          <w:w w:val="105"/>
          <w:sz w:val="16"/>
        </w:rPr>
        <w:t>la</w:t>
      </w:r>
      <w:r>
        <w:rPr>
          <w:spacing w:val="-9"/>
          <w:w w:val="105"/>
          <w:sz w:val="16"/>
        </w:rPr>
        <w:t> </w:t>
      </w:r>
      <w:r>
        <w:rPr>
          <w:w w:val="105"/>
          <w:sz w:val="16"/>
        </w:rPr>
        <w:t>regla de gasto del ejercicio 2022, 3 de mayo de</w:t>
      </w:r>
      <w:r>
        <w:rPr>
          <w:spacing w:val="-4"/>
          <w:w w:val="105"/>
          <w:sz w:val="16"/>
        </w:rPr>
        <w:t> </w:t>
      </w:r>
      <w:r>
        <w:rPr>
          <w:w w:val="105"/>
          <w:sz w:val="16"/>
        </w:rPr>
        <w:t>2023.</w:t>
      </w:r>
    </w:p>
    <w:p>
      <w:pPr>
        <w:spacing w:line="194" w:lineRule="exact" w:before="0"/>
        <w:ind w:left="2299" w:right="0" w:firstLine="0"/>
        <w:jc w:val="left"/>
        <w:rPr>
          <w:sz w:val="16"/>
        </w:rPr>
      </w:pPr>
      <w:r>
        <w:rPr>
          <w:w w:val="105"/>
          <w:position w:val="6"/>
          <w:sz w:val="11"/>
        </w:rPr>
        <w:t>48 </w:t>
      </w:r>
      <w:r>
        <w:rPr>
          <w:w w:val="105"/>
          <w:sz w:val="16"/>
        </w:rPr>
        <w:t>Informe IGAE de 29/09/2023 relativa a Operaciones no financieras del año 2022, en términos de</w:t>
      </w:r>
    </w:p>
    <w:p>
      <w:pPr>
        <w:spacing w:line="252" w:lineRule="auto" w:before="10"/>
        <w:ind w:left="2299" w:right="1263" w:firstLine="0"/>
        <w:jc w:val="left"/>
        <w:rPr>
          <w:sz w:val="16"/>
        </w:rPr>
      </w:pPr>
      <w:r>
        <w:rPr>
          <w:w w:val="105"/>
          <w:sz w:val="16"/>
        </w:rPr>
        <w:t>contabilidad nacional (SEC 2010). Revisión estadística 2019 de la Administración Regional (S.312) y de la CAC en particular</w:t>
      </w:r>
    </w:p>
    <w:p>
      <w:pPr>
        <w:pStyle w:val="BodyText"/>
        <w:spacing w:line="238" w:lineRule="exact"/>
        <w:ind w:left="8760" w:right="973"/>
        <w:jc w:val="center"/>
      </w:pPr>
      <w:r>
        <w:rPr/>
        <w:t>221</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77" name="image5.png"/>
                  <wp:cNvGraphicFramePr>
                    <a:graphicFrameLocks noChangeAspect="1"/>
                  </wp:cNvGraphicFramePr>
                  <a:graphic>
                    <a:graphicData uri="http://schemas.openxmlformats.org/drawingml/2006/picture">
                      <pic:pic>
                        <pic:nvPicPr>
                          <pic:cNvPr id="47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223/247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42"/>
        <w:jc w:val="both"/>
      </w:pPr>
      <w:r>
        <w:rPr/>
        <w:t>supuestos de las grandes fiscalizaciones, sometidas a un plazo reducido para la elaboración</w:t>
      </w:r>
      <w:r>
        <w:rPr>
          <w:spacing w:val="-10"/>
        </w:rPr>
        <w:t> </w:t>
      </w:r>
      <w:r>
        <w:rPr/>
        <w:t>de</w:t>
      </w:r>
      <w:r>
        <w:rPr>
          <w:spacing w:val="-9"/>
        </w:rPr>
        <w:t> </w:t>
      </w:r>
      <w:r>
        <w:rPr/>
        <w:t>los</w:t>
      </w:r>
      <w:r>
        <w:rPr>
          <w:spacing w:val="-10"/>
        </w:rPr>
        <w:t> </w:t>
      </w:r>
      <w:r>
        <w:rPr/>
        <w:t>informes,</w:t>
      </w:r>
      <w:r>
        <w:rPr>
          <w:spacing w:val="-9"/>
        </w:rPr>
        <w:t> </w:t>
      </w:r>
      <w:r>
        <w:rPr/>
        <w:t>como</w:t>
      </w:r>
      <w:r>
        <w:rPr>
          <w:spacing w:val="-10"/>
        </w:rPr>
        <w:t> </w:t>
      </w:r>
      <w:r>
        <w:rPr/>
        <w:t>es</w:t>
      </w:r>
      <w:r>
        <w:rPr>
          <w:spacing w:val="-9"/>
        </w:rPr>
        <w:t> </w:t>
      </w:r>
      <w:r>
        <w:rPr/>
        <w:t>el</w:t>
      </w:r>
      <w:r>
        <w:rPr>
          <w:spacing w:val="-10"/>
        </w:rPr>
        <w:t> </w:t>
      </w:r>
      <w:r>
        <w:rPr/>
        <w:t>caso</w:t>
      </w:r>
      <w:r>
        <w:rPr>
          <w:spacing w:val="-9"/>
        </w:rPr>
        <w:t> </w:t>
      </w:r>
      <w:r>
        <w:rPr/>
        <w:t>de</w:t>
      </w:r>
      <w:r>
        <w:rPr>
          <w:spacing w:val="-9"/>
        </w:rPr>
        <w:t> </w:t>
      </w:r>
      <w:r>
        <w:rPr/>
        <w:t>la</w:t>
      </w:r>
      <w:r>
        <w:rPr>
          <w:spacing w:val="-12"/>
        </w:rPr>
        <w:t> </w:t>
      </w:r>
      <w:r>
        <w:rPr/>
        <w:t>Cuenta</w:t>
      </w:r>
      <w:r>
        <w:rPr>
          <w:spacing w:val="-9"/>
        </w:rPr>
        <w:t> </w:t>
      </w:r>
      <w:r>
        <w:rPr/>
        <w:t>General.</w:t>
      </w:r>
      <w:r>
        <w:rPr>
          <w:spacing w:val="25"/>
        </w:rPr>
        <w:t> </w:t>
      </w:r>
      <w:r>
        <w:rPr/>
        <w:t>Se</w:t>
      </w:r>
      <w:r>
        <w:rPr>
          <w:spacing w:val="-12"/>
        </w:rPr>
        <w:t> </w:t>
      </w:r>
      <w:r>
        <w:rPr/>
        <w:t>trata</w:t>
      </w:r>
      <w:r>
        <w:rPr>
          <w:spacing w:val="-9"/>
        </w:rPr>
        <w:t> </w:t>
      </w:r>
      <w:r>
        <w:rPr/>
        <w:t>de</w:t>
      </w:r>
      <w:r>
        <w:rPr>
          <w:spacing w:val="-10"/>
        </w:rPr>
        <w:t> </w:t>
      </w:r>
      <w:r>
        <w:rPr/>
        <w:t>un</w:t>
      </w:r>
      <w:r>
        <w:rPr>
          <w:spacing w:val="-9"/>
        </w:rPr>
        <w:t> </w:t>
      </w:r>
      <w:r>
        <w:rPr/>
        <w:t>debate superado en la mayoría de las Instituciones de Control Externo (ICEX), incluso en aquellos casos que no lo recogiesen en sus normas de fiscalización. El alcance limitado de las verificaciones y pruebas de auditoría que se ejecutan, obteniendo una seguridad limitada sobre los resultados obtenidos y conclusiones, así como el reducido plazo para ejecutar la fiscalización, hacen necesaria la modificación</w:t>
      </w:r>
      <w:r>
        <w:rPr>
          <w:spacing w:val="1"/>
        </w:rPr>
        <w:t> </w:t>
      </w:r>
      <w:r>
        <w:rPr/>
        <w:t>comentada.</w:t>
      </w:r>
    </w:p>
    <w:p>
      <w:pPr>
        <w:pStyle w:val="BodyText"/>
        <w:spacing w:before="6"/>
        <w:rPr>
          <w:sz w:val="17"/>
        </w:rPr>
      </w:pPr>
    </w:p>
    <w:p>
      <w:pPr>
        <w:pStyle w:val="BodyText"/>
        <w:spacing w:line="242" w:lineRule="auto"/>
        <w:ind w:left="2299" w:right="1338"/>
        <w:jc w:val="both"/>
      </w:pPr>
      <w:r>
        <w:rPr/>
        <w:t>Finalmente, a la vista de las observaciones propuestas por la IGCAC, deben modificarse las referencias de los apartados en los que se basan las salvedades formuladas. En su virtud, el párrafo del apartado 8.1 Declaración Definitiva sobre la Cuenta General queda redactado de la siguiente forma:</w:t>
      </w:r>
    </w:p>
    <w:p>
      <w:pPr>
        <w:pStyle w:val="BodyText"/>
        <w:spacing w:before="6"/>
        <w:rPr>
          <w:sz w:val="16"/>
        </w:rPr>
      </w:pPr>
    </w:p>
    <w:p>
      <w:pPr>
        <w:spacing w:before="0"/>
        <w:ind w:left="2299" w:right="1341" w:firstLine="0"/>
        <w:jc w:val="both"/>
        <w:rPr>
          <w:i/>
          <w:sz w:val="20"/>
        </w:rPr>
      </w:pPr>
      <w:r>
        <w:rPr>
          <w:i/>
          <w:sz w:val="20"/>
        </w:rPr>
        <w:t>“Como resultado de la fiscalización efectuada, excepto por </w:t>
      </w:r>
      <w:r>
        <w:rPr>
          <w:i/>
          <w:strike/>
          <w:sz w:val="20"/>
        </w:rPr>
        <w:t>con</w:t>
      </w:r>
      <w:r>
        <w:rPr>
          <w:i/>
          <w:strike w:val="0"/>
          <w:sz w:val="20"/>
        </w:rPr>
        <w:t> las salvedades que se </w:t>
      </w:r>
      <w:r>
        <w:rPr>
          <w:i/>
          <w:strike w:val="0"/>
          <w:sz w:val="20"/>
        </w:rPr>
        <w:t>recogen</w:t>
      </w:r>
      <w:r>
        <w:rPr>
          <w:i/>
          <w:strike w:val="0"/>
          <w:spacing w:val="-3"/>
          <w:sz w:val="20"/>
        </w:rPr>
        <w:t> </w:t>
      </w:r>
      <w:r>
        <w:rPr>
          <w:i/>
          <w:strike w:val="0"/>
          <w:sz w:val="20"/>
        </w:rPr>
        <w:t>en</w:t>
      </w:r>
      <w:r>
        <w:rPr>
          <w:i/>
          <w:strike w:val="0"/>
          <w:spacing w:val="-3"/>
          <w:sz w:val="20"/>
        </w:rPr>
        <w:t> </w:t>
      </w:r>
      <w:r>
        <w:rPr>
          <w:i/>
          <w:strike w:val="0"/>
          <w:sz w:val="20"/>
        </w:rPr>
        <w:t>las</w:t>
      </w:r>
      <w:r>
        <w:rPr>
          <w:i/>
          <w:strike w:val="0"/>
          <w:spacing w:val="-2"/>
          <w:sz w:val="20"/>
        </w:rPr>
        <w:t> </w:t>
      </w:r>
      <w:r>
        <w:rPr>
          <w:i/>
          <w:strike w:val="0"/>
          <w:sz w:val="20"/>
        </w:rPr>
        <w:t>conclusiones</w:t>
      </w:r>
      <w:r>
        <w:rPr>
          <w:i/>
          <w:strike w:val="0"/>
          <w:spacing w:val="-1"/>
          <w:sz w:val="20"/>
        </w:rPr>
        <w:t> </w:t>
      </w:r>
      <w:r>
        <w:rPr>
          <w:i/>
          <w:strike w:val="0"/>
          <w:sz w:val="20"/>
        </w:rPr>
        <w:t>nº</w:t>
      </w:r>
      <w:r>
        <w:rPr>
          <w:i/>
          <w:strike w:val="0"/>
          <w:spacing w:val="-3"/>
          <w:sz w:val="20"/>
        </w:rPr>
        <w:t> </w:t>
      </w:r>
      <w:r>
        <w:rPr>
          <w:i/>
          <w:strike w:val="0"/>
          <w:sz w:val="20"/>
        </w:rPr>
        <w:t>1,</w:t>
      </w:r>
      <w:r>
        <w:rPr>
          <w:i/>
          <w:strike w:val="0"/>
          <w:spacing w:val="-2"/>
          <w:sz w:val="20"/>
        </w:rPr>
        <w:t> </w:t>
      </w:r>
      <w:r>
        <w:rPr>
          <w:i/>
          <w:strike w:val="0"/>
          <w:sz w:val="20"/>
        </w:rPr>
        <w:t>2,</w:t>
      </w:r>
      <w:r>
        <w:rPr>
          <w:i/>
          <w:strike w:val="0"/>
          <w:spacing w:val="-3"/>
          <w:sz w:val="20"/>
        </w:rPr>
        <w:t> </w:t>
      </w:r>
      <w:r>
        <w:rPr>
          <w:i/>
          <w:strike w:val="0"/>
          <w:sz w:val="20"/>
        </w:rPr>
        <w:t>7,</w:t>
      </w:r>
      <w:r>
        <w:rPr>
          <w:i/>
          <w:strike w:val="0"/>
          <w:spacing w:val="-4"/>
          <w:sz w:val="20"/>
        </w:rPr>
        <w:t> </w:t>
      </w:r>
      <w:r>
        <w:rPr>
          <w:i/>
          <w:strike w:val="0"/>
          <w:sz w:val="20"/>
        </w:rPr>
        <w:t>8,</w:t>
      </w:r>
      <w:r>
        <w:rPr>
          <w:i/>
          <w:strike w:val="0"/>
          <w:spacing w:val="-4"/>
          <w:sz w:val="20"/>
        </w:rPr>
        <w:t> </w:t>
      </w:r>
      <w:r>
        <w:rPr>
          <w:i/>
          <w:strike w:val="0"/>
          <w:sz w:val="20"/>
        </w:rPr>
        <w:t>28,</w:t>
      </w:r>
      <w:r>
        <w:rPr>
          <w:i/>
          <w:strike w:val="0"/>
          <w:spacing w:val="-3"/>
          <w:sz w:val="20"/>
        </w:rPr>
        <w:t> </w:t>
      </w:r>
      <w:r>
        <w:rPr>
          <w:i/>
          <w:strike w:val="0"/>
          <w:sz w:val="20"/>
        </w:rPr>
        <w:t>29,</w:t>
      </w:r>
      <w:r>
        <w:rPr>
          <w:i/>
          <w:strike w:val="0"/>
          <w:spacing w:val="-4"/>
          <w:sz w:val="20"/>
        </w:rPr>
        <w:t> </w:t>
      </w:r>
      <w:r>
        <w:rPr>
          <w:i/>
          <w:strike w:val="0"/>
          <w:sz w:val="20"/>
        </w:rPr>
        <w:t>30,</w:t>
      </w:r>
      <w:r>
        <w:rPr>
          <w:i/>
          <w:strike w:val="0"/>
          <w:spacing w:val="-2"/>
          <w:sz w:val="20"/>
        </w:rPr>
        <w:t> </w:t>
      </w:r>
      <w:r>
        <w:rPr>
          <w:i/>
          <w:strike w:val="0"/>
          <w:sz w:val="20"/>
        </w:rPr>
        <w:t>31,</w:t>
      </w:r>
      <w:r>
        <w:rPr>
          <w:i/>
          <w:strike w:val="0"/>
          <w:spacing w:val="-4"/>
          <w:sz w:val="20"/>
        </w:rPr>
        <w:t> </w:t>
      </w:r>
      <w:r>
        <w:rPr>
          <w:i/>
          <w:strike w:val="0"/>
          <w:sz w:val="20"/>
        </w:rPr>
        <w:t>35,</w:t>
      </w:r>
      <w:r>
        <w:rPr>
          <w:i/>
          <w:strike w:val="0"/>
          <w:spacing w:val="-1"/>
          <w:sz w:val="20"/>
        </w:rPr>
        <w:t> </w:t>
      </w:r>
      <w:r>
        <w:rPr>
          <w:i/>
          <w:strike w:val="0"/>
          <w:sz w:val="20"/>
        </w:rPr>
        <w:t>36</w:t>
      </w:r>
      <w:r>
        <w:rPr>
          <w:i/>
          <w:strike w:val="0"/>
          <w:spacing w:val="-2"/>
          <w:sz w:val="20"/>
        </w:rPr>
        <w:t> </w:t>
      </w:r>
      <w:r>
        <w:rPr>
          <w:i/>
          <w:strike w:val="0"/>
          <w:sz w:val="20"/>
        </w:rPr>
        <w:t>y</w:t>
      </w:r>
      <w:r>
        <w:rPr>
          <w:i/>
          <w:strike w:val="0"/>
          <w:spacing w:val="-4"/>
          <w:sz w:val="20"/>
        </w:rPr>
        <w:t> </w:t>
      </w:r>
      <w:r>
        <w:rPr>
          <w:i/>
          <w:strike w:val="0"/>
          <w:sz w:val="20"/>
        </w:rPr>
        <w:t>37,</w:t>
      </w:r>
      <w:r>
        <w:rPr>
          <w:i/>
          <w:strike w:val="0"/>
          <w:spacing w:val="-3"/>
          <w:sz w:val="20"/>
        </w:rPr>
        <w:t> </w:t>
      </w:r>
      <w:r>
        <w:rPr>
          <w:i/>
          <w:strike w:val="0"/>
          <w:sz w:val="20"/>
        </w:rPr>
        <w:t>la</w:t>
      </w:r>
      <w:r>
        <w:rPr>
          <w:i/>
          <w:strike w:val="0"/>
          <w:spacing w:val="-3"/>
          <w:sz w:val="20"/>
        </w:rPr>
        <w:t> </w:t>
      </w:r>
      <w:r>
        <w:rPr>
          <w:i/>
          <w:strike w:val="0"/>
          <w:sz w:val="20"/>
        </w:rPr>
        <w:t>Cuenta</w:t>
      </w:r>
      <w:r>
        <w:rPr>
          <w:i/>
          <w:strike w:val="0"/>
          <w:spacing w:val="-3"/>
          <w:sz w:val="20"/>
        </w:rPr>
        <w:t> </w:t>
      </w:r>
      <w:r>
        <w:rPr>
          <w:i/>
          <w:strike w:val="0"/>
          <w:sz w:val="20"/>
        </w:rPr>
        <w:t>General</w:t>
      </w:r>
      <w:r>
        <w:rPr>
          <w:i/>
          <w:strike w:val="0"/>
          <w:spacing w:val="-1"/>
          <w:sz w:val="20"/>
        </w:rPr>
        <w:t> </w:t>
      </w:r>
      <w:r>
        <w:rPr>
          <w:i/>
          <w:strike w:val="0"/>
          <w:sz w:val="20"/>
        </w:rPr>
        <w:t>de la CAC del ejercicio 2022 se ha ajustado, con carácter general a la normativa de aplicación y se ha rendido a la Audiencia de Cuentas de Canarias dentro del plazo establecido en el Art. 16.1 de la Ley 4/1989, de 2 de mayo, de la Audiencia de Cuentas de Canarias, incluyendo los estados e informes que establece el Art. 117 de la de la Ley 11/2006, de 11 de diciembre, de la Hacienda Pública</w:t>
      </w:r>
      <w:r>
        <w:rPr>
          <w:i/>
          <w:strike w:val="0"/>
          <w:spacing w:val="4"/>
          <w:sz w:val="20"/>
        </w:rPr>
        <w:t> </w:t>
      </w:r>
      <w:r>
        <w:rPr>
          <w:i/>
          <w:strike w:val="0"/>
          <w:sz w:val="20"/>
        </w:rPr>
        <w:t>Canaria.”</w:t>
      </w:r>
    </w:p>
    <w:p>
      <w:pPr>
        <w:pStyle w:val="BodyText"/>
        <w:spacing w:before="6"/>
        <w:rPr>
          <w:i/>
          <w:sz w:val="17"/>
        </w:rPr>
      </w:pPr>
    </w:p>
    <w:p>
      <w:pPr>
        <w:pStyle w:val="Heading1"/>
        <w:ind w:left="2299"/>
        <w:jc w:val="both"/>
      </w:pPr>
      <w:r>
        <w:rPr/>
        <w:t>Alegación 29: Epígrafe 8.2. Conclusiones.</w:t>
      </w:r>
    </w:p>
    <w:p>
      <w:pPr>
        <w:pStyle w:val="BodyText"/>
        <w:spacing w:before="8"/>
        <w:rPr>
          <w:b/>
          <w:sz w:val="16"/>
        </w:rPr>
      </w:pPr>
    </w:p>
    <w:p>
      <w:pPr>
        <w:spacing w:before="0"/>
        <w:ind w:left="2299" w:right="0" w:firstLine="0"/>
        <w:jc w:val="both"/>
        <w:rPr>
          <w:b/>
          <w:sz w:val="20"/>
        </w:rPr>
      </w:pPr>
      <w:r>
        <w:rPr>
          <w:b/>
          <w:sz w:val="20"/>
        </w:rPr>
        <w:t>Conclusión 2.</w:t>
      </w:r>
    </w:p>
    <w:p>
      <w:pPr>
        <w:pStyle w:val="BodyText"/>
        <w:spacing w:before="8"/>
        <w:rPr>
          <w:b/>
          <w:sz w:val="16"/>
        </w:rPr>
      </w:pPr>
    </w:p>
    <w:p>
      <w:pPr>
        <w:pStyle w:val="BodyText"/>
        <w:spacing w:line="242" w:lineRule="auto"/>
        <w:ind w:left="2299" w:right="1346"/>
        <w:jc w:val="both"/>
      </w:pPr>
      <w:r>
        <w:rPr>
          <w:b/>
        </w:rPr>
        <w:t>Resumen: </w:t>
      </w:r>
      <w:r>
        <w:rPr/>
        <w:t>Señala la IGCAC que existe un error pues el informe de la Consejería de Transición Ecológica, Lucha contra el Cambio Climático y Planificación Territorial si se realizó. Además, comenta que los informes no fueron emitidos fuera de plazo.</w:t>
      </w:r>
    </w:p>
    <w:p>
      <w:pPr>
        <w:pStyle w:val="BodyText"/>
        <w:spacing w:before="6"/>
        <w:rPr>
          <w:sz w:val="16"/>
        </w:rPr>
      </w:pPr>
    </w:p>
    <w:p>
      <w:pPr>
        <w:pStyle w:val="BodyText"/>
        <w:ind w:left="2299" w:right="1344"/>
        <w:jc w:val="both"/>
      </w:pPr>
      <w:r>
        <w:rPr>
          <w:b/>
        </w:rPr>
        <w:t>Contestación:</w:t>
      </w:r>
      <w:r>
        <w:rPr>
          <w:b/>
          <w:spacing w:val="-4"/>
        </w:rPr>
        <w:t> </w:t>
      </w:r>
      <w:r>
        <w:rPr/>
        <w:t>Se</w:t>
      </w:r>
      <w:r>
        <w:rPr>
          <w:spacing w:val="-2"/>
        </w:rPr>
        <w:t> </w:t>
      </w:r>
      <w:r>
        <w:rPr/>
        <w:t>confirma</w:t>
      </w:r>
      <w:r>
        <w:rPr>
          <w:spacing w:val="-2"/>
        </w:rPr>
        <w:t> </w:t>
      </w:r>
      <w:r>
        <w:rPr/>
        <w:t>que</w:t>
      </w:r>
      <w:r>
        <w:rPr>
          <w:spacing w:val="-2"/>
        </w:rPr>
        <w:t> </w:t>
      </w:r>
      <w:r>
        <w:rPr/>
        <w:t>fue</w:t>
      </w:r>
      <w:r>
        <w:rPr>
          <w:spacing w:val="-4"/>
        </w:rPr>
        <w:t> </w:t>
      </w:r>
      <w:r>
        <w:rPr/>
        <w:t>un</w:t>
      </w:r>
      <w:r>
        <w:rPr>
          <w:spacing w:val="-3"/>
        </w:rPr>
        <w:t> </w:t>
      </w:r>
      <w:r>
        <w:rPr/>
        <w:t>error</w:t>
      </w:r>
      <w:r>
        <w:rPr>
          <w:spacing w:val="-2"/>
        </w:rPr>
        <w:t> </w:t>
      </w:r>
      <w:r>
        <w:rPr/>
        <w:t>en</w:t>
      </w:r>
      <w:r>
        <w:rPr>
          <w:spacing w:val="-3"/>
        </w:rPr>
        <w:t> </w:t>
      </w:r>
      <w:r>
        <w:rPr/>
        <w:t>la</w:t>
      </w:r>
      <w:r>
        <w:rPr>
          <w:spacing w:val="-2"/>
        </w:rPr>
        <w:t> </w:t>
      </w:r>
      <w:r>
        <w:rPr/>
        <w:t>redacción</w:t>
      </w:r>
      <w:r>
        <w:rPr>
          <w:spacing w:val="-2"/>
        </w:rPr>
        <w:t> </w:t>
      </w:r>
      <w:r>
        <w:rPr/>
        <w:t>de</w:t>
      </w:r>
      <w:r>
        <w:rPr>
          <w:spacing w:val="-2"/>
        </w:rPr>
        <w:t> </w:t>
      </w:r>
      <w:r>
        <w:rPr/>
        <w:t>la</w:t>
      </w:r>
      <w:r>
        <w:rPr>
          <w:spacing w:val="-2"/>
        </w:rPr>
        <w:t> </w:t>
      </w:r>
      <w:r>
        <w:rPr/>
        <w:t>conclusión.</w:t>
      </w:r>
      <w:r>
        <w:rPr>
          <w:spacing w:val="-3"/>
        </w:rPr>
        <w:t> </w:t>
      </w:r>
      <w:r>
        <w:rPr/>
        <w:t>Así</w:t>
      </w:r>
      <w:r>
        <w:rPr>
          <w:spacing w:val="-2"/>
        </w:rPr>
        <w:t> </w:t>
      </w:r>
      <w:r>
        <w:rPr/>
        <w:t>mismo, en</w:t>
      </w:r>
      <w:r>
        <w:rPr>
          <w:spacing w:val="-2"/>
        </w:rPr>
        <w:t> </w:t>
      </w:r>
      <w:r>
        <w:rPr/>
        <w:t>virtud</w:t>
      </w:r>
      <w:r>
        <w:rPr>
          <w:spacing w:val="-2"/>
        </w:rPr>
        <w:t> </w:t>
      </w:r>
      <w:r>
        <w:rPr/>
        <w:t>de</w:t>
      </w:r>
      <w:r>
        <w:rPr>
          <w:spacing w:val="-2"/>
        </w:rPr>
        <w:t> </w:t>
      </w:r>
      <w:r>
        <w:rPr/>
        <w:t>lo</w:t>
      </w:r>
      <w:r>
        <w:rPr>
          <w:spacing w:val="-5"/>
        </w:rPr>
        <w:t> </w:t>
      </w:r>
      <w:r>
        <w:rPr/>
        <w:t>señalado</w:t>
      </w:r>
      <w:r>
        <w:rPr>
          <w:spacing w:val="-6"/>
        </w:rPr>
        <w:t> </w:t>
      </w:r>
      <w:r>
        <w:rPr/>
        <w:t>para</w:t>
      </w:r>
      <w:r>
        <w:rPr>
          <w:spacing w:val="-2"/>
        </w:rPr>
        <w:t> </w:t>
      </w:r>
      <w:r>
        <w:rPr/>
        <w:t>el</w:t>
      </w:r>
      <w:r>
        <w:rPr>
          <w:spacing w:val="-2"/>
        </w:rPr>
        <w:t> </w:t>
      </w:r>
      <w:r>
        <w:rPr/>
        <w:t>epígrafe</w:t>
      </w:r>
      <w:r>
        <w:rPr>
          <w:spacing w:val="-3"/>
        </w:rPr>
        <w:t> </w:t>
      </w:r>
      <w:r>
        <w:rPr/>
        <w:t>3</w:t>
      </w:r>
      <w:r>
        <w:rPr>
          <w:spacing w:val="-4"/>
        </w:rPr>
        <w:t> </w:t>
      </w:r>
      <w:r>
        <w:rPr/>
        <w:t>sobre</w:t>
      </w:r>
      <w:r>
        <w:rPr>
          <w:spacing w:val="-2"/>
        </w:rPr>
        <w:t> </w:t>
      </w:r>
      <w:r>
        <w:rPr/>
        <w:t>análisis</w:t>
      </w:r>
      <w:r>
        <w:rPr>
          <w:spacing w:val="-3"/>
        </w:rPr>
        <w:t> </w:t>
      </w:r>
      <w:r>
        <w:rPr/>
        <w:t>del</w:t>
      </w:r>
      <w:r>
        <w:rPr>
          <w:spacing w:val="-3"/>
        </w:rPr>
        <w:t> </w:t>
      </w:r>
      <w:r>
        <w:rPr/>
        <w:t>control</w:t>
      </w:r>
      <w:r>
        <w:rPr>
          <w:spacing w:val="-4"/>
        </w:rPr>
        <w:t> </w:t>
      </w:r>
      <w:r>
        <w:rPr/>
        <w:t>interno,</w:t>
      </w:r>
      <w:r>
        <w:rPr>
          <w:spacing w:val="-2"/>
        </w:rPr>
        <w:t> </w:t>
      </w:r>
      <w:r>
        <w:rPr/>
        <w:t>se</w:t>
      </w:r>
      <w:r>
        <w:rPr>
          <w:spacing w:val="-3"/>
        </w:rPr>
        <w:t> </w:t>
      </w:r>
      <w:r>
        <w:rPr/>
        <w:t>constata el error en la referencia al plazo de emisión de los</w:t>
      </w:r>
      <w:r>
        <w:rPr>
          <w:spacing w:val="2"/>
        </w:rPr>
        <w:t> </w:t>
      </w:r>
      <w:r>
        <w:rPr/>
        <w:t>informes.</w:t>
      </w:r>
    </w:p>
    <w:p>
      <w:pPr>
        <w:pStyle w:val="BodyText"/>
        <w:spacing w:before="11"/>
        <w:rPr>
          <w:sz w:val="16"/>
        </w:rPr>
      </w:pPr>
    </w:p>
    <w:p>
      <w:pPr>
        <w:pStyle w:val="BodyText"/>
        <w:ind w:left="2299"/>
        <w:jc w:val="both"/>
      </w:pPr>
      <w:r>
        <w:rPr/>
        <w:t>En consecuencia, la conclusión 2 queda redactada de la siguiente forma:</w:t>
      </w:r>
    </w:p>
    <w:p>
      <w:pPr>
        <w:pStyle w:val="BodyText"/>
        <w:spacing w:before="8"/>
        <w:rPr>
          <w:sz w:val="16"/>
        </w:rPr>
      </w:pPr>
    </w:p>
    <w:p>
      <w:pPr>
        <w:spacing w:line="242" w:lineRule="auto" w:before="0"/>
        <w:ind w:left="2299" w:right="1343" w:firstLine="0"/>
        <w:jc w:val="both"/>
        <w:rPr>
          <w:i/>
          <w:sz w:val="20"/>
        </w:rPr>
      </w:pPr>
      <w:r>
        <w:rPr>
          <w:i/>
          <w:sz w:val="20"/>
        </w:rPr>
        <w:t>“2. Las verificaciones realizadas vienen a constatar que salvo los informes definitivos de </w:t>
      </w:r>
      <w:r>
        <w:rPr>
          <w:i/>
          <w:sz w:val="20"/>
        </w:rPr>
        <w:t>control financiero permanente relativos a “otros gastos”, correspondiente a contratación de obras y a la Consejería de Sanidad, Consejería de Educación, Universidades, Cultura y Deportes, Turismo Industria y Comercio y la Consejería de Transición</w:t>
      </w:r>
      <w:r>
        <w:rPr>
          <w:i/>
          <w:spacing w:val="-9"/>
          <w:sz w:val="20"/>
        </w:rPr>
        <w:t> </w:t>
      </w:r>
      <w:r>
        <w:rPr>
          <w:i/>
          <w:sz w:val="20"/>
        </w:rPr>
        <w:t>Ecológica,</w:t>
      </w:r>
      <w:r>
        <w:rPr>
          <w:i/>
          <w:spacing w:val="-8"/>
          <w:sz w:val="20"/>
        </w:rPr>
        <w:t> </w:t>
      </w:r>
      <w:r>
        <w:rPr>
          <w:i/>
          <w:sz w:val="20"/>
        </w:rPr>
        <w:t>Lucha</w:t>
      </w:r>
      <w:r>
        <w:rPr>
          <w:i/>
          <w:spacing w:val="-9"/>
          <w:sz w:val="20"/>
        </w:rPr>
        <w:t> </w:t>
      </w:r>
      <w:r>
        <w:rPr>
          <w:i/>
          <w:sz w:val="20"/>
        </w:rPr>
        <w:t>contra</w:t>
      </w:r>
      <w:r>
        <w:rPr>
          <w:i/>
          <w:spacing w:val="-10"/>
          <w:sz w:val="20"/>
        </w:rPr>
        <w:t> </w:t>
      </w:r>
      <w:r>
        <w:rPr>
          <w:i/>
          <w:sz w:val="20"/>
        </w:rPr>
        <w:t>el</w:t>
      </w:r>
      <w:r>
        <w:rPr>
          <w:i/>
          <w:spacing w:val="-8"/>
          <w:sz w:val="20"/>
        </w:rPr>
        <w:t> </w:t>
      </w:r>
      <w:r>
        <w:rPr>
          <w:i/>
          <w:sz w:val="20"/>
        </w:rPr>
        <w:t>Cambio</w:t>
      </w:r>
      <w:r>
        <w:rPr>
          <w:i/>
          <w:spacing w:val="-8"/>
          <w:sz w:val="20"/>
        </w:rPr>
        <w:t> </w:t>
      </w:r>
      <w:r>
        <w:rPr>
          <w:i/>
          <w:sz w:val="20"/>
        </w:rPr>
        <w:t>Climático</w:t>
      </w:r>
      <w:r>
        <w:rPr>
          <w:i/>
          <w:spacing w:val="-9"/>
          <w:sz w:val="20"/>
        </w:rPr>
        <w:t> </w:t>
      </w:r>
      <w:r>
        <w:rPr>
          <w:i/>
          <w:sz w:val="20"/>
        </w:rPr>
        <w:t>y</w:t>
      </w:r>
      <w:r>
        <w:rPr>
          <w:i/>
          <w:spacing w:val="-8"/>
          <w:sz w:val="20"/>
        </w:rPr>
        <w:t> </w:t>
      </w:r>
      <w:r>
        <w:rPr>
          <w:i/>
          <w:sz w:val="20"/>
        </w:rPr>
        <w:t>Planificación</w:t>
      </w:r>
      <w:r>
        <w:rPr>
          <w:i/>
          <w:spacing w:val="-9"/>
          <w:sz w:val="20"/>
        </w:rPr>
        <w:t> </w:t>
      </w:r>
      <w:r>
        <w:rPr>
          <w:i/>
          <w:sz w:val="20"/>
        </w:rPr>
        <w:t>Territorial,</w:t>
      </w:r>
      <w:r>
        <w:rPr>
          <w:i/>
          <w:spacing w:val="-8"/>
          <w:sz w:val="20"/>
        </w:rPr>
        <w:t> </w:t>
      </w:r>
      <w:r>
        <w:rPr>
          <w:i/>
          <w:sz w:val="20"/>
        </w:rPr>
        <w:t>el</w:t>
      </w:r>
      <w:r>
        <w:rPr>
          <w:i/>
          <w:spacing w:val="-7"/>
          <w:sz w:val="20"/>
        </w:rPr>
        <w:t> </w:t>
      </w:r>
      <w:r>
        <w:rPr>
          <w:i/>
          <w:sz w:val="20"/>
        </w:rPr>
        <w:t>resto se emitieron fuera de plazo. Así mismo, el informe relativo a recursos humanos correspondiente a la Consejería de Sanidad no se emitió. La demora de estos informes impide subsanar las deficiencias y debilidades señaladas en los mismos, lo que</w:t>
      </w:r>
      <w:r>
        <w:rPr>
          <w:i/>
          <w:spacing w:val="21"/>
          <w:sz w:val="20"/>
        </w:rPr>
        <w:t> </w:t>
      </w:r>
      <w:r>
        <w:rPr>
          <w:i/>
          <w:sz w:val="20"/>
        </w:rPr>
        <w:t>ocasiona</w:t>
      </w:r>
    </w:p>
    <w:p>
      <w:pPr>
        <w:pStyle w:val="BodyText"/>
        <w:spacing w:before="89"/>
        <w:ind w:left="2150" w:right="1340"/>
        <w:jc w:val="right"/>
      </w:pPr>
      <w:r>
        <w:rPr/>
        <w:t>222</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79" name="image5.png"/>
                  <wp:cNvGraphicFramePr>
                    <a:graphicFrameLocks noChangeAspect="1"/>
                  </wp:cNvGraphicFramePr>
                  <a:graphic>
                    <a:graphicData uri="http://schemas.openxmlformats.org/drawingml/2006/picture">
                      <pic:pic>
                        <pic:nvPicPr>
                          <pic:cNvPr id="48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224/247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spacing w:before="60"/>
        <w:ind w:left="2299" w:right="0" w:firstLine="0"/>
        <w:jc w:val="left"/>
        <w:rPr>
          <w:i/>
          <w:sz w:val="20"/>
        </w:rPr>
      </w:pPr>
      <w:r>
        <w:rPr>
          <w:i/>
          <w:sz w:val="20"/>
        </w:rPr>
        <w:t>perjuicios a la gestión pública (epígrafe 3.1).”</w:t>
      </w:r>
    </w:p>
    <w:p>
      <w:pPr>
        <w:pStyle w:val="BodyText"/>
        <w:spacing w:before="8"/>
        <w:rPr>
          <w:i/>
          <w:sz w:val="16"/>
        </w:rPr>
      </w:pPr>
    </w:p>
    <w:p>
      <w:pPr>
        <w:pStyle w:val="Heading1"/>
        <w:ind w:left="2299"/>
        <w:jc w:val="left"/>
      </w:pPr>
      <w:r>
        <w:rPr/>
        <w:t>Conclusión 4.</w:t>
      </w:r>
    </w:p>
    <w:p>
      <w:pPr>
        <w:pStyle w:val="BodyText"/>
        <w:spacing w:before="8"/>
        <w:rPr>
          <w:b/>
          <w:sz w:val="16"/>
        </w:rPr>
      </w:pPr>
    </w:p>
    <w:p>
      <w:pPr>
        <w:pStyle w:val="BodyText"/>
        <w:ind w:left="2299" w:right="1263"/>
      </w:pPr>
      <w:r>
        <w:rPr>
          <w:b/>
        </w:rPr>
        <w:t>Resumen: </w:t>
      </w:r>
      <w:r>
        <w:rPr/>
        <w:t>Se solicita que se corrija la conclusión de acuerdo con lo señalado en las alegaciones al epígrafe 4.1.</w:t>
      </w:r>
    </w:p>
    <w:p>
      <w:pPr>
        <w:pStyle w:val="BodyText"/>
        <w:spacing w:before="10"/>
        <w:rPr>
          <w:sz w:val="16"/>
        </w:rPr>
      </w:pPr>
    </w:p>
    <w:p>
      <w:pPr>
        <w:pStyle w:val="BodyText"/>
        <w:ind w:left="2299" w:right="1263"/>
      </w:pPr>
      <w:r>
        <w:rPr>
          <w:b/>
        </w:rPr>
        <w:t>Contestación: </w:t>
      </w:r>
      <w:r>
        <w:rPr/>
        <w:t>De conformidad con la alegación parcialmente aceptada en el señalado epígrafe 4.1 se propone corregir la conclusión 4.</w:t>
      </w:r>
    </w:p>
    <w:p>
      <w:pPr>
        <w:pStyle w:val="BodyText"/>
        <w:spacing w:before="9"/>
        <w:rPr>
          <w:sz w:val="16"/>
        </w:rPr>
      </w:pPr>
    </w:p>
    <w:p>
      <w:pPr>
        <w:pStyle w:val="BodyText"/>
        <w:ind w:left="2299"/>
      </w:pPr>
      <w:r>
        <w:rPr/>
        <w:t>En consecuencia, se propone sustituir la citada conclusión por el siguiente texto:</w:t>
      </w:r>
    </w:p>
    <w:p>
      <w:pPr>
        <w:pStyle w:val="BodyText"/>
        <w:spacing w:before="9"/>
        <w:rPr>
          <w:sz w:val="16"/>
        </w:rPr>
      </w:pPr>
    </w:p>
    <w:p>
      <w:pPr>
        <w:spacing w:before="0"/>
        <w:ind w:left="2299" w:right="0" w:firstLine="0"/>
        <w:jc w:val="left"/>
        <w:rPr>
          <w:i/>
          <w:sz w:val="20"/>
        </w:rPr>
      </w:pPr>
      <w:r>
        <w:rPr>
          <w:i/>
          <w:sz w:val="20"/>
        </w:rPr>
        <w:t>“El Remanente de Tesorería agregado, ha pasado de 471, 54 millones de € en el año</w:t>
      </w:r>
    </w:p>
    <w:p>
      <w:pPr>
        <w:spacing w:before="3"/>
        <w:ind w:left="2299" w:right="0" w:firstLine="0"/>
        <w:jc w:val="left"/>
        <w:rPr>
          <w:i/>
          <w:sz w:val="20"/>
        </w:rPr>
      </w:pPr>
      <w:r>
        <w:rPr>
          <w:i/>
          <w:sz w:val="20"/>
        </w:rPr>
        <w:t>2019 a una cifra negativa de -687,1 millones de €. (epígrafe 4.1).”</w:t>
      </w:r>
    </w:p>
    <w:p>
      <w:pPr>
        <w:pStyle w:val="BodyText"/>
        <w:spacing w:before="8"/>
        <w:rPr>
          <w:i/>
          <w:sz w:val="16"/>
        </w:rPr>
      </w:pPr>
    </w:p>
    <w:p>
      <w:pPr>
        <w:pStyle w:val="Heading1"/>
        <w:ind w:left="2299"/>
        <w:jc w:val="left"/>
      </w:pPr>
      <w:r>
        <w:rPr/>
        <w:t>Conclusión 5.</w:t>
      </w:r>
    </w:p>
    <w:p>
      <w:pPr>
        <w:pStyle w:val="BodyText"/>
        <w:spacing w:before="8"/>
        <w:rPr>
          <w:b/>
          <w:sz w:val="16"/>
        </w:rPr>
      </w:pPr>
    </w:p>
    <w:p>
      <w:pPr>
        <w:spacing w:before="0"/>
        <w:ind w:left="2299" w:right="1341" w:firstLine="0"/>
        <w:jc w:val="both"/>
        <w:rPr>
          <w:i/>
          <w:sz w:val="20"/>
        </w:rPr>
      </w:pPr>
      <w:r>
        <w:rPr>
          <w:b/>
          <w:sz w:val="20"/>
        </w:rPr>
        <w:t>Resumen: </w:t>
      </w:r>
      <w:r>
        <w:rPr>
          <w:sz w:val="20"/>
        </w:rPr>
        <w:t>Explica la IGCAC que el empeoramiento de la cifra negativa del Resultado Presupuestario Ajustado del año 2022 respecto a 2021, se debe a “</w:t>
      </w:r>
      <w:r>
        <w:rPr>
          <w:i/>
          <w:sz w:val="20"/>
        </w:rPr>
        <w:t>los desfases </w:t>
      </w:r>
      <w:r>
        <w:rPr>
          <w:i/>
          <w:sz w:val="20"/>
        </w:rPr>
        <w:t>temporales en la ejecución de los gastos con financiación afectada (entre los gastos presupuestarios</w:t>
      </w:r>
      <w:r>
        <w:rPr>
          <w:i/>
          <w:spacing w:val="-4"/>
          <w:sz w:val="20"/>
        </w:rPr>
        <w:t> </w:t>
      </w:r>
      <w:r>
        <w:rPr>
          <w:i/>
          <w:sz w:val="20"/>
        </w:rPr>
        <w:t>e</w:t>
      </w:r>
      <w:r>
        <w:rPr>
          <w:i/>
          <w:spacing w:val="-3"/>
          <w:sz w:val="20"/>
        </w:rPr>
        <w:t> </w:t>
      </w:r>
      <w:r>
        <w:rPr>
          <w:i/>
          <w:sz w:val="20"/>
        </w:rPr>
        <w:t>ingresos</w:t>
      </w:r>
      <w:r>
        <w:rPr>
          <w:i/>
          <w:spacing w:val="-4"/>
          <w:sz w:val="20"/>
        </w:rPr>
        <w:t> </w:t>
      </w:r>
      <w:r>
        <w:rPr>
          <w:i/>
          <w:sz w:val="20"/>
        </w:rPr>
        <w:t>presupuestarios),</w:t>
      </w:r>
      <w:r>
        <w:rPr>
          <w:i/>
          <w:spacing w:val="-4"/>
          <w:sz w:val="20"/>
        </w:rPr>
        <w:t> </w:t>
      </w:r>
      <w:r>
        <w:rPr>
          <w:i/>
          <w:sz w:val="20"/>
        </w:rPr>
        <w:t>lo</w:t>
      </w:r>
      <w:r>
        <w:rPr>
          <w:i/>
          <w:spacing w:val="-4"/>
          <w:sz w:val="20"/>
        </w:rPr>
        <w:t> </w:t>
      </w:r>
      <w:r>
        <w:rPr>
          <w:i/>
          <w:sz w:val="20"/>
        </w:rPr>
        <w:t>que</w:t>
      </w:r>
      <w:r>
        <w:rPr>
          <w:i/>
          <w:spacing w:val="-4"/>
          <w:sz w:val="20"/>
        </w:rPr>
        <w:t> </w:t>
      </w:r>
      <w:r>
        <w:rPr>
          <w:i/>
          <w:sz w:val="20"/>
        </w:rPr>
        <w:t>repercute</w:t>
      </w:r>
      <w:r>
        <w:rPr>
          <w:i/>
          <w:spacing w:val="-5"/>
          <w:sz w:val="20"/>
        </w:rPr>
        <w:t> </w:t>
      </w:r>
      <w:r>
        <w:rPr>
          <w:i/>
          <w:sz w:val="20"/>
        </w:rPr>
        <w:t>sobre</w:t>
      </w:r>
      <w:r>
        <w:rPr>
          <w:i/>
          <w:spacing w:val="-5"/>
          <w:sz w:val="20"/>
        </w:rPr>
        <w:t> </w:t>
      </w:r>
      <w:r>
        <w:rPr>
          <w:i/>
          <w:sz w:val="20"/>
        </w:rPr>
        <w:t>algunas</w:t>
      </w:r>
      <w:r>
        <w:rPr>
          <w:i/>
          <w:spacing w:val="-3"/>
          <w:sz w:val="20"/>
        </w:rPr>
        <w:t> </w:t>
      </w:r>
      <w:r>
        <w:rPr>
          <w:i/>
          <w:sz w:val="20"/>
        </w:rPr>
        <w:t>magnitudes económico-financieras</w:t>
      </w:r>
      <w:r>
        <w:rPr>
          <w:i/>
          <w:spacing w:val="-3"/>
          <w:sz w:val="20"/>
        </w:rPr>
        <w:t> </w:t>
      </w:r>
      <w:r>
        <w:rPr>
          <w:i/>
          <w:sz w:val="20"/>
        </w:rPr>
        <w:t>como</w:t>
      </w:r>
      <w:r>
        <w:rPr>
          <w:i/>
          <w:spacing w:val="-4"/>
          <w:sz w:val="20"/>
        </w:rPr>
        <w:t> </w:t>
      </w:r>
      <w:r>
        <w:rPr>
          <w:i/>
          <w:sz w:val="20"/>
        </w:rPr>
        <w:t>el</w:t>
      </w:r>
      <w:r>
        <w:rPr>
          <w:i/>
          <w:spacing w:val="-3"/>
          <w:sz w:val="20"/>
        </w:rPr>
        <w:t> </w:t>
      </w:r>
      <w:r>
        <w:rPr>
          <w:i/>
          <w:sz w:val="20"/>
        </w:rPr>
        <w:t>remanente</w:t>
      </w:r>
      <w:r>
        <w:rPr>
          <w:i/>
          <w:spacing w:val="-3"/>
          <w:sz w:val="20"/>
        </w:rPr>
        <w:t> </w:t>
      </w:r>
      <w:r>
        <w:rPr>
          <w:i/>
          <w:sz w:val="20"/>
        </w:rPr>
        <w:t>de</w:t>
      </w:r>
      <w:r>
        <w:rPr>
          <w:i/>
          <w:spacing w:val="-5"/>
          <w:sz w:val="20"/>
        </w:rPr>
        <w:t> </w:t>
      </w:r>
      <w:r>
        <w:rPr>
          <w:i/>
          <w:sz w:val="20"/>
        </w:rPr>
        <w:t>tesorería</w:t>
      </w:r>
      <w:r>
        <w:rPr>
          <w:i/>
          <w:spacing w:val="-4"/>
          <w:sz w:val="20"/>
        </w:rPr>
        <w:t> </w:t>
      </w:r>
      <w:r>
        <w:rPr>
          <w:i/>
          <w:sz w:val="20"/>
        </w:rPr>
        <w:t>y</w:t>
      </w:r>
      <w:r>
        <w:rPr>
          <w:i/>
          <w:spacing w:val="-3"/>
          <w:sz w:val="20"/>
        </w:rPr>
        <w:t> </w:t>
      </w:r>
      <w:r>
        <w:rPr>
          <w:i/>
          <w:sz w:val="20"/>
        </w:rPr>
        <w:t>el</w:t>
      </w:r>
      <w:r>
        <w:rPr>
          <w:i/>
          <w:spacing w:val="-2"/>
          <w:sz w:val="20"/>
        </w:rPr>
        <w:t> </w:t>
      </w:r>
      <w:r>
        <w:rPr>
          <w:i/>
          <w:sz w:val="20"/>
        </w:rPr>
        <w:t>saldo</w:t>
      </w:r>
      <w:r>
        <w:rPr>
          <w:i/>
          <w:spacing w:val="-4"/>
          <w:sz w:val="20"/>
        </w:rPr>
        <w:t> </w:t>
      </w:r>
      <w:r>
        <w:rPr>
          <w:i/>
          <w:sz w:val="20"/>
        </w:rPr>
        <w:t>presupuestario</w:t>
      </w:r>
      <w:r>
        <w:rPr>
          <w:i/>
          <w:spacing w:val="-4"/>
          <w:sz w:val="20"/>
        </w:rPr>
        <w:t> </w:t>
      </w:r>
      <w:r>
        <w:rPr>
          <w:i/>
          <w:sz w:val="20"/>
        </w:rPr>
        <w:t>a</w:t>
      </w:r>
      <w:r>
        <w:rPr>
          <w:i/>
          <w:spacing w:val="-4"/>
          <w:sz w:val="20"/>
        </w:rPr>
        <w:t> </w:t>
      </w:r>
      <w:r>
        <w:rPr>
          <w:i/>
          <w:sz w:val="20"/>
        </w:rPr>
        <w:t>fin</w:t>
      </w:r>
      <w:r>
        <w:rPr>
          <w:i/>
          <w:spacing w:val="-4"/>
          <w:sz w:val="20"/>
        </w:rPr>
        <w:t> </w:t>
      </w:r>
      <w:r>
        <w:rPr>
          <w:i/>
          <w:sz w:val="20"/>
        </w:rPr>
        <w:t>de ejercicio.”</w:t>
      </w:r>
    </w:p>
    <w:p>
      <w:pPr>
        <w:pStyle w:val="BodyText"/>
        <w:spacing w:before="4"/>
        <w:rPr>
          <w:i/>
          <w:sz w:val="17"/>
        </w:rPr>
      </w:pPr>
    </w:p>
    <w:p>
      <w:pPr>
        <w:pStyle w:val="BodyText"/>
        <w:spacing w:line="439" w:lineRule="auto" w:before="1"/>
        <w:ind w:left="2299" w:right="2241"/>
      </w:pPr>
      <w:r>
        <w:rPr>
          <w:b/>
        </w:rPr>
        <w:t>Contestación: </w:t>
      </w:r>
      <w:r>
        <w:rPr/>
        <w:t>La información aportada no altera el contenido del Informe. En consecuencia, no se modifica el contenido del Informe.</w:t>
      </w:r>
    </w:p>
    <w:p>
      <w:pPr>
        <w:pStyle w:val="Heading1"/>
        <w:spacing w:before="1"/>
        <w:ind w:left="2299"/>
        <w:jc w:val="left"/>
        <w:rPr>
          <w:b w:val="0"/>
        </w:rPr>
      </w:pPr>
      <w:r>
        <w:rPr/>
        <w:t>Conclusión 6</w:t>
      </w:r>
      <w:r>
        <w:rPr>
          <w:b w:val="0"/>
        </w:rPr>
        <w:t>.</w:t>
      </w:r>
    </w:p>
    <w:p>
      <w:pPr>
        <w:pStyle w:val="BodyText"/>
        <w:spacing w:before="7"/>
        <w:rPr>
          <w:sz w:val="16"/>
        </w:rPr>
      </w:pPr>
    </w:p>
    <w:p>
      <w:pPr>
        <w:pStyle w:val="BodyText"/>
        <w:spacing w:line="439" w:lineRule="auto" w:before="1"/>
        <w:ind w:left="2299" w:right="2241"/>
      </w:pPr>
      <w:r>
        <w:rPr>
          <w:b/>
        </w:rPr>
        <w:t>Resumen: </w:t>
      </w:r>
      <w:r>
        <w:rPr/>
        <w:t>Remite la alegación a lo expuesto en relación al epígrafe 4.1. </w:t>
      </w:r>
      <w:r>
        <w:rPr>
          <w:b/>
        </w:rPr>
        <w:t>Contestación: </w:t>
      </w:r>
      <w:r>
        <w:rPr/>
        <w:t>La información aportada, no altera el contenido del Informe. En consecuencia, no se modifica el contenido del Informe.</w:t>
      </w:r>
    </w:p>
    <w:p>
      <w:pPr>
        <w:pStyle w:val="Heading1"/>
        <w:spacing w:before="3"/>
        <w:ind w:left="2299"/>
        <w:jc w:val="left"/>
      </w:pPr>
      <w:r>
        <w:rPr/>
        <w:t>Conclusión 7.</w:t>
      </w:r>
    </w:p>
    <w:p>
      <w:pPr>
        <w:pStyle w:val="BodyText"/>
        <w:spacing w:before="9"/>
        <w:rPr>
          <w:b/>
          <w:sz w:val="16"/>
        </w:rPr>
      </w:pPr>
    </w:p>
    <w:p>
      <w:pPr>
        <w:pStyle w:val="BodyText"/>
        <w:ind w:left="2299" w:right="1343"/>
        <w:jc w:val="both"/>
      </w:pPr>
      <w:r>
        <w:rPr>
          <w:b/>
        </w:rPr>
        <w:t>Resumen: </w:t>
      </w:r>
      <w:r>
        <w:rPr/>
        <w:t>Señala la IGCAC que en la Cuenta General del año 2021 había operaciones de regularización de conceptos extrapresupuestarios, similares a las realizadas en 2022, y que el informe de esta Audiencia de Cuentas nada señaló al respecto.</w:t>
      </w:r>
    </w:p>
    <w:p>
      <w:pPr>
        <w:pStyle w:val="BodyText"/>
        <w:spacing w:before="11"/>
        <w:rPr>
          <w:sz w:val="16"/>
        </w:rPr>
      </w:pPr>
    </w:p>
    <w:p>
      <w:pPr>
        <w:pStyle w:val="BodyText"/>
        <w:ind w:left="2299" w:right="1344"/>
        <w:jc w:val="both"/>
      </w:pPr>
      <w:r>
        <w:rPr>
          <w:b/>
        </w:rPr>
        <w:t>Contestación: </w:t>
      </w:r>
      <w:r>
        <w:rPr/>
        <w:t>El hecho de que en ejercicios anteriores los informes de fiscalización no hayan puesto de manifiesto salvedades que, si se formulan, en el ejercicio siguiente, no</w:t>
      </w:r>
    </w:p>
    <w:p>
      <w:pPr>
        <w:pStyle w:val="BodyText"/>
        <w:rPr>
          <w:sz w:val="12"/>
        </w:rPr>
      </w:pPr>
    </w:p>
    <w:p>
      <w:pPr>
        <w:pStyle w:val="BodyText"/>
        <w:spacing w:before="60"/>
        <w:ind w:left="8760" w:right="973"/>
        <w:jc w:val="center"/>
      </w:pPr>
      <w:r>
        <w:rPr/>
        <w:t>223</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81" name="image5.png"/>
                  <wp:cNvGraphicFramePr>
                    <a:graphicFrameLocks noChangeAspect="1"/>
                  </wp:cNvGraphicFramePr>
                  <a:graphic>
                    <a:graphicData uri="http://schemas.openxmlformats.org/drawingml/2006/picture">
                      <pic:pic>
                        <pic:nvPicPr>
                          <pic:cNvPr id="48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225/247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45"/>
        <w:jc w:val="both"/>
      </w:pPr>
      <w:r>
        <w:rPr/>
        <w:t>puede ser justificación para que este Órgano de Control Externo, en el ejercicio de las competencias que tiene asignadas, no pueda manifestar las irregularidades que vaya identificando.</w:t>
      </w:r>
    </w:p>
    <w:p>
      <w:pPr>
        <w:pStyle w:val="BodyText"/>
        <w:spacing w:before="12"/>
        <w:rPr>
          <w:sz w:val="16"/>
        </w:rPr>
      </w:pPr>
    </w:p>
    <w:p>
      <w:pPr>
        <w:pStyle w:val="BodyText"/>
        <w:ind w:left="2299" w:right="1346"/>
        <w:jc w:val="both"/>
      </w:pPr>
      <w:r>
        <w:rPr/>
        <w:t>El hecho de no reflejar en contabilidad presupuestaria la anulación de un saldo deudor o acreedor, propicia que se descuadre el acta de arqueo, además de no reflejar con fidelidad la imputación al presupuesto de la totalidad de derechos (anulación de saldo acreedor) o de obligaciones (anulación de saldo deudor), que se produzcan.</w:t>
      </w:r>
    </w:p>
    <w:p>
      <w:pPr>
        <w:pStyle w:val="BodyText"/>
        <w:rPr>
          <w:sz w:val="17"/>
        </w:rPr>
      </w:pPr>
    </w:p>
    <w:p>
      <w:pPr>
        <w:pStyle w:val="BodyText"/>
        <w:ind w:left="2299"/>
        <w:jc w:val="both"/>
      </w:pPr>
      <w:r>
        <w:rPr/>
        <w:t>En consecuencia, no se modifica el contenido del Informe.</w:t>
      </w:r>
    </w:p>
    <w:p>
      <w:pPr>
        <w:pStyle w:val="BodyText"/>
        <w:spacing w:before="11"/>
        <w:rPr>
          <w:sz w:val="16"/>
        </w:rPr>
      </w:pPr>
    </w:p>
    <w:p>
      <w:pPr>
        <w:pStyle w:val="Heading1"/>
        <w:ind w:left="2299"/>
        <w:jc w:val="both"/>
      </w:pPr>
      <w:r>
        <w:rPr/>
        <w:t>Conclusión 9 (1).</w:t>
      </w:r>
    </w:p>
    <w:p>
      <w:pPr>
        <w:pStyle w:val="BodyText"/>
        <w:spacing w:before="8"/>
        <w:rPr>
          <w:b/>
          <w:sz w:val="16"/>
        </w:rPr>
      </w:pPr>
    </w:p>
    <w:p>
      <w:pPr>
        <w:pStyle w:val="BodyText"/>
        <w:ind w:left="2299" w:right="1343"/>
        <w:jc w:val="both"/>
      </w:pPr>
      <w:r>
        <w:rPr>
          <w:b/>
        </w:rPr>
        <w:t>Resumen: </w:t>
      </w:r>
      <w:r>
        <w:rPr/>
        <w:t>En primer lugar se señala un error en la referenciación de la conclusión, pues no se corresponde con el epígrafe 4.2.8, sino con el 4.2.9.5.</w:t>
      </w:r>
    </w:p>
    <w:p>
      <w:pPr>
        <w:pStyle w:val="BodyText"/>
        <w:spacing w:before="9"/>
        <w:rPr>
          <w:sz w:val="16"/>
        </w:rPr>
      </w:pPr>
    </w:p>
    <w:p>
      <w:pPr>
        <w:spacing w:before="0"/>
        <w:ind w:left="2299" w:right="0" w:firstLine="0"/>
        <w:jc w:val="both"/>
        <w:rPr>
          <w:sz w:val="20"/>
        </w:rPr>
      </w:pPr>
      <w:r>
        <w:rPr>
          <w:b/>
          <w:sz w:val="20"/>
        </w:rPr>
        <w:t>Contestación: </w:t>
      </w:r>
      <w:r>
        <w:rPr>
          <w:sz w:val="20"/>
        </w:rPr>
        <w:t>Se acepta y agradece la corrección.</w:t>
      </w:r>
    </w:p>
    <w:p>
      <w:pPr>
        <w:pStyle w:val="BodyText"/>
        <w:spacing w:before="8"/>
        <w:rPr>
          <w:sz w:val="16"/>
        </w:rPr>
      </w:pPr>
    </w:p>
    <w:p>
      <w:pPr>
        <w:pStyle w:val="BodyText"/>
        <w:ind w:left="2299" w:right="1346"/>
        <w:jc w:val="both"/>
      </w:pPr>
      <w:r>
        <w:rPr/>
        <w:t>En consecuencia, se procede a corregir la referencia de la conclusión nº 9 del Informe, donde pone (4.2.8) debe poner (4.2.9.5).</w:t>
      </w:r>
    </w:p>
    <w:p>
      <w:pPr>
        <w:pStyle w:val="BodyText"/>
        <w:spacing w:before="10"/>
        <w:rPr>
          <w:sz w:val="16"/>
        </w:rPr>
      </w:pPr>
    </w:p>
    <w:p>
      <w:pPr>
        <w:pStyle w:val="Heading1"/>
        <w:ind w:left="2299"/>
        <w:jc w:val="both"/>
      </w:pPr>
      <w:r>
        <w:rPr/>
        <w:t>Conclusión 9 (2).</w:t>
      </w:r>
    </w:p>
    <w:p>
      <w:pPr>
        <w:pStyle w:val="BodyText"/>
        <w:spacing w:before="7"/>
        <w:rPr>
          <w:b/>
          <w:sz w:val="16"/>
        </w:rPr>
      </w:pPr>
    </w:p>
    <w:p>
      <w:pPr>
        <w:pStyle w:val="BodyText"/>
        <w:spacing w:line="242" w:lineRule="auto" w:before="1"/>
        <w:ind w:left="2299" w:right="1345"/>
        <w:jc w:val="both"/>
      </w:pPr>
      <w:r>
        <w:rPr>
          <w:b/>
        </w:rPr>
        <w:t>Resumen: </w:t>
      </w:r>
      <w:r>
        <w:rPr/>
        <w:t>Entiende la IGCAC que no se puede realizar un análisis agregado de los dos fondos que constituyen los Next Generation, esto es el Mecanismo de Recuperación y Resiliencia (MRR) y la Ayuda a la Recuperación para la Cohesión y los Territorios de Europa (REACT-UE), pues tienen una configuración totalmente diferenciada.</w:t>
      </w:r>
    </w:p>
    <w:p>
      <w:pPr>
        <w:pStyle w:val="BodyText"/>
        <w:spacing w:before="3"/>
        <w:rPr>
          <w:sz w:val="16"/>
        </w:rPr>
      </w:pPr>
    </w:p>
    <w:p>
      <w:pPr>
        <w:pStyle w:val="BodyText"/>
        <w:spacing w:line="242" w:lineRule="auto"/>
        <w:ind w:left="2299" w:right="1344"/>
        <w:jc w:val="both"/>
      </w:pPr>
      <w:r>
        <w:rPr>
          <w:b/>
        </w:rPr>
        <w:t>Contestación: </w:t>
      </w:r>
      <w:r>
        <w:rPr/>
        <w:t>A juicio de esta ACC el hecho de que se trate de fondos diferenciados y con recorridos temporales distintos, no impide que se pueda calcular una media del grado de ejecución de los mismos. En la práctica totalidad de informes sobre ejecución presupuestaria aparecen porcentajes de ejecución que corresponden a agregaciones diversas.</w:t>
      </w:r>
    </w:p>
    <w:p>
      <w:pPr>
        <w:pStyle w:val="BodyText"/>
        <w:spacing w:before="4"/>
        <w:rPr>
          <w:sz w:val="16"/>
        </w:rPr>
      </w:pPr>
    </w:p>
    <w:p>
      <w:pPr>
        <w:pStyle w:val="BodyText"/>
        <w:spacing w:before="1"/>
        <w:ind w:left="2299"/>
        <w:jc w:val="both"/>
      </w:pPr>
      <w:r>
        <w:rPr/>
        <w:t>En consecuencia, no se modifica el contenido del Informe.</w:t>
      </w:r>
    </w:p>
    <w:p>
      <w:pPr>
        <w:pStyle w:val="BodyText"/>
        <w:spacing w:before="8"/>
        <w:rPr>
          <w:sz w:val="16"/>
        </w:rPr>
      </w:pPr>
    </w:p>
    <w:p>
      <w:pPr>
        <w:pStyle w:val="Heading1"/>
        <w:ind w:left="2299"/>
        <w:jc w:val="both"/>
      </w:pPr>
      <w:r>
        <w:rPr/>
        <w:t>Conclusión 10 (1).</w:t>
      </w:r>
    </w:p>
    <w:p>
      <w:pPr>
        <w:pStyle w:val="BodyText"/>
        <w:spacing w:before="8"/>
        <w:rPr>
          <w:b/>
          <w:sz w:val="16"/>
        </w:rPr>
      </w:pPr>
    </w:p>
    <w:p>
      <w:pPr>
        <w:pStyle w:val="BodyText"/>
        <w:ind w:left="2299" w:right="1263"/>
      </w:pPr>
      <w:r>
        <w:rPr>
          <w:b/>
        </w:rPr>
        <w:t>Resumen: </w:t>
      </w:r>
      <w:r>
        <w:rPr/>
        <w:t>La conclusión está mal referenciada, pues se refiere al apartado 4.2.9.6 en lugar del 4.2.8.</w:t>
      </w:r>
    </w:p>
    <w:p>
      <w:pPr>
        <w:pStyle w:val="BodyText"/>
        <w:spacing w:line="440" w:lineRule="atLeast" w:before="9"/>
        <w:ind w:left="2299" w:right="1263"/>
      </w:pPr>
      <w:r>
        <w:rPr>
          <w:b/>
        </w:rPr>
        <w:t>Contestación: </w:t>
      </w:r>
      <w:r>
        <w:rPr/>
        <w:t>Se agradece la corrección y en consecuencia se procede a su corrección. En consecuencia, al final de la conclusión nº10, donde dice (4.2.8) debe decir (4.2.9.6)</w:t>
      </w:r>
    </w:p>
    <w:p>
      <w:pPr>
        <w:pStyle w:val="BodyText"/>
        <w:spacing w:before="124"/>
        <w:ind w:left="9129"/>
      </w:pPr>
      <w:r>
        <w:rPr/>
        <w:t>224</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83" name="image5.png"/>
                  <wp:cNvGraphicFramePr>
                    <a:graphicFrameLocks noChangeAspect="1"/>
                  </wp:cNvGraphicFramePr>
                  <a:graphic>
                    <a:graphicData uri="http://schemas.openxmlformats.org/drawingml/2006/picture">
                      <pic:pic>
                        <pic:nvPicPr>
                          <pic:cNvPr id="48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226/247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spacing w:before="60"/>
        <w:ind w:left="2299" w:right="0" w:firstLine="0"/>
        <w:jc w:val="both"/>
        <w:rPr>
          <w:b/>
          <w:sz w:val="20"/>
        </w:rPr>
      </w:pPr>
      <w:r>
        <w:rPr>
          <w:b/>
          <w:sz w:val="20"/>
        </w:rPr>
        <w:t>Conclusión 10 (2).</w:t>
      </w:r>
    </w:p>
    <w:p>
      <w:pPr>
        <w:pStyle w:val="BodyText"/>
        <w:spacing w:before="8"/>
        <w:rPr>
          <w:b/>
          <w:sz w:val="16"/>
        </w:rPr>
      </w:pPr>
    </w:p>
    <w:p>
      <w:pPr>
        <w:pStyle w:val="BodyText"/>
        <w:ind w:left="2299" w:right="1343"/>
        <w:jc w:val="both"/>
      </w:pPr>
      <w:r>
        <w:rPr>
          <w:b/>
        </w:rPr>
        <w:t>Resumen: </w:t>
      </w:r>
      <w:r>
        <w:rPr/>
        <w:t>La transcripción de la disposición adicional quinta de la Ley 7/2022, de 28 de diciembre, de Presupuestos Generales de la CAC para 2023, no es de aplicación a los reintegros reclamados o devoluciones/compensaciones pendientes relativos a transferencias /subvenciones afectadas recibidas del Estado o de otras Administraciones Públicas.</w:t>
      </w:r>
    </w:p>
    <w:p>
      <w:pPr>
        <w:pStyle w:val="BodyText"/>
        <w:spacing w:before="3"/>
        <w:rPr>
          <w:sz w:val="17"/>
        </w:rPr>
      </w:pPr>
    </w:p>
    <w:p>
      <w:pPr>
        <w:pStyle w:val="BodyText"/>
        <w:ind w:left="2299" w:right="1348"/>
        <w:jc w:val="both"/>
      </w:pPr>
      <w:r>
        <w:rPr>
          <w:b/>
        </w:rPr>
        <w:t>Contestación: </w:t>
      </w:r>
      <w:r>
        <w:rPr/>
        <w:t>Ciertamente se ha producido un error en la transcripción de esta disposición adicional de la Ley 7/2022.</w:t>
      </w:r>
    </w:p>
    <w:p>
      <w:pPr>
        <w:pStyle w:val="BodyText"/>
        <w:spacing w:before="12"/>
        <w:rPr>
          <w:sz w:val="16"/>
        </w:rPr>
      </w:pPr>
    </w:p>
    <w:p>
      <w:pPr>
        <w:spacing w:before="0"/>
        <w:ind w:left="2299" w:right="1343" w:firstLine="0"/>
        <w:jc w:val="both"/>
        <w:rPr>
          <w:sz w:val="20"/>
        </w:rPr>
      </w:pPr>
      <w:r>
        <w:rPr>
          <w:sz w:val="20"/>
        </w:rPr>
        <w:t>En consecuencia, se procede a suprimir el segundo párrafo de la página 58 del Proyecto de Informe. Así mismo, se debe suprimir, en el inicio del tercer párrafo de la misma página, lo siguiente: “</w:t>
      </w:r>
      <w:r>
        <w:rPr>
          <w:i/>
          <w:sz w:val="20"/>
        </w:rPr>
        <w:t>Por otra parte, y en virtud de”. </w:t>
      </w:r>
      <w:r>
        <w:rPr>
          <w:sz w:val="20"/>
        </w:rPr>
        <w:t>Debiendo comenzar ese párrafo con las palabras siguientes</w:t>
      </w:r>
      <w:r>
        <w:rPr>
          <w:i/>
          <w:sz w:val="20"/>
        </w:rPr>
        <w:t>:” La Resolución de la Dirección General de Presupuestos y </w:t>
      </w:r>
      <w:r>
        <w:rPr>
          <w:i/>
          <w:sz w:val="20"/>
        </w:rPr>
        <w:t>Asuntos Europeos…</w:t>
      </w:r>
      <w:r>
        <w:rPr>
          <w:sz w:val="20"/>
        </w:rPr>
        <w:t>”</w:t>
      </w:r>
    </w:p>
    <w:p>
      <w:pPr>
        <w:pStyle w:val="BodyText"/>
        <w:spacing w:before="2"/>
        <w:rPr>
          <w:sz w:val="17"/>
        </w:rPr>
      </w:pPr>
    </w:p>
    <w:p>
      <w:pPr>
        <w:pStyle w:val="BodyText"/>
        <w:ind w:left="2299"/>
        <w:jc w:val="both"/>
      </w:pPr>
      <w:r>
        <w:rPr/>
        <w:t>También se debe suprimir en el cuarto párrafo de la misma página las siguientes</w:t>
      </w:r>
    </w:p>
    <w:p>
      <w:pPr>
        <w:pStyle w:val="BodyText"/>
        <w:spacing w:before="2"/>
        <w:ind w:left="2299"/>
        <w:jc w:val="both"/>
      </w:pPr>
      <w:r>
        <w:rPr/>
        <w:t>palabras: “hoy en la disposición adicional mencionada y, anteriormente”.</w:t>
      </w:r>
    </w:p>
    <w:p>
      <w:pPr>
        <w:pStyle w:val="BodyText"/>
        <w:spacing w:before="8"/>
        <w:rPr>
          <w:sz w:val="16"/>
        </w:rPr>
      </w:pPr>
    </w:p>
    <w:p>
      <w:pPr>
        <w:spacing w:line="242" w:lineRule="auto" w:before="0"/>
        <w:ind w:left="2299" w:right="1341" w:firstLine="0"/>
        <w:jc w:val="both"/>
        <w:rPr>
          <w:i/>
          <w:sz w:val="20"/>
        </w:rPr>
      </w:pPr>
      <w:r>
        <w:rPr>
          <w:sz w:val="20"/>
        </w:rPr>
        <w:t>El cuarto párrafo debe quedar redactado en los siguientes términos: “</w:t>
      </w:r>
      <w:r>
        <w:rPr>
          <w:i/>
          <w:sz w:val="20"/>
        </w:rPr>
        <w:t>Todo este </w:t>
      </w:r>
      <w:r>
        <w:rPr>
          <w:i/>
          <w:sz w:val="20"/>
        </w:rPr>
        <w:t>procedimiento</w:t>
      </w:r>
      <w:r>
        <w:rPr>
          <w:i/>
          <w:spacing w:val="-9"/>
          <w:sz w:val="20"/>
        </w:rPr>
        <w:t> </w:t>
      </w:r>
      <w:r>
        <w:rPr>
          <w:i/>
          <w:sz w:val="20"/>
        </w:rPr>
        <w:t>que</w:t>
      </w:r>
      <w:r>
        <w:rPr>
          <w:i/>
          <w:spacing w:val="-7"/>
          <w:sz w:val="20"/>
        </w:rPr>
        <w:t> </w:t>
      </w:r>
      <w:r>
        <w:rPr>
          <w:i/>
          <w:sz w:val="20"/>
        </w:rPr>
        <w:t>se</w:t>
      </w:r>
      <w:r>
        <w:rPr>
          <w:i/>
          <w:spacing w:val="-8"/>
          <w:sz w:val="20"/>
        </w:rPr>
        <w:t> </w:t>
      </w:r>
      <w:r>
        <w:rPr>
          <w:i/>
          <w:sz w:val="20"/>
        </w:rPr>
        <w:t>fundamenta</w:t>
      </w:r>
      <w:r>
        <w:rPr>
          <w:i/>
          <w:spacing w:val="-8"/>
          <w:sz w:val="20"/>
        </w:rPr>
        <w:t> </w:t>
      </w:r>
      <w:r>
        <w:rPr>
          <w:i/>
          <w:sz w:val="20"/>
        </w:rPr>
        <w:t>en</w:t>
      </w:r>
      <w:r>
        <w:rPr>
          <w:i/>
          <w:spacing w:val="-9"/>
          <w:sz w:val="20"/>
        </w:rPr>
        <w:t> </w:t>
      </w:r>
      <w:r>
        <w:rPr>
          <w:i/>
          <w:sz w:val="20"/>
        </w:rPr>
        <w:t>la</w:t>
      </w:r>
      <w:r>
        <w:rPr>
          <w:i/>
          <w:spacing w:val="-8"/>
          <w:sz w:val="20"/>
        </w:rPr>
        <w:t> </w:t>
      </w:r>
      <w:r>
        <w:rPr>
          <w:i/>
          <w:sz w:val="20"/>
        </w:rPr>
        <w:t>Resolución</w:t>
      </w:r>
      <w:r>
        <w:rPr>
          <w:i/>
          <w:spacing w:val="-9"/>
          <w:sz w:val="20"/>
        </w:rPr>
        <w:t> </w:t>
      </w:r>
      <w:r>
        <w:rPr>
          <w:i/>
          <w:sz w:val="20"/>
        </w:rPr>
        <w:t>de</w:t>
      </w:r>
      <w:r>
        <w:rPr>
          <w:i/>
          <w:spacing w:val="-7"/>
          <w:sz w:val="20"/>
        </w:rPr>
        <w:t> </w:t>
      </w:r>
      <w:r>
        <w:rPr>
          <w:i/>
          <w:sz w:val="20"/>
        </w:rPr>
        <w:t>la</w:t>
      </w:r>
      <w:r>
        <w:rPr>
          <w:i/>
          <w:spacing w:val="-9"/>
          <w:sz w:val="20"/>
        </w:rPr>
        <w:t> </w:t>
      </w:r>
      <w:r>
        <w:rPr>
          <w:i/>
          <w:sz w:val="20"/>
        </w:rPr>
        <w:t>DGP,</w:t>
      </w:r>
      <w:r>
        <w:rPr>
          <w:i/>
          <w:spacing w:val="-7"/>
          <w:sz w:val="20"/>
        </w:rPr>
        <w:t> </w:t>
      </w:r>
      <w:r>
        <w:rPr>
          <w:i/>
          <w:sz w:val="20"/>
        </w:rPr>
        <w:t>propicia</w:t>
      </w:r>
      <w:r>
        <w:rPr>
          <w:i/>
          <w:spacing w:val="-9"/>
          <w:sz w:val="20"/>
        </w:rPr>
        <w:t> </w:t>
      </w:r>
      <w:r>
        <w:rPr>
          <w:i/>
          <w:sz w:val="20"/>
        </w:rPr>
        <w:t>que</w:t>
      </w:r>
      <w:r>
        <w:rPr>
          <w:i/>
          <w:spacing w:val="-9"/>
          <w:sz w:val="20"/>
        </w:rPr>
        <w:t> </w:t>
      </w:r>
      <w:r>
        <w:rPr>
          <w:i/>
          <w:sz w:val="20"/>
        </w:rPr>
        <w:t>se</w:t>
      </w:r>
      <w:r>
        <w:rPr>
          <w:i/>
          <w:spacing w:val="-8"/>
          <w:sz w:val="20"/>
        </w:rPr>
        <w:t> </w:t>
      </w:r>
      <w:r>
        <w:rPr>
          <w:i/>
          <w:sz w:val="20"/>
        </w:rPr>
        <w:t>distorsione la imagen fiel de la ejecución del presupuesto de gastos, aumentando indebidamente el grado de ejecución del mismo, pues en realidad, los proyectos de gasto vinculados a la correspondiente financiación afectada que se devuelve, no han sido realmente ejecutados. El grado de ejecución presupuestaria (obligaciones reconocidas/crédito definitivo) se ve alterado de manera irreal. Lo correcto sería tramitar la devolución de estos excesos de financiación, mediante la contabilización de un documento contable de mandamiento de pago de devoluciones de ingresos. Este procedimiento no altera la ejecución del presupuesto de gastos, y refleja correctamente la minoración de los derechos reconocidos y recaudados de la correspondiente partida del presupuesto de ingresos,</w:t>
      </w:r>
      <w:r>
        <w:rPr>
          <w:i/>
          <w:spacing w:val="-4"/>
          <w:sz w:val="20"/>
        </w:rPr>
        <w:t> </w:t>
      </w:r>
      <w:r>
        <w:rPr>
          <w:i/>
          <w:sz w:val="20"/>
        </w:rPr>
        <w:t>donde</w:t>
      </w:r>
      <w:r>
        <w:rPr>
          <w:i/>
          <w:spacing w:val="-4"/>
          <w:sz w:val="20"/>
        </w:rPr>
        <w:t> </w:t>
      </w:r>
      <w:r>
        <w:rPr>
          <w:i/>
          <w:sz w:val="20"/>
        </w:rPr>
        <w:t>se</w:t>
      </w:r>
      <w:r>
        <w:rPr>
          <w:i/>
          <w:spacing w:val="-6"/>
          <w:sz w:val="20"/>
        </w:rPr>
        <w:t> </w:t>
      </w:r>
      <w:r>
        <w:rPr>
          <w:i/>
          <w:sz w:val="20"/>
        </w:rPr>
        <w:t>consignó</w:t>
      </w:r>
      <w:r>
        <w:rPr>
          <w:i/>
          <w:spacing w:val="-5"/>
          <w:sz w:val="20"/>
        </w:rPr>
        <w:t> </w:t>
      </w:r>
      <w:r>
        <w:rPr>
          <w:i/>
          <w:sz w:val="20"/>
        </w:rPr>
        <w:t>la</w:t>
      </w:r>
      <w:r>
        <w:rPr>
          <w:i/>
          <w:spacing w:val="-5"/>
          <w:sz w:val="20"/>
        </w:rPr>
        <w:t> </w:t>
      </w:r>
      <w:r>
        <w:rPr>
          <w:i/>
          <w:sz w:val="20"/>
        </w:rPr>
        <w:t>previsión</w:t>
      </w:r>
      <w:r>
        <w:rPr>
          <w:i/>
          <w:spacing w:val="-6"/>
          <w:sz w:val="20"/>
        </w:rPr>
        <w:t> </w:t>
      </w:r>
      <w:r>
        <w:rPr>
          <w:i/>
          <w:sz w:val="20"/>
        </w:rPr>
        <w:t>de</w:t>
      </w:r>
      <w:r>
        <w:rPr>
          <w:i/>
          <w:spacing w:val="-4"/>
          <w:sz w:val="20"/>
        </w:rPr>
        <w:t> </w:t>
      </w:r>
      <w:r>
        <w:rPr>
          <w:i/>
          <w:sz w:val="20"/>
        </w:rPr>
        <w:t>la</w:t>
      </w:r>
      <w:r>
        <w:rPr>
          <w:i/>
          <w:spacing w:val="-7"/>
          <w:sz w:val="20"/>
        </w:rPr>
        <w:t> </w:t>
      </w:r>
      <w:r>
        <w:rPr>
          <w:i/>
          <w:sz w:val="20"/>
        </w:rPr>
        <w:t>fuente</w:t>
      </w:r>
      <w:r>
        <w:rPr>
          <w:i/>
          <w:spacing w:val="-5"/>
          <w:sz w:val="20"/>
        </w:rPr>
        <w:t> </w:t>
      </w:r>
      <w:r>
        <w:rPr>
          <w:i/>
          <w:sz w:val="20"/>
        </w:rPr>
        <w:t>de</w:t>
      </w:r>
      <w:r>
        <w:rPr>
          <w:i/>
          <w:spacing w:val="-6"/>
          <w:sz w:val="20"/>
        </w:rPr>
        <w:t> </w:t>
      </w:r>
      <w:r>
        <w:rPr>
          <w:i/>
          <w:sz w:val="20"/>
        </w:rPr>
        <w:t>financiación</w:t>
      </w:r>
      <w:r>
        <w:rPr>
          <w:i/>
          <w:spacing w:val="-5"/>
          <w:sz w:val="20"/>
        </w:rPr>
        <w:t> </w:t>
      </w:r>
      <w:r>
        <w:rPr>
          <w:i/>
          <w:sz w:val="20"/>
        </w:rPr>
        <w:t>afectada,</w:t>
      </w:r>
      <w:r>
        <w:rPr>
          <w:i/>
          <w:spacing w:val="-4"/>
          <w:sz w:val="20"/>
        </w:rPr>
        <w:t> </w:t>
      </w:r>
      <w:r>
        <w:rPr>
          <w:i/>
          <w:sz w:val="20"/>
        </w:rPr>
        <w:t>fuere</w:t>
      </w:r>
      <w:r>
        <w:rPr>
          <w:i/>
          <w:spacing w:val="-4"/>
          <w:sz w:val="20"/>
        </w:rPr>
        <w:t> </w:t>
      </w:r>
      <w:r>
        <w:rPr>
          <w:i/>
          <w:sz w:val="20"/>
        </w:rPr>
        <w:t>cual fuera el ejercicio en el que se ingresó la correspondiente</w:t>
      </w:r>
      <w:r>
        <w:rPr>
          <w:i/>
          <w:spacing w:val="7"/>
          <w:sz w:val="20"/>
        </w:rPr>
        <w:t> </w:t>
      </w:r>
      <w:r>
        <w:rPr>
          <w:i/>
          <w:sz w:val="20"/>
        </w:rPr>
        <w:t>financiación.”</w:t>
      </w:r>
    </w:p>
    <w:p>
      <w:pPr>
        <w:pStyle w:val="BodyText"/>
        <w:spacing w:before="11"/>
        <w:rPr>
          <w:i/>
          <w:sz w:val="15"/>
        </w:rPr>
      </w:pPr>
    </w:p>
    <w:p>
      <w:pPr>
        <w:pStyle w:val="Heading1"/>
        <w:ind w:left="2299"/>
        <w:jc w:val="both"/>
      </w:pPr>
      <w:r>
        <w:rPr/>
        <w:t>Conclusión 10 (3).</w:t>
      </w:r>
    </w:p>
    <w:p>
      <w:pPr>
        <w:pStyle w:val="BodyText"/>
        <w:spacing w:before="8"/>
        <w:rPr>
          <w:b/>
          <w:sz w:val="16"/>
        </w:rPr>
      </w:pPr>
    </w:p>
    <w:p>
      <w:pPr>
        <w:pStyle w:val="BodyText"/>
        <w:ind w:left="2299" w:right="1343"/>
        <w:jc w:val="both"/>
      </w:pPr>
      <w:r>
        <w:rPr>
          <w:b/>
        </w:rPr>
        <w:t>Resumen: </w:t>
      </w:r>
      <w:r>
        <w:rPr/>
        <w:t>Se alude por la IGCAC al Documento 4 Transferencias y Subvenciones, de la IGAE, en concreto al apartado referido al Reconocimiento de Transferencias y Subvenciones, señalando que tratar los reintegros como menor ingreso del ejercicio (devoluciones de ingresos) tiene carácter potestativo.</w:t>
      </w:r>
    </w:p>
    <w:p>
      <w:pPr>
        <w:pStyle w:val="BodyText"/>
        <w:spacing w:before="1"/>
        <w:rPr>
          <w:sz w:val="17"/>
        </w:rPr>
      </w:pPr>
    </w:p>
    <w:p>
      <w:pPr>
        <w:pStyle w:val="BodyText"/>
        <w:ind w:left="2150" w:right="1345"/>
        <w:jc w:val="right"/>
      </w:pPr>
      <w:r>
        <w:rPr>
          <w:b/>
        </w:rPr>
        <w:t>Contestación: </w:t>
      </w:r>
      <w:r>
        <w:rPr/>
        <w:t>Siendo cierto lo señalado, no puede servir de fundamento</w:t>
      </w:r>
      <w:r>
        <w:rPr>
          <w:spacing w:val="35"/>
        </w:rPr>
        <w:t> </w:t>
      </w:r>
      <w:r>
        <w:rPr/>
        <w:t>para</w:t>
      </w:r>
      <w:r>
        <w:rPr>
          <w:spacing w:val="4"/>
        </w:rPr>
        <w:t> </w:t>
      </w:r>
      <w:r>
        <w:rPr/>
        <w:t>justificar</w:t>
      </w:r>
      <w:r>
        <w:rPr>
          <w:w w:val="100"/>
        </w:rPr>
        <w:t> </w:t>
      </w:r>
      <w:r>
        <w:rPr/>
        <w:t>un</w:t>
      </w:r>
      <w:r>
        <w:rPr>
          <w:spacing w:val="16"/>
        </w:rPr>
        <w:t> </w:t>
      </w:r>
      <w:r>
        <w:rPr/>
        <w:t>reflejo</w:t>
      </w:r>
      <w:r>
        <w:rPr>
          <w:spacing w:val="17"/>
        </w:rPr>
        <w:t> </w:t>
      </w:r>
      <w:r>
        <w:rPr/>
        <w:t>irreal</w:t>
      </w:r>
      <w:r>
        <w:rPr>
          <w:spacing w:val="14"/>
        </w:rPr>
        <w:t> </w:t>
      </w:r>
      <w:r>
        <w:rPr/>
        <w:t>de</w:t>
      </w:r>
      <w:r>
        <w:rPr>
          <w:spacing w:val="17"/>
        </w:rPr>
        <w:t> </w:t>
      </w:r>
      <w:r>
        <w:rPr/>
        <w:t>la</w:t>
      </w:r>
      <w:r>
        <w:rPr>
          <w:spacing w:val="15"/>
        </w:rPr>
        <w:t> </w:t>
      </w:r>
      <w:r>
        <w:rPr/>
        <w:t>ejecución</w:t>
      </w:r>
      <w:r>
        <w:rPr>
          <w:spacing w:val="17"/>
        </w:rPr>
        <w:t> </w:t>
      </w:r>
      <w:r>
        <w:rPr/>
        <w:t>del</w:t>
      </w:r>
      <w:r>
        <w:rPr>
          <w:spacing w:val="17"/>
        </w:rPr>
        <w:t> </w:t>
      </w:r>
      <w:r>
        <w:rPr/>
        <w:t>presupuesto</w:t>
      </w:r>
      <w:r>
        <w:rPr>
          <w:spacing w:val="15"/>
        </w:rPr>
        <w:t> </w:t>
      </w:r>
      <w:r>
        <w:rPr/>
        <w:t>de</w:t>
      </w:r>
      <w:r>
        <w:rPr>
          <w:spacing w:val="16"/>
        </w:rPr>
        <w:t> </w:t>
      </w:r>
      <w:r>
        <w:rPr/>
        <w:t>gastos.</w:t>
      </w:r>
      <w:r>
        <w:rPr>
          <w:spacing w:val="16"/>
        </w:rPr>
        <w:t> </w:t>
      </w:r>
      <w:r>
        <w:rPr/>
        <w:t>El</w:t>
      </w:r>
      <w:r>
        <w:rPr>
          <w:spacing w:val="17"/>
        </w:rPr>
        <w:t> </w:t>
      </w:r>
      <w:r>
        <w:rPr/>
        <w:t>principio</w:t>
      </w:r>
      <w:r>
        <w:rPr>
          <w:spacing w:val="14"/>
        </w:rPr>
        <w:t> </w:t>
      </w:r>
      <w:r>
        <w:rPr/>
        <w:t>de</w:t>
      </w:r>
      <w:r>
        <w:rPr>
          <w:spacing w:val="17"/>
        </w:rPr>
        <w:t> </w:t>
      </w:r>
      <w:r>
        <w:rPr/>
        <w:t>imagen</w:t>
      </w:r>
      <w:r>
        <w:rPr>
          <w:spacing w:val="14"/>
        </w:rPr>
        <w:t> </w:t>
      </w:r>
      <w:r>
        <w:rPr/>
        <w:t>fiel</w:t>
      </w:r>
    </w:p>
    <w:p>
      <w:pPr>
        <w:pStyle w:val="BodyText"/>
        <w:spacing w:before="98"/>
        <w:ind w:left="2150" w:right="1340"/>
        <w:jc w:val="right"/>
      </w:pPr>
      <w:r>
        <w:rPr/>
        <w:t>225</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85" name="image5.png"/>
                  <wp:cNvGraphicFramePr>
                    <a:graphicFrameLocks noChangeAspect="1"/>
                  </wp:cNvGraphicFramePr>
                  <a:graphic>
                    <a:graphicData uri="http://schemas.openxmlformats.org/drawingml/2006/picture">
                      <pic:pic>
                        <pic:nvPicPr>
                          <pic:cNvPr id="48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227/247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pPr>
      <w:r>
        <w:rPr/>
        <w:t>anula el carácter potestativo señalado anteriormente.</w:t>
      </w:r>
    </w:p>
    <w:p>
      <w:pPr>
        <w:pStyle w:val="BodyText"/>
        <w:spacing w:before="8"/>
        <w:rPr>
          <w:sz w:val="16"/>
        </w:rPr>
      </w:pPr>
    </w:p>
    <w:p>
      <w:pPr>
        <w:pStyle w:val="BodyText"/>
        <w:ind w:left="2299"/>
      </w:pPr>
      <w:r>
        <w:rPr/>
        <w:t>En consecuencia, no se modifica el contenido del Informe.</w:t>
      </w:r>
    </w:p>
    <w:p>
      <w:pPr>
        <w:pStyle w:val="BodyText"/>
        <w:spacing w:before="8"/>
        <w:rPr>
          <w:sz w:val="16"/>
        </w:rPr>
      </w:pPr>
    </w:p>
    <w:p>
      <w:pPr>
        <w:pStyle w:val="Heading1"/>
        <w:ind w:left="2299"/>
        <w:jc w:val="left"/>
      </w:pPr>
      <w:r>
        <w:rPr/>
        <w:t>Conclusión 15.</w:t>
      </w:r>
    </w:p>
    <w:p>
      <w:pPr>
        <w:pStyle w:val="BodyText"/>
        <w:spacing w:before="8"/>
        <w:rPr>
          <w:b/>
          <w:sz w:val="16"/>
        </w:rPr>
      </w:pPr>
    </w:p>
    <w:p>
      <w:pPr>
        <w:pStyle w:val="BodyText"/>
        <w:ind w:left="2299" w:right="1341"/>
        <w:jc w:val="both"/>
      </w:pPr>
      <w:r>
        <w:rPr>
          <w:b/>
        </w:rPr>
        <w:t>Resumen. </w:t>
      </w:r>
      <w:r>
        <w:rPr/>
        <w:t>Por la Intervención General no se comparte el criterio expresado puesto que los remanentes afectados no se pueden calcular sin la previa aplicación de reglas presupuestarias que establezcan el carácter finalista de los ingresos. Las mismas no estaban operativas de acuerdo con la liquidación del presupuesto al cierre del ejercicio 2022.</w:t>
      </w:r>
    </w:p>
    <w:p>
      <w:pPr>
        <w:pStyle w:val="BodyText"/>
        <w:spacing w:before="5"/>
        <w:rPr>
          <w:sz w:val="17"/>
        </w:rPr>
      </w:pPr>
    </w:p>
    <w:p>
      <w:pPr>
        <w:pStyle w:val="BodyText"/>
        <w:ind w:left="2299" w:right="1342"/>
        <w:jc w:val="both"/>
      </w:pPr>
      <w:r>
        <w:rPr>
          <w:b/>
        </w:rPr>
        <w:t>Contestación. </w:t>
      </w:r>
      <w:r>
        <w:rPr/>
        <w:t>Los remanentes que procedan de sanciones pecuniarias impuestas por la APMN, por infracciones en materia medioambiental, deben aplicarse al control de la legalidad territorial y medioambiental, así como a financiar programas para la protección,</w:t>
      </w:r>
      <w:r>
        <w:rPr>
          <w:spacing w:val="-8"/>
        </w:rPr>
        <w:t> </w:t>
      </w:r>
      <w:r>
        <w:rPr/>
        <w:t>restauración</w:t>
      </w:r>
      <w:r>
        <w:rPr>
          <w:spacing w:val="-10"/>
        </w:rPr>
        <w:t> </w:t>
      </w:r>
      <w:r>
        <w:rPr/>
        <w:t>o</w:t>
      </w:r>
      <w:r>
        <w:rPr>
          <w:spacing w:val="-7"/>
        </w:rPr>
        <w:t> </w:t>
      </w:r>
      <w:r>
        <w:rPr/>
        <w:t>mejora</w:t>
      </w:r>
      <w:r>
        <w:rPr>
          <w:spacing w:val="-10"/>
        </w:rPr>
        <w:t> </w:t>
      </w:r>
      <w:r>
        <w:rPr/>
        <w:t>del</w:t>
      </w:r>
      <w:r>
        <w:rPr>
          <w:spacing w:val="-9"/>
        </w:rPr>
        <w:t> </w:t>
      </w:r>
      <w:r>
        <w:rPr/>
        <w:t>territorio</w:t>
      </w:r>
      <w:r>
        <w:rPr>
          <w:spacing w:val="-7"/>
        </w:rPr>
        <w:t> </w:t>
      </w:r>
      <w:r>
        <w:rPr/>
        <w:t>canario</w:t>
      </w:r>
      <w:r>
        <w:rPr>
          <w:spacing w:val="-4"/>
        </w:rPr>
        <w:t> </w:t>
      </w:r>
      <w:r>
        <w:rPr/>
        <w:t>(DA</w:t>
      </w:r>
      <w:r>
        <w:rPr>
          <w:spacing w:val="-10"/>
        </w:rPr>
        <w:t> </w:t>
      </w:r>
      <w:r>
        <w:rPr/>
        <w:t>5ª</w:t>
      </w:r>
      <w:r>
        <w:rPr>
          <w:spacing w:val="-7"/>
        </w:rPr>
        <w:t> </w:t>
      </w:r>
      <w:r>
        <w:rPr/>
        <w:t>de</w:t>
      </w:r>
      <w:r>
        <w:rPr>
          <w:spacing w:val="-7"/>
        </w:rPr>
        <w:t> </w:t>
      </w:r>
      <w:r>
        <w:rPr/>
        <w:t>la</w:t>
      </w:r>
      <w:r>
        <w:rPr>
          <w:spacing w:val="-9"/>
        </w:rPr>
        <w:t> </w:t>
      </w:r>
      <w:r>
        <w:rPr/>
        <w:t>Ley</w:t>
      </w:r>
      <w:r>
        <w:rPr>
          <w:spacing w:val="-11"/>
        </w:rPr>
        <w:t> </w:t>
      </w:r>
      <w:r>
        <w:rPr/>
        <w:t>de</w:t>
      </w:r>
      <w:r>
        <w:rPr>
          <w:spacing w:val="-9"/>
        </w:rPr>
        <w:t> </w:t>
      </w:r>
      <w:r>
        <w:rPr/>
        <w:t>Presupuestos de la CAC para</w:t>
      </w:r>
      <w:r>
        <w:rPr>
          <w:spacing w:val="-1"/>
        </w:rPr>
        <w:t> </w:t>
      </w:r>
      <w:r>
        <w:rPr/>
        <w:t>2022).</w:t>
      </w:r>
    </w:p>
    <w:p>
      <w:pPr>
        <w:pStyle w:val="BodyText"/>
        <w:spacing w:before="2"/>
        <w:rPr>
          <w:sz w:val="17"/>
        </w:rPr>
      </w:pPr>
    </w:p>
    <w:p>
      <w:pPr>
        <w:pStyle w:val="BodyText"/>
        <w:ind w:left="2299" w:right="1343"/>
        <w:jc w:val="both"/>
      </w:pPr>
      <w:r>
        <w:rPr/>
        <w:t>La DA 63ª de Ley de Presupuestos de la CAC para 2023 recoge que la APMN podrá generar crédito por las sanciones recaudadas, cuando exceda de las previsiones iniciales, que tendrán como destino las actuaciones medioambientales de su competencia.</w:t>
      </w:r>
    </w:p>
    <w:p>
      <w:pPr>
        <w:pStyle w:val="BodyText"/>
        <w:spacing w:line="440" w:lineRule="atLeast" w:before="13"/>
        <w:ind w:left="2299" w:right="1345"/>
        <w:jc w:val="both"/>
        <w:rPr>
          <w:i/>
        </w:rPr>
      </w:pPr>
      <w:r>
        <w:rPr/>
        <w:t>Se acepta la alegación al no haberse establecido el carácter finalista de estos ingresos. Por</w:t>
      </w:r>
      <w:r>
        <w:rPr>
          <w:spacing w:val="8"/>
        </w:rPr>
        <w:t> </w:t>
      </w:r>
      <w:r>
        <w:rPr/>
        <w:t>tanto,</w:t>
      </w:r>
      <w:r>
        <w:rPr>
          <w:spacing w:val="9"/>
        </w:rPr>
        <w:t> </w:t>
      </w:r>
      <w:r>
        <w:rPr/>
        <w:t>del</w:t>
      </w:r>
      <w:r>
        <w:rPr>
          <w:spacing w:val="8"/>
        </w:rPr>
        <w:t> </w:t>
      </w:r>
      <w:r>
        <w:rPr/>
        <w:t>apartado</w:t>
      </w:r>
      <w:r>
        <w:rPr>
          <w:spacing w:val="9"/>
        </w:rPr>
        <w:t> </w:t>
      </w:r>
      <w:r>
        <w:rPr/>
        <w:t>d)</w:t>
      </w:r>
      <w:r>
        <w:rPr>
          <w:spacing w:val="9"/>
        </w:rPr>
        <w:t> </w:t>
      </w:r>
      <w:r>
        <w:rPr/>
        <w:t>en</w:t>
      </w:r>
      <w:r>
        <w:rPr>
          <w:spacing w:val="10"/>
        </w:rPr>
        <w:t> </w:t>
      </w:r>
      <w:r>
        <w:rPr/>
        <w:t>el</w:t>
      </w:r>
      <w:r>
        <w:rPr>
          <w:spacing w:val="8"/>
        </w:rPr>
        <w:t> </w:t>
      </w:r>
      <w:r>
        <w:rPr/>
        <w:t>epígrafe</w:t>
      </w:r>
      <w:r>
        <w:rPr>
          <w:spacing w:val="9"/>
        </w:rPr>
        <w:t> </w:t>
      </w:r>
      <w:r>
        <w:rPr/>
        <w:t>4.3.1</w:t>
      </w:r>
      <w:r>
        <w:rPr>
          <w:spacing w:val="10"/>
        </w:rPr>
        <w:t> </w:t>
      </w:r>
      <w:r>
        <w:rPr/>
        <w:t>(punto</w:t>
      </w:r>
      <w:r>
        <w:rPr>
          <w:spacing w:val="11"/>
        </w:rPr>
        <w:t> </w:t>
      </w:r>
      <w:r>
        <w:rPr/>
        <w:t>4),</w:t>
      </w:r>
      <w:r>
        <w:rPr>
          <w:spacing w:val="8"/>
        </w:rPr>
        <w:t> </w:t>
      </w:r>
      <w:r>
        <w:rPr/>
        <w:t>se</w:t>
      </w:r>
      <w:r>
        <w:rPr>
          <w:spacing w:val="11"/>
        </w:rPr>
        <w:t> </w:t>
      </w:r>
      <w:r>
        <w:rPr/>
        <w:t>elimina:</w:t>
      </w:r>
      <w:r>
        <w:rPr>
          <w:spacing w:val="15"/>
        </w:rPr>
        <w:t> </w:t>
      </w:r>
      <w:r>
        <w:rPr>
          <w:i/>
        </w:rPr>
        <w:t>“,</w:t>
      </w:r>
      <w:r>
        <w:rPr>
          <w:i/>
          <w:spacing w:val="8"/>
        </w:rPr>
        <w:t> </w:t>
      </w:r>
      <w:r>
        <w:rPr>
          <w:i/>
        </w:rPr>
        <w:t>sin</w:t>
      </w:r>
      <w:r>
        <w:rPr>
          <w:i/>
          <w:spacing w:val="10"/>
        </w:rPr>
        <w:t> </w:t>
      </w:r>
      <w:r>
        <w:rPr>
          <w:i/>
        </w:rPr>
        <w:t>embargo,</w:t>
      </w:r>
      <w:r>
        <w:rPr>
          <w:i/>
          <w:spacing w:val="10"/>
        </w:rPr>
        <w:t> </w:t>
      </w:r>
      <w:r>
        <w:rPr>
          <w:i/>
        </w:rPr>
        <w:t>ni</w:t>
      </w:r>
    </w:p>
    <w:p>
      <w:pPr>
        <w:spacing w:before="9"/>
        <w:ind w:left="2299" w:right="0" w:firstLine="0"/>
        <w:jc w:val="left"/>
        <w:rPr>
          <w:i/>
          <w:sz w:val="20"/>
        </w:rPr>
      </w:pPr>
      <w:r>
        <w:rPr>
          <w:i/>
          <w:sz w:val="20"/>
        </w:rPr>
        <w:t>en</w:t>
      </w:r>
      <w:r>
        <w:rPr>
          <w:i/>
          <w:spacing w:val="28"/>
          <w:sz w:val="20"/>
        </w:rPr>
        <w:t> </w:t>
      </w:r>
      <w:r>
        <w:rPr>
          <w:i/>
          <w:sz w:val="20"/>
        </w:rPr>
        <w:t>el</w:t>
      </w:r>
      <w:r>
        <w:rPr>
          <w:i/>
          <w:spacing w:val="29"/>
          <w:sz w:val="20"/>
        </w:rPr>
        <w:t> </w:t>
      </w:r>
      <w:r>
        <w:rPr>
          <w:i/>
          <w:sz w:val="20"/>
        </w:rPr>
        <w:t>ejercicio</w:t>
      </w:r>
      <w:r>
        <w:rPr>
          <w:i/>
          <w:spacing w:val="28"/>
          <w:sz w:val="20"/>
        </w:rPr>
        <w:t> </w:t>
      </w:r>
      <w:r>
        <w:rPr>
          <w:i/>
          <w:sz w:val="20"/>
        </w:rPr>
        <w:t>2022</w:t>
      </w:r>
      <w:r>
        <w:rPr>
          <w:i/>
          <w:spacing w:val="27"/>
          <w:sz w:val="20"/>
        </w:rPr>
        <w:t> </w:t>
      </w:r>
      <w:r>
        <w:rPr>
          <w:i/>
          <w:sz w:val="20"/>
        </w:rPr>
        <w:t>ni</w:t>
      </w:r>
      <w:r>
        <w:rPr>
          <w:i/>
          <w:spacing w:val="29"/>
          <w:sz w:val="20"/>
        </w:rPr>
        <w:t> </w:t>
      </w:r>
      <w:r>
        <w:rPr>
          <w:i/>
          <w:sz w:val="20"/>
        </w:rPr>
        <w:t>en</w:t>
      </w:r>
      <w:r>
        <w:rPr>
          <w:i/>
          <w:spacing w:val="28"/>
          <w:sz w:val="20"/>
        </w:rPr>
        <w:t> </w:t>
      </w:r>
      <w:r>
        <w:rPr>
          <w:i/>
          <w:sz w:val="20"/>
        </w:rPr>
        <w:t>anteriores</w:t>
      </w:r>
      <w:r>
        <w:rPr>
          <w:i/>
          <w:spacing w:val="29"/>
          <w:sz w:val="20"/>
        </w:rPr>
        <w:t> </w:t>
      </w:r>
      <w:r>
        <w:rPr>
          <w:i/>
          <w:sz w:val="20"/>
        </w:rPr>
        <w:t>ha</w:t>
      </w:r>
      <w:r>
        <w:rPr>
          <w:i/>
          <w:spacing w:val="28"/>
          <w:sz w:val="20"/>
        </w:rPr>
        <w:t> </w:t>
      </w:r>
      <w:r>
        <w:rPr>
          <w:i/>
          <w:sz w:val="20"/>
        </w:rPr>
        <w:t>reflejado</w:t>
      </w:r>
      <w:r>
        <w:rPr>
          <w:i/>
          <w:spacing w:val="28"/>
          <w:sz w:val="20"/>
        </w:rPr>
        <w:t> </w:t>
      </w:r>
      <w:r>
        <w:rPr>
          <w:i/>
          <w:sz w:val="20"/>
        </w:rPr>
        <w:t>financiación</w:t>
      </w:r>
      <w:r>
        <w:rPr>
          <w:i/>
          <w:spacing w:val="28"/>
          <w:sz w:val="20"/>
        </w:rPr>
        <w:t> </w:t>
      </w:r>
      <w:r>
        <w:rPr>
          <w:i/>
          <w:sz w:val="20"/>
        </w:rPr>
        <w:t>afectada</w:t>
      </w:r>
      <w:r>
        <w:rPr>
          <w:i/>
          <w:spacing w:val="28"/>
          <w:sz w:val="20"/>
        </w:rPr>
        <w:t> </w:t>
      </w:r>
      <w:r>
        <w:rPr>
          <w:i/>
          <w:sz w:val="20"/>
        </w:rPr>
        <w:t>alguna</w:t>
      </w:r>
      <w:r>
        <w:rPr>
          <w:i/>
          <w:spacing w:val="28"/>
          <w:sz w:val="20"/>
        </w:rPr>
        <w:t> </w:t>
      </w:r>
      <w:r>
        <w:rPr>
          <w:i/>
          <w:sz w:val="20"/>
        </w:rPr>
        <w:t>en</w:t>
      </w:r>
      <w:r>
        <w:rPr>
          <w:i/>
          <w:spacing w:val="28"/>
          <w:sz w:val="20"/>
        </w:rPr>
        <w:t> </w:t>
      </w:r>
      <w:r>
        <w:rPr>
          <w:i/>
          <w:sz w:val="20"/>
        </w:rPr>
        <w:t>su</w:t>
      </w:r>
    </w:p>
    <w:p>
      <w:pPr>
        <w:spacing w:before="2"/>
        <w:ind w:left="2299" w:right="0" w:firstLine="0"/>
        <w:jc w:val="left"/>
        <w:rPr>
          <w:i/>
          <w:sz w:val="20"/>
        </w:rPr>
      </w:pPr>
      <w:r>
        <w:rPr>
          <w:i/>
          <w:sz w:val="20"/>
        </w:rPr>
        <w:t>remanente.”</w:t>
      </w:r>
    </w:p>
    <w:p>
      <w:pPr>
        <w:pStyle w:val="BodyText"/>
        <w:spacing w:before="8"/>
        <w:rPr>
          <w:i/>
          <w:sz w:val="16"/>
        </w:rPr>
      </w:pPr>
    </w:p>
    <w:p>
      <w:pPr>
        <w:pStyle w:val="BodyText"/>
        <w:ind w:left="2299"/>
        <w:jc w:val="both"/>
      </w:pPr>
      <w:r>
        <w:rPr/>
        <w:t>Se elimina también la conclusión nº 15.</w:t>
      </w:r>
    </w:p>
    <w:p>
      <w:pPr>
        <w:pStyle w:val="BodyText"/>
        <w:spacing w:before="10"/>
        <w:rPr>
          <w:sz w:val="16"/>
        </w:rPr>
      </w:pPr>
    </w:p>
    <w:p>
      <w:pPr>
        <w:pStyle w:val="Heading1"/>
        <w:ind w:left="2299"/>
        <w:jc w:val="both"/>
      </w:pPr>
      <w:r>
        <w:rPr/>
        <w:t>Conclusión 28.</w:t>
      </w:r>
    </w:p>
    <w:p>
      <w:pPr>
        <w:pStyle w:val="BodyText"/>
        <w:spacing w:before="7"/>
        <w:rPr>
          <w:b/>
          <w:sz w:val="16"/>
        </w:rPr>
      </w:pPr>
    </w:p>
    <w:p>
      <w:pPr>
        <w:pStyle w:val="BodyText"/>
        <w:spacing w:line="242" w:lineRule="auto" w:before="1"/>
        <w:ind w:left="2299" w:right="1345"/>
        <w:jc w:val="both"/>
      </w:pPr>
      <w:r>
        <w:rPr>
          <w:b/>
          <w:w w:val="105"/>
        </w:rPr>
        <w:t>Resumen</w:t>
      </w:r>
      <w:r>
        <w:rPr>
          <w:w w:val="105"/>
        </w:rPr>
        <w:t>: En el proyecto de Informe se recoge el “Incumplimiento del plazo establecido por el Art. 253 de la Ley de Sociedades de Capital respecto al plazo de formulación de las Cuentas Anuales por parte de las entidades PUERTOS, ASISTA, GSC, ESSSCAN y VISOCAN (apartado 5.1.1.)”. Por la Intervención General se alega la legislación relativa a la Ley de Sociedades de Capital, afecta solamente a las sociedades mercantiles, mientras que a las Entidades Públicas Empresariales les afecta la Ley de Hacienda Pública Canaria que en su artículo 114 establece el plazo de formulación de sus cuentas anuales que será como máximo, tres meses después del cierre del ejercicio económico.</w:t>
      </w:r>
    </w:p>
    <w:p>
      <w:pPr>
        <w:pStyle w:val="BodyText"/>
        <w:spacing w:before="8"/>
        <w:rPr>
          <w:sz w:val="29"/>
        </w:rPr>
      </w:pPr>
    </w:p>
    <w:p>
      <w:pPr>
        <w:pStyle w:val="BodyText"/>
        <w:spacing w:before="61"/>
        <w:ind w:left="8760" w:right="973"/>
        <w:jc w:val="center"/>
      </w:pPr>
      <w:r>
        <w:rPr/>
        <w:t>226</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87" name="image5.png"/>
                  <wp:cNvGraphicFramePr>
                    <a:graphicFrameLocks noChangeAspect="1"/>
                  </wp:cNvGraphicFramePr>
                  <a:graphic>
                    <a:graphicData uri="http://schemas.openxmlformats.org/drawingml/2006/picture">
                      <pic:pic>
                        <pic:nvPicPr>
                          <pic:cNvPr id="48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228/247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54"/>
        <w:jc w:val="both"/>
      </w:pPr>
      <w:r>
        <w:rPr>
          <w:b/>
          <w:w w:val="105"/>
        </w:rPr>
        <w:t>Contestación</w:t>
      </w:r>
      <w:r>
        <w:rPr>
          <w:w w:val="105"/>
        </w:rPr>
        <w:t>: La apreciación hecha por la Intervención General se toma en consideración y se procede a modificar el contenido del Proyecto de Informe como sigue:</w:t>
      </w:r>
    </w:p>
    <w:p>
      <w:pPr>
        <w:pStyle w:val="BodyText"/>
        <w:spacing w:before="12"/>
        <w:rPr>
          <w:sz w:val="16"/>
        </w:rPr>
      </w:pPr>
    </w:p>
    <w:p>
      <w:pPr>
        <w:pStyle w:val="ListParagraph"/>
        <w:numPr>
          <w:ilvl w:val="0"/>
          <w:numId w:val="127"/>
        </w:numPr>
        <w:tabs>
          <w:tab w:pos="2904" w:val="left" w:leader="none"/>
        </w:tabs>
        <w:spacing w:line="242" w:lineRule="auto" w:before="0" w:after="0"/>
        <w:ind w:left="2903" w:right="1346" w:hanging="303"/>
        <w:jc w:val="both"/>
        <w:rPr>
          <w:i/>
          <w:sz w:val="20"/>
        </w:rPr>
      </w:pPr>
      <w:r>
        <w:rPr>
          <w:w w:val="105"/>
          <w:sz w:val="20"/>
        </w:rPr>
        <w:t>La conclusión 28 quedaría redactada así: “</w:t>
      </w:r>
      <w:r>
        <w:rPr>
          <w:i/>
          <w:w w:val="105"/>
          <w:sz w:val="20"/>
        </w:rPr>
        <w:t>Incumplimiento del plazo </w:t>
      </w:r>
      <w:r>
        <w:rPr>
          <w:i/>
          <w:w w:val="105"/>
          <w:sz w:val="20"/>
        </w:rPr>
        <w:t>establecido por el Art. 253 de la Ley de Sociedades de Capital respecto al plazo de formulación de las Cuentas Anuales, así como del Art. 114 de la Ley de Hacienda Pública Canaria por parte de las sociedades ASISTA, GSC y VISOCAN. Asimismo, incumplimiento del plazo establecido por el citado artículo 114 respecto a las entidades públicas empresariales PUERTOS y ESSSCAN (apartado</w:t>
      </w:r>
      <w:r>
        <w:rPr>
          <w:i/>
          <w:spacing w:val="1"/>
          <w:w w:val="105"/>
          <w:sz w:val="20"/>
        </w:rPr>
        <w:t> </w:t>
      </w:r>
      <w:r>
        <w:rPr>
          <w:i/>
          <w:w w:val="105"/>
          <w:sz w:val="20"/>
        </w:rPr>
        <w:t>5.1.1.)”</w:t>
      </w:r>
    </w:p>
    <w:p>
      <w:pPr>
        <w:pStyle w:val="BodyText"/>
        <w:spacing w:before="3"/>
        <w:rPr>
          <w:i/>
          <w:sz w:val="16"/>
        </w:rPr>
      </w:pPr>
    </w:p>
    <w:p>
      <w:pPr>
        <w:pStyle w:val="ListParagraph"/>
        <w:numPr>
          <w:ilvl w:val="0"/>
          <w:numId w:val="127"/>
        </w:numPr>
        <w:tabs>
          <w:tab w:pos="2904" w:val="left" w:leader="none"/>
        </w:tabs>
        <w:spacing w:line="240" w:lineRule="auto" w:before="0" w:after="0"/>
        <w:ind w:left="2903" w:right="1344" w:hanging="303"/>
        <w:jc w:val="both"/>
        <w:rPr>
          <w:i/>
          <w:sz w:val="20"/>
        </w:rPr>
      </w:pPr>
      <w:r>
        <w:rPr>
          <w:sz w:val="20"/>
        </w:rPr>
        <w:t>El punto 4 del Epígrafe 5.1.1 del Proyecto de Informe (Pag. 111) quedaría redactado como sigue: “</w:t>
      </w:r>
      <w:r>
        <w:rPr>
          <w:i/>
          <w:sz w:val="20"/>
        </w:rPr>
        <w:t>Se incumple el plazo de formulación de las Cuentas </w:t>
      </w:r>
      <w:r>
        <w:rPr>
          <w:i/>
          <w:sz w:val="20"/>
        </w:rPr>
        <w:t>Anuales establecido en el Art. 253 de la Ley de Sociedades de Capital, así como del Art. 114 de la Ley de Hacienda Pública Canaria por parte de las sociedades ASISTA, GSC y VISOCAN. Por otro lado, las entidades públicas empresariales PUERTOS, y ESSSCAN, incumplen el plazo de formulación establecido en el citado artículo 114 de la Ley de Hacienda Pública Canarias.”</w:t>
      </w:r>
    </w:p>
    <w:p>
      <w:pPr>
        <w:pStyle w:val="BodyText"/>
        <w:spacing w:before="6"/>
        <w:rPr>
          <w:i/>
          <w:sz w:val="17"/>
        </w:rPr>
      </w:pPr>
    </w:p>
    <w:p>
      <w:pPr>
        <w:pStyle w:val="Heading1"/>
        <w:ind w:left="2299"/>
        <w:jc w:val="both"/>
      </w:pPr>
      <w:r>
        <w:rPr/>
        <w:t>Conclusión 29.</w:t>
      </w:r>
    </w:p>
    <w:p>
      <w:pPr>
        <w:pStyle w:val="BodyText"/>
        <w:spacing w:before="8"/>
        <w:rPr>
          <w:b/>
          <w:sz w:val="16"/>
        </w:rPr>
      </w:pPr>
    </w:p>
    <w:p>
      <w:pPr>
        <w:pStyle w:val="BodyText"/>
        <w:spacing w:line="242" w:lineRule="auto"/>
        <w:ind w:left="2299" w:right="1347"/>
        <w:jc w:val="both"/>
      </w:pPr>
      <w:r>
        <w:rPr>
          <w:b/>
          <w:w w:val="105"/>
        </w:rPr>
        <w:t>Resumen</w:t>
      </w:r>
      <w:r>
        <w:rPr>
          <w:w w:val="105"/>
        </w:rPr>
        <w:t>:</w:t>
      </w:r>
      <w:r>
        <w:rPr>
          <w:spacing w:val="-17"/>
          <w:w w:val="105"/>
        </w:rPr>
        <w:t> </w:t>
      </w:r>
      <w:r>
        <w:rPr>
          <w:w w:val="105"/>
        </w:rPr>
        <w:t>En</w:t>
      </w:r>
      <w:r>
        <w:rPr>
          <w:spacing w:val="-18"/>
          <w:w w:val="105"/>
        </w:rPr>
        <w:t> </w:t>
      </w:r>
      <w:r>
        <w:rPr>
          <w:w w:val="105"/>
        </w:rPr>
        <w:t>el</w:t>
      </w:r>
      <w:r>
        <w:rPr>
          <w:spacing w:val="-18"/>
          <w:w w:val="105"/>
        </w:rPr>
        <w:t> </w:t>
      </w:r>
      <w:r>
        <w:rPr>
          <w:w w:val="105"/>
        </w:rPr>
        <w:t>proyecto</w:t>
      </w:r>
      <w:r>
        <w:rPr>
          <w:spacing w:val="-18"/>
          <w:w w:val="105"/>
        </w:rPr>
        <w:t> </w:t>
      </w:r>
      <w:r>
        <w:rPr>
          <w:w w:val="105"/>
        </w:rPr>
        <w:t>de</w:t>
      </w:r>
      <w:r>
        <w:rPr>
          <w:spacing w:val="-18"/>
          <w:w w:val="105"/>
        </w:rPr>
        <w:t> </w:t>
      </w:r>
      <w:r>
        <w:rPr>
          <w:w w:val="105"/>
        </w:rPr>
        <w:t>Informe</w:t>
      </w:r>
      <w:r>
        <w:rPr>
          <w:spacing w:val="-19"/>
          <w:w w:val="105"/>
        </w:rPr>
        <w:t> </w:t>
      </w:r>
      <w:r>
        <w:rPr>
          <w:w w:val="105"/>
        </w:rPr>
        <w:t>se</w:t>
      </w:r>
      <w:r>
        <w:rPr>
          <w:spacing w:val="-18"/>
          <w:w w:val="105"/>
        </w:rPr>
        <w:t> </w:t>
      </w:r>
      <w:r>
        <w:rPr>
          <w:w w:val="105"/>
        </w:rPr>
        <w:t>recoge:”</w:t>
      </w:r>
      <w:r>
        <w:rPr>
          <w:spacing w:val="-15"/>
          <w:w w:val="105"/>
        </w:rPr>
        <w:t> </w:t>
      </w:r>
      <w:r>
        <w:rPr>
          <w:w w:val="105"/>
        </w:rPr>
        <w:t>Las</w:t>
      </w:r>
      <w:r>
        <w:rPr>
          <w:spacing w:val="-16"/>
          <w:w w:val="105"/>
        </w:rPr>
        <w:t> </w:t>
      </w:r>
      <w:r>
        <w:rPr>
          <w:w w:val="105"/>
        </w:rPr>
        <w:t>entidades</w:t>
      </w:r>
      <w:r>
        <w:rPr>
          <w:spacing w:val="-17"/>
          <w:w w:val="105"/>
        </w:rPr>
        <w:t> </w:t>
      </w:r>
      <w:r>
        <w:rPr>
          <w:w w:val="105"/>
        </w:rPr>
        <w:t>GESTUR</w:t>
      </w:r>
      <w:r>
        <w:rPr>
          <w:spacing w:val="-16"/>
          <w:w w:val="105"/>
        </w:rPr>
        <w:t> </w:t>
      </w:r>
      <w:r>
        <w:rPr>
          <w:w w:val="105"/>
        </w:rPr>
        <w:t>LAS</w:t>
      </w:r>
      <w:r>
        <w:rPr>
          <w:spacing w:val="-16"/>
          <w:w w:val="105"/>
        </w:rPr>
        <w:t> </w:t>
      </w:r>
      <w:r>
        <w:rPr>
          <w:w w:val="105"/>
        </w:rPr>
        <w:t>PALMAS</w:t>
      </w:r>
      <w:r>
        <w:rPr>
          <w:spacing w:val="-15"/>
          <w:w w:val="105"/>
        </w:rPr>
        <w:t> </w:t>
      </w:r>
      <w:r>
        <w:rPr>
          <w:w w:val="105"/>
        </w:rPr>
        <w:t>y PROMOTUR no presentaron el Informe Económico financiero previsto en el</w:t>
      </w:r>
      <w:r>
        <w:rPr>
          <w:spacing w:val="25"/>
          <w:w w:val="105"/>
        </w:rPr>
        <w:t> </w:t>
      </w:r>
      <w:r>
        <w:rPr>
          <w:w w:val="105"/>
        </w:rPr>
        <w:t>Art.</w:t>
      </w:r>
    </w:p>
    <w:p>
      <w:pPr>
        <w:pStyle w:val="BodyText"/>
        <w:spacing w:line="242" w:lineRule="auto"/>
        <w:ind w:left="2299" w:right="1346"/>
        <w:jc w:val="both"/>
      </w:pPr>
      <w:r>
        <w:rPr>
          <w:w w:val="105"/>
        </w:rPr>
        <w:t>116.3 de la Ley 11/2066 de Hacienda Pública Canaria (apartado 5.1.1.)”. La Intervención General alega que adjuntan a las alegaciones el Informe económico financiero de PROMOTUR. Asimismo, informa de que la sociedad GESTUR </w:t>
      </w:r>
      <w:r>
        <w:rPr>
          <w:spacing w:val="-5"/>
          <w:w w:val="105"/>
        </w:rPr>
        <w:t>LPA </w:t>
      </w:r>
      <w:r>
        <w:rPr>
          <w:w w:val="105"/>
        </w:rPr>
        <w:t>se encuentra en liquidación, cuyo plazo definitivo vendrá dado cuando finalicen los diferentes litigios en los que la entidad se encuentra inmersa y el estado de tramitación</w:t>
      </w:r>
      <w:r>
        <w:rPr>
          <w:spacing w:val="-5"/>
          <w:w w:val="105"/>
        </w:rPr>
        <w:t> </w:t>
      </w:r>
      <w:r>
        <w:rPr>
          <w:w w:val="105"/>
        </w:rPr>
        <w:t>de</w:t>
      </w:r>
      <w:r>
        <w:rPr>
          <w:spacing w:val="-6"/>
          <w:w w:val="105"/>
        </w:rPr>
        <w:t> </w:t>
      </w:r>
      <w:r>
        <w:rPr>
          <w:w w:val="105"/>
        </w:rPr>
        <w:t>diversos</w:t>
      </w:r>
      <w:r>
        <w:rPr>
          <w:spacing w:val="-3"/>
          <w:w w:val="105"/>
        </w:rPr>
        <w:t> </w:t>
      </w:r>
      <w:r>
        <w:rPr>
          <w:w w:val="105"/>
        </w:rPr>
        <w:t>proyectos</w:t>
      </w:r>
      <w:r>
        <w:rPr>
          <w:spacing w:val="-4"/>
          <w:w w:val="105"/>
        </w:rPr>
        <w:t> </w:t>
      </w:r>
      <w:r>
        <w:rPr>
          <w:w w:val="105"/>
        </w:rPr>
        <w:t>administrativos</w:t>
      </w:r>
      <w:r>
        <w:rPr>
          <w:spacing w:val="-7"/>
          <w:w w:val="105"/>
        </w:rPr>
        <w:t> </w:t>
      </w:r>
      <w:r>
        <w:rPr>
          <w:w w:val="105"/>
        </w:rPr>
        <w:t>y</w:t>
      </w:r>
      <w:r>
        <w:rPr>
          <w:spacing w:val="-5"/>
          <w:w w:val="105"/>
        </w:rPr>
        <w:t> </w:t>
      </w:r>
      <w:r>
        <w:rPr>
          <w:w w:val="105"/>
        </w:rPr>
        <w:t>urbanísticos</w:t>
      </w:r>
      <w:r>
        <w:rPr>
          <w:spacing w:val="-7"/>
          <w:w w:val="105"/>
        </w:rPr>
        <w:t> </w:t>
      </w:r>
      <w:r>
        <w:rPr>
          <w:w w:val="105"/>
        </w:rPr>
        <w:t>en</w:t>
      </w:r>
      <w:r>
        <w:rPr>
          <w:spacing w:val="-4"/>
          <w:w w:val="105"/>
        </w:rPr>
        <w:t> </w:t>
      </w:r>
      <w:r>
        <w:rPr>
          <w:w w:val="105"/>
        </w:rPr>
        <w:t>los</w:t>
      </w:r>
      <w:r>
        <w:rPr>
          <w:spacing w:val="-4"/>
          <w:w w:val="105"/>
        </w:rPr>
        <w:t> </w:t>
      </w:r>
      <w:r>
        <w:rPr>
          <w:w w:val="105"/>
        </w:rPr>
        <w:t>que</w:t>
      </w:r>
      <w:r>
        <w:rPr>
          <w:spacing w:val="-6"/>
          <w:w w:val="105"/>
        </w:rPr>
        <w:t> </w:t>
      </w:r>
      <w:r>
        <w:rPr>
          <w:w w:val="105"/>
        </w:rPr>
        <w:t>es</w:t>
      </w:r>
      <w:r>
        <w:rPr>
          <w:spacing w:val="-4"/>
          <w:w w:val="105"/>
        </w:rPr>
        <w:t> </w:t>
      </w:r>
      <w:r>
        <w:rPr>
          <w:w w:val="105"/>
        </w:rPr>
        <w:t>parte la</w:t>
      </w:r>
      <w:r>
        <w:rPr>
          <w:spacing w:val="-2"/>
          <w:w w:val="105"/>
        </w:rPr>
        <w:t> </w:t>
      </w:r>
      <w:r>
        <w:rPr>
          <w:w w:val="105"/>
        </w:rPr>
        <w:t>entidad.</w:t>
      </w:r>
    </w:p>
    <w:p>
      <w:pPr>
        <w:pStyle w:val="BodyText"/>
        <w:spacing w:before="2"/>
        <w:rPr>
          <w:sz w:val="16"/>
        </w:rPr>
      </w:pPr>
    </w:p>
    <w:p>
      <w:pPr>
        <w:pStyle w:val="BodyText"/>
        <w:ind w:left="2299" w:right="1353"/>
        <w:jc w:val="both"/>
      </w:pPr>
      <w:r>
        <w:rPr>
          <w:b/>
          <w:w w:val="105"/>
        </w:rPr>
        <w:t>Contestación</w:t>
      </w:r>
      <w:r>
        <w:rPr>
          <w:w w:val="105"/>
        </w:rPr>
        <w:t>: Si bien se adjunta a las alegaciones el informe económico financiero de PROMOTUR, se debe señalar que el mismo fue aprobado con fecha 27 de noviembre de 2023, por tanto, se ha presentado fuera del plazo previsto en el art.</w:t>
      </w:r>
    </w:p>
    <w:p>
      <w:pPr>
        <w:pStyle w:val="BodyText"/>
        <w:spacing w:before="5"/>
        <w:ind w:left="2299"/>
        <w:jc w:val="both"/>
      </w:pPr>
      <w:r>
        <w:rPr>
          <w:w w:val="105"/>
        </w:rPr>
        <w:t>116.3 de la Ley de Hacienda Pública Canaria.</w:t>
      </w:r>
    </w:p>
    <w:p>
      <w:pPr>
        <w:pStyle w:val="BodyText"/>
        <w:spacing w:before="8"/>
        <w:rPr>
          <w:sz w:val="16"/>
        </w:rPr>
      </w:pPr>
    </w:p>
    <w:p>
      <w:pPr>
        <w:pStyle w:val="BodyText"/>
        <w:spacing w:line="242" w:lineRule="auto"/>
        <w:ind w:left="2299" w:right="1352"/>
        <w:jc w:val="both"/>
      </w:pPr>
      <w:r>
        <w:rPr>
          <w:w w:val="105"/>
        </w:rPr>
        <w:t>En relación con GESTUR LPA, si bien se entiende que está en proceso de liquidación y que la misma no se finalizará hasta que se resuelva lo mencionado en la alegación y que por ello no ha presentado el Informe económico financiero al que se hace referencia en la conclusión, la Ley de Hacienda Pública Canaria recoge la presentación del citado Informe para la sociedades mercantiles Públicas sin excepción alguna.</w:t>
      </w:r>
    </w:p>
    <w:p>
      <w:pPr>
        <w:pStyle w:val="BodyText"/>
        <w:spacing w:before="2"/>
        <w:ind w:left="8760" w:right="973"/>
        <w:jc w:val="center"/>
      </w:pPr>
      <w:r>
        <w:rPr/>
        <w:t>227</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89" name="image5.png"/>
                  <wp:cNvGraphicFramePr>
                    <a:graphicFrameLocks noChangeAspect="1"/>
                  </wp:cNvGraphicFramePr>
                  <a:graphic>
                    <a:graphicData uri="http://schemas.openxmlformats.org/drawingml/2006/picture">
                      <pic:pic>
                        <pic:nvPicPr>
                          <pic:cNvPr id="49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229/247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pPr>
      <w:r>
        <w:rPr>
          <w:w w:val="105"/>
        </w:rPr>
        <w:t>Por tanto, no se modifica el contenido del Informe.</w:t>
      </w:r>
    </w:p>
    <w:p>
      <w:pPr>
        <w:pStyle w:val="BodyText"/>
        <w:spacing w:before="8"/>
        <w:rPr>
          <w:sz w:val="16"/>
        </w:rPr>
      </w:pPr>
    </w:p>
    <w:p>
      <w:pPr>
        <w:pStyle w:val="Heading1"/>
        <w:ind w:left="2299"/>
        <w:jc w:val="left"/>
      </w:pPr>
      <w:r>
        <w:rPr/>
        <w:t>Conclusión 47.</w:t>
      </w:r>
    </w:p>
    <w:p>
      <w:pPr>
        <w:pStyle w:val="BodyText"/>
        <w:spacing w:before="8"/>
        <w:rPr>
          <w:b/>
          <w:sz w:val="16"/>
        </w:rPr>
      </w:pPr>
    </w:p>
    <w:p>
      <w:pPr>
        <w:pStyle w:val="BodyText"/>
        <w:ind w:left="2299" w:right="1263"/>
      </w:pPr>
      <w:r>
        <w:rPr/>
        <w:t>Esta Institución se remite a lo contestado en la alegación 27 de la Intervención General, en relación con el apartado 7.1 del Proyecto de Informe.</w:t>
      </w:r>
    </w:p>
    <w:p>
      <w:pPr>
        <w:pStyle w:val="BodyText"/>
        <w:spacing w:before="10"/>
        <w:rPr>
          <w:sz w:val="16"/>
        </w:rPr>
      </w:pPr>
    </w:p>
    <w:p>
      <w:pPr>
        <w:pStyle w:val="BodyText"/>
        <w:ind w:left="2299" w:right="1263"/>
      </w:pPr>
      <w:r>
        <w:rPr>
          <w:w w:val="105"/>
        </w:rPr>
        <w:t>En consecuencia, se modifica la conclusión 47 - Operaciones Financieras, quedando finalmente redactada como sigue:</w:t>
      </w:r>
    </w:p>
    <w:p>
      <w:pPr>
        <w:pStyle w:val="BodyText"/>
        <w:spacing w:before="9"/>
        <w:rPr>
          <w:sz w:val="16"/>
        </w:rPr>
      </w:pPr>
    </w:p>
    <w:p>
      <w:pPr>
        <w:spacing w:line="242" w:lineRule="auto" w:before="0"/>
        <w:ind w:left="2299" w:right="1355" w:firstLine="0"/>
        <w:jc w:val="both"/>
        <w:rPr>
          <w:i/>
          <w:sz w:val="20"/>
        </w:rPr>
      </w:pPr>
      <w:r>
        <w:rPr>
          <w:i/>
          <w:w w:val="105"/>
          <w:sz w:val="20"/>
        </w:rPr>
        <w:t>“47. Conforme a los datos publicados en el segundo informe de la IGAE a 31 de </w:t>
      </w:r>
      <w:r>
        <w:rPr>
          <w:i/>
          <w:w w:val="105"/>
          <w:sz w:val="20"/>
        </w:rPr>
        <w:t>octubre de 2023, los resultados obtenidos fueron los siguientes:</w:t>
      </w:r>
    </w:p>
    <w:p>
      <w:pPr>
        <w:pStyle w:val="BodyText"/>
        <w:spacing w:before="8"/>
        <w:rPr>
          <w:i/>
          <w:sz w:val="16"/>
        </w:rPr>
      </w:pPr>
    </w:p>
    <w:p>
      <w:pPr>
        <w:pStyle w:val="ListParagraph"/>
        <w:numPr>
          <w:ilvl w:val="0"/>
          <w:numId w:val="128"/>
        </w:numPr>
        <w:tabs>
          <w:tab w:pos="2904" w:val="left" w:leader="none"/>
        </w:tabs>
        <w:spacing w:line="240" w:lineRule="auto" w:before="0" w:after="0"/>
        <w:ind w:left="2903" w:right="0" w:hanging="303"/>
        <w:jc w:val="both"/>
        <w:rPr>
          <w:i/>
          <w:sz w:val="18"/>
        </w:rPr>
      </w:pPr>
      <w:r>
        <w:rPr>
          <w:i/>
          <w:w w:val="105"/>
          <w:sz w:val="18"/>
        </w:rPr>
        <w:t>El déficit registrado asciende a 635 millones de €, el -1,3% del PIB</w:t>
      </w:r>
      <w:r>
        <w:rPr>
          <w:i/>
          <w:spacing w:val="37"/>
          <w:w w:val="105"/>
          <w:sz w:val="18"/>
        </w:rPr>
        <w:t> </w:t>
      </w:r>
      <w:r>
        <w:rPr>
          <w:i/>
          <w:w w:val="105"/>
          <w:sz w:val="18"/>
        </w:rPr>
        <w:t>regional.</w:t>
      </w:r>
    </w:p>
    <w:p>
      <w:pPr>
        <w:pStyle w:val="ListParagraph"/>
        <w:numPr>
          <w:ilvl w:val="0"/>
          <w:numId w:val="128"/>
        </w:numPr>
        <w:tabs>
          <w:tab w:pos="2904" w:val="left" w:leader="none"/>
        </w:tabs>
        <w:spacing w:line="240" w:lineRule="auto" w:before="6" w:after="0"/>
        <w:ind w:left="2903" w:right="0" w:hanging="303"/>
        <w:jc w:val="both"/>
        <w:rPr>
          <w:i/>
          <w:sz w:val="18"/>
        </w:rPr>
      </w:pPr>
      <w:r>
        <w:rPr>
          <w:i/>
          <w:w w:val="105"/>
          <w:sz w:val="18"/>
        </w:rPr>
        <w:t>El gasto computable del ejercicio ha registrado una tasa de variación del 8</w:t>
      </w:r>
      <w:r>
        <w:rPr>
          <w:i/>
          <w:spacing w:val="36"/>
          <w:w w:val="105"/>
          <w:sz w:val="18"/>
        </w:rPr>
        <w:t> </w:t>
      </w:r>
      <w:r>
        <w:rPr>
          <w:i/>
          <w:w w:val="105"/>
          <w:sz w:val="18"/>
        </w:rPr>
        <w:t>%.</w:t>
      </w:r>
    </w:p>
    <w:p>
      <w:pPr>
        <w:pStyle w:val="ListParagraph"/>
        <w:numPr>
          <w:ilvl w:val="0"/>
          <w:numId w:val="128"/>
        </w:numPr>
        <w:tabs>
          <w:tab w:pos="2898" w:val="left" w:leader="none"/>
        </w:tabs>
        <w:spacing w:line="247" w:lineRule="auto" w:before="6" w:after="0"/>
        <w:ind w:left="2897" w:right="1350" w:hanging="299"/>
        <w:jc w:val="both"/>
        <w:rPr>
          <w:i/>
          <w:sz w:val="18"/>
        </w:rPr>
      </w:pPr>
      <w:r>
        <w:rPr>
          <w:i/>
          <w:w w:val="105"/>
          <w:sz w:val="18"/>
        </w:rPr>
        <w:t>La deuda registrada al cierre del ejercicio 2022 se situó en 6.516 millones de €, </w:t>
      </w:r>
      <w:r>
        <w:rPr>
          <w:i/>
          <w:w w:val="105"/>
          <w:sz w:val="18"/>
        </w:rPr>
        <w:t>posteriormente modificada pasando a la cifra de 6.474 millones de €, el 13,6% del PIB regional. (epígrafes 7.1 y</w:t>
      </w:r>
      <w:r>
        <w:rPr>
          <w:i/>
          <w:spacing w:val="6"/>
          <w:w w:val="105"/>
          <w:sz w:val="18"/>
        </w:rPr>
        <w:t> </w:t>
      </w:r>
      <w:r>
        <w:rPr>
          <w:i/>
          <w:spacing w:val="-3"/>
          <w:w w:val="105"/>
          <w:sz w:val="18"/>
        </w:rPr>
        <w:t>7.2).”</w:t>
      </w:r>
    </w:p>
    <w:p>
      <w:pPr>
        <w:pStyle w:val="BodyText"/>
        <w:spacing w:before="4"/>
        <w:rPr>
          <w:i/>
          <w:sz w:val="16"/>
        </w:rPr>
      </w:pPr>
    </w:p>
    <w:p>
      <w:pPr>
        <w:spacing w:before="1"/>
        <w:ind w:left="2299" w:right="0" w:firstLine="0"/>
        <w:jc w:val="left"/>
        <w:rPr>
          <w:b/>
          <w:sz w:val="18"/>
        </w:rPr>
      </w:pPr>
      <w:r>
        <w:rPr>
          <w:b/>
          <w:w w:val="105"/>
          <w:sz w:val="18"/>
        </w:rPr>
        <w:t>Alegación 30: 8.3. Recomendaciones.</w:t>
      </w:r>
    </w:p>
    <w:p>
      <w:pPr>
        <w:pStyle w:val="BodyText"/>
        <w:spacing w:before="12"/>
        <w:rPr>
          <w:b/>
          <w:sz w:val="16"/>
        </w:rPr>
      </w:pPr>
    </w:p>
    <w:p>
      <w:pPr>
        <w:spacing w:before="0"/>
        <w:ind w:left="2299" w:right="0" w:firstLine="0"/>
        <w:jc w:val="left"/>
        <w:rPr>
          <w:b/>
          <w:sz w:val="18"/>
        </w:rPr>
      </w:pPr>
      <w:r>
        <w:rPr>
          <w:b/>
          <w:w w:val="105"/>
          <w:sz w:val="18"/>
        </w:rPr>
        <w:t>Recomendación 2.</w:t>
      </w:r>
    </w:p>
    <w:p>
      <w:pPr>
        <w:pStyle w:val="BodyText"/>
        <w:spacing w:before="9"/>
        <w:rPr>
          <w:b/>
          <w:sz w:val="16"/>
        </w:rPr>
      </w:pPr>
    </w:p>
    <w:p>
      <w:pPr>
        <w:pStyle w:val="BodyText"/>
        <w:spacing w:line="242" w:lineRule="auto"/>
        <w:ind w:left="2299" w:right="1345"/>
        <w:jc w:val="both"/>
      </w:pPr>
      <w:r>
        <w:rPr>
          <w:b/>
        </w:rPr>
        <w:t>Resumen: </w:t>
      </w:r>
      <w:r>
        <w:rPr/>
        <w:t>La IGCAC solicita la supresión de la recomendación de aprobar por los gestores, planes de comprobación de subvenciones pendientes de justificar, remitiéndose a lo alegado en el epígrafe 4.2.11</w:t>
      </w:r>
    </w:p>
    <w:p>
      <w:pPr>
        <w:pStyle w:val="BodyText"/>
        <w:spacing w:before="4"/>
        <w:rPr>
          <w:sz w:val="16"/>
        </w:rPr>
      </w:pPr>
    </w:p>
    <w:p>
      <w:pPr>
        <w:pStyle w:val="BodyText"/>
        <w:spacing w:line="439" w:lineRule="auto"/>
        <w:ind w:left="2299" w:right="1410"/>
        <w:jc w:val="both"/>
      </w:pPr>
      <w:r>
        <w:rPr>
          <w:b/>
        </w:rPr>
        <w:t>Contestación: </w:t>
      </w:r>
      <w:r>
        <w:rPr/>
        <w:t>Se da por reproducida la contestación a la alegación del citado epígrafe. En consecuencia, no se modifica el informe.</w:t>
      </w:r>
    </w:p>
    <w:p>
      <w:pPr>
        <w:pStyle w:val="Heading1"/>
        <w:spacing w:before="1"/>
        <w:ind w:left="2299"/>
        <w:jc w:val="both"/>
      </w:pPr>
      <w:r>
        <w:rPr/>
        <w:t>Recomendación 3.</w:t>
      </w:r>
    </w:p>
    <w:p>
      <w:pPr>
        <w:pStyle w:val="BodyText"/>
        <w:spacing w:before="8"/>
        <w:rPr>
          <w:b/>
          <w:sz w:val="16"/>
        </w:rPr>
      </w:pPr>
    </w:p>
    <w:p>
      <w:pPr>
        <w:pStyle w:val="BodyText"/>
        <w:ind w:left="2299"/>
        <w:jc w:val="both"/>
      </w:pPr>
      <w:r>
        <w:rPr>
          <w:b/>
        </w:rPr>
        <w:t>Resumen: </w:t>
      </w:r>
      <w:r>
        <w:rPr/>
        <w:t>La alegante solicita la supresión de la recomendación.</w:t>
      </w:r>
    </w:p>
    <w:p>
      <w:pPr>
        <w:pStyle w:val="BodyText"/>
        <w:spacing w:before="8"/>
        <w:rPr>
          <w:sz w:val="16"/>
        </w:rPr>
      </w:pPr>
    </w:p>
    <w:p>
      <w:pPr>
        <w:pStyle w:val="BodyText"/>
        <w:spacing w:line="242" w:lineRule="auto"/>
        <w:ind w:left="2299" w:right="1343"/>
        <w:jc w:val="both"/>
      </w:pPr>
      <w:r>
        <w:rPr>
          <w:b/>
        </w:rPr>
        <w:t>Contestación: </w:t>
      </w:r>
      <w:r>
        <w:rPr/>
        <w:t>Conocer las actuaciones de comprobación material que se han dado de baja y sus causas, permitirá al destinatario de la información, en este caso el Gobierno, adoptar medidas y tomar decisiones que permitan una mejor utilización de los recursos públicos y la prestación de servicios públicos de mayor calidad.</w:t>
      </w:r>
    </w:p>
    <w:p>
      <w:pPr>
        <w:pStyle w:val="BodyText"/>
        <w:spacing w:before="6"/>
        <w:rPr>
          <w:sz w:val="16"/>
        </w:rPr>
      </w:pPr>
    </w:p>
    <w:p>
      <w:pPr>
        <w:pStyle w:val="BodyText"/>
        <w:ind w:left="2299"/>
        <w:jc w:val="both"/>
      </w:pPr>
      <w:r>
        <w:rPr/>
        <w:t>En consecuencia, no se modifica el informe</w:t>
      </w:r>
    </w:p>
    <w:p>
      <w:pPr>
        <w:pStyle w:val="BodyText"/>
        <w:spacing w:before="8"/>
        <w:rPr>
          <w:sz w:val="16"/>
        </w:rPr>
      </w:pPr>
    </w:p>
    <w:p>
      <w:pPr>
        <w:pStyle w:val="Heading1"/>
        <w:ind w:left="2299"/>
        <w:jc w:val="both"/>
      </w:pPr>
      <w:r>
        <w:rPr/>
        <w:t>Recomendación 8.</w:t>
      </w:r>
    </w:p>
    <w:p>
      <w:pPr>
        <w:pStyle w:val="BodyText"/>
        <w:spacing w:before="8"/>
        <w:rPr>
          <w:b/>
          <w:sz w:val="16"/>
        </w:rPr>
      </w:pPr>
    </w:p>
    <w:p>
      <w:pPr>
        <w:pStyle w:val="BodyText"/>
        <w:ind w:left="2150" w:right="1343"/>
        <w:jc w:val="right"/>
      </w:pPr>
      <w:r>
        <w:rPr>
          <w:b/>
        </w:rPr>
        <w:t>Resumen. </w:t>
      </w:r>
      <w:r>
        <w:rPr/>
        <w:t>En relación al seguimiento de la cobertura de personal y su futura dotación</w:t>
      </w:r>
      <w:r>
        <w:rPr>
          <w:spacing w:val="-1"/>
        </w:rPr>
        <w:t> </w:t>
      </w:r>
      <w:r>
        <w:rPr/>
        <w:t>a</w:t>
      </w:r>
    </w:p>
    <w:p>
      <w:pPr>
        <w:pStyle w:val="BodyText"/>
        <w:spacing w:before="102"/>
        <w:ind w:left="2150" w:right="1340"/>
        <w:jc w:val="right"/>
      </w:pPr>
      <w:r>
        <w:rPr/>
        <w:t>228</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91" name="image5.png"/>
                  <wp:cNvGraphicFramePr>
                    <a:graphicFrameLocks noChangeAspect="1"/>
                  </wp:cNvGraphicFramePr>
                  <a:graphic>
                    <a:graphicData uri="http://schemas.openxmlformats.org/drawingml/2006/picture">
                      <pic:pic>
                        <pic:nvPicPr>
                          <pic:cNvPr id="49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230/247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43"/>
        <w:jc w:val="both"/>
      </w:pPr>
      <w:r>
        <w:rPr/>
        <w:t>través de la Cuenta General como base para la planificación estratégica del personal y su</w:t>
      </w:r>
      <w:r>
        <w:rPr>
          <w:spacing w:val="-3"/>
        </w:rPr>
        <w:t> </w:t>
      </w:r>
      <w:r>
        <w:rPr/>
        <w:t>movilidad</w:t>
      </w:r>
      <w:r>
        <w:rPr>
          <w:spacing w:val="-4"/>
        </w:rPr>
        <w:t> </w:t>
      </w:r>
      <w:r>
        <w:rPr/>
        <w:t>según</w:t>
      </w:r>
      <w:r>
        <w:rPr>
          <w:spacing w:val="-5"/>
        </w:rPr>
        <w:t> </w:t>
      </w:r>
      <w:r>
        <w:rPr/>
        <w:t>las</w:t>
      </w:r>
      <w:r>
        <w:rPr>
          <w:spacing w:val="-5"/>
        </w:rPr>
        <w:t> </w:t>
      </w:r>
      <w:r>
        <w:rPr/>
        <w:t>necesidades</w:t>
      </w:r>
      <w:r>
        <w:rPr>
          <w:spacing w:val="-5"/>
        </w:rPr>
        <w:t> </w:t>
      </w:r>
      <w:r>
        <w:rPr/>
        <w:t>de</w:t>
      </w:r>
      <w:r>
        <w:rPr>
          <w:spacing w:val="-5"/>
        </w:rPr>
        <w:t> </w:t>
      </w:r>
      <w:r>
        <w:rPr/>
        <w:t>cada</w:t>
      </w:r>
      <w:r>
        <w:rPr>
          <w:spacing w:val="-5"/>
        </w:rPr>
        <w:t> </w:t>
      </w:r>
      <w:r>
        <w:rPr/>
        <w:t>momento,</w:t>
      </w:r>
      <w:r>
        <w:rPr>
          <w:spacing w:val="-5"/>
        </w:rPr>
        <w:t> </w:t>
      </w:r>
      <w:r>
        <w:rPr/>
        <w:t>la</w:t>
      </w:r>
      <w:r>
        <w:rPr>
          <w:spacing w:val="-5"/>
        </w:rPr>
        <w:t> </w:t>
      </w:r>
      <w:r>
        <w:rPr/>
        <w:t>Intervención</w:t>
      </w:r>
      <w:r>
        <w:rPr>
          <w:spacing w:val="-4"/>
        </w:rPr>
        <w:t> </w:t>
      </w:r>
      <w:r>
        <w:rPr/>
        <w:t>General</w:t>
      </w:r>
      <w:r>
        <w:rPr>
          <w:spacing w:val="-3"/>
        </w:rPr>
        <w:t> </w:t>
      </w:r>
      <w:r>
        <w:rPr/>
        <w:t>entiende la propuesta aunque esta información se excede del contenido preceptivo establecido por el PGCP, pues la finalidad de la cuenta general no es contribuir a la planificación estratégica de los recursos humanos, toda vez que para ello ya existen otros</w:t>
      </w:r>
      <w:r>
        <w:rPr>
          <w:spacing w:val="23"/>
        </w:rPr>
        <w:t> </w:t>
      </w:r>
      <w:r>
        <w:rPr/>
        <w:t>canales.</w:t>
      </w:r>
    </w:p>
    <w:p>
      <w:pPr>
        <w:pStyle w:val="BodyText"/>
        <w:spacing w:before="3"/>
        <w:rPr>
          <w:sz w:val="17"/>
        </w:rPr>
      </w:pPr>
    </w:p>
    <w:p>
      <w:pPr>
        <w:pStyle w:val="BodyText"/>
        <w:spacing w:line="242" w:lineRule="auto"/>
        <w:ind w:left="2299" w:right="1342"/>
        <w:jc w:val="both"/>
      </w:pPr>
      <w:r>
        <w:rPr>
          <w:b/>
        </w:rPr>
        <w:t>Contestación. </w:t>
      </w:r>
      <w:r>
        <w:rPr/>
        <w:t>La finalidad de esta recomendación era hacer seguimiento de los puestos vacantes e impulsar la planificación estratégica del personal. No obstante, se acepta la alegación, pues el objeto de la Memoria de la Cuenta General es ampliar la información registrada en los estados presupuestarios y económicos financieros, excediendo este seguimiento de su contenido, por un lado y por otro, al existir la posibilidad de activar otros canales para realizar esta labor.</w:t>
      </w:r>
    </w:p>
    <w:p>
      <w:pPr>
        <w:pStyle w:val="BodyText"/>
        <w:spacing w:before="4"/>
        <w:rPr>
          <w:sz w:val="16"/>
        </w:rPr>
      </w:pPr>
    </w:p>
    <w:p>
      <w:pPr>
        <w:pStyle w:val="BodyText"/>
        <w:ind w:left="2299"/>
        <w:jc w:val="both"/>
      </w:pPr>
      <w:r>
        <w:rPr/>
        <w:t>Por todo ello, se elimina la recomendación nº 8.</w:t>
      </w:r>
    </w:p>
    <w:p>
      <w:pPr>
        <w:pStyle w:val="BodyText"/>
      </w:pPr>
    </w:p>
    <w:p>
      <w:pPr>
        <w:pStyle w:val="BodyText"/>
      </w:pPr>
    </w:p>
    <w:p>
      <w:pPr>
        <w:pStyle w:val="Heading1"/>
        <w:spacing w:before="162"/>
        <w:ind w:left="2299" w:right="1350"/>
        <w:jc w:val="both"/>
      </w:pPr>
      <w:r>
        <w:rPr>
          <w:w w:val="105"/>
        </w:rPr>
        <w:t>ALEGACIONES FORMULADAS POR LA CONSEJERÍA DE PRESIDENCIA, ADMINISTRACIONES PÚBLICAS, JUSTICIA Y</w:t>
      </w:r>
      <w:r>
        <w:rPr>
          <w:spacing w:val="4"/>
          <w:w w:val="105"/>
        </w:rPr>
        <w:t> </w:t>
      </w:r>
      <w:r>
        <w:rPr>
          <w:w w:val="105"/>
        </w:rPr>
        <w:t>SEGURIDAD</w:t>
      </w:r>
    </w:p>
    <w:p>
      <w:pPr>
        <w:pStyle w:val="BodyText"/>
        <w:spacing w:before="10"/>
        <w:rPr>
          <w:b/>
          <w:sz w:val="16"/>
        </w:rPr>
      </w:pPr>
    </w:p>
    <w:p>
      <w:pPr>
        <w:spacing w:before="0"/>
        <w:ind w:left="2299" w:right="0" w:firstLine="0"/>
        <w:jc w:val="both"/>
        <w:rPr>
          <w:b/>
          <w:sz w:val="20"/>
        </w:rPr>
      </w:pPr>
      <w:r>
        <w:rPr>
          <w:b/>
          <w:sz w:val="20"/>
        </w:rPr>
        <w:t>Alegación nº 1</w:t>
      </w:r>
      <w:r>
        <w:rPr>
          <w:sz w:val="20"/>
        </w:rPr>
        <w:t>: </w:t>
      </w:r>
      <w:r>
        <w:rPr>
          <w:b/>
          <w:sz w:val="20"/>
        </w:rPr>
        <w:t>Epígrafe 3.1.1. Área de recursos</w:t>
      </w:r>
      <w:r>
        <w:rPr>
          <w:b/>
          <w:spacing w:val="-7"/>
          <w:sz w:val="20"/>
        </w:rPr>
        <w:t> </w:t>
      </w:r>
      <w:r>
        <w:rPr>
          <w:b/>
          <w:sz w:val="20"/>
        </w:rPr>
        <w:t>humanos.</w:t>
      </w:r>
    </w:p>
    <w:p>
      <w:pPr>
        <w:pStyle w:val="BodyText"/>
        <w:spacing w:line="242" w:lineRule="auto" w:before="2"/>
        <w:ind w:left="2299" w:right="1342"/>
        <w:jc w:val="both"/>
        <w:rPr>
          <w:b/>
        </w:rPr>
      </w:pPr>
      <w:r>
        <w:rPr>
          <w:b/>
        </w:rPr>
        <w:t>Resumen. - </w:t>
      </w:r>
      <w:r>
        <w:rPr/>
        <w:t>En el informe de esta Institución se señaló, de acuerdo con el contenido del informe definitivo de CFP del área de Recursos Humanos, la falta de colaboración por la Consejería de Administraciones Públicas, Justicia y Seguridad, con el órgano de control interno, manifestando la (actual) Consejería de Presidencia, Administraciones Públicas, Justicia y Seguridad, su disconformidad</w:t>
      </w:r>
      <w:r>
        <w:rPr>
          <w:b/>
        </w:rPr>
        <w:t>.</w:t>
      </w:r>
    </w:p>
    <w:p>
      <w:pPr>
        <w:pStyle w:val="BodyText"/>
        <w:spacing w:line="242" w:lineRule="auto"/>
        <w:ind w:left="2299" w:right="1345"/>
        <w:jc w:val="both"/>
      </w:pPr>
      <w:r>
        <w:rPr/>
        <w:t>No obstante, el contenido de la alegación está dirigido a la opinión plasmada por la Intervención adjunta de CFP, respecto de la procedencia de los abonos realizados a dos efectivos de la Consejería.</w:t>
      </w:r>
    </w:p>
    <w:p>
      <w:pPr>
        <w:pStyle w:val="BodyText"/>
        <w:ind w:left="2299" w:right="1345"/>
        <w:jc w:val="both"/>
      </w:pPr>
      <w:r>
        <w:rPr>
          <w:b/>
        </w:rPr>
        <w:t>Contestación. </w:t>
      </w:r>
      <w:r>
        <w:rPr/>
        <w:t>– El contenido de la alegación no se corresponde con lo manifestado por esta Institución.</w:t>
      </w:r>
    </w:p>
    <w:p>
      <w:pPr>
        <w:pStyle w:val="BodyText"/>
        <w:spacing w:before="1"/>
      </w:pPr>
    </w:p>
    <w:p>
      <w:pPr>
        <w:pStyle w:val="BodyText"/>
        <w:ind w:left="2299"/>
        <w:jc w:val="both"/>
      </w:pPr>
      <w:r>
        <w:rPr/>
        <w:t>En consecuencia, no se modifica el informe.</w:t>
      </w:r>
    </w:p>
    <w:p>
      <w:pPr>
        <w:pStyle w:val="BodyText"/>
        <w:spacing w:before="3"/>
      </w:pPr>
    </w:p>
    <w:p>
      <w:pPr>
        <w:pStyle w:val="Heading1"/>
        <w:ind w:left="2299"/>
        <w:jc w:val="both"/>
      </w:pPr>
      <w:r>
        <w:rPr/>
        <w:t>Alegación nº 2</w:t>
      </w:r>
      <w:r>
        <w:rPr>
          <w:b w:val="0"/>
        </w:rPr>
        <w:t>: </w:t>
      </w:r>
      <w:r>
        <w:rPr/>
        <w:t>Epígrafe 5.1.7. Objetivos de la actividad punto 4 (Pag. 126) y epígrafe</w:t>
      </w:r>
    </w:p>
    <w:p>
      <w:pPr>
        <w:spacing w:before="3"/>
        <w:ind w:left="2299" w:right="0" w:firstLine="0"/>
        <w:jc w:val="left"/>
        <w:rPr>
          <w:b/>
          <w:sz w:val="20"/>
        </w:rPr>
      </w:pPr>
      <w:r>
        <w:rPr>
          <w:b/>
          <w:sz w:val="20"/>
        </w:rPr>
        <w:t>8.3. Recomendaciones: recomendación 7.</w:t>
      </w:r>
    </w:p>
    <w:p>
      <w:pPr>
        <w:pStyle w:val="BodyText"/>
        <w:spacing w:before="7"/>
        <w:rPr>
          <w:b/>
          <w:sz w:val="16"/>
        </w:rPr>
      </w:pPr>
    </w:p>
    <w:p>
      <w:pPr>
        <w:spacing w:line="242" w:lineRule="auto" w:before="1"/>
        <w:ind w:left="2299" w:right="1339" w:firstLine="0"/>
        <w:jc w:val="both"/>
        <w:rPr>
          <w:i/>
          <w:sz w:val="20"/>
        </w:rPr>
      </w:pPr>
      <w:r>
        <w:rPr>
          <w:b/>
          <w:sz w:val="20"/>
        </w:rPr>
        <w:t>Resumen</w:t>
      </w:r>
      <w:r>
        <w:rPr>
          <w:sz w:val="20"/>
        </w:rPr>
        <w:t>: En el epígrafe 5.1.7. del proyecto de Informe, en su punto 4 se recoge: </w:t>
      </w:r>
      <w:r>
        <w:rPr>
          <w:i/>
          <w:sz w:val="20"/>
        </w:rPr>
        <w:t>“La </w:t>
      </w:r>
      <w:r>
        <w:rPr>
          <w:i/>
          <w:sz w:val="20"/>
        </w:rPr>
        <w:t>CAC,</w:t>
      </w:r>
      <w:r>
        <w:rPr>
          <w:i/>
          <w:spacing w:val="-6"/>
          <w:sz w:val="20"/>
        </w:rPr>
        <w:t> </w:t>
      </w:r>
      <w:r>
        <w:rPr>
          <w:i/>
          <w:sz w:val="20"/>
        </w:rPr>
        <w:t>pese</w:t>
      </w:r>
      <w:r>
        <w:rPr>
          <w:i/>
          <w:spacing w:val="-4"/>
          <w:sz w:val="20"/>
        </w:rPr>
        <w:t> </w:t>
      </w:r>
      <w:r>
        <w:rPr>
          <w:i/>
          <w:sz w:val="20"/>
        </w:rPr>
        <w:t>a</w:t>
      </w:r>
      <w:r>
        <w:rPr>
          <w:i/>
          <w:spacing w:val="-6"/>
          <w:sz w:val="20"/>
        </w:rPr>
        <w:t> </w:t>
      </w:r>
      <w:r>
        <w:rPr>
          <w:i/>
          <w:sz w:val="20"/>
        </w:rPr>
        <w:t>que</w:t>
      </w:r>
      <w:r>
        <w:rPr>
          <w:i/>
          <w:spacing w:val="-4"/>
          <w:sz w:val="20"/>
        </w:rPr>
        <w:t> </w:t>
      </w:r>
      <w:r>
        <w:rPr>
          <w:i/>
          <w:sz w:val="20"/>
        </w:rPr>
        <w:t>según</w:t>
      </w:r>
      <w:r>
        <w:rPr>
          <w:i/>
          <w:spacing w:val="-6"/>
          <w:sz w:val="20"/>
        </w:rPr>
        <w:t> </w:t>
      </w:r>
      <w:r>
        <w:rPr>
          <w:i/>
          <w:sz w:val="20"/>
        </w:rPr>
        <w:t>el</w:t>
      </w:r>
      <w:r>
        <w:rPr>
          <w:i/>
          <w:spacing w:val="-6"/>
          <w:sz w:val="20"/>
        </w:rPr>
        <w:t> </w:t>
      </w:r>
      <w:r>
        <w:rPr>
          <w:i/>
          <w:sz w:val="20"/>
        </w:rPr>
        <w:t>diagnóstico</w:t>
      </w:r>
      <w:r>
        <w:rPr>
          <w:i/>
          <w:spacing w:val="-5"/>
          <w:sz w:val="20"/>
        </w:rPr>
        <w:t> </w:t>
      </w:r>
      <w:r>
        <w:rPr>
          <w:i/>
          <w:sz w:val="20"/>
        </w:rPr>
        <w:t>de</w:t>
      </w:r>
      <w:r>
        <w:rPr>
          <w:i/>
          <w:spacing w:val="-5"/>
          <w:sz w:val="20"/>
        </w:rPr>
        <w:t> </w:t>
      </w:r>
      <w:r>
        <w:rPr>
          <w:i/>
          <w:sz w:val="20"/>
        </w:rPr>
        <w:t>la</w:t>
      </w:r>
      <w:r>
        <w:rPr>
          <w:i/>
          <w:spacing w:val="-5"/>
          <w:sz w:val="20"/>
        </w:rPr>
        <w:t> </w:t>
      </w:r>
      <w:r>
        <w:rPr>
          <w:i/>
          <w:sz w:val="20"/>
        </w:rPr>
        <w:t>Dirección</w:t>
      </w:r>
      <w:r>
        <w:rPr>
          <w:i/>
          <w:spacing w:val="-6"/>
          <w:sz w:val="20"/>
        </w:rPr>
        <w:t> </w:t>
      </w:r>
      <w:r>
        <w:rPr>
          <w:i/>
          <w:sz w:val="20"/>
        </w:rPr>
        <w:t>General</w:t>
      </w:r>
      <w:r>
        <w:rPr>
          <w:i/>
          <w:spacing w:val="-4"/>
          <w:sz w:val="20"/>
        </w:rPr>
        <w:t> </w:t>
      </w:r>
      <w:r>
        <w:rPr>
          <w:i/>
          <w:sz w:val="20"/>
        </w:rPr>
        <w:t>de</w:t>
      </w:r>
      <w:r>
        <w:rPr>
          <w:i/>
          <w:spacing w:val="-4"/>
          <w:sz w:val="20"/>
        </w:rPr>
        <w:t> </w:t>
      </w:r>
      <w:r>
        <w:rPr>
          <w:i/>
          <w:sz w:val="20"/>
        </w:rPr>
        <w:t>Modernización</w:t>
      </w:r>
      <w:r>
        <w:rPr>
          <w:i/>
          <w:spacing w:val="-6"/>
          <w:sz w:val="20"/>
        </w:rPr>
        <w:t> </w:t>
      </w:r>
      <w:r>
        <w:rPr>
          <w:i/>
          <w:sz w:val="20"/>
        </w:rPr>
        <w:t>y</w:t>
      </w:r>
      <w:r>
        <w:rPr>
          <w:i/>
          <w:spacing w:val="-4"/>
          <w:sz w:val="20"/>
        </w:rPr>
        <w:t> </w:t>
      </w:r>
      <w:r>
        <w:rPr>
          <w:i/>
          <w:sz w:val="20"/>
        </w:rPr>
        <w:t>Calidad de los Servicios realizado en 2021 concluye que de las 20 sociedades mercantiles y dos entidades públicas empresariales, 17 carecen de todo tipo de plan estratégico u operativo, no las ha incluido en el ámbito de aplicación del DECRETO 88/2023, de 25 de mayo, </w:t>
      </w:r>
      <w:r>
        <w:rPr>
          <w:i/>
          <w:spacing w:val="8"/>
          <w:sz w:val="20"/>
        </w:rPr>
        <w:t> </w:t>
      </w:r>
      <w:r>
        <w:rPr>
          <w:i/>
          <w:sz w:val="20"/>
        </w:rPr>
        <w:t>por </w:t>
      </w:r>
      <w:r>
        <w:rPr>
          <w:i/>
          <w:spacing w:val="7"/>
          <w:sz w:val="20"/>
        </w:rPr>
        <w:t> </w:t>
      </w:r>
      <w:r>
        <w:rPr>
          <w:i/>
          <w:sz w:val="20"/>
        </w:rPr>
        <w:t>el </w:t>
      </w:r>
      <w:r>
        <w:rPr>
          <w:i/>
          <w:spacing w:val="8"/>
          <w:sz w:val="20"/>
        </w:rPr>
        <w:t> </w:t>
      </w:r>
      <w:r>
        <w:rPr>
          <w:i/>
          <w:sz w:val="20"/>
        </w:rPr>
        <w:t>que </w:t>
      </w:r>
      <w:r>
        <w:rPr>
          <w:i/>
          <w:spacing w:val="8"/>
          <w:sz w:val="20"/>
        </w:rPr>
        <w:t> </w:t>
      </w:r>
      <w:r>
        <w:rPr>
          <w:i/>
          <w:sz w:val="20"/>
        </w:rPr>
        <w:t>se </w:t>
      </w:r>
      <w:r>
        <w:rPr>
          <w:i/>
          <w:spacing w:val="8"/>
          <w:sz w:val="20"/>
        </w:rPr>
        <w:t> </w:t>
      </w:r>
      <w:r>
        <w:rPr>
          <w:i/>
          <w:sz w:val="20"/>
        </w:rPr>
        <w:t>establece </w:t>
      </w:r>
      <w:r>
        <w:rPr>
          <w:i/>
          <w:spacing w:val="9"/>
          <w:sz w:val="20"/>
        </w:rPr>
        <w:t> </w:t>
      </w:r>
      <w:r>
        <w:rPr>
          <w:i/>
          <w:sz w:val="20"/>
        </w:rPr>
        <w:t>el </w:t>
      </w:r>
      <w:r>
        <w:rPr>
          <w:i/>
          <w:spacing w:val="8"/>
          <w:sz w:val="20"/>
        </w:rPr>
        <w:t> </w:t>
      </w:r>
      <w:r>
        <w:rPr>
          <w:i/>
          <w:sz w:val="20"/>
        </w:rPr>
        <w:t>modelo </w:t>
      </w:r>
      <w:r>
        <w:rPr>
          <w:i/>
          <w:spacing w:val="8"/>
          <w:sz w:val="20"/>
        </w:rPr>
        <w:t> </w:t>
      </w:r>
      <w:r>
        <w:rPr>
          <w:i/>
          <w:sz w:val="20"/>
        </w:rPr>
        <w:t>de </w:t>
      </w:r>
      <w:r>
        <w:rPr>
          <w:i/>
          <w:spacing w:val="8"/>
          <w:sz w:val="20"/>
        </w:rPr>
        <w:t> </w:t>
      </w:r>
      <w:r>
        <w:rPr>
          <w:i/>
          <w:sz w:val="20"/>
        </w:rPr>
        <w:t>referencia </w:t>
      </w:r>
      <w:r>
        <w:rPr>
          <w:i/>
          <w:spacing w:val="7"/>
          <w:sz w:val="20"/>
        </w:rPr>
        <w:t> </w:t>
      </w:r>
      <w:r>
        <w:rPr>
          <w:i/>
          <w:sz w:val="20"/>
        </w:rPr>
        <w:t>de </w:t>
      </w:r>
      <w:r>
        <w:rPr>
          <w:i/>
          <w:spacing w:val="8"/>
          <w:sz w:val="20"/>
        </w:rPr>
        <w:t> </w:t>
      </w:r>
      <w:r>
        <w:rPr>
          <w:i/>
          <w:sz w:val="20"/>
        </w:rPr>
        <w:t>planificación </w:t>
      </w:r>
      <w:r>
        <w:rPr>
          <w:i/>
          <w:spacing w:val="8"/>
          <w:sz w:val="20"/>
        </w:rPr>
        <w:t> </w:t>
      </w:r>
      <w:r>
        <w:rPr>
          <w:i/>
          <w:sz w:val="20"/>
        </w:rPr>
        <w:t>y </w:t>
      </w:r>
      <w:r>
        <w:rPr>
          <w:i/>
          <w:spacing w:val="8"/>
          <w:sz w:val="20"/>
        </w:rPr>
        <w:t> </w:t>
      </w:r>
      <w:r>
        <w:rPr>
          <w:i/>
          <w:sz w:val="20"/>
        </w:rPr>
        <w:t>gestión</w:t>
      </w:r>
    </w:p>
    <w:p>
      <w:pPr>
        <w:pStyle w:val="BodyText"/>
        <w:spacing w:before="1"/>
        <w:ind w:left="2150" w:right="1340"/>
        <w:jc w:val="right"/>
      </w:pPr>
      <w:r>
        <w:rPr/>
        <w:t>229</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93" name="image5.png"/>
                  <wp:cNvGraphicFramePr>
                    <a:graphicFrameLocks noChangeAspect="1"/>
                  </wp:cNvGraphicFramePr>
                  <a:graphic>
                    <a:graphicData uri="http://schemas.openxmlformats.org/drawingml/2006/picture">
                      <pic:pic>
                        <pic:nvPicPr>
                          <pic:cNvPr id="49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231/247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spacing w:line="242" w:lineRule="auto" w:before="60"/>
        <w:ind w:left="2299" w:right="1340" w:firstLine="0"/>
        <w:jc w:val="both"/>
        <w:rPr>
          <w:i/>
          <w:sz w:val="20"/>
        </w:rPr>
      </w:pPr>
      <w:r>
        <w:rPr>
          <w:i/>
          <w:sz w:val="20"/>
        </w:rPr>
        <w:t>estratégica y dirección por objetivos de la APCAC y de sus organismos autónomos, y por </w:t>
      </w:r>
      <w:r>
        <w:rPr>
          <w:i/>
          <w:sz w:val="20"/>
        </w:rPr>
        <w:t>el que se modifica el Decreto 69/2004, de 25 de mayo, por el que se regula la organización, competencias y funcionamiento de la Comisión de Coordinación y Planificación. “</w:t>
      </w:r>
      <w:r>
        <w:rPr>
          <w:sz w:val="20"/>
        </w:rPr>
        <w:t>Asimismo, y en relación con </w:t>
      </w:r>
      <w:r>
        <w:rPr>
          <w:spacing w:val="-3"/>
          <w:sz w:val="20"/>
        </w:rPr>
        <w:t>esta </w:t>
      </w:r>
      <w:r>
        <w:rPr>
          <w:sz w:val="20"/>
        </w:rPr>
        <w:t>alegación en el epígrafe 8.3. de recomendaciones, en el proyecto se recoge la recomendación 7: “</w:t>
      </w:r>
      <w:r>
        <w:rPr>
          <w:i/>
          <w:sz w:val="20"/>
        </w:rPr>
        <w:t>Se recomienda al </w:t>
      </w:r>
      <w:r>
        <w:rPr>
          <w:i/>
          <w:sz w:val="20"/>
        </w:rPr>
        <w:t>Gobierno de Canarias que se incluyan en el Decreto 88/2023, de 25 de mayo, por el que se</w:t>
      </w:r>
      <w:r>
        <w:rPr>
          <w:i/>
          <w:spacing w:val="-7"/>
          <w:sz w:val="20"/>
        </w:rPr>
        <w:t> </w:t>
      </w:r>
      <w:r>
        <w:rPr>
          <w:i/>
          <w:sz w:val="20"/>
        </w:rPr>
        <w:t>establece</w:t>
      </w:r>
      <w:r>
        <w:rPr>
          <w:i/>
          <w:spacing w:val="-7"/>
          <w:sz w:val="20"/>
        </w:rPr>
        <w:t> </w:t>
      </w:r>
      <w:r>
        <w:rPr>
          <w:i/>
          <w:sz w:val="20"/>
        </w:rPr>
        <w:t>el</w:t>
      </w:r>
      <w:r>
        <w:rPr>
          <w:i/>
          <w:spacing w:val="-9"/>
          <w:sz w:val="20"/>
        </w:rPr>
        <w:t> </w:t>
      </w:r>
      <w:r>
        <w:rPr>
          <w:i/>
          <w:sz w:val="20"/>
        </w:rPr>
        <w:t>modelo</w:t>
      </w:r>
      <w:r>
        <w:rPr>
          <w:i/>
          <w:spacing w:val="-7"/>
          <w:sz w:val="20"/>
        </w:rPr>
        <w:t> </w:t>
      </w:r>
      <w:r>
        <w:rPr>
          <w:i/>
          <w:sz w:val="20"/>
        </w:rPr>
        <w:t>de</w:t>
      </w:r>
      <w:r>
        <w:rPr>
          <w:i/>
          <w:spacing w:val="-6"/>
          <w:sz w:val="20"/>
        </w:rPr>
        <w:t> </w:t>
      </w:r>
      <w:r>
        <w:rPr>
          <w:i/>
          <w:sz w:val="20"/>
        </w:rPr>
        <w:t>referencia</w:t>
      </w:r>
      <w:r>
        <w:rPr>
          <w:i/>
          <w:spacing w:val="-8"/>
          <w:sz w:val="20"/>
        </w:rPr>
        <w:t> </w:t>
      </w:r>
      <w:r>
        <w:rPr>
          <w:i/>
          <w:sz w:val="20"/>
        </w:rPr>
        <w:t>de</w:t>
      </w:r>
      <w:r>
        <w:rPr>
          <w:i/>
          <w:spacing w:val="-7"/>
          <w:sz w:val="20"/>
        </w:rPr>
        <w:t> </w:t>
      </w:r>
      <w:r>
        <w:rPr>
          <w:i/>
          <w:sz w:val="20"/>
        </w:rPr>
        <w:t>planificación</w:t>
      </w:r>
      <w:r>
        <w:rPr>
          <w:i/>
          <w:spacing w:val="-8"/>
          <w:sz w:val="20"/>
        </w:rPr>
        <w:t> </w:t>
      </w:r>
      <w:r>
        <w:rPr>
          <w:i/>
          <w:sz w:val="20"/>
        </w:rPr>
        <w:t>y</w:t>
      </w:r>
      <w:r>
        <w:rPr>
          <w:i/>
          <w:spacing w:val="-6"/>
          <w:sz w:val="20"/>
        </w:rPr>
        <w:t> </w:t>
      </w:r>
      <w:r>
        <w:rPr>
          <w:i/>
          <w:sz w:val="20"/>
        </w:rPr>
        <w:t>gestión</w:t>
      </w:r>
      <w:r>
        <w:rPr>
          <w:i/>
          <w:spacing w:val="-8"/>
          <w:sz w:val="20"/>
        </w:rPr>
        <w:t> </w:t>
      </w:r>
      <w:r>
        <w:rPr>
          <w:i/>
          <w:sz w:val="20"/>
        </w:rPr>
        <w:t>estratégica</w:t>
      </w:r>
      <w:r>
        <w:rPr>
          <w:i/>
          <w:spacing w:val="-8"/>
          <w:sz w:val="20"/>
        </w:rPr>
        <w:t> </w:t>
      </w:r>
      <w:r>
        <w:rPr>
          <w:i/>
          <w:sz w:val="20"/>
        </w:rPr>
        <w:t>y</w:t>
      </w:r>
      <w:r>
        <w:rPr>
          <w:i/>
          <w:spacing w:val="-7"/>
          <w:sz w:val="20"/>
        </w:rPr>
        <w:t> </w:t>
      </w:r>
      <w:r>
        <w:rPr>
          <w:i/>
          <w:sz w:val="20"/>
        </w:rPr>
        <w:t>dirección</w:t>
      </w:r>
      <w:r>
        <w:rPr>
          <w:i/>
          <w:spacing w:val="-7"/>
          <w:sz w:val="20"/>
        </w:rPr>
        <w:t> </w:t>
      </w:r>
      <w:r>
        <w:rPr>
          <w:i/>
          <w:sz w:val="20"/>
        </w:rPr>
        <w:t>por objetivos de la APCAC y de sus organismos autónomos, tanto las SSMM como a las entidades públicas</w:t>
      </w:r>
      <w:r>
        <w:rPr>
          <w:i/>
          <w:spacing w:val="1"/>
          <w:sz w:val="20"/>
        </w:rPr>
        <w:t> </w:t>
      </w:r>
      <w:r>
        <w:rPr>
          <w:i/>
          <w:sz w:val="20"/>
        </w:rPr>
        <w:t>empresariales.”</w:t>
      </w:r>
    </w:p>
    <w:p>
      <w:pPr>
        <w:pStyle w:val="BodyText"/>
        <w:spacing w:before="2"/>
        <w:rPr>
          <w:i/>
          <w:sz w:val="16"/>
        </w:rPr>
      </w:pPr>
    </w:p>
    <w:p>
      <w:pPr>
        <w:pStyle w:val="BodyText"/>
        <w:spacing w:line="242" w:lineRule="auto"/>
        <w:ind w:left="2299" w:right="1345"/>
        <w:jc w:val="both"/>
      </w:pPr>
      <w:r>
        <w:rPr>
          <w:w w:val="105"/>
        </w:rPr>
        <w:t>La Consejería de Presidencia, Administraciones Públicas, Justicia y Seguridad alega que</w:t>
      </w:r>
      <w:r>
        <w:rPr>
          <w:spacing w:val="-5"/>
          <w:w w:val="105"/>
        </w:rPr>
        <w:t> </w:t>
      </w:r>
      <w:r>
        <w:rPr>
          <w:w w:val="105"/>
        </w:rPr>
        <w:t>el</w:t>
      </w:r>
      <w:r>
        <w:rPr>
          <w:spacing w:val="-4"/>
          <w:w w:val="105"/>
        </w:rPr>
        <w:t> </w:t>
      </w:r>
      <w:r>
        <w:rPr>
          <w:w w:val="105"/>
        </w:rPr>
        <w:t>Gobierno</w:t>
      </w:r>
      <w:r>
        <w:rPr>
          <w:spacing w:val="-4"/>
          <w:w w:val="105"/>
        </w:rPr>
        <w:t> </w:t>
      </w:r>
      <w:r>
        <w:rPr>
          <w:w w:val="105"/>
        </w:rPr>
        <w:t>de</w:t>
      </w:r>
      <w:r>
        <w:rPr>
          <w:spacing w:val="-4"/>
          <w:w w:val="105"/>
        </w:rPr>
        <w:t> </w:t>
      </w:r>
      <w:r>
        <w:rPr>
          <w:w w:val="105"/>
        </w:rPr>
        <w:t>Canarias</w:t>
      </w:r>
      <w:r>
        <w:rPr>
          <w:spacing w:val="-4"/>
          <w:w w:val="105"/>
        </w:rPr>
        <w:t> </w:t>
      </w:r>
      <w:r>
        <w:rPr>
          <w:w w:val="105"/>
        </w:rPr>
        <w:t>creó</w:t>
      </w:r>
      <w:r>
        <w:rPr>
          <w:spacing w:val="-4"/>
          <w:w w:val="105"/>
        </w:rPr>
        <w:t> </w:t>
      </w:r>
      <w:r>
        <w:rPr>
          <w:w w:val="105"/>
        </w:rPr>
        <w:t>una</w:t>
      </w:r>
      <w:r>
        <w:rPr>
          <w:spacing w:val="-4"/>
          <w:w w:val="105"/>
        </w:rPr>
        <w:t> </w:t>
      </w:r>
      <w:r>
        <w:rPr>
          <w:w w:val="105"/>
        </w:rPr>
        <w:t>comisión</w:t>
      </w:r>
      <w:r>
        <w:rPr>
          <w:spacing w:val="-2"/>
          <w:w w:val="105"/>
        </w:rPr>
        <w:t> </w:t>
      </w:r>
      <w:r>
        <w:rPr>
          <w:w w:val="105"/>
        </w:rPr>
        <w:t>de</w:t>
      </w:r>
      <w:r>
        <w:rPr>
          <w:spacing w:val="-6"/>
          <w:w w:val="105"/>
        </w:rPr>
        <w:t> </w:t>
      </w:r>
      <w:r>
        <w:rPr>
          <w:w w:val="105"/>
        </w:rPr>
        <w:t>trabajo</w:t>
      </w:r>
      <w:r>
        <w:rPr>
          <w:spacing w:val="-4"/>
          <w:w w:val="105"/>
        </w:rPr>
        <w:t> </w:t>
      </w:r>
      <w:r>
        <w:rPr>
          <w:w w:val="105"/>
        </w:rPr>
        <w:t>para</w:t>
      </w:r>
      <w:r>
        <w:rPr>
          <w:spacing w:val="-5"/>
          <w:w w:val="105"/>
        </w:rPr>
        <w:t> </w:t>
      </w:r>
      <w:r>
        <w:rPr>
          <w:w w:val="105"/>
        </w:rPr>
        <w:t>la</w:t>
      </w:r>
      <w:r>
        <w:rPr>
          <w:spacing w:val="-4"/>
          <w:w w:val="105"/>
        </w:rPr>
        <w:t> </w:t>
      </w:r>
      <w:r>
        <w:rPr>
          <w:w w:val="105"/>
        </w:rPr>
        <w:t>elaboración</w:t>
      </w:r>
      <w:r>
        <w:rPr>
          <w:spacing w:val="-4"/>
          <w:w w:val="105"/>
        </w:rPr>
        <w:t> </w:t>
      </w:r>
      <w:r>
        <w:rPr>
          <w:w w:val="105"/>
        </w:rPr>
        <w:t>de</w:t>
      </w:r>
      <w:r>
        <w:rPr>
          <w:spacing w:val="-4"/>
          <w:w w:val="105"/>
        </w:rPr>
        <w:t> </w:t>
      </w:r>
      <w:r>
        <w:rPr>
          <w:w w:val="105"/>
        </w:rPr>
        <w:t>un Borrador del modelo de referencia de planificación estratégica y dirección por objetivos de la Administración Pública de la Comunidad Autónoma y de sus organismos y sociedades mercantiles públicas vinculadas o dependientes, con participación de representantes de diversas Direcciones Generales, formulando un Borrador</w:t>
      </w:r>
      <w:r>
        <w:rPr>
          <w:spacing w:val="-7"/>
          <w:w w:val="105"/>
        </w:rPr>
        <w:t> </w:t>
      </w:r>
      <w:r>
        <w:rPr>
          <w:w w:val="105"/>
        </w:rPr>
        <w:t>de</w:t>
      </w:r>
      <w:r>
        <w:rPr>
          <w:spacing w:val="-3"/>
          <w:w w:val="105"/>
        </w:rPr>
        <w:t> </w:t>
      </w:r>
      <w:r>
        <w:rPr>
          <w:w w:val="105"/>
        </w:rPr>
        <w:t>proyecto</w:t>
      </w:r>
      <w:r>
        <w:rPr>
          <w:spacing w:val="-5"/>
          <w:w w:val="105"/>
        </w:rPr>
        <w:t> </w:t>
      </w:r>
      <w:r>
        <w:rPr>
          <w:w w:val="105"/>
        </w:rPr>
        <w:t>de</w:t>
      </w:r>
      <w:r>
        <w:rPr>
          <w:spacing w:val="-6"/>
          <w:w w:val="105"/>
        </w:rPr>
        <w:t> </w:t>
      </w:r>
      <w:r>
        <w:rPr>
          <w:w w:val="105"/>
        </w:rPr>
        <w:t>decreto</w:t>
      </w:r>
      <w:r>
        <w:rPr>
          <w:spacing w:val="-5"/>
          <w:w w:val="105"/>
        </w:rPr>
        <w:t> </w:t>
      </w:r>
      <w:r>
        <w:rPr>
          <w:w w:val="105"/>
        </w:rPr>
        <w:t>por</w:t>
      </w:r>
      <w:r>
        <w:rPr>
          <w:spacing w:val="-3"/>
          <w:w w:val="105"/>
        </w:rPr>
        <w:t> </w:t>
      </w:r>
      <w:r>
        <w:rPr>
          <w:w w:val="105"/>
        </w:rPr>
        <w:t>el</w:t>
      </w:r>
      <w:r>
        <w:rPr>
          <w:spacing w:val="-5"/>
          <w:w w:val="105"/>
        </w:rPr>
        <w:t> </w:t>
      </w:r>
      <w:r>
        <w:rPr>
          <w:w w:val="105"/>
        </w:rPr>
        <w:t>que</w:t>
      </w:r>
      <w:r>
        <w:rPr>
          <w:spacing w:val="-5"/>
          <w:w w:val="105"/>
        </w:rPr>
        <w:t> </w:t>
      </w:r>
      <w:r>
        <w:rPr>
          <w:w w:val="105"/>
        </w:rPr>
        <w:t>se</w:t>
      </w:r>
      <w:r>
        <w:rPr>
          <w:spacing w:val="-4"/>
          <w:w w:val="105"/>
        </w:rPr>
        <w:t> </w:t>
      </w:r>
      <w:r>
        <w:rPr>
          <w:w w:val="105"/>
        </w:rPr>
        <w:t>establece</w:t>
      </w:r>
      <w:r>
        <w:rPr>
          <w:spacing w:val="-3"/>
          <w:w w:val="105"/>
        </w:rPr>
        <w:t> </w:t>
      </w:r>
      <w:r>
        <w:rPr>
          <w:w w:val="105"/>
        </w:rPr>
        <w:t>el</w:t>
      </w:r>
      <w:r>
        <w:rPr>
          <w:spacing w:val="-3"/>
          <w:w w:val="105"/>
        </w:rPr>
        <w:t> </w:t>
      </w:r>
      <w:r>
        <w:rPr>
          <w:w w:val="105"/>
        </w:rPr>
        <w:t>modelo</w:t>
      </w:r>
      <w:r>
        <w:rPr>
          <w:spacing w:val="-6"/>
          <w:w w:val="105"/>
        </w:rPr>
        <w:t> </w:t>
      </w:r>
      <w:r>
        <w:rPr>
          <w:w w:val="105"/>
        </w:rPr>
        <w:t>de</w:t>
      </w:r>
      <w:r>
        <w:rPr>
          <w:spacing w:val="-3"/>
          <w:w w:val="105"/>
        </w:rPr>
        <w:t> </w:t>
      </w:r>
      <w:r>
        <w:rPr>
          <w:w w:val="105"/>
        </w:rPr>
        <w:t>referencia</w:t>
      </w:r>
      <w:r>
        <w:rPr>
          <w:spacing w:val="-5"/>
          <w:w w:val="105"/>
        </w:rPr>
        <w:t> </w:t>
      </w:r>
      <w:r>
        <w:rPr>
          <w:w w:val="105"/>
        </w:rPr>
        <w:t>de planificación estratégica y dirección por objetivos de la Administración Pública de la Comunidad Autónoma de Canarias, y de sus organismos autónomos, sociedades mercantiles públicas, fundaciones públicas y entidades públicas empresariales vinculadas o dependientes. El Proyecto de Decreto se tramitó como una propuesta conjunta de la Presidencia del Gobierno y de las extintas Consejerías de Hacienda, Presupuestos y Asuntos Europeos y de Administraciones Públicas, Justicia y Seguridad.</w:t>
      </w:r>
    </w:p>
    <w:p>
      <w:pPr>
        <w:pStyle w:val="BodyText"/>
        <w:spacing w:before="10"/>
        <w:rPr>
          <w:sz w:val="15"/>
        </w:rPr>
      </w:pPr>
    </w:p>
    <w:p>
      <w:pPr>
        <w:pStyle w:val="BodyText"/>
        <w:spacing w:before="1"/>
        <w:ind w:left="2299" w:right="1352"/>
        <w:jc w:val="both"/>
      </w:pPr>
      <w:r>
        <w:rPr>
          <w:w w:val="105"/>
        </w:rPr>
        <w:t>El 22 de mayo de 2023, la Secretaría General </w:t>
      </w:r>
      <w:r>
        <w:rPr>
          <w:spacing w:val="-3"/>
          <w:w w:val="105"/>
        </w:rPr>
        <w:t>Técnica </w:t>
      </w:r>
      <w:r>
        <w:rPr>
          <w:w w:val="105"/>
        </w:rPr>
        <w:t>de la extinta Consejería de Hacienda,</w:t>
      </w:r>
      <w:r>
        <w:rPr>
          <w:spacing w:val="-9"/>
          <w:w w:val="105"/>
        </w:rPr>
        <w:t> </w:t>
      </w:r>
      <w:r>
        <w:rPr>
          <w:w w:val="105"/>
        </w:rPr>
        <w:t>Presupuestos</w:t>
      </w:r>
      <w:r>
        <w:rPr>
          <w:spacing w:val="-7"/>
          <w:w w:val="105"/>
        </w:rPr>
        <w:t> </w:t>
      </w:r>
      <w:r>
        <w:rPr>
          <w:w w:val="105"/>
        </w:rPr>
        <w:t>y</w:t>
      </w:r>
      <w:r>
        <w:rPr>
          <w:spacing w:val="-9"/>
          <w:w w:val="105"/>
        </w:rPr>
        <w:t> </w:t>
      </w:r>
      <w:r>
        <w:rPr>
          <w:w w:val="105"/>
        </w:rPr>
        <w:t>Asuntos</w:t>
      </w:r>
      <w:r>
        <w:rPr>
          <w:spacing w:val="-10"/>
          <w:w w:val="105"/>
        </w:rPr>
        <w:t> </w:t>
      </w:r>
      <w:r>
        <w:rPr>
          <w:w w:val="105"/>
        </w:rPr>
        <w:t>Europeos</w:t>
      </w:r>
      <w:r>
        <w:rPr>
          <w:spacing w:val="-8"/>
          <w:w w:val="105"/>
        </w:rPr>
        <w:t> </w:t>
      </w:r>
      <w:r>
        <w:rPr>
          <w:w w:val="105"/>
        </w:rPr>
        <w:t>remite</w:t>
      </w:r>
      <w:r>
        <w:rPr>
          <w:spacing w:val="-8"/>
          <w:w w:val="105"/>
        </w:rPr>
        <w:t> </w:t>
      </w:r>
      <w:r>
        <w:rPr>
          <w:w w:val="105"/>
        </w:rPr>
        <w:t>escrito</w:t>
      </w:r>
      <w:r>
        <w:rPr>
          <w:spacing w:val="-8"/>
          <w:w w:val="105"/>
        </w:rPr>
        <w:t> </w:t>
      </w:r>
      <w:r>
        <w:rPr>
          <w:w w:val="105"/>
        </w:rPr>
        <w:t>a</w:t>
      </w:r>
      <w:r>
        <w:rPr>
          <w:spacing w:val="-10"/>
          <w:w w:val="105"/>
        </w:rPr>
        <w:t> </w:t>
      </w:r>
      <w:r>
        <w:rPr>
          <w:w w:val="105"/>
        </w:rPr>
        <w:t>la</w:t>
      </w:r>
      <w:r>
        <w:rPr>
          <w:spacing w:val="-8"/>
          <w:w w:val="105"/>
        </w:rPr>
        <w:t> </w:t>
      </w:r>
      <w:r>
        <w:rPr>
          <w:w w:val="105"/>
        </w:rPr>
        <w:t>Dirección</w:t>
      </w:r>
      <w:r>
        <w:rPr>
          <w:spacing w:val="-9"/>
          <w:w w:val="105"/>
        </w:rPr>
        <w:t> </w:t>
      </w:r>
      <w:r>
        <w:rPr>
          <w:w w:val="105"/>
        </w:rPr>
        <w:t>General</w:t>
      </w:r>
      <w:r>
        <w:rPr>
          <w:spacing w:val="-8"/>
          <w:w w:val="105"/>
        </w:rPr>
        <w:t> </w:t>
      </w:r>
      <w:r>
        <w:rPr>
          <w:w w:val="105"/>
        </w:rPr>
        <w:t>de Modernización y Calidad incluyendo observaciones al citado Proyecto de</w:t>
      </w:r>
      <w:r>
        <w:rPr>
          <w:spacing w:val="-5"/>
          <w:w w:val="105"/>
        </w:rPr>
        <w:t> </w:t>
      </w:r>
      <w:r>
        <w:rPr>
          <w:w w:val="105"/>
        </w:rPr>
        <w:t>Decreto.</w:t>
      </w:r>
    </w:p>
    <w:p>
      <w:pPr>
        <w:pStyle w:val="BodyText"/>
        <w:spacing w:before="11"/>
        <w:rPr>
          <w:sz w:val="16"/>
        </w:rPr>
      </w:pPr>
    </w:p>
    <w:p>
      <w:pPr>
        <w:pStyle w:val="BodyText"/>
        <w:spacing w:line="242" w:lineRule="auto"/>
        <w:ind w:left="2299" w:right="1350"/>
        <w:jc w:val="both"/>
      </w:pPr>
      <w:r>
        <w:rPr>
          <w:w w:val="105"/>
        </w:rPr>
        <w:t>Entre las observaciones remitidas figuran las del Servicio de Organización y Gestión del</w:t>
      </w:r>
      <w:r>
        <w:rPr>
          <w:spacing w:val="-10"/>
          <w:w w:val="105"/>
        </w:rPr>
        <w:t> </w:t>
      </w:r>
      <w:r>
        <w:rPr>
          <w:w w:val="105"/>
        </w:rPr>
        <w:t>Conocimiento</w:t>
      </w:r>
      <w:r>
        <w:rPr>
          <w:spacing w:val="-10"/>
          <w:w w:val="105"/>
        </w:rPr>
        <w:t> </w:t>
      </w:r>
      <w:r>
        <w:rPr>
          <w:w w:val="105"/>
        </w:rPr>
        <w:t>de</w:t>
      </w:r>
      <w:r>
        <w:rPr>
          <w:spacing w:val="-11"/>
          <w:w w:val="105"/>
        </w:rPr>
        <w:t> </w:t>
      </w:r>
      <w:r>
        <w:rPr>
          <w:w w:val="105"/>
        </w:rPr>
        <w:t>la</w:t>
      </w:r>
      <w:r>
        <w:rPr>
          <w:spacing w:val="-10"/>
          <w:w w:val="105"/>
        </w:rPr>
        <w:t> </w:t>
      </w:r>
      <w:r>
        <w:rPr>
          <w:w w:val="105"/>
        </w:rPr>
        <w:t>Secretaría</w:t>
      </w:r>
      <w:r>
        <w:rPr>
          <w:spacing w:val="-9"/>
          <w:w w:val="105"/>
        </w:rPr>
        <w:t> </w:t>
      </w:r>
      <w:r>
        <w:rPr>
          <w:w w:val="105"/>
        </w:rPr>
        <w:t>General</w:t>
      </w:r>
      <w:r>
        <w:rPr>
          <w:spacing w:val="-10"/>
          <w:w w:val="105"/>
        </w:rPr>
        <w:t> </w:t>
      </w:r>
      <w:r>
        <w:rPr>
          <w:spacing w:val="-3"/>
          <w:w w:val="105"/>
        </w:rPr>
        <w:t>Técnica</w:t>
      </w:r>
      <w:r>
        <w:rPr>
          <w:spacing w:val="-9"/>
          <w:w w:val="105"/>
        </w:rPr>
        <w:t> </w:t>
      </w:r>
      <w:r>
        <w:rPr>
          <w:w w:val="105"/>
        </w:rPr>
        <w:t>citada</w:t>
      </w:r>
      <w:r>
        <w:rPr>
          <w:spacing w:val="-10"/>
          <w:w w:val="105"/>
        </w:rPr>
        <w:t> </w:t>
      </w:r>
      <w:r>
        <w:rPr>
          <w:w w:val="105"/>
        </w:rPr>
        <w:t>que</w:t>
      </w:r>
      <w:r>
        <w:rPr>
          <w:spacing w:val="-9"/>
          <w:w w:val="105"/>
        </w:rPr>
        <w:t> </w:t>
      </w:r>
      <w:r>
        <w:rPr>
          <w:w w:val="105"/>
        </w:rPr>
        <w:t>dice,</w:t>
      </w:r>
      <w:r>
        <w:rPr>
          <w:spacing w:val="-12"/>
          <w:w w:val="105"/>
        </w:rPr>
        <w:t> </w:t>
      </w:r>
      <w:r>
        <w:rPr>
          <w:w w:val="105"/>
        </w:rPr>
        <w:t>entre</w:t>
      </w:r>
      <w:r>
        <w:rPr>
          <w:spacing w:val="-9"/>
          <w:w w:val="105"/>
        </w:rPr>
        <w:t> </w:t>
      </w:r>
      <w:r>
        <w:rPr>
          <w:w w:val="105"/>
        </w:rPr>
        <w:t>otras</w:t>
      </w:r>
      <w:r>
        <w:rPr>
          <w:spacing w:val="-9"/>
          <w:w w:val="105"/>
        </w:rPr>
        <w:t> </w:t>
      </w:r>
      <w:r>
        <w:rPr>
          <w:w w:val="105"/>
        </w:rPr>
        <w:t>cosas: “Se</w:t>
      </w:r>
      <w:r>
        <w:rPr>
          <w:spacing w:val="-11"/>
          <w:w w:val="105"/>
        </w:rPr>
        <w:t> </w:t>
      </w:r>
      <w:r>
        <w:rPr>
          <w:w w:val="105"/>
        </w:rPr>
        <w:t>observa</w:t>
      </w:r>
      <w:r>
        <w:rPr>
          <w:spacing w:val="-10"/>
          <w:w w:val="105"/>
        </w:rPr>
        <w:t> </w:t>
      </w:r>
      <w:r>
        <w:rPr>
          <w:w w:val="105"/>
        </w:rPr>
        <w:t>que</w:t>
      </w:r>
      <w:r>
        <w:rPr>
          <w:spacing w:val="-10"/>
          <w:w w:val="105"/>
        </w:rPr>
        <w:t> </w:t>
      </w:r>
      <w:r>
        <w:rPr>
          <w:w w:val="105"/>
        </w:rPr>
        <w:t>el</w:t>
      </w:r>
      <w:r>
        <w:rPr>
          <w:spacing w:val="-10"/>
          <w:w w:val="105"/>
        </w:rPr>
        <w:t> </w:t>
      </w:r>
      <w:r>
        <w:rPr>
          <w:w w:val="105"/>
        </w:rPr>
        <w:t>ámbito</w:t>
      </w:r>
      <w:r>
        <w:rPr>
          <w:spacing w:val="-12"/>
          <w:w w:val="105"/>
        </w:rPr>
        <w:t> </w:t>
      </w:r>
      <w:r>
        <w:rPr>
          <w:w w:val="105"/>
        </w:rPr>
        <w:t>de</w:t>
      </w:r>
      <w:r>
        <w:rPr>
          <w:spacing w:val="-13"/>
          <w:w w:val="105"/>
        </w:rPr>
        <w:t> </w:t>
      </w:r>
      <w:r>
        <w:rPr>
          <w:w w:val="105"/>
        </w:rPr>
        <w:t>aplicación</w:t>
      </w:r>
      <w:r>
        <w:rPr>
          <w:spacing w:val="-12"/>
          <w:w w:val="105"/>
        </w:rPr>
        <w:t> </w:t>
      </w:r>
      <w:r>
        <w:rPr>
          <w:w w:val="105"/>
        </w:rPr>
        <w:t>de</w:t>
      </w:r>
      <w:r>
        <w:rPr>
          <w:spacing w:val="-12"/>
          <w:w w:val="105"/>
        </w:rPr>
        <w:t> </w:t>
      </w:r>
      <w:r>
        <w:rPr>
          <w:w w:val="105"/>
        </w:rPr>
        <w:t>este</w:t>
      </w:r>
      <w:r>
        <w:rPr>
          <w:spacing w:val="-10"/>
          <w:w w:val="105"/>
        </w:rPr>
        <w:t> </w:t>
      </w:r>
      <w:r>
        <w:rPr>
          <w:w w:val="105"/>
        </w:rPr>
        <w:t>Decreto</w:t>
      </w:r>
      <w:r>
        <w:rPr>
          <w:spacing w:val="-12"/>
          <w:w w:val="105"/>
        </w:rPr>
        <w:t> </w:t>
      </w:r>
      <w:r>
        <w:rPr>
          <w:w w:val="105"/>
        </w:rPr>
        <w:t>se</w:t>
      </w:r>
      <w:r>
        <w:rPr>
          <w:spacing w:val="-10"/>
          <w:w w:val="105"/>
        </w:rPr>
        <w:t> </w:t>
      </w:r>
      <w:r>
        <w:rPr>
          <w:w w:val="105"/>
        </w:rPr>
        <w:t>extiende</w:t>
      </w:r>
      <w:r>
        <w:rPr>
          <w:spacing w:val="-11"/>
          <w:w w:val="105"/>
        </w:rPr>
        <w:t> </w:t>
      </w:r>
      <w:r>
        <w:rPr>
          <w:w w:val="105"/>
        </w:rPr>
        <w:t>a</w:t>
      </w:r>
      <w:r>
        <w:rPr>
          <w:spacing w:val="-10"/>
          <w:w w:val="105"/>
        </w:rPr>
        <w:t> </w:t>
      </w:r>
      <w:r>
        <w:rPr>
          <w:w w:val="105"/>
        </w:rPr>
        <w:t>las</w:t>
      </w:r>
      <w:r>
        <w:rPr>
          <w:spacing w:val="-12"/>
          <w:w w:val="105"/>
        </w:rPr>
        <w:t> </w:t>
      </w:r>
      <w:r>
        <w:rPr>
          <w:w w:val="105"/>
        </w:rPr>
        <w:t>sociedades mercantiles públicas definidas en la Ley de Patrimonio de la Comunidad Autónoma de Canarias. No queda muy claro en el Decreto si su planificación estratégica queda encuadrada dentro del Plan Estratégico Departamental. Entendemos que las sociedades mercantiles deberían de están regidas por su propia normativa, </w:t>
      </w:r>
      <w:r>
        <w:rPr>
          <w:spacing w:val="-3"/>
          <w:w w:val="105"/>
        </w:rPr>
        <w:t>ya </w:t>
      </w:r>
      <w:r>
        <w:rPr>
          <w:w w:val="105"/>
        </w:rPr>
        <w:t>que su</w:t>
      </w:r>
      <w:r>
        <w:rPr>
          <w:spacing w:val="-8"/>
          <w:w w:val="105"/>
        </w:rPr>
        <w:t> </w:t>
      </w:r>
      <w:r>
        <w:rPr>
          <w:w w:val="105"/>
        </w:rPr>
        <w:t>forma</w:t>
      </w:r>
      <w:r>
        <w:rPr>
          <w:spacing w:val="-7"/>
          <w:w w:val="105"/>
        </w:rPr>
        <w:t> </w:t>
      </w:r>
      <w:r>
        <w:rPr>
          <w:w w:val="105"/>
        </w:rPr>
        <w:t>de</w:t>
      </w:r>
      <w:r>
        <w:rPr>
          <w:spacing w:val="-6"/>
          <w:w w:val="105"/>
        </w:rPr>
        <w:t> </w:t>
      </w:r>
      <w:r>
        <w:rPr>
          <w:w w:val="105"/>
        </w:rPr>
        <w:t>realizar</w:t>
      </w:r>
      <w:r>
        <w:rPr>
          <w:spacing w:val="-9"/>
          <w:w w:val="105"/>
        </w:rPr>
        <w:t> </w:t>
      </w:r>
      <w:r>
        <w:rPr>
          <w:w w:val="105"/>
        </w:rPr>
        <w:t>la</w:t>
      </w:r>
      <w:r>
        <w:rPr>
          <w:spacing w:val="-8"/>
          <w:w w:val="105"/>
        </w:rPr>
        <w:t> </w:t>
      </w:r>
      <w:r>
        <w:rPr>
          <w:w w:val="105"/>
        </w:rPr>
        <w:t>planificación</w:t>
      </w:r>
      <w:r>
        <w:rPr>
          <w:spacing w:val="-7"/>
          <w:w w:val="105"/>
        </w:rPr>
        <w:t> </w:t>
      </w:r>
      <w:r>
        <w:rPr>
          <w:w w:val="105"/>
        </w:rPr>
        <w:t>estratégica</w:t>
      </w:r>
      <w:r>
        <w:rPr>
          <w:spacing w:val="-6"/>
          <w:w w:val="105"/>
        </w:rPr>
        <w:t> </w:t>
      </w:r>
      <w:r>
        <w:rPr>
          <w:w w:val="105"/>
        </w:rPr>
        <w:t>es</w:t>
      </w:r>
      <w:r>
        <w:rPr>
          <w:spacing w:val="-7"/>
          <w:w w:val="105"/>
        </w:rPr>
        <w:t> </w:t>
      </w:r>
      <w:r>
        <w:rPr>
          <w:w w:val="105"/>
        </w:rPr>
        <w:t>distinta</w:t>
      </w:r>
      <w:r>
        <w:rPr>
          <w:spacing w:val="-8"/>
          <w:w w:val="105"/>
        </w:rPr>
        <w:t> </w:t>
      </w:r>
      <w:r>
        <w:rPr>
          <w:w w:val="105"/>
        </w:rPr>
        <w:t>a</w:t>
      </w:r>
      <w:r>
        <w:rPr>
          <w:spacing w:val="-6"/>
          <w:w w:val="105"/>
        </w:rPr>
        <w:t> </w:t>
      </w:r>
      <w:r>
        <w:rPr>
          <w:w w:val="105"/>
        </w:rPr>
        <w:t>la</w:t>
      </w:r>
      <w:r>
        <w:rPr>
          <w:spacing w:val="-8"/>
          <w:w w:val="105"/>
        </w:rPr>
        <w:t> </w:t>
      </w:r>
      <w:r>
        <w:rPr>
          <w:w w:val="105"/>
        </w:rPr>
        <w:t>de</w:t>
      </w:r>
      <w:r>
        <w:rPr>
          <w:spacing w:val="-8"/>
          <w:w w:val="105"/>
        </w:rPr>
        <w:t> </w:t>
      </w:r>
      <w:r>
        <w:rPr>
          <w:w w:val="105"/>
        </w:rPr>
        <w:t>los</w:t>
      </w:r>
      <w:r>
        <w:rPr>
          <w:spacing w:val="-6"/>
          <w:w w:val="105"/>
        </w:rPr>
        <w:t> </w:t>
      </w:r>
      <w:r>
        <w:rPr>
          <w:w w:val="105"/>
        </w:rPr>
        <w:t>departamentos de</w:t>
      </w:r>
      <w:r>
        <w:rPr>
          <w:spacing w:val="-10"/>
          <w:w w:val="105"/>
        </w:rPr>
        <w:t> </w:t>
      </w:r>
      <w:r>
        <w:rPr>
          <w:w w:val="105"/>
        </w:rPr>
        <w:t>la</w:t>
      </w:r>
      <w:r>
        <w:rPr>
          <w:spacing w:val="-6"/>
          <w:w w:val="105"/>
        </w:rPr>
        <w:t> </w:t>
      </w:r>
      <w:r>
        <w:rPr>
          <w:w w:val="105"/>
        </w:rPr>
        <w:t>Administración</w:t>
      </w:r>
      <w:r>
        <w:rPr>
          <w:spacing w:val="-10"/>
          <w:w w:val="105"/>
        </w:rPr>
        <w:t> </w:t>
      </w:r>
      <w:r>
        <w:rPr>
          <w:w w:val="105"/>
        </w:rPr>
        <w:t>de</w:t>
      </w:r>
      <w:r>
        <w:rPr>
          <w:spacing w:val="-6"/>
          <w:w w:val="105"/>
        </w:rPr>
        <w:t> </w:t>
      </w:r>
      <w:r>
        <w:rPr>
          <w:w w:val="105"/>
        </w:rPr>
        <w:t>la</w:t>
      </w:r>
      <w:r>
        <w:rPr>
          <w:spacing w:val="-8"/>
          <w:w w:val="105"/>
        </w:rPr>
        <w:t> </w:t>
      </w:r>
      <w:r>
        <w:rPr>
          <w:w w:val="105"/>
        </w:rPr>
        <w:t>Comunidad</w:t>
      </w:r>
      <w:r>
        <w:rPr>
          <w:spacing w:val="-6"/>
          <w:w w:val="105"/>
        </w:rPr>
        <w:t> </w:t>
      </w:r>
      <w:r>
        <w:rPr>
          <w:w w:val="105"/>
        </w:rPr>
        <w:t>Autónoma</w:t>
      </w:r>
      <w:r>
        <w:rPr>
          <w:spacing w:val="-10"/>
          <w:w w:val="105"/>
        </w:rPr>
        <w:t> </w:t>
      </w:r>
      <w:r>
        <w:rPr>
          <w:w w:val="105"/>
        </w:rPr>
        <w:t>de</w:t>
      </w:r>
      <w:r>
        <w:rPr>
          <w:spacing w:val="-6"/>
          <w:w w:val="105"/>
        </w:rPr>
        <w:t> </w:t>
      </w:r>
      <w:r>
        <w:rPr>
          <w:w w:val="105"/>
        </w:rPr>
        <w:t>Canarias.</w:t>
      </w:r>
      <w:r>
        <w:rPr>
          <w:spacing w:val="-9"/>
          <w:w w:val="105"/>
        </w:rPr>
        <w:t> </w:t>
      </w:r>
      <w:r>
        <w:rPr>
          <w:w w:val="105"/>
        </w:rPr>
        <w:t>Como</w:t>
      </w:r>
      <w:r>
        <w:rPr>
          <w:spacing w:val="-8"/>
          <w:w w:val="105"/>
        </w:rPr>
        <w:t> </w:t>
      </w:r>
      <w:r>
        <w:rPr>
          <w:w w:val="105"/>
        </w:rPr>
        <w:t>medios</w:t>
      </w:r>
      <w:r>
        <w:rPr>
          <w:spacing w:val="-9"/>
          <w:w w:val="105"/>
        </w:rPr>
        <w:t> </w:t>
      </w:r>
      <w:r>
        <w:rPr>
          <w:w w:val="105"/>
        </w:rPr>
        <w:t>propios de la Administración pública reciben de esta los encargos, que para ellas serán sus objetivos</w:t>
      </w:r>
      <w:r>
        <w:rPr>
          <w:spacing w:val="-8"/>
          <w:w w:val="105"/>
        </w:rPr>
        <w:t> </w:t>
      </w:r>
      <w:r>
        <w:rPr>
          <w:w w:val="105"/>
        </w:rPr>
        <w:t>y</w:t>
      </w:r>
      <w:r>
        <w:rPr>
          <w:spacing w:val="-6"/>
          <w:w w:val="105"/>
        </w:rPr>
        <w:t> </w:t>
      </w:r>
      <w:r>
        <w:rPr>
          <w:w w:val="105"/>
        </w:rPr>
        <w:t>en</w:t>
      </w:r>
      <w:r>
        <w:rPr>
          <w:spacing w:val="-7"/>
          <w:w w:val="105"/>
        </w:rPr>
        <w:t> </w:t>
      </w:r>
      <w:r>
        <w:rPr>
          <w:w w:val="105"/>
        </w:rPr>
        <w:t>base</w:t>
      </w:r>
      <w:r>
        <w:rPr>
          <w:spacing w:val="-7"/>
          <w:w w:val="105"/>
        </w:rPr>
        <w:t> </w:t>
      </w:r>
      <w:r>
        <w:rPr>
          <w:w w:val="105"/>
        </w:rPr>
        <w:t>a</w:t>
      </w:r>
      <w:r>
        <w:rPr>
          <w:spacing w:val="-5"/>
          <w:w w:val="105"/>
        </w:rPr>
        <w:t> </w:t>
      </w:r>
      <w:r>
        <w:rPr>
          <w:w w:val="105"/>
        </w:rPr>
        <w:t>éstos</w:t>
      </w:r>
      <w:r>
        <w:rPr>
          <w:spacing w:val="-7"/>
          <w:w w:val="105"/>
        </w:rPr>
        <w:t> </w:t>
      </w:r>
      <w:r>
        <w:rPr>
          <w:w w:val="105"/>
        </w:rPr>
        <w:t>deberán</w:t>
      </w:r>
      <w:r>
        <w:rPr>
          <w:spacing w:val="-4"/>
          <w:w w:val="105"/>
        </w:rPr>
        <w:t> </w:t>
      </w:r>
      <w:r>
        <w:rPr>
          <w:w w:val="105"/>
        </w:rPr>
        <w:t>planificar</w:t>
      </w:r>
      <w:r>
        <w:rPr>
          <w:spacing w:val="-6"/>
          <w:w w:val="105"/>
        </w:rPr>
        <w:t> </w:t>
      </w:r>
      <w:r>
        <w:rPr>
          <w:w w:val="105"/>
        </w:rPr>
        <w:t>como</w:t>
      </w:r>
      <w:r>
        <w:rPr>
          <w:spacing w:val="-8"/>
          <w:w w:val="105"/>
        </w:rPr>
        <w:t> </w:t>
      </w:r>
      <w:r>
        <w:rPr>
          <w:w w:val="105"/>
        </w:rPr>
        <w:t>llevarlos</w:t>
      </w:r>
      <w:r>
        <w:rPr>
          <w:spacing w:val="-6"/>
          <w:w w:val="105"/>
        </w:rPr>
        <w:t> </w:t>
      </w:r>
      <w:r>
        <w:rPr>
          <w:w w:val="105"/>
        </w:rPr>
        <w:t>a</w:t>
      </w:r>
      <w:r>
        <w:rPr>
          <w:spacing w:val="-5"/>
          <w:w w:val="105"/>
        </w:rPr>
        <w:t> </w:t>
      </w:r>
      <w:r>
        <w:rPr>
          <w:w w:val="105"/>
        </w:rPr>
        <w:t>cabo</w:t>
      </w:r>
      <w:r>
        <w:rPr>
          <w:spacing w:val="-8"/>
          <w:w w:val="105"/>
        </w:rPr>
        <w:t> </w:t>
      </w:r>
      <w:r>
        <w:rPr>
          <w:w w:val="105"/>
        </w:rPr>
        <w:t>de</w:t>
      </w:r>
      <w:r>
        <w:rPr>
          <w:spacing w:val="-3"/>
          <w:w w:val="105"/>
        </w:rPr>
        <w:t> </w:t>
      </w:r>
      <w:r>
        <w:rPr>
          <w:w w:val="105"/>
        </w:rPr>
        <w:t>la</w:t>
      </w:r>
      <w:r>
        <w:rPr>
          <w:spacing w:val="-8"/>
          <w:w w:val="105"/>
        </w:rPr>
        <w:t> </w:t>
      </w:r>
      <w:r>
        <w:rPr>
          <w:w w:val="105"/>
        </w:rPr>
        <w:t>forma</w:t>
      </w:r>
      <w:r>
        <w:rPr>
          <w:spacing w:val="-5"/>
          <w:w w:val="105"/>
        </w:rPr>
        <w:t> </w:t>
      </w:r>
      <w:r>
        <w:rPr>
          <w:w w:val="105"/>
        </w:rPr>
        <w:t>más eficaz y eficiente. Por tanto, entendemos que las empresas públicas deben de realizar su planificación estratégica según su naturaleza y normativa y que al</w:t>
      </w:r>
      <w:r>
        <w:rPr>
          <w:spacing w:val="-1"/>
          <w:w w:val="105"/>
        </w:rPr>
        <w:t> </w:t>
      </w:r>
      <w:r>
        <w:rPr>
          <w:w w:val="105"/>
        </w:rPr>
        <w:t>recibir</w:t>
      </w:r>
    </w:p>
    <w:p>
      <w:pPr>
        <w:pStyle w:val="BodyText"/>
        <w:spacing w:before="110"/>
        <w:ind w:left="2150" w:right="1340"/>
        <w:jc w:val="right"/>
      </w:pPr>
      <w:r>
        <w:rPr/>
        <w:t>230</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95" name="image5.png"/>
                  <wp:cNvGraphicFramePr>
                    <a:graphicFrameLocks noChangeAspect="1"/>
                  </wp:cNvGraphicFramePr>
                  <a:graphic>
                    <a:graphicData uri="http://schemas.openxmlformats.org/drawingml/2006/picture">
                      <pic:pic>
                        <pic:nvPicPr>
                          <pic:cNvPr id="49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232/247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52"/>
        <w:jc w:val="both"/>
      </w:pPr>
      <w:r>
        <w:rPr>
          <w:w w:val="105"/>
        </w:rPr>
        <w:t>sus encargos de la propia Administración pública, éstos ya deberán de estar alineados</w:t>
      </w:r>
      <w:r>
        <w:rPr>
          <w:spacing w:val="-8"/>
          <w:w w:val="105"/>
        </w:rPr>
        <w:t> </w:t>
      </w:r>
      <w:r>
        <w:rPr>
          <w:w w:val="105"/>
        </w:rPr>
        <w:t>con</w:t>
      </w:r>
      <w:r>
        <w:rPr>
          <w:spacing w:val="-10"/>
          <w:w w:val="105"/>
        </w:rPr>
        <w:t> </w:t>
      </w:r>
      <w:r>
        <w:rPr>
          <w:w w:val="105"/>
        </w:rPr>
        <w:t>los</w:t>
      </w:r>
      <w:r>
        <w:rPr>
          <w:spacing w:val="-8"/>
          <w:w w:val="105"/>
        </w:rPr>
        <w:t> </w:t>
      </w:r>
      <w:r>
        <w:rPr>
          <w:w w:val="105"/>
        </w:rPr>
        <w:t>objetivos</w:t>
      </w:r>
      <w:r>
        <w:rPr>
          <w:spacing w:val="-9"/>
          <w:w w:val="105"/>
        </w:rPr>
        <w:t> </w:t>
      </w:r>
      <w:r>
        <w:rPr>
          <w:w w:val="105"/>
        </w:rPr>
        <w:t>estratégicos</w:t>
      </w:r>
      <w:r>
        <w:rPr>
          <w:spacing w:val="-10"/>
          <w:w w:val="105"/>
        </w:rPr>
        <w:t> </w:t>
      </w:r>
      <w:r>
        <w:rPr>
          <w:w w:val="105"/>
        </w:rPr>
        <w:t>del</w:t>
      </w:r>
      <w:r>
        <w:rPr>
          <w:spacing w:val="-10"/>
          <w:w w:val="105"/>
        </w:rPr>
        <w:t> </w:t>
      </w:r>
      <w:r>
        <w:rPr>
          <w:w w:val="105"/>
        </w:rPr>
        <w:t>Gobierno</w:t>
      </w:r>
      <w:r>
        <w:rPr>
          <w:spacing w:val="-8"/>
          <w:w w:val="105"/>
        </w:rPr>
        <w:t> </w:t>
      </w:r>
      <w:r>
        <w:rPr>
          <w:w w:val="105"/>
        </w:rPr>
        <w:t>de</w:t>
      </w:r>
      <w:r>
        <w:rPr>
          <w:spacing w:val="-9"/>
          <w:w w:val="105"/>
        </w:rPr>
        <w:t> </w:t>
      </w:r>
      <w:r>
        <w:rPr>
          <w:w w:val="105"/>
        </w:rPr>
        <w:t>Canarias”.</w:t>
      </w:r>
      <w:r>
        <w:rPr>
          <w:spacing w:val="-9"/>
          <w:w w:val="105"/>
        </w:rPr>
        <w:t> </w:t>
      </w:r>
      <w:r>
        <w:rPr>
          <w:w w:val="105"/>
        </w:rPr>
        <w:t>Consecuencia</w:t>
      </w:r>
      <w:r>
        <w:rPr>
          <w:spacing w:val="-11"/>
          <w:w w:val="105"/>
        </w:rPr>
        <w:t> </w:t>
      </w:r>
      <w:r>
        <w:rPr>
          <w:w w:val="105"/>
        </w:rPr>
        <w:t>de ello, se adaptó el texto en el sentido de excluir del Proyecto de Decreto a las sociedades mercantiles públicas, fundaciones públicas y entidades públicas empresariales.</w:t>
      </w:r>
      <w:r>
        <w:rPr>
          <w:spacing w:val="-10"/>
          <w:w w:val="105"/>
        </w:rPr>
        <w:t> </w:t>
      </w:r>
      <w:r>
        <w:rPr>
          <w:w w:val="105"/>
        </w:rPr>
        <w:t>Se</w:t>
      </w:r>
      <w:r>
        <w:rPr>
          <w:spacing w:val="-9"/>
          <w:w w:val="105"/>
        </w:rPr>
        <w:t> </w:t>
      </w:r>
      <w:r>
        <w:rPr>
          <w:w w:val="105"/>
        </w:rPr>
        <w:t>alega,</w:t>
      </w:r>
      <w:r>
        <w:rPr>
          <w:spacing w:val="-9"/>
          <w:w w:val="105"/>
        </w:rPr>
        <w:t> </w:t>
      </w:r>
      <w:r>
        <w:rPr>
          <w:w w:val="105"/>
        </w:rPr>
        <w:t>por</w:t>
      </w:r>
      <w:r>
        <w:rPr>
          <w:spacing w:val="-12"/>
          <w:w w:val="105"/>
        </w:rPr>
        <w:t> </w:t>
      </w:r>
      <w:r>
        <w:rPr>
          <w:w w:val="105"/>
        </w:rPr>
        <w:t>último,</w:t>
      </w:r>
      <w:r>
        <w:rPr>
          <w:spacing w:val="-9"/>
          <w:w w:val="105"/>
        </w:rPr>
        <w:t> </w:t>
      </w:r>
      <w:r>
        <w:rPr>
          <w:w w:val="105"/>
        </w:rPr>
        <w:t>que</w:t>
      </w:r>
      <w:r>
        <w:rPr>
          <w:spacing w:val="-8"/>
          <w:w w:val="105"/>
        </w:rPr>
        <w:t> </w:t>
      </w:r>
      <w:r>
        <w:rPr>
          <w:w w:val="105"/>
        </w:rPr>
        <w:t>a</w:t>
      </w:r>
      <w:r>
        <w:rPr>
          <w:spacing w:val="-9"/>
          <w:w w:val="105"/>
        </w:rPr>
        <w:t> </w:t>
      </w:r>
      <w:r>
        <w:rPr>
          <w:w w:val="105"/>
        </w:rPr>
        <w:t>la</w:t>
      </w:r>
      <w:r>
        <w:rPr>
          <w:spacing w:val="-9"/>
          <w:w w:val="105"/>
        </w:rPr>
        <w:t> </w:t>
      </w:r>
      <w:r>
        <w:rPr>
          <w:w w:val="105"/>
        </w:rPr>
        <w:t>vista</w:t>
      </w:r>
      <w:r>
        <w:rPr>
          <w:spacing w:val="-11"/>
          <w:w w:val="105"/>
        </w:rPr>
        <w:t> </w:t>
      </w:r>
      <w:r>
        <w:rPr>
          <w:w w:val="105"/>
        </w:rPr>
        <w:t>de</w:t>
      </w:r>
      <w:r>
        <w:rPr>
          <w:spacing w:val="-9"/>
          <w:w w:val="105"/>
        </w:rPr>
        <w:t> </w:t>
      </w:r>
      <w:r>
        <w:rPr>
          <w:w w:val="105"/>
        </w:rPr>
        <w:t>las</w:t>
      </w:r>
      <w:r>
        <w:rPr>
          <w:spacing w:val="-9"/>
          <w:w w:val="105"/>
        </w:rPr>
        <w:t> </w:t>
      </w:r>
      <w:r>
        <w:rPr>
          <w:w w:val="105"/>
        </w:rPr>
        <w:t>recomendaciones</w:t>
      </w:r>
      <w:r>
        <w:rPr>
          <w:spacing w:val="-9"/>
          <w:w w:val="105"/>
        </w:rPr>
        <w:t> </w:t>
      </w:r>
      <w:r>
        <w:rPr>
          <w:w w:val="105"/>
        </w:rPr>
        <w:t>realizadas por esta Institución y tras su análisis por los departamentos competentes, se adoptarán las medidas y acciones que</w:t>
      </w:r>
      <w:r>
        <w:rPr>
          <w:spacing w:val="9"/>
          <w:w w:val="105"/>
        </w:rPr>
        <w:t> </w:t>
      </w:r>
      <w:r>
        <w:rPr>
          <w:w w:val="105"/>
        </w:rPr>
        <w:t>procedan.</w:t>
      </w:r>
    </w:p>
    <w:p>
      <w:pPr>
        <w:pStyle w:val="BodyText"/>
        <w:spacing w:before="6"/>
        <w:rPr>
          <w:sz w:val="17"/>
        </w:rPr>
      </w:pPr>
    </w:p>
    <w:p>
      <w:pPr>
        <w:pStyle w:val="BodyText"/>
        <w:spacing w:line="242" w:lineRule="auto"/>
        <w:ind w:left="2299" w:right="1350"/>
        <w:jc w:val="both"/>
      </w:pPr>
      <w:r>
        <w:rPr>
          <w:b/>
          <w:w w:val="105"/>
        </w:rPr>
        <w:t>Contestación</w:t>
      </w:r>
      <w:r>
        <w:rPr>
          <w:w w:val="105"/>
        </w:rPr>
        <w:t>: La Consejería de Presidencia, Administraciones Públicas, Justicia y Seguridad</w:t>
      </w:r>
      <w:r>
        <w:rPr>
          <w:spacing w:val="-7"/>
          <w:w w:val="105"/>
        </w:rPr>
        <w:t> </w:t>
      </w:r>
      <w:r>
        <w:rPr>
          <w:w w:val="105"/>
        </w:rPr>
        <w:t>explica</w:t>
      </w:r>
      <w:r>
        <w:rPr>
          <w:spacing w:val="-8"/>
          <w:w w:val="105"/>
        </w:rPr>
        <w:t> </w:t>
      </w:r>
      <w:r>
        <w:rPr>
          <w:w w:val="105"/>
        </w:rPr>
        <w:t>los</w:t>
      </w:r>
      <w:r>
        <w:rPr>
          <w:spacing w:val="-8"/>
          <w:w w:val="105"/>
        </w:rPr>
        <w:t> </w:t>
      </w:r>
      <w:r>
        <w:rPr>
          <w:w w:val="105"/>
        </w:rPr>
        <w:t>motivos</w:t>
      </w:r>
      <w:r>
        <w:rPr>
          <w:spacing w:val="-9"/>
          <w:w w:val="105"/>
        </w:rPr>
        <w:t> </w:t>
      </w:r>
      <w:r>
        <w:rPr>
          <w:w w:val="105"/>
        </w:rPr>
        <w:t>por</w:t>
      </w:r>
      <w:r>
        <w:rPr>
          <w:spacing w:val="-11"/>
          <w:w w:val="105"/>
        </w:rPr>
        <w:t> </w:t>
      </w:r>
      <w:r>
        <w:rPr>
          <w:w w:val="105"/>
        </w:rPr>
        <w:t>los</w:t>
      </w:r>
      <w:r>
        <w:rPr>
          <w:spacing w:val="-8"/>
          <w:w w:val="105"/>
        </w:rPr>
        <w:t> </w:t>
      </w:r>
      <w:r>
        <w:rPr>
          <w:w w:val="105"/>
        </w:rPr>
        <w:t>que,</w:t>
      </w:r>
      <w:r>
        <w:rPr>
          <w:spacing w:val="-9"/>
          <w:w w:val="105"/>
        </w:rPr>
        <w:t> </w:t>
      </w:r>
      <w:r>
        <w:rPr>
          <w:w w:val="105"/>
        </w:rPr>
        <w:t>tanto</w:t>
      </w:r>
      <w:r>
        <w:rPr>
          <w:spacing w:val="-10"/>
          <w:w w:val="105"/>
        </w:rPr>
        <w:t> </w:t>
      </w:r>
      <w:r>
        <w:rPr>
          <w:w w:val="105"/>
        </w:rPr>
        <w:t>las</w:t>
      </w:r>
      <w:r>
        <w:rPr>
          <w:spacing w:val="-7"/>
          <w:w w:val="105"/>
        </w:rPr>
        <w:t> </w:t>
      </w:r>
      <w:r>
        <w:rPr>
          <w:w w:val="105"/>
        </w:rPr>
        <w:t>sociedades</w:t>
      </w:r>
      <w:r>
        <w:rPr>
          <w:spacing w:val="-10"/>
          <w:w w:val="105"/>
        </w:rPr>
        <w:t> </w:t>
      </w:r>
      <w:r>
        <w:rPr>
          <w:w w:val="105"/>
        </w:rPr>
        <w:t>mercantiles</w:t>
      </w:r>
      <w:r>
        <w:rPr>
          <w:spacing w:val="-10"/>
          <w:w w:val="105"/>
        </w:rPr>
        <w:t> </w:t>
      </w:r>
      <w:r>
        <w:rPr>
          <w:w w:val="105"/>
        </w:rPr>
        <w:t>públicas, como las fundaciones públicas y entidades públicas empresariales quedaron fuera del ámbito de aplicación del Decreto 88/2023, de 25 de mayo. Sin embargo, en el artículo 2 del citado decreto, sí se incluyen las fundaciones públicas. Por otro lado, se alega que se tomará en consideración la recomendación dada por la</w:t>
      </w:r>
      <w:r>
        <w:rPr>
          <w:spacing w:val="1"/>
          <w:w w:val="105"/>
        </w:rPr>
        <w:t> </w:t>
      </w:r>
      <w:r>
        <w:rPr>
          <w:w w:val="105"/>
        </w:rPr>
        <w:t>ACC.</w:t>
      </w:r>
    </w:p>
    <w:p>
      <w:pPr>
        <w:pStyle w:val="BodyText"/>
        <w:spacing w:before="4"/>
        <w:rPr>
          <w:sz w:val="16"/>
        </w:rPr>
      </w:pPr>
    </w:p>
    <w:p>
      <w:pPr>
        <w:pStyle w:val="BodyText"/>
        <w:ind w:left="2299"/>
        <w:jc w:val="both"/>
      </w:pPr>
      <w:r>
        <w:rPr>
          <w:w w:val="105"/>
        </w:rPr>
        <w:t>Por tanto, no se modifica el contenido del Informe.</w:t>
      </w:r>
    </w:p>
    <w:p>
      <w:pPr>
        <w:pStyle w:val="BodyText"/>
      </w:pPr>
    </w:p>
    <w:p>
      <w:pPr>
        <w:pStyle w:val="BodyText"/>
      </w:pPr>
    </w:p>
    <w:p>
      <w:pPr>
        <w:pStyle w:val="Heading1"/>
        <w:spacing w:before="163"/>
        <w:ind w:left="2299" w:right="1345"/>
        <w:jc w:val="both"/>
      </w:pPr>
      <w:r>
        <w:rPr/>
        <w:t>ALEGACIONES FORMULADAS POR LA VICECONSEJERÍA DE HACIENDA Y RELACIONES CON LA UNIÓN EUROPEA</w:t>
      </w:r>
    </w:p>
    <w:p>
      <w:pPr>
        <w:pStyle w:val="BodyText"/>
        <w:spacing w:before="9"/>
        <w:rPr>
          <w:b/>
          <w:sz w:val="16"/>
        </w:rPr>
      </w:pPr>
    </w:p>
    <w:p>
      <w:pPr>
        <w:spacing w:line="242" w:lineRule="auto" w:before="0"/>
        <w:ind w:left="2299" w:right="1349" w:firstLine="0"/>
        <w:jc w:val="both"/>
        <w:rPr>
          <w:b/>
          <w:sz w:val="20"/>
        </w:rPr>
      </w:pPr>
      <w:r>
        <w:rPr>
          <w:b/>
          <w:sz w:val="20"/>
        </w:rPr>
        <w:t>Alegación 1: epígrafe 4.2 Administración Pública de la Comunidad Autónoma de Canarias, apartado 4.2.8 Liquidación del presupuesto de ingresos, subapartado 4.2.8.2, Liquidación de los recursos del sistema de financiación autonómico.</w:t>
      </w:r>
    </w:p>
    <w:p>
      <w:pPr>
        <w:pStyle w:val="BodyText"/>
        <w:spacing w:before="4"/>
        <w:rPr>
          <w:b/>
          <w:sz w:val="16"/>
        </w:rPr>
      </w:pPr>
    </w:p>
    <w:p>
      <w:pPr>
        <w:pStyle w:val="BodyText"/>
        <w:spacing w:line="242" w:lineRule="auto" w:before="1"/>
        <w:ind w:left="2299" w:right="1342"/>
        <w:jc w:val="both"/>
      </w:pPr>
      <w:r>
        <w:rPr>
          <w:b/>
        </w:rPr>
        <w:t>Resumen: </w:t>
      </w:r>
      <w:r>
        <w:rPr/>
        <w:t>en el Proyecto de Informe se recoge que los recursos del sistema de financiación autonómico suponen el 64 % de los derechos reconocidos netos de operaciones no financieras del ejercicio, lo que pone en valor la importancia de estos recursos en el presupuesto de ingresos.</w:t>
      </w:r>
    </w:p>
    <w:p>
      <w:pPr>
        <w:pStyle w:val="BodyText"/>
        <w:spacing w:before="5"/>
        <w:rPr>
          <w:sz w:val="16"/>
        </w:rPr>
      </w:pPr>
    </w:p>
    <w:p>
      <w:pPr>
        <w:pStyle w:val="BodyText"/>
        <w:spacing w:line="242" w:lineRule="auto"/>
        <w:ind w:left="2299" w:right="1339"/>
        <w:jc w:val="both"/>
      </w:pPr>
      <w:r>
        <w:rPr/>
        <w:t>Por dicha Viceconsejería se alega que, si bien los recursos del SFA asciende a 5.823,58 millones de euros tal y como se indica en el Proyecto de Informe, sería adecuado tener en cuenta los derechos reconocidos por ingresos no financieros consolidados de la CAC y sus entes dependientes, no solo los derechos reconocidos del ente CAC, toda vez que una parte significativa de las competencias asumidas por la CAC financiadas por el SFA se desempeñan por sus Organismos Autónomos y entes dependientes.</w:t>
      </w:r>
    </w:p>
    <w:p>
      <w:pPr>
        <w:pStyle w:val="BodyText"/>
        <w:spacing w:before="2"/>
        <w:rPr>
          <w:sz w:val="16"/>
        </w:rPr>
      </w:pPr>
    </w:p>
    <w:p>
      <w:pPr>
        <w:pStyle w:val="BodyText"/>
        <w:ind w:left="2299" w:right="1344"/>
        <w:jc w:val="both"/>
      </w:pPr>
      <w:r>
        <w:rPr/>
        <w:t>Se</w:t>
      </w:r>
      <w:r>
        <w:rPr>
          <w:spacing w:val="-9"/>
        </w:rPr>
        <w:t> </w:t>
      </w:r>
      <w:r>
        <w:rPr/>
        <w:t>alega</w:t>
      </w:r>
      <w:r>
        <w:rPr>
          <w:spacing w:val="-10"/>
        </w:rPr>
        <w:t> </w:t>
      </w:r>
      <w:r>
        <w:rPr/>
        <w:t>también</w:t>
      </w:r>
      <w:r>
        <w:rPr>
          <w:spacing w:val="-11"/>
        </w:rPr>
        <w:t> </w:t>
      </w:r>
      <w:r>
        <w:rPr/>
        <w:t>que</w:t>
      </w:r>
      <w:r>
        <w:rPr>
          <w:spacing w:val="-10"/>
        </w:rPr>
        <w:t> </w:t>
      </w:r>
      <w:r>
        <w:rPr/>
        <w:t>sería</w:t>
      </w:r>
      <w:r>
        <w:rPr>
          <w:spacing w:val="-9"/>
        </w:rPr>
        <w:t> </w:t>
      </w:r>
      <w:r>
        <w:rPr/>
        <w:t>un</w:t>
      </w:r>
      <w:r>
        <w:rPr>
          <w:spacing w:val="-10"/>
        </w:rPr>
        <w:t> </w:t>
      </w:r>
      <w:r>
        <w:rPr/>
        <w:t>buen</w:t>
      </w:r>
      <w:r>
        <w:rPr>
          <w:spacing w:val="-9"/>
        </w:rPr>
        <w:t> </w:t>
      </w:r>
      <w:r>
        <w:rPr/>
        <w:t>indicador</w:t>
      </w:r>
      <w:r>
        <w:rPr>
          <w:spacing w:val="-10"/>
        </w:rPr>
        <w:t> </w:t>
      </w:r>
      <w:r>
        <w:rPr/>
        <w:t>tener</w:t>
      </w:r>
      <w:r>
        <w:rPr>
          <w:spacing w:val="-9"/>
        </w:rPr>
        <w:t> </w:t>
      </w:r>
      <w:r>
        <w:rPr/>
        <w:t>en</w:t>
      </w:r>
      <w:r>
        <w:rPr>
          <w:spacing w:val="-10"/>
        </w:rPr>
        <w:t> </w:t>
      </w:r>
      <w:r>
        <w:rPr/>
        <w:t>cuenta</w:t>
      </w:r>
      <w:r>
        <w:rPr>
          <w:spacing w:val="-10"/>
        </w:rPr>
        <w:t> </w:t>
      </w:r>
      <w:r>
        <w:rPr/>
        <w:t>los</w:t>
      </w:r>
      <w:r>
        <w:rPr>
          <w:spacing w:val="-10"/>
        </w:rPr>
        <w:t> </w:t>
      </w:r>
      <w:r>
        <w:rPr/>
        <w:t>ingresos</w:t>
      </w:r>
      <w:r>
        <w:rPr>
          <w:spacing w:val="-10"/>
        </w:rPr>
        <w:t> </w:t>
      </w:r>
      <w:r>
        <w:rPr/>
        <w:t>no</w:t>
      </w:r>
      <w:r>
        <w:rPr>
          <w:spacing w:val="-11"/>
        </w:rPr>
        <w:t> </w:t>
      </w:r>
      <w:r>
        <w:rPr/>
        <w:t>financieros consolidados sin incluir la financiación afectada externa, con lo que los recursos del SFA suponen el 60 % de los derechos reconocidos netos consolidados por operaciones no financieras del ejercicio y el 75 % de los derechos reconocidos netos consolidados no afectados por operaciones no financieras del</w:t>
      </w:r>
      <w:r>
        <w:rPr>
          <w:spacing w:val="-4"/>
        </w:rPr>
        <w:t> </w:t>
      </w:r>
      <w:r>
        <w:rPr/>
        <w:t>ejercicio.</w:t>
      </w:r>
    </w:p>
    <w:p>
      <w:pPr>
        <w:pStyle w:val="BodyText"/>
        <w:spacing w:before="103"/>
        <w:ind w:left="8760" w:right="973"/>
        <w:jc w:val="center"/>
      </w:pPr>
      <w:r>
        <w:rPr/>
        <w:t>231</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97" name="image5.png"/>
                  <wp:cNvGraphicFramePr>
                    <a:graphicFrameLocks noChangeAspect="1"/>
                  </wp:cNvGraphicFramePr>
                  <a:graphic>
                    <a:graphicData uri="http://schemas.openxmlformats.org/drawingml/2006/picture">
                      <pic:pic>
                        <pic:nvPicPr>
                          <pic:cNvPr id="49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233/247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line="439" w:lineRule="auto" w:before="60"/>
        <w:ind w:left="2299" w:right="1602"/>
      </w:pPr>
      <w:r>
        <w:rPr>
          <w:b/>
        </w:rPr>
        <w:t>Contestación: </w:t>
      </w:r>
      <w:r>
        <w:rPr/>
        <w:t>La alegación no contradice lo contenido en el Proyecto de Informe. Por tanto, no se modifica el contenido del Informe.</w:t>
      </w:r>
    </w:p>
    <w:p>
      <w:pPr>
        <w:pStyle w:val="Heading1"/>
        <w:spacing w:before="2"/>
        <w:ind w:left="2299" w:right="1263"/>
        <w:jc w:val="left"/>
      </w:pPr>
      <w:r>
        <w:rPr/>
        <w:t>Alegación 2: Conclusión nº 47 y apartado 7.1. Estabilidad presupuestaria y Sostenibilidad Financiera.</w:t>
      </w:r>
    </w:p>
    <w:p>
      <w:pPr>
        <w:pStyle w:val="BodyText"/>
        <w:spacing w:before="9"/>
        <w:rPr>
          <w:b/>
          <w:sz w:val="16"/>
        </w:rPr>
      </w:pPr>
    </w:p>
    <w:p>
      <w:pPr>
        <w:pStyle w:val="BodyText"/>
        <w:spacing w:line="242" w:lineRule="auto"/>
        <w:ind w:left="2299" w:right="1340"/>
        <w:jc w:val="both"/>
      </w:pPr>
      <w:r>
        <w:rPr>
          <w:b/>
        </w:rPr>
        <w:t>Resumen: </w:t>
      </w:r>
      <w:r>
        <w:rPr/>
        <w:t>Se manifiesta que si bien los importes de estas magnitudes coinciden con los reflejados en el Informe avance sobre el seguimiento del objetivo de estabilidad presupuestaria y de deuda pública y de la regla de gasto del ejercicio 2022, 3 de mayo de 2023 elaborado por el Ministerio de Hacienda y Función Pública en previsión de lo establecido en el apartado tercero del artículo 17 de la Ley Orgánica 2/2012, de 27 de abril, de Estabilidad Presupuestaria y Sostenibilidad Financiera (LOEPSF), se considera oportuno hacer referencia a los nuevos valores actualizados de las citadas magnitudes considerando:</w:t>
      </w:r>
    </w:p>
    <w:p>
      <w:pPr>
        <w:pStyle w:val="BodyText"/>
        <w:spacing w:before="6"/>
        <w:rPr>
          <w:sz w:val="16"/>
        </w:rPr>
      </w:pPr>
    </w:p>
    <w:p>
      <w:pPr>
        <w:pStyle w:val="ListParagraph"/>
        <w:numPr>
          <w:ilvl w:val="0"/>
          <w:numId w:val="129"/>
        </w:numPr>
        <w:tabs>
          <w:tab w:pos="2537" w:val="left" w:leader="none"/>
        </w:tabs>
        <w:spacing w:line="247" w:lineRule="auto" w:before="0" w:after="0"/>
        <w:ind w:left="2536" w:right="1343" w:hanging="303"/>
        <w:jc w:val="both"/>
        <w:rPr>
          <w:sz w:val="18"/>
        </w:rPr>
      </w:pPr>
      <w:r>
        <w:rPr>
          <w:w w:val="105"/>
          <w:sz w:val="18"/>
        </w:rPr>
        <w:t>El</w:t>
      </w:r>
      <w:r>
        <w:rPr>
          <w:spacing w:val="-24"/>
          <w:w w:val="105"/>
          <w:sz w:val="18"/>
        </w:rPr>
        <w:t> </w:t>
      </w:r>
      <w:r>
        <w:rPr>
          <w:w w:val="105"/>
          <w:sz w:val="18"/>
        </w:rPr>
        <w:t>Informe</w:t>
      </w:r>
      <w:r>
        <w:rPr>
          <w:spacing w:val="-24"/>
          <w:w w:val="105"/>
          <w:sz w:val="18"/>
        </w:rPr>
        <w:t> </w:t>
      </w:r>
      <w:r>
        <w:rPr>
          <w:w w:val="105"/>
          <w:sz w:val="18"/>
        </w:rPr>
        <w:t>sobre</w:t>
      </w:r>
      <w:r>
        <w:rPr>
          <w:spacing w:val="-24"/>
          <w:w w:val="105"/>
          <w:sz w:val="18"/>
        </w:rPr>
        <w:t> </w:t>
      </w:r>
      <w:r>
        <w:rPr>
          <w:w w:val="105"/>
          <w:sz w:val="18"/>
        </w:rPr>
        <w:t>el</w:t>
      </w:r>
      <w:r>
        <w:rPr>
          <w:spacing w:val="-25"/>
          <w:w w:val="105"/>
          <w:sz w:val="18"/>
        </w:rPr>
        <w:t> </w:t>
      </w:r>
      <w:r>
        <w:rPr>
          <w:w w:val="105"/>
          <w:sz w:val="18"/>
        </w:rPr>
        <w:t>seguimiento</w:t>
      </w:r>
      <w:r>
        <w:rPr>
          <w:spacing w:val="-24"/>
          <w:w w:val="105"/>
          <w:sz w:val="18"/>
        </w:rPr>
        <w:t> </w:t>
      </w:r>
      <w:r>
        <w:rPr>
          <w:w w:val="105"/>
          <w:sz w:val="18"/>
        </w:rPr>
        <w:t>del</w:t>
      </w:r>
      <w:r>
        <w:rPr>
          <w:spacing w:val="-25"/>
          <w:w w:val="105"/>
          <w:sz w:val="18"/>
        </w:rPr>
        <w:t> </w:t>
      </w:r>
      <w:r>
        <w:rPr>
          <w:w w:val="105"/>
          <w:sz w:val="18"/>
        </w:rPr>
        <w:t>objetivo</w:t>
      </w:r>
      <w:r>
        <w:rPr>
          <w:spacing w:val="-24"/>
          <w:w w:val="105"/>
          <w:sz w:val="18"/>
        </w:rPr>
        <w:t> </w:t>
      </w:r>
      <w:r>
        <w:rPr>
          <w:w w:val="105"/>
          <w:sz w:val="18"/>
        </w:rPr>
        <w:t>de</w:t>
      </w:r>
      <w:r>
        <w:rPr>
          <w:spacing w:val="-25"/>
          <w:w w:val="105"/>
          <w:sz w:val="18"/>
        </w:rPr>
        <w:t> </w:t>
      </w:r>
      <w:r>
        <w:rPr>
          <w:w w:val="105"/>
          <w:sz w:val="18"/>
        </w:rPr>
        <w:t>estabilidad</w:t>
      </w:r>
      <w:r>
        <w:rPr>
          <w:spacing w:val="-24"/>
          <w:w w:val="105"/>
          <w:sz w:val="18"/>
        </w:rPr>
        <w:t> </w:t>
      </w:r>
      <w:r>
        <w:rPr>
          <w:w w:val="105"/>
          <w:sz w:val="18"/>
        </w:rPr>
        <w:t>presupuestaria</w:t>
      </w:r>
      <w:r>
        <w:rPr>
          <w:spacing w:val="-25"/>
          <w:w w:val="105"/>
          <w:sz w:val="18"/>
        </w:rPr>
        <w:t> </w:t>
      </w:r>
      <w:r>
        <w:rPr>
          <w:w w:val="105"/>
          <w:sz w:val="18"/>
        </w:rPr>
        <w:t>y</w:t>
      </w:r>
      <w:r>
        <w:rPr>
          <w:spacing w:val="-25"/>
          <w:w w:val="105"/>
          <w:sz w:val="18"/>
        </w:rPr>
        <w:t> </w:t>
      </w:r>
      <w:r>
        <w:rPr>
          <w:w w:val="105"/>
          <w:sz w:val="18"/>
        </w:rPr>
        <w:t>de</w:t>
      </w:r>
      <w:r>
        <w:rPr>
          <w:spacing w:val="-23"/>
          <w:w w:val="105"/>
          <w:sz w:val="18"/>
        </w:rPr>
        <w:t> </w:t>
      </w:r>
      <w:r>
        <w:rPr>
          <w:w w:val="105"/>
          <w:sz w:val="18"/>
        </w:rPr>
        <w:t>deuda</w:t>
      </w:r>
      <w:r>
        <w:rPr>
          <w:spacing w:val="-24"/>
          <w:w w:val="105"/>
          <w:sz w:val="18"/>
        </w:rPr>
        <w:t> </w:t>
      </w:r>
      <w:r>
        <w:rPr>
          <w:w w:val="105"/>
          <w:sz w:val="18"/>
        </w:rPr>
        <w:t>pública y</w:t>
      </w:r>
      <w:r>
        <w:rPr>
          <w:spacing w:val="-3"/>
          <w:w w:val="105"/>
          <w:sz w:val="18"/>
        </w:rPr>
        <w:t> </w:t>
      </w:r>
      <w:r>
        <w:rPr>
          <w:w w:val="105"/>
          <w:sz w:val="18"/>
        </w:rPr>
        <w:t>de</w:t>
      </w:r>
      <w:r>
        <w:rPr>
          <w:spacing w:val="-3"/>
          <w:w w:val="105"/>
          <w:sz w:val="18"/>
        </w:rPr>
        <w:t> </w:t>
      </w:r>
      <w:r>
        <w:rPr>
          <w:w w:val="105"/>
          <w:sz w:val="18"/>
        </w:rPr>
        <w:t>la</w:t>
      </w:r>
      <w:r>
        <w:rPr>
          <w:spacing w:val="-6"/>
          <w:w w:val="105"/>
          <w:sz w:val="18"/>
        </w:rPr>
        <w:t> </w:t>
      </w:r>
      <w:r>
        <w:rPr>
          <w:w w:val="105"/>
          <w:sz w:val="18"/>
        </w:rPr>
        <w:t>regla</w:t>
      </w:r>
      <w:r>
        <w:rPr>
          <w:spacing w:val="-3"/>
          <w:w w:val="105"/>
          <w:sz w:val="18"/>
        </w:rPr>
        <w:t> </w:t>
      </w:r>
      <w:r>
        <w:rPr>
          <w:w w:val="105"/>
          <w:sz w:val="18"/>
        </w:rPr>
        <w:t>de</w:t>
      </w:r>
      <w:r>
        <w:rPr>
          <w:spacing w:val="-3"/>
          <w:w w:val="105"/>
          <w:sz w:val="18"/>
        </w:rPr>
        <w:t> gasto</w:t>
      </w:r>
      <w:r>
        <w:rPr>
          <w:spacing w:val="-2"/>
          <w:w w:val="105"/>
          <w:sz w:val="18"/>
        </w:rPr>
        <w:t> </w:t>
      </w:r>
      <w:r>
        <w:rPr>
          <w:w w:val="105"/>
          <w:sz w:val="18"/>
        </w:rPr>
        <w:t>del</w:t>
      </w:r>
      <w:r>
        <w:rPr>
          <w:spacing w:val="-5"/>
          <w:w w:val="105"/>
          <w:sz w:val="18"/>
        </w:rPr>
        <w:t> </w:t>
      </w:r>
      <w:r>
        <w:rPr>
          <w:w w:val="105"/>
          <w:sz w:val="18"/>
        </w:rPr>
        <w:t>ejercicio</w:t>
      </w:r>
      <w:r>
        <w:rPr>
          <w:spacing w:val="-3"/>
          <w:w w:val="105"/>
          <w:sz w:val="18"/>
        </w:rPr>
        <w:t> </w:t>
      </w:r>
      <w:r>
        <w:rPr>
          <w:w w:val="105"/>
          <w:sz w:val="18"/>
        </w:rPr>
        <w:t>2022,</w:t>
      </w:r>
      <w:r>
        <w:rPr>
          <w:spacing w:val="-5"/>
          <w:w w:val="105"/>
          <w:sz w:val="18"/>
        </w:rPr>
        <w:t> </w:t>
      </w:r>
      <w:r>
        <w:rPr>
          <w:w w:val="105"/>
          <w:sz w:val="18"/>
        </w:rPr>
        <w:t>de</w:t>
      </w:r>
      <w:r>
        <w:rPr>
          <w:spacing w:val="-5"/>
          <w:w w:val="105"/>
          <w:sz w:val="18"/>
        </w:rPr>
        <w:t> </w:t>
      </w:r>
      <w:r>
        <w:rPr>
          <w:w w:val="105"/>
          <w:sz w:val="18"/>
        </w:rPr>
        <w:t>31</w:t>
      </w:r>
      <w:r>
        <w:rPr>
          <w:spacing w:val="-3"/>
          <w:w w:val="105"/>
          <w:sz w:val="18"/>
        </w:rPr>
        <w:t> </w:t>
      </w:r>
      <w:r>
        <w:rPr>
          <w:w w:val="105"/>
          <w:sz w:val="18"/>
        </w:rPr>
        <w:t>de</w:t>
      </w:r>
      <w:r>
        <w:rPr>
          <w:spacing w:val="-4"/>
          <w:w w:val="105"/>
          <w:sz w:val="18"/>
        </w:rPr>
        <w:t> </w:t>
      </w:r>
      <w:r>
        <w:rPr>
          <w:w w:val="105"/>
          <w:sz w:val="18"/>
        </w:rPr>
        <w:t>octubre</w:t>
      </w:r>
      <w:r>
        <w:rPr>
          <w:spacing w:val="-3"/>
          <w:w w:val="105"/>
          <w:sz w:val="18"/>
        </w:rPr>
        <w:t> </w:t>
      </w:r>
      <w:r>
        <w:rPr>
          <w:w w:val="105"/>
          <w:sz w:val="18"/>
        </w:rPr>
        <w:t>de</w:t>
      </w:r>
      <w:r>
        <w:rPr>
          <w:spacing w:val="-4"/>
          <w:w w:val="105"/>
          <w:sz w:val="18"/>
        </w:rPr>
        <w:t> </w:t>
      </w:r>
      <w:r>
        <w:rPr>
          <w:w w:val="105"/>
          <w:sz w:val="18"/>
        </w:rPr>
        <w:t>2023</w:t>
      </w:r>
    </w:p>
    <w:p>
      <w:pPr>
        <w:pStyle w:val="ListParagraph"/>
        <w:numPr>
          <w:ilvl w:val="0"/>
          <w:numId w:val="129"/>
        </w:numPr>
        <w:tabs>
          <w:tab w:pos="2537" w:val="left" w:leader="none"/>
        </w:tabs>
        <w:spacing w:line="244" w:lineRule="auto" w:before="0" w:after="0"/>
        <w:ind w:left="2536" w:right="1344" w:hanging="303"/>
        <w:jc w:val="both"/>
        <w:rPr>
          <w:sz w:val="18"/>
        </w:rPr>
      </w:pPr>
      <w:r>
        <w:rPr>
          <w:w w:val="105"/>
          <w:sz w:val="18"/>
        </w:rPr>
        <w:t>La</w:t>
      </w:r>
      <w:r>
        <w:rPr>
          <w:spacing w:val="-4"/>
          <w:w w:val="105"/>
          <w:sz w:val="18"/>
        </w:rPr>
        <w:t> </w:t>
      </w:r>
      <w:r>
        <w:rPr>
          <w:w w:val="105"/>
          <w:sz w:val="18"/>
        </w:rPr>
        <w:t>última</w:t>
      </w:r>
      <w:r>
        <w:rPr>
          <w:spacing w:val="-3"/>
          <w:w w:val="105"/>
          <w:sz w:val="18"/>
        </w:rPr>
        <w:t> </w:t>
      </w:r>
      <w:r>
        <w:rPr>
          <w:w w:val="105"/>
          <w:sz w:val="18"/>
        </w:rPr>
        <w:t>actualización</w:t>
      </w:r>
      <w:r>
        <w:rPr>
          <w:spacing w:val="-5"/>
          <w:w w:val="105"/>
          <w:sz w:val="18"/>
        </w:rPr>
        <w:t> </w:t>
      </w:r>
      <w:r>
        <w:rPr>
          <w:w w:val="105"/>
          <w:sz w:val="18"/>
        </w:rPr>
        <w:t>de</w:t>
      </w:r>
      <w:r>
        <w:rPr>
          <w:spacing w:val="-5"/>
          <w:w w:val="105"/>
          <w:sz w:val="18"/>
        </w:rPr>
        <w:t> </w:t>
      </w:r>
      <w:r>
        <w:rPr>
          <w:w w:val="105"/>
          <w:sz w:val="18"/>
        </w:rPr>
        <w:t>la</w:t>
      </w:r>
      <w:r>
        <w:rPr>
          <w:spacing w:val="-3"/>
          <w:w w:val="105"/>
          <w:sz w:val="18"/>
        </w:rPr>
        <w:t> </w:t>
      </w:r>
      <w:r>
        <w:rPr>
          <w:w w:val="105"/>
          <w:sz w:val="18"/>
        </w:rPr>
        <w:t>IGAE</w:t>
      </w:r>
      <w:r>
        <w:rPr>
          <w:spacing w:val="-4"/>
          <w:w w:val="105"/>
          <w:sz w:val="18"/>
        </w:rPr>
        <w:t> </w:t>
      </w:r>
      <w:r>
        <w:rPr>
          <w:w w:val="105"/>
          <w:sz w:val="18"/>
        </w:rPr>
        <w:t>de</w:t>
      </w:r>
      <w:r>
        <w:rPr>
          <w:spacing w:val="-4"/>
          <w:w w:val="105"/>
          <w:sz w:val="18"/>
        </w:rPr>
        <w:t> </w:t>
      </w:r>
      <w:r>
        <w:rPr>
          <w:w w:val="105"/>
          <w:sz w:val="18"/>
        </w:rPr>
        <w:t>29/09/2023</w:t>
      </w:r>
      <w:r>
        <w:rPr>
          <w:spacing w:val="-5"/>
          <w:w w:val="105"/>
          <w:sz w:val="18"/>
        </w:rPr>
        <w:t> </w:t>
      </w:r>
      <w:r>
        <w:rPr>
          <w:w w:val="105"/>
          <w:sz w:val="18"/>
        </w:rPr>
        <w:t>relativa</w:t>
      </w:r>
      <w:r>
        <w:rPr>
          <w:spacing w:val="-3"/>
          <w:w w:val="105"/>
          <w:sz w:val="18"/>
        </w:rPr>
        <w:t> </w:t>
      </w:r>
      <w:r>
        <w:rPr>
          <w:w w:val="105"/>
          <w:sz w:val="18"/>
        </w:rPr>
        <w:t>a</w:t>
      </w:r>
      <w:r>
        <w:rPr>
          <w:spacing w:val="-4"/>
          <w:w w:val="105"/>
          <w:sz w:val="18"/>
        </w:rPr>
        <w:t> </w:t>
      </w:r>
      <w:r>
        <w:rPr>
          <w:w w:val="105"/>
          <w:sz w:val="18"/>
        </w:rPr>
        <w:t>Operaciones</w:t>
      </w:r>
      <w:r>
        <w:rPr>
          <w:spacing w:val="-3"/>
          <w:w w:val="105"/>
          <w:sz w:val="18"/>
        </w:rPr>
        <w:t> </w:t>
      </w:r>
      <w:r>
        <w:rPr>
          <w:w w:val="105"/>
          <w:sz w:val="18"/>
        </w:rPr>
        <w:t>no</w:t>
      </w:r>
      <w:r>
        <w:rPr>
          <w:spacing w:val="-3"/>
          <w:w w:val="105"/>
          <w:sz w:val="18"/>
        </w:rPr>
        <w:t> </w:t>
      </w:r>
      <w:r>
        <w:rPr>
          <w:w w:val="105"/>
          <w:sz w:val="18"/>
        </w:rPr>
        <w:t>financieras</w:t>
      </w:r>
      <w:r>
        <w:rPr>
          <w:spacing w:val="-3"/>
          <w:w w:val="105"/>
          <w:sz w:val="18"/>
        </w:rPr>
        <w:t> </w:t>
      </w:r>
      <w:r>
        <w:rPr>
          <w:w w:val="105"/>
          <w:sz w:val="18"/>
        </w:rPr>
        <w:t>del año</w:t>
      </w:r>
      <w:r>
        <w:rPr>
          <w:spacing w:val="-12"/>
          <w:w w:val="105"/>
          <w:sz w:val="18"/>
        </w:rPr>
        <w:t> </w:t>
      </w:r>
      <w:r>
        <w:rPr>
          <w:w w:val="105"/>
          <w:sz w:val="18"/>
        </w:rPr>
        <w:t>2022,</w:t>
      </w:r>
      <w:r>
        <w:rPr>
          <w:spacing w:val="-13"/>
          <w:w w:val="105"/>
          <w:sz w:val="18"/>
        </w:rPr>
        <w:t> </w:t>
      </w:r>
      <w:r>
        <w:rPr>
          <w:w w:val="105"/>
          <w:sz w:val="18"/>
        </w:rPr>
        <w:t>en</w:t>
      </w:r>
      <w:r>
        <w:rPr>
          <w:spacing w:val="-13"/>
          <w:w w:val="105"/>
          <w:sz w:val="18"/>
        </w:rPr>
        <w:t> </w:t>
      </w:r>
      <w:r>
        <w:rPr>
          <w:w w:val="105"/>
          <w:sz w:val="18"/>
        </w:rPr>
        <w:t>términos</w:t>
      </w:r>
      <w:r>
        <w:rPr>
          <w:spacing w:val="-12"/>
          <w:w w:val="105"/>
          <w:sz w:val="18"/>
        </w:rPr>
        <w:t> </w:t>
      </w:r>
      <w:r>
        <w:rPr>
          <w:w w:val="105"/>
          <w:sz w:val="18"/>
        </w:rPr>
        <w:t>de</w:t>
      </w:r>
      <w:r>
        <w:rPr>
          <w:spacing w:val="-13"/>
          <w:w w:val="105"/>
          <w:sz w:val="18"/>
        </w:rPr>
        <w:t> </w:t>
      </w:r>
      <w:r>
        <w:rPr>
          <w:w w:val="105"/>
          <w:sz w:val="18"/>
        </w:rPr>
        <w:t>contabilidad</w:t>
      </w:r>
      <w:r>
        <w:rPr>
          <w:spacing w:val="-13"/>
          <w:w w:val="105"/>
          <w:sz w:val="18"/>
        </w:rPr>
        <w:t> </w:t>
      </w:r>
      <w:r>
        <w:rPr>
          <w:w w:val="105"/>
          <w:sz w:val="18"/>
        </w:rPr>
        <w:t>nacional</w:t>
      </w:r>
      <w:r>
        <w:rPr>
          <w:spacing w:val="-13"/>
          <w:w w:val="105"/>
          <w:sz w:val="18"/>
        </w:rPr>
        <w:t> </w:t>
      </w:r>
      <w:r>
        <w:rPr>
          <w:w w:val="105"/>
          <w:sz w:val="18"/>
        </w:rPr>
        <w:t>(SEC</w:t>
      </w:r>
      <w:r>
        <w:rPr>
          <w:spacing w:val="-12"/>
          <w:w w:val="105"/>
          <w:sz w:val="18"/>
        </w:rPr>
        <w:t> </w:t>
      </w:r>
      <w:r>
        <w:rPr>
          <w:w w:val="105"/>
          <w:sz w:val="18"/>
        </w:rPr>
        <w:t>2010),</w:t>
      </w:r>
      <w:r>
        <w:rPr>
          <w:spacing w:val="-13"/>
          <w:w w:val="105"/>
          <w:sz w:val="18"/>
        </w:rPr>
        <w:t> </w:t>
      </w:r>
      <w:r>
        <w:rPr>
          <w:w w:val="105"/>
          <w:sz w:val="18"/>
        </w:rPr>
        <w:t>Revisión</w:t>
      </w:r>
      <w:r>
        <w:rPr>
          <w:spacing w:val="-13"/>
          <w:w w:val="105"/>
          <w:sz w:val="18"/>
        </w:rPr>
        <w:t> </w:t>
      </w:r>
      <w:r>
        <w:rPr>
          <w:w w:val="105"/>
          <w:sz w:val="18"/>
        </w:rPr>
        <w:t>Estadística</w:t>
      </w:r>
      <w:r>
        <w:rPr>
          <w:spacing w:val="-14"/>
          <w:w w:val="105"/>
          <w:sz w:val="18"/>
        </w:rPr>
        <w:t> </w:t>
      </w:r>
      <w:r>
        <w:rPr>
          <w:w w:val="105"/>
          <w:sz w:val="18"/>
        </w:rPr>
        <w:t>2019,</w:t>
      </w:r>
      <w:r>
        <w:rPr>
          <w:spacing w:val="-13"/>
          <w:w w:val="105"/>
          <w:sz w:val="18"/>
        </w:rPr>
        <w:t> </w:t>
      </w:r>
      <w:r>
        <w:rPr>
          <w:w w:val="105"/>
          <w:sz w:val="18"/>
        </w:rPr>
        <w:t>De</w:t>
      </w:r>
      <w:r>
        <w:rPr>
          <w:spacing w:val="-12"/>
          <w:w w:val="105"/>
          <w:sz w:val="18"/>
        </w:rPr>
        <w:t> </w:t>
      </w:r>
      <w:r>
        <w:rPr>
          <w:w w:val="105"/>
          <w:sz w:val="18"/>
        </w:rPr>
        <w:t>La Administración Regional (S.1312) y de la CAC en</w:t>
      </w:r>
      <w:r>
        <w:rPr>
          <w:spacing w:val="-27"/>
          <w:w w:val="105"/>
          <w:sz w:val="18"/>
        </w:rPr>
        <w:t> </w:t>
      </w:r>
      <w:r>
        <w:rPr>
          <w:spacing w:val="-3"/>
          <w:w w:val="105"/>
          <w:sz w:val="18"/>
        </w:rPr>
        <w:t>particular.</w:t>
      </w:r>
    </w:p>
    <w:p>
      <w:pPr>
        <w:pStyle w:val="ListParagraph"/>
        <w:numPr>
          <w:ilvl w:val="0"/>
          <w:numId w:val="129"/>
        </w:numPr>
        <w:tabs>
          <w:tab w:pos="2537" w:val="left" w:leader="none"/>
        </w:tabs>
        <w:spacing w:line="247" w:lineRule="auto" w:before="1" w:after="0"/>
        <w:ind w:left="2536" w:right="1343" w:hanging="303"/>
        <w:jc w:val="both"/>
        <w:rPr>
          <w:sz w:val="18"/>
        </w:rPr>
      </w:pPr>
      <w:r>
        <w:rPr>
          <w:w w:val="105"/>
          <w:sz w:val="18"/>
        </w:rPr>
        <w:t>La deuda según el Protocolo de Déficit Excesivo (PDE) por Comunidades Autónomas actualizada en el Boletín Estadístico del Banco de</w:t>
      </w:r>
      <w:r>
        <w:rPr>
          <w:spacing w:val="-28"/>
          <w:w w:val="105"/>
          <w:sz w:val="18"/>
        </w:rPr>
        <w:t> </w:t>
      </w:r>
      <w:r>
        <w:rPr>
          <w:w w:val="105"/>
          <w:sz w:val="18"/>
        </w:rPr>
        <w:t>España.</w:t>
      </w:r>
    </w:p>
    <w:p>
      <w:pPr>
        <w:pStyle w:val="BodyText"/>
        <w:spacing w:before="2"/>
        <w:rPr>
          <w:sz w:val="16"/>
        </w:rPr>
      </w:pPr>
    </w:p>
    <w:p>
      <w:pPr>
        <w:pStyle w:val="BodyText"/>
        <w:spacing w:before="1"/>
        <w:ind w:left="2299" w:right="1342"/>
        <w:jc w:val="both"/>
      </w:pPr>
      <w:r>
        <w:rPr/>
        <w:t>Se añade que, si bien en el Proyecto de Informe Fiscalización de la Cuenta General de la CAC</w:t>
      </w:r>
      <w:r>
        <w:rPr>
          <w:spacing w:val="-6"/>
        </w:rPr>
        <w:t> </w:t>
      </w:r>
      <w:r>
        <w:rPr/>
        <w:t>de</w:t>
      </w:r>
      <w:r>
        <w:rPr>
          <w:spacing w:val="-4"/>
        </w:rPr>
        <w:t> </w:t>
      </w:r>
      <w:r>
        <w:rPr/>
        <w:t>2022</w:t>
      </w:r>
      <w:r>
        <w:rPr>
          <w:spacing w:val="-5"/>
        </w:rPr>
        <w:t> </w:t>
      </w:r>
      <w:r>
        <w:rPr/>
        <w:t>que</w:t>
      </w:r>
      <w:r>
        <w:rPr>
          <w:spacing w:val="-6"/>
        </w:rPr>
        <w:t> </w:t>
      </w:r>
      <w:r>
        <w:rPr/>
        <w:t>nos</w:t>
      </w:r>
      <w:r>
        <w:rPr>
          <w:spacing w:val="-6"/>
        </w:rPr>
        <w:t> </w:t>
      </w:r>
      <w:r>
        <w:rPr/>
        <w:t>ocupa</w:t>
      </w:r>
      <w:r>
        <w:rPr>
          <w:spacing w:val="-4"/>
        </w:rPr>
        <w:t> </w:t>
      </w:r>
      <w:r>
        <w:rPr/>
        <w:t>se</w:t>
      </w:r>
      <w:r>
        <w:rPr>
          <w:spacing w:val="-6"/>
        </w:rPr>
        <w:t> </w:t>
      </w:r>
      <w:r>
        <w:rPr/>
        <w:t>hace</w:t>
      </w:r>
      <w:r>
        <w:rPr>
          <w:spacing w:val="-6"/>
        </w:rPr>
        <w:t> </w:t>
      </w:r>
      <w:r>
        <w:rPr/>
        <w:t>referencia</w:t>
      </w:r>
      <w:r>
        <w:rPr>
          <w:spacing w:val="-4"/>
        </w:rPr>
        <w:t> </w:t>
      </w:r>
      <w:r>
        <w:rPr/>
        <w:t>a</w:t>
      </w:r>
      <w:r>
        <w:rPr>
          <w:spacing w:val="-6"/>
        </w:rPr>
        <w:t> </w:t>
      </w:r>
      <w:r>
        <w:rPr>
          <w:spacing w:val="-3"/>
        </w:rPr>
        <w:t>este</w:t>
      </w:r>
      <w:r>
        <w:rPr>
          <w:spacing w:val="-4"/>
        </w:rPr>
        <w:t> </w:t>
      </w:r>
      <w:r>
        <w:rPr/>
        <w:t>último</w:t>
      </w:r>
      <w:r>
        <w:rPr>
          <w:spacing w:val="-6"/>
        </w:rPr>
        <w:t> </w:t>
      </w:r>
      <w:r>
        <w:rPr/>
        <w:t>importe</w:t>
      </w:r>
      <w:r>
        <w:rPr>
          <w:spacing w:val="-4"/>
        </w:rPr>
        <w:t> </w:t>
      </w:r>
      <w:r>
        <w:rPr/>
        <w:t>de</w:t>
      </w:r>
      <w:r>
        <w:rPr>
          <w:spacing w:val="-6"/>
        </w:rPr>
        <w:t> </w:t>
      </w:r>
      <w:r>
        <w:rPr/>
        <w:t>deuda,</w:t>
      </w:r>
      <w:r>
        <w:rPr>
          <w:spacing w:val="-6"/>
        </w:rPr>
        <w:t> </w:t>
      </w:r>
      <w:r>
        <w:rPr/>
        <w:t>de</w:t>
      </w:r>
      <w:r>
        <w:rPr>
          <w:spacing w:val="-6"/>
        </w:rPr>
        <w:t> </w:t>
      </w:r>
      <w:r>
        <w:rPr/>
        <w:t>6.474 millones de €, se echa en falta la actualización de las magnitudes de déficit registrado por la CAC en términos de contabilidad nacional, así como de la tasa de variación del gasto computable.</w:t>
      </w:r>
    </w:p>
    <w:p>
      <w:pPr>
        <w:pStyle w:val="BodyText"/>
        <w:spacing w:before="2"/>
        <w:rPr>
          <w:sz w:val="17"/>
        </w:rPr>
      </w:pPr>
    </w:p>
    <w:p>
      <w:pPr>
        <w:pStyle w:val="BodyText"/>
        <w:spacing w:line="242" w:lineRule="auto"/>
        <w:ind w:left="2299" w:right="1344"/>
        <w:jc w:val="both"/>
      </w:pPr>
      <w:r>
        <w:rPr>
          <w:b/>
        </w:rPr>
        <w:t>Contestación: </w:t>
      </w:r>
      <w:r>
        <w:rPr/>
        <w:t>Dado que el trabajo de campo finalizó el 15 de octubre, imposibilitó incorporar al Informe los últimos datos emitidos por la IGAE sobre el seguimiento del objetivo de estabilidad presupuestaria y de deuda pública y de la regla de gasto del ejercicio 2022, emitido el 31 de octubre de 2023.</w:t>
      </w:r>
    </w:p>
    <w:p>
      <w:pPr>
        <w:pStyle w:val="BodyText"/>
        <w:spacing w:before="5"/>
        <w:rPr>
          <w:sz w:val="16"/>
        </w:rPr>
      </w:pPr>
    </w:p>
    <w:p>
      <w:pPr>
        <w:pStyle w:val="BodyText"/>
        <w:spacing w:line="242" w:lineRule="auto"/>
        <w:ind w:left="2299" w:right="1346"/>
        <w:jc w:val="both"/>
      </w:pPr>
      <w:r>
        <w:rPr/>
        <w:t>Se procede a actualizar los datos correspondientes, ya realizada en la alegación de la Intervención General, referida al epígrafe 7.1 y conclusión 47.</w:t>
      </w:r>
    </w:p>
    <w:p>
      <w:pPr>
        <w:pStyle w:val="BodyText"/>
        <w:spacing w:before="5"/>
        <w:rPr>
          <w:sz w:val="16"/>
        </w:rPr>
      </w:pPr>
    </w:p>
    <w:p>
      <w:pPr>
        <w:pStyle w:val="Heading1"/>
        <w:ind w:left="2299"/>
        <w:jc w:val="both"/>
      </w:pPr>
      <w:r>
        <w:rPr/>
        <w:t>Alegación 3: Sobre el subapartado 7.5 “Activos financieros a Largo Plazo”</w:t>
      </w:r>
    </w:p>
    <w:p>
      <w:pPr>
        <w:pStyle w:val="BodyText"/>
        <w:spacing w:before="8"/>
        <w:rPr>
          <w:b/>
          <w:sz w:val="16"/>
        </w:rPr>
      </w:pPr>
    </w:p>
    <w:p>
      <w:pPr>
        <w:pStyle w:val="BodyText"/>
        <w:ind w:left="2299" w:right="1346"/>
        <w:jc w:val="both"/>
      </w:pPr>
      <w:r>
        <w:rPr>
          <w:b/>
        </w:rPr>
        <w:t>Resumen: </w:t>
      </w:r>
      <w:r>
        <w:rPr/>
        <w:t>Indican el saldo vivo a corto plazo (963.893,6 euros a devolver en 2023) de la deuda de los Cabildos Insulares, derivado del saldo negativo de la liquidación definitiva de las competencias transferidas y delegadas para los ejercicios 2008 y 2009.</w:t>
      </w:r>
    </w:p>
    <w:p>
      <w:pPr>
        <w:pStyle w:val="BodyText"/>
        <w:spacing w:before="7"/>
        <w:rPr>
          <w:sz w:val="18"/>
        </w:rPr>
      </w:pPr>
    </w:p>
    <w:p>
      <w:pPr>
        <w:pStyle w:val="BodyText"/>
        <w:spacing w:before="61"/>
        <w:ind w:left="8760" w:right="973"/>
        <w:jc w:val="center"/>
      </w:pPr>
      <w:r>
        <w:rPr/>
        <w:t>232</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499" name="image5.png"/>
                  <wp:cNvGraphicFramePr>
                    <a:graphicFrameLocks noChangeAspect="1"/>
                  </wp:cNvGraphicFramePr>
                  <a:graphic>
                    <a:graphicData uri="http://schemas.openxmlformats.org/drawingml/2006/picture">
                      <pic:pic>
                        <pic:nvPicPr>
                          <pic:cNvPr id="50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234/247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47"/>
        <w:jc w:val="both"/>
      </w:pPr>
      <w:r>
        <w:rPr>
          <w:b/>
        </w:rPr>
        <w:t>Contestación: </w:t>
      </w:r>
      <w:r>
        <w:rPr/>
        <w:t>No puede incorporarse al informe, pues lo que se analiza, tal y como se recoge en el título es el saldo a largo plazo (8.675.042 euros)</w:t>
      </w:r>
    </w:p>
    <w:p>
      <w:pPr>
        <w:pStyle w:val="BodyText"/>
        <w:spacing w:before="10"/>
        <w:rPr>
          <w:sz w:val="16"/>
        </w:rPr>
      </w:pPr>
    </w:p>
    <w:p>
      <w:pPr>
        <w:pStyle w:val="BodyText"/>
        <w:ind w:left="2299"/>
        <w:jc w:val="both"/>
      </w:pPr>
      <w:r>
        <w:rPr/>
        <w:t>Por tanto, no modifica el proyecto de informe.</w:t>
      </w:r>
    </w:p>
    <w:p>
      <w:pPr>
        <w:pStyle w:val="BodyText"/>
        <w:spacing w:before="8"/>
        <w:rPr>
          <w:sz w:val="16"/>
        </w:rPr>
      </w:pPr>
    </w:p>
    <w:p>
      <w:pPr>
        <w:pStyle w:val="Heading1"/>
        <w:ind w:left="2299"/>
        <w:jc w:val="both"/>
      </w:pPr>
      <w:r>
        <w:rPr/>
        <w:t>Alegación 4: sobre el subapartado 7.6 “Convenio de Carreteras” (1).</w:t>
      </w:r>
    </w:p>
    <w:p>
      <w:pPr>
        <w:pStyle w:val="BodyText"/>
        <w:spacing w:before="8"/>
        <w:rPr>
          <w:b/>
          <w:sz w:val="16"/>
        </w:rPr>
      </w:pPr>
    </w:p>
    <w:p>
      <w:pPr>
        <w:pStyle w:val="BodyText"/>
        <w:ind w:left="2299" w:right="1342"/>
        <w:jc w:val="both"/>
      </w:pPr>
      <w:r>
        <w:rPr>
          <w:b/>
        </w:rPr>
        <w:t>Resumen: </w:t>
      </w:r>
      <w:r>
        <w:rPr/>
        <w:t>Hace referencia al incremento del saldo de la cuenta 413 (Acreedores por operaciones</w:t>
      </w:r>
      <w:r>
        <w:rPr>
          <w:spacing w:val="-5"/>
        </w:rPr>
        <w:t> </w:t>
      </w:r>
      <w:r>
        <w:rPr/>
        <w:t>pendientes</w:t>
      </w:r>
      <w:r>
        <w:rPr>
          <w:spacing w:val="-6"/>
        </w:rPr>
        <w:t> </w:t>
      </w:r>
      <w:r>
        <w:rPr/>
        <w:t>de</w:t>
      </w:r>
      <w:r>
        <w:rPr>
          <w:spacing w:val="-4"/>
        </w:rPr>
        <w:t> </w:t>
      </w:r>
      <w:r>
        <w:rPr/>
        <w:t>aplicar</w:t>
      </w:r>
      <w:r>
        <w:rPr>
          <w:spacing w:val="-4"/>
        </w:rPr>
        <w:t> </w:t>
      </w:r>
      <w:r>
        <w:rPr/>
        <w:t>a</w:t>
      </w:r>
      <w:r>
        <w:rPr>
          <w:spacing w:val="-4"/>
        </w:rPr>
        <w:t> </w:t>
      </w:r>
      <w:r>
        <w:rPr/>
        <w:t>presupuesto)</w:t>
      </w:r>
      <w:r>
        <w:rPr>
          <w:spacing w:val="-7"/>
        </w:rPr>
        <w:t> </w:t>
      </w:r>
      <w:r>
        <w:rPr/>
        <w:t>del</w:t>
      </w:r>
      <w:r>
        <w:rPr>
          <w:spacing w:val="-4"/>
        </w:rPr>
        <w:t> </w:t>
      </w:r>
      <w:r>
        <w:rPr/>
        <w:t>Ministerio</w:t>
      </w:r>
      <w:r>
        <w:rPr>
          <w:spacing w:val="-6"/>
        </w:rPr>
        <w:t> </w:t>
      </w:r>
      <w:r>
        <w:rPr/>
        <w:t>de</w:t>
      </w:r>
      <w:r>
        <w:rPr>
          <w:spacing w:val="-6"/>
        </w:rPr>
        <w:t> </w:t>
      </w:r>
      <w:r>
        <w:rPr>
          <w:spacing w:val="-3"/>
        </w:rPr>
        <w:t>Transportes</w:t>
      </w:r>
      <w:r>
        <w:rPr>
          <w:spacing w:val="-5"/>
        </w:rPr>
        <w:t> </w:t>
      </w:r>
      <w:r>
        <w:rPr/>
        <w:t>durante el período 2019-2020 derivado de los intereses</w:t>
      </w:r>
      <w:r>
        <w:rPr>
          <w:spacing w:val="-1"/>
        </w:rPr>
        <w:t> </w:t>
      </w:r>
      <w:r>
        <w:rPr/>
        <w:t>devengados.</w:t>
      </w:r>
    </w:p>
    <w:p>
      <w:pPr>
        <w:pStyle w:val="BodyText"/>
        <w:spacing w:before="11"/>
        <w:rPr>
          <w:sz w:val="16"/>
        </w:rPr>
      </w:pPr>
    </w:p>
    <w:p>
      <w:pPr>
        <w:pStyle w:val="BodyText"/>
        <w:spacing w:line="244" w:lineRule="auto" w:before="1"/>
        <w:ind w:left="2299" w:right="1346"/>
        <w:jc w:val="both"/>
      </w:pPr>
      <w:r>
        <w:rPr>
          <w:b/>
        </w:rPr>
        <w:t>Contestación: </w:t>
      </w:r>
      <w:r>
        <w:rPr/>
        <w:t>Si bien no afecta al saldo a 31/12/2022 recogido en el informe es necesario incorporarlo</w:t>
      </w:r>
    </w:p>
    <w:p>
      <w:pPr>
        <w:pStyle w:val="BodyText"/>
        <w:spacing w:before="1"/>
        <w:rPr>
          <w:sz w:val="16"/>
        </w:rPr>
      </w:pPr>
    </w:p>
    <w:p>
      <w:pPr>
        <w:pStyle w:val="BodyText"/>
        <w:ind w:left="2299"/>
        <w:jc w:val="both"/>
      </w:pPr>
      <w:r>
        <w:rPr/>
        <w:t>Por tanto, se modifica parcialmente el párrafo quedando redactado como sigue:</w:t>
      </w:r>
    </w:p>
    <w:p>
      <w:pPr>
        <w:pStyle w:val="BodyText"/>
        <w:spacing w:before="8"/>
        <w:rPr>
          <w:sz w:val="16"/>
        </w:rPr>
      </w:pPr>
    </w:p>
    <w:p>
      <w:pPr>
        <w:pStyle w:val="BodyText"/>
        <w:ind w:left="2299" w:right="1342"/>
        <w:jc w:val="both"/>
      </w:pPr>
      <w:r>
        <w:rPr/>
        <w:t>“El saldo se ha incrementado entre los años 2019 y en 47,2 millones de € por intereses y se ha reducido en 300 millones de €, consecuencia éstos últimos de las aportaciones consignadas por el Estado en los presupuestos de los años 2021 y </w:t>
      </w:r>
      <w:r>
        <w:rPr>
          <w:spacing w:val="-3"/>
        </w:rPr>
        <w:t>2022.”</w:t>
      </w:r>
    </w:p>
    <w:p>
      <w:pPr>
        <w:pStyle w:val="BodyText"/>
        <w:spacing w:before="11"/>
        <w:rPr>
          <w:sz w:val="16"/>
        </w:rPr>
      </w:pPr>
    </w:p>
    <w:p>
      <w:pPr>
        <w:pStyle w:val="Heading1"/>
        <w:spacing w:before="1"/>
        <w:ind w:left="2299"/>
        <w:jc w:val="both"/>
      </w:pPr>
      <w:r>
        <w:rPr/>
        <w:t>Alegación 4 bis: sobre el subapartado 7.6 “Convenio de Carreteras”</w:t>
      </w:r>
      <w:r>
        <w:rPr>
          <w:spacing w:val="-6"/>
        </w:rPr>
        <w:t> </w:t>
      </w:r>
      <w:r>
        <w:rPr/>
        <w:t>(2).</w:t>
      </w:r>
    </w:p>
    <w:p>
      <w:pPr>
        <w:pStyle w:val="BodyText"/>
        <w:spacing w:before="7"/>
        <w:rPr>
          <w:b/>
          <w:sz w:val="16"/>
        </w:rPr>
      </w:pPr>
    </w:p>
    <w:p>
      <w:pPr>
        <w:pStyle w:val="BodyText"/>
        <w:spacing w:line="242" w:lineRule="auto"/>
        <w:ind w:left="2299" w:right="1343"/>
        <w:jc w:val="both"/>
      </w:pPr>
      <w:r>
        <w:rPr>
          <w:b/>
        </w:rPr>
        <w:t>Resumen: </w:t>
      </w:r>
      <w:r>
        <w:rPr/>
        <w:t>Hace referencia al apartado segundo de la disposición adicional centésima quincuagésima</w:t>
      </w:r>
      <w:r>
        <w:rPr>
          <w:spacing w:val="-8"/>
        </w:rPr>
        <w:t> </w:t>
      </w:r>
      <w:r>
        <w:rPr/>
        <w:t>tercera</w:t>
      </w:r>
      <w:r>
        <w:rPr>
          <w:spacing w:val="-7"/>
        </w:rPr>
        <w:t> </w:t>
      </w:r>
      <w:r>
        <w:rPr/>
        <w:t>de</w:t>
      </w:r>
      <w:r>
        <w:rPr>
          <w:spacing w:val="-7"/>
        </w:rPr>
        <w:t> </w:t>
      </w:r>
      <w:r>
        <w:rPr/>
        <w:t>la</w:t>
      </w:r>
      <w:r>
        <w:rPr>
          <w:spacing w:val="-7"/>
        </w:rPr>
        <w:t> </w:t>
      </w:r>
      <w:r>
        <w:rPr/>
        <w:t>Ley</w:t>
      </w:r>
      <w:r>
        <w:rPr>
          <w:spacing w:val="-9"/>
        </w:rPr>
        <w:t> </w:t>
      </w:r>
      <w:r>
        <w:rPr/>
        <w:t>11/2020</w:t>
      </w:r>
      <w:r>
        <w:rPr>
          <w:spacing w:val="-8"/>
        </w:rPr>
        <w:t> </w:t>
      </w:r>
      <w:r>
        <w:rPr/>
        <w:t>de</w:t>
      </w:r>
      <w:r>
        <w:rPr>
          <w:spacing w:val="-7"/>
        </w:rPr>
        <w:t> </w:t>
      </w:r>
      <w:r>
        <w:rPr/>
        <w:t>30</w:t>
      </w:r>
      <w:r>
        <w:rPr>
          <w:spacing w:val="-7"/>
        </w:rPr>
        <w:t> </w:t>
      </w:r>
      <w:r>
        <w:rPr/>
        <w:t>de</w:t>
      </w:r>
      <w:r>
        <w:rPr>
          <w:spacing w:val="-10"/>
        </w:rPr>
        <w:t> </w:t>
      </w:r>
      <w:r>
        <w:rPr/>
        <w:t>diciembre</w:t>
      </w:r>
      <w:r>
        <w:rPr>
          <w:spacing w:val="-9"/>
        </w:rPr>
        <w:t> </w:t>
      </w:r>
      <w:r>
        <w:rPr/>
        <w:t>de</w:t>
      </w:r>
      <w:r>
        <w:rPr>
          <w:spacing w:val="-9"/>
        </w:rPr>
        <w:t> </w:t>
      </w:r>
      <w:r>
        <w:rPr/>
        <w:t>Presupuestos</w:t>
      </w:r>
      <w:r>
        <w:rPr>
          <w:spacing w:val="-7"/>
        </w:rPr>
        <w:t> </w:t>
      </w:r>
      <w:r>
        <w:rPr/>
        <w:t>Generales del Estado para 2021, en la que se indica que los recursos derivados de la ejecución en materia de carreteras entre la AGE y la CAC podrán ser aplicados por ésta última a empleos no financieros no consolidables, excepcionales y</w:t>
      </w:r>
      <w:r>
        <w:rPr>
          <w:spacing w:val="-7"/>
        </w:rPr>
        <w:t> </w:t>
      </w:r>
      <w:r>
        <w:rPr/>
        <w:t>temporales.</w:t>
      </w:r>
    </w:p>
    <w:p>
      <w:pPr>
        <w:pStyle w:val="BodyText"/>
        <w:spacing w:before="3"/>
        <w:rPr>
          <w:sz w:val="16"/>
        </w:rPr>
      </w:pPr>
    </w:p>
    <w:p>
      <w:pPr>
        <w:spacing w:before="0"/>
        <w:ind w:left="2299" w:right="0" w:firstLine="0"/>
        <w:jc w:val="both"/>
        <w:rPr>
          <w:sz w:val="20"/>
        </w:rPr>
      </w:pPr>
      <w:r>
        <w:rPr>
          <w:b/>
          <w:sz w:val="20"/>
        </w:rPr>
        <w:t>Contestación: </w:t>
      </w:r>
      <w:r>
        <w:rPr>
          <w:sz w:val="20"/>
        </w:rPr>
        <w:t>Se considera relevante incluirlo en el informe.</w:t>
      </w:r>
    </w:p>
    <w:p>
      <w:pPr>
        <w:pStyle w:val="BodyText"/>
        <w:spacing w:before="8"/>
        <w:rPr>
          <w:sz w:val="16"/>
        </w:rPr>
      </w:pPr>
    </w:p>
    <w:p>
      <w:pPr>
        <w:pStyle w:val="BodyText"/>
        <w:ind w:left="2299"/>
        <w:jc w:val="both"/>
      </w:pPr>
      <w:r>
        <w:rPr/>
        <w:t>Por tanto, se incorpora el siguiente párrafo al final de dicho subapartado:</w:t>
      </w:r>
    </w:p>
    <w:p>
      <w:pPr>
        <w:pStyle w:val="BodyText"/>
        <w:spacing w:before="8"/>
        <w:rPr>
          <w:sz w:val="16"/>
        </w:rPr>
      </w:pPr>
    </w:p>
    <w:p>
      <w:pPr>
        <w:pStyle w:val="BodyText"/>
        <w:spacing w:line="242" w:lineRule="auto"/>
        <w:ind w:left="2299" w:right="1344" w:firstLine="46"/>
        <w:jc w:val="both"/>
      </w:pPr>
      <w:r>
        <w:rPr/>
        <w:t>“El apartado segundo de la citada disposición adicional, también permite a la CAC que dichos recursos puedan ser aplicados por ésta última a empleos no financieros no consolidables, excepcionales y temporales.</w:t>
      </w:r>
    </w:p>
    <w:p>
      <w:pPr>
        <w:pStyle w:val="BodyText"/>
      </w:pPr>
    </w:p>
    <w:p>
      <w:pPr>
        <w:pStyle w:val="BodyText"/>
      </w:pPr>
    </w:p>
    <w:p>
      <w:pPr>
        <w:pStyle w:val="Heading1"/>
        <w:spacing w:before="161"/>
        <w:ind w:left="2299" w:right="1344"/>
        <w:jc w:val="both"/>
      </w:pPr>
      <w:r>
        <w:rPr>
          <w:u w:val="single"/>
        </w:rPr>
        <w:t>ALEGACIONES DE LA SECRETARÍA GENERAL TÉCNICA DE LA CONSEJERÍA DE HACIENDA</w:t>
      </w:r>
      <w:r>
        <w:rPr/>
        <w:t> </w:t>
      </w:r>
      <w:r>
        <w:rPr>
          <w:u w:val="single"/>
        </w:rPr>
        <w:t>Y RELACIONES CON LA UNIÓN EUROPEA, REFERIDAS AL ISTAC</w:t>
      </w:r>
    </w:p>
    <w:p>
      <w:pPr>
        <w:pStyle w:val="BodyText"/>
        <w:spacing w:before="10"/>
        <w:rPr>
          <w:b/>
          <w:sz w:val="11"/>
        </w:rPr>
      </w:pPr>
    </w:p>
    <w:p>
      <w:pPr>
        <w:spacing w:before="60"/>
        <w:ind w:left="2299" w:right="0" w:firstLine="0"/>
        <w:jc w:val="left"/>
        <w:rPr>
          <w:b/>
          <w:sz w:val="20"/>
        </w:rPr>
      </w:pPr>
      <w:r>
        <w:rPr>
          <w:b/>
          <w:sz w:val="20"/>
        </w:rPr>
        <w:t>Alegación nº 1: referida al del apartado 4.3.1 b).</w:t>
      </w:r>
    </w:p>
    <w:p>
      <w:pPr>
        <w:pStyle w:val="BodyText"/>
        <w:spacing w:before="8"/>
        <w:rPr>
          <w:b/>
          <w:sz w:val="16"/>
        </w:rPr>
      </w:pPr>
    </w:p>
    <w:p>
      <w:pPr>
        <w:pStyle w:val="BodyText"/>
        <w:ind w:left="2299"/>
      </w:pPr>
      <w:r>
        <w:rPr>
          <w:b/>
        </w:rPr>
        <w:t>Resumen</w:t>
      </w:r>
      <w:r>
        <w:rPr/>
        <w:t>:</w:t>
      </w:r>
      <w:r>
        <w:rPr>
          <w:spacing w:val="20"/>
        </w:rPr>
        <w:t> </w:t>
      </w:r>
      <w:r>
        <w:rPr/>
        <w:t>Con</w:t>
      </w:r>
      <w:r>
        <w:rPr>
          <w:spacing w:val="19"/>
        </w:rPr>
        <w:t> </w:t>
      </w:r>
      <w:r>
        <w:rPr/>
        <w:t>respecto</w:t>
      </w:r>
      <w:r>
        <w:rPr>
          <w:spacing w:val="16"/>
        </w:rPr>
        <w:t> </w:t>
      </w:r>
      <w:r>
        <w:rPr/>
        <w:t>al</w:t>
      </w:r>
      <w:r>
        <w:rPr>
          <w:spacing w:val="21"/>
        </w:rPr>
        <w:t> </w:t>
      </w:r>
      <w:r>
        <w:rPr/>
        <w:t>grado</w:t>
      </w:r>
      <w:r>
        <w:rPr>
          <w:spacing w:val="18"/>
        </w:rPr>
        <w:t> </w:t>
      </w:r>
      <w:r>
        <w:rPr/>
        <w:t>de</w:t>
      </w:r>
      <w:r>
        <w:rPr>
          <w:spacing w:val="19"/>
        </w:rPr>
        <w:t> </w:t>
      </w:r>
      <w:r>
        <w:rPr/>
        <w:t>realización</w:t>
      </w:r>
      <w:r>
        <w:rPr>
          <w:spacing w:val="18"/>
        </w:rPr>
        <w:t> </w:t>
      </w:r>
      <w:r>
        <w:rPr/>
        <w:t>del</w:t>
      </w:r>
      <w:r>
        <w:rPr>
          <w:spacing w:val="21"/>
        </w:rPr>
        <w:t> </w:t>
      </w:r>
      <w:r>
        <w:rPr/>
        <w:t>ISTAC,</w:t>
      </w:r>
      <w:r>
        <w:rPr>
          <w:spacing w:val="18"/>
        </w:rPr>
        <w:t> </w:t>
      </w:r>
      <w:r>
        <w:rPr/>
        <w:t>que</w:t>
      </w:r>
      <w:r>
        <w:rPr>
          <w:spacing w:val="19"/>
        </w:rPr>
        <w:t> </w:t>
      </w:r>
      <w:r>
        <w:rPr/>
        <w:t>no</w:t>
      </w:r>
      <w:r>
        <w:rPr>
          <w:spacing w:val="19"/>
        </w:rPr>
        <w:t> </w:t>
      </w:r>
      <w:r>
        <w:rPr/>
        <w:t>alcanza</w:t>
      </w:r>
      <w:r>
        <w:rPr>
          <w:spacing w:val="18"/>
        </w:rPr>
        <w:t> </w:t>
      </w:r>
      <w:r>
        <w:rPr/>
        <w:t>el</w:t>
      </w:r>
      <w:r>
        <w:rPr>
          <w:spacing w:val="19"/>
        </w:rPr>
        <w:t> </w:t>
      </w:r>
      <w:r>
        <w:rPr/>
        <w:t>90</w:t>
      </w:r>
      <w:r>
        <w:rPr>
          <w:spacing w:val="17"/>
        </w:rPr>
        <w:t> </w:t>
      </w:r>
      <w:r>
        <w:rPr/>
        <w:t>%,</w:t>
      </w:r>
      <w:r>
        <w:rPr>
          <w:spacing w:val="21"/>
        </w:rPr>
        <w:t> </w:t>
      </w:r>
      <w:r>
        <w:rPr/>
        <w:t>se</w:t>
      </w:r>
    </w:p>
    <w:p>
      <w:pPr>
        <w:pStyle w:val="BodyText"/>
        <w:spacing w:before="3"/>
        <w:rPr>
          <w:sz w:val="8"/>
        </w:rPr>
      </w:pPr>
    </w:p>
    <w:p>
      <w:pPr>
        <w:pStyle w:val="BodyText"/>
        <w:spacing w:before="61"/>
        <w:ind w:left="8760" w:right="973"/>
        <w:jc w:val="center"/>
      </w:pPr>
      <w:r>
        <w:rPr/>
        <w:t>233</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501" name="image5.png"/>
                  <wp:cNvGraphicFramePr>
                    <a:graphicFrameLocks noChangeAspect="1"/>
                  </wp:cNvGraphicFramePr>
                  <a:graphic>
                    <a:graphicData uri="http://schemas.openxmlformats.org/drawingml/2006/picture">
                      <pic:pic>
                        <pic:nvPicPr>
                          <pic:cNvPr id="50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235/247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39"/>
        <w:jc w:val="both"/>
      </w:pPr>
      <w:r>
        <w:rPr/>
        <w:t>justifica por la vacante de la Jefatura de Sección de la Oficina Presupuestaria, que entre sus</w:t>
      </w:r>
      <w:r>
        <w:rPr>
          <w:spacing w:val="-7"/>
        </w:rPr>
        <w:t> </w:t>
      </w:r>
      <w:r>
        <w:rPr/>
        <w:t>funciones</w:t>
      </w:r>
      <w:r>
        <w:rPr>
          <w:spacing w:val="-7"/>
        </w:rPr>
        <w:t> </w:t>
      </w:r>
      <w:r>
        <w:rPr/>
        <w:t>tiene</w:t>
      </w:r>
      <w:r>
        <w:rPr>
          <w:spacing w:val="-5"/>
        </w:rPr>
        <w:t> </w:t>
      </w:r>
      <w:r>
        <w:rPr/>
        <w:t>la</w:t>
      </w:r>
      <w:r>
        <w:rPr>
          <w:spacing w:val="-5"/>
        </w:rPr>
        <w:t> </w:t>
      </w:r>
      <w:r>
        <w:rPr/>
        <w:t>gestión</w:t>
      </w:r>
      <w:r>
        <w:rPr>
          <w:spacing w:val="-6"/>
        </w:rPr>
        <w:t> </w:t>
      </w:r>
      <w:r>
        <w:rPr/>
        <w:t>presupuestaria,</w:t>
      </w:r>
      <w:r>
        <w:rPr>
          <w:spacing w:val="-8"/>
        </w:rPr>
        <w:t> </w:t>
      </w:r>
      <w:r>
        <w:rPr/>
        <w:t>por</w:t>
      </w:r>
      <w:r>
        <w:rPr>
          <w:spacing w:val="-5"/>
        </w:rPr>
        <w:t> </w:t>
      </w:r>
      <w:r>
        <w:rPr/>
        <w:t>lo</w:t>
      </w:r>
      <w:r>
        <w:rPr>
          <w:spacing w:val="-5"/>
        </w:rPr>
        <w:t> </w:t>
      </w:r>
      <w:r>
        <w:rPr/>
        <w:t>que</w:t>
      </w:r>
      <w:r>
        <w:rPr>
          <w:spacing w:val="-5"/>
        </w:rPr>
        <w:t> </w:t>
      </w:r>
      <w:r>
        <w:rPr/>
        <w:t>la</w:t>
      </w:r>
      <w:r>
        <w:rPr>
          <w:spacing w:val="-3"/>
        </w:rPr>
        <w:t> </w:t>
      </w:r>
      <w:r>
        <w:rPr/>
        <w:t>misma</w:t>
      </w:r>
      <w:r>
        <w:rPr>
          <w:spacing w:val="-5"/>
        </w:rPr>
        <w:t> </w:t>
      </w:r>
      <w:r>
        <w:rPr/>
        <w:t>se</w:t>
      </w:r>
      <w:r>
        <w:rPr>
          <w:spacing w:val="-6"/>
        </w:rPr>
        <w:t> </w:t>
      </w:r>
      <w:r>
        <w:rPr/>
        <w:t>asumió</w:t>
      </w:r>
      <w:r>
        <w:rPr>
          <w:spacing w:val="-5"/>
        </w:rPr>
        <w:t> </w:t>
      </w:r>
      <w:r>
        <w:rPr/>
        <w:t>por</w:t>
      </w:r>
      <w:r>
        <w:rPr>
          <w:spacing w:val="-5"/>
        </w:rPr>
        <w:t> </w:t>
      </w:r>
      <w:r>
        <w:rPr/>
        <w:t>el</w:t>
      </w:r>
      <w:r>
        <w:rPr>
          <w:spacing w:val="-5"/>
        </w:rPr>
        <w:t> </w:t>
      </w:r>
      <w:r>
        <w:rPr/>
        <w:t>resto del Servicio de Secretaría General, añadiendo carga de trabajo adicional a las propias de cada puesto de</w:t>
      </w:r>
      <w:r>
        <w:rPr>
          <w:spacing w:val="1"/>
        </w:rPr>
        <w:t> </w:t>
      </w:r>
      <w:r>
        <w:rPr/>
        <w:t>trabajo.</w:t>
      </w:r>
    </w:p>
    <w:p>
      <w:pPr>
        <w:pStyle w:val="BodyText"/>
        <w:spacing w:before="1"/>
        <w:rPr>
          <w:sz w:val="17"/>
        </w:rPr>
      </w:pPr>
    </w:p>
    <w:p>
      <w:pPr>
        <w:pStyle w:val="BodyText"/>
        <w:spacing w:line="439" w:lineRule="auto"/>
        <w:ind w:left="2299" w:right="1370"/>
        <w:jc w:val="both"/>
      </w:pPr>
      <w:r>
        <w:rPr>
          <w:b/>
        </w:rPr>
        <w:t>Contestación</w:t>
      </w:r>
      <w:r>
        <w:rPr/>
        <w:t>: Se trata de una justificación que no contradice el contenido del Informe. Por ello, se mantiene el contenido del Informe.</w:t>
      </w:r>
    </w:p>
    <w:p>
      <w:pPr>
        <w:pStyle w:val="Heading1"/>
        <w:spacing w:before="1"/>
        <w:ind w:left="2299"/>
        <w:jc w:val="both"/>
      </w:pPr>
      <w:r>
        <w:rPr/>
        <w:t>Alegación nº 2: referida al apartado 4.3.5 a) y la conclusión nº 24.</w:t>
      </w:r>
    </w:p>
    <w:p>
      <w:pPr>
        <w:pStyle w:val="BodyText"/>
        <w:spacing w:before="8"/>
        <w:rPr>
          <w:b/>
          <w:sz w:val="16"/>
        </w:rPr>
      </w:pPr>
    </w:p>
    <w:p>
      <w:pPr>
        <w:pStyle w:val="BodyText"/>
        <w:spacing w:line="242" w:lineRule="auto" w:before="1"/>
        <w:ind w:left="2299" w:right="1340"/>
        <w:jc w:val="both"/>
      </w:pPr>
      <w:r>
        <w:rPr>
          <w:b/>
        </w:rPr>
        <w:t>Resumen</w:t>
      </w:r>
      <w:r>
        <w:rPr/>
        <w:t>: Con respecto a que el ISTAC no aporta la información por tipo de contrato, motivo por lo que no se ha podido verificar cuáles superan los límites del art. 335 de la LCSP. Este Organismo sólo ha remitido dos expedientes y, al menos, debió remitir otro más, con un importe de 1,4 millones de €, para lo que se alega que en el listado de contratos remitido, en la última columna, aparece el procedimiento de adjudicación. En la citada columna se registran cinco contratos tramitados por el procedimiento abierto, cuatro de los cuales superan los 150.000 euros, y cuyos expedientes fueron remitidos el 31 de octubre de 2022 (Anexo II y IV) y 7 de marzo de 2023 (Anexo III y V).</w:t>
      </w:r>
    </w:p>
    <w:p>
      <w:pPr>
        <w:pStyle w:val="BodyText"/>
        <w:spacing w:before="2"/>
        <w:rPr>
          <w:sz w:val="16"/>
        </w:rPr>
      </w:pPr>
    </w:p>
    <w:p>
      <w:pPr>
        <w:pStyle w:val="BodyText"/>
        <w:spacing w:line="242" w:lineRule="auto"/>
        <w:ind w:left="2299" w:right="1339"/>
        <w:jc w:val="both"/>
      </w:pPr>
      <w:r>
        <w:rPr>
          <w:b/>
        </w:rPr>
        <w:t>Contestación</w:t>
      </w:r>
      <w:r>
        <w:rPr/>
        <w:t>: Se acepta parcialmente. Efectivamente, la última columna de la relación de contratos remitida refleja el procedimiento de adjudicación, pero al no contener el tipo de contrato no se puede asegurar si supera o no los límites del art. 335 de la LCSP. Nos obstante, por el contenido de la alegación, se da por hecho que todos los que no son menores y se han tramitado por procedimiento abierto, son contratos de servicios o</w:t>
      </w:r>
      <w:r>
        <w:rPr>
          <w:spacing w:val="7"/>
        </w:rPr>
        <w:t> </w:t>
      </w:r>
      <w:r>
        <w:rPr/>
        <w:t>suministros,</w:t>
      </w:r>
      <w:r>
        <w:rPr>
          <w:spacing w:val="5"/>
        </w:rPr>
        <w:t> </w:t>
      </w:r>
      <w:r>
        <w:rPr/>
        <w:t>para</w:t>
      </w:r>
      <w:r>
        <w:rPr>
          <w:spacing w:val="6"/>
        </w:rPr>
        <w:t> </w:t>
      </w:r>
      <w:r>
        <w:rPr/>
        <w:t>los</w:t>
      </w:r>
      <w:r>
        <w:rPr>
          <w:spacing w:val="5"/>
        </w:rPr>
        <w:t> </w:t>
      </w:r>
      <w:r>
        <w:rPr/>
        <w:t>cuales</w:t>
      </w:r>
      <w:r>
        <w:rPr>
          <w:spacing w:val="5"/>
        </w:rPr>
        <w:t> </w:t>
      </w:r>
      <w:r>
        <w:rPr/>
        <w:t>el</w:t>
      </w:r>
      <w:r>
        <w:rPr>
          <w:spacing w:val="7"/>
        </w:rPr>
        <w:t> </w:t>
      </w:r>
      <w:r>
        <w:rPr/>
        <w:t>límite</w:t>
      </w:r>
      <w:r>
        <w:rPr>
          <w:spacing w:val="4"/>
        </w:rPr>
        <w:t> </w:t>
      </w:r>
      <w:r>
        <w:rPr/>
        <w:t>para</w:t>
      </w:r>
      <w:r>
        <w:rPr>
          <w:spacing w:val="5"/>
        </w:rPr>
        <w:t> </w:t>
      </w:r>
      <w:r>
        <w:rPr/>
        <w:t>la</w:t>
      </w:r>
      <w:r>
        <w:rPr>
          <w:spacing w:val="5"/>
        </w:rPr>
        <w:t> </w:t>
      </w:r>
      <w:r>
        <w:rPr/>
        <w:t>obligación</w:t>
      </w:r>
      <w:r>
        <w:rPr>
          <w:spacing w:val="7"/>
        </w:rPr>
        <w:t> </w:t>
      </w:r>
      <w:r>
        <w:rPr/>
        <w:t>de</w:t>
      </w:r>
      <w:r>
        <w:rPr>
          <w:spacing w:val="5"/>
        </w:rPr>
        <w:t> </w:t>
      </w:r>
      <w:r>
        <w:rPr/>
        <w:t>remitir</w:t>
      </w:r>
      <w:r>
        <w:rPr>
          <w:spacing w:val="6"/>
        </w:rPr>
        <w:t> </w:t>
      </w:r>
      <w:r>
        <w:rPr/>
        <w:t>el</w:t>
      </w:r>
      <w:r>
        <w:rPr>
          <w:spacing w:val="5"/>
        </w:rPr>
        <w:t> </w:t>
      </w:r>
      <w:r>
        <w:rPr/>
        <w:t>expediente</w:t>
      </w:r>
      <w:r>
        <w:rPr>
          <w:spacing w:val="6"/>
        </w:rPr>
        <w:t> </w:t>
      </w:r>
      <w:r>
        <w:rPr/>
        <w:t>es</w:t>
      </w:r>
      <w:r>
        <w:rPr>
          <w:spacing w:val="5"/>
        </w:rPr>
        <w:t> </w:t>
      </w:r>
      <w:r>
        <w:rPr/>
        <w:t>de</w:t>
      </w:r>
    </w:p>
    <w:p>
      <w:pPr>
        <w:pStyle w:val="BodyText"/>
        <w:spacing w:line="240" w:lineRule="exact"/>
        <w:ind w:left="2299"/>
        <w:jc w:val="both"/>
      </w:pPr>
      <w:r>
        <w:rPr/>
        <w:t>150.000 euros, porque si fuesen de obras el importe sería 600.000 euros.</w:t>
      </w:r>
    </w:p>
    <w:p>
      <w:pPr>
        <w:pStyle w:val="BodyText"/>
        <w:spacing w:before="10"/>
        <w:rPr>
          <w:sz w:val="16"/>
        </w:rPr>
      </w:pPr>
    </w:p>
    <w:p>
      <w:pPr>
        <w:pStyle w:val="BodyText"/>
        <w:ind w:left="2299" w:right="1345"/>
        <w:jc w:val="both"/>
      </w:pPr>
      <w:r>
        <w:rPr/>
        <w:t>Por otra parte, se comprueba que el ISTAC sí ha remitido los extractos de expedientes correspondientes de acuerdo a la relación de contratos.</w:t>
      </w:r>
    </w:p>
    <w:p>
      <w:pPr>
        <w:pStyle w:val="BodyText"/>
        <w:spacing w:before="9"/>
        <w:rPr>
          <w:sz w:val="16"/>
        </w:rPr>
      </w:pPr>
    </w:p>
    <w:p>
      <w:pPr>
        <w:pStyle w:val="BodyText"/>
        <w:ind w:left="2299"/>
        <w:jc w:val="both"/>
      </w:pPr>
      <w:r>
        <w:rPr/>
        <w:t>Por tanto, se suprime el siguiente párrafo del informe, del apartado 4.3.5 a):</w:t>
      </w:r>
    </w:p>
    <w:p>
      <w:pPr>
        <w:pStyle w:val="BodyText"/>
        <w:spacing w:before="11"/>
        <w:rPr>
          <w:sz w:val="16"/>
        </w:rPr>
      </w:pPr>
    </w:p>
    <w:p>
      <w:pPr>
        <w:pStyle w:val="ListParagraph"/>
        <w:numPr>
          <w:ilvl w:val="0"/>
          <w:numId w:val="130"/>
        </w:numPr>
        <w:tabs>
          <w:tab w:pos="2537" w:val="left" w:leader="none"/>
        </w:tabs>
        <w:spacing w:line="244" w:lineRule="auto" w:before="0" w:after="0"/>
        <w:ind w:left="2536" w:right="1340" w:hanging="238"/>
        <w:jc w:val="both"/>
        <w:rPr>
          <w:i/>
          <w:sz w:val="18"/>
        </w:rPr>
      </w:pPr>
      <w:r>
        <w:rPr>
          <w:i/>
          <w:w w:val="105"/>
          <w:sz w:val="18"/>
        </w:rPr>
        <w:t>“El</w:t>
      </w:r>
      <w:r>
        <w:rPr>
          <w:i/>
          <w:spacing w:val="-7"/>
          <w:w w:val="105"/>
          <w:sz w:val="18"/>
        </w:rPr>
        <w:t> </w:t>
      </w:r>
      <w:r>
        <w:rPr>
          <w:i/>
          <w:w w:val="105"/>
          <w:sz w:val="18"/>
        </w:rPr>
        <w:t>ISTAC</w:t>
      </w:r>
      <w:r>
        <w:rPr>
          <w:i/>
          <w:spacing w:val="-6"/>
          <w:w w:val="105"/>
          <w:sz w:val="18"/>
        </w:rPr>
        <w:t> </w:t>
      </w:r>
      <w:r>
        <w:rPr>
          <w:i/>
          <w:w w:val="105"/>
          <w:sz w:val="18"/>
        </w:rPr>
        <w:t>no</w:t>
      </w:r>
      <w:r>
        <w:rPr>
          <w:i/>
          <w:spacing w:val="-9"/>
          <w:w w:val="105"/>
          <w:sz w:val="18"/>
        </w:rPr>
        <w:t> </w:t>
      </w:r>
      <w:r>
        <w:rPr>
          <w:i/>
          <w:w w:val="105"/>
          <w:sz w:val="18"/>
        </w:rPr>
        <w:t>aporta</w:t>
      </w:r>
      <w:r>
        <w:rPr>
          <w:i/>
          <w:spacing w:val="-8"/>
          <w:w w:val="105"/>
          <w:sz w:val="18"/>
        </w:rPr>
        <w:t> </w:t>
      </w:r>
      <w:r>
        <w:rPr>
          <w:i/>
          <w:w w:val="105"/>
          <w:sz w:val="18"/>
        </w:rPr>
        <w:t>la</w:t>
      </w:r>
      <w:r>
        <w:rPr>
          <w:i/>
          <w:spacing w:val="-8"/>
          <w:w w:val="105"/>
          <w:sz w:val="18"/>
        </w:rPr>
        <w:t> </w:t>
      </w:r>
      <w:r>
        <w:rPr>
          <w:i/>
          <w:w w:val="105"/>
          <w:sz w:val="18"/>
        </w:rPr>
        <w:t>información</w:t>
      </w:r>
      <w:r>
        <w:rPr>
          <w:i/>
          <w:spacing w:val="-7"/>
          <w:w w:val="105"/>
          <w:sz w:val="18"/>
        </w:rPr>
        <w:t> </w:t>
      </w:r>
      <w:r>
        <w:rPr>
          <w:i/>
          <w:w w:val="105"/>
          <w:sz w:val="18"/>
        </w:rPr>
        <w:t>por</w:t>
      </w:r>
      <w:r>
        <w:rPr>
          <w:i/>
          <w:spacing w:val="-6"/>
          <w:w w:val="105"/>
          <w:sz w:val="18"/>
        </w:rPr>
        <w:t> </w:t>
      </w:r>
      <w:r>
        <w:rPr>
          <w:i/>
          <w:w w:val="105"/>
          <w:sz w:val="18"/>
        </w:rPr>
        <w:t>tipo</w:t>
      </w:r>
      <w:r>
        <w:rPr>
          <w:i/>
          <w:spacing w:val="-9"/>
          <w:w w:val="105"/>
          <w:sz w:val="18"/>
        </w:rPr>
        <w:t> </w:t>
      </w:r>
      <w:r>
        <w:rPr>
          <w:i/>
          <w:w w:val="105"/>
          <w:sz w:val="18"/>
        </w:rPr>
        <w:t>de</w:t>
      </w:r>
      <w:r>
        <w:rPr>
          <w:i/>
          <w:spacing w:val="-7"/>
          <w:w w:val="105"/>
          <w:sz w:val="18"/>
        </w:rPr>
        <w:t> </w:t>
      </w:r>
      <w:r>
        <w:rPr>
          <w:i/>
          <w:w w:val="105"/>
          <w:sz w:val="18"/>
        </w:rPr>
        <w:t>contrato,</w:t>
      </w:r>
      <w:r>
        <w:rPr>
          <w:i/>
          <w:spacing w:val="-6"/>
          <w:w w:val="105"/>
          <w:sz w:val="18"/>
        </w:rPr>
        <w:t> </w:t>
      </w:r>
      <w:r>
        <w:rPr>
          <w:i/>
          <w:w w:val="105"/>
          <w:sz w:val="18"/>
        </w:rPr>
        <w:t>por</w:t>
      </w:r>
      <w:r>
        <w:rPr>
          <w:i/>
          <w:spacing w:val="-7"/>
          <w:w w:val="105"/>
          <w:sz w:val="18"/>
        </w:rPr>
        <w:t> </w:t>
      </w:r>
      <w:r>
        <w:rPr>
          <w:i/>
          <w:w w:val="105"/>
          <w:sz w:val="18"/>
        </w:rPr>
        <w:t>lo</w:t>
      </w:r>
      <w:r>
        <w:rPr>
          <w:i/>
          <w:spacing w:val="-9"/>
          <w:w w:val="105"/>
          <w:sz w:val="18"/>
        </w:rPr>
        <w:t> </w:t>
      </w:r>
      <w:r>
        <w:rPr>
          <w:i/>
          <w:w w:val="105"/>
          <w:sz w:val="18"/>
        </w:rPr>
        <w:t>que</w:t>
      </w:r>
      <w:r>
        <w:rPr>
          <w:i/>
          <w:spacing w:val="-6"/>
          <w:w w:val="105"/>
          <w:sz w:val="18"/>
        </w:rPr>
        <w:t> </w:t>
      </w:r>
      <w:r>
        <w:rPr>
          <w:i/>
          <w:w w:val="105"/>
          <w:sz w:val="18"/>
        </w:rPr>
        <w:t>no</w:t>
      </w:r>
      <w:r>
        <w:rPr>
          <w:i/>
          <w:spacing w:val="-7"/>
          <w:w w:val="105"/>
          <w:sz w:val="18"/>
        </w:rPr>
        <w:t> </w:t>
      </w:r>
      <w:r>
        <w:rPr>
          <w:i/>
          <w:w w:val="105"/>
          <w:sz w:val="18"/>
        </w:rPr>
        <w:t>se</w:t>
      </w:r>
      <w:r>
        <w:rPr>
          <w:i/>
          <w:spacing w:val="-6"/>
          <w:w w:val="105"/>
          <w:sz w:val="18"/>
        </w:rPr>
        <w:t> </w:t>
      </w:r>
      <w:r>
        <w:rPr>
          <w:i/>
          <w:w w:val="105"/>
          <w:sz w:val="18"/>
        </w:rPr>
        <w:t>ha</w:t>
      </w:r>
      <w:r>
        <w:rPr>
          <w:i/>
          <w:spacing w:val="-7"/>
          <w:w w:val="105"/>
          <w:sz w:val="18"/>
        </w:rPr>
        <w:t> </w:t>
      </w:r>
      <w:r>
        <w:rPr>
          <w:i/>
          <w:w w:val="105"/>
          <w:sz w:val="18"/>
        </w:rPr>
        <w:t>podido</w:t>
      </w:r>
      <w:r>
        <w:rPr>
          <w:i/>
          <w:spacing w:val="-7"/>
          <w:w w:val="105"/>
          <w:sz w:val="18"/>
        </w:rPr>
        <w:t> </w:t>
      </w:r>
      <w:r>
        <w:rPr>
          <w:i/>
          <w:w w:val="105"/>
          <w:sz w:val="18"/>
        </w:rPr>
        <w:t>verificar </w:t>
      </w:r>
      <w:r>
        <w:rPr>
          <w:i/>
          <w:w w:val="105"/>
          <w:sz w:val="18"/>
        </w:rPr>
        <w:t>cuáles superan los límites del art. 335 de la LCSP. Este Organismo sólo remitido dos expedientes</w:t>
      </w:r>
      <w:r>
        <w:rPr>
          <w:i/>
          <w:spacing w:val="-8"/>
          <w:w w:val="105"/>
          <w:sz w:val="18"/>
        </w:rPr>
        <w:t> </w:t>
      </w:r>
      <w:r>
        <w:rPr>
          <w:i/>
          <w:w w:val="105"/>
          <w:sz w:val="18"/>
        </w:rPr>
        <w:t>y,</w:t>
      </w:r>
      <w:r>
        <w:rPr>
          <w:i/>
          <w:spacing w:val="-6"/>
          <w:w w:val="105"/>
          <w:sz w:val="18"/>
        </w:rPr>
        <w:t> </w:t>
      </w:r>
      <w:r>
        <w:rPr>
          <w:i/>
          <w:w w:val="105"/>
          <w:sz w:val="18"/>
        </w:rPr>
        <w:t>al</w:t>
      </w:r>
      <w:r>
        <w:rPr>
          <w:i/>
          <w:spacing w:val="-8"/>
          <w:w w:val="105"/>
          <w:sz w:val="18"/>
        </w:rPr>
        <w:t> </w:t>
      </w:r>
      <w:r>
        <w:rPr>
          <w:i/>
          <w:w w:val="105"/>
          <w:sz w:val="18"/>
        </w:rPr>
        <w:t>menos,</w:t>
      </w:r>
      <w:r>
        <w:rPr>
          <w:i/>
          <w:spacing w:val="-6"/>
          <w:w w:val="105"/>
          <w:sz w:val="18"/>
        </w:rPr>
        <w:t> </w:t>
      </w:r>
      <w:r>
        <w:rPr>
          <w:i/>
          <w:w w:val="105"/>
          <w:sz w:val="18"/>
        </w:rPr>
        <w:t>debió</w:t>
      </w:r>
      <w:r>
        <w:rPr>
          <w:i/>
          <w:spacing w:val="-7"/>
          <w:w w:val="105"/>
          <w:sz w:val="18"/>
        </w:rPr>
        <w:t> </w:t>
      </w:r>
      <w:r>
        <w:rPr>
          <w:i/>
          <w:w w:val="105"/>
          <w:sz w:val="18"/>
        </w:rPr>
        <w:t>remitir</w:t>
      </w:r>
      <w:r>
        <w:rPr>
          <w:i/>
          <w:spacing w:val="-6"/>
          <w:w w:val="105"/>
          <w:sz w:val="18"/>
        </w:rPr>
        <w:t> </w:t>
      </w:r>
      <w:r>
        <w:rPr>
          <w:i/>
          <w:w w:val="105"/>
          <w:sz w:val="18"/>
        </w:rPr>
        <w:t>otro</w:t>
      </w:r>
      <w:r>
        <w:rPr>
          <w:i/>
          <w:spacing w:val="-8"/>
          <w:w w:val="105"/>
          <w:sz w:val="18"/>
        </w:rPr>
        <w:t> </w:t>
      </w:r>
      <w:r>
        <w:rPr>
          <w:i/>
          <w:w w:val="105"/>
          <w:sz w:val="18"/>
        </w:rPr>
        <w:t>más,</w:t>
      </w:r>
      <w:r>
        <w:rPr>
          <w:i/>
          <w:spacing w:val="-8"/>
          <w:w w:val="105"/>
          <w:sz w:val="18"/>
        </w:rPr>
        <w:t> </w:t>
      </w:r>
      <w:r>
        <w:rPr>
          <w:i/>
          <w:w w:val="105"/>
          <w:sz w:val="18"/>
        </w:rPr>
        <w:t>con</w:t>
      </w:r>
      <w:r>
        <w:rPr>
          <w:i/>
          <w:spacing w:val="-7"/>
          <w:w w:val="105"/>
          <w:sz w:val="18"/>
        </w:rPr>
        <w:t> </w:t>
      </w:r>
      <w:r>
        <w:rPr>
          <w:i/>
          <w:w w:val="105"/>
          <w:sz w:val="18"/>
        </w:rPr>
        <w:t>un</w:t>
      </w:r>
      <w:r>
        <w:rPr>
          <w:i/>
          <w:spacing w:val="-7"/>
          <w:w w:val="105"/>
          <w:sz w:val="18"/>
        </w:rPr>
        <w:t> </w:t>
      </w:r>
      <w:r>
        <w:rPr>
          <w:i/>
          <w:w w:val="105"/>
          <w:sz w:val="18"/>
        </w:rPr>
        <w:t>importe</w:t>
      </w:r>
      <w:r>
        <w:rPr>
          <w:i/>
          <w:spacing w:val="-8"/>
          <w:w w:val="105"/>
          <w:sz w:val="18"/>
        </w:rPr>
        <w:t> </w:t>
      </w:r>
      <w:r>
        <w:rPr>
          <w:i/>
          <w:w w:val="105"/>
          <w:sz w:val="18"/>
        </w:rPr>
        <w:t>de</w:t>
      </w:r>
      <w:r>
        <w:rPr>
          <w:i/>
          <w:spacing w:val="-8"/>
          <w:w w:val="105"/>
          <w:sz w:val="18"/>
        </w:rPr>
        <w:t> </w:t>
      </w:r>
      <w:r>
        <w:rPr>
          <w:i/>
          <w:w w:val="105"/>
          <w:sz w:val="18"/>
        </w:rPr>
        <w:t>1,4</w:t>
      </w:r>
      <w:r>
        <w:rPr>
          <w:i/>
          <w:spacing w:val="-7"/>
          <w:w w:val="105"/>
          <w:sz w:val="18"/>
        </w:rPr>
        <w:t> </w:t>
      </w:r>
      <w:r>
        <w:rPr>
          <w:i/>
          <w:w w:val="105"/>
          <w:sz w:val="18"/>
        </w:rPr>
        <w:t>millones</w:t>
      </w:r>
      <w:r>
        <w:rPr>
          <w:i/>
          <w:spacing w:val="-7"/>
          <w:w w:val="105"/>
          <w:sz w:val="18"/>
        </w:rPr>
        <w:t> </w:t>
      </w:r>
      <w:r>
        <w:rPr>
          <w:i/>
          <w:w w:val="105"/>
          <w:sz w:val="18"/>
        </w:rPr>
        <w:t>de</w:t>
      </w:r>
      <w:r>
        <w:rPr>
          <w:i/>
          <w:spacing w:val="-7"/>
          <w:w w:val="105"/>
          <w:sz w:val="18"/>
        </w:rPr>
        <w:t> </w:t>
      </w:r>
      <w:r>
        <w:rPr>
          <w:i/>
          <w:w w:val="105"/>
          <w:sz w:val="18"/>
        </w:rPr>
        <w:t>€.”</w:t>
      </w:r>
    </w:p>
    <w:p>
      <w:pPr>
        <w:pStyle w:val="BodyText"/>
        <w:spacing w:before="6"/>
        <w:rPr>
          <w:i/>
          <w:sz w:val="16"/>
        </w:rPr>
      </w:pPr>
    </w:p>
    <w:p>
      <w:pPr>
        <w:pStyle w:val="BodyText"/>
        <w:spacing w:line="242" w:lineRule="auto" w:before="1"/>
        <w:ind w:left="2299" w:right="1340"/>
        <w:jc w:val="both"/>
      </w:pPr>
      <w:r>
        <w:rPr/>
        <w:t>Y en la conclusión nº 24, se sustituye el párrafo que comienza por “De las relaciones remitidas se deducen contratos cuyos importes superan los dispuestos en el Art. 335 (…)”, por este otro:</w:t>
      </w:r>
    </w:p>
    <w:p>
      <w:pPr>
        <w:pStyle w:val="BodyText"/>
        <w:spacing w:before="8"/>
        <w:rPr>
          <w:sz w:val="16"/>
        </w:rPr>
      </w:pPr>
    </w:p>
    <w:p>
      <w:pPr>
        <w:pStyle w:val="ListParagraph"/>
        <w:numPr>
          <w:ilvl w:val="0"/>
          <w:numId w:val="130"/>
        </w:numPr>
        <w:tabs>
          <w:tab w:pos="2537" w:val="left" w:leader="none"/>
        </w:tabs>
        <w:spacing w:line="244" w:lineRule="auto" w:before="1" w:after="0"/>
        <w:ind w:left="2536" w:right="1341" w:hanging="238"/>
        <w:jc w:val="both"/>
        <w:rPr>
          <w:i/>
          <w:sz w:val="18"/>
        </w:rPr>
      </w:pPr>
      <w:r>
        <w:rPr>
          <w:i/>
          <w:w w:val="105"/>
          <w:sz w:val="18"/>
        </w:rPr>
        <w:t>“De</w:t>
      </w:r>
      <w:r>
        <w:rPr>
          <w:i/>
          <w:spacing w:val="-10"/>
          <w:w w:val="105"/>
          <w:sz w:val="18"/>
        </w:rPr>
        <w:t> </w:t>
      </w:r>
      <w:r>
        <w:rPr>
          <w:i/>
          <w:w w:val="105"/>
          <w:sz w:val="18"/>
        </w:rPr>
        <w:t>las</w:t>
      </w:r>
      <w:r>
        <w:rPr>
          <w:i/>
          <w:spacing w:val="-10"/>
          <w:w w:val="105"/>
          <w:sz w:val="18"/>
        </w:rPr>
        <w:t> </w:t>
      </w:r>
      <w:r>
        <w:rPr>
          <w:i/>
          <w:w w:val="105"/>
          <w:sz w:val="18"/>
        </w:rPr>
        <w:t>relaciones</w:t>
      </w:r>
      <w:r>
        <w:rPr>
          <w:i/>
          <w:spacing w:val="-10"/>
          <w:w w:val="105"/>
          <w:sz w:val="18"/>
        </w:rPr>
        <w:t> </w:t>
      </w:r>
      <w:r>
        <w:rPr>
          <w:i/>
          <w:w w:val="105"/>
          <w:sz w:val="18"/>
        </w:rPr>
        <w:t>remitidas</w:t>
      </w:r>
      <w:r>
        <w:rPr>
          <w:i/>
          <w:spacing w:val="-8"/>
          <w:w w:val="105"/>
          <w:sz w:val="18"/>
        </w:rPr>
        <w:t> </w:t>
      </w:r>
      <w:r>
        <w:rPr>
          <w:i/>
          <w:w w:val="105"/>
          <w:sz w:val="18"/>
        </w:rPr>
        <w:t>se</w:t>
      </w:r>
      <w:r>
        <w:rPr>
          <w:i/>
          <w:spacing w:val="-9"/>
          <w:w w:val="105"/>
          <w:sz w:val="18"/>
        </w:rPr>
        <w:t> </w:t>
      </w:r>
      <w:r>
        <w:rPr>
          <w:i/>
          <w:w w:val="105"/>
          <w:sz w:val="18"/>
        </w:rPr>
        <w:t>deducen</w:t>
      </w:r>
      <w:r>
        <w:rPr>
          <w:i/>
          <w:spacing w:val="-9"/>
          <w:w w:val="105"/>
          <w:sz w:val="18"/>
        </w:rPr>
        <w:t> </w:t>
      </w:r>
      <w:r>
        <w:rPr>
          <w:i/>
          <w:w w:val="105"/>
          <w:sz w:val="18"/>
        </w:rPr>
        <w:t>contratos</w:t>
      </w:r>
      <w:r>
        <w:rPr>
          <w:i/>
          <w:spacing w:val="-9"/>
          <w:w w:val="105"/>
          <w:sz w:val="18"/>
        </w:rPr>
        <w:t> </w:t>
      </w:r>
      <w:r>
        <w:rPr>
          <w:i/>
          <w:w w:val="105"/>
          <w:sz w:val="18"/>
        </w:rPr>
        <w:t>cuyos</w:t>
      </w:r>
      <w:r>
        <w:rPr>
          <w:i/>
          <w:spacing w:val="-9"/>
          <w:w w:val="105"/>
          <w:sz w:val="18"/>
        </w:rPr>
        <w:t> </w:t>
      </w:r>
      <w:r>
        <w:rPr>
          <w:i/>
          <w:w w:val="105"/>
          <w:sz w:val="18"/>
        </w:rPr>
        <w:t>importes</w:t>
      </w:r>
      <w:r>
        <w:rPr>
          <w:i/>
          <w:spacing w:val="-8"/>
          <w:w w:val="105"/>
          <w:sz w:val="18"/>
        </w:rPr>
        <w:t> </w:t>
      </w:r>
      <w:r>
        <w:rPr>
          <w:i/>
          <w:w w:val="105"/>
          <w:sz w:val="18"/>
        </w:rPr>
        <w:t>superan</w:t>
      </w:r>
      <w:r>
        <w:rPr>
          <w:i/>
          <w:spacing w:val="-9"/>
          <w:w w:val="105"/>
          <w:sz w:val="18"/>
        </w:rPr>
        <w:t> </w:t>
      </w:r>
      <w:r>
        <w:rPr>
          <w:i/>
          <w:w w:val="105"/>
          <w:sz w:val="18"/>
        </w:rPr>
        <w:t>los</w:t>
      </w:r>
      <w:r>
        <w:rPr>
          <w:i/>
          <w:spacing w:val="-10"/>
          <w:w w:val="105"/>
          <w:sz w:val="18"/>
        </w:rPr>
        <w:t> </w:t>
      </w:r>
      <w:r>
        <w:rPr>
          <w:i/>
          <w:w w:val="105"/>
          <w:sz w:val="18"/>
        </w:rPr>
        <w:t>dispuestos</w:t>
      </w:r>
      <w:r>
        <w:rPr>
          <w:i/>
          <w:spacing w:val="-10"/>
          <w:w w:val="105"/>
          <w:sz w:val="18"/>
        </w:rPr>
        <w:t> </w:t>
      </w:r>
      <w:r>
        <w:rPr>
          <w:i/>
          <w:w w:val="105"/>
          <w:sz w:val="18"/>
        </w:rPr>
        <w:t>en </w:t>
      </w:r>
      <w:r>
        <w:rPr>
          <w:i/>
          <w:w w:val="105"/>
          <w:sz w:val="18"/>
        </w:rPr>
        <w:t>el</w:t>
      </w:r>
      <w:r>
        <w:rPr>
          <w:i/>
          <w:spacing w:val="-12"/>
          <w:w w:val="105"/>
          <w:sz w:val="18"/>
        </w:rPr>
        <w:t> </w:t>
      </w:r>
      <w:r>
        <w:rPr>
          <w:i/>
          <w:w w:val="105"/>
          <w:sz w:val="18"/>
        </w:rPr>
        <w:t>art.</w:t>
      </w:r>
      <w:r>
        <w:rPr>
          <w:i/>
          <w:spacing w:val="-13"/>
          <w:w w:val="105"/>
          <w:sz w:val="18"/>
        </w:rPr>
        <w:t> </w:t>
      </w:r>
      <w:r>
        <w:rPr>
          <w:i/>
          <w:w w:val="105"/>
          <w:sz w:val="18"/>
        </w:rPr>
        <w:t>335</w:t>
      </w:r>
      <w:r>
        <w:rPr>
          <w:i/>
          <w:spacing w:val="-11"/>
          <w:w w:val="105"/>
          <w:sz w:val="18"/>
        </w:rPr>
        <w:t> </w:t>
      </w:r>
      <w:r>
        <w:rPr>
          <w:i/>
          <w:w w:val="105"/>
          <w:sz w:val="18"/>
        </w:rPr>
        <w:t>de</w:t>
      </w:r>
      <w:r>
        <w:rPr>
          <w:i/>
          <w:spacing w:val="-11"/>
          <w:w w:val="105"/>
          <w:sz w:val="18"/>
        </w:rPr>
        <w:t> </w:t>
      </w:r>
      <w:r>
        <w:rPr>
          <w:i/>
          <w:w w:val="105"/>
          <w:sz w:val="18"/>
        </w:rPr>
        <w:t>la</w:t>
      </w:r>
      <w:r>
        <w:rPr>
          <w:i/>
          <w:spacing w:val="-14"/>
          <w:w w:val="105"/>
          <w:sz w:val="18"/>
        </w:rPr>
        <w:t> </w:t>
      </w:r>
      <w:r>
        <w:rPr>
          <w:i/>
          <w:w w:val="105"/>
          <w:sz w:val="18"/>
        </w:rPr>
        <w:t>LCSP,</w:t>
      </w:r>
      <w:r>
        <w:rPr>
          <w:i/>
          <w:spacing w:val="-13"/>
          <w:w w:val="105"/>
          <w:sz w:val="18"/>
        </w:rPr>
        <w:t> </w:t>
      </w:r>
      <w:r>
        <w:rPr>
          <w:i/>
          <w:w w:val="105"/>
          <w:sz w:val="18"/>
        </w:rPr>
        <w:t>sin</w:t>
      </w:r>
      <w:r>
        <w:rPr>
          <w:i/>
          <w:spacing w:val="-12"/>
          <w:w w:val="105"/>
          <w:sz w:val="18"/>
        </w:rPr>
        <w:t> </w:t>
      </w:r>
      <w:r>
        <w:rPr>
          <w:i/>
          <w:w w:val="105"/>
          <w:sz w:val="18"/>
        </w:rPr>
        <w:t>que</w:t>
      </w:r>
      <w:r>
        <w:rPr>
          <w:i/>
          <w:spacing w:val="-11"/>
          <w:w w:val="105"/>
          <w:sz w:val="18"/>
        </w:rPr>
        <w:t> </w:t>
      </w:r>
      <w:r>
        <w:rPr>
          <w:i/>
          <w:w w:val="105"/>
          <w:sz w:val="18"/>
        </w:rPr>
        <w:t>se</w:t>
      </w:r>
      <w:r>
        <w:rPr>
          <w:i/>
          <w:spacing w:val="-11"/>
          <w:w w:val="105"/>
          <w:sz w:val="18"/>
        </w:rPr>
        <w:t> </w:t>
      </w:r>
      <w:r>
        <w:rPr>
          <w:i/>
          <w:w w:val="105"/>
          <w:sz w:val="18"/>
        </w:rPr>
        <w:t>haya</w:t>
      </w:r>
      <w:r>
        <w:rPr>
          <w:i/>
          <w:spacing w:val="-14"/>
          <w:w w:val="105"/>
          <w:sz w:val="18"/>
        </w:rPr>
        <w:t> </w:t>
      </w:r>
      <w:r>
        <w:rPr>
          <w:i/>
          <w:w w:val="105"/>
          <w:sz w:val="18"/>
        </w:rPr>
        <w:t>rendido</w:t>
      </w:r>
      <w:r>
        <w:rPr>
          <w:i/>
          <w:spacing w:val="-11"/>
          <w:w w:val="105"/>
          <w:sz w:val="18"/>
        </w:rPr>
        <w:t> </w:t>
      </w:r>
      <w:r>
        <w:rPr>
          <w:i/>
          <w:w w:val="105"/>
          <w:sz w:val="18"/>
        </w:rPr>
        <w:t>los</w:t>
      </w:r>
      <w:r>
        <w:rPr>
          <w:i/>
          <w:spacing w:val="-12"/>
          <w:w w:val="105"/>
          <w:sz w:val="18"/>
        </w:rPr>
        <w:t> </w:t>
      </w:r>
      <w:r>
        <w:rPr>
          <w:i/>
          <w:w w:val="105"/>
          <w:sz w:val="18"/>
        </w:rPr>
        <w:t>correspondientes</w:t>
      </w:r>
      <w:r>
        <w:rPr>
          <w:i/>
          <w:spacing w:val="-11"/>
          <w:w w:val="105"/>
          <w:sz w:val="18"/>
        </w:rPr>
        <w:t> </w:t>
      </w:r>
      <w:r>
        <w:rPr>
          <w:i/>
          <w:w w:val="105"/>
          <w:sz w:val="18"/>
        </w:rPr>
        <w:t>extractos</w:t>
      </w:r>
      <w:r>
        <w:rPr>
          <w:i/>
          <w:spacing w:val="-11"/>
          <w:w w:val="105"/>
          <w:sz w:val="18"/>
        </w:rPr>
        <w:t> </w:t>
      </w:r>
      <w:r>
        <w:rPr>
          <w:i/>
          <w:w w:val="105"/>
          <w:sz w:val="18"/>
        </w:rPr>
        <w:t>del</w:t>
      </w:r>
      <w:r>
        <w:rPr>
          <w:i/>
          <w:spacing w:val="-13"/>
          <w:w w:val="105"/>
          <w:sz w:val="18"/>
        </w:rPr>
        <w:t> </w:t>
      </w:r>
      <w:r>
        <w:rPr>
          <w:i/>
          <w:w w:val="105"/>
          <w:sz w:val="18"/>
        </w:rPr>
        <w:t>expediente. Esta incidencia afecta a SCE y</w:t>
      </w:r>
      <w:r>
        <w:rPr>
          <w:i/>
          <w:spacing w:val="-13"/>
          <w:w w:val="105"/>
          <w:sz w:val="18"/>
        </w:rPr>
        <w:t> </w:t>
      </w:r>
      <w:r>
        <w:rPr>
          <w:i/>
          <w:w w:val="105"/>
          <w:sz w:val="18"/>
        </w:rPr>
        <w:t>ATC.”</w:t>
      </w:r>
    </w:p>
    <w:p>
      <w:pPr>
        <w:pStyle w:val="BodyText"/>
        <w:spacing w:before="60"/>
        <w:ind w:left="8760" w:right="973"/>
        <w:jc w:val="center"/>
      </w:pPr>
      <w:r>
        <w:rPr/>
        <w:t>234</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503" name="image5.png"/>
                  <wp:cNvGraphicFramePr>
                    <a:graphicFrameLocks noChangeAspect="1"/>
                  </wp:cNvGraphicFramePr>
                  <a:graphic>
                    <a:graphicData uri="http://schemas.openxmlformats.org/drawingml/2006/picture">
                      <pic:pic>
                        <pic:nvPicPr>
                          <pic:cNvPr id="50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236/247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spacing w:before="60"/>
        <w:ind w:left="2299" w:right="0" w:firstLine="0"/>
        <w:jc w:val="both"/>
        <w:rPr>
          <w:b/>
          <w:sz w:val="20"/>
        </w:rPr>
      </w:pPr>
      <w:r>
        <w:rPr>
          <w:b/>
          <w:sz w:val="20"/>
        </w:rPr>
        <w:t>Alegación nº 3: referida al apartado 4.3.5 a).</w:t>
      </w:r>
    </w:p>
    <w:p>
      <w:pPr>
        <w:pStyle w:val="BodyText"/>
        <w:spacing w:before="8"/>
        <w:rPr>
          <w:b/>
          <w:sz w:val="16"/>
        </w:rPr>
      </w:pPr>
    </w:p>
    <w:p>
      <w:pPr>
        <w:pStyle w:val="BodyText"/>
        <w:spacing w:line="242" w:lineRule="auto"/>
        <w:ind w:left="2299" w:right="1339"/>
        <w:jc w:val="both"/>
      </w:pPr>
      <w:r>
        <w:rPr>
          <w:b/>
        </w:rPr>
        <w:t>Resumen</w:t>
      </w:r>
      <w:r>
        <w:rPr/>
        <w:t>:</w:t>
      </w:r>
      <w:r>
        <w:rPr>
          <w:spacing w:val="-5"/>
        </w:rPr>
        <w:t> </w:t>
      </w:r>
      <w:r>
        <w:rPr/>
        <w:t>Con</w:t>
      </w:r>
      <w:r>
        <w:rPr>
          <w:spacing w:val="-3"/>
        </w:rPr>
        <w:t> </w:t>
      </w:r>
      <w:r>
        <w:rPr/>
        <w:t>respecto</w:t>
      </w:r>
      <w:r>
        <w:rPr>
          <w:spacing w:val="-6"/>
        </w:rPr>
        <w:t> </w:t>
      </w:r>
      <w:r>
        <w:rPr/>
        <w:t>a</w:t>
      </w:r>
      <w:r>
        <w:rPr>
          <w:spacing w:val="-4"/>
        </w:rPr>
        <w:t> </w:t>
      </w:r>
      <w:r>
        <w:rPr/>
        <w:t>que</w:t>
      </w:r>
      <w:r>
        <w:rPr>
          <w:spacing w:val="-7"/>
        </w:rPr>
        <w:t> </w:t>
      </w:r>
      <w:r>
        <w:rPr/>
        <w:t>el</w:t>
      </w:r>
      <w:r>
        <w:rPr>
          <w:spacing w:val="-4"/>
        </w:rPr>
        <w:t> </w:t>
      </w:r>
      <w:r>
        <w:rPr/>
        <w:t>ISTAC</w:t>
      </w:r>
      <w:r>
        <w:rPr>
          <w:spacing w:val="-7"/>
        </w:rPr>
        <w:t> </w:t>
      </w:r>
      <w:r>
        <w:rPr/>
        <w:t>no</w:t>
      </w:r>
      <w:r>
        <w:rPr>
          <w:spacing w:val="-7"/>
        </w:rPr>
        <w:t> </w:t>
      </w:r>
      <w:r>
        <w:rPr/>
        <w:t>aporta</w:t>
      </w:r>
      <w:r>
        <w:rPr>
          <w:spacing w:val="-4"/>
        </w:rPr>
        <w:t> </w:t>
      </w:r>
      <w:r>
        <w:rPr/>
        <w:t>los</w:t>
      </w:r>
      <w:r>
        <w:rPr>
          <w:spacing w:val="-4"/>
        </w:rPr>
        <w:t> </w:t>
      </w:r>
      <w:r>
        <w:rPr/>
        <w:t>importes</w:t>
      </w:r>
      <w:r>
        <w:rPr>
          <w:spacing w:val="-6"/>
        </w:rPr>
        <w:t> </w:t>
      </w:r>
      <w:r>
        <w:rPr/>
        <w:t>de</w:t>
      </w:r>
      <w:r>
        <w:rPr>
          <w:spacing w:val="-5"/>
        </w:rPr>
        <w:t> </w:t>
      </w:r>
      <w:r>
        <w:rPr/>
        <w:t>los</w:t>
      </w:r>
      <w:r>
        <w:rPr>
          <w:spacing w:val="-4"/>
        </w:rPr>
        <w:t> </w:t>
      </w:r>
      <w:r>
        <w:rPr/>
        <w:t>convenios</w:t>
      </w:r>
      <w:r>
        <w:rPr>
          <w:spacing w:val="-4"/>
        </w:rPr>
        <w:t> </w:t>
      </w:r>
      <w:r>
        <w:rPr/>
        <w:t>suscritos y, por tanto, no se ha podido verificar el cumplimiento a que se refiere a la remisión de la copia del documento formalizado y la memoria justificativa sobre su necesidad e impacto económico, en caso de que los convenios asuman compromisos económicos que superen los 600.000 euros, se alega que se ha realizado la remisión de la relación de los convenios, que se compone de dos convenios formalizados en el ejercicio 2023 y, se verifica que aparece la columna de financiación sin ningún importe, esto es debido a que eso convenios no tienen ningún tipo de</w:t>
      </w:r>
      <w:r>
        <w:rPr>
          <w:spacing w:val="1"/>
        </w:rPr>
        <w:t> </w:t>
      </w:r>
      <w:r>
        <w:rPr/>
        <w:t>financiación.</w:t>
      </w:r>
    </w:p>
    <w:p>
      <w:pPr>
        <w:pStyle w:val="BodyText"/>
        <w:spacing w:before="3"/>
        <w:rPr>
          <w:sz w:val="16"/>
        </w:rPr>
      </w:pPr>
    </w:p>
    <w:p>
      <w:pPr>
        <w:pStyle w:val="BodyText"/>
        <w:ind w:left="2299" w:right="1341"/>
        <w:jc w:val="both"/>
      </w:pPr>
      <w:r>
        <w:rPr>
          <w:b/>
        </w:rPr>
        <w:t>Contestación</w:t>
      </w:r>
      <w:r>
        <w:rPr/>
        <w:t>: La información aportada no contradice el contenido del informe, pero al comunicar ahora que esos dos convenios formalizados no tienen obligaciones económicas para el Instituto, se tiene en cuenta esta información.</w:t>
      </w:r>
    </w:p>
    <w:p>
      <w:pPr>
        <w:pStyle w:val="BodyText"/>
        <w:spacing w:before="11"/>
        <w:rPr>
          <w:sz w:val="16"/>
        </w:rPr>
      </w:pPr>
    </w:p>
    <w:p>
      <w:pPr>
        <w:pStyle w:val="BodyText"/>
        <w:ind w:left="2299"/>
        <w:jc w:val="both"/>
      </w:pPr>
      <w:r>
        <w:rPr/>
        <w:t>Por ello, se sustituyen los siguientes párrafos del apartado 4.3.5 a):</w:t>
      </w:r>
    </w:p>
    <w:p>
      <w:pPr>
        <w:pStyle w:val="BodyText"/>
        <w:spacing w:before="8"/>
        <w:rPr>
          <w:sz w:val="16"/>
        </w:rPr>
      </w:pPr>
    </w:p>
    <w:p>
      <w:pPr>
        <w:spacing w:before="0"/>
        <w:ind w:left="2299" w:right="0" w:firstLine="0"/>
        <w:jc w:val="both"/>
        <w:rPr>
          <w:i/>
          <w:sz w:val="20"/>
        </w:rPr>
      </w:pPr>
      <w:r>
        <w:rPr>
          <w:i/>
          <w:sz w:val="20"/>
        </w:rPr>
        <w:t>“3. Ni ISTAC ni ATC aportan los importes de los convenios.</w:t>
      </w:r>
    </w:p>
    <w:p>
      <w:pPr>
        <w:pStyle w:val="BodyText"/>
        <w:spacing w:before="8"/>
        <w:rPr>
          <w:i/>
          <w:sz w:val="16"/>
        </w:rPr>
      </w:pPr>
    </w:p>
    <w:p>
      <w:pPr>
        <w:spacing w:line="242" w:lineRule="auto" w:before="0"/>
        <w:ind w:left="2299" w:right="1345" w:firstLine="0"/>
        <w:jc w:val="both"/>
        <w:rPr>
          <w:i/>
          <w:sz w:val="20"/>
        </w:rPr>
      </w:pPr>
      <w:r>
        <w:rPr>
          <w:i/>
          <w:sz w:val="20"/>
        </w:rPr>
        <w:t>4. Al no incorporar el importe en la relación facilitada por ISTAC y ATC, tampoco se ha </w:t>
      </w:r>
      <w:r>
        <w:rPr>
          <w:i/>
          <w:sz w:val="20"/>
        </w:rPr>
        <w:t>podido verificar para estas entidades el cumplimiento que se refiere a la remisión de la copia del documento formalizado y la memoria justificativa sobre su necesidad e impacto</w:t>
      </w:r>
      <w:r>
        <w:rPr>
          <w:i/>
          <w:spacing w:val="-6"/>
          <w:sz w:val="20"/>
        </w:rPr>
        <w:t> </w:t>
      </w:r>
      <w:r>
        <w:rPr>
          <w:i/>
          <w:sz w:val="20"/>
        </w:rPr>
        <w:t>económico,</w:t>
      </w:r>
      <w:r>
        <w:rPr>
          <w:i/>
          <w:spacing w:val="-5"/>
          <w:sz w:val="20"/>
        </w:rPr>
        <w:t> </w:t>
      </w:r>
      <w:r>
        <w:rPr>
          <w:i/>
          <w:sz w:val="20"/>
        </w:rPr>
        <w:t>en</w:t>
      </w:r>
      <w:r>
        <w:rPr>
          <w:i/>
          <w:spacing w:val="-5"/>
          <w:sz w:val="20"/>
        </w:rPr>
        <w:t> </w:t>
      </w:r>
      <w:r>
        <w:rPr>
          <w:i/>
          <w:sz w:val="20"/>
        </w:rPr>
        <w:t>caso</w:t>
      </w:r>
      <w:r>
        <w:rPr>
          <w:i/>
          <w:spacing w:val="-6"/>
          <w:sz w:val="20"/>
        </w:rPr>
        <w:t> </w:t>
      </w:r>
      <w:r>
        <w:rPr>
          <w:i/>
          <w:sz w:val="20"/>
        </w:rPr>
        <w:t>de</w:t>
      </w:r>
      <w:r>
        <w:rPr>
          <w:i/>
          <w:spacing w:val="-4"/>
          <w:sz w:val="20"/>
        </w:rPr>
        <w:t> </w:t>
      </w:r>
      <w:r>
        <w:rPr>
          <w:i/>
          <w:sz w:val="20"/>
        </w:rPr>
        <w:t>que</w:t>
      </w:r>
      <w:r>
        <w:rPr>
          <w:i/>
          <w:spacing w:val="-5"/>
          <w:sz w:val="20"/>
        </w:rPr>
        <w:t> </w:t>
      </w:r>
      <w:r>
        <w:rPr>
          <w:i/>
          <w:sz w:val="20"/>
        </w:rPr>
        <w:t>los</w:t>
      </w:r>
      <w:r>
        <w:rPr>
          <w:i/>
          <w:spacing w:val="-4"/>
          <w:sz w:val="20"/>
        </w:rPr>
        <w:t> </w:t>
      </w:r>
      <w:r>
        <w:rPr>
          <w:i/>
          <w:sz w:val="20"/>
        </w:rPr>
        <w:t>convenios</w:t>
      </w:r>
      <w:r>
        <w:rPr>
          <w:i/>
          <w:spacing w:val="-4"/>
          <w:sz w:val="20"/>
        </w:rPr>
        <w:t> </w:t>
      </w:r>
      <w:r>
        <w:rPr>
          <w:i/>
          <w:sz w:val="20"/>
        </w:rPr>
        <w:t>asuman</w:t>
      </w:r>
      <w:r>
        <w:rPr>
          <w:i/>
          <w:spacing w:val="-6"/>
          <w:sz w:val="20"/>
        </w:rPr>
        <w:t> </w:t>
      </w:r>
      <w:r>
        <w:rPr>
          <w:i/>
          <w:sz w:val="20"/>
        </w:rPr>
        <w:t>compromisos</w:t>
      </w:r>
      <w:r>
        <w:rPr>
          <w:i/>
          <w:spacing w:val="-4"/>
          <w:sz w:val="20"/>
        </w:rPr>
        <w:t> </w:t>
      </w:r>
      <w:r>
        <w:rPr>
          <w:i/>
          <w:sz w:val="20"/>
        </w:rPr>
        <w:t>económicos</w:t>
      </w:r>
      <w:r>
        <w:rPr>
          <w:i/>
          <w:spacing w:val="-5"/>
          <w:sz w:val="20"/>
        </w:rPr>
        <w:t> </w:t>
      </w:r>
      <w:r>
        <w:rPr>
          <w:i/>
          <w:sz w:val="20"/>
        </w:rPr>
        <w:t>que superen los 600.000</w:t>
      </w:r>
      <w:r>
        <w:rPr>
          <w:i/>
          <w:spacing w:val="1"/>
          <w:sz w:val="20"/>
        </w:rPr>
        <w:t> </w:t>
      </w:r>
      <w:r>
        <w:rPr>
          <w:i/>
          <w:sz w:val="20"/>
        </w:rPr>
        <w:t>euros.”</w:t>
      </w:r>
    </w:p>
    <w:p>
      <w:pPr>
        <w:pStyle w:val="BodyText"/>
        <w:spacing w:before="3"/>
        <w:rPr>
          <w:i/>
          <w:sz w:val="16"/>
        </w:rPr>
      </w:pPr>
    </w:p>
    <w:p>
      <w:pPr>
        <w:pStyle w:val="BodyText"/>
        <w:ind w:left="2299"/>
        <w:jc w:val="both"/>
      </w:pPr>
      <w:r>
        <w:rPr/>
        <w:t>Por estos otros:</w:t>
      </w:r>
    </w:p>
    <w:p>
      <w:pPr>
        <w:pStyle w:val="BodyText"/>
        <w:spacing w:before="8"/>
        <w:rPr>
          <w:sz w:val="16"/>
        </w:rPr>
      </w:pPr>
    </w:p>
    <w:p>
      <w:pPr>
        <w:spacing w:before="0"/>
        <w:ind w:left="2299" w:right="0" w:firstLine="0"/>
        <w:jc w:val="both"/>
        <w:rPr>
          <w:i/>
          <w:sz w:val="20"/>
        </w:rPr>
      </w:pPr>
      <w:r>
        <w:rPr>
          <w:i/>
          <w:sz w:val="20"/>
        </w:rPr>
        <w:t>“3. ATC no aporta los importes de los convenios.</w:t>
      </w:r>
    </w:p>
    <w:p>
      <w:pPr>
        <w:pStyle w:val="BodyText"/>
        <w:spacing w:before="7"/>
        <w:rPr>
          <w:i/>
          <w:sz w:val="16"/>
        </w:rPr>
      </w:pPr>
    </w:p>
    <w:p>
      <w:pPr>
        <w:spacing w:line="242" w:lineRule="auto" w:before="1"/>
        <w:ind w:left="2299" w:right="1344" w:firstLine="0"/>
        <w:jc w:val="both"/>
        <w:rPr>
          <w:i/>
          <w:sz w:val="20"/>
        </w:rPr>
      </w:pPr>
      <w:r>
        <w:rPr>
          <w:i/>
          <w:sz w:val="20"/>
        </w:rPr>
        <w:t>4. Al no incorporar el importe en la relación facilitada por ATC, tampoco se ha podido </w:t>
      </w:r>
      <w:r>
        <w:rPr>
          <w:i/>
          <w:sz w:val="20"/>
        </w:rPr>
        <w:t>verificar</w:t>
      </w:r>
      <w:r>
        <w:rPr>
          <w:i/>
          <w:spacing w:val="-5"/>
          <w:sz w:val="20"/>
        </w:rPr>
        <w:t> </w:t>
      </w:r>
      <w:r>
        <w:rPr>
          <w:i/>
          <w:sz w:val="20"/>
        </w:rPr>
        <w:t>para</w:t>
      </w:r>
      <w:r>
        <w:rPr>
          <w:i/>
          <w:spacing w:val="-5"/>
          <w:sz w:val="20"/>
        </w:rPr>
        <w:t> </w:t>
      </w:r>
      <w:r>
        <w:rPr>
          <w:i/>
          <w:sz w:val="20"/>
        </w:rPr>
        <w:t>estas</w:t>
      </w:r>
      <w:r>
        <w:rPr>
          <w:i/>
          <w:spacing w:val="-3"/>
          <w:sz w:val="20"/>
        </w:rPr>
        <w:t> </w:t>
      </w:r>
      <w:r>
        <w:rPr>
          <w:i/>
          <w:sz w:val="20"/>
        </w:rPr>
        <w:t>entidades</w:t>
      </w:r>
      <w:r>
        <w:rPr>
          <w:i/>
          <w:spacing w:val="-3"/>
          <w:sz w:val="20"/>
        </w:rPr>
        <w:t> </w:t>
      </w:r>
      <w:r>
        <w:rPr>
          <w:i/>
          <w:sz w:val="20"/>
        </w:rPr>
        <w:t>el</w:t>
      </w:r>
      <w:r>
        <w:rPr>
          <w:i/>
          <w:spacing w:val="-3"/>
          <w:sz w:val="20"/>
        </w:rPr>
        <w:t> </w:t>
      </w:r>
      <w:r>
        <w:rPr>
          <w:i/>
          <w:sz w:val="20"/>
        </w:rPr>
        <w:t>cumplimiento</w:t>
      </w:r>
      <w:r>
        <w:rPr>
          <w:i/>
          <w:spacing w:val="-4"/>
          <w:sz w:val="20"/>
        </w:rPr>
        <w:t> </w:t>
      </w:r>
      <w:r>
        <w:rPr>
          <w:i/>
          <w:sz w:val="20"/>
        </w:rPr>
        <w:t>que</w:t>
      </w:r>
      <w:r>
        <w:rPr>
          <w:i/>
          <w:spacing w:val="-4"/>
          <w:sz w:val="20"/>
        </w:rPr>
        <w:t> </w:t>
      </w:r>
      <w:r>
        <w:rPr>
          <w:i/>
          <w:sz w:val="20"/>
        </w:rPr>
        <w:t>se</w:t>
      </w:r>
      <w:r>
        <w:rPr>
          <w:i/>
          <w:spacing w:val="-3"/>
          <w:sz w:val="20"/>
        </w:rPr>
        <w:t> </w:t>
      </w:r>
      <w:r>
        <w:rPr>
          <w:i/>
          <w:sz w:val="20"/>
        </w:rPr>
        <w:t>refiere</w:t>
      </w:r>
      <w:r>
        <w:rPr>
          <w:i/>
          <w:spacing w:val="-3"/>
          <w:sz w:val="20"/>
        </w:rPr>
        <w:t> </w:t>
      </w:r>
      <w:r>
        <w:rPr>
          <w:i/>
          <w:sz w:val="20"/>
        </w:rPr>
        <w:t>a</w:t>
      </w:r>
      <w:r>
        <w:rPr>
          <w:i/>
          <w:spacing w:val="-4"/>
          <w:sz w:val="20"/>
        </w:rPr>
        <w:t> </w:t>
      </w:r>
      <w:r>
        <w:rPr>
          <w:i/>
          <w:sz w:val="20"/>
        </w:rPr>
        <w:t>la</w:t>
      </w:r>
      <w:r>
        <w:rPr>
          <w:i/>
          <w:spacing w:val="-4"/>
          <w:sz w:val="20"/>
        </w:rPr>
        <w:t> </w:t>
      </w:r>
      <w:r>
        <w:rPr>
          <w:i/>
          <w:sz w:val="20"/>
        </w:rPr>
        <w:t>remisión</w:t>
      </w:r>
      <w:r>
        <w:rPr>
          <w:i/>
          <w:spacing w:val="-4"/>
          <w:sz w:val="20"/>
        </w:rPr>
        <w:t> </w:t>
      </w:r>
      <w:r>
        <w:rPr>
          <w:i/>
          <w:sz w:val="20"/>
        </w:rPr>
        <w:t>de</w:t>
      </w:r>
      <w:r>
        <w:rPr>
          <w:i/>
          <w:spacing w:val="-4"/>
          <w:sz w:val="20"/>
        </w:rPr>
        <w:t> </w:t>
      </w:r>
      <w:r>
        <w:rPr>
          <w:i/>
          <w:sz w:val="20"/>
        </w:rPr>
        <w:t>la</w:t>
      </w:r>
      <w:r>
        <w:rPr>
          <w:i/>
          <w:spacing w:val="-4"/>
          <w:sz w:val="20"/>
        </w:rPr>
        <w:t> </w:t>
      </w:r>
      <w:r>
        <w:rPr>
          <w:i/>
          <w:sz w:val="20"/>
        </w:rPr>
        <w:t>copia</w:t>
      </w:r>
      <w:r>
        <w:rPr>
          <w:i/>
          <w:spacing w:val="-4"/>
          <w:sz w:val="20"/>
        </w:rPr>
        <w:t> </w:t>
      </w:r>
      <w:r>
        <w:rPr>
          <w:i/>
          <w:sz w:val="20"/>
        </w:rPr>
        <w:t>del documento formalizado y la memoria justificativa sobre su necesidad e impacto económico,</w:t>
      </w:r>
      <w:r>
        <w:rPr>
          <w:i/>
          <w:spacing w:val="-4"/>
          <w:sz w:val="20"/>
        </w:rPr>
        <w:t> </w:t>
      </w:r>
      <w:r>
        <w:rPr>
          <w:i/>
          <w:sz w:val="20"/>
        </w:rPr>
        <w:t>en</w:t>
      </w:r>
      <w:r>
        <w:rPr>
          <w:i/>
          <w:spacing w:val="-4"/>
          <w:sz w:val="20"/>
        </w:rPr>
        <w:t> </w:t>
      </w:r>
      <w:r>
        <w:rPr>
          <w:i/>
          <w:sz w:val="20"/>
        </w:rPr>
        <w:t>caso</w:t>
      </w:r>
      <w:r>
        <w:rPr>
          <w:i/>
          <w:spacing w:val="-4"/>
          <w:sz w:val="20"/>
        </w:rPr>
        <w:t> </w:t>
      </w:r>
      <w:r>
        <w:rPr>
          <w:i/>
          <w:sz w:val="20"/>
        </w:rPr>
        <w:t>de</w:t>
      </w:r>
      <w:r>
        <w:rPr>
          <w:i/>
          <w:spacing w:val="-3"/>
          <w:sz w:val="20"/>
        </w:rPr>
        <w:t> </w:t>
      </w:r>
      <w:r>
        <w:rPr>
          <w:i/>
          <w:sz w:val="20"/>
        </w:rPr>
        <w:t>que</w:t>
      </w:r>
      <w:r>
        <w:rPr>
          <w:i/>
          <w:spacing w:val="-3"/>
          <w:sz w:val="20"/>
        </w:rPr>
        <w:t> </w:t>
      </w:r>
      <w:r>
        <w:rPr>
          <w:i/>
          <w:sz w:val="20"/>
        </w:rPr>
        <w:t>los</w:t>
      </w:r>
      <w:r>
        <w:rPr>
          <w:i/>
          <w:spacing w:val="-3"/>
          <w:sz w:val="20"/>
        </w:rPr>
        <w:t> </w:t>
      </w:r>
      <w:r>
        <w:rPr>
          <w:i/>
          <w:sz w:val="20"/>
        </w:rPr>
        <w:t>convenios</w:t>
      </w:r>
      <w:r>
        <w:rPr>
          <w:i/>
          <w:spacing w:val="-3"/>
          <w:sz w:val="20"/>
        </w:rPr>
        <w:t> </w:t>
      </w:r>
      <w:r>
        <w:rPr>
          <w:i/>
          <w:sz w:val="20"/>
        </w:rPr>
        <w:t>asuman</w:t>
      </w:r>
      <w:r>
        <w:rPr>
          <w:i/>
          <w:spacing w:val="-2"/>
          <w:sz w:val="20"/>
        </w:rPr>
        <w:t> </w:t>
      </w:r>
      <w:r>
        <w:rPr>
          <w:i/>
          <w:sz w:val="20"/>
        </w:rPr>
        <w:t>compromisos</w:t>
      </w:r>
      <w:r>
        <w:rPr>
          <w:i/>
          <w:spacing w:val="-3"/>
          <w:sz w:val="20"/>
        </w:rPr>
        <w:t> </w:t>
      </w:r>
      <w:r>
        <w:rPr>
          <w:i/>
          <w:sz w:val="20"/>
        </w:rPr>
        <w:t>económicos</w:t>
      </w:r>
      <w:r>
        <w:rPr>
          <w:i/>
          <w:spacing w:val="-4"/>
          <w:sz w:val="20"/>
        </w:rPr>
        <w:t> </w:t>
      </w:r>
      <w:r>
        <w:rPr>
          <w:i/>
          <w:sz w:val="20"/>
        </w:rPr>
        <w:t>que</w:t>
      </w:r>
      <w:r>
        <w:rPr>
          <w:i/>
          <w:spacing w:val="-3"/>
          <w:sz w:val="20"/>
        </w:rPr>
        <w:t> </w:t>
      </w:r>
      <w:r>
        <w:rPr>
          <w:i/>
          <w:sz w:val="20"/>
        </w:rPr>
        <w:t>superen los 600.000</w:t>
      </w:r>
      <w:r>
        <w:rPr>
          <w:i/>
          <w:spacing w:val="2"/>
          <w:sz w:val="20"/>
        </w:rPr>
        <w:t> </w:t>
      </w:r>
      <w:r>
        <w:rPr>
          <w:i/>
          <w:sz w:val="20"/>
        </w:rPr>
        <w:t>euros.”</w:t>
      </w:r>
    </w:p>
    <w:p>
      <w:pPr>
        <w:pStyle w:val="BodyText"/>
        <w:spacing w:before="4"/>
        <w:rPr>
          <w:i/>
          <w:sz w:val="16"/>
        </w:rPr>
      </w:pPr>
    </w:p>
    <w:p>
      <w:pPr>
        <w:pStyle w:val="Heading1"/>
        <w:ind w:left="2299"/>
        <w:jc w:val="both"/>
      </w:pPr>
      <w:r>
        <w:rPr/>
        <w:t>Alegación nº 4: referida al apartado 4.3.5 b).</w:t>
      </w:r>
    </w:p>
    <w:p>
      <w:pPr>
        <w:pStyle w:val="BodyText"/>
        <w:spacing w:before="8"/>
        <w:rPr>
          <w:b/>
          <w:sz w:val="16"/>
        </w:rPr>
      </w:pPr>
    </w:p>
    <w:p>
      <w:pPr>
        <w:pStyle w:val="BodyText"/>
        <w:ind w:left="2299" w:right="1342"/>
        <w:jc w:val="both"/>
      </w:pPr>
      <w:r>
        <w:rPr>
          <w:b/>
        </w:rPr>
        <w:t>Resumen</w:t>
      </w:r>
      <w:r>
        <w:rPr/>
        <w:t>:</w:t>
      </w:r>
      <w:r>
        <w:rPr>
          <w:spacing w:val="-2"/>
        </w:rPr>
        <w:t> </w:t>
      </w:r>
      <w:r>
        <w:rPr/>
        <w:t>En</w:t>
      </w:r>
      <w:r>
        <w:rPr>
          <w:spacing w:val="-3"/>
        </w:rPr>
        <w:t> </w:t>
      </w:r>
      <w:r>
        <w:rPr/>
        <w:t>relación</w:t>
      </w:r>
      <w:r>
        <w:rPr>
          <w:spacing w:val="-2"/>
        </w:rPr>
        <w:t> </w:t>
      </w:r>
      <w:r>
        <w:rPr/>
        <w:t>a</w:t>
      </w:r>
      <w:r>
        <w:rPr>
          <w:spacing w:val="-6"/>
        </w:rPr>
        <w:t> </w:t>
      </w:r>
      <w:r>
        <w:rPr/>
        <w:t>que</w:t>
      </w:r>
      <w:r>
        <w:rPr>
          <w:spacing w:val="-3"/>
        </w:rPr>
        <w:t> </w:t>
      </w:r>
      <w:r>
        <w:rPr/>
        <w:t>el</w:t>
      </w:r>
      <w:r>
        <w:rPr>
          <w:spacing w:val="-2"/>
        </w:rPr>
        <w:t> </w:t>
      </w:r>
      <w:r>
        <w:rPr/>
        <w:t>ISTAC,</w:t>
      </w:r>
      <w:r>
        <w:rPr>
          <w:spacing w:val="-1"/>
        </w:rPr>
        <w:t> </w:t>
      </w:r>
      <w:r>
        <w:rPr/>
        <w:t>en</w:t>
      </w:r>
      <w:r>
        <w:rPr>
          <w:spacing w:val="-2"/>
        </w:rPr>
        <w:t> </w:t>
      </w:r>
      <w:r>
        <w:rPr/>
        <w:t>su</w:t>
      </w:r>
      <w:r>
        <w:rPr>
          <w:spacing w:val="-4"/>
        </w:rPr>
        <w:t> </w:t>
      </w:r>
      <w:r>
        <w:rPr/>
        <w:t>plan</w:t>
      </w:r>
      <w:r>
        <w:rPr>
          <w:spacing w:val="-5"/>
        </w:rPr>
        <w:t> </w:t>
      </w:r>
      <w:r>
        <w:rPr/>
        <w:t>de</w:t>
      </w:r>
      <w:r>
        <w:rPr>
          <w:spacing w:val="-2"/>
        </w:rPr>
        <w:t> </w:t>
      </w:r>
      <w:r>
        <w:rPr/>
        <w:t>contratación,</w:t>
      </w:r>
      <w:r>
        <w:rPr>
          <w:spacing w:val="-3"/>
        </w:rPr>
        <w:t> </w:t>
      </w:r>
      <w:r>
        <w:rPr/>
        <w:t>incorpora</w:t>
      </w:r>
      <w:r>
        <w:rPr>
          <w:spacing w:val="-2"/>
        </w:rPr>
        <w:t> </w:t>
      </w:r>
      <w:r>
        <w:rPr/>
        <w:t>una</w:t>
      </w:r>
      <w:r>
        <w:rPr>
          <w:spacing w:val="-3"/>
        </w:rPr>
        <w:t> </w:t>
      </w:r>
      <w:r>
        <w:rPr/>
        <w:t>relación de seis contratos, indicando su objeto, procedimiento, fecha prevista, estado y su relación con el objetivo de planificación estratégica. No se informa, en cambio, ni del valor</w:t>
      </w:r>
      <w:r>
        <w:rPr>
          <w:spacing w:val="-5"/>
        </w:rPr>
        <w:t> </w:t>
      </w:r>
      <w:r>
        <w:rPr/>
        <w:t>estimado</w:t>
      </w:r>
      <w:r>
        <w:rPr>
          <w:spacing w:val="-5"/>
        </w:rPr>
        <w:t> </w:t>
      </w:r>
      <w:r>
        <w:rPr/>
        <w:t>ni</w:t>
      </w:r>
      <w:r>
        <w:rPr>
          <w:spacing w:val="-7"/>
        </w:rPr>
        <w:t> </w:t>
      </w:r>
      <w:r>
        <w:rPr/>
        <w:t>de</w:t>
      </w:r>
      <w:r>
        <w:rPr>
          <w:spacing w:val="-4"/>
        </w:rPr>
        <w:t> </w:t>
      </w:r>
      <w:r>
        <w:rPr/>
        <w:t>su</w:t>
      </w:r>
      <w:r>
        <w:rPr>
          <w:spacing w:val="-7"/>
        </w:rPr>
        <w:t> </w:t>
      </w:r>
      <w:r>
        <w:rPr/>
        <w:t>duración,</w:t>
      </w:r>
      <w:r>
        <w:rPr>
          <w:spacing w:val="-7"/>
        </w:rPr>
        <w:t> </w:t>
      </w:r>
      <w:r>
        <w:rPr/>
        <w:t>para</w:t>
      </w:r>
      <w:r>
        <w:rPr>
          <w:spacing w:val="-5"/>
        </w:rPr>
        <w:t> </w:t>
      </w:r>
      <w:r>
        <w:rPr/>
        <w:t>lo</w:t>
      </w:r>
      <w:r>
        <w:rPr>
          <w:spacing w:val="-7"/>
        </w:rPr>
        <w:t> </w:t>
      </w:r>
      <w:r>
        <w:rPr/>
        <w:t>que</w:t>
      </w:r>
      <w:r>
        <w:rPr>
          <w:spacing w:val="-5"/>
        </w:rPr>
        <w:t> </w:t>
      </w:r>
      <w:r>
        <w:rPr/>
        <w:t>se</w:t>
      </w:r>
      <w:r>
        <w:rPr>
          <w:spacing w:val="-7"/>
        </w:rPr>
        <w:t> </w:t>
      </w:r>
      <w:r>
        <w:rPr/>
        <w:t>alega</w:t>
      </w:r>
      <w:r>
        <w:rPr>
          <w:spacing w:val="-5"/>
        </w:rPr>
        <w:t> </w:t>
      </w:r>
      <w:r>
        <w:rPr/>
        <w:t>que</w:t>
      </w:r>
      <w:r>
        <w:rPr>
          <w:spacing w:val="-5"/>
        </w:rPr>
        <w:t> </w:t>
      </w:r>
      <w:r>
        <w:rPr/>
        <w:t>lo</w:t>
      </w:r>
      <w:r>
        <w:rPr>
          <w:spacing w:val="-5"/>
        </w:rPr>
        <w:t> </w:t>
      </w:r>
      <w:r>
        <w:rPr/>
        <w:t>tendrán</w:t>
      </w:r>
      <w:r>
        <w:rPr>
          <w:spacing w:val="-3"/>
        </w:rPr>
        <w:t> </w:t>
      </w:r>
      <w:r>
        <w:rPr/>
        <w:t>consideración</w:t>
      </w:r>
      <w:r>
        <w:rPr>
          <w:spacing w:val="-6"/>
        </w:rPr>
        <w:t> </w:t>
      </w:r>
      <w:r>
        <w:rPr/>
        <w:t>para la elaboración de los próximos planes anuales de contratación.</w:t>
      </w:r>
    </w:p>
    <w:p>
      <w:pPr>
        <w:pStyle w:val="BodyText"/>
      </w:pPr>
    </w:p>
    <w:p>
      <w:pPr>
        <w:pStyle w:val="BodyText"/>
        <w:spacing w:before="11"/>
        <w:rPr>
          <w:sz w:val="15"/>
        </w:rPr>
      </w:pPr>
    </w:p>
    <w:p>
      <w:pPr>
        <w:pStyle w:val="BodyText"/>
        <w:ind w:left="8760" w:right="973"/>
        <w:jc w:val="center"/>
      </w:pPr>
      <w:r>
        <w:rPr/>
        <w:t>235</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505" name="image5.png"/>
                  <wp:cNvGraphicFramePr>
                    <a:graphicFrameLocks noChangeAspect="1"/>
                  </wp:cNvGraphicFramePr>
                  <a:graphic>
                    <a:graphicData uri="http://schemas.openxmlformats.org/drawingml/2006/picture">
                      <pic:pic>
                        <pic:nvPicPr>
                          <pic:cNvPr id="50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237/247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line="439" w:lineRule="auto" w:before="60"/>
        <w:ind w:left="2299" w:right="1988"/>
        <w:jc w:val="both"/>
      </w:pPr>
      <w:r>
        <w:rPr>
          <w:b/>
        </w:rPr>
        <w:t>Contestación</w:t>
      </w:r>
      <w:r>
        <w:rPr/>
        <w:t>: La información aportada no contradice el contenido del Informe. Por lo que se mantiene el contenido del Informe.</w:t>
      </w:r>
    </w:p>
    <w:p>
      <w:pPr>
        <w:pStyle w:val="Heading1"/>
        <w:spacing w:before="2"/>
        <w:ind w:left="2299"/>
        <w:jc w:val="both"/>
      </w:pPr>
      <w:r>
        <w:rPr/>
        <w:t>Alegación nº 5: referida al anexo 9.12.</w:t>
      </w:r>
    </w:p>
    <w:p>
      <w:pPr>
        <w:pStyle w:val="BodyText"/>
        <w:spacing w:before="7"/>
        <w:rPr>
          <w:b/>
          <w:sz w:val="16"/>
        </w:rPr>
      </w:pPr>
    </w:p>
    <w:p>
      <w:pPr>
        <w:pStyle w:val="BodyText"/>
        <w:ind w:left="2299" w:right="1339"/>
        <w:jc w:val="both"/>
      </w:pPr>
      <w:r>
        <w:rPr>
          <w:b/>
        </w:rPr>
        <w:t>Resumen</w:t>
      </w:r>
      <w:r>
        <w:rPr/>
        <w:t>: Con respecto a las incidencias que se recogen en el anexo (no figura la fecha de adjudicación de los contratos, no se indica el tipo de contrato y hay 10 contratos con importe superior a 15.000 €), se indica que para futuras remisiones se incorporará esos datos, facilitados por el Instituto con el IGIC, que en ningún caso exceden del importe establecido para los contratos menores.</w:t>
      </w:r>
    </w:p>
    <w:p>
      <w:pPr>
        <w:pStyle w:val="BodyText"/>
        <w:spacing w:before="5"/>
        <w:rPr>
          <w:sz w:val="17"/>
        </w:rPr>
      </w:pPr>
    </w:p>
    <w:p>
      <w:pPr>
        <w:pStyle w:val="BodyText"/>
        <w:spacing w:line="439" w:lineRule="auto"/>
        <w:ind w:left="2299" w:right="1994"/>
        <w:jc w:val="both"/>
      </w:pPr>
      <w:r>
        <w:rPr>
          <w:b/>
        </w:rPr>
        <w:t>Contestación</w:t>
      </w:r>
      <w:r>
        <w:rPr/>
        <w:t>: La información aportada no contradice el contenido del informe. Así pues, el Informe se mantiene.</w:t>
      </w:r>
    </w:p>
    <w:p>
      <w:pPr>
        <w:pStyle w:val="BodyText"/>
      </w:pPr>
    </w:p>
    <w:p>
      <w:pPr>
        <w:pStyle w:val="BodyText"/>
        <w:spacing w:before="9"/>
        <w:rPr>
          <w:sz w:val="16"/>
        </w:rPr>
      </w:pPr>
    </w:p>
    <w:p>
      <w:pPr>
        <w:pStyle w:val="Heading1"/>
        <w:ind w:left="2299" w:right="1345"/>
        <w:jc w:val="both"/>
      </w:pPr>
      <w:r>
        <w:rPr>
          <w:u w:val="single"/>
        </w:rPr>
        <w:t>ALEGACIONES DE LA DIRECCIÓN GENERAL DE RECURSOS ECONÓMICOS DEL SERVICIO</w:t>
      </w:r>
      <w:r>
        <w:rPr/>
        <w:t> </w:t>
      </w:r>
      <w:r>
        <w:rPr>
          <w:u w:val="single"/>
        </w:rPr>
        <w:t>CANARIO DE LA SALUD</w:t>
      </w:r>
    </w:p>
    <w:p>
      <w:pPr>
        <w:pStyle w:val="BodyText"/>
        <w:spacing w:before="10"/>
        <w:rPr>
          <w:b/>
          <w:sz w:val="11"/>
        </w:rPr>
      </w:pPr>
    </w:p>
    <w:p>
      <w:pPr>
        <w:spacing w:before="61"/>
        <w:ind w:left="2299" w:right="0" w:firstLine="0"/>
        <w:jc w:val="both"/>
        <w:rPr>
          <w:b/>
          <w:sz w:val="20"/>
        </w:rPr>
      </w:pPr>
      <w:r>
        <w:rPr>
          <w:b/>
          <w:sz w:val="20"/>
        </w:rPr>
        <w:t>Alegación nº 1: referida al apartado b), del epígrafe 4.4.3 y conclusión nº 25.</w:t>
      </w:r>
    </w:p>
    <w:p>
      <w:pPr>
        <w:pStyle w:val="BodyText"/>
        <w:spacing w:before="8"/>
        <w:rPr>
          <w:b/>
          <w:sz w:val="16"/>
        </w:rPr>
      </w:pPr>
    </w:p>
    <w:p>
      <w:pPr>
        <w:pStyle w:val="BodyText"/>
        <w:spacing w:line="242" w:lineRule="auto"/>
        <w:ind w:left="2299" w:right="1342"/>
        <w:jc w:val="both"/>
      </w:pPr>
      <w:r>
        <w:rPr>
          <w:b/>
        </w:rPr>
        <w:t>Resumen: </w:t>
      </w:r>
      <w:r>
        <w:rPr/>
        <w:t>El Plan de contratación de 2022 del SCS está conformado por 18 planes individuales de los diferentes órganos de contratación, con contenidos y formatos diferentes. Asimismo, informan que, las Direcciones de Área de Salud de El Hierro, La Gomera y La Palma, la Dirección General de Programas Asistenciales y la Gerencia de Servicios Sanitarios de La Gomera no tuvieron planes de contratación en 2022.</w:t>
      </w:r>
    </w:p>
    <w:p>
      <w:pPr>
        <w:pStyle w:val="BodyText"/>
        <w:spacing w:before="2"/>
        <w:rPr>
          <w:sz w:val="16"/>
        </w:rPr>
      </w:pPr>
    </w:p>
    <w:p>
      <w:pPr>
        <w:pStyle w:val="BodyText"/>
        <w:spacing w:line="242" w:lineRule="auto" w:before="1"/>
        <w:ind w:left="2299" w:right="1338"/>
        <w:jc w:val="both"/>
      </w:pPr>
      <w:r>
        <w:rPr>
          <w:b/>
        </w:rPr>
        <w:t>Contestación: </w:t>
      </w:r>
      <w:r>
        <w:rPr/>
        <w:t>Trece de los 18 planes de contratación se habían obtenido previamente  a través del Portal de Transparencia en el momento de emitir el proyecto de informe, ante la ausencia de información por la Audiencia de Cuentas, adjuntando como documentación nueva 5 planes correspondientes a la Dirección del Servicio Canario de la</w:t>
      </w:r>
      <w:r>
        <w:rPr>
          <w:spacing w:val="-3"/>
        </w:rPr>
        <w:t> </w:t>
      </w:r>
      <w:r>
        <w:rPr/>
        <w:t>Salud,</w:t>
      </w:r>
      <w:r>
        <w:rPr>
          <w:spacing w:val="-4"/>
        </w:rPr>
        <w:t> </w:t>
      </w:r>
      <w:r>
        <w:rPr/>
        <w:t>a</w:t>
      </w:r>
      <w:r>
        <w:rPr>
          <w:spacing w:val="-4"/>
        </w:rPr>
        <w:t> </w:t>
      </w:r>
      <w:r>
        <w:rPr/>
        <w:t>las</w:t>
      </w:r>
      <w:r>
        <w:rPr>
          <w:spacing w:val="-4"/>
        </w:rPr>
        <w:t> </w:t>
      </w:r>
      <w:r>
        <w:rPr/>
        <w:t>Direcciones</w:t>
      </w:r>
      <w:r>
        <w:rPr>
          <w:spacing w:val="-3"/>
        </w:rPr>
        <w:t> </w:t>
      </w:r>
      <w:r>
        <w:rPr/>
        <w:t>de</w:t>
      </w:r>
      <w:r>
        <w:rPr>
          <w:spacing w:val="-4"/>
        </w:rPr>
        <w:t> </w:t>
      </w:r>
      <w:r>
        <w:rPr/>
        <w:t>Áreas</w:t>
      </w:r>
      <w:r>
        <w:rPr>
          <w:spacing w:val="-6"/>
        </w:rPr>
        <w:t> </w:t>
      </w:r>
      <w:r>
        <w:rPr/>
        <w:t>de</w:t>
      </w:r>
      <w:r>
        <w:rPr>
          <w:spacing w:val="-4"/>
        </w:rPr>
        <w:t> </w:t>
      </w:r>
      <w:r>
        <w:rPr/>
        <w:t>Salud</w:t>
      </w:r>
      <w:r>
        <w:rPr>
          <w:spacing w:val="-3"/>
        </w:rPr>
        <w:t> </w:t>
      </w:r>
      <w:r>
        <w:rPr/>
        <w:t>de</w:t>
      </w:r>
      <w:r>
        <w:rPr>
          <w:spacing w:val="-2"/>
        </w:rPr>
        <w:t> </w:t>
      </w:r>
      <w:r>
        <w:rPr/>
        <w:t>Gran</w:t>
      </w:r>
      <w:r>
        <w:rPr>
          <w:spacing w:val="-1"/>
        </w:rPr>
        <w:t> </w:t>
      </w:r>
      <w:r>
        <w:rPr/>
        <w:t>Canaria</w:t>
      </w:r>
      <w:r>
        <w:rPr>
          <w:spacing w:val="-4"/>
        </w:rPr>
        <w:t> </w:t>
      </w:r>
      <w:r>
        <w:rPr/>
        <w:t>y</w:t>
      </w:r>
      <w:r>
        <w:rPr>
          <w:spacing w:val="-3"/>
        </w:rPr>
        <w:t> </w:t>
      </w:r>
      <w:r>
        <w:rPr/>
        <w:t>Lanzarote,</w:t>
      </w:r>
      <w:r>
        <w:rPr>
          <w:spacing w:val="-5"/>
        </w:rPr>
        <w:t> </w:t>
      </w:r>
      <w:r>
        <w:rPr/>
        <w:t>de</w:t>
      </w:r>
      <w:r>
        <w:rPr>
          <w:spacing w:val="-2"/>
        </w:rPr>
        <w:t> </w:t>
      </w:r>
      <w:r>
        <w:rPr/>
        <w:t>la</w:t>
      </w:r>
      <w:r>
        <w:rPr>
          <w:spacing w:val="-4"/>
        </w:rPr>
        <w:t> </w:t>
      </w:r>
      <w:r>
        <w:rPr/>
        <w:t>Gerencia de Atención Primaria de Gran Canaria, y de la Gerencia de servicios sanitarios de El Hierro.</w:t>
      </w:r>
    </w:p>
    <w:p>
      <w:pPr>
        <w:pStyle w:val="BodyText"/>
        <w:spacing w:before="3"/>
        <w:rPr>
          <w:sz w:val="16"/>
        </w:rPr>
      </w:pPr>
    </w:p>
    <w:p>
      <w:pPr>
        <w:pStyle w:val="BodyText"/>
        <w:ind w:left="2299" w:right="1341"/>
        <w:jc w:val="both"/>
      </w:pPr>
      <w:r>
        <w:rPr/>
        <w:t>Por</w:t>
      </w:r>
      <w:r>
        <w:rPr>
          <w:spacing w:val="-6"/>
        </w:rPr>
        <w:t> </w:t>
      </w:r>
      <w:r>
        <w:rPr/>
        <w:t>otro</w:t>
      </w:r>
      <w:r>
        <w:rPr>
          <w:spacing w:val="-5"/>
        </w:rPr>
        <w:t> </w:t>
      </w:r>
      <w:r>
        <w:rPr/>
        <w:t>lado,</w:t>
      </w:r>
      <w:r>
        <w:rPr>
          <w:spacing w:val="-7"/>
        </w:rPr>
        <w:t> </w:t>
      </w:r>
      <w:r>
        <w:rPr/>
        <w:t>no</w:t>
      </w:r>
      <w:r>
        <w:rPr>
          <w:spacing w:val="-6"/>
        </w:rPr>
        <w:t> </w:t>
      </w:r>
      <w:r>
        <w:rPr/>
        <w:t>se</w:t>
      </w:r>
      <w:r>
        <w:rPr>
          <w:spacing w:val="-5"/>
        </w:rPr>
        <w:t> </w:t>
      </w:r>
      <w:r>
        <w:rPr/>
        <w:t>presenta</w:t>
      </w:r>
      <w:r>
        <w:rPr>
          <w:spacing w:val="-7"/>
        </w:rPr>
        <w:t> </w:t>
      </w:r>
      <w:r>
        <w:rPr/>
        <w:t>un</w:t>
      </w:r>
      <w:r>
        <w:rPr>
          <w:spacing w:val="-4"/>
        </w:rPr>
        <w:t> </w:t>
      </w:r>
      <w:r>
        <w:rPr/>
        <w:t>único</w:t>
      </w:r>
      <w:r>
        <w:rPr>
          <w:spacing w:val="-6"/>
        </w:rPr>
        <w:t> </w:t>
      </w:r>
      <w:r>
        <w:rPr/>
        <w:t>plan</w:t>
      </w:r>
      <w:r>
        <w:rPr>
          <w:spacing w:val="-5"/>
        </w:rPr>
        <w:t> </w:t>
      </w:r>
      <w:r>
        <w:rPr/>
        <w:t>del</w:t>
      </w:r>
      <w:r>
        <w:rPr>
          <w:spacing w:val="-5"/>
        </w:rPr>
        <w:t> </w:t>
      </w:r>
      <w:r>
        <w:rPr/>
        <w:t>SCS.</w:t>
      </w:r>
      <w:r>
        <w:rPr>
          <w:spacing w:val="-1"/>
        </w:rPr>
        <w:t> </w:t>
      </w:r>
      <w:r>
        <w:rPr/>
        <w:t>La</w:t>
      </w:r>
      <w:r>
        <w:rPr>
          <w:spacing w:val="-3"/>
        </w:rPr>
        <w:t> </w:t>
      </w:r>
      <w:r>
        <w:rPr/>
        <w:t>gran</w:t>
      </w:r>
      <w:r>
        <w:rPr>
          <w:spacing w:val="-4"/>
        </w:rPr>
        <w:t> </w:t>
      </w:r>
      <w:r>
        <w:rPr/>
        <w:t>mayoría</w:t>
      </w:r>
      <w:r>
        <w:rPr>
          <w:spacing w:val="-8"/>
        </w:rPr>
        <w:t> </w:t>
      </w:r>
      <w:r>
        <w:rPr/>
        <w:t>de</w:t>
      </w:r>
      <w:r>
        <w:rPr>
          <w:spacing w:val="-5"/>
        </w:rPr>
        <w:t> </w:t>
      </w:r>
      <w:r>
        <w:rPr/>
        <w:t>los</w:t>
      </w:r>
      <w:r>
        <w:rPr>
          <w:spacing w:val="-7"/>
        </w:rPr>
        <w:t> </w:t>
      </w:r>
      <w:r>
        <w:rPr/>
        <w:t>planes</w:t>
      </w:r>
      <w:r>
        <w:rPr>
          <w:spacing w:val="-8"/>
        </w:rPr>
        <w:t> </w:t>
      </w:r>
      <w:r>
        <w:rPr/>
        <w:t>tienen carencias en cuanto a su contenido mínimo esencial, y ninguno de ellos recoge la motivación y objetivos del</w:t>
      </w:r>
      <w:r>
        <w:rPr>
          <w:spacing w:val="2"/>
        </w:rPr>
        <w:t> </w:t>
      </w:r>
      <w:r>
        <w:rPr/>
        <w:t>plan.</w:t>
      </w:r>
    </w:p>
    <w:p>
      <w:pPr>
        <w:pStyle w:val="BodyText"/>
        <w:spacing w:before="11"/>
        <w:rPr>
          <w:sz w:val="16"/>
        </w:rPr>
      </w:pPr>
    </w:p>
    <w:p>
      <w:pPr>
        <w:pStyle w:val="BodyText"/>
        <w:ind w:left="2299"/>
        <w:jc w:val="both"/>
      </w:pPr>
      <w:r>
        <w:rPr/>
        <w:t>Por ello, se modifica la letra b) del epígrafe 4.4.3, en el siguiente sentido:</w:t>
      </w:r>
    </w:p>
    <w:p>
      <w:pPr>
        <w:pStyle w:val="BodyText"/>
        <w:spacing w:before="8"/>
        <w:rPr>
          <w:sz w:val="11"/>
        </w:rPr>
      </w:pPr>
    </w:p>
    <w:p>
      <w:pPr>
        <w:spacing w:after="0"/>
        <w:rPr>
          <w:sz w:val="11"/>
        </w:rPr>
        <w:sectPr>
          <w:pgSz w:w="11900" w:h="16840"/>
          <w:pgMar w:header="869" w:footer="926" w:top="1760" w:bottom="1120" w:left="560" w:right="560"/>
        </w:sectPr>
      </w:pPr>
    </w:p>
    <w:p>
      <w:pPr>
        <w:pStyle w:val="BodyText"/>
        <w:spacing w:before="61"/>
        <w:ind w:left="2299"/>
      </w:pPr>
      <w:r>
        <w:rPr/>
        <w:t>1. El epígrafe 4.4.3 b) queda redactado de la siguiente manera:</w:t>
      </w:r>
    </w:p>
    <w:p>
      <w:pPr>
        <w:pStyle w:val="BodyText"/>
        <w:spacing w:before="1"/>
        <w:rPr>
          <w:sz w:val="26"/>
        </w:rPr>
      </w:pPr>
    </w:p>
    <w:p>
      <w:pPr>
        <w:pStyle w:val="Heading1"/>
        <w:ind w:left="0" w:right="1026"/>
        <w:jc w:val="right"/>
      </w:pPr>
      <w:r>
        <w:rPr>
          <w:u w:val="single"/>
        </w:rPr>
        <w:t>CA-001-2023</w:t>
      </w:r>
    </w:p>
    <w:p>
      <w:pPr>
        <w:pStyle w:val="BodyText"/>
        <w:rPr>
          <w:b/>
        </w:rPr>
      </w:pPr>
      <w:r>
        <w:rPr/>
        <w:br w:type="column"/>
      </w:r>
      <w:r>
        <w:rPr>
          <w:b/>
        </w:rPr>
      </w:r>
    </w:p>
    <w:p>
      <w:pPr>
        <w:pStyle w:val="BodyText"/>
        <w:spacing w:before="134"/>
        <w:ind w:left="1641" w:right="1324"/>
        <w:jc w:val="center"/>
      </w:pPr>
      <w:r>
        <w:rPr/>
        <w:t>236</w:t>
      </w:r>
    </w:p>
    <w:p>
      <w:pPr>
        <w:spacing w:after="0"/>
        <w:jc w:val="center"/>
        <w:sectPr>
          <w:type w:val="continuous"/>
          <w:pgSz w:w="11900" w:h="16840"/>
          <w:pgMar w:top="1600" w:bottom="1120" w:left="560" w:right="560"/>
          <w:cols w:num="2" w:equalWidth="0">
            <w:col w:w="7430" w:space="40"/>
            <w:col w:w="3310"/>
          </w:cols>
        </w:sectPr>
      </w:pPr>
    </w:p>
    <w:p>
      <w:pPr>
        <w:pStyle w:val="BodyText"/>
      </w:pPr>
    </w:p>
    <w:p>
      <w:pPr>
        <w:pStyle w:val="BodyText"/>
      </w:pPr>
    </w:p>
    <w:p>
      <w:pPr>
        <w:pStyle w:val="BodyText"/>
      </w:pPr>
    </w:p>
    <w:p>
      <w:pPr>
        <w:pStyle w:val="BodyText"/>
      </w:pPr>
    </w:p>
    <w:p>
      <w:pPr>
        <w:pStyle w:val="BodyText"/>
      </w:pPr>
    </w:p>
    <w:p>
      <w:pPr>
        <w:pStyle w:val="BodyText"/>
        <w:spacing w:before="7" w:after="1"/>
        <w:rPr>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sz w:val="9"/>
              </w:rPr>
            </w:pPr>
          </w:p>
          <w:p>
            <w:pPr>
              <w:pStyle w:val="TableParagraph"/>
              <w:ind w:left="325"/>
              <w:rPr>
                <w:sz w:val="20"/>
              </w:rPr>
            </w:pPr>
            <w:r>
              <w:rPr>
                <w:sz w:val="20"/>
              </w:rPr>
              <w:drawing>
                <wp:inline distT="0" distB="0" distL="0" distR="0">
                  <wp:extent cx="514350" cy="514350"/>
                  <wp:effectExtent l="0" t="0" r="0" b="0"/>
                  <wp:docPr id="507" name="image5.png"/>
                  <wp:cNvGraphicFramePr>
                    <a:graphicFrameLocks noChangeAspect="1"/>
                  </wp:cNvGraphicFramePr>
                  <a:graphic>
                    <a:graphicData uri="http://schemas.openxmlformats.org/drawingml/2006/picture">
                      <pic:pic>
                        <pic:nvPicPr>
                          <pic:cNvPr id="50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238/247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type w:val="continuous"/>
          <w:pgSz w:w="11900" w:h="16840"/>
          <w:pgMar w:top="1600" w:bottom="1120" w:left="560" w:right="560"/>
        </w:sectPr>
      </w:pPr>
    </w:p>
    <w:p>
      <w:pPr>
        <w:pStyle w:val="BodyText"/>
        <w:spacing w:before="5"/>
        <w:rPr>
          <w:sz w:val="8"/>
        </w:rPr>
      </w:pPr>
    </w:p>
    <w:p>
      <w:pPr>
        <w:pStyle w:val="Heading2"/>
        <w:spacing w:before="60"/>
        <w:rPr>
          <w:i/>
        </w:rPr>
      </w:pPr>
      <w:r>
        <w:rPr>
          <w:i/>
        </w:rPr>
        <w:t>“b) Planes de contratación.</w:t>
      </w:r>
    </w:p>
    <w:p>
      <w:pPr>
        <w:pStyle w:val="BodyText"/>
        <w:spacing w:before="8"/>
        <w:rPr>
          <w:b/>
          <w:i/>
          <w:sz w:val="16"/>
        </w:rPr>
      </w:pPr>
    </w:p>
    <w:p>
      <w:pPr>
        <w:spacing w:before="0"/>
        <w:ind w:left="2299" w:right="1345" w:firstLine="0"/>
        <w:jc w:val="both"/>
        <w:rPr>
          <w:i/>
          <w:sz w:val="20"/>
        </w:rPr>
      </w:pPr>
      <w:r>
        <w:rPr>
          <w:i/>
          <w:sz w:val="20"/>
        </w:rPr>
        <w:t>El</w:t>
      </w:r>
      <w:r>
        <w:rPr>
          <w:i/>
          <w:spacing w:val="-6"/>
          <w:sz w:val="20"/>
        </w:rPr>
        <w:t> </w:t>
      </w:r>
      <w:r>
        <w:rPr>
          <w:i/>
          <w:sz w:val="20"/>
        </w:rPr>
        <w:t>SCS</w:t>
      </w:r>
      <w:r>
        <w:rPr>
          <w:i/>
          <w:spacing w:val="-6"/>
          <w:sz w:val="20"/>
        </w:rPr>
        <w:t> </w:t>
      </w:r>
      <w:r>
        <w:rPr>
          <w:i/>
          <w:sz w:val="20"/>
        </w:rPr>
        <w:t>ha</w:t>
      </w:r>
      <w:r>
        <w:rPr>
          <w:i/>
          <w:spacing w:val="-4"/>
          <w:sz w:val="20"/>
        </w:rPr>
        <w:t> </w:t>
      </w:r>
      <w:r>
        <w:rPr>
          <w:i/>
          <w:sz w:val="20"/>
        </w:rPr>
        <w:t>remitido</w:t>
      </w:r>
      <w:r>
        <w:rPr>
          <w:i/>
          <w:spacing w:val="-6"/>
          <w:sz w:val="20"/>
        </w:rPr>
        <w:t> </w:t>
      </w:r>
      <w:r>
        <w:rPr>
          <w:i/>
          <w:sz w:val="20"/>
        </w:rPr>
        <w:t>un</w:t>
      </w:r>
      <w:r>
        <w:rPr>
          <w:i/>
          <w:spacing w:val="-4"/>
          <w:sz w:val="20"/>
        </w:rPr>
        <w:t> </w:t>
      </w:r>
      <w:r>
        <w:rPr>
          <w:i/>
          <w:sz w:val="20"/>
        </w:rPr>
        <w:t>documento</w:t>
      </w:r>
      <w:r>
        <w:rPr>
          <w:i/>
          <w:spacing w:val="-6"/>
          <w:sz w:val="20"/>
        </w:rPr>
        <w:t> </w:t>
      </w:r>
      <w:r>
        <w:rPr>
          <w:i/>
          <w:sz w:val="20"/>
        </w:rPr>
        <w:t>conformado</w:t>
      </w:r>
      <w:r>
        <w:rPr>
          <w:i/>
          <w:spacing w:val="-4"/>
          <w:sz w:val="20"/>
        </w:rPr>
        <w:t> </w:t>
      </w:r>
      <w:r>
        <w:rPr>
          <w:i/>
          <w:sz w:val="20"/>
        </w:rPr>
        <w:t>por</w:t>
      </w:r>
      <w:r>
        <w:rPr>
          <w:i/>
          <w:spacing w:val="-4"/>
          <w:sz w:val="20"/>
        </w:rPr>
        <w:t> </w:t>
      </w:r>
      <w:r>
        <w:rPr>
          <w:i/>
          <w:sz w:val="20"/>
        </w:rPr>
        <w:t>18</w:t>
      </w:r>
      <w:r>
        <w:rPr>
          <w:i/>
          <w:spacing w:val="-4"/>
          <w:sz w:val="20"/>
        </w:rPr>
        <w:t> </w:t>
      </w:r>
      <w:r>
        <w:rPr>
          <w:i/>
          <w:sz w:val="20"/>
        </w:rPr>
        <w:t>planes</w:t>
      </w:r>
      <w:r>
        <w:rPr>
          <w:i/>
          <w:spacing w:val="-5"/>
          <w:sz w:val="20"/>
        </w:rPr>
        <w:t> </w:t>
      </w:r>
      <w:r>
        <w:rPr>
          <w:i/>
          <w:sz w:val="20"/>
        </w:rPr>
        <w:t>de</w:t>
      </w:r>
      <w:r>
        <w:rPr>
          <w:i/>
          <w:spacing w:val="-5"/>
          <w:sz w:val="20"/>
        </w:rPr>
        <w:t> </w:t>
      </w:r>
      <w:r>
        <w:rPr>
          <w:i/>
          <w:sz w:val="20"/>
        </w:rPr>
        <w:t>contratación</w:t>
      </w:r>
      <w:r>
        <w:rPr>
          <w:i/>
          <w:spacing w:val="-6"/>
          <w:sz w:val="20"/>
        </w:rPr>
        <w:t> </w:t>
      </w:r>
      <w:r>
        <w:rPr>
          <w:i/>
          <w:sz w:val="20"/>
        </w:rPr>
        <w:t>individuales </w:t>
      </w:r>
      <w:r>
        <w:rPr>
          <w:i/>
          <w:sz w:val="20"/>
        </w:rPr>
        <w:t>correspondientes a los diferentes órganos de</w:t>
      </w:r>
      <w:r>
        <w:rPr>
          <w:i/>
          <w:spacing w:val="6"/>
          <w:sz w:val="20"/>
        </w:rPr>
        <w:t> </w:t>
      </w:r>
      <w:r>
        <w:rPr>
          <w:i/>
          <w:sz w:val="20"/>
        </w:rPr>
        <w:t>contratación.</w:t>
      </w:r>
    </w:p>
    <w:p>
      <w:pPr>
        <w:pStyle w:val="BodyText"/>
        <w:spacing w:before="10"/>
        <w:rPr>
          <w:i/>
          <w:sz w:val="16"/>
        </w:rPr>
      </w:pPr>
    </w:p>
    <w:p>
      <w:pPr>
        <w:spacing w:before="0"/>
        <w:ind w:left="2299" w:right="1344" w:firstLine="0"/>
        <w:jc w:val="both"/>
        <w:rPr>
          <w:i/>
          <w:sz w:val="20"/>
        </w:rPr>
      </w:pPr>
      <w:r>
        <w:rPr>
          <w:i/>
          <w:sz w:val="20"/>
        </w:rPr>
        <w:t>No se tiene constancia ni de la fecha ni del número de la Orden de la Consejería de </w:t>
      </w:r>
      <w:r>
        <w:rPr>
          <w:i/>
          <w:sz w:val="20"/>
        </w:rPr>
        <w:t>Sanidad por la que se aprobó el plan de contratación para 2022, en cumplimiento de la Orden de 26 de diciembre de 2018 de dicha Consejería.</w:t>
      </w:r>
    </w:p>
    <w:p>
      <w:pPr>
        <w:pStyle w:val="BodyText"/>
        <w:spacing w:before="11"/>
        <w:rPr>
          <w:i/>
          <w:sz w:val="16"/>
        </w:rPr>
      </w:pPr>
    </w:p>
    <w:p>
      <w:pPr>
        <w:spacing w:before="0"/>
        <w:ind w:left="2299" w:right="1348" w:firstLine="0"/>
        <w:jc w:val="both"/>
        <w:rPr>
          <w:i/>
          <w:sz w:val="20"/>
        </w:rPr>
      </w:pPr>
      <w:r>
        <w:rPr>
          <w:i/>
          <w:sz w:val="20"/>
        </w:rPr>
        <w:t>No se trata de un plan único del SCS, sino que el documento está conformado por los </w:t>
      </w:r>
      <w:r>
        <w:rPr>
          <w:i/>
          <w:sz w:val="20"/>
        </w:rPr>
        <w:t>citados 18 planes, cada uno con un formato y contenido diferente.</w:t>
      </w:r>
    </w:p>
    <w:p>
      <w:pPr>
        <w:pStyle w:val="BodyText"/>
        <w:rPr>
          <w:i/>
          <w:sz w:val="17"/>
        </w:rPr>
      </w:pPr>
    </w:p>
    <w:p>
      <w:pPr>
        <w:spacing w:before="0"/>
        <w:ind w:left="2299" w:right="1341" w:firstLine="0"/>
        <w:jc w:val="both"/>
        <w:rPr>
          <w:i/>
          <w:sz w:val="20"/>
        </w:rPr>
      </w:pPr>
      <w:r>
        <w:rPr>
          <w:i/>
          <w:sz w:val="20"/>
        </w:rPr>
        <w:t>Además, estos planes individuales tienen carencias respecto a los contenidos que se </w:t>
      </w:r>
      <w:r>
        <w:rPr>
          <w:i/>
          <w:sz w:val="20"/>
        </w:rPr>
        <w:t>consideran</w:t>
      </w:r>
      <w:r>
        <w:rPr>
          <w:i/>
          <w:spacing w:val="-5"/>
          <w:sz w:val="20"/>
        </w:rPr>
        <w:t> </w:t>
      </w:r>
      <w:r>
        <w:rPr>
          <w:i/>
          <w:sz w:val="20"/>
        </w:rPr>
        <w:t>mínimos</w:t>
      </w:r>
      <w:r>
        <w:rPr>
          <w:i/>
          <w:spacing w:val="-3"/>
          <w:sz w:val="20"/>
        </w:rPr>
        <w:t> </w:t>
      </w:r>
      <w:r>
        <w:rPr>
          <w:i/>
          <w:sz w:val="20"/>
        </w:rPr>
        <w:t>en</w:t>
      </w:r>
      <w:r>
        <w:rPr>
          <w:i/>
          <w:spacing w:val="-5"/>
          <w:sz w:val="20"/>
        </w:rPr>
        <w:t> </w:t>
      </w:r>
      <w:r>
        <w:rPr>
          <w:i/>
          <w:sz w:val="20"/>
        </w:rPr>
        <w:t>este</w:t>
      </w:r>
      <w:r>
        <w:rPr>
          <w:i/>
          <w:spacing w:val="-5"/>
          <w:sz w:val="20"/>
        </w:rPr>
        <w:t> </w:t>
      </w:r>
      <w:r>
        <w:rPr>
          <w:i/>
          <w:sz w:val="20"/>
        </w:rPr>
        <w:t>tipo</w:t>
      </w:r>
      <w:r>
        <w:rPr>
          <w:i/>
          <w:spacing w:val="-5"/>
          <w:sz w:val="20"/>
        </w:rPr>
        <w:t> </w:t>
      </w:r>
      <w:r>
        <w:rPr>
          <w:i/>
          <w:sz w:val="20"/>
        </w:rPr>
        <w:t>de</w:t>
      </w:r>
      <w:r>
        <w:rPr>
          <w:i/>
          <w:spacing w:val="-3"/>
          <w:sz w:val="20"/>
        </w:rPr>
        <w:t> </w:t>
      </w:r>
      <w:r>
        <w:rPr>
          <w:i/>
          <w:sz w:val="20"/>
        </w:rPr>
        <w:t>documentos,</w:t>
      </w:r>
      <w:r>
        <w:rPr>
          <w:i/>
          <w:spacing w:val="-3"/>
          <w:sz w:val="20"/>
        </w:rPr>
        <w:t> </w:t>
      </w:r>
      <w:r>
        <w:rPr>
          <w:i/>
          <w:sz w:val="20"/>
        </w:rPr>
        <w:t>como</w:t>
      </w:r>
      <w:r>
        <w:rPr>
          <w:i/>
          <w:spacing w:val="-5"/>
          <w:sz w:val="20"/>
        </w:rPr>
        <w:t> </w:t>
      </w:r>
      <w:r>
        <w:rPr>
          <w:i/>
          <w:sz w:val="20"/>
        </w:rPr>
        <w:t>son,</w:t>
      </w:r>
      <w:r>
        <w:rPr>
          <w:i/>
          <w:spacing w:val="-3"/>
          <w:sz w:val="20"/>
        </w:rPr>
        <w:t> </w:t>
      </w:r>
      <w:r>
        <w:rPr>
          <w:i/>
          <w:sz w:val="20"/>
        </w:rPr>
        <w:t>la</w:t>
      </w:r>
      <w:r>
        <w:rPr>
          <w:i/>
          <w:spacing w:val="-4"/>
          <w:sz w:val="20"/>
        </w:rPr>
        <w:t> </w:t>
      </w:r>
      <w:r>
        <w:rPr>
          <w:i/>
          <w:sz w:val="20"/>
        </w:rPr>
        <w:t>motivación</w:t>
      </w:r>
      <w:r>
        <w:rPr>
          <w:i/>
          <w:spacing w:val="-5"/>
          <w:sz w:val="20"/>
        </w:rPr>
        <w:t> </w:t>
      </w:r>
      <w:r>
        <w:rPr>
          <w:i/>
          <w:sz w:val="20"/>
        </w:rPr>
        <w:t>y</w:t>
      </w:r>
      <w:r>
        <w:rPr>
          <w:i/>
          <w:spacing w:val="-3"/>
          <w:sz w:val="20"/>
        </w:rPr>
        <w:t> </w:t>
      </w:r>
      <w:r>
        <w:rPr>
          <w:i/>
          <w:sz w:val="20"/>
        </w:rPr>
        <w:t>objetivos</w:t>
      </w:r>
      <w:r>
        <w:rPr>
          <w:i/>
          <w:spacing w:val="-4"/>
          <w:sz w:val="20"/>
        </w:rPr>
        <w:t> </w:t>
      </w:r>
      <w:r>
        <w:rPr>
          <w:i/>
          <w:sz w:val="20"/>
        </w:rPr>
        <w:t>del plan, así como la relación de contratos previstos, en los que se refleje, como mínimo, la siguiente información: tipo de contrato, procedimiento de adjudicación, valor estimado, plazo y fecha aproximada de la</w:t>
      </w:r>
      <w:r>
        <w:rPr>
          <w:i/>
          <w:spacing w:val="2"/>
          <w:sz w:val="20"/>
        </w:rPr>
        <w:t> </w:t>
      </w:r>
      <w:r>
        <w:rPr>
          <w:i/>
          <w:sz w:val="20"/>
        </w:rPr>
        <w:t>licitación.</w:t>
      </w:r>
    </w:p>
    <w:p>
      <w:pPr>
        <w:pStyle w:val="BodyText"/>
        <w:spacing w:before="2"/>
        <w:rPr>
          <w:i/>
          <w:sz w:val="17"/>
        </w:rPr>
      </w:pPr>
    </w:p>
    <w:p>
      <w:pPr>
        <w:spacing w:before="0"/>
        <w:ind w:left="2299" w:right="1342" w:firstLine="0"/>
        <w:jc w:val="both"/>
        <w:rPr>
          <w:i/>
          <w:sz w:val="20"/>
        </w:rPr>
      </w:pPr>
      <w:r>
        <w:rPr>
          <w:i/>
          <w:sz w:val="20"/>
        </w:rPr>
        <w:t>Asimismo, informan que las Direcciones de Área de Salud de El Hierro, La Gomera y La </w:t>
      </w:r>
      <w:r>
        <w:rPr>
          <w:i/>
          <w:sz w:val="20"/>
        </w:rPr>
        <w:t>Palma, la Dirección General de Programas Asistenciales y la Gerencia de Servicios Sanitarios de La Gomera no tuvieron planes de contratación en 2022.”</w:t>
      </w:r>
    </w:p>
    <w:p>
      <w:pPr>
        <w:pStyle w:val="BodyText"/>
        <w:spacing w:before="12"/>
        <w:rPr>
          <w:i/>
          <w:sz w:val="16"/>
        </w:rPr>
      </w:pPr>
    </w:p>
    <w:p>
      <w:pPr>
        <w:pStyle w:val="ListParagraph"/>
        <w:numPr>
          <w:ilvl w:val="0"/>
          <w:numId w:val="131"/>
        </w:numPr>
        <w:tabs>
          <w:tab w:pos="2499" w:val="left" w:leader="none"/>
        </w:tabs>
        <w:spacing w:line="240" w:lineRule="auto" w:before="0" w:after="0"/>
        <w:ind w:left="2498" w:right="0" w:hanging="200"/>
        <w:jc w:val="left"/>
        <w:rPr>
          <w:sz w:val="20"/>
        </w:rPr>
      </w:pPr>
      <w:r>
        <w:rPr>
          <w:sz w:val="20"/>
        </w:rPr>
        <w:t>La conclusión nº 25 queda redactada de la siguiente manera:</w:t>
      </w:r>
    </w:p>
    <w:p>
      <w:pPr>
        <w:pStyle w:val="BodyText"/>
        <w:spacing w:before="8"/>
        <w:rPr>
          <w:sz w:val="16"/>
        </w:rPr>
      </w:pPr>
    </w:p>
    <w:p>
      <w:pPr>
        <w:spacing w:before="0"/>
        <w:ind w:left="2299" w:right="0" w:firstLine="0"/>
        <w:jc w:val="both"/>
        <w:rPr>
          <w:i/>
          <w:sz w:val="20"/>
        </w:rPr>
      </w:pPr>
      <w:r>
        <w:rPr>
          <w:i/>
          <w:sz w:val="20"/>
        </w:rPr>
        <w:t>“25. En relación a los planes de contratación (apartado 4.2.5 y 4.4.3):</w:t>
      </w:r>
    </w:p>
    <w:p>
      <w:pPr>
        <w:pStyle w:val="BodyText"/>
        <w:spacing w:before="8"/>
        <w:rPr>
          <w:i/>
          <w:sz w:val="16"/>
        </w:rPr>
      </w:pPr>
    </w:p>
    <w:p>
      <w:pPr>
        <w:pStyle w:val="ListParagraph"/>
        <w:numPr>
          <w:ilvl w:val="1"/>
          <w:numId w:val="131"/>
        </w:numPr>
        <w:tabs>
          <w:tab w:pos="2904" w:val="left" w:leader="none"/>
        </w:tabs>
        <w:spacing w:line="242" w:lineRule="auto" w:before="0" w:after="0"/>
        <w:ind w:left="2903" w:right="1343" w:hanging="303"/>
        <w:jc w:val="both"/>
        <w:rPr>
          <w:i/>
          <w:sz w:val="20"/>
        </w:rPr>
      </w:pPr>
      <w:r>
        <w:rPr>
          <w:i/>
          <w:sz w:val="20"/>
        </w:rPr>
        <w:t>ACCUE, ATC, ICI, ISTAC, RTVC, SCS e ICAP (7) remiten plan de contratación, de las </w:t>
      </w:r>
      <w:r>
        <w:rPr>
          <w:i/>
          <w:sz w:val="20"/>
        </w:rPr>
        <w:t>que sólo para ACCUEE y ATC consta su aprobación. De los planes remitidos, sólo ATC contiene la información necesaria de todo plan de contratación (objeto, tipo de contrato, procedimiento de adjudicación, valor estimado, plazo de duración, etc.).</w:t>
      </w:r>
      <w:r>
        <w:rPr>
          <w:i/>
          <w:spacing w:val="-7"/>
          <w:sz w:val="20"/>
        </w:rPr>
        <w:t> </w:t>
      </w:r>
      <w:r>
        <w:rPr>
          <w:i/>
          <w:sz w:val="20"/>
        </w:rPr>
        <w:t>En</w:t>
      </w:r>
      <w:r>
        <w:rPr>
          <w:i/>
          <w:spacing w:val="-10"/>
          <w:sz w:val="20"/>
        </w:rPr>
        <w:t> </w:t>
      </w:r>
      <w:r>
        <w:rPr>
          <w:i/>
          <w:sz w:val="20"/>
        </w:rPr>
        <w:t>el</w:t>
      </w:r>
      <w:r>
        <w:rPr>
          <w:i/>
          <w:spacing w:val="-8"/>
          <w:sz w:val="20"/>
        </w:rPr>
        <w:t> </w:t>
      </w:r>
      <w:r>
        <w:rPr>
          <w:i/>
          <w:sz w:val="20"/>
        </w:rPr>
        <w:t>caso</w:t>
      </w:r>
      <w:r>
        <w:rPr>
          <w:i/>
          <w:spacing w:val="-7"/>
          <w:sz w:val="20"/>
        </w:rPr>
        <w:t> </w:t>
      </w:r>
      <w:r>
        <w:rPr>
          <w:i/>
          <w:sz w:val="20"/>
        </w:rPr>
        <w:t>del</w:t>
      </w:r>
      <w:r>
        <w:rPr>
          <w:i/>
          <w:spacing w:val="-6"/>
          <w:sz w:val="20"/>
        </w:rPr>
        <w:t> </w:t>
      </w:r>
      <w:r>
        <w:rPr>
          <w:i/>
          <w:sz w:val="20"/>
        </w:rPr>
        <w:t>SCS,</w:t>
      </w:r>
      <w:r>
        <w:rPr>
          <w:i/>
          <w:spacing w:val="-7"/>
          <w:sz w:val="20"/>
        </w:rPr>
        <w:t> </w:t>
      </w:r>
      <w:r>
        <w:rPr>
          <w:i/>
          <w:sz w:val="20"/>
        </w:rPr>
        <w:t>se</w:t>
      </w:r>
      <w:r>
        <w:rPr>
          <w:i/>
          <w:spacing w:val="-5"/>
          <w:sz w:val="20"/>
        </w:rPr>
        <w:t> </w:t>
      </w:r>
      <w:r>
        <w:rPr>
          <w:i/>
          <w:sz w:val="20"/>
        </w:rPr>
        <w:t>aporta</w:t>
      </w:r>
      <w:r>
        <w:rPr>
          <w:i/>
          <w:spacing w:val="-7"/>
          <w:sz w:val="20"/>
        </w:rPr>
        <w:t> </w:t>
      </w:r>
      <w:r>
        <w:rPr>
          <w:i/>
          <w:sz w:val="20"/>
        </w:rPr>
        <w:t>un</w:t>
      </w:r>
      <w:r>
        <w:rPr>
          <w:i/>
          <w:spacing w:val="-7"/>
          <w:sz w:val="20"/>
        </w:rPr>
        <w:t> </w:t>
      </w:r>
      <w:r>
        <w:rPr>
          <w:i/>
          <w:sz w:val="20"/>
        </w:rPr>
        <w:t>único</w:t>
      </w:r>
      <w:r>
        <w:rPr>
          <w:i/>
          <w:spacing w:val="-7"/>
          <w:sz w:val="20"/>
        </w:rPr>
        <w:t> </w:t>
      </w:r>
      <w:r>
        <w:rPr>
          <w:i/>
          <w:sz w:val="20"/>
        </w:rPr>
        <w:t>documento</w:t>
      </w:r>
      <w:r>
        <w:rPr>
          <w:i/>
          <w:spacing w:val="-7"/>
          <w:sz w:val="20"/>
        </w:rPr>
        <w:t> </w:t>
      </w:r>
      <w:r>
        <w:rPr>
          <w:i/>
          <w:sz w:val="20"/>
        </w:rPr>
        <w:t>conformado</w:t>
      </w:r>
      <w:r>
        <w:rPr>
          <w:i/>
          <w:spacing w:val="-7"/>
          <w:sz w:val="20"/>
        </w:rPr>
        <w:t> </w:t>
      </w:r>
      <w:r>
        <w:rPr>
          <w:i/>
          <w:sz w:val="20"/>
        </w:rPr>
        <w:t>por</w:t>
      </w:r>
      <w:r>
        <w:rPr>
          <w:i/>
          <w:spacing w:val="-7"/>
          <w:sz w:val="20"/>
        </w:rPr>
        <w:t> </w:t>
      </w:r>
      <w:r>
        <w:rPr>
          <w:i/>
          <w:sz w:val="20"/>
        </w:rPr>
        <w:t>18</w:t>
      </w:r>
      <w:r>
        <w:rPr>
          <w:i/>
          <w:spacing w:val="-5"/>
          <w:sz w:val="20"/>
        </w:rPr>
        <w:t> </w:t>
      </w:r>
      <w:r>
        <w:rPr>
          <w:i/>
          <w:sz w:val="20"/>
        </w:rPr>
        <w:t>planes de contratación individuales por cada uno de los órganos de contratación, y 5 órganos no tuvieron plan de contratación en</w:t>
      </w:r>
      <w:r>
        <w:rPr>
          <w:i/>
          <w:spacing w:val="4"/>
          <w:sz w:val="20"/>
        </w:rPr>
        <w:t> </w:t>
      </w:r>
      <w:r>
        <w:rPr>
          <w:i/>
          <w:sz w:val="20"/>
        </w:rPr>
        <w:t>2022.</w:t>
      </w:r>
    </w:p>
    <w:p>
      <w:pPr>
        <w:pStyle w:val="ListParagraph"/>
        <w:numPr>
          <w:ilvl w:val="1"/>
          <w:numId w:val="131"/>
        </w:numPr>
        <w:tabs>
          <w:tab w:pos="2904" w:val="left" w:leader="none"/>
        </w:tabs>
        <w:spacing w:line="241" w:lineRule="exact" w:before="0" w:after="0"/>
        <w:ind w:left="2903" w:right="0" w:hanging="303"/>
        <w:jc w:val="both"/>
        <w:rPr>
          <w:i/>
          <w:sz w:val="20"/>
        </w:rPr>
      </w:pPr>
      <w:r>
        <w:rPr>
          <w:i/>
          <w:sz w:val="20"/>
        </w:rPr>
        <w:t>ICAVI, ICCA, SCE y CR (4) no han remitido el plan de</w:t>
      </w:r>
      <w:r>
        <w:rPr>
          <w:i/>
          <w:spacing w:val="5"/>
          <w:sz w:val="20"/>
        </w:rPr>
        <w:t> </w:t>
      </w:r>
      <w:r>
        <w:rPr>
          <w:i/>
          <w:sz w:val="20"/>
        </w:rPr>
        <w:t>contratación</w:t>
      </w:r>
    </w:p>
    <w:p>
      <w:pPr>
        <w:pStyle w:val="ListParagraph"/>
        <w:numPr>
          <w:ilvl w:val="1"/>
          <w:numId w:val="131"/>
        </w:numPr>
        <w:tabs>
          <w:tab w:pos="2904" w:val="left" w:leader="none"/>
        </w:tabs>
        <w:spacing w:line="240" w:lineRule="auto" w:before="2" w:after="0"/>
        <w:ind w:left="2903" w:right="0" w:hanging="303"/>
        <w:jc w:val="both"/>
        <w:rPr>
          <w:i/>
          <w:sz w:val="20"/>
        </w:rPr>
      </w:pPr>
      <w:r>
        <w:rPr>
          <w:i/>
          <w:sz w:val="20"/>
        </w:rPr>
        <w:t>ICHH, ICCA, APMUN y CES (4) declaran que no han</w:t>
      </w:r>
      <w:r>
        <w:rPr>
          <w:i/>
          <w:spacing w:val="3"/>
          <w:sz w:val="20"/>
        </w:rPr>
        <w:t> </w:t>
      </w:r>
      <w:r>
        <w:rPr>
          <w:i/>
          <w:sz w:val="20"/>
        </w:rPr>
        <w:t>dispuesto.”</w:t>
      </w:r>
    </w:p>
    <w:p>
      <w:pPr>
        <w:pStyle w:val="BodyText"/>
        <w:spacing w:before="8"/>
        <w:rPr>
          <w:i/>
          <w:sz w:val="16"/>
        </w:rPr>
      </w:pPr>
    </w:p>
    <w:p>
      <w:pPr>
        <w:pStyle w:val="Heading1"/>
        <w:ind w:left="2299"/>
        <w:jc w:val="both"/>
      </w:pPr>
      <w:r>
        <w:rPr/>
        <w:t>Alegación nº 2: referida al apartado d), del epígrafe 4.4.3 y conclusión nº 27.</w:t>
      </w:r>
    </w:p>
    <w:p>
      <w:pPr>
        <w:pStyle w:val="BodyText"/>
        <w:spacing w:before="8"/>
        <w:rPr>
          <w:b/>
          <w:sz w:val="16"/>
        </w:rPr>
      </w:pPr>
    </w:p>
    <w:p>
      <w:pPr>
        <w:pStyle w:val="BodyText"/>
        <w:ind w:left="2299" w:right="1341"/>
        <w:jc w:val="both"/>
      </w:pPr>
      <w:r>
        <w:rPr>
          <w:b/>
        </w:rPr>
        <w:t>Resumen: </w:t>
      </w:r>
      <w:r>
        <w:rPr/>
        <w:t>Se remite la documentación en relación a los expedientes tramitados mediante declaración de nulidad en el ejercicio 2022, con indicación de la causa que motiva cada una de las declaraciones de nulidad, cuya cifra total de gastos asciende a 454.312.794,98 euros.</w:t>
      </w:r>
    </w:p>
    <w:p>
      <w:pPr>
        <w:pStyle w:val="BodyText"/>
      </w:pPr>
    </w:p>
    <w:p>
      <w:pPr>
        <w:pStyle w:val="BodyText"/>
        <w:spacing w:before="8"/>
        <w:rPr>
          <w:sz w:val="15"/>
        </w:rPr>
      </w:pPr>
    </w:p>
    <w:p>
      <w:pPr>
        <w:pStyle w:val="BodyText"/>
        <w:spacing w:before="1"/>
        <w:ind w:left="8760" w:right="973"/>
        <w:jc w:val="center"/>
      </w:pPr>
      <w:r>
        <w:rPr/>
        <w:t>237</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509" name="image5.png"/>
                  <wp:cNvGraphicFramePr>
                    <a:graphicFrameLocks noChangeAspect="1"/>
                  </wp:cNvGraphicFramePr>
                  <a:graphic>
                    <a:graphicData uri="http://schemas.openxmlformats.org/drawingml/2006/picture">
                      <pic:pic>
                        <pic:nvPicPr>
                          <pic:cNvPr id="51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239/247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spacing w:before="60"/>
        <w:ind w:left="2299" w:right="0" w:firstLine="0"/>
        <w:jc w:val="both"/>
        <w:rPr>
          <w:sz w:val="20"/>
        </w:rPr>
      </w:pPr>
      <w:r>
        <w:rPr>
          <w:b/>
          <w:sz w:val="20"/>
        </w:rPr>
        <w:t>Contestación: </w:t>
      </w:r>
      <w:r>
        <w:rPr>
          <w:sz w:val="20"/>
        </w:rPr>
        <w:t>Se acepta la alegación presentada.</w:t>
      </w:r>
    </w:p>
    <w:p>
      <w:pPr>
        <w:pStyle w:val="BodyText"/>
        <w:spacing w:before="8"/>
        <w:rPr>
          <w:sz w:val="16"/>
        </w:rPr>
      </w:pPr>
    </w:p>
    <w:p>
      <w:pPr>
        <w:pStyle w:val="BodyText"/>
        <w:ind w:left="2299" w:right="1342"/>
        <w:jc w:val="both"/>
      </w:pPr>
      <w:r>
        <w:rPr/>
        <w:t>Por tanto. se modifica la letra d) del epígrafe 4.4.3 del Informe y la conclusión nº 27 del epígrafe 8.2.</w:t>
      </w:r>
    </w:p>
    <w:p>
      <w:pPr>
        <w:pStyle w:val="BodyText"/>
        <w:spacing w:before="10"/>
        <w:rPr>
          <w:sz w:val="16"/>
        </w:rPr>
      </w:pPr>
    </w:p>
    <w:p>
      <w:pPr>
        <w:pStyle w:val="BodyText"/>
        <w:ind w:left="2299"/>
        <w:jc w:val="both"/>
      </w:pPr>
      <w:r>
        <w:rPr/>
        <w:t>El epígrafe 4.4.3 d) del Informe, queda redactado de la siguiente manera:</w:t>
      </w:r>
    </w:p>
    <w:p>
      <w:pPr>
        <w:pStyle w:val="BodyText"/>
        <w:spacing w:before="8"/>
        <w:rPr>
          <w:sz w:val="16"/>
        </w:rPr>
      </w:pPr>
    </w:p>
    <w:p>
      <w:pPr>
        <w:pStyle w:val="Heading2"/>
        <w:rPr>
          <w:i/>
        </w:rPr>
      </w:pPr>
      <w:r>
        <w:rPr>
          <w:i/>
        </w:rPr>
        <w:t>“d) Expedientes de nulidad.</w:t>
      </w:r>
    </w:p>
    <w:p>
      <w:pPr>
        <w:pStyle w:val="BodyText"/>
        <w:spacing w:before="7"/>
        <w:rPr>
          <w:b/>
          <w:i/>
          <w:sz w:val="16"/>
        </w:rPr>
      </w:pPr>
    </w:p>
    <w:p>
      <w:pPr>
        <w:spacing w:line="242" w:lineRule="auto" w:before="1"/>
        <w:ind w:left="2903" w:right="1341" w:hanging="303"/>
        <w:jc w:val="both"/>
        <w:rPr>
          <w:i/>
          <w:sz w:val="20"/>
        </w:rPr>
      </w:pPr>
      <w:r>
        <w:rPr>
          <w:i/>
          <w:sz w:val="20"/>
        </w:rPr>
        <w:t>1. El SCS ha remitido un documento con la relación de expedientes tramitados </w:t>
      </w:r>
      <w:r>
        <w:rPr>
          <w:i/>
          <w:sz w:val="20"/>
        </w:rPr>
        <w:t>mediante declaración de nulidad, indicando la descripción, importe y el motivo. Totaliza</w:t>
      </w:r>
      <w:r>
        <w:rPr>
          <w:i/>
          <w:spacing w:val="-6"/>
          <w:sz w:val="20"/>
        </w:rPr>
        <w:t> </w:t>
      </w:r>
      <w:r>
        <w:rPr>
          <w:i/>
          <w:sz w:val="20"/>
        </w:rPr>
        <w:t>el</w:t>
      </w:r>
      <w:r>
        <w:rPr>
          <w:i/>
          <w:spacing w:val="-5"/>
          <w:sz w:val="20"/>
        </w:rPr>
        <w:t> </w:t>
      </w:r>
      <w:r>
        <w:rPr>
          <w:i/>
          <w:sz w:val="20"/>
        </w:rPr>
        <w:t>número</w:t>
      </w:r>
      <w:r>
        <w:rPr>
          <w:i/>
          <w:spacing w:val="-6"/>
          <w:sz w:val="20"/>
        </w:rPr>
        <w:t> </w:t>
      </w:r>
      <w:r>
        <w:rPr>
          <w:i/>
          <w:sz w:val="20"/>
        </w:rPr>
        <w:t>de</w:t>
      </w:r>
      <w:r>
        <w:rPr>
          <w:i/>
          <w:spacing w:val="-5"/>
          <w:sz w:val="20"/>
        </w:rPr>
        <w:t> </w:t>
      </w:r>
      <w:r>
        <w:rPr>
          <w:i/>
          <w:sz w:val="20"/>
        </w:rPr>
        <w:t>expedientes</w:t>
      </w:r>
      <w:r>
        <w:rPr>
          <w:i/>
          <w:spacing w:val="-5"/>
          <w:sz w:val="20"/>
        </w:rPr>
        <w:t> </w:t>
      </w:r>
      <w:r>
        <w:rPr>
          <w:i/>
          <w:sz w:val="20"/>
        </w:rPr>
        <w:t>afectados</w:t>
      </w:r>
      <w:r>
        <w:rPr>
          <w:i/>
          <w:spacing w:val="-5"/>
          <w:sz w:val="20"/>
        </w:rPr>
        <w:t> </w:t>
      </w:r>
      <w:r>
        <w:rPr>
          <w:i/>
          <w:sz w:val="20"/>
        </w:rPr>
        <w:t>por</w:t>
      </w:r>
      <w:r>
        <w:rPr>
          <w:i/>
          <w:spacing w:val="-4"/>
          <w:sz w:val="20"/>
        </w:rPr>
        <w:t> </w:t>
      </w:r>
      <w:r>
        <w:rPr>
          <w:i/>
          <w:sz w:val="20"/>
        </w:rPr>
        <w:t>un</w:t>
      </w:r>
      <w:r>
        <w:rPr>
          <w:i/>
          <w:spacing w:val="-6"/>
          <w:sz w:val="20"/>
        </w:rPr>
        <w:t> </w:t>
      </w:r>
      <w:r>
        <w:rPr>
          <w:i/>
          <w:sz w:val="20"/>
        </w:rPr>
        <w:t>importe</w:t>
      </w:r>
      <w:r>
        <w:rPr>
          <w:i/>
          <w:spacing w:val="-3"/>
          <w:sz w:val="20"/>
        </w:rPr>
        <w:t> </w:t>
      </w:r>
      <w:r>
        <w:rPr>
          <w:i/>
          <w:sz w:val="20"/>
        </w:rPr>
        <w:t>de</w:t>
      </w:r>
      <w:r>
        <w:rPr>
          <w:i/>
          <w:spacing w:val="-5"/>
          <w:sz w:val="20"/>
        </w:rPr>
        <w:t> </w:t>
      </w:r>
      <w:r>
        <w:rPr>
          <w:i/>
          <w:sz w:val="20"/>
        </w:rPr>
        <w:t>454,3</w:t>
      </w:r>
      <w:r>
        <w:rPr>
          <w:i/>
          <w:spacing w:val="-4"/>
          <w:sz w:val="20"/>
        </w:rPr>
        <w:t> </w:t>
      </w:r>
      <w:r>
        <w:rPr>
          <w:i/>
          <w:sz w:val="20"/>
        </w:rPr>
        <w:t>millones</w:t>
      </w:r>
      <w:r>
        <w:rPr>
          <w:i/>
          <w:spacing w:val="-5"/>
          <w:sz w:val="20"/>
        </w:rPr>
        <w:t> </w:t>
      </w:r>
      <w:r>
        <w:rPr>
          <w:i/>
          <w:sz w:val="20"/>
        </w:rPr>
        <w:t>de</w:t>
      </w:r>
    </w:p>
    <w:p>
      <w:pPr>
        <w:spacing w:before="0"/>
        <w:ind w:left="2903" w:right="1342" w:firstLine="0"/>
        <w:jc w:val="both"/>
        <w:rPr>
          <w:i/>
          <w:sz w:val="20"/>
        </w:rPr>
      </w:pPr>
      <w:r>
        <w:rPr>
          <w:i/>
          <w:sz w:val="20"/>
        </w:rPr>
        <w:t>€, si bien, la cifra es inferior a la del ejercicio anterior, que ascendió a 485,1 </w:t>
      </w:r>
      <w:r>
        <w:rPr>
          <w:i/>
          <w:sz w:val="20"/>
        </w:rPr>
        <w:t>millones de €.</w:t>
      </w:r>
    </w:p>
    <w:p>
      <w:pPr>
        <w:pStyle w:val="BodyText"/>
        <w:spacing w:before="9"/>
        <w:rPr>
          <w:i/>
          <w:sz w:val="16"/>
        </w:rPr>
      </w:pPr>
    </w:p>
    <w:p>
      <w:pPr>
        <w:spacing w:before="1"/>
        <w:ind w:left="2903" w:right="1343" w:firstLine="0"/>
        <w:jc w:val="both"/>
        <w:rPr>
          <w:i/>
          <w:sz w:val="20"/>
        </w:rPr>
      </w:pPr>
      <w:r>
        <w:rPr>
          <w:i/>
          <w:sz w:val="20"/>
        </w:rPr>
        <w:t>Respecto a esta información, se ha podido ampliar el análisis, con los informes </w:t>
      </w:r>
      <w:r>
        <w:rPr>
          <w:i/>
          <w:sz w:val="20"/>
        </w:rPr>
        <w:t>de Control Financiero Permanente elaborados por la IGCAC, más concretamente para</w:t>
      </w:r>
      <w:r>
        <w:rPr>
          <w:i/>
          <w:spacing w:val="-3"/>
          <w:sz w:val="20"/>
        </w:rPr>
        <w:t> </w:t>
      </w:r>
      <w:r>
        <w:rPr>
          <w:i/>
          <w:sz w:val="20"/>
        </w:rPr>
        <w:t>los</w:t>
      </w:r>
      <w:r>
        <w:rPr>
          <w:i/>
          <w:spacing w:val="-2"/>
          <w:sz w:val="20"/>
        </w:rPr>
        <w:t> </w:t>
      </w:r>
      <w:r>
        <w:rPr>
          <w:i/>
          <w:sz w:val="20"/>
        </w:rPr>
        <w:t>capítulos</w:t>
      </w:r>
      <w:r>
        <w:rPr>
          <w:i/>
          <w:spacing w:val="-2"/>
          <w:sz w:val="20"/>
        </w:rPr>
        <w:t> </w:t>
      </w:r>
      <w:r>
        <w:rPr>
          <w:i/>
          <w:sz w:val="20"/>
        </w:rPr>
        <w:t>IV,</w:t>
      </w:r>
      <w:r>
        <w:rPr>
          <w:i/>
          <w:spacing w:val="-4"/>
          <w:sz w:val="20"/>
        </w:rPr>
        <w:t> </w:t>
      </w:r>
      <w:r>
        <w:rPr>
          <w:i/>
          <w:sz w:val="20"/>
        </w:rPr>
        <w:t>VI,</w:t>
      </w:r>
      <w:r>
        <w:rPr>
          <w:i/>
          <w:spacing w:val="-5"/>
          <w:sz w:val="20"/>
        </w:rPr>
        <w:t> </w:t>
      </w:r>
      <w:r>
        <w:rPr>
          <w:i/>
          <w:sz w:val="20"/>
        </w:rPr>
        <w:t>VII</w:t>
      </w:r>
      <w:r>
        <w:rPr>
          <w:i/>
          <w:spacing w:val="-3"/>
          <w:sz w:val="20"/>
        </w:rPr>
        <w:t> </w:t>
      </w:r>
      <w:r>
        <w:rPr>
          <w:i/>
          <w:sz w:val="20"/>
        </w:rPr>
        <w:t>y</w:t>
      </w:r>
      <w:r>
        <w:rPr>
          <w:i/>
          <w:spacing w:val="-4"/>
          <w:sz w:val="20"/>
        </w:rPr>
        <w:t> </w:t>
      </w:r>
      <w:r>
        <w:rPr>
          <w:i/>
          <w:sz w:val="20"/>
        </w:rPr>
        <w:t>Art.</w:t>
      </w:r>
      <w:r>
        <w:rPr>
          <w:i/>
          <w:spacing w:val="-5"/>
          <w:sz w:val="20"/>
        </w:rPr>
        <w:t> </w:t>
      </w:r>
      <w:r>
        <w:rPr>
          <w:i/>
          <w:sz w:val="20"/>
        </w:rPr>
        <w:t>25</w:t>
      </w:r>
      <w:r>
        <w:rPr>
          <w:i/>
          <w:spacing w:val="-3"/>
          <w:sz w:val="20"/>
        </w:rPr>
        <w:t> </w:t>
      </w:r>
      <w:r>
        <w:rPr>
          <w:i/>
          <w:sz w:val="20"/>
        </w:rPr>
        <w:t>del</w:t>
      </w:r>
      <w:r>
        <w:rPr>
          <w:i/>
          <w:spacing w:val="-1"/>
          <w:sz w:val="20"/>
        </w:rPr>
        <w:t> </w:t>
      </w:r>
      <w:r>
        <w:rPr>
          <w:i/>
          <w:sz w:val="20"/>
        </w:rPr>
        <w:t>presupuesto</w:t>
      </w:r>
      <w:r>
        <w:rPr>
          <w:i/>
          <w:spacing w:val="-3"/>
          <w:sz w:val="20"/>
        </w:rPr>
        <w:t> </w:t>
      </w:r>
      <w:r>
        <w:rPr>
          <w:i/>
          <w:sz w:val="20"/>
        </w:rPr>
        <w:t>de</w:t>
      </w:r>
      <w:r>
        <w:rPr>
          <w:i/>
          <w:spacing w:val="-2"/>
          <w:sz w:val="20"/>
        </w:rPr>
        <w:t> </w:t>
      </w:r>
      <w:r>
        <w:rPr>
          <w:i/>
          <w:sz w:val="20"/>
        </w:rPr>
        <w:t>gastos.</w:t>
      </w:r>
      <w:r>
        <w:rPr>
          <w:i/>
          <w:spacing w:val="-1"/>
          <w:sz w:val="20"/>
        </w:rPr>
        <w:t> </w:t>
      </w:r>
      <w:r>
        <w:rPr>
          <w:i/>
          <w:sz w:val="20"/>
        </w:rPr>
        <w:t>Esta</w:t>
      </w:r>
      <w:r>
        <w:rPr>
          <w:i/>
          <w:spacing w:val="-2"/>
          <w:sz w:val="20"/>
        </w:rPr>
        <w:t> </w:t>
      </w:r>
      <w:r>
        <w:rPr>
          <w:i/>
          <w:sz w:val="20"/>
        </w:rPr>
        <w:t>información permite diferenciar, al menos, 88 millones de € que corresponden a nulidades para la asistencia sanitaria realizada con medios ajenos, para las que, posteriormente, se han adjudicado los correspondientes</w:t>
      </w:r>
      <w:r>
        <w:rPr>
          <w:i/>
          <w:spacing w:val="7"/>
          <w:sz w:val="20"/>
        </w:rPr>
        <w:t> </w:t>
      </w:r>
      <w:r>
        <w:rPr>
          <w:i/>
          <w:sz w:val="20"/>
        </w:rPr>
        <w:t>contratos.”</w:t>
      </w:r>
    </w:p>
    <w:p>
      <w:pPr>
        <w:pStyle w:val="BodyText"/>
        <w:spacing w:before="3"/>
        <w:rPr>
          <w:i/>
          <w:sz w:val="17"/>
        </w:rPr>
      </w:pPr>
    </w:p>
    <w:p>
      <w:pPr>
        <w:pStyle w:val="BodyText"/>
        <w:spacing w:before="1"/>
        <w:ind w:left="2299"/>
        <w:jc w:val="both"/>
      </w:pPr>
      <w:r>
        <w:rPr/>
        <w:t>La conclusión nº 27 del epígrafe 8.2, queda redactada de la siguiente manera:</w:t>
      </w:r>
    </w:p>
    <w:p>
      <w:pPr>
        <w:pStyle w:val="BodyText"/>
        <w:spacing w:before="8"/>
        <w:rPr>
          <w:sz w:val="16"/>
        </w:rPr>
      </w:pPr>
    </w:p>
    <w:p>
      <w:pPr>
        <w:spacing w:before="0"/>
        <w:ind w:left="2299" w:right="1343" w:firstLine="0"/>
        <w:jc w:val="both"/>
        <w:rPr>
          <w:i/>
          <w:sz w:val="20"/>
        </w:rPr>
      </w:pPr>
      <w:r>
        <w:rPr>
          <w:i/>
          <w:sz w:val="20"/>
        </w:rPr>
        <w:t>“27.</w:t>
      </w:r>
      <w:r>
        <w:rPr>
          <w:i/>
          <w:spacing w:val="-8"/>
          <w:sz w:val="20"/>
        </w:rPr>
        <w:t> </w:t>
      </w:r>
      <w:r>
        <w:rPr>
          <w:i/>
          <w:sz w:val="20"/>
        </w:rPr>
        <w:t>Las</w:t>
      </w:r>
      <w:r>
        <w:rPr>
          <w:i/>
          <w:spacing w:val="-8"/>
          <w:sz w:val="20"/>
        </w:rPr>
        <w:t> </w:t>
      </w:r>
      <w:r>
        <w:rPr>
          <w:i/>
          <w:sz w:val="20"/>
        </w:rPr>
        <w:t>entidades</w:t>
      </w:r>
      <w:r>
        <w:rPr>
          <w:i/>
          <w:spacing w:val="-8"/>
          <w:sz w:val="20"/>
        </w:rPr>
        <w:t> </w:t>
      </w:r>
      <w:r>
        <w:rPr>
          <w:i/>
          <w:sz w:val="20"/>
        </w:rPr>
        <w:t>que</w:t>
      </w:r>
      <w:r>
        <w:rPr>
          <w:i/>
          <w:spacing w:val="-8"/>
          <w:sz w:val="20"/>
        </w:rPr>
        <w:t> </w:t>
      </w:r>
      <w:r>
        <w:rPr>
          <w:i/>
          <w:sz w:val="20"/>
        </w:rPr>
        <w:t>tramitan</w:t>
      </w:r>
      <w:r>
        <w:rPr>
          <w:i/>
          <w:spacing w:val="-9"/>
          <w:sz w:val="20"/>
        </w:rPr>
        <w:t> </w:t>
      </w:r>
      <w:r>
        <w:rPr>
          <w:i/>
          <w:sz w:val="20"/>
        </w:rPr>
        <w:t>nulidades</w:t>
      </w:r>
      <w:r>
        <w:rPr>
          <w:i/>
          <w:spacing w:val="-8"/>
          <w:sz w:val="20"/>
        </w:rPr>
        <w:t> </w:t>
      </w:r>
      <w:r>
        <w:rPr>
          <w:i/>
          <w:sz w:val="20"/>
        </w:rPr>
        <w:t>en</w:t>
      </w:r>
      <w:r>
        <w:rPr>
          <w:i/>
          <w:spacing w:val="-9"/>
          <w:sz w:val="20"/>
        </w:rPr>
        <w:t> </w:t>
      </w:r>
      <w:r>
        <w:rPr>
          <w:i/>
          <w:sz w:val="20"/>
        </w:rPr>
        <w:t>2022</w:t>
      </w:r>
      <w:r>
        <w:rPr>
          <w:i/>
          <w:spacing w:val="-8"/>
          <w:sz w:val="20"/>
        </w:rPr>
        <w:t> </w:t>
      </w:r>
      <w:r>
        <w:rPr>
          <w:i/>
          <w:sz w:val="20"/>
        </w:rPr>
        <w:t>han</w:t>
      </w:r>
      <w:r>
        <w:rPr>
          <w:i/>
          <w:spacing w:val="-9"/>
          <w:sz w:val="20"/>
        </w:rPr>
        <w:t> </w:t>
      </w:r>
      <w:r>
        <w:rPr>
          <w:i/>
          <w:sz w:val="20"/>
        </w:rPr>
        <w:t>sido</w:t>
      </w:r>
      <w:r>
        <w:rPr>
          <w:i/>
          <w:spacing w:val="-9"/>
          <w:sz w:val="20"/>
        </w:rPr>
        <w:t> </w:t>
      </w:r>
      <w:r>
        <w:rPr>
          <w:i/>
          <w:sz w:val="20"/>
        </w:rPr>
        <w:t>SCE,</w:t>
      </w:r>
      <w:r>
        <w:rPr>
          <w:i/>
          <w:spacing w:val="-8"/>
          <w:sz w:val="20"/>
        </w:rPr>
        <w:t> </w:t>
      </w:r>
      <w:r>
        <w:rPr>
          <w:i/>
          <w:sz w:val="20"/>
        </w:rPr>
        <w:t>ICHH,</w:t>
      </w:r>
      <w:r>
        <w:rPr>
          <w:i/>
          <w:spacing w:val="-8"/>
          <w:sz w:val="20"/>
        </w:rPr>
        <w:t> </w:t>
      </w:r>
      <w:r>
        <w:rPr>
          <w:i/>
          <w:sz w:val="20"/>
        </w:rPr>
        <w:t>ICCA,</w:t>
      </w:r>
      <w:r>
        <w:rPr>
          <w:i/>
          <w:spacing w:val="-8"/>
          <w:sz w:val="20"/>
        </w:rPr>
        <w:t> </w:t>
      </w:r>
      <w:r>
        <w:rPr>
          <w:i/>
          <w:sz w:val="20"/>
        </w:rPr>
        <w:t>APMN,</w:t>
      </w:r>
      <w:r>
        <w:rPr>
          <w:i/>
          <w:spacing w:val="-8"/>
          <w:sz w:val="20"/>
        </w:rPr>
        <w:t> </w:t>
      </w:r>
      <w:r>
        <w:rPr>
          <w:i/>
          <w:sz w:val="20"/>
        </w:rPr>
        <w:t>ATC, </w:t>
      </w:r>
      <w:r>
        <w:rPr>
          <w:i/>
          <w:sz w:val="20"/>
        </w:rPr>
        <w:t>SCS y RTVC, por importe total de 456,5 millones de €, siendo más del 99 % expedientes del</w:t>
      </w:r>
      <w:r>
        <w:rPr>
          <w:i/>
          <w:spacing w:val="1"/>
          <w:sz w:val="20"/>
        </w:rPr>
        <w:t> </w:t>
      </w:r>
      <w:r>
        <w:rPr>
          <w:i/>
          <w:sz w:val="20"/>
        </w:rPr>
        <w:t>SCS.</w:t>
      </w:r>
    </w:p>
    <w:p>
      <w:pPr>
        <w:pStyle w:val="BodyText"/>
        <w:spacing w:before="11"/>
        <w:rPr>
          <w:i/>
          <w:sz w:val="16"/>
        </w:rPr>
      </w:pPr>
    </w:p>
    <w:p>
      <w:pPr>
        <w:spacing w:line="242" w:lineRule="auto" w:before="0"/>
        <w:ind w:left="2299" w:right="1342" w:firstLine="0"/>
        <w:jc w:val="both"/>
        <w:rPr>
          <w:i/>
          <w:sz w:val="20"/>
        </w:rPr>
      </w:pPr>
      <w:r>
        <w:rPr>
          <w:i/>
          <w:sz w:val="20"/>
        </w:rPr>
        <w:t>Respecto al SCS, al menos, 88 millones de € que se corresponden a nulidades para la </w:t>
      </w:r>
      <w:r>
        <w:rPr>
          <w:i/>
          <w:sz w:val="20"/>
        </w:rPr>
        <w:t>asistencia sanitaria realizada con medios ajenos, para las que, posteriormente, se han adjudicado los correspondientes contratos (apartado 4.2.5 y 4.4.3).”</w:t>
      </w:r>
    </w:p>
    <w:p>
      <w:pPr>
        <w:pStyle w:val="BodyText"/>
        <w:rPr>
          <w:i/>
        </w:rPr>
      </w:pPr>
    </w:p>
    <w:p>
      <w:pPr>
        <w:pStyle w:val="BodyText"/>
        <w:rPr>
          <w:i/>
        </w:rPr>
      </w:pPr>
    </w:p>
    <w:p>
      <w:pPr>
        <w:pStyle w:val="Heading1"/>
        <w:spacing w:before="160"/>
        <w:ind w:left="2299"/>
        <w:jc w:val="both"/>
      </w:pPr>
      <w:r>
        <w:rPr/>
        <w:t>ALEGACIONES FORMULADAS POR LA AGENCIA TRIBUTARIA CANARIA (ATC)</w:t>
      </w:r>
    </w:p>
    <w:p>
      <w:pPr>
        <w:pStyle w:val="BodyText"/>
        <w:spacing w:before="9"/>
        <w:rPr>
          <w:b/>
          <w:sz w:val="16"/>
        </w:rPr>
      </w:pPr>
    </w:p>
    <w:p>
      <w:pPr>
        <w:spacing w:before="0"/>
        <w:ind w:left="2299" w:right="0" w:firstLine="0"/>
        <w:jc w:val="both"/>
        <w:rPr>
          <w:b/>
          <w:sz w:val="20"/>
        </w:rPr>
      </w:pPr>
      <w:r>
        <w:rPr>
          <w:b/>
          <w:sz w:val="20"/>
        </w:rPr>
        <w:t>Alegación 1: epígrafe 8.3. recomendación nº 5</w:t>
      </w:r>
    </w:p>
    <w:p>
      <w:pPr>
        <w:pStyle w:val="BodyText"/>
        <w:spacing w:before="8"/>
        <w:rPr>
          <w:b/>
          <w:sz w:val="16"/>
        </w:rPr>
      </w:pPr>
    </w:p>
    <w:p>
      <w:pPr>
        <w:pStyle w:val="BodyText"/>
        <w:ind w:left="2299" w:right="1345"/>
        <w:jc w:val="both"/>
      </w:pPr>
      <w:r>
        <w:rPr>
          <w:b/>
        </w:rPr>
        <w:t>Resumen: </w:t>
      </w:r>
      <w:r>
        <w:rPr/>
        <w:t>En la citada recomendación del Proyecto de Informe se recoge que la IGCAC y la ATC deben de adoptar las medidas correctoras necesarias para eliminar las inconsistencias de la información sobre los derechos pendientes de cobro registrados en el sistema SEFLogiC, con las relaciones de deudores que se obtienen de los sistemas de gestión tributaria (Contraído Previo de PICCAC Y</w:t>
      </w:r>
      <w:r>
        <w:rPr>
          <w:spacing w:val="-2"/>
        </w:rPr>
        <w:t> </w:t>
      </w:r>
      <w:r>
        <w:rPr/>
        <w:t>M@gin).</w:t>
      </w:r>
    </w:p>
    <w:p>
      <w:pPr>
        <w:pStyle w:val="BodyText"/>
        <w:rPr>
          <w:sz w:val="18"/>
        </w:rPr>
      </w:pPr>
    </w:p>
    <w:p>
      <w:pPr>
        <w:pStyle w:val="BodyText"/>
        <w:spacing w:before="61"/>
        <w:ind w:left="8760" w:right="973"/>
        <w:jc w:val="center"/>
      </w:pPr>
      <w:r>
        <w:rPr/>
        <w:t>238</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511" name="image5.png"/>
                  <wp:cNvGraphicFramePr>
                    <a:graphicFrameLocks noChangeAspect="1"/>
                  </wp:cNvGraphicFramePr>
                  <a:graphic>
                    <a:graphicData uri="http://schemas.openxmlformats.org/drawingml/2006/picture">
                      <pic:pic>
                        <pic:nvPicPr>
                          <pic:cNvPr id="51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240/247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right="1342"/>
        <w:jc w:val="both"/>
      </w:pPr>
      <w:r>
        <w:rPr/>
        <w:t>Por la Agencia Tributaria se alega que durante el ejercicio 2022 se llevaron a cabo diversas actuaciones tendentes a la realización de un documento de análisis funcional del sistema económico-financiero con medios propios de la Agencia. Dada la complejidad</w:t>
      </w:r>
      <w:r>
        <w:rPr>
          <w:spacing w:val="-6"/>
        </w:rPr>
        <w:t> </w:t>
      </w:r>
      <w:r>
        <w:rPr/>
        <w:t>del</w:t>
      </w:r>
      <w:r>
        <w:rPr>
          <w:spacing w:val="-7"/>
        </w:rPr>
        <w:t> </w:t>
      </w:r>
      <w:r>
        <w:rPr/>
        <w:t>proyecto,</w:t>
      </w:r>
      <w:r>
        <w:rPr>
          <w:spacing w:val="-5"/>
        </w:rPr>
        <w:t> </w:t>
      </w:r>
      <w:r>
        <w:rPr/>
        <w:t>mediante</w:t>
      </w:r>
      <w:r>
        <w:rPr>
          <w:spacing w:val="-7"/>
        </w:rPr>
        <w:t> </w:t>
      </w:r>
      <w:r>
        <w:rPr/>
        <w:t>Resolución</w:t>
      </w:r>
      <w:r>
        <w:rPr>
          <w:spacing w:val="-7"/>
        </w:rPr>
        <w:t> </w:t>
      </w:r>
      <w:r>
        <w:rPr/>
        <w:t>nº</w:t>
      </w:r>
      <w:r>
        <w:rPr>
          <w:spacing w:val="-5"/>
        </w:rPr>
        <w:t> </w:t>
      </w:r>
      <w:r>
        <w:rPr/>
        <w:t>23/2023</w:t>
      </w:r>
      <w:r>
        <w:rPr>
          <w:spacing w:val="-7"/>
        </w:rPr>
        <w:t> </w:t>
      </w:r>
      <w:r>
        <w:rPr/>
        <w:t>de</w:t>
      </w:r>
      <w:r>
        <w:rPr>
          <w:spacing w:val="-7"/>
        </w:rPr>
        <w:t> </w:t>
      </w:r>
      <w:r>
        <w:rPr/>
        <w:t>la</w:t>
      </w:r>
      <w:r>
        <w:rPr>
          <w:spacing w:val="-7"/>
        </w:rPr>
        <w:t> </w:t>
      </w:r>
      <w:r>
        <w:rPr/>
        <w:t>directora</w:t>
      </w:r>
      <w:r>
        <w:rPr>
          <w:spacing w:val="-7"/>
        </w:rPr>
        <w:t> </w:t>
      </w:r>
      <w:r>
        <w:rPr/>
        <w:t>de</w:t>
      </w:r>
      <w:r>
        <w:rPr>
          <w:spacing w:val="-4"/>
        </w:rPr>
        <w:t> </w:t>
      </w:r>
      <w:r>
        <w:rPr/>
        <w:t>la</w:t>
      </w:r>
      <w:r>
        <w:rPr>
          <w:spacing w:val="-7"/>
        </w:rPr>
        <w:t> </w:t>
      </w:r>
      <w:r>
        <w:rPr/>
        <w:t>Agencia Tributaria Canaria de fecha 2 de febrero de 2023, se adjudicó a la empresa Price Waterhouse Coopers el servicio consistente en el Diagnóstico Tecnológico y Propuestas de</w:t>
      </w:r>
      <w:r>
        <w:rPr>
          <w:spacing w:val="-6"/>
        </w:rPr>
        <w:t> </w:t>
      </w:r>
      <w:r>
        <w:rPr/>
        <w:t>Módulo</w:t>
      </w:r>
      <w:r>
        <w:rPr>
          <w:spacing w:val="-5"/>
        </w:rPr>
        <w:t> </w:t>
      </w:r>
      <w:r>
        <w:rPr/>
        <w:t>de</w:t>
      </w:r>
      <w:r>
        <w:rPr>
          <w:spacing w:val="-5"/>
        </w:rPr>
        <w:t> </w:t>
      </w:r>
      <w:r>
        <w:rPr/>
        <w:t>Información</w:t>
      </w:r>
      <w:r>
        <w:rPr>
          <w:spacing w:val="-2"/>
        </w:rPr>
        <w:t> </w:t>
      </w:r>
      <w:r>
        <w:rPr/>
        <w:t>Contable</w:t>
      </w:r>
      <w:r>
        <w:rPr>
          <w:spacing w:val="-6"/>
        </w:rPr>
        <w:t> </w:t>
      </w:r>
      <w:r>
        <w:rPr/>
        <w:t>para</w:t>
      </w:r>
      <w:r>
        <w:rPr>
          <w:spacing w:val="-4"/>
        </w:rPr>
        <w:t> </w:t>
      </w:r>
      <w:r>
        <w:rPr/>
        <w:t>su</w:t>
      </w:r>
      <w:r>
        <w:rPr>
          <w:spacing w:val="-5"/>
        </w:rPr>
        <w:t> </w:t>
      </w:r>
      <w:r>
        <w:rPr/>
        <w:t>posterior</w:t>
      </w:r>
      <w:r>
        <w:rPr>
          <w:spacing w:val="-4"/>
        </w:rPr>
        <w:t> </w:t>
      </w:r>
      <w:r>
        <w:rPr/>
        <w:t>integración</w:t>
      </w:r>
      <w:r>
        <w:rPr>
          <w:spacing w:val="-5"/>
        </w:rPr>
        <w:t> </w:t>
      </w:r>
      <w:r>
        <w:rPr/>
        <w:t>en</w:t>
      </w:r>
      <w:r>
        <w:rPr>
          <w:spacing w:val="-4"/>
        </w:rPr>
        <w:t> </w:t>
      </w:r>
      <w:r>
        <w:rPr/>
        <w:t>el</w:t>
      </w:r>
      <w:r>
        <w:rPr>
          <w:spacing w:val="-4"/>
        </w:rPr>
        <w:t> </w:t>
      </w:r>
      <w:r>
        <w:rPr/>
        <w:t>área</w:t>
      </w:r>
      <w:r>
        <w:rPr>
          <w:spacing w:val="-4"/>
        </w:rPr>
        <w:t> </w:t>
      </w:r>
      <w:r>
        <w:rPr/>
        <w:t>de</w:t>
      </w:r>
      <w:r>
        <w:rPr>
          <w:spacing w:val="-5"/>
        </w:rPr>
        <w:t> </w:t>
      </w:r>
      <w:r>
        <w:rPr/>
        <w:t>ingresos de la Agencia Tributaria Canaria. Se adjunta dicha</w:t>
      </w:r>
      <w:r>
        <w:rPr>
          <w:spacing w:val="2"/>
        </w:rPr>
        <w:t> </w:t>
      </w:r>
      <w:r>
        <w:rPr/>
        <w:t>Resolución.</w:t>
      </w:r>
    </w:p>
    <w:p>
      <w:pPr>
        <w:pStyle w:val="BodyText"/>
        <w:spacing w:before="10"/>
        <w:rPr>
          <w:sz w:val="17"/>
        </w:rPr>
      </w:pPr>
    </w:p>
    <w:p>
      <w:pPr>
        <w:pStyle w:val="BodyText"/>
        <w:spacing w:line="439" w:lineRule="auto"/>
        <w:ind w:left="2299" w:right="1925"/>
        <w:jc w:val="both"/>
      </w:pPr>
      <w:r>
        <w:rPr>
          <w:b/>
        </w:rPr>
        <w:t>Contestación: </w:t>
      </w:r>
      <w:r>
        <w:rPr/>
        <w:t>La alegación no contradice lo recogido en el Proyecto de Informe. En consecuencia, no se modifica el contenido del Informe.</w:t>
      </w:r>
    </w:p>
    <w:p>
      <w:pPr>
        <w:pStyle w:val="Heading1"/>
        <w:spacing w:before="2"/>
        <w:ind w:left="2299"/>
        <w:jc w:val="both"/>
      </w:pPr>
      <w:r>
        <w:rPr/>
        <w:t>Alegación 2: epígrafe 8.3, recomendación nº 6</w:t>
      </w:r>
    </w:p>
    <w:p>
      <w:pPr>
        <w:pStyle w:val="BodyText"/>
        <w:spacing w:before="7"/>
        <w:rPr>
          <w:b/>
          <w:sz w:val="16"/>
        </w:rPr>
      </w:pPr>
    </w:p>
    <w:p>
      <w:pPr>
        <w:pStyle w:val="BodyText"/>
        <w:ind w:left="2299" w:right="1343"/>
        <w:jc w:val="both"/>
      </w:pPr>
      <w:r>
        <w:rPr>
          <w:b/>
        </w:rPr>
        <w:t>Resumen: </w:t>
      </w:r>
      <w:r>
        <w:rPr/>
        <w:t>En la citada recomendación del Proyecto de Informe se recoge que al objeto de</w:t>
      </w:r>
      <w:r>
        <w:rPr>
          <w:spacing w:val="-8"/>
        </w:rPr>
        <w:t> </w:t>
      </w:r>
      <w:r>
        <w:rPr/>
        <w:t>asegurar</w:t>
      </w:r>
      <w:r>
        <w:rPr>
          <w:spacing w:val="-7"/>
        </w:rPr>
        <w:t> </w:t>
      </w:r>
      <w:r>
        <w:rPr/>
        <w:t>que</w:t>
      </w:r>
      <w:r>
        <w:rPr>
          <w:spacing w:val="-8"/>
        </w:rPr>
        <w:t> </w:t>
      </w:r>
      <w:r>
        <w:rPr/>
        <w:t>los</w:t>
      </w:r>
      <w:r>
        <w:rPr>
          <w:spacing w:val="-7"/>
        </w:rPr>
        <w:t> </w:t>
      </w:r>
      <w:r>
        <w:rPr/>
        <w:t>derechos</w:t>
      </w:r>
      <w:r>
        <w:rPr>
          <w:spacing w:val="-8"/>
        </w:rPr>
        <w:t> </w:t>
      </w:r>
      <w:r>
        <w:rPr/>
        <w:t>pendientes</w:t>
      </w:r>
      <w:r>
        <w:rPr>
          <w:spacing w:val="-9"/>
        </w:rPr>
        <w:t> </w:t>
      </w:r>
      <w:r>
        <w:rPr/>
        <w:t>de</w:t>
      </w:r>
      <w:r>
        <w:rPr>
          <w:spacing w:val="-8"/>
        </w:rPr>
        <w:t> </w:t>
      </w:r>
      <w:r>
        <w:rPr/>
        <w:t>cobro</w:t>
      </w:r>
      <w:r>
        <w:rPr>
          <w:spacing w:val="-5"/>
        </w:rPr>
        <w:t> </w:t>
      </w:r>
      <w:r>
        <w:rPr/>
        <w:t>sean</w:t>
      </w:r>
      <w:r>
        <w:rPr>
          <w:spacing w:val="-7"/>
        </w:rPr>
        <w:t> </w:t>
      </w:r>
      <w:r>
        <w:rPr/>
        <w:t>reales</w:t>
      </w:r>
      <w:r>
        <w:rPr>
          <w:spacing w:val="-9"/>
        </w:rPr>
        <w:t> </w:t>
      </w:r>
      <w:r>
        <w:rPr/>
        <w:t>y</w:t>
      </w:r>
      <w:r>
        <w:rPr>
          <w:spacing w:val="-8"/>
        </w:rPr>
        <w:t> </w:t>
      </w:r>
      <w:r>
        <w:rPr/>
        <w:t>exigibles,</w:t>
      </w:r>
      <w:r>
        <w:rPr>
          <w:spacing w:val="-6"/>
        </w:rPr>
        <w:t> </w:t>
      </w:r>
      <w:r>
        <w:rPr/>
        <w:t>la</w:t>
      </w:r>
      <w:r>
        <w:rPr>
          <w:spacing w:val="-5"/>
        </w:rPr>
        <w:t> </w:t>
      </w:r>
      <w:r>
        <w:rPr/>
        <w:t>ATC</w:t>
      </w:r>
      <w:r>
        <w:rPr>
          <w:spacing w:val="-8"/>
        </w:rPr>
        <w:t> </w:t>
      </w:r>
      <w:r>
        <w:rPr/>
        <w:t>debería hacer una selección y depuración de deudas muy antiguas, e incrementar el control sobre la procedencia de esta situación en este tipo de</w:t>
      </w:r>
      <w:r>
        <w:rPr>
          <w:spacing w:val="4"/>
        </w:rPr>
        <w:t> </w:t>
      </w:r>
      <w:r>
        <w:rPr/>
        <w:t>deudas.</w:t>
      </w:r>
    </w:p>
    <w:p>
      <w:pPr>
        <w:pStyle w:val="BodyText"/>
        <w:spacing w:before="1"/>
        <w:rPr>
          <w:sz w:val="17"/>
        </w:rPr>
      </w:pPr>
    </w:p>
    <w:p>
      <w:pPr>
        <w:pStyle w:val="BodyText"/>
        <w:ind w:left="2299" w:right="1345"/>
        <w:jc w:val="both"/>
      </w:pPr>
      <w:r>
        <w:rPr/>
        <w:t>La ATC alega que dentro de los objetivos del Plan de Acción Anual de la Agencia Tributaria Canaria para el ejercicio 2022 se consiguió:</w:t>
      </w:r>
    </w:p>
    <w:p>
      <w:pPr>
        <w:pStyle w:val="BodyText"/>
        <w:spacing w:before="10"/>
        <w:rPr>
          <w:sz w:val="16"/>
        </w:rPr>
      </w:pPr>
    </w:p>
    <w:p>
      <w:pPr>
        <w:pStyle w:val="BodyText"/>
        <w:ind w:left="2299" w:right="1346"/>
        <w:jc w:val="both"/>
      </w:pPr>
      <w:r>
        <w:rPr/>
        <w:t>1.- Cancelación de la deuda pendiente en ejecutiva por importe de 150.813.105,00 €, superando el objetivo establecido en dicho Plan (150.000.000,00€).</w:t>
      </w:r>
    </w:p>
    <w:p>
      <w:pPr>
        <w:pStyle w:val="BodyText"/>
        <w:spacing w:before="10"/>
        <w:rPr>
          <w:sz w:val="16"/>
        </w:rPr>
      </w:pPr>
    </w:p>
    <w:p>
      <w:pPr>
        <w:pStyle w:val="BodyText"/>
        <w:ind w:left="2299" w:right="1345"/>
        <w:jc w:val="both"/>
      </w:pPr>
      <w:r>
        <w:rPr/>
        <w:t>2.- Cancelación de los derechos pendiente de cobro (capítulo 1 al 3) en un 27% (165 millones), superando el objetivo que se estableció en un 20%.</w:t>
      </w:r>
    </w:p>
    <w:p>
      <w:pPr>
        <w:pStyle w:val="BodyText"/>
        <w:spacing w:before="9"/>
        <w:rPr>
          <w:sz w:val="16"/>
        </w:rPr>
      </w:pPr>
    </w:p>
    <w:p>
      <w:pPr>
        <w:pStyle w:val="BodyText"/>
        <w:spacing w:line="242" w:lineRule="auto"/>
        <w:ind w:left="2299" w:right="1341"/>
        <w:jc w:val="both"/>
      </w:pPr>
      <w:r>
        <w:rPr/>
        <w:t>Se adjunta Resolución de 12 de abril de 2022, de la Secretaría General, por la que se da publicidad</w:t>
      </w:r>
      <w:r>
        <w:rPr>
          <w:spacing w:val="-8"/>
        </w:rPr>
        <w:t> </w:t>
      </w:r>
      <w:r>
        <w:rPr/>
        <w:t>el</w:t>
      </w:r>
      <w:r>
        <w:rPr>
          <w:spacing w:val="-11"/>
        </w:rPr>
        <w:t> </w:t>
      </w:r>
      <w:r>
        <w:rPr/>
        <w:t>Plan</w:t>
      </w:r>
      <w:r>
        <w:rPr>
          <w:spacing w:val="-11"/>
        </w:rPr>
        <w:t> </w:t>
      </w:r>
      <w:r>
        <w:rPr/>
        <w:t>de</w:t>
      </w:r>
      <w:r>
        <w:rPr>
          <w:spacing w:val="-9"/>
        </w:rPr>
        <w:t> </w:t>
      </w:r>
      <w:r>
        <w:rPr/>
        <w:t>Acción</w:t>
      </w:r>
      <w:r>
        <w:rPr>
          <w:spacing w:val="-7"/>
        </w:rPr>
        <w:t> </w:t>
      </w:r>
      <w:r>
        <w:rPr/>
        <w:t>Anual</w:t>
      </w:r>
      <w:r>
        <w:rPr>
          <w:spacing w:val="-9"/>
        </w:rPr>
        <w:t> </w:t>
      </w:r>
      <w:r>
        <w:rPr/>
        <w:t>de</w:t>
      </w:r>
      <w:r>
        <w:rPr>
          <w:spacing w:val="-9"/>
        </w:rPr>
        <w:t> </w:t>
      </w:r>
      <w:r>
        <w:rPr/>
        <w:t>la</w:t>
      </w:r>
      <w:r>
        <w:rPr>
          <w:spacing w:val="-8"/>
        </w:rPr>
        <w:t> </w:t>
      </w:r>
      <w:r>
        <w:rPr/>
        <w:t>Agencia</w:t>
      </w:r>
      <w:r>
        <w:rPr>
          <w:spacing w:val="-9"/>
        </w:rPr>
        <w:t> </w:t>
      </w:r>
      <w:r>
        <w:rPr/>
        <w:t>Tributaria</w:t>
      </w:r>
      <w:r>
        <w:rPr>
          <w:spacing w:val="-9"/>
        </w:rPr>
        <w:t> </w:t>
      </w:r>
      <w:r>
        <w:rPr/>
        <w:t>Canaria</w:t>
      </w:r>
      <w:r>
        <w:rPr>
          <w:spacing w:val="-11"/>
        </w:rPr>
        <w:t> </w:t>
      </w:r>
      <w:r>
        <w:rPr/>
        <w:t>para</w:t>
      </w:r>
      <w:r>
        <w:rPr>
          <w:spacing w:val="-8"/>
        </w:rPr>
        <w:t> </w:t>
      </w:r>
      <w:r>
        <w:rPr/>
        <w:t>el</w:t>
      </w:r>
      <w:r>
        <w:rPr>
          <w:spacing w:val="-9"/>
        </w:rPr>
        <w:t> </w:t>
      </w:r>
      <w:r>
        <w:rPr/>
        <w:t>ejercicio</w:t>
      </w:r>
      <w:r>
        <w:rPr>
          <w:spacing w:val="-7"/>
        </w:rPr>
        <w:t> </w:t>
      </w:r>
      <w:r>
        <w:rPr/>
        <w:t>2022, en el marco del Contrato de Gestión de la ATC para el trienio 2022-2024 aprobado por el Gobierno en sesión celebrada el día 20 de enero de 2022, y de conformidad con el artículo 17 de la Ley 7/2014, de 30 de</w:t>
      </w:r>
      <w:r>
        <w:rPr>
          <w:spacing w:val="-5"/>
        </w:rPr>
        <w:t> </w:t>
      </w:r>
      <w:r>
        <w:rPr/>
        <w:t>julio.</w:t>
      </w:r>
    </w:p>
    <w:p>
      <w:pPr>
        <w:pStyle w:val="BodyText"/>
        <w:spacing w:before="5"/>
        <w:rPr>
          <w:sz w:val="16"/>
        </w:rPr>
      </w:pPr>
    </w:p>
    <w:p>
      <w:pPr>
        <w:pStyle w:val="BodyText"/>
        <w:spacing w:line="242" w:lineRule="auto"/>
        <w:ind w:left="2299" w:right="1345"/>
        <w:jc w:val="both"/>
      </w:pPr>
      <w:r>
        <w:rPr/>
        <w:t>Asimismo, se aporta Informe de Actividad de la directora de la Agencia Tributaria Canaria</w:t>
      </w:r>
      <w:r>
        <w:rPr>
          <w:spacing w:val="-7"/>
        </w:rPr>
        <w:t> </w:t>
      </w:r>
      <w:r>
        <w:rPr/>
        <w:t>para</w:t>
      </w:r>
      <w:r>
        <w:rPr>
          <w:spacing w:val="-7"/>
        </w:rPr>
        <w:t> </w:t>
      </w:r>
      <w:r>
        <w:rPr/>
        <w:t>el</w:t>
      </w:r>
      <w:r>
        <w:rPr>
          <w:spacing w:val="-8"/>
        </w:rPr>
        <w:t> </w:t>
      </w:r>
      <w:r>
        <w:rPr/>
        <w:t>ejercicio</w:t>
      </w:r>
      <w:r>
        <w:rPr>
          <w:spacing w:val="-9"/>
        </w:rPr>
        <w:t> </w:t>
      </w:r>
      <w:r>
        <w:rPr/>
        <w:t>2022</w:t>
      </w:r>
      <w:r>
        <w:rPr>
          <w:spacing w:val="-8"/>
        </w:rPr>
        <w:t> </w:t>
      </w:r>
      <w:r>
        <w:rPr/>
        <w:t>donde</w:t>
      </w:r>
      <w:r>
        <w:rPr>
          <w:spacing w:val="-5"/>
        </w:rPr>
        <w:t> </w:t>
      </w:r>
      <w:r>
        <w:rPr/>
        <w:t>se</w:t>
      </w:r>
      <w:r>
        <w:rPr>
          <w:spacing w:val="-7"/>
        </w:rPr>
        <w:t> </w:t>
      </w:r>
      <w:r>
        <w:rPr/>
        <w:t>incluye</w:t>
      </w:r>
      <w:r>
        <w:rPr>
          <w:spacing w:val="-7"/>
        </w:rPr>
        <w:t> </w:t>
      </w:r>
      <w:r>
        <w:rPr/>
        <w:t>el</w:t>
      </w:r>
      <w:r>
        <w:rPr>
          <w:spacing w:val="-8"/>
        </w:rPr>
        <w:t> </w:t>
      </w:r>
      <w:r>
        <w:rPr/>
        <w:t>grado</w:t>
      </w:r>
      <w:r>
        <w:rPr>
          <w:spacing w:val="-7"/>
        </w:rPr>
        <w:t> </w:t>
      </w:r>
      <w:r>
        <w:rPr/>
        <w:t>de</w:t>
      </w:r>
      <w:r>
        <w:rPr>
          <w:spacing w:val="-6"/>
        </w:rPr>
        <w:t> </w:t>
      </w:r>
      <w:r>
        <w:rPr/>
        <w:t>cumplimiento</w:t>
      </w:r>
      <w:r>
        <w:rPr>
          <w:spacing w:val="-7"/>
        </w:rPr>
        <w:t> </w:t>
      </w:r>
      <w:r>
        <w:rPr/>
        <w:t>de</w:t>
      </w:r>
      <w:r>
        <w:rPr>
          <w:spacing w:val="-5"/>
        </w:rPr>
        <w:t> </w:t>
      </w:r>
      <w:r>
        <w:rPr/>
        <w:t>actuaciones y objetivos anuales fijados en el citado Plan y que se indicaron con</w:t>
      </w:r>
      <w:r>
        <w:rPr>
          <w:spacing w:val="9"/>
        </w:rPr>
        <w:t> </w:t>
      </w:r>
      <w:r>
        <w:rPr/>
        <w:t>anterioridad.</w:t>
      </w:r>
    </w:p>
    <w:p>
      <w:pPr>
        <w:pStyle w:val="BodyText"/>
        <w:spacing w:before="4"/>
        <w:rPr>
          <w:sz w:val="16"/>
        </w:rPr>
      </w:pPr>
    </w:p>
    <w:p>
      <w:pPr>
        <w:pStyle w:val="BodyText"/>
        <w:spacing w:line="439" w:lineRule="auto"/>
        <w:ind w:left="2299" w:right="1925"/>
        <w:jc w:val="both"/>
      </w:pPr>
      <w:r>
        <w:rPr>
          <w:b/>
        </w:rPr>
        <w:t>Contestación: </w:t>
      </w:r>
      <w:r>
        <w:rPr/>
        <w:t>La alegación no contradice lo recogido en el Proyecto de Informe. Por tanto, no se modifica el contenido del Informe.</w:t>
      </w:r>
    </w:p>
    <w:p>
      <w:pPr>
        <w:pStyle w:val="BodyText"/>
        <w:spacing w:before="5"/>
        <w:rPr>
          <w:sz w:val="17"/>
        </w:rPr>
      </w:pPr>
    </w:p>
    <w:p>
      <w:pPr>
        <w:pStyle w:val="BodyText"/>
        <w:spacing w:before="61"/>
        <w:ind w:left="8760" w:right="973"/>
        <w:jc w:val="center"/>
      </w:pPr>
      <w:r>
        <w:rPr/>
        <w:t>239</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513" name="image5.png"/>
                  <wp:cNvGraphicFramePr>
                    <a:graphicFrameLocks noChangeAspect="1"/>
                  </wp:cNvGraphicFramePr>
                  <a:graphic>
                    <a:graphicData uri="http://schemas.openxmlformats.org/drawingml/2006/picture">
                      <pic:pic>
                        <pic:nvPicPr>
                          <pic:cNvPr id="51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241/247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spacing w:before="60"/>
        <w:ind w:left="2299" w:right="0" w:firstLine="0"/>
        <w:jc w:val="both"/>
        <w:rPr>
          <w:b/>
          <w:sz w:val="20"/>
        </w:rPr>
      </w:pPr>
      <w:r>
        <w:rPr>
          <w:b/>
          <w:sz w:val="20"/>
        </w:rPr>
        <w:t>ALEGACIONES FORMULADAS POR LA SOCIEDAD MERCATIL PÚBLICA SODECAN</w:t>
      </w:r>
    </w:p>
    <w:p>
      <w:pPr>
        <w:pStyle w:val="BodyText"/>
        <w:spacing w:before="8"/>
        <w:rPr>
          <w:b/>
          <w:sz w:val="16"/>
        </w:rPr>
      </w:pPr>
    </w:p>
    <w:p>
      <w:pPr>
        <w:pStyle w:val="BodyText"/>
        <w:ind w:left="2299" w:right="1339"/>
        <w:jc w:val="both"/>
      </w:pPr>
      <w:r>
        <w:rPr>
          <w:b/>
        </w:rPr>
        <w:t>Alegación 1</w:t>
      </w:r>
      <w:r>
        <w:rPr/>
        <w:t>: Epígrafe 5.1.6. Personal, punto 1: Contratación de personal: apartado A: Contratación de personal fijo de plantilla con sujeción a la normativa básica del estado según lo establecido en el Art. 58.1. de la LPGCAC. (Pag. 120)</w:t>
      </w:r>
    </w:p>
    <w:p>
      <w:pPr>
        <w:pStyle w:val="BodyText"/>
        <w:spacing w:before="11"/>
        <w:rPr>
          <w:sz w:val="16"/>
        </w:rPr>
      </w:pPr>
    </w:p>
    <w:p>
      <w:pPr>
        <w:spacing w:line="242" w:lineRule="auto" w:before="1"/>
        <w:ind w:left="2299" w:right="1342" w:firstLine="0"/>
        <w:jc w:val="both"/>
        <w:rPr>
          <w:sz w:val="20"/>
        </w:rPr>
      </w:pPr>
      <w:r>
        <w:rPr>
          <w:b/>
          <w:sz w:val="20"/>
        </w:rPr>
        <w:t>Resumen: </w:t>
      </w:r>
      <w:r>
        <w:rPr>
          <w:sz w:val="20"/>
        </w:rPr>
        <w:t>En el Proyecto de Informe se recoge: “</w:t>
      </w:r>
      <w:r>
        <w:rPr>
          <w:i/>
          <w:sz w:val="20"/>
        </w:rPr>
        <w:t>En el marco del proceso de </w:t>
      </w:r>
      <w:r>
        <w:rPr>
          <w:i/>
          <w:sz w:val="20"/>
        </w:rPr>
        <w:t>estabilización de empleo temporal previsto en la Ley 20/2021, de 28 de diciembre, de medidas urgentes para la reducción de la temporalidad en el empleo público, todas las entidades del sector público empresarial han aprobado sus procesos de estabilización, excepto PROEXCA Y SODECAN “</w:t>
      </w:r>
      <w:r>
        <w:rPr>
          <w:sz w:val="20"/>
        </w:rPr>
        <w:t>. La Sociedad alega que con fecha 31 de mayo de 2022 aprobó la inclusión de una plaza en los procesos de estabilización de empleo previstos en la Ley 20/2021 de 28 de diciembre de medidas urgentes para la reducción de la temporalidad en el empleo público. Con fecha 23 de diciembre de 2022, se publicó en el BOC las bases generales para cubrir la plaza incluida en el proceso de estabilización, esperando adjudicarla en el año</w:t>
      </w:r>
      <w:r>
        <w:rPr>
          <w:spacing w:val="-3"/>
          <w:sz w:val="20"/>
        </w:rPr>
        <w:t> </w:t>
      </w:r>
      <w:r>
        <w:rPr>
          <w:sz w:val="20"/>
        </w:rPr>
        <w:t>2023.</w:t>
      </w:r>
    </w:p>
    <w:p>
      <w:pPr>
        <w:pStyle w:val="BodyText"/>
        <w:spacing w:before="1"/>
        <w:rPr>
          <w:sz w:val="16"/>
        </w:rPr>
      </w:pPr>
    </w:p>
    <w:p>
      <w:pPr>
        <w:pStyle w:val="BodyText"/>
        <w:ind w:left="2299" w:right="1344"/>
        <w:jc w:val="both"/>
      </w:pPr>
      <w:r>
        <w:rPr>
          <w:b/>
        </w:rPr>
        <w:t>Contestación</w:t>
      </w:r>
      <w:r>
        <w:rPr/>
        <w:t>: Se confirma que el proceso de estabilización estaba en curso al final del año 2022, por tanto, se procede a modificar el contenido del informe, eliminando a SODECAN,</w:t>
      </w:r>
      <w:r>
        <w:rPr>
          <w:spacing w:val="-4"/>
        </w:rPr>
        <w:t> </w:t>
      </w:r>
      <w:r>
        <w:rPr/>
        <w:t>del</w:t>
      </w:r>
      <w:r>
        <w:rPr>
          <w:spacing w:val="-4"/>
        </w:rPr>
        <w:t> </w:t>
      </w:r>
      <w:r>
        <w:rPr/>
        <w:t>párrafo</w:t>
      </w:r>
      <w:r>
        <w:rPr>
          <w:spacing w:val="-2"/>
        </w:rPr>
        <w:t> </w:t>
      </w:r>
      <w:r>
        <w:rPr/>
        <w:t>en</w:t>
      </w:r>
      <w:r>
        <w:rPr>
          <w:spacing w:val="-2"/>
        </w:rPr>
        <w:t> </w:t>
      </w:r>
      <w:r>
        <w:rPr/>
        <w:t>el</w:t>
      </w:r>
      <w:r>
        <w:rPr>
          <w:spacing w:val="-2"/>
        </w:rPr>
        <w:t> </w:t>
      </w:r>
      <w:r>
        <w:rPr/>
        <w:t>que</w:t>
      </w:r>
      <w:r>
        <w:rPr>
          <w:spacing w:val="-4"/>
        </w:rPr>
        <w:t> </w:t>
      </w:r>
      <w:r>
        <w:rPr/>
        <w:t>se</w:t>
      </w:r>
      <w:r>
        <w:rPr>
          <w:spacing w:val="-2"/>
        </w:rPr>
        <w:t> </w:t>
      </w:r>
      <w:r>
        <w:rPr/>
        <w:t>menciona</w:t>
      </w:r>
      <w:r>
        <w:rPr>
          <w:spacing w:val="-3"/>
        </w:rPr>
        <w:t> </w:t>
      </w:r>
      <w:r>
        <w:rPr/>
        <w:t>que</w:t>
      </w:r>
      <w:r>
        <w:rPr>
          <w:spacing w:val="-4"/>
        </w:rPr>
        <w:t> </w:t>
      </w:r>
      <w:r>
        <w:rPr/>
        <w:t>es</w:t>
      </w:r>
      <w:r>
        <w:rPr>
          <w:spacing w:val="-2"/>
        </w:rPr>
        <w:t> </w:t>
      </w:r>
      <w:r>
        <w:rPr/>
        <w:t>una</w:t>
      </w:r>
      <w:r>
        <w:rPr>
          <w:spacing w:val="-4"/>
        </w:rPr>
        <w:t> </w:t>
      </w:r>
      <w:r>
        <w:rPr/>
        <w:t>de</w:t>
      </w:r>
      <w:r>
        <w:rPr>
          <w:spacing w:val="-1"/>
        </w:rPr>
        <w:t> </w:t>
      </w:r>
      <w:r>
        <w:rPr/>
        <w:t>las</w:t>
      </w:r>
      <w:r>
        <w:rPr>
          <w:spacing w:val="-2"/>
        </w:rPr>
        <w:t> </w:t>
      </w:r>
      <w:r>
        <w:rPr/>
        <w:t>sociedades</w:t>
      </w:r>
      <w:r>
        <w:rPr>
          <w:spacing w:val="-4"/>
        </w:rPr>
        <w:t> </w:t>
      </w:r>
      <w:r>
        <w:rPr/>
        <w:t>que</w:t>
      </w:r>
      <w:r>
        <w:rPr>
          <w:spacing w:val="-4"/>
        </w:rPr>
        <w:t> </w:t>
      </w:r>
      <w:r>
        <w:rPr/>
        <w:t>no</w:t>
      </w:r>
      <w:r>
        <w:rPr>
          <w:spacing w:val="-3"/>
        </w:rPr>
        <w:t> </w:t>
      </w:r>
      <w:r>
        <w:rPr/>
        <w:t>había aprobado proceso de</w:t>
      </w:r>
      <w:r>
        <w:rPr>
          <w:spacing w:val="1"/>
        </w:rPr>
        <w:t> </w:t>
      </w:r>
      <w:r>
        <w:rPr/>
        <w:t>estabilización.</w:t>
      </w:r>
    </w:p>
    <w:p>
      <w:pPr>
        <w:pStyle w:val="BodyText"/>
        <w:rPr>
          <w:sz w:val="17"/>
        </w:rPr>
      </w:pPr>
    </w:p>
    <w:p>
      <w:pPr>
        <w:pStyle w:val="BodyText"/>
        <w:spacing w:line="242" w:lineRule="auto" w:before="1"/>
        <w:ind w:left="2299" w:right="1341"/>
        <w:jc w:val="both"/>
      </w:pPr>
      <w:r>
        <w:rPr/>
        <w:t>Por tanto, se modificó el Informe quedando de la siguiente manera: Epígrafe 5.1.6 Personal: punto 1: Contratación de personal: apartado A: Contratación de personal fijo de plantilla con sujeción a la normativa básica del estado según lo establecido en el Art.</w:t>
      </w:r>
    </w:p>
    <w:p>
      <w:pPr>
        <w:pStyle w:val="BodyText"/>
        <w:spacing w:line="244" w:lineRule="auto"/>
        <w:ind w:left="2299" w:right="1344"/>
        <w:jc w:val="both"/>
      </w:pPr>
      <w:r>
        <w:rPr/>
        <w:t>58.1.</w:t>
      </w:r>
      <w:r>
        <w:rPr>
          <w:spacing w:val="-7"/>
        </w:rPr>
        <w:t> </w:t>
      </w:r>
      <w:r>
        <w:rPr/>
        <w:t>de</w:t>
      </w:r>
      <w:r>
        <w:rPr>
          <w:spacing w:val="-5"/>
        </w:rPr>
        <w:t> </w:t>
      </w:r>
      <w:r>
        <w:rPr/>
        <w:t>la</w:t>
      </w:r>
      <w:r>
        <w:rPr>
          <w:spacing w:val="-7"/>
        </w:rPr>
        <w:t> </w:t>
      </w:r>
      <w:r>
        <w:rPr/>
        <w:t>LPGCAC,</w:t>
      </w:r>
      <w:r>
        <w:rPr>
          <w:spacing w:val="-7"/>
        </w:rPr>
        <w:t> </w:t>
      </w:r>
      <w:r>
        <w:rPr/>
        <w:t>párrafo</w:t>
      </w:r>
      <w:r>
        <w:rPr>
          <w:spacing w:val="-5"/>
        </w:rPr>
        <w:t> </w:t>
      </w:r>
      <w:r>
        <w:rPr/>
        <w:t>b.</w:t>
      </w:r>
      <w:r>
        <w:rPr>
          <w:spacing w:val="-6"/>
        </w:rPr>
        <w:t> </w:t>
      </w:r>
      <w:r>
        <w:rPr/>
        <w:t>Eliminar</w:t>
      </w:r>
      <w:r>
        <w:rPr>
          <w:spacing w:val="-7"/>
        </w:rPr>
        <w:t> </w:t>
      </w:r>
      <w:r>
        <w:rPr/>
        <w:t>la</w:t>
      </w:r>
      <w:r>
        <w:rPr>
          <w:spacing w:val="-6"/>
        </w:rPr>
        <w:t> </w:t>
      </w:r>
      <w:r>
        <w:rPr/>
        <w:t>mención</w:t>
      </w:r>
      <w:r>
        <w:rPr>
          <w:spacing w:val="-7"/>
        </w:rPr>
        <w:t> </w:t>
      </w:r>
      <w:r>
        <w:rPr/>
        <w:t>a</w:t>
      </w:r>
      <w:r>
        <w:rPr>
          <w:spacing w:val="-5"/>
        </w:rPr>
        <w:t> </w:t>
      </w:r>
      <w:r>
        <w:rPr/>
        <w:t>la</w:t>
      </w:r>
      <w:r>
        <w:rPr>
          <w:spacing w:val="-5"/>
        </w:rPr>
        <w:t> </w:t>
      </w:r>
      <w:r>
        <w:rPr/>
        <w:t>sociedad</w:t>
      </w:r>
      <w:r>
        <w:rPr>
          <w:spacing w:val="-6"/>
        </w:rPr>
        <w:t> </w:t>
      </w:r>
      <w:r>
        <w:rPr/>
        <w:t>SODECAN,</w:t>
      </w:r>
      <w:r>
        <w:rPr>
          <w:spacing w:val="-7"/>
        </w:rPr>
        <w:t> </w:t>
      </w:r>
      <w:r>
        <w:rPr/>
        <w:t>en</w:t>
      </w:r>
      <w:r>
        <w:rPr>
          <w:spacing w:val="-4"/>
        </w:rPr>
        <w:t> </w:t>
      </w:r>
      <w:r>
        <w:rPr/>
        <w:t>el</w:t>
      </w:r>
      <w:r>
        <w:rPr>
          <w:spacing w:val="-8"/>
        </w:rPr>
        <w:t> </w:t>
      </w:r>
      <w:r>
        <w:rPr/>
        <w:t>final</w:t>
      </w:r>
      <w:r>
        <w:rPr>
          <w:spacing w:val="-7"/>
        </w:rPr>
        <w:t> </w:t>
      </w:r>
      <w:r>
        <w:rPr/>
        <w:t>del párrafo y dejar </w:t>
      </w:r>
      <w:r>
        <w:rPr>
          <w:spacing w:val="-3"/>
        </w:rPr>
        <w:t>“excepto PROEXCA”</w:t>
      </w:r>
      <w:r>
        <w:rPr>
          <w:spacing w:val="4"/>
        </w:rPr>
        <w:t> </w:t>
      </w:r>
      <w:r>
        <w:rPr/>
        <w:t>solamente.</w:t>
      </w:r>
    </w:p>
    <w:p>
      <w:pPr>
        <w:pStyle w:val="BodyText"/>
        <w:spacing w:before="11"/>
        <w:rPr>
          <w:sz w:val="15"/>
        </w:rPr>
      </w:pPr>
    </w:p>
    <w:p>
      <w:pPr>
        <w:pStyle w:val="BodyText"/>
        <w:spacing w:before="1"/>
        <w:ind w:left="2299"/>
        <w:jc w:val="both"/>
      </w:pPr>
      <w:r>
        <w:rPr>
          <w:b/>
        </w:rPr>
        <w:t>Alegación 2</w:t>
      </w:r>
      <w:r>
        <w:rPr/>
        <w:t>: Epígrafe 6. Fondos Carentes de Personalidad Jurídica.</w:t>
      </w:r>
    </w:p>
    <w:p>
      <w:pPr>
        <w:pStyle w:val="BodyText"/>
        <w:spacing w:before="7"/>
        <w:rPr>
          <w:sz w:val="16"/>
        </w:rPr>
      </w:pPr>
    </w:p>
    <w:p>
      <w:pPr>
        <w:pStyle w:val="BodyText"/>
        <w:spacing w:before="1"/>
        <w:ind w:left="2299" w:right="1344"/>
        <w:jc w:val="both"/>
      </w:pPr>
      <w:r>
        <w:rPr>
          <w:b/>
        </w:rPr>
        <w:t>Resumen</w:t>
      </w:r>
      <w:r>
        <w:rPr/>
        <w:t>: La entidad SODECAN solicita que se mencione expresamente el instrumento al que se refiere el párrafo de la página 142 del Proyecto de Informe.</w:t>
      </w:r>
    </w:p>
    <w:p>
      <w:pPr>
        <w:pStyle w:val="BodyText"/>
        <w:spacing w:before="9"/>
        <w:rPr>
          <w:sz w:val="16"/>
        </w:rPr>
      </w:pPr>
    </w:p>
    <w:p>
      <w:pPr>
        <w:pStyle w:val="BodyText"/>
        <w:spacing w:line="242" w:lineRule="auto"/>
        <w:ind w:left="2299" w:right="1352"/>
        <w:jc w:val="both"/>
      </w:pPr>
      <w:r>
        <w:rPr>
          <w:b/>
          <w:w w:val="105"/>
        </w:rPr>
        <w:t>Contestación</w:t>
      </w:r>
      <w:r>
        <w:rPr>
          <w:w w:val="105"/>
        </w:rPr>
        <w:t>: La apreciación hecha por SODECAN se toma en consideración y se añade el nombre del “Instrumento de Préstamo Ordinario para I+D empresarial”, modificando</w:t>
      </w:r>
      <w:r>
        <w:rPr>
          <w:spacing w:val="-5"/>
          <w:w w:val="105"/>
        </w:rPr>
        <w:t> </w:t>
      </w:r>
      <w:r>
        <w:rPr>
          <w:w w:val="105"/>
        </w:rPr>
        <w:t>el</w:t>
      </w:r>
      <w:r>
        <w:rPr>
          <w:spacing w:val="-4"/>
          <w:w w:val="105"/>
        </w:rPr>
        <w:t> </w:t>
      </w:r>
      <w:r>
        <w:rPr>
          <w:w w:val="105"/>
        </w:rPr>
        <w:t>sentido</w:t>
      </w:r>
      <w:r>
        <w:rPr>
          <w:spacing w:val="-4"/>
          <w:w w:val="105"/>
        </w:rPr>
        <w:t> </w:t>
      </w:r>
      <w:r>
        <w:rPr>
          <w:w w:val="105"/>
        </w:rPr>
        <w:t>del</w:t>
      </w:r>
      <w:r>
        <w:rPr>
          <w:spacing w:val="-6"/>
          <w:w w:val="105"/>
        </w:rPr>
        <w:t> </w:t>
      </w:r>
      <w:r>
        <w:rPr>
          <w:w w:val="105"/>
        </w:rPr>
        <w:t>último</w:t>
      </w:r>
      <w:r>
        <w:rPr>
          <w:spacing w:val="-6"/>
          <w:w w:val="105"/>
        </w:rPr>
        <w:t> </w:t>
      </w:r>
      <w:r>
        <w:rPr>
          <w:w w:val="105"/>
        </w:rPr>
        <w:t>párrafo</w:t>
      </w:r>
      <w:r>
        <w:rPr>
          <w:spacing w:val="-4"/>
          <w:w w:val="105"/>
        </w:rPr>
        <w:t> </w:t>
      </w:r>
      <w:r>
        <w:rPr>
          <w:w w:val="105"/>
        </w:rPr>
        <w:t>de</w:t>
      </w:r>
      <w:r>
        <w:rPr>
          <w:spacing w:val="-3"/>
          <w:w w:val="105"/>
        </w:rPr>
        <w:t> </w:t>
      </w:r>
      <w:r>
        <w:rPr>
          <w:w w:val="105"/>
        </w:rPr>
        <w:t>la</w:t>
      </w:r>
      <w:r>
        <w:rPr>
          <w:spacing w:val="-3"/>
          <w:w w:val="105"/>
        </w:rPr>
        <w:t> </w:t>
      </w:r>
      <w:r>
        <w:rPr>
          <w:w w:val="105"/>
        </w:rPr>
        <w:t>página</w:t>
      </w:r>
      <w:r>
        <w:rPr>
          <w:spacing w:val="-4"/>
          <w:w w:val="105"/>
        </w:rPr>
        <w:t> </w:t>
      </w:r>
      <w:r>
        <w:rPr>
          <w:w w:val="105"/>
        </w:rPr>
        <w:t>142</w:t>
      </w:r>
      <w:r>
        <w:rPr>
          <w:spacing w:val="-5"/>
          <w:w w:val="105"/>
        </w:rPr>
        <w:t> </w:t>
      </w:r>
      <w:r>
        <w:rPr>
          <w:w w:val="105"/>
        </w:rPr>
        <w:t>del</w:t>
      </w:r>
      <w:r>
        <w:rPr>
          <w:spacing w:val="-4"/>
          <w:w w:val="105"/>
        </w:rPr>
        <w:t> </w:t>
      </w:r>
      <w:r>
        <w:rPr>
          <w:w w:val="105"/>
        </w:rPr>
        <w:t>proyecto</w:t>
      </w:r>
      <w:r>
        <w:rPr>
          <w:spacing w:val="-4"/>
          <w:w w:val="105"/>
        </w:rPr>
        <w:t> </w:t>
      </w:r>
      <w:r>
        <w:rPr>
          <w:w w:val="105"/>
        </w:rPr>
        <w:t>de</w:t>
      </w:r>
      <w:r>
        <w:rPr>
          <w:spacing w:val="-6"/>
          <w:w w:val="105"/>
        </w:rPr>
        <w:t> </w:t>
      </w:r>
      <w:r>
        <w:rPr>
          <w:w w:val="105"/>
        </w:rPr>
        <w:t>informe, la cual quedaría redactada de la siguiente</w:t>
      </w:r>
      <w:r>
        <w:rPr>
          <w:spacing w:val="1"/>
          <w:w w:val="105"/>
        </w:rPr>
        <w:t> </w:t>
      </w:r>
      <w:r>
        <w:rPr>
          <w:w w:val="105"/>
        </w:rPr>
        <w:t>forma:</w:t>
      </w:r>
    </w:p>
    <w:p>
      <w:pPr>
        <w:pStyle w:val="BodyText"/>
        <w:spacing w:before="4"/>
        <w:rPr>
          <w:sz w:val="16"/>
        </w:rPr>
      </w:pPr>
    </w:p>
    <w:p>
      <w:pPr>
        <w:spacing w:before="0"/>
        <w:ind w:left="2299" w:right="1341" w:firstLine="0"/>
        <w:jc w:val="both"/>
        <w:rPr>
          <w:i/>
          <w:sz w:val="20"/>
        </w:rPr>
      </w:pPr>
      <w:r>
        <w:rPr>
          <w:sz w:val="20"/>
        </w:rPr>
        <w:t>“En la memoria del ejercicio 2022 se establece </w:t>
      </w:r>
      <w:r>
        <w:rPr>
          <w:b/>
          <w:sz w:val="20"/>
        </w:rPr>
        <w:t>con respecto al Instrumento de Préstamo Ordinario para I+D empresarial  </w:t>
      </w:r>
      <w:r>
        <w:rPr>
          <w:sz w:val="20"/>
        </w:rPr>
        <w:t>que se ha llegado a la conclusión de que  hay que plantear cambios en dicho instrumento, los cuales “</w:t>
      </w:r>
      <w:r>
        <w:rPr>
          <w:i/>
          <w:sz w:val="20"/>
        </w:rPr>
        <w:t>a la vista del alcance de los </w:t>
      </w:r>
      <w:r>
        <w:rPr>
          <w:i/>
          <w:sz w:val="20"/>
        </w:rPr>
        <w:t>cambios planteados en ambas propuestas, el tiempo necesario para poder poner en marcha</w:t>
      </w:r>
      <w:r>
        <w:rPr>
          <w:i/>
          <w:spacing w:val="23"/>
          <w:sz w:val="20"/>
        </w:rPr>
        <w:t> </w:t>
      </w:r>
      <w:r>
        <w:rPr>
          <w:i/>
          <w:sz w:val="20"/>
        </w:rPr>
        <w:t>el</w:t>
      </w:r>
      <w:r>
        <w:rPr>
          <w:i/>
          <w:spacing w:val="25"/>
          <w:sz w:val="20"/>
        </w:rPr>
        <w:t> </w:t>
      </w:r>
      <w:r>
        <w:rPr>
          <w:i/>
          <w:sz w:val="20"/>
        </w:rPr>
        <w:t>nuevo</w:t>
      </w:r>
      <w:r>
        <w:rPr>
          <w:i/>
          <w:spacing w:val="24"/>
          <w:sz w:val="20"/>
        </w:rPr>
        <w:t> </w:t>
      </w:r>
      <w:r>
        <w:rPr>
          <w:i/>
          <w:sz w:val="20"/>
        </w:rPr>
        <w:t>instrumento</w:t>
      </w:r>
      <w:r>
        <w:rPr>
          <w:i/>
          <w:spacing w:val="24"/>
          <w:sz w:val="20"/>
        </w:rPr>
        <w:t> </w:t>
      </w:r>
      <w:r>
        <w:rPr>
          <w:i/>
          <w:sz w:val="20"/>
        </w:rPr>
        <w:t>y</w:t>
      </w:r>
      <w:r>
        <w:rPr>
          <w:i/>
          <w:spacing w:val="25"/>
          <w:sz w:val="20"/>
        </w:rPr>
        <w:t> </w:t>
      </w:r>
      <w:r>
        <w:rPr>
          <w:i/>
          <w:sz w:val="20"/>
        </w:rPr>
        <w:t>el</w:t>
      </w:r>
      <w:r>
        <w:rPr>
          <w:i/>
          <w:spacing w:val="25"/>
          <w:sz w:val="20"/>
        </w:rPr>
        <w:t> </w:t>
      </w:r>
      <w:r>
        <w:rPr>
          <w:i/>
          <w:sz w:val="20"/>
        </w:rPr>
        <w:t>plazo</w:t>
      </w:r>
      <w:r>
        <w:rPr>
          <w:i/>
          <w:spacing w:val="24"/>
          <w:sz w:val="20"/>
        </w:rPr>
        <w:t> </w:t>
      </w:r>
      <w:r>
        <w:rPr>
          <w:i/>
          <w:sz w:val="20"/>
        </w:rPr>
        <w:t>efectivo</w:t>
      </w:r>
      <w:r>
        <w:rPr>
          <w:i/>
          <w:spacing w:val="23"/>
          <w:sz w:val="20"/>
        </w:rPr>
        <w:t> </w:t>
      </w:r>
      <w:r>
        <w:rPr>
          <w:i/>
          <w:sz w:val="20"/>
        </w:rPr>
        <w:t>disponible</w:t>
      </w:r>
      <w:r>
        <w:rPr>
          <w:i/>
          <w:spacing w:val="25"/>
          <w:sz w:val="20"/>
        </w:rPr>
        <w:t> </w:t>
      </w:r>
      <w:r>
        <w:rPr>
          <w:i/>
          <w:sz w:val="20"/>
        </w:rPr>
        <w:t>para</w:t>
      </w:r>
      <w:r>
        <w:rPr>
          <w:i/>
          <w:spacing w:val="23"/>
          <w:sz w:val="20"/>
        </w:rPr>
        <w:t> </w:t>
      </w:r>
      <w:r>
        <w:rPr>
          <w:i/>
          <w:sz w:val="20"/>
        </w:rPr>
        <w:t>mantener</w:t>
      </w:r>
      <w:r>
        <w:rPr>
          <w:i/>
          <w:spacing w:val="24"/>
          <w:sz w:val="20"/>
        </w:rPr>
        <w:t> </w:t>
      </w:r>
      <w:r>
        <w:rPr>
          <w:i/>
          <w:sz w:val="20"/>
        </w:rPr>
        <w:t>abierta</w:t>
      </w:r>
      <w:r>
        <w:rPr>
          <w:i/>
          <w:spacing w:val="24"/>
          <w:sz w:val="20"/>
        </w:rPr>
        <w:t> </w:t>
      </w:r>
      <w:r>
        <w:rPr>
          <w:i/>
          <w:sz w:val="20"/>
        </w:rPr>
        <w:t>la</w:t>
      </w:r>
    </w:p>
    <w:p>
      <w:pPr>
        <w:pStyle w:val="BodyText"/>
        <w:spacing w:before="103"/>
        <w:ind w:left="2150" w:right="1340"/>
        <w:jc w:val="right"/>
      </w:pPr>
      <w:r>
        <w:rPr/>
        <w:t>240</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515" name="image5.png"/>
                  <wp:cNvGraphicFramePr>
                    <a:graphicFrameLocks noChangeAspect="1"/>
                  </wp:cNvGraphicFramePr>
                  <a:graphic>
                    <a:graphicData uri="http://schemas.openxmlformats.org/drawingml/2006/picture">
                      <pic:pic>
                        <pic:nvPicPr>
                          <pic:cNvPr id="516"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242/247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spacing w:before="60"/>
        <w:ind w:left="2299" w:right="1346" w:firstLine="0"/>
        <w:jc w:val="both"/>
        <w:rPr>
          <w:sz w:val="20"/>
        </w:rPr>
      </w:pPr>
      <w:r>
        <w:rPr>
          <w:i/>
          <w:sz w:val="20"/>
        </w:rPr>
        <w:t>convocatoria antes del cierre del Programa Operativo, la entidad gestora considera que </w:t>
      </w:r>
      <w:r>
        <w:rPr>
          <w:i/>
          <w:sz w:val="20"/>
        </w:rPr>
        <w:t>no se podrá sacar el instrumento a tiempo con las modificaciones necesarias para que sea un instrumento eficaz</w:t>
      </w:r>
      <w:r>
        <w:rPr>
          <w:sz w:val="20"/>
        </w:rPr>
        <w:t>”, por ello “Con fecha de 26 de enero de 2022, se aprueba por el Comité Ejecutivo del Fondo el traspaso de fondos aportados entre Instrumentos Financieros del Eje1 Programa Operativo FEDER Canarias 14-20”</w:t>
      </w:r>
    </w:p>
    <w:p>
      <w:pPr>
        <w:pStyle w:val="BodyText"/>
        <w:spacing w:before="6"/>
        <w:rPr>
          <w:sz w:val="17"/>
        </w:rPr>
      </w:pPr>
    </w:p>
    <w:p>
      <w:pPr>
        <w:spacing w:before="0"/>
        <w:ind w:left="2299" w:right="0" w:firstLine="0"/>
        <w:jc w:val="both"/>
        <w:rPr>
          <w:b/>
          <w:sz w:val="18"/>
        </w:rPr>
      </w:pPr>
      <w:r>
        <w:rPr>
          <w:b/>
          <w:w w:val="105"/>
          <w:sz w:val="18"/>
        </w:rPr>
        <w:t>Alegación 3: ANEXOS</w:t>
      </w:r>
    </w:p>
    <w:p>
      <w:pPr>
        <w:pStyle w:val="BodyText"/>
        <w:rPr>
          <w:b/>
          <w:sz w:val="17"/>
        </w:rPr>
      </w:pPr>
    </w:p>
    <w:p>
      <w:pPr>
        <w:spacing w:before="0"/>
        <w:ind w:left="2299" w:right="0" w:firstLine="0"/>
        <w:jc w:val="left"/>
        <w:rPr>
          <w:b/>
          <w:sz w:val="18"/>
        </w:rPr>
      </w:pPr>
      <w:r>
        <w:rPr>
          <w:b/>
          <w:w w:val="105"/>
          <w:sz w:val="18"/>
        </w:rPr>
        <w:t>9.1 Anexo I. Relación de documentos no remitidos o recibidos fuera de plazo.</w:t>
      </w:r>
    </w:p>
    <w:p>
      <w:pPr>
        <w:pStyle w:val="BodyText"/>
        <w:spacing w:before="12"/>
        <w:rPr>
          <w:b/>
          <w:sz w:val="16"/>
        </w:rPr>
      </w:pPr>
    </w:p>
    <w:p>
      <w:pPr>
        <w:spacing w:before="0"/>
        <w:ind w:left="2299" w:right="0" w:firstLine="0"/>
        <w:jc w:val="both"/>
        <w:rPr>
          <w:sz w:val="18"/>
        </w:rPr>
      </w:pPr>
      <w:r>
        <w:rPr>
          <w:w w:val="105"/>
          <w:sz w:val="18"/>
        </w:rPr>
        <w:t>Debe suprimirse la fila tercera de este anexo, referida al registro nº 635.</w:t>
      </w:r>
    </w:p>
    <w:p>
      <w:pPr>
        <w:pStyle w:val="BodyText"/>
        <w:rPr>
          <w:sz w:val="17"/>
        </w:rPr>
      </w:pPr>
    </w:p>
    <w:p>
      <w:pPr>
        <w:spacing w:before="0"/>
        <w:ind w:left="2299" w:right="0" w:firstLine="0"/>
        <w:jc w:val="left"/>
        <w:rPr>
          <w:b/>
          <w:sz w:val="18"/>
        </w:rPr>
      </w:pPr>
      <w:r>
        <w:rPr>
          <w:b/>
          <w:w w:val="105"/>
          <w:sz w:val="18"/>
        </w:rPr>
        <w:t>9.3. Anexo XIII. Obras.</w:t>
      </w:r>
    </w:p>
    <w:p>
      <w:pPr>
        <w:pStyle w:val="BodyText"/>
        <w:rPr>
          <w:b/>
          <w:sz w:val="17"/>
        </w:rPr>
      </w:pPr>
    </w:p>
    <w:p>
      <w:pPr>
        <w:spacing w:before="0"/>
        <w:ind w:left="2299" w:right="0" w:firstLine="0"/>
        <w:jc w:val="both"/>
        <w:rPr>
          <w:sz w:val="18"/>
        </w:rPr>
      </w:pPr>
      <w:r>
        <w:rPr>
          <w:w w:val="105"/>
          <w:sz w:val="18"/>
        </w:rPr>
        <w:t>Debe sustituirse el anexo XIII actual por dos nuevos con el siguiente detalle:</w:t>
      </w:r>
    </w:p>
    <w:p>
      <w:pPr>
        <w:pStyle w:val="BodyText"/>
        <w:rPr>
          <w:sz w:val="17"/>
        </w:rPr>
      </w:pPr>
    </w:p>
    <w:p>
      <w:pPr>
        <w:spacing w:before="0" w:after="3"/>
        <w:ind w:left="2299" w:right="0" w:firstLine="0"/>
        <w:jc w:val="left"/>
        <w:rPr>
          <w:sz w:val="18"/>
        </w:rPr>
      </w:pPr>
      <w:r>
        <w:rPr>
          <w:w w:val="105"/>
          <w:sz w:val="18"/>
        </w:rPr>
        <w:t>I. XIII a) Relación de actuaciones de comprobación material revisadas.</w:t>
      </w:r>
    </w:p>
    <w:tbl>
      <w:tblPr>
        <w:tblW w:w="0" w:type="auto"/>
        <w:jc w:val="left"/>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5"/>
        <w:gridCol w:w="4780"/>
        <w:gridCol w:w="1080"/>
      </w:tblGrid>
      <w:tr>
        <w:trPr>
          <w:trHeight w:val="405" w:hRule="atLeast"/>
        </w:trPr>
        <w:tc>
          <w:tcPr>
            <w:tcW w:w="1265" w:type="dxa"/>
            <w:shd w:val="clear" w:color="auto" w:fill="DEEAF6"/>
          </w:tcPr>
          <w:p>
            <w:pPr>
              <w:pStyle w:val="TableParagraph"/>
              <w:spacing w:before="123"/>
              <w:ind w:left="408"/>
              <w:rPr>
                <w:b/>
                <w:sz w:val="13"/>
              </w:rPr>
            </w:pPr>
            <w:r>
              <w:rPr>
                <w:b/>
                <w:w w:val="105"/>
                <w:sz w:val="13"/>
              </w:rPr>
              <w:t>Materia</w:t>
            </w:r>
          </w:p>
        </w:tc>
        <w:tc>
          <w:tcPr>
            <w:tcW w:w="4780" w:type="dxa"/>
            <w:shd w:val="clear" w:color="auto" w:fill="DEEAF6"/>
          </w:tcPr>
          <w:p>
            <w:pPr>
              <w:pStyle w:val="TableParagraph"/>
              <w:spacing w:before="123"/>
              <w:ind w:left="1956" w:right="1949"/>
              <w:jc w:val="center"/>
              <w:rPr>
                <w:b/>
                <w:sz w:val="13"/>
              </w:rPr>
            </w:pPr>
            <w:r>
              <w:rPr>
                <w:b/>
                <w:w w:val="105"/>
                <w:sz w:val="13"/>
              </w:rPr>
              <w:t>Denominación</w:t>
            </w:r>
          </w:p>
        </w:tc>
        <w:tc>
          <w:tcPr>
            <w:tcW w:w="1080" w:type="dxa"/>
            <w:shd w:val="clear" w:color="auto" w:fill="DEEAF6"/>
          </w:tcPr>
          <w:p>
            <w:pPr>
              <w:pStyle w:val="TableParagraph"/>
              <w:spacing w:before="123"/>
              <w:ind w:left="111" w:right="100"/>
              <w:jc w:val="center"/>
              <w:rPr>
                <w:b/>
                <w:sz w:val="13"/>
              </w:rPr>
            </w:pPr>
            <w:r>
              <w:rPr>
                <w:b/>
                <w:w w:val="105"/>
                <w:sz w:val="13"/>
              </w:rPr>
              <w:t>Nº expediente</w:t>
            </w:r>
          </w:p>
        </w:tc>
      </w:tr>
      <w:tr>
        <w:trPr>
          <w:trHeight w:val="189" w:hRule="atLeast"/>
        </w:trPr>
        <w:tc>
          <w:tcPr>
            <w:tcW w:w="1265" w:type="dxa"/>
          </w:tcPr>
          <w:p>
            <w:pPr>
              <w:pStyle w:val="TableParagraph"/>
              <w:spacing w:line="153" w:lineRule="exact" w:before="16"/>
              <w:ind w:left="57"/>
              <w:rPr>
                <w:sz w:val="13"/>
              </w:rPr>
            </w:pPr>
            <w:r>
              <w:rPr>
                <w:w w:val="105"/>
                <w:sz w:val="13"/>
              </w:rPr>
              <w:t>TURISMO</w:t>
            </w:r>
          </w:p>
        </w:tc>
        <w:tc>
          <w:tcPr>
            <w:tcW w:w="4780" w:type="dxa"/>
          </w:tcPr>
          <w:p>
            <w:pPr>
              <w:pStyle w:val="TableParagraph"/>
              <w:spacing w:line="153" w:lineRule="exact" w:before="16"/>
              <w:ind w:left="57"/>
              <w:rPr>
                <w:sz w:val="13"/>
              </w:rPr>
            </w:pPr>
            <w:r>
              <w:rPr>
                <w:w w:val="105"/>
                <w:sz w:val="13"/>
              </w:rPr>
              <w:t>PROYECTO COMPLEMENTARIO DE PARQUE CENTRAL DE ARONA, FASE I</w:t>
            </w:r>
          </w:p>
        </w:tc>
        <w:tc>
          <w:tcPr>
            <w:tcW w:w="1080" w:type="dxa"/>
          </w:tcPr>
          <w:p>
            <w:pPr>
              <w:pStyle w:val="TableParagraph"/>
              <w:spacing w:line="153" w:lineRule="exact" w:before="16"/>
              <w:ind w:left="109" w:right="100"/>
              <w:jc w:val="center"/>
              <w:rPr>
                <w:sz w:val="13"/>
              </w:rPr>
            </w:pPr>
            <w:r>
              <w:rPr>
                <w:w w:val="105"/>
                <w:sz w:val="13"/>
              </w:rPr>
              <w:t>14/456</w:t>
            </w:r>
          </w:p>
        </w:tc>
      </w:tr>
      <w:tr>
        <w:trPr>
          <w:trHeight w:val="187" w:hRule="atLeast"/>
        </w:trPr>
        <w:tc>
          <w:tcPr>
            <w:tcW w:w="1265" w:type="dxa"/>
          </w:tcPr>
          <w:p>
            <w:pPr>
              <w:pStyle w:val="TableParagraph"/>
              <w:spacing w:line="151" w:lineRule="exact" w:before="16"/>
              <w:ind w:left="57"/>
              <w:rPr>
                <w:sz w:val="13"/>
              </w:rPr>
            </w:pPr>
            <w:r>
              <w:rPr>
                <w:w w:val="105"/>
                <w:sz w:val="13"/>
              </w:rPr>
              <w:t>TURISMO</w:t>
            </w:r>
          </w:p>
        </w:tc>
        <w:tc>
          <w:tcPr>
            <w:tcW w:w="4780" w:type="dxa"/>
          </w:tcPr>
          <w:p>
            <w:pPr>
              <w:pStyle w:val="TableParagraph"/>
              <w:spacing w:line="151" w:lineRule="exact" w:before="16"/>
              <w:ind w:left="57"/>
              <w:rPr>
                <w:sz w:val="13"/>
              </w:rPr>
            </w:pPr>
            <w:r>
              <w:rPr>
                <w:w w:val="105"/>
                <w:sz w:val="13"/>
              </w:rPr>
              <w:t>CENTRO DE INTERPRETACIÓN JUEGO DE BOLAS, FASE I</w:t>
            </w:r>
          </w:p>
        </w:tc>
        <w:tc>
          <w:tcPr>
            <w:tcW w:w="1080" w:type="dxa"/>
          </w:tcPr>
          <w:p>
            <w:pPr>
              <w:pStyle w:val="TableParagraph"/>
              <w:spacing w:line="151" w:lineRule="exact" w:before="16"/>
              <w:ind w:left="109" w:right="100"/>
              <w:jc w:val="center"/>
              <w:rPr>
                <w:sz w:val="13"/>
              </w:rPr>
            </w:pPr>
            <w:r>
              <w:rPr>
                <w:w w:val="105"/>
                <w:sz w:val="13"/>
              </w:rPr>
              <w:t>15/966</w:t>
            </w:r>
          </w:p>
        </w:tc>
      </w:tr>
      <w:tr>
        <w:trPr>
          <w:trHeight w:val="189" w:hRule="atLeast"/>
        </w:trPr>
        <w:tc>
          <w:tcPr>
            <w:tcW w:w="1265" w:type="dxa"/>
          </w:tcPr>
          <w:p>
            <w:pPr>
              <w:pStyle w:val="TableParagraph"/>
              <w:spacing w:line="153" w:lineRule="exact" w:before="16"/>
              <w:ind w:left="57"/>
              <w:rPr>
                <w:sz w:val="13"/>
              </w:rPr>
            </w:pPr>
            <w:r>
              <w:rPr>
                <w:w w:val="105"/>
                <w:sz w:val="13"/>
              </w:rPr>
              <w:t>EDUCACIÓN</w:t>
            </w:r>
          </w:p>
        </w:tc>
        <w:tc>
          <w:tcPr>
            <w:tcW w:w="4780" w:type="dxa"/>
          </w:tcPr>
          <w:p>
            <w:pPr>
              <w:pStyle w:val="TableParagraph"/>
              <w:spacing w:line="153" w:lineRule="exact" w:before="16"/>
              <w:ind w:left="57"/>
              <w:rPr>
                <w:sz w:val="13"/>
              </w:rPr>
            </w:pPr>
            <w:r>
              <w:rPr>
                <w:w w:val="105"/>
                <w:sz w:val="13"/>
              </w:rPr>
              <w:t>AMPLIACIÓN DEL IES SANTA MARIA DE GUÍA</w:t>
            </w:r>
          </w:p>
        </w:tc>
        <w:tc>
          <w:tcPr>
            <w:tcW w:w="1080" w:type="dxa"/>
          </w:tcPr>
          <w:p>
            <w:pPr>
              <w:pStyle w:val="TableParagraph"/>
              <w:spacing w:line="153" w:lineRule="exact" w:before="16"/>
              <w:ind w:left="109" w:right="100"/>
              <w:jc w:val="center"/>
              <w:rPr>
                <w:sz w:val="13"/>
              </w:rPr>
            </w:pPr>
            <w:r>
              <w:rPr>
                <w:w w:val="105"/>
                <w:sz w:val="13"/>
              </w:rPr>
              <w:t>18/047</w:t>
            </w:r>
          </w:p>
        </w:tc>
      </w:tr>
      <w:tr>
        <w:trPr>
          <w:trHeight w:val="491" w:hRule="atLeast"/>
        </w:trPr>
        <w:tc>
          <w:tcPr>
            <w:tcW w:w="1265" w:type="dxa"/>
          </w:tcPr>
          <w:p>
            <w:pPr>
              <w:pStyle w:val="TableParagraph"/>
              <w:spacing w:line="247" w:lineRule="auto" w:before="85"/>
              <w:ind w:left="57"/>
              <w:rPr>
                <w:sz w:val="13"/>
              </w:rPr>
            </w:pPr>
            <w:r>
              <w:rPr>
                <w:w w:val="105"/>
                <w:sz w:val="13"/>
              </w:rPr>
              <w:t>TRANSICIÓN ECOLÓGICA</w:t>
            </w:r>
          </w:p>
        </w:tc>
        <w:tc>
          <w:tcPr>
            <w:tcW w:w="4780" w:type="dxa"/>
          </w:tcPr>
          <w:p>
            <w:pPr>
              <w:pStyle w:val="TableParagraph"/>
              <w:spacing w:before="2"/>
              <w:ind w:left="57"/>
              <w:rPr>
                <w:sz w:val="13"/>
              </w:rPr>
            </w:pPr>
            <w:r>
              <w:rPr>
                <w:w w:val="105"/>
                <w:sz w:val="13"/>
              </w:rPr>
              <w:t>MODIFICADO DE LA AMPLIACIÓN DEL EDIFICIO PARA LA BRIGADA DE REFUERZO DE</w:t>
            </w:r>
          </w:p>
          <w:p>
            <w:pPr>
              <w:pStyle w:val="TableParagraph"/>
              <w:spacing w:line="160" w:lineRule="atLeast" w:before="5"/>
              <w:ind w:left="57" w:right="597"/>
              <w:rPr>
                <w:sz w:val="13"/>
              </w:rPr>
            </w:pPr>
            <w:r>
              <w:rPr>
                <w:w w:val="105"/>
                <w:sz w:val="13"/>
              </w:rPr>
              <w:t>INTERVENCIÓN DE LUCHA CONTRA INCENDIOS FORESTALES (B.R.I.F.) T.M. PUNTAGORDA. ISLA DE LA PALMA</w:t>
            </w:r>
          </w:p>
        </w:tc>
        <w:tc>
          <w:tcPr>
            <w:tcW w:w="1080" w:type="dxa"/>
          </w:tcPr>
          <w:p>
            <w:pPr>
              <w:pStyle w:val="TableParagraph"/>
              <w:spacing w:before="8"/>
              <w:rPr>
                <w:sz w:val="13"/>
              </w:rPr>
            </w:pPr>
          </w:p>
          <w:p>
            <w:pPr>
              <w:pStyle w:val="TableParagraph"/>
              <w:ind w:left="109" w:right="100"/>
              <w:jc w:val="center"/>
              <w:rPr>
                <w:sz w:val="13"/>
              </w:rPr>
            </w:pPr>
            <w:r>
              <w:rPr>
                <w:w w:val="105"/>
                <w:sz w:val="13"/>
              </w:rPr>
              <w:t>18/326</w:t>
            </w:r>
          </w:p>
        </w:tc>
      </w:tr>
      <w:tr>
        <w:trPr>
          <w:trHeight w:val="324" w:hRule="atLeast"/>
        </w:trPr>
        <w:tc>
          <w:tcPr>
            <w:tcW w:w="1265" w:type="dxa"/>
          </w:tcPr>
          <w:p>
            <w:pPr>
              <w:pStyle w:val="TableParagraph"/>
              <w:spacing w:before="2"/>
              <w:ind w:left="57"/>
              <w:rPr>
                <w:sz w:val="13"/>
              </w:rPr>
            </w:pPr>
            <w:r>
              <w:rPr>
                <w:w w:val="105"/>
                <w:sz w:val="13"/>
              </w:rPr>
              <w:t>SERVICIO CANARIO</w:t>
            </w:r>
          </w:p>
          <w:p>
            <w:pPr>
              <w:pStyle w:val="TableParagraph"/>
              <w:spacing w:line="139" w:lineRule="exact" w:before="5"/>
              <w:ind w:left="57"/>
              <w:rPr>
                <w:sz w:val="13"/>
              </w:rPr>
            </w:pPr>
            <w:r>
              <w:rPr>
                <w:w w:val="105"/>
                <w:sz w:val="13"/>
              </w:rPr>
              <w:t>DE LA SALUD</w:t>
            </w:r>
          </w:p>
        </w:tc>
        <w:tc>
          <w:tcPr>
            <w:tcW w:w="4780" w:type="dxa"/>
          </w:tcPr>
          <w:p>
            <w:pPr>
              <w:pStyle w:val="TableParagraph"/>
              <w:spacing w:before="82"/>
              <w:ind w:left="57"/>
              <w:rPr>
                <w:sz w:val="13"/>
              </w:rPr>
            </w:pPr>
            <w:r>
              <w:rPr>
                <w:w w:val="105"/>
                <w:sz w:val="13"/>
              </w:rPr>
              <w:t>CENTRO DE SALUD DE LA CUESTA</w:t>
            </w:r>
          </w:p>
        </w:tc>
        <w:tc>
          <w:tcPr>
            <w:tcW w:w="1080" w:type="dxa"/>
          </w:tcPr>
          <w:p>
            <w:pPr>
              <w:pStyle w:val="TableParagraph"/>
              <w:spacing w:before="82"/>
              <w:ind w:left="109" w:right="100"/>
              <w:jc w:val="center"/>
              <w:rPr>
                <w:sz w:val="13"/>
              </w:rPr>
            </w:pPr>
            <w:r>
              <w:rPr>
                <w:w w:val="105"/>
                <w:sz w:val="13"/>
              </w:rPr>
              <w:t>12/1030</w:t>
            </w:r>
          </w:p>
        </w:tc>
      </w:tr>
      <w:tr>
        <w:trPr>
          <w:trHeight w:val="326" w:hRule="atLeast"/>
        </w:trPr>
        <w:tc>
          <w:tcPr>
            <w:tcW w:w="1265" w:type="dxa"/>
          </w:tcPr>
          <w:p>
            <w:pPr>
              <w:pStyle w:val="TableParagraph"/>
              <w:spacing w:before="4"/>
              <w:ind w:left="57"/>
              <w:rPr>
                <w:sz w:val="13"/>
              </w:rPr>
            </w:pPr>
            <w:r>
              <w:rPr>
                <w:w w:val="105"/>
                <w:sz w:val="13"/>
              </w:rPr>
              <w:t>SERVICIO CANARIO</w:t>
            </w:r>
          </w:p>
          <w:p>
            <w:pPr>
              <w:pStyle w:val="TableParagraph"/>
              <w:spacing w:line="139" w:lineRule="exact" w:before="4"/>
              <w:ind w:left="57"/>
              <w:rPr>
                <w:sz w:val="13"/>
              </w:rPr>
            </w:pPr>
            <w:r>
              <w:rPr>
                <w:w w:val="105"/>
                <w:sz w:val="13"/>
              </w:rPr>
              <w:t>DE LA SALUD</w:t>
            </w:r>
          </w:p>
        </w:tc>
        <w:tc>
          <w:tcPr>
            <w:tcW w:w="4780" w:type="dxa"/>
          </w:tcPr>
          <w:p>
            <w:pPr>
              <w:pStyle w:val="TableParagraph"/>
              <w:spacing w:before="85"/>
              <w:ind w:left="57"/>
              <w:rPr>
                <w:sz w:val="13"/>
              </w:rPr>
            </w:pPr>
            <w:r>
              <w:rPr>
                <w:w w:val="105"/>
                <w:sz w:val="13"/>
              </w:rPr>
              <w:t>CAE DE TELDE. ÁREA DE SALUD MENTAL</w:t>
            </w:r>
          </w:p>
        </w:tc>
        <w:tc>
          <w:tcPr>
            <w:tcW w:w="1080" w:type="dxa"/>
          </w:tcPr>
          <w:p>
            <w:pPr>
              <w:pStyle w:val="TableParagraph"/>
              <w:spacing w:before="85"/>
              <w:ind w:left="109" w:right="100"/>
              <w:jc w:val="center"/>
              <w:rPr>
                <w:sz w:val="13"/>
              </w:rPr>
            </w:pPr>
            <w:r>
              <w:rPr>
                <w:w w:val="105"/>
                <w:sz w:val="13"/>
              </w:rPr>
              <w:t>12/387</w:t>
            </w:r>
          </w:p>
        </w:tc>
      </w:tr>
      <w:tr>
        <w:trPr>
          <w:trHeight w:val="189" w:hRule="atLeast"/>
        </w:trPr>
        <w:tc>
          <w:tcPr>
            <w:tcW w:w="1265" w:type="dxa"/>
          </w:tcPr>
          <w:p>
            <w:pPr>
              <w:pStyle w:val="TableParagraph"/>
              <w:spacing w:line="153" w:lineRule="exact" w:before="16"/>
              <w:ind w:left="57"/>
              <w:rPr>
                <w:sz w:val="13"/>
              </w:rPr>
            </w:pPr>
            <w:r>
              <w:rPr>
                <w:w w:val="105"/>
                <w:sz w:val="13"/>
              </w:rPr>
              <w:t>AGUAS</w:t>
            </w:r>
          </w:p>
        </w:tc>
        <w:tc>
          <w:tcPr>
            <w:tcW w:w="4780" w:type="dxa"/>
          </w:tcPr>
          <w:p>
            <w:pPr>
              <w:pStyle w:val="TableParagraph"/>
              <w:spacing w:line="153" w:lineRule="exact" w:before="16"/>
              <w:ind w:left="57"/>
              <w:rPr>
                <w:sz w:val="13"/>
              </w:rPr>
            </w:pPr>
            <w:r>
              <w:rPr>
                <w:w w:val="105"/>
                <w:sz w:val="13"/>
              </w:rPr>
              <w:t>MEJORA Y AMPLIACIÓN DE LA DEPURADORA DE TAZACORTE</w:t>
            </w:r>
          </w:p>
        </w:tc>
        <w:tc>
          <w:tcPr>
            <w:tcW w:w="1080" w:type="dxa"/>
          </w:tcPr>
          <w:p>
            <w:pPr>
              <w:pStyle w:val="TableParagraph"/>
              <w:spacing w:line="153" w:lineRule="exact" w:before="16"/>
              <w:ind w:left="109" w:right="100"/>
              <w:jc w:val="center"/>
              <w:rPr>
                <w:sz w:val="13"/>
              </w:rPr>
            </w:pPr>
            <w:r>
              <w:rPr>
                <w:w w:val="105"/>
                <w:sz w:val="13"/>
              </w:rPr>
              <w:t>12/821</w:t>
            </w:r>
          </w:p>
        </w:tc>
      </w:tr>
      <w:tr>
        <w:trPr>
          <w:trHeight w:val="326" w:hRule="atLeast"/>
        </w:trPr>
        <w:tc>
          <w:tcPr>
            <w:tcW w:w="1265" w:type="dxa"/>
          </w:tcPr>
          <w:p>
            <w:pPr>
              <w:pStyle w:val="TableParagraph"/>
              <w:spacing w:before="2"/>
              <w:ind w:left="57"/>
              <w:rPr>
                <w:sz w:val="13"/>
              </w:rPr>
            </w:pPr>
            <w:r>
              <w:rPr>
                <w:w w:val="105"/>
                <w:sz w:val="13"/>
              </w:rPr>
              <w:t>SERVICIO CANARIO</w:t>
            </w:r>
          </w:p>
          <w:p>
            <w:pPr>
              <w:pStyle w:val="TableParagraph"/>
              <w:spacing w:line="139" w:lineRule="exact" w:before="6"/>
              <w:ind w:left="57"/>
              <w:rPr>
                <w:sz w:val="13"/>
              </w:rPr>
            </w:pPr>
            <w:r>
              <w:rPr>
                <w:w w:val="105"/>
                <w:sz w:val="13"/>
              </w:rPr>
              <w:t>DE LA SALUD</w:t>
            </w:r>
          </w:p>
        </w:tc>
        <w:tc>
          <w:tcPr>
            <w:tcW w:w="4780" w:type="dxa"/>
          </w:tcPr>
          <w:p>
            <w:pPr>
              <w:pStyle w:val="TableParagraph"/>
              <w:spacing w:before="85"/>
              <w:ind w:left="57"/>
              <w:rPr>
                <w:sz w:val="13"/>
              </w:rPr>
            </w:pPr>
            <w:r>
              <w:rPr>
                <w:w w:val="105"/>
                <w:sz w:val="13"/>
              </w:rPr>
              <w:t>CENTRO DE SALUD LAS CHAFIRAS (EXP. 23/T/18/OB/CO/A/117 C6 F51)</w:t>
            </w:r>
          </w:p>
        </w:tc>
        <w:tc>
          <w:tcPr>
            <w:tcW w:w="1080" w:type="dxa"/>
          </w:tcPr>
          <w:p>
            <w:pPr>
              <w:pStyle w:val="TableParagraph"/>
              <w:spacing w:before="85"/>
              <w:ind w:left="109" w:right="100"/>
              <w:jc w:val="center"/>
              <w:rPr>
                <w:sz w:val="13"/>
              </w:rPr>
            </w:pPr>
            <w:r>
              <w:rPr>
                <w:w w:val="105"/>
                <w:sz w:val="13"/>
              </w:rPr>
              <w:t>21/550</w:t>
            </w:r>
          </w:p>
        </w:tc>
      </w:tr>
      <w:tr>
        <w:trPr>
          <w:trHeight w:val="189" w:hRule="atLeast"/>
        </w:trPr>
        <w:tc>
          <w:tcPr>
            <w:tcW w:w="1265" w:type="dxa"/>
          </w:tcPr>
          <w:p>
            <w:pPr>
              <w:pStyle w:val="TableParagraph"/>
              <w:spacing w:line="153" w:lineRule="exact" w:before="16"/>
              <w:ind w:left="57"/>
              <w:rPr>
                <w:sz w:val="13"/>
              </w:rPr>
            </w:pPr>
            <w:r>
              <w:rPr>
                <w:w w:val="105"/>
                <w:sz w:val="13"/>
              </w:rPr>
              <w:t>EDUCACIÓN</w:t>
            </w:r>
          </w:p>
        </w:tc>
        <w:tc>
          <w:tcPr>
            <w:tcW w:w="4780" w:type="dxa"/>
          </w:tcPr>
          <w:p>
            <w:pPr>
              <w:pStyle w:val="TableParagraph"/>
              <w:spacing w:line="153" w:lineRule="exact" w:before="16"/>
              <w:ind w:left="57"/>
              <w:rPr>
                <w:sz w:val="13"/>
              </w:rPr>
            </w:pPr>
            <w:r>
              <w:rPr>
                <w:w w:val="105"/>
                <w:sz w:val="13"/>
              </w:rPr>
              <w:t>AMPLIACIÓN Y REFORMA A 18 UNIDADES DEL CEIP EL CARDÓN” EN VECINDARIO</w:t>
            </w:r>
          </w:p>
        </w:tc>
        <w:tc>
          <w:tcPr>
            <w:tcW w:w="1080" w:type="dxa"/>
          </w:tcPr>
          <w:p>
            <w:pPr>
              <w:pStyle w:val="TableParagraph"/>
              <w:spacing w:line="153" w:lineRule="exact" w:before="16"/>
              <w:ind w:left="109" w:right="100"/>
              <w:jc w:val="center"/>
              <w:rPr>
                <w:sz w:val="13"/>
              </w:rPr>
            </w:pPr>
            <w:r>
              <w:rPr>
                <w:w w:val="105"/>
                <w:sz w:val="13"/>
              </w:rPr>
              <w:t>21/580</w:t>
            </w:r>
          </w:p>
        </w:tc>
      </w:tr>
      <w:tr>
        <w:trPr>
          <w:trHeight w:val="326" w:hRule="atLeast"/>
        </w:trPr>
        <w:tc>
          <w:tcPr>
            <w:tcW w:w="1265" w:type="dxa"/>
          </w:tcPr>
          <w:p>
            <w:pPr>
              <w:pStyle w:val="TableParagraph"/>
              <w:spacing w:before="2"/>
              <w:ind w:left="57"/>
              <w:rPr>
                <w:sz w:val="13"/>
              </w:rPr>
            </w:pPr>
            <w:r>
              <w:rPr>
                <w:w w:val="105"/>
                <w:sz w:val="13"/>
              </w:rPr>
              <w:t>TRANSICIÓN</w:t>
            </w:r>
          </w:p>
          <w:p>
            <w:pPr>
              <w:pStyle w:val="TableParagraph"/>
              <w:spacing w:line="141" w:lineRule="exact" w:before="4"/>
              <w:ind w:left="57"/>
              <w:rPr>
                <w:sz w:val="13"/>
              </w:rPr>
            </w:pPr>
            <w:r>
              <w:rPr>
                <w:w w:val="105"/>
                <w:sz w:val="13"/>
              </w:rPr>
              <w:t>ECOLÓGICA</w:t>
            </w:r>
          </w:p>
        </w:tc>
        <w:tc>
          <w:tcPr>
            <w:tcW w:w="4780" w:type="dxa"/>
          </w:tcPr>
          <w:p>
            <w:pPr>
              <w:pStyle w:val="TableParagraph"/>
              <w:spacing w:before="85"/>
              <w:ind w:left="57"/>
              <w:rPr>
                <w:sz w:val="13"/>
              </w:rPr>
            </w:pPr>
            <w:r>
              <w:rPr>
                <w:w w:val="105"/>
                <w:sz w:val="13"/>
              </w:rPr>
              <w:t>ACTUACIONES DE PREVENCIÓN FRENTE A CATÁSTROFES EN GRAN CANARIA</w:t>
            </w:r>
          </w:p>
        </w:tc>
        <w:tc>
          <w:tcPr>
            <w:tcW w:w="1080" w:type="dxa"/>
          </w:tcPr>
          <w:p>
            <w:pPr>
              <w:pStyle w:val="TableParagraph"/>
              <w:spacing w:before="85"/>
              <w:ind w:left="109" w:right="100"/>
              <w:jc w:val="center"/>
              <w:rPr>
                <w:sz w:val="13"/>
              </w:rPr>
            </w:pPr>
            <w:r>
              <w:rPr>
                <w:w w:val="105"/>
                <w:sz w:val="13"/>
              </w:rPr>
              <w:t>10/734</w:t>
            </w:r>
          </w:p>
        </w:tc>
      </w:tr>
      <w:tr>
        <w:trPr>
          <w:trHeight w:val="326" w:hRule="atLeast"/>
        </w:trPr>
        <w:tc>
          <w:tcPr>
            <w:tcW w:w="1265" w:type="dxa"/>
          </w:tcPr>
          <w:p>
            <w:pPr>
              <w:pStyle w:val="TableParagraph"/>
              <w:spacing w:before="2"/>
              <w:ind w:left="57"/>
              <w:rPr>
                <w:sz w:val="13"/>
              </w:rPr>
            </w:pPr>
            <w:r>
              <w:rPr>
                <w:w w:val="105"/>
                <w:sz w:val="13"/>
              </w:rPr>
              <w:t>SERVICIO CANARIO</w:t>
            </w:r>
          </w:p>
          <w:p>
            <w:pPr>
              <w:pStyle w:val="TableParagraph"/>
              <w:spacing w:line="141" w:lineRule="exact" w:before="4"/>
              <w:ind w:left="57"/>
              <w:rPr>
                <w:sz w:val="13"/>
              </w:rPr>
            </w:pPr>
            <w:r>
              <w:rPr>
                <w:w w:val="105"/>
                <w:sz w:val="13"/>
              </w:rPr>
              <w:t>DE LA SALUD</w:t>
            </w:r>
          </w:p>
        </w:tc>
        <w:tc>
          <w:tcPr>
            <w:tcW w:w="4780" w:type="dxa"/>
          </w:tcPr>
          <w:p>
            <w:pPr>
              <w:pStyle w:val="TableParagraph"/>
              <w:spacing w:before="2"/>
              <w:ind w:left="57"/>
              <w:rPr>
                <w:sz w:val="13"/>
              </w:rPr>
            </w:pPr>
            <w:r>
              <w:rPr>
                <w:w w:val="105"/>
                <w:sz w:val="13"/>
              </w:rPr>
              <w:t>CENTRO DE SALUD PUERTO DEL ROSARIO DE DIRECCIÓN DE ÁREA Y LABORATORIO</w:t>
            </w:r>
          </w:p>
          <w:p>
            <w:pPr>
              <w:pStyle w:val="TableParagraph"/>
              <w:spacing w:line="141" w:lineRule="exact" w:before="4"/>
              <w:ind w:left="57"/>
              <w:rPr>
                <w:sz w:val="13"/>
              </w:rPr>
            </w:pPr>
            <w:r>
              <w:rPr>
                <w:w w:val="105"/>
                <w:sz w:val="13"/>
              </w:rPr>
              <w:t>DE SALUD PÚBLICA.</w:t>
            </w:r>
          </w:p>
        </w:tc>
        <w:tc>
          <w:tcPr>
            <w:tcW w:w="1080" w:type="dxa"/>
          </w:tcPr>
          <w:p>
            <w:pPr>
              <w:pStyle w:val="TableParagraph"/>
              <w:spacing w:before="85"/>
              <w:ind w:left="109" w:right="100"/>
              <w:jc w:val="center"/>
              <w:rPr>
                <w:sz w:val="13"/>
              </w:rPr>
            </w:pPr>
            <w:r>
              <w:rPr>
                <w:w w:val="105"/>
                <w:sz w:val="13"/>
              </w:rPr>
              <w:t>09/238</w:t>
            </w:r>
          </w:p>
        </w:tc>
      </w:tr>
      <w:tr>
        <w:trPr>
          <w:trHeight w:val="326" w:hRule="atLeast"/>
        </w:trPr>
        <w:tc>
          <w:tcPr>
            <w:tcW w:w="1265" w:type="dxa"/>
          </w:tcPr>
          <w:p>
            <w:pPr>
              <w:pStyle w:val="TableParagraph"/>
              <w:spacing w:before="2"/>
              <w:ind w:left="57"/>
              <w:rPr>
                <w:sz w:val="13"/>
              </w:rPr>
            </w:pPr>
            <w:r>
              <w:rPr>
                <w:w w:val="105"/>
                <w:sz w:val="13"/>
              </w:rPr>
              <w:t>SERVICIO CANARIO</w:t>
            </w:r>
          </w:p>
          <w:p>
            <w:pPr>
              <w:pStyle w:val="TableParagraph"/>
              <w:spacing w:line="141" w:lineRule="exact" w:before="4"/>
              <w:ind w:left="57"/>
              <w:rPr>
                <w:sz w:val="13"/>
              </w:rPr>
            </w:pPr>
            <w:r>
              <w:rPr>
                <w:w w:val="105"/>
                <w:sz w:val="13"/>
              </w:rPr>
              <w:t>DE LA SALUD</w:t>
            </w:r>
          </w:p>
        </w:tc>
        <w:tc>
          <w:tcPr>
            <w:tcW w:w="4780" w:type="dxa"/>
          </w:tcPr>
          <w:p>
            <w:pPr>
              <w:pStyle w:val="TableParagraph"/>
              <w:spacing w:before="85"/>
              <w:ind w:left="57"/>
              <w:rPr>
                <w:sz w:val="13"/>
              </w:rPr>
            </w:pPr>
            <w:r>
              <w:rPr>
                <w:w w:val="105"/>
                <w:sz w:val="13"/>
              </w:rPr>
              <w:t>CONSULTORIO LOCAL PLAYA DE ARINAGA</w:t>
            </w:r>
          </w:p>
        </w:tc>
        <w:tc>
          <w:tcPr>
            <w:tcW w:w="1080" w:type="dxa"/>
          </w:tcPr>
          <w:p>
            <w:pPr>
              <w:pStyle w:val="TableParagraph"/>
              <w:spacing w:before="85"/>
              <w:ind w:left="109" w:right="100"/>
              <w:jc w:val="center"/>
              <w:rPr>
                <w:sz w:val="13"/>
              </w:rPr>
            </w:pPr>
            <w:r>
              <w:rPr>
                <w:w w:val="105"/>
                <w:sz w:val="13"/>
              </w:rPr>
              <w:t>09/673</w:t>
            </w:r>
          </w:p>
        </w:tc>
      </w:tr>
      <w:tr>
        <w:trPr>
          <w:trHeight w:val="326" w:hRule="atLeast"/>
        </w:trPr>
        <w:tc>
          <w:tcPr>
            <w:tcW w:w="1265" w:type="dxa"/>
          </w:tcPr>
          <w:p>
            <w:pPr>
              <w:pStyle w:val="TableParagraph"/>
              <w:spacing w:before="2"/>
              <w:ind w:left="57"/>
              <w:rPr>
                <w:sz w:val="13"/>
              </w:rPr>
            </w:pPr>
            <w:r>
              <w:rPr>
                <w:w w:val="105"/>
                <w:sz w:val="13"/>
              </w:rPr>
              <w:t>SERVICIO CANARIO</w:t>
            </w:r>
          </w:p>
          <w:p>
            <w:pPr>
              <w:pStyle w:val="TableParagraph"/>
              <w:spacing w:line="141" w:lineRule="exact" w:before="4"/>
              <w:ind w:left="57"/>
              <w:rPr>
                <w:sz w:val="13"/>
              </w:rPr>
            </w:pPr>
            <w:r>
              <w:rPr>
                <w:w w:val="105"/>
                <w:sz w:val="13"/>
              </w:rPr>
              <w:t>DE LA SALUD</w:t>
            </w:r>
          </w:p>
        </w:tc>
        <w:tc>
          <w:tcPr>
            <w:tcW w:w="4780" w:type="dxa"/>
          </w:tcPr>
          <w:p>
            <w:pPr>
              <w:pStyle w:val="TableParagraph"/>
              <w:spacing w:before="82"/>
              <w:ind w:left="57"/>
              <w:rPr>
                <w:sz w:val="13"/>
              </w:rPr>
            </w:pPr>
            <w:r>
              <w:rPr>
                <w:w w:val="105"/>
                <w:sz w:val="13"/>
              </w:rPr>
              <w:t>CENTRO DE SALUD DE GRAN TARAJAL Y MODIFICADO 1º</w:t>
            </w:r>
          </w:p>
        </w:tc>
        <w:tc>
          <w:tcPr>
            <w:tcW w:w="1080" w:type="dxa"/>
          </w:tcPr>
          <w:p>
            <w:pPr>
              <w:pStyle w:val="TableParagraph"/>
              <w:spacing w:before="82"/>
              <w:ind w:left="109" w:right="100"/>
              <w:jc w:val="center"/>
              <w:rPr>
                <w:sz w:val="13"/>
              </w:rPr>
            </w:pPr>
            <w:r>
              <w:rPr>
                <w:w w:val="105"/>
                <w:sz w:val="13"/>
              </w:rPr>
              <w:t>09/797</w:t>
            </w:r>
          </w:p>
        </w:tc>
      </w:tr>
      <w:tr>
        <w:trPr>
          <w:trHeight w:val="324" w:hRule="atLeast"/>
        </w:trPr>
        <w:tc>
          <w:tcPr>
            <w:tcW w:w="1265" w:type="dxa"/>
          </w:tcPr>
          <w:p>
            <w:pPr>
              <w:pStyle w:val="TableParagraph"/>
              <w:spacing w:before="2"/>
              <w:ind w:left="57"/>
              <w:rPr>
                <w:sz w:val="13"/>
              </w:rPr>
            </w:pPr>
            <w:r>
              <w:rPr>
                <w:w w:val="105"/>
                <w:sz w:val="13"/>
              </w:rPr>
              <w:t>TRANSICIÓN</w:t>
            </w:r>
          </w:p>
          <w:p>
            <w:pPr>
              <w:pStyle w:val="TableParagraph"/>
              <w:spacing w:line="139" w:lineRule="exact" w:before="4"/>
              <w:ind w:left="57"/>
              <w:rPr>
                <w:sz w:val="13"/>
              </w:rPr>
            </w:pPr>
            <w:r>
              <w:rPr>
                <w:w w:val="105"/>
                <w:sz w:val="13"/>
              </w:rPr>
              <w:t>ECOLÓGICA</w:t>
            </w:r>
          </w:p>
        </w:tc>
        <w:tc>
          <w:tcPr>
            <w:tcW w:w="4780" w:type="dxa"/>
          </w:tcPr>
          <w:p>
            <w:pPr>
              <w:pStyle w:val="TableParagraph"/>
              <w:spacing w:before="2"/>
              <w:ind w:left="57"/>
              <w:rPr>
                <w:sz w:val="13"/>
              </w:rPr>
            </w:pPr>
            <w:r>
              <w:rPr>
                <w:w w:val="105"/>
                <w:sz w:val="13"/>
              </w:rPr>
              <w:t>ACTUACIONES AMBIENTALES Y CONSORCIO EN LA ISLA DE LA GRACIOSA. 1º FASE DE</w:t>
            </w:r>
          </w:p>
          <w:p>
            <w:pPr>
              <w:pStyle w:val="TableParagraph"/>
              <w:spacing w:line="139" w:lineRule="exact" w:before="4"/>
              <w:ind w:left="57"/>
              <w:rPr>
                <w:sz w:val="13"/>
              </w:rPr>
            </w:pPr>
            <w:r>
              <w:rPr>
                <w:w w:val="105"/>
                <w:sz w:val="13"/>
              </w:rPr>
              <w:t>LA VÍA DE BORDE AL NÚCLEO URBANO DE CALETA DEL SEBO</w:t>
            </w:r>
          </w:p>
        </w:tc>
        <w:tc>
          <w:tcPr>
            <w:tcW w:w="1080" w:type="dxa"/>
          </w:tcPr>
          <w:p>
            <w:pPr>
              <w:pStyle w:val="TableParagraph"/>
              <w:spacing w:before="82"/>
              <w:ind w:left="109" w:right="100"/>
              <w:jc w:val="center"/>
              <w:rPr>
                <w:sz w:val="13"/>
              </w:rPr>
            </w:pPr>
            <w:r>
              <w:rPr>
                <w:w w:val="105"/>
                <w:sz w:val="13"/>
              </w:rPr>
              <w:t>09/983</w:t>
            </w:r>
          </w:p>
        </w:tc>
      </w:tr>
      <w:tr>
        <w:trPr>
          <w:trHeight w:val="189" w:hRule="atLeast"/>
        </w:trPr>
        <w:tc>
          <w:tcPr>
            <w:tcW w:w="1265" w:type="dxa"/>
          </w:tcPr>
          <w:p>
            <w:pPr>
              <w:pStyle w:val="TableParagraph"/>
              <w:spacing w:line="153" w:lineRule="exact" w:before="17"/>
              <w:ind w:left="57"/>
              <w:rPr>
                <w:sz w:val="13"/>
              </w:rPr>
            </w:pPr>
            <w:r>
              <w:rPr>
                <w:w w:val="105"/>
                <w:sz w:val="13"/>
              </w:rPr>
              <w:t>EDUCACIÓN</w:t>
            </w:r>
          </w:p>
        </w:tc>
        <w:tc>
          <w:tcPr>
            <w:tcW w:w="4780" w:type="dxa"/>
          </w:tcPr>
          <w:p>
            <w:pPr>
              <w:pStyle w:val="TableParagraph"/>
              <w:spacing w:line="153" w:lineRule="exact" w:before="17"/>
              <w:ind w:left="57"/>
              <w:rPr>
                <w:sz w:val="13"/>
              </w:rPr>
            </w:pPr>
            <w:r>
              <w:rPr>
                <w:w w:val="105"/>
                <w:sz w:val="13"/>
              </w:rPr>
              <w:t>I.E.S. DE 20 UDS. EN FABELO (FUERTEVENTURA).</w:t>
            </w:r>
          </w:p>
        </w:tc>
        <w:tc>
          <w:tcPr>
            <w:tcW w:w="1080" w:type="dxa"/>
          </w:tcPr>
          <w:p>
            <w:pPr>
              <w:pStyle w:val="TableParagraph"/>
              <w:spacing w:line="153" w:lineRule="exact" w:before="17"/>
              <w:ind w:left="109" w:right="100"/>
              <w:jc w:val="center"/>
              <w:rPr>
                <w:sz w:val="13"/>
              </w:rPr>
            </w:pPr>
            <w:r>
              <w:rPr>
                <w:w w:val="105"/>
                <w:sz w:val="13"/>
              </w:rPr>
              <w:t>10/097</w:t>
            </w:r>
          </w:p>
        </w:tc>
      </w:tr>
      <w:tr>
        <w:trPr>
          <w:trHeight w:val="326" w:hRule="atLeast"/>
        </w:trPr>
        <w:tc>
          <w:tcPr>
            <w:tcW w:w="1265" w:type="dxa"/>
          </w:tcPr>
          <w:p>
            <w:pPr>
              <w:pStyle w:val="TableParagraph"/>
              <w:spacing w:before="2"/>
              <w:ind w:left="57"/>
              <w:rPr>
                <w:sz w:val="13"/>
              </w:rPr>
            </w:pPr>
            <w:r>
              <w:rPr>
                <w:w w:val="105"/>
                <w:sz w:val="13"/>
              </w:rPr>
              <w:t>SERVICIO CANARIO</w:t>
            </w:r>
          </w:p>
          <w:p>
            <w:pPr>
              <w:pStyle w:val="TableParagraph"/>
              <w:spacing w:line="139" w:lineRule="exact" w:before="6"/>
              <w:ind w:left="57"/>
              <w:rPr>
                <w:sz w:val="13"/>
              </w:rPr>
            </w:pPr>
            <w:r>
              <w:rPr>
                <w:w w:val="105"/>
                <w:sz w:val="13"/>
              </w:rPr>
              <w:t>DE LA SALUD</w:t>
            </w:r>
          </w:p>
        </w:tc>
        <w:tc>
          <w:tcPr>
            <w:tcW w:w="4780" w:type="dxa"/>
          </w:tcPr>
          <w:p>
            <w:pPr>
              <w:pStyle w:val="TableParagraph"/>
              <w:spacing w:before="2"/>
              <w:ind w:left="57"/>
              <w:rPr>
                <w:sz w:val="13"/>
              </w:rPr>
            </w:pPr>
            <w:r>
              <w:rPr>
                <w:w w:val="105"/>
                <w:sz w:val="13"/>
              </w:rPr>
              <w:t>AMPLIACIÓN Y REMODELACIÓN DEL HOSPITAL UNIVERSITARIO INSULAR DE GRAN</w:t>
            </w:r>
          </w:p>
          <w:p>
            <w:pPr>
              <w:pStyle w:val="TableParagraph"/>
              <w:spacing w:line="139" w:lineRule="exact" w:before="6"/>
              <w:ind w:left="57"/>
              <w:rPr>
                <w:sz w:val="13"/>
              </w:rPr>
            </w:pPr>
            <w:r>
              <w:rPr>
                <w:w w:val="105"/>
                <w:sz w:val="13"/>
              </w:rPr>
              <w:t>CANARIA, FASE II B (17-05-CON) LAS PALMAS DE GRAN CANARIA</w:t>
            </w:r>
          </w:p>
        </w:tc>
        <w:tc>
          <w:tcPr>
            <w:tcW w:w="1080" w:type="dxa"/>
          </w:tcPr>
          <w:p>
            <w:pPr>
              <w:pStyle w:val="TableParagraph"/>
              <w:spacing w:before="85"/>
              <w:ind w:left="109" w:right="100"/>
              <w:jc w:val="center"/>
              <w:rPr>
                <w:sz w:val="13"/>
              </w:rPr>
            </w:pPr>
            <w:r>
              <w:rPr>
                <w:w w:val="105"/>
                <w:sz w:val="13"/>
              </w:rPr>
              <w:t>10/791</w:t>
            </w:r>
          </w:p>
        </w:tc>
      </w:tr>
      <w:tr>
        <w:trPr>
          <w:trHeight w:val="489" w:hRule="atLeast"/>
        </w:trPr>
        <w:tc>
          <w:tcPr>
            <w:tcW w:w="1265" w:type="dxa"/>
          </w:tcPr>
          <w:p>
            <w:pPr>
              <w:pStyle w:val="TableParagraph"/>
              <w:spacing w:line="247" w:lineRule="auto" w:before="85"/>
              <w:ind w:left="57" w:right="5"/>
              <w:rPr>
                <w:sz w:val="13"/>
              </w:rPr>
            </w:pPr>
            <w:r>
              <w:rPr>
                <w:w w:val="105"/>
                <w:sz w:val="13"/>
              </w:rPr>
              <w:t>SERVICIO CANARIO DE LA SALUD</w:t>
            </w:r>
          </w:p>
        </w:tc>
        <w:tc>
          <w:tcPr>
            <w:tcW w:w="4780" w:type="dxa"/>
          </w:tcPr>
          <w:p>
            <w:pPr>
              <w:pStyle w:val="TableParagraph"/>
              <w:spacing w:line="249" w:lineRule="auto" w:before="2"/>
              <w:ind w:left="57"/>
              <w:rPr>
                <w:sz w:val="13"/>
              </w:rPr>
            </w:pPr>
            <w:r>
              <w:rPr>
                <w:w w:val="105"/>
                <w:sz w:val="13"/>
              </w:rPr>
              <w:t>AMPLIACIÓN Y REMODELACIÓN DEL HOSPITAL UNIVERSITARIO INSULAR DE GRAN CANARIA,</w:t>
            </w:r>
            <w:r>
              <w:rPr>
                <w:spacing w:val="-9"/>
                <w:w w:val="105"/>
                <w:sz w:val="13"/>
              </w:rPr>
              <w:t> </w:t>
            </w:r>
            <w:r>
              <w:rPr>
                <w:w w:val="105"/>
                <w:sz w:val="13"/>
              </w:rPr>
              <w:t>FASE</w:t>
            </w:r>
            <w:r>
              <w:rPr>
                <w:spacing w:val="-8"/>
                <w:w w:val="105"/>
                <w:sz w:val="13"/>
              </w:rPr>
              <w:t> </w:t>
            </w:r>
            <w:r>
              <w:rPr>
                <w:w w:val="105"/>
                <w:sz w:val="13"/>
              </w:rPr>
              <w:t>II</w:t>
            </w:r>
            <w:r>
              <w:rPr>
                <w:spacing w:val="-9"/>
                <w:w w:val="105"/>
                <w:sz w:val="13"/>
              </w:rPr>
              <w:t> </w:t>
            </w:r>
            <w:r>
              <w:rPr>
                <w:w w:val="105"/>
                <w:sz w:val="13"/>
              </w:rPr>
              <w:t>B</w:t>
            </w:r>
            <w:r>
              <w:rPr>
                <w:spacing w:val="-9"/>
                <w:w w:val="105"/>
                <w:sz w:val="13"/>
              </w:rPr>
              <w:t> </w:t>
            </w:r>
            <w:r>
              <w:rPr>
                <w:w w:val="105"/>
                <w:sz w:val="13"/>
              </w:rPr>
              <w:t>(17-05-CON)</w:t>
            </w:r>
            <w:r>
              <w:rPr>
                <w:spacing w:val="-9"/>
                <w:w w:val="105"/>
                <w:sz w:val="13"/>
              </w:rPr>
              <w:t> </w:t>
            </w:r>
            <w:r>
              <w:rPr>
                <w:w w:val="105"/>
                <w:sz w:val="13"/>
              </w:rPr>
              <w:t>LAS</w:t>
            </w:r>
            <w:r>
              <w:rPr>
                <w:spacing w:val="-10"/>
                <w:w w:val="105"/>
                <w:sz w:val="13"/>
              </w:rPr>
              <w:t> </w:t>
            </w:r>
            <w:r>
              <w:rPr>
                <w:w w:val="105"/>
                <w:sz w:val="13"/>
              </w:rPr>
              <w:t>PALMAS</w:t>
            </w:r>
            <w:r>
              <w:rPr>
                <w:spacing w:val="-8"/>
                <w:w w:val="105"/>
                <w:sz w:val="13"/>
              </w:rPr>
              <w:t> </w:t>
            </w:r>
            <w:r>
              <w:rPr>
                <w:w w:val="105"/>
                <w:sz w:val="13"/>
              </w:rPr>
              <w:t>DE</w:t>
            </w:r>
            <w:r>
              <w:rPr>
                <w:spacing w:val="-9"/>
                <w:w w:val="105"/>
                <w:sz w:val="13"/>
              </w:rPr>
              <w:t> </w:t>
            </w:r>
            <w:r>
              <w:rPr>
                <w:w w:val="105"/>
                <w:sz w:val="13"/>
              </w:rPr>
              <w:t>GRAN</w:t>
            </w:r>
            <w:r>
              <w:rPr>
                <w:spacing w:val="-10"/>
                <w:w w:val="105"/>
                <w:sz w:val="13"/>
              </w:rPr>
              <w:t> </w:t>
            </w:r>
            <w:r>
              <w:rPr>
                <w:w w:val="105"/>
                <w:sz w:val="13"/>
              </w:rPr>
              <w:t>CANARIA.</w:t>
            </w:r>
            <w:r>
              <w:rPr>
                <w:spacing w:val="-9"/>
                <w:w w:val="105"/>
                <w:sz w:val="13"/>
              </w:rPr>
              <w:t> </w:t>
            </w:r>
            <w:r>
              <w:rPr>
                <w:w w:val="105"/>
                <w:sz w:val="13"/>
              </w:rPr>
              <w:t>COMPLEMENTARIO</w:t>
            </w:r>
          </w:p>
          <w:p>
            <w:pPr>
              <w:pStyle w:val="TableParagraph"/>
              <w:spacing w:line="137" w:lineRule="exact"/>
              <w:ind w:left="57"/>
              <w:rPr>
                <w:sz w:val="13"/>
              </w:rPr>
            </w:pPr>
            <w:r>
              <w:rPr>
                <w:w w:val="105"/>
                <w:sz w:val="13"/>
              </w:rPr>
              <w:t>Nº 1</w:t>
            </w:r>
          </w:p>
        </w:tc>
        <w:tc>
          <w:tcPr>
            <w:tcW w:w="1080" w:type="dxa"/>
          </w:tcPr>
          <w:p>
            <w:pPr>
              <w:pStyle w:val="TableParagraph"/>
              <w:spacing w:before="8"/>
              <w:rPr>
                <w:sz w:val="13"/>
              </w:rPr>
            </w:pPr>
          </w:p>
          <w:p>
            <w:pPr>
              <w:pStyle w:val="TableParagraph"/>
              <w:ind w:left="109" w:right="100"/>
              <w:jc w:val="center"/>
              <w:rPr>
                <w:sz w:val="13"/>
              </w:rPr>
            </w:pPr>
            <w:r>
              <w:rPr>
                <w:w w:val="105"/>
                <w:sz w:val="13"/>
              </w:rPr>
              <w:t>10/792</w:t>
            </w:r>
          </w:p>
        </w:tc>
      </w:tr>
      <w:tr>
        <w:trPr>
          <w:trHeight w:val="189" w:hRule="atLeast"/>
        </w:trPr>
        <w:tc>
          <w:tcPr>
            <w:tcW w:w="1265" w:type="dxa"/>
          </w:tcPr>
          <w:p>
            <w:pPr>
              <w:pStyle w:val="TableParagraph"/>
              <w:spacing w:line="153" w:lineRule="exact" w:before="16"/>
              <w:ind w:left="57"/>
              <w:rPr>
                <w:sz w:val="13"/>
              </w:rPr>
            </w:pPr>
            <w:r>
              <w:rPr>
                <w:w w:val="105"/>
                <w:sz w:val="13"/>
              </w:rPr>
              <w:t>TURISMO</w:t>
            </w:r>
          </w:p>
        </w:tc>
        <w:tc>
          <w:tcPr>
            <w:tcW w:w="4780" w:type="dxa"/>
          </w:tcPr>
          <w:p>
            <w:pPr>
              <w:pStyle w:val="TableParagraph"/>
              <w:spacing w:line="153" w:lineRule="exact" w:before="16"/>
              <w:ind w:left="57"/>
              <w:rPr>
                <w:sz w:val="13"/>
              </w:rPr>
            </w:pPr>
            <w:r>
              <w:rPr>
                <w:w w:val="105"/>
                <w:sz w:val="13"/>
              </w:rPr>
              <w:t>PAVIMENTACIÓN DEL ENTORNO DE LA CATEDRAL T.M. LAS PALMAS DE G.C.</w:t>
            </w:r>
          </w:p>
        </w:tc>
        <w:tc>
          <w:tcPr>
            <w:tcW w:w="1080" w:type="dxa"/>
          </w:tcPr>
          <w:p>
            <w:pPr>
              <w:pStyle w:val="TableParagraph"/>
              <w:spacing w:line="153" w:lineRule="exact" w:before="16"/>
              <w:ind w:left="109" w:right="100"/>
              <w:jc w:val="center"/>
              <w:rPr>
                <w:sz w:val="13"/>
              </w:rPr>
            </w:pPr>
            <w:r>
              <w:rPr>
                <w:w w:val="105"/>
                <w:sz w:val="13"/>
              </w:rPr>
              <w:t>11/330</w:t>
            </w:r>
          </w:p>
        </w:tc>
      </w:tr>
      <w:tr>
        <w:trPr>
          <w:trHeight w:val="189" w:hRule="atLeast"/>
        </w:trPr>
        <w:tc>
          <w:tcPr>
            <w:tcW w:w="1265" w:type="dxa"/>
          </w:tcPr>
          <w:p>
            <w:pPr>
              <w:pStyle w:val="TableParagraph"/>
              <w:spacing w:line="153" w:lineRule="exact" w:before="16"/>
              <w:ind w:left="57"/>
              <w:rPr>
                <w:sz w:val="13"/>
              </w:rPr>
            </w:pPr>
            <w:r>
              <w:rPr>
                <w:w w:val="105"/>
                <w:sz w:val="13"/>
              </w:rPr>
              <w:t>TURISMO</w:t>
            </w:r>
          </w:p>
        </w:tc>
        <w:tc>
          <w:tcPr>
            <w:tcW w:w="4780" w:type="dxa"/>
          </w:tcPr>
          <w:p>
            <w:pPr>
              <w:pStyle w:val="TableParagraph"/>
              <w:spacing w:line="153" w:lineRule="exact" w:before="16"/>
              <w:ind w:left="57"/>
              <w:rPr>
                <w:sz w:val="13"/>
              </w:rPr>
            </w:pPr>
            <w:r>
              <w:rPr>
                <w:w w:val="105"/>
                <w:sz w:val="13"/>
              </w:rPr>
              <w:t>URBANIZACIÓN AVDA. FAMILIA BETANCOURT Y MOLINA EN EL PUERTO DE LA CRUZ</w:t>
            </w:r>
          </w:p>
        </w:tc>
        <w:tc>
          <w:tcPr>
            <w:tcW w:w="1080" w:type="dxa"/>
          </w:tcPr>
          <w:p>
            <w:pPr>
              <w:pStyle w:val="TableParagraph"/>
              <w:spacing w:line="153" w:lineRule="exact" w:before="16"/>
              <w:ind w:left="109" w:right="100"/>
              <w:jc w:val="center"/>
              <w:rPr>
                <w:sz w:val="13"/>
              </w:rPr>
            </w:pPr>
            <w:r>
              <w:rPr>
                <w:w w:val="105"/>
                <w:sz w:val="13"/>
              </w:rPr>
              <w:t>12/1384</w:t>
            </w:r>
          </w:p>
        </w:tc>
      </w:tr>
      <w:tr>
        <w:trPr>
          <w:trHeight w:val="189" w:hRule="atLeast"/>
        </w:trPr>
        <w:tc>
          <w:tcPr>
            <w:tcW w:w="1265" w:type="dxa"/>
          </w:tcPr>
          <w:p>
            <w:pPr>
              <w:pStyle w:val="TableParagraph"/>
              <w:spacing w:line="153" w:lineRule="exact" w:before="16"/>
              <w:ind w:left="57"/>
              <w:rPr>
                <w:sz w:val="13"/>
              </w:rPr>
            </w:pPr>
            <w:r>
              <w:rPr>
                <w:w w:val="105"/>
                <w:sz w:val="13"/>
              </w:rPr>
              <w:t>TURISMO</w:t>
            </w:r>
          </w:p>
        </w:tc>
        <w:tc>
          <w:tcPr>
            <w:tcW w:w="4780" w:type="dxa"/>
          </w:tcPr>
          <w:p>
            <w:pPr>
              <w:pStyle w:val="TableParagraph"/>
              <w:spacing w:line="153" w:lineRule="exact" w:before="16"/>
              <w:ind w:left="57"/>
              <w:rPr>
                <w:sz w:val="13"/>
              </w:rPr>
            </w:pPr>
            <w:r>
              <w:rPr>
                <w:w w:val="105"/>
                <w:sz w:val="13"/>
              </w:rPr>
              <w:t>REHABILITACIÓN DEL CENTRO DE INTERPRETACIÓN Y VISITANTES CASA LOS SALL</w:t>
            </w:r>
          </w:p>
        </w:tc>
        <w:tc>
          <w:tcPr>
            <w:tcW w:w="1080" w:type="dxa"/>
          </w:tcPr>
          <w:p>
            <w:pPr>
              <w:pStyle w:val="TableParagraph"/>
              <w:spacing w:line="153" w:lineRule="exact" w:before="16"/>
              <w:ind w:left="109" w:right="100"/>
              <w:jc w:val="center"/>
              <w:rPr>
                <w:sz w:val="13"/>
              </w:rPr>
            </w:pPr>
            <w:r>
              <w:rPr>
                <w:w w:val="105"/>
                <w:sz w:val="13"/>
              </w:rPr>
              <w:t>12/739</w:t>
            </w:r>
          </w:p>
        </w:tc>
      </w:tr>
      <w:tr>
        <w:trPr>
          <w:trHeight w:val="189" w:hRule="atLeast"/>
        </w:trPr>
        <w:tc>
          <w:tcPr>
            <w:tcW w:w="1265" w:type="dxa"/>
          </w:tcPr>
          <w:p>
            <w:pPr>
              <w:pStyle w:val="TableParagraph"/>
              <w:spacing w:line="155" w:lineRule="exact" w:before="14"/>
              <w:ind w:left="57"/>
              <w:rPr>
                <w:sz w:val="13"/>
              </w:rPr>
            </w:pPr>
            <w:r>
              <w:rPr>
                <w:w w:val="105"/>
                <w:sz w:val="13"/>
              </w:rPr>
              <w:t>TURISMO</w:t>
            </w:r>
          </w:p>
        </w:tc>
        <w:tc>
          <w:tcPr>
            <w:tcW w:w="4780" w:type="dxa"/>
          </w:tcPr>
          <w:p>
            <w:pPr>
              <w:pStyle w:val="TableParagraph"/>
              <w:spacing w:line="155" w:lineRule="exact" w:before="14"/>
              <w:ind w:left="57"/>
              <w:rPr>
                <w:sz w:val="13"/>
              </w:rPr>
            </w:pPr>
            <w:r>
              <w:rPr>
                <w:w w:val="105"/>
                <w:sz w:val="13"/>
              </w:rPr>
              <w:t>AVDA. NTRA. SRA. DEL CARMEN EN CORRALEJO, FASE I</w:t>
            </w:r>
          </w:p>
        </w:tc>
        <w:tc>
          <w:tcPr>
            <w:tcW w:w="1080" w:type="dxa"/>
          </w:tcPr>
          <w:p>
            <w:pPr>
              <w:pStyle w:val="TableParagraph"/>
              <w:spacing w:line="155" w:lineRule="exact" w:before="14"/>
              <w:ind w:left="109" w:right="100"/>
              <w:jc w:val="center"/>
              <w:rPr>
                <w:sz w:val="13"/>
              </w:rPr>
            </w:pPr>
            <w:r>
              <w:rPr>
                <w:w w:val="105"/>
                <w:sz w:val="13"/>
              </w:rPr>
              <w:t>13/219</w:t>
            </w:r>
          </w:p>
        </w:tc>
      </w:tr>
    </w:tbl>
    <w:p>
      <w:pPr>
        <w:pStyle w:val="BodyText"/>
        <w:spacing w:before="81"/>
        <w:ind w:left="8760" w:right="973"/>
        <w:jc w:val="center"/>
      </w:pPr>
      <w:r>
        <w:rPr/>
        <w:t>241</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517" name="image5.png"/>
                  <wp:cNvGraphicFramePr>
                    <a:graphicFrameLocks noChangeAspect="1"/>
                  </wp:cNvGraphicFramePr>
                  <a:graphic>
                    <a:graphicData uri="http://schemas.openxmlformats.org/drawingml/2006/picture">
                      <pic:pic>
                        <pic:nvPicPr>
                          <pic:cNvPr id="518"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243/247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3"/>
        <w:rPr>
          <w:b/>
          <w:sz w:val="13"/>
        </w:rPr>
      </w:pPr>
    </w:p>
    <w:tbl>
      <w:tblPr>
        <w:tblW w:w="0" w:type="auto"/>
        <w:jc w:val="left"/>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5"/>
        <w:gridCol w:w="4780"/>
        <w:gridCol w:w="1080"/>
      </w:tblGrid>
      <w:tr>
        <w:trPr>
          <w:trHeight w:val="405" w:hRule="atLeast"/>
        </w:trPr>
        <w:tc>
          <w:tcPr>
            <w:tcW w:w="1265" w:type="dxa"/>
            <w:shd w:val="clear" w:color="auto" w:fill="DEEAF6"/>
          </w:tcPr>
          <w:p>
            <w:pPr>
              <w:pStyle w:val="TableParagraph"/>
              <w:spacing w:before="125"/>
              <w:ind w:left="408"/>
              <w:rPr>
                <w:b/>
                <w:sz w:val="13"/>
              </w:rPr>
            </w:pPr>
            <w:r>
              <w:rPr>
                <w:b/>
                <w:w w:val="105"/>
                <w:sz w:val="13"/>
              </w:rPr>
              <w:t>Materia</w:t>
            </w:r>
          </w:p>
        </w:tc>
        <w:tc>
          <w:tcPr>
            <w:tcW w:w="4780" w:type="dxa"/>
            <w:shd w:val="clear" w:color="auto" w:fill="DEEAF6"/>
          </w:tcPr>
          <w:p>
            <w:pPr>
              <w:pStyle w:val="TableParagraph"/>
              <w:spacing w:before="125"/>
              <w:ind w:left="1956" w:right="1949"/>
              <w:jc w:val="center"/>
              <w:rPr>
                <w:b/>
                <w:sz w:val="13"/>
              </w:rPr>
            </w:pPr>
            <w:r>
              <w:rPr>
                <w:b/>
                <w:w w:val="105"/>
                <w:sz w:val="13"/>
              </w:rPr>
              <w:t>Denominación</w:t>
            </w:r>
          </w:p>
        </w:tc>
        <w:tc>
          <w:tcPr>
            <w:tcW w:w="1080" w:type="dxa"/>
            <w:shd w:val="clear" w:color="auto" w:fill="DEEAF6"/>
          </w:tcPr>
          <w:p>
            <w:pPr>
              <w:pStyle w:val="TableParagraph"/>
              <w:spacing w:before="125"/>
              <w:ind w:left="111" w:right="100"/>
              <w:jc w:val="center"/>
              <w:rPr>
                <w:b/>
                <w:sz w:val="13"/>
              </w:rPr>
            </w:pPr>
            <w:r>
              <w:rPr>
                <w:b/>
                <w:w w:val="105"/>
                <w:sz w:val="13"/>
              </w:rPr>
              <w:t>Nº expediente</w:t>
            </w:r>
          </w:p>
        </w:tc>
      </w:tr>
      <w:tr>
        <w:trPr>
          <w:trHeight w:val="189" w:hRule="atLeast"/>
        </w:trPr>
        <w:tc>
          <w:tcPr>
            <w:tcW w:w="1265" w:type="dxa"/>
          </w:tcPr>
          <w:p>
            <w:pPr>
              <w:pStyle w:val="TableParagraph"/>
              <w:spacing w:line="153" w:lineRule="exact" w:before="16"/>
              <w:ind w:left="57"/>
              <w:rPr>
                <w:sz w:val="13"/>
              </w:rPr>
            </w:pPr>
            <w:r>
              <w:rPr>
                <w:w w:val="105"/>
                <w:sz w:val="13"/>
              </w:rPr>
              <w:t>EDUCACIÓN</w:t>
            </w:r>
          </w:p>
        </w:tc>
        <w:tc>
          <w:tcPr>
            <w:tcW w:w="4780" w:type="dxa"/>
          </w:tcPr>
          <w:p>
            <w:pPr>
              <w:pStyle w:val="TableParagraph"/>
              <w:spacing w:line="153" w:lineRule="exact" w:before="16"/>
              <w:ind w:left="57"/>
              <w:rPr>
                <w:sz w:val="13"/>
              </w:rPr>
            </w:pPr>
            <w:r>
              <w:rPr>
                <w:w w:val="105"/>
                <w:sz w:val="13"/>
              </w:rPr>
              <w:t>CONSTRUCCIÓN CEO DE 26 UDDS. MOTOR GRANDE</w:t>
            </w:r>
          </w:p>
        </w:tc>
        <w:tc>
          <w:tcPr>
            <w:tcW w:w="1080" w:type="dxa"/>
          </w:tcPr>
          <w:p>
            <w:pPr>
              <w:pStyle w:val="TableParagraph"/>
              <w:spacing w:line="153" w:lineRule="exact" w:before="16"/>
              <w:ind w:left="109" w:right="100"/>
              <w:jc w:val="center"/>
              <w:rPr>
                <w:sz w:val="13"/>
              </w:rPr>
            </w:pPr>
            <w:r>
              <w:rPr>
                <w:w w:val="105"/>
                <w:sz w:val="13"/>
              </w:rPr>
              <w:t>13/985</w:t>
            </w:r>
          </w:p>
        </w:tc>
      </w:tr>
      <w:tr>
        <w:trPr>
          <w:trHeight w:val="189" w:hRule="atLeast"/>
        </w:trPr>
        <w:tc>
          <w:tcPr>
            <w:tcW w:w="1265" w:type="dxa"/>
          </w:tcPr>
          <w:p>
            <w:pPr>
              <w:pStyle w:val="TableParagraph"/>
              <w:spacing w:line="153" w:lineRule="exact" w:before="16"/>
              <w:ind w:left="57"/>
              <w:rPr>
                <w:sz w:val="13"/>
              </w:rPr>
            </w:pPr>
            <w:r>
              <w:rPr>
                <w:w w:val="105"/>
                <w:sz w:val="13"/>
              </w:rPr>
              <w:t>TURISMO</w:t>
            </w:r>
          </w:p>
        </w:tc>
        <w:tc>
          <w:tcPr>
            <w:tcW w:w="4780" w:type="dxa"/>
          </w:tcPr>
          <w:p>
            <w:pPr>
              <w:pStyle w:val="TableParagraph"/>
              <w:spacing w:line="153" w:lineRule="exact" w:before="16"/>
              <w:ind w:left="57"/>
              <w:rPr>
                <w:sz w:val="13"/>
              </w:rPr>
            </w:pPr>
            <w:r>
              <w:rPr>
                <w:w w:val="105"/>
                <w:sz w:val="13"/>
              </w:rPr>
              <w:t>2ª FASE URBANIZACIÓN AVENIDA DE NUESTRA SEÑORA DEL CARMEN</w:t>
            </w:r>
          </w:p>
        </w:tc>
        <w:tc>
          <w:tcPr>
            <w:tcW w:w="1080" w:type="dxa"/>
          </w:tcPr>
          <w:p>
            <w:pPr>
              <w:pStyle w:val="TableParagraph"/>
              <w:spacing w:line="153" w:lineRule="exact" w:before="16"/>
              <w:ind w:left="109" w:right="100"/>
              <w:jc w:val="center"/>
              <w:rPr>
                <w:sz w:val="13"/>
              </w:rPr>
            </w:pPr>
            <w:r>
              <w:rPr>
                <w:w w:val="105"/>
                <w:sz w:val="13"/>
              </w:rPr>
              <w:t>15/844</w:t>
            </w:r>
          </w:p>
        </w:tc>
      </w:tr>
      <w:tr>
        <w:trPr>
          <w:trHeight w:val="326" w:hRule="atLeast"/>
        </w:trPr>
        <w:tc>
          <w:tcPr>
            <w:tcW w:w="1265" w:type="dxa"/>
          </w:tcPr>
          <w:p>
            <w:pPr>
              <w:pStyle w:val="TableParagraph"/>
              <w:spacing w:before="85"/>
              <w:ind w:left="57"/>
              <w:rPr>
                <w:sz w:val="13"/>
              </w:rPr>
            </w:pPr>
            <w:r>
              <w:rPr>
                <w:w w:val="105"/>
                <w:sz w:val="13"/>
              </w:rPr>
              <w:t>AGUAS</w:t>
            </w:r>
          </w:p>
        </w:tc>
        <w:tc>
          <w:tcPr>
            <w:tcW w:w="4780" w:type="dxa"/>
          </w:tcPr>
          <w:p>
            <w:pPr>
              <w:pStyle w:val="TableParagraph"/>
              <w:spacing w:before="2"/>
              <w:ind w:left="57"/>
              <w:rPr>
                <w:sz w:val="13"/>
              </w:rPr>
            </w:pPr>
            <w:r>
              <w:rPr>
                <w:w w:val="105"/>
                <w:sz w:val="13"/>
              </w:rPr>
              <w:t>ANÁLISIS</w:t>
            </w:r>
            <w:r>
              <w:rPr>
                <w:spacing w:val="-10"/>
                <w:w w:val="105"/>
                <w:sz w:val="13"/>
              </w:rPr>
              <w:t> </w:t>
            </w:r>
            <w:r>
              <w:rPr>
                <w:w w:val="105"/>
                <w:sz w:val="13"/>
              </w:rPr>
              <w:t>DEL</w:t>
            </w:r>
            <w:r>
              <w:rPr>
                <w:spacing w:val="-12"/>
                <w:w w:val="105"/>
                <w:sz w:val="13"/>
              </w:rPr>
              <w:t> </w:t>
            </w:r>
            <w:r>
              <w:rPr>
                <w:w w:val="105"/>
                <w:sz w:val="13"/>
              </w:rPr>
              <w:t>SANEAMIENTO</w:t>
            </w:r>
            <w:r>
              <w:rPr>
                <w:spacing w:val="-11"/>
                <w:w w:val="105"/>
                <w:sz w:val="13"/>
              </w:rPr>
              <w:t> </w:t>
            </w:r>
            <w:r>
              <w:rPr>
                <w:w w:val="105"/>
                <w:sz w:val="13"/>
              </w:rPr>
              <w:t>DE</w:t>
            </w:r>
            <w:r>
              <w:rPr>
                <w:spacing w:val="-11"/>
                <w:w w:val="105"/>
                <w:sz w:val="13"/>
              </w:rPr>
              <w:t> </w:t>
            </w:r>
            <w:r>
              <w:rPr>
                <w:w w:val="105"/>
                <w:sz w:val="13"/>
              </w:rPr>
              <w:t>TINAJO.</w:t>
            </w:r>
            <w:r>
              <w:rPr>
                <w:spacing w:val="-10"/>
                <w:w w:val="105"/>
                <w:sz w:val="13"/>
              </w:rPr>
              <w:t> </w:t>
            </w:r>
            <w:r>
              <w:rPr>
                <w:w w:val="105"/>
                <w:sz w:val="13"/>
              </w:rPr>
              <w:t>PROYECTO</w:t>
            </w:r>
            <w:r>
              <w:rPr>
                <w:spacing w:val="-10"/>
                <w:w w:val="105"/>
                <w:sz w:val="13"/>
              </w:rPr>
              <w:t> </w:t>
            </w:r>
            <w:r>
              <w:rPr>
                <w:w w:val="105"/>
                <w:sz w:val="13"/>
              </w:rPr>
              <w:t>DE</w:t>
            </w:r>
            <w:r>
              <w:rPr>
                <w:spacing w:val="-10"/>
                <w:w w:val="105"/>
                <w:sz w:val="13"/>
              </w:rPr>
              <w:t> </w:t>
            </w:r>
            <w:r>
              <w:rPr>
                <w:w w:val="105"/>
                <w:sz w:val="13"/>
              </w:rPr>
              <w:t>COLECTORES</w:t>
            </w:r>
            <w:r>
              <w:rPr>
                <w:spacing w:val="-11"/>
                <w:w w:val="105"/>
                <w:sz w:val="13"/>
              </w:rPr>
              <w:t> </w:t>
            </w:r>
            <w:r>
              <w:rPr>
                <w:w w:val="105"/>
                <w:sz w:val="13"/>
              </w:rPr>
              <w:t>Y</w:t>
            </w:r>
          </w:p>
          <w:p>
            <w:pPr>
              <w:pStyle w:val="TableParagraph"/>
              <w:spacing w:line="141" w:lineRule="exact" w:before="4"/>
              <w:ind w:left="57"/>
              <w:rPr>
                <w:sz w:val="13"/>
              </w:rPr>
            </w:pPr>
            <w:r>
              <w:rPr>
                <w:w w:val="105"/>
                <w:sz w:val="13"/>
              </w:rPr>
              <w:t>ALTERNATIVAS</w:t>
            </w:r>
            <w:r>
              <w:rPr>
                <w:spacing w:val="-11"/>
                <w:w w:val="105"/>
                <w:sz w:val="13"/>
              </w:rPr>
              <w:t> </w:t>
            </w:r>
            <w:r>
              <w:rPr>
                <w:w w:val="105"/>
                <w:sz w:val="13"/>
              </w:rPr>
              <w:t>DE</w:t>
            </w:r>
            <w:r>
              <w:rPr>
                <w:spacing w:val="-10"/>
                <w:w w:val="105"/>
                <w:sz w:val="13"/>
              </w:rPr>
              <w:t> </w:t>
            </w:r>
            <w:r>
              <w:rPr>
                <w:w w:val="105"/>
                <w:sz w:val="13"/>
              </w:rPr>
              <w:t>DEPURACIÓN</w:t>
            </w:r>
            <w:r>
              <w:rPr>
                <w:spacing w:val="-10"/>
                <w:w w:val="105"/>
                <w:sz w:val="13"/>
              </w:rPr>
              <w:t> </w:t>
            </w:r>
            <w:r>
              <w:rPr>
                <w:w w:val="105"/>
                <w:sz w:val="13"/>
              </w:rPr>
              <w:t>1º</w:t>
            </w:r>
            <w:r>
              <w:rPr>
                <w:spacing w:val="-11"/>
                <w:w w:val="105"/>
                <w:sz w:val="13"/>
              </w:rPr>
              <w:t> </w:t>
            </w:r>
            <w:r>
              <w:rPr>
                <w:w w:val="105"/>
                <w:sz w:val="13"/>
              </w:rPr>
              <w:t>FASE.</w:t>
            </w:r>
            <w:r>
              <w:rPr>
                <w:spacing w:val="-12"/>
                <w:w w:val="105"/>
                <w:sz w:val="13"/>
              </w:rPr>
              <w:t> </w:t>
            </w:r>
            <w:r>
              <w:rPr>
                <w:w w:val="105"/>
                <w:sz w:val="13"/>
              </w:rPr>
              <w:t>T.M.</w:t>
            </w:r>
            <w:r>
              <w:rPr>
                <w:spacing w:val="-10"/>
                <w:w w:val="105"/>
                <w:sz w:val="13"/>
              </w:rPr>
              <w:t> </w:t>
            </w:r>
            <w:r>
              <w:rPr>
                <w:w w:val="105"/>
                <w:sz w:val="13"/>
              </w:rPr>
              <w:t>DE</w:t>
            </w:r>
            <w:r>
              <w:rPr>
                <w:spacing w:val="-10"/>
                <w:w w:val="105"/>
                <w:sz w:val="13"/>
              </w:rPr>
              <w:t> </w:t>
            </w:r>
            <w:r>
              <w:rPr>
                <w:w w:val="105"/>
                <w:sz w:val="13"/>
              </w:rPr>
              <w:t>TINAJO.</w:t>
            </w:r>
            <w:r>
              <w:rPr>
                <w:spacing w:val="-10"/>
                <w:w w:val="105"/>
                <w:sz w:val="13"/>
              </w:rPr>
              <w:t> </w:t>
            </w:r>
            <w:r>
              <w:rPr>
                <w:w w:val="105"/>
                <w:sz w:val="13"/>
              </w:rPr>
              <w:t>LANZAROTE</w:t>
            </w:r>
          </w:p>
        </w:tc>
        <w:tc>
          <w:tcPr>
            <w:tcW w:w="1080" w:type="dxa"/>
          </w:tcPr>
          <w:p>
            <w:pPr>
              <w:pStyle w:val="TableParagraph"/>
              <w:spacing w:before="85"/>
              <w:ind w:left="109" w:right="100"/>
              <w:jc w:val="center"/>
              <w:rPr>
                <w:sz w:val="13"/>
              </w:rPr>
            </w:pPr>
            <w:r>
              <w:rPr>
                <w:w w:val="105"/>
                <w:sz w:val="13"/>
              </w:rPr>
              <w:t>16/453</w:t>
            </w:r>
          </w:p>
        </w:tc>
      </w:tr>
      <w:tr>
        <w:trPr>
          <w:trHeight w:val="326" w:hRule="atLeast"/>
        </w:trPr>
        <w:tc>
          <w:tcPr>
            <w:tcW w:w="1265" w:type="dxa"/>
          </w:tcPr>
          <w:p>
            <w:pPr>
              <w:pStyle w:val="TableParagraph"/>
              <w:spacing w:before="85"/>
              <w:ind w:left="57"/>
              <w:rPr>
                <w:sz w:val="13"/>
              </w:rPr>
            </w:pPr>
            <w:r>
              <w:rPr>
                <w:w w:val="105"/>
                <w:sz w:val="13"/>
              </w:rPr>
              <w:t>AGUAS</w:t>
            </w:r>
          </w:p>
        </w:tc>
        <w:tc>
          <w:tcPr>
            <w:tcW w:w="4780" w:type="dxa"/>
          </w:tcPr>
          <w:p>
            <w:pPr>
              <w:pStyle w:val="TableParagraph"/>
              <w:spacing w:before="2"/>
              <w:ind w:left="57"/>
              <w:rPr>
                <w:sz w:val="13"/>
              </w:rPr>
            </w:pPr>
            <w:r>
              <w:rPr>
                <w:w w:val="105"/>
                <w:sz w:val="13"/>
              </w:rPr>
              <w:t>COMPLEMENTARIO Nº 1 DEL SISTEMA HIDRÁULICO DE LA VIÑA. FASE 2ª, BALSA DE</w:t>
            </w:r>
          </w:p>
          <w:p>
            <w:pPr>
              <w:pStyle w:val="TableParagraph"/>
              <w:spacing w:line="141" w:lineRule="exact" w:before="4"/>
              <w:ind w:left="57"/>
              <w:rPr>
                <w:sz w:val="13"/>
              </w:rPr>
            </w:pPr>
            <w:r>
              <w:rPr>
                <w:w w:val="105"/>
                <w:sz w:val="13"/>
              </w:rPr>
              <w:t>VICARIO</w:t>
            </w:r>
          </w:p>
        </w:tc>
        <w:tc>
          <w:tcPr>
            <w:tcW w:w="1080" w:type="dxa"/>
          </w:tcPr>
          <w:p>
            <w:pPr>
              <w:pStyle w:val="TableParagraph"/>
              <w:spacing w:before="85"/>
              <w:ind w:left="109" w:right="100"/>
              <w:jc w:val="center"/>
              <w:rPr>
                <w:sz w:val="13"/>
              </w:rPr>
            </w:pPr>
            <w:r>
              <w:rPr>
                <w:w w:val="105"/>
                <w:sz w:val="13"/>
              </w:rPr>
              <w:t>16/409</w:t>
            </w:r>
          </w:p>
        </w:tc>
      </w:tr>
      <w:tr>
        <w:trPr>
          <w:trHeight w:val="326" w:hRule="atLeast"/>
        </w:trPr>
        <w:tc>
          <w:tcPr>
            <w:tcW w:w="1265" w:type="dxa"/>
          </w:tcPr>
          <w:p>
            <w:pPr>
              <w:pStyle w:val="TableParagraph"/>
              <w:spacing w:before="2"/>
              <w:ind w:left="57"/>
              <w:rPr>
                <w:sz w:val="13"/>
              </w:rPr>
            </w:pPr>
            <w:r>
              <w:rPr>
                <w:w w:val="105"/>
                <w:sz w:val="13"/>
              </w:rPr>
              <w:t>OBRAS PÚBLICAS Y</w:t>
            </w:r>
          </w:p>
          <w:p>
            <w:pPr>
              <w:pStyle w:val="TableParagraph"/>
              <w:spacing w:line="141" w:lineRule="exact" w:before="4"/>
              <w:ind w:left="57"/>
              <w:rPr>
                <w:sz w:val="13"/>
              </w:rPr>
            </w:pPr>
            <w:r>
              <w:rPr>
                <w:w w:val="105"/>
                <w:sz w:val="13"/>
              </w:rPr>
              <w:t>TRANSPORTES</w:t>
            </w:r>
          </w:p>
        </w:tc>
        <w:tc>
          <w:tcPr>
            <w:tcW w:w="4780" w:type="dxa"/>
          </w:tcPr>
          <w:p>
            <w:pPr>
              <w:pStyle w:val="TableParagraph"/>
              <w:spacing w:before="2"/>
              <w:ind w:left="57"/>
              <w:rPr>
                <w:sz w:val="13"/>
              </w:rPr>
            </w:pPr>
            <w:r>
              <w:rPr>
                <w:w w:val="105"/>
                <w:sz w:val="13"/>
              </w:rPr>
              <w:t>EJE INSULAR DE FUERTEVENTURA TRAMO: CALDERETA – CORRALEJO. (CALZADA</w:t>
            </w:r>
          </w:p>
          <w:p>
            <w:pPr>
              <w:pStyle w:val="TableParagraph"/>
              <w:spacing w:line="141" w:lineRule="exact" w:before="4"/>
              <w:ind w:left="57"/>
              <w:rPr>
                <w:sz w:val="13"/>
              </w:rPr>
            </w:pPr>
            <w:r>
              <w:rPr>
                <w:w w:val="105"/>
                <w:sz w:val="13"/>
              </w:rPr>
              <w:t>IZQUIERDA PPKK 8+000 Y EL 20+400)</w:t>
            </w:r>
          </w:p>
        </w:tc>
        <w:tc>
          <w:tcPr>
            <w:tcW w:w="1080" w:type="dxa"/>
          </w:tcPr>
          <w:p>
            <w:pPr>
              <w:pStyle w:val="TableParagraph"/>
              <w:spacing w:before="82"/>
              <w:ind w:left="109" w:right="100"/>
              <w:jc w:val="center"/>
              <w:rPr>
                <w:sz w:val="13"/>
              </w:rPr>
            </w:pPr>
            <w:r>
              <w:rPr>
                <w:w w:val="105"/>
                <w:sz w:val="13"/>
              </w:rPr>
              <w:t>16/644</w:t>
            </w:r>
          </w:p>
        </w:tc>
      </w:tr>
      <w:tr>
        <w:trPr>
          <w:trHeight w:val="187" w:hRule="atLeast"/>
        </w:trPr>
        <w:tc>
          <w:tcPr>
            <w:tcW w:w="1265" w:type="dxa"/>
          </w:tcPr>
          <w:p>
            <w:pPr>
              <w:pStyle w:val="TableParagraph"/>
              <w:spacing w:line="153" w:lineRule="exact" w:before="14"/>
              <w:ind w:left="57"/>
              <w:rPr>
                <w:sz w:val="13"/>
              </w:rPr>
            </w:pPr>
            <w:r>
              <w:rPr>
                <w:w w:val="105"/>
                <w:sz w:val="13"/>
              </w:rPr>
              <w:t>EDUCACIÓN</w:t>
            </w:r>
          </w:p>
        </w:tc>
        <w:tc>
          <w:tcPr>
            <w:tcW w:w="4780" w:type="dxa"/>
          </w:tcPr>
          <w:p>
            <w:pPr>
              <w:pStyle w:val="TableParagraph"/>
              <w:spacing w:line="153" w:lineRule="exact" w:before="14"/>
              <w:ind w:left="57"/>
              <w:rPr>
                <w:sz w:val="13"/>
              </w:rPr>
            </w:pPr>
            <w:r>
              <w:rPr>
                <w:w w:val="105"/>
                <w:sz w:val="13"/>
              </w:rPr>
              <w:t>CEIP LA PAREDILLA (18 UDES), AVDA. LAS TIRAJANAS</w:t>
            </w:r>
          </w:p>
        </w:tc>
        <w:tc>
          <w:tcPr>
            <w:tcW w:w="1080" w:type="dxa"/>
          </w:tcPr>
          <w:p>
            <w:pPr>
              <w:pStyle w:val="TableParagraph"/>
              <w:spacing w:line="153" w:lineRule="exact" w:before="14"/>
              <w:ind w:left="109" w:right="100"/>
              <w:jc w:val="center"/>
              <w:rPr>
                <w:sz w:val="13"/>
              </w:rPr>
            </w:pPr>
            <w:r>
              <w:rPr>
                <w:w w:val="105"/>
                <w:sz w:val="13"/>
              </w:rPr>
              <w:t>12/926</w:t>
            </w:r>
          </w:p>
        </w:tc>
      </w:tr>
      <w:tr>
        <w:trPr>
          <w:trHeight w:val="189" w:hRule="atLeast"/>
        </w:trPr>
        <w:tc>
          <w:tcPr>
            <w:tcW w:w="1265" w:type="dxa"/>
          </w:tcPr>
          <w:p>
            <w:pPr>
              <w:pStyle w:val="TableParagraph"/>
              <w:spacing w:line="153" w:lineRule="exact" w:before="16"/>
              <w:ind w:left="57"/>
              <w:rPr>
                <w:sz w:val="13"/>
              </w:rPr>
            </w:pPr>
            <w:r>
              <w:rPr>
                <w:w w:val="105"/>
                <w:sz w:val="13"/>
              </w:rPr>
              <w:t>AGUAS</w:t>
            </w:r>
          </w:p>
        </w:tc>
        <w:tc>
          <w:tcPr>
            <w:tcW w:w="4780" w:type="dxa"/>
          </w:tcPr>
          <w:p>
            <w:pPr>
              <w:pStyle w:val="TableParagraph"/>
              <w:spacing w:line="153" w:lineRule="exact" w:before="16"/>
              <w:ind w:left="57"/>
              <w:rPr>
                <w:sz w:val="13"/>
              </w:rPr>
            </w:pPr>
            <w:r>
              <w:rPr>
                <w:w w:val="105"/>
                <w:sz w:val="13"/>
              </w:rPr>
              <w:t>MEJORA Y AMPLIACIÓN DE LA DEPURADORA DE TAZACORTE</w:t>
            </w:r>
          </w:p>
        </w:tc>
        <w:tc>
          <w:tcPr>
            <w:tcW w:w="1080" w:type="dxa"/>
          </w:tcPr>
          <w:p>
            <w:pPr>
              <w:pStyle w:val="TableParagraph"/>
              <w:spacing w:line="153" w:lineRule="exact" w:before="16"/>
              <w:ind w:left="109" w:right="100"/>
              <w:jc w:val="center"/>
              <w:rPr>
                <w:sz w:val="13"/>
              </w:rPr>
            </w:pPr>
            <w:r>
              <w:rPr>
                <w:w w:val="105"/>
                <w:sz w:val="13"/>
              </w:rPr>
              <w:t>13/1322</w:t>
            </w:r>
          </w:p>
        </w:tc>
      </w:tr>
      <w:tr>
        <w:trPr>
          <w:trHeight w:val="326" w:hRule="atLeast"/>
        </w:trPr>
        <w:tc>
          <w:tcPr>
            <w:tcW w:w="1265" w:type="dxa"/>
          </w:tcPr>
          <w:p>
            <w:pPr>
              <w:pStyle w:val="TableParagraph"/>
              <w:spacing w:before="2"/>
              <w:ind w:left="57"/>
              <w:rPr>
                <w:sz w:val="13"/>
              </w:rPr>
            </w:pPr>
            <w:r>
              <w:rPr>
                <w:w w:val="105"/>
                <w:sz w:val="13"/>
              </w:rPr>
              <w:t>SERVICIO CANARIO</w:t>
            </w:r>
          </w:p>
          <w:p>
            <w:pPr>
              <w:pStyle w:val="TableParagraph"/>
              <w:spacing w:line="139" w:lineRule="exact" w:before="6"/>
              <w:ind w:left="57"/>
              <w:rPr>
                <w:sz w:val="13"/>
              </w:rPr>
            </w:pPr>
            <w:r>
              <w:rPr>
                <w:w w:val="105"/>
                <w:sz w:val="13"/>
              </w:rPr>
              <w:t>DE LA SALUD</w:t>
            </w:r>
          </w:p>
        </w:tc>
        <w:tc>
          <w:tcPr>
            <w:tcW w:w="4780" w:type="dxa"/>
          </w:tcPr>
          <w:p>
            <w:pPr>
              <w:pStyle w:val="TableParagraph"/>
              <w:spacing w:before="85"/>
              <w:ind w:left="57"/>
              <w:rPr>
                <w:sz w:val="13"/>
              </w:rPr>
            </w:pPr>
            <w:r>
              <w:rPr>
                <w:w w:val="105"/>
                <w:sz w:val="13"/>
              </w:rPr>
              <w:t>CAE DE TELDE</w:t>
            </w:r>
          </w:p>
        </w:tc>
        <w:tc>
          <w:tcPr>
            <w:tcW w:w="1080" w:type="dxa"/>
          </w:tcPr>
          <w:p>
            <w:pPr>
              <w:pStyle w:val="TableParagraph"/>
              <w:spacing w:before="85"/>
              <w:ind w:left="109" w:right="100"/>
              <w:jc w:val="center"/>
              <w:rPr>
                <w:sz w:val="13"/>
              </w:rPr>
            </w:pPr>
            <w:r>
              <w:rPr>
                <w:w w:val="105"/>
                <w:sz w:val="13"/>
              </w:rPr>
              <w:t>14/252</w:t>
            </w:r>
          </w:p>
        </w:tc>
      </w:tr>
      <w:tr>
        <w:trPr>
          <w:trHeight w:val="327" w:hRule="atLeast"/>
        </w:trPr>
        <w:tc>
          <w:tcPr>
            <w:tcW w:w="1265" w:type="dxa"/>
          </w:tcPr>
          <w:p>
            <w:pPr>
              <w:pStyle w:val="TableParagraph"/>
              <w:spacing w:before="2"/>
              <w:ind w:left="57"/>
              <w:rPr>
                <w:sz w:val="13"/>
              </w:rPr>
            </w:pPr>
            <w:r>
              <w:rPr>
                <w:w w:val="105"/>
                <w:sz w:val="13"/>
              </w:rPr>
              <w:t>SERVICIO CANARIO</w:t>
            </w:r>
          </w:p>
          <w:p>
            <w:pPr>
              <w:pStyle w:val="TableParagraph"/>
              <w:spacing w:line="139" w:lineRule="exact" w:before="7"/>
              <w:ind w:left="57"/>
              <w:rPr>
                <w:sz w:val="13"/>
              </w:rPr>
            </w:pPr>
            <w:r>
              <w:rPr>
                <w:w w:val="105"/>
                <w:sz w:val="13"/>
              </w:rPr>
              <w:t>DE LA SALUD</w:t>
            </w:r>
          </w:p>
        </w:tc>
        <w:tc>
          <w:tcPr>
            <w:tcW w:w="4780" w:type="dxa"/>
          </w:tcPr>
          <w:p>
            <w:pPr>
              <w:pStyle w:val="TableParagraph"/>
              <w:spacing w:before="2"/>
              <w:ind w:left="57"/>
              <w:rPr>
                <w:sz w:val="13"/>
              </w:rPr>
            </w:pPr>
            <w:r>
              <w:rPr>
                <w:w w:val="105"/>
                <w:sz w:val="13"/>
              </w:rPr>
              <w:t>REMODELACIÓN Y AMPLIACIÓN DEL HOSPITAL GENERAL DE FUERTEVENTURA, FASE</w:t>
            </w:r>
          </w:p>
          <w:p>
            <w:pPr>
              <w:pStyle w:val="TableParagraph"/>
              <w:spacing w:line="139" w:lineRule="exact" w:before="7"/>
              <w:ind w:left="57"/>
              <w:rPr>
                <w:sz w:val="13"/>
              </w:rPr>
            </w:pPr>
            <w:r>
              <w:rPr>
                <w:w w:val="105"/>
                <w:sz w:val="13"/>
              </w:rPr>
              <w:t>II. (1ª recepción parcial)</w:t>
            </w:r>
          </w:p>
        </w:tc>
        <w:tc>
          <w:tcPr>
            <w:tcW w:w="1080" w:type="dxa"/>
          </w:tcPr>
          <w:p>
            <w:pPr>
              <w:pStyle w:val="TableParagraph"/>
              <w:spacing w:before="85"/>
              <w:ind w:left="109" w:right="100"/>
              <w:jc w:val="center"/>
              <w:rPr>
                <w:sz w:val="13"/>
              </w:rPr>
            </w:pPr>
            <w:r>
              <w:rPr>
                <w:w w:val="105"/>
                <w:sz w:val="13"/>
              </w:rPr>
              <w:t>11/562</w:t>
            </w:r>
          </w:p>
        </w:tc>
      </w:tr>
      <w:tr>
        <w:trPr>
          <w:trHeight w:val="326" w:hRule="atLeast"/>
        </w:trPr>
        <w:tc>
          <w:tcPr>
            <w:tcW w:w="1265" w:type="dxa"/>
          </w:tcPr>
          <w:p>
            <w:pPr>
              <w:pStyle w:val="TableParagraph"/>
              <w:spacing w:before="2"/>
              <w:ind w:left="57"/>
              <w:rPr>
                <w:sz w:val="13"/>
              </w:rPr>
            </w:pPr>
            <w:r>
              <w:rPr>
                <w:w w:val="105"/>
                <w:sz w:val="13"/>
              </w:rPr>
              <w:t>OBRAS PÚBLICAS Y</w:t>
            </w:r>
          </w:p>
          <w:p>
            <w:pPr>
              <w:pStyle w:val="TableParagraph"/>
              <w:spacing w:line="141" w:lineRule="exact" w:before="4"/>
              <w:ind w:left="57"/>
              <w:rPr>
                <w:sz w:val="13"/>
              </w:rPr>
            </w:pPr>
            <w:r>
              <w:rPr>
                <w:w w:val="105"/>
                <w:sz w:val="13"/>
              </w:rPr>
              <w:t>TRANSPORTES</w:t>
            </w:r>
          </w:p>
        </w:tc>
        <w:tc>
          <w:tcPr>
            <w:tcW w:w="4780" w:type="dxa"/>
          </w:tcPr>
          <w:p>
            <w:pPr>
              <w:pStyle w:val="TableParagraph"/>
              <w:spacing w:before="2"/>
              <w:ind w:left="57"/>
              <w:rPr>
                <w:sz w:val="13"/>
              </w:rPr>
            </w:pPr>
            <w:r>
              <w:rPr>
                <w:w w:val="105"/>
                <w:sz w:val="13"/>
              </w:rPr>
              <w:t>PK´S 0+00 Y 4+500 PUESTA EN SERVICIO CIRCUNVALACIÓN A LAS PALMAS DE GRAN</w:t>
            </w:r>
          </w:p>
          <w:p>
            <w:pPr>
              <w:pStyle w:val="TableParagraph"/>
              <w:spacing w:line="141" w:lineRule="exact" w:before="4"/>
              <w:ind w:left="57"/>
              <w:rPr>
                <w:sz w:val="13"/>
              </w:rPr>
            </w:pPr>
            <w:r>
              <w:rPr>
                <w:w w:val="105"/>
                <w:sz w:val="13"/>
              </w:rPr>
              <w:t>CANARIA. FASE IV. TAMARACEITE-TENOYA- ARUCAS COSTA (calzada izquierda)</w:t>
            </w:r>
          </w:p>
        </w:tc>
        <w:tc>
          <w:tcPr>
            <w:tcW w:w="1080" w:type="dxa"/>
          </w:tcPr>
          <w:p>
            <w:pPr>
              <w:pStyle w:val="TableParagraph"/>
              <w:spacing w:before="85"/>
              <w:ind w:left="109" w:right="100"/>
              <w:jc w:val="center"/>
              <w:rPr>
                <w:sz w:val="13"/>
              </w:rPr>
            </w:pPr>
            <w:r>
              <w:rPr>
                <w:w w:val="105"/>
                <w:sz w:val="13"/>
              </w:rPr>
              <w:t>16/393</w:t>
            </w:r>
          </w:p>
        </w:tc>
      </w:tr>
      <w:tr>
        <w:trPr>
          <w:trHeight w:val="326" w:hRule="atLeast"/>
        </w:trPr>
        <w:tc>
          <w:tcPr>
            <w:tcW w:w="1265" w:type="dxa"/>
          </w:tcPr>
          <w:p>
            <w:pPr>
              <w:pStyle w:val="TableParagraph"/>
              <w:spacing w:before="2"/>
              <w:ind w:left="57"/>
              <w:rPr>
                <w:sz w:val="13"/>
              </w:rPr>
            </w:pPr>
            <w:r>
              <w:rPr>
                <w:w w:val="105"/>
                <w:sz w:val="13"/>
              </w:rPr>
              <w:t>SERVICIO CANARIO</w:t>
            </w:r>
          </w:p>
          <w:p>
            <w:pPr>
              <w:pStyle w:val="TableParagraph"/>
              <w:spacing w:line="141" w:lineRule="exact" w:before="4"/>
              <w:ind w:left="57"/>
              <w:rPr>
                <w:sz w:val="13"/>
              </w:rPr>
            </w:pPr>
            <w:r>
              <w:rPr>
                <w:w w:val="105"/>
                <w:sz w:val="13"/>
              </w:rPr>
              <w:t>DE LA SALUD</w:t>
            </w:r>
          </w:p>
        </w:tc>
        <w:tc>
          <w:tcPr>
            <w:tcW w:w="4780" w:type="dxa"/>
          </w:tcPr>
          <w:p>
            <w:pPr>
              <w:pStyle w:val="TableParagraph"/>
              <w:spacing w:before="85"/>
              <w:ind w:left="57"/>
              <w:rPr>
                <w:sz w:val="13"/>
              </w:rPr>
            </w:pPr>
            <w:r>
              <w:rPr>
                <w:w w:val="105"/>
                <w:sz w:val="13"/>
              </w:rPr>
              <w:t>AMPLIACIÓN HOSPITAL GENERAL DE FUERTEVENTURA, FASE III.</w:t>
            </w:r>
          </w:p>
        </w:tc>
        <w:tc>
          <w:tcPr>
            <w:tcW w:w="1080" w:type="dxa"/>
          </w:tcPr>
          <w:p>
            <w:pPr>
              <w:pStyle w:val="TableParagraph"/>
              <w:spacing w:before="85"/>
              <w:ind w:left="109" w:right="100"/>
              <w:jc w:val="center"/>
              <w:rPr>
                <w:sz w:val="13"/>
              </w:rPr>
            </w:pPr>
            <w:r>
              <w:rPr>
                <w:w w:val="105"/>
                <w:sz w:val="13"/>
              </w:rPr>
              <w:t>21/060</w:t>
            </w:r>
          </w:p>
        </w:tc>
      </w:tr>
      <w:tr>
        <w:trPr>
          <w:trHeight w:val="189" w:hRule="atLeast"/>
        </w:trPr>
        <w:tc>
          <w:tcPr>
            <w:tcW w:w="1265" w:type="dxa"/>
          </w:tcPr>
          <w:p>
            <w:pPr>
              <w:pStyle w:val="TableParagraph"/>
              <w:spacing w:line="153" w:lineRule="exact" w:before="16"/>
              <w:ind w:left="57"/>
              <w:rPr>
                <w:sz w:val="13"/>
              </w:rPr>
            </w:pPr>
            <w:r>
              <w:rPr>
                <w:w w:val="105"/>
                <w:sz w:val="13"/>
              </w:rPr>
              <w:t>EDUCACIÓN</w:t>
            </w:r>
          </w:p>
        </w:tc>
        <w:tc>
          <w:tcPr>
            <w:tcW w:w="4780" w:type="dxa"/>
          </w:tcPr>
          <w:p>
            <w:pPr>
              <w:pStyle w:val="TableParagraph"/>
              <w:spacing w:line="153" w:lineRule="exact" w:before="16"/>
              <w:ind w:left="57"/>
              <w:rPr>
                <w:sz w:val="13"/>
              </w:rPr>
            </w:pPr>
            <w:r>
              <w:rPr>
                <w:w w:val="105"/>
                <w:sz w:val="13"/>
              </w:rPr>
              <w:t>INF + PRIMARIA 9 UNDS MAJADA MARCIAL-PUERTO DEL ROSARIO</w:t>
            </w:r>
          </w:p>
        </w:tc>
        <w:tc>
          <w:tcPr>
            <w:tcW w:w="1080" w:type="dxa"/>
          </w:tcPr>
          <w:p>
            <w:pPr>
              <w:pStyle w:val="TableParagraph"/>
              <w:spacing w:line="153" w:lineRule="exact" w:before="16"/>
              <w:ind w:left="109" w:right="100"/>
              <w:jc w:val="center"/>
              <w:rPr>
                <w:sz w:val="13"/>
              </w:rPr>
            </w:pPr>
            <w:r>
              <w:rPr>
                <w:w w:val="105"/>
                <w:sz w:val="13"/>
              </w:rPr>
              <w:t>09/333</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p>
      <w:pPr>
        <w:pStyle w:val="BodyText"/>
        <w:spacing w:before="1"/>
        <w:ind w:left="8760" w:right="973"/>
        <w:jc w:val="center"/>
      </w:pPr>
      <w:r>
        <w:rPr/>
        <w:t>242</w:t>
      </w:r>
    </w:p>
    <w:p>
      <w:pPr>
        <w:pStyle w:val="Heading1"/>
        <w:spacing w:before="1"/>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519" name="image5.png"/>
                  <wp:cNvGraphicFramePr>
                    <a:graphicFrameLocks noChangeAspect="1"/>
                  </wp:cNvGraphicFramePr>
                  <a:graphic>
                    <a:graphicData uri="http://schemas.openxmlformats.org/drawingml/2006/picture">
                      <pic:pic>
                        <pic:nvPicPr>
                          <pic:cNvPr id="520"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244/247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pStyle w:val="BodyText"/>
        <w:spacing w:before="60"/>
        <w:ind w:left="2299"/>
      </w:pPr>
      <w:r>
        <w:rPr/>
        <w:t>II. XIII b). Justificación incorrecta de cierre</w:t>
      </w:r>
    </w:p>
    <w:p>
      <w:pPr>
        <w:pStyle w:val="BodyText"/>
        <w:spacing w:before="4"/>
        <w:rPr>
          <w:sz w:val="8"/>
        </w:rPr>
      </w:pPr>
    </w:p>
    <w:tbl>
      <w:tblPr>
        <w:tblW w:w="0" w:type="auto"/>
        <w:jc w:val="left"/>
        <w:tblInd w:w="2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8"/>
        <w:gridCol w:w="4645"/>
      </w:tblGrid>
      <w:tr>
        <w:trPr>
          <w:trHeight w:val="183" w:hRule="atLeast"/>
        </w:trPr>
        <w:tc>
          <w:tcPr>
            <w:tcW w:w="2378" w:type="dxa"/>
            <w:shd w:val="clear" w:color="auto" w:fill="DEEAF6"/>
          </w:tcPr>
          <w:p>
            <w:pPr>
              <w:pStyle w:val="TableParagraph"/>
              <w:spacing w:line="162" w:lineRule="exact" w:before="1"/>
              <w:ind w:left="666"/>
              <w:rPr>
                <w:b/>
                <w:sz w:val="15"/>
              </w:rPr>
            </w:pPr>
            <w:r>
              <w:rPr>
                <w:b/>
                <w:color w:val="1A1A1A"/>
                <w:sz w:val="15"/>
              </w:rPr>
              <w:t>Motivo de cierre</w:t>
            </w:r>
          </w:p>
        </w:tc>
        <w:tc>
          <w:tcPr>
            <w:tcW w:w="4645" w:type="dxa"/>
            <w:shd w:val="clear" w:color="auto" w:fill="DEEAF6"/>
          </w:tcPr>
          <w:p>
            <w:pPr>
              <w:pStyle w:val="TableParagraph"/>
              <w:spacing w:line="162" w:lineRule="exact" w:before="1"/>
              <w:ind w:left="877"/>
              <w:rPr>
                <w:b/>
                <w:sz w:val="15"/>
              </w:rPr>
            </w:pPr>
            <w:r>
              <w:rPr>
                <w:b/>
                <w:color w:val="1A1A1A"/>
                <w:sz w:val="15"/>
              </w:rPr>
              <w:t>Nº de actuación y deficiencia más significativa</w:t>
            </w:r>
          </w:p>
        </w:tc>
      </w:tr>
      <w:tr>
        <w:trPr>
          <w:trHeight w:val="735" w:hRule="atLeast"/>
        </w:trPr>
        <w:tc>
          <w:tcPr>
            <w:tcW w:w="2378" w:type="dxa"/>
          </w:tcPr>
          <w:p>
            <w:pPr>
              <w:pStyle w:val="TableParagraph"/>
              <w:spacing w:before="1"/>
              <w:rPr>
                <w:sz w:val="15"/>
              </w:rPr>
            </w:pPr>
          </w:p>
          <w:p>
            <w:pPr>
              <w:pStyle w:val="TableParagraph"/>
              <w:spacing w:line="242" w:lineRule="auto"/>
              <w:ind w:left="89" w:right="123"/>
              <w:rPr>
                <w:sz w:val="15"/>
              </w:rPr>
            </w:pPr>
            <w:r>
              <w:rPr>
                <w:sz w:val="15"/>
              </w:rPr>
              <w:t>Comunicación de las deficiencias al órgano competente.</w:t>
            </w:r>
          </w:p>
        </w:tc>
        <w:tc>
          <w:tcPr>
            <w:tcW w:w="4645" w:type="dxa"/>
          </w:tcPr>
          <w:p>
            <w:pPr>
              <w:pStyle w:val="TableParagraph"/>
              <w:spacing w:before="1"/>
              <w:ind w:left="89"/>
              <w:rPr>
                <w:sz w:val="15"/>
              </w:rPr>
            </w:pPr>
            <w:r>
              <w:rPr>
                <w:color w:val="1A1A1A"/>
                <w:sz w:val="15"/>
              </w:rPr>
              <w:t>14/456.- Defectos en la definición de las obras, al incluirse partidas ejecutadas con anterioridad a la redacción del proyecto.</w:t>
            </w:r>
          </w:p>
          <w:p>
            <w:pPr>
              <w:pStyle w:val="TableParagraph"/>
              <w:spacing w:line="180" w:lineRule="atLeast" w:before="3"/>
              <w:ind w:left="89"/>
              <w:rPr>
                <w:sz w:val="15"/>
              </w:rPr>
            </w:pPr>
            <w:r>
              <w:rPr>
                <w:color w:val="1A1A1A"/>
                <w:sz w:val="15"/>
              </w:rPr>
              <w:t>15/966.- Ausencia de justificación de la gestión de residuos y del desglose de cantidad abonada en unidades de obra.</w:t>
            </w:r>
          </w:p>
        </w:tc>
      </w:tr>
      <w:tr>
        <w:trPr>
          <w:trHeight w:val="736" w:hRule="atLeast"/>
        </w:trPr>
        <w:tc>
          <w:tcPr>
            <w:tcW w:w="2378" w:type="dxa"/>
          </w:tcPr>
          <w:p>
            <w:pPr>
              <w:pStyle w:val="TableParagraph"/>
              <w:spacing w:line="242" w:lineRule="auto"/>
              <w:ind w:left="89" w:right="160"/>
              <w:jc w:val="both"/>
              <w:rPr>
                <w:sz w:val="15"/>
              </w:rPr>
            </w:pPr>
            <w:r>
              <w:rPr>
                <w:sz w:val="15"/>
              </w:rPr>
              <w:t>El CG no aporta la documentación para poder hacer la comprobación material.</w:t>
            </w:r>
          </w:p>
        </w:tc>
        <w:tc>
          <w:tcPr>
            <w:tcW w:w="4645" w:type="dxa"/>
          </w:tcPr>
          <w:p>
            <w:pPr>
              <w:pStyle w:val="TableParagraph"/>
              <w:ind w:left="89"/>
              <w:rPr>
                <w:sz w:val="15"/>
              </w:rPr>
            </w:pPr>
            <w:r>
              <w:rPr>
                <w:color w:val="1A1A1A"/>
                <w:sz w:val="15"/>
              </w:rPr>
              <w:t>18/047. La Intervención no verificó la correcta ejecución de la obra en el acto de recepción al no remitirse la documentación.</w:t>
            </w:r>
          </w:p>
          <w:p>
            <w:pPr>
              <w:pStyle w:val="TableParagraph"/>
              <w:spacing w:line="180" w:lineRule="atLeast" w:before="3"/>
              <w:ind w:left="89"/>
              <w:rPr>
                <w:sz w:val="15"/>
              </w:rPr>
            </w:pPr>
            <w:r>
              <w:rPr>
                <w:color w:val="1A1A1A"/>
                <w:sz w:val="15"/>
              </w:rPr>
              <w:t>18/326. La Intervención no lleva a cabo la verificación al no remitir la documentación de la medición y liquidación de obra.</w:t>
            </w:r>
          </w:p>
        </w:tc>
      </w:tr>
      <w:tr>
        <w:trPr>
          <w:trHeight w:val="3133" w:hRule="atLeast"/>
        </w:trPr>
        <w:tc>
          <w:tcPr>
            <w:tcW w:w="2378"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line="242" w:lineRule="auto" w:before="95"/>
              <w:ind w:left="89" w:right="396"/>
              <w:rPr>
                <w:sz w:val="15"/>
              </w:rPr>
            </w:pPr>
            <w:r>
              <w:rPr>
                <w:sz w:val="15"/>
              </w:rPr>
              <w:t>Existe otra actuación posterior abierta para esta inversión.</w:t>
            </w:r>
          </w:p>
        </w:tc>
        <w:tc>
          <w:tcPr>
            <w:tcW w:w="4645" w:type="dxa"/>
          </w:tcPr>
          <w:p>
            <w:pPr>
              <w:pStyle w:val="TableParagraph"/>
              <w:spacing w:line="242" w:lineRule="auto"/>
              <w:ind w:left="89" w:right="80"/>
              <w:jc w:val="both"/>
              <w:rPr>
                <w:sz w:val="15"/>
              </w:rPr>
            </w:pPr>
            <w:r>
              <w:rPr>
                <w:color w:val="1A1A1A"/>
                <w:sz w:val="15"/>
              </w:rPr>
              <w:t>12/1030. Recepción total, en la que el facultativo pone manifiesto diferentes anomalías. Esta actuación se cierra por la comprobación de la certificación final (16/083) cuya documentación no ha sido remitida, por lo que no se ha podido verificar si en dicha certificación se subsana las deficiencias de la recepción.</w:t>
            </w:r>
          </w:p>
          <w:p>
            <w:pPr>
              <w:pStyle w:val="TableParagraph"/>
              <w:spacing w:line="242" w:lineRule="auto"/>
              <w:ind w:left="89" w:right="81"/>
              <w:jc w:val="both"/>
              <w:rPr>
                <w:sz w:val="15"/>
              </w:rPr>
            </w:pPr>
            <w:r>
              <w:rPr>
                <w:color w:val="1A1A1A"/>
                <w:sz w:val="15"/>
              </w:rPr>
              <w:t>12/387. La actuación se corresponde con la recepción del “CAE de Telde, área de salud mental”, produciéndose su cierre por la actuación 14/252. “CAE</w:t>
            </w:r>
            <w:r>
              <w:rPr>
                <w:color w:val="1A1A1A"/>
                <w:spacing w:val="-6"/>
                <w:sz w:val="15"/>
              </w:rPr>
              <w:t> </w:t>
            </w:r>
            <w:r>
              <w:rPr>
                <w:color w:val="1A1A1A"/>
                <w:sz w:val="15"/>
              </w:rPr>
              <w:t>Telde”,</w:t>
            </w:r>
            <w:r>
              <w:rPr>
                <w:color w:val="1A1A1A"/>
                <w:spacing w:val="-5"/>
                <w:sz w:val="15"/>
              </w:rPr>
              <w:t> </w:t>
            </w:r>
            <w:r>
              <w:rPr>
                <w:color w:val="1A1A1A"/>
                <w:sz w:val="15"/>
              </w:rPr>
              <w:t>que</w:t>
            </w:r>
            <w:r>
              <w:rPr>
                <w:color w:val="1A1A1A"/>
                <w:spacing w:val="-7"/>
                <w:sz w:val="15"/>
              </w:rPr>
              <w:t> </w:t>
            </w:r>
            <w:r>
              <w:rPr>
                <w:color w:val="1A1A1A"/>
                <w:sz w:val="15"/>
              </w:rPr>
              <w:t>corresponde</w:t>
            </w:r>
            <w:r>
              <w:rPr>
                <w:color w:val="1A1A1A"/>
                <w:spacing w:val="-6"/>
                <w:sz w:val="15"/>
              </w:rPr>
              <w:t> </w:t>
            </w:r>
            <w:r>
              <w:rPr>
                <w:color w:val="1A1A1A"/>
                <w:sz w:val="15"/>
              </w:rPr>
              <w:t>a</w:t>
            </w:r>
            <w:r>
              <w:rPr>
                <w:color w:val="1A1A1A"/>
                <w:spacing w:val="-3"/>
                <w:sz w:val="15"/>
              </w:rPr>
              <w:t> </w:t>
            </w:r>
            <w:r>
              <w:rPr>
                <w:color w:val="1A1A1A"/>
                <w:sz w:val="15"/>
              </w:rPr>
              <w:t>obras</w:t>
            </w:r>
            <w:r>
              <w:rPr>
                <w:color w:val="1A1A1A"/>
                <w:spacing w:val="-7"/>
                <w:sz w:val="15"/>
              </w:rPr>
              <w:t> </w:t>
            </w:r>
            <w:r>
              <w:rPr>
                <w:color w:val="1A1A1A"/>
                <w:sz w:val="15"/>
              </w:rPr>
              <w:t>diferentes,</w:t>
            </w:r>
            <w:r>
              <w:rPr>
                <w:color w:val="1A1A1A"/>
                <w:spacing w:val="-3"/>
                <w:sz w:val="15"/>
              </w:rPr>
              <w:t> </w:t>
            </w:r>
            <w:r>
              <w:rPr>
                <w:color w:val="1A1A1A"/>
                <w:sz w:val="15"/>
              </w:rPr>
              <w:t>la</w:t>
            </w:r>
            <w:r>
              <w:rPr>
                <w:color w:val="1A1A1A"/>
                <w:spacing w:val="-6"/>
                <w:sz w:val="15"/>
              </w:rPr>
              <w:t> </w:t>
            </w:r>
            <w:r>
              <w:rPr>
                <w:color w:val="1A1A1A"/>
                <w:sz w:val="15"/>
              </w:rPr>
              <w:t>cual</w:t>
            </w:r>
            <w:r>
              <w:rPr>
                <w:color w:val="1A1A1A"/>
                <w:spacing w:val="-6"/>
                <w:sz w:val="15"/>
              </w:rPr>
              <w:t> </w:t>
            </w:r>
            <w:r>
              <w:rPr>
                <w:color w:val="1A1A1A"/>
                <w:sz w:val="15"/>
              </w:rPr>
              <w:t>a</w:t>
            </w:r>
            <w:r>
              <w:rPr>
                <w:color w:val="1A1A1A"/>
                <w:spacing w:val="-3"/>
                <w:sz w:val="15"/>
              </w:rPr>
              <w:t> </w:t>
            </w:r>
            <w:r>
              <w:rPr>
                <w:color w:val="1A1A1A"/>
                <w:sz w:val="15"/>
              </w:rPr>
              <w:t>su</w:t>
            </w:r>
            <w:r>
              <w:rPr>
                <w:color w:val="1A1A1A"/>
                <w:spacing w:val="-7"/>
                <w:sz w:val="15"/>
              </w:rPr>
              <w:t> </w:t>
            </w:r>
            <w:r>
              <w:rPr>
                <w:color w:val="1A1A1A"/>
                <w:sz w:val="15"/>
              </w:rPr>
              <w:t>vez</w:t>
            </w:r>
            <w:r>
              <w:rPr>
                <w:color w:val="1A1A1A"/>
                <w:spacing w:val="-5"/>
                <w:sz w:val="15"/>
              </w:rPr>
              <w:t> </w:t>
            </w:r>
            <w:r>
              <w:rPr>
                <w:color w:val="1A1A1A"/>
                <w:sz w:val="15"/>
              </w:rPr>
              <w:t>se</w:t>
            </w:r>
            <w:r>
              <w:rPr>
                <w:color w:val="1A1A1A"/>
                <w:spacing w:val="-5"/>
                <w:sz w:val="15"/>
              </w:rPr>
              <w:t> </w:t>
            </w:r>
            <w:r>
              <w:rPr>
                <w:color w:val="1A1A1A"/>
                <w:sz w:val="15"/>
              </w:rPr>
              <w:t>cierra por “prescripción de los derechos a favor de la hacienda</w:t>
            </w:r>
            <w:r>
              <w:rPr>
                <w:color w:val="1A1A1A"/>
                <w:spacing w:val="3"/>
                <w:sz w:val="15"/>
              </w:rPr>
              <w:t> </w:t>
            </w:r>
            <w:r>
              <w:rPr>
                <w:color w:val="1A1A1A"/>
                <w:sz w:val="15"/>
              </w:rPr>
              <w:t>pública”.</w:t>
            </w:r>
          </w:p>
          <w:p>
            <w:pPr>
              <w:pStyle w:val="TableParagraph"/>
              <w:spacing w:line="242" w:lineRule="auto"/>
              <w:ind w:left="89" w:right="81"/>
              <w:jc w:val="both"/>
              <w:rPr>
                <w:sz w:val="15"/>
              </w:rPr>
            </w:pPr>
            <w:r>
              <w:rPr>
                <w:color w:val="1A1A1A"/>
                <w:sz w:val="15"/>
              </w:rPr>
              <w:t>12/821. Recepción total en la que se ponen de manifiesto deficiencias, se cierra por la actuación 13/1322, certificación final que no ha sido comprobada por no remitirse la documentación y que a su vea ha sido cerrada por “deficiencia procedimental”</w:t>
            </w:r>
          </w:p>
          <w:p>
            <w:pPr>
              <w:pStyle w:val="TableParagraph"/>
              <w:spacing w:line="242" w:lineRule="auto"/>
              <w:ind w:left="89" w:right="80"/>
              <w:jc w:val="both"/>
              <w:rPr>
                <w:sz w:val="15"/>
              </w:rPr>
            </w:pPr>
            <w:r>
              <w:rPr>
                <w:color w:val="1A1A1A"/>
                <w:sz w:val="15"/>
              </w:rPr>
              <w:t>21/550. Actuación modificada nº 1. Se cierra por la actuación 23/046. Modificado nº 2, en el que se observan diferentes deficiencias.</w:t>
            </w:r>
          </w:p>
          <w:p>
            <w:pPr>
              <w:pStyle w:val="TableParagraph"/>
              <w:spacing w:line="180" w:lineRule="atLeast"/>
              <w:ind w:left="89" w:right="82"/>
              <w:jc w:val="both"/>
              <w:rPr>
                <w:sz w:val="15"/>
              </w:rPr>
            </w:pPr>
            <w:r>
              <w:rPr>
                <w:color w:val="1A1A1A"/>
                <w:sz w:val="15"/>
              </w:rPr>
              <w:t>21/580. Ocupación efectiva parcial. Se cierra por la actuación 23/055. Recepción, en la que se formulan diferentes observaciones.</w:t>
            </w:r>
          </w:p>
        </w:tc>
      </w:tr>
      <w:tr>
        <w:trPr>
          <w:trHeight w:val="2021" w:hRule="atLeast"/>
        </w:trPr>
        <w:tc>
          <w:tcPr>
            <w:tcW w:w="2378" w:type="dxa"/>
          </w:tcPr>
          <w:p>
            <w:pPr>
              <w:pStyle w:val="TableParagraph"/>
              <w:rPr>
                <w:sz w:val="14"/>
              </w:rPr>
            </w:pPr>
          </w:p>
          <w:p>
            <w:pPr>
              <w:pStyle w:val="TableParagraph"/>
              <w:spacing w:line="242" w:lineRule="auto" w:before="100"/>
              <w:ind w:left="89" w:right="181"/>
              <w:rPr>
                <w:sz w:val="15"/>
              </w:rPr>
            </w:pPr>
            <w:r>
              <w:rPr>
                <w:sz w:val="15"/>
              </w:rPr>
              <w:t>No procede hacer ningún requerimiento al centro gestor ya que, por el tiempo transcurrido, si aportara documentación que permitiera cuantificar un daño al Tesoro Público, el derecho de la Hacienda Pública para solicitar el reintegro estaría prescrito.</w:t>
            </w:r>
          </w:p>
        </w:tc>
        <w:tc>
          <w:tcPr>
            <w:tcW w:w="4645" w:type="dxa"/>
          </w:tcPr>
          <w:p>
            <w:pPr>
              <w:pStyle w:val="TableParagraph"/>
              <w:spacing w:line="242" w:lineRule="auto"/>
              <w:ind w:left="89" w:right="81"/>
              <w:jc w:val="both"/>
              <w:rPr>
                <w:sz w:val="15"/>
              </w:rPr>
            </w:pPr>
            <w:r>
              <w:rPr>
                <w:color w:val="1A1A1A"/>
                <w:sz w:val="15"/>
              </w:rPr>
              <w:t>09/238. Con fecha 12 de abril del 2018, se requiere la justificación del ingreso</w:t>
            </w:r>
            <w:r>
              <w:rPr>
                <w:color w:val="1A1A1A"/>
                <w:spacing w:val="-2"/>
                <w:sz w:val="15"/>
              </w:rPr>
              <w:t> </w:t>
            </w:r>
            <w:r>
              <w:rPr>
                <w:color w:val="1A1A1A"/>
                <w:sz w:val="15"/>
              </w:rPr>
              <w:t>en</w:t>
            </w:r>
            <w:r>
              <w:rPr>
                <w:color w:val="1A1A1A"/>
                <w:spacing w:val="-4"/>
                <w:sz w:val="15"/>
              </w:rPr>
              <w:t> </w:t>
            </w:r>
            <w:r>
              <w:rPr>
                <w:color w:val="1A1A1A"/>
                <w:sz w:val="15"/>
              </w:rPr>
              <w:t>el</w:t>
            </w:r>
            <w:r>
              <w:rPr>
                <w:color w:val="1A1A1A"/>
                <w:spacing w:val="-4"/>
                <w:sz w:val="15"/>
              </w:rPr>
              <w:t> </w:t>
            </w:r>
            <w:r>
              <w:rPr>
                <w:color w:val="1A1A1A"/>
                <w:sz w:val="15"/>
              </w:rPr>
              <w:t>tesoro</w:t>
            </w:r>
            <w:r>
              <w:rPr>
                <w:color w:val="1A1A1A"/>
                <w:spacing w:val="-3"/>
                <w:sz w:val="15"/>
              </w:rPr>
              <w:t> </w:t>
            </w:r>
            <w:r>
              <w:rPr>
                <w:color w:val="1A1A1A"/>
                <w:sz w:val="15"/>
              </w:rPr>
              <w:t>de</w:t>
            </w:r>
            <w:r>
              <w:rPr>
                <w:color w:val="1A1A1A"/>
                <w:spacing w:val="-4"/>
                <w:sz w:val="15"/>
              </w:rPr>
              <w:t> </w:t>
            </w:r>
            <w:r>
              <w:rPr>
                <w:color w:val="1A1A1A"/>
                <w:sz w:val="15"/>
              </w:rPr>
              <w:t>las</w:t>
            </w:r>
            <w:r>
              <w:rPr>
                <w:color w:val="1A1A1A"/>
                <w:spacing w:val="-4"/>
                <w:sz w:val="15"/>
              </w:rPr>
              <w:t> </w:t>
            </w:r>
            <w:r>
              <w:rPr>
                <w:color w:val="1A1A1A"/>
                <w:sz w:val="15"/>
              </w:rPr>
              <w:t>cantidades</w:t>
            </w:r>
            <w:r>
              <w:rPr>
                <w:color w:val="1A1A1A"/>
                <w:spacing w:val="-4"/>
                <w:sz w:val="15"/>
              </w:rPr>
              <w:t> </w:t>
            </w:r>
            <w:r>
              <w:rPr>
                <w:color w:val="1A1A1A"/>
                <w:sz w:val="15"/>
              </w:rPr>
              <w:t>abonadas</w:t>
            </w:r>
            <w:r>
              <w:rPr>
                <w:color w:val="1A1A1A"/>
                <w:spacing w:val="-4"/>
                <w:sz w:val="15"/>
              </w:rPr>
              <w:t> </w:t>
            </w:r>
            <w:r>
              <w:rPr>
                <w:color w:val="1A1A1A"/>
                <w:sz w:val="15"/>
              </w:rPr>
              <w:t>indebidamente.</w:t>
            </w:r>
            <w:r>
              <w:rPr>
                <w:color w:val="1A1A1A"/>
                <w:spacing w:val="-1"/>
                <w:sz w:val="15"/>
              </w:rPr>
              <w:t> </w:t>
            </w:r>
            <w:r>
              <w:rPr>
                <w:color w:val="1A1A1A"/>
                <w:sz w:val="15"/>
              </w:rPr>
              <w:t>No</w:t>
            </w:r>
            <w:r>
              <w:rPr>
                <w:color w:val="1A1A1A"/>
                <w:spacing w:val="-2"/>
                <w:sz w:val="15"/>
              </w:rPr>
              <w:t> </w:t>
            </w:r>
            <w:r>
              <w:rPr>
                <w:color w:val="1A1A1A"/>
                <w:sz w:val="15"/>
              </w:rPr>
              <w:t>se</w:t>
            </w:r>
            <w:r>
              <w:rPr>
                <w:color w:val="1A1A1A"/>
                <w:spacing w:val="-4"/>
                <w:sz w:val="15"/>
              </w:rPr>
              <w:t> </w:t>
            </w:r>
            <w:r>
              <w:rPr>
                <w:color w:val="1A1A1A"/>
                <w:sz w:val="15"/>
              </w:rPr>
              <w:t>ha acreditado.</w:t>
            </w:r>
          </w:p>
          <w:p>
            <w:pPr>
              <w:pStyle w:val="TableParagraph"/>
              <w:spacing w:line="181" w:lineRule="exact"/>
              <w:ind w:left="89"/>
              <w:jc w:val="both"/>
              <w:rPr>
                <w:sz w:val="15"/>
              </w:rPr>
            </w:pPr>
            <w:r>
              <w:rPr>
                <w:color w:val="1A1A1A"/>
                <w:sz w:val="15"/>
              </w:rPr>
              <w:t>09/673. Abono de cantidades sin justificar.</w:t>
            </w:r>
          </w:p>
          <w:p>
            <w:pPr>
              <w:pStyle w:val="TableParagraph"/>
              <w:spacing w:line="242" w:lineRule="auto"/>
              <w:ind w:left="89" w:right="83"/>
              <w:jc w:val="both"/>
              <w:rPr>
                <w:sz w:val="15"/>
              </w:rPr>
            </w:pPr>
            <w:r>
              <w:rPr>
                <w:color w:val="1A1A1A"/>
                <w:sz w:val="15"/>
              </w:rPr>
              <w:t>09/797. Diferentes anomalías y errores con perjuicio económico para la administración.</w:t>
            </w:r>
          </w:p>
          <w:p>
            <w:pPr>
              <w:pStyle w:val="TableParagraph"/>
              <w:spacing w:line="242" w:lineRule="auto"/>
              <w:ind w:left="89" w:right="81"/>
              <w:jc w:val="both"/>
              <w:rPr>
                <w:sz w:val="15"/>
              </w:rPr>
            </w:pPr>
            <w:r>
              <w:rPr>
                <w:color w:val="1A1A1A"/>
                <w:sz w:val="15"/>
              </w:rPr>
              <w:t>09/983. Obra incompleta que impide la utilización de varias infraestructuras aprobadas.</w:t>
            </w:r>
          </w:p>
          <w:p>
            <w:pPr>
              <w:pStyle w:val="TableParagraph"/>
              <w:spacing w:line="182" w:lineRule="exact"/>
              <w:ind w:left="89"/>
              <w:jc w:val="both"/>
              <w:rPr>
                <w:sz w:val="15"/>
              </w:rPr>
            </w:pPr>
            <w:r>
              <w:rPr>
                <w:color w:val="1A1A1A"/>
                <w:sz w:val="15"/>
              </w:rPr>
              <w:t>10/097. Abono de mejoras ofertadas por contratista. unidades en</w:t>
            </w:r>
          </w:p>
          <w:p>
            <w:pPr>
              <w:pStyle w:val="TableParagraph"/>
              <w:spacing w:line="180" w:lineRule="atLeast"/>
              <w:ind w:left="89" w:right="81"/>
              <w:jc w:val="both"/>
              <w:rPr>
                <w:sz w:val="15"/>
              </w:rPr>
            </w:pPr>
            <w:r>
              <w:rPr>
                <w:color w:val="1A1A1A"/>
                <w:sz w:val="15"/>
              </w:rPr>
              <w:t>concepto de movimiento de tierras y cimentación certificadas en momento no ajustado al proceso constructivo.</w:t>
            </w:r>
          </w:p>
        </w:tc>
      </w:tr>
      <w:tr>
        <w:trPr>
          <w:trHeight w:val="735" w:hRule="atLeast"/>
        </w:trPr>
        <w:tc>
          <w:tcPr>
            <w:tcW w:w="2378" w:type="dxa"/>
          </w:tcPr>
          <w:p>
            <w:pPr>
              <w:pStyle w:val="TableParagraph"/>
              <w:spacing w:line="242" w:lineRule="auto"/>
              <w:ind w:left="89" w:right="346"/>
              <w:rPr>
                <w:sz w:val="15"/>
              </w:rPr>
            </w:pPr>
            <w:r>
              <w:rPr>
                <w:sz w:val="15"/>
              </w:rPr>
              <w:t>No procede hacer ningún requerimiento al centro gestor.</w:t>
            </w:r>
          </w:p>
          <w:p>
            <w:pPr>
              <w:pStyle w:val="TableParagraph"/>
              <w:spacing w:line="182" w:lineRule="exact"/>
              <w:ind w:left="89"/>
              <w:rPr>
                <w:sz w:val="15"/>
              </w:rPr>
            </w:pPr>
            <w:r>
              <w:rPr>
                <w:sz w:val="15"/>
              </w:rPr>
              <w:t>No existen indicios de quebranto al</w:t>
            </w:r>
          </w:p>
          <w:p>
            <w:pPr>
              <w:pStyle w:val="TableParagraph"/>
              <w:spacing w:line="162" w:lineRule="exact" w:before="1"/>
              <w:ind w:left="89"/>
              <w:rPr>
                <w:sz w:val="15"/>
              </w:rPr>
            </w:pPr>
            <w:r>
              <w:rPr>
                <w:sz w:val="15"/>
              </w:rPr>
              <w:t>tesoro público</w:t>
            </w:r>
          </w:p>
        </w:tc>
        <w:tc>
          <w:tcPr>
            <w:tcW w:w="4645" w:type="dxa"/>
          </w:tcPr>
          <w:p>
            <w:pPr>
              <w:pStyle w:val="TableParagraph"/>
              <w:spacing w:line="242" w:lineRule="auto"/>
              <w:ind w:left="89" w:right="60"/>
              <w:rPr>
                <w:sz w:val="15"/>
              </w:rPr>
            </w:pPr>
            <w:r>
              <w:rPr>
                <w:color w:val="1A1A1A"/>
                <w:sz w:val="15"/>
              </w:rPr>
              <w:t>16/409. Imposibilidad de verificar los datos incluidos en las certificaciones.</w:t>
            </w:r>
          </w:p>
          <w:p>
            <w:pPr>
              <w:pStyle w:val="TableParagraph"/>
              <w:spacing w:line="182" w:lineRule="exact"/>
              <w:ind w:left="89"/>
              <w:rPr>
                <w:sz w:val="15"/>
              </w:rPr>
            </w:pPr>
            <w:r>
              <w:rPr>
                <w:color w:val="1A1A1A"/>
                <w:sz w:val="15"/>
              </w:rPr>
              <w:t>16/644. Abono de obras ejecutadas y abonadas no incluidas en proyecto</w:t>
            </w:r>
          </w:p>
          <w:p>
            <w:pPr>
              <w:pStyle w:val="TableParagraph"/>
              <w:spacing w:line="162" w:lineRule="exact" w:before="1"/>
              <w:ind w:left="89"/>
              <w:rPr>
                <w:sz w:val="15"/>
              </w:rPr>
            </w:pPr>
            <w:r>
              <w:rPr>
                <w:color w:val="1A1A1A"/>
                <w:sz w:val="15"/>
              </w:rPr>
              <w:t>aprobado.</w:t>
            </w:r>
          </w:p>
        </w:tc>
      </w:tr>
      <w:tr>
        <w:trPr>
          <w:trHeight w:val="1104" w:hRule="atLeast"/>
        </w:trPr>
        <w:tc>
          <w:tcPr>
            <w:tcW w:w="2378" w:type="dxa"/>
          </w:tcPr>
          <w:p>
            <w:pPr>
              <w:pStyle w:val="TableParagraph"/>
              <w:spacing w:line="242" w:lineRule="auto"/>
              <w:ind w:left="89" w:right="181"/>
              <w:rPr>
                <w:sz w:val="15"/>
              </w:rPr>
            </w:pPr>
            <w:r>
              <w:rPr>
                <w:sz w:val="15"/>
              </w:rPr>
              <w:t>No procede hacer ningún requerimiento al centro  gestor. Las deficiencias del expediente eran de carácter procedimental</w:t>
            </w:r>
            <w:r>
              <w:rPr>
                <w:spacing w:val="2"/>
                <w:sz w:val="15"/>
              </w:rPr>
              <w:t> </w:t>
            </w:r>
            <w:r>
              <w:rPr>
                <w:sz w:val="15"/>
              </w:rPr>
              <w:t>y</w:t>
            </w:r>
          </w:p>
          <w:p>
            <w:pPr>
              <w:pStyle w:val="TableParagraph"/>
              <w:spacing w:line="180" w:lineRule="atLeast"/>
              <w:ind w:left="89" w:right="130"/>
              <w:rPr>
                <w:sz w:val="15"/>
              </w:rPr>
            </w:pPr>
            <w:r>
              <w:rPr>
                <w:sz w:val="15"/>
              </w:rPr>
              <w:t>no existen indicios de quebranto al tesoro público</w:t>
            </w:r>
          </w:p>
        </w:tc>
        <w:tc>
          <w:tcPr>
            <w:tcW w:w="4645" w:type="dxa"/>
          </w:tcPr>
          <w:p>
            <w:pPr>
              <w:pStyle w:val="TableParagraph"/>
              <w:spacing w:line="182" w:lineRule="exact"/>
              <w:ind w:left="89"/>
              <w:rPr>
                <w:sz w:val="15"/>
              </w:rPr>
            </w:pPr>
            <w:r>
              <w:rPr>
                <w:color w:val="1A1A1A"/>
                <w:sz w:val="15"/>
              </w:rPr>
              <w:t>12/926. Cantidades abonadas de forma indebida.</w:t>
            </w:r>
          </w:p>
          <w:p>
            <w:pPr>
              <w:pStyle w:val="TableParagraph"/>
              <w:spacing w:line="242" w:lineRule="auto" w:before="2"/>
              <w:ind w:left="89" w:right="60"/>
              <w:rPr>
                <w:sz w:val="15"/>
              </w:rPr>
            </w:pPr>
            <w:r>
              <w:rPr>
                <w:color w:val="1A1A1A"/>
                <w:sz w:val="15"/>
              </w:rPr>
              <w:t>13/1322. El CG no ha remitido la documentación que permita llevar a cabo la comprobación material.</w:t>
            </w:r>
          </w:p>
        </w:tc>
      </w:tr>
      <w:tr>
        <w:trPr>
          <w:trHeight w:val="736" w:hRule="atLeast"/>
        </w:trPr>
        <w:tc>
          <w:tcPr>
            <w:tcW w:w="2378" w:type="dxa"/>
          </w:tcPr>
          <w:p>
            <w:pPr>
              <w:pStyle w:val="TableParagraph"/>
              <w:spacing w:line="242" w:lineRule="auto"/>
              <w:ind w:left="89" w:right="191"/>
              <w:rPr>
                <w:sz w:val="15"/>
              </w:rPr>
            </w:pPr>
            <w:r>
              <w:rPr>
                <w:sz w:val="15"/>
              </w:rPr>
              <w:t>Propuesta: hacer constar en el expediente la prescripción de los derechos de la Hacienda Pública a</w:t>
            </w:r>
          </w:p>
          <w:p>
            <w:pPr>
              <w:pStyle w:val="TableParagraph"/>
              <w:spacing w:line="161" w:lineRule="exact"/>
              <w:ind w:left="89"/>
              <w:rPr>
                <w:sz w:val="15"/>
              </w:rPr>
            </w:pPr>
            <w:r>
              <w:rPr>
                <w:sz w:val="15"/>
              </w:rPr>
              <w:t>liquidar créditos a su favor.</w:t>
            </w:r>
          </w:p>
        </w:tc>
        <w:tc>
          <w:tcPr>
            <w:tcW w:w="4645" w:type="dxa"/>
          </w:tcPr>
          <w:p>
            <w:pPr>
              <w:pStyle w:val="TableParagraph"/>
              <w:spacing w:line="242" w:lineRule="auto"/>
              <w:ind w:left="89" w:right="80"/>
              <w:jc w:val="both"/>
              <w:rPr>
                <w:sz w:val="15"/>
              </w:rPr>
            </w:pPr>
            <w:r>
              <w:rPr>
                <w:color w:val="1A1A1A"/>
                <w:sz w:val="15"/>
              </w:rPr>
              <w:t>14/252. La DG de recursos económicos, con fundamento en la propuesta de la IGCAC en escrito de 22 de septiembre de 2022, declara la prescripción por Resolución de 12 de julio de 2023.</w:t>
            </w:r>
          </w:p>
        </w:tc>
      </w:tr>
    </w:tbl>
    <w:p>
      <w:pPr>
        <w:pStyle w:val="BodyText"/>
      </w:pPr>
    </w:p>
    <w:p>
      <w:pPr>
        <w:pStyle w:val="BodyText"/>
        <w:spacing w:before="8"/>
        <w:rPr>
          <w:sz w:val="19"/>
        </w:rPr>
      </w:pPr>
    </w:p>
    <w:p>
      <w:pPr>
        <w:pStyle w:val="BodyText"/>
        <w:ind w:left="8760" w:right="973"/>
        <w:jc w:val="center"/>
      </w:pPr>
      <w:r>
        <w:rPr/>
        <w:t>243</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521" name="image5.png"/>
                  <wp:cNvGraphicFramePr>
                    <a:graphicFrameLocks noChangeAspect="1"/>
                  </wp:cNvGraphicFramePr>
                  <a:graphic>
                    <a:graphicData uri="http://schemas.openxmlformats.org/drawingml/2006/picture">
                      <pic:pic>
                        <pic:nvPicPr>
                          <pic:cNvPr id="522"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245/247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spacing w:before="5"/>
        <w:rPr>
          <w:b/>
          <w:sz w:val="8"/>
        </w:rPr>
      </w:pPr>
    </w:p>
    <w:p>
      <w:pPr>
        <w:spacing w:before="60"/>
        <w:ind w:left="2299" w:right="0" w:firstLine="0"/>
        <w:jc w:val="left"/>
        <w:rPr>
          <w:b/>
          <w:sz w:val="20"/>
        </w:rPr>
      </w:pPr>
      <w:r>
        <w:rPr>
          <w:b/>
          <w:sz w:val="20"/>
          <w:u w:val="single"/>
        </w:rPr>
        <w:t>ALEGACIONES DE LA FUNDACIÓN CANARIA DE JUVENTUD IDEO</w:t>
      </w:r>
    </w:p>
    <w:p>
      <w:pPr>
        <w:pStyle w:val="BodyText"/>
        <w:spacing w:before="8"/>
        <w:rPr>
          <w:b/>
          <w:sz w:val="11"/>
        </w:rPr>
      </w:pPr>
    </w:p>
    <w:p>
      <w:pPr>
        <w:pStyle w:val="BodyText"/>
        <w:spacing w:before="61"/>
        <w:ind w:left="2299" w:right="1341"/>
        <w:jc w:val="both"/>
      </w:pPr>
      <w:r>
        <w:rPr/>
        <w:t>Mediante escrito de 15/12/2023 (RE 1847), fuera del plazo concedido, se reciben las alegaciones de la Fundación IDEO, las cuales se analizan y su contestación se incorpora al presente documento.</w:t>
      </w:r>
    </w:p>
    <w:p>
      <w:pPr>
        <w:pStyle w:val="BodyText"/>
        <w:spacing w:before="11"/>
        <w:rPr>
          <w:sz w:val="16"/>
        </w:rPr>
      </w:pPr>
    </w:p>
    <w:p>
      <w:pPr>
        <w:pStyle w:val="Heading1"/>
        <w:spacing w:before="1"/>
        <w:ind w:left="2299"/>
        <w:jc w:val="both"/>
      </w:pPr>
      <w:r>
        <w:rPr/>
        <w:t>Alegación nº 1</w:t>
      </w:r>
      <w:r>
        <w:rPr>
          <w:b w:val="0"/>
        </w:rPr>
        <w:t>: </w:t>
      </w:r>
      <w:r>
        <w:rPr/>
        <w:t>referida a la conclusión nº 43 y al epígrafe 5.3.4.</w:t>
      </w:r>
    </w:p>
    <w:p>
      <w:pPr>
        <w:pStyle w:val="BodyText"/>
        <w:spacing w:before="7"/>
        <w:rPr>
          <w:b/>
          <w:sz w:val="16"/>
        </w:rPr>
      </w:pPr>
    </w:p>
    <w:p>
      <w:pPr>
        <w:pStyle w:val="BodyText"/>
        <w:spacing w:line="242" w:lineRule="auto"/>
        <w:ind w:left="2299" w:right="1339"/>
        <w:jc w:val="both"/>
      </w:pPr>
      <w:r>
        <w:rPr>
          <w:b/>
        </w:rPr>
        <w:t>Resumen: </w:t>
      </w:r>
      <w:r>
        <w:rPr/>
        <w:t>Esta conclusión referida a que IDEO no ha rendido información suficiente de lo preceptuado en el art. 58.2 LPGCAC para 2022, en relación al carácter excepcional y para cobertura de necesidades urgentes e inaplazables de las contrataciones temporales. Con la alegación la Fundación justifica los motivos de la excepcionalidad y urgencia en la contratación de personal temporal en diferentes causas. La fundación pone</w:t>
      </w:r>
      <w:r>
        <w:rPr>
          <w:spacing w:val="-12"/>
        </w:rPr>
        <w:t> </w:t>
      </w:r>
      <w:r>
        <w:rPr/>
        <w:t>también</w:t>
      </w:r>
      <w:r>
        <w:rPr>
          <w:spacing w:val="-8"/>
        </w:rPr>
        <w:t> </w:t>
      </w:r>
      <w:r>
        <w:rPr/>
        <w:t>de</w:t>
      </w:r>
      <w:r>
        <w:rPr>
          <w:spacing w:val="-10"/>
        </w:rPr>
        <w:t> </w:t>
      </w:r>
      <w:r>
        <w:rPr/>
        <w:t>manifiesto</w:t>
      </w:r>
      <w:r>
        <w:rPr>
          <w:spacing w:val="-7"/>
        </w:rPr>
        <w:t> </w:t>
      </w:r>
      <w:r>
        <w:rPr/>
        <w:t>la</w:t>
      </w:r>
      <w:r>
        <w:rPr>
          <w:spacing w:val="-9"/>
        </w:rPr>
        <w:t> </w:t>
      </w:r>
      <w:r>
        <w:rPr/>
        <w:t>situación</w:t>
      </w:r>
      <w:r>
        <w:rPr>
          <w:spacing w:val="-8"/>
        </w:rPr>
        <w:t> </w:t>
      </w:r>
      <w:r>
        <w:rPr/>
        <w:t>actual</w:t>
      </w:r>
      <w:r>
        <w:rPr>
          <w:spacing w:val="-7"/>
        </w:rPr>
        <w:t> </w:t>
      </w:r>
      <w:r>
        <w:rPr/>
        <w:t>de</w:t>
      </w:r>
      <w:r>
        <w:rPr>
          <w:spacing w:val="-9"/>
        </w:rPr>
        <w:t> </w:t>
      </w:r>
      <w:r>
        <w:rPr/>
        <w:t>los</w:t>
      </w:r>
      <w:r>
        <w:rPr>
          <w:spacing w:val="-8"/>
        </w:rPr>
        <w:t> </w:t>
      </w:r>
      <w:r>
        <w:rPr/>
        <w:t>centros,</w:t>
      </w:r>
      <w:r>
        <w:rPr>
          <w:spacing w:val="-9"/>
        </w:rPr>
        <w:t> </w:t>
      </w:r>
      <w:r>
        <w:rPr/>
        <w:t>que</w:t>
      </w:r>
      <w:r>
        <w:rPr>
          <w:spacing w:val="-10"/>
        </w:rPr>
        <w:t> </w:t>
      </w:r>
      <w:r>
        <w:rPr/>
        <w:t>hace</w:t>
      </w:r>
      <w:r>
        <w:rPr>
          <w:spacing w:val="-9"/>
        </w:rPr>
        <w:t> </w:t>
      </w:r>
      <w:r>
        <w:rPr/>
        <w:t>necesario</w:t>
      </w:r>
      <w:r>
        <w:rPr>
          <w:spacing w:val="-6"/>
        </w:rPr>
        <w:t> </w:t>
      </w:r>
      <w:r>
        <w:rPr/>
        <w:t>contar de forma urgente con personal que realice tareas asistenciales y, garantice la intervención educativa y</w:t>
      </w:r>
      <w:r>
        <w:rPr>
          <w:spacing w:val="-4"/>
        </w:rPr>
        <w:t> </w:t>
      </w:r>
      <w:r>
        <w:rPr/>
        <w:t>terapéutica.</w:t>
      </w:r>
    </w:p>
    <w:p>
      <w:pPr>
        <w:pStyle w:val="BodyText"/>
        <w:spacing w:before="3"/>
        <w:rPr>
          <w:sz w:val="16"/>
        </w:rPr>
      </w:pPr>
    </w:p>
    <w:p>
      <w:pPr>
        <w:pStyle w:val="BodyText"/>
        <w:spacing w:line="242" w:lineRule="auto"/>
        <w:ind w:left="2299" w:right="1338"/>
        <w:jc w:val="both"/>
      </w:pPr>
      <w:r>
        <w:rPr/>
        <w:t>Las plantillas han de mantenerse con independencia del nivel efectivo de ocupación diario en todos los contextos residenciales del Programa de Justicia Juvenil, que han de conservar una estabilidad mínima que garantice la seguridad y la atención integral (socioeducativa y psicoterapéutica). Todo ello en el marco de la Resolución de la Dirección General de Protección a la Infancia y la Familia, por la que se aprobó el Organigrama General de los Centros y lo establecido en su anexo, cláusula primera. Desde el año 2012 hasta el momento actual, la fundación alega que ha ido atendiendo a la citada Resolución, para ir dando cumplimiento a lo fijado, de forma progresiva, sobre el número de puestos y categorías</w:t>
      </w:r>
      <w:r>
        <w:rPr>
          <w:spacing w:val="-3"/>
        </w:rPr>
        <w:t> </w:t>
      </w:r>
      <w:r>
        <w:rPr/>
        <w:t>profesionales.</w:t>
      </w:r>
    </w:p>
    <w:p>
      <w:pPr>
        <w:pStyle w:val="BodyText"/>
        <w:spacing w:before="2"/>
        <w:rPr>
          <w:sz w:val="16"/>
        </w:rPr>
      </w:pPr>
    </w:p>
    <w:p>
      <w:pPr>
        <w:pStyle w:val="BodyText"/>
        <w:ind w:left="2299" w:right="1347"/>
        <w:jc w:val="both"/>
      </w:pPr>
      <w:r>
        <w:rPr/>
        <w:t>Por todo lo anterior la fundación considera justificada la excepcionalidad y urgencia en las contrataciones de personal.</w:t>
      </w:r>
    </w:p>
    <w:p>
      <w:pPr>
        <w:pStyle w:val="BodyText"/>
        <w:spacing w:before="9"/>
        <w:rPr>
          <w:sz w:val="16"/>
        </w:rPr>
      </w:pPr>
    </w:p>
    <w:p>
      <w:pPr>
        <w:pStyle w:val="BodyText"/>
        <w:spacing w:before="1"/>
        <w:ind w:left="2299" w:right="1346"/>
        <w:jc w:val="both"/>
      </w:pPr>
      <w:r>
        <w:rPr>
          <w:b/>
        </w:rPr>
        <w:t>Contestación: </w:t>
      </w:r>
      <w:r>
        <w:rPr/>
        <w:t>Se acepta la alegación al justificar de forma genérica para el conjunto de las contrataciones de personal, la excepcionalidad y urgencia de dichas contrataciones realizadas por la Fundación.</w:t>
      </w:r>
    </w:p>
    <w:p>
      <w:pPr>
        <w:pStyle w:val="BodyText"/>
        <w:spacing w:before="11"/>
        <w:rPr>
          <w:sz w:val="16"/>
        </w:rPr>
      </w:pPr>
    </w:p>
    <w:p>
      <w:pPr>
        <w:pStyle w:val="BodyText"/>
        <w:ind w:left="2299"/>
        <w:jc w:val="both"/>
      </w:pPr>
      <w:r>
        <w:rPr/>
        <w:t>Por todo ello, se elimina la conclusión nº 43.</w:t>
      </w:r>
    </w:p>
    <w:p>
      <w:pPr>
        <w:pStyle w:val="BodyText"/>
        <w:spacing w:before="8"/>
        <w:rPr>
          <w:sz w:val="16"/>
        </w:rPr>
      </w:pPr>
    </w:p>
    <w:p>
      <w:pPr>
        <w:spacing w:before="0"/>
        <w:ind w:left="2299" w:right="1341" w:firstLine="0"/>
        <w:jc w:val="both"/>
        <w:rPr>
          <w:sz w:val="20"/>
        </w:rPr>
      </w:pPr>
      <w:r>
        <w:rPr>
          <w:sz w:val="20"/>
        </w:rPr>
        <w:t>También se modifica el último párrafo del punto 9, del epígrafe 5.3.4 del Informe, que quedaría de la siguiente manera: </w:t>
      </w:r>
      <w:r>
        <w:rPr>
          <w:i/>
          <w:sz w:val="20"/>
        </w:rPr>
        <w:t>“En relación con lo recogido en el art. 58.2, sobre la </w:t>
      </w:r>
      <w:r>
        <w:rPr>
          <w:i/>
          <w:sz w:val="20"/>
        </w:rPr>
        <w:t>excepcionalidad y cobertura de las necesidades urgentes e inaplazables al que han de someterse las contrataciones temporales, en general, para la muestra seleccionada, se cumple con el citado precepto</w:t>
      </w:r>
      <w:r>
        <w:rPr>
          <w:sz w:val="20"/>
        </w:rPr>
        <w:t>.”</w:t>
      </w:r>
    </w:p>
    <w:p>
      <w:pPr>
        <w:pStyle w:val="BodyText"/>
      </w:pPr>
    </w:p>
    <w:p>
      <w:pPr>
        <w:pStyle w:val="BodyText"/>
        <w:spacing w:before="9"/>
        <w:rPr>
          <w:sz w:val="23"/>
        </w:rPr>
      </w:pPr>
    </w:p>
    <w:p>
      <w:pPr>
        <w:pStyle w:val="BodyText"/>
        <w:spacing w:before="61"/>
        <w:ind w:left="8760" w:right="973"/>
        <w:jc w:val="center"/>
      </w:pPr>
      <w:r>
        <w:rPr/>
        <w:t>244</w:t>
      </w:r>
    </w:p>
    <w:p>
      <w:pPr>
        <w:pStyle w:val="Heading1"/>
        <w:spacing w:before="2"/>
        <w:ind w:left="2277" w:right="1324"/>
      </w:pPr>
      <w:r>
        <w:rPr>
          <w:u w:val="single"/>
        </w:rPr>
        <w:t>CA-001-2023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after="1"/>
        <w:rPr>
          <w:b/>
          <w:sz w:val="19"/>
        </w:rPr>
      </w:pP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7"/>
        <w:gridCol w:w="5862"/>
        <w:gridCol w:w="1675"/>
        <w:gridCol w:w="1489"/>
      </w:tblGrid>
      <w:tr>
        <w:trPr>
          <w:trHeight w:val="186" w:hRule="atLeast"/>
        </w:trPr>
        <w:tc>
          <w:tcPr>
            <w:tcW w:w="1117" w:type="dxa"/>
            <w:shd w:val="clear" w:color="auto" w:fill="F0F0F0"/>
          </w:tcPr>
          <w:p>
            <w:pPr>
              <w:pStyle w:val="TableParagraph"/>
              <w:spacing w:before="28"/>
              <w:ind w:left="213"/>
              <w:rPr>
                <w:rFonts w:ascii="Arial"/>
                <w:b/>
                <w:sz w:val="11"/>
              </w:rPr>
            </w:pPr>
            <w:r>
              <w:rPr>
                <w:rFonts w:ascii="Arial"/>
                <w:b/>
                <w:sz w:val="11"/>
              </w:rPr>
              <w:t>Firmado por:</w:t>
            </w:r>
          </w:p>
        </w:tc>
        <w:tc>
          <w:tcPr>
            <w:tcW w:w="5862" w:type="dxa"/>
          </w:tcPr>
          <w:p>
            <w:pPr>
              <w:pStyle w:val="TableParagraph"/>
              <w:spacing w:before="28"/>
              <w:ind w:left="59"/>
              <w:rPr>
                <w:rFonts w:ascii="Arial" w:hAnsi="Arial"/>
                <w:sz w:val="11"/>
              </w:rPr>
            </w:pPr>
            <w:r>
              <w:rPr>
                <w:rFonts w:ascii="Arial" w:hAnsi="Arial"/>
                <w:sz w:val="11"/>
              </w:rPr>
              <w:t>PEDRO PACHECO GONZÁLEZ - Presidente</w:t>
            </w:r>
          </w:p>
        </w:tc>
        <w:tc>
          <w:tcPr>
            <w:tcW w:w="1675" w:type="dxa"/>
          </w:tcPr>
          <w:p>
            <w:pPr>
              <w:pStyle w:val="TableParagraph"/>
              <w:spacing w:before="28"/>
              <w:ind w:left="59"/>
              <w:rPr>
                <w:rFonts w:ascii="Arial"/>
                <w:sz w:val="11"/>
              </w:rPr>
            </w:pPr>
            <w:r>
              <w:rPr>
                <w:rFonts w:ascii="Arial"/>
                <w:sz w:val="11"/>
              </w:rPr>
              <w:t>Fecha: 29-12-2023 10:26:53</w:t>
            </w:r>
          </w:p>
        </w:tc>
        <w:tc>
          <w:tcPr>
            <w:tcW w:w="1489" w:type="dxa"/>
            <w:vMerge w:val="restart"/>
          </w:tcPr>
          <w:p>
            <w:pPr>
              <w:pStyle w:val="TableParagraph"/>
              <w:spacing w:before="9"/>
              <w:rPr>
                <w:b/>
                <w:sz w:val="9"/>
              </w:rPr>
            </w:pPr>
          </w:p>
          <w:p>
            <w:pPr>
              <w:pStyle w:val="TableParagraph"/>
              <w:ind w:left="325"/>
              <w:rPr>
                <w:sz w:val="20"/>
              </w:rPr>
            </w:pPr>
            <w:r>
              <w:rPr>
                <w:sz w:val="20"/>
              </w:rPr>
              <w:drawing>
                <wp:inline distT="0" distB="0" distL="0" distR="0">
                  <wp:extent cx="514350" cy="514350"/>
                  <wp:effectExtent l="0" t="0" r="0" b="0"/>
                  <wp:docPr id="523" name="image5.png"/>
                  <wp:cNvGraphicFramePr>
                    <a:graphicFrameLocks noChangeAspect="1"/>
                  </wp:cNvGraphicFramePr>
                  <a:graphic>
                    <a:graphicData uri="http://schemas.openxmlformats.org/drawingml/2006/picture">
                      <pic:pic>
                        <pic:nvPicPr>
                          <pic:cNvPr id="524" name="image5.png"/>
                          <pic:cNvPicPr/>
                        </pic:nvPicPr>
                        <pic:blipFill>
                          <a:blip r:embed="rId8" cstate="print"/>
                          <a:stretch>
                            <a:fillRect/>
                          </a:stretch>
                        </pic:blipFill>
                        <pic:spPr>
                          <a:xfrm>
                            <a:off x="0" y="0"/>
                            <a:ext cx="514350" cy="514350"/>
                          </a:xfrm>
                          <a:prstGeom prst="rect">
                            <a:avLst/>
                          </a:prstGeom>
                        </pic:spPr>
                      </pic:pic>
                    </a:graphicData>
                  </a:graphic>
                </wp:inline>
              </w:drawing>
            </w:r>
            <w:r>
              <w:rPr>
                <w:sz w:val="20"/>
              </w:rPr>
            </w:r>
          </w:p>
        </w:tc>
      </w:tr>
      <w:tr>
        <w:trPr>
          <w:trHeight w:val="186" w:hRule="atLeast"/>
        </w:trPr>
        <w:tc>
          <w:tcPr>
            <w:tcW w:w="1117" w:type="dxa"/>
            <w:shd w:val="clear" w:color="auto" w:fill="F0F0F0"/>
          </w:tcPr>
          <w:p>
            <w:pPr>
              <w:pStyle w:val="TableParagraph"/>
              <w:spacing w:before="28"/>
              <w:ind w:left="167"/>
              <w:rPr>
                <w:rFonts w:ascii="Arial"/>
                <w:b/>
                <w:sz w:val="11"/>
              </w:rPr>
            </w:pPr>
            <w:r>
              <w:rPr>
                <w:rFonts w:ascii="Arial"/>
                <w:b/>
                <w:sz w:val="11"/>
              </w:rPr>
              <w:t>Registrado en:</w:t>
            </w:r>
          </w:p>
        </w:tc>
        <w:tc>
          <w:tcPr>
            <w:tcW w:w="5862" w:type="dxa"/>
          </w:tcPr>
          <w:p>
            <w:pPr>
              <w:pStyle w:val="TableParagraph"/>
              <w:spacing w:before="28"/>
              <w:ind w:left="59"/>
              <w:rPr>
                <w:rFonts w:ascii="Arial" w:hAnsi="Arial"/>
                <w:sz w:val="11"/>
              </w:rPr>
            </w:pPr>
            <w:r>
              <w:rPr>
                <w:rFonts w:ascii="Arial" w:hAnsi="Arial"/>
                <w:sz w:val="11"/>
              </w:rPr>
              <w:t>SALIDA - Nº: 2023-001719</w:t>
            </w:r>
          </w:p>
        </w:tc>
        <w:tc>
          <w:tcPr>
            <w:tcW w:w="1675" w:type="dxa"/>
          </w:tcPr>
          <w:p>
            <w:pPr>
              <w:pStyle w:val="TableParagraph"/>
              <w:spacing w:before="28"/>
              <w:ind w:left="59"/>
              <w:rPr>
                <w:rFonts w:ascii="Arial"/>
                <w:sz w:val="11"/>
              </w:rPr>
            </w:pPr>
            <w:r>
              <w:rPr>
                <w:rFonts w:ascii="Arial"/>
                <w:sz w:val="11"/>
              </w:rPr>
              <w:t>Fecha: 29-12-2023 11:10</w:t>
            </w:r>
          </w:p>
        </w:tc>
        <w:tc>
          <w:tcPr>
            <w:tcW w:w="1489" w:type="dxa"/>
            <w:vMerge/>
            <w:tcBorders>
              <w:top w:val="nil"/>
            </w:tcBorders>
          </w:tcPr>
          <w:p>
            <w:pPr>
              <w:rPr>
                <w:sz w:val="2"/>
                <w:szCs w:val="2"/>
              </w:rPr>
            </w:pPr>
          </w:p>
        </w:tc>
      </w:tr>
      <w:tr>
        <w:trPr>
          <w:trHeight w:val="473" w:hRule="atLeast"/>
        </w:trPr>
        <w:tc>
          <w:tcPr>
            <w:tcW w:w="8654" w:type="dxa"/>
            <w:gridSpan w:val="3"/>
          </w:tcPr>
          <w:p>
            <w:pPr>
              <w:pStyle w:val="TableParagraph"/>
              <w:spacing w:line="352" w:lineRule="auto" w:before="78"/>
              <w:ind w:left="1347" w:right="638" w:hanging="192"/>
              <w:rPr>
                <w:rFonts w:ascii="Arial" w:hAnsi="Arial"/>
                <w:sz w:val="11"/>
              </w:rPr>
            </w:pPr>
            <w:r>
              <w:rPr>
                <w:rFonts w:ascii="Arial" w:hAnsi="Arial"/>
                <w:sz w:val="11"/>
              </w:rPr>
              <w:t>Nº expediente administrativo: 2023-000012 Código Seguro de Verificación (CSV): BA4DADD171458A55F6C5C3747CE933F4 Comprobación CSV: https://sede.acuentascanarias.org//publico/documento/BA4DADD171458A55F6C5C3747CE933F4</w:t>
            </w:r>
          </w:p>
        </w:tc>
        <w:tc>
          <w:tcPr>
            <w:tcW w:w="1489" w:type="dxa"/>
            <w:vMerge/>
            <w:tcBorders>
              <w:top w:val="nil"/>
            </w:tcBorders>
          </w:tcPr>
          <w:p>
            <w:pPr>
              <w:rPr>
                <w:sz w:val="2"/>
                <w:szCs w:val="2"/>
              </w:rPr>
            </w:pPr>
          </w:p>
        </w:tc>
      </w:tr>
      <w:tr>
        <w:trPr>
          <w:trHeight w:val="199" w:hRule="atLeast"/>
        </w:trPr>
        <w:tc>
          <w:tcPr>
            <w:tcW w:w="8654" w:type="dxa"/>
            <w:gridSpan w:val="3"/>
          </w:tcPr>
          <w:p>
            <w:pPr>
              <w:pStyle w:val="TableParagraph"/>
              <w:tabs>
                <w:tab w:pos="4599" w:val="left" w:leader="none"/>
                <w:tab w:pos="5922" w:val="left" w:leader="none"/>
              </w:tabs>
              <w:spacing w:before="30"/>
              <w:ind w:left="55"/>
              <w:rPr>
                <w:rFonts w:ascii="Arial" w:hAnsi="Arial"/>
                <w:sz w:val="11"/>
              </w:rPr>
            </w:pPr>
            <w:r>
              <w:rPr>
                <w:rFonts w:ascii="Arial" w:hAnsi="Arial"/>
                <w:sz w:val="11"/>
              </w:rPr>
              <w:t>Fecha de sellado electrónico:</w:t>
            </w:r>
            <w:r>
              <w:rPr>
                <w:rFonts w:ascii="Arial" w:hAnsi="Arial"/>
                <w:spacing w:val="19"/>
                <w:sz w:val="11"/>
              </w:rPr>
              <w:t> </w:t>
            </w:r>
            <w:r>
              <w:rPr>
                <w:rFonts w:ascii="Arial" w:hAnsi="Arial"/>
                <w:sz w:val="11"/>
              </w:rPr>
              <w:t>29-12-2023</w:t>
            </w:r>
            <w:r>
              <w:rPr>
                <w:rFonts w:ascii="Arial" w:hAnsi="Arial"/>
                <w:spacing w:val="5"/>
                <w:sz w:val="11"/>
              </w:rPr>
              <w:t> </w:t>
            </w:r>
            <w:r>
              <w:rPr>
                <w:rFonts w:ascii="Arial" w:hAnsi="Arial"/>
                <w:sz w:val="11"/>
              </w:rPr>
              <w:t>11:07:54</w:t>
              <w:tab/>
            </w:r>
            <w:r>
              <w:rPr>
                <w:rFonts w:ascii="Arial" w:hAnsi="Arial"/>
                <w:color w:val="3F3F3F"/>
                <w:position w:val="1"/>
                <w:sz w:val="11"/>
              </w:rPr>
              <w:t>-</w:t>
            </w:r>
            <w:r>
              <w:rPr>
                <w:rFonts w:ascii="Arial" w:hAnsi="Arial"/>
                <w:color w:val="3F3F3F"/>
                <w:spacing w:val="2"/>
                <w:position w:val="1"/>
                <w:sz w:val="11"/>
              </w:rPr>
              <w:t> </w:t>
            </w:r>
            <w:r>
              <w:rPr>
                <w:rFonts w:ascii="Arial" w:hAnsi="Arial"/>
                <w:color w:val="3F3F3F"/>
                <w:position w:val="1"/>
                <w:sz w:val="11"/>
              </w:rPr>
              <w:t>246/247</w:t>
            </w:r>
            <w:r>
              <w:rPr>
                <w:rFonts w:ascii="Arial" w:hAnsi="Arial"/>
                <w:color w:val="3F3F3F"/>
                <w:spacing w:val="1"/>
                <w:position w:val="1"/>
                <w:sz w:val="11"/>
              </w:rPr>
              <w:t> </w:t>
            </w:r>
            <w:r>
              <w:rPr>
                <w:rFonts w:ascii="Arial" w:hAnsi="Arial"/>
                <w:color w:val="3F3F3F"/>
                <w:position w:val="1"/>
                <w:sz w:val="11"/>
              </w:rPr>
              <w:t>-</w:t>
              <w:tab/>
            </w:r>
            <w:r>
              <w:rPr>
                <w:rFonts w:ascii="Arial" w:hAnsi="Arial"/>
                <w:sz w:val="11"/>
              </w:rPr>
              <w:t>Fecha de emisión de esta copia: 29-12-2023  11:14:28</w:t>
            </w:r>
          </w:p>
        </w:tc>
        <w:tc>
          <w:tcPr>
            <w:tcW w:w="1489" w:type="dxa"/>
            <w:vMerge/>
            <w:tcBorders>
              <w:top w:val="nil"/>
            </w:tcBorders>
          </w:tcPr>
          <w:p>
            <w:pPr>
              <w:rPr>
                <w:sz w:val="2"/>
                <w:szCs w:val="2"/>
              </w:rPr>
            </w:pPr>
          </w:p>
        </w:tc>
      </w:tr>
    </w:tbl>
    <w:p>
      <w:pPr>
        <w:spacing w:after="0"/>
        <w:rPr>
          <w:sz w:val="2"/>
          <w:szCs w:val="2"/>
        </w:rPr>
        <w:sectPr>
          <w:pgSz w:w="11900" w:h="16840"/>
          <w:pgMar w:header="869" w:footer="926" w:top="1760" w:bottom="1120" w:left="560" w:right="560"/>
        </w:sectPr>
      </w:pPr>
    </w:p>
    <w:p>
      <w:pPr>
        <w:pStyle w:val="BodyText"/>
        <w:ind w:left="2589"/>
      </w:pPr>
      <w:r>
        <w:rPr/>
        <w:drawing>
          <wp:anchor distT="0" distB="0" distL="0" distR="0" allowOverlap="1" layoutInCell="1" locked="0" behindDoc="1" simplePos="0" relativeHeight="180388864">
            <wp:simplePos x="0" y="0"/>
            <wp:positionH relativeFrom="page">
              <wp:posOffset>3481578</wp:posOffset>
            </wp:positionH>
            <wp:positionV relativeFrom="page">
              <wp:posOffset>9816210</wp:posOffset>
            </wp:positionV>
            <wp:extent cx="3146215" cy="466439"/>
            <wp:effectExtent l="0" t="0" r="0" b="0"/>
            <wp:wrapNone/>
            <wp:docPr id="525" name="image1.png"/>
            <wp:cNvGraphicFramePr>
              <a:graphicFrameLocks noChangeAspect="1"/>
            </wp:cNvGraphicFramePr>
            <a:graphic>
              <a:graphicData uri="http://schemas.openxmlformats.org/drawingml/2006/picture">
                <pic:pic>
                  <pic:nvPicPr>
                    <pic:cNvPr id="526" name="image1.png"/>
                    <pic:cNvPicPr/>
                  </pic:nvPicPr>
                  <pic:blipFill>
                    <a:blip r:embed="rId22" cstate="print"/>
                    <a:stretch>
                      <a:fillRect/>
                    </a:stretch>
                  </pic:blipFill>
                  <pic:spPr>
                    <a:xfrm>
                      <a:off x="0" y="0"/>
                      <a:ext cx="3146215" cy="466439"/>
                    </a:xfrm>
                    <a:prstGeom prst="rect">
                      <a:avLst/>
                    </a:prstGeom>
                  </pic:spPr>
                </pic:pic>
              </a:graphicData>
            </a:graphic>
          </wp:anchor>
        </w:drawing>
      </w:r>
      <w:r>
        <w:rPr/>
        <w:drawing>
          <wp:anchor distT="0" distB="0" distL="0" distR="0" allowOverlap="1" layoutInCell="1" locked="0" behindDoc="1" simplePos="0" relativeHeight="180389888">
            <wp:simplePos x="0" y="0"/>
            <wp:positionH relativeFrom="page">
              <wp:posOffset>6735117</wp:posOffset>
            </wp:positionH>
            <wp:positionV relativeFrom="page">
              <wp:posOffset>9880018</wp:posOffset>
            </wp:positionV>
            <wp:extent cx="338328" cy="338328"/>
            <wp:effectExtent l="0" t="0" r="0" b="0"/>
            <wp:wrapNone/>
            <wp:docPr id="527" name="image14.png"/>
            <wp:cNvGraphicFramePr>
              <a:graphicFrameLocks noChangeAspect="1"/>
            </wp:cNvGraphicFramePr>
            <a:graphic>
              <a:graphicData uri="http://schemas.openxmlformats.org/drawingml/2006/picture">
                <pic:pic>
                  <pic:nvPicPr>
                    <pic:cNvPr id="528" name="image14.png"/>
                    <pic:cNvPicPr/>
                  </pic:nvPicPr>
                  <pic:blipFill>
                    <a:blip r:embed="rId49" cstate="print"/>
                    <a:stretch>
                      <a:fillRect/>
                    </a:stretch>
                  </pic:blipFill>
                  <pic:spPr>
                    <a:xfrm>
                      <a:off x="0" y="0"/>
                      <a:ext cx="338328" cy="338328"/>
                    </a:xfrm>
                    <a:prstGeom prst="rect">
                      <a:avLst/>
                    </a:prstGeom>
                  </pic:spPr>
                </pic:pic>
              </a:graphicData>
            </a:graphic>
          </wp:anchor>
        </w:drawing>
      </w:r>
      <w:r>
        <w:rPr/>
        <w:drawing>
          <wp:inline distT="0" distB="0" distL="0" distR="0">
            <wp:extent cx="1449266" cy="524255"/>
            <wp:effectExtent l="0" t="0" r="0" b="0"/>
            <wp:docPr id="529" name="image7.jpeg"/>
            <wp:cNvGraphicFramePr>
              <a:graphicFrameLocks noChangeAspect="1"/>
            </wp:cNvGraphicFramePr>
            <a:graphic>
              <a:graphicData uri="http://schemas.openxmlformats.org/drawingml/2006/picture">
                <pic:pic>
                  <pic:nvPicPr>
                    <pic:cNvPr id="530" name="image7.jpeg"/>
                    <pic:cNvPicPr/>
                  </pic:nvPicPr>
                  <pic:blipFill>
                    <a:blip r:embed="rId21" cstate="print"/>
                    <a:stretch>
                      <a:fillRect/>
                    </a:stretch>
                  </pic:blipFill>
                  <pic:spPr>
                    <a:xfrm>
                      <a:off x="0" y="0"/>
                      <a:ext cx="1449266" cy="524255"/>
                    </a:xfrm>
                    <a:prstGeom prst="rect">
                      <a:avLst/>
                    </a:prstGeom>
                  </pic:spPr>
                </pic:pic>
              </a:graphicData>
            </a:graphic>
          </wp:inline>
        </w:drawing>
      </w:r>
      <w:r>
        <w:rPr/>
      </w:r>
    </w:p>
    <w:p>
      <w:pPr>
        <w:pStyle w:val="BodyText"/>
        <w:spacing w:before="4"/>
        <w:rPr>
          <w:b/>
          <w:sz w:val="7"/>
        </w:rPr>
      </w:pPr>
    </w:p>
    <w:p>
      <w:pPr>
        <w:spacing w:before="66"/>
        <w:ind w:left="2589" w:right="0" w:firstLine="0"/>
        <w:jc w:val="both"/>
        <w:rPr>
          <w:b/>
          <w:sz w:val="18"/>
        </w:rPr>
      </w:pPr>
      <w:r>
        <w:rPr>
          <w:b/>
          <w:sz w:val="18"/>
        </w:rPr>
        <w:t>Alegación nº 2: referida a la conclusión nº 45.</w:t>
      </w:r>
    </w:p>
    <w:p>
      <w:pPr>
        <w:pStyle w:val="BodyText"/>
        <w:spacing w:before="2"/>
        <w:rPr>
          <w:b/>
          <w:sz w:val="15"/>
        </w:rPr>
      </w:pPr>
    </w:p>
    <w:p>
      <w:pPr>
        <w:spacing w:line="242" w:lineRule="auto" w:before="0"/>
        <w:ind w:left="2589" w:right="1721" w:firstLine="0"/>
        <w:jc w:val="both"/>
        <w:rPr>
          <w:sz w:val="18"/>
        </w:rPr>
      </w:pPr>
      <w:r>
        <w:rPr>
          <w:b/>
          <w:sz w:val="18"/>
        </w:rPr>
        <w:t>Resumen</w:t>
      </w:r>
      <w:r>
        <w:rPr>
          <w:sz w:val="18"/>
        </w:rPr>
        <w:t>: En cuanto a la exigencia legal de remisión a la Audiencia de Cuentas de los extractos de los expedientes y de las relaciones anuales de los contratos, convenios y encargos, IDEO manifiesta su compromiso de realizar las remisiones de contratos sujetos a la Ley 9/2017, de 8 de noviembre, de Contratos del Sector Público, los contratos privados, los convenios y los encargos conforme a la Instrucción relativa a la remisión telemática a la Audiencia de Cuentas de Canarias de los extractos de los expedientes de contratación y convenios y de las relaciones anuales de los contratos, convenios y encargos a medios propios personificados celebrados por las entidades del Sector Público Autonómico de la Comunidad Autónoma de</w:t>
      </w:r>
      <w:r>
        <w:rPr>
          <w:spacing w:val="9"/>
          <w:sz w:val="18"/>
        </w:rPr>
        <w:t> </w:t>
      </w:r>
      <w:r>
        <w:rPr>
          <w:sz w:val="18"/>
        </w:rPr>
        <w:t>Canarias.</w:t>
      </w:r>
    </w:p>
    <w:p>
      <w:pPr>
        <w:pStyle w:val="BodyText"/>
        <w:spacing w:before="9"/>
        <w:rPr>
          <w:sz w:val="15"/>
        </w:rPr>
      </w:pPr>
    </w:p>
    <w:p>
      <w:pPr>
        <w:spacing w:line="242" w:lineRule="auto" w:before="0"/>
        <w:ind w:left="2589" w:right="1725" w:firstLine="0"/>
        <w:jc w:val="both"/>
        <w:rPr>
          <w:sz w:val="18"/>
        </w:rPr>
      </w:pPr>
      <w:r>
        <w:rPr>
          <w:sz w:val="18"/>
        </w:rPr>
        <w:t>La fundación añade que la relación de contratos menores relativos al ejercicio 2022 se hizo llegar mediante registro electrónico a la Audiencia de Cuentas en fecha 15 de febrero de 2022.</w:t>
      </w:r>
    </w:p>
    <w:p>
      <w:pPr>
        <w:pStyle w:val="BodyText"/>
        <w:spacing w:before="1"/>
        <w:rPr>
          <w:sz w:val="15"/>
        </w:rPr>
      </w:pPr>
    </w:p>
    <w:p>
      <w:pPr>
        <w:spacing w:line="242" w:lineRule="auto" w:before="1"/>
        <w:ind w:left="2589" w:right="1722" w:firstLine="0"/>
        <w:jc w:val="both"/>
        <w:rPr>
          <w:sz w:val="18"/>
        </w:rPr>
      </w:pPr>
      <w:r>
        <w:rPr>
          <w:b/>
          <w:sz w:val="18"/>
        </w:rPr>
        <w:t>Contestación</w:t>
      </w:r>
      <w:r>
        <w:rPr>
          <w:sz w:val="18"/>
        </w:rPr>
        <w:t>: La alegación no contradice el informe, no obstante, IDEO manifiesta su compromiso de remitir los contratos sujetos a la Ley 9/2017, de 8 de noviembre, de Contratos del Sector Público, en los años siguientes.</w:t>
      </w:r>
    </w:p>
    <w:p>
      <w:pPr>
        <w:pStyle w:val="BodyText"/>
        <w:spacing w:before="1"/>
        <w:rPr>
          <w:sz w:val="15"/>
        </w:rPr>
      </w:pPr>
    </w:p>
    <w:p>
      <w:pPr>
        <w:spacing w:before="0"/>
        <w:ind w:left="2589" w:right="0" w:firstLine="0"/>
        <w:jc w:val="both"/>
        <w:rPr>
          <w:sz w:val="18"/>
        </w:rPr>
      </w:pPr>
      <w:r>
        <w:rPr>
          <w:sz w:val="18"/>
        </w:rPr>
        <w:t>Así pues, se mantiene el contenido del Informe.</w:t>
      </w:r>
    </w:p>
    <w:p>
      <w:pPr>
        <w:pStyle w:val="BodyText"/>
        <w:rPr>
          <w:sz w:val="18"/>
        </w:rPr>
      </w:pPr>
    </w:p>
    <w:p>
      <w:pPr>
        <w:pStyle w:val="BodyText"/>
        <w:rPr>
          <w:sz w:val="18"/>
        </w:rPr>
      </w:pPr>
    </w:p>
    <w:p>
      <w:pPr>
        <w:pStyle w:val="BodyText"/>
        <w:rPr>
          <w:sz w:val="18"/>
        </w:rPr>
      </w:pPr>
    </w:p>
    <w:p>
      <w:pPr>
        <w:pStyle w:val="BodyText"/>
        <w:rPr>
          <w:sz w:val="18"/>
        </w:rPr>
      </w:pPr>
    </w:p>
    <w:p>
      <w:pPr>
        <w:spacing w:before="122"/>
        <w:ind w:left="2589" w:right="0" w:firstLine="0"/>
        <w:jc w:val="left"/>
        <w:rPr>
          <w:sz w:val="16"/>
        </w:rPr>
      </w:pPr>
      <w:r>
        <w:rPr>
          <w:b/>
          <w:w w:val="105"/>
          <w:sz w:val="16"/>
          <w:u w:val="single"/>
        </w:rPr>
        <w:t>NOTA</w:t>
      </w:r>
      <w:r>
        <w:rPr>
          <w:w w:val="105"/>
          <w:sz w:val="16"/>
        </w:rPr>
        <w:t>:</w:t>
      </w:r>
    </w:p>
    <w:p>
      <w:pPr>
        <w:pStyle w:val="BodyText"/>
        <w:spacing w:before="8"/>
        <w:rPr>
          <w:sz w:val="9"/>
        </w:rPr>
      </w:pPr>
    </w:p>
    <w:p>
      <w:pPr>
        <w:spacing w:before="74"/>
        <w:ind w:left="2589" w:right="0" w:firstLine="0"/>
        <w:jc w:val="left"/>
        <w:rPr>
          <w:sz w:val="16"/>
        </w:rPr>
      </w:pPr>
      <w:r>
        <w:rPr>
          <w:w w:val="105"/>
          <w:sz w:val="16"/>
        </w:rPr>
        <w:t>El contenido completo de las alegaciones, se encuentran alojadas en el siguiente enlace:</w:t>
      </w:r>
    </w:p>
    <w:p>
      <w:pPr>
        <w:pStyle w:val="BodyText"/>
        <w:spacing w:before="9"/>
        <w:rPr>
          <w:sz w:val="15"/>
        </w:rPr>
      </w:pPr>
    </w:p>
    <w:p>
      <w:pPr>
        <w:spacing w:line="252" w:lineRule="auto" w:before="0"/>
        <w:ind w:left="2589" w:right="1602" w:firstLine="0"/>
        <w:jc w:val="left"/>
        <w:rPr>
          <w:sz w:val="16"/>
        </w:rPr>
      </w:pPr>
      <w:r>
        <w:rPr>
          <w:color w:val="0462C1"/>
          <w:w w:val="105"/>
          <w:sz w:val="16"/>
          <w:u w:val="single" w:color="0462C1"/>
        </w:rPr>
        <w:t>https://</w:t>
      </w:r>
      <w:hyperlink r:id="rId50">
        <w:r>
          <w:rPr>
            <w:color w:val="0462C1"/>
            <w:w w:val="105"/>
            <w:sz w:val="16"/>
            <w:u w:val="single" w:color="0462C1"/>
          </w:rPr>
          <w:t>www.gobiernodecanarias.org/hacienda/intervencion/servicios/cuenta_general/index.</w:t>
        </w:r>
      </w:hyperlink>
      <w:r>
        <w:rPr>
          <w:color w:val="0462C1"/>
          <w:w w:val="105"/>
          <w:sz w:val="16"/>
        </w:rPr>
        <w:t> </w:t>
      </w:r>
      <w:r>
        <w:rPr>
          <w:color w:val="0462C1"/>
          <w:w w:val="105"/>
          <w:sz w:val="16"/>
          <w:u w:val="single" w:color="0462C1"/>
        </w:rPr>
        <w:t>htm</w:t>
      </w:r>
      <w:r>
        <w:rPr>
          <w:color w:val="0462C1"/>
          <w:w w:val="105"/>
          <w:sz w:val="16"/>
        </w:rPr>
        <w:t>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6"/>
        </w:rPr>
      </w:pPr>
    </w:p>
    <w:p>
      <w:pPr>
        <w:spacing w:before="1"/>
        <w:ind w:left="8379" w:right="1324" w:firstLine="0"/>
        <w:jc w:val="center"/>
        <w:rPr>
          <w:sz w:val="18"/>
        </w:rPr>
      </w:pPr>
      <w:r>
        <w:rPr>
          <w:sz w:val="18"/>
        </w:rPr>
        <w:t>245</w:t>
      </w:r>
    </w:p>
    <w:p>
      <w:pPr>
        <w:spacing w:before="2"/>
        <w:ind w:left="2188" w:right="1324" w:firstLine="0"/>
        <w:jc w:val="center"/>
        <w:rPr>
          <w:b/>
          <w:sz w:val="18"/>
        </w:rPr>
      </w:pPr>
      <w:r>
        <w:rPr/>
        <w:pict>
          <v:group style="position:absolute;margin-left:67.777pt;margin-top:79.991013pt;width:50.6pt;height:8.9pt;mso-position-horizontal-relative:page;mso-position-vertical-relative:paragraph;z-index:-322928640" coordorigin="1356,1600" coordsize="1012,178">
            <v:rect style="position:absolute;left:1355;top:1599;width:1012;height:111" filled="true" fillcolor="#f0f0f0" stroked="false">
              <v:fill type="solid"/>
            </v:rect>
            <v:line style="position:absolute" from="1356,1719" to="2367,1719" stroked="true" strokeweight=".84308pt" strokecolor="#f0f0f0">
              <v:stroke dashstyle="solid"/>
            </v:line>
            <v:rect style="position:absolute;left:1355;top:1727;width:1012;height:51" filled="true" fillcolor="#f0f0f0" stroked="false">
              <v:fill type="solid"/>
            </v:rect>
            <v:shape style="position:absolute;left:500;top:4156;width:1200;height:2" coordorigin="500,4156" coordsize="1200,0" path="m1356,1727l2367,1727m1356,1727l2367,1727e" filled="false" stroked="true" strokeweight=".42154pt" strokecolor="#000000">
              <v:path arrowok="t"/>
              <v:stroke dashstyle="solid"/>
            </v:shape>
            <w10:wrap type="none"/>
          </v:group>
        </w:pict>
      </w:r>
      <w:r>
        <w:rPr>
          <w:b/>
          <w:sz w:val="18"/>
          <w:u w:val="single"/>
        </w:rPr>
        <w:t>CA-001-2023</w:t>
      </w:r>
    </w:p>
    <w:p>
      <w:pPr>
        <w:pStyle w:val="BodyText"/>
        <w:rPr>
          <w:b/>
        </w:rPr>
      </w:pPr>
    </w:p>
    <w:p>
      <w:pPr>
        <w:pStyle w:val="BodyText"/>
        <w:rPr>
          <w:b/>
        </w:rPr>
      </w:pPr>
    </w:p>
    <w:p>
      <w:pPr>
        <w:pStyle w:val="BodyText"/>
        <w:rPr>
          <w:b/>
        </w:rPr>
      </w:pPr>
    </w:p>
    <w:p>
      <w:pPr>
        <w:pStyle w:val="BodyText"/>
        <w:rPr>
          <w:b/>
        </w:rPr>
      </w:pPr>
    </w:p>
    <w:p>
      <w:pPr>
        <w:pStyle w:val="BodyText"/>
        <w:spacing w:before="5"/>
        <w:rPr>
          <w:b/>
          <w:sz w:val="28"/>
        </w:rPr>
      </w:pPr>
    </w:p>
    <w:tbl>
      <w:tblPr>
        <w:tblW w:w="0" w:type="auto"/>
        <w:jc w:val="left"/>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2"/>
        <w:gridCol w:w="5311"/>
        <w:gridCol w:w="1518"/>
        <w:gridCol w:w="1349"/>
      </w:tblGrid>
      <w:tr>
        <w:trPr>
          <w:trHeight w:val="167" w:hRule="atLeast"/>
        </w:trPr>
        <w:tc>
          <w:tcPr>
            <w:tcW w:w="1012" w:type="dxa"/>
            <w:vMerge w:val="restart"/>
            <w:shd w:val="clear" w:color="auto" w:fill="F0F0F0"/>
          </w:tcPr>
          <w:p>
            <w:pPr>
              <w:pStyle w:val="TableParagraph"/>
              <w:spacing w:before="24"/>
              <w:ind w:left="193"/>
              <w:rPr>
                <w:rFonts w:ascii="Arial"/>
                <w:b/>
                <w:sz w:val="10"/>
              </w:rPr>
            </w:pPr>
            <w:r>
              <w:rPr>
                <w:rFonts w:ascii="Arial"/>
                <w:b/>
                <w:sz w:val="10"/>
              </w:rPr>
              <w:t>Firmado por:</w:t>
            </w:r>
          </w:p>
          <w:p>
            <w:pPr>
              <w:pStyle w:val="TableParagraph"/>
              <w:spacing w:line="113" w:lineRule="exact" w:before="63"/>
              <w:ind w:left="150"/>
              <w:rPr>
                <w:rFonts w:ascii="Arial"/>
                <w:b/>
                <w:sz w:val="10"/>
              </w:rPr>
            </w:pPr>
            <w:r>
              <w:rPr>
                <w:rFonts w:ascii="Arial"/>
                <w:b/>
                <w:sz w:val="10"/>
              </w:rPr>
              <w:t>Registrado en:</w:t>
            </w:r>
          </w:p>
        </w:tc>
        <w:tc>
          <w:tcPr>
            <w:tcW w:w="5311" w:type="dxa"/>
          </w:tcPr>
          <w:p>
            <w:pPr>
              <w:pStyle w:val="TableParagraph"/>
              <w:spacing w:before="24"/>
              <w:ind w:left="53"/>
              <w:rPr>
                <w:rFonts w:ascii="Arial" w:hAnsi="Arial"/>
                <w:sz w:val="10"/>
              </w:rPr>
            </w:pPr>
            <w:r>
              <w:rPr>
                <w:rFonts w:ascii="Arial" w:hAnsi="Arial"/>
                <w:sz w:val="10"/>
              </w:rPr>
              <w:t>PEDRO PACHECO GONZÁLEZ - Presidente</w:t>
            </w:r>
          </w:p>
        </w:tc>
        <w:tc>
          <w:tcPr>
            <w:tcW w:w="1518" w:type="dxa"/>
          </w:tcPr>
          <w:p>
            <w:pPr>
              <w:pStyle w:val="TableParagraph"/>
              <w:spacing w:before="24"/>
              <w:ind w:left="53"/>
              <w:rPr>
                <w:rFonts w:ascii="Arial"/>
                <w:sz w:val="10"/>
              </w:rPr>
            </w:pPr>
            <w:r>
              <w:rPr>
                <w:rFonts w:ascii="Arial"/>
                <w:sz w:val="10"/>
              </w:rPr>
              <w:t>Fecha: 29-12-2023 10:26:53</w:t>
            </w:r>
          </w:p>
        </w:tc>
        <w:tc>
          <w:tcPr>
            <w:tcW w:w="1349" w:type="dxa"/>
            <w:vMerge w:val="restart"/>
          </w:tcPr>
          <w:p>
            <w:pPr>
              <w:pStyle w:val="TableParagraph"/>
              <w:spacing w:before="9" w:after="1"/>
              <w:rPr>
                <w:b/>
                <w:sz w:val="8"/>
              </w:rPr>
            </w:pPr>
          </w:p>
          <w:p>
            <w:pPr>
              <w:pStyle w:val="TableParagraph"/>
              <w:ind w:left="293"/>
              <w:rPr>
                <w:sz w:val="20"/>
              </w:rPr>
            </w:pPr>
            <w:r>
              <w:rPr>
                <w:sz w:val="20"/>
              </w:rPr>
              <w:drawing>
                <wp:inline distT="0" distB="0" distL="0" distR="0">
                  <wp:extent cx="514349" cy="514350"/>
                  <wp:effectExtent l="0" t="0" r="0" b="0"/>
                  <wp:docPr id="531" name="image5.png"/>
                  <wp:cNvGraphicFramePr>
                    <a:graphicFrameLocks noChangeAspect="1"/>
                  </wp:cNvGraphicFramePr>
                  <a:graphic>
                    <a:graphicData uri="http://schemas.openxmlformats.org/drawingml/2006/picture">
                      <pic:pic>
                        <pic:nvPicPr>
                          <pic:cNvPr id="532" name="image5.png"/>
                          <pic:cNvPicPr/>
                        </pic:nvPicPr>
                        <pic:blipFill>
                          <a:blip r:embed="rId8" cstate="print"/>
                          <a:stretch>
                            <a:fillRect/>
                          </a:stretch>
                        </pic:blipFill>
                        <pic:spPr>
                          <a:xfrm>
                            <a:off x="0" y="0"/>
                            <a:ext cx="514349" cy="514350"/>
                          </a:xfrm>
                          <a:prstGeom prst="rect">
                            <a:avLst/>
                          </a:prstGeom>
                        </pic:spPr>
                      </pic:pic>
                    </a:graphicData>
                  </a:graphic>
                </wp:inline>
              </w:drawing>
            </w:r>
            <w:r>
              <w:rPr>
                <w:sz w:val="20"/>
              </w:rPr>
            </w:r>
          </w:p>
        </w:tc>
      </w:tr>
      <w:tr>
        <w:trPr>
          <w:trHeight w:val="157" w:hRule="atLeast"/>
        </w:trPr>
        <w:tc>
          <w:tcPr>
            <w:tcW w:w="1012" w:type="dxa"/>
            <w:vMerge/>
            <w:tcBorders>
              <w:top w:val="nil"/>
            </w:tcBorders>
            <w:shd w:val="clear" w:color="auto" w:fill="F0F0F0"/>
          </w:tcPr>
          <w:p>
            <w:pPr>
              <w:rPr>
                <w:sz w:val="2"/>
                <w:szCs w:val="2"/>
              </w:rPr>
            </w:pPr>
          </w:p>
        </w:tc>
        <w:tc>
          <w:tcPr>
            <w:tcW w:w="5311" w:type="dxa"/>
          </w:tcPr>
          <w:p>
            <w:pPr>
              <w:pStyle w:val="TableParagraph"/>
              <w:spacing w:line="113" w:lineRule="exact" w:before="24"/>
              <w:ind w:left="53"/>
              <w:rPr>
                <w:rFonts w:ascii="Arial" w:hAnsi="Arial"/>
                <w:sz w:val="10"/>
              </w:rPr>
            </w:pPr>
            <w:r>
              <w:rPr>
                <w:rFonts w:ascii="Arial" w:hAnsi="Arial"/>
                <w:sz w:val="10"/>
              </w:rPr>
              <w:t>SALIDA - Nº: 2023-001719</w:t>
            </w:r>
          </w:p>
        </w:tc>
        <w:tc>
          <w:tcPr>
            <w:tcW w:w="1518" w:type="dxa"/>
          </w:tcPr>
          <w:p>
            <w:pPr>
              <w:pStyle w:val="TableParagraph"/>
              <w:spacing w:line="113" w:lineRule="exact" w:before="24"/>
              <w:ind w:left="53"/>
              <w:rPr>
                <w:rFonts w:ascii="Arial"/>
                <w:sz w:val="10"/>
              </w:rPr>
            </w:pPr>
            <w:r>
              <w:rPr>
                <w:rFonts w:ascii="Arial"/>
                <w:sz w:val="10"/>
              </w:rPr>
              <w:t>Fecha: 29-12-2023 11:10</w:t>
            </w:r>
          </w:p>
        </w:tc>
        <w:tc>
          <w:tcPr>
            <w:tcW w:w="1349" w:type="dxa"/>
            <w:vMerge/>
            <w:tcBorders>
              <w:top w:val="nil"/>
            </w:tcBorders>
          </w:tcPr>
          <w:p>
            <w:pPr>
              <w:rPr>
                <w:sz w:val="2"/>
                <w:szCs w:val="2"/>
              </w:rPr>
            </w:pPr>
          </w:p>
        </w:tc>
      </w:tr>
      <w:tr>
        <w:trPr>
          <w:trHeight w:val="418" w:hRule="atLeast"/>
        </w:trPr>
        <w:tc>
          <w:tcPr>
            <w:tcW w:w="7841" w:type="dxa"/>
            <w:gridSpan w:val="3"/>
            <w:tcBorders>
              <w:top w:val="single" w:sz="12" w:space="0" w:color="F0F0F0"/>
            </w:tcBorders>
          </w:tcPr>
          <w:p>
            <w:pPr>
              <w:pStyle w:val="TableParagraph"/>
              <w:spacing w:line="352" w:lineRule="auto" w:before="60"/>
              <w:ind w:left="1220" w:right="559" w:hanging="174"/>
              <w:rPr>
                <w:rFonts w:ascii="Arial" w:hAnsi="Arial"/>
                <w:sz w:val="10"/>
              </w:rPr>
            </w:pPr>
            <w:r>
              <w:rPr>
                <w:rFonts w:ascii="Arial" w:hAnsi="Arial"/>
                <w:sz w:val="10"/>
              </w:rPr>
              <w:t>Nº expediente administrativo: 2023-000012 Código Seguro de Verificación (CSV): BA4DADD171458A55F6C5C3747CE933F4 Comprobación CSV: https://sede.acuentascanarias.org//publico/documento/BA4DADD171458A55F6C5C3747CE933F4</w:t>
            </w:r>
          </w:p>
        </w:tc>
        <w:tc>
          <w:tcPr>
            <w:tcW w:w="1349" w:type="dxa"/>
            <w:vMerge/>
            <w:tcBorders>
              <w:top w:val="nil"/>
            </w:tcBorders>
          </w:tcPr>
          <w:p>
            <w:pPr>
              <w:rPr>
                <w:sz w:val="2"/>
                <w:szCs w:val="2"/>
              </w:rPr>
            </w:pPr>
          </w:p>
        </w:tc>
      </w:tr>
      <w:tr>
        <w:trPr>
          <w:trHeight w:val="179" w:hRule="atLeast"/>
        </w:trPr>
        <w:tc>
          <w:tcPr>
            <w:tcW w:w="7841" w:type="dxa"/>
            <w:gridSpan w:val="3"/>
          </w:tcPr>
          <w:p>
            <w:pPr>
              <w:pStyle w:val="TableParagraph"/>
              <w:tabs>
                <w:tab w:pos="4166" w:val="left" w:leader="none"/>
                <w:tab w:pos="5364" w:val="left" w:leader="none"/>
              </w:tabs>
              <w:spacing w:before="26"/>
              <w:ind w:left="49"/>
              <w:rPr>
                <w:rFonts w:ascii="Arial" w:hAnsi="Arial"/>
                <w:sz w:val="10"/>
              </w:rPr>
            </w:pPr>
            <w:r>
              <w:rPr>
                <w:rFonts w:ascii="Arial" w:hAnsi="Arial"/>
                <w:sz w:val="10"/>
              </w:rPr>
              <w:t>Fecha de sellado electrónico:</w:t>
            </w:r>
            <w:r>
              <w:rPr>
                <w:rFonts w:ascii="Arial" w:hAnsi="Arial"/>
                <w:spacing w:val="13"/>
                <w:sz w:val="10"/>
              </w:rPr>
              <w:t> </w:t>
            </w:r>
            <w:r>
              <w:rPr>
                <w:rFonts w:ascii="Arial" w:hAnsi="Arial"/>
                <w:sz w:val="10"/>
              </w:rPr>
              <w:t>29-12-2023</w:t>
            </w:r>
            <w:r>
              <w:rPr>
                <w:rFonts w:ascii="Arial" w:hAnsi="Arial"/>
                <w:spacing w:val="4"/>
                <w:sz w:val="10"/>
              </w:rPr>
              <w:t> </w:t>
            </w:r>
            <w:r>
              <w:rPr>
                <w:rFonts w:ascii="Arial" w:hAnsi="Arial"/>
                <w:sz w:val="10"/>
              </w:rPr>
              <w:t>11:07:54</w:t>
              <w:tab/>
            </w:r>
            <w:r>
              <w:rPr>
                <w:rFonts w:ascii="Arial" w:hAnsi="Arial"/>
                <w:color w:val="3F3F3F"/>
                <w:position w:val="1"/>
                <w:sz w:val="10"/>
              </w:rPr>
              <w:t>-</w:t>
            </w:r>
            <w:r>
              <w:rPr>
                <w:rFonts w:ascii="Arial" w:hAnsi="Arial"/>
                <w:color w:val="3F3F3F"/>
                <w:spacing w:val="1"/>
                <w:position w:val="1"/>
                <w:sz w:val="10"/>
              </w:rPr>
              <w:t> </w:t>
            </w:r>
            <w:r>
              <w:rPr>
                <w:rFonts w:ascii="Arial" w:hAnsi="Arial"/>
                <w:color w:val="3F3F3F"/>
                <w:position w:val="1"/>
                <w:sz w:val="10"/>
              </w:rPr>
              <w:t>247/247</w:t>
            </w:r>
            <w:r>
              <w:rPr>
                <w:rFonts w:ascii="Arial" w:hAnsi="Arial"/>
                <w:color w:val="3F3F3F"/>
                <w:spacing w:val="1"/>
                <w:position w:val="1"/>
                <w:sz w:val="10"/>
              </w:rPr>
              <w:t> </w:t>
            </w:r>
            <w:r>
              <w:rPr>
                <w:rFonts w:ascii="Arial" w:hAnsi="Arial"/>
                <w:color w:val="3F3F3F"/>
                <w:position w:val="1"/>
                <w:sz w:val="10"/>
              </w:rPr>
              <w:t>-</w:t>
              <w:tab/>
            </w:r>
            <w:r>
              <w:rPr>
                <w:rFonts w:ascii="Arial" w:hAnsi="Arial"/>
                <w:sz w:val="10"/>
              </w:rPr>
              <w:t>Fecha de emisión de esta copia: 29-12-2023</w:t>
            </w:r>
            <w:r>
              <w:rPr>
                <w:rFonts w:ascii="Arial" w:hAnsi="Arial"/>
                <w:spacing w:val="21"/>
                <w:sz w:val="10"/>
              </w:rPr>
              <w:t> </w:t>
            </w:r>
            <w:r>
              <w:rPr>
                <w:rFonts w:ascii="Arial" w:hAnsi="Arial"/>
                <w:sz w:val="10"/>
              </w:rPr>
              <w:t>11:14:28</w:t>
            </w:r>
          </w:p>
        </w:tc>
        <w:tc>
          <w:tcPr>
            <w:tcW w:w="1349" w:type="dxa"/>
            <w:vMerge/>
            <w:tcBorders>
              <w:top w:val="nil"/>
            </w:tcBorders>
          </w:tcPr>
          <w:p>
            <w:pPr>
              <w:rPr>
                <w:sz w:val="2"/>
                <w:szCs w:val="2"/>
              </w:rPr>
            </w:pPr>
          </w:p>
        </w:tc>
      </w:tr>
    </w:tbl>
    <w:p>
      <w:pPr>
        <w:pStyle w:val="BodyText"/>
        <w:rPr>
          <w:b/>
        </w:rPr>
      </w:pPr>
    </w:p>
    <w:p>
      <w:pPr>
        <w:pStyle w:val="BodyText"/>
        <w:rPr>
          <w:b/>
        </w:rPr>
      </w:pPr>
    </w:p>
    <w:p>
      <w:pPr>
        <w:pStyle w:val="BodyText"/>
        <w:rPr>
          <w:b/>
        </w:rPr>
      </w:pPr>
    </w:p>
    <w:p>
      <w:pPr>
        <w:pStyle w:val="BodyText"/>
        <w:rPr>
          <w:b/>
        </w:rPr>
      </w:pPr>
    </w:p>
    <w:p>
      <w:pPr>
        <w:pStyle w:val="BodyText"/>
        <w:spacing w:before="12"/>
        <w:rPr>
          <w:b/>
          <w:sz w:val="18"/>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79"/>
        <w:gridCol w:w="1859"/>
      </w:tblGrid>
      <w:tr>
        <w:trPr>
          <w:trHeight w:val="147" w:hRule="atLeast"/>
        </w:trPr>
        <w:tc>
          <w:tcPr>
            <w:tcW w:w="10538" w:type="dxa"/>
            <w:gridSpan w:val="2"/>
            <w:tcBorders>
              <w:bottom w:val="single" w:sz="6" w:space="0" w:color="000000"/>
            </w:tcBorders>
          </w:tcPr>
          <w:p>
            <w:pPr>
              <w:pStyle w:val="TableParagraph"/>
              <w:spacing w:line="125" w:lineRule="exact" w:before="2"/>
              <w:ind w:left="40"/>
              <w:rPr>
                <w:rFonts w:ascii="Arial" w:hAnsi="Arial"/>
                <w:sz w:val="12"/>
              </w:rPr>
            </w:pPr>
            <w:r>
              <w:rPr>
                <w:rFonts w:ascii="Arial" w:hAnsi="Arial"/>
                <w:sz w:val="12"/>
              </w:rPr>
              <w:t>Este documento ha sido firmado electrónicamente por:</w:t>
            </w:r>
          </w:p>
        </w:tc>
      </w:tr>
      <w:tr>
        <w:trPr>
          <w:trHeight w:val="185" w:hRule="atLeast"/>
        </w:trPr>
        <w:tc>
          <w:tcPr>
            <w:tcW w:w="8679" w:type="dxa"/>
            <w:tcBorders>
              <w:top w:val="single" w:sz="6" w:space="0" w:color="000000"/>
              <w:bottom w:val="single" w:sz="6" w:space="0" w:color="000000"/>
            </w:tcBorders>
          </w:tcPr>
          <w:p>
            <w:pPr>
              <w:pStyle w:val="TableParagraph"/>
              <w:spacing w:before="20"/>
              <w:ind w:left="40"/>
              <w:rPr>
                <w:rFonts w:ascii="Arial"/>
                <w:sz w:val="12"/>
              </w:rPr>
            </w:pPr>
            <w:r>
              <w:rPr>
                <w:rFonts w:ascii="Arial"/>
                <w:sz w:val="12"/>
              </w:rPr>
              <w:t>SELLO ELECTRONICO DE LA SGAD -</w:t>
            </w:r>
          </w:p>
        </w:tc>
        <w:tc>
          <w:tcPr>
            <w:tcW w:w="1859" w:type="dxa"/>
            <w:tcBorders>
              <w:top w:val="single" w:sz="6" w:space="0" w:color="000000"/>
              <w:bottom w:val="single" w:sz="6" w:space="0" w:color="000000"/>
              <w:right w:val="single" w:sz="6" w:space="0" w:color="000000"/>
            </w:tcBorders>
          </w:tcPr>
          <w:p>
            <w:pPr>
              <w:pStyle w:val="TableParagraph"/>
              <w:spacing w:line="125" w:lineRule="exact" w:before="40"/>
              <w:ind w:left="40"/>
              <w:rPr>
                <w:rFonts w:ascii="Arial"/>
                <w:sz w:val="12"/>
              </w:rPr>
            </w:pPr>
            <w:r>
              <w:rPr>
                <w:rFonts w:ascii="Arial"/>
                <w:sz w:val="12"/>
              </w:rPr>
              <w:t>Fecha: 29/12/2023 - 12:17:37</w:t>
            </w:r>
          </w:p>
        </w:tc>
      </w:tr>
      <w:tr>
        <w:trPr>
          <w:trHeight w:val="763" w:hRule="atLeast"/>
        </w:trPr>
        <w:tc>
          <w:tcPr>
            <w:tcW w:w="10538" w:type="dxa"/>
            <w:gridSpan w:val="2"/>
            <w:tcBorders>
              <w:top w:val="single" w:sz="6" w:space="0" w:color="000000"/>
              <w:right w:val="single" w:sz="6" w:space="0" w:color="000000"/>
            </w:tcBorders>
          </w:tcPr>
          <w:p>
            <w:pPr>
              <w:pStyle w:val="TableParagraph"/>
              <w:spacing w:before="8"/>
              <w:rPr>
                <w:b/>
                <w:sz w:val="11"/>
              </w:rPr>
            </w:pPr>
          </w:p>
          <w:p>
            <w:pPr>
              <w:pStyle w:val="TableParagraph"/>
              <w:spacing w:line="208" w:lineRule="auto"/>
              <w:ind w:left="40" w:right="5829"/>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pStyle w:val="TableParagraph"/>
              <w:spacing w:before="5"/>
              <w:ind w:left="136"/>
              <w:rPr>
                <w:rFonts w:ascii="Courier New"/>
                <w:sz w:val="16"/>
              </w:rPr>
            </w:pPr>
            <w:r>
              <w:rPr>
                <w:rFonts w:ascii="Courier New"/>
                <w:sz w:val="16"/>
              </w:rPr>
              <w:t>0RiqhLVW5LB5SgsthOzHlk4i4AYIZGsdi</w:t>
            </w:r>
          </w:p>
        </w:tc>
      </w:tr>
      <w:tr>
        <w:trPr>
          <w:trHeight w:val="190" w:hRule="atLeast"/>
        </w:trPr>
        <w:tc>
          <w:tcPr>
            <w:tcW w:w="10538" w:type="dxa"/>
            <w:gridSpan w:val="2"/>
          </w:tcPr>
          <w:p>
            <w:pPr>
              <w:pStyle w:val="TableParagraph"/>
              <w:spacing w:line="128" w:lineRule="exact" w:before="42"/>
              <w:ind w:left="40"/>
              <w:rPr>
                <w:rFonts w:ascii="Arial"/>
                <w:sz w:val="12"/>
              </w:rPr>
            </w:pPr>
            <w:r>
              <w:rPr>
                <w:rFonts w:ascii="Arial"/>
                <w:sz w:val="12"/>
              </w:rPr>
              <w:t>El presente documento ha sido descargado el 05/01/2024 - 12:28:52</w:t>
            </w:r>
          </w:p>
        </w:tc>
      </w:tr>
    </w:tbl>
    <w:sectPr>
      <w:headerReference w:type="default" r:id="rId47"/>
      <w:footerReference w:type="default" r:id="rId48"/>
      <w:pgSz w:w="11900" w:h="16840"/>
      <w:pgMar w:header="0" w:footer="0" w:top="780" w:bottom="280" w:left="56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3.770pt;margin-top:781.679993pt;width:527.5pt;height:39.35pt;mso-position-horizontal-relative:page;mso-position-vertical-relative:page;z-index:-323172352" coordorigin="675,15634" coordsize="10550,787">
          <v:shape style="position:absolute;left:680;top:15638;width:9849;height:777" coordorigin="680,15639" coordsize="9849,777" path="m680,16415l680,15639m680,16415l5403,16415m680,15639l5403,15639m5403,16415l10529,16415m5403,15639l10529,15639e" filled="false" stroked="true" strokeweight=".5pt" strokecolor="#000000">
            <v:path arrowok="t"/>
            <v:stroke dashstyle="solid"/>
          </v:shape>
          <v:shape style="position:absolute;left:5482;top:15658;width:4966;height:737" type="#_x0000_t75" stroked="false">
            <v:imagedata r:id="rId1" o:title=""/>
          </v:shape>
          <v:shape style="position:absolute;left:10528;top:15633;width:696;height:787" type="#_x0000_t75" stroked="false">
            <v:imagedata r:id="rId2" o:title=""/>
          </v:shape>
          <w10:wrap type="none"/>
        </v:group>
      </w:pict>
    </w:r>
    <w:r>
      <w:rPr/>
      <w:pict>
        <v:shapetype id="_x0000_t202" o:spt="202" coordsize="21600,21600" path="m,l,21600r21600,l21600,xe">
          <v:stroke joinstyle="miter"/>
          <v:path gradientshapeok="t" o:connecttype="rect"/>
        </v:shapetype>
        <v:shape style="position:absolute;margin-left:35.020pt;margin-top:787.908386pt;width:224.9pt;height:29.85pt;mso-position-horizontal-relative:page;mso-position-vertical-relative:page;z-index:-323171328" type="#_x0000_t202" filled="false" stroked="false">
          <v:textbox inset="0,0,0,0">
            <w:txbxContent>
              <w:p>
                <w:pPr>
                  <w:spacing w:line="208" w:lineRule="auto" w:before="30"/>
                  <w:ind w:left="20" w:right="-2"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16" w:right="0" w:firstLine="0"/>
                  <w:jc w:val="left"/>
                  <w:rPr>
                    <w:rFonts w:ascii="Courier New"/>
                    <w:sz w:val="16"/>
                  </w:rPr>
                </w:pPr>
                <w:r>
                  <w:rPr>
                    <w:rFonts w:ascii="Courier New"/>
                    <w:sz w:val="16"/>
                  </w:rPr>
                  <w:t>0RiqhLVW5LB5SgsthOzHlk4i4AYIZGsdi</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3.770pt;margin-top:781.679993pt;width:527.5pt;height:39.35pt;mso-position-horizontal-relative:page;mso-position-vertical-relative:page;z-index:-323156992" coordorigin="675,15634" coordsize="10550,787">
          <v:shape style="position:absolute;left:680;top:15638;width:9849;height:777" coordorigin="680,15639" coordsize="9849,777" path="m680,16415l680,15639m680,16415l5403,16415m680,15639l5403,15639m5403,16415l10529,16415m5403,15639l10529,15639e" filled="false" stroked="true" strokeweight=".5pt" strokecolor="#000000">
            <v:path arrowok="t"/>
            <v:stroke dashstyle="solid"/>
          </v:shape>
          <v:shape style="position:absolute;left:5482;top:15658;width:4966;height:737" type="#_x0000_t75" stroked="false">
            <v:imagedata r:id="rId1" o:title=""/>
          </v:shape>
          <v:shape style="position:absolute;left:10528;top:15633;width:696;height:787" type="#_x0000_t75" stroked="false">
            <v:imagedata r:id="rId2" o:title=""/>
          </v:shape>
          <w10:wrap type="none"/>
        </v:group>
      </w:pict>
    </w:r>
    <w:r>
      <w:rPr/>
      <w:pict>
        <v:shape style="position:absolute;margin-left:35.020pt;margin-top:787.908386pt;width:224.9pt;height:29.85pt;mso-position-horizontal-relative:page;mso-position-vertical-relative:page;z-index:-323155968" type="#_x0000_t202" filled="false" stroked="false">
          <v:textbox inset="0,0,0,0">
            <w:txbxContent>
              <w:p>
                <w:pPr>
                  <w:spacing w:line="208" w:lineRule="auto" w:before="30"/>
                  <w:ind w:left="20" w:right="-2"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16" w:right="0" w:firstLine="0"/>
                  <w:jc w:val="left"/>
                  <w:rPr>
                    <w:rFonts w:ascii="Courier New"/>
                    <w:sz w:val="16"/>
                  </w:rPr>
                </w:pPr>
                <w:r>
                  <w:rPr>
                    <w:rFonts w:ascii="Courier New"/>
                    <w:sz w:val="16"/>
                  </w:rPr>
                  <w:t>0RiqhLVW5LB5SgsthOzHlk4i4AYIZGsdi</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157.270004pt;margin-top:534.679993pt;width:527.5pt;height:39.35pt;mso-position-horizontal-relative:page;mso-position-vertical-relative:page;z-index:-323153920" coordorigin="3145,10694" coordsize="10550,787">
          <v:shape style="position:absolute;left:3150;top:10698;width:9849;height:777" coordorigin="3150,10699" coordsize="9849,777" path="m3150,11475l3150,10699m3150,11475l7873,11475m3150,10699l7873,10699m7873,11475l12999,11475m7873,10699l12999,10699e" filled="false" stroked="true" strokeweight=".5pt" strokecolor="#000000">
            <v:path arrowok="t"/>
            <v:stroke dashstyle="solid"/>
          </v:shape>
          <v:shape style="position:absolute;left:7952;top:10718;width:4966;height:737" type="#_x0000_t75" stroked="false">
            <v:imagedata r:id="rId1" o:title=""/>
          </v:shape>
          <v:shape style="position:absolute;left:12998;top:10693;width:696;height:787" type="#_x0000_t75" stroked="false">
            <v:imagedata r:id="rId2" o:title=""/>
          </v:shape>
          <w10:wrap type="none"/>
        </v:group>
      </w:pict>
    </w:r>
    <w:r>
      <w:rPr/>
      <w:pict>
        <v:shape style="position:absolute;margin-left:158.520004pt;margin-top:540.908386pt;width:224.9pt;height:29.85pt;mso-position-horizontal-relative:page;mso-position-vertical-relative:page;z-index:-323152896" type="#_x0000_t202" filled="false" stroked="false">
          <v:textbox inset="0,0,0,0">
            <w:txbxContent>
              <w:p>
                <w:pPr>
                  <w:spacing w:line="208" w:lineRule="auto" w:before="30"/>
                  <w:ind w:left="20" w:right="-2"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16" w:right="0" w:firstLine="0"/>
                  <w:jc w:val="left"/>
                  <w:rPr>
                    <w:rFonts w:ascii="Courier New"/>
                    <w:sz w:val="16"/>
                  </w:rPr>
                </w:pPr>
                <w:r>
                  <w:rPr>
                    <w:rFonts w:ascii="Courier New"/>
                    <w:sz w:val="16"/>
                  </w:rPr>
                  <w:t>0RiqhLVW5LB5SgsthOzHlk4i4AYIZGsdi</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3.770pt;margin-top:781.679993pt;width:527.5pt;height:39.35pt;mso-position-horizontal-relative:page;mso-position-vertical-relative:page;z-index:-323150848" coordorigin="675,15634" coordsize="10550,787">
          <v:shape style="position:absolute;left:680;top:15638;width:9849;height:777" coordorigin="680,15639" coordsize="9849,777" path="m680,16415l680,15639m680,16415l5403,16415m680,15639l5403,15639m5403,16415l10529,16415m5403,15639l10529,15639e" filled="false" stroked="true" strokeweight=".5pt" strokecolor="#000000">
            <v:path arrowok="t"/>
            <v:stroke dashstyle="solid"/>
          </v:shape>
          <v:shape style="position:absolute;left:5482;top:15658;width:4966;height:737" type="#_x0000_t75" stroked="false">
            <v:imagedata r:id="rId1" o:title=""/>
          </v:shape>
          <v:shape style="position:absolute;left:10528;top:15633;width:696;height:787" type="#_x0000_t75" stroked="false">
            <v:imagedata r:id="rId2" o:title=""/>
          </v:shape>
          <w10:wrap type="none"/>
        </v:group>
      </w:pict>
    </w:r>
    <w:r>
      <w:rPr/>
      <w:pict>
        <v:shape style="position:absolute;margin-left:35.020pt;margin-top:787.908386pt;width:224.9pt;height:29.85pt;mso-position-horizontal-relative:page;mso-position-vertical-relative:page;z-index:-323149824" type="#_x0000_t202" filled="false" stroked="false">
          <v:textbox inset="0,0,0,0">
            <w:txbxContent>
              <w:p>
                <w:pPr>
                  <w:spacing w:line="208" w:lineRule="auto" w:before="30"/>
                  <w:ind w:left="20" w:right="-2"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16" w:right="0" w:firstLine="0"/>
                  <w:jc w:val="left"/>
                  <w:rPr>
                    <w:rFonts w:ascii="Courier New"/>
                    <w:sz w:val="16"/>
                  </w:rPr>
                </w:pPr>
                <w:r>
                  <w:rPr>
                    <w:rFonts w:ascii="Courier New"/>
                    <w:sz w:val="16"/>
                  </w:rPr>
                  <w:t>0RiqhLVW5LB5SgsthOzHlk4i4AYIZGsdi</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157.270004pt;margin-top:534.679993pt;width:527.5pt;height:39.35pt;mso-position-horizontal-relative:page;mso-position-vertical-relative:page;z-index:-323147776" coordorigin="3145,10694" coordsize="10550,787">
          <v:shape style="position:absolute;left:3150;top:10698;width:9849;height:777" coordorigin="3150,10699" coordsize="9849,777" path="m3150,11475l3150,10699m3150,11475l7873,11475m3150,10699l7873,10699m7873,11475l12999,11475m7873,10699l12999,10699e" filled="false" stroked="true" strokeweight=".5pt" strokecolor="#000000">
            <v:path arrowok="t"/>
            <v:stroke dashstyle="solid"/>
          </v:shape>
          <v:shape style="position:absolute;left:7952;top:10718;width:4966;height:737" type="#_x0000_t75" stroked="false">
            <v:imagedata r:id="rId1" o:title=""/>
          </v:shape>
          <v:shape style="position:absolute;left:12998;top:10693;width:696;height:787" type="#_x0000_t75" stroked="false">
            <v:imagedata r:id="rId2" o:title=""/>
          </v:shape>
          <w10:wrap type="none"/>
        </v:group>
      </w:pict>
    </w:r>
    <w:r>
      <w:rPr/>
      <w:pict>
        <v:shape style="position:absolute;margin-left:158.520004pt;margin-top:540.908386pt;width:224.9pt;height:29.85pt;mso-position-horizontal-relative:page;mso-position-vertical-relative:page;z-index:-323146752" type="#_x0000_t202" filled="false" stroked="false">
          <v:textbox inset="0,0,0,0">
            <w:txbxContent>
              <w:p>
                <w:pPr>
                  <w:spacing w:line="208" w:lineRule="auto" w:before="30"/>
                  <w:ind w:left="20" w:right="-2"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16" w:right="0" w:firstLine="0"/>
                  <w:jc w:val="left"/>
                  <w:rPr>
                    <w:rFonts w:ascii="Courier New"/>
                    <w:sz w:val="16"/>
                  </w:rPr>
                </w:pPr>
                <w:r>
                  <w:rPr>
                    <w:rFonts w:ascii="Courier New"/>
                    <w:sz w:val="16"/>
                  </w:rPr>
                  <w:t>0RiqhLVW5LB5SgsthOzHlk4i4AYIZGsdi</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3.770pt;margin-top:781.679993pt;width:527.5pt;height:39.35pt;mso-position-horizontal-relative:page;mso-position-vertical-relative:page;z-index:-323144704" coordorigin="675,15634" coordsize="10550,787">
          <v:shape style="position:absolute;left:680;top:15638;width:9849;height:777" coordorigin="680,15639" coordsize="9849,777" path="m680,16415l680,15639m680,16415l5403,16415m680,15639l5403,15639m5403,16415l10529,16415m5403,15639l10529,15639e" filled="false" stroked="true" strokeweight=".5pt" strokecolor="#000000">
            <v:path arrowok="t"/>
            <v:stroke dashstyle="solid"/>
          </v:shape>
          <v:shape style="position:absolute;left:5482;top:15658;width:4966;height:737" type="#_x0000_t75" stroked="false">
            <v:imagedata r:id="rId1" o:title=""/>
          </v:shape>
          <v:shape style="position:absolute;left:10528;top:15633;width:696;height:787" type="#_x0000_t75" stroked="false">
            <v:imagedata r:id="rId2" o:title=""/>
          </v:shape>
          <w10:wrap type="none"/>
        </v:group>
      </w:pict>
    </w:r>
    <w:r>
      <w:rPr/>
      <w:pict>
        <v:shape style="position:absolute;margin-left:35.020pt;margin-top:787.908386pt;width:224.9pt;height:29.85pt;mso-position-horizontal-relative:page;mso-position-vertical-relative:page;z-index:-323143680" type="#_x0000_t202" filled="false" stroked="false">
          <v:textbox inset="0,0,0,0">
            <w:txbxContent>
              <w:p>
                <w:pPr>
                  <w:spacing w:line="208" w:lineRule="auto" w:before="30"/>
                  <w:ind w:left="20" w:right="-2"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16" w:right="0" w:firstLine="0"/>
                  <w:jc w:val="left"/>
                  <w:rPr>
                    <w:rFonts w:ascii="Courier New"/>
                    <w:sz w:val="16"/>
                  </w:rPr>
                </w:pPr>
                <w:r>
                  <w:rPr>
                    <w:rFonts w:ascii="Courier New"/>
                    <w:sz w:val="16"/>
                  </w:rPr>
                  <w:t>0RiqhLVW5LB5SgsthOzHlk4i4AYIZGsdi</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3.770pt;margin-top:781.679993pt;width:527.5pt;height:39.35pt;mso-position-horizontal-relative:page;mso-position-vertical-relative:page;z-index:-323169280" coordorigin="675,15634" coordsize="10550,787">
          <v:shape style="position:absolute;left:680;top:15638;width:9849;height:777" coordorigin="680,15639" coordsize="9849,777" path="m680,16415l680,15639m680,16415l5403,16415m680,15639l5403,15639m5403,16415l10529,16415m5403,15639l10529,15639e" filled="false" stroked="true" strokeweight=".5pt" strokecolor="#000000">
            <v:path arrowok="t"/>
            <v:stroke dashstyle="solid"/>
          </v:shape>
          <v:shape style="position:absolute;left:5482;top:15658;width:4966;height:737" type="#_x0000_t75" stroked="false">
            <v:imagedata r:id="rId1" o:title=""/>
          </v:shape>
          <v:shape style="position:absolute;left:10528;top:15633;width:696;height:787" type="#_x0000_t75" stroked="false">
            <v:imagedata r:id="rId2" o:title=""/>
          </v:shape>
          <w10:wrap type="none"/>
        </v:group>
      </w:pict>
    </w:r>
    <w:r>
      <w:rPr/>
      <w:pict>
        <v:shape style="position:absolute;margin-left:35.020pt;margin-top:787.908386pt;width:224.9pt;height:29.85pt;mso-position-horizontal-relative:page;mso-position-vertical-relative:page;z-index:-323168256" type="#_x0000_t202" filled="false" stroked="false">
          <v:textbox inset="0,0,0,0">
            <w:txbxContent>
              <w:p>
                <w:pPr>
                  <w:spacing w:line="208" w:lineRule="auto" w:before="30"/>
                  <w:ind w:left="20" w:right="-2"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16" w:right="0" w:firstLine="0"/>
                  <w:jc w:val="left"/>
                  <w:rPr>
                    <w:rFonts w:ascii="Courier New"/>
                    <w:sz w:val="16"/>
                  </w:rPr>
                </w:pPr>
                <w:r>
                  <w:rPr>
                    <w:rFonts w:ascii="Courier New"/>
                    <w:sz w:val="16"/>
                  </w:rPr>
                  <w:t>0RiqhLVW5LB5SgsthOzHlk4i4AYIZGsdi</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3.770pt;margin-top:781.679993pt;width:527.5pt;height:39.35pt;mso-position-horizontal-relative:page;mso-position-vertical-relative:page;z-index:-323166208" coordorigin="675,15634" coordsize="10550,787">
          <v:shape style="position:absolute;left:680;top:15638;width:9849;height:777" coordorigin="680,15639" coordsize="9849,777" path="m680,16415l680,15639m680,16415l5403,16415m680,15639l5403,15639m5403,16415l10529,16415m5403,15639l10529,15639e" filled="false" stroked="true" strokeweight=".5pt" strokecolor="#000000">
            <v:path arrowok="t"/>
            <v:stroke dashstyle="solid"/>
          </v:shape>
          <v:shape style="position:absolute;left:5482;top:15658;width:4966;height:737" type="#_x0000_t75" stroked="false">
            <v:imagedata r:id="rId1" o:title=""/>
          </v:shape>
          <v:shape style="position:absolute;left:10528;top:15633;width:696;height:787" type="#_x0000_t75" stroked="false">
            <v:imagedata r:id="rId2" o:title=""/>
          </v:shape>
          <w10:wrap type="none"/>
        </v:group>
      </w:pict>
    </w:r>
    <w:r>
      <w:rPr/>
      <w:pict>
        <v:shape style="position:absolute;margin-left:35.020pt;margin-top:787.908386pt;width:224.9pt;height:29.85pt;mso-position-horizontal-relative:page;mso-position-vertical-relative:page;z-index:-323165184" type="#_x0000_t202" filled="false" stroked="false">
          <v:textbox inset="0,0,0,0">
            <w:txbxContent>
              <w:p>
                <w:pPr>
                  <w:spacing w:line="208" w:lineRule="auto" w:before="30"/>
                  <w:ind w:left="20" w:right="-2"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16" w:right="0" w:firstLine="0"/>
                  <w:jc w:val="left"/>
                  <w:rPr>
                    <w:rFonts w:ascii="Courier New"/>
                    <w:sz w:val="16"/>
                  </w:rPr>
                </w:pPr>
                <w:r>
                  <w:rPr>
                    <w:rFonts w:ascii="Courier New"/>
                    <w:sz w:val="16"/>
                  </w:rPr>
                  <w:t>0RiqhLVW5LB5SgsthOzHlk4i4AYIZGsdi</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157.270004pt;margin-top:534.679993pt;width:527.5pt;height:39.35pt;mso-position-horizontal-relative:page;mso-position-vertical-relative:page;z-index:-323163136" coordorigin="3145,10694" coordsize="10550,787">
          <v:shape style="position:absolute;left:3150;top:10698;width:9849;height:777" coordorigin="3150,10699" coordsize="9849,777" path="m3150,11475l3150,10699m3150,11475l7873,11475m3150,10699l7873,10699m7873,11475l12999,11475m7873,10699l12999,10699e" filled="false" stroked="true" strokeweight=".5pt" strokecolor="#000000">
            <v:path arrowok="t"/>
            <v:stroke dashstyle="solid"/>
          </v:shape>
          <v:shape style="position:absolute;left:7952;top:10718;width:4966;height:737" type="#_x0000_t75" stroked="false">
            <v:imagedata r:id="rId1" o:title=""/>
          </v:shape>
          <v:shape style="position:absolute;left:12998;top:10693;width:696;height:787" type="#_x0000_t75" stroked="false">
            <v:imagedata r:id="rId2" o:title=""/>
          </v:shape>
          <w10:wrap type="none"/>
        </v:group>
      </w:pict>
    </w:r>
    <w:r>
      <w:rPr/>
      <w:pict>
        <v:shape style="position:absolute;margin-left:158.520004pt;margin-top:540.908386pt;width:224.9pt;height:29.85pt;mso-position-horizontal-relative:page;mso-position-vertical-relative:page;z-index:-323162112" type="#_x0000_t202" filled="false" stroked="false">
          <v:textbox inset="0,0,0,0">
            <w:txbxContent>
              <w:p>
                <w:pPr>
                  <w:spacing w:line="208" w:lineRule="auto" w:before="30"/>
                  <w:ind w:left="20" w:right="-2"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16" w:right="0" w:firstLine="0"/>
                  <w:jc w:val="left"/>
                  <w:rPr>
                    <w:rFonts w:ascii="Courier New"/>
                    <w:sz w:val="16"/>
                  </w:rPr>
                </w:pPr>
                <w:r>
                  <w:rPr>
                    <w:rFonts w:ascii="Courier New"/>
                    <w:sz w:val="16"/>
                  </w:rPr>
                  <w:t>0RiqhLVW5LB5SgsthOzHlk4i4AYIZGsdi</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157.270004pt;margin-top:534.679993pt;width:527.5pt;height:39.35pt;mso-position-horizontal-relative:page;mso-position-vertical-relative:page;z-index:-323160064" coordorigin="3145,10694" coordsize="10550,787">
          <v:shape style="position:absolute;left:3150;top:10698;width:9849;height:777" coordorigin="3150,10699" coordsize="9849,777" path="m3150,11475l3150,10699m3150,11475l7873,11475m3150,10699l7873,10699m7873,11475l12999,11475m7873,10699l12999,10699e" filled="false" stroked="true" strokeweight=".5pt" strokecolor="#000000">
            <v:path arrowok="t"/>
            <v:stroke dashstyle="solid"/>
          </v:shape>
          <v:shape style="position:absolute;left:7952;top:10718;width:4966;height:737" type="#_x0000_t75" stroked="false">
            <v:imagedata r:id="rId1" o:title=""/>
          </v:shape>
          <v:shape style="position:absolute;left:12998;top:10693;width:696;height:787" type="#_x0000_t75" stroked="false">
            <v:imagedata r:id="rId2" o:title=""/>
          </v:shape>
          <w10:wrap type="none"/>
        </v:group>
      </w:pict>
    </w:r>
    <w:r>
      <w:rPr/>
      <w:pict>
        <v:shape style="position:absolute;margin-left:158.520004pt;margin-top:540.908386pt;width:224.9pt;height:29.85pt;mso-position-horizontal-relative:page;mso-position-vertical-relative:page;z-index:-323159040" type="#_x0000_t202" filled="false" stroked="false">
          <v:textbox inset="0,0,0,0">
            <w:txbxContent>
              <w:p>
                <w:pPr>
                  <w:spacing w:line="208" w:lineRule="auto" w:before="30"/>
                  <w:ind w:left="20" w:right="-2" w:firstLine="0"/>
                  <w:jc w:val="left"/>
                  <w:rPr>
                    <w:rFonts w:ascii="Arial" w:hAnsi="Arial"/>
                    <w:sz w:val="12"/>
                  </w:rPr>
                </w:pPr>
                <w:r>
                  <w:rPr>
                    <w:rFonts w:ascii="Arial" w:hAnsi="Arial"/>
                    <w:sz w:val="12"/>
                  </w:rPr>
                  <w:t>En la dirección https://sede.gobiernodecanarias.org/sede/verifica_doc?codigo_nde= puede ser comprobada la autenticidad de esta copia, mediante el número de documento electrónico siguiente:</w:t>
                </w:r>
              </w:p>
              <w:p>
                <w:pPr>
                  <w:spacing w:before="5"/>
                  <w:ind w:left="116" w:right="0" w:firstLine="0"/>
                  <w:jc w:val="left"/>
                  <w:rPr>
                    <w:rFonts w:ascii="Courier New"/>
                    <w:sz w:val="16"/>
                  </w:rPr>
                </w:pPr>
                <w:r>
                  <w:rPr>
                    <w:rFonts w:ascii="Courier New"/>
                    <w:sz w:val="16"/>
                  </w:rPr>
                  <w:t>0RiqhLVW5LB5SgsthOzHlk4i4AYIZGsdi</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0146176">
          <wp:simplePos x="0" y="0"/>
          <wp:positionH relativeFrom="page">
            <wp:posOffset>1813560</wp:posOffset>
          </wp:positionH>
          <wp:positionV relativeFrom="page">
            <wp:posOffset>545184</wp:posOffset>
          </wp:positionV>
          <wp:extent cx="1599111" cy="578461"/>
          <wp:effectExtent l="0" t="0" r="0" b="0"/>
          <wp:wrapNone/>
          <wp:docPr id="11" name="image7.jpeg"/>
          <wp:cNvGraphicFramePr>
            <a:graphicFrameLocks noChangeAspect="1"/>
          </wp:cNvGraphicFramePr>
          <a:graphic>
            <a:graphicData uri="http://schemas.openxmlformats.org/drawingml/2006/picture">
              <pic:pic>
                <pic:nvPicPr>
                  <pic:cNvPr id="12" name="image7.jpeg"/>
                  <pic:cNvPicPr/>
                </pic:nvPicPr>
                <pic:blipFill>
                  <a:blip r:embed="rId1" cstate="print"/>
                  <a:stretch>
                    <a:fillRect/>
                  </a:stretch>
                </pic:blipFill>
                <pic:spPr>
                  <a:xfrm>
                    <a:off x="0" y="0"/>
                    <a:ext cx="1599111" cy="578461"/>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0161536">
          <wp:simplePos x="0" y="0"/>
          <wp:positionH relativeFrom="page">
            <wp:posOffset>2450872</wp:posOffset>
          </wp:positionH>
          <wp:positionV relativeFrom="page">
            <wp:posOffset>511504</wp:posOffset>
          </wp:positionV>
          <wp:extent cx="1480068" cy="535398"/>
          <wp:effectExtent l="0" t="0" r="0" b="0"/>
          <wp:wrapNone/>
          <wp:docPr id="403" name="image7.jpeg"/>
          <wp:cNvGraphicFramePr>
            <a:graphicFrameLocks noChangeAspect="1"/>
          </wp:cNvGraphicFramePr>
          <a:graphic>
            <a:graphicData uri="http://schemas.openxmlformats.org/drawingml/2006/picture">
              <pic:pic>
                <pic:nvPicPr>
                  <pic:cNvPr id="404" name="image7.jpeg"/>
                  <pic:cNvPicPr/>
                </pic:nvPicPr>
                <pic:blipFill>
                  <a:blip r:embed="rId1" cstate="print"/>
                  <a:stretch>
                    <a:fillRect/>
                  </a:stretch>
                </pic:blipFill>
                <pic:spPr>
                  <a:xfrm>
                    <a:off x="0" y="0"/>
                    <a:ext cx="1480068" cy="535398"/>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0164608">
          <wp:simplePos x="0" y="0"/>
          <wp:positionH relativeFrom="page">
            <wp:posOffset>1815355</wp:posOffset>
          </wp:positionH>
          <wp:positionV relativeFrom="page">
            <wp:posOffset>551582</wp:posOffset>
          </wp:positionV>
          <wp:extent cx="1599111" cy="578461"/>
          <wp:effectExtent l="0" t="0" r="0" b="0"/>
          <wp:wrapNone/>
          <wp:docPr id="409" name="image7.jpeg"/>
          <wp:cNvGraphicFramePr>
            <a:graphicFrameLocks noChangeAspect="1"/>
          </wp:cNvGraphicFramePr>
          <a:graphic>
            <a:graphicData uri="http://schemas.openxmlformats.org/drawingml/2006/picture">
              <pic:pic>
                <pic:nvPicPr>
                  <pic:cNvPr id="410" name="image7.jpeg"/>
                  <pic:cNvPicPr/>
                </pic:nvPicPr>
                <pic:blipFill>
                  <a:blip r:embed="rId1" cstate="print"/>
                  <a:stretch>
                    <a:fillRect/>
                  </a:stretch>
                </pic:blipFill>
                <pic:spPr>
                  <a:xfrm>
                    <a:off x="0" y="0"/>
                    <a:ext cx="1599111" cy="578461"/>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0167680">
          <wp:simplePos x="0" y="0"/>
          <wp:positionH relativeFrom="page">
            <wp:posOffset>2450872</wp:posOffset>
          </wp:positionH>
          <wp:positionV relativeFrom="page">
            <wp:posOffset>511504</wp:posOffset>
          </wp:positionV>
          <wp:extent cx="1480068" cy="535398"/>
          <wp:effectExtent l="0" t="0" r="0" b="0"/>
          <wp:wrapNone/>
          <wp:docPr id="415" name="image7.jpeg"/>
          <wp:cNvGraphicFramePr>
            <a:graphicFrameLocks noChangeAspect="1"/>
          </wp:cNvGraphicFramePr>
          <a:graphic>
            <a:graphicData uri="http://schemas.openxmlformats.org/drawingml/2006/picture">
              <pic:pic>
                <pic:nvPicPr>
                  <pic:cNvPr id="416" name="image7.jpeg"/>
                  <pic:cNvPicPr/>
                </pic:nvPicPr>
                <pic:blipFill>
                  <a:blip r:embed="rId1" cstate="print"/>
                  <a:stretch>
                    <a:fillRect/>
                  </a:stretch>
                </pic:blipFill>
                <pic:spPr>
                  <a:xfrm>
                    <a:off x="0" y="0"/>
                    <a:ext cx="1480068" cy="535398"/>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0170752">
          <wp:simplePos x="0" y="0"/>
          <wp:positionH relativeFrom="page">
            <wp:posOffset>1815355</wp:posOffset>
          </wp:positionH>
          <wp:positionV relativeFrom="page">
            <wp:posOffset>551582</wp:posOffset>
          </wp:positionV>
          <wp:extent cx="1599111" cy="578461"/>
          <wp:effectExtent l="0" t="0" r="0" b="0"/>
          <wp:wrapNone/>
          <wp:docPr id="441" name="image7.jpeg"/>
          <wp:cNvGraphicFramePr>
            <a:graphicFrameLocks noChangeAspect="1"/>
          </wp:cNvGraphicFramePr>
          <a:graphic>
            <a:graphicData uri="http://schemas.openxmlformats.org/drawingml/2006/picture">
              <pic:pic>
                <pic:nvPicPr>
                  <pic:cNvPr id="442" name="image7.jpeg"/>
                  <pic:cNvPicPr/>
                </pic:nvPicPr>
                <pic:blipFill>
                  <a:blip r:embed="rId1" cstate="print"/>
                  <a:stretch>
                    <a:fillRect/>
                  </a:stretch>
                </pic:blipFill>
                <pic:spPr>
                  <a:xfrm>
                    <a:off x="0" y="0"/>
                    <a:ext cx="1599111" cy="578461"/>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0149248">
          <wp:simplePos x="0" y="0"/>
          <wp:positionH relativeFrom="page">
            <wp:posOffset>1815355</wp:posOffset>
          </wp:positionH>
          <wp:positionV relativeFrom="page">
            <wp:posOffset>551582</wp:posOffset>
          </wp:positionV>
          <wp:extent cx="1599111" cy="578461"/>
          <wp:effectExtent l="0" t="0" r="0" b="0"/>
          <wp:wrapNone/>
          <wp:docPr id="229" name="image7.jpeg"/>
          <wp:cNvGraphicFramePr>
            <a:graphicFrameLocks noChangeAspect="1"/>
          </wp:cNvGraphicFramePr>
          <a:graphic>
            <a:graphicData uri="http://schemas.openxmlformats.org/drawingml/2006/picture">
              <pic:pic>
                <pic:nvPicPr>
                  <pic:cNvPr id="230" name="image7.jpeg"/>
                  <pic:cNvPicPr/>
                </pic:nvPicPr>
                <pic:blipFill>
                  <a:blip r:embed="rId1" cstate="print"/>
                  <a:stretch>
                    <a:fillRect/>
                  </a:stretch>
                </pic:blipFill>
                <pic:spPr>
                  <a:xfrm>
                    <a:off x="0" y="0"/>
                    <a:ext cx="1599111" cy="578461"/>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0152320">
          <wp:simplePos x="0" y="0"/>
          <wp:positionH relativeFrom="page">
            <wp:posOffset>2032564</wp:posOffset>
          </wp:positionH>
          <wp:positionV relativeFrom="page">
            <wp:posOffset>505872</wp:posOffset>
          </wp:positionV>
          <wp:extent cx="1479303" cy="535121"/>
          <wp:effectExtent l="0" t="0" r="0" b="0"/>
          <wp:wrapNone/>
          <wp:docPr id="359" name="image7.jpeg"/>
          <wp:cNvGraphicFramePr>
            <a:graphicFrameLocks noChangeAspect="1"/>
          </wp:cNvGraphicFramePr>
          <a:graphic>
            <a:graphicData uri="http://schemas.openxmlformats.org/drawingml/2006/picture">
              <pic:pic>
                <pic:nvPicPr>
                  <pic:cNvPr id="360" name="image7.jpeg"/>
                  <pic:cNvPicPr/>
                </pic:nvPicPr>
                <pic:blipFill>
                  <a:blip r:embed="rId1" cstate="print"/>
                  <a:stretch>
                    <a:fillRect/>
                  </a:stretch>
                </pic:blipFill>
                <pic:spPr>
                  <a:xfrm>
                    <a:off x="0" y="0"/>
                    <a:ext cx="1479303" cy="535121"/>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0155392">
          <wp:simplePos x="0" y="0"/>
          <wp:positionH relativeFrom="page">
            <wp:posOffset>2032564</wp:posOffset>
          </wp:positionH>
          <wp:positionV relativeFrom="page">
            <wp:posOffset>505872</wp:posOffset>
          </wp:positionV>
          <wp:extent cx="1479303" cy="535121"/>
          <wp:effectExtent l="0" t="0" r="0" b="0"/>
          <wp:wrapNone/>
          <wp:docPr id="371" name="image7.jpeg"/>
          <wp:cNvGraphicFramePr>
            <a:graphicFrameLocks noChangeAspect="1"/>
          </wp:cNvGraphicFramePr>
          <a:graphic>
            <a:graphicData uri="http://schemas.openxmlformats.org/drawingml/2006/picture">
              <pic:pic>
                <pic:nvPicPr>
                  <pic:cNvPr id="372" name="image7.jpeg"/>
                  <pic:cNvPicPr/>
                </pic:nvPicPr>
                <pic:blipFill>
                  <a:blip r:embed="rId1" cstate="print"/>
                  <a:stretch>
                    <a:fillRect/>
                  </a:stretch>
                </pic:blipFill>
                <pic:spPr>
                  <a:xfrm>
                    <a:off x="0" y="0"/>
                    <a:ext cx="1479303" cy="535121"/>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0158464">
          <wp:simplePos x="0" y="0"/>
          <wp:positionH relativeFrom="page">
            <wp:posOffset>1815355</wp:posOffset>
          </wp:positionH>
          <wp:positionV relativeFrom="page">
            <wp:posOffset>551582</wp:posOffset>
          </wp:positionV>
          <wp:extent cx="1599111" cy="578461"/>
          <wp:effectExtent l="0" t="0" r="0" b="0"/>
          <wp:wrapNone/>
          <wp:docPr id="397" name="image7.jpeg"/>
          <wp:cNvGraphicFramePr>
            <a:graphicFrameLocks noChangeAspect="1"/>
          </wp:cNvGraphicFramePr>
          <a:graphic>
            <a:graphicData uri="http://schemas.openxmlformats.org/drawingml/2006/picture">
              <pic:pic>
                <pic:nvPicPr>
                  <pic:cNvPr id="398" name="image7.jpeg"/>
                  <pic:cNvPicPr/>
                </pic:nvPicPr>
                <pic:blipFill>
                  <a:blip r:embed="rId1" cstate="print"/>
                  <a:stretch>
                    <a:fillRect/>
                  </a:stretch>
                </pic:blipFill>
                <pic:spPr>
                  <a:xfrm>
                    <a:off x="0" y="0"/>
                    <a:ext cx="1599111" cy="57846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9">
    <w:multiLevelType w:val="hybridMultilevel"/>
    <w:lvl w:ilvl="0">
      <w:start w:val="0"/>
      <w:numFmt w:val="bullet"/>
      <w:lvlText w:val="-"/>
      <w:lvlJc w:val="left"/>
      <w:pPr>
        <w:ind w:left="2536" w:hanging="238"/>
      </w:pPr>
      <w:rPr>
        <w:rFonts w:hint="default" w:ascii="Calibri" w:hAnsi="Calibri" w:eastAsia="Calibri" w:cs="Calibri"/>
        <w:w w:val="102"/>
        <w:sz w:val="18"/>
        <w:szCs w:val="18"/>
      </w:rPr>
    </w:lvl>
    <w:lvl w:ilvl="1">
      <w:start w:val="0"/>
      <w:numFmt w:val="bullet"/>
      <w:lvlText w:val="•"/>
      <w:lvlJc w:val="left"/>
      <w:pPr>
        <w:ind w:left="3364" w:hanging="238"/>
      </w:pPr>
      <w:rPr>
        <w:rFonts w:hint="default"/>
      </w:rPr>
    </w:lvl>
    <w:lvl w:ilvl="2">
      <w:start w:val="0"/>
      <w:numFmt w:val="bullet"/>
      <w:lvlText w:val="•"/>
      <w:lvlJc w:val="left"/>
      <w:pPr>
        <w:ind w:left="4188" w:hanging="238"/>
      </w:pPr>
      <w:rPr>
        <w:rFonts w:hint="default"/>
      </w:rPr>
    </w:lvl>
    <w:lvl w:ilvl="3">
      <w:start w:val="0"/>
      <w:numFmt w:val="bullet"/>
      <w:lvlText w:val="•"/>
      <w:lvlJc w:val="left"/>
      <w:pPr>
        <w:ind w:left="5012" w:hanging="238"/>
      </w:pPr>
      <w:rPr>
        <w:rFonts w:hint="default"/>
      </w:rPr>
    </w:lvl>
    <w:lvl w:ilvl="4">
      <w:start w:val="0"/>
      <w:numFmt w:val="bullet"/>
      <w:lvlText w:val="•"/>
      <w:lvlJc w:val="left"/>
      <w:pPr>
        <w:ind w:left="5836" w:hanging="238"/>
      </w:pPr>
      <w:rPr>
        <w:rFonts w:hint="default"/>
      </w:rPr>
    </w:lvl>
    <w:lvl w:ilvl="5">
      <w:start w:val="0"/>
      <w:numFmt w:val="bullet"/>
      <w:lvlText w:val="•"/>
      <w:lvlJc w:val="left"/>
      <w:pPr>
        <w:ind w:left="6660" w:hanging="238"/>
      </w:pPr>
      <w:rPr>
        <w:rFonts w:hint="default"/>
      </w:rPr>
    </w:lvl>
    <w:lvl w:ilvl="6">
      <w:start w:val="0"/>
      <w:numFmt w:val="bullet"/>
      <w:lvlText w:val="•"/>
      <w:lvlJc w:val="left"/>
      <w:pPr>
        <w:ind w:left="7484" w:hanging="238"/>
      </w:pPr>
      <w:rPr>
        <w:rFonts w:hint="default"/>
      </w:rPr>
    </w:lvl>
    <w:lvl w:ilvl="7">
      <w:start w:val="0"/>
      <w:numFmt w:val="bullet"/>
      <w:lvlText w:val="•"/>
      <w:lvlJc w:val="left"/>
      <w:pPr>
        <w:ind w:left="8308" w:hanging="238"/>
      </w:pPr>
      <w:rPr>
        <w:rFonts w:hint="default"/>
      </w:rPr>
    </w:lvl>
    <w:lvl w:ilvl="8">
      <w:start w:val="0"/>
      <w:numFmt w:val="bullet"/>
      <w:lvlText w:val="•"/>
      <w:lvlJc w:val="left"/>
      <w:pPr>
        <w:ind w:left="9132" w:hanging="238"/>
      </w:pPr>
      <w:rPr>
        <w:rFonts w:hint="default"/>
      </w:rPr>
    </w:lvl>
  </w:abstractNum>
  <w:abstractNum w:abstractNumId="93">
    <w:multiLevelType w:val="hybridMultilevel"/>
    <w:lvl w:ilvl="0">
      <w:start w:val="7"/>
      <w:numFmt w:val="decimal"/>
      <w:lvlText w:val="%1"/>
      <w:lvlJc w:val="left"/>
      <w:pPr>
        <w:ind w:left="4662" w:hanging="363"/>
        <w:jc w:val="right"/>
      </w:pPr>
      <w:rPr>
        <w:rFonts w:hint="default" w:ascii="Calibri" w:hAnsi="Calibri" w:eastAsia="Calibri" w:cs="Calibri"/>
        <w:b/>
        <w:bCs/>
        <w:color w:val="53A1B9"/>
        <w:w w:val="100"/>
        <w:sz w:val="20"/>
        <w:szCs w:val="20"/>
      </w:rPr>
    </w:lvl>
    <w:lvl w:ilvl="1">
      <w:start w:val="0"/>
      <w:numFmt w:val="bullet"/>
      <w:lvlText w:val="•"/>
      <w:lvlJc w:val="left"/>
      <w:pPr>
        <w:ind w:left="5232" w:hanging="363"/>
      </w:pPr>
      <w:rPr>
        <w:rFonts w:hint="default"/>
      </w:rPr>
    </w:lvl>
    <w:lvl w:ilvl="2">
      <w:start w:val="0"/>
      <w:numFmt w:val="bullet"/>
      <w:lvlText w:val="•"/>
      <w:lvlJc w:val="left"/>
      <w:pPr>
        <w:ind w:left="5804" w:hanging="363"/>
      </w:pPr>
      <w:rPr>
        <w:rFonts w:hint="default"/>
      </w:rPr>
    </w:lvl>
    <w:lvl w:ilvl="3">
      <w:start w:val="0"/>
      <w:numFmt w:val="bullet"/>
      <w:lvlText w:val="•"/>
      <w:lvlJc w:val="left"/>
      <w:pPr>
        <w:ind w:left="6376" w:hanging="363"/>
      </w:pPr>
      <w:rPr>
        <w:rFonts w:hint="default"/>
      </w:rPr>
    </w:lvl>
    <w:lvl w:ilvl="4">
      <w:start w:val="0"/>
      <w:numFmt w:val="bullet"/>
      <w:lvlText w:val="•"/>
      <w:lvlJc w:val="left"/>
      <w:pPr>
        <w:ind w:left="6948" w:hanging="363"/>
      </w:pPr>
      <w:rPr>
        <w:rFonts w:hint="default"/>
      </w:rPr>
    </w:lvl>
    <w:lvl w:ilvl="5">
      <w:start w:val="0"/>
      <w:numFmt w:val="bullet"/>
      <w:lvlText w:val="•"/>
      <w:lvlJc w:val="left"/>
      <w:pPr>
        <w:ind w:left="7520" w:hanging="363"/>
      </w:pPr>
      <w:rPr>
        <w:rFonts w:hint="default"/>
      </w:rPr>
    </w:lvl>
    <w:lvl w:ilvl="6">
      <w:start w:val="0"/>
      <w:numFmt w:val="bullet"/>
      <w:lvlText w:val="•"/>
      <w:lvlJc w:val="left"/>
      <w:pPr>
        <w:ind w:left="8092" w:hanging="363"/>
      </w:pPr>
      <w:rPr>
        <w:rFonts w:hint="default"/>
      </w:rPr>
    </w:lvl>
    <w:lvl w:ilvl="7">
      <w:start w:val="0"/>
      <w:numFmt w:val="bullet"/>
      <w:lvlText w:val="•"/>
      <w:lvlJc w:val="left"/>
      <w:pPr>
        <w:ind w:left="8664" w:hanging="363"/>
      </w:pPr>
      <w:rPr>
        <w:rFonts w:hint="default"/>
      </w:rPr>
    </w:lvl>
    <w:lvl w:ilvl="8">
      <w:start w:val="0"/>
      <w:numFmt w:val="bullet"/>
      <w:lvlText w:val="•"/>
      <w:lvlJc w:val="left"/>
      <w:pPr>
        <w:ind w:left="9236" w:hanging="363"/>
      </w:pPr>
      <w:rPr>
        <w:rFonts w:hint="default"/>
      </w:rPr>
    </w:lvl>
  </w:abstractNum>
  <w:abstractNum w:abstractNumId="121">
    <w:multiLevelType w:val="hybridMultilevel"/>
    <w:lvl w:ilvl="0">
      <w:start w:val="1"/>
      <w:numFmt w:val="lowerLetter"/>
      <w:lvlText w:val="%1)"/>
      <w:lvlJc w:val="left"/>
      <w:pPr>
        <w:ind w:left="2897" w:hanging="299"/>
        <w:jc w:val="left"/>
      </w:pPr>
      <w:rPr>
        <w:rFonts w:hint="default" w:ascii="Calibri" w:hAnsi="Calibri" w:eastAsia="Calibri" w:cs="Calibri"/>
        <w:w w:val="104"/>
        <w:sz w:val="20"/>
        <w:szCs w:val="20"/>
      </w:rPr>
    </w:lvl>
    <w:lvl w:ilvl="1">
      <w:start w:val="0"/>
      <w:numFmt w:val="bullet"/>
      <w:lvlText w:val="•"/>
      <w:lvlJc w:val="left"/>
      <w:pPr>
        <w:ind w:left="3688" w:hanging="299"/>
      </w:pPr>
      <w:rPr>
        <w:rFonts w:hint="default"/>
      </w:rPr>
    </w:lvl>
    <w:lvl w:ilvl="2">
      <w:start w:val="0"/>
      <w:numFmt w:val="bullet"/>
      <w:lvlText w:val="•"/>
      <w:lvlJc w:val="left"/>
      <w:pPr>
        <w:ind w:left="4476" w:hanging="299"/>
      </w:pPr>
      <w:rPr>
        <w:rFonts w:hint="default"/>
      </w:rPr>
    </w:lvl>
    <w:lvl w:ilvl="3">
      <w:start w:val="0"/>
      <w:numFmt w:val="bullet"/>
      <w:lvlText w:val="•"/>
      <w:lvlJc w:val="left"/>
      <w:pPr>
        <w:ind w:left="5264" w:hanging="299"/>
      </w:pPr>
      <w:rPr>
        <w:rFonts w:hint="default"/>
      </w:rPr>
    </w:lvl>
    <w:lvl w:ilvl="4">
      <w:start w:val="0"/>
      <w:numFmt w:val="bullet"/>
      <w:lvlText w:val="•"/>
      <w:lvlJc w:val="left"/>
      <w:pPr>
        <w:ind w:left="6052" w:hanging="299"/>
      </w:pPr>
      <w:rPr>
        <w:rFonts w:hint="default"/>
      </w:rPr>
    </w:lvl>
    <w:lvl w:ilvl="5">
      <w:start w:val="0"/>
      <w:numFmt w:val="bullet"/>
      <w:lvlText w:val="•"/>
      <w:lvlJc w:val="left"/>
      <w:pPr>
        <w:ind w:left="6840" w:hanging="299"/>
      </w:pPr>
      <w:rPr>
        <w:rFonts w:hint="default"/>
      </w:rPr>
    </w:lvl>
    <w:lvl w:ilvl="6">
      <w:start w:val="0"/>
      <w:numFmt w:val="bullet"/>
      <w:lvlText w:val="•"/>
      <w:lvlJc w:val="left"/>
      <w:pPr>
        <w:ind w:left="7628" w:hanging="299"/>
      </w:pPr>
      <w:rPr>
        <w:rFonts w:hint="default"/>
      </w:rPr>
    </w:lvl>
    <w:lvl w:ilvl="7">
      <w:start w:val="0"/>
      <w:numFmt w:val="bullet"/>
      <w:lvlText w:val="•"/>
      <w:lvlJc w:val="left"/>
      <w:pPr>
        <w:ind w:left="8416" w:hanging="299"/>
      </w:pPr>
      <w:rPr>
        <w:rFonts w:hint="default"/>
      </w:rPr>
    </w:lvl>
    <w:lvl w:ilvl="8">
      <w:start w:val="0"/>
      <w:numFmt w:val="bullet"/>
      <w:lvlText w:val="•"/>
      <w:lvlJc w:val="left"/>
      <w:pPr>
        <w:ind w:left="9204" w:hanging="299"/>
      </w:pPr>
      <w:rPr>
        <w:rFonts w:hint="default"/>
      </w:rPr>
    </w:lvl>
  </w:abstractNum>
  <w:abstractNum w:abstractNumId="0">
    <w:multiLevelType w:val="hybridMultilevel"/>
    <w:lvl w:ilvl="0">
      <w:start w:val="1"/>
      <w:numFmt w:val="decimal"/>
      <w:lvlText w:val="%1"/>
      <w:lvlJc w:val="left"/>
      <w:pPr>
        <w:ind w:left="2453" w:hanging="357"/>
        <w:jc w:val="left"/>
      </w:pPr>
      <w:rPr>
        <w:rFonts w:hint="default" w:ascii="Calibri" w:hAnsi="Calibri" w:eastAsia="Calibri" w:cs="Calibri"/>
        <w:b/>
        <w:bCs/>
        <w:w w:val="100"/>
        <w:sz w:val="20"/>
        <w:szCs w:val="20"/>
      </w:rPr>
    </w:lvl>
    <w:lvl w:ilvl="1">
      <w:start w:val="1"/>
      <w:numFmt w:val="decimal"/>
      <w:lvlText w:val="%1.%2"/>
      <w:lvlJc w:val="left"/>
      <w:pPr>
        <w:ind w:left="2928" w:hanging="647"/>
        <w:jc w:val="left"/>
      </w:pPr>
      <w:rPr>
        <w:rFonts w:hint="default" w:ascii="Calibri" w:hAnsi="Calibri" w:eastAsia="Calibri" w:cs="Calibri"/>
        <w:w w:val="100"/>
        <w:sz w:val="20"/>
        <w:szCs w:val="20"/>
      </w:rPr>
    </w:lvl>
    <w:lvl w:ilvl="2">
      <w:start w:val="1"/>
      <w:numFmt w:val="decimal"/>
      <w:lvlText w:val="%1.%2.%3"/>
      <w:lvlJc w:val="left"/>
      <w:pPr>
        <w:ind w:left="3287" w:hanging="829"/>
        <w:jc w:val="left"/>
      </w:pPr>
      <w:rPr>
        <w:rFonts w:hint="default" w:ascii="Calibri" w:hAnsi="Calibri" w:eastAsia="Calibri" w:cs="Calibri"/>
        <w:spacing w:val="-1"/>
        <w:w w:val="100"/>
        <w:sz w:val="20"/>
        <w:szCs w:val="20"/>
      </w:rPr>
    </w:lvl>
    <w:lvl w:ilvl="3">
      <w:start w:val="0"/>
      <w:numFmt w:val="bullet"/>
      <w:lvlText w:val="•"/>
      <w:lvlJc w:val="left"/>
      <w:pPr>
        <w:ind w:left="4167" w:hanging="829"/>
      </w:pPr>
      <w:rPr>
        <w:rFonts w:hint="default"/>
      </w:rPr>
    </w:lvl>
    <w:lvl w:ilvl="4">
      <w:start w:val="0"/>
      <w:numFmt w:val="bullet"/>
      <w:lvlText w:val="•"/>
      <w:lvlJc w:val="left"/>
      <w:pPr>
        <w:ind w:left="5055" w:hanging="829"/>
      </w:pPr>
      <w:rPr>
        <w:rFonts w:hint="default"/>
      </w:rPr>
    </w:lvl>
    <w:lvl w:ilvl="5">
      <w:start w:val="0"/>
      <w:numFmt w:val="bullet"/>
      <w:lvlText w:val="•"/>
      <w:lvlJc w:val="left"/>
      <w:pPr>
        <w:ind w:left="5942" w:hanging="829"/>
      </w:pPr>
      <w:rPr>
        <w:rFonts w:hint="default"/>
      </w:rPr>
    </w:lvl>
    <w:lvl w:ilvl="6">
      <w:start w:val="0"/>
      <w:numFmt w:val="bullet"/>
      <w:lvlText w:val="•"/>
      <w:lvlJc w:val="left"/>
      <w:pPr>
        <w:ind w:left="6830" w:hanging="829"/>
      </w:pPr>
      <w:rPr>
        <w:rFonts w:hint="default"/>
      </w:rPr>
    </w:lvl>
    <w:lvl w:ilvl="7">
      <w:start w:val="0"/>
      <w:numFmt w:val="bullet"/>
      <w:lvlText w:val="•"/>
      <w:lvlJc w:val="left"/>
      <w:pPr>
        <w:ind w:left="7717" w:hanging="829"/>
      </w:pPr>
      <w:rPr>
        <w:rFonts w:hint="default"/>
      </w:rPr>
    </w:lvl>
    <w:lvl w:ilvl="8">
      <w:start w:val="0"/>
      <w:numFmt w:val="bullet"/>
      <w:lvlText w:val="•"/>
      <w:lvlJc w:val="left"/>
      <w:pPr>
        <w:ind w:left="8605" w:hanging="829"/>
      </w:pPr>
      <w:rPr>
        <w:rFonts w:hint="default"/>
      </w:rPr>
    </w:lvl>
  </w:abstractNum>
  <w:abstractNum w:abstractNumId="130">
    <w:multiLevelType w:val="hybridMultilevel"/>
    <w:lvl w:ilvl="0">
      <w:start w:val="2"/>
      <w:numFmt w:val="decimal"/>
      <w:lvlText w:val="%1."/>
      <w:lvlJc w:val="left"/>
      <w:pPr>
        <w:ind w:left="2498" w:hanging="200"/>
        <w:jc w:val="left"/>
      </w:pPr>
      <w:rPr>
        <w:rFonts w:hint="default" w:ascii="Calibri" w:hAnsi="Calibri" w:eastAsia="Calibri" w:cs="Calibri"/>
        <w:w w:val="100"/>
        <w:sz w:val="20"/>
        <w:szCs w:val="20"/>
      </w:rPr>
    </w:lvl>
    <w:lvl w:ilvl="1">
      <w:start w:val="0"/>
      <w:numFmt w:val="bullet"/>
      <w:lvlText w:val="-"/>
      <w:lvlJc w:val="left"/>
      <w:pPr>
        <w:ind w:left="2903" w:hanging="303"/>
      </w:pPr>
      <w:rPr>
        <w:rFonts w:hint="default" w:ascii="Calibri" w:hAnsi="Calibri" w:eastAsia="Calibri" w:cs="Calibri"/>
        <w:w w:val="100"/>
        <w:sz w:val="20"/>
        <w:szCs w:val="20"/>
      </w:rPr>
    </w:lvl>
    <w:lvl w:ilvl="2">
      <w:start w:val="0"/>
      <w:numFmt w:val="bullet"/>
      <w:lvlText w:val="•"/>
      <w:lvlJc w:val="left"/>
      <w:pPr>
        <w:ind w:left="3775" w:hanging="303"/>
      </w:pPr>
      <w:rPr>
        <w:rFonts w:hint="default"/>
      </w:rPr>
    </w:lvl>
    <w:lvl w:ilvl="3">
      <w:start w:val="0"/>
      <w:numFmt w:val="bullet"/>
      <w:lvlText w:val="•"/>
      <w:lvlJc w:val="left"/>
      <w:pPr>
        <w:ind w:left="4651" w:hanging="303"/>
      </w:pPr>
      <w:rPr>
        <w:rFonts w:hint="default"/>
      </w:rPr>
    </w:lvl>
    <w:lvl w:ilvl="4">
      <w:start w:val="0"/>
      <w:numFmt w:val="bullet"/>
      <w:lvlText w:val="•"/>
      <w:lvlJc w:val="left"/>
      <w:pPr>
        <w:ind w:left="5526" w:hanging="303"/>
      </w:pPr>
      <w:rPr>
        <w:rFonts w:hint="default"/>
      </w:rPr>
    </w:lvl>
    <w:lvl w:ilvl="5">
      <w:start w:val="0"/>
      <w:numFmt w:val="bullet"/>
      <w:lvlText w:val="•"/>
      <w:lvlJc w:val="left"/>
      <w:pPr>
        <w:ind w:left="6402" w:hanging="303"/>
      </w:pPr>
      <w:rPr>
        <w:rFonts w:hint="default"/>
      </w:rPr>
    </w:lvl>
    <w:lvl w:ilvl="6">
      <w:start w:val="0"/>
      <w:numFmt w:val="bullet"/>
      <w:lvlText w:val="•"/>
      <w:lvlJc w:val="left"/>
      <w:pPr>
        <w:ind w:left="7277" w:hanging="303"/>
      </w:pPr>
      <w:rPr>
        <w:rFonts w:hint="default"/>
      </w:rPr>
    </w:lvl>
    <w:lvl w:ilvl="7">
      <w:start w:val="0"/>
      <w:numFmt w:val="bullet"/>
      <w:lvlText w:val="•"/>
      <w:lvlJc w:val="left"/>
      <w:pPr>
        <w:ind w:left="8153" w:hanging="303"/>
      </w:pPr>
      <w:rPr>
        <w:rFonts w:hint="default"/>
      </w:rPr>
    </w:lvl>
    <w:lvl w:ilvl="8">
      <w:start w:val="0"/>
      <w:numFmt w:val="bullet"/>
      <w:lvlText w:val="•"/>
      <w:lvlJc w:val="left"/>
      <w:pPr>
        <w:ind w:left="9028" w:hanging="303"/>
      </w:pPr>
      <w:rPr>
        <w:rFonts w:hint="default"/>
      </w:rPr>
    </w:lvl>
  </w:abstractNum>
  <w:abstractNum w:abstractNumId="128">
    <w:multiLevelType w:val="hybridMultilevel"/>
    <w:lvl w:ilvl="0">
      <w:start w:val="1"/>
      <w:numFmt w:val="lowerLetter"/>
      <w:lvlText w:val="%1)"/>
      <w:lvlJc w:val="left"/>
      <w:pPr>
        <w:ind w:left="2536" w:hanging="303"/>
        <w:jc w:val="left"/>
      </w:pPr>
      <w:rPr>
        <w:rFonts w:hint="default" w:ascii="Calibri" w:hAnsi="Calibri" w:eastAsia="Calibri" w:cs="Calibri"/>
        <w:spacing w:val="-1"/>
        <w:w w:val="102"/>
        <w:sz w:val="18"/>
        <w:szCs w:val="18"/>
      </w:rPr>
    </w:lvl>
    <w:lvl w:ilvl="1">
      <w:start w:val="0"/>
      <w:numFmt w:val="bullet"/>
      <w:lvlText w:val="•"/>
      <w:lvlJc w:val="left"/>
      <w:pPr>
        <w:ind w:left="3364" w:hanging="303"/>
      </w:pPr>
      <w:rPr>
        <w:rFonts w:hint="default"/>
      </w:rPr>
    </w:lvl>
    <w:lvl w:ilvl="2">
      <w:start w:val="0"/>
      <w:numFmt w:val="bullet"/>
      <w:lvlText w:val="•"/>
      <w:lvlJc w:val="left"/>
      <w:pPr>
        <w:ind w:left="4188" w:hanging="303"/>
      </w:pPr>
      <w:rPr>
        <w:rFonts w:hint="default"/>
      </w:rPr>
    </w:lvl>
    <w:lvl w:ilvl="3">
      <w:start w:val="0"/>
      <w:numFmt w:val="bullet"/>
      <w:lvlText w:val="•"/>
      <w:lvlJc w:val="left"/>
      <w:pPr>
        <w:ind w:left="5012" w:hanging="303"/>
      </w:pPr>
      <w:rPr>
        <w:rFonts w:hint="default"/>
      </w:rPr>
    </w:lvl>
    <w:lvl w:ilvl="4">
      <w:start w:val="0"/>
      <w:numFmt w:val="bullet"/>
      <w:lvlText w:val="•"/>
      <w:lvlJc w:val="left"/>
      <w:pPr>
        <w:ind w:left="5836" w:hanging="303"/>
      </w:pPr>
      <w:rPr>
        <w:rFonts w:hint="default"/>
      </w:rPr>
    </w:lvl>
    <w:lvl w:ilvl="5">
      <w:start w:val="0"/>
      <w:numFmt w:val="bullet"/>
      <w:lvlText w:val="•"/>
      <w:lvlJc w:val="left"/>
      <w:pPr>
        <w:ind w:left="6660" w:hanging="303"/>
      </w:pPr>
      <w:rPr>
        <w:rFonts w:hint="default"/>
      </w:rPr>
    </w:lvl>
    <w:lvl w:ilvl="6">
      <w:start w:val="0"/>
      <w:numFmt w:val="bullet"/>
      <w:lvlText w:val="•"/>
      <w:lvlJc w:val="left"/>
      <w:pPr>
        <w:ind w:left="7484" w:hanging="303"/>
      </w:pPr>
      <w:rPr>
        <w:rFonts w:hint="default"/>
      </w:rPr>
    </w:lvl>
    <w:lvl w:ilvl="7">
      <w:start w:val="0"/>
      <w:numFmt w:val="bullet"/>
      <w:lvlText w:val="•"/>
      <w:lvlJc w:val="left"/>
      <w:pPr>
        <w:ind w:left="8308" w:hanging="303"/>
      </w:pPr>
      <w:rPr>
        <w:rFonts w:hint="default"/>
      </w:rPr>
    </w:lvl>
    <w:lvl w:ilvl="8">
      <w:start w:val="0"/>
      <w:numFmt w:val="bullet"/>
      <w:lvlText w:val="•"/>
      <w:lvlJc w:val="left"/>
      <w:pPr>
        <w:ind w:left="9132" w:hanging="303"/>
      </w:pPr>
      <w:rPr>
        <w:rFonts w:hint="default"/>
      </w:rPr>
    </w:lvl>
  </w:abstractNum>
  <w:abstractNum w:abstractNumId="127">
    <w:multiLevelType w:val="hybridMultilevel"/>
    <w:lvl w:ilvl="0">
      <w:start w:val="0"/>
      <w:numFmt w:val="bullet"/>
      <w:lvlText w:val="-"/>
      <w:lvlJc w:val="left"/>
      <w:pPr>
        <w:ind w:left="2897" w:hanging="303"/>
      </w:pPr>
      <w:rPr>
        <w:rFonts w:hint="default" w:ascii="Calibri" w:hAnsi="Calibri" w:eastAsia="Calibri" w:cs="Calibri"/>
        <w:w w:val="107"/>
        <w:sz w:val="18"/>
        <w:szCs w:val="18"/>
      </w:rPr>
    </w:lvl>
    <w:lvl w:ilvl="1">
      <w:start w:val="0"/>
      <w:numFmt w:val="bullet"/>
      <w:lvlText w:val="•"/>
      <w:lvlJc w:val="left"/>
      <w:pPr>
        <w:ind w:left="3688" w:hanging="303"/>
      </w:pPr>
      <w:rPr>
        <w:rFonts w:hint="default"/>
      </w:rPr>
    </w:lvl>
    <w:lvl w:ilvl="2">
      <w:start w:val="0"/>
      <w:numFmt w:val="bullet"/>
      <w:lvlText w:val="•"/>
      <w:lvlJc w:val="left"/>
      <w:pPr>
        <w:ind w:left="4476" w:hanging="303"/>
      </w:pPr>
      <w:rPr>
        <w:rFonts w:hint="default"/>
      </w:rPr>
    </w:lvl>
    <w:lvl w:ilvl="3">
      <w:start w:val="0"/>
      <w:numFmt w:val="bullet"/>
      <w:lvlText w:val="•"/>
      <w:lvlJc w:val="left"/>
      <w:pPr>
        <w:ind w:left="5264" w:hanging="303"/>
      </w:pPr>
      <w:rPr>
        <w:rFonts w:hint="default"/>
      </w:rPr>
    </w:lvl>
    <w:lvl w:ilvl="4">
      <w:start w:val="0"/>
      <w:numFmt w:val="bullet"/>
      <w:lvlText w:val="•"/>
      <w:lvlJc w:val="left"/>
      <w:pPr>
        <w:ind w:left="6052" w:hanging="303"/>
      </w:pPr>
      <w:rPr>
        <w:rFonts w:hint="default"/>
      </w:rPr>
    </w:lvl>
    <w:lvl w:ilvl="5">
      <w:start w:val="0"/>
      <w:numFmt w:val="bullet"/>
      <w:lvlText w:val="•"/>
      <w:lvlJc w:val="left"/>
      <w:pPr>
        <w:ind w:left="6840" w:hanging="303"/>
      </w:pPr>
      <w:rPr>
        <w:rFonts w:hint="default"/>
      </w:rPr>
    </w:lvl>
    <w:lvl w:ilvl="6">
      <w:start w:val="0"/>
      <w:numFmt w:val="bullet"/>
      <w:lvlText w:val="•"/>
      <w:lvlJc w:val="left"/>
      <w:pPr>
        <w:ind w:left="7628" w:hanging="303"/>
      </w:pPr>
      <w:rPr>
        <w:rFonts w:hint="default"/>
      </w:rPr>
    </w:lvl>
    <w:lvl w:ilvl="7">
      <w:start w:val="0"/>
      <w:numFmt w:val="bullet"/>
      <w:lvlText w:val="•"/>
      <w:lvlJc w:val="left"/>
      <w:pPr>
        <w:ind w:left="8416" w:hanging="303"/>
      </w:pPr>
      <w:rPr>
        <w:rFonts w:hint="default"/>
      </w:rPr>
    </w:lvl>
    <w:lvl w:ilvl="8">
      <w:start w:val="0"/>
      <w:numFmt w:val="bullet"/>
      <w:lvlText w:val="•"/>
      <w:lvlJc w:val="left"/>
      <w:pPr>
        <w:ind w:left="9204" w:hanging="303"/>
      </w:pPr>
      <w:rPr>
        <w:rFonts w:hint="default"/>
      </w:rPr>
    </w:lvl>
  </w:abstractNum>
  <w:abstractNum w:abstractNumId="126">
    <w:multiLevelType w:val="hybridMultilevel"/>
    <w:lvl w:ilvl="0">
      <w:start w:val="1"/>
      <w:numFmt w:val="lowerLetter"/>
      <w:lvlText w:val="%1)"/>
      <w:lvlJc w:val="left"/>
      <w:pPr>
        <w:ind w:left="2903" w:hanging="303"/>
        <w:jc w:val="left"/>
      </w:pPr>
      <w:rPr>
        <w:rFonts w:hint="default" w:ascii="Calibri" w:hAnsi="Calibri" w:eastAsia="Calibri" w:cs="Calibri"/>
        <w:i/>
        <w:spacing w:val="0"/>
        <w:w w:val="104"/>
        <w:sz w:val="20"/>
        <w:szCs w:val="20"/>
      </w:rPr>
    </w:lvl>
    <w:lvl w:ilvl="1">
      <w:start w:val="0"/>
      <w:numFmt w:val="bullet"/>
      <w:lvlText w:val="•"/>
      <w:lvlJc w:val="left"/>
      <w:pPr>
        <w:ind w:left="3688" w:hanging="303"/>
      </w:pPr>
      <w:rPr>
        <w:rFonts w:hint="default"/>
      </w:rPr>
    </w:lvl>
    <w:lvl w:ilvl="2">
      <w:start w:val="0"/>
      <w:numFmt w:val="bullet"/>
      <w:lvlText w:val="•"/>
      <w:lvlJc w:val="left"/>
      <w:pPr>
        <w:ind w:left="4476" w:hanging="303"/>
      </w:pPr>
      <w:rPr>
        <w:rFonts w:hint="default"/>
      </w:rPr>
    </w:lvl>
    <w:lvl w:ilvl="3">
      <w:start w:val="0"/>
      <w:numFmt w:val="bullet"/>
      <w:lvlText w:val="•"/>
      <w:lvlJc w:val="left"/>
      <w:pPr>
        <w:ind w:left="5264" w:hanging="303"/>
      </w:pPr>
      <w:rPr>
        <w:rFonts w:hint="default"/>
      </w:rPr>
    </w:lvl>
    <w:lvl w:ilvl="4">
      <w:start w:val="0"/>
      <w:numFmt w:val="bullet"/>
      <w:lvlText w:val="•"/>
      <w:lvlJc w:val="left"/>
      <w:pPr>
        <w:ind w:left="6052" w:hanging="303"/>
      </w:pPr>
      <w:rPr>
        <w:rFonts w:hint="default"/>
      </w:rPr>
    </w:lvl>
    <w:lvl w:ilvl="5">
      <w:start w:val="0"/>
      <w:numFmt w:val="bullet"/>
      <w:lvlText w:val="•"/>
      <w:lvlJc w:val="left"/>
      <w:pPr>
        <w:ind w:left="6840" w:hanging="303"/>
      </w:pPr>
      <w:rPr>
        <w:rFonts w:hint="default"/>
      </w:rPr>
    </w:lvl>
    <w:lvl w:ilvl="6">
      <w:start w:val="0"/>
      <w:numFmt w:val="bullet"/>
      <w:lvlText w:val="•"/>
      <w:lvlJc w:val="left"/>
      <w:pPr>
        <w:ind w:left="7628" w:hanging="303"/>
      </w:pPr>
      <w:rPr>
        <w:rFonts w:hint="default"/>
      </w:rPr>
    </w:lvl>
    <w:lvl w:ilvl="7">
      <w:start w:val="0"/>
      <w:numFmt w:val="bullet"/>
      <w:lvlText w:val="•"/>
      <w:lvlJc w:val="left"/>
      <w:pPr>
        <w:ind w:left="8416" w:hanging="303"/>
      </w:pPr>
      <w:rPr>
        <w:rFonts w:hint="default"/>
      </w:rPr>
    </w:lvl>
    <w:lvl w:ilvl="8">
      <w:start w:val="0"/>
      <w:numFmt w:val="bullet"/>
      <w:lvlText w:val="•"/>
      <w:lvlJc w:val="left"/>
      <w:pPr>
        <w:ind w:left="9204" w:hanging="303"/>
      </w:pPr>
      <w:rPr>
        <w:rFonts w:hint="default"/>
      </w:rPr>
    </w:lvl>
  </w:abstractNum>
  <w:abstractNum w:abstractNumId="125">
    <w:multiLevelType w:val="hybridMultilevel"/>
    <w:lvl w:ilvl="0">
      <w:start w:val="0"/>
      <w:numFmt w:val="bullet"/>
      <w:lvlText w:val="-"/>
      <w:lvlJc w:val="left"/>
      <w:pPr>
        <w:ind w:left="2903" w:hanging="303"/>
      </w:pPr>
      <w:rPr>
        <w:rFonts w:hint="default" w:ascii="Calibri" w:hAnsi="Calibri" w:eastAsia="Calibri" w:cs="Calibri"/>
        <w:w w:val="102"/>
        <w:sz w:val="18"/>
        <w:szCs w:val="18"/>
      </w:rPr>
    </w:lvl>
    <w:lvl w:ilvl="1">
      <w:start w:val="0"/>
      <w:numFmt w:val="bullet"/>
      <w:lvlText w:val="•"/>
      <w:lvlJc w:val="left"/>
      <w:pPr>
        <w:ind w:left="3688" w:hanging="303"/>
      </w:pPr>
      <w:rPr>
        <w:rFonts w:hint="default"/>
      </w:rPr>
    </w:lvl>
    <w:lvl w:ilvl="2">
      <w:start w:val="0"/>
      <w:numFmt w:val="bullet"/>
      <w:lvlText w:val="•"/>
      <w:lvlJc w:val="left"/>
      <w:pPr>
        <w:ind w:left="4476" w:hanging="303"/>
      </w:pPr>
      <w:rPr>
        <w:rFonts w:hint="default"/>
      </w:rPr>
    </w:lvl>
    <w:lvl w:ilvl="3">
      <w:start w:val="0"/>
      <w:numFmt w:val="bullet"/>
      <w:lvlText w:val="•"/>
      <w:lvlJc w:val="left"/>
      <w:pPr>
        <w:ind w:left="5264" w:hanging="303"/>
      </w:pPr>
      <w:rPr>
        <w:rFonts w:hint="default"/>
      </w:rPr>
    </w:lvl>
    <w:lvl w:ilvl="4">
      <w:start w:val="0"/>
      <w:numFmt w:val="bullet"/>
      <w:lvlText w:val="•"/>
      <w:lvlJc w:val="left"/>
      <w:pPr>
        <w:ind w:left="6052" w:hanging="303"/>
      </w:pPr>
      <w:rPr>
        <w:rFonts w:hint="default"/>
      </w:rPr>
    </w:lvl>
    <w:lvl w:ilvl="5">
      <w:start w:val="0"/>
      <w:numFmt w:val="bullet"/>
      <w:lvlText w:val="•"/>
      <w:lvlJc w:val="left"/>
      <w:pPr>
        <w:ind w:left="6840" w:hanging="303"/>
      </w:pPr>
      <w:rPr>
        <w:rFonts w:hint="default"/>
      </w:rPr>
    </w:lvl>
    <w:lvl w:ilvl="6">
      <w:start w:val="0"/>
      <w:numFmt w:val="bullet"/>
      <w:lvlText w:val="•"/>
      <w:lvlJc w:val="left"/>
      <w:pPr>
        <w:ind w:left="7628" w:hanging="303"/>
      </w:pPr>
      <w:rPr>
        <w:rFonts w:hint="default"/>
      </w:rPr>
    </w:lvl>
    <w:lvl w:ilvl="7">
      <w:start w:val="0"/>
      <w:numFmt w:val="bullet"/>
      <w:lvlText w:val="•"/>
      <w:lvlJc w:val="left"/>
      <w:pPr>
        <w:ind w:left="8416" w:hanging="303"/>
      </w:pPr>
      <w:rPr>
        <w:rFonts w:hint="default"/>
      </w:rPr>
    </w:lvl>
    <w:lvl w:ilvl="8">
      <w:start w:val="0"/>
      <w:numFmt w:val="bullet"/>
      <w:lvlText w:val="•"/>
      <w:lvlJc w:val="left"/>
      <w:pPr>
        <w:ind w:left="9204" w:hanging="303"/>
      </w:pPr>
      <w:rPr>
        <w:rFonts w:hint="default"/>
      </w:rPr>
    </w:lvl>
  </w:abstractNum>
  <w:abstractNum w:abstractNumId="124">
    <w:multiLevelType w:val="hybridMultilevel"/>
    <w:lvl w:ilvl="0">
      <w:start w:val="1"/>
      <w:numFmt w:val="decimal"/>
      <w:lvlText w:val="%1."/>
      <w:lvlJc w:val="left"/>
      <w:pPr>
        <w:ind w:left="2893" w:hanging="293"/>
        <w:jc w:val="left"/>
      </w:pPr>
      <w:rPr>
        <w:rFonts w:hint="default" w:ascii="Calibri" w:hAnsi="Calibri" w:eastAsia="Calibri" w:cs="Calibri"/>
        <w:w w:val="102"/>
        <w:sz w:val="18"/>
        <w:szCs w:val="18"/>
      </w:rPr>
    </w:lvl>
    <w:lvl w:ilvl="1">
      <w:start w:val="0"/>
      <w:numFmt w:val="bullet"/>
      <w:lvlText w:val="•"/>
      <w:lvlJc w:val="left"/>
      <w:pPr>
        <w:ind w:left="3688" w:hanging="293"/>
      </w:pPr>
      <w:rPr>
        <w:rFonts w:hint="default"/>
      </w:rPr>
    </w:lvl>
    <w:lvl w:ilvl="2">
      <w:start w:val="0"/>
      <w:numFmt w:val="bullet"/>
      <w:lvlText w:val="•"/>
      <w:lvlJc w:val="left"/>
      <w:pPr>
        <w:ind w:left="4476" w:hanging="293"/>
      </w:pPr>
      <w:rPr>
        <w:rFonts w:hint="default"/>
      </w:rPr>
    </w:lvl>
    <w:lvl w:ilvl="3">
      <w:start w:val="0"/>
      <w:numFmt w:val="bullet"/>
      <w:lvlText w:val="•"/>
      <w:lvlJc w:val="left"/>
      <w:pPr>
        <w:ind w:left="5264" w:hanging="293"/>
      </w:pPr>
      <w:rPr>
        <w:rFonts w:hint="default"/>
      </w:rPr>
    </w:lvl>
    <w:lvl w:ilvl="4">
      <w:start w:val="0"/>
      <w:numFmt w:val="bullet"/>
      <w:lvlText w:val="•"/>
      <w:lvlJc w:val="left"/>
      <w:pPr>
        <w:ind w:left="6052" w:hanging="293"/>
      </w:pPr>
      <w:rPr>
        <w:rFonts w:hint="default"/>
      </w:rPr>
    </w:lvl>
    <w:lvl w:ilvl="5">
      <w:start w:val="0"/>
      <w:numFmt w:val="bullet"/>
      <w:lvlText w:val="•"/>
      <w:lvlJc w:val="left"/>
      <w:pPr>
        <w:ind w:left="6840" w:hanging="293"/>
      </w:pPr>
      <w:rPr>
        <w:rFonts w:hint="default"/>
      </w:rPr>
    </w:lvl>
    <w:lvl w:ilvl="6">
      <w:start w:val="0"/>
      <w:numFmt w:val="bullet"/>
      <w:lvlText w:val="•"/>
      <w:lvlJc w:val="left"/>
      <w:pPr>
        <w:ind w:left="7628" w:hanging="293"/>
      </w:pPr>
      <w:rPr>
        <w:rFonts w:hint="default"/>
      </w:rPr>
    </w:lvl>
    <w:lvl w:ilvl="7">
      <w:start w:val="0"/>
      <w:numFmt w:val="bullet"/>
      <w:lvlText w:val="•"/>
      <w:lvlJc w:val="left"/>
      <w:pPr>
        <w:ind w:left="8416" w:hanging="293"/>
      </w:pPr>
      <w:rPr>
        <w:rFonts w:hint="default"/>
      </w:rPr>
    </w:lvl>
    <w:lvl w:ilvl="8">
      <w:start w:val="0"/>
      <w:numFmt w:val="bullet"/>
      <w:lvlText w:val="•"/>
      <w:lvlJc w:val="left"/>
      <w:pPr>
        <w:ind w:left="9204" w:hanging="293"/>
      </w:pPr>
      <w:rPr>
        <w:rFonts w:hint="default"/>
      </w:rPr>
    </w:lvl>
  </w:abstractNum>
  <w:abstractNum w:abstractNumId="123">
    <w:multiLevelType w:val="hybridMultilevel"/>
    <w:lvl w:ilvl="0">
      <w:start w:val="0"/>
      <w:numFmt w:val="bullet"/>
      <w:lvlText w:val=""/>
      <w:lvlJc w:val="left"/>
      <w:pPr>
        <w:ind w:left="2960" w:hanging="236"/>
      </w:pPr>
      <w:rPr>
        <w:rFonts w:hint="default" w:ascii="Symbol" w:hAnsi="Symbol" w:eastAsia="Symbol" w:cs="Symbol"/>
        <w:w w:val="102"/>
        <w:sz w:val="18"/>
        <w:szCs w:val="18"/>
      </w:rPr>
    </w:lvl>
    <w:lvl w:ilvl="1">
      <w:start w:val="0"/>
      <w:numFmt w:val="bullet"/>
      <w:lvlText w:val="•"/>
      <w:lvlJc w:val="left"/>
      <w:pPr>
        <w:ind w:left="3742" w:hanging="236"/>
      </w:pPr>
      <w:rPr>
        <w:rFonts w:hint="default"/>
      </w:rPr>
    </w:lvl>
    <w:lvl w:ilvl="2">
      <w:start w:val="0"/>
      <w:numFmt w:val="bullet"/>
      <w:lvlText w:val="•"/>
      <w:lvlJc w:val="left"/>
      <w:pPr>
        <w:ind w:left="4524" w:hanging="236"/>
      </w:pPr>
      <w:rPr>
        <w:rFonts w:hint="default"/>
      </w:rPr>
    </w:lvl>
    <w:lvl w:ilvl="3">
      <w:start w:val="0"/>
      <w:numFmt w:val="bullet"/>
      <w:lvlText w:val="•"/>
      <w:lvlJc w:val="left"/>
      <w:pPr>
        <w:ind w:left="5306" w:hanging="236"/>
      </w:pPr>
      <w:rPr>
        <w:rFonts w:hint="default"/>
      </w:rPr>
    </w:lvl>
    <w:lvl w:ilvl="4">
      <w:start w:val="0"/>
      <w:numFmt w:val="bullet"/>
      <w:lvlText w:val="•"/>
      <w:lvlJc w:val="left"/>
      <w:pPr>
        <w:ind w:left="6088" w:hanging="236"/>
      </w:pPr>
      <w:rPr>
        <w:rFonts w:hint="default"/>
      </w:rPr>
    </w:lvl>
    <w:lvl w:ilvl="5">
      <w:start w:val="0"/>
      <w:numFmt w:val="bullet"/>
      <w:lvlText w:val="•"/>
      <w:lvlJc w:val="left"/>
      <w:pPr>
        <w:ind w:left="6870" w:hanging="236"/>
      </w:pPr>
      <w:rPr>
        <w:rFonts w:hint="default"/>
      </w:rPr>
    </w:lvl>
    <w:lvl w:ilvl="6">
      <w:start w:val="0"/>
      <w:numFmt w:val="bullet"/>
      <w:lvlText w:val="•"/>
      <w:lvlJc w:val="left"/>
      <w:pPr>
        <w:ind w:left="7652" w:hanging="236"/>
      </w:pPr>
      <w:rPr>
        <w:rFonts w:hint="default"/>
      </w:rPr>
    </w:lvl>
    <w:lvl w:ilvl="7">
      <w:start w:val="0"/>
      <w:numFmt w:val="bullet"/>
      <w:lvlText w:val="•"/>
      <w:lvlJc w:val="left"/>
      <w:pPr>
        <w:ind w:left="8434" w:hanging="236"/>
      </w:pPr>
      <w:rPr>
        <w:rFonts w:hint="default"/>
      </w:rPr>
    </w:lvl>
    <w:lvl w:ilvl="8">
      <w:start w:val="0"/>
      <w:numFmt w:val="bullet"/>
      <w:lvlText w:val="•"/>
      <w:lvlJc w:val="left"/>
      <w:pPr>
        <w:ind w:left="9216" w:hanging="236"/>
      </w:pPr>
      <w:rPr>
        <w:rFonts w:hint="default"/>
      </w:rPr>
    </w:lvl>
  </w:abstractNum>
  <w:abstractNum w:abstractNumId="122">
    <w:multiLevelType w:val="hybridMultilevel"/>
    <w:lvl w:ilvl="0">
      <w:start w:val="0"/>
      <w:numFmt w:val="bullet"/>
      <w:lvlText w:val="-"/>
      <w:lvlJc w:val="left"/>
      <w:pPr>
        <w:ind w:left="2893" w:hanging="299"/>
      </w:pPr>
      <w:rPr>
        <w:rFonts w:hint="default" w:ascii="Calibri" w:hAnsi="Calibri" w:eastAsia="Calibri" w:cs="Calibri"/>
        <w:w w:val="102"/>
        <w:sz w:val="18"/>
        <w:szCs w:val="18"/>
      </w:rPr>
    </w:lvl>
    <w:lvl w:ilvl="1">
      <w:start w:val="0"/>
      <w:numFmt w:val="bullet"/>
      <w:lvlText w:val="•"/>
      <w:lvlJc w:val="left"/>
      <w:pPr>
        <w:ind w:left="3688" w:hanging="299"/>
      </w:pPr>
      <w:rPr>
        <w:rFonts w:hint="default"/>
      </w:rPr>
    </w:lvl>
    <w:lvl w:ilvl="2">
      <w:start w:val="0"/>
      <w:numFmt w:val="bullet"/>
      <w:lvlText w:val="•"/>
      <w:lvlJc w:val="left"/>
      <w:pPr>
        <w:ind w:left="4476" w:hanging="299"/>
      </w:pPr>
      <w:rPr>
        <w:rFonts w:hint="default"/>
      </w:rPr>
    </w:lvl>
    <w:lvl w:ilvl="3">
      <w:start w:val="0"/>
      <w:numFmt w:val="bullet"/>
      <w:lvlText w:val="•"/>
      <w:lvlJc w:val="left"/>
      <w:pPr>
        <w:ind w:left="5264" w:hanging="299"/>
      </w:pPr>
      <w:rPr>
        <w:rFonts w:hint="default"/>
      </w:rPr>
    </w:lvl>
    <w:lvl w:ilvl="4">
      <w:start w:val="0"/>
      <w:numFmt w:val="bullet"/>
      <w:lvlText w:val="•"/>
      <w:lvlJc w:val="left"/>
      <w:pPr>
        <w:ind w:left="6052" w:hanging="299"/>
      </w:pPr>
      <w:rPr>
        <w:rFonts w:hint="default"/>
      </w:rPr>
    </w:lvl>
    <w:lvl w:ilvl="5">
      <w:start w:val="0"/>
      <w:numFmt w:val="bullet"/>
      <w:lvlText w:val="•"/>
      <w:lvlJc w:val="left"/>
      <w:pPr>
        <w:ind w:left="6840" w:hanging="299"/>
      </w:pPr>
      <w:rPr>
        <w:rFonts w:hint="default"/>
      </w:rPr>
    </w:lvl>
    <w:lvl w:ilvl="6">
      <w:start w:val="0"/>
      <w:numFmt w:val="bullet"/>
      <w:lvlText w:val="•"/>
      <w:lvlJc w:val="left"/>
      <w:pPr>
        <w:ind w:left="7628" w:hanging="299"/>
      </w:pPr>
      <w:rPr>
        <w:rFonts w:hint="default"/>
      </w:rPr>
    </w:lvl>
    <w:lvl w:ilvl="7">
      <w:start w:val="0"/>
      <w:numFmt w:val="bullet"/>
      <w:lvlText w:val="•"/>
      <w:lvlJc w:val="left"/>
      <w:pPr>
        <w:ind w:left="8416" w:hanging="299"/>
      </w:pPr>
      <w:rPr>
        <w:rFonts w:hint="default"/>
      </w:rPr>
    </w:lvl>
    <w:lvl w:ilvl="8">
      <w:start w:val="0"/>
      <w:numFmt w:val="bullet"/>
      <w:lvlText w:val="•"/>
      <w:lvlJc w:val="left"/>
      <w:pPr>
        <w:ind w:left="9204" w:hanging="299"/>
      </w:pPr>
      <w:rPr>
        <w:rFonts w:hint="default"/>
      </w:rPr>
    </w:lvl>
  </w:abstractNum>
  <w:abstractNum w:abstractNumId="120">
    <w:multiLevelType w:val="hybridMultilevel"/>
    <w:lvl w:ilvl="0">
      <w:start w:val="1"/>
      <w:numFmt w:val="lowerLetter"/>
      <w:lvlText w:val="%1)"/>
      <w:lvlJc w:val="left"/>
      <w:pPr>
        <w:ind w:left="56" w:hanging="125"/>
        <w:jc w:val="left"/>
      </w:pPr>
      <w:rPr>
        <w:rFonts w:hint="default" w:ascii="Calibri" w:hAnsi="Calibri" w:eastAsia="Calibri" w:cs="Calibri"/>
        <w:spacing w:val="-1"/>
        <w:w w:val="104"/>
        <w:sz w:val="12"/>
        <w:szCs w:val="12"/>
      </w:rPr>
    </w:lvl>
    <w:lvl w:ilvl="1">
      <w:start w:val="0"/>
      <w:numFmt w:val="bullet"/>
      <w:lvlText w:val="•"/>
      <w:lvlJc w:val="left"/>
      <w:pPr>
        <w:ind w:left="607" w:hanging="125"/>
      </w:pPr>
      <w:rPr>
        <w:rFonts w:hint="default"/>
      </w:rPr>
    </w:lvl>
    <w:lvl w:ilvl="2">
      <w:start w:val="0"/>
      <w:numFmt w:val="bullet"/>
      <w:lvlText w:val="•"/>
      <w:lvlJc w:val="left"/>
      <w:pPr>
        <w:ind w:left="1155" w:hanging="125"/>
      </w:pPr>
      <w:rPr>
        <w:rFonts w:hint="default"/>
      </w:rPr>
    </w:lvl>
    <w:lvl w:ilvl="3">
      <w:start w:val="0"/>
      <w:numFmt w:val="bullet"/>
      <w:lvlText w:val="•"/>
      <w:lvlJc w:val="left"/>
      <w:pPr>
        <w:ind w:left="1702" w:hanging="125"/>
      </w:pPr>
      <w:rPr>
        <w:rFonts w:hint="default"/>
      </w:rPr>
    </w:lvl>
    <w:lvl w:ilvl="4">
      <w:start w:val="0"/>
      <w:numFmt w:val="bullet"/>
      <w:lvlText w:val="•"/>
      <w:lvlJc w:val="left"/>
      <w:pPr>
        <w:ind w:left="2250" w:hanging="125"/>
      </w:pPr>
      <w:rPr>
        <w:rFonts w:hint="default"/>
      </w:rPr>
    </w:lvl>
    <w:lvl w:ilvl="5">
      <w:start w:val="0"/>
      <w:numFmt w:val="bullet"/>
      <w:lvlText w:val="•"/>
      <w:lvlJc w:val="left"/>
      <w:pPr>
        <w:ind w:left="2797" w:hanging="125"/>
      </w:pPr>
      <w:rPr>
        <w:rFonts w:hint="default"/>
      </w:rPr>
    </w:lvl>
    <w:lvl w:ilvl="6">
      <w:start w:val="0"/>
      <w:numFmt w:val="bullet"/>
      <w:lvlText w:val="•"/>
      <w:lvlJc w:val="left"/>
      <w:pPr>
        <w:ind w:left="3345" w:hanging="125"/>
      </w:pPr>
      <w:rPr>
        <w:rFonts w:hint="default"/>
      </w:rPr>
    </w:lvl>
    <w:lvl w:ilvl="7">
      <w:start w:val="0"/>
      <w:numFmt w:val="bullet"/>
      <w:lvlText w:val="•"/>
      <w:lvlJc w:val="left"/>
      <w:pPr>
        <w:ind w:left="3892" w:hanging="125"/>
      </w:pPr>
      <w:rPr>
        <w:rFonts w:hint="default"/>
      </w:rPr>
    </w:lvl>
    <w:lvl w:ilvl="8">
      <w:start w:val="0"/>
      <w:numFmt w:val="bullet"/>
      <w:lvlText w:val="•"/>
      <w:lvlJc w:val="left"/>
      <w:pPr>
        <w:ind w:left="4440" w:hanging="125"/>
      </w:pPr>
      <w:rPr>
        <w:rFonts w:hint="default"/>
      </w:rPr>
    </w:lvl>
  </w:abstractNum>
  <w:abstractNum w:abstractNumId="119">
    <w:multiLevelType w:val="hybridMultilevel"/>
    <w:lvl w:ilvl="0">
      <w:start w:val="4"/>
      <w:numFmt w:val="upperRoman"/>
      <w:lvlText w:val="%1."/>
      <w:lvlJc w:val="left"/>
      <w:pPr>
        <w:ind w:left="56" w:hanging="163"/>
        <w:jc w:val="left"/>
      </w:pPr>
      <w:rPr>
        <w:rFonts w:hint="default" w:ascii="Calibri" w:hAnsi="Calibri" w:eastAsia="Calibri" w:cs="Calibri"/>
        <w:w w:val="104"/>
        <w:sz w:val="12"/>
        <w:szCs w:val="12"/>
      </w:rPr>
    </w:lvl>
    <w:lvl w:ilvl="1">
      <w:start w:val="0"/>
      <w:numFmt w:val="bullet"/>
      <w:lvlText w:val="•"/>
      <w:lvlJc w:val="left"/>
      <w:pPr>
        <w:ind w:left="189" w:hanging="163"/>
      </w:pPr>
      <w:rPr>
        <w:rFonts w:hint="default"/>
      </w:rPr>
    </w:lvl>
    <w:lvl w:ilvl="2">
      <w:start w:val="0"/>
      <w:numFmt w:val="bullet"/>
      <w:lvlText w:val="•"/>
      <w:lvlJc w:val="left"/>
      <w:pPr>
        <w:ind w:left="319" w:hanging="163"/>
      </w:pPr>
      <w:rPr>
        <w:rFonts w:hint="default"/>
      </w:rPr>
    </w:lvl>
    <w:lvl w:ilvl="3">
      <w:start w:val="0"/>
      <w:numFmt w:val="bullet"/>
      <w:lvlText w:val="•"/>
      <w:lvlJc w:val="left"/>
      <w:pPr>
        <w:ind w:left="449" w:hanging="163"/>
      </w:pPr>
      <w:rPr>
        <w:rFonts w:hint="default"/>
      </w:rPr>
    </w:lvl>
    <w:lvl w:ilvl="4">
      <w:start w:val="0"/>
      <w:numFmt w:val="bullet"/>
      <w:lvlText w:val="•"/>
      <w:lvlJc w:val="left"/>
      <w:pPr>
        <w:ind w:left="579" w:hanging="163"/>
      </w:pPr>
      <w:rPr>
        <w:rFonts w:hint="default"/>
      </w:rPr>
    </w:lvl>
    <w:lvl w:ilvl="5">
      <w:start w:val="0"/>
      <w:numFmt w:val="bullet"/>
      <w:lvlText w:val="•"/>
      <w:lvlJc w:val="left"/>
      <w:pPr>
        <w:ind w:left="709" w:hanging="163"/>
      </w:pPr>
      <w:rPr>
        <w:rFonts w:hint="default"/>
      </w:rPr>
    </w:lvl>
    <w:lvl w:ilvl="6">
      <w:start w:val="0"/>
      <w:numFmt w:val="bullet"/>
      <w:lvlText w:val="•"/>
      <w:lvlJc w:val="left"/>
      <w:pPr>
        <w:ind w:left="839" w:hanging="163"/>
      </w:pPr>
      <w:rPr>
        <w:rFonts w:hint="default"/>
      </w:rPr>
    </w:lvl>
    <w:lvl w:ilvl="7">
      <w:start w:val="0"/>
      <w:numFmt w:val="bullet"/>
      <w:lvlText w:val="•"/>
      <w:lvlJc w:val="left"/>
      <w:pPr>
        <w:ind w:left="969" w:hanging="163"/>
      </w:pPr>
      <w:rPr>
        <w:rFonts w:hint="default"/>
      </w:rPr>
    </w:lvl>
    <w:lvl w:ilvl="8">
      <w:start w:val="0"/>
      <w:numFmt w:val="bullet"/>
      <w:lvlText w:val="•"/>
      <w:lvlJc w:val="left"/>
      <w:pPr>
        <w:ind w:left="1099" w:hanging="163"/>
      </w:pPr>
      <w:rPr>
        <w:rFonts w:hint="default"/>
      </w:rPr>
    </w:lvl>
  </w:abstractNum>
  <w:abstractNum w:abstractNumId="118">
    <w:multiLevelType w:val="hybridMultilevel"/>
    <w:lvl w:ilvl="0">
      <w:start w:val="1"/>
      <w:numFmt w:val="upperRoman"/>
      <w:lvlText w:val="%1."/>
      <w:lvlJc w:val="left"/>
      <w:pPr>
        <w:ind w:left="147" w:hanging="92"/>
        <w:jc w:val="left"/>
      </w:pPr>
      <w:rPr>
        <w:rFonts w:hint="default" w:ascii="Calibri" w:hAnsi="Calibri" w:eastAsia="Calibri" w:cs="Calibri"/>
        <w:w w:val="104"/>
        <w:sz w:val="12"/>
        <w:szCs w:val="12"/>
      </w:rPr>
    </w:lvl>
    <w:lvl w:ilvl="1">
      <w:start w:val="0"/>
      <w:numFmt w:val="bullet"/>
      <w:lvlText w:val="•"/>
      <w:lvlJc w:val="left"/>
      <w:pPr>
        <w:ind w:left="261" w:hanging="92"/>
      </w:pPr>
      <w:rPr>
        <w:rFonts w:hint="default"/>
      </w:rPr>
    </w:lvl>
    <w:lvl w:ilvl="2">
      <w:start w:val="0"/>
      <w:numFmt w:val="bullet"/>
      <w:lvlText w:val="•"/>
      <w:lvlJc w:val="left"/>
      <w:pPr>
        <w:ind w:left="383" w:hanging="92"/>
      </w:pPr>
      <w:rPr>
        <w:rFonts w:hint="default"/>
      </w:rPr>
    </w:lvl>
    <w:lvl w:ilvl="3">
      <w:start w:val="0"/>
      <w:numFmt w:val="bullet"/>
      <w:lvlText w:val="•"/>
      <w:lvlJc w:val="left"/>
      <w:pPr>
        <w:ind w:left="505" w:hanging="92"/>
      </w:pPr>
      <w:rPr>
        <w:rFonts w:hint="default"/>
      </w:rPr>
    </w:lvl>
    <w:lvl w:ilvl="4">
      <w:start w:val="0"/>
      <w:numFmt w:val="bullet"/>
      <w:lvlText w:val="•"/>
      <w:lvlJc w:val="left"/>
      <w:pPr>
        <w:ind w:left="627" w:hanging="92"/>
      </w:pPr>
      <w:rPr>
        <w:rFonts w:hint="default"/>
      </w:rPr>
    </w:lvl>
    <w:lvl w:ilvl="5">
      <w:start w:val="0"/>
      <w:numFmt w:val="bullet"/>
      <w:lvlText w:val="•"/>
      <w:lvlJc w:val="left"/>
      <w:pPr>
        <w:ind w:left="749" w:hanging="92"/>
      </w:pPr>
      <w:rPr>
        <w:rFonts w:hint="default"/>
      </w:rPr>
    </w:lvl>
    <w:lvl w:ilvl="6">
      <w:start w:val="0"/>
      <w:numFmt w:val="bullet"/>
      <w:lvlText w:val="•"/>
      <w:lvlJc w:val="left"/>
      <w:pPr>
        <w:ind w:left="871" w:hanging="92"/>
      </w:pPr>
      <w:rPr>
        <w:rFonts w:hint="default"/>
      </w:rPr>
    </w:lvl>
    <w:lvl w:ilvl="7">
      <w:start w:val="0"/>
      <w:numFmt w:val="bullet"/>
      <w:lvlText w:val="•"/>
      <w:lvlJc w:val="left"/>
      <w:pPr>
        <w:ind w:left="993" w:hanging="92"/>
      </w:pPr>
      <w:rPr>
        <w:rFonts w:hint="default"/>
      </w:rPr>
    </w:lvl>
    <w:lvl w:ilvl="8">
      <w:start w:val="0"/>
      <w:numFmt w:val="bullet"/>
      <w:lvlText w:val="•"/>
      <w:lvlJc w:val="left"/>
      <w:pPr>
        <w:ind w:left="1115" w:hanging="92"/>
      </w:pPr>
      <w:rPr>
        <w:rFonts w:hint="default"/>
      </w:rPr>
    </w:lvl>
  </w:abstractNum>
  <w:abstractNum w:abstractNumId="117">
    <w:multiLevelType w:val="hybridMultilevel"/>
    <w:lvl w:ilvl="0">
      <w:start w:val="5"/>
      <w:numFmt w:val="upperRoman"/>
      <w:lvlText w:val="%1."/>
      <w:lvlJc w:val="left"/>
      <w:pPr>
        <w:ind w:left="52" w:hanging="131"/>
        <w:jc w:val="left"/>
      </w:pPr>
      <w:rPr>
        <w:rFonts w:hint="default" w:ascii="Calibri" w:hAnsi="Calibri" w:eastAsia="Calibri" w:cs="Calibri"/>
        <w:spacing w:val="-1"/>
        <w:w w:val="104"/>
        <w:sz w:val="12"/>
        <w:szCs w:val="12"/>
      </w:rPr>
    </w:lvl>
    <w:lvl w:ilvl="1">
      <w:start w:val="0"/>
      <w:numFmt w:val="bullet"/>
      <w:lvlText w:val="•"/>
      <w:lvlJc w:val="left"/>
      <w:pPr>
        <w:ind w:left="189" w:hanging="131"/>
      </w:pPr>
      <w:rPr>
        <w:rFonts w:hint="default"/>
      </w:rPr>
    </w:lvl>
    <w:lvl w:ilvl="2">
      <w:start w:val="0"/>
      <w:numFmt w:val="bullet"/>
      <w:lvlText w:val="•"/>
      <w:lvlJc w:val="left"/>
      <w:pPr>
        <w:ind w:left="319" w:hanging="131"/>
      </w:pPr>
      <w:rPr>
        <w:rFonts w:hint="default"/>
      </w:rPr>
    </w:lvl>
    <w:lvl w:ilvl="3">
      <w:start w:val="0"/>
      <w:numFmt w:val="bullet"/>
      <w:lvlText w:val="•"/>
      <w:lvlJc w:val="left"/>
      <w:pPr>
        <w:ind w:left="449" w:hanging="131"/>
      </w:pPr>
      <w:rPr>
        <w:rFonts w:hint="default"/>
      </w:rPr>
    </w:lvl>
    <w:lvl w:ilvl="4">
      <w:start w:val="0"/>
      <w:numFmt w:val="bullet"/>
      <w:lvlText w:val="•"/>
      <w:lvlJc w:val="left"/>
      <w:pPr>
        <w:ind w:left="579" w:hanging="131"/>
      </w:pPr>
      <w:rPr>
        <w:rFonts w:hint="default"/>
      </w:rPr>
    </w:lvl>
    <w:lvl w:ilvl="5">
      <w:start w:val="0"/>
      <w:numFmt w:val="bullet"/>
      <w:lvlText w:val="•"/>
      <w:lvlJc w:val="left"/>
      <w:pPr>
        <w:ind w:left="709" w:hanging="131"/>
      </w:pPr>
      <w:rPr>
        <w:rFonts w:hint="default"/>
      </w:rPr>
    </w:lvl>
    <w:lvl w:ilvl="6">
      <w:start w:val="0"/>
      <w:numFmt w:val="bullet"/>
      <w:lvlText w:val="•"/>
      <w:lvlJc w:val="left"/>
      <w:pPr>
        <w:ind w:left="839" w:hanging="131"/>
      </w:pPr>
      <w:rPr>
        <w:rFonts w:hint="default"/>
      </w:rPr>
    </w:lvl>
    <w:lvl w:ilvl="7">
      <w:start w:val="0"/>
      <w:numFmt w:val="bullet"/>
      <w:lvlText w:val="•"/>
      <w:lvlJc w:val="left"/>
      <w:pPr>
        <w:ind w:left="969" w:hanging="131"/>
      </w:pPr>
      <w:rPr>
        <w:rFonts w:hint="default"/>
      </w:rPr>
    </w:lvl>
    <w:lvl w:ilvl="8">
      <w:start w:val="0"/>
      <w:numFmt w:val="bullet"/>
      <w:lvlText w:val="•"/>
      <w:lvlJc w:val="left"/>
      <w:pPr>
        <w:ind w:left="1099" w:hanging="131"/>
      </w:pPr>
      <w:rPr>
        <w:rFonts w:hint="default"/>
      </w:rPr>
    </w:lvl>
  </w:abstractNum>
  <w:abstractNum w:abstractNumId="116">
    <w:multiLevelType w:val="hybridMultilevel"/>
    <w:lvl w:ilvl="0">
      <w:start w:val="2"/>
      <w:numFmt w:val="upperRoman"/>
      <w:lvlText w:val="%1."/>
      <w:lvlJc w:val="left"/>
      <w:pPr>
        <w:ind w:left="175" w:hanging="124"/>
        <w:jc w:val="left"/>
      </w:pPr>
      <w:rPr>
        <w:rFonts w:hint="default" w:ascii="Calibri" w:hAnsi="Calibri" w:eastAsia="Calibri" w:cs="Calibri"/>
        <w:w w:val="104"/>
        <w:sz w:val="12"/>
        <w:szCs w:val="12"/>
      </w:rPr>
    </w:lvl>
    <w:lvl w:ilvl="1">
      <w:start w:val="0"/>
      <w:numFmt w:val="bullet"/>
      <w:lvlText w:val="•"/>
      <w:lvlJc w:val="left"/>
      <w:pPr>
        <w:ind w:left="297" w:hanging="124"/>
      </w:pPr>
      <w:rPr>
        <w:rFonts w:hint="default"/>
      </w:rPr>
    </w:lvl>
    <w:lvl w:ilvl="2">
      <w:start w:val="0"/>
      <w:numFmt w:val="bullet"/>
      <w:lvlText w:val="•"/>
      <w:lvlJc w:val="left"/>
      <w:pPr>
        <w:ind w:left="415" w:hanging="124"/>
      </w:pPr>
      <w:rPr>
        <w:rFonts w:hint="default"/>
      </w:rPr>
    </w:lvl>
    <w:lvl w:ilvl="3">
      <w:start w:val="0"/>
      <w:numFmt w:val="bullet"/>
      <w:lvlText w:val="•"/>
      <w:lvlJc w:val="left"/>
      <w:pPr>
        <w:ind w:left="533" w:hanging="124"/>
      </w:pPr>
      <w:rPr>
        <w:rFonts w:hint="default"/>
      </w:rPr>
    </w:lvl>
    <w:lvl w:ilvl="4">
      <w:start w:val="0"/>
      <w:numFmt w:val="bullet"/>
      <w:lvlText w:val="•"/>
      <w:lvlJc w:val="left"/>
      <w:pPr>
        <w:ind w:left="651" w:hanging="124"/>
      </w:pPr>
      <w:rPr>
        <w:rFonts w:hint="default"/>
      </w:rPr>
    </w:lvl>
    <w:lvl w:ilvl="5">
      <w:start w:val="0"/>
      <w:numFmt w:val="bullet"/>
      <w:lvlText w:val="•"/>
      <w:lvlJc w:val="left"/>
      <w:pPr>
        <w:ind w:left="769" w:hanging="124"/>
      </w:pPr>
      <w:rPr>
        <w:rFonts w:hint="default"/>
      </w:rPr>
    </w:lvl>
    <w:lvl w:ilvl="6">
      <w:start w:val="0"/>
      <w:numFmt w:val="bullet"/>
      <w:lvlText w:val="•"/>
      <w:lvlJc w:val="left"/>
      <w:pPr>
        <w:ind w:left="887" w:hanging="124"/>
      </w:pPr>
      <w:rPr>
        <w:rFonts w:hint="default"/>
      </w:rPr>
    </w:lvl>
    <w:lvl w:ilvl="7">
      <w:start w:val="0"/>
      <w:numFmt w:val="bullet"/>
      <w:lvlText w:val="•"/>
      <w:lvlJc w:val="left"/>
      <w:pPr>
        <w:ind w:left="1005" w:hanging="124"/>
      </w:pPr>
      <w:rPr>
        <w:rFonts w:hint="default"/>
      </w:rPr>
    </w:lvl>
    <w:lvl w:ilvl="8">
      <w:start w:val="0"/>
      <w:numFmt w:val="bullet"/>
      <w:lvlText w:val="•"/>
      <w:lvlJc w:val="left"/>
      <w:pPr>
        <w:ind w:left="1123" w:hanging="124"/>
      </w:pPr>
      <w:rPr>
        <w:rFonts w:hint="default"/>
      </w:rPr>
    </w:lvl>
  </w:abstractNum>
  <w:abstractNum w:abstractNumId="115">
    <w:multiLevelType w:val="hybridMultilevel"/>
    <w:lvl w:ilvl="0">
      <w:start w:val="1"/>
      <w:numFmt w:val="upperRoman"/>
      <w:lvlText w:val="%1."/>
      <w:lvlJc w:val="left"/>
      <w:pPr>
        <w:ind w:left="52" w:hanging="92"/>
        <w:jc w:val="left"/>
      </w:pPr>
      <w:rPr>
        <w:rFonts w:hint="default" w:ascii="Calibri" w:hAnsi="Calibri" w:eastAsia="Calibri" w:cs="Calibri"/>
        <w:w w:val="104"/>
        <w:sz w:val="12"/>
        <w:szCs w:val="12"/>
      </w:rPr>
    </w:lvl>
    <w:lvl w:ilvl="1">
      <w:start w:val="0"/>
      <w:numFmt w:val="bullet"/>
      <w:lvlText w:val="•"/>
      <w:lvlJc w:val="left"/>
      <w:pPr>
        <w:ind w:left="189" w:hanging="92"/>
      </w:pPr>
      <w:rPr>
        <w:rFonts w:hint="default"/>
      </w:rPr>
    </w:lvl>
    <w:lvl w:ilvl="2">
      <w:start w:val="0"/>
      <w:numFmt w:val="bullet"/>
      <w:lvlText w:val="•"/>
      <w:lvlJc w:val="left"/>
      <w:pPr>
        <w:ind w:left="319" w:hanging="92"/>
      </w:pPr>
      <w:rPr>
        <w:rFonts w:hint="default"/>
      </w:rPr>
    </w:lvl>
    <w:lvl w:ilvl="3">
      <w:start w:val="0"/>
      <w:numFmt w:val="bullet"/>
      <w:lvlText w:val="•"/>
      <w:lvlJc w:val="left"/>
      <w:pPr>
        <w:ind w:left="449" w:hanging="92"/>
      </w:pPr>
      <w:rPr>
        <w:rFonts w:hint="default"/>
      </w:rPr>
    </w:lvl>
    <w:lvl w:ilvl="4">
      <w:start w:val="0"/>
      <w:numFmt w:val="bullet"/>
      <w:lvlText w:val="•"/>
      <w:lvlJc w:val="left"/>
      <w:pPr>
        <w:ind w:left="579" w:hanging="92"/>
      </w:pPr>
      <w:rPr>
        <w:rFonts w:hint="default"/>
      </w:rPr>
    </w:lvl>
    <w:lvl w:ilvl="5">
      <w:start w:val="0"/>
      <w:numFmt w:val="bullet"/>
      <w:lvlText w:val="•"/>
      <w:lvlJc w:val="left"/>
      <w:pPr>
        <w:ind w:left="709" w:hanging="92"/>
      </w:pPr>
      <w:rPr>
        <w:rFonts w:hint="default"/>
      </w:rPr>
    </w:lvl>
    <w:lvl w:ilvl="6">
      <w:start w:val="0"/>
      <w:numFmt w:val="bullet"/>
      <w:lvlText w:val="•"/>
      <w:lvlJc w:val="left"/>
      <w:pPr>
        <w:ind w:left="839" w:hanging="92"/>
      </w:pPr>
      <w:rPr>
        <w:rFonts w:hint="default"/>
      </w:rPr>
    </w:lvl>
    <w:lvl w:ilvl="7">
      <w:start w:val="0"/>
      <w:numFmt w:val="bullet"/>
      <w:lvlText w:val="•"/>
      <w:lvlJc w:val="left"/>
      <w:pPr>
        <w:ind w:left="969" w:hanging="92"/>
      </w:pPr>
      <w:rPr>
        <w:rFonts w:hint="default"/>
      </w:rPr>
    </w:lvl>
    <w:lvl w:ilvl="8">
      <w:start w:val="0"/>
      <w:numFmt w:val="bullet"/>
      <w:lvlText w:val="•"/>
      <w:lvlJc w:val="left"/>
      <w:pPr>
        <w:ind w:left="1099" w:hanging="92"/>
      </w:pPr>
      <w:rPr>
        <w:rFonts w:hint="default"/>
      </w:rPr>
    </w:lvl>
  </w:abstractNum>
  <w:abstractNum w:abstractNumId="114">
    <w:multiLevelType w:val="hybridMultilevel"/>
    <w:lvl w:ilvl="0">
      <w:start w:val="0"/>
      <w:numFmt w:val="bullet"/>
      <w:lvlText w:val="*"/>
      <w:lvlJc w:val="left"/>
      <w:pPr>
        <w:ind w:left="52" w:hanging="101"/>
      </w:pPr>
      <w:rPr>
        <w:rFonts w:hint="default" w:ascii="Calibri" w:hAnsi="Calibri" w:eastAsia="Calibri" w:cs="Calibri"/>
        <w:w w:val="100"/>
        <w:sz w:val="14"/>
        <w:szCs w:val="14"/>
      </w:rPr>
    </w:lvl>
    <w:lvl w:ilvl="1">
      <w:start w:val="0"/>
      <w:numFmt w:val="bullet"/>
      <w:lvlText w:val="•"/>
      <w:lvlJc w:val="left"/>
      <w:pPr>
        <w:ind w:left="564" w:hanging="101"/>
      </w:pPr>
      <w:rPr>
        <w:rFonts w:hint="default"/>
      </w:rPr>
    </w:lvl>
    <w:lvl w:ilvl="2">
      <w:start w:val="0"/>
      <w:numFmt w:val="bullet"/>
      <w:lvlText w:val="•"/>
      <w:lvlJc w:val="left"/>
      <w:pPr>
        <w:ind w:left="1068" w:hanging="101"/>
      </w:pPr>
      <w:rPr>
        <w:rFonts w:hint="default"/>
      </w:rPr>
    </w:lvl>
    <w:lvl w:ilvl="3">
      <w:start w:val="0"/>
      <w:numFmt w:val="bullet"/>
      <w:lvlText w:val="•"/>
      <w:lvlJc w:val="left"/>
      <w:pPr>
        <w:ind w:left="1572" w:hanging="101"/>
      </w:pPr>
      <w:rPr>
        <w:rFonts w:hint="default"/>
      </w:rPr>
    </w:lvl>
    <w:lvl w:ilvl="4">
      <w:start w:val="0"/>
      <w:numFmt w:val="bullet"/>
      <w:lvlText w:val="•"/>
      <w:lvlJc w:val="left"/>
      <w:pPr>
        <w:ind w:left="2076" w:hanging="101"/>
      </w:pPr>
      <w:rPr>
        <w:rFonts w:hint="default"/>
      </w:rPr>
    </w:lvl>
    <w:lvl w:ilvl="5">
      <w:start w:val="0"/>
      <w:numFmt w:val="bullet"/>
      <w:lvlText w:val="•"/>
      <w:lvlJc w:val="left"/>
      <w:pPr>
        <w:ind w:left="2580" w:hanging="101"/>
      </w:pPr>
      <w:rPr>
        <w:rFonts w:hint="default"/>
      </w:rPr>
    </w:lvl>
    <w:lvl w:ilvl="6">
      <w:start w:val="0"/>
      <w:numFmt w:val="bullet"/>
      <w:lvlText w:val="•"/>
      <w:lvlJc w:val="left"/>
      <w:pPr>
        <w:ind w:left="3084" w:hanging="101"/>
      </w:pPr>
      <w:rPr>
        <w:rFonts w:hint="default"/>
      </w:rPr>
    </w:lvl>
    <w:lvl w:ilvl="7">
      <w:start w:val="0"/>
      <w:numFmt w:val="bullet"/>
      <w:lvlText w:val="•"/>
      <w:lvlJc w:val="left"/>
      <w:pPr>
        <w:ind w:left="3588" w:hanging="101"/>
      </w:pPr>
      <w:rPr>
        <w:rFonts w:hint="default"/>
      </w:rPr>
    </w:lvl>
    <w:lvl w:ilvl="8">
      <w:start w:val="0"/>
      <w:numFmt w:val="bullet"/>
      <w:lvlText w:val="•"/>
      <w:lvlJc w:val="left"/>
      <w:pPr>
        <w:ind w:left="4092" w:hanging="101"/>
      </w:pPr>
      <w:rPr>
        <w:rFonts w:hint="default"/>
      </w:rPr>
    </w:lvl>
  </w:abstractNum>
  <w:abstractNum w:abstractNumId="113">
    <w:multiLevelType w:val="hybridMultilevel"/>
    <w:lvl w:ilvl="0">
      <w:start w:val="3"/>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2960" w:hanging="303"/>
      </w:pPr>
      <w:rPr>
        <w:rFonts w:hint="default" w:ascii="Symbol" w:hAnsi="Symbol" w:eastAsia="Symbol" w:cs="Symbol"/>
        <w:w w:val="102"/>
        <w:sz w:val="18"/>
        <w:szCs w:val="18"/>
      </w:rPr>
    </w:lvl>
    <w:lvl w:ilvl="2">
      <w:start w:val="0"/>
      <w:numFmt w:val="bullet"/>
      <w:lvlText w:val="•"/>
      <w:lvlJc w:val="left"/>
      <w:pPr>
        <w:ind w:left="3784" w:hanging="303"/>
      </w:pPr>
      <w:rPr>
        <w:rFonts w:hint="default"/>
      </w:rPr>
    </w:lvl>
    <w:lvl w:ilvl="3">
      <w:start w:val="0"/>
      <w:numFmt w:val="bullet"/>
      <w:lvlText w:val="•"/>
      <w:lvlJc w:val="left"/>
      <w:pPr>
        <w:ind w:left="4608" w:hanging="303"/>
      </w:pPr>
      <w:rPr>
        <w:rFonts w:hint="default"/>
      </w:rPr>
    </w:lvl>
    <w:lvl w:ilvl="4">
      <w:start w:val="0"/>
      <w:numFmt w:val="bullet"/>
      <w:lvlText w:val="•"/>
      <w:lvlJc w:val="left"/>
      <w:pPr>
        <w:ind w:left="5433" w:hanging="303"/>
      </w:pPr>
      <w:rPr>
        <w:rFonts w:hint="default"/>
      </w:rPr>
    </w:lvl>
    <w:lvl w:ilvl="5">
      <w:start w:val="0"/>
      <w:numFmt w:val="bullet"/>
      <w:lvlText w:val="•"/>
      <w:lvlJc w:val="left"/>
      <w:pPr>
        <w:ind w:left="6257" w:hanging="303"/>
      </w:pPr>
      <w:rPr>
        <w:rFonts w:hint="default"/>
      </w:rPr>
    </w:lvl>
    <w:lvl w:ilvl="6">
      <w:start w:val="0"/>
      <w:numFmt w:val="bullet"/>
      <w:lvlText w:val="•"/>
      <w:lvlJc w:val="left"/>
      <w:pPr>
        <w:ind w:left="7082" w:hanging="303"/>
      </w:pPr>
      <w:rPr>
        <w:rFonts w:hint="default"/>
      </w:rPr>
    </w:lvl>
    <w:lvl w:ilvl="7">
      <w:start w:val="0"/>
      <w:numFmt w:val="bullet"/>
      <w:lvlText w:val="•"/>
      <w:lvlJc w:val="left"/>
      <w:pPr>
        <w:ind w:left="7906" w:hanging="303"/>
      </w:pPr>
      <w:rPr>
        <w:rFonts w:hint="default"/>
      </w:rPr>
    </w:lvl>
    <w:lvl w:ilvl="8">
      <w:start w:val="0"/>
      <w:numFmt w:val="bullet"/>
      <w:lvlText w:val="•"/>
      <w:lvlJc w:val="left"/>
      <w:pPr>
        <w:ind w:left="8731" w:hanging="303"/>
      </w:pPr>
      <w:rPr>
        <w:rFonts w:hint="default"/>
      </w:rPr>
    </w:lvl>
  </w:abstractNum>
  <w:abstractNum w:abstractNumId="112">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111">
    <w:multiLevelType w:val="hybridMultilevel"/>
    <w:lvl w:ilvl="0">
      <w:start w:val="7"/>
      <w:numFmt w:val="decimal"/>
      <w:lvlText w:val="%1."/>
      <w:lvlJc w:val="left"/>
      <w:pPr>
        <w:ind w:left="2336" w:hanging="301"/>
        <w:jc w:val="left"/>
      </w:pPr>
      <w:rPr>
        <w:rFonts w:hint="default" w:ascii="Calibri" w:hAnsi="Calibri" w:eastAsia="Calibri" w:cs="Calibri"/>
        <w:w w:val="100"/>
        <w:sz w:val="20"/>
        <w:szCs w:val="20"/>
      </w:rPr>
    </w:lvl>
    <w:lvl w:ilvl="1">
      <w:start w:val="1"/>
      <w:numFmt w:val="decimal"/>
      <w:lvlText w:val="%1.%2"/>
      <w:lvlJc w:val="left"/>
      <w:pPr>
        <w:ind w:left="2489" w:hanging="448"/>
        <w:jc w:val="left"/>
      </w:pPr>
      <w:rPr>
        <w:rFonts w:hint="default" w:ascii="Calibri" w:hAnsi="Calibri" w:eastAsia="Calibri" w:cs="Calibri"/>
        <w:b/>
        <w:bCs/>
        <w:color w:val="53A1B9"/>
        <w:w w:val="103"/>
        <w:sz w:val="18"/>
        <w:szCs w:val="18"/>
      </w:rPr>
    </w:lvl>
    <w:lvl w:ilvl="2">
      <w:start w:val="0"/>
      <w:numFmt w:val="bullet"/>
      <w:lvlText w:val="•"/>
      <w:lvlJc w:val="left"/>
      <w:pPr>
        <w:ind w:left="3313" w:hanging="448"/>
      </w:pPr>
      <w:rPr>
        <w:rFonts w:hint="default"/>
      </w:rPr>
    </w:lvl>
    <w:lvl w:ilvl="3">
      <w:start w:val="0"/>
      <w:numFmt w:val="bullet"/>
      <w:lvlText w:val="•"/>
      <w:lvlJc w:val="left"/>
      <w:pPr>
        <w:ind w:left="4146" w:hanging="448"/>
      </w:pPr>
      <w:rPr>
        <w:rFonts w:hint="default"/>
      </w:rPr>
    </w:lvl>
    <w:lvl w:ilvl="4">
      <w:start w:val="0"/>
      <w:numFmt w:val="bullet"/>
      <w:lvlText w:val="•"/>
      <w:lvlJc w:val="left"/>
      <w:pPr>
        <w:ind w:left="4980" w:hanging="448"/>
      </w:pPr>
      <w:rPr>
        <w:rFonts w:hint="default"/>
      </w:rPr>
    </w:lvl>
    <w:lvl w:ilvl="5">
      <w:start w:val="0"/>
      <w:numFmt w:val="bullet"/>
      <w:lvlText w:val="•"/>
      <w:lvlJc w:val="left"/>
      <w:pPr>
        <w:ind w:left="5813" w:hanging="448"/>
      </w:pPr>
      <w:rPr>
        <w:rFonts w:hint="default"/>
      </w:rPr>
    </w:lvl>
    <w:lvl w:ilvl="6">
      <w:start w:val="0"/>
      <w:numFmt w:val="bullet"/>
      <w:lvlText w:val="•"/>
      <w:lvlJc w:val="left"/>
      <w:pPr>
        <w:ind w:left="6646" w:hanging="448"/>
      </w:pPr>
      <w:rPr>
        <w:rFonts w:hint="default"/>
      </w:rPr>
    </w:lvl>
    <w:lvl w:ilvl="7">
      <w:start w:val="0"/>
      <w:numFmt w:val="bullet"/>
      <w:lvlText w:val="•"/>
      <w:lvlJc w:val="left"/>
      <w:pPr>
        <w:ind w:left="7480" w:hanging="448"/>
      </w:pPr>
      <w:rPr>
        <w:rFonts w:hint="default"/>
      </w:rPr>
    </w:lvl>
    <w:lvl w:ilvl="8">
      <w:start w:val="0"/>
      <w:numFmt w:val="bullet"/>
      <w:lvlText w:val="•"/>
      <w:lvlJc w:val="left"/>
      <w:pPr>
        <w:ind w:left="8313" w:hanging="448"/>
      </w:pPr>
      <w:rPr>
        <w:rFonts w:hint="default"/>
      </w:rPr>
    </w:lvl>
  </w:abstractNum>
  <w:abstractNum w:abstractNumId="110">
    <w:multiLevelType w:val="hybridMultilevel"/>
    <w:lvl w:ilvl="0">
      <w:start w:val="1"/>
      <w:numFmt w:val="decimal"/>
      <w:lvlText w:val="%1."/>
      <w:lvlJc w:val="left"/>
      <w:pPr>
        <w:ind w:left="2336" w:hanging="301"/>
        <w:jc w:val="left"/>
      </w:pPr>
      <w:rPr>
        <w:rFonts w:hint="default" w:ascii="Calibri" w:hAnsi="Calibri" w:eastAsia="Calibri" w:cs="Calibri"/>
        <w:w w:val="100"/>
        <w:sz w:val="20"/>
        <w:szCs w:val="20"/>
      </w:rPr>
    </w:lvl>
    <w:lvl w:ilvl="1">
      <w:start w:val="0"/>
      <w:numFmt w:val="bullet"/>
      <w:lvlText w:val="•"/>
      <w:lvlJc w:val="left"/>
      <w:pPr>
        <w:ind w:left="3144" w:hanging="301"/>
      </w:pPr>
      <w:rPr>
        <w:rFonts w:hint="default"/>
      </w:rPr>
    </w:lvl>
    <w:lvl w:ilvl="2">
      <w:start w:val="0"/>
      <w:numFmt w:val="bullet"/>
      <w:lvlText w:val="•"/>
      <w:lvlJc w:val="left"/>
      <w:pPr>
        <w:ind w:left="3948" w:hanging="301"/>
      </w:pPr>
      <w:rPr>
        <w:rFonts w:hint="default"/>
      </w:rPr>
    </w:lvl>
    <w:lvl w:ilvl="3">
      <w:start w:val="0"/>
      <w:numFmt w:val="bullet"/>
      <w:lvlText w:val="•"/>
      <w:lvlJc w:val="left"/>
      <w:pPr>
        <w:ind w:left="4752" w:hanging="301"/>
      </w:pPr>
      <w:rPr>
        <w:rFonts w:hint="default"/>
      </w:rPr>
    </w:lvl>
    <w:lvl w:ilvl="4">
      <w:start w:val="0"/>
      <w:numFmt w:val="bullet"/>
      <w:lvlText w:val="•"/>
      <w:lvlJc w:val="left"/>
      <w:pPr>
        <w:ind w:left="5556" w:hanging="301"/>
      </w:pPr>
      <w:rPr>
        <w:rFonts w:hint="default"/>
      </w:rPr>
    </w:lvl>
    <w:lvl w:ilvl="5">
      <w:start w:val="0"/>
      <w:numFmt w:val="bullet"/>
      <w:lvlText w:val="•"/>
      <w:lvlJc w:val="left"/>
      <w:pPr>
        <w:ind w:left="6360" w:hanging="301"/>
      </w:pPr>
      <w:rPr>
        <w:rFonts w:hint="default"/>
      </w:rPr>
    </w:lvl>
    <w:lvl w:ilvl="6">
      <w:start w:val="0"/>
      <w:numFmt w:val="bullet"/>
      <w:lvlText w:val="•"/>
      <w:lvlJc w:val="left"/>
      <w:pPr>
        <w:ind w:left="7164" w:hanging="301"/>
      </w:pPr>
      <w:rPr>
        <w:rFonts w:hint="default"/>
      </w:rPr>
    </w:lvl>
    <w:lvl w:ilvl="7">
      <w:start w:val="0"/>
      <w:numFmt w:val="bullet"/>
      <w:lvlText w:val="•"/>
      <w:lvlJc w:val="left"/>
      <w:pPr>
        <w:ind w:left="7968" w:hanging="301"/>
      </w:pPr>
      <w:rPr>
        <w:rFonts w:hint="default"/>
      </w:rPr>
    </w:lvl>
    <w:lvl w:ilvl="8">
      <w:start w:val="0"/>
      <w:numFmt w:val="bullet"/>
      <w:lvlText w:val="•"/>
      <w:lvlJc w:val="left"/>
      <w:pPr>
        <w:ind w:left="8772" w:hanging="301"/>
      </w:pPr>
      <w:rPr>
        <w:rFonts w:hint="default"/>
      </w:rPr>
    </w:lvl>
  </w:abstractNum>
  <w:abstractNum w:abstractNumId="109">
    <w:multiLevelType w:val="hybridMultilevel"/>
    <w:lvl w:ilvl="0">
      <w:start w:val="45"/>
      <w:numFmt w:val="decimal"/>
      <w:lvlText w:val="%1."/>
      <w:lvlJc w:val="left"/>
      <w:pPr>
        <w:ind w:left="2336" w:hanging="303"/>
        <w:jc w:val="left"/>
      </w:pPr>
      <w:rPr>
        <w:rFonts w:hint="default" w:ascii="Calibri" w:hAnsi="Calibri" w:eastAsia="Calibri" w:cs="Calibri"/>
        <w:w w:val="100"/>
        <w:sz w:val="20"/>
        <w:szCs w:val="20"/>
      </w:rPr>
    </w:lvl>
    <w:lvl w:ilvl="1">
      <w:start w:val="0"/>
      <w:numFmt w:val="bullet"/>
      <w:lvlText w:val="-"/>
      <w:lvlJc w:val="left"/>
      <w:pPr>
        <w:ind w:left="2693" w:hanging="236"/>
      </w:pPr>
      <w:rPr>
        <w:rFonts w:hint="default" w:ascii="Cambria" w:hAnsi="Cambria" w:eastAsia="Cambria" w:cs="Cambria"/>
        <w:w w:val="100"/>
        <w:sz w:val="20"/>
        <w:szCs w:val="20"/>
      </w:rPr>
    </w:lvl>
    <w:lvl w:ilvl="2">
      <w:start w:val="0"/>
      <w:numFmt w:val="bullet"/>
      <w:lvlText w:val="•"/>
      <w:lvlJc w:val="left"/>
      <w:pPr>
        <w:ind w:left="3553" w:hanging="236"/>
      </w:pPr>
      <w:rPr>
        <w:rFonts w:hint="default"/>
      </w:rPr>
    </w:lvl>
    <w:lvl w:ilvl="3">
      <w:start w:val="0"/>
      <w:numFmt w:val="bullet"/>
      <w:lvlText w:val="•"/>
      <w:lvlJc w:val="left"/>
      <w:pPr>
        <w:ind w:left="4406" w:hanging="236"/>
      </w:pPr>
      <w:rPr>
        <w:rFonts w:hint="default"/>
      </w:rPr>
    </w:lvl>
    <w:lvl w:ilvl="4">
      <w:start w:val="0"/>
      <w:numFmt w:val="bullet"/>
      <w:lvlText w:val="•"/>
      <w:lvlJc w:val="left"/>
      <w:pPr>
        <w:ind w:left="5260" w:hanging="236"/>
      </w:pPr>
      <w:rPr>
        <w:rFonts w:hint="default"/>
      </w:rPr>
    </w:lvl>
    <w:lvl w:ilvl="5">
      <w:start w:val="0"/>
      <w:numFmt w:val="bullet"/>
      <w:lvlText w:val="•"/>
      <w:lvlJc w:val="left"/>
      <w:pPr>
        <w:ind w:left="6113" w:hanging="236"/>
      </w:pPr>
      <w:rPr>
        <w:rFonts w:hint="default"/>
      </w:rPr>
    </w:lvl>
    <w:lvl w:ilvl="6">
      <w:start w:val="0"/>
      <w:numFmt w:val="bullet"/>
      <w:lvlText w:val="•"/>
      <w:lvlJc w:val="left"/>
      <w:pPr>
        <w:ind w:left="6966" w:hanging="236"/>
      </w:pPr>
      <w:rPr>
        <w:rFonts w:hint="default"/>
      </w:rPr>
    </w:lvl>
    <w:lvl w:ilvl="7">
      <w:start w:val="0"/>
      <w:numFmt w:val="bullet"/>
      <w:lvlText w:val="•"/>
      <w:lvlJc w:val="left"/>
      <w:pPr>
        <w:ind w:left="7820" w:hanging="236"/>
      </w:pPr>
      <w:rPr>
        <w:rFonts w:hint="default"/>
      </w:rPr>
    </w:lvl>
    <w:lvl w:ilvl="8">
      <w:start w:val="0"/>
      <w:numFmt w:val="bullet"/>
      <w:lvlText w:val="•"/>
      <w:lvlJc w:val="left"/>
      <w:pPr>
        <w:ind w:left="8673" w:hanging="236"/>
      </w:pPr>
      <w:rPr>
        <w:rFonts w:hint="default"/>
      </w:rPr>
    </w:lvl>
  </w:abstractNum>
  <w:abstractNum w:abstractNumId="108">
    <w:multiLevelType w:val="hybridMultilevel"/>
    <w:lvl w:ilvl="0">
      <w:start w:val="39"/>
      <w:numFmt w:val="decimal"/>
      <w:lvlText w:val="%1."/>
      <w:lvlJc w:val="left"/>
      <w:pPr>
        <w:ind w:left="2336" w:hanging="303"/>
        <w:jc w:val="left"/>
      </w:pPr>
      <w:rPr>
        <w:rFonts w:hint="default" w:ascii="Calibri" w:hAnsi="Calibri" w:eastAsia="Calibri" w:cs="Calibri"/>
        <w:w w:val="104"/>
        <w:sz w:val="20"/>
        <w:szCs w:val="20"/>
      </w:rPr>
    </w:lvl>
    <w:lvl w:ilvl="1">
      <w:start w:val="0"/>
      <w:numFmt w:val="bullet"/>
      <w:lvlText w:val="•"/>
      <w:lvlJc w:val="left"/>
      <w:pPr>
        <w:ind w:left="3144" w:hanging="303"/>
      </w:pPr>
      <w:rPr>
        <w:rFonts w:hint="default"/>
      </w:rPr>
    </w:lvl>
    <w:lvl w:ilvl="2">
      <w:start w:val="0"/>
      <w:numFmt w:val="bullet"/>
      <w:lvlText w:val="•"/>
      <w:lvlJc w:val="left"/>
      <w:pPr>
        <w:ind w:left="3948" w:hanging="303"/>
      </w:pPr>
      <w:rPr>
        <w:rFonts w:hint="default"/>
      </w:rPr>
    </w:lvl>
    <w:lvl w:ilvl="3">
      <w:start w:val="0"/>
      <w:numFmt w:val="bullet"/>
      <w:lvlText w:val="•"/>
      <w:lvlJc w:val="left"/>
      <w:pPr>
        <w:ind w:left="4752" w:hanging="303"/>
      </w:pPr>
      <w:rPr>
        <w:rFonts w:hint="default"/>
      </w:rPr>
    </w:lvl>
    <w:lvl w:ilvl="4">
      <w:start w:val="0"/>
      <w:numFmt w:val="bullet"/>
      <w:lvlText w:val="•"/>
      <w:lvlJc w:val="left"/>
      <w:pPr>
        <w:ind w:left="5556" w:hanging="303"/>
      </w:pPr>
      <w:rPr>
        <w:rFonts w:hint="default"/>
      </w:rPr>
    </w:lvl>
    <w:lvl w:ilvl="5">
      <w:start w:val="0"/>
      <w:numFmt w:val="bullet"/>
      <w:lvlText w:val="•"/>
      <w:lvlJc w:val="left"/>
      <w:pPr>
        <w:ind w:left="6360" w:hanging="303"/>
      </w:pPr>
      <w:rPr>
        <w:rFonts w:hint="default"/>
      </w:rPr>
    </w:lvl>
    <w:lvl w:ilvl="6">
      <w:start w:val="0"/>
      <w:numFmt w:val="bullet"/>
      <w:lvlText w:val="•"/>
      <w:lvlJc w:val="left"/>
      <w:pPr>
        <w:ind w:left="7164" w:hanging="303"/>
      </w:pPr>
      <w:rPr>
        <w:rFonts w:hint="default"/>
      </w:rPr>
    </w:lvl>
    <w:lvl w:ilvl="7">
      <w:start w:val="0"/>
      <w:numFmt w:val="bullet"/>
      <w:lvlText w:val="•"/>
      <w:lvlJc w:val="left"/>
      <w:pPr>
        <w:ind w:left="7968" w:hanging="303"/>
      </w:pPr>
      <w:rPr>
        <w:rFonts w:hint="default"/>
      </w:rPr>
    </w:lvl>
    <w:lvl w:ilvl="8">
      <w:start w:val="0"/>
      <w:numFmt w:val="bullet"/>
      <w:lvlText w:val="•"/>
      <w:lvlJc w:val="left"/>
      <w:pPr>
        <w:ind w:left="8772" w:hanging="303"/>
      </w:pPr>
      <w:rPr>
        <w:rFonts w:hint="default"/>
      </w:rPr>
    </w:lvl>
  </w:abstractNum>
  <w:abstractNum w:abstractNumId="107">
    <w:multiLevelType w:val="hybridMultilevel"/>
    <w:lvl w:ilvl="0">
      <w:start w:val="32"/>
      <w:numFmt w:val="decimal"/>
      <w:lvlText w:val="%1."/>
      <w:lvlJc w:val="left"/>
      <w:pPr>
        <w:ind w:left="2336" w:hanging="351"/>
        <w:jc w:val="left"/>
      </w:pPr>
      <w:rPr>
        <w:rFonts w:hint="default" w:ascii="Calibri" w:hAnsi="Calibri" w:eastAsia="Calibri" w:cs="Calibri"/>
        <w:w w:val="104"/>
        <w:sz w:val="20"/>
        <w:szCs w:val="20"/>
      </w:rPr>
    </w:lvl>
    <w:lvl w:ilvl="1">
      <w:start w:val="0"/>
      <w:numFmt w:val="bullet"/>
      <w:lvlText w:val="•"/>
      <w:lvlJc w:val="left"/>
      <w:pPr>
        <w:ind w:left="3144" w:hanging="351"/>
      </w:pPr>
      <w:rPr>
        <w:rFonts w:hint="default"/>
      </w:rPr>
    </w:lvl>
    <w:lvl w:ilvl="2">
      <w:start w:val="0"/>
      <w:numFmt w:val="bullet"/>
      <w:lvlText w:val="•"/>
      <w:lvlJc w:val="left"/>
      <w:pPr>
        <w:ind w:left="3948" w:hanging="351"/>
      </w:pPr>
      <w:rPr>
        <w:rFonts w:hint="default"/>
      </w:rPr>
    </w:lvl>
    <w:lvl w:ilvl="3">
      <w:start w:val="0"/>
      <w:numFmt w:val="bullet"/>
      <w:lvlText w:val="•"/>
      <w:lvlJc w:val="left"/>
      <w:pPr>
        <w:ind w:left="4752" w:hanging="351"/>
      </w:pPr>
      <w:rPr>
        <w:rFonts w:hint="default"/>
      </w:rPr>
    </w:lvl>
    <w:lvl w:ilvl="4">
      <w:start w:val="0"/>
      <w:numFmt w:val="bullet"/>
      <w:lvlText w:val="•"/>
      <w:lvlJc w:val="left"/>
      <w:pPr>
        <w:ind w:left="5556" w:hanging="351"/>
      </w:pPr>
      <w:rPr>
        <w:rFonts w:hint="default"/>
      </w:rPr>
    </w:lvl>
    <w:lvl w:ilvl="5">
      <w:start w:val="0"/>
      <w:numFmt w:val="bullet"/>
      <w:lvlText w:val="•"/>
      <w:lvlJc w:val="left"/>
      <w:pPr>
        <w:ind w:left="6360" w:hanging="351"/>
      </w:pPr>
      <w:rPr>
        <w:rFonts w:hint="default"/>
      </w:rPr>
    </w:lvl>
    <w:lvl w:ilvl="6">
      <w:start w:val="0"/>
      <w:numFmt w:val="bullet"/>
      <w:lvlText w:val="•"/>
      <w:lvlJc w:val="left"/>
      <w:pPr>
        <w:ind w:left="7164" w:hanging="351"/>
      </w:pPr>
      <w:rPr>
        <w:rFonts w:hint="default"/>
      </w:rPr>
    </w:lvl>
    <w:lvl w:ilvl="7">
      <w:start w:val="0"/>
      <w:numFmt w:val="bullet"/>
      <w:lvlText w:val="•"/>
      <w:lvlJc w:val="left"/>
      <w:pPr>
        <w:ind w:left="7968" w:hanging="351"/>
      </w:pPr>
      <w:rPr>
        <w:rFonts w:hint="default"/>
      </w:rPr>
    </w:lvl>
    <w:lvl w:ilvl="8">
      <w:start w:val="0"/>
      <w:numFmt w:val="bullet"/>
      <w:lvlText w:val="•"/>
      <w:lvlJc w:val="left"/>
      <w:pPr>
        <w:ind w:left="8772" w:hanging="351"/>
      </w:pPr>
      <w:rPr>
        <w:rFonts w:hint="default"/>
      </w:rPr>
    </w:lvl>
  </w:abstractNum>
  <w:abstractNum w:abstractNumId="106">
    <w:multiLevelType w:val="hybridMultilevel"/>
    <w:lvl w:ilvl="0">
      <w:start w:val="26"/>
      <w:numFmt w:val="decimal"/>
      <w:lvlText w:val="%1."/>
      <w:lvlJc w:val="left"/>
      <w:pPr>
        <w:ind w:left="2336" w:hanging="301"/>
        <w:jc w:val="left"/>
      </w:pPr>
      <w:rPr>
        <w:rFonts w:hint="default" w:ascii="Calibri" w:hAnsi="Calibri" w:eastAsia="Calibri" w:cs="Calibri"/>
        <w:w w:val="100"/>
        <w:sz w:val="20"/>
        <w:szCs w:val="20"/>
      </w:rPr>
    </w:lvl>
    <w:lvl w:ilvl="1">
      <w:start w:val="0"/>
      <w:numFmt w:val="bullet"/>
      <w:lvlText w:val="•"/>
      <w:lvlJc w:val="left"/>
      <w:pPr>
        <w:ind w:left="3144" w:hanging="301"/>
      </w:pPr>
      <w:rPr>
        <w:rFonts w:hint="default"/>
      </w:rPr>
    </w:lvl>
    <w:lvl w:ilvl="2">
      <w:start w:val="0"/>
      <w:numFmt w:val="bullet"/>
      <w:lvlText w:val="•"/>
      <w:lvlJc w:val="left"/>
      <w:pPr>
        <w:ind w:left="3948" w:hanging="301"/>
      </w:pPr>
      <w:rPr>
        <w:rFonts w:hint="default"/>
      </w:rPr>
    </w:lvl>
    <w:lvl w:ilvl="3">
      <w:start w:val="0"/>
      <w:numFmt w:val="bullet"/>
      <w:lvlText w:val="•"/>
      <w:lvlJc w:val="left"/>
      <w:pPr>
        <w:ind w:left="4752" w:hanging="301"/>
      </w:pPr>
      <w:rPr>
        <w:rFonts w:hint="default"/>
      </w:rPr>
    </w:lvl>
    <w:lvl w:ilvl="4">
      <w:start w:val="0"/>
      <w:numFmt w:val="bullet"/>
      <w:lvlText w:val="•"/>
      <w:lvlJc w:val="left"/>
      <w:pPr>
        <w:ind w:left="5556" w:hanging="301"/>
      </w:pPr>
      <w:rPr>
        <w:rFonts w:hint="default"/>
      </w:rPr>
    </w:lvl>
    <w:lvl w:ilvl="5">
      <w:start w:val="0"/>
      <w:numFmt w:val="bullet"/>
      <w:lvlText w:val="•"/>
      <w:lvlJc w:val="left"/>
      <w:pPr>
        <w:ind w:left="6360" w:hanging="301"/>
      </w:pPr>
      <w:rPr>
        <w:rFonts w:hint="default"/>
      </w:rPr>
    </w:lvl>
    <w:lvl w:ilvl="6">
      <w:start w:val="0"/>
      <w:numFmt w:val="bullet"/>
      <w:lvlText w:val="•"/>
      <w:lvlJc w:val="left"/>
      <w:pPr>
        <w:ind w:left="7164" w:hanging="301"/>
      </w:pPr>
      <w:rPr>
        <w:rFonts w:hint="default"/>
      </w:rPr>
    </w:lvl>
    <w:lvl w:ilvl="7">
      <w:start w:val="0"/>
      <w:numFmt w:val="bullet"/>
      <w:lvlText w:val="•"/>
      <w:lvlJc w:val="left"/>
      <w:pPr>
        <w:ind w:left="7968" w:hanging="301"/>
      </w:pPr>
      <w:rPr>
        <w:rFonts w:hint="default"/>
      </w:rPr>
    </w:lvl>
    <w:lvl w:ilvl="8">
      <w:start w:val="0"/>
      <w:numFmt w:val="bullet"/>
      <w:lvlText w:val="•"/>
      <w:lvlJc w:val="left"/>
      <w:pPr>
        <w:ind w:left="8772" w:hanging="301"/>
      </w:pPr>
      <w:rPr>
        <w:rFonts w:hint="default"/>
      </w:rPr>
    </w:lvl>
  </w:abstractNum>
  <w:abstractNum w:abstractNumId="105">
    <w:multiLevelType w:val="hybridMultilevel"/>
    <w:lvl w:ilvl="0">
      <w:start w:val="23"/>
      <w:numFmt w:val="decimal"/>
      <w:lvlText w:val="%1."/>
      <w:lvlJc w:val="left"/>
      <w:pPr>
        <w:ind w:left="2336" w:hanging="301"/>
        <w:jc w:val="left"/>
      </w:pPr>
      <w:rPr>
        <w:rFonts w:hint="default" w:ascii="Calibri" w:hAnsi="Calibri" w:eastAsia="Calibri" w:cs="Calibri"/>
        <w:w w:val="100"/>
        <w:sz w:val="20"/>
        <w:szCs w:val="20"/>
      </w:rPr>
    </w:lvl>
    <w:lvl w:ilvl="1">
      <w:start w:val="0"/>
      <w:numFmt w:val="bullet"/>
      <w:lvlText w:val=""/>
      <w:lvlJc w:val="left"/>
      <w:pPr>
        <w:ind w:left="2693" w:hanging="238"/>
      </w:pPr>
      <w:rPr>
        <w:rFonts w:hint="default" w:ascii="Symbol" w:hAnsi="Symbol" w:eastAsia="Symbol" w:cs="Symbol"/>
        <w:w w:val="100"/>
        <w:sz w:val="20"/>
        <w:szCs w:val="20"/>
      </w:rPr>
    </w:lvl>
    <w:lvl w:ilvl="2">
      <w:start w:val="0"/>
      <w:numFmt w:val="bullet"/>
      <w:lvlText w:val="•"/>
      <w:lvlJc w:val="left"/>
      <w:pPr>
        <w:ind w:left="3553" w:hanging="238"/>
      </w:pPr>
      <w:rPr>
        <w:rFonts w:hint="default"/>
      </w:rPr>
    </w:lvl>
    <w:lvl w:ilvl="3">
      <w:start w:val="0"/>
      <w:numFmt w:val="bullet"/>
      <w:lvlText w:val="•"/>
      <w:lvlJc w:val="left"/>
      <w:pPr>
        <w:ind w:left="4406" w:hanging="238"/>
      </w:pPr>
      <w:rPr>
        <w:rFonts w:hint="default"/>
      </w:rPr>
    </w:lvl>
    <w:lvl w:ilvl="4">
      <w:start w:val="0"/>
      <w:numFmt w:val="bullet"/>
      <w:lvlText w:val="•"/>
      <w:lvlJc w:val="left"/>
      <w:pPr>
        <w:ind w:left="5260" w:hanging="238"/>
      </w:pPr>
      <w:rPr>
        <w:rFonts w:hint="default"/>
      </w:rPr>
    </w:lvl>
    <w:lvl w:ilvl="5">
      <w:start w:val="0"/>
      <w:numFmt w:val="bullet"/>
      <w:lvlText w:val="•"/>
      <w:lvlJc w:val="left"/>
      <w:pPr>
        <w:ind w:left="6113" w:hanging="238"/>
      </w:pPr>
      <w:rPr>
        <w:rFonts w:hint="default"/>
      </w:rPr>
    </w:lvl>
    <w:lvl w:ilvl="6">
      <w:start w:val="0"/>
      <w:numFmt w:val="bullet"/>
      <w:lvlText w:val="•"/>
      <w:lvlJc w:val="left"/>
      <w:pPr>
        <w:ind w:left="6966" w:hanging="238"/>
      </w:pPr>
      <w:rPr>
        <w:rFonts w:hint="default"/>
      </w:rPr>
    </w:lvl>
    <w:lvl w:ilvl="7">
      <w:start w:val="0"/>
      <w:numFmt w:val="bullet"/>
      <w:lvlText w:val="•"/>
      <w:lvlJc w:val="left"/>
      <w:pPr>
        <w:ind w:left="7820" w:hanging="238"/>
      </w:pPr>
      <w:rPr>
        <w:rFonts w:hint="default"/>
      </w:rPr>
    </w:lvl>
    <w:lvl w:ilvl="8">
      <w:start w:val="0"/>
      <w:numFmt w:val="bullet"/>
      <w:lvlText w:val="•"/>
      <w:lvlJc w:val="left"/>
      <w:pPr>
        <w:ind w:left="8673" w:hanging="238"/>
      </w:pPr>
      <w:rPr>
        <w:rFonts w:hint="default"/>
      </w:rPr>
    </w:lvl>
  </w:abstractNum>
  <w:abstractNum w:abstractNumId="104">
    <w:multiLevelType w:val="hybridMultilevel"/>
    <w:lvl w:ilvl="0">
      <w:start w:val="18"/>
      <w:numFmt w:val="decimal"/>
      <w:lvlText w:val="%1."/>
      <w:lvlJc w:val="left"/>
      <w:pPr>
        <w:ind w:left="2336" w:hanging="301"/>
        <w:jc w:val="left"/>
      </w:pPr>
      <w:rPr>
        <w:rFonts w:hint="default" w:ascii="Calibri" w:hAnsi="Calibri" w:eastAsia="Calibri" w:cs="Calibri"/>
        <w:w w:val="100"/>
        <w:sz w:val="20"/>
        <w:szCs w:val="20"/>
      </w:rPr>
    </w:lvl>
    <w:lvl w:ilvl="1">
      <w:start w:val="0"/>
      <w:numFmt w:val="bullet"/>
      <w:lvlText w:val="•"/>
      <w:lvlJc w:val="left"/>
      <w:pPr>
        <w:ind w:left="3144" w:hanging="301"/>
      </w:pPr>
      <w:rPr>
        <w:rFonts w:hint="default"/>
      </w:rPr>
    </w:lvl>
    <w:lvl w:ilvl="2">
      <w:start w:val="0"/>
      <w:numFmt w:val="bullet"/>
      <w:lvlText w:val="•"/>
      <w:lvlJc w:val="left"/>
      <w:pPr>
        <w:ind w:left="3948" w:hanging="301"/>
      </w:pPr>
      <w:rPr>
        <w:rFonts w:hint="default"/>
      </w:rPr>
    </w:lvl>
    <w:lvl w:ilvl="3">
      <w:start w:val="0"/>
      <w:numFmt w:val="bullet"/>
      <w:lvlText w:val="•"/>
      <w:lvlJc w:val="left"/>
      <w:pPr>
        <w:ind w:left="4752" w:hanging="301"/>
      </w:pPr>
      <w:rPr>
        <w:rFonts w:hint="default"/>
      </w:rPr>
    </w:lvl>
    <w:lvl w:ilvl="4">
      <w:start w:val="0"/>
      <w:numFmt w:val="bullet"/>
      <w:lvlText w:val="•"/>
      <w:lvlJc w:val="left"/>
      <w:pPr>
        <w:ind w:left="5556" w:hanging="301"/>
      </w:pPr>
      <w:rPr>
        <w:rFonts w:hint="default"/>
      </w:rPr>
    </w:lvl>
    <w:lvl w:ilvl="5">
      <w:start w:val="0"/>
      <w:numFmt w:val="bullet"/>
      <w:lvlText w:val="•"/>
      <w:lvlJc w:val="left"/>
      <w:pPr>
        <w:ind w:left="6360" w:hanging="301"/>
      </w:pPr>
      <w:rPr>
        <w:rFonts w:hint="default"/>
      </w:rPr>
    </w:lvl>
    <w:lvl w:ilvl="6">
      <w:start w:val="0"/>
      <w:numFmt w:val="bullet"/>
      <w:lvlText w:val="•"/>
      <w:lvlJc w:val="left"/>
      <w:pPr>
        <w:ind w:left="7164" w:hanging="301"/>
      </w:pPr>
      <w:rPr>
        <w:rFonts w:hint="default"/>
      </w:rPr>
    </w:lvl>
    <w:lvl w:ilvl="7">
      <w:start w:val="0"/>
      <w:numFmt w:val="bullet"/>
      <w:lvlText w:val="•"/>
      <w:lvlJc w:val="left"/>
      <w:pPr>
        <w:ind w:left="7968" w:hanging="301"/>
      </w:pPr>
      <w:rPr>
        <w:rFonts w:hint="default"/>
      </w:rPr>
    </w:lvl>
    <w:lvl w:ilvl="8">
      <w:start w:val="0"/>
      <w:numFmt w:val="bullet"/>
      <w:lvlText w:val="•"/>
      <w:lvlJc w:val="left"/>
      <w:pPr>
        <w:ind w:left="8772" w:hanging="301"/>
      </w:pPr>
      <w:rPr>
        <w:rFonts w:hint="default"/>
      </w:rPr>
    </w:lvl>
  </w:abstractNum>
  <w:abstractNum w:abstractNumId="103">
    <w:multiLevelType w:val="hybridMultilevel"/>
    <w:lvl w:ilvl="0">
      <w:start w:val="14"/>
      <w:numFmt w:val="decimal"/>
      <w:lvlText w:val="%1."/>
      <w:lvlJc w:val="left"/>
      <w:pPr>
        <w:ind w:left="2336" w:hanging="301"/>
        <w:jc w:val="left"/>
      </w:pPr>
      <w:rPr>
        <w:rFonts w:hint="default" w:ascii="Calibri" w:hAnsi="Calibri" w:eastAsia="Calibri" w:cs="Calibri"/>
        <w:w w:val="100"/>
        <w:sz w:val="20"/>
        <w:szCs w:val="20"/>
      </w:rPr>
    </w:lvl>
    <w:lvl w:ilvl="1">
      <w:start w:val="0"/>
      <w:numFmt w:val="bullet"/>
      <w:lvlText w:val="•"/>
      <w:lvlJc w:val="left"/>
      <w:pPr>
        <w:ind w:left="3144" w:hanging="301"/>
      </w:pPr>
      <w:rPr>
        <w:rFonts w:hint="default"/>
      </w:rPr>
    </w:lvl>
    <w:lvl w:ilvl="2">
      <w:start w:val="0"/>
      <w:numFmt w:val="bullet"/>
      <w:lvlText w:val="•"/>
      <w:lvlJc w:val="left"/>
      <w:pPr>
        <w:ind w:left="3948" w:hanging="301"/>
      </w:pPr>
      <w:rPr>
        <w:rFonts w:hint="default"/>
      </w:rPr>
    </w:lvl>
    <w:lvl w:ilvl="3">
      <w:start w:val="0"/>
      <w:numFmt w:val="bullet"/>
      <w:lvlText w:val="•"/>
      <w:lvlJc w:val="left"/>
      <w:pPr>
        <w:ind w:left="4752" w:hanging="301"/>
      </w:pPr>
      <w:rPr>
        <w:rFonts w:hint="default"/>
      </w:rPr>
    </w:lvl>
    <w:lvl w:ilvl="4">
      <w:start w:val="0"/>
      <w:numFmt w:val="bullet"/>
      <w:lvlText w:val="•"/>
      <w:lvlJc w:val="left"/>
      <w:pPr>
        <w:ind w:left="5556" w:hanging="301"/>
      </w:pPr>
      <w:rPr>
        <w:rFonts w:hint="default"/>
      </w:rPr>
    </w:lvl>
    <w:lvl w:ilvl="5">
      <w:start w:val="0"/>
      <w:numFmt w:val="bullet"/>
      <w:lvlText w:val="•"/>
      <w:lvlJc w:val="left"/>
      <w:pPr>
        <w:ind w:left="6360" w:hanging="301"/>
      </w:pPr>
      <w:rPr>
        <w:rFonts w:hint="default"/>
      </w:rPr>
    </w:lvl>
    <w:lvl w:ilvl="6">
      <w:start w:val="0"/>
      <w:numFmt w:val="bullet"/>
      <w:lvlText w:val="•"/>
      <w:lvlJc w:val="left"/>
      <w:pPr>
        <w:ind w:left="7164" w:hanging="301"/>
      </w:pPr>
      <w:rPr>
        <w:rFonts w:hint="default"/>
      </w:rPr>
    </w:lvl>
    <w:lvl w:ilvl="7">
      <w:start w:val="0"/>
      <w:numFmt w:val="bullet"/>
      <w:lvlText w:val="•"/>
      <w:lvlJc w:val="left"/>
      <w:pPr>
        <w:ind w:left="7968" w:hanging="301"/>
      </w:pPr>
      <w:rPr>
        <w:rFonts w:hint="default"/>
      </w:rPr>
    </w:lvl>
    <w:lvl w:ilvl="8">
      <w:start w:val="0"/>
      <w:numFmt w:val="bullet"/>
      <w:lvlText w:val="•"/>
      <w:lvlJc w:val="left"/>
      <w:pPr>
        <w:ind w:left="8772" w:hanging="301"/>
      </w:pPr>
      <w:rPr>
        <w:rFonts w:hint="default"/>
      </w:rPr>
    </w:lvl>
  </w:abstractNum>
  <w:abstractNum w:abstractNumId="102">
    <w:multiLevelType w:val="hybridMultilevel"/>
    <w:lvl w:ilvl="0">
      <w:start w:val="6"/>
      <w:numFmt w:val="decimal"/>
      <w:lvlText w:val="%1."/>
      <w:lvlJc w:val="left"/>
      <w:pPr>
        <w:ind w:left="2336" w:hanging="303"/>
        <w:jc w:val="left"/>
      </w:pPr>
      <w:rPr>
        <w:rFonts w:hint="default" w:ascii="Calibri" w:hAnsi="Calibri" w:eastAsia="Calibri" w:cs="Calibri"/>
        <w:w w:val="100"/>
        <w:sz w:val="20"/>
        <w:szCs w:val="20"/>
      </w:rPr>
    </w:lvl>
    <w:lvl w:ilvl="1">
      <w:start w:val="0"/>
      <w:numFmt w:val="bullet"/>
      <w:lvlText w:val="•"/>
      <w:lvlJc w:val="left"/>
      <w:pPr>
        <w:ind w:left="3144" w:hanging="303"/>
      </w:pPr>
      <w:rPr>
        <w:rFonts w:hint="default"/>
      </w:rPr>
    </w:lvl>
    <w:lvl w:ilvl="2">
      <w:start w:val="0"/>
      <w:numFmt w:val="bullet"/>
      <w:lvlText w:val="•"/>
      <w:lvlJc w:val="left"/>
      <w:pPr>
        <w:ind w:left="3948" w:hanging="303"/>
      </w:pPr>
      <w:rPr>
        <w:rFonts w:hint="default"/>
      </w:rPr>
    </w:lvl>
    <w:lvl w:ilvl="3">
      <w:start w:val="0"/>
      <w:numFmt w:val="bullet"/>
      <w:lvlText w:val="•"/>
      <w:lvlJc w:val="left"/>
      <w:pPr>
        <w:ind w:left="4752" w:hanging="303"/>
      </w:pPr>
      <w:rPr>
        <w:rFonts w:hint="default"/>
      </w:rPr>
    </w:lvl>
    <w:lvl w:ilvl="4">
      <w:start w:val="0"/>
      <w:numFmt w:val="bullet"/>
      <w:lvlText w:val="•"/>
      <w:lvlJc w:val="left"/>
      <w:pPr>
        <w:ind w:left="5556" w:hanging="303"/>
      </w:pPr>
      <w:rPr>
        <w:rFonts w:hint="default"/>
      </w:rPr>
    </w:lvl>
    <w:lvl w:ilvl="5">
      <w:start w:val="0"/>
      <w:numFmt w:val="bullet"/>
      <w:lvlText w:val="•"/>
      <w:lvlJc w:val="left"/>
      <w:pPr>
        <w:ind w:left="6360" w:hanging="303"/>
      </w:pPr>
      <w:rPr>
        <w:rFonts w:hint="default"/>
      </w:rPr>
    </w:lvl>
    <w:lvl w:ilvl="6">
      <w:start w:val="0"/>
      <w:numFmt w:val="bullet"/>
      <w:lvlText w:val="•"/>
      <w:lvlJc w:val="left"/>
      <w:pPr>
        <w:ind w:left="7164" w:hanging="303"/>
      </w:pPr>
      <w:rPr>
        <w:rFonts w:hint="default"/>
      </w:rPr>
    </w:lvl>
    <w:lvl w:ilvl="7">
      <w:start w:val="0"/>
      <w:numFmt w:val="bullet"/>
      <w:lvlText w:val="•"/>
      <w:lvlJc w:val="left"/>
      <w:pPr>
        <w:ind w:left="7968" w:hanging="303"/>
      </w:pPr>
      <w:rPr>
        <w:rFonts w:hint="default"/>
      </w:rPr>
    </w:lvl>
    <w:lvl w:ilvl="8">
      <w:start w:val="0"/>
      <w:numFmt w:val="bullet"/>
      <w:lvlText w:val="•"/>
      <w:lvlJc w:val="left"/>
      <w:pPr>
        <w:ind w:left="8772" w:hanging="303"/>
      </w:pPr>
      <w:rPr>
        <w:rFonts w:hint="default"/>
      </w:rPr>
    </w:lvl>
  </w:abstractNum>
  <w:abstractNum w:abstractNumId="101">
    <w:multiLevelType w:val="hybridMultilevel"/>
    <w:lvl w:ilvl="0">
      <w:start w:val="1"/>
      <w:numFmt w:val="decimal"/>
      <w:lvlText w:val="%1."/>
      <w:lvlJc w:val="left"/>
      <w:pPr>
        <w:ind w:left="2336" w:hanging="303"/>
        <w:jc w:val="left"/>
      </w:pPr>
      <w:rPr>
        <w:rFonts w:hint="default" w:ascii="Calibri" w:hAnsi="Calibri" w:eastAsia="Calibri" w:cs="Calibri"/>
        <w:w w:val="100"/>
        <w:sz w:val="20"/>
        <w:szCs w:val="20"/>
      </w:rPr>
    </w:lvl>
    <w:lvl w:ilvl="1">
      <w:start w:val="0"/>
      <w:numFmt w:val="bullet"/>
      <w:lvlText w:val="•"/>
      <w:lvlJc w:val="left"/>
      <w:pPr>
        <w:ind w:left="3144" w:hanging="303"/>
      </w:pPr>
      <w:rPr>
        <w:rFonts w:hint="default"/>
      </w:rPr>
    </w:lvl>
    <w:lvl w:ilvl="2">
      <w:start w:val="0"/>
      <w:numFmt w:val="bullet"/>
      <w:lvlText w:val="•"/>
      <w:lvlJc w:val="left"/>
      <w:pPr>
        <w:ind w:left="3948" w:hanging="303"/>
      </w:pPr>
      <w:rPr>
        <w:rFonts w:hint="default"/>
      </w:rPr>
    </w:lvl>
    <w:lvl w:ilvl="3">
      <w:start w:val="0"/>
      <w:numFmt w:val="bullet"/>
      <w:lvlText w:val="•"/>
      <w:lvlJc w:val="left"/>
      <w:pPr>
        <w:ind w:left="4752" w:hanging="303"/>
      </w:pPr>
      <w:rPr>
        <w:rFonts w:hint="default"/>
      </w:rPr>
    </w:lvl>
    <w:lvl w:ilvl="4">
      <w:start w:val="0"/>
      <w:numFmt w:val="bullet"/>
      <w:lvlText w:val="•"/>
      <w:lvlJc w:val="left"/>
      <w:pPr>
        <w:ind w:left="5556" w:hanging="303"/>
      </w:pPr>
      <w:rPr>
        <w:rFonts w:hint="default"/>
      </w:rPr>
    </w:lvl>
    <w:lvl w:ilvl="5">
      <w:start w:val="0"/>
      <w:numFmt w:val="bullet"/>
      <w:lvlText w:val="•"/>
      <w:lvlJc w:val="left"/>
      <w:pPr>
        <w:ind w:left="6360" w:hanging="303"/>
      </w:pPr>
      <w:rPr>
        <w:rFonts w:hint="default"/>
      </w:rPr>
    </w:lvl>
    <w:lvl w:ilvl="6">
      <w:start w:val="0"/>
      <w:numFmt w:val="bullet"/>
      <w:lvlText w:val="•"/>
      <w:lvlJc w:val="left"/>
      <w:pPr>
        <w:ind w:left="7164" w:hanging="303"/>
      </w:pPr>
      <w:rPr>
        <w:rFonts w:hint="default"/>
      </w:rPr>
    </w:lvl>
    <w:lvl w:ilvl="7">
      <w:start w:val="0"/>
      <w:numFmt w:val="bullet"/>
      <w:lvlText w:val="•"/>
      <w:lvlJc w:val="left"/>
      <w:pPr>
        <w:ind w:left="7968" w:hanging="303"/>
      </w:pPr>
      <w:rPr>
        <w:rFonts w:hint="default"/>
      </w:rPr>
    </w:lvl>
    <w:lvl w:ilvl="8">
      <w:start w:val="0"/>
      <w:numFmt w:val="bullet"/>
      <w:lvlText w:val="•"/>
      <w:lvlJc w:val="left"/>
      <w:pPr>
        <w:ind w:left="8772" w:hanging="303"/>
      </w:pPr>
      <w:rPr>
        <w:rFonts w:hint="default"/>
      </w:rPr>
    </w:lvl>
  </w:abstractNum>
  <w:abstractNum w:abstractNumId="100">
    <w:multiLevelType w:val="hybridMultilevel"/>
    <w:lvl w:ilvl="0">
      <w:start w:val="9"/>
      <w:numFmt w:val="decimal"/>
      <w:lvlText w:val="%1"/>
      <w:lvlJc w:val="left"/>
      <w:pPr>
        <w:ind w:left="2582" w:hanging="484"/>
        <w:jc w:val="left"/>
      </w:pPr>
      <w:rPr>
        <w:rFonts w:hint="default"/>
      </w:rPr>
    </w:lvl>
    <w:lvl w:ilvl="1">
      <w:start w:val="1"/>
      <w:numFmt w:val="decimal"/>
      <w:lvlText w:val="%1.%2"/>
      <w:lvlJc w:val="left"/>
      <w:pPr>
        <w:ind w:left="2582" w:hanging="484"/>
        <w:jc w:val="left"/>
      </w:pPr>
      <w:rPr>
        <w:rFonts w:hint="default" w:ascii="Calibri" w:hAnsi="Calibri" w:eastAsia="Calibri" w:cs="Calibri"/>
        <w:b/>
        <w:bCs/>
        <w:color w:val="53A1B9"/>
        <w:w w:val="100"/>
        <w:sz w:val="20"/>
        <w:szCs w:val="20"/>
      </w:rPr>
    </w:lvl>
    <w:lvl w:ilvl="2">
      <w:start w:val="1"/>
      <w:numFmt w:val="decimal"/>
      <w:lvlText w:val="%1.%2.%3"/>
      <w:lvlJc w:val="left"/>
      <w:pPr>
        <w:ind w:left="2703" w:hanging="605"/>
        <w:jc w:val="left"/>
      </w:pPr>
      <w:rPr>
        <w:rFonts w:hint="default" w:ascii="Calibri" w:hAnsi="Calibri" w:eastAsia="Calibri" w:cs="Calibri"/>
        <w:b/>
        <w:bCs/>
        <w:color w:val="53A1B9"/>
        <w:spacing w:val="-1"/>
        <w:w w:val="100"/>
        <w:sz w:val="20"/>
        <w:szCs w:val="20"/>
      </w:rPr>
    </w:lvl>
    <w:lvl w:ilvl="3">
      <w:start w:val="0"/>
      <w:numFmt w:val="bullet"/>
      <w:lvlText w:val="•"/>
      <w:lvlJc w:val="left"/>
      <w:pPr>
        <w:ind w:left="4406" w:hanging="605"/>
      </w:pPr>
      <w:rPr>
        <w:rFonts w:hint="default"/>
      </w:rPr>
    </w:lvl>
    <w:lvl w:ilvl="4">
      <w:start w:val="0"/>
      <w:numFmt w:val="bullet"/>
      <w:lvlText w:val="•"/>
      <w:lvlJc w:val="left"/>
      <w:pPr>
        <w:ind w:left="5260" w:hanging="605"/>
      </w:pPr>
      <w:rPr>
        <w:rFonts w:hint="default"/>
      </w:rPr>
    </w:lvl>
    <w:lvl w:ilvl="5">
      <w:start w:val="0"/>
      <w:numFmt w:val="bullet"/>
      <w:lvlText w:val="•"/>
      <w:lvlJc w:val="left"/>
      <w:pPr>
        <w:ind w:left="6113" w:hanging="605"/>
      </w:pPr>
      <w:rPr>
        <w:rFonts w:hint="default"/>
      </w:rPr>
    </w:lvl>
    <w:lvl w:ilvl="6">
      <w:start w:val="0"/>
      <w:numFmt w:val="bullet"/>
      <w:lvlText w:val="•"/>
      <w:lvlJc w:val="left"/>
      <w:pPr>
        <w:ind w:left="6966" w:hanging="605"/>
      </w:pPr>
      <w:rPr>
        <w:rFonts w:hint="default"/>
      </w:rPr>
    </w:lvl>
    <w:lvl w:ilvl="7">
      <w:start w:val="0"/>
      <w:numFmt w:val="bullet"/>
      <w:lvlText w:val="•"/>
      <w:lvlJc w:val="left"/>
      <w:pPr>
        <w:ind w:left="7820" w:hanging="605"/>
      </w:pPr>
      <w:rPr>
        <w:rFonts w:hint="default"/>
      </w:rPr>
    </w:lvl>
    <w:lvl w:ilvl="8">
      <w:start w:val="0"/>
      <w:numFmt w:val="bullet"/>
      <w:lvlText w:val="•"/>
      <w:lvlJc w:val="left"/>
      <w:pPr>
        <w:ind w:left="8673" w:hanging="605"/>
      </w:pPr>
      <w:rPr>
        <w:rFonts w:hint="default"/>
      </w:rPr>
    </w:lvl>
  </w:abstractNum>
  <w:abstractNum w:abstractNumId="99">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98">
    <w:multiLevelType w:val="hybridMultilevel"/>
    <w:lvl w:ilvl="0">
      <w:start w:val="7"/>
      <w:numFmt w:val="decimal"/>
      <w:lvlText w:val="%1"/>
      <w:lvlJc w:val="left"/>
      <w:pPr>
        <w:ind w:left="2739" w:hanging="651"/>
        <w:jc w:val="left"/>
      </w:pPr>
      <w:rPr>
        <w:rFonts w:hint="default"/>
      </w:rPr>
    </w:lvl>
    <w:lvl w:ilvl="1">
      <w:start w:val="2"/>
      <w:numFmt w:val="decimal"/>
      <w:lvlText w:val="%1.%2"/>
      <w:lvlJc w:val="left"/>
      <w:pPr>
        <w:ind w:left="2739" w:hanging="651"/>
        <w:jc w:val="left"/>
      </w:pPr>
      <w:rPr>
        <w:rFonts w:hint="default"/>
      </w:rPr>
    </w:lvl>
    <w:lvl w:ilvl="2">
      <w:start w:val="2"/>
      <w:numFmt w:val="decimal"/>
      <w:lvlText w:val="%1.%2.%3"/>
      <w:lvlJc w:val="left"/>
      <w:pPr>
        <w:ind w:left="2739" w:hanging="651"/>
        <w:jc w:val="left"/>
      </w:pPr>
      <w:rPr>
        <w:rFonts w:hint="default" w:ascii="Calibri" w:hAnsi="Calibri" w:eastAsia="Calibri" w:cs="Calibri"/>
        <w:b/>
        <w:bCs/>
        <w:color w:val="53A1B9"/>
        <w:spacing w:val="-1"/>
        <w:w w:val="100"/>
        <w:sz w:val="20"/>
        <w:szCs w:val="20"/>
      </w:rPr>
    </w:lvl>
    <w:lvl w:ilvl="3">
      <w:start w:val="0"/>
      <w:numFmt w:val="bullet"/>
      <w:lvlText w:val="•"/>
      <w:lvlJc w:val="left"/>
      <w:pPr>
        <w:ind w:left="5032" w:hanging="651"/>
      </w:pPr>
      <w:rPr>
        <w:rFonts w:hint="default"/>
      </w:rPr>
    </w:lvl>
    <w:lvl w:ilvl="4">
      <w:start w:val="0"/>
      <w:numFmt w:val="bullet"/>
      <w:lvlText w:val="•"/>
      <w:lvlJc w:val="left"/>
      <w:pPr>
        <w:ind w:left="5796" w:hanging="651"/>
      </w:pPr>
      <w:rPr>
        <w:rFonts w:hint="default"/>
      </w:rPr>
    </w:lvl>
    <w:lvl w:ilvl="5">
      <w:start w:val="0"/>
      <w:numFmt w:val="bullet"/>
      <w:lvlText w:val="•"/>
      <w:lvlJc w:val="left"/>
      <w:pPr>
        <w:ind w:left="6560" w:hanging="651"/>
      </w:pPr>
      <w:rPr>
        <w:rFonts w:hint="default"/>
      </w:rPr>
    </w:lvl>
    <w:lvl w:ilvl="6">
      <w:start w:val="0"/>
      <w:numFmt w:val="bullet"/>
      <w:lvlText w:val="•"/>
      <w:lvlJc w:val="left"/>
      <w:pPr>
        <w:ind w:left="7324" w:hanging="651"/>
      </w:pPr>
      <w:rPr>
        <w:rFonts w:hint="default"/>
      </w:rPr>
    </w:lvl>
    <w:lvl w:ilvl="7">
      <w:start w:val="0"/>
      <w:numFmt w:val="bullet"/>
      <w:lvlText w:val="•"/>
      <w:lvlJc w:val="left"/>
      <w:pPr>
        <w:ind w:left="8088" w:hanging="651"/>
      </w:pPr>
      <w:rPr>
        <w:rFonts w:hint="default"/>
      </w:rPr>
    </w:lvl>
    <w:lvl w:ilvl="8">
      <w:start w:val="0"/>
      <w:numFmt w:val="bullet"/>
      <w:lvlText w:val="•"/>
      <w:lvlJc w:val="left"/>
      <w:pPr>
        <w:ind w:left="8852" w:hanging="651"/>
      </w:pPr>
      <w:rPr>
        <w:rFonts w:hint="default"/>
      </w:rPr>
    </w:lvl>
  </w:abstractNum>
  <w:abstractNum w:abstractNumId="97">
    <w:multiLevelType w:val="hybridMultilevel"/>
    <w:lvl w:ilvl="0">
      <w:start w:val="2"/>
      <w:numFmt w:val="decimal"/>
      <w:lvlText w:val="%1."/>
      <w:lvlJc w:val="left"/>
      <w:pPr>
        <w:ind w:left="2401" w:hanging="303"/>
        <w:jc w:val="left"/>
      </w:pPr>
      <w:rPr>
        <w:rFonts w:hint="default" w:ascii="Calibri" w:hAnsi="Calibri" w:eastAsia="Calibri" w:cs="Calibri"/>
        <w:w w:val="100"/>
        <w:sz w:val="20"/>
        <w:szCs w:val="20"/>
      </w:rPr>
    </w:lvl>
    <w:lvl w:ilvl="1">
      <w:start w:val="0"/>
      <w:numFmt w:val="bullet"/>
      <w:lvlText w:val="-"/>
      <w:lvlJc w:val="left"/>
      <w:pPr>
        <w:ind w:left="2703" w:hanging="303"/>
      </w:pPr>
      <w:rPr>
        <w:rFonts w:hint="default" w:ascii="Cambria" w:hAnsi="Cambria" w:eastAsia="Cambria" w:cs="Cambria"/>
        <w:w w:val="100"/>
        <w:sz w:val="20"/>
        <w:szCs w:val="20"/>
      </w:rPr>
    </w:lvl>
    <w:lvl w:ilvl="2">
      <w:start w:val="0"/>
      <w:numFmt w:val="bullet"/>
      <w:lvlText w:val="•"/>
      <w:lvlJc w:val="left"/>
      <w:pPr>
        <w:ind w:left="3553" w:hanging="303"/>
      </w:pPr>
      <w:rPr>
        <w:rFonts w:hint="default"/>
      </w:rPr>
    </w:lvl>
    <w:lvl w:ilvl="3">
      <w:start w:val="0"/>
      <w:numFmt w:val="bullet"/>
      <w:lvlText w:val="•"/>
      <w:lvlJc w:val="left"/>
      <w:pPr>
        <w:ind w:left="4406" w:hanging="303"/>
      </w:pPr>
      <w:rPr>
        <w:rFonts w:hint="default"/>
      </w:rPr>
    </w:lvl>
    <w:lvl w:ilvl="4">
      <w:start w:val="0"/>
      <w:numFmt w:val="bullet"/>
      <w:lvlText w:val="•"/>
      <w:lvlJc w:val="left"/>
      <w:pPr>
        <w:ind w:left="5260" w:hanging="303"/>
      </w:pPr>
      <w:rPr>
        <w:rFonts w:hint="default"/>
      </w:rPr>
    </w:lvl>
    <w:lvl w:ilvl="5">
      <w:start w:val="0"/>
      <w:numFmt w:val="bullet"/>
      <w:lvlText w:val="•"/>
      <w:lvlJc w:val="left"/>
      <w:pPr>
        <w:ind w:left="6113" w:hanging="303"/>
      </w:pPr>
      <w:rPr>
        <w:rFonts w:hint="default"/>
      </w:rPr>
    </w:lvl>
    <w:lvl w:ilvl="6">
      <w:start w:val="0"/>
      <w:numFmt w:val="bullet"/>
      <w:lvlText w:val="•"/>
      <w:lvlJc w:val="left"/>
      <w:pPr>
        <w:ind w:left="6966" w:hanging="303"/>
      </w:pPr>
      <w:rPr>
        <w:rFonts w:hint="default"/>
      </w:rPr>
    </w:lvl>
    <w:lvl w:ilvl="7">
      <w:start w:val="0"/>
      <w:numFmt w:val="bullet"/>
      <w:lvlText w:val="•"/>
      <w:lvlJc w:val="left"/>
      <w:pPr>
        <w:ind w:left="7820" w:hanging="303"/>
      </w:pPr>
      <w:rPr>
        <w:rFonts w:hint="default"/>
      </w:rPr>
    </w:lvl>
    <w:lvl w:ilvl="8">
      <w:start w:val="0"/>
      <w:numFmt w:val="bullet"/>
      <w:lvlText w:val="•"/>
      <w:lvlJc w:val="left"/>
      <w:pPr>
        <w:ind w:left="8673" w:hanging="303"/>
      </w:pPr>
      <w:rPr>
        <w:rFonts w:hint="default"/>
      </w:rPr>
    </w:lvl>
  </w:abstractNum>
  <w:abstractNum w:abstractNumId="96">
    <w:multiLevelType w:val="hybridMultilevel"/>
    <w:lvl w:ilvl="0">
      <w:start w:val="0"/>
      <w:numFmt w:val="bullet"/>
      <w:lvlText w:val="-"/>
      <w:lvlJc w:val="left"/>
      <w:pPr>
        <w:ind w:left="2703" w:hanging="248"/>
      </w:pPr>
      <w:rPr>
        <w:rFonts w:hint="default" w:ascii="Cambria" w:hAnsi="Cambria" w:eastAsia="Cambria" w:cs="Cambria"/>
        <w:w w:val="100"/>
        <w:sz w:val="20"/>
        <w:szCs w:val="20"/>
      </w:rPr>
    </w:lvl>
    <w:lvl w:ilvl="1">
      <w:start w:val="0"/>
      <w:numFmt w:val="bullet"/>
      <w:lvlText w:val="•"/>
      <w:lvlJc w:val="left"/>
      <w:pPr>
        <w:ind w:left="3468" w:hanging="248"/>
      </w:pPr>
      <w:rPr>
        <w:rFonts w:hint="default"/>
      </w:rPr>
    </w:lvl>
    <w:lvl w:ilvl="2">
      <w:start w:val="0"/>
      <w:numFmt w:val="bullet"/>
      <w:lvlText w:val="•"/>
      <w:lvlJc w:val="left"/>
      <w:pPr>
        <w:ind w:left="4236" w:hanging="248"/>
      </w:pPr>
      <w:rPr>
        <w:rFonts w:hint="default"/>
      </w:rPr>
    </w:lvl>
    <w:lvl w:ilvl="3">
      <w:start w:val="0"/>
      <w:numFmt w:val="bullet"/>
      <w:lvlText w:val="•"/>
      <w:lvlJc w:val="left"/>
      <w:pPr>
        <w:ind w:left="5004" w:hanging="248"/>
      </w:pPr>
      <w:rPr>
        <w:rFonts w:hint="default"/>
      </w:rPr>
    </w:lvl>
    <w:lvl w:ilvl="4">
      <w:start w:val="0"/>
      <w:numFmt w:val="bullet"/>
      <w:lvlText w:val="•"/>
      <w:lvlJc w:val="left"/>
      <w:pPr>
        <w:ind w:left="5772" w:hanging="248"/>
      </w:pPr>
      <w:rPr>
        <w:rFonts w:hint="default"/>
      </w:rPr>
    </w:lvl>
    <w:lvl w:ilvl="5">
      <w:start w:val="0"/>
      <w:numFmt w:val="bullet"/>
      <w:lvlText w:val="•"/>
      <w:lvlJc w:val="left"/>
      <w:pPr>
        <w:ind w:left="6540" w:hanging="248"/>
      </w:pPr>
      <w:rPr>
        <w:rFonts w:hint="default"/>
      </w:rPr>
    </w:lvl>
    <w:lvl w:ilvl="6">
      <w:start w:val="0"/>
      <w:numFmt w:val="bullet"/>
      <w:lvlText w:val="•"/>
      <w:lvlJc w:val="left"/>
      <w:pPr>
        <w:ind w:left="7308" w:hanging="248"/>
      </w:pPr>
      <w:rPr>
        <w:rFonts w:hint="default"/>
      </w:rPr>
    </w:lvl>
    <w:lvl w:ilvl="7">
      <w:start w:val="0"/>
      <w:numFmt w:val="bullet"/>
      <w:lvlText w:val="•"/>
      <w:lvlJc w:val="left"/>
      <w:pPr>
        <w:ind w:left="8076" w:hanging="248"/>
      </w:pPr>
      <w:rPr>
        <w:rFonts w:hint="default"/>
      </w:rPr>
    </w:lvl>
    <w:lvl w:ilvl="8">
      <w:start w:val="0"/>
      <w:numFmt w:val="bullet"/>
      <w:lvlText w:val="•"/>
      <w:lvlJc w:val="left"/>
      <w:pPr>
        <w:ind w:left="8844" w:hanging="248"/>
      </w:pPr>
      <w:rPr>
        <w:rFonts w:hint="default"/>
      </w:rPr>
    </w:lvl>
  </w:abstractNum>
  <w:abstractNum w:abstractNumId="95">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94">
    <w:multiLevelType w:val="hybridMultilevel"/>
    <w:lvl w:ilvl="0">
      <w:start w:val="7"/>
      <w:numFmt w:val="decimal"/>
      <w:lvlText w:val="%1"/>
      <w:lvlJc w:val="left"/>
      <w:pPr>
        <w:ind w:left="2629" w:hanging="530"/>
        <w:jc w:val="left"/>
      </w:pPr>
      <w:rPr>
        <w:rFonts w:hint="default"/>
      </w:rPr>
    </w:lvl>
    <w:lvl w:ilvl="1">
      <w:start w:val="1"/>
      <w:numFmt w:val="decimal"/>
      <w:lvlText w:val="%1.%2"/>
      <w:lvlJc w:val="left"/>
      <w:pPr>
        <w:ind w:left="2629" w:hanging="530"/>
        <w:jc w:val="left"/>
      </w:pPr>
      <w:rPr>
        <w:rFonts w:hint="default" w:ascii="Calibri" w:hAnsi="Calibri" w:eastAsia="Calibri" w:cs="Calibri"/>
        <w:b/>
        <w:bCs/>
        <w:color w:val="53A1B9"/>
        <w:w w:val="100"/>
        <w:sz w:val="20"/>
        <w:szCs w:val="20"/>
      </w:rPr>
    </w:lvl>
    <w:lvl w:ilvl="2">
      <w:start w:val="1"/>
      <w:numFmt w:val="decimal"/>
      <w:lvlText w:val="%1.%2.%3"/>
      <w:lvlJc w:val="left"/>
      <w:pPr>
        <w:ind w:left="2693" w:hanging="605"/>
        <w:jc w:val="left"/>
      </w:pPr>
      <w:rPr>
        <w:rFonts w:hint="default" w:ascii="Calibri" w:hAnsi="Calibri" w:eastAsia="Calibri" w:cs="Calibri"/>
        <w:b/>
        <w:bCs/>
        <w:color w:val="53A1B9"/>
        <w:spacing w:val="-1"/>
        <w:w w:val="100"/>
        <w:sz w:val="20"/>
        <w:szCs w:val="20"/>
      </w:rPr>
    </w:lvl>
    <w:lvl w:ilvl="3">
      <w:start w:val="0"/>
      <w:numFmt w:val="bullet"/>
      <w:lvlText w:val="•"/>
      <w:lvlJc w:val="left"/>
      <w:pPr>
        <w:ind w:left="4406" w:hanging="605"/>
      </w:pPr>
      <w:rPr>
        <w:rFonts w:hint="default"/>
      </w:rPr>
    </w:lvl>
    <w:lvl w:ilvl="4">
      <w:start w:val="0"/>
      <w:numFmt w:val="bullet"/>
      <w:lvlText w:val="•"/>
      <w:lvlJc w:val="left"/>
      <w:pPr>
        <w:ind w:left="5260" w:hanging="605"/>
      </w:pPr>
      <w:rPr>
        <w:rFonts w:hint="default"/>
      </w:rPr>
    </w:lvl>
    <w:lvl w:ilvl="5">
      <w:start w:val="0"/>
      <w:numFmt w:val="bullet"/>
      <w:lvlText w:val="•"/>
      <w:lvlJc w:val="left"/>
      <w:pPr>
        <w:ind w:left="6113" w:hanging="605"/>
      </w:pPr>
      <w:rPr>
        <w:rFonts w:hint="default"/>
      </w:rPr>
    </w:lvl>
    <w:lvl w:ilvl="6">
      <w:start w:val="0"/>
      <w:numFmt w:val="bullet"/>
      <w:lvlText w:val="•"/>
      <w:lvlJc w:val="left"/>
      <w:pPr>
        <w:ind w:left="6966" w:hanging="605"/>
      </w:pPr>
      <w:rPr>
        <w:rFonts w:hint="default"/>
      </w:rPr>
    </w:lvl>
    <w:lvl w:ilvl="7">
      <w:start w:val="0"/>
      <w:numFmt w:val="bullet"/>
      <w:lvlText w:val="•"/>
      <w:lvlJc w:val="left"/>
      <w:pPr>
        <w:ind w:left="7820" w:hanging="605"/>
      </w:pPr>
      <w:rPr>
        <w:rFonts w:hint="default"/>
      </w:rPr>
    </w:lvl>
    <w:lvl w:ilvl="8">
      <w:start w:val="0"/>
      <w:numFmt w:val="bullet"/>
      <w:lvlText w:val="•"/>
      <w:lvlJc w:val="left"/>
      <w:pPr>
        <w:ind w:left="8673" w:hanging="605"/>
      </w:pPr>
      <w:rPr>
        <w:rFonts w:hint="default"/>
      </w:rPr>
    </w:lvl>
  </w:abstractNum>
  <w:abstractNum w:abstractNumId="92">
    <w:multiLevelType w:val="hybridMultilevel"/>
    <w:lvl w:ilvl="0">
      <w:start w:val="0"/>
      <w:numFmt w:val="bullet"/>
      <w:lvlText w:val="-"/>
      <w:lvlJc w:val="left"/>
      <w:pPr>
        <w:ind w:left="2703" w:hanging="303"/>
      </w:pPr>
      <w:rPr>
        <w:rFonts w:hint="default" w:ascii="Cambria" w:hAnsi="Cambria" w:eastAsia="Cambria" w:cs="Cambria"/>
        <w:w w:val="100"/>
        <w:sz w:val="20"/>
        <w:szCs w:val="20"/>
      </w:rPr>
    </w:lvl>
    <w:lvl w:ilvl="1">
      <w:start w:val="0"/>
      <w:numFmt w:val="bullet"/>
      <w:lvlText w:val="•"/>
      <w:lvlJc w:val="left"/>
      <w:pPr>
        <w:ind w:left="3468" w:hanging="303"/>
      </w:pPr>
      <w:rPr>
        <w:rFonts w:hint="default"/>
      </w:rPr>
    </w:lvl>
    <w:lvl w:ilvl="2">
      <w:start w:val="0"/>
      <w:numFmt w:val="bullet"/>
      <w:lvlText w:val="•"/>
      <w:lvlJc w:val="left"/>
      <w:pPr>
        <w:ind w:left="4236" w:hanging="303"/>
      </w:pPr>
      <w:rPr>
        <w:rFonts w:hint="default"/>
      </w:rPr>
    </w:lvl>
    <w:lvl w:ilvl="3">
      <w:start w:val="0"/>
      <w:numFmt w:val="bullet"/>
      <w:lvlText w:val="•"/>
      <w:lvlJc w:val="left"/>
      <w:pPr>
        <w:ind w:left="5004" w:hanging="303"/>
      </w:pPr>
      <w:rPr>
        <w:rFonts w:hint="default"/>
      </w:rPr>
    </w:lvl>
    <w:lvl w:ilvl="4">
      <w:start w:val="0"/>
      <w:numFmt w:val="bullet"/>
      <w:lvlText w:val="•"/>
      <w:lvlJc w:val="left"/>
      <w:pPr>
        <w:ind w:left="5772" w:hanging="303"/>
      </w:pPr>
      <w:rPr>
        <w:rFonts w:hint="default"/>
      </w:rPr>
    </w:lvl>
    <w:lvl w:ilvl="5">
      <w:start w:val="0"/>
      <w:numFmt w:val="bullet"/>
      <w:lvlText w:val="•"/>
      <w:lvlJc w:val="left"/>
      <w:pPr>
        <w:ind w:left="6540" w:hanging="303"/>
      </w:pPr>
      <w:rPr>
        <w:rFonts w:hint="default"/>
      </w:rPr>
    </w:lvl>
    <w:lvl w:ilvl="6">
      <w:start w:val="0"/>
      <w:numFmt w:val="bullet"/>
      <w:lvlText w:val="•"/>
      <w:lvlJc w:val="left"/>
      <w:pPr>
        <w:ind w:left="7308" w:hanging="303"/>
      </w:pPr>
      <w:rPr>
        <w:rFonts w:hint="default"/>
      </w:rPr>
    </w:lvl>
    <w:lvl w:ilvl="7">
      <w:start w:val="0"/>
      <w:numFmt w:val="bullet"/>
      <w:lvlText w:val="•"/>
      <w:lvlJc w:val="left"/>
      <w:pPr>
        <w:ind w:left="8076" w:hanging="303"/>
      </w:pPr>
      <w:rPr>
        <w:rFonts w:hint="default"/>
      </w:rPr>
    </w:lvl>
    <w:lvl w:ilvl="8">
      <w:start w:val="0"/>
      <w:numFmt w:val="bullet"/>
      <w:lvlText w:val="•"/>
      <w:lvlJc w:val="left"/>
      <w:pPr>
        <w:ind w:left="8844" w:hanging="303"/>
      </w:pPr>
      <w:rPr>
        <w:rFonts w:hint="default"/>
      </w:rPr>
    </w:lvl>
  </w:abstractNum>
  <w:abstractNum w:abstractNumId="91">
    <w:multiLevelType w:val="hybridMultilevel"/>
    <w:lvl w:ilvl="0">
      <w:start w:val="4"/>
      <w:numFmt w:val="decimal"/>
      <w:lvlText w:val="%1."/>
      <w:lvlJc w:val="left"/>
      <w:pPr>
        <w:ind w:left="2336" w:hanging="238"/>
        <w:jc w:val="left"/>
      </w:pPr>
      <w:rPr>
        <w:rFonts w:hint="default" w:ascii="Calibri" w:hAnsi="Calibri" w:eastAsia="Calibri" w:cs="Calibri"/>
        <w:w w:val="100"/>
        <w:sz w:val="20"/>
        <w:szCs w:val="20"/>
      </w:rPr>
    </w:lvl>
    <w:lvl w:ilvl="1">
      <w:start w:val="1"/>
      <w:numFmt w:val="lowerLetter"/>
      <w:lvlText w:val="%2."/>
      <w:lvlJc w:val="left"/>
      <w:pPr>
        <w:ind w:left="2693" w:hanging="303"/>
        <w:jc w:val="left"/>
      </w:pPr>
      <w:rPr>
        <w:rFonts w:hint="default" w:ascii="Calibri" w:hAnsi="Calibri" w:eastAsia="Calibri" w:cs="Calibri"/>
        <w:w w:val="100"/>
        <w:sz w:val="20"/>
        <w:szCs w:val="20"/>
      </w:rPr>
    </w:lvl>
    <w:lvl w:ilvl="2">
      <w:start w:val="0"/>
      <w:numFmt w:val="bullet"/>
      <w:lvlText w:val="•"/>
      <w:lvlJc w:val="left"/>
      <w:pPr>
        <w:ind w:left="3553" w:hanging="303"/>
      </w:pPr>
      <w:rPr>
        <w:rFonts w:hint="default"/>
      </w:rPr>
    </w:lvl>
    <w:lvl w:ilvl="3">
      <w:start w:val="0"/>
      <w:numFmt w:val="bullet"/>
      <w:lvlText w:val="•"/>
      <w:lvlJc w:val="left"/>
      <w:pPr>
        <w:ind w:left="4406" w:hanging="303"/>
      </w:pPr>
      <w:rPr>
        <w:rFonts w:hint="default"/>
      </w:rPr>
    </w:lvl>
    <w:lvl w:ilvl="4">
      <w:start w:val="0"/>
      <w:numFmt w:val="bullet"/>
      <w:lvlText w:val="•"/>
      <w:lvlJc w:val="left"/>
      <w:pPr>
        <w:ind w:left="5260" w:hanging="303"/>
      </w:pPr>
      <w:rPr>
        <w:rFonts w:hint="default"/>
      </w:rPr>
    </w:lvl>
    <w:lvl w:ilvl="5">
      <w:start w:val="0"/>
      <w:numFmt w:val="bullet"/>
      <w:lvlText w:val="•"/>
      <w:lvlJc w:val="left"/>
      <w:pPr>
        <w:ind w:left="6113" w:hanging="303"/>
      </w:pPr>
      <w:rPr>
        <w:rFonts w:hint="default"/>
      </w:rPr>
    </w:lvl>
    <w:lvl w:ilvl="6">
      <w:start w:val="0"/>
      <w:numFmt w:val="bullet"/>
      <w:lvlText w:val="•"/>
      <w:lvlJc w:val="left"/>
      <w:pPr>
        <w:ind w:left="6966" w:hanging="303"/>
      </w:pPr>
      <w:rPr>
        <w:rFonts w:hint="default"/>
      </w:rPr>
    </w:lvl>
    <w:lvl w:ilvl="7">
      <w:start w:val="0"/>
      <w:numFmt w:val="bullet"/>
      <w:lvlText w:val="•"/>
      <w:lvlJc w:val="left"/>
      <w:pPr>
        <w:ind w:left="7820" w:hanging="303"/>
      </w:pPr>
      <w:rPr>
        <w:rFonts w:hint="default"/>
      </w:rPr>
    </w:lvl>
    <w:lvl w:ilvl="8">
      <w:start w:val="0"/>
      <w:numFmt w:val="bullet"/>
      <w:lvlText w:val="•"/>
      <w:lvlJc w:val="left"/>
      <w:pPr>
        <w:ind w:left="8673" w:hanging="303"/>
      </w:pPr>
      <w:rPr>
        <w:rFonts w:hint="default"/>
      </w:rPr>
    </w:lvl>
  </w:abstractNum>
  <w:abstractNum w:abstractNumId="90">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2703" w:hanging="303"/>
      </w:pPr>
      <w:rPr>
        <w:rFonts w:hint="default" w:ascii="Cambria" w:hAnsi="Cambria" w:eastAsia="Cambria" w:cs="Cambria"/>
        <w:w w:val="100"/>
        <w:sz w:val="20"/>
        <w:szCs w:val="20"/>
      </w:rPr>
    </w:lvl>
    <w:lvl w:ilvl="2">
      <w:start w:val="0"/>
      <w:numFmt w:val="bullet"/>
      <w:lvlText w:val="•"/>
      <w:lvlJc w:val="left"/>
      <w:pPr>
        <w:ind w:left="3553" w:hanging="303"/>
      </w:pPr>
      <w:rPr>
        <w:rFonts w:hint="default"/>
      </w:rPr>
    </w:lvl>
    <w:lvl w:ilvl="3">
      <w:start w:val="0"/>
      <w:numFmt w:val="bullet"/>
      <w:lvlText w:val="•"/>
      <w:lvlJc w:val="left"/>
      <w:pPr>
        <w:ind w:left="4406" w:hanging="303"/>
      </w:pPr>
      <w:rPr>
        <w:rFonts w:hint="default"/>
      </w:rPr>
    </w:lvl>
    <w:lvl w:ilvl="4">
      <w:start w:val="0"/>
      <w:numFmt w:val="bullet"/>
      <w:lvlText w:val="•"/>
      <w:lvlJc w:val="left"/>
      <w:pPr>
        <w:ind w:left="5260" w:hanging="303"/>
      </w:pPr>
      <w:rPr>
        <w:rFonts w:hint="default"/>
      </w:rPr>
    </w:lvl>
    <w:lvl w:ilvl="5">
      <w:start w:val="0"/>
      <w:numFmt w:val="bullet"/>
      <w:lvlText w:val="•"/>
      <w:lvlJc w:val="left"/>
      <w:pPr>
        <w:ind w:left="6113" w:hanging="303"/>
      </w:pPr>
      <w:rPr>
        <w:rFonts w:hint="default"/>
      </w:rPr>
    </w:lvl>
    <w:lvl w:ilvl="6">
      <w:start w:val="0"/>
      <w:numFmt w:val="bullet"/>
      <w:lvlText w:val="•"/>
      <w:lvlJc w:val="left"/>
      <w:pPr>
        <w:ind w:left="6966" w:hanging="303"/>
      </w:pPr>
      <w:rPr>
        <w:rFonts w:hint="default"/>
      </w:rPr>
    </w:lvl>
    <w:lvl w:ilvl="7">
      <w:start w:val="0"/>
      <w:numFmt w:val="bullet"/>
      <w:lvlText w:val="•"/>
      <w:lvlJc w:val="left"/>
      <w:pPr>
        <w:ind w:left="7820" w:hanging="303"/>
      </w:pPr>
      <w:rPr>
        <w:rFonts w:hint="default"/>
      </w:rPr>
    </w:lvl>
    <w:lvl w:ilvl="8">
      <w:start w:val="0"/>
      <w:numFmt w:val="bullet"/>
      <w:lvlText w:val="•"/>
      <w:lvlJc w:val="left"/>
      <w:pPr>
        <w:ind w:left="8673" w:hanging="303"/>
      </w:pPr>
      <w:rPr>
        <w:rFonts w:hint="default"/>
      </w:rPr>
    </w:lvl>
  </w:abstractNum>
  <w:abstractNum w:abstractNumId="89">
    <w:multiLevelType w:val="hybridMultilevel"/>
    <w:lvl w:ilvl="0">
      <w:start w:val="1"/>
      <w:numFmt w:val="decimal"/>
      <w:lvlText w:val="%1."/>
      <w:lvlJc w:val="left"/>
      <w:pPr>
        <w:ind w:left="2401" w:hanging="303"/>
        <w:jc w:val="left"/>
      </w:pPr>
      <w:rPr>
        <w:rFonts w:hint="default" w:ascii="Calibri" w:hAnsi="Calibri" w:eastAsia="Calibri" w:cs="Calibri"/>
        <w:w w:val="100"/>
        <w:sz w:val="20"/>
        <w:szCs w:val="20"/>
      </w:rPr>
    </w:lvl>
    <w:lvl w:ilvl="1">
      <w:start w:val="0"/>
      <w:numFmt w:val="bullet"/>
      <w:lvlText w:val="•"/>
      <w:lvlJc w:val="left"/>
      <w:pPr>
        <w:ind w:left="3198" w:hanging="303"/>
      </w:pPr>
      <w:rPr>
        <w:rFonts w:hint="default"/>
      </w:rPr>
    </w:lvl>
    <w:lvl w:ilvl="2">
      <w:start w:val="0"/>
      <w:numFmt w:val="bullet"/>
      <w:lvlText w:val="•"/>
      <w:lvlJc w:val="left"/>
      <w:pPr>
        <w:ind w:left="3996" w:hanging="303"/>
      </w:pPr>
      <w:rPr>
        <w:rFonts w:hint="default"/>
      </w:rPr>
    </w:lvl>
    <w:lvl w:ilvl="3">
      <w:start w:val="0"/>
      <w:numFmt w:val="bullet"/>
      <w:lvlText w:val="•"/>
      <w:lvlJc w:val="left"/>
      <w:pPr>
        <w:ind w:left="4794" w:hanging="303"/>
      </w:pPr>
      <w:rPr>
        <w:rFonts w:hint="default"/>
      </w:rPr>
    </w:lvl>
    <w:lvl w:ilvl="4">
      <w:start w:val="0"/>
      <w:numFmt w:val="bullet"/>
      <w:lvlText w:val="•"/>
      <w:lvlJc w:val="left"/>
      <w:pPr>
        <w:ind w:left="5592" w:hanging="303"/>
      </w:pPr>
      <w:rPr>
        <w:rFonts w:hint="default"/>
      </w:rPr>
    </w:lvl>
    <w:lvl w:ilvl="5">
      <w:start w:val="0"/>
      <w:numFmt w:val="bullet"/>
      <w:lvlText w:val="•"/>
      <w:lvlJc w:val="left"/>
      <w:pPr>
        <w:ind w:left="6390" w:hanging="303"/>
      </w:pPr>
      <w:rPr>
        <w:rFonts w:hint="default"/>
      </w:rPr>
    </w:lvl>
    <w:lvl w:ilvl="6">
      <w:start w:val="0"/>
      <w:numFmt w:val="bullet"/>
      <w:lvlText w:val="•"/>
      <w:lvlJc w:val="left"/>
      <w:pPr>
        <w:ind w:left="7188" w:hanging="303"/>
      </w:pPr>
      <w:rPr>
        <w:rFonts w:hint="default"/>
      </w:rPr>
    </w:lvl>
    <w:lvl w:ilvl="7">
      <w:start w:val="0"/>
      <w:numFmt w:val="bullet"/>
      <w:lvlText w:val="•"/>
      <w:lvlJc w:val="left"/>
      <w:pPr>
        <w:ind w:left="7986" w:hanging="303"/>
      </w:pPr>
      <w:rPr>
        <w:rFonts w:hint="default"/>
      </w:rPr>
    </w:lvl>
    <w:lvl w:ilvl="8">
      <w:start w:val="0"/>
      <w:numFmt w:val="bullet"/>
      <w:lvlText w:val="•"/>
      <w:lvlJc w:val="left"/>
      <w:pPr>
        <w:ind w:left="8784" w:hanging="303"/>
      </w:pPr>
      <w:rPr>
        <w:rFonts w:hint="default"/>
      </w:rPr>
    </w:lvl>
  </w:abstractNum>
  <w:abstractNum w:abstractNumId="88">
    <w:multiLevelType w:val="hybridMultilevel"/>
    <w:lvl w:ilvl="0">
      <w:start w:val="1"/>
      <w:numFmt w:val="decimal"/>
      <w:lvlText w:val="%1."/>
      <w:lvlJc w:val="left"/>
      <w:pPr>
        <w:ind w:left="2401" w:hanging="303"/>
        <w:jc w:val="left"/>
      </w:pPr>
      <w:rPr>
        <w:rFonts w:hint="default" w:ascii="Calibri" w:hAnsi="Calibri" w:eastAsia="Calibri" w:cs="Calibri"/>
        <w:w w:val="100"/>
        <w:sz w:val="20"/>
        <w:szCs w:val="20"/>
      </w:rPr>
    </w:lvl>
    <w:lvl w:ilvl="1">
      <w:start w:val="0"/>
      <w:numFmt w:val="bullet"/>
      <w:lvlText w:val="•"/>
      <w:lvlJc w:val="left"/>
      <w:pPr>
        <w:ind w:left="3198" w:hanging="303"/>
      </w:pPr>
      <w:rPr>
        <w:rFonts w:hint="default"/>
      </w:rPr>
    </w:lvl>
    <w:lvl w:ilvl="2">
      <w:start w:val="0"/>
      <w:numFmt w:val="bullet"/>
      <w:lvlText w:val="•"/>
      <w:lvlJc w:val="left"/>
      <w:pPr>
        <w:ind w:left="3996" w:hanging="303"/>
      </w:pPr>
      <w:rPr>
        <w:rFonts w:hint="default"/>
      </w:rPr>
    </w:lvl>
    <w:lvl w:ilvl="3">
      <w:start w:val="0"/>
      <w:numFmt w:val="bullet"/>
      <w:lvlText w:val="•"/>
      <w:lvlJc w:val="left"/>
      <w:pPr>
        <w:ind w:left="4794" w:hanging="303"/>
      </w:pPr>
      <w:rPr>
        <w:rFonts w:hint="default"/>
      </w:rPr>
    </w:lvl>
    <w:lvl w:ilvl="4">
      <w:start w:val="0"/>
      <w:numFmt w:val="bullet"/>
      <w:lvlText w:val="•"/>
      <w:lvlJc w:val="left"/>
      <w:pPr>
        <w:ind w:left="5592" w:hanging="303"/>
      </w:pPr>
      <w:rPr>
        <w:rFonts w:hint="default"/>
      </w:rPr>
    </w:lvl>
    <w:lvl w:ilvl="5">
      <w:start w:val="0"/>
      <w:numFmt w:val="bullet"/>
      <w:lvlText w:val="•"/>
      <w:lvlJc w:val="left"/>
      <w:pPr>
        <w:ind w:left="6390" w:hanging="303"/>
      </w:pPr>
      <w:rPr>
        <w:rFonts w:hint="default"/>
      </w:rPr>
    </w:lvl>
    <w:lvl w:ilvl="6">
      <w:start w:val="0"/>
      <w:numFmt w:val="bullet"/>
      <w:lvlText w:val="•"/>
      <w:lvlJc w:val="left"/>
      <w:pPr>
        <w:ind w:left="7188" w:hanging="303"/>
      </w:pPr>
      <w:rPr>
        <w:rFonts w:hint="default"/>
      </w:rPr>
    </w:lvl>
    <w:lvl w:ilvl="7">
      <w:start w:val="0"/>
      <w:numFmt w:val="bullet"/>
      <w:lvlText w:val="•"/>
      <w:lvlJc w:val="left"/>
      <w:pPr>
        <w:ind w:left="7986" w:hanging="303"/>
      </w:pPr>
      <w:rPr>
        <w:rFonts w:hint="default"/>
      </w:rPr>
    </w:lvl>
    <w:lvl w:ilvl="8">
      <w:start w:val="0"/>
      <w:numFmt w:val="bullet"/>
      <w:lvlText w:val="•"/>
      <w:lvlJc w:val="left"/>
      <w:pPr>
        <w:ind w:left="8784" w:hanging="303"/>
      </w:pPr>
      <w:rPr>
        <w:rFonts w:hint="default"/>
      </w:rPr>
    </w:lvl>
  </w:abstractNum>
  <w:abstractNum w:abstractNumId="87">
    <w:multiLevelType w:val="hybridMultilevel"/>
    <w:lvl w:ilvl="0">
      <w:start w:val="1"/>
      <w:numFmt w:val="lowerLetter"/>
      <w:lvlText w:val="%1)"/>
      <w:lvlJc w:val="left"/>
      <w:pPr>
        <w:ind w:left="2306" w:hanging="208"/>
        <w:jc w:val="left"/>
      </w:pPr>
      <w:rPr>
        <w:rFonts w:hint="default" w:ascii="Calibri" w:hAnsi="Calibri" w:eastAsia="Calibri" w:cs="Calibri"/>
        <w:b/>
        <w:bCs/>
        <w:spacing w:val="-1"/>
        <w:w w:val="100"/>
        <w:sz w:val="20"/>
        <w:szCs w:val="20"/>
      </w:rPr>
    </w:lvl>
    <w:lvl w:ilvl="1">
      <w:start w:val="0"/>
      <w:numFmt w:val="bullet"/>
      <w:lvlText w:val="•"/>
      <w:lvlJc w:val="left"/>
      <w:pPr>
        <w:ind w:left="2900" w:hanging="208"/>
      </w:pPr>
      <w:rPr>
        <w:rFonts w:hint="default"/>
      </w:rPr>
    </w:lvl>
    <w:lvl w:ilvl="2">
      <w:start w:val="0"/>
      <w:numFmt w:val="bullet"/>
      <w:lvlText w:val="•"/>
      <w:lvlJc w:val="left"/>
      <w:pPr>
        <w:ind w:left="3731" w:hanging="208"/>
      </w:pPr>
      <w:rPr>
        <w:rFonts w:hint="default"/>
      </w:rPr>
    </w:lvl>
    <w:lvl w:ilvl="3">
      <w:start w:val="0"/>
      <w:numFmt w:val="bullet"/>
      <w:lvlText w:val="•"/>
      <w:lvlJc w:val="left"/>
      <w:pPr>
        <w:ind w:left="4562" w:hanging="208"/>
      </w:pPr>
      <w:rPr>
        <w:rFonts w:hint="default"/>
      </w:rPr>
    </w:lvl>
    <w:lvl w:ilvl="4">
      <w:start w:val="0"/>
      <w:numFmt w:val="bullet"/>
      <w:lvlText w:val="•"/>
      <w:lvlJc w:val="left"/>
      <w:pPr>
        <w:ind w:left="5393" w:hanging="208"/>
      </w:pPr>
      <w:rPr>
        <w:rFonts w:hint="default"/>
      </w:rPr>
    </w:lvl>
    <w:lvl w:ilvl="5">
      <w:start w:val="0"/>
      <w:numFmt w:val="bullet"/>
      <w:lvlText w:val="•"/>
      <w:lvlJc w:val="left"/>
      <w:pPr>
        <w:ind w:left="6224" w:hanging="208"/>
      </w:pPr>
      <w:rPr>
        <w:rFonts w:hint="default"/>
      </w:rPr>
    </w:lvl>
    <w:lvl w:ilvl="6">
      <w:start w:val="0"/>
      <w:numFmt w:val="bullet"/>
      <w:lvlText w:val="•"/>
      <w:lvlJc w:val="left"/>
      <w:pPr>
        <w:ind w:left="7055" w:hanging="208"/>
      </w:pPr>
      <w:rPr>
        <w:rFonts w:hint="default"/>
      </w:rPr>
    </w:lvl>
    <w:lvl w:ilvl="7">
      <w:start w:val="0"/>
      <w:numFmt w:val="bullet"/>
      <w:lvlText w:val="•"/>
      <w:lvlJc w:val="left"/>
      <w:pPr>
        <w:ind w:left="7886" w:hanging="208"/>
      </w:pPr>
      <w:rPr>
        <w:rFonts w:hint="default"/>
      </w:rPr>
    </w:lvl>
    <w:lvl w:ilvl="8">
      <w:start w:val="0"/>
      <w:numFmt w:val="bullet"/>
      <w:lvlText w:val="•"/>
      <w:lvlJc w:val="left"/>
      <w:pPr>
        <w:ind w:left="8717" w:hanging="208"/>
      </w:pPr>
      <w:rPr>
        <w:rFonts w:hint="default"/>
      </w:rPr>
    </w:lvl>
  </w:abstractNum>
  <w:abstractNum w:abstractNumId="86">
    <w:multiLevelType w:val="hybridMultilevel"/>
    <w:lvl w:ilvl="0">
      <w:start w:val="2"/>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85">
    <w:multiLevelType w:val="hybridMultilevel"/>
    <w:lvl w:ilvl="0">
      <w:start w:val="12"/>
      <w:numFmt w:val="decimal"/>
      <w:lvlText w:val="%1."/>
      <w:lvlJc w:val="left"/>
      <w:pPr>
        <w:ind w:left="2336" w:hanging="357"/>
        <w:jc w:val="left"/>
      </w:pPr>
      <w:rPr>
        <w:rFonts w:hint="default" w:ascii="Calibri" w:hAnsi="Calibri" w:eastAsia="Calibri" w:cs="Calibri"/>
        <w:w w:val="100"/>
        <w:sz w:val="20"/>
        <w:szCs w:val="20"/>
      </w:rPr>
    </w:lvl>
    <w:lvl w:ilvl="1">
      <w:start w:val="0"/>
      <w:numFmt w:val="bullet"/>
      <w:lvlText w:val="•"/>
      <w:lvlJc w:val="left"/>
      <w:pPr>
        <w:ind w:left="3144" w:hanging="357"/>
      </w:pPr>
      <w:rPr>
        <w:rFonts w:hint="default"/>
      </w:rPr>
    </w:lvl>
    <w:lvl w:ilvl="2">
      <w:start w:val="0"/>
      <w:numFmt w:val="bullet"/>
      <w:lvlText w:val="•"/>
      <w:lvlJc w:val="left"/>
      <w:pPr>
        <w:ind w:left="3948" w:hanging="357"/>
      </w:pPr>
      <w:rPr>
        <w:rFonts w:hint="default"/>
      </w:rPr>
    </w:lvl>
    <w:lvl w:ilvl="3">
      <w:start w:val="0"/>
      <w:numFmt w:val="bullet"/>
      <w:lvlText w:val="•"/>
      <w:lvlJc w:val="left"/>
      <w:pPr>
        <w:ind w:left="4752" w:hanging="357"/>
      </w:pPr>
      <w:rPr>
        <w:rFonts w:hint="default"/>
      </w:rPr>
    </w:lvl>
    <w:lvl w:ilvl="4">
      <w:start w:val="0"/>
      <w:numFmt w:val="bullet"/>
      <w:lvlText w:val="•"/>
      <w:lvlJc w:val="left"/>
      <w:pPr>
        <w:ind w:left="5556" w:hanging="357"/>
      </w:pPr>
      <w:rPr>
        <w:rFonts w:hint="default"/>
      </w:rPr>
    </w:lvl>
    <w:lvl w:ilvl="5">
      <w:start w:val="0"/>
      <w:numFmt w:val="bullet"/>
      <w:lvlText w:val="•"/>
      <w:lvlJc w:val="left"/>
      <w:pPr>
        <w:ind w:left="6360" w:hanging="357"/>
      </w:pPr>
      <w:rPr>
        <w:rFonts w:hint="default"/>
      </w:rPr>
    </w:lvl>
    <w:lvl w:ilvl="6">
      <w:start w:val="0"/>
      <w:numFmt w:val="bullet"/>
      <w:lvlText w:val="•"/>
      <w:lvlJc w:val="left"/>
      <w:pPr>
        <w:ind w:left="7164" w:hanging="357"/>
      </w:pPr>
      <w:rPr>
        <w:rFonts w:hint="default"/>
      </w:rPr>
    </w:lvl>
    <w:lvl w:ilvl="7">
      <w:start w:val="0"/>
      <w:numFmt w:val="bullet"/>
      <w:lvlText w:val="•"/>
      <w:lvlJc w:val="left"/>
      <w:pPr>
        <w:ind w:left="7968" w:hanging="357"/>
      </w:pPr>
      <w:rPr>
        <w:rFonts w:hint="default"/>
      </w:rPr>
    </w:lvl>
    <w:lvl w:ilvl="8">
      <w:start w:val="0"/>
      <w:numFmt w:val="bullet"/>
      <w:lvlText w:val="•"/>
      <w:lvlJc w:val="left"/>
      <w:pPr>
        <w:ind w:left="8772" w:hanging="357"/>
      </w:pPr>
      <w:rPr>
        <w:rFonts w:hint="default"/>
      </w:rPr>
    </w:lvl>
  </w:abstractNum>
  <w:abstractNum w:abstractNumId="84">
    <w:multiLevelType w:val="hybridMultilevel"/>
    <w:lvl w:ilvl="0">
      <w:start w:val="9"/>
      <w:numFmt w:val="decimal"/>
      <w:lvlText w:val="%1."/>
      <w:lvlJc w:val="left"/>
      <w:pPr>
        <w:ind w:left="2336" w:hanging="238"/>
        <w:jc w:val="right"/>
      </w:pPr>
      <w:rPr>
        <w:rFonts w:hint="default" w:ascii="Calibri" w:hAnsi="Calibri" w:eastAsia="Calibri" w:cs="Calibri"/>
        <w:w w:val="100"/>
        <w:sz w:val="20"/>
        <w:szCs w:val="20"/>
      </w:rPr>
    </w:lvl>
    <w:lvl w:ilvl="1">
      <w:start w:val="1"/>
      <w:numFmt w:val="lowerLetter"/>
      <w:lvlText w:val="%2)"/>
      <w:lvlJc w:val="left"/>
      <w:pPr>
        <w:ind w:left="2693" w:hanging="357"/>
        <w:jc w:val="left"/>
      </w:pPr>
      <w:rPr>
        <w:rFonts w:hint="default" w:ascii="Calibri" w:hAnsi="Calibri" w:eastAsia="Calibri" w:cs="Calibri"/>
        <w:w w:val="100"/>
        <w:sz w:val="20"/>
        <w:szCs w:val="20"/>
      </w:rPr>
    </w:lvl>
    <w:lvl w:ilvl="2">
      <w:start w:val="0"/>
      <w:numFmt w:val="bullet"/>
      <w:lvlText w:val="•"/>
      <w:lvlJc w:val="left"/>
      <w:pPr>
        <w:ind w:left="3553" w:hanging="357"/>
      </w:pPr>
      <w:rPr>
        <w:rFonts w:hint="default"/>
      </w:rPr>
    </w:lvl>
    <w:lvl w:ilvl="3">
      <w:start w:val="0"/>
      <w:numFmt w:val="bullet"/>
      <w:lvlText w:val="•"/>
      <w:lvlJc w:val="left"/>
      <w:pPr>
        <w:ind w:left="4406" w:hanging="357"/>
      </w:pPr>
      <w:rPr>
        <w:rFonts w:hint="default"/>
      </w:rPr>
    </w:lvl>
    <w:lvl w:ilvl="4">
      <w:start w:val="0"/>
      <w:numFmt w:val="bullet"/>
      <w:lvlText w:val="•"/>
      <w:lvlJc w:val="left"/>
      <w:pPr>
        <w:ind w:left="5260" w:hanging="357"/>
      </w:pPr>
      <w:rPr>
        <w:rFonts w:hint="default"/>
      </w:rPr>
    </w:lvl>
    <w:lvl w:ilvl="5">
      <w:start w:val="0"/>
      <w:numFmt w:val="bullet"/>
      <w:lvlText w:val="•"/>
      <w:lvlJc w:val="left"/>
      <w:pPr>
        <w:ind w:left="6113" w:hanging="357"/>
      </w:pPr>
      <w:rPr>
        <w:rFonts w:hint="default"/>
      </w:rPr>
    </w:lvl>
    <w:lvl w:ilvl="6">
      <w:start w:val="0"/>
      <w:numFmt w:val="bullet"/>
      <w:lvlText w:val="•"/>
      <w:lvlJc w:val="left"/>
      <w:pPr>
        <w:ind w:left="6966" w:hanging="357"/>
      </w:pPr>
      <w:rPr>
        <w:rFonts w:hint="default"/>
      </w:rPr>
    </w:lvl>
    <w:lvl w:ilvl="7">
      <w:start w:val="0"/>
      <w:numFmt w:val="bullet"/>
      <w:lvlText w:val="•"/>
      <w:lvlJc w:val="left"/>
      <w:pPr>
        <w:ind w:left="7820" w:hanging="357"/>
      </w:pPr>
      <w:rPr>
        <w:rFonts w:hint="default"/>
      </w:rPr>
    </w:lvl>
    <w:lvl w:ilvl="8">
      <w:start w:val="0"/>
      <w:numFmt w:val="bullet"/>
      <w:lvlText w:val="•"/>
      <w:lvlJc w:val="left"/>
      <w:pPr>
        <w:ind w:left="8673" w:hanging="357"/>
      </w:pPr>
      <w:rPr>
        <w:rFonts w:hint="default"/>
      </w:rPr>
    </w:lvl>
  </w:abstractNum>
  <w:abstractNum w:abstractNumId="83">
    <w:multiLevelType w:val="hybridMultilevel"/>
    <w:lvl w:ilvl="0">
      <w:start w:val="7"/>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82">
    <w:multiLevelType w:val="hybridMultilevel"/>
    <w:lvl w:ilvl="0">
      <w:start w:val="2"/>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81">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80">
    <w:multiLevelType w:val="hybridMultilevel"/>
    <w:lvl w:ilvl="0">
      <w:start w:val="5"/>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79">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78">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77">
    <w:multiLevelType w:val="hybridMultilevel"/>
    <w:lvl w:ilvl="0">
      <w:start w:val="5"/>
      <w:numFmt w:val="decimal"/>
      <w:lvlText w:val="%1"/>
      <w:lvlJc w:val="left"/>
      <w:pPr>
        <w:ind w:left="2584" w:hanging="486"/>
        <w:jc w:val="left"/>
      </w:pPr>
      <w:rPr>
        <w:rFonts w:hint="default"/>
      </w:rPr>
    </w:lvl>
    <w:lvl w:ilvl="1">
      <w:start w:val="3"/>
      <w:numFmt w:val="decimal"/>
      <w:lvlText w:val="%1.%2"/>
      <w:lvlJc w:val="left"/>
      <w:pPr>
        <w:ind w:left="2584" w:hanging="486"/>
        <w:jc w:val="left"/>
      </w:pPr>
      <w:rPr>
        <w:rFonts w:hint="default" w:ascii="Calibri" w:hAnsi="Calibri" w:eastAsia="Calibri" w:cs="Calibri"/>
        <w:b/>
        <w:bCs/>
        <w:color w:val="53A1B9"/>
        <w:w w:val="100"/>
        <w:sz w:val="20"/>
        <w:szCs w:val="20"/>
      </w:rPr>
    </w:lvl>
    <w:lvl w:ilvl="2">
      <w:start w:val="1"/>
      <w:numFmt w:val="decimal"/>
      <w:lvlText w:val="%1.%2.%3"/>
      <w:lvlJc w:val="left"/>
      <w:pPr>
        <w:ind w:left="2693" w:hanging="605"/>
        <w:jc w:val="left"/>
      </w:pPr>
      <w:rPr>
        <w:rFonts w:hint="default" w:ascii="Calibri" w:hAnsi="Calibri" w:eastAsia="Calibri" w:cs="Calibri"/>
        <w:b/>
        <w:bCs/>
        <w:color w:val="53A1B9"/>
        <w:spacing w:val="-1"/>
        <w:w w:val="100"/>
        <w:sz w:val="20"/>
        <w:szCs w:val="20"/>
      </w:rPr>
    </w:lvl>
    <w:lvl w:ilvl="3">
      <w:start w:val="0"/>
      <w:numFmt w:val="bullet"/>
      <w:lvlText w:val="•"/>
      <w:lvlJc w:val="left"/>
      <w:pPr>
        <w:ind w:left="4406" w:hanging="605"/>
      </w:pPr>
      <w:rPr>
        <w:rFonts w:hint="default"/>
      </w:rPr>
    </w:lvl>
    <w:lvl w:ilvl="4">
      <w:start w:val="0"/>
      <w:numFmt w:val="bullet"/>
      <w:lvlText w:val="•"/>
      <w:lvlJc w:val="left"/>
      <w:pPr>
        <w:ind w:left="5260" w:hanging="605"/>
      </w:pPr>
      <w:rPr>
        <w:rFonts w:hint="default"/>
      </w:rPr>
    </w:lvl>
    <w:lvl w:ilvl="5">
      <w:start w:val="0"/>
      <w:numFmt w:val="bullet"/>
      <w:lvlText w:val="•"/>
      <w:lvlJc w:val="left"/>
      <w:pPr>
        <w:ind w:left="6113" w:hanging="605"/>
      </w:pPr>
      <w:rPr>
        <w:rFonts w:hint="default"/>
      </w:rPr>
    </w:lvl>
    <w:lvl w:ilvl="6">
      <w:start w:val="0"/>
      <w:numFmt w:val="bullet"/>
      <w:lvlText w:val="•"/>
      <w:lvlJc w:val="left"/>
      <w:pPr>
        <w:ind w:left="6966" w:hanging="605"/>
      </w:pPr>
      <w:rPr>
        <w:rFonts w:hint="default"/>
      </w:rPr>
    </w:lvl>
    <w:lvl w:ilvl="7">
      <w:start w:val="0"/>
      <w:numFmt w:val="bullet"/>
      <w:lvlText w:val="•"/>
      <w:lvlJc w:val="left"/>
      <w:pPr>
        <w:ind w:left="7820" w:hanging="605"/>
      </w:pPr>
      <w:rPr>
        <w:rFonts w:hint="default"/>
      </w:rPr>
    </w:lvl>
    <w:lvl w:ilvl="8">
      <w:start w:val="0"/>
      <w:numFmt w:val="bullet"/>
      <w:lvlText w:val="•"/>
      <w:lvlJc w:val="left"/>
      <w:pPr>
        <w:ind w:left="8673" w:hanging="605"/>
      </w:pPr>
      <w:rPr>
        <w:rFonts w:hint="default"/>
      </w:rPr>
    </w:lvl>
  </w:abstractNum>
  <w:abstractNum w:abstractNumId="76">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75">
    <w:multiLevelType w:val="hybridMultilevel"/>
    <w:lvl w:ilvl="0">
      <w:start w:val="3"/>
      <w:numFmt w:val="decimal"/>
      <w:lvlText w:val="%1."/>
      <w:lvlJc w:val="left"/>
      <w:pPr>
        <w:ind w:left="2336" w:hanging="238"/>
        <w:jc w:val="left"/>
      </w:pPr>
      <w:rPr>
        <w:rFonts w:hint="default" w:ascii="Calibri" w:hAnsi="Calibri" w:eastAsia="Calibri" w:cs="Calibri"/>
        <w:b/>
        <w:bCs/>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74">
    <w:multiLevelType w:val="hybridMultilevel"/>
    <w:lvl w:ilvl="0">
      <w:start w:val="1"/>
      <w:numFmt w:val="decimal"/>
      <w:lvlText w:val="%1."/>
      <w:lvlJc w:val="left"/>
      <w:pPr>
        <w:ind w:left="2336" w:hanging="238"/>
        <w:jc w:val="left"/>
      </w:pPr>
      <w:rPr>
        <w:rFonts w:hint="default" w:ascii="Calibri" w:hAnsi="Calibri" w:eastAsia="Calibri" w:cs="Calibri"/>
        <w:b/>
        <w:bCs/>
        <w:w w:val="100"/>
        <w:sz w:val="20"/>
        <w:szCs w:val="20"/>
      </w:rPr>
    </w:lvl>
    <w:lvl w:ilvl="1">
      <w:start w:val="1"/>
      <w:numFmt w:val="decimal"/>
      <w:lvlText w:val="%2."/>
      <w:lvlJc w:val="left"/>
      <w:pPr>
        <w:ind w:left="2693" w:hanging="238"/>
        <w:jc w:val="left"/>
      </w:pPr>
      <w:rPr>
        <w:rFonts w:hint="default" w:ascii="Calibri" w:hAnsi="Calibri" w:eastAsia="Calibri" w:cs="Calibri"/>
        <w:w w:val="100"/>
        <w:sz w:val="20"/>
        <w:szCs w:val="20"/>
      </w:rPr>
    </w:lvl>
    <w:lvl w:ilvl="2">
      <w:start w:val="0"/>
      <w:numFmt w:val="bullet"/>
      <w:lvlText w:val="•"/>
      <w:lvlJc w:val="left"/>
      <w:pPr>
        <w:ind w:left="3553" w:hanging="238"/>
      </w:pPr>
      <w:rPr>
        <w:rFonts w:hint="default"/>
      </w:rPr>
    </w:lvl>
    <w:lvl w:ilvl="3">
      <w:start w:val="0"/>
      <w:numFmt w:val="bullet"/>
      <w:lvlText w:val="•"/>
      <w:lvlJc w:val="left"/>
      <w:pPr>
        <w:ind w:left="4406" w:hanging="238"/>
      </w:pPr>
      <w:rPr>
        <w:rFonts w:hint="default"/>
      </w:rPr>
    </w:lvl>
    <w:lvl w:ilvl="4">
      <w:start w:val="0"/>
      <w:numFmt w:val="bullet"/>
      <w:lvlText w:val="•"/>
      <w:lvlJc w:val="left"/>
      <w:pPr>
        <w:ind w:left="5260" w:hanging="238"/>
      </w:pPr>
      <w:rPr>
        <w:rFonts w:hint="default"/>
      </w:rPr>
    </w:lvl>
    <w:lvl w:ilvl="5">
      <w:start w:val="0"/>
      <w:numFmt w:val="bullet"/>
      <w:lvlText w:val="•"/>
      <w:lvlJc w:val="left"/>
      <w:pPr>
        <w:ind w:left="6113" w:hanging="238"/>
      </w:pPr>
      <w:rPr>
        <w:rFonts w:hint="default"/>
      </w:rPr>
    </w:lvl>
    <w:lvl w:ilvl="6">
      <w:start w:val="0"/>
      <w:numFmt w:val="bullet"/>
      <w:lvlText w:val="•"/>
      <w:lvlJc w:val="left"/>
      <w:pPr>
        <w:ind w:left="6966" w:hanging="238"/>
      </w:pPr>
      <w:rPr>
        <w:rFonts w:hint="default"/>
      </w:rPr>
    </w:lvl>
    <w:lvl w:ilvl="7">
      <w:start w:val="0"/>
      <w:numFmt w:val="bullet"/>
      <w:lvlText w:val="•"/>
      <w:lvlJc w:val="left"/>
      <w:pPr>
        <w:ind w:left="7820" w:hanging="238"/>
      </w:pPr>
      <w:rPr>
        <w:rFonts w:hint="default"/>
      </w:rPr>
    </w:lvl>
    <w:lvl w:ilvl="8">
      <w:start w:val="0"/>
      <w:numFmt w:val="bullet"/>
      <w:lvlText w:val="•"/>
      <w:lvlJc w:val="left"/>
      <w:pPr>
        <w:ind w:left="8673" w:hanging="238"/>
      </w:pPr>
      <w:rPr>
        <w:rFonts w:hint="default"/>
      </w:rPr>
    </w:lvl>
  </w:abstractNum>
  <w:abstractNum w:abstractNumId="73">
    <w:multiLevelType w:val="hybridMultilevel"/>
    <w:lvl w:ilvl="0">
      <w:start w:val="4"/>
      <w:numFmt w:val="decimal"/>
      <w:lvlText w:val="%1."/>
      <w:lvlJc w:val="left"/>
      <w:pPr>
        <w:ind w:left="2336" w:hanging="238"/>
        <w:jc w:val="left"/>
      </w:pPr>
      <w:rPr>
        <w:rFonts w:hint="default" w:ascii="Calibri" w:hAnsi="Calibri" w:eastAsia="Calibri" w:cs="Calibri"/>
        <w:b/>
        <w:bCs/>
        <w:w w:val="100"/>
        <w:sz w:val="20"/>
        <w:szCs w:val="20"/>
      </w:rPr>
    </w:lvl>
    <w:lvl w:ilvl="1">
      <w:start w:val="1"/>
      <w:numFmt w:val="upperLetter"/>
      <w:lvlText w:val="%2."/>
      <w:lvlJc w:val="left"/>
      <w:pPr>
        <w:ind w:left="2336" w:hanging="238"/>
        <w:jc w:val="left"/>
      </w:pPr>
      <w:rPr>
        <w:rFonts w:hint="default" w:ascii="Calibri" w:hAnsi="Calibri" w:eastAsia="Calibri" w:cs="Calibri"/>
        <w:b/>
        <w:bCs/>
        <w:w w:val="100"/>
        <w:sz w:val="20"/>
        <w:szCs w:val="20"/>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72">
    <w:multiLevelType w:val="hybridMultilevel"/>
    <w:lvl w:ilvl="0">
      <w:start w:val="2"/>
      <w:numFmt w:val="upperLetter"/>
      <w:lvlText w:val="%1."/>
      <w:lvlJc w:val="left"/>
      <w:pPr>
        <w:ind w:left="2455" w:hanging="357"/>
        <w:jc w:val="left"/>
      </w:pPr>
      <w:rPr>
        <w:rFonts w:hint="default" w:ascii="Calibri" w:hAnsi="Calibri" w:eastAsia="Calibri" w:cs="Calibri"/>
        <w:b/>
        <w:bCs/>
        <w:spacing w:val="-1"/>
        <w:w w:val="100"/>
        <w:sz w:val="20"/>
        <w:szCs w:val="20"/>
      </w:rPr>
    </w:lvl>
    <w:lvl w:ilvl="1">
      <w:start w:val="0"/>
      <w:numFmt w:val="bullet"/>
      <w:lvlText w:val="•"/>
      <w:lvlJc w:val="left"/>
      <w:pPr>
        <w:ind w:left="3252" w:hanging="357"/>
      </w:pPr>
      <w:rPr>
        <w:rFonts w:hint="default"/>
      </w:rPr>
    </w:lvl>
    <w:lvl w:ilvl="2">
      <w:start w:val="0"/>
      <w:numFmt w:val="bullet"/>
      <w:lvlText w:val="•"/>
      <w:lvlJc w:val="left"/>
      <w:pPr>
        <w:ind w:left="4044" w:hanging="357"/>
      </w:pPr>
      <w:rPr>
        <w:rFonts w:hint="default"/>
      </w:rPr>
    </w:lvl>
    <w:lvl w:ilvl="3">
      <w:start w:val="0"/>
      <w:numFmt w:val="bullet"/>
      <w:lvlText w:val="•"/>
      <w:lvlJc w:val="left"/>
      <w:pPr>
        <w:ind w:left="4836" w:hanging="357"/>
      </w:pPr>
      <w:rPr>
        <w:rFonts w:hint="default"/>
      </w:rPr>
    </w:lvl>
    <w:lvl w:ilvl="4">
      <w:start w:val="0"/>
      <w:numFmt w:val="bullet"/>
      <w:lvlText w:val="•"/>
      <w:lvlJc w:val="left"/>
      <w:pPr>
        <w:ind w:left="5628" w:hanging="357"/>
      </w:pPr>
      <w:rPr>
        <w:rFonts w:hint="default"/>
      </w:rPr>
    </w:lvl>
    <w:lvl w:ilvl="5">
      <w:start w:val="0"/>
      <w:numFmt w:val="bullet"/>
      <w:lvlText w:val="•"/>
      <w:lvlJc w:val="left"/>
      <w:pPr>
        <w:ind w:left="6420" w:hanging="357"/>
      </w:pPr>
      <w:rPr>
        <w:rFonts w:hint="default"/>
      </w:rPr>
    </w:lvl>
    <w:lvl w:ilvl="6">
      <w:start w:val="0"/>
      <w:numFmt w:val="bullet"/>
      <w:lvlText w:val="•"/>
      <w:lvlJc w:val="left"/>
      <w:pPr>
        <w:ind w:left="7212" w:hanging="357"/>
      </w:pPr>
      <w:rPr>
        <w:rFonts w:hint="default"/>
      </w:rPr>
    </w:lvl>
    <w:lvl w:ilvl="7">
      <w:start w:val="0"/>
      <w:numFmt w:val="bullet"/>
      <w:lvlText w:val="•"/>
      <w:lvlJc w:val="left"/>
      <w:pPr>
        <w:ind w:left="8004" w:hanging="357"/>
      </w:pPr>
      <w:rPr>
        <w:rFonts w:hint="default"/>
      </w:rPr>
    </w:lvl>
    <w:lvl w:ilvl="8">
      <w:start w:val="0"/>
      <w:numFmt w:val="bullet"/>
      <w:lvlText w:val="•"/>
      <w:lvlJc w:val="left"/>
      <w:pPr>
        <w:ind w:left="8796" w:hanging="357"/>
      </w:pPr>
      <w:rPr>
        <w:rFonts w:hint="default"/>
      </w:rPr>
    </w:lvl>
  </w:abstractNum>
  <w:abstractNum w:abstractNumId="71">
    <w:multiLevelType w:val="hybridMultilevel"/>
    <w:lvl w:ilvl="0">
      <w:start w:val="1"/>
      <w:numFmt w:val="upperLetter"/>
      <w:lvlText w:val="%1."/>
      <w:lvlJc w:val="left"/>
      <w:pPr>
        <w:ind w:left="2455" w:hanging="357"/>
        <w:jc w:val="left"/>
      </w:pPr>
      <w:rPr>
        <w:rFonts w:hint="default" w:ascii="Calibri" w:hAnsi="Calibri" w:eastAsia="Calibri" w:cs="Calibri"/>
        <w:b/>
        <w:bCs/>
        <w:w w:val="100"/>
        <w:sz w:val="20"/>
        <w:szCs w:val="20"/>
      </w:rPr>
    </w:lvl>
    <w:lvl w:ilvl="1">
      <w:start w:val="1"/>
      <w:numFmt w:val="lowerLetter"/>
      <w:lvlText w:val="%2."/>
      <w:lvlJc w:val="left"/>
      <w:pPr>
        <w:ind w:left="2693" w:hanging="299"/>
        <w:jc w:val="left"/>
      </w:pPr>
      <w:rPr>
        <w:rFonts w:hint="default" w:ascii="Calibri" w:hAnsi="Calibri" w:eastAsia="Calibri" w:cs="Calibri"/>
        <w:w w:val="100"/>
        <w:sz w:val="20"/>
        <w:szCs w:val="20"/>
      </w:rPr>
    </w:lvl>
    <w:lvl w:ilvl="2">
      <w:start w:val="0"/>
      <w:numFmt w:val="bullet"/>
      <w:lvlText w:val="•"/>
      <w:lvlJc w:val="left"/>
      <w:pPr>
        <w:ind w:left="3553" w:hanging="299"/>
      </w:pPr>
      <w:rPr>
        <w:rFonts w:hint="default"/>
      </w:rPr>
    </w:lvl>
    <w:lvl w:ilvl="3">
      <w:start w:val="0"/>
      <w:numFmt w:val="bullet"/>
      <w:lvlText w:val="•"/>
      <w:lvlJc w:val="left"/>
      <w:pPr>
        <w:ind w:left="4406" w:hanging="299"/>
      </w:pPr>
      <w:rPr>
        <w:rFonts w:hint="default"/>
      </w:rPr>
    </w:lvl>
    <w:lvl w:ilvl="4">
      <w:start w:val="0"/>
      <w:numFmt w:val="bullet"/>
      <w:lvlText w:val="•"/>
      <w:lvlJc w:val="left"/>
      <w:pPr>
        <w:ind w:left="5260" w:hanging="299"/>
      </w:pPr>
      <w:rPr>
        <w:rFonts w:hint="default"/>
      </w:rPr>
    </w:lvl>
    <w:lvl w:ilvl="5">
      <w:start w:val="0"/>
      <w:numFmt w:val="bullet"/>
      <w:lvlText w:val="•"/>
      <w:lvlJc w:val="left"/>
      <w:pPr>
        <w:ind w:left="6113" w:hanging="299"/>
      </w:pPr>
      <w:rPr>
        <w:rFonts w:hint="default"/>
      </w:rPr>
    </w:lvl>
    <w:lvl w:ilvl="6">
      <w:start w:val="0"/>
      <w:numFmt w:val="bullet"/>
      <w:lvlText w:val="•"/>
      <w:lvlJc w:val="left"/>
      <w:pPr>
        <w:ind w:left="6966" w:hanging="299"/>
      </w:pPr>
      <w:rPr>
        <w:rFonts w:hint="default"/>
      </w:rPr>
    </w:lvl>
    <w:lvl w:ilvl="7">
      <w:start w:val="0"/>
      <w:numFmt w:val="bullet"/>
      <w:lvlText w:val="•"/>
      <w:lvlJc w:val="left"/>
      <w:pPr>
        <w:ind w:left="7820" w:hanging="299"/>
      </w:pPr>
      <w:rPr>
        <w:rFonts w:hint="default"/>
      </w:rPr>
    </w:lvl>
    <w:lvl w:ilvl="8">
      <w:start w:val="0"/>
      <w:numFmt w:val="bullet"/>
      <w:lvlText w:val="•"/>
      <w:lvlJc w:val="left"/>
      <w:pPr>
        <w:ind w:left="8673" w:hanging="299"/>
      </w:pPr>
      <w:rPr>
        <w:rFonts w:hint="default"/>
      </w:rPr>
    </w:lvl>
  </w:abstractNum>
  <w:abstractNum w:abstractNumId="70">
    <w:multiLevelType w:val="hybridMultilevel"/>
    <w:lvl w:ilvl="0">
      <w:start w:val="1"/>
      <w:numFmt w:val="decimal"/>
      <w:lvlText w:val="%1."/>
      <w:lvlJc w:val="left"/>
      <w:pPr>
        <w:ind w:left="2336" w:hanging="238"/>
        <w:jc w:val="left"/>
      </w:pPr>
      <w:rPr>
        <w:rFonts w:hint="default" w:ascii="Calibri" w:hAnsi="Calibri" w:eastAsia="Calibri" w:cs="Calibri"/>
        <w:b/>
        <w:bCs/>
        <w:w w:val="100"/>
        <w:sz w:val="20"/>
        <w:szCs w:val="20"/>
      </w:rPr>
    </w:lvl>
    <w:lvl w:ilvl="1">
      <w:start w:val="1"/>
      <w:numFmt w:val="upperLetter"/>
      <w:lvlText w:val="%2."/>
      <w:lvlJc w:val="left"/>
      <w:pPr>
        <w:ind w:left="2336" w:hanging="238"/>
        <w:jc w:val="left"/>
      </w:pPr>
      <w:rPr>
        <w:rFonts w:hint="default" w:ascii="Calibri" w:hAnsi="Calibri" w:eastAsia="Calibri" w:cs="Calibri"/>
        <w:b/>
        <w:bCs/>
        <w:w w:val="100"/>
        <w:sz w:val="20"/>
        <w:szCs w:val="20"/>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69">
    <w:multiLevelType w:val="hybridMultilevel"/>
    <w:lvl w:ilvl="0">
      <w:start w:val="5"/>
      <w:numFmt w:val="decimal"/>
      <w:lvlText w:val="%1"/>
      <w:lvlJc w:val="left"/>
      <w:pPr>
        <w:ind w:left="2574" w:hanging="476"/>
        <w:jc w:val="left"/>
      </w:pPr>
      <w:rPr>
        <w:rFonts w:hint="default"/>
      </w:rPr>
    </w:lvl>
    <w:lvl w:ilvl="1">
      <w:start w:val="1"/>
      <w:numFmt w:val="decimal"/>
      <w:lvlText w:val="%1.%2"/>
      <w:lvlJc w:val="left"/>
      <w:pPr>
        <w:ind w:left="2574" w:hanging="476"/>
        <w:jc w:val="left"/>
      </w:pPr>
      <w:rPr>
        <w:rFonts w:hint="default"/>
      </w:rPr>
    </w:lvl>
    <w:lvl w:ilvl="2">
      <w:start w:val="6"/>
      <w:numFmt w:val="decimal"/>
      <w:lvlText w:val="%1.%2.%3"/>
      <w:lvlJc w:val="left"/>
      <w:pPr>
        <w:ind w:left="2574" w:hanging="476"/>
        <w:jc w:val="left"/>
      </w:pPr>
      <w:rPr>
        <w:rFonts w:hint="default" w:ascii="Calibri" w:hAnsi="Calibri" w:eastAsia="Calibri" w:cs="Calibri"/>
        <w:b/>
        <w:bCs/>
        <w:color w:val="53A1B9"/>
        <w:spacing w:val="-1"/>
        <w:w w:val="100"/>
        <w:sz w:val="20"/>
        <w:szCs w:val="20"/>
      </w:rPr>
    </w:lvl>
    <w:lvl w:ilvl="3">
      <w:start w:val="0"/>
      <w:numFmt w:val="bullet"/>
      <w:lvlText w:val="•"/>
      <w:lvlJc w:val="left"/>
      <w:pPr>
        <w:ind w:left="4920" w:hanging="476"/>
      </w:pPr>
      <w:rPr>
        <w:rFonts w:hint="default"/>
      </w:rPr>
    </w:lvl>
    <w:lvl w:ilvl="4">
      <w:start w:val="0"/>
      <w:numFmt w:val="bullet"/>
      <w:lvlText w:val="•"/>
      <w:lvlJc w:val="left"/>
      <w:pPr>
        <w:ind w:left="5700" w:hanging="476"/>
      </w:pPr>
      <w:rPr>
        <w:rFonts w:hint="default"/>
      </w:rPr>
    </w:lvl>
    <w:lvl w:ilvl="5">
      <w:start w:val="0"/>
      <w:numFmt w:val="bullet"/>
      <w:lvlText w:val="•"/>
      <w:lvlJc w:val="left"/>
      <w:pPr>
        <w:ind w:left="6480" w:hanging="476"/>
      </w:pPr>
      <w:rPr>
        <w:rFonts w:hint="default"/>
      </w:rPr>
    </w:lvl>
    <w:lvl w:ilvl="6">
      <w:start w:val="0"/>
      <w:numFmt w:val="bullet"/>
      <w:lvlText w:val="•"/>
      <w:lvlJc w:val="left"/>
      <w:pPr>
        <w:ind w:left="7260" w:hanging="476"/>
      </w:pPr>
      <w:rPr>
        <w:rFonts w:hint="default"/>
      </w:rPr>
    </w:lvl>
    <w:lvl w:ilvl="7">
      <w:start w:val="0"/>
      <w:numFmt w:val="bullet"/>
      <w:lvlText w:val="•"/>
      <w:lvlJc w:val="left"/>
      <w:pPr>
        <w:ind w:left="8040" w:hanging="476"/>
      </w:pPr>
      <w:rPr>
        <w:rFonts w:hint="default"/>
      </w:rPr>
    </w:lvl>
    <w:lvl w:ilvl="8">
      <w:start w:val="0"/>
      <w:numFmt w:val="bullet"/>
      <w:lvlText w:val="•"/>
      <w:lvlJc w:val="left"/>
      <w:pPr>
        <w:ind w:left="8820" w:hanging="476"/>
      </w:pPr>
      <w:rPr>
        <w:rFonts w:hint="default"/>
      </w:rPr>
    </w:lvl>
  </w:abstractNum>
  <w:abstractNum w:abstractNumId="68">
    <w:multiLevelType w:val="hybridMultilevel"/>
    <w:lvl w:ilvl="0">
      <w:start w:val="3"/>
      <w:numFmt w:val="upperLetter"/>
      <w:lvlText w:val="%1."/>
      <w:lvlJc w:val="left"/>
      <w:pPr>
        <w:ind w:left="2457" w:hanging="359"/>
        <w:jc w:val="left"/>
      </w:pPr>
      <w:rPr>
        <w:rFonts w:hint="default" w:ascii="Calibri" w:hAnsi="Calibri" w:eastAsia="Calibri" w:cs="Calibri"/>
        <w:spacing w:val="-1"/>
        <w:w w:val="100"/>
        <w:sz w:val="20"/>
        <w:szCs w:val="20"/>
      </w:rPr>
    </w:lvl>
    <w:lvl w:ilvl="1">
      <w:start w:val="0"/>
      <w:numFmt w:val="bullet"/>
      <w:lvlText w:val="•"/>
      <w:lvlJc w:val="left"/>
      <w:pPr>
        <w:ind w:left="3252" w:hanging="359"/>
      </w:pPr>
      <w:rPr>
        <w:rFonts w:hint="default"/>
      </w:rPr>
    </w:lvl>
    <w:lvl w:ilvl="2">
      <w:start w:val="0"/>
      <w:numFmt w:val="bullet"/>
      <w:lvlText w:val="•"/>
      <w:lvlJc w:val="left"/>
      <w:pPr>
        <w:ind w:left="4044" w:hanging="359"/>
      </w:pPr>
      <w:rPr>
        <w:rFonts w:hint="default"/>
      </w:rPr>
    </w:lvl>
    <w:lvl w:ilvl="3">
      <w:start w:val="0"/>
      <w:numFmt w:val="bullet"/>
      <w:lvlText w:val="•"/>
      <w:lvlJc w:val="left"/>
      <w:pPr>
        <w:ind w:left="4836" w:hanging="359"/>
      </w:pPr>
      <w:rPr>
        <w:rFonts w:hint="default"/>
      </w:rPr>
    </w:lvl>
    <w:lvl w:ilvl="4">
      <w:start w:val="0"/>
      <w:numFmt w:val="bullet"/>
      <w:lvlText w:val="•"/>
      <w:lvlJc w:val="left"/>
      <w:pPr>
        <w:ind w:left="5628" w:hanging="359"/>
      </w:pPr>
      <w:rPr>
        <w:rFonts w:hint="default"/>
      </w:rPr>
    </w:lvl>
    <w:lvl w:ilvl="5">
      <w:start w:val="0"/>
      <w:numFmt w:val="bullet"/>
      <w:lvlText w:val="•"/>
      <w:lvlJc w:val="left"/>
      <w:pPr>
        <w:ind w:left="6420" w:hanging="359"/>
      </w:pPr>
      <w:rPr>
        <w:rFonts w:hint="default"/>
      </w:rPr>
    </w:lvl>
    <w:lvl w:ilvl="6">
      <w:start w:val="0"/>
      <w:numFmt w:val="bullet"/>
      <w:lvlText w:val="•"/>
      <w:lvlJc w:val="left"/>
      <w:pPr>
        <w:ind w:left="7212" w:hanging="359"/>
      </w:pPr>
      <w:rPr>
        <w:rFonts w:hint="default"/>
      </w:rPr>
    </w:lvl>
    <w:lvl w:ilvl="7">
      <w:start w:val="0"/>
      <w:numFmt w:val="bullet"/>
      <w:lvlText w:val="•"/>
      <w:lvlJc w:val="left"/>
      <w:pPr>
        <w:ind w:left="8004" w:hanging="359"/>
      </w:pPr>
      <w:rPr>
        <w:rFonts w:hint="default"/>
      </w:rPr>
    </w:lvl>
    <w:lvl w:ilvl="8">
      <w:start w:val="0"/>
      <w:numFmt w:val="bullet"/>
      <w:lvlText w:val="•"/>
      <w:lvlJc w:val="left"/>
      <w:pPr>
        <w:ind w:left="8796" w:hanging="359"/>
      </w:pPr>
      <w:rPr>
        <w:rFonts w:hint="default"/>
      </w:rPr>
    </w:lvl>
  </w:abstractNum>
  <w:abstractNum w:abstractNumId="67">
    <w:multiLevelType w:val="hybridMultilevel"/>
    <w:lvl w:ilvl="0">
      <w:start w:val="1"/>
      <w:numFmt w:val="upperLetter"/>
      <w:lvlText w:val="%1."/>
      <w:lvlJc w:val="left"/>
      <w:pPr>
        <w:ind w:left="2457" w:hanging="359"/>
        <w:jc w:val="left"/>
      </w:pPr>
      <w:rPr>
        <w:rFonts w:hint="default" w:ascii="Calibri" w:hAnsi="Calibri" w:eastAsia="Calibri" w:cs="Calibri"/>
        <w:w w:val="100"/>
        <w:sz w:val="20"/>
        <w:szCs w:val="20"/>
      </w:rPr>
    </w:lvl>
    <w:lvl w:ilvl="1">
      <w:start w:val="0"/>
      <w:numFmt w:val="bullet"/>
      <w:lvlText w:val="•"/>
      <w:lvlJc w:val="left"/>
      <w:pPr>
        <w:ind w:left="3252" w:hanging="359"/>
      </w:pPr>
      <w:rPr>
        <w:rFonts w:hint="default"/>
      </w:rPr>
    </w:lvl>
    <w:lvl w:ilvl="2">
      <w:start w:val="0"/>
      <w:numFmt w:val="bullet"/>
      <w:lvlText w:val="•"/>
      <w:lvlJc w:val="left"/>
      <w:pPr>
        <w:ind w:left="4044" w:hanging="359"/>
      </w:pPr>
      <w:rPr>
        <w:rFonts w:hint="default"/>
      </w:rPr>
    </w:lvl>
    <w:lvl w:ilvl="3">
      <w:start w:val="0"/>
      <w:numFmt w:val="bullet"/>
      <w:lvlText w:val="•"/>
      <w:lvlJc w:val="left"/>
      <w:pPr>
        <w:ind w:left="4836" w:hanging="359"/>
      </w:pPr>
      <w:rPr>
        <w:rFonts w:hint="default"/>
      </w:rPr>
    </w:lvl>
    <w:lvl w:ilvl="4">
      <w:start w:val="0"/>
      <w:numFmt w:val="bullet"/>
      <w:lvlText w:val="•"/>
      <w:lvlJc w:val="left"/>
      <w:pPr>
        <w:ind w:left="5628" w:hanging="359"/>
      </w:pPr>
      <w:rPr>
        <w:rFonts w:hint="default"/>
      </w:rPr>
    </w:lvl>
    <w:lvl w:ilvl="5">
      <w:start w:val="0"/>
      <w:numFmt w:val="bullet"/>
      <w:lvlText w:val="•"/>
      <w:lvlJc w:val="left"/>
      <w:pPr>
        <w:ind w:left="6420" w:hanging="359"/>
      </w:pPr>
      <w:rPr>
        <w:rFonts w:hint="default"/>
      </w:rPr>
    </w:lvl>
    <w:lvl w:ilvl="6">
      <w:start w:val="0"/>
      <w:numFmt w:val="bullet"/>
      <w:lvlText w:val="•"/>
      <w:lvlJc w:val="left"/>
      <w:pPr>
        <w:ind w:left="7212" w:hanging="359"/>
      </w:pPr>
      <w:rPr>
        <w:rFonts w:hint="default"/>
      </w:rPr>
    </w:lvl>
    <w:lvl w:ilvl="7">
      <w:start w:val="0"/>
      <w:numFmt w:val="bullet"/>
      <w:lvlText w:val="•"/>
      <w:lvlJc w:val="left"/>
      <w:pPr>
        <w:ind w:left="8004" w:hanging="359"/>
      </w:pPr>
      <w:rPr>
        <w:rFonts w:hint="default"/>
      </w:rPr>
    </w:lvl>
    <w:lvl w:ilvl="8">
      <w:start w:val="0"/>
      <w:numFmt w:val="bullet"/>
      <w:lvlText w:val="•"/>
      <w:lvlJc w:val="left"/>
      <w:pPr>
        <w:ind w:left="8796" w:hanging="359"/>
      </w:pPr>
      <w:rPr>
        <w:rFonts w:hint="default"/>
      </w:rPr>
    </w:lvl>
  </w:abstractNum>
  <w:abstractNum w:abstractNumId="66">
    <w:multiLevelType w:val="hybridMultilevel"/>
    <w:lvl w:ilvl="0">
      <w:start w:val="2"/>
      <w:numFmt w:val="upperLetter"/>
      <w:lvlText w:val="%1."/>
      <w:lvlJc w:val="left"/>
      <w:pPr>
        <w:ind w:left="2457" w:hanging="359"/>
        <w:jc w:val="left"/>
      </w:pPr>
      <w:rPr>
        <w:rFonts w:hint="default" w:ascii="Calibri" w:hAnsi="Calibri" w:eastAsia="Calibri" w:cs="Calibri"/>
        <w:spacing w:val="-1"/>
        <w:w w:val="100"/>
        <w:sz w:val="20"/>
        <w:szCs w:val="20"/>
      </w:rPr>
    </w:lvl>
    <w:lvl w:ilvl="1">
      <w:start w:val="0"/>
      <w:numFmt w:val="bullet"/>
      <w:lvlText w:val="•"/>
      <w:lvlJc w:val="left"/>
      <w:pPr>
        <w:ind w:left="3252" w:hanging="359"/>
      </w:pPr>
      <w:rPr>
        <w:rFonts w:hint="default"/>
      </w:rPr>
    </w:lvl>
    <w:lvl w:ilvl="2">
      <w:start w:val="0"/>
      <w:numFmt w:val="bullet"/>
      <w:lvlText w:val="•"/>
      <w:lvlJc w:val="left"/>
      <w:pPr>
        <w:ind w:left="4044" w:hanging="359"/>
      </w:pPr>
      <w:rPr>
        <w:rFonts w:hint="default"/>
      </w:rPr>
    </w:lvl>
    <w:lvl w:ilvl="3">
      <w:start w:val="0"/>
      <w:numFmt w:val="bullet"/>
      <w:lvlText w:val="•"/>
      <w:lvlJc w:val="left"/>
      <w:pPr>
        <w:ind w:left="4836" w:hanging="359"/>
      </w:pPr>
      <w:rPr>
        <w:rFonts w:hint="default"/>
      </w:rPr>
    </w:lvl>
    <w:lvl w:ilvl="4">
      <w:start w:val="0"/>
      <w:numFmt w:val="bullet"/>
      <w:lvlText w:val="•"/>
      <w:lvlJc w:val="left"/>
      <w:pPr>
        <w:ind w:left="5628" w:hanging="359"/>
      </w:pPr>
      <w:rPr>
        <w:rFonts w:hint="default"/>
      </w:rPr>
    </w:lvl>
    <w:lvl w:ilvl="5">
      <w:start w:val="0"/>
      <w:numFmt w:val="bullet"/>
      <w:lvlText w:val="•"/>
      <w:lvlJc w:val="left"/>
      <w:pPr>
        <w:ind w:left="6420" w:hanging="359"/>
      </w:pPr>
      <w:rPr>
        <w:rFonts w:hint="default"/>
      </w:rPr>
    </w:lvl>
    <w:lvl w:ilvl="6">
      <w:start w:val="0"/>
      <w:numFmt w:val="bullet"/>
      <w:lvlText w:val="•"/>
      <w:lvlJc w:val="left"/>
      <w:pPr>
        <w:ind w:left="7212" w:hanging="359"/>
      </w:pPr>
      <w:rPr>
        <w:rFonts w:hint="default"/>
      </w:rPr>
    </w:lvl>
    <w:lvl w:ilvl="7">
      <w:start w:val="0"/>
      <w:numFmt w:val="bullet"/>
      <w:lvlText w:val="•"/>
      <w:lvlJc w:val="left"/>
      <w:pPr>
        <w:ind w:left="8004" w:hanging="359"/>
      </w:pPr>
      <w:rPr>
        <w:rFonts w:hint="default"/>
      </w:rPr>
    </w:lvl>
    <w:lvl w:ilvl="8">
      <w:start w:val="0"/>
      <w:numFmt w:val="bullet"/>
      <w:lvlText w:val="•"/>
      <w:lvlJc w:val="left"/>
      <w:pPr>
        <w:ind w:left="8796" w:hanging="359"/>
      </w:pPr>
      <w:rPr>
        <w:rFonts w:hint="default"/>
      </w:rPr>
    </w:lvl>
  </w:abstractNum>
  <w:abstractNum w:abstractNumId="65">
    <w:multiLevelType w:val="hybridMultilevel"/>
    <w:lvl w:ilvl="0">
      <w:start w:val="1"/>
      <w:numFmt w:val="upperLetter"/>
      <w:lvlText w:val="%1."/>
      <w:lvlJc w:val="left"/>
      <w:pPr>
        <w:ind w:left="2457" w:hanging="359"/>
        <w:jc w:val="left"/>
      </w:pPr>
      <w:rPr>
        <w:rFonts w:hint="default"/>
        <w:w w:val="100"/>
      </w:rPr>
    </w:lvl>
    <w:lvl w:ilvl="1">
      <w:start w:val="0"/>
      <w:numFmt w:val="bullet"/>
      <w:lvlText w:val="•"/>
      <w:lvlJc w:val="left"/>
      <w:pPr>
        <w:ind w:left="3252" w:hanging="359"/>
      </w:pPr>
      <w:rPr>
        <w:rFonts w:hint="default"/>
      </w:rPr>
    </w:lvl>
    <w:lvl w:ilvl="2">
      <w:start w:val="0"/>
      <w:numFmt w:val="bullet"/>
      <w:lvlText w:val="•"/>
      <w:lvlJc w:val="left"/>
      <w:pPr>
        <w:ind w:left="4044" w:hanging="359"/>
      </w:pPr>
      <w:rPr>
        <w:rFonts w:hint="default"/>
      </w:rPr>
    </w:lvl>
    <w:lvl w:ilvl="3">
      <w:start w:val="0"/>
      <w:numFmt w:val="bullet"/>
      <w:lvlText w:val="•"/>
      <w:lvlJc w:val="left"/>
      <w:pPr>
        <w:ind w:left="4836" w:hanging="359"/>
      </w:pPr>
      <w:rPr>
        <w:rFonts w:hint="default"/>
      </w:rPr>
    </w:lvl>
    <w:lvl w:ilvl="4">
      <w:start w:val="0"/>
      <w:numFmt w:val="bullet"/>
      <w:lvlText w:val="•"/>
      <w:lvlJc w:val="left"/>
      <w:pPr>
        <w:ind w:left="5628" w:hanging="359"/>
      </w:pPr>
      <w:rPr>
        <w:rFonts w:hint="default"/>
      </w:rPr>
    </w:lvl>
    <w:lvl w:ilvl="5">
      <w:start w:val="0"/>
      <w:numFmt w:val="bullet"/>
      <w:lvlText w:val="•"/>
      <w:lvlJc w:val="left"/>
      <w:pPr>
        <w:ind w:left="6420" w:hanging="359"/>
      </w:pPr>
      <w:rPr>
        <w:rFonts w:hint="default"/>
      </w:rPr>
    </w:lvl>
    <w:lvl w:ilvl="6">
      <w:start w:val="0"/>
      <w:numFmt w:val="bullet"/>
      <w:lvlText w:val="•"/>
      <w:lvlJc w:val="left"/>
      <w:pPr>
        <w:ind w:left="7212" w:hanging="359"/>
      </w:pPr>
      <w:rPr>
        <w:rFonts w:hint="default"/>
      </w:rPr>
    </w:lvl>
    <w:lvl w:ilvl="7">
      <w:start w:val="0"/>
      <w:numFmt w:val="bullet"/>
      <w:lvlText w:val="•"/>
      <w:lvlJc w:val="left"/>
      <w:pPr>
        <w:ind w:left="8004" w:hanging="359"/>
      </w:pPr>
      <w:rPr>
        <w:rFonts w:hint="default"/>
      </w:rPr>
    </w:lvl>
    <w:lvl w:ilvl="8">
      <w:start w:val="0"/>
      <w:numFmt w:val="bullet"/>
      <w:lvlText w:val="•"/>
      <w:lvlJc w:val="left"/>
      <w:pPr>
        <w:ind w:left="8796" w:hanging="359"/>
      </w:pPr>
      <w:rPr>
        <w:rFonts w:hint="default"/>
      </w:rPr>
    </w:lvl>
  </w:abstractNum>
  <w:abstractNum w:abstractNumId="64">
    <w:multiLevelType w:val="hybridMultilevel"/>
    <w:lvl w:ilvl="0">
      <w:start w:val="2"/>
      <w:numFmt w:val="lowerLetter"/>
      <w:lvlText w:val="%1)"/>
      <w:lvlJc w:val="left"/>
      <w:pPr>
        <w:ind w:left="2693" w:hanging="303"/>
        <w:jc w:val="left"/>
      </w:pPr>
      <w:rPr>
        <w:rFonts w:hint="default" w:ascii="Calibri" w:hAnsi="Calibri" w:eastAsia="Calibri" w:cs="Calibri"/>
        <w:w w:val="100"/>
        <w:sz w:val="20"/>
        <w:szCs w:val="20"/>
      </w:rPr>
    </w:lvl>
    <w:lvl w:ilvl="1">
      <w:start w:val="0"/>
      <w:numFmt w:val="bullet"/>
      <w:lvlText w:val="•"/>
      <w:lvlJc w:val="left"/>
      <w:pPr>
        <w:ind w:left="3468" w:hanging="303"/>
      </w:pPr>
      <w:rPr>
        <w:rFonts w:hint="default"/>
      </w:rPr>
    </w:lvl>
    <w:lvl w:ilvl="2">
      <w:start w:val="0"/>
      <w:numFmt w:val="bullet"/>
      <w:lvlText w:val="•"/>
      <w:lvlJc w:val="left"/>
      <w:pPr>
        <w:ind w:left="4236" w:hanging="303"/>
      </w:pPr>
      <w:rPr>
        <w:rFonts w:hint="default"/>
      </w:rPr>
    </w:lvl>
    <w:lvl w:ilvl="3">
      <w:start w:val="0"/>
      <w:numFmt w:val="bullet"/>
      <w:lvlText w:val="•"/>
      <w:lvlJc w:val="left"/>
      <w:pPr>
        <w:ind w:left="5004" w:hanging="303"/>
      </w:pPr>
      <w:rPr>
        <w:rFonts w:hint="default"/>
      </w:rPr>
    </w:lvl>
    <w:lvl w:ilvl="4">
      <w:start w:val="0"/>
      <w:numFmt w:val="bullet"/>
      <w:lvlText w:val="•"/>
      <w:lvlJc w:val="left"/>
      <w:pPr>
        <w:ind w:left="5772" w:hanging="303"/>
      </w:pPr>
      <w:rPr>
        <w:rFonts w:hint="default"/>
      </w:rPr>
    </w:lvl>
    <w:lvl w:ilvl="5">
      <w:start w:val="0"/>
      <w:numFmt w:val="bullet"/>
      <w:lvlText w:val="•"/>
      <w:lvlJc w:val="left"/>
      <w:pPr>
        <w:ind w:left="6540" w:hanging="303"/>
      </w:pPr>
      <w:rPr>
        <w:rFonts w:hint="default"/>
      </w:rPr>
    </w:lvl>
    <w:lvl w:ilvl="6">
      <w:start w:val="0"/>
      <w:numFmt w:val="bullet"/>
      <w:lvlText w:val="•"/>
      <w:lvlJc w:val="left"/>
      <w:pPr>
        <w:ind w:left="7308" w:hanging="303"/>
      </w:pPr>
      <w:rPr>
        <w:rFonts w:hint="default"/>
      </w:rPr>
    </w:lvl>
    <w:lvl w:ilvl="7">
      <w:start w:val="0"/>
      <w:numFmt w:val="bullet"/>
      <w:lvlText w:val="•"/>
      <w:lvlJc w:val="left"/>
      <w:pPr>
        <w:ind w:left="8076" w:hanging="303"/>
      </w:pPr>
      <w:rPr>
        <w:rFonts w:hint="default"/>
      </w:rPr>
    </w:lvl>
    <w:lvl w:ilvl="8">
      <w:start w:val="0"/>
      <w:numFmt w:val="bullet"/>
      <w:lvlText w:val="•"/>
      <w:lvlJc w:val="left"/>
      <w:pPr>
        <w:ind w:left="8844" w:hanging="303"/>
      </w:pPr>
      <w:rPr>
        <w:rFonts w:hint="default"/>
      </w:rPr>
    </w:lvl>
  </w:abstractNum>
  <w:abstractNum w:abstractNumId="63">
    <w:multiLevelType w:val="hybridMultilevel"/>
    <w:lvl w:ilvl="0">
      <w:start w:val="1"/>
      <w:numFmt w:val="upperLetter"/>
      <w:lvlText w:val="%1."/>
      <w:lvlJc w:val="left"/>
      <w:pPr>
        <w:ind w:left="2455" w:hanging="357"/>
        <w:jc w:val="left"/>
      </w:pPr>
      <w:rPr>
        <w:rFonts w:hint="default" w:ascii="Calibri" w:hAnsi="Calibri" w:eastAsia="Calibri" w:cs="Calibri"/>
        <w:w w:val="100"/>
        <w:sz w:val="20"/>
        <w:szCs w:val="20"/>
      </w:rPr>
    </w:lvl>
    <w:lvl w:ilvl="1">
      <w:start w:val="1"/>
      <w:numFmt w:val="lowerLetter"/>
      <w:lvlText w:val="%2)"/>
      <w:lvlJc w:val="left"/>
      <w:pPr>
        <w:ind w:left="2693" w:hanging="303"/>
        <w:jc w:val="left"/>
      </w:pPr>
      <w:rPr>
        <w:rFonts w:hint="default" w:ascii="Calibri" w:hAnsi="Calibri" w:eastAsia="Calibri" w:cs="Calibri"/>
        <w:w w:val="100"/>
        <w:sz w:val="20"/>
        <w:szCs w:val="20"/>
      </w:rPr>
    </w:lvl>
    <w:lvl w:ilvl="2">
      <w:start w:val="0"/>
      <w:numFmt w:val="bullet"/>
      <w:lvlText w:val="•"/>
      <w:lvlJc w:val="left"/>
      <w:pPr>
        <w:ind w:left="3553" w:hanging="303"/>
      </w:pPr>
      <w:rPr>
        <w:rFonts w:hint="default"/>
      </w:rPr>
    </w:lvl>
    <w:lvl w:ilvl="3">
      <w:start w:val="0"/>
      <w:numFmt w:val="bullet"/>
      <w:lvlText w:val="•"/>
      <w:lvlJc w:val="left"/>
      <w:pPr>
        <w:ind w:left="4406" w:hanging="303"/>
      </w:pPr>
      <w:rPr>
        <w:rFonts w:hint="default"/>
      </w:rPr>
    </w:lvl>
    <w:lvl w:ilvl="4">
      <w:start w:val="0"/>
      <w:numFmt w:val="bullet"/>
      <w:lvlText w:val="•"/>
      <w:lvlJc w:val="left"/>
      <w:pPr>
        <w:ind w:left="5260" w:hanging="303"/>
      </w:pPr>
      <w:rPr>
        <w:rFonts w:hint="default"/>
      </w:rPr>
    </w:lvl>
    <w:lvl w:ilvl="5">
      <w:start w:val="0"/>
      <w:numFmt w:val="bullet"/>
      <w:lvlText w:val="•"/>
      <w:lvlJc w:val="left"/>
      <w:pPr>
        <w:ind w:left="6113" w:hanging="303"/>
      </w:pPr>
      <w:rPr>
        <w:rFonts w:hint="default"/>
      </w:rPr>
    </w:lvl>
    <w:lvl w:ilvl="6">
      <w:start w:val="0"/>
      <w:numFmt w:val="bullet"/>
      <w:lvlText w:val="•"/>
      <w:lvlJc w:val="left"/>
      <w:pPr>
        <w:ind w:left="6966" w:hanging="303"/>
      </w:pPr>
      <w:rPr>
        <w:rFonts w:hint="default"/>
      </w:rPr>
    </w:lvl>
    <w:lvl w:ilvl="7">
      <w:start w:val="0"/>
      <w:numFmt w:val="bullet"/>
      <w:lvlText w:val="•"/>
      <w:lvlJc w:val="left"/>
      <w:pPr>
        <w:ind w:left="7820" w:hanging="303"/>
      </w:pPr>
      <w:rPr>
        <w:rFonts w:hint="default"/>
      </w:rPr>
    </w:lvl>
    <w:lvl w:ilvl="8">
      <w:start w:val="0"/>
      <w:numFmt w:val="bullet"/>
      <w:lvlText w:val="•"/>
      <w:lvlJc w:val="left"/>
      <w:pPr>
        <w:ind w:left="8673" w:hanging="303"/>
      </w:pPr>
      <w:rPr>
        <w:rFonts w:hint="default"/>
      </w:rPr>
    </w:lvl>
  </w:abstractNum>
  <w:abstractNum w:abstractNumId="62">
    <w:multiLevelType w:val="hybridMultilevel"/>
    <w:lvl w:ilvl="0">
      <w:start w:val="1"/>
      <w:numFmt w:val="decimal"/>
      <w:lvlText w:val="%1."/>
      <w:lvlJc w:val="left"/>
      <w:pPr>
        <w:ind w:left="2336" w:hanging="238"/>
        <w:jc w:val="left"/>
      </w:pPr>
      <w:rPr>
        <w:rFonts w:hint="default" w:ascii="Calibri" w:hAnsi="Calibri" w:eastAsia="Calibri" w:cs="Calibri"/>
        <w:b/>
        <w:bCs/>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61">
    <w:multiLevelType w:val="hybridMultilevel"/>
    <w:lvl w:ilvl="0">
      <w:start w:val="5"/>
      <w:numFmt w:val="decimal"/>
      <w:lvlText w:val="%1"/>
      <w:lvlJc w:val="left"/>
      <w:pPr>
        <w:ind w:left="2693" w:hanging="605"/>
        <w:jc w:val="left"/>
      </w:pPr>
      <w:rPr>
        <w:rFonts w:hint="default"/>
      </w:rPr>
    </w:lvl>
    <w:lvl w:ilvl="1">
      <w:start w:val="1"/>
      <w:numFmt w:val="decimal"/>
      <w:lvlText w:val="%1.%2"/>
      <w:lvlJc w:val="left"/>
      <w:pPr>
        <w:ind w:left="2693" w:hanging="605"/>
        <w:jc w:val="left"/>
      </w:pPr>
      <w:rPr>
        <w:rFonts w:hint="default"/>
      </w:rPr>
    </w:lvl>
    <w:lvl w:ilvl="2">
      <w:start w:val="4"/>
      <w:numFmt w:val="decimal"/>
      <w:lvlText w:val="%1.%2.%3"/>
      <w:lvlJc w:val="left"/>
      <w:pPr>
        <w:ind w:left="2693" w:hanging="605"/>
        <w:jc w:val="left"/>
      </w:pPr>
      <w:rPr>
        <w:rFonts w:hint="default" w:ascii="Calibri" w:hAnsi="Calibri" w:eastAsia="Calibri" w:cs="Calibri"/>
        <w:b/>
        <w:bCs/>
        <w:color w:val="53A1B9"/>
        <w:spacing w:val="-1"/>
        <w:w w:val="100"/>
        <w:sz w:val="20"/>
        <w:szCs w:val="20"/>
      </w:rPr>
    </w:lvl>
    <w:lvl w:ilvl="3">
      <w:start w:val="1"/>
      <w:numFmt w:val="decimal"/>
      <w:lvlText w:val="%1.%2.%3.%4."/>
      <w:lvlJc w:val="left"/>
      <w:pPr>
        <w:ind w:left="2770" w:hanging="671"/>
        <w:jc w:val="left"/>
      </w:pPr>
      <w:rPr>
        <w:rFonts w:hint="default" w:ascii="Calibri" w:hAnsi="Calibri" w:eastAsia="Calibri" w:cs="Calibri"/>
        <w:b/>
        <w:bCs/>
        <w:spacing w:val="-1"/>
        <w:w w:val="100"/>
        <w:sz w:val="20"/>
        <w:szCs w:val="20"/>
      </w:rPr>
    </w:lvl>
    <w:lvl w:ilvl="4">
      <w:start w:val="0"/>
      <w:numFmt w:val="bullet"/>
      <w:lvlText w:val="•"/>
      <w:lvlJc w:val="left"/>
      <w:pPr>
        <w:ind w:left="5313" w:hanging="671"/>
      </w:pPr>
      <w:rPr>
        <w:rFonts w:hint="default"/>
      </w:rPr>
    </w:lvl>
    <w:lvl w:ilvl="5">
      <w:start w:val="0"/>
      <w:numFmt w:val="bullet"/>
      <w:lvlText w:val="•"/>
      <w:lvlJc w:val="left"/>
      <w:pPr>
        <w:ind w:left="6157" w:hanging="671"/>
      </w:pPr>
      <w:rPr>
        <w:rFonts w:hint="default"/>
      </w:rPr>
    </w:lvl>
    <w:lvl w:ilvl="6">
      <w:start w:val="0"/>
      <w:numFmt w:val="bullet"/>
      <w:lvlText w:val="•"/>
      <w:lvlJc w:val="left"/>
      <w:pPr>
        <w:ind w:left="7002" w:hanging="671"/>
      </w:pPr>
      <w:rPr>
        <w:rFonts w:hint="default"/>
      </w:rPr>
    </w:lvl>
    <w:lvl w:ilvl="7">
      <w:start w:val="0"/>
      <w:numFmt w:val="bullet"/>
      <w:lvlText w:val="•"/>
      <w:lvlJc w:val="left"/>
      <w:pPr>
        <w:ind w:left="7846" w:hanging="671"/>
      </w:pPr>
      <w:rPr>
        <w:rFonts w:hint="default"/>
      </w:rPr>
    </w:lvl>
    <w:lvl w:ilvl="8">
      <w:start w:val="0"/>
      <w:numFmt w:val="bullet"/>
      <w:lvlText w:val="•"/>
      <w:lvlJc w:val="left"/>
      <w:pPr>
        <w:ind w:left="8691" w:hanging="671"/>
      </w:pPr>
      <w:rPr>
        <w:rFonts w:hint="default"/>
      </w:rPr>
    </w:lvl>
  </w:abstractNum>
  <w:abstractNum w:abstractNumId="60">
    <w:multiLevelType w:val="hybridMultilevel"/>
    <w:lvl w:ilvl="0">
      <w:start w:val="5"/>
      <w:numFmt w:val="decimal"/>
      <w:lvlText w:val="%1."/>
      <w:lvlJc w:val="left"/>
      <w:pPr>
        <w:ind w:left="2336" w:hanging="238"/>
        <w:jc w:val="left"/>
      </w:pPr>
      <w:rPr>
        <w:rFonts w:hint="default" w:ascii="Calibri" w:hAnsi="Calibri" w:eastAsia="Calibri" w:cs="Calibri"/>
        <w:w w:val="100"/>
        <w:sz w:val="20"/>
        <w:szCs w:val="20"/>
      </w:rPr>
    </w:lvl>
    <w:lvl w:ilvl="1">
      <w:start w:val="1"/>
      <w:numFmt w:val="decimal"/>
      <w:lvlText w:val="%1.%2."/>
      <w:lvlJc w:val="left"/>
      <w:pPr>
        <w:ind w:left="2099" w:hanging="355"/>
        <w:jc w:val="left"/>
      </w:pPr>
      <w:rPr>
        <w:rFonts w:hint="default" w:ascii="Calibri" w:hAnsi="Calibri" w:eastAsia="Calibri" w:cs="Calibri"/>
        <w:w w:val="100"/>
        <w:sz w:val="20"/>
        <w:szCs w:val="20"/>
      </w:rPr>
    </w:lvl>
    <w:lvl w:ilvl="2">
      <w:start w:val="0"/>
      <w:numFmt w:val="bullet"/>
      <w:lvlText w:val="•"/>
      <w:lvlJc w:val="left"/>
      <w:pPr>
        <w:ind w:left="3233" w:hanging="355"/>
      </w:pPr>
      <w:rPr>
        <w:rFonts w:hint="default"/>
      </w:rPr>
    </w:lvl>
    <w:lvl w:ilvl="3">
      <w:start w:val="0"/>
      <w:numFmt w:val="bullet"/>
      <w:lvlText w:val="•"/>
      <w:lvlJc w:val="left"/>
      <w:pPr>
        <w:ind w:left="4126" w:hanging="355"/>
      </w:pPr>
      <w:rPr>
        <w:rFonts w:hint="default"/>
      </w:rPr>
    </w:lvl>
    <w:lvl w:ilvl="4">
      <w:start w:val="0"/>
      <w:numFmt w:val="bullet"/>
      <w:lvlText w:val="•"/>
      <w:lvlJc w:val="left"/>
      <w:pPr>
        <w:ind w:left="5020" w:hanging="355"/>
      </w:pPr>
      <w:rPr>
        <w:rFonts w:hint="default"/>
      </w:rPr>
    </w:lvl>
    <w:lvl w:ilvl="5">
      <w:start w:val="0"/>
      <w:numFmt w:val="bullet"/>
      <w:lvlText w:val="•"/>
      <w:lvlJc w:val="left"/>
      <w:pPr>
        <w:ind w:left="5913" w:hanging="355"/>
      </w:pPr>
      <w:rPr>
        <w:rFonts w:hint="default"/>
      </w:rPr>
    </w:lvl>
    <w:lvl w:ilvl="6">
      <w:start w:val="0"/>
      <w:numFmt w:val="bullet"/>
      <w:lvlText w:val="•"/>
      <w:lvlJc w:val="left"/>
      <w:pPr>
        <w:ind w:left="6806" w:hanging="355"/>
      </w:pPr>
      <w:rPr>
        <w:rFonts w:hint="default"/>
      </w:rPr>
    </w:lvl>
    <w:lvl w:ilvl="7">
      <w:start w:val="0"/>
      <w:numFmt w:val="bullet"/>
      <w:lvlText w:val="•"/>
      <w:lvlJc w:val="left"/>
      <w:pPr>
        <w:ind w:left="7700" w:hanging="355"/>
      </w:pPr>
      <w:rPr>
        <w:rFonts w:hint="default"/>
      </w:rPr>
    </w:lvl>
    <w:lvl w:ilvl="8">
      <w:start w:val="0"/>
      <w:numFmt w:val="bullet"/>
      <w:lvlText w:val="•"/>
      <w:lvlJc w:val="left"/>
      <w:pPr>
        <w:ind w:left="8593" w:hanging="355"/>
      </w:pPr>
      <w:rPr>
        <w:rFonts w:hint="default"/>
      </w:rPr>
    </w:lvl>
  </w:abstractNum>
  <w:abstractNum w:abstractNumId="59">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58">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57">
    <w:multiLevelType w:val="hybridMultilevel"/>
    <w:lvl w:ilvl="0">
      <w:start w:val="3"/>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56">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55">
    <w:multiLevelType w:val="hybridMultilevel"/>
    <w:lvl w:ilvl="0">
      <w:start w:val="5"/>
      <w:numFmt w:val="decimal"/>
      <w:lvlText w:val="%1"/>
      <w:lvlJc w:val="left"/>
      <w:pPr>
        <w:ind w:left="2550" w:hanging="452"/>
        <w:jc w:val="left"/>
      </w:pPr>
      <w:rPr>
        <w:rFonts w:hint="default"/>
      </w:rPr>
    </w:lvl>
    <w:lvl w:ilvl="1">
      <w:start w:val="1"/>
      <w:numFmt w:val="decimal"/>
      <w:lvlText w:val="%1.%2"/>
      <w:lvlJc w:val="left"/>
      <w:pPr>
        <w:ind w:left="2550" w:hanging="452"/>
        <w:jc w:val="left"/>
      </w:pPr>
      <w:rPr>
        <w:rFonts w:hint="default" w:ascii="Calibri" w:hAnsi="Calibri" w:eastAsia="Calibri" w:cs="Calibri"/>
        <w:b/>
        <w:bCs/>
        <w:color w:val="53A1B9"/>
        <w:w w:val="100"/>
        <w:sz w:val="20"/>
        <w:szCs w:val="20"/>
      </w:rPr>
    </w:lvl>
    <w:lvl w:ilvl="2">
      <w:start w:val="1"/>
      <w:numFmt w:val="decimal"/>
      <w:lvlText w:val="%1.%2.%3"/>
      <w:lvlJc w:val="left"/>
      <w:pPr>
        <w:ind w:left="2693" w:hanging="605"/>
        <w:jc w:val="left"/>
      </w:pPr>
      <w:rPr>
        <w:rFonts w:hint="default" w:ascii="Calibri" w:hAnsi="Calibri" w:eastAsia="Calibri" w:cs="Calibri"/>
        <w:b/>
        <w:bCs/>
        <w:color w:val="53A1B9"/>
        <w:spacing w:val="-1"/>
        <w:w w:val="100"/>
        <w:sz w:val="20"/>
        <w:szCs w:val="20"/>
      </w:rPr>
    </w:lvl>
    <w:lvl w:ilvl="3">
      <w:start w:val="0"/>
      <w:numFmt w:val="bullet"/>
      <w:lvlText w:val="•"/>
      <w:lvlJc w:val="left"/>
      <w:pPr>
        <w:ind w:left="4406" w:hanging="605"/>
      </w:pPr>
      <w:rPr>
        <w:rFonts w:hint="default"/>
      </w:rPr>
    </w:lvl>
    <w:lvl w:ilvl="4">
      <w:start w:val="0"/>
      <w:numFmt w:val="bullet"/>
      <w:lvlText w:val="•"/>
      <w:lvlJc w:val="left"/>
      <w:pPr>
        <w:ind w:left="5260" w:hanging="605"/>
      </w:pPr>
      <w:rPr>
        <w:rFonts w:hint="default"/>
      </w:rPr>
    </w:lvl>
    <w:lvl w:ilvl="5">
      <w:start w:val="0"/>
      <w:numFmt w:val="bullet"/>
      <w:lvlText w:val="•"/>
      <w:lvlJc w:val="left"/>
      <w:pPr>
        <w:ind w:left="6113" w:hanging="605"/>
      </w:pPr>
      <w:rPr>
        <w:rFonts w:hint="default"/>
      </w:rPr>
    </w:lvl>
    <w:lvl w:ilvl="6">
      <w:start w:val="0"/>
      <w:numFmt w:val="bullet"/>
      <w:lvlText w:val="•"/>
      <w:lvlJc w:val="left"/>
      <w:pPr>
        <w:ind w:left="6966" w:hanging="605"/>
      </w:pPr>
      <w:rPr>
        <w:rFonts w:hint="default"/>
      </w:rPr>
    </w:lvl>
    <w:lvl w:ilvl="7">
      <w:start w:val="0"/>
      <w:numFmt w:val="bullet"/>
      <w:lvlText w:val="•"/>
      <w:lvlJc w:val="left"/>
      <w:pPr>
        <w:ind w:left="7820" w:hanging="605"/>
      </w:pPr>
      <w:rPr>
        <w:rFonts w:hint="default"/>
      </w:rPr>
    </w:lvl>
    <w:lvl w:ilvl="8">
      <w:start w:val="0"/>
      <w:numFmt w:val="bullet"/>
      <w:lvlText w:val="•"/>
      <w:lvlJc w:val="left"/>
      <w:pPr>
        <w:ind w:left="8673" w:hanging="605"/>
      </w:pPr>
      <w:rPr>
        <w:rFonts w:hint="default"/>
      </w:rPr>
    </w:lvl>
  </w:abstractNum>
  <w:abstractNum w:abstractNumId="54">
    <w:multiLevelType w:val="hybridMultilevel"/>
    <w:lvl w:ilvl="0">
      <w:start w:val="1"/>
      <w:numFmt w:val="decimal"/>
      <w:lvlText w:val="%1."/>
      <w:lvlJc w:val="left"/>
      <w:pPr>
        <w:ind w:left="2336"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53">
    <w:multiLevelType w:val="hybridMultilevel"/>
    <w:lvl w:ilvl="0">
      <w:start w:val="2"/>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2690" w:hanging="238"/>
      </w:pPr>
      <w:rPr>
        <w:rFonts w:hint="default" w:ascii="Symbol" w:hAnsi="Symbol" w:eastAsia="Symbol" w:cs="Symbol"/>
        <w:w w:val="100"/>
        <w:sz w:val="15"/>
        <w:szCs w:val="15"/>
      </w:rPr>
    </w:lvl>
    <w:lvl w:ilvl="2">
      <w:start w:val="0"/>
      <w:numFmt w:val="bullet"/>
      <w:lvlText w:val="•"/>
      <w:lvlJc w:val="left"/>
      <w:pPr>
        <w:ind w:left="3553" w:hanging="238"/>
      </w:pPr>
      <w:rPr>
        <w:rFonts w:hint="default"/>
      </w:rPr>
    </w:lvl>
    <w:lvl w:ilvl="3">
      <w:start w:val="0"/>
      <w:numFmt w:val="bullet"/>
      <w:lvlText w:val="•"/>
      <w:lvlJc w:val="left"/>
      <w:pPr>
        <w:ind w:left="4406" w:hanging="238"/>
      </w:pPr>
      <w:rPr>
        <w:rFonts w:hint="default"/>
      </w:rPr>
    </w:lvl>
    <w:lvl w:ilvl="4">
      <w:start w:val="0"/>
      <w:numFmt w:val="bullet"/>
      <w:lvlText w:val="•"/>
      <w:lvlJc w:val="left"/>
      <w:pPr>
        <w:ind w:left="5260" w:hanging="238"/>
      </w:pPr>
      <w:rPr>
        <w:rFonts w:hint="default"/>
      </w:rPr>
    </w:lvl>
    <w:lvl w:ilvl="5">
      <w:start w:val="0"/>
      <w:numFmt w:val="bullet"/>
      <w:lvlText w:val="•"/>
      <w:lvlJc w:val="left"/>
      <w:pPr>
        <w:ind w:left="6113" w:hanging="238"/>
      </w:pPr>
      <w:rPr>
        <w:rFonts w:hint="default"/>
      </w:rPr>
    </w:lvl>
    <w:lvl w:ilvl="6">
      <w:start w:val="0"/>
      <w:numFmt w:val="bullet"/>
      <w:lvlText w:val="•"/>
      <w:lvlJc w:val="left"/>
      <w:pPr>
        <w:ind w:left="6966" w:hanging="238"/>
      </w:pPr>
      <w:rPr>
        <w:rFonts w:hint="default"/>
      </w:rPr>
    </w:lvl>
    <w:lvl w:ilvl="7">
      <w:start w:val="0"/>
      <w:numFmt w:val="bullet"/>
      <w:lvlText w:val="•"/>
      <w:lvlJc w:val="left"/>
      <w:pPr>
        <w:ind w:left="7820" w:hanging="238"/>
      </w:pPr>
      <w:rPr>
        <w:rFonts w:hint="default"/>
      </w:rPr>
    </w:lvl>
    <w:lvl w:ilvl="8">
      <w:start w:val="0"/>
      <w:numFmt w:val="bullet"/>
      <w:lvlText w:val="•"/>
      <w:lvlJc w:val="left"/>
      <w:pPr>
        <w:ind w:left="8673" w:hanging="238"/>
      </w:pPr>
      <w:rPr>
        <w:rFonts w:hint="default"/>
      </w:rPr>
    </w:lvl>
  </w:abstractNum>
  <w:abstractNum w:abstractNumId="52">
    <w:multiLevelType w:val="hybridMultilevel"/>
    <w:lvl w:ilvl="0">
      <w:start w:val="3"/>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51">
    <w:multiLevelType w:val="hybridMultilevel"/>
    <w:lvl w:ilvl="0">
      <w:start w:val="1"/>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50">
    <w:multiLevelType w:val="hybridMultilevel"/>
    <w:lvl w:ilvl="0">
      <w:start w:val="1"/>
      <w:numFmt w:val="lowerLetter"/>
      <w:lvlText w:val="%1)"/>
      <w:lvlJc w:val="left"/>
      <w:pPr>
        <w:ind w:left="2455" w:hanging="393"/>
        <w:jc w:val="right"/>
      </w:pPr>
      <w:rPr>
        <w:rFonts w:hint="default" w:ascii="Calibri" w:hAnsi="Calibri" w:eastAsia="Calibri" w:cs="Calibri"/>
        <w:b/>
        <w:bCs/>
        <w:spacing w:val="-1"/>
        <w:w w:val="100"/>
        <w:sz w:val="20"/>
        <w:szCs w:val="20"/>
      </w:rPr>
    </w:lvl>
    <w:lvl w:ilvl="1">
      <w:start w:val="1"/>
      <w:numFmt w:val="decimal"/>
      <w:lvlText w:val="%2."/>
      <w:lvlJc w:val="left"/>
      <w:pPr>
        <w:ind w:left="2336" w:hanging="238"/>
        <w:jc w:val="left"/>
      </w:pPr>
      <w:rPr>
        <w:rFonts w:hint="default" w:ascii="Calibri" w:hAnsi="Calibri" w:eastAsia="Calibri" w:cs="Calibri"/>
        <w:w w:val="100"/>
        <w:sz w:val="20"/>
        <w:szCs w:val="20"/>
      </w:rPr>
    </w:lvl>
    <w:lvl w:ilvl="2">
      <w:start w:val="0"/>
      <w:numFmt w:val="bullet"/>
      <w:lvlText w:val="•"/>
      <w:lvlJc w:val="left"/>
      <w:pPr>
        <w:ind w:left="3340" w:hanging="238"/>
      </w:pPr>
      <w:rPr>
        <w:rFonts w:hint="default"/>
      </w:rPr>
    </w:lvl>
    <w:lvl w:ilvl="3">
      <w:start w:val="0"/>
      <w:numFmt w:val="bullet"/>
      <w:lvlText w:val="•"/>
      <w:lvlJc w:val="left"/>
      <w:pPr>
        <w:ind w:left="4220" w:hanging="238"/>
      </w:pPr>
      <w:rPr>
        <w:rFonts w:hint="default"/>
      </w:rPr>
    </w:lvl>
    <w:lvl w:ilvl="4">
      <w:start w:val="0"/>
      <w:numFmt w:val="bullet"/>
      <w:lvlText w:val="•"/>
      <w:lvlJc w:val="left"/>
      <w:pPr>
        <w:ind w:left="5100" w:hanging="238"/>
      </w:pPr>
      <w:rPr>
        <w:rFonts w:hint="default"/>
      </w:rPr>
    </w:lvl>
    <w:lvl w:ilvl="5">
      <w:start w:val="0"/>
      <w:numFmt w:val="bullet"/>
      <w:lvlText w:val="•"/>
      <w:lvlJc w:val="left"/>
      <w:pPr>
        <w:ind w:left="5980" w:hanging="238"/>
      </w:pPr>
      <w:rPr>
        <w:rFonts w:hint="default"/>
      </w:rPr>
    </w:lvl>
    <w:lvl w:ilvl="6">
      <w:start w:val="0"/>
      <w:numFmt w:val="bullet"/>
      <w:lvlText w:val="•"/>
      <w:lvlJc w:val="left"/>
      <w:pPr>
        <w:ind w:left="6860" w:hanging="238"/>
      </w:pPr>
      <w:rPr>
        <w:rFonts w:hint="default"/>
      </w:rPr>
    </w:lvl>
    <w:lvl w:ilvl="7">
      <w:start w:val="0"/>
      <w:numFmt w:val="bullet"/>
      <w:lvlText w:val="•"/>
      <w:lvlJc w:val="left"/>
      <w:pPr>
        <w:ind w:left="7740" w:hanging="238"/>
      </w:pPr>
      <w:rPr>
        <w:rFonts w:hint="default"/>
      </w:rPr>
    </w:lvl>
    <w:lvl w:ilvl="8">
      <w:start w:val="0"/>
      <w:numFmt w:val="bullet"/>
      <w:lvlText w:val="•"/>
      <w:lvlJc w:val="left"/>
      <w:pPr>
        <w:ind w:left="8620" w:hanging="238"/>
      </w:pPr>
      <w:rPr>
        <w:rFonts w:hint="default"/>
      </w:rPr>
    </w:lvl>
  </w:abstractNum>
  <w:abstractNum w:abstractNumId="49">
    <w:multiLevelType w:val="hybridMultilevel"/>
    <w:lvl w:ilvl="0">
      <w:start w:val="1"/>
      <w:numFmt w:val="upperLetter"/>
      <w:lvlText w:val="%1)"/>
      <w:lvlJc w:val="left"/>
      <w:pPr>
        <w:ind w:left="208" w:hanging="150"/>
        <w:jc w:val="left"/>
      </w:pPr>
      <w:rPr>
        <w:rFonts w:hint="default" w:ascii="Calibri" w:hAnsi="Calibri" w:eastAsia="Calibri" w:cs="Calibri"/>
        <w:w w:val="103"/>
        <w:sz w:val="13"/>
        <w:szCs w:val="13"/>
      </w:rPr>
    </w:lvl>
    <w:lvl w:ilvl="1">
      <w:start w:val="0"/>
      <w:numFmt w:val="bullet"/>
      <w:lvlText w:val="•"/>
      <w:lvlJc w:val="left"/>
      <w:pPr>
        <w:ind w:left="380" w:hanging="150"/>
      </w:pPr>
      <w:rPr>
        <w:rFonts w:hint="default"/>
      </w:rPr>
    </w:lvl>
    <w:lvl w:ilvl="2">
      <w:start w:val="0"/>
      <w:numFmt w:val="bullet"/>
      <w:lvlText w:val="•"/>
      <w:lvlJc w:val="left"/>
      <w:pPr>
        <w:ind w:left="561" w:hanging="150"/>
      </w:pPr>
      <w:rPr>
        <w:rFonts w:hint="default"/>
      </w:rPr>
    </w:lvl>
    <w:lvl w:ilvl="3">
      <w:start w:val="0"/>
      <w:numFmt w:val="bullet"/>
      <w:lvlText w:val="•"/>
      <w:lvlJc w:val="left"/>
      <w:pPr>
        <w:ind w:left="742" w:hanging="150"/>
      </w:pPr>
      <w:rPr>
        <w:rFonts w:hint="default"/>
      </w:rPr>
    </w:lvl>
    <w:lvl w:ilvl="4">
      <w:start w:val="0"/>
      <w:numFmt w:val="bullet"/>
      <w:lvlText w:val="•"/>
      <w:lvlJc w:val="left"/>
      <w:pPr>
        <w:ind w:left="923" w:hanging="150"/>
      </w:pPr>
      <w:rPr>
        <w:rFonts w:hint="default"/>
      </w:rPr>
    </w:lvl>
    <w:lvl w:ilvl="5">
      <w:start w:val="0"/>
      <w:numFmt w:val="bullet"/>
      <w:lvlText w:val="•"/>
      <w:lvlJc w:val="left"/>
      <w:pPr>
        <w:ind w:left="1104" w:hanging="150"/>
      </w:pPr>
      <w:rPr>
        <w:rFonts w:hint="default"/>
      </w:rPr>
    </w:lvl>
    <w:lvl w:ilvl="6">
      <w:start w:val="0"/>
      <w:numFmt w:val="bullet"/>
      <w:lvlText w:val="•"/>
      <w:lvlJc w:val="left"/>
      <w:pPr>
        <w:ind w:left="1285" w:hanging="150"/>
      </w:pPr>
      <w:rPr>
        <w:rFonts w:hint="default"/>
      </w:rPr>
    </w:lvl>
    <w:lvl w:ilvl="7">
      <w:start w:val="0"/>
      <w:numFmt w:val="bullet"/>
      <w:lvlText w:val="•"/>
      <w:lvlJc w:val="left"/>
      <w:pPr>
        <w:ind w:left="1466" w:hanging="150"/>
      </w:pPr>
      <w:rPr>
        <w:rFonts w:hint="default"/>
      </w:rPr>
    </w:lvl>
    <w:lvl w:ilvl="8">
      <w:start w:val="0"/>
      <w:numFmt w:val="bullet"/>
      <w:lvlText w:val="•"/>
      <w:lvlJc w:val="left"/>
      <w:pPr>
        <w:ind w:left="1647" w:hanging="150"/>
      </w:pPr>
      <w:rPr>
        <w:rFonts w:hint="default"/>
      </w:rPr>
    </w:lvl>
  </w:abstractNum>
  <w:abstractNum w:abstractNumId="48">
    <w:multiLevelType w:val="hybridMultilevel"/>
    <w:lvl w:ilvl="0">
      <w:start w:val="3"/>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47">
    <w:multiLevelType w:val="hybridMultilevel"/>
    <w:lvl w:ilvl="0">
      <w:start w:val="1"/>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46">
    <w:multiLevelType w:val="hybridMultilevel"/>
    <w:lvl w:ilvl="0">
      <w:start w:val="1"/>
      <w:numFmt w:val="decimal"/>
      <w:lvlText w:val="%1."/>
      <w:lvlJc w:val="left"/>
      <w:pPr>
        <w:ind w:left="2334" w:hanging="238"/>
        <w:jc w:val="righ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45">
    <w:multiLevelType w:val="hybridMultilevel"/>
    <w:lvl w:ilvl="0">
      <w:start w:val="1"/>
      <w:numFmt w:val="lowerLetter"/>
      <w:lvlText w:val="%1)"/>
      <w:lvlJc w:val="left"/>
      <w:pPr>
        <w:ind w:left="2303" w:hanging="208"/>
        <w:jc w:val="left"/>
      </w:pPr>
      <w:rPr>
        <w:rFonts w:hint="default" w:ascii="Calibri" w:hAnsi="Calibri" w:eastAsia="Calibri" w:cs="Calibri"/>
        <w:b/>
        <w:bCs/>
        <w:spacing w:val="-1"/>
        <w:w w:val="100"/>
        <w:sz w:val="20"/>
        <w:szCs w:val="20"/>
      </w:rPr>
    </w:lvl>
    <w:lvl w:ilvl="1">
      <w:start w:val="0"/>
      <w:numFmt w:val="bullet"/>
      <w:lvlText w:val="•"/>
      <w:lvlJc w:val="left"/>
      <w:pPr>
        <w:ind w:left="3108" w:hanging="208"/>
      </w:pPr>
      <w:rPr>
        <w:rFonts w:hint="default"/>
      </w:rPr>
    </w:lvl>
    <w:lvl w:ilvl="2">
      <w:start w:val="0"/>
      <w:numFmt w:val="bullet"/>
      <w:lvlText w:val="•"/>
      <w:lvlJc w:val="left"/>
      <w:pPr>
        <w:ind w:left="3916" w:hanging="208"/>
      </w:pPr>
      <w:rPr>
        <w:rFonts w:hint="default"/>
      </w:rPr>
    </w:lvl>
    <w:lvl w:ilvl="3">
      <w:start w:val="0"/>
      <w:numFmt w:val="bullet"/>
      <w:lvlText w:val="•"/>
      <w:lvlJc w:val="left"/>
      <w:pPr>
        <w:ind w:left="4724" w:hanging="208"/>
      </w:pPr>
      <w:rPr>
        <w:rFonts w:hint="default"/>
      </w:rPr>
    </w:lvl>
    <w:lvl w:ilvl="4">
      <w:start w:val="0"/>
      <w:numFmt w:val="bullet"/>
      <w:lvlText w:val="•"/>
      <w:lvlJc w:val="left"/>
      <w:pPr>
        <w:ind w:left="5532" w:hanging="208"/>
      </w:pPr>
      <w:rPr>
        <w:rFonts w:hint="default"/>
      </w:rPr>
    </w:lvl>
    <w:lvl w:ilvl="5">
      <w:start w:val="0"/>
      <w:numFmt w:val="bullet"/>
      <w:lvlText w:val="•"/>
      <w:lvlJc w:val="left"/>
      <w:pPr>
        <w:ind w:left="6340" w:hanging="208"/>
      </w:pPr>
      <w:rPr>
        <w:rFonts w:hint="default"/>
      </w:rPr>
    </w:lvl>
    <w:lvl w:ilvl="6">
      <w:start w:val="0"/>
      <w:numFmt w:val="bullet"/>
      <w:lvlText w:val="•"/>
      <w:lvlJc w:val="left"/>
      <w:pPr>
        <w:ind w:left="7148" w:hanging="208"/>
      </w:pPr>
      <w:rPr>
        <w:rFonts w:hint="default"/>
      </w:rPr>
    </w:lvl>
    <w:lvl w:ilvl="7">
      <w:start w:val="0"/>
      <w:numFmt w:val="bullet"/>
      <w:lvlText w:val="•"/>
      <w:lvlJc w:val="left"/>
      <w:pPr>
        <w:ind w:left="7956" w:hanging="208"/>
      </w:pPr>
      <w:rPr>
        <w:rFonts w:hint="default"/>
      </w:rPr>
    </w:lvl>
    <w:lvl w:ilvl="8">
      <w:start w:val="0"/>
      <w:numFmt w:val="bullet"/>
      <w:lvlText w:val="•"/>
      <w:lvlJc w:val="left"/>
      <w:pPr>
        <w:ind w:left="8764" w:hanging="208"/>
      </w:pPr>
      <w:rPr>
        <w:rFonts w:hint="default"/>
      </w:rPr>
    </w:lvl>
  </w:abstractNum>
  <w:abstractNum w:abstractNumId="44">
    <w:multiLevelType w:val="hybridMultilevel"/>
    <w:lvl w:ilvl="0">
      <w:start w:val="1"/>
      <w:numFmt w:val="decimal"/>
      <w:lvlText w:val="%1."/>
      <w:lvlJc w:val="left"/>
      <w:pPr>
        <w:ind w:left="2453" w:hanging="357"/>
        <w:jc w:val="left"/>
      </w:pPr>
      <w:rPr>
        <w:rFonts w:hint="default" w:ascii="Calibri" w:hAnsi="Calibri" w:eastAsia="Calibri" w:cs="Calibri"/>
        <w:w w:val="100"/>
        <w:sz w:val="20"/>
        <w:szCs w:val="20"/>
      </w:rPr>
    </w:lvl>
    <w:lvl w:ilvl="1">
      <w:start w:val="0"/>
      <w:numFmt w:val="bullet"/>
      <w:lvlText w:val="-"/>
      <w:lvlJc w:val="left"/>
      <w:pPr>
        <w:ind w:left="2690" w:hanging="236"/>
      </w:pPr>
      <w:rPr>
        <w:rFonts w:hint="default" w:ascii="Calibri" w:hAnsi="Calibri" w:eastAsia="Calibri" w:cs="Calibri"/>
        <w:w w:val="100"/>
        <w:sz w:val="20"/>
        <w:szCs w:val="20"/>
      </w:rPr>
    </w:lvl>
    <w:lvl w:ilvl="2">
      <w:start w:val="0"/>
      <w:numFmt w:val="bullet"/>
      <w:lvlText w:val="•"/>
      <w:lvlJc w:val="left"/>
      <w:pPr>
        <w:ind w:left="3553" w:hanging="236"/>
      </w:pPr>
      <w:rPr>
        <w:rFonts w:hint="default"/>
      </w:rPr>
    </w:lvl>
    <w:lvl w:ilvl="3">
      <w:start w:val="0"/>
      <w:numFmt w:val="bullet"/>
      <w:lvlText w:val="•"/>
      <w:lvlJc w:val="left"/>
      <w:pPr>
        <w:ind w:left="4406" w:hanging="236"/>
      </w:pPr>
      <w:rPr>
        <w:rFonts w:hint="default"/>
      </w:rPr>
    </w:lvl>
    <w:lvl w:ilvl="4">
      <w:start w:val="0"/>
      <w:numFmt w:val="bullet"/>
      <w:lvlText w:val="•"/>
      <w:lvlJc w:val="left"/>
      <w:pPr>
        <w:ind w:left="5260" w:hanging="236"/>
      </w:pPr>
      <w:rPr>
        <w:rFonts w:hint="default"/>
      </w:rPr>
    </w:lvl>
    <w:lvl w:ilvl="5">
      <w:start w:val="0"/>
      <w:numFmt w:val="bullet"/>
      <w:lvlText w:val="•"/>
      <w:lvlJc w:val="left"/>
      <w:pPr>
        <w:ind w:left="6113" w:hanging="236"/>
      </w:pPr>
      <w:rPr>
        <w:rFonts w:hint="default"/>
      </w:rPr>
    </w:lvl>
    <w:lvl w:ilvl="6">
      <w:start w:val="0"/>
      <w:numFmt w:val="bullet"/>
      <w:lvlText w:val="•"/>
      <w:lvlJc w:val="left"/>
      <w:pPr>
        <w:ind w:left="6966" w:hanging="236"/>
      </w:pPr>
      <w:rPr>
        <w:rFonts w:hint="default"/>
      </w:rPr>
    </w:lvl>
    <w:lvl w:ilvl="7">
      <w:start w:val="0"/>
      <w:numFmt w:val="bullet"/>
      <w:lvlText w:val="•"/>
      <w:lvlJc w:val="left"/>
      <w:pPr>
        <w:ind w:left="7820" w:hanging="236"/>
      </w:pPr>
      <w:rPr>
        <w:rFonts w:hint="default"/>
      </w:rPr>
    </w:lvl>
    <w:lvl w:ilvl="8">
      <w:start w:val="0"/>
      <w:numFmt w:val="bullet"/>
      <w:lvlText w:val="•"/>
      <w:lvlJc w:val="left"/>
      <w:pPr>
        <w:ind w:left="8673" w:hanging="236"/>
      </w:pPr>
      <w:rPr>
        <w:rFonts w:hint="default"/>
      </w:rPr>
    </w:lvl>
  </w:abstractNum>
  <w:abstractNum w:abstractNumId="43">
    <w:multiLevelType w:val="hybridMultilevel"/>
    <w:lvl w:ilvl="0">
      <w:start w:val="1"/>
      <w:numFmt w:val="decimal"/>
      <w:lvlText w:val="%1."/>
      <w:lvlJc w:val="left"/>
      <w:pPr>
        <w:ind w:left="2334" w:hanging="238"/>
        <w:jc w:val="right"/>
      </w:pPr>
      <w:rPr>
        <w:rFonts w:hint="default" w:ascii="Calibri" w:hAnsi="Calibri" w:eastAsia="Calibri" w:cs="Calibri"/>
        <w:w w:val="100"/>
        <w:sz w:val="20"/>
        <w:szCs w:val="20"/>
      </w:rPr>
    </w:lvl>
    <w:lvl w:ilvl="1">
      <w:start w:val="0"/>
      <w:numFmt w:val="bullet"/>
      <w:lvlText w:val=""/>
      <w:lvlJc w:val="left"/>
      <w:pPr>
        <w:ind w:left="2690" w:hanging="238"/>
      </w:pPr>
      <w:rPr>
        <w:rFonts w:hint="default" w:ascii="Symbol" w:hAnsi="Symbol" w:eastAsia="Symbol" w:cs="Symbol"/>
        <w:w w:val="100"/>
        <w:sz w:val="20"/>
        <w:szCs w:val="20"/>
      </w:rPr>
    </w:lvl>
    <w:lvl w:ilvl="2">
      <w:start w:val="0"/>
      <w:numFmt w:val="bullet"/>
      <w:lvlText w:val="•"/>
      <w:lvlJc w:val="left"/>
      <w:pPr>
        <w:ind w:left="3553" w:hanging="238"/>
      </w:pPr>
      <w:rPr>
        <w:rFonts w:hint="default"/>
      </w:rPr>
    </w:lvl>
    <w:lvl w:ilvl="3">
      <w:start w:val="0"/>
      <w:numFmt w:val="bullet"/>
      <w:lvlText w:val="•"/>
      <w:lvlJc w:val="left"/>
      <w:pPr>
        <w:ind w:left="4406" w:hanging="238"/>
      </w:pPr>
      <w:rPr>
        <w:rFonts w:hint="default"/>
      </w:rPr>
    </w:lvl>
    <w:lvl w:ilvl="4">
      <w:start w:val="0"/>
      <w:numFmt w:val="bullet"/>
      <w:lvlText w:val="•"/>
      <w:lvlJc w:val="left"/>
      <w:pPr>
        <w:ind w:left="5260" w:hanging="238"/>
      </w:pPr>
      <w:rPr>
        <w:rFonts w:hint="default"/>
      </w:rPr>
    </w:lvl>
    <w:lvl w:ilvl="5">
      <w:start w:val="0"/>
      <w:numFmt w:val="bullet"/>
      <w:lvlText w:val="•"/>
      <w:lvlJc w:val="left"/>
      <w:pPr>
        <w:ind w:left="6113" w:hanging="238"/>
      </w:pPr>
      <w:rPr>
        <w:rFonts w:hint="default"/>
      </w:rPr>
    </w:lvl>
    <w:lvl w:ilvl="6">
      <w:start w:val="0"/>
      <w:numFmt w:val="bullet"/>
      <w:lvlText w:val="•"/>
      <w:lvlJc w:val="left"/>
      <w:pPr>
        <w:ind w:left="6966" w:hanging="238"/>
      </w:pPr>
      <w:rPr>
        <w:rFonts w:hint="default"/>
      </w:rPr>
    </w:lvl>
    <w:lvl w:ilvl="7">
      <w:start w:val="0"/>
      <w:numFmt w:val="bullet"/>
      <w:lvlText w:val="•"/>
      <w:lvlJc w:val="left"/>
      <w:pPr>
        <w:ind w:left="7820" w:hanging="238"/>
      </w:pPr>
      <w:rPr>
        <w:rFonts w:hint="default"/>
      </w:rPr>
    </w:lvl>
    <w:lvl w:ilvl="8">
      <w:start w:val="0"/>
      <w:numFmt w:val="bullet"/>
      <w:lvlText w:val="•"/>
      <w:lvlJc w:val="left"/>
      <w:pPr>
        <w:ind w:left="8673" w:hanging="238"/>
      </w:pPr>
      <w:rPr>
        <w:rFonts w:hint="default"/>
      </w:rPr>
    </w:lvl>
  </w:abstractNum>
  <w:abstractNum w:abstractNumId="42">
    <w:multiLevelType w:val="hybridMultilevel"/>
    <w:lvl w:ilvl="0">
      <w:start w:val="1"/>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41">
    <w:multiLevelType w:val="hybridMultilevel"/>
    <w:lvl w:ilvl="0">
      <w:start w:val="1"/>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2573" w:hanging="240"/>
      </w:pPr>
      <w:rPr>
        <w:rFonts w:hint="default" w:ascii="Symbol" w:hAnsi="Symbol" w:eastAsia="Symbol" w:cs="Symbol"/>
        <w:w w:val="100"/>
        <w:sz w:val="20"/>
        <w:szCs w:val="20"/>
      </w:rPr>
    </w:lvl>
    <w:lvl w:ilvl="2">
      <w:start w:val="0"/>
      <w:numFmt w:val="bullet"/>
      <w:lvlText w:val="•"/>
      <w:lvlJc w:val="left"/>
      <w:pPr>
        <w:ind w:left="3446" w:hanging="240"/>
      </w:pPr>
      <w:rPr>
        <w:rFonts w:hint="default"/>
      </w:rPr>
    </w:lvl>
    <w:lvl w:ilvl="3">
      <w:start w:val="0"/>
      <w:numFmt w:val="bullet"/>
      <w:lvlText w:val="•"/>
      <w:lvlJc w:val="left"/>
      <w:pPr>
        <w:ind w:left="4313" w:hanging="240"/>
      </w:pPr>
      <w:rPr>
        <w:rFonts w:hint="default"/>
      </w:rPr>
    </w:lvl>
    <w:lvl w:ilvl="4">
      <w:start w:val="0"/>
      <w:numFmt w:val="bullet"/>
      <w:lvlText w:val="•"/>
      <w:lvlJc w:val="left"/>
      <w:pPr>
        <w:ind w:left="5180" w:hanging="240"/>
      </w:pPr>
      <w:rPr>
        <w:rFonts w:hint="default"/>
      </w:rPr>
    </w:lvl>
    <w:lvl w:ilvl="5">
      <w:start w:val="0"/>
      <w:numFmt w:val="bullet"/>
      <w:lvlText w:val="•"/>
      <w:lvlJc w:val="left"/>
      <w:pPr>
        <w:ind w:left="6046" w:hanging="240"/>
      </w:pPr>
      <w:rPr>
        <w:rFonts w:hint="default"/>
      </w:rPr>
    </w:lvl>
    <w:lvl w:ilvl="6">
      <w:start w:val="0"/>
      <w:numFmt w:val="bullet"/>
      <w:lvlText w:val="•"/>
      <w:lvlJc w:val="left"/>
      <w:pPr>
        <w:ind w:left="6913" w:hanging="240"/>
      </w:pPr>
      <w:rPr>
        <w:rFonts w:hint="default"/>
      </w:rPr>
    </w:lvl>
    <w:lvl w:ilvl="7">
      <w:start w:val="0"/>
      <w:numFmt w:val="bullet"/>
      <w:lvlText w:val="•"/>
      <w:lvlJc w:val="left"/>
      <w:pPr>
        <w:ind w:left="7780" w:hanging="240"/>
      </w:pPr>
      <w:rPr>
        <w:rFonts w:hint="default"/>
      </w:rPr>
    </w:lvl>
    <w:lvl w:ilvl="8">
      <w:start w:val="0"/>
      <w:numFmt w:val="bullet"/>
      <w:lvlText w:val="•"/>
      <w:lvlJc w:val="left"/>
      <w:pPr>
        <w:ind w:left="8646" w:hanging="240"/>
      </w:pPr>
      <w:rPr>
        <w:rFonts w:hint="default"/>
      </w:rPr>
    </w:lvl>
  </w:abstractNum>
  <w:abstractNum w:abstractNumId="40">
    <w:multiLevelType w:val="hybridMultilevel"/>
    <w:lvl w:ilvl="0">
      <w:start w:val="1"/>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39">
    <w:multiLevelType w:val="hybridMultilevel"/>
    <w:lvl w:ilvl="0">
      <w:start w:val="1"/>
      <w:numFmt w:val="lowerLetter"/>
      <w:lvlText w:val="%1)"/>
      <w:lvlJc w:val="left"/>
      <w:pPr>
        <w:ind w:left="2096" w:hanging="254"/>
        <w:jc w:val="right"/>
      </w:pPr>
      <w:rPr>
        <w:rFonts w:hint="default" w:ascii="Calibri" w:hAnsi="Calibri" w:eastAsia="Calibri" w:cs="Calibri"/>
        <w:b/>
        <w:bCs/>
        <w:spacing w:val="-1"/>
        <w:w w:val="100"/>
        <w:sz w:val="20"/>
        <w:szCs w:val="20"/>
      </w:rPr>
    </w:lvl>
    <w:lvl w:ilvl="1">
      <w:start w:val="1"/>
      <w:numFmt w:val="decimal"/>
      <w:lvlText w:val="%2."/>
      <w:lvlJc w:val="left"/>
      <w:pPr>
        <w:ind w:left="2334" w:hanging="238"/>
        <w:jc w:val="left"/>
      </w:pPr>
      <w:rPr>
        <w:rFonts w:hint="default" w:ascii="Calibri" w:hAnsi="Calibri" w:eastAsia="Calibri" w:cs="Calibri"/>
        <w:w w:val="100"/>
        <w:sz w:val="20"/>
        <w:szCs w:val="20"/>
      </w:rPr>
    </w:lvl>
    <w:lvl w:ilvl="2">
      <w:start w:val="0"/>
      <w:numFmt w:val="bullet"/>
      <w:lvlText w:val="•"/>
      <w:lvlJc w:val="left"/>
      <w:pPr>
        <w:ind w:left="3233" w:hanging="238"/>
      </w:pPr>
      <w:rPr>
        <w:rFonts w:hint="default"/>
      </w:rPr>
    </w:lvl>
    <w:lvl w:ilvl="3">
      <w:start w:val="0"/>
      <w:numFmt w:val="bullet"/>
      <w:lvlText w:val="•"/>
      <w:lvlJc w:val="left"/>
      <w:pPr>
        <w:ind w:left="4126" w:hanging="238"/>
      </w:pPr>
      <w:rPr>
        <w:rFonts w:hint="default"/>
      </w:rPr>
    </w:lvl>
    <w:lvl w:ilvl="4">
      <w:start w:val="0"/>
      <w:numFmt w:val="bullet"/>
      <w:lvlText w:val="•"/>
      <w:lvlJc w:val="left"/>
      <w:pPr>
        <w:ind w:left="5020" w:hanging="238"/>
      </w:pPr>
      <w:rPr>
        <w:rFonts w:hint="default"/>
      </w:rPr>
    </w:lvl>
    <w:lvl w:ilvl="5">
      <w:start w:val="0"/>
      <w:numFmt w:val="bullet"/>
      <w:lvlText w:val="•"/>
      <w:lvlJc w:val="left"/>
      <w:pPr>
        <w:ind w:left="5913" w:hanging="238"/>
      </w:pPr>
      <w:rPr>
        <w:rFonts w:hint="default"/>
      </w:rPr>
    </w:lvl>
    <w:lvl w:ilvl="6">
      <w:start w:val="0"/>
      <w:numFmt w:val="bullet"/>
      <w:lvlText w:val="•"/>
      <w:lvlJc w:val="left"/>
      <w:pPr>
        <w:ind w:left="6806" w:hanging="238"/>
      </w:pPr>
      <w:rPr>
        <w:rFonts w:hint="default"/>
      </w:rPr>
    </w:lvl>
    <w:lvl w:ilvl="7">
      <w:start w:val="0"/>
      <w:numFmt w:val="bullet"/>
      <w:lvlText w:val="•"/>
      <w:lvlJc w:val="left"/>
      <w:pPr>
        <w:ind w:left="7700" w:hanging="238"/>
      </w:pPr>
      <w:rPr>
        <w:rFonts w:hint="default"/>
      </w:rPr>
    </w:lvl>
    <w:lvl w:ilvl="8">
      <w:start w:val="0"/>
      <w:numFmt w:val="bullet"/>
      <w:lvlText w:val="•"/>
      <w:lvlJc w:val="left"/>
      <w:pPr>
        <w:ind w:left="8593" w:hanging="238"/>
      </w:pPr>
      <w:rPr>
        <w:rFonts w:hint="default"/>
      </w:rPr>
    </w:lvl>
  </w:abstractNum>
  <w:abstractNum w:abstractNumId="38">
    <w:multiLevelType w:val="hybridMultilevel"/>
    <w:lvl w:ilvl="0">
      <w:start w:val="1"/>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36">
    <w:multiLevelType w:val="hybridMultilevel"/>
    <w:lvl w:ilvl="0">
      <w:start w:val="8"/>
      <w:numFmt w:val="decimal"/>
      <w:lvlText w:val="%1"/>
      <w:lvlJc w:val="left"/>
      <w:pPr>
        <w:ind w:left="156" w:hanging="99"/>
        <w:jc w:val="left"/>
      </w:pPr>
      <w:rPr>
        <w:rFonts w:hint="default" w:ascii="Calibri" w:hAnsi="Calibri" w:eastAsia="Calibri" w:cs="Calibri"/>
        <w:w w:val="103"/>
        <w:sz w:val="13"/>
        <w:szCs w:val="13"/>
      </w:rPr>
    </w:lvl>
    <w:lvl w:ilvl="1">
      <w:start w:val="0"/>
      <w:numFmt w:val="bullet"/>
      <w:lvlText w:val="•"/>
      <w:lvlJc w:val="left"/>
      <w:pPr>
        <w:ind w:left="408" w:hanging="99"/>
      </w:pPr>
      <w:rPr>
        <w:rFonts w:hint="default"/>
      </w:rPr>
    </w:lvl>
    <w:lvl w:ilvl="2">
      <w:start w:val="0"/>
      <w:numFmt w:val="bullet"/>
      <w:lvlText w:val="•"/>
      <w:lvlJc w:val="left"/>
      <w:pPr>
        <w:ind w:left="657" w:hanging="99"/>
      </w:pPr>
      <w:rPr>
        <w:rFonts w:hint="default"/>
      </w:rPr>
    </w:lvl>
    <w:lvl w:ilvl="3">
      <w:start w:val="0"/>
      <w:numFmt w:val="bullet"/>
      <w:lvlText w:val="•"/>
      <w:lvlJc w:val="left"/>
      <w:pPr>
        <w:ind w:left="905" w:hanging="99"/>
      </w:pPr>
      <w:rPr>
        <w:rFonts w:hint="default"/>
      </w:rPr>
    </w:lvl>
    <w:lvl w:ilvl="4">
      <w:start w:val="0"/>
      <w:numFmt w:val="bullet"/>
      <w:lvlText w:val="•"/>
      <w:lvlJc w:val="left"/>
      <w:pPr>
        <w:ind w:left="1154" w:hanging="99"/>
      </w:pPr>
      <w:rPr>
        <w:rFonts w:hint="default"/>
      </w:rPr>
    </w:lvl>
    <w:lvl w:ilvl="5">
      <w:start w:val="0"/>
      <w:numFmt w:val="bullet"/>
      <w:lvlText w:val="•"/>
      <w:lvlJc w:val="left"/>
      <w:pPr>
        <w:ind w:left="1403" w:hanging="99"/>
      </w:pPr>
      <w:rPr>
        <w:rFonts w:hint="default"/>
      </w:rPr>
    </w:lvl>
    <w:lvl w:ilvl="6">
      <w:start w:val="0"/>
      <w:numFmt w:val="bullet"/>
      <w:lvlText w:val="•"/>
      <w:lvlJc w:val="left"/>
      <w:pPr>
        <w:ind w:left="1651" w:hanging="99"/>
      </w:pPr>
      <w:rPr>
        <w:rFonts w:hint="default"/>
      </w:rPr>
    </w:lvl>
    <w:lvl w:ilvl="7">
      <w:start w:val="0"/>
      <w:numFmt w:val="bullet"/>
      <w:lvlText w:val="•"/>
      <w:lvlJc w:val="left"/>
      <w:pPr>
        <w:ind w:left="1900" w:hanging="99"/>
      </w:pPr>
      <w:rPr>
        <w:rFonts w:hint="default"/>
      </w:rPr>
    </w:lvl>
    <w:lvl w:ilvl="8">
      <w:start w:val="0"/>
      <w:numFmt w:val="bullet"/>
      <w:lvlText w:val="•"/>
      <w:lvlJc w:val="left"/>
      <w:pPr>
        <w:ind w:left="2148" w:hanging="99"/>
      </w:pPr>
      <w:rPr>
        <w:rFonts w:hint="default"/>
      </w:rPr>
    </w:lvl>
  </w:abstractNum>
  <w:abstractNum w:abstractNumId="37">
    <w:multiLevelType w:val="hybridMultilevel"/>
    <w:lvl w:ilvl="0">
      <w:start w:val="1"/>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35">
    <w:multiLevelType w:val="hybridMultilevel"/>
    <w:lvl w:ilvl="0">
      <w:start w:val="1"/>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34">
    <w:multiLevelType w:val="hybridMultilevel"/>
    <w:lvl w:ilvl="0">
      <w:start w:val="1"/>
      <w:numFmt w:val="decimal"/>
      <w:lvlText w:val="%1."/>
      <w:lvlJc w:val="left"/>
      <w:pPr>
        <w:ind w:left="2334" w:hanging="238"/>
        <w:jc w:val="righ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33">
    <w:multiLevelType w:val="hybridMultilevel"/>
    <w:lvl w:ilvl="0">
      <w:start w:val="1"/>
      <w:numFmt w:val="decimal"/>
      <w:lvlText w:val="%1."/>
      <w:lvlJc w:val="left"/>
      <w:pPr>
        <w:ind w:left="2096" w:hanging="238"/>
        <w:jc w:val="left"/>
      </w:pPr>
      <w:rPr>
        <w:rFonts w:hint="default" w:ascii="Calibri" w:hAnsi="Calibri" w:eastAsia="Calibri" w:cs="Calibri"/>
        <w:w w:val="100"/>
        <w:sz w:val="20"/>
        <w:szCs w:val="20"/>
      </w:rPr>
    </w:lvl>
    <w:lvl w:ilvl="1">
      <w:start w:val="0"/>
      <w:numFmt w:val="bullet"/>
      <w:lvlText w:val="•"/>
      <w:lvlJc w:val="left"/>
      <w:pPr>
        <w:ind w:left="2220" w:hanging="238"/>
      </w:pPr>
      <w:rPr>
        <w:rFonts w:hint="default"/>
      </w:rPr>
    </w:lvl>
    <w:lvl w:ilvl="2">
      <w:start w:val="0"/>
      <w:numFmt w:val="bullet"/>
      <w:lvlText w:val="•"/>
      <w:lvlJc w:val="left"/>
      <w:pPr>
        <w:ind w:left="3126" w:hanging="238"/>
      </w:pPr>
      <w:rPr>
        <w:rFonts w:hint="default"/>
      </w:rPr>
    </w:lvl>
    <w:lvl w:ilvl="3">
      <w:start w:val="0"/>
      <w:numFmt w:val="bullet"/>
      <w:lvlText w:val="•"/>
      <w:lvlJc w:val="left"/>
      <w:pPr>
        <w:ind w:left="4033" w:hanging="238"/>
      </w:pPr>
      <w:rPr>
        <w:rFonts w:hint="default"/>
      </w:rPr>
    </w:lvl>
    <w:lvl w:ilvl="4">
      <w:start w:val="0"/>
      <w:numFmt w:val="bullet"/>
      <w:lvlText w:val="•"/>
      <w:lvlJc w:val="left"/>
      <w:pPr>
        <w:ind w:left="4940" w:hanging="238"/>
      </w:pPr>
      <w:rPr>
        <w:rFonts w:hint="default"/>
      </w:rPr>
    </w:lvl>
    <w:lvl w:ilvl="5">
      <w:start w:val="0"/>
      <w:numFmt w:val="bullet"/>
      <w:lvlText w:val="•"/>
      <w:lvlJc w:val="left"/>
      <w:pPr>
        <w:ind w:left="5846" w:hanging="238"/>
      </w:pPr>
      <w:rPr>
        <w:rFonts w:hint="default"/>
      </w:rPr>
    </w:lvl>
    <w:lvl w:ilvl="6">
      <w:start w:val="0"/>
      <w:numFmt w:val="bullet"/>
      <w:lvlText w:val="•"/>
      <w:lvlJc w:val="left"/>
      <w:pPr>
        <w:ind w:left="6753" w:hanging="238"/>
      </w:pPr>
      <w:rPr>
        <w:rFonts w:hint="default"/>
      </w:rPr>
    </w:lvl>
    <w:lvl w:ilvl="7">
      <w:start w:val="0"/>
      <w:numFmt w:val="bullet"/>
      <w:lvlText w:val="•"/>
      <w:lvlJc w:val="left"/>
      <w:pPr>
        <w:ind w:left="7660" w:hanging="238"/>
      </w:pPr>
      <w:rPr>
        <w:rFonts w:hint="default"/>
      </w:rPr>
    </w:lvl>
    <w:lvl w:ilvl="8">
      <w:start w:val="0"/>
      <w:numFmt w:val="bullet"/>
      <w:lvlText w:val="•"/>
      <w:lvlJc w:val="left"/>
      <w:pPr>
        <w:ind w:left="8566" w:hanging="238"/>
      </w:pPr>
      <w:rPr>
        <w:rFonts w:hint="default"/>
      </w:rPr>
    </w:lvl>
  </w:abstractNum>
  <w:abstractNum w:abstractNumId="32">
    <w:multiLevelType w:val="hybridMultilevel"/>
    <w:lvl w:ilvl="0">
      <w:start w:val="1"/>
      <w:numFmt w:val="decimal"/>
      <w:lvlText w:val="%1."/>
      <w:lvlJc w:val="left"/>
      <w:pPr>
        <w:ind w:left="2334" w:hanging="238"/>
        <w:jc w:val="left"/>
      </w:pPr>
      <w:rPr>
        <w:rFonts w:hint="default"/>
        <w:w w:val="102"/>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31">
    <w:multiLevelType w:val="hybridMultilevel"/>
    <w:lvl w:ilvl="0">
      <w:start w:val="1"/>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30">
    <w:multiLevelType w:val="hybridMultilevel"/>
    <w:lvl w:ilvl="0">
      <w:start w:val="1"/>
      <w:numFmt w:val="lowerLetter"/>
      <w:lvlText w:val="%1)"/>
      <w:lvlJc w:val="left"/>
      <w:pPr>
        <w:ind w:left="2334" w:hanging="238"/>
        <w:jc w:val="left"/>
      </w:pPr>
      <w:rPr>
        <w:rFonts w:hint="default" w:ascii="Calibri" w:hAnsi="Calibri" w:eastAsia="Calibri" w:cs="Calibri"/>
        <w:b/>
        <w:bCs/>
        <w:spacing w:val="-1"/>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29">
    <w:multiLevelType w:val="hybridMultilevel"/>
    <w:lvl w:ilvl="0">
      <w:start w:val="3"/>
      <w:numFmt w:val="decimal"/>
      <w:lvlText w:val="%1"/>
      <w:lvlJc w:val="left"/>
      <w:pPr>
        <w:ind w:left="156" w:hanging="99"/>
        <w:jc w:val="left"/>
      </w:pPr>
      <w:rPr>
        <w:rFonts w:hint="default" w:ascii="Calibri" w:hAnsi="Calibri" w:eastAsia="Calibri" w:cs="Calibri"/>
        <w:w w:val="103"/>
        <w:sz w:val="13"/>
        <w:szCs w:val="13"/>
      </w:rPr>
    </w:lvl>
    <w:lvl w:ilvl="1">
      <w:start w:val="0"/>
      <w:numFmt w:val="bullet"/>
      <w:lvlText w:val="•"/>
      <w:lvlJc w:val="left"/>
      <w:pPr>
        <w:ind w:left="489" w:hanging="99"/>
      </w:pPr>
      <w:rPr>
        <w:rFonts w:hint="default"/>
      </w:rPr>
    </w:lvl>
    <w:lvl w:ilvl="2">
      <w:start w:val="0"/>
      <w:numFmt w:val="bullet"/>
      <w:lvlText w:val="•"/>
      <w:lvlJc w:val="left"/>
      <w:pPr>
        <w:ind w:left="819" w:hanging="99"/>
      </w:pPr>
      <w:rPr>
        <w:rFonts w:hint="default"/>
      </w:rPr>
    </w:lvl>
    <w:lvl w:ilvl="3">
      <w:start w:val="0"/>
      <w:numFmt w:val="bullet"/>
      <w:lvlText w:val="•"/>
      <w:lvlJc w:val="left"/>
      <w:pPr>
        <w:ind w:left="1149" w:hanging="99"/>
      </w:pPr>
      <w:rPr>
        <w:rFonts w:hint="default"/>
      </w:rPr>
    </w:lvl>
    <w:lvl w:ilvl="4">
      <w:start w:val="0"/>
      <w:numFmt w:val="bullet"/>
      <w:lvlText w:val="•"/>
      <w:lvlJc w:val="left"/>
      <w:pPr>
        <w:ind w:left="1479" w:hanging="99"/>
      </w:pPr>
      <w:rPr>
        <w:rFonts w:hint="default"/>
      </w:rPr>
    </w:lvl>
    <w:lvl w:ilvl="5">
      <w:start w:val="0"/>
      <w:numFmt w:val="bullet"/>
      <w:lvlText w:val="•"/>
      <w:lvlJc w:val="left"/>
      <w:pPr>
        <w:ind w:left="1809" w:hanging="99"/>
      </w:pPr>
      <w:rPr>
        <w:rFonts w:hint="default"/>
      </w:rPr>
    </w:lvl>
    <w:lvl w:ilvl="6">
      <w:start w:val="0"/>
      <w:numFmt w:val="bullet"/>
      <w:lvlText w:val="•"/>
      <w:lvlJc w:val="left"/>
      <w:pPr>
        <w:ind w:left="2139" w:hanging="99"/>
      </w:pPr>
      <w:rPr>
        <w:rFonts w:hint="default"/>
      </w:rPr>
    </w:lvl>
    <w:lvl w:ilvl="7">
      <w:start w:val="0"/>
      <w:numFmt w:val="bullet"/>
      <w:lvlText w:val="•"/>
      <w:lvlJc w:val="left"/>
      <w:pPr>
        <w:ind w:left="2469" w:hanging="99"/>
      </w:pPr>
      <w:rPr>
        <w:rFonts w:hint="default"/>
      </w:rPr>
    </w:lvl>
    <w:lvl w:ilvl="8">
      <w:start w:val="0"/>
      <w:numFmt w:val="bullet"/>
      <w:lvlText w:val="•"/>
      <w:lvlJc w:val="left"/>
      <w:pPr>
        <w:ind w:left="2799" w:hanging="99"/>
      </w:pPr>
      <w:rPr>
        <w:rFonts w:hint="default"/>
      </w:rPr>
    </w:lvl>
  </w:abstractNum>
  <w:abstractNum w:abstractNumId="28">
    <w:multiLevelType w:val="hybridMultilevel"/>
    <w:lvl w:ilvl="0">
      <w:start w:val="6"/>
      <w:numFmt w:val="decimal"/>
      <w:lvlText w:val="%1"/>
      <w:lvlJc w:val="left"/>
      <w:pPr>
        <w:ind w:left="156" w:hanging="99"/>
        <w:jc w:val="left"/>
      </w:pPr>
      <w:rPr>
        <w:rFonts w:hint="default" w:ascii="Calibri" w:hAnsi="Calibri" w:eastAsia="Calibri" w:cs="Calibri"/>
        <w:w w:val="103"/>
        <w:sz w:val="13"/>
        <w:szCs w:val="13"/>
      </w:rPr>
    </w:lvl>
    <w:lvl w:ilvl="1">
      <w:start w:val="0"/>
      <w:numFmt w:val="bullet"/>
      <w:lvlText w:val="•"/>
      <w:lvlJc w:val="left"/>
      <w:pPr>
        <w:ind w:left="509" w:hanging="99"/>
      </w:pPr>
      <w:rPr>
        <w:rFonts w:hint="default"/>
      </w:rPr>
    </w:lvl>
    <w:lvl w:ilvl="2">
      <w:start w:val="0"/>
      <w:numFmt w:val="bullet"/>
      <w:lvlText w:val="•"/>
      <w:lvlJc w:val="left"/>
      <w:pPr>
        <w:ind w:left="858" w:hanging="99"/>
      </w:pPr>
      <w:rPr>
        <w:rFonts w:hint="default"/>
      </w:rPr>
    </w:lvl>
    <w:lvl w:ilvl="3">
      <w:start w:val="0"/>
      <w:numFmt w:val="bullet"/>
      <w:lvlText w:val="•"/>
      <w:lvlJc w:val="left"/>
      <w:pPr>
        <w:ind w:left="1207" w:hanging="99"/>
      </w:pPr>
      <w:rPr>
        <w:rFonts w:hint="default"/>
      </w:rPr>
    </w:lvl>
    <w:lvl w:ilvl="4">
      <w:start w:val="0"/>
      <w:numFmt w:val="bullet"/>
      <w:lvlText w:val="•"/>
      <w:lvlJc w:val="left"/>
      <w:pPr>
        <w:ind w:left="1556" w:hanging="99"/>
      </w:pPr>
      <w:rPr>
        <w:rFonts w:hint="default"/>
      </w:rPr>
    </w:lvl>
    <w:lvl w:ilvl="5">
      <w:start w:val="0"/>
      <w:numFmt w:val="bullet"/>
      <w:lvlText w:val="•"/>
      <w:lvlJc w:val="left"/>
      <w:pPr>
        <w:ind w:left="1905" w:hanging="99"/>
      </w:pPr>
      <w:rPr>
        <w:rFonts w:hint="default"/>
      </w:rPr>
    </w:lvl>
    <w:lvl w:ilvl="6">
      <w:start w:val="0"/>
      <w:numFmt w:val="bullet"/>
      <w:lvlText w:val="•"/>
      <w:lvlJc w:val="left"/>
      <w:pPr>
        <w:ind w:left="2254" w:hanging="99"/>
      </w:pPr>
      <w:rPr>
        <w:rFonts w:hint="default"/>
      </w:rPr>
    </w:lvl>
    <w:lvl w:ilvl="7">
      <w:start w:val="0"/>
      <w:numFmt w:val="bullet"/>
      <w:lvlText w:val="•"/>
      <w:lvlJc w:val="left"/>
      <w:pPr>
        <w:ind w:left="2603" w:hanging="99"/>
      </w:pPr>
      <w:rPr>
        <w:rFonts w:hint="default"/>
      </w:rPr>
    </w:lvl>
    <w:lvl w:ilvl="8">
      <w:start w:val="0"/>
      <w:numFmt w:val="bullet"/>
      <w:lvlText w:val="•"/>
      <w:lvlJc w:val="left"/>
      <w:pPr>
        <w:ind w:left="2952" w:hanging="99"/>
      </w:pPr>
      <w:rPr>
        <w:rFonts w:hint="default"/>
      </w:rPr>
    </w:lvl>
  </w:abstractNum>
  <w:abstractNum w:abstractNumId="27">
    <w:multiLevelType w:val="hybridMultilevel"/>
    <w:lvl w:ilvl="0">
      <w:start w:val="1"/>
      <w:numFmt w:val="decimal"/>
      <w:lvlText w:val="%1"/>
      <w:lvlJc w:val="left"/>
      <w:pPr>
        <w:ind w:left="156" w:hanging="99"/>
        <w:jc w:val="left"/>
      </w:pPr>
      <w:rPr>
        <w:rFonts w:hint="default" w:ascii="Calibri" w:hAnsi="Calibri" w:eastAsia="Calibri" w:cs="Calibri"/>
        <w:w w:val="103"/>
        <w:sz w:val="13"/>
        <w:szCs w:val="13"/>
      </w:rPr>
    </w:lvl>
    <w:lvl w:ilvl="1">
      <w:start w:val="0"/>
      <w:numFmt w:val="bullet"/>
      <w:lvlText w:val="•"/>
      <w:lvlJc w:val="left"/>
      <w:pPr>
        <w:ind w:left="509" w:hanging="99"/>
      </w:pPr>
      <w:rPr>
        <w:rFonts w:hint="default"/>
      </w:rPr>
    </w:lvl>
    <w:lvl w:ilvl="2">
      <w:start w:val="0"/>
      <w:numFmt w:val="bullet"/>
      <w:lvlText w:val="•"/>
      <w:lvlJc w:val="left"/>
      <w:pPr>
        <w:ind w:left="858" w:hanging="99"/>
      </w:pPr>
      <w:rPr>
        <w:rFonts w:hint="default"/>
      </w:rPr>
    </w:lvl>
    <w:lvl w:ilvl="3">
      <w:start w:val="0"/>
      <w:numFmt w:val="bullet"/>
      <w:lvlText w:val="•"/>
      <w:lvlJc w:val="left"/>
      <w:pPr>
        <w:ind w:left="1207" w:hanging="99"/>
      </w:pPr>
      <w:rPr>
        <w:rFonts w:hint="default"/>
      </w:rPr>
    </w:lvl>
    <w:lvl w:ilvl="4">
      <w:start w:val="0"/>
      <w:numFmt w:val="bullet"/>
      <w:lvlText w:val="•"/>
      <w:lvlJc w:val="left"/>
      <w:pPr>
        <w:ind w:left="1556" w:hanging="99"/>
      </w:pPr>
      <w:rPr>
        <w:rFonts w:hint="default"/>
      </w:rPr>
    </w:lvl>
    <w:lvl w:ilvl="5">
      <w:start w:val="0"/>
      <w:numFmt w:val="bullet"/>
      <w:lvlText w:val="•"/>
      <w:lvlJc w:val="left"/>
      <w:pPr>
        <w:ind w:left="1905" w:hanging="99"/>
      </w:pPr>
      <w:rPr>
        <w:rFonts w:hint="default"/>
      </w:rPr>
    </w:lvl>
    <w:lvl w:ilvl="6">
      <w:start w:val="0"/>
      <w:numFmt w:val="bullet"/>
      <w:lvlText w:val="•"/>
      <w:lvlJc w:val="left"/>
      <w:pPr>
        <w:ind w:left="2254" w:hanging="99"/>
      </w:pPr>
      <w:rPr>
        <w:rFonts w:hint="default"/>
      </w:rPr>
    </w:lvl>
    <w:lvl w:ilvl="7">
      <w:start w:val="0"/>
      <w:numFmt w:val="bullet"/>
      <w:lvlText w:val="•"/>
      <w:lvlJc w:val="left"/>
      <w:pPr>
        <w:ind w:left="2603" w:hanging="99"/>
      </w:pPr>
      <w:rPr>
        <w:rFonts w:hint="default"/>
      </w:rPr>
    </w:lvl>
    <w:lvl w:ilvl="8">
      <w:start w:val="0"/>
      <w:numFmt w:val="bullet"/>
      <w:lvlText w:val="•"/>
      <w:lvlJc w:val="left"/>
      <w:pPr>
        <w:ind w:left="2952" w:hanging="99"/>
      </w:pPr>
      <w:rPr>
        <w:rFonts w:hint="default"/>
      </w:rPr>
    </w:lvl>
  </w:abstractNum>
  <w:abstractNum w:abstractNumId="26">
    <w:multiLevelType w:val="hybridMultilevel"/>
    <w:lvl w:ilvl="0">
      <w:start w:val="1"/>
      <w:numFmt w:val="decimal"/>
      <w:lvlText w:val="%1."/>
      <w:lvlJc w:val="left"/>
      <w:pPr>
        <w:ind w:left="2334" w:hanging="238"/>
        <w:jc w:val="left"/>
      </w:pPr>
      <w:rPr>
        <w:rFonts w:hint="default" w:ascii="Calibri" w:hAnsi="Calibri" w:eastAsia="Calibri" w:cs="Calibri"/>
        <w:w w:val="100"/>
        <w:sz w:val="20"/>
        <w:szCs w:val="20"/>
      </w:rPr>
    </w:lvl>
    <w:lvl w:ilvl="1">
      <w:start w:val="0"/>
      <w:numFmt w:val="bullet"/>
      <w:lvlText w:val="•"/>
      <w:lvlJc w:val="left"/>
      <w:pPr>
        <w:ind w:left="3144" w:hanging="238"/>
      </w:pPr>
      <w:rPr>
        <w:rFonts w:hint="default"/>
      </w:rPr>
    </w:lvl>
    <w:lvl w:ilvl="2">
      <w:start w:val="0"/>
      <w:numFmt w:val="bullet"/>
      <w:lvlText w:val="•"/>
      <w:lvlJc w:val="left"/>
      <w:pPr>
        <w:ind w:left="3948" w:hanging="238"/>
      </w:pPr>
      <w:rPr>
        <w:rFonts w:hint="default"/>
      </w:rPr>
    </w:lvl>
    <w:lvl w:ilvl="3">
      <w:start w:val="0"/>
      <w:numFmt w:val="bullet"/>
      <w:lvlText w:val="•"/>
      <w:lvlJc w:val="left"/>
      <w:pPr>
        <w:ind w:left="4752" w:hanging="238"/>
      </w:pPr>
      <w:rPr>
        <w:rFonts w:hint="default"/>
      </w:rPr>
    </w:lvl>
    <w:lvl w:ilvl="4">
      <w:start w:val="0"/>
      <w:numFmt w:val="bullet"/>
      <w:lvlText w:val="•"/>
      <w:lvlJc w:val="left"/>
      <w:pPr>
        <w:ind w:left="5556" w:hanging="238"/>
      </w:pPr>
      <w:rPr>
        <w:rFonts w:hint="default"/>
      </w:rPr>
    </w:lvl>
    <w:lvl w:ilvl="5">
      <w:start w:val="0"/>
      <w:numFmt w:val="bullet"/>
      <w:lvlText w:val="•"/>
      <w:lvlJc w:val="left"/>
      <w:pPr>
        <w:ind w:left="6360" w:hanging="238"/>
      </w:pPr>
      <w:rPr>
        <w:rFonts w:hint="default"/>
      </w:rPr>
    </w:lvl>
    <w:lvl w:ilvl="6">
      <w:start w:val="0"/>
      <w:numFmt w:val="bullet"/>
      <w:lvlText w:val="•"/>
      <w:lvlJc w:val="left"/>
      <w:pPr>
        <w:ind w:left="7164" w:hanging="238"/>
      </w:pPr>
      <w:rPr>
        <w:rFonts w:hint="default"/>
      </w:rPr>
    </w:lvl>
    <w:lvl w:ilvl="7">
      <w:start w:val="0"/>
      <w:numFmt w:val="bullet"/>
      <w:lvlText w:val="•"/>
      <w:lvlJc w:val="left"/>
      <w:pPr>
        <w:ind w:left="7968" w:hanging="238"/>
      </w:pPr>
      <w:rPr>
        <w:rFonts w:hint="default"/>
      </w:rPr>
    </w:lvl>
    <w:lvl w:ilvl="8">
      <w:start w:val="0"/>
      <w:numFmt w:val="bullet"/>
      <w:lvlText w:val="•"/>
      <w:lvlJc w:val="left"/>
      <w:pPr>
        <w:ind w:left="8772" w:hanging="238"/>
      </w:pPr>
      <w:rPr>
        <w:rFonts w:hint="default"/>
      </w:rPr>
    </w:lvl>
  </w:abstractNum>
  <w:abstractNum w:abstractNumId="25">
    <w:multiLevelType w:val="hybridMultilevel"/>
    <w:lvl w:ilvl="0">
      <w:start w:val="4"/>
      <w:numFmt w:val="decimal"/>
      <w:lvlText w:val="%1"/>
      <w:lvlJc w:val="left"/>
      <w:pPr>
        <w:ind w:left="2579" w:hanging="484"/>
        <w:jc w:val="left"/>
      </w:pPr>
      <w:rPr>
        <w:rFonts w:hint="default"/>
      </w:rPr>
    </w:lvl>
    <w:lvl w:ilvl="1">
      <w:start w:val="3"/>
      <w:numFmt w:val="decimal"/>
      <w:lvlText w:val="%1.%2"/>
      <w:lvlJc w:val="left"/>
      <w:pPr>
        <w:ind w:left="2579" w:hanging="484"/>
        <w:jc w:val="left"/>
      </w:pPr>
      <w:rPr>
        <w:rFonts w:hint="default" w:ascii="Calibri" w:hAnsi="Calibri" w:eastAsia="Calibri" w:cs="Calibri"/>
        <w:b/>
        <w:bCs/>
        <w:color w:val="53A1B9"/>
        <w:w w:val="100"/>
        <w:sz w:val="20"/>
        <w:szCs w:val="20"/>
      </w:rPr>
    </w:lvl>
    <w:lvl w:ilvl="2">
      <w:start w:val="1"/>
      <w:numFmt w:val="decimal"/>
      <w:lvlText w:val="%1.%2.%3"/>
      <w:lvlJc w:val="left"/>
      <w:pPr>
        <w:ind w:left="2690" w:hanging="605"/>
        <w:jc w:val="left"/>
      </w:pPr>
      <w:rPr>
        <w:rFonts w:hint="default" w:ascii="Calibri" w:hAnsi="Calibri" w:eastAsia="Calibri" w:cs="Calibri"/>
        <w:b/>
        <w:bCs/>
        <w:color w:val="53A1B9"/>
        <w:spacing w:val="-1"/>
        <w:w w:val="100"/>
        <w:sz w:val="20"/>
        <w:szCs w:val="20"/>
      </w:rPr>
    </w:lvl>
    <w:lvl w:ilvl="3">
      <w:start w:val="0"/>
      <w:numFmt w:val="bullet"/>
      <w:lvlText w:val="•"/>
      <w:lvlJc w:val="left"/>
      <w:pPr>
        <w:ind w:left="4406" w:hanging="605"/>
      </w:pPr>
      <w:rPr>
        <w:rFonts w:hint="default"/>
      </w:rPr>
    </w:lvl>
    <w:lvl w:ilvl="4">
      <w:start w:val="0"/>
      <w:numFmt w:val="bullet"/>
      <w:lvlText w:val="•"/>
      <w:lvlJc w:val="left"/>
      <w:pPr>
        <w:ind w:left="5260" w:hanging="605"/>
      </w:pPr>
      <w:rPr>
        <w:rFonts w:hint="default"/>
      </w:rPr>
    </w:lvl>
    <w:lvl w:ilvl="5">
      <w:start w:val="0"/>
      <w:numFmt w:val="bullet"/>
      <w:lvlText w:val="•"/>
      <w:lvlJc w:val="left"/>
      <w:pPr>
        <w:ind w:left="6113" w:hanging="605"/>
      </w:pPr>
      <w:rPr>
        <w:rFonts w:hint="default"/>
      </w:rPr>
    </w:lvl>
    <w:lvl w:ilvl="6">
      <w:start w:val="0"/>
      <w:numFmt w:val="bullet"/>
      <w:lvlText w:val="•"/>
      <w:lvlJc w:val="left"/>
      <w:pPr>
        <w:ind w:left="6966" w:hanging="605"/>
      </w:pPr>
      <w:rPr>
        <w:rFonts w:hint="default"/>
      </w:rPr>
    </w:lvl>
    <w:lvl w:ilvl="7">
      <w:start w:val="0"/>
      <w:numFmt w:val="bullet"/>
      <w:lvlText w:val="•"/>
      <w:lvlJc w:val="left"/>
      <w:pPr>
        <w:ind w:left="7820" w:hanging="605"/>
      </w:pPr>
      <w:rPr>
        <w:rFonts w:hint="default"/>
      </w:rPr>
    </w:lvl>
    <w:lvl w:ilvl="8">
      <w:start w:val="0"/>
      <w:numFmt w:val="bullet"/>
      <w:lvlText w:val="•"/>
      <w:lvlJc w:val="left"/>
      <w:pPr>
        <w:ind w:left="8673" w:hanging="605"/>
      </w:pPr>
      <w:rPr>
        <w:rFonts w:hint="default"/>
      </w:rPr>
    </w:lvl>
  </w:abstractNum>
  <w:abstractNum w:abstractNumId="24">
    <w:multiLevelType w:val="hybridMultilevel"/>
    <w:lvl w:ilvl="0">
      <w:start w:val="0"/>
      <w:numFmt w:val="bullet"/>
      <w:lvlText w:val=""/>
      <w:lvlJc w:val="left"/>
      <w:pPr>
        <w:ind w:left="2690" w:hanging="236"/>
      </w:pPr>
      <w:rPr>
        <w:rFonts w:hint="default" w:ascii="Symbol" w:hAnsi="Symbol" w:eastAsia="Symbol" w:cs="Symbol"/>
        <w:w w:val="100"/>
        <w:sz w:val="20"/>
        <w:szCs w:val="20"/>
      </w:rPr>
    </w:lvl>
    <w:lvl w:ilvl="1">
      <w:start w:val="0"/>
      <w:numFmt w:val="bullet"/>
      <w:lvlText w:val="•"/>
      <w:lvlJc w:val="left"/>
      <w:pPr>
        <w:ind w:left="3468" w:hanging="236"/>
      </w:pPr>
      <w:rPr>
        <w:rFonts w:hint="default"/>
      </w:rPr>
    </w:lvl>
    <w:lvl w:ilvl="2">
      <w:start w:val="0"/>
      <w:numFmt w:val="bullet"/>
      <w:lvlText w:val="•"/>
      <w:lvlJc w:val="left"/>
      <w:pPr>
        <w:ind w:left="4236" w:hanging="236"/>
      </w:pPr>
      <w:rPr>
        <w:rFonts w:hint="default"/>
      </w:rPr>
    </w:lvl>
    <w:lvl w:ilvl="3">
      <w:start w:val="0"/>
      <w:numFmt w:val="bullet"/>
      <w:lvlText w:val="•"/>
      <w:lvlJc w:val="left"/>
      <w:pPr>
        <w:ind w:left="5004" w:hanging="236"/>
      </w:pPr>
      <w:rPr>
        <w:rFonts w:hint="default"/>
      </w:rPr>
    </w:lvl>
    <w:lvl w:ilvl="4">
      <w:start w:val="0"/>
      <w:numFmt w:val="bullet"/>
      <w:lvlText w:val="•"/>
      <w:lvlJc w:val="left"/>
      <w:pPr>
        <w:ind w:left="5772" w:hanging="236"/>
      </w:pPr>
      <w:rPr>
        <w:rFonts w:hint="default"/>
      </w:rPr>
    </w:lvl>
    <w:lvl w:ilvl="5">
      <w:start w:val="0"/>
      <w:numFmt w:val="bullet"/>
      <w:lvlText w:val="•"/>
      <w:lvlJc w:val="left"/>
      <w:pPr>
        <w:ind w:left="6540" w:hanging="236"/>
      </w:pPr>
      <w:rPr>
        <w:rFonts w:hint="default"/>
      </w:rPr>
    </w:lvl>
    <w:lvl w:ilvl="6">
      <w:start w:val="0"/>
      <w:numFmt w:val="bullet"/>
      <w:lvlText w:val="•"/>
      <w:lvlJc w:val="left"/>
      <w:pPr>
        <w:ind w:left="7308" w:hanging="236"/>
      </w:pPr>
      <w:rPr>
        <w:rFonts w:hint="default"/>
      </w:rPr>
    </w:lvl>
    <w:lvl w:ilvl="7">
      <w:start w:val="0"/>
      <w:numFmt w:val="bullet"/>
      <w:lvlText w:val="•"/>
      <w:lvlJc w:val="left"/>
      <w:pPr>
        <w:ind w:left="8076" w:hanging="236"/>
      </w:pPr>
      <w:rPr>
        <w:rFonts w:hint="default"/>
      </w:rPr>
    </w:lvl>
    <w:lvl w:ilvl="8">
      <w:start w:val="0"/>
      <w:numFmt w:val="bullet"/>
      <w:lvlText w:val="•"/>
      <w:lvlJc w:val="left"/>
      <w:pPr>
        <w:ind w:left="8844" w:hanging="236"/>
      </w:pPr>
      <w:rPr>
        <w:rFonts w:hint="default"/>
      </w:rPr>
    </w:lvl>
  </w:abstractNum>
  <w:abstractNum w:abstractNumId="23">
    <w:multiLevelType w:val="hybridMultilevel"/>
    <w:lvl w:ilvl="0">
      <w:start w:val="4"/>
      <w:numFmt w:val="decimal"/>
      <w:lvlText w:val="%1"/>
      <w:lvlJc w:val="left"/>
      <w:pPr>
        <w:ind w:left="2767" w:hanging="671"/>
        <w:jc w:val="left"/>
      </w:pPr>
      <w:rPr>
        <w:rFonts w:hint="default"/>
      </w:rPr>
    </w:lvl>
    <w:lvl w:ilvl="1">
      <w:start w:val="2"/>
      <w:numFmt w:val="decimal"/>
      <w:lvlText w:val="%1.%2"/>
      <w:lvlJc w:val="left"/>
      <w:pPr>
        <w:ind w:left="2767" w:hanging="671"/>
        <w:jc w:val="left"/>
      </w:pPr>
      <w:rPr>
        <w:rFonts w:hint="default"/>
      </w:rPr>
    </w:lvl>
    <w:lvl w:ilvl="2">
      <w:start w:val="9"/>
      <w:numFmt w:val="decimal"/>
      <w:lvlText w:val="%1.%2.%3"/>
      <w:lvlJc w:val="left"/>
      <w:pPr>
        <w:ind w:left="2767" w:hanging="671"/>
        <w:jc w:val="left"/>
      </w:pPr>
      <w:rPr>
        <w:rFonts w:hint="default"/>
      </w:rPr>
    </w:lvl>
    <w:lvl w:ilvl="3">
      <w:start w:val="6"/>
      <w:numFmt w:val="decimal"/>
      <w:lvlText w:val="%1.%2.%3.%4."/>
      <w:lvlJc w:val="left"/>
      <w:pPr>
        <w:ind w:left="2767" w:hanging="671"/>
        <w:jc w:val="left"/>
      </w:pPr>
      <w:rPr>
        <w:rFonts w:hint="default" w:ascii="Calibri" w:hAnsi="Calibri" w:eastAsia="Calibri" w:cs="Calibri"/>
        <w:b/>
        <w:bCs/>
        <w:spacing w:val="-2"/>
        <w:w w:val="100"/>
        <w:sz w:val="20"/>
        <w:szCs w:val="20"/>
      </w:rPr>
    </w:lvl>
    <w:lvl w:ilvl="4">
      <w:start w:val="0"/>
      <w:numFmt w:val="bullet"/>
      <w:lvlText w:val="-"/>
      <w:lvlJc w:val="left"/>
      <w:pPr>
        <w:ind w:left="2700" w:hanging="303"/>
      </w:pPr>
      <w:rPr>
        <w:rFonts w:hint="default" w:ascii="Calibri" w:hAnsi="Calibri" w:eastAsia="Calibri" w:cs="Calibri"/>
        <w:w w:val="100"/>
        <w:sz w:val="20"/>
        <w:szCs w:val="20"/>
      </w:rPr>
    </w:lvl>
    <w:lvl w:ilvl="5">
      <w:start w:val="0"/>
      <w:numFmt w:val="bullet"/>
      <w:lvlText w:val="•"/>
      <w:lvlJc w:val="left"/>
      <w:pPr>
        <w:ind w:left="6146" w:hanging="303"/>
      </w:pPr>
      <w:rPr>
        <w:rFonts w:hint="default"/>
      </w:rPr>
    </w:lvl>
    <w:lvl w:ilvl="6">
      <w:start w:val="0"/>
      <w:numFmt w:val="bullet"/>
      <w:lvlText w:val="•"/>
      <w:lvlJc w:val="left"/>
      <w:pPr>
        <w:ind w:left="6993" w:hanging="303"/>
      </w:pPr>
      <w:rPr>
        <w:rFonts w:hint="default"/>
      </w:rPr>
    </w:lvl>
    <w:lvl w:ilvl="7">
      <w:start w:val="0"/>
      <w:numFmt w:val="bullet"/>
      <w:lvlText w:val="•"/>
      <w:lvlJc w:val="left"/>
      <w:pPr>
        <w:ind w:left="7840" w:hanging="303"/>
      </w:pPr>
      <w:rPr>
        <w:rFonts w:hint="default"/>
      </w:rPr>
    </w:lvl>
    <w:lvl w:ilvl="8">
      <w:start w:val="0"/>
      <w:numFmt w:val="bullet"/>
      <w:lvlText w:val="•"/>
      <w:lvlJc w:val="left"/>
      <w:pPr>
        <w:ind w:left="8686" w:hanging="303"/>
      </w:pPr>
      <w:rPr>
        <w:rFonts w:hint="default"/>
      </w:rPr>
    </w:lvl>
  </w:abstractNum>
  <w:abstractNum w:abstractNumId="22">
    <w:multiLevelType w:val="hybridMultilevel"/>
    <w:lvl w:ilvl="0">
      <w:start w:val="0"/>
      <w:numFmt w:val="bullet"/>
      <w:lvlText w:val="-"/>
      <w:lvlJc w:val="left"/>
      <w:pPr>
        <w:ind w:left="2694" w:hanging="299"/>
      </w:pPr>
      <w:rPr>
        <w:rFonts w:hint="default" w:ascii="Calibri" w:hAnsi="Calibri" w:eastAsia="Calibri" w:cs="Calibri"/>
        <w:w w:val="100"/>
        <w:sz w:val="20"/>
        <w:szCs w:val="20"/>
      </w:rPr>
    </w:lvl>
    <w:lvl w:ilvl="1">
      <w:start w:val="0"/>
      <w:numFmt w:val="bullet"/>
      <w:lvlText w:val="•"/>
      <w:lvlJc w:val="left"/>
      <w:pPr>
        <w:ind w:left="3468" w:hanging="299"/>
      </w:pPr>
      <w:rPr>
        <w:rFonts w:hint="default"/>
      </w:rPr>
    </w:lvl>
    <w:lvl w:ilvl="2">
      <w:start w:val="0"/>
      <w:numFmt w:val="bullet"/>
      <w:lvlText w:val="•"/>
      <w:lvlJc w:val="left"/>
      <w:pPr>
        <w:ind w:left="4236" w:hanging="299"/>
      </w:pPr>
      <w:rPr>
        <w:rFonts w:hint="default"/>
      </w:rPr>
    </w:lvl>
    <w:lvl w:ilvl="3">
      <w:start w:val="0"/>
      <w:numFmt w:val="bullet"/>
      <w:lvlText w:val="•"/>
      <w:lvlJc w:val="left"/>
      <w:pPr>
        <w:ind w:left="5004" w:hanging="299"/>
      </w:pPr>
      <w:rPr>
        <w:rFonts w:hint="default"/>
      </w:rPr>
    </w:lvl>
    <w:lvl w:ilvl="4">
      <w:start w:val="0"/>
      <w:numFmt w:val="bullet"/>
      <w:lvlText w:val="•"/>
      <w:lvlJc w:val="left"/>
      <w:pPr>
        <w:ind w:left="5772" w:hanging="299"/>
      </w:pPr>
      <w:rPr>
        <w:rFonts w:hint="default"/>
      </w:rPr>
    </w:lvl>
    <w:lvl w:ilvl="5">
      <w:start w:val="0"/>
      <w:numFmt w:val="bullet"/>
      <w:lvlText w:val="•"/>
      <w:lvlJc w:val="left"/>
      <w:pPr>
        <w:ind w:left="6540" w:hanging="299"/>
      </w:pPr>
      <w:rPr>
        <w:rFonts w:hint="default"/>
      </w:rPr>
    </w:lvl>
    <w:lvl w:ilvl="6">
      <w:start w:val="0"/>
      <w:numFmt w:val="bullet"/>
      <w:lvlText w:val="•"/>
      <w:lvlJc w:val="left"/>
      <w:pPr>
        <w:ind w:left="7308" w:hanging="299"/>
      </w:pPr>
      <w:rPr>
        <w:rFonts w:hint="default"/>
      </w:rPr>
    </w:lvl>
    <w:lvl w:ilvl="7">
      <w:start w:val="0"/>
      <w:numFmt w:val="bullet"/>
      <w:lvlText w:val="•"/>
      <w:lvlJc w:val="left"/>
      <w:pPr>
        <w:ind w:left="8076" w:hanging="299"/>
      </w:pPr>
      <w:rPr>
        <w:rFonts w:hint="default"/>
      </w:rPr>
    </w:lvl>
    <w:lvl w:ilvl="8">
      <w:start w:val="0"/>
      <w:numFmt w:val="bullet"/>
      <w:lvlText w:val="•"/>
      <w:lvlJc w:val="left"/>
      <w:pPr>
        <w:ind w:left="8844" w:hanging="299"/>
      </w:pPr>
      <w:rPr>
        <w:rFonts w:hint="default"/>
      </w:rPr>
    </w:lvl>
  </w:abstractNum>
  <w:abstractNum w:abstractNumId="21">
    <w:multiLevelType w:val="hybridMultilevel"/>
    <w:lvl w:ilvl="0">
      <w:start w:val="15"/>
      <w:numFmt w:val="decimal"/>
      <w:lvlText w:val="%1"/>
      <w:lvlJc w:val="left"/>
      <w:pPr>
        <w:ind w:left="64" w:hanging="168"/>
        <w:jc w:val="left"/>
      </w:pPr>
      <w:rPr>
        <w:rFonts w:hint="default" w:ascii="Calibri" w:hAnsi="Calibri" w:eastAsia="Calibri" w:cs="Calibri"/>
        <w:w w:val="103"/>
        <w:sz w:val="13"/>
        <w:szCs w:val="13"/>
      </w:rPr>
    </w:lvl>
    <w:lvl w:ilvl="1">
      <w:start w:val="0"/>
      <w:numFmt w:val="bullet"/>
      <w:lvlText w:val="•"/>
      <w:lvlJc w:val="left"/>
      <w:pPr>
        <w:ind w:left="184" w:hanging="168"/>
      </w:pPr>
      <w:rPr>
        <w:rFonts w:hint="default"/>
      </w:rPr>
    </w:lvl>
    <w:lvl w:ilvl="2">
      <w:start w:val="0"/>
      <w:numFmt w:val="bullet"/>
      <w:lvlText w:val="•"/>
      <w:lvlJc w:val="left"/>
      <w:pPr>
        <w:ind w:left="308" w:hanging="168"/>
      </w:pPr>
      <w:rPr>
        <w:rFonts w:hint="default"/>
      </w:rPr>
    </w:lvl>
    <w:lvl w:ilvl="3">
      <w:start w:val="0"/>
      <w:numFmt w:val="bullet"/>
      <w:lvlText w:val="•"/>
      <w:lvlJc w:val="left"/>
      <w:pPr>
        <w:ind w:left="433" w:hanging="168"/>
      </w:pPr>
      <w:rPr>
        <w:rFonts w:hint="default"/>
      </w:rPr>
    </w:lvl>
    <w:lvl w:ilvl="4">
      <w:start w:val="0"/>
      <w:numFmt w:val="bullet"/>
      <w:lvlText w:val="•"/>
      <w:lvlJc w:val="left"/>
      <w:pPr>
        <w:ind w:left="557" w:hanging="168"/>
      </w:pPr>
      <w:rPr>
        <w:rFonts w:hint="default"/>
      </w:rPr>
    </w:lvl>
    <w:lvl w:ilvl="5">
      <w:start w:val="0"/>
      <w:numFmt w:val="bullet"/>
      <w:lvlText w:val="•"/>
      <w:lvlJc w:val="left"/>
      <w:pPr>
        <w:ind w:left="682" w:hanging="168"/>
      </w:pPr>
      <w:rPr>
        <w:rFonts w:hint="default"/>
      </w:rPr>
    </w:lvl>
    <w:lvl w:ilvl="6">
      <w:start w:val="0"/>
      <w:numFmt w:val="bullet"/>
      <w:lvlText w:val="•"/>
      <w:lvlJc w:val="left"/>
      <w:pPr>
        <w:ind w:left="806" w:hanging="168"/>
      </w:pPr>
      <w:rPr>
        <w:rFonts w:hint="default"/>
      </w:rPr>
    </w:lvl>
    <w:lvl w:ilvl="7">
      <w:start w:val="0"/>
      <w:numFmt w:val="bullet"/>
      <w:lvlText w:val="•"/>
      <w:lvlJc w:val="left"/>
      <w:pPr>
        <w:ind w:left="930" w:hanging="168"/>
      </w:pPr>
      <w:rPr>
        <w:rFonts w:hint="default"/>
      </w:rPr>
    </w:lvl>
    <w:lvl w:ilvl="8">
      <w:start w:val="0"/>
      <w:numFmt w:val="bullet"/>
      <w:lvlText w:val="•"/>
      <w:lvlJc w:val="left"/>
      <w:pPr>
        <w:ind w:left="1055" w:hanging="168"/>
      </w:pPr>
      <w:rPr>
        <w:rFonts w:hint="default"/>
      </w:rPr>
    </w:lvl>
  </w:abstractNum>
  <w:abstractNum w:abstractNumId="20">
    <w:multiLevelType w:val="hybridMultilevel"/>
    <w:lvl w:ilvl="0">
      <w:start w:val="2"/>
      <w:numFmt w:val="upperRoman"/>
      <w:lvlText w:val="%1."/>
      <w:lvlJc w:val="left"/>
      <w:pPr>
        <w:ind w:left="257" w:hanging="149"/>
        <w:jc w:val="left"/>
      </w:pPr>
      <w:rPr>
        <w:rFonts w:hint="default" w:ascii="Calibri" w:hAnsi="Calibri" w:eastAsia="Calibri" w:cs="Calibri"/>
        <w:color w:val="585858"/>
        <w:w w:val="100"/>
        <w:sz w:val="15"/>
        <w:szCs w:val="15"/>
      </w:rPr>
    </w:lvl>
    <w:lvl w:ilvl="1">
      <w:start w:val="1"/>
      <w:numFmt w:val="upperRoman"/>
      <w:lvlText w:val="%2."/>
      <w:lvlJc w:val="left"/>
      <w:pPr>
        <w:ind w:left="1131" w:hanging="111"/>
        <w:jc w:val="left"/>
      </w:pPr>
      <w:rPr>
        <w:rFonts w:hint="default" w:ascii="Calibri" w:hAnsi="Calibri" w:eastAsia="Calibri" w:cs="Calibri"/>
        <w:color w:val="585858"/>
        <w:w w:val="100"/>
        <w:sz w:val="15"/>
        <w:szCs w:val="15"/>
      </w:rPr>
    </w:lvl>
    <w:lvl w:ilvl="2">
      <w:start w:val="0"/>
      <w:numFmt w:val="bullet"/>
      <w:lvlText w:val="•"/>
      <w:lvlJc w:val="left"/>
      <w:pPr>
        <w:ind w:left="1804" w:hanging="111"/>
      </w:pPr>
      <w:rPr>
        <w:rFonts w:hint="default"/>
      </w:rPr>
    </w:lvl>
    <w:lvl w:ilvl="3">
      <w:start w:val="0"/>
      <w:numFmt w:val="bullet"/>
      <w:lvlText w:val="•"/>
      <w:lvlJc w:val="left"/>
      <w:pPr>
        <w:ind w:left="2468" w:hanging="111"/>
      </w:pPr>
      <w:rPr>
        <w:rFonts w:hint="default"/>
      </w:rPr>
    </w:lvl>
    <w:lvl w:ilvl="4">
      <w:start w:val="0"/>
      <w:numFmt w:val="bullet"/>
      <w:lvlText w:val="•"/>
      <w:lvlJc w:val="left"/>
      <w:pPr>
        <w:ind w:left="3133" w:hanging="111"/>
      </w:pPr>
      <w:rPr>
        <w:rFonts w:hint="default"/>
      </w:rPr>
    </w:lvl>
    <w:lvl w:ilvl="5">
      <w:start w:val="0"/>
      <w:numFmt w:val="bullet"/>
      <w:lvlText w:val="•"/>
      <w:lvlJc w:val="left"/>
      <w:pPr>
        <w:ind w:left="3797" w:hanging="111"/>
      </w:pPr>
      <w:rPr>
        <w:rFonts w:hint="default"/>
      </w:rPr>
    </w:lvl>
    <w:lvl w:ilvl="6">
      <w:start w:val="0"/>
      <w:numFmt w:val="bullet"/>
      <w:lvlText w:val="•"/>
      <w:lvlJc w:val="left"/>
      <w:pPr>
        <w:ind w:left="4462" w:hanging="111"/>
      </w:pPr>
      <w:rPr>
        <w:rFonts w:hint="default"/>
      </w:rPr>
    </w:lvl>
    <w:lvl w:ilvl="7">
      <w:start w:val="0"/>
      <w:numFmt w:val="bullet"/>
      <w:lvlText w:val="•"/>
      <w:lvlJc w:val="left"/>
      <w:pPr>
        <w:ind w:left="5126" w:hanging="111"/>
      </w:pPr>
      <w:rPr>
        <w:rFonts w:hint="default"/>
      </w:rPr>
    </w:lvl>
    <w:lvl w:ilvl="8">
      <w:start w:val="0"/>
      <w:numFmt w:val="bullet"/>
      <w:lvlText w:val="•"/>
      <w:lvlJc w:val="left"/>
      <w:pPr>
        <w:ind w:left="5791" w:hanging="111"/>
      </w:pPr>
      <w:rPr>
        <w:rFonts w:hint="default"/>
      </w:rPr>
    </w:lvl>
  </w:abstractNum>
  <w:abstractNum w:abstractNumId="19">
    <w:multiLevelType w:val="hybridMultilevel"/>
    <w:lvl w:ilvl="0">
      <w:start w:val="1"/>
      <w:numFmt w:val="decimal"/>
      <w:lvlText w:val="%1."/>
      <w:lvlJc w:val="left"/>
      <w:pPr>
        <w:ind w:left="2700" w:hanging="303"/>
        <w:jc w:val="left"/>
      </w:pPr>
      <w:rPr>
        <w:rFonts w:hint="default" w:ascii="Calibri" w:hAnsi="Calibri" w:eastAsia="Calibri" w:cs="Calibri"/>
        <w:w w:val="100"/>
        <w:sz w:val="20"/>
        <w:szCs w:val="20"/>
      </w:rPr>
    </w:lvl>
    <w:lvl w:ilvl="1">
      <w:start w:val="0"/>
      <w:numFmt w:val="bullet"/>
      <w:lvlText w:val="•"/>
      <w:lvlJc w:val="left"/>
      <w:pPr>
        <w:ind w:left="3468" w:hanging="303"/>
      </w:pPr>
      <w:rPr>
        <w:rFonts w:hint="default"/>
      </w:rPr>
    </w:lvl>
    <w:lvl w:ilvl="2">
      <w:start w:val="0"/>
      <w:numFmt w:val="bullet"/>
      <w:lvlText w:val="•"/>
      <w:lvlJc w:val="left"/>
      <w:pPr>
        <w:ind w:left="4236" w:hanging="303"/>
      </w:pPr>
      <w:rPr>
        <w:rFonts w:hint="default"/>
      </w:rPr>
    </w:lvl>
    <w:lvl w:ilvl="3">
      <w:start w:val="0"/>
      <w:numFmt w:val="bullet"/>
      <w:lvlText w:val="•"/>
      <w:lvlJc w:val="left"/>
      <w:pPr>
        <w:ind w:left="5004" w:hanging="303"/>
      </w:pPr>
      <w:rPr>
        <w:rFonts w:hint="default"/>
      </w:rPr>
    </w:lvl>
    <w:lvl w:ilvl="4">
      <w:start w:val="0"/>
      <w:numFmt w:val="bullet"/>
      <w:lvlText w:val="•"/>
      <w:lvlJc w:val="left"/>
      <w:pPr>
        <w:ind w:left="5772" w:hanging="303"/>
      </w:pPr>
      <w:rPr>
        <w:rFonts w:hint="default"/>
      </w:rPr>
    </w:lvl>
    <w:lvl w:ilvl="5">
      <w:start w:val="0"/>
      <w:numFmt w:val="bullet"/>
      <w:lvlText w:val="•"/>
      <w:lvlJc w:val="left"/>
      <w:pPr>
        <w:ind w:left="6540" w:hanging="303"/>
      </w:pPr>
      <w:rPr>
        <w:rFonts w:hint="default"/>
      </w:rPr>
    </w:lvl>
    <w:lvl w:ilvl="6">
      <w:start w:val="0"/>
      <w:numFmt w:val="bullet"/>
      <w:lvlText w:val="•"/>
      <w:lvlJc w:val="left"/>
      <w:pPr>
        <w:ind w:left="7308" w:hanging="303"/>
      </w:pPr>
      <w:rPr>
        <w:rFonts w:hint="default"/>
      </w:rPr>
    </w:lvl>
    <w:lvl w:ilvl="7">
      <w:start w:val="0"/>
      <w:numFmt w:val="bullet"/>
      <w:lvlText w:val="•"/>
      <w:lvlJc w:val="left"/>
      <w:pPr>
        <w:ind w:left="8076" w:hanging="303"/>
      </w:pPr>
      <w:rPr>
        <w:rFonts w:hint="default"/>
      </w:rPr>
    </w:lvl>
    <w:lvl w:ilvl="8">
      <w:start w:val="0"/>
      <w:numFmt w:val="bullet"/>
      <w:lvlText w:val="•"/>
      <w:lvlJc w:val="left"/>
      <w:pPr>
        <w:ind w:left="8844" w:hanging="303"/>
      </w:pPr>
      <w:rPr>
        <w:rFonts w:hint="default"/>
      </w:rPr>
    </w:lvl>
  </w:abstractNum>
  <w:abstractNum w:abstractNumId="18">
    <w:multiLevelType w:val="hybridMultilevel"/>
    <w:lvl w:ilvl="0">
      <w:start w:val="6"/>
      <w:numFmt w:val="upperRoman"/>
      <w:lvlText w:val="%1."/>
      <w:lvlJc w:val="left"/>
      <w:pPr>
        <w:ind w:left="238" w:hanging="195"/>
        <w:jc w:val="left"/>
      </w:pPr>
      <w:rPr>
        <w:rFonts w:hint="default" w:ascii="Calibri" w:hAnsi="Calibri" w:eastAsia="Calibri" w:cs="Calibri"/>
        <w:color w:val="585858"/>
        <w:spacing w:val="-2"/>
        <w:w w:val="100"/>
        <w:sz w:val="15"/>
        <w:szCs w:val="15"/>
      </w:rPr>
    </w:lvl>
    <w:lvl w:ilvl="1">
      <w:start w:val="4"/>
      <w:numFmt w:val="upperRoman"/>
      <w:lvlText w:val="%2."/>
      <w:lvlJc w:val="left"/>
      <w:pPr>
        <w:ind w:left="577" w:hanging="196"/>
        <w:jc w:val="left"/>
      </w:pPr>
      <w:rPr>
        <w:rFonts w:hint="default" w:ascii="Calibri" w:hAnsi="Calibri" w:eastAsia="Calibri" w:cs="Calibri"/>
        <w:color w:val="585858"/>
        <w:spacing w:val="-1"/>
        <w:w w:val="100"/>
        <w:sz w:val="15"/>
        <w:szCs w:val="15"/>
      </w:rPr>
    </w:lvl>
    <w:lvl w:ilvl="2">
      <w:start w:val="3"/>
      <w:numFmt w:val="upperRoman"/>
      <w:lvlText w:val="%3."/>
      <w:lvlJc w:val="left"/>
      <w:pPr>
        <w:ind w:left="851" w:hanging="187"/>
        <w:jc w:val="left"/>
      </w:pPr>
      <w:rPr>
        <w:rFonts w:hint="default" w:ascii="Calibri" w:hAnsi="Calibri" w:eastAsia="Calibri" w:cs="Calibri"/>
        <w:color w:val="585858"/>
        <w:w w:val="100"/>
        <w:sz w:val="15"/>
        <w:szCs w:val="15"/>
      </w:rPr>
    </w:lvl>
    <w:lvl w:ilvl="3">
      <w:start w:val="2"/>
      <w:numFmt w:val="upperRoman"/>
      <w:lvlText w:val="%4."/>
      <w:lvlJc w:val="left"/>
      <w:pPr>
        <w:ind w:left="957" w:hanging="149"/>
        <w:jc w:val="left"/>
      </w:pPr>
      <w:rPr>
        <w:rFonts w:hint="default" w:ascii="Calibri" w:hAnsi="Calibri" w:eastAsia="Calibri" w:cs="Calibri"/>
        <w:color w:val="585858"/>
        <w:w w:val="100"/>
        <w:sz w:val="15"/>
        <w:szCs w:val="15"/>
      </w:rPr>
    </w:lvl>
    <w:lvl w:ilvl="4">
      <w:start w:val="1"/>
      <w:numFmt w:val="upperRoman"/>
      <w:lvlText w:val="%5."/>
      <w:lvlJc w:val="left"/>
      <w:pPr>
        <w:ind w:left="1092" w:hanging="111"/>
        <w:jc w:val="left"/>
      </w:pPr>
      <w:rPr>
        <w:rFonts w:hint="default" w:ascii="Calibri" w:hAnsi="Calibri" w:eastAsia="Calibri" w:cs="Calibri"/>
        <w:color w:val="585858"/>
        <w:w w:val="100"/>
        <w:sz w:val="15"/>
        <w:szCs w:val="15"/>
      </w:rPr>
    </w:lvl>
    <w:lvl w:ilvl="5">
      <w:start w:val="0"/>
      <w:numFmt w:val="bullet"/>
      <w:lvlText w:val="•"/>
      <w:lvlJc w:val="left"/>
      <w:pPr>
        <w:ind w:left="1100" w:hanging="111"/>
      </w:pPr>
      <w:rPr>
        <w:rFonts w:hint="default"/>
      </w:rPr>
    </w:lvl>
    <w:lvl w:ilvl="6">
      <w:start w:val="0"/>
      <w:numFmt w:val="bullet"/>
      <w:lvlText w:val="•"/>
      <w:lvlJc w:val="left"/>
      <w:pPr>
        <w:ind w:left="2305" w:hanging="111"/>
      </w:pPr>
      <w:rPr>
        <w:rFonts w:hint="default"/>
      </w:rPr>
    </w:lvl>
    <w:lvl w:ilvl="7">
      <w:start w:val="0"/>
      <w:numFmt w:val="bullet"/>
      <w:lvlText w:val="•"/>
      <w:lvlJc w:val="left"/>
      <w:pPr>
        <w:ind w:left="3510" w:hanging="111"/>
      </w:pPr>
      <w:rPr>
        <w:rFonts w:hint="default"/>
      </w:rPr>
    </w:lvl>
    <w:lvl w:ilvl="8">
      <w:start w:val="0"/>
      <w:numFmt w:val="bullet"/>
      <w:lvlText w:val="•"/>
      <w:lvlJc w:val="left"/>
      <w:pPr>
        <w:ind w:left="4715" w:hanging="111"/>
      </w:pPr>
      <w:rPr>
        <w:rFonts w:hint="default"/>
      </w:rPr>
    </w:lvl>
  </w:abstractNum>
  <w:abstractNum w:abstractNumId="17">
    <w:multiLevelType w:val="hybridMultilevel"/>
    <w:lvl w:ilvl="0">
      <w:start w:val="0"/>
      <w:numFmt w:val="bullet"/>
      <w:lvlText w:val="-"/>
      <w:lvlJc w:val="left"/>
      <w:pPr>
        <w:ind w:left="2334" w:hanging="238"/>
      </w:pPr>
      <w:rPr>
        <w:rFonts w:hint="default" w:ascii="Calibri" w:hAnsi="Calibri" w:eastAsia="Calibri" w:cs="Calibri"/>
        <w:w w:val="104"/>
        <w:sz w:val="16"/>
        <w:szCs w:val="16"/>
      </w:rPr>
    </w:lvl>
    <w:lvl w:ilvl="1">
      <w:start w:val="0"/>
      <w:numFmt w:val="bullet"/>
      <w:lvlText w:val="-"/>
      <w:lvlJc w:val="left"/>
      <w:pPr>
        <w:ind w:left="2690" w:hanging="303"/>
      </w:pPr>
      <w:rPr>
        <w:rFonts w:hint="default" w:ascii="Calibri" w:hAnsi="Calibri" w:eastAsia="Calibri" w:cs="Calibri"/>
        <w:w w:val="100"/>
        <w:sz w:val="20"/>
        <w:szCs w:val="20"/>
      </w:rPr>
    </w:lvl>
    <w:lvl w:ilvl="2">
      <w:start w:val="0"/>
      <w:numFmt w:val="bullet"/>
      <w:lvlText w:val="•"/>
      <w:lvlJc w:val="left"/>
      <w:pPr>
        <w:ind w:left="3553" w:hanging="303"/>
      </w:pPr>
      <w:rPr>
        <w:rFonts w:hint="default"/>
      </w:rPr>
    </w:lvl>
    <w:lvl w:ilvl="3">
      <w:start w:val="0"/>
      <w:numFmt w:val="bullet"/>
      <w:lvlText w:val="•"/>
      <w:lvlJc w:val="left"/>
      <w:pPr>
        <w:ind w:left="4406" w:hanging="303"/>
      </w:pPr>
      <w:rPr>
        <w:rFonts w:hint="default"/>
      </w:rPr>
    </w:lvl>
    <w:lvl w:ilvl="4">
      <w:start w:val="0"/>
      <w:numFmt w:val="bullet"/>
      <w:lvlText w:val="•"/>
      <w:lvlJc w:val="left"/>
      <w:pPr>
        <w:ind w:left="5260" w:hanging="303"/>
      </w:pPr>
      <w:rPr>
        <w:rFonts w:hint="default"/>
      </w:rPr>
    </w:lvl>
    <w:lvl w:ilvl="5">
      <w:start w:val="0"/>
      <w:numFmt w:val="bullet"/>
      <w:lvlText w:val="•"/>
      <w:lvlJc w:val="left"/>
      <w:pPr>
        <w:ind w:left="6113" w:hanging="303"/>
      </w:pPr>
      <w:rPr>
        <w:rFonts w:hint="default"/>
      </w:rPr>
    </w:lvl>
    <w:lvl w:ilvl="6">
      <w:start w:val="0"/>
      <w:numFmt w:val="bullet"/>
      <w:lvlText w:val="•"/>
      <w:lvlJc w:val="left"/>
      <w:pPr>
        <w:ind w:left="6966" w:hanging="303"/>
      </w:pPr>
      <w:rPr>
        <w:rFonts w:hint="default"/>
      </w:rPr>
    </w:lvl>
    <w:lvl w:ilvl="7">
      <w:start w:val="0"/>
      <w:numFmt w:val="bullet"/>
      <w:lvlText w:val="•"/>
      <w:lvlJc w:val="left"/>
      <w:pPr>
        <w:ind w:left="7820" w:hanging="303"/>
      </w:pPr>
      <w:rPr>
        <w:rFonts w:hint="default"/>
      </w:rPr>
    </w:lvl>
    <w:lvl w:ilvl="8">
      <w:start w:val="0"/>
      <w:numFmt w:val="bullet"/>
      <w:lvlText w:val="•"/>
      <w:lvlJc w:val="left"/>
      <w:pPr>
        <w:ind w:left="8673" w:hanging="303"/>
      </w:pPr>
      <w:rPr>
        <w:rFonts w:hint="default"/>
      </w:rPr>
    </w:lvl>
  </w:abstractNum>
  <w:abstractNum w:abstractNumId="16">
    <w:multiLevelType w:val="hybridMultilevel"/>
    <w:lvl w:ilvl="0">
      <w:start w:val="6"/>
      <w:numFmt w:val="upperRoman"/>
      <w:lvlText w:val="%1."/>
      <w:lvlJc w:val="left"/>
      <w:pPr>
        <w:ind w:left="303" w:hanging="195"/>
        <w:jc w:val="left"/>
      </w:pPr>
      <w:rPr>
        <w:rFonts w:hint="default" w:ascii="Calibri" w:hAnsi="Calibri" w:eastAsia="Calibri" w:cs="Calibri"/>
        <w:color w:val="585858"/>
        <w:spacing w:val="-2"/>
        <w:w w:val="100"/>
        <w:sz w:val="15"/>
        <w:szCs w:val="15"/>
      </w:rPr>
    </w:lvl>
    <w:lvl w:ilvl="1">
      <w:start w:val="4"/>
      <w:numFmt w:val="upperRoman"/>
      <w:lvlText w:val="%2."/>
      <w:lvlJc w:val="left"/>
      <w:pPr>
        <w:ind w:left="642" w:hanging="196"/>
        <w:jc w:val="left"/>
      </w:pPr>
      <w:rPr>
        <w:rFonts w:hint="default" w:ascii="Calibri" w:hAnsi="Calibri" w:eastAsia="Calibri" w:cs="Calibri"/>
        <w:color w:val="585858"/>
        <w:spacing w:val="-1"/>
        <w:w w:val="100"/>
        <w:sz w:val="15"/>
        <w:szCs w:val="15"/>
      </w:rPr>
    </w:lvl>
    <w:lvl w:ilvl="2">
      <w:start w:val="3"/>
      <w:numFmt w:val="upperRoman"/>
      <w:lvlText w:val="%3."/>
      <w:lvlJc w:val="left"/>
      <w:pPr>
        <w:ind w:left="916" w:hanging="187"/>
        <w:jc w:val="left"/>
      </w:pPr>
      <w:rPr>
        <w:rFonts w:hint="default" w:ascii="Calibri" w:hAnsi="Calibri" w:eastAsia="Calibri" w:cs="Calibri"/>
        <w:color w:val="585858"/>
        <w:w w:val="100"/>
        <w:sz w:val="15"/>
        <w:szCs w:val="15"/>
      </w:rPr>
    </w:lvl>
    <w:lvl w:ilvl="3">
      <w:start w:val="2"/>
      <w:numFmt w:val="upperRoman"/>
      <w:lvlText w:val="%4."/>
      <w:lvlJc w:val="left"/>
      <w:pPr>
        <w:ind w:left="1022" w:hanging="149"/>
        <w:jc w:val="left"/>
      </w:pPr>
      <w:rPr>
        <w:rFonts w:hint="default" w:ascii="Calibri" w:hAnsi="Calibri" w:eastAsia="Calibri" w:cs="Calibri"/>
        <w:color w:val="585858"/>
        <w:w w:val="100"/>
        <w:sz w:val="15"/>
        <w:szCs w:val="15"/>
      </w:rPr>
    </w:lvl>
    <w:lvl w:ilvl="4">
      <w:start w:val="1"/>
      <w:numFmt w:val="upperRoman"/>
      <w:lvlText w:val="%5."/>
      <w:lvlJc w:val="left"/>
      <w:pPr>
        <w:ind w:left="1157" w:hanging="111"/>
        <w:jc w:val="left"/>
      </w:pPr>
      <w:rPr>
        <w:rFonts w:hint="default" w:ascii="Calibri" w:hAnsi="Calibri" w:eastAsia="Calibri" w:cs="Calibri"/>
        <w:color w:val="585858"/>
        <w:w w:val="100"/>
        <w:sz w:val="15"/>
        <w:szCs w:val="15"/>
      </w:rPr>
    </w:lvl>
    <w:lvl w:ilvl="5">
      <w:start w:val="0"/>
      <w:numFmt w:val="bullet"/>
      <w:lvlText w:val="•"/>
      <w:lvlJc w:val="left"/>
      <w:pPr>
        <w:ind w:left="1160" w:hanging="111"/>
      </w:pPr>
      <w:rPr>
        <w:rFonts w:hint="default"/>
      </w:rPr>
    </w:lvl>
    <w:lvl w:ilvl="6">
      <w:start w:val="0"/>
      <w:numFmt w:val="bullet"/>
      <w:lvlText w:val="•"/>
      <w:lvlJc w:val="left"/>
      <w:pPr>
        <w:ind w:left="2353" w:hanging="111"/>
      </w:pPr>
      <w:rPr>
        <w:rFonts w:hint="default"/>
      </w:rPr>
    </w:lvl>
    <w:lvl w:ilvl="7">
      <w:start w:val="0"/>
      <w:numFmt w:val="bullet"/>
      <w:lvlText w:val="•"/>
      <w:lvlJc w:val="left"/>
      <w:pPr>
        <w:ind w:left="3546" w:hanging="111"/>
      </w:pPr>
      <w:rPr>
        <w:rFonts w:hint="default"/>
      </w:rPr>
    </w:lvl>
    <w:lvl w:ilvl="8">
      <w:start w:val="0"/>
      <w:numFmt w:val="bullet"/>
      <w:lvlText w:val="•"/>
      <w:lvlJc w:val="left"/>
      <w:pPr>
        <w:ind w:left="4739" w:hanging="111"/>
      </w:pPr>
      <w:rPr>
        <w:rFonts w:hint="default"/>
      </w:rPr>
    </w:lvl>
  </w:abstractNum>
  <w:abstractNum w:abstractNumId="15">
    <w:multiLevelType w:val="hybridMultilevel"/>
    <w:lvl w:ilvl="0">
      <w:start w:val="6"/>
      <w:numFmt w:val="upperRoman"/>
      <w:lvlText w:val="%1."/>
      <w:lvlJc w:val="left"/>
      <w:pPr>
        <w:ind w:left="2035" w:hanging="176"/>
        <w:jc w:val="left"/>
      </w:pPr>
      <w:rPr>
        <w:rFonts w:hint="default" w:ascii="Calibri" w:hAnsi="Calibri" w:eastAsia="Calibri" w:cs="Calibri"/>
        <w:spacing w:val="-1"/>
        <w:w w:val="103"/>
        <w:sz w:val="13"/>
        <w:szCs w:val="13"/>
      </w:rPr>
    </w:lvl>
    <w:lvl w:ilvl="1">
      <w:start w:val="0"/>
      <w:numFmt w:val="bullet"/>
      <w:lvlText w:val="-"/>
      <w:lvlJc w:val="left"/>
      <w:pPr>
        <w:ind w:left="2690" w:hanging="236"/>
      </w:pPr>
      <w:rPr>
        <w:rFonts w:hint="default" w:ascii="Calibri" w:hAnsi="Calibri" w:eastAsia="Calibri" w:cs="Calibri"/>
        <w:w w:val="100"/>
        <w:sz w:val="20"/>
        <w:szCs w:val="20"/>
      </w:rPr>
    </w:lvl>
    <w:lvl w:ilvl="2">
      <w:start w:val="0"/>
      <w:numFmt w:val="bullet"/>
      <w:lvlText w:val="•"/>
      <w:lvlJc w:val="left"/>
      <w:pPr>
        <w:ind w:left="3553" w:hanging="236"/>
      </w:pPr>
      <w:rPr>
        <w:rFonts w:hint="default"/>
      </w:rPr>
    </w:lvl>
    <w:lvl w:ilvl="3">
      <w:start w:val="0"/>
      <w:numFmt w:val="bullet"/>
      <w:lvlText w:val="•"/>
      <w:lvlJc w:val="left"/>
      <w:pPr>
        <w:ind w:left="4406" w:hanging="236"/>
      </w:pPr>
      <w:rPr>
        <w:rFonts w:hint="default"/>
      </w:rPr>
    </w:lvl>
    <w:lvl w:ilvl="4">
      <w:start w:val="0"/>
      <w:numFmt w:val="bullet"/>
      <w:lvlText w:val="•"/>
      <w:lvlJc w:val="left"/>
      <w:pPr>
        <w:ind w:left="5260" w:hanging="236"/>
      </w:pPr>
      <w:rPr>
        <w:rFonts w:hint="default"/>
      </w:rPr>
    </w:lvl>
    <w:lvl w:ilvl="5">
      <w:start w:val="0"/>
      <w:numFmt w:val="bullet"/>
      <w:lvlText w:val="•"/>
      <w:lvlJc w:val="left"/>
      <w:pPr>
        <w:ind w:left="6113" w:hanging="236"/>
      </w:pPr>
      <w:rPr>
        <w:rFonts w:hint="default"/>
      </w:rPr>
    </w:lvl>
    <w:lvl w:ilvl="6">
      <w:start w:val="0"/>
      <w:numFmt w:val="bullet"/>
      <w:lvlText w:val="•"/>
      <w:lvlJc w:val="left"/>
      <w:pPr>
        <w:ind w:left="6966" w:hanging="236"/>
      </w:pPr>
      <w:rPr>
        <w:rFonts w:hint="default"/>
      </w:rPr>
    </w:lvl>
    <w:lvl w:ilvl="7">
      <w:start w:val="0"/>
      <w:numFmt w:val="bullet"/>
      <w:lvlText w:val="•"/>
      <w:lvlJc w:val="left"/>
      <w:pPr>
        <w:ind w:left="7820" w:hanging="236"/>
      </w:pPr>
      <w:rPr>
        <w:rFonts w:hint="default"/>
      </w:rPr>
    </w:lvl>
    <w:lvl w:ilvl="8">
      <w:start w:val="0"/>
      <w:numFmt w:val="bullet"/>
      <w:lvlText w:val="•"/>
      <w:lvlJc w:val="left"/>
      <w:pPr>
        <w:ind w:left="8673" w:hanging="236"/>
      </w:pPr>
      <w:rPr>
        <w:rFonts w:hint="default"/>
      </w:rPr>
    </w:lvl>
  </w:abstractNum>
  <w:abstractNum w:abstractNumId="14">
    <w:multiLevelType w:val="hybridMultilevel"/>
    <w:lvl w:ilvl="0">
      <w:start w:val="2"/>
      <w:numFmt w:val="lowerLetter"/>
      <w:lvlText w:val="%1"/>
      <w:lvlJc w:val="left"/>
      <w:pPr>
        <w:ind w:left="2384" w:hanging="234"/>
        <w:jc w:val="left"/>
      </w:pPr>
      <w:rPr>
        <w:rFonts w:hint="default" w:ascii="Calibri" w:hAnsi="Calibri" w:eastAsia="Calibri" w:cs="Calibri"/>
        <w:w w:val="103"/>
        <w:sz w:val="13"/>
        <w:szCs w:val="13"/>
      </w:rPr>
    </w:lvl>
    <w:lvl w:ilvl="1">
      <w:start w:val="0"/>
      <w:numFmt w:val="bullet"/>
      <w:lvlText w:val="•"/>
      <w:lvlJc w:val="left"/>
      <w:pPr>
        <w:ind w:left="2649" w:hanging="234"/>
      </w:pPr>
      <w:rPr>
        <w:rFonts w:hint="default"/>
      </w:rPr>
    </w:lvl>
    <w:lvl w:ilvl="2">
      <w:start w:val="0"/>
      <w:numFmt w:val="bullet"/>
      <w:lvlText w:val="•"/>
      <w:lvlJc w:val="left"/>
      <w:pPr>
        <w:ind w:left="2919" w:hanging="234"/>
      </w:pPr>
      <w:rPr>
        <w:rFonts w:hint="default"/>
      </w:rPr>
    </w:lvl>
    <w:lvl w:ilvl="3">
      <w:start w:val="0"/>
      <w:numFmt w:val="bullet"/>
      <w:lvlText w:val="•"/>
      <w:lvlJc w:val="left"/>
      <w:pPr>
        <w:ind w:left="3189" w:hanging="234"/>
      </w:pPr>
      <w:rPr>
        <w:rFonts w:hint="default"/>
      </w:rPr>
    </w:lvl>
    <w:lvl w:ilvl="4">
      <w:start w:val="0"/>
      <w:numFmt w:val="bullet"/>
      <w:lvlText w:val="•"/>
      <w:lvlJc w:val="left"/>
      <w:pPr>
        <w:ind w:left="3459" w:hanging="234"/>
      </w:pPr>
      <w:rPr>
        <w:rFonts w:hint="default"/>
      </w:rPr>
    </w:lvl>
    <w:lvl w:ilvl="5">
      <w:start w:val="0"/>
      <w:numFmt w:val="bullet"/>
      <w:lvlText w:val="•"/>
      <w:lvlJc w:val="left"/>
      <w:pPr>
        <w:ind w:left="3728" w:hanging="234"/>
      </w:pPr>
      <w:rPr>
        <w:rFonts w:hint="default"/>
      </w:rPr>
    </w:lvl>
    <w:lvl w:ilvl="6">
      <w:start w:val="0"/>
      <w:numFmt w:val="bullet"/>
      <w:lvlText w:val="•"/>
      <w:lvlJc w:val="left"/>
      <w:pPr>
        <w:ind w:left="3998" w:hanging="234"/>
      </w:pPr>
      <w:rPr>
        <w:rFonts w:hint="default"/>
      </w:rPr>
    </w:lvl>
    <w:lvl w:ilvl="7">
      <w:start w:val="0"/>
      <w:numFmt w:val="bullet"/>
      <w:lvlText w:val="•"/>
      <w:lvlJc w:val="left"/>
      <w:pPr>
        <w:ind w:left="4268" w:hanging="234"/>
      </w:pPr>
      <w:rPr>
        <w:rFonts w:hint="default"/>
      </w:rPr>
    </w:lvl>
    <w:lvl w:ilvl="8">
      <w:start w:val="0"/>
      <w:numFmt w:val="bullet"/>
      <w:lvlText w:val="•"/>
      <w:lvlJc w:val="left"/>
      <w:pPr>
        <w:ind w:left="4538" w:hanging="234"/>
      </w:pPr>
      <w:rPr>
        <w:rFonts w:hint="default"/>
      </w:rPr>
    </w:lvl>
  </w:abstractNum>
  <w:abstractNum w:abstractNumId="13">
    <w:multiLevelType w:val="hybridMultilevel"/>
    <w:lvl w:ilvl="0">
      <w:start w:val="10"/>
      <w:numFmt w:val="decimal"/>
      <w:lvlText w:val="%1"/>
      <w:lvlJc w:val="left"/>
      <w:pPr>
        <w:ind w:left="2408" w:hanging="254"/>
        <w:jc w:val="left"/>
      </w:pPr>
      <w:rPr>
        <w:rFonts w:hint="default" w:ascii="Calibri" w:hAnsi="Calibri" w:eastAsia="Calibri" w:cs="Calibri"/>
        <w:w w:val="103"/>
        <w:sz w:val="13"/>
        <w:szCs w:val="13"/>
      </w:rPr>
    </w:lvl>
    <w:lvl w:ilvl="1">
      <w:start w:val="0"/>
      <w:numFmt w:val="bullet"/>
      <w:lvlText w:val="•"/>
      <w:lvlJc w:val="left"/>
      <w:pPr>
        <w:ind w:left="3198" w:hanging="254"/>
      </w:pPr>
      <w:rPr>
        <w:rFonts w:hint="default"/>
      </w:rPr>
    </w:lvl>
    <w:lvl w:ilvl="2">
      <w:start w:val="0"/>
      <w:numFmt w:val="bullet"/>
      <w:lvlText w:val="•"/>
      <w:lvlJc w:val="left"/>
      <w:pPr>
        <w:ind w:left="3996" w:hanging="254"/>
      </w:pPr>
      <w:rPr>
        <w:rFonts w:hint="default"/>
      </w:rPr>
    </w:lvl>
    <w:lvl w:ilvl="3">
      <w:start w:val="0"/>
      <w:numFmt w:val="bullet"/>
      <w:lvlText w:val="•"/>
      <w:lvlJc w:val="left"/>
      <w:pPr>
        <w:ind w:left="4794" w:hanging="254"/>
      </w:pPr>
      <w:rPr>
        <w:rFonts w:hint="default"/>
      </w:rPr>
    </w:lvl>
    <w:lvl w:ilvl="4">
      <w:start w:val="0"/>
      <w:numFmt w:val="bullet"/>
      <w:lvlText w:val="•"/>
      <w:lvlJc w:val="left"/>
      <w:pPr>
        <w:ind w:left="5592" w:hanging="254"/>
      </w:pPr>
      <w:rPr>
        <w:rFonts w:hint="default"/>
      </w:rPr>
    </w:lvl>
    <w:lvl w:ilvl="5">
      <w:start w:val="0"/>
      <w:numFmt w:val="bullet"/>
      <w:lvlText w:val="•"/>
      <w:lvlJc w:val="left"/>
      <w:pPr>
        <w:ind w:left="6390" w:hanging="254"/>
      </w:pPr>
      <w:rPr>
        <w:rFonts w:hint="default"/>
      </w:rPr>
    </w:lvl>
    <w:lvl w:ilvl="6">
      <w:start w:val="0"/>
      <w:numFmt w:val="bullet"/>
      <w:lvlText w:val="•"/>
      <w:lvlJc w:val="left"/>
      <w:pPr>
        <w:ind w:left="7188" w:hanging="254"/>
      </w:pPr>
      <w:rPr>
        <w:rFonts w:hint="default"/>
      </w:rPr>
    </w:lvl>
    <w:lvl w:ilvl="7">
      <w:start w:val="0"/>
      <w:numFmt w:val="bullet"/>
      <w:lvlText w:val="•"/>
      <w:lvlJc w:val="left"/>
      <w:pPr>
        <w:ind w:left="7986" w:hanging="254"/>
      </w:pPr>
      <w:rPr>
        <w:rFonts w:hint="default"/>
      </w:rPr>
    </w:lvl>
    <w:lvl w:ilvl="8">
      <w:start w:val="0"/>
      <w:numFmt w:val="bullet"/>
      <w:lvlText w:val="•"/>
      <w:lvlJc w:val="left"/>
      <w:pPr>
        <w:ind w:left="8784" w:hanging="254"/>
      </w:pPr>
      <w:rPr>
        <w:rFonts w:hint="default"/>
      </w:rPr>
    </w:lvl>
  </w:abstractNum>
  <w:abstractNum w:abstractNumId="12">
    <w:multiLevelType w:val="hybridMultilevel"/>
    <w:lvl w:ilvl="0">
      <w:start w:val="3"/>
      <w:numFmt w:val="upperRoman"/>
      <w:lvlText w:val="%1."/>
      <w:lvlJc w:val="left"/>
      <w:pPr>
        <w:ind w:left="554" w:hanging="187"/>
        <w:jc w:val="left"/>
      </w:pPr>
      <w:rPr>
        <w:rFonts w:hint="default" w:ascii="Calibri" w:hAnsi="Calibri" w:eastAsia="Calibri" w:cs="Calibri"/>
        <w:color w:val="585858"/>
        <w:w w:val="100"/>
        <w:sz w:val="15"/>
        <w:szCs w:val="15"/>
      </w:rPr>
    </w:lvl>
    <w:lvl w:ilvl="1">
      <w:start w:val="1"/>
      <w:numFmt w:val="upperRoman"/>
      <w:lvlText w:val="%2."/>
      <w:lvlJc w:val="left"/>
      <w:pPr>
        <w:ind w:left="795" w:hanging="111"/>
        <w:jc w:val="left"/>
      </w:pPr>
      <w:rPr>
        <w:rFonts w:hint="default" w:ascii="Calibri" w:hAnsi="Calibri" w:eastAsia="Calibri" w:cs="Calibri"/>
        <w:color w:val="585858"/>
        <w:w w:val="100"/>
        <w:sz w:val="15"/>
        <w:szCs w:val="15"/>
      </w:rPr>
    </w:lvl>
    <w:lvl w:ilvl="2">
      <w:start w:val="0"/>
      <w:numFmt w:val="bullet"/>
      <w:lvlText w:val="•"/>
      <w:lvlJc w:val="left"/>
      <w:pPr>
        <w:ind w:left="1502" w:hanging="111"/>
      </w:pPr>
      <w:rPr>
        <w:rFonts w:hint="default"/>
      </w:rPr>
    </w:lvl>
    <w:lvl w:ilvl="3">
      <w:start w:val="0"/>
      <w:numFmt w:val="bullet"/>
      <w:lvlText w:val="•"/>
      <w:lvlJc w:val="left"/>
      <w:pPr>
        <w:ind w:left="2205" w:hanging="111"/>
      </w:pPr>
      <w:rPr>
        <w:rFonts w:hint="default"/>
      </w:rPr>
    </w:lvl>
    <w:lvl w:ilvl="4">
      <w:start w:val="0"/>
      <w:numFmt w:val="bullet"/>
      <w:lvlText w:val="•"/>
      <w:lvlJc w:val="left"/>
      <w:pPr>
        <w:ind w:left="2908" w:hanging="111"/>
      </w:pPr>
      <w:rPr>
        <w:rFonts w:hint="default"/>
      </w:rPr>
    </w:lvl>
    <w:lvl w:ilvl="5">
      <w:start w:val="0"/>
      <w:numFmt w:val="bullet"/>
      <w:lvlText w:val="•"/>
      <w:lvlJc w:val="left"/>
      <w:pPr>
        <w:ind w:left="3611" w:hanging="111"/>
      </w:pPr>
      <w:rPr>
        <w:rFonts w:hint="default"/>
      </w:rPr>
    </w:lvl>
    <w:lvl w:ilvl="6">
      <w:start w:val="0"/>
      <w:numFmt w:val="bullet"/>
      <w:lvlText w:val="•"/>
      <w:lvlJc w:val="left"/>
      <w:pPr>
        <w:ind w:left="4313" w:hanging="111"/>
      </w:pPr>
      <w:rPr>
        <w:rFonts w:hint="default"/>
      </w:rPr>
    </w:lvl>
    <w:lvl w:ilvl="7">
      <w:start w:val="0"/>
      <w:numFmt w:val="bullet"/>
      <w:lvlText w:val="•"/>
      <w:lvlJc w:val="left"/>
      <w:pPr>
        <w:ind w:left="5016" w:hanging="111"/>
      </w:pPr>
      <w:rPr>
        <w:rFonts w:hint="default"/>
      </w:rPr>
    </w:lvl>
    <w:lvl w:ilvl="8">
      <w:start w:val="0"/>
      <w:numFmt w:val="bullet"/>
      <w:lvlText w:val="•"/>
      <w:lvlJc w:val="left"/>
      <w:pPr>
        <w:ind w:left="5719" w:hanging="111"/>
      </w:pPr>
      <w:rPr>
        <w:rFonts w:hint="default"/>
      </w:rPr>
    </w:lvl>
  </w:abstractNum>
  <w:abstractNum w:abstractNumId="11">
    <w:multiLevelType w:val="hybridMultilevel"/>
    <w:lvl w:ilvl="0">
      <w:start w:val="0"/>
      <w:numFmt w:val="bullet"/>
      <w:lvlText w:val="-"/>
      <w:lvlJc w:val="left"/>
      <w:pPr>
        <w:ind w:left="2690" w:hanging="303"/>
      </w:pPr>
      <w:rPr>
        <w:rFonts w:hint="default" w:ascii="Calibri" w:hAnsi="Calibri" w:eastAsia="Calibri" w:cs="Calibri"/>
        <w:w w:val="100"/>
        <w:sz w:val="20"/>
        <w:szCs w:val="20"/>
      </w:rPr>
    </w:lvl>
    <w:lvl w:ilvl="1">
      <w:start w:val="0"/>
      <w:numFmt w:val="bullet"/>
      <w:lvlText w:val="•"/>
      <w:lvlJc w:val="left"/>
      <w:pPr>
        <w:ind w:left="3468" w:hanging="303"/>
      </w:pPr>
      <w:rPr>
        <w:rFonts w:hint="default"/>
      </w:rPr>
    </w:lvl>
    <w:lvl w:ilvl="2">
      <w:start w:val="0"/>
      <w:numFmt w:val="bullet"/>
      <w:lvlText w:val="•"/>
      <w:lvlJc w:val="left"/>
      <w:pPr>
        <w:ind w:left="4236" w:hanging="303"/>
      </w:pPr>
      <w:rPr>
        <w:rFonts w:hint="default"/>
      </w:rPr>
    </w:lvl>
    <w:lvl w:ilvl="3">
      <w:start w:val="0"/>
      <w:numFmt w:val="bullet"/>
      <w:lvlText w:val="•"/>
      <w:lvlJc w:val="left"/>
      <w:pPr>
        <w:ind w:left="5004" w:hanging="303"/>
      </w:pPr>
      <w:rPr>
        <w:rFonts w:hint="default"/>
      </w:rPr>
    </w:lvl>
    <w:lvl w:ilvl="4">
      <w:start w:val="0"/>
      <w:numFmt w:val="bullet"/>
      <w:lvlText w:val="•"/>
      <w:lvlJc w:val="left"/>
      <w:pPr>
        <w:ind w:left="5772" w:hanging="303"/>
      </w:pPr>
      <w:rPr>
        <w:rFonts w:hint="default"/>
      </w:rPr>
    </w:lvl>
    <w:lvl w:ilvl="5">
      <w:start w:val="0"/>
      <w:numFmt w:val="bullet"/>
      <w:lvlText w:val="•"/>
      <w:lvlJc w:val="left"/>
      <w:pPr>
        <w:ind w:left="6540" w:hanging="303"/>
      </w:pPr>
      <w:rPr>
        <w:rFonts w:hint="default"/>
      </w:rPr>
    </w:lvl>
    <w:lvl w:ilvl="6">
      <w:start w:val="0"/>
      <w:numFmt w:val="bullet"/>
      <w:lvlText w:val="•"/>
      <w:lvlJc w:val="left"/>
      <w:pPr>
        <w:ind w:left="7308" w:hanging="303"/>
      </w:pPr>
      <w:rPr>
        <w:rFonts w:hint="default"/>
      </w:rPr>
    </w:lvl>
    <w:lvl w:ilvl="7">
      <w:start w:val="0"/>
      <w:numFmt w:val="bullet"/>
      <w:lvlText w:val="•"/>
      <w:lvlJc w:val="left"/>
      <w:pPr>
        <w:ind w:left="8076" w:hanging="303"/>
      </w:pPr>
      <w:rPr>
        <w:rFonts w:hint="default"/>
      </w:rPr>
    </w:lvl>
    <w:lvl w:ilvl="8">
      <w:start w:val="0"/>
      <w:numFmt w:val="bullet"/>
      <w:lvlText w:val="•"/>
      <w:lvlJc w:val="left"/>
      <w:pPr>
        <w:ind w:left="8844" w:hanging="303"/>
      </w:pPr>
      <w:rPr>
        <w:rFonts w:hint="default"/>
      </w:rPr>
    </w:lvl>
  </w:abstractNum>
  <w:abstractNum w:abstractNumId="10">
    <w:multiLevelType w:val="hybridMultilevel"/>
    <w:lvl w:ilvl="0">
      <w:start w:val="2"/>
      <w:numFmt w:val="upperRoman"/>
      <w:lvlText w:val="%1."/>
      <w:lvlJc w:val="left"/>
      <w:pPr>
        <w:ind w:left="257" w:hanging="149"/>
        <w:jc w:val="left"/>
      </w:pPr>
      <w:rPr>
        <w:rFonts w:hint="default" w:ascii="Calibri" w:hAnsi="Calibri" w:eastAsia="Calibri" w:cs="Calibri"/>
        <w:color w:val="585858"/>
        <w:w w:val="100"/>
        <w:sz w:val="15"/>
        <w:szCs w:val="15"/>
      </w:rPr>
    </w:lvl>
    <w:lvl w:ilvl="1">
      <w:start w:val="1"/>
      <w:numFmt w:val="upperRoman"/>
      <w:lvlText w:val="%2."/>
      <w:lvlJc w:val="left"/>
      <w:pPr>
        <w:ind w:left="1131" w:hanging="111"/>
        <w:jc w:val="left"/>
      </w:pPr>
      <w:rPr>
        <w:rFonts w:hint="default" w:ascii="Calibri" w:hAnsi="Calibri" w:eastAsia="Calibri" w:cs="Calibri"/>
        <w:color w:val="585858"/>
        <w:w w:val="100"/>
        <w:sz w:val="15"/>
        <w:szCs w:val="15"/>
      </w:rPr>
    </w:lvl>
    <w:lvl w:ilvl="2">
      <w:start w:val="0"/>
      <w:numFmt w:val="bullet"/>
      <w:lvlText w:val="•"/>
      <w:lvlJc w:val="left"/>
      <w:pPr>
        <w:ind w:left="1800" w:hanging="111"/>
      </w:pPr>
      <w:rPr>
        <w:rFonts w:hint="default"/>
      </w:rPr>
    </w:lvl>
    <w:lvl w:ilvl="3">
      <w:start w:val="0"/>
      <w:numFmt w:val="bullet"/>
      <w:lvlText w:val="•"/>
      <w:lvlJc w:val="left"/>
      <w:pPr>
        <w:ind w:left="2461" w:hanging="111"/>
      </w:pPr>
      <w:rPr>
        <w:rFonts w:hint="default"/>
      </w:rPr>
    </w:lvl>
    <w:lvl w:ilvl="4">
      <w:start w:val="0"/>
      <w:numFmt w:val="bullet"/>
      <w:lvlText w:val="•"/>
      <w:lvlJc w:val="left"/>
      <w:pPr>
        <w:ind w:left="3122" w:hanging="111"/>
      </w:pPr>
      <w:rPr>
        <w:rFonts w:hint="default"/>
      </w:rPr>
    </w:lvl>
    <w:lvl w:ilvl="5">
      <w:start w:val="0"/>
      <w:numFmt w:val="bullet"/>
      <w:lvlText w:val="•"/>
      <w:lvlJc w:val="left"/>
      <w:pPr>
        <w:ind w:left="3783" w:hanging="111"/>
      </w:pPr>
      <w:rPr>
        <w:rFonts w:hint="default"/>
      </w:rPr>
    </w:lvl>
    <w:lvl w:ilvl="6">
      <w:start w:val="0"/>
      <w:numFmt w:val="bullet"/>
      <w:lvlText w:val="•"/>
      <w:lvlJc w:val="left"/>
      <w:pPr>
        <w:ind w:left="4444" w:hanging="111"/>
      </w:pPr>
      <w:rPr>
        <w:rFonts w:hint="default"/>
      </w:rPr>
    </w:lvl>
    <w:lvl w:ilvl="7">
      <w:start w:val="0"/>
      <w:numFmt w:val="bullet"/>
      <w:lvlText w:val="•"/>
      <w:lvlJc w:val="left"/>
      <w:pPr>
        <w:ind w:left="5105" w:hanging="111"/>
      </w:pPr>
      <w:rPr>
        <w:rFonts w:hint="default"/>
      </w:rPr>
    </w:lvl>
    <w:lvl w:ilvl="8">
      <w:start w:val="0"/>
      <w:numFmt w:val="bullet"/>
      <w:lvlText w:val="•"/>
      <w:lvlJc w:val="left"/>
      <w:pPr>
        <w:ind w:left="5766" w:hanging="111"/>
      </w:pPr>
      <w:rPr>
        <w:rFonts w:hint="default"/>
      </w:rPr>
    </w:lvl>
  </w:abstractNum>
  <w:abstractNum w:abstractNumId="9">
    <w:multiLevelType w:val="hybridMultilevel"/>
    <w:lvl w:ilvl="0">
      <w:start w:val="4"/>
      <w:numFmt w:val="decimal"/>
      <w:lvlText w:val="%1"/>
      <w:lvlJc w:val="left"/>
      <w:pPr>
        <w:ind w:left="2579" w:hanging="484"/>
        <w:jc w:val="left"/>
      </w:pPr>
      <w:rPr>
        <w:rFonts w:hint="default"/>
      </w:rPr>
    </w:lvl>
    <w:lvl w:ilvl="1">
      <w:start w:val="1"/>
      <w:numFmt w:val="decimal"/>
      <w:lvlText w:val="%1.%2"/>
      <w:lvlJc w:val="left"/>
      <w:pPr>
        <w:ind w:left="2579" w:hanging="484"/>
        <w:jc w:val="left"/>
      </w:pPr>
      <w:rPr>
        <w:rFonts w:hint="default" w:ascii="Calibri" w:hAnsi="Calibri" w:eastAsia="Calibri" w:cs="Calibri"/>
        <w:b/>
        <w:bCs/>
        <w:color w:val="53A1B9"/>
        <w:w w:val="100"/>
        <w:sz w:val="20"/>
        <w:szCs w:val="20"/>
      </w:rPr>
    </w:lvl>
    <w:lvl w:ilvl="2">
      <w:start w:val="1"/>
      <w:numFmt w:val="decimal"/>
      <w:lvlText w:val="%1.%2.%3"/>
      <w:lvlJc w:val="left"/>
      <w:pPr>
        <w:ind w:left="2690" w:hanging="605"/>
        <w:jc w:val="left"/>
      </w:pPr>
      <w:rPr>
        <w:rFonts w:hint="default" w:ascii="Calibri" w:hAnsi="Calibri" w:eastAsia="Calibri" w:cs="Calibri"/>
        <w:b/>
        <w:bCs/>
        <w:color w:val="53A1B9"/>
        <w:spacing w:val="-1"/>
        <w:w w:val="100"/>
        <w:sz w:val="20"/>
        <w:szCs w:val="20"/>
      </w:rPr>
    </w:lvl>
    <w:lvl w:ilvl="3">
      <w:start w:val="1"/>
      <w:numFmt w:val="decimal"/>
      <w:lvlText w:val="%1.%2.%3.%4."/>
      <w:lvlJc w:val="left"/>
      <w:pPr>
        <w:ind w:left="2767" w:hanging="671"/>
        <w:jc w:val="left"/>
      </w:pPr>
      <w:rPr>
        <w:rFonts w:hint="default" w:ascii="Calibri" w:hAnsi="Calibri" w:eastAsia="Calibri" w:cs="Calibri"/>
        <w:b/>
        <w:bCs/>
        <w:spacing w:val="-1"/>
        <w:w w:val="100"/>
        <w:sz w:val="20"/>
        <w:szCs w:val="20"/>
      </w:rPr>
    </w:lvl>
    <w:lvl w:ilvl="4">
      <w:start w:val="0"/>
      <w:numFmt w:val="bullet"/>
      <w:lvlText w:val="•"/>
      <w:lvlJc w:val="left"/>
      <w:pPr>
        <w:ind w:left="3489" w:hanging="671"/>
      </w:pPr>
      <w:rPr>
        <w:rFonts w:hint="default"/>
      </w:rPr>
    </w:lvl>
    <w:lvl w:ilvl="5">
      <w:start w:val="0"/>
      <w:numFmt w:val="bullet"/>
      <w:lvlText w:val="•"/>
      <w:lvlJc w:val="left"/>
      <w:pPr>
        <w:ind w:left="4218" w:hanging="671"/>
      </w:pPr>
      <w:rPr>
        <w:rFonts w:hint="default"/>
      </w:rPr>
    </w:lvl>
    <w:lvl w:ilvl="6">
      <w:start w:val="0"/>
      <w:numFmt w:val="bullet"/>
      <w:lvlText w:val="•"/>
      <w:lvlJc w:val="left"/>
      <w:pPr>
        <w:ind w:left="4947" w:hanging="671"/>
      </w:pPr>
      <w:rPr>
        <w:rFonts w:hint="default"/>
      </w:rPr>
    </w:lvl>
    <w:lvl w:ilvl="7">
      <w:start w:val="0"/>
      <w:numFmt w:val="bullet"/>
      <w:lvlText w:val="•"/>
      <w:lvlJc w:val="left"/>
      <w:pPr>
        <w:ind w:left="5677" w:hanging="671"/>
      </w:pPr>
      <w:rPr>
        <w:rFonts w:hint="default"/>
      </w:rPr>
    </w:lvl>
    <w:lvl w:ilvl="8">
      <w:start w:val="0"/>
      <w:numFmt w:val="bullet"/>
      <w:lvlText w:val="•"/>
      <w:lvlJc w:val="left"/>
      <w:pPr>
        <w:ind w:left="6406" w:hanging="671"/>
      </w:pPr>
      <w:rPr>
        <w:rFonts w:hint="default"/>
      </w:rPr>
    </w:lvl>
  </w:abstractNum>
  <w:abstractNum w:abstractNumId="8">
    <w:multiLevelType w:val="hybridMultilevel"/>
    <w:lvl w:ilvl="0">
      <w:start w:val="1"/>
      <w:numFmt w:val="decimal"/>
      <w:lvlText w:val="%1."/>
      <w:lvlJc w:val="left"/>
      <w:pPr>
        <w:ind w:left="2690" w:hanging="357"/>
        <w:jc w:val="left"/>
      </w:pPr>
      <w:rPr>
        <w:rFonts w:hint="default" w:ascii="Calibri" w:hAnsi="Calibri" w:eastAsia="Calibri" w:cs="Calibri"/>
        <w:w w:val="100"/>
        <w:sz w:val="20"/>
        <w:szCs w:val="20"/>
      </w:rPr>
    </w:lvl>
    <w:lvl w:ilvl="1">
      <w:start w:val="1"/>
      <w:numFmt w:val="decimal"/>
      <w:lvlText w:val="%1.%2."/>
      <w:lvlJc w:val="left"/>
      <w:pPr>
        <w:ind w:left="3285" w:hanging="595"/>
        <w:jc w:val="left"/>
      </w:pPr>
      <w:rPr>
        <w:rFonts w:hint="default" w:ascii="Calibri" w:hAnsi="Calibri" w:eastAsia="Calibri" w:cs="Calibri"/>
        <w:w w:val="100"/>
        <w:sz w:val="20"/>
        <w:szCs w:val="20"/>
      </w:rPr>
    </w:lvl>
    <w:lvl w:ilvl="2">
      <w:start w:val="1"/>
      <w:numFmt w:val="decimal"/>
      <w:lvlText w:val="%1.%2.%3."/>
      <w:lvlJc w:val="left"/>
      <w:pPr>
        <w:ind w:left="3926" w:hanging="996"/>
        <w:jc w:val="left"/>
      </w:pPr>
      <w:rPr>
        <w:rFonts w:hint="default" w:ascii="Calibri" w:hAnsi="Calibri" w:eastAsia="Calibri" w:cs="Calibri"/>
        <w:spacing w:val="-1"/>
        <w:w w:val="100"/>
        <w:sz w:val="20"/>
        <w:szCs w:val="20"/>
      </w:rPr>
    </w:lvl>
    <w:lvl w:ilvl="3">
      <w:start w:val="0"/>
      <w:numFmt w:val="bullet"/>
      <w:lvlText w:val="•"/>
      <w:lvlJc w:val="left"/>
      <w:pPr>
        <w:ind w:left="4727" w:hanging="996"/>
      </w:pPr>
      <w:rPr>
        <w:rFonts w:hint="default"/>
      </w:rPr>
    </w:lvl>
    <w:lvl w:ilvl="4">
      <w:start w:val="0"/>
      <w:numFmt w:val="bullet"/>
      <w:lvlText w:val="•"/>
      <w:lvlJc w:val="left"/>
      <w:pPr>
        <w:ind w:left="5535" w:hanging="996"/>
      </w:pPr>
      <w:rPr>
        <w:rFonts w:hint="default"/>
      </w:rPr>
    </w:lvl>
    <w:lvl w:ilvl="5">
      <w:start w:val="0"/>
      <w:numFmt w:val="bullet"/>
      <w:lvlText w:val="•"/>
      <w:lvlJc w:val="left"/>
      <w:pPr>
        <w:ind w:left="6342" w:hanging="996"/>
      </w:pPr>
      <w:rPr>
        <w:rFonts w:hint="default"/>
      </w:rPr>
    </w:lvl>
    <w:lvl w:ilvl="6">
      <w:start w:val="0"/>
      <w:numFmt w:val="bullet"/>
      <w:lvlText w:val="•"/>
      <w:lvlJc w:val="left"/>
      <w:pPr>
        <w:ind w:left="7150" w:hanging="996"/>
      </w:pPr>
      <w:rPr>
        <w:rFonts w:hint="default"/>
      </w:rPr>
    </w:lvl>
    <w:lvl w:ilvl="7">
      <w:start w:val="0"/>
      <w:numFmt w:val="bullet"/>
      <w:lvlText w:val="•"/>
      <w:lvlJc w:val="left"/>
      <w:pPr>
        <w:ind w:left="7957" w:hanging="996"/>
      </w:pPr>
      <w:rPr>
        <w:rFonts w:hint="default"/>
      </w:rPr>
    </w:lvl>
    <w:lvl w:ilvl="8">
      <w:start w:val="0"/>
      <w:numFmt w:val="bullet"/>
      <w:lvlText w:val="•"/>
      <w:lvlJc w:val="left"/>
      <w:pPr>
        <w:ind w:left="8765" w:hanging="996"/>
      </w:pPr>
      <w:rPr>
        <w:rFonts w:hint="default"/>
      </w:rPr>
    </w:lvl>
  </w:abstractNum>
  <w:abstractNum w:abstractNumId="7">
    <w:multiLevelType w:val="hybridMultilevel"/>
    <w:lvl w:ilvl="0">
      <w:start w:val="1"/>
      <w:numFmt w:val="decimal"/>
      <w:lvlText w:val="%1."/>
      <w:lvlJc w:val="left"/>
      <w:pPr>
        <w:ind w:left="2396" w:hanging="301"/>
        <w:jc w:val="left"/>
      </w:pPr>
      <w:rPr>
        <w:rFonts w:hint="default" w:ascii="Calibri" w:hAnsi="Calibri" w:eastAsia="Calibri" w:cs="Calibri"/>
        <w:w w:val="100"/>
        <w:sz w:val="20"/>
        <w:szCs w:val="20"/>
      </w:rPr>
    </w:lvl>
    <w:lvl w:ilvl="1">
      <w:start w:val="0"/>
      <w:numFmt w:val="bullet"/>
      <w:lvlText w:val="•"/>
      <w:lvlJc w:val="left"/>
      <w:pPr>
        <w:ind w:left="2690" w:hanging="236"/>
      </w:pPr>
      <w:rPr>
        <w:rFonts w:hint="default" w:ascii="Calibri" w:hAnsi="Calibri" w:eastAsia="Calibri" w:cs="Calibri"/>
        <w:w w:val="100"/>
        <w:sz w:val="20"/>
        <w:szCs w:val="20"/>
      </w:rPr>
    </w:lvl>
    <w:lvl w:ilvl="2">
      <w:start w:val="0"/>
      <w:numFmt w:val="bullet"/>
      <w:lvlText w:val="•"/>
      <w:lvlJc w:val="left"/>
      <w:pPr>
        <w:ind w:left="3553" w:hanging="236"/>
      </w:pPr>
      <w:rPr>
        <w:rFonts w:hint="default"/>
      </w:rPr>
    </w:lvl>
    <w:lvl w:ilvl="3">
      <w:start w:val="0"/>
      <w:numFmt w:val="bullet"/>
      <w:lvlText w:val="•"/>
      <w:lvlJc w:val="left"/>
      <w:pPr>
        <w:ind w:left="4406" w:hanging="236"/>
      </w:pPr>
      <w:rPr>
        <w:rFonts w:hint="default"/>
      </w:rPr>
    </w:lvl>
    <w:lvl w:ilvl="4">
      <w:start w:val="0"/>
      <w:numFmt w:val="bullet"/>
      <w:lvlText w:val="•"/>
      <w:lvlJc w:val="left"/>
      <w:pPr>
        <w:ind w:left="5260" w:hanging="236"/>
      </w:pPr>
      <w:rPr>
        <w:rFonts w:hint="default"/>
      </w:rPr>
    </w:lvl>
    <w:lvl w:ilvl="5">
      <w:start w:val="0"/>
      <w:numFmt w:val="bullet"/>
      <w:lvlText w:val="•"/>
      <w:lvlJc w:val="left"/>
      <w:pPr>
        <w:ind w:left="6113" w:hanging="236"/>
      </w:pPr>
      <w:rPr>
        <w:rFonts w:hint="default"/>
      </w:rPr>
    </w:lvl>
    <w:lvl w:ilvl="6">
      <w:start w:val="0"/>
      <w:numFmt w:val="bullet"/>
      <w:lvlText w:val="•"/>
      <w:lvlJc w:val="left"/>
      <w:pPr>
        <w:ind w:left="6966" w:hanging="236"/>
      </w:pPr>
      <w:rPr>
        <w:rFonts w:hint="default"/>
      </w:rPr>
    </w:lvl>
    <w:lvl w:ilvl="7">
      <w:start w:val="0"/>
      <w:numFmt w:val="bullet"/>
      <w:lvlText w:val="•"/>
      <w:lvlJc w:val="left"/>
      <w:pPr>
        <w:ind w:left="7820" w:hanging="236"/>
      </w:pPr>
      <w:rPr>
        <w:rFonts w:hint="default"/>
      </w:rPr>
    </w:lvl>
    <w:lvl w:ilvl="8">
      <w:start w:val="0"/>
      <w:numFmt w:val="bullet"/>
      <w:lvlText w:val="•"/>
      <w:lvlJc w:val="left"/>
      <w:pPr>
        <w:ind w:left="8673" w:hanging="236"/>
      </w:pPr>
      <w:rPr>
        <w:rFonts w:hint="default"/>
      </w:rPr>
    </w:lvl>
  </w:abstractNum>
  <w:abstractNum w:abstractNumId="6">
    <w:multiLevelType w:val="hybridMultilevel"/>
    <w:lvl w:ilvl="0">
      <w:start w:val="3"/>
      <w:numFmt w:val="decimal"/>
      <w:lvlText w:val="%1"/>
      <w:lvlJc w:val="left"/>
      <w:pPr>
        <w:ind w:left="2579" w:hanging="484"/>
        <w:jc w:val="left"/>
      </w:pPr>
      <w:rPr>
        <w:rFonts w:hint="default"/>
      </w:rPr>
    </w:lvl>
    <w:lvl w:ilvl="1">
      <w:start w:val="1"/>
      <w:numFmt w:val="decimal"/>
      <w:lvlText w:val="%1.%2"/>
      <w:lvlJc w:val="left"/>
      <w:pPr>
        <w:ind w:left="2579" w:hanging="484"/>
        <w:jc w:val="left"/>
      </w:pPr>
      <w:rPr>
        <w:rFonts w:hint="default" w:ascii="Calibri" w:hAnsi="Calibri" w:eastAsia="Calibri" w:cs="Calibri"/>
        <w:b/>
        <w:bCs/>
        <w:color w:val="53A1B9"/>
        <w:w w:val="100"/>
        <w:sz w:val="20"/>
        <w:szCs w:val="20"/>
      </w:rPr>
    </w:lvl>
    <w:lvl w:ilvl="2">
      <w:start w:val="1"/>
      <w:numFmt w:val="decimal"/>
      <w:lvlText w:val="%1.%2.%3"/>
      <w:lvlJc w:val="left"/>
      <w:pPr>
        <w:ind w:left="2571" w:hanging="476"/>
        <w:jc w:val="left"/>
      </w:pPr>
      <w:rPr>
        <w:rFonts w:hint="default" w:ascii="Calibri" w:hAnsi="Calibri" w:eastAsia="Calibri" w:cs="Calibri"/>
        <w:b/>
        <w:bCs/>
        <w:color w:val="53A1B9"/>
        <w:spacing w:val="-1"/>
        <w:w w:val="100"/>
        <w:sz w:val="20"/>
        <w:szCs w:val="20"/>
      </w:rPr>
    </w:lvl>
    <w:lvl w:ilvl="3">
      <w:start w:val="0"/>
      <w:numFmt w:val="bullet"/>
      <w:lvlText w:val="•"/>
      <w:lvlJc w:val="left"/>
      <w:pPr>
        <w:ind w:left="2690" w:hanging="236"/>
      </w:pPr>
      <w:rPr>
        <w:rFonts w:hint="default" w:ascii="Calibri" w:hAnsi="Calibri" w:eastAsia="Calibri" w:cs="Calibri"/>
        <w:w w:val="100"/>
        <w:sz w:val="20"/>
        <w:szCs w:val="20"/>
      </w:rPr>
    </w:lvl>
    <w:lvl w:ilvl="4">
      <w:start w:val="0"/>
      <w:numFmt w:val="bullet"/>
      <w:lvlText w:val="•"/>
      <w:lvlJc w:val="left"/>
      <w:pPr>
        <w:ind w:left="5260" w:hanging="236"/>
      </w:pPr>
      <w:rPr>
        <w:rFonts w:hint="default"/>
      </w:rPr>
    </w:lvl>
    <w:lvl w:ilvl="5">
      <w:start w:val="0"/>
      <w:numFmt w:val="bullet"/>
      <w:lvlText w:val="•"/>
      <w:lvlJc w:val="left"/>
      <w:pPr>
        <w:ind w:left="6113" w:hanging="236"/>
      </w:pPr>
      <w:rPr>
        <w:rFonts w:hint="default"/>
      </w:rPr>
    </w:lvl>
    <w:lvl w:ilvl="6">
      <w:start w:val="0"/>
      <w:numFmt w:val="bullet"/>
      <w:lvlText w:val="•"/>
      <w:lvlJc w:val="left"/>
      <w:pPr>
        <w:ind w:left="6966" w:hanging="236"/>
      </w:pPr>
      <w:rPr>
        <w:rFonts w:hint="default"/>
      </w:rPr>
    </w:lvl>
    <w:lvl w:ilvl="7">
      <w:start w:val="0"/>
      <w:numFmt w:val="bullet"/>
      <w:lvlText w:val="•"/>
      <w:lvlJc w:val="left"/>
      <w:pPr>
        <w:ind w:left="7820" w:hanging="236"/>
      </w:pPr>
      <w:rPr>
        <w:rFonts w:hint="default"/>
      </w:rPr>
    </w:lvl>
    <w:lvl w:ilvl="8">
      <w:start w:val="0"/>
      <w:numFmt w:val="bullet"/>
      <w:lvlText w:val="•"/>
      <w:lvlJc w:val="left"/>
      <w:pPr>
        <w:ind w:left="8673" w:hanging="236"/>
      </w:pPr>
      <w:rPr>
        <w:rFonts w:hint="default"/>
      </w:rPr>
    </w:lvl>
  </w:abstractNum>
  <w:abstractNum w:abstractNumId="5">
    <w:multiLevelType w:val="hybridMultilevel"/>
    <w:lvl w:ilvl="0">
      <w:start w:val="0"/>
      <w:numFmt w:val="bullet"/>
      <w:lvlText w:val=""/>
      <w:lvlJc w:val="left"/>
      <w:pPr>
        <w:ind w:left="2700" w:hanging="303"/>
      </w:pPr>
      <w:rPr>
        <w:rFonts w:hint="default" w:ascii="Symbol" w:hAnsi="Symbol" w:eastAsia="Symbol" w:cs="Symbol"/>
        <w:w w:val="100"/>
        <w:sz w:val="20"/>
        <w:szCs w:val="20"/>
      </w:rPr>
    </w:lvl>
    <w:lvl w:ilvl="1">
      <w:start w:val="0"/>
      <w:numFmt w:val="bullet"/>
      <w:lvlText w:val="•"/>
      <w:lvlJc w:val="left"/>
      <w:pPr>
        <w:ind w:left="3060" w:hanging="303"/>
      </w:pPr>
      <w:rPr>
        <w:rFonts w:hint="default"/>
      </w:rPr>
    </w:lvl>
    <w:lvl w:ilvl="2">
      <w:start w:val="0"/>
      <w:numFmt w:val="bullet"/>
      <w:lvlText w:val="•"/>
      <w:lvlJc w:val="left"/>
      <w:pPr>
        <w:ind w:left="3873" w:hanging="303"/>
      </w:pPr>
      <w:rPr>
        <w:rFonts w:hint="default"/>
      </w:rPr>
    </w:lvl>
    <w:lvl w:ilvl="3">
      <w:start w:val="0"/>
      <w:numFmt w:val="bullet"/>
      <w:lvlText w:val="•"/>
      <w:lvlJc w:val="left"/>
      <w:pPr>
        <w:ind w:left="4686" w:hanging="303"/>
      </w:pPr>
      <w:rPr>
        <w:rFonts w:hint="default"/>
      </w:rPr>
    </w:lvl>
    <w:lvl w:ilvl="4">
      <w:start w:val="0"/>
      <w:numFmt w:val="bullet"/>
      <w:lvlText w:val="•"/>
      <w:lvlJc w:val="left"/>
      <w:pPr>
        <w:ind w:left="5500" w:hanging="303"/>
      </w:pPr>
      <w:rPr>
        <w:rFonts w:hint="default"/>
      </w:rPr>
    </w:lvl>
    <w:lvl w:ilvl="5">
      <w:start w:val="0"/>
      <w:numFmt w:val="bullet"/>
      <w:lvlText w:val="•"/>
      <w:lvlJc w:val="left"/>
      <w:pPr>
        <w:ind w:left="6313" w:hanging="303"/>
      </w:pPr>
      <w:rPr>
        <w:rFonts w:hint="default"/>
      </w:rPr>
    </w:lvl>
    <w:lvl w:ilvl="6">
      <w:start w:val="0"/>
      <w:numFmt w:val="bullet"/>
      <w:lvlText w:val="•"/>
      <w:lvlJc w:val="left"/>
      <w:pPr>
        <w:ind w:left="7126" w:hanging="303"/>
      </w:pPr>
      <w:rPr>
        <w:rFonts w:hint="default"/>
      </w:rPr>
    </w:lvl>
    <w:lvl w:ilvl="7">
      <w:start w:val="0"/>
      <w:numFmt w:val="bullet"/>
      <w:lvlText w:val="•"/>
      <w:lvlJc w:val="left"/>
      <w:pPr>
        <w:ind w:left="7940" w:hanging="303"/>
      </w:pPr>
      <w:rPr>
        <w:rFonts w:hint="default"/>
      </w:rPr>
    </w:lvl>
    <w:lvl w:ilvl="8">
      <w:start w:val="0"/>
      <w:numFmt w:val="bullet"/>
      <w:lvlText w:val="•"/>
      <w:lvlJc w:val="left"/>
      <w:pPr>
        <w:ind w:left="8753" w:hanging="303"/>
      </w:pPr>
      <w:rPr>
        <w:rFonts w:hint="default"/>
      </w:rPr>
    </w:lvl>
  </w:abstractNum>
  <w:abstractNum w:abstractNumId="4">
    <w:multiLevelType w:val="hybridMultilevel"/>
    <w:lvl w:ilvl="0">
      <w:start w:val="1"/>
      <w:numFmt w:val="lowerLetter"/>
      <w:lvlText w:val="%1."/>
      <w:lvlJc w:val="left"/>
      <w:pPr>
        <w:ind w:left="2700" w:hanging="303"/>
        <w:jc w:val="left"/>
      </w:pPr>
      <w:rPr>
        <w:rFonts w:hint="default" w:ascii="Calibri" w:hAnsi="Calibri" w:eastAsia="Calibri" w:cs="Calibri"/>
        <w:i/>
        <w:spacing w:val="-1"/>
        <w:w w:val="100"/>
        <w:sz w:val="20"/>
        <w:szCs w:val="20"/>
      </w:rPr>
    </w:lvl>
    <w:lvl w:ilvl="1">
      <w:start w:val="0"/>
      <w:numFmt w:val="bullet"/>
      <w:lvlText w:val="•"/>
      <w:lvlJc w:val="left"/>
      <w:pPr>
        <w:ind w:left="3468" w:hanging="303"/>
      </w:pPr>
      <w:rPr>
        <w:rFonts w:hint="default"/>
      </w:rPr>
    </w:lvl>
    <w:lvl w:ilvl="2">
      <w:start w:val="0"/>
      <w:numFmt w:val="bullet"/>
      <w:lvlText w:val="•"/>
      <w:lvlJc w:val="left"/>
      <w:pPr>
        <w:ind w:left="4236" w:hanging="303"/>
      </w:pPr>
      <w:rPr>
        <w:rFonts w:hint="default"/>
      </w:rPr>
    </w:lvl>
    <w:lvl w:ilvl="3">
      <w:start w:val="0"/>
      <w:numFmt w:val="bullet"/>
      <w:lvlText w:val="•"/>
      <w:lvlJc w:val="left"/>
      <w:pPr>
        <w:ind w:left="5004" w:hanging="303"/>
      </w:pPr>
      <w:rPr>
        <w:rFonts w:hint="default"/>
      </w:rPr>
    </w:lvl>
    <w:lvl w:ilvl="4">
      <w:start w:val="0"/>
      <w:numFmt w:val="bullet"/>
      <w:lvlText w:val="•"/>
      <w:lvlJc w:val="left"/>
      <w:pPr>
        <w:ind w:left="5772" w:hanging="303"/>
      </w:pPr>
      <w:rPr>
        <w:rFonts w:hint="default"/>
      </w:rPr>
    </w:lvl>
    <w:lvl w:ilvl="5">
      <w:start w:val="0"/>
      <w:numFmt w:val="bullet"/>
      <w:lvlText w:val="•"/>
      <w:lvlJc w:val="left"/>
      <w:pPr>
        <w:ind w:left="6540" w:hanging="303"/>
      </w:pPr>
      <w:rPr>
        <w:rFonts w:hint="default"/>
      </w:rPr>
    </w:lvl>
    <w:lvl w:ilvl="6">
      <w:start w:val="0"/>
      <w:numFmt w:val="bullet"/>
      <w:lvlText w:val="•"/>
      <w:lvlJc w:val="left"/>
      <w:pPr>
        <w:ind w:left="7308" w:hanging="303"/>
      </w:pPr>
      <w:rPr>
        <w:rFonts w:hint="default"/>
      </w:rPr>
    </w:lvl>
    <w:lvl w:ilvl="7">
      <w:start w:val="0"/>
      <w:numFmt w:val="bullet"/>
      <w:lvlText w:val="•"/>
      <w:lvlJc w:val="left"/>
      <w:pPr>
        <w:ind w:left="8076" w:hanging="303"/>
      </w:pPr>
      <w:rPr>
        <w:rFonts w:hint="default"/>
      </w:rPr>
    </w:lvl>
    <w:lvl w:ilvl="8">
      <w:start w:val="0"/>
      <w:numFmt w:val="bullet"/>
      <w:lvlText w:val="•"/>
      <w:lvlJc w:val="left"/>
      <w:pPr>
        <w:ind w:left="8844" w:hanging="303"/>
      </w:pPr>
      <w:rPr>
        <w:rFonts w:hint="default"/>
      </w:rPr>
    </w:lvl>
  </w:abstractNum>
  <w:abstractNum w:abstractNumId="3">
    <w:multiLevelType w:val="hybridMultilevel"/>
    <w:lvl w:ilvl="0">
      <w:start w:val="0"/>
      <w:numFmt w:val="bullet"/>
      <w:lvlText w:val="-"/>
      <w:lvlJc w:val="left"/>
      <w:pPr>
        <w:ind w:left="2700" w:hanging="303"/>
      </w:pPr>
      <w:rPr>
        <w:rFonts w:hint="default" w:ascii="Calibri" w:hAnsi="Calibri" w:eastAsia="Calibri" w:cs="Calibri"/>
        <w:w w:val="100"/>
        <w:sz w:val="20"/>
        <w:szCs w:val="20"/>
      </w:rPr>
    </w:lvl>
    <w:lvl w:ilvl="1">
      <w:start w:val="0"/>
      <w:numFmt w:val="bullet"/>
      <w:lvlText w:val="•"/>
      <w:lvlJc w:val="left"/>
      <w:pPr>
        <w:ind w:left="3468" w:hanging="303"/>
      </w:pPr>
      <w:rPr>
        <w:rFonts w:hint="default"/>
      </w:rPr>
    </w:lvl>
    <w:lvl w:ilvl="2">
      <w:start w:val="0"/>
      <w:numFmt w:val="bullet"/>
      <w:lvlText w:val="•"/>
      <w:lvlJc w:val="left"/>
      <w:pPr>
        <w:ind w:left="4236" w:hanging="303"/>
      </w:pPr>
      <w:rPr>
        <w:rFonts w:hint="default"/>
      </w:rPr>
    </w:lvl>
    <w:lvl w:ilvl="3">
      <w:start w:val="0"/>
      <w:numFmt w:val="bullet"/>
      <w:lvlText w:val="•"/>
      <w:lvlJc w:val="left"/>
      <w:pPr>
        <w:ind w:left="5004" w:hanging="303"/>
      </w:pPr>
      <w:rPr>
        <w:rFonts w:hint="default"/>
      </w:rPr>
    </w:lvl>
    <w:lvl w:ilvl="4">
      <w:start w:val="0"/>
      <w:numFmt w:val="bullet"/>
      <w:lvlText w:val="•"/>
      <w:lvlJc w:val="left"/>
      <w:pPr>
        <w:ind w:left="5772" w:hanging="303"/>
      </w:pPr>
      <w:rPr>
        <w:rFonts w:hint="default"/>
      </w:rPr>
    </w:lvl>
    <w:lvl w:ilvl="5">
      <w:start w:val="0"/>
      <w:numFmt w:val="bullet"/>
      <w:lvlText w:val="•"/>
      <w:lvlJc w:val="left"/>
      <w:pPr>
        <w:ind w:left="6540" w:hanging="303"/>
      </w:pPr>
      <w:rPr>
        <w:rFonts w:hint="default"/>
      </w:rPr>
    </w:lvl>
    <w:lvl w:ilvl="6">
      <w:start w:val="0"/>
      <w:numFmt w:val="bullet"/>
      <w:lvlText w:val="•"/>
      <w:lvlJc w:val="left"/>
      <w:pPr>
        <w:ind w:left="7308" w:hanging="303"/>
      </w:pPr>
      <w:rPr>
        <w:rFonts w:hint="default"/>
      </w:rPr>
    </w:lvl>
    <w:lvl w:ilvl="7">
      <w:start w:val="0"/>
      <w:numFmt w:val="bullet"/>
      <w:lvlText w:val="•"/>
      <w:lvlJc w:val="left"/>
      <w:pPr>
        <w:ind w:left="8076" w:hanging="303"/>
      </w:pPr>
      <w:rPr>
        <w:rFonts w:hint="default"/>
      </w:rPr>
    </w:lvl>
    <w:lvl w:ilvl="8">
      <w:start w:val="0"/>
      <w:numFmt w:val="bullet"/>
      <w:lvlText w:val="•"/>
      <w:lvlJc w:val="left"/>
      <w:pPr>
        <w:ind w:left="8844" w:hanging="303"/>
      </w:pPr>
      <w:rPr>
        <w:rFonts w:hint="default"/>
      </w:rPr>
    </w:lvl>
  </w:abstractNum>
  <w:abstractNum w:abstractNumId="2">
    <w:multiLevelType w:val="hybridMultilevel"/>
    <w:lvl w:ilvl="0">
      <w:start w:val="1"/>
      <w:numFmt w:val="decimal"/>
      <w:lvlText w:val="%1"/>
      <w:lvlJc w:val="left"/>
      <w:pPr>
        <w:ind w:left="2579" w:hanging="484"/>
        <w:jc w:val="left"/>
      </w:pPr>
      <w:rPr>
        <w:rFonts w:hint="default"/>
      </w:rPr>
    </w:lvl>
    <w:lvl w:ilvl="1">
      <w:start w:val="1"/>
      <w:numFmt w:val="decimal"/>
      <w:lvlText w:val="%1.%2"/>
      <w:lvlJc w:val="left"/>
      <w:pPr>
        <w:ind w:left="2579" w:hanging="484"/>
        <w:jc w:val="left"/>
      </w:pPr>
      <w:rPr>
        <w:rFonts w:hint="default" w:ascii="Calibri" w:hAnsi="Calibri" w:eastAsia="Calibri" w:cs="Calibri"/>
        <w:b/>
        <w:bCs/>
        <w:color w:val="53A1B9"/>
        <w:w w:val="100"/>
        <w:sz w:val="20"/>
        <w:szCs w:val="20"/>
      </w:rPr>
    </w:lvl>
    <w:lvl w:ilvl="2">
      <w:start w:val="1"/>
      <w:numFmt w:val="decimal"/>
      <w:lvlText w:val="%1.%2.%3"/>
      <w:lvlJc w:val="left"/>
      <w:pPr>
        <w:ind w:left="2690" w:hanging="605"/>
        <w:jc w:val="left"/>
      </w:pPr>
      <w:rPr>
        <w:rFonts w:hint="default" w:ascii="Calibri" w:hAnsi="Calibri" w:eastAsia="Calibri" w:cs="Calibri"/>
        <w:b/>
        <w:bCs/>
        <w:color w:val="53A1B9"/>
        <w:spacing w:val="-1"/>
        <w:w w:val="100"/>
        <w:sz w:val="20"/>
        <w:szCs w:val="20"/>
      </w:rPr>
    </w:lvl>
    <w:lvl w:ilvl="3">
      <w:start w:val="1"/>
      <w:numFmt w:val="lowerLetter"/>
      <w:lvlText w:val="%4."/>
      <w:lvlJc w:val="left"/>
      <w:pPr>
        <w:ind w:left="2700" w:hanging="303"/>
        <w:jc w:val="left"/>
      </w:pPr>
      <w:rPr>
        <w:rFonts w:hint="default" w:ascii="Calibri" w:hAnsi="Calibri" w:eastAsia="Calibri" w:cs="Calibri"/>
        <w:w w:val="100"/>
        <w:sz w:val="20"/>
        <w:szCs w:val="20"/>
      </w:rPr>
    </w:lvl>
    <w:lvl w:ilvl="4">
      <w:start w:val="0"/>
      <w:numFmt w:val="bullet"/>
      <w:lvlText w:val="•"/>
      <w:lvlJc w:val="left"/>
      <w:pPr>
        <w:ind w:left="5260" w:hanging="303"/>
      </w:pPr>
      <w:rPr>
        <w:rFonts w:hint="default"/>
      </w:rPr>
    </w:lvl>
    <w:lvl w:ilvl="5">
      <w:start w:val="0"/>
      <w:numFmt w:val="bullet"/>
      <w:lvlText w:val="•"/>
      <w:lvlJc w:val="left"/>
      <w:pPr>
        <w:ind w:left="6113" w:hanging="303"/>
      </w:pPr>
      <w:rPr>
        <w:rFonts w:hint="default"/>
      </w:rPr>
    </w:lvl>
    <w:lvl w:ilvl="6">
      <w:start w:val="0"/>
      <w:numFmt w:val="bullet"/>
      <w:lvlText w:val="•"/>
      <w:lvlJc w:val="left"/>
      <w:pPr>
        <w:ind w:left="6966" w:hanging="303"/>
      </w:pPr>
      <w:rPr>
        <w:rFonts w:hint="default"/>
      </w:rPr>
    </w:lvl>
    <w:lvl w:ilvl="7">
      <w:start w:val="0"/>
      <w:numFmt w:val="bullet"/>
      <w:lvlText w:val="•"/>
      <w:lvlJc w:val="left"/>
      <w:pPr>
        <w:ind w:left="7820" w:hanging="303"/>
      </w:pPr>
      <w:rPr>
        <w:rFonts w:hint="default"/>
      </w:rPr>
    </w:lvl>
    <w:lvl w:ilvl="8">
      <w:start w:val="0"/>
      <w:numFmt w:val="bullet"/>
      <w:lvlText w:val="•"/>
      <w:lvlJc w:val="left"/>
      <w:pPr>
        <w:ind w:left="8673" w:hanging="303"/>
      </w:pPr>
      <w:rPr>
        <w:rFonts w:hint="default"/>
      </w:rPr>
    </w:lvl>
  </w:abstractNum>
  <w:abstractNum w:abstractNumId="1">
    <w:multiLevelType w:val="hybridMultilevel"/>
    <w:lvl w:ilvl="0">
      <w:start w:val="19"/>
      <w:numFmt w:val="upperLetter"/>
      <w:lvlText w:val="%1"/>
      <w:lvlJc w:val="left"/>
      <w:pPr>
        <w:ind w:left="3370" w:hanging="1216"/>
        <w:jc w:val="left"/>
      </w:pPr>
      <w:rPr>
        <w:rFonts w:hint="default"/>
      </w:rPr>
    </w:lvl>
    <w:lvl w:ilvl="1">
      <w:start w:val="12"/>
      <w:numFmt w:val="upperLetter"/>
      <w:lvlText w:val="%1.%2."/>
      <w:lvlJc w:val="left"/>
      <w:pPr>
        <w:ind w:left="3370" w:hanging="1216"/>
        <w:jc w:val="left"/>
      </w:pPr>
      <w:rPr>
        <w:rFonts w:hint="default" w:ascii="Calibri" w:hAnsi="Calibri" w:eastAsia="Calibri" w:cs="Calibri"/>
        <w:spacing w:val="-1"/>
        <w:w w:val="100"/>
        <w:sz w:val="20"/>
        <w:szCs w:val="20"/>
      </w:rPr>
    </w:lvl>
    <w:lvl w:ilvl="2">
      <w:start w:val="1"/>
      <w:numFmt w:val="lowerLetter"/>
      <w:lvlText w:val="%3."/>
      <w:lvlJc w:val="left"/>
      <w:pPr>
        <w:ind w:left="2700" w:hanging="303"/>
        <w:jc w:val="left"/>
      </w:pPr>
      <w:rPr>
        <w:rFonts w:hint="default" w:ascii="Calibri" w:hAnsi="Calibri" w:eastAsia="Calibri" w:cs="Calibri"/>
        <w:w w:val="100"/>
        <w:sz w:val="20"/>
        <w:szCs w:val="20"/>
      </w:rPr>
    </w:lvl>
    <w:lvl w:ilvl="3">
      <w:start w:val="2"/>
      <w:numFmt w:val="decimal"/>
      <w:lvlText w:val="%4."/>
      <w:lvlJc w:val="left"/>
      <w:pPr>
        <w:ind w:left="2096" w:hanging="212"/>
        <w:jc w:val="left"/>
      </w:pPr>
      <w:rPr>
        <w:rFonts w:hint="default" w:ascii="Calibri" w:hAnsi="Calibri" w:eastAsia="Calibri" w:cs="Calibri"/>
        <w:i/>
        <w:w w:val="100"/>
        <w:sz w:val="20"/>
        <w:szCs w:val="20"/>
      </w:rPr>
    </w:lvl>
    <w:lvl w:ilvl="4">
      <w:start w:val="0"/>
      <w:numFmt w:val="bullet"/>
      <w:lvlText w:val="•"/>
      <w:lvlJc w:val="left"/>
      <w:pPr>
        <w:ind w:left="5180" w:hanging="212"/>
      </w:pPr>
      <w:rPr>
        <w:rFonts w:hint="default"/>
      </w:rPr>
    </w:lvl>
    <w:lvl w:ilvl="5">
      <w:start w:val="0"/>
      <w:numFmt w:val="bullet"/>
      <w:lvlText w:val="•"/>
      <w:lvlJc w:val="left"/>
      <w:pPr>
        <w:ind w:left="6046" w:hanging="212"/>
      </w:pPr>
      <w:rPr>
        <w:rFonts w:hint="default"/>
      </w:rPr>
    </w:lvl>
    <w:lvl w:ilvl="6">
      <w:start w:val="0"/>
      <w:numFmt w:val="bullet"/>
      <w:lvlText w:val="•"/>
      <w:lvlJc w:val="left"/>
      <w:pPr>
        <w:ind w:left="6913" w:hanging="212"/>
      </w:pPr>
      <w:rPr>
        <w:rFonts w:hint="default"/>
      </w:rPr>
    </w:lvl>
    <w:lvl w:ilvl="7">
      <w:start w:val="0"/>
      <w:numFmt w:val="bullet"/>
      <w:lvlText w:val="•"/>
      <w:lvlJc w:val="left"/>
      <w:pPr>
        <w:ind w:left="7780" w:hanging="212"/>
      </w:pPr>
      <w:rPr>
        <w:rFonts w:hint="default"/>
      </w:rPr>
    </w:lvl>
    <w:lvl w:ilvl="8">
      <w:start w:val="0"/>
      <w:numFmt w:val="bullet"/>
      <w:lvlText w:val="•"/>
      <w:lvlJc w:val="left"/>
      <w:pPr>
        <w:ind w:left="8646" w:hanging="212"/>
      </w:pPr>
      <w:rPr>
        <w:rFonts w:hint="default"/>
      </w:rPr>
    </w:lvl>
  </w:abstractNum>
  <w:num w:numId="130">
    <w:abstractNumId w:val="129"/>
  </w:num>
  <w:num w:numId="94">
    <w:abstractNumId w:val="93"/>
  </w:num>
  <w:num w:numId="122">
    <w:abstractNumId w:val="121"/>
  </w:num>
  <w:num w:numId="1">
    <w:abstractNumId w:val="0"/>
  </w:num>
  <w:num w:numId="131">
    <w:abstractNumId w:val="130"/>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7">
    <w:abstractNumId w:val="36"/>
  </w:num>
  <w:num w:numId="38">
    <w:abstractNumId w:val="37"/>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200"/>
      <w:ind w:left="2453" w:hanging="357"/>
    </w:pPr>
    <w:rPr>
      <w:rFonts w:ascii="Calibri" w:hAnsi="Calibri" w:eastAsia="Calibri" w:cs="Calibri"/>
      <w:b/>
      <w:bCs/>
      <w:sz w:val="20"/>
      <w:szCs w:val="20"/>
    </w:rPr>
  </w:style>
  <w:style w:styleId="TOC2" w:type="paragraph">
    <w:name w:val="TOC 2"/>
    <w:basedOn w:val="Normal"/>
    <w:uiPriority w:val="1"/>
    <w:qFormat/>
    <w:pPr>
      <w:spacing w:before="102"/>
      <w:ind w:left="2928" w:hanging="648"/>
    </w:pPr>
    <w:rPr>
      <w:rFonts w:ascii="Calibri" w:hAnsi="Calibri" w:eastAsia="Calibri" w:cs="Calibri"/>
      <w:sz w:val="20"/>
      <w:szCs w:val="20"/>
    </w:rPr>
  </w:style>
  <w:style w:styleId="TOC3" w:type="paragraph">
    <w:name w:val="TOC 3"/>
    <w:basedOn w:val="Normal"/>
    <w:uiPriority w:val="1"/>
    <w:qFormat/>
    <w:pPr>
      <w:spacing w:before="122"/>
      <w:ind w:left="3287" w:hanging="829"/>
    </w:pPr>
    <w:rPr>
      <w:rFonts w:ascii="Calibri" w:hAnsi="Calibri" w:eastAsia="Calibri" w:cs="Calibri"/>
      <w:sz w:val="20"/>
      <w:szCs w:val="20"/>
    </w:rPr>
  </w:style>
  <w:style w:styleId="BodyText" w:type="paragraph">
    <w:name w:val="Body Text"/>
    <w:basedOn w:val="Normal"/>
    <w:uiPriority w:val="1"/>
    <w:qFormat/>
    <w:pPr/>
    <w:rPr>
      <w:rFonts w:ascii="Calibri" w:hAnsi="Calibri" w:eastAsia="Calibri" w:cs="Calibri"/>
      <w:sz w:val="20"/>
      <w:szCs w:val="20"/>
    </w:rPr>
  </w:style>
  <w:style w:styleId="Heading1" w:type="paragraph">
    <w:name w:val="Heading 1"/>
    <w:basedOn w:val="Normal"/>
    <w:uiPriority w:val="1"/>
    <w:qFormat/>
    <w:pPr>
      <w:ind w:left="1073"/>
      <w:jc w:val="center"/>
      <w:outlineLvl w:val="1"/>
    </w:pPr>
    <w:rPr>
      <w:rFonts w:ascii="Calibri" w:hAnsi="Calibri" w:eastAsia="Calibri" w:cs="Calibri"/>
      <w:b/>
      <w:bCs/>
      <w:sz w:val="20"/>
      <w:szCs w:val="20"/>
    </w:rPr>
  </w:style>
  <w:style w:styleId="Heading2" w:type="paragraph">
    <w:name w:val="Heading 2"/>
    <w:basedOn w:val="Normal"/>
    <w:uiPriority w:val="1"/>
    <w:qFormat/>
    <w:pPr>
      <w:ind w:left="2299"/>
      <w:jc w:val="both"/>
      <w:outlineLvl w:val="2"/>
    </w:pPr>
    <w:rPr>
      <w:rFonts w:ascii="Calibri" w:hAnsi="Calibri" w:eastAsia="Calibri" w:cs="Calibri"/>
      <w:b/>
      <w:bCs/>
      <w:i/>
      <w:sz w:val="20"/>
      <w:szCs w:val="20"/>
    </w:rPr>
  </w:style>
  <w:style w:styleId="ListParagraph" w:type="paragraph">
    <w:name w:val="List Paragraph"/>
    <w:basedOn w:val="Normal"/>
    <w:uiPriority w:val="1"/>
    <w:qFormat/>
    <w:pPr>
      <w:ind w:left="2336" w:hanging="238"/>
      <w:jc w:val="both"/>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header" Target="header4.xml"/><Relationship Id="rId39" Type="http://schemas.openxmlformats.org/officeDocument/2006/relationships/header" Target="header10.xml"/><Relationship Id="rId21" Type="http://schemas.openxmlformats.org/officeDocument/2006/relationships/image" Target="media/image7.jpeg"/><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header" Target="header14.xml"/><Relationship Id="rId50" Type="http://schemas.openxmlformats.org/officeDocument/2006/relationships/hyperlink" Target="http://www.gobiernodecanarias.org/hacienda/intervencion/servicios/cuenta_general/index" TargetMode="External"/><Relationship Id="rId7" Type="http://schemas.openxmlformats.org/officeDocument/2006/relationships/image" Target="media/image4.png"/><Relationship Id="rId2" Type="http://schemas.openxmlformats.org/officeDocument/2006/relationships/fontTable" Target="fontTable.xml"/><Relationship Id="rId16" Type="http://schemas.openxmlformats.org/officeDocument/2006/relationships/hyperlink" Target="http://www.gobiernodecanarias.org/boc/2022/162/005.html" TargetMode="External"/><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footer" Target="footer11.xml"/><Relationship Id="rId45" Type="http://schemas.openxmlformats.org/officeDocument/2006/relationships/header" Target="header13.xml"/><Relationship Id="rId53" Type="http://schemas.openxmlformats.org/officeDocument/2006/relationships/customXml" Target="../customXml/item2.xml"/><Relationship Id="rId5" Type="http://schemas.openxmlformats.org/officeDocument/2006/relationships/footer" Target="footer1.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header" Target="header6.xml"/><Relationship Id="rId44" Type="http://schemas.openxmlformats.org/officeDocument/2006/relationships/footer" Target="footer13.xml"/><Relationship Id="rId52"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image" Target="media/image1.png"/><Relationship Id="rId27" Type="http://schemas.openxmlformats.org/officeDocument/2006/relationships/footer" Target="footer5.xml"/><Relationship Id="rId30" Type="http://schemas.openxmlformats.org/officeDocument/2006/relationships/image" Target="media/image2.png"/><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footer" Target="footer15.xml"/><Relationship Id="rId8" Type="http://schemas.openxmlformats.org/officeDocument/2006/relationships/image" Target="media/image5.png"/><Relationship Id="rId51" Type="http://schemas.openxmlformats.org/officeDocument/2006/relationships/numbering" Target="numbering.xml"/><Relationship Id="rId3"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footer" Target="footer10.xml"/><Relationship Id="rId46" Type="http://schemas.openxmlformats.org/officeDocument/2006/relationships/footer" Target="footer14.xml"/><Relationship Id="rId20" Type="http://schemas.openxmlformats.org/officeDocument/2006/relationships/footer" Target="footer3.xml"/><Relationship Id="rId41" Type="http://schemas.openxmlformats.org/officeDocument/2006/relationships/header" Target="header11.xml"/><Relationship Id="rId54"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www.hacienda.gob.es/es-" TargetMode="External"/><Relationship Id="rId23" Type="http://schemas.openxmlformats.org/officeDocument/2006/relationships/image" Target="media/image13.png"/><Relationship Id="rId28" Type="http://schemas.openxmlformats.org/officeDocument/2006/relationships/header" Target="header5.xml"/><Relationship Id="rId36" Type="http://schemas.openxmlformats.org/officeDocument/2006/relationships/footer" Target="footer9.xml"/><Relationship Id="rId49"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3.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3.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3.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_rels/header12.xml.rels><?xml version="1.0" encoding="UTF-8" standalone="yes"?>
<Relationships xmlns="http://schemas.openxmlformats.org/package/2006/relationships"><Relationship Id="rId1" Type="http://schemas.openxmlformats.org/officeDocument/2006/relationships/image" Target="media/image7.jpeg"/></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7E8BAB1CC329B47847BB7DB76CAB62C" ma:contentTypeVersion="11" ma:contentTypeDescription="Crear nuevo documento." ma:contentTypeScope="" ma:versionID="481425a4050ed9ce0bb786196fe8ea2b">
  <xsd:schema xmlns:xsd="http://www.w3.org/2001/XMLSchema" xmlns:xs="http://www.w3.org/2001/XMLSchema" xmlns:p="http://schemas.microsoft.com/office/2006/metadata/properties" xmlns:ns2="048b7169-8466-4a4e-b90e-b1878ed5b7d9" xmlns:ns3="6cd6409b-00de-4330-8a8c-4a7321b1351d" targetNamespace="http://schemas.microsoft.com/office/2006/metadata/properties" ma:root="true" ma:fieldsID="cb5208a51faa8f7c121421eb43a84c87" ns2:_="" ns3:_="">
    <xsd:import namespace="048b7169-8466-4a4e-b90e-b1878ed5b7d9"/>
    <xsd:import namespace="6cd6409b-00de-4330-8a8c-4a7321b1351d"/>
    <xsd:element name="properties">
      <xsd:complexType>
        <xsd:sequence>
          <xsd:element name="documentManagement">
            <xsd:complexType>
              <xsd:all>
                <xsd:element ref="ns2:Categor_x00ed_a"/>
                <xsd:element ref="ns2:Secci_x00f3_n"/>
                <xsd:element ref="ns2:Ejercicio"/>
                <xsd:element ref="ns3:SharedWithUsers" minOccurs="0"/>
                <xsd:element ref="ns3:SharedWithDetails" minOccurs="0"/>
                <xsd:element ref="ns2:Contenido_x0020_Activo" minOccurs="0"/>
                <xsd:element ref="ns2:Revisi_x00f3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b7169-8466-4a4e-b90e-b1878ed5b7d9" elementFormDefault="qualified">
    <xsd:import namespace="http://schemas.microsoft.com/office/2006/documentManagement/types"/>
    <xsd:import namespace="http://schemas.microsoft.com/office/infopath/2007/PartnerControls"/>
    <xsd:element name="Categor_x00ed_a" ma:index="8" ma:displayName="Categoría" ma:format="Dropdown" ma:indexed="true" ma:internalName="Categor_x00ed_a">
      <xsd:simpleType>
        <xsd:restriction base="dms:Choice">
          <xsd:enumeration value="Transparencia"/>
          <xsd:enumeration value="Diseño"/>
          <xsd:enumeration value="Contenido"/>
          <xsd:enumeration value="Web antigua"/>
        </xsd:restriction>
      </xsd:simpleType>
    </xsd:element>
    <xsd:element name="Secci_x00f3_n" ma:index="9" ma:displayName="Sección" ma:format="Dropdown" ma:internalName="Secci_x00f3_n">
      <xsd:simpleType>
        <xsd:restriction base="dms:Choice">
          <xsd:enumeration value="00. General"/>
          <xsd:enumeration value="01. Institucional"/>
          <xsd:enumeration value="02. Organizativa"/>
          <xsd:enumeration value="03. Personal de libre nombramiento"/>
          <xsd:enumeration value="04. Empleo en el sector público"/>
          <xsd:enumeration value="05. Retribuciones"/>
          <xsd:enumeration value="06. Servicios y procedimientos"/>
          <xsd:enumeration value="07. Económico-financiera"/>
          <xsd:enumeration value="08. Perfil del contratante"/>
          <xsd:enumeration value="09. Convenios y encomiendas"/>
          <xsd:enumeration value="10. Concesión de servicios públicos"/>
          <xsd:enumeration value="11. Ayudas y subvenciones"/>
          <xsd:enumeration value="12. Estadística"/>
          <xsd:enumeration value="13. Derecho de acceso"/>
          <xsd:enumeration value="14. Accesibilidad"/>
          <xsd:enumeration value="15. LOPD"/>
        </xsd:restriction>
      </xsd:simpleType>
    </xsd:element>
    <xsd:element name="Ejercicio" ma:index="10" ma:displayName="Ejercicio" ma:internalName="Ejercicio">
      <xsd:simpleType>
        <xsd:restriction base="dms:Choice">
          <xsd:enumeration value="Sin ejercicio"/>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Contenido_x0020_Activo" ma:index="13" nillable="true" ma:displayName="Contenido Activo" ma:default="No" ma:description="Indica si el contenido está activo en la web" ma:internalName="Contenido_x0020_Activo" ma:requiredMultiChoice="true">
      <xsd:complexType>
        <xsd:complexContent>
          <xsd:extension base="dms:MultiChoice">
            <xsd:sequence>
              <xsd:element name="Value" maxOccurs="unbounded" minOccurs="0" nillable="true">
                <xsd:simpleType>
                  <xsd:restriction base="dms:Choice">
                    <xsd:enumeration value="Sí"/>
                    <xsd:enumeration value="No"/>
                  </xsd:restriction>
                </xsd:simpleType>
              </xsd:element>
            </xsd:sequence>
          </xsd:extension>
        </xsd:complexContent>
      </xsd:complexType>
    </xsd:element>
    <xsd:element name="Revisi_x00f3_n" ma:index="14" nillable="true" ma:displayName="Revisión" ma:internalName="Revisi_x00f3_n">
      <xsd:simpleType>
        <xsd:restriction base="dms:Choice">
          <xsd:enumeration value="Pendiente de revisar"/>
          <xsd:enumeration value="Revisado"/>
        </xsd:restriction>
      </xsd:simpleType>
    </xsd:element>
  </xsd:schema>
  <xsd:schema xmlns:xsd="http://www.w3.org/2001/XMLSchema" xmlns:xs="http://www.w3.org/2001/XMLSchema" xmlns:dms="http://schemas.microsoft.com/office/2006/documentManagement/types" xmlns:pc="http://schemas.microsoft.com/office/infopath/2007/PartnerControls" targetNamespace="6cd6409b-00de-4330-8a8c-4a7321b1351d"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jercicio xmlns="048b7169-8466-4a4e-b90e-b1878ed5b7d9"/>
    <Secci_x00f3_n xmlns="048b7169-8466-4a4e-b90e-b1878ed5b7d9"/>
    <Contenido_x0020_Activo xmlns="048b7169-8466-4a4e-b90e-b1878ed5b7d9">
      <Value>No</Value>
    </Contenido_x0020_Activo>
    <Categor_x00ed_a xmlns="048b7169-8466-4a4e-b90e-b1878ed5b7d9"/>
    <Revisi_x00f3_n xmlns="048b7169-8466-4a4e-b90e-b1878ed5b7d9" xsi:nil="true"/>
  </documentManagement>
</p:properties>
</file>

<file path=customXml/itemProps1.xml><?xml version="1.0" encoding="utf-8"?>
<ds:datastoreItem xmlns:ds="http://schemas.openxmlformats.org/officeDocument/2006/customXml" ds:itemID="{C3045D1F-2A3C-41F6-AA97-4D9DC2A71066}"/>
</file>

<file path=customXml/itemProps2.xml><?xml version="1.0" encoding="utf-8"?>
<ds:datastoreItem xmlns:ds="http://schemas.openxmlformats.org/officeDocument/2006/customXml" ds:itemID="{5EBC421B-E40B-461D-A5E2-D7FF9E029151}"/>
</file>

<file path=customXml/itemProps3.xml><?xml version="1.0" encoding="utf-8"?>
<ds:datastoreItem xmlns:ds="http://schemas.openxmlformats.org/officeDocument/2006/customXml" ds:itemID="{01C80CD7-BBFC-4945-9590-70F7DFD1DA2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COPIA - GIYS - AUDIENCIA DE CUENTAS DE CANARIAS</dc:subject>
  <dcterms:created xsi:type="dcterms:W3CDTF">2025-04-03T17:43:40Z</dcterms:created>
  <dcterms:modified xsi:type="dcterms:W3CDTF">2025-04-03T17:43:40Z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2024-01-05T00:00:00Z</vt:filetime>
  </property>
  <property fmtid="{D5CDD505-2E9C-101B-9397-08002B2CF9AE}" pid="3" name="LastSaved">
    <vt:filetime>2025-04-03T00:00:00Z</vt:filetime>
  </property>
  <property fmtid="{D5CDD505-2E9C-101B-9397-08002B2CF9AE}" pid="4" name="ContentTypeId">
    <vt:lpwstr>0x01010037E8BAB1CC329B47847BB7DB76CAB62C</vt:lpwstr>
  </property>
</Properties>
</file>